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Default Extension="jpeg" ContentType="image/jpeg"/>
  <Default Extension="png" ContentType="image/png"/>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4.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3"/>
        <w:rPr>
          <w:sz w:val="12"/>
        </w:rPr>
      </w:pPr>
    </w:p>
    <w:p>
      <w:pPr>
        <w:pStyle w:val="BodyText"/>
        <w:spacing w:line="20" w:lineRule="exact"/>
        <w:ind w:left="105"/>
        <w:rPr>
          <w:sz w:val="2"/>
        </w:rPr>
      </w:pPr>
      <w:r>
        <w:rPr>
          <w:sz w:val="2"/>
        </w:rPr>
        <w:pict>
          <v:group style="width:445.7pt;height:.5pt;mso-position-horizontal-relative:char;mso-position-vertical-relative:line" coordorigin="0,0" coordsize="8914,10">
            <v:line style="position:absolute" from="5,5" to="8909,5" stroked="true" strokeweight=".5pt" strokecolor="#000000"/>
          </v:group>
        </w:pict>
      </w:r>
      <w:r>
        <w:rPr>
          <w:sz w:val="2"/>
        </w:rPr>
      </w:r>
    </w:p>
    <w:p>
      <w:pPr>
        <w:pStyle w:val="BodyText"/>
      </w:pPr>
    </w:p>
    <w:p>
      <w:pPr>
        <w:pStyle w:val="BodyText"/>
        <w:spacing w:before="1"/>
        <w:rPr>
          <w:sz w:val="27"/>
        </w:rPr>
      </w:pPr>
    </w:p>
    <w:p>
      <w:pPr>
        <w:spacing w:before="4"/>
        <w:ind w:left="687" w:right="608" w:firstLine="0"/>
        <w:jc w:val="center"/>
        <w:rPr>
          <w:rFonts w:ascii="Verdana" w:hAnsi="Verdana"/>
          <w:sz w:val="54"/>
        </w:rPr>
      </w:pPr>
      <w:r>
        <w:rPr>
          <w:rFonts w:ascii="Verdana" w:hAnsi="Verdana"/>
          <w:sz w:val="54"/>
        </w:rPr>
        <w:t>ERGONOMÍA OCUPACIONAL</w:t>
      </w:r>
    </w:p>
    <w:p>
      <w:pPr>
        <w:spacing w:before="327"/>
        <w:ind w:left="691" w:right="608" w:firstLine="0"/>
        <w:jc w:val="center"/>
        <w:rPr>
          <w:rFonts w:ascii="Verdana"/>
          <w:sz w:val="42"/>
        </w:rPr>
      </w:pPr>
      <w:r>
        <w:rPr>
          <w:rFonts w:ascii="Verdana"/>
          <w:sz w:val="42"/>
        </w:rPr>
        <w:t>INVESTIGACIONES Y APLICACIONES</w:t>
      </w:r>
    </w:p>
    <w:p>
      <w:pPr>
        <w:pStyle w:val="BodyText"/>
        <w:rPr>
          <w:rFonts w:ascii="Verdana"/>
        </w:rPr>
      </w:pPr>
    </w:p>
    <w:p>
      <w:pPr>
        <w:pStyle w:val="BodyText"/>
        <w:rPr>
          <w:rFonts w:ascii="Verdana"/>
        </w:rPr>
      </w:pPr>
    </w:p>
    <w:p>
      <w:pPr>
        <w:pStyle w:val="BodyText"/>
        <w:spacing w:before="10"/>
        <w:rPr>
          <w:rFonts w:ascii="Verdana"/>
          <w:sz w:val="19"/>
        </w:rPr>
      </w:pPr>
      <w:r>
        <w:rPr/>
        <w:pict>
          <v:line style="position:absolute;mso-position-horizontal-relative:page;mso-position-vertical-relative:paragraph;z-index:1048;mso-wrap-distance-left:0;mso-wrap-distance-right:0" from="83.519997pt,14.364165pt" to="528.719997pt,14.364165pt" stroked="true" strokeweight=".7pt" strokecolor="#000000">
            <w10:wrap type="topAndBottom"/>
          </v:line>
        </w:pict>
      </w:r>
    </w:p>
    <w:p>
      <w:pPr>
        <w:spacing w:before="233"/>
        <w:ind w:left="674" w:right="608" w:firstLine="0"/>
        <w:jc w:val="center"/>
        <w:rPr>
          <w:rFonts w:ascii="Verdana"/>
          <w:sz w:val="42"/>
        </w:rPr>
      </w:pPr>
      <w:r>
        <w:rPr>
          <w:rFonts w:ascii="Verdana"/>
          <w:sz w:val="42"/>
        </w:rPr>
        <w:t>VOL. 8</w:t>
      </w:r>
    </w:p>
    <w:p>
      <w:pPr>
        <w:spacing w:after="0"/>
        <w:jc w:val="center"/>
        <w:rPr>
          <w:rFonts w:ascii="Verdana"/>
          <w:sz w:val="42"/>
        </w:rPr>
        <w:sectPr>
          <w:type w:val="continuous"/>
          <w:pgSz w:w="12240" w:h="15840"/>
          <w:pgMar w:top="1500" w:bottom="280" w:left="1560" w:right="1540"/>
        </w:sect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spacing w:line="357" w:lineRule="auto" w:before="229"/>
        <w:ind w:left="4279" w:right="98" w:hanging="3753"/>
        <w:jc w:val="left"/>
        <w:rPr>
          <w:rFonts w:ascii="Verdana" w:hAnsi="Verdana"/>
          <w:sz w:val="28"/>
        </w:rPr>
      </w:pPr>
      <w:r>
        <w:rPr>
          <w:rFonts w:ascii="Verdana" w:hAnsi="Verdana"/>
          <w:sz w:val="28"/>
        </w:rPr>
        <w:t>SOCIEDAD DE ERGONOMISTAS DE MÉXICO A.C. (SEMAC) 2015</w:t>
      </w:r>
    </w:p>
    <w:p>
      <w:pPr>
        <w:spacing w:after="0" w:line="357" w:lineRule="auto"/>
        <w:jc w:val="left"/>
        <w:rPr>
          <w:rFonts w:ascii="Verdana" w:hAnsi="Verdana"/>
          <w:sz w:val="28"/>
        </w:rPr>
        <w:sectPr>
          <w:pgSz w:w="12240" w:h="15840"/>
          <w:pgMar w:top="1500" w:bottom="280" w:left="1720" w:right="1660"/>
        </w:sectPr>
      </w:pPr>
    </w:p>
    <w:p>
      <w:pPr>
        <w:pStyle w:val="BodyText"/>
        <w:rPr>
          <w:rFonts w:ascii="Verdana"/>
        </w:rPr>
      </w:pPr>
    </w:p>
    <w:p>
      <w:pPr>
        <w:pStyle w:val="BodyText"/>
        <w:rPr>
          <w:rFonts w:ascii="Verdana"/>
        </w:rPr>
      </w:pPr>
    </w:p>
    <w:p>
      <w:pPr>
        <w:pStyle w:val="BodyText"/>
        <w:spacing w:before="4"/>
        <w:rPr>
          <w:rFonts w:ascii="Verdana"/>
          <w:sz w:val="11"/>
        </w:rPr>
      </w:pPr>
    </w:p>
    <w:p>
      <w:pPr>
        <w:pStyle w:val="BodyText"/>
        <w:spacing w:line="30" w:lineRule="exact"/>
        <w:ind w:left="267"/>
        <w:rPr>
          <w:rFonts w:ascii="Verdana"/>
          <w:sz w:val="3"/>
        </w:rPr>
      </w:pPr>
      <w:r>
        <w:rPr>
          <w:rFonts w:ascii="Verdana"/>
          <w:position w:val="0"/>
          <w:sz w:val="3"/>
        </w:rPr>
        <w:pict>
          <v:group style="width:451.5pt;height:1.5pt;mso-position-horizontal-relative:char;mso-position-vertical-relative:line" coordorigin="0,0" coordsize="9030,30">
            <v:line style="position:absolute" from="15,15" to="9015,15" stroked="true" strokeweight="1.5pt" strokecolor="#000000"/>
          </v:group>
        </w:pict>
      </w:r>
      <w:r>
        <w:rPr>
          <w:rFonts w:ascii="Verdana"/>
          <w:position w:val="0"/>
          <w:sz w:val="3"/>
        </w:rPr>
      </w:r>
    </w:p>
    <w:p>
      <w:pPr>
        <w:pStyle w:val="BodyText"/>
        <w:rPr>
          <w:rFonts w:ascii="Verdana"/>
        </w:rPr>
      </w:pPr>
    </w:p>
    <w:p>
      <w:pPr>
        <w:pStyle w:val="BodyText"/>
        <w:spacing w:before="11"/>
        <w:rPr>
          <w:rFonts w:ascii="Verdana"/>
          <w:sz w:val="25"/>
        </w:rPr>
      </w:pPr>
    </w:p>
    <w:p>
      <w:pPr>
        <w:spacing w:before="4"/>
        <w:ind w:left="860" w:right="696" w:firstLine="0"/>
        <w:jc w:val="center"/>
        <w:rPr>
          <w:rFonts w:ascii="Verdana" w:hAnsi="Verdana"/>
          <w:sz w:val="54"/>
        </w:rPr>
      </w:pPr>
      <w:r>
        <w:rPr>
          <w:rFonts w:ascii="Verdana" w:hAnsi="Verdana"/>
          <w:sz w:val="54"/>
        </w:rPr>
        <w:t>ERGONOMÍA OCUPACIONAL</w:t>
      </w:r>
    </w:p>
    <w:p>
      <w:pPr>
        <w:spacing w:before="328"/>
        <w:ind w:left="864" w:right="696" w:firstLine="0"/>
        <w:jc w:val="center"/>
        <w:rPr>
          <w:rFonts w:ascii="Verdana"/>
          <w:sz w:val="42"/>
        </w:rPr>
      </w:pPr>
      <w:r>
        <w:rPr>
          <w:rFonts w:ascii="Verdana"/>
          <w:sz w:val="42"/>
        </w:rPr>
        <w:t>INVESTIGACIONES Y APLICACIONES</w:t>
      </w:r>
    </w:p>
    <w:p>
      <w:pPr>
        <w:pStyle w:val="BodyText"/>
        <w:rPr>
          <w:rFonts w:ascii="Verdana"/>
          <w:sz w:val="42"/>
        </w:rPr>
      </w:pPr>
    </w:p>
    <w:p>
      <w:pPr>
        <w:pStyle w:val="BodyText"/>
        <w:spacing w:before="10"/>
        <w:rPr>
          <w:rFonts w:ascii="Verdana"/>
          <w:sz w:val="43"/>
        </w:rPr>
      </w:pPr>
    </w:p>
    <w:p>
      <w:pPr>
        <w:spacing w:before="0"/>
        <w:ind w:left="847" w:right="696" w:firstLine="0"/>
        <w:jc w:val="center"/>
        <w:rPr>
          <w:rFonts w:ascii="Verdana"/>
          <w:sz w:val="42"/>
        </w:rPr>
      </w:pPr>
      <w:r>
        <w:rPr>
          <w:rFonts w:ascii="Verdana"/>
          <w:sz w:val="42"/>
        </w:rPr>
        <w:t>VOL. 8</w:t>
      </w:r>
    </w:p>
    <w:p>
      <w:pPr>
        <w:pStyle w:val="BodyText"/>
        <w:rPr>
          <w:rFonts w:ascii="Verdana"/>
        </w:rPr>
      </w:pPr>
    </w:p>
    <w:p>
      <w:pPr>
        <w:pStyle w:val="BodyText"/>
        <w:rPr>
          <w:rFonts w:ascii="Verdana"/>
        </w:rPr>
      </w:pPr>
    </w:p>
    <w:p>
      <w:pPr>
        <w:pStyle w:val="BodyText"/>
        <w:rPr>
          <w:rFonts w:ascii="Verdana"/>
        </w:rPr>
      </w:pPr>
    </w:p>
    <w:p>
      <w:pPr>
        <w:pStyle w:val="BodyText"/>
        <w:spacing w:before="11"/>
        <w:rPr>
          <w:rFonts w:ascii="Verdana"/>
          <w:sz w:val="21"/>
        </w:rPr>
      </w:pPr>
      <w:r>
        <w:rPr/>
        <w:pict>
          <v:line style="position:absolute;mso-position-horizontal-relative:page;mso-position-vertical-relative:paragraph;z-index:1096;mso-wrap-distance-left:0;mso-wrap-distance-right:0" from="100.139999pt,16.010874pt" to="550.139999pt,16.010874pt" stroked="true" strokeweight="1.5pt" strokecolor="#000000">
            <w10:wrap type="topAndBottom"/>
          </v:line>
        </w:pict>
      </w: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spacing w:before="6"/>
        <w:rPr>
          <w:rFonts w:ascii="Verdana"/>
          <w:sz w:val="17"/>
        </w:rPr>
      </w:pPr>
    </w:p>
    <w:p>
      <w:pPr>
        <w:pStyle w:val="BodyText"/>
        <w:ind w:left="199" w:right="696"/>
        <w:jc w:val="center"/>
        <w:rPr>
          <w:rFonts w:ascii="Verdana"/>
        </w:rPr>
      </w:pPr>
      <w:r>
        <w:rPr>
          <w:rFonts w:ascii="Verdana"/>
        </w:rPr>
        <w:t>EDITADO POR:</w:t>
      </w:r>
    </w:p>
    <w:p>
      <w:pPr>
        <w:spacing w:line="389" w:lineRule="exact" w:before="1"/>
        <w:ind w:left="199" w:right="696" w:firstLine="0"/>
        <w:jc w:val="center"/>
        <w:rPr>
          <w:rFonts w:ascii="Verdana"/>
          <w:sz w:val="32"/>
        </w:rPr>
      </w:pPr>
      <w:r>
        <w:rPr>
          <w:rFonts w:ascii="Verdana"/>
          <w:sz w:val="32"/>
        </w:rPr>
        <w:t>CARLOS ESPEJO GUASCO</w:t>
      </w:r>
    </w:p>
    <w:p>
      <w:pPr>
        <w:pStyle w:val="BodyText"/>
        <w:spacing w:line="243" w:lineRule="exact"/>
        <w:ind w:left="200" w:right="696"/>
        <w:jc w:val="center"/>
        <w:rPr>
          <w:rFonts w:ascii="Verdana"/>
        </w:rPr>
      </w:pPr>
      <w:r>
        <w:rPr>
          <w:rFonts w:ascii="Verdana"/>
        </w:rPr>
        <w:t>Presidente Fundador SEMAC</w:t>
      </w:r>
    </w:p>
    <w:p>
      <w:pPr>
        <w:pStyle w:val="BodyText"/>
        <w:rPr>
          <w:rFonts w:ascii="Verdana"/>
        </w:rPr>
      </w:pPr>
    </w:p>
    <w:p>
      <w:pPr>
        <w:spacing w:line="389" w:lineRule="exact" w:before="147"/>
        <w:ind w:left="200" w:right="696" w:firstLine="0"/>
        <w:jc w:val="center"/>
        <w:rPr>
          <w:rFonts w:ascii="Verdana"/>
          <w:sz w:val="32"/>
        </w:rPr>
      </w:pPr>
      <w:r>
        <w:rPr>
          <w:rFonts w:ascii="Verdana"/>
          <w:sz w:val="32"/>
        </w:rPr>
        <w:t>ENRIQUE DE LA VEGA BUSTILLOS</w:t>
      </w:r>
    </w:p>
    <w:p>
      <w:pPr>
        <w:pStyle w:val="BodyText"/>
        <w:spacing w:line="243" w:lineRule="exact"/>
        <w:ind w:left="202" w:right="696"/>
        <w:jc w:val="center"/>
        <w:rPr>
          <w:rFonts w:ascii="Verdana"/>
        </w:rPr>
      </w:pPr>
      <w:r>
        <w:rPr>
          <w:rFonts w:ascii="Verdana"/>
        </w:rPr>
        <w:t>Presidente SEMAC 2002-2004</w:t>
      </w:r>
    </w:p>
    <w:p>
      <w:pPr>
        <w:pStyle w:val="BodyText"/>
        <w:rPr>
          <w:rFonts w:ascii="Verdana"/>
        </w:rPr>
      </w:pPr>
    </w:p>
    <w:p>
      <w:pPr>
        <w:spacing w:before="144"/>
        <w:ind w:left="201" w:right="696" w:firstLine="0"/>
        <w:jc w:val="center"/>
        <w:rPr>
          <w:rFonts w:ascii="Verdana"/>
          <w:sz w:val="32"/>
        </w:rPr>
      </w:pPr>
      <w:r>
        <w:rPr>
          <w:rFonts w:ascii="Verdana"/>
          <w:sz w:val="32"/>
        </w:rPr>
        <w:t>FRANCISCO OCTAVIO LOPEZ MILLAN</w:t>
      </w:r>
    </w:p>
    <w:p>
      <w:pPr>
        <w:pStyle w:val="BodyText"/>
        <w:spacing w:before="71"/>
        <w:ind w:left="202" w:right="696"/>
        <w:jc w:val="center"/>
        <w:rPr>
          <w:rFonts w:ascii="Verdana"/>
        </w:rPr>
      </w:pPr>
      <w:r>
        <w:rPr>
          <w:rFonts w:ascii="Verdana"/>
        </w:rPr>
        <w:t>Presidente SEMAC 2014-2016</w:t>
      </w:r>
    </w:p>
    <w:p>
      <w:pPr>
        <w:spacing w:after="0"/>
        <w:jc w:val="center"/>
        <w:rPr>
          <w:rFonts w:ascii="Verdana"/>
        </w:rPr>
        <w:sectPr>
          <w:pgSz w:w="12240" w:h="15840"/>
          <w:pgMar w:top="1500" w:bottom="280" w:left="1720" w:right="1120"/>
        </w:sect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sz w:val="25"/>
        </w:rPr>
      </w:pPr>
    </w:p>
    <w:p>
      <w:pPr>
        <w:pStyle w:val="BodyText"/>
        <w:spacing w:line="243" w:lineRule="exact" w:before="65"/>
        <w:ind w:left="659"/>
        <w:rPr>
          <w:rFonts w:ascii="Verdana" w:hAnsi="Verdana"/>
        </w:rPr>
      </w:pPr>
      <w:r>
        <w:rPr>
          <w:rFonts w:ascii="Verdana" w:hAnsi="Verdana"/>
        </w:rPr>
        <w:t>2015 Sociedad de Ergonomistas de México A.C.  (SEMAC)</w:t>
      </w:r>
    </w:p>
    <w:p>
      <w:pPr>
        <w:pStyle w:val="Heading4"/>
        <w:ind w:left="659"/>
        <w:jc w:val="left"/>
        <w:rPr>
          <w:rFonts w:ascii="Arial"/>
        </w:rPr>
      </w:pPr>
      <w:r>
        <w:rPr>
          <w:rFonts w:ascii="Arial"/>
        </w:rPr>
        <w:t>ISBN: 978-0-578-16113-6</w:t>
      </w:r>
    </w:p>
    <w:p>
      <w:pPr>
        <w:spacing w:after="0"/>
        <w:jc w:val="left"/>
        <w:rPr>
          <w:rFonts w:ascii="Arial"/>
        </w:rPr>
        <w:sectPr>
          <w:pgSz w:w="12240" w:h="15840"/>
          <w:pgMar w:top="1500" w:bottom="280" w:left="1720" w:right="1720"/>
        </w:sectPr>
      </w:pPr>
    </w:p>
    <w:p>
      <w:pPr>
        <w:spacing w:before="20"/>
        <w:ind w:left="105" w:right="0" w:firstLine="0"/>
        <w:jc w:val="both"/>
        <w:rPr>
          <w:rFonts w:ascii="Verdana"/>
          <w:b/>
          <w:sz w:val="34"/>
        </w:rPr>
      </w:pPr>
      <w:r>
        <w:rPr>
          <w:rFonts w:ascii="Verdana"/>
          <w:b/>
          <w:sz w:val="34"/>
        </w:rPr>
        <w:t>Prefacio</w:t>
      </w:r>
    </w:p>
    <w:p>
      <w:pPr>
        <w:pStyle w:val="BodyText"/>
        <w:spacing w:before="290"/>
        <w:ind w:left="105" w:right="108"/>
        <w:jc w:val="both"/>
        <w:rPr>
          <w:rFonts w:ascii="Verdana" w:hAnsi="Verdana"/>
        </w:rPr>
      </w:pPr>
      <w:r>
        <w:rPr>
          <w:rFonts w:ascii="Verdana" w:hAnsi="Verdana"/>
        </w:rPr>
        <w:t>La Sociedad de Ergonomistas de México A.C. (SEMAC), como parte relevante de su actividad e interés en la difusión, promoción y apoyo a la ergonomía, ha organizado desde 1999 y de forma anual, su Congreso Internacional de Ergonomía. En Abril de 2015, la hermosa y progresista ciudad de Hermosillo, y en especial la Universidad de Sonora y el Instituto Tecnologico de Hermosillo, nos abren sus brazos para recibir el  XVII Congreso Internacional de Ergonomía, con la participación de ergonomistas profesionales e interesados en esta</w:t>
      </w:r>
      <w:r>
        <w:rPr>
          <w:rFonts w:ascii="Verdana" w:hAnsi="Verdana"/>
          <w:spacing w:val="-22"/>
        </w:rPr>
        <w:t> </w:t>
      </w:r>
      <w:r>
        <w:rPr>
          <w:rFonts w:ascii="Verdana" w:hAnsi="Verdana"/>
        </w:rPr>
        <w:t>área.</w:t>
      </w:r>
    </w:p>
    <w:p>
      <w:pPr>
        <w:pStyle w:val="BodyText"/>
        <w:spacing w:before="1"/>
        <w:rPr>
          <w:rFonts w:ascii="Verdana"/>
        </w:rPr>
      </w:pPr>
    </w:p>
    <w:p>
      <w:pPr>
        <w:pStyle w:val="BodyText"/>
        <w:ind w:left="105" w:right="178" w:firstLine="720"/>
        <w:jc w:val="both"/>
        <w:rPr>
          <w:rFonts w:ascii="Verdana" w:hAnsi="Verdana"/>
        </w:rPr>
      </w:pPr>
      <w:r>
        <w:rPr>
          <w:rFonts w:ascii="Verdana" w:hAnsi="Verdana"/>
          <w:spacing w:val="-3"/>
        </w:rPr>
        <w:t>Este </w:t>
      </w:r>
      <w:r>
        <w:rPr>
          <w:rFonts w:ascii="Verdana" w:hAnsi="Verdana"/>
        </w:rPr>
        <w:t>año </w:t>
      </w:r>
      <w:r>
        <w:rPr>
          <w:rFonts w:ascii="Verdana" w:hAnsi="Verdana"/>
          <w:spacing w:val="-3"/>
        </w:rPr>
        <w:t>tenemos </w:t>
      </w:r>
      <w:r>
        <w:rPr>
          <w:rFonts w:ascii="Verdana" w:hAnsi="Verdana"/>
        </w:rPr>
        <w:t>la </w:t>
      </w:r>
      <w:r>
        <w:rPr>
          <w:rFonts w:ascii="Verdana" w:hAnsi="Verdana"/>
          <w:spacing w:val="-3"/>
        </w:rPr>
        <w:t>enorme confianza </w:t>
      </w:r>
      <w:r>
        <w:rPr>
          <w:rFonts w:ascii="Verdana" w:hAnsi="Verdana"/>
        </w:rPr>
        <w:t>que </w:t>
      </w:r>
      <w:r>
        <w:rPr>
          <w:rFonts w:ascii="Verdana" w:hAnsi="Verdana"/>
          <w:spacing w:val="-3"/>
        </w:rPr>
        <w:t>estamos avanzando. </w:t>
      </w:r>
      <w:r>
        <w:rPr>
          <w:rFonts w:ascii="Verdana" w:hAnsi="Verdana"/>
        </w:rPr>
        <w:t>SE </w:t>
      </w:r>
      <w:r>
        <w:rPr>
          <w:rFonts w:ascii="Verdana" w:hAnsi="Verdana"/>
          <w:spacing w:val="-3"/>
        </w:rPr>
        <w:t>aprobó  </w:t>
      </w:r>
      <w:r>
        <w:rPr>
          <w:rFonts w:ascii="Verdana" w:hAnsi="Verdana"/>
        </w:rPr>
        <w:t>y  </w:t>
      </w:r>
      <w:r>
        <w:rPr>
          <w:rFonts w:ascii="Verdana" w:hAnsi="Verdana"/>
          <w:spacing w:val="-3"/>
        </w:rPr>
        <w:t>entro </w:t>
      </w:r>
      <w:r>
        <w:rPr>
          <w:rFonts w:ascii="Verdana" w:hAnsi="Verdana"/>
        </w:rPr>
        <w:t>en vigor a partir de febrero de este año el nuevo </w:t>
      </w:r>
      <w:r>
        <w:rPr>
          <w:rFonts w:ascii="Verdana" w:hAnsi="Verdana"/>
          <w:spacing w:val="-3"/>
        </w:rPr>
        <w:t>Reglamento Federal </w:t>
      </w:r>
      <w:r>
        <w:rPr>
          <w:rFonts w:ascii="Verdana" w:hAnsi="Verdana"/>
        </w:rPr>
        <w:t>de </w:t>
      </w:r>
      <w:r>
        <w:rPr>
          <w:rFonts w:ascii="Verdana" w:hAnsi="Verdana"/>
          <w:spacing w:val="-3"/>
        </w:rPr>
        <w:t>Salud </w:t>
      </w:r>
      <w:r>
        <w:rPr>
          <w:rFonts w:ascii="Verdana" w:hAnsi="Verdana"/>
        </w:rPr>
        <w:t>y </w:t>
      </w:r>
      <w:r>
        <w:rPr>
          <w:rFonts w:ascii="Verdana" w:hAnsi="Verdana"/>
          <w:spacing w:val="-3"/>
        </w:rPr>
        <w:t>Seguridad </w:t>
      </w:r>
      <w:r>
        <w:rPr>
          <w:rFonts w:ascii="Verdana" w:hAnsi="Verdana"/>
        </w:rPr>
        <w:t>en el </w:t>
      </w:r>
      <w:r>
        <w:rPr>
          <w:rFonts w:ascii="Verdana" w:hAnsi="Verdana"/>
          <w:spacing w:val="-3"/>
        </w:rPr>
        <w:t>Trabajo </w:t>
      </w:r>
      <w:r>
        <w:rPr>
          <w:rFonts w:ascii="Verdana" w:hAnsi="Verdana"/>
        </w:rPr>
        <w:t>que </w:t>
      </w:r>
      <w:r>
        <w:rPr>
          <w:rFonts w:ascii="Verdana" w:hAnsi="Verdana"/>
          <w:spacing w:val="-3"/>
        </w:rPr>
        <w:t>hace obligatorio, </w:t>
      </w:r>
      <w:r>
        <w:rPr>
          <w:rFonts w:ascii="Verdana" w:hAnsi="Verdana"/>
        </w:rPr>
        <w:t>en </w:t>
      </w:r>
      <w:r>
        <w:rPr>
          <w:rFonts w:ascii="Verdana" w:hAnsi="Verdana"/>
          <w:spacing w:val="-3"/>
        </w:rPr>
        <w:t>todas </w:t>
      </w:r>
      <w:r>
        <w:rPr>
          <w:rFonts w:ascii="Verdana" w:hAnsi="Verdana"/>
        </w:rPr>
        <w:t>las </w:t>
      </w:r>
      <w:r>
        <w:rPr>
          <w:rFonts w:ascii="Verdana" w:hAnsi="Verdana"/>
          <w:spacing w:val="-3"/>
        </w:rPr>
        <w:t>empresas, identificar, evaluar  </w:t>
      </w:r>
      <w:r>
        <w:rPr>
          <w:rFonts w:ascii="Verdana" w:hAnsi="Verdana"/>
        </w:rPr>
        <w:t>y </w:t>
      </w:r>
      <w:r>
        <w:rPr>
          <w:rFonts w:ascii="Verdana" w:hAnsi="Verdana"/>
          <w:spacing w:val="-3"/>
        </w:rPr>
        <w:t>controlar todos </w:t>
      </w:r>
      <w:r>
        <w:rPr>
          <w:rFonts w:ascii="Verdana" w:hAnsi="Verdana"/>
        </w:rPr>
        <w:t>los </w:t>
      </w:r>
      <w:r>
        <w:rPr>
          <w:rFonts w:ascii="Verdana" w:hAnsi="Verdana"/>
          <w:spacing w:val="-3"/>
        </w:rPr>
        <w:t>riesgos </w:t>
      </w:r>
      <w:r>
        <w:rPr>
          <w:rFonts w:ascii="Verdana" w:hAnsi="Verdana"/>
        </w:rPr>
        <w:t>de tipo </w:t>
      </w:r>
      <w:r>
        <w:rPr>
          <w:rFonts w:ascii="Verdana" w:hAnsi="Verdana"/>
          <w:spacing w:val="-3"/>
        </w:rPr>
        <w:t>ergonómico </w:t>
      </w:r>
      <w:r>
        <w:rPr>
          <w:rFonts w:ascii="Verdana" w:hAnsi="Verdana"/>
        </w:rPr>
        <w:t>que </w:t>
      </w:r>
      <w:r>
        <w:rPr>
          <w:rFonts w:ascii="Verdana" w:hAnsi="Verdana"/>
          <w:spacing w:val="-3"/>
        </w:rPr>
        <w:t>pudieran </w:t>
      </w:r>
      <w:r>
        <w:rPr>
          <w:rFonts w:ascii="Verdana" w:hAnsi="Verdana"/>
        </w:rPr>
        <w:t>estar </w:t>
      </w:r>
      <w:r>
        <w:rPr>
          <w:rFonts w:ascii="Verdana" w:hAnsi="Verdana"/>
          <w:spacing w:val="-3"/>
        </w:rPr>
        <w:t>presentes </w:t>
      </w:r>
      <w:r>
        <w:rPr>
          <w:rFonts w:ascii="Verdana" w:hAnsi="Verdana"/>
        </w:rPr>
        <w:t>en las </w:t>
      </w:r>
      <w:r>
        <w:rPr>
          <w:rFonts w:ascii="Verdana" w:hAnsi="Verdana"/>
          <w:spacing w:val="-3"/>
        </w:rPr>
        <w:t>estaciones </w:t>
      </w:r>
      <w:r>
        <w:rPr>
          <w:rFonts w:ascii="Verdana" w:hAnsi="Verdana"/>
        </w:rPr>
        <w:t>de </w:t>
      </w:r>
      <w:r>
        <w:rPr>
          <w:rFonts w:ascii="Verdana" w:hAnsi="Verdana"/>
          <w:spacing w:val="-3"/>
        </w:rPr>
        <w:t>trabajo. </w:t>
      </w:r>
      <w:r>
        <w:rPr>
          <w:rFonts w:ascii="Verdana" w:hAnsi="Verdana"/>
        </w:rPr>
        <w:t>Ahora el reto es </w:t>
      </w:r>
      <w:r>
        <w:rPr>
          <w:rFonts w:ascii="Verdana" w:hAnsi="Verdana"/>
          <w:spacing w:val="-3"/>
        </w:rPr>
        <w:t>diseñar </w:t>
      </w:r>
      <w:r>
        <w:rPr>
          <w:rFonts w:ascii="Verdana" w:hAnsi="Verdana"/>
        </w:rPr>
        <w:t>una </w:t>
      </w:r>
      <w:r>
        <w:rPr>
          <w:rFonts w:ascii="Verdana" w:hAnsi="Verdana"/>
          <w:spacing w:val="-3"/>
        </w:rPr>
        <w:t>norma </w:t>
      </w:r>
      <w:r>
        <w:rPr>
          <w:rFonts w:ascii="Verdana" w:hAnsi="Verdana"/>
        </w:rPr>
        <w:t>que </w:t>
      </w:r>
      <w:r>
        <w:rPr>
          <w:rFonts w:ascii="Verdana" w:hAnsi="Verdana"/>
          <w:spacing w:val="-3"/>
        </w:rPr>
        <w:t>permita </w:t>
      </w:r>
      <w:r>
        <w:rPr>
          <w:rFonts w:ascii="Verdana" w:hAnsi="Verdana"/>
        </w:rPr>
        <w:t>a los </w:t>
      </w:r>
      <w:r>
        <w:rPr>
          <w:rFonts w:ascii="Verdana" w:hAnsi="Verdana"/>
          <w:spacing w:val="-3"/>
        </w:rPr>
        <w:t>profesionales </w:t>
      </w:r>
      <w:r>
        <w:rPr>
          <w:rFonts w:ascii="Verdana" w:hAnsi="Verdana"/>
        </w:rPr>
        <w:t>de la </w:t>
      </w:r>
      <w:r>
        <w:rPr>
          <w:rFonts w:ascii="Verdana" w:hAnsi="Verdana"/>
          <w:spacing w:val="-3"/>
        </w:rPr>
        <w:t>Salud Laboral llevar </w:t>
      </w:r>
      <w:r>
        <w:rPr>
          <w:rFonts w:ascii="Verdana" w:hAnsi="Verdana"/>
        </w:rPr>
        <w:t>mas </w:t>
      </w:r>
      <w:r>
        <w:rPr>
          <w:rFonts w:ascii="Verdana" w:hAnsi="Verdana"/>
          <w:spacing w:val="-3"/>
        </w:rPr>
        <w:t>salud </w:t>
      </w:r>
      <w:r>
        <w:rPr>
          <w:rFonts w:ascii="Verdana" w:hAnsi="Verdana"/>
        </w:rPr>
        <w:t>y </w:t>
      </w:r>
      <w:r>
        <w:rPr>
          <w:rFonts w:ascii="Verdana" w:hAnsi="Verdana"/>
          <w:spacing w:val="-3"/>
        </w:rPr>
        <w:t>calidad </w:t>
      </w:r>
      <w:r>
        <w:rPr>
          <w:rFonts w:ascii="Verdana" w:hAnsi="Verdana"/>
        </w:rPr>
        <w:t>de vida a </w:t>
      </w:r>
      <w:r>
        <w:rPr>
          <w:rFonts w:ascii="Verdana" w:hAnsi="Verdana"/>
          <w:spacing w:val="-3"/>
        </w:rPr>
        <w:t>nuestros compañeros trabajadores..</w:t>
      </w:r>
    </w:p>
    <w:p>
      <w:pPr>
        <w:pStyle w:val="BodyText"/>
        <w:spacing w:before="12"/>
        <w:rPr>
          <w:rFonts w:ascii="Verdana"/>
          <w:sz w:val="19"/>
        </w:rPr>
      </w:pPr>
    </w:p>
    <w:p>
      <w:pPr>
        <w:pStyle w:val="BodyText"/>
        <w:ind w:left="105" w:right="182" w:firstLine="720"/>
        <w:jc w:val="both"/>
        <w:rPr>
          <w:rFonts w:ascii="Verdana" w:hAnsi="Verdana"/>
        </w:rPr>
      </w:pPr>
      <w:r>
        <w:rPr>
          <w:rFonts w:ascii="Verdana" w:hAnsi="Verdana"/>
        </w:rPr>
        <w:t>Se reúnen en este libro una selección de los trabajos, presentados en este congreso, más representativos de las diversas áreas que participan en la ergonomía, aportando diferentes investigaciones y soluciones a problemas específicos, con la finalidad de contribuir a la difusión, apoyo en la educación e investigación, de temas de interés para la ergonomía.</w:t>
      </w:r>
    </w:p>
    <w:p>
      <w:pPr>
        <w:pStyle w:val="BodyText"/>
        <w:spacing w:before="12"/>
        <w:rPr>
          <w:rFonts w:ascii="Verdana"/>
          <w:sz w:val="19"/>
        </w:rPr>
      </w:pPr>
    </w:p>
    <w:p>
      <w:pPr>
        <w:pStyle w:val="BodyText"/>
        <w:ind w:left="105" w:right="181" w:firstLine="720"/>
        <w:jc w:val="both"/>
        <w:rPr>
          <w:rFonts w:ascii="Verdana" w:hAnsi="Verdana"/>
        </w:rPr>
      </w:pPr>
      <w:r>
        <w:rPr>
          <w:rFonts w:ascii="Verdana" w:hAnsi="Verdana"/>
        </w:rPr>
        <w:t>Los editores, árbitros y comité académico, a nombre de la Sociedad de Ergonomistas de México, A.C., agradecemos a los autores de los trabajos aquí presentados su esfuerzo, e interés por participar y compartir su trabajo y conocimientos en el XVI Congreso Internacional de Ergonomía de SEMAC. También agradecemos a los participantes y asistentes, provenientes de muy diversos lugares y formaciones, así como a todo el equipo de organización de este congreso, su valiosa aportación que estamos seguros derivará en el avance de la ergonomía en las Instituciones de Educación Superior y en  la planta productiva nacional y mundial.</w:t>
      </w:r>
    </w:p>
    <w:p>
      <w:pPr>
        <w:pStyle w:val="BodyText"/>
        <w:rPr>
          <w:rFonts w:ascii="Verdana"/>
        </w:rPr>
      </w:pPr>
    </w:p>
    <w:p>
      <w:pPr>
        <w:pStyle w:val="BodyText"/>
        <w:rPr>
          <w:rFonts w:ascii="Verdana"/>
        </w:rPr>
      </w:pPr>
    </w:p>
    <w:p>
      <w:pPr>
        <w:pStyle w:val="BodyText"/>
        <w:spacing w:line="360" w:lineRule="auto" w:before="153"/>
        <w:ind w:left="3011" w:right="3016" w:hanging="3"/>
        <w:jc w:val="center"/>
        <w:rPr>
          <w:rFonts w:ascii="Verdana" w:hAnsi="Verdana"/>
        </w:rPr>
      </w:pPr>
      <w:r>
        <w:rPr>
          <w:rFonts w:ascii="Verdana" w:hAnsi="Verdana"/>
        </w:rPr>
        <w:t>Enrique de la Vega Bustillos Presidente SEMAC 2002 – 2004</w:t>
      </w:r>
    </w:p>
    <w:p>
      <w:pPr>
        <w:pStyle w:val="BodyText"/>
        <w:rPr>
          <w:rFonts w:ascii="Verdana"/>
        </w:rPr>
      </w:pPr>
    </w:p>
    <w:p>
      <w:pPr>
        <w:pStyle w:val="BodyText"/>
        <w:spacing w:before="122"/>
        <w:ind w:left="2132" w:right="2138"/>
        <w:jc w:val="center"/>
        <w:rPr>
          <w:rFonts w:ascii="Verdana" w:hAnsi="Verdana"/>
        </w:rPr>
      </w:pPr>
      <w:r>
        <w:rPr>
          <w:rFonts w:ascii="Verdana" w:hAnsi="Verdana"/>
        </w:rPr>
        <w:t>SOCIEDAD DE ERGONOMISTAS DE MÉXICO A.C.</w:t>
      </w:r>
    </w:p>
    <w:p>
      <w:pPr>
        <w:pStyle w:val="BodyText"/>
        <w:spacing w:line="357" w:lineRule="auto" w:before="121"/>
        <w:ind w:left="2849" w:right="2856"/>
        <w:jc w:val="center"/>
        <w:rPr>
          <w:rFonts w:ascii="Verdana" w:hAnsi="Verdana"/>
        </w:rPr>
      </w:pPr>
      <w:r>
        <w:rPr>
          <w:rFonts w:ascii="Verdana" w:hAnsi="Verdana"/>
        </w:rPr>
        <w:t>“Trabajo para optimizar el trabajo” Hermosillo, Sonora,  Abril de 2015</w:t>
      </w:r>
    </w:p>
    <w:p>
      <w:pPr>
        <w:spacing w:after="0" w:line="357" w:lineRule="auto"/>
        <w:jc w:val="center"/>
        <w:rPr>
          <w:rFonts w:ascii="Verdana" w:hAnsi="Verdana"/>
        </w:rPr>
        <w:sectPr>
          <w:pgSz w:w="12240" w:h="15840"/>
          <w:pgMar w:top="1380" w:bottom="280" w:left="1540" w:right="1480"/>
        </w:sectPr>
      </w:pPr>
    </w:p>
    <w:p>
      <w:pPr>
        <w:pStyle w:val="BodyText"/>
        <w:rPr>
          <w:rFonts w:ascii="Verdana"/>
        </w:rPr>
      </w:pPr>
    </w:p>
    <w:p>
      <w:pPr>
        <w:pStyle w:val="BodyText"/>
        <w:spacing w:before="8"/>
        <w:rPr>
          <w:rFonts w:ascii="Verdana"/>
          <w:sz w:val="18"/>
        </w:rPr>
      </w:pPr>
    </w:p>
    <w:p>
      <w:pPr>
        <w:spacing w:before="28"/>
        <w:ind w:left="0" w:right="265" w:firstLine="0"/>
        <w:jc w:val="center"/>
        <w:rPr>
          <w:rFonts w:ascii="Verdana"/>
          <w:b/>
          <w:sz w:val="40"/>
        </w:rPr>
      </w:pPr>
      <w:r>
        <w:rPr>
          <w:rFonts w:ascii="Verdana"/>
          <w:b/>
          <w:sz w:val="40"/>
        </w:rPr>
        <w:t>CONTENT</w:t>
      </w:r>
    </w:p>
    <w:p>
      <w:pPr>
        <w:pStyle w:val="BodyText"/>
        <w:rPr>
          <w:rFonts w:ascii="Verdana"/>
          <w:b/>
          <w:sz w:val="56"/>
        </w:rPr>
      </w:pPr>
    </w:p>
    <w:p>
      <w:pPr>
        <w:pStyle w:val="Heading1"/>
        <w:tabs>
          <w:tab w:pos="7755" w:val="left" w:leader="none"/>
        </w:tabs>
        <w:spacing w:before="1"/>
        <w:ind w:left="0" w:right="353"/>
        <w:jc w:val="center"/>
        <w:rPr>
          <w:rFonts w:ascii="Verdana"/>
        </w:rPr>
      </w:pPr>
      <w:r>
        <w:rPr>
          <w:rFonts w:ascii="Verdana"/>
        </w:rPr>
        <w:t>ENVIRONMENTAL</w:t>
      </w:r>
      <w:r>
        <w:rPr>
          <w:rFonts w:ascii="Verdana"/>
          <w:spacing w:val="-8"/>
        </w:rPr>
        <w:t> </w:t>
      </w:r>
      <w:r>
        <w:rPr>
          <w:rFonts w:ascii="Verdana"/>
        </w:rPr>
        <w:t>CONDITIONS</w:t>
        <w:tab/>
      </w:r>
      <w:r>
        <w:rPr>
          <w:rFonts w:ascii="Verdana"/>
          <w:spacing w:val="25"/>
        </w:rPr>
        <w:t>PAGE</w:t>
      </w:r>
      <w:r>
        <w:rPr>
          <w:rFonts w:ascii="Verdana"/>
          <w:spacing w:val="-48"/>
        </w:rPr>
        <w:t> </w:t>
      </w:r>
    </w:p>
    <w:p>
      <w:pPr>
        <w:pStyle w:val="BodyText"/>
        <w:spacing w:before="6"/>
        <w:rPr>
          <w:rFonts w:ascii="Verdana"/>
          <w:b/>
          <w:sz w:val="10"/>
        </w:rPr>
      </w:pPr>
    </w:p>
    <w:p>
      <w:pPr>
        <w:spacing w:after="0"/>
        <w:rPr>
          <w:rFonts w:ascii="Verdana"/>
          <w:sz w:val="10"/>
        </w:rPr>
        <w:sectPr>
          <w:headerReference w:type="default" r:id="rId5"/>
          <w:pgSz w:w="12240" w:h="15840"/>
          <w:pgMar w:header="729" w:footer="0" w:top="920" w:bottom="1510" w:left="1520" w:right="1520"/>
        </w:sectPr>
      </w:pPr>
    </w:p>
    <w:sdt>
      <w:sdtPr>
        <w:docPartObj>
          <w:docPartGallery w:val="Table of Contents"/>
          <w:docPartUnique/>
        </w:docPartObj>
      </w:sdtPr>
      <w:sdtEndPr/>
      <w:sdtContent>
        <w:p>
          <w:pPr>
            <w:pStyle w:val="TOC4"/>
            <w:tabs>
              <w:tab w:pos="8590" w:val="right" w:leader="none"/>
            </w:tabs>
            <w:spacing w:before="65"/>
            <w:ind w:left="252"/>
            <w:rPr>
              <w:b w:val="0"/>
            </w:rPr>
          </w:pPr>
          <w:r>
            <w:rPr>
              <w:color w:val="202020"/>
            </w:rPr>
            <w:t>METHOD FOR DESIGNING A</w:t>
          </w:r>
          <w:r>
            <w:rPr>
              <w:color w:val="202020"/>
              <w:spacing w:val="37"/>
            </w:rPr>
            <w:t> </w:t>
          </w:r>
          <w:r>
            <w:rPr>
              <w:color w:val="202020"/>
            </w:rPr>
            <w:t>COMPREHENSIVE</w:t>
          </w:r>
          <w:r>
            <w:rPr>
              <w:color w:val="202020"/>
              <w:spacing w:val="8"/>
            </w:rPr>
            <w:t> </w:t>
          </w:r>
          <w:r>
            <w:rPr>
              <w:color w:val="202020"/>
            </w:rPr>
            <w:t>EVALUATION</w:t>
          </w:r>
          <w:r>
            <w:rPr>
              <w:b w:val="0"/>
            </w:rPr>
            <w:tab/>
            <w:t>1</w:t>
          </w:r>
        </w:p>
        <w:p>
          <w:pPr>
            <w:pStyle w:val="TOC4"/>
            <w:ind w:left="252" w:right="2214"/>
            <w:jc w:val="both"/>
          </w:pPr>
          <w:r>
            <w:rPr>
              <w:color w:val="202020"/>
            </w:rPr>
            <w:t>OF ILLUMINATION CONDITIONS INTO WORKPLACE FOR DETECTION OF LUMINOUS PHENOMENA THAT AFFECT VISUAL COMFORT OF WORKERS</w:t>
          </w:r>
        </w:p>
        <w:p>
          <w:pPr>
            <w:pStyle w:val="TOC5"/>
            <w:ind w:left="252" w:right="2215"/>
            <w:jc w:val="both"/>
          </w:pPr>
          <w:r>
            <w:rPr>
              <w:color w:val="202020"/>
            </w:rPr>
            <w:t>Camilo José Patiño Rodríguez</w:t>
          </w:r>
          <w:r>
            <w:rPr/>
            <w:t>., </w:t>
          </w:r>
          <w:r>
            <w:rPr>
              <w:color w:val="202020"/>
            </w:rPr>
            <w:t>Jennifer Nataly Casallas León</w:t>
          </w:r>
          <w:r>
            <w:rPr/>
            <w:t>., </w:t>
          </w:r>
          <w:r>
            <w:rPr>
              <w:color w:val="202020"/>
            </w:rPr>
            <w:t>Jorge Andrés Cruz Laverde.</w:t>
          </w:r>
        </w:p>
        <w:p>
          <w:pPr>
            <w:pStyle w:val="TOC4"/>
            <w:tabs>
              <w:tab w:pos="8590" w:val="right" w:leader="none"/>
            </w:tabs>
            <w:spacing w:line="243" w:lineRule="exact" w:before="292"/>
            <w:ind w:left="252"/>
            <w:rPr>
              <w:b w:val="0"/>
            </w:rPr>
          </w:pPr>
          <w:r>
            <w:rPr/>
            <w:t>CHARACTERIZATION  AND  ANALYSIS  </w:t>
          </w:r>
          <w:r>
            <w:rPr>
              <w:spacing w:val="11"/>
            </w:rPr>
            <w:t> </w:t>
          </w:r>
          <w:r>
            <w:rPr/>
            <w:t>OF </w:t>
          </w:r>
          <w:r>
            <w:rPr>
              <w:spacing w:val="27"/>
            </w:rPr>
            <w:t> </w:t>
          </w:r>
          <w:r>
            <w:rPr/>
            <w:t>OCCUPATIONAL</w:t>
          </w:r>
          <w:r>
            <w:rPr>
              <w:b w:val="0"/>
            </w:rPr>
            <w:tab/>
            <w:t>4</w:t>
          </w:r>
        </w:p>
        <w:p>
          <w:pPr>
            <w:pStyle w:val="TOC4"/>
            <w:ind w:left="252" w:right="2214"/>
            <w:jc w:val="both"/>
            <w:rPr>
              <w:b w:val="0"/>
            </w:rPr>
          </w:pPr>
          <w:r>
            <w:rPr/>
            <w:t>HAZARD IN THE DESIGN OF JOBS IN SMALL AND MEDIUM- SIZED METAL-MECHANIC INDUSTRY IN NAVOJOA,  SONORA</w:t>
          </w:r>
          <w:r>
            <w:rPr>
              <w:b w:val="0"/>
            </w:rPr>
            <w:t>.</w:t>
          </w:r>
        </w:p>
        <w:p>
          <w:pPr>
            <w:pStyle w:val="TOC5"/>
            <w:ind w:left="252"/>
          </w:pPr>
          <w:r>
            <w:rPr/>
            <w:t>Nydia Guadalupe Ortega Zazueta, Mauricio López Acosta, Jesús Enrique Sánchez Padilla</w:t>
          </w:r>
        </w:p>
        <w:p>
          <w:pPr>
            <w:pStyle w:val="TOC1"/>
          </w:pPr>
          <w:r>
            <w:rPr/>
            <w:t>INDUSTRIAL DESIGN</w:t>
          </w:r>
        </w:p>
        <w:p>
          <w:pPr>
            <w:pStyle w:val="TOC4"/>
            <w:tabs>
              <w:tab w:pos="1550" w:val="left" w:leader="none"/>
              <w:tab w:pos="3776" w:val="left" w:leader="none"/>
              <w:tab w:pos="5611" w:val="left" w:leader="none"/>
              <w:tab w:pos="6508" w:val="left" w:leader="none"/>
              <w:tab w:pos="8651" w:val="right" w:leader="none"/>
            </w:tabs>
            <w:spacing w:before="192"/>
            <w:rPr>
              <w:b w:val="0"/>
            </w:rPr>
          </w:pPr>
          <w:r>
            <w:rPr/>
            <w:t>DESIGN</w:t>
            <w:tab/>
            <w:t>MULTIPURPOSE</w:t>
            <w:tab/>
            <w:t>CLASSROOM</w:t>
            <w:tab/>
            <w:t>FOR</w:t>
            <w:tab/>
            <w:t>THE</w:t>
          </w:r>
          <w:r>
            <w:rPr>
              <w:b w:val="0"/>
            </w:rPr>
            <w:tab/>
            <w:t>11</w:t>
          </w:r>
        </w:p>
        <w:p>
          <w:pPr>
            <w:pStyle w:val="TOC4"/>
            <w:ind w:right="2247"/>
            <w:jc w:val="both"/>
          </w:pPr>
          <w:r>
            <w:rPr/>
            <w:t>DEVELOPMENT OF SPORT CLASSES OF CHILDREN WITH MULTIPLE DISABILITIES.</w:t>
          </w:r>
        </w:p>
        <w:p>
          <w:pPr>
            <w:pStyle w:val="TOC5"/>
            <w:ind w:right="2248"/>
            <w:jc w:val="both"/>
          </w:pPr>
          <w:r>
            <w:rPr/>
            <w:t>Héctor Manuel-Trinidad Valderrama A., Gabriela Penélope-Luna Ávila B., María Magdalena-González Torres C., Elena Margarita- Ochoa Chaidez D., John A.-Rey Galindo E.</w:t>
          </w:r>
        </w:p>
        <w:p>
          <w:pPr>
            <w:pStyle w:val="TOC4"/>
            <w:tabs>
              <w:tab w:pos="8651" w:val="right" w:leader="none"/>
            </w:tabs>
            <w:spacing w:line="243" w:lineRule="exact" w:before="195"/>
            <w:rPr>
              <w:b w:val="0"/>
            </w:rPr>
          </w:pPr>
          <w:hyperlink w:history="true" w:anchor="_TOC_250002">
            <w:r>
              <w:rPr/>
              <w:t>ERGONOMICS IN THE DESIGN OF</w:t>
            </w:r>
            <w:r>
              <w:rPr>
                <w:spacing w:val="-7"/>
              </w:rPr>
              <w:t> </w:t>
            </w:r>
            <w:r>
              <w:rPr/>
              <w:t>A</w:t>
            </w:r>
            <w:r>
              <w:rPr>
                <w:spacing w:val="-2"/>
              </w:rPr>
              <w:t> </w:t>
            </w:r>
            <w:r>
              <w:rPr/>
              <w:t>CLASSROOM</w:t>
            </w:r>
            <w:r>
              <w:rPr>
                <w:b w:val="0"/>
              </w:rPr>
              <w:tab/>
              <w:t>14</w:t>
            </w:r>
          </w:hyperlink>
        </w:p>
        <w:p>
          <w:pPr>
            <w:pStyle w:val="TOC5"/>
            <w:ind w:right="2442"/>
          </w:pPr>
          <w:r>
            <w:rPr/>
            <w:t>Raymundo Ocaña Delgado, Argelia Monserrat Rodríguez Leonel, Francisco Platas López, Jorge E. Zarur Cortes</w:t>
          </w:r>
        </w:p>
        <w:p>
          <w:pPr>
            <w:pStyle w:val="TOC6"/>
            <w:tabs>
              <w:tab w:pos="8651" w:val="right" w:leader="none"/>
            </w:tabs>
            <w:rPr>
              <w:b w:val="0"/>
              <w:i w:val="0"/>
              <w:sz w:val="20"/>
            </w:rPr>
          </w:pPr>
          <w:r>
            <w:rPr>
              <w:i w:val="0"/>
              <w:sz w:val="20"/>
            </w:rPr>
            <w:t>ERGOBAST</w:t>
          </w:r>
          <w:r>
            <w:rPr>
              <w:b w:val="0"/>
              <w:i w:val="0"/>
              <w:sz w:val="20"/>
            </w:rPr>
            <w:tab/>
            <w:t>19</w:t>
          </w:r>
        </w:p>
        <w:p>
          <w:pPr>
            <w:pStyle w:val="TOC5"/>
            <w:ind w:right="2946"/>
            <w:jc w:val="both"/>
          </w:pPr>
          <w:r>
            <w:rPr/>
            <w:t>Jimena Badilla Jiménez, Lucia Del Carmen Cubillas Galindo, Cinthia Janeth Mange Ruiz, Joaquín Vásquez Quiroga, Mario Gómez Quesada</w:t>
          </w:r>
        </w:p>
        <w:p>
          <w:pPr>
            <w:pStyle w:val="TOC4"/>
            <w:tabs>
              <w:tab w:pos="8651" w:val="right" w:leader="none"/>
            </w:tabs>
            <w:spacing w:line="243" w:lineRule="exact" w:before="195"/>
            <w:rPr>
              <w:b w:val="0"/>
            </w:rPr>
          </w:pPr>
          <w:r>
            <w:rPr/>
            <w:t>POSTURE ANALYSIS OF BAMBOO ARTISANS AS A</w:t>
          </w:r>
          <w:r>
            <w:rPr>
              <w:spacing w:val="49"/>
            </w:rPr>
            <w:t> </w:t>
          </w:r>
          <w:r>
            <w:rPr/>
            <w:t>BASIS</w:t>
          </w:r>
          <w:r>
            <w:rPr>
              <w:spacing w:val="6"/>
            </w:rPr>
            <w:t> </w:t>
          </w:r>
          <w:r>
            <w:rPr/>
            <w:t>TO</w:t>
          </w:r>
          <w:r>
            <w:rPr>
              <w:b w:val="0"/>
            </w:rPr>
            <w:tab/>
            <w:t>23</w:t>
          </w:r>
        </w:p>
        <w:p>
          <w:pPr>
            <w:pStyle w:val="TOC4"/>
            <w:spacing w:line="243" w:lineRule="exact"/>
          </w:pPr>
          <w:r>
            <w:rPr/>
            <w:t>DESIGN A WORKBENCH.</w:t>
          </w:r>
        </w:p>
        <w:p>
          <w:pPr>
            <w:pStyle w:val="TOC5"/>
            <w:ind w:right="0"/>
          </w:pPr>
          <w:r>
            <w:rPr/>
            <w:t>Ma. Fernanda Gutiérrez Torres</w:t>
          </w:r>
        </w:p>
        <w:p>
          <w:pPr>
            <w:pStyle w:val="TOC4"/>
            <w:tabs>
              <w:tab w:pos="1988" w:val="left" w:leader="none"/>
              <w:tab w:pos="2709" w:val="left" w:leader="none"/>
              <w:tab w:pos="4537" w:val="left" w:leader="none"/>
              <w:tab w:pos="6196" w:val="left" w:leader="none"/>
              <w:tab w:pos="8651" w:val="right" w:leader="none"/>
            </w:tabs>
            <w:spacing w:before="193"/>
            <w:rPr>
              <w:b w:val="0"/>
            </w:rPr>
          </w:pPr>
          <w:r>
            <w:rPr/>
            <w:t>PROTOTYPE</w:t>
            <w:tab/>
            <w:t>OF</w:t>
            <w:tab/>
            <w:t>ERGONOMIC</w:t>
            <w:tab/>
            <w:t>KEYBOARD</w:t>
            <w:tab/>
            <w:t>WITH</w:t>
          </w:r>
          <w:r>
            <w:rPr>
              <w:b w:val="0"/>
            </w:rPr>
            <w:tab/>
            <w:t>25</w:t>
          </w:r>
        </w:p>
        <w:p>
          <w:pPr>
            <w:pStyle w:val="TOC4"/>
            <w:spacing w:line="243" w:lineRule="exact"/>
            <w:jc w:val="both"/>
          </w:pPr>
          <w:r>
            <w:rPr/>
            <w:t>INTEGRATED MOUSE.</w:t>
          </w:r>
        </w:p>
        <w:p>
          <w:pPr>
            <w:pStyle w:val="TOC5"/>
            <w:ind w:right="2247"/>
            <w:jc w:val="both"/>
          </w:pPr>
          <w:r>
            <w:rPr/>
            <w:t>Alberto Ramírez Leyva, Carlos Enrique Flores Apodaca, Karina Luna Soto, Jesús Guadalupe Chávez Ahumada,  Salvador  Francisco Lugo</w:t>
          </w:r>
          <w:r>
            <w:rPr>
              <w:spacing w:val="-13"/>
            </w:rPr>
            <w:t> </w:t>
          </w:r>
          <w:r>
            <w:rPr/>
            <w:t>Urías</w:t>
          </w:r>
        </w:p>
        <w:p>
          <w:pPr>
            <w:pStyle w:val="TOC4"/>
            <w:tabs>
              <w:tab w:pos="8651" w:val="right" w:leader="none"/>
            </w:tabs>
            <w:spacing w:before="193"/>
            <w:rPr>
              <w:b w:val="0"/>
            </w:rPr>
          </w:pPr>
          <w:r>
            <w:rPr/>
            <w:t>DESIGNING URBAN PARK UNDER THE</w:t>
          </w:r>
          <w:r>
            <w:rPr>
              <w:spacing w:val="-7"/>
            </w:rPr>
            <w:t> </w:t>
          </w:r>
          <w:r>
            <w:rPr/>
            <w:t>APPROACH</w:t>
          </w:r>
          <w:r>
            <w:rPr>
              <w:spacing w:val="-3"/>
            </w:rPr>
            <w:t> </w:t>
          </w:r>
          <w:r>
            <w:rPr/>
            <w:t>OF</w:t>
          </w:r>
          <w:r>
            <w:rPr>
              <w:b w:val="0"/>
            </w:rPr>
            <w:tab/>
            <w:t>31</w:t>
          </w:r>
        </w:p>
        <w:p>
          <w:pPr>
            <w:pStyle w:val="TOC4"/>
            <w:spacing w:line="243" w:lineRule="exact"/>
          </w:pPr>
          <w:r>
            <w:rPr/>
            <w:t>INTEGRAL SOCIAL SERVICE.</w:t>
          </w:r>
        </w:p>
        <w:p>
          <w:pPr>
            <w:pStyle w:val="TOC5"/>
          </w:pPr>
          <w:r>
            <w:rPr/>
            <w:t>Diana Yaneth Hernández Cadena, Ydiel Antonio Boyzo Lopez, Francisco Javier Prado Hernández</w:t>
          </w:r>
        </w:p>
        <w:p>
          <w:pPr>
            <w:pStyle w:val="TOC1"/>
            <w:spacing w:before="759"/>
          </w:pPr>
          <w:r>
            <w:rPr/>
            <w:t>COGNITIVE ERGONOMICS</w:t>
          </w:r>
        </w:p>
        <w:p>
          <w:pPr>
            <w:pStyle w:val="TOC2"/>
            <w:tabs>
              <w:tab w:pos="8656" w:val="right" w:leader="none"/>
            </w:tabs>
            <w:spacing w:before="289"/>
            <w:rPr>
              <w:b w:val="0"/>
            </w:rPr>
          </w:pPr>
          <w:r>
            <w:rPr/>
            <w:t>HIERARCHICAL TASK ANALYSIS AND</w:t>
          </w:r>
          <w:r>
            <w:rPr>
              <w:spacing w:val="-3"/>
            </w:rPr>
            <w:t> </w:t>
          </w:r>
          <w:r>
            <w:rPr/>
            <w:t>MENTAL</w:t>
          </w:r>
          <w:r>
            <w:rPr>
              <w:spacing w:val="-1"/>
            </w:rPr>
            <w:t> </w:t>
          </w:r>
          <w:r>
            <w:rPr/>
            <w:t>WORKLOAD</w:t>
          </w:r>
          <w:r>
            <w:rPr>
              <w:b w:val="0"/>
            </w:rPr>
            <w:tab/>
            <w:t>37</w:t>
          </w:r>
        </w:p>
        <w:p>
          <w:pPr>
            <w:pStyle w:val="TOC2"/>
            <w:spacing w:line="240" w:lineRule="auto"/>
            <w:ind w:right="2442"/>
          </w:pPr>
          <w:r>
            <w:rPr/>
            <w:t>ASSESSMENT IN A CLINICAL ANALYSIS LABORATORY OF A PRIVATE HOSPITAL IN JUÁREZ CITY</w:t>
          </w:r>
        </w:p>
        <w:p>
          <w:pPr>
            <w:pStyle w:val="TOC3"/>
            <w:ind w:right="2287"/>
          </w:pPr>
          <w:r>
            <w:rPr/>
            <w:t>Pamela Bustamante Sáenz, Natalia López Hernández, Aidé Maldonado Macías, Jorge Luis García Alcaraz, Juan Luis Hernández.</w:t>
          </w:r>
        </w:p>
        <w:p>
          <w:pPr>
            <w:pStyle w:val="TOC2"/>
            <w:tabs>
              <w:tab w:pos="8656" w:val="right" w:leader="none"/>
            </w:tabs>
            <w:spacing w:line="240" w:lineRule="auto" w:before="243"/>
            <w:rPr>
              <w:b w:val="0"/>
            </w:rPr>
          </w:pPr>
          <w:r>
            <w:rPr/>
            <w:t>ENVIRONMENTAL ELEMENTS OF </w:t>
          </w:r>
          <w:r>
            <w:rPr>
              <w:spacing w:val="14"/>
            </w:rPr>
            <w:t> </w:t>
          </w:r>
          <w:r>
            <w:rPr/>
            <w:t>SITUATIONAL</w:t>
          </w:r>
          <w:r>
            <w:rPr>
              <w:spacing w:val="26"/>
            </w:rPr>
            <w:t> </w:t>
          </w:r>
          <w:r>
            <w:rPr/>
            <w:t>AWARENESS</w:t>
          </w:r>
          <w:r>
            <w:rPr>
              <w:b w:val="0"/>
            </w:rPr>
            <w:tab/>
            <w:t>41</w:t>
          </w:r>
        </w:p>
        <w:p>
          <w:pPr>
            <w:pStyle w:val="TOC2"/>
          </w:pPr>
          <w:r>
            <w:rPr/>
            <w:t>IN INCIDENT MANAGEMENT AT MAJOR EVENTS</w:t>
          </w:r>
        </w:p>
        <w:p>
          <w:pPr>
            <w:pStyle w:val="TOC3"/>
            <w:spacing w:line="243" w:lineRule="exact"/>
          </w:pPr>
          <w:r>
            <w:rPr/>
            <w:t>Hernandez-Escobedo Guadalupe; Allen, David; Alan Pearman</w:t>
          </w:r>
        </w:p>
        <w:p>
          <w:pPr>
            <w:pStyle w:val="TOC1"/>
            <w:spacing w:before="536"/>
          </w:pPr>
          <w:r>
            <w:rPr/>
            <w:t>INDUSTRIAL ERGONOMICS</w:t>
          </w:r>
        </w:p>
        <w:p>
          <w:pPr>
            <w:pStyle w:val="TOC2"/>
            <w:tabs>
              <w:tab w:pos="1555" w:val="left" w:leader="none"/>
              <w:tab w:pos="2147" w:val="left" w:leader="none"/>
              <w:tab w:pos="3989" w:val="left" w:leader="none"/>
              <w:tab w:pos="4560" w:val="left" w:leader="none"/>
              <w:tab w:pos="6143" w:val="left" w:leader="none"/>
              <w:tab w:pos="8656" w:val="right" w:leader="none"/>
            </w:tabs>
            <w:spacing w:before="291"/>
            <w:rPr>
              <w:b w:val="0"/>
            </w:rPr>
          </w:pPr>
          <w:r>
            <w:rPr/>
            <w:t>ANALYSIS</w:t>
            <w:tab/>
            <w:t>OF</w:t>
            <w:tab/>
            <w:t>ERGONOMICS</w:t>
            <w:tab/>
            <w:t>IN</w:t>
            <w:tab/>
            <w:t>PURIFYING</w:t>
            <w:tab/>
            <w:t>WATER</w:t>
          </w:r>
          <w:r>
            <w:rPr>
              <w:b w:val="0"/>
            </w:rPr>
            <w:tab/>
            <w:t>47</w:t>
          </w:r>
        </w:p>
        <w:p>
          <w:pPr>
            <w:pStyle w:val="TOC2"/>
          </w:pPr>
          <w:r>
            <w:rPr/>
            <w:t>ASSESSMENT.</w:t>
          </w:r>
        </w:p>
        <w:p>
          <w:pPr>
            <w:pStyle w:val="TOC3"/>
            <w:ind w:right="2287"/>
          </w:pPr>
          <w:r>
            <w:rPr/>
            <w:t>Erik Isa Martínez Gonzálezi, Ana Laura Pompa Sosa, Raquel Muñoz Hernández.</w:t>
          </w:r>
        </w:p>
        <w:p>
          <w:pPr>
            <w:pStyle w:val="TOC2"/>
            <w:tabs>
              <w:tab w:pos="2249" w:val="left" w:leader="none"/>
              <w:tab w:pos="3917" w:val="left" w:leader="none"/>
              <w:tab w:pos="4737" w:val="left" w:leader="none"/>
              <w:tab w:pos="8655" w:val="right" w:leader="none"/>
            </w:tabs>
            <w:spacing w:line="240" w:lineRule="auto" w:before="243"/>
            <w:rPr>
              <w:b w:val="0"/>
            </w:rPr>
          </w:pPr>
          <w:r>
            <w:rPr>
              <w:color w:val="212121"/>
            </w:rPr>
            <w:t>MULTICAUSAL</w:t>
            <w:tab/>
            <w:t>ANALYSIS</w:t>
            <w:tab/>
          </w:r>
          <w:r>
            <w:rPr/>
            <w:t>OF</w:t>
            <w:tab/>
          </w:r>
          <w:r>
            <w:rPr>
              <w:color w:val="212121"/>
            </w:rPr>
            <w:t>MUSCULOSKELETAL</w:t>
          </w:r>
          <w:r>
            <w:rPr>
              <w:b w:val="0"/>
            </w:rPr>
            <w:tab/>
            <w:t>50</w:t>
          </w:r>
        </w:p>
        <w:p>
          <w:pPr>
            <w:pStyle w:val="TOC2"/>
            <w:tabs>
              <w:tab w:pos="1686" w:val="left" w:leader="none"/>
              <w:tab w:pos="2190" w:val="left" w:leader="none"/>
              <w:tab w:pos="3947" w:val="left" w:leader="none"/>
              <w:tab w:pos="5208" w:val="left" w:leader="none"/>
              <w:tab w:pos="6071" w:val="left" w:leader="none"/>
            </w:tabs>
            <w:spacing w:line="240" w:lineRule="auto"/>
            <w:ind w:right="2244"/>
          </w:pPr>
          <w:r>
            <w:rPr>
              <w:color w:val="212121"/>
            </w:rPr>
            <w:t>DISORDERS</w:t>
            <w:tab/>
            <w:t>IN</w:t>
            <w:tab/>
            <w:t>PRODUCTION</w:t>
            <w:tab/>
            <w:t>SYSTEMS</w:t>
            <w:tab/>
            <w:t>WITH</w:t>
            <w:tab/>
          </w:r>
          <w:r>
            <w:rPr>
              <w:color w:val="212121"/>
              <w:spacing w:val="-1"/>
            </w:rPr>
            <w:t>ONLINE </w:t>
          </w:r>
          <w:r>
            <w:rPr>
              <w:color w:val="212121"/>
            </w:rPr>
            <w:t>FLOWS</w:t>
          </w:r>
        </w:p>
        <w:p>
          <w:pPr>
            <w:pStyle w:val="TOC3"/>
            <w:ind w:right="2530"/>
          </w:pPr>
          <w:r>
            <w:rPr/>
            <w:t>Lamberto Vázquez Veloz, Daniel Laborin Hurtado, Román López Millanes, Cristian Ramírez Martínez.</w:t>
          </w:r>
        </w:p>
        <w:p>
          <w:pPr>
            <w:pStyle w:val="TOC2"/>
            <w:tabs>
              <w:tab w:pos="8655" w:val="right" w:leader="none"/>
            </w:tabs>
            <w:spacing w:before="243"/>
            <w:rPr>
              <w:b w:val="0"/>
            </w:rPr>
          </w:pPr>
          <w:hyperlink w:history="true" w:anchor="_TOC_250001">
            <w:r>
              <w:rPr/>
              <w:t>STUDY ON ERGONOMIC RISK</w:t>
            </w:r>
            <w:r>
              <w:rPr>
                <w:spacing w:val="-5"/>
              </w:rPr>
              <w:t> </w:t>
            </w:r>
            <w:r>
              <w:rPr/>
              <w:t>FORKLIFT</w:t>
            </w:r>
            <w:r>
              <w:rPr>
                <w:spacing w:val="-3"/>
              </w:rPr>
              <w:t> </w:t>
            </w:r>
            <w:r>
              <w:rPr/>
              <w:t>OPERATORS</w:t>
            </w:r>
            <w:r>
              <w:rPr>
                <w:b w:val="0"/>
                <w:color w:val="212121"/>
              </w:rPr>
              <w:t>.</w:t>
            </w:r>
            <w:r>
              <w:rPr>
                <w:b w:val="0"/>
              </w:rPr>
              <w:tab/>
              <w:t>52</w:t>
            </w:r>
          </w:hyperlink>
        </w:p>
        <w:p>
          <w:pPr>
            <w:pStyle w:val="TOC3"/>
            <w:spacing w:line="243" w:lineRule="exact"/>
          </w:pPr>
          <w:r>
            <w:rPr/>
            <w:t>Karen Oviedo Peña,  Ricardo González Jiménez, Saúl Rangel Lara</w:t>
          </w:r>
        </w:p>
        <w:p>
          <w:pPr>
            <w:pStyle w:val="TOC2"/>
            <w:tabs>
              <w:tab w:pos="2089" w:val="left" w:leader="none"/>
              <w:tab w:pos="2774" w:val="left" w:leader="none"/>
              <w:tab w:pos="4151" w:val="left" w:leader="none"/>
              <w:tab w:pos="5352" w:val="left" w:leader="none"/>
              <w:tab w:pos="5720" w:val="left" w:leader="none"/>
              <w:tab w:pos="6541" w:val="left" w:leader="none"/>
              <w:tab w:pos="8655" w:val="right" w:leader="none"/>
            </w:tabs>
            <w:spacing w:line="240" w:lineRule="auto" w:before="243"/>
            <w:rPr>
              <w:b w:val="0"/>
            </w:rPr>
          </w:pPr>
          <w:r>
            <w:rPr/>
            <w:t>METHODOLOGY</w:t>
            <w:tab/>
            <w:t>FOR</w:t>
            <w:tab/>
            <w:t>ANALYSIS</w:t>
            <w:tab/>
            <w:t>BENEFIT</w:t>
            <w:tab/>
            <w:t>/</w:t>
            <w:tab/>
            <w:t>COST</w:t>
            <w:tab/>
            <w:t>OF</w:t>
          </w:r>
          <w:r>
            <w:rPr>
              <w:b w:val="0"/>
            </w:rPr>
            <w:tab/>
            <w:t>57</w:t>
          </w:r>
        </w:p>
        <w:p>
          <w:pPr>
            <w:pStyle w:val="TOC2"/>
          </w:pPr>
          <w:r>
            <w:rPr/>
            <w:t>ERGONOMICS PROJECTS: A STUDY CASE.</w:t>
          </w:r>
        </w:p>
        <w:p>
          <w:pPr>
            <w:pStyle w:val="TOC3"/>
            <w:ind w:right="2344"/>
          </w:pPr>
          <w:r>
            <w:rPr/>
            <w:t>Luis Armando Valdez, José Alfredo Leyva Astorga, Alberto Ramírez Leyva, Ilse Alejandra Fierro Rodríguez</w:t>
          </w:r>
        </w:p>
        <w:p>
          <w:pPr>
            <w:pStyle w:val="TOC2"/>
            <w:tabs>
              <w:tab w:pos="8655" w:val="right" w:leader="none"/>
            </w:tabs>
            <w:rPr>
              <w:b w:val="0"/>
            </w:rPr>
          </w:pPr>
          <w:r>
            <w:rPr/>
            <w:t>ERGONOMIC   ANALYSIS   METHOD   BASED   ON </w:t>
          </w:r>
          <w:r>
            <w:rPr>
              <w:spacing w:val="27"/>
            </w:rPr>
            <w:t> </w:t>
          </w:r>
          <w:r>
            <w:rPr/>
            <w:t>REBA </w:t>
          </w:r>
          <w:r>
            <w:rPr>
              <w:spacing w:val="58"/>
            </w:rPr>
            <w:t> </w:t>
          </w:r>
          <w:r>
            <w:rPr/>
            <w:t>AN</w:t>
          </w:r>
          <w:r>
            <w:rPr>
              <w:b w:val="0"/>
            </w:rPr>
            <w:tab/>
            <w:t>63</w:t>
          </w:r>
        </w:p>
        <w:p>
          <w:pPr>
            <w:pStyle w:val="TOC2"/>
          </w:pPr>
          <w:r>
            <w:rPr/>
            <w:t>ELECTRONICS COMPANY</w:t>
          </w:r>
        </w:p>
        <w:p>
          <w:pPr>
            <w:pStyle w:val="TOC3"/>
            <w:ind w:right="2530"/>
          </w:pPr>
          <w:r>
            <w:rPr/>
            <w:t>Jose Emanuel Mazon Sauceda, Mauricio López Acosta, Allan Chacara Montes, Luis Carlos Montiel Rodríguez</w:t>
          </w:r>
        </w:p>
        <w:p>
          <w:pPr>
            <w:pStyle w:val="TOC2"/>
            <w:tabs>
              <w:tab w:pos="8656" w:val="right" w:leader="none"/>
            </w:tabs>
            <w:spacing w:line="240" w:lineRule="auto" w:before="222"/>
            <w:rPr>
              <w:b w:val="0"/>
            </w:rPr>
          </w:pPr>
          <w:r>
            <w:rPr/>
            <w:t>ERGONOMIC   ANALYSIS   OF   EVALUATION   IN </w:t>
          </w:r>
          <w:r>
            <w:rPr>
              <w:spacing w:val="16"/>
            </w:rPr>
            <w:t> </w:t>
          </w:r>
          <w:r>
            <w:rPr/>
            <w:t>A </w:t>
          </w:r>
          <w:r>
            <w:rPr>
              <w:spacing w:val="57"/>
            </w:rPr>
            <w:t> </w:t>
          </w:r>
          <w:r>
            <w:rPr/>
            <w:t>SOLDER</w:t>
          </w:r>
          <w:r>
            <w:rPr>
              <w:b w:val="0"/>
            </w:rPr>
            <w:tab/>
            <w:t>68</w:t>
          </w:r>
        </w:p>
        <w:p>
          <w:pPr>
            <w:pStyle w:val="TOC2"/>
          </w:pPr>
          <w:r>
            <w:rPr/>
            <w:t>WORKSHOP USING THE METHOD REBA</w:t>
          </w:r>
        </w:p>
        <w:p>
          <w:pPr>
            <w:pStyle w:val="TOC3"/>
            <w:ind w:right="2353"/>
          </w:pPr>
          <w:r>
            <w:rPr/>
            <w:t>Juan Heberto Valenzuela Contreras, Luis Carlos Montiel Rodríguez, Mauricio López Acosta, Allan Chacara Montes</w:t>
          </w:r>
        </w:p>
        <w:p>
          <w:pPr>
            <w:pStyle w:val="TOC2"/>
            <w:tabs>
              <w:tab w:pos="8656" w:val="right" w:leader="none"/>
            </w:tabs>
            <w:spacing w:before="243"/>
            <w:rPr>
              <w:b w:val="0"/>
            </w:rPr>
          </w:pPr>
          <w:r>
            <w:rPr/>
            <w:t>ANALYSIS AND REDESIGN OF WORKSTATION</w:t>
          </w:r>
          <w:r>
            <w:rPr>
              <w:spacing w:val="-6"/>
            </w:rPr>
            <w:t> </w:t>
          </w:r>
          <w:r>
            <w:rPr/>
            <w:t>IN TURNING</w:t>
          </w:r>
          <w:r>
            <w:rPr>
              <w:b w:val="0"/>
            </w:rPr>
            <w:tab/>
            <w:t>75</w:t>
          </w:r>
        </w:p>
        <w:p>
          <w:pPr>
            <w:pStyle w:val="TOC2"/>
            <w:spacing w:line="240" w:lineRule="auto"/>
            <w:ind w:right="3322"/>
          </w:pPr>
          <w:r>
            <w:rPr/>
            <w:t>BRAKE AND TIRE BALANCING TO ERGONOMICALLY IMPROVE THEIR OPERATION</w:t>
          </w:r>
        </w:p>
        <w:p>
          <w:pPr>
            <w:pStyle w:val="TOC3"/>
            <w:ind w:right="2530"/>
          </w:pPr>
          <w:r>
            <w:rPr/>
            <w:t>Rigoberto Zamora Alarcón, Víctor Nuño Moreno, Edson Pérez Noyola, José Mario Pérez Talamantes</w:t>
          </w:r>
        </w:p>
        <w:p>
          <w:pPr>
            <w:pStyle w:val="TOC2"/>
            <w:tabs>
              <w:tab w:pos="8656" w:val="right" w:leader="none"/>
            </w:tabs>
            <w:spacing w:line="240" w:lineRule="auto" w:before="243"/>
            <w:rPr>
              <w:b w:val="0"/>
            </w:rPr>
          </w:pPr>
          <w:r>
            <w:rPr/>
            <w:t>AN ERGONOMIC STUDY OF A  </w:t>
          </w:r>
          <w:r>
            <w:rPr>
              <w:spacing w:val="27"/>
            </w:rPr>
            <w:t> </w:t>
          </w:r>
          <w:r>
            <w:rPr/>
            <w:t>FOOTWEAR</w:t>
          </w:r>
          <w:r>
            <w:rPr>
              <w:spacing w:val="31"/>
            </w:rPr>
            <w:t> </w:t>
          </w:r>
          <w:r>
            <w:rPr/>
            <w:t>MANUFACTURING</w:t>
          </w:r>
          <w:r>
            <w:rPr>
              <w:b w:val="0"/>
            </w:rPr>
            <w:tab/>
            <w:t>82</w:t>
          </w:r>
        </w:p>
        <w:p>
          <w:pPr>
            <w:pStyle w:val="TOC2"/>
          </w:pPr>
          <w:r>
            <w:rPr/>
            <w:t>COMPANY</w:t>
          </w:r>
        </w:p>
        <w:p>
          <w:pPr>
            <w:pStyle w:val="TOC3"/>
            <w:spacing w:line="243" w:lineRule="exact"/>
          </w:pPr>
          <w:r>
            <w:rPr/>
            <w:t>Alejandra Alicia Silva Moreno, Abraham Vallejo Villa</w:t>
          </w:r>
        </w:p>
        <w:p>
          <w:pPr>
            <w:pStyle w:val="TOC2"/>
            <w:tabs>
              <w:tab w:pos="8656" w:val="right" w:leader="none"/>
            </w:tabs>
            <w:spacing w:line="240" w:lineRule="auto" w:before="243"/>
            <w:rPr>
              <w:b w:val="0"/>
            </w:rPr>
          </w:pPr>
          <w:r>
            <w:rPr/>
            <w:t>EVALUATION OF POSITIONS IN THE AREA </w:t>
          </w:r>
          <w:r>
            <w:rPr>
              <w:spacing w:val="39"/>
            </w:rPr>
            <w:t> </w:t>
          </w:r>
          <w:r>
            <w:rPr/>
            <w:t>OF</w:t>
          </w:r>
          <w:r>
            <w:rPr>
              <w:spacing w:val="18"/>
            </w:rPr>
            <w:t> </w:t>
          </w:r>
          <w:r>
            <w:rPr/>
            <w:t>PRODUCTION</w:t>
          </w:r>
          <w:r>
            <w:rPr>
              <w:b w:val="0"/>
            </w:rPr>
            <w:tab/>
            <w:t>84</w:t>
          </w:r>
        </w:p>
        <w:p>
          <w:pPr>
            <w:pStyle w:val="TOC2"/>
          </w:pPr>
          <w:r>
            <w:rPr/>
            <w:t>OF LENSES BY RULA.</w:t>
          </w:r>
        </w:p>
        <w:p>
          <w:pPr>
            <w:pStyle w:val="TOC3"/>
            <w:spacing w:line="243" w:lineRule="exact"/>
          </w:pPr>
          <w:r>
            <w:rPr/>
            <w:t>Ramón Addel López Félix</w:t>
          </w:r>
        </w:p>
        <w:p>
          <w:pPr>
            <w:pStyle w:val="TOC2"/>
            <w:tabs>
              <w:tab w:pos="1386" w:val="left" w:leader="none"/>
              <w:tab w:pos="1955" w:val="left" w:leader="none"/>
              <w:tab w:pos="3580" w:val="left" w:leader="none"/>
              <w:tab w:pos="4148" w:val="left" w:leader="none"/>
              <w:tab w:pos="4858" w:val="left" w:leader="none"/>
              <w:tab w:pos="6653" w:val="left" w:leader="none"/>
              <w:tab w:pos="8656" w:val="right" w:leader="none"/>
            </w:tabs>
            <w:spacing w:before="244"/>
            <w:rPr>
              <w:b w:val="0"/>
            </w:rPr>
          </w:pPr>
          <w:r>
            <w:rPr/>
            <w:t>PROJECT</w:t>
            <w:tab/>
            <w:t>OF</w:t>
            <w:tab/>
            <w:t>EQUIPMENT</w:t>
            <w:tab/>
            <w:t>OF</w:t>
            <w:tab/>
            <w:t>THE</w:t>
            <w:tab/>
            <w:t>LABORATORY</w:t>
            <w:tab/>
            <w:t>OF</w:t>
          </w:r>
          <w:r>
            <w:rPr>
              <w:b w:val="0"/>
            </w:rPr>
            <w:tab/>
            <w:t>90</w:t>
          </w:r>
        </w:p>
        <w:p>
          <w:pPr>
            <w:pStyle w:val="TOC2"/>
            <w:spacing w:line="240" w:lineRule="auto"/>
            <w:ind w:right="2936"/>
          </w:pPr>
          <w:r>
            <w:rPr/>
            <w:t>ANTHROPOMETRY, ERGONOMICS AND BIOMECHANICS UABC-FCQI-LAEB-104</w:t>
          </w:r>
        </w:p>
        <w:p>
          <w:pPr>
            <w:pStyle w:val="TOC3"/>
            <w:ind w:right="2244"/>
            <w:jc w:val="both"/>
          </w:pPr>
          <w:r>
            <w:rPr/>
            <w:t>María Jose López Ávila, Ciara Leilani Villaseñor Ochoa, Juan Andres López Barreras, Jesús Everardo Olguín Tiznado, Claudia Camargo Wilson</w:t>
          </w:r>
        </w:p>
        <w:p>
          <w:pPr>
            <w:pStyle w:val="TOC1"/>
            <w:spacing w:before="829"/>
          </w:pPr>
          <w:r>
            <w:rPr/>
            <w:t>OCCUPATIONAL ERGONOMICS</w:t>
          </w:r>
        </w:p>
        <w:p>
          <w:pPr>
            <w:pStyle w:val="TOC2"/>
            <w:tabs>
              <w:tab w:pos="8590" w:val="right" w:leader="none"/>
            </w:tabs>
            <w:spacing w:before="289"/>
            <w:rPr>
              <w:b w:val="0"/>
            </w:rPr>
          </w:pPr>
          <w:hyperlink w:history="true" w:anchor="_TOC_250000">
            <w:r>
              <w:rPr/>
              <w:t>THE ERGONOMICS</w:t>
            </w:r>
            <w:r>
              <w:rPr>
                <w:spacing w:val="-2"/>
              </w:rPr>
              <w:t> </w:t>
            </w:r>
            <w:r>
              <w:rPr/>
              <w:t>BUILDING</w:t>
            </w:r>
            <w:r>
              <w:rPr>
                <w:spacing w:val="-3"/>
              </w:rPr>
              <w:t> </w:t>
            </w:r>
            <w:r>
              <w:rPr/>
              <w:t>MAINTENANCE</w:t>
            </w:r>
            <w:r>
              <w:rPr>
                <w:b w:val="0"/>
              </w:rPr>
              <w:tab/>
              <w:t>95</w:t>
            </w:r>
          </w:hyperlink>
        </w:p>
        <w:p>
          <w:pPr>
            <w:pStyle w:val="TOC3"/>
            <w:ind w:right="2530"/>
          </w:pPr>
          <w:r>
            <w:rPr/>
            <w:t>Bertha Leticia Ortiz Návar, Nelva Angélica Romero Rodríguez, Sergio Iván Hernández Ruíz</w:t>
          </w:r>
        </w:p>
        <w:p>
          <w:pPr>
            <w:pStyle w:val="TOC2"/>
            <w:tabs>
              <w:tab w:pos="8590" w:val="right" w:leader="none"/>
            </w:tabs>
            <w:spacing w:before="243"/>
            <w:rPr>
              <w:b w:val="0"/>
            </w:rPr>
          </w:pPr>
          <w:r>
            <w:rPr/>
            <w:t>ERGONOMIC  RISK  ASSESSMENT  IN  JOBS </w:t>
          </w:r>
          <w:r>
            <w:rPr>
              <w:spacing w:val="65"/>
            </w:rPr>
            <w:t> </w:t>
          </w:r>
          <w:r>
            <w:rPr/>
            <w:t>THROUGH </w:t>
          </w:r>
          <w:r>
            <w:rPr>
              <w:spacing w:val="13"/>
            </w:rPr>
            <w:t> </w:t>
          </w:r>
          <w:r>
            <w:rPr/>
            <w:t>THE</w:t>
          </w:r>
          <w:r>
            <w:rPr>
              <w:b w:val="0"/>
            </w:rPr>
            <w:tab/>
            <w:t>99</w:t>
          </w:r>
        </w:p>
      </w:sdtContent>
    </w:sdt>
    <w:p>
      <w:pPr>
        <w:spacing w:after="0"/>
        <w:sectPr>
          <w:type w:val="continuous"/>
          <w:pgSz w:w="12240" w:h="15840"/>
          <w:pgMar w:top="929" w:bottom="1510" w:left="1520" w:right="1520"/>
        </w:sectPr>
      </w:pPr>
    </w:p>
    <w:p>
      <w:pPr>
        <w:pStyle w:val="Heading4"/>
        <w:spacing w:line="243" w:lineRule="exact"/>
        <w:ind w:left="115"/>
        <w:jc w:val="left"/>
        <w:rPr>
          <w:rFonts w:ascii="Verdana"/>
        </w:rPr>
      </w:pPr>
      <w:r>
        <w:rPr>
          <w:rFonts w:ascii="Verdana"/>
        </w:rPr>
        <w:t>METHOD OWAS</w:t>
      </w:r>
    </w:p>
    <w:p>
      <w:pPr>
        <w:pStyle w:val="BodyText"/>
        <w:ind w:left="115" w:right="2530"/>
        <w:rPr>
          <w:rFonts w:ascii="Verdana" w:hAnsi="Verdana"/>
        </w:rPr>
      </w:pPr>
      <w:r>
        <w:rPr>
          <w:rFonts w:ascii="Verdana" w:hAnsi="Verdana"/>
        </w:rPr>
        <w:t>Anel Abril Parra Cota, Mauricio López Acosta, Jorge Guadalupe Mendoza León</w:t>
      </w:r>
    </w:p>
    <w:p>
      <w:pPr>
        <w:spacing w:after="0"/>
        <w:rPr>
          <w:rFonts w:ascii="Verdana" w:hAnsi="Verdana"/>
        </w:rPr>
        <w:sectPr>
          <w:type w:val="continuous"/>
          <w:pgSz w:w="12240" w:h="15840"/>
          <w:pgMar w:top="920" w:bottom="280" w:left="1520" w:right="1520"/>
        </w:sectPr>
      </w:pPr>
    </w:p>
    <w:p>
      <w:pPr>
        <w:pStyle w:val="Heading4"/>
        <w:spacing w:before="243"/>
        <w:ind w:left="115" w:right="62"/>
        <w:jc w:val="left"/>
        <w:rPr>
          <w:rFonts w:ascii="Verdana"/>
        </w:rPr>
      </w:pPr>
      <w:r>
        <w:rPr>
          <w:rFonts w:ascii="Verdana"/>
        </w:rPr>
        <w:t>RISK ASSESSMENT USING THE RULA METHOD IN THE PROCESS OF INGROWN NAILS FOR WATER PUMP</w:t>
      </w:r>
    </w:p>
    <w:p>
      <w:pPr>
        <w:pStyle w:val="BodyText"/>
        <w:ind w:left="115" w:right="62"/>
        <w:rPr>
          <w:rFonts w:ascii="Verdana" w:hAnsi="Verdana"/>
        </w:rPr>
      </w:pPr>
      <w:r>
        <w:rPr>
          <w:rFonts w:ascii="Verdana" w:hAnsi="Verdana"/>
        </w:rPr>
        <w:t>Alexia Cecilia Anaya Flores, Mauricio López Acosta, Lizette Marcela Rodriguez Moncayo, Jesus Enrique Sánchez Padilla</w:t>
      </w:r>
    </w:p>
    <w:p>
      <w:pPr>
        <w:spacing w:before="243"/>
        <w:ind w:left="115" w:right="0" w:firstLine="0"/>
        <w:jc w:val="left"/>
        <w:rPr>
          <w:rFonts w:ascii="Verdana"/>
          <w:sz w:val="20"/>
        </w:rPr>
      </w:pPr>
      <w:r>
        <w:rPr/>
        <w:br w:type="column"/>
      </w:r>
      <w:r>
        <w:rPr>
          <w:rFonts w:ascii="Verdana"/>
          <w:sz w:val="20"/>
        </w:rPr>
        <w:t>105</w:t>
      </w:r>
    </w:p>
    <w:p>
      <w:pPr>
        <w:spacing w:after="0"/>
        <w:jc w:val="left"/>
        <w:rPr>
          <w:rFonts w:ascii="Verdana"/>
          <w:sz w:val="20"/>
        </w:rPr>
        <w:sectPr>
          <w:type w:val="continuous"/>
          <w:pgSz w:w="12240" w:h="15840"/>
          <w:pgMar w:top="1500" w:bottom="280" w:left="1520" w:right="1520"/>
          <w:cols w:num="2" w:equalWidth="0">
            <w:col w:w="6902" w:space="1191"/>
            <w:col w:w="1107"/>
          </w:cols>
        </w:sectPr>
      </w:pPr>
    </w:p>
    <w:p>
      <w:pPr>
        <w:pStyle w:val="Heading4"/>
        <w:spacing w:before="243"/>
        <w:ind w:left="115" w:right="58"/>
        <w:jc w:val="left"/>
        <w:rPr>
          <w:rFonts w:ascii="Verdana"/>
        </w:rPr>
      </w:pPr>
      <w:r>
        <w:rPr>
          <w:rFonts w:ascii="Verdana"/>
        </w:rPr>
        <w:t>A REVIEW OF THE ERGONOMIC VARIABLES CONSIDERED IN THE ADOPTION AND USE OF SMART PHONES.</w:t>
      </w:r>
    </w:p>
    <w:p>
      <w:pPr>
        <w:pStyle w:val="BodyText"/>
        <w:ind w:left="115" w:right="58"/>
        <w:rPr>
          <w:rFonts w:ascii="Verdana" w:hAnsi="Verdana"/>
        </w:rPr>
      </w:pPr>
      <w:r>
        <w:rPr>
          <w:rFonts w:ascii="Verdana" w:hAnsi="Verdana"/>
        </w:rPr>
        <w:t>Edith Ivonne Martínez Salazar, Juana Esmeralda Castillo Hernández, Jorge Alberto Gálvez Choy, Valeria Treviño Rodríguez</w:t>
      </w:r>
    </w:p>
    <w:p>
      <w:pPr>
        <w:spacing w:before="243"/>
        <w:ind w:left="115" w:right="0" w:firstLine="0"/>
        <w:jc w:val="left"/>
        <w:rPr>
          <w:rFonts w:ascii="Verdana"/>
          <w:sz w:val="20"/>
        </w:rPr>
      </w:pPr>
      <w:r>
        <w:rPr/>
        <w:br w:type="column"/>
      </w:r>
      <w:r>
        <w:rPr>
          <w:rFonts w:ascii="Verdana"/>
          <w:sz w:val="20"/>
        </w:rPr>
        <w:t>112</w:t>
      </w:r>
    </w:p>
    <w:p>
      <w:pPr>
        <w:spacing w:after="0"/>
        <w:jc w:val="left"/>
        <w:rPr>
          <w:rFonts w:ascii="Verdana"/>
          <w:sz w:val="20"/>
        </w:rPr>
        <w:sectPr>
          <w:type w:val="continuous"/>
          <w:pgSz w:w="12240" w:h="15840"/>
          <w:pgMar w:top="1500" w:bottom="280" w:left="1520" w:right="1520"/>
          <w:cols w:num="2" w:equalWidth="0">
            <w:col w:w="6790" w:space="1303"/>
            <w:col w:w="1107"/>
          </w:cols>
        </w:sectPr>
      </w:pPr>
    </w:p>
    <w:p>
      <w:pPr>
        <w:pStyle w:val="Heading4"/>
        <w:spacing w:before="222"/>
        <w:ind w:left="115"/>
        <w:rPr>
          <w:rFonts w:ascii="Verdana"/>
        </w:rPr>
      </w:pPr>
      <w:r>
        <w:rPr>
          <w:rFonts w:ascii="Verdana"/>
        </w:rPr>
        <w:t>RECOMMENDATION TO IMPROVE THE MULTIPLIERS OF JOB STRAIN INDEX</w:t>
      </w:r>
    </w:p>
    <w:p>
      <w:pPr>
        <w:pStyle w:val="BodyText"/>
        <w:ind w:left="115"/>
        <w:jc w:val="both"/>
        <w:rPr>
          <w:rFonts w:ascii="Verdana" w:hAnsi="Verdana"/>
        </w:rPr>
      </w:pPr>
      <w:r>
        <w:rPr>
          <w:rFonts w:ascii="Verdana" w:hAnsi="Verdana"/>
        </w:rPr>
        <w:t>Pedro Wriu Valenzuela; Lucero García Alvarado; Maricela Yépez Hernández; Luis Gracia González; Perla García Picazo; Rosendo Alvarado Carrillo.</w:t>
      </w:r>
    </w:p>
    <w:p>
      <w:pPr>
        <w:spacing w:before="222"/>
        <w:ind w:left="115" w:right="0" w:firstLine="0"/>
        <w:jc w:val="left"/>
        <w:rPr>
          <w:rFonts w:ascii="Verdana"/>
          <w:sz w:val="20"/>
        </w:rPr>
      </w:pPr>
      <w:r>
        <w:rPr/>
        <w:br w:type="column"/>
      </w:r>
      <w:r>
        <w:rPr>
          <w:rFonts w:ascii="Verdana"/>
          <w:sz w:val="20"/>
        </w:rPr>
        <w:t>117</w:t>
      </w:r>
    </w:p>
    <w:p>
      <w:pPr>
        <w:spacing w:after="0"/>
        <w:jc w:val="left"/>
        <w:rPr>
          <w:rFonts w:ascii="Verdana"/>
          <w:sz w:val="20"/>
        </w:rPr>
        <w:sectPr>
          <w:pgSz w:w="12240" w:h="15840"/>
          <w:pgMar w:header="729" w:footer="0" w:top="920" w:bottom="280" w:left="1520" w:right="1520"/>
          <w:cols w:num="2" w:equalWidth="0">
            <w:col w:w="6904" w:space="1188"/>
            <w:col w:w="1108"/>
          </w:cols>
        </w:sectPr>
      </w:pPr>
    </w:p>
    <w:p>
      <w:pPr>
        <w:pStyle w:val="Heading4"/>
        <w:spacing w:before="243"/>
        <w:ind w:left="115" w:right="-9"/>
        <w:jc w:val="left"/>
        <w:rPr>
          <w:rFonts w:ascii="Verdana"/>
        </w:rPr>
      </w:pPr>
      <w:r>
        <w:rPr>
          <w:rFonts w:ascii="Verdana"/>
        </w:rPr>
        <w:t>ERGONOMIC EVALUATION IN A COMPANY OF METAL- MECHANICAL SECTOR BY MEANS OF RULA METHOD AND NIOSH EQUATION</w:t>
      </w:r>
    </w:p>
    <w:p>
      <w:pPr>
        <w:pStyle w:val="BodyText"/>
        <w:ind w:left="115" w:right="-18"/>
        <w:rPr>
          <w:rFonts w:ascii="Verdana" w:hAnsi="Verdana"/>
        </w:rPr>
      </w:pPr>
      <w:r>
        <w:rPr>
          <w:rFonts w:ascii="Verdana" w:hAnsi="Verdana"/>
        </w:rPr>
        <w:t>Alma Carolina Ross Uribe, Mauricio López Acosta, Ramón René Palacio Cinco, Rubén Varela Campos, Aarón Fernando Quirós Morales.</w:t>
      </w:r>
    </w:p>
    <w:p>
      <w:pPr>
        <w:spacing w:before="243"/>
        <w:ind w:left="115" w:right="0" w:firstLine="0"/>
        <w:jc w:val="left"/>
        <w:rPr>
          <w:rFonts w:ascii="Verdana"/>
          <w:sz w:val="20"/>
        </w:rPr>
      </w:pPr>
      <w:r>
        <w:rPr/>
        <w:br w:type="column"/>
      </w:r>
      <w:r>
        <w:rPr>
          <w:rFonts w:ascii="Verdana"/>
          <w:sz w:val="20"/>
        </w:rPr>
        <w:t>119</w:t>
      </w:r>
    </w:p>
    <w:p>
      <w:pPr>
        <w:spacing w:after="0"/>
        <w:jc w:val="left"/>
        <w:rPr>
          <w:rFonts w:ascii="Verdana"/>
          <w:sz w:val="20"/>
        </w:rPr>
        <w:sectPr>
          <w:type w:val="continuous"/>
          <w:pgSz w:w="12240" w:h="15840"/>
          <w:pgMar w:top="1500" w:bottom="280" w:left="1520" w:right="1520"/>
          <w:cols w:num="2" w:equalWidth="0">
            <w:col w:w="6442" w:space="1650"/>
            <w:col w:w="1108"/>
          </w:cols>
        </w:sectPr>
      </w:pPr>
    </w:p>
    <w:p>
      <w:pPr>
        <w:pStyle w:val="Heading4"/>
        <w:spacing w:before="243"/>
        <w:ind w:left="115" w:right="541"/>
        <w:jc w:val="left"/>
        <w:rPr>
          <w:rFonts w:ascii="Verdana"/>
        </w:rPr>
      </w:pPr>
      <w:r>
        <w:rPr>
          <w:rFonts w:ascii="Verdana"/>
        </w:rPr>
        <w:t>OWAS APPLICATION OF THE METHOD TO ANALYZE THE ASSESSMENTS CHARGED TO A WORKER IN A COOLER COMPANY</w:t>
      </w:r>
    </w:p>
    <w:p>
      <w:pPr>
        <w:pStyle w:val="BodyText"/>
        <w:ind w:left="115" w:right="541"/>
        <w:rPr>
          <w:rFonts w:ascii="Verdana" w:hAnsi="Verdana"/>
        </w:rPr>
      </w:pPr>
      <w:r>
        <w:rPr>
          <w:rFonts w:ascii="Verdana" w:hAnsi="Verdana"/>
        </w:rPr>
        <w:t>Aradith Soto Buitimea, Mauricio López Acosta, Rubén Varela Campos, Cecilia Aurora Murillo Félix</w:t>
      </w:r>
    </w:p>
    <w:p>
      <w:pPr>
        <w:spacing w:before="243"/>
        <w:ind w:left="115" w:right="0" w:firstLine="0"/>
        <w:jc w:val="left"/>
        <w:rPr>
          <w:rFonts w:ascii="Verdana"/>
          <w:sz w:val="20"/>
        </w:rPr>
      </w:pPr>
      <w:r>
        <w:rPr/>
        <w:br w:type="column"/>
      </w:r>
      <w:r>
        <w:rPr>
          <w:rFonts w:ascii="Verdana"/>
          <w:sz w:val="20"/>
        </w:rPr>
        <w:t>128</w:t>
      </w:r>
    </w:p>
    <w:p>
      <w:pPr>
        <w:spacing w:after="0"/>
        <w:jc w:val="left"/>
        <w:rPr>
          <w:rFonts w:ascii="Verdana"/>
          <w:sz w:val="20"/>
        </w:rPr>
        <w:sectPr>
          <w:type w:val="continuous"/>
          <w:pgSz w:w="12240" w:h="15840"/>
          <w:pgMar w:top="1500" w:bottom="280" w:left="1520" w:right="1520"/>
          <w:cols w:num="2" w:equalWidth="0">
            <w:col w:w="6901" w:space="1192"/>
            <w:col w:w="1107"/>
          </w:cols>
        </w:sectPr>
      </w:pPr>
    </w:p>
    <w:p>
      <w:pPr>
        <w:pStyle w:val="Heading4"/>
        <w:spacing w:before="244"/>
        <w:ind w:left="115"/>
        <w:rPr>
          <w:rFonts w:ascii="Verdana"/>
        </w:rPr>
      </w:pPr>
      <w:r>
        <w:rPr>
          <w:rFonts w:ascii="Verdana"/>
        </w:rPr>
        <w:t>PILOT STUDY FOR THE EVALUATION OF ERGONOMICS RISKS FACTORS AND PRESENCE OF MUSCULOSKELETAL SYMPTOMS IN DOCTORS AND RESIDENTS WITH SPECIALIZATION IN ECHOGRAPHY</w:t>
      </w:r>
    </w:p>
    <w:p>
      <w:pPr>
        <w:pStyle w:val="BodyText"/>
        <w:ind w:left="115"/>
        <w:jc w:val="both"/>
        <w:rPr>
          <w:rFonts w:ascii="Verdana" w:hAnsi="Verdana"/>
        </w:rPr>
      </w:pPr>
      <w:r>
        <w:rPr>
          <w:rFonts w:ascii="Verdana" w:hAnsi="Verdana"/>
        </w:rPr>
        <w:t>Elena Margarita Ochoa Chaidez, Elvia Luz González Muñoz</w:t>
      </w:r>
    </w:p>
    <w:p>
      <w:pPr>
        <w:spacing w:before="244"/>
        <w:ind w:left="115" w:right="0" w:firstLine="0"/>
        <w:jc w:val="left"/>
        <w:rPr>
          <w:rFonts w:ascii="Verdana"/>
          <w:sz w:val="20"/>
        </w:rPr>
      </w:pPr>
      <w:r>
        <w:rPr/>
        <w:br w:type="column"/>
      </w:r>
      <w:r>
        <w:rPr>
          <w:rFonts w:ascii="Verdana"/>
          <w:sz w:val="20"/>
        </w:rPr>
        <w:t>135</w:t>
      </w:r>
    </w:p>
    <w:p>
      <w:pPr>
        <w:spacing w:after="0"/>
        <w:jc w:val="left"/>
        <w:rPr>
          <w:rFonts w:ascii="Verdana"/>
          <w:sz w:val="20"/>
        </w:rPr>
        <w:sectPr>
          <w:type w:val="continuous"/>
          <w:pgSz w:w="12240" w:h="15840"/>
          <w:pgMar w:top="1500" w:bottom="280" w:left="1520" w:right="1520"/>
          <w:cols w:num="2" w:equalWidth="0">
            <w:col w:w="6792" w:space="1301"/>
            <w:col w:w="1107"/>
          </w:cols>
        </w:sectPr>
      </w:pPr>
    </w:p>
    <w:p>
      <w:pPr>
        <w:pStyle w:val="Heading4"/>
        <w:spacing w:before="243"/>
        <w:ind w:left="115" w:right="217"/>
        <w:jc w:val="left"/>
        <w:rPr>
          <w:rFonts w:ascii="Verdana"/>
        </w:rPr>
      </w:pPr>
      <w:r>
        <w:rPr>
          <w:rFonts w:ascii="Verdana"/>
        </w:rPr>
        <w:t>ERGONOMIC RISK FACTORS PRESENT AT THE WORKSTATION OF LAPAROSCOPIC SURGEONS. CASE STUDY.</w:t>
      </w:r>
    </w:p>
    <w:p>
      <w:pPr>
        <w:pStyle w:val="BodyText"/>
        <w:ind w:left="115" w:right="-19"/>
        <w:rPr>
          <w:rFonts w:ascii="Verdana" w:hAnsi="Verdana"/>
          <w:i/>
        </w:rPr>
      </w:pPr>
      <w:r>
        <w:rPr>
          <w:rFonts w:ascii="Verdana" w:hAnsi="Verdana"/>
        </w:rPr>
        <w:t>Lilian del Carmen Jurado Vázquez, Elvia Luz González Muñoz</w:t>
      </w:r>
      <w:r>
        <w:rPr>
          <w:rFonts w:ascii="Verdana" w:hAnsi="Verdana"/>
          <w:i/>
        </w:rPr>
        <w:t>.</w:t>
      </w:r>
    </w:p>
    <w:p>
      <w:pPr>
        <w:spacing w:before="243"/>
        <w:ind w:left="115" w:right="0" w:firstLine="0"/>
        <w:jc w:val="left"/>
        <w:rPr>
          <w:rFonts w:ascii="Verdana"/>
          <w:sz w:val="20"/>
        </w:rPr>
      </w:pPr>
      <w:r>
        <w:rPr/>
        <w:br w:type="column"/>
      </w:r>
      <w:r>
        <w:rPr>
          <w:rFonts w:ascii="Verdana"/>
          <w:sz w:val="20"/>
        </w:rPr>
        <w:t>139</w:t>
      </w:r>
    </w:p>
    <w:p>
      <w:pPr>
        <w:spacing w:after="0"/>
        <w:jc w:val="left"/>
        <w:rPr>
          <w:rFonts w:ascii="Verdana"/>
          <w:sz w:val="20"/>
        </w:rPr>
        <w:sectPr>
          <w:type w:val="continuous"/>
          <w:pgSz w:w="12240" w:h="15840"/>
          <w:pgMar w:top="1500" w:bottom="280" w:left="1520" w:right="1520"/>
          <w:cols w:num="2" w:equalWidth="0">
            <w:col w:w="6311" w:space="1781"/>
            <w:col w:w="1108"/>
          </w:cols>
        </w:sectPr>
      </w:pPr>
    </w:p>
    <w:p>
      <w:pPr>
        <w:pStyle w:val="Heading4"/>
        <w:spacing w:before="243"/>
        <w:ind w:left="115"/>
        <w:rPr>
          <w:rFonts w:ascii="Verdana" w:hAnsi="Verdana"/>
        </w:rPr>
      </w:pPr>
      <w:r>
        <w:rPr>
          <w:rFonts w:ascii="Verdana" w:hAnsi="Verdana"/>
        </w:rPr>
        <w:t>IDENTIFICATION OF CERVICAL MUSCULOSKELETAL DISORDERS ASSOCIATED WITH DENTAL PRACTICE OF TEACHERS AND STUDENTS OF THE CLINIC OF A HIGHER EDUCATION INSTITUTION, BOGOTÁ, DC 2014</w:t>
      </w:r>
    </w:p>
    <w:p>
      <w:pPr>
        <w:pStyle w:val="BodyText"/>
        <w:ind w:left="115"/>
        <w:jc w:val="both"/>
        <w:rPr>
          <w:rFonts w:ascii="Verdana" w:hAnsi="Verdana"/>
        </w:rPr>
      </w:pPr>
      <w:r>
        <w:rPr>
          <w:rFonts w:ascii="Verdana" w:hAnsi="Verdana"/>
        </w:rPr>
        <w:t>Luz Ángela Téllez Chavarro, Brigitte Arévalo Tovar, María Lucila Cubillos Mariño, Patricia Velásquez Uribe.</w:t>
      </w:r>
    </w:p>
    <w:p>
      <w:pPr>
        <w:spacing w:before="243"/>
        <w:ind w:left="115" w:right="0" w:firstLine="0"/>
        <w:jc w:val="left"/>
        <w:rPr>
          <w:rFonts w:ascii="Verdana"/>
          <w:sz w:val="20"/>
        </w:rPr>
      </w:pPr>
      <w:r>
        <w:rPr/>
        <w:br w:type="column"/>
      </w:r>
      <w:r>
        <w:rPr>
          <w:rFonts w:ascii="Verdana"/>
          <w:sz w:val="20"/>
        </w:rPr>
        <w:t>143</w:t>
      </w:r>
    </w:p>
    <w:p>
      <w:pPr>
        <w:spacing w:after="0"/>
        <w:jc w:val="left"/>
        <w:rPr>
          <w:rFonts w:ascii="Verdana"/>
          <w:sz w:val="20"/>
        </w:rPr>
        <w:sectPr>
          <w:type w:val="continuous"/>
          <w:pgSz w:w="12240" w:h="15840"/>
          <w:pgMar w:top="1500" w:bottom="280" w:left="1520" w:right="1520"/>
          <w:cols w:num="2" w:equalWidth="0">
            <w:col w:w="6902" w:space="1191"/>
            <w:col w:w="1107"/>
          </w:cols>
        </w:sectPr>
      </w:pPr>
    </w:p>
    <w:p>
      <w:pPr>
        <w:pStyle w:val="Heading4"/>
        <w:spacing w:before="244"/>
        <w:ind w:left="115"/>
        <w:rPr>
          <w:rFonts w:ascii="Verdana"/>
        </w:rPr>
      </w:pPr>
      <w:r>
        <w:rPr>
          <w:rFonts w:ascii="Verdana"/>
        </w:rPr>
        <w:t>ERGONOMIC EVALUATION, BY RULA-METHOD FOR THE OPTIMIZATION OF A WORKSTATION.</w:t>
      </w:r>
    </w:p>
    <w:p>
      <w:pPr>
        <w:pStyle w:val="BodyText"/>
        <w:ind w:left="115"/>
        <w:jc w:val="both"/>
        <w:rPr>
          <w:rFonts w:ascii="Verdana" w:hAnsi="Verdana"/>
        </w:rPr>
      </w:pPr>
      <w:r>
        <w:rPr>
          <w:rFonts w:ascii="Verdana" w:hAnsi="Verdana"/>
        </w:rPr>
        <w:t>Jaime Guadalupe Pérez Muñoz, María Eugenia Lazcano Herrero, Marbella Muñiz Sánchez, Felipe Martínez Vargas, Mayra Islas Galicia.</w:t>
      </w:r>
    </w:p>
    <w:p>
      <w:pPr>
        <w:spacing w:before="244"/>
        <w:ind w:left="115" w:right="0" w:firstLine="0"/>
        <w:jc w:val="left"/>
        <w:rPr>
          <w:rFonts w:ascii="Verdana"/>
          <w:sz w:val="20"/>
        </w:rPr>
      </w:pPr>
      <w:r>
        <w:rPr/>
        <w:br w:type="column"/>
      </w:r>
      <w:r>
        <w:rPr>
          <w:rFonts w:ascii="Verdana"/>
          <w:sz w:val="20"/>
        </w:rPr>
        <w:t>151</w:t>
      </w:r>
    </w:p>
    <w:p>
      <w:pPr>
        <w:spacing w:after="0"/>
        <w:jc w:val="left"/>
        <w:rPr>
          <w:rFonts w:ascii="Verdana"/>
          <w:sz w:val="20"/>
        </w:rPr>
        <w:sectPr>
          <w:type w:val="continuous"/>
          <w:pgSz w:w="12240" w:h="15840"/>
          <w:pgMar w:top="1500" w:bottom="280" w:left="1520" w:right="1520"/>
          <w:cols w:num="2" w:equalWidth="0">
            <w:col w:w="6905" w:space="1188"/>
            <w:col w:w="1107"/>
          </w:cols>
        </w:sectPr>
      </w:pPr>
    </w:p>
    <w:p>
      <w:pPr>
        <w:pStyle w:val="Heading4"/>
        <w:spacing w:before="243"/>
        <w:ind w:left="115"/>
        <w:jc w:val="left"/>
        <w:rPr>
          <w:rFonts w:ascii="Verdana"/>
        </w:rPr>
      </w:pPr>
      <w:r>
        <w:rPr>
          <w:rFonts w:ascii="Verdana"/>
        </w:rPr>
        <w:t>MUSCULOSKELETAL RISK EVALUATION IN PLASTIC ART TASKS: PAINTERS, SCULPTORS AND ENGRAVERS</w:t>
      </w:r>
    </w:p>
    <w:p>
      <w:pPr>
        <w:pStyle w:val="BodyText"/>
        <w:ind w:left="115" w:right="145"/>
        <w:rPr>
          <w:rFonts w:ascii="Verdana" w:hAnsi="Verdana"/>
        </w:rPr>
      </w:pPr>
      <w:r>
        <w:rPr>
          <w:rFonts w:ascii="Verdana" w:hAnsi="Verdana"/>
        </w:rPr>
        <w:t>Patricia Eugenia Sortillón González, María Guadalupe Alpuche Cruz,  José Manuel Ochoa de la Torre, Irene Marincic Lovriha</w:t>
      </w:r>
    </w:p>
    <w:p>
      <w:pPr>
        <w:spacing w:before="243"/>
        <w:ind w:left="115" w:right="0" w:firstLine="0"/>
        <w:jc w:val="left"/>
        <w:rPr>
          <w:rFonts w:ascii="Verdana"/>
          <w:sz w:val="20"/>
        </w:rPr>
      </w:pPr>
      <w:r>
        <w:rPr/>
        <w:br w:type="column"/>
      </w:r>
      <w:r>
        <w:rPr>
          <w:rFonts w:ascii="Verdana"/>
          <w:sz w:val="20"/>
        </w:rPr>
        <w:t>157</w:t>
      </w:r>
    </w:p>
    <w:p>
      <w:pPr>
        <w:spacing w:after="0"/>
        <w:jc w:val="left"/>
        <w:rPr>
          <w:rFonts w:ascii="Verdana"/>
          <w:sz w:val="20"/>
        </w:rPr>
        <w:sectPr>
          <w:type w:val="continuous"/>
          <w:pgSz w:w="12240" w:h="15840"/>
          <w:pgMar w:top="1500" w:bottom="280" w:left="1520" w:right="1520"/>
          <w:cols w:num="2" w:equalWidth="0">
            <w:col w:w="6468" w:space="1625"/>
            <w:col w:w="1107"/>
          </w:cols>
        </w:sectPr>
      </w:pPr>
    </w:p>
    <w:p>
      <w:pPr>
        <w:pStyle w:val="Heading4"/>
        <w:spacing w:before="243"/>
        <w:ind w:left="115" w:right="-20"/>
        <w:jc w:val="left"/>
        <w:rPr>
          <w:rFonts w:ascii="Verdana"/>
        </w:rPr>
      </w:pPr>
      <w:r>
        <w:rPr>
          <w:rFonts w:ascii="Verdana"/>
        </w:rPr>
        <w:t>OCCUPATIONAL RISK IN THE AREA OF PRODUCTION TAPPED.</w:t>
      </w:r>
    </w:p>
    <w:p>
      <w:pPr>
        <w:pStyle w:val="BodyText"/>
        <w:ind w:left="186" w:right="502" w:hanging="71"/>
        <w:rPr>
          <w:rFonts w:ascii="Verdana" w:hAnsi="Verdana"/>
        </w:rPr>
      </w:pPr>
      <w:r>
        <w:rPr>
          <w:rFonts w:ascii="Verdana" w:hAnsi="Verdana"/>
        </w:rPr>
        <w:t>Martin Gabriel López López, Adolfo Santana Martínez, Raquel Muñoz Hernández.</w:t>
      </w:r>
    </w:p>
    <w:p>
      <w:pPr>
        <w:spacing w:before="243"/>
        <w:ind w:left="115" w:right="0" w:firstLine="0"/>
        <w:jc w:val="left"/>
        <w:rPr>
          <w:rFonts w:ascii="Verdana"/>
          <w:sz w:val="20"/>
        </w:rPr>
      </w:pPr>
      <w:r>
        <w:rPr/>
        <w:br w:type="column"/>
      </w:r>
      <w:r>
        <w:rPr>
          <w:rFonts w:ascii="Verdana"/>
          <w:sz w:val="20"/>
        </w:rPr>
        <w:t>162</w:t>
      </w:r>
    </w:p>
    <w:p>
      <w:pPr>
        <w:spacing w:after="0"/>
        <w:jc w:val="left"/>
        <w:rPr>
          <w:rFonts w:ascii="Verdana"/>
          <w:sz w:val="20"/>
        </w:rPr>
        <w:sectPr>
          <w:type w:val="continuous"/>
          <w:pgSz w:w="12240" w:h="15840"/>
          <w:pgMar w:top="1500" w:bottom="280" w:left="1520" w:right="1520"/>
          <w:cols w:num="2" w:equalWidth="0">
            <w:col w:w="6033" w:space="2060"/>
            <w:col w:w="1107"/>
          </w:cols>
        </w:sectPr>
      </w:pPr>
    </w:p>
    <w:p>
      <w:pPr>
        <w:pStyle w:val="Heading4"/>
        <w:spacing w:before="222"/>
        <w:ind w:left="115" w:right="984"/>
        <w:jc w:val="left"/>
        <w:rPr>
          <w:rFonts w:ascii="Verdana" w:hAnsi="Verdana"/>
        </w:rPr>
      </w:pPr>
      <w:r>
        <w:rPr>
          <w:rFonts w:ascii="Verdana" w:hAnsi="Verdana"/>
        </w:rPr>
        <w:t>ERGONOMIC RESEARCH ABOUT POSSIBLE CDT’S IN BARBERS OF LOS MOCHIS, SINALOA CITY</w:t>
      </w:r>
    </w:p>
    <w:p>
      <w:pPr>
        <w:pStyle w:val="BodyText"/>
        <w:ind w:left="115" w:right="62"/>
        <w:rPr>
          <w:rFonts w:ascii="Verdana" w:hAnsi="Verdana"/>
        </w:rPr>
      </w:pPr>
      <w:r>
        <w:rPr>
          <w:rFonts w:ascii="Verdana" w:hAnsi="Verdana"/>
        </w:rPr>
        <w:t>Alberto Ramírez Leyva, Jorge Alan Hinogiante Castillo, Elizabeth Guadalupe Robles Rojo, Reyna Isabel Camacho Chávez</w:t>
      </w:r>
    </w:p>
    <w:p>
      <w:pPr>
        <w:spacing w:before="222"/>
        <w:ind w:left="115" w:right="0" w:firstLine="0"/>
        <w:jc w:val="left"/>
        <w:rPr>
          <w:rFonts w:ascii="Verdana"/>
          <w:sz w:val="20"/>
        </w:rPr>
      </w:pPr>
      <w:r>
        <w:rPr/>
        <w:br w:type="column"/>
      </w:r>
      <w:r>
        <w:rPr>
          <w:rFonts w:ascii="Verdana"/>
          <w:sz w:val="20"/>
        </w:rPr>
        <w:t>167</w:t>
      </w:r>
    </w:p>
    <w:p>
      <w:pPr>
        <w:spacing w:after="0"/>
        <w:jc w:val="left"/>
        <w:rPr>
          <w:rFonts w:ascii="Verdana"/>
          <w:sz w:val="20"/>
        </w:rPr>
        <w:sectPr>
          <w:pgSz w:w="12240" w:h="15840"/>
          <w:pgMar w:header="729" w:footer="0" w:top="920" w:bottom="280" w:left="1520" w:right="1520"/>
          <w:cols w:num="2" w:equalWidth="0">
            <w:col w:w="6902" w:space="1191"/>
            <w:col w:w="1107"/>
          </w:cols>
        </w:sectPr>
      </w:pPr>
    </w:p>
    <w:p>
      <w:pPr>
        <w:pStyle w:val="Heading4"/>
        <w:spacing w:line="243" w:lineRule="exact" w:before="243"/>
        <w:ind w:left="115" w:right="-20"/>
        <w:jc w:val="left"/>
        <w:rPr>
          <w:rFonts w:ascii="Verdana"/>
        </w:rPr>
      </w:pPr>
      <w:r>
        <w:rPr>
          <w:rFonts w:ascii="Verdana"/>
        </w:rPr>
        <w:t>OCCUPATIONAL RISK ASSESMENT AT MIPYMES</w:t>
      </w:r>
    </w:p>
    <w:p>
      <w:pPr>
        <w:pStyle w:val="BodyText"/>
        <w:spacing w:line="243" w:lineRule="exact"/>
        <w:ind w:left="115" w:right="-20"/>
        <w:rPr>
          <w:rFonts w:ascii="Verdana" w:hAnsi="Verdana"/>
        </w:rPr>
      </w:pPr>
      <w:r>
        <w:rPr>
          <w:rFonts w:ascii="Verdana" w:hAnsi="Verdana"/>
        </w:rPr>
        <w:t>Javier Nava García, Raquel Muñoz Hernández.</w:t>
      </w:r>
    </w:p>
    <w:p>
      <w:pPr>
        <w:spacing w:before="243"/>
        <w:ind w:left="115" w:right="0" w:firstLine="0"/>
        <w:jc w:val="left"/>
        <w:rPr>
          <w:rFonts w:ascii="Verdana"/>
          <w:sz w:val="20"/>
        </w:rPr>
      </w:pPr>
      <w:r>
        <w:rPr/>
        <w:br w:type="column"/>
      </w:r>
      <w:r>
        <w:rPr>
          <w:rFonts w:ascii="Verdana"/>
          <w:sz w:val="20"/>
        </w:rPr>
        <w:t>172</w:t>
      </w:r>
    </w:p>
    <w:p>
      <w:pPr>
        <w:spacing w:after="0"/>
        <w:jc w:val="left"/>
        <w:rPr>
          <w:rFonts w:ascii="Verdana"/>
          <w:sz w:val="20"/>
        </w:rPr>
        <w:sectPr>
          <w:type w:val="continuous"/>
          <w:pgSz w:w="12240" w:h="15840"/>
          <w:pgMar w:top="1500" w:bottom="280" w:left="1520" w:right="1520"/>
          <w:cols w:num="2" w:equalWidth="0">
            <w:col w:w="5445" w:space="2647"/>
            <w:col w:w="1108"/>
          </w:cols>
        </w:sectPr>
      </w:pPr>
    </w:p>
    <w:p>
      <w:pPr>
        <w:pStyle w:val="Heading4"/>
        <w:tabs>
          <w:tab w:pos="1989" w:val="left" w:leader="none"/>
          <w:tab w:pos="2592" w:val="left" w:leader="none"/>
          <w:tab w:pos="3362" w:val="left" w:leader="none"/>
          <w:tab w:pos="5143" w:val="left" w:leader="none"/>
          <w:tab w:pos="6595" w:val="left" w:leader="none"/>
        </w:tabs>
        <w:spacing w:before="243"/>
        <w:ind w:left="115"/>
        <w:jc w:val="left"/>
        <w:rPr>
          <w:rFonts w:ascii="Verdana"/>
        </w:rPr>
      </w:pPr>
      <w:r>
        <w:rPr>
          <w:rFonts w:ascii="Verdana"/>
        </w:rPr>
        <w:t>APPLICATION</w:t>
        <w:tab/>
        <w:t>OF</w:t>
        <w:tab/>
        <w:t>COX</w:t>
        <w:tab/>
        <w:t>REGRESSION</w:t>
        <w:tab/>
        <w:t>ANALYSIS</w:t>
        <w:tab/>
        <w:t>TO DETERMINE THE DECLINE OF FORCE MANUAL IN</w:t>
      </w:r>
      <w:r>
        <w:rPr>
          <w:rFonts w:ascii="Verdana"/>
          <w:spacing w:val="-30"/>
        </w:rPr>
        <w:t> </w:t>
      </w:r>
      <w:r>
        <w:rPr>
          <w:rFonts w:ascii="Verdana"/>
        </w:rPr>
        <w:t>TIME.</w:t>
      </w:r>
    </w:p>
    <w:p>
      <w:pPr>
        <w:pStyle w:val="BodyText"/>
        <w:ind w:left="115" w:right="223"/>
        <w:rPr>
          <w:rFonts w:ascii="Verdana" w:hAnsi="Verdana"/>
        </w:rPr>
      </w:pPr>
      <w:r>
        <w:rPr>
          <w:rFonts w:ascii="Verdana" w:hAnsi="Verdana"/>
        </w:rPr>
        <w:t>Gerardo Meza Partida, Enrique Javier de la Vega Bustillos,  Francisco Octavio López Millan, Jaime Sánchez</w:t>
      </w:r>
      <w:r>
        <w:rPr>
          <w:rFonts w:ascii="Verdana" w:hAnsi="Verdana"/>
          <w:spacing w:val="-18"/>
        </w:rPr>
        <w:t> </w:t>
      </w:r>
      <w:r>
        <w:rPr>
          <w:rFonts w:ascii="Verdana" w:hAnsi="Verdana"/>
        </w:rPr>
        <w:t>Leal</w:t>
      </w:r>
    </w:p>
    <w:p>
      <w:pPr>
        <w:spacing w:before="243"/>
        <w:ind w:left="115" w:right="0" w:firstLine="0"/>
        <w:jc w:val="left"/>
        <w:rPr>
          <w:rFonts w:ascii="Verdana"/>
          <w:sz w:val="20"/>
        </w:rPr>
      </w:pPr>
      <w:r>
        <w:rPr/>
        <w:br w:type="column"/>
      </w:r>
      <w:r>
        <w:rPr>
          <w:rFonts w:ascii="Verdana"/>
          <w:sz w:val="20"/>
        </w:rPr>
        <w:t>179</w:t>
      </w:r>
    </w:p>
    <w:p>
      <w:pPr>
        <w:spacing w:after="0"/>
        <w:jc w:val="left"/>
        <w:rPr>
          <w:rFonts w:ascii="Verdana"/>
          <w:sz w:val="20"/>
        </w:rPr>
        <w:sectPr>
          <w:type w:val="continuous"/>
          <w:pgSz w:w="12240" w:h="15840"/>
          <w:pgMar w:top="1500" w:bottom="280" w:left="1520" w:right="1520"/>
          <w:cols w:num="2" w:equalWidth="0">
            <w:col w:w="6904" w:space="1189"/>
            <w:col w:w="1107"/>
          </w:cols>
        </w:sectPr>
      </w:pPr>
    </w:p>
    <w:p>
      <w:pPr>
        <w:pStyle w:val="Heading4"/>
        <w:spacing w:before="243"/>
        <w:ind w:left="115" w:right="-17"/>
        <w:jc w:val="left"/>
        <w:rPr>
          <w:rFonts w:ascii="Verdana"/>
        </w:rPr>
      </w:pPr>
      <w:r>
        <w:rPr>
          <w:rFonts w:ascii="Verdana"/>
        </w:rPr>
        <w:t>ERGONOMIC ANALYSIS OF INSPECTION PROCESS</w:t>
      </w:r>
    </w:p>
    <w:p>
      <w:pPr>
        <w:pStyle w:val="BodyText"/>
        <w:ind w:left="115" w:right="-17"/>
        <w:rPr>
          <w:rFonts w:ascii="Verdana" w:hAnsi="Verdana"/>
        </w:rPr>
      </w:pPr>
      <w:r>
        <w:rPr>
          <w:rFonts w:ascii="Verdana" w:hAnsi="Verdana"/>
        </w:rPr>
        <w:t>Adriana Ramírez Mexia, Ernesto Ramírez Cárdenas, María Luisa García Muela, Denisse Alejandra Pérez Arellanes</w:t>
      </w:r>
    </w:p>
    <w:p>
      <w:pPr>
        <w:spacing w:before="243"/>
        <w:ind w:left="115" w:right="0" w:firstLine="0"/>
        <w:jc w:val="left"/>
        <w:rPr>
          <w:rFonts w:ascii="Verdana"/>
          <w:sz w:val="20"/>
        </w:rPr>
      </w:pPr>
      <w:r>
        <w:rPr/>
        <w:br w:type="column"/>
      </w:r>
      <w:r>
        <w:rPr>
          <w:rFonts w:ascii="Verdana"/>
          <w:sz w:val="20"/>
        </w:rPr>
        <w:t>186</w:t>
      </w:r>
    </w:p>
    <w:p>
      <w:pPr>
        <w:spacing w:after="0"/>
        <w:jc w:val="left"/>
        <w:rPr>
          <w:rFonts w:ascii="Verdana"/>
          <w:sz w:val="20"/>
        </w:rPr>
        <w:sectPr>
          <w:type w:val="continuous"/>
          <w:pgSz w:w="12240" w:h="15840"/>
          <w:pgMar w:top="1500" w:bottom="280" w:left="1520" w:right="1520"/>
          <w:cols w:num="2" w:equalWidth="0">
            <w:col w:w="6510" w:space="1583"/>
            <w:col w:w="1107"/>
          </w:cols>
        </w:sectPr>
      </w:pPr>
    </w:p>
    <w:p>
      <w:pPr>
        <w:pStyle w:val="Heading1"/>
        <w:spacing w:before="829"/>
        <w:ind w:left="115"/>
        <w:jc w:val="left"/>
        <w:rPr>
          <w:rFonts w:ascii="Verdana"/>
        </w:rPr>
      </w:pPr>
      <w:r>
        <w:rPr>
          <w:rFonts w:ascii="Verdana"/>
        </w:rPr>
        <w:t>FATIGUE</w:t>
      </w:r>
    </w:p>
    <w:p>
      <w:pPr>
        <w:spacing w:after="0"/>
        <w:jc w:val="left"/>
        <w:rPr>
          <w:rFonts w:ascii="Verdana"/>
        </w:rPr>
        <w:sectPr>
          <w:type w:val="continuous"/>
          <w:pgSz w:w="12240" w:h="15840"/>
          <w:pgMar w:top="1500" w:bottom="280" w:left="1520" w:right="1520"/>
        </w:sectPr>
      </w:pPr>
    </w:p>
    <w:p>
      <w:pPr>
        <w:pStyle w:val="Heading4"/>
        <w:spacing w:before="289"/>
        <w:ind w:left="115" w:right="-7"/>
        <w:jc w:val="left"/>
        <w:rPr>
          <w:rFonts w:ascii="Verdana"/>
        </w:rPr>
      </w:pPr>
      <w:r>
        <w:rPr>
          <w:rFonts w:ascii="Verdana"/>
        </w:rPr>
        <w:t>WOMAN WORKERS THAT DEVELOP HANDMADE FLOUR TORTILLA IN LOS MOCHIS, SINALOA. FATIGUE ANALYSIS.</w:t>
      </w:r>
    </w:p>
    <w:p>
      <w:pPr>
        <w:pStyle w:val="BodyText"/>
        <w:ind w:left="115" w:right="-7"/>
        <w:rPr>
          <w:rFonts w:ascii="Verdana" w:hAnsi="Verdana"/>
        </w:rPr>
      </w:pPr>
      <w:r>
        <w:rPr>
          <w:rFonts w:ascii="Verdana" w:hAnsi="Verdana"/>
        </w:rPr>
        <w:t>Alberto Ramírez Leyva, Dalia María Pacheco Gastelum, Alma Gisela Romero Cárdenas, Ixcel Anay Zamarrón Acosta</w:t>
      </w:r>
    </w:p>
    <w:p>
      <w:pPr>
        <w:spacing w:before="289"/>
        <w:ind w:left="115" w:right="0" w:firstLine="0"/>
        <w:jc w:val="left"/>
        <w:rPr>
          <w:rFonts w:ascii="Verdana"/>
          <w:sz w:val="20"/>
        </w:rPr>
      </w:pPr>
      <w:r>
        <w:rPr/>
        <w:br w:type="column"/>
      </w:r>
      <w:r>
        <w:rPr>
          <w:rFonts w:ascii="Verdana"/>
          <w:sz w:val="20"/>
        </w:rPr>
        <w:t>189</w:t>
      </w:r>
    </w:p>
    <w:p>
      <w:pPr>
        <w:spacing w:after="0"/>
        <w:jc w:val="left"/>
        <w:rPr>
          <w:rFonts w:ascii="Verdana"/>
          <w:sz w:val="20"/>
        </w:rPr>
        <w:sectPr>
          <w:type w:val="continuous"/>
          <w:pgSz w:w="12240" w:h="15840"/>
          <w:pgMar w:top="1500" w:bottom="280" w:left="1520" w:right="1520"/>
          <w:cols w:num="2" w:equalWidth="0">
            <w:col w:w="6900" w:space="1193"/>
            <w:col w:w="1107"/>
          </w:cols>
        </w:sectPr>
      </w:pPr>
    </w:p>
    <w:p>
      <w:pPr>
        <w:pStyle w:val="Heading4"/>
        <w:spacing w:before="243"/>
        <w:ind w:left="115" w:right="62"/>
        <w:jc w:val="left"/>
        <w:rPr>
          <w:rFonts w:ascii="Verdana"/>
        </w:rPr>
      </w:pPr>
      <w:r>
        <w:rPr>
          <w:rFonts w:ascii="Verdana"/>
        </w:rPr>
        <w:t>12 HRS  NIGHT  AND  DAY  SHIFTS  FATIGUE STUDY</w:t>
      </w:r>
    </w:p>
    <w:p>
      <w:pPr>
        <w:pStyle w:val="BodyText"/>
        <w:tabs>
          <w:tab w:pos="3003" w:val="left" w:leader="none"/>
        </w:tabs>
        <w:ind w:left="115"/>
        <w:rPr>
          <w:rFonts w:ascii="Verdana" w:hAnsi="Verdana"/>
        </w:rPr>
      </w:pPr>
      <w:r>
        <w:rPr>
          <w:rFonts w:ascii="Verdana" w:hAnsi="Verdana"/>
        </w:rPr>
        <w:t>Patricia</w:t>
      </w:r>
      <w:r>
        <w:rPr>
          <w:rFonts w:ascii="Verdana" w:hAnsi="Verdana"/>
          <w:spacing w:val="54"/>
        </w:rPr>
        <w:t> </w:t>
      </w:r>
      <w:r>
        <w:rPr>
          <w:rFonts w:ascii="Verdana" w:hAnsi="Verdana"/>
        </w:rPr>
        <w:t>Eugenia</w:t>
      </w:r>
      <w:r>
        <w:rPr>
          <w:rFonts w:ascii="Verdana" w:hAnsi="Verdana"/>
          <w:spacing w:val="54"/>
        </w:rPr>
        <w:t> </w:t>
      </w:r>
      <w:r>
        <w:rPr>
          <w:rFonts w:ascii="Verdana" w:hAnsi="Verdana"/>
        </w:rPr>
        <w:t>Sortillón</w:t>
        <w:tab/>
        <w:t>González,  Enrique  Javier  de</w:t>
      </w:r>
      <w:r>
        <w:rPr>
          <w:rFonts w:ascii="Verdana" w:hAnsi="Verdana"/>
          <w:spacing w:val="13"/>
        </w:rPr>
        <w:t> </w:t>
      </w:r>
      <w:r>
        <w:rPr>
          <w:rFonts w:ascii="Verdana" w:hAnsi="Verdana"/>
        </w:rPr>
        <w:t>la</w:t>
      </w:r>
      <w:r>
        <w:rPr>
          <w:rFonts w:ascii="Verdana" w:hAnsi="Verdana"/>
          <w:spacing w:val="55"/>
        </w:rPr>
        <w:t> </w:t>
      </w:r>
      <w:r>
        <w:rPr>
          <w:rFonts w:ascii="Verdana" w:hAnsi="Verdana"/>
        </w:rPr>
        <w:t>Vega</w:t>
      </w:r>
      <w:r>
        <w:rPr>
          <w:rFonts w:ascii="Verdana" w:hAnsi="Verdana"/>
          <w:spacing w:val="-1"/>
          <w:w w:val="100"/>
        </w:rPr>
        <w:t> </w:t>
      </w:r>
      <w:r>
        <w:rPr>
          <w:rFonts w:ascii="Verdana" w:hAnsi="Verdana"/>
        </w:rPr>
        <w:t>Bustillos, Francisco Octavio López</w:t>
      </w:r>
      <w:r>
        <w:rPr>
          <w:rFonts w:ascii="Verdana" w:hAnsi="Verdana"/>
          <w:spacing w:val="-24"/>
        </w:rPr>
        <w:t> </w:t>
      </w:r>
      <w:r>
        <w:rPr>
          <w:rFonts w:ascii="Verdana" w:hAnsi="Verdana"/>
        </w:rPr>
        <w:t>Millán</w:t>
      </w:r>
    </w:p>
    <w:p>
      <w:pPr>
        <w:spacing w:before="243"/>
        <w:ind w:left="115" w:right="0" w:firstLine="0"/>
        <w:jc w:val="left"/>
        <w:rPr>
          <w:rFonts w:ascii="Verdana"/>
          <w:sz w:val="20"/>
        </w:rPr>
      </w:pPr>
      <w:r>
        <w:rPr/>
        <w:br w:type="column"/>
      </w:r>
      <w:r>
        <w:rPr>
          <w:rFonts w:ascii="Verdana"/>
          <w:sz w:val="20"/>
        </w:rPr>
        <w:t>194</w:t>
      </w:r>
    </w:p>
    <w:p>
      <w:pPr>
        <w:spacing w:after="0"/>
        <w:jc w:val="left"/>
        <w:rPr>
          <w:rFonts w:ascii="Verdana"/>
          <w:sz w:val="20"/>
        </w:rPr>
        <w:sectPr>
          <w:type w:val="continuous"/>
          <w:pgSz w:w="12240" w:h="15840"/>
          <w:pgMar w:top="1500" w:bottom="280" w:left="1520" w:right="1520"/>
          <w:cols w:num="2" w:equalWidth="0">
            <w:col w:w="6902" w:space="1191"/>
            <w:col w:w="1107"/>
          </w:cols>
        </w:sectPr>
      </w:pPr>
    </w:p>
    <w:p>
      <w:pPr>
        <w:pStyle w:val="Heading4"/>
        <w:spacing w:before="243"/>
        <w:ind w:left="115"/>
        <w:rPr>
          <w:rFonts w:ascii="Verdana"/>
        </w:rPr>
      </w:pPr>
      <w:r>
        <w:rPr>
          <w:rFonts w:ascii="Verdana"/>
        </w:rPr>
        <w:t>BARBERS OF LOS MOCHIS SINALOA. STUDY ON LABOR FATIGUE</w:t>
      </w:r>
    </w:p>
    <w:p>
      <w:pPr>
        <w:pStyle w:val="BodyText"/>
        <w:ind w:left="115"/>
        <w:jc w:val="both"/>
        <w:rPr>
          <w:rFonts w:ascii="Verdana" w:hAnsi="Verdana"/>
        </w:rPr>
      </w:pPr>
      <w:r>
        <w:rPr>
          <w:rFonts w:ascii="Verdana" w:hAnsi="Verdana"/>
        </w:rPr>
        <w:t>Alberto Ramírez Leyva, Jorge Alan Hinogiante Castillo, Elizabeth Guadalupe Robles Rojo, Michell Aleyda Parra Rivera, Silvia Luna Umezawa</w:t>
      </w:r>
    </w:p>
    <w:p>
      <w:pPr>
        <w:spacing w:before="243"/>
        <w:ind w:left="115" w:right="0" w:firstLine="0"/>
        <w:jc w:val="left"/>
        <w:rPr>
          <w:rFonts w:ascii="Verdana"/>
          <w:sz w:val="20"/>
        </w:rPr>
      </w:pPr>
      <w:r>
        <w:rPr/>
        <w:br w:type="column"/>
      </w:r>
      <w:r>
        <w:rPr>
          <w:rFonts w:ascii="Verdana"/>
          <w:sz w:val="20"/>
        </w:rPr>
        <w:t>199</w:t>
      </w:r>
    </w:p>
    <w:p>
      <w:pPr>
        <w:spacing w:after="0"/>
        <w:jc w:val="left"/>
        <w:rPr>
          <w:rFonts w:ascii="Verdana"/>
          <w:sz w:val="20"/>
        </w:rPr>
        <w:sectPr>
          <w:type w:val="continuous"/>
          <w:pgSz w:w="12240" w:h="15840"/>
          <w:pgMar w:top="1500" w:bottom="280" w:left="1520" w:right="1520"/>
          <w:cols w:num="2" w:equalWidth="0">
            <w:col w:w="6904" w:space="1189"/>
            <w:col w:w="1107"/>
          </w:cols>
        </w:sectPr>
      </w:pPr>
    </w:p>
    <w:p>
      <w:pPr>
        <w:pStyle w:val="Heading4"/>
        <w:spacing w:before="243"/>
        <w:ind w:left="115"/>
        <w:jc w:val="left"/>
        <w:rPr>
          <w:rFonts w:ascii="Verdana"/>
        </w:rPr>
      </w:pPr>
      <w:r>
        <w:rPr>
          <w:rFonts w:ascii="Verdana"/>
          <w:color w:val="121721"/>
        </w:rPr>
        <w:t>THE STUDY OF FATIGUE CAUSED BY PHYSICAL DAMAGE TO FISHERMAN IN THE BAY OF PORT TOPOLOBAMPO.</w:t>
      </w:r>
    </w:p>
    <w:p>
      <w:pPr>
        <w:pStyle w:val="BodyText"/>
        <w:tabs>
          <w:tab w:pos="1055" w:val="left" w:leader="none"/>
          <w:tab w:pos="2093" w:val="left" w:leader="none"/>
          <w:tab w:pos="2971" w:val="left" w:leader="none"/>
          <w:tab w:pos="3949" w:val="left" w:leader="none"/>
          <w:tab w:pos="4757" w:val="left" w:leader="none"/>
          <w:tab w:pos="5624" w:val="left" w:leader="none"/>
          <w:tab w:pos="6505" w:val="left" w:leader="none"/>
        </w:tabs>
        <w:ind w:left="115"/>
        <w:rPr>
          <w:rFonts w:ascii="Verdana" w:hAnsi="Verdana"/>
        </w:rPr>
      </w:pPr>
      <w:r>
        <w:rPr>
          <w:rFonts w:ascii="Verdana" w:hAnsi="Verdana"/>
        </w:rPr>
        <w:t>Alberto</w:t>
        <w:tab/>
        <w:t>Ramírez</w:t>
        <w:tab/>
        <w:t>Leyva,</w:t>
        <w:tab/>
        <w:t>Estrada</w:t>
        <w:tab/>
        <w:t>Rosas</w:t>
        <w:tab/>
        <w:t>Diego,</w:t>
        <w:tab/>
        <w:t>Valdez</w:t>
        <w:tab/>
      </w:r>
      <w:r>
        <w:rPr>
          <w:rFonts w:ascii="Verdana" w:hAnsi="Verdana"/>
          <w:spacing w:val="-1"/>
        </w:rPr>
        <w:t>Luis </w:t>
      </w:r>
      <w:r>
        <w:rPr>
          <w:rFonts w:ascii="Verdana" w:hAnsi="Verdana"/>
        </w:rPr>
        <w:t>Armando, Cortez Alejo Kizú Yaneth, Vega Valdez Sara</w:t>
      </w:r>
      <w:r>
        <w:rPr>
          <w:rFonts w:ascii="Verdana" w:hAnsi="Verdana"/>
          <w:spacing w:val="-37"/>
        </w:rPr>
        <w:t> </w:t>
      </w:r>
      <w:r>
        <w:rPr>
          <w:rFonts w:ascii="Verdana" w:hAnsi="Verdana"/>
        </w:rPr>
        <w:t>Patricia</w:t>
      </w:r>
    </w:p>
    <w:p>
      <w:pPr>
        <w:spacing w:before="243"/>
        <w:ind w:left="115" w:right="0" w:firstLine="0"/>
        <w:jc w:val="left"/>
        <w:rPr>
          <w:rFonts w:ascii="Verdana"/>
          <w:sz w:val="20"/>
        </w:rPr>
      </w:pPr>
      <w:r>
        <w:rPr/>
        <w:br w:type="column"/>
      </w:r>
      <w:r>
        <w:rPr>
          <w:rFonts w:ascii="Verdana"/>
          <w:sz w:val="20"/>
        </w:rPr>
        <w:t>204</w:t>
      </w:r>
    </w:p>
    <w:p>
      <w:pPr>
        <w:spacing w:after="0"/>
        <w:jc w:val="left"/>
        <w:rPr>
          <w:rFonts w:ascii="Verdana"/>
          <w:sz w:val="20"/>
        </w:rPr>
        <w:sectPr>
          <w:type w:val="continuous"/>
          <w:pgSz w:w="12240" w:h="15840"/>
          <w:pgMar w:top="1500" w:bottom="280" w:left="1520" w:right="1520"/>
          <w:cols w:num="2" w:equalWidth="0">
            <w:col w:w="6903" w:space="1189"/>
            <w:col w:w="1108"/>
          </w:cols>
        </w:sectPr>
      </w:pPr>
    </w:p>
    <w:p>
      <w:pPr>
        <w:pStyle w:val="Heading4"/>
        <w:spacing w:before="243"/>
        <w:ind w:left="115"/>
        <w:rPr>
          <w:rFonts w:ascii="Verdana"/>
        </w:rPr>
      </w:pPr>
      <w:r>
        <w:rPr>
          <w:rFonts w:ascii="Verdana"/>
        </w:rPr>
        <w:t>A STUDY OF MENTAL AND PHYSICAL FATIGUE OF A MACHINE OPERATOR IN A TORTILLA CORN FACTORY.</w:t>
      </w:r>
    </w:p>
    <w:p>
      <w:pPr>
        <w:pStyle w:val="BodyText"/>
        <w:ind w:left="115"/>
        <w:jc w:val="both"/>
        <w:rPr>
          <w:rFonts w:ascii="Verdana" w:hAnsi="Verdana"/>
        </w:rPr>
      </w:pPr>
      <w:r>
        <w:rPr>
          <w:rFonts w:ascii="Verdana" w:hAnsi="Verdana"/>
        </w:rPr>
        <w:t>Alberto Ramírez Leyva, Jesús Iván Ruiz Ibarra, Erik Alejandro Martínez Vázquez, Nava Mena Carlos Alberto, Rivera Osuna Jessica Daniela</w:t>
      </w:r>
    </w:p>
    <w:p>
      <w:pPr>
        <w:spacing w:before="243"/>
        <w:ind w:left="115" w:right="0" w:firstLine="0"/>
        <w:jc w:val="left"/>
        <w:rPr>
          <w:rFonts w:ascii="Verdana"/>
          <w:sz w:val="20"/>
        </w:rPr>
      </w:pPr>
      <w:r>
        <w:rPr/>
        <w:br w:type="column"/>
      </w:r>
      <w:r>
        <w:rPr>
          <w:rFonts w:ascii="Verdana"/>
          <w:sz w:val="20"/>
        </w:rPr>
        <w:t>211</w:t>
      </w:r>
    </w:p>
    <w:p>
      <w:pPr>
        <w:spacing w:after="0"/>
        <w:jc w:val="left"/>
        <w:rPr>
          <w:rFonts w:ascii="Verdana"/>
          <w:sz w:val="20"/>
        </w:rPr>
        <w:sectPr>
          <w:type w:val="continuous"/>
          <w:pgSz w:w="12240" w:h="15840"/>
          <w:pgMar w:top="1500" w:bottom="280" w:left="1520" w:right="1520"/>
          <w:cols w:num="2" w:equalWidth="0">
            <w:col w:w="6903" w:space="1190"/>
            <w:col w:w="1107"/>
          </w:cols>
        </w:sectPr>
      </w:pPr>
    </w:p>
    <w:p>
      <w:pPr>
        <w:pStyle w:val="Heading4"/>
        <w:spacing w:before="243"/>
        <w:ind w:left="115"/>
        <w:rPr>
          <w:rFonts w:ascii="Verdana"/>
        </w:rPr>
      </w:pPr>
      <w:r>
        <w:rPr>
          <w:rFonts w:ascii="Verdana"/>
        </w:rPr>
        <w:t>ANALYSIS OF GENERATION OF LABOR FATIGUE AND CHRONIC FATIGUE SYNDROME AND CORRELATION WITH MICROBIOLOGICAL CONTAMINATION IN THE ELECTRONICS INDUSTRY OF MEXICALI</w:t>
      </w:r>
    </w:p>
    <w:p>
      <w:pPr>
        <w:pStyle w:val="BodyText"/>
        <w:ind w:left="115"/>
        <w:jc w:val="both"/>
        <w:rPr>
          <w:rFonts w:ascii="Verdana" w:hAnsi="Verdana"/>
        </w:rPr>
      </w:pPr>
      <w:r>
        <w:rPr>
          <w:rFonts w:ascii="Verdana" w:hAnsi="Verdana"/>
        </w:rPr>
        <w:t>Elsa Emma Barraza Rincón, Arcelia Gómez Rodríguez, Gustavo López Badilla, Guillermo Barba González</w:t>
      </w:r>
    </w:p>
    <w:p>
      <w:pPr>
        <w:spacing w:before="243"/>
        <w:ind w:left="115" w:right="0" w:firstLine="0"/>
        <w:jc w:val="left"/>
        <w:rPr>
          <w:rFonts w:ascii="Verdana"/>
          <w:sz w:val="20"/>
        </w:rPr>
      </w:pPr>
      <w:r>
        <w:rPr/>
        <w:br w:type="column"/>
      </w:r>
      <w:r>
        <w:rPr>
          <w:rFonts w:ascii="Verdana"/>
          <w:sz w:val="20"/>
        </w:rPr>
        <w:t>217</w:t>
      </w:r>
    </w:p>
    <w:p>
      <w:pPr>
        <w:spacing w:after="0"/>
        <w:jc w:val="left"/>
        <w:rPr>
          <w:rFonts w:ascii="Verdana"/>
          <w:sz w:val="20"/>
        </w:rPr>
        <w:sectPr>
          <w:type w:val="continuous"/>
          <w:pgSz w:w="12240" w:h="15840"/>
          <w:pgMar w:top="1500" w:bottom="280" w:left="1520" w:right="1520"/>
          <w:cols w:num="2" w:equalWidth="0">
            <w:col w:w="6903" w:space="1190"/>
            <w:col w:w="1107"/>
          </w:cols>
        </w:sectPr>
      </w:pPr>
    </w:p>
    <w:p>
      <w:pPr>
        <w:pStyle w:val="Heading4"/>
        <w:spacing w:before="708"/>
        <w:ind w:left="115" w:right="223"/>
        <w:jc w:val="left"/>
        <w:rPr>
          <w:rFonts w:ascii="Verdana"/>
        </w:rPr>
      </w:pPr>
      <w:r>
        <w:rPr>
          <w:rFonts w:ascii="Verdana"/>
        </w:rPr>
        <w:t>FATIGUE STUDY ON URBAN BUS DRIVERS IN LOS MOCHIS SINALOA.</w:t>
      </w:r>
    </w:p>
    <w:p>
      <w:pPr>
        <w:pStyle w:val="BodyText"/>
        <w:ind w:left="115"/>
        <w:jc w:val="both"/>
        <w:rPr>
          <w:rFonts w:ascii="Verdana" w:hAnsi="Verdana"/>
        </w:rPr>
      </w:pPr>
      <w:r>
        <w:rPr>
          <w:rFonts w:ascii="Verdana" w:hAnsi="Verdana"/>
        </w:rPr>
        <w:t>Alberto Ramírez Leyva, José Gilberto Apodaca Ayala, Martín Joel Borbolla Grijalva, Lucero De Jesús Delgado Iñiguez, Jessica María Ochoa Sánchez</w:t>
      </w:r>
    </w:p>
    <w:p>
      <w:pPr>
        <w:spacing w:before="708"/>
        <w:ind w:left="115" w:right="0" w:firstLine="0"/>
        <w:jc w:val="left"/>
        <w:rPr>
          <w:rFonts w:ascii="Verdana"/>
          <w:sz w:val="20"/>
        </w:rPr>
      </w:pPr>
      <w:r>
        <w:rPr/>
        <w:br w:type="column"/>
      </w:r>
      <w:r>
        <w:rPr>
          <w:rFonts w:ascii="Verdana"/>
          <w:sz w:val="20"/>
        </w:rPr>
        <w:t>223</w:t>
      </w:r>
    </w:p>
    <w:p>
      <w:pPr>
        <w:spacing w:after="0"/>
        <w:jc w:val="left"/>
        <w:rPr>
          <w:rFonts w:ascii="Verdana"/>
          <w:sz w:val="20"/>
        </w:rPr>
        <w:sectPr>
          <w:pgSz w:w="12240" w:h="15840"/>
          <w:pgMar w:header="729" w:footer="0" w:top="920" w:bottom="280" w:left="1520" w:right="1520"/>
          <w:cols w:num="2" w:equalWidth="0">
            <w:col w:w="6904" w:space="1189"/>
            <w:col w:w="1107"/>
          </w:cols>
        </w:sectPr>
      </w:pPr>
    </w:p>
    <w:p>
      <w:pPr>
        <w:pStyle w:val="Heading4"/>
        <w:spacing w:before="243"/>
        <w:ind w:left="115" w:right="-19"/>
        <w:jc w:val="left"/>
        <w:rPr>
          <w:rFonts w:ascii="Verdana"/>
        </w:rPr>
      </w:pPr>
      <w:r>
        <w:rPr>
          <w:rFonts w:ascii="Verdana"/>
        </w:rPr>
        <w:t>APPLIED ERGONOMICS IN MUSIC</w:t>
      </w:r>
    </w:p>
    <w:p>
      <w:pPr>
        <w:pStyle w:val="BodyText"/>
        <w:ind w:left="115" w:right="-19"/>
        <w:rPr>
          <w:rFonts w:ascii="Verdana" w:hAnsi="Verdana"/>
          <w:b/>
        </w:rPr>
      </w:pPr>
      <w:r>
        <w:rPr>
          <w:rFonts w:ascii="Verdana" w:hAnsi="Verdana"/>
        </w:rPr>
        <w:t>Sergio Alberto Valenzuela Gómez, Rodrigo Ruy Arias Ibáñez, Mireya del Pilar Servín Estrada</w:t>
      </w:r>
      <w:r>
        <w:rPr>
          <w:rFonts w:ascii="Verdana" w:hAnsi="Verdana"/>
          <w:b/>
        </w:rPr>
        <w:t>.</w:t>
      </w:r>
    </w:p>
    <w:p>
      <w:pPr>
        <w:spacing w:before="243"/>
        <w:ind w:left="115" w:right="0" w:firstLine="0"/>
        <w:jc w:val="left"/>
        <w:rPr>
          <w:rFonts w:ascii="Verdana"/>
          <w:sz w:val="20"/>
        </w:rPr>
      </w:pPr>
      <w:r>
        <w:rPr/>
        <w:br w:type="column"/>
      </w:r>
      <w:r>
        <w:rPr>
          <w:rFonts w:ascii="Verdana"/>
          <w:sz w:val="20"/>
        </w:rPr>
        <w:t>228</w:t>
      </w:r>
    </w:p>
    <w:p>
      <w:pPr>
        <w:spacing w:after="0"/>
        <w:jc w:val="left"/>
        <w:rPr>
          <w:rFonts w:ascii="Verdana"/>
          <w:sz w:val="20"/>
        </w:rPr>
        <w:sectPr>
          <w:type w:val="continuous"/>
          <w:pgSz w:w="12240" w:h="15840"/>
          <w:pgMar w:top="1500" w:bottom="280" w:left="1520" w:right="1520"/>
          <w:cols w:num="2" w:equalWidth="0">
            <w:col w:w="6232" w:space="1860"/>
            <w:col w:w="1108"/>
          </w:cols>
        </w:sectPr>
      </w:pPr>
    </w:p>
    <w:p>
      <w:pPr>
        <w:pStyle w:val="Heading4"/>
        <w:spacing w:line="243" w:lineRule="exact" w:before="243"/>
        <w:ind w:left="115"/>
        <w:rPr>
          <w:rFonts w:ascii="Verdana" w:hAnsi="Verdana"/>
        </w:rPr>
      </w:pPr>
      <w:r>
        <w:rPr>
          <w:rFonts w:ascii="Verdana" w:hAnsi="Verdana"/>
        </w:rPr>
        <w:t>QUERVAÍN SYNDROME AND USE OF MÓBILE DEVICES.</w:t>
      </w:r>
    </w:p>
    <w:p>
      <w:pPr>
        <w:pStyle w:val="BodyText"/>
        <w:ind w:left="115"/>
        <w:jc w:val="both"/>
        <w:rPr>
          <w:rFonts w:ascii="Verdana" w:hAnsi="Verdana"/>
        </w:rPr>
      </w:pPr>
      <w:r>
        <w:rPr>
          <w:rFonts w:ascii="Verdana" w:hAnsi="Verdana"/>
        </w:rPr>
        <w:t>Pedro Wriu Valenzuela, Jorge Pastrana Zuñiga, Jorge H. Viramontes Flores, Jose Napoleón Díaz Amaro, Paula Trejo Gonzalez.</w:t>
      </w:r>
    </w:p>
    <w:p>
      <w:pPr>
        <w:spacing w:before="243"/>
        <w:ind w:left="115" w:right="0" w:firstLine="0"/>
        <w:jc w:val="left"/>
        <w:rPr>
          <w:rFonts w:ascii="Verdana"/>
          <w:sz w:val="20"/>
        </w:rPr>
      </w:pPr>
      <w:r>
        <w:rPr/>
        <w:br w:type="column"/>
      </w:r>
      <w:r>
        <w:rPr>
          <w:rFonts w:ascii="Verdana"/>
          <w:sz w:val="20"/>
        </w:rPr>
        <w:t>232</w:t>
      </w:r>
    </w:p>
    <w:p>
      <w:pPr>
        <w:spacing w:after="0"/>
        <w:jc w:val="left"/>
        <w:rPr>
          <w:rFonts w:ascii="Verdana"/>
          <w:sz w:val="20"/>
        </w:rPr>
        <w:sectPr>
          <w:type w:val="continuous"/>
          <w:pgSz w:w="12240" w:h="15840"/>
          <w:pgMar w:top="1500" w:bottom="280" w:left="1520" w:right="1520"/>
          <w:cols w:num="2" w:equalWidth="0">
            <w:col w:w="6902" w:space="1190"/>
            <w:col w:w="1108"/>
          </w:cols>
        </w:sectPr>
      </w:pPr>
    </w:p>
    <w:p>
      <w:pPr>
        <w:pStyle w:val="Heading1"/>
        <w:spacing w:before="732"/>
        <w:ind w:left="115"/>
        <w:jc w:val="left"/>
        <w:rPr>
          <w:rFonts w:ascii="Verdana"/>
        </w:rPr>
      </w:pPr>
      <w:r>
        <w:rPr>
          <w:rFonts w:ascii="Verdana"/>
        </w:rPr>
        <w:t>PSYCHOSOCIAL RISKS</w:t>
      </w:r>
    </w:p>
    <w:p>
      <w:pPr>
        <w:spacing w:after="0"/>
        <w:jc w:val="left"/>
        <w:rPr>
          <w:rFonts w:ascii="Verdana"/>
        </w:rPr>
        <w:sectPr>
          <w:type w:val="continuous"/>
          <w:pgSz w:w="12240" w:h="15840"/>
          <w:pgMar w:top="1500" w:bottom="280" w:left="1520" w:right="1520"/>
        </w:sectPr>
      </w:pPr>
    </w:p>
    <w:p>
      <w:pPr>
        <w:pStyle w:val="Heading4"/>
        <w:spacing w:before="240"/>
        <w:ind w:left="115"/>
        <w:jc w:val="left"/>
        <w:rPr>
          <w:rFonts w:ascii="Verdana"/>
        </w:rPr>
      </w:pPr>
      <w:r>
        <w:rPr>
          <w:rFonts w:ascii="Verdana"/>
        </w:rPr>
        <w:t>ASSOCIATION AMONG BURNOUT DIMENSIONS AND JOB CONTENT DIMENSIONS: A LITERATURE REVIEW</w:t>
      </w:r>
    </w:p>
    <w:p>
      <w:pPr>
        <w:pStyle w:val="BodyText"/>
        <w:ind w:left="115" w:right="798"/>
        <w:rPr>
          <w:rFonts w:ascii="Verdana" w:hAnsi="Verdana"/>
        </w:rPr>
      </w:pPr>
      <w:r>
        <w:rPr>
          <w:rFonts w:ascii="Verdana" w:hAnsi="Verdana"/>
        </w:rPr>
        <w:t>Sonia G. Valadez Torres, Aidé A. Maldonado Macías, Rocío Camacho Alamilla, Jorge Luis García Alcaraz</w:t>
      </w:r>
    </w:p>
    <w:p>
      <w:pPr>
        <w:spacing w:before="240"/>
        <w:ind w:left="115" w:right="0" w:firstLine="0"/>
        <w:jc w:val="left"/>
        <w:rPr>
          <w:rFonts w:ascii="Verdana"/>
          <w:sz w:val="20"/>
        </w:rPr>
      </w:pPr>
      <w:r>
        <w:rPr/>
        <w:br w:type="column"/>
      </w:r>
      <w:r>
        <w:rPr>
          <w:rFonts w:ascii="Verdana"/>
          <w:sz w:val="20"/>
        </w:rPr>
        <w:t>234</w:t>
      </w:r>
    </w:p>
    <w:p>
      <w:pPr>
        <w:spacing w:after="0"/>
        <w:jc w:val="left"/>
        <w:rPr>
          <w:rFonts w:ascii="Verdana"/>
          <w:sz w:val="20"/>
        </w:rPr>
        <w:sectPr>
          <w:type w:val="continuous"/>
          <w:pgSz w:w="12240" w:h="15840"/>
          <w:pgMar w:top="1500" w:bottom="280" w:left="1520" w:right="1520"/>
          <w:cols w:num="2" w:equalWidth="0">
            <w:col w:w="6788" w:space="1304"/>
            <w:col w:w="1108"/>
          </w:cols>
        </w:sectPr>
      </w:pPr>
    </w:p>
    <w:p>
      <w:pPr>
        <w:pStyle w:val="Heading1"/>
        <w:spacing w:before="488"/>
        <w:ind w:left="115"/>
        <w:jc w:val="left"/>
        <w:rPr>
          <w:rFonts w:ascii="Verdana"/>
        </w:rPr>
      </w:pPr>
      <w:r>
        <w:rPr>
          <w:rFonts w:ascii="Verdana"/>
        </w:rPr>
        <w:t>OCCUPATIONAL HEALTH</w:t>
      </w:r>
    </w:p>
    <w:p>
      <w:pPr>
        <w:spacing w:after="0"/>
        <w:jc w:val="left"/>
        <w:rPr>
          <w:rFonts w:ascii="Verdana"/>
        </w:rPr>
        <w:sectPr>
          <w:type w:val="continuous"/>
          <w:pgSz w:w="12240" w:h="15840"/>
          <w:pgMar w:top="1500" w:bottom="280" w:left="1520" w:right="1520"/>
        </w:sectPr>
      </w:pPr>
    </w:p>
    <w:p>
      <w:pPr>
        <w:pStyle w:val="Heading4"/>
        <w:spacing w:before="289"/>
        <w:ind w:left="115" w:right="353"/>
        <w:jc w:val="left"/>
        <w:rPr>
          <w:rFonts w:ascii="Verdana"/>
        </w:rPr>
      </w:pPr>
      <w:r>
        <w:rPr>
          <w:rFonts w:ascii="Verdana"/>
          <w:color w:val="202020"/>
        </w:rPr>
        <w:t>ANALYSIS OF WEIGHT SCHOOL BACKPACKS FACTOR FOR THE ONSET OF BACK PAIN IN STUDENTS.</w:t>
      </w:r>
    </w:p>
    <w:p>
      <w:pPr>
        <w:pStyle w:val="BodyText"/>
        <w:ind w:left="115"/>
        <w:rPr>
          <w:rFonts w:ascii="Verdana" w:hAnsi="Verdana"/>
        </w:rPr>
      </w:pPr>
      <w:r>
        <w:rPr>
          <w:rFonts w:ascii="Verdana" w:hAnsi="Verdana"/>
        </w:rPr>
        <w:t>Karina Luna Soto, Alberto Ramírez Leyva, jesús Iván Ruiz Ibarra, Carlos Enrique Flores Apodaca, Irvin Alexis García Mejía</w:t>
      </w:r>
    </w:p>
    <w:p>
      <w:pPr>
        <w:spacing w:before="289"/>
        <w:ind w:left="115" w:right="0" w:firstLine="0"/>
        <w:jc w:val="left"/>
        <w:rPr>
          <w:rFonts w:ascii="Verdana"/>
          <w:sz w:val="20"/>
        </w:rPr>
      </w:pPr>
      <w:r>
        <w:rPr/>
        <w:br w:type="column"/>
      </w:r>
      <w:r>
        <w:rPr>
          <w:rFonts w:ascii="Verdana"/>
          <w:sz w:val="20"/>
        </w:rPr>
        <w:t>240</w:t>
      </w:r>
    </w:p>
    <w:p>
      <w:pPr>
        <w:spacing w:after="0"/>
        <w:jc w:val="left"/>
        <w:rPr>
          <w:rFonts w:ascii="Verdana"/>
          <w:sz w:val="20"/>
        </w:rPr>
        <w:sectPr>
          <w:type w:val="continuous"/>
          <w:pgSz w:w="12240" w:h="15840"/>
          <w:pgMar w:top="1500" w:bottom="280" w:left="1520" w:right="1520"/>
          <w:cols w:num="2" w:equalWidth="0">
            <w:col w:w="6905" w:space="1188"/>
            <w:col w:w="1107"/>
          </w:cols>
        </w:sectPr>
      </w:pPr>
    </w:p>
    <w:p>
      <w:pPr>
        <w:pStyle w:val="Heading4"/>
        <w:spacing w:before="243"/>
        <w:ind w:left="115" w:right="111"/>
        <w:rPr>
          <w:rFonts w:ascii="Verdana" w:hAnsi="Verdana"/>
        </w:rPr>
      </w:pPr>
      <w:r>
        <w:rPr>
          <w:rFonts w:ascii="Verdana" w:hAnsi="Verdana"/>
        </w:rPr>
        <w:t>DETERMINATION OF FATIGUE AND CUMULATIVE TRAUMA DISORDER IN THE PRODUCTION´S AREA AT AN ICE  CREAM STORE: A STUDY</w:t>
      </w:r>
      <w:r>
        <w:rPr>
          <w:rFonts w:ascii="Verdana" w:hAnsi="Verdana"/>
          <w:spacing w:val="-4"/>
        </w:rPr>
        <w:t> </w:t>
      </w:r>
      <w:r>
        <w:rPr>
          <w:rFonts w:ascii="Verdana" w:hAnsi="Verdana"/>
        </w:rPr>
        <w:t>CASE.</w:t>
      </w:r>
    </w:p>
    <w:p>
      <w:pPr>
        <w:pStyle w:val="BodyText"/>
        <w:ind w:left="115"/>
        <w:jc w:val="both"/>
        <w:rPr>
          <w:rFonts w:ascii="Verdana" w:hAnsi="Verdana"/>
        </w:rPr>
      </w:pPr>
      <w:r>
        <w:rPr>
          <w:rFonts w:ascii="Verdana" w:hAnsi="Verdana"/>
        </w:rPr>
        <w:t>Alberto Ramírez Leyva, Jesús Iván Ruiz Ibarra, Carlos Enrique Flores Apodaca, Luis Roberto Arce López, Varinka Larissa Pérez Hernández</w:t>
      </w:r>
    </w:p>
    <w:p>
      <w:pPr>
        <w:spacing w:before="243"/>
        <w:ind w:left="115" w:right="0" w:firstLine="0"/>
        <w:jc w:val="left"/>
        <w:rPr>
          <w:rFonts w:ascii="Verdana"/>
          <w:sz w:val="20"/>
        </w:rPr>
      </w:pPr>
      <w:r>
        <w:rPr/>
        <w:br w:type="column"/>
      </w:r>
      <w:r>
        <w:rPr>
          <w:rFonts w:ascii="Verdana"/>
          <w:sz w:val="20"/>
        </w:rPr>
        <w:t>244</w:t>
      </w:r>
    </w:p>
    <w:p>
      <w:pPr>
        <w:spacing w:after="0"/>
        <w:jc w:val="left"/>
        <w:rPr>
          <w:rFonts w:ascii="Verdana"/>
          <w:sz w:val="20"/>
        </w:rPr>
        <w:sectPr>
          <w:type w:val="continuous"/>
          <w:pgSz w:w="12240" w:h="15840"/>
          <w:pgMar w:top="1500" w:bottom="280" w:left="1520" w:right="1520"/>
          <w:cols w:num="2" w:equalWidth="0">
            <w:col w:w="6906" w:space="1187"/>
            <w:col w:w="1107"/>
          </w:cols>
        </w:sectPr>
      </w:pPr>
    </w:p>
    <w:p>
      <w:pPr>
        <w:pStyle w:val="Heading4"/>
        <w:spacing w:before="243"/>
        <w:ind w:left="115" w:right="94"/>
        <w:jc w:val="left"/>
        <w:rPr>
          <w:rFonts w:ascii="Verdana"/>
        </w:rPr>
      </w:pPr>
      <w:r>
        <w:rPr>
          <w:rFonts w:ascii="Verdana"/>
        </w:rPr>
        <w:t>STUDY OF CUMULATIVE TRAUMA DISORDERS IN URBAN BUS DRIVERS IN LOS MOCHIS, SINALOA.</w:t>
      </w:r>
    </w:p>
    <w:p>
      <w:pPr>
        <w:pStyle w:val="BodyText"/>
        <w:ind w:left="115"/>
        <w:jc w:val="both"/>
        <w:rPr>
          <w:rFonts w:ascii="Verdana" w:hAnsi="Verdana"/>
        </w:rPr>
      </w:pPr>
      <w:r>
        <w:rPr>
          <w:rFonts w:ascii="Verdana" w:hAnsi="Verdana"/>
        </w:rPr>
        <w:t>José Alfredo Leyva Astorga , Alberto Ramírez Leyva , Jesús  Eduardo Ávila Rodríguez , Tania lizeth Cital lópez , Luis Ángel Orduño</w:t>
      </w:r>
      <w:r>
        <w:rPr>
          <w:rFonts w:ascii="Verdana" w:hAnsi="Verdana"/>
          <w:spacing w:val="-9"/>
        </w:rPr>
        <w:t> </w:t>
      </w:r>
      <w:r>
        <w:rPr>
          <w:rFonts w:ascii="Verdana" w:hAnsi="Verdana"/>
        </w:rPr>
        <w:t>Fierro</w:t>
      </w:r>
    </w:p>
    <w:p>
      <w:pPr>
        <w:spacing w:before="243"/>
        <w:ind w:left="115" w:right="0" w:firstLine="0"/>
        <w:jc w:val="left"/>
        <w:rPr>
          <w:rFonts w:ascii="Verdana"/>
          <w:sz w:val="20"/>
        </w:rPr>
      </w:pPr>
      <w:r>
        <w:rPr/>
        <w:br w:type="column"/>
      </w:r>
      <w:r>
        <w:rPr>
          <w:rFonts w:ascii="Verdana"/>
          <w:sz w:val="20"/>
        </w:rPr>
        <w:t>250</w:t>
      </w:r>
    </w:p>
    <w:p>
      <w:pPr>
        <w:spacing w:after="0"/>
        <w:jc w:val="left"/>
        <w:rPr>
          <w:rFonts w:ascii="Verdana"/>
          <w:sz w:val="20"/>
        </w:rPr>
        <w:sectPr>
          <w:type w:val="continuous"/>
          <w:pgSz w:w="12240" w:h="15840"/>
          <w:pgMar w:top="1500" w:bottom="280" w:left="1520" w:right="1520"/>
          <w:cols w:num="2" w:equalWidth="0">
            <w:col w:w="6962" w:space="1130"/>
            <w:col w:w="1108"/>
          </w:cols>
        </w:sectPr>
      </w:pPr>
    </w:p>
    <w:p>
      <w:pPr>
        <w:pStyle w:val="Heading4"/>
        <w:spacing w:before="222"/>
        <w:ind w:left="115" w:right="353"/>
        <w:jc w:val="left"/>
        <w:rPr>
          <w:rFonts w:ascii="Verdana"/>
        </w:rPr>
      </w:pPr>
      <w:r>
        <w:rPr>
          <w:rFonts w:ascii="Verdana"/>
        </w:rPr>
        <w:t>ATTITUDE TOWARDS MECHANICAL HAZARD IN SUPPLY CHAIN OPERATIONS, BOGOTA 2013 - 2014</w:t>
      </w:r>
    </w:p>
    <w:p>
      <w:pPr>
        <w:pStyle w:val="BodyText"/>
        <w:spacing w:line="242" w:lineRule="exact"/>
        <w:ind w:left="115" w:right="353"/>
        <w:rPr>
          <w:rFonts w:ascii="Verdana" w:hAnsi="Verdana"/>
        </w:rPr>
      </w:pPr>
      <w:r>
        <w:rPr>
          <w:rFonts w:ascii="Verdana" w:hAnsi="Verdana"/>
        </w:rPr>
        <w:t>Jhon Jairo Beltrán Molina</w:t>
      </w:r>
    </w:p>
    <w:p>
      <w:pPr>
        <w:spacing w:before="222"/>
        <w:ind w:left="115" w:right="0" w:firstLine="0"/>
        <w:jc w:val="left"/>
        <w:rPr>
          <w:rFonts w:ascii="Verdana"/>
          <w:sz w:val="20"/>
        </w:rPr>
      </w:pPr>
      <w:r>
        <w:rPr/>
        <w:br w:type="column"/>
      </w:r>
      <w:r>
        <w:rPr>
          <w:rFonts w:ascii="Verdana"/>
          <w:sz w:val="20"/>
        </w:rPr>
        <w:t>256</w:t>
      </w:r>
    </w:p>
    <w:p>
      <w:pPr>
        <w:spacing w:after="0"/>
        <w:jc w:val="left"/>
        <w:rPr>
          <w:rFonts w:ascii="Verdana"/>
          <w:sz w:val="20"/>
        </w:rPr>
        <w:sectPr>
          <w:pgSz w:w="12240" w:h="15840"/>
          <w:pgMar w:header="729" w:footer="0" w:top="920" w:bottom="280" w:left="1520" w:right="1520"/>
          <w:cols w:num="2" w:equalWidth="0">
            <w:col w:w="6905" w:space="1187"/>
            <w:col w:w="1108"/>
          </w:cols>
        </w:sectPr>
      </w:pPr>
    </w:p>
    <w:p>
      <w:pPr>
        <w:pStyle w:val="Heading4"/>
        <w:spacing w:before="243"/>
        <w:ind w:left="115"/>
        <w:rPr>
          <w:rFonts w:ascii="Verdana" w:hAnsi="Verdana"/>
        </w:rPr>
      </w:pPr>
      <w:r>
        <w:rPr>
          <w:rFonts w:ascii="Verdana" w:hAnsi="Verdana"/>
        </w:rPr>
        <w:t>PSYCHOSOCIAL RISK FACTORS AND BURNOUT SYNDROME IN HUMAN RESOURCES WORKERS OF A COMPANY DEDICATED TO THE SUPPLY OF SHORT-TERM PERSONNEL SERVICES IN BOGOTÁ D.C.</w:t>
      </w:r>
    </w:p>
    <w:p>
      <w:pPr>
        <w:pStyle w:val="BodyText"/>
        <w:ind w:left="115"/>
        <w:jc w:val="both"/>
        <w:rPr>
          <w:rFonts w:ascii="Verdana" w:hAnsi="Verdana"/>
        </w:rPr>
      </w:pPr>
      <w:r>
        <w:rPr>
          <w:rFonts w:ascii="Verdana" w:hAnsi="Verdana"/>
        </w:rPr>
        <w:t>Eleonora Jiménez Barrero, Lizeth.Katherine Bohórquez Gómez Jenny Fernanda Quintero Quintero y Maira Alejandra Chaparro Sepúlveda</w:t>
      </w:r>
    </w:p>
    <w:p>
      <w:pPr>
        <w:spacing w:before="243"/>
        <w:ind w:left="115" w:right="0" w:firstLine="0"/>
        <w:jc w:val="left"/>
        <w:rPr>
          <w:rFonts w:ascii="Verdana"/>
          <w:sz w:val="20"/>
        </w:rPr>
      </w:pPr>
      <w:r>
        <w:rPr/>
        <w:br w:type="column"/>
      </w:r>
      <w:r>
        <w:rPr>
          <w:rFonts w:ascii="Verdana"/>
          <w:sz w:val="20"/>
        </w:rPr>
        <w:t>261</w:t>
      </w:r>
    </w:p>
    <w:p>
      <w:pPr>
        <w:spacing w:after="0"/>
        <w:jc w:val="left"/>
        <w:rPr>
          <w:rFonts w:ascii="Verdana"/>
          <w:sz w:val="20"/>
        </w:rPr>
        <w:sectPr>
          <w:type w:val="continuous"/>
          <w:pgSz w:w="12240" w:h="15840"/>
          <w:pgMar w:top="1500" w:bottom="280" w:left="1520" w:right="1520"/>
          <w:cols w:num="2" w:equalWidth="0">
            <w:col w:w="6906" w:space="1187"/>
            <w:col w:w="1107"/>
          </w:cols>
        </w:sectPr>
      </w:pPr>
    </w:p>
    <w:p>
      <w:pPr>
        <w:pStyle w:val="Heading4"/>
        <w:tabs>
          <w:tab w:pos="1794" w:val="left" w:leader="none"/>
          <w:tab w:pos="3258" w:val="left" w:leader="none"/>
          <w:tab w:pos="4304" w:val="left" w:leader="none"/>
          <w:tab w:pos="5701" w:val="left" w:leader="none"/>
          <w:tab w:pos="6627" w:val="left" w:leader="none"/>
        </w:tabs>
        <w:spacing w:before="243"/>
        <w:ind w:left="115"/>
        <w:jc w:val="left"/>
        <w:rPr>
          <w:rFonts w:ascii="Verdana" w:hAnsi="Verdana"/>
        </w:rPr>
      </w:pPr>
      <w:r>
        <w:rPr>
          <w:rFonts w:ascii="Verdana" w:hAnsi="Verdana"/>
        </w:rPr>
        <w:t>ERGONOMIC</w:t>
        <w:tab/>
        <w:t>RESEARCH</w:t>
        <w:tab/>
        <w:t>ABOUT</w:t>
        <w:tab/>
        <w:t>POSSIBLE</w:t>
        <w:tab/>
        <w:t>CDT’S</w:t>
        <w:tab/>
        <w:t>IN</w:t>
      </w:r>
      <w:r>
        <w:rPr>
          <w:rFonts w:ascii="Verdana" w:hAnsi="Verdana"/>
          <w:w w:val="100"/>
        </w:rPr>
        <w:t> </w:t>
      </w:r>
      <w:r>
        <w:rPr>
          <w:rFonts w:ascii="Verdana" w:hAnsi="Verdana"/>
        </w:rPr>
        <w:t>BARBERS OF LOS MOCHIS, SINALOA</w:t>
      </w:r>
      <w:r>
        <w:rPr>
          <w:rFonts w:ascii="Verdana" w:hAnsi="Verdana"/>
          <w:spacing w:val="-9"/>
        </w:rPr>
        <w:t> </w:t>
      </w:r>
      <w:r>
        <w:rPr>
          <w:rFonts w:ascii="Verdana" w:hAnsi="Verdana"/>
        </w:rPr>
        <w:t>CITY</w:t>
      </w:r>
    </w:p>
    <w:p>
      <w:pPr>
        <w:pStyle w:val="BodyText"/>
        <w:ind w:left="115"/>
        <w:rPr>
          <w:rFonts w:ascii="Verdana" w:hAnsi="Verdana"/>
        </w:rPr>
      </w:pPr>
      <w:r>
        <w:rPr>
          <w:rFonts w:ascii="Verdana" w:hAnsi="Verdana"/>
        </w:rPr>
        <w:t>Alberto Ramírez Leyva, Jorge Alan Hinogiante Castillo, Elizabeth Guadalupe Robles Rojo, Reyna Isabel Camacho Chávez.</w:t>
      </w:r>
    </w:p>
    <w:p>
      <w:pPr>
        <w:spacing w:before="243"/>
        <w:ind w:left="115" w:right="0" w:firstLine="0"/>
        <w:jc w:val="left"/>
        <w:rPr>
          <w:rFonts w:ascii="Verdana"/>
          <w:sz w:val="20"/>
        </w:rPr>
      </w:pPr>
      <w:r>
        <w:rPr/>
        <w:br w:type="column"/>
      </w:r>
      <w:r>
        <w:rPr>
          <w:rFonts w:ascii="Verdana"/>
          <w:sz w:val="20"/>
        </w:rPr>
        <w:t>268</w:t>
      </w:r>
    </w:p>
    <w:p>
      <w:pPr>
        <w:spacing w:after="0"/>
        <w:jc w:val="left"/>
        <w:rPr>
          <w:rFonts w:ascii="Verdana"/>
          <w:sz w:val="20"/>
        </w:rPr>
        <w:sectPr>
          <w:type w:val="continuous"/>
          <w:pgSz w:w="12240" w:h="15840"/>
          <w:pgMar w:top="1500" w:bottom="280" w:left="1520" w:right="1520"/>
          <w:cols w:num="2" w:equalWidth="0">
            <w:col w:w="6907" w:space="1186"/>
            <w:col w:w="1107"/>
          </w:cols>
        </w:sectPr>
      </w:pPr>
    </w:p>
    <w:p>
      <w:pPr>
        <w:pStyle w:val="Heading4"/>
        <w:spacing w:before="243"/>
        <w:ind w:left="115" w:right="21"/>
        <w:jc w:val="left"/>
        <w:rPr>
          <w:rFonts w:ascii="Verdana" w:hAnsi="Verdana"/>
        </w:rPr>
      </w:pPr>
      <w:r>
        <w:rPr>
          <w:rFonts w:ascii="Verdana" w:hAnsi="Verdana"/>
          <w:color w:val="202020"/>
        </w:rPr>
        <w:t>CORN TORTILLERÍA CDT’S DETECTION, A STUDY MILLER WITH SUBJECTIVE METHODS</w:t>
      </w:r>
    </w:p>
    <w:p>
      <w:pPr>
        <w:pStyle w:val="BodyText"/>
        <w:ind w:left="115" w:right="21"/>
        <w:rPr>
          <w:rFonts w:ascii="Verdana" w:hAnsi="Verdana"/>
        </w:rPr>
      </w:pPr>
      <w:r>
        <w:rPr>
          <w:rFonts w:ascii="Verdana" w:hAnsi="Verdana"/>
        </w:rPr>
        <w:t>Alberto Ramírez Leyva, Jesús Iván Ruiz Ibarra, Daniela Apodaca Rábago, Joel Roberto Martínez Corral, Carlos Alberto Nava Mena</w:t>
      </w:r>
    </w:p>
    <w:p>
      <w:pPr>
        <w:spacing w:before="243"/>
        <w:ind w:left="115" w:right="0" w:firstLine="0"/>
        <w:jc w:val="left"/>
        <w:rPr>
          <w:rFonts w:ascii="Verdana"/>
          <w:sz w:val="20"/>
        </w:rPr>
      </w:pPr>
      <w:r>
        <w:rPr/>
        <w:br w:type="column"/>
      </w:r>
      <w:r>
        <w:rPr>
          <w:rFonts w:ascii="Verdana"/>
          <w:sz w:val="20"/>
        </w:rPr>
        <w:t>273</w:t>
      </w:r>
    </w:p>
    <w:p>
      <w:pPr>
        <w:spacing w:after="0"/>
        <w:jc w:val="left"/>
        <w:rPr>
          <w:rFonts w:ascii="Verdana"/>
          <w:sz w:val="20"/>
        </w:rPr>
        <w:sectPr>
          <w:type w:val="continuous"/>
          <w:pgSz w:w="12240" w:h="15840"/>
          <w:pgMar w:top="1500" w:bottom="280" w:left="1520" w:right="1520"/>
          <w:cols w:num="2" w:equalWidth="0">
            <w:col w:w="6906" w:space="1186"/>
            <w:col w:w="1108"/>
          </w:cols>
        </w:sectPr>
      </w:pPr>
    </w:p>
    <w:p>
      <w:pPr>
        <w:pStyle w:val="Heading4"/>
        <w:spacing w:before="243"/>
        <w:ind w:left="115" w:right="353"/>
        <w:jc w:val="left"/>
        <w:rPr>
          <w:rFonts w:ascii="Verdana"/>
        </w:rPr>
      </w:pPr>
      <w:r>
        <w:rPr>
          <w:rFonts w:ascii="Verdana"/>
        </w:rPr>
        <w:t>CDT'S ANALYSIS IN CRAFT FISHERMEN IN THE BAY OF TOPOLOBAMPO, SINALOA.</w:t>
      </w:r>
    </w:p>
    <w:p>
      <w:pPr>
        <w:pStyle w:val="BodyText"/>
        <w:ind w:left="115" w:right="353"/>
        <w:rPr>
          <w:rFonts w:ascii="Verdana" w:hAnsi="Verdana"/>
        </w:rPr>
      </w:pPr>
      <w:r>
        <w:rPr>
          <w:rFonts w:ascii="Verdana" w:hAnsi="Verdana"/>
        </w:rPr>
        <w:t>Alberto Ramírez Leyva, Diego Francisco Estrada Rosas, Luis Armando, Sara Patricia Vega Valdez, Kizú Yaneth Cortez Alejo</w:t>
      </w:r>
    </w:p>
    <w:p>
      <w:pPr>
        <w:spacing w:before="243"/>
        <w:ind w:left="115" w:right="0" w:firstLine="0"/>
        <w:jc w:val="left"/>
        <w:rPr>
          <w:rFonts w:ascii="Verdana"/>
          <w:sz w:val="20"/>
        </w:rPr>
      </w:pPr>
      <w:r>
        <w:rPr/>
        <w:br w:type="column"/>
      </w:r>
      <w:r>
        <w:rPr>
          <w:rFonts w:ascii="Verdana"/>
          <w:sz w:val="20"/>
        </w:rPr>
        <w:t>279</w:t>
      </w:r>
    </w:p>
    <w:p>
      <w:pPr>
        <w:spacing w:after="0"/>
        <w:jc w:val="left"/>
        <w:rPr>
          <w:rFonts w:ascii="Verdana"/>
          <w:sz w:val="20"/>
        </w:rPr>
        <w:sectPr>
          <w:type w:val="continuous"/>
          <w:pgSz w:w="12240" w:h="15840"/>
          <w:pgMar w:top="1500" w:bottom="280" w:left="1520" w:right="1520"/>
          <w:cols w:num="2" w:equalWidth="0">
            <w:col w:w="6905" w:space="1188"/>
            <w:col w:w="1107"/>
          </w:cols>
        </w:sectPr>
      </w:pPr>
    </w:p>
    <w:p>
      <w:pPr>
        <w:pStyle w:val="Heading4"/>
        <w:tabs>
          <w:tab w:pos="1742" w:val="left" w:leader="none"/>
          <w:tab w:pos="3435" w:val="left" w:leader="none"/>
          <w:tab w:pos="3954" w:val="left" w:leader="none"/>
          <w:tab w:pos="5387" w:val="left" w:leader="none"/>
          <w:tab w:pos="6625" w:val="left" w:leader="none"/>
        </w:tabs>
        <w:spacing w:before="243"/>
        <w:ind w:left="115"/>
        <w:jc w:val="left"/>
        <w:rPr>
          <w:rFonts w:ascii="Verdana" w:hAnsi="Verdana"/>
        </w:rPr>
      </w:pPr>
      <w:r>
        <w:rPr>
          <w:rFonts w:ascii="Verdana" w:hAnsi="Verdana"/>
        </w:rPr>
        <w:t>ERGONOMIC</w:t>
        <w:tab/>
        <w:t>EVALUATION</w:t>
        <w:tab/>
        <w:t>OF</w:t>
        <w:tab/>
        <w:t>“LINIERO”</w:t>
        <w:tab/>
        <w:t>STATION</w:t>
        <w:tab/>
      </w:r>
      <w:r>
        <w:rPr>
          <w:rFonts w:ascii="Verdana" w:hAnsi="Verdana"/>
          <w:spacing w:val="-1"/>
        </w:rPr>
        <w:t>IN </w:t>
      </w:r>
      <w:r>
        <w:rPr>
          <w:rFonts w:ascii="Verdana" w:hAnsi="Verdana"/>
        </w:rPr>
        <w:t>FEDERAL ELECTRICITY</w:t>
      </w:r>
      <w:r>
        <w:rPr>
          <w:rFonts w:ascii="Verdana" w:hAnsi="Verdana"/>
          <w:spacing w:val="-22"/>
        </w:rPr>
        <w:t> </w:t>
      </w:r>
      <w:r>
        <w:rPr>
          <w:rFonts w:ascii="Verdana" w:hAnsi="Verdana"/>
        </w:rPr>
        <w:t>COMMISSION</w:t>
      </w:r>
    </w:p>
    <w:p>
      <w:pPr>
        <w:pStyle w:val="BodyText"/>
        <w:ind w:left="115"/>
        <w:rPr>
          <w:rFonts w:ascii="Verdana" w:hAnsi="Verdana"/>
        </w:rPr>
      </w:pPr>
      <w:r>
        <w:rPr>
          <w:rFonts w:ascii="Verdana" w:hAnsi="Verdana"/>
        </w:rPr>
        <w:t>Mirza Guadalupe Zamarrón Leyva, Mauricio López Acosta, Gilda María Martínez Solano,  Aarón Fernando Quirós Morales</w:t>
      </w:r>
    </w:p>
    <w:p>
      <w:pPr>
        <w:spacing w:before="243"/>
        <w:ind w:left="115" w:right="0" w:firstLine="0"/>
        <w:jc w:val="left"/>
        <w:rPr>
          <w:rFonts w:ascii="Verdana"/>
          <w:sz w:val="20"/>
        </w:rPr>
      </w:pPr>
      <w:r>
        <w:rPr/>
        <w:br w:type="column"/>
      </w:r>
      <w:r>
        <w:rPr>
          <w:rFonts w:ascii="Verdana"/>
          <w:sz w:val="20"/>
        </w:rPr>
        <w:t>284</w:t>
      </w:r>
    </w:p>
    <w:p>
      <w:pPr>
        <w:spacing w:after="0"/>
        <w:jc w:val="left"/>
        <w:rPr>
          <w:rFonts w:ascii="Verdana"/>
          <w:sz w:val="20"/>
        </w:rPr>
        <w:sectPr>
          <w:type w:val="continuous"/>
          <w:pgSz w:w="12240" w:h="15840"/>
          <w:pgMar w:top="1500" w:bottom="280" w:left="1520" w:right="1520"/>
          <w:cols w:num="2" w:equalWidth="0">
            <w:col w:w="6905" w:space="1188"/>
            <w:col w:w="1107"/>
          </w:cols>
        </w:sectPr>
      </w:pPr>
    </w:p>
    <w:p>
      <w:pPr>
        <w:pStyle w:val="Heading4"/>
        <w:spacing w:before="243"/>
        <w:ind w:left="115" w:right="109"/>
        <w:rPr>
          <w:rFonts w:ascii="Verdana"/>
        </w:rPr>
      </w:pPr>
      <w:r>
        <w:rPr>
          <w:rFonts w:ascii="Verdana"/>
        </w:rPr>
        <w:t>ELECTROCARDIOGRAPH ANALYSIS INSIDE A CONTROLLED ENVIRONMENT ROOM AND ANALYSIS OF POSTURAL LOAD IN DEVELOP OF A REPETITIVE TASK</w:t>
      </w:r>
    </w:p>
    <w:p>
      <w:pPr>
        <w:pStyle w:val="BodyText"/>
        <w:ind w:left="115"/>
        <w:jc w:val="both"/>
        <w:rPr>
          <w:rFonts w:ascii="Verdana" w:hAnsi="Verdana"/>
        </w:rPr>
      </w:pPr>
      <w:r>
        <w:rPr>
          <w:rFonts w:ascii="Verdana" w:hAnsi="Verdana"/>
        </w:rPr>
        <w:t>Jesús Enrique Ching Pellegrini, Juan Andrés López Barreras,  Gómez Franco Julio Cesar, López Barreras Cesar Ismael, Olguín Tiznado Jesús</w:t>
      </w:r>
      <w:r>
        <w:rPr>
          <w:rFonts w:ascii="Verdana" w:hAnsi="Verdana"/>
          <w:spacing w:val="-15"/>
        </w:rPr>
        <w:t> </w:t>
      </w:r>
      <w:r>
        <w:rPr>
          <w:rFonts w:ascii="Verdana" w:hAnsi="Verdana"/>
        </w:rPr>
        <w:t>Everardo</w:t>
      </w:r>
    </w:p>
    <w:p>
      <w:pPr>
        <w:spacing w:before="243"/>
        <w:ind w:left="115" w:right="0" w:firstLine="0"/>
        <w:jc w:val="left"/>
        <w:rPr>
          <w:rFonts w:ascii="Verdana"/>
          <w:sz w:val="20"/>
        </w:rPr>
      </w:pPr>
      <w:r>
        <w:rPr/>
        <w:br w:type="column"/>
      </w:r>
      <w:r>
        <w:rPr>
          <w:rFonts w:ascii="Verdana"/>
          <w:sz w:val="20"/>
        </w:rPr>
        <w:t>291</w:t>
      </w:r>
    </w:p>
    <w:p>
      <w:pPr>
        <w:spacing w:after="0"/>
        <w:jc w:val="left"/>
        <w:rPr>
          <w:rFonts w:ascii="Verdana"/>
          <w:sz w:val="20"/>
        </w:rPr>
        <w:sectPr>
          <w:type w:val="continuous"/>
          <w:pgSz w:w="12240" w:h="15840"/>
          <w:pgMar w:top="1500" w:bottom="280" w:left="1520" w:right="1520"/>
          <w:cols w:num="2" w:equalWidth="0">
            <w:col w:w="6904" w:space="1189"/>
            <w:col w:w="1107"/>
          </w:cols>
        </w:sectPr>
      </w:pPr>
    </w:p>
    <w:p>
      <w:pPr>
        <w:pStyle w:val="Heading4"/>
        <w:spacing w:before="243"/>
        <w:ind w:left="115"/>
        <w:jc w:val="left"/>
        <w:rPr>
          <w:rFonts w:ascii="Verdana"/>
        </w:rPr>
      </w:pPr>
      <w:r>
        <w:rPr>
          <w:rFonts w:ascii="Verdana"/>
        </w:rPr>
        <w:t>ANALYSIS OF ERGONOMIC RISK FACTORS ACCORDING TO THE NEW MEXICAN REGULATIONS (RFSST-2014)</w:t>
      </w:r>
    </w:p>
    <w:p>
      <w:pPr>
        <w:pStyle w:val="BodyText"/>
        <w:ind w:left="115"/>
        <w:jc w:val="both"/>
        <w:rPr>
          <w:rFonts w:ascii="Verdana" w:hAnsi="Verdana"/>
        </w:rPr>
      </w:pPr>
      <w:r>
        <w:rPr>
          <w:rFonts w:ascii="Verdana" w:hAnsi="Verdana"/>
        </w:rPr>
        <w:t>Carlos Raúl Navarro González, Ing. Elsa Emma Barraza Rincón, Antonio Corona Guzmán, Verónica Arredondo Robledo, Rebeca Cabrera Rivera</w:t>
      </w:r>
    </w:p>
    <w:p>
      <w:pPr>
        <w:spacing w:before="243"/>
        <w:ind w:left="115" w:right="0" w:firstLine="0"/>
        <w:jc w:val="left"/>
        <w:rPr>
          <w:rFonts w:ascii="Verdana"/>
          <w:sz w:val="20"/>
        </w:rPr>
      </w:pPr>
      <w:r>
        <w:rPr/>
        <w:br w:type="column"/>
      </w:r>
      <w:r>
        <w:rPr>
          <w:rFonts w:ascii="Verdana"/>
          <w:sz w:val="20"/>
        </w:rPr>
        <w:t>294</w:t>
      </w:r>
    </w:p>
    <w:p>
      <w:pPr>
        <w:spacing w:after="0"/>
        <w:jc w:val="left"/>
        <w:rPr>
          <w:rFonts w:ascii="Verdana"/>
          <w:sz w:val="20"/>
        </w:rPr>
        <w:sectPr>
          <w:type w:val="continuous"/>
          <w:pgSz w:w="12240" w:h="15840"/>
          <w:pgMar w:top="1500" w:bottom="280" w:left="1520" w:right="1520"/>
          <w:cols w:num="2" w:equalWidth="0">
            <w:col w:w="6905" w:space="1188"/>
            <w:col w:w="1107"/>
          </w:cols>
        </w:sectPr>
      </w:pPr>
    </w:p>
    <w:p>
      <w:pPr>
        <w:pStyle w:val="Heading4"/>
        <w:tabs>
          <w:tab w:pos="2131" w:val="left" w:leader="none"/>
          <w:tab w:pos="3643" w:val="left" w:leader="none"/>
          <w:tab w:pos="4345" w:val="left" w:leader="none"/>
          <w:tab w:pos="5715" w:val="left" w:leader="none"/>
        </w:tabs>
        <w:spacing w:before="243"/>
        <w:ind w:left="115"/>
        <w:jc w:val="left"/>
        <w:rPr>
          <w:rFonts w:ascii="Verdana"/>
        </w:rPr>
      </w:pPr>
      <w:r>
        <w:rPr>
          <w:rFonts w:ascii="Verdana"/>
        </w:rPr>
        <w:t>COMPARATIVE</w:t>
        <w:tab/>
        <w:t>ANALYSIS</w:t>
        <w:tab/>
        <w:t>ON</w:t>
        <w:tab/>
        <w:t>COLLEGE</w:t>
        <w:tab/>
      </w:r>
      <w:r>
        <w:rPr>
          <w:rFonts w:ascii="Verdana"/>
          <w:spacing w:val="-1"/>
        </w:rPr>
        <w:t>STUDENTS </w:t>
      </w:r>
      <w:r>
        <w:rPr>
          <w:rFonts w:ascii="Verdana"/>
        </w:rPr>
        <w:t>THROUGH SPIROMETRY WITH WIRELESS</w:t>
      </w:r>
      <w:r>
        <w:rPr>
          <w:rFonts w:ascii="Verdana"/>
          <w:spacing w:val="-29"/>
        </w:rPr>
        <w:t> </w:t>
      </w:r>
      <w:r>
        <w:rPr>
          <w:rFonts w:ascii="Verdana"/>
        </w:rPr>
        <w:t>TELEMETRY</w:t>
      </w:r>
    </w:p>
    <w:p>
      <w:pPr>
        <w:pStyle w:val="BodyText"/>
        <w:ind w:left="115"/>
        <w:rPr>
          <w:rFonts w:ascii="Verdana" w:hAnsi="Verdana"/>
        </w:rPr>
      </w:pPr>
      <w:r>
        <w:rPr>
          <w:rFonts w:ascii="Verdana" w:hAnsi="Verdana"/>
        </w:rPr>
        <w:t>Lucia Gabriela Ávila Zavala, Juan Andres, Arturo Sinue Ontiveros Zepeda, Claudia Camargo Wilson, Jesús Everardo Olguín Tiznado</w:t>
      </w:r>
    </w:p>
    <w:p>
      <w:pPr>
        <w:spacing w:before="243"/>
        <w:ind w:left="115" w:right="0" w:firstLine="0"/>
        <w:jc w:val="left"/>
        <w:rPr>
          <w:rFonts w:ascii="Verdana"/>
          <w:sz w:val="20"/>
        </w:rPr>
      </w:pPr>
      <w:r>
        <w:rPr/>
        <w:br w:type="column"/>
      </w:r>
      <w:r>
        <w:rPr>
          <w:rFonts w:ascii="Verdana"/>
          <w:sz w:val="20"/>
        </w:rPr>
        <w:t>330</w:t>
      </w:r>
    </w:p>
    <w:p>
      <w:pPr>
        <w:spacing w:after="0"/>
        <w:jc w:val="left"/>
        <w:rPr>
          <w:rFonts w:ascii="Verdana"/>
          <w:sz w:val="20"/>
        </w:rPr>
        <w:sectPr>
          <w:type w:val="continuous"/>
          <w:pgSz w:w="12240" w:h="15840"/>
          <w:pgMar w:top="1500" w:bottom="280" w:left="1520" w:right="1520"/>
          <w:cols w:num="2" w:equalWidth="0">
            <w:col w:w="6905" w:space="1187"/>
            <w:col w:w="1108"/>
          </w:cols>
        </w:sectPr>
      </w:pPr>
    </w:p>
    <w:p>
      <w:pPr>
        <w:pStyle w:val="Heading4"/>
        <w:spacing w:before="243"/>
        <w:ind w:left="115" w:right="21"/>
        <w:jc w:val="left"/>
        <w:rPr>
          <w:rFonts w:ascii="Verdana" w:hAnsi="Verdana"/>
        </w:rPr>
      </w:pPr>
      <w:r>
        <w:rPr>
          <w:rFonts w:ascii="Verdana" w:hAnsi="Verdana"/>
        </w:rPr>
        <w:t>PEOPLE THAT MAKE FLOUR TORTILLAS PROCESSED IN HAND AT LOS MOCHIS, SINALOA: CDT’S ANALYSIS.</w:t>
      </w:r>
    </w:p>
    <w:p>
      <w:pPr>
        <w:pStyle w:val="BodyText"/>
        <w:tabs>
          <w:tab w:pos="877" w:val="left" w:leader="none"/>
          <w:tab w:pos="1518" w:val="left" w:leader="none"/>
          <w:tab w:pos="2428" w:val="left" w:leader="none"/>
          <w:tab w:pos="3187" w:val="left" w:leader="none"/>
          <w:tab w:pos="4131" w:val="left" w:leader="none"/>
          <w:tab w:pos="5369" w:val="left" w:leader="none"/>
          <w:tab w:pos="6088" w:val="left" w:leader="none"/>
        </w:tabs>
        <w:ind w:left="115"/>
        <w:rPr>
          <w:rFonts w:ascii="Verdana" w:hAnsi="Verdana"/>
        </w:rPr>
      </w:pPr>
      <w:r>
        <w:rPr>
          <w:rFonts w:ascii="Verdana" w:hAnsi="Verdana"/>
        </w:rPr>
        <w:t>Jesús</w:t>
        <w:tab/>
        <w:t>Ruiz</w:t>
        <w:tab/>
        <w:t>Ibarra,</w:t>
        <w:tab/>
        <w:t>Jesús</w:t>
        <w:tab/>
        <w:t>Chávez</w:t>
        <w:tab/>
        <w:t>Ahumada,</w:t>
        <w:tab/>
        <w:t>Dalia</w:t>
        <w:tab/>
      </w:r>
      <w:r>
        <w:rPr>
          <w:rFonts w:ascii="Verdana" w:hAnsi="Verdana"/>
          <w:spacing w:val="-1"/>
        </w:rPr>
        <w:t>Pacheco </w:t>
      </w:r>
      <w:r>
        <w:rPr>
          <w:rFonts w:ascii="Verdana" w:hAnsi="Verdana"/>
        </w:rPr>
        <w:t>Gastelum, Alma Romero Cárdenas, Ixcel Anay Zamarrón</w:t>
      </w:r>
      <w:r>
        <w:rPr>
          <w:rFonts w:ascii="Verdana" w:hAnsi="Verdana"/>
          <w:spacing w:val="-32"/>
        </w:rPr>
        <w:t> </w:t>
      </w:r>
      <w:r>
        <w:rPr>
          <w:rFonts w:ascii="Verdana" w:hAnsi="Verdana"/>
        </w:rPr>
        <w:t>Acosta</w:t>
      </w:r>
    </w:p>
    <w:p>
      <w:pPr>
        <w:spacing w:before="243"/>
        <w:ind w:left="115" w:right="0" w:firstLine="0"/>
        <w:jc w:val="left"/>
        <w:rPr>
          <w:rFonts w:ascii="Verdana"/>
          <w:sz w:val="20"/>
        </w:rPr>
      </w:pPr>
      <w:r>
        <w:rPr/>
        <w:br w:type="column"/>
      </w:r>
      <w:r>
        <w:rPr>
          <w:rFonts w:ascii="Verdana"/>
          <w:sz w:val="20"/>
        </w:rPr>
        <w:t>304</w:t>
      </w:r>
    </w:p>
    <w:p>
      <w:pPr>
        <w:spacing w:after="0"/>
        <w:jc w:val="left"/>
        <w:rPr>
          <w:rFonts w:ascii="Verdana"/>
          <w:sz w:val="20"/>
        </w:rPr>
        <w:sectPr>
          <w:type w:val="continuous"/>
          <w:pgSz w:w="12240" w:h="15840"/>
          <w:pgMar w:top="1500" w:bottom="280" w:left="1520" w:right="1520"/>
          <w:cols w:num="2" w:equalWidth="0">
            <w:col w:w="6906" w:space="1187"/>
            <w:col w:w="1107"/>
          </w:cols>
        </w:sectPr>
      </w:pPr>
    </w:p>
    <w:p>
      <w:pPr>
        <w:pStyle w:val="Heading4"/>
        <w:spacing w:before="465"/>
        <w:ind w:left="115" w:right="21"/>
        <w:jc w:val="left"/>
        <w:rPr>
          <w:rFonts w:ascii="Verdana"/>
        </w:rPr>
      </w:pPr>
      <w:r>
        <w:rPr>
          <w:rFonts w:ascii="Verdana"/>
        </w:rPr>
        <w:t>REDUCING ERGONOMIC RISKS BY IMPROVING THE DESIGN OF THE LAPAROSCOPIC FORCEPS</w:t>
      </w:r>
    </w:p>
    <w:p>
      <w:pPr>
        <w:pStyle w:val="BodyText"/>
        <w:tabs>
          <w:tab w:pos="788" w:val="left" w:leader="none"/>
          <w:tab w:pos="1623" w:val="left" w:leader="none"/>
          <w:tab w:pos="2419" w:val="left" w:leader="none"/>
          <w:tab w:pos="3636" w:val="left" w:leader="none"/>
          <w:tab w:pos="4559" w:val="left" w:leader="none"/>
          <w:tab w:pos="5254" w:val="left" w:leader="none"/>
          <w:tab w:pos="6509" w:val="left" w:leader="none"/>
        </w:tabs>
        <w:ind w:left="115"/>
        <w:rPr>
          <w:rFonts w:ascii="Verdana" w:hAnsi="Verdana"/>
        </w:rPr>
      </w:pPr>
      <w:r>
        <w:rPr>
          <w:rFonts w:ascii="Verdana" w:hAnsi="Verdana"/>
        </w:rPr>
        <w:t>Juan</w:t>
        <w:tab/>
        <w:t>Carlos</w:t>
        <w:tab/>
        <w:t>Garza</w:t>
        <w:tab/>
        <w:t>Escamilla,</w:t>
        <w:tab/>
        <w:t>Rosalío</w:t>
        <w:tab/>
        <w:t>Ávila</w:t>
        <w:tab/>
        <w:t>Chaurand,</w:t>
        <w:tab/>
      </w:r>
      <w:r>
        <w:rPr>
          <w:rFonts w:ascii="Verdana" w:hAnsi="Verdana"/>
          <w:spacing w:val="-1"/>
        </w:rPr>
        <w:t>Luis </w:t>
      </w:r>
      <w:r>
        <w:rPr>
          <w:rFonts w:ascii="Verdana" w:hAnsi="Verdana"/>
        </w:rPr>
        <w:t>Francisco Gómez</w:t>
      </w:r>
      <w:r>
        <w:rPr>
          <w:rFonts w:ascii="Verdana" w:hAnsi="Verdana"/>
          <w:spacing w:val="-18"/>
        </w:rPr>
        <w:t> </w:t>
      </w:r>
      <w:r>
        <w:rPr>
          <w:rFonts w:ascii="Verdana" w:hAnsi="Verdana"/>
        </w:rPr>
        <w:t>Hermosillo</w:t>
      </w:r>
    </w:p>
    <w:p>
      <w:pPr>
        <w:spacing w:before="465"/>
        <w:ind w:left="115" w:right="0" w:firstLine="0"/>
        <w:jc w:val="left"/>
        <w:rPr>
          <w:rFonts w:ascii="Verdana"/>
          <w:sz w:val="20"/>
        </w:rPr>
      </w:pPr>
      <w:r>
        <w:rPr/>
        <w:br w:type="column"/>
      </w:r>
      <w:r>
        <w:rPr>
          <w:rFonts w:ascii="Verdana"/>
          <w:sz w:val="20"/>
        </w:rPr>
        <w:t>309</w:t>
      </w:r>
    </w:p>
    <w:p>
      <w:pPr>
        <w:spacing w:after="0"/>
        <w:jc w:val="left"/>
        <w:rPr>
          <w:rFonts w:ascii="Verdana"/>
          <w:sz w:val="20"/>
        </w:rPr>
        <w:sectPr>
          <w:pgSz w:w="12240" w:h="15840"/>
          <w:pgMar w:header="729" w:footer="0" w:top="920" w:bottom="280" w:left="1520" w:right="1520"/>
          <w:cols w:num="2" w:equalWidth="0">
            <w:col w:w="6906" w:space="1187"/>
            <w:col w:w="1107"/>
          </w:cols>
        </w:sectPr>
      </w:pPr>
    </w:p>
    <w:p>
      <w:pPr>
        <w:pStyle w:val="Heading4"/>
        <w:spacing w:before="243"/>
        <w:ind w:left="115"/>
        <w:rPr>
          <w:rFonts w:ascii="Verdana"/>
        </w:rPr>
      </w:pPr>
      <w:r>
        <w:rPr>
          <w:rFonts w:ascii="Verdana"/>
        </w:rPr>
        <w:t>COMPARATIVE STUDY OF THE RISK OF BACK PAIN IN CHILDREN FROM CABORCA, MEXICO, A LEADING CAUSE OF BURDEN OF SCHOOL SUPPLIES AT TWO MOMENTS, FALL 2009 AND FALL 2014.</w:t>
      </w:r>
    </w:p>
    <w:p>
      <w:pPr>
        <w:pStyle w:val="BodyText"/>
        <w:ind w:left="115"/>
        <w:jc w:val="both"/>
        <w:rPr>
          <w:rFonts w:ascii="Verdana" w:hAnsi="Verdana"/>
        </w:rPr>
      </w:pPr>
      <w:r>
        <w:rPr>
          <w:rFonts w:ascii="Verdana" w:hAnsi="Verdana"/>
        </w:rPr>
        <w:t>Jesús Rodolfo Guzmán Hernández, Joaquín Vásquez Quiroga, Ramón Arturo Vega Robles, Martin Cadena Badilla</w:t>
      </w:r>
    </w:p>
    <w:p>
      <w:pPr>
        <w:spacing w:before="243"/>
        <w:ind w:left="115" w:right="0" w:firstLine="0"/>
        <w:jc w:val="left"/>
        <w:rPr>
          <w:rFonts w:ascii="Verdana"/>
          <w:sz w:val="20"/>
        </w:rPr>
      </w:pPr>
      <w:r>
        <w:rPr/>
        <w:br w:type="column"/>
      </w:r>
      <w:r>
        <w:rPr>
          <w:rFonts w:ascii="Verdana"/>
          <w:sz w:val="20"/>
        </w:rPr>
        <w:t>313</w:t>
      </w:r>
    </w:p>
    <w:p>
      <w:pPr>
        <w:spacing w:after="0"/>
        <w:jc w:val="left"/>
        <w:rPr>
          <w:rFonts w:ascii="Verdana"/>
          <w:sz w:val="20"/>
        </w:rPr>
        <w:sectPr>
          <w:type w:val="continuous"/>
          <w:pgSz w:w="12240" w:h="15840"/>
          <w:pgMar w:top="1500" w:bottom="280" w:left="1520" w:right="1520"/>
          <w:cols w:num="2" w:equalWidth="0">
            <w:col w:w="6904" w:space="1188"/>
            <w:col w:w="1108"/>
          </w:cols>
        </w:sectPr>
      </w:pPr>
    </w:p>
    <w:p>
      <w:pPr>
        <w:pStyle w:val="Heading4"/>
        <w:spacing w:before="243"/>
        <w:ind w:left="115" w:right="353"/>
        <w:jc w:val="left"/>
        <w:rPr>
          <w:rFonts w:ascii="Verdana"/>
        </w:rPr>
      </w:pPr>
      <w:r>
        <w:rPr>
          <w:rFonts w:ascii="Verdana"/>
        </w:rPr>
        <w:t>AN ANTHROPOMETRIC SURVEY: COMPARISON BETWEEN PUBLIC AND PRIVATE ELEMENTARY SCHOOL CHILDREN</w:t>
      </w:r>
    </w:p>
    <w:p>
      <w:pPr>
        <w:pStyle w:val="BodyText"/>
        <w:ind w:left="115"/>
        <w:rPr>
          <w:rFonts w:ascii="Verdana" w:hAnsi="Verdana"/>
        </w:rPr>
      </w:pPr>
      <w:r>
        <w:rPr>
          <w:rFonts w:ascii="Verdana" w:hAnsi="Verdana"/>
        </w:rPr>
        <w:t>María Magdalena Romo Ayala, Graciela Rodríguez Vega, Guillermo Martínez Cadena, Martina Elisa Platt Borbón, Amina Marín Martínez</w:t>
      </w:r>
    </w:p>
    <w:p>
      <w:pPr>
        <w:spacing w:before="243"/>
        <w:ind w:left="115" w:right="0" w:firstLine="0"/>
        <w:jc w:val="left"/>
        <w:rPr>
          <w:rFonts w:ascii="Verdana"/>
          <w:sz w:val="20"/>
        </w:rPr>
      </w:pPr>
      <w:r>
        <w:rPr/>
        <w:br w:type="column"/>
      </w:r>
      <w:r>
        <w:rPr>
          <w:rFonts w:ascii="Verdana"/>
          <w:sz w:val="20"/>
        </w:rPr>
        <w:t>318</w:t>
      </w:r>
    </w:p>
    <w:p>
      <w:pPr>
        <w:spacing w:after="0"/>
        <w:jc w:val="left"/>
        <w:rPr>
          <w:rFonts w:ascii="Verdana"/>
          <w:sz w:val="20"/>
        </w:rPr>
        <w:sectPr>
          <w:type w:val="continuous"/>
          <w:pgSz w:w="12240" w:h="15840"/>
          <w:pgMar w:top="1500" w:bottom="280" w:left="1520" w:right="1520"/>
          <w:cols w:num="2" w:equalWidth="0">
            <w:col w:w="6905" w:space="1188"/>
            <w:col w:w="1107"/>
          </w:cols>
        </w:sectPr>
      </w:pPr>
    </w:p>
    <w:p>
      <w:pPr>
        <w:pStyle w:val="Heading4"/>
        <w:spacing w:before="243"/>
        <w:ind w:left="115"/>
        <w:rPr>
          <w:rFonts w:ascii="Verdana"/>
        </w:rPr>
      </w:pPr>
      <w:r>
        <w:rPr>
          <w:rFonts w:ascii="Verdana"/>
        </w:rPr>
        <w:t>CHARACTERIZATION OF MUSCULOSKELETAL DISORDERS IN THE MANUFACTURING INDUSTRY IN NORTHWEST OF MEXICO</w:t>
      </w:r>
    </w:p>
    <w:p>
      <w:pPr>
        <w:pStyle w:val="BodyText"/>
        <w:ind w:left="115"/>
        <w:jc w:val="both"/>
        <w:rPr>
          <w:rFonts w:ascii="Verdana" w:hAnsi="Verdana"/>
        </w:rPr>
      </w:pPr>
      <w:r>
        <w:rPr>
          <w:rFonts w:ascii="Verdana" w:hAnsi="Verdana"/>
        </w:rPr>
        <w:t>Enrique Javier de la Vega Bustillos, Francisco Octavio López Millán, Gerardo Meza Partida, Karla Patricia Lucero Duarte</w:t>
      </w:r>
    </w:p>
    <w:p>
      <w:pPr>
        <w:spacing w:before="243"/>
        <w:ind w:left="115" w:right="0" w:firstLine="0"/>
        <w:jc w:val="left"/>
        <w:rPr>
          <w:rFonts w:ascii="Verdana"/>
          <w:sz w:val="20"/>
        </w:rPr>
      </w:pPr>
      <w:r>
        <w:rPr/>
        <w:br w:type="column"/>
      </w:r>
      <w:r>
        <w:rPr>
          <w:rFonts w:ascii="Verdana"/>
          <w:sz w:val="20"/>
        </w:rPr>
        <w:t>324</w:t>
      </w:r>
    </w:p>
    <w:p>
      <w:pPr>
        <w:spacing w:after="0"/>
        <w:jc w:val="left"/>
        <w:rPr>
          <w:rFonts w:ascii="Verdana"/>
          <w:sz w:val="20"/>
        </w:rPr>
        <w:sectPr>
          <w:type w:val="continuous"/>
          <w:pgSz w:w="12240" w:h="15840"/>
          <w:pgMar w:top="1500" w:bottom="280" w:left="1520" w:right="1520"/>
          <w:cols w:num="2" w:equalWidth="0">
            <w:col w:w="6906" w:space="1187"/>
            <w:col w:w="1107"/>
          </w:cols>
        </w:sectPr>
      </w:pPr>
    </w:p>
    <w:p>
      <w:pPr>
        <w:pStyle w:val="Heading4"/>
        <w:spacing w:before="243"/>
        <w:ind w:left="115"/>
        <w:rPr>
          <w:rFonts w:ascii="Verdana"/>
        </w:rPr>
      </w:pPr>
      <w:r>
        <w:rPr>
          <w:rFonts w:ascii="Verdana"/>
        </w:rPr>
        <w:t>ERGONOMIC EVALUATION OF WORKSTATION USING AN EXPERIMENTAL CABIN AND OWAS METHOD AS A STRATEGY FOR DECISION MAKING</w:t>
      </w:r>
    </w:p>
    <w:p>
      <w:pPr>
        <w:pStyle w:val="BodyText"/>
        <w:ind w:left="115"/>
        <w:jc w:val="both"/>
        <w:rPr>
          <w:rFonts w:ascii="Verdana" w:hAnsi="Verdana"/>
        </w:rPr>
      </w:pPr>
      <w:r>
        <w:rPr>
          <w:rFonts w:ascii="Verdana" w:hAnsi="Verdana"/>
        </w:rPr>
        <w:t>Miguel Carlos Galindo Quiñones, Juan Andrés López Barreras, Arturo Sinue Ontiveros Zepeda, Claudia Camargo Wilson, José Manuel Paz Fernández</w:t>
      </w:r>
    </w:p>
    <w:p>
      <w:pPr>
        <w:spacing w:before="243"/>
        <w:ind w:left="115" w:right="0" w:firstLine="0"/>
        <w:jc w:val="left"/>
        <w:rPr>
          <w:rFonts w:ascii="Verdana"/>
          <w:sz w:val="20"/>
        </w:rPr>
      </w:pPr>
      <w:r>
        <w:rPr/>
        <w:br w:type="column"/>
      </w:r>
      <w:r>
        <w:rPr>
          <w:rFonts w:ascii="Verdana"/>
          <w:sz w:val="20"/>
        </w:rPr>
        <w:t>328</w:t>
      </w:r>
    </w:p>
    <w:p>
      <w:pPr>
        <w:spacing w:after="0"/>
        <w:jc w:val="left"/>
        <w:rPr>
          <w:rFonts w:ascii="Verdana"/>
          <w:sz w:val="20"/>
        </w:rPr>
        <w:sectPr>
          <w:type w:val="continuous"/>
          <w:pgSz w:w="12240" w:h="15840"/>
          <w:pgMar w:top="1500" w:bottom="280" w:left="1520" w:right="1520"/>
          <w:cols w:num="2" w:equalWidth="0">
            <w:col w:w="6907" w:space="1186"/>
            <w:col w:w="1107"/>
          </w:cols>
        </w:sectPr>
      </w:pPr>
    </w:p>
    <w:p>
      <w:pPr>
        <w:spacing w:before="708"/>
        <w:ind w:left="2352" w:right="0" w:firstLine="0"/>
        <w:jc w:val="left"/>
        <w:rPr>
          <w:rFonts w:ascii="Verdana" w:hAnsi="Verdana"/>
          <w:sz w:val="40"/>
        </w:rPr>
      </w:pPr>
      <w:r>
        <w:rPr>
          <w:rFonts w:ascii="Verdana" w:hAnsi="Verdana"/>
          <w:sz w:val="40"/>
        </w:rPr>
        <w:t>COMITÉ ACADÉMICO</w:t>
      </w:r>
    </w:p>
    <w:p>
      <w:pPr>
        <w:spacing w:after="0"/>
        <w:jc w:val="left"/>
        <w:rPr>
          <w:rFonts w:ascii="Verdana" w:hAnsi="Verdana"/>
          <w:sz w:val="40"/>
        </w:rPr>
        <w:sectPr>
          <w:pgSz w:w="12240" w:h="15840"/>
          <w:pgMar w:header="729" w:footer="0" w:top="920" w:bottom="280" w:left="1520" w:right="1520"/>
        </w:sectPr>
      </w:pPr>
    </w:p>
    <w:p>
      <w:pPr>
        <w:pStyle w:val="BodyText"/>
        <w:rPr>
          <w:rFonts w:ascii="Verdana"/>
          <w:sz w:val="24"/>
        </w:rPr>
      </w:pPr>
    </w:p>
    <w:p>
      <w:pPr>
        <w:spacing w:before="195"/>
        <w:ind w:left="115" w:right="6" w:firstLine="0"/>
        <w:jc w:val="left"/>
        <w:rPr>
          <w:rFonts w:ascii="Verdana" w:hAnsi="Verdana"/>
          <w:sz w:val="24"/>
        </w:rPr>
      </w:pPr>
      <w:r>
        <w:rPr>
          <w:rFonts w:ascii="Verdana" w:hAnsi="Verdana"/>
          <w:sz w:val="24"/>
        </w:rPr>
        <w:t>ELVIA LUZ GONZÁLEZ MUÑOZ</w:t>
      </w:r>
    </w:p>
    <w:p>
      <w:pPr>
        <w:spacing w:before="0"/>
        <w:ind w:left="115" w:right="6" w:firstLine="0"/>
        <w:jc w:val="left"/>
        <w:rPr>
          <w:rFonts w:ascii="Verdana"/>
          <w:sz w:val="24"/>
        </w:rPr>
      </w:pPr>
      <w:r>
        <w:rPr>
          <w:rFonts w:ascii="Verdana"/>
          <w:sz w:val="24"/>
        </w:rPr>
        <w:t>Universidad de Guadalajara</w:t>
      </w:r>
    </w:p>
    <w:p>
      <w:pPr>
        <w:pStyle w:val="BodyText"/>
        <w:rPr>
          <w:rFonts w:ascii="Verdana"/>
          <w:sz w:val="24"/>
        </w:rPr>
      </w:pPr>
    </w:p>
    <w:p>
      <w:pPr>
        <w:spacing w:before="146"/>
        <w:ind w:left="115" w:right="6" w:firstLine="0"/>
        <w:jc w:val="left"/>
        <w:rPr>
          <w:rFonts w:ascii="Verdana"/>
          <w:sz w:val="24"/>
        </w:rPr>
      </w:pPr>
      <w:r>
        <w:rPr>
          <w:rFonts w:ascii="Verdana"/>
          <w:sz w:val="24"/>
        </w:rPr>
        <w:t>JESUS OLGIN TIZNADO</w:t>
      </w:r>
    </w:p>
    <w:p>
      <w:pPr>
        <w:spacing w:before="0"/>
        <w:ind w:left="115" w:right="6" w:firstLine="0"/>
        <w:jc w:val="left"/>
        <w:rPr>
          <w:rFonts w:ascii="Verdana"/>
          <w:sz w:val="24"/>
        </w:rPr>
      </w:pPr>
      <w:r>
        <w:rPr>
          <w:rFonts w:ascii="Verdana"/>
          <w:sz w:val="24"/>
        </w:rPr>
        <w:t>Univesidad Autonoma de Baja California, Campus Ensenada</w:t>
      </w:r>
    </w:p>
    <w:p>
      <w:pPr>
        <w:spacing w:before="146"/>
        <w:ind w:left="115" w:right="6" w:firstLine="0"/>
        <w:jc w:val="left"/>
        <w:rPr>
          <w:rFonts w:ascii="Verdana"/>
          <w:sz w:val="24"/>
        </w:rPr>
      </w:pPr>
      <w:r>
        <w:rPr>
          <w:rFonts w:ascii="Verdana"/>
          <w:sz w:val="24"/>
        </w:rPr>
        <w:t>JUAN ANDRES LOPEZ BARRERAS</w:t>
      </w:r>
    </w:p>
    <w:p>
      <w:pPr>
        <w:spacing w:before="0"/>
        <w:ind w:left="115" w:right="481" w:firstLine="0"/>
        <w:jc w:val="left"/>
        <w:rPr>
          <w:rFonts w:ascii="Verdana"/>
          <w:sz w:val="24"/>
        </w:rPr>
      </w:pPr>
      <w:r>
        <w:rPr>
          <w:rFonts w:ascii="Verdana"/>
          <w:sz w:val="24"/>
        </w:rPr>
        <w:t>Univesidad Autonoma de Baja California, Campus Tijuana</w:t>
      </w:r>
    </w:p>
    <w:p>
      <w:pPr>
        <w:spacing w:before="146"/>
        <w:ind w:left="115" w:right="6" w:firstLine="0"/>
        <w:jc w:val="left"/>
        <w:rPr>
          <w:rFonts w:ascii="Verdana"/>
          <w:sz w:val="24"/>
        </w:rPr>
      </w:pPr>
      <w:r>
        <w:rPr>
          <w:rFonts w:ascii="Verdana"/>
          <w:sz w:val="24"/>
        </w:rPr>
        <w:t>JEAN PAUL BECKER</w:t>
      </w:r>
    </w:p>
    <w:p>
      <w:pPr>
        <w:spacing w:before="0"/>
        <w:ind w:left="115" w:right="6" w:firstLine="0"/>
        <w:jc w:val="left"/>
        <w:rPr>
          <w:rFonts w:ascii="Verdana"/>
          <w:sz w:val="24"/>
        </w:rPr>
      </w:pPr>
      <w:r>
        <w:rPr>
          <w:rFonts w:ascii="Verdana"/>
          <w:sz w:val="24"/>
        </w:rPr>
        <w:t>Ergon, Guadalajara, Jal.</w:t>
      </w:r>
    </w:p>
    <w:p>
      <w:pPr>
        <w:pStyle w:val="BodyText"/>
        <w:rPr>
          <w:rFonts w:ascii="Verdana"/>
          <w:sz w:val="24"/>
        </w:rPr>
      </w:pPr>
    </w:p>
    <w:p>
      <w:pPr>
        <w:pStyle w:val="BodyText"/>
        <w:spacing w:before="11"/>
        <w:rPr>
          <w:rFonts w:ascii="Verdana"/>
          <w:sz w:val="35"/>
        </w:rPr>
      </w:pPr>
    </w:p>
    <w:p>
      <w:pPr>
        <w:spacing w:before="0"/>
        <w:ind w:left="115" w:right="6" w:firstLine="0"/>
        <w:jc w:val="left"/>
        <w:rPr>
          <w:rFonts w:ascii="Verdana"/>
          <w:sz w:val="24"/>
        </w:rPr>
      </w:pPr>
      <w:r>
        <w:rPr>
          <w:rFonts w:ascii="Verdana"/>
          <w:sz w:val="24"/>
        </w:rPr>
        <w:t>MAURICIO LOPEZ ACOSTA</w:t>
      </w:r>
    </w:p>
    <w:p>
      <w:pPr>
        <w:spacing w:before="0"/>
        <w:ind w:left="115" w:right="183" w:firstLine="0"/>
        <w:jc w:val="left"/>
        <w:rPr>
          <w:rFonts w:ascii="Verdana"/>
          <w:sz w:val="24"/>
        </w:rPr>
      </w:pPr>
      <w:r>
        <w:rPr>
          <w:rFonts w:ascii="Verdana"/>
          <w:sz w:val="24"/>
        </w:rPr>
        <w:t>Instituto Tecnologico de Sonora, Campus Navojoa</w:t>
      </w:r>
    </w:p>
    <w:p>
      <w:pPr>
        <w:spacing w:before="146"/>
        <w:ind w:left="115" w:right="6" w:firstLine="0"/>
        <w:jc w:val="left"/>
        <w:rPr>
          <w:rFonts w:ascii="Verdana"/>
          <w:sz w:val="24"/>
        </w:rPr>
      </w:pPr>
      <w:r>
        <w:rPr>
          <w:rFonts w:ascii="Verdana"/>
          <w:sz w:val="24"/>
        </w:rPr>
        <w:t>MIGUEL BALDERRAMA CHACON</w:t>
      </w:r>
    </w:p>
    <w:p>
      <w:pPr>
        <w:spacing w:before="0"/>
        <w:ind w:left="115" w:right="6" w:firstLine="0"/>
        <w:jc w:val="left"/>
        <w:rPr>
          <w:rFonts w:ascii="Verdana"/>
          <w:sz w:val="24"/>
        </w:rPr>
      </w:pPr>
      <w:r>
        <w:rPr>
          <w:rFonts w:ascii="Verdana"/>
          <w:sz w:val="24"/>
        </w:rPr>
        <w:t>Valeo, Cd. Juarez</w:t>
      </w:r>
    </w:p>
    <w:p>
      <w:pPr>
        <w:spacing w:before="146"/>
        <w:ind w:left="115" w:right="6" w:firstLine="0"/>
        <w:jc w:val="left"/>
        <w:rPr>
          <w:rFonts w:ascii="Verdana"/>
          <w:sz w:val="24"/>
        </w:rPr>
      </w:pPr>
      <w:r>
        <w:rPr>
          <w:rFonts w:ascii="Verdana"/>
          <w:sz w:val="24"/>
        </w:rPr>
        <w:t>ROSALIO AVILA CHAURAD</w:t>
      </w:r>
    </w:p>
    <w:p>
      <w:pPr>
        <w:spacing w:before="0"/>
        <w:ind w:left="115" w:right="6" w:firstLine="0"/>
        <w:jc w:val="left"/>
        <w:rPr>
          <w:rFonts w:ascii="Verdana"/>
          <w:sz w:val="24"/>
        </w:rPr>
      </w:pPr>
      <w:r>
        <w:rPr>
          <w:rFonts w:ascii="Verdana"/>
          <w:sz w:val="24"/>
        </w:rPr>
        <w:t>Universidad de Guadalajara</w:t>
      </w:r>
    </w:p>
    <w:p>
      <w:pPr>
        <w:pStyle w:val="BodyText"/>
        <w:spacing w:before="11"/>
        <w:rPr>
          <w:rFonts w:ascii="Verdana"/>
          <w:sz w:val="35"/>
        </w:rPr>
      </w:pPr>
    </w:p>
    <w:p>
      <w:pPr>
        <w:spacing w:before="0"/>
        <w:ind w:left="115" w:right="6" w:firstLine="0"/>
        <w:jc w:val="left"/>
        <w:rPr>
          <w:rFonts w:ascii="Verdana"/>
          <w:sz w:val="24"/>
        </w:rPr>
      </w:pPr>
      <w:r>
        <w:rPr>
          <w:rFonts w:ascii="Verdana"/>
          <w:sz w:val="24"/>
        </w:rPr>
        <w:t>ERNESTO RAMIREZ CARDENAS</w:t>
      </w:r>
    </w:p>
    <w:p>
      <w:pPr>
        <w:spacing w:before="1"/>
        <w:ind w:left="115" w:right="183" w:firstLine="0"/>
        <w:jc w:val="left"/>
        <w:rPr>
          <w:rFonts w:ascii="Verdana"/>
          <w:sz w:val="24"/>
        </w:rPr>
      </w:pPr>
      <w:r>
        <w:rPr>
          <w:rFonts w:ascii="Verdana"/>
          <w:sz w:val="24"/>
        </w:rPr>
        <w:t>Instituto Tecnologico de Sonora, Campus Guaymas</w:t>
      </w:r>
    </w:p>
    <w:p>
      <w:pPr>
        <w:pStyle w:val="BodyText"/>
        <w:spacing w:before="11"/>
        <w:rPr>
          <w:rFonts w:ascii="Verdana"/>
          <w:sz w:val="35"/>
        </w:rPr>
      </w:pPr>
    </w:p>
    <w:p>
      <w:pPr>
        <w:spacing w:before="0"/>
        <w:ind w:left="115" w:right="6" w:firstLine="0"/>
        <w:jc w:val="left"/>
        <w:rPr>
          <w:rFonts w:ascii="Verdana" w:hAnsi="Verdana"/>
          <w:sz w:val="24"/>
        </w:rPr>
      </w:pPr>
      <w:r>
        <w:rPr>
          <w:rFonts w:ascii="Verdana" w:hAnsi="Verdana"/>
          <w:sz w:val="24"/>
        </w:rPr>
        <w:t>RAQUEL MUÑOZ HERNADEZ</w:t>
      </w:r>
    </w:p>
    <w:p>
      <w:pPr>
        <w:spacing w:before="0"/>
        <w:ind w:left="115" w:right="6" w:firstLine="0"/>
        <w:jc w:val="left"/>
        <w:rPr>
          <w:rFonts w:ascii="Verdana"/>
          <w:sz w:val="24"/>
        </w:rPr>
      </w:pPr>
      <w:r>
        <w:rPr>
          <w:rFonts w:ascii="Verdana"/>
          <w:sz w:val="24"/>
        </w:rPr>
        <w:t>Universidad Politecnica del estado de Mexico</w:t>
      </w:r>
    </w:p>
    <w:p>
      <w:pPr>
        <w:spacing w:before="146"/>
        <w:ind w:left="115" w:right="-4" w:firstLine="0"/>
        <w:jc w:val="left"/>
        <w:rPr>
          <w:rFonts w:ascii="Verdana"/>
          <w:sz w:val="24"/>
        </w:rPr>
      </w:pPr>
      <w:r>
        <w:rPr>
          <w:rFonts w:ascii="Verdana"/>
          <w:sz w:val="24"/>
        </w:rPr>
        <w:t>ENRIQUE DE LA VEGA</w:t>
      </w:r>
      <w:r>
        <w:rPr>
          <w:rFonts w:ascii="Verdana"/>
          <w:spacing w:val="-22"/>
          <w:sz w:val="24"/>
        </w:rPr>
        <w:t> </w:t>
      </w:r>
      <w:r>
        <w:rPr>
          <w:rFonts w:ascii="Verdana"/>
          <w:sz w:val="24"/>
        </w:rPr>
        <w:t>BUSTILLOS</w:t>
      </w:r>
    </w:p>
    <w:p>
      <w:pPr>
        <w:spacing w:before="0"/>
        <w:ind w:left="115" w:right="-4" w:firstLine="0"/>
        <w:jc w:val="left"/>
        <w:rPr>
          <w:rFonts w:ascii="Verdana"/>
          <w:sz w:val="24"/>
        </w:rPr>
      </w:pPr>
      <w:r>
        <w:rPr>
          <w:rFonts w:ascii="Verdana"/>
          <w:sz w:val="24"/>
        </w:rPr>
        <w:t>Instituto Tecnolgico de Hermosillo</w:t>
      </w:r>
    </w:p>
    <w:p>
      <w:pPr>
        <w:spacing w:before="146"/>
        <w:ind w:left="115" w:right="6" w:firstLine="0"/>
        <w:jc w:val="left"/>
        <w:rPr>
          <w:rFonts w:ascii="Verdana"/>
          <w:sz w:val="24"/>
        </w:rPr>
      </w:pPr>
      <w:r>
        <w:rPr>
          <w:rFonts w:ascii="Verdana"/>
          <w:sz w:val="24"/>
        </w:rPr>
        <w:t>ARNULFO NARANJO FLORES</w:t>
      </w:r>
    </w:p>
    <w:p>
      <w:pPr>
        <w:spacing w:before="0"/>
        <w:ind w:left="115" w:right="183" w:firstLine="0"/>
        <w:jc w:val="left"/>
        <w:rPr>
          <w:rFonts w:ascii="Verdana"/>
          <w:sz w:val="24"/>
        </w:rPr>
      </w:pPr>
      <w:r>
        <w:rPr>
          <w:rFonts w:ascii="Verdana"/>
          <w:sz w:val="24"/>
        </w:rPr>
        <w:t>Instituto Tecnologico de Sonora, Campus CD. Obregon</w:t>
      </w:r>
    </w:p>
    <w:p>
      <w:pPr>
        <w:pStyle w:val="BodyText"/>
        <w:rPr>
          <w:rFonts w:ascii="Verdana"/>
          <w:sz w:val="24"/>
        </w:rPr>
      </w:pPr>
      <w:r>
        <w:rPr/>
        <w:br w:type="column"/>
      </w:r>
      <w:r>
        <w:rPr>
          <w:rFonts w:ascii="Verdana"/>
          <w:sz w:val="24"/>
        </w:rPr>
      </w:r>
    </w:p>
    <w:p>
      <w:pPr>
        <w:spacing w:before="195"/>
        <w:ind w:left="115" w:right="370" w:firstLine="0"/>
        <w:jc w:val="left"/>
        <w:rPr>
          <w:rFonts w:ascii="Verdana"/>
          <w:sz w:val="24"/>
        </w:rPr>
      </w:pPr>
      <w:r>
        <w:rPr>
          <w:rFonts w:ascii="Verdana"/>
          <w:sz w:val="24"/>
        </w:rPr>
        <w:t>CLAUDIA CAMARGO WILSON</w:t>
      </w:r>
    </w:p>
    <w:p>
      <w:pPr>
        <w:spacing w:before="0"/>
        <w:ind w:left="115" w:right="370" w:firstLine="0"/>
        <w:jc w:val="left"/>
        <w:rPr>
          <w:rFonts w:ascii="Verdana"/>
          <w:sz w:val="24"/>
        </w:rPr>
      </w:pPr>
      <w:r>
        <w:rPr>
          <w:rFonts w:ascii="Verdana"/>
          <w:sz w:val="24"/>
        </w:rPr>
        <w:t>Univesidad Autonoma de Baja California, Campus Ensenada</w:t>
      </w:r>
    </w:p>
    <w:p>
      <w:pPr>
        <w:spacing w:before="146"/>
        <w:ind w:left="115" w:right="370" w:firstLine="0"/>
        <w:jc w:val="left"/>
        <w:rPr>
          <w:rFonts w:ascii="Verdana"/>
          <w:sz w:val="24"/>
        </w:rPr>
      </w:pPr>
      <w:r>
        <w:rPr>
          <w:rFonts w:ascii="Verdana"/>
          <w:sz w:val="24"/>
        </w:rPr>
        <w:t>ELISA CHACON MARTINEZ</w:t>
      </w:r>
    </w:p>
    <w:p>
      <w:pPr>
        <w:spacing w:before="0"/>
        <w:ind w:left="115" w:right="370" w:hanging="1"/>
        <w:jc w:val="left"/>
        <w:rPr>
          <w:rFonts w:ascii="Verdana"/>
          <w:sz w:val="24"/>
        </w:rPr>
      </w:pPr>
      <w:r>
        <w:rPr>
          <w:rFonts w:ascii="Verdana"/>
          <w:sz w:val="24"/>
        </w:rPr>
        <w:t>Nchmarketing, Cd. Juarez</w:t>
      </w:r>
    </w:p>
    <w:p>
      <w:pPr>
        <w:pStyle w:val="BodyText"/>
        <w:rPr>
          <w:rFonts w:ascii="Verdana"/>
          <w:sz w:val="24"/>
        </w:rPr>
      </w:pPr>
    </w:p>
    <w:p>
      <w:pPr>
        <w:spacing w:before="146"/>
        <w:ind w:left="115" w:right="370" w:firstLine="0"/>
        <w:jc w:val="left"/>
        <w:rPr>
          <w:rFonts w:ascii="Verdana"/>
          <w:sz w:val="24"/>
        </w:rPr>
      </w:pPr>
      <w:r>
        <w:rPr>
          <w:rFonts w:ascii="Verdana"/>
          <w:sz w:val="24"/>
        </w:rPr>
        <w:t>CARLOS ESPEJO GUASCO</w:t>
      </w:r>
    </w:p>
    <w:p>
      <w:pPr>
        <w:spacing w:before="0"/>
        <w:ind w:left="115" w:right="370" w:firstLine="0"/>
        <w:jc w:val="left"/>
        <w:rPr>
          <w:rFonts w:ascii="Verdana"/>
          <w:sz w:val="24"/>
        </w:rPr>
      </w:pPr>
      <w:r>
        <w:rPr>
          <w:rFonts w:ascii="Verdana"/>
          <w:sz w:val="24"/>
        </w:rPr>
        <w:t>Createc, Cd. Juarez</w:t>
      </w:r>
    </w:p>
    <w:p>
      <w:pPr>
        <w:pStyle w:val="BodyText"/>
        <w:rPr>
          <w:rFonts w:ascii="Verdana"/>
          <w:sz w:val="24"/>
        </w:rPr>
      </w:pPr>
    </w:p>
    <w:p>
      <w:pPr>
        <w:spacing w:before="146"/>
        <w:ind w:left="115" w:right="482" w:firstLine="0"/>
        <w:jc w:val="left"/>
        <w:rPr>
          <w:rFonts w:ascii="Verdana"/>
          <w:sz w:val="24"/>
        </w:rPr>
      </w:pPr>
      <w:r>
        <w:rPr>
          <w:rFonts w:ascii="Verdana"/>
          <w:sz w:val="24"/>
        </w:rPr>
        <w:t>FRANCISCO OCTAVIO LOPEZ MILLAN</w:t>
      </w:r>
    </w:p>
    <w:p>
      <w:pPr>
        <w:spacing w:before="0"/>
        <w:ind w:left="115" w:right="1097" w:firstLine="0"/>
        <w:jc w:val="left"/>
        <w:rPr>
          <w:rFonts w:ascii="Verdana"/>
          <w:sz w:val="24"/>
        </w:rPr>
      </w:pPr>
      <w:r>
        <w:rPr>
          <w:rFonts w:ascii="Verdana"/>
          <w:sz w:val="24"/>
        </w:rPr>
        <w:t>Instituto Tecnologico de Hermosillo</w:t>
      </w:r>
    </w:p>
    <w:p>
      <w:pPr>
        <w:spacing w:before="145"/>
        <w:ind w:left="115" w:right="0" w:firstLine="0"/>
        <w:jc w:val="left"/>
        <w:rPr>
          <w:rFonts w:ascii="Verdana"/>
          <w:sz w:val="24"/>
        </w:rPr>
      </w:pPr>
      <w:r>
        <w:rPr>
          <w:rFonts w:ascii="Verdana"/>
          <w:sz w:val="24"/>
        </w:rPr>
        <w:t>VICTORIO MARTINEZ CASTRO</w:t>
      </w:r>
    </w:p>
    <w:p>
      <w:pPr>
        <w:spacing w:before="0"/>
        <w:ind w:left="115" w:right="854" w:firstLine="0"/>
        <w:jc w:val="left"/>
        <w:rPr>
          <w:rFonts w:ascii="Verdana"/>
          <w:sz w:val="24"/>
        </w:rPr>
      </w:pPr>
      <w:r>
        <w:rPr>
          <w:rFonts w:ascii="Verdana"/>
          <w:sz w:val="24"/>
        </w:rPr>
        <w:t>Salud y Asesoria en Salud Industrial S.A. de C.V.</w:t>
      </w:r>
    </w:p>
    <w:p>
      <w:pPr>
        <w:spacing w:before="146"/>
        <w:ind w:left="115" w:right="370" w:firstLine="0"/>
        <w:jc w:val="left"/>
        <w:rPr>
          <w:rFonts w:ascii="Verdana"/>
          <w:sz w:val="24"/>
        </w:rPr>
      </w:pPr>
      <w:r>
        <w:rPr>
          <w:rFonts w:ascii="Verdana"/>
          <w:sz w:val="24"/>
        </w:rPr>
        <w:t>AMINA MARIN MARTINEZ</w:t>
      </w:r>
    </w:p>
    <w:p>
      <w:pPr>
        <w:spacing w:before="0"/>
        <w:ind w:left="115" w:right="370" w:firstLine="0"/>
        <w:jc w:val="left"/>
        <w:rPr>
          <w:rFonts w:ascii="Verdana"/>
          <w:sz w:val="24"/>
        </w:rPr>
      </w:pPr>
      <w:r>
        <w:rPr>
          <w:rFonts w:ascii="Verdana"/>
          <w:sz w:val="24"/>
        </w:rPr>
        <w:t>Universidad de Sonora</w:t>
      </w:r>
    </w:p>
    <w:p>
      <w:pPr>
        <w:spacing w:before="146"/>
        <w:ind w:left="115" w:right="370" w:firstLine="0"/>
        <w:jc w:val="left"/>
        <w:rPr>
          <w:rFonts w:ascii="Verdana"/>
          <w:sz w:val="24"/>
        </w:rPr>
      </w:pPr>
      <w:r>
        <w:rPr>
          <w:rFonts w:ascii="Verdana"/>
          <w:sz w:val="24"/>
        </w:rPr>
        <w:t>MARTHA ESTELA DIAZ MURO</w:t>
      </w:r>
    </w:p>
    <w:p>
      <w:pPr>
        <w:spacing w:before="0"/>
        <w:ind w:left="115" w:right="1243" w:firstLine="0"/>
        <w:jc w:val="left"/>
        <w:rPr>
          <w:rFonts w:ascii="Verdana"/>
          <w:sz w:val="24"/>
        </w:rPr>
      </w:pPr>
      <w:r>
        <w:rPr>
          <w:rFonts w:ascii="Verdana"/>
          <w:sz w:val="24"/>
        </w:rPr>
        <w:t>Instituto Tecnolgico de Hermosillo</w:t>
      </w:r>
    </w:p>
    <w:p>
      <w:pPr>
        <w:spacing w:before="145"/>
        <w:ind w:left="115" w:right="370" w:firstLine="0"/>
        <w:jc w:val="left"/>
        <w:rPr>
          <w:rFonts w:ascii="Verdana"/>
          <w:sz w:val="24"/>
        </w:rPr>
      </w:pPr>
      <w:r>
        <w:rPr>
          <w:rFonts w:ascii="Verdana"/>
          <w:sz w:val="24"/>
        </w:rPr>
        <w:t>DAVID SANCHEZ MONROY</w:t>
      </w:r>
    </w:p>
    <w:p>
      <w:pPr>
        <w:spacing w:before="1"/>
        <w:ind w:left="115" w:right="727" w:firstLine="0"/>
        <w:jc w:val="left"/>
        <w:rPr>
          <w:rFonts w:ascii="Verdana"/>
          <w:sz w:val="24"/>
        </w:rPr>
      </w:pPr>
      <w:r>
        <w:rPr>
          <w:rFonts w:ascii="Verdana"/>
          <w:sz w:val="24"/>
        </w:rPr>
        <w:t>Instituto Tecnologico de Monterrey, Camous Cd. De Mexico</w:t>
      </w:r>
    </w:p>
    <w:p>
      <w:pPr>
        <w:spacing w:before="145"/>
        <w:ind w:left="115" w:right="370" w:firstLine="0"/>
        <w:jc w:val="left"/>
        <w:rPr>
          <w:rFonts w:ascii="Verdana"/>
          <w:sz w:val="24"/>
        </w:rPr>
      </w:pPr>
      <w:r>
        <w:rPr>
          <w:rFonts w:ascii="Verdana"/>
          <w:sz w:val="24"/>
        </w:rPr>
        <w:t>GERARDO MEZA PARTIDA</w:t>
      </w:r>
    </w:p>
    <w:p>
      <w:pPr>
        <w:spacing w:before="0"/>
        <w:ind w:left="115" w:right="1243" w:firstLine="0"/>
        <w:jc w:val="left"/>
        <w:rPr>
          <w:rFonts w:ascii="Verdana"/>
          <w:sz w:val="24"/>
        </w:rPr>
      </w:pPr>
      <w:r>
        <w:rPr>
          <w:rFonts w:ascii="Verdana"/>
          <w:sz w:val="24"/>
        </w:rPr>
        <w:t>Instituto Tecnolgico de Hermosillo</w:t>
      </w:r>
    </w:p>
    <w:p>
      <w:pPr>
        <w:spacing w:before="146"/>
        <w:ind w:left="115" w:right="0" w:firstLine="0"/>
        <w:jc w:val="left"/>
        <w:rPr>
          <w:rFonts w:ascii="Verdana"/>
          <w:sz w:val="24"/>
        </w:rPr>
      </w:pPr>
      <w:r>
        <w:rPr>
          <w:rFonts w:ascii="Verdana"/>
          <w:sz w:val="24"/>
        </w:rPr>
        <w:t>JOSE LUIS ESCALANTE MACIAS</w:t>
      </w:r>
    </w:p>
    <w:p>
      <w:pPr>
        <w:spacing w:before="0"/>
        <w:ind w:left="115" w:right="370" w:firstLine="0"/>
        <w:jc w:val="left"/>
        <w:rPr>
          <w:rFonts w:ascii="Verdana"/>
          <w:sz w:val="24"/>
        </w:rPr>
      </w:pPr>
      <w:r>
        <w:rPr>
          <w:rFonts w:ascii="Verdana"/>
          <w:sz w:val="24"/>
        </w:rPr>
        <w:t>Universidad Anahuac Mayab</w:t>
      </w:r>
    </w:p>
    <w:p>
      <w:pPr>
        <w:spacing w:after="0"/>
        <w:jc w:val="left"/>
        <w:rPr>
          <w:rFonts w:ascii="Verdana"/>
          <w:sz w:val="24"/>
        </w:rPr>
        <w:sectPr>
          <w:type w:val="continuous"/>
          <w:pgSz w:w="12240" w:h="15840"/>
          <w:pgMar w:top="1500" w:bottom="280" w:left="1520" w:right="1520"/>
          <w:cols w:num="2" w:equalWidth="0">
            <w:col w:w="4241" w:space="829"/>
            <w:col w:w="4130"/>
          </w:cols>
        </w:sectPr>
      </w:pPr>
    </w:p>
    <w:p>
      <w:pPr>
        <w:pStyle w:val="BodyText"/>
        <w:spacing w:before="5"/>
        <w:rPr>
          <w:rFonts w:ascii="Verdana"/>
          <w:sz w:val="10"/>
        </w:rPr>
      </w:pPr>
    </w:p>
    <w:p>
      <w:pPr>
        <w:spacing w:after="0"/>
        <w:rPr>
          <w:rFonts w:ascii="Verdana"/>
          <w:sz w:val="10"/>
        </w:rPr>
        <w:sectPr>
          <w:headerReference w:type="default" r:id="rId6"/>
          <w:footerReference w:type="default" r:id="rId7"/>
          <w:pgSz w:w="12240" w:h="15840"/>
          <w:pgMar w:header="545" w:footer="852" w:top="1060" w:bottom="1040" w:left="580" w:right="220"/>
          <w:pgNumType w:start="1"/>
        </w:sectPr>
      </w:pPr>
    </w:p>
    <w:p>
      <w:pPr>
        <w:spacing w:before="80"/>
        <w:ind w:left="270" w:right="15" w:firstLine="0"/>
        <w:jc w:val="both"/>
        <w:rPr>
          <w:b/>
          <w:sz w:val="18"/>
        </w:rPr>
      </w:pPr>
      <w:r>
        <w:rPr>
          <w:b/>
          <w:color w:val="202020"/>
          <w:sz w:val="18"/>
        </w:rPr>
        <w:t>Method for Designing a Comprehensive Evaluation of Illumination Conditions Into Workplace for Detection of Luminous Phenomena That Affect Visual Comfort Of Workers</w:t>
      </w:r>
    </w:p>
    <w:p>
      <w:pPr>
        <w:pStyle w:val="BodyText"/>
        <w:spacing w:before="7"/>
        <w:rPr>
          <w:b/>
          <w:sz w:val="17"/>
        </w:rPr>
      </w:pPr>
    </w:p>
    <w:p>
      <w:pPr>
        <w:spacing w:before="1"/>
        <w:ind w:left="270" w:right="15" w:firstLine="0"/>
        <w:jc w:val="both"/>
        <w:rPr>
          <w:sz w:val="18"/>
        </w:rPr>
      </w:pPr>
      <w:r>
        <w:rPr>
          <w:color w:val="202020"/>
          <w:sz w:val="18"/>
        </w:rPr>
        <w:t>Camilo José Patiño Rodríguez</w:t>
      </w:r>
      <w:r>
        <w:rPr>
          <w:i/>
          <w:sz w:val="18"/>
        </w:rPr>
        <w:t>., </w:t>
      </w:r>
      <w:r>
        <w:rPr>
          <w:color w:val="202020"/>
          <w:sz w:val="18"/>
        </w:rPr>
        <w:t>Jennifer Nataly Casallas León</w:t>
      </w:r>
      <w:r>
        <w:rPr>
          <w:i/>
          <w:sz w:val="18"/>
        </w:rPr>
        <w:t>., </w:t>
      </w:r>
      <w:r>
        <w:rPr>
          <w:color w:val="202020"/>
          <w:sz w:val="18"/>
        </w:rPr>
        <w:t>Jorge Andrés Cruz Laverde.</w:t>
      </w:r>
    </w:p>
    <w:p>
      <w:pPr>
        <w:spacing w:line="206" w:lineRule="exact" w:before="4"/>
        <w:ind w:left="270" w:right="1" w:firstLine="0"/>
        <w:jc w:val="both"/>
        <w:rPr>
          <w:sz w:val="18"/>
        </w:rPr>
      </w:pPr>
      <w:r>
        <w:rPr>
          <w:position w:val="8"/>
          <w:sz w:val="12"/>
        </w:rPr>
        <w:t>a </w:t>
      </w:r>
      <w:r>
        <w:rPr>
          <w:sz w:val="18"/>
        </w:rPr>
        <w:t>Universidad Manuela Beltrán, </w:t>
      </w:r>
      <w:hyperlink r:id="rId8">
        <w:r>
          <w:rPr>
            <w:sz w:val="18"/>
          </w:rPr>
          <w:t>camipark13@hotmail.com,</w:t>
        </w:r>
      </w:hyperlink>
      <w:r>
        <w:rPr>
          <w:sz w:val="18"/>
        </w:rPr>
        <w:t> Bogota D.C., Colombia.</w:t>
      </w:r>
    </w:p>
    <w:p>
      <w:pPr>
        <w:spacing w:line="206" w:lineRule="exact" w:before="1"/>
        <w:ind w:left="270" w:right="277" w:firstLine="0"/>
        <w:jc w:val="left"/>
        <w:rPr>
          <w:sz w:val="18"/>
        </w:rPr>
      </w:pPr>
      <w:r>
        <w:rPr>
          <w:position w:val="8"/>
          <w:sz w:val="12"/>
        </w:rPr>
        <w:t>b </w:t>
      </w:r>
      <w:r>
        <w:rPr>
          <w:sz w:val="18"/>
        </w:rPr>
        <w:t>Universidad Manuela Beltr</w:t>
      </w:r>
      <w:hyperlink r:id="rId9">
        <w:r>
          <w:rPr>
            <w:sz w:val="18"/>
          </w:rPr>
          <w:t>án, natisleon@hotmail.com,</w:t>
        </w:r>
      </w:hyperlink>
      <w:r>
        <w:rPr>
          <w:sz w:val="18"/>
        </w:rPr>
        <w:t> Bogota D.C., Colombia..</w:t>
      </w:r>
    </w:p>
    <w:p>
      <w:pPr>
        <w:spacing w:line="206" w:lineRule="exact" w:before="1"/>
        <w:ind w:left="270" w:right="0" w:firstLine="0"/>
        <w:jc w:val="both"/>
        <w:rPr>
          <w:sz w:val="18"/>
        </w:rPr>
      </w:pPr>
      <w:r>
        <w:rPr>
          <w:position w:val="8"/>
          <w:sz w:val="12"/>
        </w:rPr>
        <w:t>c </w:t>
      </w:r>
      <w:r>
        <w:rPr>
          <w:sz w:val="18"/>
        </w:rPr>
        <w:t>Universidad Manuela Beltrán, </w:t>
      </w:r>
      <w:hyperlink r:id="rId10">
        <w:r>
          <w:rPr>
            <w:sz w:val="18"/>
          </w:rPr>
          <w:t>jorgeandr</w:t>
        </w:r>
      </w:hyperlink>
      <w:hyperlink r:id="rId11">
        <w:r>
          <w:rPr>
            <w:sz w:val="18"/>
          </w:rPr>
          <w:t>escruzl@gmail.com,</w:t>
        </w:r>
      </w:hyperlink>
      <w:r>
        <w:rPr>
          <w:sz w:val="18"/>
        </w:rPr>
        <w:t> Bogota D.C., Colombia.</w:t>
      </w:r>
    </w:p>
    <w:p>
      <w:pPr>
        <w:pStyle w:val="BodyText"/>
        <w:spacing w:before="2"/>
        <w:rPr>
          <w:sz w:val="18"/>
        </w:rPr>
      </w:pPr>
    </w:p>
    <w:p>
      <w:pPr>
        <w:spacing w:before="0"/>
        <w:ind w:left="270" w:right="0" w:firstLine="0"/>
        <w:jc w:val="both"/>
        <w:rPr>
          <w:b/>
          <w:sz w:val="18"/>
        </w:rPr>
      </w:pPr>
      <w:r>
        <w:rPr/>
        <w:pict>
          <v:line style="position:absolute;mso-position-horizontal-relative:page;mso-position-vertical-relative:paragraph;z-index:1120" from="41.040001pt,12.091719pt" to="289.860001pt,12.091719pt" stroked="true" strokeweight="1.5pt" strokecolor="#000000">
            <w10:wrap type="none"/>
          </v:line>
        </w:pict>
      </w:r>
      <w:r>
        <w:rPr>
          <w:b/>
          <w:sz w:val="18"/>
        </w:rPr>
        <w:t>Resumen</w:t>
      </w:r>
    </w:p>
    <w:p>
      <w:pPr>
        <w:spacing w:before="45"/>
        <w:ind w:left="270" w:right="16" w:firstLine="0"/>
        <w:jc w:val="both"/>
        <w:rPr>
          <w:sz w:val="18"/>
        </w:rPr>
      </w:pPr>
      <w:r>
        <w:rPr>
          <w:sz w:val="18"/>
        </w:rPr>
        <w:t>Ante el elevado número de parámetros para tener una base  científica y técnica en el acondicionamiento luminoso de un espacio laboral el desarrollo de este artículo propone un modelo de evaluación de la iluminación sobre espacios laborales,  desarrollando un protocolo estándar para su observación como resultado de un estudio cualitativo y cuantitativo de la variable en oficinas domiciliadas en la ciudad de</w:t>
      </w:r>
      <w:r>
        <w:rPr>
          <w:spacing w:val="-6"/>
          <w:sz w:val="18"/>
        </w:rPr>
        <w:t> </w:t>
      </w:r>
      <w:r>
        <w:rPr>
          <w:sz w:val="18"/>
        </w:rPr>
        <w:t>Bogotá.</w:t>
      </w:r>
    </w:p>
    <w:p>
      <w:pPr>
        <w:pStyle w:val="BodyText"/>
        <w:rPr>
          <w:sz w:val="18"/>
        </w:rPr>
      </w:pPr>
    </w:p>
    <w:p>
      <w:pPr>
        <w:spacing w:before="0"/>
        <w:ind w:left="270" w:right="16" w:firstLine="0"/>
        <w:jc w:val="both"/>
        <w:rPr>
          <w:sz w:val="18"/>
        </w:rPr>
      </w:pPr>
      <w:r>
        <w:rPr>
          <w:sz w:val="18"/>
        </w:rPr>
        <w:t>La condición de que el desarrollo del protocolo de evaluación se realizó sobre datos reales, fortalece el componente experimental, el protocolo de observación definido y aplicado en oficinas considera la luminancia e iluminancia como parámetros de referencia.</w:t>
      </w:r>
    </w:p>
    <w:p>
      <w:pPr>
        <w:pStyle w:val="BodyText"/>
        <w:rPr>
          <w:sz w:val="18"/>
        </w:rPr>
      </w:pPr>
    </w:p>
    <w:p>
      <w:pPr>
        <w:spacing w:before="0"/>
        <w:ind w:left="270" w:right="15" w:firstLine="0"/>
        <w:jc w:val="both"/>
        <w:rPr>
          <w:sz w:val="18"/>
        </w:rPr>
      </w:pPr>
      <w:r>
        <w:rPr>
          <w:sz w:val="18"/>
        </w:rPr>
        <w:t>En este sentido, en la visibilidad en un espacio y la ejecución adecuada, confortable y segura de las tareas que requieren concentración visual radica la importancia que tiene la iluminación, una correcta iluminación requiere de atención en la cantidad y en la calidad de la luz y que debe reconocerse esta como un factor de riesgo físico, esta característica influye en el desempeño de los trabajadores teniendo en cuenta que no se consideran efectos como el deslumbramiento o la fatiga visual inducida por las condiciones del entorno cuando este se diseña.</w:t>
      </w:r>
    </w:p>
    <w:p>
      <w:pPr>
        <w:pStyle w:val="BodyText"/>
        <w:rPr>
          <w:sz w:val="18"/>
        </w:rPr>
      </w:pPr>
    </w:p>
    <w:p>
      <w:pPr>
        <w:spacing w:before="0"/>
        <w:ind w:left="270" w:right="16" w:firstLine="0"/>
        <w:jc w:val="both"/>
        <w:rPr>
          <w:sz w:val="18"/>
        </w:rPr>
      </w:pPr>
      <w:r>
        <w:rPr>
          <w:sz w:val="18"/>
        </w:rPr>
        <w:t>El análisis estadístico de los resultados obtenidos en este estudio es relevante en la medida en que permitirá establecer referencias para la evaluación del efecto de la iluminación en los centros de trabajo, considerando que un defecto en la misma influye negativamente en el comportamiento del trabajador, causando agotamiento y reduciendo su rendimiento laboral y su calidad de vida</w:t>
      </w:r>
    </w:p>
    <w:p>
      <w:pPr>
        <w:pStyle w:val="BodyText"/>
        <w:rPr>
          <w:sz w:val="18"/>
        </w:rPr>
      </w:pPr>
    </w:p>
    <w:p>
      <w:pPr>
        <w:spacing w:before="0"/>
        <w:ind w:left="270" w:right="0" w:firstLine="0"/>
        <w:jc w:val="both"/>
        <w:rPr>
          <w:sz w:val="18"/>
        </w:rPr>
      </w:pPr>
      <w:r>
        <w:rPr>
          <w:b/>
          <w:sz w:val="18"/>
        </w:rPr>
        <w:t>Palabras clave</w:t>
      </w:r>
      <w:r>
        <w:rPr>
          <w:sz w:val="18"/>
        </w:rPr>
        <w:t>. Iluminancia, luminancia, confort visual</w:t>
      </w:r>
    </w:p>
    <w:p>
      <w:pPr>
        <w:pStyle w:val="BodyText"/>
        <w:spacing w:before="6"/>
        <w:rPr>
          <w:sz w:val="18"/>
        </w:rPr>
      </w:pPr>
    </w:p>
    <w:p>
      <w:pPr>
        <w:spacing w:before="0"/>
        <w:ind w:left="270" w:right="0" w:firstLine="0"/>
        <w:jc w:val="both"/>
        <w:rPr>
          <w:b/>
          <w:i/>
          <w:sz w:val="18"/>
        </w:rPr>
      </w:pPr>
      <w:r>
        <w:rPr/>
        <w:pict>
          <v:line style="position:absolute;mso-position-horizontal-relative:page;mso-position-vertical-relative:paragraph;z-index:1144" from="41.040001pt,12.032643pt" to="289.860001pt,12.032643pt" stroked="true" strokeweight="1.5pt" strokecolor="#000000">
            <w10:wrap type="none"/>
          </v:line>
        </w:pict>
      </w:r>
      <w:r>
        <w:rPr>
          <w:b/>
          <w:i/>
          <w:sz w:val="18"/>
        </w:rPr>
        <w:t>Abstract</w:t>
      </w:r>
    </w:p>
    <w:p>
      <w:pPr>
        <w:spacing w:before="44"/>
        <w:ind w:left="270" w:right="16" w:firstLine="0"/>
        <w:jc w:val="both"/>
        <w:rPr>
          <w:sz w:val="18"/>
        </w:rPr>
      </w:pPr>
      <w:r>
        <w:rPr>
          <w:sz w:val="18"/>
        </w:rPr>
        <w:t>Considering the large number of parameters that has to be count in order to build scientific and technical approach in the workspace light conditions this article proposes an evaluation model of illumination on work spaces, developing a standard protocol for its observation as result of quantitative and qualitative research inside offices in Bogotá.</w:t>
      </w:r>
    </w:p>
    <w:p>
      <w:pPr>
        <w:pStyle w:val="BodyText"/>
        <w:rPr>
          <w:sz w:val="18"/>
        </w:rPr>
      </w:pPr>
    </w:p>
    <w:p>
      <w:pPr>
        <w:spacing w:before="0"/>
        <w:ind w:left="270" w:right="15" w:firstLine="0"/>
        <w:jc w:val="both"/>
        <w:rPr>
          <w:sz w:val="18"/>
        </w:rPr>
      </w:pPr>
      <w:r>
        <w:rPr>
          <w:sz w:val="18"/>
        </w:rPr>
        <w:t>The protocol was developed and tested on limited observations performing analysis on data gathered in situ, the experimental component strengthens the observation protocol which was defined and applied in offices considering and measuring luminance and illuminance as benchmarks.</w:t>
      </w:r>
    </w:p>
    <w:p>
      <w:pPr>
        <w:pStyle w:val="BodyText"/>
        <w:rPr>
          <w:sz w:val="18"/>
        </w:rPr>
      </w:pPr>
    </w:p>
    <w:p>
      <w:pPr>
        <w:spacing w:before="0"/>
        <w:ind w:left="270" w:right="16" w:firstLine="0"/>
        <w:jc w:val="both"/>
        <w:rPr>
          <w:sz w:val="18"/>
        </w:rPr>
      </w:pPr>
      <w:r>
        <w:rPr>
          <w:sz w:val="18"/>
        </w:rPr>
        <w:t>According to research, the visibility in the workspace must be adequate, comfortable and it has to allow safe performing of tasks that require visual concentration increasing the importance of proper lighting,  the lighting  requires attention to the quantity   </w:t>
      </w:r>
      <w:r>
        <w:rPr>
          <w:spacing w:val="3"/>
          <w:sz w:val="18"/>
        </w:rPr>
        <w:t> </w:t>
      </w:r>
      <w:r>
        <w:rPr>
          <w:sz w:val="18"/>
        </w:rPr>
        <w:t>and</w:t>
      </w:r>
    </w:p>
    <w:p>
      <w:pPr>
        <w:spacing w:before="77"/>
        <w:ind w:left="270" w:right="677" w:firstLine="0"/>
        <w:jc w:val="both"/>
        <w:rPr>
          <w:sz w:val="18"/>
        </w:rPr>
      </w:pPr>
      <w:r>
        <w:rPr/>
        <w:br w:type="column"/>
      </w:r>
      <w:r>
        <w:rPr>
          <w:sz w:val="18"/>
        </w:rPr>
        <w:t>quality of light and this must be recognized as a physical hazard, being physical hazard lighting affects the working performance taking into account effects that are not considered as glare or eyestrain induced by environmental conditions when design is made.</w:t>
      </w:r>
    </w:p>
    <w:p>
      <w:pPr>
        <w:pStyle w:val="BodyText"/>
        <w:rPr>
          <w:sz w:val="18"/>
        </w:rPr>
      </w:pPr>
    </w:p>
    <w:p>
      <w:pPr>
        <w:spacing w:before="0"/>
        <w:ind w:left="270" w:right="677" w:firstLine="0"/>
        <w:jc w:val="both"/>
        <w:rPr>
          <w:sz w:val="18"/>
        </w:rPr>
      </w:pPr>
      <w:r>
        <w:rPr>
          <w:sz w:val="18"/>
        </w:rPr>
        <w:t>Statistical analysis of obtained results is relevant to establish benchmarks to assess the effect of lighting in the workplace, whereas a defect in it causes negative effect on worker behavior, causing fatigue and reducing work performance and quality of life.</w:t>
      </w:r>
    </w:p>
    <w:p>
      <w:pPr>
        <w:pStyle w:val="BodyText"/>
        <w:rPr>
          <w:sz w:val="18"/>
        </w:rPr>
      </w:pPr>
    </w:p>
    <w:p>
      <w:pPr>
        <w:spacing w:before="0"/>
        <w:ind w:left="270" w:right="0" w:firstLine="0"/>
        <w:jc w:val="both"/>
        <w:rPr>
          <w:sz w:val="18"/>
        </w:rPr>
      </w:pPr>
      <w:r>
        <w:rPr>
          <w:b/>
          <w:i/>
          <w:sz w:val="18"/>
        </w:rPr>
        <w:t>Keywords: </w:t>
      </w:r>
      <w:r>
        <w:rPr>
          <w:color w:val="202020"/>
          <w:sz w:val="18"/>
        </w:rPr>
        <w:t>Illumination, illuminance, luminance, visual comfort.</w:t>
      </w:r>
    </w:p>
    <w:p>
      <w:pPr>
        <w:pStyle w:val="BodyText"/>
        <w:rPr>
          <w:sz w:val="18"/>
        </w:rPr>
      </w:pPr>
    </w:p>
    <w:p>
      <w:pPr>
        <w:spacing w:before="0"/>
        <w:ind w:left="270" w:right="676" w:firstLine="0"/>
        <w:jc w:val="both"/>
        <w:rPr>
          <w:sz w:val="18"/>
        </w:rPr>
      </w:pPr>
      <w:r>
        <w:rPr>
          <w:sz w:val="18"/>
        </w:rPr>
        <w:t>Relevance to Ergonomics: </w:t>
      </w:r>
      <w:r>
        <w:rPr>
          <w:color w:val="202020"/>
          <w:sz w:val="18"/>
        </w:rPr>
        <w:t>The presence of luminous phenomena that generate visual discomfort may cause losses in work performance of employees, as well as impaired visual health themselves.</w:t>
      </w:r>
    </w:p>
    <w:p>
      <w:pPr>
        <w:pStyle w:val="BodyText"/>
        <w:rPr>
          <w:sz w:val="18"/>
        </w:rPr>
      </w:pPr>
    </w:p>
    <w:p>
      <w:pPr>
        <w:spacing w:before="0"/>
        <w:ind w:left="270" w:right="675" w:firstLine="0"/>
        <w:jc w:val="both"/>
        <w:rPr>
          <w:sz w:val="18"/>
        </w:rPr>
      </w:pPr>
      <w:r>
        <w:rPr>
          <w:color w:val="202020"/>
          <w:sz w:val="18"/>
        </w:rPr>
        <w:t>This research discuss the importance of developing methods for illumination hygiene assessments, in turn to identify objectively  the presence of luminous phenomena that cause visual discomfort. These are invaluable tools for ergonomics that could complement the traditional analysis of workplaces, in order to have objective results towards the prevention of diseases in this</w:t>
      </w:r>
      <w:r>
        <w:rPr>
          <w:color w:val="202020"/>
          <w:spacing w:val="-15"/>
          <w:sz w:val="18"/>
        </w:rPr>
        <w:t> </w:t>
      </w:r>
      <w:r>
        <w:rPr>
          <w:color w:val="202020"/>
          <w:sz w:val="18"/>
        </w:rPr>
        <w:t>population.</w:t>
      </w:r>
    </w:p>
    <w:p>
      <w:pPr>
        <w:pStyle w:val="BodyText"/>
        <w:spacing w:before="3"/>
        <w:rPr>
          <w:sz w:val="18"/>
        </w:rPr>
      </w:pPr>
    </w:p>
    <w:p>
      <w:pPr>
        <w:pStyle w:val="ListParagraph"/>
        <w:numPr>
          <w:ilvl w:val="0"/>
          <w:numId w:val="1"/>
        </w:numPr>
        <w:tabs>
          <w:tab w:pos="697" w:val="left" w:leader="none"/>
        </w:tabs>
        <w:spacing w:line="240" w:lineRule="auto" w:before="0" w:after="0"/>
        <w:ind w:left="270" w:right="0" w:firstLine="66"/>
        <w:jc w:val="both"/>
        <w:rPr>
          <w:b/>
          <w:sz w:val="18"/>
        </w:rPr>
      </w:pPr>
      <w:r>
        <w:rPr>
          <w:b/>
          <w:color w:val="202020"/>
          <w:sz w:val="18"/>
        </w:rPr>
        <w:t>INTRODUCTION</w:t>
      </w:r>
    </w:p>
    <w:p>
      <w:pPr>
        <w:pStyle w:val="BodyText"/>
        <w:spacing w:before="7"/>
        <w:rPr>
          <w:b/>
          <w:sz w:val="17"/>
        </w:rPr>
      </w:pPr>
    </w:p>
    <w:p>
      <w:pPr>
        <w:spacing w:before="1"/>
        <w:ind w:left="270" w:right="677" w:firstLine="0"/>
        <w:jc w:val="both"/>
        <w:rPr>
          <w:sz w:val="18"/>
        </w:rPr>
      </w:pPr>
      <w:r>
        <w:rPr>
          <w:color w:val="202020"/>
          <w:sz w:val="18"/>
        </w:rPr>
        <w:t>There are several methods to study the illumination. Nevertheless, there isn't a standardized method to facilitate the interpretation of results of such studies in Colombia. Now, the country has a technical regulation and public lighting (RETILAP). However, this rule doesn’t have an ergonomic approach and the illuminance variable is focused mainly to technical criteria for wiring design.</w:t>
      </w:r>
    </w:p>
    <w:p>
      <w:pPr>
        <w:pStyle w:val="BodyText"/>
        <w:rPr>
          <w:sz w:val="18"/>
        </w:rPr>
      </w:pPr>
    </w:p>
    <w:p>
      <w:pPr>
        <w:spacing w:before="0"/>
        <w:ind w:left="270" w:right="675" w:firstLine="0"/>
        <w:jc w:val="both"/>
        <w:rPr>
          <w:sz w:val="18"/>
        </w:rPr>
      </w:pPr>
      <w:r>
        <w:rPr>
          <w:color w:val="202020"/>
          <w:sz w:val="18"/>
        </w:rPr>
        <w:t>An exploratory descriptive study was conducted2, through this it seek to apply a method to performing measurements on two quantitative variables associated with illumination risk factor and a qualitative evaluation to realize the preliminary diagnosis of features associated with illumination and establishing luminous phenomena that can generate visual discomfort in analyzed site. This method was validated for six (6) technical experts, and it was applied on 96 jobs in different companies of Bogotá city. The results of the validation and application showed that method is viable to evaluate directly the luminous features in an workplace with different geometries.</w:t>
      </w:r>
    </w:p>
    <w:p>
      <w:pPr>
        <w:pStyle w:val="BodyText"/>
        <w:spacing w:before="3"/>
        <w:rPr>
          <w:sz w:val="18"/>
        </w:rPr>
      </w:pPr>
    </w:p>
    <w:p>
      <w:pPr>
        <w:pStyle w:val="ListParagraph"/>
        <w:numPr>
          <w:ilvl w:val="0"/>
          <w:numId w:val="1"/>
        </w:numPr>
        <w:tabs>
          <w:tab w:pos="697" w:val="left" w:leader="none"/>
        </w:tabs>
        <w:spacing w:line="240" w:lineRule="auto" w:before="0" w:after="0"/>
        <w:ind w:left="696" w:right="0" w:hanging="360"/>
        <w:jc w:val="both"/>
        <w:rPr>
          <w:b/>
          <w:sz w:val="18"/>
        </w:rPr>
      </w:pPr>
      <w:r>
        <w:rPr>
          <w:b/>
          <w:color w:val="202020"/>
          <w:sz w:val="18"/>
        </w:rPr>
        <w:t>OBJECTIVE</w:t>
      </w:r>
    </w:p>
    <w:p>
      <w:pPr>
        <w:pStyle w:val="BodyText"/>
        <w:spacing w:before="7"/>
        <w:rPr>
          <w:b/>
          <w:sz w:val="17"/>
        </w:rPr>
      </w:pPr>
    </w:p>
    <w:p>
      <w:pPr>
        <w:spacing w:before="1"/>
        <w:ind w:left="270" w:right="677" w:firstLine="0"/>
        <w:jc w:val="both"/>
        <w:rPr>
          <w:sz w:val="18"/>
        </w:rPr>
      </w:pPr>
      <w:r>
        <w:rPr>
          <w:color w:val="202020"/>
          <w:sz w:val="18"/>
        </w:rPr>
        <w:t>To design and implementing a standardized and comprehensive evaluation method of illumination risk factor, through luminance and illuminance measurements that can diagnose conditions of presence of luminous phenomena and exposure of study  population.</w:t>
      </w:r>
    </w:p>
    <w:p>
      <w:pPr>
        <w:pStyle w:val="BodyText"/>
        <w:spacing w:before="3"/>
        <w:rPr>
          <w:sz w:val="18"/>
        </w:rPr>
      </w:pPr>
    </w:p>
    <w:p>
      <w:pPr>
        <w:pStyle w:val="ListParagraph"/>
        <w:numPr>
          <w:ilvl w:val="0"/>
          <w:numId w:val="1"/>
        </w:numPr>
        <w:tabs>
          <w:tab w:pos="697" w:val="left" w:leader="none"/>
        </w:tabs>
        <w:spacing w:line="240" w:lineRule="auto" w:before="0" w:after="0"/>
        <w:ind w:left="696" w:right="0" w:hanging="360"/>
        <w:jc w:val="both"/>
        <w:rPr>
          <w:b/>
          <w:sz w:val="18"/>
        </w:rPr>
      </w:pPr>
      <w:r>
        <w:rPr>
          <w:b/>
          <w:color w:val="202020"/>
          <w:sz w:val="18"/>
        </w:rPr>
        <w:t>DELIMITATION</w:t>
      </w:r>
    </w:p>
    <w:p>
      <w:pPr>
        <w:pStyle w:val="BodyText"/>
        <w:spacing w:before="7"/>
        <w:rPr>
          <w:b/>
          <w:sz w:val="17"/>
        </w:rPr>
      </w:pPr>
    </w:p>
    <w:p>
      <w:pPr>
        <w:spacing w:before="1"/>
        <w:ind w:left="270" w:right="676" w:firstLine="0"/>
        <w:jc w:val="both"/>
        <w:rPr>
          <w:sz w:val="18"/>
        </w:rPr>
      </w:pPr>
      <w:r>
        <w:rPr>
          <w:color w:val="202020"/>
          <w:sz w:val="18"/>
        </w:rPr>
        <w:t>This paper is carried out under the following topics: physical illumination, human visual system, illumination technical evaluations, physical risk by illumination, industrial hygiene and visual ergonomics.</w:t>
      </w:r>
    </w:p>
    <w:p>
      <w:pPr>
        <w:pStyle w:val="BodyText"/>
        <w:rPr>
          <w:sz w:val="18"/>
        </w:rPr>
      </w:pPr>
    </w:p>
    <w:p>
      <w:pPr>
        <w:spacing w:before="0"/>
        <w:ind w:left="270" w:right="677" w:firstLine="0"/>
        <w:jc w:val="both"/>
        <w:rPr>
          <w:sz w:val="18"/>
        </w:rPr>
      </w:pPr>
      <w:r>
        <w:rPr>
          <w:color w:val="202020"/>
          <w:sz w:val="18"/>
        </w:rPr>
        <w:t>In order to determine a suitable method for evaluation of luminous conditions, the presence of light phenomena in workplaces with an area of regular type to be proposed and tested for validation.</w:t>
      </w:r>
    </w:p>
    <w:p>
      <w:pPr>
        <w:spacing w:after="0"/>
        <w:jc w:val="both"/>
        <w:rPr>
          <w:sz w:val="18"/>
        </w:rPr>
        <w:sectPr>
          <w:type w:val="continuous"/>
          <w:pgSz w:w="12240" w:h="15840"/>
          <w:pgMar w:top="1500" w:bottom="280" w:left="580" w:right="220"/>
          <w:cols w:num="2" w:equalWidth="0">
            <w:col w:w="5207" w:space="418"/>
            <w:col w:w="5815"/>
          </w:cols>
        </w:sectPr>
      </w:pPr>
    </w:p>
    <w:p>
      <w:pPr>
        <w:pStyle w:val="BodyText"/>
        <w:spacing w:before="11"/>
        <w:rPr>
          <w:sz w:val="28"/>
        </w:rPr>
      </w:pPr>
    </w:p>
    <w:p>
      <w:pPr>
        <w:spacing w:after="0"/>
        <w:rPr>
          <w:sz w:val="28"/>
        </w:rPr>
        <w:sectPr>
          <w:pgSz w:w="12240" w:h="15840"/>
          <w:pgMar w:header="545" w:footer="852" w:top="1060" w:bottom="1040" w:left="580" w:right="220"/>
        </w:sectPr>
      </w:pPr>
    </w:p>
    <w:p>
      <w:pPr>
        <w:pStyle w:val="ListParagraph"/>
        <w:numPr>
          <w:ilvl w:val="0"/>
          <w:numId w:val="1"/>
        </w:numPr>
        <w:tabs>
          <w:tab w:pos="697" w:val="left" w:leader="none"/>
        </w:tabs>
        <w:spacing w:line="240" w:lineRule="auto" w:before="80" w:after="0"/>
        <w:ind w:left="696" w:right="0" w:hanging="360"/>
        <w:jc w:val="both"/>
        <w:rPr>
          <w:b/>
          <w:sz w:val="18"/>
        </w:rPr>
      </w:pPr>
      <w:r>
        <w:rPr>
          <w:b/>
          <w:color w:val="202020"/>
          <w:sz w:val="18"/>
        </w:rPr>
        <w:t>METHODOLOGY</w:t>
      </w:r>
    </w:p>
    <w:p>
      <w:pPr>
        <w:pStyle w:val="BodyText"/>
        <w:spacing w:before="7"/>
        <w:rPr>
          <w:b/>
          <w:sz w:val="17"/>
        </w:rPr>
      </w:pPr>
    </w:p>
    <w:p>
      <w:pPr>
        <w:spacing w:before="1"/>
        <w:ind w:left="270" w:right="0" w:firstLine="0"/>
        <w:jc w:val="both"/>
        <w:rPr>
          <w:sz w:val="18"/>
        </w:rPr>
      </w:pPr>
      <w:r>
        <w:rPr>
          <w:color w:val="202020"/>
          <w:sz w:val="18"/>
        </w:rPr>
        <w:t>The executed study was classified as exploratory and descriptive, it seek to validate and applying a method for making measurements on two variables quantitative and a qualitative evaluation that allows for the preliminary diagnosis of features associated with illumination and the presence of luminous phenomena that can generate discomfort in analyzed</w:t>
      </w:r>
      <w:r>
        <w:rPr>
          <w:color w:val="202020"/>
          <w:spacing w:val="-8"/>
          <w:sz w:val="18"/>
        </w:rPr>
        <w:t> </w:t>
      </w:r>
      <w:r>
        <w:rPr>
          <w:color w:val="202020"/>
          <w:sz w:val="18"/>
        </w:rPr>
        <w:t>site.</w:t>
      </w:r>
    </w:p>
    <w:p>
      <w:pPr>
        <w:pStyle w:val="BodyText"/>
        <w:rPr>
          <w:sz w:val="18"/>
        </w:rPr>
      </w:pPr>
    </w:p>
    <w:p>
      <w:pPr>
        <w:spacing w:before="0"/>
        <w:ind w:left="270" w:right="0" w:firstLine="0"/>
        <w:jc w:val="both"/>
        <w:rPr>
          <w:sz w:val="18"/>
        </w:rPr>
      </w:pPr>
      <w:r>
        <w:rPr>
          <w:color w:val="202020"/>
          <w:sz w:val="18"/>
        </w:rPr>
        <w:t>Measurements data were clustered and analyzed to define the impact of external factors on conditions of the task, as well as determining the relationship between degree of uniformity of the area and the workplace for the variables, luminance and illuminance.</w:t>
      </w:r>
    </w:p>
    <w:p>
      <w:pPr>
        <w:pStyle w:val="BodyText"/>
        <w:spacing w:before="3"/>
        <w:rPr>
          <w:sz w:val="18"/>
        </w:rPr>
      </w:pPr>
    </w:p>
    <w:p>
      <w:pPr>
        <w:pStyle w:val="ListParagraph"/>
        <w:numPr>
          <w:ilvl w:val="0"/>
          <w:numId w:val="1"/>
        </w:numPr>
        <w:tabs>
          <w:tab w:pos="697" w:val="left" w:leader="none"/>
        </w:tabs>
        <w:spacing w:line="240" w:lineRule="auto" w:before="0" w:after="0"/>
        <w:ind w:left="696" w:right="0" w:hanging="360"/>
        <w:jc w:val="both"/>
        <w:rPr>
          <w:b/>
          <w:sz w:val="18"/>
        </w:rPr>
      </w:pPr>
      <w:r>
        <w:rPr>
          <w:b/>
          <w:color w:val="202020"/>
          <w:sz w:val="18"/>
        </w:rPr>
        <w:t>RESULTS</w:t>
      </w:r>
    </w:p>
    <w:p>
      <w:pPr>
        <w:pStyle w:val="BodyText"/>
        <w:spacing w:before="7"/>
        <w:rPr>
          <w:b/>
          <w:sz w:val="17"/>
        </w:rPr>
      </w:pPr>
    </w:p>
    <w:p>
      <w:pPr>
        <w:spacing w:before="1"/>
        <w:ind w:left="270" w:right="1" w:firstLine="0"/>
        <w:jc w:val="both"/>
        <w:rPr>
          <w:sz w:val="18"/>
        </w:rPr>
      </w:pPr>
      <w:r>
        <w:rPr>
          <w:color w:val="202020"/>
          <w:sz w:val="18"/>
        </w:rPr>
        <w:t>A format validation was performed with five questions in which six experts evaluated four criteria: relevance, adequacy, usefulness and applicability.</w:t>
      </w:r>
    </w:p>
    <w:p>
      <w:pPr>
        <w:pStyle w:val="BodyText"/>
        <w:rPr>
          <w:sz w:val="18"/>
        </w:rPr>
      </w:pPr>
    </w:p>
    <w:p>
      <w:pPr>
        <w:spacing w:before="0"/>
        <w:ind w:left="270" w:right="0" w:firstLine="0"/>
        <w:jc w:val="both"/>
        <w:rPr>
          <w:sz w:val="18"/>
        </w:rPr>
      </w:pPr>
      <w:r>
        <w:rPr>
          <w:color w:val="202020"/>
          <w:sz w:val="18"/>
        </w:rPr>
        <w:t>The average percentage score of items of protocol was 93%, with higher score 4.60 points, the highest ranked item was applicable  and useful, this shows the usefulness of the protocol. Followed by the relevance and utility, which allows for establishing the method used to identify the conditions of workplace </w:t>
      </w:r>
      <w:r>
        <w:rPr>
          <w:i/>
          <w:color w:val="202020"/>
          <w:sz w:val="18"/>
        </w:rPr>
        <w:t>in situ </w:t>
      </w:r>
      <w:r>
        <w:rPr>
          <w:color w:val="202020"/>
          <w:sz w:val="18"/>
        </w:rPr>
        <w:t>and can be understood</w:t>
      </w:r>
      <w:r>
        <w:rPr>
          <w:color w:val="202020"/>
          <w:spacing w:val="-13"/>
          <w:sz w:val="18"/>
        </w:rPr>
        <w:t> </w:t>
      </w:r>
      <w:r>
        <w:rPr>
          <w:color w:val="202020"/>
          <w:sz w:val="18"/>
        </w:rPr>
        <w:t>easily.</w:t>
      </w:r>
    </w:p>
    <w:p>
      <w:pPr>
        <w:pStyle w:val="BodyText"/>
        <w:spacing w:before="3"/>
        <w:rPr>
          <w:sz w:val="18"/>
        </w:rPr>
      </w:pPr>
    </w:p>
    <w:p>
      <w:pPr>
        <w:pStyle w:val="ListParagraph"/>
        <w:numPr>
          <w:ilvl w:val="0"/>
          <w:numId w:val="1"/>
        </w:numPr>
        <w:tabs>
          <w:tab w:pos="696" w:val="left" w:leader="none"/>
          <w:tab w:pos="697" w:val="left" w:leader="none"/>
        </w:tabs>
        <w:spacing w:line="480" w:lineRule="auto" w:before="0" w:after="0"/>
        <w:ind w:left="270" w:right="2365" w:firstLine="66"/>
        <w:jc w:val="left"/>
        <w:rPr>
          <w:b/>
          <w:sz w:val="18"/>
        </w:rPr>
      </w:pPr>
      <w:r>
        <w:rPr>
          <w:b/>
          <w:color w:val="202020"/>
          <w:sz w:val="18"/>
        </w:rPr>
        <w:t>APPLICATION RESULTS Environmental</w:t>
      </w:r>
      <w:r>
        <w:rPr>
          <w:b/>
          <w:color w:val="202020"/>
          <w:spacing w:val="-5"/>
          <w:sz w:val="18"/>
        </w:rPr>
        <w:t> </w:t>
      </w:r>
      <w:r>
        <w:rPr>
          <w:b/>
          <w:color w:val="202020"/>
          <w:sz w:val="18"/>
        </w:rPr>
        <w:t>features</w:t>
      </w:r>
    </w:p>
    <w:p>
      <w:pPr>
        <w:spacing w:before="4"/>
        <w:ind w:left="270" w:right="0" w:firstLine="0"/>
        <w:jc w:val="both"/>
        <w:rPr>
          <w:sz w:val="18"/>
        </w:rPr>
      </w:pPr>
      <w:r>
        <w:rPr>
          <w:color w:val="202020"/>
          <w:sz w:val="18"/>
        </w:rPr>
        <w:t>The protocol was applied in four companies on 96 workplaces of Bogotá city, most of them had a video terminal where the visual task focused. Firstly, the characteristics of the environment and the working position were qualitatively</w:t>
      </w:r>
      <w:r>
        <w:rPr>
          <w:color w:val="202020"/>
          <w:spacing w:val="-13"/>
          <w:sz w:val="18"/>
        </w:rPr>
        <w:t> </w:t>
      </w:r>
      <w:r>
        <w:rPr>
          <w:color w:val="202020"/>
          <w:sz w:val="18"/>
        </w:rPr>
        <w:t>evaluated.</w:t>
      </w:r>
    </w:p>
    <w:p>
      <w:pPr>
        <w:pStyle w:val="BodyText"/>
        <w:rPr>
          <w:sz w:val="18"/>
        </w:rPr>
      </w:pPr>
    </w:p>
    <w:p>
      <w:pPr>
        <w:spacing w:before="0"/>
        <w:ind w:left="270" w:right="0" w:firstLine="0"/>
        <w:jc w:val="both"/>
        <w:rPr>
          <w:sz w:val="18"/>
        </w:rPr>
      </w:pPr>
      <w:r>
        <w:rPr>
          <w:color w:val="202020"/>
          <w:sz w:val="18"/>
        </w:rPr>
        <w:t>It was found that the walls color was clear in majority of the areas, 42% of the whole sample. There isn’t places with dark tones in surrounding area.</w:t>
      </w:r>
    </w:p>
    <w:p>
      <w:pPr>
        <w:pStyle w:val="BodyText"/>
        <w:rPr>
          <w:sz w:val="18"/>
        </w:rPr>
      </w:pPr>
    </w:p>
    <w:p>
      <w:pPr>
        <w:spacing w:before="0"/>
        <w:ind w:left="270" w:right="1" w:firstLine="0"/>
        <w:jc w:val="both"/>
        <w:rPr>
          <w:sz w:val="18"/>
        </w:rPr>
      </w:pPr>
      <w:r>
        <w:rPr>
          <w:color w:val="202020"/>
          <w:sz w:val="18"/>
        </w:rPr>
        <w:t>The surfaces of evaluated workplaces had matte or brown tones, 52% of sample technically obscured.</w:t>
      </w:r>
    </w:p>
    <w:p>
      <w:pPr>
        <w:pStyle w:val="BodyText"/>
        <w:spacing w:before="10"/>
        <w:rPr>
          <w:sz w:val="17"/>
        </w:rPr>
      </w:pPr>
    </w:p>
    <w:p>
      <w:pPr>
        <w:spacing w:before="0"/>
        <w:ind w:left="270" w:right="0" w:firstLine="0"/>
        <w:jc w:val="both"/>
        <w:rPr>
          <w:sz w:val="18"/>
        </w:rPr>
      </w:pPr>
      <w:r>
        <w:rPr>
          <w:color w:val="202020"/>
          <w:sz w:val="18"/>
        </w:rPr>
        <w:t>Most of installations where workplaces were located had conditions both artificial and natural lighting, therefore 69% of sample had mixed lighting and only one was illuminated with daylight.</w:t>
      </w:r>
    </w:p>
    <w:p>
      <w:pPr>
        <w:pStyle w:val="BodyText"/>
        <w:rPr>
          <w:sz w:val="18"/>
        </w:rPr>
      </w:pPr>
    </w:p>
    <w:p>
      <w:pPr>
        <w:spacing w:before="0"/>
        <w:ind w:left="270" w:right="0" w:firstLine="0"/>
        <w:jc w:val="both"/>
        <w:rPr>
          <w:sz w:val="18"/>
        </w:rPr>
      </w:pPr>
      <w:r>
        <w:rPr>
          <w:color w:val="202020"/>
          <w:sz w:val="18"/>
        </w:rPr>
        <w:t>Two types of luminous phenomena were identified in areas where workplaces were located, the most frequent was glare with 66% of sample.</w:t>
      </w:r>
    </w:p>
    <w:p>
      <w:pPr>
        <w:pStyle w:val="BodyText"/>
        <w:rPr>
          <w:sz w:val="18"/>
        </w:rPr>
      </w:pPr>
    </w:p>
    <w:p>
      <w:pPr>
        <w:spacing w:before="0"/>
        <w:ind w:left="270" w:right="0" w:firstLine="0"/>
        <w:jc w:val="both"/>
        <w:rPr>
          <w:sz w:val="18"/>
        </w:rPr>
      </w:pPr>
      <w:r>
        <w:rPr>
          <w:color w:val="202020"/>
          <w:sz w:val="18"/>
        </w:rPr>
        <w:t>75% of sample had daylight, coming from windows located adjacent to</w:t>
      </w:r>
      <w:r>
        <w:rPr>
          <w:color w:val="202020"/>
          <w:spacing w:val="-4"/>
          <w:sz w:val="18"/>
        </w:rPr>
        <w:t> </w:t>
      </w:r>
      <w:r>
        <w:rPr>
          <w:color w:val="202020"/>
          <w:sz w:val="18"/>
        </w:rPr>
        <w:t>workplace.</w:t>
      </w:r>
    </w:p>
    <w:p>
      <w:pPr>
        <w:pStyle w:val="BodyText"/>
        <w:rPr>
          <w:sz w:val="18"/>
        </w:rPr>
      </w:pPr>
    </w:p>
    <w:p>
      <w:pPr>
        <w:spacing w:before="0"/>
        <w:ind w:left="270" w:right="1" w:firstLine="0"/>
        <w:jc w:val="both"/>
        <w:rPr>
          <w:sz w:val="18"/>
        </w:rPr>
      </w:pPr>
      <w:r>
        <w:rPr>
          <w:color w:val="202020"/>
          <w:sz w:val="18"/>
        </w:rPr>
        <w:t>In 72% of evaluated sample was identified the presence of glare, which it was directly associated with entry of daylight into the environment.</w:t>
      </w:r>
    </w:p>
    <w:p>
      <w:pPr>
        <w:pStyle w:val="BodyText"/>
        <w:spacing w:before="3"/>
        <w:rPr>
          <w:sz w:val="18"/>
        </w:rPr>
      </w:pPr>
    </w:p>
    <w:p>
      <w:pPr>
        <w:pStyle w:val="ListParagraph"/>
        <w:numPr>
          <w:ilvl w:val="0"/>
          <w:numId w:val="1"/>
        </w:numPr>
        <w:tabs>
          <w:tab w:pos="696" w:val="left" w:leader="none"/>
          <w:tab w:pos="697" w:val="left" w:leader="none"/>
        </w:tabs>
        <w:spacing w:line="240" w:lineRule="auto" w:before="0" w:after="0"/>
        <w:ind w:left="696" w:right="0" w:hanging="360"/>
        <w:jc w:val="left"/>
        <w:rPr>
          <w:b/>
          <w:sz w:val="18"/>
        </w:rPr>
      </w:pPr>
      <w:r>
        <w:rPr>
          <w:b/>
          <w:color w:val="202020"/>
          <w:sz w:val="18"/>
        </w:rPr>
        <w:t>LUMINANCE AND ILLUMINANCE MEASUREMENT RESULTS</w:t>
      </w:r>
    </w:p>
    <w:p>
      <w:pPr>
        <w:pStyle w:val="BodyText"/>
        <w:rPr>
          <w:b/>
          <w:sz w:val="18"/>
        </w:rPr>
      </w:pPr>
    </w:p>
    <w:p>
      <w:pPr>
        <w:pStyle w:val="ListParagraph"/>
        <w:numPr>
          <w:ilvl w:val="1"/>
          <w:numId w:val="1"/>
        </w:numPr>
        <w:tabs>
          <w:tab w:pos="697" w:val="left" w:leader="none"/>
        </w:tabs>
        <w:spacing w:line="240" w:lineRule="auto" w:before="0" w:after="0"/>
        <w:ind w:left="696" w:right="0" w:hanging="360"/>
        <w:jc w:val="both"/>
        <w:rPr>
          <w:b/>
          <w:sz w:val="18"/>
        </w:rPr>
      </w:pPr>
      <w:r>
        <w:rPr>
          <w:b/>
          <w:color w:val="202020"/>
          <w:sz w:val="18"/>
        </w:rPr>
        <w:t>Illuminance</w:t>
      </w:r>
      <w:r>
        <w:rPr>
          <w:b/>
          <w:color w:val="202020"/>
          <w:spacing w:val="-17"/>
          <w:sz w:val="18"/>
        </w:rPr>
        <w:t> </w:t>
      </w:r>
      <w:r>
        <w:rPr>
          <w:b/>
          <w:color w:val="202020"/>
          <w:sz w:val="18"/>
        </w:rPr>
        <w:t>Results</w:t>
      </w:r>
    </w:p>
    <w:p>
      <w:pPr>
        <w:spacing w:before="76"/>
        <w:ind w:left="270" w:right="676" w:firstLine="0"/>
        <w:jc w:val="both"/>
        <w:rPr>
          <w:sz w:val="18"/>
        </w:rPr>
      </w:pPr>
      <w:r>
        <w:rPr/>
        <w:br w:type="column"/>
      </w:r>
      <w:r>
        <w:rPr>
          <w:color w:val="202020"/>
          <w:sz w:val="18"/>
        </w:rPr>
        <w:t>The results of illuminance measurements on workplaces were averaged and these were grouped into 8 intervals with an  amplitude of 249.22 lux, each</w:t>
      </w:r>
      <w:r>
        <w:rPr>
          <w:color w:val="202020"/>
          <w:spacing w:val="-6"/>
          <w:sz w:val="18"/>
        </w:rPr>
        <w:t> </w:t>
      </w:r>
      <w:r>
        <w:rPr>
          <w:color w:val="202020"/>
          <w:sz w:val="18"/>
        </w:rPr>
        <w:t>one.</w:t>
      </w:r>
    </w:p>
    <w:p>
      <w:pPr>
        <w:pStyle w:val="BodyText"/>
        <w:rPr>
          <w:sz w:val="18"/>
        </w:rPr>
      </w:pPr>
    </w:p>
    <w:p>
      <w:pPr>
        <w:spacing w:before="0"/>
        <w:ind w:left="270" w:right="676" w:firstLine="0"/>
        <w:jc w:val="both"/>
        <w:rPr>
          <w:sz w:val="18"/>
        </w:rPr>
      </w:pPr>
      <w:r>
        <w:rPr>
          <w:color w:val="202020"/>
          <w:sz w:val="18"/>
        </w:rPr>
        <w:t>51% of the average illuminance values ranked in range of 6.23- 255.45 lux, on intervals 255.45-504.67 and 504.67-753.89 lux  were distributed mean illuminances in equivalent percentages of 17%. Only 1% of the average illuminance values were in range 1750.77-2000</w:t>
      </w:r>
      <w:r>
        <w:rPr>
          <w:color w:val="202020"/>
          <w:spacing w:val="-2"/>
          <w:sz w:val="18"/>
        </w:rPr>
        <w:t> </w:t>
      </w:r>
      <w:r>
        <w:rPr>
          <w:color w:val="202020"/>
          <w:sz w:val="18"/>
        </w:rPr>
        <w:t>lux.</w:t>
      </w:r>
    </w:p>
    <w:p>
      <w:pPr>
        <w:pStyle w:val="BodyText"/>
        <w:spacing w:before="3"/>
        <w:rPr>
          <w:sz w:val="18"/>
        </w:rPr>
      </w:pPr>
    </w:p>
    <w:p>
      <w:pPr>
        <w:pStyle w:val="ListParagraph"/>
        <w:numPr>
          <w:ilvl w:val="1"/>
          <w:numId w:val="1"/>
        </w:numPr>
        <w:tabs>
          <w:tab w:pos="697" w:val="left" w:leader="none"/>
        </w:tabs>
        <w:spacing w:line="240" w:lineRule="auto" w:before="0" w:after="0"/>
        <w:ind w:left="696" w:right="0" w:hanging="360"/>
        <w:jc w:val="both"/>
        <w:rPr>
          <w:b/>
          <w:sz w:val="18"/>
        </w:rPr>
      </w:pPr>
      <w:r>
        <w:rPr>
          <w:b/>
          <w:color w:val="202020"/>
          <w:sz w:val="18"/>
        </w:rPr>
        <w:t>Hypothesis</w:t>
      </w:r>
      <w:r>
        <w:rPr>
          <w:b/>
          <w:color w:val="202020"/>
          <w:spacing w:val="-2"/>
          <w:sz w:val="18"/>
        </w:rPr>
        <w:t> </w:t>
      </w:r>
      <w:r>
        <w:rPr>
          <w:b/>
          <w:color w:val="202020"/>
          <w:sz w:val="18"/>
        </w:rPr>
        <w:t>Testing</w:t>
      </w:r>
    </w:p>
    <w:p>
      <w:pPr>
        <w:pStyle w:val="BodyText"/>
        <w:spacing w:before="7"/>
        <w:rPr>
          <w:b/>
          <w:sz w:val="17"/>
        </w:rPr>
      </w:pPr>
    </w:p>
    <w:p>
      <w:pPr>
        <w:spacing w:before="1"/>
        <w:ind w:left="270" w:right="671" w:firstLine="0"/>
        <w:jc w:val="both"/>
        <w:rPr>
          <w:sz w:val="18"/>
        </w:rPr>
      </w:pPr>
      <w:r>
        <w:rPr>
          <w:color w:val="202020"/>
          <w:sz w:val="18"/>
        </w:rPr>
        <w:t>A hypothesis test was applied, it based on a sample size n = 96 and a theoretical average illuminance value of µ= 500 lux was presumed (Table 410.1 RETILAP). The average value of mean luminances on sample was x = 404.8 lux, with a  standard  deviation S = 393.5. Subsequently, we proceed to calculate the value of Z. This had a value of -23.22. Applying Equation 5, we obtain Z =</w:t>
      </w:r>
      <w:r>
        <w:rPr>
          <w:color w:val="202020"/>
          <w:spacing w:val="-5"/>
          <w:sz w:val="18"/>
        </w:rPr>
        <w:t> </w:t>
      </w:r>
      <w:r>
        <w:rPr>
          <w:color w:val="202020"/>
          <w:sz w:val="18"/>
        </w:rPr>
        <w:t>-23.22.</w:t>
      </w:r>
    </w:p>
    <w:p>
      <w:pPr>
        <w:pStyle w:val="BodyText"/>
        <w:rPr>
          <w:sz w:val="18"/>
        </w:rPr>
      </w:pPr>
    </w:p>
    <w:p>
      <w:pPr>
        <w:pStyle w:val="BodyText"/>
        <w:spacing w:before="3"/>
        <w:rPr>
          <w:sz w:val="18"/>
        </w:rPr>
      </w:pPr>
    </w:p>
    <w:p>
      <w:pPr>
        <w:pStyle w:val="ListParagraph"/>
        <w:numPr>
          <w:ilvl w:val="1"/>
          <w:numId w:val="1"/>
        </w:numPr>
        <w:tabs>
          <w:tab w:pos="697" w:val="left" w:leader="none"/>
        </w:tabs>
        <w:spacing w:line="240" w:lineRule="auto" w:before="0" w:after="0"/>
        <w:ind w:left="696" w:right="0" w:hanging="360"/>
        <w:jc w:val="both"/>
        <w:rPr>
          <w:b/>
          <w:sz w:val="18"/>
        </w:rPr>
      </w:pPr>
      <w:r>
        <w:rPr>
          <w:b/>
          <w:color w:val="202020"/>
          <w:sz w:val="18"/>
        </w:rPr>
        <w:t>Luminance</w:t>
      </w:r>
      <w:r>
        <w:rPr>
          <w:b/>
          <w:color w:val="202020"/>
          <w:spacing w:val="-12"/>
          <w:sz w:val="18"/>
        </w:rPr>
        <w:t> </w:t>
      </w:r>
      <w:r>
        <w:rPr>
          <w:b/>
          <w:color w:val="202020"/>
          <w:sz w:val="18"/>
        </w:rPr>
        <w:t>Results</w:t>
      </w:r>
    </w:p>
    <w:p>
      <w:pPr>
        <w:pStyle w:val="BodyText"/>
        <w:spacing w:before="7"/>
        <w:rPr>
          <w:b/>
          <w:sz w:val="17"/>
        </w:rPr>
      </w:pPr>
    </w:p>
    <w:p>
      <w:pPr>
        <w:spacing w:before="1"/>
        <w:ind w:left="270" w:right="676" w:firstLine="0"/>
        <w:jc w:val="both"/>
        <w:rPr>
          <w:sz w:val="18"/>
        </w:rPr>
      </w:pPr>
      <w:r>
        <w:rPr>
          <w:color w:val="202020"/>
          <w:sz w:val="18"/>
        </w:rPr>
        <w:t>Luminance measurements on workplaces were averaged and these were grouped into 8 intervals with an amplitude of 53.65 (cd / m2). 74% of mean luminances were in an interval 1.68-55.34 (cd / m2), 18% of records were in range of 55.34-108.99 (cd / m2) and only 2% was located between 377.26-430.92 (cd / m2).</w:t>
      </w:r>
    </w:p>
    <w:p>
      <w:pPr>
        <w:pStyle w:val="BodyText"/>
        <w:rPr>
          <w:sz w:val="18"/>
        </w:rPr>
      </w:pPr>
    </w:p>
    <w:p>
      <w:pPr>
        <w:spacing w:before="0"/>
        <w:ind w:left="270" w:right="677" w:firstLine="0"/>
        <w:jc w:val="both"/>
        <w:rPr>
          <w:sz w:val="18"/>
        </w:rPr>
      </w:pPr>
      <w:r>
        <w:rPr>
          <w:color w:val="202020"/>
          <w:sz w:val="18"/>
        </w:rPr>
        <w:t>The average luminance of video terminal associated with workplace was measured. In total 62 monitors were measured, data were grouped into seven intervals 23.52 (cd / m2). 29% of mean luminances of monitors are among 1.54 and 25.06 (cd / m2) and 23% of these are in range 48.58-72.11 (cd / m2) Here, data distribution is more uniform since other data are clustered between 10% to</w:t>
      </w:r>
      <w:r>
        <w:rPr>
          <w:color w:val="202020"/>
          <w:spacing w:val="-2"/>
          <w:sz w:val="18"/>
        </w:rPr>
        <w:t> </w:t>
      </w:r>
      <w:r>
        <w:rPr>
          <w:color w:val="202020"/>
          <w:sz w:val="18"/>
        </w:rPr>
        <w:t>14%.</w:t>
      </w:r>
    </w:p>
    <w:p>
      <w:pPr>
        <w:pStyle w:val="BodyText"/>
        <w:rPr>
          <w:sz w:val="18"/>
        </w:rPr>
      </w:pPr>
    </w:p>
    <w:p>
      <w:pPr>
        <w:spacing w:before="0"/>
        <w:ind w:left="270" w:right="676" w:firstLine="0"/>
        <w:jc w:val="both"/>
        <w:rPr>
          <w:sz w:val="18"/>
        </w:rPr>
      </w:pPr>
      <w:r>
        <w:rPr>
          <w:color w:val="202020"/>
          <w:sz w:val="18"/>
        </w:rPr>
        <w:t>It was infered for 68 workplaces that glare was associated directly with daylight, in these cases the luminance of window or space through which the light entered was measured, 75% of mean luminance are grouped on range of 10.48 (cd / m2) to 1186.17 (cd / m2) (see Table 25), there was an outlier found in 9416 (cd / m2) which represents 2% of average luminance of daylight but since 5888.93 (cd / m2), luminance measurements weren’t recorded.</w:t>
      </w:r>
    </w:p>
    <w:p>
      <w:pPr>
        <w:pStyle w:val="BodyText"/>
        <w:spacing w:before="3"/>
        <w:rPr>
          <w:sz w:val="18"/>
        </w:rPr>
      </w:pPr>
    </w:p>
    <w:p>
      <w:pPr>
        <w:pStyle w:val="ListParagraph"/>
        <w:numPr>
          <w:ilvl w:val="1"/>
          <w:numId w:val="1"/>
        </w:numPr>
        <w:tabs>
          <w:tab w:pos="697" w:val="left" w:leader="none"/>
        </w:tabs>
        <w:spacing w:line="240" w:lineRule="auto" w:before="0" w:after="0"/>
        <w:ind w:left="696" w:right="0" w:hanging="360"/>
        <w:jc w:val="both"/>
        <w:rPr>
          <w:b/>
          <w:sz w:val="18"/>
        </w:rPr>
      </w:pPr>
      <w:r>
        <w:rPr>
          <w:b/>
          <w:color w:val="202020"/>
          <w:sz w:val="18"/>
        </w:rPr>
        <w:t>Uniformity</w:t>
      </w:r>
      <w:r>
        <w:rPr>
          <w:b/>
          <w:color w:val="202020"/>
          <w:spacing w:val="-3"/>
          <w:sz w:val="18"/>
        </w:rPr>
        <w:t> </w:t>
      </w:r>
      <w:r>
        <w:rPr>
          <w:b/>
          <w:color w:val="202020"/>
          <w:sz w:val="18"/>
        </w:rPr>
        <w:t>Results</w:t>
      </w:r>
    </w:p>
    <w:p>
      <w:pPr>
        <w:pStyle w:val="BodyText"/>
        <w:spacing w:before="7"/>
        <w:rPr>
          <w:b/>
          <w:sz w:val="17"/>
        </w:rPr>
      </w:pPr>
    </w:p>
    <w:p>
      <w:pPr>
        <w:spacing w:before="1"/>
        <w:ind w:left="270" w:right="674" w:firstLine="0"/>
        <w:jc w:val="both"/>
        <w:rPr>
          <w:sz w:val="18"/>
        </w:rPr>
      </w:pPr>
      <w:r>
        <w:rPr>
          <w:color w:val="202020"/>
          <w:sz w:val="18"/>
        </w:rPr>
        <w:t>Calculating the area uniformity was performed, considering the method of room constant, also the uniformity of each workplace was calculated. It was evident that in most cases the uniformity of workplace is greater area uniformity. Similarly, the results of worplace uniformity were averaged by areas. For luminance and illuminance the results show that average uniformity of workplaces is greater than area uniformity. For luminance of workplace is similar to illuminance uniformity and in many cases is less than uniformity of workplace.</w:t>
      </w:r>
    </w:p>
    <w:p>
      <w:pPr>
        <w:pStyle w:val="BodyText"/>
        <w:spacing w:before="3"/>
        <w:rPr>
          <w:sz w:val="18"/>
        </w:rPr>
      </w:pPr>
    </w:p>
    <w:p>
      <w:pPr>
        <w:pStyle w:val="ListParagraph"/>
        <w:numPr>
          <w:ilvl w:val="0"/>
          <w:numId w:val="1"/>
        </w:numPr>
        <w:tabs>
          <w:tab w:pos="697" w:val="left" w:leader="none"/>
        </w:tabs>
        <w:spacing w:line="240" w:lineRule="auto" w:before="0" w:after="0"/>
        <w:ind w:left="696" w:right="0" w:hanging="360"/>
        <w:jc w:val="both"/>
        <w:rPr>
          <w:b/>
          <w:sz w:val="18"/>
        </w:rPr>
      </w:pPr>
      <w:r>
        <w:rPr>
          <w:b/>
          <w:color w:val="202020"/>
          <w:sz w:val="18"/>
        </w:rPr>
        <w:t>CONCLUSIONS AND</w:t>
      </w:r>
      <w:r>
        <w:rPr>
          <w:b/>
          <w:color w:val="202020"/>
          <w:spacing w:val="-23"/>
          <w:sz w:val="18"/>
        </w:rPr>
        <w:t> </w:t>
      </w:r>
      <w:r>
        <w:rPr>
          <w:b/>
          <w:color w:val="202020"/>
          <w:sz w:val="18"/>
        </w:rPr>
        <w:t>RECOMMENDATIONS</w:t>
      </w:r>
    </w:p>
    <w:p>
      <w:pPr>
        <w:pStyle w:val="BodyText"/>
        <w:spacing w:before="7"/>
        <w:rPr>
          <w:b/>
          <w:sz w:val="17"/>
        </w:rPr>
      </w:pPr>
    </w:p>
    <w:p>
      <w:pPr>
        <w:pStyle w:val="ListParagraph"/>
        <w:numPr>
          <w:ilvl w:val="0"/>
          <w:numId w:val="2"/>
        </w:numPr>
        <w:tabs>
          <w:tab w:pos="696" w:val="left" w:leader="none"/>
          <w:tab w:pos="697" w:val="left" w:leader="none"/>
        </w:tabs>
        <w:spacing w:line="240" w:lineRule="auto" w:before="1" w:after="0"/>
        <w:ind w:left="696" w:right="677" w:hanging="360"/>
        <w:jc w:val="left"/>
        <w:rPr>
          <w:sz w:val="18"/>
        </w:rPr>
      </w:pPr>
      <w:r>
        <w:rPr>
          <w:color w:val="202020"/>
          <w:sz w:val="18"/>
        </w:rPr>
        <w:t>There is a consensus in protocol and instrument validation, the average qualification of all criteria was above 4</w:t>
      </w:r>
      <w:r>
        <w:rPr>
          <w:color w:val="202020"/>
          <w:spacing w:val="-8"/>
          <w:sz w:val="18"/>
        </w:rPr>
        <w:t> </w:t>
      </w:r>
      <w:r>
        <w:rPr>
          <w:color w:val="202020"/>
          <w:sz w:val="18"/>
        </w:rPr>
        <w:t>points.</w:t>
      </w:r>
    </w:p>
    <w:p>
      <w:pPr>
        <w:pStyle w:val="ListParagraph"/>
        <w:numPr>
          <w:ilvl w:val="0"/>
          <w:numId w:val="2"/>
        </w:numPr>
        <w:tabs>
          <w:tab w:pos="696" w:val="left" w:leader="none"/>
          <w:tab w:pos="697" w:val="left" w:leader="none"/>
        </w:tabs>
        <w:spacing w:line="240" w:lineRule="auto" w:before="0" w:after="0"/>
        <w:ind w:left="696" w:right="676" w:hanging="360"/>
        <w:jc w:val="left"/>
        <w:rPr>
          <w:sz w:val="18"/>
        </w:rPr>
      </w:pPr>
      <w:r>
        <w:rPr>
          <w:color w:val="202020"/>
          <w:sz w:val="18"/>
        </w:rPr>
        <w:t>The null hypothesis is rejected as result of Z = -23.22 and 95% confidence. Z takes values from -1.96 to 1.96,</w:t>
      </w:r>
      <w:r>
        <w:rPr>
          <w:color w:val="202020"/>
          <w:spacing w:val="39"/>
          <w:sz w:val="18"/>
        </w:rPr>
        <w:t> </w:t>
      </w:r>
      <w:r>
        <w:rPr>
          <w:color w:val="202020"/>
          <w:sz w:val="18"/>
        </w:rPr>
        <w:t>therefore</w:t>
      </w:r>
    </w:p>
    <w:p>
      <w:pPr>
        <w:spacing w:after="0" w:line="240" w:lineRule="auto"/>
        <w:jc w:val="left"/>
        <w:rPr>
          <w:sz w:val="18"/>
        </w:rPr>
        <w:sectPr>
          <w:type w:val="continuous"/>
          <w:pgSz w:w="12240" w:h="15840"/>
          <w:pgMar w:top="1500" w:bottom="280" w:left="580" w:right="220"/>
          <w:cols w:num="2" w:equalWidth="0">
            <w:col w:w="5189" w:space="435"/>
            <w:col w:w="5816"/>
          </w:cols>
        </w:sectPr>
      </w:pPr>
    </w:p>
    <w:p>
      <w:pPr>
        <w:pStyle w:val="BodyText"/>
        <w:rPr>
          <w:sz w:val="11"/>
        </w:rPr>
      </w:pPr>
    </w:p>
    <w:p>
      <w:pPr>
        <w:spacing w:after="0"/>
        <w:rPr>
          <w:sz w:val="11"/>
        </w:rPr>
        <w:sectPr>
          <w:pgSz w:w="12240" w:h="15840"/>
          <w:pgMar w:header="545" w:footer="852" w:top="1060" w:bottom="1040" w:left="580" w:right="220"/>
        </w:sectPr>
      </w:pPr>
    </w:p>
    <w:p>
      <w:pPr>
        <w:spacing w:before="77"/>
        <w:ind w:left="696" w:right="9" w:firstLine="0"/>
        <w:jc w:val="left"/>
        <w:rPr>
          <w:sz w:val="18"/>
        </w:rPr>
      </w:pPr>
      <w:r>
        <w:rPr>
          <w:color w:val="202020"/>
          <w:sz w:val="18"/>
        </w:rPr>
        <w:t>the null hypothesis is rejected and the research hypothesis is validated.</w:t>
      </w:r>
    </w:p>
    <w:p>
      <w:pPr>
        <w:pStyle w:val="ListParagraph"/>
        <w:numPr>
          <w:ilvl w:val="0"/>
          <w:numId w:val="2"/>
        </w:numPr>
        <w:tabs>
          <w:tab w:pos="697" w:val="left" w:leader="none"/>
        </w:tabs>
        <w:spacing w:line="240" w:lineRule="auto" w:before="0" w:after="0"/>
        <w:ind w:left="696" w:right="1" w:hanging="360"/>
        <w:jc w:val="both"/>
        <w:rPr>
          <w:sz w:val="18"/>
        </w:rPr>
      </w:pPr>
      <w:r>
        <w:rPr>
          <w:color w:val="202020"/>
          <w:sz w:val="18"/>
        </w:rPr>
        <w:t>51% of average illuminance evaluated in this study are below national and international standards, allowing to ratify the need to carry out research with greater specificity in this</w:t>
      </w:r>
      <w:r>
        <w:rPr>
          <w:color w:val="202020"/>
          <w:spacing w:val="-18"/>
          <w:sz w:val="18"/>
        </w:rPr>
        <w:t> </w:t>
      </w:r>
      <w:r>
        <w:rPr>
          <w:color w:val="202020"/>
          <w:sz w:val="18"/>
        </w:rPr>
        <w:t>field.</w:t>
      </w:r>
    </w:p>
    <w:p>
      <w:pPr>
        <w:pStyle w:val="ListParagraph"/>
        <w:numPr>
          <w:ilvl w:val="0"/>
          <w:numId w:val="2"/>
        </w:numPr>
        <w:tabs>
          <w:tab w:pos="697" w:val="left" w:leader="none"/>
        </w:tabs>
        <w:spacing w:line="240" w:lineRule="auto" w:before="0" w:after="0"/>
        <w:ind w:left="696" w:right="0" w:hanging="360"/>
        <w:jc w:val="both"/>
        <w:rPr>
          <w:sz w:val="18"/>
        </w:rPr>
      </w:pPr>
      <w:r>
        <w:rPr>
          <w:color w:val="202020"/>
          <w:sz w:val="18"/>
        </w:rPr>
        <w:t>74% of mean luminances are within the range defined by the guide INSHT of</w:t>
      </w:r>
      <w:r>
        <w:rPr>
          <w:color w:val="202020"/>
          <w:spacing w:val="-2"/>
          <w:sz w:val="18"/>
        </w:rPr>
        <w:t> </w:t>
      </w:r>
      <w:r>
        <w:rPr>
          <w:color w:val="202020"/>
          <w:sz w:val="18"/>
        </w:rPr>
        <w:t>Spain</w:t>
      </w:r>
    </w:p>
    <w:p>
      <w:pPr>
        <w:pStyle w:val="ListParagraph"/>
        <w:numPr>
          <w:ilvl w:val="0"/>
          <w:numId w:val="2"/>
        </w:numPr>
        <w:tabs>
          <w:tab w:pos="697" w:val="left" w:leader="none"/>
        </w:tabs>
        <w:spacing w:line="240" w:lineRule="auto" w:before="0" w:after="0"/>
        <w:ind w:left="696" w:right="1" w:hanging="360"/>
        <w:jc w:val="both"/>
        <w:rPr>
          <w:sz w:val="18"/>
        </w:rPr>
      </w:pPr>
      <w:r>
        <w:rPr>
          <w:color w:val="202020"/>
          <w:sz w:val="18"/>
        </w:rPr>
        <w:t>There is a relationship between daylight and the occurrence of luminous phenomena such as glare generating visual discomfort.</w:t>
      </w:r>
    </w:p>
    <w:p>
      <w:pPr>
        <w:pStyle w:val="ListParagraph"/>
        <w:numPr>
          <w:ilvl w:val="0"/>
          <w:numId w:val="2"/>
        </w:numPr>
        <w:tabs>
          <w:tab w:pos="697" w:val="left" w:leader="none"/>
        </w:tabs>
        <w:spacing w:line="240" w:lineRule="auto" w:before="0" w:after="0"/>
        <w:ind w:left="696" w:right="0" w:hanging="360"/>
        <w:jc w:val="both"/>
        <w:rPr>
          <w:sz w:val="18"/>
        </w:rPr>
      </w:pPr>
      <w:r>
        <w:rPr>
          <w:color w:val="202020"/>
          <w:sz w:val="18"/>
        </w:rPr>
        <w:t>Results show that illuminance uniformity of area isn’t representative with respect to workplaces uniformity, because in most cases the uniformity of workplaces is greater than area</w:t>
      </w:r>
      <w:r>
        <w:rPr>
          <w:color w:val="202020"/>
          <w:spacing w:val="-3"/>
          <w:sz w:val="18"/>
        </w:rPr>
        <w:t> </w:t>
      </w:r>
      <w:r>
        <w:rPr>
          <w:color w:val="202020"/>
          <w:sz w:val="18"/>
        </w:rPr>
        <w:t>uniformity.</w:t>
      </w:r>
    </w:p>
    <w:p>
      <w:pPr>
        <w:pStyle w:val="BodyText"/>
        <w:spacing w:before="3"/>
        <w:rPr>
          <w:sz w:val="18"/>
        </w:rPr>
      </w:pPr>
    </w:p>
    <w:p>
      <w:pPr>
        <w:spacing w:before="0"/>
        <w:ind w:left="270" w:right="9" w:firstLine="0"/>
        <w:jc w:val="left"/>
        <w:rPr>
          <w:b/>
          <w:sz w:val="18"/>
        </w:rPr>
      </w:pPr>
      <w:r>
        <w:rPr>
          <w:b/>
          <w:color w:val="202020"/>
          <w:sz w:val="18"/>
        </w:rPr>
        <w:t>REFERENCES</w:t>
      </w:r>
    </w:p>
    <w:p>
      <w:pPr>
        <w:pStyle w:val="BodyText"/>
        <w:spacing w:before="4"/>
        <w:rPr>
          <w:b/>
          <w:sz w:val="18"/>
        </w:rPr>
      </w:pPr>
    </w:p>
    <w:p>
      <w:pPr>
        <w:spacing w:line="212" w:lineRule="exact" w:before="0"/>
        <w:ind w:left="838" w:right="0" w:hanging="568"/>
        <w:jc w:val="both"/>
        <w:rPr>
          <w:sz w:val="18"/>
        </w:rPr>
      </w:pPr>
      <w:r>
        <w:rPr>
          <w:rFonts w:ascii="Courier New" w:hAnsi="Courier New"/>
          <w:sz w:val="18"/>
        </w:rPr>
        <w:t>[1] </w:t>
      </w:r>
      <w:r>
        <w:rPr>
          <w:color w:val="202020"/>
          <w:sz w:val="18"/>
        </w:rPr>
        <w:t>Revista Cubana de Medicina. Iluminación y salud visual ocupacional. Santiago de Cuba. Enero. 1997. P 228-230.</w:t>
      </w:r>
    </w:p>
    <w:p>
      <w:pPr>
        <w:spacing w:line="218" w:lineRule="exact" w:before="5"/>
        <w:ind w:left="270" w:right="9" w:firstLine="0"/>
        <w:jc w:val="left"/>
        <w:rPr>
          <w:sz w:val="18"/>
        </w:rPr>
      </w:pPr>
      <w:r>
        <w:rPr>
          <w:rFonts w:ascii="Courier New"/>
          <w:sz w:val="18"/>
        </w:rPr>
        <w:t>[2] </w:t>
      </w:r>
      <w:r>
        <w:rPr>
          <w:color w:val="202020"/>
          <w:sz w:val="18"/>
        </w:rPr>
        <w:t>COLOMBIA.   MINISTERIO   DE   MINAS   Y ENERGIA.</w:t>
      </w:r>
    </w:p>
    <w:p>
      <w:pPr>
        <w:spacing w:line="240" w:lineRule="auto" w:before="0"/>
        <w:ind w:left="838" w:right="1" w:firstLine="0"/>
        <w:jc w:val="both"/>
        <w:rPr>
          <w:sz w:val="18"/>
        </w:rPr>
      </w:pPr>
      <w:r>
        <w:rPr>
          <w:color w:val="202020"/>
          <w:sz w:val="18"/>
        </w:rPr>
        <w:t>Resolución 180540 (30 de Marzo de 2010). Por el cual se adopta el reglamento técnico de iluminación y alumbrado público., Diario Oficial. Bogotá D.C. 2010.</w:t>
      </w:r>
    </w:p>
    <w:p>
      <w:pPr>
        <w:spacing w:line="237" w:lineRule="auto" w:before="10"/>
        <w:ind w:left="838" w:right="1" w:hanging="568"/>
        <w:jc w:val="both"/>
        <w:rPr>
          <w:sz w:val="18"/>
        </w:rPr>
      </w:pPr>
      <w:r>
        <w:rPr>
          <w:rFonts w:ascii="Courier New" w:hAnsi="Courier New"/>
          <w:sz w:val="18"/>
        </w:rPr>
        <w:t>[3] </w:t>
      </w:r>
      <w:r>
        <w:rPr>
          <w:color w:val="202020"/>
          <w:sz w:val="18"/>
        </w:rPr>
        <w:t>MERCHAN, Claudia Elizabeth. Niveles de iluminación y su relación con los posibles efectos visuales en los empleados del mediclinico santa Ana ips, bogota. Trabajo de grado especialista en salud ocupacional. Bogotá  D.C.: Universidad Manuela Beltrán. Facultad de especializaciones. 2012.</w:t>
      </w:r>
    </w:p>
    <w:p>
      <w:pPr>
        <w:spacing w:line="237" w:lineRule="auto" w:before="12"/>
        <w:ind w:left="838" w:right="0" w:hanging="568"/>
        <w:jc w:val="both"/>
        <w:rPr>
          <w:sz w:val="18"/>
        </w:rPr>
      </w:pPr>
      <w:r>
        <w:rPr>
          <w:rFonts w:ascii="Courier New" w:hAnsi="Courier New"/>
          <w:sz w:val="18"/>
        </w:rPr>
        <w:t>[4] </w:t>
      </w:r>
      <w:r>
        <w:rPr>
          <w:color w:val="202020"/>
          <w:sz w:val="18"/>
        </w:rPr>
        <w:t>SALAS, Pedro Luis. ESTUDIO de iluminación del hangar de operaciones del parque automotriz de la empresa aseo técnico de la sabana s.a e.s.p de la ciudad de Bogotá d.c 2011. Trabajo de grado especialista en salud ocupacional. Bogotá D.C.: Universidad Manuela Beltrán. Facultad de especializaciones. 2012</w:t>
      </w:r>
    </w:p>
    <w:p>
      <w:pPr>
        <w:spacing w:line="237" w:lineRule="auto" w:before="11"/>
        <w:ind w:left="838" w:right="9" w:hanging="568"/>
        <w:jc w:val="left"/>
        <w:rPr>
          <w:sz w:val="18"/>
        </w:rPr>
      </w:pPr>
      <w:r>
        <w:rPr>
          <w:rFonts w:ascii="Courier New" w:hAnsi="Courier New"/>
          <w:sz w:val="18"/>
        </w:rPr>
        <w:t>[5] </w:t>
      </w:r>
      <w:r>
        <w:rPr>
          <w:color w:val="202020"/>
          <w:sz w:val="18"/>
        </w:rPr>
        <w:t>CUERVO, Natalia. Propuesta de intervención del sistema de iluminación de una empresa de consultoría e interventoría en la ciudad de Bogotá D.C. [en línea].2013. Disponible en intern</w:t>
      </w:r>
      <w:hyperlink r:id="rId12">
        <w:r>
          <w:rPr>
            <w:color w:val="202020"/>
            <w:sz w:val="18"/>
          </w:rPr>
          <w:t>et:http://biblioteca.umb.ed</w:t>
        </w:r>
      </w:hyperlink>
      <w:r>
        <w:rPr>
          <w:color w:val="202020"/>
          <w:sz w:val="18"/>
        </w:rPr>
        <w:t>u</w:t>
      </w:r>
      <w:hyperlink r:id="rId12">
        <w:r>
          <w:rPr>
            <w:color w:val="202020"/>
            <w:sz w:val="18"/>
          </w:rPr>
          <w:t>.co/posgrados/salud_ocup</w:t>
        </w:r>
      </w:hyperlink>
      <w:r>
        <w:rPr>
          <w:color w:val="202020"/>
          <w:sz w:val="18"/>
        </w:rPr>
        <w:t> acional/2013/5213%20C965.pdf</w:t>
      </w:r>
    </w:p>
    <w:p>
      <w:pPr>
        <w:tabs>
          <w:tab w:pos="2972" w:val="left" w:leader="none"/>
          <w:tab w:pos="4486" w:val="left" w:leader="none"/>
        </w:tabs>
        <w:spacing w:line="235" w:lineRule="auto" w:before="12"/>
        <w:ind w:left="838" w:right="1" w:hanging="568"/>
        <w:jc w:val="both"/>
        <w:rPr>
          <w:sz w:val="18"/>
        </w:rPr>
      </w:pPr>
      <w:r>
        <w:rPr>
          <w:rFonts w:ascii="Courier New" w:hAnsi="Courier New"/>
          <w:sz w:val="18"/>
        </w:rPr>
        <w:t>[6] </w:t>
      </w:r>
      <w:r>
        <w:rPr>
          <w:color w:val="202020"/>
          <w:sz w:val="18"/>
        </w:rPr>
        <w:t>MELIA, Joaquín. Fundamentos físicos de la teledetección. Tema 1, pág. 10 [en línea].julio 2006. ISBN:84-611-1613.5 Disponible</w:t>
        <w:tab/>
        <w:t>en</w:t>
        <w:tab/>
        <w:t>internet:&lt; </w:t>
      </w:r>
      <w:hyperlink r:id="rId13">
        <w:r>
          <w:rPr>
            <w:color w:val="202020"/>
            <w:sz w:val="18"/>
          </w:rPr>
          <w:t>http://www.um.es/geograf/sigmur/teledet/tema01.pdf&gt;</w:t>
        </w:r>
      </w:hyperlink>
    </w:p>
    <w:p>
      <w:pPr>
        <w:tabs>
          <w:tab w:pos="1781" w:val="left" w:leader="none"/>
          <w:tab w:pos="2296" w:val="left" w:leader="none"/>
          <w:tab w:pos="3050" w:val="left" w:leader="none"/>
          <w:tab w:pos="4130" w:val="left" w:leader="none"/>
          <w:tab w:pos="4588" w:val="left" w:leader="none"/>
        </w:tabs>
        <w:spacing w:line="235" w:lineRule="auto" w:before="14"/>
        <w:ind w:left="838" w:right="0" w:hanging="568"/>
        <w:jc w:val="left"/>
        <w:rPr>
          <w:sz w:val="18"/>
        </w:rPr>
      </w:pPr>
      <w:r>
        <w:rPr>
          <w:rFonts w:ascii="Courier New" w:hAnsi="Courier New"/>
          <w:sz w:val="18"/>
        </w:rPr>
        <w:t>[7] </w:t>
      </w:r>
      <w:r>
        <w:rPr>
          <w:color w:val="202020"/>
          <w:sz w:val="18"/>
        </w:rPr>
        <w:t>BARTUCCI, Fabio., estructura básica del ojo humano. [Online].</w:t>
        <w:tab/>
        <w:t>pp.</w:t>
        <w:tab/>
        <w:t>30-36.</w:t>
        <w:tab/>
        <w:t>Disponible</w:t>
        <w:tab/>
        <w:t>en</w:t>
        <w:tab/>
        <w:t>internet: </w:t>
      </w:r>
      <w:hyperlink r:id="rId14">
        <w:r>
          <w:rPr>
            <w:color w:val="202020"/>
            <w:sz w:val="18"/>
          </w:rPr>
          <w:t>http://fabiobartucci.wordpress.com/2011/12/30/estructura-</w:t>
        </w:r>
      </w:hyperlink>
      <w:r>
        <w:rPr>
          <w:color w:val="202020"/>
          <w:sz w:val="18"/>
        </w:rPr>
        <w:t> basica-del-ojo-humano/</w:t>
      </w:r>
    </w:p>
    <w:p>
      <w:pPr>
        <w:spacing w:line="235" w:lineRule="auto" w:before="13"/>
        <w:ind w:left="838" w:right="1" w:hanging="568"/>
        <w:jc w:val="both"/>
        <w:rPr>
          <w:sz w:val="18"/>
        </w:rPr>
      </w:pPr>
      <w:r>
        <w:rPr>
          <w:rFonts w:ascii="Courier New" w:hAnsi="Courier New"/>
          <w:sz w:val="18"/>
        </w:rPr>
        <w:t>[8] </w:t>
      </w:r>
      <w:r>
        <w:rPr>
          <w:color w:val="202020"/>
          <w:sz w:val="18"/>
        </w:rPr>
        <w:t>Ministerio de trabajo y seguridad social. Reglamento técnico colombiano para evaluación y control de iluminación y brillo en los centros y puestos de trabajo pág. 13</w:t>
      </w:r>
    </w:p>
    <w:p>
      <w:pPr>
        <w:spacing w:line="237" w:lineRule="auto" w:before="11"/>
        <w:ind w:left="838" w:right="1" w:hanging="568"/>
        <w:jc w:val="both"/>
        <w:rPr>
          <w:sz w:val="18"/>
        </w:rPr>
      </w:pPr>
      <w:r>
        <w:rPr>
          <w:rFonts w:ascii="Courier New" w:hAnsi="Courier New"/>
          <w:sz w:val="18"/>
        </w:rPr>
        <w:t>[9] </w:t>
      </w:r>
      <w:r>
        <w:rPr>
          <w:color w:val="202020"/>
          <w:sz w:val="18"/>
        </w:rPr>
        <w:t>GARCIA, Sanz. Criterios para su evaluación y acondicionamiento. Criterios para su evaluación y acondicionamiento. Instituto Nacional de Seguridad e Higiene en el Trabajo. Ministerio de empleo y seguridad social. Iluminación en el puesto de trabajo. Pág. 2</w:t>
      </w:r>
    </w:p>
    <w:p>
      <w:pPr>
        <w:pStyle w:val="BodyText"/>
        <w:rPr>
          <w:sz w:val="18"/>
        </w:rPr>
      </w:pPr>
    </w:p>
    <w:p>
      <w:pPr>
        <w:spacing w:before="0"/>
        <w:ind w:left="270" w:right="1" w:firstLine="0"/>
        <w:jc w:val="both"/>
        <w:rPr>
          <w:sz w:val="18"/>
        </w:rPr>
      </w:pPr>
      <w:r>
        <w:rPr>
          <w:b/>
          <w:sz w:val="18"/>
        </w:rPr>
        <w:t>Camilo José Patiño Rodríguez: </w:t>
      </w:r>
      <w:r>
        <w:rPr>
          <w:sz w:val="18"/>
        </w:rPr>
        <w:t>He is Environmental Engineering from the National University of Colombia, Specialist in Occupational Health, University Manuela Beltrán, Auditor Leader of Integrated Management Systems International Standards ISO 9001, ISO 14001 and OHSAS 18001.</w:t>
      </w:r>
    </w:p>
    <w:p>
      <w:pPr>
        <w:spacing w:before="77"/>
        <w:ind w:left="270" w:right="677" w:firstLine="0"/>
        <w:jc w:val="both"/>
        <w:rPr>
          <w:sz w:val="18"/>
        </w:rPr>
      </w:pPr>
      <w:r>
        <w:rPr/>
        <w:br w:type="column"/>
      </w:r>
      <w:r>
        <w:rPr>
          <w:b/>
          <w:sz w:val="18"/>
        </w:rPr>
        <w:t>Jennifer Nataly Casallas León: </w:t>
      </w:r>
      <w:r>
        <w:rPr>
          <w:sz w:val="18"/>
        </w:rPr>
        <w:t>She is Physiotherapist and Occupational Health Specialist of the University Manuela Beltrán, Bogotá.</w:t>
      </w:r>
    </w:p>
    <w:p>
      <w:pPr>
        <w:pStyle w:val="BodyText"/>
        <w:rPr>
          <w:sz w:val="18"/>
        </w:rPr>
      </w:pPr>
    </w:p>
    <w:p>
      <w:pPr>
        <w:spacing w:before="0"/>
        <w:ind w:left="270" w:right="676" w:firstLine="0"/>
        <w:jc w:val="both"/>
        <w:rPr>
          <w:sz w:val="18"/>
        </w:rPr>
      </w:pPr>
      <w:r>
        <w:rPr>
          <w:b/>
          <w:sz w:val="18"/>
        </w:rPr>
        <w:t>Jorge Andrés Cruz Laverde: </w:t>
      </w:r>
      <w:r>
        <w:rPr>
          <w:sz w:val="18"/>
        </w:rPr>
        <w:t>He is University Chemical  Engineer America, Bogota, Occupational Health Specialist at the National University of Colombia, Director of Online Research in Occupational Hygiene and master lecture in the program specialization in Occupational Health and Safety at Work at the University Manuela Beltran Bogota, Part Time Teacher of the national University of Colombia in the Masters program in Safety and Health at Work, draftsman several national congresses concerning safety and health at</w:t>
      </w:r>
      <w:r>
        <w:rPr>
          <w:spacing w:val="-8"/>
          <w:sz w:val="18"/>
        </w:rPr>
        <w:t> </w:t>
      </w:r>
      <w:r>
        <w:rPr>
          <w:sz w:val="18"/>
        </w:rPr>
        <w:t>work.</w:t>
      </w:r>
    </w:p>
    <w:p>
      <w:pPr>
        <w:spacing w:after="0"/>
        <w:jc w:val="both"/>
        <w:rPr>
          <w:sz w:val="18"/>
        </w:rPr>
        <w:sectPr>
          <w:type w:val="continuous"/>
          <w:pgSz w:w="12240" w:h="15840"/>
          <w:pgMar w:top="1500" w:bottom="280" w:left="580" w:right="220"/>
          <w:cols w:num="2" w:equalWidth="0">
            <w:col w:w="5191" w:space="433"/>
            <w:col w:w="5816"/>
          </w:cols>
        </w:sectPr>
      </w:pPr>
    </w:p>
    <w:p>
      <w:pPr>
        <w:pStyle w:val="BodyText"/>
        <w:rPr>
          <w:sz w:val="11"/>
        </w:rPr>
      </w:pPr>
    </w:p>
    <w:p>
      <w:pPr>
        <w:spacing w:after="0"/>
        <w:rPr>
          <w:sz w:val="11"/>
        </w:rPr>
        <w:sectPr>
          <w:pgSz w:w="12240" w:h="15840"/>
          <w:pgMar w:header="545" w:footer="852" w:top="1060" w:bottom="1040" w:left="580" w:right="220"/>
        </w:sectPr>
      </w:pPr>
    </w:p>
    <w:p>
      <w:pPr>
        <w:spacing w:before="80"/>
        <w:ind w:left="270" w:right="17" w:firstLine="0"/>
        <w:jc w:val="both"/>
        <w:rPr>
          <w:b/>
          <w:sz w:val="18"/>
        </w:rPr>
      </w:pPr>
      <w:r>
        <w:rPr>
          <w:b/>
          <w:sz w:val="18"/>
        </w:rPr>
        <w:t>Characterization and analysis of occupational hazard in the design of jobs in small and medium-sized metal-mechanic industry in Navojoa, Sonora.</w:t>
      </w:r>
    </w:p>
    <w:p>
      <w:pPr>
        <w:pStyle w:val="BodyText"/>
        <w:spacing w:before="11"/>
        <w:rPr>
          <w:b/>
          <w:sz w:val="17"/>
        </w:rPr>
      </w:pPr>
    </w:p>
    <w:p>
      <w:pPr>
        <w:spacing w:line="206" w:lineRule="exact" w:before="0"/>
        <w:ind w:left="1785" w:right="51" w:hanging="1464"/>
        <w:jc w:val="left"/>
        <w:rPr>
          <w:i/>
          <w:sz w:val="18"/>
        </w:rPr>
      </w:pPr>
      <w:r>
        <w:rPr>
          <w:i/>
          <w:sz w:val="18"/>
        </w:rPr>
        <w:t>Nydia Guadalupe Ortega Zazueta</w:t>
      </w:r>
      <w:r>
        <w:rPr>
          <w:i/>
          <w:position w:val="8"/>
          <w:sz w:val="12"/>
        </w:rPr>
        <w:t>a</w:t>
      </w:r>
      <w:r>
        <w:rPr>
          <w:i/>
          <w:sz w:val="18"/>
        </w:rPr>
        <w:t>, Mauricio López Acosta</w:t>
      </w:r>
      <w:r>
        <w:rPr>
          <w:i/>
          <w:position w:val="8"/>
          <w:sz w:val="12"/>
        </w:rPr>
        <w:t>b</w:t>
      </w:r>
      <w:r>
        <w:rPr>
          <w:i/>
          <w:sz w:val="18"/>
        </w:rPr>
        <w:t>, Jesús </w:t>
      </w:r>
      <w:r>
        <w:rPr>
          <w:i/>
          <w:sz w:val="18"/>
        </w:rPr>
        <w:t>Enrique Sánchez Padilla</w:t>
      </w:r>
      <w:r>
        <w:rPr>
          <w:i/>
          <w:position w:val="8"/>
          <w:sz w:val="12"/>
        </w:rPr>
        <w:t>c</w:t>
      </w:r>
      <w:r>
        <w:rPr>
          <w:i/>
          <w:sz w:val="18"/>
        </w:rPr>
        <w:t>.</w:t>
      </w:r>
    </w:p>
    <w:p>
      <w:pPr>
        <w:pStyle w:val="BodyText"/>
        <w:spacing w:before="8"/>
        <w:rPr>
          <w:i/>
          <w:sz w:val="15"/>
        </w:rPr>
      </w:pPr>
    </w:p>
    <w:p>
      <w:pPr>
        <w:spacing w:before="0"/>
        <w:ind w:left="270" w:right="0" w:firstLine="0"/>
        <w:jc w:val="both"/>
        <w:rPr>
          <w:sz w:val="18"/>
        </w:rPr>
      </w:pPr>
      <w:r>
        <w:rPr>
          <w:position w:val="8"/>
          <w:sz w:val="12"/>
        </w:rPr>
        <w:t>a </w:t>
      </w:r>
      <w:r>
        <w:rPr>
          <w:sz w:val="18"/>
        </w:rPr>
        <w:t>Technological Institute of Sonora, Navojoa Unit, </w:t>
      </w:r>
      <w:hyperlink r:id="rId15">
        <w:r>
          <w:rPr>
            <w:sz w:val="18"/>
          </w:rPr>
          <w:t>nidia_killa@hotmail.com</w:t>
        </w:r>
      </w:hyperlink>
      <w:r>
        <w:rPr>
          <w:sz w:val="18"/>
        </w:rPr>
        <w:t> , Navojoa, Sonora, Mexico.</w:t>
      </w:r>
    </w:p>
    <w:p>
      <w:pPr>
        <w:spacing w:line="208" w:lineRule="exact" w:before="1"/>
        <w:ind w:left="270" w:right="0" w:firstLine="0"/>
        <w:jc w:val="both"/>
        <w:rPr>
          <w:sz w:val="18"/>
        </w:rPr>
      </w:pPr>
      <w:r>
        <w:rPr>
          <w:position w:val="8"/>
          <w:sz w:val="12"/>
        </w:rPr>
        <w:t>b </w:t>
      </w:r>
      <w:r>
        <w:rPr>
          <w:sz w:val="18"/>
        </w:rPr>
        <w:t>Technological Institute of Sonora, Navojoa Unit, </w:t>
      </w:r>
      <w:hyperlink r:id="rId16">
        <w:r>
          <w:rPr>
            <w:sz w:val="18"/>
          </w:rPr>
          <w:t>mauricio.lopez@itson.edu.mx,</w:t>
        </w:r>
      </w:hyperlink>
      <w:r>
        <w:rPr>
          <w:sz w:val="18"/>
        </w:rPr>
        <w:t> Navojoa, Sonora, Mexico.</w:t>
      </w:r>
    </w:p>
    <w:p>
      <w:pPr>
        <w:spacing w:line="203" w:lineRule="exact" w:before="0"/>
        <w:ind w:left="270" w:right="0" w:firstLine="0"/>
        <w:jc w:val="both"/>
        <w:rPr>
          <w:sz w:val="18"/>
        </w:rPr>
      </w:pPr>
      <w:r>
        <w:rPr>
          <w:position w:val="8"/>
          <w:sz w:val="12"/>
        </w:rPr>
        <w:t>c</w:t>
      </w:r>
      <w:r>
        <w:rPr>
          <w:sz w:val="18"/>
        </w:rPr>
        <w:t>Technological       Institute       of       Sonora,       Navojoa       Unit,</w:t>
      </w:r>
    </w:p>
    <w:p>
      <w:pPr>
        <w:spacing w:line="207" w:lineRule="exact" w:before="0"/>
        <w:ind w:left="270" w:right="0" w:firstLine="0"/>
        <w:jc w:val="both"/>
        <w:rPr>
          <w:sz w:val="18"/>
        </w:rPr>
      </w:pPr>
      <w:hyperlink r:id="rId17">
        <w:r>
          <w:rPr>
            <w:sz w:val="18"/>
          </w:rPr>
          <w:t>jesus.sanchez@itson.edu.mx,</w:t>
        </w:r>
      </w:hyperlink>
      <w:r>
        <w:rPr>
          <w:sz w:val="18"/>
        </w:rPr>
        <w:t> Navojoa, Sonora, Mexico.</w:t>
      </w:r>
    </w:p>
    <w:p>
      <w:pPr>
        <w:pStyle w:val="BodyText"/>
        <w:spacing w:before="6"/>
        <w:rPr>
          <w:sz w:val="18"/>
        </w:rPr>
      </w:pPr>
    </w:p>
    <w:p>
      <w:pPr>
        <w:spacing w:before="0"/>
        <w:ind w:left="270" w:right="0" w:firstLine="0"/>
        <w:jc w:val="both"/>
        <w:rPr>
          <w:b/>
          <w:i/>
          <w:sz w:val="18"/>
        </w:rPr>
      </w:pPr>
      <w:r>
        <w:rPr/>
        <w:pict>
          <v:line style="position:absolute;mso-position-horizontal-relative:page;mso-position-vertical-relative:paragraph;z-index:1168" from="41.040001pt,12.092324pt" to="289.860001pt,12.092324pt" stroked="true" strokeweight="1.5pt" strokecolor="#000000">
            <w10:wrap type="none"/>
          </v:line>
        </w:pict>
      </w:r>
      <w:r>
        <w:rPr>
          <w:b/>
          <w:i/>
          <w:sz w:val="18"/>
        </w:rPr>
        <w:t>Resumen</w:t>
      </w:r>
    </w:p>
    <w:p>
      <w:pPr>
        <w:spacing w:before="45"/>
        <w:ind w:left="270" w:right="14" w:firstLine="0"/>
        <w:jc w:val="both"/>
        <w:rPr>
          <w:sz w:val="18"/>
        </w:rPr>
      </w:pPr>
      <w:r>
        <w:rPr>
          <w:sz w:val="18"/>
        </w:rPr>
        <w:t>Este documento pretende mostrar la caracterización y análisis de los factores de riesgo en el diseño de puestos de trabajo en el sector de pequeña y mediana industria metal-mecánica de Navojoa. La metodología utilizada en el estudio fue la implementación de la herramienta de evaluación para la recolección de datos y análisis de datos. El desarrollo de este estudio llevó un total de 19 empresas del sector metal mecánica específicamente dedicadas a la soldadura, torno, rectificado y fresado. Como importantes resultados se obtuvieron que en Navojoa en la industria metalúrgica, en dimensiones del cuerpo sólo un 32% de las manijas del equipo se adaptan a los trabajadores, en el 73,68% de los casos existen posturas inadecuadas de los trabajadores en el tronco y los brazos y en el 68,42% en las piernas, éstas son las posiciones de mayor riesgo para los operadores y que puede ocasionar lesiones musculoesqueléticas. Además sólo el 5,26% de las empresas tienen equipos mecánicos auxiliares para el transporte de cargas pesadas. También se identificó que se encuentra la mayor concentración del riesgo en las posturas y movimientos del cuerpo en el 50% de los empleados en el sector, que pueden conducir a enfermedades profesionales y afectan la productividad del sector</w:t>
      </w:r>
      <w:r>
        <w:rPr>
          <w:spacing w:val="-17"/>
          <w:sz w:val="18"/>
        </w:rPr>
        <w:t> </w:t>
      </w:r>
      <w:r>
        <w:rPr>
          <w:sz w:val="18"/>
        </w:rPr>
        <w:t>metal-mecánico.</w:t>
      </w:r>
    </w:p>
    <w:p>
      <w:pPr>
        <w:pStyle w:val="BodyText"/>
        <w:rPr>
          <w:sz w:val="18"/>
        </w:rPr>
      </w:pPr>
    </w:p>
    <w:p>
      <w:pPr>
        <w:spacing w:before="0"/>
        <w:ind w:left="270" w:right="18" w:firstLine="0"/>
        <w:jc w:val="both"/>
        <w:rPr>
          <w:sz w:val="18"/>
        </w:rPr>
      </w:pPr>
      <w:r>
        <w:rPr>
          <w:b/>
          <w:sz w:val="18"/>
        </w:rPr>
        <w:t>Palabras clave: </w:t>
      </w:r>
      <w:r>
        <w:rPr>
          <w:sz w:val="18"/>
        </w:rPr>
        <w:t>diseño de estaciones de trabajo, factores de riesgo, sector metal-mecánico.</w:t>
      </w:r>
    </w:p>
    <w:p>
      <w:pPr>
        <w:pStyle w:val="BodyText"/>
        <w:spacing w:before="6"/>
        <w:rPr>
          <w:sz w:val="18"/>
        </w:rPr>
      </w:pPr>
    </w:p>
    <w:p>
      <w:pPr>
        <w:spacing w:before="0"/>
        <w:ind w:left="270" w:right="0" w:firstLine="0"/>
        <w:jc w:val="both"/>
        <w:rPr>
          <w:b/>
          <w:i/>
          <w:sz w:val="18"/>
        </w:rPr>
      </w:pPr>
      <w:r>
        <w:rPr/>
        <w:pict>
          <v:line style="position:absolute;mso-position-horizontal-relative:page;mso-position-vertical-relative:paragraph;z-index:1192" from="41.040001pt,12.032029pt" to="289.860001pt,12.032029pt" stroked="true" strokeweight="1.5pt" strokecolor="#000000">
            <w10:wrap type="none"/>
          </v:line>
        </w:pict>
      </w:r>
      <w:r>
        <w:rPr>
          <w:b/>
          <w:i/>
          <w:sz w:val="18"/>
        </w:rPr>
        <w:t>Abstract</w:t>
      </w:r>
    </w:p>
    <w:p>
      <w:pPr>
        <w:spacing w:before="44"/>
        <w:ind w:left="270" w:right="16" w:firstLine="0"/>
        <w:jc w:val="both"/>
        <w:rPr>
          <w:i/>
          <w:sz w:val="18"/>
        </w:rPr>
      </w:pPr>
      <w:r>
        <w:rPr>
          <w:i/>
          <w:sz w:val="18"/>
        </w:rPr>
        <w:t>This document aims to show the characterization and analysis of  </w:t>
      </w:r>
      <w:r>
        <w:rPr>
          <w:i/>
          <w:sz w:val="18"/>
        </w:rPr>
        <w:t>the risk factors in design of jobs in small and medium-sized industry sector metal-mechanics of Navojoa. The methodology used in the study was the implementation of assessment tool, for data collection and analysis of data. The development of this study took a total of 19 metal-mechanical companies specifically dedicated to welding, lathe, grinding and milling. As important results were obtained that in Navojoa in the metalworking industry, in body dimensions only 32% of the handles of the equipment are adapted to the workers, in the 73.68% of cases there are inappropriate postures of workers in trunk and arms and in the 68.42% in legs, these are the positions of greater risk for the operators and that may cause musculoskeletal injuries. In addition only 5.26% of enterprises have auxiliary mechanical equipment for the transport of heavy loads. Also it was identified that the greatest concentration of the risk is located in postures and body movements in 50% of employees in the sector, which can lead to occupational diseases and affect the productivity of the metal processing</w:t>
      </w:r>
      <w:r>
        <w:rPr>
          <w:i/>
          <w:spacing w:val="-2"/>
          <w:sz w:val="18"/>
        </w:rPr>
        <w:t> </w:t>
      </w:r>
      <w:r>
        <w:rPr>
          <w:i/>
          <w:sz w:val="18"/>
        </w:rPr>
        <w:t>sector.</w:t>
      </w:r>
    </w:p>
    <w:p>
      <w:pPr>
        <w:pStyle w:val="BodyText"/>
        <w:rPr>
          <w:i/>
          <w:sz w:val="18"/>
        </w:rPr>
      </w:pPr>
    </w:p>
    <w:p>
      <w:pPr>
        <w:spacing w:before="0"/>
        <w:ind w:left="270" w:right="19" w:firstLine="0"/>
        <w:jc w:val="both"/>
        <w:rPr>
          <w:i/>
          <w:sz w:val="18"/>
        </w:rPr>
      </w:pPr>
      <w:r>
        <w:rPr>
          <w:b/>
          <w:i/>
          <w:sz w:val="18"/>
        </w:rPr>
        <w:t>Key words: </w:t>
      </w:r>
      <w:r>
        <w:rPr>
          <w:i/>
          <w:sz w:val="18"/>
        </w:rPr>
        <w:t>design of work stations, risk factors, metal processing </w:t>
      </w:r>
      <w:r>
        <w:rPr>
          <w:i/>
          <w:sz w:val="18"/>
        </w:rPr>
        <w:t>sector.</w:t>
      </w:r>
    </w:p>
    <w:p>
      <w:pPr>
        <w:pStyle w:val="BodyText"/>
        <w:rPr>
          <w:i/>
          <w:sz w:val="18"/>
        </w:rPr>
      </w:pPr>
    </w:p>
    <w:p>
      <w:pPr>
        <w:spacing w:before="0"/>
        <w:ind w:left="270" w:right="15" w:firstLine="0"/>
        <w:jc w:val="both"/>
        <w:rPr>
          <w:sz w:val="18"/>
        </w:rPr>
      </w:pPr>
      <w:r>
        <w:rPr>
          <w:sz w:val="18"/>
        </w:rPr>
        <w:t>Relevance to Ergonomics: research enriches information about risk factors  and  design  in  man-machine  interaction  of  the       metal-</w:t>
      </w:r>
    </w:p>
    <w:p>
      <w:pPr>
        <w:spacing w:before="77"/>
        <w:ind w:left="270" w:right="677" w:firstLine="0"/>
        <w:jc w:val="both"/>
        <w:rPr>
          <w:sz w:val="18"/>
        </w:rPr>
      </w:pPr>
      <w:r>
        <w:rPr/>
        <w:br w:type="column"/>
      </w:r>
      <w:r>
        <w:rPr>
          <w:sz w:val="18"/>
        </w:rPr>
        <w:t>mechanic sector and describes the situation of the workers,  pointing out in health and</w:t>
      </w:r>
      <w:r>
        <w:rPr>
          <w:spacing w:val="-8"/>
          <w:sz w:val="18"/>
        </w:rPr>
        <w:t> </w:t>
      </w:r>
      <w:r>
        <w:rPr>
          <w:sz w:val="18"/>
        </w:rPr>
        <w:t>safety.</w:t>
      </w:r>
    </w:p>
    <w:p>
      <w:pPr>
        <w:pStyle w:val="BodyText"/>
        <w:rPr>
          <w:sz w:val="18"/>
        </w:rPr>
      </w:pPr>
    </w:p>
    <w:p>
      <w:pPr>
        <w:pStyle w:val="BodyText"/>
        <w:spacing w:before="4"/>
        <w:rPr>
          <w:sz w:val="18"/>
        </w:rPr>
      </w:pPr>
    </w:p>
    <w:p>
      <w:pPr>
        <w:pStyle w:val="ListParagraph"/>
        <w:numPr>
          <w:ilvl w:val="0"/>
          <w:numId w:val="3"/>
        </w:numPr>
        <w:tabs>
          <w:tab w:pos="631" w:val="left" w:leader="none"/>
        </w:tabs>
        <w:spacing w:line="240" w:lineRule="auto" w:before="0" w:after="0"/>
        <w:ind w:left="630" w:right="0" w:hanging="360"/>
        <w:jc w:val="both"/>
        <w:rPr>
          <w:b/>
          <w:sz w:val="18"/>
        </w:rPr>
      </w:pPr>
      <w:r>
        <w:rPr>
          <w:b/>
          <w:sz w:val="18"/>
        </w:rPr>
        <w:t>INTRODUCTION</w:t>
      </w:r>
    </w:p>
    <w:p>
      <w:pPr>
        <w:pStyle w:val="BodyText"/>
        <w:spacing w:before="7"/>
        <w:rPr>
          <w:b/>
          <w:sz w:val="17"/>
        </w:rPr>
      </w:pPr>
    </w:p>
    <w:p>
      <w:pPr>
        <w:spacing w:before="1"/>
        <w:ind w:left="270" w:right="675" w:firstLine="0"/>
        <w:jc w:val="both"/>
        <w:rPr>
          <w:sz w:val="18"/>
        </w:rPr>
      </w:pPr>
      <w:r>
        <w:rPr>
          <w:sz w:val="18"/>
        </w:rPr>
        <w:t>This research is aimed at users in the sector metal-mechanic, where there are use of machines and tools, in order to assess and detect ergonomic risk factors for workers and to guide and help the users of the sector to prevent ergonomic risks associated with the use of machines to all actors involved in the sector.</w:t>
      </w:r>
    </w:p>
    <w:p>
      <w:pPr>
        <w:spacing w:before="0"/>
        <w:ind w:left="270" w:right="675" w:firstLine="358"/>
        <w:jc w:val="both"/>
        <w:rPr>
          <w:sz w:val="18"/>
        </w:rPr>
      </w:pPr>
      <w:r>
        <w:rPr>
          <w:sz w:val="18"/>
        </w:rPr>
        <w:t>According to statistics, the most common accidents in the industry are related to the exposure of workers to inanimate mechanical forces, such as a machine, a tool, a forklift and even an explosive material.</w:t>
      </w:r>
    </w:p>
    <w:p>
      <w:pPr>
        <w:spacing w:before="0"/>
        <w:ind w:left="270" w:right="676" w:firstLine="0"/>
        <w:jc w:val="both"/>
        <w:rPr>
          <w:sz w:val="18"/>
        </w:rPr>
      </w:pPr>
      <w:r>
        <w:rPr>
          <w:sz w:val="18"/>
        </w:rPr>
        <w:t>On average every year are recorded in the industry between 50,000 and 60,000 accidents - such as shakes, crush or explosion - derived from working with computers, heavy objects or flammable substances. These accidents occurred to people working in the industry, as porters, machine operators, tools operators of forklifts operators, welders or flame cutters, according to [1].</w:t>
      </w:r>
    </w:p>
    <w:p>
      <w:pPr>
        <w:spacing w:before="0"/>
        <w:ind w:left="270" w:right="677" w:firstLine="0"/>
        <w:jc w:val="both"/>
        <w:rPr>
          <w:sz w:val="18"/>
        </w:rPr>
      </w:pPr>
      <w:r>
        <w:rPr>
          <w:sz w:val="18"/>
        </w:rPr>
        <w:t>According to [2], work accidents are on the rise during the years nationally, (see table 1, see fig. 1).</w:t>
      </w:r>
    </w:p>
    <w:p>
      <w:pPr>
        <w:pStyle w:val="BodyText"/>
        <w:rPr>
          <w:sz w:val="18"/>
        </w:rPr>
      </w:pPr>
    </w:p>
    <w:p>
      <w:pPr>
        <w:pStyle w:val="BodyText"/>
        <w:rPr>
          <w:sz w:val="18"/>
        </w:rPr>
      </w:pPr>
    </w:p>
    <w:p>
      <w:pPr>
        <w:spacing w:before="0"/>
        <w:ind w:left="1339" w:right="702" w:firstLine="0"/>
        <w:jc w:val="left"/>
        <w:rPr>
          <w:sz w:val="18"/>
        </w:rPr>
      </w:pPr>
      <w:r>
        <w:rPr>
          <w:sz w:val="18"/>
        </w:rPr>
        <w:t>Table 1. Accidents at work in Mexico</w:t>
      </w:r>
    </w:p>
    <w:p>
      <w:pPr>
        <w:pStyle w:val="BodyText"/>
        <w:spacing w:before="4" w:after="1"/>
        <w:rPr>
          <w:sz w:val="18"/>
        </w:rPr>
      </w:pPr>
    </w:p>
    <w:tbl>
      <w:tblPr>
        <w:tblW w:w="0" w:type="auto"/>
        <w:jc w:val="left"/>
        <w:tblInd w:w="266"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0" w:type="dxa"/>
          <w:left w:w="0" w:type="dxa"/>
          <w:bottom w:w="0" w:type="dxa"/>
          <w:right w:w="0" w:type="dxa"/>
        </w:tblCellMar>
        <w:tblLook w:val="01E0"/>
      </w:tblPr>
      <w:tblGrid>
        <w:gridCol w:w="2143"/>
        <w:gridCol w:w="2722"/>
      </w:tblGrid>
      <w:tr>
        <w:trPr>
          <w:trHeight w:val="433" w:hRule="exact"/>
        </w:trPr>
        <w:tc>
          <w:tcPr>
            <w:tcW w:w="2143" w:type="dxa"/>
          </w:tcPr>
          <w:p>
            <w:pPr>
              <w:pStyle w:val="TableParagraph"/>
              <w:spacing w:line="206" w:lineRule="exact"/>
              <w:ind w:left="103"/>
              <w:rPr>
                <w:b/>
                <w:sz w:val="18"/>
              </w:rPr>
            </w:pPr>
            <w:r>
              <w:rPr>
                <w:b/>
                <w:sz w:val="18"/>
              </w:rPr>
              <w:t>Year</w:t>
            </w:r>
          </w:p>
        </w:tc>
        <w:tc>
          <w:tcPr>
            <w:tcW w:w="2722" w:type="dxa"/>
          </w:tcPr>
          <w:p>
            <w:pPr>
              <w:pStyle w:val="TableParagraph"/>
              <w:spacing w:line="206" w:lineRule="exact"/>
              <w:ind w:left="103"/>
              <w:rPr>
                <w:b/>
                <w:sz w:val="18"/>
              </w:rPr>
            </w:pPr>
            <w:r>
              <w:rPr>
                <w:b/>
                <w:sz w:val="18"/>
              </w:rPr>
              <w:t>Accidents at work</w:t>
            </w:r>
          </w:p>
        </w:tc>
      </w:tr>
      <w:tr>
        <w:trPr>
          <w:trHeight w:val="432" w:hRule="exact"/>
        </w:trPr>
        <w:tc>
          <w:tcPr>
            <w:tcW w:w="2143" w:type="dxa"/>
            <w:shd w:val="clear" w:color="auto" w:fill="F2F2F2"/>
          </w:tcPr>
          <w:p>
            <w:pPr>
              <w:pStyle w:val="TableParagraph"/>
              <w:spacing w:line="206" w:lineRule="exact"/>
              <w:ind w:left="103"/>
              <w:rPr>
                <w:b/>
                <w:sz w:val="18"/>
              </w:rPr>
            </w:pPr>
            <w:r>
              <w:rPr>
                <w:b/>
                <w:sz w:val="18"/>
              </w:rPr>
              <w:t>2010</w:t>
            </w:r>
          </w:p>
        </w:tc>
        <w:tc>
          <w:tcPr>
            <w:tcW w:w="2722" w:type="dxa"/>
            <w:shd w:val="clear" w:color="auto" w:fill="F2F2F2"/>
          </w:tcPr>
          <w:p>
            <w:pPr>
              <w:pStyle w:val="TableParagraph"/>
              <w:spacing w:line="202" w:lineRule="exact"/>
              <w:ind w:left="103"/>
              <w:rPr>
                <w:sz w:val="18"/>
              </w:rPr>
            </w:pPr>
            <w:r>
              <w:rPr>
                <w:sz w:val="18"/>
              </w:rPr>
              <w:t>403,336</w:t>
            </w:r>
          </w:p>
        </w:tc>
      </w:tr>
      <w:tr>
        <w:trPr>
          <w:trHeight w:val="434" w:hRule="exact"/>
        </w:trPr>
        <w:tc>
          <w:tcPr>
            <w:tcW w:w="2143" w:type="dxa"/>
          </w:tcPr>
          <w:p>
            <w:pPr>
              <w:pStyle w:val="TableParagraph"/>
              <w:ind w:left="103"/>
              <w:rPr>
                <w:b/>
                <w:sz w:val="18"/>
              </w:rPr>
            </w:pPr>
            <w:r>
              <w:rPr>
                <w:b/>
                <w:sz w:val="18"/>
              </w:rPr>
              <w:t>2011</w:t>
            </w:r>
          </w:p>
        </w:tc>
        <w:tc>
          <w:tcPr>
            <w:tcW w:w="2722" w:type="dxa"/>
          </w:tcPr>
          <w:p>
            <w:pPr>
              <w:pStyle w:val="TableParagraph"/>
              <w:spacing w:line="203" w:lineRule="exact"/>
              <w:ind w:left="103"/>
              <w:rPr>
                <w:sz w:val="18"/>
              </w:rPr>
            </w:pPr>
            <w:r>
              <w:rPr>
                <w:sz w:val="18"/>
              </w:rPr>
              <w:t>422, 043</w:t>
            </w:r>
          </w:p>
        </w:tc>
      </w:tr>
      <w:tr>
        <w:trPr>
          <w:trHeight w:val="433" w:hRule="exact"/>
        </w:trPr>
        <w:tc>
          <w:tcPr>
            <w:tcW w:w="2143" w:type="dxa"/>
            <w:shd w:val="clear" w:color="auto" w:fill="F2F2F2"/>
          </w:tcPr>
          <w:p>
            <w:pPr>
              <w:pStyle w:val="TableParagraph"/>
              <w:spacing w:line="206" w:lineRule="exact"/>
              <w:ind w:left="103"/>
              <w:rPr>
                <w:b/>
                <w:sz w:val="18"/>
              </w:rPr>
            </w:pPr>
            <w:r>
              <w:rPr>
                <w:b/>
                <w:sz w:val="18"/>
              </w:rPr>
              <w:t>2012</w:t>
            </w:r>
          </w:p>
        </w:tc>
        <w:tc>
          <w:tcPr>
            <w:tcW w:w="2722" w:type="dxa"/>
            <w:shd w:val="clear" w:color="auto" w:fill="F2F2F2"/>
          </w:tcPr>
          <w:p>
            <w:pPr>
              <w:pStyle w:val="TableParagraph"/>
              <w:spacing w:line="203" w:lineRule="exact"/>
              <w:ind w:left="103"/>
              <w:rPr>
                <w:sz w:val="18"/>
              </w:rPr>
            </w:pPr>
            <w:r>
              <w:rPr>
                <w:sz w:val="18"/>
              </w:rPr>
              <w:t>443,600</w:t>
            </w:r>
          </w:p>
        </w:tc>
      </w:tr>
    </w:tbl>
    <w:p>
      <w:pPr>
        <w:pStyle w:val="BodyText"/>
        <w:rPr>
          <w:sz w:val="18"/>
        </w:rPr>
      </w:pPr>
    </w:p>
    <w:p>
      <w:pPr>
        <w:pStyle w:val="BodyText"/>
        <w:spacing w:before="6"/>
        <w:rPr>
          <w:sz w:val="17"/>
        </w:rPr>
      </w:pPr>
    </w:p>
    <w:p>
      <w:pPr>
        <w:spacing w:before="0"/>
        <w:ind w:left="270" w:right="677" w:firstLine="0"/>
        <w:jc w:val="both"/>
        <w:rPr>
          <w:sz w:val="18"/>
        </w:rPr>
      </w:pPr>
      <w:r>
        <w:rPr>
          <w:sz w:val="18"/>
        </w:rPr>
        <w:t>In Sonora, according to [3] during the period 2004-2013, workplace accidents have increased in 1146 accidents in the years 2011-2012 (see table 2, see Figure</w:t>
      </w:r>
      <w:r>
        <w:rPr>
          <w:spacing w:val="-27"/>
          <w:sz w:val="18"/>
        </w:rPr>
        <w:t> </w:t>
      </w:r>
      <w:r>
        <w:rPr>
          <w:sz w:val="18"/>
        </w:rPr>
        <w:t>2):</w:t>
      </w:r>
    </w:p>
    <w:p>
      <w:pPr>
        <w:pStyle w:val="BodyText"/>
        <w:rPr>
          <w:sz w:val="18"/>
        </w:rPr>
      </w:pPr>
    </w:p>
    <w:p>
      <w:pPr>
        <w:pStyle w:val="BodyText"/>
        <w:rPr>
          <w:sz w:val="18"/>
        </w:rPr>
      </w:pPr>
    </w:p>
    <w:p>
      <w:pPr>
        <w:pStyle w:val="BodyText"/>
        <w:rPr>
          <w:sz w:val="18"/>
        </w:rPr>
      </w:pPr>
    </w:p>
    <w:p>
      <w:pPr>
        <w:spacing w:before="0"/>
        <w:ind w:left="1360" w:right="702" w:firstLine="0"/>
        <w:jc w:val="left"/>
        <w:rPr>
          <w:sz w:val="18"/>
        </w:rPr>
      </w:pPr>
      <w:r>
        <w:rPr/>
        <w:pict>
          <v:shape style="position:absolute;margin-left:331.799988pt;margin-top:20.94236pt;width:227.5pt;height:59.2pt;mso-position-horizontal-relative:page;mso-position-vertical-relative:paragraph;z-index:1216" type="#_x0000_t202" filled="false" stroked="false">
            <v:textbox inset="0,0,0,0">
              <w:txbxContent>
                <w:tbl>
                  <w:tblPr>
                    <w:tblW w:w="0" w:type="auto"/>
                    <w:jc w:val="lef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0" w:type="dxa"/>
                      <w:left w:w="0" w:type="dxa"/>
                      <w:bottom w:w="0" w:type="dxa"/>
                      <w:right w:w="0" w:type="dxa"/>
                    </w:tblCellMar>
                    <w:tblLook w:val="01E0"/>
                  </w:tblPr>
                  <w:tblGrid>
                    <w:gridCol w:w="1996"/>
                    <w:gridCol w:w="2539"/>
                  </w:tblGrid>
                  <w:tr>
                    <w:trPr>
                      <w:trHeight w:val="391" w:hRule="exact"/>
                    </w:trPr>
                    <w:tc>
                      <w:tcPr>
                        <w:tcW w:w="1996" w:type="dxa"/>
                      </w:tcPr>
                      <w:p>
                        <w:pPr>
                          <w:pStyle w:val="TableParagraph"/>
                          <w:ind w:left="101"/>
                          <w:rPr>
                            <w:b/>
                            <w:sz w:val="18"/>
                          </w:rPr>
                        </w:pPr>
                        <w:r>
                          <w:rPr>
                            <w:b/>
                            <w:sz w:val="18"/>
                          </w:rPr>
                          <w:t>Year</w:t>
                        </w:r>
                      </w:p>
                    </w:tc>
                    <w:tc>
                      <w:tcPr>
                        <w:tcW w:w="2539" w:type="dxa"/>
                      </w:tcPr>
                      <w:p>
                        <w:pPr>
                          <w:pStyle w:val="TableParagraph"/>
                          <w:ind w:left="103"/>
                          <w:rPr>
                            <w:b/>
                            <w:sz w:val="18"/>
                          </w:rPr>
                        </w:pPr>
                        <w:r>
                          <w:rPr>
                            <w:b/>
                            <w:sz w:val="18"/>
                          </w:rPr>
                          <w:t>Accidents at work</w:t>
                        </w:r>
                      </w:p>
                    </w:tc>
                  </w:tr>
                  <w:tr>
                    <w:trPr>
                      <w:trHeight w:val="391" w:hRule="exact"/>
                    </w:trPr>
                    <w:tc>
                      <w:tcPr>
                        <w:tcW w:w="1996" w:type="dxa"/>
                        <w:shd w:val="clear" w:color="auto" w:fill="F2F2F2"/>
                      </w:tcPr>
                      <w:p>
                        <w:pPr>
                          <w:pStyle w:val="TableParagraph"/>
                          <w:spacing w:line="206" w:lineRule="exact"/>
                          <w:ind w:left="102"/>
                          <w:rPr>
                            <w:b/>
                            <w:sz w:val="18"/>
                          </w:rPr>
                        </w:pPr>
                        <w:r>
                          <w:rPr>
                            <w:b/>
                            <w:sz w:val="18"/>
                          </w:rPr>
                          <w:t>2011</w:t>
                        </w:r>
                      </w:p>
                    </w:tc>
                    <w:tc>
                      <w:tcPr>
                        <w:tcW w:w="2539" w:type="dxa"/>
                        <w:shd w:val="clear" w:color="auto" w:fill="F2F2F2"/>
                      </w:tcPr>
                      <w:p>
                        <w:pPr>
                          <w:pStyle w:val="TableParagraph"/>
                          <w:spacing w:line="202" w:lineRule="exact"/>
                          <w:ind w:left="103"/>
                          <w:rPr>
                            <w:sz w:val="18"/>
                          </w:rPr>
                        </w:pPr>
                        <w:r>
                          <w:rPr>
                            <w:sz w:val="18"/>
                          </w:rPr>
                          <w:t>16,542</w:t>
                        </w:r>
                      </w:p>
                    </w:tc>
                  </w:tr>
                  <w:tr>
                    <w:trPr>
                      <w:trHeight w:val="391" w:hRule="exact"/>
                    </w:trPr>
                    <w:tc>
                      <w:tcPr>
                        <w:tcW w:w="1996" w:type="dxa"/>
                      </w:tcPr>
                      <w:p>
                        <w:pPr>
                          <w:pStyle w:val="TableParagraph"/>
                          <w:spacing w:line="206" w:lineRule="exact"/>
                          <w:ind w:left="102"/>
                          <w:rPr>
                            <w:b/>
                            <w:sz w:val="18"/>
                          </w:rPr>
                        </w:pPr>
                        <w:r>
                          <w:rPr>
                            <w:b/>
                            <w:sz w:val="18"/>
                          </w:rPr>
                          <w:t>2012</w:t>
                        </w:r>
                      </w:p>
                    </w:tc>
                    <w:tc>
                      <w:tcPr>
                        <w:tcW w:w="2539" w:type="dxa"/>
                      </w:tcPr>
                      <w:p>
                        <w:pPr>
                          <w:pStyle w:val="TableParagraph"/>
                          <w:spacing w:line="202" w:lineRule="exact"/>
                          <w:ind w:left="103"/>
                          <w:rPr>
                            <w:sz w:val="18"/>
                          </w:rPr>
                        </w:pPr>
                        <w:r>
                          <w:rPr>
                            <w:sz w:val="18"/>
                          </w:rPr>
                          <w:t>17,688</w:t>
                        </w:r>
                      </w:p>
                    </w:tc>
                  </w:tr>
                </w:tbl>
                <w:p>
                  <w:pPr>
                    <w:pStyle w:val="BodyText"/>
                  </w:pPr>
                </w:p>
              </w:txbxContent>
            </v:textbox>
            <w10:wrap type="none"/>
          </v:shape>
        </w:pict>
      </w:r>
      <w:r>
        <w:rPr>
          <w:sz w:val="18"/>
        </w:rPr>
        <w:t>Table 2. Accidents at work in Sonora</w:t>
      </w:r>
    </w:p>
    <w:p>
      <w:pPr>
        <w:spacing w:after="0"/>
        <w:jc w:val="left"/>
        <w:rPr>
          <w:sz w:val="18"/>
        </w:rPr>
        <w:sectPr>
          <w:type w:val="continuous"/>
          <w:pgSz w:w="12240" w:h="15840"/>
          <w:pgMar w:top="1500" w:bottom="280" w:left="580" w:right="220"/>
          <w:cols w:num="2" w:equalWidth="0">
            <w:col w:w="5207" w:space="417"/>
            <w:col w:w="5816"/>
          </w:cols>
        </w:sectPr>
      </w:pPr>
    </w:p>
    <w:p>
      <w:pPr>
        <w:pStyle w:val="BodyText"/>
      </w:pPr>
    </w:p>
    <w:p>
      <w:pPr>
        <w:pStyle w:val="BodyText"/>
      </w:pPr>
    </w:p>
    <w:p>
      <w:pPr>
        <w:pStyle w:val="BodyText"/>
        <w:spacing w:before="2"/>
        <w:rPr>
          <w:sz w:val="14"/>
        </w:rPr>
      </w:pPr>
    </w:p>
    <w:p>
      <w:pPr>
        <w:pStyle w:val="BodyText"/>
        <w:ind w:left="399"/>
      </w:pPr>
      <w:r>
        <w:rPr/>
        <w:drawing>
          <wp:inline distT="0" distB="0" distL="0" distR="0">
            <wp:extent cx="2938633" cy="1596771"/>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18" cstate="print"/>
                    <a:stretch>
                      <a:fillRect/>
                    </a:stretch>
                  </pic:blipFill>
                  <pic:spPr>
                    <a:xfrm>
                      <a:off x="0" y="0"/>
                      <a:ext cx="2938633" cy="1596771"/>
                    </a:xfrm>
                    <a:prstGeom prst="rect">
                      <a:avLst/>
                    </a:prstGeom>
                  </pic:spPr>
                </pic:pic>
              </a:graphicData>
            </a:graphic>
          </wp:inline>
        </w:drawing>
      </w:r>
      <w:r>
        <w:rPr/>
      </w:r>
    </w:p>
    <w:p>
      <w:pPr>
        <w:spacing w:before="13"/>
        <w:ind w:left="1355" w:right="118" w:hanging="20"/>
        <w:jc w:val="left"/>
        <w:rPr>
          <w:sz w:val="18"/>
        </w:rPr>
      </w:pPr>
      <w:r>
        <w:rPr>
          <w:sz w:val="18"/>
        </w:rPr>
        <w:t>Figure 1. Accidents at work in Mexico</w:t>
      </w:r>
    </w:p>
    <w:p>
      <w:pPr>
        <w:pStyle w:val="BodyText"/>
      </w:pPr>
    </w:p>
    <w:p>
      <w:pPr>
        <w:pStyle w:val="BodyText"/>
        <w:spacing w:before="4"/>
        <w:rPr>
          <w:sz w:val="13"/>
        </w:rPr>
      </w:pPr>
      <w:r>
        <w:rPr/>
        <w:drawing>
          <wp:anchor distT="0" distB="0" distL="0" distR="0" allowOverlap="1" layoutInCell="1" locked="0" behindDoc="0" simplePos="0" relativeHeight="1240">
            <wp:simplePos x="0" y="0"/>
            <wp:positionH relativeFrom="page">
              <wp:posOffset>554736</wp:posOffset>
            </wp:positionH>
            <wp:positionV relativeFrom="paragraph">
              <wp:posOffset>122604</wp:posOffset>
            </wp:positionV>
            <wp:extent cx="3094766" cy="1672208"/>
            <wp:effectExtent l="0" t="0" r="0" b="0"/>
            <wp:wrapTopAndBottom/>
            <wp:docPr id="3" name="image2.jpeg" descr=""/>
            <wp:cNvGraphicFramePr>
              <a:graphicFrameLocks noChangeAspect="1"/>
            </wp:cNvGraphicFramePr>
            <a:graphic>
              <a:graphicData uri="http://schemas.openxmlformats.org/drawingml/2006/picture">
                <pic:pic>
                  <pic:nvPicPr>
                    <pic:cNvPr id="4" name="image2.jpeg"/>
                    <pic:cNvPicPr/>
                  </pic:nvPicPr>
                  <pic:blipFill>
                    <a:blip r:embed="rId19" cstate="print"/>
                    <a:stretch>
                      <a:fillRect/>
                    </a:stretch>
                  </pic:blipFill>
                  <pic:spPr>
                    <a:xfrm>
                      <a:off x="0" y="0"/>
                      <a:ext cx="3094766" cy="1672208"/>
                    </a:xfrm>
                    <a:prstGeom prst="rect">
                      <a:avLst/>
                    </a:prstGeom>
                  </pic:spPr>
                </pic:pic>
              </a:graphicData>
            </a:graphic>
          </wp:anchor>
        </w:drawing>
      </w:r>
    </w:p>
    <w:p>
      <w:pPr>
        <w:spacing w:before="0"/>
        <w:ind w:left="1355" w:right="118" w:firstLine="0"/>
        <w:jc w:val="left"/>
        <w:rPr>
          <w:sz w:val="18"/>
        </w:rPr>
      </w:pPr>
      <w:r>
        <w:rPr>
          <w:sz w:val="18"/>
        </w:rPr>
        <w:t>Figure 2. Accidents at work in Sonora</w:t>
      </w:r>
    </w:p>
    <w:p>
      <w:pPr>
        <w:pStyle w:val="BodyText"/>
        <w:rPr>
          <w:sz w:val="18"/>
        </w:rPr>
      </w:pPr>
    </w:p>
    <w:p>
      <w:pPr>
        <w:pStyle w:val="BodyText"/>
        <w:spacing w:before="10"/>
        <w:rPr>
          <w:sz w:val="17"/>
        </w:rPr>
      </w:pPr>
    </w:p>
    <w:p>
      <w:pPr>
        <w:spacing w:before="1"/>
        <w:ind w:left="270" w:right="0" w:firstLine="0"/>
        <w:jc w:val="both"/>
        <w:rPr>
          <w:sz w:val="18"/>
        </w:rPr>
      </w:pPr>
      <w:r>
        <w:rPr>
          <w:sz w:val="18"/>
        </w:rPr>
        <w:t>There are different data that indicate the increasing importance that are acquiring in recent years the problems associated with inadequate ergonomic conditions of work. But unfortunately there are not specific data related to problems in the field of ergonomics, in the metal-mechanic sector related to the use of machines. The statistics of the STPS of the State of Sonora is given on accidents and diseases work, whereas diseases widely and not ergonomic (such as inadequate postures, overexertion or repetitive motion), or in the specific case of the metal processing sector.</w:t>
      </w:r>
    </w:p>
    <w:p>
      <w:pPr>
        <w:pStyle w:val="BodyText"/>
        <w:spacing w:before="3"/>
        <w:rPr>
          <w:sz w:val="18"/>
        </w:rPr>
      </w:pPr>
    </w:p>
    <w:p>
      <w:pPr>
        <w:pStyle w:val="ListParagraph"/>
        <w:numPr>
          <w:ilvl w:val="1"/>
          <w:numId w:val="3"/>
        </w:numPr>
        <w:tabs>
          <w:tab w:pos="631" w:val="left" w:leader="none"/>
        </w:tabs>
        <w:spacing w:line="240" w:lineRule="auto" w:before="0" w:after="0"/>
        <w:ind w:left="630" w:right="0" w:hanging="360"/>
        <w:jc w:val="both"/>
        <w:rPr>
          <w:b/>
          <w:sz w:val="18"/>
        </w:rPr>
      </w:pPr>
      <w:r>
        <w:rPr>
          <w:b/>
          <w:sz w:val="18"/>
        </w:rPr>
        <w:t>Statment of the</w:t>
      </w:r>
      <w:r>
        <w:rPr>
          <w:b/>
          <w:spacing w:val="-1"/>
          <w:sz w:val="18"/>
        </w:rPr>
        <w:t> </w:t>
      </w:r>
      <w:r>
        <w:rPr>
          <w:b/>
          <w:sz w:val="18"/>
        </w:rPr>
        <w:t>problem</w:t>
      </w:r>
    </w:p>
    <w:p>
      <w:pPr>
        <w:pStyle w:val="BodyText"/>
        <w:spacing w:before="7"/>
        <w:rPr>
          <w:b/>
          <w:sz w:val="17"/>
        </w:rPr>
      </w:pPr>
    </w:p>
    <w:p>
      <w:pPr>
        <w:spacing w:before="1"/>
        <w:ind w:left="270" w:right="0" w:firstLine="0"/>
        <w:jc w:val="both"/>
        <w:rPr>
          <w:sz w:val="18"/>
        </w:rPr>
      </w:pPr>
      <w:r>
        <w:rPr>
          <w:sz w:val="18"/>
        </w:rPr>
        <w:t>According to a history of accidents and the high risk that represent the activities carried out in the metal processing sector also showing inadequate working conditions due to lack of knowledge of ergonomic risks for operators and the absence of previous studies, the following question arises: what is the ergonomic situation of operators in the metal processing sector?</w:t>
      </w:r>
    </w:p>
    <w:p>
      <w:pPr>
        <w:pStyle w:val="BodyText"/>
        <w:spacing w:before="3"/>
        <w:rPr>
          <w:sz w:val="18"/>
        </w:rPr>
      </w:pPr>
    </w:p>
    <w:p>
      <w:pPr>
        <w:pStyle w:val="ListParagraph"/>
        <w:numPr>
          <w:ilvl w:val="1"/>
          <w:numId w:val="3"/>
        </w:numPr>
        <w:tabs>
          <w:tab w:pos="631" w:val="left" w:leader="none"/>
        </w:tabs>
        <w:spacing w:line="240" w:lineRule="auto" w:before="0" w:after="0"/>
        <w:ind w:left="630" w:right="0" w:hanging="360"/>
        <w:jc w:val="both"/>
        <w:rPr>
          <w:b/>
          <w:sz w:val="18"/>
        </w:rPr>
      </w:pPr>
      <w:r>
        <w:rPr>
          <w:b/>
          <w:sz w:val="18"/>
        </w:rPr>
        <w:t>Objective</w:t>
      </w:r>
    </w:p>
    <w:p>
      <w:pPr>
        <w:pStyle w:val="BodyText"/>
        <w:spacing w:before="7"/>
        <w:rPr>
          <w:b/>
          <w:sz w:val="17"/>
        </w:rPr>
      </w:pPr>
    </w:p>
    <w:p>
      <w:pPr>
        <w:spacing w:before="1"/>
        <w:ind w:left="270" w:right="1" w:firstLine="0"/>
        <w:jc w:val="both"/>
        <w:rPr>
          <w:sz w:val="18"/>
        </w:rPr>
      </w:pPr>
      <w:r>
        <w:rPr>
          <w:sz w:val="18"/>
        </w:rPr>
        <w:t>Identify the occupational risk factors considering the design  of body dimensions, the mechanical behavior of the human body and devices of information to which the SME sector workers are exposed  in the metal-mechanics sector of Navojoa,</w:t>
      </w:r>
      <w:r>
        <w:rPr>
          <w:spacing w:val="-8"/>
          <w:sz w:val="18"/>
        </w:rPr>
        <w:t> </w:t>
      </w:r>
      <w:r>
        <w:rPr>
          <w:sz w:val="18"/>
        </w:rPr>
        <w:t>Sonora.</w:t>
      </w:r>
    </w:p>
    <w:p>
      <w:pPr>
        <w:spacing w:line="206" w:lineRule="exact" w:before="0"/>
        <w:ind w:left="270" w:right="0" w:firstLine="0"/>
        <w:jc w:val="both"/>
        <w:rPr>
          <w:sz w:val="18"/>
        </w:rPr>
      </w:pPr>
      <w:r>
        <w:rPr>
          <w:sz w:val="18"/>
        </w:rPr>
        <w:t>1.2.1 </w:t>
      </w:r>
      <w:r>
        <w:rPr>
          <w:sz w:val="18"/>
          <w:u w:val="single"/>
        </w:rPr>
        <w:t>Specific objectives.</w:t>
      </w:r>
    </w:p>
    <w:p>
      <w:pPr>
        <w:pStyle w:val="BodyText"/>
        <w:rPr>
          <w:sz w:val="18"/>
        </w:rPr>
      </w:pPr>
    </w:p>
    <w:p>
      <w:pPr>
        <w:pStyle w:val="ListParagraph"/>
        <w:numPr>
          <w:ilvl w:val="0"/>
          <w:numId w:val="4"/>
        </w:numPr>
        <w:tabs>
          <w:tab w:pos="631" w:val="left" w:leader="none"/>
        </w:tabs>
        <w:spacing w:line="240" w:lineRule="auto" w:before="0" w:after="0"/>
        <w:ind w:left="630" w:right="0" w:hanging="360"/>
        <w:jc w:val="both"/>
        <w:rPr>
          <w:sz w:val="18"/>
        </w:rPr>
      </w:pPr>
      <w:r>
        <w:rPr>
          <w:sz w:val="18"/>
        </w:rPr>
        <w:t>Apply a tool for the evaluation of the jobs in the metal processing sector, using ergonomic checklist for the collection of</w:t>
      </w:r>
      <w:r>
        <w:rPr>
          <w:spacing w:val="-3"/>
          <w:sz w:val="18"/>
        </w:rPr>
        <w:t> </w:t>
      </w:r>
      <w:r>
        <w:rPr>
          <w:sz w:val="18"/>
        </w:rPr>
        <w:t>information.</w:t>
      </w:r>
    </w:p>
    <w:p>
      <w:pPr>
        <w:pStyle w:val="BodyText"/>
        <w:spacing w:before="8"/>
        <w:rPr>
          <w:sz w:val="17"/>
        </w:rPr>
      </w:pPr>
      <w:r>
        <w:rPr/>
        <w:br w:type="column"/>
      </w:r>
      <w:r>
        <w:rPr>
          <w:sz w:val="17"/>
        </w:rPr>
      </w:r>
    </w:p>
    <w:p>
      <w:pPr>
        <w:pStyle w:val="ListParagraph"/>
        <w:numPr>
          <w:ilvl w:val="0"/>
          <w:numId w:val="4"/>
        </w:numPr>
        <w:tabs>
          <w:tab w:pos="631" w:val="left" w:leader="none"/>
        </w:tabs>
        <w:spacing w:line="240" w:lineRule="auto" w:before="0" w:after="0"/>
        <w:ind w:left="630" w:right="675" w:hanging="360"/>
        <w:jc w:val="both"/>
        <w:rPr>
          <w:sz w:val="18"/>
        </w:rPr>
      </w:pPr>
      <w:r>
        <w:rPr>
          <w:sz w:val="18"/>
        </w:rPr>
        <w:t>Identify risk factors in common in the region of the metal processing sector. Make a descriptive analysis of the local situation in the metalworking sector, primarily to the environment and work in which perform certain</w:t>
      </w:r>
      <w:r>
        <w:rPr>
          <w:spacing w:val="-15"/>
          <w:sz w:val="18"/>
        </w:rPr>
        <w:t> </w:t>
      </w:r>
      <w:r>
        <w:rPr>
          <w:sz w:val="18"/>
        </w:rPr>
        <w:t>activities.</w:t>
      </w:r>
    </w:p>
    <w:p>
      <w:pPr>
        <w:pStyle w:val="ListParagraph"/>
        <w:numPr>
          <w:ilvl w:val="0"/>
          <w:numId w:val="4"/>
        </w:numPr>
        <w:tabs>
          <w:tab w:pos="631" w:val="left" w:leader="none"/>
        </w:tabs>
        <w:spacing w:line="240" w:lineRule="auto" w:before="0" w:after="0"/>
        <w:ind w:left="630" w:right="675" w:hanging="360"/>
        <w:jc w:val="both"/>
        <w:rPr>
          <w:sz w:val="18"/>
        </w:rPr>
      </w:pPr>
      <w:r>
        <w:rPr>
          <w:sz w:val="18"/>
        </w:rPr>
        <w:t>Make a descriptive analysis of the local situation in the metal processing sector, primarily to the working environment in which they operate certain</w:t>
      </w:r>
      <w:r>
        <w:rPr>
          <w:spacing w:val="-12"/>
          <w:sz w:val="18"/>
        </w:rPr>
        <w:t> </w:t>
      </w:r>
      <w:r>
        <w:rPr>
          <w:sz w:val="18"/>
        </w:rPr>
        <w:t>activities.</w:t>
      </w:r>
    </w:p>
    <w:p>
      <w:pPr>
        <w:pStyle w:val="ListParagraph"/>
        <w:numPr>
          <w:ilvl w:val="0"/>
          <w:numId w:val="4"/>
        </w:numPr>
        <w:tabs>
          <w:tab w:pos="630" w:val="left" w:leader="none"/>
          <w:tab w:pos="631" w:val="left" w:leader="none"/>
        </w:tabs>
        <w:spacing w:line="240" w:lineRule="auto" w:before="1" w:after="0"/>
        <w:ind w:left="630" w:right="677" w:hanging="360"/>
        <w:jc w:val="left"/>
        <w:rPr>
          <w:sz w:val="18"/>
        </w:rPr>
      </w:pPr>
      <w:r>
        <w:rPr>
          <w:sz w:val="18"/>
        </w:rPr>
        <w:t>To present the ergonomic problems associated with the use of machine tools in the</w:t>
      </w:r>
      <w:r>
        <w:rPr>
          <w:spacing w:val="-4"/>
          <w:sz w:val="18"/>
        </w:rPr>
        <w:t> </w:t>
      </w:r>
      <w:r>
        <w:rPr>
          <w:sz w:val="18"/>
        </w:rPr>
        <w:t>industry.</w:t>
      </w:r>
    </w:p>
    <w:p>
      <w:pPr>
        <w:pStyle w:val="BodyText"/>
        <w:rPr>
          <w:sz w:val="18"/>
        </w:rPr>
      </w:pPr>
    </w:p>
    <w:p>
      <w:pPr>
        <w:pStyle w:val="BodyText"/>
        <w:spacing w:before="3"/>
        <w:rPr>
          <w:sz w:val="18"/>
        </w:rPr>
      </w:pPr>
    </w:p>
    <w:p>
      <w:pPr>
        <w:pStyle w:val="ListParagraph"/>
        <w:numPr>
          <w:ilvl w:val="1"/>
          <w:numId w:val="3"/>
        </w:numPr>
        <w:tabs>
          <w:tab w:pos="631" w:val="left" w:leader="none"/>
        </w:tabs>
        <w:spacing w:line="240" w:lineRule="auto" w:before="0" w:after="0"/>
        <w:ind w:left="630" w:right="0" w:hanging="360"/>
        <w:jc w:val="both"/>
        <w:rPr>
          <w:b/>
          <w:sz w:val="18"/>
        </w:rPr>
      </w:pPr>
      <w:r>
        <w:rPr>
          <w:b/>
          <w:sz w:val="18"/>
        </w:rPr>
        <w:t>Justification</w:t>
      </w:r>
    </w:p>
    <w:p>
      <w:pPr>
        <w:pStyle w:val="BodyText"/>
        <w:spacing w:before="7"/>
        <w:rPr>
          <w:b/>
          <w:sz w:val="17"/>
        </w:rPr>
      </w:pPr>
    </w:p>
    <w:p>
      <w:pPr>
        <w:spacing w:before="1"/>
        <w:ind w:left="270" w:right="677" w:firstLine="0"/>
        <w:jc w:val="both"/>
        <w:rPr>
          <w:sz w:val="18"/>
        </w:rPr>
      </w:pPr>
      <w:r>
        <w:rPr>
          <w:sz w:val="18"/>
        </w:rPr>
        <w:t>Accidents at work have shown a high degree of incidence in the metal processing sector; hence the importance of evaluating the conditions on workers to play their roles to identify ergonomic risk factors that could be harmful to the health of workers.</w:t>
      </w:r>
    </w:p>
    <w:p>
      <w:pPr>
        <w:spacing w:before="0"/>
        <w:ind w:left="270" w:right="678" w:firstLine="430"/>
        <w:jc w:val="both"/>
        <w:rPr>
          <w:sz w:val="18"/>
        </w:rPr>
      </w:pPr>
      <w:r>
        <w:rPr>
          <w:sz w:val="18"/>
        </w:rPr>
        <w:t>To be able to detect the factors causing these accidents, it is necessary to have a comprehensive checklist covering all points that pose a risk to the operator.</w:t>
      </w:r>
    </w:p>
    <w:p>
      <w:pPr>
        <w:spacing w:before="0"/>
        <w:ind w:left="270" w:right="677" w:firstLine="0"/>
        <w:jc w:val="both"/>
        <w:rPr>
          <w:sz w:val="18"/>
        </w:rPr>
      </w:pPr>
      <w:r>
        <w:rPr>
          <w:sz w:val="18"/>
        </w:rPr>
        <w:t>Therefore, it was decided to apply the selected checklist in the region South of Sonora, specifically in Navojoa.</w:t>
      </w:r>
    </w:p>
    <w:p>
      <w:pPr>
        <w:spacing w:before="0"/>
        <w:ind w:left="270" w:right="0" w:firstLine="0"/>
        <w:jc w:val="both"/>
        <w:rPr>
          <w:sz w:val="18"/>
        </w:rPr>
      </w:pPr>
      <w:r>
        <w:rPr>
          <w:sz w:val="18"/>
        </w:rPr>
        <w:t>By applying this checklist the following results are obtained:</w:t>
      </w:r>
    </w:p>
    <w:p>
      <w:pPr>
        <w:pStyle w:val="BodyText"/>
        <w:rPr>
          <w:sz w:val="18"/>
        </w:rPr>
      </w:pPr>
    </w:p>
    <w:p>
      <w:pPr>
        <w:pStyle w:val="ListParagraph"/>
        <w:numPr>
          <w:ilvl w:val="2"/>
          <w:numId w:val="3"/>
        </w:numPr>
        <w:tabs>
          <w:tab w:pos="978" w:val="left" w:leader="none"/>
          <w:tab w:pos="979" w:val="left" w:leader="none"/>
        </w:tabs>
        <w:spacing w:line="240" w:lineRule="auto" w:before="0" w:after="0"/>
        <w:ind w:left="990" w:right="677" w:hanging="360"/>
        <w:jc w:val="left"/>
        <w:rPr>
          <w:sz w:val="18"/>
        </w:rPr>
      </w:pPr>
      <w:r>
        <w:rPr>
          <w:sz w:val="18"/>
        </w:rPr>
        <w:t>Timely detection of wrong designs in machines and  tools.</w:t>
      </w:r>
    </w:p>
    <w:p>
      <w:pPr>
        <w:pStyle w:val="ListParagraph"/>
        <w:numPr>
          <w:ilvl w:val="2"/>
          <w:numId w:val="3"/>
        </w:numPr>
        <w:tabs>
          <w:tab w:pos="978" w:val="left" w:leader="none"/>
          <w:tab w:pos="979" w:val="left" w:leader="none"/>
        </w:tabs>
        <w:spacing w:line="240" w:lineRule="auto" w:before="0" w:after="0"/>
        <w:ind w:left="990" w:right="676" w:hanging="360"/>
        <w:jc w:val="left"/>
        <w:rPr>
          <w:sz w:val="18"/>
        </w:rPr>
      </w:pPr>
      <w:r>
        <w:rPr>
          <w:sz w:val="18"/>
        </w:rPr>
        <w:t>Timely detection of bad placements in machines and tools.</w:t>
      </w:r>
    </w:p>
    <w:p>
      <w:pPr>
        <w:pStyle w:val="ListParagraph"/>
        <w:numPr>
          <w:ilvl w:val="2"/>
          <w:numId w:val="3"/>
        </w:numPr>
        <w:tabs>
          <w:tab w:pos="978" w:val="left" w:leader="none"/>
          <w:tab w:pos="979" w:val="left" w:leader="none"/>
        </w:tabs>
        <w:spacing w:line="220" w:lineRule="exact" w:before="0" w:after="0"/>
        <w:ind w:left="978" w:right="0" w:hanging="348"/>
        <w:jc w:val="left"/>
        <w:rPr>
          <w:sz w:val="18"/>
        </w:rPr>
      </w:pPr>
      <w:r>
        <w:rPr>
          <w:sz w:val="18"/>
        </w:rPr>
        <w:t>Timely detection of poor posture in the</w:t>
      </w:r>
      <w:r>
        <w:rPr>
          <w:spacing w:val="-7"/>
          <w:sz w:val="18"/>
        </w:rPr>
        <w:t> </w:t>
      </w:r>
      <w:r>
        <w:rPr>
          <w:sz w:val="18"/>
        </w:rPr>
        <w:t>workplace.</w:t>
      </w:r>
    </w:p>
    <w:p>
      <w:pPr>
        <w:pStyle w:val="ListParagraph"/>
        <w:numPr>
          <w:ilvl w:val="2"/>
          <w:numId w:val="3"/>
        </w:numPr>
        <w:tabs>
          <w:tab w:pos="1024" w:val="left" w:leader="none"/>
          <w:tab w:pos="1025" w:val="left" w:leader="none"/>
        </w:tabs>
        <w:spacing w:line="220" w:lineRule="exact" w:before="0" w:after="0"/>
        <w:ind w:left="1024" w:right="0" w:hanging="394"/>
        <w:jc w:val="left"/>
        <w:rPr>
          <w:sz w:val="18"/>
        </w:rPr>
      </w:pPr>
      <w:r>
        <w:rPr>
          <w:sz w:val="18"/>
        </w:rPr>
        <w:t>Quantification of the physical effort from the</w:t>
      </w:r>
      <w:r>
        <w:rPr>
          <w:spacing w:val="-20"/>
          <w:sz w:val="18"/>
        </w:rPr>
        <w:t> </w:t>
      </w:r>
      <w:r>
        <w:rPr>
          <w:sz w:val="18"/>
        </w:rPr>
        <w:t>operator.</w:t>
      </w:r>
    </w:p>
    <w:p>
      <w:pPr>
        <w:pStyle w:val="ListParagraph"/>
        <w:numPr>
          <w:ilvl w:val="2"/>
          <w:numId w:val="3"/>
        </w:numPr>
        <w:tabs>
          <w:tab w:pos="978" w:val="left" w:leader="none"/>
          <w:tab w:pos="979" w:val="left" w:leader="none"/>
        </w:tabs>
        <w:spacing w:line="240" w:lineRule="auto" w:before="0" w:after="0"/>
        <w:ind w:left="990" w:right="678" w:hanging="360"/>
        <w:jc w:val="left"/>
        <w:rPr>
          <w:sz w:val="18"/>
        </w:rPr>
      </w:pPr>
      <w:r>
        <w:rPr>
          <w:sz w:val="18"/>
        </w:rPr>
        <w:t>Verification of designs in controls and information appliances.</w:t>
      </w:r>
    </w:p>
    <w:p>
      <w:pPr>
        <w:spacing w:before="0"/>
        <w:ind w:left="270" w:right="677" w:firstLine="0"/>
        <w:jc w:val="both"/>
        <w:rPr>
          <w:sz w:val="18"/>
        </w:rPr>
      </w:pPr>
      <w:r>
        <w:rPr>
          <w:sz w:val="18"/>
        </w:rPr>
        <w:t>Once obtained the results of the checklist we can act quickly or in the way that is necessary to correct the detected risk factors and obtain the following benefits:</w:t>
      </w:r>
    </w:p>
    <w:p>
      <w:pPr>
        <w:pStyle w:val="ListParagraph"/>
        <w:numPr>
          <w:ilvl w:val="2"/>
          <w:numId w:val="3"/>
        </w:numPr>
        <w:tabs>
          <w:tab w:pos="978" w:val="left" w:leader="none"/>
          <w:tab w:pos="979" w:val="left" w:leader="none"/>
        </w:tabs>
        <w:spacing w:line="220" w:lineRule="exact" w:before="1" w:after="0"/>
        <w:ind w:left="978" w:right="0" w:hanging="348"/>
        <w:jc w:val="left"/>
        <w:rPr>
          <w:sz w:val="18"/>
        </w:rPr>
      </w:pPr>
      <w:r>
        <w:rPr>
          <w:sz w:val="18"/>
        </w:rPr>
        <w:t>Decrease greatly the risk of</w:t>
      </w:r>
      <w:r>
        <w:rPr>
          <w:spacing w:val="-12"/>
          <w:sz w:val="18"/>
        </w:rPr>
        <w:t> </w:t>
      </w:r>
      <w:r>
        <w:rPr>
          <w:sz w:val="18"/>
        </w:rPr>
        <w:t>accidents.</w:t>
      </w:r>
    </w:p>
    <w:p>
      <w:pPr>
        <w:pStyle w:val="ListParagraph"/>
        <w:numPr>
          <w:ilvl w:val="2"/>
          <w:numId w:val="3"/>
        </w:numPr>
        <w:tabs>
          <w:tab w:pos="978" w:val="left" w:leader="none"/>
          <w:tab w:pos="979" w:val="left" w:leader="none"/>
        </w:tabs>
        <w:spacing w:line="220" w:lineRule="exact" w:before="0" w:after="0"/>
        <w:ind w:left="978" w:right="0" w:hanging="348"/>
        <w:jc w:val="left"/>
        <w:rPr>
          <w:sz w:val="18"/>
        </w:rPr>
      </w:pPr>
      <w:r>
        <w:rPr>
          <w:sz w:val="18"/>
        </w:rPr>
        <w:t>Ensure the safety of</w:t>
      </w:r>
      <w:r>
        <w:rPr>
          <w:spacing w:val="-4"/>
          <w:sz w:val="18"/>
        </w:rPr>
        <w:t> </w:t>
      </w:r>
      <w:r>
        <w:rPr>
          <w:sz w:val="18"/>
        </w:rPr>
        <w:t>operators.</w:t>
      </w:r>
    </w:p>
    <w:p>
      <w:pPr>
        <w:pStyle w:val="ListParagraph"/>
        <w:numPr>
          <w:ilvl w:val="2"/>
          <w:numId w:val="3"/>
        </w:numPr>
        <w:tabs>
          <w:tab w:pos="978" w:val="left" w:leader="none"/>
          <w:tab w:pos="979" w:val="left" w:leader="none"/>
        </w:tabs>
        <w:spacing w:line="220" w:lineRule="exact" w:before="0" w:after="0"/>
        <w:ind w:left="978" w:right="0" w:hanging="348"/>
        <w:jc w:val="left"/>
        <w:rPr>
          <w:sz w:val="18"/>
        </w:rPr>
      </w:pPr>
      <w:r>
        <w:rPr>
          <w:sz w:val="18"/>
        </w:rPr>
        <w:t>Increase the life of the machines</w:t>
      </w:r>
      <w:r>
        <w:rPr>
          <w:spacing w:val="-14"/>
          <w:sz w:val="18"/>
        </w:rPr>
        <w:t> </w:t>
      </w:r>
      <w:r>
        <w:rPr>
          <w:sz w:val="18"/>
        </w:rPr>
        <w:t>used.</w:t>
      </w:r>
    </w:p>
    <w:p>
      <w:pPr>
        <w:pStyle w:val="ListParagraph"/>
        <w:numPr>
          <w:ilvl w:val="2"/>
          <w:numId w:val="3"/>
        </w:numPr>
        <w:tabs>
          <w:tab w:pos="978" w:val="left" w:leader="none"/>
          <w:tab w:pos="979" w:val="left" w:leader="none"/>
        </w:tabs>
        <w:spacing w:line="240" w:lineRule="auto" w:before="0" w:after="0"/>
        <w:ind w:left="990" w:right="679" w:hanging="360"/>
        <w:jc w:val="left"/>
        <w:rPr>
          <w:sz w:val="18"/>
        </w:rPr>
      </w:pPr>
      <w:r>
        <w:rPr>
          <w:sz w:val="18"/>
        </w:rPr>
        <w:t>Reduce economic costs for accidents at work, among others.</w:t>
      </w:r>
    </w:p>
    <w:p>
      <w:pPr>
        <w:pStyle w:val="ListParagraph"/>
        <w:numPr>
          <w:ilvl w:val="1"/>
          <w:numId w:val="3"/>
        </w:numPr>
        <w:tabs>
          <w:tab w:pos="631" w:val="left" w:leader="none"/>
        </w:tabs>
        <w:spacing w:line="240" w:lineRule="auto" w:before="3" w:after="0"/>
        <w:ind w:left="630" w:right="0" w:hanging="360"/>
        <w:jc w:val="both"/>
        <w:rPr>
          <w:b/>
          <w:sz w:val="18"/>
        </w:rPr>
      </w:pPr>
      <w:r>
        <w:rPr>
          <w:b/>
          <w:sz w:val="18"/>
        </w:rPr>
        <w:t>Delimitation</w:t>
      </w:r>
    </w:p>
    <w:p>
      <w:pPr>
        <w:pStyle w:val="BodyText"/>
        <w:spacing w:before="7"/>
        <w:rPr>
          <w:b/>
          <w:sz w:val="17"/>
        </w:rPr>
      </w:pPr>
    </w:p>
    <w:p>
      <w:pPr>
        <w:spacing w:before="1"/>
        <w:ind w:left="270" w:right="676" w:firstLine="0"/>
        <w:jc w:val="both"/>
        <w:rPr>
          <w:sz w:val="18"/>
        </w:rPr>
      </w:pPr>
      <w:r>
        <w:rPr>
          <w:sz w:val="18"/>
        </w:rPr>
        <w:t>The object of the research study is small and medium-sized enterprises that operate in sector metal-mechanics of Navojoa, Sonora. They will be to learn about the risk factors that originate in the city but whose use can be extended to perform ergonomic methods evaluation.</w:t>
      </w:r>
    </w:p>
    <w:p>
      <w:pPr>
        <w:pStyle w:val="BodyText"/>
        <w:spacing w:before="3"/>
        <w:rPr>
          <w:sz w:val="18"/>
        </w:rPr>
      </w:pPr>
    </w:p>
    <w:p>
      <w:pPr>
        <w:pStyle w:val="ListParagraph"/>
        <w:numPr>
          <w:ilvl w:val="0"/>
          <w:numId w:val="3"/>
        </w:numPr>
        <w:tabs>
          <w:tab w:pos="631" w:val="left" w:leader="none"/>
        </w:tabs>
        <w:spacing w:line="240" w:lineRule="auto" w:before="0" w:after="0"/>
        <w:ind w:left="630" w:right="0" w:hanging="360"/>
        <w:jc w:val="both"/>
        <w:rPr>
          <w:b/>
          <w:sz w:val="18"/>
        </w:rPr>
      </w:pPr>
      <w:r>
        <w:rPr>
          <w:b/>
          <w:sz w:val="18"/>
        </w:rPr>
        <w:t>THEORY</w:t>
      </w:r>
    </w:p>
    <w:p>
      <w:pPr>
        <w:pStyle w:val="BodyText"/>
        <w:rPr>
          <w:b/>
          <w:sz w:val="18"/>
        </w:rPr>
      </w:pPr>
    </w:p>
    <w:p>
      <w:pPr>
        <w:pStyle w:val="ListParagraph"/>
        <w:numPr>
          <w:ilvl w:val="1"/>
          <w:numId w:val="3"/>
        </w:numPr>
        <w:tabs>
          <w:tab w:pos="631" w:val="left" w:leader="none"/>
        </w:tabs>
        <w:spacing w:line="240" w:lineRule="auto" w:before="0" w:after="0"/>
        <w:ind w:left="630" w:right="0" w:hanging="360"/>
        <w:jc w:val="both"/>
        <w:rPr>
          <w:b/>
          <w:sz w:val="18"/>
        </w:rPr>
      </w:pPr>
      <w:r>
        <w:rPr>
          <w:b/>
          <w:sz w:val="18"/>
        </w:rPr>
        <w:t>Ergonomy</w:t>
      </w:r>
    </w:p>
    <w:p>
      <w:pPr>
        <w:pStyle w:val="BodyText"/>
        <w:spacing w:before="7"/>
        <w:rPr>
          <w:b/>
          <w:sz w:val="17"/>
        </w:rPr>
      </w:pPr>
    </w:p>
    <w:p>
      <w:pPr>
        <w:spacing w:before="1"/>
        <w:ind w:left="270" w:right="677" w:firstLine="0"/>
        <w:jc w:val="both"/>
        <w:rPr>
          <w:sz w:val="18"/>
        </w:rPr>
      </w:pPr>
      <w:r>
        <w:rPr>
          <w:sz w:val="18"/>
        </w:rPr>
        <w:t>It is the applied science of multidisciplinary character which aims the adaptation of products, systems and artificial environments to the characteristics, limitations and needs of users, to optimize its effectiveness, safety and comfort, according to [4].</w:t>
      </w:r>
    </w:p>
    <w:p>
      <w:pPr>
        <w:pStyle w:val="BodyText"/>
        <w:spacing w:before="3"/>
        <w:rPr>
          <w:sz w:val="18"/>
        </w:rPr>
      </w:pPr>
    </w:p>
    <w:p>
      <w:pPr>
        <w:pStyle w:val="ListParagraph"/>
        <w:numPr>
          <w:ilvl w:val="1"/>
          <w:numId w:val="3"/>
        </w:numPr>
        <w:tabs>
          <w:tab w:pos="631" w:val="left" w:leader="none"/>
        </w:tabs>
        <w:spacing w:line="240" w:lineRule="auto" w:before="0" w:after="0"/>
        <w:ind w:left="630" w:right="0" w:hanging="360"/>
        <w:jc w:val="both"/>
        <w:rPr>
          <w:b/>
          <w:sz w:val="18"/>
        </w:rPr>
      </w:pPr>
      <w:r>
        <w:rPr>
          <w:b/>
          <w:sz w:val="18"/>
        </w:rPr>
        <w:t>Objetives of</w:t>
      </w:r>
      <w:r>
        <w:rPr>
          <w:b/>
          <w:spacing w:val="-1"/>
          <w:sz w:val="18"/>
        </w:rPr>
        <w:t> </w:t>
      </w:r>
      <w:r>
        <w:rPr>
          <w:b/>
          <w:sz w:val="18"/>
        </w:rPr>
        <w:t>Ergonomy</w:t>
      </w:r>
    </w:p>
    <w:p>
      <w:pPr>
        <w:pStyle w:val="BodyText"/>
        <w:spacing w:before="6"/>
        <w:rPr>
          <w:b/>
          <w:sz w:val="17"/>
        </w:rPr>
      </w:pPr>
    </w:p>
    <w:p>
      <w:pPr>
        <w:spacing w:before="0"/>
        <w:ind w:left="270" w:right="677" w:firstLine="0"/>
        <w:jc w:val="both"/>
        <w:rPr>
          <w:sz w:val="18"/>
        </w:rPr>
      </w:pPr>
      <w:r>
        <w:rPr>
          <w:sz w:val="18"/>
        </w:rPr>
        <w:t>Its objectives are to promote the adjustment reciprocal, constant  and systematic between man and the environment, design the labor situation so that work is comfortable, easy and consistent with minimum  health  and  safety  requirements,  and  raise  levels    </w:t>
      </w:r>
      <w:r>
        <w:rPr>
          <w:spacing w:val="1"/>
          <w:sz w:val="18"/>
        </w:rPr>
        <w:t> </w:t>
      </w:r>
      <w:r>
        <w:rPr>
          <w:sz w:val="18"/>
        </w:rPr>
        <w:t>of</w:t>
      </w:r>
    </w:p>
    <w:p>
      <w:pPr>
        <w:spacing w:after="0"/>
        <w:jc w:val="both"/>
        <w:rPr>
          <w:sz w:val="18"/>
        </w:rPr>
        <w:sectPr>
          <w:pgSz w:w="12240" w:h="15840"/>
          <w:pgMar w:header="545" w:footer="852" w:top="1060" w:bottom="1040" w:left="580" w:right="220"/>
          <w:cols w:num="2" w:equalWidth="0">
            <w:col w:w="5190" w:space="435"/>
            <w:col w:w="5815"/>
          </w:cols>
        </w:sectPr>
      </w:pPr>
    </w:p>
    <w:p>
      <w:pPr>
        <w:pStyle w:val="BodyText"/>
        <w:rPr>
          <w:sz w:val="11"/>
        </w:rPr>
      </w:pPr>
    </w:p>
    <w:p>
      <w:pPr>
        <w:spacing w:after="0"/>
        <w:rPr>
          <w:sz w:val="11"/>
        </w:rPr>
        <w:sectPr>
          <w:pgSz w:w="12240" w:h="15840"/>
          <w:pgMar w:header="545" w:footer="852" w:top="1060" w:bottom="1040" w:left="580" w:right="220"/>
        </w:sectPr>
      </w:pPr>
    </w:p>
    <w:p>
      <w:pPr>
        <w:spacing w:before="77"/>
        <w:ind w:left="270" w:right="0" w:firstLine="0"/>
        <w:jc w:val="both"/>
        <w:rPr>
          <w:sz w:val="18"/>
        </w:rPr>
      </w:pPr>
      <w:r>
        <w:rPr>
          <w:sz w:val="18"/>
        </w:rPr>
        <w:t>productivity, both in quantitative and in qualitative, according to [5].</w:t>
      </w:r>
    </w:p>
    <w:p>
      <w:pPr>
        <w:pStyle w:val="BodyText"/>
        <w:spacing w:before="3"/>
        <w:rPr>
          <w:sz w:val="18"/>
        </w:rPr>
      </w:pPr>
    </w:p>
    <w:p>
      <w:pPr>
        <w:pStyle w:val="ListParagraph"/>
        <w:numPr>
          <w:ilvl w:val="1"/>
          <w:numId w:val="3"/>
        </w:numPr>
        <w:tabs>
          <w:tab w:pos="631" w:val="left" w:leader="none"/>
        </w:tabs>
        <w:spacing w:line="240" w:lineRule="auto" w:before="0" w:after="0"/>
        <w:ind w:left="630" w:right="0" w:hanging="360"/>
        <w:jc w:val="both"/>
        <w:rPr>
          <w:b/>
          <w:sz w:val="18"/>
        </w:rPr>
      </w:pPr>
      <w:r>
        <w:rPr>
          <w:b/>
          <w:sz w:val="18"/>
        </w:rPr>
        <w:t>Ergonomic</w:t>
      </w:r>
      <w:r>
        <w:rPr>
          <w:b/>
          <w:spacing w:val="-14"/>
          <w:sz w:val="18"/>
        </w:rPr>
        <w:t> </w:t>
      </w:r>
      <w:r>
        <w:rPr>
          <w:b/>
          <w:sz w:val="18"/>
        </w:rPr>
        <w:t>risk.</w:t>
      </w:r>
    </w:p>
    <w:p>
      <w:pPr>
        <w:pStyle w:val="BodyText"/>
        <w:spacing w:before="7"/>
        <w:rPr>
          <w:b/>
          <w:sz w:val="17"/>
        </w:rPr>
      </w:pPr>
    </w:p>
    <w:p>
      <w:pPr>
        <w:spacing w:before="1"/>
        <w:ind w:left="270" w:right="0" w:firstLine="0"/>
        <w:jc w:val="both"/>
        <w:rPr>
          <w:sz w:val="18"/>
        </w:rPr>
      </w:pPr>
      <w:r>
        <w:rPr>
          <w:sz w:val="18"/>
        </w:rPr>
        <w:t>According toO [6], ergonomic risk is defined as: "the likelihood of an unwanted and adverse event (accident or illness) at work and conditioned by certain "ergonomic risk factors"."</w:t>
      </w:r>
    </w:p>
    <w:p>
      <w:pPr>
        <w:pStyle w:val="BodyText"/>
        <w:spacing w:before="3"/>
        <w:rPr>
          <w:sz w:val="18"/>
        </w:rPr>
      </w:pPr>
    </w:p>
    <w:p>
      <w:pPr>
        <w:pStyle w:val="ListParagraph"/>
        <w:numPr>
          <w:ilvl w:val="1"/>
          <w:numId w:val="3"/>
        </w:numPr>
        <w:tabs>
          <w:tab w:pos="631" w:val="left" w:leader="none"/>
        </w:tabs>
        <w:spacing w:line="240" w:lineRule="auto" w:before="0" w:after="0"/>
        <w:ind w:left="630" w:right="0" w:hanging="360"/>
        <w:jc w:val="both"/>
        <w:rPr>
          <w:b/>
          <w:sz w:val="18"/>
        </w:rPr>
      </w:pPr>
      <w:r>
        <w:rPr>
          <w:b/>
          <w:sz w:val="18"/>
        </w:rPr>
        <w:t>Ergonomic risk</w:t>
      </w:r>
      <w:r>
        <w:rPr>
          <w:b/>
          <w:spacing w:val="-3"/>
          <w:sz w:val="18"/>
        </w:rPr>
        <w:t> </w:t>
      </w:r>
      <w:r>
        <w:rPr>
          <w:b/>
          <w:sz w:val="18"/>
        </w:rPr>
        <w:t>Factors</w:t>
      </w:r>
    </w:p>
    <w:p>
      <w:pPr>
        <w:pStyle w:val="BodyText"/>
        <w:spacing w:before="7"/>
        <w:rPr>
          <w:b/>
          <w:sz w:val="17"/>
        </w:rPr>
      </w:pPr>
    </w:p>
    <w:p>
      <w:pPr>
        <w:spacing w:before="1"/>
        <w:ind w:left="270" w:right="0" w:firstLine="0"/>
        <w:jc w:val="both"/>
        <w:rPr>
          <w:sz w:val="18"/>
        </w:rPr>
      </w:pPr>
      <w:r>
        <w:rPr>
          <w:sz w:val="18"/>
        </w:rPr>
        <w:t>According to [7], ergonomic risk factors are a set of more or less clearly defined attributes of task or the position that increases the likelihood that a subject, exposed to them, develop a lesion in his work.</w:t>
      </w:r>
    </w:p>
    <w:p>
      <w:pPr>
        <w:pStyle w:val="BodyText"/>
        <w:spacing w:before="7"/>
        <w:rPr>
          <w:sz w:val="24"/>
        </w:rPr>
      </w:pPr>
      <w:r>
        <w:rPr/>
        <w:br w:type="column"/>
      </w:r>
      <w:r>
        <w:rPr>
          <w:sz w:val="24"/>
        </w:rPr>
      </w:r>
    </w:p>
    <w:p>
      <w:pPr>
        <w:spacing w:before="0"/>
        <w:ind w:left="270" w:right="677" w:firstLine="0"/>
        <w:jc w:val="both"/>
        <w:rPr>
          <w:sz w:val="18"/>
        </w:rPr>
      </w:pPr>
      <w:r>
        <w:rPr>
          <w:sz w:val="18"/>
        </w:rPr>
        <w:t>When looking to determine how must be the controls and boards to be used by the operator the question that should prevail above all others is that they can be used quickly and accurately, according to [4].</w:t>
      </w:r>
    </w:p>
    <w:p>
      <w:pPr>
        <w:pStyle w:val="BodyText"/>
        <w:spacing w:before="3"/>
        <w:rPr>
          <w:sz w:val="18"/>
        </w:rPr>
      </w:pPr>
    </w:p>
    <w:p>
      <w:pPr>
        <w:pStyle w:val="ListParagraph"/>
        <w:numPr>
          <w:ilvl w:val="1"/>
          <w:numId w:val="5"/>
        </w:numPr>
        <w:tabs>
          <w:tab w:pos="631" w:val="left" w:leader="none"/>
        </w:tabs>
        <w:spacing w:line="240" w:lineRule="auto" w:before="0" w:after="0"/>
        <w:ind w:left="630" w:right="0" w:hanging="360"/>
        <w:jc w:val="both"/>
        <w:rPr>
          <w:b/>
          <w:sz w:val="18"/>
        </w:rPr>
      </w:pPr>
      <w:r>
        <w:rPr>
          <w:b/>
          <w:sz w:val="18"/>
        </w:rPr>
        <w:t>Work</w:t>
      </w:r>
      <w:r>
        <w:rPr>
          <w:b/>
          <w:spacing w:val="-8"/>
          <w:sz w:val="18"/>
        </w:rPr>
        <w:t> </w:t>
      </w:r>
      <w:r>
        <w:rPr>
          <w:b/>
          <w:sz w:val="18"/>
        </w:rPr>
        <w:t>postures.</w:t>
      </w:r>
    </w:p>
    <w:p>
      <w:pPr>
        <w:pStyle w:val="BodyText"/>
        <w:spacing w:before="7"/>
        <w:rPr>
          <w:b/>
          <w:sz w:val="17"/>
        </w:rPr>
      </w:pPr>
    </w:p>
    <w:p>
      <w:pPr>
        <w:spacing w:before="1"/>
        <w:ind w:left="270" w:right="677" w:firstLine="0"/>
        <w:jc w:val="both"/>
        <w:rPr>
          <w:sz w:val="18"/>
        </w:rPr>
      </w:pPr>
      <w:r>
        <w:rPr>
          <w:sz w:val="18"/>
        </w:rPr>
        <w:t>They are the positions adopted at work; they can be sitting or standing. In sitting position chair should allow freedom of movement, rotating with sufficient stability. And you must avoid the standing work, being the most ideal alternate both positions [4].</w:t>
      </w:r>
    </w:p>
    <w:p>
      <w:pPr>
        <w:pStyle w:val="BodyText"/>
        <w:spacing w:before="3"/>
        <w:rPr>
          <w:sz w:val="18"/>
        </w:rPr>
      </w:pPr>
    </w:p>
    <w:p>
      <w:pPr>
        <w:pStyle w:val="ListParagraph"/>
        <w:numPr>
          <w:ilvl w:val="1"/>
          <w:numId w:val="5"/>
        </w:numPr>
        <w:tabs>
          <w:tab w:pos="677" w:val="left" w:leader="none"/>
        </w:tabs>
        <w:spacing w:line="240" w:lineRule="auto" w:before="0" w:after="0"/>
        <w:ind w:left="676" w:right="0" w:hanging="406"/>
        <w:jc w:val="both"/>
        <w:rPr>
          <w:b/>
          <w:sz w:val="18"/>
        </w:rPr>
      </w:pPr>
      <w:r>
        <w:rPr>
          <w:b/>
          <w:sz w:val="18"/>
        </w:rPr>
        <w:t>Information appliances.</w:t>
      </w:r>
    </w:p>
    <w:p>
      <w:pPr>
        <w:spacing w:after="0" w:line="240" w:lineRule="auto"/>
        <w:jc w:val="both"/>
        <w:rPr>
          <w:sz w:val="18"/>
        </w:rPr>
        <w:sectPr>
          <w:type w:val="continuous"/>
          <w:pgSz w:w="12240" w:h="15840"/>
          <w:pgMar w:top="1500" w:bottom="280" w:left="580" w:right="220"/>
          <w:cols w:num="2" w:equalWidth="0">
            <w:col w:w="5189" w:space="436"/>
            <w:col w:w="5815"/>
          </w:cols>
        </w:sectPr>
      </w:pPr>
    </w:p>
    <w:p>
      <w:pPr>
        <w:spacing w:line="207" w:lineRule="exact" w:before="0"/>
        <w:ind w:left="701" w:right="0" w:firstLine="0"/>
        <w:jc w:val="left"/>
        <w:rPr>
          <w:sz w:val="18"/>
        </w:rPr>
      </w:pPr>
      <w:r>
        <w:rPr>
          <w:sz w:val="18"/>
        </w:rPr>
        <w:t>The risk factors are:</w:t>
      </w:r>
    </w:p>
    <w:p>
      <w:pPr>
        <w:pStyle w:val="ListParagraph"/>
        <w:numPr>
          <w:ilvl w:val="0"/>
          <w:numId w:val="6"/>
        </w:numPr>
        <w:tabs>
          <w:tab w:pos="452" w:val="left" w:leader="none"/>
        </w:tabs>
        <w:spacing w:line="207" w:lineRule="exact" w:before="0" w:after="0"/>
        <w:ind w:left="270" w:right="0" w:firstLine="0"/>
        <w:jc w:val="both"/>
        <w:rPr>
          <w:sz w:val="18"/>
        </w:rPr>
      </w:pPr>
      <w:r>
        <w:rPr>
          <w:sz w:val="18"/>
        </w:rPr>
        <w:t>Biomechanical factors, such as repetition, strength and</w:t>
      </w:r>
      <w:r>
        <w:rPr>
          <w:spacing w:val="-12"/>
          <w:sz w:val="18"/>
        </w:rPr>
        <w:t> </w:t>
      </w:r>
      <w:r>
        <w:rPr>
          <w:sz w:val="18"/>
        </w:rPr>
        <w:t>posture:</w:t>
      </w:r>
    </w:p>
    <w:p>
      <w:pPr>
        <w:pStyle w:val="ListParagraph"/>
        <w:numPr>
          <w:ilvl w:val="1"/>
          <w:numId w:val="6"/>
        </w:numPr>
        <w:tabs>
          <w:tab w:pos="979" w:val="left" w:leader="none"/>
        </w:tabs>
        <w:spacing w:line="240" w:lineRule="auto" w:before="1" w:after="0"/>
        <w:ind w:left="990" w:right="0" w:hanging="360"/>
        <w:jc w:val="both"/>
        <w:rPr>
          <w:sz w:val="18"/>
        </w:rPr>
      </w:pPr>
      <w:r>
        <w:rPr>
          <w:sz w:val="18"/>
        </w:rPr>
        <w:t>Maintenance of forced positions of one or more members, for example, arising from the use of tools with defective design, requiring excessive deviations, rotating movements, etc.</w:t>
      </w:r>
    </w:p>
    <w:p>
      <w:pPr>
        <w:pStyle w:val="ListParagraph"/>
        <w:numPr>
          <w:ilvl w:val="1"/>
          <w:numId w:val="6"/>
        </w:numPr>
        <w:tabs>
          <w:tab w:pos="979" w:val="left" w:leader="none"/>
        </w:tabs>
        <w:spacing w:line="240" w:lineRule="auto" w:before="1" w:after="0"/>
        <w:ind w:left="990" w:right="1" w:hanging="360"/>
        <w:jc w:val="both"/>
        <w:rPr>
          <w:sz w:val="18"/>
        </w:rPr>
      </w:pPr>
      <w:r>
        <w:rPr>
          <w:sz w:val="18"/>
        </w:rPr>
        <w:t>Application of excessive force developed by small muscle/tendon packages, for example, by the use of gloves and tools that lead to restrictions on</w:t>
      </w:r>
      <w:r>
        <w:rPr>
          <w:spacing w:val="-8"/>
          <w:sz w:val="18"/>
        </w:rPr>
        <w:t> </w:t>
      </w:r>
      <w:r>
        <w:rPr>
          <w:sz w:val="18"/>
        </w:rPr>
        <w:t>movements.</w:t>
      </w:r>
    </w:p>
    <w:p>
      <w:pPr>
        <w:pStyle w:val="ListParagraph"/>
        <w:numPr>
          <w:ilvl w:val="1"/>
          <w:numId w:val="6"/>
        </w:numPr>
        <w:tabs>
          <w:tab w:pos="979" w:val="left" w:leader="none"/>
        </w:tabs>
        <w:spacing w:line="240" w:lineRule="auto" w:before="1" w:after="0"/>
        <w:ind w:left="990" w:right="0" w:hanging="360"/>
        <w:jc w:val="both"/>
        <w:rPr>
          <w:sz w:val="18"/>
        </w:rPr>
      </w:pPr>
      <w:r>
        <w:rPr>
          <w:sz w:val="18"/>
        </w:rPr>
        <w:t>Short and repetitive work cycles, systems of work premium in string that require quick movements and with a high</w:t>
      </w:r>
      <w:r>
        <w:rPr>
          <w:spacing w:val="-3"/>
          <w:sz w:val="18"/>
        </w:rPr>
        <w:t> </w:t>
      </w:r>
      <w:r>
        <w:rPr>
          <w:sz w:val="18"/>
        </w:rPr>
        <w:t>frequency.</w:t>
      </w:r>
    </w:p>
    <w:p>
      <w:pPr>
        <w:pStyle w:val="ListParagraph"/>
        <w:numPr>
          <w:ilvl w:val="0"/>
          <w:numId w:val="6"/>
        </w:numPr>
        <w:tabs>
          <w:tab w:pos="462" w:val="left" w:leader="none"/>
        </w:tabs>
        <w:spacing w:line="240" w:lineRule="auto" w:before="0" w:after="0"/>
        <w:ind w:left="270" w:right="1" w:firstLine="0"/>
        <w:jc w:val="both"/>
        <w:rPr>
          <w:sz w:val="18"/>
        </w:rPr>
      </w:pPr>
      <w:r>
        <w:rPr>
          <w:sz w:val="18"/>
        </w:rPr>
        <w:t>Psychosocial factors: monotonous work, lack of control over the own task, bad social relations at work, arduousness perceived or time</w:t>
      </w:r>
      <w:r>
        <w:rPr>
          <w:spacing w:val="-2"/>
          <w:sz w:val="18"/>
        </w:rPr>
        <w:t> </w:t>
      </w:r>
      <w:r>
        <w:rPr>
          <w:sz w:val="18"/>
        </w:rPr>
        <w:t>pressure.</w:t>
      </w:r>
    </w:p>
    <w:p>
      <w:pPr>
        <w:pStyle w:val="ListParagraph"/>
        <w:numPr>
          <w:ilvl w:val="1"/>
          <w:numId w:val="7"/>
        </w:numPr>
        <w:tabs>
          <w:tab w:pos="631" w:val="left" w:leader="none"/>
        </w:tabs>
        <w:spacing w:line="240" w:lineRule="auto" w:before="4" w:after="0"/>
        <w:ind w:left="630" w:right="0" w:hanging="360"/>
        <w:jc w:val="both"/>
        <w:rPr>
          <w:b/>
          <w:sz w:val="18"/>
        </w:rPr>
      </w:pPr>
      <w:r>
        <w:rPr>
          <w:b/>
          <w:sz w:val="18"/>
        </w:rPr>
        <w:t>Metal-Mechanical</w:t>
      </w:r>
      <w:r>
        <w:rPr>
          <w:b/>
          <w:spacing w:val="37"/>
          <w:sz w:val="18"/>
        </w:rPr>
        <w:t> </w:t>
      </w:r>
      <w:r>
        <w:rPr>
          <w:b/>
          <w:sz w:val="18"/>
        </w:rPr>
        <w:t>Sector.</w:t>
      </w:r>
    </w:p>
    <w:p>
      <w:pPr>
        <w:pStyle w:val="BodyText"/>
        <w:spacing w:before="6"/>
        <w:rPr>
          <w:b/>
          <w:sz w:val="17"/>
        </w:rPr>
      </w:pPr>
    </w:p>
    <w:p>
      <w:pPr>
        <w:spacing w:before="0"/>
        <w:ind w:left="270" w:right="1" w:firstLine="0"/>
        <w:jc w:val="both"/>
        <w:rPr>
          <w:sz w:val="18"/>
        </w:rPr>
      </w:pPr>
      <w:r>
        <w:rPr>
          <w:sz w:val="18"/>
        </w:rPr>
        <w:t>The sector of Metal - mechanical industries brings together all industries whose activities relate to the transformation, lamination or metal extrusion, and consists of 18 sections, which are differentiated among themselves by the finished product manufacturing, according to</w:t>
      </w:r>
      <w:r>
        <w:rPr>
          <w:spacing w:val="-8"/>
          <w:sz w:val="18"/>
        </w:rPr>
        <w:t> </w:t>
      </w:r>
      <w:r>
        <w:rPr>
          <w:sz w:val="18"/>
        </w:rPr>
        <w:t>[8].</w:t>
      </w:r>
    </w:p>
    <w:p>
      <w:pPr>
        <w:pStyle w:val="BodyText"/>
        <w:spacing w:before="3"/>
        <w:rPr>
          <w:sz w:val="18"/>
        </w:rPr>
      </w:pPr>
    </w:p>
    <w:p>
      <w:pPr>
        <w:pStyle w:val="ListParagraph"/>
        <w:numPr>
          <w:ilvl w:val="1"/>
          <w:numId w:val="7"/>
        </w:numPr>
        <w:tabs>
          <w:tab w:pos="631" w:val="left" w:leader="none"/>
        </w:tabs>
        <w:spacing w:line="240" w:lineRule="auto" w:before="0" w:after="0"/>
        <w:ind w:left="630" w:right="0" w:hanging="360"/>
        <w:jc w:val="both"/>
        <w:rPr>
          <w:b/>
          <w:sz w:val="18"/>
        </w:rPr>
      </w:pPr>
      <w:r>
        <w:rPr>
          <w:b/>
          <w:sz w:val="18"/>
        </w:rPr>
        <w:t>Human-machine</w:t>
      </w:r>
      <w:r>
        <w:rPr>
          <w:b/>
          <w:spacing w:val="-6"/>
          <w:sz w:val="18"/>
        </w:rPr>
        <w:t> </w:t>
      </w:r>
      <w:r>
        <w:rPr>
          <w:b/>
          <w:sz w:val="18"/>
        </w:rPr>
        <w:t>system.</w:t>
      </w:r>
    </w:p>
    <w:p>
      <w:pPr>
        <w:pStyle w:val="BodyText"/>
        <w:spacing w:before="7"/>
        <w:rPr>
          <w:b/>
          <w:sz w:val="17"/>
        </w:rPr>
      </w:pPr>
    </w:p>
    <w:p>
      <w:pPr>
        <w:spacing w:before="1"/>
        <w:ind w:left="270" w:right="0" w:firstLine="0"/>
        <w:jc w:val="both"/>
        <w:rPr>
          <w:sz w:val="18"/>
        </w:rPr>
      </w:pPr>
      <w:r>
        <w:rPr>
          <w:sz w:val="18"/>
        </w:rPr>
        <w:t>According to [5] the human-machine system conform  man, machine and the environment. The machine displays information to the human operator which operates its controls to affect the machine. The environment may interfere with the effectiveness of the circuit.</w:t>
      </w:r>
    </w:p>
    <w:p>
      <w:pPr>
        <w:pStyle w:val="BodyText"/>
        <w:spacing w:before="3"/>
        <w:rPr>
          <w:sz w:val="18"/>
        </w:rPr>
      </w:pPr>
    </w:p>
    <w:p>
      <w:pPr>
        <w:pStyle w:val="ListParagraph"/>
        <w:numPr>
          <w:ilvl w:val="1"/>
          <w:numId w:val="7"/>
        </w:numPr>
        <w:tabs>
          <w:tab w:pos="631" w:val="left" w:leader="none"/>
        </w:tabs>
        <w:spacing w:line="240" w:lineRule="auto" w:before="0" w:after="0"/>
        <w:ind w:left="630" w:right="0" w:hanging="360"/>
        <w:jc w:val="both"/>
        <w:rPr>
          <w:b/>
          <w:sz w:val="18"/>
        </w:rPr>
      </w:pPr>
      <w:r>
        <w:rPr>
          <w:b/>
          <w:sz w:val="18"/>
        </w:rPr>
        <w:t>Ergonomic</w:t>
      </w:r>
      <w:r>
        <w:rPr>
          <w:b/>
          <w:spacing w:val="-1"/>
          <w:sz w:val="18"/>
        </w:rPr>
        <w:t> </w:t>
      </w:r>
      <w:r>
        <w:rPr>
          <w:b/>
          <w:sz w:val="18"/>
        </w:rPr>
        <w:t>checklist.</w:t>
      </w:r>
    </w:p>
    <w:p>
      <w:pPr>
        <w:pStyle w:val="BodyText"/>
        <w:spacing w:before="7"/>
        <w:rPr>
          <w:b/>
          <w:sz w:val="17"/>
        </w:rPr>
      </w:pPr>
    </w:p>
    <w:p>
      <w:pPr>
        <w:spacing w:before="1"/>
        <w:ind w:left="270" w:right="0" w:firstLine="0"/>
        <w:jc w:val="both"/>
        <w:rPr>
          <w:sz w:val="18"/>
        </w:rPr>
      </w:pPr>
      <w:r>
        <w:rPr>
          <w:sz w:val="18"/>
        </w:rPr>
        <w:t>Ergonomic hazards checklist is a tool that aims to contribute to a systematic application of ergonomic principles. It was developed with the purpose of providing practical and inexpensive solutions to ergonomic problems, particularly for the small and medium enterprises. It aims to provide a useful and easy way to an improvement of the working conditions for a greater and better security, health and efficiency, according to [9].</w:t>
      </w:r>
    </w:p>
    <w:p>
      <w:pPr>
        <w:pStyle w:val="BodyText"/>
        <w:rPr>
          <w:sz w:val="18"/>
        </w:rPr>
      </w:pPr>
    </w:p>
    <w:p>
      <w:pPr>
        <w:pStyle w:val="BodyText"/>
        <w:spacing w:before="4"/>
        <w:rPr>
          <w:sz w:val="18"/>
        </w:rPr>
      </w:pPr>
    </w:p>
    <w:p>
      <w:pPr>
        <w:pStyle w:val="ListParagraph"/>
        <w:numPr>
          <w:ilvl w:val="1"/>
          <w:numId w:val="7"/>
        </w:numPr>
        <w:tabs>
          <w:tab w:pos="631" w:val="left" w:leader="none"/>
        </w:tabs>
        <w:spacing w:line="240" w:lineRule="auto" w:before="0" w:after="0"/>
        <w:ind w:left="630" w:right="0" w:hanging="360"/>
        <w:jc w:val="both"/>
        <w:rPr>
          <w:b/>
          <w:sz w:val="18"/>
        </w:rPr>
      </w:pPr>
      <w:r>
        <w:rPr>
          <w:b/>
          <w:sz w:val="18"/>
        </w:rPr>
        <w:t>Design of</w:t>
      </w:r>
      <w:r>
        <w:rPr>
          <w:b/>
          <w:spacing w:val="-15"/>
          <w:sz w:val="18"/>
        </w:rPr>
        <w:t> </w:t>
      </w:r>
      <w:r>
        <w:rPr>
          <w:b/>
          <w:sz w:val="18"/>
        </w:rPr>
        <w:t>workplace.</w:t>
      </w:r>
    </w:p>
    <w:p>
      <w:pPr>
        <w:pStyle w:val="BodyText"/>
        <w:spacing w:before="7"/>
        <w:rPr>
          <w:b/>
          <w:sz w:val="17"/>
        </w:rPr>
      </w:pPr>
    </w:p>
    <w:p>
      <w:pPr>
        <w:spacing w:before="1"/>
        <w:ind w:left="270" w:right="1" w:firstLine="0"/>
        <w:jc w:val="both"/>
        <w:rPr>
          <w:sz w:val="18"/>
        </w:rPr>
      </w:pPr>
      <w:r>
        <w:rPr>
          <w:sz w:val="18"/>
        </w:rPr>
        <w:t>Not all people are similar from the point of view of physical or psychic. Not being susceptible of change, these characteristics will be considered in the design of workplaces, which generally does not occur and usually leads to the unsuitability of the person, due to the discomfort of muscle, joint, brain, etc.</w:t>
      </w:r>
    </w:p>
    <w:p>
      <w:pPr>
        <w:spacing w:before="0"/>
        <w:ind w:left="270" w:right="676" w:firstLine="0"/>
        <w:jc w:val="both"/>
        <w:rPr>
          <w:sz w:val="18"/>
        </w:rPr>
      </w:pPr>
      <w:r>
        <w:rPr/>
        <w:br w:type="column"/>
      </w:r>
      <w:r>
        <w:rPr>
          <w:sz w:val="18"/>
        </w:rPr>
        <w:t>According to [10], an information device is any device that works within a system, machine, installation or process and reports the state or change in status of an element of the system. These indicators can transmit visual information (luminous indications, numerical, scalar) and hearing (beeps and oral information). When designing a device's information, as well as an organ of control and the corresponding drive, must be of the type of information that  has to receive, the levels of distinction and comparison, the valuation of the information received, the importance of possible errors and their consequences, the frequency and time of reaction, the potential for interference, compatibility between person and machine, the organizational system, the social and cultural environment,</w:t>
      </w:r>
      <w:r>
        <w:rPr>
          <w:spacing w:val="-15"/>
          <w:sz w:val="18"/>
        </w:rPr>
        <w:t> </w:t>
      </w:r>
      <w:r>
        <w:rPr>
          <w:sz w:val="18"/>
        </w:rPr>
        <w:t>etc.</w:t>
      </w:r>
    </w:p>
    <w:p>
      <w:pPr>
        <w:pStyle w:val="ListParagraph"/>
        <w:numPr>
          <w:ilvl w:val="1"/>
          <w:numId w:val="8"/>
        </w:numPr>
        <w:tabs>
          <w:tab w:pos="677" w:val="left" w:leader="none"/>
        </w:tabs>
        <w:spacing w:line="240" w:lineRule="auto" w:before="3" w:after="0"/>
        <w:ind w:left="676" w:right="0" w:hanging="406"/>
        <w:jc w:val="both"/>
        <w:rPr>
          <w:b/>
          <w:sz w:val="18"/>
        </w:rPr>
      </w:pPr>
      <w:r>
        <w:rPr>
          <w:b/>
          <w:sz w:val="18"/>
        </w:rPr>
        <w:t>Controls.</w:t>
      </w:r>
    </w:p>
    <w:p>
      <w:pPr>
        <w:pStyle w:val="BodyText"/>
        <w:spacing w:before="7"/>
        <w:rPr>
          <w:b/>
          <w:sz w:val="17"/>
        </w:rPr>
      </w:pPr>
    </w:p>
    <w:p>
      <w:pPr>
        <w:spacing w:before="1"/>
        <w:ind w:left="270" w:right="675" w:firstLine="0"/>
        <w:jc w:val="both"/>
        <w:rPr>
          <w:sz w:val="18"/>
        </w:rPr>
      </w:pPr>
      <w:r>
        <w:rPr>
          <w:sz w:val="18"/>
        </w:rPr>
        <w:t>A control is a mean that helps us to interact with a machine. These are elements that are used to enter information and regulate the operations of machines and equipment. Controls must be designed and located in a panel in such a way that they can be activated without musculoskeletal risks (postural, physical load, etc.) according to [10].</w:t>
      </w:r>
    </w:p>
    <w:p>
      <w:pPr>
        <w:pStyle w:val="BodyText"/>
        <w:spacing w:before="3"/>
        <w:rPr>
          <w:sz w:val="18"/>
        </w:rPr>
      </w:pPr>
    </w:p>
    <w:p>
      <w:pPr>
        <w:pStyle w:val="ListParagraph"/>
        <w:numPr>
          <w:ilvl w:val="1"/>
          <w:numId w:val="8"/>
        </w:numPr>
        <w:tabs>
          <w:tab w:pos="677" w:val="left" w:leader="none"/>
        </w:tabs>
        <w:spacing w:line="240" w:lineRule="auto" w:before="0" w:after="0"/>
        <w:ind w:left="676" w:right="0" w:hanging="406"/>
        <w:jc w:val="both"/>
        <w:rPr>
          <w:b/>
          <w:sz w:val="18"/>
        </w:rPr>
      </w:pPr>
      <w:r>
        <w:rPr>
          <w:b/>
          <w:sz w:val="18"/>
        </w:rPr>
        <w:t>Control switches or</w:t>
      </w:r>
      <w:r>
        <w:rPr>
          <w:b/>
          <w:spacing w:val="-9"/>
          <w:sz w:val="18"/>
        </w:rPr>
        <w:t> </w:t>
      </w:r>
      <w:r>
        <w:rPr>
          <w:b/>
          <w:sz w:val="18"/>
        </w:rPr>
        <w:t>commands.</w:t>
      </w:r>
    </w:p>
    <w:p>
      <w:pPr>
        <w:pStyle w:val="BodyText"/>
        <w:spacing w:before="7"/>
        <w:rPr>
          <w:b/>
          <w:sz w:val="17"/>
        </w:rPr>
      </w:pPr>
    </w:p>
    <w:p>
      <w:pPr>
        <w:spacing w:before="1"/>
        <w:ind w:left="270" w:right="677" w:firstLine="0"/>
        <w:jc w:val="both"/>
        <w:rPr>
          <w:sz w:val="18"/>
        </w:rPr>
      </w:pPr>
      <w:r>
        <w:rPr>
          <w:sz w:val="18"/>
        </w:rPr>
        <w:t>They are all those elements on which acts the operator to communicate orders to an equipment, modify their operating parameters, their modes of operation and control, or eventually to receive information, according to [10].</w:t>
      </w:r>
    </w:p>
    <w:p>
      <w:pPr>
        <w:pStyle w:val="BodyText"/>
        <w:rPr>
          <w:sz w:val="18"/>
        </w:rPr>
      </w:pPr>
    </w:p>
    <w:p>
      <w:pPr>
        <w:pStyle w:val="BodyText"/>
        <w:spacing w:before="3"/>
        <w:rPr>
          <w:sz w:val="18"/>
        </w:rPr>
      </w:pPr>
    </w:p>
    <w:p>
      <w:pPr>
        <w:pStyle w:val="ListParagraph"/>
        <w:numPr>
          <w:ilvl w:val="0"/>
          <w:numId w:val="6"/>
        </w:numPr>
        <w:tabs>
          <w:tab w:pos="631" w:val="left" w:leader="none"/>
        </w:tabs>
        <w:spacing w:line="240" w:lineRule="auto" w:before="0" w:after="0"/>
        <w:ind w:left="630" w:right="0" w:hanging="360"/>
        <w:jc w:val="both"/>
        <w:rPr>
          <w:b/>
          <w:sz w:val="18"/>
        </w:rPr>
      </w:pPr>
      <w:r>
        <w:rPr>
          <w:b/>
          <w:sz w:val="18"/>
        </w:rPr>
        <w:t>METHODOLOGY.</w:t>
      </w:r>
    </w:p>
    <w:p>
      <w:pPr>
        <w:pStyle w:val="BodyText"/>
        <w:spacing w:before="7"/>
        <w:rPr>
          <w:b/>
          <w:sz w:val="17"/>
        </w:rPr>
      </w:pPr>
    </w:p>
    <w:p>
      <w:pPr>
        <w:spacing w:before="1"/>
        <w:ind w:left="270" w:right="677" w:firstLine="0"/>
        <w:jc w:val="both"/>
        <w:rPr>
          <w:sz w:val="18"/>
        </w:rPr>
      </w:pPr>
      <w:r>
        <w:rPr>
          <w:sz w:val="18"/>
        </w:rPr>
        <w:t>The methodology of this research consisted in the application of an instrument to gather information on the metal-mechanic sector taking into account the aspects of design.</w:t>
      </w:r>
    </w:p>
    <w:p>
      <w:pPr>
        <w:pStyle w:val="BodyText"/>
        <w:spacing w:before="3"/>
        <w:rPr>
          <w:sz w:val="18"/>
        </w:rPr>
      </w:pPr>
    </w:p>
    <w:p>
      <w:pPr>
        <w:pStyle w:val="ListParagraph"/>
        <w:numPr>
          <w:ilvl w:val="1"/>
          <w:numId w:val="9"/>
        </w:numPr>
        <w:tabs>
          <w:tab w:pos="631" w:val="left" w:leader="none"/>
        </w:tabs>
        <w:spacing w:line="240" w:lineRule="auto" w:before="0" w:after="0"/>
        <w:ind w:left="630" w:right="0" w:hanging="360"/>
        <w:jc w:val="both"/>
        <w:rPr>
          <w:b/>
          <w:sz w:val="18"/>
        </w:rPr>
      </w:pPr>
      <w:r>
        <w:rPr>
          <w:b/>
          <w:sz w:val="18"/>
        </w:rPr>
        <w:t>Materials.</w:t>
      </w:r>
    </w:p>
    <w:p>
      <w:pPr>
        <w:pStyle w:val="BodyText"/>
        <w:spacing w:before="8"/>
        <w:rPr>
          <w:b/>
          <w:sz w:val="17"/>
        </w:rPr>
      </w:pPr>
    </w:p>
    <w:p>
      <w:pPr>
        <w:pStyle w:val="ListParagraph"/>
        <w:numPr>
          <w:ilvl w:val="2"/>
          <w:numId w:val="9"/>
        </w:numPr>
        <w:tabs>
          <w:tab w:pos="979" w:val="left" w:leader="none"/>
        </w:tabs>
        <w:spacing w:line="240" w:lineRule="auto" w:before="0" w:after="0"/>
        <w:ind w:left="990" w:right="676" w:hanging="360"/>
        <w:jc w:val="both"/>
        <w:rPr>
          <w:sz w:val="18"/>
        </w:rPr>
      </w:pPr>
      <w:r>
        <w:rPr>
          <w:sz w:val="18"/>
        </w:rPr>
        <w:t>Instrument based on the norm UNE in 614 on  "machinery safety: ergonomic design principles". Considers 44 items in the categories of design of body dimensions, mechanical behavior and  information devices and</w:t>
      </w:r>
      <w:r>
        <w:rPr>
          <w:spacing w:val="-18"/>
          <w:sz w:val="18"/>
        </w:rPr>
        <w:t> </w:t>
      </w:r>
      <w:r>
        <w:rPr>
          <w:sz w:val="18"/>
        </w:rPr>
        <w:t>controls.</w:t>
      </w:r>
    </w:p>
    <w:p>
      <w:pPr>
        <w:pStyle w:val="ListParagraph"/>
        <w:numPr>
          <w:ilvl w:val="2"/>
          <w:numId w:val="9"/>
        </w:numPr>
        <w:tabs>
          <w:tab w:pos="978" w:val="left" w:leader="none"/>
          <w:tab w:pos="979" w:val="left" w:leader="none"/>
        </w:tabs>
        <w:spacing w:line="220" w:lineRule="exact" w:before="1" w:after="0"/>
        <w:ind w:left="978" w:right="0" w:hanging="348"/>
        <w:jc w:val="left"/>
        <w:rPr>
          <w:sz w:val="18"/>
        </w:rPr>
      </w:pPr>
      <w:r>
        <w:rPr>
          <w:sz w:val="18"/>
        </w:rPr>
        <w:t>Application</w:t>
      </w:r>
      <w:r>
        <w:rPr>
          <w:spacing w:val="-4"/>
          <w:sz w:val="18"/>
        </w:rPr>
        <w:t> </w:t>
      </w:r>
      <w:r>
        <w:rPr>
          <w:sz w:val="18"/>
        </w:rPr>
        <w:t>guide.</w:t>
      </w:r>
    </w:p>
    <w:p>
      <w:pPr>
        <w:pStyle w:val="ListParagraph"/>
        <w:numPr>
          <w:ilvl w:val="2"/>
          <w:numId w:val="9"/>
        </w:numPr>
        <w:tabs>
          <w:tab w:pos="978" w:val="left" w:leader="none"/>
          <w:tab w:pos="979" w:val="left" w:leader="none"/>
        </w:tabs>
        <w:spacing w:line="220" w:lineRule="exact" w:before="0" w:after="0"/>
        <w:ind w:left="978" w:right="0" w:hanging="348"/>
        <w:jc w:val="left"/>
        <w:rPr>
          <w:sz w:val="18"/>
        </w:rPr>
      </w:pPr>
      <w:r>
        <w:rPr>
          <w:sz w:val="18"/>
        </w:rPr>
        <w:t>Flex</w:t>
      </w:r>
      <w:r>
        <w:rPr>
          <w:spacing w:val="-4"/>
          <w:sz w:val="18"/>
        </w:rPr>
        <w:t> </w:t>
      </w:r>
      <w:r>
        <w:rPr>
          <w:sz w:val="18"/>
        </w:rPr>
        <w:t>meter</w:t>
      </w:r>
    </w:p>
    <w:p>
      <w:pPr>
        <w:pStyle w:val="BodyText"/>
        <w:spacing w:before="3"/>
        <w:rPr>
          <w:sz w:val="18"/>
        </w:rPr>
      </w:pPr>
    </w:p>
    <w:p>
      <w:pPr>
        <w:pStyle w:val="ListParagraph"/>
        <w:numPr>
          <w:ilvl w:val="1"/>
          <w:numId w:val="9"/>
        </w:numPr>
        <w:tabs>
          <w:tab w:pos="631" w:val="left" w:leader="none"/>
        </w:tabs>
        <w:spacing w:line="240" w:lineRule="auto" w:before="0" w:after="0"/>
        <w:ind w:left="630" w:right="0" w:hanging="360"/>
        <w:jc w:val="both"/>
        <w:rPr>
          <w:b/>
          <w:sz w:val="18"/>
        </w:rPr>
      </w:pPr>
      <w:r>
        <w:rPr>
          <w:b/>
          <w:sz w:val="18"/>
        </w:rPr>
        <w:t>Population.</w:t>
      </w:r>
    </w:p>
    <w:p>
      <w:pPr>
        <w:spacing w:after="0" w:line="240" w:lineRule="auto"/>
        <w:jc w:val="both"/>
        <w:rPr>
          <w:sz w:val="18"/>
        </w:rPr>
        <w:sectPr>
          <w:type w:val="continuous"/>
          <w:pgSz w:w="12240" w:h="15840"/>
          <w:pgMar w:top="1500" w:bottom="280" w:left="580" w:right="220"/>
          <w:cols w:num="2" w:equalWidth="0">
            <w:col w:w="5189" w:space="435"/>
            <w:col w:w="5816"/>
          </w:cols>
        </w:sectPr>
      </w:pPr>
    </w:p>
    <w:p>
      <w:pPr>
        <w:pStyle w:val="BodyText"/>
        <w:rPr>
          <w:b/>
          <w:sz w:val="11"/>
        </w:rPr>
      </w:pPr>
    </w:p>
    <w:p>
      <w:pPr>
        <w:spacing w:after="0"/>
        <w:rPr>
          <w:sz w:val="11"/>
        </w:rPr>
        <w:sectPr>
          <w:pgSz w:w="12240" w:h="15840"/>
          <w:pgMar w:header="545" w:footer="852" w:top="1060" w:bottom="1040" w:left="580" w:right="220"/>
        </w:sectPr>
      </w:pPr>
    </w:p>
    <w:p>
      <w:pPr>
        <w:spacing w:before="77"/>
        <w:ind w:left="270" w:right="0" w:firstLine="0"/>
        <w:jc w:val="both"/>
        <w:rPr>
          <w:sz w:val="18"/>
        </w:rPr>
      </w:pPr>
      <w:r>
        <w:rPr>
          <w:sz w:val="18"/>
        </w:rPr>
        <w:t>The population under study was determined by 19 companies in the metal processing sector. Most commonly used industry machines are mainly lathe, welding, grinding and milling machine. Of these,  4 are dedicated specifically to parts, welding only 9 and 6 to both welding and lathe</w:t>
      </w:r>
      <w:r>
        <w:rPr>
          <w:spacing w:val="-6"/>
          <w:sz w:val="18"/>
        </w:rPr>
        <w:t> </w:t>
      </w:r>
      <w:r>
        <w:rPr>
          <w:sz w:val="18"/>
        </w:rPr>
        <w:t>turning.</w:t>
      </w:r>
    </w:p>
    <w:p>
      <w:pPr>
        <w:pStyle w:val="BodyText"/>
        <w:spacing w:before="3"/>
        <w:rPr>
          <w:sz w:val="18"/>
        </w:rPr>
      </w:pPr>
    </w:p>
    <w:p>
      <w:pPr>
        <w:pStyle w:val="ListParagraph"/>
        <w:numPr>
          <w:ilvl w:val="1"/>
          <w:numId w:val="9"/>
        </w:numPr>
        <w:tabs>
          <w:tab w:pos="631" w:val="left" w:leader="none"/>
        </w:tabs>
        <w:spacing w:line="240" w:lineRule="auto" w:before="0" w:after="0"/>
        <w:ind w:left="630" w:right="0" w:hanging="360"/>
        <w:jc w:val="both"/>
        <w:rPr>
          <w:b/>
          <w:sz w:val="18"/>
        </w:rPr>
      </w:pPr>
      <w:r>
        <w:rPr>
          <w:b/>
          <w:sz w:val="18"/>
        </w:rPr>
        <w:t>Procedure.</w:t>
      </w:r>
    </w:p>
    <w:p>
      <w:pPr>
        <w:pStyle w:val="BodyText"/>
        <w:spacing w:before="7"/>
        <w:rPr>
          <w:b/>
          <w:sz w:val="17"/>
        </w:rPr>
      </w:pPr>
    </w:p>
    <w:p>
      <w:pPr>
        <w:pStyle w:val="ListParagraph"/>
        <w:numPr>
          <w:ilvl w:val="0"/>
          <w:numId w:val="10"/>
        </w:numPr>
        <w:tabs>
          <w:tab w:pos="916" w:val="left" w:leader="none"/>
        </w:tabs>
        <w:spacing w:line="240" w:lineRule="auto" w:before="1" w:after="0"/>
        <w:ind w:left="915" w:right="0" w:hanging="360"/>
        <w:jc w:val="both"/>
        <w:rPr>
          <w:sz w:val="18"/>
        </w:rPr>
      </w:pPr>
      <w:r>
        <w:rPr>
          <w:sz w:val="18"/>
        </w:rPr>
        <w:t>Application of ergonomic checklist tasks or jobs that are carried out on the machine regularly, or which were considered more problematic, taking into account just the following two</w:t>
      </w:r>
      <w:r>
        <w:rPr>
          <w:spacing w:val="-1"/>
          <w:sz w:val="18"/>
        </w:rPr>
        <w:t> </w:t>
      </w:r>
      <w:r>
        <w:rPr>
          <w:sz w:val="18"/>
        </w:rPr>
        <w:t>blocks:</w:t>
      </w:r>
    </w:p>
    <w:p>
      <w:pPr>
        <w:pStyle w:val="BodyText"/>
        <w:rPr>
          <w:sz w:val="18"/>
        </w:rPr>
      </w:pPr>
    </w:p>
    <w:p>
      <w:pPr>
        <w:spacing w:before="0"/>
        <w:ind w:left="1435" w:right="0" w:firstLine="0"/>
        <w:jc w:val="left"/>
        <w:rPr>
          <w:sz w:val="18"/>
        </w:rPr>
      </w:pPr>
      <w:r>
        <w:rPr/>
        <w:pict>
          <v:shape style="position:absolute;margin-left:37.110001pt;margin-top:11.102015pt;width:244.3pt;height:53.8pt;mso-position-horizontal-relative:page;mso-position-vertical-relative:paragraph;z-index:1504" type="#_x0000_t202" filled="false" stroked="false">
            <v:textbox inset="0,0,0,0">
              <w:txbxContent>
                <w:tbl>
                  <w:tblPr>
                    <w:tblCellSpacing w:w="5" w:type="dxa"/>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00"/>
                    <w:gridCol w:w="4170"/>
                  </w:tblGrid>
                  <w:tr>
                    <w:trPr>
                      <w:trHeight w:val="409" w:hRule="exact"/>
                    </w:trPr>
                    <w:tc>
                      <w:tcPr>
                        <w:tcW w:w="4870" w:type="dxa"/>
                        <w:gridSpan w:val="2"/>
                        <w:tcBorders>
                          <w:bottom w:val="nil"/>
                        </w:tcBorders>
                        <w:shd w:val="clear" w:color="auto" w:fill="1F3864"/>
                      </w:tcPr>
                      <w:p>
                        <w:pPr>
                          <w:pStyle w:val="TableParagraph"/>
                          <w:tabs>
                            <w:tab w:pos="747" w:val="left" w:leader="none"/>
                          </w:tabs>
                          <w:ind w:left="747" w:right="103" w:hanging="360"/>
                          <w:rPr>
                            <w:b/>
                            <w:sz w:val="18"/>
                          </w:rPr>
                        </w:pPr>
                        <w:r>
                          <w:rPr>
                            <w:b/>
                            <w:color w:val="FFFFFF"/>
                            <w:sz w:val="18"/>
                          </w:rPr>
                          <w:t>2.</w:t>
                          <w:tab/>
                          <w:t>The design considering the body dimensions</w:t>
                        </w:r>
                        <w:r>
                          <w:rPr>
                            <w:b/>
                            <w:color w:val="FFFFFF"/>
                            <w:spacing w:val="-14"/>
                            <w:sz w:val="18"/>
                          </w:rPr>
                          <w:t> </w:t>
                        </w:r>
                        <w:r>
                          <w:rPr>
                            <w:b/>
                            <w:color w:val="FFFFFF"/>
                            <w:sz w:val="18"/>
                          </w:rPr>
                          <w:t>and</w:t>
                        </w:r>
                        <w:r>
                          <w:rPr>
                            <w:b/>
                            <w:color w:val="FFFFFF"/>
                            <w:spacing w:val="-3"/>
                            <w:sz w:val="18"/>
                          </w:rPr>
                          <w:t> </w:t>
                        </w:r>
                        <w:r>
                          <w:rPr>
                            <w:b/>
                            <w:color w:val="FFFFFF"/>
                            <w:sz w:val="18"/>
                          </w:rPr>
                          <w:t>the</w:t>
                        </w:r>
                        <w:r>
                          <w:rPr>
                            <w:b/>
                            <w:color w:val="FFFFFF"/>
                            <w:spacing w:val="-1"/>
                            <w:sz w:val="18"/>
                          </w:rPr>
                          <w:t> </w:t>
                        </w:r>
                        <w:r>
                          <w:rPr>
                            <w:b/>
                            <w:color w:val="FFFFFF"/>
                            <w:sz w:val="18"/>
                          </w:rPr>
                          <w:t>mechanical behavior of the human</w:t>
                        </w:r>
                        <w:r>
                          <w:rPr>
                            <w:b/>
                            <w:color w:val="FFFFFF"/>
                            <w:spacing w:val="-3"/>
                            <w:sz w:val="18"/>
                          </w:rPr>
                          <w:t> </w:t>
                        </w:r>
                        <w:r>
                          <w:rPr>
                            <w:b/>
                            <w:color w:val="FFFFFF"/>
                            <w:sz w:val="18"/>
                          </w:rPr>
                          <w:t>body</w:t>
                        </w:r>
                      </w:p>
                    </w:tc>
                  </w:tr>
                  <w:tr>
                    <w:trPr>
                      <w:trHeight w:val="207" w:hRule="exact"/>
                    </w:trPr>
                    <w:tc>
                      <w:tcPr>
                        <w:tcW w:w="700" w:type="dxa"/>
                        <w:tcBorders>
                          <w:top w:val="nil"/>
                          <w:bottom w:val="nil"/>
                          <w:right w:val="single" w:sz="4" w:space="0" w:color="auto"/>
                        </w:tcBorders>
                        <w:shd w:val="clear" w:color="auto" w:fill="1F3864"/>
                      </w:tcPr>
                      <w:p>
                        <w:pPr>
                          <w:pStyle w:val="TableParagraph"/>
                          <w:spacing w:line="206" w:lineRule="exact"/>
                          <w:ind w:right="57"/>
                          <w:jc w:val="right"/>
                          <w:rPr>
                            <w:b/>
                            <w:sz w:val="18"/>
                          </w:rPr>
                        </w:pPr>
                        <w:r>
                          <w:rPr>
                            <w:b/>
                            <w:color w:val="FFFFFF"/>
                            <w:sz w:val="18"/>
                          </w:rPr>
                          <w:t>a.</w:t>
                        </w:r>
                      </w:p>
                    </w:tc>
                    <w:tc>
                      <w:tcPr>
                        <w:tcW w:w="4170" w:type="dxa"/>
                        <w:tcBorders>
                          <w:top w:val="nil"/>
                          <w:left w:val="single" w:sz="4" w:space="0" w:color="auto"/>
                          <w:bottom w:val="nil"/>
                        </w:tcBorders>
                        <w:shd w:val="clear" w:color="auto" w:fill="B3C4E6"/>
                      </w:tcPr>
                      <w:p>
                        <w:pPr>
                          <w:pStyle w:val="TableParagraph"/>
                          <w:spacing w:line="202" w:lineRule="exact"/>
                          <w:ind w:left="103"/>
                          <w:rPr>
                            <w:sz w:val="18"/>
                          </w:rPr>
                        </w:pPr>
                        <w:r>
                          <w:rPr>
                            <w:sz w:val="18"/>
                          </w:rPr>
                          <w:t>Body dimensions</w:t>
                        </w:r>
                      </w:p>
                    </w:tc>
                  </w:tr>
                  <w:tr>
                    <w:trPr>
                      <w:trHeight w:val="206" w:hRule="exact"/>
                    </w:trPr>
                    <w:tc>
                      <w:tcPr>
                        <w:tcW w:w="700" w:type="dxa"/>
                        <w:tcBorders>
                          <w:top w:val="nil"/>
                          <w:bottom w:val="nil"/>
                          <w:right w:val="single" w:sz="4" w:space="0" w:color="auto"/>
                        </w:tcBorders>
                        <w:shd w:val="clear" w:color="auto" w:fill="1F3864"/>
                      </w:tcPr>
                      <w:p>
                        <w:pPr>
                          <w:pStyle w:val="TableParagraph"/>
                          <w:spacing w:line="206" w:lineRule="exact"/>
                          <w:ind w:right="48"/>
                          <w:jc w:val="right"/>
                          <w:rPr>
                            <w:b/>
                            <w:sz w:val="18"/>
                          </w:rPr>
                        </w:pPr>
                        <w:r>
                          <w:rPr>
                            <w:b/>
                            <w:color w:val="FFFFFF"/>
                            <w:sz w:val="18"/>
                          </w:rPr>
                          <w:t>b.</w:t>
                        </w:r>
                      </w:p>
                    </w:tc>
                    <w:tc>
                      <w:tcPr>
                        <w:tcW w:w="4170" w:type="dxa"/>
                        <w:tcBorders>
                          <w:top w:val="nil"/>
                          <w:left w:val="single" w:sz="4" w:space="0" w:color="auto"/>
                          <w:bottom w:val="nil"/>
                        </w:tcBorders>
                        <w:shd w:val="clear" w:color="auto" w:fill="D8E1F2"/>
                      </w:tcPr>
                      <w:p>
                        <w:pPr>
                          <w:pStyle w:val="TableParagraph"/>
                          <w:spacing w:line="202" w:lineRule="exact"/>
                          <w:ind w:left="103"/>
                          <w:rPr>
                            <w:sz w:val="18"/>
                          </w:rPr>
                        </w:pPr>
                        <w:r>
                          <w:rPr>
                            <w:sz w:val="18"/>
                          </w:rPr>
                          <w:t>Postures and body movement</w:t>
                        </w:r>
                      </w:p>
                    </w:tc>
                  </w:tr>
                  <w:tr>
                    <w:trPr>
                      <w:trHeight w:val="207" w:hRule="exact"/>
                    </w:trPr>
                    <w:tc>
                      <w:tcPr>
                        <w:tcW w:w="700" w:type="dxa"/>
                        <w:tcBorders>
                          <w:top w:val="nil"/>
                          <w:bottom w:val="nil"/>
                          <w:right w:val="single" w:sz="4" w:space="0" w:color="auto"/>
                        </w:tcBorders>
                        <w:shd w:val="clear" w:color="auto" w:fill="1F3864"/>
                      </w:tcPr>
                      <w:p>
                        <w:pPr>
                          <w:pStyle w:val="TableParagraph"/>
                          <w:spacing w:line="206" w:lineRule="exact"/>
                          <w:ind w:right="66"/>
                          <w:jc w:val="right"/>
                          <w:rPr>
                            <w:b/>
                            <w:sz w:val="18"/>
                          </w:rPr>
                        </w:pPr>
                        <w:r>
                          <w:rPr>
                            <w:b/>
                            <w:color w:val="FFFFFF"/>
                            <w:sz w:val="18"/>
                          </w:rPr>
                          <w:t>c.</w:t>
                        </w:r>
                      </w:p>
                    </w:tc>
                    <w:tc>
                      <w:tcPr>
                        <w:tcW w:w="4170" w:type="dxa"/>
                        <w:tcBorders>
                          <w:top w:val="nil"/>
                          <w:left w:val="single" w:sz="4" w:space="0" w:color="auto"/>
                          <w:bottom w:val="nil"/>
                        </w:tcBorders>
                        <w:shd w:val="clear" w:color="auto" w:fill="B3C4E6"/>
                      </w:tcPr>
                      <w:p>
                        <w:pPr>
                          <w:pStyle w:val="TableParagraph"/>
                          <w:spacing w:line="202" w:lineRule="exact"/>
                          <w:ind w:left="103"/>
                          <w:rPr>
                            <w:sz w:val="18"/>
                          </w:rPr>
                        </w:pPr>
                        <w:r>
                          <w:rPr>
                            <w:sz w:val="18"/>
                          </w:rPr>
                          <w:t>Physical effort</w:t>
                        </w:r>
                      </w:p>
                    </w:tc>
                  </w:tr>
                </w:tbl>
                <w:p>
                  <w:pPr>
                    <w:pStyle w:val="BodyText"/>
                  </w:pPr>
                </w:p>
              </w:txbxContent>
            </v:textbox>
            <w10:wrap type="none"/>
          </v:shape>
        </w:pict>
      </w:r>
      <w:r>
        <w:rPr>
          <w:sz w:val="18"/>
        </w:rPr>
        <w:t>Table 3. Table of blocks of  the checklist</w:t>
      </w:r>
    </w:p>
    <w:p>
      <w:pPr>
        <w:spacing w:before="77"/>
        <w:ind w:left="2489" w:right="852" w:hanging="1320"/>
        <w:jc w:val="left"/>
        <w:rPr>
          <w:sz w:val="18"/>
        </w:rPr>
      </w:pPr>
      <w:r>
        <w:rPr/>
        <w:br w:type="column"/>
      </w:r>
      <w:r>
        <w:rPr>
          <w:sz w:val="18"/>
        </w:rPr>
        <w:t>Figure 3. Overall percentages of accomplishment by thematic blocks</w:t>
      </w:r>
    </w:p>
    <w:p>
      <w:pPr>
        <w:pStyle w:val="BodyText"/>
        <w:spacing w:before="3"/>
        <w:rPr>
          <w:sz w:val="18"/>
        </w:rPr>
      </w:pPr>
    </w:p>
    <w:p>
      <w:pPr>
        <w:pStyle w:val="ListParagraph"/>
        <w:numPr>
          <w:ilvl w:val="1"/>
          <w:numId w:val="11"/>
        </w:numPr>
        <w:tabs>
          <w:tab w:pos="631" w:val="left" w:leader="none"/>
        </w:tabs>
        <w:spacing w:line="240" w:lineRule="auto" w:before="0" w:after="0"/>
        <w:ind w:left="630" w:right="0" w:hanging="360"/>
        <w:jc w:val="both"/>
        <w:rPr>
          <w:b/>
          <w:sz w:val="18"/>
        </w:rPr>
      </w:pPr>
      <w:r>
        <w:rPr>
          <w:b/>
          <w:sz w:val="18"/>
        </w:rPr>
        <w:t>Results by thematic</w:t>
      </w:r>
      <w:r>
        <w:rPr>
          <w:b/>
          <w:spacing w:val="-14"/>
          <w:sz w:val="18"/>
        </w:rPr>
        <w:t> </w:t>
      </w:r>
      <w:r>
        <w:rPr>
          <w:b/>
          <w:sz w:val="18"/>
        </w:rPr>
        <w:t>block</w:t>
      </w:r>
    </w:p>
    <w:p>
      <w:pPr>
        <w:pStyle w:val="BodyText"/>
        <w:spacing w:before="7"/>
        <w:rPr>
          <w:b/>
          <w:sz w:val="17"/>
        </w:rPr>
      </w:pPr>
    </w:p>
    <w:p>
      <w:pPr>
        <w:spacing w:before="1"/>
        <w:ind w:left="270" w:right="677" w:firstLine="0"/>
        <w:jc w:val="both"/>
        <w:rPr>
          <w:sz w:val="18"/>
        </w:rPr>
      </w:pPr>
      <w:r>
        <w:rPr>
          <w:sz w:val="18"/>
        </w:rPr>
        <w:t>Below are presented and discussed the results, detailed question by question, of each one of the blocks; showing the percentage of compliance with every aspect considered for the set of machines.</w:t>
      </w:r>
    </w:p>
    <w:p>
      <w:pPr>
        <w:pStyle w:val="BodyText"/>
        <w:rPr>
          <w:sz w:val="18"/>
        </w:rPr>
      </w:pPr>
    </w:p>
    <w:p>
      <w:pPr>
        <w:pStyle w:val="ListParagraph"/>
        <w:numPr>
          <w:ilvl w:val="2"/>
          <w:numId w:val="11"/>
        </w:numPr>
        <w:tabs>
          <w:tab w:pos="978" w:val="left" w:leader="none"/>
          <w:tab w:pos="979" w:val="left" w:leader="none"/>
        </w:tabs>
        <w:spacing w:line="240" w:lineRule="auto" w:before="0" w:after="0"/>
        <w:ind w:left="990" w:right="678" w:hanging="720"/>
        <w:jc w:val="left"/>
        <w:rPr>
          <w:sz w:val="18"/>
        </w:rPr>
      </w:pPr>
      <w:r>
        <w:rPr>
          <w:sz w:val="18"/>
          <w:u w:val="single"/>
        </w:rPr>
        <w:t>Design considering the body dimensions and the </w:t>
      </w:r>
      <w:r>
        <w:rPr>
          <w:sz w:val="18"/>
          <w:u w:val="single"/>
        </w:rPr>
        <w:t>mechanical behavior of the human</w:t>
      </w:r>
      <w:r>
        <w:rPr>
          <w:spacing w:val="-12"/>
          <w:sz w:val="18"/>
          <w:u w:val="single"/>
        </w:rPr>
        <w:t> </w:t>
      </w:r>
      <w:r>
        <w:rPr>
          <w:sz w:val="18"/>
          <w:u w:val="single"/>
        </w:rPr>
        <w:t>body</w:t>
      </w:r>
    </w:p>
    <w:p>
      <w:pPr>
        <w:pStyle w:val="BodyText"/>
        <w:spacing w:before="10"/>
        <w:rPr>
          <w:sz w:val="17"/>
        </w:rPr>
      </w:pPr>
    </w:p>
    <w:p>
      <w:pPr>
        <w:spacing w:before="0"/>
        <w:ind w:left="270" w:right="676" w:firstLine="0"/>
        <w:jc w:val="both"/>
        <w:rPr>
          <w:sz w:val="18"/>
        </w:rPr>
      </w:pPr>
      <w:r>
        <w:rPr>
          <w:sz w:val="18"/>
        </w:rPr>
        <w:t>In this block were evaluated aspects of body dimensions, posture and body movements and physical effort, applying to those tasks that are done on a regular basis.</w:t>
      </w:r>
    </w:p>
    <w:p>
      <w:pPr>
        <w:pStyle w:val="ListParagraph"/>
        <w:numPr>
          <w:ilvl w:val="3"/>
          <w:numId w:val="11"/>
        </w:numPr>
        <w:tabs>
          <w:tab w:pos="979" w:val="left" w:leader="none"/>
        </w:tabs>
        <w:spacing w:line="240" w:lineRule="auto" w:before="0" w:after="0"/>
        <w:ind w:left="978" w:right="0" w:hanging="708"/>
        <w:jc w:val="both"/>
        <w:rPr>
          <w:sz w:val="18"/>
        </w:rPr>
      </w:pPr>
      <w:r>
        <w:rPr>
          <w:sz w:val="18"/>
          <w:u w:val="single"/>
        </w:rPr>
        <w:t>Body</w:t>
      </w:r>
      <w:r>
        <w:rPr>
          <w:spacing w:val="-4"/>
          <w:sz w:val="18"/>
          <w:u w:val="single"/>
        </w:rPr>
        <w:t> </w:t>
      </w:r>
      <w:r>
        <w:rPr>
          <w:sz w:val="18"/>
          <w:u w:val="single"/>
        </w:rPr>
        <w:t>dimensions</w:t>
      </w:r>
    </w:p>
    <w:p>
      <w:pPr>
        <w:spacing w:after="0" w:line="240" w:lineRule="auto"/>
        <w:jc w:val="both"/>
        <w:rPr>
          <w:sz w:val="18"/>
        </w:rPr>
        <w:sectPr>
          <w:type w:val="continuous"/>
          <w:pgSz w:w="12240" w:h="15840"/>
          <w:pgMar w:top="1500" w:bottom="280" w:left="580" w:right="220"/>
          <w:cols w:num="2" w:equalWidth="0">
            <w:col w:w="5189" w:space="436"/>
            <w:col w:w="5815"/>
          </w:cols>
        </w:sectPr>
      </w:pPr>
    </w:p>
    <w:p>
      <w:pPr>
        <w:pStyle w:val="BodyText"/>
        <w:spacing w:before="3"/>
        <w:rPr>
          <w:sz w:val="11"/>
        </w:rPr>
      </w:pPr>
    </w:p>
    <w:p>
      <w:pPr>
        <w:spacing w:after="0"/>
        <w:rPr>
          <w:sz w:val="11"/>
        </w:rPr>
        <w:sectPr>
          <w:type w:val="continuous"/>
          <w:pgSz w:w="12240" w:h="15840"/>
          <w:pgMar w:top="1500" w:bottom="280" w:left="580" w:right="220"/>
        </w:sectPr>
      </w:pPr>
    </w:p>
    <w:p>
      <w:pPr>
        <w:pStyle w:val="BodyText"/>
        <w:rPr>
          <w:sz w:val="18"/>
        </w:rPr>
      </w:pPr>
      <w:r>
        <w:rPr/>
        <w:pict>
          <v:shape style="position:absolute;margin-left:73.739021pt;margin-top:596.400696pt;width:206.6pt;height:104.55pt;mso-position-horizontal-relative:page;mso-position-vertical-relative:page;z-index:1456" type="#_x0000_t202" filled="false" stroked="false">
            <v:textbox inset="0,0,0,0">
              <w:txbxContent>
                <w:p>
                  <w:pPr>
                    <w:spacing w:line="199" w:lineRule="exact" w:before="0"/>
                    <w:ind w:left="0" w:right="0" w:firstLine="0"/>
                    <w:jc w:val="left"/>
                    <w:rPr>
                      <w:sz w:val="19"/>
                    </w:rPr>
                  </w:pPr>
                  <w:r>
                    <w:rPr>
                      <w:w w:val="105"/>
                      <w:sz w:val="19"/>
                    </w:rPr>
                    <w:t>60</w:t>
                  </w:r>
                </w:p>
                <w:p>
                  <w:pPr>
                    <w:pStyle w:val="BodyText"/>
                    <w:rPr>
                      <w:sz w:val="23"/>
                    </w:rPr>
                  </w:pPr>
                </w:p>
                <w:p>
                  <w:pPr>
                    <w:spacing w:before="0"/>
                    <w:ind w:left="0" w:right="0" w:firstLine="0"/>
                    <w:jc w:val="left"/>
                    <w:rPr>
                      <w:sz w:val="19"/>
                    </w:rPr>
                  </w:pPr>
                  <w:r>
                    <w:rPr>
                      <w:w w:val="105"/>
                      <w:sz w:val="19"/>
                    </w:rPr>
                    <w:t>40</w:t>
                  </w:r>
                </w:p>
                <w:p>
                  <w:pPr>
                    <w:spacing w:line="162" w:lineRule="exact" w:before="1"/>
                    <w:ind w:left="3007" w:right="0" w:firstLine="0"/>
                    <w:jc w:val="left"/>
                    <w:rPr>
                      <w:sz w:val="13"/>
                    </w:rPr>
                  </w:pPr>
                  <w:r>
                    <w:rPr>
                      <w:w w:val="105"/>
                      <w:sz w:val="13"/>
                    </w:rPr>
                    <w:t>Design considering body dimensions</w:t>
                  </w:r>
                </w:p>
                <w:p>
                  <w:pPr>
                    <w:tabs>
                      <w:tab w:pos="3007" w:val="left" w:leader="none"/>
                    </w:tabs>
                    <w:spacing w:line="162" w:lineRule="exact" w:before="0"/>
                    <w:ind w:left="0" w:right="0" w:firstLine="0"/>
                    <w:jc w:val="left"/>
                    <w:rPr>
                      <w:sz w:val="13"/>
                    </w:rPr>
                  </w:pPr>
                  <w:r>
                    <w:rPr>
                      <w:spacing w:val="3"/>
                      <w:w w:val="105"/>
                      <w:position w:val="1"/>
                      <w:sz w:val="19"/>
                    </w:rPr>
                    <w:t>20</w:t>
                    <w:tab/>
                  </w:r>
                  <w:r>
                    <w:rPr>
                      <w:w w:val="105"/>
                      <w:sz w:val="13"/>
                    </w:rPr>
                    <w:t>and </w:t>
                  </w:r>
                  <w:r>
                    <w:rPr>
                      <w:spacing w:val="-4"/>
                      <w:w w:val="105"/>
                      <w:sz w:val="13"/>
                    </w:rPr>
                    <w:t>de </w:t>
                  </w:r>
                  <w:r>
                    <w:rPr>
                      <w:w w:val="105"/>
                      <w:sz w:val="13"/>
                    </w:rPr>
                    <w:t> mechanical</w:t>
                  </w:r>
                </w:p>
                <w:p>
                  <w:pPr>
                    <w:spacing w:line="162" w:lineRule="exact" w:before="1"/>
                    <w:ind w:left="3007" w:right="0" w:firstLine="0"/>
                    <w:jc w:val="left"/>
                    <w:rPr>
                      <w:sz w:val="13"/>
                    </w:rPr>
                  </w:pPr>
                  <w:r>
                    <w:rPr>
                      <w:w w:val="105"/>
                      <w:sz w:val="13"/>
                    </w:rPr>
                    <w:t>action of the human body</w:t>
                  </w:r>
                </w:p>
                <w:p>
                  <w:pPr>
                    <w:spacing w:line="155" w:lineRule="exact" w:before="0"/>
                    <w:ind w:left="0" w:right="3829" w:firstLine="0"/>
                    <w:jc w:val="center"/>
                    <w:rPr>
                      <w:sz w:val="19"/>
                    </w:rPr>
                  </w:pPr>
                  <w:r>
                    <w:rPr>
                      <w:w w:val="103"/>
                      <w:sz w:val="19"/>
                    </w:rPr>
                    <w:t>0</w:t>
                  </w:r>
                </w:p>
                <w:p>
                  <w:pPr>
                    <w:pStyle w:val="BodyText"/>
                    <w:spacing w:before="5"/>
                    <w:rPr>
                      <w:sz w:val="19"/>
                    </w:rPr>
                  </w:pPr>
                </w:p>
                <w:p>
                  <w:pPr>
                    <w:spacing w:line="216" w:lineRule="exact" w:before="1"/>
                    <w:ind w:left="892" w:right="0" w:firstLine="0"/>
                    <w:jc w:val="left"/>
                    <w:rPr>
                      <w:sz w:val="19"/>
                    </w:rPr>
                  </w:pPr>
                  <w:r>
                    <w:rPr>
                      <w:w w:val="105"/>
                      <w:sz w:val="19"/>
                    </w:rPr>
                    <w:t>Thematic blocks</w:t>
                  </w:r>
                </w:p>
              </w:txbxContent>
            </v:textbox>
            <w10:wrap type="none"/>
          </v:shape>
        </w:pict>
      </w:r>
    </w:p>
    <w:p>
      <w:pPr>
        <w:pStyle w:val="BodyText"/>
        <w:rPr>
          <w:sz w:val="18"/>
        </w:rPr>
      </w:pPr>
    </w:p>
    <w:p>
      <w:pPr>
        <w:tabs>
          <w:tab w:pos="555" w:val="left" w:leader="none"/>
          <w:tab w:pos="915" w:val="left" w:leader="none"/>
          <w:tab w:pos="5037" w:val="left" w:leader="none"/>
        </w:tabs>
        <w:spacing w:before="131"/>
        <w:ind w:left="167" w:right="0" w:firstLine="0"/>
        <w:jc w:val="left"/>
        <w:rPr>
          <w:b/>
          <w:sz w:val="18"/>
        </w:rPr>
      </w:pPr>
      <w:r>
        <w:rPr>
          <w:b/>
          <w:color w:val="FFFFFF"/>
          <w:sz w:val="18"/>
          <w:shd w:fill="1F3864" w:color="auto" w:val="clear"/>
        </w:rPr>
        <w:t> </w:t>
        <w:tab/>
        <w:t>3.</w:t>
        <w:tab/>
        <w:t>Design of information devices and</w:t>
      </w:r>
      <w:r>
        <w:rPr>
          <w:b/>
          <w:color w:val="FFFFFF"/>
          <w:spacing w:val="-32"/>
          <w:sz w:val="18"/>
          <w:shd w:fill="1F3864" w:color="auto" w:val="clear"/>
        </w:rPr>
        <w:t> </w:t>
      </w:r>
      <w:r>
        <w:rPr>
          <w:b/>
          <w:color w:val="FFFFFF"/>
          <w:sz w:val="18"/>
          <w:shd w:fill="1F3864" w:color="auto" w:val="clear"/>
        </w:rPr>
        <w:t>controls</w:t>
        <w:tab/>
      </w:r>
    </w:p>
    <w:p>
      <w:pPr>
        <w:pStyle w:val="ListParagraph"/>
        <w:numPr>
          <w:ilvl w:val="0"/>
          <w:numId w:val="12"/>
        </w:numPr>
        <w:tabs>
          <w:tab w:pos="976" w:val="left" w:leader="none"/>
        </w:tabs>
        <w:spacing w:line="240" w:lineRule="auto" w:before="9" w:after="0"/>
        <w:ind w:left="975" w:right="0" w:hanging="307"/>
        <w:jc w:val="left"/>
        <w:rPr>
          <w:sz w:val="18"/>
        </w:rPr>
      </w:pPr>
      <w:r>
        <w:rPr/>
        <w:drawing>
          <wp:anchor distT="0" distB="0" distL="0" distR="0" allowOverlap="1" layoutInCell="1" locked="0" behindDoc="1" simplePos="0" relativeHeight="267557951">
            <wp:simplePos x="0" y="0"/>
            <wp:positionH relativeFrom="page">
              <wp:posOffset>474726</wp:posOffset>
            </wp:positionH>
            <wp:positionV relativeFrom="paragraph">
              <wp:posOffset>6506</wp:posOffset>
            </wp:positionV>
            <wp:extent cx="3092196" cy="269748"/>
            <wp:effectExtent l="0" t="0" r="0" b="0"/>
            <wp:wrapNone/>
            <wp:docPr id="5" name="image3.png" descr=""/>
            <wp:cNvGraphicFramePr>
              <a:graphicFrameLocks noChangeAspect="1"/>
            </wp:cNvGraphicFramePr>
            <a:graphic>
              <a:graphicData uri="http://schemas.openxmlformats.org/drawingml/2006/picture">
                <pic:pic>
                  <pic:nvPicPr>
                    <pic:cNvPr id="6" name="image3.png"/>
                    <pic:cNvPicPr/>
                  </pic:nvPicPr>
                  <pic:blipFill>
                    <a:blip r:embed="rId20" cstate="print"/>
                    <a:stretch>
                      <a:fillRect/>
                    </a:stretch>
                  </pic:blipFill>
                  <pic:spPr>
                    <a:xfrm>
                      <a:off x="0" y="0"/>
                      <a:ext cx="3092196" cy="269748"/>
                    </a:xfrm>
                    <a:prstGeom prst="rect">
                      <a:avLst/>
                    </a:prstGeom>
                  </pic:spPr>
                </pic:pic>
              </a:graphicData>
            </a:graphic>
          </wp:anchor>
        </w:drawing>
      </w:r>
      <w:r>
        <w:rPr>
          <w:sz w:val="18"/>
        </w:rPr>
        <w:t>Information</w:t>
      </w:r>
      <w:r>
        <w:rPr>
          <w:spacing w:val="-2"/>
          <w:sz w:val="18"/>
        </w:rPr>
        <w:t> </w:t>
      </w:r>
      <w:r>
        <w:rPr>
          <w:sz w:val="18"/>
        </w:rPr>
        <w:t>devices</w:t>
      </w:r>
    </w:p>
    <w:p>
      <w:pPr>
        <w:pStyle w:val="ListParagraph"/>
        <w:numPr>
          <w:ilvl w:val="0"/>
          <w:numId w:val="12"/>
        </w:numPr>
        <w:tabs>
          <w:tab w:pos="976" w:val="left" w:leader="none"/>
        </w:tabs>
        <w:spacing w:line="240" w:lineRule="auto" w:before="10" w:after="0"/>
        <w:ind w:left="975" w:right="0" w:hanging="307"/>
        <w:jc w:val="left"/>
        <w:rPr>
          <w:sz w:val="18"/>
        </w:rPr>
      </w:pPr>
      <w:r>
        <w:rPr>
          <w:sz w:val="18"/>
        </w:rPr>
        <w:t>Controls</w:t>
      </w:r>
    </w:p>
    <w:p>
      <w:pPr>
        <w:pStyle w:val="BodyText"/>
        <w:spacing w:before="6"/>
        <w:rPr>
          <w:sz w:val="18"/>
        </w:rPr>
      </w:pPr>
    </w:p>
    <w:p>
      <w:pPr>
        <w:pStyle w:val="ListParagraph"/>
        <w:numPr>
          <w:ilvl w:val="0"/>
          <w:numId w:val="10"/>
        </w:numPr>
        <w:tabs>
          <w:tab w:pos="630" w:val="left" w:leader="none"/>
          <w:tab w:pos="631" w:val="left" w:leader="none"/>
        </w:tabs>
        <w:spacing w:line="240" w:lineRule="auto" w:before="0" w:after="0"/>
        <w:ind w:left="630" w:right="1" w:hanging="360"/>
        <w:jc w:val="left"/>
        <w:rPr>
          <w:sz w:val="18"/>
        </w:rPr>
      </w:pPr>
      <w:r>
        <w:rPr>
          <w:sz w:val="18"/>
        </w:rPr>
        <w:t>Collection of data for analysis and integrated into an Excel database.</w:t>
      </w:r>
    </w:p>
    <w:p>
      <w:pPr>
        <w:pStyle w:val="ListParagraph"/>
        <w:numPr>
          <w:ilvl w:val="0"/>
          <w:numId w:val="10"/>
        </w:numPr>
        <w:tabs>
          <w:tab w:pos="630" w:val="left" w:leader="none"/>
          <w:tab w:pos="631" w:val="left" w:leader="none"/>
        </w:tabs>
        <w:spacing w:line="240" w:lineRule="auto" w:before="0" w:after="0"/>
        <w:ind w:left="630" w:right="0" w:hanging="360"/>
        <w:jc w:val="left"/>
        <w:rPr>
          <w:sz w:val="18"/>
        </w:rPr>
      </w:pPr>
      <w:r>
        <w:rPr>
          <w:sz w:val="18"/>
        </w:rPr>
        <w:t>It was achieved a descriptive analysis of the current situation  of the sector and its</w:t>
      </w:r>
      <w:r>
        <w:rPr>
          <w:spacing w:val="-10"/>
          <w:sz w:val="18"/>
        </w:rPr>
        <w:t> </w:t>
      </w:r>
      <w:r>
        <w:rPr>
          <w:sz w:val="18"/>
        </w:rPr>
        <w:t>interpretation.</w:t>
      </w:r>
    </w:p>
    <w:p>
      <w:pPr>
        <w:pStyle w:val="BodyText"/>
        <w:spacing w:before="3"/>
        <w:rPr>
          <w:sz w:val="18"/>
        </w:rPr>
      </w:pPr>
    </w:p>
    <w:p>
      <w:pPr>
        <w:pStyle w:val="ListParagraph"/>
        <w:numPr>
          <w:ilvl w:val="0"/>
          <w:numId w:val="10"/>
        </w:numPr>
        <w:tabs>
          <w:tab w:pos="628" w:val="left" w:leader="none"/>
          <w:tab w:pos="629" w:val="left" w:leader="none"/>
        </w:tabs>
        <w:spacing w:line="205" w:lineRule="exact" w:before="0" w:after="0"/>
        <w:ind w:left="628" w:right="0" w:hanging="358"/>
        <w:jc w:val="left"/>
        <w:rPr>
          <w:b/>
          <w:sz w:val="18"/>
        </w:rPr>
      </w:pPr>
      <w:r>
        <w:rPr>
          <w:b/>
          <w:sz w:val="18"/>
        </w:rPr>
        <w:t>RESULTS</w:t>
      </w:r>
    </w:p>
    <w:p>
      <w:pPr>
        <w:spacing w:line="240" w:lineRule="auto" w:before="0"/>
        <w:ind w:left="270" w:right="1" w:firstLine="0"/>
        <w:jc w:val="both"/>
        <w:rPr>
          <w:sz w:val="18"/>
        </w:rPr>
      </w:pPr>
      <w:r>
        <w:rPr>
          <w:sz w:val="18"/>
        </w:rPr>
        <w:t>From the data and information obtained from the situation of the metal-mechanic sector the following results were obtained:</w:t>
      </w:r>
    </w:p>
    <w:p>
      <w:pPr>
        <w:pStyle w:val="BodyText"/>
        <w:spacing w:before="3"/>
        <w:rPr>
          <w:sz w:val="18"/>
        </w:rPr>
      </w:pPr>
    </w:p>
    <w:p>
      <w:pPr>
        <w:spacing w:before="0"/>
        <w:ind w:left="270" w:right="0" w:firstLine="0"/>
        <w:jc w:val="left"/>
        <w:rPr>
          <w:b/>
          <w:sz w:val="18"/>
        </w:rPr>
      </w:pPr>
      <w:r>
        <w:rPr>
          <w:b/>
          <w:sz w:val="18"/>
        </w:rPr>
        <w:t>4.1   Overall results</w:t>
      </w:r>
    </w:p>
    <w:p>
      <w:pPr>
        <w:pStyle w:val="BodyText"/>
        <w:spacing w:before="7"/>
        <w:rPr>
          <w:b/>
          <w:sz w:val="17"/>
        </w:rPr>
      </w:pPr>
    </w:p>
    <w:p>
      <w:pPr>
        <w:spacing w:before="1"/>
        <w:ind w:left="270" w:right="0" w:firstLine="0"/>
        <w:jc w:val="both"/>
        <w:rPr>
          <w:sz w:val="18"/>
        </w:rPr>
      </w:pPr>
      <w:r>
        <w:rPr/>
        <w:drawing>
          <wp:anchor distT="0" distB="0" distL="0" distR="0" allowOverlap="1" layoutInCell="1" locked="0" behindDoc="0" simplePos="0" relativeHeight="1288">
            <wp:simplePos x="0" y="0"/>
            <wp:positionH relativeFrom="page">
              <wp:posOffset>607104</wp:posOffset>
            </wp:positionH>
            <wp:positionV relativeFrom="paragraph">
              <wp:posOffset>1112213</wp:posOffset>
            </wp:positionV>
            <wp:extent cx="3000413" cy="2585885"/>
            <wp:effectExtent l="0" t="0" r="0" b="0"/>
            <wp:wrapNone/>
            <wp:docPr id="7" name="image4.png" descr=""/>
            <wp:cNvGraphicFramePr>
              <a:graphicFrameLocks noChangeAspect="1"/>
            </wp:cNvGraphicFramePr>
            <a:graphic>
              <a:graphicData uri="http://schemas.openxmlformats.org/drawingml/2006/picture">
                <pic:pic>
                  <pic:nvPicPr>
                    <pic:cNvPr id="8" name="image4.png"/>
                    <pic:cNvPicPr/>
                  </pic:nvPicPr>
                  <pic:blipFill>
                    <a:blip r:embed="rId21" cstate="print"/>
                    <a:stretch>
                      <a:fillRect/>
                    </a:stretch>
                  </pic:blipFill>
                  <pic:spPr>
                    <a:xfrm>
                      <a:off x="0" y="0"/>
                      <a:ext cx="3000413" cy="2585885"/>
                    </a:xfrm>
                    <a:prstGeom prst="rect">
                      <a:avLst/>
                    </a:prstGeom>
                  </pic:spPr>
                </pic:pic>
              </a:graphicData>
            </a:graphic>
          </wp:anchor>
        </w:drawing>
      </w:r>
      <w:r>
        <w:rPr/>
        <w:pict>
          <v:shape style="position:absolute;margin-left:83.940231pt;margin-top:96.715965pt;width:165.6pt;height:9.85pt;mso-position-horizontal-relative:page;mso-position-vertical-relative:paragraph;z-index:1336" type="#_x0000_t202" filled="false" stroked="false">
            <v:textbox inset="0,0,0,0">
              <w:txbxContent>
                <w:p>
                  <w:pPr>
                    <w:spacing w:line="197" w:lineRule="exact" w:before="0"/>
                    <w:ind w:left="0" w:right="0" w:firstLine="0"/>
                    <w:jc w:val="left"/>
                    <w:rPr>
                      <w:b/>
                      <w:sz w:val="19"/>
                    </w:rPr>
                  </w:pPr>
                  <w:r>
                    <w:rPr>
                      <w:b/>
                      <w:spacing w:val="-4"/>
                      <w:w w:val="105"/>
                      <w:sz w:val="19"/>
                    </w:rPr>
                    <w:t>Overall </w:t>
                  </w:r>
                  <w:r>
                    <w:rPr>
                      <w:b/>
                      <w:w w:val="105"/>
                      <w:sz w:val="19"/>
                    </w:rPr>
                    <w:t>percentages </w:t>
                  </w:r>
                  <w:r>
                    <w:rPr>
                      <w:b/>
                      <w:spacing w:val="-4"/>
                      <w:w w:val="105"/>
                      <w:sz w:val="19"/>
                    </w:rPr>
                    <w:t>of </w:t>
                  </w:r>
                  <w:r>
                    <w:rPr>
                      <w:b/>
                      <w:spacing w:val="-3"/>
                      <w:w w:val="105"/>
                      <w:sz w:val="19"/>
                    </w:rPr>
                    <w:t>accomplishment</w:t>
                  </w:r>
                </w:p>
              </w:txbxContent>
            </v:textbox>
            <w10:wrap type="none"/>
          </v:shape>
        </w:pict>
      </w:r>
      <w:r>
        <w:rPr/>
        <w:pict>
          <v:shape style="position:absolute;margin-left:68.698647pt;margin-top:128.812408pt;width:14.7pt;height:9.85pt;mso-position-horizontal-relative:page;mso-position-vertical-relative:paragraph;z-index:1360" type="#_x0000_t202" filled="false" stroked="false">
            <v:textbox inset="0,0,0,0">
              <w:txbxContent>
                <w:p>
                  <w:pPr>
                    <w:spacing w:line="197" w:lineRule="exact" w:before="0"/>
                    <w:ind w:left="0" w:right="-11" w:firstLine="0"/>
                    <w:jc w:val="left"/>
                    <w:rPr>
                      <w:sz w:val="19"/>
                    </w:rPr>
                  </w:pPr>
                  <w:r>
                    <w:rPr>
                      <w:sz w:val="19"/>
                    </w:rPr>
                    <w:t>100</w:t>
                  </w:r>
                </w:p>
              </w:txbxContent>
            </v:textbox>
            <w10:wrap type="none"/>
          </v:shape>
        </w:pict>
      </w:r>
      <w:r>
        <w:rPr/>
        <w:pict>
          <v:shape style="position:absolute;margin-left:73.739021pt;margin-top:152.992737pt;width:10.6pt;height:9.85pt;mso-position-horizontal-relative:page;mso-position-vertical-relative:paragraph;z-index:1384" type="#_x0000_t202" filled="false" stroked="false">
            <v:textbox inset="0,0,0,0">
              <w:txbxContent>
                <w:p>
                  <w:pPr>
                    <w:spacing w:line="197" w:lineRule="exact" w:before="0"/>
                    <w:ind w:left="0" w:right="0" w:firstLine="0"/>
                    <w:jc w:val="left"/>
                    <w:rPr>
                      <w:sz w:val="19"/>
                    </w:rPr>
                  </w:pPr>
                  <w:r>
                    <w:rPr>
                      <w:sz w:val="19"/>
                    </w:rPr>
                    <w:t>80</w:t>
                  </w:r>
                </w:p>
              </w:txbxContent>
            </v:textbox>
            <w10:wrap type="none"/>
          </v:shape>
        </w:pict>
      </w:r>
      <w:r>
        <w:rPr/>
        <w:pict>
          <v:shape style="position:absolute;margin-left:91.860001pt;margin-top:149.934769pt;width:120.4pt;height:24.4pt;mso-position-horizontal-relative:page;mso-position-vertical-relative:paragraph;z-index:1408" type="#_x0000_t202" filled="false" stroked="false">
            <v:textbox inset="0,0,0,0">
              <w:txbxContent>
                <w:p>
                  <w:pPr>
                    <w:tabs>
                      <w:tab w:pos="1587" w:val="left" w:leader="none"/>
                      <w:tab w:pos="2407" w:val="left" w:leader="none"/>
                    </w:tabs>
                    <w:spacing w:line="199" w:lineRule="exact" w:before="0"/>
                    <w:ind w:left="0" w:right="0" w:firstLine="0"/>
                    <w:jc w:val="left"/>
                    <w:rPr>
                      <w:sz w:val="19"/>
                    </w:rPr>
                  </w:pPr>
                  <w:r>
                    <w:rPr>
                      <w:w w:val="103"/>
                      <w:sz w:val="19"/>
                      <w:u w:val="single" w:color="D8D8D8"/>
                    </w:rPr>
                    <w:t> </w:t>
                  </w:r>
                  <w:r>
                    <w:rPr>
                      <w:sz w:val="19"/>
                      <w:u w:val="single" w:color="D8D8D8"/>
                    </w:rPr>
                    <w:tab/>
                  </w:r>
                  <w:r>
                    <w:rPr>
                      <w:spacing w:val="-5"/>
                      <w:w w:val="105"/>
                      <w:sz w:val="19"/>
                      <w:u w:val="single" w:color="D8D8D8"/>
                    </w:rPr>
                    <w:t>74</w:t>
                  </w:r>
                  <w:r>
                    <w:rPr>
                      <w:spacing w:val="-5"/>
                      <w:sz w:val="19"/>
                      <w:u w:val="single" w:color="D8D8D8"/>
                    </w:rPr>
                    <w:tab/>
                  </w:r>
                </w:p>
                <w:p>
                  <w:pPr>
                    <w:spacing w:line="216" w:lineRule="exact" w:before="72"/>
                    <w:ind w:left="660" w:right="0" w:firstLine="0"/>
                    <w:jc w:val="left"/>
                    <w:rPr>
                      <w:sz w:val="19"/>
                    </w:rPr>
                  </w:pPr>
                  <w:r>
                    <w:rPr>
                      <w:w w:val="105"/>
                      <w:sz w:val="19"/>
                    </w:rPr>
                    <w:t>62</w:t>
                  </w:r>
                </w:p>
              </w:txbxContent>
            </v:textbox>
            <w10:wrap type="none"/>
          </v:shape>
        </w:pict>
      </w:r>
      <w:r>
        <w:rPr/>
        <w:pict>
          <v:shape style="position:absolute;margin-left:224.100006pt;margin-top:146.191238pt;width:56.25pt;height:23.1pt;mso-position-horizontal-relative:page;mso-position-vertical-relative:paragraph;z-index:1432" type="#_x0000_t202" filled="false" stroked="false">
            <v:textbox inset="0,0,0,0">
              <w:txbxContent>
                <w:p>
                  <w:pPr>
                    <w:spacing w:line="138" w:lineRule="exact" w:before="0"/>
                    <w:ind w:left="29" w:right="0" w:firstLine="0"/>
                    <w:jc w:val="left"/>
                    <w:rPr>
                      <w:sz w:val="13"/>
                    </w:rPr>
                  </w:pPr>
                  <w:r>
                    <w:rPr>
                      <w:w w:val="105"/>
                      <w:sz w:val="13"/>
                    </w:rPr>
                    <w:t>Desing of</w:t>
                  </w:r>
                </w:p>
                <w:p>
                  <w:pPr>
                    <w:spacing w:line="261" w:lineRule="auto" w:before="12"/>
                    <w:ind w:left="0" w:right="0" w:firstLine="0"/>
                    <w:jc w:val="left"/>
                    <w:rPr>
                      <w:sz w:val="13"/>
                    </w:rPr>
                  </w:pPr>
                  <w:r>
                    <w:rPr>
                      <w:w w:val="105"/>
                      <w:sz w:val="13"/>
                    </w:rPr>
                    <w:t>information devices and controls</w:t>
                  </w:r>
                </w:p>
              </w:txbxContent>
            </v:textbox>
            <w10:wrap type="none"/>
          </v:shape>
        </w:pict>
      </w:r>
      <w:r>
        <w:rPr/>
        <w:pict>
          <v:shape style="position:absolute;margin-left:54.284622pt;margin-top:136.422256pt;width:11.85pt;height:124.4pt;mso-position-horizontal-relative:page;mso-position-vertical-relative:paragraph;z-index:1480" type="#_x0000_t202" filled="false" stroked="false">
            <v:textbox inset="0,0,0,0" style="layout-flow:vertical;mso-layout-flow-alt:bottom-to-top">
              <w:txbxContent>
                <w:p>
                  <w:pPr>
                    <w:spacing w:before="0"/>
                    <w:ind w:left="20" w:right="0" w:firstLine="0"/>
                    <w:jc w:val="left"/>
                    <w:rPr>
                      <w:sz w:val="19"/>
                    </w:rPr>
                  </w:pPr>
                  <w:r>
                    <w:rPr>
                      <w:spacing w:val="-3"/>
                      <w:w w:val="103"/>
                      <w:sz w:val="19"/>
                    </w:rPr>
                    <w:t>P</w:t>
                  </w:r>
                  <w:r>
                    <w:rPr>
                      <w:spacing w:val="2"/>
                      <w:w w:val="103"/>
                      <w:sz w:val="19"/>
                    </w:rPr>
                    <w:t>e</w:t>
                  </w:r>
                  <w:r>
                    <w:rPr>
                      <w:spacing w:val="-5"/>
                      <w:w w:val="103"/>
                      <w:sz w:val="19"/>
                    </w:rPr>
                    <w:t>r</w:t>
                  </w:r>
                  <w:r>
                    <w:rPr>
                      <w:spacing w:val="3"/>
                      <w:w w:val="103"/>
                      <w:sz w:val="19"/>
                    </w:rPr>
                    <w:t>c</w:t>
                  </w:r>
                  <w:r>
                    <w:rPr>
                      <w:spacing w:val="2"/>
                      <w:w w:val="103"/>
                      <w:sz w:val="19"/>
                    </w:rPr>
                    <w:t>e</w:t>
                  </w:r>
                  <w:r>
                    <w:rPr>
                      <w:spacing w:val="8"/>
                      <w:w w:val="103"/>
                      <w:sz w:val="19"/>
                    </w:rPr>
                    <w:t>n</w:t>
                  </w:r>
                  <w:r>
                    <w:rPr>
                      <w:spacing w:val="5"/>
                      <w:w w:val="103"/>
                      <w:sz w:val="19"/>
                    </w:rPr>
                    <w:t>t</w:t>
                  </w:r>
                  <w:r>
                    <w:rPr>
                      <w:spacing w:val="3"/>
                      <w:w w:val="103"/>
                      <w:sz w:val="19"/>
                    </w:rPr>
                    <w:t>a</w:t>
                  </w:r>
                  <w:r>
                    <w:rPr>
                      <w:spacing w:val="7"/>
                      <w:w w:val="103"/>
                      <w:sz w:val="19"/>
                    </w:rPr>
                    <w:t>g</w:t>
                  </w:r>
                  <w:r>
                    <w:rPr>
                      <w:w w:val="103"/>
                      <w:sz w:val="19"/>
                    </w:rPr>
                    <w:t>e</w:t>
                  </w:r>
                  <w:r>
                    <w:rPr>
                      <w:spacing w:val="1"/>
                      <w:sz w:val="19"/>
                    </w:rPr>
                    <w:t> </w:t>
                  </w:r>
                  <w:r>
                    <w:rPr>
                      <w:spacing w:val="7"/>
                      <w:w w:val="103"/>
                      <w:sz w:val="19"/>
                    </w:rPr>
                    <w:t>o</w:t>
                  </w:r>
                  <w:r>
                    <w:rPr>
                      <w:w w:val="103"/>
                      <w:sz w:val="19"/>
                    </w:rPr>
                    <w:t>f</w:t>
                  </w:r>
                  <w:r>
                    <w:rPr>
                      <w:spacing w:val="-8"/>
                      <w:sz w:val="19"/>
                    </w:rPr>
                    <w:t> </w:t>
                  </w:r>
                  <w:r>
                    <w:rPr>
                      <w:spacing w:val="3"/>
                      <w:w w:val="103"/>
                      <w:sz w:val="19"/>
                    </w:rPr>
                    <w:t>ac</w:t>
                  </w:r>
                  <w:r>
                    <w:rPr>
                      <w:spacing w:val="2"/>
                      <w:w w:val="103"/>
                      <w:sz w:val="19"/>
                    </w:rPr>
                    <w:t>c</w:t>
                  </w:r>
                  <w:r>
                    <w:rPr>
                      <w:spacing w:val="8"/>
                      <w:w w:val="103"/>
                      <w:sz w:val="19"/>
                    </w:rPr>
                    <w:t>o</w:t>
                  </w:r>
                  <w:r>
                    <w:rPr>
                      <w:spacing w:val="-18"/>
                      <w:w w:val="103"/>
                      <w:sz w:val="19"/>
                    </w:rPr>
                    <w:t>m</w:t>
                  </w:r>
                  <w:r>
                    <w:rPr>
                      <w:spacing w:val="7"/>
                      <w:w w:val="103"/>
                      <w:sz w:val="19"/>
                    </w:rPr>
                    <w:t>p</w:t>
                  </w:r>
                  <w:r>
                    <w:rPr>
                      <w:spacing w:val="-10"/>
                      <w:w w:val="103"/>
                      <w:sz w:val="19"/>
                    </w:rPr>
                    <w:t>li</w:t>
                  </w:r>
                  <w:r>
                    <w:rPr>
                      <w:spacing w:val="14"/>
                      <w:w w:val="103"/>
                      <w:sz w:val="19"/>
                    </w:rPr>
                    <w:t>s</w:t>
                  </w:r>
                  <w:r>
                    <w:rPr>
                      <w:spacing w:val="7"/>
                      <w:w w:val="103"/>
                      <w:sz w:val="19"/>
                    </w:rPr>
                    <w:t>h</w:t>
                  </w:r>
                  <w:r>
                    <w:rPr>
                      <w:spacing w:val="-17"/>
                      <w:w w:val="103"/>
                      <w:sz w:val="19"/>
                    </w:rPr>
                    <w:t>m</w:t>
                  </w:r>
                  <w:r>
                    <w:rPr>
                      <w:spacing w:val="2"/>
                      <w:w w:val="103"/>
                      <w:sz w:val="19"/>
                    </w:rPr>
                    <w:t>e</w:t>
                  </w:r>
                  <w:r>
                    <w:rPr>
                      <w:spacing w:val="8"/>
                      <w:w w:val="103"/>
                      <w:sz w:val="19"/>
                    </w:rPr>
                    <w:t>n</w:t>
                  </w:r>
                  <w:r>
                    <w:rPr>
                      <w:w w:val="103"/>
                      <w:sz w:val="19"/>
                    </w:rPr>
                    <w:t>t</w:t>
                  </w:r>
                </w:p>
              </w:txbxContent>
            </v:textbox>
            <w10:wrap type="none"/>
          </v:shape>
        </w:pict>
      </w:r>
      <w:r>
        <w:rPr>
          <w:sz w:val="18"/>
        </w:rPr>
        <w:t>In Figure 3 you can see the overall results for the sector. Once evaluated two blocks, you can see that the group of aspects less compliant is design considering the dimensions of the body and the mechanical behavior of the human body with 62% of correct answers, and followed another block design of device information and controls with 74%. The percentage of compliance altogether was 68% for the sector.</w:t>
      </w:r>
    </w:p>
    <w:p>
      <w:pPr>
        <w:spacing w:before="77"/>
        <w:ind w:left="167" w:right="676" w:firstLine="0"/>
        <w:jc w:val="both"/>
        <w:rPr>
          <w:sz w:val="18"/>
        </w:rPr>
      </w:pPr>
      <w:r>
        <w:rPr/>
        <w:br w:type="column"/>
      </w:r>
      <w:r>
        <w:rPr>
          <w:sz w:val="18"/>
        </w:rPr>
        <w:t>The companies under study presented in general good condition with respect to the design of the machines as shown in Figure 3. It was noted that in 89% of the machines used is at the required height for the worker and for activity, similar to the space provided for arms and feet is necessary with an 84% and 100% of correct dimensions respectively where the worker is free to approaching the machine unless the machine prevents the movements in the limbs of the operator. As to the distance between the machine and other elements of the environment it was obtained that 79% of the machines is at the right distance and they allow the movement of the operator without any problem, this is one of the characteristics of body dimensions that can be improved since it has 21% of machines with a distance distributed</w:t>
      </w:r>
      <w:r>
        <w:rPr>
          <w:spacing w:val="-14"/>
          <w:sz w:val="18"/>
        </w:rPr>
        <w:t> </w:t>
      </w:r>
      <w:r>
        <w:rPr>
          <w:sz w:val="18"/>
        </w:rPr>
        <w:t>incorrectly.</w:t>
      </w:r>
    </w:p>
    <w:p>
      <w:pPr>
        <w:spacing w:line="206" w:lineRule="exact" w:before="0"/>
        <w:ind w:left="598" w:right="0" w:firstLine="0"/>
        <w:jc w:val="left"/>
        <w:rPr>
          <w:sz w:val="18"/>
        </w:rPr>
      </w:pPr>
      <w:r>
        <w:rPr>
          <w:sz w:val="18"/>
        </w:rPr>
        <w:t>The body dimensions have an 80.66% compliance average.</w:t>
      </w:r>
    </w:p>
    <w:p>
      <w:pPr>
        <w:pStyle w:val="BodyText"/>
        <w:spacing w:before="3"/>
        <w:rPr>
          <w:sz w:val="15"/>
        </w:rPr>
      </w:pPr>
      <w:r>
        <w:rPr/>
        <w:drawing>
          <wp:anchor distT="0" distB="0" distL="0" distR="0" allowOverlap="1" layoutInCell="1" locked="0" behindDoc="0" simplePos="0" relativeHeight="1264">
            <wp:simplePos x="0" y="0"/>
            <wp:positionH relativeFrom="page">
              <wp:posOffset>4111752</wp:posOffset>
            </wp:positionH>
            <wp:positionV relativeFrom="paragraph">
              <wp:posOffset>136815</wp:posOffset>
            </wp:positionV>
            <wp:extent cx="3109145" cy="3186112"/>
            <wp:effectExtent l="0" t="0" r="0" b="0"/>
            <wp:wrapTopAndBottom/>
            <wp:docPr id="9" name="image5.png" descr=""/>
            <wp:cNvGraphicFramePr>
              <a:graphicFrameLocks noChangeAspect="1"/>
            </wp:cNvGraphicFramePr>
            <a:graphic>
              <a:graphicData uri="http://schemas.openxmlformats.org/drawingml/2006/picture">
                <pic:pic>
                  <pic:nvPicPr>
                    <pic:cNvPr id="10" name="image5.png"/>
                    <pic:cNvPicPr/>
                  </pic:nvPicPr>
                  <pic:blipFill>
                    <a:blip r:embed="rId22" cstate="print"/>
                    <a:stretch>
                      <a:fillRect/>
                    </a:stretch>
                  </pic:blipFill>
                  <pic:spPr>
                    <a:xfrm>
                      <a:off x="0" y="0"/>
                      <a:ext cx="3109145" cy="3186112"/>
                    </a:xfrm>
                    <a:prstGeom prst="rect">
                      <a:avLst/>
                    </a:prstGeom>
                  </pic:spPr>
                </pic:pic>
              </a:graphicData>
            </a:graphic>
          </wp:anchor>
        </w:drawing>
      </w:r>
    </w:p>
    <w:p>
      <w:pPr>
        <w:pStyle w:val="BodyText"/>
        <w:rPr>
          <w:sz w:val="18"/>
        </w:rPr>
      </w:pPr>
    </w:p>
    <w:p>
      <w:pPr>
        <w:pStyle w:val="BodyText"/>
        <w:rPr>
          <w:sz w:val="15"/>
        </w:rPr>
      </w:pPr>
    </w:p>
    <w:p>
      <w:pPr>
        <w:spacing w:before="0"/>
        <w:ind w:left="1624" w:right="0" w:firstLine="0"/>
        <w:jc w:val="left"/>
        <w:rPr>
          <w:sz w:val="18"/>
        </w:rPr>
      </w:pPr>
      <w:r>
        <w:rPr>
          <w:sz w:val="18"/>
        </w:rPr>
        <w:t>Figure 4. Body dimensions</w:t>
      </w:r>
    </w:p>
    <w:p>
      <w:pPr>
        <w:pStyle w:val="BodyText"/>
        <w:rPr>
          <w:sz w:val="18"/>
        </w:rPr>
      </w:pPr>
    </w:p>
    <w:p>
      <w:pPr>
        <w:pStyle w:val="BodyText"/>
        <w:rPr>
          <w:sz w:val="18"/>
        </w:rPr>
      </w:pPr>
    </w:p>
    <w:p>
      <w:pPr>
        <w:pStyle w:val="ListParagraph"/>
        <w:numPr>
          <w:ilvl w:val="3"/>
          <w:numId w:val="11"/>
        </w:numPr>
        <w:tabs>
          <w:tab w:pos="876" w:val="left" w:leader="none"/>
        </w:tabs>
        <w:spacing w:line="240" w:lineRule="auto" w:before="0" w:after="0"/>
        <w:ind w:left="875" w:right="0" w:hanging="708"/>
        <w:jc w:val="both"/>
        <w:rPr>
          <w:sz w:val="18"/>
        </w:rPr>
      </w:pPr>
      <w:r>
        <w:rPr>
          <w:sz w:val="18"/>
          <w:u w:val="single"/>
        </w:rPr>
        <w:t>Postures and body</w:t>
      </w:r>
      <w:r>
        <w:rPr>
          <w:spacing w:val="-3"/>
          <w:sz w:val="18"/>
          <w:u w:val="single"/>
        </w:rPr>
        <w:t> </w:t>
      </w:r>
      <w:r>
        <w:rPr>
          <w:sz w:val="18"/>
          <w:u w:val="single"/>
        </w:rPr>
        <w:t>movement</w:t>
      </w:r>
    </w:p>
    <w:p>
      <w:pPr>
        <w:spacing w:after="0" w:line="240" w:lineRule="auto"/>
        <w:jc w:val="both"/>
        <w:rPr>
          <w:sz w:val="18"/>
        </w:rPr>
        <w:sectPr>
          <w:type w:val="continuous"/>
          <w:pgSz w:w="12240" w:h="15840"/>
          <w:pgMar w:top="1500" w:bottom="280" w:left="580" w:right="220"/>
          <w:cols w:num="2" w:equalWidth="0">
            <w:col w:w="5189" w:space="539"/>
            <w:col w:w="5712"/>
          </w:cols>
        </w:sectPr>
      </w:pPr>
    </w:p>
    <w:p>
      <w:pPr>
        <w:pStyle w:val="BodyText"/>
        <w:rPr>
          <w:sz w:val="11"/>
        </w:rPr>
      </w:pPr>
    </w:p>
    <w:p>
      <w:pPr>
        <w:spacing w:after="0"/>
        <w:rPr>
          <w:sz w:val="11"/>
        </w:rPr>
        <w:sectPr>
          <w:pgSz w:w="12240" w:h="15840"/>
          <w:pgMar w:header="545" w:footer="852" w:top="1060" w:bottom="1040" w:left="580" w:right="220"/>
        </w:sectPr>
      </w:pPr>
    </w:p>
    <w:p>
      <w:pPr>
        <w:spacing w:before="77"/>
        <w:ind w:left="270" w:right="0" w:firstLine="0"/>
        <w:jc w:val="both"/>
        <w:rPr>
          <w:sz w:val="18"/>
        </w:rPr>
      </w:pPr>
      <w:r>
        <w:rPr>
          <w:sz w:val="18"/>
        </w:rPr>
        <w:t>They were discussed all those postures and motions adopted during the use of the equipment evaluating the different body segments.</w:t>
      </w:r>
    </w:p>
    <w:p>
      <w:pPr>
        <w:spacing w:before="0"/>
        <w:ind w:left="270" w:right="0" w:firstLine="430"/>
        <w:jc w:val="both"/>
        <w:rPr>
          <w:sz w:val="18"/>
        </w:rPr>
      </w:pPr>
      <w:r>
        <w:rPr>
          <w:sz w:val="18"/>
        </w:rPr>
        <w:t>It was noted that during the development of the activities of the operators in the positions of head and neck and elbow had good results with 73.68% and 94.73% respectively since have good positions at the time of performing their work, and with 26.31% on trunk and arms being the positions of greater risk for the operators and may cause injuries musculoskeletal, as shown in Figure 5 with the lowest percentage of compliance aspects are trunk, arms, wrist and legs with 26.31%, 26.31% 47.36% and 31.57% respectively.</w:t>
      </w:r>
    </w:p>
    <w:p>
      <w:pPr>
        <w:spacing w:before="0"/>
        <w:ind w:left="270" w:right="0" w:firstLine="0"/>
        <w:jc w:val="both"/>
        <w:rPr>
          <w:sz w:val="18"/>
        </w:rPr>
      </w:pPr>
      <w:r>
        <w:rPr>
          <w:sz w:val="18"/>
        </w:rPr>
        <w:t>Postures and body movement have a 49.99% of average percentage altogether.</w:t>
      </w:r>
    </w:p>
    <w:p>
      <w:pPr>
        <w:pStyle w:val="BodyText"/>
        <w:rPr>
          <w:sz w:val="15"/>
        </w:rPr>
      </w:pPr>
      <w:r>
        <w:rPr/>
        <w:drawing>
          <wp:anchor distT="0" distB="0" distL="0" distR="0" allowOverlap="1" layoutInCell="1" locked="0" behindDoc="0" simplePos="0" relativeHeight="1528">
            <wp:simplePos x="0" y="0"/>
            <wp:positionH relativeFrom="page">
              <wp:posOffset>539495</wp:posOffset>
            </wp:positionH>
            <wp:positionV relativeFrom="paragraph">
              <wp:posOffset>134529</wp:posOffset>
            </wp:positionV>
            <wp:extent cx="3051987" cy="3033712"/>
            <wp:effectExtent l="0" t="0" r="0" b="0"/>
            <wp:wrapTopAndBottom/>
            <wp:docPr id="11" name="image6.png" descr=""/>
            <wp:cNvGraphicFramePr>
              <a:graphicFrameLocks noChangeAspect="1"/>
            </wp:cNvGraphicFramePr>
            <a:graphic>
              <a:graphicData uri="http://schemas.openxmlformats.org/drawingml/2006/picture">
                <pic:pic>
                  <pic:nvPicPr>
                    <pic:cNvPr id="12" name="image6.png"/>
                    <pic:cNvPicPr/>
                  </pic:nvPicPr>
                  <pic:blipFill>
                    <a:blip r:embed="rId23" cstate="print"/>
                    <a:stretch>
                      <a:fillRect/>
                    </a:stretch>
                  </pic:blipFill>
                  <pic:spPr>
                    <a:xfrm>
                      <a:off x="0" y="0"/>
                      <a:ext cx="3051987" cy="3033712"/>
                    </a:xfrm>
                    <a:prstGeom prst="rect">
                      <a:avLst/>
                    </a:prstGeom>
                  </pic:spPr>
                </pic:pic>
              </a:graphicData>
            </a:graphic>
          </wp:anchor>
        </w:drawing>
      </w:r>
    </w:p>
    <w:p>
      <w:pPr>
        <w:pStyle w:val="BodyText"/>
        <w:spacing w:before="4"/>
        <w:rPr>
          <w:sz w:val="15"/>
        </w:rPr>
      </w:pPr>
    </w:p>
    <w:p>
      <w:pPr>
        <w:spacing w:before="0"/>
        <w:ind w:left="1163" w:right="118" w:firstLine="0"/>
        <w:jc w:val="left"/>
        <w:rPr>
          <w:sz w:val="18"/>
        </w:rPr>
      </w:pPr>
      <w:r>
        <w:rPr>
          <w:sz w:val="18"/>
        </w:rPr>
        <w:t>Figure 5. Postures and corporal movements</w:t>
      </w:r>
    </w:p>
    <w:p>
      <w:pPr>
        <w:pStyle w:val="BodyText"/>
        <w:rPr>
          <w:sz w:val="18"/>
        </w:rPr>
      </w:pPr>
    </w:p>
    <w:p>
      <w:pPr>
        <w:pStyle w:val="BodyText"/>
        <w:spacing w:before="10"/>
        <w:rPr>
          <w:sz w:val="17"/>
        </w:rPr>
      </w:pPr>
    </w:p>
    <w:p>
      <w:pPr>
        <w:spacing w:before="1"/>
        <w:ind w:left="270" w:right="0" w:firstLine="0"/>
        <w:jc w:val="both"/>
        <w:rPr>
          <w:sz w:val="18"/>
        </w:rPr>
      </w:pPr>
      <w:r>
        <w:rPr>
          <w:sz w:val="18"/>
        </w:rPr>
        <w:t>4.2.1.3. </w:t>
      </w:r>
      <w:r>
        <w:rPr>
          <w:sz w:val="18"/>
          <w:u w:val="single"/>
        </w:rPr>
        <w:t>Physical effort</w:t>
      </w:r>
    </w:p>
    <w:p>
      <w:pPr>
        <w:pStyle w:val="BodyText"/>
        <w:rPr>
          <w:sz w:val="18"/>
        </w:rPr>
      </w:pPr>
    </w:p>
    <w:p>
      <w:pPr>
        <w:spacing w:before="0"/>
        <w:ind w:left="270" w:right="0" w:firstLine="0"/>
        <w:jc w:val="both"/>
        <w:rPr>
          <w:sz w:val="18"/>
        </w:rPr>
      </w:pPr>
      <w:r>
        <w:rPr>
          <w:sz w:val="18"/>
        </w:rPr>
        <w:t>This block of physical effort physical effort was applied to all tasks and/or works carried out on the equipment on a regular basis. Results thrown by the assessment are shown in Figure 6, where we can observe that in the task of lifting good results were obtained since on average weights of loads do not exceed the maximum weight recommended in the 89.47% of cases. Other factors that have to do with physical exertion are, the height of manipulation and the frequency with which they are conducted, in the 73.68% of cases the height of manipulation was within acceptable limits because not exceed 175 cm, as in the case of the lifting frequency where in the 89.47% of evaluated did not have frequencies outside of the normal. Only one of the cases shows that they were made transportation of loads between two people, where the activity exceeds the allowable limits (33 kg). In all cases the handling of loads with one hand not overstepped the limits (15 kg), featured in the 73.68% of cases it was noted that workers have technical auxiliaries such as cranes and forklift trucks for handling of loads. Transport of loads not arose in sitting posture. The manual transport of loads during the working day does not exceed the permissible limit in 100% of cases to be very sporadic uprisings or with few repetitions. As regards the pushing or pulling of loads not applied in 4 cases and 15 cases applied was obtained that the worker needs  </w:t>
      </w:r>
      <w:r>
        <w:rPr>
          <w:spacing w:val="8"/>
          <w:sz w:val="18"/>
        </w:rPr>
        <w:t> </w:t>
      </w:r>
      <w:r>
        <w:rPr>
          <w:sz w:val="18"/>
        </w:rPr>
        <w:t>to</w:t>
      </w:r>
    </w:p>
    <w:p>
      <w:pPr>
        <w:spacing w:before="77"/>
        <w:ind w:left="269" w:right="676" w:firstLine="0"/>
        <w:jc w:val="both"/>
        <w:rPr>
          <w:sz w:val="18"/>
        </w:rPr>
      </w:pPr>
      <w:r>
        <w:rPr/>
        <w:br w:type="column"/>
      </w:r>
      <w:r>
        <w:rPr>
          <w:sz w:val="18"/>
        </w:rPr>
        <w:t>perform an over-exertion in the 93.33% of cases. In the mechanical auxiliary the 94.73% of cases did not have devices that can  improve and reduce the effort in certain operations of some machines, such as for example, certain accessories, fasteners for the piece of work, support chuck lathes and welding workshops, or automated means such as automatic and robotic loading systems and download. In the precision movements that require strength didn't have the necessary conditions in the 68.42% of</w:t>
      </w:r>
      <w:r>
        <w:rPr>
          <w:spacing w:val="-14"/>
          <w:sz w:val="18"/>
        </w:rPr>
        <w:t> </w:t>
      </w:r>
      <w:r>
        <w:rPr>
          <w:sz w:val="18"/>
        </w:rPr>
        <w:t>cases.</w:t>
      </w:r>
    </w:p>
    <w:p>
      <w:pPr>
        <w:spacing w:before="0"/>
        <w:ind w:left="269" w:right="675" w:firstLine="430"/>
        <w:jc w:val="both"/>
        <w:rPr>
          <w:sz w:val="18"/>
        </w:rPr>
      </w:pPr>
      <w:r>
        <w:rPr>
          <w:sz w:val="18"/>
        </w:rPr>
        <w:t>The physical exertion obtained a 62.25% of compliance on average, where the pushing or pulling of loads and the mechanical auxiliary means obtained a 6.66% and 5.26%.</w:t>
      </w:r>
    </w:p>
    <w:p>
      <w:pPr>
        <w:pStyle w:val="BodyText"/>
        <w:spacing w:before="5"/>
        <w:rPr>
          <w:sz w:val="15"/>
        </w:rPr>
      </w:pPr>
      <w:r>
        <w:rPr/>
        <w:drawing>
          <wp:anchor distT="0" distB="0" distL="0" distR="0" allowOverlap="1" layoutInCell="1" locked="0" behindDoc="0" simplePos="0" relativeHeight="1552">
            <wp:simplePos x="0" y="0"/>
            <wp:positionH relativeFrom="page">
              <wp:posOffset>4111752</wp:posOffset>
            </wp:positionH>
            <wp:positionV relativeFrom="paragraph">
              <wp:posOffset>137574</wp:posOffset>
            </wp:positionV>
            <wp:extent cx="3096634" cy="4433887"/>
            <wp:effectExtent l="0" t="0" r="0" b="0"/>
            <wp:wrapTopAndBottom/>
            <wp:docPr id="13" name="image7.png" descr=""/>
            <wp:cNvGraphicFramePr>
              <a:graphicFrameLocks noChangeAspect="1"/>
            </wp:cNvGraphicFramePr>
            <a:graphic>
              <a:graphicData uri="http://schemas.openxmlformats.org/drawingml/2006/picture">
                <pic:pic>
                  <pic:nvPicPr>
                    <pic:cNvPr id="14" name="image7.png"/>
                    <pic:cNvPicPr/>
                  </pic:nvPicPr>
                  <pic:blipFill>
                    <a:blip r:embed="rId24" cstate="print"/>
                    <a:stretch>
                      <a:fillRect/>
                    </a:stretch>
                  </pic:blipFill>
                  <pic:spPr>
                    <a:xfrm>
                      <a:off x="0" y="0"/>
                      <a:ext cx="3096634" cy="4433887"/>
                    </a:xfrm>
                    <a:prstGeom prst="rect">
                      <a:avLst/>
                    </a:prstGeom>
                  </pic:spPr>
                </pic:pic>
              </a:graphicData>
            </a:graphic>
          </wp:anchor>
        </w:drawing>
      </w:r>
    </w:p>
    <w:p>
      <w:pPr>
        <w:pStyle w:val="BodyText"/>
        <w:rPr>
          <w:sz w:val="18"/>
        </w:rPr>
      </w:pPr>
    </w:p>
    <w:p>
      <w:pPr>
        <w:pStyle w:val="BodyText"/>
        <w:spacing w:before="2"/>
        <w:rPr>
          <w:sz w:val="15"/>
        </w:rPr>
      </w:pPr>
    </w:p>
    <w:p>
      <w:pPr>
        <w:spacing w:before="0"/>
        <w:ind w:left="1827" w:right="716" w:firstLine="0"/>
        <w:jc w:val="left"/>
        <w:rPr>
          <w:sz w:val="18"/>
        </w:rPr>
      </w:pPr>
      <w:r>
        <w:rPr>
          <w:sz w:val="18"/>
        </w:rPr>
        <w:t>Figure 6. Physical effort</w:t>
      </w:r>
    </w:p>
    <w:p>
      <w:pPr>
        <w:pStyle w:val="BodyText"/>
        <w:rPr>
          <w:sz w:val="18"/>
        </w:rPr>
      </w:pPr>
    </w:p>
    <w:p>
      <w:pPr>
        <w:pStyle w:val="BodyText"/>
        <w:spacing w:before="10"/>
        <w:rPr>
          <w:sz w:val="17"/>
        </w:rPr>
      </w:pPr>
    </w:p>
    <w:p>
      <w:pPr>
        <w:spacing w:before="1"/>
        <w:ind w:left="269" w:right="0" w:firstLine="0"/>
        <w:jc w:val="both"/>
        <w:rPr>
          <w:sz w:val="18"/>
        </w:rPr>
      </w:pPr>
      <w:r>
        <w:rPr>
          <w:sz w:val="18"/>
        </w:rPr>
        <w:t>4.2.2         </w:t>
      </w:r>
      <w:r>
        <w:rPr>
          <w:sz w:val="18"/>
          <w:u w:val="single"/>
        </w:rPr>
        <w:t>Design  of information appliances and controls.</w:t>
      </w:r>
    </w:p>
    <w:p>
      <w:pPr>
        <w:pStyle w:val="BodyText"/>
        <w:rPr>
          <w:sz w:val="18"/>
        </w:rPr>
      </w:pPr>
    </w:p>
    <w:p>
      <w:pPr>
        <w:spacing w:before="0"/>
        <w:ind w:left="269" w:right="678" w:firstLine="0"/>
        <w:jc w:val="both"/>
        <w:rPr>
          <w:sz w:val="18"/>
        </w:rPr>
      </w:pPr>
      <w:r>
        <w:rPr>
          <w:sz w:val="18"/>
        </w:rPr>
        <w:t>In this block were evaluated aspects of compliance in information and control devices from the normal working position.</w:t>
      </w:r>
    </w:p>
    <w:p>
      <w:pPr>
        <w:pStyle w:val="BodyText"/>
        <w:spacing w:before="10"/>
        <w:rPr>
          <w:sz w:val="17"/>
        </w:rPr>
      </w:pPr>
    </w:p>
    <w:p>
      <w:pPr>
        <w:spacing w:before="0"/>
        <w:ind w:left="269" w:right="0" w:firstLine="0"/>
        <w:jc w:val="both"/>
        <w:rPr>
          <w:sz w:val="18"/>
        </w:rPr>
      </w:pPr>
      <w:r>
        <w:rPr>
          <w:sz w:val="18"/>
        </w:rPr>
        <w:t>4.2.2.1 </w:t>
      </w:r>
      <w:r>
        <w:rPr>
          <w:sz w:val="18"/>
          <w:u w:val="single"/>
        </w:rPr>
        <w:t>Information appliances</w:t>
      </w:r>
    </w:p>
    <w:p>
      <w:pPr>
        <w:pStyle w:val="BodyText"/>
        <w:rPr>
          <w:sz w:val="18"/>
        </w:rPr>
      </w:pPr>
    </w:p>
    <w:p>
      <w:pPr>
        <w:spacing w:before="0"/>
        <w:ind w:left="269" w:right="676" w:firstLine="0"/>
        <w:jc w:val="both"/>
        <w:rPr>
          <w:sz w:val="18"/>
        </w:rPr>
      </w:pPr>
      <w:r>
        <w:rPr>
          <w:sz w:val="18"/>
        </w:rPr>
        <w:t>The design of information appliances evaluated that the devices were easy to detect and identify being the 63.15% of patients who met. The 78.94% of machines controls were appropriate and enabled clearly interpret the information. In the majority of cases the visual information appliances conform to stereotypes of working and the rhythm is compatible in a 73.68%.</w:t>
      </w:r>
    </w:p>
    <w:p>
      <w:pPr>
        <w:spacing w:after="0"/>
        <w:jc w:val="both"/>
        <w:rPr>
          <w:sz w:val="18"/>
        </w:rPr>
        <w:sectPr>
          <w:type w:val="continuous"/>
          <w:pgSz w:w="12240" w:h="15840"/>
          <w:pgMar w:top="1500" w:bottom="280" w:left="580" w:right="220"/>
          <w:cols w:num="2" w:equalWidth="0">
            <w:col w:w="5190" w:space="436"/>
            <w:col w:w="5814"/>
          </w:cols>
        </w:sectPr>
      </w:pPr>
    </w:p>
    <w:p>
      <w:pPr>
        <w:pStyle w:val="BodyText"/>
        <w:spacing w:before="7"/>
        <w:rPr>
          <w:sz w:val="17"/>
        </w:rPr>
      </w:pPr>
    </w:p>
    <w:p>
      <w:pPr>
        <w:spacing w:before="1"/>
        <w:ind w:left="270" w:right="0" w:firstLine="430"/>
        <w:jc w:val="both"/>
        <w:rPr>
          <w:sz w:val="18"/>
        </w:rPr>
      </w:pPr>
      <w:r>
        <w:rPr>
          <w:sz w:val="18"/>
        </w:rPr>
        <w:t>In all cases the machines did not have sound devices. It was obtained that the worker has the necessary information provided by the controls of the machine with 94.44%. Higher priority or frequency controls are placed based on their use in a 63.15%.</w:t>
      </w:r>
    </w:p>
    <w:p>
      <w:pPr>
        <w:spacing w:before="0"/>
        <w:ind w:left="270" w:right="0" w:firstLine="0"/>
        <w:jc w:val="both"/>
        <w:rPr>
          <w:sz w:val="18"/>
        </w:rPr>
      </w:pPr>
      <w:r>
        <w:rPr>
          <w:sz w:val="18"/>
        </w:rPr>
        <w:t>In the evaluation of information appliances was obtained an average compliance of 70.56%, the percentage of compliance with most corresponds to the provision of the necessary information (94.44%). In 50% of cases has considered that there is a need for some additional information device to perform the task.</w:t>
      </w:r>
    </w:p>
    <w:p>
      <w:pPr>
        <w:spacing w:before="0"/>
        <w:ind w:left="270" w:right="1" w:firstLine="0"/>
        <w:jc w:val="both"/>
        <w:rPr>
          <w:sz w:val="18"/>
        </w:rPr>
      </w:pPr>
      <w:r>
        <w:rPr>
          <w:sz w:val="18"/>
        </w:rPr>
        <w:t>In regards to information of the analyzed machines devices, on issues relating to sound devices not been considered not to be any case.</w:t>
      </w:r>
    </w:p>
    <w:p>
      <w:pPr>
        <w:pStyle w:val="BodyText"/>
        <w:spacing w:before="10" w:after="40"/>
        <w:rPr>
          <w:sz w:val="14"/>
        </w:rPr>
      </w:pPr>
      <w:r>
        <w:rPr/>
        <w:br w:type="column"/>
      </w:r>
      <w:r>
        <w:rPr>
          <w:sz w:val="14"/>
        </w:rPr>
      </w:r>
    </w:p>
    <w:p>
      <w:pPr>
        <w:pStyle w:val="BodyText"/>
        <w:ind w:left="269"/>
      </w:pPr>
      <w:r>
        <w:rPr/>
        <w:drawing>
          <wp:inline distT="0" distB="0" distL="0" distR="0">
            <wp:extent cx="3018751" cy="4284535"/>
            <wp:effectExtent l="0" t="0" r="0" b="0"/>
            <wp:docPr id="15" name="image8.png" descr=""/>
            <wp:cNvGraphicFramePr>
              <a:graphicFrameLocks noChangeAspect="1"/>
            </wp:cNvGraphicFramePr>
            <a:graphic>
              <a:graphicData uri="http://schemas.openxmlformats.org/drawingml/2006/picture">
                <pic:pic>
                  <pic:nvPicPr>
                    <pic:cNvPr id="16" name="image8.png"/>
                    <pic:cNvPicPr/>
                  </pic:nvPicPr>
                  <pic:blipFill>
                    <a:blip r:embed="rId25" cstate="print"/>
                    <a:stretch>
                      <a:fillRect/>
                    </a:stretch>
                  </pic:blipFill>
                  <pic:spPr>
                    <a:xfrm>
                      <a:off x="0" y="0"/>
                      <a:ext cx="3018751" cy="4284535"/>
                    </a:xfrm>
                    <a:prstGeom prst="rect">
                      <a:avLst/>
                    </a:prstGeom>
                  </pic:spPr>
                </pic:pic>
              </a:graphicData>
            </a:graphic>
          </wp:inline>
        </w:drawing>
      </w:r>
      <w:r>
        <w:rPr/>
      </w:r>
    </w:p>
    <w:p>
      <w:pPr>
        <w:spacing w:before="128"/>
        <w:ind w:left="1522" w:right="852" w:firstLine="0"/>
        <w:jc w:val="left"/>
        <w:rPr>
          <w:sz w:val="18"/>
        </w:rPr>
      </w:pPr>
      <w:r>
        <w:rPr>
          <w:sz w:val="18"/>
        </w:rPr>
        <w:t>Figure 8. Information appliances</w:t>
      </w:r>
    </w:p>
    <w:p>
      <w:pPr>
        <w:pStyle w:val="BodyText"/>
        <w:rPr>
          <w:sz w:val="18"/>
        </w:rPr>
      </w:pPr>
    </w:p>
    <w:p>
      <w:pPr>
        <w:pStyle w:val="BodyText"/>
        <w:rPr>
          <w:sz w:val="18"/>
        </w:rPr>
      </w:pPr>
    </w:p>
    <w:p>
      <w:pPr>
        <w:spacing w:before="0"/>
        <w:ind w:left="269" w:right="852" w:firstLine="0"/>
        <w:jc w:val="left"/>
        <w:rPr>
          <w:sz w:val="18"/>
        </w:rPr>
      </w:pPr>
      <w:r>
        <w:rPr>
          <w:sz w:val="18"/>
        </w:rPr>
        <w:t>4.2.3 </w:t>
      </w:r>
      <w:r>
        <w:rPr>
          <w:sz w:val="18"/>
          <w:u w:val="single"/>
        </w:rPr>
        <w:t>Main ergonomic problems detected in the study.</w:t>
      </w:r>
    </w:p>
    <w:p>
      <w:pPr>
        <w:spacing w:after="0"/>
        <w:jc w:val="left"/>
        <w:rPr>
          <w:sz w:val="18"/>
        </w:rPr>
        <w:sectPr>
          <w:pgSz w:w="12240" w:h="15840"/>
          <w:pgMar w:header="545" w:footer="852" w:top="1060" w:bottom="1040" w:left="580" w:right="220"/>
          <w:cols w:num="2" w:equalWidth="0">
            <w:col w:w="5190" w:space="435"/>
            <w:col w:w="5815"/>
          </w:cols>
        </w:sectPr>
      </w:pPr>
    </w:p>
    <w:p>
      <w:pPr>
        <w:pStyle w:val="BodyText"/>
        <w:spacing w:before="3"/>
        <w:rPr>
          <w:sz w:val="11"/>
        </w:rPr>
      </w:pPr>
    </w:p>
    <w:p>
      <w:pPr>
        <w:spacing w:after="0"/>
        <w:rPr>
          <w:sz w:val="11"/>
        </w:rPr>
        <w:sectPr>
          <w:type w:val="continuous"/>
          <w:pgSz w:w="12240" w:h="15840"/>
          <w:pgMar w:top="1500" w:bottom="280" w:left="580" w:right="220"/>
        </w:sect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5"/>
        <w:rPr>
          <w:sz w:val="24"/>
        </w:rPr>
      </w:pPr>
    </w:p>
    <w:p>
      <w:pPr>
        <w:spacing w:before="0"/>
        <w:ind w:left="270" w:right="-17" w:firstLine="0"/>
        <w:jc w:val="left"/>
        <w:rPr>
          <w:sz w:val="18"/>
        </w:rPr>
      </w:pPr>
      <w:r>
        <w:rPr>
          <w:sz w:val="18"/>
        </w:rPr>
        <w:t>4.2.2.2. </w:t>
      </w:r>
      <w:r>
        <w:rPr>
          <w:sz w:val="18"/>
          <w:u w:val="single"/>
        </w:rPr>
        <w:t>Controls</w:t>
      </w:r>
    </w:p>
    <w:p>
      <w:pPr>
        <w:pStyle w:val="BodyText"/>
        <w:rPr>
          <w:sz w:val="18"/>
        </w:rPr>
      </w:pPr>
      <w:r>
        <w:rPr/>
        <w:br w:type="column"/>
      </w:r>
      <w:r>
        <w:rPr>
          <w:sz w:val="18"/>
        </w:rPr>
      </w:r>
    </w:p>
    <w:p>
      <w:pPr>
        <w:pStyle w:val="BodyText"/>
        <w:rPr>
          <w:sz w:val="18"/>
        </w:rPr>
      </w:pPr>
    </w:p>
    <w:p>
      <w:pPr>
        <w:pStyle w:val="BodyText"/>
        <w:rPr>
          <w:sz w:val="18"/>
        </w:rPr>
      </w:pPr>
    </w:p>
    <w:p>
      <w:pPr>
        <w:pStyle w:val="BodyText"/>
        <w:spacing w:before="6"/>
        <w:rPr>
          <w:sz w:val="24"/>
        </w:rPr>
      </w:pPr>
    </w:p>
    <w:p>
      <w:pPr>
        <w:spacing w:before="0"/>
        <w:ind w:left="30" w:right="-17" w:firstLine="0"/>
        <w:jc w:val="left"/>
        <w:rPr>
          <w:sz w:val="18"/>
        </w:rPr>
      </w:pPr>
      <w:r>
        <w:rPr/>
        <w:drawing>
          <wp:anchor distT="0" distB="0" distL="0" distR="0" allowOverlap="1" layoutInCell="1" locked="0" behindDoc="0" simplePos="0" relativeHeight="1576">
            <wp:simplePos x="0" y="0"/>
            <wp:positionH relativeFrom="page">
              <wp:posOffset>539495</wp:posOffset>
            </wp:positionH>
            <wp:positionV relativeFrom="paragraph">
              <wp:posOffset>-3841212</wp:posOffset>
            </wp:positionV>
            <wp:extent cx="3041904" cy="3712464"/>
            <wp:effectExtent l="0" t="0" r="0" b="0"/>
            <wp:wrapNone/>
            <wp:docPr id="17" name="image9.png" descr=""/>
            <wp:cNvGraphicFramePr>
              <a:graphicFrameLocks noChangeAspect="1"/>
            </wp:cNvGraphicFramePr>
            <a:graphic>
              <a:graphicData uri="http://schemas.openxmlformats.org/drawingml/2006/picture">
                <pic:pic>
                  <pic:nvPicPr>
                    <pic:cNvPr id="18" name="image9.png"/>
                    <pic:cNvPicPr/>
                  </pic:nvPicPr>
                  <pic:blipFill>
                    <a:blip r:embed="rId26" cstate="print"/>
                    <a:stretch>
                      <a:fillRect/>
                    </a:stretch>
                  </pic:blipFill>
                  <pic:spPr>
                    <a:xfrm>
                      <a:off x="0" y="0"/>
                      <a:ext cx="3041904" cy="3712464"/>
                    </a:xfrm>
                    <a:prstGeom prst="rect">
                      <a:avLst/>
                    </a:prstGeom>
                  </pic:spPr>
                </pic:pic>
              </a:graphicData>
            </a:graphic>
          </wp:anchor>
        </w:drawing>
      </w:r>
      <w:r>
        <w:rPr>
          <w:sz w:val="18"/>
        </w:rPr>
        <w:t>Figure 7. Information appliances</w:t>
      </w:r>
    </w:p>
    <w:p>
      <w:pPr>
        <w:spacing w:before="77"/>
        <w:ind w:left="270" w:right="677" w:firstLine="0"/>
        <w:jc w:val="both"/>
        <w:rPr>
          <w:sz w:val="18"/>
        </w:rPr>
      </w:pPr>
      <w:r>
        <w:rPr/>
        <w:br w:type="column"/>
      </w:r>
      <w:r>
        <w:rPr>
          <w:sz w:val="18"/>
        </w:rPr>
        <w:t>Percentages with a lower compliance are given in auxiliary mechanical means (5.26%) and in the pushing or pulling of loads (6.66%). Then still you risk in MMC (15.78%), the acceptable positions of trunk and arms (26.31%), precision movements (31.57%), equipment handles (32%) and types of control (36.84%). The rest is between 40% and 50% compliance, the largest of them being the need of information appliances (50%).</w:t>
      </w:r>
    </w:p>
    <w:p>
      <w:pPr>
        <w:spacing w:line="206" w:lineRule="exact" w:before="0"/>
        <w:ind w:left="701" w:right="852" w:firstLine="0"/>
        <w:jc w:val="left"/>
        <w:rPr>
          <w:sz w:val="18"/>
        </w:rPr>
      </w:pPr>
      <w:r>
        <w:rPr>
          <w:sz w:val="18"/>
        </w:rPr>
        <w:t>In Figure 9 are presented aspects of the guide which have</w:t>
      </w:r>
    </w:p>
    <w:p>
      <w:pPr>
        <w:spacing w:after="0" w:line="206" w:lineRule="exact"/>
        <w:jc w:val="left"/>
        <w:rPr>
          <w:sz w:val="18"/>
        </w:rPr>
        <w:sectPr>
          <w:type w:val="continuous"/>
          <w:pgSz w:w="12240" w:h="15840"/>
          <w:pgMar w:top="1500" w:bottom="280" w:left="580" w:right="220"/>
          <w:cols w:num="3" w:equalWidth="0">
            <w:col w:w="1479" w:space="40"/>
            <w:col w:w="2393" w:space="1713"/>
            <w:col w:w="5815"/>
          </w:cols>
        </w:sectPr>
      </w:pPr>
    </w:p>
    <w:p>
      <w:pPr>
        <w:spacing w:before="0"/>
        <w:ind w:left="270" w:right="0" w:firstLine="0"/>
        <w:jc w:val="both"/>
        <w:rPr>
          <w:sz w:val="18"/>
        </w:rPr>
      </w:pPr>
      <w:r>
        <w:rPr>
          <w:sz w:val="18"/>
        </w:rPr>
        <w:t>In the most of the visited companies evaluated machines are older models so you do not comply with the regulations in force, in them it was verified that evaluated teams drive types were adequate for the type of action to perform where only the 36.84% met the characteristics of the controls as shown in Figure 8.</w:t>
      </w:r>
    </w:p>
    <w:p>
      <w:pPr>
        <w:spacing w:before="0"/>
        <w:ind w:left="270" w:right="0" w:firstLine="430"/>
        <w:jc w:val="both"/>
        <w:rPr>
          <w:sz w:val="18"/>
        </w:rPr>
      </w:pPr>
      <w:r>
        <w:rPr>
          <w:sz w:val="18"/>
        </w:rPr>
        <w:t>It was found that the controls were easy to identify according to their function where most of them met the 94.73% of the time. The displacement of the controls was correct in the 94.73% of cases and the 84.21% of cases the often used commands are available within the immediate reach of the operator. In general not all machines of the visited companies had emergency stop, being 36% who did not have it.</w:t>
      </w:r>
    </w:p>
    <w:p>
      <w:pPr>
        <w:spacing w:before="0"/>
        <w:ind w:left="270" w:right="702" w:firstLine="0"/>
        <w:jc w:val="left"/>
        <w:rPr>
          <w:sz w:val="18"/>
        </w:rPr>
      </w:pPr>
      <w:r>
        <w:rPr/>
        <w:br w:type="column"/>
      </w:r>
      <w:r>
        <w:rPr>
          <w:sz w:val="18"/>
        </w:rPr>
        <w:t>obtained a lower percentage of compliance (less than 50%).</w:t>
      </w:r>
    </w:p>
    <w:p>
      <w:pPr>
        <w:spacing w:after="0"/>
        <w:jc w:val="left"/>
        <w:rPr>
          <w:sz w:val="18"/>
        </w:rPr>
        <w:sectPr>
          <w:type w:val="continuous"/>
          <w:pgSz w:w="12240" w:h="15840"/>
          <w:pgMar w:top="1500" w:bottom="280" w:left="580" w:right="220"/>
          <w:cols w:num="2" w:equalWidth="0">
            <w:col w:w="5189" w:space="435"/>
            <w:col w:w="5816"/>
          </w:cols>
        </w:sect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4"/>
        <w:rPr>
          <w:sz w:val="17"/>
        </w:rPr>
      </w:pPr>
    </w:p>
    <w:p>
      <w:pPr>
        <w:spacing w:before="0"/>
        <w:ind w:left="676" w:right="0" w:firstLine="0"/>
        <w:jc w:val="left"/>
        <w:rPr>
          <w:sz w:val="18"/>
        </w:rPr>
      </w:pPr>
      <w:r>
        <w:rPr/>
        <w:drawing>
          <wp:anchor distT="0" distB="0" distL="0" distR="0" allowOverlap="1" layoutInCell="1" locked="0" behindDoc="0" simplePos="0" relativeHeight="1600">
            <wp:simplePos x="0" y="0"/>
            <wp:positionH relativeFrom="page">
              <wp:posOffset>539495</wp:posOffset>
            </wp:positionH>
            <wp:positionV relativeFrom="paragraph">
              <wp:posOffset>-4330416</wp:posOffset>
            </wp:positionV>
            <wp:extent cx="3140468" cy="4071937"/>
            <wp:effectExtent l="0" t="0" r="0" b="0"/>
            <wp:wrapNone/>
            <wp:docPr id="19" name="image10.png" descr=""/>
            <wp:cNvGraphicFramePr>
              <a:graphicFrameLocks noChangeAspect="1"/>
            </wp:cNvGraphicFramePr>
            <a:graphic>
              <a:graphicData uri="http://schemas.openxmlformats.org/drawingml/2006/picture">
                <pic:pic>
                  <pic:nvPicPr>
                    <pic:cNvPr id="20" name="image10.png"/>
                    <pic:cNvPicPr/>
                  </pic:nvPicPr>
                  <pic:blipFill>
                    <a:blip r:embed="rId27" cstate="print"/>
                    <a:stretch>
                      <a:fillRect/>
                    </a:stretch>
                  </pic:blipFill>
                  <pic:spPr>
                    <a:xfrm>
                      <a:off x="0" y="0"/>
                      <a:ext cx="3140468" cy="4071937"/>
                    </a:xfrm>
                    <a:prstGeom prst="rect">
                      <a:avLst/>
                    </a:prstGeom>
                  </pic:spPr>
                </pic:pic>
              </a:graphicData>
            </a:graphic>
          </wp:anchor>
        </w:drawing>
      </w:r>
      <w:r>
        <w:rPr>
          <w:sz w:val="18"/>
        </w:rPr>
        <w:t>Figure 9. Aspects with a lower percentage of compliance</w:t>
      </w:r>
    </w:p>
    <w:p>
      <w:pPr>
        <w:pStyle w:val="BodyText"/>
        <w:rPr>
          <w:sz w:val="18"/>
        </w:rPr>
      </w:pPr>
    </w:p>
    <w:p>
      <w:pPr>
        <w:pStyle w:val="BodyText"/>
        <w:spacing w:before="3"/>
        <w:rPr>
          <w:sz w:val="18"/>
        </w:rPr>
      </w:pPr>
    </w:p>
    <w:p>
      <w:pPr>
        <w:pStyle w:val="ListParagraph"/>
        <w:numPr>
          <w:ilvl w:val="0"/>
          <w:numId w:val="10"/>
        </w:numPr>
        <w:tabs>
          <w:tab w:pos="631" w:val="left" w:leader="none"/>
        </w:tabs>
        <w:spacing w:line="240" w:lineRule="auto" w:before="0" w:after="0"/>
        <w:ind w:left="630" w:right="0" w:hanging="360"/>
        <w:jc w:val="both"/>
        <w:rPr>
          <w:b/>
          <w:sz w:val="18"/>
        </w:rPr>
      </w:pPr>
      <w:r>
        <w:rPr>
          <w:b/>
          <w:sz w:val="18"/>
        </w:rPr>
        <w:t>CONCLUSIONS</w:t>
      </w:r>
    </w:p>
    <w:p>
      <w:pPr>
        <w:pStyle w:val="BodyText"/>
        <w:spacing w:before="7"/>
        <w:rPr>
          <w:b/>
          <w:sz w:val="17"/>
        </w:rPr>
      </w:pPr>
    </w:p>
    <w:p>
      <w:pPr>
        <w:spacing w:before="1"/>
        <w:ind w:left="270" w:right="21" w:firstLine="0"/>
        <w:jc w:val="both"/>
        <w:rPr>
          <w:sz w:val="18"/>
        </w:rPr>
      </w:pPr>
      <w:r>
        <w:rPr>
          <w:sz w:val="18"/>
        </w:rPr>
        <w:t>Given the results, was that in the small and medium enterprise sector mechanic is as follows: bodily dimensions met with up to 84% in the measured variables, in postures and body movement, 4 of the variables evaluated, trunk, arms, wrist and legs were below 50% compliance being these positions of increased risk to the worker; in physical exertion, only 36.8% of the controls of  machines are suitable for the task to perform, it is also important to note that the majority of workers do not use personal protective equipment. It is important to highlight that the highest  concentration of risk in the sector is located in postures and body movement, with this study it is concluded that 50% of the employees of the engineering sector are at risk in this aspect, which can derive occupational diseases and affect the productivity of the metal processing sector. Having direct contact with the machines could be considered that the main cause why are accidents or incidents in the enterprises metalworking is mainly due to the  design to be able to easily reach all controls without forcing the posture and that they can work standing and sitting without the need for adjustments, also machines must be operated by personnel trained and prepared for this and they must operate with personal protective equipment</w:t>
      </w:r>
      <w:r>
        <w:rPr>
          <w:spacing w:val="-11"/>
          <w:sz w:val="18"/>
        </w:rPr>
        <w:t> </w:t>
      </w:r>
      <w:r>
        <w:rPr>
          <w:sz w:val="18"/>
        </w:rPr>
        <w:t>necessary.</w:t>
      </w:r>
    </w:p>
    <w:p>
      <w:pPr>
        <w:pStyle w:val="BodyText"/>
        <w:rPr>
          <w:sz w:val="18"/>
        </w:rPr>
      </w:pPr>
    </w:p>
    <w:p>
      <w:pPr>
        <w:pStyle w:val="BodyText"/>
        <w:spacing w:before="3"/>
        <w:rPr>
          <w:sz w:val="18"/>
        </w:rPr>
      </w:pPr>
    </w:p>
    <w:p>
      <w:pPr>
        <w:pStyle w:val="ListParagraph"/>
        <w:numPr>
          <w:ilvl w:val="0"/>
          <w:numId w:val="10"/>
        </w:numPr>
        <w:tabs>
          <w:tab w:pos="631" w:val="left" w:leader="none"/>
        </w:tabs>
        <w:spacing w:line="240" w:lineRule="auto" w:before="0" w:after="0"/>
        <w:ind w:left="630" w:right="0" w:hanging="360"/>
        <w:jc w:val="both"/>
        <w:rPr>
          <w:b/>
          <w:sz w:val="18"/>
        </w:rPr>
      </w:pPr>
      <w:r>
        <w:rPr>
          <w:b/>
          <w:sz w:val="18"/>
        </w:rPr>
        <w:t>RECOMENDATIONS</w:t>
      </w:r>
    </w:p>
    <w:p>
      <w:pPr>
        <w:pStyle w:val="BodyText"/>
        <w:spacing w:before="7"/>
        <w:rPr>
          <w:b/>
          <w:sz w:val="17"/>
        </w:rPr>
      </w:pPr>
      <w:r>
        <w:rPr/>
        <w:br w:type="column"/>
      </w:r>
      <w:r>
        <w:rPr>
          <w:b/>
          <w:sz w:val="17"/>
        </w:rPr>
      </w:r>
    </w:p>
    <w:p>
      <w:pPr>
        <w:spacing w:before="1"/>
        <w:ind w:left="269" w:right="675" w:firstLine="0"/>
        <w:jc w:val="both"/>
        <w:rPr>
          <w:sz w:val="18"/>
        </w:rPr>
      </w:pPr>
      <w:r>
        <w:rPr>
          <w:sz w:val="18"/>
        </w:rPr>
        <w:t>It is recommended to improve those aspects that were with high percentage of non-compliance. Redesign workplaces so that the trunk, arms, wrists and legs of the operators to take a better  position on their workstation and can meet the variable. In addition to equitably distribute operators work for not only overload the more skilled workers, as well as having a proper storage of parts work, machinery, tools, accessories, work to be carried out. Another recommendation is that staff use personal protective equipment whenever it is working, which must be provided by the employer. Making these changes will enable to decrease the risks  of work, the number of accidents and injuries caused by poor posture and excessive workload without having the necessary conditions of</w:t>
      </w:r>
      <w:r>
        <w:rPr>
          <w:spacing w:val="-4"/>
          <w:sz w:val="18"/>
        </w:rPr>
        <w:t> </w:t>
      </w:r>
      <w:r>
        <w:rPr>
          <w:sz w:val="18"/>
        </w:rPr>
        <w:t>operation.</w:t>
      </w:r>
    </w:p>
    <w:p>
      <w:pPr>
        <w:spacing w:before="0"/>
        <w:ind w:left="269" w:right="676" w:firstLine="430"/>
        <w:jc w:val="both"/>
        <w:rPr>
          <w:sz w:val="18"/>
        </w:rPr>
      </w:pPr>
      <w:r>
        <w:rPr>
          <w:sz w:val="18"/>
        </w:rPr>
        <w:t>It is recommended to companies in this sector, an assessment for broader aspects with more failure, through the application of ergonomic methods of evaluation results. So in this way meet the shortcomings or needs identified in this study more effectively.</w:t>
      </w:r>
    </w:p>
    <w:p>
      <w:pPr>
        <w:pStyle w:val="BodyText"/>
        <w:rPr>
          <w:sz w:val="18"/>
        </w:rPr>
      </w:pPr>
    </w:p>
    <w:p>
      <w:pPr>
        <w:pStyle w:val="BodyText"/>
        <w:spacing w:before="4"/>
        <w:rPr>
          <w:sz w:val="18"/>
        </w:rPr>
      </w:pPr>
    </w:p>
    <w:p>
      <w:pPr>
        <w:pStyle w:val="ListParagraph"/>
        <w:numPr>
          <w:ilvl w:val="0"/>
          <w:numId w:val="10"/>
        </w:numPr>
        <w:tabs>
          <w:tab w:pos="630" w:val="left" w:leader="none"/>
        </w:tabs>
        <w:spacing w:line="240" w:lineRule="auto" w:before="0" w:after="0"/>
        <w:ind w:left="629" w:right="0" w:hanging="360"/>
        <w:jc w:val="both"/>
        <w:rPr>
          <w:b/>
          <w:sz w:val="18"/>
        </w:rPr>
      </w:pPr>
      <w:r>
        <w:rPr>
          <w:b/>
          <w:sz w:val="18"/>
        </w:rPr>
        <w:t>REFERENCES</w:t>
      </w:r>
    </w:p>
    <w:p>
      <w:pPr>
        <w:pStyle w:val="BodyText"/>
        <w:spacing w:before="7"/>
        <w:rPr>
          <w:b/>
          <w:sz w:val="17"/>
        </w:rPr>
      </w:pPr>
    </w:p>
    <w:p>
      <w:pPr>
        <w:spacing w:line="207" w:lineRule="exact" w:before="1"/>
        <w:ind w:left="269" w:right="0" w:firstLine="0"/>
        <w:jc w:val="both"/>
        <w:rPr>
          <w:sz w:val="18"/>
        </w:rPr>
      </w:pPr>
      <w:r>
        <w:rPr>
          <w:sz w:val="18"/>
        </w:rPr>
        <w:t>[1] IMMS. Estadísticas e informes 2013</w:t>
      </w:r>
    </w:p>
    <w:p>
      <w:pPr>
        <w:spacing w:before="0"/>
        <w:ind w:left="269" w:right="677" w:firstLine="0"/>
        <w:jc w:val="both"/>
        <w:rPr>
          <w:sz w:val="18"/>
        </w:rPr>
      </w:pPr>
      <w:r>
        <w:rPr>
          <w:sz w:val="18"/>
        </w:rPr>
        <w:t>[2] STPS. Estadísticas sobre accidentes y enfermedades de trabajo del periodo 2003-2012</w:t>
      </w:r>
    </w:p>
    <w:p>
      <w:pPr>
        <w:spacing w:before="0"/>
        <w:ind w:left="269" w:right="676" w:firstLine="0"/>
        <w:jc w:val="both"/>
        <w:rPr>
          <w:sz w:val="18"/>
        </w:rPr>
      </w:pPr>
      <w:r>
        <w:rPr>
          <w:sz w:val="18"/>
        </w:rPr>
        <w:t>[3] STPS. Estadísticas Sonora periodo 2004-2013 de los riesgos laborales según las ocupaciones y actividades.</w:t>
      </w:r>
    </w:p>
    <w:p>
      <w:pPr>
        <w:spacing w:before="0"/>
        <w:ind w:left="269" w:right="716" w:firstLine="0"/>
        <w:jc w:val="left"/>
        <w:rPr>
          <w:sz w:val="18"/>
        </w:rPr>
      </w:pPr>
      <w:r>
        <w:rPr>
          <w:sz w:val="18"/>
        </w:rPr>
        <w:t>[4]Creus, A., &amp; Mangosio, J. Seguridad e higiene en el trabajo: un enfoque integral. Buenos Aires: Alfaomega, pp 302-303, (2011) [5] Oborne, D. (1990). Ergonomía en acción: la adaptación del medio de trabajo al hombre (Segunda ed.). México:</w:t>
      </w:r>
      <w:r>
        <w:rPr>
          <w:spacing w:val="-11"/>
          <w:sz w:val="18"/>
        </w:rPr>
        <w:t> </w:t>
      </w:r>
      <w:r>
        <w:rPr>
          <w:sz w:val="18"/>
        </w:rPr>
        <w:t>Trillas.</w:t>
      </w:r>
    </w:p>
    <w:p>
      <w:pPr>
        <w:spacing w:before="0"/>
        <w:ind w:left="269" w:right="676" w:firstLine="0"/>
        <w:jc w:val="both"/>
        <w:rPr>
          <w:sz w:val="18"/>
        </w:rPr>
      </w:pPr>
      <w:r>
        <w:rPr>
          <w:sz w:val="18"/>
        </w:rPr>
        <w:t>[6] Instituto de Seguridad y Salud Laboral de España (ISSL), Prevención de Riesgos Ergonomicos. (2002)</w:t>
      </w:r>
    </w:p>
    <w:p>
      <w:pPr>
        <w:spacing w:before="0"/>
        <w:ind w:left="269" w:right="676" w:firstLine="0"/>
        <w:jc w:val="both"/>
        <w:rPr>
          <w:sz w:val="18"/>
        </w:rPr>
      </w:pPr>
      <w:r>
        <w:rPr>
          <w:sz w:val="18"/>
        </w:rPr>
        <w:t>[7] El Instituto de Seguridad y Salud Laboral de España (ISSL), Prevención de Riesgos Ergonomicos. (2002)</w:t>
      </w:r>
    </w:p>
    <w:p>
      <w:pPr>
        <w:spacing w:before="0"/>
        <w:ind w:left="269" w:right="716" w:firstLine="0"/>
        <w:jc w:val="left"/>
        <w:rPr>
          <w:sz w:val="18"/>
        </w:rPr>
      </w:pPr>
      <w:r>
        <w:rPr>
          <w:sz w:val="18"/>
        </w:rPr>
        <w:t>[8] CANACINTRA, la agrupación de sectores económicos,(2014) [9] Ergonautas, Lista de comprobación de riesgos ergonómicos (Ergonomic Checklist), (s,f)</w:t>
      </w:r>
    </w:p>
    <w:p>
      <w:pPr>
        <w:spacing w:before="0"/>
        <w:ind w:left="269" w:right="676" w:firstLine="0"/>
        <w:jc w:val="both"/>
        <w:rPr>
          <w:sz w:val="18"/>
        </w:rPr>
      </w:pPr>
      <w:r>
        <w:rPr>
          <w:sz w:val="18"/>
        </w:rPr>
        <w:t>[10] Llaneza Álvarez, F. Ergonomía y psicología aplicada (octava ed.). España: Lex Nova, (2007)</w:t>
      </w:r>
    </w:p>
    <w:p>
      <w:pPr>
        <w:pStyle w:val="BodyText"/>
        <w:rPr>
          <w:sz w:val="18"/>
        </w:rPr>
      </w:pPr>
    </w:p>
    <w:p>
      <w:pPr>
        <w:spacing w:before="0"/>
        <w:ind w:left="269" w:right="677" w:firstLine="0"/>
        <w:jc w:val="both"/>
        <w:rPr>
          <w:sz w:val="18"/>
        </w:rPr>
      </w:pPr>
      <w:r>
        <w:rPr>
          <w:b/>
          <w:sz w:val="18"/>
        </w:rPr>
        <w:t>Nydia Guadalupe Ortega Zazueta. </w:t>
      </w:r>
      <w:r>
        <w:rPr>
          <w:sz w:val="18"/>
        </w:rPr>
        <w:t>She is a student of sixth semester of industrial and systems engineering by the Technological Institute of Sonora, Navojoa Unit. She currently has a student scholarship from ITSON of high performance ARA.</w:t>
      </w:r>
    </w:p>
    <w:p>
      <w:pPr>
        <w:pStyle w:val="BodyText"/>
        <w:spacing w:before="10"/>
        <w:rPr>
          <w:sz w:val="17"/>
        </w:rPr>
      </w:pPr>
    </w:p>
    <w:p>
      <w:pPr>
        <w:spacing w:before="0"/>
        <w:ind w:left="269" w:right="675" w:firstLine="0"/>
        <w:jc w:val="both"/>
        <w:rPr>
          <w:sz w:val="18"/>
        </w:rPr>
      </w:pPr>
      <w:r>
        <w:rPr>
          <w:b/>
          <w:sz w:val="18"/>
        </w:rPr>
        <w:t>Mauricio Lopez Acosta. </w:t>
      </w:r>
      <w:r>
        <w:rPr>
          <w:sz w:val="18"/>
        </w:rPr>
        <w:t>He is an industrial and system engineer with a Masters degree in Engineering in Production Systems by Technological Institute of Sonora. He´s a member of Ergonomics Society of Mexico. He has been a speaker in different congresses both domestically and internationally. He is currently a full time lecturer at the Technological Institute of Sonora, Navojoa Unit.</w:t>
      </w:r>
    </w:p>
    <w:p>
      <w:pPr>
        <w:pStyle w:val="BodyText"/>
        <w:rPr>
          <w:sz w:val="18"/>
        </w:rPr>
      </w:pPr>
    </w:p>
    <w:p>
      <w:pPr>
        <w:spacing w:before="0"/>
        <w:ind w:left="269" w:right="675" w:firstLine="0"/>
        <w:jc w:val="both"/>
        <w:rPr>
          <w:sz w:val="18"/>
        </w:rPr>
      </w:pPr>
      <w:r>
        <w:rPr>
          <w:b/>
          <w:sz w:val="18"/>
        </w:rPr>
        <w:t>Jesus Enrique Sanchez Padilla. </w:t>
      </w:r>
      <w:r>
        <w:rPr>
          <w:sz w:val="18"/>
        </w:rPr>
        <w:t>He is Chemical Engineer  Systems by Technological Institute of Sonora with a Masters  degree in Process Systems by the Institute of Technology and Higher Studies of Monterrey, and has a PhD in Logistics and Management Supply Chain by the University popular Autonomous State of Puebla. He has been a publisher in different congresses.  He is currently a full time lecturer at the Technological Institute of Sonora, Navojoa</w:t>
      </w:r>
      <w:r>
        <w:rPr>
          <w:spacing w:val="-2"/>
          <w:sz w:val="18"/>
        </w:rPr>
        <w:t> </w:t>
      </w:r>
      <w:r>
        <w:rPr>
          <w:sz w:val="18"/>
        </w:rPr>
        <w:t>Unit.</w:t>
      </w:r>
    </w:p>
    <w:p>
      <w:pPr>
        <w:spacing w:after="0"/>
        <w:jc w:val="both"/>
        <w:rPr>
          <w:sz w:val="18"/>
        </w:rPr>
        <w:sectPr>
          <w:pgSz w:w="12240" w:h="15840"/>
          <w:pgMar w:header="545" w:footer="852" w:top="1060" w:bottom="1040" w:left="580" w:right="220"/>
          <w:cols w:num="2" w:equalWidth="0">
            <w:col w:w="5214" w:space="412"/>
            <w:col w:w="5814"/>
          </w:cols>
        </w:sectPr>
      </w:pPr>
    </w:p>
    <w:p>
      <w:pPr>
        <w:pStyle w:val="BodyText"/>
        <w:rPr>
          <w:sz w:val="11"/>
        </w:rPr>
      </w:pPr>
    </w:p>
    <w:p>
      <w:pPr>
        <w:spacing w:after="0"/>
        <w:rPr>
          <w:sz w:val="11"/>
        </w:rPr>
        <w:sectPr>
          <w:pgSz w:w="12240" w:h="15840"/>
          <w:pgMar w:header="545" w:footer="852" w:top="1060" w:bottom="1040" w:left="580" w:right="220"/>
        </w:sectPr>
      </w:pPr>
    </w:p>
    <w:p>
      <w:pPr>
        <w:spacing w:before="80"/>
        <w:ind w:left="270" w:right="16" w:firstLine="0"/>
        <w:jc w:val="both"/>
        <w:rPr>
          <w:b/>
          <w:sz w:val="18"/>
        </w:rPr>
      </w:pPr>
      <w:r>
        <w:rPr>
          <w:b/>
          <w:sz w:val="18"/>
        </w:rPr>
        <w:t>Design multipurpose classroom for the development of sport classes of children with multiple disabilities.</w:t>
      </w:r>
    </w:p>
    <w:p>
      <w:pPr>
        <w:pStyle w:val="BodyText"/>
        <w:spacing w:before="7"/>
        <w:rPr>
          <w:b/>
          <w:sz w:val="17"/>
        </w:rPr>
      </w:pPr>
    </w:p>
    <w:p>
      <w:pPr>
        <w:spacing w:before="1"/>
        <w:ind w:left="270" w:right="17" w:firstLine="0"/>
        <w:jc w:val="both"/>
        <w:rPr>
          <w:i/>
          <w:sz w:val="18"/>
        </w:rPr>
      </w:pPr>
      <w:r>
        <w:rPr>
          <w:i/>
          <w:sz w:val="18"/>
        </w:rPr>
        <w:t>Héctor Manuel-Trinidad Valderrama A., Gabriela Penélope-Luna </w:t>
      </w:r>
      <w:r>
        <w:rPr>
          <w:i/>
          <w:sz w:val="18"/>
        </w:rPr>
        <w:t>Ávila B., María Magdalena-González Torres C., Elena Margarita- Ochoa Chaidez D., John A.-Rey Galindo E.</w:t>
      </w:r>
    </w:p>
    <w:p>
      <w:pPr>
        <w:pStyle w:val="BodyText"/>
        <w:spacing w:before="10"/>
        <w:rPr>
          <w:i/>
          <w:sz w:val="15"/>
        </w:rPr>
      </w:pPr>
    </w:p>
    <w:p>
      <w:pPr>
        <w:spacing w:before="0"/>
        <w:ind w:left="270" w:right="0" w:firstLine="0"/>
        <w:jc w:val="both"/>
        <w:rPr>
          <w:sz w:val="18"/>
        </w:rPr>
      </w:pPr>
      <w:r>
        <w:rPr>
          <w:position w:val="8"/>
          <w:sz w:val="12"/>
        </w:rPr>
        <w:t>a </w:t>
      </w:r>
      <w:r>
        <w:rPr>
          <w:sz w:val="18"/>
        </w:rPr>
        <w:t>Universidad de Guadalajara 44250, </w:t>
      </w:r>
      <w:hyperlink r:id="rId28">
        <w:r>
          <w:rPr>
            <w:sz w:val="18"/>
          </w:rPr>
          <w:t>hector.trinidad@outlook.com,</w:t>
        </w:r>
      </w:hyperlink>
      <w:r>
        <w:rPr>
          <w:sz w:val="18"/>
        </w:rPr>
        <w:t> Guadalajara, Jalisco, México.</w:t>
      </w:r>
    </w:p>
    <w:p>
      <w:pPr>
        <w:spacing w:line="208" w:lineRule="exact" w:before="1"/>
        <w:ind w:left="270" w:right="0" w:firstLine="0"/>
        <w:jc w:val="both"/>
        <w:rPr>
          <w:sz w:val="18"/>
        </w:rPr>
      </w:pPr>
      <w:r>
        <w:rPr>
          <w:position w:val="8"/>
          <w:sz w:val="12"/>
        </w:rPr>
        <w:t>b </w:t>
      </w:r>
      <w:r>
        <w:rPr>
          <w:sz w:val="18"/>
        </w:rPr>
        <w:t>Universidad de Guadalajara 44250, </w:t>
      </w:r>
      <w:hyperlink r:id="rId29">
        <w:r>
          <w:rPr>
            <w:sz w:val="18"/>
          </w:rPr>
          <w:t>pebmoon@gmail.com,</w:t>
        </w:r>
      </w:hyperlink>
      <w:r>
        <w:rPr>
          <w:sz w:val="18"/>
        </w:rPr>
        <w:t> Guadalajara, Jalisco, México.</w:t>
      </w:r>
    </w:p>
    <w:p>
      <w:pPr>
        <w:tabs>
          <w:tab w:pos="929" w:val="left" w:leader="none"/>
          <w:tab w:pos="2430" w:val="left" w:leader="none"/>
          <w:tab w:pos="3221" w:val="left" w:leader="none"/>
          <w:tab w:pos="4712" w:val="left" w:leader="none"/>
        </w:tabs>
        <w:spacing w:line="203" w:lineRule="exact" w:before="0"/>
        <w:ind w:left="270" w:right="0" w:firstLine="0"/>
        <w:jc w:val="both"/>
        <w:rPr>
          <w:sz w:val="18"/>
        </w:rPr>
      </w:pPr>
      <w:r>
        <w:rPr>
          <w:position w:val="8"/>
          <w:sz w:val="12"/>
        </w:rPr>
        <w:t>c</w:t>
        <w:tab/>
      </w:r>
      <w:r>
        <w:rPr>
          <w:sz w:val="18"/>
        </w:rPr>
        <w:t>Universidad</w:t>
        <w:tab/>
        <w:t>de</w:t>
        <w:tab/>
        <w:t>Guadalajara</w:t>
        <w:tab/>
      </w:r>
      <w:r>
        <w:rPr>
          <w:spacing w:val="-1"/>
          <w:sz w:val="18"/>
        </w:rPr>
        <w:t>44250,</w:t>
      </w:r>
    </w:p>
    <w:p>
      <w:pPr>
        <w:spacing w:before="0"/>
        <w:ind w:left="270" w:right="0" w:firstLine="0"/>
        <w:jc w:val="both"/>
        <w:rPr>
          <w:sz w:val="18"/>
        </w:rPr>
      </w:pPr>
      <w:hyperlink r:id="rId30">
        <w:r>
          <w:rPr>
            <w:sz w:val="18"/>
          </w:rPr>
          <w:t>malenagonzalez@comunicadorgrafico.com,</w:t>
        </w:r>
      </w:hyperlink>
      <w:r>
        <w:rPr>
          <w:sz w:val="18"/>
        </w:rPr>
        <w:t> Guadalajara, Jalisco, México.</w:t>
      </w:r>
    </w:p>
    <w:p>
      <w:pPr>
        <w:spacing w:line="208" w:lineRule="exact" w:before="1"/>
        <w:ind w:left="270" w:right="0" w:firstLine="0"/>
        <w:jc w:val="both"/>
        <w:rPr>
          <w:sz w:val="18"/>
        </w:rPr>
      </w:pPr>
      <w:r>
        <w:rPr>
          <w:position w:val="8"/>
          <w:sz w:val="12"/>
        </w:rPr>
        <w:t>d </w:t>
      </w:r>
      <w:r>
        <w:rPr>
          <w:sz w:val="18"/>
        </w:rPr>
        <w:t>Universidad de Guadalajara 44250, </w:t>
      </w:r>
      <w:hyperlink r:id="rId31">
        <w:r>
          <w:rPr>
            <w:sz w:val="18"/>
          </w:rPr>
          <w:t>elenaochoa88@hotmail.com,</w:t>
        </w:r>
      </w:hyperlink>
      <w:r>
        <w:rPr>
          <w:sz w:val="18"/>
        </w:rPr>
        <w:t> Guadalajara, Jalisco, México.</w:t>
      </w:r>
    </w:p>
    <w:p>
      <w:pPr>
        <w:spacing w:line="204" w:lineRule="exact" w:before="0"/>
        <w:ind w:left="270" w:right="0" w:firstLine="0"/>
        <w:jc w:val="both"/>
        <w:rPr>
          <w:sz w:val="18"/>
        </w:rPr>
      </w:pPr>
      <w:r>
        <w:rPr>
          <w:position w:val="8"/>
          <w:sz w:val="12"/>
        </w:rPr>
        <w:t>e  </w:t>
      </w:r>
      <w:r>
        <w:rPr>
          <w:sz w:val="18"/>
        </w:rPr>
        <w:t>Universidad de Guadalajara 44250,   </w:t>
      </w:r>
      <w:hyperlink r:id="rId32">
        <w:r>
          <w:rPr>
            <w:sz w:val="18"/>
          </w:rPr>
          <w:t>john.reyg</w:t>
        </w:r>
      </w:hyperlink>
      <w:hyperlink r:id="rId33">
        <w:r>
          <w:rPr>
            <w:sz w:val="18"/>
          </w:rPr>
          <w:t>alindo@gmail.com,</w:t>
        </w:r>
      </w:hyperlink>
    </w:p>
    <w:p>
      <w:pPr>
        <w:spacing w:before="0"/>
        <w:ind w:left="270" w:right="0" w:firstLine="0"/>
        <w:jc w:val="both"/>
        <w:rPr>
          <w:sz w:val="18"/>
        </w:rPr>
      </w:pPr>
      <w:r>
        <w:rPr>
          <w:sz w:val="18"/>
        </w:rPr>
        <w:t>Guadalajara, Jalisco, México.</w:t>
      </w:r>
    </w:p>
    <w:p>
      <w:pPr>
        <w:pStyle w:val="BodyText"/>
        <w:rPr>
          <w:sz w:val="18"/>
        </w:rPr>
      </w:pPr>
    </w:p>
    <w:p>
      <w:pPr>
        <w:pStyle w:val="BodyText"/>
        <w:spacing w:before="4"/>
        <w:rPr>
          <w:sz w:val="18"/>
        </w:rPr>
      </w:pPr>
    </w:p>
    <w:p>
      <w:pPr>
        <w:spacing w:before="0"/>
        <w:ind w:left="270" w:right="0" w:firstLine="0"/>
        <w:jc w:val="both"/>
        <w:rPr>
          <w:b/>
          <w:sz w:val="18"/>
        </w:rPr>
      </w:pPr>
      <w:r>
        <w:rPr/>
        <w:pict>
          <v:line style="position:absolute;mso-position-horizontal-relative:page;mso-position-vertical-relative:paragraph;z-index:1648" from="41.040001pt,12.152957pt" to="289.860001pt,12.152957pt" stroked="true" strokeweight="1.5pt" strokecolor="#000000">
            <w10:wrap type="none"/>
          </v:line>
        </w:pict>
      </w:r>
      <w:r>
        <w:rPr>
          <w:b/>
          <w:sz w:val="18"/>
        </w:rPr>
        <w:t>Resumen</w:t>
      </w:r>
    </w:p>
    <w:p>
      <w:pPr>
        <w:spacing w:before="46"/>
        <w:ind w:left="270" w:right="17" w:firstLine="0"/>
        <w:jc w:val="both"/>
        <w:rPr>
          <w:sz w:val="18"/>
        </w:rPr>
      </w:pPr>
      <w:r>
        <w:rPr>
          <w:sz w:val="18"/>
        </w:rPr>
        <w:t>En México existen instituciones de educación básica para niños con algún tipo de discapacidad, denominadas Centros de Atención Múltiple (CAM). Una de las aulas con mayor diversidad de usuarios es la de usos múltiples, en esta confluyen niños entre los tres y ocho años de edad y adultos. La discapacidad más frecuente entre los niños es el síndrome de Down y el trastorno del espectro autista, así como la tetraplejia e hipoacusia en menor</w:t>
      </w:r>
      <w:r>
        <w:rPr>
          <w:spacing w:val="-22"/>
          <w:sz w:val="18"/>
        </w:rPr>
        <w:t> </w:t>
      </w:r>
      <w:r>
        <w:rPr>
          <w:sz w:val="18"/>
        </w:rPr>
        <w:t>medida.</w:t>
      </w:r>
    </w:p>
    <w:p>
      <w:pPr>
        <w:spacing w:before="0"/>
        <w:ind w:left="270" w:right="18" w:firstLine="708"/>
        <w:jc w:val="both"/>
        <w:rPr>
          <w:sz w:val="18"/>
        </w:rPr>
      </w:pPr>
      <w:r>
        <w:rPr>
          <w:sz w:val="18"/>
        </w:rPr>
        <w:t>Mediante esta investigación se propone mejorar la accesibilidad y seguridad de los usuarios que utilizan el aula de  usos múltiples utilizando criterios de diseño inclusivo. Para esto se llevó a cabo una entrevista semiestructurada además de una serie de visitas programadas para recabar la</w:t>
      </w:r>
      <w:r>
        <w:rPr>
          <w:spacing w:val="-13"/>
          <w:sz w:val="18"/>
        </w:rPr>
        <w:t> </w:t>
      </w:r>
      <w:r>
        <w:rPr>
          <w:sz w:val="18"/>
        </w:rPr>
        <w:t>información.</w:t>
      </w:r>
    </w:p>
    <w:p>
      <w:pPr>
        <w:spacing w:before="0"/>
        <w:ind w:left="270" w:right="17" w:firstLine="708"/>
        <w:jc w:val="both"/>
        <w:rPr>
          <w:sz w:val="18"/>
        </w:rPr>
      </w:pPr>
      <w:r>
        <w:rPr>
          <w:sz w:val="18"/>
        </w:rPr>
        <w:t>Con la información obtenida se determinaron los materiales y equipos adecuados al perfil de usuario y a las actividades que estos realizan. Se propuso reubicar el mobiliario, pintar las paredes para crear un ambiente de tranquilidad hasta una altura de 120 cm y neutro para los adultos después de esta altura. Asimismo se sugirió la instalación de escaleras para estimulación temprana, columpios y la instalación de un piso laminado.</w:t>
      </w:r>
    </w:p>
    <w:p>
      <w:pPr>
        <w:spacing w:before="0"/>
        <w:ind w:left="270" w:right="17" w:firstLine="708"/>
        <w:jc w:val="both"/>
        <w:rPr>
          <w:sz w:val="18"/>
        </w:rPr>
      </w:pPr>
      <w:r>
        <w:rPr>
          <w:sz w:val="18"/>
        </w:rPr>
        <w:t>Este proyecto se está realizando por etapas, iniciando con la intervención de las paredes y techo, y después con la instalación de aparatos para el apoyo de actividades. Cada etapa será evaluada durante su desarrollo y una vez concluida.</w:t>
      </w:r>
    </w:p>
    <w:p>
      <w:pPr>
        <w:pStyle w:val="BodyText"/>
        <w:rPr>
          <w:sz w:val="18"/>
        </w:rPr>
      </w:pPr>
    </w:p>
    <w:p>
      <w:pPr>
        <w:spacing w:before="0"/>
        <w:ind w:left="270" w:right="0" w:firstLine="0"/>
        <w:jc w:val="both"/>
        <w:rPr>
          <w:sz w:val="18"/>
        </w:rPr>
      </w:pPr>
      <w:r>
        <w:rPr>
          <w:b/>
          <w:sz w:val="18"/>
        </w:rPr>
        <w:t>Palabras clave</w:t>
      </w:r>
      <w:r>
        <w:rPr>
          <w:sz w:val="18"/>
        </w:rPr>
        <w:t>— Discapacidad múltiple, diseño inclusivo.</w:t>
      </w:r>
    </w:p>
    <w:p>
      <w:pPr>
        <w:pStyle w:val="BodyText"/>
        <w:spacing w:before="6"/>
        <w:rPr>
          <w:sz w:val="18"/>
        </w:rPr>
      </w:pPr>
    </w:p>
    <w:p>
      <w:pPr>
        <w:spacing w:before="0"/>
        <w:ind w:left="270" w:right="0" w:firstLine="0"/>
        <w:jc w:val="both"/>
        <w:rPr>
          <w:b/>
          <w:i/>
          <w:sz w:val="18"/>
        </w:rPr>
      </w:pPr>
      <w:r>
        <w:rPr/>
        <w:pict>
          <v:line style="position:absolute;mso-position-horizontal-relative:page;mso-position-vertical-relative:paragraph;z-index:1672" from="41.040001pt,12.032041pt" to="289.860001pt,12.032041pt" stroked="true" strokeweight="1.5pt" strokecolor="#000000">
            <w10:wrap type="none"/>
          </v:line>
        </w:pict>
      </w:r>
      <w:r>
        <w:rPr>
          <w:b/>
          <w:i/>
          <w:sz w:val="18"/>
        </w:rPr>
        <w:t>Abstract</w:t>
      </w:r>
    </w:p>
    <w:p>
      <w:pPr>
        <w:spacing w:before="44"/>
        <w:ind w:left="270" w:right="17" w:firstLine="0"/>
        <w:jc w:val="both"/>
        <w:rPr>
          <w:i/>
          <w:sz w:val="18"/>
        </w:rPr>
      </w:pPr>
      <w:r>
        <w:rPr>
          <w:i/>
          <w:sz w:val="18"/>
        </w:rPr>
        <w:t>In Mexico there are institutions of basic education for children with </w:t>
      </w:r>
      <w:r>
        <w:rPr>
          <w:i/>
          <w:sz w:val="18"/>
        </w:rPr>
        <w:t>disabilities, called Multiple Care Centres (CAM). One of the most diverse of users is multipurpose classroom, in this confluence children between three and eight years of age and adults. The most common disability among children is Down syndrome and autism spectrum disorder, quadriplegia and hearing loss lesser extent.</w:t>
      </w:r>
    </w:p>
    <w:p>
      <w:pPr>
        <w:spacing w:before="0"/>
        <w:ind w:left="270" w:right="16" w:firstLine="397"/>
        <w:jc w:val="both"/>
        <w:rPr>
          <w:i/>
          <w:sz w:val="18"/>
        </w:rPr>
      </w:pPr>
      <w:r>
        <w:rPr>
          <w:i/>
          <w:sz w:val="18"/>
        </w:rPr>
        <w:t>The aim of this research is to improve the accessibility and </w:t>
      </w:r>
      <w:r>
        <w:rPr>
          <w:i/>
          <w:sz w:val="18"/>
        </w:rPr>
        <w:t>safety of people who use multipurpose classroom through inclusive design criteria. For this we conducted series of scheduled visits to gather information and a semi-structured interview with the principal users.</w:t>
      </w:r>
    </w:p>
    <w:p>
      <w:pPr>
        <w:spacing w:before="0"/>
        <w:ind w:left="270" w:right="17" w:firstLine="397"/>
        <w:jc w:val="both"/>
        <w:rPr>
          <w:i/>
          <w:sz w:val="18"/>
        </w:rPr>
      </w:pPr>
      <w:r>
        <w:rPr>
          <w:i/>
          <w:sz w:val="18"/>
        </w:rPr>
        <w:t>With the information obtained materials and equipment </w:t>
      </w:r>
      <w:r>
        <w:rPr>
          <w:i/>
          <w:sz w:val="18"/>
        </w:rPr>
        <w:t>suitable for the user profile and the activities that they perform was determined. It was proposed to relocate the furniture, paint the walls to create an atmosphere of tranquility to a height of 120 cm and neutral for adults after this point. Installation of stairs to  early</w:t>
      </w:r>
    </w:p>
    <w:p>
      <w:pPr>
        <w:spacing w:before="77"/>
        <w:ind w:left="270" w:right="678" w:firstLine="0"/>
        <w:jc w:val="both"/>
        <w:rPr>
          <w:i/>
          <w:sz w:val="18"/>
        </w:rPr>
      </w:pPr>
      <w:r>
        <w:rPr/>
        <w:br w:type="column"/>
      </w:r>
      <w:r>
        <w:rPr>
          <w:i/>
          <w:sz w:val="18"/>
        </w:rPr>
        <w:t>stimulation, swings and installing a laminate floor is also </w:t>
      </w:r>
      <w:r>
        <w:rPr>
          <w:i/>
          <w:sz w:val="18"/>
        </w:rPr>
        <w:t>suggested.</w:t>
      </w:r>
    </w:p>
    <w:p>
      <w:pPr>
        <w:spacing w:before="0"/>
        <w:ind w:left="270" w:right="677" w:firstLine="397"/>
        <w:jc w:val="both"/>
        <w:rPr>
          <w:i/>
          <w:sz w:val="18"/>
        </w:rPr>
      </w:pPr>
      <w:r>
        <w:rPr>
          <w:i/>
          <w:sz w:val="18"/>
        </w:rPr>
        <w:t>This project is being implemented in stages, starting with the </w:t>
      </w:r>
      <w:r>
        <w:rPr>
          <w:i/>
          <w:sz w:val="18"/>
        </w:rPr>
        <w:t>intervention of the walls and ceiling, and after the installation of apparatus for supporting activities. Each stage will be evaluated during development and after completion.</w:t>
      </w:r>
    </w:p>
    <w:p>
      <w:pPr>
        <w:pStyle w:val="BodyText"/>
        <w:rPr>
          <w:i/>
          <w:sz w:val="18"/>
        </w:rPr>
      </w:pPr>
    </w:p>
    <w:p>
      <w:pPr>
        <w:spacing w:before="0"/>
        <w:ind w:left="270" w:right="0" w:firstLine="0"/>
        <w:jc w:val="both"/>
        <w:rPr>
          <w:i/>
          <w:sz w:val="18"/>
        </w:rPr>
      </w:pPr>
      <w:r>
        <w:rPr>
          <w:b/>
          <w:i/>
          <w:sz w:val="18"/>
        </w:rPr>
        <w:t>Keywords</w:t>
      </w:r>
      <w:r>
        <w:rPr>
          <w:i/>
          <w:sz w:val="18"/>
        </w:rPr>
        <w:t>— Inclusive design, multiple disabilities.</w:t>
      </w:r>
    </w:p>
    <w:p>
      <w:pPr>
        <w:pStyle w:val="BodyText"/>
        <w:rPr>
          <w:i/>
          <w:sz w:val="18"/>
        </w:rPr>
      </w:pPr>
    </w:p>
    <w:p>
      <w:pPr>
        <w:spacing w:before="0"/>
        <w:ind w:left="270" w:right="675" w:firstLine="0"/>
        <w:jc w:val="both"/>
        <w:rPr>
          <w:sz w:val="18"/>
        </w:rPr>
      </w:pPr>
      <w:r>
        <w:rPr>
          <w:b/>
          <w:sz w:val="18"/>
        </w:rPr>
        <w:t>Contribution to ergonomics: </w:t>
      </w:r>
      <w:r>
        <w:rPr>
          <w:sz w:val="18"/>
        </w:rPr>
        <w:t>The use of design methods for adapting and improving the H-O-E system can be of great importance when designing or redesigning spaces for people with very specific characteristics.</w:t>
      </w:r>
    </w:p>
    <w:p>
      <w:pPr>
        <w:spacing w:before="0"/>
        <w:ind w:left="270" w:right="676" w:firstLine="397"/>
        <w:jc w:val="both"/>
        <w:rPr>
          <w:sz w:val="18"/>
        </w:rPr>
      </w:pPr>
      <w:r>
        <w:rPr>
          <w:sz w:val="18"/>
        </w:rPr>
        <w:t>Also, the ergonomic tools help understand user interaction with their environment. As such cases, can contribute to the improvement and / or development of these tools.</w:t>
      </w:r>
    </w:p>
    <w:p>
      <w:pPr>
        <w:pStyle w:val="BodyText"/>
        <w:rPr>
          <w:sz w:val="18"/>
        </w:rPr>
      </w:pPr>
    </w:p>
    <w:p>
      <w:pPr>
        <w:pStyle w:val="BodyText"/>
        <w:spacing w:before="3"/>
        <w:rPr>
          <w:sz w:val="18"/>
        </w:rPr>
      </w:pPr>
    </w:p>
    <w:p>
      <w:pPr>
        <w:pStyle w:val="ListParagraph"/>
        <w:numPr>
          <w:ilvl w:val="0"/>
          <w:numId w:val="13"/>
        </w:numPr>
        <w:tabs>
          <w:tab w:pos="452" w:val="left" w:leader="none"/>
        </w:tabs>
        <w:spacing w:line="240" w:lineRule="auto" w:before="0" w:after="0"/>
        <w:ind w:left="451" w:right="0" w:hanging="181"/>
        <w:jc w:val="both"/>
        <w:rPr>
          <w:b/>
          <w:sz w:val="18"/>
        </w:rPr>
      </w:pPr>
      <w:r>
        <w:rPr>
          <w:b/>
          <w:sz w:val="18"/>
        </w:rPr>
        <w:t>INTRODUCTION</w:t>
      </w:r>
    </w:p>
    <w:p>
      <w:pPr>
        <w:pStyle w:val="BodyText"/>
        <w:spacing w:before="7"/>
        <w:rPr>
          <w:b/>
          <w:sz w:val="17"/>
        </w:rPr>
      </w:pPr>
    </w:p>
    <w:p>
      <w:pPr>
        <w:spacing w:before="1"/>
        <w:ind w:left="270" w:right="676" w:firstLine="432"/>
        <w:jc w:val="both"/>
        <w:rPr>
          <w:sz w:val="18"/>
        </w:rPr>
      </w:pPr>
      <w:r>
        <w:rPr>
          <w:sz w:val="18"/>
        </w:rPr>
        <w:t>The ergonomic design is a specialty that exists within ergonomics that aims to create products with ergonomic criteria. The method to realize an ergonomic criteria product is divided into different phases. First you must know the three components of man-object-environment system; ie, the user's physical and cognitive characteristics, and their limitations and capabilities; and object properties and the environment, while the interaction of the human being observed with the object.</w:t>
      </w:r>
    </w:p>
    <w:p>
      <w:pPr>
        <w:tabs>
          <w:tab w:pos="1428" w:val="left" w:leader="none"/>
          <w:tab w:pos="2798" w:val="left" w:leader="none"/>
          <w:tab w:pos="4302" w:val="left" w:leader="none"/>
        </w:tabs>
        <w:spacing w:before="0"/>
        <w:ind w:left="270" w:right="676" w:firstLine="432"/>
        <w:jc w:val="right"/>
        <w:rPr>
          <w:sz w:val="18"/>
        </w:rPr>
      </w:pPr>
      <w:r>
        <w:rPr>
          <w:sz w:val="18"/>
        </w:rPr>
        <w:t>Once done the analysis of the system, start</w:t>
      </w:r>
      <w:r>
        <w:rPr>
          <w:spacing w:val="12"/>
          <w:sz w:val="18"/>
        </w:rPr>
        <w:t> </w:t>
      </w:r>
      <w:r>
        <w:rPr>
          <w:sz w:val="18"/>
        </w:rPr>
        <w:t>giving</w:t>
      </w:r>
      <w:r>
        <w:rPr>
          <w:spacing w:val="2"/>
          <w:sz w:val="18"/>
        </w:rPr>
        <w:t> </w:t>
      </w:r>
      <w:r>
        <w:rPr>
          <w:sz w:val="18"/>
        </w:rPr>
        <w:t>parameters that result in three types of adaptations or</w:t>
      </w:r>
      <w:r>
        <w:rPr>
          <w:spacing w:val="15"/>
          <w:sz w:val="18"/>
        </w:rPr>
        <w:t> </w:t>
      </w:r>
      <w:r>
        <w:rPr>
          <w:sz w:val="18"/>
        </w:rPr>
        <w:t>adjustments:</w:t>
      </w:r>
      <w:r>
        <w:rPr>
          <w:spacing w:val="35"/>
          <w:sz w:val="18"/>
        </w:rPr>
        <w:t> </w:t>
      </w:r>
      <w:r>
        <w:rPr>
          <w:sz w:val="18"/>
        </w:rPr>
        <w:t>a) Biological:</w:t>
        <w:tab/>
        <w:t>Psychological</w:t>
        <w:tab/>
        <w:t>anthropometric,</w:t>
        <w:tab/>
      </w:r>
      <w:r>
        <w:rPr>
          <w:spacing w:val="-1"/>
          <w:sz w:val="18"/>
        </w:rPr>
        <w:t>anatomical, </w:t>
      </w:r>
      <w:r>
        <w:rPr>
          <w:sz w:val="18"/>
        </w:rPr>
        <w:t>physiological and biomechanical relating to user</w:t>
      </w:r>
      <w:r>
        <w:rPr>
          <w:spacing w:val="35"/>
          <w:sz w:val="18"/>
        </w:rPr>
        <w:t> </w:t>
      </w:r>
      <w:r>
        <w:rPr>
          <w:sz w:val="18"/>
        </w:rPr>
        <w:t>actions,</w:t>
      </w:r>
      <w:r>
        <w:rPr>
          <w:spacing w:val="36"/>
          <w:sz w:val="18"/>
        </w:rPr>
        <w:t> </w:t>
      </w:r>
      <w:r>
        <w:rPr>
          <w:sz w:val="18"/>
        </w:rPr>
        <w:t>b) perceptual and mental, c) psychosocial: customs, values</w:t>
      </w:r>
      <w:r>
        <w:rPr>
          <w:spacing w:val="-20"/>
          <w:sz w:val="18"/>
        </w:rPr>
        <w:t> </w:t>
      </w:r>
      <w:r>
        <w:rPr>
          <w:sz w:val="18"/>
        </w:rPr>
        <w:t>and</w:t>
      </w:r>
      <w:r>
        <w:rPr>
          <w:spacing w:val="-3"/>
          <w:sz w:val="18"/>
        </w:rPr>
        <w:t> </w:t>
      </w:r>
      <w:r>
        <w:rPr>
          <w:sz w:val="18"/>
        </w:rPr>
        <w:t>habits. So that ergonomics seeks to develop</w:t>
      </w:r>
      <w:r>
        <w:rPr>
          <w:spacing w:val="23"/>
          <w:sz w:val="18"/>
        </w:rPr>
        <w:t> </w:t>
      </w:r>
      <w:r>
        <w:rPr>
          <w:sz w:val="18"/>
        </w:rPr>
        <w:t>an</w:t>
      </w:r>
      <w:r>
        <w:rPr>
          <w:spacing w:val="24"/>
          <w:sz w:val="18"/>
        </w:rPr>
        <w:t> </w:t>
      </w:r>
      <w:r>
        <w:rPr>
          <w:sz w:val="18"/>
        </w:rPr>
        <w:t>accessible environment that allows users according to</w:t>
      </w:r>
      <w:r>
        <w:rPr>
          <w:spacing w:val="-2"/>
          <w:sz w:val="18"/>
        </w:rPr>
        <w:t> </w:t>
      </w:r>
      <w:r>
        <w:rPr>
          <w:sz w:val="18"/>
        </w:rPr>
        <w:t>their</w:t>
      </w:r>
      <w:r>
        <w:rPr>
          <w:spacing w:val="37"/>
          <w:sz w:val="18"/>
        </w:rPr>
        <w:t> </w:t>
      </w:r>
      <w:r>
        <w:rPr>
          <w:sz w:val="18"/>
        </w:rPr>
        <w:t>characteristics, conduct their activities with efficiency,</w:t>
      </w:r>
      <w:r>
        <w:rPr>
          <w:spacing w:val="29"/>
          <w:sz w:val="18"/>
        </w:rPr>
        <w:t> </w:t>
      </w:r>
      <w:r>
        <w:rPr>
          <w:sz w:val="18"/>
        </w:rPr>
        <w:t>effectiveness,</w:t>
      </w:r>
      <w:r>
        <w:rPr>
          <w:spacing w:val="23"/>
          <w:sz w:val="18"/>
        </w:rPr>
        <w:t> </w:t>
      </w:r>
      <w:r>
        <w:rPr>
          <w:sz w:val="18"/>
        </w:rPr>
        <w:t>satisfaction and safety. Within this context, there is a branch of</w:t>
      </w:r>
      <w:r>
        <w:rPr>
          <w:spacing w:val="43"/>
          <w:sz w:val="18"/>
        </w:rPr>
        <w:t> </w:t>
      </w:r>
      <w:r>
        <w:rPr>
          <w:sz w:val="18"/>
        </w:rPr>
        <w:t>design</w:t>
      </w:r>
      <w:r>
        <w:rPr>
          <w:spacing w:val="30"/>
          <w:sz w:val="18"/>
        </w:rPr>
        <w:t> </w:t>
      </w:r>
      <w:r>
        <w:rPr>
          <w:sz w:val="18"/>
        </w:rPr>
        <w:t>that pursues  this  objective  and  which  tries  to  apply  on  products</w:t>
      </w:r>
      <w:r>
        <w:rPr>
          <w:spacing w:val="38"/>
          <w:sz w:val="18"/>
        </w:rPr>
        <w:t> </w:t>
      </w:r>
      <w:r>
        <w:rPr>
          <w:sz w:val="18"/>
        </w:rPr>
        <w:t>or</w:t>
      </w:r>
    </w:p>
    <w:p>
      <w:pPr>
        <w:spacing w:line="206" w:lineRule="exact" w:before="0"/>
        <w:ind w:left="270" w:right="0" w:firstLine="0"/>
        <w:jc w:val="both"/>
        <w:rPr>
          <w:sz w:val="18"/>
        </w:rPr>
      </w:pPr>
      <w:r>
        <w:rPr>
          <w:sz w:val="18"/>
        </w:rPr>
        <w:t>services.</w:t>
      </w:r>
    </w:p>
    <w:p>
      <w:pPr>
        <w:spacing w:before="0"/>
        <w:ind w:left="270" w:right="676" w:firstLine="397"/>
        <w:jc w:val="both"/>
        <w:rPr>
          <w:sz w:val="18"/>
        </w:rPr>
      </w:pPr>
      <w:r>
        <w:rPr>
          <w:sz w:val="18"/>
        </w:rPr>
        <w:t>Inclusive design is defined by The British Standards Institute [1] as "The design of products and / or main services that are accessible and usable by as many people as reasonably possible... without the need for adaptation or specialized design..." its overall aim is to simplify completion of daily tasks by building products,</w:t>
      </w:r>
    </w:p>
    <w:p>
      <w:pPr>
        <w:pStyle w:val="BodyText"/>
        <w:spacing w:before="6"/>
      </w:pPr>
      <w:r>
        <w:rPr/>
        <w:drawing>
          <wp:anchor distT="0" distB="0" distL="0" distR="0" allowOverlap="1" layoutInCell="1" locked="0" behindDoc="0" simplePos="0" relativeHeight="1624">
            <wp:simplePos x="0" y="0"/>
            <wp:positionH relativeFrom="page">
              <wp:posOffset>4418076</wp:posOffset>
            </wp:positionH>
            <wp:positionV relativeFrom="paragraph">
              <wp:posOffset>174918</wp:posOffset>
            </wp:positionV>
            <wp:extent cx="2786386" cy="2103120"/>
            <wp:effectExtent l="0" t="0" r="0" b="0"/>
            <wp:wrapTopAndBottom/>
            <wp:docPr id="21" name="image11.jpeg" descr=""/>
            <wp:cNvGraphicFramePr>
              <a:graphicFrameLocks noChangeAspect="1"/>
            </wp:cNvGraphicFramePr>
            <a:graphic>
              <a:graphicData uri="http://schemas.openxmlformats.org/drawingml/2006/picture">
                <pic:pic>
                  <pic:nvPicPr>
                    <pic:cNvPr id="22" name="image11.jpeg"/>
                    <pic:cNvPicPr/>
                  </pic:nvPicPr>
                  <pic:blipFill>
                    <a:blip r:embed="rId34" cstate="print"/>
                    <a:stretch>
                      <a:fillRect/>
                    </a:stretch>
                  </pic:blipFill>
                  <pic:spPr>
                    <a:xfrm>
                      <a:off x="0" y="0"/>
                      <a:ext cx="2786386" cy="2103120"/>
                    </a:xfrm>
                    <a:prstGeom prst="rect">
                      <a:avLst/>
                    </a:prstGeom>
                  </pic:spPr>
                </pic:pic>
              </a:graphicData>
            </a:graphic>
          </wp:anchor>
        </w:drawing>
      </w:r>
    </w:p>
    <w:p>
      <w:pPr>
        <w:spacing w:before="0"/>
        <w:ind w:left="1346" w:right="702" w:firstLine="0"/>
        <w:jc w:val="left"/>
        <w:rPr>
          <w:sz w:val="18"/>
        </w:rPr>
      </w:pPr>
      <w:r>
        <w:rPr>
          <w:sz w:val="18"/>
        </w:rPr>
        <w:t>Figura 1. Proposed location of colors.</w:t>
      </w:r>
    </w:p>
    <w:p>
      <w:pPr>
        <w:spacing w:after="0"/>
        <w:jc w:val="left"/>
        <w:rPr>
          <w:sz w:val="18"/>
        </w:rPr>
        <w:sectPr>
          <w:type w:val="continuous"/>
          <w:pgSz w:w="12240" w:h="15840"/>
          <w:pgMar w:top="1500" w:bottom="280" w:left="580" w:right="220"/>
          <w:cols w:num="2" w:equalWidth="0">
            <w:col w:w="5207" w:space="417"/>
            <w:col w:w="5816"/>
          </w:cols>
        </w:sectPr>
      </w:pPr>
    </w:p>
    <w:p>
      <w:pPr>
        <w:pStyle w:val="BodyText"/>
        <w:rPr>
          <w:sz w:val="11"/>
        </w:rPr>
      </w:pPr>
    </w:p>
    <w:p>
      <w:pPr>
        <w:spacing w:after="0"/>
        <w:rPr>
          <w:sz w:val="11"/>
        </w:rPr>
        <w:sectPr>
          <w:pgSz w:w="12240" w:h="15840"/>
          <w:pgMar w:header="545" w:footer="852" w:top="1060" w:bottom="1040" w:left="580" w:right="220"/>
        </w:sectPr>
      </w:pPr>
    </w:p>
    <w:p>
      <w:pPr>
        <w:spacing w:before="77"/>
        <w:ind w:left="270" w:right="0" w:firstLine="0"/>
        <w:jc w:val="both"/>
        <w:rPr>
          <w:sz w:val="18"/>
        </w:rPr>
      </w:pPr>
      <w:r>
        <w:rPr>
          <w:sz w:val="18"/>
        </w:rPr>
        <w:t>services and environments that facilitate the use for everyone, regardless of age, gender or characteristics.</w:t>
      </w:r>
    </w:p>
    <w:p>
      <w:pPr>
        <w:spacing w:before="0"/>
        <w:ind w:left="270" w:right="0" w:firstLine="432"/>
        <w:jc w:val="both"/>
        <w:rPr>
          <w:sz w:val="18"/>
        </w:rPr>
      </w:pPr>
      <w:r>
        <w:rPr>
          <w:sz w:val="18"/>
        </w:rPr>
        <w:t>In Mexico, there are schools that provide basic education for students with special educational needs, with or without disabilities. These are called Multiple Assistance Center (CAM). In these centers, the population includes children with disabilities and adults, for this reason it is necessary that the spaces are suitable for the specific characteristics of most</w:t>
      </w:r>
      <w:r>
        <w:rPr>
          <w:spacing w:val="-14"/>
          <w:sz w:val="18"/>
        </w:rPr>
        <w:t> </w:t>
      </w:r>
      <w:r>
        <w:rPr>
          <w:sz w:val="18"/>
        </w:rPr>
        <w:t>users.</w:t>
      </w:r>
    </w:p>
    <w:p>
      <w:pPr>
        <w:spacing w:before="0"/>
        <w:ind w:left="270" w:right="1" w:firstLine="397"/>
        <w:jc w:val="both"/>
        <w:rPr>
          <w:sz w:val="18"/>
        </w:rPr>
      </w:pPr>
      <w:r>
        <w:rPr>
          <w:sz w:val="18"/>
        </w:rPr>
        <w:t>This research was conducted in the CAM located in the municipality of Guadalajara, Jalisco. Multipurpose classroom due  to the diversity of users and activities that take place there, being an important application of ergonomic criteria chosen</w:t>
      </w:r>
      <w:r>
        <w:rPr>
          <w:spacing w:val="-10"/>
          <w:sz w:val="18"/>
        </w:rPr>
        <w:t> </w:t>
      </w:r>
      <w:r>
        <w:rPr>
          <w:sz w:val="18"/>
        </w:rPr>
        <w:t>challenge.</w:t>
      </w:r>
    </w:p>
    <w:p>
      <w:pPr>
        <w:pStyle w:val="BodyText"/>
        <w:spacing w:before="3"/>
        <w:rPr>
          <w:sz w:val="18"/>
        </w:rPr>
      </w:pPr>
    </w:p>
    <w:p>
      <w:pPr>
        <w:pStyle w:val="ListParagraph"/>
        <w:numPr>
          <w:ilvl w:val="0"/>
          <w:numId w:val="13"/>
        </w:numPr>
        <w:tabs>
          <w:tab w:pos="452" w:val="left" w:leader="none"/>
        </w:tabs>
        <w:spacing w:line="240" w:lineRule="auto" w:before="0" w:after="0"/>
        <w:ind w:left="451" w:right="0" w:hanging="181"/>
        <w:jc w:val="both"/>
        <w:rPr>
          <w:b/>
          <w:sz w:val="18"/>
        </w:rPr>
      </w:pPr>
      <w:r>
        <w:rPr>
          <w:b/>
          <w:sz w:val="18"/>
        </w:rPr>
        <w:t>OBJECTIVES</w:t>
      </w:r>
    </w:p>
    <w:p>
      <w:pPr>
        <w:pStyle w:val="BodyText"/>
        <w:spacing w:before="7"/>
        <w:rPr>
          <w:b/>
          <w:sz w:val="17"/>
        </w:rPr>
      </w:pPr>
    </w:p>
    <w:p>
      <w:pPr>
        <w:spacing w:before="1"/>
        <w:ind w:left="270" w:right="1" w:firstLine="0"/>
        <w:jc w:val="both"/>
        <w:rPr>
          <w:sz w:val="18"/>
        </w:rPr>
      </w:pPr>
      <w:r>
        <w:rPr>
          <w:sz w:val="18"/>
        </w:rPr>
        <w:t>Propose adjustments to improve accessibility and safety of all users considering its capabilities and limitations in addition to the activities performed in the classroom multipurpose.</w:t>
      </w:r>
    </w:p>
    <w:p>
      <w:pPr>
        <w:pStyle w:val="BodyText"/>
        <w:spacing w:before="3"/>
        <w:rPr>
          <w:sz w:val="18"/>
        </w:rPr>
      </w:pPr>
    </w:p>
    <w:p>
      <w:pPr>
        <w:pStyle w:val="ListParagraph"/>
        <w:numPr>
          <w:ilvl w:val="0"/>
          <w:numId w:val="13"/>
        </w:numPr>
        <w:tabs>
          <w:tab w:pos="452" w:val="left" w:leader="none"/>
        </w:tabs>
        <w:spacing w:line="240" w:lineRule="auto" w:before="0" w:after="0"/>
        <w:ind w:left="451" w:right="0" w:hanging="181"/>
        <w:jc w:val="both"/>
        <w:rPr>
          <w:b/>
          <w:sz w:val="18"/>
        </w:rPr>
      </w:pPr>
      <w:r>
        <w:rPr>
          <w:b/>
          <w:sz w:val="18"/>
        </w:rPr>
        <w:t>DELIMITATION</w:t>
      </w:r>
    </w:p>
    <w:p>
      <w:pPr>
        <w:pStyle w:val="BodyText"/>
        <w:spacing w:before="7"/>
        <w:rPr>
          <w:b/>
          <w:sz w:val="17"/>
        </w:rPr>
      </w:pPr>
    </w:p>
    <w:p>
      <w:pPr>
        <w:spacing w:before="1"/>
        <w:ind w:left="270" w:right="1" w:firstLine="0"/>
        <w:jc w:val="both"/>
        <w:rPr>
          <w:sz w:val="18"/>
        </w:rPr>
      </w:pPr>
      <w:r>
        <w:rPr>
          <w:sz w:val="18"/>
        </w:rPr>
        <w:t>CAM population are adults and children with multiple disabilities; in the latter, autism spectrum disorder (ASD) and Down syndrome (DS) are the most common. There are also people with quadriplegia and others with some degree of hearing loss. Their age ranges between 3 and 8 years old.</w:t>
      </w:r>
    </w:p>
    <w:p>
      <w:pPr>
        <w:spacing w:before="0"/>
        <w:ind w:left="270" w:right="0" w:firstLine="397"/>
        <w:jc w:val="both"/>
        <w:rPr>
          <w:sz w:val="18"/>
        </w:rPr>
      </w:pPr>
      <w:r>
        <w:rPr>
          <w:sz w:val="18"/>
        </w:rPr>
        <w:t>The adult population is made up of teachers, parents and administrators. All share the facilities of the center of multiple attention, which is an administrative area, a central courtyard, six classrooms, a computer room, a classroom for multiple uses, a games room and a classroom for early stimulation. In addition to green and recreational areas.</w:t>
      </w:r>
    </w:p>
    <w:p>
      <w:pPr>
        <w:spacing w:before="0"/>
        <w:ind w:left="270" w:right="1" w:firstLine="397"/>
        <w:jc w:val="both"/>
        <w:rPr>
          <w:sz w:val="18"/>
        </w:rPr>
      </w:pPr>
      <w:r>
        <w:rPr>
          <w:sz w:val="18"/>
        </w:rPr>
        <w:t>For this project multipurpose classroom was chosen. The activities carried out in this classroom are: (a) the delivery of physical education, (b) academic and administrative boards or (c) recreational activities for parents.</w:t>
      </w:r>
    </w:p>
    <w:p>
      <w:pPr>
        <w:pStyle w:val="BodyText"/>
        <w:rPr>
          <w:sz w:val="18"/>
        </w:rPr>
      </w:pPr>
    </w:p>
    <w:p>
      <w:pPr>
        <w:pStyle w:val="BodyText"/>
        <w:spacing w:before="3"/>
        <w:rPr>
          <w:sz w:val="18"/>
        </w:rPr>
      </w:pPr>
    </w:p>
    <w:p>
      <w:pPr>
        <w:pStyle w:val="ListParagraph"/>
        <w:numPr>
          <w:ilvl w:val="0"/>
          <w:numId w:val="13"/>
        </w:numPr>
        <w:tabs>
          <w:tab w:pos="453" w:val="left" w:leader="none"/>
        </w:tabs>
        <w:spacing w:line="240" w:lineRule="auto" w:before="0" w:after="0"/>
        <w:ind w:left="452" w:right="0" w:hanging="182"/>
        <w:jc w:val="both"/>
        <w:rPr>
          <w:b/>
          <w:sz w:val="18"/>
        </w:rPr>
      </w:pPr>
      <w:r>
        <w:rPr>
          <w:b/>
          <w:sz w:val="18"/>
        </w:rPr>
        <w:t>METHOD</w:t>
      </w:r>
    </w:p>
    <w:p>
      <w:pPr>
        <w:pStyle w:val="BodyText"/>
        <w:spacing w:before="7"/>
        <w:rPr>
          <w:b/>
          <w:sz w:val="17"/>
        </w:rPr>
      </w:pPr>
    </w:p>
    <w:p>
      <w:pPr>
        <w:spacing w:before="1"/>
        <w:ind w:left="270" w:right="1" w:firstLine="0"/>
        <w:jc w:val="both"/>
        <w:rPr>
          <w:sz w:val="18"/>
        </w:rPr>
      </w:pPr>
      <w:r>
        <w:rPr>
          <w:sz w:val="18"/>
        </w:rPr>
        <w:t>The information was obtained from the CAM, was through scheduled visits. The first was to obtain an overview of multiple care center; for this, we were given a tour of the facilities. At the same time, we saw the people and their activities during the workday. This visit took place on the morning shift, which begins at 9:00 AM and ends at 13:00 PM.</w:t>
      </w:r>
    </w:p>
    <w:p>
      <w:pPr>
        <w:spacing w:before="0"/>
        <w:ind w:left="270" w:right="1" w:firstLine="708"/>
        <w:jc w:val="both"/>
        <w:rPr>
          <w:sz w:val="18"/>
        </w:rPr>
      </w:pPr>
      <w:r>
        <w:rPr>
          <w:sz w:val="18"/>
        </w:rPr>
        <w:t>During the visit we were allowed to be in the classroom for ten minutes in three different rooms, and during recess time students, which is about 15 minutes. To seek information at this stage, the observational method was used.</w:t>
      </w:r>
    </w:p>
    <w:p>
      <w:pPr>
        <w:spacing w:before="0"/>
        <w:ind w:left="270" w:right="0" w:firstLine="708"/>
        <w:jc w:val="both"/>
        <w:rPr>
          <w:sz w:val="18"/>
        </w:rPr>
      </w:pPr>
      <w:r>
        <w:rPr>
          <w:sz w:val="18"/>
        </w:rPr>
        <w:t>For the next visit, they conducted a semi-structured interview with the manager multipurpose classroom. This interview was recorded -prior been authorized, through a mobile phone.</w:t>
      </w:r>
    </w:p>
    <w:p>
      <w:pPr>
        <w:spacing w:before="0"/>
        <w:ind w:left="270" w:right="0" w:firstLine="708"/>
        <w:jc w:val="both"/>
        <w:rPr>
          <w:sz w:val="18"/>
        </w:rPr>
      </w:pPr>
      <w:r>
        <w:rPr>
          <w:sz w:val="18"/>
        </w:rPr>
        <w:t>A Sony Cyber-shot DSC W190 with 12.1 mega pixels was also used for the photographic survey of the classroom. On the other hand, a measuring tape of 20m was used to carry out the architectural survey, plus the CAD software, AutoCad LT 2013 English</w:t>
      </w:r>
      <w:r>
        <w:rPr>
          <w:spacing w:val="-2"/>
          <w:sz w:val="18"/>
        </w:rPr>
        <w:t> </w:t>
      </w:r>
      <w:r>
        <w:rPr>
          <w:sz w:val="18"/>
        </w:rPr>
        <w:t>version.</w:t>
      </w:r>
    </w:p>
    <w:p>
      <w:pPr>
        <w:spacing w:before="0"/>
        <w:ind w:left="270" w:right="0" w:firstLine="397"/>
        <w:jc w:val="both"/>
        <w:rPr>
          <w:sz w:val="18"/>
        </w:rPr>
      </w:pPr>
      <w:r>
        <w:rPr>
          <w:sz w:val="18"/>
        </w:rPr>
        <w:t>Furthermore the method of brainstorming for identification and analysis tasks are performed in the classroom multipurpose was used. The following information is organized in a hierarchy flowcharts each of the tasks and required</w:t>
      </w:r>
      <w:r>
        <w:rPr>
          <w:spacing w:val="-11"/>
          <w:sz w:val="18"/>
        </w:rPr>
        <w:t> </w:t>
      </w:r>
      <w:r>
        <w:rPr>
          <w:sz w:val="18"/>
        </w:rPr>
        <w:t>materials.</w:t>
      </w:r>
    </w:p>
    <w:p>
      <w:pPr>
        <w:spacing w:before="0"/>
        <w:ind w:left="270" w:right="1" w:firstLine="708"/>
        <w:jc w:val="both"/>
        <w:rPr>
          <w:sz w:val="18"/>
        </w:rPr>
      </w:pPr>
      <w:r>
        <w:rPr>
          <w:sz w:val="18"/>
        </w:rPr>
        <w:t>At this stage four design criteria set by [2], based on with ASD  in  school  environments,  which  by  their  nature  also  favor</w:t>
      </w:r>
    </w:p>
    <w:p>
      <w:pPr>
        <w:spacing w:before="77"/>
        <w:ind w:left="270" w:right="677" w:firstLine="0"/>
        <w:jc w:val="both"/>
        <w:rPr>
          <w:sz w:val="18"/>
        </w:rPr>
      </w:pPr>
      <w:r>
        <w:rPr/>
        <w:br w:type="column"/>
      </w:r>
      <w:r>
        <w:rPr>
          <w:sz w:val="18"/>
        </w:rPr>
        <w:t>stimulation in children with DS were considered. Besides the Collage was used as a design method for characterization of space, using the colors proposed by [3] in the design of spaces for school education for children.</w:t>
      </w:r>
    </w:p>
    <w:p>
      <w:pPr>
        <w:spacing w:before="0"/>
        <w:ind w:left="270" w:right="676" w:firstLine="397"/>
        <w:jc w:val="both"/>
        <w:rPr>
          <w:sz w:val="18"/>
        </w:rPr>
      </w:pPr>
      <w:r>
        <w:rPr>
          <w:sz w:val="18"/>
        </w:rPr>
        <w:t>After the stage of conceptualization, architectural plans with the proposed improvements where concepts and requirements applied previously obtained were developed. At the same time, he used local suppliers for the cost of each of the proposed materials.</w:t>
      </w:r>
    </w:p>
    <w:p>
      <w:pPr>
        <w:pStyle w:val="BodyText"/>
        <w:rPr>
          <w:sz w:val="18"/>
        </w:rPr>
      </w:pPr>
    </w:p>
    <w:p>
      <w:pPr>
        <w:pStyle w:val="BodyText"/>
        <w:spacing w:before="4"/>
        <w:rPr>
          <w:sz w:val="18"/>
        </w:rPr>
      </w:pPr>
    </w:p>
    <w:p>
      <w:pPr>
        <w:pStyle w:val="ListParagraph"/>
        <w:numPr>
          <w:ilvl w:val="0"/>
          <w:numId w:val="13"/>
        </w:numPr>
        <w:tabs>
          <w:tab w:pos="452" w:val="left" w:leader="none"/>
        </w:tabs>
        <w:spacing w:line="240" w:lineRule="auto" w:before="0" w:after="0"/>
        <w:ind w:left="451" w:right="0" w:hanging="181"/>
        <w:jc w:val="both"/>
        <w:rPr>
          <w:b/>
          <w:sz w:val="18"/>
        </w:rPr>
      </w:pPr>
      <w:r>
        <w:rPr>
          <w:b/>
          <w:sz w:val="18"/>
        </w:rPr>
        <w:t>RESULTS</w:t>
      </w:r>
    </w:p>
    <w:p>
      <w:pPr>
        <w:pStyle w:val="BodyText"/>
        <w:spacing w:before="6"/>
        <w:rPr>
          <w:b/>
          <w:sz w:val="17"/>
        </w:rPr>
      </w:pPr>
    </w:p>
    <w:p>
      <w:pPr>
        <w:spacing w:before="0"/>
        <w:ind w:left="270" w:right="676" w:firstLine="397"/>
        <w:jc w:val="both"/>
        <w:rPr>
          <w:sz w:val="18"/>
        </w:rPr>
      </w:pPr>
      <w:r>
        <w:rPr>
          <w:sz w:val="18"/>
        </w:rPr>
        <w:t>With respect to information collected in the interview and observation, materials and equipment suitable user profile and the activities performed in the classroom multipurpose to be determined. Just as health and safety requirements.</w:t>
      </w:r>
    </w:p>
    <w:p>
      <w:pPr>
        <w:spacing w:before="0"/>
        <w:ind w:left="270" w:right="676" w:firstLine="397"/>
        <w:jc w:val="both"/>
        <w:rPr>
          <w:sz w:val="18"/>
        </w:rPr>
      </w:pPr>
      <w:r>
        <w:rPr>
          <w:sz w:val="18"/>
        </w:rPr>
        <w:t>Through this proposed reorganization of space was achieved by relocating the furniture used for boards. To create a neutral environment for relaxation for adults and children with multiple disabilities, it was proposed to use the colors pink coral tone and salmon; peach; pastel green and olive; at a maximum height of 120 cm from the floor to provide tranquility in children [3]. To the  other part of the wall was proposed to be neutral gray, besides being in the range of vision of</w:t>
      </w:r>
      <w:r>
        <w:rPr>
          <w:spacing w:val="-12"/>
          <w:sz w:val="18"/>
        </w:rPr>
        <w:t> </w:t>
      </w:r>
      <w:r>
        <w:rPr>
          <w:sz w:val="18"/>
        </w:rPr>
        <w:t>adults.</w:t>
      </w:r>
    </w:p>
    <w:p>
      <w:pPr>
        <w:pStyle w:val="BodyText"/>
      </w:pPr>
    </w:p>
    <w:p>
      <w:pPr>
        <w:pStyle w:val="BodyText"/>
      </w:pPr>
    </w:p>
    <w:p>
      <w:pPr>
        <w:pStyle w:val="BodyText"/>
        <w:spacing w:before="10"/>
        <w:rPr>
          <w:sz w:val="24"/>
        </w:rPr>
      </w:pPr>
      <w:r>
        <w:rPr/>
        <w:drawing>
          <wp:anchor distT="0" distB="0" distL="0" distR="0" allowOverlap="1" layoutInCell="1" locked="0" behindDoc="0" simplePos="0" relativeHeight="1696">
            <wp:simplePos x="0" y="0"/>
            <wp:positionH relativeFrom="page">
              <wp:posOffset>4121658</wp:posOffset>
            </wp:positionH>
            <wp:positionV relativeFrom="paragraph">
              <wp:posOffset>206699</wp:posOffset>
            </wp:positionV>
            <wp:extent cx="3083401" cy="3711797"/>
            <wp:effectExtent l="0" t="0" r="0" b="0"/>
            <wp:wrapTopAndBottom/>
            <wp:docPr id="23" name="image12.jpeg" descr=""/>
            <wp:cNvGraphicFramePr>
              <a:graphicFrameLocks noChangeAspect="1"/>
            </wp:cNvGraphicFramePr>
            <a:graphic>
              <a:graphicData uri="http://schemas.openxmlformats.org/drawingml/2006/picture">
                <pic:pic>
                  <pic:nvPicPr>
                    <pic:cNvPr id="24" name="image12.jpeg"/>
                    <pic:cNvPicPr/>
                  </pic:nvPicPr>
                  <pic:blipFill>
                    <a:blip r:embed="rId35" cstate="print"/>
                    <a:stretch>
                      <a:fillRect/>
                    </a:stretch>
                  </pic:blipFill>
                  <pic:spPr>
                    <a:xfrm>
                      <a:off x="0" y="0"/>
                      <a:ext cx="3083401" cy="3711797"/>
                    </a:xfrm>
                    <a:prstGeom prst="rect">
                      <a:avLst/>
                    </a:prstGeom>
                  </pic:spPr>
                </pic:pic>
              </a:graphicData>
            </a:graphic>
          </wp:anchor>
        </w:drawing>
      </w:r>
    </w:p>
    <w:p>
      <w:pPr>
        <w:pStyle w:val="BodyText"/>
        <w:rPr>
          <w:sz w:val="18"/>
        </w:rPr>
      </w:pPr>
    </w:p>
    <w:p>
      <w:pPr>
        <w:pStyle w:val="BodyText"/>
        <w:spacing w:before="10"/>
        <w:rPr>
          <w:sz w:val="15"/>
        </w:rPr>
      </w:pPr>
    </w:p>
    <w:p>
      <w:pPr>
        <w:spacing w:before="0"/>
        <w:ind w:left="1650" w:right="1203" w:hanging="838"/>
        <w:jc w:val="left"/>
        <w:rPr>
          <w:sz w:val="18"/>
        </w:rPr>
      </w:pPr>
      <w:r>
        <w:rPr>
          <w:sz w:val="18"/>
        </w:rPr>
        <w:t>Figura 2. Top view multipurpose classroom with the implementation of proposals.</w:t>
      </w:r>
    </w:p>
    <w:p>
      <w:pPr>
        <w:spacing w:after="0"/>
        <w:jc w:val="left"/>
        <w:rPr>
          <w:sz w:val="18"/>
        </w:rPr>
        <w:sectPr>
          <w:type w:val="continuous"/>
          <w:pgSz w:w="12240" w:h="15840"/>
          <w:pgMar w:top="1500" w:bottom="280" w:left="580" w:right="220"/>
          <w:cols w:num="2" w:equalWidth="0">
            <w:col w:w="5190" w:space="435"/>
            <w:col w:w="5815"/>
          </w:cols>
        </w:sectPr>
      </w:pPr>
    </w:p>
    <w:p>
      <w:pPr>
        <w:pStyle w:val="BodyText"/>
        <w:rPr>
          <w:sz w:val="11"/>
        </w:rPr>
      </w:pPr>
    </w:p>
    <w:p>
      <w:pPr>
        <w:spacing w:before="77"/>
        <w:ind w:left="270" w:right="6277" w:firstLine="397"/>
        <w:jc w:val="both"/>
        <w:rPr>
          <w:sz w:val="18"/>
        </w:rPr>
      </w:pPr>
      <w:r>
        <w:rPr>
          <w:sz w:val="18"/>
        </w:rPr>
        <w:t>Moreover, it was suggested by change blackboards board paint and coating the exposed foam construction. It was also proposed to change the glass windows by plastic (polycarbonate). All this with the intention to allow safe and free-form interaction [2].</w:t>
      </w:r>
    </w:p>
    <w:p>
      <w:pPr>
        <w:spacing w:before="0"/>
        <w:ind w:left="270" w:right="6275" w:firstLine="397"/>
        <w:jc w:val="both"/>
        <w:rPr>
          <w:sz w:val="18"/>
        </w:rPr>
      </w:pPr>
      <w:r>
        <w:rPr>
          <w:sz w:val="18"/>
        </w:rPr>
        <w:t>To support the activities, installation of stairs early  stimulation on both sides of the classroom was proposed; swings assembly and installation of a special laminate floor, for the protection of children and adult activities. Furthermore, the implementation of colored lines on the floor, provides a definition of space, which helps children in their</w:t>
      </w:r>
      <w:r>
        <w:rPr>
          <w:spacing w:val="-12"/>
          <w:sz w:val="18"/>
        </w:rPr>
        <w:t> </w:t>
      </w:r>
      <w:r>
        <w:rPr>
          <w:sz w:val="18"/>
        </w:rPr>
        <w:t>stimulation.</w:t>
      </w:r>
    </w:p>
    <w:p>
      <w:pPr>
        <w:spacing w:before="0"/>
        <w:ind w:left="270" w:right="6277" w:firstLine="0"/>
        <w:jc w:val="both"/>
        <w:rPr>
          <w:sz w:val="18"/>
        </w:rPr>
      </w:pPr>
      <w:r>
        <w:rPr>
          <w:sz w:val="18"/>
        </w:rPr>
        <w:t>With this proposal we were able to adapt the multi-purpose classroom CAM capabilities and limitations of most users. Better spatial distribution was also performed and the possible combinations of materials and inputs that contribute to the stimulation of children were proposed.</w:t>
      </w:r>
    </w:p>
    <w:p>
      <w:pPr>
        <w:pStyle w:val="BodyText"/>
        <w:rPr>
          <w:sz w:val="18"/>
        </w:rPr>
      </w:pPr>
    </w:p>
    <w:p>
      <w:pPr>
        <w:pStyle w:val="BodyText"/>
        <w:spacing w:before="3"/>
        <w:rPr>
          <w:sz w:val="18"/>
        </w:rPr>
      </w:pPr>
    </w:p>
    <w:p>
      <w:pPr>
        <w:pStyle w:val="ListParagraph"/>
        <w:numPr>
          <w:ilvl w:val="0"/>
          <w:numId w:val="13"/>
        </w:numPr>
        <w:tabs>
          <w:tab w:pos="452" w:val="left" w:leader="none"/>
        </w:tabs>
        <w:spacing w:line="240" w:lineRule="auto" w:before="0" w:after="0"/>
        <w:ind w:left="451" w:right="0" w:hanging="181"/>
        <w:jc w:val="both"/>
        <w:rPr>
          <w:b/>
          <w:sz w:val="18"/>
        </w:rPr>
      </w:pPr>
      <w:r>
        <w:rPr>
          <w:b/>
          <w:sz w:val="18"/>
        </w:rPr>
        <w:t>CONCLUSIONS</w:t>
      </w:r>
    </w:p>
    <w:p>
      <w:pPr>
        <w:pStyle w:val="BodyText"/>
        <w:spacing w:before="7"/>
        <w:rPr>
          <w:b/>
          <w:sz w:val="17"/>
        </w:rPr>
      </w:pPr>
    </w:p>
    <w:p>
      <w:pPr>
        <w:spacing w:before="1"/>
        <w:ind w:left="270" w:right="6275" w:firstLine="0"/>
        <w:jc w:val="both"/>
        <w:rPr>
          <w:sz w:val="18"/>
        </w:rPr>
      </w:pPr>
      <w:r>
        <w:rPr>
          <w:sz w:val="18"/>
        </w:rPr>
        <w:t>Using the criteria of inclusive design the proposed redesign of a multipurpose classroom for Multiple Assistance Center (CAM) was performed. One of the major constraints to carry out our proposal are the financial resources.</w:t>
      </w:r>
    </w:p>
    <w:p>
      <w:pPr>
        <w:spacing w:before="0"/>
        <w:ind w:left="270" w:right="6275" w:firstLine="397"/>
        <w:jc w:val="both"/>
        <w:rPr>
          <w:sz w:val="18"/>
        </w:rPr>
      </w:pPr>
      <w:r>
        <w:rPr>
          <w:sz w:val="18"/>
        </w:rPr>
        <w:t>Because this type of schools in the public sector, resources  are limited and in many cases depend on the contributions or donations from private institutions to keep their facilities in the best possible</w:t>
      </w:r>
      <w:r>
        <w:rPr>
          <w:spacing w:val="-4"/>
          <w:sz w:val="18"/>
        </w:rPr>
        <w:t> </w:t>
      </w:r>
      <w:r>
        <w:rPr>
          <w:sz w:val="18"/>
        </w:rPr>
        <w:t>conditions.</w:t>
      </w:r>
    </w:p>
    <w:p>
      <w:pPr>
        <w:spacing w:before="0"/>
        <w:ind w:left="270" w:right="6275" w:firstLine="397"/>
        <w:jc w:val="both"/>
        <w:rPr>
          <w:sz w:val="18"/>
        </w:rPr>
      </w:pPr>
      <w:r>
        <w:rPr>
          <w:sz w:val="18"/>
        </w:rPr>
        <w:t>Despite this, the provision of administrative authorities is full, and it was agreed that this proposal be developed in stages, starting with the intervention of the walls and ceiling. Then continue with the installation of equipment to support activities such as ladders and swings and finally installing the floor and windows.</w:t>
      </w:r>
    </w:p>
    <w:p>
      <w:pPr>
        <w:spacing w:before="0"/>
        <w:ind w:left="270" w:right="6276" w:firstLine="397"/>
        <w:jc w:val="both"/>
        <w:rPr>
          <w:sz w:val="18"/>
        </w:rPr>
      </w:pPr>
      <w:r>
        <w:rPr>
          <w:sz w:val="18"/>
        </w:rPr>
        <w:t>Furthermore it is intended that these adaptations are evaluated in each of the stages of development; and also once all have been completed.</w:t>
      </w:r>
    </w:p>
    <w:p>
      <w:pPr>
        <w:pStyle w:val="BodyText"/>
        <w:rPr>
          <w:sz w:val="18"/>
        </w:rPr>
      </w:pPr>
    </w:p>
    <w:p>
      <w:pPr>
        <w:pStyle w:val="BodyText"/>
        <w:spacing w:before="3"/>
        <w:rPr>
          <w:sz w:val="18"/>
        </w:rPr>
      </w:pPr>
    </w:p>
    <w:p>
      <w:pPr>
        <w:pStyle w:val="ListParagraph"/>
        <w:numPr>
          <w:ilvl w:val="0"/>
          <w:numId w:val="13"/>
        </w:numPr>
        <w:tabs>
          <w:tab w:pos="452" w:val="left" w:leader="none"/>
        </w:tabs>
        <w:spacing w:line="240" w:lineRule="auto" w:before="0" w:after="0"/>
        <w:ind w:left="451" w:right="0" w:hanging="181"/>
        <w:jc w:val="both"/>
        <w:rPr>
          <w:b/>
          <w:sz w:val="18"/>
        </w:rPr>
      </w:pPr>
      <w:r>
        <w:rPr>
          <w:b/>
          <w:sz w:val="18"/>
        </w:rPr>
        <w:t>REFERENCES</w:t>
      </w:r>
    </w:p>
    <w:p>
      <w:pPr>
        <w:pStyle w:val="BodyText"/>
        <w:spacing w:before="7"/>
        <w:rPr>
          <w:b/>
          <w:sz w:val="17"/>
        </w:rPr>
      </w:pPr>
    </w:p>
    <w:p>
      <w:pPr>
        <w:spacing w:before="1"/>
        <w:ind w:left="270" w:right="0" w:firstLine="0"/>
        <w:jc w:val="both"/>
        <w:rPr>
          <w:sz w:val="18"/>
        </w:rPr>
      </w:pPr>
      <w:r>
        <w:rPr>
          <w:sz w:val="18"/>
        </w:rPr>
        <w:t>[1] British Standard Institute (BSI), 2005.</w:t>
      </w:r>
    </w:p>
    <w:p>
      <w:pPr>
        <w:spacing w:before="0"/>
        <w:ind w:left="270" w:right="6277" w:firstLine="0"/>
        <w:jc w:val="both"/>
        <w:rPr>
          <w:sz w:val="18"/>
        </w:rPr>
      </w:pPr>
      <w:r>
        <w:rPr>
          <w:sz w:val="18"/>
        </w:rPr>
        <w:t>[2] I. Scott, “Designing learning spaces for children on the autism spectrum”, GAP, 10(1), pp 35-51, 2009.</w:t>
      </w:r>
    </w:p>
    <w:p>
      <w:pPr>
        <w:spacing w:before="0"/>
        <w:ind w:left="270" w:right="6276" w:firstLine="0"/>
        <w:jc w:val="both"/>
        <w:rPr>
          <w:sz w:val="18"/>
        </w:rPr>
      </w:pPr>
      <w:r>
        <w:rPr>
          <w:sz w:val="18"/>
        </w:rPr>
        <w:t>[3] Frank H. Mahnke, “Color, environment, and human response: an interdisciplinary understanding of color and its use as a beneficial element in the design of the architectural environment”, John Wiley &amp; Sons,</w:t>
      </w:r>
      <w:r>
        <w:rPr>
          <w:spacing w:val="-16"/>
          <w:sz w:val="18"/>
        </w:rPr>
        <w:t> </w:t>
      </w:r>
      <w:r>
        <w:rPr>
          <w:sz w:val="18"/>
        </w:rPr>
        <w:t>1996.</w:t>
      </w:r>
    </w:p>
    <w:p>
      <w:pPr>
        <w:pStyle w:val="BodyText"/>
        <w:rPr>
          <w:sz w:val="18"/>
        </w:rPr>
      </w:pPr>
    </w:p>
    <w:p>
      <w:pPr>
        <w:pStyle w:val="BodyText"/>
        <w:spacing w:before="10"/>
        <w:rPr>
          <w:sz w:val="17"/>
        </w:rPr>
      </w:pPr>
    </w:p>
    <w:p>
      <w:pPr>
        <w:spacing w:before="1"/>
        <w:ind w:left="270" w:right="6276" w:firstLine="0"/>
        <w:jc w:val="both"/>
        <w:rPr>
          <w:sz w:val="18"/>
        </w:rPr>
      </w:pPr>
      <w:r>
        <w:rPr>
          <w:b/>
          <w:sz w:val="18"/>
        </w:rPr>
        <w:t>Principal author's name: </w:t>
      </w:r>
      <w:r>
        <w:rPr>
          <w:sz w:val="18"/>
        </w:rPr>
        <w:t>He holds a degree in Industrial Design from the University of Guadalajara. He is currently studying the Master of Ergonomics, focusing on design at the University of Guadalajara, which belongs to the national standard of quality graduate (PNPC).</w:t>
      </w:r>
    </w:p>
    <w:p>
      <w:pPr>
        <w:pStyle w:val="BodyText"/>
        <w:rPr>
          <w:sz w:val="18"/>
        </w:rPr>
      </w:pPr>
    </w:p>
    <w:p>
      <w:pPr>
        <w:spacing w:before="0"/>
        <w:ind w:left="270" w:right="6275" w:firstLine="0"/>
        <w:jc w:val="both"/>
        <w:rPr>
          <w:sz w:val="18"/>
        </w:rPr>
      </w:pPr>
      <w:r>
        <w:rPr>
          <w:b/>
          <w:sz w:val="18"/>
        </w:rPr>
        <w:t>Second author's name: </w:t>
      </w:r>
      <w:r>
        <w:rPr>
          <w:sz w:val="18"/>
        </w:rPr>
        <w:t>She has a degree in Interior Design from the University of Guanajuato and has a diploma in Art Direction by the University Audiovisual Media CAAV. He is currently performing a scholarship from CONACYT terminated Master of Ergonomics in Design from the University of Guadalajara. In addition it provides consultancy services for design-time gyms, hotels, public spaces, premises, furniture, etc.</w:t>
      </w:r>
    </w:p>
    <w:p>
      <w:pPr>
        <w:spacing w:after="0"/>
        <w:jc w:val="both"/>
        <w:rPr>
          <w:sz w:val="18"/>
        </w:rPr>
        <w:sectPr>
          <w:pgSz w:w="12240" w:h="15840"/>
          <w:pgMar w:header="545" w:footer="852" w:top="1060" w:bottom="1040" w:left="580" w:right="220"/>
        </w:sectPr>
      </w:pPr>
    </w:p>
    <w:p>
      <w:pPr>
        <w:pStyle w:val="BodyText"/>
        <w:spacing w:before="4"/>
        <w:rPr>
          <w:sz w:val="11"/>
        </w:rPr>
      </w:pPr>
    </w:p>
    <w:p>
      <w:pPr>
        <w:spacing w:after="0"/>
        <w:rPr>
          <w:sz w:val="11"/>
        </w:rPr>
        <w:sectPr>
          <w:pgSz w:w="12240" w:h="15840"/>
          <w:pgMar w:header="545" w:footer="852" w:top="1060" w:bottom="1040" w:left="580" w:right="220"/>
        </w:sectPr>
      </w:pPr>
    </w:p>
    <w:p>
      <w:pPr>
        <w:pStyle w:val="Heading1"/>
        <w:spacing w:before="77"/>
      </w:pPr>
      <w:bookmarkStart w:name="_TOC_250002" w:id="1"/>
      <w:bookmarkEnd w:id="1"/>
      <w:r>
        <w:rPr/>
        <w:t>“Ergonomics in the design of a classroom”</w:t>
      </w:r>
    </w:p>
    <w:p>
      <w:pPr>
        <w:pStyle w:val="BodyText"/>
        <w:spacing w:before="8"/>
        <w:rPr>
          <w:b/>
          <w:sz w:val="19"/>
        </w:rPr>
      </w:pPr>
    </w:p>
    <w:p>
      <w:pPr>
        <w:spacing w:before="0"/>
        <w:ind w:left="270" w:right="19" w:firstLine="0"/>
        <w:jc w:val="both"/>
        <w:rPr>
          <w:i/>
          <w:sz w:val="20"/>
        </w:rPr>
      </w:pPr>
      <w:r>
        <w:rPr>
          <w:i/>
          <w:sz w:val="20"/>
        </w:rPr>
        <w:t>Dr. Raymundo Ocaña Delgado (a), Mtra. Argelia Monserrat </w:t>
      </w:r>
      <w:r>
        <w:rPr>
          <w:i/>
          <w:sz w:val="20"/>
        </w:rPr>
        <w:t>Rodríguez Leonel (b), Mtro. Francisco Platas  López  (c), Dr. Jorge E. Zarur Cortes</w:t>
      </w:r>
      <w:r>
        <w:rPr>
          <w:i/>
          <w:spacing w:val="-18"/>
          <w:sz w:val="20"/>
        </w:rPr>
        <w:t> </w:t>
      </w:r>
      <w:r>
        <w:rPr>
          <w:i/>
          <w:sz w:val="20"/>
        </w:rPr>
        <w:t>(d).</w:t>
      </w:r>
    </w:p>
    <w:p>
      <w:pPr>
        <w:pStyle w:val="BodyText"/>
        <w:spacing w:before="7"/>
        <w:rPr>
          <w:i/>
          <w:sz w:val="18"/>
        </w:rPr>
      </w:pPr>
    </w:p>
    <w:p>
      <w:pPr>
        <w:spacing w:before="0"/>
        <w:ind w:left="270" w:right="0" w:firstLine="0"/>
        <w:jc w:val="both"/>
        <w:rPr>
          <w:sz w:val="16"/>
        </w:rPr>
      </w:pPr>
      <w:r>
        <w:rPr>
          <w:position w:val="7"/>
          <w:sz w:val="10"/>
        </w:rPr>
        <w:t>a </w:t>
      </w:r>
      <w:r>
        <w:rPr>
          <w:sz w:val="16"/>
        </w:rPr>
        <w:t>PTC at the Autonomous University of the State of Mexico, Camino Viejo a Jilotzingo s/n, CP 55600, </w:t>
      </w:r>
      <w:hyperlink r:id="rId36">
        <w:r>
          <w:rPr>
            <w:color w:val="0000FF"/>
            <w:sz w:val="16"/>
            <w:u w:val="single" w:color="0000FF"/>
          </w:rPr>
          <w:t>rocanad@uaemex.mx</w:t>
        </w:r>
        <w:r>
          <w:rPr>
            <w:sz w:val="16"/>
          </w:rPr>
          <w:t>,</w:t>
        </w:r>
      </w:hyperlink>
      <w:r>
        <w:rPr>
          <w:sz w:val="16"/>
        </w:rPr>
        <w:t> Zumpango, State of Mexico.</w:t>
      </w:r>
    </w:p>
    <w:p>
      <w:pPr>
        <w:spacing w:line="184" w:lineRule="exact" w:before="1"/>
        <w:ind w:left="270" w:right="1" w:firstLine="0"/>
        <w:jc w:val="both"/>
        <w:rPr>
          <w:sz w:val="16"/>
        </w:rPr>
      </w:pPr>
      <w:r>
        <w:rPr>
          <w:position w:val="7"/>
          <w:sz w:val="10"/>
        </w:rPr>
        <w:t>b </w:t>
      </w:r>
      <w:r>
        <w:rPr>
          <w:sz w:val="16"/>
        </w:rPr>
        <w:t>PA at the Autonomous University of the State of Mexico, Camino Viejo a Jilotzingo s/n, CP 55600, </w:t>
      </w:r>
      <w:hyperlink r:id="rId37">
        <w:r>
          <w:rPr>
            <w:color w:val="0000FF"/>
            <w:sz w:val="16"/>
            <w:u w:val="single" w:color="0000FF"/>
          </w:rPr>
          <w:t>arodriguezl@uaemex.mx</w:t>
        </w:r>
        <w:r>
          <w:rPr>
            <w:sz w:val="16"/>
          </w:rPr>
          <w:t>,</w:t>
        </w:r>
      </w:hyperlink>
      <w:r>
        <w:rPr>
          <w:sz w:val="16"/>
        </w:rPr>
        <w:t> Zumpango, State of Mexico.</w:t>
      </w:r>
    </w:p>
    <w:p>
      <w:pPr>
        <w:spacing w:line="184" w:lineRule="exact" w:before="0"/>
        <w:ind w:left="270" w:right="1" w:firstLine="0"/>
        <w:jc w:val="both"/>
        <w:rPr>
          <w:sz w:val="16"/>
        </w:rPr>
      </w:pPr>
      <w:r>
        <w:rPr>
          <w:position w:val="7"/>
          <w:sz w:val="10"/>
        </w:rPr>
        <w:t>c </w:t>
      </w:r>
      <w:r>
        <w:rPr>
          <w:sz w:val="16"/>
        </w:rPr>
        <w:t>PTC at the Autonomous University of the State of Mexico, Camino Viejo a Jilotzingo s/n, CP 55600, </w:t>
      </w:r>
      <w:hyperlink r:id="rId38">
        <w:r>
          <w:rPr>
            <w:color w:val="0000FF"/>
            <w:sz w:val="16"/>
            <w:u w:val="single" w:color="0000FF"/>
          </w:rPr>
          <w:t>fplatasl@uaemex.mx</w:t>
        </w:r>
        <w:r>
          <w:rPr>
            <w:sz w:val="16"/>
          </w:rPr>
          <w:t>,</w:t>
        </w:r>
      </w:hyperlink>
      <w:r>
        <w:rPr>
          <w:sz w:val="16"/>
        </w:rPr>
        <w:t> Zumpango, State  of Mexico.</w:t>
      </w:r>
    </w:p>
    <w:p>
      <w:pPr>
        <w:spacing w:line="184" w:lineRule="exact" w:before="0"/>
        <w:ind w:left="270" w:right="0" w:firstLine="0"/>
        <w:jc w:val="both"/>
        <w:rPr>
          <w:sz w:val="16"/>
        </w:rPr>
      </w:pPr>
      <w:r>
        <w:rPr>
          <w:position w:val="7"/>
          <w:sz w:val="10"/>
        </w:rPr>
        <w:t>d </w:t>
      </w:r>
      <w:r>
        <w:rPr>
          <w:sz w:val="16"/>
        </w:rPr>
        <w:t>PTC at the Autonomous University of the State of Mexico, Camino Viejo a Jilotzingo s/n, CP 55600, </w:t>
      </w:r>
      <w:hyperlink r:id="rId39">
        <w:r>
          <w:rPr>
            <w:color w:val="0000FF"/>
            <w:sz w:val="16"/>
            <w:u w:val="single" w:color="0000FF"/>
          </w:rPr>
          <w:t>jzarurc@uaemex.mx</w:t>
        </w:r>
        <w:r>
          <w:rPr>
            <w:sz w:val="16"/>
          </w:rPr>
          <w:t>,</w:t>
        </w:r>
      </w:hyperlink>
      <w:r>
        <w:rPr>
          <w:sz w:val="16"/>
        </w:rPr>
        <w:t> Zumpango, State of  Mexico.</w:t>
      </w:r>
    </w:p>
    <w:p>
      <w:pPr>
        <w:pStyle w:val="BodyText"/>
        <w:rPr>
          <w:sz w:val="16"/>
        </w:rPr>
      </w:pPr>
    </w:p>
    <w:p>
      <w:pPr>
        <w:pStyle w:val="BodyText"/>
        <w:spacing w:before="3"/>
      </w:pPr>
    </w:p>
    <w:p>
      <w:pPr>
        <w:pStyle w:val="Heading4"/>
      </w:pPr>
      <w:r>
        <w:rPr/>
        <w:pict>
          <v:line style="position:absolute;mso-position-horizontal-relative:page;mso-position-vertical-relative:paragraph;z-index:1720" from="41.040001pt,13.205793pt" to="288.540001pt,13.205793pt" stroked="true" strokeweight="1.5pt" strokecolor="#000000">
            <w10:wrap type="none"/>
          </v:line>
        </w:pict>
      </w:r>
      <w:r>
        <w:rPr/>
        <w:t>Resumen</w:t>
      </w:r>
    </w:p>
    <w:p>
      <w:pPr>
        <w:pStyle w:val="BodyText"/>
        <w:spacing w:before="46"/>
        <w:ind w:left="270" w:right="17"/>
        <w:jc w:val="both"/>
      </w:pPr>
      <w:r>
        <w:rPr/>
        <w:t>Al igual que muchos objetos, la conceptualización de un salón de clases depende de múltiples variables, las cuales en gran medida determinaran si la educación ahí impartida será selectiva y de calidad, o bien, masiva y con fines de lucro.  En tal sentido, esta investigación ha buscado hacer evidente cuáles son los factores ergonómicos más importantes a considerar durante el diseño de una aula escolar, lo que permite ofrecer a instituciones de educación tanto públicas como privadas, elementos que les ayuden en el análisis de la situación en que se encuentran sus espacios de trabajo docente, y de requerirse, llevar a cabo los cambios necesarios para brindar un bienestar físico, mental y social completo, a cada uno de los integrantes de su comunidad, tal y como lo establece la Organización Mundial de la</w:t>
      </w:r>
      <w:r>
        <w:rPr>
          <w:spacing w:val="-7"/>
        </w:rPr>
        <w:t> </w:t>
      </w:r>
      <w:r>
        <w:rPr/>
        <w:t>Salud.</w:t>
      </w:r>
    </w:p>
    <w:p>
      <w:pPr>
        <w:pStyle w:val="BodyText"/>
        <w:ind w:left="270" w:right="18" w:firstLine="450"/>
        <w:jc w:val="both"/>
      </w:pPr>
      <w:r>
        <w:rPr/>
        <w:t>Ahora bien, para alcanzar el objetivo, inicialmente se realizó una investigación de tipo documental, abordando temáticas relativas a la psicología y sociología de las organizaciones educativas, el trabajo docente, la ergonomía  y los espacios de trabajo y, las funciones de la forma. Posteriormente, mediante una investigación descriptiva se establecieron los elementos preponderantes a considerar en  el diseño de una aula</w:t>
      </w:r>
      <w:r>
        <w:rPr>
          <w:spacing w:val="-18"/>
        </w:rPr>
        <w:t> </w:t>
      </w:r>
      <w:r>
        <w:rPr/>
        <w:t>escolar.</w:t>
      </w:r>
    </w:p>
    <w:p>
      <w:pPr>
        <w:pStyle w:val="BodyText"/>
        <w:spacing w:before="11"/>
        <w:rPr>
          <w:sz w:val="19"/>
        </w:rPr>
      </w:pPr>
    </w:p>
    <w:p>
      <w:pPr>
        <w:spacing w:before="0"/>
        <w:ind w:left="270" w:right="0" w:firstLine="0"/>
        <w:jc w:val="both"/>
        <w:rPr>
          <w:sz w:val="20"/>
        </w:rPr>
      </w:pPr>
      <w:r>
        <w:rPr>
          <w:b/>
          <w:sz w:val="20"/>
        </w:rPr>
        <w:t>Palabras clave</w:t>
      </w:r>
      <w:r>
        <w:rPr>
          <w:sz w:val="20"/>
        </w:rPr>
        <w:t>— Aula escolar, Diseño, Ergonomía.</w:t>
      </w:r>
    </w:p>
    <w:p>
      <w:pPr>
        <w:pStyle w:val="BodyText"/>
      </w:pPr>
    </w:p>
    <w:p>
      <w:pPr>
        <w:pStyle w:val="BodyText"/>
        <w:spacing w:before="3"/>
      </w:pPr>
    </w:p>
    <w:p>
      <w:pPr>
        <w:pStyle w:val="Heading5"/>
        <w:rPr>
          <w:i/>
        </w:rPr>
      </w:pPr>
      <w:r>
        <w:rPr/>
        <w:pict>
          <v:line style="position:absolute;mso-position-horizontal-relative:page;mso-position-vertical-relative:paragraph;z-index:1744" from="41.040001pt,13.206809pt" to="288.540001pt,13.206809pt" stroked="true" strokeweight="1.5pt" strokecolor="#000000">
            <w10:wrap type="none"/>
          </v:line>
        </w:pict>
      </w:r>
      <w:r>
        <w:rPr>
          <w:i/>
        </w:rPr>
        <w:t>Abstract</w:t>
      </w:r>
    </w:p>
    <w:p>
      <w:pPr>
        <w:spacing w:before="46"/>
        <w:ind w:left="270" w:right="17" w:firstLine="0"/>
        <w:jc w:val="both"/>
        <w:rPr>
          <w:i/>
          <w:sz w:val="20"/>
        </w:rPr>
      </w:pPr>
      <w:r>
        <w:rPr>
          <w:i/>
          <w:sz w:val="20"/>
        </w:rPr>
        <w:t>Like many objects, the conceptualization of a classroom </w:t>
      </w:r>
      <w:r>
        <w:rPr>
          <w:i/>
          <w:sz w:val="20"/>
        </w:rPr>
        <w:t>depends on many variables, which largely determine whether the education provided there will be selective, quality, or massive and for profit. In this sense, this research has sought to make clear what the most important  ergonomic factors to consider when designing a classroom are allowing institutions offer both public and private education, elements that help them in the analysis of the situation in their areas of teaching work, and if required, to carry out the changes necessary to provide a complete physical, mental and social wellbeing, are each members </w:t>
      </w:r>
      <w:r>
        <w:rPr>
          <w:i/>
          <w:spacing w:val="30"/>
          <w:sz w:val="20"/>
        </w:rPr>
        <w:t> </w:t>
      </w:r>
      <w:r>
        <w:rPr>
          <w:i/>
          <w:sz w:val="20"/>
        </w:rPr>
        <w:t>of</w:t>
      </w:r>
    </w:p>
    <w:p>
      <w:pPr>
        <w:spacing w:before="74"/>
        <w:ind w:left="270" w:right="678" w:firstLine="0"/>
        <w:jc w:val="both"/>
        <w:rPr>
          <w:i/>
          <w:sz w:val="20"/>
        </w:rPr>
      </w:pPr>
      <w:r>
        <w:rPr/>
        <w:br w:type="column"/>
      </w:r>
      <w:r>
        <w:rPr>
          <w:i/>
          <w:sz w:val="20"/>
        </w:rPr>
        <w:t>their community, as established by the World Health </w:t>
      </w:r>
      <w:r>
        <w:rPr>
          <w:i/>
          <w:sz w:val="20"/>
        </w:rPr>
        <w:t>Organization.</w:t>
      </w:r>
    </w:p>
    <w:p>
      <w:pPr>
        <w:spacing w:before="0"/>
        <w:ind w:left="270" w:right="677" w:firstLine="450"/>
        <w:jc w:val="both"/>
        <w:rPr>
          <w:i/>
          <w:sz w:val="20"/>
        </w:rPr>
      </w:pPr>
      <w:r>
        <w:rPr>
          <w:i/>
          <w:sz w:val="20"/>
        </w:rPr>
        <w:t>However, to achieve the objective, originally a </w:t>
      </w:r>
      <w:r>
        <w:rPr>
          <w:i/>
          <w:sz w:val="20"/>
        </w:rPr>
        <w:t>documentary research was conducted, addressing topics related to psychology and sociology of educational organizations, teachers, ergonomics and work spaces and functions of the form. Subsequently, by a  descriptive research the prevailing elements to consider in designing a classroom were established.</w:t>
      </w:r>
    </w:p>
    <w:p>
      <w:pPr>
        <w:pStyle w:val="BodyText"/>
        <w:spacing w:before="11"/>
        <w:rPr>
          <w:i/>
          <w:sz w:val="19"/>
        </w:rPr>
      </w:pPr>
    </w:p>
    <w:p>
      <w:pPr>
        <w:spacing w:before="0"/>
        <w:ind w:left="270" w:right="0" w:firstLine="0"/>
        <w:jc w:val="both"/>
        <w:rPr>
          <w:i/>
          <w:sz w:val="20"/>
        </w:rPr>
      </w:pPr>
      <w:r>
        <w:rPr>
          <w:b/>
          <w:i/>
          <w:sz w:val="20"/>
        </w:rPr>
        <w:t>Keywords</w:t>
      </w:r>
      <w:r>
        <w:rPr>
          <w:i/>
          <w:sz w:val="20"/>
        </w:rPr>
        <w:t>— Design, Ergonomics, School Classroom.</w:t>
      </w:r>
    </w:p>
    <w:p>
      <w:pPr>
        <w:pStyle w:val="BodyText"/>
        <w:rPr>
          <w:i/>
        </w:rPr>
      </w:pPr>
    </w:p>
    <w:p>
      <w:pPr>
        <w:pStyle w:val="BodyText"/>
        <w:spacing w:before="2"/>
        <w:rPr>
          <w:i/>
        </w:rPr>
      </w:pPr>
    </w:p>
    <w:p>
      <w:pPr>
        <w:pStyle w:val="Heading4"/>
        <w:numPr>
          <w:ilvl w:val="0"/>
          <w:numId w:val="14"/>
        </w:numPr>
        <w:tabs>
          <w:tab w:pos="473" w:val="left" w:leader="none"/>
        </w:tabs>
        <w:spacing w:line="240" w:lineRule="auto" w:before="0" w:after="0"/>
        <w:ind w:left="270" w:right="0" w:firstLine="0"/>
        <w:jc w:val="both"/>
      </w:pPr>
      <w:r>
        <w:rPr/>
        <w:t>INTRODUCTION</w:t>
      </w:r>
    </w:p>
    <w:p>
      <w:pPr>
        <w:pStyle w:val="BodyText"/>
        <w:spacing w:before="8"/>
        <w:rPr>
          <w:b/>
          <w:sz w:val="19"/>
        </w:rPr>
      </w:pPr>
    </w:p>
    <w:p>
      <w:pPr>
        <w:pStyle w:val="BodyText"/>
        <w:ind w:left="270" w:right="676"/>
        <w:jc w:val="both"/>
      </w:pPr>
      <w:r>
        <w:rPr>
          <w:color w:val="202020"/>
        </w:rPr>
        <w:t>In a basic concept, the school is conceived as a place where teachers and students interact, which organized education is provided, intentionally and seeks to meet certain  educational, social and inclusive instructional</w:t>
      </w:r>
      <w:r>
        <w:rPr>
          <w:color w:val="202020"/>
          <w:spacing w:val="-18"/>
        </w:rPr>
        <w:t> </w:t>
      </w:r>
      <w:r>
        <w:rPr>
          <w:color w:val="202020"/>
        </w:rPr>
        <w:t>functions.</w:t>
      </w:r>
    </w:p>
    <w:p>
      <w:pPr>
        <w:pStyle w:val="BodyText"/>
        <w:ind w:left="270" w:right="677" w:firstLine="450"/>
        <w:jc w:val="both"/>
      </w:pPr>
      <w:r>
        <w:rPr>
          <w:color w:val="202020"/>
        </w:rPr>
        <w:t>As if it were an umbrella, the term school ranges from formal education institutions to an academy where he gets to teach driving cars, from preschool to university. In other words, the school is understood as an organization pursuing acting on a group of people who are admitted temporarily  for that</w:t>
      </w:r>
      <w:r>
        <w:rPr>
          <w:color w:val="202020"/>
          <w:spacing w:val="-5"/>
        </w:rPr>
        <w:t> </w:t>
      </w:r>
      <w:r>
        <w:rPr>
          <w:color w:val="202020"/>
        </w:rPr>
        <w:t>purpose.</w:t>
      </w:r>
    </w:p>
    <w:p>
      <w:pPr>
        <w:pStyle w:val="BodyText"/>
        <w:ind w:left="270" w:right="678" w:firstLine="450"/>
        <w:jc w:val="both"/>
      </w:pPr>
      <w:r>
        <w:rPr>
          <w:color w:val="202020"/>
        </w:rPr>
        <w:t>However, to reach comply with each of the functions,  it is essential that the school has a certain space, which is identified by most people as school building, space likewise must meet certain</w:t>
      </w:r>
      <w:r>
        <w:rPr>
          <w:color w:val="202020"/>
          <w:spacing w:val="-21"/>
        </w:rPr>
        <w:t> </w:t>
      </w:r>
      <w:r>
        <w:rPr>
          <w:color w:val="202020"/>
        </w:rPr>
        <w:t>requirements.</w:t>
      </w:r>
    </w:p>
    <w:p>
      <w:pPr>
        <w:pStyle w:val="BodyText"/>
      </w:pPr>
    </w:p>
    <w:p>
      <w:pPr>
        <w:pStyle w:val="BodyText"/>
        <w:spacing w:before="2"/>
      </w:pPr>
    </w:p>
    <w:p>
      <w:pPr>
        <w:pStyle w:val="Heading4"/>
        <w:numPr>
          <w:ilvl w:val="0"/>
          <w:numId w:val="14"/>
        </w:numPr>
        <w:tabs>
          <w:tab w:pos="480" w:val="left" w:leader="none"/>
        </w:tabs>
        <w:spacing w:line="240" w:lineRule="auto" w:before="0" w:after="0"/>
        <w:ind w:left="270" w:right="678" w:firstLine="0"/>
        <w:jc w:val="both"/>
      </w:pPr>
      <w:r>
        <w:rPr/>
        <w:t>REQUIREMENTS IN THE DESIGN OF A SCHOOL BUILDING</w:t>
      </w:r>
    </w:p>
    <w:p>
      <w:pPr>
        <w:pStyle w:val="BodyText"/>
        <w:spacing w:before="9"/>
        <w:rPr>
          <w:b/>
          <w:sz w:val="19"/>
        </w:rPr>
      </w:pPr>
    </w:p>
    <w:p>
      <w:pPr>
        <w:pStyle w:val="BodyText"/>
        <w:spacing w:before="1"/>
        <w:ind w:left="270" w:right="677"/>
        <w:jc w:val="both"/>
        <w:rPr>
          <w:rFonts w:ascii="Courier New"/>
        </w:rPr>
      </w:pPr>
      <w:r>
        <w:rPr>
          <w:color w:val="202020"/>
        </w:rPr>
        <w:t>The construction of school buildings and their design depends on many factors, one side are the economic, social, educational and political situational variables; on the other,  is the motivation or interest to be attained; situation that reveals the great weight that is responsible in making design decisions and building it. Situation can determine whether education is selective and quality, or, massive and for profit.</w:t>
      </w:r>
      <w:r>
        <w:rPr>
          <w:rFonts w:ascii="Courier New"/>
        </w:rPr>
        <w:t>[1]</w:t>
      </w:r>
    </w:p>
    <w:p>
      <w:pPr>
        <w:pStyle w:val="BodyText"/>
        <w:ind w:left="270" w:right="676" w:firstLine="450"/>
        <w:jc w:val="both"/>
      </w:pPr>
      <w:r>
        <w:rPr/>
        <w:t>Deepening, the economic variables derived  from public or private policies, compared to the magnitude of the resources allocated will depend on the situation or geographic location of the area as well as the size and  quality of</w:t>
      </w:r>
      <w:r>
        <w:rPr>
          <w:spacing w:val="-11"/>
        </w:rPr>
        <w:t> </w:t>
      </w:r>
      <w:r>
        <w:rPr/>
        <w:t>construction.</w:t>
      </w:r>
    </w:p>
    <w:p>
      <w:pPr>
        <w:pStyle w:val="BodyText"/>
        <w:ind w:left="270" w:right="677" w:firstLine="451"/>
        <w:jc w:val="both"/>
      </w:pPr>
      <w:r>
        <w:rPr/>
        <w:t>Moreover, social variables will determine the demand for education, the number of students that will house and ages of these, as well as the fact continue operating or having to</w:t>
      </w:r>
      <w:r>
        <w:rPr>
          <w:spacing w:val="-7"/>
        </w:rPr>
        <w:t> </w:t>
      </w:r>
      <w:r>
        <w:rPr/>
        <w:t>disappear.</w:t>
      </w:r>
    </w:p>
    <w:p>
      <w:pPr>
        <w:pStyle w:val="BodyText"/>
        <w:ind w:left="270" w:right="676" w:firstLine="450"/>
        <w:jc w:val="both"/>
      </w:pPr>
      <w:r>
        <w:rPr/>
        <w:t>With regard to the pedagogical variables, they and teaching models start an educational project that aims to develop. However, in most cases, it appears that the design  of school these aspects are not relevant, because usually they usually pay resume models already existing construction, which ultimately affects the initial unconsciously condition pedagogical.</w:t>
      </w:r>
    </w:p>
    <w:p>
      <w:pPr>
        <w:spacing w:after="0"/>
        <w:jc w:val="both"/>
        <w:sectPr>
          <w:type w:val="continuous"/>
          <w:pgSz w:w="12240" w:h="15840"/>
          <w:pgMar w:top="1500" w:bottom="280" w:left="580" w:right="220"/>
          <w:cols w:num="2" w:equalWidth="0">
            <w:col w:w="5183" w:space="415"/>
            <w:col w:w="5842"/>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4"/>
        <w:ind w:left="270" w:firstLine="451"/>
        <w:jc w:val="both"/>
      </w:pPr>
      <w:r>
        <w:rPr/>
        <w:t>Regard to situational variables, they are determined primarily by the type of area, call rural, urban or suburban, and weather conditions, these turn out to be an important element in the planning or design.</w:t>
      </w:r>
    </w:p>
    <w:p>
      <w:pPr>
        <w:pStyle w:val="BodyText"/>
        <w:ind w:left="270" w:right="1" w:firstLine="450"/>
        <w:jc w:val="both"/>
      </w:pPr>
      <w:r>
        <w:rPr/>
        <w:t>In addition to the above variables, operates five components, of which the first is derived from the  objectives, the purpose lies in guiding the activity in relation to their rationale, also set to resume, which includes the mission, educational project and</w:t>
      </w:r>
      <w:r>
        <w:rPr>
          <w:spacing w:val="-17"/>
        </w:rPr>
        <w:t> </w:t>
      </w:r>
      <w:r>
        <w:rPr/>
        <w:t>curricula.</w:t>
      </w:r>
    </w:p>
    <w:p>
      <w:pPr>
        <w:pStyle w:val="BodyText"/>
        <w:ind w:left="270" w:firstLine="451"/>
        <w:jc w:val="both"/>
      </w:pPr>
      <w:r>
        <w:rPr/>
        <w:t>Secondly resources that relate to the heritage of the school is located, speak clearly of administrative staff, teachers, students, parents and counselors, omitting to both teaching materials and educational.</w:t>
      </w:r>
    </w:p>
    <w:p>
      <w:pPr>
        <w:pStyle w:val="BodyText"/>
        <w:ind w:left="270" w:firstLine="451"/>
        <w:jc w:val="both"/>
      </w:pPr>
      <w:r>
        <w:rPr/>
        <w:t>The structure as a third element, which is solely the device that assigns roles and functions, in other words, is to speak of the governing bodies, teams of teachers, departments and individual charges.</w:t>
      </w:r>
    </w:p>
    <w:p>
      <w:pPr>
        <w:pStyle w:val="BodyText"/>
        <w:ind w:left="270" w:firstLine="450"/>
        <w:jc w:val="both"/>
      </w:pPr>
      <w:r>
        <w:rPr/>
        <w:t>Next item is technology, where machinery or equipment used in the teaching process, and includes also all those actors that allow the planning, execution and control of operational processes.</w:t>
      </w:r>
    </w:p>
    <w:p>
      <w:pPr>
        <w:pStyle w:val="BodyText"/>
        <w:ind w:left="270" w:firstLine="451"/>
        <w:jc w:val="both"/>
      </w:pPr>
      <w:r>
        <w:rPr/>
        <w:t>Culture is finally integrating it to the set of meanings, principles and values shared by members of  the organization.</w:t>
      </w:r>
    </w:p>
    <w:p>
      <w:pPr>
        <w:pStyle w:val="BodyText"/>
        <w:ind w:left="270" w:firstLine="450"/>
        <w:jc w:val="both"/>
      </w:pPr>
      <w:r>
        <w:rPr/>
        <w:t>While it is clear that the construction of the school is the result of the interaction of variables and components at a given time, it is necessary to say that such situations are not permanent, since the objectives vary from one  administration to</w:t>
      </w:r>
      <w:r>
        <w:rPr>
          <w:spacing w:val="-10"/>
        </w:rPr>
        <w:t> </w:t>
      </w:r>
      <w:r>
        <w:rPr/>
        <w:t>another.</w:t>
      </w:r>
    </w:p>
    <w:p>
      <w:pPr>
        <w:pStyle w:val="BodyText"/>
      </w:pPr>
    </w:p>
    <w:p>
      <w:pPr>
        <w:pStyle w:val="BodyText"/>
        <w:spacing w:before="2"/>
      </w:pPr>
    </w:p>
    <w:p>
      <w:pPr>
        <w:pStyle w:val="Heading4"/>
      </w:pPr>
      <w:r>
        <w:rPr/>
        <w:t>2.1 The classroom and their characteristics</w:t>
      </w:r>
    </w:p>
    <w:p>
      <w:pPr>
        <w:pStyle w:val="BodyText"/>
        <w:spacing w:before="8"/>
        <w:rPr>
          <w:b/>
          <w:sz w:val="19"/>
        </w:rPr>
      </w:pPr>
    </w:p>
    <w:p>
      <w:pPr>
        <w:pStyle w:val="BodyText"/>
        <w:ind w:left="270"/>
        <w:jc w:val="both"/>
      </w:pPr>
      <w:r>
        <w:rPr/>
        <w:t>Derived from the above, during the process of designing a school building is important to consider those spaces for providing a service, the living areas and work areas.  Pointing out within services are the library, the dining room and health essentially; in areas, playgrounds and sports recreation areas; and finally, in the areas are laboratories, multipurpose rooms and</w:t>
      </w:r>
      <w:r>
        <w:rPr>
          <w:spacing w:val="-14"/>
        </w:rPr>
        <w:t> </w:t>
      </w:r>
      <w:r>
        <w:rPr/>
        <w:t>classrooms.</w:t>
      </w:r>
    </w:p>
    <w:p>
      <w:pPr>
        <w:pStyle w:val="BodyText"/>
        <w:ind w:left="270" w:firstLine="450"/>
        <w:jc w:val="both"/>
      </w:pPr>
      <w:r>
        <w:rPr/>
        <w:t>In relation to this last area, the classroom is conceptualized as the space where they carry out the activities of teaching and learning, and where the teacher interacts primarily binomial - student. Unfortunately</w:t>
      </w:r>
      <w:r>
        <w:rPr>
          <w:i/>
        </w:rPr>
        <w:t>,  -as </w:t>
      </w:r>
      <w:r>
        <w:rPr>
          <w:i/>
        </w:rPr>
        <w:t>was mentioned- </w:t>
      </w:r>
      <w:r>
        <w:rPr/>
        <w:t>in most buildings, this space does not meet the necessary educational expectations, which prevents developing various activities and essential  teaching situations</w:t>
      </w:r>
    </w:p>
    <w:p>
      <w:pPr>
        <w:pStyle w:val="BodyText"/>
        <w:ind w:left="270" w:firstLine="450"/>
        <w:jc w:val="both"/>
      </w:pPr>
      <w:r>
        <w:rPr/>
        <w:t>However, as the components described above, there  are five key factors to keep in mind during the design of a classroom.</w:t>
      </w:r>
    </w:p>
    <w:p>
      <w:pPr>
        <w:pStyle w:val="BodyText"/>
        <w:spacing w:before="11"/>
        <w:rPr>
          <w:sz w:val="19"/>
        </w:rPr>
      </w:pPr>
    </w:p>
    <w:p>
      <w:pPr>
        <w:pStyle w:val="ListParagraph"/>
        <w:numPr>
          <w:ilvl w:val="1"/>
          <w:numId w:val="14"/>
        </w:numPr>
        <w:tabs>
          <w:tab w:pos="979" w:val="left" w:leader="none"/>
        </w:tabs>
        <w:spacing w:line="240" w:lineRule="auto" w:before="0" w:after="0"/>
        <w:ind w:left="990" w:right="1" w:hanging="360"/>
        <w:jc w:val="both"/>
        <w:rPr>
          <w:sz w:val="20"/>
        </w:rPr>
      </w:pPr>
      <w:r>
        <w:rPr>
          <w:sz w:val="20"/>
        </w:rPr>
        <w:t>The age of the students and teachers, as this condition affects the space under the premise that... </w:t>
      </w:r>
      <w:r>
        <w:rPr>
          <w:i/>
          <w:sz w:val="20"/>
        </w:rPr>
        <w:t>"The older - less space" </w:t>
      </w:r>
      <w:r>
        <w:rPr>
          <w:sz w:val="20"/>
        </w:rPr>
        <w:t>as it may seem contradictory, with increasing age, the space works towards specialization, in other words, it   </w:t>
      </w:r>
      <w:r>
        <w:rPr>
          <w:spacing w:val="48"/>
          <w:sz w:val="20"/>
        </w:rPr>
        <w:t> </w:t>
      </w:r>
      <w:r>
        <w:rPr>
          <w:sz w:val="20"/>
        </w:rPr>
        <w:t>requires</w:t>
      </w:r>
    </w:p>
    <w:p>
      <w:pPr>
        <w:pStyle w:val="BodyText"/>
        <w:spacing w:before="74"/>
        <w:ind w:left="990" w:right="668"/>
      </w:pPr>
      <w:r>
        <w:rPr/>
        <w:br w:type="column"/>
      </w:r>
      <w:r>
        <w:rPr/>
        <w:t>certain elements compared to the pre-school level, where everyone coexists within.</w:t>
      </w:r>
    </w:p>
    <w:p>
      <w:pPr>
        <w:pStyle w:val="BodyText"/>
      </w:pPr>
    </w:p>
    <w:p>
      <w:pPr>
        <w:pStyle w:val="ListParagraph"/>
        <w:numPr>
          <w:ilvl w:val="1"/>
          <w:numId w:val="14"/>
        </w:numPr>
        <w:tabs>
          <w:tab w:pos="979" w:val="left" w:leader="none"/>
        </w:tabs>
        <w:spacing w:line="240" w:lineRule="auto" w:before="1" w:after="0"/>
        <w:ind w:left="990" w:right="678" w:hanging="360"/>
        <w:jc w:val="both"/>
        <w:rPr>
          <w:sz w:val="20"/>
        </w:rPr>
      </w:pPr>
      <w:r>
        <w:rPr>
          <w:sz w:val="20"/>
        </w:rPr>
        <w:t>Functionality, where based on the characteristics of exposure and interaction, the teaching -  learning will be enriched, allowing perform  various dynamics that will strengthen not only the students, but will at once give you a more personal space Professor. Regarding this point, it is advisable to allocate to 1.00m² to 1.50m² per</w:t>
      </w:r>
      <w:r>
        <w:rPr>
          <w:spacing w:val="-13"/>
          <w:sz w:val="20"/>
        </w:rPr>
        <w:t> </w:t>
      </w:r>
      <w:r>
        <w:rPr>
          <w:sz w:val="20"/>
        </w:rPr>
        <w:t>person.</w:t>
      </w:r>
    </w:p>
    <w:p>
      <w:pPr>
        <w:pStyle w:val="BodyText"/>
        <w:spacing w:before="11"/>
        <w:rPr>
          <w:sz w:val="19"/>
        </w:rPr>
      </w:pPr>
    </w:p>
    <w:p>
      <w:pPr>
        <w:pStyle w:val="ListParagraph"/>
        <w:numPr>
          <w:ilvl w:val="1"/>
          <w:numId w:val="14"/>
        </w:numPr>
        <w:tabs>
          <w:tab w:pos="979" w:val="left" w:leader="none"/>
        </w:tabs>
        <w:spacing w:line="240" w:lineRule="auto" w:before="0" w:after="0"/>
        <w:ind w:left="990" w:right="676" w:hanging="360"/>
        <w:jc w:val="both"/>
        <w:rPr>
          <w:sz w:val="20"/>
        </w:rPr>
      </w:pPr>
      <w:r>
        <w:rPr>
          <w:sz w:val="20"/>
        </w:rPr>
        <w:t>The aesthetics and order, because by its implementation may generate a pleasant space. Is pertinent to mention that, in terms of this section, submit color spaces including furniture, plays a major role, since this element </w:t>
      </w:r>
      <w:r>
        <w:rPr>
          <w:i/>
          <w:sz w:val="20"/>
        </w:rPr>
        <w:t>-the color-</w:t>
      </w:r>
      <w:r>
        <w:rPr>
          <w:sz w:val="20"/>
        </w:rPr>
        <w:t>, being further a distal sign, has the quality of awakening or stimulate some of man's senses distance.</w:t>
      </w:r>
      <w:r>
        <w:rPr>
          <w:spacing w:val="-8"/>
          <w:sz w:val="20"/>
        </w:rPr>
        <w:t> </w:t>
      </w:r>
      <w:r>
        <w:rPr>
          <w:sz w:val="20"/>
        </w:rPr>
        <w:t>[2]</w:t>
      </w:r>
    </w:p>
    <w:p>
      <w:pPr>
        <w:pStyle w:val="BodyText"/>
        <w:spacing w:before="11"/>
        <w:rPr>
          <w:sz w:val="19"/>
        </w:rPr>
      </w:pPr>
    </w:p>
    <w:p>
      <w:pPr>
        <w:pStyle w:val="ListParagraph"/>
        <w:numPr>
          <w:ilvl w:val="1"/>
          <w:numId w:val="14"/>
        </w:numPr>
        <w:tabs>
          <w:tab w:pos="979" w:val="left" w:leader="none"/>
        </w:tabs>
        <w:spacing w:line="240" w:lineRule="auto" w:before="0" w:after="0"/>
        <w:ind w:left="990" w:right="677" w:hanging="360"/>
        <w:jc w:val="both"/>
        <w:rPr>
          <w:sz w:val="20"/>
        </w:rPr>
      </w:pPr>
      <w:r>
        <w:rPr>
          <w:sz w:val="20"/>
        </w:rPr>
        <w:t>The methodological requirements, a factor which likewise offers a glimpse of the ways how will the distribution of classroom space, because it manages to demonstrate irrefutably what curriculum processes and how it will be run. At the same time, this point relates to safety and hygiene, since together will achieve an enabling work environment; scenery seen from ergonomics seeks to raise productivity indexes both quantitatively and qualitatively.</w:t>
      </w:r>
    </w:p>
    <w:p>
      <w:pPr>
        <w:pStyle w:val="BodyText"/>
      </w:pPr>
    </w:p>
    <w:p>
      <w:pPr>
        <w:pStyle w:val="BodyText"/>
        <w:spacing w:before="2"/>
      </w:pPr>
    </w:p>
    <w:p>
      <w:pPr>
        <w:pStyle w:val="Heading4"/>
        <w:numPr>
          <w:ilvl w:val="1"/>
          <w:numId w:val="15"/>
        </w:numPr>
        <w:tabs>
          <w:tab w:pos="571" w:val="left" w:leader="none"/>
        </w:tabs>
        <w:spacing w:line="240" w:lineRule="auto" w:before="0" w:after="0"/>
        <w:ind w:left="570" w:right="0" w:hanging="300"/>
        <w:jc w:val="both"/>
      </w:pPr>
      <w:r>
        <w:rPr/>
        <w:t>Classroom</w:t>
      </w:r>
      <w:r>
        <w:rPr>
          <w:spacing w:val="-5"/>
        </w:rPr>
        <w:t> </w:t>
      </w:r>
      <w:r>
        <w:rPr/>
        <w:t>climate</w:t>
      </w:r>
    </w:p>
    <w:p>
      <w:pPr>
        <w:pStyle w:val="BodyText"/>
        <w:spacing w:before="8"/>
        <w:rPr>
          <w:b/>
          <w:sz w:val="19"/>
        </w:rPr>
      </w:pPr>
    </w:p>
    <w:p>
      <w:pPr>
        <w:pStyle w:val="BodyText"/>
        <w:ind w:left="270" w:right="676"/>
        <w:jc w:val="both"/>
      </w:pPr>
      <w:r>
        <w:rPr/>
        <w:t>While it appears to have lagged behind those typical cold seventeenth century schools where education was subject only to certain social sectors and gender, where what reigned as the assimilation policy was knowledge without considering the student, it is amazing to find in the currently schools with features of this traditionalist school. Despite all this, it has begun to be worked what is known as a smart school, looking for an improvement in teaching  and learning, as well as having primary goal retention, understanding and use of knowledge. [3]</w:t>
      </w:r>
    </w:p>
    <w:p>
      <w:pPr>
        <w:spacing w:before="0"/>
        <w:ind w:left="270" w:right="678" w:firstLine="451"/>
        <w:jc w:val="both"/>
        <w:rPr>
          <w:sz w:val="20"/>
        </w:rPr>
      </w:pPr>
      <w:r>
        <w:rPr>
          <w:sz w:val="20"/>
        </w:rPr>
        <w:t>Just over 20 years of studying the so-called  institutional climate. In this context, it is an aspect that has enduring features, which likewise he is named as </w:t>
      </w:r>
      <w:r>
        <w:rPr>
          <w:i/>
          <w:sz w:val="20"/>
        </w:rPr>
        <w:t>"personality is to the individual, what the weather is for the </w:t>
      </w:r>
      <w:r>
        <w:rPr>
          <w:i/>
          <w:sz w:val="20"/>
        </w:rPr>
        <w:t>organization"</w:t>
      </w:r>
      <w:r>
        <w:rPr>
          <w:sz w:val="20"/>
        </w:rPr>
        <w:t>.</w:t>
      </w:r>
      <w:r>
        <w:rPr>
          <w:spacing w:val="-7"/>
          <w:sz w:val="20"/>
        </w:rPr>
        <w:t> </w:t>
      </w:r>
      <w:r>
        <w:rPr>
          <w:sz w:val="20"/>
        </w:rPr>
        <w:t>[4]</w:t>
      </w:r>
    </w:p>
    <w:p>
      <w:pPr>
        <w:pStyle w:val="BodyText"/>
        <w:ind w:left="270" w:right="677" w:firstLine="450"/>
        <w:jc w:val="both"/>
      </w:pPr>
      <w:r>
        <w:rPr/>
        <w:t>It is known that the pair of any organization, schools also have a climate. In this space, such a climate is directly influenced by the characteristics and behavior of both teachers and students and their interaction as well as ecological factors, whether they be physical and geographical.</w:t>
      </w:r>
    </w:p>
    <w:p>
      <w:pPr>
        <w:pStyle w:val="BodyText"/>
        <w:ind w:left="270" w:right="677" w:firstLine="450"/>
        <w:jc w:val="both"/>
      </w:pPr>
      <w:r>
        <w:rPr/>
        <w:t>Various researches have been done on this field, and the results show a direct relationship with the classroom atmosphere and variables such as satisfaction, attitude, performance, motivation and their counterparts.</w:t>
      </w:r>
    </w:p>
    <w:p>
      <w:pPr>
        <w:spacing w:after="0"/>
        <w:jc w:val="both"/>
        <w:sectPr>
          <w:type w:val="continuous"/>
          <w:pgSz w:w="12240" w:h="15840"/>
          <w:pgMar w:top="1500" w:bottom="280" w:left="580" w:right="220"/>
          <w:cols w:num="2" w:equalWidth="0">
            <w:col w:w="5164" w:space="434"/>
            <w:col w:w="5842"/>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4"/>
        <w:ind w:left="270" w:firstLine="451"/>
        <w:jc w:val="both"/>
      </w:pPr>
      <w:r>
        <w:rPr/>
        <w:t>From all this, it has been possible to establish that: the classroom is one of the most important places of personal and academic development of human beings, because each classroom has very different atmospheres or environments, having a significant influence on the development of the individual.</w:t>
      </w:r>
    </w:p>
    <w:p>
      <w:pPr>
        <w:pStyle w:val="BodyText"/>
        <w:ind w:left="270" w:firstLine="451"/>
        <w:jc w:val="both"/>
      </w:pPr>
      <w:r>
        <w:rPr/>
        <w:t>The importance of addressing and meeting the classroom atmosphere, lies in understanding and recognizing the types of influence that are generated, so that the teacher can understand each and how they affect learning and participation students.</w:t>
      </w:r>
    </w:p>
    <w:p>
      <w:pPr>
        <w:pStyle w:val="BodyText"/>
        <w:ind w:left="270" w:firstLine="450"/>
        <w:jc w:val="both"/>
      </w:pPr>
      <w:r>
        <w:rPr/>
        <w:t>A simple way to understand this point and developed is indeed identify you as a unique and lively personality, which surrounds people and has the ability to modify their behavior and functions.</w:t>
      </w:r>
    </w:p>
    <w:p>
      <w:pPr>
        <w:pStyle w:val="BodyText"/>
        <w:ind w:left="270" w:firstLine="451"/>
        <w:jc w:val="both"/>
      </w:pPr>
      <w:r>
        <w:rPr/>
        <w:t>Returning to the opening paragraph of this section, the goal in the teaching - learning only be achieved if a work climate if not excellent, good or at least nice there, then it must be perceived as the context in which education, personal relationships and stimulation are not influenced. And therefore, be reason to continue in the classroom. In relation to this, one must not forget that everyone is motivated in two ways: intrinsically, when biased by nature and extrinsically to be an external stimulus, causing him,  any</w:t>
      </w:r>
      <w:r>
        <w:rPr>
          <w:spacing w:val="-9"/>
        </w:rPr>
        <w:t> </w:t>
      </w:r>
      <w:r>
        <w:rPr/>
        <w:t>reaction.</w:t>
      </w:r>
    </w:p>
    <w:p>
      <w:pPr>
        <w:pStyle w:val="BodyText"/>
      </w:pPr>
    </w:p>
    <w:p>
      <w:pPr>
        <w:pStyle w:val="BodyText"/>
        <w:spacing w:before="2"/>
      </w:pPr>
    </w:p>
    <w:p>
      <w:pPr>
        <w:pStyle w:val="Heading4"/>
        <w:numPr>
          <w:ilvl w:val="1"/>
          <w:numId w:val="15"/>
        </w:numPr>
        <w:tabs>
          <w:tab w:pos="572" w:val="left" w:leader="none"/>
        </w:tabs>
        <w:spacing w:line="240" w:lineRule="auto" w:before="0" w:after="0"/>
        <w:ind w:left="571" w:right="0" w:hanging="301"/>
        <w:jc w:val="both"/>
      </w:pPr>
      <w:r>
        <w:rPr/>
        <w:t>Ergonomics in the</w:t>
      </w:r>
      <w:r>
        <w:rPr>
          <w:spacing w:val="-20"/>
        </w:rPr>
        <w:t> </w:t>
      </w:r>
      <w:r>
        <w:rPr/>
        <w:t>classroom</w:t>
      </w:r>
    </w:p>
    <w:p>
      <w:pPr>
        <w:pStyle w:val="BodyText"/>
        <w:spacing w:before="9"/>
        <w:rPr>
          <w:b/>
          <w:sz w:val="19"/>
        </w:rPr>
      </w:pPr>
    </w:p>
    <w:p>
      <w:pPr>
        <w:pStyle w:val="BodyText"/>
        <w:spacing w:before="1"/>
        <w:ind w:left="270"/>
        <w:jc w:val="both"/>
      </w:pPr>
      <w:r>
        <w:rPr/>
        <w:t>Being in a state of physical, mental and social well-being  full is what the WHO has defined as "health", ignoring the concept of "the absence of injury or illness". So needless to emphasize the importance of achieving a balance of these dimensions in any</w:t>
      </w:r>
      <w:r>
        <w:rPr>
          <w:spacing w:val="-9"/>
        </w:rPr>
        <w:t> </w:t>
      </w:r>
      <w:r>
        <w:rPr/>
        <w:t>context.</w:t>
      </w:r>
    </w:p>
    <w:p>
      <w:pPr>
        <w:pStyle w:val="BodyText"/>
        <w:ind w:left="270" w:right="1" w:firstLine="450"/>
        <w:jc w:val="both"/>
      </w:pPr>
      <w:r>
        <w:rPr/>
        <w:t>However, to achieve this balance has been ergonomics, who by having a multidisciplinary aims adequacy of products, systems and environments to the characteristics, constraints and needs of its users in order to optimize their efficacy, safety and comfort.</w:t>
      </w:r>
    </w:p>
    <w:p>
      <w:pPr>
        <w:spacing w:before="0"/>
        <w:ind w:left="270" w:right="0" w:firstLine="451"/>
        <w:jc w:val="both"/>
        <w:rPr>
          <w:sz w:val="20"/>
        </w:rPr>
      </w:pPr>
      <w:r>
        <w:rPr>
          <w:sz w:val="20"/>
        </w:rPr>
        <w:t>Concerning ergonomics, this discipline emerged in Germany in 1950. Derived from the Greek </w:t>
      </w:r>
      <w:r>
        <w:rPr>
          <w:i/>
          <w:sz w:val="20"/>
        </w:rPr>
        <w:t>έργον </w:t>
      </w:r>
      <w:r>
        <w:rPr>
          <w:sz w:val="20"/>
        </w:rPr>
        <w:t>(ergon, "work") and </w:t>
      </w:r>
      <w:r>
        <w:rPr>
          <w:i/>
          <w:spacing w:val="-4"/>
          <w:sz w:val="20"/>
        </w:rPr>
        <w:t>νόµος </w:t>
      </w:r>
      <w:r>
        <w:rPr>
          <w:sz w:val="20"/>
        </w:rPr>
        <w:t>(nomos, "law"), the term denotes the science of work. Oriented systematically to all aspects of human activity and machines. For its part, the Council of the International Ergonomics Association (IEA), responsible for grouping all worldwide scientific societies, established since 2000 that the Ergonomics (or human factors) </w:t>
      </w:r>
      <w:r>
        <w:rPr>
          <w:i/>
          <w:sz w:val="20"/>
        </w:rPr>
        <w:t>"is the  </w:t>
      </w:r>
      <w:r>
        <w:rPr>
          <w:i/>
          <w:sz w:val="20"/>
        </w:rPr>
        <w:t>scientific discipline relevant to the understanding of interactions between humans and the elements of a system, and is the profession that applies theory, principles, data  and design methods to optimize human well-being and the whole system</w:t>
      </w:r>
      <w:r>
        <w:rPr>
          <w:i/>
          <w:spacing w:val="-18"/>
          <w:sz w:val="20"/>
        </w:rPr>
        <w:t> </w:t>
      </w:r>
      <w:r>
        <w:rPr>
          <w:i/>
          <w:sz w:val="20"/>
        </w:rPr>
        <w:t>performance”</w:t>
      </w:r>
      <w:r>
        <w:rPr>
          <w:sz w:val="20"/>
        </w:rPr>
        <w:t>.</w:t>
      </w:r>
    </w:p>
    <w:p>
      <w:pPr>
        <w:pStyle w:val="BodyText"/>
        <w:ind w:left="270" w:firstLine="451"/>
        <w:jc w:val="both"/>
      </w:pPr>
      <w:r>
        <w:rPr/>
        <w:t>Today, ergonomics is a combination of physiology, anatomy and medicine in the first instance physiology and experimental psychology and other physical and energy as one more. Which together provide information about body structures, capacities and physical limitations, its dimensions,  it  can  withstand  pressure,  brain  function</w:t>
      </w:r>
      <w:r>
        <w:rPr>
          <w:spacing w:val="9"/>
        </w:rPr>
        <w:t> </w:t>
      </w:r>
      <w:r>
        <w:rPr/>
        <w:t>and</w:t>
      </w:r>
    </w:p>
    <w:p>
      <w:pPr>
        <w:pStyle w:val="BodyText"/>
        <w:spacing w:before="74"/>
        <w:ind w:left="270" w:right="668"/>
      </w:pPr>
      <w:r>
        <w:rPr/>
        <w:br w:type="column"/>
      </w:r>
      <w:r>
        <w:rPr/>
        <w:t>nervous system, and motor processes and the environment to confront.</w:t>
      </w:r>
    </w:p>
    <w:p>
      <w:pPr>
        <w:pStyle w:val="BodyText"/>
        <w:ind w:left="270" w:right="677" w:firstLine="449"/>
        <w:jc w:val="both"/>
      </w:pPr>
      <w:r>
        <w:rPr/>
        <w:t>It is noteworthy that this discipline within their  domains has discovered that vision is the most widely overworked, why has set the color to submit workspaces, acquires great value to give man the distinction of different areas, as well as influence your mood.</w:t>
      </w:r>
      <w:r>
        <w:rPr>
          <w:spacing w:val="-17"/>
        </w:rPr>
        <w:t> </w:t>
      </w:r>
      <w:r>
        <w:rPr/>
        <w:t>[5]</w:t>
      </w:r>
    </w:p>
    <w:p>
      <w:pPr>
        <w:pStyle w:val="BodyText"/>
        <w:ind w:left="270" w:right="677" w:firstLine="399"/>
        <w:jc w:val="both"/>
      </w:pPr>
      <w:r>
        <w:rPr/>
        <w:t>With regard to schools and classrooms mainly, ergonomics has undertaken to establish appropriate integration in the environment to improve comfort and performance. Thus, under this premise, during the design of a classroom, will be crucial that the factors involved in the global concept of environmental comfort in the workplace are within their limits. In other words, ventilation, lighting, temperature, noise and furniture must be optimal in those spaces for sedentary</w:t>
      </w:r>
      <w:r>
        <w:rPr>
          <w:spacing w:val="-25"/>
        </w:rPr>
        <w:t> </w:t>
      </w:r>
      <w:r>
        <w:rPr/>
        <w:t>activities.</w:t>
      </w:r>
    </w:p>
    <w:p>
      <w:pPr>
        <w:pStyle w:val="BodyText"/>
        <w:ind w:left="270" w:right="676" w:firstLine="451"/>
        <w:jc w:val="both"/>
      </w:pPr>
      <w:r>
        <w:rPr/>
        <w:t>Regarding the first factor concerning the comfort, must be the vital metabolism of people requires a certain oxygen consumption varied depending on items such as size, gender, type of activity or the duration thereof, which requires a minimum air exchange environments inhabited. In the case of a classroom to provide proper ventilation, it must  be direct outside. So, during the design space, must be made to allow opening windows easily, and whose dimension of the vent enables air renewal properly. Ensuring, that the minimum flow rate corresponding to normal cases, occupants with light activity (1.2 m), ventilation is between 7.1L/s per person and 12.5L/s per</w:t>
      </w:r>
      <w:r>
        <w:rPr>
          <w:spacing w:val="-15"/>
        </w:rPr>
        <w:t> </w:t>
      </w:r>
      <w:r>
        <w:rPr/>
        <w:t>person.</w:t>
      </w:r>
    </w:p>
    <w:p>
      <w:pPr>
        <w:pStyle w:val="BodyText"/>
        <w:ind w:left="270" w:right="676" w:firstLine="450"/>
        <w:jc w:val="both"/>
      </w:pPr>
      <w:r>
        <w:rPr/>
        <w:t>On the other hand, in relation to lighting, only it may consider appropriate to that light emission that regardless to come from a natural or artificial source is sufficient for the surface area and the task, in addition not cause glare and  high contrasts. Therefore, the classroom lighting is relevant, since proper lighting rise to improved performance and well- being both students and the teacher. It is noteworthy that preferentially must result from a natural source, and in those cases where artificial origin, the intensity will be between 400 and 1000 lux; Now that use fluorescent lamps, mounting them must be parallel, avoiding generate visual fatigue, physical and mental stress as well as the decrease in motor activity and strength. Important is to consider that, during the election of certain characteristics of the spaces should be considered in all highly polished surface can reflect up to 90% of home energy, while in those opaque surfaces, only 10% will reflect the</w:t>
      </w:r>
      <w:r>
        <w:rPr>
          <w:spacing w:val="-14"/>
        </w:rPr>
        <w:t> </w:t>
      </w:r>
      <w:r>
        <w:rPr/>
        <w:t>lighting.</w:t>
      </w:r>
    </w:p>
    <w:p>
      <w:pPr>
        <w:pStyle w:val="BodyText"/>
        <w:ind w:left="270" w:right="676" w:firstLine="500"/>
        <w:jc w:val="both"/>
      </w:pPr>
      <w:r>
        <w:rPr/>
        <w:t>As to the third factor, an ideal temperature for classrooms should be maintained between 17°C and 20°C, since not control him properly, will affect the body temperature of the inhabitants, reducing them motor, cognitive performance, and comfort. Concerning the issue, we must remember that the temperature in the human body must be kept in the narrow range of 36.1°C to 37.2°C, a range that reflects the core body temperature, and not to the surface of the skin. And that thermal equilibrium of the body is maintained by a system of complex self-regulation, which is controlled by the hypothalamus, an area located in the brain. Thus, when the body needs to lose heat, this area causes blood vessels to dilate, and the sweat glands produce</w:t>
      </w:r>
    </w:p>
    <w:p>
      <w:pPr>
        <w:spacing w:after="0"/>
        <w:jc w:val="both"/>
        <w:sectPr>
          <w:type w:val="continuous"/>
          <w:pgSz w:w="12240" w:h="15840"/>
          <w:pgMar w:top="1500" w:bottom="280" w:left="580" w:right="220"/>
          <w:cols w:num="2" w:equalWidth="0">
            <w:col w:w="5164" w:space="434"/>
            <w:col w:w="5842"/>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4"/>
        <w:ind w:left="270"/>
        <w:jc w:val="both"/>
      </w:pPr>
      <w:r>
        <w:rPr/>
        <w:t>a cold sweat, the breathing rate increases and simultaneously reduce the rate of body metabolism.</w:t>
      </w:r>
    </w:p>
    <w:p>
      <w:pPr>
        <w:pStyle w:val="BodyText"/>
        <w:ind w:left="270" w:firstLine="450"/>
        <w:jc w:val="both"/>
      </w:pPr>
      <w:r>
        <w:rPr/>
        <w:t>However, in some cases this system of self-regulation  is to be unsuitable, with the result that the body temperature is changed; in the case of rising clinically adopts the name hyperthermia (over 42°C), and can produce from stress, loss of consciousness, general weakness, confusion or collapse reaches death; while the down is called hypothermia (35°C or less), capable of producing chills, a marked and uncontrollable trembling body, to a muscular rigidity, and likewise</w:t>
      </w:r>
      <w:r>
        <w:rPr>
          <w:spacing w:val="-12"/>
        </w:rPr>
        <w:t> </w:t>
      </w:r>
      <w:r>
        <w:rPr/>
        <w:t>death.</w:t>
      </w:r>
    </w:p>
    <w:p>
      <w:pPr>
        <w:pStyle w:val="BodyText"/>
        <w:ind w:left="270" w:firstLine="450"/>
        <w:jc w:val="both"/>
      </w:pPr>
      <w:r>
        <w:rPr/>
        <w:t>As for the noise factor, it plays a key role in schools and classroom, since derived from a high noise pollution, whether they be internal causes are as conversations, shouting, moving furniture, or, external causes may be impaired concentration and consequently, school performance, and produce stress and aggression. Therefore, just as it will be very important during the design of classroom consider implementing double windows, isolate areas of sports and cultural coexistence. Seeking thereby the limits of noise does not exceed 40 decibels.</w:t>
      </w:r>
    </w:p>
    <w:p>
      <w:pPr>
        <w:pStyle w:val="BodyText"/>
        <w:ind w:left="270" w:right="1" w:firstLine="451"/>
        <w:jc w:val="both"/>
      </w:pPr>
      <w:r>
        <w:rPr/>
        <w:t>Finally, when establishing what will be the type of furniture is essential to think that students remain seated more than 80% of the time, so that both chairs, tables or desks must have the optimal dimensions for body structure dwellers. In other words, each of the furniture should ensure an adequate level of comfort, yet allow correct postures adopted during the development of homework.</w:t>
      </w:r>
    </w:p>
    <w:p>
      <w:pPr>
        <w:pStyle w:val="BodyText"/>
      </w:pPr>
    </w:p>
    <w:p>
      <w:pPr>
        <w:pStyle w:val="BodyText"/>
        <w:spacing w:before="2"/>
      </w:pPr>
    </w:p>
    <w:p>
      <w:pPr>
        <w:pStyle w:val="Heading4"/>
        <w:numPr>
          <w:ilvl w:val="0"/>
          <w:numId w:val="14"/>
        </w:numPr>
        <w:tabs>
          <w:tab w:pos="472" w:val="left" w:leader="none"/>
        </w:tabs>
        <w:spacing w:line="240" w:lineRule="auto" w:before="0" w:after="0"/>
        <w:ind w:left="471" w:right="0" w:hanging="201"/>
        <w:jc w:val="both"/>
      </w:pPr>
      <w:r>
        <w:rPr/>
        <w:t>CONCLUSIONS</w:t>
      </w:r>
    </w:p>
    <w:p>
      <w:pPr>
        <w:pStyle w:val="BodyText"/>
        <w:spacing w:before="8"/>
        <w:rPr>
          <w:b/>
          <w:sz w:val="19"/>
        </w:rPr>
      </w:pPr>
    </w:p>
    <w:p>
      <w:pPr>
        <w:pStyle w:val="BodyText"/>
        <w:ind w:left="270"/>
        <w:jc w:val="both"/>
      </w:pPr>
      <w:r>
        <w:rPr/>
        <w:t>With everything so far exposed is possible to have an overview about which implies the design of a school  building and the importance of generating each space according to predetermined guidelines. However, despite all the intentions that may exist to improve processes, where students and teachers turn out to be important, is from the so-called climate, which depend largely the result of its quality, efficiency and effectiveness. Especially, if it is possible to understand those factors around comfort and color spaces are able to arouse different feelings, same as have the ability to change the mood of the</w:t>
      </w:r>
      <w:r>
        <w:rPr>
          <w:spacing w:val="-11"/>
        </w:rPr>
        <w:t> </w:t>
      </w:r>
      <w:r>
        <w:rPr/>
        <w:t>inhabitants.</w:t>
      </w:r>
    </w:p>
    <w:p>
      <w:pPr>
        <w:pStyle w:val="BodyText"/>
        <w:ind w:left="270" w:firstLine="451"/>
        <w:jc w:val="both"/>
      </w:pPr>
      <w:r>
        <w:rPr/>
        <w:t>Situation at a given time can be a starting point to question and analyze thoroughly the conditions in  which they operate each and every one of the country's educational spaces.</w:t>
      </w:r>
    </w:p>
    <w:p>
      <w:pPr>
        <w:pStyle w:val="BodyText"/>
        <w:ind w:left="270" w:right="1" w:firstLine="450"/>
        <w:jc w:val="both"/>
      </w:pPr>
      <w:r>
        <w:rPr/>
        <w:t>In this regard, just take a tour of those classrooms where the eye is observed that educational institutions do not pay much attention to the aspect of ergonomics, since the capacity of students per square meter has been exceeded, preventing proper circulation teacher, student and air.</w:t>
      </w:r>
    </w:p>
    <w:p>
      <w:pPr>
        <w:pStyle w:val="BodyText"/>
        <w:ind w:left="270" w:right="1" w:firstLine="451"/>
        <w:jc w:val="both"/>
      </w:pPr>
      <w:r>
        <w:rPr/>
        <w:t>Therefore, it is necessary to start working ergonomics into a classroom with a view to preventing damage to health, damage capable of being harmful to the mental and social balance of individuals, same as to materialize develop somatic ailments or psychosomatic. That is, imperative is to seek to improve the comfort of teachers and students, and</w:t>
      </w:r>
    </w:p>
    <w:p>
      <w:pPr>
        <w:pStyle w:val="BodyText"/>
        <w:spacing w:before="74"/>
        <w:ind w:left="270" w:right="677"/>
        <w:jc w:val="both"/>
      </w:pPr>
      <w:r>
        <w:rPr/>
        <w:br w:type="column"/>
      </w:r>
      <w:r>
        <w:rPr/>
        <w:t>consequently a reduction in both mental workload, improved job satisfaction of teachers and contribute to the learning and performance in students.</w:t>
      </w:r>
    </w:p>
    <w:p>
      <w:pPr>
        <w:pStyle w:val="BodyText"/>
      </w:pPr>
    </w:p>
    <w:p>
      <w:pPr>
        <w:pStyle w:val="BodyText"/>
      </w:pPr>
    </w:p>
    <w:p>
      <w:pPr>
        <w:pStyle w:val="BodyText"/>
      </w:pPr>
    </w:p>
    <w:p>
      <w:pPr>
        <w:pStyle w:val="BodyText"/>
      </w:pPr>
    </w:p>
    <w:p>
      <w:pPr>
        <w:pStyle w:val="BodyText"/>
        <w:spacing w:before="2"/>
      </w:pPr>
    </w:p>
    <w:p>
      <w:pPr>
        <w:pStyle w:val="Heading4"/>
        <w:numPr>
          <w:ilvl w:val="0"/>
          <w:numId w:val="14"/>
        </w:numPr>
        <w:tabs>
          <w:tab w:pos="471" w:val="left" w:leader="none"/>
        </w:tabs>
        <w:spacing w:line="240" w:lineRule="auto" w:before="0" w:after="0"/>
        <w:ind w:left="470" w:right="0" w:hanging="200"/>
        <w:jc w:val="both"/>
      </w:pPr>
      <w:r>
        <w:rPr/>
        <w:t>REFERENCES</w:t>
      </w:r>
    </w:p>
    <w:p>
      <w:pPr>
        <w:pStyle w:val="BodyText"/>
        <w:spacing w:before="8"/>
        <w:rPr>
          <w:b/>
          <w:sz w:val="19"/>
        </w:rPr>
      </w:pPr>
    </w:p>
    <w:p>
      <w:pPr>
        <w:pStyle w:val="BodyText"/>
        <w:ind w:left="270" w:right="679"/>
        <w:jc w:val="both"/>
      </w:pPr>
      <w:r>
        <w:rPr/>
        <w:t>[1] KAHN, L., Katz, D., Social Psychology of Educational Organizations, s.e., s.l., 128, (1985)</w:t>
      </w:r>
    </w:p>
    <w:p>
      <w:pPr>
        <w:pStyle w:val="BodyText"/>
        <w:ind w:left="270" w:right="678"/>
        <w:jc w:val="both"/>
      </w:pPr>
      <w:r>
        <w:rPr/>
        <w:t>[2] FORNARI, Tulio, The Functions of the Form, Ed. Tilde UAM-A, México, 35., (1989)</w:t>
      </w:r>
    </w:p>
    <w:p>
      <w:pPr>
        <w:pStyle w:val="BodyText"/>
        <w:ind w:left="270" w:right="677"/>
        <w:jc w:val="both"/>
      </w:pPr>
      <w:r>
        <w:rPr/>
        <w:t>[3] PERKINS David, The Smart School, Gedisa, España. pp. 17-18. (1995)</w:t>
      </w:r>
    </w:p>
    <w:p>
      <w:pPr>
        <w:pStyle w:val="BodyText"/>
        <w:ind w:left="270" w:right="747"/>
      </w:pPr>
      <w:r>
        <w:rPr/>
        <w:t>[4] ZWAIMAN Samuel Karen, Evaluation of Teaching Practice in Higher Education, Porrua, México, 181. (2000) [5] OBORNE, David, Ergonomics in Action, Trillas, México, pp. 22 – 47. (1998)</w:t>
      </w:r>
    </w:p>
    <w:p>
      <w:pPr>
        <w:pStyle w:val="BodyText"/>
      </w:pPr>
    </w:p>
    <w:p>
      <w:pPr>
        <w:pStyle w:val="BodyText"/>
        <w:spacing w:before="2"/>
      </w:pPr>
    </w:p>
    <w:p>
      <w:pPr>
        <w:pStyle w:val="Heading4"/>
        <w:numPr>
          <w:ilvl w:val="0"/>
          <w:numId w:val="14"/>
        </w:numPr>
        <w:tabs>
          <w:tab w:pos="472" w:val="left" w:leader="none"/>
        </w:tabs>
        <w:spacing w:line="240" w:lineRule="auto" w:before="0" w:after="0"/>
        <w:ind w:left="471" w:right="0" w:hanging="201"/>
        <w:jc w:val="both"/>
      </w:pPr>
      <w:r>
        <w:rPr/>
        <w:t>ELECTRONIC</w:t>
      </w:r>
      <w:r>
        <w:rPr>
          <w:spacing w:val="-4"/>
        </w:rPr>
        <w:t> </w:t>
      </w:r>
      <w:r>
        <w:rPr/>
        <w:t>REFERENCES</w:t>
      </w:r>
    </w:p>
    <w:p>
      <w:pPr>
        <w:pStyle w:val="BodyText"/>
        <w:spacing w:before="8"/>
        <w:rPr>
          <w:b/>
          <w:sz w:val="19"/>
        </w:rPr>
      </w:pPr>
    </w:p>
    <w:p>
      <w:pPr>
        <w:pStyle w:val="BodyText"/>
        <w:ind w:left="270" w:right="747"/>
      </w:pPr>
      <w:hyperlink r:id="rId40">
        <w:r>
          <w:rPr/>
          <w:t>http://www.eduinnova.es/mar2010/ergonomia_aula.pdf</w:t>
        </w:r>
      </w:hyperlink>
      <w:r>
        <w:rPr/>
        <w:t> </w:t>
      </w:r>
      <w:hyperlink r:id="rId41">
        <w:r>
          <w:rPr/>
          <w:t>http://www.aq.upm.es/Departamentos/Fisica/UD-</w:t>
        </w:r>
      </w:hyperlink>
      <w:r>
        <w:rPr/>
        <w:t> instalaciones/Paginas%2010-11.pdf </w:t>
      </w:r>
      <w:hyperlink r:id="rId42">
        <w:r>
          <w:rPr/>
          <w:t>http://ingenieriadeltrabajo042010.wikispaces.com/file/view/</w:t>
        </w:r>
      </w:hyperlink>
      <w:r>
        <w:rPr/>
        <w:t> Trabajo+de+Ingenier%C3%ADa+del+Trabajo.pdf</w:t>
      </w:r>
    </w:p>
    <w:p>
      <w:pPr>
        <w:pStyle w:val="BodyText"/>
      </w:pPr>
    </w:p>
    <w:p>
      <w:pPr>
        <w:pStyle w:val="BodyText"/>
      </w:pPr>
    </w:p>
    <w:p>
      <w:pPr>
        <w:pStyle w:val="BodyText"/>
        <w:spacing w:before="9"/>
        <w:rPr>
          <w:sz w:val="19"/>
        </w:rPr>
      </w:pPr>
    </w:p>
    <w:p>
      <w:pPr>
        <w:spacing w:before="0"/>
        <w:ind w:left="270" w:right="675" w:firstLine="0"/>
        <w:jc w:val="both"/>
        <w:rPr>
          <w:sz w:val="16"/>
        </w:rPr>
      </w:pPr>
      <w:r>
        <w:rPr>
          <w:b/>
          <w:sz w:val="16"/>
        </w:rPr>
        <w:t>Raymundo Ocaña Delgado: </w:t>
      </w:r>
      <w:r>
        <w:rPr>
          <w:sz w:val="16"/>
        </w:rPr>
        <w:t>Degree in Industrial Design and Specialist in Strategic Design of Industrial Products, both at the Autonomous University of the State of Mexico, with Masters in Education from the University Franco Mexicana, and Doctor in Education at the UA of Tlaxcala. Professor of LDI program for 23 years (CU UAEM Zumpango). Member of Institutional Quality Committee, Member of the Curriculum Committee of the FAD, Member of the Institutional Curricular Innovation Network and leader of the faculty "Empathic Design". Likewise, the CU-Z has served as Academic Coordinator LDI, Head of Tutoring and Academic Program Assistant. He has spoken at various national and international conferences</w:t>
      </w:r>
    </w:p>
    <w:p>
      <w:pPr>
        <w:pStyle w:val="BodyText"/>
        <w:rPr>
          <w:sz w:val="16"/>
        </w:rPr>
      </w:pPr>
    </w:p>
    <w:p>
      <w:pPr>
        <w:spacing w:before="0"/>
        <w:ind w:left="270" w:right="676" w:firstLine="0"/>
        <w:jc w:val="both"/>
        <w:rPr>
          <w:sz w:val="16"/>
        </w:rPr>
      </w:pPr>
      <w:r>
        <w:rPr>
          <w:b/>
          <w:sz w:val="16"/>
        </w:rPr>
        <w:t>Argelia Monserrat Rodríguez Leonel: </w:t>
      </w:r>
      <w:r>
        <w:rPr>
          <w:sz w:val="16"/>
        </w:rPr>
        <w:t>Bachelor of Law and Master in Business Administration from the University of the State of Mexico. Definite subject teacher education programs in Industrial Design, Law, Political Science and Public Administration, Management, Psychology and Computer Engineering, all within the CU UAEM Zumpango. Professor of Military Troops in School Air Force Specialists in the military field No. 37; Area President H. administration before the Academic Council of CU-Z. Speaker at national and international conferences on educational research.</w:t>
      </w:r>
    </w:p>
    <w:p>
      <w:pPr>
        <w:pStyle w:val="BodyText"/>
        <w:spacing w:before="11"/>
        <w:rPr>
          <w:sz w:val="19"/>
        </w:rPr>
      </w:pPr>
    </w:p>
    <w:p>
      <w:pPr>
        <w:spacing w:before="0"/>
        <w:ind w:left="270" w:right="676" w:firstLine="0"/>
        <w:jc w:val="both"/>
        <w:rPr>
          <w:sz w:val="16"/>
        </w:rPr>
      </w:pPr>
      <w:r>
        <w:rPr>
          <w:b/>
          <w:sz w:val="16"/>
        </w:rPr>
        <w:t>Francisco Platas López: </w:t>
      </w:r>
      <w:r>
        <w:rPr>
          <w:sz w:val="16"/>
        </w:rPr>
        <w:t>He is an municipal engineer by the School on Municipal Engineering. He did a Master’s and Doctoral degree in Design  by the Metropolitan Autonumus University (UAM). Is a Full Professor of Industrial Design at the Autonomous University of the State of México (Centro Universitario UAEM Zumpango). He worked as a Senior Management for Disaster Prevention and Mitigation, and National Alerting System (Federal Government of Mexico). His research interests include: Everyday Design and Sustainable</w:t>
      </w:r>
      <w:r>
        <w:rPr>
          <w:spacing w:val="-14"/>
          <w:sz w:val="16"/>
        </w:rPr>
        <w:t> </w:t>
      </w:r>
      <w:r>
        <w:rPr>
          <w:sz w:val="16"/>
        </w:rPr>
        <w:t>Design.</w:t>
      </w:r>
    </w:p>
    <w:p>
      <w:pPr>
        <w:pStyle w:val="BodyText"/>
        <w:spacing w:before="4"/>
        <w:rPr>
          <w:sz w:val="17"/>
        </w:rPr>
      </w:pPr>
    </w:p>
    <w:p>
      <w:pPr>
        <w:spacing w:before="0"/>
        <w:ind w:left="270" w:right="678" w:firstLine="0"/>
        <w:jc w:val="both"/>
        <w:rPr>
          <w:sz w:val="16"/>
        </w:rPr>
      </w:pPr>
      <w:r>
        <w:rPr>
          <w:b/>
          <w:sz w:val="16"/>
        </w:rPr>
        <w:t>Jorge Eduardo Zarur Cortes: </w:t>
      </w:r>
      <w:r>
        <w:rPr>
          <w:sz w:val="16"/>
        </w:rPr>
        <w:t>He is Doctor degree in Design by the Metropolitan Autonumus University (UAM). Artist plastic e illustrator. He has participated in several events academic, artistic, rapporteur,    workshop</w:t>
      </w:r>
    </w:p>
    <w:p>
      <w:pPr>
        <w:spacing w:after="0"/>
        <w:jc w:val="both"/>
        <w:rPr>
          <w:sz w:val="16"/>
        </w:rPr>
        <w:sectPr>
          <w:type w:val="continuous"/>
          <w:pgSz w:w="12240" w:h="15840"/>
          <w:pgMar w:top="1500" w:bottom="280" w:left="580" w:right="220"/>
          <w:cols w:num="2" w:equalWidth="0">
            <w:col w:w="5165" w:space="433"/>
            <w:col w:w="5842"/>
          </w:cols>
        </w:sectPr>
      </w:pPr>
    </w:p>
    <w:p>
      <w:pPr>
        <w:pStyle w:val="BodyText"/>
        <w:spacing w:before="10"/>
        <w:rPr>
          <w:sz w:val="10"/>
        </w:rPr>
      </w:pPr>
    </w:p>
    <w:p>
      <w:pPr>
        <w:spacing w:before="79"/>
        <w:ind w:left="270" w:right="6275" w:firstLine="0"/>
        <w:jc w:val="both"/>
        <w:rPr>
          <w:sz w:val="16"/>
        </w:rPr>
      </w:pPr>
      <w:r>
        <w:rPr>
          <w:sz w:val="16"/>
        </w:rPr>
        <w:t>leader. Has obtained miscellaneous survey and national awards, and honorable mentions in different competitions research design and art. He is author of materials haptic motion for visually impaired.</w:t>
      </w:r>
    </w:p>
    <w:p>
      <w:pPr>
        <w:spacing w:after="0"/>
        <w:jc w:val="both"/>
        <w:rPr>
          <w:sz w:val="16"/>
        </w:rPr>
        <w:sectPr>
          <w:pgSz w:w="12240" w:h="15840"/>
          <w:pgMar w:header="545" w:footer="852" w:top="1060" w:bottom="1040" w:left="580" w:right="220"/>
        </w:sectPr>
      </w:pPr>
    </w:p>
    <w:p>
      <w:pPr>
        <w:pStyle w:val="BodyText"/>
        <w:spacing w:before="3"/>
        <w:rPr>
          <w:sz w:val="11"/>
        </w:rPr>
      </w:pPr>
    </w:p>
    <w:p>
      <w:pPr>
        <w:spacing w:after="0"/>
        <w:rPr>
          <w:sz w:val="11"/>
        </w:rPr>
        <w:sectPr>
          <w:pgSz w:w="12240" w:h="15840"/>
          <w:pgMar w:header="545" w:footer="852" w:top="1060" w:bottom="1040" w:left="580" w:right="220"/>
        </w:sectPr>
      </w:pPr>
    </w:p>
    <w:p>
      <w:pPr>
        <w:spacing w:before="77"/>
        <w:ind w:left="332" w:right="65" w:firstLine="0"/>
        <w:jc w:val="center"/>
        <w:rPr>
          <w:b/>
          <w:sz w:val="18"/>
        </w:rPr>
      </w:pPr>
      <w:r>
        <w:rPr>
          <w:b/>
          <w:sz w:val="18"/>
        </w:rPr>
        <w:t>ERGOBAST</w:t>
      </w:r>
    </w:p>
    <w:p>
      <w:pPr>
        <w:pStyle w:val="BodyText"/>
        <w:spacing w:before="4"/>
        <w:rPr>
          <w:b/>
          <w:sz w:val="17"/>
        </w:rPr>
      </w:pPr>
    </w:p>
    <w:p>
      <w:pPr>
        <w:spacing w:line="211" w:lineRule="auto" w:before="0"/>
        <w:ind w:left="432" w:right="162" w:hanging="1"/>
        <w:jc w:val="center"/>
        <w:rPr>
          <w:sz w:val="12"/>
        </w:rPr>
      </w:pPr>
      <w:r>
        <w:rPr>
          <w:sz w:val="18"/>
        </w:rPr>
        <w:t>Jimena Badilla Jiménez</w:t>
      </w:r>
      <w:r>
        <w:rPr>
          <w:position w:val="8"/>
          <w:sz w:val="12"/>
        </w:rPr>
        <w:t>1</w:t>
      </w:r>
      <w:r>
        <w:rPr>
          <w:sz w:val="18"/>
        </w:rPr>
        <w:t>, Lucia Del Carmen Cubillas Galindo</w:t>
      </w:r>
      <w:r>
        <w:rPr>
          <w:position w:val="8"/>
          <w:sz w:val="12"/>
        </w:rPr>
        <w:t>1</w:t>
      </w:r>
      <w:r>
        <w:rPr>
          <w:sz w:val="18"/>
        </w:rPr>
        <w:t>, Cinthia Janeth Mange Ruiz</w:t>
      </w:r>
      <w:r>
        <w:rPr>
          <w:position w:val="8"/>
          <w:sz w:val="12"/>
        </w:rPr>
        <w:t>1</w:t>
      </w:r>
      <w:r>
        <w:rPr>
          <w:sz w:val="18"/>
        </w:rPr>
        <w:t>, Joaquín Vásquez Quiroga</w:t>
      </w:r>
      <w:r>
        <w:rPr>
          <w:position w:val="8"/>
          <w:sz w:val="12"/>
        </w:rPr>
        <w:t>1</w:t>
      </w:r>
      <w:r>
        <w:rPr>
          <w:sz w:val="18"/>
        </w:rPr>
        <w:t>, Mario Gómez Quesada</w:t>
      </w:r>
      <w:r>
        <w:rPr>
          <w:position w:val="8"/>
          <w:sz w:val="12"/>
        </w:rPr>
        <w:t>1</w:t>
      </w:r>
    </w:p>
    <w:p>
      <w:pPr>
        <w:pStyle w:val="BodyText"/>
        <w:spacing w:before="3"/>
        <w:rPr>
          <w:sz w:val="16"/>
        </w:rPr>
      </w:pPr>
    </w:p>
    <w:p>
      <w:pPr>
        <w:spacing w:before="0"/>
        <w:ind w:left="363" w:right="77" w:firstLine="654"/>
        <w:jc w:val="left"/>
        <w:rPr>
          <w:sz w:val="18"/>
        </w:rPr>
      </w:pPr>
      <w:r>
        <w:rPr>
          <w:position w:val="8"/>
          <w:sz w:val="12"/>
        </w:rPr>
        <w:t>1</w:t>
      </w:r>
      <w:r>
        <w:rPr>
          <w:sz w:val="18"/>
        </w:rPr>
        <w:t>Programa de Ingeniería Industrial y de sistemas Universidad de Sonora Unidad Regional Norte, campus Caborca.</w:t>
      </w:r>
    </w:p>
    <w:p>
      <w:pPr>
        <w:spacing w:before="0"/>
        <w:ind w:left="334" w:right="63" w:firstLine="0"/>
        <w:jc w:val="center"/>
        <w:rPr>
          <w:sz w:val="18"/>
        </w:rPr>
      </w:pPr>
      <w:r>
        <w:rPr>
          <w:sz w:val="18"/>
        </w:rPr>
        <w:t>Ave Universidad y calle Irigoyen S/N C. P. 83600 Caborca, Sonora, México,</w:t>
      </w:r>
    </w:p>
    <w:p>
      <w:pPr>
        <w:spacing w:before="0"/>
        <w:ind w:left="1037" w:right="310" w:firstLine="3337"/>
        <w:jc w:val="left"/>
        <w:rPr>
          <w:sz w:val="18"/>
        </w:rPr>
      </w:pPr>
      <w:r>
        <w:rPr>
          <w:sz w:val="18"/>
          <w:u w:val="single"/>
        </w:rPr>
        <w:t>luciia- </w:t>
      </w:r>
      <w:hyperlink r:id="rId43">
        <w:r>
          <w:rPr>
            <w:sz w:val="18"/>
            <w:u w:val="single"/>
          </w:rPr>
          <w:t>93@hotmail.com</w:t>
        </w:r>
        <w:r>
          <w:rPr>
            <w:sz w:val="18"/>
          </w:rPr>
          <w:t>,</w:t>
        </w:r>
      </w:hyperlink>
      <w:r>
        <w:rPr>
          <w:sz w:val="18"/>
        </w:rPr>
        <w:t> </w:t>
      </w:r>
      <w:hyperlink r:id="rId44">
        <w:r>
          <w:rPr>
            <w:sz w:val="18"/>
            <w:u w:val="single"/>
          </w:rPr>
          <w:t>jime_alvo09@hotmail.com</w:t>
        </w:r>
        <w:r>
          <w:rPr>
            <w:sz w:val="18"/>
          </w:rPr>
          <w:t>,</w:t>
        </w:r>
      </w:hyperlink>
    </w:p>
    <w:p>
      <w:pPr>
        <w:spacing w:before="0"/>
        <w:ind w:left="333" w:right="65" w:firstLine="0"/>
        <w:jc w:val="center"/>
        <w:rPr>
          <w:sz w:val="18"/>
        </w:rPr>
      </w:pPr>
      <w:hyperlink r:id="rId45">
        <w:r>
          <w:rPr>
            <w:sz w:val="18"/>
            <w:u w:val="single"/>
          </w:rPr>
          <w:t>mange_cinthia@hotmail.com</w:t>
        </w:r>
        <w:r>
          <w:rPr>
            <w:sz w:val="18"/>
          </w:rPr>
          <w:t>,</w:t>
        </w:r>
      </w:hyperlink>
      <w:r>
        <w:rPr>
          <w:sz w:val="18"/>
        </w:rPr>
        <w:t> </w:t>
      </w:r>
      <w:hyperlink r:id="rId46">
        <w:r>
          <w:rPr>
            <w:sz w:val="18"/>
            <w:u w:val="single"/>
          </w:rPr>
          <w:t>jovaqui@caborca.uson.mx</w:t>
        </w:r>
        <w:r>
          <w:rPr>
            <w:sz w:val="18"/>
          </w:rPr>
          <w:t>,</w:t>
        </w:r>
      </w:hyperlink>
      <w:r>
        <w:rPr>
          <w:sz w:val="18"/>
        </w:rPr>
        <w:t> </w:t>
      </w:r>
      <w:hyperlink r:id="rId47">
        <w:r>
          <w:rPr>
            <w:color w:val="0000FF"/>
            <w:sz w:val="18"/>
            <w:u w:val="single" w:color="0000FF"/>
          </w:rPr>
          <w:t>mgomez@caborca.uson.mx</w:t>
        </w:r>
      </w:hyperlink>
    </w:p>
    <w:p>
      <w:pPr>
        <w:pStyle w:val="BodyText"/>
        <w:spacing w:before="3"/>
        <w:rPr>
          <w:sz w:val="18"/>
        </w:rPr>
      </w:pPr>
    </w:p>
    <w:p>
      <w:pPr>
        <w:spacing w:before="0"/>
        <w:ind w:left="270" w:right="0" w:firstLine="0"/>
        <w:jc w:val="both"/>
        <w:rPr>
          <w:b/>
          <w:sz w:val="18"/>
        </w:rPr>
      </w:pPr>
      <w:r>
        <w:rPr>
          <w:b/>
          <w:sz w:val="18"/>
        </w:rPr>
        <w:t>RESUMEN</w:t>
      </w:r>
    </w:p>
    <w:p>
      <w:pPr>
        <w:pStyle w:val="BodyText"/>
        <w:spacing w:before="7"/>
        <w:rPr>
          <w:b/>
          <w:sz w:val="17"/>
        </w:rPr>
      </w:pPr>
    </w:p>
    <w:p>
      <w:pPr>
        <w:spacing w:before="1"/>
        <w:ind w:left="270" w:right="0" w:firstLine="0"/>
        <w:jc w:val="both"/>
        <w:rPr>
          <w:sz w:val="18"/>
        </w:rPr>
      </w:pPr>
      <w:r>
        <w:rPr>
          <w:sz w:val="18"/>
        </w:rPr>
        <w:t>Afortunadamente la gran mayoría de las personas que pierden totalmente la visión salen adelante una vez superado el shock emocional. Si se aprenden las técnicas alternativas de rehabilitación, es posible tener una buena calidad de vida tanto en  el caso de la baja visión, como en el de la ceguera. Los sujetos que aprovechan al máximo los instrumentos de rehabilitación y preservan su propia movilidad y ocupación son los menos deprimidos y con el nivel de integración social más alto. El bastón supone para el ciego una prolongación de su cuerpo. Esta herramienta táctil, fabricada con fibras sintéticas, guía los pasos del invidente, haciéndole notar sobre qué tipo de superficie está caminando y proporcionándole asimismo información acerca de su ubicación. Sin embargo debido al diseño del bastón y su forma este no es apropiado para el uso prolongado, la forma del bastón obliga a la persona a forzar la muñeca situación que afecta a aproximadamente 39 millones de personas en el mundo (Según la OMS).El objetivo de nuestro proyecto es crear un bastón ergonómico como apoyo para personas con deficiencia visual, el cual, mediante un sensor ultrasónico detecte a cuantos pasos se encuentra un obstáculo comunicándole al usuario la distancia en Lenguaje</w:t>
      </w:r>
      <w:r>
        <w:rPr>
          <w:spacing w:val="-2"/>
          <w:sz w:val="18"/>
        </w:rPr>
        <w:t> </w:t>
      </w:r>
      <w:r>
        <w:rPr>
          <w:sz w:val="18"/>
        </w:rPr>
        <w:t>Braille.</w:t>
      </w:r>
    </w:p>
    <w:p>
      <w:pPr>
        <w:pStyle w:val="BodyText"/>
        <w:rPr>
          <w:sz w:val="18"/>
        </w:rPr>
      </w:pPr>
    </w:p>
    <w:p>
      <w:pPr>
        <w:spacing w:before="0"/>
        <w:ind w:left="270" w:right="0" w:firstLine="0"/>
        <w:jc w:val="both"/>
        <w:rPr>
          <w:sz w:val="18"/>
        </w:rPr>
      </w:pPr>
      <w:r>
        <w:rPr>
          <w:b/>
          <w:sz w:val="18"/>
        </w:rPr>
        <w:t>Palabras clave: </w:t>
      </w:r>
      <w:r>
        <w:rPr>
          <w:sz w:val="18"/>
        </w:rPr>
        <w:t>Ergonomía, Discapacidad visual, Bastón.</w:t>
      </w:r>
    </w:p>
    <w:p>
      <w:pPr>
        <w:pStyle w:val="BodyText"/>
        <w:spacing w:before="3"/>
        <w:rPr>
          <w:sz w:val="18"/>
        </w:rPr>
      </w:pPr>
    </w:p>
    <w:p>
      <w:pPr>
        <w:spacing w:before="0"/>
        <w:ind w:left="270" w:right="0" w:firstLine="0"/>
        <w:jc w:val="both"/>
        <w:rPr>
          <w:b/>
          <w:sz w:val="18"/>
        </w:rPr>
      </w:pPr>
      <w:r>
        <w:rPr>
          <w:b/>
          <w:sz w:val="18"/>
        </w:rPr>
        <w:t>ABSTRACT</w:t>
      </w:r>
    </w:p>
    <w:p>
      <w:pPr>
        <w:pStyle w:val="BodyText"/>
        <w:spacing w:before="7"/>
        <w:rPr>
          <w:b/>
          <w:sz w:val="17"/>
        </w:rPr>
      </w:pPr>
    </w:p>
    <w:p>
      <w:pPr>
        <w:spacing w:before="1"/>
        <w:ind w:left="270" w:right="1" w:firstLine="0"/>
        <w:jc w:val="both"/>
        <w:rPr>
          <w:sz w:val="18"/>
        </w:rPr>
      </w:pPr>
      <w:r>
        <w:rPr>
          <w:color w:val="202020"/>
          <w:sz w:val="18"/>
        </w:rPr>
        <w:t>Fortunately the vast majority of people who lose vision completely get ahead they overcome the emotional shock. If alternative rehabilitation techniques are learned, it is possible to have a good quality of life both in the case of low vision, as in blindness. The subjects that leverage instruments rehabilitation and preserve their own mobility and occupation are less depressed and with the highest level of social integration.The cane supposed to the blind is an extension of their body. This tactile tool made from synthetic fibers, blind guide steps, making notes on what type of surface you are walking and also providing information about its location. However due to the design of the stick and the way this is not suitable for prolonged use, the form of the stick force a person to force the wrist situation that affects approximately 39 million people in the world (according to OMS). The aim of our project is to create an ergonomic cane as support for people with visual impairment, which, by an ultrasonic sensor detects an obstacle a few steps ahead and informs the user the distance in Braille language.</w:t>
      </w:r>
    </w:p>
    <w:p>
      <w:pPr>
        <w:pStyle w:val="BodyText"/>
        <w:rPr>
          <w:sz w:val="18"/>
        </w:rPr>
      </w:pPr>
    </w:p>
    <w:p>
      <w:pPr>
        <w:spacing w:before="0"/>
        <w:ind w:left="270" w:right="0" w:firstLine="0"/>
        <w:jc w:val="both"/>
        <w:rPr>
          <w:sz w:val="18"/>
        </w:rPr>
      </w:pPr>
      <w:r>
        <w:rPr>
          <w:b/>
          <w:sz w:val="18"/>
        </w:rPr>
        <w:t>Keywords: </w:t>
      </w:r>
      <w:r>
        <w:rPr>
          <w:sz w:val="18"/>
        </w:rPr>
        <w:t>Ergonomics, Discapacitat Visual, walking stick.</w:t>
      </w:r>
    </w:p>
    <w:p>
      <w:pPr>
        <w:pStyle w:val="ListParagraph"/>
        <w:numPr>
          <w:ilvl w:val="0"/>
          <w:numId w:val="16"/>
        </w:numPr>
        <w:tabs>
          <w:tab w:pos="407" w:val="left" w:leader="none"/>
        </w:tabs>
        <w:spacing w:line="240" w:lineRule="auto" w:before="77" w:after="0"/>
        <w:ind w:left="406" w:right="0" w:hanging="136"/>
        <w:jc w:val="both"/>
        <w:rPr>
          <w:b/>
          <w:sz w:val="18"/>
        </w:rPr>
      </w:pPr>
      <w:r>
        <w:rPr>
          <w:b/>
          <w:spacing w:val="-1"/>
          <w:sz w:val="18"/>
        </w:rPr>
        <w:br w:type="column"/>
      </w:r>
      <w:r>
        <w:rPr>
          <w:b/>
          <w:sz w:val="18"/>
        </w:rPr>
        <w:t>INTRODUCTION</w:t>
      </w:r>
    </w:p>
    <w:p>
      <w:pPr>
        <w:pStyle w:val="BodyText"/>
        <w:spacing w:before="7"/>
        <w:rPr>
          <w:b/>
          <w:sz w:val="17"/>
        </w:rPr>
      </w:pPr>
    </w:p>
    <w:p>
      <w:pPr>
        <w:spacing w:before="1"/>
        <w:ind w:left="270" w:right="676" w:firstLine="0"/>
        <w:jc w:val="both"/>
        <w:rPr>
          <w:sz w:val="18"/>
        </w:rPr>
      </w:pPr>
      <w:r>
        <w:rPr>
          <w:sz w:val="18"/>
        </w:rPr>
        <w:t>The development of technology to detect obstacles at a distance, by electronic systems or programmed sensors, was an idea that seemed drawn from science fiction, until recently, thanks to advances in technology this is possible with many electronics applications it has become part of our lives. To get around independently, the blind have two options: use a cane with which to test the ground and obstacles, or accompanied by a guide dog to do their guiding. Thinking about these people decided to start this project which consists of a stick which has the function of a normal cane and the guide dog which is to protect and guide his master. This staff has the following features; an appropriate staff person for all types of adapting to it and not the person to stick, ie; ideal for any blind person who wants to use an ergonomic cane, the cane contains sensors which detect an object at a distance to alert when the user approaches an obstacle, a normal stick sometimes fails because the efficiency of its use depends hundred percent of the blind person, the idea is that our staff besides alerts the user to a nearby obstacle, this can feel safe to move freely in a given area, because the stick will indicate through braille numbers in an electronic device placed so that using the index finger the person can know how far away an obstacle is. Also this way avoids the person for a wrist injury.</w:t>
      </w:r>
    </w:p>
    <w:p>
      <w:pPr>
        <w:pStyle w:val="BodyText"/>
        <w:spacing w:before="3"/>
        <w:rPr>
          <w:sz w:val="18"/>
        </w:rPr>
      </w:pPr>
    </w:p>
    <w:p>
      <w:pPr>
        <w:pStyle w:val="ListParagraph"/>
        <w:numPr>
          <w:ilvl w:val="0"/>
          <w:numId w:val="16"/>
        </w:numPr>
        <w:tabs>
          <w:tab w:pos="407" w:val="left" w:leader="none"/>
        </w:tabs>
        <w:spacing w:line="205" w:lineRule="exact" w:before="0" w:after="0"/>
        <w:ind w:left="406" w:right="0" w:hanging="136"/>
        <w:jc w:val="both"/>
        <w:rPr>
          <w:b/>
          <w:sz w:val="18"/>
        </w:rPr>
      </w:pPr>
      <w:r>
        <w:rPr>
          <w:b/>
          <w:sz w:val="18"/>
        </w:rPr>
        <w:t>OBJECTIVES</w:t>
      </w:r>
    </w:p>
    <w:p>
      <w:pPr>
        <w:spacing w:before="0"/>
        <w:ind w:left="270" w:right="678" w:firstLine="0"/>
        <w:jc w:val="both"/>
        <w:rPr>
          <w:sz w:val="18"/>
        </w:rPr>
      </w:pPr>
      <w:r>
        <w:rPr>
          <w:sz w:val="18"/>
        </w:rPr>
        <w:t>Create an ergonomic cane as support for people with visual impairment, which, by an ultrasonic sensor detects a few steps is an obstacle informing the user of the distance Language Braille and thus avoiding therefore the person with visual impairment damage wrist using it as a tool for better mobility and displacement.</w:t>
      </w:r>
    </w:p>
    <w:p>
      <w:pPr>
        <w:pStyle w:val="BodyText"/>
        <w:spacing w:before="3"/>
        <w:rPr>
          <w:sz w:val="18"/>
        </w:rPr>
      </w:pPr>
    </w:p>
    <w:p>
      <w:pPr>
        <w:pStyle w:val="ListParagraph"/>
        <w:numPr>
          <w:ilvl w:val="0"/>
          <w:numId w:val="16"/>
        </w:numPr>
        <w:tabs>
          <w:tab w:pos="407" w:val="left" w:leader="none"/>
        </w:tabs>
        <w:spacing w:line="240" w:lineRule="auto" w:before="0" w:after="0"/>
        <w:ind w:left="406" w:right="0" w:hanging="136"/>
        <w:jc w:val="both"/>
        <w:rPr>
          <w:b/>
          <w:sz w:val="18"/>
        </w:rPr>
      </w:pPr>
      <w:r>
        <w:rPr>
          <w:b/>
          <w:sz w:val="18"/>
        </w:rPr>
        <w:t>DELIMITATION</w:t>
      </w:r>
    </w:p>
    <w:p>
      <w:pPr>
        <w:pStyle w:val="BodyText"/>
        <w:spacing w:before="7"/>
        <w:rPr>
          <w:b/>
          <w:sz w:val="17"/>
        </w:rPr>
      </w:pPr>
    </w:p>
    <w:p>
      <w:pPr>
        <w:spacing w:before="1"/>
        <w:ind w:left="270" w:right="678" w:firstLine="0"/>
        <w:jc w:val="both"/>
        <w:rPr>
          <w:sz w:val="18"/>
        </w:rPr>
      </w:pPr>
      <w:r>
        <w:rPr>
          <w:color w:val="202020"/>
          <w:sz w:val="18"/>
        </w:rPr>
        <w:t>This product is aimed at people with total blindness, due to the length of the walking stick it can be used by people ages 15 years  or suit the individual according to his</w:t>
      </w:r>
      <w:r>
        <w:rPr>
          <w:color w:val="202020"/>
          <w:spacing w:val="-6"/>
          <w:sz w:val="18"/>
        </w:rPr>
        <w:t> </w:t>
      </w:r>
      <w:r>
        <w:rPr>
          <w:color w:val="202020"/>
          <w:sz w:val="18"/>
        </w:rPr>
        <w:t>size.</w:t>
      </w:r>
    </w:p>
    <w:p>
      <w:pPr>
        <w:pStyle w:val="BodyText"/>
        <w:spacing w:before="3"/>
        <w:rPr>
          <w:sz w:val="18"/>
        </w:rPr>
      </w:pPr>
    </w:p>
    <w:p>
      <w:pPr>
        <w:pStyle w:val="ListParagraph"/>
        <w:numPr>
          <w:ilvl w:val="0"/>
          <w:numId w:val="16"/>
        </w:numPr>
        <w:tabs>
          <w:tab w:pos="407" w:val="left" w:leader="none"/>
        </w:tabs>
        <w:spacing w:line="207" w:lineRule="exact" w:before="0" w:after="0"/>
        <w:ind w:left="406" w:right="0" w:hanging="136"/>
        <w:jc w:val="both"/>
        <w:rPr>
          <w:b/>
          <w:sz w:val="18"/>
        </w:rPr>
      </w:pPr>
      <w:r>
        <w:rPr>
          <w:b/>
          <w:sz w:val="18"/>
        </w:rPr>
        <w:t>FRAME OF</w:t>
      </w:r>
      <w:r>
        <w:rPr>
          <w:b/>
          <w:spacing w:val="-15"/>
          <w:sz w:val="18"/>
        </w:rPr>
        <w:t> </w:t>
      </w:r>
      <w:r>
        <w:rPr>
          <w:b/>
          <w:sz w:val="18"/>
        </w:rPr>
        <w:t>REFERENCE</w:t>
      </w:r>
    </w:p>
    <w:p>
      <w:pPr>
        <w:pStyle w:val="ListParagraph"/>
        <w:numPr>
          <w:ilvl w:val="1"/>
          <w:numId w:val="16"/>
        </w:numPr>
        <w:tabs>
          <w:tab w:pos="542" w:val="left" w:leader="none"/>
        </w:tabs>
        <w:spacing w:line="207" w:lineRule="exact" w:before="0" w:after="0"/>
        <w:ind w:left="541" w:right="0" w:hanging="271"/>
        <w:jc w:val="both"/>
        <w:rPr>
          <w:b/>
          <w:color w:val="202020"/>
          <w:sz w:val="18"/>
        </w:rPr>
      </w:pPr>
      <w:r>
        <w:rPr>
          <w:b/>
          <w:color w:val="202020"/>
          <w:sz w:val="18"/>
        </w:rPr>
        <w:t>visual</w:t>
      </w:r>
      <w:r>
        <w:rPr>
          <w:b/>
          <w:color w:val="202020"/>
          <w:spacing w:val="-16"/>
          <w:sz w:val="18"/>
        </w:rPr>
        <w:t> </w:t>
      </w:r>
      <w:r>
        <w:rPr>
          <w:b/>
          <w:color w:val="202020"/>
          <w:sz w:val="18"/>
        </w:rPr>
        <w:t>impairment</w:t>
      </w:r>
    </w:p>
    <w:p>
      <w:pPr>
        <w:pStyle w:val="BodyText"/>
        <w:spacing w:before="7"/>
        <w:rPr>
          <w:b/>
          <w:sz w:val="17"/>
        </w:rPr>
      </w:pPr>
    </w:p>
    <w:p>
      <w:pPr>
        <w:spacing w:before="1"/>
        <w:ind w:left="270" w:right="677" w:firstLine="0"/>
        <w:jc w:val="both"/>
        <w:rPr>
          <w:sz w:val="18"/>
        </w:rPr>
      </w:pPr>
      <w:r>
        <w:rPr>
          <w:color w:val="202020"/>
          <w:sz w:val="18"/>
        </w:rPr>
        <w:t>For OMS disability is "any restriction or lack (resulting from an impairment) of ability to perform an activity in the same form or degree that is considered normal for a human being .</w:t>
      </w:r>
    </w:p>
    <w:p>
      <w:pPr>
        <w:spacing w:before="0"/>
        <w:ind w:left="270" w:right="679" w:firstLine="0"/>
        <w:jc w:val="both"/>
        <w:rPr>
          <w:sz w:val="18"/>
        </w:rPr>
      </w:pPr>
      <w:r>
        <w:rPr>
          <w:color w:val="202020"/>
          <w:sz w:val="18"/>
        </w:rPr>
        <w:t>It refers to complex and integrated activities expected of persons a body as a whole , such as those represented by tasks, skills and behaviors.</w:t>
      </w:r>
    </w:p>
    <w:p>
      <w:pPr>
        <w:pStyle w:val="ListParagraph"/>
        <w:numPr>
          <w:ilvl w:val="1"/>
          <w:numId w:val="16"/>
        </w:numPr>
        <w:tabs>
          <w:tab w:pos="542" w:val="left" w:leader="none"/>
        </w:tabs>
        <w:spacing w:line="240" w:lineRule="auto" w:before="4" w:after="0"/>
        <w:ind w:left="541" w:right="0" w:hanging="271"/>
        <w:jc w:val="both"/>
        <w:rPr>
          <w:b/>
          <w:color w:val="202020"/>
          <w:sz w:val="18"/>
        </w:rPr>
      </w:pPr>
      <w:r>
        <w:rPr>
          <w:b/>
          <w:color w:val="202020"/>
          <w:sz w:val="18"/>
        </w:rPr>
        <w:t>Visual impairment in terms of</w:t>
      </w:r>
      <w:r>
        <w:rPr>
          <w:b/>
          <w:color w:val="202020"/>
          <w:spacing w:val="-5"/>
          <w:sz w:val="18"/>
        </w:rPr>
        <w:t> </w:t>
      </w:r>
      <w:r>
        <w:rPr>
          <w:b/>
          <w:color w:val="202020"/>
          <w:sz w:val="18"/>
        </w:rPr>
        <w:t>psychology</w:t>
      </w:r>
    </w:p>
    <w:p>
      <w:pPr>
        <w:pStyle w:val="BodyText"/>
        <w:spacing w:before="7"/>
        <w:rPr>
          <w:b/>
          <w:sz w:val="17"/>
        </w:rPr>
      </w:pPr>
    </w:p>
    <w:p>
      <w:pPr>
        <w:spacing w:before="1"/>
        <w:ind w:left="270" w:right="678" w:firstLine="0"/>
        <w:jc w:val="both"/>
        <w:rPr>
          <w:sz w:val="18"/>
        </w:rPr>
      </w:pPr>
      <w:r>
        <w:rPr>
          <w:color w:val="202020"/>
          <w:sz w:val="18"/>
        </w:rPr>
        <w:t>The Association of Visual Impairment Catalunya says that the first reaction after disclosure of disability occur is a state of disorientation and blurred vision in which the person feels disoriented , helpless and lost.</w:t>
      </w:r>
    </w:p>
    <w:p>
      <w:pPr>
        <w:spacing w:line="207" w:lineRule="exact" w:before="0"/>
        <w:ind w:left="270" w:right="0" w:firstLine="0"/>
        <w:jc w:val="both"/>
        <w:rPr>
          <w:sz w:val="18"/>
        </w:rPr>
      </w:pPr>
      <w:r>
        <w:rPr>
          <w:color w:val="202020"/>
          <w:sz w:val="18"/>
        </w:rPr>
        <w:t>After a loss occurs, as is any disability, the person is depressed.</w:t>
      </w:r>
    </w:p>
    <w:p>
      <w:pPr>
        <w:spacing w:before="0"/>
        <w:ind w:left="270" w:right="679" w:firstLine="0"/>
        <w:jc w:val="both"/>
        <w:rPr>
          <w:sz w:val="18"/>
        </w:rPr>
      </w:pPr>
      <w:r>
        <w:rPr>
          <w:color w:val="202020"/>
          <w:sz w:val="18"/>
        </w:rPr>
        <w:t>It is a natural reaction and can not be ignored or skipped. In the process of adapting the displacement with the walking stick requires intense training, but offers a great personal</w:t>
      </w:r>
      <w:r>
        <w:rPr>
          <w:color w:val="202020"/>
          <w:spacing w:val="-17"/>
          <w:sz w:val="18"/>
        </w:rPr>
        <w:t> </w:t>
      </w:r>
      <w:r>
        <w:rPr>
          <w:color w:val="202020"/>
          <w:sz w:val="18"/>
        </w:rPr>
        <w:t>autonomy.</w:t>
      </w:r>
    </w:p>
    <w:p>
      <w:pPr>
        <w:pStyle w:val="BodyText"/>
        <w:spacing w:before="3"/>
        <w:rPr>
          <w:sz w:val="18"/>
        </w:rPr>
      </w:pPr>
    </w:p>
    <w:p>
      <w:pPr>
        <w:pStyle w:val="ListParagraph"/>
        <w:numPr>
          <w:ilvl w:val="1"/>
          <w:numId w:val="16"/>
        </w:numPr>
        <w:tabs>
          <w:tab w:pos="542" w:val="left" w:leader="none"/>
        </w:tabs>
        <w:spacing w:line="240" w:lineRule="auto" w:before="0" w:after="0"/>
        <w:ind w:left="541" w:right="0" w:hanging="271"/>
        <w:jc w:val="both"/>
        <w:rPr>
          <w:b/>
          <w:color w:val="202020"/>
          <w:sz w:val="18"/>
        </w:rPr>
      </w:pPr>
      <w:r>
        <w:rPr>
          <w:b/>
          <w:color w:val="202020"/>
          <w:sz w:val="18"/>
        </w:rPr>
        <w:t>Statistics of People with Visual</w:t>
      </w:r>
      <w:r>
        <w:rPr>
          <w:b/>
          <w:color w:val="202020"/>
          <w:spacing w:val="-4"/>
          <w:sz w:val="18"/>
        </w:rPr>
        <w:t> </w:t>
      </w:r>
      <w:r>
        <w:rPr>
          <w:b/>
          <w:color w:val="202020"/>
          <w:sz w:val="18"/>
        </w:rPr>
        <w:t>Impairment</w:t>
      </w:r>
    </w:p>
    <w:p>
      <w:pPr>
        <w:pStyle w:val="BodyText"/>
        <w:spacing w:before="7"/>
        <w:rPr>
          <w:b/>
          <w:sz w:val="17"/>
        </w:rPr>
      </w:pPr>
    </w:p>
    <w:p>
      <w:pPr>
        <w:spacing w:before="1"/>
        <w:ind w:left="270" w:right="678" w:firstLine="0"/>
        <w:jc w:val="both"/>
        <w:rPr>
          <w:sz w:val="18"/>
        </w:rPr>
      </w:pPr>
      <w:r>
        <w:rPr>
          <w:color w:val="202020"/>
          <w:sz w:val="18"/>
        </w:rPr>
        <w:t>According to the INEGI the second disabilities in the country is the Visual, the first is the driving. (motriz)</w:t>
      </w:r>
    </w:p>
    <w:p>
      <w:pPr>
        <w:spacing w:before="0"/>
        <w:ind w:left="270" w:right="679" w:firstLine="0"/>
        <w:jc w:val="both"/>
        <w:rPr>
          <w:sz w:val="18"/>
        </w:rPr>
      </w:pPr>
      <w:r>
        <w:rPr>
          <w:color w:val="202020"/>
          <w:sz w:val="18"/>
        </w:rPr>
        <w:t>In 2010 there were 112 336 538 inhabitants in Mexico of which 4,527,784 are disabled and 1,292,201 are visual type .</w:t>
      </w:r>
    </w:p>
    <w:p>
      <w:pPr>
        <w:spacing w:after="0"/>
        <w:jc w:val="both"/>
        <w:rPr>
          <w:sz w:val="18"/>
        </w:rPr>
        <w:sectPr>
          <w:type w:val="continuous"/>
          <w:pgSz w:w="12240" w:h="15840"/>
          <w:pgMar w:top="1500" w:bottom="280" w:left="580" w:right="220"/>
          <w:cols w:num="2" w:equalWidth="0">
            <w:col w:w="5164" w:space="434"/>
            <w:col w:w="5842"/>
          </w:cols>
        </w:sectPr>
      </w:pPr>
    </w:p>
    <w:p>
      <w:pPr>
        <w:pStyle w:val="BodyText"/>
        <w:rPr>
          <w:sz w:val="11"/>
        </w:rPr>
      </w:pPr>
    </w:p>
    <w:p>
      <w:pPr>
        <w:spacing w:after="0"/>
        <w:rPr>
          <w:sz w:val="11"/>
        </w:rPr>
        <w:sectPr>
          <w:pgSz w:w="12240" w:h="15840"/>
          <w:pgMar w:header="545" w:footer="852" w:top="1060" w:bottom="1040" w:left="580" w:right="220"/>
        </w:sectPr>
      </w:pPr>
    </w:p>
    <w:p>
      <w:pPr>
        <w:spacing w:before="77"/>
        <w:ind w:left="270" w:right="0" w:firstLine="0"/>
        <w:jc w:val="both"/>
        <w:rPr>
          <w:sz w:val="18"/>
        </w:rPr>
      </w:pPr>
      <w:r>
        <w:rPr>
          <w:color w:val="202020"/>
          <w:sz w:val="18"/>
        </w:rPr>
        <w:t>Some 1.4 million children under 15 suffer from irreversible blindness. Also according to the WHO in a study conducted in  2012 there are 285 million people with visual disabilities of which 39 million are blind and 246 million have low</w:t>
      </w:r>
      <w:r>
        <w:rPr>
          <w:color w:val="202020"/>
          <w:spacing w:val="-14"/>
          <w:sz w:val="18"/>
        </w:rPr>
        <w:t> </w:t>
      </w:r>
      <w:r>
        <w:rPr>
          <w:color w:val="202020"/>
          <w:sz w:val="18"/>
        </w:rPr>
        <w:t>vision.</w:t>
      </w:r>
    </w:p>
    <w:p>
      <w:pPr>
        <w:spacing w:before="0"/>
        <w:ind w:left="270" w:right="0" w:firstLine="0"/>
        <w:jc w:val="both"/>
        <w:rPr>
          <w:sz w:val="18"/>
        </w:rPr>
      </w:pPr>
      <w:r>
        <w:rPr>
          <w:color w:val="202020"/>
          <w:sz w:val="18"/>
        </w:rPr>
        <w:t>About 65 % of people with disabilities are older than 50 years.</w:t>
      </w:r>
    </w:p>
    <w:p>
      <w:pPr>
        <w:pStyle w:val="BodyText"/>
        <w:spacing w:before="3"/>
        <w:rPr>
          <w:sz w:val="18"/>
        </w:rPr>
      </w:pPr>
    </w:p>
    <w:p>
      <w:pPr>
        <w:pStyle w:val="ListParagraph"/>
        <w:numPr>
          <w:ilvl w:val="1"/>
          <w:numId w:val="16"/>
        </w:numPr>
        <w:tabs>
          <w:tab w:pos="543" w:val="left" w:leader="none"/>
        </w:tabs>
        <w:spacing w:line="240" w:lineRule="auto" w:before="0" w:after="0"/>
        <w:ind w:left="542" w:right="0" w:hanging="272"/>
        <w:jc w:val="both"/>
        <w:rPr>
          <w:b/>
          <w:sz w:val="18"/>
        </w:rPr>
      </w:pPr>
      <w:r>
        <w:rPr>
          <w:b/>
          <w:sz w:val="18"/>
        </w:rPr>
        <w:t>Correct Posture blind with management</w:t>
      </w:r>
      <w:r>
        <w:rPr>
          <w:b/>
          <w:spacing w:val="-14"/>
          <w:sz w:val="18"/>
        </w:rPr>
        <w:t> </w:t>
      </w:r>
      <w:r>
        <w:rPr>
          <w:b/>
          <w:sz w:val="18"/>
        </w:rPr>
        <w:t>staff</w:t>
      </w:r>
    </w:p>
    <w:p>
      <w:pPr>
        <w:pStyle w:val="BodyText"/>
        <w:spacing w:before="7"/>
        <w:rPr>
          <w:b/>
          <w:sz w:val="17"/>
        </w:rPr>
      </w:pPr>
    </w:p>
    <w:p>
      <w:pPr>
        <w:spacing w:before="1"/>
        <w:ind w:left="270" w:right="0" w:firstLine="0"/>
        <w:jc w:val="both"/>
        <w:rPr>
          <w:sz w:val="18"/>
        </w:rPr>
      </w:pPr>
      <w:r>
        <w:rPr>
          <w:sz w:val="18"/>
        </w:rPr>
        <w:t>.Andújar and Santonja (1996) define the correct posture as "any  one that does not overload the column or any other element of locomotor" harmonic position as "the closest to the correct posture position that each person can get, according to their individual possibilities in every moment and stage of life. "In this sense, Santonja (1996) states that "measures of postural hygiene are not only tips on furniture, but consist of an internalization of the attitudes of the individual to life. It is the posturing unforced, comfortable which do not report musculoskeletal pain for our body. It is not maintaining a single position but is a dynamic and broader concept</w:t>
      </w:r>
      <w:r>
        <w:rPr>
          <w:spacing w:val="-2"/>
          <w:sz w:val="18"/>
        </w:rPr>
        <w:t> </w:t>
      </w:r>
      <w:r>
        <w:rPr>
          <w:sz w:val="18"/>
        </w:rPr>
        <w:t>".</w:t>
      </w:r>
    </w:p>
    <w:p>
      <w:pPr>
        <w:pStyle w:val="BodyText"/>
        <w:spacing w:before="3"/>
        <w:rPr>
          <w:sz w:val="18"/>
        </w:rPr>
      </w:pPr>
    </w:p>
    <w:p>
      <w:pPr>
        <w:pStyle w:val="ListParagraph"/>
        <w:numPr>
          <w:ilvl w:val="1"/>
          <w:numId w:val="16"/>
        </w:numPr>
        <w:tabs>
          <w:tab w:pos="542" w:val="left" w:leader="none"/>
        </w:tabs>
        <w:spacing w:line="240" w:lineRule="auto" w:before="0" w:after="0"/>
        <w:ind w:left="541" w:right="0" w:hanging="271"/>
        <w:jc w:val="both"/>
        <w:rPr>
          <w:b/>
          <w:sz w:val="18"/>
        </w:rPr>
      </w:pPr>
      <w:r>
        <w:rPr>
          <w:b/>
          <w:sz w:val="18"/>
        </w:rPr>
        <w:t>Analysis of Proprioceptive</w:t>
      </w:r>
      <w:r>
        <w:rPr>
          <w:b/>
          <w:spacing w:val="-21"/>
          <w:sz w:val="18"/>
        </w:rPr>
        <w:t> </w:t>
      </w:r>
      <w:r>
        <w:rPr>
          <w:b/>
          <w:sz w:val="18"/>
        </w:rPr>
        <w:t>sensations</w:t>
      </w:r>
    </w:p>
    <w:p>
      <w:pPr>
        <w:pStyle w:val="BodyText"/>
        <w:spacing w:before="7"/>
        <w:rPr>
          <w:b/>
          <w:sz w:val="17"/>
        </w:rPr>
      </w:pPr>
    </w:p>
    <w:p>
      <w:pPr>
        <w:spacing w:before="1"/>
        <w:ind w:left="270" w:right="0" w:firstLine="0"/>
        <w:jc w:val="both"/>
        <w:rPr>
          <w:sz w:val="18"/>
        </w:rPr>
      </w:pPr>
      <w:r>
        <w:rPr>
          <w:sz w:val="18"/>
        </w:rPr>
        <w:t>Cecilia Flores in his Ergonomics Book for Design says that besides having the same needs that people presumably normal, disabled also have their own deficiency needs. As if this were not enough, they have to redouble efforts to adapt to the world of "normal" people, and wander through our public spaces with wheelchairs, crutches or canes; blind people have to travel on sidewalks saturated stalls, posts or phone booths that endanger their</w:t>
      </w:r>
      <w:r>
        <w:rPr>
          <w:spacing w:val="-11"/>
          <w:sz w:val="18"/>
        </w:rPr>
        <w:t> </w:t>
      </w:r>
      <w:r>
        <w:rPr>
          <w:sz w:val="18"/>
        </w:rPr>
        <w:t>safety.</w:t>
      </w:r>
    </w:p>
    <w:p>
      <w:pPr>
        <w:pStyle w:val="BodyText"/>
        <w:spacing w:before="3"/>
        <w:rPr>
          <w:sz w:val="18"/>
        </w:rPr>
      </w:pPr>
    </w:p>
    <w:p>
      <w:pPr>
        <w:pStyle w:val="ListParagraph"/>
        <w:numPr>
          <w:ilvl w:val="1"/>
          <w:numId w:val="16"/>
        </w:numPr>
        <w:tabs>
          <w:tab w:pos="542" w:val="left" w:leader="none"/>
        </w:tabs>
        <w:spacing w:line="240" w:lineRule="auto" w:before="0" w:after="0"/>
        <w:ind w:left="541" w:right="0" w:hanging="271"/>
        <w:jc w:val="both"/>
        <w:rPr>
          <w:b/>
          <w:color w:val="202020"/>
          <w:sz w:val="18"/>
        </w:rPr>
      </w:pPr>
      <w:r>
        <w:rPr>
          <w:b/>
          <w:color w:val="202020"/>
          <w:sz w:val="18"/>
        </w:rPr>
        <w:t>Visual Analysis</w:t>
      </w:r>
      <w:r>
        <w:rPr>
          <w:b/>
          <w:color w:val="202020"/>
          <w:spacing w:val="-1"/>
          <w:sz w:val="18"/>
        </w:rPr>
        <w:t> </w:t>
      </w:r>
      <w:r>
        <w:rPr>
          <w:b/>
          <w:color w:val="202020"/>
          <w:sz w:val="18"/>
        </w:rPr>
        <w:t>System</w:t>
      </w:r>
    </w:p>
    <w:p>
      <w:pPr>
        <w:pStyle w:val="BodyText"/>
        <w:spacing w:before="7"/>
        <w:rPr>
          <w:b/>
          <w:sz w:val="17"/>
        </w:rPr>
      </w:pPr>
    </w:p>
    <w:p>
      <w:pPr>
        <w:spacing w:before="1"/>
        <w:ind w:left="270" w:right="0" w:firstLine="0"/>
        <w:jc w:val="both"/>
        <w:rPr>
          <w:sz w:val="18"/>
        </w:rPr>
      </w:pPr>
      <w:r>
        <w:rPr>
          <w:sz w:val="18"/>
        </w:rPr>
        <w:t>According to Cecilia Flores in her Ergonomics Design Book for the visual system is the most sophisticated and developed sensory organs, and the most used.</w:t>
      </w:r>
    </w:p>
    <w:p>
      <w:pPr>
        <w:spacing w:before="0"/>
        <w:ind w:left="270" w:right="1" w:firstLine="0"/>
        <w:jc w:val="both"/>
        <w:rPr>
          <w:sz w:val="18"/>
        </w:rPr>
      </w:pPr>
      <w:r>
        <w:rPr>
          <w:sz w:val="18"/>
        </w:rPr>
        <w:t>We live in a world designed for seers. Using the view is quite comfortable and easy to abuse it because the movements and eye makes adjustments are automatic and unconscious, except for cases of people suffering from visual abnormalities and have to remedy their problem squinting or using special lenses to compensate.</w:t>
      </w:r>
    </w:p>
    <w:p>
      <w:pPr>
        <w:pStyle w:val="BodyText"/>
        <w:spacing w:before="3"/>
        <w:rPr>
          <w:sz w:val="18"/>
        </w:rPr>
      </w:pPr>
    </w:p>
    <w:p>
      <w:pPr>
        <w:pStyle w:val="ListParagraph"/>
        <w:numPr>
          <w:ilvl w:val="1"/>
          <w:numId w:val="16"/>
        </w:numPr>
        <w:tabs>
          <w:tab w:pos="542" w:val="left" w:leader="none"/>
        </w:tabs>
        <w:spacing w:line="240" w:lineRule="auto" w:before="0" w:after="0"/>
        <w:ind w:left="541" w:right="0" w:hanging="271"/>
        <w:jc w:val="both"/>
        <w:rPr>
          <w:b/>
          <w:sz w:val="18"/>
        </w:rPr>
      </w:pPr>
      <w:r>
        <w:rPr>
          <w:b/>
          <w:sz w:val="18"/>
        </w:rPr>
        <w:t>Analysis of Language</w:t>
      </w:r>
      <w:r>
        <w:rPr>
          <w:b/>
          <w:spacing w:val="-21"/>
          <w:sz w:val="18"/>
        </w:rPr>
        <w:t> </w:t>
      </w:r>
      <w:r>
        <w:rPr>
          <w:b/>
          <w:sz w:val="18"/>
        </w:rPr>
        <w:t>Braille</w:t>
      </w:r>
    </w:p>
    <w:p>
      <w:pPr>
        <w:pStyle w:val="BodyText"/>
        <w:spacing w:before="7"/>
        <w:rPr>
          <w:b/>
          <w:sz w:val="17"/>
        </w:rPr>
      </w:pPr>
    </w:p>
    <w:p>
      <w:pPr>
        <w:spacing w:before="1"/>
        <w:ind w:left="270" w:right="0" w:firstLine="0"/>
        <w:jc w:val="both"/>
        <w:rPr>
          <w:sz w:val="18"/>
        </w:rPr>
      </w:pPr>
      <w:r>
        <w:rPr>
          <w:sz w:val="18"/>
        </w:rPr>
        <w:t>Braille is a system of reading and writing developed for people  with the disease of blindness. This system of writing and reading was created by Louise Braille. The Braille is used for different purposes and in different products as well as foodstuffs (milk cartons, butter, etc.) to give directions or instructions (elevators), media (cell phones, computers). Gradually people have increased the incorporation of Braille into everyday objects with which we give more accessibility to the blind to the real world. (Kitzing, 2011)</w:t>
      </w:r>
    </w:p>
    <w:p>
      <w:pPr>
        <w:pStyle w:val="BodyText"/>
        <w:spacing w:before="3"/>
        <w:rPr>
          <w:sz w:val="18"/>
        </w:rPr>
      </w:pPr>
    </w:p>
    <w:p>
      <w:pPr>
        <w:pStyle w:val="ListParagraph"/>
        <w:numPr>
          <w:ilvl w:val="1"/>
          <w:numId w:val="16"/>
        </w:numPr>
        <w:tabs>
          <w:tab w:pos="542" w:val="left" w:leader="none"/>
        </w:tabs>
        <w:spacing w:line="240" w:lineRule="auto" w:before="0" w:after="0"/>
        <w:ind w:left="541" w:right="0" w:hanging="271"/>
        <w:jc w:val="both"/>
        <w:rPr>
          <w:b/>
          <w:sz w:val="18"/>
        </w:rPr>
      </w:pPr>
      <w:r>
        <w:rPr>
          <w:b/>
          <w:sz w:val="18"/>
        </w:rPr>
        <w:t>Cane for the</w:t>
      </w:r>
      <w:r>
        <w:rPr>
          <w:b/>
          <w:spacing w:val="-10"/>
          <w:sz w:val="18"/>
        </w:rPr>
        <w:t> </w:t>
      </w:r>
      <w:r>
        <w:rPr>
          <w:b/>
          <w:sz w:val="18"/>
        </w:rPr>
        <w:t>Blind</w:t>
      </w:r>
    </w:p>
    <w:p>
      <w:pPr>
        <w:pStyle w:val="BodyText"/>
        <w:spacing w:before="7"/>
        <w:rPr>
          <w:b/>
          <w:sz w:val="17"/>
        </w:rPr>
      </w:pPr>
    </w:p>
    <w:p>
      <w:pPr>
        <w:spacing w:before="1"/>
        <w:ind w:left="270" w:right="0" w:firstLine="0"/>
        <w:jc w:val="both"/>
        <w:rPr>
          <w:sz w:val="18"/>
        </w:rPr>
      </w:pPr>
      <w:r>
        <w:rPr>
          <w:sz w:val="18"/>
        </w:rPr>
        <w:t>The cane supposed to blind an extension of your body. This tactile tool made from synthetic fibers, blind guide steps, making notes on what type of surface you are walking and also providing information about its location. The pointer contact with the ground vibrations refers blind, that are more intense the harder is the surface on which it is located.</w:t>
      </w:r>
    </w:p>
    <w:p>
      <w:pPr>
        <w:pStyle w:val="BodyText"/>
        <w:spacing w:before="3"/>
        <w:rPr>
          <w:sz w:val="18"/>
        </w:rPr>
      </w:pPr>
    </w:p>
    <w:p>
      <w:pPr>
        <w:pStyle w:val="ListParagraph"/>
        <w:numPr>
          <w:ilvl w:val="1"/>
          <w:numId w:val="16"/>
        </w:numPr>
        <w:tabs>
          <w:tab w:pos="542" w:val="left" w:leader="none"/>
        </w:tabs>
        <w:spacing w:line="240" w:lineRule="auto" w:before="0" w:after="0"/>
        <w:ind w:left="541" w:right="0" w:hanging="271"/>
        <w:jc w:val="both"/>
        <w:rPr>
          <w:b/>
          <w:sz w:val="18"/>
        </w:rPr>
      </w:pPr>
      <w:r>
        <w:rPr>
          <w:b/>
          <w:sz w:val="18"/>
        </w:rPr>
        <w:t>Carpal tunnel</w:t>
      </w:r>
      <w:r>
        <w:rPr>
          <w:b/>
          <w:spacing w:val="-1"/>
          <w:sz w:val="18"/>
        </w:rPr>
        <w:t> </w:t>
      </w:r>
      <w:r>
        <w:rPr>
          <w:b/>
          <w:sz w:val="18"/>
        </w:rPr>
        <w:t>syndrome</w:t>
      </w:r>
    </w:p>
    <w:p>
      <w:pPr>
        <w:spacing w:before="77"/>
        <w:ind w:left="270" w:right="678" w:firstLine="0"/>
        <w:jc w:val="both"/>
        <w:rPr>
          <w:sz w:val="18"/>
        </w:rPr>
      </w:pPr>
      <w:r>
        <w:rPr/>
        <w:br w:type="column"/>
      </w:r>
      <w:r>
        <w:rPr>
          <w:sz w:val="18"/>
        </w:rPr>
        <w:t>Carpal tunnel syndrome (CTS) is a condition in which the median nerve, one of the two main nerves of the hand, is compressed at the wrist, which causes pain in the hand, wrist and sometimes on the arm and numbness and tingling especially in the thumb, index and middle fingers. In severe cases it can also be seen as weakness in the muscles of the thumb which. Affects approximately three percent of the population.</w:t>
      </w:r>
    </w:p>
    <w:p>
      <w:pPr>
        <w:pStyle w:val="BodyText"/>
        <w:spacing w:before="3"/>
        <w:rPr>
          <w:sz w:val="18"/>
        </w:rPr>
      </w:pPr>
    </w:p>
    <w:p>
      <w:pPr>
        <w:pStyle w:val="ListParagraph"/>
        <w:numPr>
          <w:ilvl w:val="1"/>
          <w:numId w:val="16"/>
        </w:numPr>
        <w:tabs>
          <w:tab w:pos="632" w:val="left" w:leader="none"/>
        </w:tabs>
        <w:spacing w:line="240" w:lineRule="auto" w:before="0" w:after="0"/>
        <w:ind w:left="631" w:right="0" w:hanging="361"/>
        <w:jc w:val="both"/>
        <w:rPr>
          <w:b/>
          <w:color w:val="202020"/>
          <w:sz w:val="18"/>
        </w:rPr>
      </w:pPr>
      <w:r>
        <w:rPr>
          <w:b/>
          <w:color w:val="202020"/>
          <w:sz w:val="18"/>
        </w:rPr>
        <w:t>Application of Ergonomics for</w:t>
      </w:r>
      <w:r>
        <w:rPr>
          <w:b/>
          <w:color w:val="202020"/>
          <w:spacing w:val="-2"/>
          <w:sz w:val="18"/>
        </w:rPr>
        <w:t> </w:t>
      </w:r>
      <w:r>
        <w:rPr>
          <w:b/>
          <w:color w:val="202020"/>
          <w:sz w:val="18"/>
        </w:rPr>
        <w:t>Design</w:t>
      </w:r>
    </w:p>
    <w:p>
      <w:pPr>
        <w:pStyle w:val="BodyText"/>
        <w:spacing w:before="7"/>
        <w:rPr>
          <w:b/>
          <w:sz w:val="17"/>
        </w:rPr>
      </w:pPr>
    </w:p>
    <w:p>
      <w:pPr>
        <w:spacing w:before="1"/>
        <w:ind w:left="270" w:right="678" w:firstLine="0"/>
        <w:jc w:val="both"/>
        <w:rPr>
          <w:sz w:val="18"/>
        </w:rPr>
      </w:pPr>
      <w:r>
        <w:rPr>
          <w:color w:val="202020"/>
          <w:sz w:val="18"/>
        </w:rPr>
        <w:t>As Cecilia Flores says in her book Ergonomics for design (2001) " If we have to design objects that have instructions we can choose the type of language that can be written , graphic or visual or hearing for good ergonomic relationship signals. "</w:t>
      </w:r>
    </w:p>
    <w:p>
      <w:pPr>
        <w:spacing w:before="0"/>
        <w:ind w:left="270" w:right="679" w:firstLine="0"/>
        <w:jc w:val="both"/>
        <w:rPr>
          <w:sz w:val="18"/>
        </w:rPr>
      </w:pPr>
      <w:r>
        <w:rPr>
          <w:color w:val="202020"/>
          <w:sz w:val="18"/>
        </w:rPr>
        <w:t>This means that design must not be bound by the standard type of visual signals, or specific language, you can reach a much wider audience covering other equally valid signals.</w:t>
      </w:r>
    </w:p>
    <w:p>
      <w:pPr>
        <w:pStyle w:val="BodyText"/>
        <w:spacing w:before="3"/>
        <w:rPr>
          <w:sz w:val="18"/>
        </w:rPr>
      </w:pPr>
    </w:p>
    <w:p>
      <w:pPr>
        <w:pStyle w:val="ListParagraph"/>
        <w:numPr>
          <w:ilvl w:val="0"/>
          <w:numId w:val="17"/>
        </w:numPr>
        <w:tabs>
          <w:tab w:pos="407" w:val="left" w:leader="none"/>
        </w:tabs>
        <w:spacing w:line="240" w:lineRule="auto" w:before="0" w:after="0"/>
        <w:ind w:left="406" w:right="0" w:hanging="136"/>
        <w:jc w:val="both"/>
        <w:rPr>
          <w:b/>
          <w:sz w:val="18"/>
        </w:rPr>
      </w:pPr>
      <w:r>
        <w:rPr>
          <w:b/>
          <w:sz w:val="18"/>
        </w:rPr>
        <w:t>METHODOLOGY</w:t>
      </w:r>
    </w:p>
    <w:p>
      <w:pPr>
        <w:pStyle w:val="BodyText"/>
        <w:spacing w:before="7"/>
        <w:rPr>
          <w:b/>
          <w:sz w:val="17"/>
        </w:rPr>
      </w:pPr>
    </w:p>
    <w:p>
      <w:pPr>
        <w:spacing w:before="1"/>
        <w:ind w:left="270" w:right="677" w:firstLine="0"/>
        <w:jc w:val="both"/>
        <w:rPr>
          <w:sz w:val="18"/>
        </w:rPr>
      </w:pPr>
      <w:r>
        <w:rPr>
          <w:sz w:val="18"/>
        </w:rPr>
        <w:t>Ergonomic design walking stick helps the person using it is not damaged in his column or on your wrist (Appendix Figure 6). The device is made with an electronic controller (Arduino) programmable to allow interpreting the signals emitted by an ultrasonic sensor to tell the user how many steps is your  next hurdle. The information provided by the controller is distance between the sensor and the obstacle; this distance will be displayed via a Braille device and information representing the numbers 0 to 9.</w:t>
      </w:r>
    </w:p>
    <w:p>
      <w:pPr>
        <w:spacing w:line="207" w:lineRule="exact" w:before="0"/>
        <w:ind w:left="270" w:right="0" w:firstLine="0"/>
        <w:jc w:val="both"/>
        <w:rPr>
          <w:sz w:val="18"/>
        </w:rPr>
      </w:pPr>
      <w:r>
        <w:rPr>
          <w:sz w:val="18"/>
        </w:rPr>
        <w:t>Components:</w:t>
      </w:r>
    </w:p>
    <w:p>
      <w:pPr>
        <w:spacing w:before="0"/>
        <w:ind w:left="270" w:right="678" w:firstLine="0"/>
        <w:jc w:val="both"/>
        <w:rPr>
          <w:sz w:val="18"/>
        </w:rPr>
      </w:pPr>
      <w:r>
        <w:rPr>
          <w:sz w:val="18"/>
        </w:rPr>
        <w:t>Ultrasonic Sensor (Appendix Figure 1): It gives the time it takes for sound to travel the distance of the sensor and the object that bounces the signal. This time the distance is</w:t>
      </w:r>
      <w:r>
        <w:rPr>
          <w:spacing w:val="-11"/>
          <w:sz w:val="18"/>
        </w:rPr>
        <w:t> </w:t>
      </w:r>
      <w:r>
        <w:rPr>
          <w:sz w:val="18"/>
        </w:rPr>
        <w:t>calculated.</w:t>
      </w:r>
    </w:p>
    <w:p>
      <w:pPr>
        <w:spacing w:before="0"/>
        <w:ind w:left="270" w:right="678" w:firstLine="0"/>
        <w:jc w:val="both"/>
        <w:rPr>
          <w:sz w:val="18"/>
        </w:rPr>
      </w:pPr>
      <w:r>
        <w:rPr>
          <w:sz w:val="18"/>
        </w:rPr>
        <w:t>Programmable controller Arduino (Appendix Figure 2): controller inputs and outputs handled with C ++ language.</w:t>
      </w:r>
    </w:p>
    <w:p>
      <w:pPr>
        <w:spacing w:before="0"/>
        <w:ind w:left="270" w:right="679" w:firstLine="0"/>
        <w:jc w:val="both"/>
        <w:rPr>
          <w:sz w:val="18"/>
        </w:rPr>
      </w:pPr>
      <w:r>
        <w:rPr>
          <w:sz w:val="18"/>
        </w:rPr>
        <w:t>Electromagnetic device (Appendix Figure 3) is used to represent numbers from 0 to 9 in Braille.</w:t>
      </w:r>
    </w:p>
    <w:p>
      <w:pPr>
        <w:spacing w:before="0"/>
        <w:ind w:left="270" w:right="676" w:firstLine="0"/>
        <w:jc w:val="both"/>
        <w:rPr>
          <w:sz w:val="18"/>
        </w:rPr>
      </w:pPr>
      <w:r>
        <w:rPr>
          <w:sz w:val="18"/>
        </w:rPr>
        <w:t>Trigger switch (Appendix Figure 4): Pressing it starts shooting for  a</w:t>
      </w:r>
      <w:r>
        <w:rPr>
          <w:spacing w:val="-4"/>
          <w:sz w:val="18"/>
        </w:rPr>
        <w:t> </w:t>
      </w:r>
      <w:r>
        <w:rPr>
          <w:sz w:val="18"/>
        </w:rPr>
        <w:t>measurement.</w:t>
      </w:r>
    </w:p>
    <w:p>
      <w:pPr>
        <w:spacing w:before="0"/>
        <w:ind w:left="270" w:right="677" w:firstLine="0"/>
        <w:jc w:val="both"/>
        <w:rPr>
          <w:sz w:val="18"/>
        </w:rPr>
      </w:pPr>
      <w:r>
        <w:rPr>
          <w:sz w:val="18"/>
        </w:rPr>
        <w:t>Braille (Appendix Figure 5): Use the Braille numbers person can meet few steps away is the next obstacle.</w:t>
      </w:r>
    </w:p>
    <w:p>
      <w:pPr>
        <w:pStyle w:val="BodyText"/>
        <w:spacing w:before="3"/>
        <w:rPr>
          <w:sz w:val="18"/>
        </w:rPr>
      </w:pPr>
    </w:p>
    <w:p>
      <w:pPr>
        <w:pStyle w:val="ListParagraph"/>
        <w:numPr>
          <w:ilvl w:val="0"/>
          <w:numId w:val="17"/>
        </w:numPr>
        <w:tabs>
          <w:tab w:pos="407" w:val="left" w:leader="none"/>
        </w:tabs>
        <w:spacing w:line="240" w:lineRule="auto" w:before="0" w:after="0"/>
        <w:ind w:left="406" w:right="0" w:hanging="136"/>
        <w:jc w:val="both"/>
        <w:rPr>
          <w:b/>
          <w:sz w:val="18"/>
        </w:rPr>
      </w:pPr>
      <w:r>
        <w:rPr>
          <w:b/>
          <w:sz w:val="18"/>
        </w:rPr>
        <w:t>RESULTS</w:t>
      </w:r>
    </w:p>
    <w:p>
      <w:pPr>
        <w:pStyle w:val="BodyText"/>
        <w:spacing w:before="7"/>
        <w:rPr>
          <w:b/>
          <w:sz w:val="17"/>
        </w:rPr>
      </w:pPr>
    </w:p>
    <w:p>
      <w:pPr>
        <w:spacing w:before="1"/>
        <w:ind w:left="270" w:right="678" w:firstLine="0"/>
        <w:jc w:val="both"/>
        <w:rPr>
          <w:sz w:val="18"/>
        </w:rPr>
      </w:pPr>
      <w:r>
        <w:rPr>
          <w:sz w:val="18"/>
        </w:rPr>
        <w:t>All cane ergonomically is designed to support the blind, facilitating their movement in the environment in which they develop giving the Individual Safety and Auto dependency, also contributing to improving their self-esteem; due to ergonomic design and avoid injury to the wrist and spine (Appendix Figure 7).</w:t>
      </w:r>
    </w:p>
    <w:p>
      <w:pPr>
        <w:pStyle w:val="BodyText"/>
        <w:spacing w:before="3"/>
        <w:rPr>
          <w:sz w:val="18"/>
        </w:rPr>
      </w:pPr>
    </w:p>
    <w:p>
      <w:pPr>
        <w:pStyle w:val="ListParagraph"/>
        <w:numPr>
          <w:ilvl w:val="0"/>
          <w:numId w:val="17"/>
        </w:numPr>
        <w:tabs>
          <w:tab w:pos="407" w:val="left" w:leader="none"/>
        </w:tabs>
        <w:spacing w:line="240" w:lineRule="auto" w:before="0" w:after="0"/>
        <w:ind w:left="406" w:right="0" w:hanging="136"/>
        <w:jc w:val="both"/>
        <w:rPr>
          <w:b/>
          <w:sz w:val="18"/>
        </w:rPr>
      </w:pPr>
      <w:r>
        <w:rPr>
          <w:b/>
          <w:sz w:val="18"/>
        </w:rPr>
        <w:t>CONCLUSIONS</w:t>
      </w:r>
    </w:p>
    <w:p>
      <w:pPr>
        <w:pStyle w:val="BodyText"/>
        <w:spacing w:before="7"/>
        <w:rPr>
          <w:b/>
          <w:sz w:val="17"/>
        </w:rPr>
      </w:pPr>
    </w:p>
    <w:p>
      <w:pPr>
        <w:spacing w:before="1"/>
        <w:ind w:left="270" w:right="678" w:firstLine="0"/>
        <w:jc w:val="both"/>
        <w:rPr>
          <w:sz w:val="18"/>
        </w:rPr>
      </w:pPr>
      <w:r>
        <w:rPr>
          <w:sz w:val="18"/>
        </w:rPr>
        <w:t>People with blindness or low vision usually have trouble functioning handled outside of known environments. In fact, physical movement is one of the biggest challenges for blind people. Traveling or just walking down a crowded street can generate great difficulties. For this reason, many people with low vision walk with a friend or relative to help them conduct themselves in unfamiliar environments. Likewise, blind people must learn all the details of your home. The major obstacles like furniture must remain in place to prevent injuries. If a blind person lives with others, each household member must keep aisles clear of obstacles</w:t>
      </w:r>
      <w:r>
        <w:rPr>
          <w:spacing w:val="34"/>
          <w:sz w:val="18"/>
        </w:rPr>
        <w:t> </w:t>
      </w:r>
      <w:r>
        <w:rPr>
          <w:sz w:val="18"/>
        </w:rPr>
        <w:t>and</w:t>
      </w:r>
      <w:r>
        <w:rPr>
          <w:spacing w:val="34"/>
          <w:sz w:val="18"/>
        </w:rPr>
        <w:t> </w:t>
      </w:r>
      <w:r>
        <w:rPr>
          <w:sz w:val="18"/>
        </w:rPr>
        <w:t>all</w:t>
      </w:r>
      <w:r>
        <w:rPr>
          <w:spacing w:val="34"/>
          <w:sz w:val="18"/>
        </w:rPr>
        <w:t> </w:t>
      </w:r>
      <w:r>
        <w:rPr>
          <w:sz w:val="18"/>
        </w:rPr>
        <w:t>objects</w:t>
      </w:r>
      <w:r>
        <w:rPr>
          <w:spacing w:val="34"/>
          <w:sz w:val="18"/>
        </w:rPr>
        <w:t> </w:t>
      </w:r>
      <w:r>
        <w:rPr>
          <w:sz w:val="18"/>
        </w:rPr>
        <w:t>must</w:t>
      </w:r>
      <w:r>
        <w:rPr>
          <w:spacing w:val="35"/>
          <w:sz w:val="18"/>
        </w:rPr>
        <w:t> </w:t>
      </w:r>
      <w:r>
        <w:rPr>
          <w:sz w:val="18"/>
        </w:rPr>
        <w:t>remain</w:t>
      </w:r>
      <w:r>
        <w:rPr>
          <w:spacing w:val="34"/>
          <w:sz w:val="18"/>
        </w:rPr>
        <w:t> </w:t>
      </w:r>
      <w:r>
        <w:rPr>
          <w:sz w:val="18"/>
        </w:rPr>
        <w:t>in</w:t>
      </w:r>
      <w:r>
        <w:rPr>
          <w:spacing w:val="34"/>
          <w:sz w:val="18"/>
        </w:rPr>
        <w:t> </w:t>
      </w:r>
      <w:r>
        <w:rPr>
          <w:sz w:val="18"/>
        </w:rPr>
        <w:t>place.</w:t>
      </w:r>
      <w:r>
        <w:rPr>
          <w:spacing w:val="34"/>
          <w:sz w:val="18"/>
        </w:rPr>
        <w:t> </w:t>
      </w:r>
      <w:r>
        <w:rPr>
          <w:sz w:val="18"/>
        </w:rPr>
        <w:t>That</w:t>
      </w:r>
      <w:r>
        <w:rPr>
          <w:spacing w:val="33"/>
          <w:sz w:val="18"/>
        </w:rPr>
        <w:t> </w:t>
      </w:r>
      <w:r>
        <w:rPr>
          <w:sz w:val="18"/>
        </w:rPr>
        <w:t>is</w:t>
      </w:r>
      <w:r>
        <w:rPr>
          <w:spacing w:val="34"/>
          <w:sz w:val="18"/>
        </w:rPr>
        <w:t> </w:t>
      </w:r>
      <w:r>
        <w:rPr>
          <w:sz w:val="18"/>
        </w:rPr>
        <w:t>why</w:t>
      </w:r>
      <w:r>
        <w:rPr>
          <w:spacing w:val="37"/>
          <w:sz w:val="18"/>
        </w:rPr>
        <w:t> </w:t>
      </w:r>
      <w:r>
        <w:rPr>
          <w:sz w:val="18"/>
        </w:rPr>
        <w:t>we</w:t>
      </w:r>
    </w:p>
    <w:p>
      <w:pPr>
        <w:spacing w:after="0"/>
        <w:jc w:val="both"/>
        <w:rPr>
          <w:sz w:val="18"/>
        </w:rPr>
        <w:sectPr>
          <w:type w:val="continuous"/>
          <w:pgSz w:w="12240" w:h="15840"/>
          <w:pgMar w:top="1500" w:bottom="280" w:left="580" w:right="220"/>
          <w:cols w:num="2" w:equalWidth="0">
            <w:col w:w="5164" w:space="434"/>
            <w:col w:w="5842"/>
          </w:cols>
        </w:sectPr>
      </w:pPr>
    </w:p>
    <w:p>
      <w:pPr>
        <w:pStyle w:val="BodyText"/>
        <w:rPr>
          <w:sz w:val="11"/>
        </w:rPr>
      </w:pPr>
    </w:p>
    <w:p>
      <w:pPr>
        <w:spacing w:before="77"/>
        <w:ind w:left="270" w:right="6276" w:firstLine="0"/>
        <w:jc w:val="left"/>
        <w:rPr>
          <w:sz w:val="18"/>
        </w:rPr>
      </w:pPr>
      <w:r>
        <w:rPr/>
        <w:drawing>
          <wp:anchor distT="0" distB="0" distL="0" distR="0" allowOverlap="1" layoutInCell="1" locked="0" behindDoc="1" simplePos="0" relativeHeight="267558479">
            <wp:simplePos x="0" y="0"/>
            <wp:positionH relativeFrom="page">
              <wp:posOffset>4094988</wp:posOffset>
            </wp:positionH>
            <wp:positionV relativeFrom="paragraph">
              <wp:posOffset>51210</wp:posOffset>
            </wp:positionV>
            <wp:extent cx="2515362" cy="1171193"/>
            <wp:effectExtent l="0" t="0" r="0" b="0"/>
            <wp:wrapNone/>
            <wp:docPr id="25" name="image13.jpeg" descr=""/>
            <wp:cNvGraphicFramePr>
              <a:graphicFrameLocks noChangeAspect="1"/>
            </wp:cNvGraphicFramePr>
            <a:graphic>
              <a:graphicData uri="http://schemas.openxmlformats.org/drawingml/2006/picture">
                <pic:pic>
                  <pic:nvPicPr>
                    <pic:cNvPr id="26" name="image13.jpeg"/>
                    <pic:cNvPicPr/>
                  </pic:nvPicPr>
                  <pic:blipFill>
                    <a:blip r:embed="rId48" cstate="print"/>
                    <a:stretch>
                      <a:fillRect/>
                    </a:stretch>
                  </pic:blipFill>
                  <pic:spPr>
                    <a:xfrm>
                      <a:off x="0" y="0"/>
                      <a:ext cx="2515362" cy="1171193"/>
                    </a:xfrm>
                    <a:prstGeom prst="rect">
                      <a:avLst/>
                    </a:prstGeom>
                  </pic:spPr>
                </pic:pic>
              </a:graphicData>
            </a:graphic>
          </wp:anchor>
        </w:drawing>
      </w:r>
      <w:r>
        <w:rPr>
          <w:sz w:val="18"/>
        </w:rPr>
        <w:t>designed this walking stick that facilitates the individual movement by the environment.</w:t>
      </w:r>
    </w:p>
    <w:p>
      <w:pPr>
        <w:spacing w:before="4"/>
        <w:ind w:left="2010" w:right="6276" w:firstLine="0"/>
        <w:jc w:val="left"/>
        <w:rPr>
          <w:b/>
          <w:sz w:val="18"/>
        </w:rPr>
      </w:pPr>
      <w:r>
        <w:rPr/>
        <w:pict>
          <v:group style="position:absolute;margin-left:42.540001pt;margin-top:10.582334pt;width:190.15pt;height:274.75pt;mso-position-horizontal-relative:page;mso-position-vertical-relative:paragraph;z-index:-877000" coordorigin="851,212" coordsize="3803,5495">
            <v:shape style="position:absolute;left:851;top:212;width:3698;height:2867" type="#_x0000_t75" stroked="false">
              <v:imagedata r:id="rId49" o:title=""/>
            </v:shape>
            <v:shape style="position:absolute;left:851;top:3078;width:3803;height:2628" type="#_x0000_t75" stroked="false">
              <v:imagedata r:id="rId50" o:title=""/>
            </v:shape>
            <w10:wrap type="none"/>
          </v:group>
        </w:pict>
      </w:r>
      <w:r>
        <w:rPr>
          <w:b/>
          <w:sz w:val="18"/>
        </w:rPr>
        <w:t>ATTACHMENTS</w:t>
      </w:r>
    </w:p>
    <w:p>
      <w:pPr>
        <w:pStyle w:val="BodyText"/>
        <w:rPr>
          <w:b/>
          <w:sz w:val="18"/>
        </w:rPr>
      </w:pPr>
    </w:p>
    <w:p>
      <w:pPr>
        <w:pStyle w:val="BodyText"/>
        <w:rPr>
          <w:b/>
          <w:sz w:val="18"/>
        </w:rPr>
      </w:pPr>
    </w:p>
    <w:p>
      <w:pPr>
        <w:pStyle w:val="BodyText"/>
        <w:rPr>
          <w:b/>
          <w:sz w:val="18"/>
        </w:rPr>
      </w:pPr>
    </w:p>
    <w:p>
      <w:pPr>
        <w:pStyle w:val="BodyText"/>
        <w:rPr>
          <w:b/>
          <w:sz w:val="18"/>
        </w:rPr>
      </w:pPr>
    </w:p>
    <w:p>
      <w:pPr>
        <w:pStyle w:val="BodyText"/>
        <w:rPr>
          <w:b/>
          <w:sz w:val="18"/>
        </w:rPr>
      </w:pPr>
    </w:p>
    <w:p>
      <w:pPr>
        <w:pStyle w:val="BodyText"/>
        <w:spacing w:before="11"/>
        <w:rPr>
          <w:b/>
          <w:sz w:val="15"/>
        </w:rPr>
      </w:pPr>
    </w:p>
    <w:p>
      <w:pPr>
        <w:spacing w:line="203" w:lineRule="exact" w:before="0"/>
        <w:ind w:left="5123" w:right="4041" w:firstLine="0"/>
        <w:jc w:val="center"/>
        <w:rPr>
          <w:sz w:val="18"/>
        </w:rPr>
      </w:pPr>
      <w:r>
        <w:rPr>
          <w:sz w:val="18"/>
        </w:rPr>
        <w:t>FIGURE 5</w:t>
      </w:r>
    </w:p>
    <w:p>
      <w:pPr>
        <w:spacing w:after="0" w:line="203" w:lineRule="exact"/>
        <w:jc w:val="center"/>
        <w:rPr>
          <w:sz w:val="18"/>
        </w:rPr>
        <w:sectPr>
          <w:pgSz w:w="12240" w:h="15840"/>
          <w:pgMar w:header="545" w:footer="852" w:top="1060" w:bottom="1040" w:left="580" w:right="220"/>
        </w:sect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tabs>
          <w:tab w:pos="2362" w:val="left" w:leader="none"/>
        </w:tabs>
        <w:spacing w:before="136"/>
        <w:ind w:left="270" w:right="0" w:firstLine="0"/>
        <w:jc w:val="left"/>
        <w:rPr>
          <w:sz w:val="18"/>
        </w:rPr>
      </w:pPr>
      <w:r>
        <w:rPr>
          <w:sz w:val="18"/>
        </w:rPr>
        <w:t>FIGURE</w:t>
      </w:r>
      <w:r>
        <w:rPr>
          <w:spacing w:val="-1"/>
          <w:sz w:val="18"/>
        </w:rPr>
        <w:t> </w:t>
      </w:r>
      <w:r>
        <w:rPr>
          <w:sz w:val="18"/>
        </w:rPr>
        <w:t>1</w:t>
        <w:tab/>
        <w:t>FIGURE</w:t>
      </w:r>
      <w:r>
        <w:rPr>
          <w:spacing w:val="-3"/>
          <w:sz w:val="18"/>
        </w:rPr>
        <w:t> </w:t>
      </w:r>
      <w:r>
        <w:rPr>
          <w:sz w:val="18"/>
        </w:rPr>
        <w:t>2</w:t>
      </w:r>
    </w:p>
    <w:p>
      <w:pPr>
        <w:pStyle w:val="BodyText"/>
      </w:pPr>
    </w:p>
    <w:p>
      <w:pPr>
        <w:pStyle w:val="BodyText"/>
        <w:spacing w:before="11"/>
        <w:rPr>
          <w:sz w:val="12"/>
        </w:rPr>
      </w:pPr>
      <w:r>
        <w:rPr/>
        <w:drawing>
          <wp:anchor distT="0" distB="0" distL="0" distR="0" allowOverlap="1" layoutInCell="1" locked="0" behindDoc="0" simplePos="0" relativeHeight="1768">
            <wp:simplePos x="0" y="0"/>
            <wp:positionH relativeFrom="page">
              <wp:posOffset>540258</wp:posOffset>
            </wp:positionH>
            <wp:positionV relativeFrom="paragraph">
              <wp:posOffset>119556</wp:posOffset>
            </wp:positionV>
            <wp:extent cx="2340336" cy="3382422"/>
            <wp:effectExtent l="0" t="0" r="0" b="0"/>
            <wp:wrapTopAndBottom/>
            <wp:docPr id="27" name="image16.png" descr=""/>
            <wp:cNvGraphicFramePr>
              <a:graphicFrameLocks noChangeAspect="1"/>
            </wp:cNvGraphicFramePr>
            <a:graphic>
              <a:graphicData uri="http://schemas.openxmlformats.org/drawingml/2006/picture">
                <pic:pic>
                  <pic:nvPicPr>
                    <pic:cNvPr id="28" name="image16.png"/>
                    <pic:cNvPicPr/>
                  </pic:nvPicPr>
                  <pic:blipFill>
                    <a:blip r:embed="rId51" cstate="print"/>
                    <a:stretch>
                      <a:fillRect/>
                    </a:stretch>
                  </pic:blipFill>
                  <pic:spPr>
                    <a:xfrm>
                      <a:off x="0" y="0"/>
                      <a:ext cx="2340336" cy="3382422"/>
                    </a:xfrm>
                    <a:prstGeom prst="rect">
                      <a:avLst/>
                    </a:prstGeom>
                  </pic:spPr>
                </pic:pic>
              </a:graphicData>
            </a:graphic>
          </wp:anchor>
        </w:drawing>
      </w:r>
    </w:p>
    <w:p>
      <w:pPr>
        <w:tabs>
          <w:tab w:pos="2407" w:val="left" w:leader="none"/>
        </w:tabs>
        <w:spacing w:before="0"/>
        <w:ind w:left="270" w:right="0" w:firstLine="0"/>
        <w:jc w:val="left"/>
        <w:rPr>
          <w:sz w:val="18"/>
        </w:rPr>
      </w:pPr>
      <w:r>
        <w:rPr>
          <w:sz w:val="18"/>
        </w:rPr>
        <w:t>FIGURE</w:t>
      </w:r>
      <w:r>
        <w:rPr>
          <w:spacing w:val="-1"/>
          <w:sz w:val="18"/>
        </w:rPr>
        <w:t> </w:t>
      </w:r>
      <w:r>
        <w:rPr>
          <w:sz w:val="18"/>
        </w:rPr>
        <w:t>3</w:t>
        <w:tab/>
        <w:t>FIGURE</w:t>
      </w:r>
      <w:r>
        <w:rPr>
          <w:spacing w:val="-3"/>
          <w:sz w:val="18"/>
        </w:rPr>
        <w:t> </w:t>
      </w:r>
      <w:r>
        <w:rPr>
          <w:sz w:val="18"/>
        </w:rPr>
        <w:t>4</w:t>
      </w:r>
    </w:p>
    <w:p>
      <w:pPr>
        <w:pStyle w:val="BodyText"/>
      </w:pPr>
      <w:r>
        <w:rPr/>
        <w:br w:type="column"/>
      </w:r>
      <w:r>
        <w:rPr/>
      </w:r>
    </w:p>
    <w:p>
      <w:pPr>
        <w:pStyle w:val="BodyText"/>
      </w:pPr>
    </w:p>
    <w:p>
      <w:pPr>
        <w:pStyle w:val="BodyText"/>
        <w:spacing w:before="4"/>
        <w:rPr>
          <w:sz w:val="11"/>
        </w:rPr>
      </w:pPr>
      <w:r>
        <w:rPr/>
        <w:drawing>
          <wp:anchor distT="0" distB="0" distL="0" distR="0" allowOverlap="1" layoutInCell="1" locked="0" behindDoc="0" simplePos="0" relativeHeight="1792">
            <wp:simplePos x="0" y="0"/>
            <wp:positionH relativeFrom="page">
              <wp:posOffset>4094988</wp:posOffset>
            </wp:positionH>
            <wp:positionV relativeFrom="paragraph">
              <wp:posOffset>107743</wp:posOffset>
            </wp:positionV>
            <wp:extent cx="1795056" cy="2850356"/>
            <wp:effectExtent l="0" t="0" r="0" b="0"/>
            <wp:wrapTopAndBottom/>
            <wp:docPr id="29" name="image17.jpeg" descr=""/>
            <wp:cNvGraphicFramePr>
              <a:graphicFrameLocks noChangeAspect="1"/>
            </wp:cNvGraphicFramePr>
            <a:graphic>
              <a:graphicData uri="http://schemas.openxmlformats.org/drawingml/2006/picture">
                <pic:pic>
                  <pic:nvPicPr>
                    <pic:cNvPr id="30" name="image17.jpeg"/>
                    <pic:cNvPicPr/>
                  </pic:nvPicPr>
                  <pic:blipFill>
                    <a:blip r:embed="rId52" cstate="print"/>
                    <a:stretch>
                      <a:fillRect/>
                    </a:stretch>
                  </pic:blipFill>
                  <pic:spPr>
                    <a:xfrm>
                      <a:off x="0" y="0"/>
                      <a:ext cx="1795056" cy="2850356"/>
                    </a:xfrm>
                    <a:prstGeom prst="rect">
                      <a:avLst/>
                    </a:prstGeom>
                  </pic:spPr>
                </pic:pic>
              </a:graphicData>
            </a:graphic>
          </wp:anchor>
        </w:drawing>
      </w:r>
    </w:p>
    <w:p>
      <w:pPr>
        <w:spacing w:before="0"/>
        <w:ind w:left="316" w:right="668" w:firstLine="0"/>
        <w:jc w:val="left"/>
        <w:rPr>
          <w:sz w:val="18"/>
        </w:rPr>
      </w:pPr>
      <w:r>
        <w:rPr>
          <w:sz w:val="18"/>
        </w:rPr>
        <w:t>FIGURE 6</w:t>
      </w:r>
    </w:p>
    <w:p>
      <w:pPr>
        <w:pStyle w:val="BodyText"/>
        <w:ind w:left="270"/>
      </w:pPr>
      <w:r>
        <w:rPr/>
        <w:drawing>
          <wp:inline distT="0" distB="0" distL="0" distR="0">
            <wp:extent cx="1851790" cy="3297936"/>
            <wp:effectExtent l="0" t="0" r="0" b="0"/>
            <wp:docPr id="31" name="image18.jpeg" descr=""/>
            <wp:cNvGraphicFramePr>
              <a:graphicFrameLocks noChangeAspect="1"/>
            </wp:cNvGraphicFramePr>
            <a:graphic>
              <a:graphicData uri="http://schemas.openxmlformats.org/drawingml/2006/picture">
                <pic:pic>
                  <pic:nvPicPr>
                    <pic:cNvPr id="32" name="image18.jpeg"/>
                    <pic:cNvPicPr/>
                  </pic:nvPicPr>
                  <pic:blipFill>
                    <a:blip r:embed="rId53" cstate="print"/>
                    <a:stretch>
                      <a:fillRect/>
                    </a:stretch>
                  </pic:blipFill>
                  <pic:spPr>
                    <a:xfrm>
                      <a:off x="0" y="0"/>
                      <a:ext cx="1851790" cy="3297936"/>
                    </a:xfrm>
                    <a:prstGeom prst="rect">
                      <a:avLst/>
                    </a:prstGeom>
                  </pic:spPr>
                </pic:pic>
              </a:graphicData>
            </a:graphic>
          </wp:inline>
        </w:drawing>
      </w:r>
      <w:r>
        <w:rPr/>
      </w:r>
    </w:p>
    <w:p>
      <w:pPr>
        <w:spacing w:before="8"/>
        <w:ind w:left="270" w:right="4441" w:firstLine="0"/>
        <w:jc w:val="left"/>
        <w:rPr>
          <w:b/>
          <w:sz w:val="18"/>
        </w:rPr>
      </w:pPr>
      <w:r>
        <w:rPr>
          <w:b/>
          <w:sz w:val="18"/>
        </w:rPr>
        <w:t>FIGURE 7 REFERENCE</w:t>
      </w:r>
    </w:p>
    <w:p>
      <w:pPr>
        <w:spacing w:line="206" w:lineRule="exact" w:before="0"/>
        <w:ind w:left="270" w:right="967" w:firstLine="0"/>
        <w:jc w:val="left"/>
        <w:rPr>
          <w:sz w:val="18"/>
        </w:rPr>
      </w:pPr>
      <w:hyperlink r:id="rId54">
        <w:r>
          <w:rPr>
            <w:sz w:val="18"/>
          </w:rPr>
          <w:t>http://www.integrando.org.ar/investigando/dis_visual.htm</w:t>
        </w:r>
      </w:hyperlink>
      <w:r>
        <w:rPr>
          <w:sz w:val="18"/>
        </w:rPr>
        <w:t> </w:t>
      </w:r>
      <w:hyperlink r:id="rId55">
        <w:r>
          <w:rPr>
            <w:sz w:val="18"/>
          </w:rPr>
          <w:t>http://www.b1b2b3.org/es/Telefono_Ull/psicologia.html#Inicio</w:t>
        </w:r>
      </w:hyperlink>
    </w:p>
    <w:p>
      <w:pPr>
        <w:spacing w:after="0" w:line="206" w:lineRule="exact"/>
        <w:jc w:val="left"/>
        <w:rPr>
          <w:sz w:val="18"/>
        </w:rPr>
        <w:sectPr>
          <w:type w:val="continuous"/>
          <w:pgSz w:w="12240" w:h="15840"/>
          <w:pgMar w:top="1500" w:bottom="280" w:left="580" w:right="220"/>
          <w:cols w:num="2" w:equalWidth="0">
            <w:col w:w="3977" w:space="1621"/>
            <w:col w:w="5842"/>
          </w:cols>
        </w:sectPr>
      </w:pPr>
    </w:p>
    <w:p>
      <w:pPr>
        <w:pStyle w:val="BodyText"/>
        <w:rPr>
          <w:sz w:val="11"/>
        </w:rPr>
      </w:pPr>
    </w:p>
    <w:p>
      <w:pPr>
        <w:spacing w:before="77"/>
        <w:ind w:left="270" w:right="6304" w:firstLine="0"/>
        <w:jc w:val="left"/>
        <w:rPr>
          <w:sz w:val="18"/>
        </w:rPr>
      </w:pPr>
      <w:hyperlink r:id="rId56">
        <w:r>
          <w:rPr>
            <w:sz w:val="18"/>
          </w:rPr>
          <w:t>http://www.muyinteresante.es/tecnologia/preguntas-</w:t>
        </w:r>
      </w:hyperlink>
      <w:r>
        <w:rPr>
          <w:sz w:val="18"/>
        </w:rPr>
        <w:t> respuestas/icomo-funciona-el-baston-para-ciegos </w:t>
      </w:r>
      <w:hyperlink r:id="rId57">
        <w:r>
          <w:rPr>
            <w:sz w:val="18"/>
          </w:rPr>
          <w:t>http://www.who.int/mediacentre/factsheets/fs282/es/</w:t>
        </w:r>
      </w:hyperlink>
      <w:r>
        <w:rPr>
          <w:sz w:val="18"/>
        </w:rPr>
        <w:t> </w:t>
      </w:r>
      <w:hyperlink r:id="rId58">
        <w:r>
          <w:rPr>
            <w:sz w:val="18"/>
          </w:rPr>
          <w:t>http://www.amfecco.org/article_estadisticas.php</w:t>
        </w:r>
      </w:hyperlink>
      <w:r>
        <w:rPr>
          <w:sz w:val="18"/>
        </w:rPr>
        <w:t> </w:t>
      </w:r>
      <w:hyperlink r:id="rId59">
        <w:r>
          <w:rPr>
            <w:sz w:val="18"/>
          </w:rPr>
          <w:t>http://www.traumazaragoza.com/traumazaragoza.com/Documentac</w:t>
        </w:r>
      </w:hyperlink>
      <w:r>
        <w:rPr>
          <w:sz w:val="18"/>
        </w:rPr>
        <w:t> ion_files/Biomeca%CC%81nica%20de%20la%20Mun%CC%83ec a.pdf</w:t>
      </w:r>
    </w:p>
    <w:p>
      <w:pPr>
        <w:spacing w:before="0"/>
        <w:ind w:left="270" w:right="6298" w:firstLine="0"/>
        <w:jc w:val="left"/>
        <w:rPr>
          <w:sz w:val="18"/>
        </w:rPr>
      </w:pPr>
      <w:hyperlink r:id="rId60">
        <w:r>
          <w:rPr>
            <w:sz w:val="18"/>
          </w:rPr>
          <w:t>http://www.cochrane.org/es/CD009600/uso-de-equipos-o-posicion-</w:t>
        </w:r>
      </w:hyperlink>
      <w:r>
        <w:rPr>
          <w:sz w:val="18"/>
        </w:rPr>
        <w:t> ergonomica-para-el-tratamiento-del-sindrome-del-tunel-carpiano http://ribuc.ucp.edu.co:8080/jspui/bitstream/handle/10785/1692/C DMDI338.pdf?sequence=2</w:t>
      </w:r>
    </w:p>
    <w:p>
      <w:pPr>
        <w:spacing w:before="0"/>
        <w:ind w:left="270" w:right="6276" w:firstLine="0"/>
        <w:jc w:val="left"/>
        <w:rPr>
          <w:sz w:val="18"/>
        </w:rPr>
      </w:pPr>
      <w:r>
        <w:rPr>
          <w:sz w:val="18"/>
        </w:rPr>
        <w:t>Informe elaborado por el IBV (Instituto de Biomecánica de Valencia)</w:t>
      </w:r>
    </w:p>
    <w:p>
      <w:pPr>
        <w:spacing w:line="207" w:lineRule="exact" w:before="0"/>
        <w:ind w:left="270" w:right="6276" w:firstLine="0"/>
        <w:jc w:val="left"/>
        <w:rPr>
          <w:sz w:val="18"/>
        </w:rPr>
      </w:pPr>
      <w:r>
        <w:rPr>
          <w:sz w:val="18"/>
        </w:rPr>
        <w:t>NIPO 216-04-029-9</w:t>
      </w:r>
    </w:p>
    <w:p>
      <w:pPr>
        <w:spacing w:before="0"/>
        <w:ind w:left="270" w:right="6276" w:firstLine="0"/>
        <w:jc w:val="left"/>
        <w:rPr>
          <w:sz w:val="18"/>
        </w:rPr>
      </w:pPr>
      <w:r>
        <w:rPr>
          <w:sz w:val="18"/>
        </w:rPr>
        <w:t>Libro: </w:t>
      </w:r>
      <w:hyperlink r:id="rId61">
        <w:r>
          <w:rPr>
            <w:sz w:val="18"/>
          </w:rPr>
          <w:t>http://sid.usal.es/libros/discapacidad/7191/8-12/ergonomia-</w:t>
        </w:r>
      </w:hyperlink>
      <w:r>
        <w:rPr>
          <w:sz w:val="18"/>
        </w:rPr>
        <w:t> y-discapacidad.aspx</w:t>
      </w:r>
    </w:p>
    <w:p>
      <w:pPr>
        <w:spacing w:before="0"/>
        <w:ind w:left="270" w:right="6310" w:firstLine="0"/>
        <w:jc w:val="left"/>
        <w:rPr>
          <w:sz w:val="18"/>
        </w:rPr>
      </w:pPr>
      <w:hyperlink r:id="rId62">
        <w:r>
          <w:rPr>
            <w:sz w:val="18"/>
          </w:rPr>
          <w:t>http://sid.usal.es/idocs/F8/FDO7191/03p1.pdf</w:t>
        </w:r>
      </w:hyperlink>
      <w:r>
        <w:rPr>
          <w:sz w:val="18"/>
        </w:rPr>
        <w:t> </w:t>
      </w:r>
      <w:hyperlink r:id="rId63">
        <w:r>
          <w:rPr>
            <w:sz w:val="18"/>
          </w:rPr>
          <w:t>http://sid.usal.es/idocs/F8/FDO7191/05p3.pdf</w:t>
        </w:r>
      </w:hyperlink>
      <w:r>
        <w:rPr>
          <w:sz w:val="18"/>
        </w:rPr>
        <w:t> </w:t>
      </w:r>
      <w:hyperlink r:id="rId64">
        <w:r>
          <w:rPr>
            <w:sz w:val="18"/>
          </w:rPr>
          <w:t>http://ocw.um.es/gat/contenidos/palopez/contenidos/contenidos_po</w:t>
        </w:r>
      </w:hyperlink>
      <w:r>
        <w:rPr>
          <w:sz w:val="18"/>
        </w:rPr>
        <w:t> stura_corporal.html</w:t>
      </w:r>
    </w:p>
    <w:p>
      <w:pPr>
        <w:spacing w:after="0"/>
        <w:jc w:val="left"/>
        <w:rPr>
          <w:sz w:val="18"/>
        </w:rPr>
        <w:sectPr>
          <w:pgSz w:w="12240" w:h="15840"/>
          <w:pgMar w:header="545" w:footer="852" w:top="1060" w:bottom="1040" w:left="580" w:right="220"/>
        </w:sectPr>
      </w:pPr>
    </w:p>
    <w:p>
      <w:pPr>
        <w:pStyle w:val="BodyText"/>
        <w:rPr>
          <w:sz w:val="11"/>
        </w:rPr>
      </w:pPr>
    </w:p>
    <w:p>
      <w:pPr>
        <w:spacing w:after="0"/>
        <w:rPr>
          <w:sz w:val="11"/>
        </w:rPr>
        <w:sectPr>
          <w:pgSz w:w="12240" w:h="15840"/>
          <w:pgMar w:header="545" w:footer="852" w:top="1060" w:bottom="1040" w:left="580" w:right="220"/>
        </w:sectPr>
      </w:pPr>
    </w:p>
    <w:p>
      <w:pPr>
        <w:pStyle w:val="BodyText"/>
        <w:spacing w:before="10"/>
        <w:rPr>
          <w:sz w:val="24"/>
        </w:rPr>
      </w:pPr>
    </w:p>
    <w:p>
      <w:pPr>
        <w:spacing w:before="1"/>
        <w:ind w:left="270" w:right="18" w:firstLine="0"/>
        <w:jc w:val="both"/>
        <w:rPr>
          <w:b/>
          <w:sz w:val="18"/>
        </w:rPr>
      </w:pPr>
      <w:r>
        <w:rPr>
          <w:b/>
          <w:sz w:val="18"/>
        </w:rPr>
        <w:t>Posture analysis of bamboo artisans as a basis to design a workbench.</w:t>
      </w:r>
    </w:p>
    <w:p>
      <w:pPr>
        <w:pStyle w:val="BodyText"/>
        <w:spacing w:before="7"/>
        <w:rPr>
          <w:b/>
          <w:sz w:val="17"/>
        </w:rPr>
      </w:pPr>
    </w:p>
    <w:p>
      <w:pPr>
        <w:spacing w:before="1"/>
        <w:ind w:left="270" w:right="0" w:firstLine="0"/>
        <w:jc w:val="both"/>
        <w:rPr>
          <w:i/>
          <w:sz w:val="18"/>
        </w:rPr>
      </w:pPr>
      <w:r>
        <w:rPr>
          <w:i/>
          <w:sz w:val="18"/>
        </w:rPr>
        <w:t>Ma. Fernanda Gutiérrez Torres</w:t>
      </w:r>
    </w:p>
    <w:p>
      <w:pPr>
        <w:pStyle w:val="BodyText"/>
        <w:spacing w:before="10"/>
        <w:rPr>
          <w:i/>
          <w:sz w:val="15"/>
        </w:rPr>
      </w:pPr>
    </w:p>
    <w:p>
      <w:pPr>
        <w:spacing w:before="0"/>
        <w:ind w:left="270" w:right="0" w:firstLine="0"/>
        <w:jc w:val="both"/>
        <w:rPr>
          <w:sz w:val="18"/>
        </w:rPr>
      </w:pPr>
      <w:r>
        <w:rPr>
          <w:position w:val="8"/>
          <w:sz w:val="12"/>
        </w:rPr>
        <w:t>a </w:t>
      </w:r>
      <w:r>
        <w:rPr>
          <w:sz w:val="18"/>
        </w:rPr>
        <w:t>Facultad de Estudios Superiores Aragón. Universidad Nacional Autónoma de México. Av. Rancho Seco s/n, Nezahualcóyotl, Estado de México.</w:t>
      </w:r>
    </w:p>
    <w:p>
      <w:pPr>
        <w:spacing w:line="206" w:lineRule="exact" w:before="0"/>
        <w:ind w:left="270" w:right="0" w:firstLine="0"/>
        <w:jc w:val="both"/>
        <w:rPr>
          <w:sz w:val="18"/>
        </w:rPr>
      </w:pPr>
      <w:hyperlink r:id="rId65">
        <w:r>
          <w:rPr>
            <w:color w:val="0000FF"/>
            <w:sz w:val="18"/>
            <w:u w:val="single" w:color="0000FF"/>
          </w:rPr>
          <w:t>mafer.1105@gmail.com</w:t>
        </w:r>
        <w:r>
          <w:rPr>
            <w:sz w:val="18"/>
          </w:rPr>
          <w:t>,</w:t>
        </w:r>
      </w:hyperlink>
      <w:r>
        <w:rPr>
          <w:sz w:val="18"/>
        </w:rPr>
        <w:t>  México, D.F.,</w:t>
      </w:r>
    </w:p>
    <w:p>
      <w:pPr>
        <w:spacing w:before="5"/>
        <w:ind w:left="270" w:right="0" w:firstLine="0"/>
        <w:jc w:val="both"/>
        <w:rPr>
          <w:b/>
          <w:sz w:val="18"/>
        </w:rPr>
      </w:pPr>
      <w:r>
        <w:rPr/>
        <w:pict>
          <v:line style="position:absolute;mso-position-horizontal-relative:page;mso-position-vertical-relative:paragraph;z-index:1936" from="41.040001pt,12.342349pt" to="288.540001pt,12.342349pt" stroked="true" strokeweight="1.5pt" strokecolor="#000000">
            <w10:wrap type="none"/>
          </v:line>
        </w:pict>
      </w:r>
      <w:r>
        <w:rPr>
          <w:b/>
          <w:sz w:val="18"/>
        </w:rPr>
        <w:t>Resumen</w:t>
      </w:r>
    </w:p>
    <w:p>
      <w:pPr>
        <w:spacing w:before="45"/>
        <w:ind w:left="270" w:right="17" w:firstLine="0"/>
        <w:jc w:val="both"/>
        <w:rPr>
          <w:sz w:val="18"/>
        </w:rPr>
      </w:pPr>
      <w:r>
        <w:rPr>
          <w:sz w:val="18"/>
        </w:rPr>
        <w:t>En este documento se presentan los avances de la investigación en la que se vinculan el Diseño Industrial y la Ergonomía para aplicar conocimientos y experiencia obtenidos en ambos ámbitos para analizar las posturas adoptadas por artesanos que trabajan el bambú para producir muebles en la localidad de Monte Blanco, Veracruz, México.</w:t>
      </w:r>
    </w:p>
    <w:p>
      <w:pPr>
        <w:spacing w:before="0"/>
        <w:ind w:left="270" w:right="17" w:firstLine="426"/>
        <w:jc w:val="right"/>
        <w:rPr>
          <w:sz w:val="18"/>
        </w:rPr>
      </w:pPr>
      <w:r>
        <w:rPr>
          <w:sz w:val="18"/>
        </w:rPr>
        <w:t>En</w:t>
      </w:r>
      <w:r>
        <w:rPr>
          <w:spacing w:val="27"/>
          <w:sz w:val="18"/>
        </w:rPr>
        <w:t> </w:t>
      </w:r>
      <w:r>
        <w:rPr>
          <w:sz w:val="18"/>
        </w:rPr>
        <w:t>la</w:t>
      </w:r>
      <w:r>
        <w:rPr>
          <w:spacing w:val="27"/>
          <w:sz w:val="18"/>
        </w:rPr>
        <w:t> </w:t>
      </w:r>
      <w:r>
        <w:rPr>
          <w:sz w:val="18"/>
        </w:rPr>
        <w:t>primera</w:t>
      </w:r>
      <w:r>
        <w:rPr>
          <w:spacing w:val="27"/>
          <w:sz w:val="18"/>
        </w:rPr>
        <w:t> </w:t>
      </w:r>
      <w:r>
        <w:rPr>
          <w:sz w:val="18"/>
        </w:rPr>
        <w:t>parte</w:t>
      </w:r>
      <w:r>
        <w:rPr>
          <w:spacing w:val="27"/>
          <w:sz w:val="18"/>
        </w:rPr>
        <w:t> </w:t>
      </w:r>
      <w:r>
        <w:rPr>
          <w:sz w:val="18"/>
        </w:rPr>
        <w:t>se</w:t>
      </w:r>
      <w:r>
        <w:rPr>
          <w:spacing w:val="27"/>
          <w:sz w:val="18"/>
        </w:rPr>
        <w:t> </w:t>
      </w:r>
      <w:r>
        <w:rPr>
          <w:sz w:val="18"/>
        </w:rPr>
        <w:t>definen</w:t>
      </w:r>
      <w:r>
        <w:rPr>
          <w:spacing w:val="26"/>
          <w:sz w:val="18"/>
        </w:rPr>
        <w:t> </w:t>
      </w:r>
      <w:r>
        <w:rPr>
          <w:sz w:val="18"/>
        </w:rPr>
        <w:t>los</w:t>
      </w:r>
      <w:r>
        <w:rPr>
          <w:spacing w:val="27"/>
          <w:sz w:val="18"/>
        </w:rPr>
        <w:t> </w:t>
      </w:r>
      <w:r>
        <w:rPr>
          <w:sz w:val="18"/>
        </w:rPr>
        <w:t>conceptos</w:t>
      </w:r>
      <w:r>
        <w:rPr>
          <w:spacing w:val="27"/>
          <w:sz w:val="18"/>
        </w:rPr>
        <w:t> </w:t>
      </w:r>
      <w:r>
        <w:rPr>
          <w:sz w:val="18"/>
        </w:rPr>
        <w:t>de</w:t>
      </w:r>
      <w:r>
        <w:rPr>
          <w:spacing w:val="27"/>
          <w:sz w:val="18"/>
        </w:rPr>
        <w:t> </w:t>
      </w:r>
      <w:r>
        <w:rPr>
          <w:sz w:val="18"/>
        </w:rPr>
        <w:t>ergonomía aplicables al proyecto, considerando el entorno,</w:t>
      </w:r>
      <w:r>
        <w:rPr>
          <w:spacing w:val="-7"/>
          <w:sz w:val="18"/>
        </w:rPr>
        <w:t> </w:t>
      </w:r>
      <w:r>
        <w:rPr>
          <w:sz w:val="18"/>
        </w:rPr>
        <w:t>datos</w:t>
      </w:r>
      <w:r>
        <w:rPr>
          <w:spacing w:val="-1"/>
          <w:sz w:val="18"/>
        </w:rPr>
        <w:t> </w:t>
      </w:r>
      <w:r>
        <w:rPr>
          <w:sz w:val="18"/>
        </w:rPr>
        <w:t>demográficos y económicos de la población objeto de estudio.</w:t>
      </w:r>
      <w:r>
        <w:rPr>
          <w:spacing w:val="24"/>
          <w:sz w:val="18"/>
        </w:rPr>
        <w:t> </w:t>
      </w:r>
      <w:r>
        <w:rPr>
          <w:sz w:val="18"/>
        </w:rPr>
        <w:t>En la</w:t>
      </w:r>
      <w:r>
        <w:rPr>
          <w:spacing w:val="29"/>
          <w:sz w:val="18"/>
        </w:rPr>
        <w:t> </w:t>
      </w:r>
      <w:r>
        <w:rPr>
          <w:sz w:val="18"/>
        </w:rPr>
        <w:t>segunda parte, se presenta un acercamiento al análisis y</w:t>
      </w:r>
      <w:r>
        <w:rPr>
          <w:spacing w:val="1"/>
          <w:sz w:val="18"/>
        </w:rPr>
        <w:t> </w:t>
      </w:r>
      <w:r>
        <w:rPr>
          <w:sz w:val="18"/>
        </w:rPr>
        <w:t>evaluación</w:t>
      </w:r>
      <w:r>
        <w:rPr>
          <w:spacing w:val="6"/>
          <w:sz w:val="18"/>
        </w:rPr>
        <w:t> </w:t>
      </w:r>
      <w:r>
        <w:rPr>
          <w:sz w:val="18"/>
        </w:rPr>
        <w:t>postural de</w:t>
      </w:r>
      <w:r>
        <w:rPr>
          <w:spacing w:val="24"/>
          <w:sz w:val="18"/>
        </w:rPr>
        <w:t> </w:t>
      </w:r>
      <w:r>
        <w:rPr>
          <w:sz w:val="18"/>
        </w:rPr>
        <w:t>los</w:t>
      </w:r>
      <w:r>
        <w:rPr>
          <w:spacing w:val="24"/>
          <w:sz w:val="18"/>
        </w:rPr>
        <w:t> </w:t>
      </w:r>
      <w:r>
        <w:rPr>
          <w:sz w:val="18"/>
        </w:rPr>
        <w:t>artesanos</w:t>
      </w:r>
      <w:r>
        <w:rPr>
          <w:spacing w:val="24"/>
          <w:sz w:val="18"/>
        </w:rPr>
        <w:t> </w:t>
      </w:r>
      <w:r>
        <w:rPr>
          <w:sz w:val="18"/>
        </w:rPr>
        <w:t>que</w:t>
      </w:r>
      <w:r>
        <w:rPr>
          <w:spacing w:val="24"/>
          <w:sz w:val="18"/>
        </w:rPr>
        <w:t> </w:t>
      </w:r>
      <w:r>
        <w:rPr>
          <w:sz w:val="18"/>
        </w:rPr>
        <w:t>trabajan</w:t>
      </w:r>
      <w:r>
        <w:rPr>
          <w:spacing w:val="23"/>
          <w:sz w:val="18"/>
        </w:rPr>
        <w:t> </w:t>
      </w:r>
      <w:r>
        <w:rPr>
          <w:sz w:val="18"/>
        </w:rPr>
        <w:t>en</w:t>
      </w:r>
      <w:r>
        <w:rPr>
          <w:spacing w:val="23"/>
          <w:sz w:val="18"/>
        </w:rPr>
        <w:t> </w:t>
      </w:r>
      <w:r>
        <w:rPr>
          <w:sz w:val="18"/>
        </w:rPr>
        <w:t>talleres</w:t>
      </w:r>
      <w:r>
        <w:rPr>
          <w:spacing w:val="24"/>
          <w:sz w:val="18"/>
        </w:rPr>
        <w:t> </w:t>
      </w:r>
      <w:r>
        <w:rPr>
          <w:sz w:val="18"/>
        </w:rPr>
        <w:t>pequeños,</w:t>
      </w:r>
      <w:r>
        <w:rPr>
          <w:spacing w:val="24"/>
          <w:sz w:val="18"/>
        </w:rPr>
        <w:t> </w:t>
      </w:r>
      <w:r>
        <w:rPr>
          <w:sz w:val="18"/>
        </w:rPr>
        <w:t>realizando</w:t>
      </w:r>
      <w:r>
        <w:rPr>
          <w:spacing w:val="24"/>
          <w:sz w:val="18"/>
        </w:rPr>
        <w:t> </w:t>
      </w:r>
      <w:r>
        <w:rPr>
          <w:sz w:val="18"/>
        </w:rPr>
        <w:t>las operaciones seleccionadas con base</w:t>
      </w:r>
      <w:r>
        <w:rPr>
          <w:spacing w:val="26"/>
          <w:sz w:val="18"/>
        </w:rPr>
        <w:t> </w:t>
      </w:r>
      <w:r>
        <w:rPr>
          <w:sz w:val="18"/>
        </w:rPr>
        <w:t>en los procesos básicos</w:t>
      </w:r>
      <w:r>
        <w:rPr>
          <w:spacing w:val="29"/>
          <w:sz w:val="18"/>
        </w:rPr>
        <w:t> </w:t>
      </w:r>
      <w:r>
        <w:rPr>
          <w:sz w:val="18"/>
        </w:rPr>
        <w:t>para manufacturar muebles de bambú. Conocer los principios</w:t>
      </w:r>
      <w:r>
        <w:rPr>
          <w:spacing w:val="32"/>
          <w:sz w:val="18"/>
        </w:rPr>
        <w:t> </w:t>
      </w:r>
      <w:r>
        <w:rPr>
          <w:sz w:val="18"/>
        </w:rPr>
        <w:t>acerca</w:t>
      </w:r>
      <w:r>
        <w:rPr>
          <w:spacing w:val="10"/>
          <w:sz w:val="18"/>
        </w:rPr>
        <w:t> </w:t>
      </w:r>
      <w:r>
        <w:rPr>
          <w:sz w:val="18"/>
        </w:rPr>
        <w:t>de la postura para evitar problemas</w:t>
      </w:r>
      <w:r>
        <w:rPr>
          <w:spacing w:val="17"/>
          <w:sz w:val="18"/>
        </w:rPr>
        <w:t> </w:t>
      </w:r>
      <w:r>
        <w:rPr>
          <w:sz w:val="18"/>
        </w:rPr>
        <w:t>musculo-esqueléticos</w:t>
      </w:r>
      <w:r>
        <w:rPr>
          <w:spacing w:val="3"/>
          <w:sz w:val="18"/>
        </w:rPr>
        <w:t> </w:t>
      </w:r>
      <w:r>
        <w:rPr>
          <w:sz w:val="18"/>
        </w:rPr>
        <w:t>relacionados con el trabajo, establecer lineamientos para identificar,</w:t>
      </w:r>
      <w:r>
        <w:rPr>
          <w:spacing w:val="10"/>
          <w:sz w:val="18"/>
        </w:rPr>
        <w:t> </w:t>
      </w:r>
      <w:r>
        <w:rPr>
          <w:sz w:val="18"/>
        </w:rPr>
        <w:t>evaluar</w:t>
      </w:r>
      <w:r>
        <w:rPr>
          <w:spacing w:val="26"/>
          <w:sz w:val="18"/>
        </w:rPr>
        <w:t> </w:t>
      </w:r>
      <w:r>
        <w:rPr>
          <w:sz w:val="18"/>
        </w:rPr>
        <w:t>y controlar factores que causan accidentes y enfermedades</w:t>
      </w:r>
      <w:r>
        <w:rPr>
          <w:spacing w:val="-19"/>
          <w:sz w:val="18"/>
        </w:rPr>
        <w:t> </w:t>
      </w:r>
      <w:r>
        <w:rPr>
          <w:sz w:val="18"/>
        </w:rPr>
        <w:t>de</w:t>
      </w:r>
      <w:r>
        <w:rPr>
          <w:spacing w:val="-4"/>
          <w:sz w:val="18"/>
        </w:rPr>
        <w:t> </w:t>
      </w:r>
      <w:r>
        <w:rPr>
          <w:sz w:val="18"/>
        </w:rPr>
        <w:t>trabajo. Posteriormente decidir con fundamentos</w:t>
      </w:r>
      <w:r>
        <w:rPr>
          <w:spacing w:val="41"/>
          <w:sz w:val="18"/>
        </w:rPr>
        <w:t> </w:t>
      </w:r>
      <w:r>
        <w:rPr>
          <w:sz w:val="18"/>
        </w:rPr>
        <w:t>ergonómicos</w:t>
      </w:r>
      <w:r>
        <w:rPr>
          <w:spacing w:val="33"/>
          <w:sz w:val="18"/>
        </w:rPr>
        <w:t> </w:t>
      </w:r>
      <w:r>
        <w:rPr>
          <w:sz w:val="18"/>
        </w:rPr>
        <w:t>el cambio</w:t>
      </w:r>
      <w:r>
        <w:rPr>
          <w:spacing w:val="33"/>
          <w:sz w:val="18"/>
        </w:rPr>
        <w:t> </w:t>
      </w:r>
      <w:r>
        <w:rPr>
          <w:sz w:val="18"/>
        </w:rPr>
        <w:t>de</w:t>
      </w:r>
      <w:r>
        <w:rPr>
          <w:spacing w:val="33"/>
          <w:sz w:val="18"/>
        </w:rPr>
        <w:t> </w:t>
      </w:r>
      <w:r>
        <w:rPr>
          <w:sz w:val="18"/>
        </w:rPr>
        <w:t>trabajar</w:t>
      </w:r>
      <w:r>
        <w:rPr>
          <w:spacing w:val="33"/>
          <w:sz w:val="18"/>
        </w:rPr>
        <w:t> </w:t>
      </w:r>
      <w:r>
        <w:rPr>
          <w:sz w:val="18"/>
        </w:rPr>
        <w:t>sentado</w:t>
      </w:r>
      <w:r>
        <w:rPr>
          <w:spacing w:val="33"/>
          <w:sz w:val="18"/>
        </w:rPr>
        <w:t> </w:t>
      </w:r>
      <w:r>
        <w:rPr>
          <w:sz w:val="18"/>
        </w:rPr>
        <w:t>en</w:t>
      </w:r>
      <w:r>
        <w:rPr>
          <w:spacing w:val="33"/>
          <w:sz w:val="18"/>
        </w:rPr>
        <w:t> </w:t>
      </w:r>
      <w:r>
        <w:rPr>
          <w:sz w:val="18"/>
        </w:rPr>
        <w:t>el</w:t>
      </w:r>
      <w:r>
        <w:rPr>
          <w:spacing w:val="33"/>
          <w:sz w:val="18"/>
        </w:rPr>
        <w:t> </w:t>
      </w:r>
      <w:r>
        <w:rPr>
          <w:sz w:val="18"/>
        </w:rPr>
        <w:t>piso</w:t>
      </w:r>
      <w:r>
        <w:rPr>
          <w:spacing w:val="33"/>
          <w:sz w:val="18"/>
        </w:rPr>
        <w:t> </w:t>
      </w:r>
      <w:r>
        <w:rPr>
          <w:sz w:val="18"/>
        </w:rPr>
        <w:t>a</w:t>
      </w:r>
      <w:r>
        <w:rPr>
          <w:spacing w:val="33"/>
          <w:sz w:val="18"/>
        </w:rPr>
        <w:t> </w:t>
      </w:r>
      <w:r>
        <w:rPr>
          <w:sz w:val="18"/>
        </w:rPr>
        <w:t>trabajar</w:t>
      </w:r>
      <w:r>
        <w:rPr>
          <w:spacing w:val="32"/>
          <w:sz w:val="18"/>
        </w:rPr>
        <w:t> </w:t>
      </w:r>
      <w:r>
        <w:rPr>
          <w:sz w:val="18"/>
        </w:rPr>
        <w:t>de</w:t>
      </w:r>
      <w:r>
        <w:rPr>
          <w:spacing w:val="33"/>
          <w:sz w:val="18"/>
        </w:rPr>
        <w:t> </w:t>
      </w:r>
      <w:r>
        <w:rPr>
          <w:sz w:val="18"/>
        </w:rPr>
        <w:t>pie</w:t>
      </w:r>
      <w:r>
        <w:rPr>
          <w:spacing w:val="33"/>
          <w:sz w:val="18"/>
        </w:rPr>
        <w:t> </w:t>
      </w:r>
      <w:r>
        <w:rPr>
          <w:sz w:val="18"/>
        </w:rPr>
        <w:t>con</w:t>
      </w:r>
      <w:r>
        <w:rPr>
          <w:spacing w:val="33"/>
          <w:sz w:val="18"/>
        </w:rPr>
        <w:t> </w:t>
      </w:r>
      <w:r>
        <w:rPr>
          <w:sz w:val="18"/>
        </w:rPr>
        <w:t>una mesa diseñada con el propósito de lograr precisión en el  </w:t>
      </w:r>
      <w:r>
        <w:rPr>
          <w:spacing w:val="29"/>
          <w:sz w:val="18"/>
        </w:rPr>
        <w:t> </w:t>
      </w:r>
      <w:r>
        <w:rPr>
          <w:sz w:val="18"/>
        </w:rPr>
        <w:t>ensamble</w:t>
      </w:r>
    </w:p>
    <w:p>
      <w:pPr>
        <w:spacing w:before="0"/>
        <w:ind w:left="270" w:right="0" w:firstLine="0"/>
        <w:jc w:val="both"/>
        <w:rPr>
          <w:sz w:val="18"/>
        </w:rPr>
      </w:pPr>
      <w:r>
        <w:rPr>
          <w:sz w:val="18"/>
        </w:rPr>
        <w:t>y evitar posiciones forzadas.</w:t>
      </w:r>
    </w:p>
    <w:p>
      <w:pPr>
        <w:pStyle w:val="BodyText"/>
        <w:rPr>
          <w:sz w:val="18"/>
        </w:rPr>
      </w:pPr>
    </w:p>
    <w:p>
      <w:pPr>
        <w:spacing w:before="0"/>
        <w:ind w:left="270" w:right="0" w:firstLine="0"/>
        <w:jc w:val="both"/>
        <w:rPr>
          <w:sz w:val="18"/>
        </w:rPr>
      </w:pPr>
      <w:r>
        <w:rPr>
          <w:b/>
          <w:sz w:val="18"/>
        </w:rPr>
        <w:t>Palabras clave</w:t>
      </w:r>
      <w:r>
        <w:rPr>
          <w:sz w:val="18"/>
        </w:rPr>
        <w:t>—Diseño, Ergonomía, postura.</w:t>
      </w:r>
    </w:p>
    <w:p>
      <w:pPr>
        <w:pStyle w:val="BodyText"/>
        <w:spacing w:before="6"/>
        <w:rPr>
          <w:sz w:val="18"/>
        </w:rPr>
      </w:pPr>
    </w:p>
    <w:p>
      <w:pPr>
        <w:spacing w:before="0"/>
        <w:ind w:left="270" w:right="0" w:firstLine="0"/>
        <w:jc w:val="both"/>
        <w:rPr>
          <w:b/>
          <w:i/>
          <w:sz w:val="18"/>
        </w:rPr>
      </w:pPr>
      <w:r>
        <w:rPr/>
        <w:pict>
          <v:line style="position:absolute;mso-position-horizontal-relative:page;mso-position-vertical-relative:paragraph;z-index:1960" from="41.040001pt,12.03145pt" to="288.540001pt,12.03145pt" stroked="true" strokeweight="1.5pt" strokecolor="#000000">
            <w10:wrap type="none"/>
          </v:line>
        </w:pict>
      </w:r>
      <w:r>
        <w:rPr>
          <w:b/>
          <w:i/>
          <w:sz w:val="18"/>
        </w:rPr>
        <w:t>Abstract</w:t>
      </w:r>
    </w:p>
    <w:p>
      <w:pPr>
        <w:spacing w:before="43"/>
        <w:ind w:left="270" w:right="16" w:firstLine="0"/>
        <w:jc w:val="both"/>
        <w:rPr>
          <w:i/>
          <w:sz w:val="18"/>
        </w:rPr>
      </w:pPr>
      <w:r>
        <w:rPr>
          <w:i/>
          <w:sz w:val="18"/>
        </w:rPr>
        <w:t>This paper considers the progress of the research in which </w:t>
      </w:r>
      <w:r>
        <w:rPr>
          <w:i/>
          <w:sz w:val="18"/>
        </w:rPr>
        <w:t>Industrial Design and Ergonomics are related to apply expertise in both areas in order to analyze working conditions and postures performed by artisans who make bamboo furniture in the town of Monte Blanco, in the state of Veracruz, Mexico.</w:t>
      </w:r>
    </w:p>
    <w:p>
      <w:pPr>
        <w:spacing w:before="0"/>
        <w:ind w:left="270" w:right="17" w:firstLine="426"/>
        <w:jc w:val="both"/>
        <w:rPr>
          <w:i/>
          <w:sz w:val="18"/>
        </w:rPr>
      </w:pPr>
      <w:r>
        <w:rPr>
          <w:i/>
          <w:sz w:val="18"/>
        </w:rPr>
        <w:t>The paper is divided into two parts. In the first part, </w:t>
      </w:r>
      <w:r>
        <w:rPr>
          <w:i/>
          <w:sz w:val="18"/>
        </w:rPr>
        <w:t>ergonomic concepts are defined, considering environment, demographic and economic data of target population. The second part is concerned with the description and assessment of current working conditions of artisans in small workshops where bamboo furniture is produced.</w:t>
      </w:r>
    </w:p>
    <w:p>
      <w:pPr>
        <w:spacing w:before="0"/>
        <w:ind w:left="270" w:right="17" w:firstLine="426"/>
        <w:jc w:val="both"/>
        <w:rPr>
          <w:i/>
          <w:sz w:val="18"/>
        </w:rPr>
      </w:pPr>
      <w:r>
        <w:rPr>
          <w:i/>
          <w:color w:val="202020"/>
          <w:sz w:val="18"/>
        </w:rPr>
        <w:t>Finally choose based on ergonomic fundamentals to change </w:t>
      </w:r>
      <w:r>
        <w:rPr>
          <w:i/>
          <w:color w:val="202020"/>
          <w:sz w:val="18"/>
        </w:rPr>
        <w:t>work sitting on the floor to work in an upright posture with a workbench designed with the purpose of achieving precision in assembly and avoiding awkward positions.</w:t>
      </w:r>
    </w:p>
    <w:p>
      <w:pPr>
        <w:pStyle w:val="BodyText"/>
        <w:rPr>
          <w:i/>
          <w:sz w:val="18"/>
        </w:rPr>
      </w:pPr>
    </w:p>
    <w:p>
      <w:pPr>
        <w:spacing w:before="0"/>
        <w:ind w:left="270" w:right="0" w:firstLine="0"/>
        <w:jc w:val="both"/>
        <w:rPr>
          <w:i/>
          <w:sz w:val="18"/>
        </w:rPr>
      </w:pPr>
      <w:r>
        <w:rPr>
          <w:b/>
          <w:i/>
          <w:sz w:val="18"/>
        </w:rPr>
        <w:t>Keywords</w:t>
      </w:r>
      <w:r>
        <w:rPr>
          <w:i/>
          <w:sz w:val="18"/>
        </w:rPr>
        <w:t>—Design, Ergonomics, posture analysis,</w:t>
      </w:r>
    </w:p>
    <w:p>
      <w:pPr>
        <w:pStyle w:val="BodyText"/>
        <w:rPr>
          <w:i/>
          <w:sz w:val="18"/>
        </w:rPr>
      </w:pPr>
    </w:p>
    <w:p>
      <w:pPr>
        <w:spacing w:line="207" w:lineRule="exact" w:before="0"/>
        <w:ind w:left="270" w:right="0" w:firstLine="0"/>
        <w:jc w:val="both"/>
        <w:rPr>
          <w:sz w:val="18"/>
        </w:rPr>
      </w:pPr>
      <w:r>
        <w:rPr>
          <w:sz w:val="18"/>
        </w:rPr>
        <w:t>Relevance to Ergonomics:</w:t>
      </w:r>
    </w:p>
    <w:p>
      <w:pPr>
        <w:pStyle w:val="ListParagraph"/>
        <w:numPr>
          <w:ilvl w:val="0"/>
          <w:numId w:val="4"/>
        </w:numPr>
        <w:tabs>
          <w:tab w:pos="630" w:val="left" w:leader="none"/>
          <w:tab w:pos="631" w:val="left" w:leader="none"/>
        </w:tabs>
        <w:spacing w:line="240" w:lineRule="auto" w:before="0" w:after="0"/>
        <w:ind w:left="630" w:right="200" w:hanging="360"/>
        <w:jc w:val="left"/>
        <w:rPr>
          <w:sz w:val="18"/>
        </w:rPr>
      </w:pPr>
      <w:r>
        <w:rPr>
          <w:sz w:val="18"/>
        </w:rPr>
        <w:t>Data from male artisanal population studied in the village of Monte Blanco,</w:t>
      </w:r>
      <w:r>
        <w:rPr>
          <w:spacing w:val="-6"/>
          <w:sz w:val="18"/>
        </w:rPr>
        <w:t> </w:t>
      </w:r>
      <w:r>
        <w:rPr>
          <w:sz w:val="18"/>
        </w:rPr>
        <w:t>Veracruz.</w:t>
      </w:r>
    </w:p>
    <w:p>
      <w:pPr>
        <w:pStyle w:val="ListParagraph"/>
        <w:numPr>
          <w:ilvl w:val="0"/>
          <w:numId w:val="4"/>
        </w:numPr>
        <w:tabs>
          <w:tab w:pos="630" w:val="left" w:leader="none"/>
          <w:tab w:pos="631" w:val="left" w:leader="none"/>
        </w:tabs>
        <w:spacing w:line="240" w:lineRule="auto" w:before="1" w:after="0"/>
        <w:ind w:left="630" w:right="502" w:hanging="360"/>
        <w:jc w:val="left"/>
        <w:rPr>
          <w:sz w:val="18"/>
        </w:rPr>
      </w:pPr>
      <w:r>
        <w:rPr>
          <w:sz w:val="18"/>
        </w:rPr>
        <w:t>Various images and videos of operations for assembling bamboo furniture with traditional</w:t>
      </w:r>
      <w:r>
        <w:rPr>
          <w:spacing w:val="-23"/>
          <w:sz w:val="18"/>
        </w:rPr>
        <w:t> </w:t>
      </w:r>
      <w:r>
        <w:rPr>
          <w:sz w:val="18"/>
        </w:rPr>
        <w:t>processes.</w:t>
      </w:r>
    </w:p>
    <w:p>
      <w:pPr>
        <w:pStyle w:val="ListParagraph"/>
        <w:numPr>
          <w:ilvl w:val="0"/>
          <w:numId w:val="4"/>
        </w:numPr>
        <w:tabs>
          <w:tab w:pos="631" w:val="left" w:leader="none"/>
        </w:tabs>
        <w:spacing w:line="240" w:lineRule="auto" w:before="1" w:after="0"/>
        <w:ind w:left="630" w:right="0" w:hanging="360"/>
        <w:jc w:val="both"/>
        <w:rPr>
          <w:sz w:val="18"/>
        </w:rPr>
      </w:pPr>
      <w:r>
        <w:rPr>
          <w:sz w:val="18"/>
        </w:rPr>
        <w:t>Analysis and assessment of various</w:t>
      </w:r>
      <w:r>
        <w:rPr>
          <w:spacing w:val="-6"/>
          <w:sz w:val="18"/>
        </w:rPr>
        <w:t> </w:t>
      </w:r>
      <w:r>
        <w:rPr>
          <w:sz w:val="18"/>
        </w:rPr>
        <w:t>operations.</w:t>
      </w:r>
    </w:p>
    <w:p>
      <w:pPr>
        <w:pStyle w:val="BodyText"/>
        <w:rPr>
          <w:sz w:val="18"/>
        </w:rPr>
      </w:pPr>
    </w:p>
    <w:p>
      <w:pPr>
        <w:pStyle w:val="BodyText"/>
        <w:spacing w:before="2"/>
        <w:rPr>
          <w:sz w:val="18"/>
        </w:rPr>
      </w:pPr>
    </w:p>
    <w:p>
      <w:pPr>
        <w:pStyle w:val="ListParagraph"/>
        <w:numPr>
          <w:ilvl w:val="0"/>
          <w:numId w:val="18"/>
        </w:numPr>
        <w:tabs>
          <w:tab w:pos="452" w:val="left" w:leader="none"/>
        </w:tabs>
        <w:spacing w:line="240" w:lineRule="auto" w:before="0" w:after="0"/>
        <w:ind w:left="451" w:right="0" w:hanging="181"/>
        <w:jc w:val="both"/>
        <w:rPr>
          <w:b/>
          <w:sz w:val="18"/>
        </w:rPr>
      </w:pPr>
      <w:r>
        <w:rPr>
          <w:b/>
          <w:sz w:val="18"/>
        </w:rPr>
        <w:t>INTRODUCTION</w:t>
      </w:r>
    </w:p>
    <w:p>
      <w:pPr>
        <w:spacing w:before="77"/>
        <w:ind w:left="270" w:right="677" w:firstLine="0"/>
        <w:jc w:val="both"/>
        <w:rPr>
          <w:sz w:val="18"/>
        </w:rPr>
      </w:pPr>
      <w:r>
        <w:rPr/>
        <w:br w:type="column"/>
      </w:r>
      <w:r>
        <w:rPr>
          <w:sz w:val="18"/>
        </w:rPr>
        <w:t>This research is part of a project that examines artisans’ technology to produce furniture in small workshops in the town of Monte Blanco, in the state of Veracruz in Mexico. It includes a deeper understanding of craftsmen working conditions as a system of inter-related activities or entities with a joint purpose to improve  the quality of the products and enhance human circumstances. Industrial Design and Ergonomics are linked to apply expertise of both</w:t>
      </w:r>
      <w:r>
        <w:rPr>
          <w:spacing w:val="-2"/>
          <w:sz w:val="18"/>
        </w:rPr>
        <w:t> </w:t>
      </w:r>
      <w:r>
        <w:rPr>
          <w:sz w:val="18"/>
        </w:rPr>
        <w:t>areas.</w:t>
      </w:r>
    </w:p>
    <w:p>
      <w:pPr>
        <w:spacing w:before="0"/>
        <w:ind w:left="270" w:right="676" w:firstLine="426"/>
        <w:jc w:val="both"/>
        <w:rPr>
          <w:sz w:val="18"/>
        </w:rPr>
      </w:pPr>
      <w:r>
        <w:rPr>
          <w:sz w:val="18"/>
        </w:rPr>
        <w:t>The village of Monte Blanco is recognized, for more than forty years, for producing furniture and other objects with bamboo. This activity is currently the economic occupation of this town located in the municipality of Teocelo in Veracruz.</w:t>
      </w:r>
    </w:p>
    <w:p>
      <w:pPr>
        <w:spacing w:before="0"/>
        <w:ind w:left="270" w:right="679" w:firstLine="426"/>
        <w:jc w:val="both"/>
        <w:rPr>
          <w:sz w:val="18"/>
        </w:rPr>
      </w:pPr>
      <w:r>
        <w:rPr>
          <w:sz w:val="18"/>
        </w:rPr>
        <w:t>This document is divided into two parts. The first one comprises the theoretical framework of Ergonomics applied to the project while considering the environment, demographic and economic data of the particular group identified as the intended recipient of the project: design of a workbench.</w:t>
      </w:r>
    </w:p>
    <w:p>
      <w:pPr>
        <w:spacing w:before="0"/>
        <w:ind w:left="270" w:right="679" w:firstLine="426"/>
        <w:jc w:val="both"/>
        <w:rPr>
          <w:sz w:val="18"/>
        </w:rPr>
      </w:pPr>
      <w:r>
        <w:rPr>
          <w:color w:val="202020"/>
          <w:sz w:val="18"/>
        </w:rPr>
        <w:t>The second part presents an approach to the analysis of the activities of craftsmen in different technical operations chosen considering the main processes to manufacture bamboo furniture.</w:t>
      </w:r>
    </w:p>
    <w:p>
      <w:pPr>
        <w:spacing w:before="0"/>
        <w:ind w:left="270" w:right="679" w:firstLine="426"/>
        <w:jc w:val="both"/>
        <w:rPr>
          <w:sz w:val="18"/>
        </w:rPr>
      </w:pPr>
      <w:r>
        <w:rPr>
          <w:color w:val="202020"/>
          <w:sz w:val="18"/>
        </w:rPr>
        <w:t>This research is useful because it is made from two points of view: Ergonomics and Industrial Design, and most notably because it seeks to solve a problem with social implications for the benefit of a group of identified users.</w:t>
      </w:r>
    </w:p>
    <w:p>
      <w:pPr>
        <w:pStyle w:val="BodyText"/>
        <w:rPr>
          <w:sz w:val="18"/>
        </w:rPr>
      </w:pPr>
    </w:p>
    <w:p>
      <w:pPr>
        <w:pStyle w:val="BodyText"/>
        <w:spacing w:before="6"/>
        <w:rPr>
          <w:sz w:val="15"/>
        </w:rPr>
      </w:pPr>
    </w:p>
    <w:p>
      <w:pPr>
        <w:spacing w:line="190" w:lineRule="exact" w:before="0"/>
        <w:ind w:left="2711" w:right="1315" w:hanging="771"/>
        <w:jc w:val="left"/>
        <w:rPr>
          <w:rFonts w:ascii="Calibri" w:hAnsi="Calibri"/>
          <w:b/>
          <w:sz w:val="16"/>
        </w:rPr>
      </w:pPr>
      <w:r>
        <w:rPr>
          <w:rFonts w:ascii="Calibri" w:hAnsi="Calibri"/>
          <w:b/>
          <w:sz w:val="16"/>
        </w:rPr>
        <w:t>Análisis de los puestos de trabajo de los Artesanos</w:t>
      </w:r>
    </w:p>
    <w:p>
      <w:pPr>
        <w:pStyle w:val="BodyText"/>
        <w:spacing w:before="7"/>
        <w:rPr>
          <w:rFonts w:ascii="Calibri"/>
          <w:b/>
          <w:sz w:val="2"/>
        </w:rPr>
      </w:pPr>
    </w:p>
    <w:p>
      <w:pPr>
        <w:pStyle w:val="BodyText"/>
        <w:ind w:left="1374"/>
        <w:rPr>
          <w:rFonts w:ascii="Calibri"/>
        </w:rPr>
      </w:pPr>
      <w:r>
        <w:rPr>
          <w:rFonts w:ascii="Calibri"/>
        </w:rPr>
        <w:pict>
          <v:group style="width:180.45pt;height:110.9pt;mso-position-horizontal-relative:char;mso-position-vertical-relative:line" coordorigin="0,0" coordsize="3609,2218">
            <v:shape style="position:absolute;left:0;top:91;width:2112;height:2126" type="#_x0000_t75" stroked="false">
              <v:imagedata r:id="rId66" o:title=""/>
            </v:shape>
            <v:shape style="position:absolute;left:42;top:122;width:2021;height:2033" coordorigin="42,122" coordsize="2021,2033" path="m1052,122l977,125,903,133,831,147,761,166,692,189,626,217,563,250,502,286,444,327,390,372,338,420,290,472,245,528,205,586,168,647,136,711,108,777,85,846,66,916,53,989,45,1063,42,1139,45,1215,53,1289,66,1362,85,1432,108,1501,136,1567,168,1631,205,1692,245,1751,290,1806,338,1858,390,1906,444,1951,502,1992,563,2028,626,2061,692,2089,761,2112,831,2131,903,2144,977,2152,1052,2155,1128,2152,1202,2144,1274,2131,1344,2112,1412,2089,1478,2061,1542,2028,1603,1992,1660,1951,1715,1906,1767,1858,1815,1806,1859,1751,1900,1692,1937,1631,1969,1567,1997,1501,2020,1432,2038,1362,2052,1289,2060,1215,2063,1139,2060,1063,2052,989,2038,916,2020,846,1997,777,1969,711,1937,647,1900,586,1859,528,1815,472,1767,420,1715,372,1660,327,1603,286,1542,250,1478,217,1412,189,1344,166,1274,147,1202,133,1128,125,1052,122xe" filled="true" fillcolor="#ff4231" stroked="false">
              <v:path arrowok="t"/>
              <v:fill type="solid"/>
            </v:shape>
            <v:shape style="position:absolute;left:42;top:122;width:2021;height:2033" coordorigin="42,122" coordsize="2021,2033" path="m42,1139l45,1063,53,989,66,916,85,846,108,777,136,711,168,647,205,586,245,528,290,472,338,420,390,372,444,327,502,286,563,250,626,217,692,189,761,166,831,147,903,133,977,125,1052,122,1128,125,1202,133,1274,147,1344,166,1412,189,1478,217,1542,250,1603,286,1660,327,1715,372,1767,420,1815,472,1859,528,1900,586,1937,647,1969,711,1997,777,2020,846,2038,916,2052,989,2060,1063,2063,1139,2060,1215,2052,1289,2038,1362,2020,1432,1997,1501,1969,1567,1937,1631,1900,1692,1859,1751,1815,1806,1767,1858,1715,1906,1660,1951,1603,1992,1542,2028,1478,2061,1412,2089,1344,2112,1274,2131,1202,2144,1128,2152,1052,2155,977,2152,903,2144,831,2131,761,2112,692,2089,626,2061,563,2028,502,1992,444,1951,390,1906,338,1858,290,1806,245,1751,205,1692,168,1631,136,1567,108,1501,85,1432,66,1362,53,1289,45,1215,42,1139xe" filled="false" stroked="true" strokeweight=".492pt" strokecolor="#497cba">
              <v:path arrowok="t"/>
            </v:shape>
            <v:shape style="position:absolute;left:1487;top:91;width:2122;height:2126" type="#_x0000_t75" stroked="false">
              <v:imagedata r:id="rId67" o:title=""/>
            </v:shape>
            <v:shape style="position:absolute;left:1973;top:983;width:1142;height:354" type="#_x0000_t75" stroked="false">
              <v:imagedata r:id="rId68" o:title=""/>
            </v:shape>
            <v:shape style="position:absolute;left:1529;top:120;width:2035;height:2040" type="#_x0000_t75" stroked="false">
              <v:imagedata r:id="rId69" o:title=""/>
            </v:shape>
            <v:shape style="position:absolute;left:1535;top:122;width:2020;height:2033" coordorigin="1535,122" coordsize="2020,2033" path="m1535,1139l1538,1063,1546,989,1559,916,1578,846,1601,777,1629,711,1661,647,1698,586,1738,528,1783,472,1831,420,1882,372,1937,327,1995,286,2055,250,2119,217,2185,189,2253,166,2323,147,2395,133,2469,125,2544,122,2619,125,2693,133,2766,147,2836,166,2904,189,2970,217,3033,250,3094,286,3152,327,3207,372,3258,420,3307,472,3351,528,3392,586,3428,647,3460,711,3488,777,3512,846,3530,916,3543,989,3552,1063,3554,1139,3552,1215,3543,1289,3530,1362,3512,1432,3488,1501,3460,1567,3428,1631,3392,1692,3351,1751,3307,1806,3258,1858,3207,1906,3152,1951,3094,1992,3033,2028,2970,2061,2904,2089,2836,2112,2766,2131,2693,2144,2619,2152,2544,2155,2469,2152,2395,2144,2323,2131,2253,2112,2185,2089,2119,2061,2055,2028,1995,1992,1937,1951,1882,1906,1831,1858,1783,1806,1738,1751,1698,1692,1661,1631,1629,1567,1601,1501,1578,1432,1559,1362,1546,1289,1538,1215,1535,1139xe" filled="false" stroked="true" strokeweight=".492pt" strokecolor="#497cba">
              <v:path arrowok="t"/>
            </v:shape>
            <v:shape style="position:absolute;left:1518;top:0;width:547;height:862" type="#_x0000_t75" stroked="false">
              <v:imagedata r:id="rId70" o:title=""/>
            </v:shape>
            <v:shape style="position:absolute;left:1573;top:30;width:438;height:772" coordorigin="1573,30" coordsize="438,772" path="m2011,582l1573,582,1793,802,2011,582xm1902,30l1684,30,1684,582,1902,582,1902,30xe" filled="true" fillcolor="#ffff00" stroked="false">
              <v:path arrowok="t"/>
              <v:fill type="solid"/>
            </v:shape>
            <v:shape style="position:absolute;left:1573;top:30;width:438;height:772" coordorigin="1573,30" coordsize="438,772" path="m1573,582l1684,582,1684,30,1902,30,1902,582,2011,582,1793,802,1573,582xe" filled="false" stroked="true" strokeweight=".492pt" strokecolor="#497cba">
              <v:path arrowok="t"/>
            </v:shape>
            <v:shape style="position:absolute;left:580;top:962;width:952;height:411" type="#_x0000_t202" filled="false" stroked="false">
              <v:textbox inset="0,0,0,0">
                <w:txbxContent>
                  <w:p>
                    <w:pPr>
                      <w:spacing w:line="187" w:lineRule="exact" w:before="0"/>
                      <w:ind w:left="1" w:right="3" w:firstLine="0"/>
                      <w:jc w:val="center"/>
                      <w:rPr>
                        <w:rFonts w:ascii="Calibri" w:hAnsi="Calibri"/>
                        <w:b/>
                        <w:sz w:val="19"/>
                      </w:rPr>
                    </w:pPr>
                    <w:r>
                      <w:rPr>
                        <w:rFonts w:ascii="Calibri" w:hAnsi="Calibri"/>
                        <w:b/>
                        <w:color w:val="FFFFFF"/>
                        <w:sz w:val="19"/>
                      </w:rPr>
                      <w:t>DISEÑO</w:t>
                    </w:r>
                  </w:p>
                  <w:p>
                    <w:pPr>
                      <w:spacing w:line="223" w:lineRule="exact" w:before="0"/>
                      <w:ind w:left="1" w:right="1" w:firstLine="0"/>
                      <w:jc w:val="center"/>
                      <w:rPr>
                        <w:rFonts w:ascii="Calibri"/>
                        <w:b/>
                        <w:sz w:val="19"/>
                      </w:rPr>
                    </w:pPr>
                    <w:r>
                      <w:rPr>
                        <w:rFonts w:ascii="Calibri"/>
                        <w:b/>
                        <w:color w:val="FFFFFF"/>
                        <w:w w:val="95"/>
                        <w:sz w:val="19"/>
                      </w:rPr>
                      <w:t>INDUSTRIAL</w:t>
                    </w:r>
                  </w:p>
                </w:txbxContent>
              </v:textbox>
              <w10:wrap type="none"/>
            </v:shape>
            <v:shape style="position:absolute;left:2033;top:1074;width:1029;height:189" type="#_x0000_t202" filled="false" stroked="false">
              <v:textbox inset="0,0,0,0">
                <w:txbxContent>
                  <w:p>
                    <w:pPr>
                      <w:spacing w:line="188" w:lineRule="exact" w:before="0"/>
                      <w:ind w:left="0" w:right="0" w:firstLine="0"/>
                      <w:jc w:val="left"/>
                      <w:rPr>
                        <w:rFonts w:ascii="Calibri" w:hAnsi="Calibri"/>
                        <w:b/>
                        <w:sz w:val="19"/>
                      </w:rPr>
                    </w:pPr>
                    <w:r>
                      <w:rPr>
                        <w:rFonts w:ascii="Calibri" w:hAnsi="Calibri"/>
                        <w:b/>
                        <w:color w:val="FFFFFF"/>
                        <w:w w:val="95"/>
                        <w:sz w:val="19"/>
                      </w:rPr>
                      <w:t>ERGONOMÍA</w:t>
                    </w:r>
                  </w:p>
                </w:txbxContent>
              </v:textbox>
              <w10:wrap type="none"/>
            </v:shape>
          </v:group>
        </w:pict>
      </w:r>
      <w:r>
        <w:rPr>
          <w:rFonts w:ascii="Calibri"/>
        </w:rPr>
      </w:r>
    </w:p>
    <w:p>
      <w:pPr>
        <w:pStyle w:val="BodyText"/>
        <w:rPr>
          <w:rFonts w:ascii="Calibri"/>
          <w:b/>
          <w:sz w:val="16"/>
        </w:rPr>
      </w:pPr>
    </w:p>
    <w:p>
      <w:pPr>
        <w:pStyle w:val="BodyText"/>
        <w:spacing w:before="10"/>
        <w:rPr>
          <w:rFonts w:ascii="Calibri"/>
          <w:b/>
          <w:sz w:val="15"/>
        </w:rPr>
      </w:pPr>
    </w:p>
    <w:p>
      <w:pPr>
        <w:spacing w:before="0"/>
        <w:ind w:left="708" w:right="972" w:firstLine="297"/>
        <w:jc w:val="left"/>
        <w:rPr>
          <w:sz w:val="18"/>
        </w:rPr>
      </w:pPr>
      <w:r>
        <w:rPr>
          <w:color w:val="202020"/>
          <w:sz w:val="18"/>
        </w:rPr>
        <w:t>Figure 1. Relationship between Industrial Design and Ergonomics.  Drawing: Ma. Fernanda Gutiérrez Torres.</w:t>
      </w:r>
    </w:p>
    <w:p>
      <w:pPr>
        <w:pStyle w:val="BodyText"/>
        <w:rPr>
          <w:sz w:val="18"/>
        </w:rPr>
      </w:pPr>
    </w:p>
    <w:p>
      <w:pPr>
        <w:pStyle w:val="BodyText"/>
        <w:spacing w:before="10"/>
        <w:rPr>
          <w:sz w:val="17"/>
        </w:rPr>
      </w:pPr>
    </w:p>
    <w:p>
      <w:pPr>
        <w:spacing w:before="1"/>
        <w:ind w:left="270" w:right="679" w:firstLine="426"/>
        <w:jc w:val="both"/>
        <w:rPr>
          <w:sz w:val="18"/>
        </w:rPr>
      </w:pPr>
      <w:r>
        <w:rPr>
          <w:sz w:val="18"/>
        </w:rPr>
        <w:t>This project is conducted under the direction of MDI Carlos Chávez Aguilera [1], in which other teachers and students have collaborated in previous stages.</w:t>
      </w:r>
    </w:p>
    <w:p>
      <w:pPr>
        <w:pStyle w:val="BodyText"/>
        <w:rPr>
          <w:sz w:val="18"/>
        </w:rPr>
      </w:pPr>
    </w:p>
    <w:p>
      <w:pPr>
        <w:pStyle w:val="BodyText"/>
        <w:spacing w:before="3"/>
        <w:rPr>
          <w:sz w:val="18"/>
        </w:rPr>
      </w:pPr>
    </w:p>
    <w:p>
      <w:pPr>
        <w:pStyle w:val="ListParagraph"/>
        <w:numPr>
          <w:ilvl w:val="0"/>
          <w:numId w:val="18"/>
        </w:numPr>
        <w:tabs>
          <w:tab w:pos="452" w:val="left" w:leader="none"/>
        </w:tabs>
        <w:spacing w:line="240" w:lineRule="auto" w:before="0" w:after="0"/>
        <w:ind w:left="451" w:right="0" w:hanging="181"/>
        <w:jc w:val="both"/>
        <w:rPr>
          <w:b/>
          <w:sz w:val="18"/>
        </w:rPr>
      </w:pPr>
      <w:r>
        <w:rPr>
          <w:b/>
          <w:sz w:val="18"/>
        </w:rPr>
        <w:t>OBJECTIVES</w:t>
      </w:r>
    </w:p>
    <w:p>
      <w:pPr>
        <w:pStyle w:val="BodyText"/>
        <w:spacing w:before="7"/>
        <w:rPr>
          <w:b/>
          <w:sz w:val="17"/>
        </w:rPr>
      </w:pPr>
    </w:p>
    <w:p>
      <w:pPr>
        <w:spacing w:before="1"/>
        <w:ind w:left="270" w:right="680" w:firstLine="0"/>
        <w:jc w:val="both"/>
        <w:rPr>
          <w:sz w:val="18"/>
        </w:rPr>
      </w:pPr>
      <w:r>
        <w:rPr>
          <w:sz w:val="18"/>
        </w:rPr>
        <w:t>Improve working conditions of artisans and quality of products, based on Industrial Design and Ergonomics expertise. [2]</w:t>
      </w:r>
    </w:p>
    <w:p>
      <w:pPr>
        <w:spacing w:before="0"/>
        <w:ind w:left="270" w:right="678" w:firstLine="360"/>
        <w:jc w:val="both"/>
        <w:rPr>
          <w:sz w:val="18"/>
        </w:rPr>
      </w:pPr>
      <w:r>
        <w:rPr>
          <w:sz w:val="18"/>
        </w:rPr>
        <w:t>Prevent artisans to be injured while working with inadequate tools made by themselves.</w:t>
      </w:r>
    </w:p>
    <w:p>
      <w:pPr>
        <w:spacing w:before="0"/>
        <w:ind w:left="630" w:right="1767" w:firstLine="0"/>
        <w:jc w:val="left"/>
        <w:rPr>
          <w:sz w:val="18"/>
        </w:rPr>
      </w:pPr>
      <w:r>
        <w:rPr>
          <w:sz w:val="18"/>
        </w:rPr>
        <w:t>Analyze and assess postures while working. [3] Consider people’s capabilities and limitations.</w:t>
      </w:r>
    </w:p>
    <w:p>
      <w:pPr>
        <w:pStyle w:val="BodyText"/>
        <w:rPr>
          <w:sz w:val="18"/>
        </w:rPr>
      </w:pPr>
    </w:p>
    <w:p>
      <w:pPr>
        <w:pStyle w:val="BodyText"/>
        <w:spacing w:before="3"/>
        <w:rPr>
          <w:sz w:val="18"/>
        </w:rPr>
      </w:pPr>
    </w:p>
    <w:p>
      <w:pPr>
        <w:pStyle w:val="ListParagraph"/>
        <w:numPr>
          <w:ilvl w:val="0"/>
          <w:numId w:val="18"/>
        </w:numPr>
        <w:tabs>
          <w:tab w:pos="452" w:val="left" w:leader="none"/>
        </w:tabs>
        <w:spacing w:line="240" w:lineRule="auto" w:before="0" w:after="0"/>
        <w:ind w:left="451" w:right="0" w:hanging="181"/>
        <w:jc w:val="both"/>
        <w:rPr>
          <w:b/>
          <w:sz w:val="18"/>
        </w:rPr>
      </w:pPr>
      <w:r>
        <w:rPr>
          <w:b/>
          <w:sz w:val="18"/>
        </w:rPr>
        <w:t>DELIMITATION</w:t>
      </w:r>
    </w:p>
    <w:p>
      <w:pPr>
        <w:pStyle w:val="BodyText"/>
        <w:spacing w:before="7"/>
        <w:rPr>
          <w:b/>
          <w:sz w:val="17"/>
        </w:rPr>
      </w:pPr>
    </w:p>
    <w:p>
      <w:pPr>
        <w:spacing w:before="1"/>
        <w:ind w:left="270" w:right="678" w:firstLine="0"/>
        <w:jc w:val="both"/>
        <w:rPr>
          <w:sz w:val="18"/>
        </w:rPr>
      </w:pPr>
      <w:r>
        <w:rPr>
          <w:color w:val="202020"/>
          <w:sz w:val="18"/>
        </w:rPr>
        <w:t>This study is aimed at male artisans working in family workshops located in the urban area of the town of Monte Blanco in the municipality   of   Teocelo,   in   the   state   of   Veracruz.   In these</w:t>
      </w:r>
    </w:p>
    <w:p>
      <w:pPr>
        <w:spacing w:after="0"/>
        <w:jc w:val="both"/>
        <w:rPr>
          <w:sz w:val="18"/>
        </w:rPr>
        <w:sectPr>
          <w:type w:val="continuous"/>
          <w:pgSz w:w="12240" w:h="15840"/>
          <w:pgMar w:top="1500" w:bottom="280" w:left="580" w:right="220"/>
          <w:cols w:num="2" w:equalWidth="0">
            <w:col w:w="5181" w:space="417"/>
            <w:col w:w="5842"/>
          </w:cols>
        </w:sectPr>
      </w:pPr>
    </w:p>
    <w:p>
      <w:pPr>
        <w:pStyle w:val="BodyText"/>
        <w:rPr>
          <w:sz w:val="11"/>
        </w:rPr>
      </w:pPr>
    </w:p>
    <w:p>
      <w:pPr>
        <w:spacing w:after="0"/>
        <w:rPr>
          <w:sz w:val="11"/>
        </w:rPr>
        <w:sectPr>
          <w:pgSz w:w="12240" w:h="15840"/>
          <w:pgMar w:header="545" w:footer="852" w:top="1060" w:bottom="1040" w:left="580" w:right="220"/>
        </w:sectPr>
      </w:pPr>
    </w:p>
    <w:p>
      <w:pPr>
        <w:spacing w:before="77"/>
        <w:ind w:left="270" w:right="0" w:firstLine="0"/>
        <w:jc w:val="both"/>
        <w:rPr>
          <w:sz w:val="18"/>
        </w:rPr>
      </w:pPr>
      <w:r>
        <w:rPr>
          <w:color w:val="202020"/>
          <w:sz w:val="18"/>
        </w:rPr>
        <w:t>workshops bamboo furniture is produced in its natural form, with raw materials grown in the same town or surrounding areas. </w:t>
      </w:r>
      <w:r>
        <w:rPr>
          <w:sz w:val="18"/>
        </w:rPr>
        <w:t>[4] </w:t>
      </w:r>
      <w:r>
        <w:rPr>
          <w:color w:val="202020"/>
          <w:sz w:val="18"/>
        </w:rPr>
        <w:t>Activities and positions analyzed are related to the assembly of furniture; operations are carried out on the floor with no accuracy. By modify working conditions the quality of products might improve.</w:t>
      </w:r>
    </w:p>
    <w:p>
      <w:pPr>
        <w:pStyle w:val="BodyText"/>
        <w:rPr>
          <w:sz w:val="18"/>
        </w:rPr>
      </w:pPr>
    </w:p>
    <w:p>
      <w:pPr>
        <w:pStyle w:val="BodyText"/>
        <w:spacing w:before="4"/>
        <w:rPr>
          <w:sz w:val="18"/>
        </w:rPr>
      </w:pPr>
    </w:p>
    <w:p>
      <w:pPr>
        <w:pStyle w:val="ListParagraph"/>
        <w:numPr>
          <w:ilvl w:val="0"/>
          <w:numId w:val="18"/>
        </w:numPr>
        <w:tabs>
          <w:tab w:pos="452" w:val="left" w:leader="none"/>
        </w:tabs>
        <w:spacing w:line="240" w:lineRule="auto" w:before="0" w:after="0"/>
        <w:ind w:left="451" w:right="0" w:hanging="181"/>
        <w:jc w:val="both"/>
        <w:rPr>
          <w:b/>
          <w:color w:val="202020"/>
          <w:sz w:val="18"/>
        </w:rPr>
      </w:pPr>
      <w:r>
        <w:rPr>
          <w:b/>
          <w:color w:val="202020"/>
          <w:sz w:val="18"/>
        </w:rPr>
        <w:t>METHODS</w:t>
      </w:r>
    </w:p>
    <w:p>
      <w:pPr>
        <w:pStyle w:val="BodyText"/>
        <w:spacing w:before="7"/>
        <w:rPr>
          <w:b/>
          <w:sz w:val="17"/>
        </w:rPr>
      </w:pPr>
    </w:p>
    <w:p>
      <w:pPr>
        <w:spacing w:before="1"/>
        <w:ind w:left="270" w:right="1" w:firstLine="0"/>
        <w:jc w:val="both"/>
        <w:rPr>
          <w:sz w:val="18"/>
        </w:rPr>
      </w:pPr>
      <w:r>
        <w:rPr>
          <w:color w:val="202020"/>
          <w:sz w:val="18"/>
        </w:rPr>
        <w:t>Identify the artisan workshops in the area based on documentary and field research.</w:t>
      </w:r>
    </w:p>
    <w:p>
      <w:pPr>
        <w:spacing w:before="0"/>
        <w:ind w:left="270" w:right="5" w:firstLine="426"/>
        <w:jc w:val="left"/>
        <w:rPr>
          <w:sz w:val="18"/>
        </w:rPr>
      </w:pPr>
      <w:r>
        <w:rPr>
          <w:color w:val="202020"/>
          <w:sz w:val="18"/>
        </w:rPr>
        <w:t>Study the male artisans </w:t>
      </w:r>
      <w:r>
        <w:rPr>
          <w:sz w:val="18"/>
        </w:rPr>
        <w:t>[5] </w:t>
      </w:r>
      <w:r>
        <w:rPr>
          <w:color w:val="202020"/>
          <w:sz w:val="18"/>
        </w:rPr>
        <w:t>working conditions and activities, using images and video (direct observation).</w:t>
      </w:r>
    </w:p>
    <w:p>
      <w:pPr>
        <w:pStyle w:val="BodyText"/>
        <w:rPr>
          <w:sz w:val="15"/>
        </w:rPr>
      </w:pPr>
      <w:r>
        <w:rPr/>
        <w:drawing>
          <wp:anchor distT="0" distB="0" distL="0" distR="0" allowOverlap="1" layoutInCell="1" locked="0" behindDoc="0" simplePos="0" relativeHeight="1984">
            <wp:simplePos x="0" y="0"/>
            <wp:positionH relativeFrom="page">
              <wp:posOffset>552450</wp:posOffset>
            </wp:positionH>
            <wp:positionV relativeFrom="paragraph">
              <wp:posOffset>134529</wp:posOffset>
            </wp:positionV>
            <wp:extent cx="3074415" cy="2305621"/>
            <wp:effectExtent l="0" t="0" r="0" b="0"/>
            <wp:wrapTopAndBottom/>
            <wp:docPr id="33" name="image24.jpeg" descr=""/>
            <wp:cNvGraphicFramePr>
              <a:graphicFrameLocks noChangeAspect="1"/>
            </wp:cNvGraphicFramePr>
            <a:graphic>
              <a:graphicData uri="http://schemas.openxmlformats.org/drawingml/2006/picture">
                <pic:pic>
                  <pic:nvPicPr>
                    <pic:cNvPr id="34" name="image24.jpeg"/>
                    <pic:cNvPicPr/>
                  </pic:nvPicPr>
                  <pic:blipFill>
                    <a:blip r:embed="rId71" cstate="print"/>
                    <a:stretch>
                      <a:fillRect/>
                    </a:stretch>
                  </pic:blipFill>
                  <pic:spPr>
                    <a:xfrm>
                      <a:off x="0" y="0"/>
                      <a:ext cx="3074415" cy="2305621"/>
                    </a:xfrm>
                    <a:prstGeom prst="rect">
                      <a:avLst/>
                    </a:prstGeom>
                  </pic:spPr>
                </pic:pic>
              </a:graphicData>
            </a:graphic>
          </wp:anchor>
        </w:drawing>
      </w:r>
    </w:p>
    <w:p>
      <w:pPr>
        <w:pStyle w:val="BodyText"/>
        <w:spacing w:before="8"/>
        <w:rPr>
          <w:sz w:val="15"/>
        </w:rPr>
      </w:pPr>
    </w:p>
    <w:p>
      <w:pPr>
        <w:spacing w:before="0"/>
        <w:ind w:left="1152" w:right="77" w:firstLine="0"/>
        <w:jc w:val="left"/>
        <w:rPr>
          <w:sz w:val="18"/>
        </w:rPr>
      </w:pPr>
      <w:r>
        <w:rPr>
          <w:color w:val="202020"/>
          <w:sz w:val="18"/>
        </w:rPr>
        <w:t>Figure 2. Male artisan working in the floor.</w:t>
      </w:r>
    </w:p>
    <w:p>
      <w:pPr>
        <w:spacing w:before="0"/>
        <w:ind w:left="789" w:right="77" w:firstLine="0"/>
        <w:jc w:val="left"/>
        <w:rPr>
          <w:sz w:val="18"/>
        </w:rPr>
      </w:pPr>
      <w:r>
        <w:rPr>
          <w:color w:val="202020"/>
          <w:sz w:val="18"/>
        </w:rPr>
        <w:t>Drawing: Carlos Chávez and Ma. Fernanda Gutiérrez</w:t>
      </w:r>
    </w:p>
    <w:p>
      <w:pPr>
        <w:pStyle w:val="BodyText"/>
        <w:rPr>
          <w:sz w:val="18"/>
        </w:rPr>
      </w:pPr>
    </w:p>
    <w:p>
      <w:pPr>
        <w:pStyle w:val="BodyText"/>
        <w:spacing w:before="10"/>
        <w:rPr>
          <w:sz w:val="17"/>
        </w:rPr>
      </w:pPr>
    </w:p>
    <w:p>
      <w:pPr>
        <w:spacing w:before="1"/>
        <w:ind w:left="270" w:right="77" w:firstLine="426"/>
        <w:jc w:val="left"/>
        <w:rPr>
          <w:sz w:val="18"/>
        </w:rPr>
      </w:pPr>
      <w:r>
        <w:rPr>
          <w:color w:val="202020"/>
          <w:sz w:val="18"/>
        </w:rPr>
        <w:t>Describe and analyze the activities from technical and manufacturing points of view.</w:t>
      </w:r>
    </w:p>
    <w:p>
      <w:pPr>
        <w:spacing w:line="206" w:lineRule="exact" w:before="0"/>
        <w:ind w:left="696" w:right="77" w:firstLine="0"/>
        <w:jc w:val="left"/>
        <w:rPr>
          <w:sz w:val="18"/>
        </w:rPr>
      </w:pPr>
      <w:r>
        <w:rPr>
          <w:color w:val="202020"/>
          <w:sz w:val="18"/>
        </w:rPr>
        <w:t>Describe and analyze the postures adopted by the artisans.</w:t>
      </w:r>
    </w:p>
    <w:p>
      <w:pPr>
        <w:spacing w:before="0"/>
        <w:ind w:left="270" w:right="0" w:firstLine="426"/>
        <w:jc w:val="both"/>
        <w:rPr>
          <w:sz w:val="18"/>
        </w:rPr>
      </w:pPr>
      <w:r>
        <w:rPr>
          <w:color w:val="202020"/>
          <w:sz w:val="18"/>
        </w:rPr>
        <w:t>Apply ergonomic and design criteria for postural assessment focused on improving performance and health of workers and the quality of the products. </w:t>
      </w:r>
      <w:r>
        <w:rPr>
          <w:sz w:val="18"/>
        </w:rPr>
        <w:t>[6].</w:t>
      </w:r>
    </w:p>
    <w:p>
      <w:pPr>
        <w:pStyle w:val="BodyText"/>
        <w:spacing w:before="10"/>
        <w:rPr>
          <w:sz w:val="24"/>
        </w:rPr>
      </w:pPr>
      <w:r>
        <w:rPr/>
        <w:br w:type="column"/>
      </w:r>
      <w:r>
        <w:rPr>
          <w:sz w:val="24"/>
        </w:rPr>
      </w:r>
    </w:p>
    <w:p>
      <w:pPr>
        <w:pStyle w:val="ListParagraph"/>
        <w:numPr>
          <w:ilvl w:val="0"/>
          <w:numId w:val="19"/>
        </w:numPr>
        <w:tabs>
          <w:tab w:pos="452" w:val="left" w:leader="none"/>
        </w:tabs>
        <w:spacing w:line="240" w:lineRule="auto" w:before="1" w:after="0"/>
        <w:ind w:left="451" w:right="0" w:hanging="181"/>
        <w:jc w:val="both"/>
        <w:rPr>
          <w:b/>
          <w:color w:val="202020"/>
          <w:sz w:val="18"/>
        </w:rPr>
      </w:pPr>
      <w:r>
        <w:rPr>
          <w:b/>
          <w:color w:val="202020"/>
          <w:sz w:val="18"/>
        </w:rPr>
        <w:t>CONCLUSIONS</w:t>
      </w:r>
    </w:p>
    <w:p>
      <w:pPr>
        <w:pStyle w:val="BodyText"/>
        <w:spacing w:before="7"/>
        <w:rPr>
          <w:b/>
          <w:sz w:val="17"/>
        </w:rPr>
      </w:pPr>
    </w:p>
    <w:p>
      <w:pPr>
        <w:spacing w:before="1"/>
        <w:ind w:left="270" w:right="678" w:firstLine="0"/>
        <w:jc w:val="both"/>
        <w:rPr>
          <w:sz w:val="18"/>
        </w:rPr>
      </w:pPr>
      <w:r>
        <w:rPr>
          <w:color w:val="202020"/>
          <w:sz w:val="18"/>
        </w:rPr>
        <w:t>As a partial conclusion of the research, one might say that useful data were obtained to perform the postural analysis with photographs and videos that provided information with the participation of artisans. </w:t>
      </w:r>
      <w:r>
        <w:rPr>
          <w:sz w:val="18"/>
        </w:rPr>
        <w:t>[8] </w:t>
      </w:r>
      <w:r>
        <w:rPr>
          <w:color w:val="202020"/>
          <w:sz w:val="18"/>
        </w:rPr>
        <w:t>However, the analysis was about some operations to assemble furniture.</w:t>
      </w:r>
    </w:p>
    <w:p>
      <w:pPr>
        <w:pStyle w:val="BodyText"/>
        <w:rPr>
          <w:sz w:val="18"/>
        </w:rPr>
      </w:pPr>
    </w:p>
    <w:p>
      <w:pPr>
        <w:pStyle w:val="BodyText"/>
        <w:spacing w:before="4"/>
        <w:rPr>
          <w:sz w:val="18"/>
        </w:rPr>
      </w:pPr>
    </w:p>
    <w:p>
      <w:pPr>
        <w:pStyle w:val="ListParagraph"/>
        <w:numPr>
          <w:ilvl w:val="0"/>
          <w:numId w:val="19"/>
        </w:numPr>
        <w:tabs>
          <w:tab w:pos="497" w:val="left" w:leader="none"/>
        </w:tabs>
        <w:spacing w:line="240" w:lineRule="auto" w:before="0" w:after="0"/>
        <w:ind w:left="496" w:right="0" w:hanging="226"/>
        <w:jc w:val="both"/>
        <w:rPr>
          <w:b/>
          <w:color w:val="233F5E"/>
          <w:sz w:val="18"/>
        </w:rPr>
      </w:pPr>
      <w:r>
        <w:rPr>
          <w:b/>
          <w:color w:val="233F5E"/>
          <w:sz w:val="18"/>
        </w:rPr>
        <w:t>REFERE</w:t>
      </w:r>
      <w:r>
        <w:rPr>
          <w:b/>
          <w:sz w:val="18"/>
        </w:rPr>
        <w:t>NCES</w:t>
      </w:r>
    </w:p>
    <w:p>
      <w:pPr>
        <w:pStyle w:val="BodyText"/>
        <w:spacing w:before="6"/>
        <w:rPr>
          <w:b/>
          <w:sz w:val="17"/>
        </w:rPr>
      </w:pPr>
    </w:p>
    <w:p>
      <w:pPr>
        <w:spacing w:before="0"/>
        <w:ind w:left="270" w:right="678" w:firstLine="0"/>
        <w:jc w:val="both"/>
        <w:rPr>
          <w:sz w:val="18"/>
        </w:rPr>
      </w:pPr>
      <w:r>
        <w:rPr>
          <w:sz w:val="18"/>
        </w:rPr>
        <w:t>[1] C. Chávez Aguilera and MF. Gutiérrez Torres, Equipamiento de Talleres Artesanales de Bambú, Informe de investigación. FES Aragón, UNAM, México.  Documento interno, (2013).</w:t>
      </w:r>
    </w:p>
    <w:p>
      <w:pPr>
        <w:spacing w:before="0"/>
        <w:ind w:left="270" w:right="677" w:firstLine="0"/>
        <w:jc w:val="both"/>
        <w:rPr>
          <w:sz w:val="18"/>
        </w:rPr>
      </w:pPr>
      <w:r>
        <w:rPr>
          <w:sz w:val="18"/>
        </w:rPr>
        <w:t>[2] F. García Córdoba, La investigación tecnológica. Ed. Limusa, México, (2007).</w:t>
      </w:r>
    </w:p>
    <w:p>
      <w:pPr>
        <w:spacing w:before="0"/>
        <w:ind w:left="270" w:right="679" w:firstLine="0"/>
        <w:jc w:val="both"/>
        <w:rPr>
          <w:sz w:val="18"/>
        </w:rPr>
      </w:pPr>
      <w:r>
        <w:rPr>
          <w:sz w:val="18"/>
        </w:rPr>
        <w:t>[3] L. Prado León, Ergonomía y lumbalgias ocupacionales, Universidad de Guadalajara, (2001).</w:t>
      </w:r>
    </w:p>
    <w:p>
      <w:pPr>
        <w:spacing w:before="0"/>
        <w:ind w:left="270" w:right="676" w:firstLine="0"/>
        <w:jc w:val="both"/>
        <w:rPr>
          <w:sz w:val="18"/>
        </w:rPr>
      </w:pPr>
      <w:r>
        <w:rPr>
          <w:sz w:val="18"/>
        </w:rPr>
        <w:t>[4] G. Sauceda, “El bambú en la fabricación de muebles y artesanías” en Memoria del 1er. Foro estatal del bambú. Situación actual y perspectivas. Xalapa, México, (2007).</w:t>
      </w:r>
    </w:p>
    <w:p>
      <w:pPr>
        <w:spacing w:before="0"/>
        <w:ind w:left="270" w:right="677" w:firstLine="0"/>
        <w:jc w:val="both"/>
        <w:rPr>
          <w:sz w:val="18"/>
        </w:rPr>
      </w:pPr>
      <w:r>
        <w:rPr>
          <w:sz w:val="18"/>
        </w:rPr>
        <w:t>[5] R. Ávila Chaurand y col. Dimensiones antropométricas de población latinoamericana. México, Cuba, Colombia y Chile. Guadalajara: Universidad de Guadalajara CIE, (2001).</w:t>
      </w:r>
    </w:p>
    <w:p>
      <w:pPr>
        <w:spacing w:before="0"/>
        <w:ind w:left="270" w:right="680" w:firstLine="0"/>
        <w:jc w:val="both"/>
        <w:rPr>
          <w:sz w:val="18"/>
        </w:rPr>
      </w:pPr>
      <w:r>
        <w:rPr>
          <w:sz w:val="18"/>
        </w:rPr>
        <w:t>[6] K.H.E. Kroemer, y col. Ergonomics. How to design for ease  and</w:t>
      </w:r>
      <w:r>
        <w:rPr>
          <w:spacing w:val="-6"/>
          <w:sz w:val="18"/>
        </w:rPr>
        <w:t> </w:t>
      </w:r>
      <w:r>
        <w:rPr>
          <w:sz w:val="18"/>
        </w:rPr>
        <w:t>efficiency.</w:t>
      </w:r>
      <w:r>
        <w:rPr>
          <w:spacing w:val="-7"/>
          <w:sz w:val="18"/>
        </w:rPr>
        <w:t> </w:t>
      </w:r>
      <w:r>
        <w:rPr>
          <w:sz w:val="18"/>
        </w:rPr>
        <w:t>New</w:t>
      </w:r>
      <w:r>
        <w:rPr>
          <w:spacing w:val="-6"/>
          <w:sz w:val="18"/>
        </w:rPr>
        <w:t> </w:t>
      </w:r>
      <w:r>
        <w:rPr>
          <w:sz w:val="18"/>
        </w:rPr>
        <w:t>Jersey:</w:t>
      </w:r>
      <w:r>
        <w:rPr>
          <w:spacing w:val="-6"/>
          <w:sz w:val="18"/>
        </w:rPr>
        <w:t> </w:t>
      </w:r>
      <w:r>
        <w:rPr>
          <w:sz w:val="18"/>
        </w:rPr>
        <w:t>Prentice</w:t>
      </w:r>
      <w:r>
        <w:rPr>
          <w:spacing w:val="-6"/>
          <w:sz w:val="18"/>
        </w:rPr>
        <w:t> </w:t>
      </w:r>
      <w:r>
        <w:rPr>
          <w:sz w:val="18"/>
        </w:rPr>
        <w:t>Hall,</w:t>
      </w:r>
      <w:r>
        <w:rPr>
          <w:spacing w:val="-6"/>
          <w:sz w:val="18"/>
        </w:rPr>
        <w:t> </w:t>
      </w:r>
      <w:r>
        <w:rPr>
          <w:sz w:val="18"/>
        </w:rPr>
        <w:t>(2001).</w:t>
      </w:r>
    </w:p>
    <w:p>
      <w:pPr>
        <w:spacing w:before="0"/>
        <w:ind w:left="270" w:right="680" w:firstLine="0"/>
        <w:jc w:val="both"/>
        <w:rPr>
          <w:sz w:val="18"/>
        </w:rPr>
      </w:pPr>
      <w:r>
        <w:rPr>
          <w:sz w:val="18"/>
        </w:rPr>
        <w:t>[7] F. Martín Juez, Contribuciones para una antropología del diseño. Ed. Gedisa, Barcelona,</w:t>
      </w:r>
      <w:r>
        <w:rPr>
          <w:spacing w:val="-5"/>
          <w:sz w:val="18"/>
        </w:rPr>
        <w:t> </w:t>
      </w:r>
      <w:r>
        <w:rPr>
          <w:sz w:val="18"/>
        </w:rPr>
        <w:t>(2002).</w:t>
      </w:r>
    </w:p>
    <w:p>
      <w:pPr>
        <w:spacing w:before="0"/>
        <w:ind w:left="270" w:right="1218" w:firstLine="0"/>
        <w:jc w:val="left"/>
        <w:rPr>
          <w:sz w:val="18"/>
        </w:rPr>
      </w:pPr>
      <w:r>
        <w:rPr>
          <w:sz w:val="18"/>
        </w:rPr>
        <w:t>[8] M. Turok, Cómo acercarse a la artesanía. Plaza y Valdés Editores, México, (1997).</w:t>
      </w:r>
    </w:p>
    <w:p>
      <w:pPr>
        <w:pStyle w:val="BodyText"/>
        <w:rPr>
          <w:sz w:val="18"/>
        </w:rPr>
      </w:pPr>
    </w:p>
    <w:p>
      <w:pPr>
        <w:pStyle w:val="BodyText"/>
        <w:rPr>
          <w:sz w:val="18"/>
        </w:rPr>
      </w:pPr>
    </w:p>
    <w:p>
      <w:pPr>
        <w:spacing w:before="0"/>
        <w:ind w:left="270" w:right="677" w:firstLine="0"/>
        <w:jc w:val="both"/>
        <w:rPr>
          <w:sz w:val="18"/>
        </w:rPr>
      </w:pPr>
      <w:r>
        <w:rPr>
          <w:b/>
          <w:sz w:val="18"/>
        </w:rPr>
        <w:t>Ma. Fernanda Gutiérrez Torres: </w:t>
      </w:r>
      <w:r>
        <w:rPr>
          <w:sz w:val="18"/>
        </w:rPr>
        <w:t>Industrial Designer by the Universidad Nacional Autónoma de México UNAM (National Autonomous University of Mexico, Faculty of Architecture). She has studied Ergonomics in the same University. She has been lecturer for more than a decade in different institutions of higher education related to Industrial Design. She has collaborated in academic-administrative functions for 20 years and  teaching courses for 35 years in Facultad de Estudios Superiores Aragón, UNAM. Member of CODIGRAM, SEMAC and HFES. She is currently a part time investigator on Applied Ergonomics to Industrial Design projects. She was awarded the Sor Juana Inés de la Cruz Prize, UNAM.</w:t>
      </w:r>
    </w:p>
    <w:p>
      <w:pPr>
        <w:spacing w:after="0"/>
        <w:jc w:val="both"/>
        <w:rPr>
          <w:sz w:val="18"/>
        </w:rPr>
        <w:sectPr>
          <w:type w:val="continuous"/>
          <w:pgSz w:w="12240" w:h="15840"/>
          <w:pgMar w:top="1500" w:bottom="280" w:left="580" w:right="220"/>
          <w:cols w:num="2" w:equalWidth="0">
            <w:col w:w="5164" w:space="434"/>
            <w:col w:w="5842"/>
          </w:cols>
        </w:sectPr>
      </w:pPr>
    </w:p>
    <w:p>
      <w:pPr>
        <w:pStyle w:val="BodyText"/>
        <w:spacing w:before="10"/>
        <w:rPr>
          <w:sz w:val="10"/>
        </w:rPr>
      </w:pPr>
    </w:p>
    <w:p>
      <w:pPr>
        <w:pStyle w:val="BodyText"/>
        <w:ind w:left="157"/>
      </w:pPr>
      <w:r>
        <w:rPr>
          <w:spacing w:val="-49"/>
        </w:rPr>
        <w:t> </w:t>
      </w:r>
      <w:r>
        <w:rPr>
          <w:spacing w:val="-49"/>
        </w:rPr>
        <w:pict>
          <v:shape style="width:250.3pt;height:52.3pt;mso-position-horizontal-relative:char;mso-position-vertical-relative:line" type="#_x0000_t202" filled="false" stroked="true" strokeweight=".48001pt" strokecolor="#000000">
            <w10:anchorlock/>
            <v:textbox inset="0,0,0,0">
              <w:txbxContent>
                <w:p>
                  <w:pPr>
                    <w:pStyle w:val="BodyText"/>
                    <w:spacing w:before="7"/>
                    <w:rPr>
                      <w:sz w:val="17"/>
                    </w:rPr>
                  </w:pPr>
                </w:p>
                <w:p>
                  <w:pPr>
                    <w:spacing w:before="0"/>
                    <w:ind w:left="103" w:right="99" w:firstLine="0"/>
                    <w:jc w:val="both"/>
                    <w:rPr>
                      <w:sz w:val="18"/>
                    </w:rPr>
                  </w:pPr>
                  <w:r>
                    <w:rPr>
                      <w:sz w:val="18"/>
                    </w:rPr>
                    <w:t>The term of posture is used to describe the relationships among various parts of the body, their anatomical arrangement and how well they do or do not fit together. [6]</w:t>
                  </w:r>
                </w:p>
              </w:txbxContent>
            </v:textbox>
          </v:shape>
        </w:pict>
      </w:r>
      <w:r>
        <w:rPr>
          <w:spacing w:val="-49"/>
        </w:rPr>
      </w:r>
    </w:p>
    <w:p>
      <w:pPr>
        <w:pStyle w:val="BodyText"/>
        <w:spacing w:before="1"/>
        <w:rPr>
          <w:sz w:val="26"/>
        </w:rPr>
      </w:pPr>
    </w:p>
    <w:p>
      <w:pPr>
        <w:spacing w:before="77"/>
        <w:ind w:left="270" w:right="0" w:firstLine="0"/>
        <w:jc w:val="both"/>
        <w:rPr>
          <w:b/>
          <w:sz w:val="18"/>
        </w:rPr>
      </w:pPr>
      <w:r>
        <w:rPr>
          <w:b/>
          <w:sz w:val="18"/>
        </w:rPr>
        <w:t>5. RESULTS</w:t>
      </w:r>
    </w:p>
    <w:p>
      <w:pPr>
        <w:pStyle w:val="BodyText"/>
        <w:spacing w:before="7"/>
        <w:rPr>
          <w:b/>
          <w:sz w:val="17"/>
        </w:rPr>
      </w:pPr>
    </w:p>
    <w:p>
      <w:pPr>
        <w:spacing w:before="1"/>
        <w:ind w:left="270" w:right="6275" w:firstLine="0"/>
        <w:jc w:val="both"/>
        <w:rPr>
          <w:sz w:val="18"/>
        </w:rPr>
      </w:pPr>
      <w:r>
        <w:rPr>
          <w:sz w:val="18"/>
        </w:rPr>
        <w:t>There have been important improvements in data collection and ergonomic analysis and assessment. Based on the results, change of posture is recommended, from work sitting on the floor to work standing in an upright position using a workbench with the intermittent use of a stool to prevent fatigue. [7]. With this table, artisans can improve visibility on operations, may be able to  control their movements, move easily, and prevent overexertion and awkward postures. It is also planned to hang heavy tools of a device called  "zero gravity" to reduce muscle</w:t>
      </w:r>
      <w:r>
        <w:rPr>
          <w:spacing w:val="-11"/>
          <w:sz w:val="18"/>
        </w:rPr>
        <w:t> </w:t>
      </w:r>
      <w:r>
        <w:rPr>
          <w:sz w:val="18"/>
        </w:rPr>
        <w:t>fatigue.</w:t>
      </w:r>
    </w:p>
    <w:p>
      <w:pPr>
        <w:spacing w:after="0"/>
        <w:jc w:val="both"/>
        <w:rPr>
          <w:sz w:val="18"/>
        </w:rPr>
        <w:sectPr>
          <w:type w:val="continuous"/>
          <w:pgSz w:w="12240" w:h="15840"/>
          <w:pgMar w:top="1500" w:bottom="280" w:left="580" w:right="220"/>
        </w:sectPr>
      </w:pPr>
    </w:p>
    <w:p>
      <w:pPr>
        <w:pStyle w:val="BodyText"/>
        <w:rPr>
          <w:sz w:val="11"/>
        </w:rPr>
      </w:pPr>
    </w:p>
    <w:p>
      <w:pPr>
        <w:spacing w:after="0"/>
        <w:rPr>
          <w:sz w:val="11"/>
        </w:rPr>
        <w:sectPr>
          <w:pgSz w:w="12240" w:h="15840"/>
          <w:pgMar w:header="545" w:footer="852" w:top="1060" w:bottom="1040" w:left="580" w:right="220"/>
        </w:sectPr>
      </w:pPr>
    </w:p>
    <w:p>
      <w:pPr>
        <w:pStyle w:val="BodyText"/>
        <w:spacing w:before="10"/>
        <w:rPr>
          <w:sz w:val="24"/>
        </w:rPr>
      </w:pPr>
    </w:p>
    <w:p>
      <w:pPr>
        <w:spacing w:before="1"/>
        <w:ind w:left="270" w:right="0" w:firstLine="0"/>
        <w:jc w:val="both"/>
        <w:rPr>
          <w:b/>
          <w:sz w:val="18"/>
        </w:rPr>
      </w:pPr>
      <w:r>
        <w:rPr>
          <w:b/>
          <w:sz w:val="18"/>
        </w:rPr>
        <w:t>Prototype of ergonomic keyboard with integrated mouse.</w:t>
      </w:r>
    </w:p>
    <w:p>
      <w:pPr>
        <w:pStyle w:val="BodyText"/>
        <w:spacing w:before="4"/>
        <w:rPr>
          <w:b/>
          <w:sz w:val="17"/>
        </w:rPr>
      </w:pPr>
    </w:p>
    <w:p>
      <w:pPr>
        <w:spacing w:line="211" w:lineRule="auto" w:before="0"/>
        <w:ind w:left="270" w:right="16" w:firstLine="0"/>
        <w:jc w:val="both"/>
        <w:rPr>
          <w:i/>
          <w:sz w:val="18"/>
        </w:rPr>
      </w:pPr>
      <w:r>
        <w:rPr>
          <w:i/>
          <w:sz w:val="18"/>
        </w:rPr>
        <w:t>Alberto Ramírez Leyva </w:t>
      </w:r>
      <w:r>
        <w:rPr>
          <w:i/>
          <w:position w:val="8"/>
          <w:sz w:val="12"/>
        </w:rPr>
        <w:t>a</w:t>
      </w:r>
      <w:r>
        <w:rPr>
          <w:i/>
          <w:sz w:val="18"/>
        </w:rPr>
        <w:t>, Carlos Enrique Flores Apodaca </w:t>
      </w:r>
      <w:r>
        <w:rPr>
          <w:i/>
          <w:position w:val="8"/>
          <w:sz w:val="12"/>
        </w:rPr>
        <w:t>b</w:t>
      </w:r>
      <w:r>
        <w:rPr>
          <w:i/>
          <w:sz w:val="18"/>
        </w:rPr>
        <w:t>, Karina </w:t>
      </w:r>
      <w:r>
        <w:rPr>
          <w:i/>
          <w:sz w:val="18"/>
        </w:rPr>
        <w:t>Luna Soto </w:t>
      </w:r>
      <w:r>
        <w:rPr>
          <w:i/>
          <w:position w:val="8"/>
          <w:sz w:val="12"/>
        </w:rPr>
        <w:t>c</w:t>
      </w:r>
      <w:r>
        <w:rPr>
          <w:i/>
          <w:sz w:val="18"/>
        </w:rPr>
        <w:t>, Jesús Guadalupe Chávez Ahumada </w:t>
      </w:r>
      <w:r>
        <w:rPr>
          <w:i/>
          <w:position w:val="8"/>
          <w:sz w:val="12"/>
        </w:rPr>
        <w:t>d</w:t>
      </w:r>
      <w:r>
        <w:rPr>
          <w:i/>
          <w:sz w:val="18"/>
        </w:rPr>
        <w:t>, Salvador Francisco Lugo Urías</w:t>
      </w:r>
      <w:r>
        <w:rPr>
          <w:i/>
          <w:position w:val="8"/>
          <w:sz w:val="12"/>
        </w:rPr>
        <w:t>e</w:t>
      </w:r>
      <w:r>
        <w:rPr>
          <w:i/>
          <w:sz w:val="18"/>
        </w:rPr>
        <w:t>.</w:t>
      </w:r>
    </w:p>
    <w:p>
      <w:pPr>
        <w:pStyle w:val="BodyText"/>
        <w:spacing w:before="7"/>
        <w:rPr>
          <w:i/>
          <w:sz w:val="16"/>
        </w:rPr>
      </w:pPr>
    </w:p>
    <w:p>
      <w:pPr>
        <w:tabs>
          <w:tab w:pos="1668" w:val="left" w:leader="none"/>
          <w:tab w:pos="2507" w:val="left" w:leader="none"/>
          <w:tab w:pos="3624" w:val="left" w:leader="none"/>
          <w:tab w:pos="4683" w:val="left" w:leader="none"/>
        </w:tabs>
        <w:spacing w:line="235" w:lineRule="auto" w:before="0"/>
        <w:ind w:left="270" w:right="0" w:firstLine="0"/>
        <w:jc w:val="left"/>
        <w:rPr>
          <w:sz w:val="18"/>
        </w:rPr>
      </w:pPr>
      <w:r>
        <w:rPr>
          <w:position w:val="8"/>
          <w:sz w:val="12"/>
        </w:rPr>
        <w:t>a </w:t>
      </w:r>
      <w:r>
        <w:rPr>
          <w:sz w:val="18"/>
        </w:rPr>
        <w:t>Instituto Tecnológico de Los Mochis, Juan de Dios Batiz y 20 de noviembre</w:t>
        <w:tab/>
        <w:t>s/n</w:t>
        <w:tab/>
        <w:t>código</w:t>
        <w:tab/>
        <w:t>postal</w:t>
        <w:tab/>
        <w:t>81259, alberto_ramirez_leyva@yahoo,com, Los Mochis, Sinaloa, México. </w:t>
      </w:r>
      <w:r>
        <w:rPr>
          <w:position w:val="8"/>
          <w:sz w:val="12"/>
        </w:rPr>
        <w:t>b </w:t>
      </w:r>
      <w:r>
        <w:rPr>
          <w:sz w:val="18"/>
        </w:rPr>
        <w:t>Instituto Tecnológico de Los Mochis, Juan de Dios Batiz y 20 de noviembre s/n código postal 81259, carlosefa@hotmail,com, Los Mochis, Sinaloa,</w:t>
      </w:r>
      <w:r>
        <w:rPr>
          <w:spacing w:val="-4"/>
          <w:sz w:val="18"/>
        </w:rPr>
        <w:t> </w:t>
      </w:r>
      <w:r>
        <w:rPr>
          <w:sz w:val="18"/>
        </w:rPr>
        <w:t>México.</w:t>
      </w:r>
    </w:p>
    <w:p>
      <w:pPr>
        <w:spacing w:line="206" w:lineRule="exact" w:before="4"/>
        <w:ind w:left="270" w:right="0" w:firstLine="0"/>
        <w:jc w:val="both"/>
        <w:rPr>
          <w:sz w:val="18"/>
        </w:rPr>
      </w:pPr>
      <w:r>
        <w:rPr>
          <w:position w:val="8"/>
          <w:sz w:val="12"/>
        </w:rPr>
        <w:t>c </w:t>
      </w:r>
      <w:r>
        <w:rPr>
          <w:sz w:val="18"/>
        </w:rPr>
        <w:t>Instituto Tecnológico de Los Mochis, Juan de Dios Batiz y 20 de noviembre s/n código postal 81259, </w:t>
      </w:r>
      <w:hyperlink r:id="rId72">
        <w:r>
          <w:rPr>
            <w:sz w:val="18"/>
          </w:rPr>
          <w:t>karinaluna1@yahoo.com,</w:t>
        </w:r>
      </w:hyperlink>
      <w:r>
        <w:rPr>
          <w:sz w:val="18"/>
        </w:rPr>
        <w:t>   Los</w:t>
      </w:r>
    </w:p>
    <w:p>
      <w:pPr>
        <w:spacing w:line="193" w:lineRule="exact" w:before="0"/>
        <w:ind w:left="270" w:right="0" w:firstLine="0"/>
        <w:jc w:val="both"/>
        <w:rPr>
          <w:sz w:val="18"/>
        </w:rPr>
      </w:pPr>
      <w:r>
        <w:rPr>
          <w:sz w:val="18"/>
        </w:rPr>
        <w:t>Mochis, Sinaloa, México.</w:t>
      </w:r>
    </w:p>
    <w:p>
      <w:pPr>
        <w:spacing w:line="219" w:lineRule="exact" w:before="0"/>
        <w:ind w:left="270" w:right="0" w:firstLine="0"/>
        <w:jc w:val="both"/>
        <w:rPr>
          <w:sz w:val="18"/>
        </w:rPr>
      </w:pPr>
      <w:r>
        <w:rPr>
          <w:position w:val="8"/>
          <w:sz w:val="12"/>
        </w:rPr>
        <w:t>d </w:t>
      </w:r>
      <w:r>
        <w:rPr>
          <w:sz w:val="18"/>
        </w:rPr>
        <w:t>Instituto Tecnológico de Los Mochis, Juan de Dios Batiz y 20   de</w:t>
      </w:r>
    </w:p>
    <w:p>
      <w:pPr>
        <w:tabs>
          <w:tab w:pos="1668" w:val="left" w:leader="none"/>
          <w:tab w:pos="2507" w:val="left" w:leader="none"/>
          <w:tab w:pos="3624" w:val="left" w:leader="none"/>
          <w:tab w:pos="4683" w:val="left" w:leader="none"/>
        </w:tabs>
        <w:spacing w:before="0"/>
        <w:ind w:left="270" w:right="1" w:firstLine="0"/>
        <w:jc w:val="both"/>
        <w:rPr>
          <w:sz w:val="18"/>
        </w:rPr>
      </w:pPr>
      <w:r>
        <w:rPr>
          <w:sz w:val="18"/>
        </w:rPr>
        <w:t>noviembre</w:t>
        <w:tab/>
        <w:t>s/n</w:t>
        <w:tab/>
        <w:t>código</w:t>
        <w:tab/>
        <w:t>postal</w:t>
        <w:tab/>
        <w:t>81259, </w:t>
      </w:r>
      <w:hyperlink r:id="rId73">
        <w:r>
          <w:rPr>
            <w:sz w:val="18"/>
          </w:rPr>
          <w:t>jesusgpechavezahumada@yahoo.com,</w:t>
        </w:r>
      </w:hyperlink>
      <w:r>
        <w:rPr>
          <w:sz w:val="18"/>
        </w:rPr>
        <w:t> Los Mochis, Sinaloa, México.</w:t>
      </w:r>
    </w:p>
    <w:p>
      <w:pPr>
        <w:spacing w:line="206" w:lineRule="exact" w:before="0"/>
        <w:ind w:left="270" w:right="0" w:firstLine="0"/>
        <w:jc w:val="both"/>
        <w:rPr>
          <w:sz w:val="18"/>
        </w:rPr>
      </w:pPr>
      <w:r>
        <w:rPr>
          <w:position w:val="8"/>
          <w:sz w:val="12"/>
        </w:rPr>
        <w:t>e </w:t>
      </w:r>
      <w:r>
        <w:rPr>
          <w:sz w:val="18"/>
        </w:rPr>
        <w:t>Instituto Tecnológico de Los Mochis, Juan de Dios Batiz y 20   de</w:t>
      </w:r>
    </w:p>
    <w:p>
      <w:pPr>
        <w:tabs>
          <w:tab w:pos="1668" w:val="left" w:leader="none"/>
          <w:tab w:pos="2507" w:val="left" w:leader="none"/>
          <w:tab w:pos="3624" w:val="left" w:leader="none"/>
          <w:tab w:pos="4683" w:val="left" w:leader="none"/>
        </w:tabs>
        <w:spacing w:before="0"/>
        <w:ind w:left="270" w:right="1" w:firstLine="0"/>
        <w:jc w:val="both"/>
        <w:rPr>
          <w:sz w:val="18"/>
        </w:rPr>
      </w:pPr>
      <w:r>
        <w:rPr>
          <w:sz w:val="18"/>
        </w:rPr>
        <w:t>noviembre</w:t>
        <w:tab/>
        <w:t>s/n</w:t>
        <w:tab/>
        <w:t>código</w:t>
        <w:tab/>
        <w:t>postal</w:t>
        <w:tab/>
        <w:t>81259, </w:t>
      </w:r>
      <w:hyperlink r:id="rId74">
        <w:r>
          <w:rPr>
            <w:sz w:val="18"/>
          </w:rPr>
          <w:t>salvadorfranciscolugourias@outlook.com,</w:t>
        </w:r>
      </w:hyperlink>
      <w:r>
        <w:rPr>
          <w:sz w:val="18"/>
        </w:rPr>
        <w:t> Los Mochis, Sinaloa, México.</w:t>
      </w:r>
    </w:p>
    <w:p>
      <w:pPr>
        <w:pStyle w:val="BodyText"/>
        <w:rPr>
          <w:sz w:val="18"/>
        </w:rPr>
      </w:pPr>
    </w:p>
    <w:p>
      <w:pPr>
        <w:pStyle w:val="BodyText"/>
        <w:spacing w:before="4"/>
        <w:rPr>
          <w:sz w:val="18"/>
        </w:rPr>
      </w:pPr>
    </w:p>
    <w:p>
      <w:pPr>
        <w:spacing w:before="0"/>
        <w:ind w:left="270" w:right="0" w:firstLine="0"/>
        <w:jc w:val="both"/>
        <w:rPr>
          <w:b/>
          <w:sz w:val="18"/>
        </w:rPr>
      </w:pPr>
      <w:r>
        <w:rPr/>
        <w:pict>
          <v:line style="position:absolute;mso-position-horizontal-relative:page;mso-position-vertical-relative:paragraph;z-index:2056" from="41.040001pt,12.09234pt" to="288.540001pt,12.09234pt" stroked="true" strokeweight="1.5pt" strokecolor="#000000">
            <w10:wrap type="none"/>
          </v:line>
        </w:pict>
      </w:r>
      <w:r>
        <w:rPr>
          <w:b/>
          <w:sz w:val="18"/>
        </w:rPr>
        <w:t>Resumen</w:t>
      </w:r>
    </w:p>
    <w:p>
      <w:pPr>
        <w:spacing w:before="45"/>
        <w:ind w:left="270" w:right="16" w:firstLine="0"/>
        <w:jc w:val="both"/>
        <w:rPr>
          <w:sz w:val="18"/>
        </w:rPr>
      </w:pPr>
      <w:r>
        <w:rPr>
          <w:sz w:val="18"/>
        </w:rPr>
        <w:t>La ergonomía nos proporciona los elementos tanto científicos como metodológicos para una mejor aproximación al diseño que se  centra al usuario final. Es decir ajustarse a sus necesidades y solucionar problemáticas que comúnmente se presentan por la falta de consideraciones de características necesarias en el diseño y fabricación de nuevos prototipos, tales consideraciones que se deben tomar en cuenta se ejemplifican con las adecuaciones antropométricas y ergonómicas. Así mismo al contar con tales adecuaciones se crean soluciones que al final serán satisfactorias es decir que cubra las expectativas proyectadas; que el usuario pueda desempeñar sus actividades de una manera cómoda, eficiente y segura. El mal uso del equipo de computadora como el teclado y el mouse, con el pasar del tiempo causan lesiones al usuario, en manos, muñecas y brazos, es por eso que el prototipo de teclado ergonómico con mouse se diseñó en base a esos problemas,  y lograr reducir esas lesiones causadas por las posturas forzadas que el usuario realiza con los teclados y mouse convencionales. Se realizaron investigaciones de los teclados ergonómicos que hay en la actualidad, para observar las bases existentes de estos. Como resultado obtenemos este prototipo de teclado ergonómico con mouse para promover la salud, satisfacción laboral, y lo más importante que es la calidad de vida de los</w:t>
      </w:r>
      <w:r>
        <w:rPr>
          <w:spacing w:val="-13"/>
          <w:sz w:val="18"/>
        </w:rPr>
        <w:t> </w:t>
      </w:r>
      <w:r>
        <w:rPr>
          <w:sz w:val="18"/>
        </w:rPr>
        <w:t>usuarios.</w:t>
      </w:r>
    </w:p>
    <w:p>
      <w:pPr>
        <w:pStyle w:val="BodyText"/>
        <w:rPr>
          <w:sz w:val="18"/>
        </w:rPr>
      </w:pPr>
    </w:p>
    <w:p>
      <w:pPr>
        <w:spacing w:before="0"/>
        <w:ind w:left="270" w:right="18" w:firstLine="0"/>
        <w:jc w:val="both"/>
        <w:rPr>
          <w:sz w:val="18"/>
        </w:rPr>
      </w:pPr>
      <w:r>
        <w:rPr>
          <w:b/>
          <w:sz w:val="18"/>
        </w:rPr>
        <w:t>Palabras clave</w:t>
      </w:r>
      <w:r>
        <w:rPr>
          <w:sz w:val="18"/>
        </w:rPr>
        <w:t>— Incluyente, accesorio de cómputo, diseño adaptable.</w:t>
      </w:r>
    </w:p>
    <w:p>
      <w:pPr>
        <w:pStyle w:val="BodyText"/>
        <w:spacing w:before="6"/>
        <w:rPr>
          <w:sz w:val="18"/>
        </w:rPr>
      </w:pPr>
    </w:p>
    <w:p>
      <w:pPr>
        <w:spacing w:before="0"/>
        <w:ind w:left="270" w:right="0" w:firstLine="0"/>
        <w:jc w:val="both"/>
        <w:rPr>
          <w:b/>
          <w:i/>
          <w:sz w:val="18"/>
        </w:rPr>
      </w:pPr>
      <w:r>
        <w:rPr/>
        <w:pict>
          <v:line style="position:absolute;mso-position-horizontal-relative:page;mso-position-vertical-relative:paragraph;z-index:2080" from="41.040001pt,12.032645pt" to="288.540001pt,12.032645pt" stroked="true" strokeweight="1.5pt" strokecolor="#000000">
            <w10:wrap type="none"/>
          </v:line>
        </w:pict>
      </w:r>
      <w:r>
        <w:rPr>
          <w:b/>
          <w:i/>
          <w:sz w:val="18"/>
        </w:rPr>
        <w:t>Abstract</w:t>
      </w:r>
    </w:p>
    <w:p>
      <w:pPr>
        <w:spacing w:before="44"/>
        <w:ind w:left="270" w:right="17" w:firstLine="0"/>
        <w:jc w:val="both"/>
        <w:rPr>
          <w:i/>
          <w:sz w:val="18"/>
        </w:rPr>
      </w:pPr>
      <w:r>
        <w:rPr>
          <w:i/>
          <w:sz w:val="18"/>
        </w:rPr>
        <w:t>The Ergonomics provides us scientific and methodological  </w:t>
      </w:r>
      <w:r>
        <w:rPr>
          <w:i/>
          <w:sz w:val="18"/>
        </w:rPr>
        <w:t>elements for a better approach to design that focuses in the end user. I.e. conform to the needs and solve issues that commonly present for lack of necessary considerations in the design characteristics and manufacture of new prototypes, such considerations to be taken into account are exemplified whith anthropometric and ergonomic adjustments. Also by to having such adjustments solutions are created that ultimately will be successful, i.e., to cover the projected expectations; that the user can be performed</w:t>
      </w:r>
      <w:r>
        <w:rPr>
          <w:i/>
          <w:spacing w:val="25"/>
          <w:sz w:val="18"/>
        </w:rPr>
        <w:t> </w:t>
      </w:r>
      <w:r>
        <w:rPr>
          <w:i/>
          <w:sz w:val="18"/>
        </w:rPr>
        <w:t>out</w:t>
      </w:r>
      <w:r>
        <w:rPr>
          <w:i/>
          <w:spacing w:val="25"/>
          <w:sz w:val="18"/>
        </w:rPr>
        <w:t> </w:t>
      </w:r>
      <w:r>
        <w:rPr>
          <w:i/>
          <w:sz w:val="18"/>
        </w:rPr>
        <w:t>their</w:t>
      </w:r>
      <w:r>
        <w:rPr>
          <w:i/>
          <w:spacing w:val="25"/>
          <w:sz w:val="18"/>
        </w:rPr>
        <w:t> </w:t>
      </w:r>
      <w:r>
        <w:rPr>
          <w:i/>
          <w:sz w:val="18"/>
        </w:rPr>
        <w:t>activities</w:t>
      </w:r>
      <w:r>
        <w:rPr>
          <w:i/>
          <w:spacing w:val="24"/>
          <w:sz w:val="18"/>
        </w:rPr>
        <w:t> </w:t>
      </w:r>
      <w:r>
        <w:rPr>
          <w:i/>
          <w:sz w:val="18"/>
        </w:rPr>
        <w:t>in</w:t>
      </w:r>
      <w:r>
        <w:rPr>
          <w:i/>
          <w:spacing w:val="25"/>
          <w:sz w:val="18"/>
        </w:rPr>
        <w:t> </w:t>
      </w:r>
      <w:r>
        <w:rPr>
          <w:i/>
          <w:sz w:val="18"/>
        </w:rPr>
        <w:t>a</w:t>
      </w:r>
      <w:r>
        <w:rPr>
          <w:i/>
          <w:spacing w:val="25"/>
          <w:sz w:val="18"/>
        </w:rPr>
        <w:t> </w:t>
      </w:r>
      <w:r>
        <w:rPr>
          <w:i/>
          <w:sz w:val="18"/>
        </w:rPr>
        <w:t>comfortable,</w:t>
      </w:r>
      <w:r>
        <w:rPr>
          <w:i/>
          <w:spacing w:val="24"/>
          <w:sz w:val="18"/>
        </w:rPr>
        <w:t> </w:t>
      </w:r>
      <w:r>
        <w:rPr>
          <w:i/>
          <w:sz w:val="18"/>
        </w:rPr>
        <w:t>efficient</w:t>
      </w:r>
      <w:r>
        <w:rPr>
          <w:i/>
          <w:spacing w:val="25"/>
          <w:sz w:val="18"/>
        </w:rPr>
        <w:t> </w:t>
      </w:r>
      <w:r>
        <w:rPr>
          <w:i/>
          <w:sz w:val="18"/>
        </w:rPr>
        <w:t>and</w:t>
      </w:r>
      <w:r>
        <w:rPr>
          <w:i/>
          <w:spacing w:val="25"/>
          <w:sz w:val="18"/>
        </w:rPr>
        <w:t> </w:t>
      </w:r>
      <w:r>
        <w:rPr>
          <w:i/>
          <w:sz w:val="18"/>
        </w:rPr>
        <w:t>safe</w:t>
      </w:r>
    </w:p>
    <w:p>
      <w:pPr>
        <w:spacing w:before="77"/>
        <w:ind w:left="270" w:right="678" w:firstLine="0"/>
        <w:jc w:val="both"/>
        <w:rPr>
          <w:i/>
          <w:sz w:val="18"/>
        </w:rPr>
      </w:pPr>
      <w:r>
        <w:rPr/>
        <w:br w:type="column"/>
      </w:r>
      <w:r>
        <w:rPr>
          <w:i/>
          <w:sz w:val="18"/>
        </w:rPr>
        <w:t>manner. Misuse of computer equipment such as keyboard and </w:t>
      </w:r>
      <w:r>
        <w:rPr>
          <w:i/>
          <w:sz w:val="18"/>
        </w:rPr>
        <w:t>mouse, with the passage of time cause injury to the user, in the hands, wrists and arms, is why the prototype of ergonomic keyboard with mouse was designed based on these problems, and achieving reduce these injuries caused by forced postures that you perform with conventional keyboards and mouse. Investigations were performed about the ergonomic keyboards that are present today, to observe the existing bases. As result we get this prototype of ergonomic keyboard with mouse to promote health, job satisfaction, and most important the quality of life of</w:t>
      </w:r>
      <w:r>
        <w:rPr>
          <w:i/>
          <w:spacing w:val="-9"/>
          <w:sz w:val="18"/>
        </w:rPr>
        <w:t> </w:t>
      </w:r>
      <w:r>
        <w:rPr>
          <w:i/>
          <w:sz w:val="18"/>
        </w:rPr>
        <w:t>users.</w:t>
      </w:r>
    </w:p>
    <w:p>
      <w:pPr>
        <w:pStyle w:val="BodyText"/>
        <w:rPr>
          <w:i/>
          <w:sz w:val="18"/>
        </w:rPr>
      </w:pPr>
    </w:p>
    <w:p>
      <w:pPr>
        <w:spacing w:before="0"/>
        <w:ind w:left="270" w:right="0" w:firstLine="0"/>
        <w:jc w:val="both"/>
        <w:rPr>
          <w:i/>
          <w:sz w:val="18"/>
        </w:rPr>
      </w:pPr>
      <w:r>
        <w:rPr>
          <w:b/>
          <w:i/>
          <w:sz w:val="18"/>
        </w:rPr>
        <w:t>Keywords</w:t>
      </w:r>
      <w:r>
        <w:rPr>
          <w:i/>
          <w:sz w:val="18"/>
        </w:rPr>
        <w:t>— Inclusive, computer accessory, customizable design.</w:t>
      </w:r>
    </w:p>
    <w:p>
      <w:pPr>
        <w:pStyle w:val="BodyText"/>
        <w:spacing w:before="3"/>
        <w:rPr>
          <w:i/>
          <w:sz w:val="18"/>
        </w:rPr>
      </w:pPr>
    </w:p>
    <w:p>
      <w:pPr>
        <w:pStyle w:val="ListParagraph"/>
        <w:numPr>
          <w:ilvl w:val="0"/>
          <w:numId w:val="20"/>
        </w:numPr>
        <w:tabs>
          <w:tab w:pos="452" w:val="left" w:leader="none"/>
        </w:tabs>
        <w:spacing w:line="240" w:lineRule="auto" w:before="0" w:after="0"/>
        <w:ind w:left="451" w:right="0" w:hanging="181"/>
        <w:jc w:val="both"/>
        <w:rPr>
          <w:b/>
          <w:sz w:val="18"/>
        </w:rPr>
      </w:pPr>
      <w:r>
        <w:rPr>
          <w:b/>
          <w:sz w:val="18"/>
        </w:rPr>
        <w:t>Introduction</w:t>
      </w:r>
    </w:p>
    <w:p>
      <w:pPr>
        <w:pStyle w:val="BodyText"/>
        <w:spacing w:before="7"/>
        <w:rPr>
          <w:b/>
          <w:sz w:val="17"/>
        </w:rPr>
      </w:pPr>
    </w:p>
    <w:p>
      <w:pPr>
        <w:spacing w:before="1"/>
        <w:ind w:left="270" w:right="676" w:firstLine="432"/>
        <w:jc w:val="both"/>
        <w:rPr>
          <w:sz w:val="18"/>
        </w:rPr>
      </w:pPr>
      <w:r>
        <w:rPr>
          <w:sz w:val="18"/>
        </w:rPr>
        <w:t>The interest of this study was generated to solve possible muscle-skeletal disorders that commonly occur in people that work in an office, in the same way to the people who use a keyboard and mouse to perform daily tasks. Such disorders occur by the  constants repetitive movements and the use of these tools that do not present the suitable characteristics as; height, thickness, inclination, this also can influence in the adoption of incorrect postures and propitiate muscle-skeletal disorders. That said it is noteworthy that one of the disorders that commonly arise is carpal tunnel syndrome, this tunnel is located on the wrist and consists of eight bones (figure I) and form the structure of the</w:t>
      </w:r>
      <w:r>
        <w:rPr>
          <w:spacing w:val="-9"/>
          <w:sz w:val="18"/>
        </w:rPr>
        <w:t> </w:t>
      </w:r>
      <w:r>
        <w:rPr>
          <w:sz w:val="18"/>
        </w:rPr>
        <w:t>tunnel.</w:t>
      </w:r>
    </w:p>
    <w:p>
      <w:pPr>
        <w:pStyle w:val="BodyText"/>
        <w:rPr>
          <w:sz w:val="18"/>
        </w:rPr>
      </w:pPr>
    </w:p>
    <w:p>
      <w:pPr>
        <w:spacing w:before="0"/>
        <w:ind w:left="270" w:right="678" w:firstLine="432"/>
        <w:jc w:val="both"/>
        <w:rPr>
          <w:sz w:val="18"/>
        </w:rPr>
      </w:pPr>
      <w:r>
        <w:rPr>
          <w:sz w:val="18"/>
        </w:rPr>
        <w:t>The consequences of this disorder is inflammation of the tendons in the carpal tunnel, causing numbness and pain in the arm. The pain may increase such that can cause the inability of people to do their jobs. The ergonomic keyboard came to increase the productivity, reduce the fatigue and discomfort in the user.</w:t>
      </w:r>
    </w:p>
    <w:p>
      <w:pPr>
        <w:pStyle w:val="BodyText"/>
        <w:rPr>
          <w:sz w:val="15"/>
        </w:rPr>
      </w:pPr>
      <w:r>
        <w:rPr/>
        <w:drawing>
          <wp:anchor distT="0" distB="0" distL="0" distR="0" allowOverlap="1" layoutInCell="1" locked="0" behindDoc="0" simplePos="0" relativeHeight="2032">
            <wp:simplePos x="0" y="0"/>
            <wp:positionH relativeFrom="page">
              <wp:posOffset>4422647</wp:posOffset>
            </wp:positionH>
            <wp:positionV relativeFrom="paragraph">
              <wp:posOffset>134533</wp:posOffset>
            </wp:positionV>
            <wp:extent cx="2425736" cy="1960816"/>
            <wp:effectExtent l="0" t="0" r="0" b="0"/>
            <wp:wrapTopAndBottom/>
            <wp:docPr id="35" name="image25.jpeg" descr=""/>
            <wp:cNvGraphicFramePr>
              <a:graphicFrameLocks noChangeAspect="1"/>
            </wp:cNvGraphicFramePr>
            <a:graphic>
              <a:graphicData uri="http://schemas.openxmlformats.org/drawingml/2006/picture">
                <pic:pic>
                  <pic:nvPicPr>
                    <pic:cNvPr id="36" name="image25.jpeg"/>
                    <pic:cNvPicPr/>
                  </pic:nvPicPr>
                  <pic:blipFill>
                    <a:blip r:embed="rId75" cstate="print"/>
                    <a:stretch>
                      <a:fillRect/>
                    </a:stretch>
                  </pic:blipFill>
                  <pic:spPr>
                    <a:xfrm>
                      <a:off x="0" y="0"/>
                      <a:ext cx="2425736" cy="1960816"/>
                    </a:xfrm>
                    <a:prstGeom prst="rect">
                      <a:avLst/>
                    </a:prstGeom>
                  </pic:spPr>
                </pic:pic>
              </a:graphicData>
            </a:graphic>
          </wp:anchor>
        </w:drawing>
      </w:r>
    </w:p>
    <w:p>
      <w:pPr>
        <w:spacing w:before="0"/>
        <w:ind w:left="1761" w:right="712" w:hanging="1440"/>
        <w:jc w:val="left"/>
        <w:rPr>
          <w:sz w:val="18"/>
        </w:rPr>
      </w:pPr>
      <w:r>
        <w:rPr>
          <w:sz w:val="18"/>
        </w:rPr>
        <w:t>Figure 1: Carpal Tunnel Syndrome (Source: </w:t>
      </w:r>
      <w:r>
        <w:rPr>
          <w:i/>
          <w:sz w:val="18"/>
        </w:rPr>
        <w:t>Centro de Innovación </w:t>
      </w:r>
      <w:r>
        <w:rPr>
          <w:i/>
          <w:sz w:val="18"/>
        </w:rPr>
        <w:t>y Desarrollo Tecnológico</w:t>
      </w:r>
      <w:r>
        <w:rPr>
          <w:sz w:val="18"/>
        </w:rPr>
        <w:t>)</w:t>
      </w:r>
    </w:p>
    <w:p>
      <w:pPr>
        <w:spacing w:before="0"/>
        <w:ind w:left="270" w:right="0" w:firstLine="0"/>
        <w:jc w:val="both"/>
        <w:rPr>
          <w:sz w:val="18"/>
        </w:rPr>
      </w:pPr>
      <w:r>
        <w:rPr>
          <w:sz w:val="18"/>
        </w:rPr>
        <w:t>Other types of disorders related to these tools are:</w:t>
      </w:r>
    </w:p>
    <w:p>
      <w:pPr>
        <w:pStyle w:val="BodyText"/>
        <w:spacing w:before="10"/>
        <w:rPr>
          <w:sz w:val="17"/>
        </w:rPr>
      </w:pPr>
    </w:p>
    <w:p>
      <w:pPr>
        <w:spacing w:before="0"/>
        <w:ind w:left="270" w:right="678" w:firstLine="0"/>
        <w:jc w:val="both"/>
        <w:rPr>
          <w:sz w:val="18"/>
        </w:rPr>
      </w:pPr>
      <w:r>
        <w:rPr/>
        <w:pict>
          <v:shape style="position:absolute;margin-left:316.799988pt;margin-top:20.941448pt;width:256.05pt;height:106.05pt;mso-position-horizontal-relative:page;mso-position-vertical-relative:paragraph;z-index:2104"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32"/>
                    <w:gridCol w:w="2974"/>
                  </w:tblGrid>
                  <w:tr>
                    <w:trPr>
                      <w:trHeight w:val="425" w:hRule="exact"/>
                    </w:trPr>
                    <w:tc>
                      <w:tcPr>
                        <w:tcW w:w="2132" w:type="dxa"/>
                      </w:tcPr>
                      <w:p>
                        <w:pPr>
                          <w:pStyle w:val="TableParagraph"/>
                          <w:ind w:left="103" w:right="140"/>
                          <w:rPr>
                            <w:b/>
                            <w:sz w:val="18"/>
                          </w:rPr>
                        </w:pPr>
                        <w:r>
                          <w:rPr>
                            <w:b/>
                            <w:sz w:val="18"/>
                          </w:rPr>
                          <w:t>Disorder</w:t>
                        </w:r>
                      </w:p>
                    </w:tc>
                    <w:tc>
                      <w:tcPr>
                        <w:tcW w:w="2974" w:type="dxa"/>
                      </w:tcPr>
                      <w:p>
                        <w:pPr>
                          <w:pStyle w:val="TableParagraph"/>
                          <w:ind w:left="103" w:right="786"/>
                          <w:rPr>
                            <w:b/>
                            <w:sz w:val="18"/>
                          </w:rPr>
                        </w:pPr>
                        <w:r>
                          <w:rPr>
                            <w:b/>
                            <w:sz w:val="18"/>
                          </w:rPr>
                          <w:t>Factors responsible for the disorder.</w:t>
                        </w:r>
                      </w:p>
                    </w:tc>
                  </w:tr>
                  <w:tr>
                    <w:trPr>
                      <w:trHeight w:val="424" w:hRule="exact"/>
                    </w:trPr>
                    <w:tc>
                      <w:tcPr>
                        <w:tcW w:w="2132" w:type="dxa"/>
                      </w:tcPr>
                      <w:p>
                        <w:pPr>
                          <w:pStyle w:val="TableParagraph"/>
                          <w:spacing w:line="202" w:lineRule="exact"/>
                          <w:ind w:left="103" w:right="140"/>
                          <w:rPr>
                            <w:sz w:val="18"/>
                          </w:rPr>
                        </w:pPr>
                        <w:r>
                          <w:rPr>
                            <w:sz w:val="18"/>
                          </w:rPr>
                          <w:t>Epicondylitis</w:t>
                        </w:r>
                      </w:p>
                    </w:tc>
                    <w:tc>
                      <w:tcPr>
                        <w:tcW w:w="2974" w:type="dxa"/>
                      </w:tcPr>
                      <w:p>
                        <w:pPr>
                          <w:pStyle w:val="TableParagraph"/>
                          <w:ind w:left="103" w:right="313" w:hanging="2"/>
                          <w:rPr>
                            <w:sz w:val="18"/>
                          </w:rPr>
                        </w:pPr>
                        <w:r>
                          <w:rPr>
                            <w:sz w:val="18"/>
                          </w:rPr>
                          <w:t>Internal rotation radial deviation of the wrist.</w:t>
                        </w:r>
                      </w:p>
                    </w:tc>
                  </w:tr>
                  <w:tr>
                    <w:trPr>
                      <w:trHeight w:val="1045" w:hRule="exact"/>
                    </w:trPr>
                    <w:tc>
                      <w:tcPr>
                        <w:tcW w:w="2132" w:type="dxa"/>
                      </w:tcPr>
                      <w:p>
                        <w:pPr>
                          <w:pStyle w:val="TableParagraph"/>
                          <w:spacing w:line="202" w:lineRule="exact"/>
                          <w:ind w:left="103" w:right="140"/>
                          <w:rPr>
                            <w:sz w:val="18"/>
                          </w:rPr>
                        </w:pPr>
                        <w:r>
                          <w:rPr>
                            <w:sz w:val="18"/>
                          </w:rPr>
                          <w:t>Ganglionares quistes.</w:t>
                        </w:r>
                      </w:p>
                    </w:tc>
                    <w:tc>
                      <w:tcPr>
                        <w:tcW w:w="2974" w:type="dxa"/>
                      </w:tcPr>
                      <w:p>
                        <w:pPr>
                          <w:pStyle w:val="TableParagraph"/>
                          <w:ind w:left="103" w:right="306"/>
                          <w:rPr>
                            <w:sz w:val="18"/>
                          </w:rPr>
                        </w:pPr>
                        <w:r>
                          <w:rPr>
                            <w:sz w:val="18"/>
                          </w:rPr>
                          <w:t>Unaccustomed to use the tendon or joint.</w:t>
                        </w:r>
                      </w:p>
                      <w:p>
                        <w:pPr>
                          <w:pStyle w:val="TableParagraph"/>
                          <w:ind w:left="103" w:right="741"/>
                          <w:rPr>
                            <w:sz w:val="18"/>
                          </w:rPr>
                        </w:pPr>
                        <w:r>
                          <w:rPr>
                            <w:sz w:val="18"/>
                          </w:rPr>
                          <w:t>Repeated manipulations with extended wrist.</w:t>
                        </w:r>
                      </w:p>
                      <w:p>
                        <w:pPr>
                          <w:pStyle w:val="TableParagraph"/>
                          <w:spacing w:line="206" w:lineRule="exact"/>
                          <w:ind w:left="103" w:right="313"/>
                          <w:rPr>
                            <w:sz w:val="18"/>
                          </w:rPr>
                        </w:pPr>
                        <w:r>
                          <w:rPr>
                            <w:sz w:val="18"/>
                          </w:rPr>
                          <w:t>Repeated twisting of the wrist.</w:t>
                        </w:r>
                      </w:p>
                    </w:tc>
                  </w:tr>
                  <w:tr>
                    <w:trPr>
                      <w:trHeight w:val="217" w:hRule="exact"/>
                    </w:trPr>
                    <w:tc>
                      <w:tcPr>
                        <w:tcW w:w="2132" w:type="dxa"/>
                      </w:tcPr>
                      <w:p>
                        <w:pPr>
                          <w:pStyle w:val="TableParagraph"/>
                          <w:spacing w:line="202" w:lineRule="exact"/>
                          <w:ind w:left="103" w:right="140"/>
                          <w:rPr>
                            <w:sz w:val="18"/>
                          </w:rPr>
                        </w:pPr>
                        <w:r>
                          <w:rPr>
                            <w:sz w:val="18"/>
                          </w:rPr>
                          <w:t>Neuritis of the fingers</w:t>
                        </w:r>
                      </w:p>
                    </w:tc>
                    <w:tc>
                      <w:tcPr>
                        <w:tcW w:w="2974" w:type="dxa"/>
                      </w:tcPr>
                      <w:p>
                        <w:pPr>
                          <w:pStyle w:val="TableParagraph"/>
                          <w:spacing w:line="202" w:lineRule="exact"/>
                          <w:ind w:left="104"/>
                          <w:rPr>
                            <w:sz w:val="18"/>
                          </w:rPr>
                        </w:pPr>
                        <w:r>
                          <w:rPr>
                            <w:sz w:val="18"/>
                          </w:rPr>
                          <w:t>Contact of hand tools on the nerve in</w:t>
                        </w:r>
                      </w:p>
                    </w:tc>
                  </w:tr>
                </w:tbl>
                <w:p>
                  <w:pPr>
                    <w:pStyle w:val="BodyText"/>
                  </w:pPr>
                </w:p>
              </w:txbxContent>
            </v:textbox>
            <w10:wrap type="none"/>
          </v:shape>
        </w:pict>
      </w:r>
      <w:r>
        <w:rPr>
          <w:sz w:val="18"/>
        </w:rPr>
        <w:t>Table 1: Cumulative disorders that are related to the hands and arms.</w:t>
      </w:r>
    </w:p>
    <w:p>
      <w:pPr>
        <w:spacing w:after="0"/>
        <w:jc w:val="both"/>
        <w:rPr>
          <w:sz w:val="18"/>
        </w:rPr>
        <w:sectPr>
          <w:type w:val="continuous"/>
          <w:pgSz w:w="12240" w:h="15840"/>
          <w:pgMar w:top="1500" w:bottom="280" w:left="580" w:right="220"/>
          <w:cols w:num="2" w:equalWidth="0">
            <w:col w:w="5182" w:space="416"/>
            <w:col w:w="5842"/>
          </w:cols>
        </w:sectPr>
      </w:pPr>
    </w:p>
    <w:p>
      <w:pPr>
        <w:pStyle w:val="BodyText"/>
        <w:spacing w:before="11"/>
        <w:rPr>
          <w:sz w:val="28"/>
        </w:rPr>
      </w:pPr>
    </w:p>
    <w:p>
      <w:pPr>
        <w:spacing w:after="0"/>
        <w:rPr>
          <w:sz w:val="28"/>
        </w:rPr>
        <w:sectPr>
          <w:pgSz w:w="12240" w:h="15840"/>
          <w:pgMar w:header="545" w:footer="852" w:top="1060" w:bottom="1040" w:left="580" w:right="220"/>
        </w:sectPr>
      </w:pPr>
    </w:p>
    <w:p>
      <w:pPr>
        <w:pStyle w:val="BodyText"/>
        <w:rPr>
          <w:sz w:val="18"/>
        </w:rPr>
      </w:pPr>
    </w:p>
    <w:p>
      <w:pPr>
        <w:pStyle w:val="BodyText"/>
        <w:rPr>
          <w:sz w:val="18"/>
        </w:rPr>
      </w:pPr>
    </w:p>
    <w:p>
      <w:pPr>
        <w:pStyle w:val="BodyText"/>
        <w:rPr>
          <w:sz w:val="18"/>
        </w:rPr>
      </w:pPr>
    </w:p>
    <w:p>
      <w:pPr>
        <w:spacing w:before="107"/>
        <w:ind w:left="686" w:right="115" w:firstLine="0"/>
        <w:jc w:val="left"/>
        <w:rPr>
          <w:i/>
          <w:sz w:val="18"/>
        </w:rPr>
      </w:pPr>
      <w:r>
        <w:rPr/>
        <w:pict>
          <v:shape style="position:absolute;margin-left:36.900002pt;margin-top:-37.307667pt;width:256.05pt;height:42.9pt;mso-position-horizontal-relative:page;mso-position-vertical-relative:paragraph;z-index:2176"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32"/>
                    <w:gridCol w:w="2974"/>
                  </w:tblGrid>
                  <w:tr>
                    <w:trPr>
                      <w:trHeight w:val="424" w:hRule="exact"/>
                    </w:trPr>
                    <w:tc>
                      <w:tcPr>
                        <w:tcW w:w="2132" w:type="dxa"/>
                      </w:tcPr>
                      <w:p>
                        <w:pPr/>
                      </w:p>
                    </w:tc>
                    <w:tc>
                      <w:tcPr>
                        <w:tcW w:w="2974" w:type="dxa"/>
                      </w:tcPr>
                      <w:p>
                        <w:pPr>
                          <w:pStyle w:val="TableParagraph"/>
                          <w:ind w:left="103" w:right="371"/>
                          <w:rPr>
                            <w:sz w:val="18"/>
                          </w:rPr>
                        </w:pPr>
                        <w:r>
                          <w:rPr>
                            <w:sz w:val="18"/>
                          </w:rPr>
                          <w:t>the palm of the hand or side of the fingers.</w:t>
                        </w:r>
                      </w:p>
                    </w:tc>
                  </w:tr>
                  <w:tr>
                    <w:trPr>
                      <w:trHeight w:val="425" w:hRule="exact"/>
                    </w:trPr>
                    <w:tc>
                      <w:tcPr>
                        <w:tcW w:w="2132" w:type="dxa"/>
                      </w:tcPr>
                      <w:p>
                        <w:pPr>
                          <w:pStyle w:val="TableParagraph"/>
                          <w:ind w:left="103" w:right="140"/>
                          <w:rPr>
                            <w:sz w:val="18"/>
                          </w:rPr>
                        </w:pPr>
                        <w:r>
                          <w:rPr>
                            <w:sz w:val="18"/>
                          </w:rPr>
                          <w:t>Tenosynovitis in extensor tendons of the fingers.</w:t>
                        </w:r>
                      </w:p>
                    </w:tc>
                    <w:tc>
                      <w:tcPr>
                        <w:tcW w:w="2974" w:type="dxa"/>
                      </w:tcPr>
                      <w:p>
                        <w:pPr>
                          <w:pStyle w:val="TableParagraph"/>
                          <w:spacing w:line="202" w:lineRule="exact"/>
                          <w:ind w:left="103" w:right="313"/>
                          <w:rPr>
                            <w:sz w:val="18"/>
                          </w:rPr>
                        </w:pPr>
                        <w:r>
                          <w:rPr>
                            <w:sz w:val="18"/>
                          </w:rPr>
                          <w:t>Efforts with the flexed wrist.</w:t>
                        </w:r>
                      </w:p>
                    </w:tc>
                  </w:tr>
                </w:tbl>
                <w:p>
                  <w:pPr>
                    <w:pStyle w:val="BodyText"/>
                  </w:pPr>
                </w:p>
              </w:txbxContent>
            </v:textbox>
            <w10:wrap type="none"/>
          </v:shape>
        </w:pict>
      </w:r>
      <w:r>
        <w:rPr>
          <w:sz w:val="18"/>
        </w:rPr>
        <w:t>Source: </w:t>
      </w:r>
      <w:r>
        <w:rPr>
          <w:i/>
          <w:sz w:val="18"/>
        </w:rPr>
        <w:t>Centro de Innovación y Desarrollo Tecnológico</w:t>
      </w:r>
    </w:p>
    <w:p>
      <w:pPr>
        <w:pStyle w:val="BodyText"/>
        <w:spacing w:before="3"/>
        <w:rPr>
          <w:i/>
          <w:sz w:val="18"/>
        </w:rPr>
      </w:pPr>
    </w:p>
    <w:p>
      <w:pPr>
        <w:pStyle w:val="ListParagraph"/>
        <w:numPr>
          <w:ilvl w:val="1"/>
          <w:numId w:val="21"/>
        </w:numPr>
        <w:tabs>
          <w:tab w:pos="543" w:val="left" w:leader="none"/>
        </w:tabs>
        <w:spacing w:line="240" w:lineRule="auto" w:before="0" w:after="0"/>
        <w:ind w:left="542" w:right="0" w:hanging="272"/>
        <w:jc w:val="both"/>
        <w:rPr>
          <w:b/>
          <w:sz w:val="18"/>
        </w:rPr>
      </w:pPr>
      <w:r>
        <w:rPr>
          <w:b/>
          <w:sz w:val="18"/>
        </w:rPr>
        <w:t>General</w:t>
      </w:r>
      <w:r>
        <w:rPr>
          <w:b/>
          <w:spacing w:val="-9"/>
          <w:sz w:val="18"/>
        </w:rPr>
        <w:t> </w:t>
      </w:r>
      <w:r>
        <w:rPr>
          <w:b/>
          <w:sz w:val="18"/>
        </w:rPr>
        <w:t>objective</w:t>
      </w:r>
    </w:p>
    <w:p>
      <w:pPr>
        <w:pStyle w:val="BodyText"/>
        <w:spacing w:before="7"/>
        <w:rPr>
          <w:b/>
          <w:sz w:val="17"/>
        </w:rPr>
      </w:pPr>
    </w:p>
    <w:p>
      <w:pPr>
        <w:spacing w:before="1"/>
        <w:ind w:left="270" w:right="1" w:firstLine="0"/>
        <w:jc w:val="both"/>
        <w:rPr>
          <w:sz w:val="18"/>
        </w:rPr>
      </w:pPr>
      <w:r>
        <w:rPr>
          <w:sz w:val="18"/>
        </w:rPr>
        <w:t>Design of a prototype keyboard and mouse ergonomic to help prevent problems caused by the use of conventional keyboard and mouse (avoiding awkward postures of hands and wrists), also seeks the prototype can match the needs and suits people with  disabilities.</w:t>
      </w:r>
    </w:p>
    <w:p>
      <w:pPr>
        <w:pStyle w:val="BodyText"/>
        <w:rPr>
          <w:sz w:val="18"/>
        </w:rPr>
      </w:pPr>
    </w:p>
    <w:p>
      <w:pPr>
        <w:spacing w:before="0"/>
        <w:ind w:left="270" w:right="1" w:firstLine="567"/>
        <w:jc w:val="both"/>
        <w:rPr>
          <w:sz w:val="18"/>
        </w:rPr>
      </w:pPr>
      <w:r>
        <w:rPr>
          <w:sz w:val="18"/>
        </w:rPr>
        <w:t>That the features of the prototype provides a convenient means in their use, making hands, wrists and forearms be placed in a relaxed position, and minimize injury risk over time, and must also meet the needs of users with disabilities (who suffer from blindness, blindness, etc.).</w:t>
      </w:r>
    </w:p>
    <w:p>
      <w:pPr>
        <w:pStyle w:val="BodyText"/>
        <w:rPr>
          <w:sz w:val="18"/>
        </w:rPr>
      </w:pPr>
    </w:p>
    <w:p>
      <w:pPr>
        <w:spacing w:before="0"/>
        <w:ind w:left="270" w:right="0" w:firstLine="567"/>
        <w:jc w:val="both"/>
        <w:rPr>
          <w:sz w:val="18"/>
        </w:rPr>
      </w:pPr>
      <w:r>
        <w:rPr>
          <w:sz w:val="18"/>
        </w:rPr>
        <w:t>As it is a prototype, the use of it is delimited to responsible persons of the investigation.</w:t>
      </w:r>
    </w:p>
    <w:p>
      <w:pPr>
        <w:pStyle w:val="BodyText"/>
        <w:spacing w:before="3"/>
        <w:rPr>
          <w:sz w:val="18"/>
        </w:rPr>
      </w:pPr>
    </w:p>
    <w:p>
      <w:pPr>
        <w:pStyle w:val="ListParagraph"/>
        <w:numPr>
          <w:ilvl w:val="1"/>
          <w:numId w:val="21"/>
        </w:numPr>
        <w:tabs>
          <w:tab w:pos="542" w:val="left" w:leader="none"/>
        </w:tabs>
        <w:spacing w:line="240" w:lineRule="auto" w:before="0" w:after="0"/>
        <w:ind w:left="541" w:right="0" w:hanging="271"/>
        <w:jc w:val="both"/>
        <w:rPr>
          <w:b/>
          <w:sz w:val="18"/>
        </w:rPr>
      </w:pPr>
      <w:r>
        <w:rPr>
          <w:b/>
          <w:sz w:val="18"/>
        </w:rPr>
        <w:t>Ergonomics</w:t>
      </w:r>
    </w:p>
    <w:p>
      <w:pPr>
        <w:pStyle w:val="BodyText"/>
        <w:spacing w:before="7"/>
        <w:rPr>
          <w:b/>
          <w:sz w:val="17"/>
        </w:rPr>
      </w:pPr>
    </w:p>
    <w:p>
      <w:pPr>
        <w:spacing w:before="1"/>
        <w:ind w:left="270" w:right="1" w:firstLine="0"/>
        <w:jc w:val="both"/>
        <w:rPr>
          <w:sz w:val="18"/>
        </w:rPr>
      </w:pPr>
      <w:r>
        <w:rPr>
          <w:sz w:val="18"/>
        </w:rPr>
        <w:t>Is the scientific discipline interested in understanding of the interaction between humans and the elements of a system; and the profession that applies theory, principles, data and methods to design in order to optimize human well-being and overall system performance. International Ergonomics Association (2000) [1].</w:t>
      </w:r>
    </w:p>
    <w:p>
      <w:pPr>
        <w:pStyle w:val="BodyText"/>
        <w:spacing w:before="3"/>
        <w:rPr>
          <w:sz w:val="18"/>
        </w:rPr>
      </w:pPr>
    </w:p>
    <w:p>
      <w:pPr>
        <w:pStyle w:val="ListParagraph"/>
        <w:numPr>
          <w:ilvl w:val="1"/>
          <w:numId w:val="21"/>
        </w:numPr>
        <w:tabs>
          <w:tab w:pos="541" w:val="left" w:leader="none"/>
        </w:tabs>
        <w:spacing w:line="240" w:lineRule="auto" w:before="0" w:after="0"/>
        <w:ind w:left="541" w:right="0" w:hanging="271"/>
        <w:jc w:val="both"/>
        <w:rPr>
          <w:b/>
          <w:sz w:val="18"/>
        </w:rPr>
      </w:pPr>
      <w:r>
        <w:rPr>
          <w:b/>
          <w:sz w:val="18"/>
        </w:rPr>
        <w:t>Ergonomic</w:t>
      </w:r>
      <w:r>
        <w:rPr>
          <w:b/>
          <w:spacing w:val="-17"/>
          <w:sz w:val="18"/>
        </w:rPr>
        <w:t> </w:t>
      </w:r>
      <w:r>
        <w:rPr>
          <w:b/>
          <w:sz w:val="18"/>
        </w:rPr>
        <w:t>Adjustments</w:t>
      </w:r>
    </w:p>
    <w:p>
      <w:pPr>
        <w:pStyle w:val="BodyText"/>
        <w:spacing w:before="7"/>
        <w:rPr>
          <w:b/>
          <w:sz w:val="17"/>
        </w:rPr>
      </w:pPr>
    </w:p>
    <w:p>
      <w:pPr>
        <w:spacing w:before="1"/>
        <w:ind w:left="270" w:right="1" w:firstLine="0"/>
        <w:jc w:val="both"/>
        <w:rPr>
          <w:sz w:val="18"/>
        </w:rPr>
      </w:pPr>
      <w:r>
        <w:rPr>
          <w:sz w:val="18"/>
        </w:rPr>
        <w:t>These can be of different types, such as anatomical adaptations, biomechanical, psychological, psychosocial, and obviously anthropometric. All of these are important but the measures anthropometrical are of particular relevant as they are the basis on which you can achieve physiological and biomechanical adaptations. (Prado, Ávila y Herrera 2005) [2].</w:t>
      </w:r>
    </w:p>
    <w:p>
      <w:pPr>
        <w:pStyle w:val="BodyText"/>
        <w:rPr>
          <w:sz w:val="18"/>
        </w:rPr>
      </w:pPr>
    </w:p>
    <w:p>
      <w:pPr>
        <w:spacing w:before="0"/>
        <w:ind w:left="270" w:right="0" w:firstLine="567"/>
        <w:jc w:val="both"/>
        <w:rPr>
          <w:sz w:val="18"/>
        </w:rPr>
      </w:pPr>
      <w:r>
        <w:rPr>
          <w:sz w:val="18"/>
        </w:rPr>
        <w:t>Adequacy Anthropometric: Are optimal relationship between the physical dimensions of an object (height, width, depth, and so on.) and the dimensions (structural or functional) of the  parts of the user´s body that come in direct contact during system operation</w:t>
      </w:r>
      <w:r>
        <w:rPr>
          <w:spacing w:val="-2"/>
          <w:sz w:val="18"/>
        </w:rPr>
        <w:t> </w:t>
      </w:r>
      <w:r>
        <w:rPr>
          <w:sz w:val="18"/>
        </w:rPr>
        <w:t>[2].</w:t>
      </w:r>
    </w:p>
    <w:p>
      <w:pPr>
        <w:pStyle w:val="BodyText"/>
        <w:spacing w:before="3"/>
        <w:rPr>
          <w:sz w:val="18"/>
        </w:rPr>
      </w:pPr>
    </w:p>
    <w:p>
      <w:pPr>
        <w:pStyle w:val="ListParagraph"/>
        <w:numPr>
          <w:ilvl w:val="1"/>
          <w:numId w:val="22"/>
        </w:numPr>
        <w:tabs>
          <w:tab w:pos="542" w:val="left" w:leader="none"/>
        </w:tabs>
        <w:spacing w:line="240" w:lineRule="auto" w:before="0" w:after="0"/>
        <w:ind w:left="541" w:right="0" w:hanging="271"/>
        <w:jc w:val="both"/>
        <w:rPr>
          <w:b/>
          <w:sz w:val="18"/>
        </w:rPr>
      </w:pPr>
      <w:r>
        <w:rPr>
          <w:b/>
          <w:sz w:val="18"/>
        </w:rPr>
        <w:t>Anthropometry</w:t>
      </w:r>
    </w:p>
    <w:p>
      <w:pPr>
        <w:pStyle w:val="BodyText"/>
        <w:spacing w:before="7"/>
        <w:rPr>
          <w:b/>
          <w:sz w:val="17"/>
        </w:rPr>
      </w:pPr>
    </w:p>
    <w:p>
      <w:pPr>
        <w:spacing w:before="1"/>
        <w:ind w:left="270" w:right="1" w:firstLine="0"/>
        <w:jc w:val="both"/>
        <w:rPr>
          <w:sz w:val="18"/>
        </w:rPr>
      </w:pPr>
      <w:r>
        <w:rPr>
          <w:sz w:val="18"/>
        </w:rPr>
        <w:t>Science of measuring of the human body, generally, uses a lot of similar devices to the calipers to measure the structural dimensions, for example, the height and the length of the forearm [3].</w:t>
      </w:r>
    </w:p>
    <w:p>
      <w:pPr>
        <w:pStyle w:val="BodyText"/>
        <w:spacing w:before="3"/>
        <w:rPr>
          <w:sz w:val="18"/>
        </w:rPr>
      </w:pPr>
    </w:p>
    <w:p>
      <w:pPr>
        <w:pStyle w:val="ListParagraph"/>
        <w:numPr>
          <w:ilvl w:val="1"/>
          <w:numId w:val="22"/>
        </w:numPr>
        <w:tabs>
          <w:tab w:pos="542" w:val="left" w:leader="none"/>
        </w:tabs>
        <w:spacing w:line="240" w:lineRule="auto" w:before="0" w:after="0"/>
        <w:ind w:left="541" w:right="0" w:hanging="271"/>
        <w:jc w:val="both"/>
        <w:rPr>
          <w:b/>
          <w:sz w:val="18"/>
        </w:rPr>
      </w:pPr>
      <w:r>
        <w:rPr>
          <w:b/>
          <w:sz w:val="18"/>
        </w:rPr>
        <w:t>Muscle-skeletal</w:t>
      </w:r>
      <w:r>
        <w:rPr>
          <w:b/>
          <w:spacing w:val="-15"/>
          <w:sz w:val="18"/>
        </w:rPr>
        <w:t> </w:t>
      </w:r>
      <w:r>
        <w:rPr>
          <w:b/>
          <w:sz w:val="18"/>
        </w:rPr>
        <w:t>disorders</w:t>
      </w:r>
    </w:p>
    <w:p>
      <w:pPr>
        <w:pStyle w:val="BodyText"/>
        <w:spacing w:before="7"/>
        <w:rPr>
          <w:b/>
          <w:sz w:val="17"/>
        </w:rPr>
      </w:pPr>
    </w:p>
    <w:p>
      <w:pPr>
        <w:spacing w:before="1"/>
        <w:ind w:left="270" w:right="0" w:firstLine="0"/>
        <w:jc w:val="both"/>
        <w:rPr>
          <w:sz w:val="18"/>
        </w:rPr>
      </w:pPr>
      <w:r>
        <w:rPr>
          <w:sz w:val="18"/>
        </w:rPr>
        <w:t>These are a set of inflammatory or degenerative lesions of muscles, tendons, joints, ligaments, nerves, etc. The most common locations are found in the neck, back, shoulders, elbows, wrists and hands. The most common diagnoses are tendinitis, tenosynovitis, carpal tunnel syndrome, myalgia, cervical pain, back pain, etc. The predominant symptom is pain associated with inflammation, loss of strength and decrease or functional impairment of the anatomical area affected [5].</w:t>
      </w:r>
    </w:p>
    <w:p>
      <w:pPr>
        <w:pStyle w:val="BodyText"/>
        <w:spacing w:before="3"/>
        <w:rPr>
          <w:sz w:val="18"/>
        </w:rPr>
      </w:pPr>
    </w:p>
    <w:p>
      <w:pPr>
        <w:pStyle w:val="ListParagraph"/>
        <w:numPr>
          <w:ilvl w:val="1"/>
          <w:numId w:val="22"/>
        </w:numPr>
        <w:tabs>
          <w:tab w:pos="542" w:val="left" w:leader="none"/>
        </w:tabs>
        <w:spacing w:line="240" w:lineRule="auto" w:before="0" w:after="0"/>
        <w:ind w:left="541" w:right="0" w:hanging="271"/>
        <w:jc w:val="both"/>
        <w:rPr>
          <w:b/>
          <w:sz w:val="18"/>
        </w:rPr>
      </w:pPr>
      <w:r>
        <w:rPr>
          <w:b/>
          <w:sz w:val="18"/>
        </w:rPr>
        <w:t>Ergonomic</w:t>
      </w:r>
      <w:r>
        <w:rPr>
          <w:b/>
          <w:spacing w:val="-15"/>
          <w:sz w:val="18"/>
        </w:rPr>
        <w:t> </w:t>
      </w:r>
      <w:r>
        <w:rPr>
          <w:b/>
          <w:sz w:val="18"/>
        </w:rPr>
        <w:t>keyboard</w:t>
      </w:r>
    </w:p>
    <w:p>
      <w:pPr>
        <w:spacing w:before="76"/>
        <w:ind w:left="270" w:right="678" w:firstLine="0"/>
        <w:jc w:val="both"/>
        <w:rPr>
          <w:sz w:val="18"/>
        </w:rPr>
      </w:pPr>
      <w:r>
        <w:rPr/>
        <w:br w:type="column"/>
      </w:r>
      <w:r>
        <w:rPr>
          <w:sz w:val="18"/>
        </w:rPr>
        <w:t>Those keyboards can improve the user's posture and help minimize the risk of Muscle-skeletal injury. Some keyboards are divided to enhance the natural position of the hands, wrists and arm [5].</w:t>
      </w:r>
    </w:p>
    <w:p>
      <w:pPr>
        <w:pStyle w:val="BodyText"/>
        <w:rPr>
          <w:sz w:val="15"/>
        </w:rPr>
      </w:pPr>
      <w:r>
        <w:rPr/>
        <w:drawing>
          <wp:anchor distT="0" distB="0" distL="0" distR="0" allowOverlap="1" layoutInCell="1" locked="0" behindDoc="0" simplePos="0" relativeHeight="2128">
            <wp:simplePos x="0" y="0"/>
            <wp:positionH relativeFrom="page">
              <wp:posOffset>4179570</wp:posOffset>
            </wp:positionH>
            <wp:positionV relativeFrom="paragraph">
              <wp:posOffset>134522</wp:posOffset>
            </wp:positionV>
            <wp:extent cx="2927855" cy="1816607"/>
            <wp:effectExtent l="0" t="0" r="0" b="0"/>
            <wp:wrapTopAndBottom/>
            <wp:docPr id="37" name="image26.jpeg" descr=""/>
            <wp:cNvGraphicFramePr>
              <a:graphicFrameLocks noChangeAspect="1"/>
            </wp:cNvGraphicFramePr>
            <a:graphic>
              <a:graphicData uri="http://schemas.openxmlformats.org/drawingml/2006/picture">
                <pic:pic>
                  <pic:nvPicPr>
                    <pic:cNvPr id="38" name="image26.jpeg"/>
                    <pic:cNvPicPr/>
                  </pic:nvPicPr>
                  <pic:blipFill>
                    <a:blip r:embed="rId76" cstate="print"/>
                    <a:stretch>
                      <a:fillRect/>
                    </a:stretch>
                  </pic:blipFill>
                  <pic:spPr>
                    <a:xfrm>
                      <a:off x="0" y="0"/>
                      <a:ext cx="2927855" cy="1816607"/>
                    </a:xfrm>
                    <a:prstGeom prst="rect">
                      <a:avLst/>
                    </a:prstGeom>
                  </pic:spPr>
                </pic:pic>
              </a:graphicData>
            </a:graphic>
          </wp:anchor>
        </w:drawing>
      </w:r>
    </w:p>
    <w:p>
      <w:pPr>
        <w:spacing w:before="0"/>
        <w:ind w:left="2308" w:right="748" w:hanging="1953"/>
        <w:jc w:val="left"/>
        <w:rPr>
          <w:sz w:val="18"/>
        </w:rPr>
      </w:pPr>
      <w:r>
        <w:rPr>
          <w:sz w:val="18"/>
        </w:rPr>
        <w:t>Figure 2: Postures office workers which usually adopted (Source: Microsoft).</w:t>
      </w:r>
    </w:p>
    <w:p>
      <w:pPr>
        <w:pStyle w:val="BodyText"/>
        <w:rPr>
          <w:sz w:val="18"/>
        </w:rPr>
      </w:pPr>
    </w:p>
    <w:p>
      <w:pPr>
        <w:pStyle w:val="BodyText"/>
        <w:rPr>
          <w:sz w:val="18"/>
        </w:rPr>
      </w:pPr>
    </w:p>
    <w:p>
      <w:pPr>
        <w:pStyle w:val="BodyText"/>
        <w:rPr>
          <w:sz w:val="18"/>
        </w:rPr>
      </w:pPr>
    </w:p>
    <w:p>
      <w:pPr>
        <w:pStyle w:val="BodyText"/>
        <w:spacing w:before="4"/>
        <w:rPr>
          <w:sz w:val="18"/>
        </w:rPr>
      </w:pPr>
    </w:p>
    <w:p>
      <w:pPr>
        <w:pStyle w:val="ListParagraph"/>
        <w:numPr>
          <w:ilvl w:val="1"/>
          <w:numId w:val="22"/>
        </w:numPr>
        <w:tabs>
          <w:tab w:pos="542" w:val="left" w:leader="none"/>
        </w:tabs>
        <w:spacing w:line="240" w:lineRule="auto" w:before="0" w:after="0"/>
        <w:ind w:left="541" w:right="0" w:hanging="271"/>
        <w:jc w:val="both"/>
        <w:rPr>
          <w:b/>
          <w:sz w:val="18"/>
        </w:rPr>
      </w:pPr>
      <w:r>
        <w:rPr>
          <w:b/>
          <w:sz w:val="18"/>
        </w:rPr>
        <w:t>Ergonomic</w:t>
      </w:r>
      <w:r>
        <w:rPr>
          <w:b/>
          <w:spacing w:val="-1"/>
          <w:sz w:val="18"/>
        </w:rPr>
        <w:t> </w:t>
      </w:r>
      <w:r>
        <w:rPr>
          <w:b/>
          <w:sz w:val="18"/>
        </w:rPr>
        <w:t>Mouse</w:t>
      </w:r>
    </w:p>
    <w:p>
      <w:pPr>
        <w:pStyle w:val="BodyText"/>
        <w:spacing w:before="7"/>
        <w:rPr>
          <w:b/>
          <w:sz w:val="17"/>
        </w:rPr>
      </w:pPr>
    </w:p>
    <w:p>
      <w:pPr>
        <w:spacing w:before="1"/>
        <w:ind w:left="270" w:right="678" w:firstLine="0"/>
        <w:jc w:val="both"/>
        <w:rPr>
          <w:sz w:val="18"/>
        </w:rPr>
      </w:pPr>
      <w:r>
        <w:rPr>
          <w:sz w:val="18"/>
        </w:rPr>
        <w:t>It is the tool with which we can control the pointer into our computer, its shape and size should be comfortable to have the hands in a natural position [5].</w:t>
      </w:r>
    </w:p>
    <w:p>
      <w:pPr>
        <w:pStyle w:val="BodyText"/>
        <w:spacing w:before="10"/>
        <w:rPr>
          <w:sz w:val="14"/>
        </w:rPr>
      </w:pPr>
      <w:r>
        <w:rPr/>
        <w:drawing>
          <wp:anchor distT="0" distB="0" distL="0" distR="0" allowOverlap="1" layoutInCell="1" locked="0" behindDoc="0" simplePos="0" relativeHeight="2152">
            <wp:simplePos x="0" y="0"/>
            <wp:positionH relativeFrom="page">
              <wp:posOffset>4094988</wp:posOffset>
            </wp:positionH>
            <wp:positionV relativeFrom="paragraph">
              <wp:posOffset>133768</wp:posOffset>
            </wp:positionV>
            <wp:extent cx="3102085" cy="1554479"/>
            <wp:effectExtent l="0" t="0" r="0" b="0"/>
            <wp:wrapTopAndBottom/>
            <wp:docPr id="39" name="image27.jpeg" descr=""/>
            <wp:cNvGraphicFramePr>
              <a:graphicFrameLocks noChangeAspect="1"/>
            </wp:cNvGraphicFramePr>
            <a:graphic>
              <a:graphicData uri="http://schemas.openxmlformats.org/drawingml/2006/picture">
                <pic:pic>
                  <pic:nvPicPr>
                    <pic:cNvPr id="40" name="image27.jpeg"/>
                    <pic:cNvPicPr/>
                  </pic:nvPicPr>
                  <pic:blipFill>
                    <a:blip r:embed="rId77" cstate="print"/>
                    <a:stretch>
                      <a:fillRect/>
                    </a:stretch>
                  </pic:blipFill>
                  <pic:spPr>
                    <a:xfrm>
                      <a:off x="0" y="0"/>
                      <a:ext cx="3102085" cy="1554479"/>
                    </a:xfrm>
                    <a:prstGeom prst="rect">
                      <a:avLst/>
                    </a:prstGeom>
                  </pic:spPr>
                </pic:pic>
              </a:graphicData>
            </a:graphic>
          </wp:anchor>
        </w:drawing>
      </w:r>
    </w:p>
    <w:p>
      <w:pPr>
        <w:pStyle w:val="BodyText"/>
        <w:spacing w:before="6"/>
        <w:rPr>
          <w:sz w:val="14"/>
        </w:rPr>
      </w:pPr>
    </w:p>
    <w:p>
      <w:pPr>
        <w:spacing w:before="0"/>
        <w:ind w:left="270" w:right="0" w:firstLine="34"/>
        <w:jc w:val="both"/>
        <w:rPr>
          <w:sz w:val="18"/>
        </w:rPr>
      </w:pPr>
      <w:r>
        <w:rPr>
          <w:sz w:val="18"/>
        </w:rPr>
        <w:t>Figure 3: Representation of ergonomic mouse (Source: Microsoft).</w:t>
      </w:r>
    </w:p>
    <w:p>
      <w:pPr>
        <w:pStyle w:val="BodyText"/>
        <w:rPr>
          <w:sz w:val="18"/>
        </w:rPr>
      </w:pPr>
    </w:p>
    <w:p>
      <w:pPr>
        <w:spacing w:before="0"/>
        <w:ind w:left="270" w:right="677" w:firstLine="0"/>
        <w:jc w:val="both"/>
        <w:rPr>
          <w:sz w:val="18"/>
        </w:rPr>
      </w:pPr>
      <w:r>
        <w:rPr>
          <w:sz w:val="18"/>
        </w:rPr>
        <w:t>There are different designs mouse, and research on the most comfortable. The touch mouse, functions like touch panel of a laptop and help perform more functions into handling the computer [5].</w:t>
      </w:r>
    </w:p>
    <w:p>
      <w:pPr>
        <w:pStyle w:val="BodyText"/>
        <w:spacing w:before="3"/>
        <w:rPr>
          <w:sz w:val="18"/>
        </w:rPr>
      </w:pPr>
    </w:p>
    <w:p>
      <w:pPr>
        <w:pStyle w:val="ListParagraph"/>
        <w:numPr>
          <w:ilvl w:val="0"/>
          <w:numId w:val="20"/>
        </w:numPr>
        <w:tabs>
          <w:tab w:pos="452" w:val="left" w:leader="none"/>
        </w:tabs>
        <w:spacing w:line="240" w:lineRule="auto" w:before="0" w:after="0"/>
        <w:ind w:left="451" w:right="0" w:hanging="181"/>
        <w:jc w:val="both"/>
        <w:rPr>
          <w:b/>
          <w:sz w:val="18"/>
        </w:rPr>
      </w:pPr>
      <w:r>
        <w:rPr>
          <w:b/>
          <w:sz w:val="18"/>
        </w:rPr>
        <w:t>Methodology</w:t>
      </w:r>
    </w:p>
    <w:p>
      <w:pPr>
        <w:pStyle w:val="BodyText"/>
        <w:rPr>
          <w:b/>
          <w:sz w:val="18"/>
        </w:rPr>
      </w:pPr>
    </w:p>
    <w:p>
      <w:pPr>
        <w:pStyle w:val="ListParagraph"/>
        <w:numPr>
          <w:ilvl w:val="1"/>
          <w:numId w:val="20"/>
        </w:numPr>
        <w:tabs>
          <w:tab w:pos="542" w:val="left" w:leader="none"/>
        </w:tabs>
        <w:spacing w:line="240" w:lineRule="auto" w:before="0" w:after="0"/>
        <w:ind w:left="541" w:right="0" w:hanging="271"/>
        <w:jc w:val="both"/>
        <w:rPr>
          <w:b/>
          <w:sz w:val="18"/>
        </w:rPr>
      </w:pPr>
      <w:r>
        <w:rPr>
          <w:b/>
          <w:sz w:val="18"/>
        </w:rPr>
        <w:t>Design of the</w:t>
      </w:r>
      <w:r>
        <w:rPr>
          <w:b/>
          <w:spacing w:val="-1"/>
          <w:sz w:val="18"/>
        </w:rPr>
        <w:t> </w:t>
      </w:r>
      <w:r>
        <w:rPr>
          <w:b/>
          <w:sz w:val="18"/>
        </w:rPr>
        <w:t>keyboard.</w:t>
      </w:r>
    </w:p>
    <w:p>
      <w:pPr>
        <w:pStyle w:val="BodyText"/>
        <w:spacing w:before="7"/>
        <w:rPr>
          <w:b/>
          <w:sz w:val="17"/>
        </w:rPr>
      </w:pPr>
    </w:p>
    <w:p>
      <w:pPr>
        <w:spacing w:before="1"/>
        <w:ind w:left="270" w:right="679" w:firstLine="0"/>
        <w:jc w:val="both"/>
        <w:rPr>
          <w:sz w:val="18"/>
        </w:rPr>
      </w:pPr>
      <w:r>
        <w:rPr>
          <w:sz w:val="18"/>
        </w:rPr>
        <w:t>The most recent and current research on ergonomic keyboards are based on their ergonomic design, which facilitates the work done  on them, and reduces the risk of injury by using of</w:t>
      </w:r>
      <w:r>
        <w:rPr>
          <w:spacing w:val="-18"/>
          <w:sz w:val="18"/>
        </w:rPr>
        <w:t> </w:t>
      </w:r>
      <w:r>
        <w:rPr>
          <w:sz w:val="18"/>
        </w:rPr>
        <w:t>them.</w:t>
      </w:r>
    </w:p>
    <w:p>
      <w:pPr>
        <w:pStyle w:val="BodyText"/>
        <w:rPr>
          <w:sz w:val="18"/>
        </w:rPr>
      </w:pPr>
    </w:p>
    <w:p>
      <w:pPr>
        <w:spacing w:before="0"/>
        <w:ind w:left="270" w:right="677" w:firstLine="567"/>
        <w:jc w:val="both"/>
        <w:rPr>
          <w:sz w:val="18"/>
        </w:rPr>
      </w:pPr>
      <w:r>
        <w:rPr>
          <w:sz w:val="18"/>
        </w:rPr>
        <w:t>The most keyboards use the QWERTY distribution on your keys, this design help you type faster typing using both hands equally. Below are just some of the keyboards that served as reference for the formulation of what we call State of the art.</w:t>
      </w:r>
    </w:p>
    <w:p>
      <w:pPr>
        <w:spacing w:after="0"/>
        <w:jc w:val="both"/>
        <w:rPr>
          <w:sz w:val="18"/>
        </w:rPr>
        <w:sectPr>
          <w:type w:val="continuous"/>
          <w:pgSz w:w="12240" w:h="15840"/>
          <w:pgMar w:top="1500" w:bottom="280" w:left="580" w:right="220"/>
          <w:cols w:num="2" w:equalWidth="0">
            <w:col w:w="5163" w:space="435"/>
            <w:col w:w="5842"/>
          </w:cols>
        </w:sectPr>
      </w:pPr>
    </w:p>
    <w:p>
      <w:pPr>
        <w:pStyle w:val="BodyText"/>
        <w:spacing w:before="1"/>
        <w:rPr>
          <w:sz w:val="18"/>
        </w:rPr>
      </w:pPr>
    </w:p>
    <w:p>
      <w:pPr>
        <w:pStyle w:val="BodyText"/>
        <w:ind w:left="270"/>
      </w:pPr>
      <w:r>
        <w:rPr/>
        <w:drawing>
          <wp:inline distT="0" distB="0" distL="0" distR="0">
            <wp:extent cx="3044587" cy="913828"/>
            <wp:effectExtent l="0" t="0" r="0" b="0"/>
            <wp:docPr id="41" name="image28.png" descr=""/>
            <wp:cNvGraphicFramePr>
              <a:graphicFrameLocks noChangeAspect="1"/>
            </wp:cNvGraphicFramePr>
            <a:graphic>
              <a:graphicData uri="http://schemas.openxmlformats.org/drawingml/2006/picture">
                <pic:pic>
                  <pic:nvPicPr>
                    <pic:cNvPr id="42" name="image28.png"/>
                    <pic:cNvPicPr/>
                  </pic:nvPicPr>
                  <pic:blipFill>
                    <a:blip r:embed="rId78" cstate="print"/>
                    <a:stretch>
                      <a:fillRect/>
                    </a:stretch>
                  </pic:blipFill>
                  <pic:spPr>
                    <a:xfrm>
                      <a:off x="0" y="0"/>
                      <a:ext cx="3044587" cy="913828"/>
                    </a:xfrm>
                    <a:prstGeom prst="rect">
                      <a:avLst/>
                    </a:prstGeom>
                  </pic:spPr>
                </pic:pic>
              </a:graphicData>
            </a:graphic>
          </wp:inline>
        </w:drawing>
      </w:r>
      <w:r>
        <w:rPr/>
      </w:r>
    </w:p>
    <w:p>
      <w:pPr>
        <w:spacing w:before="8"/>
        <w:ind w:left="280" w:right="11" w:firstLine="0"/>
        <w:jc w:val="center"/>
        <w:rPr>
          <w:sz w:val="18"/>
        </w:rPr>
      </w:pPr>
      <w:r>
        <w:rPr>
          <w:sz w:val="18"/>
        </w:rPr>
        <w:t>Figure 4: Representation of QWERTY keyboard.</w:t>
      </w:r>
    </w:p>
    <w:p>
      <w:pPr>
        <w:pStyle w:val="BodyText"/>
        <w:rPr>
          <w:sz w:val="18"/>
        </w:rPr>
      </w:pPr>
    </w:p>
    <w:p>
      <w:pPr>
        <w:spacing w:before="0"/>
        <w:ind w:left="270" w:right="115" w:firstLine="567"/>
        <w:jc w:val="left"/>
        <w:rPr>
          <w:sz w:val="18"/>
        </w:rPr>
      </w:pPr>
      <w:r>
        <w:rPr>
          <w:sz w:val="18"/>
        </w:rPr>
        <w:t>The Sculp ergonomic keyboard is an example of an alternative design of a fixed keypad.</w:t>
      </w:r>
    </w:p>
    <w:p>
      <w:pPr>
        <w:pStyle w:val="BodyText"/>
        <w:rPr>
          <w:sz w:val="15"/>
        </w:rPr>
      </w:pPr>
      <w:r>
        <w:rPr/>
        <w:drawing>
          <wp:anchor distT="0" distB="0" distL="0" distR="0" allowOverlap="1" layoutInCell="1" locked="0" behindDoc="0" simplePos="0" relativeHeight="2200">
            <wp:simplePos x="0" y="0"/>
            <wp:positionH relativeFrom="page">
              <wp:posOffset>540258</wp:posOffset>
            </wp:positionH>
            <wp:positionV relativeFrom="paragraph">
              <wp:posOffset>134526</wp:posOffset>
            </wp:positionV>
            <wp:extent cx="2685963" cy="2051113"/>
            <wp:effectExtent l="0" t="0" r="0" b="0"/>
            <wp:wrapTopAndBottom/>
            <wp:docPr id="43" name="image29.jpeg" descr=""/>
            <wp:cNvGraphicFramePr>
              <a:graphicFrameLocks noChangeAspect="1"/>
            </wp:cNvGraphicFramePr>
            <a:graphic>
              <a:graphicData uri="http://schemas.openxmlformats.org/drawingml/2006/picture">
                <pic:pic>
                  <pic:nvPicPr>
                    <pic:cNvPr id="44" name="image29.jpeg"/>
                    <pic:cNvPicPr/>
                  </pic:nvPicPr>
                  <pic:blipFill>
                    <a:blip r:embed="rId79" cstate="print"/>
                    <a:stretch>
                      <a:fillRect/>
                    </a:stretch>
                  </pic:blipFill>
                  <pic:spPr>
                    <a:xfrm>
                      <a:off x="0" y="0"/>
                      <a:ext cx="2685963" cy="2051113"/>
                    </a:xfrm>
                    <a:prstGeom prst="rect">
                      <a:avLst/>
                    </a:prstGeom>
                  </pic:spPr>
                </pic:pic>
              </a:graphicData>
            </a:graphic>
          </wp:anchor>
        </w:drawing>
      </w:r>
    </w:p>
    <w:p>
      <w:pPr>
        <w:spacing w:before="0"/>
        <w:ind w:left="281" w:right="9" w:firstLine="0"/>
        <w:jc w:val="center"/>
        <w:rPr>
          <w:sz w:val="18"/>
        </w:rPr>
      </w:pPr>
      <w:r>
        <w:rPr>
          <w:sz w:val="18"/>
        </w:rPr>
        <w:t>Figure 5: Representation of Sculp ergonomic keyboard (Source: Microsoft).</w:t>
      </w:r>
    </w:p>
    <w:p>
      <w:pPr>
        <w:pStyle w:val="BodyText"/>
      </w:pPr>
    </w:p>
    <w:p>
      <w:pPr>
        <w:pStyle w:val="BodyText"/>
        <w:spacing w:before="11"/>
        <w:rPr>
          <w:sz w:val="12"/>
        </w:rPr>
      </w:pPr>
      <w:r>
        <w:rPr/>
        <w:drawing>
          <wp:anchor distT="0" distB="0" distL="0" distR="0" allowOverlap="1" layoutInCell="1" locked="0" behindDoc="0" simplePos="0" relativeHeight="2224">
            <wp:simplePos x="0" y="0"/>
            <wp:positionH relativeFrom="page">
              <wp:posOffset>540258</wp:posOffset>
            </wp:positionH>
            <wp:positionV relativeFrom="paragraph">
              <wp:posOffset>119560</wp:posOffset>
            </wp:positionV>
            <wp:extent cx="2970030" cy="1787652"/>
            <wp:effectExtent l="0" t="0" r="0" b="0"/>
            <wp:wrapTopAndBottom/>
            <wp:docPr id="45" name="image30.jpeg" descr=""/>
            <wp:cNvGraphicFramePr>
              <a:graphicFrameLocks noChangeAspect="1"/>
            </wp:cNvGraphicFramePr>
            <a:graphic>
              <a:graphicData uri="http://schemas.openxmlformats.org/drawingml/2006/picture">
                <pic:pic>
                  <pic:nvPicPr>
                    <pic:cNvPr id="46" name="image30.jpeg"/>
                    <pic:cNvPicPr/>
                  </pic:nvPicPr>
                  <pic:blipFill>
                    <a:blip r:embed="rId80" cstate="print"/>
                    <a:stretch>
                      <a:fillRect/>
                    </a:stretch>
                  </pic:blipFill>
                  <pic:spPr>
                    <a:xfrm>
                      <a:off x="0" y="0"/>
                      <a:ext cx="2970030" cy="1787652"/>
                    </a:xfrm>
                    <a:prstGeom prst="rect">
                      <a:avLst/>
                    </a:prstGeom>
                  </pic:spPr>
                </pic:pic>
              </a:graphicData>
            </a:graphic>
          </wp:anchor>
        </w:drawing>
      </w:r>
    </w:p>
    <w:p>
      <w:pPr>
        <w:spacing w:before="0"/>
        <w:ind w:left="280" w:right="11" w:firstLine="0"/>
        <w:jc w:val="center"/>
        <w:rPr>
          <w:sz w:val="18"/>
        </w:rPr>
      </w:pPr>
      <w:r>
        <w:rPr>
          <w:sz w:val="18"/>
        </w:rPr>
        <w:t>Figure 6: Adjustable ergonomic keyboard (Source: Microsoft).</w:t>
      </w:r>
    </w:p>
    <w:p>
      <w:pPr>
        <w:pStyle w:val="BodyText"/>
        <w:rPr>
          <w:sz w:val="18"/>
        </w:rPr>
      </w:pPr>
    </w:p>
    <w:p>
      <w:pPr>
        <w:spacing w:before="0"/>
        <w:ind w:left="838" w:right="115" w:firstLine="0"/>
        <w:jc w:val="left"/>
        <w:rPr>
          <w:sz w:val="18"/>
        </w:rPr>
      </w:pPr>
      <w:r>
        <w:rPr>
          <w:sz w:val="18"/>
        </w:rPr>
        <w:t>Keyboard more familiar with comfort curve:</w:t>
      </w:r>
    </w:p>
    <w:p>
      <w:pPr>
        <w:pStyle w:val="BodyText"/>
        <w:rPr>
          <w:sz w:val="15"/>
        </w:rPr>
      </w:pPr>
      <w:r>
        <w:rPr/>
        <w:drawing>
          <wp:anchor distT="0" distB="0" distL="0" distR="0" allowOverlap="1" layoutInCell="1" locked="0" behindDoc="0" simplePos="0" relativeHeight="2248">
            <wp:simplePos x="0" y="0"/>
            <wp:positionH relativeFrom="page">
              <wp:posOffset>540258</wp:posOffset>
            </wp:positionH>
            <wp:positionV relativeFrom="paragraph">
              <wp:posOffset>134528</wp:posOffset>
            </wp:positionV>
            <wp:extent cx="3062429" cy="1577340"/>
            <wp:effectExtent l="0" t="0" r="0" b="0"/>
            <wp:wrapTopAndBottom/>
            <wp:docPr id="47" name="image31.jpeg" descr=""/>
            <wp:cNvGraphicFramePr>
              <a:graphicFrameLocks noChangeAspect="1"/>
            </wp:cNvGraphicFramePr>
            <a:graphic>
              <a:graphicData uri="http://schemas.openxmlformats.org/drawingml/2006/picture">
                <pic:pic>
                  <pic:nvPicPr>
                    <pic:cNvPr id="48" name="image31.jpeg"/>
                    <pic:cNvPicPr/>
                  </pic:nvPicPr>
                  <pic:blipFill>
                    <a:blip r:embed="rId81" cstate="print"/>
                    <a:stretch>
                      <a:fillRect/>
                    </a:stretch>
                  </pic:blipFill>
                  <pic:spPr>
                    <a:xfrm>
                      <a:off x="0" y="0"/>
                      <a:ext cx="3062429" cy="1577340"/>
                    </a:xfrm>
                    <a:prstGeom prst="rect">
                      <a:avLst/>
                    </a:prstGeom>
                  </pic:spPr>
                </pic:pic>
              </a:graphicData>
            </a:graphic>
          </wp:anchor>
        </w:drawing>
      </w:r>
    </w:p>
    <w:p>
      <w:pPr>
        <w:spacing w:before="0"/>
        <w:ind w:left="280" w:right="11" w:firstLine="0"/>
        <w:jc w:val="center"/>
        <w:rPr>
          <w:sz w:val="18"/>
        </w:rPr>
      </w:pPr>
      <w:r>
        <w:rPr>
          <w:sz w:val="18"/>
        </w:rPr>
        <w:t>Figure 7: The comfort curve keyboard 3000 (Source: Microsoft).</w:t>
      </w:r>
    </w:p>
    <w:p>
      <w:pPr>
        <w:pStyle w:val="BodyText"/>
        <w:spacing w:before="11"/>
        <w:rPr>
          <w:sz w:val="17"/>
        </w:rPr>
      </w:pPr>
      <w:r>
        <w:rPr/>
        <w:br w:type="column"/>
      </w:r>
      <w:r>
        <w:rPr>
          <w:sz w:val="17"/>
        </w:rPr>
      </w:r>
    </w:p>
    <w:p>
      <w:pPr>
        <w:pStyle w:val="ListParagraph"/>
        <w:numPr>
          <w:ilvl w:val="1"/>
          <w:numId w:val="20"/>
        </w:numPr>
        <w:tabs>
          <w:tab w:pos="542" w:val="left" w:leader="none"/>
        </w:tabs>
        <w:spacing w:line="240" w:lineRule="auto" w:before="0" w:after="0"/>
        <w:ind w:left="541" w:right="0" w:hanging="271"/>
        <w:jc w:val="both"/>
        <w:rPr>
          <w:b/>
          <w:sz w:val="18"/>
        </w:rPr>
      </w:pPr>
      <w:r>
        <w:rPr>
          <w:b/>
          <w:sz w:val="18"/>
        </w:rPr>
        <w:t>Formulation of keyboard</w:t>
      </w:r>
      <w:r>
        <w:rPr>
          <w:b/>
          <w:spacing w:val="-6"/>
          <w:sz w:val="18"/>
        </w:rPr>
        <w:t> </w:t>
      </w:r>
      <w:r>
        <w:rPr>
          <w:b/>
          <w:sz w:val="18"/>
        </w:rPr>
        <w:t>prototype.</w:t>
      </w:r>
    </w:p>
    <w:p>
      <w:pPr>
        <w:pStyle w:val="BodyText"/>
        <w:spacing w:before="7"/>
        <w:rPr>
          <w:b/>
          <w:sz w:val="17"/>
        </w:rPr>
      </w:pPr>
    </w:p>
    <w:p>
      <w:pPr>
        <w:spacing w:before="1"/>
        <w:ind w:left="270" w:right="678" w:firstLine="0"/>
        <w:jc w:val="both"/>
        <w:rPr>
          <w:sz w:val="18"/>
        </w:rPr>
      </w:pPr>
      <w:r>
        <w:rPr>
          <w:sz w:val="18"/>
        </w:rPr>
        <w:t>To begin with the design of the prototype were required anthropometric percentils, originally proposed to refer to the 50th percentile for the design, finally was opted for the creation of a dynamic prototype that vary in range, from the 5th percentile to the 95th percentile with effect to do it more inclusive, that present  more convenience for the user and adapt to</w:t>
      </w:r>
      <w:r>
        <w:rPr>
          <w:spacing w:val="-11"/>
          <w:sz w:val="18"/>
        </w:rPr>
        <w:t> </w:t>
      </w:r>
      <w:r>
        <w:rPr>
          <w:sz w:val="18"/>
        </w:rPr>
        <w:t>him.</w:t>
      </w:r>
    </w:p>
    <w:p>
      <w:pPr>
        <w:pStyle w:val="BodyText"/>
        <w:rPr>
          <w:sz w:val="18"/>
        </w:rPr>
      </w:pPr>
    </w:p>
    <w:p>
      <w:pPr>
        <w:spacing w:before="0"/>
        <w:ind w:left="270" w:right="679" w:firstLine="567"/>
        <w:jc w:val="both"/>
        <w:rPr>
          <w:sz w:val="18"/>
        </w:rPr>
      </w:pPr>
      <w:r>
        <w:rPr>
          <w:sz w:val="18"/>
        </w:rPr>
        <w:t>The following tables were collected from the book: Ergonomía Ocupacional Investigaciones y Aplicaciones. Vol. 3 y Vol.5. Published by the SEMAC.</w:t>
      </w:r>
    </w:p>
    <w:p>
      <w:pPr>
        <w:pStyle w:val="BodyText"/>
        <w:rPr>
          <w:sz w:val="18"/>
        </w:rPr>
      </w:pPr>
    </w:p>
    <w:p>
      <w:pPr>
        <w:spacing w:before="0"/>
        <w:ind w:left="270" w:right="0" w:firstLine="0"/>
        <w:jc w:val="both"/>
        <w:rPr>
          <w:sz w:val="18"/>
        </w:rPr>
      </w:pPr>
      <w:r>
        <w:rPr>
          <w:sz w:val="18"/>
        </w:rPr>
        <w:t>Table 2: Results from measures in positions sitting.</w:t>
      </w:r>
    </w:p>
    <w:p>
      <w:pPr>
        <w:pStyle w:val="BodyText"/>
        <w:ind w:left="374"/>
      </w:pPr>
      <w:r>
        <w:rPr/>
        <w:drawing>
          <wp:inline distT="0" distB="0" distL="0" distR="0">
            <wp:extent cx="2970133" cy="2128266"/>
            <wp:effectExtent l="0" t="0" r="0" b="0"/>
            <wp:docPr id="49" name="image32.jpeg" descr=""/>
            <wp:cNvGraphicFramePr>
              <a:graphicFrameLocks noChangeAspect="1"/>
            </wp:cNvGraphicFramePr>
            <a:graphic>
              <a:graphicData uri="http://schemas.openxmlformats.org/drawingml/2006/picture">
                <pic:pic>
                  <pic:nvPicPr>
                    <pic:cNvPr id="50" name="image32.jpeg"/>
                    <pic:cNvPicPr/>
                  </pic:nvPicPr>
                  <pic:blipFill>
                    <a:blip r:embed="rId82" cstate="print"/>
                    <a:stretch>
                      <a:fillRect/>
                    </a:stretch>
                  </pic:blipFill>
                  <pic:spPr>
                    <a:xfrm>
                      <a:off x="0" y="0"/>
                      <a:ext cx="2970133" cy="2128266"/>
                    </a:xfrm>
                    <a:prstGeom prst="rect">
                      <a:avLst/>
                    </a:prstGeom>
                  </pic:spPr>
                </pic:pic>
              </a:graphicData>
            </a:graphic>
          </wp:inline>
        </w:drawing>
      </w:r>
      <w:r>
        <w:rPr/>
      </w:r>
    </w:p>
    <w:p>
      <w:pPr>
        <w:pStyle w:val="BodyText"/>
        <w:spacing w:before="3"/>
        <w:rPr>
          <w:sz w:val="18"/>
        </w:rPr>
      </w:pPr>
    </w:p>
    <w:p>
      <w:pPr>
        <w:spacing w:before="0"/>
        <w:ind w:left="270" w:right="668" w:firstLine="0"/>
        <w:jc w:val="left"/>
        <w:rPr>
          <w:sz w:val="18"/>
        </w:rPr>
      </w:pPr>
      <w:r>
        <w:rPr>
          <w:sz w:val="18"/>
        </w:rPr>
        <w:t>Below are descriptions of the measures corresponding to the human hand are presented.</w:t>
      </w:r>
    </w:p>
    <w:p>
      <w:pPr>
        <w:pStyle w:val="BodyText"/>
        <w:spacing w:before="3"/>
        <w:rPr>
          <w:sz w:val="18"/>
        </w:rPr>
      </w:pPr>
    </w:p>
    <w:p>
      <w:pPr>
        <w:pStyle w:val="ListParagraph"/>
        <w:numPr>
          <w:ilvl w:val="1"/>
          <w:numId w:val="20"/>
        </w:numPr>
        <w:tabs>
          <w:tab w:pos="542" w:val="left" w:leader="none"/>
        </w:tabs>
        <w:spacing w:line="240" w:lineRule="auto" w:before="0" w:after="0"/>
        <w:ind w:left="541" w:right="0" w:hanging="271"/>
        <w:jc w:val="both"/>
        <w:rPr>
          <w:b/>
          <w:sz w:val="18"/>
        </w:rPr>
      </w:pPr>
      <w:r>
        <w:rPr>
          <w:b/>
          <w:sz w:val="18"/>
        </w:rPr>
        <w:t>Hand</w:t>
      </w:r>
      <w:r>
        <w:rPr>
          <w:b/>
          <w:spacing w:val="-8"/>
          <w:sz w:val="18"/>
        </w:rPr>
        <w:t> </w:t>
      </w:r>
      <w:r>
        <w:rPr>
          <w:b/>
          <w:sz w:val="18"/>
        </w:rPr>
        <w:t>length</w:t>
      </w:r>
    </w:p>
    <w:p>
      <w:pPr>
        <w:pStyle w:val="BodyText"/>
        <w:spacing w:before="7"/>
        <w:rPr>
          <w:b/>
          <w:sz w:val="17"/>
        </w:rPr>
      </w:pPr>
    </w:p>
    <w:p>
      <w:pPr>
        <w:spacing w:before="1"/>
        <w:ind w:left="270" w:right="668" w:firstLine="0"/>
        <w:jc w:val="left"/>
        <w:rPr>
          <w:sz w:val="18"/>
        </w:rPr>
      </w:pPr>
      <w:r>
        <w:rPr>
          <w:sz w:val="18"/>
        </w:rPr>
        <w:t>Is limited by the closest distance to the metacarpal region of the wrist bending, the apex of the middle finger (dactilion III).</w:t>
      </w:r>
    </w:p>
    <w:p>
      <w:pPr>
        <w:pStyle w:val="BodyText"/>
        <w:rPr>
          <w:sz w:val="15"/>
        </w:rPr>
      </w:pPr>
      <w:r>
        <w:rPr/>
        <w:drawing>
          <wp:anchor distT="0" distB="0" distL="0" distR="0" allowOverlap="1" layoutInCell="1" locked="0" behindDoc="0" simplePos="0" relativeHeight="2272">
            <wp:simplePos x="0" y="0"/>
            <wp:positionH relativeFrom="page">
              <wp:posOffset>4351782</wp:posOffset>
            </wp:positionH>
            <wp:positionV relativeFrom="paragraph">
              <wp:posOffset>134534</wp:posOffset>
            </wp:positionV>
            <wp:extent cx="2588275" cy="1200150"/>
            <wp:effectExtent l="0" t="0" r="0" b="0"/>
            <wp:wrapTopAndBottom/>
            <wp:docPr id="51" name="image33.jpeg" descr=""/>
            <wp:cNvGraphicFramePr>
              <a:graphicFrameLocks noChangeAspect="1"/>
            </wp:cNvGraphicFramePr>
            <a:graphic>
              <a:graphicData uri="http://schemas.openxmlformats.org/drawingml/2006/picture">
                <pic:pic>
                  <pic:nvPicPr>
                    <pic:cNvPr id="52" name="image33.jpeg"/>
                    <pic:cNvPicPr/>
                  </pic:nvPicPr>
                  <pic:blipFill>
                    <a:blip r:embed="rId83" cstate="print"/>
                    <a:stretch>
                      <a:fillRect/>
                    </a:stretch>
                  </pic:blipFill>
                  <pic:spPr>
                    <a:xfrm>
                      <a:off x="0" y="0"/>
                      <a:ext cx="2588275" cy="1200150"/>
                    </a:xfrm>
                    <a:prstGeom prst="rect">
                      <a:avLst/>
                    </a:prstGeom>
                  </pic:spPr>
                </pic:pic>
              </a:graphicData>
            </a:graphic>
          </wp:anchor>
        </w:drawing>
      </w:r>
    </w:p>
    <w:p>
      <w:pPr>
        <w:spacing w:before="0"/>
        <w:ind w:left="863" w:right="668" w:firstLine="0"/>
        <w:jc w:val="left"/>
        <w:rPr>
          <w:sz w:val="18"/>
        </w:rPr>
      </w:pPr>
      <w:r>
        <w:rPr>
          <w:sz w:val="18"/>
        </w:rPr>
        <w:t>Figure 8: Representation of measures Human hand.</w:t>
      </w:r>
    </w:p>
    <w:p>
      <w:pPr>
        <w:pStyle w:val="BodyText"/>
        <w:rPr>
          <w:sz w:val="18"/>
        </w:rPr>
      </w:pPr>
    </w:p>
    <w:p>
      <w:pPr>
        <w:spacing w:before="0"/>
        <w:ind w:left="270" w:right="678" w:firstLine="567"/>
        <w:jc w:val="both"/>
        <w:rPr>
          <w:sz w:val="18"/>
        </w:rPr>
      </w:pPr>
      <w:r>
        <w:rPr>
          <w:sz w:val="18"/>
        </w:rPr>
        <w:t>The next that shows are some of the percentiles of the hand measurements.</w:t>
      </w:r>
    </w:p>
    <w:p>
      <w:pPr>
        <w:pStyle w:val="BodyText"/>
        <w:rPr>
          <w:sz w:val="18"/>
        </w:rPr>
      </w:pPr>
    </w:p>
    <w:p>
      <w:pPr>
        <w:spacing w:before="0"/>
        <w:ind w:left="270" w:right="0" w:firstLine="0"/>
        <w:jc w:val="both"/>
        <w:rPr>
          <w:sz w:val="18"/>
        </w:rPr>
      </w:pPr>
      <w:r>
        <w:rPr>
          <w:sz w:val="18"/>
        </w:rPr>
        <w:t>Table 3: Results of the study in men 17-20 years of age (cm).</w:t>
      </w:r>
    </w:p>
    <w:tbl>
      <w:tblPr>
        <w:tblW w:w="0" w:type="auto"/>
        <w:jc w:val="left"/>
        <w:tblInd w:w="6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43"/>
        <w:gridCol w:w="764"/>
        <w:gridCol w:w="763"/>
        <w:gridCol w:w="764"/>
      </w:tblGrid>
      <w:tr>
        <w:trPr>
          <w:trHeight w:val="424" w:hRule="exact"/>
        </w:trPr>
        <w:tc>
          <w:tcPr>
            <w:tcW w:w="1843" w:type="dxa"/>
            <w:shd w:val="clear" w:color="auto" w:fill="599AD4"/>
          </w:tcPr>
          <w:p>
            <w:pPr>
              <w:pStyle w:val="TableParagraph"/>
              <w:spacing w:before="3"/>
              <w:ind w:left="66" w:right="558"/>
              <w:rPr>
                <w:b/>
                <w:sz w:val="18"/>
              </w:rPr>
            </w:pPr>
            <w:r>
              <w:rPr>
                <w:b/>
                <w:color w:val="FFFFFF"/>
                <w:sz w:val="18"/>
              </w:rPr>
              <w:t>Measurement’s description</w:t>
            </w:r>
          </w:p>
        </w:tc>
        <w:tc>
          <w:tcPr>
            <w:tcW w:w="764" w:type="dxa"/>
            <w:shd w:val="clear" w:color="auto" w:fill="599AD4"/>
          </w:tcPr>
          <w:p>
            <w:pPr>
              <w:pStyle w:val="TableParagraph"/>
              <w:spacing w:before="107"/>
              <w:ind w:left="108" w:right="108"/>
              <w:jc w:val="center"/>
              <w:rPr>
                <w:b/>
                <w:sz w:val="18"/>
              </w:rPr>
            </w:pPr>
            <w:r>
              <w:rPr>
                <w:b/>
                <w:color w:val="FFFFFF"/>
                <w:sz w:val="18"/>
              </w:rPr>
              <w:t>5%</w:t>
            </w:r>
          </w:p>
        </w:tc>
        <w:tc>
          <w:tcPr>
            <w:tcW w:w="763" w:type="dxa"/>
            <w:shd w:val="clear" w:color="auto" w:fill="599AD4"/>
          </w:tcPr>
          <w:p>
            <w:pPr>
              <w:pStyle w:val="TableParagraph"/>
              <w:spacing w:before="107"/>
              <w:ind w:left="196"/>
              <w:rPr>
                <w:b/>
                <w:sz w:val="18"/>
              </w:rPr>
            </w:pPr>
            <w:r>
              <w:rPr>
                <w:b/>
                <w:color w:val="FFFFFF"/>
                <w:sz w:val="18"/>
              </w:rPr>
              <w:t>50%</w:t>
            </w:r>
          </w:p>
        </w:tc>
        <w:tc>
          <w:tcPr>
            <w:tcW w:w="764" w:type="dxa"/>
            <w:shd w:val="clear" w:color="auto" w:fill="599AD4"/>
          </w:tcPr>
          <w:p>
            <w:pPr>
              <w:pStyle w:val="TableParagraph"/>
              <w:spacing w:before="107"/>
              <w:ind w:left="108" w:right="108"/>
              <w:jc w:val="center"/>
              <w:rPr>
                <w:b/>
                <w:sz w:val="18"/>
              </w:rPr>
            </w:pPr>
            <w:r>
              <w:rPr>
                <w:b/>
                <w:color w:val="FFFFFF"/>
                <w:sz w:val="18"/>
              </w:rPr>
              <w:t>100%</w:t>
            </w:r>
          </w:p>
        </w:tc>
      </w:tr>
      <w:tr>
        <w:trPr>
          <w:trHeight w:val="310" w:hRule="exact"/>
        </w:trPr>
        <w:tc>
          <w:tcPr>
            <w:tcW w:w="1843" w:type="dxa"/>
            <w:shd w:val="clear" w:color="auto" w:fill="DDEBF6"/>
          </w:tcPr>
          <w:p>
            <w:pPr>
              <w:pStyle w:val="TableParagraph"/>
              <w:spacing w:before="47"/>
              <w:ind w:left="66" w:right="558"/>
              <w:rPr>
                <w:sz w:val="18"/>
              </w:rPr>
            </w:pPr>
            <w:r>
              <w:rPr>
                <w:sz w:val="18"/>
              </w:rPr>
              <w:t>Hand length</w:t>
            </w:r>
          </w:p>
        </w:tc>
        <w:tc>
          <w:tcPr>
            <w:tcW w:w="764" w:type="dxa"/>
            <w:shd w:val="clear" w:color="auto" w:fill="DDEBF6"/>
          </w:tcPr>
          <w:p>
            <w:pPr>
              <w:pStyle w:val="TableParagraph"/>
              <w:spacing w:before="47"/>
              <w:ind w:left="108" w:right="108"/>
              <w:jc w:val="center"/>
              <w:rPr>
                <w:sz w:val="18"/>
              </w:rPr>
            </w:pPr>
            <w:r>
              <w:rPr>
                <w:sz w:val="18"/>
              </w:rPr>
              <w:t>15.673</w:t>
            </w:r>
          </w:p>
        </w:tc>
        <w:tc>
          <w:tcPr>
            <w:tcW w:w="763" w:type="dxa"/>
            <w:shd w:val="clear" w:color="auto" w:fill="DDEBF6"/>
          </w:tcPr>
          <w:p>
            <w:pPr>
              <w:pStyle w:val="TableParagraph"/>
              <w:spacing w:before="47"/>
              <w:ind w:left="129"/>
              <w:rPr>
                <w:sz w:val="18"/>
              </w:rPr>
            </w:pPr>
            <w:r>
              <w:rPr>
                <w:sz w:val="18"/>
              </w:rPr>
              <w:t>18.054</w:t>
            </w:r>
          </w:p>
        </w:tc>
        <w:tc>
          <w:tcPr>
            <w:tcW w:w="764" w:type="dxa"/>
            <w:shd w:val="clear" w:color="auto" w:fill="DDEBF6"/>
          </w:tcPr>
          <w:p>
            <w:pPr>
              <w:pStyle w:val="TableParagraph"/>
              <w:spacing w:before="47"/>
              <w:ind w:left="109" w:right="107"/>
              <w:jc w:val="center"/>
              <w:rPr>
                <w:sz w:val="18"/>
              </w:rPr>
            </w:pPr>
            <w:r>
              <w:rPr>
                <w:sz w:val="18"/>
              </w:rPr>
              <w:t>20.425</w:t>
            </w:r>
          </w:p>
        </w:tc>
      </w:tr>
      <w:tr>
        <w:trPr>
          <w:trHeight w:val="311" w:hRule="exact"/>
        </w:trPr>
        <w:tc>
          <w:tcPr>
            <w:tcW w:w="1843" w:type="dxa"/>
          </w:tcPr>
          <w:p>
            <w:pPr>
              <w:pStyle w:val="TableParagraph"/>
              <w:spacing w:before="47"/>
              <w:ind w:left="66"/>
              <w:rPr>
                <w:sz w:val="18"/>
              </w:rPr>
            </w:pPr>
            <w:r>
              <w:rPr>
                <w:sz w:val="18"/>
              </w:rPr>
              <w:t>Length of palm of hand</w:t>
            </w:r>
          </w:p>
        </w:tc>
        <w:tc>
          <w:tcPr>
            <w:tcW w:w="764" w:type="dxa"/>
          </w:tcPr>
          <w:p>
            <w:pPr>
              <w:pStyle w:val="TableParagraph"/>
              <w:spacing w:before="47"/>
              <w:ind w:left="108" w:right="108"/>
              <w:jc w:val="center"/>
              <w:rPr>
                <w:sz w:val="18"/>
              </w:rPr>
            </w:pPr>
            <w:r>
              <w:rPr>
                <w:sz w:val="18"/>
              </w:rPr>
              <w:t>8.6763</w:t>
            </w:r>
          </w:p>
        </w:tc>
        <w:tc>
          <w:tcPr>
            <w:tcW w:w="763" w:type="dxa"/>
          </w:tcPr>
          <w:p>
            <w:pPr>
              <w:pStyle w:val="TableParagraph"/>
              <w:spacing w:before="47"/>
              <w:ind w:left="129"/>
              <w:rPr>
                <w:sz w:val="18"/>
              </w:rPr>
            </w:pPr>
            <w:r>
              <w:rPr>
                <w:sz w:val="18"/>
              </w:rPr>
              <w:t>10.373</w:t>
            </w:r>
          </w:p>
        </w:tc>
        <w:tc>
          <w:tcPr>
            <w:tcW w:w="764" w:type="dxa"/>
          </w:tcPr>
          <w:p>
            <w:pPr>
              <w:pStyle w:val="TableParagraph"/>
              <w:spacing w:before="47"/>
              <w:ind w:left="108" w:right="108"/>
              <w:jc w:val="center"/>
              <w:rPr>
                <w:sz w:val="18"/>
              </w:rPr>
            </w:pPr>
            <w:r>
              <w:rPr>
                <w:sz w:val="18"/>
              </w:rPr>
              <w:t>12,07</w:t>
            </w:r>
          </w:p>
        </w:tc>
      </w:tr>
      <w:tr>
        <w:trPr>
          <w:trHeight w:val="310" w:hRule="exact"/>
        </w:trPr>
        <w:tc>
          <w:tcPr>
            <w:tcW w:w="1843" w:type="dxa"/>
            <w:shd w:val="clear" w:color="auto" w:fill="DDEBF6"/>
          </w:tcPr>
          <w:p>
            <w:pPr>
              <w:pStyle w:val="TableParagraph"/>
              <w:spacing w:before="47"/>
              <w:ind w:left="66"/>
              <w:rPr>
                <w:sz w:val="18"/>
              </w:rPr>
            </w:pPr>
            <w:r>
              <w:rPr>
                <w:sz w:val="18"/>
              </w:rPr>
              <w:t>Width of palm of hand</w:t>
            </w:r>
          </w:p>
        </w:tc>
        <w:tc>
          <w:tcPr>
            <w:tcW w:w="764" w:type="dxa"/>
            <w:shd w:val="clear" w:color="auto" w:fill="DDEBF6"/>
          </w:tcPr>
          <w:p>
            <w:pPr>
              <w:pStyle w:val="TableParagraph"/>
              <w:spacing w:before="47"/>
              <w:ind w:left="108" w:right="108"/>
              <w:jc w:val="center"/>
              <w:rPr>
                <w:sz w:val="18"/>
              </w:rPr>
            </w:pPr>
            <w:r>
              <w:rPr>
                <w:sz w:val="18"/>
              </w:rPr>
              <w:t>6.6558</w:t>
            </w:r>
          </w:p>
        </w:tc>
        <w:tc>
          <w:tcPr>
            <w:tcW w:w="763" w:type="dxa"/>
            <w:shd w:val="clear" w:color="auto" w:fill="DDEBF6"/>
          </w:tcPr>
          <w:p>
            <w:pPr>
              <w:pStyle w:val="TableParagraph"/>
              <w:spacing w:before="47"/>
              <w:ind w:left="129"/>
              <w:rPr>
                <w:sz w:val="18"/>
              </w:rPr>
            </w:pPr>
            <w:r>
              <w:rPr>
                <w:sz w:val="18"/>
              </w:rPr>
              <w:t>8.1094</w:t>
            </w:r>
          </w:p>
        </w:tc>
        <w:tc>
          <w:tcPr>
            <w:tcW w:w="764" w:type="dxa"/>
            <w:shd w:val="clear" w:color="auto" w:fill="DDEBF6"/>
          </w:tcPr>
          <w:p>
            <w:pPr>
              <w:pStyle w:val="TableParagraph"/>
              <w:spacing w:before="47"/>
              <w:ind w:left="109" w:right="107"/>
              <w:jc w:val="center"/>
              <w:rPr>
                <w:sz w:val="18"/>
              </w:rPr>
            </w:pPr>
            <w:r>
              <w:rPr>
                <w:sz w:val="18"/>
              </w:rPr>
              <w:t>9.5629</w:t>
            </w:r>
          </w:p>
        </w:tc>
      </w:tr>
    </w:tbl>
    <w:p>
      <w:pPr>
        <w:spacing w:before="0"/>
        <w:ind w:left="0" w:right="408" w:firstLine="0"/>
        <w:jc w:val="center"/>
        <w:rPr>
          <w:sz w:val="18"/>
        </w:rPr>
      </w:pPr>
      <w:r>
        <w:rPr/>
        <w:pict>
          <v:shape style="position:absolute;margin-left:341.070007pt;margin-top:10.622432pt;width:207.45pt;height:21.7pt;mso-position-horizontal-relative:page;mso-position-vertical-relative:paragraph;z-index:2296"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43"/>
                    <w:gridCol w:w="764"/>
                    <w:gridCol w:w="763"/>
                    <w:gridCol w:w="764"/>
                  </w:tblGrid>
                  <w:tr>
                    <w:trPr>
                      <w:trHeight w:val="424" w:hRule="exact"/>
                    </w:trPr>
                    <w:tc>
                      <w:tcPr>
                        <w:tcW w:w="1843" w:type="dxa"/>
                        <w:shd w:val="clear" w:color="auto" w:fill="599AD4"/>
                      </w:tcPr>
                      <w:p>
                        <w:pPr>
                          <w:pStyle w:val="TableParagraph"/>
                          <w:ind w:left="65" w:right="558"/>
                          <w:rPr>
                            <w:b/>
                            <w:sz w:val="18"/>
                          </w:rPr>
                        </w:pPr>
                        <w:r>
                          <w:rPr>
                            <w:b/>
                            <w:color w:val="FFFFFF"/>
                            <w:sz w:val="18"/>
                          </w:rPr>
                          <w:t>Measurement’s description</w:t>
                        </w:r>
                      </w:p>
                    </w:tc>
                    <w:tc>
                      <w:tcPr>
                        <w:tcW w:w="764" w:type="dxa"/>
                        <w:shd w:val="clear" w:color="auto" w:fill="599AD4"/>
                      </w:tcPr>
                      <w:p>
                        <w:pPr>
                          <w:pStyle w:val="TableParagraph"/>
                          <w:spacing w:before="102"/>
                          <w:ind w:left="241"/>
                          <w:rPr>
                            <w:b/>
                            <w:sz w:val="18"/>
                          </w:rPr>
                        </w:pPr>
                        <w:r>
                          <w:rPr>
                            <w:b/>
                            <w:color w:val="FFFFFF"/>
                            <w:sz w:val="18"/>
                          </w:rPr>
                          <w:t>5%</w:t>
                        </w:r>
                      </w:p>
                    </w:tc>
                    <w:tc>
                      <w:tcPr>
                        <w:tcW w:w="763" w:type="dxa"/>
                        <w:shd w:val="clear" w:color="auto" w:fill="599AD4"/>
                      </w:tcPr>
                      <w:p>
                        <w:pPr>
                          <w:pStyle w:val="TableParagraph"/>
                          <w:spacing w:before="102"/>
                          <w:ind w:left="196"/>
                          <w:rPr>
                            <w:b/>
                            <w:sz w:val="18"/>
                          </w:rPr>
                        </w:pPr>
                        <w:r>
                          <w:rPr>
                            <w:b/>
                            <w:color w:val="FFFFFF"/>
                            <w:sz w:val="18"/>
                          </w:rPr>
                          <w:t>50%</w:t>
                        </w:r>
                      </w:p>
                    </w:tc>
                    <w:tc>
                      <w:tcPr>
                        <w:tcW w:w="764" w:type="dxa"/>
                        <w:shd w:val="clear" w:color="auto" w:fill="599AD4"/>
                      </w:tcPr>
                      <w:p>
                        <w:pPr>
                          <w:pStyle w:val="TableParagraph"/>
                          <w:spacing w:before="102"/>
                          <w:ind w:left="152"/>
                          <w:rPr>
                            <w:b/>
                            <w:sz w:val="18"/>
                          </w:rPr>
                        </w:pPr>
                        <w:r>
                          <w:rPr>
                            <w:b/>
                            <w:color w:val="FFFFFF"/>
                            <w:sz w:val="18"/>
                          </w:rPr>
                          <w:t>100%</w:t>
                        </w:r>
                      </w:p>
                    </w:tc>
                  </w:tr>
                </w:tbl>
                <w:p>
                  <w:pPr>
                    <w:pStyle w:val="BodyText"/>
                  </w:pPr>
                </w:p>
              </w:txbxContent>
            </v:textbox>
            <w10:wrap type="none"/>
          </v:shape>
        </w:pict>
      </w:r>
      <w:r>
        <w:rPr>
          <w:sz w:val="18"/>
        </w:rPr>
        <w:t>Table 4: Results of the study of women 17-20 years old (cm).</w:t>
      </w:r>
    </w:p>
    <w:p>
      <w:pPr>
        <w:spacing w:after="0"/>
        <w:jc w:val="center"/>
        <w:rPr>
          <w:sz w:val="18"/>
        </w:rPr>
        <w:sectPr>
          <w:pgSz w:w="12240" w:h="15840"/>
          <w:pgMar w:header="545" w:footer="852" w:top="1060" w:bottom="1040" w:left="580" w:right="220"/>
          <w:cols w:num="2" w:equalWidth="0">
            <w:col w:w="5163" w:space="435"/>
            <w:col w:w="5842"/>
          </w:cols>
        </w:sectPr>
      </w:pPr>
    </w:p>
    <w:p>
      <w:pPr>
        <w:pStyle w:val="BodyText"/>
        <w:rPr>
          <w:sz w:val="11"/>
        </w:rPr>
      </w:pPr>
    </w:p>
    <w:p>
      <w:pPr>
        <w:spacing w:after="0"/>
        <w:rPr>
          <w:sz w:val="11"/>
        </w:rPr>
        <w:sectPr>
          <w:pgSz w:w="12240" w:h="15840"/>
          <w:pgMar w:header="545" w:footer="852" w:top="1060" w:bottom="1040" w:left="580" w:right="220"/>
        </w:sectPr>
      </w:pPr>
    </w:p>
    <w:p>
      <w:pPr>
        <w:pStyle w:val="BodyText"/>
        <w:spacing w:before="1"/>
        <w:rPr>
          <w:sz w:val="7"/>
        </w:rPr>
      </w:pPr>
    </w:p>
    <w:tbl>
      <w:tblPr>
        <w:tblW w:w="0" w:type="auto"/>
        <w:jc w:val="left"/>
        <w:tblInd w:w="6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43"/>
        <w:gridCol w:w="764"/>
        <w:gridCol w:w="763"/>
        <w:gridCol w:w="764"/>
      </w:tblGrid>
      <w:tr>
        <w:trPr>
          <w:trHeight w:val="310" w:hRule="exact"/>
        </w:trPr>
        <w:tc>
          <w:tcPr>
            <w:tcW w:w="1843" w:type="dxa"/>
            <w:shd w:val="clear" w:color="auto" w:fill="DDEBF6"/>
          </w:tcPr>
          <w:p>
            <w:pPr>
              <w:pStyle w:val="TableParagraph"/>
              <w:spacing w:before="42"/>
              <w:ind w:left="65" w:right="558"/>
              <w:rPr>
                <w:sz w:val="18"/>
              </w:rPr>
            </w:pPr>
            <w:r>
              <w:rPr>
                <w:sz w:val="18"/>
              </w:rPr>
              <w:t>Hand length</w:t>
            </w:r>
          </w:p>
        </w:tc>
        <w:tc>
          <w:tcPr>
            <w:tcW w:w="764" w:type="dxa"/>
            <w:shd w:val="clear" w:color="auto" w:fill="DDEBF6"/>
          </w:tcPr>
          <w:p>
            <w:pPr>
              <w:pStyle w:val="TableParagraph"/>
              <w:spacing w:before="42"/>
              <w:ind w:left="109" w:right="107"/>
              <w:jc w:val="center"/>
              <w:rPr>
                <w:sz w:val="18"/>
              </w:rPr>
            </w:pPr>
            <w:r>
              <w:rPr>
                <w:sz w:val="18"/>
              </w:rPr>
              <w:t>15.828</w:t>
            </w:r>
          </w:p>
        </w:tc>
        <w:tc>
          <w:tcPr>
            <w:tcW w:w="763" w:type="dxa"/>
            <w:shd w:val="clear" w:color="auto" w:fill="DDEBF6"/>
          </w:tcPr>
          <w:p>
            <w:pPr>
              <w:pStyle w:val="TableParagraph"/>
              <w:spacing w:before="42"/>
              <w:ind w:right="126"/>
              <w:jc w:val="right"/>
              <w:rPr>
                <w:sz w:val="18"/>
              </w:rPr>
            </w:pPr>
            <w:r>
              <w:rPr>
                <w:sz w:val="18"/>
              </w:rPr>
              <w:t>17.594</w:t>
            </w:r>
          </w:p>
        </w:tc>
        <w:tc>
          <w:tcPr>
            <w:tcW w:w="764" w:type="dxa"/>
            <w:shd w:val="clear" w:color="auto" w:fill="DDEBF6"/>
          </w:tcPr>
          <w:p>
            <w:pPr>
              <w:pStyle w:val="TableParagraph"/>
              <w:spacing w:before="42"/>
              <w:ind w:left="109" w:right="107"/>
              <w:jc w:val="center"/>
              <w:rPr>
                <w:sz w:val="18"/>
              </w:rPr>
            </w:pPr>
            <w:r>
              <w:rPr>
                <w:sz w:val="18"/>
              </w:rPr>
              <w:t>19.360</w:t>
            </w:r>
          </w:p>
        </w:tc>
      </w:tr>
      <w:tr>
        <w:trPr>
          <w:trHeight w:val="310" w:hRule="exact"/>
        </w:trPr>
        <w:tc>
          <w:tcPr>
            <w:tcW w:w="1843" w:type="dxa"/>
          </w:tcPr>
          <w:p>
            <w:pPr>
              <w:pStyle w:val="TableParagraph"/>
              <w:spacing w:before="42"/>
              <w:ind w:left="65"/>
              <w:rPr>
                <w:sz w:val="18"/>
              </w:rPr>
            </w:pPr>
            <w:r>
              <w:rPr>
                <w:sz w:val="18"/>
              </w:rPr>
              <w:t>Length of palm of hand</w:t>
            </w:r>
          </w:p>
        </w:tc>
        <w:tc>
          <w:tcPr>
            <w:tcW w:w="764" w:type="dxa"/>
          </w:tcPr>
          <w:p>
            <w:pPr>
              <w:pStyle w:val="TableParagraph"/>
              <w:spacing w:before="42"/>
              <w:ind w:left="109" w:right="107"/>
              <w:jc w:val="center"/>
              <w:rPr>
                <w:sz w:val="18"/>
              </w:rPr>
            </w:pPr>
            <w:r>
              <w:rPr>
                <w:sz w:val="18"/>
              </w:rPr>
              <w:t>7.8310</w:t>
            </w:r>
          </w:p>
        </w:tc>
        <w:tc>
          <w:tcPr>
            <w:tcW w:w="763" w:type="dxa"/>
          </w:tcPr>
          <w:p>
            <w:pPr>
              <w:pStyle w:val="TableParagraph"/>
              <w:spacing w:before="42"/>
              <w:ind w:right="126"/>
              <w:jc w:val="right"/>
              <w:rPr>
                <w:sz w:val="18"/>
              </w:rPr>
            </w:pPr>
            <w:r>
              <w:rPr>
                <w:sz w:val="18"/>
              </w:rPr>
              <w:t>9.8366</w:t>
            </w:r>
          </w:p>
        </w:tc>
        <w:tc>
          <w:tcPr>
            <w:tcW w:w="764" w:type="dxa"/>
          </w:tcPr>
          <w:p>
            <w:pPr>
              <w:pStyle w:val="TableParagraph"/>
              <w:spacing w:before="42"/>
              <w:ind w:left="109" w:right="107"/>
              <w:jc w:val="center"/>
              <w:rPr>
                <w:sz w:val="18"/>
              </w:rPr>
            </w:pPr>
            <w:r>
              <w:rPr>
                <w:sz w:val="18"/>
              </w:rPr>
              <w:t>11.842</w:t>
            </w:r>
          </w:p>
        </w:tc>
      </w:tr>
      <w:tr>
        <w:trPr>
          <w:trHeight w:val="310" w:hRule="exact"/>
        </w:trPr>
        <w:tc>
          <w:tcPr>
            <w:tcW w:w="1843" w:type="dxa"/>
            <w:shd w:val="clear" w:color="auto" w:fill="DDEBF6"/>
          </w:tcPr>
          <w:p>
            <w:pPr>
              <w:pStyle w:val="TableParagraph"/>
              <w:spacing w:before="41"/>
              <w:ind w:left="65"/>
              <w:rPr>
                <w:sz w:val="18"/>
              </w:rPr>
            </w:pPr>
            <w:r>
              <w:rPr>
                <w:sz w:val="18"/>
              </w:rPr>
              <w:t>Width of palm of hand</w:t>
            </w:r>
          </w:p>
        </w:tc>
        <w:tc>
          <w:tcPr>
            <w:tcW w:w="764" w:type="dxa"/>
            <w:shd w:val="clear" w:color="auto" w:fill="DDEBF6"/>
          </w:tcPr>
          <w:p>
            <w:pPr>
              <w:pStyle w:val="TableParagraph"/>
              <w:spacing w:before="41"/>
              <w:ind w:left="109" w:right="107"/>
              <w:jc w:val="center"/>
              <w:rPr>
                <w:sz w:val="18"/>
              </w:rPr>
            </w:pPr>
            <w:r>
              <w:rPr>
                <w:sz w:val="18"/>
              </w:rPr>
              <w:t>4.5519</w:t>
            </w:r>
          </w:p>
        </w:tc>
        <w:tc>
          <w:tcPr>
            <w:tcW w:w="763" w:type="dxa"/>
            <w:shd w:val="clear" w:color="auto" w:fill="DDEBF6"/>
          </w:tcPr>
          <w:p>
            <w:pPr>
              <w:pStyle w:val="TableParagraph"/>
              <w:spacing w:before="41"/>
              <w:ind w:right="126"/>
              <w:jc w:val="right"/>
              <w:rPr>
                <w:sz w:val="18"/>
              </w:rPr>
            </w:pPr>
            <w:r>
              <w:rPr>
                <w:sz w:val="18"/>
              </w:rPr>
              <w:t>7.8598</w:t>
            </w:r>
          </w:p>
        </w:tc>
        <w:tc>
          <w:tcPr>
            <w:tcW w:w="764" w:type="dxa"/>
            <w:shd w:val="clear" w:color="auto" w:fill="DDEBF6"/>
          </w:tcPr>
          <w:p>
            <w:pPr>
              <w:pStyle w:val="TableParagraph"/>
              <w:spacing w:before="41"/>
              <w:ind w:left="109" w:right="107"/>
              <w:jc w:val="center"/>
              <w:rPr>
                <w:sz w:val="18"/>
              </w:rPr>
            </w:pPr>
            <w:r>
              <w:rPr>
                <w:sz w:val="18"/>
              </w:rPr>
              <w:t>11.168</w:t>
            </w:r>
          </w:p>
        </w:tc>
      </w:tr>
    </w:tbl>
    <w:p>
      <w:pPr>
        <w:pStyle w:val="BodyText"/>
        <w:spacing w:before="6"/>
        <w:rPr>
          <w:sz w:val="17"/>
        </w:rPr>
      </w:pPr>
    </w:p>
    <w:p>
      <w:pPr>
        <w:spacing w:before="0"/>
        <w:ind w:left="270" w:right="1" w:firstLine="567"/>
        <w:jc w:val="both"/>
        <w:rPr>
          <w:sz w:val="18"/>
        </w:rPr>
      </w:pPr>
      <w:r>
        <w:rPr>
          <w:sz w:val="18"/>
        </w:rPr>
        <w:t>Note: These were some of the respondents percentiles, in the book Antropometria para el Diseño by author Lilia León Roselia Preado a number of percentiles obtained from different body measurements are presented, among them the hand, these percentiles are classified by gender and</w:t>
      </w:r>
      <w:r>
        <w:rPr>
          <w:spacing w:val="-16"/>
          <w:sz w:val="18"/>
        </w:rPr>
        <w:t> </w:t>
      </w:r>
      <w:r>
        <w:rPr>
          <w:sz w:val="18"/>
        </w:rPr>
        <w:t>age.</w:t>
      </w:r>
    </w:p>
    <w:p>
      <w:pPr>
        <w:pStyle w:val="BodyText"/>
        <w:rPr>
          <w:sz w:val="18"/>
        </w:rPr>
      </w:pPr>
    </w:p>
    <w:p>
      <w:pPr>
        <w:spacing w:before="0"/>
        <w:ind w:left="270" w:right="0" w:firstLine="567"/>
        <w:jc w:val="both"/>
        <w:rPr>
          <w:sz w:val="18"/>
        </w:rPr>
      </w:pPr>
      <w:r>
        <w:rPr>
          <w:sz w:val="18"/>
        </w:rPr>
        <w:t>Emphasizing chapter “diseño de herramientas de mano” which shows kons in his book “diseño de sistemas de trabajo”, it take into account all possible variables and the recommendations for the design, el prototipo tiene una carga de trabajo equivalente para cada mano (the keyboard is divided into two parts, one to be controlled by the right hand and the other for the left hand), except when cases arise in which the user has only one limb (in this case you have to attach the keyboard). The distribution of keys is done considering the principles of typing techniques and materials handling.</w:t>
      </w:r>
    </w:p>
    <w:p>
      <w:pPr>
        <w:pStyle w:val="BodyText"/>
        <w:spacing w:before="10"/>
        <w:rPr>
          <w:sz w:val="14"/>
        </w:rPr>
      </w:pPr>
      <w:r>
        <w:rPr/>
        <w:drawing>
          <wp:anchor distT="0" distB="0" distL="0" distR="0" allowOverlap="1" layoutInCell="1" locked="0" behindDoc="0" simplePos="0" relativeHeight="2320">
            <wp:simplePos x="0" y="0"/>
            <wp:positionH relativeFrom="page">
              <wp:posOffset>622554</wp:posOffset>
            </wp:positionH>
            <wp:positionV relativeFrom="paragraph">
              <wp:posOffset>133772</wp:posOffset>
            </wp:positionV>
            <wp:extent cx="2936422" cy="1826228"/>
            <wp:effectExtent l="0" t="0" r="0" b="0"/>
            <wp:wrapTopAndBottom/>
            <wp:docPr id="53" name="image34.jpeg" descr=""/>
            <wp:cNvGraphicFramePr>
              <a:graphicFrameLocks noChangeAspect="1"/>
            </wp:cNvGraphicFramePr>
            <a:graphic>
              <a:graphicData uri="http://schemas.openxmlformats.org/drawingml/2006/picture">
                <pic:pic>
                  <pic:nvPicPr>
                    <pic:cNvPr id="54" name="image34.jpeg"/>
                    <pic:cNvPicPr/>
                  </pic:nvPicPr>
                  <pic:blipFill>
                    <a:blip r:embed="rId84" cstate="print"/>
                    <a:stretch>
                      <a:fillRect/>
                    </a:stretch>
                  </pic:blipFill>
                  <pic:spPr>
                    <a:xfrm>
                      <a:off x="0" y="0"/>
                      <a:ext cx="2936422" cy="1826228"/>
                    </a:xfrm>
                    <a:prstGeom prst="rect">
                      <a:avLst/>
                    </a:prstGeom>
                  </pic:spPr>
                </pic:pic>
              </a:graphicData>
            </a:graphic>
          </wp:anchor>
        </w:drawing>
      </w:r>
    </w:p>
    <w:p>
      <w:pPr>
        <w:spacing w:before="0"/>
        <w:ind w:left="364" w:right="0" w:firstLine="0"/>
        <w:jc w:val="both"/>
        <w:rPr>
          <w:sz w:val="18"/>
        </w:rPr>
      </w:pPr>
      <w:r>
        <w:rPr>
          <w:sz w:val="18"/>
        </w:rPr>
        <w:t>Figure 9: Distribution keys "management techniques keyboards".</w:t>
      </w:r>
    </w:p>
    <w:p>
      <w:pPr>
        <w:pStyle w:val="BodyText"/>
        <w:rPr>
          <w:sz w:val="18"/>
        </w:rPr>
      </w:pPr>
    </w:p>
    <w:p>
      <w:pPr>
        <w:spacing w:before="0"/>
        <w:ind w:left="270" w:right="0" w:firstLine="567"/>
        <w:jc w:val="both"/>
        <w:rPr>
          <w:sz w:val="18"/>
        </w:rPr>
      </w:pPr>
      <w:r>
        <w:rPr>
          <w:sz w:val="18"/>
        </w:rPr>
        <w:t>And the inclination of both parties is such that the position of the hands is natural, including a touch screen in the middle for better management of computer equipment, so there not will be many movements unnecessary.</w:t>
      </w:r>
    </w:p>
    <w:p>
      <w:pPr>
        <w:pStyle w:val="BodyText"/>
        <w:rPr>
          <w:sz w:val="18"/>
        </w:rPr>
      </w:pPr>
    </w:p>
    <w:p>
      <w:pPr>
        <w:spacing w:before="0"/>
        <w:ind w:left="270" w:right="1" w:firstLine="567"/>
        <w:jc w:val="both"/>
        <w:rPr>
          <w:sz w:val="18"/>
        </w:rPr>
      </w:pPr>
      <w:r>
        <w:rPr>
          <w:sz w:val="18"/>
        </w:rPr>
        <w:t>This element should allow the worker to locate and use the keys to quickly and accurately, without that generates discomfort or discomfort.</w:t>
      </w:r>
    </w:p>
    <w:p>
      <w:pPr>
        <w:pStyle w:val="BodyText"/>
        <w:rPr>
          <w:sz w:val="18"/>
        </w:rPr>
      </w:pPr>
    </w:p>
    <w:p>
      <w:pPr>
        <w:spacing w:before="0"/>
        <w:ind w:left="270" w:right="0" w:firstLine="567"/>
        <w:jc w:val="both"/>
        <w:rPr>
          <w:sz w:val="18"/>
        </w:rPr>
      </w:pPr>
      <w:r>
        <w:rPr>
          <w:sz w:val="18"/>
        </w:rPr>
        <w:t>Additionally, you must enable mobility and independence from the rest of the team, and is necessary to facilitate their relocation in relation to changes in posture task or user.</w:t>
      </w:r>
    </w:p>
    <w:p>
      <w:pPr>
        <w:pStyle w:val="BodyText"/>
        <w:spacing w:before="3"/>
        <w:rPr>
          <w:sz w:val="18"/>
        </w:rPr>
      </w:pPr>
    </w:p>
    <w:p>
      <w:pPr>
        <w:pStyle w:val="ListParagraph"/>
        <w:numPr>
          <w:ilvl w:val="1"/>
          <w:numId w:val="23"/>
        </w:numPr>
        <w:tabs>
          <w:tab w:pos="542" w:val="left" w:leader="none"/>
        </w:tabs>
        <w:spacing w:line="240" w:lineRule="auto" w:before="0" w:after="0"/>
        <w:ind w:left="541" w:right="0" w:hanging="271"/>
        <w:jc w:val="both"/>
        <w:rPr>
          <w:b/>
          <w:sz w:val="18"/>
        </w:rPr>
      </w:pPr>
      <w:r>
        <w:rPr>
          <w:b/>
          <w:sz w:val="18"/>
        </w:rPr>
        <w:t>Design of</w:t>
      </w:r>
      <w:r>
        <w:rPr>
          <w:b/>
          <w:spacing w:val="-1"/>
          <w:sz w:val="18"/>
        </w:rPr>
        <w:t> </w:t>
      </w:r>
      <w:r>
        <w:rPr>
          <w:b/>
          <w:sz w:val="18"/>
        </w:rPr>
        <w:t>Mouse</w:t>
      </w:r>
    </w:p>
    <w:p>
      <w:pPr>
        <w:pStyle w:val="BodyText"/>
        <w:spacing w:before="7"/>
        <w:rPr>
          <w:b/>
          <w:sz w:val="17"/>
        </w:rPr>
      </w:pPr>
    </w:p>
    <w:p>
      <w:pPr>
        <w:spacing w:before="1"/>
        <w:ind w:left="270" w:right="0" w:firstLine="0"/>
        <w:jc w:val="both"/>
        <w:rPr>
          <w:sz w:val="18"/>
        </w:rPr>
      </w:pPr>
      <w:r>
        <w:rPr>
          <w:sz w:val="18"/>
        </w:rPr>
        <w:t>The mouse is an Amputator device, which is usually made of plastic. The importance of representing today has reached such a degree that people consider it an essential element in any computer.</w:t>
      </w:r>
    </w:p>
    <w:p>
      <w:pPr>
        <w:pStyle w:val="BodyText"/>
        <w:spacing w:before="3"/>
        <w:rPr>
          <w:sz w:val="18"/>
        </w:rPr>
      </w:pPr>
    </w:p>
    <w:p>
      <w:pPr>
        <w:pStyle w:val="ListParagraph"/>
        <w:numPr>
          <w:ilvl w:val="1"/>
          <w:numId w:val="23"/>
        </w:numPr>
        <w:tabs>
          <w:tab w:pos="542" w:val="left" w:leader="none"/>
        </w:tabs>
        <w:spacing w:line="240" w:lineRule="auto" w:before="0" w:after="0"/>
        <w:ind w:left="541" w:right="0" w:hanging="271"/>
        <w:jc w:val="both"/>
        <w:rPr>
          <w:b/>
          <w:sz w:val="18"/>
        </w:rPr>
      </w:pPr>
      <w:r>
        <w:rPr>
          <w:b/>
          <w:sz w:val="18"/>
        </w:rPr>
        <w:t>State of the art of the</w:t>
      </w:r>
      <w:r>
        <w:rPr>
          <w:b/>
          <w:spacing w:val="-2"/>
          <w:sz w:val="18"/>
        </w:rPr>
        <w:t> </w:t>
      </w:r>
      <w:r>
        <w:rPr>
          <w:b/>
          <w:sz w:val="18"/>
        </w:rPr>
        <w:t>mouse</w:t>
      </w:r>
    </w:p>
    <w:p>
      <w:pPr>
        <w:pStyle w:val="BodyText"/>
        <w:spacing w:before="7"/>
        <w:rPr>
          <w:b/>
          <w:sz w:val="17"/>
        </w:rPr>
      </w:pPr>
    </w:p>
    <w:p>
      <w:pPr>
        <w:spacing w:before="1"/>
        <w:ind w:left="270" w:right="0" w:firstLine="0"/>
        <w:jc w:val="both"/>
        <w:rPr>
          <w:sz w:val="18"/>
        </w:rPr>
      </w:pPr>
      <w:r>
        <w:rPr>
          <w:sz w:val="18"/>
        </w:rPr>
        <w:t>It was designed by Douglas Engelbart and Bill English during the 60s at the Stanford Research Institute, a laboratory at Stanford University in Silicon Valley, California. It was later improved by the company Xerox (known as Xerox PARC).</w:t>
      </w:r>
    </w:p>
    <w:p>
      <w:pPr>
        <w:spacing w:before="77"/>
        <w:ind w:left="270" w:right="678" w:firstLine="567"/>
        <w:jc w:val="both"/>
        <w:rPr>
          <w:sz w:val="18"/>
        </w:rPr>
      </w:pPr>
      <w:r>
        <w:rPr/>
        <w:br w:type="column"/>
      </w:r>
      <w:r>
        <w:rPr>
          <w:sz w:val="18"/>
        </w:rPr>
        <w:t>The invention of the mouse came within a major project that sought to increase the human intellect improving communication between man and machine. With his invention, this achieved the apparition of the first environments or GUI´s (graphical user interfaces)</w:t>
      </w:r>
      <w:r>
        <w:rPr>
          <w:spacing w:val="-2"/>
          <w:sz w:val="18"/>
        </w:rPr>
        <w:t> </w:t>
      </w:r>
      <w:r>
        <w:rPr>
          <w:sz w:val="18"/>
        </w:rPr>
        <w:t>[6].</w:t>
      </w:r>
    </w:p>
    <w:p>
      <w:pPr>
        <w:pStyle w:val="BodyText"/>
        <w:spacing w:before="10"/>
        <w:rPr>
          <w:sz w:val="14"/>
        </w:rPr>
      </w:pPr>
      <w:r>
        <w:rPr/>
        <w:drawing>
          <wp:anchor distT="0" distB="0" distL="0" distR="0" allowOverlap="1" layoutInCell="1" locked="0" behindDoc="0" simplePos="0" relativeHeight="2344">
            <wp:simplePos x="0" y="0"/>
            <wp:positionH relativeFrom="page">
              <wp:posOffset>4351020</wp:posOffset>
            </wp:positionH>
            <wp:positionV relativeFrom="paragraph">
              <wp:posOffset>133775</wp:posOffset>
            </wp:positionV>
            <wp:extent cx="2585442" cy="2061972"/>
            <wp:effectExtent l="0" t="0" r="0" b="0"/>
            <wp:wrapTopAndBottom/>
            <wp:docPr id="55" name="image35.jpeg" descr=""/>
            <wp:cNvGraphicFramePr>
              <a:graphicFrameLocks noChangeAspect="1"/>
            </wp:cNvGraphicFramePr>
            <a:graphic>
              <a:graphicData uri="http://schemas.openxmlformats.org/drawingml/2006/picture">
                <pic:pic>
                  <pic:nvPicPr>
                    <pic:cNvPr id="56" name="image35.jpeg"/>
                    <pic:cNvPicPr/>
                  </pic:nvPicPr>
                  <pic:blipFill>
                    <a:blip r:embed="rId85" cstate="print"/>
                    <a:stretch>
                      <a:fillRect/>
                    </a:stretch>
                  </pic:blipFill>
                  <pic:spPr>
                    <a:xfrm>
                      <a:off x="0" y="0"/>
                      <a:ext cx="2585442" cy="2061972"/>
                    </a:xfrm>
                    <a:prstGeom prst="rect">
                      <a:avLst/>
                    </a:prstGeom>
                  </pic:spPr>
                </pic:pic>
              </a:graphicData>
            </a:graphic>
          </wp:anchor>
        </w:drawing>
      </w:r>
    </w:p>
    <w:p>
      <w:pPr>
        <w:spacing w:before="0"/>
        <w:ind w:left="750" w:right="668" w:firstLine="0"/>
        <w:jc w:val="left"/>
        <w:rPr>
          <w:sz w:val="18"/>
        </w:rPr>
      </w:pPr>
      <w:r>
        <w:rPr>
          <w:sz w:val="18"/>
        </w:rPr>
        <w:t>Figure 10: Mouse Douglas Engelbart and Bill English.</w:t>
      </w:r>
    </w:p>
    <w:p>
      <w:pPr>
        <w:pStyle w:val="BodyText"/>
        <w:rPr>
          <w:sz w:val="18"/>
        </w:rPr>
      </w:pPr>
    </w:p>
    <w:p>
      <w:pPr>
        <w:spacing w:before="0"/>
        <w:ind w:left="270" w:right="677" w:firstLine="567"/>
        <w:jc w:val="both"/>
        <w:rPr>
          <w:sz w:val="18"/>
        </w:rPr>
      </w:pPr>
      <w:r>
        <w:rPr>
          <w:sz w:val="18"/>
        </w:rPr>
        <w:t>Xerox in 1972 replaced metal wheels with a ball which allows that the deployment mouse can addresses much more than the simple model of X axis and Y axis [6].</w:t>
      </w:r>
    </w:p>
    <w:p>
      <w:pPr>
        <w:pStyle w:val="BodyText"/>
        <w:rPr>
          <w:sz w:val="15"/>
        </w:rPr>
      </w:pPr>
      <w:r>
        <w:rPr/>
        <w:drawing>
          <wp:anchor distT="0" distB="0" distL="0" distR="0" allowOverlap="1" layoutInCell="1" locked="0" behindDoc="0" simplePos="0" relativeHeight="2368">
            <wp:simplePos x="0" y="0"/>
            <wp:positionH relativeFrom="page">
              <wp:posOffset>4208526</wp:posOffset>
            </wp:positionH>
            <wp:positionV relativeFrom="paragraph">
              <wp:posOffset>134530</wp:posOffset>
            </wp:positionV>
            <wp:extent cx="2865894" cy="1456848"/>
            <wp:effectExtent l="0" t="0" r="0" b="0"/>
            <wp:wrapTopAndBottom/>
            <wp:docPr id="57" name="image36.jpeg" descr=""/>
            <wp:cNvGraphicFramePr>
              <a:graphicFrameLocks noChangeAspect="1"/>
            </wp:cNvGraphicFramePr>
            <a:graphic>
              <a:graphicData uri="http://schemas.openxmlformats.org/drawingml/2006/picture">
                <pic:pic>
                  <pic:nvPicPr>
                    <pic:cNvPr id="58" name="image36.jpeg"/>
                    <pic:cNvPicPr/>
                  </pic:nvPicPr>
                  <pic:blipFill>
                    <a:blip r:embed="rId86" cstate="print"/>
                    <a:stretch>
                      <a:fillRect/>
                    </a:stretch>
                  </pic:blipFill>
                  <pic:spPr>
                    <a:xfrm>
                      <a:off x="0" y="0"/>
                      <a:ext cx="2865894" cy="1456848"/>
                    </a:xfrm>
                    <a:prstGeom prst="rect">
                      <a:avLst/>
                    </a:prstGeom>
                  </pic:spPr>
                </pic:pic>
              </a:graphicData>
            </a:graphic>
          </wp:anchor>
        </w:drawing>
      </w:r>
    </w:p>
    <w:p>
      <w:pPr>
        <w:spacing w:before="0"/>
        <w:ind w:left="1146" w:right="668" w:firstLine="0"/>
        <w:jc w:val="left"/>
        <w:rPr>
          <w:sz w:val="18"/>
        </w:rPr>
      </w:pPr>
      <w:r>
        <w:rPr>
          <w:sz w:val="18"/>
        </w:rPr>
        <w:t>Figure 11: Representation of Xerox Mouse.</w:t>
      </w:r>
    </w:p>
    <w:p>
      <w:pPr>
        <w:spacing w:before="0"/>
        <w:ind w:left="270" w:right="678" w:firstLine="567"/>
        <w:jc w:val="both"/>
        <w:rPr>
          <w:sz w:val="18"/>
        </w:rPr>
      </w:pPr>
      <w:r>
        <w:rPr>
          <w:sz w:val="18"/>
        </w:rPr>
        <w:t>On April 27, 1981 was launched to the market the first computer with mouse included:</w:t>
      </w:r>
    </w:p>
    <w:p>
      <w:pPr>
        <w:pStyle w:val="BodyText"/>
        <w:rPr>
          <w:sz w:val="18"/>
        </w:rPr>
      </w:pPr>
    </w:p>
    <w:p>
      <w:pPr>
        <w:spacing w:before="0"/>
        <w:ind w:left="270" w:right="677" w:firstLine="567"/>
        <w:jc w:val="both"/>
        <w:rPr>
          <w:sz w:val="18"/>
        </w:rPr>
      </w:pPr>
      <w:r>
        <w:rPr>
          <w:sz w:val="18"/>
        </w:rPr>
        <w:t>Xerox Star 8010, fundamental to the powerful new graphical interface that depended on this peripheral [6].</w:t>
      </w:r>
    </w:p>
    <w:p>
      <w:pPr>
        <w:pStyle w:val="BodyText"/>
        <w:rPr>
          <w:sz w:val="15"/>
        </w:rPr>
      </w:pPr>
      <w:r>
        <w:rPr/>
        <w:drawing>
          <wp:anchor distT="0" distB="0" distL="0" distR="0" allowOverlap="1" layoutInCell="1" locked="0" behindDoc="0" simplePos="0" relativeHeight="2392">
            <wp:simplePos x="0" y="0"/>
            <wp:positionH relativeFrom="page">
              <wp:posOffset>4354829</wp:posOffset>
            </wp:positionH>
            <wp:positionV relativeFrom="paragraph">
              <wp:posOffset>134533</wp:posOffset>
            </wp:positionV>
            <wp:extent cx="2585466" cy="819150"/>
            <wp:effectExtent l="0" t="0" r="0" b="0"/>
            <wp:wrapTopAndBottom/>
            <wp:docPr id="59" name="image37.jpeg" descr=""/>
            <wp:cNvGraphicFramePr>
              <a:graphicFrameLocks noChangeAspect="1"/>
            </wp:cNvGraphicFramePr>
            <a:graphic>
              <a:graphicData uri="http://schemas.openxmlformats.org/drawingml/2006/picture">
                <pic:pic>
                  <pic:nvPicPr>
                    <pic:cNvPr id="60" name="image37.jpeg"/>
                    <pic:cNvPicPr/>
                  </pic:nvPicPr>
                  <pic:blipFill>
                    <a:blip r:embed="rId87" cstate="print"/>
                    <a:stretch>
                      <a:fillRect/>
                    </a:stretch>
                  </pic:blipFill>
                  <pic:spPr>
                    <a:xfrm>
                      <a:off x="0" y="0"/>
                      <a:ext cx="2585466" cy="819150"/>
                    </a:xfrm>
                    <a:prstGeom prst="rect">
                      <a:avLst/>
                    </a:prstGeom>
                  </pic:spPr>
                </pic:pic>
              </a:graphicData>
            </a:graphic>
          </wp:anchor>
        </w:drawing>
      </w:r>
    </w:p>
    <w:p>
      <w:pPr>
        <w:pStyle w:val="BodyText"/>
        <w:rPr>
          <w:sz w:val="15"/>
        </w:rPr>
      </w:pPr>
    </w:p>
    <w:p>
      <w:pPr>
        <w:spacing w:before="0"/>
        <w:ind w:left="1165" w:right="668" w:firstLine="0"/>
        <w:jc w:val="left"/>
        <w:rPr>
          <w:sz w:val="18"/>
        </w:rPr>
      </w:pPr>
      <w:r>
        <w:rPr>
          <w:sz w:val="18"/>
        </w:rPr>
        <w:t>Figure 12: Computer with mouse included.</w:t>
      </w:r>
    </w:p>
    <w:p>
      <w:pPr>
        <w:pStyle w:val="BodyText"/>
        <w:rPr>
          <w:sz w:val="18"/>
        </w:rPr>
      </w:pPr>
    </w:p>
    <w:p>
      <w:pPr>
        <w:spacing w:before="0"/>
        <w:ind w:left="270" w:right="678" w:firstLine="708"/>
        <w:jc w:val="both"/>
        <w:rPr>
          <w:sz w:val="18"/>
        </w:rPr>
      </w:pPr>
      <w:r>
        <w:rPr>
          <w:sz w:val="18"/>
        </w:rPr>
        <w:t>Some successful innovations have been the use of a central or lateral wheel, the optical motion sensor diode LED, both introduced by Microsoft in 1996 and 1999 respectively, or the sensor that was based on an invisible laser by manufacturer Logitech [6].</w:t>
      </w:r>
    </w:p>
    <w:p>
      <w:pPr>
        <w:spacing w:after="0"/>
        <w:jc w:val="both"/>
        <w:rPr>
          <w:sz w:val="18"/>
        </w:rPr>
        <w:sectPr>
          <w:type w:val="continuous"/>
          <w:pgSz w:w="12240" w:h="15840"/>
          <w:pgMar w:top="1500" w:bottom="280" w:left="580" w:right="220"/>
          <w:cols w:num="2" w:equalWidth="0">
            <w:col w:w="5163" w:space="435"/>
            <w:col w:w="5842"/>
          </w:cols>
        </w:sectPr>
      </w:pPr>
    </w:p>
    <w:p>
      <w:pPr>
        <w:pStyle w:val="BodyText"/>
        <w:spacing w:before="1"/>
        <w:rPr>
          <w:sz w:val="18"/>
        </w:rPr>
      </w:pPr>
    </w:p>
    <w:p>
      <w:pPr>
        <w:pStyle w:val="BodyText"/>
        <w:ind w:left="399"/>
      </w:pPr>
      <w:r>
        <w:rPr/>
        <w:drawing>
          <wp:inline distT="0" distB="0" distL="0" distR="0">
            <wp:extent cx="2940426" cy="1692211"/>
            <wp:effectExtent l="0" t="0" r="0" b="0"/>
            <wp:docPr id="61" name="image38.jpeg" descr=""/>
            <wp:cNvGraphicFramePr>
              <a:graphicFrameLocks noChangeAspect="1"/>
            </wp:cNvGraphicFramePr>
            <a:graphic>
              <a:graphicData uri="http://schemas.openxmlformats.org/drawingml/2006/picture">
                <pic:pic>
                  <pic:nvPicPr>
                    <pic:cNvPr id="62" name="image38.jpeg"/>
                    <pic:cNvPicPr/>
                  </pic:nvPicPr>
                  <pic:blipFill>
                    <a:blip r:embed="rId88" cstate="print"/>
                    <a:stretch>
                      <a:fillRect/>
                    </a:stretch>
                  </pic:blipFill>
                  <pic:spPr>
                    <a:xfrm>
                      <a:off x="0" y="0"/>
                      <a:ext cx="2940426" cy="1692211"/>
                    </a:xfrm>
                    <a:prstGeom prst="rect">
                      <a:avLst/>
                    </a:prstGeom>
                  </pic:spPr>
                </pic:pic>
              </a:graphicData>
            </a:graphic>
          </wp:inline>
        </w:drawing>
      </w:r>
      <w:r>
        <w:rPr/>
      </w:r>
    </w:p>
    <w:p>
      <w:pPr>
        <w:spacing w:after="0"/>
        <w:sectPr>
          <w:pgSz w:w="12240" w:h="15840"/>
          <w:pgMar w:header="545" w:footer="852" w:top="1060" w:bottom="1040" w:left="580" w:right="220"/>
        </w:sectPr>
      </w:pPr>
    </w:p>
    <w:p>
      <w:pPr>
        <w:spacing w:line="480" w:lineRule="auto" w:before="0"/>
        <w:ind w:left="838" w:right="784" w:firstLine="231"/>
        <w:jc w:val="left"/>
        <w:rPr>
          <w:sz w:val="18"/>
        </w:rPr>
      </w:pPr>
      <w:r>
        <w:rPr/>
        <w:drawing>
          <wp:anchor distT="0" distB="0" distL="0" distR="0" allowOverlap="1" layoutInCell="1" locked="0" behindDoc="1" simplePos="0" relativeHeight="267559103">
            <wp:simplePos x="0" y="0"/>
            <wp:positionH relativeFrom="page">
              <wp:posOffset>4171188</wp:posOffset>
            </wp:positionH>
            <wp:positionV relativeFrom="paragraph">
              <wp:posOffset>-1690090</wp:posOffset>
            </wp:positionV>
            <wp:extent cx="2951988" cy="1780794"/>
            <wp:effectExtent l="0" t="0" r="0" b="0"/>
            <wp:wrapNone/>
            <wp:docPr id="63" name="image39.jpeg" descr=""/>
            <wp:cNvGraphicFramePr>
              <a:graphicFrameLocks noChangeAspect="1"/>
            </wp:cNvGraphicFramePr>
            <a:graphic>
              <a:graphicData uri="http://schemas.openxmlformats.org/drawingml/2006/picture">
                <pic:pic>
                  <pic:nvPicPr>
                    <pic:cNvPr id="64" name="image39.jpeg"/>
                    <pic:cNvPicPr/>
                  </pic:nvPicPr>
                  <pic:blipFill>
                    <a:blip r:embed="rId89" cstate="print"/>
                    <a:stretch>
                      <a:fillRect/>
                    </a:stretch>
                  </pic:blipFill>
                  <pic:spPr>
                    <a:xfrm>
                      <a:off x="0" y="0"/>
                      <a:ext cx="2951988" cy="1780794"/>
                    </a:xfrm>
                    <a:prstGeom prst="rect">
                      <a:avLst/>
                    </a:prstGeom>
                  </pic:spPr>
                </pic:pic>
              </a:graphicData>
            </a:graphic>
          </wp:anchor>
        </w:drawing>
      </w:r>
      <w:r>
        <w:rPr>
          <w:sz w:val="18"/>
        </w:rPr>
        <w:t>Figure 13: The first mouse models with LED. The first wireless mouse appears in 1991.</w:t>
      </w:r>
    </w:p>
    <w:p>
      <w:pPr>
        <w:pStyle w:val="BodyText"/>
        <w:ind w:left="988"/>
      </w:pPr>
      <w:r>
        <w:rPr/>
        <w:drawing>
          <wp:inline distT="0" distB="0" distL="0" distR="0">
            <wp:extent cx="2189785" cy="1507521"/>
            <wp:effectExtent l="0" t="0" r="0" b="0"/>
            <wp:docPr id="65" name="image40.jpeg" descr=""/>
            <wp:cNvGraphicFramePr>
              <a:graphicFrameLocks noChangeAspect="1"/>
            </wp:cNvGraphicFramePr>
            <a:graphic>
              <a:graphicData uri="http://schemas.openxmlformats.org/drawingml/2006/picture">
                <pic:pic>
                  <pic:nvPicPr>
                    <pic:cNvPr id="66" name="image40.jpeg"/>
                    <pic:cNvPicPr/>
                  </pic:nvPicPr>
                  <pic:blipFill>
                    <a:blip r:embed="rId90" cstate="print"/>
                    <a:stretch>
                      <a:fillRect/>
                    </a:stretch>
                  </pic:blipFill>
                  <pic:spPr>
                    <a:xfrm>
                      <a:off x="0" y="0"/>
                      <a:ext cx="2189785" cy="1507521"/>
                    </a:xfrm>
                    <a:prstGeom prst="rect">
                      <a:avLst/>
                    </a:prstGeom>
                  </pic:spPr>
                </pic:pic>
              </a:graphicData>
            </a:graphic>
          </wp:inline>
        </w:drawing>
      </w:r>
      <w:r>
        <w:rPr/>
      </w:r>
    </w:p>
    <w:p>
      <w:pPr>
        <w:spacing w:before="11"/>
        <w:ind w:left="281" w:right="11" w:firstLine="0"/>
        <w:jc w:val="center"/>
        <w:rPr>
          <w:sz w:val="18"/>
        </w:rPr>
      </w:pPr>
      <w:r>
        <w:rPr>
          <w:sz w:val="18"/>
        </w:rPr>
        <w:t>Figure 14: Representation of the first wireless mouse.</w:t>
      </w:r>
    </w:p>
    <w:p>
      <w:pPr>
        <w:spacing w:before="0"/>
        <w:ind w:left="280" w:right="11" w:firstLine="0"/>
        <w:jc w:val="center"/>
        <w:rPr>
          <w:sz w:val="18"/>
        </w:rPr>
      </w:pPr>
      <w:r>
        <w:rPr>
          <w:sz w:val="18"/>
        </w:rPr>
        <w:t>Formulation of prototype mouse.</w:t>
      </w:r>
    </w:p>
    <w:p>
      <w:pPr>
        <w:pStyle w:val="BodyText"/>
        <w:rPr>
          <w:sz w:val="18"/>
        </w:rPr>
      </w:pPr>
    </w:p>
    <w:p>
      <w:pPr>
        <w:spacing w:before="0"/>
        <w:ind w:left="270" w:right="0" w:firstLine="567"/>
        <w:jc w:val="both"/>
        <w:rPr>
          <w:sz w:val="18"/>
        </w:rPr>
      </w:pPr>
      <w:r>
        <w:rPr>
          <w:sz w:val="18"/>
        </w:rPr>
        <w:t>There is a technology multi-touch mouse, is a product of a constant evolution that is committed to stand out the use of the mouse, as the primary member in technology shares, and for its versatility and ease of use is undoubtedly one of the devices of the moment.</w:t>
      </w:r>
    </w:p>
    <w:p>
      <w:pPr>
        <w:pStyle w:val="BodyText"/>
        <w:rPr>
          <w:sz w:val="18"/>
        </w:rPr>
      </w:pPr>
    </w:p>
    <w:p>
      <w:pPr>
        <w:spacing w:before="0"/>
        <w:ind w:left="270" w:right="0" w:firstLine="567"/>
        <w:jc w:val="both"/>
        <w:rPr>
          <w:sz w:val="18"/>
        </w:rPr>
      </w:pPr>
      <w:r>
        <w:rPr>
          <w:sz w:val="18"/>
        </w:rPr>
        <w:t>Lightweight, easy enough to apply to the needs either a common computer, a laptop computer or system that is intended widespread use, the Multi-Touch not only bears the advantage of versatility, but that also bears the important description given its programmatic terminal.</w:t>
      </w:r>
    </w:p>
    <w:p>
      <w:pPr>
        <w:pStyle w:val="BodyText"/>
        <w:rPr>
          <w:sz w:val="18"/>
        </w:rPr>
      </w:pPr>
    </w:p>
    <w:p>
      <w:pPr>
        <w:spacing w:before="0"/>
        <w:ind w:left="270" w:right="0" w:firstLine="567"/>
        <w:jc w:val="both"/>
        <w:rPr>
          <w:sz w:val="18"/>
        </w:rPr>
      </w:pPr>
      <w:r>
        <w:rPr>
          <w:sz w:val="18"/>
        </w:rPr>
        <w:t>Based on the techniques of typing, and distribution of keys for each finger, we can observe that thumbs do not have many functions or movements is why the mouse that was integrated in  the prototype is designed to be operated by</w:t>
      </w:r>
      <w:r>
        <w:rPr>
          <w:spacing w:val="-8"/>
          <w:sz w:val="18"/>
        </w:rPr>
        <w:t> </w:t>
      </w:r>
      <w:r>
        <w:rPr>
          <w:sz w:val="18"/>
        </w:rPr>
        <w:t>these.</w:t>
      </w:r>
    </w:p>
    <w:p>
      <w:pPr>
        <w:pStyle w:val="BodyText"/>
        <w:spacing w:before="3"/>
        <w:rPr>
          <w:sz w:val="18"/>
        </w:rPr>
      </w:pPr>
    </w:p>
    <w:p>
      <w:pPr>
        <w:pStyle w:val="ListParagraph"/>
        <w:numPr>
          <w:ilvl w:val="1"/>
          <w:numId w:val="23"/>
        </w:numPr>
        <w:tabs>
          <w:tab w:pos="542" w:val="left" w:leader="none"/>
        </w:tabs>
        <w:spacing w:line="240" w:lineRule="auto" w:before="0" w:after="0"/>
        <w:ind w:left="541" w:right="0" w:hanging="271"/>
        <w:jc w:val="both"/>
        <w:rPr>
          <w:b/>
          <w:sz w:val="18"/>
        </w:rPr>
      </w:pPr>
      <w:r>
        <w:rPr>
          <w:b/>
          <w:sz w:val="18"/>
        </w:rPr>
        <w:t>Prototype</w:t>
      </w:r>
      <w:r>
        <w:rPr>
          <w:b/>
          <w:spacing w:val="-4"/>
          <w:sz w:val="18"/>
        </w:rPr>
        <w:t> </w:t>
      </w:r>
      <w:r>
        <w:rPr>
          <w:b/>
          <w:sz w:val="18"/>
        </w:rPr>
        <w:t>Results</w:t>
      </w:r>
    </w:p>
    <w:p>
      <w:pPr>
        <w:pStyle w:val="BodyText"/>
        <w:spacing w:before="7"/>
        <w:rPr>
          <w:b/>
          <w:sz w:val="17"/>
        </w:rPr>
      </w:pPr>
    </w:p>
    <w:p>
      <w:pPr>
        <w:spacing w:before="1"/>
        <w:ind w:left="270" w:right="0" w:firstLine="0"/>
        <w:jc w:val="both"/>
        <w:rPr>
          <w:sz w:val="18"/>
        </w:rPr>
      </w:pPr>
      <w:r>
        <w:rPr>
          <w:sz w:val="18"/>
        </w:rPr>
        <w:t>With the design of this prototype was obtained a breakthrough and innovation on keyboards and mouses, benefiting users of them reducing the drawbacks (illness, difficulty of use) present in conventional keyboards and mouses.</w:t>
      </w:r>
    </w:p>
    <w:p>
      <w:pPr>
        <w:spacing w:before="133"/>
        <w:ind w:left="0" w:right="406" w:firstLine="0"/>
        <w:jc w:val="center"/>
        <w:rPr>
          <w:sz w:val="18"/>
        </w:rPr>
      </w:pPr>
      <w:r>
        <w:rPr/>
        <w:br w:type="column"/>
      </w:r>
      <w:r>
        <w:rPr>
          <w:sz w:val="18"/>
        </w:rPr>
        <w:t>Figure 15: Prototype keyboard with integrated mouse.</w:t>
      </w:r>
    </w:p>
    <w:p>
      <w:pPr>
        <w:pStyle w:val="BodyText"/>
        <w:rPr>
          <w:sz w:val="15"/>
        </w:rPr>
      </w:pPr>
      <w:r>
        <w:rPr/>
        <w:drawing>
          <wp:anchor distT="0" distB="0" distL="0" distR="0" allowOverlap="1" layoutInCell="1" locked="0" behindDoc="0" simplePos="0" relativeHeight="2416">
            <wp:simplePos x="0" y="0"/>
            <wp:positionH relativeFrom="page">
              <wp:posOffset>4174997</wp:posOffset>
            </wp:positionH>
            <wp:positionV relativeFrom="paragraph">
              <wp:posOffset>134530</wp:posOffset>
            </wp:positionV>
            <wp:extent cx="2923677" cy="2099691"/>
            <wp:effectExtent l="0" t="0" r="0" b="0"/>
            <wp:wrapTopAndBottom/>
            <wp:docPr id="67" name="image41.jpeg" descr=""/>
            <wp:cNvGraphicFramePr>
              <a:graphicFrameLocks noChangeAspect="1"/>
            </wp:cNvGraphicFramePr>
            <a:graphic>
              <a:graphicData uri="http://schemas.openxmlformats.org/drawingml/2006/picture">
                <pic:pic>
                  <pic:nvPicPr>
                    <pic:cNvPr id="68" name="image41.jpeg"/>
                    <pic:cNvPicPr/>
                  </pic:nvPicPr>
                  <pic:blipFill>
                    <a:blip r:embed="rId91" cstate="print"/>
                    <a:stretch>
                      <a:fillRect/>
                    </a:stretch>
                  </pic:blipFill>
                  <pic:spPr>
                    <a:xfrm>
                      <a:off x="0" y="0"/>
                      <a:ext cx="2923677" cy="2099691"/>
                    </a:xfrm>
                    <a:prstGeom prst="rect">
                      <a:avLst/>
                    </a:prstGeom>
                  </pic:spPr>
                </pic:pic>
              </a:graphicData>
            </a:graphic>
          </wp:anchor>
        </w:drawing>
      </w:r>
    </w:p>
    <w:p>
      <w:pPr>
        <w:spacing w:before="0"/>
        <w:ind w:left="0" w:right="409" w:firstLine="0"/>
        <w:jc w:val="center"/>
        <w:rPr>
          <w:sz w:val="18"/>
        </w:rPr>
      </w:pPr>
      <w:r>
        <w:rPr>
          <w:sz w:val="18"/>
        </w:rPr>
        <w:t>Figure 16: Front view of the prototype.</w:t>
      </w:r>
    </w:p>
    <w:p>
      <w:pPr>
        <w:pStyle w:val="BodyText"/>
      </w:pPr>
    </w:p>
    <w:p>
      <w:pPr>
        <w:pStyle w:val="BodyText"/>
      </w:pPr>
    </w:p>
    <w:p>
      <w:pPr>
        <w:pStyle w:val="BodyText"/>
        <w:spacing w:before="11"/>
        <w:rPr>
          <w:sz w:val="28"/>
        </w:rPr>
      </w:pPr>
      <w:r>
        <w:rPr/>
        <w:drawing>
          <wp:anchor distT="0" distB="0" distL="0" distR="0" allowOverlap="1" layoutInCell="1" locked="0" behindDoc="0" simplePos="0" relativeHeight="2440">
            <wp:simplePos x="0" y="0"/>
            <wp:positionH relativeFrom="page">
              <wp:posOffset>4180332</wp:posOffset>
            </wp:positionH>
            <wp:positionV relativeFrom="paragraph">
              <wp:posOffset>236408</wp:posOffset>
            </wp:positionV>
            <wp:extent cx="2902115" cy="3010662"/>
            <wp:effectExtent l="0" t="0" r="0" b="0"/>
            <wp:wrapTopAndBottom/>
            <wp:docPr id="69" name="image42.jpeg" descr=""/>
            <wp:cNvGraphicFramePr>
              <a:graphicFrameLocks noChangeAspect="1"/>
            </wp:cNvGraphicFramePr>
            <a:graphic>
              <a:graphicData uri="http://schemas.openxmlformats.org/drawingml/2006/picture">
                <pic:pic>
                  <pic:nvPicPr>
                    <pic:cNvPr id="70" name="image42.jpeg"/>
                    <pic:cNvPicPr/>
                  </pic:nvPicPr>
                  <pic:blipFill>
                    <a:blip r:embed="rId92" cstate="print"/>
                    <a:stretch>
                      <a:fillRect/>
                    </a:stretch>
                  </pic:blipFill>
                  <pic:spPr>
                    <a:xfrm>
                      <a:off x="0" y="0"/>
                      <a:ext cx="2902115" cy="3010662"/>
                    </a:xfrm>
                    <a:prstGeom prst="rect">
                      <a:avLst/>
                    </a:prstGeom>
                  </pic:spPr>
                </pic:pic>
              </a:graphicData>
            </a:graphic>
          </wp:anchor>
        </w:drawing>
      </w:r>
    </w:p>
    <w:p>
      <w:pPr>
        <w:spacing w:before="17"/>
        <w:ind w:left="0" w:right="407" w:firstLine="0"/>
        <w:jc w:val="center"/>
        <w:rPr>
          <w:sz w:val="18"/>
        </w:rPr>
      </w:pPr>
      <w:r>
        <w:rPr>
          <w:sz w:val="18"/>
        </w:rPr>
        <w:t>Figure 16: Front.Lateral view of the prototype.</w:t>
      </w:r>
    </w:p>
    <w:p>
      <w:pPr>
        <w:pStyle w:val="BodyText"/>
        <w:spacing w:before="3"/>
        <w:rPr>
          <w:sz w:val="18"/>
        </w:rPr>
      </w:pPr>
    </w:p>
    <w:p>
      <w:pPr>
        <w:pStyle w:val="ListParagraph"/>
        <w:numPr>
          <w:ilvl w:val="1"/>
          <w:numId w:val="23"/>
        </w:numPr>
        <w:tabs>
          <w:tab w:pos="542" w:val="left" w:leader="none"/>
        </w:tabs>
        <w:spacing w:line="240" w:lineRule="auto" w:before="0" w:after="0"/>
        <w:ind w:left="541" w:right="0" w:hanging="271"/>
        <w:jc w:val="left"/>
        <w:rPr>
          <w:b/>
          <w:sz w:val="18"/>
        </w:rPr>
      </w:pPr>
      <w:r>
        <w:rPr>
          <w:b/>
          <w:sz w:val="18"/>
        </w:rPr>
        <w:t>Conclusions</w:t>
      </w:r>
    </w:p>
    <w:p>
      <w:pPr>
        <w:spacing w:after="0" w:line="240" w:lineRule="auto"/>
        <w:jc w:val="left"/>
        <w:rPr>
          <w:sz w:val="18"/>
        </w:rPr>
        <w:sectPr>
          <w:type w:val="continuous"/>
          <w:pgSz w:w="12240" w:h="15840"/>
          <w:pgMar w:top="1500" w:bottom="280" w:left="580" w:right="220"/>
          <w:cols w:num="2" w:equalWidth="0">
            <w:col w:w="5163" w:space="435"/>
            <w:col w:w="5842"/>
          </w:cols>
        </w:sectPr>
      </w:pPr>
    </w:p>
    <w:p>
      <w:pPr>
        <w:pStyle w:val="BodyText"/>
        <w:rPr>
          <w:b/>
          <w:sz w:val="11"/>
        </w:rPr>
      </w:pPr>
    </w:p>
    <w:p>
      <w:pPr>
        <w:spacing w:before="77"/>
        <w:ind w:left="270" w:right="6274" w:firstLine="567"/>
        <w:jc w:val="both"/>
        <w:rPr>
          <w:sz w:val="18"/>
        </w:rPr>
      </w:pPr>
      <w:r>
        <w:rPr>
          <w:sz w:val="18"/>
        </w:rPr>
        <w:t>Once again it shows that we are in a system which always seeks continuous improvement, and of this philosophy are not exempted the hand tools, always looking to improve them to provide better comfort to the user. The computer equipment  is being used more frequently in homes, and with the proposal, can reduce the problems of health risk.</w:t>
      </w:r>
    </w:p>
    <w:p>
      <w:pPr>
        <w:pStyle w:val="BodyText"/>
        <w:rPr>
          <w:sz w:val="18"/>
        </w:rPr>
      </w:pPr>
    </w:p>
    <w:p>
      <w:pPr>
        <w:spacing w:before="0"/>
        <w:ind w:left="270" w:right="6276" w:firstLine="567"/>
        <w:jc w:val="both"/>
        <w:rPr>
          <w:sz w:val="18"/>
        </w:rPr>
      </w:pPr>
      <w:r>
        <w:rPr>
          <w:sz w:val="18"/>
        </w:rPr>
        <w:t>The latter occurs because the design of products aims direct human use involves consideration of a number of knowledge about the various features and physical limitations.</w:t>
      </w:r>
    </w:p>
    <w:p>
      <w:pPr>
        <w:pStyle w:val="BodyText"/>
        <w:spacing w:before="3"/>
        <w:rPr>
          <w:sz w:val="18"/>
        </w:rPr>
      </w:pPr>
    </w:p>
    <w:p>
      <w:pPr>
        <w:spacing w:before="0"/>
        <w:ind w:left="316" w:right="0" w:firstLine="0"/>
        <w:jc w:val="both"/>
        <w:rPr>
          <w:b/>
          <w:sz w:val="18"/>
        </w:rPr>
      </w:pPr>
      <w:r>
        <w:rPr>
          <w:b/>
          <w:sz w:val="18"/>
        </w:rPr>
        <w:t>References</w:t>
      </w:r>
    </w:p>
    <w:p>
      <w:pPr>
        <w:pStyle w:val="BodyText"/>
        <w:spacing w:before="7"/>
        <w:rPr>
          <w:b/>
          <w:sz w:val="17"/>
        </w:rPr>
      </w:pPr>
    </w:p>
    <w:p>
      <w:pPr>
        <w:tabs>
          <w:tab w:pos="1954" w:val="left" w:leader="none"/>
          <w:tab w:pos="3382" w:val="left" w:leader="none"/>
          <w:tab w:pos="4810" w:val="left" w:leader="none"/>
        </w:tabs>
        <w:spacing w:before="1"/>
        <w:ind w:left="270" w:right="6275" w:firstLine="0"/>
        <w:jc w:val="both"/>
        <w:rPr>
          <w:sz w:val="18"/>
        </w:rPr>
      </w:pPr>
      <w:r>
        <w:rPr>
          <w:sz w:val="18"/>
        </w:rPr>
        <w:t>[1] Germán Alonso Ruiz-Domínguez, Arnulfo Ochoa Indart, Enrique Javier de la Vega Bustillos, Carmen Leonor Villarreal Lizárraga. (2009). La antropometría en el desarrollo de nuevos productos. 24 de Marzo del 2015, de Sociedad de Ergonomistas de México,</w:t>
        <w:tab/>
        <w:t>A.C.</w:t>
        <w:tab/>
        <w:t>Sitio</w:t>
        <w:tab/>
        <w:t>web: </w:t>
      </w:r>
      <w:hyperlink r:id="rId93">
        <w:r>
          <w:rPr>
            <w:sz w:val="18"/>
          </w:rPr>
          <w:t>http://www.semac.org.mx/archivos/congreso11/ANTRO4.pdf</w:t>
        </w:r>
      </w:hyperlink>
    </w:p>
    <w:p>
      <w:pPr>
        <w:pStyle w:val="BodyText"/>
        <w:rPr>
          <w:sz w:val="18"/>
        </w:rPr>
      </w:pPr>
    </w:p>
    <w:p>
      <w:pPr>
        <w:spacing w:before="0"/>
        <w:ind w:left="270" w:right="6276" w:firstLine="0"/>
        <w:jc w:val="both"/>
        <w:rPr>
          <w:sz w:val="18"/>
        </w:rPr>
      </w:pPr>
      <w:r>
        <w:rPr>
          <w:sz w:val="18"/>
        </w:rPr>
        <w:t>[2] Lilia Roselia Prado León. (2014). Antropometría para el diseño industrial, de espacios y vestuario: datos y aplicaciones. Guadalajara, Jalisco, Mexico: Universidad De Guadalajara.</w:t>
      </w:r>
    </w:p>
    <w:p>
      <w:pPr>
        <w:pStyle w:val="BodyText"/>
        <w:rPr>
          <w:sz w:val="18"/>
        </w:rPr>
      </w:pPr>
    </w:p>
    <w:p>
      <w:pPr>
        <w:spacing w:before="0"/>
        <w:ind w:left="270" w:right="6275" w:firstLine="0"/>
        <w:jc w:val="both"/>
        <w:rPr>
          <w:sz w:val="18"/>
        </w:rPr>
      </w:pPr>
      <w:r>
        <w:rPr>
          <w:sz w:val="18"/>
        </w:rPr>
        <w:t>[3] Benjamín W. Niebel. . (Andris Freivalds.). Ingeniería  Industrial: Métodos, estándares y diseño del trabajo. Impreso en México: Mc Graw</w:t>
      </w:r>
      <w:r>
        <w:rPr>
          <w:spacing w:val="-2"/>
          <w:sz w:val="18"/>
        </w:rPr>
        <w:t> </w:t>
      </w:r>
      <w:r>
        <w:rPr>
          <w:sz w:val="18"/>
        </w:rPr>
        <w:t>Hill.</w:t>
      </w:r>
    </w:p>
    <w:p>
      <w:pPr>
        <w:pStyle w:val="BodyText"/>
        <w:rPr>
          <w:sz w:val="18"/>
        </w:rPr>
      </w:pPr>
    </w:p>
    <w:p>
      <w:pPr>
        <w:spacing w:before="0"/>
        <w:ind w:left="270" w:right="6277" w:firstLine="0"/>
        <w:jc w:val="both"/>
        <w:rPr>
          <w:sz w:val="18"/>
        </w:rPr>
      </w:pPr>
      <w:r>
        <w:rPr>
          <w:sz w:val="18"/>
        </w:rPr>
        <w:t>[4] Miguel Díez de Ulzurrun Sagala, Ana Garasa Jiménez, Mª Goretti Macaya Zandio, Javier Eransus Izquierdo. (2007). Trastornos músculo-esqueléticos de origen laboral. 13 de Marzo  del 2015, de Instituto Navarro de Salud Laboral Departamento de Salud Sitio web: </w:t>
      </w:r>
      <w:hyperlink r:id="rId94">
        <w:r>
          <w:rPr>
            <w:sz w:val="18"/>
          </w:rPr>
          <w:t>http://www.navarra.es/NR/rdonlyres/76DF548D-</w:t>
        </w:r>
      </w:hyperlink>
      <w:r>
        <w:rPr>
          <w:sz w:val="18"/>
        </w:rPr>
        <w:t> 769E-4DBF-A18E-8419F3A9A5FB/145886/TrastornosME.pdf</w:t>
      </w:r>
    </w:p>
    <w:p>
      <w:pPr>
        <w:pStyle w:val="BodyText"/>
        <w:rPr>
          <w:sz w:val="18"/>
        </w:rPr>
      </w:pPr>
    </w:p>
    <w:p>
      <w:pPr>
        <w:tabs>
          <w:tab w:pos="862" w:val="left" w:leader="none"/>
          <w:tab w:pos="1697" w:val="left" w:leader="none"/>
          <w:tab w:pos="2338" w:val="left" w:leader="none"/>
          <w:tab w:pos="2955" w:val="left" w:leader="none"/>
          <w:tab w:pos="3336" w:val="left" w:leader="none"/>
          <w:tab w:pos="4258" w:val="left" w:leader="none"/>
          <w:tab w:pos="4810" w:val="left" w:leader="none"/>
        </w:tabs>
        <w:spacing w:before="0"/>
        <w:ind w:left="270" w:right="6275" w:firstLine="0"/>
        <w:jc w:val="left"/>
        <w:rPr>
          <w:sz w:val="18"/>
        </w:rPr>
      </w:pPr>
      <w:r>
        <w:rPr>
          <w:sz w:val="18"/>
        </w:rPr>
        <w:t>[5]Microsoft Corp. (August 2013). Reducing the Incidence  and Cost of Work-related Musculoskeletal Disorders with Ergonomic Input</w:t>
        <w:tab/>
        <w:t>Devices.</w:t>
        <w:tab/>
        <w:t>Enero</w:t>
        <w:tab/>
        <w:t>2015,</w:t>
        <w:tab/>
        <w:t>de</w:t>
        <w:tab/>
        <w:t>Microsoft</w:t>
        <w:tab/>
        <w:t>Sitio</w:t>
        <w:tab/>
        <w:t>web: </w:t>
      </w:r>
      <w:hyperlink r:id="rId95">
        <w:r>
          <w:rPr>
            <w:sz w:val="18"/>
          </w:rPr>
          <w:t>http://download.microsoft.com/download/E/4/1/E413E1EC-B4E7-</w:t>
        </w:r>
      </w:hyperlink>
      <w:r>
        <w:rPr>
          <w:sz w:val="18"/>
        </w:rPr>
        <w:t> 4B49-B786-F07BA02C57D3/Ergonomic_Whitepaper.pdf</w:t>
      </w:r>
    </w:p>
    <w:p>
      <w:pPr>
        <w:pStyle w:val="BodyText"/>
        <w:rPr>
          <w:sz w:val="18"/>
        </w:rPr>
      </w:pPr>
    </w:p>
    <w:p>
      <w:pPr>
        <w:tabs>
          <w:tab w:pos="2645" w:val="left" w:leader="none"/>
          <w:tab w:pos="4810" w:val="left" w:leader="none"/>
        </w:tabs>
        <w:spacing w:before="0"/>
        <w:ind w:left="270" w:right="6275" w:firstLine="0"/>
        <w:jc w:val="both"/>
        <w:rPr>
          <w:sz w:val="18"/>
        </w:rPr>
      </w:pPr>
      <w:r>
        <w:rPr>
          <w:sz w:val="18"/>
        </w:rPr>
        <w:t>[6]Héctor Juárez Guzmán, José Antonio Rosas Páez, Manuel Pérez Morales, Reyes Chavarría Grandados. (2010). Mouse USB Inalámbrico, 17 de Marzo del 2015, de Universidad del Valle de México</w:t>
        <w:tab/>
        <w:t>Sitio</w:t>
        <w:tab/>
        <w:t>web: </w:t>
      </w:r>
      <w:hyperlink r:id="rId96">
        <w:r>
          <w:rPr>
            <w:sz w:val="18"/>
          </w:rPr>
          <w:t>http://www.tlalpan.uvmnet.edu/oiid/download/Mouse%20USB_04</w:t>
        </w:r>
      </w:hyperlink>
    </w:p>
    <w:p>
      <w:pPr>
        <w:spacing w:before="0"/>
        <w:ind w:left="270" w:right="0" w:firstLine="0"/>
        <w:jc w:val="both"/>
        <w:rPr>
          <w:sz w:val="18"/>
        </w:rPr>
      </w:pPr>
      <w:r>
        <w:rPr>
          <w:sz w:val="18"/>
        </w:rPr>
        <w:t>_ING_ISC_PIT_E.pdf</w:t>
      </w:r>
    </w:p>
    <w:p>
      <w:pPr>
        <w:spacing w:after="0"/>
        <w:jc w:val="both"/>
        <w:rPr>
          <w:sz w:val="18"/>
        </w:rPr>
        <w:sectPr>
          <w:pgSz w:w="12240" w:h="15840"/>
          <w:pgMar w:header="545" w:footer="852" w:top="1060" w:bottom="1040" w:left="580" w:right="220"/>
        </w:sectPr>
      </w:pPr>
    </w:p>
    <w:p>
      <w:pPr>
        <w:pStyle w:val="BodyText"/>
        <w:rPr>
          <w:sz w:val="11"/>
        </w:rPr>
      </w:pPr>
    </w:p>
    <w:p>
      <w:pPr>
        <w:spacing w:after="0"/>
        <w:rPr>
          <w:sz w:val="11"/>
        </w:rPr>
        <w:sectPr>
          <w:pgSz w:w="12240" w:h="15840"/>
          <w:pgMar w:header="545" w:footer="852" w:top="1060" w:bottom="1040" w:left="580" w:right="220"/>
        </w:sectPr>
      </w:pPr>
    </w:p>
    <w:p>
      <w:pPr>
        <w:pStyle w:val="BodyText"/>
        <w:spacing w:before="11"/>
        <w:rPr>
          <w:sz w:val="24"/>
        </w:rPr>
      </w:pPr>
    </w:p>
    <w:p>
      <w:pPr>
        <w:pStyle w:val="Heading1"/>
        <w:ind w:left="279" w:right="11"/>
        <w:jc w:val="center"/>
      </w:pPr>
      <w:r>
        <w:rPr/>
        <w:t>Designing urban park under the approach of integral social service.</w:t>
      </w:r>
    </w:p>
    <w:p>
      <w:pPr>
        <w:spacing w:line="206" w:lineRule="exact" w:before="210"/>
        <w:ind w:left="270" w:right="0" w:firstLine="0"/>
        <w:jc w:val="both"/>
        <w:rPr>
          <w:rFonts w:ascii="Arial" w:hAnsi="Arial"/>
          <w:sz w:val="18"/>
        </w:rPr>
      </w:pPr>
      <w:r>
        <w:rPr>
          <w:rFonts w:ascii="Arial" w:hAnsi="Arial"/>
          <w:sz w:val="18"/>
        </w:rPr>
        <w:t>Diana Yaneth Hernández Cadena</w:t>
      </w:r>
      <w:r>
        <w:rPr>
          <w:rFonts w:ascii="Arial" w:hAnsi="Arial"/>
          <w:position w:val="9"/>
          <w:sz w:val="12"/>
        </w:rPr>
        <w:t>1</w:t>
      </w:r>
      <w:r>
        <w:rPr>
          <w:rFonts w:ascii="Arial" w:hAnsi="Arial"/>
          <w:sz w:val="18"/>
        </w:rPr>
        <w:t>, Ydiel Antonio Boyzo Lopez</w:t>
      </w:r>
      <w:r>
        <w:rPr>
          <w:rFonts w:ascii="Arial" w:hAnsi="Arial"/>
          <w:position w:val="9"/>
          <w:sz w:val="12"/>
        </w:rPr>
        <w:t>2</w:t>
      </w:r>
      <w:r>
        <w:rPr>
          <w:rFonts w:ascii="Arial" w:hAnsi="Arial"/>
          <w:sz w:val="18"/>
        </w:rPr>
        <w:t>, Prado Hernández Francisco Javier</w:t>
      </w:r>
      <w:r>
        <w:rPr>
          <w:rFonts w:ascii="Arial" w:hAnsi="Arial"/>
          <w:position w:val="9"/>
          <w:sz w:val="12"/>
        </w:rPr>
        <w:t>3</w:t>
      </w:r>
      <w:r>
        <w:rPr>
          <w:rFonts w:ascii="Arial" w:hAnsi="Arial"/>
          <w:sz w:val="18"/>
        </w:rPr>
        <w:t>.</w:t>
      </w:r>
    </w:p>
    <w:p>
      <w:pPr>
        <w:spacing w:before="170"/>
        <w:ind w:left="278" w:right="11" w:firstLine="0"/>
        <w:jc w:val="center"/>
        <w:rPr>
          <w:rFonts w:ascii="Arial" w:hAnsi="Arial"/>
          <w:sz w:val="18"/>
        </w:rPr>
      </w:pPr>
      <w:r>
        <w:rPr>
          <w:rFonts w:ascii="Arial" w:hAnsi="Arial"/>
          <w:position w:val="9"/>
          <w:sz w:val="12"/>
        </w:rPr>
        <w:t>1,2,3 </w:t>
      </w:r>
      <w:r>
        <w:rPr>
          <w:rFonts w:ascii="Arial" w:hAnsi="Arial"/>
          <w:sz w:val="18"/>
        </w:rPr>
        <w:t>División de Ingeniería Industrial</w:t>
      </w:r>
    </w:p>
    <w:p>
      <w:pPr>
        <w:spacing w:before="0"/>
        <w:ind w:left="280" w:right="11" w:firstLine="0"/>
        <w:jc w:val="center"/>
        <w:rPr>
          <w:rFonts w:ascii="Arial" w:hAnsi="Arial"/>
          <w:sz w:val="18"/>
        </w:rPr>
      </w:pPr>
      <w:r>
        <w:rPr>
          <w:rFonts w:ascii="Arial" w:hAnsi="Arial"/>
          <w:sz w:val="18"/>
        </w:rPr>
        <w:t>Instituto Tecnológico Superior de Ciudad Constitución Marcelo Rubio Ruiz S/N</w:t>
      </w:r>
    </w:p>
    <w:p>
      <w:pPr>
        <w:spacing w:line="206" w:lineRule="exact" w:before="0"/>
        <w:ind w:left="278" w:right="11" w:firstLine="0"/>
        <w:jc w:val="center"/>
        <w:rPr>
          <w:rFonts w:ascii="Arial"/>
          <w:sz w:val="18"/>
        </w:rPr>
      </w:pPr>
      <w:r>
        <w:rPr>
          <w:rFonts w:ascii="Arial"/>
          <w:sz w:val="18"/>
        </w:rPr>
        <w:t>Col. Cuatro de Marzo</w:t>
      </w:r>
    </w:p>
    <w:p>
      <w:pPr>
        <w:spacing w:line="190" w:lineRule="exact" w:before="0"/>
        <w:ind w:left="279" w:right="11" w:firstLine="0"/>
        <w:jc w:val="center"/>
        <w:rPr>
          <w:rFonts w:ascii="Arial" w:hAnsi="Arial"/>
          <w:sz w:val="18"/>
        </w:rPr>
      </w:pPr>
      <w:r>
        <w:rPr>
          <w:rFonts w:ascii="Arial" w:hAnsi="Arial"/>
          <w:sz w:val="18"/>
        </w:rPr>
        <w:t>Cd. Constitución, B.C.S. 23641</w:t>
      </w:r>
    </w:p>
    <w:p>
      <w:pPr>
        <w:spacing w:line="201" w:lineRule="auto" w:before="10"/>
        <w:ind w:left="1325" w:right="1055" w:firstLine="0"/>
        <w:jc w:val="center"/>
        <w:rPr>
          <w:rFonts w:ascii="Arial"/>
          <w:sz w:val="18"/>
        </w:rPr>
      </w:pPr>
      <w:hyperlink r:id="rId97">
        <w:r>
          <w:rPr>
            <w:rFonts w:ascii="Arial"/>
            <w:position w:val="9"/>
            <w:sz w:val="12"/>
          </w:rPr>
          <w:t>1</w:t>
        </w:r>
        <w:r>
          <w:rPr>
            <w:rFonts w:ascii="Arial"/>
            <w:color w:val="0000FF"/>
            <w:sz w:val="18"/>
            <w:u w:val="single" w:color="0000FF"/>
          </w:rPr>
          <w:t>diana_estrella3@hotmail.com.mx</w:t>
        </w:r>
        <w:r>
          <w:rPr>
            <w:rFonts w:ascii="Arial"/>
            <w:sz w:val="18"/>
          </w:rPr>
          <w:t>,</w:t>
        </w:r>
      </w:hyperlink>
      <w:r>
        <w:rPr>
          <w:rFonts w:ascii="Arial"/>
          <w:sz w:val="18"/>
        </w:rPr>
        <w:t> </w:t>
      </w:r>
      <w:hyperlink r:id="rId98">
        <w:r>
          <w:rPr>
            <w:rFonts w:ascii="Arial"/>
            <w:position w:val="9"/>
            <w:sz w:val="12"/>
          </w:rPr>
          <w:t>2</w:t>
        </w:r>
        <w:r>
          <w:rPr>
            <w:rFonts w:ascii="Arial"/>
            <w:color w:val="0000FF"/>
            <w:sz w:val="18"/>
            <w:u w:val="single" w:color="0000FF"/>
          </w:rPr>
          <w:t>yboyzo11@itscc.edu.mx</w:t>
        </w:r>
        <w:r>
          <w:rPr>
            <w:rFonts w:ascii="Arial"/>
            <w:sz w:val="18"/>
          </w:rPr>
          <w:t>,</w:t>
        </w:r>
      </w:hyperlink>
      <w:r>
        <w:rPr>
          <w:rFonts w:ascii="Arial"/>
          <w:sz w:val="18"/>
        </w:rPr>
        <w:t> </w:t>
      </w:r>
      <w:hyperlink r:id="rId99">
        <w:r>
          <w:rPr>
            <w:rFonts w:ascii="Arial"/>
            <w:position w:val="9"/>
            <w:sz w:val="12"/>
          </w:rPr>
          <w:t>3</w:t>
        </w:r>
        <w:r>
          <w:rPr>
            <w:rFonts w:ascii="Arial"/>
            <w:color w:val="0000FF"/>
            <w:sz w:val="18"/>
            <w:u w:val="single" w:color="0000FF"/>
          </w:rPr>
          <w:t>fprado@itscc.edu.mx</w:t>
        </w:r>
      </w:hyperlink>
    </w:p>
    <w:p>
      <w:pPr>
        <w:pStyle w:val="BodyText"/>
        <w:spacing w:before="4"/>
        <w:rPr>
          <w:rFonts w:ascii="Arial"/>
          <w:sz w:val="18"/>
        </w:rPr>
      </w:pPr>
    </w:p>
    <w:p>
      <w:pPr>
        <w:spacing w:before="1"/>
        <w:ind w:left="270" w:right="0" w:firstLine="0"/>
        <w:jc w:val="both"/>
        <w:rPr>
          <w:rFonts w:ascii="Arial"/>
          <w:b/>
          <w:sz w:val="18"/>
        </w:rPr>
      </w:pPr>
      <w:r>
        <w:rPr>
          <w:rFonts w:ascii="Arial"/>
          <w:b/>
          <w:sz w:val="18"/>
        </w:rPr>
        <w:t>Resumen</w:t>
      </w:r>
    </w:p>
    <w:p>
      <w:pPr>
        <w:pStyle w:val="BodyText"/>
        <w:spacing w:before="9"/>
        <w:rPr>
          <w:rFonts w:ascii="Arial"/>
          <w:b/>
          <w:sz w:val="17"/>
        </w:rPr>
      </w:pPr>
    </w:p>
    <w:p>
      <w:pPr>
        <w:spacing w:before="1"/>
        <w:ind w:left="270" w:right="0" w:firstLine="0"/>
        <w:jc w:val="both"/>
        <w:rPr>
          <w:sz w:val="18"/>
        </w:rPr>
      </w:pPr>
      <w:r>
        <w:rPr>
          <w:sz w:val="18"/>
        </w:rPr>
        <w:t>El proyecto de investigación que se expone fue realizado en ciudad constitución B.C.S., con el objetivo de diseñar un parque urbano de interacción social, basado en fundamentos ergonómicos y de interacción social. Considerando específicamente las características ambientales y físicas de la comunidad, las necesidades físicas y sociales de las personas que habitan la misma, y la normatividad vigente en relación a este tipo de proyecto.</w:t>
      </w:r>
    </w:p>
    <w:p>
      <w:pPr>
        <w:spacing w:before="0"/>
        <w:ind w:left="270" w:right="0" w:firstLine="0"/>
        <w:jc w:val="both"/>
        <w:rPr>
          <w:sz w:val="18"/>
        </w:rPr>
      </w:pPr>
      <w:r>
        <w:rPr>
          <w:sz w:val="18"/>
        </w:rPr>
        <w:t>Lo anterior con el propósito de manejarlo como una propuesta innovadora en los contextos sociales donde las personas pertenecientes a los diferentes sectores de la sociedad (Niños, Adolecentes, Adultos, Personas de la tercera Edad y personas discapacitadas), desarrollan sus procesos de interacción y esparcimiento en busca de lograr que dichos procesos se realicen de una manera efectiva y con ello contar con una población en ciudad constitución más saludable que desarrolle de manera personal e integral un mejor desempeño laboral, escolar y social.</w:t>
      </w:r>
    </w:p>
    <w:p>
      <w:pPr>
        <w:spacing w:before="0"/>
        <w:ind w:left="270" w:right="0" w:firstLine="0"/>
        <w:jc w:val="both"/>
        <w:rPr>
          <w:sz w:val="18"/>
        </w:rPr>
      </w:pPr>
      <w:r>
        <w:rPr>
          <w:sz w:val="18"/>
        </w:rPr>
        <w:t>Esta investigación tuvo como principal finalidad comprobar que los parques en ciudad constitución no presentan en su diseño principios ergonómicos y de interacción social, lo cual se pudo comprobar al final de la investigación, ya que durante su desarrollo de procedió a medir las dimensiones de áreas, mobiliario, espacios y juegos recreativos, así como identificar las condiciones que propician la interacción social de las personas, comprobando que estas se encontraban fuera de los parámetros recomendados por los ergonomistas y expertos en construcciones urbanas, así como carentes de posibilidades de interacción social entre las personas pertenecientes a los diferentes sectores sociales que integran la población de ciudad constitución, concluyendo al respecto que si Diseñamos e implementamos un parque urbano que considere aspectos ergonómicos y de interacción social, se lograra incrementar el grado de satisfacción en esparcimiento e interacción social, ya que este se adecuara a las necesidades físicas, y sociales de sus usuarios.</w:t>
      </w:r>
    </w:p>
    <w:p>
      <w:pPr>
        <w:spacing w:before="0"/>
        <w:ind w:left="270" w:right="0" w:firstLine="0"/>
        <w:jc w:val="both"/>
        <w:rPr>
          <w:sz w:val="18"/>
        </w:rPr>
      </w:pPr>
      <w:r>
        <w:rPr>
          <w:sz w:val="18"/>
        </w:rPr>
        <w:t>En cuanto a los tipo de investigaciones empleadas podemos mencionar que se empleó la investigación cualitativa, ya que esta tiene como característica que se presenta en un entorno social y en ella se ponen en consideración las opiniones o sentir de las  personas sobre un hecho o fenómeno que se presenta y puede ser esto determinante o ser sujeto para las conclusiones del proyecto de investigación, por otro lado se emplea también la investigación aplicada la cual permite resolver problemas que se presentan a partir de la aplicación de conocimientos, aunado a lo anterior se emplea la investigación de campo ya que este tipo de investigación se apoya en informaciones que provienen entre otras, de  entrevistas, cuestionarios, encuestas y observaciones. La investigación  de  campo  es  el  trabajo  metódico  realizado     para</w:t>
      </w:r>
    </w:p>
    <w:p>
      <w:pPr>
        <w:spacing w:before="77"/>
        <w:ind w:left="270" w:right="678" w:firstLine="0"/>
        <w:jc w:val="both"/>
        <w:rPr>
          <w:sz w:val="18"/>
        </w:rPr>
      </w:pPr>
      <w:r>
        <w:rPr/>
        <w:br w:type="column"/>
      </w:r>
      <w:r>
        <w:rPr>
          <w:sz w:val="18"/>
        </w:rPr>
        <w:t>recoger material directo en el lugar mismo donde se presenta el fenómeno que se quiere estudiar o donde se realizan aquellos aspectos que van a sujetarse a estudio, de ahí la viabilidad de emplear este tipo de investigación en el presente trabajo.</w:t>
      </w:r>
    </w:p>
    <w:p>
      <w:pPr>
        <w:pStyle w:val="BodyText"/>
        <w:spacing w:before="4"/>
        <w:rPr>
          <w:sz w:val="18"/>
        </w:rPr>
      </w:pPr>
    </w:p>
    <w:p>
      <w:pPr>
        <w:spacing w:before="1"/>
        <w:ind w:left="270" w:right="0" w:firstLine="0"/>
        <w:jc w:val="both"/>
        <w:rPr>
          <w:b/>
          <w:i/>
          <w:sz w:val="18"/>
        </w:rPr>
      </w:pPr>
      <w:r>
        <w:rPr>
          <w:b/>
          <w:i/>
          <w:sz w:val="18"/>
        </w:rPr>
        <w:t>Abstract</w:t>
      </w:r>
    </w:p>
    <w:p>
      <w:pPr>
        <w:pStyle w:val="BodyText"/>
        <w:spacing w:before="6"/>
        <w:rPr>
          <w:b/>
          <w:i/>
          <w:sz w:val="17"/>
        </w:rPr>
      </w:pPr>
    </w:p>
    <w:p>
      <w:pPr>
        <w:spacing w:before="0"/>
        <w:ind w:left="270" w:right="678" w:firstLine="0"/>
        <w:jc w:val="both"/>
        <w:rPr>
          <w:i/>
          <w:sz w:val="18"/>
        </w:rPr>
      </w:pPr>
      <w:r>
        <w:rPr>
          <w:i/>
          <w:sz w:val="18"/>
        </w:rPr>
        <w:t>The research project discussed was conducted in Ciudad </w:t>
      </w:r>
      <w:r>
        <w:rPr>
          <w:i/>
          <w:sz w:val="18"/>
        </w:rPr>
        <w:t>Constitucion, B.C.S., Mexico with the aim of designing a city park for social interaction, based on ergonomic principles and social interaction. Specifically considering the environmental and  physical characteristics of the community, physical and social  needs of the people who inhabit it, and the current regulations regarding this type of</w:t>
      </w:r>
      <w:r>
        <w:rPr>
          <w:i/>
          <w:spacing w:val="-1"/>
          <w:sz w:val="18"/>
        </w:rPr>
        <w:t> </w:t>
      </w:r>
      <w:r>
        <w:rPr>
          <w:i/>
          <w:sz w:val="18"/>
        </w:rPr>
        <w:t>project.</w:t>
      </w:r>
    </w:p>
    <w:p>
      <w:pPr>
        <w:spacing w:before="0"/>
        <w:ind w:left="270" w:right="692" w:firstLine="0"/>
        <w:jc w:val="left"/>
        <w:rPr>
          <w:i/>
          <w:sz w:val="18"/>
        </w:rPr>
      </w:pPr>
      <w:r>
        <w:rPr>
          <w:i/>
          <w:sz w:val="18"/>
        </w:rPr>
        <w:t>This in order to manage it as an innovative proposal in social </w:t>
      </w:r>
      <w:r>
        <w:rPr>
          <w:i/>
          <w:sz w:val="18"/>
        </w:rPr>
        <w:t>contexts where people belonging to different sectors of society (Child, Adolescent, Adult, Senior Ages and handicapped persons), develop their processes of interaction and recreation seeking to ensure that these processes are carried out effectively and thus have a healthier population in Ciudad Constitucion to develop personal and integral better work, school and social performance. This research had as main objective to verify that parks in the city does not occur in ergonomic design and social interaction principles, which it was noticed at the end of this research, since during its development proceeded to measure the dimensions of areas, furniture, spaces and recreational games, as well as identify the conditions that foster social interaction of people, proving that these were outside those recommended by ergonomists and experts in urban construction parameters and lack of opportunities for social interaction between people from different social sectors that make up the population of Ciudad Constitucion, concluding about  if an urban park is designed and implemented considering ergonomic and social interaction aspects, satisfaction in leisure  and social interaction will be increased, so it will be adequated for the physical, and social needs of its</w:t>
      </w:r>
      <w:r>
        <w:rPr>
          <w:i/>
          <w:spacing w:val="-14"/>
          <w:sz w:val="18"/>
        </w:rPr>
        <w:t> </w:t>
      </w:r>
      <w:r>
        <w:rPr>
          <w:i/>
          <w:sz w:val="18"/>
        </w:rPr>
        <w:t>users.</w:t>
      </w:r>
    </w:p>
    <w:p>
      <w:pPr>
        <w:spacing w:before="0"/>
        <w:ind w:left="270" w:right="677" w:firstLine="0"/>
        <w:jc w:val="both"/>
        <w:rPr>
          <w:i/>
          <w:sz w:val="18"/>
        </w:rPr>
      </w:pPr>
      <w:r>
        <w:rPr>
          <w:i/>
          <w:sz w:val="18"/>
        </w:rPr>
        <w:t>As the type of research work, we may mention that qualitative </w:t>
      </w:r>
      <w:r>
        <w:rPr>
          <w:i/>
          <w:sz w:val="18"/>
        </w:rPr>
        <w:t>research was used, as this has the characteristic that occurs in a social setting and it is put into consideration the views and feelings of the people about an event or phenomenon presented and this could be determinant or be subject to the findings of the research project, on the other hand applied research that solves problems arising from the application of knowledge, coupled with the above field research was also used since this type of research is based on information coming among others, interviews, questionnaires, surveys and observations. Field research is the methodical work to collect direct material in the same place where the phenomenon to be studied or where those aspects that will be studied, hence the feasibility of using this type of research presented in this work.</w:t>
      </w:r>
    </w:p>
    <w:p>
      <w:pPr>
        <w:pStyle w:val="BodyText"/>
        <w:rPr>
          <w:i/>
          <w:sz w:val="18"/>
        </w:rPr>
      </w:pPr>
    </w:p>
    <w:p>
      <w:pPr>
        <w:pStyle w:val="BodyText"/>
        <w:spacing w:before="4"/>
        <w:rPr>
          <w:i/>
          <w:sz w:val="18"/>
        </w:rPr>
      </w:pPr>
    </w:p>
    <w:p>
      <w:pPr>
        <w:spacing w:before="0"/>
        <w:ind w:left="0" w:right="409" w:firstLine="0"/>
        <w:jc w:val="center"/>
        <w:rPr>
          <w:b/>
          <w:sz w:val="18"/>
        </w:rPr>
      </w:pPr>
      <w:r>
        <w:rPr>
          <w:b/>
          <w:sz w:val="18"/>
        </w:rPr>
        <w:t>INTRODUCTION</w:t>
      </w:r>
    </w:p>
    <w:p>
      <w:pPr>
        <w:pStyle w:val="BodyText"/>
        <w:spacing w:before="7"/>
        <w:rPr>
          <w:b/>
          <w:sz w:val="17"/>
        </w:rPr>
      </w:pPr>
    </w:p>
    <w:p>
      <w:pPr>
        <w:spacing w:before="1"/>
        <w:ind w:left="270" w:right="677" w:firstLine="0"/>
        <w:jc w:val="both"/>
        <w:rPr>
          <w:sz w:val="18"/>
        </w:rPr>
      </w:pPr>
      <w:r>
        <w:rPr>
          <w:sz w:val="18"/>
        </w:rPr>
        <w:t>Through time and among human societies, perception, design and use of the parks have changed significantly. From classical Greece, there were natural plots, which initially were dedicated to Dionysus and Apollo gods, but they subsequently became public use. In the Middle Age, the absence of such public spaces arises, restricting  the use of private gardens. In the Renaissance, architectural buildings arise. The Modern Age, brings a new social and political order, which is characterized by absolute monarchies and Baroque art style. The nineteenth century marks the end of a process dedicated to getting the recreation of nature in urban space for recreation and public enjoyment. The need for labor in the  industrial centers led to cities large numbers of workers,</w:t>
      </w:r>
      <w:r>
        <w:rPr>
          <w:spacing w:val="39"/>
          <w:sz w:val="18"/>
        </w:rPr>
        <w:t> </w:t>
      </w:r>
      <w:r>
        <w:rPr>
          <w:sz w:val="18"/>
        </w:rPr>
        <w:t>prompting</w:t>
      </w:r>
    </w:p>
    <w:p>
      <w:pPr>
        <w:spacing w:after="0"/>
        <w:jc w:val="both"/>
        <w:rPr>
          <w:sz w:val="18"/>
        </w:rPr>
        <w:sectPr>
          <w:type w:val="continuous"/>
          <w:pgSz w:w="12240" w:h="15840"/>
          <w:pgMar w:top="1500" w:bottom="280" w:left="580" w:right="220"/>
          <w:cols w:num="2" w:equalWidth="0">
            <w:col w:w="5163" w:space="435"/>
            <w:col w:w="5842"/>
          </w:cols>
        </w:sectPr>
      </w:pPr>
    </w:p>
    <w:p>
      <w:pPr>
        <w:pStyle w:val="BodyText"/>
        <w:rPr>
          <w:sz w:val="11"/>
        </w:rPr>
      </w:pPr>
    </w:p>
    <w:p>
      <w:pPr>
        <w:spacing w:after="0"/>
        <w:rPr>
          <w:sz w:val="11"/>
        </w:rPr>
        <w:sectPr>
          <w:pgSz w:w="12240" w:h="15840"/>
          <w:pgMar w:header="545" w:footer="852" w:top="1060" w:bottom="1040" w:left="580" w:right="220"/>
        </w:sectPr>
      </w:pPr>
    </w:p>
    <w:p>
      <w:pPr>
        <w:spacing w:before="77"/>
        <w:ind w:left="270" w:right="0" w:firstLine="0"/>
        <w:jc w:val="both"/>
        <w:rPr>
          <w:sz w:val="18"/>
        </w:rPr>
      </w:pPr>
      <w:r>
        <w:rPr>
          <w:sz w:val="18"/>
        </w:rPr>
        <w:t>the progressive lack of living space. This mass was accompanied  by inadequate sanitation, hygiene and total absence of pollution from factories. The concept of "public park", understood as a space created and the city government funded for the free use of citizens is generated by the need to oxygenate the city to make it healthier and creating spaces for recreation and leisure, until after the industrial revolution. Currently, parks and gardens cannot be analyzed as separate elements, but as a set of elements and interlocking functions. The relationship between Man and Nature, has changed over time ranging from a harmonious balance in the early development of mankind until the present time in which a clear imbalance was produced occurring an intense and indiscriminate pressure of the society on the</w:t>
      </w:r>
      <w:r>
        <w:rPr>
          <w:spacing w:val="-11"/>
          <w:sz w:val="18"/>
        </w:rPr>
        <w:t> </w:t>
      </w:r>
      <w:r>
        <w:rPr>
          <w:sz w:val="18"/>
        </w:rPr>
        <w:t>nature.</w:t>
      </w:r>
    </w:p>
    <w:p>
      <w:pPr>
        <w:spacing w:before="0"/>
        <w:ind w:left="270" w:right="1" w:firstLine="0"/>
        <w:jc w:val="both"/>
        <w:rPr>
          <w:sz w:val="18"/>
        </w:rPr>
      </w:pPr>
      <w:r>
        <w:rPr>
          <w:sz w:val="18"/>
        </w:rPr>
        <w:t>Therefore it is that today nationwide and specifically in BCS, seeks to create environments in which humans can interact in a balanced way with nature and in turn can meet your needs for recreation and social interaction, and thereby achieving a better quality of life and health, both physical and mental population.</w:t>
      </w:r>
    </w:p>
    <w:p>
      <w:pPr>
        <w:spacing w:before="0"/>
        <w:ind w:left="270" w:right="0" w:firstLine="0"/>
        <w:jc w:val="both"/>
        <w:rPr>
          <w:sz w:val="18"/>
        </w:rPr>
      </w:pPr>
      <w:r>
        <w:rPr>
          <w:sz w:val="18"/>
        </w:rPr>
        <w:t>In the Instituto Tecnologico Superior de Ciudad Constitucion, within the area of architecture, there has been conducted research  to generate proposals for urban park, but only considering sustainable factor and not ergonomic and psychological part of users, which does not allow to achieve their overall</w:t>
      </w:r>
      <w:r>
        <w:rPr>
          <w:spacing w:val="-15"/>
          <w:sz w:val="18"/>
        </w:rPr>
        <w:t> </w:t>
      </w:r>
      <w:r>
        <w:rPr>
          <w:sz w:val="18"/>
        </w:rPr>
        <w:t>satisfaction.</w:t>
      </w:r>
    </w:p>
    <w:p>
      <w:pPr>
        <w:spacing w:before="0"/>
        <w:ind w:left="270" w:right="0" w:firstLine="0"/>
        <w:jc w:val="both"/>
        <w:rPr>
          <w:sz w:val="18"/>
        </w:rPr>
      </w:pPr>
      <w:r>
        <w:rPr>
          <w:sz w:val="18"/>
        </w:rPr>
        <w:t>This project arises from the need to create an urban park in Ciudad Constitucion BCS for community development and social integration in order to achieve social and cultural cohesion, retrieving values, customs, traditions, solidarity towards vulnerable groups and integration of people with disabilities and older people, adults, youth and children. Urban parks play a very important paper both humans and environment that surrounds because it is an important factor in the ecological environment, functioning as "lungs" for cities, generating oxygen and mitigating the heat produced by lightning the sun reflected on the streets and sidewalks, also contribute to the social aspect, with public spaces, recreation, leisure and democratization. Urban parks for its role must have in their design proper ergonomic bases for diversity including furniture such as benches, games, ramps for handicapped people, infrastructure and the right colors for the different sectors  of the population spending a pleasant stay while being</w:t>
      </w:r>
      <w:r>
        <w:rPr>
          <w:spacing w:val="-6"/>
          <w:sz w:val="18"/>
        </w:rPr>
        <w:t> </w:t>
      </w:r>
      <w:r>
        <w:rPr>
          <w:sz w:val="18"/>
        </w:rPr>
        <w:t>there.</w:t>
      </w:r>
    </w:p>
    <w:p>
      <w:pPr>
        <w:spacing w:before="0"/>
        <w:ind w:left="270" w:right="304" w:firstLine="0"/>
        <w:jc w:val="both"/>
        <w:rPr>
          <w:sz w:val="18"/>
        </w:rPr>
      </w:pPr>
      <w:r>
        <w:rPr/>
        <w:pict>
          <v:group style="position:absolute;margin-left:280.739990pt;margin-top:10.022038pt;width:241.5pt;height:178.1pt;mso-position-horizontal-relative:page;mso-position-vertical-relative:paragraph;z-index:2512" coordorigin="5615,200" coordsize="4830,3562">
            <v:shape style="position:absolute;left:5630;top:200;width:4814;height:3562" type="#_x0000_t75" stroked="false">
              <v:imagedata r:id="rId100" o:title=""/>
            </v:shape>
            <v:rect style="position:absolute;left:5615;top:3145;width:4410;height:390" filled="true" fillcolor="#ffffff" stroked="false">
              <v:fill type="solid"/>
            </v:rect>
            <v:shape style="position:absolute;left:5615;top:3168;width:3173;height:201" type="#_x0000_t202" filled="false" stroked="false">
              <v:textbox inset="0,0,0,0">
                <w:txbxContent>
                  <w:p>
                    <w:pPr>
                      <w:spacing w:line="200" w:lineRule="exact" w:before="0"/>
                      <w:ind w:left="0" w:right="-19" w:firstLine="0"/>
                      <w:jc w:val="left"/>
                      <w:rPr>
                        <w:sz w:val="20"/>
                      </w:rPr>
                    </w:pPr>
                    <w:r>
                      <w:rPr>
                        <w:b/>
                        <w:sz w:val="20"/>
                      </w:rPr>
                      <w:t>Figura 1. </w:t>
                    </w:r>
                    <w:r>
                      <w:rPr>
                        <w:sz w:val="20"/>
                      </w:rPr>
                      <w:t>Ciudad Constitucion location</w:t>
                    </w:r>
                  </w:p>
                </w:txbxContent>
              </v:textbox>
              <w10:wrap type="none"/>
            </v:shape>
            <w10:wrap type="none"/>
          </v:group>
        </w:pict>
      </w:r>
      <w:r>
        <w:rPr>
          <w:sz w:val="18"/>
        </w:rPr>
        <w:t>Currently the City does not have adequate urban park to the needs of different sectors of the population, that is why this project intends to encompass ergonomic issues, sustainability and social interaction. Where people can exercise, play, relax, talk, distracted, among other activities to the appropriate coexistence of people of the town. According to the characteristics and needs of the population it is contemplated that the design will feature green areas, areas to promote  sports, playgrounds for children, areas for culture, rest areas, and other areas for</w:t>
      </w:r>
      <w:r>
        <w:rPr>
          <w:spacing w:val="-11"/>
          <w:sz w:val="18"/>
        </w:rPr>
        <w:t> </w:t>
      </w:r>
      <w:r>
        <w:rPr>
          <w:sz w:val="18"/>
        </w:rPr>
        <w:t>coexistence.</w:t>
      </w:r>
    </w:p>
    <w:p>
      <w:pPr>
        <w:pStyle w:val="BodyText"/>
        <w:rPr>
          <w:sz w:val="18"/>
        </w:rPr>
      </w:pPr>
    </w:p>
    <w:p>
      <w:pPr>
        <w:pStyle w:val="BodyText"/>
        <w:spacing w:before="3"/>
        <w:rPr>
          <w:sz w:val="18"/>
        </w:rPr>
      </w:pPr>
    </w:p>
    <w:p>
      <w:pPr>
        <w:spacing w:line="205" w:lineRule="exact" w:before="0"/>
        <w:ind w:left="270" w:right="0" w:firstLine="0"/>
        <w:jc w:val="both"/>
        <w:rPr>
          <w:b/>
          <w:sz w:val="18"/>
        </w:rPr>
      </w:pPr>
      <w:r>
        <w:rPr>
          <w:b/>
          <w:sz w:val="18"/>
        </w:rPr>
        <w:t>Key Words:</w:t>
      </w:r>
    </w:p>
    <w:p>
      <w:pPr>
        <w:spacing w:line="205" w:lineRule="exact" w:before="0"/>
        <w:ind w:left="270" w:right="0" w:firstLine="0"/>
        <w:jc w:val="both"/>
        <w:rPr>
          <w:sz w:val="18"/>
        </w:rPr>
      </w:pPr>
      <w:r>
        <w:rPr>
          <w:sz w:val="18"/>
        </w:rPr>
        <w:t>Urban Ergonomics</w:t>
      </w:r>
    </w:p>
    <w:p>
      <w:pPr>
        <w:pStyle w:val="BodyText"/>
        <w:spacing w:before="3"/>
        <w:rPr>
          <w:sz w:val="18"/>
        </w:rPr>
      </w:pPr>
    </w:p>
    <w:p>
      <w:pPr>
        <w:spacing w:line="205" w:lineRule="exact" w:before="0"/>
        <w:ind w:left="270" w:right="0" w:firstLine="0"/>
        <w:jc w:val="both"/>
        <w:rPr>
          <w:b/>
          <w:sz w:val="18"/>
        </w:rPr>
      </w:pPr>
      <w:r>
        <w:rPr>
          <w:b/>
          <w:sz w:val="18"/>
        </w:rPr>
        <w:t>Work Area (According to invitation)</w:t>
      </w:r>
    </w:p>
    <w:p>
      <w:pPr>
        <w:spacing w:line="205" w:lineRule="exact" w:before="0"/>
        <w:ind w:left="270" w:right="0" w:firstLine="0"/>
        <w:jc w:val="both"/>
        <w:rPr>
          <w:sz w:val="18"/>
        </w:rPr>
      </w:pPr>
      <w:r>
        <w:rPr>
          <w:sz w:val="18"/>
        </w:rPr>
        <w:t>Design</w:t>
      </w:r>
    </w:p>
    <w:p>
      <w:pPr>
        <w:spacing w:line="205" w:lineRule="exact" w:before="4"/>
        <w:ind w:left="270" w:right="0" w:firstLine="0"/>
        <w:jc w:val="both"/>
        <w:rPr>
          <w:b/>
          <w:sz w:val="18"/>
        </w:rPr>
      </w:pPr>
      <w:r>
        <w:rPr>
          <w:b/>
          <w:sz w:val="18"/>
        </w:rPr>
        <w:t>Key words:</w:t>
      </w:r>
    </w:p>
    <w:p>
      <w:pPr>
        <w:spacing w:line="205" w:lineRule="exact" w:before="0"/>
        <w:ind w:left="270" w:right="0" w:firstLine="0"/>
        <w:jc w:val="both"/>
        <w:rPr>
          <w:sz w:val="18"/>
        </w:rPr>
      </w:pPr>
      <w:r>
        <w:rPr>
          <w:sz w:val="18"/>
        </w:rPr>
        <w:t>Urban Park Design</w:t>
      </w:r>
    </w:p>
    <w:p>
      <w:pPr>
        <w:pStyle w:val="BodyText"/>
        <w:spacing w:before="3"/>
        <w:rPr>
          <w:sz w:val="18"/>
        </w:rPr>
      </w:pPr>
    </w:p>
    <w:p>
      <w:pPr>
        <w:spacing w:line="205" w:lineRule="exact" w:before="0"/>
        <w:ind w:left="270" w:right="0" w:firstLine="0"/>
        <w:jc w:val="both"/>
        <w:rPr>
          <w:b/>
          <w:sz w:val="18"/>
        </w:rPr>
      </w:pPr>
      <w:r>
        <w:rPr>
          <w:b/>
          <w:sz w:val="18"/>
        </w:rPr>
        <w:t>Objectives:</w:t>
      </w:r>
    </w:p>
    <w:p>
      <w:pPr>
        <w:spacing w:line="205" w:lineRule="exact" w:before="0"/>
        <w:ind w:left="270" w:right="0" w:firstLine="0"/>
        <w:jc w:val="both"/>
        <w:rPr>
          <w:sz w:val="18"/>
        </w:rPr>
      </w:pPr>
      <w:r>
        <w:rPr>
          <w:sz w:val="18"/>
        </w:rPr>
        <w:t>General Objective.</w:t>
      </w:r>
    </w:p>
    <w:p>
      <w:pPr>
        <w:spacing w:before="0"/>
        <w:ind w:left="328" w:right="1" w:firstLine="0"/>
        <w:jc w:val="both"/>
        <w:rPr>
          <w:sz w:val="18"/>
        </w:rPr>
      </w:pPr>
      <w:r>
        <w:rPr>
          <w:sz w:val="18"/>
        </w:rPr>
        <w:t>Designing an urban park for social integration, through application of ergonomic fundamentals and tools and social interaction principles.</w:t>
      </w:r>
    </w:p>
    <w:p>
      <w:pPr>
        <w:pStyle w:val="BodyText"/>
        <w:spacing w:before="7"/>
        <w:rPr>
          <w:sz w:val="24"/>
        </w:rPr>
      </w:pPr>
      <w:r>
        <w:rPr/>
        <w:br w:type="column"/>
      </w:r>
      <w:r>
        <w:rPr>
          <w:sz w:val="24"/>
        </w:rPr>
      </w:r>
    </w:p>
    <w:p>
      <w:pPr>
        <w:spacing w:before="0"/>
        <w:ind w:left="270" w:right="0" w:firstLine="0"/>
        <w:jc w:val="both"/>
        <w:rPr>
          <w:sz w:val="18"/>
        </w:rPr>
      </w:pPr>
      <w:r>
        <w:rPr>
          <w:sz w:val="18"/>
        </w:rPr>
        <w:t>Specific Objectives.</w:t>
      </w:r>
    </w:p>
    <w:p>
      <w:pPr>
        <w:pStyle w:val="ListParagraph"/>
        <w:numPr>
          <w:ilvl w:val="2"/>
          <w:numId w:val="23"/>
        </w:numPr>
        <w:tabs>
          <w:tab w:pos="991" w:val="left" w:leader="none"/>
        </w:tabs>
        <w:spacing w:line="240" w:lineRule="auto" w:before="1" w:after="0"/>
        <w:ind w:left="990" w:right="676" w:hanging="360"/>
        <w:jc w:val="both"/>
        <w:rPr>
          <w:sz w:val="18"/>
        </w:rPr>
      </w:pPr>
      <w:r>
        <w:rPr>
          <w:sz w:val="18"/>
        </w:rPr>
        <w:t>Identify needs that establish the basis for defining the elements of the park to provide integrated and comprehensive development of the target</w:t>
      </w:r>
      <w:r>
        <w:rPr>
          <w:spacing w:val="-24"/>
          <w:sz w:val="18"/>
        </w:rPr>
        <w:t> </w:t>
      </w:r>
      <w:r>
        <w:rPr>
          <w:sz w:val="18"/>
        </w:rPr>
        <w:t>population.</w:t>
      </w:r>
    </w:p>
    <w:p>
      <w:pPr>
        <w:pStyle w:val="ListParagraph"/>
        <w:numPr>
          <w:ilvl w:val="2"/>
          <w:numId w:val="23"/>
        </w:numPr>
        <w:tabs>
          <w:tab w:pos="991" w:val="left" w:leader="none"/>
        </w:tabs>
        <w:spacing w:line="240" w:lineRule="auto" w:before="1" w:after="0"/>
        <w:ind w:left="990" w:right="678" w:hanging="360"/>
        <w:jc w:val="both"/>
        <w:rPr>
          <w:sz w:val="18"/>
        </w:rPr>
      </w:pPr>
      <w:r>
        <w:rPr>
          <w:sz w:val="18"/>
        </w:rPr>
        <w:t>Check how the service of urban park in the town de Comondu is currently</w:t>
      </w:r>
      <w:r>
        <w:rPr>
          <w:spacing w:val="-2"/>
          <w:sz w:val="18"/>
        </w:rPr>
        <w:t> </w:t>
      </w:r>
      <w:r>
        <w:rPr>
          <w:sz w:val="18"/>
        </w:rPr>
        <w:t>available.</w:t>
      </w:r>
    </w:p>
    <w:p>
      <w:pPr>
        <w:pStyle w:val="ListParagraph"/>
        <w:numPr>
          <w:ilvl w:val="2"/>
          <w:numId w:val="23"/>
        </w:numPr>
        <w:tabs>
          <w:tab w:pos="991" w:val="left" w:leader="none"/>
        </w:tabs>
        <w:spacing w:line="240" w:lineRule="auto" w:before="0" w:after="0"/>
        <w:ind w:left="990" w:right="678" w:hanging="360"/>
        <w:jc w:val="both"/>
        <w:rPr>
          <w:sz w:val="18"/>
        </w:rPr>
      </w:pPr>
      <w:r>
        <w:rPr>
          <w:sz w:val="18"/>
        </w:rPr>
        <w:t>Establish the physical and psychological requirements of the design, to ensure that the elements of the park are accessible and compatible with</w:t>
      </w:r>
      <w:r>
        <w:rPr>
          <w:spacing w:val="-6"/>
          <w:sz w:val="18"/>
        </w:rPr>
        <w:t> </w:t>
      </w:r>
      <w:r>
        <w:rPr>
          <w:sz w:val="18"/>
        </w:rPr>
        <w:t>population.</w:t>
      </w:r>
    </w:p>
    <w:p>
      <w:pPr>
        <w:pStyle w:val="ListParagraph"/>
        <w:numPr>
          <w:ilvl w:val="2"/>
          <w:numId w:val="23"/>
        </w:numPr>
        <w:tabs>
          <w:tab w:pos="991" w:val="left" w:leader="none"/>
        </w:tabs>
        <w:spacing w:line="240" w:lineRule="auto" w:before="0" w:after="0"/>
        <w:ind w:left="990" w:right="676" w:hanging="360"/>
        <w:jc w:val="both"/>
        <w:rPr>
          <w:sz w:val="18"/>
        </w:rPr>
      </w:pPr>
      <w:r>
        <w:rPr>
          <w:sz w:val="18"/>
        </w:rPr>
        <w:t>Develop a proposal for an Ergonomic Design urban park that offers a variety of alternatives for social integration and mental comfort for</w:t>
      </w:r>
      <w:r>
        <w:rPr>
          <w:spacing w:val="-3"/>
          <w:sz w:val="18"/>
        </w:rPr>
        <w:t> </w:t>
      </w:r>
      <w:r>
        <w:rPr>
          <w:sz w:val="18"/>
        </w:rPr>
        <w:t>users.</w:t>
      </w:r>
    </w:p>
    <w:p>
      <w:pPr>
        <w:pStyle w:val="ListParagraph"/>
        <w:numPr>
          <w:ilvl w:val="2"/>
          <w:numId w:val="23"/>
        </w:numPr>
        <w:tabs>
          <w:tab w:pos="991" w:val="left" w:leader="none"/>
        </w:tabs>
        <w:spacing w:line="240" w:lineRule="auto" w:before="1" w:after="0"/>
        <w:ind w:left="990" w:right="679" w:hanging="360"/>
        <w:jc w:val="both"/>
        <w:rPr>
          <w:sz w:val="18"/>
        </w:rPr>
      </w:pPr>
      <w:r>
        <w:rPr>
          <w:sz w:val="18"/>
        </w:rPr>
        <w:t>Check the effectiveness of the proposed design of urban park.</w:t>
      </w:r>
    </w:p>
    <w:p>
      <w:pPr>
        <w:pStyle w:val="BodyText"/>
        <w:spacing w:before="3"/>
        <w:rPr>
          <w:sz w:val="18"/>
        </w:rPr>
      </w:pPr>
    </w:p>
    <w:p>
      <w:pPr>
        <w:spacing w:line="205" w:lineRule="exact" w:before="0"/>
        <w:ind w:left="270" w:right="0" w:firstLine="0"/>
        <w:jc w:val="both"/>
        <w:rPr>
          <w:b/>
          <w:sz w:val="18"/>
        </w:rPr>
      </w:pPr>
      <w:r>
        <w:rPr>
          <w:b/>
          <w:sz w:val="18"/>
        </w:rPr>
        <w:t>Delimitation:</w:t>
      </w:r>
    </w:p>
    <w:p>
      <w:pPr>
        <w:spacing w:line="240" w:lineRule="auto" w:before="0"/>
        <w:ind w:left="270" w:right="678" w:firstLine="0"/>
        <w:jc w:val="both"/>
        <w:rPr>
          <w:sz w:val="18"/>
        </w:rPr>
      </w:pPr>
      <w:r>
        <w:rPr>
          <w:sz w:val="18"/>
        </w:rPr>
        <w:t>The research was conducted in the period June 2014 to January 2015 in Ciudad Constitucion municipality of Comondu in the State of BCS Figure 1. In particular in relation to the development of recreational and leisure activities within a sample of representative semi-urban parks use from existing urban parks in the community.</w:t>
      </w:r>
    </w:p>
    <w:p>
      <w:pPr>
        <w:pStyle w:val="BodyText"/>
        <w:rPr>
          <w:sz w:val="18"/>
        </w:rPr>
      </w:pPr>
    </w:p>
    <w:p>
      <w:pPr>
        <w:spacing w:before="0"/>
        <w:ind w:left="270" w:right="678" w:firstLine="0"/>
        <w:jc w:val="both"/>
        <w:rPr>
          <w:sz w:val="18"/>
        </w:rPr>
      </w:pPr>
      <w:r>
        <w:rPr>
          <w:sz w:val="18"/>
        </w:rPr>
        <w:t>Ciudad Constitucion is a Mexican city in the state of Baja  California Sur, located 147 km southwest of Loreto and 211 km north of La Paz, in the heart of the agricultural valley of Santo Domingo. Besides access road, the city has the Ciudad  Constitucion Airport operated by the municipal government of Comondu. The city has a population of 40,935 inhabitants in the census of 2010. The climate is arid with droughts. Its maximum temperature is 45 degrees and the minimum is -1 degrees. Strong winds are presented in the afternoon, causing landslides or what is identified locally by considerable upheaval of</w:t>
      </w:r>
      <w:r>
        <w:rPr>
          <w:spacing w:val="-15"/>
          <w:sz w:val="18"/>
        </w:rPr>
        <w:t> </w:t>
      </w:r>
      <w:r>
        <w:rPr>
          <w:sz w:val="18"/>
        </w:rPr>
        <w:t>dust.</w:t>
      </w:r>
    </w:p>
    <w:p>
      <w:pPr>
        <w:spacing w:before="0"/>
        <w:ind w:left="270" w:right="677" w:firstLine="0"/>
        <w:jc w:val="both"/>
        <w:rPr>
          <w:sz w:val="18"/>
        </w:rPr>
      </w:pPr>
      <w:r>
        <w:rPr>
          <w:sz w:val="18"/>
        </w:rPr>
        <w:t>Due to mainly desert climate, there are no permanent streams, however there are numerous dry riverbeds that from the Sierra La Giganta descend to the plains east-west, these streams are dry most of the year, however to occur as strong or torrential rains caused by hurricanes, these streams are powerful currents that overflow to devastate large areas of terrains and highways, major streams are</w:t>
      </w:r>
    </w:p>
    <w:p>
      <w:pPr>
        <w:spacing w:before="0"/>
        <w:ind w:left="4446" w:right="679" w:firstLine="453"/>
        <w:jc w:val="both"/>
        <w:rPr>
          <w:sz w:val="18"/>
        </w:rPr>
      </w:pPr>
      <w:r>
        <w:rPr>
          <w:sz w:val="18"/>
        </w:rPr>
        <w:t>Las Bramona s.</w:t>
      </w:r>
    </w:p>
    <w:p>
      <w:pPr>
        <w:pStyle w:val="BodyText"/>
        <w:spacing w:before="3"/>
        <w:rPr>
          <w:sz w:val="18"/>
        </w:rPr>
      </w:pPr>
    </w:p>
    <w:p>
      <w:pPr>
        <w:spacing w:before="0"/>
        <w:ind w:left="4446" w:right="668" w:firstLine="0"/>
        <w:jc w:val="left"/>
        <w:rPr>
          <w:b/>
          <w:sz w:val="18"/>
        </w:rPr>
      </w:pPr>
      <w:r>
        <w:rPr>
          <w:b/>
          <w:sz w:val="18"/>
        </w:rPr>
        <w:t>Metodol ogy:</w:t>
      </w:r>
    </w:p>
    <w:p>
      <w:pPr>
        <w:pStyle w:val="BodyText"/>
        <w:rPr>
          <w:b/>
          <w:sz w:val="18"/>
        </w:rPr>
      </w:pPr>
    </w:p>
    <w:p>
      <w:pPr>
        <w:tabs>
          <w:tab w:pos="4940" w:val="left" w:leader="none"/>
          <w:tab w:pos="5010" w:val="left" w:leader="none"/>
        </w:tabs>
        <w:spacing w:line="240" w:lineRule="auto" w:before="0"/>
        <w:ind w:left="4446" w:right="677" w:firstLine="3"/>
        <w:jc w:val="right"/>
        <w:rPr>
          <w:sz w:val="18"/>
        </w:rPr>
      </w:pPr>
      <w:r>
        <w:rPr>
          <w:b/>
          <w:spacing w:val="-1"/>
          <w:sz w:val="18"/>
        </w:rPr>
        <w:t>Research Selection </w:t>
      </w:r>
      <w:r>
        <w:rPr>
          <w:sz w:val="18"/>
        </w:rPr>
        <w:t>Applied </w:t>
      </w:r>
      <w:r>
        <w:rPr>
          <w:spacing w:val="-1"/>
          <w:sz w:val="18"/>
        </w:rPr>
        <w:t>research </w:t>
      </w:r>
      <w:r>
        <w:rPr>
          <w:sz w:val="18"/>
        </w:rPr>
        <w:t>uses</w:t>
      </w:r>
      <w:r>
        <w:rPr>
          <w:spacing w:val="2"/>
          <w:sz w:val="18"/>
        </w:rPr>
        <w:t> </w:t>
      </w:r>
      <w:r>
        <w:rPr>
          <w:sz w:val="18"/>
        </w:rPr>
        <w:t>the </w:t>
      </w:r>
      <w:r>
        <w:rPr>
          <w:spacing w:val="-1"/>
          <w:sz w:val="18"/>
        </w:rPr>
        <w:t>methods </w:t>
      </w:r>
      <w:r>
        <w:rPr>
          <w:sz w:val="18"/>
        </w:rPr>
        <w:t>of</w:t>
        <w:tab/>
      </w:r>
      <w:r>
        <w:rPr>
          <w:spacing w:val="-2"/>
          <w:sz w:val="18"/>
        </w:rPr>
        <w:t>the </w:t>
      </w:r>
      <w:r>
        <w:rPr>
          <w:sz w:val="18"/>
        </w:rPr>
        <w:t>past, knowledg e</w:t>
        <w:tab/>
        <w:tab/>
        <w:t>or</w:t>
      </w:r>
    </w:p>
    <w:p>
      <w:pPr>
        <w:spacing w:before="0"/>
        <w:ind w:left="4446" w:right="678" w:firstLine="144"/>
        <w:jc w:val="right"/>
        <w:rPr>
          <w:sz w:val="18"/>
        </w:rPr>
      </w:pPr>
      <w:r>
        <w:rPr>
          <w:sz w:val="18"/>
        </w:rPr>
        <w:t>theories or    basic</w:t>
      </w:r>
    </w:p>
    <w:p>
      <w:pPr>
        <w:spacing w:before="0"/>
        <w:ind w:left="270" w:right="678" w:firstLine="0"/>
        <w:jc w:val="both"/>
        <w:rPr>
          <w:sz w:val="18"/>
        </w:rPr>
      </w:pPr>
      <w:r>
        <w:rPr>
          <w:sz w:val="18"/>
        </w:rPr>
        <w:t>research to solve an existing problem. Today, applied research is of great importance to solve the problems that arise due to the scarcity of natural resources and overpopulation and needs, hence the feasibility of using this type of research in this paper.</w:t>
      </w:r>
    </w:p>
    <w:p>
      <w:pPr>
        <w:spacing w:before="0"/>
        <w:ind w:left="270" w:right="678" w:firstLine="0"/>
        <w:jc w:val="both"/>
        <w:rPr>
          <w:sz w:val="18"/>
        </w:rPr>
      </w:pPr>
      <w:r>
        <w:rPr>
          <w:sz w:val="18"/>
        </w:rPr>
        <w:t>By the features found in the project will be used qualitative techniques  such  as:  open  interviews,  focus  groups,  observation</w:t>
      </w:r>
    </w:p>
    <w:p>
      <w:pPr>
        <w:spacing w:after="0"/>
        <w:jc w:val="both"/>
        <w:rPr>
          <w:sz w:val="18"/>
        </w:rPr>
        <w:sectPr>
          <w:type w:val="continuous"/>
          <w:pgSz w:w="12240" w:h="15840"/>
          <w:pgMar w:top="1500" w:bottom="280" w:left="580" w:right="220"/>
          <w:cols w:num="2" w:equalWidth="0">
            <w:col w:w="5164" w:space="434"/>
            <w:col w:w="5842"/>
          </w:cols>
        </w:sectPr>
      </w:pPr>
    </w:p>
    <w:p>
      <w:pPr>
        <w:pStyle w:val="BodyText"/>
        <w:rPr>
          <w:sz w:val="11"/>
        </w:rPr>
      </w:pPr>
    </w:p>
    <w:p>
      <w:pPr>
        <w:spacing w:after="0"/>
        <w:rPr>
          <w:sz w:val="11"/>
        </w:rPr>
        <w:sectPr>
          <w:pgSz w:w="12240" w:h="15840"/>
          <w:pgMar w:header="545" w:footer="852" w:top="1060" w:bottom="1040" w:left="580" w:right="220"/>
        </w:sectPr>
      </w:pPr>
    </w:p>
    <w:p>
      <w:pPr>
        <w:spacing w:before="77"/>
        <w:ind w:left="270" w:right="0" w:firstLine="0"/>
        <w:jc w:val="both"/>
        <w:rPr>
          <w:sz w:val="18"/>
        </w:rPr>
      </w:pPr>
      <w:r>
        <w:rPr>
          <w:sz w:val="18"/>
        </w:rPr>
        <w:t>techniques and participant observation, moreover quantitative research is also employed by the use of surveys, experimental and statistical sampling techniques.</w:t>
      </w:r>
    </w:p>
    <w:p>
      <w:pPr>
        <w:spacing w:before="0"/>
        <w:ind w:left="270" w:right="1" w:firstLine="0"/>
        <w:jc w:val="both"/>
        <w:rPr>
          <w:sz w:val="18"/>
        </w:rPr>
      </w:pPr>
      <w:r>
        <w:rPr>
          <w:sz w:val="18"/>
        </w:rPr>
        <w:t>Field research will be subject to implementation in the project; in this the researcher works in the natural environment in which live people and the sources from which get the most relevant to be analyzed, data are individuals, groups and representations of non- experimental scientific organizations aimed at discovering relations and interactions between sociological, psychological and educational in real everyday social structures and variables.</w:t>
      </w:r>
    </w:p>
    <w:p>
      <w:pPr>
        <w:pStyle w:val="BodyText"/>
        <w:spacing w:before="3"/>
        <w:rPr>
          <w:sz w:val="18"/>
        </w:rPr>
      </w:pPr>
    </w:p>
    <w:p>
      <w:pPr>
        <w:spacing w:line="205" w:lineRule="exact" w:before="0"/>
        <w:ind w:left="270" w:right="0" w:firstLine="0"/>
        <w:jc w:val="both"/>
        <w:rPr>
          <w:b/>
          <w:sz w:val="18"/>
        </w:rPr>
      </w:pPr>
      <w:r>
        <w:rPr>
          <w:b/>
          <w:sz w:val="18"/>
        </w:rPr>
        <w:t>Data collection instruments</w:t>
      </w:r>
    </w:p>
    <w:p>
      <w:pPr>
        <w:pStyle w:val="ListParagraph"/>
        <w:numPr>
          <w:ilvl w:val="0"/>
          <w:numId w:val="4"/>
        </w:numPr>
        <w:tabs>
          <w:tab w:pos="556" w:val="left" w:leader="none"/>
        </w:tabs>
        <w:spacing w:line="219" w:lineRule="exact" w:before="0" w:after="0"/>
        <w:ind w:left="555" w:right="0" w:hanging="285"/>
        <w:jc w:val="both"/>
        <w:rPr>
          <w:sz w:val="18"/>
        </w:rPr>
      </w:pPr>
      <w:r>
        <w:rPr>
          <w:sz w:val="18"/>
        </w:rPr>
        <w:t>Questionnaire Number 1: Survey applied to</w:t>
      </w:r>
      <w:r>
        <w:rPr>
          <w:spacing w:val="-8"/>
          <w:sz w:val="18"/>
        </w:rPr>
        <w:t> </w:t>
      </w:r>
      <w:r>
        <w:rPr>
          <w:sz w:val="18"/>
        </w:rPr>
        <w:t>children.</w:t>
      </w:r>
    </w:p>
    <w:p>
      <w:pPr>
        <w:pStyle w:val="ListParagraph"/>
        <w:numPr>
          <w:ilvl w:val="0"/>
          <w:numId w:val="4"/>
        </w:numPr>
        <w:tabs>
          <w:tab w:pos="556" w:val="left" w:leader="none"/>
        </w:tabs>
        <w:spacing w:line="220" w:lineRule="exact" w:before="0" w:after="0"/>
        <w:ind w:left="555" w:right="0" w:hanging="285"/>
        <w:jc w:val="both"/>
        <w:rPr>
          <w:sz w:val="18"/>
        </w:rPr>
      </w:pPr>
      <w:r>
        <w:rPr>
          <w:sz w:val="18"/>
        </w:rPr>
        <w:t>Questionnaire Number 2: Survey applied to</w:t>
      </w:r>
      <w:r>
        <w:rPr>
          <w:spacing w:val="-6"/>
          <w:sz w:val="18"/>
        </w:rPr>
        <w:t> </w:t>
      </w:r>
      <w:r>
        <w:rPr>
          <w:sz w:val="18"/>
        </w:rPr>
        <w:t>adolescents.</w:t>
      </w:r>
    </w:p>
    <w:p>
      <w:pPr>
        <w:pStyle w:val="ListParagraph"/>
        <w:numPr>
          <w:ilvl w:val="0"/>
          <w:numId w:val="4"/>
        </w:numPr>
        <w:tabs>
          <w:tab w:pos="556" w:val="left" w:leader="none"/>
        </w:tabs>
        <w:spacing w:line="220" w:lineRule="exact" w:before="0" w:after="0"/>
        <w:ind w:left="555" w:right="0" w:hanging="285"/>
        <w:jc w:val="both"/>
        <w:rPr>
          <w:sz w:val="18"/>
        </w:rPr>
      </w:pPr>
      <w:r>
        <w:rPr>
          <w:sz w:val="18"/>
        </w:rPr>
        <w:t>Questionnaire Number 3: Survey applied to</w:t>
      </w:r>
      <w:r>
        <w:rPr>
          <w:spacing w:val="-6"/>
          <w:sz w:val="18"/>
        </w:rPr>
        <w:t> </w:t>
      </w:r>
      <w:r>
        <w:rPr>
          <w:sz w:val="18"/>
        </w:rPr>
        <w:t>adults.</w:t>
      </w:r>
    </w:p>
    <w:p>
      <w:pPr>
        <w:pStyle w:val="ListParagraph"/>
        <w:numPr>
          <w:ilvl w:val="0"/>
          <w:numId w:val="4"/>
        </w:numPr>
        <w:tabs>
          <w:tab w:pos="556" w:val="left" w:leader="none"/>
        </w:tabs>
        <w:spacing w:line="220" w:lineRule="exact" w:before="0" w:after="0"/>
        <w:ind w:left="555" w:right="0" w:hanging="285"/>
        <w:jc w:val="both"/>
        <w:rPr>
          <w:sz w:val="18"/>
        </w:rPr>
      </w:pPr>
      <w:r>
        <w:rPr>
          <w:sz w:val="18"/>
        </w:rPr>
        <w:t>Questionnaire Number 4: Survey applied to senior</w:t>
      </w:r>
      <w:r>
        <w:rPr>
          <w:spacing w:val="-9"/>
          <w:sz w:val="18"/>
        </w:rPr>
        <w:t> </w:t>
      </w:r>
      <w:r>
        <w:rPr>
          <w:sz w:val="18"/>
        </w:rPr>
        <w:t>age</w:t>
      </w:r>
    </w:p>
    <w:p>
      <w:pPr>
        <w:pStyle w:val="ListParagraph"/>
        <w:numPr>
          <w:ilvl w:val="0"/>
          <w:numId w:val="4"/>
        </w:numPr>
        <w:tabs>
          <w:tab w:pos="556" w:val="left" w:leader="none"/>
        </w:tabs>
        <w:spacing w:line="220" w:lineRule="exact" w:before="0" w:after="0"/>
        <w:ind w:left="555" w:right="0" w:hanging="285"/>
        <w:jc w:val="both"/>
        <w:rPr>
          <w:sz w:val="18"/>
        </w:rPr>
      </w:pPr>
      <w:r>
        <w:rPr>
          <w:sz w:val="18"/>
        </w:rPr>
        <w:t>Questionnaire Number 5: Survey applied to</w:t>
      </w:r>
      <w:r>
        <w:rPr>
          <w:spacing w:val="-9"/>
          <w:sz w:val="18"/>
        </w:rPr>
        <w:t> </w:t>
      </w:r>
      <w:r>
        <w:rPr>
          <w:sz w:val="18"/>
        </w:rPr>
        <w:t>disabled</w:t>
      </w:r>
    </w:p>
    <w:p>
      <w:pPr>
        <w:pStyle w:val="ListParagraph"/>
        <w:numPr>
          <w:ilvl w:val="0"/>
          <w:numId w:val="4"/>
        </w:numPr>
        <w:tabs>
          <w:tab w:pos="555" w:val="left" w:leader="none"/>
          <w:tab w:pos="556" w:val="left" w:leader="none"/>
        </w:tabs>
        <w:spacing w:line="240" w:lineRule="auto" w:before="0" w:after="0"/>
        <w:ind w:left="555" w:right="2" w:hanging="285"/>
        <w:jc w:val="left"/>
        <w:rPr>
          <w:sz w:val="18"/>
        </w:rPr>
      </w:pPr>
      <w:r>
        <w:rPr>
          <w:sz w:val="18"/>
        </w:rPr>
        <w:t>Interview script Number 1: Interview applied to municipal government</w:t>
      </w:r>
      <w:r>
        <w:rPr>
          <w:spacing w:val="-4"/>
          <w:sz w:val="18"/>
        </w:rPr>
        <w:t> </w:t>
      </w:r>
      <w:r>
        <w:rPr>
          <w:sz w:val="18"/>
        </w:rPr>
        <w:t>representatives.</w:t>
      </w:r>
    </w:p>
    <w:p>
      <w:pPr>
        <w:pStyle w:val="ListParagraph"/>
        <w:numPr>
          <w:ilvl w:val="0"/>
          <w:numId w:val="4"/>
        </w:numPr>
        <w:tabs>
          <w:tab w:pos="556" w:val="left" w:leader="none"/>
        </w:tabs>
        <w:spacing w:line="220" w:lineRule="exact" w:before="0" w:after="0"/>
        <w:ind w:left="555" w:right="0" w:hanging="285"/>
        <w:jc w:val="both"/>
        <w:rPr>
          <w:sz w:val="18"/>
        </w:rPr>
      </w:pPr>
      <w:r>
        <w:rPr>
          <w:sz w:val="18"/>
        </w:rPr>
        <w:t>Script interview Number 2: Interview applied to</w:t>
      </w:r>
      <w:r>
        <w:rPr>
          <w:spacing w:val="-14"/>
          <w:sz w:val="18"/>
        </w:rPr>
        <w:t> </w:t>
      </w:r>
      <w:r>
        <w:rPr>
          <w:sz w:val="18"/>
        </w:rPr>
        <w:t>Citizens</w:t>
      </w:r>
    </w:p>
    <w:p>
      <w:pPr>
        <w:pStyle w:val="ListParagraph"/>
        <w:numPr>
          <w:ilvl w:val="0"/>
          <w:numId w:val="4"/>
        </w:numPr>
        <w:tabs>
          <w:tab w:pos="556" w:val="left" w:leader="none"/>
        </w:tabs>
        <w:spacing w:line="220" w:lineRule="exact" w:before="0" w:after="0"/>
        <w:ind w:left="555" w:right="0" w:hanging="285"/>
        <w:jc w:val="both"/>
        <w:rPr>
          <w:sz w:val="18"/>
        </w:rPr>
      </w:pPr>
      <w:r>
        <w:rPr>
          <w:sz w:val="18"/>
        </w:rPr>
        <w:t>Script Discussion Group Number 1:</w:t>
      </w:r>
      <w:r>
        <w:rPr>
          <w:spacing w:val="-3"/>
          <w:sz w:val="18"/>
        </w:rPr>
        <w:t> </w:t>
      </w:r>
      <w:r>
        <w:rPr>
          <w:sz w:val="18"/>
        </w:rPr>
        <w:t>Discussion</w:t>
      </w:r>
    </w:p>
    <w:p>
      <w:pPr>
        <w:pStyle w:val="ListParagraph"/>
        <w:numPr>
          <w:ilvl w:val="0"/>
          <w:numId w:val="4"/>
        </w:numPr>
        <w:tabs>
          <w:tab w:pos="556" w:val="left" w:leader="none"/>
        </w:tabs>
        <w:spacing w:line="220" w:lineRule="exact" w:before="0" w:after="0"/>
        <w:ind w:left="555" w:right="0" w:hanging="285"/>
        <w:jc w:val="both"/>
        <w:rPr>
          <w:sz w:val="18"/>
        </w:rPr>
      </w:pPr>
      <w:r>
        <w:rPr>
          <w:sz w:val="18"/>
        </w:rPr>
        <w:t>Register observation Number 1: Field</w:t>
      </w:r>
      <w:r>
        <w:rPr>
          <w:spacing w:val="-4"/>
          <w:sz w:val="18"/>
        </w:rPr>
        <w:t> </w:t>
      </w:r>
      <w:r>
        <w:rPr>
          <w:sz w:val="18"/>
        </w:rPr>
        <w:t>Research</w:t>
      </w:r>
    </w:p>
    <w:p>
      <w:pPr>
        <w:pStyle w:val="BodyText"/>
        <w:spacing w:before="3"/>
        <w:rPr>
          <w:sz w:val="18"/>
        </w:rPr>
      </w:pPr>
    </w:p>
    <w:p>
      <w:pPr>
        <w:spacing w:before="0"/>
        <w:ind w:left="270" w:right="0" w:firstLine="0"/>
        <w:jc w:val="both"/>
        <w:rPr>
          <w:b/>
          <w:sz w:val="18"/>
        </w:rPr>
      </w:pPr>
      <w:r>
        <w:rPr>
          <w:b/>
          <w:sz w:val="18"/>
        </w:rPr>
        <w:t>Anthropometric measurements</w:t>
      </w:r>
    </w:p>
    <w:p>
      <w:pPr>
        <w:pStyle w:val="BodyText"/>
        <w:spacing w:before="7"/>
        <w:rPr>
          <w:b/>
          <w:sz w:val="17"/>
        </w:rPr>
      </w:pPr>
    </w:p>
    <w:p>
      <w:pPr>
        <w:spacing w:before="1"/>
        <w:ind w:left="270" w:right="1" w:firstLine="0"/>
        <w:jc w:val="both"/>
        <w:rPr>
          <w:sz w:val="18"/>
        </w:rPr>
      </w:pPr>
      <w:r>
        <w:rPr>
          <w:sz w:val="18"/>
        </w:rPr>
        <w:t>Anthropometric measurements of a representative sample  of citizens of different social sectors that make up the population of Ciudad Constitucion, using for this systematic sampling, in order to gather information useful to the project are made.</w:t>
      </w:r>
    </w:p>
    <w:p>
      <w:pPr>
        <w:spacing w:before="0"/>
        <w:ind w:left="270" w:right="1" w:firstLine="0"/>
        <w:jc w:val="both"/>
        <w:rPr>
          <w:sz w:val="18"/>
        </w:rPr>
      </w:pPr>
      <w:r>
        <w:rPr>
          <w:sz w:val="18"/>
        </w:rPr>
        <w:t>For taking anthropometric measurements and observations the following recommendations are made:</w:t>
      </w:r>
    </w:p>
    <w:p>
      <w:pPr>
        <w:pStyle w:val="ListParagraph"/>
        <w:numPr>
          <w:ilvl w:val="0"/>
          <w:numId w:val="24"/>
        </w:numPr>
        <w:tabs>
          <w:tab w:pos="476" w:val="left" w:leader="none"/>
        </w:tabs>
        <w:spacing w:line="240" w:lineRule="auto" w:before="0" w:after="0"/>
        <w:ind w:left="270" w:right="0" w:firstLine="0"/>
        <w:jc w:val="both"/>
        <w:rPr>
          <w:sz w:val="18"/>
        </w:rPr>
      </w:pPr>
      <w:r>
        <w:rPr>
          <w:sz w:val="18"/>
        </w:rPr>
        <w:t>The individual under study will be barefoot and with the least possible clothing (shorts or swimsuit 2</w:t>
      </w:r>
      <w:r>
        <w:rPr>
          <w:spacing w:val="-3"/>
          <w:sz w:val="18"/>
        </w:rPr>
        <w:t> </w:t>
      </w:r>
      <w:r>
        <w:rPr>
          <w:sz w:val="18"/>
        </w:rPr>
        <w:t>piece).</w:t>
      </w:r>
    </w:p>
    <w:p>
      <w:pPr>
        <w:pStyle w:val="ListParagraph"/>
        <w:numPr>
          <w:ilvl w:val="0"/>
          <w:numId w:val="24"/>
        </w:numPr>
        <w:tabs>
          <w:tab w:pos="509" w:val="left" w:leader="none"/>
        </w:tabs>
        <w:spacing w:line="240" w:lineRule="auto" w:before="0" w:after="0"/>
        <w:ind w:left="270" w:right="1" w:firstLine="0"/>
        <w:jc w:val="both"/>
        <w:rPr>
          <w:sz w:val="18"/>
        </w:rPr>
      </w:pPr>
      <w:r>
        <w:rPr>
          <w:sz w:val="18"/>
        </w:rPr>
        <w:t>The measuring instruments will be calibrated before taking anthropometric</w:t>
      </w:r>
      <w:r>
        <w:rPr>
          <w:spacing w:val="-14"/>
          <w:sz w:val="18"/>
        </w:rPr>
        <w:t> </w:t>
      </w:r>
      <w:r>
        <w:rPr>
          <w:sz w:val="18"/>
        </w:rPr>
        <w:t>measurements.</w:t>
      </w:r>
    </w:p>
    <w:p>
      <w:pPr>
        <w:pStyle w:val="ListParagraph"/>
        <w:numPr>
          <w:ilvl w:val="0"/>
          <w:numId w:val="24"/>
        </w:numPr>
        <w:tabs>
          <w:tab w:pos="468" w:val="left" w:leader="none"/>
        </w:tabs>
        <w:spacing w:line="240" w:lineRule="auto" w:before="0" w:after="0"/>
        <w:ind w:left="270" w:right="0" w:firstLine="0"/>
        <w:jc w:val="both"/>
        <w:rPr>
          <w:sz w:val="18"/>
        </w:rPr>
      </w:pPr>
      <w:r>
        <w:rPr>
          <w:sz w:val="18"/>
        </w:rPr>
        <w:t>All measurements are taken at the right side of the body. Since 1968 it was agreed to take all measures on the right side of the study, although not the dominant</w:t>
      </w:r>
      <w:r>
        <w:rPr>
          <w:spacing w:val="-6"/>
          <w:sz w:val="18"/>
        </w:rPr>
        <w:t> </w:t>
      </w:r>
      <w:r>
        <w:rPr>
          <w:sz w:val="18"/>
        </w:rPr>
        <w:t>side.</w:t>
      </w:r>
    </w:p>
    <w:p>
      <w:pPr>
        <w:pStyle w:val="ListParagraph"/>
        <w:numPr>
          <w:ilvl w:val="0"/>
          <w:numId w:val="24"/>
        </w:numPr>
        <w:tabs>
          <w:tab w:pos="478" w:val="left" w:leader="none"/>
        </w:tabs>
        <w:spacing w:line="240" w:lineRule="auto" w:before="0" w:after="0"/>
        <w:ind w:left="270" w:right="0" w:firstLine="0"/>
        <w:jc w:val="both"/>
        <w:rPr>
          <w:sz w:val="18"/>
        </w:rPr>
      </w:pPr>
      <w:r>
        <w:rPr>
          <w:sz w:val="18"/>
        </w:rPr>
        <w:t>Before starting the measurement is marked with dermographic pencil, anatomical points that serve as reference for the subsequent taking</w:t>
      </w:r>
      <w:r>
        <w:rPr>
          <w:spacing w:val="-4"/>
          <w:sz w:val="18"/>
        </w:rPr>
        <w:t> </w:t>
      </w:r>
      <w:r>
        <w:rPr>
          <w:sz w:val="18"/>
        </w:rPr>
        <w:t>action.</w:t>
      </w:r>
    </w:p>
    <w:p>
      <w:pPr>
        <w:pStyle w:val="ListParagraph"/>
        <w:numPr>
          <w:ilvl w:val="0"/>
          <w:numId w:val="24"/>
        </w:numPr>
        <w:tabs>
          <w:tab w:pos="486" w:val="left" w:leader="none"/>
        </w:tabs>
        <w:spacing w:line="240" w:lineRule="auto" w:before="0" w:after="0"/>
        <w:ind w:left="270" w:right="1" w:firstLine="0"/>
        <w:jc w:val="both"/>
        <w:rPr>
          <w:sz w:val="18"/>
        </w:rPr>
      </w:pPr>
      <w:r>
        <w:rPr>
          <w:sz w:val="18"/>
        </w:rPr>
        <w:t>Although each anthropometrist develops its own protocol, we will discuss some recommendations that can be very useful in our work:</w:t>
      </w:r>
    </w:p>
    <w:p>
      <w:pPr>
        <w:pStyle w:val="ListParagraph"/>
        <w:numPr>
          <w:ilvl w:val="0"/>
          <w:numId w:val="25"/>
        </w:numPr>
        <w:tabs>
          <w:tab w:pos="407" w:val="left" w:leader="none"/>
        </w:tabs>
        <w:spacing w:line="240" w:lineRule="auto" w:before="0" w:after="0"/>
        <w:ind w:left="270" w:right="0" w:firstLine="0"/>
        <w:jc w:val="both"/>
        <w:rPr>
          <w:sz w:val="18"/>
        </w:rPr>
      </w:pPr>
      <w:r>
        <w:rPr>
          <w:sz w:val="18"/>
        </w:rPr>
        <w:t>You should explain in a very general way the study objective, noting the importance of staying in the position indicated in each of the</w:t>
      </w:r>
      <w:r>
        <w:rPr>
          <w:spacing w:val="-7"/>
          <w:sz w:val="18"/>
        </w:rPr>
        <w:t> </w:t>
      </w:r>
      <w:r>
        <w:rPr>
          <w:sz w:val="18"/>
        </w:rPr>
        <w:t>measurements.</w:t>
      </w:r>
    </w:p>
    <w:p>
      <w:pPr>
        <w:pStyle w:val="ListParagraph"/>
        <w:numPr>
          <w:ilvl w:val="0"/>
          <w:numId w:val="25"/>
        </w:numPr>
        <w:tabs>
          <w:tab w:pos="409" w:val="left" w:leader="none"/>
        </w:tabs>
        <w:spacing w:line="240" w:lineRule="auto" w:before="0" w:after="0"/>
        <w:ind w:left="270" w:right="0" w:firstLine="0"/>
        <w:jc w:val="both"/>
        <w:rPr>
          <w:sz w:val="18"/>
        </w:rPr>
      </w:pPr>
      <w:r>
        <w:rPr>
          <w:sz w:val="18"/>
        </w:rPr>
        <w:t>In performing brands and anthropometric measures a sequence from top to bottom will</w:t>
      </w:r>
      <w:r>
        <w:rPr>
          <w:spacing w:val="-9"/>
          <w:sz w:val="18"/>
        </w:rPr>
        <w:t> </w:t>
      </w:r>
      <w:r>
        <w:rPr>
          <w:sz w:val="18"/>
        </w:rPr>
        <w:t>continue.</w:t>
      </w:r>
    </w:p>
    <w:p>
      <w:pPr>
        <w:pStyle w:val="ListParagraph"/>
        <w:numPr>
          <w:ilvl w:val="0"/>
          <w:numId w:val="25"/>
        </w:numPr>
        <w:tabs>
          <w:tab w:pos="383" w:val="left" w:leader="none"/>
        </w:tabs>
        <w:spacing w:line="240" w:lineRule="auto" w:before="0" w:after="0"/>
        <w:ind w:left="270" w:right="2" w:firstLine="0"/>
        <w:jc w:val="both"/>
        <w:rPr>
          <w:sz w:val="18"/>
        </w:rPr>
      </w:pPr>
      <w:r>
        <w:rPr>
          <w:sz w:val="18"/>
        </w:rPr>
        <w:t>Measuring instruments should be handled with the right hand and apply gently on the</w:t>
      </w:r>
      <w:r>
        <w:rPr>
          <w:spacing w:val="-17"/>
          <w:sz w:val="18"/>
        </w:rPr>
        <w:t> </w:t>
      </w:r>
      <w:r>
        <w:rPr>
          <w:sz w:val="18"/>
        </w:rPr>
        <w:t>skin.</w:t>
      </w:r>
    </w:p>
    <w:p>
      <w:pPr>
        <w:pStyle w:val="ListParagraph"/>
        <w:numPr>
          <w:ilvl w:val="0"/>
          <w:numId w:val="25"/>
        </w:numPr>
        <w:tabs>
          <w:tab w:pos="377" w:val="left" w:leader="none"/>
        </w:tabs>
        <w:spacing w:line="206" w:lineRule="exact" w:before="0" w:after="0"/>
        <w:ind w:left="376" w:right="0" w:hanging="106"/>
        <w:jc w:val="both"/>
        <w:rPr>
          <w:sz w:val="18"/>
        </w:rPr>
      </w:pPr>
      <w:r>
        <w:rPr>
          <w:sz w:val="18"/>
        </w:rPr>
        <w:t>The anthropometrist keep a respectful distance from the</w:t>
      </w:r>
      <w:r>
        <w:rPr>
          <w:spacing w:val="-10"/>
          <w:sz w:val="18"/>
        </w:rPr>
        <w:t> </w:t>
      </w:r>
      <w:r>
        <w:rPr>
          <w:sz w:val="18"/>
        </w:rPr>
        <w:t>study.</w:t>
      </w:r>
    </w:p>
    <w:p>
      <w:pPr>
        <w:pStyle w:val="ListParagraph"/>
        <w:numPr>
          <w:ilvl w:val="0"/>
          <w:numId w:val="25"/>
        </w:numPr>
        <w:tabs>
          <w:tab w:pos="394" w:val="left" w:leader="none"/>
        </w:tabs>
        <w:spacing w:line="240" w:lineRule="auto" w:before="0" w:after="0"/>
        <w:ind w:left="270" w:right="1" w:firstLine="0"/>
        <w:jc w:val="both"/>
        <w:rPr>
          <w:sz w:val="18"/>
        </w:rPr>
      </w:pPr>
      <w:r>
        <w:rPr>
          <w:sz w:val="18"/>
        </w:rPr>
        <w:t>The position of the studied changes will be made without shock and with the collaboration of</w:t>
      </w:r>
      <w:r>
        <w:rPr>
          <w:spacing w:val="-6"/>
          <w:sz w:val="18"/>
        </w:rPr>
        <w:t> </w:t>
      </w:r>
      <w:r>
        <w:rPr>
          <w:sz w:val="18"/>
        </w:rPr>
        <w:t>anthropometrist.</w:t>
      </w:r>
    </w:p>
    <w:p>
      <w:pPr>
        <w:pStyle w:val="ListParagraph"/>
        <w:numPr>
          <w:ilvl w:val="0"/>
          <w:numId w:val="25"/>
        </w:numPr>
        <w:tabs>
          <w:tab w:pos="378" w:val="left" w:leader="none"/>
        </w:tabs>
        <w:spacing w:line="240" w:lineRule="auto" w:before="0" w:after="0"/>
        <w:ind w:left="270" w:right="0" w:firstLine="0"/>
        <w:jc w:val="both"/>
        <w:rPr>
          <w:sz w:val="18"/>
        </w:rPr>
      </w:pPr>
      <w:r>
        <w:rPr>
          <w:sz w:val="18"/>
        </w:rPr>
        <w:t>The study will remain with clothes studio time to its realization. If the wait is prolonged adequate clothing will be</w:t>
      </w:r>
      <w:r>
        <w:rPr>
          <w:spacing w:val="-9"/>
          <w:sz w:val="18"/>
        </w:rPr>
        <w:t> </w:t>
      </w:r>
      <w:r>
        <w:rPr>
          <w:sz w:val="18"/>
        </w:rPr>
        <w:t>provided.</w:t>
      </w:r>
    </w:p>
    <w:p>
      <w:pPr>
        <w:pStyle w:val="ListParagraph"/>
        <w:numPr>
          <w:ilvl w:val="0"/>
          <w:numId w:val="25"/>
        </w:numPr>
        <w:tabs>
          <w:tab w:pos="384" w:val="left" w:leader="none"/>
        </w:tabs>
        <w:spacing w:line="240" w:lineRule="auto" w:before="0" w:after="0"/>
        <w:ind w:left="270" w:right="2" w:firstLine="0"/>
        <w:jc w:val="both"/>
        <w:rPr>
          <w:sz w:val="18"/>
        </w:rPr>
      </w:pPr>
      <w:r>
        <w:rPr>
          <w:sz w:val="18"/>
        </w:rPr>
        <w:t>It is convenient to have the help of an assistant to write down the measurements on the basis of anthropometric</w:t>
      </w:r>
      <w:r>
        <w:rPr>
          <w:spacing w:val="-23"/>
          <w:sz w:val="18"/>
        </w:rPr>
        <w:t> </w:t>
      </w:r>
      <w:r>
        <w:rPr>
          <w:sz w:val="18"/>
        </w:rPr>
        <w:t>data.</w:t>
      </w:r>
    </w:p>
    <w:p>
      <w:pPr>
        <w:spacing w:line="194" w:lineRule="exact" w:before="0"/>
        <w:ind w:left="270" w:right="0" w:firstLine="0"/>
        <w:jc w:val="both"/>
        <w:rPr>
          <w:sz w:val="18"/>
        </w:rPr>
      </w:pPr>
      <w:r>
        <w:rPr>
          <w:sz w:val="18"/>
        </w:rPr>
        <w:t>The measuring instruments used for anthropometric studies are:</w:t>
      </w:r>
    </w:p>
    <w:p>
      <w:pPr>
        <w:pStyle w:val="ListParagraph"/>
        <w:numPr>
          <w:ilvl w:val="0"/>
          <w:numId w:val="26"/>
        </w:numPr>
        <w:tabs>
          <w:tab w:pos="696" w:val="left" w:leader="none"/>
          <w:tab w:pos="697" w:val="left" w:leader="none"/>
        </w:tabs>
        <w:spacing w:line="208" w:lineRule="exact" w:before="14" w:after="0"/>
        <w:ind w:left="696" w:right="0" w:hanging="360"/>
        <w:jc w:val="left"/>
        <w:rPr>
          <w:sz w:val="18"/>
        </w:rPr>
      </w:pPr>
      <w:r>
        <w:rPr>
          <w:sz w:val="18"/>
        </w:rPr>
        <w:t>HEIGHT ROD.- Metric scale supported on a vertical plane and a horizontal table or a slider to contact the top of the</w:t>
      </w:r>
      <w:r>
        <w:rPr>
          <w:spacing w:val="-8"/>
          <w:sz w:val="18"/>
        </w:rPr>
        <w:t> </w:t>
      </w:r>
      <w:r>
        <w:rPr>
          <w:sz w:val="18"/>
        </w:rPr>
        <w:t>head</w:t>
      </w:r>
    </w:p>
    <w:p>
      <w:pPr>
        <w:spacing w:line="240" w:lineRule="auto" w:before="0"/>
        <w:ind w:left="696" w:right="-15" w:firstLine="0"/>
        <w:jc w:val="left"/>
        <w:rPr>
          <w:sz w:val="18"/>
        </w:rPr>
      </w:pPr>
      <w:r>
        <w:rPr>
          <w:sz w:val="18"/>
        </w:rPr>
        <w:t>or vertex. Accuracy 1 mm. It is used for height and sitting the studied size. Shall be calibrated periodically by checking with</w:t>
      </w:r>
    </w:p>
    <w:p>
      <w:pPr>
        <w:spacing w:before="77"/>
        <w:ind w:left="696" w:right="679" w:firstLine="0"/>
        <w:jc w:val="both"/>
        <w:rPr>
          <w:sz w:val="18"/>
        </w:rPr>
      </w:pPr>
      <w:r>
        <w:rPr/>
        <w:br w:type="column"/>
      </w:r>
      <w:r>
        <w:rPr>
          <w:sz w:val="18"/>
        </w:rPr>
        <w:t>another tape measure the distance between the horizontal and different level slider.</w:t>
      </w:r>
    </w:p>
    <w:p>
      <w:pPr>
        <w:pStyle w:val="ListParagraph"/>
        <w:numPr>
          <w:ilvl w:val="0"/>
          <w:numId w:val="26"/>
        </w:numPr>
        <w:tabs>
          <w:tab w:pos="696" w:val="left" w:leader="none"/>
          <w:tab w:pos="697" w:val="left" w:leader="none"/>
        </w:tabs>
        <w:spacing w:line="206" w:lineRule="exact" w:before="4" w:after="0"/>
        <w:ind w:left="696" w:right="677" w:hanging="360"/>
        <w:jc w:val="left"/>
        <w:rPr>
          <w:sz w:val="18"/>
        </w:rPr>
      </w:pPr>
      <w:r>
        <w:rPr>
          <w:sz w:val="18"/>
        </w:rPr>
        <w:t>SCALE.--Person weighs 100 grams accurately. used to  obtain  the  weight  of  studied.  For  calibration  weights   </w:t>
      </w:r>
      <w:r>
        <w:rPr>
          <w:spacing w:val="43"/>
          <w:sz w:val="18"/>
        </w:rPr>
        <w:t> </w:t>
      </w:r>
      <w:r>
        <w:rPr>
          <w:sz w:val="18"/>
        </w:rPr>
        <w:t>of</w:t>
      </w:r>
    </w:p>
    <w:p>
      <w:pPr>
        <w:spacing w:before="0"/>
        <w:ind w:left="696" w:right="677" w:firstLine="0"/>
        <w:jc w:val="both"/>
        <w:rPr>
          <w:sz w:val="18"/>
        </w:rPr>
      </w:pPr>
      <w:r>
        <w:rPr>
          <w:sz w:val="18"/>
        </w:rPr>
        <w:t>different kilograms will be used, covering the scale of the sample to be measured (low, medium and high).</w:t>
      </w:r>
    </w:p>
    <w:p>
      <w:pPr>
        <w:pStyle w:val="ListParagraph"/>
        <w:numPr>
          <w:ilvl w:val="0"/>
          <w:numId w:val="26"/>
        </w:numPr>
        <w:tabs>
          <w:tab w:pos="696" w:val="left" w:leader="none"/>
          <w:tab w:pos="697" w:val="left" w:leader="none"/>
        </w:tabs>
        <w:spacing w:line="206" w:lineRule="exact" w:before="4" w:after="0"/>
        <w:ind w:left="696" w:right="677" w:hanging="360"/>
        <w:jc w:val="left"/>
        <w:rPr>
          <w:sz w:val="18"/>
        </w:rPr>
      </w:pPr>
      <w:r>
        <w:rPr>
          <w:sz w:val="18"/>
        </w:rPr>
        <w:t>ANTROPOMETER.- Is a metric scale with two branches,  one</w:t>
      </w:r>
      <w:r>
        <w:rPr>
          <w:spacing w:val="17"/>
          <w:sz w:val="18"/>
        </w:rPr>
        <w:t> </w:t>
      </w:r>
      <w:r>
        <w:rPr>
          <w:sz w:val="18"/>
        </w:rPr>
        <w:t>fixed</w:t>
      </w:r>
      <w:r>
        <w:rPr>
          <w:spacing w:val="16"/>
          <w:sz w:val="18"/>
        </w:rPr>
        <w:t> </w:t>
      </w:r>
      <w:r>
        <w:rPr>
          <w:sz w:val="18"/>
        </w:rPr>
        <w:t>and</w:t>
      </w:r>
      <w:r>
        <w:rPr>
          <w:spacing w:val="17"/>
          <w:sz w:val="18"/>
        </w:rPr>
        <w:t> </w:t>
      </w:r>
      <w:r>
        <w:rPr>
          <w:sz w:val="18"/>
        </w:rPr>
        <w:t>one</w:t>
      </w:r>
      <w:r>
        <w:rPr>
          <w:spacing w:val="17"/>
          <w:sz w:val="18"/>
        </w:rPr>
        <w:t> </w:t>
      </w:r>
      <w:r>
        <w:rPr>
          <w:sz w:val="18"/>
        </w:rPr>
        <w:t>moving.</w:t>
      </w:r>
      <w:r>
        <w:rPr>
          <w:spacing w:val="17"/>
          <w:sz w:val="18"/>
        </w:rPr>
        <w:t> </w:t>
      </w:r>
      <w:r>
        <w:rPr>
          <w:sz w:val="18"/>
        </w:rPr>
        <w:t>The</w:t>
      </w:r>
      <w:r>
        <w:rPr>
          <w:spacing w:val="17"/>
          <w:sz w:val="18"/>
        </w:rPr>
        <w:t> </w:t>
      </w:r>
      <w:r>
        <w:rPr>
          <w:sz w:val="18"/>
        </w:rPr>
        <w:t>branches</w:t>
      </w:r>
      <w:r>
        <w:rPr>
          <w:spacing w:val="17"/>
          <w:sz w:val="18"/>
        </w:rPr>
        <w:t> </w:t>
      </w:r>
      <w:r>
        <w:rPr>
          <w:sz w:val="18"/>
        </w:rPr>
        <w:t>may</w:t>
      </w:r>
      <w:r>
        <w:rPr>
          <w:spacing w:val="17"/>
          <w:sz w:val="18"/>
        </w:rPr>
        <w:t> </w:t>
      </w:r>
      <w:r>
        <w:rPr>
          <w:sz w:val="18"/>
        </w:rPr>
        <w:t>be</w:t>
      </w:r>
      <w:r>
        <w:rPr>
          <w:spacing w:val="17"/>
          <w:sz w:val="18"/>
        </w:rPr>
        <w:t> </w:t>
      </w:r>
      <w:r>
        <w:rPr>
          <w:sz w:val="18"/>
        </w:rPr>
        <w:t>straight</w:t>
      </w:r>
      <w:r>
        <w:rPr>
          <w:spacing w:val="17"/>
          <w:sz w:val="18"/>
        </w:rPr>
        <w:t> </w:t>
      </w:r>
      <w:r>
        <w:rPr>
          <w:sz w:val="18"/>
        </w:rPr>
        <w:t>or</w:t>
      </w:r>
    </w:p>
    <w:p>
      <w:pPr>
        <w:spacing w:before="0"/>
        <w:ind w:left="696" w:right="677" w:firstLine="0"/>
        <w:jc w:val="both"/>
        <w:rPr>
          <w:sz w:val="18"/>
        </w:rPr>
      </w:pPr>
      <w:r>
        <w:rPr>
          <w:sz w:val="18"/>
        </w:rPr>
        <w:t>curved with olives. Accuracy 1 mm. Body segments, large diameters and heights are measured. The articulation of the metric scale, with new segments, to measure lengths up to 2 meters.</w:t>
      </w:r>
    </w:p>
    <w:p>
      <w:pPr>
        <w:pStyle w:val="ListParagraph"/>
        <w:numPr>
          <w:ilvl w:val="0"/>
          <w:numId w:val="26"/>
        </w:numPr>
        <w:tabs>
          <w:tab w:pos="696" w:val="left" w:leader="none"/>
          <w:tab w:pos="697" w:val="left" w:leader="none"/>
        </w:tabs>
        <w:spacing w:line="210" w:lineRule="exact" w:before="0" w:after="0"/>
        <w:ind w:left="696" w:right="0" w:hanging="360"/>
        <w:jc w:val="left"/>
        <w:rPr>
          <w:sz w:val="18"/>
        </w:rPr>
      </w:pPr>
      <w:r>
        <w:rPr>
          <w:sz w:val="18"/>
        </w:rPr>
        <w:t>ANTROPOMETRIC   TAPE.-   Must   be   flexible,</w:t>
      </w:r>
      <w:r>
        <w:rPr>
          <w:spacing w:val="25"/>
          <w:sz w:val="18"/>
        </w:rPr>
        <w:t> </w:t>
      </w:r>
      <w:r>
        <w:rPr>
          <w:sz w:val="18"/>
        </w:rPr>
        <w:t>resilient,</w:t>
      </w:r>
    </w:p>
    <w:p>
      <w:pPr>
        <w:spacing w:line="240" w:lineRule="auto" w:before="0"/>
        <w:ind w:left="696" w:right="677" w:firstLine="0"/>
        <w:jc w:val="both"/>
        <w:rPr>
          <w:sz w:val="18"/>
        </w:rPr>
      </w:pPr>
      <w:r>
        <w:rPr>
          <w:sz w:val="18"/>
        </w:rPr>
        <w:t>metal, width less than 7 mm, with an area without graduating before zero and easy to read scale. The dock or collection system and extent of the tape must maintain a constant tension and allow easy handling. It is recommended that the reading units are in centimeters only. Accuracy 1 mm. It is used to measure perimeters and location midway  between two anatomical</w:t>
      </w:r>
      <w:r>
        <w:rPr>
          <w:spacing w:val="-19"/>
          <w:sz w:val="18"/>
        </w:rPr>
        <w:t> </w:t>
      </w:r>
      <w:r>
        <w:rPr>
          <w:sz w:val="18"/>
        </w:rPr>
        <w:t>points.</w:t>
      </w:r>
    </w:p>
    <w:p>
      <w:pPr>
        <w:spacing w:line="194" w:lineRule="exact" w:before="0"/>
        <w:ind w:left="270" w:right="0" w:firstLine="0"/>
        <w:jc w:val="both"/>
        <w:rPr>
          <w:sz w:val="18"/>
        </w:rPr>
      </w:pPr>
      <w:r>
        <w:rPr>
          <w:sz w:val="18"/>
        </w:rPr>
        <w:t>Auxiliary material</w:t>
      </w:r>
    </w:p>
    <w:p>
      <w:pPr>
        <w:pStyle w:val="ListParagraph"/>
        <w:numPr>
          <w:ilvl w:val="0"/>
          <w:numId w:val="27"/>
        </w:numPr>
        <w:tabs>
          <w:tab w:pos="696" w:val="left" w:leader="none"/>
          <w:tab w:pos="697" w:val="left" w:leader="none"/>
        </w:tabs>
        <w:spacing w:line="206" w:lineRule="exact" w:before="16" w:after="0"/>
        <w:ind w:left="696" w:right="679" w:hanging="426"/>
        <w:jc w:val="left"/>
        <w:rPr>
          <w:sz w:val="18"/>
        </w:rPr>
      </w:pPr>
      <w:r>
        <w:rPr>
          <w:sz w:val="18"/>
        </w:rPr>
        <w:t>Wooden bench of known height for measuring sitting height and facilitate anthropometrist taking various measures</w:t>
      </w:r>
      <w:r>
        <w:rPr>
          <w:spacing w:val="-11"/>
          <w:sz w:val="18"/>
        </w:rPr>
        <w:t> </w:t>
      </w:r>
      <w:r>
        <w:rPr>
          <w:sz w:val="18"/>
        </w:rPr>
        <w:t>height.</w:t>
      </w:r>
    </w:p>
    <w:p>
      <w:pPr>
        <w:pStyle w:val="ListParagraph"/>
        <w:numPr>
          <w:ilvl w:val="0"/>
          <w:numId w:val="27"/>
        </w:numPr>
        <w:tabs>
          <w:tab w:pos="696" w:val="left" w:leader="none"/>
          <w:tab w:pos="697" w:val="left" w:leader="none"/>
        </w:tabs>
        <w:spacing w:line="206" w:lineRule="exact" w:before="1" w:after="0"/>
        <w:ind w:left="696" w:right="679" w:hanging="426"/>
        <w:jc w:val="left"/>
        <w:rPr>
          <w:sz w:val="18"/>
        </w:rPr>
      </w:pPr>
      <w:r>
        <w:rPr>
          <w:sz w:val="18"/>
        </w:rPr>
        <w:t>Dermographic pencil to mark the anatomical points and benchmarks.</w:t>
      </w:r>
    </w:p>
    <w:p>
      <w:pPr>
        <w:pStyle w:val="ListParagraph"/>
        <w:numPr>
          <w:ilvl w:val="0"/>
          <w:numId w:val="27"/>
        </w:numPr>
        <w:tabs>
          <w:tab w:pos="696" w:val="left" w:leader="none"/>
          <w:tab w:pos="697" w:val="left" w:leader="none"/>
        </w:tabs>
        <w:spacing w:line="206" w:lineRule="exact" w:before="1" w:after="0"/>
        <w:ind w:left="696" w:right="679" w:hanging="426"/>
        <w:jc w:val="left"/>
        <w:rPr>
          <w:sz w:val="18"/>
        </w:rPr>
      </w:pPr>
      <w:r>
        <w:rPr>
          <w:sz w:val="18"/>
        </w:rPr>
        <w:t>A platform as a support base for placing the subject anthropometer</w:t>
      </w:r>
      <w:r>
        <w:rPr>
          <w:spacing w:val="29"/>
          <w:sz w:val="18"/>
        </w:rPr>
        <w:t> </w:t>
      </w:r>
      <w:r>
        <w:rPr>
          <w:sz w:val="18"/>
        </w:rPr>
        <w:t>studied</w:t>
      </w:r>
      <w:r>
        <w:rPr>
          <w:spacing w:val="29"/>
          <w:sz w:val="18"/>
        </w:rPr>
        <w:t> </w:t>
      </w:r>
      <w:r>
        <w:rPr>
          <w:sz w:val="18"/>
        </w:rPr>
        <w:t>and</w:t>
      </w:r>
      <w:r>
        <w:rPr>
          <w:spacing w:val="29"/>
          <w:sz w:val="18"/>
        </w:rPr>
        <w:t> </w:t>
      </w:r>
      <w:r>
        <w:rPr>
          <w:sz w:val="18"/>
        </w:rPr>
        <w:t>may</w:t>
      </w:r>
      <w:r>
        <w:rPr>
          <w:spacing w:val="29"/>
          <w:sz w:val="18"/>
        </w:rPr>
        <w:t> </w:t>
      </w:r>
      <w:r>
        <w:rPr>
          <w:sz w:val="18"/>
        </w:rPr>
        <w:t>be</w:t>
      </w:r>
      <w:r>
        <w:rPr>
          <w:spacing w:val="29"/>
          <w:sz w:val="18"/>
        </w:rPr>
        <w:t> </w:t>
      </w:r>
      <w:r>
        <w:rPr>
          <w:sz w:val="18"/>
        </w:rPr>
        <w:t>useful</w:t>
      </w:r>
      <w:r>
        <w:rPr>
          <w:spacing w:val="29"/>
          <w:sz w:val="18"/>
        </w:rPr>
        <w:t> </w:t>
      </w:r>
      <w:r>
        <w:rPr>
          <w:sz w:val="18"/>
        </w:rPr>
        <w:t>in</w:t>
      </w:r>
      <w:r>
        <w:rPr>
          <w:spacing w:val="29"/>
          <w:sz w:val="18"/>
        </w:rPr>
        <w:t> </w:t>
      </w:r>
      <w:r>
        <w:rPr>
          <w:sz w:val="18"/>
        </w:rPr>
        <w:t>measuring</w:t>
      </w:r>
      <w:r>
        <w:rPr>
          <w:spacing w:val="29"/>
          <w:sz w:val="18"/>
        </w:rPr>
        <w:t> </w:t>
      </w:r>
      <w:r>
        <w:rPr>
          <w:sz w:val="18"/>
        </w:rPr>
        <w:t>the</w:t>
      </w:r>
    </w:p>
    <w:p>
      <w:pPr>
        <w:spacing w:line="205" w:lineRule="exact" w:before="0"/>
        <w:ind w:left="696" w:right="0" w:firstLine="0"/>
        <w:jc w:val="both"/>
        <w:rPr>
          <w:sz w:val="18"/>
        </w:rPr>
      </w:pPr>
      <w:r>
        <w:rPr>
          <w:sz w:val="18"/>
        </w:rPr>
        <w:t>heights when the ground is not leveled.</w:t>
      </w:r>
    </w:p>
    <w:p>
      <w:pPr>
        <w:pStyle w:val="BodyText"/>
        <w:spacing w:before="3"/>
        <w:rPr>
          <w:sz w:val="18"/>
        </w:rPr>
      </w:pPr>
    </w:p>
    <w:p>
      <w:pPr>
        <w:spacing w:line="205" w:lineRule="exact" w:before="0"/>
        <w:ind w:left="270" w:right="0" w:firstLine="0"/>
        <w:jc w:val="both"/>
        <w:rPr>
          <w:b/>
          <w:sz w:val="18"/>
        </w:rPr>
      </w:pPr>
      <w:r>
        <w:rPr>
          <w:b/>
          <w:sz w:val="18"/>
        </w:rPr>
        <w:t>Physical measurements.</w:t>
      </w:r>
    </w:p>
    <w:p>
      <w:pPr>
        <w:spacing w:line="240" w:lineRule="auto" w:before="0"/>
        <w:ind w:left="270" w:right="676" w:firstLine="0"/>
        <w:jc w:val="both"/>
        <w:rPr>
          <w:sz w:val="18"/>
        </w:rPr>
      </w:pPr>
      <w:r>
        <w:rPr>
          <w:sz w:val="18"/>
        </w:rPr>
        <w:t>With the support of specialized equipment for measuring physical characteristics, are analyzed as those aspects are in a sample of urban parks, so based on the results make a proposal to better environmental conditions, physical and infrastructural for increased user satisfaction processes recreation and social interaction.</w:t>
      </w:r>
    </w:p>
    <w:p>
      <w:pPr>
        <w:spacing w:line="205" w:lineRule="exact" w:before="4"/>
        <w:ind w:left="270" w:right="0" w:firstLine="0"/>
        <w:jc w:val="both"/>
        <w:rPr>
          <w:b/>
          <w:sz w:val="18"/>
        </w:rPr>
      </w:pPr>
      <w:r>
        <w:rPr>
          <w:b/>
          <w:sz w:val="18"/>
        </w:rPr>
        <w:t>Furniture Design and Spaces</w:t>
      </w:r>
    </w:p>
    <w:p>
      <w:pPr>
        <w:spacing w:line="240" w:lineRule="auto" w:before="0"/>
        <w:ind w:left="270" w:right="677" w:firstLine="0"/>
        <w:jc w:val="both"/>
        <w:rPr>
          <w:sz w:val="18"/>
        </w:rPr>
      </w:pPr>
      <w:r>
        <w:rPr>
          <w:sz w:val="18"/>
        </w:rPr>
        <w:t>Based on the collected anthropometric data, general information on the context and the information provided by users and representatives of governmental and social institutions, furniture, equipment and recreational implements appropriate to the type of activity that is required in urban park will be designed generating about this benches, games, spaces and structures.</w:t>
      </w:r>
    </w:p>
    <w:p>
      <w:pPr>
        <w:pStyle w:val="BodyText"/>
        <w:spacing w:before="3"/>
        <w:rPr>
          <w:sz w:val="18"/>
        </w:rPr>
      </w:pPr>
    </w:p>
    <w:p>
      <w:pPr>
        <w:spacing w:line="205" w:lineRule="exact" w:before="0"/>
        <w:ind w:left="270" w:right="0" w:firstLine="0"/>
        <w:jc w:val="both"/>
        <w:rPr>
          <w:b/>
          <w:sz w:val="18"/>
        </w:rPr>
      </w:pPr>
      <w:r>
        <w:rPr>
          <w:b/>
          <w:sz w:val="18"/>
        </w:rPr>
        <w:t>Test and Experimentation.</w:t>
      </w:r>
    </w:p>
    <w:p>
      <w:pPr>
        <w:spacing w:line="240" w:lineRule="auto" w:before="0"/>
        <w:ind w:left="270" w:right="678" w:firstLine="0"/>
        <w:jc w:val="both"/>
        <w:rPr>
          <w:sz w:val="18"/>
        </w:rPr>
      </w:pPr>
      <w:r>
        <w:rPr>
          <w:sz w:val="18"/>
        </w:rPr>
        <w:t>Once designed the proposed urban park, will proceed to prove their efficiency, which is experienced with a group of representative users for purposes of validity through statistical sampling procedures, electronic simulator and physical recreations of spaces according to the design proposals generated, and thus test the hypothesis in this research.</w:t>
      </w:r>
    </w:p>
    <w:p>
      <w:pPr>
        <w:spacing w:line="205" w:lineRule="exact" w:before="4"/>
        <w:ind w:left="270" w:right="0" w:firstLine="0"/>
        <w:jc w:val="both"/>
        <w:rPr>
          <w:b/>
          <w:sz w:val="18"/>
        </w:rPr>
      </w:pPr>
      <w:r>
        <w:rPr>
          <w:b/>
          <w:sz w:val="18"/>
        </w:rPr>
        <w:t>Results:</w:t>
      </w:r>
    </w:p>
    <w:p>
      <w:pPr>
        <w:spacing w:line="240" w:lineRule="auto" w:before="0"/>
        <w:ind w:left="270" w:right="678" w:firstLine="0"/>
        <w:jc w:val="both"/>
        <w:rPr>
          <w:sz w:val="18"/>
        </w:rPr>
      </w:pPr>
      <w:r>
        <w:rPr>
          <w:sz w:val="18"/>
        </w:rPr>
        <w:t>Once the research design of an urban park for social integration, Ciudad Constitucion Municipality of Comondu in BCS, which includes ergonomic fundamentals and principles of social interaction from the diverse needs presented by different social sectors is obtained the population.</w:t>
      </w:r>
    </w:p>
    <w:p>
      <w:pPr>
        <w:spacing w:before="0"/>
        <w:ind w:left="270" w:right="678" w:firstLine="0"/>
        <w:jc w:val="both"/>
        <w:rPr>
          <w:sz w:val="18"/>
        </w:rPr>
      </w:pPr>
      <w:r>
        <w:rPr/>
        <w:pict>
          <v:group style="position:absolute;margin-left:318.470001pt;margin-top:41.391739pt;width:259.5pt;height:41.55pt;mso-position-horizontal-relative:page;mso-position-vertical-relative:paragraph;z-index:2584" coordorigin="6369,828" coordsize="5190,831">
            <v:shape style="position:absolute;left:6374;top:833;width:5180;height:821" coordorigin="6374,833" coordsize="5180,821" path="m6374,838l11554,838m6379,833l6379,1654m6374,1649l7951,1649m7937,1649l8849,1649m8834,1649l9749,1649m9734,1649l10649,1649m10634,1649l11544,1649e" filled="false" stroked="true" strokeweight=".48001pt" strokecolor="#000000">
              <v:path arrowok="t"/>
            </v:shape>
            <v:line style="position:absolute" from="11549,833" to="11549,1654" stroked="true" strokeweight=".47998pt" strokecolor="#000000"/>
            <v:shape style="position:absolute;left:6449;top:1000;width:716;height:581" type="#_x0000_t202" filled="false" stroked="false">
              <v:textbox inset="0,0,0,0">
                <w:txbxContent>
                  <w:p>
                    <w:pPr>
                      <w:spacing w:line="184" w:lineRule="exact" w:before="0"/>
                      <w:ind w:left="45" w:right="-19" w:firstLine="0"/>
                      <w:jc w:val="left"/>
                      <w:rPr>
                        <w:b/>
                        <w:sz w:val="18"/>
                      </w:rPr>
                    </w:pPr>
                    <w:r>
                      <w:rPr>
                        <w:b/>
                        <w:sz w:val="18"/>
                      </w:rPr>
                      <w:t>Variable</w:t>
                    </w:r>
                  </w:p>
                  <w:p>
                    <w:pPr>
                      <w:spacing w:line="240" w:lineRule="auto" w:before="9"/>
                      <w:rPr>
                        <w:sz w:val="16"/>
                      </w:rPr>
                    </w:pPr>
                  </w:p>
                  <w:p>
                    <w:pPr>
                      <w:spacing w:line="203" w:lineRule="exact" w:before="1"/>
                      <w:ind w:left="0" w:right="-19" w:firstLine="0"/>
                      <w:jc w:val="left"/>
                      <w:rPr>
                        <w:sz w:val="18"/>
                      </w:rPr>
                    </w:pPr>
                    <w:r>
                      <w:rPr>
                        <w:sz w:val="18"/>
                      </w:rPr>
                      <w:t>Height</w:t>
                    </w:r>
                  </w:p>
                </w:txbxContent>
              </v:textbox>
              <w10:wrap type="none"/>
            </v:shape>
            <v:shape style="position:absolute;left:8021;top:900;width:3389;height:738" type="#_x0000_t202" filled="false" stroked="false">
              <v:textbox inset="0,0,0,0">
                <w:txbxContent>
                  <w:p>
                    <w:pPr>
                      <w:tabs>
                        <w:tab w:pos="1797" w:val="left" w:leader="none"/>
                        <w:tab w:pos="2697" w:val="left" w:leader="none"/>
                      </w:tabs>
                      <w:spacing w:line="184" w:lineRule="exact" w:before="0"/>
                      <w:ind w:left="0" w:right="0" w:firstLine="0"/>
                      <w:jc w:val="left"/>
                      <w:rPr>
                        <w:b/>
                        <w:sz w:val="18"/>
                      </w:rPr>
                    </w:pPr>
                    <w:r>
                      <w:rPr>
                        <w:b/>
                        <w:sz w:val="18"/>
                      </w:rPr>
                      <w:t>Standard  </w:t>
                    </w:r>
                    <w:r>
                      <w:rPr>
                        <w:b/>
                        <w:spacing w:val="37"/>
                        <w:sz w:val="18"/>
                      </w:rPr>
                      <w:t> </w:t>
                    </w:r>
                    <w:r>
                      <w:rPr>
                        <w:b/>
                        <w:sz w:val="18"/>
                      </w:rPr>
                      <w:t>Percentil</w:t>
                      <w:tab/>
                      <w:t>Percentil</w:t>
                      <w:tab/>
                      <w:t>Percentil</w:t>
                    </w:r>
                  </w:p>
                  <w:p>
                    <w:pPr>
                      <w:tabs>
                        <w:tab w:pos="1797" w:val="left" w:leader="none"/>
                        <w:tab w:pos="2877" w:val="right" w:leader="none"/>
                      </w:tabs>
                      <w:spacing w:before="0"/>
                      <w:ind w:left="0" w:right="0" w:firstLine="0"/>
                      <w:jc w:val="left"/>
                      <w:rPr>
                        <w:b/>
                        <w:sz w:val="18"/>
                      </w:rPr>
                    </w:pPr>
                    <w:r>
                      <w:rPr>
                        <w:b/>
                        <w:sz w:val="18"/>
                      </w:rPr>
                      <w:t>deviation   </w:t>
                    </w:r>
                    <w:r>
                      <w:rPr>
                        <w:b/>
                        <w:spacing w:val="7"/>
                        <w:sz w:val="18"/>
                      </w:rPr>
                      <w:t> </w:t>
                    </w:r>
                    <w:r>
                      <w:rPr>
                        <w:b/>
                        <w:sz w:val="18"/>
                      </w:rPr>
                      <w:t>5</w:t>
                      <w:tab/>
                      <w:t>50</w:t>
                      <w:tab/>
                      <w:t>95</w:t>
                    </w:r>
                  </w:p>
                  <w:p>
                    <w:pPr>
                      <w:tabs>
                        <w:tab w:pos="1029" w:val="left" w:leader="none"/>
                        <w:tab w:pos="2041" w:val="left" w:leader="none"/>
                        <w:tab w:pos="2941" w:val="left" w:leader="none"/>
                      </w:tabs>
                      <w:spacing w:line="203" w:lineRule="exact" w:before="143"/>
                      <w:ind w:left="222" w:right="0" w:firstLine="0"/>
                      <w:jc w:val="left"/>
                      <w:rPr>
                        <w:b/>
                        <w:sz w:val="18"/>
                      </w:rPr>
                    </w:pPr>
                    <w:r>
                      <w:rPr>
                        <w:b/>
                        <w:sz w:val="18"/>
                      </w:rPr>
                      <w:t>8.36</w:t>
                      <w:tab/>
                      <w:t>146.15</w:t>
                      <w:tab/>
                      <w:t>160</w:t>
                      <w:tab/>
                      <w:t>174</w:t>
                    </w:r>
                  </w:p>
                </w:txbxContent>
              </v:textbox>
              <w10:wrap type="none"/>
            </v:shape>
            <w10:wrap type="none"/>
          </v:group>
        </w:pict>
      </w:r>
      <w:r>
        <w:rPr>
          <w:sz w:val="18"/>
        </w:rPr>
        <w:t>Anthropometric tables of different user sectors (A-E) from activities scheduled location and measurement were generated. (Table 1)</w:t>
      </w:r>
    </w:p>
    <w:p>
      <w:pPr>
        <w:spacing w:after="0"/>
        <w:jc w:val="both"/>
        <w:rPr>
          <w:sz w:val="18"/>
        </w:rPr>
        <w:sectPr>
          <w:type w:val="continuous"/>
          <w:pgSz w:w="12240" w:h="15840"/>
          <w:pgMar w:top="1500" w:bottom="280" w:left="580" w:right="220"/>
          <w:cols w:num="2" w:equalWidth="0">
            <w:col w:w="5165" w:space="433"/>
            <w:col w:w="5842"/>
          </w:cols>
        </w:sectPr>
      </w:pPr>
    </w:p>
    <w:p>
      <w:pPr>
        <w:pStyle w:val="BodyText"/>
        <w:rPr>
          <w:sz w:val="11"/>
        </w:rPr>
      </w:pPr>
    </w:p>
    <w:p>
      <w:pPr>
        <w:spacing w:before="77"/>
        <w:ind w:left="5868" w:right="677" w:firstLine="0"/>
        <w:jc w:val="both"/>
        <w:rPr>
          <w:sz w:val="18"/>
        </w:rPr>
      </w:pPr>
      <w:r>
        <w:rPr/>
        <w:pict>
          <v:group style="position:absolute;margin-left:38.57pt;margin-top:3.842664pt;width:259.5pt;height:375.9pt;mso-position-horizontal-relative:page;mso-position-vertical-relative:paragraph;z-index:-875296" coordorigin="771,77" coordsize="5190,7518">
            <v:line style="position:absolute" from="776,87" to="5956,87" stroked="true" strokeweight=".47998pt" strokecolor="#000000"/>
            <v:shape style="position:absolute;left:781;top:82;width:5170;height:7508" coordorigin="781,82" coordsize="5170,7508" path="m781,82l781,7589m5951,82l5951,7589e" filled="false" stroked="true" strokeweight=".48001pt" strokecolor="#000000">
              <v:path arrowok="t"/>
            </v:shape>
            <v:shape style="position:absolute;left:851;top:110;width:1305;height:2043" type="#_x0000_t202" filled="false" stroked="false">
              <v:textbox inset="0,0,0,0">
                <w:txbxContent>
                  <w:p>
                    <w:pPr>
                      <w:spacing w:line="183" w:lineRule="exact" w:before="0"/>
                      <w:ind w:left="0" w:right="-20" w:firstLine="0"/>
                      <w:jc w:val="left"/>
                      <w:rPr>
                        <w:sz w:val="18"/>
                      </w:rPr>
                    </w:pPr>
                    <w:r>
                      <w:rPr>
                        <w:sz w:val="18"/>
                      </w:rPr>
                      <w:t>Eyes standing</w:t>
                    </w:r>
                  </w:p>
                  <w:p>
                    <w:pPr>
                      <w:spacing w:line="207" w:lineRule="exact" w:before="0"/>
                      <w:ind w:left="0" w:right="-20" w:firstLine="0"/>
                      <w:jc w:val="left"/>
                      <w:rPr>
                        <w:sz w:val="18"/>
                      </w:rPr>
                    </w:pPr>
                    <w:r>
                      <w:rPr>
                        <w:sz w:val="18"/>
                      </w:rPr>
                      <w:t>height</w:t>
                    </w:r>
                  </w:p>
                  <w:p>
                    <w:pPr>
                      <w:spacing w:before="0"/>
                      <w:ind w:left="0" w:right="-20" w:firstLine="0"/>
                      <w:jc w:val="left"/>
                      <w:rPr>
                        <w:sz w:val="18"/>
                      </w:rPr>
                    </w:pPr>
                    <w:r>
                      <w:rPr>
                        <w:sz w:val="18"/>
                      </w:rPr>
                      <w:t>Shoulder standing height</w:t>
                    </w:r>
                  </w:p>
                  <w:p>
                    <w:pPr>
                      <w:spacing w:before="0"/>
                      <w:ind w:left="0" w:right="160" w:firstLine="0"/>
                      <w:jc w:val="left"/>
                      <w:rPr>
                        <w:sz w:val="18"/>
                      </w:rPr>
                    </w:pPr>
                    <w:r>
                      <w:rPr>
                        <w:sz w:val="18"/>
                      </w:rPr>
                      <w:t>Elbow standing height</w:t>
                    </w:r>
                  </w:p>
                  <w:p>
                    <w:pPr>
                      <w:spacing w:before="0"/>
                      <w:ind w:left="0" w:right="290" w:firstLine="0"/>
                      <w:jc w:val="left"/>
                      <w:rPr>
                        <w:sz w:val="18"/>
                      </w:rPr>
                    </w:pPr>
                    <w:r>
                      <w:rPr>
                        <w:sz w:val="18"/>
                      </w:rPr>
                      <w:t>Hips standing height</w:t>
                    </w:r>
                  </w:p>
                  <w:p>
                    <w:pPr>
                      <w:spacing w:before="0"/>
                      <w:ind w:left="0" w:right="190" w:firstLine="0"/>
                      <w:jc w:val="left"/>
                      <w:rPr>
                        <w:sz w:val="18"/>
                      </w:rPr>
                    </w:pPr>
                    <w:r>
                      <w:rPr>
                        <w:sz w:val="18"/>
                      </w:rPr>
                      <w:t>Ankle standing height</w:t>
                    </w:r>
                  </w:p>
                </w:txbxContent>
              </v:textbox>
              <w10:wrap type="none"/>
            </v:shape>
            <v:shape style="position:absolute;left:2645;top:320;width:316;height:180" type="#_x0000_t202" filled="false" stroked="false">
              <v:textbox inset="0,0,0,0">
                <w:txbxContent>
                  <w:p>
                    <w:pPr>
                      <w:spacing w:line="180" w:lineRule="exact" w:before="0"/>
                      <w:ind w:left="0" w:right="-19" w:firstLine="0"/>
                      <w:jc w:val="left"/>
                      <w:rPr>
                        <w:b/>
                        <w:sz w:val="18"/>
                      </w:rPr>
                    </w:pPr>
                    <w:r>
                      <w:rPr>
                        <w:b/>
                        <w:sz w:val="18"/>
                      </w:rPr>
                      <w:t>7.34</w:t>
                    </w:r>
                  </w:p>
                </w:txbxContent>
              </v:textbox>
              <w10:wrap type="none"/>
            </v:shape>
            <v:shape style="position:absolute;left:3566;top:320;width:271;height:180" type="#_x0000_t202" filled="false" stroked="false">
              <v:textbox inset="0,0,0,0">
                <w:txbxContent>
                  <w:p>
                    <w:pPr>
                      <w:spacing w:line="180" w:lineRule="exact" w:before="0"/>
                      <w:ind w:left="0" w:right="-19" w:firstLine="0"/>
                      <w:jc w:val="left"/>
                      <w:rPr>
                        <w:b/>
                        <w:sz w:val="18"/>
                      </w:rPr>
                    </w:pPr>
                    <w:r>
                      <w:rPr>
                        <w:b/>
                        <w:sz w:val="18"/>
                      </w:rPr>
                      <w:t>136</w:t>
                    </w:r>
                  </w:p>
                </w:txbxContent>
              </v:textbox>
              <w10:wrap type="none"/>
            </v:shape>
            <v:shape style="position:absolute;left:4466;top:320;width:271;height:180" type="#_x0000_t202" filled="false" stroked="false">
              <v:textbox inset="0,0,0,0">
                <w:txbxContent>
                  <w:p>
                    <w:pPr>
                      <w:spacing w:line="180" w:lineRule="exact" w:before="0"/>
                      <w:ind w:left="0" w:right="-19" w:firstLine="0"/>
                      <w:jc w:val="left"/>
                      <w:rPr>
                        <w:b/>
                        <w:sz w:val="18"/>
                      </w:rPr>
                    </w:pPr>
                    <w:r>
                      <w:rPr>
                        <w:b/>
                        <w:sz w:val="18"/>
                      </w:rPr>
                      <w:t>148</w:t>
                    </w:r>
                  </w:p>
                </w:txbxContent>
              </v:textbox>
              <w10:wrap type="none"/>
            </v:shape>
            <v:shape style="position:absolute;left:5366;top:320;width:271;height:180" type="#_x0000_t202" filled="false" stroked="false">
              <v:textbox inset="0,0,0,0">
                <w:txbxContent>
                  <w:p>
                    <w:pPr>
                      <w:spacing w:line="180" w:lineRule="exact" w:before="0"/>
                      <w:ind w:left="0" w:right="-19" w:firstLine="0"/>
                      <w:jc w:val="left"/>
                      <w:rPr>
                        <w:b/>
                        <w:sz w:val="18"/>
                      </w:rPr>
                    </w:pPr>
                    <w:r>
                      <w:rPr>
                        <w:b/>
                        <w:sz w:val="18"/>
                      </w:rPr>
                      <w:t>160</w:t>
                    </w:r>
                  </w:p>
                </w:txbxContent>
              </v:textbox>
              <w10:wrap type="none"/>
            </v:shape>
            <v:shape style="position:absolute;left:2599;top:734;width:406;height:180" type="#_x0000_t202" filled="false" stroked="false">
              <v:textbox inset="0,0,0,0">
                <w:txbxContent>
                  <w:p>
                    <w:pPr>
                      <w:spacing w:line="180" w:lineRule="exact" w:before="0"/>
                      <w:ind w:left="0" w:right="-19" w:firstLine="0"/>
                      <w:jc w:val="left"/>
                      <w:rPr>
                        <w:b/>
                        <w:sz w:val="18"/>
                      </w:rPr>
                    </w:pPr>
                    <w:r>
                      <w:rPr>
                        <w:b/>
                        <w:sz w:val="18"/>
                      </w:rPr>
                      <w:t>10.34</w:t>
                    </w:r>
                  </w:p>
                </w:txbxContent>
              </v:textbox>
              <w10:wrap type="none"/>
            </v:shape>
            <v:shape style="position:absolute;left:3566;top:734;width:271;height:180" type="#_x0000_t202" filled="false" stroked="false">
              <v:textbox inset="0,0,0,0">
                <w:txbxContent>
                  <w:p>
                    <w:pPr>
                      <w:spacing w:line="180" w:lineRule="exact" w:before="0"/>
                      <w:ind w:left="0" w:right="-19" w:firstLine="0"/>
                      <w:jc w:val="left"/>
                      <w:rPr>
                        <w:b/>
                        <w:sz w:val="18"/>
                      </w:rPr>
                    </w:pPr>
                    <w:r>
                      <w:rPr>
                        <w:b/>
                        <w:sz w:val="18"/>
                      </w:rPr>
                      <w:t>120</w:t>
                    </w:r>
                  </w:p>
                </w:txbxContent>
              </v:textbox>
              <w10:wrap type="none"/>
            </v:shape>
            <v:shape style="position:absolute;left:4466;top:734;width:271;height:180" type="#_x0000_t202" filled="false" stroked="false">
              <v:textbox inset="0,0,0,0">
                <w:txbxContent>
                  <w:p>
                    <w:pPr>
                      <w:spacing w:line="180" w:lineRule="exact" w:before="0"/>
                      <w:ind w:left="0" w:right="-19" w:firstLine="0"/>
                      <w:jc w:val="left"/>
                      <w:rPr>
                        <w:b/>
                        <w:sz w:val="18"/>
                      </w:rPr>
                    </w:pPr>
                    <w:r>
                      <w:rPr>
                        <w:b/>
                        <w:sz w:val="18"/>
                      </w:rPr>
                      <w:t>134</w:t>
                    </w:r>
                  </w:p>
                </w:txbxContent>
              </v:textbox>
              <w10:wrap type="none"/>
            </v:shape>
            <v:shape style="position:absolute;left:5366;top:734;width:271;height:180" type="#_x0000_t202" filled="false" stroked="false">
              <v:textbox inset="0,0,0,0">
                <w:txbxContent>
                  <w:p>
                    <w:pPr>
                      <w:spacing w:line="180" w:lineRule="exact" w:before="0"/>
                      <w:ind w:left="0" w:right="-19" w:firstLine="0"/>
                      <w:jc w:val="left"/>
                      <w:rPr>
                        <w:b/>
                        <w:sz w:val="18"/>
                      </w:rPr>
                    </w:pPr>
                    <w:r>
                      <w:rPr>
                        <w:b/>
                        <w:sz w:val="18"/>
                      </w:rPr>
                      <w:t>147</w:t>
                    </w:r>
                  </w:p>
                </w:txbxContent>
              </v:textbox>
              <w10:wrap type="none"/>
            </v:shape>
            <v:shape style="position:absolute;left:2645;top:1148;width:316;height:180" type="#_x0000_t202" filled="false" stroked="false">
              <v:textbox inset="0,0,0,0">
                <w:txbxContent>
                  <w:p>
                    <w:pPr>
                      <w:spacing w:line="180" w:lineRule="exact" w:before="0"/>
                      <w:ind w:left="0" w:right="-19" w:firstLine="0"/>
                      <w:jc w:val="left"/>
                      <w:rPr>
                        <w:b/>
                        <w:sz w:val="18"/>
                      </w:rPr>
                    </w:pPr>
                    <w:r>
                      <w:rPr>
                        <w:b/>
                        <w:sz w:val="18"/>
                      </w:rPr>
                      <w:t>6.71</w:t>
                    </w:r>
                  </w:p>
                </w:txbxContent>
              </v:textbox>
              <w10:wrap type="none"/>
            </v:shape>
            <v:shape style="position:absolute;left:3610;top:1148;width:181;height:180" type="#_x0000_t202" filled="false" stroked="false">
              <v:textbox inset="0,0,0,0">
                <w:txbxContent>
                  <w:p>
                    <w:pPr>
                      <w:spacing w:line="180" w:lineRule="exact" w:before="0"/>
                      <w:ind w:left="0" w:right="-19" w:firstLine="0"/>
                      <w:jc w:val="left"/>
                      <w:rPr>
                        <w:b/>
                        <w:sz w:val="18"/>
                      </w:rPr>
                    </w:pPr>
                    <w:r>
                      <w:rPr>
                        <w:b/>
                        <w:sz w:val="18"/>
                      </w:rPr>
                      <w:t>90</w:t>
                    </w:r>
                  </w:p>
                </w:txbxContent>
              </v:textbox>
              <w10:wrap type="none"/>
            </v:shape>
            <v:shape style="position:absolute;left:4466;top:1148;width:271;height:180" type="#_x0000_t202" filled="false" stroked="false">
              <v:textbox inset="0,0,0,0">
                <w:txbxContent>
                  <w:p>
                    <w:pPr>
                      <w:spacing w:line="180" w:lineRule="exact" w:before="0"/>
                      <w:ind w:left="0" w:right="-19" w:firstLine="0"/>
                      <w:jc w:val="left"/>
                      <w:rPr>
                        <w:b/>
                        <w:sz w:val="18"/>
                      </w:rPr>
                    </w:pPr>
                    <w:r>
                      <w:rPr>
                        <w:b/>
                        <w:sz w:val="18"/>
                      </w:rPr>
                      <w:t>101</w:t>
                    </w:r>
                  </w:p>
                </w:txbxContent>
              </v:textbox>
              <w10:wrap type="none"/>
            </v:shape>
            <v:shape style="position:absolute;left:5366;top:1148;width:271;height:180" type="#_x0000_t202" filled="false" stroked="false">
              <v:textbox inset="0,0,0,0">
                <w:txbxContent>
                  <w:p>
                    <w:pPr>
                      <w:spacing w:line="180" w:lineRule="exact" w:before="0"/>
                      <w:ind w:left="0" w:right="-19" w:firstLine="0"/>
                      <w:jc w:val="left"/>
                      <w:rPr>
                        <w:b/>
                        <w:sz w:val="18"/>
                      </w:rPr>
                    </w:pPr>
                    <w:r>
                      <w:rPr>
                        <w:b/>
                        <w:sz w:val="18"/>
                      </w:rPr>
                      <w:t>112</w:t>
                    </w:r>
                  </w:p>
                </w:txbxContent>
              </v:textbox>
              <w10:wrap type="none"/>
            </v:shape>
            <v:shape style="position:absolute;left:2645;top:1562;width:316;height:180" type="#_x0000_t202" filled="false" stroked="false">
              <v:textbox inset="0,0,0,0">
                <w:txbxContent>
                  <w:p>
                    <w:pPr>
                      <w:spacing w:line="180" w:lineRule="exact" w:before="0"/>
                      <w:ind w:left="0" w:right="-19" w:firstLine="0"/>
                      <w:jc w:val="left"/>
                      <w:rPr>
                        <w:b/>
                        <w:sz w:val="18"/>
                      </w:rPr>
                    </w:pPr>
                    <w:r>
                      <w:rPr>
                        <w:b/>
                        <w:sz w:val="18"/>
                      </w:rPr>
                      <w:t>7.20</w:t>
                    </w:r>
                  </w:p>
                </w:txbxContent>
              </v:textbox>
              <w10:wrap type="none"/>
            </v:shape>
            <v:shape style="position:absolute;left:3610;top:1562;width:181;height:180" type="#_x0000_t202" filled="false" stroked="false">
              <v:textbox inset="0,0,0,0">
                <w:txbxContent>
                  <w:p>
                    <w:pPr>
                      <w:spacing w:line="180" w:lineRule="exact" w:before="0"/>
                      <w:ind w:left="0" w:right="-19" w:firstLine="0"/>
                      <w:jc w:val="left"/>
                      <w:rPr>
                        <w:b/>
                        <w:sz w:val="18"/>
                      </w:rPr>
                    </w:pPr>
                    <w:r>
                      <w:rPr>
                        <w:b/>
                        <w:sz w:val="18"/>
                      </w:rPr>
                      <w:t>78</w:t>
                    </w:r>
                  </w:p>
                </w:txbxContent>
              </v:textbox>
              <w10:wrap type="none"/>
            </v:shape>
            <v:shape style="position:absolute;left:4510;top:1562;width:181;height:180" type="#_x0000_t202" filled="false" stroked="false">
              <v:textbox inset="0,0,0,0">
                <w:txbxContent>
                  <w:p>
                    <w:pPr>
                      <w:spacing w:line="180" w:lineRule="exact" w:before="0"/>
                      <w:ind w:left="0" w:right="-19" w:firstLine="0"/>
                      <w:jc w:val="left"/>
                      <w:rPr>
                        <w:b/>
                        <w:sz w:val="18"/>
                      </w:rPr>
                    </w:pPr>
                    <w:r>
                      <w:rPr>
                        <w:b/>
                        <w:sz w:val="18"/>
                      </w:rPr>
                      <w:t>88</w:t>
                    </w:r>
                  </w:p>
                </w:txbxContent>
              </v:textbox>
              <w10:wrap type="none"/>
            </v:shape>
            <v:shape style="position:absolute;left:5366;top:1562;width:271;height:180" type="#_x0000_t202" filled="false" stroked="false">
              <v:textbox inset="0,0,0,0">
                <w:txbxContent>
                  <w:p>
                    <w:pPr>
                      <w:spacing w:line="180" w:lineRule="exact" w:before="0"/>
                      <w:ind w:left="0" w:right="-19" w:firstLine="0"/>
                      <w:jc w:val="left"/>
                      <w:rPr>
                        <w:b/>
                        <w:sz w:val="18"/>
                      </w:rPr>
                    </w:pPr>
                    <w:r>
                      <w:rPr>
                        <w:b/>
                        <w:sz w:val="18"/>
                      </w:rPr>
                      <w:t>101</w:t>
                    </w:r>
                  </w:p>
                </w:txbxContent>
              </v:textbox>
              <w10:wrap type="none"/>
            </v:shape>
            <v:shape style="position:absolute;left:2645;top:1976;width:316;height:180" type="#_x0000_t202" filled="false" stroked="false">
              <v:textbox inset="0,0,0,0">
                <w:txbxContent>
                  <w:p>
                    <w:pPr>
                      <w:spacing w:line="180" w:lineRule="exact" w:before="0"/>
                      <w:ind w:left="0" w:right="-19" w:firstLine="0"/>
                      <w:jc w:val="left"/>
                      <w:rPr>
                        <w:b/>
                        <w:sz w:val="18"/>
                      </w:rPr>
                    </w:pPr>
                    <w:r>
                      <w:rPr>
                        <w:b/>
                        <w:sz w:val="18"/>
                      </w:rPr>
                      <w:t>1.95</w:t>
                    </w:r>
                  </w:p>
                </w:txbxContent>
              </v:textbox>
              <w10:wrap type="none"/>
            </v:shape>
            <v:shape style="position:absolute;left:3656;top:1976;width:90;height:180" type="#_x0000_t202" filled="false" stroked="false">
              <v:textbox inset="0,0,0,0">
                <w:txbxContent>
                  <w:p>
                    <w:pPr>
                      <w:spacing w:line="180" w:lineRule="exact" w:before="0"/>
                      <w:ind w:left="0" w:right="0" w:firstLine="0"/>
                      <w:jc w:val="left"/>
                      <w:rPr>
                        <w:b/>
                        <w:sz w:val="18"/>
                      </w:rPr>
                    </w:pPr>
                    <w:r>
                      <w:rPr>
                        <w:b/>
                        <w:sz w:val="18"/>
                      </w:rPr>
                      <w:t>6</w:t>
                    </w:r>
                  </w:p>
                </w:txbxContent>
              </v:textbox>
              <w10:wrap type="none"/>
            </v:shape>
            <v:shape style="position:absolute;left:4510;top:1976;width:181;height:180" type="#_x0000_t202" filled="false" stroked="false">
              <v:textbox inset="0,0,0,0">
                <w:txbxContent>
                  <w:p>
                    <w:pPr>
                      <w:spacing w:line="180" w:lineRule="exact" w:before="0"/>
                      <w:ind w:left="0" w:right="-19" w:firstLine="0"/>
                      <w:jc w:val="left"/>
                      <w:rPr>
                        <w:b/>
                        <w:sz w:val="18"/>
                      </w:rPr>
                    </w:pPr>
                    <w:r>
                      <w:rPr>
                        <w:b/>
                        <w:sz w:val="18"/>
                      </w:rPr>
                      <w:t>10</w:t>
                    </w:r>
                  </w:p>
                </w:txbxContent>
              </v:textbox>
              <w10:wrap type="none"/>
            </v:shape>
            <v:shape style="position:absolute;left:5411;top:1976;width:181;height:180" type="#_x0000_t202" filled="false" stroked="false">
              <v:textbox inset="0,0,0,0">
                <w:txbxContent>
                  <w:p>
                    <w:pPr>
                      <w:spacing w:line="180" w:lineRule="exact" w:before="0"/>
                      <w:ind w:left="0" w:right="-19" w:firstLine="0"/>
                      <w:jc w:val="left"/>
                      <w:rPr>
                        <w:b/>
                        <w:sz w:val="18"/>
                      </w:rPr>
                    </w:pPr>
                    <w:r>
                      <w:rPr>
                        <w:b/>
                        <w:sz w:val="18"/>
                      </w:rPr>
                      <w:t>12</w:t>
                    </w:r>
                  </w:p>
                </w:txbxContent>
              </v:textbox>
              <w10:wrap type="none"/>
            </v:shape>
            <v:shape style="position:absolute;left:851;top:2494;width:1391;height:1944" type="#_x0000_t202" filled="false" stroked="false">
              <v:textbox inset="0,0,0,0">
                <w:txbxContent>
                  <w:p>
                    <w:pPr>
                      <w:spacing w:line="184" w:lineRule="exact" w:before="0"/>
                      <w:ind w:left="0" w:right="-19" w:firstLine="0"/>
                      <w:jc w:val="left"/>
                      <w:rPr>
                        <w:sz w:val="18"/>
                      </w:rPr>
                    </w:pPr>
                    <w:r>
                      <w:rPr>
                        <w:sz w:val="18"/>
                      </w:rPr>
                      <w:t>Grip upright sitting</w:t>
                    </w:r>
                  </w:p>
                  <w:p>
                    <w:pPr>
                      <w:spacing w:line="207" w:lineRule="exact" w:before="0"/>
                      <w:ind w:left="0" w:right="-19" w:firstLine="0"/>
                      <w:jc w:val="left"/>
                      <w:rPr>
                        <w:sz w:val="18"/>
                      </w:rPr>
                    </w:pPr>
                    <w:r>
                      <w:rPr>
                        <w:sz w:val="18"/>
                      </w:rPr>
                      <w:t>scope</w:t>
                    </w:r>
                  </w:p>
                  <w:p>
                    <w:pPr>
                      <w:spacing w:before="0"/>
                      <w:ind w:left="0" w:right="236" w:firstLine="0"/>
                      <w:jc w:val="left"/>
                      <w:rPr>
                        <w:sz w:val="18"/>
                      </w:rPr>
                    </w:pPr>
                    <w:r>
                      <w:rPr>
                        <w:sz w:val="18"/>
                      </w:rPr>
                      <w:t>Standard sitting height</w:t>
                    </w:r>
                  </w:p>
                  <w:p>
                    <w:pPr>
                      <w:spacing w:before="53"/>
                      <w:ind w:left="0" w:right="-19" w:firstLine="0"/>
                      <w:jc w:val="left"/>
                      <w:rPr>
                        <w:sz w:val="18"/>
                      </w:rPr>
                    </w:pPr>
                    <w:r>
                      <w:rPr>
                        <w:sz w:val="18"/>
                      </w:rPr>
                      <w:t>Eyes sitting height</w:t>
                    </w:r>
                  </w:p>
                  <w:p>
                    <w:pPr>
                      <w:spacing w:before="54"/>
                      <w:ind w:left="0" w:right="225" w:firstLine="0"/>
                      <w:jc w:val="left"/>
                      <w:rPr>
                        <w:sz w:val="18"/>
                      </w:rPr>
                    </w:pPr>
                    <w:r>
                      <w:rPr>
                        <w:sz w:val="18"/>
                      </w:rPr>
                      <w:t>Shoulder sitting height</w:t>
                    </w:r>
                  </w:p>
                  <w:p>
                    <w:pPr>
                      <w:spacing w:before="0"/>
                      <w:ind w:left="0" w:right="405" w:firstLine="0"/>
                      <w:jc w:val="left"/>
                      <w:rPr>
                        <w:sz w:val="18"/>
                      </w:rPr>
                    </w:pPr>
                    <w:r>
                      <w:rPr>
                        <w:sz w:val="18"/>
                      </w:rPr>
                      <w:t>Elbow sitting height</w:t>
                    </w:r>
                  </w:p>
                </w:txbxContent>
              </v:textbox>
              <w10:wrap type="none"/>
            </v:shape>
            <v:shape style="position:absolute;left:2599;top:2705;width:406;height:180" type="#_x0000_t202" filled="false" stroked="false">
              <v:textbox inset="0,0,0,0">
                <w:txbxContent>
                  <w:p>
                    <w:pPr>
                      <w:spacing w:line="180" w:lineRule="exact" w:before="0"/>
                      <w:ind w:left="0" w:right="-19" w:firstLine="0"/>
                      <w:jc w:val="left"/>
                      <w:rPr>
                        <w:b/>
                        <w:sz w:val="18"/>
                      </w:rPr>
                    </w:pPr>
                    <w:r>
                      <w:rPr>
                        <w:b/>
                        <w:sz w:val="18"/>
                      </w:rPr>
                      <w:t>17.72</w:t>
                    </w:r>
                  </w:p>
                </w:txbxContent>
              </v:textbox>
              <w10:wrap type="none"/>
            </v:shape>
            <v:shape style="position:absolute;left:3499;top:2705;width:406;height:180" type="#_x0000_t202" filled="false" stroked="false">
              <v:textbox inset="0,0,0,0">
                <w:txbxContent>
                  <w:p>
                    <w:pPr>
                      <w:spacing w:line="180" w:lineRule="exact" w:before="0"/>
                      <w:ind w:left="0" w:right="-19" w:firstLine="0"/>
                      <w:jc w:val="left"/>
                      <w:rPr>
                        <w:b/>
                        <w:sz w:val="18"/>
                      </w:rPr>
                    </w:pPr>
                    <w:r>
                      <w:rPr>
                        <w:b/>
                        <w:sz w:val="18"/>
                      </w:rPr>
                      <w:t>117.1</w:t>
                    </w:r>
                  </w:p>
                </w:txbxContent>
              </v:textbox>
              <w10:wrap type="none"/>
            </v:shape>
            <v:shape style="position:absolute;left:4466;top:2705;width:271;height:180" type="#_x0000_t202" filled="false" stroked="false">
              <v:textbox inset="0,0,0,0">
                <w:txbxContent>
                  <w:p>
                    <w:pPr>
                      <w:spacing w:line="180" w:lineRule="exact" w:before="0"/>
                      <w:ind w:left="0" w:right="-19" w:firstLine="0"/>
                      <w:jc w:val="left"/>
                      <w:rPr>
                        <w:b/>
                        <w:sz w:val="18"/>
                      </w:rPr>
                    </w:pPr>
                    <w:r>
                      <w:rPr>
                        <w:b/>
                        <w:sz w:val="18"/>
                      </w:rPr>
                      <w:t>168</w:t>
                    </w:r>
                  </w:p>
                </w:txbxContent>
              </v:textbox>
              <w10:wrap type="none"/>
            </v:shape>
            <v:shape style="position:absolute;left:5366;top:2705;width:271;height:180" type="#_x0000_t202" filled="false" stroked="false">
              <v:textbox inset="0,0,0,0">
                <w:txbxContent>
                  <w:p>
                    <w:pPr>
                      <w:spacing w:line="180" w:lineRule="exact" w:before="0"/>
                      <w:ind w:left="0" w:right="-19" w:firstLine="0"/>
                      <w:jc w:val="left"/>
                      <w:rPr>
                        <w:b/>
                        <w:sz w:val="18"/>
                      </w:rPr>
                    </w:pPr>
                    <w:r>
                      <w:rPr>
                        <w:b/>
                        <w:sz w:val="18"/>
                      </w:rPr>
                      <w:t>180</w:t>
                    </w:r>
                  </w:p>
                </w:txbxContent>
              </v:textbox>
              <w10:wrap type="none"/>
            </v:shape>
            <v:shape style="position:absolute;left:2645;top:3119;width:316;height:495" type="#_x0000_t202" filled="false" stroked="false">
              <v:textbox inset="0,0,0,0">
                <w:txbxContent>
                  <w:p>
                    <w:pPr>
                      <w:spacing w:line="184" w:lineRule="exact" w:before="0"/>
                      <w:ind w:left="0" w:right="-19" w:firstLine="0"/>
                      <w:jc w:val="left"/>
                      <w:rPr>
                        <w:b/>
                        <w:sz w:val="18"/>
                      </w:rPr>
                    </w:pPr>
                    <w:r>
                      <w:rPr>
                        <w:b/>
                        <w:sz w:val="18"/>
                      </w:rPr>
                      <w:t>5.18</w:t>
                    </w:r>
                  </w:p>
                  <w:p>
                    <w:pPr>
                      <w:spacing w:line="203" w:lineRule="exact" w:before="107"/>
                      <w:ind w:left="0" w:right="-19" w:firstLine="0"/>
                      <w:jc w:val="left"/>
                      <w:rPr>
                        <w:b/>
                        <w:sz w:val="18"/>
                      </w:rPr>
                    </w:pPr>
                    <w:r>
                      <w:rPr>
                        <w:b/>
                        <w:sz w:val="18"/>
                      </w:rPr>
                      <w:t>9.14</w:t>
                    </w:r>
                  </w:p>
                </w:txbxContent>
              </v:textbox>
              <w10:wrap type="none"/>
            </v:shape>
            <v:shape style="position:absolute;left:3566;top:3119;width:271;height:495" type="#_x0000_t202" filled="false" stroked="false">
              <v:textbox inset="0,0,0,0">
                <w:txbxContent>
                  <w:p>
                    <w:pPr>
                      <w:spacing w:line="184" w:lineRule="exact" w:before="0"/>
                      <w:ind w:left="0" w:right="-19" w:firstLine="0"/>
                      <w:jc w:val="left"/>
                      <w:rPr>
                        <w:b/>
                        <w:sz w:val="18"/>
                      </w:rPr>
                    </w:pPr>
                    <w:r>
                      <w:rPr>
                        <w:b/>
                        <w:sz w:val="18"/>
                      </w:rPr>
                      <w:t>117</w:t>
                    </w:r>
                  </w:p>
                  <w:p>
                    <w:pPr>
                      <w:spacing w:line="203" w:lineRule="exact" w:before="107"/>
                      <w:ind w:left="0" w:right="-19" w:firstLine="0"/>
                      <w:jc w:val="left"/>
                      <w:rPr>
                        <w:b/>
                        <w:sz w:val="18"/>
                      </w:rPr>
                    </w:pPr>
                    <w:r>
                      <w:rPr>
                        <w:b/>
                        <w:sz w:val="18"/>
                      </w:rPr>
                      <w:t>101</w:t>
                    </w:r>
                  </w:p>
                </w:txbxContent>
              </v:textbox>
              <w10:wrap type="none"/>
            </v:shape>
            <v:shape style="position:absolute;left:4466;top:3119;width:271;height:495" type="#_x0000_t202" filled="false" stroked="false">
              <v:textbox inset="0,0,0,0">
                <w:txbxContent>
                  <w:p>
                    <w:pPr>
                      <w:spacing w:line="184" w:lineRule="exact" w:before="0"/>
                      <w:ind w:left="0" w:right="-19" w:firstLine="0"/>
                      <w:jc w:val="left"/>
                      <w:rPr>
                        <w:b/>
                        <w:sz w:val="18"/>
                      </w:rPr>
                    </w:pPr>
                    <w:r>
                      <w:rPr>
                        <w:b/>
                        <w:sz w:val="18"/>
                      </w:rPr>
                      <w:t>126</w:t>
                    </w:r>
                  </w:p>
                  <w:p>
                    <w:pPr>
                      <w:spacing w:line="203" w:lineRule="exact" w:before="107"/>
                      <w:ind w:left="0" w:right="-19" w:firstLine="0"/>
                      <w:jc w:val="left"/>
                      <w:rPr>
                        <w:b/>
                        <w:sz w:val="18"/>
                      </w:rPr>
                    </w:pPr>
                    <w:r>
                      <w:rPr>
                        <w:b/>
                        <w:sz w:val="18"/>
                      </w:rPr>
                      <w:t>114</w:t>
                    </w:r>
                  </w:p>
                </w:txbxContent>
              </v:textbox>
              <w10:wrap type="none"/>
            </v:shape>
            <v:shape style="position:absolute;left:5366;top:3119;width:271;height:495" type="#_x0000_t202" filled="false" stroked="false">
              <v:textbox inset="0,0,0,0">
                <w:txbxContent>
                  <w:p>
                    <w:pPr>
                      <w:spacing w:line="184" w:lineRule="exact" w:before="0"/>
                      <w:ind w:left="0" w:right="-19" w:firstLine="0"/>
                      <w:jc w:val="left"/>
                      <w:rPr>
                        <w:b/>
                        <w:sz w:val="18"/>
                      </w:rPr>
                    </w:pPr>
                    <w:r>
                      <w:rPr>
                        <w:b/>
                        <w:sz w:val="18"/>
                      </w:rPr>
                      <w:t>132</w:t>
                    </w:r>
                  </w:p>
                  <w:p>
                    <w:pPr>
                      <w:spacing w:line="203" w:lineRule="exact" w:before="107"/>
                      <w:ind w:left="0" w:right="-19" w:firstLine="0"/>
                      <w:jc w:val="left"/>
                      <w:rPr>
                        <w:b/>
                        <w:sz w:val="18"/>
                      </w:rPr>
                    </w:pPr>
                    <w:r>
                      <w:rPr>
                        <w:b/>
                        <w:sz w:val="18"/>
                      </w:rPr>
                      <w:t>122</w:t>
                    </w:r>
                  </w:p>
                </w:txbxContent>
              </v:textbox>
              <w10:wrap type="none"/>
            </v:shape>
            <v:shape style="position:absolute;left:2599;top:3848;width:406;height:180" type="#_x0000_t202" filled="false" stroked="false">
              <v:textbox inset="0,0,0,0">
                <w:txbxContent>
                  <w:p>
                    <w:pPr>
                      <w:spacing w:line="180" w:lineRule="exact" w:before="0"/>
                      <w:ind w:left="0" w:right="-19" w:firstLine="0"/>
                      <w:jc w:val="left"/>
                      <w:rPr>
                        <w:b/>
                        <w:sz w:val="18"/>
                      </w:rPr>
                    </w:pPr>
                    <w:r>
                      <w:rPr>
                        <w:b/>
                        <w:sz w:val="18"/>
                      </w:rPr>
                      <w:t>19.54</w:t>
                    </w:r>
                  </w:p>
                </w:txbxContent>
              </v:textbox>
              <w10:wrap type="none"/>
            </v:shape>
            <v:shape style="position:absolute;left:3543;top:3848;width:316;height:180" type="#_x0000_t202" filled="false" stroked="false">
              <v:textbox inset="0,0,0,0">
                <w:txbxContent>
                  <w:p>
                    <w:pPr>
                      <w:spacing w:line="180" w:lineRule="exact" w:before="0"/>
                      <w:ind w:left="0" w:right="-19" w:firstLine="0"/>
                      <w:jc w:val="left"/>
                      <w:rPr>
                        <w:b/>
                        <w:sz w:val="18"/>
                      </w:rPr>
                    </w:pPr>
                    <w:r>
                      <w:rPr>
                        <w:b/>
                        <w:sz w:val="18"/>
                      </w:rPr>
                      <w:t>54.9</w:t>
                    </w:r>
                  </w:p>
                </w:txbxContent>
              </v:textbox>
              <w10:wrap type="none"/>
            </v:shape>
            <v:shape style="position:absolute;left:4443;top:3848;width:316;height:180" type="#_x0000_t202" filled="false" stroked="false">
              <v:textbox inset="0,0,0,0">
                <w:txbxContent>
                  <w:p>
                    <w:pPr>
                      <w:spacing w:line="180" w:lineRule="exact" w:before="0"/>
                      <w:ind w:left="0" w:right="-19" w:firstLine="0"/>
                      <w:jc w:val="left"/>
                      <w:rPr>
                        <w:b/>
                        <w:sz w:val="18"/>
                      </w:rPr>
                    </w:pPr>
                    <w:r>
                      <w:rPr>
                        <w:b/>
                        <w:sz w:val="18"/>
                      </w:rPr>
                      <w:t>98.5</w:t>
                    </w:r>
                  </w:p>
                </w:txbxContent>
              </v:textbox>
              <w10:wrap type="none"/>
            </v:shape>
            <v:shape style="position:absolute;left:5366;top:3848;width:271;height:180" type="#_x0000_t202" filled="false" stroked="false">
              <v:textbox inset="0,0,0,0">
                <w:txbxContent>
                  <w:p>
                    <w:pPr>
                      <w:spacing w:line="180" w:lineRule="exact" w:before="0"/>
                      <w:ind w:left="0" w:right="-19" w:firstLine="0"/>
                      <w:jc w:val="left"/>
                      <w:rPr>
                        <w:b/>
                        <w:sz w:val="18"/>
                      </w:rPr>
                    </w:pPr>
                    <w:r>
                      <w:rPr>
                        <w:b/>
                        <w:sz w:val="18"/>
                      </w:rPr>
                      <w:t>108</w:t>
                    </w:r>
                  </w:p>
                </w:txbxContent>
              </v:textbox>
              <w10:wrap type="none"/>
            </v:shape>
            <v:shape style="position:absolute;left:2645;top:4262;width:316;height:180" type="#_x0000_t202" filled="false" stroked="false">
              <v:textbox inset="0,0,0,0">
                <w:txbxContent>
                  <w:p>
                    <w:pPr>
                      <w:spacing w:line="180" w:lineRule="exact" w:before="0"/>
                      <w:ind w:left="0" w:right="-19" w:firstLine="0"/>
                      <w:jc w:val="left"/>
                      <w:rPr>
                        <w:b/>
                        <w:sz w:val="18"/>
                      </w:rPr>
                    </w:pPr>
                    <w:r>
                      <w:rPr>
                        <w:b/>
                        <w:sz w:val="18"/>
                      </w:rPr>
                      <w:t>3.54</w:t>
                    </w:r>
                  </w:p>
                </w:txbxContent>
              </v:textbox>
              <w10:wrap type="none"/>
            </v:shape>
            <v:shape style="position:absolute;left:3499;top:4262;width:406;height:180" type="#_x0000_t202" filled="false" stroked="false">
              <v:textbox inset="0,0,0,0">
                <w:txbxContent>
                  <w:p>
                    <w:pPr>
                      <w:spacing w:line="180" w:lineRule="exact" w:before="0"/>
                      <w:ind w:left="0" w:right="-19" w:firstLine="0"/>
                      <w:jc w:val="left"/>
                      <w:rPr>
                        <w:b/>
                        <w:sz w:val="18"/>
                      </w:rPr>
                    </w:pPr>
                    <w:r>
                      <w:rPr>
                        <w:b/>
                        <w:sz w:val="18"/>
                      </w:rPr>
                      <w:t>20.45</w:t>
                    </w:r>
                  </w:p>
                </w:txbxContent>
              </v:textbox>
              <w10:wrap type="none"/>
            </v:shape>
            <v:shape style="position:absolute;left:4510;top:4262;width:181;height:180" type="#_x0000_t202" filled="false" stroked="false">
              <v:textbox inset="0,0,0,0">
                <w:txbxContent>
                  <w:p>
                    <w:pPr>
                      <w:spacing w:line="180" w:lineRule="exact" w:before="0"/>
                      <w:ind w:left="0" w:right="-19" w:firstLine="0"/>
                      <w:jc w:val="left"/>
                      <w:rPr>
                        <w:b/>
                        <w:sz w:val="18"/>
                      </w:rPr>
                    </w:pPr>
                    <w:r>
                      <w:rPr>
                        <w:b/>
                        <w:sz w:val="18"/>
                      </w:rPr>
                      <w:t>25</w:t>
                    </w:r>
                  </w:p>
                </w:txbxContent>
              </v:textbox>
              <w10:wrap type="none"/>
            </v:shape>
            <v:shape style="position:absolute;left:5299;top:4262;width:406;height:180" type="#_x0000_t202" filled="false" stroked="false">
              <v:textbox inset="0,0,0,0">
                <w:txbxContent>
                  <w:p>
                    <w:pPr>
                      <w:spacing w:line="180" w:lineRule="exact" w:before="0"/>
                      <w:ind w:left="0" w:right="-19" w:firstLine="0"/>
                      <w:jc w:val="left"/>
                      <w:rPr>
                        <w:b/>
                        <w:sz w:val="18"/>
                      </w:rPr>
                    </w:pPr>
                    <w:r>
                      <w:rPr>
                        <w:b/>
                        <w:sz w:val="18"/>
                      </w:rPr>
                      <w:t>32.75</w:t>
                    </w:r>
                  </w:p>
                </w:txbxContent>
              </v:textbox>
              <w10:wrap type="none"/>
            </v:shape>
            <w10:wrap type="none"/>
          </v:group>
        </w:pict>
      </w:r>
      <w:r>
        <w:rPr>
          <w:sz w:val="18"/>
        </w:rPr>
        <w:t>The used values for the seats and types of structures to remain in sitting posture is determined under the following principles (Oborne, 1999):</w:t>
      </w:r>
    </w:p>
    <w:p>
      <w:pPr>
        <w:pStyle w:val="ListParagraph"/>
        <w:numPr>
          <w:ilvl w:val="1"/>
          <w:numId w:val="24"/>
        </w:numPr>
        <w:tabs>
          <w:tab w:pos="6577" w:val="left" w:leader="none"/>
        </w:tabs>
        <w:spacing w:line="240" w:lineRule="auto" w:before="0" w:after="0"/>
        <w:ind w:left="6588" w:right="679" w:hanging="360"/>
        <w:jc w:val="both"/>
        <w:rPr>
          <w:sz w:val="18"/>
        </w:rPr>
      </w:pPr>
      <w:r>
        <w:rPr>
          <w:sz w:val="18"/>
        </w:rPr>
        <w:t>The type and dimensions of the seat are related to the reason for</w:t>
      </w:r>
      <w:r>
        <w:rPr>
          <w:spacing w:val="-4"/>
          <w:sz w:val="18"/>
        </w:rPr>
        <w:t> </w:t>
      </w:r>
      <w:r>
        <w:rPr>
          <w:sz w:val="18"/>
        </w:rPr>
        <w:t>sitting.</w:t>
      </w:r>
    </w:p>
    <w:p>
      <w:pPr>
        <w:pStyle w:val="ListParagraph"/>
        <w:numPr>
          <w:ilvl w:val="1"/>
          <w:numId w:val="24"/>
        </w:numPr>
        <w:tabs>
          <w:tab w:pos="6577" w:val="left" w:leader="none"/>
        </w:tabs>
        <w:spacing w:line="240" w:lineRule="auto" w:before="0" w:after="0"/>
        <w:ind w:left="6588" w:right="678" w:hanging="360"/>
        <w:jc w:val="both"/>
        <w:rPr>
          <w:sz w:val="18"/>
        </w:rPr>
      </w:pPr>
      <w:r>
        <w:rPr>
          <w:sz w:val="18"/>
        </w:rPr>
        <w:t>The dimensions of the seat should conform to appropriate the person sitting anthropometric</w:t>
      </w:r>
      <w:r>
        <w:rPr>
          <w:spacing w:val="-8"/>
          <w:sz w:val="18"/>
        </w:rPr>
        <w:t> </w:t>
      </w:r>
      <w:r>
        <w:rPr>
          <w:sz w:val="18"/>
        </w:rPr>
        <w:t>dimensions.</w:t>
      </w:r>
    </w:p>
    <w:p>
      <w:pPr>
        <w:pStyle w:val="ListParagraph"/>
        <w:numPr>
          <w:ilvl w:val="1"/>
          <w:numId w:val="24"/>
        </w:numPr>
        <w:tabs>
          <w:tab w:pos="6577" w:val="left" w:leader="none"/>
        </w:tabs>
        <w:spacing w:line="240" w:lineRule="auto" w:before="0" w:after="0"/>
        <w:ind w:left="6588" w:right="679" w:hanging="360"/>
        <w:jc w:val="both"/>
        <w:rPr>
          <w:sz w:val="18"/>
        </w:rPr>
      </w:pPr>
      <w:r>
        <w:rPr>
          <w:sz w:val="18"/>
        </w:rPr>
        <w:t>The seat must be designed to support and stability to the person</w:t>
      </w:r>
      <w:r>
        <w:rPr>
          <w:spacing w:val="-13"/>
          <w:sz w:val="18"/>
        </w:rPr>
        <w:t> </w:t>
      </w:r>
      <w:r>
        <w:rPr>
          <w:sz w:val="18"/>
        </w:rPr>
        <w:t>sitting.</w:t>
      </w:r>
    </w:p>
    <w:p>
      <w:pPr>
        <w:pStyle w:val="ListParagraph"/>
        <w:numPr>
          <w:ilvl w:val="1"/>
          <w:numId w:val="24"/>
        </w:numPr>
        <w:tabs>
          <w:tab w:pos="6577" w:val="left" w:leader="none"/>
        </w:tabs>
        <w:spacing w:line="240" w:lineRule="auto" w:before="0" w:after="0"/>
        <w:ind w:left="6588" w:right="679" w:hanging="360"/>
        <w:jc w:val="both"/>
        <w:rPr>
          <w:sz w:val="18"/>
        </w:rPr>
      </w:pPr>
      <w:r>
        <w:rPr>
          <w:sz w:val="18"/>
        </w:rPr>
        <w:t>The seat must be designed to allow for varying the position of the person</w:t>
      </w:r>
      <w:r>
        <w:rPr>
          <w:spacing w:val="-3"/>
          <w:sz w:val="18"/>
        </w:rPr>
        <w:t> </w:t>
      </w:r>
      <w:r>
        <w:rPr>
          <w:sz w:val="18"/>
        </w:rPr>
        <w:t>sitting.</w:t>
      </w:r>
    </w:p>
    <w:p>
      <w:pPr>
        <w:pStyle w:val="ListParagraph"/>
        <w:numPr>
          <w:ilvl w:val="1"/>
          <w:numId w:val="24"/>
        </w:numPr>
        <w:tabs>
          <w:tab w:pos="6577" w:val="left" w:leader="none"/>
        </w:tabs>
        <w:spacing w:line="240" w:lineRule="auto" w:before="0" w:after="0"/>
        <w:ind w:left="6588" w:right="676" w:hanging="360"/>
        <w:jc w:val="both"/>
        <w:rPr>
          <w:sz w:val="18"/>
        </w:rPr>
      </w:pPr>
      <w:r>
        <w:rPr>
          <w:sz w:val="18"/>
        </w:rPr>
        <w:t>The chair must have a backup, particularly prominent in the lumbar region, to reduce the stresses in this part of the spine.</w:t>
      </w:r>
    </w:p>
    <w:p>
      <w:pPr>
        <w:pStyle w:val="ListParagraph"/>
        <w:numPr>
          <w:ilvl w:val="1"/>
          <w:numId w:val="24"/>
        </w:numPr>
        <w:tabs>
          <w:tab w:pos="6577" w:val="left" w:leader="none"/>
        </w:tabs>
        <w:spacing w:line="240" w:lineRule="auto" w:before="0" w:after="0"/>
        <w:ind w:left="6588" w:right="677" w:hanging="360"/>
        <w:jc w:val="both"/>
        <w:rPr>
          <w:sz w:val="18"/>
        </w:rPr>
      </w:pPr>
      <w:r>
        <w:rPr>
          <w:sz w:val="18"/>
        </w:rPr>
        <w:t>The seat need the padded enough and firmly enough to help distribute pressure bodyweight of isquiatricas tuberosities.</w:t>
      </w:r>
    </w:p>
    <w:p>
      <w:pPr>
        <w:pStyle w:val="BodyText"/>
        <w:spacing w:before="3"/>
        <w:rPr>
          <w:sz w:val="11"/>
        </w:rPr>
      </w:pPr>
    </w:p>
    <w:p>
      <w:pPr>
        <w:spacing w:after="0"/>
        <w:rPr>
          <w:sz w:val="11"/>
        </w:rPr>
        <w:sectPr>
          <w:pgSz w:w="12240" w:h="15840"/>
          <w:pgMar w:header="545" w:footer="852" w:top="1060" w:bottom="1040" w:left="580" w:right="220"/>
        </w:sectPr>
      </w:pPr>
    </w:p>
    <w:p>
      <w:pPr>
        <w:pStyle w:val="BodyText"/>
      </w:pPr>
    </w:p>
    <w:p>
      <w:pPr>
        <w:pStyle w:val="BodyText"/>
      </w:pPr>
    </w:p>
    <w:p>
      <w:pPr>
        <w:pStyle w:val="BodyText"/>
      </w:pPr>
    </w:p>
    <w:p>
      <w:pPr>
        <w:pStyle w:val="BodyText"/>
        <w:spacing w:before="4"/>
        <w:rPr>
          <w:sz w:val="13"/>
        </w:rPr>
      </w:pPr>
    </w:p>
    <w:tbl>
      <w:tblPr>
        <w:tblW w:w="0" w:type="auto"/>
        <w:jc w:val="left"/>
        <w:tblInd w:w="2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03"/>
        <w:gridCol w:w="979"/>
        <w:gridCol w:w="900"/>
        <w:gridCol w:w="877"/>
        <w:gridCol w:w="1011"/>
      </w:tblGrid>
      <w:tr>
        <w:trPr>
          <w:trHeight w:val="397" w:hRule="exact"/>
        </w:trPr>
        <w:tc>
          <w:tcPr>
            <w:tcW w:w="1403" w:type="dxa"/>
          </w:tcPr>
          <w:p>
            <w:pPr>
              <w:pStyle w:val="TableParagraph"/>
              <w:spacing w:line="136" w:lineRule="exact"/>
              <w:ind w:left="69" w:right="278"/>
              <w:rPr>
                <w:sz w:val="18"/>
              </w:rPr>
            </w:pPr>
            <w:r>
              <w:rPr>
                <w:sz w:val="18"/>
              </w:rPr>
              <w:t>Weight</w:t>
            </w:r>
          </w:p>
          <w:p>
            <w:pPr>
              <w:pStyle w:val="TableParagraph"/>
              <w:spacing w:before="53"/>
              <w:ind w:left="69" w:right="278"/>
              <w:rPr>
                <w:sz w:val="18"/>
              </w:rPr>
            </w:pPr>
            <w:r>
              <w:rPr>
                <w:sz w:val="18"/>
              </w:rPr>
              <w:t>Buttock knee</w:t>
            </w:r>
          </w:p>
        </w:tc>
        <w:tc>
          <w:tcPr>
            <w:tcW w:w="979" w:type="dxa"/>
          </w:tcPr>
          <w:p>
            <w:pPr>
              <w:pStyle w:val="TableParagraph"/>
              <w:spacing w:line="193" w:lineRule="exact"/>
              <w:ind w:right="156"/>
              <w:jc w:val="right"/>
              <w:rPr>
                <w:b/>
                <w:sz w:val="18"/>
              </w:rPr>
            </w:pPr>
            <w:r>
              <w:rPr>
                <w:b/>
                <w:sz w:val="18"/>
              </w:rPr>
              <w:t>13.88</w:t>
            </w:r>
          </w:p>
        </w:tc>
        <w:tc>
          <w:tcPr>
            <w:tcW w:w="900" w:type="dxa"/>
          </w:tcPr>
          <w:p>
            <w:pPr>
              <w:pStyle w:val="TableParagraph"/>
              <w:spacing w:line="193" w:lineRule="exact"/>
              <w:ind w:right="201"/>
              <w:jc w:val="right"/>
              <w:rPr>
                <w:b/>
                <w:sz w:val="18"/>
              </w:rPr>
            </w:pPr>
            <w:r>
              <w:rPr>
                <w:b/>
                <w:sz w:val="18"/>
              </w:rPr>
              <w:t>47.9</w:t>
            </w:r>
          </w:p>
        </w:tc>
        <w:tc>
          <w:tcPr>
            <w:tcW w:w="877" w:type="dxa"/>
          </w:tcPr>
          <w:p>
            <w:pPr>
              <w:pStyle w:val="TableParagraph"/>
              <w:spacing w:line="193" w:lineRule="exact"/>
              <w:ind w:right="178"/>
              <w:jc w:val="right"/>
              <w:rPr>
                <w:b/>
                <w:sz w:val="18"/>
              </w:rPr>
            </w:pPr>
            <w:r>
              <w:rPr>
                <w:b/>
                <w:sz w:val="18"/>
              </w:rPr>
              <w:t>65.5</w:t>
            </w:r>
          </w:p>
        </w:tc>
        <w:tc>
          <w:tcPr>
            <w:tcW w:w="1011" w:type="dxa"/>
          </w:tcPr>
          <w:p>
            <w:pPr>
              <w:pStyle w:val="TableParagraph"/>
              <w:spacing w:line="193" w:lineRule="exact"/>
              <w:ind w:left="403"/>
              <w:rPr>
                <w:b/>
                <w:sz w:val="18"/>
              </w:rPr>
            </w:pPr>
            <w:r>
              <w:rPr>
                <w:b/>
                <w:sz w:val="18"/>
              </w:rPr>
              <w:t>90.5</w:t>
            </w:r>
          </w:p>
        </w:tc>
      </w:tr>
      <w:tr>
        <w:trPr>
          <w:trHeight w:val="197" w:hRule="exact"/>
        </w:trPr>
        <w:tc>
          <w:tcPr>
            <w:tcW w:w="1403" w:type="dxa"/>
          </w:tcPr>
          <w:p>
            <w:pPr>
              <w:pStyle w:val="TableParagraph"/>
              <w:ind w:left="69" w:right="278"/>
              <w:rPr>
                <w:sz w:val="18"/>
              </w:rPr>
            </w:pPr>
            <w:r>
              <w:rPr>
                <w:sz w:val="18"/>
              </w:rPr>
              <w:t>distance</w:t>
            </w:r>
          </w:p>
        </w:tc>
        <w:tc>
          <w:tcPr>
            <w:tcW w:w="979" w:type="dxa"/>
          </w:tcPr>
          <w:p>
            <w:pPr>
              <w:pStyle w:val="TableParagraph"/>
              <w:spacing w:before="4"/>
              <w:ind w:right="202"/>
              <w:jc w:val="right"/>
              <w:rPr>
                <w:b/>
                <w:sz w:val="18"/>
              </w:rPr>
            </w:pPr>
            <w:r>
              <w:rPr>
                <w:b/>
                <w:sz w:val="18"/>
              </w:rPr>
              <w:t>8.36</w:t>
            </w:r>
          </w:p>
        </w:tc>
        <w:tc>
          <w:tcPr>
            <w:tcW w:w="900" w:type="dxa"/>
          </w:tcPr>
          <w:p>
            <w:pPr>
              <w:pStyle w:val="TableParagraph"/>
              <w:spacing w:before="4"/>
              <w:ind w:right="156"/>
              <w:jc w:val="right"/>
              <w:rPr>
                <w:b/>
                <w:sz w:val="18"/>
              </w:rPr>
            </w:pPr>
            <w:r>
              <w:rPr>
                <w:b/>
                <w:sz w:val="18"/>
              </w:rPr>
              <w:t>35.45</w:t>
            </w:r>
          </w:p>
        </w:tc>
        <w:tc>
          <w:tcPr>
            <w:tcW w:w="877" w:type="dxa"/>
          </w:tcPr>
          <w:p>
            <w:pPr>
              <w:pStyle w:val="TableParagraph"/>
              <w:spacing w:before="4"/>
              <w:ind w:right="247"/>
              <w:jc w:val="right"/>
              <w:rPr>
                <w:b/>
                <w:sz w:val="18"/>
              </w:rPr>
            </w:pPr>
            <w:r>
              <w:rPr>
                <w:b/>
                <w:sz w:val="18"/>
              </w:rPr>
              <w:t>56</w:t>
            </w:r>
          </w:p>
        </w:tc>
        <w:tc>
          <w:tcPr>
            <w:tcW w:w="1011" w:type="dxa"/>
          </w:tcPr>
          <w:p>
            <w:pPr>
              <w:pStyle w:val="TableParagraph"/>
              <w:spacing w:before="4"/>
              <w:ind w:left="404" w:right="295"/>
              <w:jc w:val="center"/>
              <w:rPr>
                <w:b/>
                <w:sz w:val="18"/>
              </w:rPr>
            </w:pPr>
            <w:r>
              <w:rPr>
                <w:b/>
                <w:sz w:val="18"/>
              </w:rPr>
              <w:t>60</w:t>
            </w:r>
          </w:p>
        </w:tc>
      </w:tr>
      <w:tr>
        <w:trPr>
          <w:trHeight w:val="1522" w:hRule="exact"/>
        </w:trPr>
        <w:tc>
          <w:tcPr>
            <w:tcW w:w="1403" w:type="dxa"/>
          </w:tcPr>
          <w:p>
            <w:pPr>
              <w:pStyle w:val="TableParagraph"/>
              <w:spacing w:before="63"/>
              <w:ind w:left="69" w:right="278"/>
              <w:rPr>
                <w:sz w:val="18"/>
              </w:rPr>
            </w:pPr>
            <w:r>
              <w:rPr>
                <w:sz w:val="18"/>
              </w:rPr>
              <w:t>Head width</w:t>
            </w:r>
          </w:p>
          <w:p>
            <w:pPr>
              <w:pStyle w:val="TableParagraph"/>
              <w:spacing w:before="54"/>
              <w:ind w:left="69" w:right="278"/>
              <w:rPr>
                <w:sz w:val="18"/>
              </w:rPr>
            </w:pPr>
            <w:r>
              <w:rPr>
                <w:sz w:val="18"/>
              </w:rPr>
              <w:t>Elbows sitting width</w:t>
            </w:r>
          </w:p>
          <w:p>
            <w:pPr>
              <w:pStyle w:val="TableParagraph"/>
              <w:spacing w:before="54"/>
              <w:ind w:left="69" w:right="44"/>
              <w:rPr>
                <w:sz w:val="18"/>
              </w:rPr>
            </w:pPr>
            <w:r>
              <w:rPr>
                <w:sz w:val="18"/>
              </w:rPr>
              <w:t>Hips perimeter</w:t>
            </w:r>
          </w:p>
          <w:p>
            <w:pPr>
              <w:pStyle w:val="TableParagraph"/>
              <w:spacing w:before="53"/>
              <w:ind w:left="69" w:right="44"/>
              <w:rPr>
                <w:sz w:val="18"/>
              </w:rPr>
            </w:pPr>
            <w:r>
              <w:rPr>
                <w:sz w:val="18"/>
              </w:rPr>
              <w:t>Lateral reach arm sitting</w:t>
            </w:r>
          </w:p>
        </w:tc>
        <w:tc>
          <w:tcPr>
            <w:tcW w:w="979" w:type="dxa"/>
          </w:tcPr>
          <w:p>
            <w:pPr>
              <w:pStyle w:val="TableParagraph"/>
              <w:spacing w:before="121"/>
              <w:ind w:left="460"/>
              <w:rPr>
                <w:b/>
                <w:sz w:val="18"/>
              </w:rPr>
            </w:pPr>
            <w:r>
              <w:rPr>
                <w:b/>
                <w:sz w:val="18"/>
              </w:rPr>
              <w:t>2.54</w:t>
            </w:r>
          </w:p>
          <w:p>
            <w:pPr>
              <w:pStyle w:val="TableParagraph"/>
              <w:rPr>
                <w:sz w:val="18"/>
              </w:rPr>
            </w:pPr>
          </w:p>
          <w:p>
            <w:pPr>
              <w:pStyle w:val="TableParagraph"/>
              <w:ind w:left="460"/>
              <w:rPr>
                <w:b/>
                <w:sz w:val="18"/>
              </w:rPr>
            </w:pPr>
            <w:r>
              <w:rPr>
                <w:b/>
                <w:sz w:val="18"/>
              </w:rPr>
              <w:t>5.77</w:t>
            </w:r>
          </w:p>
          <w:p>
            <w:pPr>
              <w:pStyle w:val="TableParagraph"/>
              <w:spacing w:before="108"/>
              <w:ind w:left="460"/>
              <w:rPr>
                <w:b/>
                <w:sz w:val="18"/>
              </w:rPr>
            </w:pPr>
            <w:r>
              <w:rPr>
                <w:b/>
                <w:sz w:val="18"/>
              </w:rPr>
              <w:t>8.16</w:t>
            </w:r>
          </w:p>
          <w:p>
            <w:pPr>
              <w:pStyle w:val="TableParagraph"/>
              <w:spacing w:before="102"/>
              <w:ind w:left="460"/>
              <w:rPr>
                <w:b/>
                <w:sz w:val="18"/>
              </w:rPr>
            </w:pPr>
            <w:r>
              <w:rPr>
                <w:b/>
                <w:sz w:val="18"/>
              </w:rPr>
              <w:t>5.47</w:t>
            </w:r>
          </w:p>
        </w:tc>
        <w:tc>
          <w:tcPr>
            <w:tcW w:w="900" w:type="dxa"/>
          </w:tcPr>
          <w:p>
            <w:pPr>
              <w:pStyle w:val="TableParagraph"/>
              <w:spacing w:before="121"/>
              <w:ind w:left="313" w:right="138"/>
              <w:jc w:val="center"/>
              <w:rPr>
                <w:b/>
                <w:sz w:val="18"/>
              </w:rPr>
            </w:pPr>
            <w:r>
              <w:rPr>
                <w:b/>
                <w:sz w:val="18"/>
              </w:rPr>
              <w:t>13</w:t>
            </w:r>
          </w:p>
          <w:p>
            <w:pPr>
              <w:pStyle w:val="TableParagraph"/>
              <w:rPr>
                <w:sz w:val="18"/>
              </w:rPr>
            </w:pPr>
          </w:p>
          <w:p>
            <w:pPr>
              <w:pStyle w:val="TableParagraph"/>
              <w:ind w:left="314" w:right="138"/>
              <w:jc w:val="center"/>
              <w:rPr>
                <w:b/>
                <w:sz w:val="18"/>
              </w:rPr>
            </w:pPr>
            <w:r>
              <w:rPr>
                <w:b/>
                <w:sz w:val="18"/>
              </w:rPr>
              <w:t>35.45</w:t>
            </w:r>
          </w:p>
          <w:p>
            <w:pPr>
              <w:pStyle w:val="TableParagraph"/>
              <w:spacing w:before="108"/>
              <w:ind w:left="315" w:right="138"/>
              <w:jc w:val="center"/>
              <w:rPr>
                <w:b/>
                <w:sz w:val="18"/>
              </w:rPr>
            </w:pPr>
            <w:r>
              <w:rPr>
                <w:b/>
                <w:sz w:val="18"/>
              </w:rPr>
              <w:t>87.45</w:t>
            </w:r>
          </w:p>
          <w:p>
            <w:pPr>
              <w:pStyle w:val="TableParagraph"/>
              <w:spacing w:before="102"/>
              <w:ind w:left="313" w:right="138"/>
              <w:jc w:val="center"/>
              <w:rPr>
                <w:b/>
                <w:sz w:val="18"/>
              </w:rPr>
            </w:pPr>
            <w:r>
              <w:rPr>
                <w:b/>
                <w:sz w:val="18"/>
              </w:rPr>
              <w:t>60</w:t>
            </w:r>
          </w:p>
        </w:tc>
        <w:tc>
          <w:tcPr>
            <w:tcW w:w="877" w:type="dxa"/>
          </w:tcPr>
          <w:p>
            <w:pPr>
              <w:pStyle w:val="TableParagraph"/>
              <w:spacing w:before="121"/>
              <w:ind w:left="380"/>
              <w:rPr>
                <w:b/>
                <w:sz w:val="18"/>
              </w:rPr>
            </w:pPr>
            <w:r>
              <w:rPr>
                <w:b/>
                <w:sz w:val="18"/>
              </w:rPr>
              <w:t>17.5</w:t>
            </w:r>
          </w:p>
          <w:p>
            <w:pPr>
              <w:pStyle w:val="TableParagraph"/>
              <w:rPr>
                <w:sz w:val="18"/>
              </w:rPr>
            </w:pPr>
          </w:p>
          <w:p>
            <w:pPr>
              <w:pStyle w:val="TableParagraph"/>
              <w:ind w:left="447"/>
              <w:rPr>
                <w:b/>
                <w:sz w:val="18"/>
              </w:rPr>
            </w:pPr>
            <w:r>
              <w:rPr>
                <w:b/>
                <w:sz w:val="18"/>
              </w:rPr>
              <w:t>47</w:t>
            </w:r>
          </w:p>
          <w:p>
            <w:pPr>
              <w:pStyle w:val="TableParagraph"/>
              <w:spacing w:before="108"/>
              <w:ind w:left="380"/>
              <w:rPr>
                <w:b/>
                <w:sz w:val="18"/>
              </w:rPr>
            </w:pPr>
            <w:r>
              <w:rPr>
                <w:b/>
                <w:sz w:val="18"/>
              </w:rPr>
              <w:t>92.5</w:t>
            </w:r>
          </w:p>
          <w:p>
            <w:pPr>
              <w:pStyle w:val="TableParagraph"/>
              <w:spacing w:before="102"/>
              <w:ind w:left="447"/>
              <w:rPr>
                <w:b/>
                <w:sz w:val="18"/>
              </w:rPr>
            </w:pPr>
            <w:r>
              <w:rPr>
                <w:b/>
                <w:sz w:val="18"/>
              </w:rPr>
              <w:t>67</w:t>
            </w:r>
          </w:p>
        </w:tc>
        <w:tc>
          <w:tcPr>
            <w:tcW w:w="1011" w:type="dxa"/>
          </w:tcPr>
          <w:p>
            <w:pPr>
              <w:pStyle w:val="TableParagraph"/>
              <w:spacing w:before="121"/>
              <w:ind w:left="404" w:right="295"/>
              <w:jc w:val="center"/>
              <w:rPr>
                <w:b/>
                <w:sz w:val="18"/>
              </w:rPr>
            </w:pPr>
            <w:r>
              <w:rPr>
                <w:b/>
                <w:sz w:val="18"/>
              </w:rPr>
              <w:t>20</w:t>
            </w:r>
          </w:p>
          <w:p>
            <w:pPr>
              <w:pStyle w:val="TableParagraph"/>
              <w:rPr>
                <w:sz w:val="18"/>
              </w:rPr>
            </w:pPr>
          </w:p>
          <w:p>
            <w:pPr>
              <w:pStyle w:val="TableParagraph"/>
              <w:ind w:left="404" w:right="295"/>
              <w:jc w:val="center"/>
              <w:rPr>
                <w:b/>
                <w:sz w:val="18"/>
              </w:rPr>
            </w:pPr>
            <w:r>
              <w:rPr>
                <w:b/>
                <w:sz w:val="18"/>
              </w:rPr>
              <w:t>59</w:t>
            </w:r>
          </w:p>
          <w:p>
            <w:pPr>
              <w:pStyle w:val="TableParagraph"/>
              <w:spacing w:before="108"/>
              <w:ind w:left="405" w:right="295"/>
              <w:jc w:val="center"/>
              <w:rPr>
                <w:b/>
                <w:sz w:val="18"/>
              </w:rPr>
            </w:pPr>
            <w:r>
              <w:rPr>
                <w:b/>
                <w:sz w:val="18"/>
              </w:rPr>
              <w:t>114</w:t>
            </w:r>
          </w:p>
          <w:p>
            <w:pPr>
              <w:pStyle w:val="TableParagraph"/>
              <w:spacing w:before="102"/>
              <w:ind w:left="405" w:right="295"/>
              <w:jc w:val="center"/>
              <w:rPr>
                <w:b/>
                <w:sz w:val="18"/>
              </w:rPr>
            </w:pPr>
            <w:r>
              <w:rPr>
                <w:b/>
                <w:sz w:val="18"/>
              </w:rPr>
              <w:t>79</w:t>
            </w:r>
          </w:p>
        </w:tc>
      </w:tr>
      <w:tr>
        <w:trPr>
          <w:trHeight w:val="317" w:hRule="exact"/>
        </w:trPr>
        <w:tc>
          <w:tcPr>
            <w:tcW w:w="1403" w:type="dxa"/>
          </w:tcPr>
          <w:p>
            <w:pPr>
              <w:pStyle w:val="TableParagraph"/>
              <w:spacing w:before="53"/>
              <w:ind w:left="69" w:right="278"/>
              <w:rPr>
                <w:sz w:val="18"/>
              </w:rPr>
            </w:pPr>
            <w:r>
              <w:rPr>
                <w:sz w:val="18"/>
              </w:rPr>
              <w:t>Chest</w:t>
            </w:r>
          </w:p>
        </w:tc>
        <w:tc>
          <w:tcPr>
            <w:tcW w:w="979" w:type="dxa"/>
          </w:tcPr>
          <w:p>
            <w:pPr>
              <w:pStyle w:val="TableParagraph"/>
              <w:spacing w:before="57"/>
              <w:ind w:left="238"/>
              <w:rPr>
                <w:b/>
                <w:sz w:val="18"/>
              </w:rPr>
            </w:pPr>
            <w:r>
              <w:rPr>
                <w:b/>
                <w:sz w:val="18"/>
              </w:rPr>
              <w:t>7.19</w:t>
            </w:r>
          </w:p>
        </w:tc>
        <w:tc>
          <w:tcPr>
            <w:tcW w:w="900" w:type="dxa"/>
          </w:tcPr>
          <w:p>
            <w:pPr>
              <w:pStyle w:val="TableParagraph"/>
              <w:spacing w:before="57"/>
              <w:ind w:left="158"/>
              <w:rPr>
                <w:b/>
                <w:sz w:val="18"/>
              </w:rPr>
            </w:pPr>
            <w:r>
              <w:rPr>
                <w:b/>
                <w:sz w:val="18"/>
              </w:rPr>
              <w:t>39</w:t>
            </w:r>
          </w:p>
        </w:tc>
        <w:tc>
          <w:tcPr>
            <w:tcW w:w="877" w:type="dxa"/>
          </w:tcPr>
          <w:p>
            <w:pPr>
              <w:pStyle w:val="TableParagraph"/>
              <w:spacing w:before="57"/>
              <w:ind w:left="158"/>
              <w:rPr>
                <w:b/>
                <w:sz w:val="18"/>
              </w:rPr>
            </w:pPr>
            <w:r>
              <w:rPr>
                <w:b/>
                <w:sz w:val="18"/>
              </w:rPr>
              <w:t>47.5</w:t>
            </w:r>
          </w:p>
        </w:tc>
        <w:tc>
          <w:tcPr>
            <w:tcW w:w="1011" w:type="dxa"/>
          </w:tcPr>
          <w:p>
            <w:pPr>
              <w:pStyle w:val="TableParagraph"/>
              <w:spacing w:before="57"/>
              <w:ind w:left="180"/>
              <w:rPr>
                <w:b/>
                <w:sz w:val="18"/>
              </w:rPr>
            </w:pPr>
            <w:r>
              <w:rPr>
                <w:b/>
                <w:sz w:val="18"/>
              </w:rPr>
              <w:t>60</w:t>
            </w:r>
          </w:p>
        </w:tc>
      </w:tr>
      <w:tr>
        <w:trPr>
          <w:trHeight w:val="315" w:hRule="exact"/>
        </w:trPr>
        <w:tc>
          <w:tcPr>
            <w:tcW w:w="1403" w:type="dxa"/>
          </w:tcPr>
          <w:p>
            <w:pPr>
              <w:pStyle w:val="TableParagraph"/>
              <w:spacing w:before="52"/>
              <w:ind w:left="69" w:right="278"/>
              <w:rPr>
                <w:sz w:val="18"/>
              </w:rPr>
            </w:pPr>
            <w:r>
              <w:rPr>
                <w:sz w:val="18"/>
              </w:rPr>
              <w:t>Hips width</w:t>
            </w:r>
          </w:p>
        </w:tc>
        <w:tc>
          <w:tcPr>
            <w:tcW w:w="979" w:type="dxa"/>
          </w:tcPr>
          <w:p>
            <w:pPr>
              <w:pStyle w:val="TableParagraph"/>
              <w:spacing w:before="56"/>
              <w:ind w:left="238"/>
              <w:rPr>
                <w:b/>
                <w:sz w:val="18"/>
              </w:rPr>
            </w:pPr>
            <w:r>
              <w:rPr>
                <w:b/>
                <w:sz w:val="18"/>
              </w:rPr>
              <w:t>2.98</w:t>
            </w:r>
          </w:p>
        </w:tc>
        <w:tc>
          <w:tcPr>
            <w:tcW w:w="900" w:type="dxa"/>
          </w:tcPr>
          <w:p>
            <w:pPr>
              <w:pStyle w:val="TableParagraph"/>
              <w:spacing w:before="56"/>
              <w:ind w:left="158"/>
              <w:rPr>
                <w:b/>
                <w:sz w:val="18"/>
              </w:rPr>
            </w:pPr>
            <w:r>
              <w:rPr>
                <w:b/>
                <w:sz w:val="18"/>
              </w:rPr>
              <w:t>19</w:t>
            </w:r>
          </w:p>
        </w:tc>
        <w:tc>
          <w:tcPr>
            <w:tcW w:w="877" w:type="dxa"/>
          </w:tcPr>
          <w:p>
            <w:pPr>
              <w:pStyle w:val="TableParagraph"/>
              <w:spacing w:before="56"/>
              <w:ind w:left="158"/>
              <w:rPr>
                <w:b/>
                <w:sz w:val="18"/>
              </w:rPr>
            </w:pPr>
            <w:r>
              <w:rPr>
                <w:b/>
                <w:sz w:val="18"/>
              </w:rPr>
              <w:t>21</w:t>
            </w:r>
          </w:p>
        </w:tc>
        <w:tc>
          <w:tcPr>
            <w:tcW w:w="1011" w:type="dxa"/>
          </w:tcPr>
          <w:p>
            <w:pPr>
              <w:pStyle w:val="TableParagraph"/>
              <w:spacing w:before="56"/>
              <w:ind w:left="181"/>
              <w:rPr>
                <w:b/>
                <w:sz w:val="18"/>
              </w:rPr>
            </w:pPr>
            <w:r>
              <w:rPr>
                <w:b/>
                <w:sz w:val="18"/>
              </w:rPr>
              <w:t>28</w:t>
            </w:r>
          </w:p>
        </w:tc>
      </w:tr>
      <w:tr>
        <w:trPr>
          <w:trHeight w:val="259" w:hRule="exact"/>
        </w:trPr>
        <w:tc>
          <w:tcPr>
            <w:tcW w:w="1403" w:type="dxa"/>
            <w:tcBorders>
              <w:bottom w:val="single" w:sz="4" w:space="0" w:color="000000"/>
            </w:tcBorders>
          </w:tcPr>
          <w:p>
            <w:pPr>
              <w:pStyle w:val="TableParagraph"/>
              <w:spacing w:before="52"/>
              <w:ind w:left="69" w:right="44"/>
              <w:rPr>
                <w:sz w:val="18"/>
              </w:rPr>
            </w:pPr>
            <w:r>
              <w:rPr>
                <w:sz w:val="18"/>
              </w:rPr>
              <w:t>Head thickness</w:t>
            </w:r>
          </w:p>
        </w:tc>
        <w:tc>
          <w:tcPr>
            <w:tcW w:w="979" w:type="dxa"/>
            <w:tcBorders>
              <w:bottom w:val="single" w:sz="4" w:space="0" w:color="000000"/>
            </w:tcBorders>
          </w:tcPr>
          <w:p>
            <w:pPr>
              <w:pStyle w:val="TableParagraph"/>
              <w:spacing w:before="55"/>
              <w:ind w:left="238"/>
              <w:rPr>
                <w:b/>
                <w:sz w:val="18"/>
              </w:rPr>
            </w:pPr>
            <w:r>
              <w:rPr>
                <w:b/>
                <w:sz w:val="18"/>
              </w:rPr>
              <w:t>1.24</w:t>
            </w:r>
          </w:p>
        </w:tc>
        <w:tc>
          <w:tcPr>
            <w:tcW w:w="900" w:type="dxa"/>
            <w:tcBorders>
              <w:bottom w:val="single" w:sz="4" w:space="0" w:color="000000"/>
            </w:tcBorders>
          </w:tcPr>
          <w:p>
            <w:pPr>
              <w:pStyle w:val="TableParagraph"/>
              <w:spacing w:before="55"/>
              <w:ind w:left="158"/>
              <w:rPr>
                <w:b/>
                <w:sz w:val="18"/>
              </w:rPr>
            </w:pPr>
            <w:r>
              <w:rPr>
                <w:b/>
                <w:sz w:val="18"/>
              </w:rPr>
              <w:t>18</w:t>
            </w:r>
          </w:p>
        </w:tc>
        <w:tc>
          <w:tcPr>
            <w:tcW w:w="877" w:type="dxa"/>
            <w:tcBorders>
              <w:bottom w:val="single" w:sz="4" w:space="0" w:color="000000"/>
            </w:tcBorders>
          </w:tcPr>
          <w:p>
            <w:pPr>
              <w:pStyle w:val="TableParagraph"/>
              <w:spacing w:before="55"/>
              <w:ind w:left="158"/>
              <w:rPr>
                <w:b/>
                <w:sz w:val="18"/>
              </w:rPr>
            </w:pPr>
            <w:r>
              <w:rPr>
                <w:b/>
                <w:sz w:val="18"/>
              </w:rPr>
              <w:t>20</w:t>
            </w:r>
          </w:p>
        </w:tc>
        <w:tc>
          <w:tcPr>
            <w:tcW w:w="1011" w:type="dxa"/>
            <w:tcBorders>
              <w:bottom w:val="single" w:sz="4" w:space="0" w:color="000000"/>
            </w:tcBorders>
          </w:tcPr>
          <w:p>
            <w:pPr>
              <w:pStyle w:val="TableParagraph"/>
              <w:spacing w:before="55"/>
              <w:ind w:left="181"/>
              <w:rPr>
                <w:b/>
                <w:sz w:val="18"/>
              </w:rPr>
            </w:pPr>
            <w:r>
              <w:rPr>
                <w:b/>
                <w:sz w:val="18"/>
              </w:rPr>
              <w:t>22</w:t>
            </w:r>
          </w:p>
        </w:tc>
      </w:tr>
    </w:tbl>
    <w:p>
      <w:pPr>
        <w:spacing w:before="0"/>
        <w:ind w:left="270" w:right="0" w:firstLine="0"/>
        <w:jc w:val="both"/>
        <w:rPr>
          <w:sz w:val="18"/>
        </w:rPr>
      </w:pPr>
      <w:r>
        <w:rPr>
          <w:b/>
          <w:sz w:val="18"/>
        </w:rPr>
        <w:t>Table1</w:t>
      </w:r>
      <w:r>
        <w:rPr>
          <w:sz w:val="18"/>
        </w:rPr>
        <w:t>. B users anthropometric table.</w:t>
      </w:r>
    </w:p>
    <w:p>
      <w:pPr>
        <w:pStyle w:val="BodyText"/>
        <w:rPr>
          <w:sz w:val="18"/>
        </w:rPr>
      </w:pPr>
    </w:p>
    <w:p>
      <w:pPr>
        <w:spacing w:before="0"/>
        <w:ind w:left="270" w:right="1" w:firstLine="0"/>
        <w:jc w:val="both"/>
        <w:rPr>
          <w:sz w:val="18"/>
        </w:rPr>
      </w:pPr>
      <w:r>
        <w:rPr>
          <w:sz w:val="18"/>
        </w:rPr>
        <w:t>Concentrate on the analysis of the comments made by users of the different sectors that make up the population D. (Table 2) was generated.</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3"/>
        <w:rPr>
          <w:sz w:val="18"/>
        </w:rPr>
      </w:pPr>
    </w:p>
    <w:p>
      <w:pPr>
        <w:spacing w:line="240" w:lineRule="auto" w:before="0"/>
        <w:ind w:left="4333" w:right="65" w:firstLine="0"/>
        <w:jc w:val="left"/>
        <w:rPr>
          <w:sz w:val="18"/>
        </w:rPr>
      </w:pPr>
      <w:r>
        <w:rPr/>
        <w:drawing>
          <wp:anchor distT="0" distB="0" distL="0" distR="0" allowOverlap="1" layoutInCell="1" locked="0" behindDoc="0" simplePos="0" relativeHeight="3544">
            <wp:simplePos x="0" y="0"/>
            <wp:positionH relativeFrom="page">
              <wp:posOffset>536448</wp:posOffset>
            </wp:positionH>
            <wp:positionV relativeFrom="paragraph">
              <wp:posOffset>-260577</wp:posOffset>
            </wp:positionV>
            <wp:extent cx="2469641" cy="1828800"/>
            <wp:effectExtent l="0" t="0" r="0" b="0"/>
            <wp:wrapNone/>
            <wp:docPr id="71" name="image44.png" descr=""/>
            <wp:cNvGraphicFramePr>
              <a:graphicFrameLocks noChangeAspect="1"/>
            </wp:cNvGraphicFramePr>
            <a:graphic>
              <a:graphicData uri="http://schemas.openxmlformats.org/drawingml/2006/picture">
                <pic:pic>
                  <pic:nvPicPr>
                    <pic:cNvPr id="72" name="image44.png"/>
                    <pic:cNvPicPr/>
                  </pic:nvPicPr>
                  <pic:blipFill>
                    <a:blip r:embed="rId101" cstate="print"/>
                    <a:stretch>
                      <a:fillRect/>
                    </a:stretch>
                  </pic:blipFill>
                  <pic:spPr>
                    <a:xfrm>
                      <a:off x="0" y="0"/>
                      <a:ext cx="2469641" cy="1828800"/>
                    </a:xfrm>
                    <a:prstGeom prst="rect">
                      <a:avLst/>
                    </a:prstGeom>
                  </pic:spPr>
                </pic:pic>
              </a:graphicData>
            </a:graphic>
          </wp:anchor>
        </w:drawing>
      </w:r>
      <w:r>
        <w:rPr>
          <w:b/>
          <w:sz w:val="18"/>
        </w:rPr>
        <w:t>Figure 2. </w:t>
      </w:r>
      <w:r>
        <w:rPr>
          <w:sz w:val="18"/>
        </w:rPr>
        <w:t>Shows the D users feelings, about liking parks.</w:t>
      </w:r>
    </w:p>
    <w:p>
      <w:pPr>
        <w:pStyle w:val="BodyText"/>
        <w:rPr>
          <w:sz w:val="18"/>
        </w:rPr>
      </w:pPr>
    </w:p>
    <w:p>
      <w:pPr>
        <w:tabs>
          <w:tab w:pos="4981" w:val="left" w:leader="none"/>
        </w:tabs>
        <w:spacing w:before="0"/>
        <w:ind w:left="4380" w:right="1" w:hanging="47"/>
        <w:jc w:val="right"/>
        <w:rPr>
          <w:sz w:val="18"/>
        </w:rPr>
      </w:pPr>
      <w:r>
        <w:rPr>
          <w:sz w:val="18"/>
        </w:rPr>
        <w:t>Based</w:t>
        <w:tab/>
        <w:t>on the generated anthropom</w:t>
      </w:r>
    </w:p>
    <w:p>
      <w:pPr>
        <w:spacing w:before="0"/>
        <w:ind w:left="270" w:right="0" w:firstLine="0"/>
        <w:jc w:val="both"/>
        <w:rPr>
          <w:sz w:val="18"/>
        </w:rPr>
      </w:pPr>
      <w:r>
        <w:rPr>
          <w:sz w:val="18"/>
        </w:rPr>
        <w:t>etric tables, the comments made by users and the contextual conditions of the community, the specifications for the design of  the Urban Park (Figure 3) were</w:t>
      </w:r>
      <w:r>
        <w:rPr>
          <w:spacing w:val="-11"/>
          <w:sz w:val="18"/>
        </w:rPr>
        <w:t> </w:t>
      </w:r>
      <w:r>
        <w:rPr>
          <w:sz w:val="18"/>
        </w:rPr>
        <w:t>determined.</w:t>
      </w:r>
    </w:p>
    <w:p>
      <w:pPr>
        <w:spacing w:before="77"/>
        <w:ind w:left="264" w:right="676" w:firstLine="0"/>
        <w:jc w:val="both"/>
        <w:rPr>
          <w:sz w:val="18"/>
        </w:rPr>
      </w:pPr>
      <w:r>
        <w:rPr/>
        <w:br w:type="column"/>
      </w:r>
      <w:r>
        <w:rPr>
          <w:sz w:val="18"/>
        </w:rPr>
        <w:t>For the arrangement of furniture, recreational games and exercises are taken as reference information anthropometric measurements of different types of users. For example, the separation between recreational and exercise for people older games was set at minimum 258 cm and the distance between furniture minimum 126 cm, equivalent to the maximum width of shoulders and space to allow free passage of two people, according to the recommendations (Oborne,</w:t>
      </w:r>
      <w:r>
        <w:rPr>
          <w:spacing w:val="-4"/>
          <w:sz w:val="18"/>
        </w:rPr>
        <w:t> </w:t>
      </w:r>
      <w:r>
        <w:rPr>
          <w:sz w:val="18"/>
        </w:rPr>
        <w:t>1999).</w:t>
      </w:r>
    </w:p>
    <w:p>
      <w:pPr>
        <w:spacing w:before="0"/>
        <w:ind w:left="264" w:right="678" w:firstLine="0"/>
        <w:jc w:val="both"/>
        <w:rPr>
          <w:sz w:val="18"/>
        </w:rPr>
      </w:pPr>
      <w:r>
        <w:rPr>
          <w:sz w:val="18"/>
        </w:rPr>
        <w:t>The distance between furniture, recreational games and exercise proposed allows contribute to improving social interactions of users which is part of the social requirements (territoriality and personal space) in a workplace (Oborne, 1999).</w:t>
      </w:r>
    </w:p>
    <w:p>
      <w:pPr>
        <w:spacing w:before="0"/>
        <w:ind w:left="264" w:right="678" w:firstLine="0"/>
        <w:jc w:val="both"/>
        <w:rPr>
          <w:sz w:val="18"/>
        </w:rPr>
      </w:pPr>
      <w:r>
        <w:rPr>
          <w:sz w:val="18"/>
        </w:rPr>
        <w:t>The width of the walkways will generally be at least 126 cm, equivalent to the maximum width of shoulders and space to allow free passage of two people at once, as well as wheelchair access, in accordance with the recommendations (Oborne, 1999).</w:t>
      </w:r>
    </w:p>
    <w:p>
      <w:pPr>
        <w:spacing w:before="0"/>
        <w:ind w:left="264" w:right="677" w:firstLine="0"/>
        <w:jc w:val="both"/>
        <w:rPr>
          <w:sz w:val="18"/>
        </w:rPr>
      </w:pPr>
      <w:r>
        <w:rPr>
          <w:sz w:val="18"/>
        </w:rPr>
        <w:t>The park will feature areas, recreational games, structures and exercise for different types of users (Children, Teens, Adults, Seniors Aging and Handicapped), which will be designed  according to the anthropometric and psychological characteristics  of</w:t>
      </w:r>
      <w:r>
        <w:rPr>
          <w:spacing w:val="-6"/>
          <w:sz w:val="18"/>
        </w:rPr>
        <w:t> </w:t>
      </w:r>
      <w:r>
        <w:rPr>
          <w:sz w:val="18"/>
        </w:rPr>
        <w:t>same.</w:t>
      </w:r>
    </w:p>
    <w:p>
      <w:pPr>
        <w:spacing w:before="0"/>
        <w:ind w:left="264" w:right="680" w:firstLine="0"/>
        <w:jc w:val="both"/>
        <w:rPr>
          <w:sz w:val="18"/>
        </w:rPr>
      </w:pPr>
      <w:r>
        <w:rPr>
          <w:sz w:val="18"/>
        </w:rPr>
        <w:t>The park will feature walkways, ramps and stairs strategically located to allow easy access to areas for any type of user.</w:t>
      </w:r>
    </w:p>
    <w:p>
      <w:pPr>
        <w:pStyle w:val="BodyText"/>
        <w:rPr>
          <w:sz w:val="18"/>
        </w:rPr>
      </w:pPr>
    </w:p>
    <w:p>
      <w:pPr>
        <w:spacing w:before="0"/>
        <w:ind w:left="264" w:right="677" w:firstLine="0"/>
        <w:jc w:val="both"/>
        <w:rPr>
          <w:sz w:val="18"/>
        </w:rPr>
      </w:pPr>
      <w:r>
        <w:rPr>
          <w:sz w:val="18"/>
        </w:rPr>
        <w:t>In relation to physical agents in the environment, these were defined according to what was proposed by various researchers in the subject; the maximum allowable noise level by a person to avoid disruption is 90 db. (Niebel, 2009), so the park in relation to its location east to seek distance from sources of intense noise. The ideal temperature range for individuals are in summer 20 ° to 24 ° and 19 ° in winter to 21 °, with a range of relative humidity from  40 to 60% (Creus, 2011), so that a search should have with roofs, shadows of buildings and wooded areas that improve the temperatures of different areas and thus provide better comfort to the user, together with the above look drafts that are beneficial in times of increased use of park users as well as seek the guidance of the stairs, roofs, and location of wooded areas and benches also benefit the user in the busiest hours. By the psychological effects of the colors used in public places is determined using the yellow or equivalent for walls and floors gray colored (Creus,</w:t>
      </w:r>
      <w:r>
        <w:rPr>
          <w:spacing w:val="-12"/>
          <w:sz w:val="18"/>
        </w:rPr>
        <w:t> </w:t>
      </w:r>
      <w:r>
        <w:rPr>
          <w:sz w:val="18"/>
        </w:rPr>
        <w:t>2011).</w:t>
      </w:r>
    </w:p>
    <w:p>
      <w:pPr>
        <w:spacing w:before="0"/>
        <w:ind w:left="264" w:right="678" w:firstLine="0"/>
        <w:jc w:val="both"/>
        <w:rPr>
          <w:sz w:val="18"/>
        </w:rPr>
      </w:pPr>
      <w:r>
        <w:rPr>
          <w:sz w:val="18"/>
        </w:rPr>
        <w:t>The parking area counts an specific area for people  with disabilities, as well as quick access to areas of the park.</w:t>
      </w:r>
    </w:p>
    <w:p>
      <w:pPr>
        <w:spacing w:before="0"/>
        <w:ind w:left="264" w:right="678" w:firstLine="0"/>
        <w:jc w:val="both"/>
        <w:rPr>
          <w:sz w:val="18"/>
        </w:rPr>
      </w:pPr>
      <w:r>
        <w:rPr>
          <w:sz w:val="18"/>
        </w:rPr>
        <w:t>It will feature payphones, minimum and to provide timely service  to senior age and different capacities, one must be installed with the handset hook and receiver of coins no higher than 1.30 m. Must have unhindered</w:t>
      </w:r>
      <w:r>
        <w:rPr>
          <w:spacing w:val="-5"/>
          <w:sz w:val="18"/>
        </w:rPr>
        <w:t> </w:t>
      </w:r>
      <w:r>
        <w:rPr>
          <w:sz w:val="18"/>
        </w:rPr>
        <w:t>access.</w:t>
      </w:r>
    </w:p>
    <w:p>
      <w:pPr>
        <w:spacing w:after="0"/>
        <w:jc w:val="both"/>
        <w:rPr>
          <w:sz w:val="18"/>
        </w:rPr>
        <w:sectPr>
          <w:type w:val="continuous"/>
          <w:pgSz w:w="12240" w:h="15840"/>
          <w:pgMar w:top="1500" w:bottom="280" w:left="580" w:right="220"/>
          <w:cols w:num="2" w:equalWidth="0">
            <w:col w:w="5164" w:space="440"/>
            <w:col w:w="5836"/>
          </w:cols>
        </w:sectPr>
      </w:pPr>
    </w:p>
    <w:p>
      <w:pPr>
        <w:pStyle w:val="BodyText"/>
        <w:rPr>
          <w:sz w:val="11"/>
        </w:rPr>
      </w:pPr>
    </w:p>
    <w:p>
      <w:pPr>
        <w:spacing w:after="0"/>
        <w:rPr>
          <w:sz w:val="11"/>
        </w:rPr>
        <w:sectPr>
          <w:pgSz w:w="12240" w:h="15840"/>
          <w:pgMar w:header="545" w:footer="852" w:top="1060" w:bottom="1040" w:left="580" w:right="220"/>
        </w:sectPr>
      </w:pPr>
    </w:p>
    <w:p>
      <w:pPr>
        <w:pStyle w:val="BodyText"/>
        <w:spacing w:before="7"/>
        <w:rPr>
          <w:sz w:val="24"/>
        </w:rPr>
      </w:pPr>
    </w:p>
    <w:p>
      <w:pPr>
        <w:spacing w:before="0"/>
        <w:ind w:left="270" w:right="0" w:firstLine="0"/>
        <w:jc w:val="both"/>
        <w:rPr>
          <w:sz w:val="18"/>
        </w:rPr>
      </w:pPr>
      <w:r>
        <w:rPr>
          <w:sz w:val="18"/>
        </w:rPr>
        <w:t>It will feature restrooms and drinking fountains that can provide service to disabled and elderly, as well as adjustable furniture where required to supplement adequate care service in the use of the park for these important sectors of</w:t>
      </w:r>
      <w:r>
        <w:rPr>
          <w:spacing w:val="-14"/>
          <w:sz w:val="18"/>
        </w:rPr>
        <w:t> </w:t>
      </w:r>
      <w:r>
        <w:rPr>
          <w:sz w:val="18"/>
        </w:rPr>
        <w:t>society.</w:t>
      </w:r>
    </w:p>
    <w:p>
      <w:pPr>
        <w:spacing w:before="0"/>
        <w:ind w:left="270" w:right="0" w:firstLine="0"/>
        <w:jc w:val="both"/>
        <w:rPr>
          <w:sz w:val="18"/>
        </w:rPr>
      </w:pPr>
      <w:r>
        <w:rPr>
          <w:sz w:val="18"/>
        </w:rPr>
        <w:t>Added to this, for the proper functioning of the urban park, which will be reflected in the quality of service expected of this, the following requirements are considered:</w:t>
      </w:r>
    </w:p>
    <w:p>
      <w:pPr>
        <w:pStyle w:val="BodyText"/>
        <w:rPr>
          <w:sz w:val="18"/>
        </w:rPr>
      </w:pPr>
    </w:p>
    <w:p>
      <w:pPr>
        <w:pStyle w:val="ListParagraph"/>
        <w:numPr>
          <w:ilvl w:val="1"/>
          <w:numId w:val="27"/>
        </w:numPr>
        <w:tabs>
          <w:tab w:pos="978" w:val="left" w:leader="none"/>
          <w:tab w:pos="979" w:val="left" w:leader="none"/>
        </w:tabs>
        <w:spacing w:line="240" w:lineRule="auto" w:before="0" w:after="0"/>
        <w:ind w:left="990" w:right="1" w:hanging="360"/>
        <w:jc w:val="left"/>
        <w:rPr>
          <w:sz w:val="18"/>
        </w:rPr>
      </w:pPr>
      <w:r>
        <w:rPr>
          <w:sz w:val="18"/>
        </w:rPr>
        <w:t>Adequate and functional lighting in various areas and peripheries of the</w:t>
      </w:r>
      <w:r>
        <w:rPr>
          <w:spacing w:val="-7"/>
          <w:sz w:val="18"/>
        </w:rPr>
        <w:t> </w:t>
      </w:r>
      <w:r>
        <w:rPr>
          <w:sz w:val="18"/>
        </w:rPr>
        <w:t>park.</w:t>
      </w:r>
    </w:p>
    <w:p>
      <w:pPr>
        <w:pStyle w:val="ListParagraph"/>
        <w:numPr>
          <w:ilvl w:val="1"/>
          <w:numId w:val="27"/>
        </w:numPr>
        <w:tabs>
          <w:tab w:pos="978" w:val="left" w:leader="none"/>
          <w:tab w:pos="979" w:val="left" w:leader="none"/>
        </w:tabs>
        <w:spacing w:line="220" w:lineRule="exact" w:before="1" w:after="0"/>
        <w:ind w:left="978" w:right="0" w:hanging="348"/>
        <w:jc w:val="left"/>
        <w:rPr>
          <w:sz w:val="18"/>
        </w:rPr>
      </w:pPr>
      <w:r>
        <w:rPr>
          <w:sz w:val="18"/>
        </w:rPr>
        <w:t>Having</w:t>
      </w:r>
      <w:r>
        <w:rPr>
          <w:spacing w:val="-7"/>
          <w:sz w:val="18"/>
        </w:rPr>
        <w:t> </w:t>
      </w:r>
      <w:r>
        <w:rPr>
          <w:sz w:val="18"/>
        </w:rPr>
        <w:t>a</w:t>
      </w:r>
      <w:r>
        <w:rPr>
          <w:spacing w:val="-7"/>
          <w:sz w:val="18"/>
        </w:rPr>
        <w:t> </w:t>
      </w:r>
      <w:r>
        <w:rPr>
          <w:sz w:val="18"/>
        </w:rPr>
        <w:t>more</w:t>
      </w:r>
      <w:r>
        <w:rPr>
          <w:spacing w:val="-8"/>
          <w:sz w:val="18"/>
        </w:rPr>
        <w:t> </w:t>
      </w:r>
      <w:r>
        <w:rPr>
          <w:sz w:val="18"/>
        </w:rPr>
        <w:t>effective</w:t>
      </w:r>
      <w:r>
        <w:rPr>
          <w:spacing w:val="-7"/>
          <w:sz w:val="18"/>
        </w:rPr>
        <w:t> </w:t>
      </w:r>
      <w:r>
        <w:rPr>
          <w:sz w:val="18"/>
        </w:rPr>
        <w:t>monitoring</w:t>
      </w:r>
      <w:r>
        <w:rPr>
          <w:spacing w:val="-7"/>
          <w:sz w:val="18"/>
        </w:rPr>
        <w:t> </w:t>
      </w:r>
      <w:r>
        <w:rPr>
          <w:sz w:val="18"/>
        </w:rPr>
        <w:t>service.</w:t>
      </w:r>
    </w:p>
    <w:p>
      <w:pPr>
        <w:pStyle w:val="ListParagraph"/>
        <w:numPr>
          <w:ilvl w:val="1"/>
          <w:numId w:val="27"/>
        </w:numPr>
        <w:tabs>
          <w:tab w:pos="978" w:val="left" w:leader="none"/>
          <w:tab w:pos="979" w:val="left" w:leader="none"/>
        </w:tabs>
        <w:spacing w:line="220" w:lineRule="exact" w:before="0" w:after="0"/>
        <w:ind w:left="978" w:right="0" w:hanging="348"/>
        <w:jc w:val="left"/>
        <w:rPr>
          <w:sz w:val="18"/>
        </w:rPr>
      </w:pPr>
      <w:r>
        <w:rPr>
          <w:sz w:val="18"/>
        </w:rPr>
        <w:t>Operate an effective installations maintenance</w:t>
      </w:r>
      <w:r>
        <w:rPr>
          <w:spacing w:val="-17"/>
          <w:sz w:val="18"/>
        </w:rPr>
        <w:t> </w:t>
      </w:r>
      <w:r>
        <w:rPr>
          <w:sz w:val="18"/>
        </w:rPr>
        <w:t>program.</w:t>
      </w:r>
    </w:p>
    <w:p>
      <w:pPr>
        <w:pStyle w:val="ListParagraph"/>
        <w:numPr>
          <w:ilvl w:val="1"/>
          <w:numId w:val="27"/>
        </w:numPr>
        <w:tabs>
          <w:tab w:pos="978" w:val="left" w:leader="none"/>
          <w:tab w:pos="979" w:val="left" w:leader="none"/>
        </w:tabs>
        <w:spacing w:line="240" w:lineRule="auto" w:before="0" w:after="0"/>
        <w:ind w:left="990" w:right="0" w:hanging="360"/>
        <w:jc w:val="left"/>
        <w:rPr>
          <w:sz w:val="18"/>
        </w:rPr>
      </w:pPr>
      <w:r>
        <w:rPr>
          <w:sz w:val="18"/>
        </w:rPr>
        <w:t>Integrate safety signs and guidance commensurate with the services and needs generated by the</w:t>
      </w:r>
      <w:r>
        <w:rPr>
          <w:spacing w:val="-15"/>
          <w:sz w:val="18"/>
        </w:rPr>
        <w:t> </w:t>
      </w:r>
      <w:r>
        <w:rPr>
          <w:sz w:val="18"/>
        </w:rPr>
        <w:t>park.</w:t>
      </w:r>
    </w:p>
    <w:p>
      <w:pPr>
        <w:pStyle w:val="ListParagraph"/>
        <w:numPr>
          <w:ilvl w:val="1"/>
          <w:numId w:val="27"/>
        </w:numPr>
        <w:tabs>
          <w:tab w:pos="978" w:val="left" w:leader="none"/>
          <w:tab w:pos="979" w:val="left" w:leader="none"/>
        </w:tabs>
        <w:spacing w:line="240" w:lineRule="auto" w:before="0" w:after="0"/>
        <w:ind w:left="990" w:right="0" w:hanging="360"/>
        <w:jc w:val="left"/>
        <w:rPr>
          <w:sz w:val="18"/>
        </w:rPr>
      </w:pPr>
      <w:r>
        <w:rPr>
          <w:sz w:val="18"/>
        </w:rPr>
        <w:t>Place monuments in strategic locations of representative Park City</w:t>
      </w:r>
      <w:r>
        <w:rPr>
          <w:spacing w:val="-12"/>
          <w:sz w:val="18"/>
        </w:rPr>
        <w:t> </w:t>
      </w:r>
      <w:r>
        <w:rPr>
          <w:sz w:val="18"/>
        </w:rPr>
        <w:t>history.</w:t>
      </w:r>
    </w:p>
    <w:p>
      <w:pPr>
        <w:pStyle w:val="ListParagraph"/>
        <w:numPr>
          <w:ilvl w:val="1"/>
          <w:numId w:val="27"/>
        </w:numPr>
        <w:tabs>
          <w:tab w:pos="978" w:val="left" w:leader="none"/>
          <w:tab w:pos="979" w:val="left" w:leader="none"/>
        </w:tabs>
        <w:spacing w:line="240" w:lineRule="auto" w:before="1" w:after="0"/>
        <w:ind w:left="990" w:right="1" w:hanging="360"/>
        <w:jc w:val="left"/>
        <w:rPr>
          <w:sz w:val="18"/>
        </w:rPr>
      </w:pPr>
      <w:r>
        <w:rPr>
          <w:sz w:val="18"/>
        </w:rPr>
        <w:t>Integrate a committee of settlers where the park manage your operation is</w:t>
      </w:r>
      <w:r>
        <w:rPr>
          <w:spacing w:val="-8"/>
          <w:sz w:val="18"/>
        </w:rPr>
        <w:t> </w:t>
      </w:r>
      <w:r>
        <w:rPr>
          <w:sz w:val="18"/>
        </w:rPr>
        <w:t>located.</w:t>
      </w:r>
    </w:p>
    <w:p>
      <w:pPr>
        <w:spacing w:line="220" w:lineRule="exact" w:before="0"/>
        <w:ind w:left="630" w:right="0" w:firstLine="0"/>
        <w:jc w:val="left"/>
        <w:rPr>
          <w:rFonts w:ascii="Symbol" w:hAnsi="Symbol"/>
          <w:sz w:val="18"/>
        </w:rPr>
      </w:pPr>
      <w:r>
        <w:rPr>
          <w:rFonts w:ascii="Symbol" w:hAnsi="Symbol"/>
          <w:w w:val="99"/>
          <w:sz w:val="18"/>
        </w:rPr>
        <w:t></w:t>
      </w:r>
    </w:p>
    <w:p>
      <w:pPr>
        <w:pStyle w:val="BodyText"/>
        <w:spacing w:before="1"/>
        <w:rPr>
          <w:rFonts w:ascii="Symbol" w:hAnsi="Symbol"/>
          <w:sz w:val="7"/>
        </w:rPr>
      </w:pPr>
    </w:p>
    <w:p>
      <w:pPr>
        <w:pStyle w:val="BodyText"/>
        <w:ind w:left="1118"/>
        <w:rPr>
          <w:rFonts w:ascii="Symbol" w:hAnsi="Symbol"/>
        </w:rPr>
      </w:pPr>
      <w:r>
        <w:rPr>
          <w:rFonts w:ascii="Symbol" w:hAnsi="Symbol"/>
        </w:rPr>
        <w:drawing>
          <wp:inline distT="0" distB="0" distL="0" distR="0">
            <wp:extent cx="1605574" cy="3205067"/>
            <wp:effectExtent l="0" t="0" r="0" b="0"/>
            <wp:docPr id="73" name="image45.jpeg" descr=""/>
            <wp:cNvGraphicFramePr>
              <a:graphicFrameLocks noChangeAspect="1"/>
            </wp:cNvGraphicFramePr>
            <a:graphic>
              <a:graphicData uri="http://schemas.openxmlformats.org/drawingml/2006/picture">
                <pic:pic>
                  <pic:nvPicPr>
                    <pic:cNvPr id="74" name="image45.jpeg"/>
                    <pic:cNvPicPr/>
                  </pic:nvPicPr>
                  <pic:blipFill>
                    <a:blip r:embed="rId102" cstate="print"/>
                    <a:stretch>
                      <a:fillRect/>
                    </a:stretch>
                  </pic:blipFill>
                  <pic:spPr>
                    <a:xfrm>
                      <a:off x="0" y="0"/>
                      <a:ext cx="1605574" cy="3205067"/>
                    </a:xfrm>
                    <a:prstGeom prst="rect">
                      <a:avLst/>
                    </a:prstGeom>
                  </pic:spPr>
                </pic:pic>
              </a:graphicData>
            </a:graphic>
          </wp:inline>
        </w:drawing>
      </w:r>
      <w:r>
        <w:rPr>
          <w:rFonts w:ascii="Symbol" w:hAnsi="Symbol"/>
        </w:rPr>
      </w:r>
    </w:p>
    <w:p>
      <w:pPr>
        <w:spacing w:before="39"/>
        <w:ind w:left="270" w:right="0" w:firstLine="0"/>
        <w:jc w:val="both"/>
        <w:rPr>
          <w:sz w:val="18"/>
        </w:rPr>
      </w:pPr>
      <w:r>
        <w:rPr>
          <w:b/>
          <w:sz w:val="18"/>
        </w:rPr>
        <w:t>Figure 2</w:t>
      </w:r>
      <w:r>
        <w:rPr>
          <w:sz w:val="18"/>
        </w:rPr>
        <w:t>. Architectural drawing, park layout proposal</w:t>
      </w:r>
    </w:p>
    <w:p>
      <w:pPr>
        <w:pStyle w:val="BodyText"/>
        <w:rPr>
          <w:sz w:val="18"/>
        </w:rPr>
      </w:pPr>
    </w:p>
    <w:p>
      <w:pPr>
        <w:pStyle w:val="BodyText"/>
        <w:rPr>
          <w:sz w:val="18"/>
        </w:rPr>
      </w:pPr>
    </w:p>
    <w:p>
      <w:pPr>
        <w:pStyle w:val="BodyText"/>
        <w:spacing w:before="3"/>
        <w:rPr>
          <w:sz w:val="18"/>
        </w:rPr>
      </w:pPr>
    </w:p>
    <w:p>
      <w:pPr>
        <w:spacing w:line="205" w:lineRule="exact" w:before="0"/>
        <w:ind w:left="270" w:right="0" w:firstLine="0"/>
        <w:jc w:val="both"/>
        <w:rPr>
          <w:b/>
          <w:sz w:val="18"/>
        </w:rPr>
      </w:pPr>
      <w:r>
        <w:rPr>
          <w:b/>
          <w:sz w:val="18"/>
        </w:rPr>
        <w:t>Conclusions:</w:t>
      </w:r>
    </w:p>
    <w:p>
      <w:pPr>
        <w:spacing w:line="240" w:lineRule="auto" w:before="0"/>
        <w:ind w:left="270" w:right="0" w:firstLine="0"/>
        <w:jc w:val="both"/>
        <w:rPr>
          <w:sz w:val="18"/>
        </w:rPr>
      </w:pPr>
      <w:r>
        <w:rPr>
          <w:sz w:val="18"/>
        </w:rPr>
        <w:t>When experimental analysis through simulation of this project related to design an urban park to consider ergonomic foundations and principles of social interaction as a strategy to increase  the level of user satisfaction from their recreation and social interaction in urban park, it was found that the conditions proposed for the same, significantly increase user satisfaction in relation to environmental, physical and infrastructural conditions in urban parks today.</w:t>
      </w:r>
    </w:p>
    <w:p>
      <w:pPr>
        <w:spacing w:before="0"/>
        <w:ind w:left="270" w:right="0" w:firstLine="0"/>
        <w:jc w:val="both"/>
        <w:rPr>
          <w:sz w:val="18"/>
        </w:rPr>
      </w:pPr>
      <w:r>
        <w:rPr>
          <w:sz w:val="18"/>
        </w:rPr>
        <w:t>With respect to proposed at the beginning of the investigation objectives, we can say that these were achieved satisfactorily. They managed to achieve the overall objective of the research: Design an urban park for different social sectors of the population, to increase the level of user satisfaction; This basically relied on the analysis of bibliographical  material  related  to  the  topics  of  ergonomics and</w:t>
      </w:r>
    </w:p>
    <w:p>
      <w:pPr>
        <w:spacing w:before="77"/>
        <w:ind w:left="412" w:right="678" w:firstLine="0"/>
        <w:jc w:val="both"/>
        <w:rPr>
          <w:sz w:val="18"/>
        </w:rPr>
      </w:pPr>
      <w:r>
        <w:rPr/>
        <w:br w:type="column"/>
      </w:r>
      <w:r>
        <w:rPr>
          <w:sz w:val="18"/>
        </w:rPr>
        <w:t>psychology and physical and electronic design proposal thereof. Moreover, he also managed to achieve specific objectives, particularly related to test the feasibility of the new urban park design as a strategy of satisfaction and interaction recreational  visits to parks; above, supported by various  environmental, physical and infrastructural conditions proposals, as well as  analysis</w:t>
      </w:r>
      <w:r>
        <w:rPr>
          <w:spacing w:val="-5"/>
          <w:sz w:val="18"/>
        </w:rPr>
        <w:t> </w:t>
      </w:r>
      <w:r>
        <w:rPr>
          <w:sz w:val="18"/>
        </w:rPr>
        <w:t>tools.</w:t>
      </w:r>
    </w:p>
    <w:p>
      <w:pPr>
        <w:spacing w:before="0"/>
        <w:ind w:left="412" w:right="676" w:firstLine="0"/>
        <w:jc w:val="both"/>
        <w:rPr>
          <w:sz w:val="18"/>
        </w:rPr>
      </w:pPr>
      <w:r>
        <w:rPr>
          <w:sz w:val="18"/>
        </w:rPr>
        <w:t>Whereas as reality, construction and proper implementation of this urban park development processes recreation and social interaction depends on factors such as the risk of changes in government structures that occur periodically; in our case, we can assume that this factor is very low, since this being a project of social type that benefits generally to the whole community, we have the security that will be supported by the municipal and state government offices of BCS state and the philosophy of government has historically aimed at the promotion and implementation of  strategies to permanently improve the state of physical and mental health of citizens that integrates the state's population, particularly as in this case the population Ciudad</w:t>
      </w:r>
      <w:r>
        <w:rPr>
          <w:spacing w:val="-9"/>
          <w:sz w:val="18"/>
        </w:rPr>
        <w:t> </w:t>
      </w:r>
      <w:r>
        <w:rPr>
          <w:sz w:val="18"/>
        </w:rPr>
        <w:t>Constitucion.</w:t>
      </w:r>
    </w:p>
    <w:p>
      <w:pPr>
        <w:spacing w:line="205" w:lineRule="exact" w:before="4"/>
        <w:ind w:left="412" w:right="0" w:firstLine="0"/>
        <w:jc w:val="both"/>
        <w:rPr>
          <w:b/>
          <w:sz w:val="18"/>
        </w:rPr>
      </w:pPr>
      <w:r>
        <w:rPr>
          <w:b/>
          <w:sz w:val="18"/>
        </w:rPr>
        <w:t>Contribution to Ergonomics:</w:t>
      </w:r>
    </w:p>
    <w:p>
      <w:pPr>
        <w:spacing w:line="240" w:lineRule="auto" w:before="0"/>
        <w:ind w:left="412" w:right="677" w:firstLine="0"/>
        <w:jc w:val="both"/>
        <w:rPr>
          <w:sz w:val="18"/>
        </w:rPr>
      </w:pPr>
      <w:r>
        <w:rPr>
          <w:sz w:val="18"/>
        </w:rPr>
        <w:t>The importance of the research project regarding ergonomics is that from the results, which are based on ergonomic bases and  principles of social interaction, a proposed urban park was designed to serve different sectors up the population of the community (children, adolescents, adults, seniors and people with disabilities), which has environmental, physical and appropriate infrastructure to the physical and psychological characteristics of users, thereby enabling better development their recreational and  social interaction processes within this environment, reflecting this in better results in their satisfaction and personal and social welfare. This represents a greater user satisfaction of urban parks, impacting positively on the social groups that make up the population structure of Ciudad Constitucion community where the project was developed.</w:t>
      </w:r>
    </w:p>
    <w:p>
      <w:pPr>
        <w:pStyle w:val="BodyText"/>
        <w:spacing w:before="3"/>
        <w:rPr>
          <w:sz w:val="18"/>
        </w:rPr>
      </w:pPr>
    </w:p>
    <w:p>
      <w:pPr>
        <w:spacing w:line="205" w:lineRule="exact" w:before="0"/>
        <w:ind w:left="412" w:right="0" w:firstLine="0"/>
        <w:jc w:val="both"/>
        <w:rPr>
          <w:b/>
          <w:sz w:val="18"/>
        </w:rPr>
      </w:pPr>
      <w:r>
        <w:rPr>
          <w:b/>
          <w:sz w:val="18"/>
        </w:rPr>
        <w:t>REFERENCES</w:t>
      </w:r>
    </w:p>
    <w:p>
      <w:pPr>
        <w:pStyle w:val="ListParagraph"/>
        <w:numPr>
          <w:ilvl w:val="0"/>
          <w:numId w:val="28"/>
        </w:numPr>
        <w:tabs>
          <w:tab w:pos="696" w:val="left" w:leader="none"/>
          <w:tab w:pos="697" w:val="left" w:leader="none"/>
        </w:tabs>
        <w:spacing w:line="240" w:lineRule="auto" w:before="0" w:after="0"/>
        <w:ind w:left="696" w:right="679" w:hanging="284"/>
        <w:jc w:val="left"/>
        <w:rPr>
          <w:sz w:val="18"/>
        </w:rPr>
      </w:pPr>
      <w:r>
        <w:rPr>
          <w:sz w:val="18"/>
        </w:rPr>
        <w:t>Ramírez Cavassa, Cesar, Ergonomía y Productividad, First Edition, México, Limusa, 1997, ISBN</w:t>
      </w:r>
      <w:r>
        <w:rPr>
          <w:spacing w:val="-9"/>
          <w:sz w:val="18"/>
        </w:rPr>
        <w:t> </w:t>
      </w:r>
      <w:r>
        <w:rPr>
          <w:sz w:val="18"/>
        </w:rPr>
        <w:t>968-18-37973.</w:t>
      </w:r>
    </w:p>
    <w:p>
      <w:pPr>
        <w:pStyle w:val="ListParagraph"/>
        <w:numPr>
          <w:ilvl w:val="0"/>
          <w:numId w:val="4"/>
        </w:numPr>
        <w:tabs>
          <w:tab w:pos="413" w:val="left" w:leader="none"/>
        </w:tabs>
        <w:spacing w:line="240" w:lineRule="auto" w:before="1" w:after="0"/>
        <w:ind w:left="554" w:right="679" w:hanging="284"/>
        <w:jc w:val="both"/>
        <w:rPr>
          <w:sz w:val="18"/>
        </w:rPr>
      </w:pPr>
      <w:r>
        <w:rPr>
          <w:sz w:val="18"/>
        </w:rPr>
        <w:t>Móndelo Pedro R. Ergonomía II Confort y Estrés Térmico, Primera Edición México, Alfaomega, 2001, 209 paginas, ISBN 970-15- 0296-5.</w:t>
      </w:r>
    </w:p>
    <w:p>
      <w:pPr>
        <w:pStyle w:val="ListParagraph"/>
        <w:numPr>
          <w:ilvl w:val="0"/>
          <w:numId w:val="4"/>
        </w:numPr>
        <w:tabs>
          <w:tab w:pos="413" w:val="left" w:leader="none"/>
        </w:tabs>
        <w:spacing w:line="240" w:lineRule="auto" w:before="0" w:after="0"/>
        <w:ind w:left="554" w:right="678" w:hanging="284"/>
        <w:jc w:val="both"/>
        <w:rPr>
          <w:sz w:val="18"/>
        </w:rPr>
      </w:pPr>
      <w:r>
        <w:rPr>
          <w:sz w:val="18"/>
        </w:rPr>
        <w:t>Konz, Steban, Diseño de Sistemas de Trabajo, primera Edición, México Limusa, 1990, 673 paginas, ISBN</w:t>
      </w:r>
      <w:r>
        <w:rPr>
          <w:spacing w:val="-7"/>
          <w:sz w:val="18"/>
        </w:rPr>
        <w:t> </w:t>
      </w:r>
      <w:r>
        <w:rPr>
          <w:sz w:val="18"/>
        </w:rPr>
        <w:t>968-18-1653-6.</w:t>
      </w:r>
    </w:p>
    <w:p>
      <w:pPr>
        <w:pStyle w:val="ListParagraph"/>
        <w:numPr>
          <w:ilvl w:val="0"/>
          <w:numId w:val="4"/>
        </w:numPr>
        <w:tabs>
          <w:tab w:pos="413" w:val="left" w:leader="none"/>
        </w:tabs>
        <w:spacing w:line="240" w:lineRule="auto" w:before="1" w:after="0"/>
        <w:ind w:left="554" w:right="677" w:hanging="284"/>
        <w:jc w:val="both"/>
        <w:rPr>
          <w:sz w:val="18"/>
        </w:rPr>
      </w:pPr>
      <w:r>
        <w:rPr>
          <w:sz w:val="18"/>
        </w:rPr>
        <w:t>Creus Solé Antonio, Seguridad e Higiene en el trabajo-Unefoque Integral Buenos Aires, Alfaomega, 2011, 587 paginas, ISBN 978-987-1609-12-2.</w:t>
      </w:r>
    </w:p>
    <w:p>
      <w:pPr>
        <w:pStyle w:val="ListParagraph"/>
        <w:numPr>
          <w:ilvl w:val="0"/>
          <w:numId w:val="4"/>
        </w:numPr>
        <w:tabs>
          <w:tab w:pos="413" w:val="left" w:leader="none"/>
        </w:tabs>
        <w:spacing w:line="240" w:lineRule="auto" w:before="0" w:after="0"/>
        <w:ind w:left="554" w:right="678" w:hanging="284"/>
        <w:jc w:val="both"/>
        <w:rPr>
          <w:sz w:val="18"/>
        </w:rPr>
      </w:pPr>
      <w:r>
        <w:rPr>
          <w:sz w:val="18"/>
        </w:rPr>
        <w:t>Tamayo y Tamayo, El Proceso de la Investigación Científica, Segunda Edición, México, Limusa 1993, 161 páginas, ISBN 968- 18-2281-1.</w:t>
      </w:r>
    </w:p>
    <w:p>
      <w:pPr>
        <w:pStyle w:val="ListParagraph"/>
        <w:numPr>
          <w:ilvl w:val="0"/>
          <w:numId w:val="4"/>
        </w:numPr>
        <w:tabs>
          <w:tab w:pos="413" w:val="left" w:leader="none"/>
        </w:tabs>
        <w:spacing w:line="240" w:lineRule="auto" w:before="0" w:after="0"/>
        <w:ind w:left="554" w:right="679" w:hanging="284"/>
        <w:jc w:val="both"/>
        <w:rPr>
          <w:sz w:val="18"/>
        </w:rPr>
      </w:pPr>
      <w:r>
        <w:rPr>
          <w:sz w:val="18"/>
        </w:rPr>
        <w:t>Oborne, David J., Ergonomía en Acción, Segunda Edición México, Trillas, 1999, ISBN</w:t>
      </w:r>
      <w:r>
        <w:rPr>
          <w:spacing w:val="-3"/>
          <w:sz w:val="18"/>
        </w:rPr>
        <w:t> </w:t>
      </w:r>
      <w:r>
        <w:rPr>
          <w:sz w:val="18"/>
        </w:rPr>
        <w:t>968-24-3806-3.</w:t>
      </w:r>
    </w:p>
    <w:p>
      <w:pPr>
        <w:pStyle w:val="ListParagraph"/>
        <w:numPr>
          <w:ilvl w:val="0"/>
          <w:numId w:val="4"/>
        </w:numPr>
        <w:tabs>
          <w:tab w:pos="413" w:val="left" w:leader="none"/>
        </w:tabs>
        <w:spacing w:line="240" w:lineRule="auto" w:before="0" w:after="0"/>
        <w:ind w:left="554" w:right="679" w:hanging="284"/>
        <w:jc w:val="both"/>
        <w:rPr>
          <w:sz w:val="18"/>
        </w:rPr>
      </w:pPr>
      <w:r>
        <w:rPr>
          <w:sz w:val="18"/>
        </w:rPr>
        <w:t>Hernández Sampieri, Roberto, Metodología de la Investigación, primera Edición, México DF, MC Graw Hill, 1996, 505 páginas, ISBN</w:t>
      </w:r>
      <w:r>
        <w:rPr>
          <w:spacing w:val="-16"/>
          <w:sz w:val="18"/>
        </w:rPr>
        <w:t> </w:t>
      </w:r>
      <w:r>
        <w:rPr>
          <w:sz w:val="18"/>
        </w:rPr>
        <w:t>968422-931-3.</w:t>
      </w:r>
    </w:p>
    <w:p>
      <w:pPr>
        <w:pStyle w:val="ListParagraph"/>
        <w:numPr>
          <w:ilvl w:val="0"/>
          <w:numId w:val="4"/>
        </w:numPr>
        <w:tabs>
          <w:tab w:pos="413" w:val="left" w:leader="none"/>
        </w:tabs>
        <w:spacing w:line="240" w:lineRule="auto" w:before="0" w:after="0"/>
        <w:ind w:left="554" w:right="678" w:hanging="284"/>
        <w:jc w:val="both"/>
        <w:rPr>
          <w:sz w:val="18"/>
        </w:rPr>
      </w:pPr>
      <w:r>
        <w:rPr>
          <w:sz w:val="18"/>
        </w:rPr>
        <w:t>González González, Carlos, ISO 9000 QS 9000 y 14000, Primera Edición, México, MC Graw Hill, 1999, 574 páginas, ISBN 970- 10-2399-4.</w:t>
      </w:r>
    </w:p>
    <w:p>
      <w:pPr>
        <w:pStyle w:val="ListParagraph"/>
        <w:numPr>
          <w:ilvl w:val="0"/>
          <w:numId w:val="4"/>
        </w:numPr>
        <w:tabs>
          <w:tab w:pos="413" w:val="left" w:leader="none"/>
        </w:tabs>
        <w:spacing w:line="240" w:lineRule="auto" w:before="0" w:after="0"/>
        <w:ind w:left="554" w:right="678" w:hanging="284"/>
        <w:jc w:val="both"/>
        <w:rPr>
          <w:sz w:val="18"/>
        </w:rPr>
      </w:pPr>
      <w:r>
        <w:rPr>
          <w:sz w:val="18"/>
        </w:rPr>
        <w:t>Guerra Frías Miroslava, Manual de Publicaciones de la American Psychological Association, tercera Edición México, manual moderno, 2010, 260 páginas, ISBN</w:t>
      </w:r>
      <w:r>
        <w:rPr>
          <w:spacing w:val="-5"/>
          <w:sz w:val="18"/>
        </w:rPr>
        <w:t> </w:t>
      </w:r>
      <w:r>
        <w:rPr>
          <w:sz w:val="18"/>
        </w:rPr>
        <w:t>968-607448-052-8.</w:t>
      </w:r>
    </w:p>
    <w:p>
      <w:pPr>
        <w:pStyle w:val="ListParagraph"/>
        <w:numPr>
          <w:ilvl w:val="0"/>
          <w:numId w:val="4"/>
        </w:numPr>
        <w:tabs>
          <w:tab w:pos="413" w:val="left" w:leader="none"/>
        </w:tabs>
        <w:spacing w:line="220" w:lineRule="exact" w:before="1" w:after="0"/>
        <w:ind w:left="412" w:right="0" w:hanging="142"/>
        <w:jc w:val="left"/>
        <w:rPr>
          <w:sz w:val="18"/>
        </w:rPr>
      </w:pPr>
      <w:r>
        <w:rPr>
          <w:sz w:val="18"/>
        </w:rPr>
        <w:t>Aprendiendo a construir la arquitectura, 199-208</w:t>
      </w:r>
      <w:r>
        <w:rPr>
          <w:spacing w:val="-7"/>
          <w:sz w:val="18"/>
        </w:rPr>
        <w:t> </w:t>
      </w:r>
      <w:r>
        <w:rPr>
          <w:sz w:val="18"/>
        </w:rPr>
        <w:t>páginas.</w:t>
      </w:r>
    </w:p>
    <w:p>
      <w:pPr>
        <w:pStyle w:val="ListParagraph"/>
        <w:numPr>
          <w:ilvl w:val="0"/>
          <w:numId w:val="4"/>
        </w:numPr>
        <w:tabs>
          <w:tab w:pos="413" w:val="left" w:leader="none"/>
        </w:tabs>
        <w:spacing w:line="220" w:lineRule="exact" w:before="0" w:after="0"/>
        <w:ind w:left="412" w:right="0" w:hanging="142"/>
        <w:jc w:val="left"/>
        <w:rPr>
          <w:sz w:val="18"/>
        </w:rPr>
      </w:pPr>
      <w:r>
        <w:rPr>
          <w:sz w:val="18"/>
        </w:rPr>
        <w:t>Descalzo, Manual del arquitecto, Cap. 1</w:t>
      </w:r>
      <w:r>
        <w:rPr>
          <w:spacing w:val="-8"/>
          <w:sz w:val="18"/>
        </w:rPr>
        <w:t> </w:t>
      </w:r>
      <w:r>
        <w:rPr>
          <w:sz w:val="18"/>
        </w:rPr>
        <w:t>Diseño.</w:t>
      </w:r>
    </w:p>
    <w:p>
      <w:pPr>
        <w:spacing w:after="0" w:line="220" w:lineRule="exact"/>
        <w:jc w:val="left"/>
        <w:rPr>
          <w:sz w:val="18"/>
        </w:rPr>
        <w:sectPr>
          <w:type w:val="continuous"/>
          <w:pgSz w:w="12240" w:h="15840"/>
          <w:pgMar w:top="1500" w:bottom="280" w:left="580" w:right="220"/>
          <w:cols w:num="2" w:equalWidth="0">
            <w:col w:w="5164" w:space="293"/>
            <w:col w:w="5983"/>
          </w:cols>
        </w:sectPr>
      </w:pPr>
    </w:p>
    <w:p>
      <w:pPr>
        <w:pStyle w:val="BodyText"/>
        <w:spacing w:before="10"/>
        <w:rPr>
          <w:sz w:val="11"/>
        </w:rPr>
      </w:pPr>
    </w:p>
    <w:p>
      <w:pPr>
        <w:pStyle w:val="ListParagraph"/>
        <w:numPr>
          <w:ilvl w:val="0"/>
          <w:numId w:val="29"/>
        </w:numPr>
        <w:tabs>
          <w:tab w:pos="271" w:val="left" w:leader="none"/>
        </w:tabs>
        <w:spacing w:line="240" w:lineRule="auto" w:before="67" w:after="0"/>
        <w:ind w:left="412" w:right="6277" w:hanging="283"/>
        <w:jc w:val="both"/>
        <w:rPr>
          <w:rFonts w:ascii="Symbol" w:hAnsi="Symbol"/>
          <w:sz w:val="18"/>
        </w:rPr>
      </w:pPr>
      <w:r>
        <w:rPr>
          <w:sz w:val="18"/>
        </w:rPr>
        <w:t>Niebel Benjamín W., Ingeniería Industrial, Métodos, Estándares y Diseño del Trabajo, Duodécima Edición México, Mc Graw Hill, 2009, 586 páginas, ISBN</w:t>
      </w:r>
      <w:r>
        <w:rPr>
          <w:spacing w:val="-5"/>
          <w:sz w:val="18"/>
        </w:rPr>
        <w:t> </w:t>
      </w:r>
      <w:r>
        <w:rPr>
          <w:sz w:val="18"/>
        </w:rPr>
        <w:t>978-970-10-6962-2.</w:t>
      </w:r>
    </w:p>
    <w:p>
      <w:pPr>
        <w:spacing w:after="0" w:line="240" w:lineRule="auto"/>
        <w:jc w:val="both"/>
        <w:rPr>
          <w:rFonts w:ascii="Symbol" w:hAnsi="Symbol"/>
          <w:sz w:val="18"/>
        </w:rPr>
        <w:sectPr>
          <w:pgSz w:w="12240" w:h="15840"/>
          <w:pgMar w:header="545" w:footer="852" w:top="1060" w:bottom="1040" w:left="580" w:right="220"/>
        </w:sectPr>
      </w:pPr>
    </w:p>
    <w:p>
      <w:pPr>
        <w:pStyle w:val="BodyText"/>
        <w:rPr>
          <w:sz w:val="11"/>
        </w:rPr>
      </w:pPr>
    </w:p>
    <w:p>
      <w:pPr>
        <w:spacing w:after="0"/>
        <w:rPr>
          <w:sz w:val="11"/>
        </w:rPr>
        <w:sectPr>
          <w:pgSz w:w="12240" w:h="15840"/>
          <w:pgMar w:header="545" w:footer="852" w:top="1060" w:bottom="1040" w:left="580" w:right="220"/>
        </w:sectPr>
      </w:pPr>
    </w:p>
    <w:p>
      <w:pPr>
        <w:pStyle w:val="BodyText"/>
        <w:spacing w:before="11"/>
        <w:rPr>
          <w:sz w:val="24"/>
        </w:rPr>
      </w:pPr>
    </w:p>
    <w:p>
      <w:pPr>
        <w:pStyle w:val="Heading1"/>
        <w:ind w:left="326" w:right="58" w:firstLine="2"/>
        <w:jc w:val="center"/>
      </w:pPr>
      <w:r>
        <w:rPr/>
        <w:t>Hierarchical task analysis and mental workload assessment in a clinical analysis laboratory of a Private Hospital in Juárez City</w:t>
      </w:r>
    </w:p>
    <w:p>
      <w:pPr>
        <w:spacing w:line="211" w:lineRule="auto" w:before="200"/>
        <w:ind w:left="270" w:right="1" w:firstLine="0"/>
        <w:jc w:val="both"/>
        <w:rPr>
          <w:i/>
          <w:sz w:val="18"/>
        </w:rPr>
      </w:pPr>
      <w:r>
        <w:rPr>
          <w:i/>
          <w:sz w:val="18"/>
        </w:rPr>
        <w:t>Pamela Bustamante Sáenz</w:t>
      </w:r>
      <w:r>
        <w:rPr>
          <w:i/>
          <w:position w:val="8"/>
          <w:sz w:val="12"/>
        </w:rPr>
        <w:t>a</w:t>
      </w:r>
      <w:r>
        <w:rPr>
          <w:i/>
          <w:sz w:val="18"/>
        </w:rPr>
        <w:t>., Natalia López Hernández</w:t>
      </w:r>
      <w:r>
        <w:rPr>
          <w:i/>
          <w:position w:val="8"/>
          <w:sz w:val="12"/>
        </w:rPr>
        <w:t>b</w:t>
      </w:r>
      <w:r>
        <w:rPr>
          <w:i/>
          <w:sz w:val="18"/>
        </w:rPr>
        <w:t>, Aidé </w:t>
      </w:r>
      <w:r>
        <w:rPr>
          <w:i/>
          <w:sz w:val="18"/>
        </w:rPr>
        <w:t>Maldonado Macías</w:t>
      </w:r>
      <w:r>
        <w:rPr>
          <w:i/>
          <w:position w:val="8"/>
          <w:sz w:val="12"/>
        </w:rPr>
        <w:t>c</w:t>
      </w:r>
      <w:r>
        <w:rPr>
          <w:i/>
          <w:sz w:val="18"/>
        </w:rPr>
        <w:t>, Jorge Luis García Alcaraz</w:t>
      </w:r>
      <w:r>
        <w:rPr>
          <w:i/>
          <w:position w:val="8"/>
          <w:sz w:val="12"/>
        </w:rPr>
        <w:t>d</w:t>
      </w:r>
      <w:r>
        <w:rPr>
          <w:i/>
          <w:sz w:val="18"/>
        </w:rPr>
        <w:t>, Juan Luis Hernández</w:t>
      </w:r>
      <w:r>
        <w:rPr>
          <w:i/>
          <w:position w:val="8"/>
          <w:sz w:val="12"/>
        </w:rPr>
        <w:t>e</w:t>
      </w:r>
      <w:r>
        <w:rPr>
          <w:i/>
          <w:sz w:val="18"/>
        </w:rPr>
        <w:t>.</w:t>
      </w:r>
    </w:p>
    <w:p>
      <w:pPr>
        <w:pStyle w:val="BodyText"/>
        <w:spacing w:before="3"/>
        <w:rPr>
          <w:i/>
          <w:sz w:val="16"/>
        </w:rPr>
      </w:pPr>
    </w:p>
    <w:p>
      <w:pPr>
        <w:spacing w:before="0"/>
        <w:ind w:left="334" w:right="61" w:firstLine="0"/>
        <w:jc w:val="center"/>
        <w:rPr>
          <w:sz w:val="18"/>
        </w:rPr>
      </w:pPr>
      <w:r>
        <w:rPr>
          <w:position w:val="8"/>
          <w:sz w:val="12"/>
        </w:rPr>
        <w:t>a,b,c,d,e </w:t>
      </w:r>
      <w:r>
        <w:rPr>
          <w:sz w:val="18"/>
        </w:rPr>
        <w:t>Department of Industrial and Manufacturing Engineering Autonomous University of Ciudad Juárez</w:t>
      </w:r>
    </w:p>
    <w:p>
      <w:pPr>
        <w:spacing w:before="0"/>
        <w:ind w:left="1305" w:right="1036" w:firstLine="0"/>
        <w:jc w:val="center"/>
        <w:rPr>
          <w:sz w:val="18"/>
        </w:rPr>
      </w:pPr>
      <w:r>
        <w:rPr>
          <w:sz w:val="18"/>
        </w:rPr>
        <w:t>Ave. del Charro 450 Norte, C.P. 32310 Cd. Juárez, Chihuahua, México</w:t>
      </w:r>
    </w:p>
    <w:p>
      <w:pPr>
        <w:spacing w:line="211" w:lineRule="auto" w:before="0"/>
        <w:ind w:left="334" w:right="64" w:firstLine="0"/>
        <w:jc w:val="center"/>
        <w:rPr>
          <w:sz w:val="12"/>
        </w:rPr>
      </w:pPr>
      <w:hyperlink r:id="rId103">
        <w:r>
          <w:rPr>
            <w:sz w:val="18"/>
          </w:rPr>
          <w:t>e-mail: 135611@alumnos.uacj.mx</w:t>
        </w:r>
        <w:r>
          <w:rPr>
            <w:position w:val="8"/>
            <w:sz w:val="12"/>
          </w:rPr>
          <w:t>a</w:t>
        </w:r>
        <w:r>
          <w:rPr>
            <w:sz w:val="18"/>
          </w:rPr>
          <w:t>,</w:t>
        </w:r>
      </w:hyperlink>
      <w:r>
        <w:rPr>
          <w:sz w:val="18"/>
        </w:rPr>
        <w:t> </w:t>
      </w:r>
      <w:hyperlink r:id="rId104">
        <w:r>
          <w:rPr>
            <w:sz w:val="18"/>
          </w:rPr>
          <w:t>135620@alumnos.uacj.mx</w:t>
        </w:r>
        <w:r>
          <w:rPr>
            <w:position w:val="8"/>
            <w:sz w:val="12"/>
          </w:rPr>
          <w:t>b</w:t>
        </w:r>
        <w:r>
          <w:rPr>
            <w:sz w:val="18"/>
          </w:rPr>
          <w:t>,</w:t>
        </w:r>
      </w:hyperlink>
      <w:r>
        <w:rPr>
          <w:sz w:val="18"/>
        </w:rPr>
        <w:t> </w:t>
      </w:r>
      <w:hyperlink r:id="rId105">
        <w:r>
          <w:rPr>
            <w:sz w:val="18"/>
          </w:rPr>
          <w:t>amaldona@uacj.mx</w:t>
        </w:r>
        <w:r>
          <w:rPr>
            <w:position w:val="8"/>
            <w:sz w:val="12"/>
          </w:rPr>
          <w:t>c</w:t>
        </w:r>
        <w:r>
          <w:rPr>
            <w:sz w:val="18"/>
          </w:rPr>
          <w:t>,</w:t>
        </w:r>
      </w:hyperlink>
      <w:r>
        <w:rPr>
          <w:sz w:val="18"/>
        </w:rPr>
        <w:t> </w:t>
      </w:r>
      <w:hyperlink r:id="rId106">
        <w:r>
          <w:rPr>
            <w:sz w:val="18"/>
          </w:rPr>
          <w:t>jorge.garcia@alumnos.uacj.mx</w:t>
        </w:r>
        <w:r>
          <w:rPr>
            <w:position w:val="8"/>
            <w:sz w:val="12"/>
          </w:rPr>
          <w:t>d</w:t>
        </w:r>
        <w:r>
          <w:rPr>
            <w:sz w:val="18"/>
          </w:rPr>
          <w:t>,</w:t>
        </w:r>
      </w:hyperlink>
      <w:r>
        <w:rPr>
          <w:sz w:val="18"/>
        </w:rPr>
        <w:t> </w:t>
      </w:r>
      <w:hyperlink r:id="rId107">
        <w:r>
          <w:rPr>
            <w:sz w:val="18"/>
          </w:rPr>
          <w:t>luis.hernandez@alumnos.uacj.mx</w:t>
        </w:r>
        <w:r>
          <w:rPr>
            <w:position w:val="8"/>
            <w:sz w:val="12"/>
          </w:rPr>
          <w:t>e</w:t>
        </w:r>
      </w:hyperlink>
    </w:p>
    <w:p>
      <w:pPr>
        <w:pStyle w:val="BodyText"/>
        <w:spacing w:before="9"/>
        <w:rPr>
          <w:sz w:val="18"/>
        </w:rPr>
      </w:pPr>
    </w:p>
    <w:p>
      <w:pPr>
        <w:spacing w:before="0"/>
        <w:ind w:left="270" w:right="0" w:firstLine="0"/>
        <w:jc w:val="both"/>
        <w:rPr>
          <w:b/>
          <w:sz w:val="18"/>
        </w:rPr>
      </w:pPr>
      <w:r>
        <w:rPr/>
        <w:pict>
          <v:line style="position:absolute;mso-position-horizontal-relative:page;mso-position-vertical-relative:paragraph;z-index:3568" from="41.040001pt,12.152968pt" to="288.540001pt,12.152968pt" stroked="true" strokeweight="1.5pt" strokecolor="#000000">
            <w10:wrap type="none"/>
          </v:line>
        </w:pict>
      </w:r>
      <w:r>
        <w:rPr>
          <w:b/>
          <w:sz w:val="18"/>
        </w:rPr>
        <w:t>Resumen</w:t>
      </w:r>
    </w:p>
    <w:p>
      <w:pPr>
        <w:spacing w:before="46"/>
        <w:ind w:left="270" w:right="0" w:firstLine="0"/>
        <w:jc w:val="both"/>
        <w:rPr>
          <w:sz w:val="18"/>
        </w:rPr>
      </w:pPr>
      <w:r>
        <w:rPr>
          <w:sz w:val="18"/>
        </w:rPr>
        <w:t>El interés por la evaluación de la carga mental de trabajo es relativamente reciente si lo comparamos con el análisis de la carga física. El desarrollo tecnológico ha llevado un aumento en el número de puestos de trabajo que demandan una mayor proporción de habilidades cognitivas que físicas. En este caso de estudio, el personal encargado de la fase pre-analítica de un laboratorio de análisis clínico realiza tareas múltiples que consisten en la atención inicial al paciente que consiste en recibir, solicitar y capturar información del mismo para dar paso a la toma de muestra correspondiente al tipo de estudio; así como también dar información, atender el teléfono, recibir pagos, entre otras. En el laboratorio se pueden llegar a atender alrededor de 120 pacientes por día de los cuales un 60% se atiende durante las primeras 3  horas de operación del laboratorio. El personal ha manifestado experimentar una sobre carga de trabajo dado que las tareas a realizar deben cumplirse en cortos periodos de tiempo, además de llevar a cabo actividades que no corresponden a su puesto afectando su desempeño en el trabajo. El siguiente artículo presenta un caso de estudio descriptivo donde se analizaron las tareas que realizan recepcionistas en la fase pre-analítica en un laboratorio de análisis</w:t>
      </w:r>
      <w:r>
        <w:rPr>
          <w:spacing w:val="-4"/>
          <w:sz w:val="18"/>
        </w:rPr>
        <w:t> </w:t>
      </w:r>
      <w:r>
        <w:rPr>
          <w:sz w:val="18"/>
        </w:rPr>
        <w:t>clínico.</w:t>
      </w:r>
    </w:p>
    <w:p>
      <w:pPr>
        <w:pStyle w:val="BodyText"/>
        <w:rPr>
          <w:sz w:val="18"/>
        </w:rPr>
      </w:pPr>
    </w:p>
    <w:p>
      <w:pPr>
        <w:spacing w:before="0"/>
        <w:ind w:left="270" w:right="1" w:firstLine="0"/>
        <w:jc w:val="both"/>
        <w:rPr>
          <w:sz w:val="18"/>
        </w:rPr>
      </w:pPr>
      <w:r>
        <w:rPr>
          <w:b/>
          <w:sz w:val="18"/>
        </w:rPr>
        <w:t>Palabras clave</w:t>
      </w:r>
      <w:r>
        <w:rPr>
          <w:sz w:val="18"/>
        </w:rPr>
        <w:t>—Análisis Jerárquico de Tareas, Carga Mental de Trabajo, NASA-TLX.</w:t>
      </w:r>
    </w:p>
    <w:p>
      <w:pPr>
        <w:pStyle w:val="BodyText"/>
        <w:spacing w:before="6"/>
        <w:rPr>
          <w:sz w:val="18"/>
        </w:rPr>
      </w:pPr>
    </w:p>
    <w:p>
      <w:pPr>
        <w:spacing w:before="0"/>
        <w:ind w:left="270" w:right="0" w:firstLine="0"/>
        <w:jc w:val="both"/>
        <w:rPr>
          <w:b/>
          <w:i/>
          <w:sz w:val="18"/>
        </w:rPr>
      </w:pPr>
      <w:r>
        <w:rPr/>
        <w:pict>
          <v:line style="position:absolute;mso-position-horizontal-relative:page;mso-position-vertical-relative:paragraph;z-index:3592" from="41.040001pt,12.03145pt" to="288.540001pt,12.03145pt" stroked="true" strokeweight="1.5pt" strokecolor="#000000">
            <w10:wrap type="none"/>
          </v:line>
        </w:pict>
      </w:r>
      <w:r>
        <w:rPr>
          <w:b/>
          <w:i/>
          <w:sz w:val="18"/>
        </w:rPr>
        <w:t>Abstract</w:t>
      </w:r>
    </w:p>
    <w:p>
      <w:pPr>
        <w:spacing w:before="43"/>
        <w:ind w:left="270" w:right="0" w:firstLine="0"/>
        <w:jc w:val="both"/>
        <w:rPr>
          <w:sz w:val="18"/>
        </w:rPr>
      </w:pPr>
      <w:r>
        <w:rPr>
          <w:sz w:val="18"/>
        </w:rPr>
        <w:t>The interest in the evaluation of mental workload is relatively recent when compared with the analysis of the physical load. Due  to technological development has been an increase in the number of jobs that demand a higher proportion of physical cognitive skills. The staff responsible for the pre-analytical phase of clinical diagnostic laboratory performs multitasking consisting of initial care of patients, they receive, analyze and capture information from them, obtaining the sample for the correspondent type of study; as well as provide information, answer the phone, receive payments, among others. In the laboratory can reach cover about 120 patients per day of which about 60% are managed during the first 3 hours of operation of the laboratory. The staff have experienced work overload because the tasks must be met in short periods of time, in addition to carrying out activities that do not correspond to his post affecting their performance at work. The following article presents a case of descriptive study receptionists tasks performed in the pre- analytical phase in a clinical analysis laboratory were</w:t>
      </w:r>
      <w:r>
        <w:rPr>
          <w:spacing w:val="-24"/>
          <w:sz w:val="18"/>
        </w:rPr>
        <w:t> </w:t>
      </w:r>
      <w:r>
        <w:rPr>
          <w:sz w:val="18"/>
        </w:rPr>
        <w:t>analyzed.</w:t>
      </w:r>
    </w:p>
    <w:p>
      <w:pPr>
        <w:spacing w:before="77"/>
        <w:ind w:left="270" w:right="680" w:firstLine="0"/>
        <w:jc w:val="both"/>
        <w:rPr>
          <w:sz w:val="18"/>
        </w:rPr>
      </w:pPr>
      <w:r>
        <w:rPr/>
        <w:br w:type="column"/>
      </w:r>
      <w:r>
        <w:rPr>
          <w:b/>
          <w:i/>
          <w:sz w:val="18"/>
        </w:rPr>
        <w:t>Keywords</w:t>
      </w:r>
      <w:r>
        <w:rPr>
          <w:i/>
          <w:sz w:val="18"/>
        </w:rPr>
        <w:t>— </w:t>
      </w:r>
      <w:r>
        <w:rPr>
          <w:sz w:val="18"/>
        </w:rPr>
        <w:t>Hierarchical Task Analysis, mental workload, NASA- TLX</w:t>
      </w:r>
    </w:p>
    <w:p>
      <w:pPr>
        <w:pStyle w:val="BodyText"/>
        <w:rPr>
          <w:sz w:val="18"/>
        </w:rPr>
      </w:pPr>
    </w:p>
    <w:p>
      <w:pPr>
        <w:spacing w:before="0"/>
        <w:ind w:left="270" w:right="0" w:firstLine="0"/>
        <w:jc w:val="both"/>
        <w:rPr>
          <w:sz w:val="18"/>
        </w:rPr>
      </w:pPr>
      <w:r>
        <w:rPr>
          <w:sz w:val="18"/>
        </w:rPr>
        <w:t>Relevance to Ergonomics:</w:t>
      </w:r>
    </w:p>
    <w:p>
      <w:pPr>
        <w:spacing w:before="0"/>
        <w:ind w:left="270" w:right="677" w:firstLine="0"/>
        <w:jc w:val="both"/>
        <w:rPr>
          <w:sz w:val="18"/>
        </w:rPr>
      </w:pPr>
      <w:r>
        <w:rPr>
          <w:sz w:val="18"/>
        </w:rPr>
        <w:t>Research in the health sector indicates that the main occupational risks to which workers are exposed are related to biological, chemical, physical, and psychosocial risk factors such as mental workload. there are few published studies that yield an approximation to the relative importance of risk factors to support decision-making related to mental workload derived from the organization of work in this sector demands, so this study is a contribution to give more knowledge to the subject and allow to set priorities on which should start acting to identify and recommend strategies.</w:t>
      </w:r>
    </w:p>
    <w:p>
      <w:pPr>
        <w:pStyle w:val="BodyText"/>
        <w:spacing w:before="3"/>
        <w:rPr>
          <w:sz w:val="18"/>
        </w:rPr>
      </w:pPr>
    </w:p>
    <w:p>
      <w:pPr>
        <w:pStyle w:val="ListParagraph"/>
        <w:numPr>
          <w:ilvl w:val="0"/>
          <w:numId w:val="30"/>
        </w:numPr>
        <w:tabs>
          <w:tab w:pos="452" w:val="left" w:leader="none"/>
        </w:tabs>
        <w:spacing w:line="240" w:lineRule="auto" w:before="0" w:after="0"/>
        <w:ind w:left="451" w:right="0" w:hanging="181"/>
        <w:jc w:val="both"/>
        <w:rPr>
          <w:b/>
          <w:sz w:val="18"/>
        </w:rPr>
      </w:pPr>
      <w:r>
        <w:rPr>
          <w:b/>
          <w:sz w:val="18"/>
        </w:rPr>
        <w:t>INTRODUCTION</w:t>
      </w:r>
    </w:p>
    <w:p>
      <w:pPr>
        <w:pStyle w:val="BodyText"/>
        <w:spacing w:before="7"/>
        <w:rPr>
          <w:b/>
          <w:sz w:val="17"/>
        </w:rPr>
      </w:pPr>
    </w:p>
    <w:p>
      <w:pPr>
        <w:spacing w:before="1"/>
        <w:ind w:left="270" w:right="677" w:firstLine="0"/>
        <w:jc w:val="both"/>
        <w:rPr>
          <w:sz w:val="18"/>
        </w:rPr>
      </w:pPr>
      <w:r>
        <w:rPr>
          <w:sz w:val="18"/>
        </w:rPr>
        <w:t>In recent years, applied research has shown great interest in the concept of mental workload: How busy is the worker? How complex the task? Is it possible to perform additional tasks while holding his current task? Respond to certain stimulus? How feel the staff when performing their tasks? Mental workload is defined as the difference between the cognitive demands of a job or task and the attention capacity of the worker [1, 2]</w:t>
      </w:r>
    </w:p>
    <w:p>
      <w:pPr>
        <w:spacing w:before="0"/>
        <w:ind w:left="270" w:right="676" w:firstLine="0"/>
        <w:jc w:val="both"/>
        <w:rPr>
          <w:sz w:val="18"/>
        </w:rPr>
      </w:pPr>
      <w:r>
        <w:rPr>
          <w:sz w:val="18"/>
        </w:rPr>
        <w:t>Mental workload deals with how all cognitive resources that an individual needs to perform a task. When work demands exceed individuals’ capacity it can cause a decrease in performance, increasing the chances of errors. In relation with the context explained in this paper, Romero et al. [3] inform that these errors are common to find in mainly in the pre-analytical phase  of  clinical laboratory analyses because the amount of information to be processed as well as the variability of the tasks and the time available. This paper presents the analysis of the activities undertaken by the staff of a clinical analysis laboratory as well as analysis of mental workload generated to perform</w:t>
      </w:r>
      <w:r>
        <w:rPr>
          <w:spacing w:val="-17"/>
          <w:sz w:val="18"/>
        </w:rPr>
        <w:t> </w:t>
      </w:r>
      <w:r>
        <w:rPr>
          <w:sz w:val="18"/>
        </w:rPr>
        <w:t>them.</w:t>
      </w:r>
    </w:p>
    <w:p>
      <w:pPr>
        <w:pStyle w:val="BodyText"/>
        <w:spacing w:before="3"/>
        <w:rPr>
          <w:sz w:val="18"/>
        </w:rPr>
      </w:pPr>
    </w:p>
    <w:p>
      <w:pPr>
        <w:pStyle w:val="ListParagraph"/>
        <w:numPr>
          <w:ilvl w:val="1"/>
          <w:numId w:val="30"/>
        </w:numPr>
        <w:tabs>
          <w:tab w:pos="542" w:val="left" w:leader="none"/>
        </w:tabs>
        <w:spacing w:line="240" w:lineRule="auto" w:before="0" w:after="0"/>
        <w:ind w:left="541" w:right="0" w:hanging="271"/>
        <w:jc w:val="both"/>
        <w:rPr>
          <w:b/>
          <w:sz w:val="18"/>
        </w:rPr>
      </w:pPr>
      <w:r>
        <w:rPr>
          <w:b/>
          <w:sz w:val="18"/>
        </w:rPr>
        <w:t>Problem</w:t>
      </w:r>
      <w:r>
        <w:rPr>
          <w:b/>
          <w:spacing w:val="-1"/>
          <w:sz w:val="18"/>
        </w:rPr>
        <w:t> </w:t>
      </w:r>
      <w:r>
        <w:rPr>
          <w:b/>
          <w:sz w:val="18"/>
        </w:rPr>
        <w:t>statement</w:t>
      </w:r>
    </w:p>
    <w:p>
      <w:pPr>
        <w:pStyle w:val="BodyText"/>
        <w:spacing w:before="7"/>
        <w:rPr>
          <w:b/>
          <w:sz w:val="17"/>
        </w:rPr>
      </w:pPr>
    </w:p>
    <w:p>
      <w:pPr>
        <w:spacing w:before="1"/>
        <w:ind w:left="270" w:right="677" w:firstLine="44"/>
        <w:jc w:val="both"/>
        <w:rPr>
          <w:sz w:val="18"/>
        </w:rPr>
      </w:pPr>
      <w:r>
        <w:rPr>
          <w:sz w:val="18"/>
        </w:rPr>
        <w:t>In this case study, tasks performed in a clinical laboratory were studied applying the hierarchical task analysis and the evaluation of mental workload during the pre-analytical phase. Plebani et al. [4,5], informs that several kind of problems and errors can be found during the pre-analytical and post- analytic process in clinical laboratories because of the variability in cognitive tasks that must be done in a very short period of time. At the beginning of this study, an interview with the supervisor of the laboratory  department was conducted, and the staff responsible for the pre- analytical phase of clinical diagnostic laboratory performs multitasking consisting of the initial attention of patients; they receive, analyze and capture information from them, also they must obtain the clinical sample correspondent to the type of study; as well as provide information, answer the phone, receive payments, among others. The laboratory cover the attention of about 120 patients per day of which about 60% are managed during the  first  3 hours of operation of the laboratory. The staff have experienced work overload because the tasks must be met in short periods of time, in addition of carrying out activities that do not correspond to their position affecting their performance at</w:t>
      </w:r>
      <w:r>
        <w:rPr>
          <w:spacing w:val="-14"/>
          <w:sz w:val="18"/>
        </w:rPr>
        <w:t> </w:t>
      </w:r>
      <w:r>
        <w:rPr>
          <w:sz w:val="18"/>
        </w:rPr>
        <w:t>work.</w:t>
      </w:r>
    </w:p>
    <w:p>
      <w:pPr>
        <w:pStyle w:val="BodyText"/>
        <w:spacing w:before="3"/>
        <w:rPr>
          <w:sz w:val="18"/>
        </w:rPr>
      </w:pPr>
    </w:p>
    <w:p>
      <w:pPr>
        <w:pStyle w:val="ListParagraph"/>
        <w:numPr>
          <w:ilvl w:val="1"/>
          <w:numId w:val="30"/>
        </w:numPr>
        <w:tabs>
          <w:tab w:pos="542" w:val="left" w:leader="none"/>
        </w:tabs>
        <w:spacing w:line="240" w:lineRule="auto" w:before="0" w:after="0"/>
        <w:ind w:left="541" w:right="0" w:hanging="271"/>
        <w:jc w:val="both"/>
        <w:rPr>
          <w:b/>
          <w:sz w:val="18"/>
        </w:rPr>
      </w:pPr>
      <w:r>
        <w:rPr>
          <w:b/>
          <w:sz w:val="18"/>
        </w:rPr>
        <w:t>Objectives</w:t>
      </w:r>
    </w:p>
    <w:p>
      <w:pPr>
        <w:pStyle w:val="BodyText"/>
        <w:spacing w:before="7"/>
        <w:rPr>
          <w:b/>
          <w:sz w:val="17"/>
        </w:rPr>
      </w:pPr>
    </w:p>
    <w:p>
      <w:pPr>
        <w:spacing w:before="1"/>
        <w:ind w:left="270" w:right="838" w:firstLine="0"/>
        <w:jc w:val="left"/>
        <w:rPr>
          <w:sz w:val="18"/>
        </w:rPr>
      </w:pPr>
      <w:r>
        <w:rPr>
          <w:sz w:val="18"/>
        </w:rPr>
        <w:t>The general objective, the specific objectives as well as the scope and delimitation of this research are as follow:</w:t>
      </w:r>
    </w:p>
    <w:p>
      <w:pPr>
        <w:spacing w:after="0"/>
        <w:jc w:val="left"/>
        <w:rPr>
          <w:sz w:val="18"/>
        </w:rPr>
        <w:sectPr>
          <w:type w:val="continuous"/>
          <w:pgSz w:w="12240" w:h="15840"/>
          <w:pgMar w:top="1500" w:bottom="280" w:left="580" w:right="220"/>
          <w:cols w:num="2" w:equalWidth="0">
            <w:col w:w="5164" w:space="434"/>
            <w:col w:w="5842"/>
          </w:cols>
        </w:sectPr>
      </w:pPr>
    </w:p>
    <w:p>
      <w:pPr>
        <w:pStyle w:val="BodyText"/>
        <w:rPr>
          <w:sz w:val="11"/>
        </w:rPr>
      </w:pPr>
    </w:p>
    <w:p>
      <w:pPr>
        <w:spacing w:after="0"/>
        <w:rPr>
          <w:sz w:val="11"/>
        </w:rPr>
        <w:sectPr>
          <w:pgSz w:w="12240" w:h="15840"/>
          <w:pgMar w:header="545" w:footer="852" w:top="1060" w:bottom="1040" w:left="580" w:right="220"/>
        </w:sectPr>
      </w:pPr>
    </w:p>
    <w:p>
      <w:pPr>
        <w:pStyle w:val="ListParagraph"/>
        <w:numPr>
          <w:ilvl w:val="2"/>
          <w:numId w:val="31"/>
        </w:numPr>
        <w:tabs>
          <w:tab w:pos="677" w:val="left" w:leader="none"/>
        </w:tabs>
        <w:spacing w:line="240" w:lineRule="auto" w:before="77" w:after="0"/>
        <w:ind w:left="676" w:right="0" w:hanging="406"/>
        <w:jc w:val="both"/>
        <w:rPr>
          <w:sz w:val="18"/>
        </w:rPr>
      </w:pPr>
      <w:r>
        <w:rPr>
          <w:sz w:val="18"/>
          <w:u w:val="single"/>
        </w:rPr>
        <w:t>General</w:t>
      </w:r>
      <w:r>
        <w:rPr>
          <w:spacing w:val="-5"/>
          <w:sz w:val="18"/>
          <w:u w:val="single"/>
        </w:rPr>
        <w:t> </w:t>
      </w:r>
      <w:r>
        <w:rPr>
          <w:sz w:val="18"/>
          <w:u w:val="single"/>
        </w:rPr>
        <w:t>Objective</w:t>
      </w:r>
    </w:p>
    <w:p>
      <w:pPr>
        <w:pStyle w:val="BodyText"/>
        <w:rPr>
          <w:sz w:val="18"/>
        </w:rPr>
      </w:pPr>
    </w:p>
    <w:p>
      <w:pPr>
        <w:spacing w:before="0"/>
        <w:ind w:left="270" w:right="77" w:firstLine="0"/>
        <w:jc w:val="left"/>
        <w:rPr>
          <w:sz w:val="18"/>
        </w:rPr>
      </w:pPr>
      <w:r>
        <w:rPr>
          <w:sz w:val="18"/>
        </w:rPr>
        <w:t>Hierarchical task analysis and mental workload assessment in a clinical laboratory of a Private Hospital in Juarez City</w:t>
      </w:r>
    </w:p>
    <w:p>
      <w:pPr>
        <w:pStyle w:val="BodyText"/>
        <w:rPr>
          <w:sz w:val="18"/>
        </w:rPr>
      </w:pPr>
    </w:p>
    <w:p>
      <w:pPr>
        <w:pStyle w:val="ListParagraph"/>
        <w:numPr>
          <w:ilvl w:val="2"/>
          <w:numId w:val="31"/>
        </w:numPr>
        <w:tabs>
          <w:tab w:pos="677" w:val="left" w:leader="none"/>
        </w:tabs>
        <w:spacing w:line="240" w:lineRule="auto" w:before="0" w:after="0"/>
        <w:ind w:left="676" w:right="0" w:hanging="406"/>
        <w:jc w:val="both"/>
        <w:rPr>
          <w:sz w:val="18"/>
        </w:rPr>
      </w:pPr>
      <w:r>
        <w:rPr>
          <w:sz w:val="18"/>
          <w:u w:val="single"/>
        </w:rPr>
        <w:t>Specific</w:t>
      </w:r>
      <w:r>
        <w:rPr>
          <w:spacing w:val="-4"/>
          <w:sz w:val="18"/>
          <w:u w:val="single"/>
        </w:rPr>
        <w:t> </w:t>
      </w:r>
      <w:r>
        <w:rPr>
          <w:sz w:val="18"/>
          <w:u w:val="single"/>
        </w:rPr>
        <w:t>Objectives</w:t>
      </w:r>
    </w:p>
    <w:p>
      <w:pPr>
        <w:pStyle w:val="BodyText"/>
        <w:rPr>
          <w:sz w:val="18"/>
        </w:rPr>
      </w:pPr>
    </w:p>
    <w:p>
      <w:pPr>
        <w:pStyle w:val="ListParagraph"/>
        <w:numPr>
          <w:ilvl w:val="3"/>
          <w:numId w:val="31"/>
        </w:numPr>
        <w:tabs>
          <w:tab w:pos="979" w:val="left" w:leader="none"/>
          <w:tab w:pos="980" w:val="left" w:leader="none"/>
        </w:tabs>
        <w:spacing w:line="220" w:lineRule="exact" w:before="0" w:after="0"/>
        <w:ind w:left="990" w:right="0" w:hanging="360"/>
        <w:jc w:val="left"/>
        <w:rPr>
          <w:sz w:val="18"/>
        </w:rPr>
      </w:pPr>
      <w:r>
        <w:rPr>
          <w:color w:val="202020"/>
          <w:sz w:val="18"/>
        </w:rPr>
        <w:t>Analyze cognitive tasks using a hierarchical task</w:t>
      </w:r>
      <w:r>
        <w:rPr>
          <w:color w:val="202020"/>
          <w:spacing w:val="-18"/>
          <w:sz w:val="18"/>
        </w:rPr>
        <w:t> </w:t>
      </w:r>
      <w:r>
        <w:rPr>
          <w:color w:val="202020"/>
          <w:sz w:val="18"/>
        </w:rPr>
        <w:t>analysis</w:t>
      </w:r>
    </w:p>
    <w:p>
      <w:pPr>
        <w:pStyle w:val="ListParagraph"/>
        <w:numPr>
          <w:ilvl w:val="3"/>
          <w:numId w:val="31"/>
        </w:numPr>
        <w:tabs>
          <w:tab w:pos="980" w:val="left" w:leader="none"/>
        </w:tabs>
        <w:spacing w:line="240" w:lineRule="auto" w:before="0" w:after="0"/>
        <w:ind w:left="990" w:right="0" w:hanging="360"/>
        <w:jc w:val="both"/>
        <w:rPr>
          <w:sz w:val="18"/>
        </w:rPr>
      </w:pPr>
      <w:r>
        <w:rPr>
          <w:color w:val="202020"/>
          <w:sz w:val="18"/>
        </w:rPr>
        <w:t>Determine mental workload using the NASA-TLX method.</w:t>
      </w:r>
    </w:p>
    <w:p>
      <w:pPr>
        <w:pStyle w:val="ListParagraph"/>
        <w:numPr>
          <w:ilvl w:val="3"/>
          <w:numId w:val="31"/>
        </w:numPr>
        <w:tabs>
          <w:tab w:pos="980" w:val="left" w:leader="none"/>
        </w:tabs>
        <w:spacing w:line="240" w:lineRule="auto" w:before="0" w:after="0"/>
        <w:ind w:left="990" w:right="1" w:hanging="360"/>
        <w:jc w:val="both"/>
        <w:rPr>
          <w:sz w:val="18"/>
        </w:rPr>
      </w:pPr>
      <w:r>
        <w:rPr>
          <w:color w:val="202020"/>
          <w:sz w:val="18"/>
        </w:rPr>
        <w:t>Determine and recommend strategies to reduce mental workload of pre-analytical phase. Based on the literature during the investigation will identify and recommend effective strategies to reduce mental</w:t>
      </w:r>
      <w:r>
        <w:rPr>
          <w:color w:val="202020"/>
          <w:spacing w:val="-13"/>
          <w:sz w:val="18"/>
        </w:rPr>
        <w:t> </w:t>
      </w:r>
      <w:r>
        <w:rPr>
          <w:color w:val="202020"/>
          <w:sz w:val="18"/>
        </w:rPr>
        <w:t>workload.</w:t>
      </w:r>
    </w:p>
    <w:p>
      <w:pPr>
        <w:pStyle w:val="BodyText"/>
        <w:spacing w:before="3"/>
        <w:rPr>
          <w:sz w:val="18"/>
        </w:rPr>
      </w:pPr>
    </w:p>
    <w:p>
      <w:pPr>
        <w:spacing w:before="0"/>
        <w:ind w:left="270" w:right="0" w:firstLine="0"/>
        <w:jc w:val="both"/>
        <w:rPr>
          <w:b/>
          <w:sz w:val="18"/>
        </w:rPr>
      </w:pPr>
      <w:r>
        <w:rPr>
          <w:b/>
          <w:color w:val="202020"/>
          <w:sz w:val="18"/>
        </w:rPr>
        <w:t>1.3 Scope and Delimitations</w:t>
      </w:r>
    </w:p>
    <w:p>
      <w:pPr>
        <w:pStyle w:val="BodyText"/>
        <w:spacing w:before="7"/>
        <w:rPr>
          <w:b/>
          <w:sz w:val="17"/>
        </w:rPr>
      </w:pPr>
    </w:p>
    <w:p>
      <w:pPr>
        <w:spacing w:before="1"/>
        <w:ind w:left="270" w:right="0" w:firstLine="0"/>
        <w:jc w:val="both"/>
        <w:rPr>
          <w:sz w:val="18"/>
        </w:rPr>
      </w:pPr>
      <w:r>
        <w:rPr>
          <w:color w:val="202020"/>
          <w:sz w:val="18"/>
        </w:rPr>
        <w:t>This study was performed on seven clerks responsible for pre- analytical phase that consist to receive and request samples, and capture patient information to take the sample corresponding of type study in a clinical laboratory of a private hospital in Ciudad Juárez,</w:t>
      </w:r>
      <w:r>
        <w:rPr>
          <w:color w:val="202020"/>
          <w:spacing w:val="-5"/>
          <w:sz w:val="18"/>
        </w:rPr>
        <w:t> </w:t>
      </w:r>
      <w:r>
        <w:rPr>
          <w:color w:val="202020"/>
          <w:sz w:val="18"/>
        </w:rPr>
        <w:t>Chihuahua.</w:t>
      </w:r>
    </w:p>
    <w:p>
      <w:pPr>
        <w:pStyle w:val="BodyText"/>
        <w:spacing w:before="3"/>
        <w:rPr>
          <w:sz w:val="18"/>
        </w:rPr>
      </w:pPr>
    </w:p>
    <w:p>
      <w:pPr>
        <w:pStyle w:val="ListParagraph"/>
        <w:numPr>
          <w:ilvl w:val="0"/>
          <w:numId w:val="30"/>
        </w:numPr>
        <w:tabs>
          <w:tab w:pos="452" w:val="left" w:leader="none"/>
        </w:tabs>
        <w:spacing w:line="240" w:lineRule="auto" w:before="0" w:after="0"/>
        <w:ind w:left="451" w:right="0" w:hanging="181"/>
        <w:jc w:val="both"/>
        <w:rPr>
          <w:b/>
          <w:color w:val="233F5E"/>
          <w:sz w:val="18"/>
        </w:rPr>
      </w:pPr>
      <w:r>
        <w:rPr>
          <w:b/>
          <w:color w:val="233F5E"/>
          <w:sz w:val="18"/>
        </w:rPr>
        <w:t>LITERATURE</w:t>
      </w:r>
      <w:r>
        <w:rPr>
          <w:b/>
          <w:color w:val="233F5E"/>
          <w:spacing w:val="-15"/>
          <w:sz w:val="18"/>
        </w:rPr>
        <w:t> </w:t>
      </w:r>
      <w:r>
        <w:rPr>
          <w:b/>
          <w:color w:val="233F5E"/>
          <w:sz w:val="18"/>
        </w:rPr>
        <w:t>REVIEW</w:t>
      </w:r>
    </w:p>
    <w:p>
      <w:pPr>
        <w:pStyle w:val="BodyText"/>
        <w:spacing w:before="7"/>
        <w:rPr>
          <w:b/>
          <w:sz w:val="17"/>
        </w:rPr>
      </w:pPr>
    </w:p>
    <w:p>
      <w:pPr>
        <w:pStyle w:val="ListParagraph"/>
        <w:numPr>
          <w:ilvl w:val="1"/>
          <w:numId w:val="30"/>
        </w:numPr>
        <w:tabs>
          <w:tab w:pos="543" w:val="left" w:leader="none"/>
        </w:tabs>
        <w:spacing w:line="240" w:lineRule="auto" w:before="1" w:after="0"/>
        <w:ind w:left="542" w:right="0" w:hanging="272"/>
        <w:jc w:val="both"/>
        <w:rPr>
          <w:sz w:val="18"/>
        </w:rPr>
      </w:pPr>
      <w:r>
        <w:rPr>
          <w:sz w:val="18"/>
        </w:rPr>
        <w:t>Hierarchical Task</w:t>
      </w:r>
      <w:r>
        <w:rPr>
          <w:spacing w:val="-9"/>
          <w:sz w:val="18"/>
        </w:rPr>
        <w:t> </w:t>
      </w:r>
      <w:r>
        <w:rPr>
          <w:sz w:val="18"/>
        </w:rPr>
        <w:t>Analysis</w:t>
      </w:r>
    </w:p>
    <w:p>
      <w:pPr>
        <w:pStyle w:val="BodyText"/>
        <w:rPr>
          <w:sz w:val="18"/>
        </w:rPr>
      </w:pPr>
    </w:p>
    <w:p>
      <w:pPr>
        <w:spacing w:before="0"/>
        <w:ind w:left="270" w:right="0" w:firstLine="0"/>
        <w:jc w:val="both"/>
        <w:rPr>
          <w:sz w:val="18"/>
        </w:rPr>
      </w:pPr>
      <w:r>
        <w:rPr>
          <w:sz w:val="18"/>
        </w:rPr>
        <w:t>The HTA (Hierarchical task analysis) involves a description of the activity as analyzed in terms of a hierarchy of objectives, sub objectives, operations and policies. The end result is a comprehensive description of the activity of the task, the most important relationships between operations and sub operations in the hierarchical structure. It is popular for its flexibility and scope for further analysis offered by the practitioner of Human Factors and Ergonomics.</w:t>
      </w:r>
    </w:p>
    <w:p>
      <w:pPr>
        <w:pStyle w:val="BodyText"/>
        <w:rPr>
          <w:sz w:val="18"/>
        </w:rPr>
      </w:pPr>
    </w:p>
    <w:p>
      <w:pPr>
        <w:spacing w:before="0"/>
        <w:ind w:left="270" w:right="77" w:firstLine="0"/>
        <w:jc w:val="left"/>
        <w:rPr>
          <w:sz w:val="18"/>
        </w:rPr>
      </w:pPr>
      <w:r>
        <w:rPr>
          <w:sz w:val="18"/>
        </w:rPr>
        <w:t>Diaper and Stanton [6] suggest the following steps to perform an HTA:</w:t>
      </w:r>
    </w:p>
    <w:p>
      <w:pPr>
        <w:pStyle w:val="BodyText"/>
        <w:rPr>
          <w:sz w:val="18"/>
        </w:rPr>
      </w:pPr>
    </w:p>
    <w:p>
      <w:pPr>
        <w:pStyle w:val="ListParagraph"/>
        <w:numPr>
          <w:ilvl w:val="0"/>
          <w:numId w:val="32"/>
        </w:numPr>
        <w:tabs>
          <w:tab w:pos="452" w:val="left" w:leader="none"/>
        </w:tabs>
        <w:spacing w:line="207" w:lineRule="exact" w:before="0" w:after="0"/>
        <w:ind w:left="270" w:right="0" w:firstLine="0"/>
        <w:jc w:val="both"/>
        <w:rPr>
          <w:sz w:val="18"/>
        </w:rPr>
      </w:pPr>
      <w:r>
        <w:rPr>
          <w:sz w:val="18"/>
        </w:rPr>
        <w:t>Decide the Purpose of the</w:t>
      </w:r>
      <w:r>
        <w:rPr>
          <w:spacing w:val="-7"/>
          <w:sz w:val="18"/>
        </w:rPr>
        <w:t> </w:t>
      </w:r>
      <w:r>
        <w:rPr>
          <w:sz w:val="18"/>
        </w:rPr>
        <w:t>Analysis</w:t>
      </w:r>
    </w:p>
    <w:p>
      <w:pPr>
        <w:pStyle w:val="ListParagraph"/>
        <w:numPr>
          <w:ilvl w:val="0"/>
          <w:numId w:val="32"/>
        </w:numPr>
        <w:tabs>
          <w:tab w:pos="452" w:val="left" w:leader="none"/>
        </w:tabs>
        <w:spacing w:line="207" w:lineRule="exact" w:before="0" w:after="0"/>
        <w:ind w:left="451" w:right="0" w:hanging="181"/>
        <w:jc w:val="both"/>
        <w:rPr>
          <w:sz w:val="18"/>
        </w:rPr>
      </w:pPr>
      <w:r>
        <w:rPr>
          <w:sz w:val="18"/>
        </w:rPr>
        <w:t>Definition of Task</w:t>
      </w:r>
      <w:r>
        <w:rPr>
          <w:spacing w:val="-5"/>
          <w:sz w:val="18"/>
        </w:rPr>
        <w:t> </w:t>
      </w:r>
      <w:r>
        <w:rPr>
          <w:sz w:val="18"/>
        </w:rPr>
        <w:t>Goals</w:t>
      </w:r>
    </w:p>
    <w:p>
      <w:pPr>
        <w:pStyle w:val="ListParagraph"/>
        <w:numPr>
          <w:ilvl w:val="0"/>
          <w:numId w:val="32"/>
        </w:numPr>
        <w:tabs>
          <w:tab w:pos="452" w:val="left" w:leader="none"/>
        </w:tabs>
        <w:spacing w:line="207" w:lineRule="exact" w:before="0" w:after="0"/>
        <w:ind w:left="451" w:right="0" w:hanging="181"/>
        <w:jc w:val="both"/>
        <w:rPr>
          <w:sz w:val="18"/>
        </w:rPr>
      </w:pPr>
      <w:r>
        <w:rPr>
          <w:sz w:val="18"/>
        </w:rPr>
        <w:t>Data</w:t>
      </w:r>
      <w:r>
        <w:rPr>
          <w:spacing w:val="-2"/>
          <w:sz w:val="18"/>
        </w:rPr>
        <w:t> </w:t>
      </w:r>
      <w:r>
        <w:rPr>
          <w:sz w:val="18"/>
        </w:rPr>
        <w:t>Acquisition</w:t>
      </w:r>
    </w:p>
    <w:p>
      <w:pPr>
        <w:pStyle w:val="ListParagraph"/>
        <w:numPr>
          <w:ilvl w:val="0"/>
          <w:numId w:val="32"/>
        </w:numPr>
        <w:tabs>
          <w:tab w:pos="452" w:val="left" w:leader="none"/>
        </w:tabs>
        <w:spacing w:line="207" w:lineRule="exact" w:before="0" w:after="0"/>
        <w:ind w:left="451" w:right="0" w:hanging="181"/>
        <w:jc w:val="both"/>
        <w:rPr>
          <w:sz w:val="18"/>
        </w:rPr>
      </w:pPr>
      <w:r>
        <w:rPr>
          <w:sz w:val="18"/>
        </w:rPr>
        <w:t>Acquire Data and Draft to Decomposition Table or</w:t>
      </w:r>
      <w:r>
        <w:rPr>
          <w:spacing w:val="-8"/>
          <w:sz w:val="18"/>
        </w:rPr>
        <w:t> </w:t>
      </w:r>
      <w:r>
        <w:rPr>
          <w:sz w:val="18"/>
        </w:rPr>
        <w:t>Diagram</w:t>
      </w:r>
    </w:p>
    <w:p>
      <w:pPr>
        <w:pStyle w:val="ListParagraph"/>
        <w:numPr>
          <w:ilvl w:val="0"/>
          <w:numId w:val="32"/>
        </w:numPr>
        <w:tabs>
          <w:tab w:pos="452" w:val="left" w:leader="none"/>
        </w:tabs>
        <w:spacing w:line="207" w:lineRule="exact" w:before="0" w:after="0"/>
        <w:ind w:left="451" w:right="0" w:hanging="181"/>
        <w:jc w:val="both"/>
        <w:rPr>
          <w:sz w:val="18"/>
        </w:rPr>
      </w:pPr>
      <w:r>
        <w:rPr>
          <w:sz w:val="18"/>
        </w:rPr>
        <w:t>Recheck Validity of Decomposition with</w:t>
      </w:r>
      <w:r>
        <w:rPr>
          <w:spacing w:val="-8"/>
          <w:sz w:val="18"/>
        </w:rPr>
        <w:t> </w:t>
      </w:r>
      <w:r>
        <w:rPr>
          <w:sz w:val="18"/>
        </w:rPr>
        <w:t>stakeholders'</w:t>
      </w:r>
    </w:p>
    <w:p>
      <w:pPr>
        <w:pStyle w:val="ListParagraph"/>
        <w:numPr>
          <w:ilvl w:val="0"/>
          <w:numId w:val="32"/>
        </w:numPr>
        <w:tabs>
          <w:tab w:pos="453" w:val="left" w:leader="none"/>
        </w:tabs>
        <w:spacing w:line="207" w:lineRule="exact" w:before="0" w:after="0"/>
        <w:ind w:left="452" w:right="0" w:hanging="182"/>
        <w:jc w:val="both"/>
        <w:rPr>
          <w:sz w:val="18"/>
        </w:rPr>
      </w:pPr>
      <w:r>
        <w:rPr>
          <w:sz w:val="18"/>
        </w:rPr>
        <w:t>Identify Significant</w:t>
      </w:r>
      <w:r>
        <w:rPr>
          <w:spacing w:val="-13"/>
          <w:sz w:val="18"/>
        </w:rPr>
        <w:t> </w:t>
      </w:r>
      <w:r>
        <w:rPr>
          <w:sz w:val="18"/>
        </w:rPr>
        <w:t>Operations</w:t>
      </w:r>
    </w:p>
    <w:p>
      <w:pPr>
        <w:pStyle w:val="ListParagraph"/>
        <w:numPr>
          <w:ilvl w:val="0"/>
          <w:numId w:val="32"/>
        </w:numPr>
        <w:tabs>
          <w:tab w:pos="494" w:val="left" w:leader="none"/>
        </w:tabs>
        <w:spacing w:line="240" w:lineRule="auto" w:before="0" w:after="0"/>
        <w:ind w:left="270" w:right="1" w:firstLine="0"/>
        <w:jc w:val="left"/>
        <w:rPr>
          <w:sz w:val="18"/>
        </w:rPr>
      </w:pPr>
      <w:r>
        <w:rPr>
          <w:sz w:val="18"/>
        </w:rPr>
        <w:t>Generate and, If Possible, Test Hypotheses Concerning Task Performance</w:t>
      </w:r>
    </w:p>
    <w:p>
      <w:pPr>
        <w:pStyle w:val="BodyText"/>
        <w:rPr>
          <w:sz w:val="18"/>
        </w:rPr>
      </w:pPr>
    </w:p>
    <w:p>
      <w:pPr>
        <w:spacing w:before="0"/>
        <w:ind w:left="270" w:right="1" w:firstLine="0"/>
        <w:jc w:val="both"/>
        <w:rPr>
          <w:sz w:val="18"/>
        </w:rPr>
      </w:pPr>
      <w:r>
        <w:rPr>
          <w:sz w:val="18"/>
        </w:rPr>
        <w:t>The HTA can adapt to a variety of situations, and reliability that you get will depend on the level of detail that is given to the analysis.</w:t>
      </w:r>
    </w:p>
    <w:p>
      <w:pPr>
        <w:pStyle w:val="BodyText"/>
        <w:rPr>
          <w:sz w:val="18"/>
        </w:rPr>
      </w:pPr>
    </w:p>
    <w:p>
      <w:pPr>
        <w:pStyle w:val="ListParagraph"/>
        <w:numPr>
          <w:ilvl w:val="1"/>
          <w:numId w:val="30"/>
        </w:numPr>
        <w:tabs>
          <w:tab w:pos="542" w:val="left" w:leader="none"/>
        </w:tabs>
        <w:spacing w:line="240" w:lineRule="auto" w:before="0" w:after="0"/>
        <w:ind w:left="541" w:right="0" w:hanging="271"/>
        <w:jc w:val="both"/>
        <w:rPr>
          <w:sz w:val="18"/>
        </w:rPr>
      </w:pPr>
      <w:r>
        <w:rPr>
          <w:sz w:val="18"/>
        </w:rPr>
        <w:t>Loading mental</w:t>
      </w:r>
      <w:r>
        <w:rPr>
          <w:spacing w:val="-3"/>
          <w:sz w:val="18"/>
        </w:rPr>
        <w:t> </w:t>
      </w:r>
      <w:r>
        <w:rPr>
          <w:sz w:val="18"/>
        </w:rPr>
        <w:t>work</w:t>
      </w:r>
    </w:p>
    <w:p>
      <w:pPr>
        <w:pStyle w:val="BodyText"/>
        <w:rPr>
          <w:sz w:val="18"/>
        </w:rPr>
      </w:pPr>
    </w:p>
    <w:p>
      <w:pPr>
        <w:spacing w:before="0"/>
        <w:ind w:left="270" w:right="0" w:firstLine="0"/>
        <w:jc w:val="both"/>
        <w:rPr>
          <w:sz w:val="18"/>
        </w:rPr>
      </w:pPr>
      <w:r>
        <w:rPr>
          <w:sz w:val="18"/>
        </w:rPr>
        <w:t>Mental workload is defined by Cañas and Waern [7], as the portion of processing resources that a person needs to perform a task and this can occur in two ways. The first and one on mental workload when the individual's capacities are exceeded due to excess work to be done in a very short period of time or when tasks are too complex and otherwise happen sub mental workload  when tasks are too simple</w:t>
      </w:r>
      <w:r>
        <w:rPr>
          <w:spacing w:val="-8"/>
          <w:sz w:val="18"/>
        </w:rPr>
        <w:t> </w:t>
      </w:r>
      <w:r>
        <w:rPr>
          <w:sz w:val="18"/>
        </w:rPr>
        <w:t>[8].</w:t>
      </w:r>
    </w:p>
    <w:p>
      <w:pPr>
        <w:pStyle w:val="ListParagraph"/>
        <w:numPr>
          <w:ilvl w:val="1"/>
          <w:numId w:val="30"/>
        </w:numPr>
        <w:tabs>
          <w:tab w:pos="542" w:val="left" w:leader="none"/>
        </w:tabs>
        <w:spacing w:line="240" w:lineRule="auto" w:before="77" w:after="0"/>
        <w:ind w:left="541" w:right="0" w:hanging="271"/>
        <w:jc w:val="both"/>
        <w:rPr>
          <w:sz w:val="18"/>
        </w:rPr>
      </w:pPr>
      <w:r>
        <w:rPr>
          <w:sz w:val="18"/>
        </w:rPr>
        <w:br w:type="column"/>
        <w:t>Method NASA</w:t>
      </w:r>
      <w:r>
        <w:rPr>
          <w:spacing w:val="-1"/>
          <w:sz w:val="18"/>
        </w:rPr>
        <w:t> </w:t>
      </w:r>
      <w:r>
        <w:rPr>
          <w:sz w:val="18"/>
        </w:rPr>
        <w:t>TLX</w:t>
      </w:r>
    </w:p>
    <w:p>
      <w:pPr>
        <w:pStyle w:val="BodyText"/>
        <w:rPr>
          <w:sz w:val="18"/>
        </w:rPr>
      </w:pPr>
    </w:p>
    <w:p>
      <w:pPr>
        <w:spacing w:before="0"/>
        <w:ind w:left="270" w:right="678" w:firstLine="0"/>
        <w:jc w:val="both"/>
        <w:rPr>
          <w:sz w:val="18"/>
        </w:rPr>
      </w:pPr>
      <w:r>
        <w:rPr>
          <w:sz w:val="18"/>
        </w:rPr>
        <w:t>It is a scaling procedure that provides a general measure of mental workload based on a weighted average of the judgments that a person gives in six factors or dimensions:</w:t>
      </w:r>
    </w:p>
    <w:p>
      <w:pPr>
        <w:spacing w:line="206" w:lineRule="exact" w:before="0"/>
        <w:ind w:left="270" w:right="0" w:firstLine="0"/>
        <w:jc w:val="both"/>
        <w:rPr>
          <w:sz w:val="18"/>
        </w:rPr>
      </w:pPr>
      <w:r>
        <w:rPr>
          <w:sz w:val="18"/>
        </w:rPr>
        <w:t>-Mental -Demand</w:t>
      </w:r>
    </w:p>
    <w:p>
      <w:pPr>
        <w:spacing w:line="207" w:lineRule="exact" w:before="0"/>
        <w:ind w:left="270" w:right="0" w:firstLine="0"/>
        <w:jc w:val="both"/>
        <w:rPr>
          <w:sz w:val="18"/>
        </w:rPr>
      </w:pPr>
      <w:r>
        <w:rPr>
          <w:sz w:val="18"/>
        </w:rPr>
        <w:t>-Physical -Demand</w:t>
      </w:r>
    </w:p>
    <w:p>
      <w:pPr>
        <w:spacing w:line="207" w:lineRule="exact" w:before="0"/>
        <w:ind w:left="270" w:right="0" w:firstLine="0"/>
        <w:jc w:val="both"/>
        <w:rPr>
          <w:sz w:val="18"/>
        </w:rPr>
      </w:pPr>
      <w:r>
        <w:rPr>
          <w:sz w:val="18"/>
        </w:rPr>
        <w:t>-Temporal -Demand</w:t>
      </w:r>
    </w:p>
    <w:p>
      <w:pPr>
        <w:spacing w:line="207" w:lineRule="exact" w:before="0"/>
        <w:ind w:left="270" w:right="0" w:firstLine="0"/>
        <w:jc w:val="both"/>
        <w:rPr>
          <w:sz w:val="18"/>
        </w:rPr>
      </w:pPr>
      <w:r>
        <w:rPr>
          <w:sz w:val="18"/>
        </w:rPr>
        <w:t>-Effort</w:t>
      </w:r>
    </w:p>
    <w:p>
      <w:pPr>
        <w:spacing w:line="207" w:lineRule="exact" w:before="0"/>
        <w:ind w:left="270" w:right="0" w:firstLine="0"/>
        <w:jc w:val="both"/>
        <w:rPr>
          <w:sz w:val="18"/>
        </w:rPr>
      </w:pPr>
      <w:r>
        <w:rPr>
          <w:sz w:val="18"/>
        </w:rPr>
        <w:t>-Execution</w:t>
      </w:r>
    </w:p>
    <w:p>
      <w:pPr>
        <w:spacing w:before="0"/>
        <w:ind w:left="270" w:right="0" w:firstLine="0"/>
        <w:jc w:val="both"/>
        <w:rPr>
          <w:sz w:val="18"/>
        </w:rPr>
      </w:pPr>
      <w:r>
        <w:rPr>
          <w:sz w:val="18"/>
        </w:rPr>
        <w:t>-Level Of frustration</w:t>
      </w:r>
    </w:p>
    <w:p>
      <w:pPr>
        <w:pStyle w:val="BodyText"/>
        <w:spacing w:before="10"/>
        <w:rPr>
          <w:sz w:val="17"/>
        </w:rPr>
      </w:pPr>
    </w:p>
    <w:p>
      <w:pPr>
        <w:spacing w:before="0"/>
        <w:ind w:left="270" w:right="677" w:firstLine="0"/>
        <w:jc w:val="both"/>
        <w:rPr>
          <w:sz w:val="18"/>
        </w:rPr>
      </w:pPr>
      <w:r>
        <w:rPr>
          <w:sz w:val="18"/>
        </w:rPr>
        <w:t>It is done in two phases, the first phase weighting. This first stage is performed prior to the task and consists of 15 binary comparisons of the six dimensions above selecting which generates the greatest burden assessed and given a weight to each dimension as the number of times you have been chosen. The second phase of evaluation is applied to complete the task and evaluated to determine the degree of loading of each of the six dimensions given on a scale of 0-100 with intervals of five units. Obtained these data the index of mental workload is obtained with the following formula</w:t>
      </w:r>
      <w:r>
        <w:rPr>
          <w:spacing w:val="-2"/>
          <w:sz w:val="18"/>
        </w:rPr>
        <w:t> </w:t>
      </w:r>
      <w:r>
        <w:rPr>
          <w:sz w:val="18"/>
        </w:rPr>
        <w:t>[9]:</w:t>
      </w:r>
    </w:p>
    <w:p>
      <w:pPr>
        <w:pStyle w:val="BodyText"/>
        <w:rPr>
          <w:sz w:val="15"/>
        </w:rPr>
      </w:pPr>
      <w:r>
        <w:rPr/>
        <w:drawing>
          <wp:anchor distT="0" distB="0" distL="0" distR="0" allowOverlap="1" layoutInCell="1" locked="0" behindDoc="0" simplePos="0" relativeHeight="3616">
            <wp:simplePos x="0" y="0"/>
            <wp:positionH relativeFrom="page">
              <wp:posOffset>4094988</wp:posOffset>
            </wp:positionH>
            <wp:positionV relativeFrom="paragraph">
              <wp:posOffset>134530</wp:posOffset>
            </wp:positionV>
            <wp:extent cx="1347858" cy="590930"/>
            <wp:effectExtent l="0" t="0" r="0" b="0"/>
            <wp:wrapTopAndBottom/>
            <wp:docPr id="75" name="image46.jpeg" descr=""/>
            <wp:cNvGraphicFramePr>
              <a:graphicFrameLocks noChangeAspect="1"/>
            </wp:cNvGraphicFramePr>
            <a:graphic>
              <a:graphicData uri="http://schemas.openxmlformats.org/drawingml/2006/picture">
                <pic:pic>
                  <pic:nvPicPr>
                    <pic:cNvPr id="76" name="image46.jpeg"/>
                    <pic:cNvPicPr/>
                  </pic:nvPicPr>
                  <pic:blipFill>
                    <a:blip r:embed="rId108" cstate="print"/>
                    <a:stretch>
                      <a:fillRect/>
                    </a:stretch>
                  </pic:blipFill>
                  <pic:spPr>
                    <a:xfrm>
                      <a:off x="0" y="0"/>
                      <a:ext cx="1347858" cy="590930"/>
                    </a:xfrm>
                    <a:prstGeom prst="rect">
                      <a:avLst/>
                    </a:prstGeom>
                  </pic:spPr>
                </pic:pic>
              </a:graphicData>
            </a:graphic>
          </wp:anchor>
        </w:drawing>
      </w:r>
    </w:p>
    <w:p>
      <w:pPr>
        <w:pStyle w:val="BodyText"/>
        <w:spacing w:before="1"/>
        <w:rPr>
          <w:sz w:val="15"/>
        </w:rPr>
      </w:pPr>
    </w:p>
    <w:p>
      <w:pPr>
        <w:spacing w:line="207" w:lineRule="exact" w:before="1"/>
        <w:ind w:left="270" w:right="0" w:firstLine="0"/>
        <w:jc w:val="both"/>
        <w:rPr>
          <w:sz w:val="18"/>
        </w:rPr>
      </w:pPr>
      <w:r>
        <w:rPr>
          <w:sz w:val="18"/>
        </w:rPr>
        <w:t>IC: load index</w:t>
      </w:r>
    </w:p>
    <w:p>
      <w:pPr>
        <w:spacing w:before="0"/>
        <w:ind w:left="270" w:right="1817" w:firstLine="0"/>
        <w:jc w:val="left"/>
        <w:rPr>
          <w:sz w:val="18"/>
        </w:rPr>
      </w:pPr>
      <w:r>
        <w:rPr>
          <w:sz w:val="18"/>
        </w:rPr>
        <w:t>Pi: weight obtained for each dimension (first phase) Xi: score for the dimension (second phase)</w:t>
      </w:r>
    </w:p>
    <w:p>
      <w:pPr>
        <w:pStyle w:val="BodyText"/>
        <w:rPr>
          <w:sz w:val="18"/>
        </w:rPr>
      </w:pPr>
    </w:p>
    <w:p>
      <w:pPr>
        <w:pStyle w:val="BodyText"/>
        <w:spacing w:before="10"/>
        <w:rPr>
          <w:sz w:val="17"/>
        </w:rPr>
      </w:pPr>
    </w:p>
    <w:p>
      <w:pPr>
        <w:spacing w:before="1"/>
        <w:ind w:left="270" w:right="678" w:firstLine="0"/>
        <w:jc w:val="both"/>
        <w:rPr>
          <w:sz w:val="18"/>
        </w:rPr>
      </w:pPr>
      <w:r>
        <w:rPr>
          <w:sz w:val="18"/>
        </w:rPr>
        <w:t>The NASA-TLX method is a reliable tool since it has been validated on several occasions, plus it provides little variability in the results.</w:t>
      </w:r>
    </w:p>
    <w:p>
      <w:pPr>
        <w:pStyle w:val="BodyText"/>
        <w:spacing w:before="3"/>
        <w:rPr>
          <w:sz w:val="18"/>
        </w:rPr>
      </w:pPr>
    </w:p>
    <w:p>
      <w:pPr>
        <w:pStyle w:val="ListParagraph"/>
        <w:numPr>
          <w:ilvl w:val="0"/>
          <w:numId w:val="30"/>
        </w:numPr>
        <w:tabs>
          <w:tab w:pos="452" w:val="left" w:leader="none"/>
        </w:tabs>
        <w:spacing w:line="240" w:lineRule="auto" w:before="0" w:after="0"/>
        <w:ind w:left="451" w:right="0" w:hanging="181"/>
        <w:jc w:val="both"/>
        <w:rPr>
          <w:b/>
          <w:color w:val="233F5E"/>
          <w:sz w:val="18"/>
        </w:rPr>
      </w:pPr>
      <w:r>
        <w:rPr>
          <w:b/>
          <w:color w:val="233F5E"/>
          <w:sz w:val="18"/>
        </w:rPr>
        <w:t>METHODOLOGY</w:t>
      </w:r>
    </w:p>
    <w:p>
      <w:pPr>
        <w:pStyle w:val="BodyText"/>
        <w:spacing w:before="7"/>
        <w:rPr>
          <w:b/>
          <w:sz w:val="17"/>
        </w:rPr>
      </w:pPr>
    </w:p>
    <w:p>
      <w:pPr>
        <w:spacing w:before="1"/>
        <w:ind w:left="270" w:right="677" w:firstLine="0"/>
        <w:jc w:val="both"/>
        <w:rPr>
          <w:sz w:val="18"/>
        </w:rPr>
      </w:pPr>
      <w:r>
        <w:rPr>
          <w:sz w:val="18"/>
        </w:rPr>
        <w:t>The methods used and applied to determine and identify cognitive tasks were the Hierarchical Task Analysis by Stanton [10], since  the staff is predisposed to multitask leading to have an information overload and affect their work performance. Then for the  evaluation of mental workload NASA-TLX [11] method, was applied in which a sample of seven receptionists; four were in the morning shift and the rest of them were in the noon</w:t>
      </w:r>
      <w:r>
        <w:rPr>
          <w:spacing w:val="-12"/>
          <w:sz w:val="18"/>
        </w:rPr>
        <w:t> </w:t>
      </w:r>
      <w:r>
        <w:rPr>
          <w:sz w:val="18"/>
        </w:rPr>
        <w:t>shift.</w:t>
      </w:r>
    </w:p>
    <w:p>
      <w:pPr>
        <w:pStyle w:val="BodyText"/>
        <w:rPr>
          <w:sz w:val="18"/>
        </w:rPr>
      </w:pPr>
    </w:p>
    <w:p>
      <w:pPr>
        <w:pStyle w:val="ListParagraph"/>
        <w:numPr>
          <w:ilvl w:val="1"/>
          <w:numId w:val="30"/>
        </w:numPr>
        <w:tabs>
          <w:tab w:pos="542" w:val="left" w:leader="none"/>
        </w:tabs>
        <w:spacing w:line="240" w:lineRule="auto" w:before="0" w:after="0"/>
        <w:ind w:left="541" w:right="0" w:hanging="271"/>
        <w:jc w:val="both"/>
        <w:rPr>
          <w:sz w:val="18"/>
        </w:rPr>
      </w:pPr>
      <w:r>
        <w:rPr>
          <w:sz w:val="18"/>
        </w:rPr>
        <w:t>Method</w:t>
      </w:r>
    </w:p>
    <w:p>
      <w:pPr>
        <w:pStyle w:val="BodyText"/>
        <w:rPr>
          <w:sz w:val="18"/>
        </w:rPr>
      </w:pPr>
    </w:p>
    <w:p>
      <w:pPr>
        <w:spacing w:before="0"/>
        <w:ind w:left="270" w:right="677" w:firstLine="0"/>
        <w:jc w:val="both"/>
        <w:rPr>
          <w:sz w:val="18"/>
        </w:rPr>
      </w:pPr>
      <w:r>
        <w:rPr>
          <w:sz w:val="18"/>
        </w:rPr>
        <w:t>To conduct this research seven listeners working in a private hospital in the morning and afternoon shift following the steps below were evaluated:</w:t>
      </w:r>
    </w:p>
    <w:p>
      <w:pPr>
        <w:pStyle w:val="BodyText"/>
        <w:rPr>
          <w:sz w:val="18"/>
        </w:rPr>
      </w:pPr>
    </w:p>
    <w:p>
      <w:pPr>
        <w:pStyle w:val="ListParagraph"/>
        <w:numPr>
          <w:ilvl w:val="0"/>
          <w:numId w:val="33"/>
        </w:numPr>
        <w:tabs>
          <w:tab w:pos="452" w:val="left" w:leader="none"/>
        </w:tabs>
        <w:spacing w:line="207" w:lineRule="exact" w:before="0" w:after="0"/>
        <w:ind w:left="451" w:right="0" w:hanging="181"/>
        <w:jc w:val="both"/>
        <w:rPr>
          <w:sz w:val="18"/>
        </w:rPr>
      </w:pPr>
      <w:r>
        <w:rPr>
          <w:sz w:val="18"/>
        </w:rPr>
        <w:t>Collection of</w:t>
      </w:r>
      <w:r>
        <w:rPr>
          <w:spacing w:val="-2"/>
          <w:sz w:val="18"/>
        </w:rPr>
        <w:t> </w:t>
      </w:r>
      <w:r>
        <w:rPr>
          <w:sz w:val="18"/>
        </w:rPr>
        <w:t>Information</w:t>
      </w:r>
    </w:p>
    <w:p>
      <w:pPr>
        <w:spacing w:before="0"/>
        <w:ind w:left="270" w:right="678" w:firstLine="0"/>
        <w:jc w:val="both"/>
        <w:rPr>
          <w:sz w:val="18"/>
        </w:rPr>
      </w:pPr>
      <w:r>
        <w:rPr>
          <w:sz w:val="18"/>
        </w:rPr>
        <w:t>In this first step will be interviewed a clerk of each work shift for information about the tasks they perform in their daily work and  the type of information they have, among other</w:t>
      </w:r>
      <w:r>
        <w:rPr>
          <w:spacing w:val="-13"/>
          <w:sz w:val="18"/>
        </w:rPr>
        <w:t> </w:t>
      </w:r>
      <w:r>
        <w:rPr>
          <w:sz w:val="18"/>
        </w:rPr>
        <w:t>data.</w:t>
      </w:r>
    </w:p>
    <w:p>
      <w:pPr>
        <w:pStyle w:val="ListParagraph"/>
        <w:numPr>
          <w:ilvl w:val="0"/>
          <w:numId w:val="33"/>
        </w:numPr>
        <w:tabs>
          <w:tab w:pos="453" w:val="left" w:leader="none"/>
        </w:tabs>
        <w:spacing w:line="207" w:lineRule="exact" w:before="0" w:after="0"/>
        <w:ind w:left="452" w:right="0" w:hanging="182"/>
        <w:jc w:val="both"/>
        <w:rPr>
          <w:sz w:val="18"/>
        </w:rPr>
      </w:pPr>
      <w:r>
        <w:rPr>
          <w:sz w:val="18"/>
        </w:rPr>
        <w:t>Hierarchical Task</w:t>
      </w:r>
      <w:r>
        <w:rPr>
          <w:spacing w:val="-10"/>
          <w:sz w:val="18"/>
        </w:rPr>
        <w:t> </w:t>
      </w:r>
      <w:r>
        <w:rPr>
          <w:sz w:val="18"/>
        </w:rPr>
        <w:t>Analysis</w:t>
      </w:r>
    </w:p>
    <w:p>
      <w:pPr>
        <w:spacing w:before="0"/>
        <w:ind w:left="270" w:right="676" w:firstLine="0"/>
        <w:jc w:val="both"/>
        <w:rPr>
          <w:sz w:val="18"/>
        </w:rPr>
      </w:pPr>
      <w:r>
        <w:rPr>
          <w:sz w:val="18"/>
        </w:rPr>
        <w:t>With the information gathered from the interview and the observation of the workplace, a hierarchical task analysis was developed to obtain the detailed description of the sub tasks.</w:t>
      </w:r>
    </w:p>
    <w:p>
      <w:pPr>
        <w:pStyle w:val="ListParagraph"/>
        <w:numPr>
          <w:ilvl w:val="0"/>
          <w:numId w:val="33"/>
        </w:numPr>
        <w:tabs>
          <w:tab w:pos="452" w:val="left" w:leader="none"/>
        </w:tabs>
        <w:spacing w:line="207" w:lineRule="exact" w:before="0" w:after="0"/>
        <w:ind w:left="451" w:right="0" w:hanging="181"/>
        <w:jc w:val="both"/>
        <w:rPr>
          <w:sz w:val="18"/>
        </w:rPr>
      </w:pPr>
      <w:r>
        <w:rPr>
          <w:sz w:val="18"/>
        </w:rPr>
        <w:t>Application</w:t>
      </w:r>
      <w:r>
        <w:rPr>
          <w:spacing w:val="-2"/>
          <w:sz w:val="18"/>
        </w:rPr>
        <w:t> </w:t>
      </w:r>
      <w:r>
        <w:rPr>
          <w:sz w:val="18"/>
        </w:rPr>
        <w:t>Questionnaire</w:t>
      </w:r>
    </w:p>
    <w:p>
      <w:pPr>
        <w:spacing w:before="0"/>
        <w:ind w:left="270" w:right="677" w:firstLine="0"/>
        <w:jc w:val="both"/>
        <w:rPr>
          <w:sz w:val="18"/>
        </w:rPr>
      </w:pPr>
      <w:r>
        <w:rPr>
          <w:sz w:val="18"/>
        </w:rPr>
        <w:t>The NASA-TLX questionnaire method was explained and seven clerks  of  which  four  are  in  the  morning  shift  and  three  in the</w:t>
      </w:r>
    </w:p>
    <w:p>
      <w:pPr>
        <w:spacing w:after="0"/>
        <w:jc w:val="both"/>
        <w:rPr>
          <w:sz w:val="18"/>
        </w:rPr>
        <w:sectPr>
          <w:type w:val="continuous"/>
          <w:pgSz w:w="12240" w:h="15840"/>
          <w:pgMar w:top="1500" w:bottom="280" w:left="580" w:right="220"/>
          <w:cols w:num="2" w:equalWidth="0">
            <w:col w:w="5164" w:space="434"/>
            <w:col w:w="5842"/>
          </w:cols>
        </w:sectPr>
      </w:pPr>
    </w:p>
    <w:p>
      <w:pPr>
        <w:pStyle w:val="BodyText"/>
        <w:rPr>
          <w:sz w:val="11"/>
        </w:rPr>
      </w:pPr>
    </w:p>
    <w:p>
      <w:pPr>
        <w:spacing w:after="0"/>
        <w:rPr>
          <w:sz w:val="11"/>
        </w:rPr>
        <w:sectPr>
          <w:pgSz w:w="12240" w:h="15840"/>
          <w:pgMar w:header="545" w:footer="852" w:top="1060" w:bottom="1040" w:left="580" w:right="220"/>
        </w:sectPr>
      </w:pPr>
    </w:p>
    <w:p>
      <w:pPr>
        <w:spacing w:before="77"/>
        <w:ind w:left="270" w:right="0" w:firstLine="0"/>
        <w:jc w:val="both"/>
        <w:rPr>
          <w:sz w:val="18"/>
        </w:rPr>
      </w:pPr>
      <w:r>
        <w:rPr>
          <w:sz w:val="18"/>
        </w:rPr>
        <w:t>evening shift was applied. The questionnaire consists of two sections, with the first part of utmost importance for potential mental workload source and this is done by 15 binary comparisons of the six dimensions proposed method, followed in the second half this weight is designated each dimension.</w:t>
      </w:r>
    </w:p>
    <w:p>
      <w:pPr>
        <w:pStyle w:val="ListParagraph"/>
        <w:numPr>
          <w:ilvl w:val="0"/>
          <w:numId w:val="33"/>
        </w:numPr>
        <w:tabs>
          <w:tab w:pos="452" w:val="left" w:leader="none"/>
        </w:tabs>
        <w:spacing w:line="206" w:lineRule="exact" w:before="0" w:after="0"/>
        <w:ind w:left="451" w:right="0" w:hanging="181"/>
        <w:jc w:val="both"/>
        <w:rPr>
          <w:sz w:val="18"/>
        </w:rPr>
      </w:pPr>
      <w:r>
        <w:rPr>
          <w:sz w:val="18"/>
        </w:rPr>
        <w:t>Capture and</w:t>
      </w:r>
      <w:r>
        <w:rPr>
          <w:spacing w:val="-3"/>
          <w:sz w:val="18"/>
        </w:rPr>
        <w:t> </w:t>
      </w:r>
      <w:r>
        <w:rPr>
          <w:sz w:val="18"/>
        </w:rPr>
        <w:t>analysis</w:t>
      </w:r>
    </w:p>
    <w:p>
      <w:pPr>
        <w:spacing w:before="0"/>
        <w:ind w:left="270" w:right="115" w:firstLine="0"/>
        <w:jc w:val="left"/>
        <w:rPr>
          <w:sz w:val="18"/>
        </w:rPr>
      </w:pPr>
      <w:r>
        <w:rPr>
          <w:sz w:val="18"/>
        </w:rPr>
        <w:t>Data was cleared in an Excel format and then get scores of mental workload and the data were analyzed.</w:t>
      </w:r>
    </w:p>
    <w:p>
      <w:pPr>
        <w:pStyle w:val="BodyText"/>
        <w:spacing w:before="3"/>
        <w:rPr>
          <w:sz w:val="18"/>
        </w:rPr>
      </w:pPr>
    </w:p>
    <w:p>
      <w:pPr>
        <w:pStyle w:val="ListParagraph"/>
        <w:numPr>
          <w:ilvl w:val="0"/>
          <w:numId w:val="34"/>
        </w:numPr>
        <w:tabs>
          <w:tab w:pos="452" w:val="left" w:leader="none"/>
        </w:tabs>
        <w:spacing w:line="240" w:lineRule="auto" w:before="0" w:after="0"/>
        <w:ind w:left="451" w:right="0" w:hanging="181"/>
        <w:jc w:val="both"/>
        <w:rPr>
          <w:b/>
          <w:sz w:val="18"/>
        </w:rPr>
      </w:pPr>
      <w:r>
        <w:rPr>
          <w:b/>
          <w:color w:val="233F5E"/>
          <w:sz w:val="18"/>
        </w:rPr>
        <w:t>RESULTS</w:t>
      </w:r>
    </w:p>
    <w:p>
      <w:pPr>
        <w:pStyle w:val="BodyText"/>
        <w:spacing w:before="7"/>
        <w:rPr>
          <w:b/>
          <w:sz w:val="17"/>
        </w:rPr>
      </w:pPr>
    </w:p>
    <w:p>
      <w:pPr>
        <w:spacing w:before="1"/>
        <w:ind w:left="270" w:right="0" w:firstLine="0"/>
        <w:jc w:val="both"/>
        <w:rPr>
          <w:sz w:val="18"/>
        </w:rPr>
      </w:pPr>
      <w:r>
        <w:rPr>
          <w:sz w:val="18"/>
        </w:rPr>
        <w:t>In the hierarchical task analysis (Table 1) it was observed that the task that requires a greater amount of information processing was “receive patient”, since it involves receiving the information that the patient gives and capture data , this task involves the use of short time memory to remember the code of study</w:t>
      </w:r>
      <w:r>
        <w:rPr>
          <w:spacing w:val="-18"/>
          <w:sz w:val="18"/>
        </w:rPr>
        <w:t> </w:t>
      </w:r>
      <w:r>
        <w:rPr>
          <w:sz w:val="18"/>
        </w:rPr>
        <w:t>type.</w:t>
      </w:r>
    </w:p>
    <w:p>
      <w:pPr>
        <w:pStyle w:val="BodyText"/>
        <w:rPr>
          <w:sz w:val="18"/>
        </w:rPr>
      </w:pPr>
    </w:p>
    <w:p>
      <w:pPr>
        <w:spacing w:before="0"/>
        <w:ind w:left="270" w:right="0" w:firstLine="708"/>
        <w:jc w:val="both"/>
        <w:rPr>
          <w:sz w:val="18"/>
        </w:rPr>
      </w:pPr>
      <w:r>
        <w:rPr>
          <w:sz w:val="18"/>
        </w:rPr>
        <w:t>It was found that on average the receptionists were affected mainly by the level of frustration with their job, there is greater insecurity, stress and discontent. After results, we analyze the mental load based on the overall load that is a bipolar scale from 0 to 100, at intervals of five units, being 0 a very low mental load and 100 a very high mental load. This can be seen in Table 2 that the overall mental workload remained at an average level. Comparing the two shifts a similarity is seen as the two agreed that the workload is</w:t>
      </w:r>
      <w:r>
        <w:rPr>
          <w:spacing w:val="-5"/>
          <w:sz w:val="18"/>
        </w:rPr>
        <w:t> </w:t>
      </w:r>
      <w:r>
        <w:rPr>
          <w:sz w:val="18"/>
        </w:rPr>
        <w:t>middle.</w:t>
      </w:r>
    </w:p>
    <w:p>
      <w:pPr>
        <w:pStyle w:val="BodyText"/>
        <w:rPr>
          <w:sz w:val="18"/>
        </w:rPr>
      </w:pPr>
    </w:p>
    <w:p>
      <w:pPr>
        <w:spacing w:before="0"/>
        <w:ind w:left="1417" w:right="115" w:firstLine="0"/>
        <w:jc w:val="left"/>
        <w:rPr>
          <w:sz w:val="18"/>
        </w:rPr>
      </w:pPr>
      <w:r>
        <w:rPr/>
        <w:pict>
          <v:group style="position:absolute;margin-left:41.665001pt;margin-top:9.537051pt;width:259.25pt;height:55.55pt;mso-position-horizontal-relative:page;mso-position-vertical-relative:paragraph;z-index:-875056" coordorigin="833,191" coordsize="5185,1111">
            <v:line style="position:absolute" from="851,701" to="6000,701" stroked="true" strokeweight="1.74pt" strokecolor="#000000"/>
            <v:line style="position:absolute" from="851,966" to="3848,966" stroked="true" strokeweight=".06pt" strokecolor="#000000"/>
            <v:line style="position:absolute" from="851,973" to="3848,973" stroked="true" strokeweight=".53998pt" strokecolor="#000000"/>
            <v:line style="position:absolute" from="3869,966" to="5450,966" stroked="true" strokeweight=".06pt" strokecolor="#000000"/>
            <v:line style="position:absolute" from="3869,973" to="5450,973" stroked="true" strokeweight=".53998pt" strokecolor="#000000"/>
            <v:line style="position:absolute" from="3848,217" to="3859,1256" stroked="true" strokeweight="2.647pt" strokecolor="#ffffff"/>
            <v:shape style="position:absolute;left:924;top:368;width:1218;height:934" type="#_x0000_t202" filled="false" stroked="false">
              <v:textbox inset="0,0,0,0">
                <w:txbxContent>
                  <w:p>
                    <w:pPr>
                      <w:tabs>
                        <w:tab w:pos="1111" w:val="right" w:leader="none"/>
                      </w:tabs>
                      <w:spacing w:line="193" w:lineRule="exact" w:before="0"/>
                      <w:ind w:left="98" w:right="0" w:firstLine="0"/>
                      <w:jc w:val="left"/>
                      <w:rPr>
                        <w:rFonts w:ascii="Arial"/>
                        <w:sz w:val="19"/>
                      </w:rPr>
                    </w:pPr>
                    <w:r>
                      <w:rPr>
                        <w:rFonts w:ascii="Arial"/>
                        <w:w w:val="65"/>
                        <w:sz w:val="19"/>
                      </w:rPr>
                      <w:t>Participants</w:t>
                      <w:tab/>
                      <w:t>1</w:t>
                    </w:r>
                  </w:p>
                  <w:p>
                    <w:pPr>
                      <w:tabs>
                        <w:tab w:pos="1216" w:val="right" w:leader="none"/>
                      </w:tabs>
                      <w:spacing w:before="159"/>
                      <w:ind w:left="0" w:right="0" w:firstLine="0"/>
                      <w:jc w:val="left"/>
                      <w:rPr>
                        <w:rFonts w:ascii="Arial"/>
                        <w:sz w:val="19"/>
                      </w:rPr>
                    </w:pPr>
                    <w:r>
                      <w:rPr>
                        <w:rFonts w:ascii="Arial"/>
                        <w:spacing w:val="-3"/>
                        <w:w w:val="60"/>
                        <w:sz w:val="19"/>
                      </w:rPr>
                      <w:t>Mental</w:t>
                    </w:r>
                    <w:r>
                      <w:rPr>
                        <w:rFonts w:ascii="Arial"/>
                        <w:spacing w:val="-18"/>
                        <w:w w:val="60"/>
                        <w:sz w:val="19"/>
                      </w:rPr>
                      <w:t> </w:t>
                    </w:r>
                    <w:r>
                      <w:rPr>
                        <w:rFonts w:ascii="Arial"/>
                        <w:w w:val="60"/>
                        <w:sz w:val="19"/>
                      </w:rPr>
                      <w:t>workload</w:t>
                      <w:tab/>
                      <w:t>28.33</w:t>
                    </w:r>
                  </w:p>
                  <w:p>
                    <w:pPr>
                      <w:spacing w:line="240" w:lineRule="auto" w:before="7"/>
                      <w:rPr>
                        <w:sz w:val="14"/>
                      </w:rPr>
                    </w:pPr>
                  </w:p>
                  <w:p>
                    <w:pPr>
                      <w:spacing w:line="193" w:lineRule="exact" w:before="0"/>
                      <w:ind w:left="198" w:right="0" w:firstLine="0"/>
                      <w:jc w:val="left"/>
                      <w:rPr>
                        <w:rFonts w:ascii="Arial"/>
                        <w:sz w:val="17"/>
                      </w:rPr>
                    </w:pPr>
                    <w:r>
                      <w:rPr>
                        <w:rFonts w:ascii="Arial"/>
                        <w:w w:val="70"/>
                        <w:sz w:val="17"/>
                      </w:rPr>
                      <w:t>Average</w:t>
                    </w:r>
                  </w:p>
                </w:txbxContent>
              </v:textbox>
              <w10:wrap type="none"/>
            </v:shape>
            <v:shape style="position:absolute;left:2479;top:368;width:721;height:815" type="#_x0000_t202" filled="false" stroked="false">
              <v:textbox inset="0,0,0,0">
                <w:txbxContent>
                  <w:p>
                    <w:pPr>
                      <w:tabs>
                        <w:tab w:pos="529" w:val="left" w:leader="none"/>
                      </w:tabs>
                      <w:spacing w:line="193" w:lineRule="exact" w:before="0"/>
                      <w:ind w:left="0" w:right="77" w:firstLine="0"/>
                      <w:jc w:val="center"/>
                      <w:rPr>
                        <w:rFonts w:ascii="Arial"/>
                        <w:sz w:val="19"/>
                      </w:rPr>
                    </w:pPr>
                    <w:r>
                      <w:rPr>
                        <w:rFonts w:ascii="Arial"/>
                        <w:w w:val="65"/>
                        <w:sz w:val="19"/>
                      </w:rPr>
                      <w:t>2</w:t>
                      <w:tab/>
                      <w:t>3</w:t>
                    </w:r>
                  </w:p>
                  <w:p>
                    <w:pPr>
                      <w:tabs>
                        <w:tab w:pos="455" w:val="left" w:leader="none"/>
                      </w:tabs>
                      <w:spacing w:before="159"/>
                      <w:ind w:left="-1" w:right="0" w:firstLine="0"/>
                      <w:jc w:val="center"/>
                      <w:rPr>
                        <w:rFonts w:ascii="Arial"/>
                        <w:sz w:val="19"/>
                      </w:rPr>
                    </w:pPr>
                    <w:r>
                      <w:rPr>
                        <w:rFonts w:ascii="Arial"/>
                        <w:w w:val="65"/>
                        <w:sz w:val="19"/>
                      </w:rPr>
                      <w:t>48</w:t>
                      <w:tab/>
                    </w:r>
                    <w:r>
                      <w:rPr>
                        <w:rFonts w:ascii="Arial"/>
                        <w:spacing w:val="-1"/>
                        <w:w w:val="55"/>
                        <w:sz w:val="19"/>
                      </w:rPr>
                      <w:t>65.67</w:t>
                    </w:r>
                  </w:p>
                  <w:p>
                    <w:pPr>
                      <w:spacing w:line="193" w:lineRule="exact" w:before="50"/>
                      <w:ind w:left="0" w:right="82" w:firstLine="0"/>
                      <w:jc w:val="center"/>
                      <w:rPr>
                        <w:rFonts w:ascii="Arial"/>
                        <w:sz w:val="17"/>
                      </w:rPr>
                    </w:pPr>
                    <w:r>
                      <w:rPr>
                        <w:rFonts w:ascii="Arial"/>
                        <w:w w:val="70"/>
                        <w:sz w:val="17"/>
                      </w:rPr>
                      <w:t>51.6</w:t>
                    </w:r>
                  </w:p>
                </w:txbxContent>
              </v:textbox>
              <w10:wrap type="none"/>
            </v:shape>
            <v:shape style="position:absolute;left:3466;top:368;width:721;height:567" type="#_x0000_t202" filled="false" stroked="false">
              <v:textbox inset="0,0,0,0">
                <w:txbxContent>
                  <w:p>
                    <w:pPr>
                      <w:tabs>
                        <w:tab w:pos="628" w:val="left" w:leader="none"/>
                      </w:tabs>
                      <w:spacing w:line="193" w:lineRule="exact" w:before="0"/>
                      <w:ind w:left="98" w:right="0" w:firstLine="0"/>
                      <w:jc w:val="left"/>
                      <w:rPr>
                        <w:rFonts w:ascii="Arial"/>
                        <w:sz w:val="19"/>
                      </w:rPr>
                    </w:pPr>
                    <w:r>
                      <w:rPr>
                        <w:rFonts w:ascii="Arial"/>
                        <w:w w:val="65"/>
                        <w:sz w:val="19"/>
                      </w:rPr>
                      <w:t>4</w:t>
                      <w:tab/>
                      <w:t>5</w:t>
                    </w:r>
                  </w:p>
                  <w:p>
                    <w:pPr>
                      <w:tabs>
                        <w:tab w:pos="602" w:val="left" w:leader="none"/>
                      </w:tabs>
                      <w:spacing w:line="214" w:lineRule="exact" w:before="159"/>
                      <w:ind w:left="0" w:right="0" w:firstLine="0"/>
                      <w:jc w:val="left"/>
                      <w:rPr>
                        <w:rFonts w:ascii="Arial"/>
                        <w:sz w:val="19"/>
                      </w:rPr>
                    </w:pPr>
                    <w:r>
                      <w:rPr>
                        <w:rFonts w:ascii="Arial"/>
                        <w:w w:val="65"/>
                        <w:sz w:val="19"/>
                      </w:rPr>
                      <w:t>64.33</w:t>
                      <w:tab/>
                    </w:r>
                    <w:r>
                      <w:rPr>
                        <w:rFonts w:ascii="Arial"/>
                        <w:w w:val="55"/>
                        <w:sz w:val="19"/>
                      </w:rPr>
                      <w:t>65</w:t>
                    </w:r>
                  </w:p>
                </w:txbxContent>
              </v:textbox>
              <w10:wrap type="none"/>
            </v:shape>
            <v:shape style="position:absolute;left:4524;top:368;width:266;height:815" type="#_x0000_t202" filled="false" stroked="false">
              <v:textbox inset="0,0,0,0">
                <w:txbxContent>
                  <w:p>
                    <w:pPr>
                      <w:spacing w:line="193" w:lineRule="exact" w:before="0"/>
                      <w:ind w:left="0" w:right="5" w:firstLine="0"/>
                      <w:jc w:val="center"/>
                      <w:rPr>
                        <w:rFonts w:ascii="Arial"/>
                        <w:sz w:val="19"/>
                      </w:rPr>
                    </w:pPr>
                    <w:r>
                      <w:rPr>
                        <w:rFonts w:ascii="Arial"/>
                        <w:w w:val="55"/>
                        <w:sz w:val="19"/>
                      </w:rPr>
                      <w:t>6</w:t>
                    </w:r>
                  </w:p>
                  <w:p>
                    <w:pPr>
                      <w:spacing w:before="159"/>
                      <w:ind w:left="0" w:right="0" w:firstLine="0"/>
                      <w:jc w:val="center"/>
                      <w:rPr>
                        <w:rFonts w:ascii="Arial"/>
                        <w:sz w:val="19"/>
                      </w:rPr>
                    </w:pPr>
                    <w:r>
                      <w:rPr>
                        <w:rFonts w:ascii="Arial"/>
                        <w:w w:val="55"/>
                        <w:sz w:val="19"/>
                      </w:rPr>
                      <w:t>49.67</w:t>
                    </w:r>
                  </w:p>
                  <w:p>
                    <w:pPr>
                      <w:spacing w:line="193" w:lineRule="exact" w:before="50"/>
                      <w:ind w:left="0" w:right="8" w:firstLine="0"/>
                      <w:jc w:val="center"/>
                      <w:rPr>
                        <w:rFonts w:ascii="Arial"/>
                        <w:sz w:val="17"/>
                      </w:rPr>
                    </w:pPr>
                    <w:r>
                      <w:rPr>
                        <w:rFonts w:ascii="Arial"/>
                        <w:w w:val="60"/>
                        <w:sz w:val="17"/>
                      </w:rPr>
                      <w:t>49.1</w:t>
                    </w:r>
                  </w:p>
                </w:txbxContent>
              </v:textbox>
              <w10:wrap type="none"/>
            </v:shape>
            <v:shape style="position:absolute;left:5053;top:250;width:854;height:692" type="#_x0000_t202" filled="false" stroked="false">
              <v:textbox inset="0,0,0,0">
                <w:txbxContent>
                  <w:p>
                    <w:pPr>
                      <w:tabs>
                        <w:tab w:pos="483" w:val="left" w:leader="none"/>
                      </w:tabs>
                      <w:spacing w:line="127" w:lineRule="auto" w:before="58"/>
                      <w:ind w:left="476" w:right="0" w:hanging="377"/>
                      <w:jc w:val="left"/>
                      <w:rPr>
                        <w:rFonts w:ascii="Arial"/>
                        <w:sz w:val="19"/>
                      </w:rPr>
                    </w:pPr>
                    <w:r>
                      <w:rPr>
                        <w:rFonts w:ascii="Arial"/>
                        <w:w w:val="65"/>
                        <w:position w:val="-11"/>
                        <w:sz w:val="19"/>
                      </w:rPr>
                      <w:t>7</w:t>
                      <w:tab/>
                      <w:tab/>
                    </w:r>
                    <w:r>
                      <w:rPr>
                        <w:rFonts w:ascii="Arial"/>
                        <w:spacing w:val="-2"/>
                        <w:w w:val="55"/>
                        <w:sz w:val="19"/>
                      </w:rPr>
                      <w:t>General </w:t>
                    </w:r>
                    <w:r>
                      <w:rPr>
                        <w:rFonts w:ascii="Arial"/>
                        <w:spacing w:val="-1"/>
                        <w:w w:val="55"/>
                        <w:sz w:val="19"/>
                      </w:rPr>
                      <w:t>average</w:t>
                    </w:r>
                  </w:p>
                  <w:p>
                    <w:pPr>
                      <w:tabs>
                        <w:tab w:pos="569" w:val="left" w:leader="none"/>
                      </w:tabs>
                      <w:spacing w:line="224" w:lineRule="exact" w:before="58"/>
                      <w:ind w:left="0" w:right="0" w:firstLine="0"/>
                      <w:jc w:val="left"/>
                      <w:rPr>
                        <w:rFonts w:ascii="Arial"/>
                        <w:b/>
                        <w:sz w:val="19"/>
                      </w:rPr>
                    </w:pPr>
                    <w:r>
                      <w:rPr>
                        <w:rFonts w:ascii="Arial"/>
                        <w:w w:val="65"/>
                        <w:position w:val="1"/>
                        <w:sz w:val="19"/>
                      </w:rPr>
                      <w:t>32.67</w:t>
                      <w:tab/>
                    </w:r>
                    <w:r>
                      <w:rPr>
                        <w:rFonts w:ascii="Arial"/>
                        <w:b/>
                        <w:w w:val="65"/>
                        <w:sz w:val="19"/>
                      </w:rPr>
                      <w:t>50.5</w:t>
                    </w:r>
                  </w:p>
                </w:txbxContent>
              </v:textbox>
              <w10:wrap type="none"/>
            </v:shape>
            <w10:wrap type="none"/>
          </v:group>
        </w:pict>
      </w:r>
      <w:r>
        <w:rPr>
          <w:sz w:val="18"/>
        </w:rPr>
        <w:t>Table 1. Hierarchical Task Analysis</w:t>
      </w:r>
    </w:p>
    <w:p>
      <w:pPr>
        <w:pStyle w:val="BodyText"/>
        <w:rPr>
          <w:sz w:val="25"/>
        </w:rPr>
      </w:pPr>
      <w:r>
        <w:rPr/>
        <w:br w:type="column"/>
      </w:r>
      <w:r>
        <w:rPr>
          <w:sz w:val="25"/>
        </w:rPr>
      </w:r>
    </w:p>
    <w:p>
      <w:pPr>
        <w:spacing w:before="0"/>
        <w:ind w:left="270" w:right="0" w:firstLine="0"/>
        <w:jc w:val="left"/>
        <w:rPr>
          <w:rFonts w:ascii="Cambria"/>
          <w:sz w:val="18"/>
        </w:rPr>
      </w:pPr>
      <w:r>
        <w:rPr>
          <w:rFonts w:ascii="Cambria"/>
          <w:color w:val="233F5E"/>
          <w:sz w:val="18"/>
        </w:rPr>
        <w:t>Table 2. Mental Workload results</w:t>
      </w:r>
    </w:p>
    <w:p>
      <w:pPr>
        <w:spacing w:after="0"/>
        <w:jc w:val="left"/>
        <w:rPr>
          <w:rFonts w:ascii="Cambria"/>
          <w:sz w:val="18"/>
        </w:rPr>
        <w:sectPr>
          <w:type w:val="continuous"/>
          <w:pgSz w:w="12240" w:h="15840"/>
          <w:pgMar w:top="1500" w:bottom="280" w:left="580" w:right="220"/>
          <w:cols w:num="2" w:equalWidth="0">
            <w:col w:w="5163" w:space="1606"/>
            <w:col w:w="4671"/>
          </w:cols>
        </w:sectPr>
      </w:pPr>
    </w:p>
    <w:p>
      <w:pPr>
        <w:pStyle w:val="BodyText"/>
        <w:rPr>
          <w:rFonts w:ascii="Cambria"/>
        </w:rPr>
      </w:pPr>
    </w:p>
    <w:p>
      <w:pPr>
        <w:pStyle w:val="BodyText"/>
        <w:rPr>
          <w:rFonts w:ascii="Cambria"/>
        </w:rPr>
      </w:pPr>
    </w:p>
    <w:p>
      <w:pPr>
        <w:pStyle w:val="BodyText"/>
        <w:rPr>
          <w:rFonts w:ascii="Cambria"/>
        </w:rPr>
      </w:pPr>
    </w:p>
    <w:p>
      <w:pPr>
        <w:pStyle w:val="BodyText"/>
        <w:spacing w:before="3"/>
        <w:rPr>
          <w:rFonts w:ascii="Cambria"/>
        </w:rPr>
      </w:pPr>
    </w:p>
    <w:p>
      <w:pPr>
        <w:tabs>
          <w:tab w:pos="1164" w:val="left" w:leader="none"/>
          <w:tab w:pos="1686" w:val="left" w:leader="none"/>
          <w:tab w:pos="2752" w:val="left" w:leader="none"/>
          <w:tab w:pos="3288" w:val="left" w:leader="none"/>
          <w:tab w:pos="3725" w:val="left" w:leader="none"/>
          <w:tab w:pos="4870" w:val="left" w:leader="none"/>
        </w:tabs>
        <w:spacing w:before="84"/>
        <w:ind w:left="270" w:right="6276" w:firstLine="0"/>
        <w:jc w:val="left"/>
        <w:rPr>
          <w:rFonts w:ascii="Arial"/>
          <w:b/>
          <w:sz w:val="17"/>
        </w:rPr>
      </w:pPr>
      <w:r>
        <w:rPr/>
        <w:pict>
          <v:shape style="position:absolute;margin-left:344.040009pt;margin-top:-315.006989pt;width:178pt;height:426.7pt;mso-position-horizontal-relative:page;mso-position-vertical-relative:paragraph;z-index:3784"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72"/>
                    <w:gridCol w:w="478"/>
                    <w:gridCol w:w="2495"/>
                  </w:tblGrid>
                  <w:tr>
                    <w:trPr>
                      <w:trHeight w:val="253" w:hRule="exact"/>
                    </w:trPr>
                    <w:tc>
                      <w:tcPr>
                        <w:tcW w:w="572" w:type="dxa"/>
                      </w:tcPr>
                      <w:p>
                        <w:pPr>
                          <w:pStyle w:val="TableParagraph"/>
                          <w:spacing w:before="16"/>
                          <w:jc w:val="center"/>
                          <w:rPr>
                            <w:b/>
                            <w:sz w:val="18"/>
                          </w:rPr>
                        </w:pPr>
                        <w:r>
                          <w:rPr>
                            <w:b/>
                            <w:sz w:val="18"/>
                          </w:rPr>
                          <w:t>1</w:t>
                        </w:r>
                      </w:p>
                    </w:tc>
                    <w:tc>
                      <w:tcPr>
                        <w:tcW w:w="2972" w:type="dxa"/>
                        <w:gridSpan w:val="2"/>
                      </w:tcPr>
                      <w:p>
                        <w:pPr>
                          <w:pStyle w:val="TableParagraph"/>
                          <w:spacing w:before="16"/>
                          <w:ind w:left="64"/>
                          <w:rPr>
                            <w:b/>
                            <w:sz w:val="18"/>
                          </w:rPr>
                        </w:pPr>
                        <w:r>
                          <w:rPr>
                            <w:b/>
                            <w:sz w:val="18"/>
                          </w:rPr>
                          <w:t>Reception of samples for laboratory</w:t>
                        </w:r>
                      </w:p>
                    </w:tc>
                  </w:tr>
                  <w:tr>
                    <w:trPr>
                      <w:trHeight w:val="498" w:hRule="exact"/>
                    </w:trPr>
                    <w:tc>
                      <w:tcPr>
                        <w:tcW w:w="572" w:type="dxa"/>
                      </w:tcPr>
                      <w:p>
                        <w:pPr>
                          <w:pStyle w:val="TableParagraph"/>
                          <w:spacing w:before="33"/>
                          <w:ind w:left="236" w:right="102" w:hanging="116"/>
                          <w:rPr>
                            <w:sz w:val="18"/>
                          </w:rPr>
                        </w:pPr>
                        <w:r>
                          <w:rPr>
                            <w:sz w:val="18"/>
                          </w:rPr>
                          <w:t>Plan 0</w:t>
                        </w:r>
                      </w:p>
                    </w:tc>
                    <w:tc>
                      <w:tcPr>
                        <w:tcW w:w="2972" w:type="dxa"/>
                        <w:gridSpan w:val="2"/>
                      </w:tcPr>
                      <w:p>
                        <w:pPr>
                          <w:pStyle w:val="TableParagraph"/>
                          <w:spacing w:before="33"/>
                          <w:ind w:left="64" w:right="209"/>
                          <w:rPr>
                            <w:sz w:val="18"/>
                          </w:rPr>
                        </w:pPr>
                        <w:r>
                          <w:rPr>
                            <w:sz w:val="18"/>
                          </w:rPr>
                          <w:t>Do B, then C, then D, then E y either of E or F</w:t>
                        </w:r>
                      </w:p>
                    </w:tc>
                  </w:tr>
                  <w:tr>
                    <w:trPr>
                      <w:trHeight w:val="254" w:hRule="exact"/>
                    </w:trPr>
                    <w:tc>
                      <w:tcPr>
                        <w:tcW w:w="572" w:type="dxa"/>
                      </w:tcPr>
                      <w:p>
                        <w:pPr>
                          <w:pStyle w:val="TableParagraph"/>
                          <w:spacing w:before="18"/>
                          <w:ind w:right="1"/>
                          <w:jc w:val="center"/>
                          <w:rPr>
                            <w:b/>
                            <w:sz w:val="18"/>
                          </w:rPr>
                        </w:pPr>
                        <w:r>
                          <w:rPr>
                            <w:b/>
                            <w:sz w:val="18"/>
                          </w:rPr>
                          <w:t>B</w:t>
                        </w:r>
                      </w:p>
                    </w:tc>
                    <w:tc>
                      <w:tcPr>
                        <w:tcW w:w="2972" w:type="dxa"/>
                        <w:gridSpan w:val="2"/>
                      </w:tcPr>
                      <w:p>
                        <w:pPr>
                          <w:pStyle w:val="TableParagraph"/>
                          <w:spacing w:before="37"/>
                          <w:ind w:left="64"/>
                          <w:rPr>
                            <w:b/>
                            <w:sz w:val="18"/>
                          </w:rPr>
                        </w:pPr>
                        <w:r>
                          <w:rPr>
                            <w:b/>
                            <w:sz w:val="18"/>
                          </w:rPr>
                          <w:t>Received the patient</w:t>
                        </w:r>
                      </w:p>
                    </w:tc>
                  </w:tr>
                  <w:tr>
                    <w:trPr>
                      <w:trHeight w:val="486" w:hRule="exact"/>
                    </w:trPr>
                    <w:tc>
                      <w:tcPr>
                        <w:tcW w:w="572" w:type="dxa"/>
                      </w:tcPr>
                      <w:p>
                        <w:pPr>
                          <w:pStyle w:val="TableParagraph"/>
                          <w:spacing w:before="26"/>
                          <w:ind w:left="236" w:right="102" w:hanging="116"/>
                          <w:rPr>
                            <w:sz w:val="18"/>
                          </w:rPr>
                        </w:pPr>
                        <w:r>
                          <w:rPr>
                            <w:sz w:val="18"/>
                          </w:rPr>
                          <w:t>Plan 1</w:t>
                        </w:r>
                      </w:p>
                    </w:tc>
                    <w:tc>
                      <w:tcPr>
                        <w:tcW w:w="2972" w:type="dxa"/>
                        <w:gridSpan w:val="2"/>
                      </w:tcPr>
                      <w:p>
                        <w:pPr>
                          <w:pStyle w:val="TableParagraph"/>
                          <w:spacing w:before="26"/>
                          <w:ind w:left="64"/>
                          <w:rPr>
                            <w:sz w:val="18"/>
                          </w:rPr>
                        </w:pPr>
                        <w:r>
                          <w:rPr>
                            <w:sz w:val="18"/>
                          </w:rPr>
                          <w:t>Do B1, then B2, then B3, (if it is complete finish, if not B4)</w:t>
                        </w:r>
                      </w:p>
                    </w:tc>
                  </w:tr>
                  <w:tr>
                    <w:trPr>
                      <w:trHeight w:val="254" w:hRule="exact"/>
                    </w:trPr>
                    <w:tc>
                      <w:tcPr>
                        <w:tcW w:w="572" w:type="dxa"/>
                        <w:vMerge w:val="restart"/>
                        <w:tcBorders>
                          <w:left w:val="nil"/>
                        </w:tcBorders>
                      </w:tcPr>
                      <w:p>
                        <w:pPr/>
                      </w:p>
                    </w:tc>
                    <w:tc>
                      <w:tcPr>
                        <w:tcW w:w="478" w:type="dxa"/>
                      </w:tcPr>
                      <w:p>
                        <w:pPr>
                          <w:pStyle w:val="TableParagraph"/>
                          <w:spacing w:before="36"/>
                          <w:ind w:left="64"/>
                          <w:rPr>
                            <w:b/>
                            <w:sz w:val="18"/>
                          </w:rPr>
                        </w:pPr>
                        <w:r>
                          <w:rPr>
                            <w:b/>
                            <w:sz w:val="18"/>
                          </w:rPr>
                          <w:t>B1</w:t>
                        </w:r>
                      </w:p>
                    </w:tc>
                    <w:tc>
                      <w:tcPr>
                        <w:tcW w:w="2495" w:type="dxa"/>
                      </w:tcPr>
                      <w:p>
                        <w:pPr>
                          <w:pStyle w:val="TableParagraph"/>
                          <w:spacing w:before="14"/>
                          <w:ind w:left="64"/>
                          <w:rPr>
                            <w:sz w:val="18"/>
                          </w:rPr>
                        </w:pPr>
                        <w:r>
                          <w:rPr>
                            <w:sz w:val="18"/>
                          </w:rPr>
                          <w:t>ask a doctor's order</w:t>
                        </w:r>
                      </w:p>
                    </w:tc>
                  </w:tr>
                  <w:tr>
                    <w:trPr>
                      <w:trHeight w:val="253" w:hRule="exact"/>
                    </w:trPr>
                    <w:tc>
                      <w:tcPr>
                        <w:tcW w:w="572" w:type="dxa"/>
                        <w:vMerge/>
                        <w:tcBorders>
                          <w:left w:val="nil"/>
                        </w:tcBorders>
                      </w:tcPr>
                      <w:p>
                        <w:pPr/>
                      </w:p>
                    </w:tc>
                    <w:tc>
                      <w:tcPr>
                        <w:tcW w:w="478" w:type="dxa"/>
                      </w:tcPr>
                      <w:p>
                        <w:pPr>
                          <w:pStyle w:val="TableParagraph"/>
                          <w:spacing w:before="36"/>
                          <w:ind w:left="64"/>
                          <w:rPr>
                            <w:b/>
                            <w:sz w:val="18"/>
                          </w:rPr>
                        </w:pPr>
                        <w:r>
                          <w:rPr>
                            <w:b/>
                            <w:sz w:val="18"/>
                          </w:rPr>
                          <w:t>B2</w:t>
                        </w:r>
                      </w:p>
                    </w:tc>
                    <w:tc>
                      <w:tcPr>
                        <w:tcW w:w="2495" w:type="dxa"/>
                      </w:tcPr>
                      <w:p>
                        <w:pPr>
                          <w:pStyle w:val="TableParagraph"/>
                          <w:spacing w:before="32"/>
                          <w:ind w:left="64"/>
                          <w:rPr>
                            <w:sz w:val="18"/>
                          </w:rPr>
                        </w:pPr>
                        <w:r>
                          <w:rPr>
                            <w:sz w:val="18"/>
                          </w:rPr>
                          <w:t>Capture of personal data</w:t>
                        </w:r>
                      </w:p>
                    </w:tc>
                  </w:tr>
                  <w:tr>
                    <w:trPr>
                      <w:trHeight w:val="254" w:hRule="exact"/>
                    </w:trPr>
                    <w:tc>
                      <w:tcPr>
                        <w:tcW w:w="572" w:type="dxa"/>
                        <w:vMerge/>
                        <w:tcBorders>
                          <w:left w:val="nil"/>
                        </w:tcBorders>
                      </w:tcPr>
                      <w:p>
                        <w:pPr/>
                      </w:p>
                    </w:tc>
                    <w:tc>
                      <w:tcPr>
                        <w:tcW w:w="478" w:type="dxa"/>
                      </w:tcPr>
                      <w:p>
                        <w:pPr>
                          <w:pStyle w:val="TableParagraph"/>
                          <w:spacing w:before="36"/>
                          <w:ind w:left="64"/>
                          <w:rPr>
                            <w:b/>
                            <w:sz w:val="18"/>
                          </w:rPr>
                        </w:pPr>
                        <w:r>
                          <w:rPr>
                            <w:b/>
                            <w:sz w:val="18"/>
                          </w:rPr>
                          <w:t>B3</w:t>
                        </w:r>
                      </w:p>
                    </w:tc>
                    <w:tc>
                      <w:tcPr>
                        <w:tcW w:w="2495" w:type="dxa"/>
                      </w:tcPr>
                      <w:p>
                        <w:pPr>
                          <w:pStyle w:val="TableParagraph"/>
                          <w:spacing w:before="32"/>
                          <w:ind w:left="64"/>
                          <w:rPr>
                            <w:sz w:val="18"/>
                          </w:rPr>
                        </w:pPr>
                        <w:r>
                          <w:rPr>
                            <w:sz w:val="18"/>
                          </w:rPr>
                          <w:t>Data capture of system required</w:t>
                        </w:r>
                      </w:p>
                    </w:tc>
                  </w:tr>
                  <w:tr>
                    <w:trPr>
                      <w:trHeight w:val="254" w:hRule="exact"/>
                    </w:trPr>
                    <w:tc>
                      <w:tcPr>
                        <w:tcW w:w="572" w:type="dxa"/>
                        <w:vMerge/>
                        <w:tcBorders>
                          <w:left w:val="nil"/>
                        </w:tcBorders>
                      </w:tcPr>
                      <w:p>
                        <w:pPr/>
                      </w:p>
                    </w:tc>
                    <w:tc>
                      <w:tcPr>
                        <w:tcW w:w="478" w:type="dxa"/>
                      </w:tcPr>
                      <w:p>
                        <w:pPr>
                          <w:pStyle w:val="TableParagraph"/>
                          <w:spacing w:before="36"/>
                          <w:ind w:left="64"/>
                          <w:rPr>
                            <w:b/>
                            <w:sz w:val="18"/>
                          </w:rPr>
                        </w:pPr>
                        <w:r>
                          <w:rPr>
                            <w:b/>
                            <w:sz w:val="18"/>
                          </w:rPr>
                          <w:t>B4</w:t>
                        </w:r>
                      </w:p>
                    </w:tc>
                    <w:tc>
                      <w:tcPr>
                        <w:tcW w:w="2495" w:type="dxa"/>
                      </w:tcPr>
                      <w:p>
                        <w:pPr>
                          <w:pStyle w:val="TableParagraph"/>
                          <w:spacing w:before="32"/>
                          <w:ind w:left="64"/>
                          <w:rPr>
                            <w:sz w:val="18"/>
                          </w:rPr>
                        </w:pPr>
                        <w:r>
                          <w:rPr>
                            <w:sz w:val="18"/>
                          </w:rPr>
                          <w:t>Search code</w:t>
                        </w:r>
                      </w:p>
                    </w:tc>
                  </w:tr>
                  <w:tr>
                    <w:trPr>
                      <w:trHeight w:val="253" w:hRule="exact"/>
                    </w:trPr>
                    <w:tc>
                      <w:tcPr>
                        <w:tcW w:w="572" w:type="dxa"/>
                      </w:tcPr>
                      <w:p>
                        <w:pPr>
                          <w:pStyle w:val="TableParagraph"/>
                          <w:spacing w:before="16"/>
                          <w:jc w:val="center"/>
                          <w:rPr>
                            <w:b/>
                            <w:sz w:val="18"/>
                          </w:rPr>
                        </w:pPr>
                        <w:r>
                          <w:rPr>
                            <w:b/>
                            <w:sz w:val="18"/>
                          </w:rPr>
                          <w:t>C</w:t>
                        </w:r>
                      </w:p>
                    </w:tc>
                    <w:tc>
                      <w:tcPr>
                        <w:tcW w:w="2972" w:type="dxa"/>
                        <w:gridSpan w:val="2"/>
                      </w:tcPr>
                      <w:p>
                        <w:pPr>
                          <w:pStyle w:val="TableParagraph"/>
                          <w:spacing w:before="36"/>
                          <w:ind w:left="64"/>
                          <w:rPr>
                            <w:b/>
                            <w:sz w:val="18"/>
                          </w:rPr>
                        </w:pPr>
                        <w:r>
                          <w:rPr>
                            <w:b/>
                            <w:sz w:val="18"/>
                          </w:rPr>
                          <w:t>Put bracelet</w:t>
                        </w:r>
                      </w:p>
                    </w:tc>
                  </w:tr>
                  <w:tr>
                    <w:trPr>
                      <w:trHeight w:val="425" w:hRule="exact"/>
                    </w:trPr>
                    <w:tc>
                      <w:tcPr>
                        <w:tcW w:w="572" w:type="dxa"/>
                      </w:tcPr>
                      <w:p>
                        <w:pPr>
                          <w:pStyle w:val="TableParagraph"/>
                          <w:ind w:left="236" w:right="102" w:hanging="116"/>
                          <w:rPr>
                            <w:sz w:val="18"/>
                          </w:rPr>
                        </w:pPr>
                        <w:r>
                          <w:rPr>
                            <w:sz w:val="18"/>
                          </w:rPr>
                          <w:t>Plan 2</w:t>
                        </w:r>
                      </w:p>
                    </w:tc>
                    <w:tc>
                      <w:tcPr>
                        <w:tcW w:w="2972" w:type="dxa"/>
                        <w:gridSpan w:val="2"/>
                      </w:tcPr>
                      <w:p>
                        <w:pPr>
                          <w:pStyle w:val="TableParagraph"/>
                          <w:spacing w:before="7"/>
                          <w:rPr>
                            <w:sz w:val="17"/>
                          </w:rPr>
                        </w:pPr>
                      </w:p>
                      <w:p>
                        <w:pPr>
                          <w:pStyle w:val="TableParagraph"/>
                          <w:ind w:left="64"/>
                          <w:rPr>
                            <w:sz w:val="18"/>
                          </w:rPr>
                        </w:pPr>
                        <w:r>
                          <w:rPr>
                            <w:sz w:val="18"/>
                          </w:rPr>
                          <w:t>Do C1</w:t>
                        </w:r>
                      </w:p>
                    </w:tc>
                  </w:tr>
                  <w:tr>
                    <w:trPr>
                      <w:trHeight w:val="253" w:hRule="exact"/>
                    </w:trPr>
                    <w:tc>
                      <w:tcPr>
                        <w:tcW w:w="572" w:type="dxa"/>
                        <w:tcBorders>
                          <w:left w:val="nil"/>
                        </w:tcBorders>
                      </w:tcPr>
                      <w:p>
                        <w:pPr/>
                      </w:p>
                    </w:tc>
                    <w:tc>
                      <w:tcPr>
                        <w:tcW w:w="478" w:type="dxa"/>
                      </w:tcPr>
                      <w:p>
                        <w:pPr>
                          <w:pStyle w:val="TableParagraph"/>
                          <w:spacing w:before="36"/>
                          <w:ind w:left="64"/>
                          <w:rPr>
                            <w:b/>
                            <w:sz w:val="18"/>
                          </w:rPr>
                        </w:pPr>
                        <w:r>
                          <w:rPr>
                            <w:b/>
                            <w:sz w:val="18"/>
                          </w:rPr>
                          <w:t>C1</w:t>
                        </w:r>
                      </w:p>
                    </w:tc>
                    <w:tc>
                      <w:tcPr>
                        <w:tcW w:w="2495" w:type="dxa"/>
                      </w:tcPr>
                      <w:p>
                        <w:pPr>
                          <w:pStyle w:val="TableParagraph"/>
                          <w:spacing w:before="32"/>
                          <w:ind w:left="64"/>
                          <w:rPr>
                            <w:sz w:val="18"/>
                          </w:rPr>
                        </w:pPr>
                        <w:r>
                          <w:rPr>
                            <w:sz w:val="18"/>
                          </w:rPr>
                          <w:t>Fill bracelet</w:t>
                        </w:r>
                      </w:p>
                    </w:tc>
                  </w:tr>
                  <w:tr>
                    <w:trPr>
                      <w:trHeight w:val="254" w:hRule="exact"/>
                    </w:trPr>
                    <w:tc>
                      <w:tcPr>
                        <w:tcW w:w="572" w:type="dxa"/>
                      </w:tcPr>
                      <w:p>
                        <w:pPr>
                          <w:pStyle w:val="TableParagraph"/>
                          <w:spacing w:before="18"/>
                          <w:jc w:val="center"/>
                          <w:rPr>
                            <w:b/>
                            <w:sz w:val="18"/>
                          </w:rPr>
                        </w:pPr>
                        <w:r>
                          <w:rPr>
                            <w:b/>
                            <w:sz w:val="18"/>
                          </w:rPr>
                          <w:t>D</w:t>
                        </w:r>
                      </w:p>
                    </w:tc>
                    <w:tc>
                      <w:tcPr>
                        <w:tcW w:w="2972" w:type="dxa"/>
                        <w:gridSpan w:val="2"/>
                      </w:tcPr>
                      <w:p>
                        <w:pPr>
                          <w:pStyle w:val="TableParagraph"/>
                          <w:spacing w:before="36"/>
                          <w:ind w:left="64"/>
                          <w:rPr>
                            <w:b/>
                            <w:sz w:val="18"/>
                          </w:rPr>
                        </w:pPr>
                        <w:r>
                          <w:rPr>
                            <w:b/>
                            <w:sz w:val="18"/>
                          </w:rPr>
                          <w:t>Send patient waiting room</w:t>
                        </w:r>
                      </w:p>
                    </w:tc>
                  </w:tr>
                  <w:tr>
                    <w:trPr>
                      <w:trHeight w:val="424" w:hRule="exact"/>
                    </w:trPr>
                    <w:tc>
                      <w:tcPr>
                        <w:tcW w:w="572" w:type="dxa"/>
                      </w:tcPr>
                      <w:p>
                        <w:pPr>
                          <w:pStyle w:val="TableParagraph"/>
                          <w:ind w:left="236" w:right="102" w:hanging="116"/>
                          <w:rPr>
                            <w:sz w:val="18"/>
                          </w:rPr>
                        </w:pPr>
                        <w:r>
                          <w:rPr>
                            <w:sz w:val="18"/>
                          </w:rPr>
                          <w:t>Plan 3</w:t>
                        </w:r>
                      </w:p>
                    </w:tc>
                    <w:tc>
                      <w:tcPr>
                        <w:tcW w:w="2972" w:type="dxa"/>
                        <w:gridSpan w:val="2"/>
                      </w:tcPr>
                      <w:p>
                        <w:pPr>
                          <w:pStyle w:val="TableParagraph"/>
                          <w:spacing w:before="7"/>
                          <w:rPr>
                            <w:sz w:val="17"/>
                          </w:rPr>
                        </w:pPr>
                      </w:p>
                      <w:p>
                        <w:pPr>
                          <w:pStyle w:val="TableParagraph"/>
                          <w:ind w:left="64"/>
                          <w:rPr>
                            <w:sz w:val="18"/>
                          </w:rPr>
                        </w:pPr>
                        <w:r>
                          <w:rPr>
                            <w:sz w:val="18"/>
                          </w:rPr>
                          <w:t>Do D1</w:t>
                        </w:r>
                      </w:p>
                    </w:tc>
                  </w:tr>
                  <w:tr>
                    <w:trPr>
                      <w:trHeight w:val="425" w:hRule="exact"/>
                    </w:trPr>
                    <w:tc>
                      <w:tcPr>
                        <w:tcW w:w="572" w:type="dxa"/>
                        <w:tcBorders>
                          <w:left w:val="nil"/>
                        </w:tcBorders>
                      </w:tcPr>
                      <w:p>
                        <w:pPr/>
                      </w:p>
                    </w:tc>
                    <w:tc>
                      <w:tcPr>
                        <w:tcW w:w="478" w:type="dxa"/>
                      </w:tcPr>
                      <w:p>
                        <w:pPr>
                          <w:pStyle w:val="TableParagraph"/>
                          <w:spacing w:before="10"/>
                          <w:rPr>
                            <w:sz w:val="17"/>
                          </w:rPr>
                        </w:pPr>
                      </w:p>
                      <w:p>
                        <w:pPr>
                          <w:pStyle w:val="TableParagraph"/>
                          <w:spacing w:before="1"/>
                          <w:ind w:left="64"/>
                          <w:rPr>
                            <w:b/>
                            <w:sz w:val="18"/>
                          </w:rPr>
                        </w:pPr>
                        <w:r>
                          <w:rPr>
                            <w:b/>
                            <w:sz w:val="18"/>
                          </w:rPr>
                          <w:t>D1</w:t>
                        </w:r>
                      </w:p>
                    </w:tc>
                    <w:tc>
                      <w:tcPr>
                        <w:tcW w:w="2495" w:type="dxa"/>
                      </w:tcPr>
                      <w:p>
                        <w:pPr>
                          <w:pStyle w:val="TableParagraph"/>
                          <w:ind w:left="64" w:right="574"/>
                          <w:rPr>
                            <w:sz w:val="18"/>
                          </w:rPr>
                        </w:pPr>
                        <w:r>
                          <w:rPr>
                            <w:sz w:val="18"/>
                          </w:rPr>
                          <w:t>Instruct the patient's door waiting room</w:t>
                        </w:r>
                      </w:p>
                    </w:tc>
                  </w:tr>
                  <w:tr>
                    <w:trPr>
                      <w:trHeight w:val="253" w:hRule="exact"/>
                    </w:trPr>
                    <w:tc>
                      <w:tcPr>
                        <w:tcW w:w="572" w:type="dxa"/>
                      </w:tcPr>
                      <w:p>
                        <w:pPr>
                          <w:pStyle w:val="TableParagraph"/>
                          <w:spacing w:before="16"/>
                          <w:ind w:right="1"/>
                          <w:jc w:val="center"/>
                          <w:rPr>
                            <w:b/>
                            <w:sz w:val="18"/>
                          </w:rPr>
                        </w:pPr>
                        <w:r>
                          <w:rPr>
                            <w:b/>
                            <w:sz w:val="18"/>
                          </w:rPr>
                          <w:t>E</w:t>
                        </w:r>
                      </w:p>
                    </w:tc>
                    <w:tc>
                      <w:tcPr>
                        <w:tcW w:w="2972" w:type="dxa"/>
                        <w:gridSpan w:val="2"/>
                      </w:tcPr>
                      <w:p>
                        <w:pPr>
                          <w:pStyle w:val="TableParagraph"/>
                          <w:spacing w:before="36"/>
                          <w:ind w:left="64"/>
                          <w:rPr>
                            <w:b/>
                            <w:sz w:val="18"/>
                          </w:rPr>
                        </w:pPr>
                        <w:r>
                          <w:rPr>
                            <w:b/>
                            <w:sz w:val="18"/>
                          </w:rPr>
                          <w:t>Bill and take orders</w:t>
                        </w:r>
                      </w:p>
                    </w:tc>
                  </w:tr>
                  <w:tr>
                    <w:trPr>
                      <w:trHeight w:val="425" w:hRule="exact"/>
                    </w:trPr>
                    <w:tc>
                      <w:tcPr>
                        <w:tcW w:w="572" w:type="dxa"/>
                      </w:tcPr>
                      <w:p>
                        <w:pPr>
                          <w:pStyle w:val="TableParagraph"/>
                          <w:ind w:left="236" w:right="102" w:hanging="116"/>
                          <w:rPr>
                            <w:sz w:val="18"/>
                          </w:rPr>
                        </w:pPr>
                        <w:r>
                          <w:rPr>
                            <w:sz w:val="18"/>
                          </w:rPr>
                          <w:t>Plan 4</w:t>
                        </w:r>
                      </w:p>
                    </w:tc>
                    <w:tc>
                      <w:tcPr>
                        <w:tcW w:w="2972" w:type="dxa"/>
                        <w:gridSpan w:val="2"/>
                      </w:tcPr>
                      <w:p>
                        <w:pPr>
                          <w:pStyle w:val="TableParagraph"/>
                          <w:spacing w:before="7"/>
                          <w:rPr>
                            <w:sz w:val="17"/>
                          </w:rPr>
                        </w:pPr>
                      </w:p>
                      <w:p>
                        <w:pPr>
                          <w:pStyle w:val="TableParagraph"/>
                          <w:ind w:left="64"/>
                          <w:rPr>
                            <w:sz w:val="18"/>
                          </w:rPr>
                        </w:pPr>
                        <w:r>
                          <w:rPr>
                            <w:sz w:val="18"/>
                          </w:rPr>
                          <w:t>Do E1 y E2 at the same time</w:t>
                        </w:r>
                      </w:p>
                    </w:tc>
                  </w:tr>
                  <w:tr>
                    <w:trPr>
                      <w:trHeight w:val="253" w:hRule="exact"/>
                    </w:trPr>
                    <w:tc>
                      <w:tcPr>
                        <w:tcW w:w="572" w:type="dxa"/>
                        <w:vMerge w:val="restart"/>
                        <w:tcBorders>
                          <w:left w:val="nil"/>
                        </w:tcBorders>
                      </w:tcPr>
                      <w:p>
                        <w:pPr/>
                      </w:p>
                    </w:tc>
                    <w:tc>
                      <w:tcPr>
                        <w:tcW w:w="478" w:type="dxa"/>
                      </w:tcPr>
                      <w:p>
                        <w:pPr>
                          <w:pStyle w:val="TableParagraph"/>
                          <w:spacing w:before="36"/>
                          <w:ind w:left="64"/>
                          <w:rPr>
                            <w:b/>
                            <w:sz w:val="18"/>
                          </w:rPr>
                        </w:pPr>
                        <w:r>
                          <w:rPr>
                            <w:b/>
                            <w:sz w:val="18"/>
                          </w:rPr>
                          <w:t>E1</w:t>
                        </w:r>
                      </w:p>
                    </w:tc>
                    <w:tc>
                      <w:tcPr>
                        <w:tcW w:w="2495" w:type="dxa"/>
                      </w:tcPr>
                      <w:p>
                        <w:pPr>
                          <w:pStyle w:val="TableParagraph"/>
                          <w:spacing w:before="32"/>
                          <w:ind w:left="64"/>
                          <w:rPr>
                            <w:sz w:val="18"/>
                          </w:rPr>
                        </w:pPr>
                        <w:r>
                          <w:rPr>
                            <w:sz w:val="18"/>
                          </w:rPr>
                          <w:t>Print invoice</w:t>
                        </w:r>
                      </w:p>
                    </w:tc>
                  </w:tr>
                  <w:tr>
                    <w:trPr>
                      <w:trHeight w:val="424" w:hRule="exact"/>
                    </w:trPr>
                    <w:tc>
                      <w:tcPr>
                        <w:tcW w:w="572" w:type="dxa"/>
                        <w:vMerge/>
                        <w:tcBorders>
                          <w:left w:val="nil"/>
                        </w:tcBorders>
                      </w:tcPr>
                      <w:p>
                        <w:pPr/>
                      </w:p>
                    </w:tc>
                    <w:tc>
                      <w:tcPr>
                        <w:tcW w:w="478" w:type="dxa"/>
                      </w:tcPr>
                      <w:p>
                        <w:pPr>
                          <w:pStyle w:val="TableParagraph"/>
                          <w:spacing w:before="10"/>
                          <w:rPr>
                            <w:sz w:val="17"/>
                          </w:rPr>
                        </w:pPr>
                      </w:p>
                      <w:p>
                        <w:pPr>
                          <w:pStyle w:val="TableParagraph"/>
                          <w:spacing w:before="1"/>
                          <w:ind w:left="64"/>
                          <w:rPr>
                            <w:b/>
                            <w:sz w:val="18"/>
                          </w:rPr>
                        </w:pPr>
                        <w:r>
                          <w:rPr>
                            <w:b/>
                            <w:sz w:val="18"/>
                          </w:rPr>
                          <w:t>E2</w:t>
                        </w:r>
                      </w:p>
                    </w:tc>
                    <w:tc>
                      <w:tcPr>
                        <w:tcW w:w="2495" w:type="dxa"/>
                      </w:tcPr>
                      <w:p>
                        <w:pPr>
                          <w:pStyle w:val="TableParagraph"/>
                          <w:ind w:left="64" w:right="181"/>
                          <w:rPr>
                            <w:sz w:val="18"/>
                          </w:rPr>
                        </w:pPr>
                        <w:r>
                          <w:rPr>
                            <w:sz w:val="18"/>
                          </w:rPr>
                          <w:t>Bring orders to the appropriate department</w:t>
                        </w:r>
                      </w:p>
                    </w:tc>
                  </w:tr>
                  <w:tr>
                    <w:trPr>
                      <w:trHeight w:val="254" w:hRule="exact"/>
                    </w:trPr>
                    <w:tc>
                      <w:tcPr>
                        <w:tcW w:w="572" w:type="dxa"/>
                      </w:tcPr>
                      <w:p>
                        <w:pPr>
                          <w:pStyle w:val="TableParagraph"/>
                          <w:spacing w:before="18"/>
                          <w:ind w:right="1"/>
                          <w:jc w:val="center"/>
                          <w:rPr>
                            <w:b/>
                            <w:sz w:val="18"/>
                          </w:rPr>
                        </w:pPr>
                        <w:r>
                          <w:rPr>
                            <w:b/>
                            <w:sz w:val="18"/>
                          </w:rPr>
                          <w:t>F</w:t>
                        </w:r>
                      </w:p>
                    </w:tc>
                    <w:tc>
                      <w:tcPr>
                        <w:tcW w:w="2972" w:type="dxa"/>
                        <w:gridSpan w:val="2"/>
                      </w:tcPr>
                      <w:p>
                        <w:pPr>
                          <w:pStyle w:val="TableParagraph"/>
                          <w:spacing w:before="37"/>
                          <w:ind w:left="64"/>
                          <w:rPr>
                            <w:b/>
                            <w:sz w:val="18"/>
                          </w:rPr>
                        </w:pPr>
                        <w:r>
                          <w:rPr>
                            <w:b/>
                            <w:sz w:val="18"/>
                          </w:rPr>
                          <w:t>Answer calls</w:t>
                        </w:r>
                      </w:p>
                    </w:tc>
                  </w:tr>
                  <w:tr>
                    <w:trPr>
                      <w:trHeight w:val="424" w:hRule="exact"/>
                    </w:trPr>
                    <w:tc>
                      <w:tcPr>
                        <w:tcW w:w="572" w:type="dxa"/>
                      </w:tcPr>
                      <w:p>
                        <w:pPr>
                          <w:pStyle w:val="TableParagraph"/>
                          <w:ind w:left="236" w:right="102" w:hanging="116"/>
                          <w:rPr>
                            <w:sz w:val="18"/>
                          </w:rPr>
                        </w:pPr>
                        <w:r>
                          <w:rPr>
                            <w:sz w:val="18"/>
                          </w:rPr>
                          <w:t>Plan 5</w:t>
                        </w:r>
                      </w:p>
                    </w:tc>
                    <w:tc>
                      <w:tcPr>
                        <w:tcW w:w="2972" w:type="dxa"/>
                        <w:gridSpan w:val="2"/>
                      </w:tcPr>
                      <w:p>
                        <w:pPr>
                          <w:pStyle w:val="TableParagraph"/>
                          <w:spacing w:before="7"/>
                          <w:rPr>
                            <w:sz w:val="17"/>
                          </w:rPr>
                        </w:pPr>
                      </w:p>
                      <w:p>
                        <w:pPr>
                          <w:pStyle w:val="TableParagraph"/>
                          <w:ind w:left="64"/>
                          <w:rPr>
                            <w:sz w:val="18"/>
                          </w:rPr>
                        </w:pPr>
                        <w:r>
                          <w:rPr>
                            <w:sz w:val="18"/>
                          </w:rPr>
                          <w:t>Do F1</w:t>
                        </w:r>
                      </w:p>
                    </w:tc>
                  </w:tr>
                  <w:tr>
                    <w:trPr>
                      <w:trHeight w:val="254" w:hRule="exact"/>
                    </w:trPr>
                    <w:tc>
                      <w:tcPr>
                        <w:tcW w:w="572" w:type="dxa"/>
                        <w:vMerge w:val="restart"/>
                        <w:tcBorders>
                          <w:left w:val="nil"/>
                        </w:tcBorders>
                      </w:tcPr>
                      <w:p>
                        <w:pPr/>
                      </w:p>
                    </w:tc>
                    <w:tc>
                      <w:tcPr>
                        <w:tcW w:w="478" w:type="dxa"/>
                      </w:tcPr>
                      <w:p>
                        <w:pPr>
                          <w:pStyle w:val="TableParagraph"/>
                          <w:spacing w:before="37"/>
                          <w:ind w:left="64"/>
                          <w:rPr>
                            <w:b/>
                            <w:sz w:val="18"/>
                          </w:rPr>
                        </w:pPr>
                        <w:r>
                          <w:rPr>
                            <w:b/>
                            <w:sz w:val="18"/>
                          </w:rPr>
                          <w:t>F1</w:t>
                        </w:r>
                      </w:p>
                    </w:tc>
                    <w:tc>
                      <w:tcPr>
                        <w:tcW w:w="2495" w:type="dxa"/>
                      </w:tcPr>
                      <w:p>
                        <w:pPr>
                          <w:pStyle w:val="TableParagraph"/>
                          <w:spacing w:before="33"/>
                          <w:ind w:left="64"/>
                          <w:rPr>
                            <w:sz w:val="18"/>
                          </w:rPr>
                        </w:pPr>
                        <w:r>
                          <w:rPr>
                            <w:sz w:val="18"/>
                          </w:rPr>
                          <w:t>Answer calls</w:t>
                        </w:r>
                      </w:p>
                    </w:tc>
                  </w:tr>
                  <w:tr>
                    <w:trPr>
                      <w:trHeight w:val="254" w:hRule="exact"/>
                    </w:trPr>
                    <w:tc>
                      <w:tcPr>
                        <w:tcW w:w="572" w:type="dxa"/>
                        <w:vMerge/>
                        <w:tcBorders>
                          <w:left w:val="nil"/>
                        </w:tcBorders>
                      </w:tcPr>
                      <w:p>
                        <w:pPr/>
                      </w:p>
                    </w:tc>
                    <w:tc>
                      <w:tcPr>
                        <w:tcW w:w="478" w:type="dxa"/>
                      </w:tcPr>
                      <w:p>
                        <w:pPr>
                          <w:pStyle w:val="TableParagraph"/>
                          <w:spacing w:before="36"/>
                          <w:ind w:left="64"/>
                          <w:rPr>
                            <w:b/>
                            <w:sz w:val="18"/>
                          </w:rPr>
                        </w:pPr>
                        <w:r>
                          <w:rPr>
                            <w:b/>
                            <w:sz w:val="18"/>
                          </w:rPr>
                          <w:t>F1</w:t>
                        </w:r>
                      </w:p>
                    </w:tc>
                    <w:tc>
                      <w:tcPr>
                        <w:tcW w:w="2495" w:type="dxa"/>
                      </w:tcPr>
                      <w:p>
                        <w:pPr>
                          <w:pStyle w:val="TableParagraph"/>
                          <w:spacing w:before="32"/>
                          <w:ind w:left="64"/>
                          <w:rPr>
                            <w:sz w:val="18"/>
                          </w:rPr>
                        </w:pPr>
                        <w:r>
                          <w:rPr>
                            <w:sz w:val="18"/>
                          </w:rPr>
                          <w:t>Answer customers doubts</w:t>
                        </w:r>
                      </w:p>
                    </w:tc>
                  </w:tr>
                  <w:tr>
                    <w:trPr>
                      <w:trHeight w:val="253" w:hRule="exact"/>
                    </w:trPr>
                    <w:tc>
                      <w:tcPr>
                        <w:tcW w:w="572" w:type="dxa"/>
                      </w:tcPr>
                      <w:p>
                        <w:pPr>
                          <w:pStyle w:val="TableParagraph"/>
                          <w:spacing w:before="18"/>
                          <w:jc w:val="center"/>
                          <w:rPr>
                            <w:b/>
                            <w:sz w:val="18"/>
                          </w:rPr>
                        </w:pPr>
                        <w:r>
                          <w:rPr>
                            <w:b/>
                            <w:sz w:val="18"/>
                          </w:rPr>
                          <w:t>G</w:t>
                        </w:r>
                      </w:p>
                    </w:tc>
                    <w:tc>
                      <w:tcPr>
                        <w:tcW w:w="2972" w:type="dxa"/>
                        <w:gridSpan w:val="2"/>
                      </w:tcPr>
                      <w:p>
                        <w:pPr>
                          <w:pStyle w:val="TableParagraph"/>
                          <w:spacing w:before="36"/>
                          <w:ind w:left="64"/>
                          <w:rPr>
                            <w:b/>
                            <w:sz w:val="18"/>
                          </w:rPr>
                        </w:pPr>
                        <w:r>
                          <w:rPr>
                            <w:b/>
                            <w:sz w:val="18"/>
                          </w:rPr>
                          <w:t>Deliver results</w:t>
                        </w:r>
                      </w:p>
                    </w:tc>
                  </w:tr>
                  <w:tr>
                    <w:trPr>
                      <w:trHeight w:val="425" w:hRule="exact"/>
                    </w:trPr>
                    <w:tc>
                      <w:tcPr>
                        <w:tcW w:w="572" w:type="dxa"/>
                      </w:tcPr>
                      <w:p>
                        <w:pPr>
                          <w:pStyle w:val="TableParagraph"/>
                          <w:ind w:left="236" w:right="102" w:hanging="116"/>
                          <w:rPr>
                            <w:sz w:val="18"/>
                          </w:rPr>
                        </w:pPr>
                        <w:r>
                          <w:rPr>
                            <w:sz w:val="18"/>
                          </w:rPr>
                          <w:t>Plan 6</w:t>
                        </w:r>
                      </w:p>
                    </w:tc>
                    <w:tc>
                      <w:tcPr>
                        <w:tcW w:w="2972" w:type="dxa"/>
                        <w:gridSpan w:val="2"/>
                      </w:tcPr>
                      <w:p>
                        <w:pPr>
                          <w:pStyle w:val="TableParagraph"/>
                          <w:spacing w:before="7"/>
                          <w:rPr>
                            <w:sz w:val="17"/>
                          </w:rPr>
                        </w:pPr>
                      </w:p>
                      <w:p>
                        <w:pPr>
                          <w:pStyle w:val="TableParagraph"/>
                          <w:ind w:left="64"/>
                          <w:rPr>
                            <w:sz w:val="18"/>
                          </w:rPr>
                        </w:pPr>
                        <w:r>
                          <w:rPr>
                            <w:sz w:val="18"/>
                          </w:rPr>
                          <w:t>Do G1, then G2, then G3</w:t>
                        </w:r>
                      </w:p>
                    </w:tc>
                  </w:tr>
                  <w:tr>
                    <w:trPr>
                      <w:trHeight w:val="253" w:hRule="exact"/>
                    </w:trPr>
                    <w:tc>
                      <w:tcPr>
                        <w:tcW w:w="572" w:type="dxa"/>
                        <w:vMerge w:val="restart"/>
                        <w:tcBorders>
                          <w:left w:val="nil"/>
                        </w:tcBorders>
                      </w:tcPr>
                      <w:p>
                        <w:pPr/>
                      </w:p>
                    </w:tc>
                    <w:tc>
                      <w:tcPr>
                        <w:tcW w:w="478" w:type="dxa"/>
                      </w:tcPr>
                      <w:p>
                        <w:pPr>
                          <w:pStyle w:val="TableParagraph"/>
                          <w:spacing w:before="36"/>
                          <w:ind w:left="64"/>
                          <w:rPr>
                            <w:b/>
                            <w:sz w:val="18"/>
                          </w:rPr>
                        </w:pPr>
                        <w:r>
                          <w:rPr>
                            <w:b/>
                            <w:sz w:val="18"/>
                          </w:rPr>
                          <w:t>G1</w:t>
                        </w:r>
                      </w:p>
                    </w:tc>
                    <w:tc>
                      <w:tcPr>
                        <w:tcW w:w="2495" w:type="dxa"/>
                      </w:tcPr>
                      <w:p>
                        <w:pPr>
                          <w:pStyle w:val="TableParagraph"/>
                          <w:spacing w:before="32"/>
                          <w:ind w:left="64"/>
                          <w:rPr>
                            <w:sz w:val="18"/>
                          </w:rPr>
                        </w:pPr>
                        <w:r>
                          <w:rPr>
                            <w:sz w:val="18"/>
                          </w:rPr>
                          <w:t>Patient initial care</w:t>
                        </w:r>
                      </w:p>
                    </w:tc>
                  </w:tr>
                  <w:tr>
                    <w:trPr>
                      <w:trHeight w:val="254" w:hRule="exact"/>
                    </w:trPr>
                    <w:tc>
                      <w:tcPr>
                        <w:tcW w:w="572" w:type="dxa"/>
                        <w:vMerge/>
                        <w:tcBorders>
                          <w:left w:val="nil"/>
                        </w:tcBorders>
                      </w:tcPr>
                      <w:p>
                        <w:pPr/>
                      </w:p>
                    </w:tc>
                    <w:tc>
                      <w:tcPr>
                        <w:tcW w:w="478" w:type="dxa"/>
                      </w:tcPr>
                      <w:p>
                        <w:pPr>
                          <w:pStyle w:val="TableParagraph"/>
                          <w:spacing w:before="37"/>
                          <w:ind w:left="64"/>
                          <w:rPr>
                            <w:b/>
                            <w:sz w:val="18"/>
                          </w:rPr>
                        </w:pPr>
                        <w:r>
                          <w:rPr>
                            <w:b/>
                            <w:sz w:val="18"/>
                          </w:rPr>
                          <w:t>G2</w:t>
                        </w:r>
                      </w:p>
                    </w:tc>
                    <w:tc>
                      <w:tcPr>
                        <w:tcW w:w="2495" w:type="dxa"/>
                      </w:tcPr>
                      <w:p>
                        <w:pPr>
                          <w:pStyle w:val="TableParagraph"/>
                          <w:spacing w:before="33"/>
                          <w:ind w:left="64"/>
                          <w:rPr>
                            <w:sz w:val="18"/>
                          </w:rPr>
                        </w:pPr>
                        <w:r>
                          <w:rPr>
                            <w:sz w:val="18"/>
                          </w:rPr>
                          <w:t>ask for patient information</w:t>
                        </w:r>
                      </w:p>
                    </w:tc>
                  </w:tr>
                  <w:tr>
                    <w:trPr>
                      <w:trHeight w:val="254" w:hRule="exact"/>
                    </w:trPr>
                    <w:tc>
                      <w:tcPr>
                        <w:tcW w:w="572" w:type="dxa"/>
                        <w:vMerge/>
                        <w:tcBorders>
                          <w:left w:val="nil"/>
                          <w:bottom w:val="nil"/>
                        </w:tcBorders>
                      </w:tcPr>
                      <w:p>
                        <w:pPr/>
                      </w:p>
                    </w:tc>
                    <w:tc>
                      <w:tcPr>
                        <w:tcW w:w="478" w:type="dxa"/>
                      </w:tcPr>
                      <w:p>
                        <w:pPr>
                          <w:pStyle w:val="TableParagraph"/>
                          <w:spacing w:before="36"/>
                          <w:ind w:left="64"/>
                          <w:rPr>
                            <w:b/>
                            <w:sz w:val="18"/>
                          </w:rPr>
                        </w:pPr>
                        <w:r>
                          <w:rPr>
                            <w:b/>
                            <w:sz w:val="18"/>
                          </w:rPr>
                          <w:t>G3</w:t>
                        </w:r>
                      </w:p>
                    </w:tc>
                    <w:tc>
                      <w:tcPr>
                        <w:tcW w:w="2495" w:type="dxa"/>
                      </w:tcPr>
                      <w:p>
                        <w:pPr>
                          <w:pStyle w:val="TableParagraph"/>
                          <w:spacing w:before="32"/>
                          <w:ind w:left="64"/>
                          <w:rPr>
                            <w:sz w:val="18"/>
                          </w:rPr>
                        </w:pPr>
                        <w:r>
                          <w:rPr>
                            <w:sz w:val="18"/>
                          </w:rPr>
                          <w:t>Search results</w:t>
                        </w:r>
                      </w:p>
                    </w:tc>
                  </w:tr>
                </w:tbl>
                <w:p>
                  <w:pPr>
                    <w:pStyle w:val="BodyText"/>
                  </w:pPr>
                </w:p>
              </w:txbxContent>
            </v:textbox>
            <w10:wrap type="none"/>
          </v:shape>
        </w:pict>
      </w:r>
      <w:r>
        <w:rPr>
          <w:rFonts w:ascii="Arial"/>
          <w:b/>
          <w:w w:val="58"/>
          <w:sz w:val="17"/>
          <w:u w:val="single"/>
        </w:rPr>
        <w:t> </w:t>
      </w:r>
      <w:r>
        <w:rPr>
          <w:rFonts w:ascii="Arial"/>
          <w:b/>
          <w:sz w:val="17"/>
          <w:u w:val="single"/>
        </w:rPr>
        <w:tab/>
      </w:r>
      <w:r>
        <w:rPr>
          <w:rFonts w:ascii="Arial"/>
          <w:b/>
          <w:sz w:val="17"/>
        </w:rPr>
        <w:tab/>
      </w:r>
      <w:r>
        <w:rPr>
          <w:rFonts w:ascii="Arial"/>
          <w:b/>
          <w:w w:val="58"/>
          <w:sz w:val="17"/>
          <w:u w:val="single"/>
        </w:rPr>
        <w:t> </w:t>
      </w:r>
      <w:r>
        <w:rPr>
          <w:rFonts w:ascii="Arial"/>
          <w:b/>
          <w:sz w:val="17"/>
          <w:u w:val="single"/>
        </w:rPr>
        <w:t>   </w:t>
      </w:r>
      <w:r>
        <w:rPr>
          <w:rFonts w:ascii="Arial"/>
          <w:b/>
          <w:spacing w:val="1"/>
          <w:sz w:val="17"/>
          <w:u w:val="single"/>
        </w:rPr>
        <w:t> </w:t>
      </w:r>
      <w:r>
        <w:rPr>
          <w:rFonts w:ascii="Arial"/>
          <w:b/>
          <w:w w:val="65"/>
          <w:sz w:val="17"/>
          <w:u w:val="single"/>
        </w:rPr>
        <w:t>Morning</w:t>
      </w:r>
      <w:r>
        <w:rPr>
          <w:rFonts w:ascii="Arial"/>
          <w:b/>
          <w:spacing w:val="-21"/>
          <w:w w:val="65"/>
          <w:sz w:val="17"/>
          <w:u w:val="single"/>
        </w:rPr>
        <w:t> </w:t>
      </w:r>
      <w:r>
        <w:rPr>
          <w:rFonts w:ascii="Arial"/>
          <w:b/>
          <w:w w:val="65"/>
          <w:sz w:val="17"/>
          <w:u w:val="single"/>
        </w:rPr>
        <w:t>shift</w:t>
        <w:tab/>
      </w:r>
      <w:r>
        <w:rPr>
          <w:rFonts w:ascii="Arial"/>
          <w:b/>
          <w:w w:val="65"/>
          <w:sz w:val="17"/>
        </w:rPr>
        <w:tab/>
      </w:r>
      <w:r>
        <w:rPr>
          <w:rFonts w:ascii="Arial"/>
          <w:b/>
          <w:w w:val="65"/>
          <w:sz w:val="17"/>
          <w:u w:val="single"/>
        </w:rPr>
        <w:t> </w:t>
        <w:tab/>
      </w:r>
      <w:r>
        <w:rPr>
          <w:rFonts w:ascii="Arial"/>
          <w:b/>
          <w:spacing w:val="-1"/>
          <w:w w:val="55"/>
          <w:sz w:val="17"/>
          <w:u w:val="single"/>
        </w:rPr>
        <w:t>Afternoon </w:t>
      </w:r>
      <w:r>
        <w:rPr>
          <w:rFonts w:ascii="Arial"/>
          <w:b/>
          <w:spacing w:val="5"/>
          <w:w w:val="55"/>
          <w:sz w:val="17"/>
          <w:u w:val="single"/>
        </w:rPr>
        <w:t> </w:t>
      </w:r>
      <w:r>
        <w:rPr>
          <w:rFonts w:ascii="Arial"/>
          <w:b/>
          <w:w w:val="55"/>
          <w:sz w:val="17"/>
          <w:u w:val="single"/>
        </w:rPr>
        <w:t>shift</w:t>
      </w:r>
      <w:r>
        <w:rPr>
          <w:rFonts w:ascii="Arial"/>
          <w:b/>
          <w:sz w:val="17"/>
          <w:u w:val="single"/>
        </w:rPr>
        <w:tab/>
      </w:r>
    </w:p>
    <w:p>
      <w:pPr>
        <w:pStyle w:val="BodyText"/>
        <w:rPr>
          <w:rFonts w:ascii="Arial"/>
          <w:b/>
        </w:rPr>
      </w:pPr>
    </w:p>
    <w:p>
      <w:pPr>
        <w:pStyle w:val="BodyText"/>
        <w:rPr>
          <w:rFonts w:ascii="Arial"/>
          <w:b/>
          <w:sz w:val="29"/>
        </w:rPr>
      </w:pPr>
    </w:p>
    <w:p>
      <w:pPr>
        <w:spacing w:before="77"/>
        <w:ind w:left="2693" w:right="0" w:firstLine="0"/>
        <w:jc w:val="left"/>
        <w:rPr>
          <w:sz w:val="18"/>
        </w:rPr>
      </w:pPr>
      <w:r>
        <w:rPr>
          <w:sz w:val="18"/>
        </w:rPr>
        <w:t>.</w:t>
      </w:r>
    </w:p>
    <w:p>
      <w:pPr>
        <w:pStyle w:val="BodyText"/>
        <w:spacing w:before="6"/>
        <w:rPr>
          <w:sz w:val="29"/>
        </w:rPr>
      </w:pPr>
    </w:p>
    <w:p>
      <w:pPr>
        <w:spacing w:after="0"/>
        <w:rPr>
          <w:sz w:val="29"/>
        </w:rPr>
        <w:sectPr>
          <w:type w:val="continuous"/>
          <w:pgSz w:w="12240" w:h="15840"/>
          <w:pgMar w:top="1500" w:bottom="280" w:left="580" w:right="220"/>
        </w:sectPr>
      </w:pPr>
    </w:p>
    <w:p>
      <w:pPr>
        <w:pStyle w:val="ListParagraph"/>
        <w:numPr>
          <w:ilvl w:val="0"/>
          <w:numId w:val="34"/>
        </w:numPr>
        <w:tabs>
          <w:tab w:pos="452" w:val="left" w:leader="none"/>
        </w:tabs>
        <w:spacing w:line="240" w:lineRule="auto" w:before="77" w:after="0"/>
        <w:ind w:left="451" w:right="0" w:hanging="181"/>
        <w:jc w:val="both"/>
        <w:rPr>
          <w:b/>
          <w:sz w:val="18"/>
        </w:rPr>
      </w:pPr>
      <w:r>
        <w:rPr>
          <w:b/>
          <w:color w:val="233F5E"/>
          <w:sz w:val="18"/>
        </w:rPr>
        <w:t>CONCLUSIONS AND</w:t>
      </w:r>
      <w:r>
        <w:rPr>
          <w:b/>
          <w:color w:val="233F5E"/>
          <w:spacing w:val="-23"/>
          <w:sz w:val="18"/>
        </w:rPr>
        <w:t> </w:t>
      </w:r>
      <w:r>
        <w:rPr>
          <w:b/>
          <w:color w:val="233F5E"/>
          <w:sz w:val="18"/>
        </w:rPr>
        <w:t>RECOMMENDATIONS</w:t>
      </w:r>
    </w:p>
    <w:p>
      <w:pPr>
        <w:pStyle w:val="BodyText"/>
        <w:spacing w:before="7"/>
        <w:rPr>
          <w:b/>
          <w:sz w:val="17"/>
        </w:rPr>
      </w:pPr>
    </w:p>
    <w:p>
      <w:pPr>
        <w:spacing w:before="1"/>
        <w:ind w:left="270" w:right="0" w:firstLine="0"/>
        <w:jc w:val="both"/>
        <w:rPr>
          <w:sz w:val="18"/>
        </w:rPr>
      </w:pPr>
      <w:r>
        <w:rPr>
          <w:sz w:val="18"/>
        </w:rPr>
        <w:t>By analyzing differences in cognitive tasks assessing mental workload of the participants, especially those with greater seniority in their positions so that the results were inconclusive as to  consider other variables such as job tenure and observed years of experience.</w:t>
      </w:r>
    </w:p>
    <w:p>
      <w:pPr>
        <w:spacing w:before="0"/>
        <w:ind w:left="270" w:right="1" w:firstLine="0"/>
        <w:jc w:val="both"/>
        <w:rPr>
          <w:sz w:val="18"/>
        </w:rPr>
      </w:pPr>
      <w:r>
        <w:rPr>
          <w:sz w:val="18"/>
        </w:rPr>
        <w:t>The assessment by the NASA-TLX not only provides information about the overall level of charge if not that detects so valid and reliable charging sources. Knowledge of these charging sources allow us to modify the functions of the posts in order to reduce its load level and therefore improve customer satisfaction and health  of workers.</w:t>
      </w:r>
    </w:p>
    <w:p>
      <w:pPr>
        <w:spacing w:before="0"/>
        <w:ind w:left="270" w:right="1" w:firstLine="0"/>
        <w:jc w:val="both"/>
        <w:rPr>
          <w:sz w:val="18"/>
        </w:rPr>
      </w:pPr>
      <w:r>
        <w:rPr>
          <w:sz w:val="18"/>
        </w:rPr>
        <w:t>-Adapting the workplace spaces, lighting and temperature to make  it as comfortable and functional for</w:t>
      </w:r>
      <w:r>
        <w:rPr>
          <w:spacing w:val="-7"/>
          <w:sz w:val="18"/>
        </w:rPr>
        <w:t> </w:t>
      </w:r>
      <w:r>
        <w:rPr>
          <w:sz w:val="18"/>
        </w:rPr>
        <w:t>staff</w:t>
      </w:r>
    </w:p>
    <w:p>
      <w:pPr>
        <w:spacing w:before="0"/>
        <w:ind w:left="270" w:right="1" w:firstLine="0"/>
        <w:jc w:val="both"/>
        <w:rPr>
          <w:sz w:val="18"/>
        </w:rPr>
      </w:pPr>
      <w:r>
        <w:rPr>
          <w:sz w:val="18"/>
        </w:rPr>
        <w:t>Facilitate the acquisition of information necessary to perform the tasks.</w:t>
      </w:r>
    </w:p>
    <w:p>
      <w:pPr>
        <w:spacing w:before="0"/>
        <w:ind w:left="270" w:right="0" w:firstLine="0"/>
        <w:jc w:val="both"/>
        <w:rPr>
          <w:sz w:val="18"/>
        </w:rPr>
      </w:pPr>
      <w:r>
        <w:rPr>
          <w:sz w:val="18"/>
        </w:rPr>
        <w:t>-Update the tools and work equipment as help manuals, checklists, records and forms, working procedures, among others, following the principles of clarity, simplicity and usefulness.</w:t>
      </w:r>
    </w:p>
    <w:p>
      <w:pPr>
        <w:pStyle w:val="BodyText"/>
        <w:rPr>
          <w:sz w:val="18"/>
        </w:rPr>
      </w:pPr>
      <w:r>
        <w:rPr/>
        <w:br w:type="column"/>
      </w:r>
      <w:r>
        <w:rPr>
          <w:sz w:val="18"/>
        </w:rPr>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4"/>
        <w:rPr>
          <w:sz w:val="26"/>
        </w:rPr>
      </w:pPr>
    </w:p>
    <w:p>
      <w:pPr>
        <w:spacing w:before="1"/>
        <w:ind w:left="270" w:right="0" w:firstLine="0"/>
        <w:jc w:val="both"/>
        <w:rPr>
          <w:b/>
          <w:sz w:val="18"/>
        </w:rPr>
      </w:pPr>
      <w:r>
        <w:rPr>
          <w:b/>
          <w:color w:val="233F5E"/>
          <w:sz w:val="18"/>
        </w:rPr>
        <w:t>REFERENCES</w:t>
      </w:r>
    </w:p>
    <w:p>
      <w:pPr>
        <w:pStyle w:val="BodyText"/>
        <w:spacing w:before="7"/>
        <w:rPr>
          <w:b/>
          <w:sz w:val="17"/>
        </w:rPr>
      </w:pPr>
    </w:p>
    <w:p>
      <w:pPr>
        <w:spacing w:before="1"/>
        <w:ind w:left="270" w:right="1133" w:firstLine="0"/>
        <w:jc w:val="left"/>
        <w:rPr>
          <w:sz w:val="18"/>
        </w:rPr>
      </w:pPr>
      <w:r>
        <w:rPr>
          <w:sz w:val="18"/>
        </w:rPr>
        <w:t>[1] D. Navon and D. Gopher. “On the economy of the human processing system”, Psycological review, 86, 254-255, 1979.</w:t>
      </w:r>
    </w:p>
    <w:p>
      <w:pPr>
        <w:spacing w:before="0"/>
        <w:ind w:left="270" w:right="858" w:firstLine="0"/>
        <w:jc w:val="both"/>
        <w:rPr>
          <w:sz w:val="18"/>
        </w:rPr>
      </w:pPr>
      <w:r>
        <w:rPr>
          <w:sz w:val="18"/>
        </w:rPr>
        <w:t>[2] R. D. O’Donnell and F. T. Eggemeier. “Workload assessment methodology”, Handbook of perception and human performance, 1986.</w:t>
      </w:r>
    </w:p>
    <w:p>
      <w:pPr>
        <w:spacing w:before="0"/>
        <w:ind w:left="270" w:right="662" w:firstLine="0"/>
        <w:jc w:val="left"/>
        <w:rPr>
          <w:sz w:val="18"/>
        </w:rPr>
      </w:pPr>
      <w:r>
        <w:rPr>
          <w:sz w:val="18"/>
        </w:rPr>
        <w:t>[3] A. Romero, A. Cobos, J. Gómez, y M. Muñoz. “Role of training activities for the reduction of pre-analytical errors in laboratory samples from primary care”, Clinica Chimica Acta 413 (2012) 166–169</w:t>
      </w:r>
    </w:p>
    <w:p>
      <w:pPr>
        <w:spacing w:before="0"/>
        <w:ind w:left="270" w:right="668" w:firstLine="0"/>
        <w:jc w:val="left"/>
        <w:rPr>
          <w:sz w:val="18"/>
        </w:rPr>
      </w:pPr>
      <w:r>
        <w:rPr>
          <w:spacing w:val="-3"/>
          <w:sz w:val="18"/>
        </w:rPr>
        <w:t>[4] </w:t>
      </w:r>
      <w:r>
        <w:rPr>
          <w:sz w:val="18"/>
        </w:rPr>
        <w:t>M. </w:t>
      </w:r>
      <w:r>
        <w:rPr>
          <w:spacing w:val="-3"/>
          <w:sz w:val="18"/>
        </w:rPr>
        <w:t>Plebani. </w:t>
      </w:r>
      <w:r>
        <w:rPr>
          <w:spacing w:val="-4"/>
          <w:sz w:val="18"/>
        </w:rPr>
        <w:t>“Exploring </w:t>
      </w:r>
      <w:r>
        <w:rPr>
          <w:spacing w:val="-3"/>
          <w:sz w:val="18"/>
        </w:rPr>
        <w:t>the iceberg </w:t>
      </w:r>
      <w:r>
        <w:rPr>
          <w:sz w:val="18"/>
        </w:rPr>
        <w:t>of </w:t>
      </w:r>
      <w:r>
        <w:rPr>
          <w:spacing w:val="-3"/>
          <w:sz w:val="18"/>
        </w:rPr>
        <w:t>errors </w:t>
      </w:r>
      <w:r>
        <w:rPr>
          <w:sz w:val="18"/>
        </w:rPr>
        <w:t>in </w:t>
      </w:r>
      <w:r>
        <w:rPr>
          <w:spacing w:val="-4"/>
          <w:sz w:val="18"/>
        </w:rPr>
        <w:t>laboratory medicine”. </w:t>
      </w:r>
      <w:r>
        <w:rPr>
          <w:spacing w:val="-3"/>
          <w:sz w:val="18"/>
        </w:rPr>
        <w:t>Clin Chem </w:t>
      </w:r>
      <w:r>
        <w:rPr>
          <w:spacing w:val="-2"/>
          <w:sz w:val="18"/>
        </w:rPr>
        <w:t>Lab </w:t>
      </w:r>
      <w:r>
        <w:rPr>
          <w:spacing w:val="-3"/>
          <w:sz w:val="18"/>
        </w:rPr>
        <w:t>Med </w:t>
      </w:r>
      <w:r>
        <w:rPr>
          <w:spacing w:val="-4"/>
          <w:sz w:val="18"/>
        </w:rPr>
        <w:t>2009;404:16-23</w:t>
      </w:r>
    </w:p>
    <w:p>
      <w:pPr>
        <w:spacing w:before="0"/>
        <w:ind w:left="270" w:right="1123" w:firstLine="0"/>
        <w:jc w:val="both"/>
        <w:rPr>
          <w:sz w:val="18"/>
        </w:rPr>
      </w:pPr>
      <w:r>
        <w:rPr>
          <w:sz w:val="18"/>
        </w:rPr>
        <w:t>[5] M. Plebani, L. Sciacovelli, A. Aita, A. Padoan, A. y M.L. Chiozza. “Quality indicators to detect pre-analytical errors in laboratory testing”, Clinica Chimica Acta 432 44–48, 2014.</w:t>
      </w:r>
    </w:p>
    <w:p>
      <w:pPr>
        <w:spacing w:after="0"/>
        <w:jc w:val="both"/>
        <w:rPr>
          <w:sz w:val="18"/>
        </w:rPr>
        <w:sectPr>
          <w:type w:val="continuous"/>
          <w:pgSz w:w="12240" w:h="15840"/>
          <w:pgMar w:top="1500" w:bottom="280" w:left="580" w:right="220"/>
          <w:cols w:num="2" w:equalWidth="0">
            <w:col w:w="5164" w:space="434"/>
            <w:col w:w="5842"/>
          </w:cols>
        </w:sectPr>
      </w:pPr>
    </w:p>
    <w:p>
      <w:pPr>
        <w:pStyle w:val="BodyText"/>
        <w:rPr>
          <w:sz w:val="11"/>
        </w:rPr>
      </w:pPr>
    </w:p>
    <w:p>
      <w:pPr>
        <w:spacing w:after="0"/>
        <w:rPr>
          <w:sz w:val="11"/>
        </w:rPr>
        <w:sectPr>
          <w:pgSz w:w="12240" w:h="15840"/>
          <w:pgMar w:header="545" w:footer="852" w:top="1060" w:bottom="1040" w:left="580" w:right="220"/>
        </w:sectPr>
      </w:pPr>
    </w:p>
    <w:p>
      <w:pPr>
        <w:spacing w:before="77"/>
        <w:ind w:left="270" w:right="35" w:firstLine="0"/>
        <w:jc w:val="left"/>
        <w:rPr>
          <w:sz w:val="18"/>
        </w:rPr>
      </w:pPr>
      <w:r>
        <w:rPr>
          <w:sz w:val="18"/>
        </w:rPr>
        <w:t>[6] N. A. Stanton. “The psychology of task analysis today, , The handbook of Task Analysis for Human-Computer Interaction, New Jersey: Lawrence Erlbaum Associates, 2004.</w:t>
      </w:r>
    </w:p>
    <w:p>
      <w:pPr>
        <w:spacing w:before="0"/>
        <w:ind w:left="270" w:right="115" w:firstLine="0"/>
        <w:jc w:val="left"/>
        <w:rPr>
          <w:sz w:val="18"/>
        </w:rPr>
      </w:pPr>
      <w:r>
        <w:rPr>
          <w:sz w:val="18"/>
        </w:rPr>
        <w:t>[7] J. Cañas y Y. Waerns. “Ergonomía cognitiva: aspectos psicológicos de la interacción de las personas con la tecnología de la información”,  Médica panamericana, 260pp, 2001.</w:t>
      </w:r>
    </w:p>
    <w:p>
      <w:pPr>
        <w:spacing w:before="0"/>
        <w:ind w:left="270" w:right="5" w:firstLine="0"/>
        <w:jc w:val="left"/>
        <w:rPr>
          <w:sz w:val="18"/>
        </w:rPr>
      </w:pPr>
      <w:r>
        <w:rPr>
          <w:sz w:val="18"/>
        </w:rPr>
        <w:t>[8] O. Sebastián y M. del Hoyo. “La carga mental de trabajo”, Centro Nacional de Nuevas Tecnologías. Madrid Instituto Nacional de Seguridad e Higiene en el Trabajo, 2002.</w:t>
      </w:r>
    </w:p>
    <w:p>
      <w:pPr>
        <w:spacing w:before="0"/>
        <w:ind w:left="270" w:right="204" w:firstLine="0"/>
        <w:jc w:val="left"/>
        <w:rPr>
          <w:sz w:val="18"/>
        </w:rPr>
      </w:pPr>
      <w:r>
        <w:rPr>
          <w:sz w:val="18"/>
        </w:rPr>
        <w:t>[9] S. Rubio, E. Díaz y J. Martín. “Aspectos metodológicos de la evaluación subjetiva de la carga mental de trabajo”. Arch Prev Riesgos Labor,4(4), 160-168. 2001.</w:t>
      </w:r>
    </w:p>
    <w:p>
      <w:pPr>
        <w:spacing w:before="0"/>
        <w:ind w:left="270" w:right="180" w:firstLine="0"/>
        <w:jc w:val="left"/>
        <w:rPr>
          <w:sz w:val="18"/>
        </w:rPr>
      </w:pPr>
      <w:r>
        <w:rPr>
          <w:sz w:val="18"/>
        </w:rPr>
        <w:t>[10] N. A. Stanton. “Hierarchical task analysis: Developments, applications, and extensions”, Applied ergonomics, 37(1), 55-79, 2006</w:t>
      </w:r>
    </w:p>
    <w:p>
      <w:pPr>
        <w:spacing w:before="0"/>
        <w:ind w:left="270" w:right="60" w:firstLine="0"/>
        <w:jc w:val="left"/>
        <w:rPr>
          <w:sz w:val="18"/>
        </w:rPr>
      </w:pPr>
      <w:r>
        <w:rPr>
          <w:sz w:val="18"/>
        </w:rPr>
        <w:t>[11] S. G. Hart and L. E. Staveland. “Development of NASA-TLX (Task Load Index): Results of experimental and theoretical research”, Human mental workload (pp. 139-183),1988.</w:t>
      </w:r>
    </w:p>
    <w:p>
      <w:pPr>
        <w:pStyle w:val="BodyText"/>
        <w:rPr>
          <w:sz w:val="18"/>
        </w:rPr>
      </w:pPr>
    </w:p>
    <w:p>
      <w:pPr>
        <w:spacing w:before="0"/>
        <w:ind w:left="270" w:right="1" w:firstLine="0"/>
        <w:jc w:val="both"/>
        <w:rPr>
          <w:sz w:val="18"/>
        </w:rPr>
      </w:pPr>
      <w:r>
        <w:rPr>
          <w:b/>
          <w:sz w:val="18"/>
        </w:rPr>
        <w:t>LDI. Pamela Bustamante Sáenz: </w:t>
      </w:r>
      <w:r>
        <w:rPr>
          <w:sz w:val="18"/>
        </w:rPr>
        <w:t>She is an Industrial Designer. Currently she is a student of masters in industrial engineering with  a focus on ergonomics at the Autonomous University of Ciudad Juarez.</w:t>
      </w:r>
    </w:p>
    <w:p>
      <w:pPr>
        <w:pStyle w:val="BodyText"/>
        <w:rPr>
          <w:sz w:val="18"/>
        </w:rPr>
      </w:pPr>
    </w:p>
    <w:p>
      <w:pPr>
        <w:spacing w:before="0"/>
        <w:ind w:left="270" w:right="0" w:firstLine="0"/>
        <w:jc w:val="both"/>
        <w:rPr>
          <w:sz w:val="18"/>
        </w:rPr>
      </w:pPr>
      <w:r>
        <w:rPr>
          <w:b/>
          <w:sz w:val="18"/>
        </w:rPr>
        <w:t>Ing. Natalia López Hernández: S</w:t>
      </w:r>
      <w:r>
        <w:rPr>
          <w:sz w:val="18"/>
        </w:rPr>
        <w:t>he is an Industrial Engineer. Currently she is a student of masters in industrial engineering with  a focus on ergonomics at the Autonomous University of Ciudad Juarez.</w:t>
      </w:r>
    </w:p>
    <w:p>
      <w:pPr>
        <w:pStyle w:val="BodyText"/>
        <w:rPr>
          <w:sz w:val="18"/>
        </w:rPr>
      </w:pPr>
    </w:p>
    <w:p>
      <w:pPr>
        <w:spacing w:before="0"/>
        <w:ind w:left="270" w:right="0" w:firstLine="0"/>
        <w:jc w:val="both"/>
        <w:rPr>
          <w:sz w:val="18"/>
        </w:rPr>
      </w:pPr>
      <w:r>
        <w:rPr>
          <w:b/>
          <w:sz w:val="18"/>
        </w:rPr>
        <w:t>Dr. Aide Aracely Maldonado Macias: </w:t>
      </w:r>
      <w:r>
        <w:rPr>
          <w:sz w:val="18"/>
        </w:rPr>
        <w:t>She completed her Bachelor Degree in Industrial Engineering, the MSc in Industrial Engineering by the Technological Institute of Ciudad Juárez and  Ph. D. in Sciences in Industrial Engineering by the same Institute. She is currently a full-time Professor-Investigator at the Autonomous University of Ciudad Juárez (UACJ). She has published in International Journal of Industrial Engineering and International Journal of Advanced Manufacturing Technology, Expert Systems with Applications, Work, Journal of Accounting and Management, Journal of Educational Research among others. She has also collaborated with book chapters for Springer, IGI GLOBAL.</w:t>
      </w:r>
    </w:p>
    <w:p>
      <w:pPr>
        <w:pStyle w:val="BodyText"/>
        <w:rPr>
          <w:sz w:val="18"/>
        </w:rPr>
      </w:pPr>
    </w:p>
    <w:p>
      <w:pPr>
        <w:spacing w:before="0"/>
        <w:ind w:left="270" w:right="0" w:firstLine="0"/>
        <w:jc w:val="both"/>
        <w:rPr>
          <w:sz w:val="18"/>
        </w:rPr>
      </w:pPr>
      <w:r>
        <w:rPr>
          <w:b/>
          <w:sz w:val="18"/>
        </w:rPr>
        <w:t>Dr. Jorge Luis Garcia Alcaraz: </w:t>
      </w:r>
      <w:r>
        <w:rPr>
          <w:sz w:val="18"/>
        </w:rPr>
        <w:t>Jorge Luis Garcia Alcaraz is a full time researcher of the Department of Industrial Engineering at the Autonomous University of Ciudad Juarez. He received a MSc  in Industrial Engineering from the Colima Technology Institute (Mexico), a PhD in Industrial Engineering from Ciudad Juarez Technology Institute (Mexico) and a Postdoc from University of La Rioja (Spain). His main research areas are related to Multicriteria decision making applied to manufacturing, production process modeling and statistical inference. He is founding member of the Mexican Society of Operation Research and active member in the Mexican Academy of Industrial Engineering.  Currently,  Dr. Garcia is a National Researcher recognized by the National Council of Science &amp; Technology of Mexico (CONACYT) and is working with group research from Colombia, Spain and Dominican Republic. Actually, Dr. Garcia is author/coauthor in around 120 journals,</w:t>
      </w:r>
      <w:r>
        <w:rPr>
          <w:spacing w:val="-10"/>
          <w:sz w:val="18"/>
        </w:rPr>
        <w:t> </w:t>
      </w:r>
      <w:r>
        <w:rPr>
          <w:sz w:val="18"/>
        </w:rPr>
        <w:t>international</w:t>
      </w:r>
      <w:r>
        <w:rPr>
          <w:spacing w:val="-10"/>
          <w:sz w:val="18"/>
        </w:rPr>
        <w:t> </w:t>
      </w:r>
      <w:r>
        <w:rPr>
          <w:sz w:val="18"/>
        </w:rPr>
        <w:t>conferences</w:t>
      </w:r>
      <w:r>
        <w:rPr>
          <w:spacing w:val="-10"/>
          <w:sz w:val="18"/>
        </w:rPr>
        <w:t> </w:t>
      </w:r>
      <w:r>
        <w:rPr>
          <w:sz w:val="18"/>
        </w:rPr>
        <w:t>and</w:t>
      </w:r>
      <w:r>
        <w:rPr>
          <w:spacing w:val="-10"/>
          <w:sz w:val="18"/>
        </w:rPr>
        <w:t> </w:t>
      </w:r>
      <w:r>
        <w:rPr>
          <w:sz w:val="18"/>
        </w:rPr>
        <w:t>congress.</w:t>
      </w:r>
    </w:p>
    <w:p>
      <w:pPr>
        <w:pStyle w:val="BodyText"/>
        <w:rPr>
          <w:sz w:val="18"/>
        </w:rPr>
      </w:pPr>
    </w:p>
    <w:p>
      <w:pPr>
        <w:spacing w:before="0"/>
        <w:ind w:left="270" w:right="1" w:firstLine="0"/>
        <w:jc w:val="both"/>
        <w:rPr>
          <w:sz w:val="18"/>
        </w:rPr>
      </w:pPr>
      <w:r>
        <w:rPr>
          <w:b/>
          <w:sz w:val="18"/>
        </w:rPr>
        <w:t>Dr. Juan Luis Hernandez: </w:t>
      </w:r>
      <w:r>
        <w:rPr>
          <w:sz w:val="18"/>
        </w:rPr>
        <w:t>Juan Luis Hernandez-Arellano is currently Professor of Design at the Institute of Architecture, Design and Art at the Autonomous University of Ciudad Juarez. He earned degrees in Industrial Engineering and Master of Science in Industrial Engineering from the Technological Institute of    Celaya</w:t>
      </w:r>
    </w:p>
    <w:p>
      <w:pPr>
        <w:spacing w:before="77"/>
        <w:ind w:left="270" w:right="678" w:firstLine="0"/>
        <w:jc w:val="both"/>
        <w:rPr>
          <w:sz w:val="18"/>
        </w:rPr>
      </w:pPr>
      <w:r>
        <w:rPr/>
        <w:br w:type="column"/>
      </w:r>
      <w:r>
        <w:rPr>
          <w:sz w:val="18"/>
        </w:rPr>
        <w:t>and the degree of Doctor of Science in Engineering from the Universidad Autónoma de Ciudad Juárez. Dr. Hernandez is a candidate for the National System of Researchers (SNI) by the National Council of Science and Technology of Mexico (CONACYT). His research areas are: Industrial ergonomics, ergonomic product design, statistics applied to ergonomics, design, development and validation of surveys and the development of structural equation models d. He is author and co-author of articles published in journals, conferences and congresses.</w:t>
      </w:r>
    </w:p>
    <w:p>
      <w:pPr>
        <w:spacing w:after="0"/>
        <w:jc w:val="both"/>
        <w:rPr>
          <w:sz w:val="18"/>
        </w:rPr>
        <w:sectPr>
          <w:type w:val="continuous"/>
          <w:pgSz w:w="12240" w:h="15840"/>
          <w:pgMar w:top="1500" w:bottom="280" w:left="580" w:right="220"/>
          <w:cols w:num="2" w:equalWidth="0">
            <w:col w:w="5164" w:space="434"/>
            <w:col w:w="5842"/>
          </w:cols>
        </w:sectPr>
      </w:pPr>
    </w:p>
    <w:p>
      <w:pPr>
        <w:pStyle w:val="BodyText"/>
        <w:rPr>
          <w:sz w:val="11"/>
        </w:rPr>
      </w:pPr>
    </w:p>
    <w:p>
      <w:pPr>
        <w:spacing w:after="0"/>
        <w:rPr>
          <w:sz w:val="11"/>
        </w:rPr>
        <w:sectPr>
          <w:pgSz w:w="12240" w:h="15840"/>
          <w:pgMar w:header="545" w:footer="852" w:top="1060" w:bottom="1040" w:left="580" w:right="220"/>
        </w:sectPr>
      </w:pPr>
    </w:p>
    <w:p>
      <w:pPr>
        <w:pStyle w:val="BodyText"/>
        <w:spacing w:before="11"/>
        <w:rPr>
          <w:sz w:val="24"/>
        </w:rPr>
      </w:pPr>
    </w:p>
    <w:p>
      <w:pPr>
        <w:pStyle w:val="Heading1"/>
      </w:pPr>
      <w:r>
        <w:rPr/>
        <w:t>Environmental Elements of Situational Awareness in Incident Management at Major Events</w:t>
      </w:r>
    </w:p>
    <w:p>
      <w:pPr>
        <w:spacing w:line="219" w:lineRule="exact" w:before="179"/>
        <w:ind w:left="270" w:right="0" w:firstLine="0"/>
        <w:jc w:val="both"/>
        <w:rPr>
          <w:i/>
          <w:sz w:val="18"/>
        </w:rPr>
      </w:pPr>
      <w:r>
        <w:rPr>
          <w:i/>
          <w:sz w:val="18"/>
        </w:rPr>
        <w:t>Hernandez-Escobedo,  Guadalupe</w:t>
      </w:r>
      <w:r>
        <w:rPr>
          <w:i/>
          <w:position w:val="8"/>
          <w:sz w:val="12"/>
        </w:rPr>
        <w:t>a</w:t>
      </w:r>
      <w:r>
        <w:rPr>
          <w:i/>
          <w:sz w:val="18"/>
        </w:rPr>
        <w:t>;  Allen,  David</w:t>
      </w:r>
      <w:r>
        <w:rPr>
          <w:i/>
          <w:position w:val="8"/>
          <w:sz w:val="12"/>
        </w:rPr>
        <w:t>b   </w:t>
      </w:r>
      <w:r>
        <w:rPr>
          <w:i/>
          <w:sz w:val="18"/>
        </w:rPr>
        <w:t>and  Pearman,</w:t>
      </w:r>
    </w:p>
    <w:p>
      <w:pPr>
        <w:spacing w:line="219" w:lineRule="exact" w:before="0"/>
        <w:ind w:left="270" w:right="0" w:firstLine="0"/>
        <w:jc w:val="both"/>
        <w:rPr>
          <w:i/>
          <w:sz w:val="12"/>
        </w:rPr>
      </w:pPr>
      <w:r>
        <w:rPr>
          <w:i/>
          <w:sz w:val="18"/>
        </w:rPr>
        <w:t>Alan</w:t>
      </w:r>
      <w:r>
        <w:rPr>
          <w:i/>
          <w:position w:val="8"/>
          <w:sz w:val="12"/>
        </w:rPr>
        <w:t>c</w:t>
      </w:r>
    </w:p>
    <w:p>
      <w:pPr>
        <w:pStyle w:val="BodyText"/>
        <w:spacing w:before="10"/>
        <w:rPr>
          <w:i/>
          <w:sz w:val="15"/>
        </w:rPr>
      </w:pPr>
    </w:p>
    <w:p>
      <w:pPr>
        <w:spacing w:before="0"/>
        <w:ind w:left="270" w:right="1" w:firstLine="0"/>
        <w:jc w:val="both"/>
        <w:rPr>
          <w:sz w:val="18"/>
        </w:rPr>
      </w:pPr>
      <w:r>
        <w:rPr>
          <w:position w:val="8"/>
          <w:sz w:val="12"/>
        </w:rPr>
        <w:t>a </w:t>
      </w:r>
      <w:r>
        <w:rPr>
          <w:sz w:val="18"/>
        </w:rPr>
        <w:t>Instituto Tecnológico de Tijuana, Av. Tecnológico s/n, Fraccionamiento Tomás Aquino, Tijuana, México; C. P. 22414. Correo electróni</w:t>
      </w:r>
      <w:hyperlink r:id="rId109">
        <w:r>
          <w:rPr>
            <w:sz w:val="18"/>
          </w:rPr>
          <w:t>co: ghernan@tectijuana.mx.</w:t>
        </w:r>
      </w:hyperlink>
    </w:p>
    <w:p>
      <w:pPr>
        <w:spacing w:line="208" w:lineRule="exact" w:before="1"/>
        <w:ind w:left="270" w:right="0" w:firstLine="0"/>
        <w:jc w:val="both"/>
        <w:rPr>
          <w:sz w:val="18"/>
        </w:rPr>
      </w:pPr>
      <w:r>
        <w:rPr>
          <w:position w:val="8"/>
          <w:sz w:val="12"/>
        </w:rPr>
        <w:t>b </w:t>
      </w:r>
      <w:r>
        <w:rPr>
          <w:sz w:val="18"/>
        </w:rPr>
        <w:t>AIMTech Research Group, University of Leeds, Woodhouse Lane, Leeds LS2 9JT, U.K.; E-</w:t>
      </w:r>
      <w:hyperlink r:id="rId110">
        <w:r>
          <w:rPr>
            <w:sz w:val="18"/>
          </w:rPr>
          <w:t>mail:</w:t>
        </w:r>
        <w:r>
          <w:rPr>
            <w:spacing w:val="-10"/>
            <w:sz w:val="18"/>
          </w:rPr>
          <w:t> </w:t>
        </w:r>
        <w:r>
          <w:rPr>
            <w:sz w:val="18"/>
          </w:rPr>
          <w:t>da2@lubs.leeds.ac.uk</w:t>
        </w:r>
      </w:hyperlink>
    </w:p>
    <w:p>
      <w:pPr>
        <w:spacing w:line="204" w:lineRule="exact" w:before="0"/>
        <w:ind w:left="270" w:right="0" w:firstLine="0"/>
        <w:jc w:val="both"/>
        <w:rPr>
          <w:sz w:val="18"/>
        </w:rPr>
      </w:pPr>
      <w:r>
        <w:rPr>
          <w:position w:val="8"/>
          <w:sz w:val="12"/>
        </w:rPr>
        <w:t>c  </w:t>
      </w:r>
      <w:r>
        <w:rPr>
          <w:sz w:val="18"/>
        </w:rPr>
        <w:t>Centre for Decision Research, University of Leeds,    Woodhouse</w:t>
      </w:r>
    </w:p>
    <w:p>
      <w:pPr>
        <w:spacing w:before="0"/>
        <w:ind w:left="270" w:right="0" w:firstLine="0"/>
        <w:jc w:val="both"/>
        <w:rPr>
          <w:sz w:val="18"/>
        </w:rPr>
      </w:pPr>
      <w:r>
        <w:rPr>
          <w:sz w:val="18"/>
        </w:rPr>
        <w:t>Lane, Leeds LS2 9JT, U.K.; </w:t>
      </w:r>
      <w:hyperlink r:id="rId111">
        <w:r>
          <w:rPr>
            <w:sz w:val="18"/>
          </w:rPr>
          <w:t>E-mail: adp@lubs.leeds.ac.uk</w:t>
        </w:r>
      </w:hyperlink>
    </w:p>
    <w:p>
      <w:pPr>
        <w:pStyle w:val="BodyText"/>
        <w:rPr>
          <w:sz w:val="18"/>
        </w:rPr>
      </w:pPr>
    </w:p>
    <w:p>
      <w:pPr>
        <w:pStyle w:val="BodyText"/>
        <w:spacing w:before="4"/>
        <w:rPr>
          <w:sz w:val="18"/>
        </w:rPr>
      </w:pPr>
    </w:p>
    <w:p>
      <w:pPr>
        <w:spacing w:before="0"/>
        <w:ind w:left="270" w:right="0" w:firstLine="0"/>
        <w:jc w:val="both"/>
        <w:rPr>
          <w:b/>
          <w:sz w:val="18"/>
        </w:rPr>
      </w:pPr>
      <w:r>
        <w:rPr/>
        <w:pict>
          <v:line style="position:absolute;mso-position-horizontal-relative:page;mso-position-vertical-relative:paragraph;z-index:3808" from="41.040001pt,12.152968pt" to="288.540001pt,12.152968pt" stroked="true" strokeweight="1.5pt" strokecolor="#000000">
            <w10:wrap type="none"/>
          </v:line>
        </w:pict>
      </w:r>
      <w:r>
        <w:rPr>
          <w:b/>
          <w:sz w:val="18"/>
        </w:rPr>
        <w:t>Resumen</w:t>
      </w:r>
    </w:p>
    <w:p>
      <w:pPr>
        <w:spacing w:before="46"/>
        <w:ind w:left="270" w:right="0" w:firstLine="0"/>
        <w:jc w:val="both"/>
        <w:rPr>
          <w:sz w:val="18"/>
        </w:rPr>
      </w:pPr>
      <w:r>
        <w:rPr>
          <w:sz w:val="18"/>
        </w:rPr>
        <w:t>El propósito de esta ponencia es poner en manifiesto los elementos ambientales utilizados para crear y mantener la comprensión de las situaciones. Esta comprensión se utiliza en el proceso de toma de decisiones dentro de la operación rutinaria de los eventos grandes, específicamente en el manejo de incidentes rutinarios y contingentes. Como este contexto es considerado natural e inexplorado, el paradigma considerado conveniente para realizar la investigación fue la mezcla de los enfoques cognitivo y social, el cual incluía un paradigma interpretativo para obtener profundas comprensiones. Aquí, la revisión de la información organizacional, la observación de las practicas rutinarias y entrevistas con personal experimentado en el contexto fueron los métodos empleados para colectar datos en conciertos y partidos de beisbol realizados en tres ciudades. Esta información fue analizada utilizando la teoría de la actividad como marco conceptual y herramienta analítica. Además, el método comparativo constante fue aplicado para descubrir los elementos ambientales. Para facilitar su comprensión, estos fueron categorizados usando como base la estrategia y los sentidos utilizados en su descubrimiento. Esto resulto en el hallazgo de doce atributos contextuales dentro del manejo de incidentes en los eventos grandes. Estos fueron considerados cruciales dentro de la comprensión de las situaciones demandada en el proceso de toma  de decisiones para así ayudar en el entendimiento de dicho contexto.</w:t>
      </w:r>
    </w:p>
    <w:p>
      <w:pPr>
        <w:pStyle w:val="BodyText"/>
        <w:rPr>
          <w:sz w:val="18"/>
        </w:rPr>
      </w:pPr>
    </w:p>
    <w:p>
      <w:pPr>
        <w:spacing w:before="0"/>
        <w:ind w:left="270" w:right="0" w:firstLine="0"/>
        <w:jc w:val="both"/>
        <w:rPr>
          <w:sz w:val="18"/>
        </w:rPr>
      </w:pPr>
      <w:r>
        <w:rPr>
          <w:b/>
          <w:sz w:val="18"/>
        </w:rPr>
        <w:t>Palabras clave</w:t>
      </w:r>
      <w:r>
        <w:rPr>
          <w:sz w:val="18"/>
        </w:rPr>
        <w:t>—Conocimiento de las situaciones, manejo de incidentes, eventos grandes.</w:t>
      </w:r>
    </w:p>
    <w:p>
      <w:pPr>
        <w:pStyle w:val="BodyText"/>
        <w:spacing w:before="6"/>
        <w:rPr>
          <w:sz w:val="18"/>
        </w:rPr>
      </w:pPr>
    </w:p>
    <w:p>
      <w:pPr>
        <w:spacing w:before="0"/>
        <w:ind w:left="270" w:right="0" w:firstLine="0"/>
        <w:jc w:val="both"/>
        <w:rPr>
          <w:b/>
          <w:i/>
          <w:sz w:val="18"/>
        </w:rPr>
      </w:pPr>
      <w:r>
        <w:rPr/>
        <w:pict>
          <v:line style="position:absolute;mso-position-horizontal-relative:page;mso-position-vertical-relative:paragraph;z-index:3832" from="41.040001pt,12.032041pt" to="288.540001pt,12.032041pt" stroked="true" strokeweight="1.5pt" strokecolor="#000000">
            <w10:wrap type="none"/>
          </v:line>
        </w:pict>
      </w:r>
      <w:r>
        <w:rPr>
          <w:b/>
          <w:i/>
          <w:sz w:val="18"/>
        </w:rPr>
        <w:t>Abstract</w:t>
      </w:r>
    </w:p>
    <w:p>
      <w:pPr>
        <w:spacing w:before="44"/>
        <w:ind w:left="270" w:right="0" w:firstLine="0"/>
        <w:jc w:val="both"/>
        <w:rPr>
          <w:i/>
          <w:sz w:val="18"/>
        </w:rPr>
      </w:pPr>
      <w:r>
        <w:rPr>
          <w:i/>
          <w:sz w:val="18"/>
        </w:rPr>
        <w:t>The purpose of this paper is to uncover the environmental elements </w:t>
      </w:r>
      <w:r>
        <w:rPr>
          <w:i/>
          <w:sz w:val="18"/>
        </w:rPr>
        <w:t>used to create and maintain situational awareness (SA). This awareness is utilized in the decision-making process within the routine operation of major events, specifically in the management  of routine and contingent incidents. As this context was considered naturalistic and unexplored, a mix of the cognitive and social approaches was chosen as feasible approach, which included an interpretive paradigm to gain in-depth insights. Here, the revision of organizational documentation, the observation of current practices and the interview of experienced personnel were the methods to collect data in concerts and baseball matches in three cities. The gathered information was analyzed using activity theory as conceptual framework and analytical tool. In addition, the constant and comparative method was employed to discover the environmental elements. To facilitate their understanding, they were categorized on basis of the strategy and the sense employed</w:t>
      </w:r>
      <w:r>
        <w:rPr>
          <w:i/>
          <w:spacing w:val="-7"/>
          <w:sz w:val="18"/>
        </w:rPr>
        <w:t> </w:t>
      </w:r>
      <w:r>
        <w:rPr>
          <w:i/>
          <w:sz w:val="18"/>
        </w:rPr>
        <w:t>to</w:t>
      </w:r>
    </w:p>
    <w:p>
      <w:pPr>
        <w:spacing w:before="77"/>
        <w:ind w:left="270" w:right="678" w:firstLine="0"/>
        <w:jc w:val="both"/>
        <w:rPr>
          <w:i/>
          <w:sz w:val="18"/>
        </w:rPr>
      </w:pPr>
      <w:r>
        <w:rPr/>
        <w:br w:type="column"/>
      </w:r>
      <w:r>
        <w:rPr>
          <w:i/>
          <w:sz w:val="18"/>
        </w:rPr>
        <w:t>uncover them. This resulted on uncovering twelve contextual </w:t>
      </w:r>
      <w:r>
        <w:rPr>
          <w:i/>
          <w:sz w:val="18"/>
        </w:rPr>
        <w:t>attributes in incident management at major events. These were considered crucial within the situational awareness demanded in the decision-making process by helping on understand that context.</w:t>
      </w:r>
    </w:p>
    <w:p>
      <w:pPr>
        <w:pStyle w:val="BodyText"/>
        <w:rPr>
          <w:i/>
          <w:sz w:val="18"/>
        </w:rPr>
      </w:pPr>
    </w:p>
    <w:p>
      <w:pPr>
        <w:spacing w:before="0"/>
        <w:ind w:left="270" w:right="678" w:firstLine="0"/>
        <w:jc w:val="both"/>
        <w:rPr>
          <w:i/>
          <w:sz w:val="18"/>
        </w:rPr>
      </w:pPr>
      <w:r>
        <w:rPr>
          <w:b/>
          <w:i/>
          <w:sz w:val="18"/>
        </w:rPr>
        <w:t>Keywords</w:t>
      </w:r>
      <w:r>
        <w:rPr>
          <w:i/>
          <w:sz w:val="18"/>
        </w:rPr>
        <w:t>— Situational awareness, incident management, major </w:t>
      </w:r>
      <w:r>
        <w:rPr>
          <w:i/>
          <w:sz w:val="18"/>
        </w:rPr>
        <w:t>events.</w:t>
      </w:r>
    </w:p>
    <w:p>
      <w:pPr>
        <w:pStyle w:val="BodyText"/>
        <w:rPr>
          <w:i/>
          <w:sz w:val="18"/>
        </w:rPr>
      </w:pPr>
    </w:p>
    <w:p>
      <w:pPr>
        <w:pStyle w:val="BodyText"/>
        <w:spacing w:before="10"/>
        <w:rPr>
          <w:i/>
          <w:sz w:val="17"/>
        </w:rPr>
      </w:pPr>
    </w:p>
    <w:p>
      <w:pPr>
        <w:spacing w:before="1"/>
        <w:ind w:left="270" w:right="677" w:firstLine="0"/>
        <w:jc w:val="both"/>
        <w:rPr>
          <w:sz w:val="18"/>
        </w:rPr>
      </w:pPr>
      <w:r>
        <w:rPr>
          <w:b/>
          <w:sz w:val="18"/>
        </w:rPr>
        <w:t>Relevance to Ergonomics: </w:t>
      </w:r>
      <w:r>
        <w:rPr>
          <w:sz w:val="18"/>
        </w:rPr>
        <w:t>This paper contributes with the understanding of situational awareness within the context of the routine operation at major events, embracing the management of routine and contingent incidents. As situational awareness was an unexplored area of research in the current literature, the study filled this gap of knowledge. This also permitted the use of a novel conceptual framework and an analytical tool to gain in-depth insights of its environmental elements and their contextual influences as well as the subjective and inter-subjective social constructions demanded in that context.</w:t>
      </w:r>
    </w:p>
    <w:p>
      <w:pPr>
        <w:pStyle w:val="BodyText"/>
        <w:rPr>
          <w:sz w:val="18"/>
        </w:rPr>
      </w:pPr>
    </w:p>
    <w:p>
      <w:pPr>
        <w:pStyle w:val="BodyText"/>
        <w:spacing w:before="4"/>
        <w:rPr>
          <w:sz w:val="18"/>
        </w:rPr>
      </w:pPr>
    </w:p>
    <w:p>
      <w:pPr>
        <w:pStyle w:val="ListParagraph"/>
        <w:numPr>
          <w:ilvl w:val="0"/>
          <w:numId w:val="35"/>
        </w:numPr>
        <w:tabs>
          <w:tab w:pos="452" w:val="left" w:leader="none"/>
        </w:tabs>
        <w:spacing w:line="240" w:lineRule="auto" w:before="0" w:after="0"/>
        <w:ind w:left="451" w:right="0" w:hanging="181"/>
        <w:jc w:val="both"/>
        <w:rPr>
          <w:b/>
          <w:sz w:val="18"/>
        </w:rPr>
      </w:pPr>
      <w:r>
        <w:rPr>
          <w:b/>
          <w:sz w:val="18"/>
        </w:rPr>
        <w:t>INTRODUCTION</w:t>
      </w:r>
    </w:p>
    <w:p>
      <w:pPr>
        <w:pStyle w:val="BodyText"/>
        <w:spacing w:before="7"/>
        <w:rPr>
          <w:b/>
          <w:sz w:val="17"/>
        </w:rPr>
      </w:pPr>
    </w:p>
    <w:p>
      <w:pPr>
        <w:spacing w:before="1"/>
        <w:ind w:left="270" w:right="677" w:firstLine="0"/>
        <w:jc w:val="both"/>
        <w:rPr>
          <w:sz w:val="18"/>
        </w:rPr>
      </w:pPr>
      <w:r>
        <w:rPr>
          <w:sz w:val="18"/>
        </w:rPr>
        <w:t>During the routine operation of major events, its activities were aligned to prevent the routine incidents and to minimize the impact of the contingent incidents [1]. Major events are broadly defined as public or social things that take place with the purpose of entertaining a group of people who have leisure objectives within a place or venue. Routine operation is the set of activities, actions  and operations that are performed before, during, and after the normal operation with the goal of preventing incidents or managing potential or active incidents. Incident means any unusual situation that could lead to the loss or disruption of the routine operation. Incident management is the set of activities, actions and operations that are performed before, during and after the routine or  contingent incidents with the goal of preventing  casualties, reducing their impact on infrastructure and returning to a state of normalcy as routine operation. The results of both types of incidents were generally presented in relation to the number of casualties, the damage to infrastructure and the duration of the interruption by incident management [2]. For this reason, the activities were focused on the creation and maintenance of SA to prevent or manage the incidents discovered in context. It served to understand continuously what happened, what happens and what would happen in context over time [3]. Its goal was to obtain a clear picture of the context to make informed decisions [4], permitting to return fast to the state of normalcy after as routine operation.</w:t>
      </w:r>
    </w:p>
    <w:p>
      <w:pPr>
        <w:spacing w:before="0"/>
        <w:ind w:left="270" w:right="677" w:firstLine="540"/>
        <w:jc w:val="both"/>
        <w:rPr>
          <w:sz w:val="18"/>
        </w:rPr>
      </w:pPr>
      <w:r>
        <w:rPr>
          <w:sz w:val="18"/>
        </w:rPr>
        <w:t>Diverse types of SA at individual and collective levels were demanded in relation to the organisations that converged in this context. It was because each organisation was centered on achieving their goals understanding significantly different that context. In other words, the context of the routine operation and the management of routine and contingent incidents served to uncover different situational meanings [5]. These are related to the significance of the environmental elements included in that situational awareness created and maintained by individuals and their</w:t>
      </w:r>
      <w:r>
        <w:rPr>
          <w:spacing w:val="-3"/>
          <w:sz w:val="18"/>
        </w:rPr>
        <w:t> </w:t>
      </w:r>
      <w:r>
        <w:rPr>
          <w:sz w:val="18"/>
        </w:rPr>
        <w:t>organisations.</w:t>
      </w:r>
    </w:p>
    <w:p>
      <w:pPr>
        <w:spacing w:before="0"/>
        <w:ind w:left="270" w:right="677" w:firstLine="540"/>
        <w:jc w:val="both"/>
        <w:rPr>
          <w:sz w:val="18"/>
        </w:rPr>
      </w:pPr>
      <w:r>
        <w:rPr>
          <w:sz w:val="18"/>
        </w:rPr>
        <w:t>In the current research, it was discovered that those  elements were in relation to the information seeking strategies, which were similarly concerned with the roles of individuals and their organisations in context. However, the discovery of those elements and their significance in the context handled here was an unexplored area of research. This principally permitted to   </w:t>
      </w:r>
      <w:r>
        <w:rPr>
          <w:spacing w:val="4"/>
          <w:sz w:val="18"/>
        </w:rPr>
        <w:t> </w:t>
      </w:r>
      <w:r>
        <w:rPr>
          <w:sz w:val="18"/>
        </w:rPr>
        <w:t>explore</w:t>
      </w:r>
    </w:p>
    <w:p>
      <w:pPr>
        <w:spacing w:after="0"/>
        <w:jc w:val="both"/>
        <w:rPr>
          <w:sz w:val="18"/>
        </w:rPr>
        <w:sectPr>
          <w:type w:val="continuous"/>
          <w:pgSz w:w="12240" w:h="15840"/>
          <w:pgMar w:top="1500" w:bottom="280" w:left="580" w:right="220"/>
          <w:cols w:num="2" w:equalWidth="0">
            <w:col w:w="5164" w:space="434"/>
            <w:col w:w="5842"/>
          </w:cols>
        </w:sectPr>
      </w:pPr>
    </w:p>
    <w:p>
      <w:pPr>
        <w:pStyle w:val="BodyText"/>
        <w:rPr>
          <w:sz w:val="11"/>
        </w:rPr>
      </w:pPr>
    </w:p>
    <w:p>
      <w:pPr>
        <w:spacing w:after="0"/>
        <w:rPr>
          <w:sz w:val="11"/>
        </w:rPr>
        <w:sectPr>
          <w:pgSz w:w="12240" w:h="15840"/>
          <w:pgMar w:header="545" w:footer="852" w:top="1060" w:bottom="1040" w:left="580" w:right="220"/>
        </w:sectPr>
      </w:pPr>
    </w:p>
    <w:p>
      <w:pPr>
        <w:spacing w:before="77"/>
        <w:ind w:left="270" w:right="1" w:firstLine="0"/>
        <w:jc w:val="both"/>
        <w:rPr>
          <w:sz w:val="18"/>
        </w:rPr>
      </w:pPr>
      <w:r>
        <w:rPr>
          <w:sz w:val="18"/>
        </w:rPr>
        <w:t>what environmental elements were included in the SA demanded in this context.</w:t>
      </w:r>
    </w:p>
    <w:p>
      <w:pPr>
        <w:spacing w:before="0"/>
        <w:ind w:left="270" w:right="0" w:firstLine="540"/>
        <w:jc w:val="both"/>
        <w:rPr>
          <w:sz w:val="18"/>
        </w:rPr>
      </w:pPr>
      <w:r>
        <w:rPr>
          <w:sz w:val="18"/>
        </w:rPr>
        <w:t>The objectives were to discover the environmental elements included in the individual and collective SA used in the routine operation and the management of routine and contingent incidents at major events, and to uncover the contextual influences on those environmental elements and the subjective and inter-subjective social constructions demanded in this context.</w:t>
      </w:r>
    </w:p>
    <w:p>
      <w:pPr>
        <w:spacing w:before="0"/>
        <w:ind w:left="270" w:right="0" w:firstLine="540"/>
        <w:jc w:val="both"/>
        <w:rPr>
          <w:sz w:val="18"/>
        </w:rPr>
      </w:pPr>
      <w:r>
        <w:rPr>
          <w:sz w:val="18"/>
        </w:rPr>
        <w:t>The remainder document is structured as follows: the next section presents a review respecting to SA. It is followed by an explanation of the context and the methodology employed. Next, the results are presented as well as their discussion and the conclusions.</w:t>
      </w:r>
    </w:p>
    <w:p>
      <w:pPr>
        <w:pStyle w:val="BodyText"/>
        <w:rPr>
          <w:sz w:val="18"/>
        </w:rPr>
      </w:pPr>
    </w:p>
    <w:p>
      <w:pPr>
        <w:pStyle w:val="BodyText"/>
        <w:spacing w:before="4"/>
        <w:rPr>
          <w:sz w:val="18"/>
        </w:rPr>
      </w:pPr>
    </w:p>
    <w:p>
      <w:pPr>
        <w:pStyle w:val="ListParagraph"/>
        <w:numPr>
          <w:ilvl w:val="0"/>
          <w:numId w:val="35"/>
        </w:numPr>
        <w:tabs>
          <w:tab w:pos="452" w:val="left" w:leader="none"/>
        </w:tabs>
        <w:spacing w:line="240" w:lineRule="auto" w:before="0" w:after="0"/>
        <w:ind w:left="451" w:right="0" w:hanging="181"/>
        <w:jc w:val="both"/>
        <w:rPr>
          <w:b/>
          <w:sz w:val="18"/>
        </w:rPr>
      </w:pPr>
      <w:r>
        <w:rPr>
          <w:b/>
          <w:sz w:val="18"/>
        </w:rPr>
        <w:t>SITUATIONAL</w:t>
      </w:r>
      <w:r>
        <w:rPr>
          <w:b/>
          <w:spacing w:val="-17"/>
          <w:sz w:val="18"/>
        </w:rPr>
        <w:t> </w:t>
      </w:r>
      <w:r>
        <w:rPr>
          <w:b/>
          <w:sz w:val="18"/>
        </w:rPr>
        <w:t>AWARENESS</w:t>
      </w:r>
    </w:p>
    <w:p>
      <w:pPr>
        <w:pStyle w:val="BodyText"/>
        <w:spacing w:before="7"/>
        <w:rPr>
          <w:b/>
          <w:sz w:val="17"/>
        </w:rPr>
      </w:pPr>
    </w:p>
    <w:p>
      <w:pPr>
        <w:spacing w:before="1"/>
        <w:ind w:left="270" w:right="0" w:firstLine="0"/>
        <w:jc w:val="both"/>
        <w:rPr>
          <w:sz w:val="18"/>
        </w:rPr>
      </w:pPr>
      <w:r>
        <w:rPr>
          <w:sz w:val="18"/>
        </w:rPr>
        <w:t>In the current literature, the importance of SA is principally seen in that information provided to lead informed decisions in dynamic, complex and time constrained contexts, as aviation, command and control áreas, etc. Moreover, SA has been studied as a product and as a process. The difference between them is that in the former, SA is a whole picture of specific situations formed by individuals over time [6]; and in the latter, SA is the achievement of diverse levels  to complete that picture</w:t>
      </w:r>
      <w:r>
        <w:rPr>
          <w:spacing w:val="-9"/>
          <w:sz w:val="18"/>
        </w:rPr>
        <w:t> </w:t>
      </w:r>
      <w:r>
        <w:rPr>
          <w:sz w:val="18"/>
        </w:rPr>
        <w:t>[3].</w:t>
      </w:r>
    </w:p>
    <w:p>
      <w:pPr>
        <w:spacing w:before="0"/>
        <w:ind w:left="270" w:right="0" w:firstLine="540"/>
        <w:jc w:val="both"/>
        <w:rPr>
          <w:sz w:val="18"/>
        </w:rPr>
      </w:pPr>
      <w:r>
        <w:rPr>
          <w:sz w:val="18"/>
        </w:rPr>
        <w:t>Similarly, SA has been investigated from the information processing [3] and the ecological [7] theoretical perspectives. The information processing perspective considers the perception of environmental elements of the situations, the comprehension of those elements in concern with the context, the projection of the states of those elements in concern with that context, and the prediction of external variables affecting those projections [3]. On the other hand, the ecological perspective proposed that SA results of the continuous interaction between individuals with the surrounding environment [7]. Here, individuals create objective meanings from the task constrains (situations) and mental interpretations (knowledge) at individual level. This permitted to give importance to those environmental elements, which similarly led diverse actions from individuals in context [8].</w:t>
      </w:r>
    </w:p>
    <w:p>
      <w:pPr>
        <w:spacing w:before="0"/>
        <w:ind w:left="270" w:right="0" w:firstLine="540"/>
        <w:jc w:val="both"/>
        <w:rPr>
          <w:sz w:val="18"/>
        </w:rPr>
      </w:pPr>
      <w:r>
        <w:rPr>
          <w:sz w:val="18"/>
        </w:rPr>
        <w:t>However, the majority of the research has been done in controlled contexts leaving a gap of knowledge referring to what is the significance of SA in the naturalistic, dynamic, complex and time constrained context as the routine operation of major events, which includes the management of routine and contingent incidents. Specifically, what are the environmental elements considered relevant in that context. This permitted to focus on the status, the attributes and the dynamics of the environmental elements [5]. Additionally, this also helped on understanding the existing relation between the sense stimulation and its information provided [8]. Moreover, this involved the perception of facts and their comprehension in concern with the recognition of similar situations [9]. Furthermore, the discovery of those elements had theoretical, methodological and practical implications in consideration of the context treated</w:t>
      </w:r>
      <w:r>
        <w:rPr>
          <w:spacing w:val="-9"/>
          <w:sz w:val="18"/>
        </w:rPr>
        <w:t> </w:t>
      </w:r>
      <w:r>
        <w:rPr>
          <w:sz w:val="18"/>
        </w:rPr>
        <w:t>here.</w:t>
      </w:r>
    </w:p>
    <w:p>
      <w:pPr>
        <w:pStyle w:val="BodyText"/>
        <w:rPr>
          <w:sz w:val="18"/>
        </w:rPr>
      </w:pPr>
    </w:p>
    <w:p>
      <w:pPr>
        <w:pStyle w:val="BodyText"/>
        <w:spacing w:before="4"/>
        <w:rPr>
          <w:sz w:val="18"/>
        </w:rPr>
      </w:pPr>
    </w:p>
    <w:p>
      <w:pPr>
        <w:pStyle w:val="ListParagraph"/>
        <w:numPr>
          <w:ilvl w:val="0"/>
          <w:numId w:val="35"/>
        </w:numPr>
        <w:tabs>
          <w:tab w:pos="452" w:val="left" w:leader="none"/>
        </w:tabs>
        <w:spacing w:line="240" w:lineRule="auto" w:before="0" w:after="0"/>
        <w:ind w:left="451" w:right="0" w:hanging="181"/>
        <w:jc w:val="both"/>
        <w:rPr>
          <w:b/>
          <w:sz w:val="18"/>
        </w:rPr>
      </w:pPr>
      <w:r>
        <w:rPr>
          <w:b/>
          <w:sz w:val="18"/>
        </w:rPr>
        <w:t>CONTEXT AND</w:t>
      </w:r>
      <w:r>
        <w:rPr>
          <w:b/>
          <w:spacing w:val="-17"/>
          <w:sz w:val="18"/>
        </w:rPr>
        <w:t> </w:t>
      </w:r>
      <w:r>
        <w:rPr>
          <w:b/>
          <w:sz w:val="18"/>
        </w:rPr>
        <w:t>METHODOLOGY</w:t>
      </w:r>
    </w:p>
    <w:p>
      <w:pPr>
        <w:pStyle w:val="BodyText"/>
        <w:spacing w:before="7"/>
        <w:rPr>
          <w:b/>
          <w:sz w:val="17"/>
        </w:rPr>
      </w:pPr>
    </w:p>
    <w:p>
      <w:pPr>
        <w:spacing w:before="1"/>
        <w:ind w:left="270" w:right="1" w:firstLine="0"/>
        <w:jc w:val="both"/>
        <w:rPr>
          <w:sz w:val="18"/>
        </w:rPr>
      </w:pPr>
      <w:r>
        <w:rPr>
          <w:sz w:val="18"/>
        </w:rPr>
        <w:t>This section describes the context of the routine operation and incident management at major events, the participants and their organizations, the gathered data and their analysis.</w:t>
      </w:r>
    </w:p>
    <w:p>
      <w:pPr>
        <w:pStyle w:val="BodyText"/>
        <w:spacing w:before="3"/>
        <w:rPr>
          <w:sz w:val="18"/>
        </w:rPr>
      </w:pPr>
    </w:p>
    <w:p>
      <w:pPr>
        <w:pStyle w:val="ListParagraph"/>
        <w:numPr>
          <w:ilvl w:val="1"/>
          <w:numId w:val="35"/>
        </w:numPr>
        <w:tabs>
          <w:tab w:pos="543" w:val="left" w:leader="none"/>
        </w:tabs>
        <w:spacing w:line="240" w:lineRule="auto" w:before="0" w:after="0"/>
        <w:ind w:left="542" w:right="0" w:hanging="272"/>
        <w:jc w:val="both"/>
        <w:rPr>
          <w:b/>
          <w:sz w:val="18"/>
        </w:rPr>
      </w:pPr>
      <w:r>
        <w:rPr>
          <w:b/>
          <w:sz w:val="18"/>
        </w:rPr>
        <w:t>Major Events and Incident</w:t>
      </w:r>
      <w:r>
        <w:rPr>
          <w:b/>
          <w:spacing w:val="-12"/>
          <w:sz w:val="18"/>
        </w:rPr>
        <w:t> </w:t>
      </w:r>
      <w:r>
        <w:rPr>
          <w:b/>
          <w:sz w:val="18"/>
        </w:rPr>
        <w:t>Management</w:t>
      </w:r>
    </w:p>
    <w:p>
      <w:pPr>
        <w:spacing w:before="77"/>
        <w:ind w:left="270" w:right="677" w:firstLine="0"/>
        <w:jc w:val="both"/>
        <w:rPr>
          <w:sz w:val="18"/>
        </w:rPr>
      </w:pPr>
      <w:r>
        <w:rPr/>
        <w:br w:type="column"/>
      </w:r>
      <w:r>
        <w:rPr>
          <w:sz w:val="18"/>
        </w:rPr>
        <w:t>This research was done in concerts and baseball matches in three cities located in the northeast of Mexico. The local government of Tijuana organized the concerts during the months of September and October 2011. The owners of the franchises of Los Mochis  (stadium 1) and Guasave (stadium 2) within the Pacific Mexican League organized the baseball matches during the regular season 2011-2012. To control the routine operation in these events, the organizers deployed a linear organization, which exhibited the authority and responsibility of individuals in concern with their abilities, knowledge and experience. This organization followed some guidelines included in the General Law of Civil Protection [10]. It also suggested the formation of a command and control area (C2) formed by the leaders of all participant organizations, as shown in section</w:t>
      </w:r>
      <w:r>
        <w:rPr>
          <w:spacing w:val="-3"/>
          <w:sz w:val="18"/>
        </w:rPr>
        <w:t> </w:t>
      </w:r>
      <w:r>
        <w:rPr>
          <w:sz w:val="18"/>
        </w:rPr>
        <w:t>3.2.</w:t>
      </w:r>
    </w:p>
    <w:p>
      <w:pPr>
        <w:spacing w:before="0"/>
        <w:ind w:left="270" w:right="676" w:firstLine="540"/>
        <w:jc w:val="both"/>
        <w:rPr>
          <w:sz w:val="18"/>
        </w:rPr>
      </w:pPr>
      <w:r>
        <w:rPr>
          <w:sz w:val="18"/>
        </w:rPr>
        <w:t>Once the C2 is deployed, the leaders accorded what areas their personnel covered. It was usual that some individuals stayed  in determined areas meanwhile others patrolled some areas of the venues over time. For example, some individuals were located near to the entrances meanwhile others watched over the internal corridors, bathrooms, external areas, etc. They commented that these patrols helped on understanding what is happening over time along the venues. In addition, these aided on discover those areas classified as problematic because they can suddenly change over time. This was with the aim to anticipate the incidents. For  instance, it was usual that the individuals discovered those areas that could shelter some potential incidents so that they increased  the patrols over time. These kinds of actions permitted to anticipate the incidents. Contrarily, the individuals were alert to manage the contingent incidents. These individuals were personnel from the participant organizations deployed in the events. Nevertheless, in certain incidents, the personnel deployed were inadequate to manage them so that some personnel from other organizations were involved to recover the state of normalcy in the routine operation. Certain fights, faints, drunkards, etc. were examples of these kinds of</w:t>
      </w:r>
      <w:r>
        <w:rPr>
          <w:spacing w:val="-2"/>
          <w:sz w:val="18"/>
        </w:rPr>
        <w:t> </w:t>
      </w:r>
      <w:r>
        <w:rPr>
          <w:sz w:val="18"/>
        </w:rPr>
        <w:t>incidents.</w:t>
      </w:r>
    </w:p>
    <w:p>
      <w:pPr>
        <w:pStyle w:val="BodyText"/>
        <w:spacing w:before="3"/>
        <w:rPr>
          <w:sz w:val="18"/>
        </w:rPr>
      </w:pPr>
    </w:p>
    <w:p>
      <w:pPr>
        <w:pStyle w:val="ListParagraph"/>
        <w:numPr>
          <w:ilvl w:val="1"/>
          <w:numId w:val="35"/>
        </w:numPr>
        <w:tabs>
          <w:tab w:pos="542" w:val="left" w:leader="none"/>
        </w:tabs>
        <w:spacing w:line="240" w:lineRule="auto" w:before="0" w:after="0"/>
        <w:ind w:left="541" w:right="0" w:hanging="271"/>
        <w:jc w:val="both"/>
        <w:rPr>
          <w:b/>
          <w:sz w:val="18"/>
        </w:rPr>
      </w:pPr>
      <w:r>
        <w:rPr>
          <w:b/>
          <w:sz w:val="18"/>
        </w:rPr>
        <w:t>Participants and Their</w:t>
      </w:r>
      <w:r>
        <w:rPr>
          <w:b/>
          <w:spacing w:val="-6"/>
          <w:sz w:val="18"/>
        </w:rPr>
        <w:t> </w:t>
      </w:r>
      <w:r>
        <w:rPr>
          <w:b/>
          <w:sz w:val="18"/>
        </w:rPr>
        <w:t>Organizations</w:t>
      </w:r>
    </w:p>
    <w:p>
      <w:pPr>
        <w:pStyle w:val="BodyText"/>
        <w:spacing w:before="7"/>
        <w:rPr>
          <w:b/>
          <w:sz w:val="17"/>
        </w:rPr>
      </w:pPr>
    </w:p>
    <w:p>
      <w:pPr>
        <w:spacing w:before="1"/>
        <w:ind w:left="270" w:right="677" w:firstLine="0"/>
        <w:jc w:val="both"/>
        <w:rPr>
          <w:sz w:val="18"/>
        </w:rPr>
      </w:pPr>
      <w:r>
        <w:rPr>
          <w:sz w:val="18"/>
        </w:rPr>
        <w:t>The study involved diverse organizations that participated in the concerts and baseball matches. 13 organisations were included in the study: two baseball teams, a department of the local  government (serving as organizer of concerts), two divisions of the Police, the Fire Department, two Civil Protection areas, the Red Cross, two voluntary organisations and two security organisations. As a matter of detail, this allowed to include personnel with experience in the context treated here and with roles at tactical and operational levels. These organizations were organized in agreement with the linear organization mentioned in section 3.1  and their leaders formed the</w:t>
      </w:r>
      <w:r>
        <w:rPr>
          <w:spacing w:val="-11"/>
          <w:sz w:val="18"/>
        </w:rPr>
        <w:t> </w:t>
      </w:r>
      <w:r>
        <w:rPr>
          <w:sz w:val="18"/>
        </w:rPr>
        <w:t>C2.</w:t>
      </w:r>
    </w:p>
    <w:p>
      <w:pPr>
        <w:spacing w:before="0"/>
        <w:ind w:left="270" w:right="677" w:firstLine="540"/>
        <w:jc w:val="both"/>
        <w:rPr>
          <w:sz w:val="18"/>
        </w:rPr>
      </w:pPr>
      <w:r>
        <w:rPr>
          <w:sz w:val="18"/>
        </w:rPr>
        <w:t>In the concerts, the Public Relations Department of the Local Government organized the concerts and directly controlled the leaders of the Firemen, the Police and the Civil Protection Department. On the one hand, the Police controlled the traffic of surroundings areas of venues and guarded the entrances and the interior of the venues. Three divisions converged: active, transit  and commercial. On the other hand, the Firemen controlled the voluntary organisations and the Red Cross. At the same time, the Civil Protection Department supported the activities of  the Firemen.</w:t>
      </w:r>
    </w:p>
    <w:p>
      <w:pPr>
        <w:spacing w:before="0"/>
        <w:ind w:left="270" w:right="678" w:firstLine="540"/>
        <w:jc w:val="both"/>
        <w:rPr>
          <w:sz w:val="18"/>
        </w:rPr>
      </w:pPr>
      <w:r>
        <w:rPr>
          <w:sz w:val="18"/>
        </w:rPr>
        <w:t>In the stadium 1, the managers organized and controlled the security organizations and the Police. Both guarded the events, but the security organizations did preventive actions and the Police corrective actions. It was because the Police can arrest individuals, but  the  security  organizations  cannot.  In  the  stadium  2,       the</w:t>
      </w:r>
    </w:p>
    <w:p>
      <w:pPr>
        <w:spacing w:after="0"/>
        <w:jc w:val="both"/>
        <w:rPr>
          <w:sz w:val="18"/>
        </w:rPr>
        <w:sectPr>
          <w:type w:val="continuous"/>
          <w:pgSz w:w="12240" w:h="15840"/>
          <w:pgMar w:top="1500" w:bottom="280" w:left="580" w:right="220"/>
          <w:cols w:num="2" w:equalWidth="0">
            <w:col w:w="5164" w:space="434"/>
            <w:col w:w="5842"/>
          </w:cols>
        </w:sectPr>
      </w:pPr>
    </w:p>
    <w:p>
      <w:pPr>
        <w:pStyle w:val="BodyText"/>
        <w:rPr>
          <w:sz w:val="11"/>
        </w:rPr>
      </w:pPr>
    </w:p>
    <w:p>
      <w:pPr>
        <w:spacing w:after="0"/>
        <w:rPr>
          <w:sz w:val="11"/>
        </w:rPr>
        <w:sectPr>
          <w:pgSz w:w="12240" w:h="15840"/>
          <w:pgMar w:header="545" w:footer="852" w:top="1060" w:bottom="1040" w:left="580" w:right="220"/>
        </w:sectPr>
      </w:pPr>
    </w:p>
    <w:p>
      <w:pPr>
        <w:spacing w:before="77"/>
        <w:ind w:left="270" w:right="0" w:firstLine="0"/>
        <w:jc w:val="both"/>
        <w:rPr>
          <w:sz w:val="18"/>
        </w:rPr>
      </w:pPr>
      <w:r>
        <w:rPr>
          <w:sz w:val="18"/>
        </w:rPr>
        <w:t>managers organized and controlled the guards or security organization. The Police was not a permanent organization in the events, but it was common practice that they entered to the events and patrolled the interior of the venue. Occasionally, the Red  Cross, the Civil Protection Area and voluntary groups were involved to support the operation at major</w:t>
      </w:r>
      <w:r>
        <w:rPr>
          <w:spacing w:val="-11"/>
          <w:sz w:val="18"/>
        </w:rPr>
        <w:t> </w:t>
      </w:r>
      <w:r>
        <w:rPr>
          <w:sz w:val="18"/>
        </w:rPr>
        <w:t>events.</w:t>
      </w:r>
    </w:p>
    <w:p>
      <w:pPr>
        <w:pStyle w:val="BodyText"/>
        <w:spacing w:before="3"/>
        <w:rPr>
          <w:sz w:val="18"/>
        </w:rPr>
      </w:pPr>
    </w:p>
    <w:p>
      <w:pPr>
        <w:pStyle w:val="ListParagraph"/>
        <w:numPr>
          <w:ilvl w:val="1"/>
          <w:numId w:val="35"/>
        </w:numPr>
        <w:tabs>
          <w:tab w:pos="542" w:val="left" w:leader="none"/>
        </w:tabs>
        <w:spacing w:line="240" w:lineRule="auto" w:before="0" w:after="0"/>
        <w:ind w:left="541" w:right="0" w:hanging="271"/>
        <w:jc w:val="both"/>
        <w:rPr>
          <w:b/>
          <w:sz w:val="18"/>
        </w:rPr>
      </w:pPr>
      <w:r>
        <w:rPr>
          <w:b/>
          <w:sz w:val="18"/>
        </w:rPr>
        <w:t>Gathered</w:t>
      </w:r>
      <w:r>
        <w:rPr>
          <w:b/>
          <w:spacing w:val="-2"/>
          <w:sz w:val="18"/>
        </w:rPr>
        <w:t> </w:t>
      </w:r>
      <w:r>
        <w:rPr>
          <w:b/>
          <w:sz w:val="18"/>
        </w:rPr>
        <w:t>Data</w:t>
      </w:r>
    </w:p>
    <w:p>
      <w:pPr>
        <w:pStyle w:val="BodyText"/>
        <w:spacing w:before="7"/>
        <w:rPr>
          <w:b/>
          <w:sz w:val="17"/>
        </w:rPr>
      </w:pPr>
    </w:p>
    <w:p>
      <w:pPr>
        <w:spacing w:before="1"/>
        <w:ind w:left="270" w:right="1" w:firstLine="0"/>
        <w:jc w:val="both"/>
        <w:rPr>
          <w:sz w:val="18"/>
        </w:rPr>
      </w:pPr>
      <w:r>
        <w:rPr>
          <w:sz w:val="18"/>
        </w:rPr>
        <w:t>The observation of the current practices, the interview of incident responders using the Critical Incident Technique [11], and the revision of organizational documentation were the methods used to gather data in the fieldwork. This was done in three cities during  six months at two concerts and 21 baseball matches. The fieldwork was done in three phases. The first phase involved the observation of practices in two concerts with an audience of 55,000 and 35,000 spectators respectively. The organizational documentation was revised and 17 semi-structured and face-to-face interviews were conducted with operative and tactical personnel. The next phase included the baseball matches. The practices were observed in 19 matches that incorporated the semifinals and the finals of the  season 2011-2012. The organizational documentation was revised and 19 interviews were conducted with operative and tactical personnel. The final phase covered the revision of organizational documentation of the concerts and 19 interviews with operative and tactical personnel.</w:t>
      </w:r>
    </w:p>
    <w:p>
      <w:pPr>
        <w:spacing w:before="0"/>
        <w:ind w:left="270" w:right="1" w:firstLine="540"/>
        <w:jc w:val="both"/>
        <w:rPr>
          <w:sz w:val="18"/>
        </w:rPr>
      </w:pPr>
      <w:r>
        <w:rPr>
          <w:sz w:val="18"/>
        </w:rPr>
        <w:t>The fieldwork finalized with 55 interviews with operative and tactical personnel reporting 119 incidents; nearly 100 hours of observations in 21 events discovering 56 incidents, and the revision of 147 documents. During this process, ethical considerations were followed. For example, all gathered data was codified to assure confidentiality. In addition, the interviews were done after the participants gave their authorization to be interviewed.</w:t>
      </w:r>
    </w:p>
    <w:p>
      <w:pPr>
        <w:pStyle w:val="BodyText"/>
        <w:spacing w:before="3"/>
        <w:rPr>
          <w:sz w:val="18"/>
        </w:rPr>
      </w:pPr>
    </w:p>
    <w:p>
      <w:pPr>
        <w:pStyle w:val="ListParagraph"/>
        <w:numPr>
          <w:ilvl w:val="1"/>
          <w:numId w:val="35"/>
        </w:numPr>
        <w:tabs>
          <w:tab w:pos="543" w:val="left" w:leader="none"/>
        </w:tabs>
        <w:spacing w:line="240" w:lineRule="auto" w:before="0" w:after="0"/>
        <w:ind w:left="542" w:right="0" w:hanging="272"/>
        <w:jc w:val="both"/>
        <w:rPr>
          <w:b/>
          <w:sz w:val="18"/>
        </w:rPr>
      </w:pPr>
      <w:r>
        <w:rPr>
          <w:b/>
          <w:sz w:val="18"/>
        </w:rPr>
        <w:t>Analysis of Gathered</w:t>
      </w:r>
      <w:r>
        <w:rPr>
          <w:b/>
          <w:spacing w:val="-5"/>
          <w:sz w:val="18"/>
        </w:rPr>
        <w:t> </w:t>
      </w:r>
      <w:r>
        <w:rPr>
          <w:b/>
          <w:sz w:val="18"/>
        </w:rPr>
        <w:t>Data</w:t>
      </w:r>
    </w:p>
    <w:p>
      <w:pPr>
        <w:pStyle w:val="BodyText"/>
        <w:spacing w:before="7"/>
        <w:rPr>
          <w:b/>
          <w:sz w:val="17"/>
        </w:rPr>
      </w:pPr>
    </w:p>
    <w:p>
      <w:pPr>
        <w:spacing w:before="1"/>
        <w:ind w:left="270" w:right="1" w:firstLine="0"/>
        <w:jc w:val="both"/>
        <w:rPr>
          <w:sz w:val="18"/>
        </w:rPr>
      </w:pPr>
      <w:r>
        <w:rPr>
          <w:sz w:val="18"/>
        </w:rPr>
        <w:t>Activity theory was employed as a novel conceptual framework  and analytical tool [12] focusing on achieving the objectives stated before. This permitted to capture the environmental elements and the contextual influences and the subjective and inter-subjective social constructions demanded in context [13]. For this reason, the microanalysis and the vertical and horizontal analysis [14] were used to understand them and helped to categorize those</w:t>
      </w:r>
      <w:r>
        <w:rPr>
          <w:spacing w:val="-14"/>
          <w:sz w:val="18"/>
        </w:rPr>
        <w:t> </w:t>
      </w:r>
      <w:r>
        <w:rPr>
          <w:sz w:val="18"/>
        </w:rPr>
        <w:t>elements.</w:t>
      </w:r>
    </w:p>
    <w:p>
      <w:pPr>
        <w:spacing w:before="0"/>
        <w:ind w:left="270" w:right="0" w:firstLine="540"/>
        <w:jc w:val="both"/>
        <w:rPr>
          <w:sz w:val="18"/>
        </w:rPr>
      </w:pPr>
      <w:r>
        <w:rPr>
          <w:sz w:val="18"/>
        </w:rPr>
        <w:t>In addition, a conceptual framework and analytical tool was used to prove that information seeking behavior can aid to explore the environmental elements, the information seeking strategies employed to discover those elements and their relationships [15]. Therefore, an interpretive paradigm was chosen because this allowed gaining in-depth the understanding of those phenomena [16], the contextual influences and the subjective and inter- subjective social constructions. It is important to remark that this paper presents some insights of the reanalysis of the actions and operations of the activity SA [17]. In addition, the consideration of the reports of the critical incidents is a rich source of  understandings of SA in context [18]. Moreover, the relevance on using the senses to discover the environmental elements is by using the scanning [8]. This is a process of seeking information from  their sources; in this particular case, the sources were the events and it was following certain patterns of information seeking as static and/or in</w:t>
      </w:r>
      <w:r>
        <w:rPr>
          <w:spacing w:val="-4"/>
          <w:sz w:val="18"/>
        </w:rPr>
        <w:t> </w:t>
      </w:r>
      <w:r>
        <w:rPr>
          <w:sz w:val="18"/>
        </w:rPr>
        <w:t>movement.</w:t>
      </w:r>
    </w:p>
    <w:p>
      <w:pPr>
        <w:spacing w:before="0"/>
        <w:ind w:left="270" w:right="0" w:firstLine="540"/>
        <w:jc w:val="both"/>
        <w:rPr>
          <w:sz w:val="18"/>
        </w:rPr>
      </w:pPr>
      <w:r>
        <w:rPr>
          <w:sz w:val="18"/>
        </w:rPr>
        <w:t>The analysis followed an inductive approach to discover frequent, dominant or significant concepts and themes from the raw gathered data, which helped on linking them. This data was prepared  for  being  analyzed  in  relation  to  the  richness  in    the</w:t>
      </w:r>
    </w:p>
    <w:p>
      <w:pPr>
        <w:spacing w:before="77"/>
        <w:ind w:left="270" w:right="677" w:firstLine="0"/>
        <w:jc w:val="both"/>
        <w:rPr>
          <w:sz w:val="18"/>
        </w:rPr>
      </w:pPr>
      <w:r>
        <w:rPr/>
        <w:br w:type="column"/>
      </w:r>
      <w:r>
        <w:rPr>
          <w:sz w:val="18"/>
        </w:rPr>
        <w:t>description of the incidents facilitating the subsequent  analysis. This started with the coding process that served to reduce data on unit of analysis and to code them. First, an open coding was used to code interpretively each unit of analysis and the constant comparative method was employed [19]. The procedure was iterative until saturation was reached in each category on knowing what are the environmental elements considered relevant in that context and what is the significance of SA in this context. Some of emerged categories were strange sounds, shouts, circles, lines in crowd, alcohol, gunpowder, etc. Second, the process of axial code was related to link the categories at the level of properties and dimensions to develop conceptualizations. The relationships permitted to uncover relevant themes from those properties and dimensions. Here, the strategies on information seeking and the uses</w:t>
      </w:r>
      <w:r>
        <w:rPr>
          <w:spacing w:val="-3"/>
          <w:sz w:val="18"/>
        </w:rPr>
        <w:t> </w:t>
      </w:r>
      <w:r>
        <w:rPr>
          <w:sz w:val="18"/>
        </w:rPr>
        <w:t>of</w:t>
      </w:r>
      <w:r>
        <w:rPr>
          <w:spacing w:val="-3"/>
          <w:sz w:val="18"/>
        </w:rPr>
        <w:t> </w:t>
      </w:r>
      <w:r>
        <w:rPr>
          <w:sz w:val="18"/>
        </w:rPr>
        <w:t>the</w:t>
      </w:r>
      <w:r>
        <w:rPr>
          <w:spacing w:val="-3"/>
          <w:sz w:val="18"/>
        </w:rPr>
        <w:t> </w:t>
      </w:r>
      <w:r>
        <w:rPr>
          <w:sz w:val="18"/>
        </w:rPr>
        <w:t>human</w:t>
      </w:r>
      <w:r>
        <w:rPr>
          <w:spacing w:val="-3"/>
          <w:sz w:val="18"/>
        </w:rPr>
        <w:t> </w:t>
      </w:r>
      <w:r>
        <w:rPr>
          <w:sz w:val="18"/>
        </w:rPr>
        <w:t>sensory</w:t>
      </w:r>
      <w:r>
        <w:rPr>
          <w:spacing w:val="-3"/>
          <w:sz w:val="18"/>
        </w:rPr>
        <w:t> </w:t>
      </w:r>
      <w:r>
        <w:rPr>
          <w:sz w:val="18"/>
        </w:rPr>
        <w:t>system</w:t>
      </w:r>
      <w:r>
        <w:rPr>
          <w:spacing w:val="-5"/>
          <w:sz w:val="18"/>
        </w:rPr>
        <w:t> </w:t>
      </w:r>
      <w:r>
        <w:rPr>
          <w:sz w:val="18"/>
        </w:rPr>
        <w:t>were</w:t>
      </w:r>
      <w:r>
        <w:rPr>
          <w:spacing w:val="-3"/>
          <w:sz w:val="18"/>
        </w:rPr>
        <w:t> </w:t>
      </w:r>
      <w:r>
        <w:rPr>
          <w:sz w:val="18"/>
        </w:rPr>
        <w:t>examples</w:t>
      </w:r>
      <w:r>
        <w:rPr>
          <w:spacing w:val="-3"/>
          <w:sz w:val="18"/>
        </w:rPr>
        <w:t> </w:t>
      </w:r>
      <w:r>
        <w:rPr>
          <w:sz w:val="18"/>
        </w:rPr>
        <w:t>of</w:t>
      </w:r>
      <w:r>
        <w:rPr>
          <w:spacing w:val="-3"/>
          <w:sz w:val="18"/>
        </w:rPr>
        <w:t> </w:t>
      </w:r>
      <w:r>
        <w:rPr>
          <w:sz w:val="18"/>
        </w:rPr>
        <w:t>these</w:t>
      </w:r>
      <w:r>
        <w:rPr>
          <w:spacing w:val="-4"/>
          <w:sz w:val="18"/>
        </w:rPr>
        <w:t> </w:t>
      </w:r>
      <w:r>
        <w:rPr>
          <w:sz w:val="18"/>
        </w:rPr>
        <w:t>themes.</w:t>
      </w:r>
    </w:p>
    <w:p>
      <w:pPr>
        <w:pStyle w:val="BodyText"/>
        <w:rPr>
          <w:sz w:val="18"/>
        </w:rPr>
      </w:pPr>
    </w:p>
    <w:p>
      <w:pPr>
        <w:pStyle w:val="BodyText"/>
        <w:spacing w:before="4"/>
        <w:rPr>
          <w:sz w:val="18"/>
        </w:rPr>
      </w:pPr>
    </w:p>
    <w:p>
      <w:pPr>
        <w:pStyle w:val="ListParagraph"/>
        <w:numPr>
          <w:ilvl w:val="0"/>
          <w:numId w:val="35"/>
        </w:numPr>
        <w:tabs>
          <w:tab w:pos="452" w:val="left" w:leader="none"/>
        </w:tabs>
        <w:spacing w:line="240" w:lineRule="auto" w:before="0" w:after="0"/>
        <w:ind w:left="451" w:right="0" w:hanging="181"/>
        <w:jc w:val="both"/>
        <w:rPr>
          <w:b/>
          <w:color w:val="233F5E"/>
          <w:sz w:val="18"/>
        </w:rPr>
      </w:pPr>
      <w:r>
        <w:rPr>
          <w:b/>
          <w:color w:val="233F5E"/>
          <w:sz w:val="18"/>
        </w:rPr>
        <w:t>ENVIRONMENTAL ELEMENTS</w:t>
      </w:r>
    </w:p>
    <w:p>
      <w:pPr>
        <w:pStyle w:val="BodyText"/>
        <w:spacing w:before="7"/>
        <w:rPr>
          <w:b/>
          <w:sz w:val="17"/>
        </w:rPr>
      </w:pPr>
    </w:p>
    <w:p>
      <w:pPr>
        <w:spacing w:before="1"/>
        <w:ind w:left="270" w:right="677" w:firstLine="0"/>
        <w:jc w:val="both"/>
        <w:rPr>
          <w:sz w:val="18"/>
        </w:rPr>
      </w:pPr>
      <w:r>
        <w:rPr>
          <w:sz w:val="18"/>
        </w:rPr>
        <w:t>The analysis uncovered diverse environmental elements concerned with the initial and operational activities of the routine operation at major events over time. In the initial activities, the individuals were focused on discover the environmental elements referring to what individuals and organisations converged in the routine     operation.</w:t>
      </w:r>
    </w:p>
    <w:p>
      <w:pPr>
        <w:spacing w:line="206" w:lineRule="exact" w:before="0"/>
        <w:ind w:left="270" w:right="0" w:firstLine="0"/>
        <w:jc w:val="both"/>
        <w:rPr>
          <w:sz w:val="18"/>
        </w:rPr>
      </w:pPr>
      <w:r>
        <w:rPr>
          <w:sz w:val="18"/>
        </w:rPr>
        <w:t>For example, it was seen when</w:t>
      </w:r>
    </w:p>
    <w:p>
      <w:pPr>
        <w:spacing w:before="0"/>
        <w:ind w:left="978" w:right="678" w:firstLine="0"/>
        <w:jc w:val="both"/>
        <w:rPr>
          <w:i/>
          <w:sz w:val="18"/>
        </w:rPr>
      </w:pPr>
      <w:r>
        <w:rPr>
          <w:i/>
          <w:sz w:val="18"/>
        </w:rPr>
        <w:t>we (firemen) arrived to the events and looked for the </w:t>
      </w:r>
      <w:r>
        <w:rPr>
          <w:i/>
          <w:sz w:val="18"/>
        </w:rPr>
        <w:t>leaders of the event (organizers of events). We  asked what agencies (other organizations) were present and their locations. In addition, we asked where we will be located...The position of the ambulance and the emergency exits were two things we should know…We recognized other individuals (from other organisations) for their uniforms (e31)</w:t>
      </w:r>
    </w:p>
    <w:p>
      <w:pPr>
        <w:pStyle w:val="BodyText"/>
        <w:rPr>
          <w:i/>
          <w:sz w:val="18"/>
        </w:rPr>
      </w:pPr>
    </w:p>
    <w:p>
      <w:pPr>
        <w:spacing w:before="0"/>
        <w:ind w:left="270" w:right="668" w:firstLine="540"/>
        <w:jc w:val="left"/>
        <w:rPr>
          <w:sz w:val="18"/>
        </w:rPr>
      </w:pPr>
      <w:r>
        <w:rPr>
          <w:sz w:val="18"/>
        </w:rPr>
        <w:t>Moreover, the individuals sought the vulnerable areas of the venues and commented at this respect</w:t>
      </w:r>
    </w:p>
    <w:p>
      <w:pPr>
        <w:spacing w:before="0"/>
        <w:ind w:left="978" w:right="677" w:firstLine="0"/>
        <w:jc w:val="both"/>
        <w:rPr>
          <w:i/>
          <w:sz w:val="18"/>
        </w:rPr>
      </w:pPr>
      <w:r>
        <w:rPr>
          <w:i/>
          <w:sz w:val="18"/>
        </w:rPr>
        <w:t>we (firemen) arrived to the event, we were looking for the </w:t>
      </w:r>
      <w:r>
        <w:rPr>
          <w:i/>
          <w:sz w:val="18"/>
        </w:rPr>
        <w:t>vulnerable places. For instance, they were areas where people were more rowdy and location of (emergency) exits and extinguishers (e32)</w:t>
      </w:r>
    </w:p>
    <w:p>
      <w:pPr>
        <w:pStyle w:val="BodyText"/>
        <w:rPr>
          <w:i/>
          <w:sz w:val="18"/>
        </w:rPr>
      </w:pPr>
    </w:p>
    <w:p>
      <w:pPr>
        <w:spacing w:before="0"/>
        <w:ind w:left="270" w:right="668" w:firstLine="540"/>
        <w:jc w:val="left"/>
        <w:rPr>
          <w:sz w:val="18"/>
        </w:rPr>
      </w:pPr>
      <w:r>
        <w:rPr>
          <w:sz w:val="18"/>
        </w:rPr>
        <w:t>This was with the aim to locate those vulnerable areas as mentioned</w:t>
      </w:r>
    </w:p>
    <w:p>
      <w:pPr>
        <w:spacing w:before="0"/>
        <w:ind w:left="978" w:right="677" w:firstLine="0"/>
        <w:jc w:val="both"/>
        <w:rPr>
          <w:i/>
          <w:sz w:val="18"/>
        </w:rPr>
      </w:pPr>
      <w:r>
        <w:rPr>
          <w:i/>
          <w:sz w:val="18"/>
        </w:rPr>
        <w:t>we (firemen) tried to put away spectators from places </w:t>
      </w:r>
      <w:r>
        <w:rPr>
          <w:i/>
          <w:sz w:val="18"/>
        </w:rPr>
        <w:t>where there were risks located. Sometimes, organizers  did not see those areas and during the events, they did  not make some arrangements to fix those</w:t>
      </w:r>
      <w:r>
        <w:rPr>
          <w:i/>
          <w:spacing w:val="-5"/>
          <w:sz w:val="18"/>
        </w:rPr>
        <w:t> </w:t>
      </w:r>
      <w:r>
        <w:rPr>
          <w:i/>
          <w:sz w:val="18"/>
        </w:rPr>
        <w:t>(e32)</w:t>
      </w:r>
    </w:p>
    <w:p>
      <w:pPr>
        <w:pStyle w:val="BodyText"/>
        <w:rPr>
          <w:i/>
          <w:sz w:val="18"/>
        </w:rPr>
      </w:pPr>
    </w:p>
    <w:p>
      <w:pPr>
        <w:spacing w:before="0"/>
        <w:ind w:left="270" w:right="668" w:firstLine="540"/>
        <w:jc w:val="left"/>
        <w:rPr>
          <w:sz w:val="18"/>
        </w:rPr>
      </w:pPr>
      <w:r>
        <w:rPr>
          <w:sz w:val="18"/>
        </w:rPr>
        <w:t>Similarly, some individuals were conscious of the use of guns within the venues and said</w:t>
      </w:r>
    </w:p>
    <w:p>
      <w:pPr>
        <w:spacing w:before="0"/>
        <w:ind w:left="978" w:right="678" w:firstLine="0"/>
        <w:jc w:val="both"/>
        <w:rPr>
          <w:i/>
          <w:sz w:val="18"/>
        </w:rPr>
      </w:pPr>
      <w:r>
        <w:rPr>
          <w:i/>
          <w:sz w:val="18"/>
        </w:rPr>
        <w:t>we (security responders) were not entering to manage </w:t>
      </w:r>
      <w:r>
        <w:rPr>
          <w:i/>
          <w:sz w:val="18"/>
        </w:rPr>
        <w:t>incidents, we had to stay in the secure corridor (in the events, it is usual that a corridor is located along the venues to facilitate the movement of safety and security individuals). We were using guns and may be dangerous for us and spectators (e38)</w:t>
      </w:r>
    </w:p>
    <w:p>
      <w:pPr>
        <w:pStyle w:val="BodyText"/>
        <w:rPr>
          <w:i/>
          <w:sz w:val="18"/>
        </w:rPr>
      </w:pPr>
    </w:p>
    <w:p>
      <w:pPr>
        <w:spacing w:before="0"/>
        <w:ind w:left="270" w:right="668" w:firstLine="540"/>
        <w:jc w:val="left"/>
        <w:rPr>
          <w:sz w:val="18"/>
        </w:rPr>
      </w:pPr>
      <w:r>
        <w:rPr>
          <w:sz w:val="18"/>
        </w:rPr>
        <w:t>Furthermore, the individuals were aware of some patterns in the major events and exhibited that</w:t>
      </w:r>
    </w:p>
    <w:p>
      <w:pPr>
        <w:spacing w:before="0"/>
        <w:ind w:left="978" w:right="677" w:firstLine="0"/>
        <w:jc w:val="both"/>
        <w:rPr>
          <w:i/>
          <w:sz w:val="18"/>
        </w:rPr>
      </w:pPr>
      <w:r>
        <w:rPr>
          <w:i/>
          <w:sz w:val="18"/>
        </w:rPr>
        <w:t>for example during the children festival, we (firemen) </w:t>
      </w:r>
      <w:r>
        <w:rPr>
          <w:i/>
          <w:sz w:val="18"/>
        </w:rPr>
        <w:t>were aware of weather and the children. It was usual that some children may be dehydrated for the exposition to  the sun</w:t>
      </w:r>
      <w:r>
        <w:rPr>
          <w:i/>
          <w:spacing w:val="-2"/>
          <w:sz w:val="18"/>
        </w:rPr>
        <w:t> </w:t>
      </w:r>
      <w:r>
        <w:rPr>
          <w:i/>
          <w:sz w:val="18"/>
        </w:rPr>
        <w:t>(e31)</w:t>
      </w:r>
    </w:p>
    <w:p>
      <w:pPr>
        <w:spacing w:after="0"/>
        <w:jc w:val="both"/>
        <w:rPr>
          <w:sz w:val="18"/>
        </w:rPr>
        <w:sectPr>
          <w:type w:val="continuous"/>
          <w:pgSz w:w="12240" w:h="15840"/>
          <w:pgMar w:top="1500" w:bottom="280" w:left="580" w:right="220"/>
          <w:cols w:num="2" w:equalWidth="0">
            <w:col w:w="5164" w:space="434"/>
            <w:col w:w="5842"/>
          </w:cols>
        </w:sectPr>
      </w:pPr>
    </w:p>
    <w:p>
      <w:pPr>
        <w:pStyle w:val="BodyText"/>
        <w:rPr>
          <w:i/>
          <w:sz w:val="11"/>
        </w:rPr>
      </w:pPr>
    </w:p>
    <w:p>
      <w:pPr>
        <w:spacing w:line="207" w:lineRule="exact" w:before="77"/>
        <w:ind w:left="810" w:right="6276" w:firstLine="0"/>
        <w:jc w:val="left"/>
        <w:rPr>
          <w:sz w:val="18"/>
        </w:rPr>
      </w:pPr>
      <w:r>
        <w:rPr/>
        <w:pict>
          <v:shape style="position:absolute;margin-left:316.859985pt;margin-top:4.092359pt;width:255.85pt;height:220.35pt;mso-position-horizontal-relative:page;mso-position-vertical-relative:paragraph;z-index:3856"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32"/>
                    <w:gridCol w:w="707"/>
                    <w:gridCol w:w="1080"/>
                    <w:gridCol w:w="810"/>
                    <w:gridCol w:w="602"/>
                    <w:gridCol w:w="871"/>
                  </w:tblGrid>
                  <w:tr>
                    <w:trPr>
                      <w:trHeight w:val="630" w:hRule="exact"/>
                    </w:trPr>
                    <w:tc>
                      <w:tcPr>
                        <w:tcW w:w="1032" w:type="dxa"/>
                      </w:tcPr>
                      <w:p>
                        <w:pPr>
                          <w:pStyle w:val="TableParagraph"/>
                          <w:ind w:left="220" w:right="155" w:hanging="48"/>
                          <w:rPr>
                            <w:i/>
                            <w:sz w:val="18"/>
                          </w:rPr>
                        </w:pPr>
                        <w:r>
                          <w:rPr>
                            <w:i/>
                            <w:sz w:val="18"/>
                          </w:rPr>
                          <w:t>n seeking </w:t>
                        </w:r>
                        <w:r>
                          <w:rPr>
                            <w:i/>
                            <w:sz w:val="18"/>
                          </w:rPr>
                          <w:t>strategy</w:t>
                        </w:r>
                      </w:p>
                    </w:tc>
                    <w:tc>
                      <w:tcPr>
                        <w:tcW w:w="707" w:type="dxa"/>
                      </w:tcPr>
                      <w:p>
                        <w:pPr>
                          <w:pStyle w:val="TableParagraph"/>
                          <w:spacing w:before="6"/>
                          <w:rPr>
                            <w:sz w:val="17"/>
                          </w:rPr>
                        </w:pPr>
                      </w:p>
                      <w:p>
                        <w:pPr>
                          <w:pStyle w:val="TableParagraph"/>
                          <w:ind w:left="313" w:right="104" w:hanging="190"/>
                          <w:rPr>
                            <w:i/>
                            <w:sz w:val="18"/>
                          </w:rPr>
                        </w:pPr>
                        <w:r>
                          <w:rPr>
                            <w:i/>
                            <w:sz w:val="18"/>
                          </w:rPr>
                          <w:t>Circle </w:t>
                        </w:r>
                        <w:r>
                          <w:rPr>
                            <w:i/>
                            <w:sz w:val="18"/>
                          </w:rPr>
                          <w:t>s</w:t>
                        </w:r>
                      </w:p>
                    </w:tc>
                    <w:tc>
                      <w:tcPr>
                        <w:tcW w:w="1080" w:type="dxa"/>
                      </w:tcPr>
                      <w:p>
                        <w:pPr>
                          <w:pStyle w:val="TableParagraph"/>
                          <w:ind w:left="180" w:right="151" w:hanging="11"/>
                          <w:rPr>
                            <w:i/>
                            <w:sz w:val="18"/>
                          </w:rPr>
                        </w:pPr>
                        <w:r>
                          <w:rPr>
                            <w:i/>
                            <w:sz w:val="18"/>
                          </w:rPr>
                          <w:t>individual </w:t>
                        </w:r>
                        <w:r>
                          <w:rPr>
                            <w:i/>
                            <w:sz w:val="18"/>
                          </w:rPr>
                          <w:t>behaviors</w:t>
                        </w:r>
                      </w:p>
                    </w:tc>
                    <w:tc>
                      <w:tcPr>
                        <w:tcW w:w="810" w:type="dxa"/>
                      </w:tcPr>
                      <w:p>
                        <w:pPr>
                          <w:pStyle w:val="TableParagraph"/>
                          <w:spacing w:before="6"/>
                          <w:rPr>
                            <w:sz w:val="17"/>
                          </w:rPr>
                        </w:pPr>
                      </w:p>
                      <w:p>
                        <w:pPr>
                          <w:pStyle w:val="TableParagraph"/>
                          <w:ind w:left="110" w:right="111"/>
                          <w:jc w:val="center"/>
                          <w:rPr>
                            <w:i/>
                            <w:sz w:val="18"/>
                          </w:rPr>
                        </w:pPr>
                        <w:r>
                          <w:rPr>
                            <w:i/>
                            <w:sz w:val="18"/>
                          </w:rPr>
                          <w:t>Colors</w:t>
                        </w:r>
                      </w:p>
                    </w:tc>
                    <w:tc>
                      <w:tcPr>
                        <w:tcW w:w="602" w:type="dxa"/>
                      </w:tcPr>
                      <w:p>
                        <w:pPr>
                          <w:pStyle w:val="TableParagraph"/>
                          <w:spacing w:before="6"/>
                          <w:rPr>
                            <w:sz w:val="17"/>
                          </w:rPr>
                        </w:pPr>
                      </w:p>
                      <w:p>
                        <w:pPr>
                          <w:pStyle w:val="TableParagraph"/>
                          <w:ind w:left="261" w:right="117" w:hanging="126"/>
                          <w:rPr>
                            <w:i/>
                            <w:sz w:val="18"/>
                          </w:rPr>
                        </w:pPr>
                        <w:r>
                          <w:rPr>
                            <w:i/>
                            <w:sz w:val="18"/>
                          </w:rPr>
                          <w:t>Line </w:t>
                        </w:r>
                        <w:r>
                          <w:rPr>
                            <w:i/>
                            <w:sz w:val="18"/>
                          </w:rPr>
                          <w:t>s</w:t>
                        </w:r>
                      </w:p>
                    </w:tc>
                    <w:tc>
                      <w:tcPr>
                        <w:tcW w:w="871" w:type="dxa"/>
                      </w:tcPr>
                      <w:p>
                        <w:pPr>
                          <w:pStyle w:val="TableParagraph"/>
                          <w:spacing w:before="6"/>
                          <w:rPr>
                            <w:sz w:val="17"/>
                          </w:rPr>
                        </w:pPr>
                      </w:p>
                      <w:p>
                        <w:pPr>
                          <w:pStyle w:val="TableParagraph"/>
                          <w:ind w:left="391" w:right="100" w:hanging="270"/>
                          <w:rPr>
                            <w:i/>
                            <w:sz w:val="18"/>
                          </w:rPr>
                        </w:pPr>
                        <w:r>
                          <w:rPr>
                            <w:i/>
                            <w:sz w:val="18"/>
                          </w:rPr>
                          <w:t>Stamped </w:t>
                        </w:r>
                        <w:r>
                          <w:rPr>
                            <w:i/>
                            <w:sz w:val="18"/>
                          </w:rPr>
                          <w:t>e</w:t>
                        </w:r>
                      </w:p>
                    </w:tc>
                  </w:tr>
                  <w:tr>
                    <w:trPr>
                      <w:trHeight w:val="839" w:hRule="exact"/>
                    </w:trPr>
                    <w:tc>
                      <w:tcPr>
                        <w:tcW w:w="1032" w:type="dxa"/>
                      </w:tcPr>
                      <w:p>
                        <w:pPr>
                          <w:pStyle w:val="TableParagraph"/>
                          <w:ind w:left="103" w:right="99"/>
                          <w:rPr>
                            <w:sz w:val="18"/>
                          </w:rPr>
                        </w:pPr>
                        <w:r>
                          <w:rPr>
                            <w:sz w:val="18"/>
                          </w:rPr>
                          <w:t>Static. Mediated by technology</w:t>
                        </w:r>
                      </w:p>
                    </w:tc>
                    <w:tc>
                      <w:tcPr>
                        <w:tcW w:w="707" w:type="dxa"/>
                      </w:tcPr>
                      <w:p>
                        <w:pPr>
                          <w:pStyle w:val="TableParagraph"/>
                          <w:spacing w:line="203" w:lineRule="exact"/>
                          <w:jc w:val="center"/>
                          <w:rPr>
                            <w:sz w:val="18"/>
                          </w:rPr>
                        </w:pPr>
                        <w:r>
                          <w:rPr>
                            <w:sz w:val="18"/>
                          </w:rPr>
                          <w:t>x</w:t>
                        </w:r>
                      </w:p>
                    </w:tc>
                    <w:tc>
                      <w:tcPr>
                        <w:tcW w:w="1080" w:type="dxa"/>
                      </w:tcPr>
                      <w:p>
                        <w:pPr>
                          <w:pStyle w:val="TableParagraph"/>
                          <w:spacing w:line="203" w:lineRule="exact"/>
                          <w:ind w:left="489"/>
                          <w:rPr>
                            <w:sz w:val="18"/>
                          </w:rPr>
                        </w:pPr>
                        <w:r>
                          <w:rPr>
                            <w:sz w:val="18"/>
                          </w:rPr>
                          <w:t>x</w:t>
                        </w:r>
                      </w:p>
                    </w:tc>
                    <w:tc>
                      <w:tcPr>
                        <w:tcW w:w="810" w:type="dxa"/>
                      </w:tcPr>
                      <w:p>
                        <w:pPr>
                          <w:pStyle w:val="TableParagraph"/>
                          <w:spacing w:line="203" w:lineRule="exact"/>
                          <w:jc w:val="center"/>
                          <w:rPr>
                            <w:sz w:val="18"/>
                          </w:rPr>
                        </w:pPr>
                        <w:r>
                          <w:rPr>
                            <w:sz w:val="18"/>
                          </w:rPr>
                          <w:t>x</w:t>
                        </w:r>
                      </w:p>
                    </w:tc>
                    <w:tc>
                      <w:tcPr>
                        <w:tcW w:w="602" w:type="dxa"/>
                      </w:tcPr>
                      <w:p>
                        <w:pPr>
                          <w:pStyle w:val="TableParagraph"/>
                          <w:spacing w:line="203" w:lineRule="exact"/>
                          <w:ind w:right="1"/>
                          <w:jc w:val="center"/>
                          <w:rPr>
                            <w:sz w:val="18"/>
                          </w:rPr>
                        </w:pPr>
                        <w:r>
                          <w:rPr>
                            <w:sz w:val="18"/>
                          </w:rPr>
                          <w:t>x</w:t>
                        </w:r>
                      </w:p>
                    </w:tc>
                    <w:tc>
                      <w:tcPr>
                        <w:tcW w:w="871" w:type="dxa"/>
                      </w:tcPr>
                      <w:p>
                        <w:pPr>
                          <w:pStyle w:val="TableParagraph"/>
                          <w:spacing w:line="203" w:lineRule="exact"/>
                          <w:ind w:left="1"/>
                          <w:jc w:val="center"/>
                          <w:rPr>
                            <w:sz w:val="18"/>
                          </w:rPr>
                        </w:pPr>
                        <w:r>
                          <w:rPr>
                            <w:sz w:val="18"/>
                          </w:rPr>
                          <w:t>x</w:t>
                        </w:r>
                      </w:p>
                    </w:tc>
                  </w:tr>
                  <w:tr>
                    <w:trPr>
                      <w:trHeight w:val="838" w:hRule="exact"/>
                    </w:trPr>
                    <w:tc>
                      <w:tcPr>
                        <w:tcW w:w="1032" w:type="dxa"/>
                      </w:tcPr>
                      <w:p>
                        <w:pPr>
                          <w:pStyle w:val="TableParagraph"/>
                          <w:ind w:left="103" w:right="114"/>
                          <w:rPr>
                            <w:sz w:val="18"/>
                          </w:rPr>
                        </w:pPr>
                        <w:r>
                          <w:rPr>
                            <w:sz w:val="18"/>
                          </w:rPr>
                          <w:t>Static. Mediated by abstract tools</w:t>
                        </w:r>
                      </w:p>
                    </w:tc>
                    <w:tc>
                      <w:tcPr>
                        <w:tcW w:w="707" w:type="dxa"/>
                      </w:tcPr>
                      <w:p>
                        <w:pPr>
                          <w:pStyle w:val="TableParagraph"/>
                          <w:spacing w:line="202" w:lineRule="exact"/>
                          <w:jc w:val="center"/>
                          <w:rPr>
                            <w:sz w:val="18"/>
                          </w:rPr>
                        </w:pPr>
                        <w:r>
                          <w:rPr>
                            <w:sz w:val="18"/>
                          </w:rPr>
                          <w:t>x</w:t>
                        </w:r>
                      </w:p>
                    </w:tc>
                    <w:tc>
                      <w:tcPr>
                        <w:tcW w:w="1080" w:type="dxa"/>
                      </w:tcPr>
                      <w:p>
                        <w:pPr>
                          <w:pStyle w:val="TableParagraph"/>
                          <w:spacing w:line="202" w:lineRule="exact"/>
                          <w:ind w:left="489"/>
                          <w:rPr>
                            <w:sz w:val="18"/>
                          </w:rPr>
                        </w:pPr>
                        <w:r>
                          <w:rPr>
                            <w:sz w:val="18"/>
                          </w:rPr>
                          <w:t>x</w:t>
                        </w:r>
                      </w:p>
                    </w:tc>
                    <w:tc>
                      <w:tcPr>
                        <w:tcW w:w="810" w:type="dxa"/>
                      </w:tcPr>
                      <w:p>
                        <w:pPr>
                          <w:pStyle w:val="TableParagraph"/>
                          <w:spacing w:line="202" w:lineRule="exact"/>
                          <w:jc w:val="center"/>
                          <w:rPr>
                            <w:sz w:val="18"/>
                          </w:rPr>
                        </w:pPr>
                        <w:r>
                          <w:rPr>
                            <w:sz w:val="18"/>
                          </w:rPr>
                          <w:t>x</w:t>
                        </w:r>
                      </w:p>
                    </w:tc>
                    <w:tc>
                      <w:tcPr>
                        <w:tcW w:w="602" w:type="dxa"/>
                      </w:tcPr>
                      <w:p>
                        <w:pPr>
                          <w:pStyle w:val="TableParagraph"/>
                          <w:spacing w:line="202" w:lineRule="exact"/>
                          <w:ind w:right="1"/>
                          <w:jc w:val="center"/>
                          <w:rPr>
                            <w:sz w:val="18"/>
                          </w:rPr>
                        </w:pPr>
                        <w:r>
                          <w:rPr>
                            <w:sz w:val="18"/>
                          </w:rPr>
                          <w:t>x</w:t>
                        </w:r>
                      </w:p>
                    </w:tc>
                    <w:tc>
                      <w:tcPr>
                        <w:tcW w:w="871" w:type="dxa"/>
                      </w:tcPr>
                      <w:p>
                        <w:pPr>
                          <w:pStyle w:val="TableParagraph"/>
                          <w:spacing w:line="202" w:lineRule="exact"/>
                          <w:ind w:left="1"/>
                          <w:jc w:val="center"/>
                          <w:rPr>
                            <w:sz w:val="18"/>
                          </w:rPr>
                        </w:pPr>
                        <w:r>
                          <w:rPr>
                            <w:sz w:val="18"/>
                          </w:rPr>
                          <w:t>x</w:t>
                        </w:r>
                      </w:p>
                    </w:tc>
                  </w:tr>
                  <w:tr>
                    <w:trPr>
                      <w:trHeight w:val="1045" w:hRule="exact"/>
                    </w:trPr>
                    <w:tc>
                      <w:tcPr>
                        <w:tcW w:w="1032" w:type="dxa"/>
                      </w:tcPr>
                      <w:p>
                        <w:pPr>
                          <w:pStyle w:val="TableParagraph"/>
                          <w:ind w:left="103" w:right="94"/>
                          <w:rPr>
                            <w:sz w:val="18"/>
                          </w:rPr>
                        </w:pPr>
                        <w:r>
                          <w:rPr>
                            <w:sz w:val="18"/>
                          </w:rPr>
                          <w:t>In movement. Mediated by technology</w:t>
                        </w:r>
                      </w:p>
                    </w:tc>
                    <w:tc>
                      <w:tcPr>
                        <w:tcW w:w="707" w:type="dxa"/>
                      </w:tcPr>
                      <w:p>
                        <w:pPr>
                          <w:pStyle w:val="TableParagraph"/>
                          <w:spacing w:line="202" w:lineRule="exact"/>
                          <w:jc w:val="center"/>
                          <w:rPr>
                            <w:sz w:val="18"/>
                          </w:rPr>
                        </w:pPr>
                        <w:r>
                          <w:rPr>
                            <w:sz w:val="18"/>
                          </w:rPr>
                          <w:t>x</w:t>
                        </w:r>
                      </w:p>
                    </w:tc>
                    <w:tc>
                      <w:tcPr>
                        <w:tcW w:w="1080" w:type="dxa"/>
                      </w:tcPr>
                      <w:p>
                        <w:pPr>
                          <w:pStyle w:val="TableParagraph"/>
                          <w:spacing w:line="202" w:lineRule="exact"/>
                          <w:ind w:left="489"/>
                          <w:rPr>
                            <w:sz w:val="18"/>
                          </w:rPr>
                        </w:pPr>
                        <w:r>
                          <w:rPr>
                            <w:sz w:val="18"/>
                          </w:rPr>
                          <w:t>x</w:t>
                        </w:r>
                      </w:p>
                    </w:tc>
                    <w:tc>
                      <w:tcPr>
                        <w:tcW w:w="810" w:type="dxa"/>
                      </w:tcPr>
                      <w:p>
                        <w:pPr>
                          <w:pStyle w:val="TableParagraph"/>
                          <w:spacing w:line="202" w:lineRule="exact"/>
                          <w:jc w:val="center"/>
                          <w:rPr>
                            <w:sz w:val="18"/>
                          </w:rPr>
                        </w:pPr>
                        <w:r>
                          <w:rPr>
                            <w:sz w:val="18"/>
                          </w:rPr>
                          <w:t>x</w:t>
                        </w:r>
                      </w:p>
                    </w:tc>
                    <w:tc>
                      <w:tcPr>
                        <w:tcW w:w="602" w:type="dxa"/>
                      </w:tcPr>
                      <w:p>
                        <w:pPr>
                          <w:pStyle w:val="TableParagraph"/>
                          <w:spacing w:line="202" w:lineRule="exact"/>
                          <w:ind w:right="1"/>
                          <w:jc w:val="center"/>
                          <w:rPr>
                            <w:sz w:val="18"/>
                          </w:rPr>
                        </w:pPr>
                        <w:r>
                          <w:rPr>
                            <w:sz w:val="18"/>
                          </w:rPr>
                          <w:t>x</w:t>
                        </w:r>
                      </w:p>
                    </w:tc>
                    <w:tc>
                      <w:tcPr>
                        <w:tcW w:w="871" w:type="dxa"/>
                      </w:tcPr>
                      <w:p>
                        <w:pPr>
                          <w:pStyle w:val="TableParagraph"/>
                          <w:spacing w:line="202" w:lineRule="exact"/>
                          <w:ind w:left="1"/>
                          <w:jc w:val="center"/>
                          <w:rPr>
                            <w:sz w:val="18"/>
                          </w:rPr>
                        </w:pPr>
                        <w:r>
                          <w:rPr>
                            <w:sz w:val="18"/>
                          </w:rPr>
                          <w:t>x</w:t>
                        </w:r>
                      </w:p>
                    </w:tc>
                  </w:tr>
                  <w:tr>
                    <w:trPr>
                      <w:trHeight w:val="1045" w:hRule="exact"/>
                    </w:trPr>
                    <w:tc>
                      <w:tcPr>
                        <w:tcW w:w="1032" w:type="dxa"/>
                      </w:tcPr>
                      <w:p>
                        <w:pPr>
                          <w:pStyle w:val="TableParagraph"/>
                          <w:ind w:left="103" w:right="94"/>
                          <w:rPr>
                            <w:sz w:val="18"/>
                          </w:rPr>
                        </w:pPr>
                        <w:r>
                          <w:rPr>
                            <w:sz w:val="18"/>
                          </w:rPr>
                          <w:t>In movement. Mediated by abstract tools</w:t>
                        </w:r>
                      </w:p>
                    </w:tc>
                    <w:tc>
                      <w:tcPr>
                        <w:tcW w:w="707" w:type="dxa"/>
                      </w:tcPr>
                      <w:p>
                        <w:pPr>
                          <w:pStyle w:val="TableParagraph"/>
                          <w:spacing w:line="202" w:lineRule="exact"/>
                          <w:jc w:val="center"/>
                          <w:rPr>
                            <w:sz w:val="18"/>
                          </w:rPr>
                        </w:pPr>
                        <w:r>
                          <w:rPr>
                            <w:sz w:val="18"/>
                          </w:rPr>
                          <w:t>x</w:t>
                        </w:r>
                      </w:p>
                    </w:tc>
                    <w:tc>
                      <w:tcPr>
                        <w:tcW w:w="1080" w:type="dxa"/>
                      </w:tcPr>
                      <w:p>
                        <w:pPr>
                          <w:pStyle w:val="TableParagraph"/>
                          <w:spacing w:line="202" w:lineRule="exact"/>
                          <w:ind w:left="489"/>
                          <w:rPr>
                            <w:sz w:val="18"/>
                          </w:rPr>
                        </w:pPr>
                        <w:r>
                          <w:rPr>
                            <w:sz w:val="18"/>
                          </w:rPr>
                          <w:t>x</w:t>
                        </w:r>
                      </w:p>
                    </w:tc>
                    <w:tc>
                      <w:tcPr>
                        <w:tcW w:w="810" w:type="dxa"/>
                      </w:tcPr>
                      <w:p>
                        <w:pPr>
                          <w:pStyle w:val="TableParagraph"/>
                          <w:spacing w:line="202" w:lineRule="exact"/>
                          <w:jc w:val="center"/>
                          <w:rPr>
                            <w:sz w:val="18"/>
                          </w:rPr>
                        </w:pPr>
                        <w:r>
                          <w:rPr>
                            <w:sz w:val="18"/>
                          </w:rPr>
                          <w:t>x</w:t>
                        </w:r>
                      </w:p>
                    </w:tc>
                    <w:tc>
                      <w:tcPr>
                        <w:tcW w:w="602" w:type="dxa"/>
                      </w:tcPr>
                      <w:p>
                        <w:pPr>
                          <w:pStyle w:val="TableParagraph"/>
                          <w:spacing w:line="202" w:lineRule="exact"/>
                          <w:ind w:right="1"/>
                          <w:jc w:val="center"/>
                          <w:rPr>
                            <w:sz w:val="18"/>
                          </w:rPr>
                        </w:pPr>
                        <w:r>
                          <w:rPr>
                            <w:sz w:val="18"/>
                          </w:rPr>
                          <w:t>x</w:t>
                        </w:r>
                      </w:p>
                    </w:tc>
                    <w:tc>
                      <w:tcPr>
                        <w:tcW w:w="871" w:type="dxa"/>
                      </w:tcPr>
                      <w:p>
                        <w:pPr>
                          <w:pStyle w:val="TableParagraph"/>
                          <w:spacing w:line="202" w:lineRule="exact"/>
                          <w:ind w:left="1"/>
                          <w:jc w:val="center"/>
                          <w:rPr>
                            <w:sz w:val="18"/>
                          </w:rPr>
                        </w:pPr>
                        <w:r>
                          <w:rPr>
                            <w:sz w:val="18"/>
                          </w:rPr>
                          <w:t>x</w:t>
                        </w:r>
                      </w:p>
                    </w:tc>
                  </w:tr>
                </w:tbl>
                <w:p>
                  <w:pPr>
                    <w:pStyle w:val="BodyText"/>
                  </w:pPr>
                </w:p>
              </w:txbxContent>
            </v:textbox>
            <w10:wrap type="none"/>
          </v:shape>
        </w:pict>
      </w:r>
      <w:r>
        <w:rPr>
          <w:sz w:val="18"/>
        </w:rPr>
        <w:t>At the same level of importance, they commented that</w:t>
      </w:r>
    </w:p>
    <w:p>
      <w:pPr>
        <w:spacing w:before="0"/>
        <w:ind w:left="978" w:right="6275" w:firstLine="0"/>
        <w:jc w:val="both"/>
        <w:rPr>
          <w:i/>
          <w:sz w:val="18"/>
        </w:rPr>
      </w:pPr>
      <w:r>
        <w:rPr>
          <w:i/>
          <w:sz w:val="18"/>
        </w:rPr>
        <w:t>we (commercial police) should be aware of everything. </w:t>
      </w:r>
      <w:r>
        <w:rPr>
          <w:i/>
          <w:sz w:val="18"/>
        </w:rPr>
        <w:t>We should see the spectators but not the show...in addition, what was going on near to the stage. We must be aware of the unexpected situations</w:t>
      </w:r>
      <w:r>
        <w:rPr>
          <w:i/>
          <w:spacing w:val="-9"/>
          <w:sz w:val="18"/>
        </w:rPr>
        <w:t> </w:t>
      </w:r>
      <w:r>
        <w:rPr>
          <w:i/>
          <w:sz w:val="18"/>
        </w:rPr>
        <w:t>(e38)</w:t>
      </w:r>
    </w:p>
    <w:p>
      <w:pPr>
        <w:pStyle w:val="BodyText"/>
        <w:spacing w:before="3"/>
        <w:rPr>
          <w:i/>
          <w:sz w:val="11"/>
        </w:rPr>
      </w:pPr>
    </w:p>
    <w:p>
      <w:pPr>
        <w:spacing w:after="0"/>
        <w:rPr>
          <w:sz w:val="11"/>
        </w:rPr>
        <w:sectPr>
          <w:pgSz w:w="12240" w:h="15840"/>
          <w:pgMar w:header="545" w:footer="852" w:top="1060" w:bottom="1040" w:left="580" w:right="220"/>
        </w:sectPr>
      </w:pPr>
    </w:p>
    <w:p>
      <w:pPr>
        <w:spacing w:before="77"/>
        <w:ind w:left="270" w:right="1" w:firstLine="540"/>
        <w:jc w:val="both"/>
        <w:rPr>
          <w:sz w:val="18"/>
        </w:rPr>
      </w:pPr>
      <w:r>
        <w:rPr>
          <w:sz w:val="18"/>
        </w:rPr>
        <w:t>On the other hand, in the operational activities (the routine operation and the management of routine and contingent incidents at major events), the environmental elements were in strong  relation to the human sensory system used to gather environmental information and the information seeking strategy. These were  under diverse themes as</w:t>
      </w:r>
      <w:r>
        <w:rPr>
          <w:spacing w:val="-5"/>
          <w:sz w:val="18"/>
        </w:rPr>
        <w:t> </w:t>
      </w:r>
      <w:r>
        <w:rPr>
          <w:sz w:val="18"/>
        </w:rPr>
        <w:t>follows</w:t>
      </w:r>
    </w:p>
    <w:p>
      <w:pPr>
        <w:pStyle w:val="ListParagraph"/>
        <w:numPr>
          <w:ilvl w:val="0"/>
          <w:numId w:val="36"/>
        </w:numPr>
        <w:tabs>
          <w:tab w:pos="979" w:val="left" w:leader="none"/>
        </w:tabs>
        <w:spacing w:line="240" w:lineRule="auto" w:before="0" w:after="0"/>
        <w:ind w:left="990" w:right="0" w:hanging="360"/>
        <w:jc w:val="both"/>
        <w:rPr>
          <w:sz w:val="18"/>
        </w:rPr>
      </w:pPr>
      <w:r>
        <w:rPr>
          <w:sz w:val="18"/>
        </w:rPr>
        <w:t>Related to the information seeking strategy: static (mediated by technology), static (mediated by abstract tools), in movement (mediated by technology), and in movement (mediated by abstract tools). This means that individuals sought information from static positions or in movement along the venues as well as using technology or not in that</w:t>
      </w:r>
      <w:r>
        <w:rPr>
          <w:spacing w:val="-4"/>
          <w:sz w:val="18"/>
        </w:rPr>
        <w:t> </w:t>
      </w:r>
      <w:r>
        <w:rPr>
          <w:sz w:val="18"/>
        </w:rPr>
        <w:t>process.</w:t>
      </w:r>
    </w:p>
    <w:p>
      <w:pPr>
        <w:pStyle w:val="ListParagraph"/>
        <w:numPr>
          <w:ilvl w:val="0"/>
          <w:numId w:val="36"/>
        </w:numPr>
        <w:tabs>
          <w:tab w:pos="979" w:val="left" w:leader="none"/>
        </w:tabs>
        <w:spacing w:line="240" w:lineRule="auto" w:before="0" w:after="0"/>
        <w:ind w:left="990" w:right="1" w:hanging="360"/>
        <w:jc w:val="both"/>
        <w:rPr>
          <w:sz w:val="18"/>
        </w:rPr>
      </w:pPr>
      <w:r>
        <w:rPr>
          <w:sz w:val="18"/>
        </w:rPr>
        <w:t>Related to the uses of the human sensory system within the information seeking strategy: sonorities, visuals and scents.</w:t>
      </w:r>
    </w:p>
    <w:p>
      <w:pPr>
        <w:pStyle w:val="BodyText"/>
        <w:rPr>
          <w:sz w:val="18"/>
        </w:rPr>
      </w:pPr>
    </w:p>
    <w:p>
      <w:pPr>
        <w:spacing w:line="207" w:lineRule="exact" w:before="0"/>
        <w:ind w:left="630" w:right="77" w:firstLine="0"/>
        <w:jc w:val="left"/>
        <w:rPr>
          <w:sz w:val="18"/>
        </w:rPr>
      </w:pPr>
      <w:r>
        <w:rPr>
          <w:sz w:val="18"/>
        </w:rPr>
        <w:t>It was seen, for example, when</w:t>
      </w:r>
    </w:p>
    <w:p>
      <w:pPr>
        <w:spacing w:before="0"/>
        <w:ind w:left="630" w:right="199" w:firstLine="0"/>
        <w:jc w:val="left"/>
        <w:rPr>
          <w:i/>
          <w:sz w:val="18"/>
        </w:rPr>
      </w:pPr>
      <w:r>
        <w:rPr>
          <w:i/>
          <w:sz w:val="18"/>
        </w:rPr>
        <w:t>in an event in which people are dancing and there are some </w:t>
      </w:r>
      <w:r>
        <w:rPr>
          <w:i/>
          <w:sz w:val="18"/>
        </w:rPr>
        <w:t>individual frictions between people from the same social status, only we need to observe their behaviors in case of starting fights(e17)</w:t>
      </w:r>
    </w:p>
    <w:p>
      <w:pPr>
        <w:pStyle w:val="BodyText"/>
        <w:rPr>
          <w:i/>
          <w:sz w:val="18"/>
        </w:rPr>
      </w:pPr>
    </w:p>
    <w:p>
      <w:pPr>
        <w:spacing w:line="207" w:lineRule="exact" w:before="0"/>
        <w:ind w:left="630" w:right="77" w:firstLine="0"/>
        <w:jc w:val="left"/>
        <w:rPr>
          <w:sz w:val="18"/>
        </w:rPr>
      </w:pPr>
      <w:r>
        <w:rPr>
          <w:sz w:val="18"/>
        </w:rPr>
        <w:t>Specifically,</w:t>
      </w:r>
    </w:p>
    <w:p>
      <w:pPr>
        <w:spacing w:before="0"/>
        <w:ind w:left="630" w:right="224" w:firstLine="0"/>
        <w:jc w:val="left"/>
        <w:rPr>
          <w:i/>
          <w:sz w:val="18"/>
        </w:rPr>
      </w:pPr>
      <w:r>
        <w:rPr>
          <w:i/>
          <w:sz w:val="18"/>
        </w:rPr>
        <w:t>always we are watching and specifically to individuals who </w:t>
      </w:r>
      <w:r>
        <w:rPr>
          <w:i/>
          <w:sz w:val="18"/>
        </w:rPr>
        <w:t>exhibit strange behaviors(e17)</w:t>
      </w:r>
    </w:p>
    <w:p>
      <w:pPr>
        <w:pStyle w:val="BodyText"/>
        <w:rPr>
          <w:i/>
          <w:sz w:val="18"/>
        </w:rPr>
      </w:pPr>
    </w:p>
    <w:p>
      <w:pPr>
        <w:spacing w:line="207" w:lineRule="exact" w:before="0"/>
        <w:ind w:left="630" w:right="77" w:firstLine="0"/>
        <w:jc w:val="left"/>
        <w:rPr>
          <w:sz w:val="18"/>
        </w:rPr>
      </w:pPr>
      <w:r>
        <w:rPr>
          <w:sz w:val="18"/>
        </w:rPr>
        <w:t>Additionally,</w:t>
      </w:r>
    </w:p>
    <w:p>
      <w:pPr>
        <w:spacing w:before="0"/>
        <w:ind w:left="630" w:right="315" w:firstLine="0"/>
        <w:jc w:val="left"/>
        <w:rPr>
          <w:i/>
          <w:sz w:val="18"/>
        </w:rPr>
      </w:pPr>
      <w:r>
        <w:rPr>
          <w:i/>
          <w:sz w:val="18"/>
        </w:rPr>
        <w:t>in a fight, people move from the place where the fight take </w:t>
      </w:r>
      <w:r>
        <w:rPr>
          <w:i/>
          <w:sz w:val="18"/>
        </w:rPr>
        <w:t>place(1Ent17)</w:t>
      </w:r>
    </w:p>
    <w:p>
      <w:pPr>
        <w:pStyle w:val="BodyText"/>
        <w:rPr>
          <w:i/>
          <w:sz w:val="18"/>
        </w:rPr>
      </w:pPr>
    </w:p>
    <w:p>
      <w:pPr>
        <w:spacing w:line="207" w:lineRule="exact" w:before="0"/>
        <w:ind w:left="630" w:right="77" w:firstLine="0"/>
        <w:jc w:val="left"/>
        <w:rPr>
          <w:sz w:val="18"/>
        </w:rPr>
      </w:pPr>
      <w:r>
        <w:rPr>
          <w:sz w:val="18"/>
        </w:rPr>
        <w:t>For this,</w:t>
      </w:r>
    </w:p>
    <w:p>
      <w:pPr>
        <w:spacing w:before="0"/>
        <w:ind w:left="630" w:right="-16" w:firstLine="0"/>
        <w:jc w:val="left"/>
        <w:rPr>
          <w:i/>
          <w:sz w:val="18"/>
        </w:rPr>
      </w:pPr>
      <w:r>
        <w:rPr>
          <w:i/>
          <w:sz w:val="18"/>
        </w:rPr>
        <w:t>when there is a fight in a concert, considering the venue is </w:t>
      </w:r>
      <w:r>
        <w:rPr>
          <w:i/>
          <w:sz w:val="18"/>
        </w:rPr>
        <w:t>closed, people start to shout and we easy locate the place(e17)</w:t>
      </w:r>
    </w:p>
    <w:p>
      <w:pPr>
        <w:pStyle w:val="BodyText"/>
        <w:rPr>
          <w:i/>
          <w:sz w:val="18"/>
        </w:rPr>
      </w:pPr>
    </w:p>
    <w:p>
      <w:pPr>
        <w:spacing w:before="0"/>
        <w:ind w:left="270" w:right="0" w:firstLine="360"/>
        <w:jc w:val="both"/>
        <w:rPr>
          <w:sz w:val="18"/>
        </w:rPr>
      </w:pPr>
      <w:r>
        <w:rPr>
          <w:sz w:val="18"/>
        </w:rPr>
        <w:t>So, in the table 1, the environmental elements discovered using the auditory system. The table 2 presents the environmental elements uncovered using the visual system. The table 3 exhibits the environmental elements detected using the olfactory</w:t>
      </w:r>
      <w:r>
        <w:rPr>
          <w:spacing w:val="-22"/>
          <w:sz w:val="18"/>
        </w:rPr>
        <w:t> </w:t>
      </w:r>
      <w:r>
        <w:rPr>
          <w:sz w:val="18"/>
        </w:rPr>
        <w:t>system.</w:t>
      </w:r>
    </w:p>
    <w:p>
      <w:pPr>
        <w:pStyle w:val="BodyText"/>
        <w:rPr>
          <w:sz w:val="18"/>
        </w:rPr>
      </w:pPr>
    </w:p>
    <w:p>
      <w:pPr>
        <w:pStyle w:val="BodyText"/>
        <w:spacing w:before="10"/>
        <w:rPr>
          <w:sz w:val="17"/>
        </w:rPr>
      </w:pPr>
    </w:p>
    <w:p>
      <w:pPr>
        <w:spacing w:before="1"/>
        <w:ind w:left="2465" w:right="255" w:hanging="1925"/>
        <w:jc w:val="left"/>
        <w:rPr>
          <w:sz w:val="18"/>
        </w:rPr>
      </w:pPr>
      <w:r>
        <w:rPr>
          <w:sz w:val="18"/>
        </w:rPr>
        <w:t>Tabla 1. Environmental elements discovered by the auditory system</w:t>
      </w:r>
    </w:p>
    <w:tbl>
      <w:tblPr>
        <w:tblW w:w="0" w:type="auto"/>
        <w:jc w:val="left"/>
        <w:tblInd w:w="2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85"/>
        <w:gridCol w:w="745"/>
        <w:gridCol w:w="720"/>
        <w:gridCol w:w="898"/>
      </w:tblGrid>
      <w:tr>
        <w:trPr>
          <w:trHeight w:val="631" w:hRule="exact"/>
        </w:trPr>
        <w:tc>
          <w:tcPr>
            <w:tcW w:w="2585" w:type="dxa"/>
          </w:tcPr>
          <w:p>
            <w:pPr>
              <w:pStyle w:val="TableParagraph"/>
              <w:spacing w:before="7"/>
              <w:rPr>
                <w:sz w:val="17"/>
              </w:rPr>
            </w:pPr>
          </w:p>
          <w:p>
            <w:pPr>
              <w:pStyle w:val="TableParagraph"/>
              <w:ind w:right="250"/>
              <w:jc w:val="right"/>
              <w:rPr>
                <w:i/>
                <w:sz w:val="18"/>
              </w:rPr>
            </w:pPr>
            <w:r>
              <w:rPr>
                <w:i/>
                <w:sz w:val="18"/>
              </w:rPr>
              <w:t>Information seeking strategy</w:t>
            </w:r>
          </w:p>
        </w:tc>
        <w:tc>
          <w:tcPr>
            <w:tcW w:w="745" w:type="dxa"/>
          </w:tcPr>
          <w:p>
            <w:pPr>
              <w:pStyle w:val="TableParagraph"/>
              <w:ind w:left="117" w:right="115" w:hanging="2"/>
              <w:jc w:val="center"/>
              <w:rPr>
                <w:i/>
                <w:sz w:val="18"/>
              </w:rPr>
            </w:pPr>
            <w:r>
              <w:rPr>
                <w:i/>
                <w:sz w:val="18"/>
              </w:rPr>
              <w:t>Strang </w:t>
            </w:r>
            <w:r>
              <w:rPr>
                <w:i/>
                <w:sz w:val="18"/>
              </w:rPr>
              <w:t>e   sounds</w:t>
            </w:r>
          </w:p>
        </w:tc>
        <w:tc>
          <w:tcPr>
            <w:tcW w:w="720" w:type="dxa"/>
          </w:tcPr>
          <w:p>
            <w:pPr>
              <w:pStyle w:val="TableParagraph"/>
              <w:spacing w:line="203" w:lineRule="exact"/>
              <w:ind w:left="95" w:right="95"/>
              <w:jc w:val="center"/>
              <w:rPr>
                <w:i/>
                <w:sz w:val="18"/>
              </w:rPr>
            </w:pPr>
            <w:r>
              <w:rPr>
                <w:i/>
                <w:sz w:val="18"/>
              </w:rPr>
              <w:t>Shouts</w:t>
            </w:r>
          </w:p>
        </w:tc>
        <w:tc>
          <w:tcPr>
            <w:tcW w:w="898" w:type="dxa"/>
          </w:tcPr>
          <w:p>
            <w:pPr>
              <w:pStyle w:val="TableParagraph"/>
              <w:ind w:left="208" w:right="189" w:firstLine="24"/>
              <w:rPr>
                <w:i/>
                <w:sz w:val="18"/>
              </w:rPr>
            </w:pPr>
            <w:r>
              <w:rPr>
                <w:i/>
                <w:sz w:val="18"/>
              </w:rPr>
              <w:t>Panic </w:t>
            </w:r>
            <w:r>
              <w:rPr>
                <w:i/>
                <w:sz w:val="18"/>
              </w:rPr>
              <w:t>Words</w:t>
            </w:r>
          </w:p>
        </w:tc>
      </w:tr>
      <w:tr>
        <w:trPr>
          <w:trHeight w:val="217" w:hRule="exact"/>
        </w:trPr>
        <w:tc>
          <w:tcPr>
            <w:tcW w:w="2585" w:type="dxa"/>
          </w:tcPr>
          <w:p>
            <w:pPr>
              <w:pStyle w:val="TableParagraph"/>
              <w:spacing w:line="203" w:lineRule="exact"/>
              <w:ind w:right="220"/>
              <w:jc w:val="right"/>
              <w:rPr>
                <w:sz w:val="18"/>
              </w:rPr>
            </w:pPr>
            <w:r>
              <w:rPr>
                <w:sz w:val="18"/>
              </w:rPr>
              <w:t>Static. Mediated by technology</w:t>
            </w:r>
          </w:p>
        </w:tc>
        <w:tc>
          <w:tcPr>
            <w:tcW w:w="745" w:type="dxa"/>
          </w:tcPr>
          <w:p>
            <w:pPr/>
          </w:p>
        </w:tc>
        <w:tc>
          <w:tcPr>
            <w:tcW w:w="720" w:type="dxa"/>
          </w:tcPr>
          <w:p>
            <w:pPr/>
          </w:p>
        </w:tc>
        <w:tc>
          <w:tcPr>
            <w:tcW w:w="898" w:type="dxa"/>
          </w:tcPr>
          <w:p>
            <w:pPr/>
          </w:p>
        </w:tc>
      </w:tr>
      <w:tr>
        <w:trPr>
          <w:trHeight w:val="424" w:hRule="exact"/>
        </w:trPr>
        <w:tc>
          <w:tcPr>
            <w:tcW w:w="2585" w:type="dxa"/>
          </w:tcPr>
          <w:p>
            <w:pPr>
              <w:pStyle w:val="TableParagraph"/>
              <w:ind w:left="103" w:right="442"/>
              <w:rPr>
                <w:sz w:val="18"/>
              </w:rPr>
            </w:pPr>
            <w:r>
              <w:rPr>
                <w:sz w:val="18"/>
              </w:rPr>
              <w:t>Static. Mediated by abstract tools</w:t>
            </w:r>
          </w:p>
        </w:tc>
        <w:tc>
          <w:tcPr>
            <w:tcW w:w="745" w:type="dxa"/>
          </w:tcPr>
          <w:p>
            <w:pPr>
              <w:pStyle w:val="TableParagraph"/>
              <w:spacing w:line="202" w:lineRule="exact"/>
              <w:jc w:val="center"/>
              <w:rPr>
                <w:sz w:val="18"/>
              </w:rPr>
            </w:pPr>
            <w:r>
              <w:rPr>
                <w:sz w:val="18"/>
              </w:rPr>
              <w:t>x</w:t>
            </w:r>
          </w:p>
        </w:tc>
        <w:tc>
          <w:tcPr>
            <w:tcW w:w="720" w:type="dxa"/>
          </w:tcPr>
          <w:p>
            <w:pPr>
              <w:pStyle w:val="TableParagraph"/>
              <w:spacing w:line="202" w:lineRule="exact"/>
              <w:ind w:right="1"/>
              <w:jc w:val="center"/>
              <w:rPr>
                <w:sz w:val="18"/>
              </w:rPr>
            </w:pPr>
            <w:r>
              <w:rPr>
                <w:sz w:val="18"/>
              </w:rPr>
              <w:t>x</w:t>
            </w:r>
          </w:p>
        </w:tc>
        <w:tc>
          <w:tcPr>
            <w:tcW w:w="898" w:type="dxa"/>
          </w:tcPr>
          <w:p>
            <w:pPr>
              <w:pStyle w:val="TableParagraph"/>
              <w:spacing w:line="202" w:lineRule="exact"/>
              <w:ind w:right="1"/>
              <w:jc w:val="center"/>
              <w:rPr>
                <w:sz w:val="18"/>
              </w:rPr>
            </w:pPr>
            <w:r>
              <w:rPr>
                <w:sz w:val="18"/>
              </w:rPr>
              <w:t>x</w:t>
            </w:r>
          </w:p>
        </w:tc>
      </w:tr>
      <w:tr>
        <w:trPr>
          <w:trHeight w:val="425" w:hRule="exact"/>
        </w:trPr>
        <w:tc>
          <w:tcPr>
            <w:tcW w:w="2585" w:type="dxa"/>
          </w:tcPr>
          <w:p>
            <w:pPr>
              <w:pStyle w:val="TableParagraph"/>
              <w:ind w:left="103" w:right="502"/>
              <w:rPr>
                <w:sz w:val="18"/>
              </w:rPr>
            </w:pPr>
            <w:r>
              <w:rPr>
                <w:sz w:val="18"/>
              </w:rPr>
              <w:t>In movement. Mediated by technology</w:t>
            </w:r>
          </w:p>
        </w:tc>
        <w:tc>
          <w:tcPr>
            <w:tcW w:w="745" w:type="dxa"/>
          </w:tcPr>
          <w:p>
            <w:pPr>
              <w:pStyle w:val="TableParagraph"/>
              <w:spacing w:line="203" w:lineRule="exact"/>
              <w:jc w:val="center"/>
              <w:rPr>
                <w:sz w:val="18"/>
              </w:rPr>
            </w:pPr>
            <w:r>
              <w:rPr>
                <w:sz w:val="18"/>
              </w:rPr>
              <w:t>x</w:t>
            </w:r>
          </w:p>
        </w:tc>
        <w:tc>
          <w:tcPr>
            <w:tcW w:w="720" w:type="dxa"/>
          </w:tcPr>
          <w:p>
            <w:pPr>
              <w:pStyle w:val="TableParagraph"/>
              <w:spacing w:line="203" w:lineRule="exact"/>
              <w:ind w:right="1"/>
              <w:jc w:val="center"/>
              <w:rPr>
                <w:sz w:val="18"/>
              </w:rPr>
            </w:pPr>
            <w:r>
              <w:rPr>
                <w:sz w:val="18"/>
              </w:rPr>
              <w:t>x</w:t>
            </w:r>
          </w:p>
        </w:tc>
        <w:tc>
          <w:tcPr>
            <w:tcW w:w="898" w:type="dxa"/>
          </w:tcPr>
          <w:p>
            <w:pPr>
              <w:pStyle w:val="TableParagraph"/>
              <w:spacing w:line="203" w:lineRule="exact"/>
              <w:ind w:right="1"/>
              <w:jc w:val="center"/>
              <w:rPr>
                <w:sz w:val="18"/>
              </w:rPr>
            </w:pPr>
            <w:r>
              <w:rPr>
                <w:sz w:val="18"/>
              </w:rPr>
              <w:t>x</w:t>
            </w:r>
          </w:p>
        </w:tc>
      </w:tr>
      <w:tr>
        <w:trPr>
          <w:trHeight w:val="424" w:hRule="exact"/>
        </w:trPr>
        <w:tc>
          <w:tcPr>
            <w:tcW w:w="2585" w:type="dxa"/>
          </w:tcPr>
          <w:p>
            <w:pPr>
              <w:pStyle w:val="TableParagraph"/>
              <w:ind w:left="103" w:right="502"/>
              <w:rPr>
                <w:sz w:val="18"/>
              </w:rPr>
            </w:pPr>
            <w:r>
              <w:rPr>
                <w:sz w:val="18"/>
              </w:rPr>
              <w:t>In movement. Mediated by abstract tools</w:t>
            </w:r>
          </w:p>
        </w:tc>
        <w:tc>
          <w:tcPr>
            <w:tcW w:w="745" w:type="dxa"/>
          </w:tcPr>
          <w:p>
            <w:pPr>
              <w:pStyle w:val="TableParagraph"/>
              <w:spacing w:line="202" w:lineRule="exact"/>
              <w:jc w:val="center"/>
              <w:rPr>
                <w:sz w:val="18"/>
              </w:rPr>
            </w:pPr>
            <w:r>
              <w:rPr>
                <w:sz w:val="18"/>
              </w:rPr>
              <w:t>x</w:t>
            </w:r>
          </w:p>
        </w:tc>
        <w:tc>
          <w:tcPr>
            <w:tcW w:w="720" w:type="dxa"/>
          </w:tcPr>
          <w:p>
            <w:pPr>
              <w:pStyle w:val="TableParagraph"/>
              <w:spacing w:line="202" w:lineRule="exact"/>
              <w:ind w:right="1"/>
              <w:jc w:val="center"/>
              <w:rPr>
                <w:sz w:val="18"/>
              </w:rPr>
            </w:pPr>
            <w:r>
              <w:rPr>
                <w:sz w:val="18"/>
              </w:rPr>
              <w:t>x</w:t>
            </w:r>
          </w:p>
        </w:tc>
        <w:tc>
          <w:tcPr>
            <w:tcW w:w="898" w:type="dxa"/>
          </w:tcPr>
          <w:p>
            <w:pPr>
              <w:pStyle w:val="TableParagraph"/>
              <w:spacing w:line="202" w:lineRule="exact"/>
              <w:ind w:right="1"/>
              <w:jc w:val="center"/>
              <w:rPr>
                <w:sz w:val="18"/>
              </w:rPr>
            </w:pPr>
            <w:r>
              <w:rPr>
                <w:sz w:val="18"/>
              </w:rPr>
              <w:t>x</w:t>
            </w:r>
          </w:p>
        </w:tc>
      </w:tr>
    </w:tbl>
    <w:p>
      <w:pPr>
        <w:pStyle w:val="BodyText"/>
        <w:rPr>
          <w:sz w:val="18"/>
        </w:rPr>
      </w:pPr>
    </w:p>
    <w:p>
      <w:pPr>
        <w:spacing w:before="0"/>
        <w:ind w:left="334" w:right="65" w:firstLine="0"/>
        <w:jc w:val="center"/>
        <w:rPr>
          <w:sz w:val="18"/>
        </w:rPr>
      </w:pPr>
      <w:r>
        <w:rPr/>
        <w:pict>
          <v:shape style="position:absolute;margin-left:36.959999pt;margin-top:10.562632pt;width:255.85pt;height:32.0500pt;mso-position-horizontal-relative:page;mso-position-vertical-relative:paragraph;z-index:388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32"/>
                    <w:gridCol w:w="707"/>
                    <w:gridCol w:w="1080"/>
                    <w:gridCol w:w="810"/>
                    <w:gridCol w:w="602"/>
                    <w:gridCol w:w="871"/>
                  </w:tblGrid>
                  <w:tr>
                    <w:trPr>
                      <w:trHeight w:val="631" w:hRule="exact"/>
                    </w:trPr>
                    <w:tc>
                      <w:tcPr>
                        <w:tcW w:w="1032" w:type="dxa"/>
                      </w:tcPr>
                      <w:p>
                        <w:pPr>
                          <w:pStyle w:val="TableParagraph"/>
                          <w:rPr>
                            <w:sz w:val="18"/>
                          </w:rPr>
                        </w:pPr>
                      </w:p>
                      <w:p>
                        <w:pPr>
                          <w:pStyle w:val="TableParagraph"/>
                          <w:spacing w:before="7"/>
                          <w:rPr>
                            <w:sz w:val="17"/>
                          </w:rPr>
                        </w:pPr>
                      </w:p>
                      <w:p>
                        <w:pPr>
                          <w:pStyle w:val="TableParagraph"/>
                          <w:spacing w:before="1"/>
                          <w:ind w:left="125"/>
                          <w:rPr>
                            <w:i/>
                            <w:sz w:val="18"/>
                          </w:rPr>
                        </w:pPr>
                        <w:r>
                          <w:rPr>
                            <w:i/>
                            <w:sz w:val="18"/>
                          </w:rPr>
                          <w:t>Informatio</w:t>
                        </w:r>
                      </w:p>
                    </w:tc>
                    <w:tc>
                      <w:tcPr>
                        <w:tcW w:w="707" w:type="dxa"/>
                      </w:tcPr>
                      <w:p>
                        <w:pPr/>
                      </w:p>
                    </w:tc>
                    <w:tc>
                      <w:tcPr>
                        <w:tcW w:w="1080" w:type="dxa"/>
                      </w:tcPr>
                      <w:p>
                        <w:pPr>
                          <w:pStyle w:val="TableParagraph"/>
                          <w:ind w:left="134" w:right="132"/>
                          <w:jc w:val="center"/>
                          <w:rPr>
                            <w:i/>
                            <w:sz w:val="18"/>
                          </w:rPr>
                        </w:pPr>
                        <w:r>
                          <w:rPr>
                            <w:i/>
                            <w:sz w:val="18"/>
                          </w:rPr>
                          <w:t>Crowd </w:t>
                        </w:r>
                        <w:r>
                          <w:rPr>
                            <w:i/>
                            <w:sz w:val="18"/>
                          </w:rPr>
                          <w:t>movements and</w:t>
                        </w:r>
                      </w:p>
                    </w:tc>
                    <w:tc>
                      <w:tcPr>
                        <w:tcW w:w="810" w:type="dxa"/>
                      </w:tcPr>
                      <w:p>
                        <w:pPr/>
                      </w:p>
                    </w:tc>
                    <w:tc>
                      <w:tcPr>
                        <w:tcW w:w="602" w:type="dxa"/>
                      </w:tcPr>
                      <w:p>
                        <w:pPr/>
                      </w:p>
                    </w:tc>
                    <w:tc>
                      <w:tcPr>
                        <w:tcW w:w="871" w:type="dxa"/>
                      </w:tcPr>
                      <w:p>
                        <w:pPr/>
                      </w:p>
                    </w:tc>
                  </w:tr>
                </w:tbl>
                <w:p>
                  <w:pPr>
                    <w:pStyle w:val="BodyText"/>
                  </w:pPr>
                </w:p>
              </w:txbxContent>
            </v:textbox>
            <w10:wrap type="none"/>
          </v:shape>
        </w:pict>
      </w:r>
      <w:r>
        <w:rPr>
          <w:sz w:val="18"/>
        </w:rPr>
        <w:t>Tabla 2. Environmental elements discovered by the visual system</w:t>
      </w:r>
    </w:p>
    <w:p>
      <w:pPr>
        <w:pStyle w:val="BodyText"/>
        <w:rPr>
          <w:sz w:val="18"/>
        </w:rPr>
      </w:pPr>
      <w:r>
        <w:rPr/>
        <w:br w:type="column"/>
      </w:r>
      <w:r>
        <w:rPr>
          <w:sz w:val="18"/>
        </w:rPr>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spacing w:before="136"/>
        <w:ind w:left="2465" w:right="907" w:hanging="1949"/>
        <w:jc w:val="left"/>
        <w:rPr>
          <w:sz w:val="18"/>
        </w:rPr>
      </w:pPr>
      <w:r>
        <w:rPr>
          <w:sz w:val="18"/>
        </w:rPr>
        <w:t>Tabla 3. Environmental elements discovered by the olfactory system</w:t>
      </w:r>
    </w:p>
    <w:tbl>
      <w:tblPr>
        <w:tblW w:w="0" w:type="auto"/>
        <w:jc w:val="left"/>
        <w:tblInd w:w="2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92"/>
        <w:gridCol w:w="720"/>
        <w:gridCol w:w="1038"/>
        <w:gridCol w:w="898"/>
      </w:tblGrid>
      <w:tr>
        <w:trPr>
          <w:trHeight w:val="1459" w:hRule="exact"/>
        </w:trPr>
        <w:tc>
          <w:tcPr>
            <w:tcW w:w="2292" w:type="dxa"/>
          </w:tcPr>
          <w:p>
            <w:pPr>
              <w:pStyle w:val="TableParagraph"/>
              <w:rPr>
                <w:sz w:val="18"/>
              </w:rPr>
            </w:pPr>
          </w:p>
          <w:p>
            <w:pPr>
              <w:pStyle w:val="TableParagraph"/>
              <w:rPr>
                <w:sz w:val="18"/>
              </w:rPr>
            </w:pPr>
          </w:p>
          <w:p>
            <w:pPr>
              <w:pStyle w:val="TableParagraph"/>
              <w:rPr>
                <w:sz w:val="18"/>
              </w:rPr>
            </w:pPr>
          </w:p>
          <w:p>
            <w:pPr>
              <w:pStyle w:val="TableParagraph"/>
              <w:spacing w:before="7"/>
              <w:rPr>
                <w:sz w:val="17"/>
              </w:rPr>
            </w:pPr>
          </w:p>
          <w:p>
            <w:pPr>
              <w:pStyle w:val="TableParagraph"/>
              <w:spacing w:before="1"/>
              <w:ind w:left="106"/>
              <w:rPr>
                <w:i/>
                <w:sz w:val="18"/>
              </w:rPr>
            </w:pPr>
            <w:r>
              <w:rPr>
                <w:i/>
                <w:sz w:val="18"/>
              </w:rPr>
              <w:t>Information seeking strategy</w:t>
            </w:r>
          </w:p>
        </w:tc>
        <w:tc>
          <w:tcPr>
            <w:tcW w:w="720" w:type="dxa"/>
          </w:tcPr>
          <w:p>
            <w:pPr>
              <w:pStyle w:val="TableParagraph"/>
              <w:rPr>
                <w:sz w:val="18"/>
              </w:rPr>
            </w:pPr>
          </w:p>
          <w:p>
            <w:pPr>
              <w:pStyle w:val="TableParagraph"/>
              <w:rPr>
                <w:sz w:val="18"/>
              </w:rPr>
            </w:pPr>
          </w:p>
          <w:p>
            <w:pPr>
              <w:pStyle w:val="TableParagraph"/>
              <w:rPr>
                <w:sz w:val="18"/>
              </w:rPr>
            </w:pPr>
          </w:p>
          <w:p>
            <w:pPr>
              <w:pStyle w:val="TableParagraph"/>
              <w:spacing w:before="7"/>
              <w:rPr>
                <w:sz w:val="17"/>
              </w:rPr>
            </w:pPr>
          </w:p>
          <w:p>
            <w:pPr>
              <w:pStyle w:val="TableParagraph"/>
              <w:spacing w:before="1"/>
              <w:ind w:left="284" w:right="126" w:hanging="140"/>
              <w:rPr>
                <w:i/>
                <w:sz w:val="18"/>
              </w:rPr>
            </w:pPr>
            <w:r>
              <w:rPr>
                <w:i/>
                <w:sz w:val="18"/>
              </w:rPr>
              <w:t>Alcoh </w:t>
            </w:r>
            <w:r>
              <w:rPr>
                <w:i/>
                <w:sz w:val="18"/>
              </w:rPr>
              <w:t>ol</w:t>
            </w:r>
          </w:p>
        </w:tc>
        <w:tc>
          <w:tcPr>
            <w:tcW w:w="1038" w:type="dxa"/>
          </w:tcPr>
          <w:p>
            <w:pPr>
              <w:pStyle w:val="TableParagraph"/>
              <w:rPr>
                <w:sz w:val="18"/>
              </w:rPr>
            </w:pPr>
          </w:p>
          <w:p>
            <w:pPr>
              <w:pStyle w:val="TableParagraph"/>
              <w:rPr>
                <w:sz w:val="18"/>
              </w:rPr>
            </w:pPr>
          </w:p>
          <w:p>
            <w:pPr>
              <w:pStyle w:val="TableParagraph"/>
              <w:rPr>
                <w:sz w:val="18"/>
              </w:rPr>
            </w:pPr>
          </w:p>
          <w:p>
            <w:pPr>
              <w:pStyle w:val="TableParagraph"/>
              <w:spacing w:before="7"/>
              <w:rPr>
                <w:sz w:val="17"/>
              </w:rPr>
            </w:pPr>
          </w:p>
          <w:p>
            <w:pPr>
              <w:pStyle w:val="TableParagraph"/>
              <w:spacing w:before="1"/>
              <w:ind w:left="478" w:right="106" w:hanging="356"/>
              <w:rPr>
                <w:i/>
                <w:sz w:val="18"/>
              </w:rPr>
            </w:pPr>
            <w:r>
              <w:rPr>
                <w:i/>
                <w:sz w:val="18"/>
              </w:rPr>
              <w:t>Gunpowde </w:t>
            </w:r>
            <w:r>
              <w:rPr>
                <w:i/>
                <w:sz w:val="18"/>
              </w:rPr>
              <w:t>r</w:t>
            </w:r>
          </w:p>
        </w:tc>
        <w:tc>
          <w:tcPr>
            <w:tcW w:w="898" w:type="dxa"/>
          </w:tcPr>
          <w:p>
            <w:pPr>
              <w:pStyle w:val="TableParagraph"/>
              <w:ind w:left="118" w:right="116"/>
              <w:jc w:val="center"/>
              <w:rPr>
                <w:i/>
                <w:sz w:val="18"/>
              </w:rPr>
            </w:pPr>
            <w:r>
              <w:rPr>
                <w:i/>
                <w:sz w:val="18"/>
              </w:rPr>
              <w:t>Chemica </w:t>
            </w:r>
            <w:r>
              <w:rPr>
                <w:i/>
                <w:sz w:val="18"/>
              </w:rPr>
              <w:t>l,     solvents or other aromatic chemical s</w:t>
            </w:r>
          </w:p>
        </w:tc>
      </w:tr>
      <w:tr>
        <w:trPr>
          <w:trHeight w:val="424" w:hRule="exact"/>
        </w:trPr>
        <w:tc>
          <w:tcPr>
            <w:tcW w:w="2292" w:type="dxa"/>
          </w:tcPr>
          <w:p>
            <w:pPr>
              <w:pStyle w:val="TableParagraph"/>
              <w:ind w:left="103" w:right="754"/>
              <w:rPr>
                <w:sz w:val="18"/>
              </w:rPr>
            </w:pPr>
            <w:r>
              <w:rPr>
                <w:sz w:val="18"/>
              </w:rPr>
              <w:t>Static. Mediated by technology</w:t>
            </w:r>
          </w:p>
        </w:tc>
        <w:tc>
          <w:tcPr>
            <w:tcW w:w="720" w:type="dxa"/>
          </w:tcPr>
          <w:p>
            <w:pPr/>
          </w:p>
        </w:tc>
        <w:tc>
          <w:tcPr>
            <w:tcW w:w="1038" w:type="dxa"/>
          </w:tcPr>
          <w:p>
            <w:pPr/>
          </w:p>
        </w:tc>
        <w:tc>
          <w:tcPr>
            <w:tcW w:w="898" w:type="dxa"/>
          </w:tcPr>
          <w:p>
            <w:pPr/>
          </w:p>
        </w:tc>
      </w:tr>
      <w:tr>
        <w:trPr>
          <w:trHeight w:val="425" w:hRule="exact"/>
        </w:trPr>
        <w:tc>
          <w:tcPr>
            <w:tcW w:w="2292" w:type="dxa"/>
          </w:tcPr>
          <w:p>
            <w:pPr>
              <w:pStyle w:val="TableParagraph"/>
              <w:ind w:left="103" w:right="150"/>
              <w:rPr>
                <w:sz w:val="18"/>
              </w:rPr>
            </w:pPr>
            <w:r>
              <w:rPr>
                <w:sz w:val="18"/>
              </w:rPr>
              <w:t>Static. Mediated by abstract tools</w:t>
            </w:r>
          </w:p>
        </w:tc>
        <w:tc>
          <w:tcPr>
            <w:tcW w:w="720" w:type="dxa"/>
          </w:tcPr>
          <w:p>
            <w:pPr>
              <w:pStyle w:val="TableParagraph"/>
              <w:spacing w:line="203" w:lineRule="exact"/>
              <w:ind w:right="1"/>
              <w:jc w:val="center"/>
              <w:rPr>
                <w:sz w:val="18"/>
              </w:rPr>
            </w:pPr>
            <w:r>
              <w:rPr>
                <w:sz w:val="18"/>
              </w:rPr>
              <w:t>x</w:t>
            </w:r>
          </w:p>
        </w:tc>
        <w:tc>
          <w:tcPr>
            <w:tcW w:w="1038" w:type="dxa"/>
          </w:tcPr>
          <w:p>
            <w:pPr>
              <w:pStyle w:val="TableParagraph"/>
              <w:spacing w:line="203" w:lineRule="exact"/>
              <w:jc w:val="center"/>
              <w:rPr>
                <w:sz w:val="18"/>
              </w:rPr>
            </w:pPr>
            <w:r>
              <w:rPr>
                <w:sz w:val="18"/>
              </w:rPr>
              <w:t>x</w:t>
            </w:r>
          </w:p>
        </w:tc>
        <w:tc>
          <w:tcPr>
            <w:tcW w:w="898" w:type="dxa"/>
          </w:tcPr>
          <w:p>
            <w:pPr>
              <w:pStyle w:val="TableParagraph"/>
              <w:spacing w:line="203" w:lineRule="exact"/>
              <w:ind w:right="1"/>
              <w:jc w:val="center"/>
              <w:rPr>
                <w:sz w:val="18"/>
              </w:rPr>
            </w:pPr>
            <w:r>
              <w:rPr>
                <w:sz w:val="18"/>
              </w:rPr>
              <w:t>x</w:t>
            </w:r>
          </w:p>
        </w:tc>
      </w:tr>
      <w:tr>
        <w:trPr>
          <w:trHeight w:val="424" w:hRule="exact"/>
        </w:trPr>
        <w:tc>
          <w:tcPr>
            <w:tcW w:w="2292" w:type="dxa"/>
          </w:tcPr>
          <w:p>
            <w:pPr>
              <w:pStyle w:val="TableParagraph"/>
              <w:ind w:left="103" w:right="209"/>
              <w:rPr>
                <w:sz w:val="18"/>
              </w:rPr>
            </w:pPr>
            <w:r>
              <w:rPr>
                <w:sz w:val="18"/>
              </w:rPr>
              <w:t>In movement. Mediated by technology</w:t>
            </w:r>
          </w:p>
        </w:tc>
        <w:tc>
          <w:tcPr>
            <w:tcW w:w="720" w:type="dxa"/>
          </w:tcPr>
          <w:p>
            <w:pPr>
              <w:pStyle w:val="TableParagraph"/>
              <w:spacing w:line="202" w:lineRule="exact"/>
              <w:ind w:right="1"/>
              <w:jc w:val="center"/>
              <w:rPr>
                <w:sz w:val="18"/>
              </w:rPr>
            </w:pPr>
            <w:r>
              <w:rPr>
                <w:sz w:val="18"/>
              </w:rPr>
              <w:t>x</w:t>
            </w:r>
          </w:p>
        </w:tc>
        <w:tc>
          <w:tcPr>
            <w:tcW w:w="1038" w:type="dxa"/>
          </w:tcPr>
          <w:p>
            <w:pPr>
              <w:pStyle w:val="TableParagraph"/>
              <w:spacing w:line="202" w:lineRule="exact"/>
              <w:jc w:val="center"/>
              <w:rPr>
                <w:sz w:val="18"/>
              </w:rPr>
            </w:pPr>
            <w:r>
              <w:rPr>
                <w:sz w:val="18"/>
              </w:rPr>
              <w:t>x</w:t>
            </w:r>
          </w:p>
        </w:tc>
        <w:tc>
          <w:tcPr>
            <w:tcW w:w="898" w:type="dxa"/>
          </w:tcPr>
          <w:p>
            <w:pPr>
              <w:pStyle w:val="TableParagraph"/>
              <w:spacing w:line="202" w:lineRule="exact"/>
              <w:ind w:right="1"/>
              <w:jc w:val="center"/>
              <w:rPr>
                <w:sz w:val="18"/>
              </w:rPr>
            </w:pPr>
            <w:r>
              <w:rPr>
                <w:sz w:val="18"/>
              </w:rPr>
              <w:t>x</w:t>
            </w:r>
          </w:p>
        </w:tc>
      </w:tr>
      <w:tr>
        <w:trPr>
          <w:trHeight w:val="425" w:hRule="exact"/>
        </w:trPr>
        <w:tc>
          <w:tcPr>
            <w:tcW w:w="2292" w:type="dxa"/>
          </w:tcPr>
          <w:p>
            <w:pPr>
              <w:pStyle w:val="TableParagraph"/>
              <w:ind w:left="103" w:right="209"/>
              <w:rPr>
                <w:sz w:val="18"/>
              </w:rPr>
            </w:pPr>
            <w:r>
              <w:rPr>
                <w:sz w:val="18"/>
              </w:rPr>
              <w:t>In movement. Mediated by abstract tools</w:t>
            </w:r>
          </w:p>
        </w:tc>
        <w:tc>
          <w:tcPr>
            <w:tcW w:w="720" w:type="dxa"/>
          </w:tcPr>
          <w:p>
            <w:pPr>
              <w:pStyle w:val="TableParagraph"/>
              <w:spacing w:line="202" w:lineRule="exact"/>
              <w:ind w:right="1"/>
              <w:jc w:val="center"/>
              <w:rPr>
                <w:sz w:val="18"/>
              </w:rPr>
            </w:pPr>
            <w:r>
              <w:rPr>
                <w:sz w:val="18"/>
              </w:rPr>
              <w:t>x</w:t>
            </w:r>
          </w:p>
        </w:tc>
        <w:tc>
          <w:tcPr>
            <w:tcW w:w="1038" w:type="dxa"/>
          </w:tcPr>
          <w:p>
            <w:pPr>
              <w:pStyle w:val="TableParagraph"/>
              <w:spacing w:line="202" w:lineRule="exact"/>
              <w:jc w:val="center"/>
              <w:rPr>
                <w:sz w:val="18"/>
              </w:rPr>
            </w:pPr>
            <w:r>
              <w:rPr>
                <w:sz w:val="18"/>
              </w:rPr>
              <w:t>x</w:t>
            </w:r>
          </w:p>
        </w:tc>
        <w:tc>
          <w:tcPr>
            <w:tcW w:w="898" w:type="dxa"/>
          </w:tcPr>
          <w:p>
            <w:pPr>
              <w:pStyle w:val="TableParagraph"/>
              <w:spacing w:line="202" w:lineRule="exact"/>
              <w:ind w:right="1"/>
              <w:jc w:val="center"/>
              <w:rPr>
                <w:sz w:val="18"/>
              </w:rPr>
            </w:pPr>
            <w:r>
              <w:rPr>
                <w:sz w:val="18"/>
              </w:rPr>
              <w:t>x</w:t>
            </w:r>
          </w:p>
        </w:tc>
      </w:tr>
    </w:tbl>
    <w:p>
      <w:pPr>
        <w:pStyle w:val="BodyText"/>
        <w:rPr>
          <w:sz w:val="18"/>
        </w:rPr>
      </w:pPr>
    </w:p>
    <w:p>
      <w:pPr>
        <w:pStyle w:val="BodyText"/>
        <w:spacing w:before="3"/>
        <w:rPr>
          <w:sz w:val="18"/>
        </w:rPr>
      </w:pPr>
    </w:p>
    <w:p>
      <w:pPr>
        <w:pStyle w:val="ListParagraph"/>
        <w:numPr>
          <w:ilvl w:val="0"/>
          <w:numId w:val="35"/>
        </w:numPr>
        <w:tabs>
          <w:tab w:pos="452" w:val="left" w:leader="none"/>
        </w:tabs>
        <w:spacing w:line="240" w:lineRule="auto" w:before="0" w:after="0"/>
        <w:ind w:left="451" w:right="0" w:hanging="181"/>
        <w:jc w:val="both"/>
        <w:rPr>
          <w:b/>
          <w:color w:val="233F5E"/>
          <w:sz w:val="18"/>
        </w:rPr>
      </w:pPr>
      <w:r>
        <w:rPr>
          <w:b/>
          <w:color w:val="233F5E"/>
          <w:sz w:val="18"/>
        </w:rPr>
        <w:t>CONCLUSIONS</w:t>
      </w:r>
    </w:p>
    <w:p>
      <w:pPr>
        <w:pStyle w:val="BodyText"/>
        <w:spacing w:before="7"/>
        <w:rPr>
          <w:b/>
          <w:sz w:val="17"/>
        </w:rPr>
      </w:pPr>
    </w:p>
    <w:p>
      <w:pPr>
        <w:spacing w:before="1"/>
        <w:ind w:left="270" w:right="676" w:firstLine="0"/>
        <w:jc w:val="both"/>
        <w:rPr>
          <w:sz w:val="18"/>
        </w:rPr>
      </w:pPr>
      <w:r>
        <w:rPr>
          <w:sz w:val="18"/>
        </w:rPr>
        <w:t>In this paper, the significance of SA in the naturalistic, dynamic, complex and time constrained context as the routine operation of major events and the environmental elements was explored and their environmental elements were uncovered. From the findings, it was discovered principally that 11 environmental elements were relevant within the demanded SA in context. These elements were the result of four information seeking strategies using three human sensory systems. However, it is important to remark that in the visual system, some of these environmental elements were included in the SA. This means that individuals used technology to create and maintain SA over time. Otherwise, the individuals preferred to use the majority of the human sensory systems to create and maintain SA. On the other hand, it is important to remark the significance of SA in the context treated here. For example, it was seen when the individuals arrived to the events and in order to achieve their organizational goals, they started to create and maintain SA. They embarked this process on discovering the organizations that converged in the events and their positions; the threats and hazards within the venues; the vulnerable places; the behaviors</w:t>
      </w:r>
      <w:r>
        <w:rPr>
          <w:spacing w:val="28"/>
          <w:sz w:val="18"/>
        </w:rPr>
        <w:t> </w:t>
      </w:r>
      <w:r>
        <w:rPr>
          <w:sz w:val="18"/>
        </w:rPr>
        <w:t>of</w:t>
      </w:r>
      <w:r>
        <w:rPr>
          <w:spacing w:val="27"/>
          <w:sz w:val="18"/>
        </w:rPr>
        <w:t> </w:t>
      </w:r>
      <w:r>
        <w:rPr>
          <w:sz w:val="18"/>
        </w:rPr>
        <w:t>the</w:t>
      </w:r>
      <w:r>
        <w:rPr>
          <w:spacing w:val="28"/>
          <w:sz w:val="18"/>
        </w:rPr>
        <w:t> </w:t>
      </w:r>
      <w:r>
        <w:rPr>
          <w:sz w:val="18"/>
        </w:rPr>
        <w:t>spectators;</w:t>
      </w:r>
      <w:r>
        <w:rPr>
          <w:spacing w:val="27"/>
          <w:sz w:val="18"/>
        </w:rPr>
        <w:t> </w:t>
      </w:r>
      <w:r>
        <w:rPr>
          <w:sz w:val="18"/>
        </w:rPr>
        <w:t>the</w:t>
      </w:r>
      <w:r>
        <w:rPr>
          <w:spacing w:val="28"/>
          <w:sz w:val="18"/>
        </w:rPr>
        <w:t> </w:t>
      </w:r>
      <w:r>
        <w:rPr>
          <w:sz w:val="18"/>
        </w:rPr>
        <w:t>unexpected</w:t>
      </w:r>
      <w:r>
        <w:rPr>
          <w:spacing w:val="28"/>
          <w:sz w:val="18"/>
        </w:rPr>
        <w:t> </w:t>
      </w:r>
      <w:r>
        <w:rPr>
          <w:sz w:val="18"/>
        </w:rPr>
        <w:t>situations,</w:t>
      </w:r>
      <w:r>
        <w:rPr>
          <w:spacing w:val="28"/>
          <w:sz w:val="18"/>
        </w:rPr>
        <w:t> </w:t>
      </w:r>
      <w:r>
        <w:rPr>
          <w:sz w:val="18"/>
        </w:rPr>
        <w:t>etc.</w:t>
      </w:r>
      <w:r>
        <w:rPr>
          <w:spacing w:val="28"/>
          <w:sz w:val="18"/>
        </w:rPr>
        <w:t> </w:t>
      </w:r>
      <w:r>
        <w:rPr>
          <w:sz w:val="18"/>
        </w:rPr>
        <w:t>These</w:t>
      </w:r>
    </w:p>
    <w:p>
      <w:pPr>
        <w:spacing w:after="0"/>
        <w:jc w:val="both"/>
        <w:rPr>
          <w:sz w:val="18"/>
        </w:rPr>
        <w:sectPr>
          <w:type w:val="continuous"/>
          <w:pgSz w:w="12240" w:h="15840"/>
          <w:pgMar w:top="1500" w:bottom="280" w:left="580" w:right="220"/>
          <w:cols w:num="2" w:equalWidth="0">
            <w:col w:w="5164" w:space="434"/>
            <w:col w:w="5842"/>
          </w:cols>
        </w:sectPr>
      </w:pPr>
    </w:p>
    <w:p>
      <w:pPr>
        <w:pStyle w:val="BodyText"/>
        <w:rPr>
          <w:sz w:val="11"/>
        </w:rPr>
      </w:pPr>
    </w:p>
    <w:p>
      <w:pPr>
        <w:spacing w:after="0"/>
        <w:rPr>
          <w:sz w:val="11"/>
        </w:rPr>
        <w:sectPr>
          <w:pgSz w:w="12240" w:h="15840"/>
          <w:pgMar w:header="545" w:footer="852" w:top="1060" w:bottom="1040" w:left="580" w:right="220"/>
        </w:sectPr>
      </w:pPr>
    </w:p>
    <w:p>
      <w:pPr>
        <w:spacing w:before="77"/>
        <w:ind w:left="270" w:right="2" w:firstLine="0"/>
        <w:jc w:val="both"/>
        <w:rPr>
          <w:sz w:val="18"/>
        </w:rPr>
      </w:pPr>
      <w:r>
        <w:rPr>
          <w:sz w:val="18"/>
        </w:rPr>
        <w:t>provided information to make informed decisions during incident management and/or the routine operation at major events.</w:t>
      </w:r>
    </w:p>
    <w:p>
      <w:pPr>
        <w:spacing w:before="0"/>
        <w:ind w:left="270" w:right="0" w:firstLine="540"/>
        <w:jc w:val="both"/>
        <w:rPr>
          <w:sz w:val="18"/>
        </w:rPr>
      </w:pPr>
      <w:r>
        <w:rPr>
          <w:sz w:val="18"/>
        </w:rPr>
        <w:t>Specifically, the discovery of those environmental elements included in the SA demanded in context had theoretical, methodological and practical implications. Referring to the theoretical implication, those elements had strong relation with the context so that these led to the creation and maintenance of the SA. These elements also put on manifest that SA could be considered as a product and as a process. It is because the environmental  elements served to obtain information to comprehend what is happening in the context; but similarly, these elements were employed to be in continuous interaction with the context on creating objective meanings of it using the human sensory systems (auditory, visual and</w:t>
      </w:r>
      <w:r>
        <w:rPr>
          <w:spacing w:val="-9"/>
          <w:sz w:val="18"/>
        </w:rPr>
        <w:t> </w:t>
      </w:r>
      <w:r>
        <w:rPr>
          <w:sz w:val="18"/>
        </w:rPr>
        <w:t>olfactory).</w:t>
      </w:r>
    </w:p>
    <w:p>
      <w:pPr>
        <w:spacing w:before="0"/>
        <w:ind w:left="270" w:right="1" w:firstLine="540"/>
        <w:jc w:val="both"/>
        <w:rPr>
          <w:sz w:val="18"/>
        </w:rPr>
      </w:pPr>
      <w:r>
        <w:rPr>
          <w:sz w:val="18"/>
        </w:rPr>
        <w:t>Referring to the methodological implications, the approach taken has been proved as a feasible tool to study SA. Specifically, the activity theory helped to uncover the influences of the context by discovering the relevant environmental elements included in the SA demanded in context. This confirmed that the activities performed by individuals are in strong relation with the context where their tasks take place. In addition, the use of three methods  to gather data provided enough information to obtain a  holistic view of what is happening in the routine operation at major events over time. This helped on understanding what environmental elements were crucial to create and maintain SA in context. Furthermore, the frame employed provided additional factors that were relevant in context. For example, the responsibility implied in the creation and maintenance of SA over</w:t>
      </w:r>
      <w:r>
        <w:rPr>
          <w:spacing w:val="-12"/>
          <w:sz w:val="18"/>
        </w:rPr>
        <w:t> </w:t>
      </w:r>
      <w:r>
        <w:rPr>
          <w:sz w:val="18"/>
        </w:rPr>
        <w:t>time.</w:t>
      </w:r>
    </w:p>
    <w:p>
      <w:pPr>
        <w:spacing w:before="0"/>
        <w:ind w:left="270" w:right="0" w:firstLine="540"/>
        <w:jc w:val="both"/>
        <w:rPr>
          <w:sz w:val="18"/>
        </w:rPr>
      </w:pPr>
      <w:r>
        <w:rPr>
          <w:sz w:val="18"/>
        </w:rPr>
        <w:t>The practical implications are uncovered in the uses of those environmental elements in the development of knowledge  and abilities of the individuals implicated in the routine operation at major events. Training is one way to achieve this. Moreover, the comprehension of what environmental environments were mentioned by whom put on manifest the relationships between the organizational goals and the information seeking strategies using the human sensory</w:t>
      </w:r>
      <w:r>
        <w:rPr>
          <w:spacing w:val="-2"/>
          <w:sz w:val="18"/>
        </w:rPr>
        <w:t> </w:t>
      </w:r>
      <w:r>
        <w:rPr>
          <w:sz w:val="18"/>
        </w:rPr>
        <w:t>systems.</w:t>
      </w:r>
    </w:p>
    <w:p>
      <w:pPr>
        <w:spacing w:before="0"/>
        <w:ind w:left="270" w:right="0" w:firstLine="540"/>
        <w:jc w:val="both"/>
        <w:rPr>
          <w:sz w:val="18"/>
        </w:rPr>
      </w:pPr>
      <w:r>
        <w:rPr>
          <w:sz w:val="18"/>
        </w:rPr>
        <w:t>To sum up, this research helped on uncovering the significance of SA in this context and it started on discovering those environmental elements included in that SA. Additionally, it is significant to investigate SA in a different context as usual (far removed from the military, command and control areas). It  provided additional insights of SA referring to the employing of the human sensory systems in the information seeking strategies used by individuals in context. On the other hand, it is suggested that additional research is needed to explore these issues involving additional personnel from other organizations that were excluded in this study and considering other major events in Mexico and alternative</w:t>
      </w:r>
      <w:r>
        <w:rPr>
          <w:spacing w:val="-20"/>
          <w:sz w:val="18"/>
        </w:rPr>
        <w:t> </w:t>
      </w:r>
      <w:r>
        <w:rPr>
          <w:sz w:val="18"/>
        </w:rPr>
        <w:t>countries.</w:t>
      </w:r>
    </w:p>
    <w:p>
      <w:pPr>
        <w:pStyle w:val="BodyText"/>
        <w:rPr>
          <w:sz w:val="18"/>
        </w:rPr>
      </w:pPr>
    </w:p>
    <w:p>
      <w:pPr>
        <w:pStyle w:val="BodyText"/>
        <w:spacing w:before="4"/>
        <w:rPr>
          <w:sz w:val="18"/>
        </w:rPr>
      </w:pPr>
    </w:p>
    <w:p>
      <w:pPr>
        <w:pStyle w:val="ListParagraph"/>
        <w:numPr>
          <w:ilvl w:val="0"/>
          <w:numId w:val="35"/>
        </w:numPr>
        <w:tabs>
          <w:tab w:pos="452" w:val="left" w:leader="none"/>
        </w:tabs>
        <w:spacing w:line="240" w:lineRule="auto" w:before="0" w:after="0"/>
        <w:ind w:left="451" w:right="0" w:hanging="181"/>
        <w:jc w:val="both"/>
        <w:rPr>
          <w:b/>
          <w:color w:val="233F5E"/>
          <w:sz w:val="18"/>
        </w:rPr>
      </w:pPr>
      <w:r>
        <w:rPr>
          <w:b/>
          <w:color w:val="233F5E"/>
          <w:sz w:val="18"/>
        </w:rPr>
        <w:t>ACKNOWLEDGEMENTS</w:t>
      </w:r>
    </w:p>
    <w:p>
      <w:pPr>
        <w:pStyle w:val="BodyText"/>
        <w:spacing w:before="7"/>
        <w:rPr>
          <w:b/>
          <w:sz w:val="17"/>
        </w:rPr>
      </w:pPr>
    </w:p>
    <w:p>
      <w:pPr>
        <w:spacing w:before="1"/>
        <w:ind w:left="270" w:right="1" w:firstLine="0"/>
        <w:jc w:val="both"/>
        <w:rPr>
          <w:sz w:val="18"/>
        </w:rPr>
      </w:pPr>
      <w:r>
        <w:rPr>
          <w:sz w:val="18"/>
        </w:rPr>
        <w:t>We would like to acknowledge to the ESRC and 1Spatial for funding this project through the Dorothy Hodgkin Postgraduate Award. Similarly, we would like to bless to the PROMEP and TNM for partially funding the study. We would also like to thank  to the participants and their organisations for contributing with this study. The interpretations and views in this paper, however, are solely those of the</w:t>
      </w:r>
      <w:r>
        <w:rPr>
          <w:spacing w:val="-3"/>
          <w:sz w:val="18"/>
        </w:rPr>
        <w:t> </w:t>
      </w:r>
      <w:r>
        <w:rPr>
          <w:sz w:val="18"/>
        </w:rPr>
        <w:t>authors.</w:t>
      </w:r>
    </w:p>
    <w:p>
      <w:pPr>
        <w:pStyle w:val="BodyText"/>
        <w:rPr>
          <w:sz w:val="18"/>
        </w:rPr>
      </w:pPr>
    </w:p>
    <w:p>
      <w:pPr>
        <w:pStyle w:val="BodyText"/>
        <w:spacing w:before="3"/>
        <w:rPr>
          <w:sz w:val="18"/>
        </w:rPr>
      </w:pPr>
    </w:p>
    <w:p>
      <w:pPr>
        <w:pStyle w:val="ListParagraph"/>
        <w:numPr>
          <w:ilvl w:val="0"/>
          <w:numId w:val="35"/>
        </w:numPr>
        <w:tabs>
          <w:tab w:pos="452" w:val="left" w:leader="none"/>
        </w:tabs>
        <w:spacing w:line="240" w:lineRule="auto" w:before="0" w:after="0"/>
        <w:ind w:left="451" w:right="0" w:hanging="181"/>
        <w:jc w:val="both"/>
        <w:rPr>
          <w:b/>
          <w:color w:val="233F5E"/>
          <w:sz w:val="18"/>
        </w:rPr>
      </w:pPr>
      <w:r>
        <w:rPr>
          <w:b/>
          <w:color w:val="233F5E"/>
          <w:sz w:val="18"/>
        </w:rPr>
        <w:t>REFERENCES</w:t>
      </w:r>
    </w:p>
    <w:p>
      <w:pPr>
        <w:pStyle w:val="BodyText"/>
        <w:spacing w:before="7"/>
        <w:rPr>
          <w:b/>
          <w:sz w:val="17"/>
        </w:rPr>
      </w:pPr>
    </w:p>
    <w:p>
      <w:pPr>
        <w:spacing w:before="1"/>
        <w:ind w:left="270" w:right="0" w:firstLine="0"/>
        <w:jc w:val="both"/>
        <w:rPr>
          <w:sz w:val="18"/>
        </w:rPr>
      </w:pPr>
      <w:r>
        <w:rPr>
          <w:sz w:val="18"/>
        </w:rPr>
        <w:t>[1] Bowdin, G. et al. “Event management”</w:t>
      </w:r>
      <w:r>
        <w:rPr>
          <w:i/>
          <w:sz w:val="18"/>
        </w:rPr>
        <w:t>. </w:t>
      </w:r>
      <w:r>
        <w:rPr>
          <w:sz w:val="18"/>
        </w:rPr>
        <w:t>Oxford: Elsevier, 2006.</w:t>
      </w:r>
    </w:p>
    <w:p>
      <w:pPr>
        <w:spacing w:before="77"/>
        <w:ind w:left="558" w:right="677" w:hanging="288"/>
        <w:jc w:val="both"/>
        <w:rPr>
          <w:sz w:val="18"/>
        </w:rPr>
      </w:pPr>
      <w:r>
        <w:rPr/>
        <w:br w:type="column"/>
      </w:r>
      <w:r>
        <w:rPr>
          <w:sz w:val="18"/>
        </w:rPr>
        <w:t>[2] Rozakis, M. The cultural contexts of emergencies. Seeking for a(n) holistic approach on disaster management. Disaster Prevention and Management , 16 (2), pp. 201-209, 2007.</w:t>
      </w:r>
    </w:p>
    <w:p>
      <w:pPr>
        <w:spacing w:before="0"/>
        <w:ind w:left="558" w:right="679" w:hanging="288"/>
        <w:jc w:val="both"/>
        <w:rPr>
          <w:sz w:val="18"/>
        </w:rPr>
      </w:pPr>
      <w:r>
        <w:rPr>
          <w:sz w:val="18"/>
        </w:rPr>
        <w:t>[3] Endsley, M. “Toward a theory of situational awareness in dynamic systems. Human Factors , 37 (1), pp. 32-64, 1995.</w:t>
      </w:r>
    </w:p>
    <w:p>
      <w:pPr>
        <w:spacing w:before="0"/>
        <w:ind w:left="558" w:right="678" w:hanging="288"/>
        <w:jc w:val="both"/>
        <w:rPr>
          <w:sz w:val="18"/>
        </w:rPr>
      </w:pPr>
      <w:r>
        <w:rPr>
          <w:sz w:val="18"/>
        </w:rPr>
        <w:t>[4] Endsley, M. “The role of situation awareness in naturalistic decision making”. In C. Zsambok, &amp; G. Klein (Eds.), Naturalistic Decision Making, pp. 269-283, Mahwah, USA: Lawrence Earlbaum, 1997.</w:t>
      </w:r>
    </w:p>
    <w:p>
      <w:pPr>
        <w:spacing w:before="0"/>
        <w:ind w:left="558" w:right="677" w:hanging="288"/>
        <w:jc w:val="both"/>
        <w:rPr>
          <w:sz w:val="18"/>
        </w:rPr>
      </w:pPr>
      <w:r>
        <w:rPr>
          <w:sz w:val="18"/>
        </w:rPr>
        <w:t>[5] Endsley, M. R., &amp; Jones, W. M. “A model of inter- and intra- team situation awwareness: implications for design, training, and measurement” In M. McNeese, E. Salas, &amp; M. Endsley, New trends in cooperative activities, pp. 46-67. Santa Monica, California, Estados Unidos: Human Factors and Ergonomics Society, 2001.</w:t>
      </w:r>
    </w:p>
    <w:p>
      <w:pPr>
        <w:spacing w:before="0"/>
        <w:ind w:left="558" w:right="678" w:hanging="288"/>
        <w:jc w:val="both"/>
        <w:rPr>
          <w:sz w:val="18"/>
        </w:rPr>
      </w:pPr>
      <w:r>
        <w:rPr>
          <w:sz w:val="18"/>
        </w:rPr>
        <w:t>[6] Breton, R., &amp; Rousseau, R., “Situation awareness: a review of the concept and its measurement</w:t>
      </w:r>
      <w:r>
        <w:rPr>
          <w:i/>
          <w:sz w:val="18"/>
        </w:rPr>
        <w:t>”, </w:t>
      </w:r>
      <w:r>
        <w:rPr>
          <w:sz w:val="18"/>
        </w:rPr>
        <w:t>DREV TR-2001-220 Defence Research Establisement Valcartier, 2003.</w:t>
      </w:r>
    </w:p>
    <w:p>
      <w:pPr>
        <w:spacing w:before="0"/>
        <w:ind w:left="558" w:right="679" w:hanging="288"/>
        <w:jc w:val="both"/>
        <w:rPr>
          <w:sz w:val="18"/>
        </w:rPr>
      </w:pPr>
      <w:r>
        <w:rPr>
          <w:sz w:val="18"/>
        </w:rPr>
        <w:t>[7] Flach, J. M., “Situation awareness: proceed with caution”, Human Factors </w:t>
      </w:r>
      <w:r>
        <w:rPr>
          <w:i/>
          <w:sz w:val="18"/>
        </w:rPr>
        <w:t>, </w:t>
      </w:r>
      <w:r>
        <w:rPr>
          <w:sz w:val="18"/>
        </w:rPr>
        <w:t>Vol. 37, pp. 149-157, 1995.</w:t>
      </w:r>
    </w:p>
    <w:p>
      <w:pPr>
        <w:spacing w:before="0"/>
        <w:ind w:left="558" w:right="678" w:hanging="288"/>
        <w:jc w:val="both"/>
        <w:rPr>
          <w:sz w:val="18"/>
        </w:rPr>
      </w:pPr>
      <w:r>
        <w:rPr>
          <w:sz w:val="18"/>
        </w:rPr>
        <w:t>[8] Gibson, J. J., “The senses considered as perceptual systems”, Westport, USA: Greenwood Press, 1983.</w:t>
      </w:r>
    </w:p>
    <w:p>
      <w:pPr>
        <w:spacing w:before="0"/>
        <w:ind w:left="558" w:right="679" w:hanging="288"/>
        <w:jc w:val="both"/>
        <w:rPr>
          <w:sz w:val="18"/>
        </w:rPr>
      </w:pPr>
      <w:r>
        <w:rPr>
          <w:sz w:val="18"/>
        </w:rPr>
        <w:t>[9] Millward, S., “Understanding the Shared Situation Awareness Process: A Communication Framework for Improved Team Performance”, Lightning Source Incorporated, 2008.</w:t>
      </w:r>
    </w:p>
    <w:p>
      <w:pPr>
        <w:spacing w:before="0"/>
        <w:ind w:left="558" w:right="678" w:hanging="288"/>
        <w:jc w:val="both"/>
        <w:rPr>
          <w:sz w:val="18"/>
        </w:rPr>
      </w:pPr>
      <w:r>
        <w:rPr>
          <w:sz w:val="18"/>
        </w:rPr>
        <w:t>[10] Estados-Unidos-Mexicanos, C.G.d.l. “Ley general de protección civil”. Congreso General de los Estados Unidos Mexicanos, Mexico City, Mexico: Diario de la Federación, p. 29, 6 June 2012, 2012.</w:t>
      </w:r>
    </w:p>
    <w:p>
      <w:pPr>
        <w:spacing w:line="207" w:lineRule="exact" w:before="0"/>
        <w:ind w:left="270" w:right="668" w:firstLine="0"/>
        <w:jc w:val="left"/>
        <w:rPr>
          <w:sz w:val="18"/>
        </w:rPr>
      </w:pPr>
      <w:r>
        <w:rPr>
          <w:sz w:val="18"/>
        </w:rPr>
        <w:t>[11]    Flanagan,    J.    C.    “The    critical    incident     technique”.</w:t>
      </w:r>
    </w:p>
    <w:p>
      <w:pPr>
        <w:spacing w:line="207" w:lineRule="exact" w:before="0"/>
        <w:ind w:left="558" w:right="668" w:firstLine="0"/>
        <w:jc w:val="left"/>
        <w:rPr>
          <w:sz w:val="18"/>
        </w:rPr>
      </w:pPr>
      <w:r>
        <w:rPr>
          <w:sz w:val="18"/>
        </w:rPr>
        <w:t>Psychological Bulletin , 51 (4), pp. 327-358, 1954.</w:t>
      </w:r>
    </w:p>
    <w:p>
      <w:pPr>
        <w:spacing w:before="0"/>
        <w:ind w:left="558" w:right="676" w:hanging="288"/>
        <w:jc w:val="both"/>
        <w:rPr>
          <w:sz w:val="18"/>
        </w:rPr>
      </w:pPr>
      <w:r>
        <w:rPr>
          <w:sz w:val="18"/>
        </w:rPr>
        <w:t>[12] Wilson, T. D., “A re-examination of information seeking behaviour in the context of activity theory”, Information Research</w:t>
      </w:r>
      <w:r>
        <w:rPr>
          <w:i/>
          <w:sz w:val="18"/>
        </w:rPr>
        <w:t>, </w:t>
      </w:r>
      <w:r>
        <w:rPr>
          <w:sz w:val="18"/>
        </w:rPr>
        <w:t>Vol. 11, 2006.</w:t>
      </w:r>
    </w:p>
    <w:p>
      <w:pPr>
        <w:spacing w:before="0"/>
        <w:ind w:left="558" w:right="677" w:hanging="288"/>
        <w:jc w:val="both"/>
        <w:rPr>
          <w:sz w:val="18"/>
        </w:rPr>
      </w:pPr>
      <w:r>
        <w:rPr>
          <w:sz w:val="18"/>
        </w:rPr>
        <w:t>[13] Bedny, G., Seglin, M., y Meister, D., “Activity theory: history, research and application”, Theoretical Issues in Ergonomics Science, Vol. 1, pp. 168-206, 2000.</w:t>
      </w:r>
    </w:p>
    <w:p>
      <w:pPr>
        <w:spacing w:before="0"/>
        <w:ind w:left="558" w:right="677" w:hanging="288"/>
        <w:jc w:val="both"/>
        <w:rPr>
          <w:sz w:val="18"/>
        </w:rPr>
      </w:pPr>
      <w:r>
        <w:rPr>
          <w:sz w:val="18"/>
        </w:rPr>
        <w:t>[14] Mishra, J., Allen, D. and Pearman, A., “Activity Theory as a Methodological and Analytical Framework for Information Practices in Emergency Management”, </w:t>
      </w:r>
      <w:r>
        <w:rPr>
          <w:i/>
          <w:sz w:val="18"/>
        </w:rPr>
        <w:t>Information Systems for </w:t>
      </w:r>
      <w:r>
        <w:rPr>
          <w:i/>
          <w:sz w:val="18"/>
        </w:rPr>
        <w:t>Crisis Response and Management (ISCRAM)</w:t>
      </w:r>
      <w:r>
        <w:rPr>
          <w:sz w:val="18"/>
        </w:rPr>
        <w:t>, Available on: </w:t>
      </w:r>
      <w:hyperlink r:id="rId112">
        <w:r>
          <w:rPr>
            <w:color w:val="0000FF"/>
            <w:sz w:val="18"/>
            <w:u w:val="single" w:color="0000FF"/>
          </w:rPr>
          <w:t>http://www.iscramlive.org/ISCRAM2011/proceedings/papers/1</w:t>
        </w:r>
      </w:hyperlink>
      <w:r>
        <w:rPr>
          <w:color w:val="0000FF"/>
          <w:sz w:val="18"/>
          <w:u w:val="single" w:color="0000FF"/>
        </w:rPr>
        <w:t> 40.pdf</w:t>
      </w:r>
      <w:r>
        <w:rPr>
          <w:sz w:val="18"/>
        </w:rPr>
        <w:t>, 2011.</w:t>
      </w:r>
    </w:p>
    <w:p>
      <w:pPr>
        <w:spacing w:before="0"/>
        <w:ind w:left="558" w:right="676" w:hanging="288"/>
        <w:jc w:val="both"/>
        <w:rPr>
          <w:sz w:val="18"/>
        </w:rPr>
      </w:pPr>
      <w:r>
        <w:rPr>
          <w:sz w:val="18"/>
        </w:rPr>
        <w:t>[15] Allen, D., Karanasios, S., y Slavova, M., “Working with activity theory: Context, technology, and information behavior”, Journal of the American Society for Information Science and Technology</w:t>
      </w:r>
      <w:r>
        <w:rPr>
          <w:i/>
          <w:sz w:val="18"/>
        </w:rPr>
        <w:t>, </w:t>
      </w:r>
      <w:r>
        <w:rPr>
          <w:sz w:val="18"/>
        </w:rPr>
        <w:t>Vol. 62, pp. 776-788,</w:t>
      </w:r>
      <w:r>
        <w:rPr>
          <w:spacing w:val="-10"/>
          <w:sz w:val="18"/>
        </w:rPr>
        <w:t> </w:t>
      </w:r>
      <w:r>
        <w:rPr>
          <w:sz w:val="18"/>
        </w:rPr>
        <w:t>2011.</w:t>
      </w:r>
    </w:p>
    <w:p>
      <w:pPr>
        <w:spacing w:before="0"/>
        <w:ind w:left="558" w:right="679" w:hanging="288"/>
        <w:jc w:val="both"/>
        <w:rPr>
          <w:sz w:val="18"/>
        </w:rPr>
      </w:pPr>
      <w:r>
        <w:rPr>
          <w:sz w:val="18"/>
        </w:rPr>
        <w:t>[16] Stake, R., “The art of case study research”. London: Sage, 1995.</w:t>
      </w:r>
    </w:p>
    <w:p>
      <w:pPr>
        <w:spacing w:before="0"/>
        <w:ind w:left="558" w:right="676" w:hanging="288"/>
        <w:jc w:val="both"/>
        <w:rPr>
          <w:sz w:val="18"/>
        </w:rPr>
      </w:pPr>
      <w:r>
        <w:rPr>
          <w:sz w:val="18"/>
        </w:rPr>
        <w:t>[17] Hernandez-Escobedo, G.; Allen, D. and Pearman, A., “Comprensión de las situaciones en la prevención de incidentes durante conciertos y partidos de beisbol”, Proceedings of the VII Congreso Internacional de Ingeniería Industrial Argos  2014,  22-24  October  2014,  Mexicali,  Mexico,  pp. </w:t>
      </w:r>
      <w:r>
        <w:rPr>
          <w:spacing w:val="7"/>
          <w:sz w:val="18"/>
        </w:rPr>
        <w:t> </w:t>
      </w:r>
      <w:r>
        <w:rPr>
          <w:sz w:val="18"/>
        </w:rPr>
        <w:t>241-254,</w:t>
      </w:r>
    </w:p>
    <w:p>
      <w:pPr>
        <w:spacing w:line="207" w:lineRule="exact" w:before="0"/>
        <w:ind w:left="558" w:right="668" w:firstLine="0"/>
        <w:jc w:val="left"/>
        <w:rPr>
          <w:sz w:val="18"/>
        </w:rPr>
      </w:pPr>
      <w:r>
        <w:rPr>
          <w:sz w:val="18"/>
        </w:rPr>
        <w:t>2014.</w:t>
      </w:r>
    </w:p>
    <w:p>
      <w:pPr>
        <w:spacing w:before="0"/>
        <w:ind w:left="558" w:right="677" w:hanging="288"/>
        <w:jc w:val="both"/>
        <w:rPr>
          <w:sz w:val="18"/>
        </w:rPr>
      </w:pPr>
      <w:r>
        <w:rPr>
          <w:sz w:val="18"/>
        </w:rPr>
        <w:t>[18] Klein, G., “Analysis of situation awareness from critical incident technique reports”, In M. R. Endsley and D. J.  Garland, Situation awareness analysis and measurement, Lawrence Erlbaum Associates, pp. 51-71,</w:t>
      </w:r>
      <w:r>
        <w:rPr>
          <w:spacing w:val="-7"/>
          <w:sz w:val="18"/>
        </w:rPr>
        <w:t> </w:t>
      </w:r>
      <w:r>
        <w:rPr>
          <w:sz w:val="18"/>
        </w:rPr>
        <w:t>2000.</w:t>
      </w:r>
    </w:p>
    <w:p>
      <w:pPr>
        <w:spacing w:before="0"/>
        <w:ind w:left="558" w:right="679" w:hanging="288"/>
        <w:jc w:val="both"/>
        <w:rPr>
          <w:sz w:val="18"/>
        </w:rPr>
      </w:pPr>
      <w:r>
        <w:rPr>
          <w:sz w:val="18"/>
        </w:rPr>
        <w:t>[19] Strauss, A., and Corbin, J. “Basics of qualitative research: Techniques and procedures for developing grounded theory”, Sage: London, 2007.</w:t>
      </w:r>
    </w:p>
    <w:p>
      <w:pPr>
        <w:spacing w:after="0"/>
        <w:jc w:val="both"/>
        <w:rPr>
          <w:sz w:val="18"/>
        </w:rPr>
        <w:sectPr>
          <w:type w:val="continuous"/>
          <w:pgSz w:w="12240" w:h="15840"/>
          <w:pgMar w:top="1500" w:bottom="280" w:left="580" w:right="220"/>
          <w:cols w:num="2" w:equalWidth="0">
            <w:col w:w="5164" w:space="434"/>
            <w:col w:w="5842"/>
          </w:cols>
        </w:sectPr>
      </w:pPr>
    </w:p>
    <w:p>
      <w:pPr>
        <w:pStyle w:val="BodyText"/>
        <w:rPr>
          <w:sz w:val="11"/>
        </w:rPr>
      </w:pPr>
    </w:p>
    <w:p>
      <w:pPr>
        <w:spacing w:before="77"/>
        <w:ind w:left="270" w:right="6276" w:firstLine="0"/>
        <w:jc w:val="both"/>
        <w:rPr>
          <w:sz w:val="18"/>
        </w:rPr>
      </w:pPr>
      <w:r>
        <w:rPr>
          <w:sz w:val="18"/>
        </w:rPr>
        <w:t>Guadalupe Hernández-Escobedo has been lecturer at Instituto Tecnologico de Tijuana for almost 17 years. He is interested to investigate information behaviour in dynamic, complex and time constrained environments. Specifically, his target is how information is sought, exchanged and used in decision-making processes within mentioned contexts. Besides, he is attracted by the use of hard and soft techniques of operational research for optimizing processes and systems into commented environments.</w:t>
      </w:r>
    </w:p>
    <w:p>
      <w:pPr>
        <w:pStyle w:val="BodyText"/>
        <w:rPr>
          <w:sz w:val="18"/>
        </w:rPr>
      </w:pPr>
    </w:p>
    <w:p>
      <w:pPr>
        <w:spacing w:before="0"/>
        <w:ind w:left="270" w:right="6276" w:firstLine="0"/>
        <w:jc w:val="both"/>
        <w:rPr>
          <w:sz w:val="18"/>
        </w:rPr>
      </w:pPr>
      <w:r>
        <w:rPr>
          <w:sz w:val="18"/>
        </w:rPr>
        <w:t>David Allen is Director of the AIMTech Research group. His work spans both the information systems and information science communities focusing on the way new technologies, especially mobile technologies influence information behaviour and practices. His work illuminates the significance of understanding information behaviour in the design, innovation, implementation and use of systems.</w:t>
      </w:r>
    </w:p>
    <w:p>
      <w:pPr>
        <w:pStyle w:val="BodyText"/>
        <w:rPr>
          <w:sz w:val="18"/>
        </w:rPr>
      </w:pPr>
    </w:p>
    <w:p>
      <w:pPr>
        <w:spacing w:before="0"/>
        <w:ind w:left="270" w:right="6276" w:firstLine="0"/>
        <w:jc w:val="both"/>
        <w:rPr>
          <w:sz w:val="18"/>
        </w:rPr>
      </w:pPr>
      <w:r>
        <w:rPr>
          <w:sz w:val="18"/>
        </w:rPr>
        <w:t>Alan Pearman is Professor in Management Decision Analysis at Leeds University Business School. He has had diverse responsibilities in the University of Leeds. His interests are in the decision research, embracing both behavioral and quantitative aspects of decision making under risk and with multiple criteria.</w:t>
      </w:r>
    </w:p>
    <w:p>
      <w:pPr>
        <w:spacing w:after="0"/>
        <w:jc w:val="both"/>
        <w:rPr>
          <w:sz w:val="18"/>
        </w:rPr>
        <w:sectPr>
          <w:pgSz w:w="12240" w:h="15840"/>
          <w:pgMar w:header="545" w:footer="852" w:top="1060" w:bottom="1040" w:left="580" w:right="220"/>
        </w:sectPr>
      </w:pPr>
    </w:p>
    <w:p>
      <w:pPr>
        <w:pStyle w:val="BodyText"/>
        <w:spacing w:before="11"/>
        <w:rPr>
          <w:sz w:val="28"/>
        </w:rPr>
      </w:pPr>
    </w:p>
    <w:p>
      <w:pPr>
        <w:spacing w:after="0"/>
        <w:rPr>
          <w:sz w:val="28"/>
        </w:rPr>
        <w:sectPr>
          <w:pgSz w:w="12240" w:h="15840"/>
          <w:pgMar w:header="545" w:footer="852" w:top="1060" w:bottom="1040" w:left="580" w:right="220"/>
        </w:sectPr>
      </w:pPr>
    </w:p>
    <w:p>
      <w:pPr>
        <w:pStyle w:val="Heading1"/>
        <w:spacing w:before="80"/>
        <w:ind w:right="1"/>
      </w:pPr>
      <w:r>
        <w:rPr/>
        <w:t>Analysis of ergonomics in purifying water assessment.</w:t>
      </w:r>
    </w:p>
    <w:p>
      <w:pPr>
        <w:spacing w:before="179"/>
        <w:ind w:left="270" w:right="1" w:firstLine="0"/>
        <w:jc w:val="both"/>
        <w:rPr>
          <w:i/>
          <w:sz w:val="18"/>
        </w:rPr>
      </w:pPr>
      <w:r>
        <w:rPr>
          <w:i/>
          <w:position w:val="8"/>
          <w:sz w:val="12"/>
        </w:rPr>
        <w:t>a </w:t>
      </w:r>
      <w:r>
        <w:rPr>
          <w:i/>
          <w:sz w:val="18"/>
        </w:rPr>
        <w:t>Martínez González Erik Isai, </w:t>
      </w:r>
      <w:r>
        <w:rPr>
          <w:i/>
          <w:position w:val="8"/>
          <w:sz w:val="12"/>
        </w:rPr>
        <w:t>b </w:t>
      </w:r>
      <w:r>
        <w:rPr>
          <w:i/>
          <w:sz w:val="18"/>
        </w:rPr>
        <w:t>Pompa Sosa Ana Laura, </w:t>
      </w:r>
      <w:r>
        <w:rPr>
          <w:i/>
          <w:position w:val="8"/>
          <w:sz w:val="12"/>
        </w:rPr>
        <w:t>c </w:t>
      </w:r>
      <w:r>
        <w:rPr>
          <w:i/>
          <w:sz w:val="18"/>
        </w:rPr>
        <w:t>M. en C. </w:t>
      </w:r>
      <w:r>
        <w:rPr>
          <w:i/>
          <w:sz w:val="18"/>
        </w:rPr>
        <w:t>Raquel Muñoz Hernández.</w:t>
      </w:r>
    </w:p>
    <w:p>
      <w:pPr>
        <w:pStyle w:val="BodyText"/>
        <w:spacing w:before="10"/>
        <w:rPr>
          <w:i/>
          <w:sz w:val="15"/>
        </w:rPr>
      </w:pPr>
    </w:p>
    <w:p>
      <w:pPr>
        <w:spacing w:before="0"/>
        <w:ind w:left="270" w:right="1" w:firstLine="0"/>
        <w:jc w:val="both"/>
        <w:rPr>
          <w:sz w:val="18"/>
        </w:rPr>
      </w:pPr>
      <w:r>
        <w:rPr>
          <w:position w:val="8"/>
          <w:sz w:val="12"/>
        </w:rPr>
        <w:t>a.b.c </w:t>
      </w:r>
      <w:r>
        <w:rPr>
          <w:sz w:val="18"/>
        </w:rPr>
        <w:t>Universidad Politécnica del </w:t>
      </w:r>
      <w:r>
        <w:rPr>
          <w:spacing w:val="-5"/>
          <w:sz w:val="18"/>
        </w:rPr>
        <w:t>Valle </w:t>
      </w:r>
      <w:r>
        <w:rPr>
          <w:sz w:val="18"/>
        </w:rPr>
        <w:t>de México, División de Ingeniería Industrial,   </w:t>
      </w:r>
      <w:r>
        <w:rPr>
          <w:spacing w:val="-9"/>
          <w:sz w:val="18"/>
        </w:rPr>
        <w:t>Av.  </w:t>
      </w:r>
      <w:r>
        <w:rPr>
          <w:sz w:val="18"/>
        </w:rPr>
        <w:t>Mexiquense s/n, Col. </w:t>
      </w:r>
      <w:r>
        <w:rPr>
          <w:spacing w:val="-3"/>
          <w:sz w:val="18"/>
        </w:rPr>
        <w:t>Villa    </w:t>
      </w:r>
      <w:r>
        <w:rPr>
          <w:sz w:val="18"/>
        </w:rPr>
        <w:t>Esmeralda,</w:t>
      </w:r>
    </w:p>
    <w:p>
      <w:pPr>
        <w:tabs>
          <w:tab w:pos="3100" w:val="left" w:leader="none"/>
        </w:tabs>
        <w:spacing w:before="0"/>
        <w:ind w:left="270" w:right="0" w:firstLine="0"/>
        <w:jc w:val="both"/>
        <w:rPr>
          <w:sz w:val="18"/>
        </w:rPr>
      </w:pPr>
      <w:r>
        <w:rPr>
          <w:spacing w:val="-6"/>
          <w:sz w:val="18"/>
        </w:rPr>
        <w:t>C.P. </w:t>
      </w:r>
      <w:r>
        <w:rPr>
          <w:sz w:val="18"/>
        </w:rPr>
        <w:t>54910, Tultitlán, Estado de México, Mèxico. </w:t>
      </w:r>
      <w:hyperlink r:id="rId113">
        <w:r>
          <w:rPr>
            <w:sz w:val="18"/>
          </w:rPr>
          <w:t>just_doit@live.com.mx,</w:t>
        </w:r>
      </w:hyperlink>
      <w:r>
        <w:rPr>
          <w:sz w:val="18"/>
        </w:rPr>
        <w:tab/>
      </w:r>
      <w:hyperlink r:id="rId114">
        <w:r>
          <w:rPr>
            <w:sz w:val="18"/>
          </w:rPr>
          <w:t>laura.dahmer@hotmail.com,</w:t>
        </w:r>
      </w:hyperlink>
      <w:r>
        <w:rPr>
          <w:sz w:val="18"/>
        </w:rPr>
        <w:t> </w:t>
      </w:r>
      <w:hyperlink r:id="rId115">
        <w:r>
          <w:rPr>
            <w:sz w:val="18"/>
          </w:rPr>
          <w:t>jael2222@hotmail.com.</w:t>
        </w:r>
      </w:hyperlink>
    </w:p>
    <w:p>
      <w:pPr>
        <w:pStyle w:val="BodyText"/>
        <w:spacing w:before="4"/>
        <w:rPr>
          <w:sz w:val="18"/>
        </w:rPr>
      </w:pPr>
    </w:p>
    <w:p>
      <w:pPr>
        <w:spacing w:before="1"/>
        <w:ind w:left="270" w:right="0" w:firstLine="0"/>
        <w:jc w:val="both"/>
        <w:rPr>
          <w:b/>
          <w:sz w:val="18"/>
        </w:rPr>
      </w:pPr>
      <w:r>
        <w:rPr/>
        <w:pict>
          <v:line style="position:absolute;mso-position-horizontal-relative:page;mso-position-vertical-relative:paragraph;z-index:3904" from="41.040001pt,12.14206pt" to="288.540001pt,12.14206pt" stroked="true" strokeweight="1.5pt" strokecolor="#000000">
            <w10:wrap type="none"/>
          </v:line>
        </w:pict>
      </w:r>
      <w:r>
        <w:rPr>
          <w:b/>
          <w:sz w:val="18"/>
        </w:rPr>
        <w:t>Resumen</w:t>
      </w:r>
    </w:p>
    <w:p>
      <w:pPr>
        <w:spacing w:before="45"/>
        <w:ind w:left="270" w:right="0" w:firstLine="1"/>
        <w:jc w:val="both"/>
        <w:rPr>
          <w:sz w:val="18"/>
        </w:rPr>
      </w:pPr>
      <w:r>
        <w:rPr>
          <w:sz w:val="18"/>
        </w:rPr>
        <w:t>El presente es un estudio descriptivo transversal sobre la  evaluación ergonómica en una estación de trabajo dedicada al purificado de agua, lavado y llenado de garrafones atendida por tres operarios para identificar riesgo de desórdenes por traumas acumulativos (DTA’s). Se tomaron en cuenta los siguientes factores: métodos de trabajo y condiciones ambientales ergonómicas. Los métodos aplicados fueron (FCD) Fuerza de Compresión al Disco, el método RULA Y ERGOTEC. Los resultados obtenidos muestran la existencia de riesgo de daño musculo-esquelético, predominando la tensión muscular, dolor de espalda, lumbalgia, degeneración de los discos, síndrome de vibración, bursitis, tendinitis y manguito rotador. El trabajo  presenta también propuestas para disminuir el riesgo y para mejorar la productividad , sugiriendo cambios  a corto y  mediano</w:t>
      </w:r>
      <w:r>
        <w:rPr>
          <w:spacing w:val="35"/>
          <w:sz w:val="18"/>
        </w:rPr>
        <w:t> </w:t>
      </w:r>
      <w:r>
        <w:rPr>
          <w:sz w:val="18"/>
        </w:rPr>
        <w:t>plazo.</w:t>
      </w:r>
    </w:p>
    <w:p>
      <w:pPr>
        <w:spacing w:before="0"/>
        <w:ind w:left="270" w:right="0" w:firstLine="0"/>
        <w:jc w:val="both"/>
        <w:rPr>
          <w:sz w:val="18"/>
        </w:rPr>
      </w:pPr>
      <w:r>
        <w:rPr>
          <w:b/>
          <w:sz w:val="18"/>
        </w:rPr>
        <w:t>Palabras clave</w:t>
      </w:r>
      <w:r>
        <w:rPr>
          <w:sz w:val="18"/>
        </w:rPr>
        <w:t>— Lesión, riesgo, puesto de trabajo.</w:t>
      </w:r>
    </w:p>
    <w:p>
      <w:pPr>
        <w:pStyle w:val="BodyText"/>
        <w:spacing w:before="6"/>
        <w:rPr>
          <w:sz w:val="18"/>
        </w:rPr>
      </w:pPr>
    </w:p>
    <w:p>
      <w:pPr>
        <w:spacing w:before="0"/>
        <w:ind w:left="270" w:right="0" w:firstLine="0"/>
        <w:jc w:val="both"/>
        <w:rPr>
          <w:b/>
          <w:i/>
          <w:sz w:val="18"/>
        </w:rPr>
      </w:pPr>
      <w:r>
        <w:rPr/>
        <w:pict>
          <v:line style="position:absolute;mso-position-horizontal-relative:page;mso-position-vertical-relative:paragraph;z-index:3928" from="41.040001pt,12.031755pt" to="288.540001pt,12.031755pt" stroked="true" strokeweight="1.5pt" strokecolor="#000000">
            <w10:wrap type="none"/>
          </v:line>
        </w:pict>
      </w:r>
      <w:r>
        <w:rPr>
          <w:b/>
          <w:i/>
          <w:sz w:val="18"/>
        </w:rPr>
        <w:t>Abstract</w:t>
      </w:r>
    </w:p>
    <w:p>
      <w:pPr>
        <w:pStyle w:val="BodyText"/>
        <w:spacing w:before="9"/>
        <w:rPr>
          <w:b/>
          <w:i/>
          <w:sz w:val="21"/>
        </w:rPr>
      </w:pPr>
    </w:p>
    <w:p>
      <w:pPr>
        <w:spacing w:before="1"/>
        <w:ind w:left="270" w:right="0" w:firstLine="0"/>
        <w:jc w:val="both"/>
        <w:rPr>
          <w:sz w:val="18"/>
        </w:rPr>
      </w:pPr>
      <w:r>
        <w:rPr>
          <w:i/>
          <w:sz w:val="18"/>
        </w:rPr>
        <w:t>This is a descriptive study on the ergonomic assessment in a </w:t>
      </w:r>
      <w:r>
        <w:rPr>
          <w:i/>
          <w:sz w:val="18"/>
        </w:rPr>
        <w:t>workstation dedicated to purified water, washing and filling jugs served by three operators to identify risk of cumulative trauma disorders (DTA's). Ergonomic working methods and environmental conditions: the following factors were taken into account. The methods used were (FCD) Compression force to drive the RULA And ERGOTEC method. The results show the existence of risk of musculoskeletal injury, predominantly muscle tension, back pain, back pain, disc degeneration, vibration syndrome, bursitis, tendonitis and rotator cuff. The paper also presents proposals to reduce risk and improve productivity, suggesting changes in the short and medium term</w:t>
      </w:r>
      <w:r>
        <w:rPr>
          <w:sz w:val="18"/>
        </w:rPr>
        <w:t>.</w:t>
      </w:r>
    </w:p>
    <w:p>
      <w:pPr>
        <w:spacing w:line="410" w:lineRule="atLeast" w:before="4"/>
        <w:ind w:left="270" w:right="2643" w:firstLine="0"/>
        <w:jc w:val="left"/>
        <w:rPr>
          <w:sz w:val="18"/>
        </w:rPr>
      </w:pPr>
      <w:r>
        <w:rPr>
          <w:b/>
          <w:i/>
          <w:sz w:val="18"/>
        </w:rPr>
        <w:t>Keywords</w:t>
      </w:r>
      <w:r>
        <w:rPr>
          <w:i/>
          <w:sz w:val="18"/>
        </w:rPr>
        <w:t>— </w:t>
      </w:r>
      <w:r>
        <w:rPr>
          <w:sz w:val="18"/>
        </w:rPr>
        <w:t>Injury, risk, work. Relevance to Ergonomics:</w:t>
      </w:r>
    </w:p>
    <w:p>
      <w:pPr>
        <w:spacing w:before="0"/>
        <w:ind w:left="270" w:right="0" w:firstLine="0"/>
        <w:jc w:val="both"/>
        <w:rPr>
          <w:sz w:val="18"/>
        </w:rPr>
      </w:pPr>
      <w:r>
        <w:rPr>
          <w:sz w:val="18"/>
        </w:rPr>
        <w:t>Contributes to the study of vulnerable groups and due to its characteristics of being a low-paid job, is not given the importance of injuries that can be generated in the production process workers, but specifically for the female gender and </w:t>
      </w:r>
      <w:r>
        <w:rPr>
          <w:color w:val="212121"/>
          <w:sz w:val="18"/>
        </w:rPr>
        <w:t>allowed us to demonstrate the importance of understanding the variables that determine the productive activity of to integrate subsequently these elements to design prevention strategies and</w:t>
      </w:r>
      <w:r>
        <w:rPr>
          <w:color w:val="212121"/>
          <w:spacing w:val="-19"/>
          <w:sz w:val="18"/>
        </w:rPr>
        <w:t> </w:t>
      </w:r>
      <w:r>
        <w:rPr>
          <w:color w:val="212121"/>
          <w:sz w:val="18"/>
        </w:rPr>
        <w:t>tasks.</w:t>
      </w:r>
    </w:p>
    <w:p>
      <w:pPr>
        <w:pStyle w:val="BodyText"/>
        <w:spacing w:before="3"/>
        <w:rPr>
          <w:sz w:val="18"/>
        </w:rPr>
      </w:pPr>
    </w:p>
    <w:p>
      <w:pPr>
        <w:pStyle w:val="ListParagraph"/>
        <w:numPr>
          <w:ilvl w:val="0"/>
          <w:numId w:val="37"/>
        </w:numPr>
        <w:tabs>
          <w:tab w:pos="452" w:val="left" w:leader="none"/>
        </w:tabs>
        <w:spacing w:line="240" w:lineRule="auto" w:before="0" w:after="0"/>
        <w:ind w:left="451" w:right="0" w:hanging="181"/>
        <w:jc w:val="both"/>
        <w:rPr>
          <w:b/>
          <w:sz w:val="18"/>
        </w:rPr>
      </w:pPr>
      <w:r>
        <w:rPr>
          <w:b/>
          <w:sz w:val="18"/>
        </w:rPr>
        <w:t>INTRODUCTION.</w:t>
      </w:r>
    </w:p>
    <w:p>
      <w:pPr>
        <w:pStyle w:val="BodyText"/>
        <w:spacing w:before="7"/>
        <w:rPr>
          <w:b/>
          <w:sz w:val="17"/>
        </w:rPr>
      </w:pPr>
    </w:p>
    <w:p>
      <w:pPr>
        <w:spacing w:before="1"/>
        <w:ind w:left="270" w:right="0" w:firstLine="0"/>
        <w:jc w:val="both"/>
        <w:rPr>
          <w:sz w:val="18"/>
        </w:rPr>
      </w:pPr>
      <w:r>
        <w:rPr>
          <w:color w:val="212121"/>
          <w:sz w:val="18"/>
        </w:rPr>
        <w:t>Ergonomics as a science or discipline helps people adapt the environment depending on their size, needs and interaction with the environment through scientific determination of the creation of jobs.</w:t>
      </w:r>
      <w:r>
        <w:rPr>
          <w:color w:val="212121"/>
          <w:spacing w:val="-2"/>
          <w:sz w:val="18"/>
        </w:rPr>
        <w:t> </w:t>
      </w:r>
      <w:r>
        <w:rPr>
          <w:sz w:val="18"/>
        </w:rPr>
        <w:t>[1].</w:t>
      </w:r>
    </w:p>
    <w:p>
      <w:pPr>
        <w:spacing w:before="76"/>
        <w:ind w:left="270" w:right="676" w:firstLine="0"/>
        <w:jc w:val="both"/>
        <w:rPr>
          <w:sz w:val="18"/>
        </w:rPr>
      </w:pPr>
      <w:r>
        <w:rPr/>
        <w:br w:type="column"/>
      </w:r>
      <w:r>
        <w:rPr>
          <w:color w:val="212121"/>
          <w:sz w:val="18"/>
        </w:rPr>
        <w:t>Currently exist diverse research of ergonomics and outstanding scholars such as Juan José Cañas contemporary author, researcher at the University of Granada known for its high contribution to cognitive ergonomics.</w:t>
      </w:r>
      <w:r>
        <w:rPr>
          <w:color w:val="212121"/>
          <w:spacing w:val="-8"/>
          <w:sz w:val="18"/>
        </w:rPr>
        <w:t> </w:t>
      </w:r>
      <w:r>
        <w:rPr>
          <w:sz w:val="18"/>
        </w:rPr>
        <w:t>[2].</w:t>
      </w:r>
    </w:p>
    <w:p>
      <w:pPr>
        <w:pStyle w:val="BodyText"/>
        <w:spacing w:before="3"/>
        <w:rPr>
          <w:sz w:val="18"/>
        </w:rPr>
      </w:pPr>
    </w:p>
    <w:p>
      <w:pPr>
        <w:pStyle w:val="ListParagraph"/>
        <w:numPr>
          <w:ilvl w:val="1"/>
          <w:numId w:val="37"/>
        </w:numPr>
        <w:tabs>
          <w:tab w:pos="631" w:val="left" w:leader="none"/>
        </w:tabs>
        <w:spacing w:line="240" w:lineRule="auto" w:before="0" w:after="0"/>
        <w:ind w:left="630" w:right="0" w:hanging="360"/>
        <w:jc w:val="both"/>
        <w:rPr>
          <w:b/>
          <w:sz w:val="18"/>
        </w:rPr>
      </w:pPr>
      <w:r>
        <w:rPr>
          <w:b/>
          <w:sz w:val="18"/>
        </w:rPr>
        <w:t>Justification</w:t>
      </w:r>
    </w:p>
    <w:p>
      <w:pPr>
        <w:pStyle w:val="BodyText"/>
        <w:spacing w:before="7"/>
        <w:rPr>
          <w:b/>
          <w:sz w:val="17"/>
        </w:rPr>
      </w:pPr>
    </w:p>
    <w:p>
      <w:pPr>
        <w:spacing w:before="1"/>
        <w:ind w:left="270" w:right="677" w:firstLine="0"/>
        <w:jc w:val="both"/>
        <w:rPr>
          <w:sz w:val="18"/>
        </w:rPr>
      </w:pPr>
      <w:r>
        <w:rPr>
          <w:color w:val="212121"/>
          <w:sz w:val="18"/>
        </w:rPr>
        <w:t>In Purifier SA de C.V. workers were suffering physical ailments, specifically, discomfort in the arms, neck and back after a working day of 8 hours from Monday to Saturday, arguing that their aches and discomforts were caused by repetitive manual lifting of flagons of 20 liters. Based on the above, we proceeded to conduct this  study to identify whether there was a risk of Cumulative Trauma Disorders acquire, hereinafter referred to as DTA's in the performance of their work.</w:t>
      </w:r>
      <w:r>
        <w:rPr>
          <w:color w:val="212121"/>
          <w:spacing w:val="-5"/>
          <w:sz w:val="18"/>
        </w:rPr>
        <w:t> </w:t>
      </w:r>
      <w:r>
        <w:rPr>
          <w:sz w:val="18"/>
        </w:rPr>
        <w:t>[3].</w:t>
      </w:r>
    </w:p>
    <w:p>
      <w:pPr>
        <w:pStyle w:val="BodyText"/>
        <w:rPr>
          <w:sz w:val="18"/>
        </w:rPr>
      </w:pPr>
    </w:p>
    <w:p>
      <w:pPr>
        <w:spacing w:before="0"/>
        <w:ind w:left="270" w:right="678" w:firstLine="0"/>
        <w:jc w:val="both"/>
        <w:rPr>
          <w:sz w:val="18"/>
        </w:rPr>
      </w:pPr>
      <w:r>
        <w:rPr>
          <w:sz w:val="18"/>
        </w:rPr>
        <w:t>Contributes to the study of vulnerable groups and due to its characteristics of being a low-paid job, is not given the importance of injuries that can be generated in the production process workers, but specifically for the female gender and </w:t>
      </w:r>
      <w:r>
        <w:rPr>
          <w:color w:val="212121"/>
          <w:sz w:val="18"/>
        </w:rPr>
        <w:t>allowed us to demonstrate the importance of understanding the variables that determine the productive activity of to integrate subsequently these elements to design prevention strategies and</w:t>
      </w:r>
      <w:r>
        <w:rPr>
          <w:color w:val="212121"/>
          <w:spacing w:val="-19"/>
          <w:sz w:val="18"/>
        </w:rPr>
        <w:t> </w:t>
      </w:r>
      <w:r>
        <w:rPr>
          <w:color w:val="212121"/>
          <w:sz w:val="18"/>
        </w:rPr>
        <w:t>tasks.</w:t>
      </w:r>
    </w:p>
    <w:p>
      <w:pPr>
        <w:pStyle w:val="BodyText"/>
        <w:spacing w:before="3"/>
        <w:rPr>
          <w:sz w:val="18"/>
        </w:rPr>
      </w:pPr>
    </w:p>
    <w:p>
      <w:pPr>
        <w:pStyle w:val="ListParagraph"/>
        <w:numPr>
          <w:ilvl w:val="1"/>
          <w:numId w:val="37"/>
        </w:numPr>
        <w:tabs>
          <w:tab w:pos="542" w:val="left" w:leader="none"/>
        </w:tabs>
        <w:spacing w:line="240" w:lineRule="auto" w:before="0" w:after="0"/>
        <w:ind w:left="541" w:right="0" w:hanging="271"/>
        <w:jc w:val="both"/>
        <w:rPr>
          <w:b/>
          <w:sz w:val="18"/>
        </w:rPr>
      </w:pPr>
      <w:r>
        <w:rPr>
          <w:b/>
          <w:sz w:val="18"/>
        </w:rPr>
        <w:t>Objetive.</w:t>
      </w:r>
    </w:p>
    <w:p>
      <w:pPr>
        <w:pStyle w:val="BodyText"/>
        <w:spacing w:before="11"/>
        <w:rPr>
          <w:b/>
          <w:sz w:val="17"/>
        </w:rPr>
      </w:pPr>
    </w:p>
    <w:p>
      <w:pPr>
        <w:pStyle w:val="ListParagraph"/>
        <w:numPr>
          <w:ilvl w:val="2"/>
          <w:numId w:val="37"/>
        </w:numPr>
        <w:tabs>
          <w:tab w:pos="979" w:val="left" w:leader="none"/>
        </w:tabs>
        <w:spacing w:line="206" w:lineRule="exact" w:before="0" w:after="0"/>
        <w:ind w:left="555" w:right="679" w:hanging="143"/>
        <w:jc w:val="both"/>
        <w:rPr>
          <w:rFonts w:ascii="Segoe UI Symbol"/>
          <w:color w:val="212121"/>
          <w:sz w:val="18"/>
        </w:rPr>
      </w:pPr>
      <w:r>
        <w:rPr>
          <w:color w:val="212121"/>
          <w:sz w:val="18"/>
        </w:rPr>
        <w:t>Assess-through methods Ergonomic risk factors present in the development and distribution of purified</w:t>
      </w:r>
      <w:r>
        <w:rPr>
          <w:color w:val="212121"/>
          <w:spacing w:val="-14"/>
          <w:sz w:val="18"/>
        </w:rPr>
        <w:t> </w:t>
      </w:r>
      <w:r>
        <w:rPr>
          <w:color w:val="212121"/>
          <w:sz w:val="18"/>
        </w:rPr>
        <w:t>water.</w:t>
      </w:r>
    </w:p>
    <w:p>
      <w:pPr>
        <w:pStyle w:val="ListParagraph"/>
        <w:numPr>
          <w:ilvl w:val="2"/>
          <w:numId w:val="37"/>
        </w:numPr>
        <w:tabs>
          <w:tab w:pos="979" w:val="left" w:leader="none"/>
        </w:tabs>
        <w:spacing w:line="206" w:lineRule="exact" w:before="1" w:after="0"/>
        <w:ind w:left="555" w:right="678" w:hanging="143"/>
        <w:jc w:val="both"/>
        <w:rPr>
          <w:rFonts w:ascii="Segoe UI Symbol"/>
          <w:color w:val="212121"/>
          <w:sz w:val="18"/>
        </w:rPr>
      </w:pPr>
      <w:r>
        <w:rPr>
          <w:color w:val="212121"/>
          <w:sz w:val="18"/>
        </w:rPr>
        <w:t>Provide Opportunities for improvement in the process of production   and   distribution   of   purified   water-through  </w:t>
      </w:r>
      <w:r>
        <w:rPr>
          <w:color w:val="212121"/>
          <w:spacing w:val="7"/>
          <w:sz w:val="18"/>
        </w:rPr>
        <w:t> </w:t>
      </w:r>
      <w:r>
        <w:rPr>
          <w:color w:val="212121"/>
          <w:sz w:val="18"/>
        </w:rPr>
        <w:t>an</w:t>
      </w:r>
    </w:p>
    <w:p>
      <w:pPr>
        <w:spacing w:line="192" w:lineRule="exact" w:before="0"/>
        <w:ind w:left="555" w:right="668" w:firstLine="0"/>
        <w:jc w:val="left"/>
        <w:rPr>
          <w:sz w:val="18"/>
        </w:rPr>
      </w:pPr>
      <w:r>
        <w:rPr>
          <w:color w:val="212121"/>
          <w:sz w:val="18"/>
        </w:rPr>
        <w:t>ergonomic assessment.</w:t>
      </w:r>
    </w:p>
    <w:p>
      <w:pPr>
        <w:pStyle w:val="ListParagraph"/>
        <w:numPr>
          <w:ilvl w:val="2"/>
          <w:numId w:val="37"/>
        </w:numPr>
        <w:tabs>
          <w:tab w:pos="979" w:val="left" w:leader="none"/>
        </w:tabs>
        <w:spacing w:line="237" w:lineRule="auto" w:before="0" w:after="0"/>
        <w:ind w:left="555" w:right="678" w:hanging="143"/>
        <w:jc w:val="both"/>
        <w:rPr>
          <w:rFonts w:ascii="Segoe UI Symbol"/>
          <w:sz w:val="18"/>
        </w:rPr>
      </w:pPr>
      <w:r>
        <w:rPr>
          <w:color w:val="212121"/>
          <w:sz w:val="18"/>
        </w:rPr>
        <w:t>Evaluating the diseases that can be derived from the repeatability of the process of production and distribution of purified water Having employees as references to WHO  </w:t>
      </w:r>
      <w:r>
        <w:rPr>
          <w:color w:val="212121"/>
          <w:spacing w:val="33"/>
          <w:sz w:val="18"/>
        </w:rPr>
        <w:t> </w:t>
      </w:r>
      <w:r>
        <w:rPr>
          <w:color w:val="212121"/>
          <w:sz w:val="18"/>
        </w:rPr>
        <w:t>work</w:t>
      </w:r>
    </w:p>
    <w:p>
      <w:pPr>
        <w:spacing w:before="1"/>
        <w:ind w:left="555" w:right="668" w:firstLine="0"/>
        <w:jc w:val="left"/>
        <w:rPr>
          <w:sz w:val="18"/>
        </w:rPr>
      </w:pPr>
      <w:r>
        <w:rPr>
          <w:color w:val="212121"/>
          <w:sz w:val="18"/>
        </w:rPr>
        <w:t>Within the same company.</w:t>
      </w:r>
    </w:p>
    <w:p>
      <w:pPr>
        <w:pStyle w:val="BodyText"/>
        <w:spacing w:before="3"/>
        <w:rPr>
          <w:sz w:val="18"/>
        </w:rPr>
      </w:pPr>
    </w:p>
    <w:p>
      <w:pPr>
        <w:pStyle w:val="ListParagraph"/>
        <w:numPr>
          <w:ilvl w:val="0"/>
          <w:numId w:val="37"/>
        </w:numPr>
        <w:tabs>
          <w:tab w:pos="452" w:val="left" w:leader="none"/>
        </w:tabs>
        <w:spacing w:line="240" w:lineRule="auto" w:before="0" w:after="0"/>
        <w:ind w:left="451" w:right="0" w:hanging="181"/>
        <w:jc w:val="both"/>
        <w:rPr>
          <w:b/>
          <w:sz w:val="18"/>
        </w:rPr>
      </w:pPr>
      <w:r>
        <w:rPr>
          <w:b/>
          <w:sz w:val="18"/>
        </w:rPr>
        <w:t>METHODOLOGY.</w:t>
      </w:r>
    </w:p>
    <w:p>
      <w:pPr>
        <w:pStyle w:val="BodyText"/>
        <w:spacing w:before="7"/>
        <w:rPr>
          <w:b/>
          <w:sz w:val="17"/>
        </w:rPr>
      </w:pPr>
    </w:p>
    <w:p>
      <w:pPr>
        <w:spacing w:before="1"/>
        <w:ind w:left="336" w:right="677" w:firstLine="0"/>
        <w:jc w:val="both"/>
        <w:rPr>
          <w:sz w:val="18"/>
        </w:rPr>
      </w:pPr>
      <w:r>
        <w:rPr>
          <w:color w:val="212121"/>
          <w:sz w:val="18"/>
        </w:rPr>
        <w:t>We are analyzing the three workstations that make the company Purifier SA are evaluated de C.V. dedicated to the production and distribution of purified water. Each station is staffed by an employee aged in a range of 25-40 years, of medium build. Note that the longest duration of employees is six months.</w:t>
      </w:r>
    </w:p>
    <w:p>
      <w:pPr>
        <w:pStyle w:val="BodyText"/>
        <w:spacing w:before="10"/>
        <w:rPr>
          <w:sz w:val="17"/>
        </w:rPr>
      </w:pPr>
    </w:p>
    <w:p>
      <w:pPr>
        <w:spacing w:before="0"/>
        <w:ind w:left="336" w:right="678" w:firstLine="0"/>
        <w:jc w:val="both"/>
        <w:rPr>
          <w:sz w:val="18"/>
        </w:rPr>
      </w:pPr>
      <w:r>
        <w:rPr>
          <w:color w:val="212121"/>
          <w:sz w:val="18"/>
        </w:rPr>
        <w:t>Risk factors of the process of production and distribution of  bottled purified water, were evaluated in a working day of 8 hours. Monday through Saturday from 10:00 a.m. to 6:00</w:t>
      </w:r>
      <w:r>
        <w:rPr>
          <w:color w:val="212121"/>
          <w:spacing w:val="-4"/>
          <w:sz w:val="18"/>
        </w:rPr>
        <w:t> </w:t>
      </w:r>
      <w:r>
        <w:rPr>
          <w:color w:val="212121"/>
          <w:sz w:val="18"/>
        </w:rPr>
        <w:t>p.m.</w:t>
      </w:r>
    </w:p>
    <w:p>
      <w:pPr>
        <w:pStyle w:val="ListParagraph"/>
        <w:numPr>
          <w:ilvl w:val="1"/>
          <w:numId w:val="37"/>
        </w:numPr>
        <w:tabs>
          <w:tab w:pos="542" w:val="left" w:leader="none"/>
        </w:tabs>
        <w:spacing w:line="240" w:lineRule="auto" w:before="0" w:after="0"/>
        <w:ind w:left="541" w:right="0" w:hanging="271"/>
        <w:jc w:val="both"/>
        <w:rPr>
          <w:sz w:val="18"/>
        </w:rPr>
      </w:pPr>
      <w:r>
        <w:rPr>
          <w:b/>
          <w:sz w:val="18"/>
        </w:rPr>
        <w:t>Process</w:t>
      </w:r>
      <w:r>
        <w:rPr>
          <w:color w:val="212121"/>
          <w:sz w:val="18"/>
        </w:rPr>
        <w:t>.</w:t>
      </w:r>
    </w:p>
    <w:p>
      <w:pPr>
        <w:pStyle w:val="BodyText"/>
        <w:rPr>
          <w:sz w:val="18"/>
        </w:rPr>
      </w:pPr>
    </w:p>
    <w:p>
      <w:pPr>
        <w:tabs>
          <w:tab w:pos="1765" w:val="left" w:leader="none"/>
          <w:tab w:pos="3138" w:val="left" w:leader="none"/>
          <w:tab w:pos="4762" w:val="left" w:leader="none"/>
        </w:tabs>
        <w:spacing w:before="0"/>
        <w:ind w:left="270" w:right="677" w:firstLine="0"/>
        <w:jc w:val="both"/>
        <w:rPr>
          <w:sz w:val="18"/>
        </w:rPr>
      </w:pPr>
      <w:r>
        <w:rPr>
          <w:color w:val="212121"/>
          <w:sz w:val="18"/>
        </w:rPr>
        <w:t>The customer arrives at Water Purifier and places his jug on the counter. The jug is placed in front of the shelf and removed with a blade seals and / or nozzle caps jug and placed in the trash.The jug is placed in the sink and washed out with soap and soft fiber and rinsed</w:t>
        <w:tab/>
        <w:t>with</w:t>
        <w:tab/>
        <w:t>purified</w:t>
        <w:tab/>
        <w:t>water The jug is visually inspected if you have any imperfection will repeat</w:t>
      </w:r>
      <w:r>
        <w:rPr>
          <w:color w:val="212121"/>
          <w:spacing w:val="-10"/>
          <w:sz w:val="18"/>
        </w:rPr>
        <w:t> </w:t>
      </w:r>
      <w:r>
        <w:rPr>
          <w:color w:val="212121"/>
          <w:sz w:val="18"/>
        </w:rPr>
        <w:t>step.</w:t>
      </w:r>
    </w:p>
    <w:p>
      <w:pPr>
        <w:pStyle w:val="BodyText"/>
        <w:rPr>
          <w:sz w:val="18"/>
        </w:rPr>
      </w:pPr>
    </w:p>
    <w:p>
      <w:pPr>
        <w:spacing w:before="0"/>
        <w:ind w:left="270" w:right="676" w:firstLine="0"/>
        <w:jc w:val="both"/>
        <w:rPr>
          <w:sz w:val="18"/>
        </w:rPr>
      </w:pPr>
      <w:r>
        <w:rPr>
          <w:color w:val="212121"/>
          <w:sz w:val="18"/>
        </w:rPr>
        <w:t>It inspects the jug not present stains, and let stand 10 to 5 min. depending on the stain. The jug upside down and placed the tray to rinse the area with purified water runs through the stopcock is opened for the jug, while the jug is rotated is drained rinse. The ozone generator Lights</w:t>
      </w:r>
      <w:r>
        <w:rPr>
          <w:sz w:val="18"/>
        </w:rPr>
        <w:t>. [4]. Figure 1</w:t>
      </w:r>
    </w:p>
    <w:p>
      <w:pPr>
        <w:spacing w:after="0"/>
        <w:jc w:val="both"/>
        <w:rPr>
          <w:sz w:val="18"/>
        </w:rPr>
        <w:sectPr>
          <w:type w:val="continuous"/>
          <w:pgSz w:w="12240" w:h="15840"/>
          <w:pgMar w:top="1500" w:bottom="280" w:left="580" w:right="220"/>
          <w:cols w:num="2" w:equalWidth="0">
            <w:col w:w="5163" w:space="435"/>
            <w:col w:w="5842"/>
          </w:cols>
        </w:sectPr>
      </w:pPr>
    </w:p>
    <w:p>
      <w:pPr>
        <w:pStyle w:val="BodyText"/>
        <w:rPr>
          <w:sz w:val="11"/>
        </w:rPr>
      </w:pPr>
    </w:p>
    <w:p>
      <w:pPr>
        <w:spacing w:before="77"/>
        <w:ind w:left="7089" w:right="1218" w:firstLine="0"/>
        <w:jc w:val="left"/>
        <w:rPr>
          <w:sz w:val="18"/>
        </w:rPr>
      </w:pPr>
      <w:r>
        <w:rPr/>
        <w:pict>
          <v:group style="position:absolute;margin-left:42.540001pt;margin-top:4.031729pt;width:241.6pt;height:162.9pt;mso-position-horizontal-relative:page;mso-position-vertical-relative:paragraph;z-index:3976" coordorigin="851,81" coordsize="4832,3258">
            <v:shape style="position:absolute;left:851;top:81;width:4831;height:3258" type="#_x0000_t75" stroked="false">
              <v:imagedata r:id="rId116" o:title=""/>
            </v:shape>
            <v:shape style="position:absolute;left:1516;top:958;width:1877;height:1420" coordorigin="1516,958" coordsize="1877,1420" path="m2498,1897l2493,1826,2478,1759,2453,1695,2419,1636,2378,1582,2329,1535,2274,1495,2214,1462,2148,1438,2079,1423,2006,1417,1934,1423,1865,1438,1799,1462,1739,1495,1684,1535,1636,1582,1595,1636,1561,1695,1536,1759,1521,1826,1516,1897,1521,1968,1536,2036,1561,2100,1595,2159,1636,2212,1684,2260,1739,2300,1799,2333,1865,2357,1934,2372,2006,2377,2079,2372,2148,2357,2214,2333,2274,2300,2329,2260,2378,2212,2419,2159,2453,2100,2478,2036,2493,1968,2498,1897m3392,1269l3385,1197,3363,1132,3328,1074,3283,1026,3228,989,3166,966,3098,958,3031,966,2969,989,2915,1026,2869,1074,2834,1132,2812,1197,2804,1269,2812,1340,2834,1405,2869,1463,2915,1511,2969,1548,3031,1571,3098,1579,3166,1571,3228,1548,3283,1511,3328,1463,3363,1405,3385,1340,3392,1269e" filled="true" fillcolor="#7e7e7e" stroked="false">
              <v:path arrowok="t"/>
              <v:fill type="solid"/>
            </v:shape>
            <w10:wrap type="none"/>
          </v:group>
        </w:pict>
      </w:r>
      <w:r>
        <w:rPr>
          <w:sz w:val="18"/>
        </w:rPr>
        <w:t>Figure 3. Lights the jug is rotated.</w:t>
      </w:r>
    </w:p>
    <w:p>
      <w:pPr>
        <w:pStyle w:val="BodyText"/>
        <w:spacing w:before="7"/>
        <w:rPr>
          <w:sz w:val="11"/>
        </w:rPr>
      </w:pPr>
    </w:p>
    <w:p>
      <w:pPr>
        <w:pStyle w:val="ListParagraph"/>
        <w:numPr>
          <w:ilvl w:val="0"/>
          <w:numId w:val="37"/>
        </w:numPr>
        <w:tabs>
          <w:tab w:pos="6050" w:val="left" w:leader="none"/>
        </w:tabs>
        <w:spacing w:line="240" w:lineRule="auto" w:before="77" w:after="0"/>
        <w:ind w:left="6049" w:right="0" w:hanging="181"/>
        <w:jc w:val="left"/>
        <w:rPr>
          <w:b/>
          <w:sz w:val="18"/>
        </w:rPr>
      </w:pPr>
      <w:r>
        <w:rPr>
          <w:b/>
          <w:sz w:val="18"/>
        </w:rPr>
        <w:t>METHODS</w:t>
      </w:r>
    </w:p>
    <w:p>
      <w:pPr>
        <w:pStyle w:val="BodyText"/>
        <w:spacing w:before="7"/>
        <w:rPr>
          <w:b/>
          <w:sz w:val="17"/>
        </w:rPr>
      </w:pPr>
    </w:p>
    <w:p>
      <w:pPr>
        <w:spacing w:before="1"/>
        <w:ind w:left="5868" w:right="1218" w:firstLine="1"/>
        <w:jc w:val="left"/>
        <w:rPr>
          <w:sz w:val="18"/>
        </w:rPr>
      </w:pPr>
      <w:r>
        <w:rPr>
          <w:color w:val="212121"/>
          <w:sz w:val="18"/>
        </w:rPr>
        <w:t>The first method to use is ERGOTEC estimating risks are performed based on the checklist which focus on four areas:</w:t>
      </w:r>
    </w:p>
    <w:p>
      <w:pPr>
        <w:pStyle w:val="BodyText"/>
        <w:rPr>
          <w:sz w:val="18"/>
        </w:rPr>
      </w:pPr>
    </w:p>
    <w:p>
      <w:pPr>
        <w:pStyle w:val="ListParagraph"/>
        <w:numPr>
          <w:ilvl w:val="0"/>
          <w:numId w:val="38"/>
        </w:numPr>
        <w:tabs>
          <w:tab w:pos="5977" w:val="left" w:leader="none"/>
        </w:tabs>
        <w:spacing w:line="240" w:lineRule="auto" w:before="0" w:after="0"/>
        <w:ind w:left="5976" w:right="0" w:hanging="108"/>
        <w:jc w:val="left"/>
        <w:rPr>
          <w:sz w:val="18"/>
        </w:rPr>
      </w:pPr>
      <w:r>
        <w:rPr>
          <w:color w:val="212121"/>
          <w:sz w:val="18"/>
        </w:rPr>
        <w:t>Execution at</w:t>
      </w:r>
      <w:r>
        <w:rPr>
          <w:color w:val="212121"/>
          <w:spacing w:val="-4"/>
          <w:sz w:val="18"/>
        </w:rPr>
        <w:t> </w:t>
      </w:r>
      <w:r>
        <w:rPr>
          <w:color w:val="212121"/>
          <w:sz w:val="18"/>
        </w:rPr>
        <w:t>work</w:t>
      </w:r>
    </w:p>
    <w:p>
      <w:pPr>
        <w:pStyle w:val="ListParagraph"/>
        <w:numPr>
          <w:ilvl w:val="0"/>
          <w:numId w:val="38"/>
        </w:numPr>
        <w:tabs>
          <w:tab w:pos="5977" w:val="left" w:leader="none"/>
        </w:tabs>
        <w:spacing w:line="207" w:lineRule="exact" w:before="0" w:after="0"/>
        <w:ind w:left="5976" w:right="0" w:hanging="108"/>
        <w:jc w:val="left"/>
        <w:rPr>
          <w:sz w:val="18"/>
        </w:rPr>
      </w:pPr>
      <w:r>
        <w:rPr>
          <w:color w:val="212121"/>
          <w:sz w:val="18"/>
        </w:rPr>
        <w:t>Risk of injury by</w:t>
      </w:r>
      <w:r>
        <w:rPr>
          <w:color w:val="212121"/>
          <w:spacing w:val="-5"/>
          <w:sz w:val="18"/>
        </w:rPr>
        <w:t> </w:t>
      </w:r>
      <w:r>
        <w:rPr>
          <w:color w:val="212121"/>
          <w:sz w:val="18"/>
        </w:rPr>
        <w:t>DTA</w:t>
      </w:r>
    </w:p>
    <w:p>
      <w:pPr>
        <w:pStyle w:val="ListParagraph"/>
        <w:numPr>
          <w:ilvl w:val="0"/>
          <w:numId w:val="38"/>
        </w:numPr>
        <w:tabs>
          <w:tab w:pos="5978" w:val="left" w:leader="none"/>
        </w:tabs>
        <w:spacing w:line="207" w:lineRule="exact" w:before="0" w:after="0"/>
        <w:ind w:left="5977" w:right="0" w:hanging="109"/>
        <w:jc w:val="left"/>
        <w:rPr>
          <w:sz w:val="18"/>
        </w:rPr>
      </w:pPr>
      <w:r>
        <w:rPr>
          <w:color w:val="212121"/>
          <w:sz w:val="18"/>
        </w:rPr>
        <w:t>Injuries manual material</w:t>
      </w:r>
      <w:r>
        <w:rPr>
          <w:color w:val="212121"/>
          <w:spacing w:val="-4"/>
          <w:sz w:val="18"/>
        </w:rPr>
        <w:t> </w:t>
      </w:r>
      <w:r>
        <w:rPr>
          <w:color w:val="212121"/>
          <w:sz w:val="18"/>
        </w:rPr>
        <w:t>handling</w:t>
      </w:r>
    </w:p>
    <w:p>
      <w:pPr>
        <w:pStyle w:val="ListParagraph"/>
        <w:numPr>
          <w:ilvl w:val="0"/>
          <w:numId w:val="38"/>
        </w:numPr>
        <w:tabs>
          <w:tab w:pos="5978" w:val="left" w:leader="none"/>
        </w:tabs>
        <w:spacing w:line="240" w:lineRule="auto" w:before="0" w:after="0"/>
        <w:ind w:left="5977" w:right="0" w:hanging="109"/>
        <w:jc w:val="left"/>
        <w:rPr>
          <w:sz w:val="18"/>
        </w:rPr>
      </w:pPr>
      <w:r>
        <w:rPr>
          <w:color w:val="212121"/>
          <w:sz w:val="18"/>
        </w:rPr>
        <w:t>Metabolic</w:t>
      </w:r>
      <w:r>
        <w:rPr>
          <w:color w:val="212121"/>
          <w:spacing w:val="-20"/>
          <w:sz w:val="18"/>
        </w:rPr>
        <w:t> </w:t>
      </w:r>
      <w:r>
        <w:rPr>
          <w:color w:val="212121"/>
          <w:sz w:val="18"/>
        </w:rPr>
        <w:t>expenditure</w:t>
      </w:r>
    </w:p>
    <w:p>
      <w:pPr>
        <w:pStyle w:val="BodyText"/>
        <w:spacing w:before="10"/>
        <w:rPr>
          <w:sz w:val="17"/>
        </w:rPr>
      </w:pPr>
    </w:p>
    <w:p>
      <w:pPr>
        <w:spacing w:before="0"/>
        <w:ind w:left="5868" w:right="937" w:firstLine="0"/>
        <w:jc w:val="left"/>
        <w:rPr>
          <w:sz w:val="18"/>
        </w:rPr>
      </w:pPr>
      <w:r>
        <w:rPr>
          <w:color w:val="212121"/>
          <w:sz w:val="18"/>
        </w:rPr>
        <w:t>The possible results of this estimation are jobs classified as low, medium or high risk, which facilitates the prioritization of problems.</w:t>
      </w:r>
    </w:p>
    <w:p>
      <w:pPr>
        <w:pStyle w:val="BodyText"/>
        <w:spacing w:before="3"/>
        <w:rPr>
          <w:sz w:val="11"/>
        </w:rPr>
      </w:pPr>
    </w:p>
    <w:p>
      <w:pPr>
        <w:spacing w:after="0"/>
        <w:rPr>
          <w:sz w:val="11"/>
        </w:rPr>
        <w:sectPr>
          <w:pgSz w:w="12240" w:h="15840"/>
          <w:pgMar w:header="545" w:footer="852" w:top="1060" w:bottom="1040" w:left="580" w:right="220"/>
        </w:sectPr>
      </w:pPr>
    </w:p>
    <w:p>
      <w:pPr>
        <w:pStyle w:val="BodyText"/>
        <w:spacing w:before="1"/>
      </w:pPr>
    </w:p>
    <w:p>
      <w:pPr>
        <w:spacing w:before="0"/>
        <w:ind w:left="1376" w:right="0" w:firstLine="0"/>
        <w:jc w:val="left"/>
        <w:rPr>
          <w:sz w:val="18"/>
        </w:rPr>
      </w:pPr>
      <w:r>
        <w:rPr>
          <w:sz w:val="18"/>
        </w:rPr>
        <w:t>Figure 1. The ozone generator Lights</w:t>
      </w:r>
    </w:p>
    <w:p>
      <w:pPr>
        <w:pStyle w:val="BodyText"/>
        <w:rPr>
          <w:sz w:val="18"/>
        </w:rPr>
      </w:pPr>
    </w:p>
    <w:p>
      <w:pPr>
        <w:spacing w:before="0"/>
        <w:ind w:left="272" w:right="0" w:firstLine="0"/>
        <w:jc w:val="both"/>
        <w:rPr>
          <w:sz w:val="18"/>
        </w:rPr>
      </w:pPr>
      <w:r>
        <w:rPr>
          <w:sz w:val="18"/>
        </w:rPr>
        <w:t>The jug to wash table is carried jugs and placed, by means of a breaker trips while the jug is rotated, the jug is lifted and placed diagonally, is introduces the jug drill brush and washed inside, the drill is removed brush and brush handle is inserted perfectly  remove impurities. Figure 2.</w:t>
      </w:r>
    </w:p>
    <w:p>
      <w:pPr>
        <w:pStyle w:val="BodyText"/>
        <w:rPr>
          <w:sz w:val="15"/>
        </w:rPr>
      </w:pPr>
      <w:r>
        <w:rPr/>
        <w:drawing>
          <wp:anchor distT="0" distB="0" distL="0" distR="0" allowOverlap="1" layoutInCell="1" locked="0" behindDoc="0" simplePos="0" relativeHeight="3952">
            <wp:simplePos x="0" y="0"/>
            <wp:positionH relativeFrom="page">
              <wp:posOffset>541019</wp:posOffset>
            </wp:positionH>
            <wp:positionV relativeFrom="paragraph">
              <wp:posOffset>134533</wp:posOffset>
            </wp:positionV>
            <wp:extent cx="2819188" cy="1601152"/>
            <wp:effectExtent l="0" t="0" r="0" b="0"/>
            <wp:wrapTopAndBottom/>
            <wp:docPr id="77" name="image48.jpeg" descr=""/>
            <wp:cNvGraphicFramePr>
              <a:graphicFrameLocks noChangeAspect="1"/>
            </wp:cNvGraphicFramePr>
            <a:graphic>
              <a:graphicData uri="http://schemas.openxmlformats.org/drawingml/2006/picture">
                <pic:pic>
                  <pic:nvPicPr>
                    <pic:cNvPr id="78" name="image48.jpeg"/>
                    <pic:cNvPicPr/>
                  </pic:nvPicPr>
                  <pic:blipFill>
                    <a:blip r:embed="rId117" cstate="print"/>
                    <a:stretch>
                      <a:fillRect/>
                    </a:stretch>
                  </pic:blipFill>
                  <pic:spPr>
                    <a:xfrm>
                      <a:off x="0" y="0"/>
                      <a:ext cx="2819188" cy="1601152"/>
                    </a:xfrm>
                    <a:prstGeom prst="rect">
                      <a:avLst/>
                    </a:prstGeom>
                  </pic:spPr>
                </pic:pic>
              </a:graphicData>
            </a:graphic>
          </wp:anchor>
        </w:drawing>
      </w:r>
    </w:p>
    <w:p>
      <w:pPr>
        <w:pStyle w:val="BodyText"/>
        <w:spacing w:before="8"/>
        <w:rPr>
          <w:sz w:val="14"/>
        </w:rPr>
      </w:pPr>
    </w:p>
    <w:p>
      <w:pPr>
        <w:spacing w:before="1"/>
        <w:ind w:left="1385" w:right="0" w:firstLine="0"/>
        <w:jc w:val="left"/>
        <w:rPr>
          <w:sz w:val="18"/>
        </w:rPr>
      </w:pPr>
      <w:r>
        <w:rPr>
          <w:sz w:val="18"/>
        </w:rPr>
        <w:t>Figure 2.  Section soap upside down.</w:t>
      </w:r>
    </w:p>
    <w:p>
      <w:pPr>
        <w:pStyle w:val="BodyText"/>
        <w:rPr>
          <w:sz w:val="18"/>
        </w:rPr>
      </w:pPr>
    </w:p>
    <w:p>
      <w:pPr>
        <w:spacing w:before="0"/>
        <w:ind w:left="271" w:right="0" w:firstLine="0"/>
        <w:jc w:val="both"/>
        <w:rPr>
          <w:sz w:val="18"/>
        </w:rPr>
      </w:pPr>
      <w:r>
        <w:rPr>
          <w:color w:val="212121"/>
          <w:sz w:val="18"/>
        </w:rPr>
        <w:t>The jug on the table for filling jugs transported placed under the key  and  the  stopcock  is  opened  so  that  the  jug   is   full.  When the jug is filled, the stopcock is closed and turns the ozone generator is pulled about 8</w:t>
      </w:r>
      <w:r>
        <w:rPr>
          <w:color w:val="212121"/>
          <w:spacing w:val="-4"/>
          <w:sz w:val="18"/>
        </w:rPr>
        <w:t> </w:t>
      </w:r>
      <w:r>
        <w:rPr>
          <w:color w:val="212121"/>
          <w:sz w:val="18"/>
        </w:rPr>
        <w:t>cm.</w:t>
      </w:r>
    </w:p>
    <w:p>
      <w:pPr>
        <w:spacing w:before="0"/>
        <w:ind w:left="270" w:right="0" w:firstLine="0"/>
        <w:jc w:val="both"/>
        <w:rPr>
          <w:sz w:val="18"/>
        </w:rPr>
      </w:pPr>
      <w:r>
        <w:rPr>
          <w:color w:val="212121"/>
          <w:sz w:val="18"/>
        </w:rPr>
        <w:t>The jug back and the cap is placed take the jug to the receipt and delivery area by placing it on a twister, with a cloth excess water is cleaned outside, while the jug is rotated. </w:t>
      </w:r>
      <w:r>
        <w:rPr>
          <w:sz w:val="18"/>
        </w:rPr>
        <w:t>[5]. Figure 3.</w:t>
      </w:r>
    </w:p>
    <w:p>
      <w:pPr>
        <w:spacing w:before="77"/>
        <w:ind w:left="270" w:right="680" w:firstLine="0"/>
        <w:jc w:val="both"/>
        <w:rPr>
          <w:sz w:val="18"/>
        </w:rPr>
      </w:pPr>
      <w:r>
        <w:rPr/>
        <w:br w:type="column"/>
      </w:r>
      <w:r>
        <w:rPr>
          <w:color w:val="212121"/>
          <w:sz w:val="18"/>
        </w:rPr>
        <w:t>Rula McAtamney and Corlett (1993) </w:t>
      </w:r>
      <w:r>
        <w:rPr>
          <w:sz w:val="18"/>
        </w:rPr>
        <w:t>[6] </w:t>
      </w:r>
      <w:r>
        <w:rPr>
          <w:color w:val="212121"/>
          <w:sz w:val="18"/>
        </w:rPr>
        <w:t>present a method known as RULA (Rapid Upper Limb Assessment). This method was developed to investigate the risk factors associated with upper extremity</w:t>
      </w:r>
      <w:r>
        <w:rPr>
          <w:color w:val="212121"/>
          <w:spacing w:val="-7"/>
          <w:sz w:val="18"/>
        </w:rPr>
        <w:t> </w:t>
      </w:r>
      <w:r>
        <w:rPr>
          <w:color w:val="212121"/>
          <w:sz w:val="18"/>
        </w:rPr>
        <w:t>disorders.</w:t>
      </w:r>
    </w:p>
    <w:p>
      <w:pPr>
        <w:pStyle w:val="BodyText"/>
        <w:rPr>
          <w:sz w:val="18"/>
        </w:rPr>
      </w:pPr>
    </w:p>
    <w:p>
      <w:pPr>
        <w:pStyle w:val="ListParagraph"/>
        <w:numPr>
          <w:ilvl w:val="2"/>
          <w:numId w:val="39"/>
        </w:numPr>
        <w:tabs>
          <w:tab w:pos="677" w:val="left" w:leader="none"/>
        </w:tabs>
        <w:spacing w:line="240" w:lineRule="auto" w:before="0" w:after="0"/>
        <w:ind w:left="676" w:right="0" w:hanging="406"/>
        <w:jc w:val="both"/>
        <w:rPr>
          <w:sz w:val="18"/>
        </w:rPr>
      </w:pPr>
      <w:r>
        <w:rPr>
          <w:sz w:val="18"/>
          <w:u w:val="single"/>
        </w:rPr>
        <w:t>PLIBEL.</w:t>
      </w:r>
    </w:p>
    <w:p>
      <w:pPr>
        <w:pStyle w:val="BodyText"/>
        <w:rPr>
          <w:sz w:val="18"/>
        </w:rPr>
      </w:pPr>
    </w:p>
    <w:p>
      <w:pPr>
        <w:spacing w:before="0"/>
        <w:ind w:left="270" w:right="678" w:firstLine="0"/>
        <w:jc w:val="both"/>
        <w:rPr>
          <w:sz w:val="18"/>
        </w:rPr>
      </w:pPr>
      <w:r>
        <w:rPr>
          <w:color w:val="212121"/>
          <w:sz w:val="18"/>
        </w:rPr>
        <w:t>It is a method of risk analysis musculoskeletal injuries designed as Checklist Checklist, or you just answer yes or no with relevance in five regions of the body:</w:t>
      </w:r>
    </w:p>
    <w:p>
      <w:pPr>
        <w:pStyle w:val="BodyText"/>
        <w:rPr>
          <w:sz w:val="18"/>
        </w:rPr>
      </w:pPr>
    </w:p>
    <w:p>
      <w:pPr>
        <w:pStyle w:val="ListParagraph"/>
        <w:numPr>
          <w:ilvl w:val="1"/>
          <w:numId w:val="29"/>
        </w:numPr>
        <w:tabs>
          <w:tab w:pos="380" w:val="left" w:leader="none"/>
        </w:tabs>
        <w:spacing w:line="207" w:lineRule="exact" w:before="0" w:after="0"/>
        <w:ind w:left="270" w:right="0" w:firstLine="0"/>
        <w:jc w:val="both"/>
        <w:rPr>
          <w:color w:val="212121"/>
          <w:sz w:val="18"/>
        </w:rPr>
      </w:pPr>
      <w:r>
        <w:rPr>
          <w:color w:val="212121"/>
          <w:sz w:val="18"/>
        </w:rPr>
        <w:t>Neck Shoulders and upper</w:t>
      </w:r>
      <w:r>
        <w:rPr>
          <w:color w:val="212121"/>
          <w:spacing w:val="-2"/>
          <w:sz w:val="18"/>
        </w:rPr>
        <w:t> </w:t>
      </w:r>
      <w:r>
        <w:rPr>
          <w:color w:val="212121"/>
          <w:sz w:val="18"/>
        </w:rPr>
        <w:t>back</w:t>
      </w:r>
    </w:p>
    <w:p>
      <w:pPr>
        <w:pStyle w:val="ListParagraph"/>
        <w:numPr>
          <w:ilvl w:val="1"/>
          <w:numId w:val="29"/>
        </w:numPr>
        <w:tabs>
          <w:tab w:pos="380" w:val="left" w:leader="none"/>
        </w:tabs>
        <w:spacing w:line="207" w:lineRule="exact" w:before="0" w:after="0"/>
        <w:ind w:left="379" w:right="0" w:hanging="109"/>
        <w:jc w:val="both"/>
        <w:rPr>
          <w:color w:val="212121"/>
          <w:sz w:val="18"/>
        </w:rPr>
      </w:pPr>
      <w:r>
        <w:rPr>
          <w:color w:val="212121"/>
          <w:sz w:val="18"/>
        </w:rPr>
        <w:t>Elbows, forearms and</w:t>
      </w:r>
      <w:r>
        <w:rPr>
          <w:color w:val="212121"/>
          <w:spacing w:val="-4"/>
          <w:sz w:val="18"/>
        </w:rPr>
        <w:t> </w:t>
      </w:r>
      <w:r>
        <w:rPr>
          <w:color w:val="212121"/>
          <w:sz w:val="18"/>
        </w:rPr>
        <w:t>hands</w:t>
      </w:r>
    </w:p>
    <w:p>
      <w:pPr>
        <w:pStyle w:val="ListParagraph"/>
        <w:numPr>
          <w:ilvl w:val="1"/>
          <w:numId w:val="29"/>
        </w:numPr>
        <w:tabs>
          <w:tab w:pos="379" w:val="left" w:leader="none"/>
        </w:tabs>
        <w:spacing w:line="207" w:lineRule="exact" w:before="0" w:after="0"/>
        <w:ind w:left="378" w:right="0" w:hanging="108"/>
        <w:jc w:val="both"/>
        <w:rPr>
          <w:color w:val="212121"/>
          <w:sz w:val="18"/>
        </w:rPr>
      </w:pPr>
      <w:r>
        <w:rPr>
          <w:color w:val="212121"/>
          <w:sz w:val="18"/>
        </w:rPr>
        <w:t>Feet</w:t>
      </w:r>
    </w:p>
    <w:p>
      <w:pPr>
        <w:pStyle w:val="ListParagraph"/>
        <w:numPr>
          <w:ilvl w:val="1"/>
          <w:numId w:val="29"/>
        </w:numPr>
        <w:tabs>
          <w:tab w:pos="379" w:val="left" w:leader="none"/>
        </w:tabs>
        <w:spacing w:line="207" w:lineRule="exact" w:before="0" w:after="0"/>
        <w:ind w:left="378" w:right="0" w:hanging="108"/>
        <w:jc w:val="both"/>
        <w:rPr>
          <w:color w:val="212121"/>
          <w:sz w:val="18"/>
        </w:rPr>
      </w:pPr>
      <w:r>
        <w:rPr>
          <w:color w:val="212121"/>
          <w:sz w:val="18"/>
        </w:rPr>
        <w:t>Knees and</w:t>
      </w:r>
      <w:r>
        <w:rPr>
          <w:color w:val="212121"/>
          <w:spacing w:val="-1"/>
          <w:sz w:val="18"/>
        </w:rPr>
        <w:t> </w:t>
      </w:r>
      <w:r>
        <w:rPr>
          <w:color w:val="212121"/>
          <w:sz w:val="18"/>
        </w:rPr>
        <w:t>hips</w:t>
      </w:r>
    </w:p>
    <w:p>
      <w:pPr>
        <w:pStyle w:val="ListParagraph"/>
        <w:numPr>
          <w:ilvl w:val="1"/>
          <w:numId w:val="29"/>
        </w:numPr>
        <w:tabs>
          <w:tab w:pos="379" w:val="left" w:leader="none"/>
        </w:tabs>
        <w:spacing w:line="240" w:lineRule="auto" w:before="0" w:after="0"/>
        <w:ind w:left="378" w:right="0" w:hanging="108"/>
        <w:jc w:val="both"/>
        <w:rPr>
          <w:color w:val="212121"/>
          <w:sz w:val="18"/>
        </w:rPr>
      </w:pPr>
      <w:r>
        <w:rPr>
          <w:color w:val="212121"/>
          <w:sz w:val="18"/>
        </w:rPr>
        <w:t>Low</w:t>
      </w:r>
      <w:r>
        <w:rPr>
          <w:color w:val="212121"/>
          <w:spacing w:val="-2"/>
          <w:sz w:val="18"/>
        </w:rPr>
        <w:t> </w:t>
      </w:r>
      <w:r>
        <w:rPr>
          <w:color w:val="212121"/>
          <w:sz w:val="18"/>
        </w:rPr>
        <w:t>back.</w:t>
      </w:r>
    </w:p>
    <w:p>
      <w:pPr>
        <w:pStyle w:val="BodyText"/>
        <w:rPr>
          <w:sz w:val="18"/>
        </w:rPr>
      </w:pPr>
    </w:p>
    <w:p>
      <w:pPr>
        <w:pStyle w:val="BodyText"/>
        <w:spacing w:before="10"/>
        <w:rPr>
          <w:sz w:val="17"/>
        </w:rPr>
      </w:pPr>
    </w:p>
    <w:p>
      <w:pPr>
        <w:pStyle w:val="ListParagraph"/>
        <w:numPr>
          <w:ilvl w:val="2"/>
          <w:numId w:val="39"/>
        </w:numPr>
        <w:tabs>
          <w:tab w:pos="677" w:val="left" w:leader="none"/>
        </w:tabs>
        <w:spacing w:line="240" w:lineRule="auto" w:before="1" w:after="0"/>
        <w:ind w:left="676" w:right="0" w:hanging="406"/>
        <w:jc w:val="both"/>
        <w:rPr>
          <w:sz w:val="18"/>
        </w:rPr>
      </w:pPr>
      <w:r>
        <w:rPr>
          <w:sz w:val="18"/>
          <w:u w:val="single"/>
        </w:rPr>
        <w:t>NIOSH</w:t>
      </w:r>
    </w:p>
    <w:p>
      <w:pPr>
        <w:pStyle w:val="BodyText"/>
        <w:rPr>
          <w:sz w:val="18"/>
        </w:rPr>
      </w:pPr>
    </w:p>
    <w:p>
      <w:pPr>
        <w:spacing w:before="0"/>
        <w:ind w:left="270" w:right="668" w:firstLine="0"/>
        <w:jc w:val="left"/>
        <w:rPr>
          <w:sz w:val="18"/>
        </w:rPr>
      </w:pPr>
      <w:r>
        <w:rPr>
          <w:color w:val="212121"/>
          <w:sz w:val="18"/>
        </w:rPr>
        <w:t>The back injuries attributed to manual lifting activities object remains one of the main interests of preventive.</w:t>
      </w:r>
    </w:p>
    <w:p>
      <w:pPr>
        <w:pStyle w:val="BodyText"/>
        <w:rPr>
          <w:sz w:val="18"/>
        </w:rPr>
      </w:pPr>
    </w:p>
    <w:p>
      <w:pPr>
        <w:pStyle w:val="ListParagraph"/>
        <w:numPr>
          <w:ilvl w:val="2"/>
          <w:numId w:val="39"/>
        </w:numPr>
        <w:tabs>
          <w:tab w:pos="677" w:val="left" w:leader="none"/>
        </w:tabs>
        <w:spacing w:line="240" w:lineRule="auto" w:before="0" w:after="0"/>
        <w:ind w:left="676" w:right="0" w:hanging="406"/>
        <w:jc w:val="both"/>
        <w:rPr>
          <w:sz w:val="18"/>
        </w:rPr>
      </w:pPr>
      <w:r>
        <w:rPr>
          <w:sz w:val="18"/>
          <w:u w:val="single"/>
        </w:rPr>
        <w:t>ERGOTEC.</w:t>
      </w:r>
    </w:p>
    <w:p>
      <w:pPr>
        <w:pStyle w:val="BodyText"/>
        <w:rPr>
          <w:sz w:val="18"/>
        </w:rPr>
      </w:pPr>
    </w:p>
    <w:p>
      <w:pPr>
        <w:spacing w:before="0"/>
        <w:ind w:left="270" w:right="678" w:firstLine="0"/>
        <w:jc w:val="both"/>
        <w:rPr>
          <w:sz w:val="18"/>
        </w:rPr>
      </w:pPr>
      <w:r>
        <w:rPr>
          <w:color w:val="212121"/>
          <w:sz w:val="18"/>
        </w:rPr>
        <w:t>Occupational medicine and ergonomics. Despite control efforts, including programs for workers and methods of work, back injuries remain a significant percentage of human suffering and economic costs.</w:t>
      </w:r>
    </w:p>
    <w:p>
      <w:pPr>
        <w:pStyle w:val="BodyText"/>
        <w:rPr>
          <w:sz w:val="18"/>
        </w:rPr>
      </w:pPr>
    </w:p>
    <w:p>
      <w:pPr>
        <w:pStyle w:val="ListParagraph"/>
        <w:numPr>
          <w:ilvl w:val="2"/>
          <w:numId w:val="39"/>
        </w:numPr>
        <w:tabs>
          <w:tab w:pos="677" w:val="left" w:leader="none"/>
        </w:tabs>
        <w:spacing w:line="240" w:lineRule="auto" w:before="0" w:after="0"/>
        <w:ind w:left="676" w:right="0" w:hanging="406"/>
        <w:jc w:val="both"/>
        <w:rPr>
          <w:sz w:val="18"/>
        </w:rPr>
      </w:pPr>
      <w:r>
        <w:rPr>
          <w:sz w:val="18"/>
          <w:u w:val="single"/>
        </w:rPr>
        <w:t>Compression force disc    l5 / s1</w:t>
      </w:r>
      <w:r>
        <w:rPr>
          <w:spacing w:val="-27"/>
          <w:sz w:val="18"/>
          <w:u w:val="single"/>
        </w:rPr>
        <w:t> </w:t>
      </w:r>
      <w:r>
        <w:rPr>
          <w:sz w:val="18"/>
          <w:u w:val="single"/>
        </w:rPr>
        <w:t>(fcd).</w:t>
      </w:r>
    </w:p>
    <w:p>
      <w:pPr>
        <w:spacing w:after="0" w:line="240" w:lineRule="auto"/>
        <w:jc w:val="both"/>
        <w:rPr>
          <w:sz w:val="18"/>
        </w:rPr>
        <w:sectPr>
          <w:type w:val="continuous"/>
          <w:pgSz w:w="12240" w:h="15840"/>
          <w:pgMar w:top="1500" w:bottom="280" w:left="580" w:right="220"/>
          <w:cols w:num="2" w:equalWidth="0">
            <w:col w:w="5162" w:space="436"/>
            <w:col w:w="5842"/>
          </w:cols>
        </w:sectPr>
      </w:pPr>
    </w:p>
    <w:p>
      <w:pPr>
        <w:pStyle w:val="BodyText"/>
        <w:spacing w:before="3"/>
        <w:rPr>
          <w:sz w:val="11"/>
        </w:rPr>
      </w:pPr>
    </w:p>
    <w:p>
      <w:pPr>
        <w:tabs>
          <w:tab w:pos="6849" w:val="left" w:leader="none"/>
          <w:tab w:pos="7440" w:val="left" w:leader="none"/>
          <w:tab w:pos="8432" w:val="left" w:leader="none"/>
          <w:tab w:pos="9082" w:val="left" w:leader="none"/>
          <w:tab w:pos="9853" w:val="left" w:leader="none"/>
          <w:tab w:pos="10513" w:val="left" w:leader="none"/>
        </w:tabs>
        <w:spacing w:before="77"/>
        <w:ind w:left="5868" w:right="677" w:firstLine="0"/>
        <w:jc w:val="both"/>
        <w:rPr>
          <w:sz w:val="18"/>
        </w:rPr>
      </w:pPr>
      <w:r>
        <w:rPr/>
        <w:pict>
          <v:group style="position:absolute;margin-left:42.540001pt;margin-top:3.132349pt;width:243.5pt;height:147.15pt;mso-position-horizontal-relative:page;mso-position-vertical-relative:paragraph;z-index:4000" coordorigin="851,63" coordsize="4870,2943">
            <v:shape style="position:absolute;left:851;top:63;width:4870;height:2942" type="#_x0000_t75" stroked="false">
              <v:imagedata r:id="rId118" o:title=""/>
            </v:shape>
            <v:shape style="position:absolute;left:3965;top:189;width:916;height:887" coordorigin="3965,189" coordsize="916,887" path="m4423,189l4349,194,4278,211,4213,238,4152,274,4099,318,4053,370,4016,428,3988,492,3971,560,3965,633,3971,705,3988,773,4016,836,4053,894,4099,946,4152,990,4213,1026,4278,1053,4349,1070,4423,1075,4498,1070,4568,1053,4634,1026,4694,990,4747,946,4792,894,4829,836,4857,773,4874,705,4880,633,4874,560,4857,492,4829,428,4792,370,4747,318,4694,274,4634,238,4568,211,4498,194,4423,189xe" filled="true" fillcolor="#7e7e7e" stroked="false">
              <v:path arrowok="t"/>
              <v:fill type="solid"/>
            </v:shape>
            <w10:wrap type="none"/>
          </v:group>
        </w:pict>
      </w:r>
      <w:r>
        <w:rPr>
          <w:color w:val="212121"/>
          <w:sz w:val="18"/>
        </w:rPr>
        <w:t>The biomechanical model presented by Chaffin and Anderson (1984) may be used only to determine the compressive strength of disc L5 / S1 during a lifting task, but does not predict the force during</w:t>
        <w:tab/>
        <w:t>a</w:t>
        <w:tab/>
        <w:t>survey</w:t>
        <w:tab/>
        <w:t>to</w:t>
        <w:tab/>
        <w:t>pan</w:t>
        <w:tab/>
        <w:t>or</w:t>
        <w:tab/>
        <w:t>tilt. Metabolic energy</w:t>
      </w:r>
      <w:r>
        <w:rPr>
          <w:color w:val="212121"/>
          <w:spacing w:val="-5"/>
          <w:sz w:val="18"/>
        </w:rPr>
        <w:t> </w:t>
      </w:r>
      <w:r>
        <w:rPr>
          <w:color w:val="212121"/>
          <w:sz w:val="18"/>
        </w:rPr>
        <w:t>expenditure.</w:t>
      </w:r>
    </w:p>
    <w:p>
      <w:pPr>
        <w:pStyle w:val="BodyText"/>
        <w:rPr>
          <w:sz w:val="18"/>
        </w:rPr>
      </w:pPr>
    </w:p>
    <w:p>
      <w:pPr>
        <w:spacing w:before="0"/>
        <w:ind w:left="5868" w:right="676" w:firstLine="0"/>
        <w:jc w:val="both"/>
        <w:rPr>
          <w:sz w:val="18"/>
        </w:rPr>
      </w:pPr>
      <w:r>
        <w:rPr>
          <w:color w:val="212121"/>
          <w:sz w:val="18"/>
        </w:rPr>
        <w:t>When physical activity increases, the muscular energy demand of this chemical also increases and the body responds by increasing cardiac and breathing rate, muscle when requirements are not met (the metabolic energy expenditure exceeds the body's ability to produce energy: this Aerobic capacity called Maximum Power), physical fatigue occurs and can develop a stroke. Physical fatigue compromises the accuracy, productivity and worker safety. Software: Metrixx, Which Applies the technology of virtual reality for the ergonomic evaluation of different workstations and esta can</w:t>
      </w:r>
    </w:p>
    <w:p>
      <w:pPr>
        <w:spacing w:after="0"/>
        <w:jc w:val="both"/>
        <w:rPr>
          <w:sz w:val="18"/>
        </w:rPr>
        <w:sectPr>
          <w:type w:val="continuous"/>
          <w:pgSz w:w="12240" w:h="15840"/>
          <w:pgMar w:top="1500" w:bottom="280" w:left="580" w:right="220"/>
        </w:sectPr>
      </w:pPr>
    </w:p>
    <w:p>
      <w:pPr>
        <w:pStyle w:val="BodyText"/>
        <w:rPr>
          <w:sz w:val="11"/>
        </w:rPr>
      </w:pPr>
    </w:p>
    <w:p>
      <w:pPr>
        <w:spacing w:after="0"/>
        <w:rPr>
          <w:sz w:val="11"/>
        </w:rPr>
        <w:sectPr>
          <w:pgSz w:w="12240" w:h="15840"/>
          <w:pgMar w:header="545" w:footer="852" w:top="1060" w:bottom="1040" w:left="580" w:right="220"/>
        </w:sectPr>
      </w:pPr>
    </w:p>
    <w:p>
      <w:pPr>
        <w:spacing w:before="77"/>
        <w:ind w:left="270" w:right="76" w:firstLine="0"/>
        <w:jc w:val="both"/>
        <w:rPr>
          <w:sz w:val="18"/>
        </w:rPr>
      </w:pPr>
      <w:r>
        <w:rPr>
          <w:color w:val="212121"/>
          <w:sz w:val="18"/>
        </w:rPr>
        <w:t>be Assessed by different risk of cumulative trauma occurrence of damage or fatigue. </w:t>
      </w:r>
      <w:r>
        <w:rPr>
          <w:sz w:val="18"/>
        </w:rPr>
        <w:t>[7]</w:t>
      </w:r>
    </w:p>
    <w:p>
      <w:pPr>
        <w:pStyle w:val="BodyText"/>
        <w:spacing w:before="3"/>
        <w:rPr>
          <w:sz w:val="18"/>
        </w:rPr>
      </w:pPr>
    </w:p>
    <w:p>
      <w:pPr>
        <w:pStyle w:val="ListParagraph"/>
        <w:numPr>
          <w:ilvl w:val="0"/>
          <w:numId w:val="37"/>
        </w:numPr>
        <w:tabs>
          <w:tab w:pos="452" w:val="left" w:leader="none"/>
        </w:tabs>
        <w:spacing w:line="240" w:lineRule="auto" w:before="0" w:after="0"/>
        <w:ind w:left="451" w:right="0" w:hanging="181"/>
        <w:jc w:val="both"/>
        <w:rPr>
          <w:b/>
          <w:sz w:val="18"/>
        </w:rPr>
      </w:pPr>
      <w:r>
        <w:rPr>
          <w:b/>
          <w:sz w:val="18"/>
        </w:rPr>
        <w:t>RESULTS.</w:t>
      </w:r>
    </w:p>
    <w:p>
      <w:pPr>
        <w:pStyle w:val="BodyText"/>
        <w:spacing w:before="7"/>
        <w:rPr>
          <w:b/>
          <w:sz w:val="17"/>
        </w:rPr>
      </w:pPr>
    </w:p>
    <w:p>
      <w:pPr>
        <w:spacing w:before="1"/>
        <w:ind w:left="270" w:right="77" w:firstLine="0"/>
        <w:jc w:val="both"/>
        <w:rPr>
          <w:sz w:val="18"/>
        </w:rPr>
      </w:pPr>
      <w:r>
        <w:rPr>
          <w:sz w:val="18"/>
        </w:rPr>
        <w:t>After performing the analysis through the DTA'S Ergonomic methods that can originate from the workstations belonging to the process of development and distribution of purified water that came through the use of Metrixx Vr software. The results were Figure 4.</w:t>
      </w:r>
    </w:p>
    <w:p>
      <w:pPr>
        <w:pStyle w:val="BodyText"/>
        <w:rPr>
          <w:sz w:val="15"/>
        </w:rPr>
      </w:pPr>
      <w:r>
        <w:rPr/>
        <w:drawing>
          <wp:anchor distT="0" distB="0" distL="0" distR="0" allowOverlap="1" layoutInCell="1" locked="0" behindDoc="0" simplePos="0" relativeHeight="4024">
            <wp:simplePos x="0" y="0"/>
            <wp:positionH relativeFrom="page">
              <wp:posOffset>540258</wp:posOffset>
            </wp:positionH>
            <wp:positionV relativeFrom="paragraph">
              <wp:posOffset>134534</wp:posOffset>
            </wp:positionV>
            <wp:extent cx="3144107" cy="2774346"/>
            <wp:effectExtent l="0" t="0" r="0" b="0"/>
            <wp:wrapTopAndBottom/>
            <wp:docPr id="79" name="image50.jpeg" descr=""/>
            <wp:cNvGraphicFramePr>
              <a:graphicFrameLocks noChangeAspect="1"/>
            </wp:cNvGraphicFramePr>
            <a:graphic>
              <a:graphicData uri="http://schemas.openxmlformats.org/drawingml/2006/picture">
                <pic:pic>
                  <pic:nvPicPr>
                    <pic:cNvPr id="80" name="image50.jpeg"/>
                    <pic:cNvPicPr/>
                  </pic:nvPicPr>
                  <pic:blipFill>
                    <a:blip r:embed="rId119" cstate="print"/>
                    <a:stretch>
                      <a:fillRect/>
                    </a:stretch>
                  </pic:blipFill>
                  <pic:spPr>
                    <a:xfrm>
                      <a:off x="0" y="0"/>
                      <a:ext cx="3144107" cy="2774346"/>
                    </a:xfrm>
                    <a:prstGeom prst="rect">
                      <a:avLst/>
                    </a:prstGeom>
                  </pic:spPr>
                </pic:pic>
              </a:graphicData>
            </a:graphic>
          </wp:anchor>
        </w:drawing>
      </w:r>
    </w:p>
    <w:p>
      <w:pPr>
        <w:pStyle w:val="BodyText"/>
        <w:spacing w:before="4"/>
        <w:rPr>
          <w:sz w:val="16"/>
        </w:rPr>
      </w:pPr>
    </w:p>
    <w:p>
      <w:pPr>
        <w:spacing w:before="0"/>
        <w:ind w:left="1366" w:right="1173" w:firstLine="0"/>
        <w:jc w:val="center"/>
        <w:rPr>
          <w:sz w:val="18"/>
        </w:rPr>
      </w:pPr>
      <w:r>
        <w:rPr>
          <w:sz w:val="18"/>
        </w:rPr>
        <w:t>Figure 4.  Section soap upside down.</w:t>
      </w:r>
    </w:p>
    <w:p>
      <w:pPr>
        <w:pStyle w:val="BodyText"/>
        <w:rPr>
          <w:sz w:val="18"/>
        </w:rPr>
      </w:pPr>
    </w:p>
    <w:p>
      <w:pPr>
        <w:pStyle w:val="BodyText"/>
        <w:rPr>
          <w:sz w:val="18"/>
        </w:rPr>
      </w:pPr>
    </w:p>
    <w:p>
      <w:pPr>
        <w:pStyle w:val="BodyText"/>
        <w:spacing w:before="3"/>
        <w:rPr>
          <w:sz w:val="18"/>
        </w:rPr>
      </w:pPr>
    </w:p>
    <w:p>
      <w:pPr>
        <w:spacing w:line="205" w:lineRule="exact" w:before="0"/>
        <w:ind w:left="270" w:right="0" w:firstLine="0"/>
        <w:jc w:val="both"/>
        <w:rPr>
          <w:b/>
          <w:sz w:val="18"/>
        </w:rPr>
      </w:pPr>
      <w:r>
        <w:rPr>
          <w:b/>
          <w:sz w:val="18"/>
        </w:rPr>
        <w:t>5- CONCLUSIONS.</w:t>
      </w:r>
    </w:p>
    <w:p>
      <w:pPr>
        <w:spacing w:line="240" w:lineRule="auto" w:before="0"/>
        <w:ind w:left="270" w:right="75" w:firstLine="0"/>
        <w:jc w:val="both"/>
        <w:rPr>
          <w:sz w:val="18"/>
        </w:rPr>
      </w:pPr>
      <w:r>
        <w:rPr>
          <w:color w:val="212121"/>
          <w:sz w:val="18"/>
        </w:rPr>
        <w:t>In evaluating our procedure through Ergonomic methods, the risk factors identified in the development and distribution of purified water, based on the results changes recommended in the process of production and distribution of purified water that meets physical needs of working, i.e. it ergonomic. Here are some measures are suggested to provide opportunities for improvement in the process of production and distribution of purified water through an ergonomic assessment.</w:t>
      </w:r>
    </w:p>
    <w:p>
      <w:pPr>
        <w:spacing w:before="0"/>
        <w:ind w:left="270" w:right="76" w:firstLine="0"/>
        <w:jc w:val="both"/>
        <w:rPr>
          <w:sz w:val="18"/>
        </w:rPr>
      </w:pPr>
      <w:r>
        <w:rPr>
          <w:color w:val="212121"/>
          <w:sz w:val="18"/>
        </w:rPr>
        <w:t>More effort is detected to load because the tables filling and delivery, have a height of greater height range of the dependent, so it is recommended ergonomically adapt those tables or adjust the floor level with a platform to avoid that unnecessary lifting.</w:t>
      </w:r>
    </w:p>
    <w:p>
      <w:pPr>
        <w:spacing w:before="0"/>
        <w:ind w:left="270" w:right="76" w:firstLine="0"/>
        <w:jc w:val="both"/>
        <w:rPr>
          <w:sz w:val="18"/>
        </w:rPr>
      </w:pPr>
      <w:r>
        <w:rPr>
          <w:color w:val="212121"/>
          <w:sz w:val="18"/>
        </w:rPr>
        <w:t>Adjust staffing requirements in the recruitment of staff taking into account the physical characteristics (age, weight, gender, and height) as study conducted it was noted that the person studied had increased wear due to its low weight, gender and short stature.</w:t>
      </w:r>
    </w:p>
    <w:p>
      <w:pPr>
        <w:spacing w:line="206" w:lineRule="exact" w:before="0"/>
        <w:ind w:left="270" w:right="0" w:firstLine="0"/>
        <w:jc w:val="both"/>
        <w:rPr>
          <w:sz w:val="18"/>
        </w:rPr>
      </w:pPr>
      <w:r>
        <w:rPr>
          <w:color w:val="212121"/>
          <w:sz w:val="18"/>
        </w:rPr>
        <w:t>Based   on   DTA's   identified   the   following   recommendations:</w:t>
      </w:r>
    </w:p>
    <w:p>
      <w:pPr>
        <w:pStyle w:val="ListParagraph"/>
        <w:numPr>
          <w:ilvl w:val="1"/>
          <w:numId w:val="29"/>
        </w:numPr>
        <w:tabs>
          <w:tab w:pos="464" w:val="left" w:leader="none"/>
        </w:tabs>
        <w:spacing w:line="207" w:lineRule="exact" w:before="0" w:after="0"/>
        <w:ind w:left="463" w:right="0" w:hanging="193"/>
        <w:jc w:val="both"/>
        <w:rPr>
          <w:color w:val="212121"/>
          <w:sz w:val="18"/>
        </w:rPr>
      </w:pPr>
      <w:r>
        <w:rPr>
          <w:color w:val="212121"/>
          <w:sz w:val="18"/>
        </w:rPr>
        <w:t>Maintain   a   good   posture   when   sitting   or   standing</w:t>
      </w:r>
      <w:r>
        <w:rPr>
          <w:color w:val="212121"/>
          <w:spacing w:val="33"/>
          <w:sz w:val="18"/>
        </w:rPr>
        <w:t> </w:t>
      </w:r>
      <w:r>
        <w:rPr>
          <w:color w:val="212121"/>
          <w:sz w:val="18"/>
        </w:rPr>
        <w:t>being.</w:t>
      </w:r>
    </w:p>
    <w:p>
      <w:pPr>
        <w:pStyle w:val="ListParagraph"/>
        <w:numPr>
          <w:ilvl w:val="1"/>
          <w:numId w:val="29"/>
        </w:numPr>
        <w:tabs>
          <w:tab w:pos="460" w:val="left" w:leader="none"/>
        </w:tabs>
        <w:spacing w:line="240" w:lineRule="auto" w:before="0" w:after="0"/>
        <w:ind w:left="270" w:right="77" w:firstLine="0"/>
        <w:jc w:val="both"/>
        <w:rPr>
          <w:color w:val="212121"/>
          <w:sz w:val="18"/>
        </w:rPr>
      </w:pPr>
      <w:r>
        <w:rPr>
          <w:color w:val="212121"/>
          <w:sz w:val="18"/>
        </w:rPr>
        <w:t>Exercise regularly (with proper stretching exercises before starting).</w:t>
      </w:r>
    </w:p>
    <w:p>
      <w:pPr>
        <w:pStyle w:val="ListParagraph"/>
        <w:numPr>
          <w:ilvl w:val="1"/>
          <w:numId w:val="29"/>
        </w:numPr>
        <w:tabs>
          <w:tab w:pos="379" w:val="left" w:leader="none"/>
        </w:tabs>
        <w:spacing w:line="206" w:lineRule="exact" w:before="0" w:after="0"/>
        <w:ind w:left="378" w:right="0" w:hanging="108"/>
        <w:jc w:val="both"/>
        <w:rPr>
          <w:color w:val="212121"/>
          <w:sz w:val="18"/>
        </w:rPr>
      </w:pPr>
      <w:r>
        <w:rPr>
          <w:color w:val="212121"/>
          <w:sz w:val="18"/>
        </w:rPr>
        <w:t>Maintain a healthy</w:t>
      </w:r>
      <w:r>
        <w:rPr>
          <w:color w:val="212121"/>
          <w:spacing w:val="-8"/>
          <w:sz w:val="18"/>
        </w:rPr>
        <w:t> </w:t>
      </w:r>
      <w:r>
        <w:rPr>
          <w:color w:val="212121"/>
          <w:sz w:val="18"/>
        </w:rPr>
        <w:t>weight.</w:t>
      </w:r>
    </w:p>
    <w:p>
      <w:pPr>
        <w:pStyle w:val="ListParagraph"/>
        <w:numPr>
          <w:ilvl w:val="1"/>
          <w:numId w:val="29"/>
        </w:numPr>
        <w:tabs>
          <w:tab w:pos="452" w:val="left" w:leader="none"/>
        </w:tabs>
        <w:spacing w:line="207" w:lineRule="exact" w:before="0" w:after="0"/>
        <w:ind w:left="451" w:right="0" w:hanging="181"/>
        <w:jc w:val="both"/>
        <w:rPr>
          <w:color w:val="212121"/>
          <w:sz w:val="18"/>
        </w:rPr>
      </w:pPr>
      <w:r>
        <w:rPr>
          <w:color w:val="212121"/>
          <w:sz w:val="18"/>
        </w:rPr>
        <w:t>Reduce  emotional  stress  which  may   cause  muscle   </w:t>
      </w:r>
      <w:r>
        <w:rPr>
          <w:color w:val="212121"/>
          <w:spacing w:val="39"/>
          <w:sz w:val="18"/>
        </w:rPr>
        <w:t> </w:t>
      </w:r>
      <w:r>
        <w:rPr>
          <w:color w:val="212121"/>
          <w:sz w:val="18"/>
        </w:rPr>
        <w:t>tension.</w:t>
      </w:r>
    </w:p>
    <w:p>
      <w:pPr>
        <w:pStyle w:val="ListParagraph"/>
        <w:numPr>
          <w:ilvl w:val="1"/>
          <w:numId w:val="29"/>
        </w:numPr>
        <w:tabs>
          <w:tab w:pos="416" w:val="left" w:leader="none"/>
        </w:tabs>
        <w:spacing w:line="240" w:lineRule="auto" w:before="0" w:after="0"/>
        <w:ind w:left="270" w:right="74" w:firstLine="0"/>
        <w:jc w:val="both"/>
        <w:rPr>
          <w:color w:val="212121"/>
          <w:sz w:val="18"/>
        </w:rPr>
      </w:pPr>
      <w:r>
        <w:rPr>
          <w:color w:val="212121"/>
          <w:sz w:val="18"/>
        </w:rPr>
        <w:t>Use daily safety equipment and hygiene requirements (lumbar belts, safety shoes, cap, surgical mask and apron), this in order to safeguard the physical integrity of the employee and the hygiene of the final product.</w:t>
      </w:r>
      <w:r>
        <w:rPr>
          <w:color w:val="212121"/>
          <w:spacing w:val="-11"/>
          <w:sz w:val="18"/>
        </w:rPr>
        <w:t> </w:t>
      </w:r>
      <w:r>
        <w:rPr>
          <w:sz w:val="18"/>
        </w:rPr>
        <w:t>[8]</w:t>
      </w:r>
    </w:p>
    <w:p>
      <w:pPr>
        <w:spacing w:before="80"/>
        <w:ind w:left="270" w:right="0" w:firstLine="0"/>
        <w:jc w:val="both"/>
        <w:rPr>
          <w:b/>
          <w:sz w:val="18"/>
        </w:rPr>
      </w:pPr>
      <w:r>
        <w:rPr/>
        <w:br w:type="column"/>
      </w:r>
      <w:r>
        <w:rPr>
          <w:b/>
          <w:color w:val="233F5E"/>
          <w:sz w:val="18"/>
        </w:rPr>
        <w:t>REFERENCES</w:t>
      </w:r>
    </w:p>
    <w:p>
      <w:pPr>
        <w:pStyle w:val="BodyText"/>
        <w:spacing w:before="7"/>
        <w:rPr>
          <w:b/>
          <w:sz w:val="17"/>
        </w:rPr>
      </w:pPr>
    </w:p>
    <w:p>
      <w:pPr>
        <w:spacing w:before="1"/>
        <w:ind w:left="270" w:right="679" w:firstLine="44"/>
        <w:jc w:val="both"/>
        <w:rPr>
          <w:sz w:val="18"/>
        </w:rPr>
      </w:pPr>
      <w:r>
        <w:rPr>
          <w:sz w:val="18"/>
        </w:rPr>
        <w:t>[1] Oborne David Ergonomía en acción: la adaptación del medio de trabajo al hombre [Libro]. - México : TRILLAS,</w:t>
      </w:r>
      <w:r>
        <w:rPr>
          <w:spacing w:val="-10"/>
          <w:sz w:val="18"/>
        </w:rPr>
        <w:t> </w:t>
      </w:r>
      <w:r>
        <w:rPr>
          <w:sz w:val="18"/>
        </w:rPr>
        <w:t>2005.</w:t>
      </w:r>
    </w:p>
    <w:p>
      <w:pPr>
        <w:spacing w:before="0"/>
        <w:ind w:left="270" w:right="679" w:firstLine="0"/>
        <w:jc w:val="both"/>
        <w:rPr>
          <w:sz w:val="18"/>
        </w:rPr>
      </w:pPr>
      <w:r>
        <w:rPr>
          <w:sz w:val="18"/>
        </w:rPr>
        <w:t>[2] Cañas José Ergonomía en los sistemas de trabajo. - Granada : UGT, 2011. - Vol. I.</w:t>
      </w:r>
    </w:p>
    <w:p>
      <w:pPr>
        <w:spacing w:before="0"/>
        <w:ind w:left="270" w:right="678" w:firstLine="0"/>
        <w:jc w:val="both"/>
        <w:rPr>
          <w:sz w:val="18"/>
        </w:rPr>
      </w:pPr>
      <w:r>
        <w:rPr>
          <w:sz w:val="18"/>
        </w:rPr>
        <w:t>[3] Ramirez Cesar Ergonomía y Productividad]. - México : LIMUSA, 2009.</w:t>
      </w:r>
    </w:p>
    <w:p>
      <w:pPr>
        <w:spacing w:before="0"/>
        <w:ind w:left="270" w:right="679" w:firstLine="0"/>
        <w:jc w:val="both"/>
        <w:rPr>
          <w:sz w:val="18"/>
        </w:rPr>
      </w:pPr>
      <w:r>
        <w:rPr>
          <w:sz w:val="18"/>
        </w:rPr>
        <w:t>[4] Meléndez Campos, R, (2013)IPN. Sistema mecánico y neumático para el lavado, llenado y sellado de garrafones de agua de 20 litros.</w:t>
      </w:r>
    </w:p>
    <w:p>
      <w:pPr>
        <w:spacing w:before="0"/>
        <w:ind w:left="270" w:right="676" w:firstLine="0"/>
        <w:jc w:val="both"/>
        <w:rPr>
          <w:sz w:val="18"/>
        </w:rPr>
      </w:pPr>
      <w:r>
        <w:rPr>
          <w:sz w:val="18"/>
        </w:rPr>
        <w:t>[5] Mora Caudrad, S. (2011). Seguridad e higiene industrial para la empresa HOLY WATER</w:t>
      </w:r>
    </w:p>
    <w:p>
      <w:pPr>
        <w:spacing w:before="0"/>
        <w:ind w:left="270" w:right="678" w:firstLine="0"/>
        <w:jc w:val="both"/>
        <w:rPr>
          <w:sz w:val="18"/>
        </w:rPr>
      </w:pPr>
      <w:r>
        <w:rPr>
          <w:sz w:val="18"/>
        </w:rPr>
        <w:t>[6] Saavedra Francisco Javier, Hernández Carmen y Mascato Adrian Maestro Saavedra, Francisco Javier (1). - Coruña, España : Fisterra, 2009. - I : Vol. I.</w:t>
      </w:r>
    </w:p>
    <w:p>
      <w:pPr>
        <w:spacing w:before="0"/>
        <w:ind w:left="270" w:right="680" w:firstLine="0"/>
        <w:jc w:val="both"/>
        <w:rPr>
          <w:sz w:val="18"/>
        </w:rPr>
      </w:pPr>
      <w:r>
        <w:rPr>
          <w:sz w:val="18"/>
        </w:rPr>
        <w:t>[7] Melo José Luis Ergonomía práctica - Granada, España :  Mapfre,</w:t>
      </w:r>
      <w:r>
        <w:rPr>
          <w:spacing w:val="-11"/>
          <w:sz w:val="18"/>
        </w:rPr>
        <w:t> </w:t>
      </w:r>
      <w:r>
        <w:rPr>
          <w:sz w:val="18"/>
        </w:rPr>
        <w:t>2009.</w:t>
      </w:r>
    </w:p>
    <w:p>
      <w:pPr>
        <w:spacing w:line="206" w:lineRule="exact" w:before="0"/>
        <w:ind w:left="270" w:right="0" w:firstLine="0"/>
        <w:jc w:val="both"/>
        <w:rPr>
          <w:sz w:val="18"/>
        </w:rPr>
      </w:pPr>
      <w:r>
        <w:rPr>
          <w:sz w:val="18"/>
        </w:rPr>
        <w:t>[8] Mondelo Pedro R, Torada Enrique Gregori y Barrau  Bombardó</w:t>
      </w:r>
    </w:p>
    <w:p>
      <w:pPr>
        <w:spacing w:before="0"/>
        <w:ind w:left="270" w:right="0" w:firstLine="0"/>
        <w:jc w:val="both"/>
        <w:rPr>
          <w:sz w:val="18"/>
        </w:rPr>
      </w:pPr>
      <w:r>
        <w:rPr>
          <w:sz w:val="18"/>
        </w:rPr>
        <w:t>- Cataluña, España. : UPC, 2005.</w:t>
      </w:r>
    </w:p>
    <w:p>
      <w:pPr>
        <w:pStyle w:val="BodyText"/>
        <w:rPr>
          <w:sz w:val="18"/>
        </w:rPr>
      </w:pPr>
    </w:p>
    <w:p>
      <w:pPr>
        <w:pStyle w:val="BodyText"/>
        <w:rPr>
          <w:sz w:val="18"/>
        </w:rPr>
      </w:pPr>
    </w:p>
    <w:p>
      <w:pPr>
        <w:pStyle w:val="BodyText"/>
        <w:rPr>
          <w:sz w:val="18"/>
        </w:rPr>
      </w:pPr>
    </w:p>
    <w:p>
      <w:pPr>
        <w:pStyle w:val="BodyText"/>
        <w:spacing w:before="11"/>
        <w:rPr>
          <w:sz w:val="17"/>
        </w:rPr>
      </w:pPr>
    </w:p>
    <w:p>
      <w:pPr>
        <w:spacing w:before="0"/>
        <w:ind w:left="270" w:right="677" w:firstLine="0"/>
        <w:jc w:val="both"/>
        <w:rPr>
          <w:sz w:val="18"/>
        </w:rPr>
      </w:pPr>
      <w:r>
        <w:rPr>
          <w:b/>
          <w:sz w:val="18"/>
        </w:rPr>
        <w:t>Martínez González Erik Isai</w:t>
      </w:r>
      <w:r>
        <w:rPr>
          <w:sz w:val="18"/>
        </w:rPr>
        <w:t>: Industrial Engineering at the Polytechnic University of the Valley of Mexico.</w:t>
      </w:r>
    </w:p>
    <w:p>
      <w:pPr>
        <w:pStyle w:val="BodyText"/>
        <w:rPr>
          <w:sz w:val="18"/>
        </w:rPr>
      </w:pPr>
    </w:p>
    <w:p>
      <w:pPr>
        <w:spacing w:before="0"/>
        <w:ind w:left="270" w:right="679" w:firstLine="0"/>
        <w:jc w:val="both"/>
        <w:rPr>
          <w:sz w:val="18"/>
        </w:rPr>
      </w:pPr>
      <w:r>
        <w:rPr>
          <w:b/>
          <w:sz w:val="18"/>
        </w:rPr>
        <w:t>Pompa Sosa Ana Laura</w:t>
      </w:r>
      <w:r>
        <w:rPr>
          <w:sz w:val="18"/>
        </w:rPr>
        <w:t>: Students Plan Industrial Engineering at the Polytechnic University of the Valley of Mexico.</w:t>
      </w:r>
    </w:p>
    <w:p>
      <w:pPr>
        <w:pStyle w:val="BodyText"/>
        <w:rPr>
          <w:sz w:val="18"/>
        </w:rPr>
      </w:pPr>
    </w:p>
    <w:p>
      <w:pPr>
        <w:spacing w:before="0"/>
        <w:ind w:left="270" w:right="677" w:firstLine="0"/>
        <w:jc w:val="both"/>
        <w:rPr>
          <w:sz w:val="18"/>
        </w:rPr>
      </w:pPr>
      <w:r>
        <w:rPr>
          <w:b/>
          <w:sz w:val="18"/>
        </w:rPr>
        <w:t>Raquel Muñoz Hernández.</w:t>
      </w:r>
      <w:r>
        <w:rPr>
          <w:sz w:val="18"/>
        </w:rPr>
        <w:t>: Industrial Engineer and Master of Science from the Metropolitan Autonomous University, PhD in Organizational Development from the University of Mexico City. PTC of the Division of Industrial Engineering and has been a speaker at national and international conferences.</w:t>
      </w:r>
    </w:p>
    <w:p>
      <w:pPr>
        <w:spacing w:after="0"/>
        <w:jc w:val="both"/>
        <w:rPr>
          <w:sz w:val="18"/>
        </w:rPr>
        <w:sectPr>
          <w:type w:val="continuous"/>
          <w:pgSz w:w="12240" w:h="15840"/>
          <w:pgMar w:top="1500" w:bottom="280" w:left="580" w:right="220"/>
          <w:cols w:num="2" w:equalWidth="0">
            <w:col w:w="5240" w:space="358"/>
            <w:col w:w="5842"/>
          </w:cols>
        </w:sectPr>
      </w:pPr>
    </w:p>
    <w:p>
      <w:pPr>
        <w:pStyle w:val="BodyText"/>
        <w:rPr>
          <w:sz w:val="11"/>
        </w:rPr>
      </w:pPr>
    </w:p>
    <w:p>
      <w:pPr>
        <w:spacing w:after="0"/>
        <w:rPr>
          <w:sz w:val="11"/>
        </w:rPr>
        <w:sectPr>
          <w:pgSz w:w="12240" w:h="15840"/>
          <w:pgMar w:header="545" w:footer="852" w:top="1060" w:bottom="1040" w:left="580" w:right="220"/>
        </w:sectPr>
      </w:pPr>
    </w:p>
    <w:p>
      <w:pPr>
        <w:pStyle w:val="BodyText"/>
        <w:spacing w:before="11"/>
        <w:rPr>
          <w:sz w:val="24"/>
        </w:rPr>
      </w:pPr>
    </w:p>
    <w:p>
      <w:pPr>
        <w:pStyle w:val="Heading1"/>
        <w:ind w:right="14"/>
      </w:pPr>
      <w:r>
        <w:rPr>
          <w:color w:val="212121"/>
        </w:rPr>
        <w:t>Multicausal Analysis </w:t>
      </w:r>
      <w:r>
        <w:rPr/>
        <w:t>of </w:t>
      </w:r>
      <w:r>
        <w:rPr>
          <w:color w:val="212121"/>
        </w:rPr>
        <w:t>Musculoskeletal Disorders in production systems with online flows.</w:t>
      </w:r>
    </w:p>
    <w:p>
      <w:pPr>
        <w:pStyle w:val="BodyText"/>
        <w:spacing w:before="7"/>
        <w:rPr>
          <w:b/>
          <w:sz w:val="23"/>
        </w:rPr>
      </w:pPr>
    </w:p>
    <w:p>
      <w:pPr>
        <w:spacing w:before="0"/>
        <w:ind w:left="270" w:right="15" w:firstLine="0"/>
        <w:jc w:val="both"/>
        <w:rPr>
          <w:i/>
          <w:sz w:val="18"/>
        </w:rPr>
      </w:pPr>
      <w:r>
        <w:rPr>
          <w:i/>
          <w:sz w:val="18"/>
        </w:rPr>
        <w:t>Dr. Lamberto Vázquez Veloz, M.E. Daniel Laborin Hurtado, </w:t>
      </w:r>
      <w:r>
        <w:rPr>
          <w:i/>
          <w:sz w:val="18"/>
        </w:rPr>
        <w:t>Román López Millanes, Cristian Ramírez</w:t>
      </w:r>
      <w:r>
        <w:rPr>
          <w:i/>
          <w:spacing w:val="-7"/>
          <w:sz w:val="18"/>
        </w:rPr>
        <w:t> </w:t>
      </w:r>
      <w:r>
        <w:rPr>
          <w:i/>
          <w:sz w:val="18"/>
        </w:rPr>
        <w:t>Martínez.</w:t>
      </w:r>
    </w:p>
    <w:p>
      <w:pPr>
        <w:pStyle w:val="BodyText"/>
        <w:spacing w:before="10"/>
        <w:rPr>
          <w:i/>
          <w:sz w:val="15"/>
        </w:rPr>
      </w:pPr>
    </w:p>
    <w:p>
      <w:pPr>
        <w:spacing w:before="0"/>
        <w:ind w:left="270" w:right="0" w:firstLine="0"/>
        <w:jc w:val="both"/>
        <w:rPr>
          <w:sz w:val="18"/>
        </w:rPr>
      </w:pPr>
      <w:r>
        <w:rPr>
          <w:position w:val="8"/>
          <w:sz w:val="12"/>
        </w:rPr>
        <w:t>a </w:t>
      </w:r>
      <w:r>
        <w:rPr>
          <w:sz w:val="18"/>
        </w:rPr>
        <w:t>Department of Ingeniería Industrial, Instituto Tecnológico de Agua Prieta. :</w:t>
      </w:r>
      <w:r>
        <w:rPr>
          <w:spacing w:val="-11"/>
          <w:sz w:val="18"/>
        </w:rPr>
        <w:t> </w:t>
      </w:r>
      <w:hyperlink r:id="rId120">
        <w:r>
          <w:rPr>
            <w:color w:val="0000FF"/>
            <w:sz w:val="18"/>
            <w:u w:val="single" w:color="0000FF"/>
          </w:rPr>
          <w:t>drlamberto@gmail.com</w:t>
        </w:r>
        <w:r>
          <w:rPr>
            <w:sz w:val="18"/>
          </w:rPr>
          <w:t>.</w:t>
        </w:r>
      </w:hyperlink>
    </w:p>
    <w:p>
      <w:pPr>
        <w:pStyle w:val="BodyText"/>
        <w:rPr>
          <w:sz w:val="18"/>
        </w:rPr>
      </w:pPr>
    </w:p>
    <w:p>
      <w:pPr>
        <w:pStyle w:val="BodyText"/>
        <w:spacing w:before="5"/>
        <w:rPr>
          <w:sz w:val="18"/>
        </w:rPr>
      </w:pPr>
    </w:p>
    <w:p>
      <w:pPr>
        <w:spacing w:before="0"/>
        <w:ind w:left="270" w:right="0" w:firstLine="0"/>
        <w:jc w:val="both"/>
        <w:rPr>
          <w:b/>
          <w:i/>
          <w:sz w:val="18"/>
        </w:rPr>
      </w:pPr>
      <w:r>
        <w:rPr/>
        <w:pict>
          <v:line style="position:absolute;mso-position-horizontal-relative:page;mso-position-vertical-relative:paragraph;z-index:4048" from="41.040001pt,12.092349pt" to="288.540001pt,12.092349pt" stroked="true" strokeweight="1.5pt" strokecolor="#000000">
            <w10:wrap type="none"/>
          </v:line>
        </w:pict>
      </w:r>
      <w:r>
        <w:rPr>
          <w:b/>
          <w:i/>
          <w:sz w:val="18"/>
        </w:rPr>
        <w:t>Abstract</w:t>
      </w:r>
    </w:p>
    <w:p>
      <w:pPr>
        <w:spacing w:before="45"/>
        <w:ind w:left="270" w:right="13" w:firstLine="0"/>
        <w:jc w:val="both"/>
        <w:rPr>
          <w:i/>
          <w:sz w:val="18"/>
        </w:rPr>
      </w:pPr>
      <w:r>
        <w:rPr>
          <w:i/>
          <w:sz w:val="18"/>
        </w:rPr>
        <w:t>This paper analyzes the multi-causal factors, from an ergonomic </w:t>
      </w:r>
      <w:r>
        <w:rPr>
          <w:i/>
          <w:sz w:val="18"/>
        </w:rPr>
        <w:t>perspective, that in the current competitive environment are emerging and which involved and increasing in the statistics of the MSDs, with its relative decline in the competitiveness of the production plant and increased chance of generating health problems in the operator which is active in the work stations implicit in the intermittent production systems of line flow.</w:t>
      </w:r>
    </w:p>
    <w:p>
      <w:pPr>
        <w:pStyle w:val="BodyText"/>
        <w:spacing w:before="10"/>
        <w:rPr>
          <w:i/>
          <w:sz w:val="17"/>
        </w:rPr>
      </w:pPr>
    </w:p>
    <w:p>
      <w:pPr>
        <w:spacing w:before="0"/>
        <w:ind w:left="270" w:right="0" w:firstLine="0"/>
        <w:jc w:val="both"/>
        <w:rPr>
          <w:i/>
          <w:sz w:val="18"/>
        </w:rPr>
      </w:pPr>
      <w:r>
        <w:rPr>
          <w:b/>
          <w:i/>
          <w:sz w:val="18"/>
        </w:rPr>
        <w:t>Keywords: </w:t>
      </w:r>
      <w:r>
        <w:rPr>
          <w:i/>
          <w:sz w:val="18"/>
        </w:rPr>
        <w:t>Assemble, MSDs, Work.</w:t>
      </w:r>
    </w:p>
    <w:p>
      <w:pPr>
        <w:pStyle w:val="BodyText"/>
        <w:rPr>
          <w:i/>
          <w:sz w:val="18"/>
        </w:rPr>
      </w:pPr>
    </w:p>
    <w:p>
      <w:pPr>
        <w:spacing w:before="0"/>
        <w:ind w:left="270" w:right="0" w:firstLine="0"/>
        <w:jc w:val="both"/>
        <w:rPr>
          <w:sz w:val="18"/>
        </w:rPr>
      </w:pPr>
      <w:r>
        <w:rPr>
          <w:b/>
          <w:sz w:val="18"/>
        </w:rPr>
        <w:t>Contribution to Ergonomics</w:t>
      </w:r>
      <w:r>
        <w:rPr>
          <w:sz w:val="18"/>
        </w:rPr>
        <w:t>:</w:t>
      </w:r>
    </w:p>
    <w:p>
      <w:pPr>
        <w:pStyle w:val="BodyText"/>
        <w:rPr>
          <w:sz w:val="18"/>
        </w:rPr>
      </w:pPr>
    </w:p>
    <w:p>
      <w:pPr>
        <w:spacing w:before="0"/>
        <w:ind w:left="270" w:right="13" w:firstLine="0"/>
        <w:jc w:val="both"/>
        <w:rPr>
          <w:sz w:val="18"/>
        </w:rPr>
      </w:pPr>
      <w:r>
        <w:rPr>
          <w:sz w:val="18"/>
        </w:rPr>
        <w:t>Maintaining a number of features and actions taken in human - machine interaction for these are the generators of the conditions for the emergence of MSDs allows structuring improved ergonomic programs to reduce or minimize the adverse conditions in each workstation, involves a pragmatic starting point and substantial support  to the science of</w:t>
      </w:r>
      <w:r>
        <w:rPr>
          <w:spacing w:val="-9"/>
          <w:sz w:val="18"/>
        </w:rPr>
        <w:t> </w:t>
      </w:r>
      <w:r>
        <w:rPr>
          <w:sz w:val="18"/>
        </w:rPr>
        <w:t>ergonomics.</w:t>
      </w:r>
    </w:p>
    <w:p>
      <w:pPr>
        <w:pStyle w:val="BodyText"/>
        <w:spacing w:before="3"/>
        <w:rPr>
          <w:sz w:val="18"/>
        </w:rPr>
      </w:pPr>
    </w:p>
    <w:p>
      <w:pPr>
        <w:pStyle w:val="ListParagraph"/>
        <w:numPr>
          <w:ilvl w:val="0"/>
          <w:numId w:val="40"/>
        </w:numPr>
        <w:tabs>
          <w:tab w:pos="452" w:val="left" w:leader="none"/>
        </w:tabs>
        <w:spacing w:line="240" w:lineRule="auto" w:before="0" w:after="0"/>
        <w:ind w:left="451" w:right="0" w:hanging="181"/>
        <w:jc w:val="both"/>
        <w:rPr>
          <w:b/>
          <w:sz w:val="18"/>
        </w:rPr>
      </w:pPr>
      <w:r>
        <w:rPr>
          <w:b/>
          <w:sz w:val="18"/>
        </w:rPr>
        <w:t>INTRODUCCION</w:t>
      </w:r>
    </w:p>
    <w:p>
      <w:pPr>
        <w:pStyle w:val="BodyText"/>
        <w:spacing w:before="7"/>
        <w:rPr>
          <w:b/>
          <w:sz w:val="17"/>
        </w:rPr>
      </w:pPr>
    </w:p>
    <w:p>
      <w:pPr>
        <w:spacing w:before="1"/>
        <w:ind w:left="270" w:right="13" w:firstLine="0"/>
        <w:jc w:val="both"/>
        <w:rPr>
          <w:sz w:val="18"/>
        </w:rPr>
      </w:pPr>
      <w:r>
        <w:rPr>
          <w:sz w:val="18"/>
        </w:rPr>
        <w:t>The continuous interaction between the scientific - technological and highly competitive market requirements generates a highly demanding productivity and efficiency in current production processes [1], which in the last link in the production line impacts the system synergistic relationship of man – machine and the likelihood of complications in muscle - skeletal systems generated rises and thereby presents what is called musculoskeletal disorders in the operator[2].</w:t>
      </w:r>
    </w:p>
    <w:p>
      <w:pPr>
        <w:spacing w:before="0"/>
        <w:ind w:left="270" w:right="14" w:firstLine="708"/>
        <w:jc w:val="both"/>
        <w:rPr>
          <w:sz w:val="18"/>
        </w:rPr>
      </w:pPr>
      <w:r>
        <w:rPr>
          <w:sz w:val="18"/>
        </w:rPr>
        <w:t>Musculoskeletal Disorders (MSDs) are work-related occupational diseases of major social economic impact of today  [3]. However the efforts made by social security institutions, the research centers devoted to the subject do not reflect a convincing and appropriate response to the current needs of modern production processes, with the requirements and needs of the production processes flows online, mostly causing</w:t>
      </w:r>
      <w:r>
        <w:rPr>
          <w:spacing w:val="-30"/>
          <w:sz w:val="18"/>
        </w:rPr>
        <w:t> </w:t>
      </w:r>
      <w:r>
        <w:rPr>
          <w:sz w:val="18"/>
        </w:rPr>
        <w:t>MSDs.</w:t>
      </w:r>
    </w:p>
    <w:p>
      <w:pPr>
        <w:spacing w:before="0"/>
        <w:ind w:left="270" w:right="13" w:firstLine="708"/>
        <w:jc w:val="both"/>
        <w:rPr>
          <w:sz w:val="18"/>
        </w:rPr>
      </w:pPr>
      <w:r>
        <w:rPr>
          <w:sz w:val="18"/>
        </w:rPr>
        <w:t>The data recorded in the Mexican Social Security  Institute (IMSS), in their national statistics, frames a ratio of 3.6% of occupational hazards with respect to affiliated workers and for the case of Sonora this ratio increases to 4.6%. In this regard the MSDs represent 1.6% of total labor risks, coupled with the 65% of these risks arise due to the ergonomic shortcomings of workstations where operators do their activities [4]. This situation requires the creation of pragmatic actions directed to the framing designs according to ergonomic</w:t>
      </w:r>
      <w:r>
        <w:rPr>
          <w:spacing w:val="-13"/>
          <w:sz w:val="18"/>
        </w:rPr>
        <w:t> </w:t>
      </w:r>
      <w:r>
        <w:rPr>
          <w:sz w:val="18"/>
        </w:rPr>
        <w:t>criteria[5].</w:t>
      </w:r>
    </w:p>
    <w:p>
      <w:pPr>
        <w:pStyle w:val="BodyText"/>
        <w:spacing w:before="3"/>
        <w:rPr>
          <w:sz w:val="18"/>
        </w:rPr>
      </w:pPr>
    </w:p>
    <w:p>
      <w:pPr>
        <w:pStyle w:val="ListParagraph"/>
        <w:numPr>
          <w:ilvl w:val="0"/>
          <w:numId w:val="40"/>
        </w:numPr>
        <w:tabs>
          <w:tab w:pos="452" w:val="left" w:leader="none"/>
        </w:tabs>
        <w:spacing w:line="240" w:lineRule="auto" w:before="0" w:after="0"/>
        <w:ind w:left="451" w:right="0" w:hanging="181"/>
        <w:jc w:val="both"/>
        <w:rPr>
          <w:b/>
          <w:sz w:val="18"/>
        </w:rPr>
      </w:pPr>
      <w:r>
        <w:rPr>
          <w:b/>
          <w:sz w:val="18"/>
        </w:rPr>
        <w:t>OBJECTIVES</w:t>
      </w:r>
    </w:p>
    <w:p>
      <w:pPr>
        <w:spacing w:before="77"/>
        <w:ind w:left="346" w:right="679" w:firstLine="0"/>
        <w:jc w:val="both"/>
        <w:rPr>
          <w:sz w:val="18"/>
        </w:rPr>
      </w:pPr>
      <w:r>
        <w:rPr/>
        <w:br w:type="column"/>
      </w:r>
      <w:r>
        <w:rPr>
          <w:sz w:val="18"/>
        </w:rPr>
        <w:t>This research involves the aim of describing a causal relationship between workstations under study and Musculoskeletal Disorders (MSDs).</w:t>
      </w:r>
    </w:p>
    <w:p>
      <w:pPr>
        <w:pStyle w:val="ListParagraph"/>
        <w:numPr>
          <w:ilvl w:val="0"/>
          <w:numId w:val="40"/>
        </w:numPr>
        <w:tabs>
          <w:tab w:pos="527" w:val="left" w:leader="none"/>
        </w:tabs>
        <w:spacing w:line="240" w:lineRule="auto" w:before="3" w:after="0"/>
        <w:ind w:left="526" w:right="0" w:hanging="180"/>
        <w:jc w:val="both"/>
        <w:rPr>
          <w:b/>
          <w:sz w:val="18"/>
        </w:rPr>
      </w:pPr>
      <w:r>
        <w:rPr>
          <w:b/>
          <w:sz w:val="18"/>
        </w:rPr>
        <w:t>DELIMITATION</w:t>
      </w:r>
    </w:p>
    <w:p>
      <w:pPr>
        <w:pStyle w:val="BodyText"/>
        <w:spacing w:before="7"/>
        <w:rPr>
          <w:b/>
          <w:sz w:val="17"/>
        </w:rPr>
      </w:pPr>
    </w:p>
    <w:p>
      <w:pPr>
        <w:spacing w:before="1"/>
        <w:ind w:left="346" w:right="677" w:firstLine="0"/>
        <w:jc w:val="both"/>
        <w:rPr>
          <w:sz w:val="18"/>
        </w:rPr>
      </w:pPr>
      <w:r>
        <w:rPr>
          <w:sz w:val="18"/>
        </w:rPr>
        <w:t>The research work was developed in the assembly plant, manufacturing and export industries, located in  northeastern Sonora, specifically in those intermittent production lines with inline flow for their own requirements, was incipient need to keep workstations where there is a synergistic and interdependent relationship between operator and machinery.</w:t>
      </w:r>
    </w:p>
    <w:p>
      <w:pPr>
        <w:spacing w:before="0"/>
        <w:ind w:left="346" w:right="677" w:firstLine="708"/>
        <w:jc w:val="both"/>
        <w:rPr>
          <w:sz w:val="18"/>
        </w:rPr>
      </w:pPr>
      <w:r>
        <w:rPr>
          <w:sz w:val="18"/>
        </w:rPr>
        <w:t>In turn, the preliminary study development has identified a problem situation which is defined as: ¨The absence of a causal relationship between the MSDs and the ergonomics and biomechanical systems of man - machine, workstations that integrate intermittent production processes with inline flows¨.</w:t>
      </w:r>
    </w:p>
    <w:p>
      <w:pPr>
        <w:spacing w:before="0"/>
        <w:ind w:left="346" w:right="677" w:firstLine="708"/>
        <w:jc w:val="both"/>
        <w:rPr>
          <w:sz w:val="18"/>
        </w:rPr>
      </w:pPr>
      <w:r>
        <w:rPr>
          <w:sz w:val="18"/>
        </w:rPr>
        <w:t>This implies that the research effort to establish in this guideline, framing a pragmatic action on the target and with that, achieve an answer to the following research hypothesis: “Is the MSDs increase mainly due to the design of workstations, where it  is not considered ergonomic</w:t>
      </w:r>
      <w:r>
        <w:rPr>
          <w:spacing w:val="-9"/>
          <w:sz w:val="18"/>
        </w:rPr>
        <w:t> </w:t>
      </w:r>
      <w:r>
        <w:rPr>
          <w:sz w:val="18"/>
        </w:rPr>
        <w:t>guidelines?”</w:t>
      </w:r>
    </w:p>
    <w:p>
      <w:pPr>
        <w:pStyle w:val="BodyText"/>
        <w:spacing w:before="3"/>
        <w:rPr>
          <w:sz w:val="18"/>
        </w:rPr>
      </w:pPr>
    </w:p>
    <w:p>
      <w:pPr>
        <w:pStyle w:val="ListParagraph"/>
        <w:numPr>
          <w:ilvl w:val="0"/>
          <w:numId w:val="40"/>
        </w:numPr>
        <w:tabs>
          <w:tab w:pos="528" w:val="left" w:leader="none"/>
        </w:tabs>
        <w:spacing w:line="240" w:lineRule="auto" w:before="0" w:after="0"/>
        <w:ind w:left="527" w:right="0" w:hanging="181"/>
        <w:jc w:val="both"/>
        <w:rPr>
          <w:b/>
          <w:sz w:val="18"/>
        </w:rPr>
      </w:pPr>
      <w:r>
        <w:rPr>
          <w:b/>
          <w:sz w:val="18"/>
        </w:rPr>
        <w:t>METHODOLOGY</w:t>
      </w:r>
    </w:p>
    <w:p>
      <w:pPr>
        <w:pStyle w:val="BodyText"/>
        <w:spacing w:before="7"/>
        <w:rPr>
          <w:b/>
          <w:sz w:val="17"/>
        </w:rPr>
      </w:pPr>
    </w:p>
    <w:p>
      <w:pPr>
        <w:spacing w:before="1"/>
        <w:ind w:left="346" w:right="680" w:firstLine="0"/>
        <w:jc w:val="both"/>
        <w:rPr>
          <w:sz w:val="18"/>
        </w:rPr>
      </w:pPr>
      <w:r>
        <w:rPr>
          <w:sz w:val="18"/>
        </w:rPr>
        <w:t>The scientific basis thereby validating this research is supported by the following set of research tools:</w:t>
      </w:r>
    </w:p>
    <w:p>
      <w:pPr>
        <w:pStyle w:val="ListParagraph"/>
        <w:numPr>
          <w:ilvl w:val="0"/>
          <w:numId w:val="41"/>
        </w:numPr>
        <w:tabs>
          <w:tab w:pos="631" w:val="left" w:leader="none"/>
        </w:tabs>
        <w:spacing w:line="240" w:lineRule="auto" w:before="0" w:after="0"/>
        <w:ind w:left="630" w:right="677" w:hanging="360"/>
        <w:jc w:val="both"/>
        <w:rPr>
          <w:sz w:val="18"/>
        </w:rPr>
      </w:pPr>
      <w:r>
        <w:rPr>
          <w:sz w:val="18"/>
        </w:rPr>
        <w:t>The analysis of the general to the particular, to define the characteristics of the object of study; from simple to complex  to describe the causal relationship workstations under study and MSDs.</w:t>
      </w:r>
    </w:p>
    <w:p>
      <w:pPr>
        <w:pStyle w:val="ListParagraph"/>
        <w:numPr>
          <w:ilvl w:val="0"/>
          <w:numId w:val="41"/>
        </w:numPr>
        <w:tabs>
          <w:tab w:pos="631" w:val="left" w:leader="none"/>
        </w:tabs>
        <w:spacing w:line="240" w:lineRule="auto" w:before="1" w:after="0"/>
        <w:ind w:left="630" w:right="676" w:hanging="360"/>
        <w:jc w:val="both"/>
        <w:rPr>
          <w:sz w:val="18"/>
        </w:rPr>
      </w:pPr>
      <w:r>
        <w:rPr>
          <w:sz w:val="18"/>
        </w:rPr>
        <w:t>The analysis of the abstract to the concrete to the theoretical foundation of the scientific</w:t>
      </w:r>
      <w:r>
        <w:rPr>
          <w:spacing w:val="-6"/>
          <w:sz w:val="18"/>
        </w:rPr>
        <w:t> </w:t>
      </w:r>
      <w:r>
        <w:rPr>
          <w:sz w:val="18"/>
        </w:rPr>
        <w:t>problem.</w:t>
      </w:r>
    </w:p>
    <w:p>
      <w:pPr>
        <w:pStyle w:val="ListParagraph"/>
        <w:numPr>
          <w:ilvl w:val="0"/>
          <w:numId w:val="41"/>
        </w:numPr>
        <w:tabs>
          <w:tab w:pos="631" w:val="left" w:leader="none"/>
        </w:tabs>
        <w:spacing w:line="240" w:lineRule="auto" w:before="1" w:after="0"/>
        <w:ind w:left="630" w:right="677" w:hanging="360"/>
        <w:jc w:val="both"/>
        <w:rPr>
          <w:sz w:val="18"/>
        </w:rPr>
      </w:pPr>
      <w:r>
        <w:rPr>
          <w:sz w:val="18"/>
        </w:rPr>
        <w:t>Method of analysis - synthesis, which is used throughout the research process for the review of the specialized literature and synthesizes</w:t>
      </w:r>
      <w:r>
        <w:rPr>
          <w:spacing w:val="-12"/>
          <w:sz w:val="18"/>
        </w:rPr>
        <w:t> </w:t>
      </w:r>
      <w:r>
        <w:rPr>
          <w:sz w:val="18"/>
        </w:rPr>
        <w:t>results.</w:t>
      </w:r>
    </w:p>
    <w:p>
      <w:pPr>
        <w:pStyle w:val="ListParagraph"/>
        <w:numPr>
          <w:ilvl w:val="0"/>
          <w:numId w:val="41"/>
        </w:numPr>
        <w:tabs>
          <w:tab w:pos="631" w:val="left" w:leader="none"/>
        </w:tabs>
        <w:spacing w:line="240" w:lineRule="auto" w:before="1" w:after="0"/>
        <w:ind w:left="630" w:right="677" w:hanging="360"/>
        <w:jc w:val="both"/>
        <w:rPr>
          <w:sz w:val="18"/>
        </w:rPr>
      </w:pPr>
      <w:r>
        <w:rPr>
          <w:sz w:val="18"/>
        </w:rPr>
        <w:t>Inductive - deductive method, which is used to make generalizations about the object of study and to form the theoretical framework used as the basis for this</w:t>
      </w:r>
      <w:r>
        <w:rPr>
          <w:spacing w:val="-16"/>
          <w:sz w:val="18"/>
        </w:rPr>
        <w:t> </w:t>
      </w:r>
      <w:r>
        <w:rPr>
          <w:sz w:val="18"/>
        </w:rPr>
        <w:t>investigation.</w:t>
      </w:r>
    </w:p>
    <w:p>
      <w:pPr>
        <w:spacing w:before="0"/>
        <w:ind w:left="346" w:right="678" w:firstLine="284"/>
        <w:jc w:val="right"/>
        <w:rPr>
          <w:sz w:val="18"/>
        </w:rPr>
      </w:pPr>
      <w:r>
        <w:rPr>
          <w:sz w:val="18"/>
        </w:rPr>
        <w:t>For experimental development 180 workstations with manual assembly with ergonomic assessment methods ERIN [6] and SETEM [7] were analyzed determining scores on each workstation, coupled with an epidemiologic study of this structure in conjunction with the health department in the company, setting the statistics of different pathologies that occur in the analyzed stations.</w:t>
      </w:r>
    </w:p>
    <w:p>
      <w:pPr>
        <w:pStyle w:val="BodyText"/>
        <w:rPr>
          <w:sz w:val="18"/>
        </w:rPr>
      </w:pPr>
    </w:p>
    <w:p>
      <w:pPr>
        <w:spacing w:before="0"/>
        <w:ind w:left="346" w:right="677" w:firstLine="284"/>
        <w:jc w:val="both"/>
        <w:rPr>
          <w:sz w:val="18"/>
        </w:rPr>
      </w:pPr>
      <w:r>
        <w:rPr>
          <w:sz w:val="18"/>
        </w:rPr>
        <w:t>The multi- causal analysis shows that pathologies found are directly related to scores on ergonomic assessment methods used. The synthesis developed in research, shows sufficient evidence that correlates the high-risk workstations where scores that are considered high were found and the onset of MSDs were obtained.</w:t>
      </w:r>
    </w:p>
    <w:p>
      <w:pPr>
        <w:pStyle w:val="BodyText"/>
        <w:spacing w:before="2"/>
        <w:rPr>
          <w:sz w:val="18"/>
        </w:rPr>
      </w:pPr>
    </w:p>
    <w:p>
      <w:pPr>
        <w:pStyle w:val="ListParagraph"/>
        <w:numPr>
          <w:ilvl w:val="0"/>
          <w:numId w:val="40"/>
        </w:numPr>
        <w:tabs>
          <w:tab w:pos="527" w:val="left" w:leader="none"/>
        </w:tabs>
        <w:spacing w:line="240" w:lineRule="auto" w:before="0" w:after="0"/>
        <w:ind w:left="526" w:right="0" w:hanging="180"/>
        <w:jc w:val="both"/>
        <w:rPr>
          <w:b/>
          <w:sz w:val="18"/>
        </w:rPr>
      </w:pPr>
      <w:r>
        <w:rPr>
          <w:b/>
          <w:sz w:val="18"/>
        </w:rPr>
        <w:t>RESULTS</w:t>
      </w:r>
    </w:p>
    <w:p>
      <w:pPr>
        <w:pStyle w:val="BodyText"/>
        <w:spacing w:before="7"/>
        <w:rPr>
          <w:b/>
          <w:sz w:val="17"/>
        </w:rPr>
      </w:pPr>
    </w:p>
    <w:p>
      <w:pPr>
        <w:spacing w:before="1"/>
        <w:ind w:left="346" w:right="678" w:firstLine="0"/>
        <w:jc w:val="both"/>
        <w:rPr>
          <w:sz w:val="18"/>
        </w:rPr>
      </w:pPr>
      <w:r>
        <w:rPr>
          <w:sz w:val="18"/>
        </w:rPr>
        <w:t>The results obtained during the research process, reflect the conditions under which the workstations that do not consider the ergonomic guidelines in its design, impact negatively on the health of workers, in generating in a short period of time, a MSDs.</w:t>
      </w:r>
    </w:p>
    <w:p>
      <w:pPr>
        <w:spacing w:before="0"/>
        <w:ind w:left="346" w:right="677" w:firstLine="708"/>
        <w:jc w:val="both"/>
        <w:rPr>
          <w:sz w:val="18"/>
        </w:rPr>
      </w:pPr>
      <w:r>
        <w:rPr>
          <w:sz w:val="18"/>
        </w:rPr>
        <w:t>The following table shows the causal relationship between the worker´s body region analyzed detected, and statistically significant pathology, the risk of job detected by ergonomic evaluation methods used and a set of conditions that somehow are generating further complications to each station because they increase the demands on the</w:t>
      </w:r>
      <w:r>
        <w:rPr>
          <w:spacing w:val="-16"/>
          <w:sz w:val="18"/>
        </w:rPr>
        <w:t> </w:t>
      </w:r>
      <w:r>
        <w:rPr>
          <w:sz w:val="18"/>
        </w:rPr>
        <w:t>worker.</w:t>
      </w:r>
    </w:p>
    <w:p>
      <w:pPr>
        <w:spacing w:after="0"/>
        <w:jc w:val="both"/>
        <w:rPr>
          <w:sz w:val="18"/>
        </w:rPr>
        <w:sectPr>
          <w:type w:val="continuous"/>
          <w:pgSz w:w="12240" w:h="15840"/>
          <w:pgMar w:top="1500" w:bottom="280" w:left="580" w:right="220"/>
          <w:cols w:num="2" w:equalWidth="0">
            <w:col w:w="5179" w:space="344"/>
            <w:col w:w="5917"/>
          </w:cols>
        </w:sectPr>
      </w:pPr>
    </w:p>
    <w:p>
      <w:pPr>
        <w:pStyle w:val="BodyText"/>
        <w:rPr>
          <w:sz w:val="11"/>
        </w:rPr>
      </w:pPr>
    </w:p>
    <w:p>
      <w:pPr>
        <w:spacing w:after="0"/>
        <w:rPr>
          <w:sz w:val="11"/>
        </w:rPr>
        <w:sectPr>
          <w:pgSz w:w="12240" w:h="15840"/>
          <w:pgMar w:header="545" w:footer="852" w:top="1060" w:bottom="1040" w:left="580" w:right="22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3"/>
      </w:pPr>
    </w:p>
    <w:p>
      <w:pPr>
        <w:pStyle w:val="BodyText"/>
        <w:ind w:left="970"/>
      </w:pPr>
      <w:r>
        <w:rPr/>
        <w:pict>
          <v:group style="width:64.8pt;height:46.3pt;mso-position-horizontal-relative:char;mso-position-vertical-relative:line" coordorigin="0,0" coordsize="1296,926">
            <v:line style="position:absolute" from="10,10" to="10,288" stroked="true" strokeweight=".96001pt" strokecolor="#ffffff"/>
            <v:line style="position:absolute" from="1286,10" to="1286,288" stroked="true" strokeweight=".96001pt" strokecolor="#ffffff"/>
            <v:rect style="position:absolute;left:20;top:308;width:1256;height:608" filled="true" fillcolor="#e8cccc" stroked="false">
              <v:fill type="solid"/>
            </v:rect>
            <v:rect style="position:absolute;left:154;top:380;width:988;height:208" filled="true" fillcolor="#e8cccc" stroked="false">
              <v:fill type="solid"/>
            </v:rect>
            <v:rect style="position:absolute;left:20;top:308;width:1256;height:73" filled="true" fillcolor="#e8cccc" stroked="false">
              <v:fill type="solid"/>
            </v:rect>
            <v:rect style="position:absolute;left:10;top:843;width:1276;height:72" filled="true" fillcolor="#e8cccc" stroked="false">
              <v:fill type="solid"/>
            </v:rect>
            <v:line style="position:absolute" from="10,381" to="10,916" stroked="true" strokeweight=".96001pt" strokecolor="#ffffff"/>
            <v:line style="position:absolute" from="1286,381" to="1286,916" stroked="true" strokeweight=".96001pt" strokecolor="#ffffff"/>
          </v:group>
        </w:pict>
      </w:r>
      <w:r>
        <w:rPr/>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6"/>
        <w:rPr>
          <w:sz w:val="23"/>
        </w:rPr>
      </w:pPr>
    </w:p>
    <w:p>
      <w:pPr>
        <w:spacing w:line="207" w:lineRule="exact" w:before="0"/>
        <w:ind w:left="1208" w:right="77" w:firstLine="0"/>
        <w:jc w:val="left"/>
        <w:rPr>
          <w:sz w:val="18"/>
        </w:rPr>
      </w:pPr>
      <w:r>
        <w:rPr>
          <w:sz w:val="18"/>
        </w:rPr>
        <w:t>Fig 1. Table of multi-causal relationships.</w:t>
      </w:r>
    </w:p>
    <w:p>
      <w:pPr>
        <w:spacing w:before="0"/>
        <w:ind w:left="270" w:right="1" w:firstLine="708"/>
        <w:jc w:val="both"/>
        <w:rPr>
          <w:sz w:val="18"/>
        </w:rPr>
      </w:pPr>
      <w:r>
        <w:rPr>
          <w:sz w:val="18"/>
        </w:rPr>
        <w:t>The research carried out shows that in conjunction with the conditions of the workstation that involve the appearance of MSDs, which are considered classics: repeatability, forced movements, committed posture, movement frequency, strength and cargo; they are implying a set of new adverse conditions to the worker and which are generated mainly by highly competitive environments in which they operate in today's market.</w:t>
      </w:r>
    </w:p>
    <w:p>
      <w:pPr>
        <w:spacing w:before="0"/>
        <w:ind w:left="270" w:right="1" w:firstLine="708"/>
        <w:jc w:val="both"/>
        <w:rPr>
          <w:sz w:val="18"/>
        </w:rPr>
      </w:pPr>
      <w:r>
        <w:rPr>
          <w:sz w:val="18"/>
        </w:rPr>
        <w:t>All the new conditions are given for short times and controlled cycle times; extreme detail in production, long working hours and overtime involving new shifts. All this together generate the operator having less freedom of movement and decision, leading to a more monotonous work, increasing occupational hazards and less identification with the</w:t>
      </w:r>
      <w:r>
        <w:rPr>
          <w:spacing w:val="-17"/>
          <w:sz w:val="18"/>
        </w:rPr>
        <w:t> </w:t>
      </w:r>
      <w:r>
        <w:rPr>
          <w:sz w:val="18"/>
        </w:rPr>
        <w:t>workstation.</w:t>
      </w:r>
    </w:p>
    <w:p>
      <w:pPr>
        <w:pStyle w:val="BodyText"/>
        <w:spacing w:before="3"/>
        <w:rPr>
          <w:sz w:val="18"/>
        </w:rPr>
      </w:pPr>
    </w:p>
    <w:p>
      <w:pPr>
        <w:pStyle w:val="ListParagraph"/>
        <w:numPr>
          <w:ilvl w:val="0"/>
          <w:numId w:val="40"/>
        </w:numPr>
        <w:tabs>
          <w:tab w:pos="452" w:val="left" w:leader="none"/>
        </w:tabs>
        <w:spacing w:line="240" w:lineRule="auto" w:before="0" w:after="0"/>
        <w:ind w:left="451" w:right="0" w:hanging="181"/>
        <w:jc w:val="left"/>
        <w:rPr>
          <w:b/>
          <w:sz w:val="18"/>
        </w:rPr>
      </w:pPr>
      <w:r>
        <w:rPr>
          <w:b/>
          <w:sz w:val="18"/>
        </w:rPr>
        <w:t>CONCLUSIONS</w:t>
      </w:r>
    </w:p>
    <w:p>
      <w:pPr>
        <w:pStyle w:val="BodyText"/>
        <w:spacing w:before="7"/>
        <w:rPr>
          <w:b/>
          <w:sz w:val="17"/>
        </w:rPr>
      </w:pPr>
    </w:p>
    <w:p>
      <w:pPr>
        <w:spacing w:before="1"/>
        <w:ind w:left="270" w:right="77" w:firstLine="0"/>
        <w:jc w:val="left"/>
        <w:rPr>
          <w:sz w:val="18"/>
        </w:rPr>
      </w:pPr>
      <w:r>
        <w:rPr>
          <w:sz w:val="18"/>
        </w:rPr>
        <w:t>The main conclusions that have been reached with the research development of this work are given by the following:</w:t>
      </w:r>
    </w:p>
    <w:p>
      <w:pPr>
        <w:pStyle w:val="ListParagraph"/>
        <w:numPr>
          <w:ilvl w:val="1"/>
          <w:numId w:val="40"/>
        </w:numPr>
        <w:tabs>
          <w:tab w:pos="979" w:val="left" w:leader="none"/>
        </w:tabs>
        <w:spacing w:line="240" w:lineRule="auto" w:before="1" w:after="0"/>
        <w:ind w:left="990" w:right="0" w:hanging="360"/>
        <w:jc w:val="both"/>
        <w:rPr>
          <w:sz w:val="18"/>
        </w:rPr>
      </w:pPr>
      <w:r>
        <w:rPr>
          <w:sz w:val="18"/>
        </w:rPr>
        <w:t>The research work shows that with high scores on the application of ERIN and SETEM there is an increase in MSDs in work stations</w:t>
      </w:r>
      <w:r>
        <w:rPr>
          <w:spacing w:val="-9"/>
          <w:sz w:val="18"/>
        </w:rPr>
        <w:t> </w:t>
      </w:r>
      <w:r>
        <w:rPr>
          <w:sz w:val="18"/>
        </w:rPr>
        <w:t>analyzed.</w:t>
      </w:r>
    </w:p>
    <w:p>
      <w:pPr>
        <w:pStyle w:val="ListParagraph"/>
        <w:numPr>
          <w:ilvl w:val="1"/>
          <w:numId w:val="40"/>
        </w:numPr>
        <w:tabs>
          <w:tab w:pos="979" w:val="left" w:leader="none"/>
        </w:tabs>
        <w:spacing w:line="240" w:lineRule="auto" w:before="0" w:after="0"/>
        <w:ind w:left="990" w:right="1" w:hanging="360"/>
        <w:jc w:val="both"/>
        <w:rPr>
          <w:sz w:val="18"/>
        </w:rPr>
      </w:pPr>
      <w:r>
        <w:rPr>
          <w:sz w:val="18"/>
        </w:rPr>
        <w:t>There is a causal relationship between the workstations in which design is not considered the ergonomic guidelines, and increasing the</w:t>
      </w:r>
      <w:r>
        <w:rPr>
          <w:spacing w:val="-2"/>
          <w:sz w:val="18"/>
        </w:rPr>
        <w:t> </w:t>
      </w:r>
      <w:r>
        <w:rPr>
          <w:sz w:val="18"/>
        </w:rPr>
        <w:t>MSDs.</w:t>
      </w:r>
    </w:p>
    <w:p>
      <w:pPr>
        <w:pStyle w:val="ListParagraph"/>
        <w:numPr>
          <w:ilvl w:val="1"/>
          <w:numId w:val="40"/>
        </w:numPr>
        <w:tabs>
          <w:tab w:pos="979" w:val="left" w:leader="none"/>
        </w:tabs>
        <w:spacing w:line="240" w:lineRule="auto" w:before="0" w:after="0"/>
        <w:ind w:left="990" w:right="0" w:hanging="360"/>
        <w:jc w:val="both"/>
        <w:rPr>
          <w:sz w:val="18"/>
        </w:rPr>
      </w:pPr>
      <w:r>
        <w:rPr>
          <w:sz w:val="18"/>
        </w:rPr>
        <w:t>The table shows that, conditions of causality between workstations and MSDs under study involve the ability to generate concrete strategies for ergonomic improvements that positively impact workstations that consider conditions framed in this</w:t>
      </w:r>
      <w:r>
        <w:rPr>
          <w:spacing w:val="-11"/>
          <w:sz w:val="18"/>
        </w:rPr>
        <w:t> </w:t>
      </w:r>
      <w:r>
        <w:rPr>
          <w:sz w:val="18"/>
        </w:rPr>
        <w:t>investigation.</w:t>
      </w:r>
    </w:p>
    <w:p>
      <w:pPr>
        <w:pStyle w:val="ListParagraph"/>
        <w:numPr>
          <w:ilvl w:val="1"/>
          <w:numId w:val="40"/>
        </w:numPr>
        <w:tabs>
          <w:tab w:pos="979" w:val="left" w:leader="none"/>
        </w:tabs>
        <w:spacing w:line="240" w:lineRule="auto" w:before="1" w:after="0"/>
        <w:ind w:left="990" w:right="1" w:hanging="360"/>
        <w:jc w:val="both"/>
        <w:rPr>
          <w:sz w:val="18"/>
        </w:rPr>
      </w:pPr>
      <w:r>
        <w:rPr>
          <w:sz w:val="18"/>
        </w:rPr>
        <w:t>This results in a substantial improvement in the human – machine interaction, which implies a  significant reduction</w:t>
      </w:r>
      <w:r>
        <w:rPr>
          <w:spacing w:val="29"/>
          <w:sz w:val="18"/>
        </w:rPr>
        <w:t> </w:t>
      </w:r>
      <w:r>
        <w:rPr>
          <w:sz w:val="18"/>
        </w:rPr>
        <w:t>in</w:t>
      </w:r>
      <w:r>
        <w:rPr>
          <w:spacing w:val="28"/>
          <w:sz w:val="18"/>
        </w:rPr>
        <w:t> </w:t>
      </w:r>
      <w:r>
        <w:rPr>
          <w:sz w:val="18"/>
        </w:rPr>
        <w:t>the</w:t>
      </w:r>
      <w:r>
        <w:rPr>
          <w:spacing w:val="29"/>
          <w:sz w:val="18"/>
        </w:rPr>
        <w:t> </w:t>
      </w:r>
      <w:r>
        <w:rPr>
          <w:sz w:val="18"/>
        </w:rPr>
        <w:t>probability</w:t>
      </w:r>
      <w:r>
        <w:rPr>
          <w:spacing w:val="29"/>
          <w:sz w:val="18"/>
        </w:rPr>
        <w:t> </w:t>
      </w:r>
      <w:r>
        <w:rPr>
          <w:sz w:val="18"/>
        </w:rPr>
        <w:t>that</w:t>
      </w:r>
      <w:r>
        <w:rPr>
          <w:spacing w:val="29"/>
          <w:sz w:val="18"/>
        </w:rPr>
        <w:t> </w:t>
      </w:r>
      <w:r>
        <w:rPr>
          <w:sz w:val="18"/>
        </w:rPr>
        <w:t>the</w:t>
      </w:r>
      <w:r>
        <w:rPr>
          <w:spacing w:val="29"/>
          <w:sz w:val="18"/>
        </w:rPr>
        <w:t> </w:t>
      </w:r>
      <w:r>
        <w:rPr>
          <w:sz w:val="18"/>
        </w:rPr>
        <w:t>operator</w:t>
      </w:r>
      <w:r>
        <w:rPr>
          <w:spacing w:val="29"/>
          <w:sz w:val="18"/>
        </w:rPr>
        <w:t> </w:t>
      </w:r>
      <w:r>
        <w:rPr>
          <w:sz w:val="18"/>
        </w:rPr>
        <w:t>develop</w:t>
      </w:r>
      <w:r>
        <w:rPr>
          <w:spacing w:val="28"/>
          <w:sz w:val="18"/>
        </w:rPr>
        <w:t> </w:t>
      </w:r>
      <w:r>
        <w:rPr>
          <w:sz w:val="18"/>
        </w:rPr>
        <w:t>a</w:t>
      </w:r>
    </w:p>
    <w:p>
      <w:pPr>
        <w:spacing w:before="77"/>
        <w:ind w:left="990" w:right="668" w:firstLine="0"/>
        <w:jc w:val="left"/>
        <w:rPr>
          <w:sz w:val="18"/>
        </w:rPr>
      </w:pPr>
      <w:r>
        <w:rPr/>
        <w:br w:type="column"/>
      </w:r>
      <w:r>
        <w:rPr>
          <w:sz w:val="18"/>
        </w:rPr>
        <w:t>MSD and the productive capacity of the workstation is increased.</w:t>
      </w:r>
    </w:p>
    <w:p>
      <w:pPr>
        <w:pStyle w:val="BodyText"/>
        <w:spacing w:before="3"/>
        <w:rPr>
          <w:sz w:val="18"/>
        </w:rPr>
      </w:pPr>
    </w:p>
    <w:p>
      <w:pPr>
        <w:spacing w:before="0"/>
        <w:ind w:left="270" w:right="0" w:firstLine="0"/>
        <w:jc w:val="both"/>
        <w:rPr>
          <w:b/>
          <w:sz w:val="18"/>
        </w:rPr>
      </w:pPr>
      <w:r>
        <w:rPr/>
        <w:pict>
          <v:shape style="position:absolute;margin-left:34.859989pt;margin-top:-30.479439pt;width:277.5pt;height:310.3pt;mso-position-horizontal-relative:page;mso-position-vertical-relative:paragraph;z-index:409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53"/>
                    <w:gridCol w:w="1276"/>
                    <w:gridCol w:w="1277"/>
                    <w:gridCol w:w="2116"/>
                  </w:tblGrid>
                  <w:tr>
                    <w:trPr>
                      <w:trHeight w:val="1624" w:hRule="exact"/>
                    </w:trPr>
                    <w:tc>
                      <w:tcPr>
                        <w:tcW w:w="853" w:type="dxa"/>
                        <w:tcBorders>
                          <w:left w:val="single" w:sz="8" w:space="0" w:color="FFFFFF"/>
                          <w:bottom w:val="single" w:sz="24" w:space="0" w:color="FFFFFF"/>
                          <w:right w:val="single" w:sz="8" w:space="0" w:color="FFFFFF"/>
                        </w:tcBorders>
                        <w:shd w:val="clear" w:color="auto" w:fill="C32B2D"/>
                      </w:tcPr>
                      <w:p>
                        <w:pPr>
                          <w:pStyle w:val="TableParagraph"/>
                          <w:spacing w:before="70"/>
                          <w:ind w:left="134" w:right="190"/>
                          <w:rPr>
                            <w:b/>
                            <w:sz w:val="18"/>
                          </w:rPr>
                        </w:pPr>
                        <w:r>
                          <w:rPr>
                            <w:b/>
                            <w:color w:val="FFFFFF"/>
                            <w:sz w:val="18"/>
                          </w:rPr>
                          <w:t>Affec- ted region</w:t>
                        </w:r>
                      </w:p>
                    </w:tc>
                    <w:tc>
                      <w:tcPr>
                        <w:tcW w:w="1276" w:type="dxa"/>
                        <w:tcBorders>
                          <w:left w:val="single" w:sz="8" w:space="0" w:color="FFFFFF"/>
                          <w:bottom w:val="single" w:sz="24" w:space="0" w:color="FFFFFF"/>
                          <w:right w:val="single" w:sz="8" w:space="0" w:color="FFFFFF"/>
                        </w:tcBorders>
                        <w:shd w:val="clear" w:color="auto" w:fill="C32B2D"/>
                      </w:tcPr>
                      <w:p>
                        <w:pPr>
                          <w:pStyle w:val="TableParagraph"/>
                          <w:spacing w:before="70"/>
                          <w:ind w:left="134" w:right="592"/>
                          <w:rPr>
                            <w:b/>
                            <w:sz w:val="18"/>
                          </w:rPr>
                        </w:pPr>
                        <w:r>
                          <w:rPr>
                            <w:b/>
                            <w:color w:val="FFFFFF"/>
                            <w:sz w:val="18"/>
                          </w:rPr>
                          <w:t>Patho- logy</w:t>
                        </w:r>
                      </w:p>
                    </w:tc>
                    <w:tc>
                      <w:tcPr>
                        <w:tcW w:w="1277" w:type="dxa"/>
                        <w:tcBorders>
                          <w:left w:val="single" w:sz="8" w:space="0" w:color="FFFFFF"/>
                          <w:bottom w:val="single" w:sz="24" w:space="0" w:color="FFFFFF"/>
                          <w:right w:val="single" w:sz="8" w:space="0" w:color="FFFFFF"/>
                        </w:tcBorders>
                        <w:shd w:val="clear" w:color="auto" w:fill="C32B2D"/>
                      </w:tcPr>
                      <w:p>
                        <w:pPr>
                          <w:pStyle w:val="TableParagraph"/>
                          <w:spacing w:before="70"/>
                          <w:ind w:left="302" w:right="303"/>
                          <w:jc w:val="center"/>
                          <w:rPr>
                            <w:b/>
                            <w:sz w:val="18"/>
                          </w:rPr>
                        </w:pPr>
                        <w:r>
                          <w:rPr>
                            <w:b/>
                            <w:color w:val="FFFFFF"/>
                            <w:sz w:val="18"/>
                          </w:rPr>
                          <w:t>Occupa- tional hazards</w:t>
                        </w:r>
                      </w:p>
                    </w:tc>
                    <w:tc>
                      <w:tcPr>
                        <w:tcW w:w="2116" w:type="dxa"/>
                        <w:tcBorders>
                          <w:left w:val="single" w:sz="8" w:space="0" w:color="FFFFFF"/>
                          <w:bottom w:val="single" w:sz="24" w:space="0" w:color="FFFFFF"/>
                          <w:right w:val="single" w:sz="8" w:space="0" w:color="FFFFFF"/>
                        </w:tcBorders>
                        <w:shd w:val="clear" w:color="auto" w:fill="C32B2D"/>
                      </w:tcPr>
                      <w:p>
                        <w:pPr>
                          <w:pStyle w:val="TableParagraph"/>
                          <w:spacing w:before="70"/>
                          <w:ind w:left="135" w:right="972" w:hanging="2"/>
                          <w:jc w:val="center"/>
                          <w:rPr>
                            <w:b/>
                            <w:sz w:val="18"/>
                          </w:rPr>
                        </w:pPr>
                        <w:r>
                          <w:rPr>
                            <w:b/>
                            <w:color w:val="FFFFFF"/>
                            <w:sz w:val="18"/>
                          </w:rPr>
                          <w:t>Conditions that increase occupational hazards and increase the likelihood of a MSDs</w:t>
                        </w:r>
                      </w:p>
                    </w:tc>
                  </w:tr>
                  <w:tr>
                    <w:trPr>
                      <w:trHeight w:val="390" w:hRule="exact"/>
                    </w:trPr>
                    <w:tc>
                      <w:tcPr>
                        <w:tcW w:w="853" w:type="dxa"/>
                        <w:vMerge w:val="restart"/>
                        <w:tcBorders>
                          <w:top w:val="single" w:sz="24" w:space="0" w:color="FFFFFF"/>
                          <w:right w:val="single" w:sz="8" w:space="0" w:color="FFFFFF"/>
                        </w:tcBorders>
                        <w:shd w:val="clear" w:color="auto" w:fill="E8CCCC"/>
                      </w:tcPr>
                      <w:p>
                        <w:pPr>
                          <w:pStyle w:val="TableParagraph"/>
                          <w:spacing w:before="67"/>
                          <w:ind w:left="143"/>
                          <w:rPr>
                            <w:sz w:val="18"/>
                          </w:rPr>
                        </w:pPr>
                        <w:r>
                          <w:rPr>
                            <w:sz w:val="18"/>
                          </w:rPr>
                          <w:t>Trunk</w:t>
                        </w:r>
                      </w:p>
                    </w:tc>
                    <w:tc>
                      <w:tcPr>
                        <w:tcW w:w="1276" w:type="dxa"/>
                        <w:tcBorders>
                          <w:top w:val="single" w:sz="24" w:space="0" w:color="FFFFFF"/>
                          <w:left w:val="single" w:sz="8" w:space="0" w:color="FFFFFF"/>
                          <w:bottom w:val="single" w:sz="8" w:space="0" w:color="FFFFFF"/>
                          <w:right w:val="single" w:sz="8" w:space="0" w:color="FFFFFF"/>
                        </w:tcBorders>
                        <w:shd w:val="clear" w:color="auto" w:fill="E8CCCC"/>
                      </w:tcPr>
                      <w:p>
                        <w:pPr>
                          <w:pStyle w:val="TableParagraph"/>
                          <w:spacing w:before="67"/>
                          <w:ind w:left="134" w:right="592"/>
                          <w:rPr>
                            <w:sz w:val="18"/>
                          </w:rPr>
                        </w:pPr>
                        <w:r>
                          <w:rPr>
                            <w:sz w:val="18"/>
                          </w:rPr>
                          <w:t>LBP</w:t>
                        </w:r>
                      </w:p>
                    </w:tc>
                    <w:tc>
                      <w:tcPr>
                        <w:tcW w:w="1277" w:type="dxa"/>
                        <w:vMerge w:val="restart"/>
                        <w:tcBorders>
                          <w:top w:val="single" w:sz="24" w:space="0" w:color="FFFFFF"/>
                          <w:left w:val="single" w:sz="8" w:space="0" w:color="FFFFFF"/>
                          <w:right w:val="single" w:sz="8" w:space="0" w:color="FFFFFF"/>
                        </w:tcBorders>
                        <w:shd w:val="clear" w:color="auto" w:fill="E8CCCC"/>
                      </w:tcPr>
                      <w:p>
                        <w:pPr>
                          <w:pStyle w:val="TableParagraph"/>
                          <w:spacing w:before="67"/>
                          <w:ind w:left="177" w:right="606" w:hanging="46"/>
                          <w:rPr>
                            <w:sz w:val="18"/>
                          </w:rPr>
                        </w:pPr>
                        <w:r>
                          <w:rPr>
                            <w:sz w:val="18"/>
                          </w:rPr>
                          <w:t>Lifting loads.</w:t>
                        </w:r>
                      </w:p>
                      <w:p>
                        <w:pPr>
                          <w:pStyle w:val="TableParagraph"/>
                          <w:ind w:left="131" w:right="161"/>
                          <w:rPr>
                            <w:sz w:val="18"/>
                          </w:rPr>
                        </w:pPr>
                        <w:r>
                          <w:rPr>
                            <w:sz w:val="18"/>
                          </w:rPr>
                          <w:t>Axis rotation under load. Committed posture.</w:t>
                        </w:r>
                      </w:p>
                    </w:tc>
                    <w:tc>
                      <w:tcPr>
                        <w:tcW w:w="2116" w:type="dxa"/>
                        <w:vMerge w:val="restart"/>
                        <w:tcBorders>
                          <w:top w:val="single" w:sz="24" w:space="0" w:color="FFFFFF"/>
                          <w:left w:val="single" w:sz="8" w:space="0" w:color="FFFFFF"/>
                        </w:tcBorders>
                        <w:shd w:val="clear" w:color="auto" w:fill="E8CCCC"/>
                      </w:tcPr>
                      <w:p>
                        <w:pPr>
                          <w:pStyle w:val="TableParagraph"/>
                          <w:spacing w:before="67"/>
                          <w:ind w:left="131"/>
                          <w:rPr>
                            <w:sz w:val="18"/>
                          </w:rPr>
                        </w:pPr>
                        <w:r>
                          <w:rPr>
                            <w:sz w:val="18"/>
                          </w:rPr>
                          <w:t>Short time Cycle</w:t>
                        </w:r>
                      </w:p>
                      <w:p>
                        <w:pPr>
                          <w:pStyle w:val="TableParagraph"/>
                          <w:rPr>
                            <w:sz w:val="18"/>
                          </w:rPr>
                        </w:pPr>
                      </w:p>
                      <w:p>
                        <w:pPr>
                          <w:pStyle w:val="TableParagraph"/>
                          <w:ind w:left="131" w:right="715"/>
                          <w:rPr>
                            <w:sz w:val="18"/>
                          </w:rPr>
                        </w:pPr>
                        <w:r>
                          <w:rPr>
                            <w:sz w:val="18"/>
                          </w:rPr>
                          <w:t>Extreme detail in production.</w:t>
                        </w:r>
                      </w:p>
                      <w:p>
                        <w:pPr>
                          <w:pStyle w:val="TableParagraph"/>
                          <w:rPr>
                            <w:sz w:val="18"/>
                          </w:rPr>
                        </w:pPr>
                      </w:p>
                      <w:p>
                        <w:pPr>
                          <w:pStyle w:val="TableParagraph"/>
                          <w:ind w:left="131"/>
                          <w:rPr>
                            <w:sz w:val="18"/>
                          </w:rPr>
                        </w:pPr>
                        <w:r>
                          <w:rPr>
                            <w:sz w:val="18"/>
                          </w:rPr>
                          <w:t>Long working hours.</w:t>
                        </w:r>
                      </w:p>
                      <w:p>
                        <w:pPr>
                          <w:pStyle w:val="TableParagraph"/>
                          <w:rPr>
                            <w:sz w:val="18"/>
                          </w:rPr>
                        </w:pPr>
                      </w:p>
                      <w:p>
                        <w:pPr>
                          <w:pStyle w:val="TableParagraph"/>
                          <w:rPr>
                            <w:sz w:val="18"/>
                          </w:rPr>
                        </w:pPr>
                      </w:p>
                      <w:p>
                        <w:pPr>
                          <w:pStyle w:val="TableParagraph"/>
                          <w:ind w:left="131" w:right="526"/>
                          <w:rPr>
                            <w:sz w:val="18"/>
                          </w:rPr>
                        </w:pPr>
                        <w:r>
                          <w:rPr>
                            <w:sz w:val="18"/>
                          </w:rPr>
                          <w:t>Accelerated pace of work</w:t>
                        </w:r>
                      </w:p>
                      <w:p>
                        <w:pPr>
                          <w:pStyle w:val="TableParagraph"/>
                          <w:rPr>
                            <w:sz w:val="18"/>
                          </w:rPr>
                        </w:pPr>
                      </w:p>
                      <w:p>
                        <w:pPr>
                          <w:pStyle w:val="TableParagraph"/>
                          <w:ind w:left="131"/>
                          <w:rPr>
                            <w:sz w:val="18"/>
                          </w:rPr>
                        </w:pPr>
                        <w:r>
                          <w:rPr>
                            <w:sz w:val="18"/>
                          </w:rPr>
                          <w:t>Production quota.</w:t>
                        </w:r>
                      </w:p>
                    </w:tc>
                  </w:tr>
                  <w:tr>
                    <w:trPr>
                      <w:trHeight w:val="578" w:hRule="exact"/>
                    </w:trPr>
                    <w:tc>
                      <w:tcPr>
                        <w:tcW w:w="853" w:type="dxa"/>
                        <w:vMerge/>
                        <w:tcBorders>
                          <w:right w:val="single" w:sz="8" w:space="0" w:color="FFFFFF"/>
                        </w:tcBorders>
                        <w:shd w:val="clear" w:color="auto" w:fill="E8CCCC"/>
                      </w:tcPr>
                      <w:p>
                        <w:pPr/>
                      </w:p>
                    </w:tc>
                    <w:tc>
                      <w:tcPr>
                        <w:tcW w:w="1276" w:type="dxa"/>
                        <w:tcBorders>
                          <w:top w:val="single" w:sz="8" w:space="0" w:color="FFFFFF"/>
                          <w:left w:val="single" w:sz="8" w:space="0" w:color="FFFFFF"/>
                          <w:bottom w:val="single" w:sz="8" w:space="0" w:color="FFFFFF"/>
                          <w:right w:val="single" w:sz="8" w:space="0" w:color="FFFFFF"/>
                        </w:tcBorders>
                        <w:shd w:val="clear" w:color="auto" w:fill="F4E6E6"/>
                      </w:tcPr>
                      <w:p>
                        <w:pPr>
                          <w:pStyle w:val="TableParagraph"/>
                          <w:spacing w:before="68"/>
                          <w:ind w:left="134" w:right="462"/>
                          <w:rPr>
                            <w:sz w:val="18"/>
                          </w:rPr>
                        </w:pPr>
                        <w:r>
                          <w:rPr>
                            <w:sz w:val="18"/>
                          </w:rPr>
                          <w:t>Postural kyphosis</w:t>
                        </w:r>
                      </w:p>
                    </w:tc>
                    <w:tc>
                      <w:tcPr>
                        <w:tcW w:w="1277" w:type="dxa"/>
                        <w:vMerge/>
                        <w:tcBorders>
                          <w:left w:val="single" w:sz="8" w:space="0" w:color="FFFFFF"/>
                          <w:right w:val="single" w:sz="8" w:space="0" w:color="FFFFFF"/>
                        </w:tcBorders>
                        <w:shd w:val="clear" w:color="auto" w:fill="E8CCCC"/>
                      </w:tcPr>
                      <w:p>
                        <w:pPr/>
                      </w:p>
                    </w:tc>
                    <w:tc>
                      <w:tcPr>
                        <w:tcW w:w="2116" w:type="dxa"/>
                        <w:vMerge/>
                        <w:tcBorders>
                          <w:left w:val="single" w:sz="8" w:space="0" w:color="FFFFFF"/>
                        </w:tcBorders>
                        <w:shd w:val="clear" w:color="auto" w:fill="E8CCCC"/>
                      </w:tcPr>
                      <w:p>
                        <w:pPr/>
                      </w:p>
                    </w:tc>
                  </w:tr>
                  <w:tr>
                    <w:trPr>
                      <w:trHeight w:val="457" w:hRule="exact"/>
                    </w:trPr>
                    <w:tc>
                      <w:tcPr>
                        <w:tcW w:w="853" w:type="dxa"/>
                        <w:vMerge/>
                        <w:tcBorders>
                          <w:bottom w:val="single" w:sz="8" w:space="0" w:color="FFFFFF"/>
                          <w:right w:val="single" w:sz="8" w:space="0" w:color="FFFFFF"/>
                        </w:tcBorders>
                        <w:shd w:val="clear" w:color="auto" w:fill="E8CCCC"/>
                      </w:tcPr>
                      <w:p>
                        <w:pPr/>
                      </w:p>
                    </w:tc>
                    <w:tc>
                      <w:tcPr>
                        <w:tcW w:w="1276" w:type="dxa"/>
                        <w:tcBorders>
                          <w:top w:val="single" w:sz="8" w:space="0" w:color="FFFFFF"/>
                          <w:left w:val="single" w:sz="8" w:space="0" w:color="FFFFFF"/>
                          <w:bottom w:val="single" w:sz="8" w:space="0" w:color="FFFFFF"/>
                          <w:right w:val="single" w:sz="8" w:space="0" w:color="FFFFFF"/>
                        </w:tcBorders>
                        <w:shd w:val="clear" w:color="auto" w:fill="E8CCCC"/>
                      </w:tcPr>
                      <w:p>
                        <w:pPr>
                          <w:pStyle w:val="TableParagraph"/>
                          <w:spacing w:before="68"/>
                          <w:ind w:left="134" w:right="462"/>
                          <w:rPr>
                            <w:sz w:val="18"/>
                          </w:rPr>
                        </w:pPr>
                        <w:r>
                          <w:rPr>
                            <w:sz w:val="18"/>
                            <w:u w:val="single"/>
                          </w:rPr>
                          <w:t>S</w:t>
                        </w:r>
                        <w:r>
                          <w:rPr>
                            <w:sz w:val="18"/>
                          </w:rPr>
                          <w:t>ciatica</w:t>
                        </w:r>
                      </w:p>
                    </w:tc>
                    <w:tc>
                      <w:tcPr>
                        <w:tcW w:w="1277" w:type="dxa"/>
                        <w:vMerge/>
                        <w:tcBorders>
                          <w:left w:val="single" w:sz="8" w:space="0" w:color="FFFFFF"/>
                          <w:bottom w:val="single" w:sz="8" w:space="0" w:color="FFFFFF"/>
                          <w:right w:val="single" w:sz="8" w:space="0" w:color="FFFFFF"/>
                        </w:tcBorders>
                        <w:shd w:val="clear" w:color="auto" w:fill="E8CCCC"/>
                      </w:tcPr>
                      <w:p>
                        <w:pPr/>
                      </w:p>
                    </w:tc>
                    <w:tc>
                      <w:tcPr>
                        <w:tcW w:w="2116" w:type="dxa"/>
                        <w:vMerge/>
                        <w:tcBorders>
                          <w:left w:val="single" w:sz="8" w:space="0" w:color="FFFFFF"/>
                        </w:tcBorders>
                        <w:shd w:val="clear" w:color="auto" w:fill="E8CCCC"/>
                      </w:tcPr>
                      <w:p>
                        <w:pPr/>
                      </w:p>
                    </w:tc>
                  </w:tr>
                  <w:tr>
                    <w:trPr>
                      <w:trHeight w:val="1081" w:hRule="exact"/>
                    </w:trPr>
                    <w:tc>
                      <w:tcPr>
                        <w:tcW w:w="3406" w:type="dxa"/>
                        <w:gridSpan w:val="3"/>
                        <w:tcBorders>
                          <w:top w:val="single" w:sz="8" w:space="0" w:color="FFFFFF"/>
                          <w:right w:val="single" w:sz="8" w:space="0" w:color="FFFFFF"/>
                        </w:tcBorders>
                      </w:tcPr>
                      <w:p>
                        <w:pPr>
                          <w:pStyle w:val="TableParagraph"/>
                          <w:tabs>
                            <w:tab w:pos="997" w:val="left" w:leader="none"/>
                            <w:tab w:pos="2270" w:val="left" w:leader="none"/>
                          </w:tabs>
                          <w:spacing w:before="67"/>
                          <w:ind w:left="143"/>
                          <w:rPr>
                            <w:sz w:val="18"/>
                          </w:rPr>
                        </w:pPr>
                        <w:r>
                          <w:rPr>
                            <w:sz w:val="18"/>
                          </w:rPr>
                          <w:t>Upper</w:t>
                          <w:tab/>
                          <w:t>Bursitis</w:t>
                          <w:tab/>
                          <w:t>Repetitive</w:t>
                        </w:r>
                      </w:p>
                      <w:p>
                        <w:pPr>
                          <w:pStyle w:val="TableParagraph"/>
                          <w:tabs>
                            <w:tab w:pos="2270" w:val="left" w:leader="none"/>
                          </w:tabs>
                          <w:spacing w:line="187" w:lineRule="exact"/>
                          <w:ind w:left="143"/>
                          <w:rPr>
                            <w:sz w:val="18"/>
                          </w:rPr>
                        </w:pPr>
                        <w:r>
                          <w:rPr>
                            <w:sz w:val="18"/>
                          </w:rPr>
                          <w:t>limbs</w:t>
                          <w:tab/>
                          <w:t>work with</w:t>
                        </w:r>
                      </w:p>
                      <w:p>
                        <w:pPr>
                          <w:pStyle w:val="TableParagraph"/>
                          <w:tabs>
                            <w:tab w:pos="2270" w:val="left" w:leader="none"/>
                          </w:tabs>
                          <w:spacing w:line="227" w:lineRule="exact"/>
                          <w:ind w:left="997"/>
                          <w:rPr>
                            <w:sz w:val="18"/>
                          </w:rPr>
                        </w:pPr>
                        <w:r>
                          <w:rPr>
                            <w:position w:val="4"/>
                            <w:sz w:val="18"/>
                          </w:rPr>
                          <w:t>Celulite</w:t>
                          <w:tab/>
                        </w:r>
                        <w:r>
                          <w:rPr>
                            <w:sz w:val="18"/>
                          </w:rPr>
                          <w:t>bent wrist.</w:t>
                        </w:r>
                      </w:p>
                      <w:p>
                        <w:pPr>
                          <w:pStyle w:val="TableParagraph"/>
                          <w:ind w:left="2270" w:right="456"/>
                          <w:rPr>
                            <w:sz w:val="18"/>
                          </w:rPr>
                        </w:pPr>
                        <w:r>
                          <w:rPr>
                            <w:sz w:val="18"/>
                          </w:rPr>
                          <w:t>Use of vibrating</w:t>
                        </w:r>
                      </w:p>
                    </w:tc>
                    <w:tc>
                      <w:tcPr>
                        <w:tcW w:w="2116" w:type="dxa"/>
                        <w:vMerge/>
                        <w:tcBorders>
                          <w:left w:val="single" w:sz="8" w:space="0" w:color="FFFFFF"/>
                        </w:tcBorders>
                        <w:shd w:val="clear" w:color="auto" w:fill="E8CCCC"/>
                      </w:tcPr>
                      <w:p>
                        <w:pPr/>
                      </w:p>
                    </w:tc>
                  </w:tr>
                  <w:tr>
                    <w:trPr>
                      <w:trHeight w:val="496" w:hRule="exact"/>
                    </w:trPr>
                    <w:tc>
                      <w:tcPr>
                        <w:tcW w:w="853" w:type="dxa"/>
                        <w:vMerge w:val="restart"/>
                        <w:tcBorders>
                          <w:right w:val="single" w:sz="8" w:space="0" w:color="FFFFFF"/>
                        </w:tcBorders>
                        <w:shd w:val="clear" w:color="auto" w:fill="F4E6E6"/>
                      </w:tcPr>
                      <w:p>
                        <w:pPr/>
                      </w:p>
                    </w:tc>
                    <w:tc>
                      <w:tcPr>
                        <w:tcW w:w="1276" w:type="dxa"/>
                        <w:tcBorders>
                          <w:left w:val="single" w:sz="8" w:space="0" w:color="FFFFFF"/>
                          <w:bottom w:val="single" w:sz="8" w:space="0" w:color="FFFFFF"/>
                          <w:right w:val="single" w:sz="8" w:space="0" w:color="FFFFFF"/>
                        </w:tcBorders>
                        <w:shd w:val="clear" w:color="auto" w:fill="F4E6E6"/>
                      </w:tcPr>
                      <w:p>
                        <w:pPr>
                          <w:pStyle w:val="TableParagraph"/>
                          <w:ind w:left="134" w:right="287"/>
                          <w:rPr>
                            <w:sz w:val="18"/>
                          </w:rPr>
                        </w:pPr>
                        <w:r>
                          <w:rPr>
                            <w:sz w:val="18"/>
                          </w:rPr>
                          <w:t>Tense neck or shoulder</w:t>
                        </w:r>
                      </w:p>
                    </w:tc>
                    <w:tc>
                      <w:tcPr>
                        <w:tcW w:w="1277" w:type="dxa"/>
                        <w:vMerge w:val="restart"/>
                        <w:tcBorders>
                          <w:left w:val="single" w:sz="8" w:space="0" w:color="FFFFFF"/>
                          <w:right w:val="single" w:sz="8" w:space="0" w:color="FFFFFF"/>
                        </w:tcBorders>
                        <w:shd w:val="clear" w:color="auto" w:fill="F4E6E6"/>
                      </w:tcPr>
                      <w:p>
                        <w:pPr>
                          <w:pStyle w:val="TableParagraph"/>
                          <w:spacing w:before="31"/>
                          <w:ind w:left="131" w:right="156"/>
                          <w:rPr>
                            <w:sz w:val="18"/>
                          </w:rPr>
                        </w:pPr>
                        <w:r>
                          <w:rPr>
                            <w:sz w:val="18"/>
                          </w:rPr>
                          <w:t>tools Overload of the spine and other joints. Use of hand tools</w:t>
                        </w:r>
                      </w:p>
                    </w:tc>
                    <w:tc>
                      <w:tcPr>
                        <w:tcW w:w="2116" w:type="dxa"/>
                        <w:vMerge/>
                        <w:tcBorders>
                          <w:left w:val="single" w:sz="8" w:space="0" w:color="FFFFFF"/>
                        </w:tcBorders>
                        <w:shd w:val="clear" w:color="auto" w:fill="E8CCCC"/>
                      </w:tcPr>
                      <w:p>
                        <w:pPr/>
                      </w:p>
                    </w:tc>
                  </w:tr>
                  <w:tr>
                    <w:trPr>
                      <w:trHeight w:val="577" w:hRule="exact"/>
                    </w:trPr>
                    <w:tc>
                      <w:tcPr>
                        <w:tcW w:w="853" w:type="dxa"/>
                        <w:vMerge/>
                        <w:tcBorders>
                          <w:right w:val="single" w:sz="8" w:space="0" w:color="FFFFFF"/>
                        </w:tcBorders>
                        <w:shd w:val="clear" w:color="auto" w:fill="F4E6E6"/>
                      </w:tcPr>
                      <w:p>
                        <w:pPr/>
                      </w:p>
                    </w:tc>
                    <w:tc>
                      <w:tcPr>
                        <w:tcW w:w="1276" w:type="dxa"/>
                        <w:tcBorders>
                          <w:top w:val="single" w:sz="8" w:space="0" w:color="FFFFFF"/>
                          <w:left w:val="single" w:sz="8" w:space="0" w:color="FFFFFF"/>
                          <w:bottom w:val="single" w:sz="8" w:space="0" w:color="FFFFFF"/>
                          <w:right w:val="single" w:sz="8" w:space="0" w:color="FFFFFF"/>
                        </w:tcBorders>
                        <w:shd w:val="clear" w:color="auto" w:fill="E8CCCC"/>
                      </w:tcPr>
                      <w:p>
                        <w:pPr>
                          <w:pStyle w:val="TableParagraph"/>
                          <w:spacing w:before="67"/>
                          <w:ind w:left="134" w:right="482"/>
                          <w:rPr>
                            <w:sz w:val="18"/>
                          </w:rPr>
                        </w:pPr>
                        <w:r>
                          <w:rPr>
                            <w:sz w:val="18"/>
                          </w:rPr>
                          <w:t>Osteoar- thritis</w:t>
                        </w:r>
                      </w:p>
                    </w:tc>
                    <w:tc>
                      <w:tcPr>
                        <w:tcW w:w="1277" w:type="dxa"/>
                        <w:vMerge/>
                        <w:tcBorders>
                          <w:left w:val="single" w:sz="8" w:space="0" w:color="FFFFFF"/>
                          <w:right w:val="single" w:sz="8" w:space="0" w:color="FFFFFF"/>
                        </w:tcBorders>
                        <w:shd w:val="clear" w:color="auto" w:fill="F4E6E6"/>
                      </w:tcPr>
                      <w:p>
                        <w:pPr/>
                      </w:p>
                    </w:tc>
                    <w:tc>
                      <w:tcPr>
                        <w:tcW w:w="2116" w:type="dxa"/>
                        <w:vMerge/>
                        <w:tcBorders>
                          <w:left w:val="single" w:sz="8" w:space="0" w:color="FFFFFF"/>
                        </w:tcBorders>
                        <w:shd w:val="clear" w:color="auto" w:fill="E8CCCC"/>
                      </w:tcPr>
                      <w:p>
                        <w:pPr/>
                      </w:p>
                    </w:tc>
                  </w:tr>
                  <w:tr>
                    <w:trPr>
                      <w:trHeight w:val="983" w:hRule="exact"/>
                    </w:trPr>
                    <w:tc>
                      <w:tcPr>
                        <w:tcW w:w="853" w:type="dxa"/>
                        <w:vMerge/>
                        <w:tcBorders>
                          <w:right w:val="single" w:sz="8" w:space="0" w:color="FFFFFF"/>
                        </w:tcBorders>
                        <w:shd w:val="clear" w:color="auto" w:fill="F4E6E6"/>
                      </w:tcPr>
                      <w:p>
                        <w:pPr/>
                      </w:p>
                    </w:tc>
                    <w:tc>
                      <w:tcPr>
                        <w:tcW w:w="1276" w:type="dxa"/>
                        <w:tcBorders>
                          <w:top w:val="single" w:sz="8" w:space="0" w:color="FFFFFF"/>
                          <w:left w:val="single" w:sz="8" w:space="0" w:color="FFFFFF"/>
                          <w:right w:val="single" w:sz="8" w:space="0" w:color="FFFFFF"/>
                        </w:tcBorders>
                        <w:shd w:val="clear" w:color="auto" w:fill="F4E6E6"/>
                      </w:tcPr>
                      <w:p>
                        <w:pPr>
                          <w:pStyle w:val="TableParagraph"/>
                          <w:spacing w:before="68"/>
                          <w:ind w:left="134" w:right="392"/>
                          <w:rPr>
                            <w:sz w:val="18"/>
                          </w:rPr>
                        </w:pPr>
                        <w:r>
                          <w:rPr>
                            <w:sz w:val="18"/>
                          </w:rPr>
                          <w:t>Bilateral carpio Tunnel syndrome</w:t>
                        </w:r>
                      </w:p>
                    </w:tc>
                    <w:tc>
                      <w:tcPr>
                        <w:tcW w:w="1277" w:type="dxa"/>
                        <w:vMerge/>
                        <w:tcBorders>
                          <w:left w:val="single" w:sz="8" w:space="0" w:color="FFFFFF"/>
                          <w:right w:val="single" w:sz="8" w:space="0" w:color="FFFFFF"/>
                        </w:tcBorders>
                        <w:shd w:val="clear" w:color="auto" w:fill="F4E6E6"/>
                      </w:tcPr>
                      <w:p>
                        <w:pPr/>
                      </w:p>
                    </w:tc>
                    <w:tc>
                      <w:tcPr>
                        <w:tcW w:w="2116" w:type="dxa"/>
                        <w:vMerge/>
                        <w:tcBorders>
                          <w:left w:val="single" w:sz="8" w:space="0" w:color="FFFFFF"/>
                        </w:tcBorders>
                        <w:shd w:val="clear" w:color="auto" w:fill="E8CCCC"/>
                      </w:tcPr>
                      <w:p>
                        <w:pPr/>
                      </w:p>
                    </w:tc>
                  </w:tr>
                </w:tbl>
                <w:p>
                  <w:pPr>
                    <w:pStyle w:val="BodyText"/>
                  </w:pPr>
                </w:p>
              </w:txbxContent>
            </v:textbox>
            <w10:wrap type="none"/>
          </v:shape>
        </w:pict>
      </w:r>
      <w:r>
        <w:rPr>
          <w:b/>
          <w:sz w:val="18"/>
        </w:rPr>
        <w:t>5. REFERENCES</w:t>
      </w:r>
    </w:p>
    <w:p>
      <w:pPr>
        <w:pStyle w:val="BodyText"/>
        <w:spacing w:before="7"/>
        <w:rPr>
          <w:b/>
          <w:sz w:val="17"/>
        </w:rPr>
      </w:pPr>
    </w:p>
    <w:p>
      <w:pPr>
        <w:spacing w:before="1"/>
        <w:ind w:left="270" w:right="677" w:firstLine="0"/>
        <w:jc w:val="both"/>
        <w:rPr>
          <w:sz w:val="18"/>
        </w:rPr>
      </w:pPr>
      <w:r>
        <w:rPr>
          <w:sz w:val="18"/>
        </w:rPr>
        <w:t>[1] Ashby L., Tappin D. and Bentley T. “Evaluation in industry of  a draft code of practice for manual handling”, Applied Ergonomics 35 , pp.293-300.</w:t>
      </w:r>
      <w:r>
        <w:rPr>
          <w:spacing w:val="-17"/>
          <w:sz w:val="18"/>
        </w:rPr>
        <w:t> </w:t>
      </w:r>
      <w:r>
        <w:rPr>
          <w:sz w:val="18"/>
        </w:rPr>
        <w:t>2003.</w:t>
      </w:r>
    </w:p>
    <w:p>
      <w:pPr>
        <w:spacing w:before="0"/>
        <w:ind w:left="270" w:right="679" w:firstLine="0"/>
        <w:jc w:val="both"/>
        <w:rPr>
          <w:sz w:val="18"/>
        </w:rPr>
      </w:pPr>
      <w:r>
        <w:rPr>
          <w:sz w:val="18"/>
        </w:rPr>
        <w:t>[2] David, G.C. “Ergonomic methods for assessing exposure to risk factors for work-related musculoskeletal disorders. Occup. Med”, (London) 55,  pp. 190–199, 2005.</w:t>
      </w:r>
    </w:p>
    <w:p>
      <w:pPr>
        <w:spacing w:before="0"/>
        <w:ind w:left="270" w:right="677" w:firstLine="0"/>
        <w:jc w:val="both"/>
        <w:rPr>
          <w:sz w:val="18"/>
        </w:rPr>
      </w:pPr>
      <w:r>
        <w:rPr>
          <w:sz w:val="18"/>
        </w:rPr>
        <w:t>[3] Geoffrey D., Woods V., Li G. and Buckle P. “The development of the Quick Exposure Check, for assessing exposure to risk factor for work-related musculoskeletal disorders”. Applied Ergonomics 39, pp. 57-59, 2008.</w:t>
      </w:r>
    </w:p>
    <w:p>
      <w:pPr>
        <w:spacing w:before="0"/>
        <w:ind w:left="270" w:right="679" w:firstLine="0"/>
        <w:jc w:val="both"/>
        <w:rPr>
          <w:sz w:val="18"/>
        </w:rPr>
      </w:pPr>
      <w:r>
        <w:rPr>
          <w:sz w:val="18"/>
        </w:rPr>
        <w:t>[4] Grote G. “Adding a strategic edge to human factors / ergonomics: Principles for the management of uncertainty as cornerstones for system design”. Applined Ergonomics 45, pp. 33- 39, 2014.</w:t>
      </w:r>
    </w:p>
    <w:p>
      <w:pPr>
        <w:spacing w:before="0"/>
        <w:ind w:left="270" w:right="678" w:firstLine="0"/>
        <w:jc w:val="both"/>
        <w:rPr>
          <w:sz w:val="18"/>
        </w:rPr>
      </w:pPr>
      <w:r>
        <w:rPr>
          <w:sz w:val="18"/>
        </w:rPr>
        <w:t>[5] J. Bertolote y A. Fleishchmann. “Desgaste del Personal. Red Mundial de Salud Ocupacional”, no. 2. 2002,  pp. 5-7.</w:t>
      </w:r>
    </w:p>
    <w:p>
      <w:pPr>
        <w:spacing w:before="0"/>
        <w:ind w:left="270" w:right="679" w:firstLine="0"/>
        <w:jc w:val="both"/>
        <w:rPr>
          <w:sz w:val="18"/>
        </w:rPr>
      </w:pPr>
      <w:r>
        <w:rPr>
          <w:sz w:val="18"/>
        </w:rPr>
        <w:t>[6] Rodríguez, Y., Tesis Doctoral. “ERIN: Método Práctico para Evaluar la Exposición a Factores de Riesgo de Desórdenes Musculo-Esqueléticos”. La Habana, Cuba, 2011.</w:t>
      </w:r>
    </w:p>
    <w:p>
      <w:pPr>
        <w:spacing w:before="0"/>
        <w:ind w:left="270" w:right="678" w:firstLine="44"/>
        <w:jc w:val="both"/>
        <w:rPr>
          <w:sz w:val="18"/>
        </w:rPr>
      </w:pPr>
      <w:r>
        <w:rPr>
          <w:sz w:val="18"/>
        </w:rPr>
        <w:t>[7]Vázquez, L., Tesis Doctoral. “Contribución a la evaluación del desempeño productivo y la salud del trabajador, en el ensamble manual de la industria maquiladora en el noreste de Sonora, México”. La Habana, Cuba, 2012.</w:t>
      </w:r>
    </w:p>
    <w:p>
      <w:pPr>
        <w:pStyle w:val="BodyText"/>
        <w:rPr>
          <w:sz w:val="18"/>
        </w:rPr>
      </w:pPr>
    </w:p>
    <w:p>
      <w:pPr>
        <w:spacing w:before="0"/>
        <w:ind w:left="270" w:right="676" w:firstLine="0"/>
        <w:jc w:val="both"/>
        <w:rPr>
          <w:sz w:val="18"/>
        </w:rPr>
      </w:pPr>
      <w:r>
        <w:rPr>
          <w:b/>
          <w:sz w:val="18"/>
        </w:rPr>
        <w:t>Lamberto Vazquez Veloz: </w:t>
      </w:r>
      <w:r>
        <w:rPr>
          <w:sz w:val="18"/>
        </w:rPr>
        <w:t>He is an industrial and system engineer with a Masters degree in Operations research by the National Autonomous University of México (Faculty of Engineering), and has a PhD in Industrial Economics (Ergonomics) University of La Habana . He has been a lecturer for more than a decade in different institutions of higher education related to the system of Institutes of Technology depending on the Secretary of Public Education, teaching courses of mainly Statistics, Operations Research and ergonomics. He has been a speaker in different congresses both domestically and internationally.</w:t>
      </w:r>
    </w:p>
    <w:p>
      <w:pPr>
        <w:pStyle w:val="BodyText"/>
        <w:rPr>
          <w:sz w:val="18"/>
        </w:rPr>
      </w:pPr>
    </w:p>
    <w:p>
      <w:pPr>
        <w:spacing w:before="0"/>
        <w:ind w:left="270" w:right="678" w:firstLine="0"/>
        <w:jc w:val="both"/>
        <w:rPr>
          <w:sz w:val="18"/>
        </w:rPr>
      </w:pPr>
      <w:r>
        <w:rPr>
          <w:b/>
          <w:sz w:val="18"/>
        </w:rPr>
        <w:t>Daniel Laborin Hurtado: </w:t>
      </w:r>
      <w:r>
        <w:rPr>
          <w:sz w:val="18"/>
        </w:rPr>
        <w:t>He is an industrial engineer with a Master in Education by the UNIDEP, Mexico. He is a Professor of industrial engineering from Instituto Tecnológico de Agua Prieta,  in the areas of statistics and</w:t>
      </w:r>
      <w:r>
        <w:rPr>
          <w:spacing w:val="-14"/>
          <w:sz w:val="18"/>
        </w:rPr>
        <w:t> </w:t>
      </w:r>
      <w:r>
        <w:rPr>
          <w:sz w:val="18"/>
        </w:rPr>
        <w:t>ergonomics.</w:t>
      </w:r>
    </w:p>
    <w:p>
      <w:pPr>
        <w:pStyle w:val="BodyText"/>
        <w:rPr>
          <w:sz w:val="18"/>
        </w:rPr>
      </w:pPr>
    </w:p>
    <w:p>
      <w:pPr>
        <w:pStyle w:val="BodyText"/>
        <w:spacing w:before="10"/>
        <w:rPr>
          <w:sz w:val="17"/>
        </w:rPr>
      </w:pPr>
    </w:p>
    <w:p>
      <w:pPr>
        <w:spacing w:before="1"/>
        <w:ind w:left="270" w:right="679" w:firstLine="0"/>
        <w:jc w:val="both"/>
        <w:rPr>
          <w:sz w:val="18"/>
        </w:rPr>
      </w:pPr>
      <w:r>
        <w:rPr>
          <w:b/>
          <w:sz w:val="18"/>
        </w:rPr>
        <w:t>Román López Millanes, Cristian Ramírez Martínez: I</w:t>
      </w:r>
      <w:r>
        <w:rPr>
          <w:sz w:val="18"/>
        </w:rPr>
        <w:t>ndustrial engineering students of the Instituto Tecnológico de Agua Prieta</w:t>
      </w:r>
    </w:p>
    <w:p>
      <w:pPr>
        <w:spacing w:after="0"/>
        <w:jc w:val="both"/>
        <w:rPr>
          <w:sz w:val="18"/>
        </w:rPr>
        <w:sectPr>
          <w:type w:val="continuous"/>
          <w:pgSz w:w="12240" w:h="15840"/>
          <w:pgMar w:top="1500" w:bottom="280" w:left="580" w:right="220"/>
          <w:cols w:num="2" w:equalWidth="0">
            <w:col w:w="5164" w:space="434"/>
            <w:col w:w="5842"/>
          </w:cols>
        </w:sectPr>
      </w:pPr>
    </w:p>
    <w:p>
      <w:pPr>
        <w:pStyle w:val="BodyText"/>
        <w:rPr>
          <w:sz w:val="11"/>
        </w:rPr>
      </w:pPr>
    </w:p>
    <w:p>
      <w:pPr>
        <w:spacing w:after="0"/>
        <w:rPr>
          <w:sz w:val="11"/>
        </w:rPr>
        <w:sectPr>
          <w:pgSz w:w="12240" w:h="15840"/>
          <w:pgMar w:header="545" w:footer="852" w:top="1060" w:bottom="1040" w:left="580" w:right="220"/>
        </w:sectPr>
      </w:pPr>
    </w:p>
    <w:p>
      <w:pPr>
        <w:pStyle w:val="BodyText"/>
        <w:spacing w:before="8"/>
        <w:rPr>
          <w:sz w:val="24"/>
        </w:rPr>
      </w:pPr>
    </w:p>
    <w:p>
      <w:pPr>
        <w:pStyle w:val="Heading1"/>
        <w:spacing w:before="1"/>
        <w:rPr>
          <w:b w:val="0"/>
        </w:rPr>
      </w:pPr>
      <w:bookmarkStart w:name="_TOC_250001" w:id="2"/>
      <w:r>
        <w:rPr/>
        <w:t>Study on ergonomic risk forklift operators</w:t>
      </w:r>
      <w:bookmarkEnd w:id="2"/>
      <w:r>
        <w:rPr>
          <w:b w:val="0"/>
          <w:color w:val="212121"/>
        </w:rPr>
        <w:t>.</w:t>
      </w:r>
    </w:p>
    <w:p>
      <w:pPr>
        <w:spacing w:before="182"/>
        <w:ind w:left="270" w:right="0" w:firstLine="0"/>
        <w:jc w:val="both"/>
        <w:rPr>
          <w:i/>
          <w:sz w:val="18"/>
        </w:rPr>
      </w:pPr>
      <w:r>
        <w:rPr>
          <w:position w:val="8"/>
          <w:sz w:val="12"/>
        </w:rPr>
        <w:t>a </w:t>
      </w:r>
      <w:r>
        <w:rPr>
          <w:i/>
          <w:sz w:val="18"/>
        </w:rPr>
        <w:t>Oviedo Peña Karen, </w:t>
      </w:r>
      <w:r>
        <w:rPr>
          <w:position w:val="8"/>
          <w:sz w:val="12"/>
        </w:rPr>
        <w:t>b </w:t>
      </w:r>
      <w:r>
        <w:rPr>
          <w:i/>
          <w:sz w:val="18"/>
        </w:rPr>
        <w:t>González Jiménez Ricardo, </w:t>
      </w:r>
      <w:r>
        <w:rPr>
          <w:position w:val="8"/>
          <w:sz w:val="12"/>
        </w:rPr>
        <w:t>c </w:t>
      </w:r>
      <w:r>
        <w:rPr>
          <w:i/>
          <w:sz w:val="18"/>
        </w:rPr>
        <w:t>M. en C. Saúl </w:t>
      </w:r>
      <w:r>
        <w:rPr>
          <w:i/>
          <w:sz w:val="18"/>
        </w:rPr>
        <w:t>Rangel Lara</w:t>
      </w:r>
    </w:p>
    <w:p>
      <w:pPr>
        <w:pStyle w:val="BodyText"/>
        <w:spacing w:before="10"/>
        <w:rPr>
          <w:i/>
          <w:sz w:val="15"/>
        </w:rPr>
      </w:pPr>
    </w:p>
    <w:p>
      <w:pPr>
        <w:spacing w:before="0"/>
        <w:ind w:left="270" w:right="0" w:firstLine="0"/>
        <w:jc w:val="both"/>
        <w:rPr>
          <w:sz w:val="18"/>
        </w:rPr>
      </w:pPr>
      <w:r>
        <w:rPr>
          <w:position w:val="8"/>
          <w:sz w:val="12"/>
        </w:rPr>
        <w:t>a.b.c </w:t>
      </w:r>
      <w:r>
        <w:rPr>
          <w:sz w:val="18"/>
        </w:rPr>
        <w:t>Universidad Politécnica del </w:t>
      </w:r>
      <w:r>
        <w:rPr>
          <w:spacing w:val="-5"/>
          <w:sz w:val="18"/>
        </w:rPr>
        <w:t>Valle </w:t>
      </w:r>
      <w:r>
        <w:rPr>
          <w:sz w:val="18"/>
        </w:rPr>
        <w:t>de México, División de Ingeniería Industrial,   </w:t>
      </w:r>
      <w:r>
        <w:rPr>
          <w:spacing w:val="-9"/>
          <w:sz w:val="18"/>
        </w:rPr>
        <w:t>Av.  </w:t>
      </w:r>
      <w:r>
        <w:rPr>
          <w:sz w:val="18"/>
        </w:rPr>
        <w:t>Mexiquense s/n, Col. </w:t>
      </w:r>
      <w:r>
        <w:rPr>
          <w:spacing w:val="-3"/>
          <w:sz w:val="18"/>
        </w:rPr>
        <w:t>Villa    </w:t>
      </w:r>
      <w:r>
        <w:rPr>
          <w:sz w:val="18"/>
        </w:rPr>
        <w:t>Esmeralda,</w:t>
      </w:r>
    </w:p>
    <w:p>
      <w:pPr>
        <w:pStyle w:val="ListParagraph"/>
        <w:numPr>
          <w:ilvl w:val="1"/>
          <w:numId w:val="42"/>
        </w:numPr>
        <w:tabs>
          <w:tab w:pos="829" w:val="left" w:leader="none"/>
        </w:tabs>
        <w:spacing w:line="240" w:lineRule="auto" w:before="0" w:after="0"/>
        <w:ind w:left="270" w:right="0" w:firstLine="0"/>
        <w:jc w:val="both"/>
        <w:rPr>
          <w:sz w:val="18"/>
        </w:rPr>
      </w:pPr>
      <w:r>
        <w:rPr>
          <w:sz w:val="18"/>
        </w:rPr>
        <w:t>54910, Tultitlán, Estado de México, Mèxico. </w:t>
      </w:r>
      <w:hyperlink r:id="rId121">
        <w:r>
          <w:rPr>
            <w:sz w:val="18"/>
          </w:rPr>
          <w:t>karen_pretties@hotmail.com,</w:t>
        </w:r>
      </w:hyperlink>
      <w:r>
        <w:rPr>
          <w:sz w:val="18"/>
        </w:rPr>
        <w:t> </w:t>
      </w:r>
      <w:hyperlink r:id="rId122">
        <w:r>
          <w:rPr>
            <w:sz w:val="18"/>
          </w:rPr>
          <w:t>ricardoglez_industrial@hotmail.com,</w:t>
        </w:r>
      </w:hyperlink>
      <w:r>
        <w:rPr>
          <w:sz w:val="18"/>
        </w:rPr>
        <w:t> </w:t>
      </w:r>
      <w:hyperlink r:id="rId123">
        <w:r>
          <w:rPr>
            <w:sz w:val="18"/>
          </w:rPr>
          <w:t>spolitecnicas@yahoo.com</w:t>
        </w:r>
      </w:hyperlink>
    </w:p>
    <w:p>
      <w:pPr>
        <w:pStyle w:val="BodyText"/>
        <w:spacing w:before="4"/>
        <w:rPr>
          <w:sz w:val="18"/>
        </w:rPr>
      </w:pPr>
    </w:p>
    <w:p>
      <w:pPr>
        <w:spacing w:before="1"/>
        <w:ind w:left="270" w:right="0" w:firstLine="0"/>
        <w:jc w:val="both"/>
        <w:rPr>
          <w:b/>
          <w:sz w:val="18"/>
        </w:rPr>
      </w:pPr>
      <w:r>
        <w:rPr/>
        <w:pict>
          <v:line style="position:absolute;mso-position-horizontal-relative:page;mso-position-vertical-relative:paragraph;z-index:4144" from="41.040001pt,12.142048pt" to="288.540001pt,12.142048pt" stroked="true" strokeweight="1.5pt" strokecolor="#000000">
            <w10:wrap type="none"/>
          </v:line>
        </w:pict>
      </w:r>
      <w:r>
        <w:rPr>
          <w:b/>
          <w:sz w:val="18"/>
        </w:rPr>
        <w:t>Resumen</w:t>
      </w:r>
    </w:p>
    <w:p>
      <w:pPr>
        <w:spacing w:before="45"/>
        <w:ind w:left="270" w:right="1" w:firstLine="1"/>
        <w:jc w:val="both"/>
        <w:rPr>
          <w:sz w:val="18"/>
        </w:rPr>
      </w:pPr>
      <w:r>
        <w:rPr>
          <w:sz w:val="18"/>
        </w:rPr>
        <w:t>La investigación es tipo transversal y de aplicación básica, Se analizaron los factores de riesgo de lesiones por DTA's (Desorden Traumático Acumulativo); con el fin de identificar si el manejo del montacargas afecta la salud de los trabajadores, dando lugar a enfermedades profesionales. Con el objetivo de evaluar factores de riesgo presentes en el manejo del montacargas, se realizó la aplicación de los métodos: Ergotec, Plibel y Rula. Los factores laborales considerados fueron: procedimientos, movimientos, posición, frecuencia, peso, manejo del montacargas, vibración, temperatura e iluminación. Los personales: edad, género, antropometría y enfermedades crónicas degenerativas. Los efectos se clasificaron en bajo, mediano y alto riesgo. Con la base en los resultados obtenidos se modificó el procedimiento de uso para el cuidado y desempeño responsable en el manejo del montacargas.</w:t>
      </w:r>
    </w:p>
    <w:p>
      <w:pPr>
        <w:pStyle w:val="BodyText"/>
        <w:rPr>
          <w:sz w:val="18"/>
        </w:rPr>
      </w:pPr>
    </w:p>
    <w:p>
      <w:pPr>
        <w:spacing w:before="0"/>
        <w:ind w:left="270" w:right="0" w:firstLine="0"/>
        <w:jc w:val="both"/>
        <w:rPr>
          <w:sz w:val="18"/>
        </w:rPr>
      </w:pPr>
      <w:r>
        <w:rPr>
          <w:b/>
          <w:sz w:val="18"/>
        </w:rPr>
        <w:t>Palabras clave</w:t>
      </w:r>
      <w:r>
        <w:rPr>
          <w:sz w:val="18"/>
        </w:rPr>
        <w:t>— Lesión, riesgo, trabajo.</w:t>
      </w:r>
    </w:p>
    <w:p>
      <w:pPr>
        <w:pStyle w:val="BodyText"/>
        <w:spacing w:before="6"/>
        <w:rPr>
          <w:sz w:val="18"/>
        </w:rPr>
      </w:pPr>
    </w:p>
    <w:p>
      <w:pPr>
        <w:spacing w:before="0"/>
        <w:ind w:left="270" w:right="0" w:firstLine="0"/>
        <w:jc w:val="both"/>
        <w:rPr>
          <w:b/>
          <w:i/>
          <w:sz w:val="18"/>
        </w:rPr>
      </w:pPr>
      <w:r>
        <w:rPr/>
        <w:pict>
          <v:line style="position:absolute;mso-position-horizontal-relative:page;mso-position-vertical-relative:paragraph;z-index:4168" from="41.040001pt,12.092346pt" to="288.540001pt,12.092346pt" stroked="true" strokeweight="1.5pt" strokecolor="#000000">
            <w10:wrap type="none"/>
          </v:line>
        </w:pict>
      </w:r>
      <w:r>
        <w:rPr>
          <w:b/>
          <w:i/>
          <w:sz w:val="18"/>
        </w:rPr>
        <w:t>Abstract</w:t>
      </w:r>
    </w:p>
    <w:p>
      <w:pPr>
        <w:pStyle w:val="BodyText"/>
        <w:spacing w:before="9"/>
        <w:rPr>
          <w:b/>
          <w:i/>
          <w:sz w:val="21"/>
        </w:rPr>
      </w:pPr>
    </w:p>
    <w:p>
      <w:pPr>
        <w:spacing w:before="1"/>
        <w:ind w:left="270" w:right="0" w:firstLine="0"/>
        <w:jc w:val="both"/>
        <w:rPr>
          <w:i/>
          <w:sz w:val="18"/>
        </w:rPr>
      </w:pPr>
      <w:r>
        <w:rPr>
          <w:i/>
          <w:sz w:val="18"/>
        </w:rPr>
        <w:t>Research is transversal and basic application type, the risk factors </w:t>
      </w:r>
      <w:r>
        <w:rPr>
          <w:i/>
          <w:sz w:val="18"/>
        </w:rPr>
        <w:t>of injury were analyzed by DTA's (Cumulative Traumatic Disorder); in order to identify whether the elevator management affects the health of workers, resulting diseases. ERGOTEC, Plibel and Rula: In order to assess risk factors present in the handling of the truck, the application of the methods was performed. The occupational factors considered were: procedures, movements, position, frequency, weight, handling forklifts, vibration, temperature and lighting. Personal: age, gender, anthropometry and chronic degenerative diseases. The effects were classified into low, medium and high risk. With the basis of the results obtained the production process was modified and workstation redesign.</w:t>
      </w:r>
    </w:p>
    <w:p>
      <w:pPr>
        <w:pStyle w:val="BodyText"/>
        <w:rPr>
          <w:i/>
          <w:sz w:val="18"/>
        </w:rPr>
      </w:pPr>
    </w:p>
    <w:p>
      <w:pPr>
        <w:pStyle w:val="BodyText"/>
        <w:spacing w:before="1"/>
        <w:rPr>
          <w:i/>
          <w:sz w:val="18"/>
        </w:rPr>
      </w:pPr>
    </w:p>
    <w:p>
      <w:pPr>
        <w:spacing w:before="0"/>
        <w:ind w:left="270" w:right="0" w:firstLine="0"/>
        <w:jc w:val="both"/>
        <w:rPr>
          <w:rFonts w:ascii="Arial" w:hAnsi="Arial"/>
          <w:sz w:val="18"/>
        </w:rPr>
      </w:pPr>
      <w:r>
        <w:rPr>
          <w:b/>
          <w:i/>
          <w:sz w:val="18"/>
        </w:rPr>
        <w:t>Keywords</w:t>
      </w:r>
      <w:r>
        <w:rPr>
          <w:i/>
          <w:sz w:val="18"/>
        </w:rPr>
        <w:t>— </w:t>
      </w:r>
      <w:r>
        <w:rPr>
          <w:rFonts w:ascii="Arial" w:hAnsi="Arial"/>
          <w:color w:val="212121"/>
          <w:sz w:val="18"/>
        </w:rPr>
        <w:t>Injury, risk, work.</w:t>
      </w:r>
    </w:p>
    <w:p>
      <w:pPr>
        <w:pStyle w:val="BodyText"/>
        <w:rPr>
          <w:rFonts w:ascii="Arial"/>
          <w:sz w:val="18"/>
        </w:rPr>
      </w:pPr>
    </w:p>
    <w:p>
      <w:pPr>
        <w:pStyle w:val="BodyText"/>
        <w:spacing w:before="10"/>
        <w:rPr>
          <w:rFonts w:ascii="Arial"/>
          <w:sz w:val="17"/>
        </w:rPr>
      </w:pPr>
    </w:p>
    <w:p>
      <w:pPr>
        <w:spacing w:before="1"/>
        <w:ind w:left="270" w:right="1" w:firstLine="0"/>
        <w:jc w:val="both"/>
        <w:rPr>
          <w:sz w:val="18"/>
        </w:rPr>
      </w:pPr>
      <w:r>
        <w:rPr>
          <w:sz w:val="18"/>
        </w:rPr>
        <w:t>Relevance to Ergonomics: </w:t>
      </w:r>
      <w:r>
        <w:rPr>
          <w:color w:val="212121"/>
          <w:sz w:val="18"/>
        </w:rPr>
        <w:t>This study allowed us to demonstrate  the importance of understanding the variables that determine the productive activity of to integrate subsequently these elements to design prevention strategies and</w:t>
      </w:r>
      <w:r>
        <w:rPr>
          <w:color w:val="212121"/>
          <w:spacing w:val="-7"/>
          <w:sz w:val="18"/>
        </w:rPr>
        <w:t> </w:t>
      </w:r>
      <w:r>
        <w:rPr>
          <w:color w:val="212121"/>
          <w:sz w:val="18"/>
        </w:rPr>
        <w:t>tasks.</w:t>
      </w:r>
    </w:p>
    <w:p>
      <w:pPr>
        <w:pStyle w:val="BodyText"/>
        <w:spacing w:before="3"/>
        <w:rPr>
          <w:sz w:val="18"/>
        </w:rPr>
      </w:pPr>
    </w:p>
    <w:p>
      <w:pPr>
        <w:pStyle w:val="ListParagraph"/>
        <w:numPr>
          <w:ilvl w:val="2"/>
          <w:numId w:val="42"/>
        </w:numPr>
        <w:tabs>
          <w:tab w:pos="978" w:val="left" w:leader="none"/>
          <w:tab w:pos="979" w:val="left" w:leader="none"/>
        </w:tabs>
        <w:spacing w:line="240" w:lineRule="auto" w:before="0" w:after="0"/>
        <w:ind w:left="978" w:right="0" w:hanging="348"/>
        <w:jc w:val="left"/>
        <w:rPr>
          <w:b/>
          <w:sz w:val="18"/>
        </w:rPr>
      </w:pPr>
      <w:r>
        <w:rPr>
          <w:b/>
          <w:sz w:val="18"/>
        </w:rPr>
        <w:t>INTRODUCTION</w:t>
      </w:r>
    </w:p>
    <w:p>
      <w:pPr>
        <w:pStyle w:val="BodyText"/>
        <w:spacing w:before="7"/>
        <w:rPr>
          <w:b/>
          <w:sz w:val="17"/>
        </w:rPr>
      </w:pPr>
    </w:p>
    <w:p>
      <w:pPr>
        <w:spacing w:before="1"/>
        <w:ind w:left="270" w:right="0" w:firstLine="0"/>
        <w:jc w:val="both"/>
        <w:rPr>
          <w:sz w:val="18"/>
        </w:rPr>
      </w:pPr>
      <w:r>
        <w:rPr>
          <w:sz w:val="18"/>
        </w:rPr>
        <w:t>For organizations to be competitive today must maintain high standards in quality, price and convenience, specifically focusing the consumer. However, to achieve its objectives, it is important that the working conditions in the different production processes  are appropriate for their relevance as important factors in  efficiency. Ergonomics as a science or discipline helps  people adapt   the   environment   depending   on   their   size,   needs  </w:t>
      </w:r>
      <w:r>
        <w:rPr>
          <w:spacing w:val="26"/>
          <w:sz w:val="18"/>
        </w:rPr>
        <w:t> </w:t>
      </w:r>
      <w:r>
        <w:rPr>
          <w:sz w:val="18"/>
        </w:rPr>
        <w:t>and</w:t>
      </w:r>
    </w:p>
    <w:p>
      <w:pPr>
        <w:spacing w:before="77"/>
        <w:ind w:left="270" w:right="679" w:firstLine="0"/>
        <w:jc w:val="both"/>
        <w:rPr>
          <w:sz w:val="18"/>
        </w:rPr>
      </w:pPr>
      <w:r>
        <w:rPr/>
        <w:br w:type="column"/>
      </w:r>
      <w:r>
        <w:rPr>
          <w:sz w:val="18"/>
        </w:rPr>
        <w:t>interaction with the environment through scientific determination of the creation of jobs.</w:t>
      </w:r>
      <w:r>
        <w:rPr>
          <w:spacing w:val="-6"/>
          <w:sz w:val="18"/>
        </w:rPr>
        <w:t> </w:t>
      </w:r>
      <w:r>
        <w:rPr>
          <w:sz w:val="18"/>
        </w:rPr>
        <w:t>[1].</w:t>
      </w:r>
    </w:p>
    <w:p>
      <w:pPr>
        <w:spacing w:before="0"/>
        <w:ind w:left="270" w:right="677" w:firstLine="0"/>
        <w:jc w:val="both"/>
        <w:rPr>
          <w:sz w:val="18"/>
        </w:rPr>
      </w:pPr>
      <w:r>
        <w:rPr>
          <w:sz w:val="18"/>
        </w:rPr>
        <w:t>Frederick Taylor takes the first steps in working ergonomics with his "scientific organization of work", which applies the basic  design working tools such as blades of different shapes and dimensions. [2], European countries mainly worked heavily in ergonomic research to improve the life of the worker, which served as a reference for Mexico is interested and involved in this</w:t>
      </w:r>
      <w:r>
        <w:rPr>
          <w:spacing w:val="-16"/>
          <w:sz w:val="18"/>
        </w:rPr>
        <w:t> </w:t>
      </w:r>
      <w:r>
        <w:rPr>
          <w:sz w:val="18"/>
        </w:rPr>
        <w:t>issue.</w:t>
      </w:r>
    </w:p>
    <w:p>
      <w:pPr>
        <w:spacing w:before="0"/>
        <w:ind w:left="270" w:right="676" w:firstLine="0"/>
        <w:jc w:val="both"/>
        <w:rPr>
          <w:sz w:val="18"/>
        </w:rPr>
      </w:pPr>
      <w:r>
        <w:rPr>
          <w:sz w:val="18"/>
        </w:rPr>
        <w:t>Currently exist diverse research of ergonomics and outstanding scholars such as Juan José Cañas contemporary author, researcher at the University of Granada known for its high contribution to cognitive ergonomics. [3]. Vehicles forklifts are widely used in a  lot of operations. The dimensions and capacity of these vehicles are also highly</w:t>
      </w:r>
      <w:r>
        <w:rPr>
          <w:spacing w:val="-17"/>
          <w:sz w:val="18"/>
        </w:rPr>
        <w:t> </w:t>
      </w:r>
      <w:r>
        <w:rPr>
          <w:sz w:val="18"/>
        </w:rPr>
        <w:t>variable.</w:t>
      </w:r>
    </w:p>
    <w:p>
      <w:pPr>
        <w:pStyle w:val="BodyText"/>
        <w:spacing w:before="3"/>
        <w:rPr>
          <w:sz w:val="18"/>
        </w:rPr>
      </w:pPr>
    </w:p>
    <w:p>
      <w:pPr>
        <w:pStyle w:val="ListParagraph"/>
        <w:numPr>
          <w:ilvl w:val="1"/>
          <w:numId w:val="43"/>
        </w:numPr>
        <w:tabs>
          <w:tab w:pos="542" w:val="left" w:leader="none"/>
        </w:tabs>
        <w:spacing w:line="240" w:lineRule="auto" w:before="0" w:after="0"/>
        <w:ind w:left="541" w:right="0" w:hanging="271"/>
        <w:jc w:val="both"/>
        <w:rPr>
          <w:b/>
          <w:sz w:val="18"/>
        </w:rPr>
      </w:pPr>
      <w:r>
        <w:rPr>
          <w:b/>
          <w:sz w:val="18"/>
        </w:rPr>
        <w:t>Main problem when maneuvering the truck</w:t>
      </w:r>
      <w:r>
        <w:rPr>
          <w:b/>
          <w:spacing w:val="-19"/>
          <w:sz w:val="18"/>
        </w:rPr>
        <w:t> </w:t>
      </w:r>
      <w:r>
        <w:rPr>
          <w:b/>
          <w:sz w:val="18"/>
        </w:rPr>
        <w:t>.</w:t>
      </w:r>
    </w:p>
    <w:p>
      <w:pPr>
        <w:pStyle w:val="BodyText"/>
        <w:spacing w:before="7"/>
        <w:rPr>
          <w:b/>
          <w:sz w:val="17"/>
        </w:rPr>
      </w:pPr>
    </w:p>
    <w:p>
      <w:pPr>
        <w:spacing w:before="1"/>
        <w:ind w:left="270" w:right="677" w:firstLine="0"/>
        <w:jc w:val="both"/>
        <w:rPr>
          <w:sz w:val="18"/>
        </w:rPr>
      </w:pPr>
      <w:r>
        <w:rPr>
          <w:sz w:val="18"/>
        </w:rPr>
        <w:t>The present study was conducted in a company metalworking, because forklift operators expressed feeling intense back pain and muscle aches in the lower extremities and in various areas of the body. The forklift operator job, not just about managing it, also the worker has to lift, load and unload objects of size, shape and different weight.</w:t>
      </w:r>
    </w:p>
    <w:p>
      <w:pPr>
        <w:pStyle w:val="BodyText"/>
        <w:rPr>
          <w:sz w:val="18"/>
        </w:rPr>
      </w:pPr>
    </w:p>
    <w:p>
      <w:pPr>
        <w:spacing w:before="0"/>
        <w:ind w:left="270" w:right="678" w:firstLine="0"/>
        <w:jc w:val="both"/>
        <w:rPr>
          <w:sz w:val="18"/>
        </w:rPr>
      </w:pPr>
      <w:r>
        <w:rPr>
          <w:sz w:val="18"/>
        </w:rPr>
        <w:t>To perform its functions, the workers have the personal protective equipment provided by the company (safety shoes, ear plugs and safety glasses back gloves thread). The supply of materials is performed in cardboard boxes that are placed on one side of the machine on a wheeled base, and has side supports materials often tend to fall is also at ground level, so that the operator must bend, take the parts and supply the machine. Figure 1.</w:t>
      </w:r>
    </w:p>
    <w:p>
      <w:pPr>
        <w:pStyle w:val="BodyText"/>
        <w:rPr>
          <w:sz w:val="15"/>
        </w:rPr>
      </w:pPr>
      <w:r>
        <w:rPr/>
        <w:drawing>
          <wp:anchor distT="0" distB="0" distL="0" distR="0" allowOverlap="1" layoutInCell="1" locked="0" behindDoc="0" simplePos="0" relativeHeight="4120">
            <wp:simplePos x="0" y="0"/>
            <wp:positionH relativeFrom="page">
              <wp:posOffset>4094988</wp:posOffset>
            </wp:positionH>
            <wp:positionV relativeFrom="paragraph">
              <wp:posOffset>134507</wp:posOffset>
            </wp:positionV>
            <wp:extent cx="2786644" cy="1676400"/>
            <wp:effectExtent l="0" t="0" r="0" b="0"/>
            <wp:wrapTopAndBottom/>
            <wp:docPr id="81" name="image51.jpeg" descr=""/>
            <wp:cNvGraphicFramePr>
              <a:graphicFrameLocks noChangeAspect="1"/>
            </wp:cNvGraphicFramePr>
            <a:graphic>
              <a:graphicData uri="http://schemas.openxmlformats.org/drawingml/2006/picture">
                <pic:pic>
                  <pic:nvPicPr>
                    <pic:cNvPr id="82" name="image51.jpeg"/>
                    <pic:cNvPicPr/>
                  </pic:nvPicPr>
                  <pic:blipFill>
                    <a:blip r:embed="rId124" cstate="print"/>
                    <a:stretch>
                      <a:fillRect/>
                    </a:stretch>
                  </pic:blipFill>
                  <pic:spPr>
                    <a:xfrm>
                      <a:off x="0" y="0"/>
                      <a:ext cx="2786644" cy="1676400"/>
                    </a:xfrm>
                    <a:prstGeom prst="rect">
                      <a:avLst/>
                    </a:prstGeom>
                  </pic:spPr>
                </pic:pic>
              </a:graphicData>
            </a:graphic>
          </wp:anchor>
        </w:drawing>
      </w:r>
    </w:p>
    <w:p>
      <w:pPr>
        <w:pStyle w:val="BodyText"/>
        <w:spacing w:before="4"/>
        <w:rPr>
          <w:sz w:val="15"/>
        </w:rPr>
      </w:pPr>
    </w:p>
    <w:p>
      <w:pPr>
        <w:spacing w:before="1"/>
        <w:ind w:left="1205" w:right="668" w:firstLine="0"/>
        <w:jc w:val="left"/>
        <w:rPr>
          <w:sz w:val="18"/>
        </w:rPr>
      </w:pPr>
      <w:r>
        <w:rPr>
          <w:sz w:val="18"/>
        </w:rPr>
        <w:t>Figure 1. Problem position on the forklift.</w:t>
      </w:r>
    </w:p>
    <w:p>
      <w:pPr>
        <w:pStyle w:val="BodyText"/>
        <w:rPr>
          <w:sz w:val="18"/>
        </w:rPr>
      </w:pPr>
    </w:p>
    <w:p>
      <w:pPr>
        <w:spacing w:before="0"/>
        <w:ind w:left="270" w:right="678" w:firstLine="44"/>
        <w:jc w:val="both"/>
        <w:rPr>
          <w:sz w:val="18"/>
        </w:rPr>
      </w:pPr>
      <w:r>
        <w:rPr>
          <w:sz w:val="18"/>
        </w:rPr>
        <w:t>This operation was considered a high risk activity, fundamental to the operation of the service, where workers often expressed back pain and muscle aches, different positions and repetitive  movements in the performance of their work. However, he was not given the importance and came to be considered a "natural and normal" consequence of work. This issue had an impact on the high staff turnover as a central problem. Fatigue, stress and boredom charged advantage against the desire and willingness to work, the reduction of effort and attention daily</w:t>
      </w:r>
      <w:r>
        <w:rPr>
          <w:spacing w:val="-16"/>
          <w:sz w:val="18"/>
        </w:rPr>
        <w:t> </w:t>
      </w:r>
      <w:r>
        <w:rPr>
          <w:sz w:val="18"/>
        </w:rPr>
        <w:t>activities.</w:t>
      </w:r>
    </w:p>
    <w:p>
      <w:pPr>
        <w:pStyle w:val="BodyText"/>
        <w:rPr>
          <w:sz w:val="18"/>
        </w:rPr>
      </w:pPr>
    </w:p>
    <w:p>
      <w:pPr>
        <w:spacing w:before="0"/>
        <w:ind w:left="270" w:right="676" w:firstLine="0"/>
        <w:jc w:val="both"/>
        <w:rPr>
          <w:sz w:val="18"/>
        </w:rPr>
      </w:pPr>
      <w:r>
        <w:rPr>
          <w:sz w:val="18"/>
        </w:rPr>
        <w:t>Risk factors of injury were analyzed by DTA's (Cumulative Traumatic Disorder); in order to identify whether the forklift handling affects the health of workers, leading to diseases professional. The ergonomic evaluation was performed with the application of methods: ERGOTEC, Plibel and Rula. The occupational  factors  considered  were:  procedures,    movements,</w:t>
      </w:r>
    </w:p>
    <w:p>
      <w:pPr>
        <w:spacing w:after="0"/>
        <w:jc w:val="both"/>
        <w:rPr>
          <w:sz w:val="18"/>
        </w:rPr>
        <w:sectPr>
          <w:type w:val="continuous"/>
          <w:pgSz w:w="12240" w:h="15840"/>
          <w:pgMar w:top="1500" w:bottom="280" w:left="580" w:right="220"/>
          <w:cols w:num="2" w:equalWidth="0">
            <w:col w:w="5164" w:space="434"/>
            <w:col w:w="5842"/>
          </w:cols>
        </w:sectPr>
      </w:pPr>
    </w:p>
    <w:p>
      <w:pPr>
        <w:pStyle w:val="BodyText"/>
        <w:rPr>
          <w:sz w:val="11"/>
        </w:rPr>
      </w:pPr>
    </w:p>
    <w:p>
      <w:pPr>
        <w:spacing w:after="0"/>
        <w:rPr>
          <w:sz w:val="11"/>
        </w:rPr>
        <w:sectPr>
          <w:pgSz w:w="12240" w:h="15840"/>
          <w:pgMar w:header="545" w:footer="852" w:top="1060" w:bottom="1040" w:left="580" w:right="220"/>
        </w:sectPr>
      </w:pPr>
    </w:p>
    <w:p>
      <w:pPr>
        <w:spacing w:before="77"/>
        <w:ind w:left="270" w:right="0" w:firstLine="0"/>
        <w:jc w:val="both"/>
        <w:rPr>
          <w:sz w:val="18"/>
        </w:rPr>
      </w:pPr>
      <w:r>
        <w:rPr>
          <w:sz w:val="18"/>
        </w:rPr>
        <w:t>position, frequency, weight, handling forklifts, vibration, temperature and lighting.</w:t>
      </w:r>
    </w:p>
    <w:p>
      <w:pPr>
        <w:spacing w:before="0"/>
        <w:ind w:left="270" w:right="0" w:firstLine="0"/>
        <w:jc w:val="both"/>
        <w:rPr>
          <w:sz w:val="18"/>
        </w:rPr>
      </w:pPr>
      <w:r>
        <w:rPr>
          <w:sz w:val="18"/>
        </w:rPr>
        <w:t>Personal: age, gender, anthropometry and chronic degenerative diseases. The effects were classified into low, medium and high risk. With the basis of the results obtained the production process was modified and workstation redesign</w:t>
      </w:r>
    </w:p>
    <w:p>
      <w:pPr>
        <w:pStyle w:val="BodyText"/>
        <w:rPr>
          <w:sz w:val="18"/>
        </w:rPr>
      </w:pPr>
    </w:p>
    <w:p>
      <w:pPr>
        <w:pStyle w:val="ListParagraph"/>
        <w:numPr>
          <w:ilvl w:val="2"/>
          <w:numId w:val="43"/>
        </w:numPr>
        <w:tabs>
          <w:tab w:pos="978" w:val="left" w:leader="none"/>
          <w:tab w:pos="979" w:val="left" w:leader="none"/>
        </w:tabs>
        <w:spacing w:line="240" w:lineRule="auto" w:before="0" w:after="0"/>
        <w:ind w:left="990" w:right="0" w:hanging="720"/>
        <w:jc w:val="left"/>
        <w:rPr>
          <w:sz w:val="18"/>
        </w:rPr>
      </w:pPr>
      <w:r>
        <w:rPr>
          <w:sz w:val="18"/>
          <w:u w:val="single"/>
        </w:rPr>
        <w:t>Problems in the movements of the feet when handling </w:t>
      </w:r>
      <w:r>
        <w:rPr>
          <w:sz w:val="18"/>
          <w:u w:val="single"/>
        </w:rPr>
        <w:t>forklift.</w:t>
      </w:r>
    </w:p>
    <w:p>
      <w:pPr>
        <w:spacing w:before="77"/>
        <w:ind w:left="270" w:right="679" w:firstLine="0"/>
        <w:jc w:val="both"/>
        <w:rPr>
          <w:sz w:val="18"/>
        </w:rPr>
      </w:pPr>
      <w:r>
        <w:rPr/>
        <w:br w:type="column"/>
      </w:r>
      <w:r>
        <w:rPr>
          <w:sz w:val="18"/>
        </w:rPr>
        <w:t>The knee is subject to large lateral forces and the structure of only ends represents said mechanical violence, so when creating a design it were that the links given the highest possible strength, because if the actuators receive most strength then your performance down. Figure</w:t>
      </w:r>
      <w:r>
        <w:rPr>
          <w:spacing w:val="-2"/>
          <w:sz w:val="18"/>
        </w:rPr>
        <w:t> </w:t>
      </w:r>
      <w:r>
        <w:rPr>
          <w:sz w:val="18"/>
        </w:rPr>
        <w:t>3.</w:t>
      </w:r>
    </w:p>
    <w:p>
      <w:pPr>
        <w:spacing w:after="0"/>
        <w:jc w:val="both"/>
        <w:rPr>
          <w:sz w:val="18"/>
        </w:rPr>
        <w:sectPr>
          <w:type w:val="continuous"/>
          <w:pgSz w:w="12240" w:h="15840"/>
          <w:pgMar w:top="1500" w:bottom="280" w:left="580" w:right="220"/>
          <w:cols w:num="2" w:equalWidth="0">
            <w:col w:w="5163" w:space="435"/>
            <w:col w:w="5842"/>
          </w:cols>
        </w:sectPr>
      </w:pPr>
    </w:p>
    <w:p>
      <w:pPr>
        <w:pStyle w:val="BodyText"/>
        <w:spacing w:before="3"/>
        <w:rPr>
          <w:sz w:val="11"/>
        </w:rPr>
      </w:pPr>
    </w:p>
    <w:p>
      <w:pPr>
        <w:spacing w:before="77"/>
        <w:ind w:left="270" w:right="6274" w:firstLine="0"/>
        <w:jc w:val="both"/>
        <w:rPr>
          <w:sz w:val="18"/>
        </w:rPr>
      </w:pPr>
      <w:r>
        <w:rPr/>
        <w:drawing>
          <wp:anchor distT="0" distB="0" distL="0" distR="0" allowOverlap="1" layoutInCell="1" locked="0" behindDoc="1" simplePos="0" relativeHeight="267560879">
            <wp:simplePos x="0" y="0"/>
            <wp:positionH relativeFrom="page">
              <wp:posOffset>4109465</wp:posOffset>
            </wp:positionH>
            <wp:positionV relativeFrom="paragraph">
              <wp:posOffset>-471521</wp:posOffset>
            </wp:positionV>
            <wp:extent cx="3051047" cy="2033777"/>
            <wp:effectExtent l="0" t="0" r="0" b="0"/>
            <wp:wrapNone/>
            <wp:docPr id="83" name="image52.jpeg" descr=""/>
            <wp:cNvGraphicFramePr>
              <a:graphicFrameLocks noChangeAspect="1"/>
            </wp:cNvGraphicFramePr>
            <a:graphic>
              <a:graphicData uri="http://schemas.openxmlformats.org/drawingml/2006/picture">
                <pic:pic>
                  <pic:nvPicPr>
                    <pic:cNvPr id="84" name="image52.jpeg"/>
                    <pic:cNvPicPr/>
                  </pic:nvPicPr>
                  <pic:blipFill>
                    <a:blip r:embed="rId125" cstate="print"/>
                    <a:stretch>
                      <a:fillRect/>
                    </a:stretch>
                  </pic:blipFill>
                  <pic:spPr>
                    <a:xfrm>
                      <a:off x="0" y="0"/>
                      <a:ext cx="3051047" cy="2033777"/>
                    </a:xfrm>
                    <a:prstGeom prst="rect">
                      <a:avLst/>
                    </a:prstGeom>
                  </pic:spPr>
                </pic:pic>
              </a:graphicData>
            </a:graphic>
          </wp:anchor>
        </w:drawing>
      </w:r>
      <w:r>
        <w:rPr>
          <w:sz w:val="18"/>
        </w:rPr>
        <w:t>The ankle joint or tarsal lukewarm, is the distal joint of the lower limb. Determines the movements of the leg in relation to the foot in the sagittal plane. Is not only necessary but essential for progress, whether this takes place on level ground, as if developed in rugged terrain.</w:t>
      </w:r>
    </w:p>
    <w:p>
      <w:pPr>
        <w:spacing w:before="0"/>
        <w:ind w:left="270" w:right="6275" w:firstLine="0"/>
        <w:jc w:val="both"/>
        <w:rPr>
          <w:sz w:val="18"/>
        </w:rPr>
      </w:pPr>
      <w:r>
        <w:rPr>
          <w:sz w:val="18"/>
        </w:rPr>
        <w:t>It is a tight joint, which suffers significant limitations, since the single-leg supports the entire weight of the body, even increased by kinetic energy when the foot contacts the ground at speed during walking, running or receiving the jump. Figure 2.</w:t>
      </w:r>
    </w:p>
    <w:p>
      <w:pPr>
        <w:spacing w:after="0"/>
        <w:jc w:val="both"/>
        <w:rPr>
          <w:sz w:val="18"/>
        </w:rPr>
        <w:sectPr>
          <w:type w:val="continuous"/>
          <w:pgSz w:w="12240" w:h="15840"/>
          <w:pgMar w:top="1500" w:bottom="280" w:left="580" w:right="220"/>
        </w:sectPr>
      </w:pPr>
    </w:p>
    <w:p>
      <w:pPr>
        <w:pStyle w:val="BodyText"/>
      </w:pPr>
    </w:p>
    <w:p>
      <w:pPr>
        <w:pStyle w:val="BodyText"/>
        <w:spacing w:before="4"/>
        <w:rPr>
          <w:sz w:val="16"/>
        </w:rPr>
      </w:pPr>
    </w:p>
    <w:p>
      <w:pPr>
        <w:pStyle w:val="BodyText"/>
        <w:ind w:left="422"/>
      </w:pPr>
      <w:r>
        <w:rPr/>
        <w:drawing>
          <wp:inline distT="0" distB="0" distL="0" distR="0">
            <wp:extent cx="2902488" cy="2267616"/>
            <wp:effectExtent l="0" t="0" r="0" b="0"/>
            <wp:docPr id="85" name="image53.jpeg" descr=""/>
            <wp:cNvGraphicFramePr>
              <a:graphicFrameLocks noChangeAspect="1"/>
            </wp:cNvGraphicFramePr>
            <a:graphic>
              <a:graphicData uri="http://schemas.openxmlformats.org/drawingml/2006/picture">
                <pic:pic>
                  <pic:nvPicPr>
                    <pic:cNvPr id="86" name="image53.jpeg"/>
                    <pic:cNvPicPr/>
                  </pic:nvPicPr>
                  <pic:blipFill>
                    <a:blip r:embed="rId126" cstate="print"/>
                    <a:stretch>
                      <a:fillRect/>
                    </a:stretch>
                  </pic:blipFill>
                  <pic:spPr>
                    <a:xfrm>
                      <a:off x="0" y="0"/>
                      <a:ext cx="2902488" cy="2267616"/>
                    </a:xfrm>
                    <a:prstGeom prst="rect">
                      <a:avLst/>
                    </a:prstGeom>
                  </pic:spPr>
                </pic:pic>
              </a:graphicData>
            </a:graphic>
          </wp:inline>
        </w:drawing>
      </w:r>
      <w:r>
        <w:rPr/>
      </w:r>
    </w:p>
    <w:p>
      <w:pPr>
        <w:pStyle w:val="BodyText"/>
        <w:spacing w:before="6"/>
        <w:rPr>
          <w:sz w:val="18"/>
        </w:rPr>
      </w:pPr>
    </w:p>
    <w:p>
      <w:pPr>
        <w:spacing w:before="1"/>
        <w:ind w:left="1205" w:right="77" w:firstLine="0"/>
        <w:jc w:val="left"/>
        <w:rPr>
          <w:sz w:val="18"/>
        </w:rPr>
      </w:pPr>
      <w:r>
        <w:rPr>
          <w:sz w:val="18"/>
        </w:rPr>
        <w:t>Figure 2. Problem position on the forklift.</w:t>
      </w:r>
    </w:p>
    <w:p>
      <w:pPr>
        <w:pStyle w:val="BodyText"/>
        <w:rPr>
          <w:sz w:val="18"/>
        </w:rPr>
      </w:pPr>
    </w:p>
    <w:p>
      <w:pPr>
        <w:spacing w:before="0"/>
        <w:ind w:left="270" w:right="25" w:firstLine="0"/>
        <w:jc w:val="left"/>
        <w:rPr>
          <w:sz w:val="18"/>
        </w:rPr>
      </w:pPr>
      <w:r>
        <w:rPr>
          <w:sz w:val="18"/>
        </w:rPr>
        <w:t>Actually the ankle joint is the most important. This set of joints, with the help of the axial rotation of the knee, has the same functions as a single joint of three degrees of freedom, which can be consulted plantar arch in all directions to suit the rugged terrain. Determines the orientation of the foot so that lets you "look" either directly downward, outward or inward. By analogy with the upper limb, these movements are called pronation and</w:t>
      </w:r>
      <w:r>
        <w:rPr>
          <w:spacing w:val="-13"/>
          <w:sz w:val="18"/>
        </w:rPr>
        <w:t> </w:t>
      </w:r>
      <w:r>
        <w:rPr>
          <w:sz w:val="18"/>
        </w:rPr>
        <w:t>supination.</w:t>
      </w:r>
    </w:p>
    <w:p>
      <w:pPr>
        <w:spacing w:before="0"/>
        <w:ind w:left="270" w:right="0" w:firstLine="0"/>
        <w:jc w:val="both"/>
        <w:rPr>
          <w:sz w:val="18"/>
        </w:rPr>
      </w:pPr>
      <w:r>
        <w:rPr>
          <w:sz w:val="18"/>
        </w:rPr>
        <w:t>The act of entering and exiting vehicles caused a significant number of accidents. The poor design of truck drivers causes jump and sometimes suffer sprains ankle or knee. Also bad design can cause drivers have to stretch or bend to be able to accommodate within the</w:t>
      </w:r>
      <w:r>
        <w:rPr>
          <w:spacing w:val="-4"/>
          <w:sz w:val="18"/>
        </w:rPr>
        <w:t> </w:t>
      </w:r>
      <w:r>
        <w:rPr>
          <w:sz w:val="18"/>
        </w:rPr>
        <w:t>units.</w:t>
      </w:r>
    </w:p>
    <w:p>
      <w:pPr>
        <w:pStyle w:val="BodyText"/>
        <w:rPr>
          <w:sz w:val="18"/>
        </w:rPr>
      </w:pPr>
    </w:p>
    <w:p>
      <w:pPr>
        <w:pStyle w:val="ListParagraph"/>
        <w:numPr>
          <w:ilvl w:val="2"/>
          <w:numId w:val="43"/>
        </w:numPr>
        <w:tabs>
          <w:tab w:pos="979" w:val="left" w:leader="none"/>
        </w:tabs>
        <w:spacing w:line="240" w:lineRule="auto" w:before="0" w:after="0"/>
        <w:ind w:left="978" w:right="0" w:hanging="708"/>
        <w:jc w:val="both"/>
        <w:rPr>
          <w:sz w:val="18"/>
        </w:rPr>
      </w:pPr>
      <w:r>
        <w:rPr>
          <w:sz w:val="18"/>
          <w:u w:val="single"/>
        </w:rPr>
        <w:t>Knee problems getting in and out of the</w:t>
      </w:r>
      <w:r>
        <w:rPr>
          <w:spacing w:val="-11"/>
          <w:sz w:val="18"/>
          <w:u w:val="single"/>
        </w:rPr>
        <w:t> </w:t>
      </w:r>
      <w:r>
        <w:rPr>
          <w:sz w:val="18"/>
          <w:u w:val="single"/>
        </w:rPr>
        <w:t>truck.</w:t>
      </w:r>
    </w:p>
    <w:p>
      <w:pPr>
        <w:pStyle w:val="BodyText"/>
        <w:rPr>
          <w:sz w:val="18"/>
        </w:rPr>
      </w:pPr>
    </w:p>
    <w:p>
      <w:pPr>
        <w:spacing w:before="0"/>
        <w:ind w:left="270" w:right="0" w:firstLine="0"/>
        <w:jc w:val="both"/>
        <w:rPr>
          <w:sz w:val="18"/>
        </w:rPr>
      </w:pPr>
      <w:r>
        <w:rPr>
          <w:sz w:val="18"/>
        </w:rPr>
        <w:t>Flexion-extension is the main knee movement its amplitude is measured from the defined reference position. In fact, there is no absolute extension, since in the reference position lower limb is at its maximum elongation state. The amplitude of knee flexion is different as the position of the hip and agree to the terms of the movement itself.</w:t>
      </w:r>
    </w:p>
    <w:p>
      <w:pPr>
        <w:pStyle w:val="BodyText"/>
        <w:rPr>
          <w:sz w:val="18"/>
        </w:rPr>
      </w:pPr>
      <w:r>
        <w:rPr/>
        <w:br w:type="column"/>
      </w:r>
      <w:r>
        <w:rPr>
          <w:sz w:val="18"/>
        </w:rPr>
      </w:r>
    </w:p>
    <w:p>
      <w:pPr>
        <w:pStyle w:val="BodyText"/>
        <w:rPr>
          <w:sz w:val="18"/>
        </w:rPr>
      </w:pPr>
    </w:p>
    <w:p>
      <w:pPr>
        <w:spacing w:before="0"/>
        <w:ind w:left="990" w:right="882" w:firstLine="0"/>
        <w:jc w:val="left"/>
        <w:rPr>
          <w:sz w:val="18"/>
        </w:rPr>
      </w:pPr>
      <w:r>
        <w:rPr>
          <w:sz w:val="18"/>
        </w:rPr>
        <w:t>Figure 3. Problem Knee problems getting in and out of the truck..</w:t>
      </w:r>
    </w:p>
    <w:p>
      <w:pPr>
        <w:pStyle w:val="BodyText"/>
        <w:rPr>
          <w:sz w:val="18"/>
        </w:rPr>
      </w:pPr>
    </w:p>
    <w:p>
      <w:pPr>
        <w:spacing w:before="0"/>
        <w:ind w:left="0" w:right="407" w:firstLine="0"/>
        <w:jc w:val="center"/>
        <w:rPr>
          <w:sz w:val="18"/>
        </w:rPr>
      </w:pPr>
      <w:r>
        <w:rPr>
          <w:sz w:val="18"/>
        </w:rPr>
        <w:t>.</w:t>
      </w:r>
    </w:p>
    <w:p>
      <w:pPr>
        <w:pStyle w:val="ListParagraph"/>
        <w:numPr>
          <w:ilvl w:val="2"/>
          <w:numId w:val="43"/>
        </w:numPr>
        <w:tabs>
          <w:tab w:pos="979" w:val="left" w:leader="none"/>
        </w:tabs>
        <w:spacing w:line="240" w:lineRule="auto" w:before="0" w:after="0"/>
        <w:ind w:left="978" w:right="0" w:hanging="708"/>
        <w:jc w:val="both"/>
        <w:rPr>
          <w:sz w:val="18"/>
        </w:rPr>
      </w:pPr>
      <w:r>
        <w:rPr>
          <w:sz w:val="18"/>
          <w:u w:val="single"/>
        </w:rPr>
        <w:t>Vsibility problems maneuvering a</w:t>
      </w:r>
      <w:r>
        <w:rPr>
          <w:spacing w:val="-10"/>
          <w:sz w:val="18"/>
          <w:u w:val="single"/>
        </w:rPr>
        <w:t> </w:t>
      </w:r>
      <w:r>
        <w:rPr>
          <w:sz w:val="18"/>
          <w:u w:val="single"/>
        </w:rPr>
        <w:t>forklift.</w:t>
      </w:r>
    </w:p>
    <w:p>
      <w:pPr>
        <w:pStyle w:val="BodyText"/>
        <w:rPr>
          <w:sz w:val="18"/>
        </w:rPr>
      </w:pPr>
    </w:p>
    <w:p>
      <w:pPr>
        <w:spacing w:before="0"/>
        <w:ind w:left="270" w:right="677" w:firstLine="0"/>
        <w:jc w:val="both"/>
        <w:rPr>
          <w:sz w:val="18"/>
        </w:rPr>
      </w:pPr>
      <w:r>
        <w:rPr/>
        <w:pict>
          <v:shape style="position:absolute;margin-left:323.579987pt;margin-top:154.622360pt;width:240.25pt;height:155.7pt;mso-position-horizontal-relative:page;mso-position-vertical-relative:paragraph;z-index:-874600" type="#_x0000_t202" filled="false" stroked="false">
            <v:textbox inset="0,0,0,0">
              <w:txbxContent>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9"/>
                    </w:rPr>
                  </w:pPr>
                </w:p>
                <w:p>
                  <w:pPr>
                    <w:spacing w:line="203" w:lineRule="exact" w:before="0"/>
                    <w:ind w:left="814" w:right="0" w:firstLine="0"/>
                    <w:jc w:val="left"/>
                    <w:rPr>
                      <w:sz w:val="18"/>
                    </w:rPr>
                  </w:pPr>
                  <w:r>
                    <w:rPr>
                      <w:sz w:val="18"/>
                    </w:rPr>
                    <w:t>Figure 4. Problem of position on the forklift.</w:t>
                  </w:r>
                </w:p>
              </w:txbxContent>
            </v:textbox>
            <w10:wrap type="none"/>
          </v:shape>
        </w:pict>
      </w:r>
      <w:r>
        <w:rPr>
          <w:sz w:val="18"/>
        </w:rPr>
        <w:t>Poor visibility is a key issue in relation to most designs forklift. In the field of obstructed view forward, forklift driver has no choice but to drive back. While driving back can help solve the visibility problem creates another problem. The Driving back requires the operator to rotate his neck and shoulders, keeping one foot on the pedals of a hand on the wheel, far exceeding the permissible limits for neck positions [4]. This type of bending and twisting of the upper body has been linked to serious long-term damage. Many companies that use forklifts have tried to reduce some of the problems associated with driving back through the installation of central and side mirrors in the hope that this would allow the driver to see the back of traveling without turning head and trunk. Figure 4.</w:t>
      </w:r>
    </w:p>
    <w:p>
      <w:pPr>
        <w:pStyle w:val="BodyText"/>
      </w:pPr>
    </w:p>
    <w:p>
      <w:pPr>
        <w:pStyle w:val="BodyText"/>
        <w:spacing w:before="6"/>
        <w:rPr>
          <w:sz w:val="11"/>
        </w:rPr>
      </w:pPr>
      <w:r>
        <w:rPr/>
        <w:drawing>
          <wp:anchor distT="0" distB="0" distL="0" distR="0" allowOverlap="1" layoutInCell="1" locked="0" behindDoc="0" simplePos="0" relativeHeight="4192">
            <wp:simplePos x="0" y="0"/>
            <wp:positionH relativeFrom="page">
              <wp:posOffset>4109465</wp:posOffset>
            </wp:positionH>
            <wp:positionV relativeFrom="paragraph">
              <wp:posOffset>108892</wp:posOffset>
            </wp:positionV>
            <wp:extent cx="3047487" cy="1956816"/>
            <wp:effectExtent l="0" t="0" r="0" b="0"/>
            <wp:wrapTopAndBottom/>
            <wp:docPr id="87" name="image54.jpeg" descr=""/>
            <wp:cNvGraphicFramePr>
              <a:graphicFrameLocks noChangeAspect="1"/>
            </wp:cNvGraphicFramePr>
            <a:graphic>
              <a:graphicData uri="http://schemas.openxmlformats.org/drawingml/2006/picture">
                <pic:pic>
                  <pic:nvPicPr>
                    <pic:cNvPr id="88" name="image54.jpeg"/>
                    <pic:cNvPicPr/>
                  </pic:nvPicPr>
                  <pic:blipFill>
                    <a:blip r:embed="rId127" cstate="print"/>
                    <a:stretch>
                      <a:fillRect/>
                    </a:stretch>
                  </pic:blipFill>
                  <pic:spPr>
                    <a:xfrm>
                      <a:off x="0" y="0"/>
                      <a:ext cx="3047487" cy="1956816"/>
                    </a:xfrm>
                    <a:prstGeom prst="rect">
                      <a:avLst/>
                    </a:prstGeom>
                  </pic:spPr>
                </pic:pic>
              </a:graphicData>
            </a:graphic>
          </wp:anchor>
        </w:drawing>
      </w:r>
    </w:p>
    <w:p>
      <w:pPr>
        <w:pStyle w:val="BodyText"/>
        <w:rPr>
          <w:sz w:val="18"/>
        </w:rPr>
      </w:pPr>
    </w:p>
    <w:p>
      <w:pPr>
        <w:pStyle w:val="BodyText"/>
        <w:spacing w:before="5"/>
        <w:rPr>
          <w:sz w:val="18"/>
        </w:rPr>
      </w:pPr>
    </w:p>
    <w:p>
      <w:pPr>
        <w:spacing w:before="1"/>
        <w:ind w:left="270" w:right="678" w:firstLine="0"/>
        <w:jc w:val="both"/>
        <w:rPr>
          <w:sz w:val="18"/>
        </w:rPr>
      </w:pPr>
      <w:r>
        <w:rPr>
          <w:sz w:val="18"/>
        </w:rPr>
        <w:t>The side mirrors only provide a view of the back on one side of the truck and can become dangerous if the mirrors stick out too far from the forklift, especially in narrow</w:t>
      </w:r>
      <w:r>
        <w:rPr>
          <w:spacing w:val="-14"/>
          <w:sz w:val="18"/>
        </w:rPr>
        <w:t> </w:t>
      </w:r>
      <w:r>
        <w:rPr>
          <w:sz w:val="18"/>
        </w:rPr>
        <w:t>aisles.</w:t>
      </w:r>
    </w:p>
    <w:p>
      <w:pPr>
        <w:spacing w:before="0"/>
        <w:ind w:left="270" w:right="678" w:firstLine="0"/>
        <w:jc w:val="both"/>
        <w:rPr>
          <w:sz w:val="18"/>
        </w:rPr>
      </w:pPr>
      <w:r>
        <w:rPr>
          <w:sz w:val="18"/>
        </w:rPr>
        <w:t>The use of mirrors not delete looking back because there are many blind spots that fails to cover the mirror because they offer only a</w:t>
      </w:r>
    </w:p>
    <w:p>
      <w:pPr>
        <w:spacing w:after="0"/>
        <w:jc w:val="both"/>
        <w:rPr>
          <w:sz w:val="18"/>
        </w:rPr>
        <w:sectPr>
          <w:type w:val="continuous"/>
          <w:pgSz w:w="12240" w:h="15840"/>
          <w:pgMar w:top="1500" w:bottom="280" w:left="580" w:right="220"/>
          <w:cols w:num="2" w:equalWidth="0">
            <w:col w:w="5164" w:space="434"/>
            <w:col w:w="5842"/>
          </w:cols>
        </w:sectPr>
      </w:pPr>
    </w:p>
    <w:p>
      <w:pPr>
        <w:pStyle w:val="BodyText"/>
        <w:rPr>
          <w:sz w:val="11"/>
        </w:rPr>
      </w:pPr>
    </w:p>
    <w:p>
      <w:pPr>
        <w:spacing w:after="0"/>
        <w:rPr>
          <w:sz w:val="11"/>
        </w:rPr>
        <w:sectPr>
          <w:pgSz w:w="12240" w:h="15840"/>
          <w:pgMar w:header="545" w:footer="852" w:top="1060" w:bottom="1040" w:left="580" w:right="220"/>
        </w:sectPr>
      </w:pPr>
    </w:p>
    <w:p>
      <w:pPr>
        <w:spacing w:before="77"/>
        <w:ind w:left="270" w:right="0" w:firstLine="0"/>
        <w:jc w:val="both"/>
        <w:rPr>
          <w:sz w:val="18"/>
        </w:rPr>
      </w:pPr>
      <w:r>
        <w:rPr>
          <w:sz w:val="18"/>
        </w:rPr>
        <w:t>thin slice of visibility from the rear, distorts the image and depth perception, and invite workers not to look in the direction of travel. The location of the controls is important for comfort and less fatigue throughout the work shift. The equipment controls are located in the cockpit to reduce to a minimum the operator movements and awkward postures and located within areas of visual access. Figure</w:t>
      </w:r>
      <w:r>
        <w:rPr>
          <w:spacing w:val="-6"/>
          <w:sz w:val="18"/>
        </w:rPr>
        <w:t> </w:t>
      </w:r>
      <w:r>
        <w:rPr>
          <w:sz w:val="18"/>
        </w:rPr>
        <w:t>5.</w:t>
      </w:r>
    </w:p>
    <w:p>
      <w:pPr>
        <w:pStyle w:val="BodyText"/>
      </w:pPr>
    </w:p>
    <w:p>
      <w:pPr>
        <w:pStyle w:val="BodyText"/>
        <w:spacing w:before="11"/>
        <w:rPr>
          <w:sz w:val="12"/>
        </w:rPr>
      </w:pPr>
      <w:r>
        <w:rPr/>
        <w:drawing>
          <wp:anchor distT="0" distB="0" distL="0" distR="0" allowOverlap="1" layoutInCell="1" locked="0" behindDoc="0" simplePos="0" relativeHeight="4264">
            <wp:simplePos x="0" y="0"/>
            <wp:positionH relativeFrom="page">
              <wp:posOffset>540258</wp:posOffset>
            </wp:positionH>
            <wp:positionV relativeFrom="paragraph">
              <wp:posOffset>119560</wp:posOffset>
            </wp:positionV>
            <wp:extent cx="2978066" cy="2168842"/>
            <wp:effectExtent l="0" t="0" r="0" b="0"/>
            <wp:wrapTopAndBottom/>
            <wp:docPr id="89" name="image55.jpeg" descr=""/>
            <wp:cNvGraphicFramePr>
              <a:graphicFrameLocks noChangeAspect="1"/>
            </wp:cNvGraphicFramePr>
            <a:graphic>
              <a:graphicData uri="http://schemas.openxmlformats.org/drawingml/2006/picture">
                <pic:pic>
                  <pic:nvPicPr>
                    <pic:cNvPr id="90" name="image55.jpeg"/>
                    <pic:cNvPicPr/>
                  </pic:nvPicPr>
                  <pic:blipFill>
                    <a:blip r:embed="rId128" cstate="print"/>
                    <a:stretch>
                      <a:fillRect/>
                    </a:stretch>
                  </pic:blipFill>
                  <pic:spPr>
                    <a:xfrm>
                      <a:off x="0" y="0"/>
                      <a:ext cx="2978066" cy="2168842"/>
                    </a:xfrm>
                    <a:prstGeom prst="rect">
                      <a:avLst/>
                    </a:prstGeom>
                  </pic:spPr>
                </pic:pic>
              </a:graphicData>
            </a:graphic>
          </wp:anchor>
        </w:drawing>
      </w:r>
    </w:p>
    <w:p>
      <w:pPr>
        <w:pStyle w:val="BodyText"/>
        <w:spacing w:before="3"/>
        <w:rPr>
          <w:sz w:val="15"/>
        </w:rPr>
      </w:pPr>
    </w:p>
    <w:p>
      <w:pPr>
        <w:spacing w:before="0"/>
        <w:ind w:left="1161" w:right="115" w:firstLine="0"/>
        <w:jc w:val="left"/>
        <w:rPr>
          <w:sz w:val="18"/>
        </w:rPr>
      </w:pPr>
      <w:r>
        <w:rPr>
          <w:sz w:val="18"/>
        </w:rPr>
        <w:t>Figure 5. Visibility problem on the forklift.</w:t>
      </w:r>
    </w:p>
    <w:p>
      <w:pPr>
        <w:pStyle w:val="BodyText"/>
        <w:spacing w:before="3"/>
        <w:rPr>
          <w:sz w:val="18"/>
        </w:rPr>
      </w:pPr>
    </w:p>
    <w:p>
      <w:pPr>
        <w:pStyle w:val="ListParagraph"/>
        <w:numPr>
          <w:ilvl w:val="2"/>
          <w:numId w:val="42"/>
        </w:numPr>
        <w:tabs>
          <w:tab w:pos="452" w:val="left" w:leader="none"/>
        </w:tabs>
        <w:spacing w:line="240" w:lineRule="auto" w:before="0" w:after="0"/>
        <w:ind w:left="451" w:right="0" w:hanging="181"/>
        <w:jc w:val="both"/>
        <w:rPr>
          <w:b/>
          <w:color w:val="233F5E"/>
          <w:sz w:val="18"/>
        </w:rPr>
      </w:pPr>
      <w:r>
        <w:rPr>
          <w:b/>
          <w:color w:val="233F5E"/>
          <w:sz w:val="18"/>
        </w:rPr>
        <w:t>METHODOLOGY.</w:t>
      </w:r>
    </w:p>
    <w:p>
      <w:pPr>
        <w:pStyle w:val="BodyText"/>
        <w:spacing w:before="7"/>
        <w:rPr>
          <w:b/>
          <w:sz w:val="17"/>
        </w:rPr>
      </w:pPr>
    </w:p>
    <w:p>
      <w:pPr>
        <w:spacing w:before="1"/>
        <w:ind w:left="270" w:right="0" w:firstLine="0"/>
        <w:jc w:val="both"/>
        <w:rPr>
          <w:sz w:val="18"/>
        </w:rPr>
      </w:pPr>
      <w:r>
        <w:rPr>
          <w:sz w:val="18"/>
        </w:rPr>
        <w:t>The workers were suffering physical ailments, specifically, discomfort in the arms, neck and back after a working day of 8 hours from Monday to Saturday, arguing that their aches and discomforts were caused by repetitive manual lifting of attachments for forklift. Based on the above, we proceeded to conduct this study to identify whether there was a risk of Cumulative Trauma Disorders acquire, hereinafter referred to as DTA's in the performance of their work. [2].</w:t>
      </w:r>
    </w:p>
    <w:p>
      <w:pPr>
        <w:pStyle w:val="BodyText"/>
        <w:rPr>
          <w:sz w:val="18"/>
        </w:rPr>
      </w:pPr>
    </w:p>
    <w:p>
      <w:pPr>
        <w:spacing w:line="207" w:lineRule="exact" w:before="0"/>
        <w:ind w:left="270" w:right="0" w:firstLine="0"/>
        <w:jc w:val="both"/>
        <w:rPr>
          <w:sz w:val="18"/>
        </w:rPr>
      </w:pPr>
      <w:r>
        <w:rPr>
          <w:sz w:val="18"/>
        </w:rPr>
        <w:t>The following objectives are considered:</w:t>
      </w:r>
    </w:p>
    <w:p>
      <w:pPr>
        <w:pStyle w:val="ListParagraph"/>
        <w:numPr>
          <w:ilvl w:val="0"/>
          <w:numId w:val="44"/>
        </w:numPr>
        <w:tabs>
          <w:tab w:pos="696" w:val="left" w:leader="none"/>
          <w:tab w:pos="697" w:val="left" w:leader="none"/>
        </w:tabs>
        <w:spacing w:line="240" w:lineRule="auto" w:before="0" w:after="0"/>
        <w:ind w:left="696" w:right="1" w:hanging="360"/>
        <w:jc w:val="left"/>
        <w:rPr>
          <w:sz w:val="18"/>
        </w:rPr>
      </w:pPr>
      <w:r>
        <w:rPr>
          <w:sz w:val="18"/>
        </w:rPr>
        <w:t>Assess through methods Ergonomic risk factors present in the handling of the</w:t>
      </w:r>
      <w:r>
        <w:rPr>
          <w:spacing w:val="-4"/>
          <w:sz w:val="18"/>
        </w:rPr>
        <w:t> </w:t>
      </w:r>
      <w:r>
        <w:rPr>
          <w:sz w:val="18"/>
        </w:rPr>
        <w:t>truck.</w:t>
      </w:r>
    </w:p>
    <w:p>
      <w:pPr>
        <w:pStyle w:val="ListParagraph"/>
        <w:numPr>
          <w:ilvl w:val="0"/>
          <w:numId w:val="44"/>
        </w:numPr>
        <w:tabs>
          <w:tab w:pos="696" w:val="left" w:leader="none"/>
          <w:tab w:pos="697" w:val="left" w:leader="none"/>
        </w:tabs>
        <w:spacing w:line="240" w:lineRule="auto" w:before="1" w:after="0"/>
        <w:ind w:left="696" w:right="0" w:hanging="360"/>
        <w:jc w:val="left"/>
        <w:rPr>
          <w:sz w:val="18"/>
        </w:rPr>
      </w:pPr>
      <w:r>
        <w:rPr>
          <w:sz w:val="18"/>
        </w:rPr>
        <w:t>Provide opportunities for improvement in the handling of the truck. Through an ergonomic</w:t>
      </w:r>
      <w:r>
        <w:rPr>
          <w:spacing w:val="-3"/>
          <w:sz w:val="18"/>
        </w:rPr>
        <w:t> </w:t>
      </w:r>
      <w:r>
        <w:rPr>
          <w:sz w:val="18"/>
        </w:rPr>
        <w:t>evaluation.</w:t>
      </w:r>
    </w:p>
    <w:p>
      <w:pPr>
        <w:pStyle w:val="ListParagraph"/>
        <w:numPr>
          <w:ilvl w:val="0"/>
          <w:numId w:val="44"/>
        </w:numPr>
        <w:tabs>
          <w:tab w:pos="697" w:val="left" w:leader="none"/>
        </w:tabs>
        <w:spacing w:line="240" w:lineRule="auto" w:before="1" w:after="0"/>
        <w:ind w:left="696" w:right="0" w:hanging="360"/>
        <w:jc w:val="both"/>
        <w:rPr>
          <w:sz w:val="18"/>
        </w:rPr>
      </w:pPr>
      <w:r>
        <w:rPr>
          <w:sz w:val="18"/>
        </w:rPr>
        <w:t>Evaluating the diseases that can be derived from the repetitiveness of the management process of the truck, with the references to employees who work within the same company.</w:t>
      </w:r>
    </w:p>
    <w:p>
      <w:pPr>
        <w:pStyle w:val="BodyText"/>
        <w:spacing w:before="3"/>
        <w:rPr>
          <w:sz w:val="18"/>
        </w:rPr>
      </w:pPr>
    </w:p>
    <w:p>
      <w:pPr>
        <w:pStyle w:val="ListParagraph"/>
        <w:numPr>
          <w:ilvl w:val="3"/>
          <w:numId w:val="42"/>
        </w:numPr>
        <w:tabs>
          <w:tab w:pos="542" w:val="left" w:leader="none"/>
        </w:tabs>
        <w:spacing w:line="240" w:lineRule="auto" w:before="0" w:after="0"/>
        <w:ind w:left="541" w:right="0" w:hanging="271"/>
        <w:jc w:val="both"/>
        <w:rPr>
          <w:b/>
          <w:sz w:val="18"/>
        </w:rPr>
      </w:pPr>
      <w:r>
        <w:rPr>
          <w:b/>
          <w:sz w:val="18"/>
        </w:rPr>
        <w:t>Material and</w:t>
      </w:r>
      <w:r>
        <w:rPr>
          <w:b/>
          <w:spacing w:val="-18"/>
          <w:sz w:val="18"/>
        </w:rPr>
        <w:t> </w:t>
      </w:r>
      <w:r>
        <w:rPr>
          <w:b/>
          <w:sz w:val="18"/>
        </w:rPr>
        <w:t>methods.</w:t>
      </w:r>
    </w:p>
    <w:p>
      <w:pPr>
        <w:pStyle w:val="BodyText"/>
        <w:spacing w:before="7"/>
        <w:rPr>
          <w:b/>
          <w:sz w:val="17"/>
        </w:rPr>
      </w:pPr>
    </w:p>
    <w:p>
      <w:pPr>
        <w:spacing w:before="1"/>
        <w:ind w:left="270" w:right="1" w:firstLine="0"/>
        <w:jc w:val="both"/>
        <w:rPr>
          <w:sz w:val="18"/>
        </w:rPr>
      </w:pPr>
      <w:r>
        <w:rPr>
          <w:sz w:val="18"/>
        </w:rPr>
        <w:t>The study population were seventeen forklift operators in the pressroom. Data were collected directly in the workplace and asked that the task developed regularly, it is important to mention that workers study showed a favorable attitude and voluntarily agreed  to</w:t>
      </w:r>
      <w:r>
        <w:rPr>
          <w:spacing w:val="-5"/>
          <w:sz w:val="18"/>
        </w:rPr>
        <w:t> </w:t>
      </w:r>
      <w:r>
        <w:rPr>
          <w:sz w:val="18"/>
        </w:rPr>
        <w:t>participate,</w:t>
      </w:r>
      <w:r>
        <w:rPr>
          <w:spacing w:val="-5"/>
          <w:sz w:val="18"/>
        </w:rPr>
        <w:t> </w:t>
      </w:r>
      <w:r>
        <w:rPr>
          <w:sz w:val="18"/>
        </w:rPr>
        <w:t>with</w:t>
      </w:r>
      <w:r>
        <w:rPr>
          <w:spacing w:val="-5"/>
          <w:sz w:val="18"/>
        </w:rPr>
        <w:t> </w:t>
      </w:r>
      <w:r>
        <w:rPr>
          <w:sz w:val="18"/>
        </w:rPr>
        <w:t>availability</w:t>
      </w:r>
      <w:r>
        <w:rPr>
          <w:spacing w:val="-5"/>
          <w:sz w:val="18"/>
        </w:rPr>
        <w:t> </w:t>
      </w:r>
      <w:r>
        <w:rPr>
          <w:sz w:val="18"/>
        </w:rPr>
        <w:t>and</w:t>
      </w:r>
      <w:r>
        <w:rPr>
          <w:spacing w:val="-5"/>
          <w:sz w:val="18"/>
        </w:rPr>
        <w:t> </w:t>
      </w:r>
      <w:r>
        <w:rPr>
          <w:sz w:val="18"/>
        </w:rPr>
        <w:t>showing</w:t>
      </w:r>
      <w:r>
        <w:rPr>
          <w:spacing w:val="-5"/>
          <w:sz w:val="18"/>
        </w:rPr>
        <w:t> </w:t>
      </w:r>
      <w:r>
        <w:rPr>
          <w:sz w:val="18"/>
        </w:rPr>
        <w:t>great</w:t>
      </w:r>
      <w:r>
        <w:rPr>
          <w:spacing w:val="-6"/>
          <w:sz w:val="18"/>
        </w:rPr>
        <w:t> </w:t>
      </w:r>
      <w:r>
        <w:rPr>
          <w:sz w:val="18"/>
        </w:rPr>
        <w:t>enthusiasm.</w:t>
      </w:r>
    </w:p>
    <w:p>
      <w:pPr>
        <w:pStyle w:val="BodyText"/>
        <w:rPr>
          <w:sz w:val="18"/>
        </w:rPr>
      </w:pPr>
    </w:p>
    <w:p>
      <w:pPr>
        <w:spacing w:line="207" w:lineRule="exact" w:before="0"/>
        <w:ind w:left="270" w:right="0" w:firstLine="0"/>
        <w:jc w:val="both"/>
        <w:rPr>
          <w:sz w:val="18"/>
        </w:rPr>
      </w:pPr>
      <w:r>
        <w:rPr>
          <w:sz w:val="18"/>
        </w:rPr>
        <w:t>Measuring instruments.</w:t>
      </w:r>
    </w:p>
    <w:p>
      <w:pPr>
        <w:spacing w:before="0"/>
        <w:ind w:left="270" w:right="1733" w:firstLine="0"/>
        <w:jc w:val="left"/>
        <w:rPr>
          <w:sz w:val="18"/>
        </w:rPr>
      </w:pPr>
      <w:r>
        <w:rPr>
          <w:sz w:val="18"/>
        </w:rPr>
        <w:t>1 - ERGOTEC listings verification method. 2 - listings verification method plibel</w:t>
      </w:r>
    </w:p>
    <w:p>
      <w:pPr>
        <w:spacing w:line="480" w:lineRule="auto" w:before="0"/>
        <w:ind w:left="270" w:right="2298" w:firstLine="0"/>
        <w:jc w:val="left"/>
        <w:rPr>
          <w:sz w:val="18"/>
        </w:rPr>
      </w:pPr>
      <w:r>
        <w:rPr>
          <w:sz w:val="18"/>
        </w:rPr>
        <w:t>3 -.listados verification method rula Variables assessed work.</w:t>
      </w:r>
    </w:p>
    <w:p>
      <w:pPr>
        <w:spacing w:line="207" w:lineRule="exact" w:before="77"/>
        <w:ind w:left="270" w:right="0" w:firstLine="0"/>
        <w:jc w:val="both"/>
        <w:rPr>
          <w:sz w:val="18"/>
        </w:rPr>
      </w:pPr>
      <w:r>
        <w:rPr/>
        <w:br w:type="column"/>
      </w:r>
      <w:r>
        <w:rPr>
          <w:sz w:val="18"/>
        </w:rPr>
        <w:t>Procedures,</w:t>
      </w:r>
    </w:p>
    <w:p>
      <w:pPr>
        <w:pStyle w:val="ListParagraph"/>
        <w:numPr>
          <w:ilvl w:val="1"/>
          <w:numId w:val="29"/>
        </w:numPr>
        <w:tabs>
          <w:tab w:pos="380" w:val="left" w:leader="none"/>
        </w:tabs>
        <w:spacing w:line="207" w:lineRule="exact" w:before="0" w:after="0"/>
        <w:ind w:left="379" w:right="0" w:hanging="109"/>
        <w:jc w:val="both"/>
        <w:rPr>
          <w:sz w:val="18"/>
        </w:rPr>
      </w:pPr>
      <w:r>
        <w:rPr>
          <w:sz w:val="18"/>
        </w:rPr>
        <w:t>Movements,</w:t>
      </w:r>
    </w:p>
    <w:p>
      <w:pPr>
        <w:pStyle w:val="ListParagraph"/>
        <w:numPr>
          <w:ilvl w:val="1"/>
          <w:numId w:val="29"/>
        </w:numPr>
        <w:tabs>
          <w:tab w:pos="380" w:val="left" w:leader="none"/>
        </w:tabs>
        <w:spacing w:line="207" w:lineRule="exact" w:before="0" w:after="0"/>
        <w:ind w:left="379" w:right="0" w:hanging="109"/>
        <w:jc w:val="both"/>
        <w:rPr>
          <w:sz w:val="18"/>
        </w:rPr>
      </w:pPr>
      <w:r>
        <w:rPr>
          <w:sz w:val="18"/>
        </w:rPr>
        <w:t>Position,</w:t>
      </w:r>
    </w:p>
    <w:p>
      <w:pPr>
        <w:pStyle w:val="ListParagraph"/>
        <w:numPr>
          <w:ilvl w:val="1"/>
          <w:numId w:val="29"/>
        </w:numPr>
        <w:tabs>
          <w:tab w:pos="380" w:val="left" w:leader="none"/>
        </w:tabs>
        <w:spacing w:line="207" w:lineRule="exact" w:before="0" w:after="0"/>
        <w:ind w:left="379" w:right="0" w:hanging="109"/>
        <w:jc w:val="both"/>
        <w:rPr>
          <w:sz w:val="18"/>
        </w:rPr>
      </w:pPr>
      <w:r>
        <w:rPr>
          <w:sz w:val="18"/>
        </w:rPr>
        <w:t>Frequency</w:t>
      </w:r>
    </w:p>
    <w:p>
      <w:pPr>
        <w:pStyle w:val="ListParagraph"/>
        <w:numPr>
          <w:ilvl w:val="1"/>
          <w:numId w:val="29"/>
        </w:numPr>
        <w:tabs>
          <w:tab w:pos="380" w:val="left" w:leader="none"/>
        </w:tabs>
        <w:spacing w:line="207" w:lineRule="exact" w:before="0" w:after="0"/>
        <w:ind w:left="379" w:right="0" w:hanging="109"/>
        <w:jc w:val="both"/>
        <w:rPr>
          <w:sz w:val="18"/>
        </w:rPr>
      </w:pPr>
      <w:r>
        <w:rPr>
          <w:sz w:val="18"/>
        </w:rPr>
        <w:t>Weight,</w:t>
      </w:r>
    </w:p>
    <w:p>
      <w:pPr>
        <w:pStyle w:val="ListParagraph"/>
        <w:numPr>
          <w:ilvl w:val="1"/>
          <w:numId w:val="29"/>
        </w:numPr>
        <w:tabs>
          <w:tab w:pos="380" w:val="left" w:leader="none"/>
        </w:tabs>
        <w:spacing w:line="207" w:lineRule="exact" w:before="0" w:after="0"/>
        <w:ind w:left="379" w:right="0" w:hanging="109"/>
        <w:jc w:val="both"/>
        <w:rPr>
          <w:sz w:val="18"/>
        </w:rPr>
      </w:pPr>
      <w:r>
        <w:rPr>
          <w:sz w:val="18"/>
        </w:rPr>
        <w:t>Managing</w:t>
      </w:r>
      <w:r>
        <w:rPr>
          <w:spacing w:val="-16"/>
          <w:sz w:val="18"/>
        </w:rPr>
        <w:t> </w:t>
      </w:r>
      <w:r>
        <w:rPr>
          <w:sz w:val="18"/>
        </w:rPr>
        <w:t>forklift</w:t>
      </w:r>
    </w:p>
    <w:p>
      <w:pPr>
        <w:pStyle w:val="ListParagraph"/>
        <w:numPr>
          <w:ilvl w:val="1"/>
          <w:numId w:val="29"/>
        </w:numPr>
        <w:tabs>
          <w:tab w:pos="379" w:val="left" w:leader="none"/>
        </w:tabs>
        <w:spacing w:line="207" w:lineRule="exact" w:before="0" w:after="0"/>
        <w:ind w:left="378" w:right="0" w:hanging="108"/>
        <w:jc w:val="both"/>
        <w:rPr>
          <w:sz w:val="18"/>
        </w:rPr>
      </w:pPr>
      <w:r>
        <w:rPr>
          <w:sz w:val="18"/>
        </w:rPr>
        <w:t>Vibration,</w:t>
      </w:r>
    </w:p>
    <w:p>
      <w:pPr>
        <w:pStyle w:val="ListParagraph"/>
        <w:numPr>
          <w:ilvl w:val="1"/>
          <w:numId w:val="29"/>
        </w:numPr>
        <w:tabs>
          <w:tab w:pos="379" w:val="left" w:leader="none"/>
        </w:tabs>
        <w:spacing w:line="207" w:lineRule="exact" w:before="0" w:after="0"/>
        <w:ind w:left="378" w:right="0" w:hanging="108"/>
        <w:jc w:val="both"/>
        <w:rPr>
          <w:sz w:val="18"/>
        </w:rPr>
      </w:pPr>
      <w:r>
        <w:rPr>
          <w:sz w:val="18"/>
        </w:rPr>
        <w:t>Temperature</w:t>
      </w:r>
    </w:p>
    <w:p>
      <w:pPr>
        <w:pStyle w:val="ListParagraph"/>
        <w:numPr>
          <w:ilvl w:val="1"/>
          <w:numId w:val="29"/>
        </w:numPr>
        <w:tabs>
          <w:tab w:pos="379" w:val="left" w:leader="none"/>
        </w:tabs>
        <w:spacing w:line="207" w:lineRule="exact" w:before="0" w:after="0"/>
        <w:ind w:left="378" w:right="0" w:hanging="108"/>
        <w:jc w:val="both"/>
        <w:rPr>
          <w:sz w:val="18"/>
        </w:rPr>
      </w:pPr>
      <w:r>
        <w:rPr>
          <w:sz w:val="18"/>
        </w:rPr>
        <w:t>Lighting</w:t>
      </w:r>
    </w:p>
    <w:p>
      <w:pPr>
        <w:spacing w:line="207" w:lineRule="exact" w:before="0"/>
        <w:ind w:left="270" w:right="0" w:firstLine="0"/>
        <w:jc w:val="both"/>
        <w:rPr>
          <w:sz w:val="18"/>
        </w:rPr>
      </w:pPr>
      <w:r>
        <w:rPr>
          <w:sz w:val="18"/>
        </w:rPr>
        <w:t>Variables evaluated worker</w:t>
      </w:r>
    </w:p>
    <w:p>
      <w:pPr>
        <w:pStyle w:val="ListParagraph"/>
        <w:numPr>
          <w:ilvl w:val="1"/>
          <w:numId w:val="29"/>
        </w:numPr>
        <w:tabs>
          <w:tab w:pos="379" w:val="left" w:leader="none"/>
        </w:tabs>
        <w:spacing w:line="207" w:lineRule="exact" w:before="0" w:after="0"/>
        <w:ind w:left="379" w:right="0" w:hanging="109"/>
        <w:jc w:val="both"/>
        <w:rPr>
          <w:sz w:val="18"/>
        </w:rPr>
      </w:pPr>
      <w:r>
        <w:rPr>
          <w:sz w:val="18"/>
        </w:rPr>
        <w:t>Age,</w:t>
      </w:r>
    </w:p>
    <w:p>
      <w:pPr>
        <w:pStyle w:val="ListParagraph"/>
        <w:numPr>
          <w:ilvl w:val="1"/>
          <w:numId w:val="29"/>
        </w:numPr>
        <w:tabs>
          <w:tab w:pos="380" w:val="left" w:leader="none"/>
        </w:tabs>
        <w:spacing w:line="206" w:lineRule="exact" w:before="0" w:after="0"/>
        <w:ind w:left="379" w:right="0" w:hanging="109"/>
        <w:jc w:val="both"/>
        <w:rPr>
          <w:sz w:val="18"/>
        </w:rPr>
      </w:pPr>
      <w:r>
        <w:rPr>
          <w:sz w:val="18"/>
        </w:rPr>
        <w:t>Genre,  chronic degenerative</w:t>
      </w:r>
      <w:r>
        <w:rPr>
          <w:spacing w:val="-4"/>
          <w:sz w:val="18"/>
        </w:rPr>
        <w:t> </w:t>
      </w:r>
      <w:r>
        <w:rPr>
          <w:sz w:val="18"/>
        </w:rPr>
        <w:t>diseases</w:t>
      </w:r>
    </w:p>
    <w:p>
      <w:pPr>
        <w:pStyle w:val="ListParagraph"/>
        <w:numPr>
          <w:ilvl w:val="1"/>
          <w:numId w:val="29"/>
        </w:numPr>
        <w:tabs>
          <w:tab w:pos="380" w:val="left" w:leader="none"/>
        </w:tabs>
        <w:spacing w:line="240" w:lineRule="auto" w:before="0" w:after="0"/>
        <w:ind w:left="270" w:right="4182" w:firstLine="0"/>
        <w:jc w:val="left"/>
        <w:rPr>
          <w:sz w:val="18"/>
        </w:rPr>
      </w:pPr>
      <w:r>
        <w:rPr>
          <w:sz w:val="18"/>
        </w:rPr>
        <w:t>Anthropometry. Evaluation</w:t>
      </w:r>
      <w:r>
        <w:rPr>
          <w:spacing w:val="-7"/>
          <w:sz w:val="18"/>
        </w:rPr>
        <w:t> </w:t>
      </w:r>
      <w:r>
        <w:rPr>
          <w:sz w:val="18"/>
        </w:rPr>
        <w:t>criteria:</w:t>
      </w:r>
    </w:p>
    <w:p>
      <w:pPr>
        <w:pStyle w:val="ListParagraph"/>
        <w:numPr>
          <w:ilvl w:val="1"/>
          <w:numId w:val="29"/>
        </w:numPr>
        <w:tabs>
          <w:tab w:pos="379" w:val="left" w:leader="none"/>
        </w:tabs>
        <w:spacing w:line="206" w:lineRule="exact" w:before="0" w:after="0"/>
        <w:ind w:left="378" w:right="0" w:hanging="108"/>
        <w:jc w:val="both"/>
        <w:rPr>
          <w:sz w:val="18"/>
        </w:rPr>
      </w:pPr>
      <w:r>
        <w:rPr>
          <w:sz w:val="18"/>
        </w:rPr>
        <w:t>Identification of body</w:t>
      </w:r>
      <w:r>
        <w:rPr>
          <w:spacing w:val="-10"/>
          <w:sz w:val="18"/>
        </w:rPr>
        <w:t> </w:t>
      </w:r>
      <w:r>
        <w:rPr>
          <w:sz w:val="18"/>
        </w:rPr>
        <w:t>postures.</w:t>
      </w:r>
    </w:p>
    <w:p>
      <w:pPr>
        <w:pStyle w:val="ListParagraph"/>
        <w:numPr>
          <w:ilvl w:val="1"/>
          <w:numId w:val="29"/>
        </w:numPr>
        <w:tabs>
          <w:tab w:pos="379" w:val="left" w:leader="none"/>
        </w:tabs>
        <w:spacing w:line="207" w:lineRule="exact" w:before="0" w:after="0"/>
        <w:ind w:left="378" w:right="0" w:hanging="108"/>
        <w:jc w:val="both"/>
        <w:rPr>
          <w:sz w:val="18"/>
        </w:rPr>
      </w:pPr>
      <w:r>
        <w:rPr>
          <w:sz w:val="18"/>
        </w:rPr>
        <w:t>Time remaining cake or</w:t>
      </w:r>
      <w:r>
        <w:rPr>
          <w:spacing w:val="-8"/>
          <w:sz w:val="18"/>
        </w:rPr>
        <w:t> </w:t>
      </w:r>
      <w:r>
        <w:rPr>
          <w:sz w:val="18"/>
        </w:rPr>
        <w:t>sitting.</w:t>
      </w:r>
    </w:p>
    <w:p>
      <w:pPr>
        <w:pStyle w:val="ListParagraph"/>
        <w:numPr>
          <w:ilvl w:val="1"/>
          <w:numId w:val="29"/>
        </w:numPr>
        <w:tabs>
          <w:tab w:pos="379" w:val="left" w:leader="none"/>
        </w:tabs>
        <w:spacing w:line="207" w:lineRule="exact" w:before="0" w:after="0"/>
        <w:ind w:left="378" w:right="0" w:hanging="108"/>
        <w:jc w:val="both"/>
        <w:rPr>
          <w:sz w:val="18"/>
        </w:rPr>
      </w:pPr>
      <w:r>
        <w:rPr>
          <w:sz w:val="18"/>
        </w:rPr>
        <w:t>Work</w:t>
      </w:r>
      <w:r>
        <w:rPr>
          <w:spacing w:val="-1"/>
          <w:sz w:val="18"/>
        </w:rPr>
        <w:t> </w:t>
      </w:r>
      <w:r>
        <w:rPr>
          <w:sz w:val="18"/>
        </w:rPr>
        <w:t>shift.</w:t>
      </w:r>
    </w:p>
    <w:p>
      <w:pPr>
        <w:pStyle w:val="ListParagraph"/>
        <w:numPr>
          <w:ilvl w:val="1"/>
          <w:numId w:val="29"/>
        </w:numPr>
        <w:tabs>
          <w:tab w:pos="380" w:val="left" w:leader="none"/>
        </w:tabs>
        <w:spacing w:line="207" w:lineRule="exact" w:before="0" w:after="0"/>
        <w:ind w:left="379" w:right="0" w:hanging="109"/>
        <w:jc w:val="both"/>
        <w:rPr>
          <w:sz w:val="18"/>
        </w:rPr>
      </w:pPr>
      <w:r>
        <w:rPr>
          <w:sz w:val="18"/>
        </w:rPr>
        <w:t>Postures to make do</w:t>
      </w:r>
      <w:r>
        <w:rPr>
          <w:spacing w:val="-21"/>
          <w:sz w:val="18"/>
        </w:rPr>
        <w:t> </w:t>
      </w:r>
      <w:r>
        <w:rPr>
          <w:sz w:val="18"/>
        </w:rPr>
        <w:t>homework.</w:t>
      </w:r>
    </w:p>
    <w:p>
      <w:pPr>
        <w:pStyle w:val="ListParagraph"/>
        <w:numPr>
          <w:ilvl w:val="1"/>
          <w:numId w:val="29"/>
        </w:numPr>
        <w:tabs>
          <w:tab w:pos="379" w:val="left" w:leader="none"/>
        </w:tabs>
        <w:spacing w:line="207" w:lineRule="exact" w:before="0" w:after="0"/>
        <w:ind w:left="378" w:right="0" w:hanging="108"/>
        <w:jc w:val="both"/>
        <w:rPr>
          <w:sz w:val="18"/>
        </w:rPr>
      </w:pPr>
      <w:r>
        <w:rPr>
          <w:sz w:val="18"/>
        </w:rPr>
        <w:t>the metrix- vr software was used for the</w:t>
      </w:r>
      <w:r>
        <w:rPr>
          <w:spacing w:val="-13"/>
          <w:sz w:val="18"/>
        </w:rPr>
        <w:t> </w:t>
      </w:r>
      <w:r>
        <w:rPr>
          <w:sz w:val="18"/>
        </w:rPr>
        <w:t>calculations.</w:t>
      </w:r>
    </w:p>
    <w:p>
      <w:pPr>
        <w:pStyle w:val="BodyText"/>
        <w:rPr>
          <w:sz w:val="18"/>
        </w:rPr>
      </w:pPr>
    </w:p>
    <w:p>
      <w:pPr>
        <w:pStyle w:val="BodyText"/>
        <w:rPr>
          <w:sz w:val="18"/>
        </w:rPr>
      </w:pPr>
    </w:p>
    <w:p>
      <w:pPr>
        <w:pStyle w:val="BodyText"/>
        <w:rPr>
          <w:sz w:val="18"/>
        </w:rPr>
      </w:pPr>
    </w:p>
    <w:p>
      <w:pPr>
        <w:pStyle w:val="ListParagraph"/>
        <w:numPr>
          <w:ilvl w:val="2"/>
          <w:numId w:val="45"/>
        </w:numPr>
        <w:tabs>
          <w:tab w:pos="676" w:val="left" w:leader="none"/>
        </w:tabs>
        <w:spacing w:line="240" w:lineRule="auto" w:before="0" w:after="0"/>
        <w:ind w:left="675" w:right="0" w:hanging="405"/>
        <w:jc w:val="both"/>
        <w:rPr>
          <w:sz w:val="18"/>
        </w:rPr>
      </w:pPr>
      <w:r>
        <w:rPr>
          <w:sz w:val="18"/>
          <w:u w:val="single"/>
        </w:rPr>
        <w:t>Method</w:t>
      </w:r>
      <w:r>
        <w:rPr>
          <w:spacing w:val="-1"/>
          <w:sz w:val="18"/>
          <w:u w:val="single"/>
        </w:rPr>
        <w:t> </w:t>
      </w:r>
      <w:r>
        <w:rPr>
          <w:sz w:val="18"/>
          <w:u w:val="single"/>
        </w:rPr>
        <w:t>ERGOTEC.</w:t>
      </w:r>
    </w:p>
    <w:p>
      <w:pPr>
        <w:pStyle w:val="BodyText"/>
        <w:spacing w:before="11"/>
        <w:rPr>
          <w:sz w:val="17"/>
        </w:rPr>
      </w:pPr>
    </w:p>
    <w:p>
      <w:pPr>
        <w:spacing w:before="0"/>
        <w:ind w:left="270" w:right="677" w:firstLine="0"/>
        <w:jc w:val="both"/>
        <w:rPr>
          <w:sz w:val="18"/>
        </w:rPr>
      </w:pPr>
      <w:r>
        <w:rPr>
          <w:sz w:val="18"/>
        </w:rPr>
        <w:t>Dr. Enrique de la vega created the basis of ERGOTEC method of a method performed by the joyce design team training institute in 1992, the ergonomic evaluation of this method is done with a checklist for the collection and evaluation of data. The list contains only meaningful questions. The possible results of this evaluation are the jobs classified as low, medium or high risk.</w:t>
      </w:r>
    </w:p>
    <w:p>
      <w:pPr>
        <w:pStyle w:val="BodyText"/>
        <w:rPr>
          <w:sz w:val="18"/>
        </w:rPr>
      </w:pPr>
    </w:p>
    <w:p>
      <w:pPr>
        <w:spacing w:before="0"/>
        <w:ind w:left="270" w:right="678" w:firstLine="0"/>
        <w:jc w:val="both"/>
        <w:rPr>
          <w:sz w:val="18"/>
        </w:rPr>
      </w:pPr>
      <w:r>
        <w:rPr>
          <w:sz w:val="18"/>
        </w:rPr>
        <w:t>The first study was conducted in the area of the container where the parts below the waist of the operator and this means that each operator has to bend too much and thus causes back pain [4].</w:t>
      </w:r>
    </w:p>
    <w:p>
      <w:pPr>
        <w:pStyle w:val="BodyText"/>
        <w:rPr>
          <w:sz w:val="18"/>
        </w:rPr>
      </w:pPr>
    </w:p>
    <w:p>
      <w:pPr>
        <w:spacing w:before="0"/>
        <w:ind w:left="270" w:right="678" w:firstLine="0"/>
        <w:jc w:val="both"/>
        <w:rPr>
          <w:sz w:val="18"/>
        </w:rPr>
      </w:pPr>
      <w:r>
        <w:rPr>
          <w:sz w:val="18"/>
        </w:rPr>
        <w:t>The operator has to find the exact location of the burden of the pieces with your hands and put down the feeder of the machine and the weight of the pieces, movements have to do to pick up the pieces and put them to transport feeder causes pain and tired wrists.</w:t>
      </w:r>
    </w:p>
    <w:p>
      <w:pPr>
        <w:pStyle w:val="BodyText"/>
        <w:rPr>
          <w:sz w:val="18"/>
        </w:rPr>
      </w:pPr>
    </w:p>
    <w:p>
      <w:pPr>
        <w:pStyle w:val="ListParagraph"/>
        <w:numPr>
          <w:ilvl w:val="2"/>
          <w:numId w:val="45"/>
        </w:numPr>
        <w:tabs>
          <w:tab w:pos="676" w:val="left" w:leader="none"/>
        </w:tabs>
        <w:spacing w:line="240" w:lineRule="auto" w:before="0" w:after="0"/>
        <w:ind w:left="675" w:right="0" w:hanging="405"/>
        <w:jc w:val="both"/>
        <w:rPr>
          <w:sz w:val="18"/>
        </w:rPr>
      </w:pPr>
      <w:r>
        <w:rPr>
          <w:sz w:val="18"/>
          <w:u w:val="single"/>
        </w:rPr>
        <w:t>Method Plibel.</w:t>
      </w:r>
    </w:p>
    <w:p>
      <w:pPr>
        <w:pStyle w:val="BodyText"/>
        <w:rPr>
          <w:sz w:val="18"/>
        </w:rPr>
      </w:pPr>
    </w:p>
    <w:p>
      <w:pPr>
        <w:spacing w:before="0"/>
        <w:ind w:left="270" w:right="677" w:firstLine="0"/>
        <w:jc w:val="both"/>
        <w:rPr>
          <w:sz w:val="18"/>
        </w:rPr>
      </w:pPr>
      <w:r>
        <w:rPr>
          <w:sz w:val="18"/>
        </w:rPr>
        <w:t>Although called a method actually plibel is a checklist given by kemmlert      (1995)      to      identify      ergonomic      hazards.  The checklist questions no detection areas most likely to risk of injury (DTA's `s) sum of responses are formatted with answers and if they are considered higher risk of injury to the dominant muscle group.</w:t>
      </w:r>
    </w:p>
    <w:p>
      <w:pPr>
        <w:pStyle w:val="BodyText"/>
        <w:rPr>
          <w:sz w:val="18"/>
        </w:rPr>
      </w:pPr>
    </w:p>
    <w:p>
      <w:pPr>
        <w:spacing w:before="0"/>
        <w:ind w:left="270" w:right="678" w:firstLine="0"/>
        <w:jc w:val="both"/>
        <w:rPr>
          <w:sz w:val="18"/>
        </w:rPr>
      </w:pPr>
      <w:r>
        <w:rPr>
          <w:sz w:val="18"/>
        </w:rPr>
        <w:t>The checklist was designed so that the questions usually verified in the workplace ergonomic risk assessment, are listed and is set to 5 corresponding to regions of the body (neck, back, upper limbs, feet, knees , thighs and lower back).</w:t>
      </w:r>
    </w:p>
    <w:p>
      <w:pPr>
        <w:pStyle w:val="BodyText"/>
        <w:rPr>
          <w:sz w:val="18"/>
        </w:rPr>
      </w:pPr>
    </w:p>
    <w:p>
      <w:pPr>
        <w:spacing w:before="0"/>
        <w:ind w:left="270" w:right="678" w:firstLine="0"/>
        <w:jc w:val="both"/>
        <w:rPr>
          <w:sz w:val="18"/>
        </w:rPr>
      </w:pPr>
      <w:r>
        <w:rPr>
          <w:sz w:val="18"/>
        </w:rPr>
        <w:t>The list consists of questions about working poor posture, poor design of tools or workplace stressors or organizational and environmental conditions. In plibel criterion no activity duration.</w:t>
      </w:r>
    </w:p>
    <w:p>
      <w:pPr>
        <w:pStyle w:val="BodyText"/>
        <w:rPr>
          <w:sz w:val="18"/>
        </w:rPr>
      </w:pPr>
    </w:p>
    <w:p>
      <w:pPr>
        <w:pStyle w:val="ListParagraph"/>
        <w:numPr>
          <w:ilvl w:val="2"/>
          <w:numId w:val="45"/>
        </w:numPr>
        <w:tabs>
          <w:tab w:pos="676" w:val="left" w:leader="none"/>
        </w:tabs>
        <w:spacing w:line="240" w:lineRule="auto" w:before="0" w:after="0"/>
        <w:ind w:left="675" w:right="0" w:hanging="405"/>
        <w:jc w:val="both"/>
        <w:rPr>
          <w:sz w:val="18"/>
        </w:rPr>
      </w:pPr>
      <w:r>
        <w:rPr>
          <w:sz w:val="18"/>
          <w:u w:val="single"/>
        </w:rPr>
        <w:t>Method</w:t>
      </w:r>
      <w:r>
        <w:rPr>
          <w:spacing w:val="-2"/>
          <w:sz w:val="18"/>
          <w:u w:val="single"/>
        </w:rPr>
        <w:t> </w:t>
      </w:r>
      <w:r>
        <w:rPr>
          <w:sz w:val="18"/>
          <w:u w:val="single"/>
        </w:rPr>
        <w:t>Rula.</w:t>
      </w:r>
    </w:p>
    <w:p>
      <w:pPr>
        <w:pStyle w:val="BodyText"/>
        <w:rPr>
          <w:sz w:val="18"/>
        </w:rPr>
      </w:pPr>
    </w:p>
    <w:p>
      <w:pPr>
        <w:spacing w:before="0"/>
        <w:ind w:left="270" w:right="678" w:firstLine="0"/>
        <w:jc w:val="both"/>
        <w:rPr>
          <w:sz w:val="18"/>
        </w:rPr>
      </w:pPr>
      <w:r>
        <w:rPr>
          <w:sz w:val="18"/>
        </w:rPr>
        <w:t>McAtamney and Corlett (1993) present a method known as Rula (RA upper extremities). This method was developed to investigate the risk factors associated with disorders of the upper extremities.</w:t>
      </w:r>
    </w:p>
    <w:p>
      <w:pPr>
        <w:spacing w:after="0"/>
        <w:jc w:val="both"/>
        <w:rPr>
          <w:sz w:val="18"/>
        </w:rPr>
        <w:sectPr>
          <w:type w:val="continuous"/>
          <w:pgSz w:w="12240" w:h="15840"/>
          <w:pgMar w:top="1500" w:bottom="280" w:left="580" w:right="220"/>
          <w:cols w:num="2" w:equalWidth="0">
            <w:col w:w="5163" w:space="435"/>
            <w:col w:w="5842"/>
          </w:cols>
        </w:sectPr>
      </w:pPr>
    </w:p>
    <w:p>
      <w:pPr>
        <w:pStyle w:val="BodyText"/>
        <w:rPr>
          <w:sz w:val="11"/>
        </w:rPr>
      </w:pPr>
    </w:p>
    <w:p>
      <w:pPr>
        <w:spacing w:after="0"/>
        <w:rPr>
          <w:sz w:val="11"/>
        </w:rPr>
        <w:sectPr>
          <w:pgSz w:w="12240" w:h="15840"/>
          <w:pgMar w:header="545" w:footer="852" w:top="1060" w:bottom="1040" w:left="580" w:right="220"/>
        </w:sectPr>
      </w:pPr>
    </w:p>
    <w:p>
      <w:pPr>
        <w:spacing w:before="77"/>
        <w:ind w:left="270" w:right="1" w:firstLine="0"/>
        <w:jc w:val="both"/>
        <w:rPr>
          <w:sz w:val="18"/>
        </w:rPr>
      </w:pPr>
      <w:r>
        <w:rPr>
          <w:sz w:val="18"/>
        </w:rPr>
        <w:t>This system for the review of the positions in the conditions that generate fatigue work, because the procedure involves determining the angles between the body parts, the first step is the observation he leaned in pictures.</w:t>
      </w:r>
    </w:p>
    <w:p>
      <w:pPr>
        <w:pStyle w:val="BodyText"/>
        <w:rPr>
          <w:sz w:val="18"/>
        </w:rPr>
      </w:pPr>
    </w:p>
    <w:p>
      <w:pPr>
        <w:spacing w:before="0"/>
        <w:ind w:left="270" w:right="1" w:firstLine="0"/>
        <w:jc w:val="both"/>
        <w:rPr>
          <w:sz w:val="18"/>
        </w:rPr>
      </w:pPr>
      <w:r>
        <w:rPr>
          <w:sz w:val="18"/>
        </w:rPr>
        <w:t>The result is determined by scores of relationship also developed taking into account the type of the applied force and muscle activity, from which emerge the relevant recommendations specified by the level of risk.</w:t>
      </w:r>
    </w:p>
    <w:p>
      <w:pPr>
        <w:pStyle w:val="BodyText"/>
        <w:rPr>
          <w:sz w:val="18"/>
        </w:rPr>
      </w:pPr>
    </w:p>
    <w:p>
      <w:pPr>
        <w:pStyle w:val="ListParagraph"/>
        <w:numPr>
          <w:ilvl w:val="2"/>
          <w:numId w:val="45"/>
        </w:numPr>
        <w:tabs>
          <w:tab w:pos="676" w:val="left" w:leader="none"/>
        </w:tabs>
        <w:spacing w:line="240" w:lineRule="auto" w:before="0" w:after="0"/>
        <w:ind w:left="675" w:right="0" w:hanging="405"/>
        <w:jc w:val="both"/>
        <w:rPr>
          <w:sz w:val="18"/>
        </w:rPr>
      </w:pPr>
      <w:r>
        <w:rPr>
          <w:sz w:val="18"/>
          <w:u w:val="single"/>
        </w:rPr>
        <w:t>Anthropometry.</w:t>
      </w:r>
    </w:p>
    <w:p>
      <w:pPr>
        <w:pStyle w:val="BodyText"/>
        <w:spacing w:before="10"/>
        <w:rPr>
          <w:sz w:val="17"/>
        </w:rPr>
      </w:pPr>
    </w:p>
    <w:p>
      <w:pPr>
        <w:spacing w:before="0"/>
        <w:ind w:left="270" w:right="0" w:firstLine="0"/>
        <w:jc w:val="both"/>
        <w:rPr>
          <w:sz w:val="18"/>
        </w:rPr>
      </w:pPr>
      <w:r>
        <w:rPr>
          <w:sz w:val="18"/>
        </w:rPr>
        <w:t>It is considered as the science that studies specifically measures human body, in order to establish the differences between individuals or groups. The dimensions of the human body vary by age, sex, race and even the working group.</w:t>
      </w:r>
    </w:p>
    <w:p>
      <w:pPr>
        <w:tabs>
          <w:tab w:pos="1227" w:val="left" w:leader="none"/>
          <w:tab w:pos="2254" w:val="left" w:leader="none"/>
          <w:tab w:pos="3531" w:val="left" w:leader="none"/>
          <w:tab w:pos="4386" w:val="left" w:leader="none"/>
        </w:tabs>
        <w:spacing w:before="0"/>
        <w:ind w:left="270" w:right="0" w:firstLine="44"/>
        <w:jc w:val="both"/>
        <w:rPr>
          <w:sz w:val="18"/>
        </w:rPr>
      </w:pPr>
      <w:r>
        <w:rPr>
          <w:sz w:val="18"/>
        </w:rPr>
        <w:t>A key example is the difference in average height between countries and variations within the same groups to consider a study of the dimensions of the human body must be classified into two main</w:t>
        <w:tab/>
        <w:t>types:</w:t>
        <w:tab/>
        <w:t>structural</w:t>
        <w:tab/>
        <w:t>and</w:t>
        <w:tab/>
        <w:t>functional.</w:t>
      </w:r>
    </w:p>
    <w:p>
      <w:pPr>
        <w:pStyle w:val="BodyText"/>
        <w:rPr>
          <w:sz w:val="18"/>
        </w:rPr>
      </w:pPr>
    </w:p>
    <w:p>
      <w:pPr>
        <w:pStyle w:val="ListParagraph"/>
        <w:numPr>
          <w:ilvl w:val="2"/>
          <w:numId w:val="45"/>
        </w:numPr>
        <w:tabs>
          <w:tab w:pos="676" w:val="left" w:leader="none"/>
        </w:tabs>
        <w:spacing w:line="240" w:lineRule="auto" w:before="0" w:after="0"/>
        <w:ind w:left="675" w:right="0" w:hanging="405"/>
        <w:jc w:val="both"/>
        <w:rPr>
          <w:sz w:val="18"/>
        </w:rPr>
      </w:pPr>
      <w:r>
        <w:rPr>
          <w:sz w:val="18"/>
          <w:u w:val="single"/>
        </w:rPr>
        <w:t>Environmental conditions.</w:t>
      </w:r>
    </w:p>
    <w:p>
      <w:pPr>
        <w:pStyle w:val="BodyText"/>
        <w:rPr>
          <w:sz w:val="18"/>
        </w:rPr>
      </w:pPr>
    </w:p>
    <w:p>
      <w:pPr>
        <w:spacing w:before="0"/>
        <w:ind w:left="270" w:right="0" w:firstLine="0"/>
        <w:jc w:val="both"/>
        <w:rPr>
          <w:sz w:val="18"/>
        </w:rPr>
      </w:pPr>
      <w:r>
        <w:rPr>
          <w:sz w:val="18"/>
        </w:rPr>
        <w:t>The workplace, machines, available with the environment, interaction with other operators and how to operate significantly affects their performance and their feelings of comfort. However, these environmental conditions are "visible", the operator can see and affect in terms that limit their actions, their judgment and their immediate perceptions. [5].</w:t>
      </w:r>
    </w:p>
    <w:p>
      <w:pPr>
        <w:tabs>
          <w:tab w:pos="1372" w:val="left" w:leader="none"/>
          <w:tab w:pos="2378" w:val="left" w:leader="none"/>
          <w:tab w:pos="3502" w:val="left" w:leader="none"/>
          <w:tab w:pos="4257" w:val="left" w:leader="none"/>
        </w:tabs>
        <w:spacing w:before="0"/>
        <w:ind w:left="270" w:right="1" w:firstLine="0"/>
        <w:jc w:val="both"/>
        <w:rPr>
          <w:sz w:val="18"/>
        </w:rPr>
      </w:pPr>
      <w:r>
        <w:rPr>
          <w:sz w:val="18"/>
        </w:rPr>
        <w:t>But there are less tangible aspects in the environment, including lighting,</w:t>
        <w:tab/>
        <w:t>forklift</w:t>
        <w:tab/>
        <w:t>handling</w:t>
        <w:tab/>
        <w:t>and</w:t>
        <w:tab/>
      </w:r>
      <w:r>
        <w:rPr>
          <w:spacing w:val="-1"/>
          <w:sz w:val="18"/>
        </w:rPr>
        <w:t>temperature.</w:t>
      </w:r>
    </w:p>
    <w:p>
      <w:pPr>
        <w:pStyle w:val="BodyText"/>
        <w:rPr>
          <w:sz w:val="18"/>
        </w:rPr>
      </w:pPr>
    </w:p>
    <w:p>
      <w:pPr>
        <w:pStyle w:val="ListParagraph"/>
        <w:numPr>
          <w:ilvl w:val="2"/>
          <w:numId w:val="45"/>
        </w:numPr>
        <w:tabs>
          <w:tab w:pos="676" w:val="left" w:leader="none"/>
        </w:tabs>
        <w:spacing w:line="240" w:lineRule="auto" w:before="0" w:after="0"/>
        <w:ind w:left="675" w:right="0" w:hanging="405"/>
        <w:jc w:val="both"/>
        <w:rPr>
          <w:sz w:val="18"/>
        </w:rPr>
      </w:pPr>
      <w:r>
        <w:rPr>
          <w:sz w:val="18"/>
          <w:u w:val="single"/>
        </w:rPr>
        <w:t>Noise.</w:t>
      </w:r>
    </w:p>
    <w:p>
      <w:pPr>
        <w:pStyle w:val="BodyText"/>
        <w:rPr>
          <w:sz w:val="18"/>
        </w:rPr>
      </w:pPr>
    </w:p>
    <w:p>
      <w:pPr>
        <w:spacing w:before="0"/>
        <w:ind w:left="270" w:right="0" w:firstLine="0"/>
        <w:jc w:val="both"/>
        <w:rPr>
          <w:sz w:val="18"/>
        </w:rPr>
      </w:pPr>
      <w:r>
        <w:rPr>
          <w:sz w:val="18"/>
        </w:rPr>
        <w:t>The sound level throughout the day is variable, from the analysis with the physical environment and the environment as a forklift handling section, we can see that the intensity at which operators are subject goes beyond the limits Sound is also the speaker</w:t>
      </w:r>
      <w:r>
        <w:rPr>
          <w:spacing w:val="-11"/>
          <w:sz w:val="18"/>
        </w:rPr>
        <w:t> </w:t>
      </w:r>
      <w:r>
        <w:rPr>
          <w:sz w:val="18"/>
        </w:rPr>
        <w:t>[6].</w:t>
      </w:r>
    </w:p>
    <w:p>
      <w:pPr>
        <w:spacing w:before="0"/>
        <w:ind w:left="270" w:right="1" w:firstLine="0"/>
        <w:jc w:val="both"/>
        <w:rPr>
          <w:sz w:val="18"/>
        </w:rPr>
      </w:pPr>
      <w:r>
        <w:rPr>
          <w:sz w:val="18"/>
        </w:rPr>
        <w:t>Despite using earplugs when operating the forklift are exposed to harmful noise for your health.</w:t>
      </w:r>
    </w:p>
    <w:p>
      <w:pPr>
        <w:pStyle w:val="BodyText"/>
        <w:spacing w:before="3"/>
        <w:rPr>
          <w:sz w:val="18"/>
        </w:rPr>
      </w:pPr>
    </w:p>
    <w:p>
      <w:pPr>
        <w:pStyle w:val="ListParagraph"/>
        <w:numPr>
          <w:ilvl w:val="2"/>
          <w:numId w:val="42"/>
        </w:numPr>
        <w:tabs>
          <w:tab w:pos="452" w:val="left" w:leader="none"/>
        </w:tabs>
        <w:spacing w:line="240" w:lineRule="auto" w:before="0" w:after="0"/>
        <w:ind w:left="451" w:right="0" w:hanging="181"/>
        <w:jc w:val="both"/>
        <w:rPr>
          <w:b/>
          <w:color w:val="233F5E"/>
          <w:sz w:val="18"/>
        </w:rPr>
      </w:pPr>
      <w:r>
        <w:rPr>
          <w:b/>
          <w:color w:val="233F5E"/>
          <w:sz w:val="18"/>
        </w:rPr>
        <w:t>RESULTS.</w:t>
      </w:r>
    </w:p>
    <w:p>
      <w:pPr>
        <w:pStyle w:val="BodyText"/>
        <w:rPr>
          <w:b/>
          <w:sz w:val="18"/>
        </w:rPr>
      </w:pPr>
    </w:p>
    <w:p>
      <w:pPr>
        <w:pStyle w:val="ListParagraph"/>
        <w:numPr>
          <w:ilvl w:val="3"/>
          <w:numId w:val="42"/>
        </w:numPr>
        <w:tabs>
          <w:tab w:pos="542" w:val="left" w:leader="none"/>
        </w:tabs>
        <w:spacing w:line="240" w:lineRule="auto" w:before="0" w:after="0"/>
        <w:ind w:left="541" w:right="0" w:hanging="271"/>
        <w:jc w:val="both"/>
        <w:rPr>
          <w:b/>
          <w:sz w:val="18"/>
        </w:rPr>
      </w:pPr>
      <w:r>
        <w:rPr>
          <w:b/>
          <w:sz w:val="18"/>
        </w:rPr>
        <w:t>Noise.</w:t>
      </w:r>
    </w:p>
    <w:p>
      <w:pPr>
        <w:pStyle w:val="BodyText"/>
        <w:spacing w:before="6"/>
        <w:rPr>
          <w:b/>
          <w:sz w:val="17"/>
        </w:rPr>
      </w:pPr>
    </w:p>
    <w:p>
      <w:pPr>
        <w:spacing w:before="0"/>
        <w:ind w:left="270" w:right="1" w:firstLine="0"/>
        <w:jc w:val="both"/>
        <w:rPr>
          <w:sz w:val="18"/>
        </w:rPr>
      </w:pPr>
      <w:r>
        <w:rPr>
          <w:sz w:val="18"/>
        </w:rPr>
        <w:t>The worker is exposed to 88.5 dba for a period of 5-6 hours at 100 dba for 2 hours (data provided by the department of health and safety).</w:t>
      </w:r>
    </w:p>
    <w:p>
      <w:pPr>
        <w:pStyle w:val="BodyText"/>
        <w:rPr>
          <w:sz w:val="18"/>
        </w:rPr>
      </w:pPr>
    </w:p>
    <w:p>
      <w:pPr>
        <w:spacing w:before="0"/>
        <w:ind w:left="270" w:right="0" w:firstLine="0"/>
        <w:jc w:val="both"/>
        <w:rPr>
          <w:sz w:val="18"/>
        </w:rPr>
      </w:pPr>
      <w:r>
        <w:rPr>
          <w:sz w:val="18"/>
        </w:rPr>
        <w:t>Note: The value of 0.75 was obtained by linear interpolation of the table shows data management allowed.</w:t>
      </w:r>
    </w:p>
    <w:p>
      <w:pPr>
        <w:pStyle w:val="BodyText"/>
        <w:spacing w:before="3"/>
        <w:rPr>
          <w:sz w:val="18"/>
        </w:rPr>
      </w:pPr>
    </w:p>
    <w:p>
      <w:pPr>
        <w:pStyle w:val="ListParagraph"/>
        <w:numPr>
          <w:ilvl w:val="3"/>
          <w:numId w:val="42"/>
        </w:numPr>
        <w:tabs>
          <w:tab w:pos="542" w:val="left" w:leader="none"/>
        </w:tabs>
        <w:spacing w:line="240" w:lineRule="auto" w:before="0" w:after="0"/>
        <w:ind w:left="541" w:right="0" w:hanging="271"/>
        <w:jc w:val="both"/>
        <w:rPr>
          <w:b/>
          <w:sz w:val="18"/>
        </w:rPr>
      </w:pPr>
      <w:r>
        <w:rPr>
          <w:b/>
          <w:sz w:val="18"/>
        </w:rPr>
        <w:t>Temperature.</w:t>
      </w:r>
    </w:p>
    <w:p>
      <w:pPr>
        <w:pStyle w:val="BodyText"/>
        <w:spacing w:before="7"/>
        <w:rPr>
          <w:b/>
          <w:sz w:val="17"/>
        </w:rPr>
      </w:pPr>
    </w:p>
    <w:p>
      <w:pPr>
        <w:spacing w:before="1"/>
        <w:ind w:left="270" w:right="0" w:firstLine="0"/>
        <w:jc w:val="both"/>
        <w:rPr>
          <w:sz w:val="18"/>
        </w:rPr>
      </w:pPr>
      <w:r>
        <w:rPr>
          <w:sz w:val="18"/>
        </w:rPr>
        <w:t>The climate in the area is at a temperature of 27 ° c with a humidity of 45, taking global warming and the current temperature of 0.6 m / s wind chill is warm, ventilation devices are not adequate because no fans or air conditioning and measures implemented thus not regulate exposure limits, workers do not wear clothes for protection from heat.</w:t>
      </w:r>
    </w:p>
    <w:p>
      <w:pPr>
        <w:pStyle w:val="BodyText"/>
        <w:rPr>
          <w:sz w:val="18"/>
        </w:rPr>
      </w:pPr>
    </w:p>
    <w:p>
      <w:pPr>
        <w:spacing w:before="0"/>
        <w:ind w:left="270" w:right="1" w:firstLine="0"/>
        <w:jc w:val="both"/>
        <w:rPr>
          <w:sz w:val="18"/>
        </w:rPr>
      </w:pPr>
      <w:r>
        <w:rPr>
          <w:sz w:val="18"/>
        </w:rPr>
        <w:t>Finally, the results highlight arms and wrists, some people expressed their grievances to a lesser extent by the movement of your  hands.  ERGOTEC  =  75%&gt;  HIGH  RISK  When   physical</w:t>
      </w:r>
    </w:p>
    <w:p>
      <w:pPr>
        <w:spacing w:before="77"/>
        <w:ind w:left="270" w:right="678" w:firstLine="0"/>
        <w:jc w:val="both"/>
        <w:rPr>
          <w:sz w:val="18"/>
        </w:rPr>
      </w:pPr>
      <w:r>
        <w:rPr/>
        <w:br w:type="column"/>
      </w:r>
      <w:r>
        <w:rPr>
          <w:sz w:val="18"/>
        </w:rPr>
        <w:t>activity is increased, muscle energy demand also increases and the body responds by increasing heart rate and respiratory rate.</w:t>
      </w:r>
    </w:p>
    <w:p>
      <w:pPr>
        <w:pStyle w:val="BodyText"/>
        <w:spacing w:before="3"/>
        <w:rPr>
          <w:sz w:val="18"/>
        </w:rPr>
      </w:pPr>
    </w:p>
    <w:p>
      <w:pPr>
        <w:pStyle w:val="ListParagraph"/>
        <w:numPr>
          <w:ilvl w:val="1"/>
          <w:numId w:val="46"/>
        </w:numPr>
        <w:tabs>
          <w:tab w:pos="542" w:val="left" w:leader="none"/>
        </w:tabs>
        <w:spacing w:line="240" w:lineRule="auto" w:before="0" w:after="0"/>
        <w:ind w:left="541" w:right="0" w:hanging="271"/>
        <w:jc w:val="both"/>
        <w:rPr>
          <w:b/>
          <w:sz w:val="18"/>
        </w:rPr>
      </w:pPr>
      <w:r>
        <w:rPr>
          <w:b/>
          <w:sz w:val="18"/>
        </w:rPr>
        <w:t>Evaluating our procedure through Ergonomics</w:t>
      </w:r>
      <w:r>
        <w:rPr>
          <w:b/>
          <w:spacing w:val="-24"/>
          <w:sz w:val="18"/>
        </w:rPr>
        <w:t> </w:t>
      </w:r>
      <w:r>
        <w:rPr>
          <w:b/>
          <w:sz w:val="18"/>
        </w:rPr>
        <w:t>Methods.</w:t>
      </w:r>
    </w:p>
    <w:p>
      <w:pPr>
        <w:pStyle w:val="BodyText"/>
        <w:spacing w:before="7"/>
        <w:rPr>
          <w:b/>
          <w:sz w:val="17"/>
        </w:rPr>
      </w:pPr>
    </w:p>
    <w:p>
      <w:pPr>
        <w:spacing w:before="1"/>
        <w:ind w:left="270" w:right="677" w:firstLine="0"/>
        <w:jc w:val="both"/>
        <w:rPr>
          <w:sz w:val="18"/>
        </w:rPr>
      </w:pPr>
      <w:r>
        <w:rPr/>
        <w:pict>
          <v:shape style="position:absolute;margin-left:325.440002pt;margin-top:49.671757pt;width:236.7pt;height:143.6pt;mso-position-horizontal-relative:page;mso-position-vertical-relative:paragraph;z-index:-874504" type="#_x0000_t202" filled="false" stroked="false">
            <v:textbox inset="0,0,0,0">
              <w:txbxContent>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7"/>
                    <w:rPr>
                      <w:sz w:val="21"/>
                    </w:rPr>
                  </w:pPr>
                </w:p>
                <w:p>
                  <w:pPr>
                    <w:spacing w:before="0"/>
                    <w:ind w:left="652" w:right="0" w:firstLine="0"/>
                    <w:jc w:val="left"/>
                    <w:rPr>
                      <w:sz w:val="18"/>
                    </w:rPr>
                  </w:pPr>
                  <w:r>
                    <w:rPr>
                      <w:sz w:val="18"/>
                    </w:rPr>
                    <w:t>Figure 6. Results by region of the method Plibel</w:t>
                  </w:r>
                </w:p>
              </w:txbxContent>
            </v:textbox>
            <w10:wrap type="none"/>
          </v:shape>
        </w:pict>
      </w:r>
      <w:r>
        <w:rPr>
          <w:sz w:val="18"/>
        </w:rPr>
        <w:t>Risk factors present in the truck, based on the results changes recommended in the method that suits physical needs of workers, ie it ergonomic identified. Here are some measures are suggested to provide opportunities for process improvement:</w:t>
      </w:r>
    </w:p>
    <w:p>
      <w:pPr>
        <w:pStyle w:val="BodyText"/>
        <w:spacing w:before="9"/>
        <w:rPr>
          <w:sz w:val="10"/>
        </w:rPr>
      </w:pPr>
      <w:r>
        <w:rPr/>
        <w:drawing>
          <wp:anchor distT="0" distB="0" distL="0" distR="0" allowOverlap="1" layoutInCell="1" locked="0" behindDoc="0" simplePos="0" relativeHeight="4288">
            <wp:simplePos x="0" y="0"/>
            <wp:positionH relativeFrom="page">
              <wp:posOffset>4133088</wp:posOffset>
            </wp:positionH>
            <wp:positionV relativeFrom="paragraph">
              <wp:posOffset>104050</wp:posOffset>
            </wp:positionV>
            <wp:extent cx="3004833" cy="1822703"/>
            <wp:effectExtent l="0" t="0" r="0" b="0"/>
            <wp:wrapTopAndBottom/>
            <wp:docPr id="91" name="image56.jpeg" descr=""/>
            <wp:cNvGraphicFramePr>
              <a:graphicFrameLocks noChangeAspect="1"/>
            </wp:cNvGraphicFramePr>
            <a:graphic>
              <a:graphicData uri="http://schemas.openxmlformats.org/drawingml/2006/picture">
                <pic:pic>
                  <pic:nvPicPr>
                    <pic:cNvPr id="92" name="image56.jpeg"/>
                    <pic:cNvPicPr/>
                  </pic:nvPicPr>
                  <pic:blipFill>
                    <a:blip r:embed="rId129" cstate="print"/>
                    <a:stretch>
                      <a:fillRect/>
                    </a:stretch>
                  </pic:blipFill>
                  <pic:spPr>
                    <a:xfrm>
                      <a:off x="0" y="0"/>
                      <a:ext cx="3004833" cy="1822703"/>
                    </a:xfrm>
                    <a:prstGeom prst="rect">
                      <a:avLst/>
                    </a:prstGeom>
                  </pic:spPr>
                </pic:pic>
              </a:graphicData>
            </a:graphic>
          </wp:anchor>
        </w:drawing>
      </w:r>
    </w:p>
    <w:p>
      <w:pPr>
        <w:spacing w:before="40"/>
        <w:ind w:left="270" w:right="677" w:firstLine="0"/>
        <w:jc w:val="both"/>
        <w:rPr>
          <w:sz w:val="18"/>
        </w:rPr>
      </w:pPr>
      <w:r>
        <w:rPr>
          <w:sz w:val="18"/>
        </w:rPr>
        <w:t>More effort is detected to load because the delivery tables, have a higher level of operator, so it is recommended ergonomically adapt those tables or adjust the floor level with a platform to avoid this unnecessary lifting.</w:t>
      </w:r>
    </w:p>
    <w:p>
      <w:pPr>
        <w:pStyle w:val="BodyText"/>
        <w:rPr>
          <w:sz w:val="18"/>
        </w:rPr>
      </w:pPr>
    </w:p>
    <w:p>
      <w:pPr>
        <w:spacing w:before="0"/>
        <w:ind w:left="270" w:right="677" w:firstLine="0"/>
        <w:jc w:val="both"/>
        <w:rPr>
          <w:sz w:val="18"/>
        </w:rPr>
      </w:pPr>
      <w:r>
        <w:rPr>
          <w:sz w:val="18"/>
        </w:rPr>
        <w:t>Exposure to driving the forklift must not exceed the maximum sound pressure level of 140 dba, and as you can see, the dose of handling forklift is 166.67 was obtained, indicating that the worker is prone to injuries this condition, which is derived from the shock caused by the same presses and the sound emitted by the exhaust of compressed air at low pressure.</w:t>
      </w:r>
    </w:p>
    <w:p>
      <w:pPr>
        <w:pStyle w:val="BodyText"/>
        <w:rPr>
          <w:sz w:val="18"/>
        </w:rPr>
      </w:pPr>
    </w:p>
    <w:p>
      <w:pPr>
        <w:spacing w:before="0"/>
        <w:ind w:left="270" w:right="678" w:firstLine="0"/>
        <w:jc w:val="both"/>
        <w:rPr>
          <w:sz w:val="18"/>
        </w:rPr>
      </w:pPr>
      <w:r>
        <w:rPr>
          <w:sz w:val="18"/>
        </w:rPr>
        <w:t>Adjust staffing requirements in the recruitment of staff taking into account the physical characteristics (age, weight, gender, and height) as study conducted it was noted that the person studied had increased wear due to its size and weight.</w:t>
      </w:r>
    </w:p>
    <w:p>
      <w:pPr>
        <w:pStyle w:val="BodyText"/>
        <w:rPr>
          <w:sz w:val="18"/>
        </w:rPr>
      </w:pPr>
    </w:p>
    <w:p>
      <w:pPr>
        <w:pStyle w:val="ListParagraph"/>
        <w:numPr>
          <w:ilvl w:val="1"/>
          <w:numId w:val="46"/>
        </w:numPr>
        <w:tabs>
          <w:tab w:pos="542" w:val="left" w:leader="none"/>
        </w:tabs>
        <w:spacing w:line="240" w:lineRule="auto" w:before="0" w:after="0"/>
        <w:ind w:left="541" w:right="0" w:hanging="271"/>
        <w:jc w:val="both"/>
        <w:rPr>
          <w:sz w:val="18"/>
        </w:rPr>
      </w:pPr>
      <w:r>
        <w:rPr>
          <w:b/>
          <w:sz w:val="18"/>
        </w:rPr>
        <w:t>High exposure to</w:t>
      </w:r>
      <w:r>
        <w:rPr>
          <w:b/>
          <w:spacing w:val="-5"/>
          <w:sz w:val="18"/>
        </w:rPr>
        <w:t> </w:t>
      </w:r>
      <w:r>
        <w:rPr>
          <w:b/>
          <w:sz w:val="18"/>
        </w:rPr>
        <w:t>vibration</w:t>
      </w:r>
      <w:r>
        <w:rPr>
          <w:sz w:val="18"/>
        </w:rPr>
        <w:t>.</w:t>
      </w:r>
    </w:p>
    <w:p>
      <w:pPr>
        <w:pStyle w:val="BodyText"/>
        <w:rPr>
          <w:sz w:val="18"/>
        </w:rPr>
      </w:pPr>
    </w:p>
    <w:p>
      <w:pPr>
        <w:spacing w:before="0"/>
        <w:ind w:left="270" w:right="679" w:firstLine="0"/>
        <w:jc w:val="both"/>
        <w:rPr>
          <w:sz w:val="18"/>
        </w:rPr>
      </w:pPr>
      <w:r>
        <w:rPr>
          <w:sz w:val="18"/>
        </w:rPr>
        <w:t>First, for periods of work identified: 80% of the workday operating the forklift; secondly, by the state of the forklift, especially functional problems and generally by the operating technical condition (loss of damping layer tires).</w:t>
      </w:r>
    </w:p>
    <w:p>
      <w:pPr>
        <w:pStyle w:val="BodyText"/>
        <w:rPr>
          <w:sz w:val="18"/>
        </w:rPr>
      </w:pPr>
    </w:p>
    <w:p>
      <w:pPr>
        <w:spacing w:before="0"/>
        <w:ind w:left="270" w:right="678" w:firstLine="0"/>
        <w:jc w:val="both"/>
        <w:rPr>
          <w:sz w:val="18"/>
        </w:rPr>
      </w:pPr>
      <w:r>
        <w:rPr>
          <w:sz w:val="18"/>
        </w:rPr>
        <w:t>Driving the truck is related to warehouse management tasks, specifically in mobilizing product. Here, the main risk of spinal problems are associated with exposure to vibration and maintaining prolonged sitting posture [7].</w:t>
      </w:r>
    </w:p>
    <w:p>
      <w:pPr>
        <w:pStyle w:val="BodyText"/>
        <w:spacing w:before="3"/>
        <w:rPr>
          <w:sz w:val="18"/>
        </w:rPr>
      </w:pPr>
    </w:p>
    <w:p>
      <w:pPr>
        <w:pStyle w:val="ListParagraph"/>
        <w:numPr>
          <w:ilvl w:val="2"/>
          <w:numId w:val="42"/>
        </w:numPr>
        <w:tabs>
          <w:tab w:pos="452" w:val="left" w:leader="none"/>
        </w:tabs>
        <w:spacing w:line="240" w:lineRule="auto" w:before="0" w:after="0"/>
        <w:ind w:left="451" w:right="0" w:hanging="181"/>
        <w:jc w:val="both"/>
        <w:rPr>
          <w:b/>
          <w:color w:val="233F5E"/>
          <w:sz w:val="18"/>
        </w:rPr>
      </w:pPr>
      <w:r>
        <w:rPr>
          <w:b/>
          <w:color w:val="233F5E"/>
          <w:sz w:val="18"/>
        </w:rPr>
        <w:t>CONCLUSIONS</w:t>
      </w:r>
    </w:p>
    <w:p>
      <w:pPr>
        <w:pStyle w:val="BodyText"/>
        <w:spacing w:before="7"/>
        <w:rPr>
          <w:b/>
          <w:sz w:val="17"/>
        </w:rPr>
      </w:pPr>
    </w:p>
    <w:p>
      <w:pPr>
        <w:spacing w:before="1"/>
        <w:ind w:left="270" w:right="677" w:firstLine="0"/>
        <w:jc w:val="both"/>
        <w:rPr>
          <w:sz w:val="18"/>
        </w:rPr>
      </w:pPr>
      <w:r>
        <w:rPr>
          <w:sz w:val="18"/>
        </w:rPr>
        <w:t>The intensity of exposure depends on two external factors: first, the tire condition and floors. Secondly, the position adopted work (driving demands and position of head, back and neck) depends on the levels of storage pallets (between ground level and 9 m, approximately); by level several limitations in terms of visibility and visual field available are presented, are also linked to the presence of aid elements (especially driving in reverse).  Figure 7.</w:t>
      </w:r>
    </w:p>
    <w:p>
      <w:pPr>
        <w:spacing w:after="0"/>
        <w:jc w:val="both"/>
        <w:rPr>
          <w:sz w:val="18"/>
        </w:rPr>
        <w:sectPr>
          <w:type w:val="continuous"/>
          <w:pgSz w:w="12240" w:h="15840"/>
          <w:pgMar w:top="1500" w:bottom="280" w:left="580" w:right="220"/>
          <w:cols w:num="2" w:equalWidth="0">
            <w:col w:w="5164" w:space="434"/>
            <w:col w:w="5842"/>
          </w:cols>
        </w:sectPr>
      </w:pPr>
    </w:p>
    <w:p>
      <w:pPr>
        <w:pStyle w:val="BodyText"/>
        <w:spacing w:before="8"/>
        <w:rPr>
          <w:sz w:val="21"/>
        </w:rPr>
      </w:pPr>
    </w:p>
    <w:p>
      <w:pPr>
        <w:pStyle w:val="BodyText"/>
        <w:ind w:left="267"/>
      </w:pPr>
      <w:r>
        <w:rPr/>
        <w:drawing>
          <wp:inline distT="0" distB="0" distL="0" distR="0">
            <wp:extent cx="2875325" cy="2229611"/>
            <wp:effectExtent l="0" t="0" r="0" b="0"/>
            <wp:docPr id="93" name="image57.jpeg" descr=""/>
            <wp:cNvGraphicFramePr>
              <a:graphicFrameLocks noChangeAspect="1"/>
            </wp:cNvGraphicFramePr>
            <a:graphic>
              <a:graphicData uri="http://schemas.openxmlformats.org/drawingml/2006/picture">
                <pic:pic>
                  <pic:nvPicPr>
                    <pic:cNvPr id="94" name="image57.jpeg"/>
                    <pic:cNvPicPr/>
                  </pic:nvPicPr>
                  <pic:blipFill>
                    <a:blip r:embed="rId130" cstate="print"/>
                    <a:stretch>
                      <a:fillRect/>
                    </a:stretch>
                  </pic:blipFill>
                  <pic:spPr>
                    <a:xfrm>
                      <a:off x="0" y="0"/>
                      <a:ext cx="2875325" cy="2229611"/>
                    </a:xfrm>
                    <a:prstGeom prst="rect">
                      <a:avLst/>
                    </a:prstGeom>
                  </pic:spPr>
                </pic:pic>
              </a:graphicData>
            </a:graphic>
          </wp:inline>
        </w:drawing>
      </w:r>
      <w:r>
        <w:rPr/>
      </w:r>
    </w:p>
    <w:p>
      <w:pPr>
        <w:pStyle w:val="BodyText"/>
        <w:spacing w:before="4"/>
        <w:rPr>
          <w:sz w:val="14"/>
        </w:rPr>
      </w:pPr>
    </w:p>
    <w:p>
      <w:pPr>
        <w:spacing w:before="1"/>
        <w:ind w:left="270" w:right="0" w:firstLine="0"/>
        <w:jc w:val="both"/>
        <w:rPr>
          <w:sz w:val="18"/>
        </w:rPr>
      </w:pPr>
      <w:r>
        <w:rPr/>
        <w:pict>
          <v:shape style="position:absolute;margin-left:42.360001pt;margin-top:-183.848267pt;width:227.1pt;height:176.1pt;mso-position-horizontal-relative:page;mso-position-vertical-relative:paragraph;z-index:-874480" type="#_x0000_t202" filled="false" stroked="false">
            <v:textbox inset="0,0,0,0">
              <w:txbxContent>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spacing w:before="159"/>
                    <w:ind w:left="716" w:right="0" w:firstLine="0"/>
                    <w:jc w:val="left"/>
                    <w:rPr>
                      <w:sz w:val="18"/>
                    </w:rPr>
                  </w:pPr>
                  <w:r>
                    <w:rPr>
                      <w:sz w:val="18"/>
                    </w:rPr>
                    <w:t>Figure 7. Results by region of the method Plibel</w:t>
                  </w:r>
                </w:p>
              </w:txbxContent>
            </v:textbox>
            <w10:wrap type="none"/>
          </v:shape>
        </w:pict>
      </w:r>
      <w:r>
        <w:rPr>
          <w:sz w:val="18"/>
        </w:rPr>
        <w:t>Based   on   DTA's   identified   the   following   recommendations:</w:t>
      </w:r>
    </w:p>
    <w:p>
      <w:pPr>
        <w:pStyle w:val="ListParagraph"/>
        <w:numPr>
          <w:ilvl w:val="1"/>
          <w:numId w:val="29"/>
        </w:numPr>
        <w:tabs>
          <w:tab w:pos="464" w:val="left" w:leader="none"/>
        </w:tabs>
        <w:spacing w:line="207" w:lineRule="exact" w:before="0" w:after="0"/>
        <w:ind w:left="463" w:right="0" w:hanging="193"/>
        <w:jc w:val="both"/>
        <w:rPr>
          <w:sz w:val="18"/>
        </w:rPr>
      </w:pPr>
      <w:r>
        <w:rPr>
          <w:sz w:val="18"/>
        </w:rPr>
        <w:t>Maintain   a   good   posture   when   sitting   or   standing</w:t>
      </w:r>
      <w:r>
        <w:rPr>
          <w:spacing w:val="33"/>
          <w:sz w:val="18"/>
        </w:rPr>
        <w:t> </w:t>
      </w:r>
      <w:r>
        <w:rPr>
          <w:sz w:val="18"/>
        </w:rPr>
        <w:t>being.</w:t>
      </w:r>
    </w:p>
    <w:p>
      <w:pPr>
        <w:pStyle w:val="ListParagraph"/>
        <w:numPr>
          <w:ilvl w:val="1"/>
          <w:numId w:val="29"/>
        </w:numPr>
        <w:tabs>
          <w:tab w:pos="460" w:val="left" w:leader="none"/>
        </w:tabs>
        <w:spacing w:line="240" w:lineRule="auto" w:before="0" w:after="0"/>
        <w:ind w:left="270" w:right="1" w:firstLine="0"/>
        <w:jc w:val="both"/>
        <w:rPr>
          <w:sz w:val="18"/>
        </w:rPr>
      </w:pPr>
      <w:r>
        <w:rPr>
          <w:sz w:val="18"/>
        </w:rPr>
        <w:t>Exercise regularly (with proper stretching exercises before starting).</w:t>
      </w:r>
    </w:p>
    <w:p>
      <w:pPr>
        <w:pStyle w:val="ListParagraph"/>
        <w:numPr>
          <w:ilvl w:val="1"/>
          <w:numId w:val="29"/>
        </w:numPr>
        <w:tabs>
          <w:tab w:pos="379" w:val="left" w:leader="none"/>
        </w:tabs>
        <w:spacing w:line="206" w:lineRule="exact" w:before="0" w:after="0"/>
        <w:ind w:left="378" w:right="0" w:hanging="108"/>
        <w:jc w:val="both"/>
        <w:rPr>
          <w:sz w:val="18"/>
        </w:rPr>
      </w:pPr>
      <w:r>
        <w:rPr>
          <w:sz w:val="18"/>
        </w:rPr>
        <w:t>Maintain a healthy</w:t>
      </w:r>
      <w:r>
        <w:rPr>
          <w:spacing w:val="-8"/>
          <w:sz w:val="18"/>
        </w:rPr>
        <w:t> </w:t>
      </w:r>
      <w:r>
        <w:rPr>
          <w:sz w:val="18"/>
        </w:rPr>
        <w:t>weight.</w:t>
      </w:r>
    </w:p>
    <w:p>
      <w:pPr>
        <w:pStyle w:val="ListParagraph"/>
        <w:numPr>
          <w:ilvl w:val="1"/>
          <w:numId w:val="29"/>
        </w:numPr>
        <w:tabs>
          <w:tab w:pos="452" w:val="left" w:leader="none"/>
        </w:tabs>
        <w:spacing w:line="207" w:lineRule="exact" w:before="0" w:after="0"/>
        <w:ind w:left="451" w:right="0" w:hanging="181"/>
        <w:jc w:val="both"/>
        <w:rPr>
          <w:sz w:val="18"/>
        </w:rPr>
      </w:pPr>
      <w:r>
        <w:rPr>
          <w:sz w:val="18"/>
        </w:rPr>
        <w:t>Reduce  emotional  stress  which  may   cause  muscle   </w:t>
      </w:r>
      <w:r>
        <w:rPr>
          <w:spacing w:val="39"/>
          <w:sz w:val="18"/>
        </w:rPr>
        <w:t> </w:t>
      </w:r>
      <w:r>
        <w:rPr>
          <w:sz w:val="18"/>
        </w:rPr>
        <w:t>tension.</w:t>
      </w:r>
    </w:p>
    <w:p>
      <w:pPr>
        <w:pStyle w:val="ListParagraph"/>
        <w:numPr>
          <w:ilvl w:val="1"/>
          <w:numId w:val="29"/>
        </w:numPr>
        <w:tabs>
          <w:tab w:pos="416" w:val="left" w:leader="none"/>
        </w:tabs>
        <w:spacing w:line="240" w:lineRule="auto" w:before="0" w:after="0"/>
        <w:ind w:left="270" w:right="0" w:firstLine="0"/>
        <w:jc w:val="both"/>
        <w:rPr>
          <w:sz w:val="18"/>
        </w:rPr>
      </w:pPr>
      <w:r>
        <w:rPr>
          <w:sz w:val="18"/>
        </w:rPr>
        <w:t>Use daily safety equipment and hygiene requirements (lumbar belts, safety shoes, cap, surgical mask and apron.), this in order to safeguard the physical integrity of the employee and the hygiene of the final</w:t>
      </w:r>
      <w:r>
        <w:rPr>
          <w:spacing w:val="-14"/>
          <w:sz w:val="18"/>
        </w:rPr>
        <w:t> </w:t>
      </w:r>
      <w:r>
        <w:rPr>
          <w:sz w:val="18"/>
        </w:rPr>
        <w:t>product.</w:t>
      </w:r>
    </w:p>
    <w:p>
      <w:pPr>
        <w:pStyle w:val="BodyText"/>
        <w:rPr>
          <w:sz w:val="18"/>
        </w:rPr>
      </w:pPr>
    </w:p>
    <w:p>
      <w:pPr>
        <w:spacing w:before="0"/>
        <w:ind w:left="270" w:right="0" w:firstLine="0"/>
        <w:jc w:val="both"/>
        <w:rPr>
          <w:sz w:val="18"/>
        </w:rPr>
      </w:pPr>
      <w:r>
        <w:rPr>
          <w:sz w:val="18"/>
        </w:rPr>
        <w:t>This study allowed us to demonstrate the importance of understanding the variables that determine the productive activity  of subsequently these elements to design prevention strategies and tasks.</w:t>
      </w:r>
    </w:p>
    <w:p>
      <w:pPr>
        <w:pStyle w:val="BodyText"/>
        <w:spacing w:before="3"/>
        <w:rPr>
          <w:sz w:val="18"/>
        </w:rPr>
      </w:pPr>
    </w:p>
    <w:p>
      <w:pPr>
        <w:pStyle w:val="ListParagraph"/>
        <w:numPr>
          <w:ilvl w:val="2"/>
          <w:numId w:val="42"/>
        </w:numPr>
        <w:tabs>
          <w:tab w:pos="452" w:val="left" w:leader="none"/>
        </w:tabs>
        <w:spacing w:line="240" w:lineRule="auto" w:before="0" w:after="0"/>
        <w:ind w:left="451" w:right="0" w:hanging="181"/>
        <w:jc w:val="both"/>
        <w:rPr>
          <w:b/>
          <w:color w:val="233F5E"/>
          <w:sz w:val="18"/>
        </w:rPr>
      </w:pPr>
      <w:r>
        <w:rPr>
          <w:b/>
          <w:color w:val="233F5E"/>
          <w:sz w:val="18"/>
        </w:rPr>
        <w:t>REFERENCES</w:t>
      </w:r>
    </w:p>
    <w:p>
      <w:pPr>
        <w:pStyle w:val="BodyText"/>
        <w:spacing w:before="7"/>
        <w:rPr>
          <w:b/>
          <w:sz w:val="17"/>
        </w:rPr>
      </w:pPr>
    </w:p>
    <w:p>
      <w:pPr>
        <w:spacing w:before="1"/>
        <w:ind w:left="270" w:right="1" w:firstLine="0"/>
        <w:jc w:val="both"/>
        <w:rPr>
          <w:sz w:val="18"/>
        </w:rPr>
      </w:pPr>
      <w:r>
        <w:rPr>
          <w:sz w:val="18"/>
        </w:rPr>
        <w:t>[1] Melo José Luis Ergonomía práctica [Libro]. - Granada, España : Mapfre, 2009.</w:t>
      </w:r>
    </w:p>
    <w:p>
      <w:pPr>
        <w:spacing w:before="0"/>
        <w:ind w:left="270" w:right="0" w:firstLine="0"/>
        <w:jc w:val="both"/>
        <w:rPr>
          <w:sz w:val="18"/>
        </w:rPr>
      </w:pPr>
      <w:r>
        <w:rPr>
          <w:sz w:val="18"/>
        </w:rPr>
        <w:t>[2] Ramirez Cesar Ergonomía y Productividad - México: LIMUSA, 2009.</w:t>
      </w:r>
    </w:p>
    <w:p>
      <w:pPr>
        <w:spacing w:before="0"/>
        <w:ind w:left="270" w:right="0" w:firstLine="0"/>
        <w:jc w:val="both"/>
        <w:rPr>
          <w:sz w:val="18"/>
        </w:rPr>
      </w:pPr>
      <w:r>
        <w:rPr>
          <w:sz w:val="18"/>
        </w:rPr>
        <w:t>[3] Cañas José Ergonomía en los sistemas de trabajo [Libro]. - Granada : UGT, 2011. - Vol. I.</w:t>
      </w:r>
    </w:p>
    <w:p>
      <w:pPr>
        <w:spacing w:before="0"/>
        <w:ind w:left="270" w:right="0" w:firstLine="44"/>
        <w:jc w:val="both"/>
        <w:rPr>
          <w:sz w:val="18"/>
        </w:rPr>
      </w:pPr>
      <w:r>
        <w:rPr>
          <w:sz w:val="18"/>
        </w:rPr>
        <w:t>[4] Aguirre, M.C. y Martín, G.J.A. (2008). Investigación de fatiga en el entorno laboral de los pilotos mexicanos. II Encuentro de seguridad Aérea CPAM 2006.</w:t>
      </w:r>
    </w:p>
    <w:p>
      <w:pPr>
        <w:spacing w:before="0"/>
        <w:ind w:left="270" w:right="1" w:firstLine="0"/>
        <w:jc w:val="both"/>
        <w:rPr>
          <w:sz w:val="18"/>
        </w:rPr>
      </w:pPr>
      <w:r>
        <w:rPr>
          <w:sz w:val="18"/>
        </w:rPr>
        <w:t>[5] Mondelo, Enrique Gregori Torada, Pedro Barrau Bombardó [Libro]. - Cataluña, España. : UPC, 2005.</w:t>
      </w:r>
    </w:p>
    <w:p>
      <w:pPr>
        <w:spacing w:before="0"/>
        <w:ind w:left="270" w:right="0" w:firstLine="0"/>
        <w:jc w:val="both"/>
        <w:rPr>
          <w:sz w:val="18"/>
        </w:rPr>
      </w:pPr>
      <w:r>
        <w:rPr>
          <w:sz w:val="18"/>
        </w:rPr>
        <w:t>[6] Oborne David Ergonomía en acción: la adaptación del medio de trabajo al hombre [Libro]. - México : TRILLAS, 2005.</w:t>
      </w:r>
    </w:p>
    <w:p>
      <w:pPr>
        <w:spacing w:before="0"/>
        <w:ind w:left="270" w:right="1" w:firstLine="0"/>
        <w:jc w:val="both"/>
        <w:rPr>
          <w:sz w:val="18"/>
        </w:rPr>
      </w:pPr>
      <w:r>
        <w:rPr>
          <w:sz w:val="18"/>
        </w:rPr>
        <w:t>[7] Saavedra Francisco Javier, Hernández Carmen y Mascato Adrián Maestro Saavedra, Francisco Javier (1) [Publicación periódica]. - Coruña, España : Fisterra, 2009. - I Vol.II</w:t>
      </w:r>
    </w:p>
    <w:p>
      <w:pPr>
        <w:pStyle w:val="BodyText"/>
        <w:rPr>
          <w:sz w:val="18"/>
        </w:rPr>
      </w:pPr>
    </w:p>
    <w:p>
      <w:pPr>
        <w:pStyle w:val="BodyText"/>
        <w:rPr>
          <w:sz w:val="18"/>
        </w:rPr>
      </w:pPr>
    </w:p>
    <w:p>
      <w:pPr>
        <w:spacing w:before="0"/>
        <w:ind w:left="270" w:right="0" w:firstLine="0"/>
        <w:jc w:val="both"/>
        <w:rPr>
          <w:sz w:val="18"/>
        </w:rPr>
      </w:pPr>
      <w:r>
        <w:rPr>
          <w:b/>
          <w:sz w:val="18"/>
        </w:rPr>
        <w:t>Oviedo Peña Karen</w:t>
      </w:r>
      <w:r>
        <w:rPr>
          <w:sz w:val="18"/>
        </w:rPr>
        <w:t>: Industrial Engineering at the Polytechnic University of the Valley of Mexico.</w:t>
      </w:r>
    </w:p>
    <w:p>
      <w:pPr>
        <w:pStyle w:val="BodyText"/>
        <w:rPr>
          <w:sz w:val="18"/>
        </w:rPr>
      </w:pPr>
    </w:p>
    <w:p>
      <w:pPr>
        <w:spacing w:before="0"/>
        <w:ind w:left="270" w:right="1" w:firstLine="0"/>
        <w:jc w:val="both"/>
        <w:rPr>
          <w:sz w:val="18"/>
        </w:rPr>
      </w:pPr>
      <w:r>
        <w:rPr>
          <w:b/>
          <w:sz w:val="18"/>
        </w:rPr>
        <w:t>Ricardo González Jiménez</w:t>
      </w:r>
      <w:r>
        <w:rPr>
          <w:sz w:val="18"/>
        </w:rPr>
        <w:t>: Students Plan Industrial Engineering at the Polytechnic University of the Valley of Mexico.</w:t>
      </w:r>
    </w:p>
    <w:p>
      <w:pPr>
        <w:pStyle w:val="BodyText"/>
        <w:rPr>
          <w:sz w:val="18"/>
        </w:rPr>
      </w:pPr>
    </w:p>
    <w:p>
      <w:pPr>
        <w:spacing w:before="0"/>
        <w:ind w:left="270" w:right="0" w:firstLine="0"/>
        <w:jc w:val="both"/>
        <w:rPr>
          <w:sz w:val="18"/>
        </w:rPr>
      </w:pPr>
      <w:r>
        <w:rPr>
          <w:b/>
          <w:sz w:val="18"/>
        </w:rPr>
        <w:t>Saul Lara Rangel</w:t>
      </w:r>
      <w:r>
        <w:rPr>
          <w:sz w:val="18"/>
        </w:rPr>
        <w:t>: Industrial Engineer and Master of Science from the Metropolitan Autonomous University, PhD in Organizational Development from the University of Mexico City. He is Director of</w:t>
      </w:r>
    </w:p>
    <w:p>
      <w:pPr>
        <w:pStyle w:val="BodyText"/>
        <w:spacing w:before="7"/>
        <w:rPr>
          <w:sz w:val="17"/>
        </w:rPr>
      </w:pPr>
      <w:r>
        <w:rPr/>
        <w:br w:type="column"/>
      </w:r>
      <w:r>
        <w:rPr>
          <w:sz w:val="17"/>
        </w:rPr>
      </w:r>
    </w:p>
    <w:p>
      <w:pPr>
        <w:spacing w:before="1"/>
        <w:ind w:left="267" w:right="402" w:firstLine="0"/>
        <w:jc w:val="left"/>
        <w:rPr>
          <w:sz w:val="18"/>
        </w:rPr>
      </w:pPr>
      <w:r>
        <w:rPr>
          <w:sz w:val="18"/>
        </w:rPr>
        <w:t>the Division of Industrial Engineering and has been a speaker at national and international conferences.</w:t>
      </w:r>
    </w:p>
    <w:p>
      <w:pPr>
        <w:spacing w:after="0"/>
        <w:jc w:val="left"/>
        <w:rPr>
          <w:sz w:val="18"/>
        </w:rPr>
        <w:sectPr>
          <w:pgSz w:w="12240" w:h="15840"/>
          <w:pgMar w:header="545" w:footer="852" w:top="1060" w:bottom="1040" w:left="580" w:right="220"/>
          <w:cols w:num="2" w:equalWidth="0">
            <w:col w:w="5163" w:space="439"/>
            <w:col w:w="5838"/>
          </w:cols>
        </w:sectPr>
      </w:pPr>
    </w:p>
    <w:p>
      <w:pPr>
        <w:pStyle w:val="BodyText"/>
        <w:rPr>
          <w:sz w:val="11"/>
        </w:rPr>
      </w:pPr>
    </w:p>
    <w:p>
      <w:pPr>
        <w:spacing w:after="0"/>
        <w:rPr>
          <w:sz w:val="11"/>
        </w:rPr>
        <w:sectPr>
          <w:pgSz w:w="12240" w:h="15840"/>
          <w:pgMar w:header="545" w:footer="852" w:top="1060" w:bottom="1040" w:left="580" w:right="220"/>
        </w:sectPr>
      </w:pPr>
    </w:p>
    <w:p>
      <w:pPr>
        <w:pStyle w:val="BodyText"/>
        <w:spacing w:before="10"/>
        <w:rPr>
          <w:sz w:val="24"/>
        </w:rPr>
      </w:pPr>
    </w:p>
    <w:p>
      <w:pPr>
        <w:pStyle w:val="Heading1"/>
        <w:jc w:val="left"/>
        <w:rPr>
          <w:rFonts w:ascii="Arial"/>
        </w:rPr>
      </w:pPr>
      <w:r>
        <w:rPr>
          <w:rFonts w:ascii="Arial"/>
        </w:rPr>
        <w:t>Methodology for analysis Benefit / cost of ergonomics Projects: a study case.</w:t>
      </w:r>
    </w:p>
    <w:p>
      <w:pPr>
        <w:spacing w:line="206" w:lineRule="exact" w:before="208"/>
        <w:ind w:left="270" w:right="18" w:firstLine="0"/>
        <w:jc w:val="both"/>
        <w:rPr>
          <w:i/>
          <w:sz w:val="12"/>
        </w:rPr>
      </w:pPr>
      <w:r>
        <w:rPr>
          <w:i/>
          <w:sz w:val="18"/>
        </w:rPr>
        <w:t>Luis Armando Valdez </w:t>
      </w:r>
      <w:r>
        <w:rPr>
          <w:i/>
          <w:position w:val="8"/>
          <w:sz w:val="12"/>
        </w:rPr>
        <w:t>a</w:t>
      </w:r>
      <w:r>
        <w:rPr>
          <w:i/>
          <w:sz w:val="18"/>
        </w:rPr>
        <w:t>, José Alfredo Leyva Astorga </w:t>
      </w:r>
      <w:r>
        <w:rPr>
          <w:i/>
          <w:position w:val="8"/>
          <w:sz w:val="12"/>
        </w:rPr>
        <w:t>b</w:t>
      </w:r>
      <w:r>
        <w:rPr>
          <w:i/>
          <w:sz w:val="18"/>
        </w:rPr>
        <w:t>, Alberto </w:t>
      </w:r>
      <w:r>
        <w:rPr>
          <w:i/>
          <w:sz w:val="18"/>
        </w:rPr>
        <w:t>Ramírez Leyva. </w:t>
      </w:r>
      <w:r>
        <w:rPr>
          <w:i/>
          <w:position w:val="8"/>
          <w:sz w:val="12"/>
        </w:rPr>
        <w:t>c</w:t>
      </w:r>
      <w:r>
        <w:rPr>
          <w:i/>
          <w:sz w:val="18"/>
        </w:rPr>
        <w:t>, . Ilse Alejandra Fierro Rodríguez </w:t>
      </w:r>
      <w:r>
        <w:rPr>
          <w:i/>
          <w:position w:val="8"/>
          <w:sz w:val="12"/>
        </w:rPr>
        <w:t>d</w:t>
      </w:r>
    </w:p>
    <w:p>
      <w:pPr>
        <w:pStyle w:val="BodyText"/>
        <w:spacing w:before="8"/>
        <w:rPr>
          <w:i/>
          <w:sz w:val="15"/>
        </w:rPr>
      </w:pPr>
    </w:p>
    <w:p>
      <w:pPr>
        <w:spacing w:before="0"/>
        <w:ind w:left="270" w:right="0" w:firstLine="0"/>
        <w:jc w:val="both"/>
        <w:rPr>
          <w:sz w:val="18"/>
        </w:rPr>
      </w:pPr>
      <w:r>
        <w:rPr>
          <w:position w:val="8"/>
          <w:sz w:val="12"/>
        </w:rPr>
        <w:t>a </w:t>
      </w:r>
      <w:r>
        <w:rPr>
          <w:sz w:val="18"/>
        </w:rPr>
        <w:t>Instituto Tecnológico de Los Mochis, Juan de Dios Batiz y 20 de noviembre s/n código postal 81259, </w:t>
      </w:r>
      <w:hyperlink r:id="rId131">
        <w:r>
          <w:rPr>
            <w:sz w:val="18"/>
          </w:rPr>
          <w:t>lvaldez_888@hotmail.com,</w:t>
        </w:r>
      </w:hyperlink>
      <w:r>
        <w:rPr>
          <w:sz w:val="18"/>
        </w:rPr>
        <w:t>  Los Mochis, Sinaloa,</w:t>
      </w:r>
      <w:r>
        <w:rPr>
          <w:spacing w:val="-14"/>
          <w:sz w:val="18"/>
        </w:rPr>
        <w:t> </w:t>
      </w:r>
      <w:r>
        <w:rPr>
          <w:sz w:val="18"/>
        </w:rPr>
        <w:t>México.</w:t>
      </w:r>
    </w:p>
    <w:p>
      <w:pPr>
        <w:spacing w:line="206" w:lineRule="exact" w:before="0"/>
        <w:ind w:left="270" w:right="0" w:firstLine="0"/>
        <w:jc w:val="both"/>
        <w:rPr>
          <w:sz w:val="18"/>
        </w:rPr>
      </w:pPr>
      <w:r>
        <w:rPr>
          <w:position w:val="8"/>
          <w:sz w:val="12"/>
        </w:rPr>
        <w:t>b </w:t>
      </w:r>
      <w:r>
        <w:rPr>
          <w:sz w:val="18"/>
        </w:rPr>
        <w:t>Instituto Tecnológico de Los Mochis, Juan de Dios Batiz y 20   de</w:t>
      </w:r>
    </w:p>
    <w:p>
      <w:pPr>
        <w:spacing w:before="0"/>
        <w:ind w:left="270" w:right="0" w:firstLine="0"/>
        <w:jc w:val="both"/>
        <w:rPr>
          <w:sz w:val="18"/>
        </w:rPr>
      </w:pPr>
      <w:r>
        <w:rPr>
          <w:sz w:val="18"/>
        </w:rPr>
        <w:t>noviembre s/n código postal 81259, </w:t>
      </w:r>
      <w:hyperlink r:id="rId132">
        <w:r>
          <w:rPr>
            <w:sz w:val="18"/>
          </w:rPr>
          <w:t>jala641031@hotmail.com,</w:t>
        </w:r>
      </w:hyperlink>
      <w:r>
        <w:rPr>
          <w:sz w:val="18"/>
        </w:rPr>
        <w:t> Los Mochis, Sinaloa, México.</w:t>
      </w:r>
    </w:p>
    <w:p>
      <w:pPr>
        <w:tabs>
          <w:tab w:pos="1668" w:val="left" w:leader="none"/>
          <w:tab w:pos="2507" w:val="left" w:leader="none"/>
          <w:tab w:pos="3624" w:val="left" w:leader="none"/>
          <w:tab w:pos="4683" w:val="left" w:leader="none"/>
        </w:tabs>
        <w:spacing w:line="206" w:lineRule="exact" w:before="4"/>
        <w:ind w:left="270" w:right="0" w:firstLine="0"/>
        <w:jc w:val="both"/>
        <w:rPr>
          <w:sz w:val="18"/>
        </w:rPr>
      </w:pPr>
      <w:r>
        <w:rPr>
          <w:position w:val="8"/>
          <w:sz w:val="12"/>
        </w:rPr>
        <w:t>c </w:t>
      </w:r>
      <w:r>
        <w:rPr>
          <w:sz w:val="18"/>
        </w:rPr>
        <w:t>Instituto Tecnológico de Los Mochis, Juan de Dios Batiz y 20 de noviembre</w:t>
        <w:tab/>
        <w:t>s/n</w:t>
        <w:tab/>
        <w:t>código</w:t>
        <w:tab/>
        <w:t>postal</w:t>
        <w:tab/>
        <w:t>81259,</w:t>
      </w:r>
    </w:p>
    <w:p>
      <w:pPr>
        <w:tabs>
          <w:tab w:pos="862" w:val="left" w:leader="none"/>
          <w:tab w:pos="1165" w:val="left" w:leader="none"/>
          <w:tab w:pos="1556" w:val="left" w:leader="none"/>
          <w:tab w:pos="1939" w:val="left" w:leader="none"/>
          <w:tab w:pos="2920" w:val="left" w:leader="none"/>
          <w:tab w:pos="3341" w:val="left" w:leader="none"/>
          <w:tab w:pos="4042" w:val="left" w:leader="none"/>
          <w:tab w:pos="4685" w:val="left" w:leader="none"/>
        </w:tabs>
        <w:spacing w:line="230" w:lineRule="auto" w:before="5"/>
        <w:ind w:left="270" w:right="0" w:firstLine="0"/>
        <w:jc w:val="left"/>
        <w:rPr>
          <w:sz w:val="18"/>
        </w:rPr>
      </w:pPr>
      <w:r>
        <w:rPr>
          <w:sz w:val="18"/>
        </w:rPr>
        <w:t>alberto_ramirez_leyva@yahoo,com, Los Mochis, Sinaloa, México. </w:t>
      </w:r>
      <w:r>
        <w:rPr>
          <w:position w:val="8"/>
          <w:sz w:val="12"/>
        </w:rPr>
        <w:t>d </w:t>
      </w:r>
      <w:r>
        <w:rPr>
          <w:sz w:val="18"/>
        </w:rPr>
        <w:t>Estudiante del Instituto Tecnológico de Los Mochis, Juan de Dios Batiz</w:t>
        <w:tab/>
        <w:t>y</w:t>
        <w:tab/>
        <w:t>20</w:t>
        <w:tab/>
        <w:t>de</w:t>
        <w:tab/>
        <w:t>noviembre</w:t>
        <w:tab/>
        <w:t>s/n</w:t>
        <w:tab/>
        <w:t>código</w:t>
        <w:tab/>
        <w:t>postal</w:t>
        <w:tab/>
        <w:t>81259, </w:t>
      </w:r>
      <w:hyperlink r:id="rId133">
        <w:r>
          <w:rPr>
            <w:i/>
            <w:sz w:val="18"/>
          </w:rPr>
          <w:t>ale_rodriguez11@hotmail.com</w:t>
        </w:r>
        <w:r>
          <w:rPr>
            <w:sz w:val="18"/>
          </w:rPr>
          <w:t>,</w:t>
        </w:r>
      </w:hyperlink>
      <w:r>
        <w:rPr>
          <w:sz w:val="18"/>
        </w:rPr>
        <w:t> Los Mochis, Sinaloa,</w:t>
      </w:r>
      <w:r>
        <w:rPr>
          <w:spacing w:val="-15"/>
          <w:sz w:val="18"/>
        </w:rPr>
        <w:t> </w:t>
      </w:r>
      <w:r>
        <w:rPr>
          <w:sz w:val="18"/>
        </w:rPr>
        <w:t>México.</w:t>
      </w:r>
    </w:p>
    <w:p>
      <w:pPr>
        <w:pStyle w:val="BodyText"/>
        <w:spacing w:before="6"/>
        <w:rPr>
          <w:sz w:val="18"/>
        </w:rPr>
      </w:pPr>
    </w:p>
    <w:p>
      <w:pPr>
        <w:spacing w:before="0"/>
        <w:ind w:left="270" w:right="0" w:firstLine="0"/>
        <w:jc w:val="both"/>
        <w:rPr>
          <w:b/>
          <w:sz w:val="18"/>
        </w:rPr>
      </w:pPr>
      <w:r>
        <w:rPr/>
        <w:pict>
          <v:line style="position:absolute;mso-position-horizontal-relative:page;mso-position-vertical-relative:paragraph;z-index:4360" from="41.040001pt,12.152352pt" to="288.540001pt,12.152352pt" stroked="true" strokeweight="1.5pt" strokecolor="#000000">
            <w10:wrap type="none"/>
          </v:line>
        </w:pict>
      </w:r>
      <w:r>
        <w:rPr>
          <w:b/>
          <w:sz w:val="18"/>
        </w:rPr>
        <w:t>Resumen</w:t>
      </w:r>
    </w:p>
    <w:p>
      <w:pPr>
        <w:spacing w:before="46"/>
        <w:ind w:left="270" w:right="13" w:firstLine="0"/>
        <w:jc w:val="both"/>
        <w:rPr>
          <w:sz w:val="18"/>
        </w:rPr>
      </w:pPr>
      <w:r>
        <w:rPr>
          <w:sz w:val="18"/>
        </w:rPr>
        <w:t>Esta investigación se realizó en una panadería, donde se elaboran donas, entre otros panes. Para su elaboración utilizan una herramienta de mano de lámina galvanizada, en forma de dona, con un diámetro de 10 centímetros; la toman con la mano extendida, abarcando la forma del diseño, para poder golpear el molde sobre la masa y formar las donas. Anteriormente, en la investigación “Aplicación del método RULA para el rediseño de  una  herramienta de mano” se planteó una propuesta de rediseño con acero inoxidable y con dimensiones apropiadas a los trabajadores que la utilizan. En esta investigación se evalúa la herramienta desde la perspectiva del</w:t>
      </w:r>
      <w:r>
        <w:rPr>
          <w:spacing w:val="-6"/>
          <w:sz w:val="18"/>
        </w:rPr>
        <w:t> </w:t>
      </w:r>
      <w:r>
        <w:rPr>
          <w:sz w:val="18"/>
        </w:rPr>
        <w:t>beneficio-costo.</w:t>
      </w:r>
    </w:p>
    <w:p>
      <w:pPr>
        <w:pStyle w:val="BodyText"/>
        <w:rPr>
          <w:sz w:val="18"/>
        </w:rPr>
      </w:pPr>
    </w:p>
    <w:p>
      <w:pPr>
        <w:spacing w:before="0"/>
        <w:ind w:left="270" w:right="18" w:firstLine="0"/>
        <w:jc w:val="both"/>
        <w:rPr>
          <w:sz w:val="18"/>
        </w:rPr>
      </w:pPr>
      <w:r>
        <w:rPr>
          <w:b/>
          <w:sz w:val="18"/>
        </w:rPr>
        <w:t>Palabras clave</w:t>
      </w:r>
      <w:r>
        <w:rPr>
          <w:sz w:val="18"/>
        </w:rPr>
        <w:t>— Evaluación ergonómica, herramienta de mano, ingeniería económica, panadería.</w:t>
      </w:r>
    </w:p>
    <w:p>
      <w:pPr>
        <w:pStyle w:val="BodyText"/>
        <w:spacing w:before="6"/>
        <w:rPr>
          <w:sz w:val="18"/>
        </w:rPr>
      </w:pPr>
    </w:p>
    <w:p>
      <w:pPr>
        <w:spacing w:before="0"/>
        <w:ind w:left="270" w:right="0" w:firstLine="0"/>
        <w:jc w:val="both"/>
        <w:rPr>
          <w:b/>
          <w:i/>
          <w:sz w:val="18"/>
        </w:rPr>
      </w:pPr>
      <w:r>
        <w:rPr/>
        <w:pict>
          <v:line style="position:absolute;mso-position-horizontal-relative:page;mso-position-vertical-relative:paragraph;z-index:4384" from="41.040001pt,12.031445pt" to="288.540001pt,12.031445pt" stroked="true" strokeweight="1.5pt" strokecolor="#000000">
            <w10:wrap type="none"/>
          </v:line>
        </w:pict>
      </w:r>
      <w:r>
        <w:rPr>
          <w:b/>
          <w:i/>
          <w:sz w:val="18"/>
        </w:rPr>
        <w:t>Abstract</w:t>
      </w:r>
    </w:p>
    <w:p>
      <w:pPr>
        <w:spacing w:before="43"/>
        <w:ind w:left="270" w:right="17" w:firstLine="0"/>
        <w:jc w:val="both"/>
        <w:rPr>
          <w:i/>
          <w:sz w:val="18"/>
        </w:rPr>
      </w:pPr>
      <w:r>
        <w:rPr>
          <w:i/>
          <w:sz w:val="18"/>
        </w:rPr>
        <w:t>This research was conducted in a bakery, where donuts are made, </w:t>
      </w:r>
      <w:r>
        <w:rPr>
          <w:i/>
          <w:sz w:val="18"/>
        </w:rPr>
        <w:t>among other breads. For processing using a hand tool of galvanized sheet, donut-shaped, with a diameter of 10 inches; take it with outstretched hand, covering the design shape, o hit the pan on the dough and form donuts. Earlier research "Implementation of RULA method for redesigning a hand tool” a proposed redesign was raised with stainless steel and with appropriate dimensions workers who use. In this research tool is evaluated from the perspective of cost-benefit.</w:t>
      </w:r>
    </w:p>
    <w:p>
      <w:pPr>
        <w:pStyle w:val="BodyText"/>
        <w:rPr>
          <w:i/>
          <w:sz w:val="18"/>
        </w:rPr>
      </w:pPr>
    </w:p>
    <w:p>
      <w:pPr>
        <w:spacing w:before="0"/>
        <w:ind w:left="270" w:right="18" w:firstLine="0"/>
        <w:jc w:val="both"/>
        <w:rPr>
          <w:i/>
          <w:sz w:val="18"/>
        </w:rPr>
      </w:pPr>
      <w:r>
        <w:rPr>
          <w:b/>
          <w:i/>
          <w:sz w:val="18"/>
        </w:rPr>
        <w:t>Keywords</w:t>
      </w:r>
      <w:r>
        <w:rPr>
          <w:i/>
          <w:sz w:val="18"/>
        </w:rPr>
        <w:t>— Ergonomic evaluation, hand tool, economic </w:t>
      </w:r>
      <w:r>
        <w:rPr>
          <w:i/>
          <w:sz w:val="18"/>
        </w:rPr>
        <w:t>engineering, bakery.</w:t>
      </w:r>
    </w:p>
    <w:p>
      <w:pPr>
        <w:pStyle w:val="BodyText"/>
        <w:rPr>
          <w:i/>
          <w:sz w:val="18"/>
        </w:rPr>
      </w:pPr>
    </w:p>
    <w:p>
      <w:pPr>
        <w:spacing w:before="0"/>
        <w:ind w:left="270" w:right="17" w:firstLine="0"/>
        <w:jc w:val="both"/>
        <w:rPr>
          <w:sz w:val="18"/>
        </w:rPr>
      </w:pPr>
      <w:r>
        <w:rPr>
          <w:sz w:val="18"/>
        </w:rPr>
        <w:t>Relevance to Ergonomics: In this research tool is evaluated from the perspective of cost-benefit, and does not increase with increasing the production .With an example of how economically evaluate a new hand</w:t>
      </w:r>
      <w:r>
        <w:rPr>
          <w:spacing w:val="-6"/>
          <w:sz w:val="18"/>
        </w:rPr>
        <w:t> </w:t>
      </w:r>
      <w:r>
        <w:rPr>
          <w:sz w:val="18"/>
        </w:rPr>
        <w:t>tool.</w:t>
      </w:r>
    </w:p>
    <w:p>
      <w:pPr>
        <w:pStyle w:val="BodyText"/>
        <w:spacing w:before="3"/>
        <w:rPr>
          <w:sz w:val="18"/>
        </w:rPr>
      </w:pPr>
    </w:p>
    <w:p>
      <w:pPr>
        <w:pStyle w:val="ListParagraph"/>
        <w:numPr>
          <w:ilvl w:val="0"/>
          <w:numId w:val="47"/>
        </w:numPr>
        <w:tabs>
          <w:tab w:pos="452" w:val="left" w:leader="none"/>
        </w:tabs>
        <w:spacing w:line="240" w:lineRule="auto" w:before="0" w:after="0"/>
        <w:ind w:left="451" w:right="0" w:hanging="181"/>
        <w:jc w:val="both"/>
        <w:rPr>
          <w:b/>
          <w:sz w:val="18"/>
        </w:rPr>
      </w:pPr>
      <w:r>
        <w:rPr>
          <w:b/>
          <w:sz w:val="18"/>
        </w:rPr>
        <w:t>Introduction</w:t>
      </w:r>
    </w:p>
    <w:p>
      <w:pPr>
        <w:pStyle w:val="BodyText"/>
        <w:spacing w:before="7"/>
        <w:rPr>
          <w:b/>
          <w:sz w:val="17"/>
        </w:rPr>
      </w:pPr>
    </w:p>
    <w:p>
      <w:pPr>
        <w:spacing w:before="1"/>
        <w:ind w:left="270" w:right="17" w:firstLine="432"/>
        <w:jc w:val="both"/>
        <w:rPr>
          <w:sz w:val="18"/>
        </w:rPr>
      </w:pPr>
      <w:r>
        <w:rPr>
          <w:sz w:val="18"/>
        </w:rPr>
        <w:t>You need to apply the principles of engineering economics to determine the feasibility of using hand tools in the development of donuts once they have been ergonomically designed or redesigned. When you want to calculate the return on investment [1], it is necessary to perform three steps: a) determine what has changed under design b) express changes in monetary  units c)     calculating</w:t>
      </w:r>
    </w:p>
    <w:p>
      <w:pPr>
        <w:spacing w:before="77"/>
        <w:ind w:left="270" w:right="677" w:firstLine="0"/>
        <w:jc w:val="both"/>
        <w:rPr>
          <w:sz w:val="18"/>
        </w:rPr>
      </w:pPr>
      <w:r>
        <w:rPr/>
        <w:br w:type="column"/>
      </w:r>
      <w:r>
        <w:rPr>
          <w:sz w:val="18"/>
        </w:rPr>
        <w:t>the total benefits against the costs. The application of analysis benefit / cost will be useful to determine the feasibility of using or not tools have been redesigned for use in bakeries.</w:t>
      </w:r>
    </w:p>
    <w:p>
      <w:pPr>
        <w:pStyle w:val="BodyText"/>
        <w:rPr>
          <w:sz w:val="18"/>
        </w:rPr>
      </w:pPr>
    </w:p>
    <w:p>
      <w:pPr>
        <w:spacing w:before="0"/>
        <w:ind w:left="270" w:right="677" w:firstLine="432"/>
        <w:jc w:val="both"/>
        <w:rPr>
          <w:sz w:val="18"/>
        </w:rPr>
      </w:pPr>
      <w:r>
        <w:rPr>
          <w:sz w:val="18"/>
        </w:rPr>
        <w:t>The organization of the subject to determine the feasibility is as follows: 1. Detection needs 2. Problem definition 3. Finding information and data collection 4. Determine the possible alternatives to solve the problem 5. Physical Valuation of each alternative 6. Select the alternatives 7. Determine costs for each alternative 8. Determine benefits and benefits of each alternative against 9. Calculate the benefit / cost each alternative 10.Criterio decision 11. Deciding feasibility.</w:t>
      </w:r>
    </w:p>
    <w:p>
      <w:pPr>
        <w:pStyle w:val="BodyText"/>
        <w:spacing w:before="3"/>
        <w:rPr>
          <w:sz w:val="18"/>
        </w:rPr>
      </w:pPr>
    </w:p>
    <w:p>
      <w:pPr>
        <w:pStyle w:val="ListParagraph"/>
        <w:numPr>
          <w:ilvl w:val="0"/>
          <w:numId w:val="47"/>
        </w:numPr>
        <w:tabs>
          <w:tab w:pos="452" w:val="left" w:leader="none"/>
        </w:tabs>
        <w:spacing w:line="240" w:lineRule="auto" w:before="0" w:after="0"/>
        <w:ind w:left="451" w:right="0" w:hanging="181"/>
        <w:jc w:val="both"/>
        <w:rPr>
          <w:b/>
          <w:sz w:val="18"/>
        </w:rPr>
      </w:pPr>
      <w:r>
        <w:rPr>
          <w:b/>
          <w:sz w:val="18"/>
        </w:rPr>
        <w:t>Methodology</w:t>
      </w:r>
    </w:p>
    <w:p>
      <w:pPr>
        <w:pStyle w:val="BodyText"/>
        <w:spacing w:before="7"/>
        <w:rPr>
          <w:b/>
          <w:sz w:val="17"/>
        </w:rPr>
      </w:pPr>
    </w:p>
    <w:p>
      <w:pPr>
        <w:spacing w:before="1"/>
        <w:ind w:left="270" w:right="676" w:firstLine="0"/>
        <w:jc w:val="both"/>
        <w:rPr>
          <w:sz w:val="18"/>
        </w:rPr>
      </w:pPr>
      <w:r>
        <w:rPr>
          <w:sz w:val="18"/>
        </w:rPr>
        <w:t>Once the procedure of the benefit / proposed in [ 2] cost , where the flowchart for analysis benefit / cost described and steps for the feasibility study [3 ] were revised was revised proceeded to draw a diagram ( 1) itself , where the steps to be taken into account in the analysis benefit / cost of the current tool and the proposed tool are displayed. With this information the annual yield, which serve to decide feasibility and use will be determined.</w:t>
      </w:r>
    </w:p>
    <w:p>
      <w:pPr>
        <w:pStyle w:val="BodyText"/>
        <w:spacing w:before="3"/>
        <w:rPr>
          <w:sz w:val="18"/>
        </w:rPr>
      </w:pPr>
    </w:p>
    <w:p>
      <w:pPr>
        <w:pStyle w:val="ListParagraph"/>
        <w:numPr>
          <w:ilvl w:val="1"/>
          <w:numId w:val="47"/>
        </w:numPr>
        <w:tabs>
          <w:tab w:pos="543" w:val="left" w:leader="none"/>
        </w:tabs>
        <w:spacing w:line="240" w:lineRule="auto" w:before="0" w:after="0"/>
        <w:ind w:left="542" w:right="0" w:hanging="272"/>
        <w:jc w:val="both"/>
        <w:rPr>
          <w:b/>
          <w:sz w:val="18"/>
        </w:rPr>
      </w:pPr>
      <w:r>
        <w:rPr>
          <w:b/>
          <w:sz w:val="18"/>
        </w:rPr>
        <w:t>Detection of</w:t>
      </w:r>
      <w:r>
        <w:rPr>
          <w:b/>
          <w:spacing w:val="-7"/>
          <w:sz w:val="18"/>
        </w:rPr>
        <w:t> </w:t>
      </w:r>
      <w:r>
        <w:rPr>
          <w:b/>
          <w:sz w:val="18"/>
        </w:rPr>
        <w:t>needs</w:t>
      </w:r>
    </w:p>
    <w:p>
      <w:pPr>
        <w:pStyle w:val="BodyText"/>
        <w:spacing w:before="7"/>
        <w:rPr>
          <w:b/>
          <w:sz w:val="17"/>
        </w:rPr>
      </w:pPr>
    </w:p>
    <w:p>
      <w:pPr>
        <w:spacing w:before="1"/>
        <w:ind w:left="270" w:right="676" w:firstLine="0"/>
        <w:jc w:val="both"/>
        <w:rPr>
          <w:sz w:val="18"/>
        </w:rPr>
      </w:pPr>
      <w:r>
        <w:rPr>
          <w:sz w:val="18"/>
        </w:rPr>
        <w:t>To examine the environment around us, as the demands of performing a task, the development of technology, the economic environment and social. Analyze a workplace or a tool to determine whether there is a need to change or improve something. Among the things you can change fit many options as it is a new product, changing a process obsolete or inefficient, or redesign a new tool; the range to make these changes is quite large and is not fully constrained to simple and easy to implement</w:t>
      </w:r>
      <w:r>
        <w:rPr>
          <w:spacing w:val="-16"/>
          <w:sz w:val="18"/>
        </w:rPr>
        <w:t> </w:t>
      </w:r>
      <w:r>
        <w:rPr>
          <w:sz w:val="18"/>
        </w:rPr>
        <w:t>things.</w:t>
      </w:r>
    </w:p>
    <w:p>
      <w:pPr>
        <w:pStyle w:val="BodyText"/>
        <w:spacing w:before="3"/>
        <w:rPr>
          <w:sz w:val="18"/>
        </w:rPr>
      </w:pPr>
    </w:p>
    <w:p>
      <w:pPr>
        <w:pStyle w:val="ListParagraph"/>
        <w:numPr>
          <w:ilvl w:val="1"/>
          <w:numId w:val="47"/>
        </w:numPr>
        <w:tabs>
          <w:tab w:pos="542" w:val="left" w:leader="none"/>
        </w:tabs>
        <w:spacing w:line="240" w:lineRule="auto" w:before="0" w:after="0"/>
        <w:ind w:left="541" w:right="0" w:hanging="271"/>
        <w:jc w:val="both"/>
        <w:rPr>
          <w:b/>
          <w:sz w:val="18"/>
        </w:rPr>
      </w:pPr>
      <w:r>
        <w:rPr>
          <w:b/>
          <w:sz w:val="18"/>
        </w:rPr>
        <w:t>Defining the</w:t>
      </w:r>
      <w:r>
        <w:rPr>
          <w:b/>
          <w:spacing w:val="-18"/>
          <w:sz w:val="18"/>
        </w:rPr>
        <w:t> </w:t>
      </w:r>
      <w:r>
        <w:rPr>
          <w:b/>
          <w:sz w:val="18"/>
        </w:rPr>
        <w:t>problem:</w:t>
      </w:r>
    </w:p>
    <w:p>
      <w:pPr>
        <w:pStyle w:val="BodyText"/>
        <w:spacing w:before="7"/>
        <w:rPr>
          <w:b/>
          <w:sz w:val="17"/>
        </w:rPr>
      </w:pPr>
    </w:p>
    <w:p>
      <w:pPr>
        <w:spacing w:before="1"/>
        <w:ind w:left="270" w:right="678" w:firstLine="0"/>
        <w:jc w:val="both"/>
        <w:rPr>
          <w:sz w:val="18"/>
        </w:rPr>
      </w:pPr>
      <w:r>
        <w:rPr>
          <w:sz w:val="18"/>
        </w:rPr>
        <w:t>Must be clearly and concisely also should include everything needed to define the characteristics of the problem and satisfying the needs raised above.</w:t>
      </w:r>
    </w:p>
    <w:p>
      <w:pPr>
        <w:pStyle w:val="BodyText"/>
        <w:spacing w:before="3"/>
        <w:rPr>
          <w:sz w:val="18"/>
        </w:rPr>
      </w:pPr>
    </w:p>
    <w:p>
      <w:pPr>
        <w:pStyle w:val="ListParagraph"/>
        <w:numPr>
          <w:ilvl w:val="1"/>
          <w:numId w:val="47"/>
        </w:numPr>
        <w:tabs>
          <w:tab w:pos="542" w:val="left" w:leader="none"/>
        </w:tabs>
        <w:spacing w:line="240" w:lineRule="auto" w:before="0" w:after="0"/>
        <w:ind w:left="541" w:right="0" w:hanging="271"/>
        <w:jc w:val="both"/>
        <w:rPr>
          <w:b/>
          <w:sz w:val="18"/>
        </w:rPr>
      </w:pPr>
      <w:r>
        <w:rPr>
          <w:b/>
          <w:sz w:val="18"/>
        </w:rPr>
        <w:t>Finding information and data</w:t>
      </w:r>
      <w:r>
        <w:rPr>
          <w:b/>
          <w:spacing w:val="-26"/>
          <w:sz w:val="18"/>
        </w:rPr>
        <w:t> </w:t>
      </w:r>
      <w:r>
        <w:rPr>
          <w:b/>
          <w:sz w:val="18"/>
        </w:rPr>
        <w:t>collection</w:t>
      </w:r>
    </w:p>
    <w:p>
      <w:pPr>
        <w:pStyle w:val="BodyText"/>
        <w:spacing w:before="7"/>
        <w:rPr>
          <w:b/>
          <w:sz w:val="17"/>
        </w:rPr>
      </w:pPr>
    </w:p>
    <w:p>
      <w:pPr>
        <w:spacing w:before="1"/>
        <w:ind w:left="270" w:right="0" w:firstLine="0"/>
        <w:jc w:val="both"/>
        <w:rPr>
          <w:sz w:val="18"/>
        </w:rPr>
      </w:pPr>
      <w:r>
        <w:rPr>
          <w:sz w:val="18"/>
        </w:rPr>
        <w:t>It is necessary to consider the following questions:</w:t>
      </w:r>
    </w:p>
    <w:p>
      <w:pPr>
        <w:pStyle w:val="ListParagraph"/>
        <w:numPr>
          <w:ilvl w:val="1"/>
          <w:numId w:val="29"/>
        </w:numPr>
        <w:tabs>
          <w:tab w:pos="978" w:val="left" w:leader="none"/>
          <w:tab w:pos="979" w:val="left" w:leader="none"/>
        </w:tabs>
        <w:spacing w:line="207" w:lineRule="exact" w:before="0" w:after="0"/>
        <w:ind w:left="978" w:right="0" w:hanging="708"/>
        <w:jc w:val="both"/>
        <w:rPr>
          <w:sz w:val="18"/>
        </w:rPr>
      </w:pPr>
      <w:r>
        <w:rPr>
          <w:sz w:val="18"/>
        </w:rPr>
        <w:t>What information do we</w:t>
      </w:r>
      <w:r>
        <w:rPr>
          <w:spacing w:val="-4"/>
          <w:sz w:val="18"/>
        </w:rPr>
        <w:t> </w:t>
      </w:r>
      <w:r>
        <w:rPr>
          <w:sz w:val="18"/>
        </w:rPr>
        <w:t>find?</w:t>
      </w:r>
    </w:p>
    <w:p>
      <w:pPr>
        <w:pStyle w:val="ListParagraph"/>
        <w:numPr>
          <w:ilvl w:val="1"/>
          <w:numId w:val="29"/>
        </w:numPr>
        <w:tabs>
          <w:tab w:pos="978" w:val="left" w:leader="none"/>
          <w:tab w:pos="979" w:val="left" w:leader="none"/>
        </w:tabs>
        <w:spacing w:line="206" w:lineRule="exact" w:before="0" w:after="0"/>
        <w:ind w:left="978" w:right="0" w:hanging="708"/>
        <w:jc w:val="both"/>
        <w:rPr>
          <w:sz w:val="18"/>
        </w:rPr>
      </w:pPr>
      <w:r>
        <w:rPr>
          <w:sz w:val="18"/>
        </w:rPr>
        <w:t>To what</w:t>
      </w:r>
      <w:r>
        <w:rPr>
          <w:spacing w:val="-4"/>
          <w:sz w:val="18"/>
        </w:rPr>
        <w:t> </w:t>
      </w:r>
      <w:r>
        <w:rPr>
          <w:sz w:val="18"/>
        </w:rPr>
        <w:t>end?</w:t>
      </w:r>
    </w:p>
    <w:p>
      <w:pPr>
        <w:pStyle w:val="ListParagraph"/>
        <w:numPr>
          <w:ilvl w:val="1"/>
          <w:numId w:val="29"/>
        </w:numPr>
        <w:tabs>
          <w:tab w:pos="978" w:val="left" w:leader="none"/>
          <w:tab w:pos="979" w:val="left" w:leader="none"/>
        </w:tabs>
        <w:spacing w:line="207" w:lineRule="exact" w:before="0" w:after="0"/>
        <w:ind w:left="978" w:right="0" w:hanging="708"/>
        <w:jc w:val="both"/>
        <w:rPr>
          <w:sz w:val="18"/>
        </w:rPr>
      </w:pPr>
      <w:r>
        <w:rPr>
          <w:sz w:val="18"/>
        </w:rPr>
        <w:t>Where can we find</w:t>
      </w:r>
      <w:r>
        <w:rPr>
          <w:spacing w:val="-6"/>
          <w:sz w:val="18"/>
        </w:rPr>
        <w:t> </w:t>
      </w:r>
      <w:r>
        <w:rPr>
          <w:sz w:val="18"/>
        </w:rPr>
        <w:t>it?</w:t>
      </w:r>
    </w:p>
    <w:p>
      <w:pPr>
        <w:pStyle w:val="ListParagraph"/>
        <w:numPr>
          <w:ilvl w:val="1"/>
          <w:numId w:val="29"/>
        </w:numPr>
        <w:tabs>
          <w:tab w:pos="978" w:val="left" w:leader="none"/>
          <w:tab w:pos="979" w:val="left" w:leader="none"/>
        </w:tabs>
        <w:spacing w:line="240" w:lineRule="auto" w:before="0" w:after="0"/>
        <w:ind w:left="978" w:right="0" w:hanging="708"/>
        <w:jc w:val="both"/>
        <w:rPr>
          <w:sz w:val="18"/>
        </w:rPr>
      </w:pPr>
      <w:r>
        <w:rPr>
          <w:sz w:val="18"/>
        </w:rPr>
        <w:t>To what</w:t>
      </w:r>
      <w:r>
        <w:rPr>
          <w:spacing w:val="-4"/>
          <w:sz w:val="18"/>
        </w:rPr>
        <w:t> </w:t>
      </w:r>
      <w:r>
        <w:rPr>
          <w:sz w:val="18"/>
        </w:rPr>
        <w:t>limit?</w:t>
      </w:r>
    </w:p>
    <w:p>
      <w:pPr>
        <w:spacing w:after="0" w:line="240" w:lineRule="auto"/>
        <w:jc w:val="both"/>
        <w:rPr>
          <w:sz w:val="18"/>
        </w:rPr>
        <w:sectPr>
          <w:type w:val="continuous"/>
          <w:pgSz w:w="12240" w:h="15840"/>
          <w:pgMar w:top="1500" w:bottom="280" w:left="580" w:right="220"/>
          <w:cols w:num="2" w:equalWidth="0">
            <w:col w:w="5181" w:space="417"/>
            <w:col w:w="5842"/>
          </w:cols>
        </w:sectPr>
      </w:pPr>
    </w:p>
    <w:p>
      <w:pPr>
        <w:pStyle w:val="BodyText"/>
        <w:rPr>
          <w:sz w:val="18"/>
        </w:rPr>
      </w:pPr>
    </w:p>
    <w:p>
      <w:pPr>
        <w:pStyle w:val="BodyText"/>
        <w:ind w:left="702" w:right="-40"/>
      </w:pPr>
      <w:r>
        <w:rPr/>
        <w:drawing>
          <wp:inline distT="0" distB="0" distL="0" distR="0">
            <wp:extent cx="2883112" cy="7437120"/>
            <wp:effectExtent l="0" t="0" r="0" b="0"/>
            <wp:docPr id="95" name="image58.png" descr=""/>
            <wp:cNvGraphicFramePr>
              <a:graphicFrameLocks noChangeAspect="1"/>
            </wp:cNvGraphicFramePr>
            <a:graphic>
              <a:graphicData uri="http://schemas.openxmlformats.org/drawingml/2006/picture">
                <pic:pic>
                  <pic:nvPicPr>
                    <pic:cNvPr id="96" name="image58.png"/>
                    <pic:cNvPicPr/>
                  </pic:nvPicPr>
                  <pic:blipFill>
                    <a:blip r:embed="rId134" cstate="print"/>
                    <a:stretch>
                      <a:fillRect/>
                    </a:stretch>
                  </pic:blipFill>
                  <pic:spPr>
                    <a:xfrm>
                      <a:off x="0" y="0"/>
                      <a:ext cx="2883112" cy="7437120"/>
                    </a:xfrm>
                    <a:prstGeom prst="rect">
                      <a:avLst/>
                    </a:prstGeom>
                  </pic:spPr>
                </pic:pic>
              </a:graphicData>
            </a:graphic>
          </wp:inline>
        </w:drawing>
      </w:r>
      <w:r>
        <w:rPr/>
      </w:r>
    </w:p>
    <w:p>
      <w:pPr>
        <w:pStyle w:val="BodyText"/>
        <w:spacing w:before="8"/>
        <w:rPr>
          <w:sz w:val="17"/>
        </w:rPr>
      </w:pPr>
    </w:p>
    <w:p>
      <w:pPr>
        <w:spacing w:before="0"/>
        <w:ind w:left="702" w:right="0" w:firstLine="0"/>
        <w:jc w:val="left"/>
        <w:rPr>
          <w:sz w:val="18"/>
        </w:rPr>
      </w:pPr>
      <w:r>
        <w:rPr>
          <w:sz w:val="18"/>
        </w:rPr>
        <w:t>Diagram 1. Proposed Steps feasibility study.</w:t>
      </w:r>
    </w:p>
    <w:p>
      <w:pPr>
        <w:pStyle w:val="BodyText"/>
        <w:rPr>
          <w:sz w:val="18"/>
        </w:rPr>
      </w:pPr>
    </w:p>
    <w:p>
      <w:pPr>
        <w:spacing w:before="0"/>
        <w:ind w:left="270" w:right="79" w:firstLine="432"/>
        <w:jc w:val="both"/>
        <w:rPr>
          <w:sz w:val="18"/>
        </w:rPr>
      </w:pPr>
      <w:r>
        <w:rPr>
          <w:sz w:val="18"/>
        </w:rPr>
        <w:t>Check whether the process, process or tool does not exist in any other sector to avoid creating a project or give solution to a problem that has been solved previously.</w:t>
      </w:r>
    </w:p>
    <w:p>
      <w:pPr>
        <w:pStyle w:val="BodyText"/>
        <w:spacing w:before="11"/>
        <w:rPr>
          <w:sz w:val="17"/>
        </w:rPr>
      </w:pPr>
      <w:r>
        <w:rPr/>
        <w:br w:type="column"/>
      </w:r>
      <w:r>
        <w:rPr>
          <w:sz w:val="17"/>
        </w:rPr>
      </w:r>
    </w:p>
    <w:p>
      <w:pPr>
        <w:pStyle w:val="ListParagraph"/>
        <w:numPr>
          <w:ilvl w:val="1"/>
          <w:numId w:val="47"/>
        </w:numPr>
        <w:tabs>
          <w:tab w:pos="543" w:val="left" w:leader="none"/>
        </w:tabs>
        <w:spacing w:line="240" w:lineRule="auto" w:before="0" w:after="0"/>
        <w:ind w:left="542" w:right="0" w:hanging="272"/>
        <w:jc w:val="both"/>
        <w:rPr>
          <w:b/>
          <w:sz w:val="18"/>
        </w:rPr>
      </w:pPr>
      <w:r>
        <w:rPr>
          <w:b/>
          <w:sz w:val="18"/>
        </w:rPr>
        <w:t>Determine the possible alternatives to solve the</w:t>
      </w:r>
      <w:r>
        <w:rPr>
          <w:b/>
          <w:spacing w:val="-20"/>
          <w:sz w:val="18"/>
        </w:rPr>
        <w:t> </w:t>
      </w:r>
      <w:r>
        <w:rPr>
          <w:b/>
          <w:sz w:val="18"/>
        </w:rPr>
        <w:t>problem</w:t>
      </w:r>
    </w:p>
    <w:p>
      <w:pPr>
        <w:pStyle w:val="BodyText"/>
        <w:spacing w:before="7"/>
        <w:rPr>
          <w:b/>
          <w:sz w:val="17"/>
        </w:rPr>
      </w:pPr>
    </w:p>
    <w:p>
      <w:pPr>
        <w:spacing w:before="1"/>
        <w:ind w:left="270" w:right="677" w:firstLine="0"/>
        <w:jc w:val="both"/>
        <w:rPr>
          <w:sz w:val="18"/>
        </w:rPr>
      </w:pPr>
      <w:r>
        <w:rPr>
          <w:sz w:val="18"/>
        </w:rPr>
        <w:t>The goal is to achieve a set of possible alternatives to using them manage to satisfy or solve the detected earlier and already raised the issue</w:t>
      </w:r>
      <w:r>
        <w:rPr>
          <w:spacing w:val="-5"/>
          <w:sz w:val="18"/>
        </w:rPr>
        <w:t> </w:t>
      </w:r>
      <w:r>
        <w:rPr>
          <w:sz w:val="18"/>
        </w:rPr>
        <w:t>needs.</w:t>
      </w:r>
    </w:p>
    <w:p>
      <w:pPr>
        <w:pStyle w:val="BodyText"/>
        <w:spacing w:before="3"/>
        <w:rPr>
          <w:sz w:val="18"/>
        </w:rPr>
      </w:pPr>
    </w:p>
    <w:p>
      <w:pPr>
        <w:pStyle w:val="ListParagraph"/>
        <w:numPr>
          <w:ilvl w:val="1"/>
          <w:numId w:val="47"/>
        </w:numPr>
        <w:tabs>
          <w:tab w:pos="542" w:val="left" w:leader="none"/>
        </w:tabs>
        <w:spacing w:line="240" w:lineRule="auto" w:before="0" w:after="0"/>
        <w:ind w:left="541" w:right="0" w:hanging="271"/>
        <w:jc w:val="both"/>
        <w:rPr>
          <w:b/>
          <w:sz w:val="18"/>
        </w:rPr>
      </w:pPr>
      <w:r>
        <w:rPr>
          <w:b/>
          <w:sz w:val="18"/>
        </w:rPr>
        <w:t>Physical Valuation of each</w:t>
      </w:r>
      <w:r>
        <w:rPr>
          <w:b/>
          <w:spacing w:val="-9"/>
          <w:sz w:val="18"/>
        </w:rPr>
        <w:t> </w:t>
      </w:r>
      <w:r>
        <w:rPr>
          <w:b/>
          <w:sz w:val="18"/>
        </w:rPr>
        <w:t>alternative</w:t>
      </w:r>
    </w:p>
    <w:p>
      <w:pPr>
        <w:pStyle w:val="BodyText"/>
        <w:spacing w:before="7"/>
        <w:rPr>
          <w:b/>
          <w:sz w:val="17"/>
        </w:rPr>
      </w:pPr>
    </w:p>
    <w:p>
      <w:pPr>
        <w:spacing w:before="1"/>
        <w:ind w:left="270" w:right="678" w:firstLine="0"/>
        <w:jc w:val="both"/>
        <w:rPr>
          <w:sz w:val="18"/>
        </w:rPr>
      </w:pPr>
      <w:r>
        <w:rPr>
          <w:sz w:val="18"/>
        </w:rPr>
        <w:t>Must take into account the following aspects: its realization is possible from a structural point of view? Are there inputs required to build option?</w:t>
      </w:r>
    </w:p>
    <w:p>
      <w:pPr>
        <w:pStyle w:val="BodyText"/>
        <w:spacing w:before="10"/>
        <w:rPr>
          <w:sz w:val="17"/>
        </w:rPr>
      </w:pPr>
    </w:p>
    <w:p>
      <w:pPr>
        <w:spacing w:before="0"/>
        <w:ind w:left="270" w:right="678" w:firstLine="450"/>
        <w:jc w:val="both"/>
        <w:rPr>
          <w:sz w:val="18"/>
        </w:rPr>
      </w:pPr>
      <w:r>
        <w:rPr>
          <w:sz w:val="18"/>
        </w:rPr>
        <w:t>If there is it can be made? Are there any limitations that prevent its realization? By the size of the project, what is  alternative within reasonable</w:t>
      </w:r>
      <w:r>
        <w:rPr>
          <w:spacing w:val="-11"/>
          <w:sz w:val="18"/>
        </w:rPr>
        <w:t> </w:t>
      </w:r>
      <w:r>
        <w:rPr>
          <w:sz w:val="18"/>
        </w:rPr>
        <w:t>limits?</w:t>
      </w:r>
    </w:p>
    <w:p>
      <w:pPr>
        <w:pStyle w:val="BodyText"/>
        <w:spacing w:before="3"/>
        <w:rPr>
          <w:sz w:val="18"/>
        </w:rPr>
      </w:pPr>
    </w:p>
    <w:p>
      <w:pPr>
        <w:pStyle w:val="ListParagraph"/>
        <w:numPr>
          <w:ilvl w:val="1"/>
          <w:numId w:val="47"/>
        </w:numPr>
        <w:tabs>
          <w:tab w:pos="543" w:val="left" w:leader="none"/>
        </w:tabs>
        <w:spacing w:line="240" w:lineRule="auto" w:before="0" w:after="0"/>
        <w:ind w:left="542" w:right="0" w:hanging="272"/>
        <w:jc w:val="both"/>
        <w:rPr>
          <w:b/>
          <w:sz w:val="18"/>
        </w:rPr>
      </w:pPr>
      <w:r>
        <w:rPr>
          <w:b/>
          <w:sz w:val="18"/>
        </w:rPr>
        <w:t>Select the possible</w:t>
      </w:r>
      <w:r>
        <w:rPr>
          <w:b/>
          <w:spacing w:val="-12"/>
          <w:sz w:val="18"/>
        </w:rPr>
        <w:t> </w:t>
      </w:r>
      <w:r>
        <w:rPr>
          <w:b/>
          <w:sz w:val="18"/>
        </w:rPr>
        <w:t>alternatives</w:t>
      </w:r>
    </w:p>
    <w:p>
      <w:pPr>
        <w:pStyle w:val="BodyText"/>
        <w:spacing w:before="7"/>
        <w:rPr>
          <w:b/>
          <w:sz w:val="17"/>
        </w:rPr>
      </w:pPr>
    </w:p>
    <w:p>
      <w:pPr>
        <w:spacing w:before="1"/>
        <w:ind w:left="270" w:right="677" w:firstLine="0"/>
        <w:jc w:val="both"/>
        <w:rPr>
          <w:sz w:val="18"/>
        </w:rPr>
      </w:pPr>
      <w:r>
        <w:rPr>
          <w:sz w:val="18"/>
        </w:rPr>
        <w:t>Before selecting an alternative we must analyze if the alternative is physically realizable without taking into account the costs that this entails, It must analyze whether for selected alternatives which are physically realizable inputs are needed to build such alternatives; for labor inputs are mentioned, raw materials, and capital. If there  is it possible to manufacture?; the kind of inputs that enter here is the raw material as they are the only ones that can be manufactured for use later ; labor and capital cannot be manufactured only be limited so enter the next point. As for limitations, here come the labor and capital, labor, because they often require highly skilled labor and there is none; in the capital constraints are given as to what is the limit that can be spent in each of the other inputs and other expenses contemplated. Often the materials and workmanship are very expensive. Another limitation is taken into account is the time because maybe the solution to identified needs are urgent and do not have the necessary time or just because it is required for a specific date and cannot be terminated for that day. They must analyze the project size to select those that are within the limits thereof either from a monetary point of view as structural or physical.The second and all subsequent paragraph should be indented (0.3 inches) as here with no line spacing before the</w:t>
      </w:r>
      <w:r>
        <w:rPr>
          <w:spacing w:val="-17"/>
          <w:sz w:val="18"/>
        </w:rPr>
        <w:t> </w:t>
      </w:r>
      <w:r>
        <w:rPr>
          <w:sz w:val="18"/>
        </w:rPr>
        <w:t>line.</w:t>
      </w:r>
    </w:p>
    <w:p>
      <w:pPr>
        <w:pStyle w:val="BodyText"/>
        <w:spacing w:before="3"/>
        <w:rPr>
          <w:sz w:val="18"/>
        </w:rPr>
      </w:pPr>
    </w:p>
    <w:p>
      <w:pPr>
        <w:pStyle w:val="ListParagraph"/>
        <w:numPr>
          <w:ilvl w:val="1"/>
          <w:numId w:val="47"/>
        </w:numPr>
        <w:tabs>
          <w:tab w:pos="543" w:val="left" w:leader="none"/>
        </w:tabs>
        <w:spacing w:line="240" w:lineRule="auto" w:before="0" w:after="0"/>
        <w:ind w:left="542" w:right="0" w:hanging="272"/>
        <w:jc w:val="both"/>
        <w:rPr>
          <w:b/>
          <w:sz w:val="18"/>
        </w:rPr>
      </w:pPr>
      <w:r>
        <w:rPr>
          <w:b/>
          <w:sz w:val="18"/>
        </w:rPr>
        <w:t>Determine costs for each</w:t>
      </w:r>
      <w:r>
        <w:rPr>
          <w:b/>
          <w:spacing w:val="-11"/>
          <w:sz w:val="18"/>
        </w:rPr>
        <w:t> </w:t>
      </w:r>
      <w:r>
        <w:rPr>
          <w:b/>
          <w:sz w:val="18"/>
        </w:rPr>
        <w:t>alternative</w:t>
      </w:r>
    </w:p>
    <w:p>
      <w:pPr>
        <w:pStyle w:val="BodyText"/>
        <w:spacing w:before="7"/>
        <w:rPr>
          <w:b/>
          <w:sz w:val="17"/>
        </w:rPr>
      </w:pPr>
    </w:p>
    <w:p>
      <w:pPr>
        <w:spacing w:before="1"/>
        <w:ind w:left="270" w:right="677" w:firstLine="0"/>
        <w:jc w:val="both"/>
        <w:rPr>
          <w:sz w:val="18"/>
        </w:rPr>
      </w:pPr>
      <w:r>
        <w:rPr>
          <w:sz w:val="18"/>
        </w:rPr>
        <w:t>It is necessary to economically evaluate each alternative, to determine the costs involved in creating each alternative has been selected in the previous step. Within the classification of costs to be taken into account are the costs of labor, materials, maintenance, operating costs, administrative, and facility.</w:t>
      </w:r>
    </w:p>
    <w:p>
      <w:pPr>
        <w:pStyle w:val="BodyText"/>
        <w:rPr>
          <w:sz w:val="18"/>
        </w:rPr>
      </w:pPr>
    </w:p>
    <w:p>
      <w:pPr>
        <w:spacing w:before="0"/>
        <w:ind w:left="270" w:right="676" w:firstLine="708"/>
        <w:jc w:val="both"/>
        <w:rPr>
          <w:sz w:val="18"/>
        </w:rPr>
      </w:pPr>
      <w:r>
        <w:rPr>
          <w:sz w:val="18"/>
        </w:rPr>
        <w:t>These costs must be quantifiable because they are an important part to perform after this stage. When calculating the costs these are evaluated for each alternative have been chosen which aims to solve the problem that has arisen, but also the costs should assess for the procedure, tool or system with which it is working and in which the needs were detected. When calculating the total cost can be used equivalencies present value, annual value or future value; the first and last option can be used to equal lives and the second for different lives. In some cases the costs will be accurate and elsewhere must be estimated only. Such as in the case of labor costs are accurate and which figures of exactly what you pay for using it. For purposes of the calculation will take into account the sum of the present, future or annual value of costs or expenses to net interest rate (i).</w:t>
      </w:r>
    </w:p>
    <w:p>
      <w:pPr>
        <w:pStyle w:val="BodyText"/>
        <w:spacing w:before="3"/>
        <w:rPr>
          <w:sz w:val="18"/>
        </w:rPr>
      </w:pPr>
    </w:p>
    <w:p>
      <w:pPr>
        <w:pStyle w:val="ListParagraph"/>
        <w:numPr>
          <w:ilvl w:val="1"/>
          <w:numId w:val="47"/>
        </w:numPr>
        <w:tabs>
          <w:tab w:pos="542" w:val="left" w:leader="none"/>
        </w:tabs>
        <w:spacing w:line="240" w:lineRule="auto" w:before="0" w:after="0"/>
        <w:ind w:left="541" w:right="0" w:hanging="271"/>
        <w:jc w:val="both"/>
        <w:rPr>
          <w:b/>
          <w:sz w:val="18"/>
        </w:rPr>
      </w:pPr>
      <w:r>
        <w:rPr>
          <w:b/>
          <w:sz w:val="18"/>
        </w:rPr>
        <w:t>Identify benefits and benefits of each alternative</w:t>
      </w:r>
      <w:r>
        <w:rPr>
          <w:b/>
          <w:spacing w:val="-20"/>
          <w:sz w:val="18"/>
        </w:rPr>
        <w:t> </w:t>
      </w:r>
      <w:r>
        <w:rPr>
          <w:b/>
          <w:sz w:val="18"/>
        </w:rPr>
        <w:t>against</w:t>
      </w:r>
    </w:p>
    <w:p>
      <w:pPr>
        <w:spacing w:after="0" w:line="240" w:lineRule="auto"/>
        <w:jc w:val="both"/>
        <w:rPr>
          <w:sz w:val="18"/>
        </w:rPr>
        <w:sectPr>
          <w:pgSz w:w="12240" w:h="15840"/>
          <w:pgMar w:header="545" w:footer="852" w:top="1060" w:bottom="1040" w:left="580" w:right="220"/>
          <w:cols w:num="2" w:equalWidth="0">
            <w:col w:w="5244" w:space="354"/>
            <w:col w:w="5842"/>
          </w:cols>
        </w:sectPr>
      </w:pPr>
    </w:p>
    <w:p>
      <w:pPr>
        <w:pStyle w:val="BodyText"/>
        <w:spacing w:before="10"/>
        <w:rPr>
          <w:b/>
          <w:sz w:val="11"/>
        </w:rPr>
      </w:pPr>
    </w:p>
    <w:p>
      <w:pPr>
        <w:spacing w:after="0"/>
        <w:rPr>
          <w:sz w:val="11"/>
        </w:rPr>
        <w:sectPr>
          <w:pgSz w:w="12240" w:h="15840"/>
          <w:pgMar w:header="545" w:footer="852" w:top="1060" w:bottom="1040" w:left="580" w:right="220"/>
        </w:sectPr>
      </w:pPr>
    </w:p>
    <w:p>
      <w:pPr>
        <w:pStyle w:val="BodyText"/>
        <w:spacing w:before="8"/>
        <w:rPr>
          <w:b/>
          <w:sz w:val="23"/>
        </w:rPr>
      </w:pPr>
    </w:p>
    <w:p>
      <w:pPr>
        <w:spacing w:before="0"/>
        <w:ind w:left="270" w:right="0" w:firstLine="0"/>
        <w:jc w:val="both"/>
        <w:rPr>
          <w:sz w:val="18"/>
        </w:rPr>
      </w:pPr>
      <w:r>
        <w:rPr>
          <w:sz w:val="18"/>
        </w:rPr>
        <w:t>It is necessary that the person responsible has a comprehensive approach that takes into account the most benefit from it as  possible to assign. In many cases the benefits gained from implementing a new system are difficult to quantify monetarily and often the engineer or manager to pull it must make decisions based not on numbers, if not necessarily reasons that are not monetary but social benefits achieved obtained. Regarding the anti-benefits is at the discretion of the engineer take them into account or not, sometimes it is decided to count subtracting the total profits or adding them to the total costs as the most anti benefits are taken  into account are the administrative expenses , operating expenses , cost of raw material and for many these are implicated as against profits because through them total or benefits will be achieved if taken into account as costs but this decision depends upon the point of view or the view of the engineer in charge , but most of the time are counted as costs and therefore are included in total costs. The benefits and if taken into account against benefits should also be evaluated for the procedure, tool or system in which it is operating and where the needs were detected. Also to calculate the total benefits are due to use equivalences present value, annual value or future value and must use the same equivalence was used to calculate</w:t>
      </w:r>
      <w:r>
        <w:rPr>
          <w:spacing w:val="-5"/>
          <w:sz w:val="18"/>
        </w:rPr>
        <w:t> </w:t>
      </w:r>
      <w:r>
        <w:rPr>
          <w:sz w:val="18"/>
        </w:rPr>
        <w:t>costs.</w:t>
      </w:r>
    </w:p>
    <w:p>
      <w:pPr>
        <w:pStyle w:val="BodyText"/>
        <w:rPr>
          <w:sz w:val="18"/>
        </w:rPr>
      </w:pPr>
    </w:p>
    <w:p>
      <w:pPr>
        <w:spacing w:before="0"/>
        <w:ind w:left="270" w:right="1" w:firstLine="708"/>
        <w:jc w:val="both"/>
        <w:rPr>
          <w:sz w:val="18"/>
        </w:rPr>
      </w:pPr>
      <w:r>
        <w:rPr>
          <w:sz w:val="18"/>
        </w:rPr>
        <w:t>As noted in the previous step that costs, and the benefits and against benefits, these are calculated even for the way that it  has detected a necessity, and although it is known beforehand that the costs will be lower and it is an obsolete long process, these  costs will increase because by becoming a process tool or outdated system they stop showing advantages and benefits and therefore, it is necessary to demonstrate why it is necessary to switch to a new process. For purposes of the calculation will take into account the sum of the present value, future or annual net income at a rate of interest</w:t>
      </w:r>
      <w:r>
        <w:rPr>
          <w:spacing w:val="-4"/>
          <w:sz w:val="18"/>
        </w:rPr>
        <w:t> </w:t>
      </w:r>
      <w:r>
        <w:rPr>
          <w:sz w:val="18"/>
        </w:rPr>
        <w:t>(i).</w:t>
      </w:r>
    </w:p>
    <w:p>
      <w:pPr>
        <w:pStyle w:val="BodyText"/>
        <w:spacing w:before="3"/>
        <w:rPr>
          <w:sz w:val="18"/>
        </w:rPr>
      </w:pPr>
    </w:p>
    <w:p>
      <w:pPr>
        <w:pStyle w:val="ListParagraph"/>
        <w:numPr>
          <w:ilvl w:val="1"/>
          <w:numId w:val="47"/>
        </w:numPr>
        <w:tabs>
          <w:tab w:pos="543" w:val="left" w:leader="none"/>
        </w:tabs>
        <w:spacing w:line="240" w:lineRule="auto" w:before="0" w:after="0"/>
        <w:ind w:left="542" w:right="0" w:hanging="272"/>
        <w:jc w:val="both"/>
        <w:rPr>
          <w:b/>
          <w:sz w:val="18"/>
        </w:rPr>
      </w:pPr>
      <w:r>
        <w:rPr>
          <w:b/>
          <w:sz w:val="18"/>
        </w:rPr>
        <w:t>Calculate the benefit / cost of each</w:t>
      </w:r>
      <w:r>
        <w:rPr>
          <w:b/>
          <w:spacing w:val="-15"/>
          <w:sz w:val="18"/>
        </w:rPr>
        <w:t> </w:t>
      </w:r>
      <w:r>
        <w:rPr>
          <w:b/>
          <w:sz w:val="18"/>
        </w:rPr>
        <w:t>alternative</w:t>
      </w:r>
    </w:p>
    <w:p>
      <w:pPr>
        <w:pStyle w:val="BodyText"/>
        <w:spacing w:before="7"/>
        <w:rPr>
          <w:b/>
          <w:sz w:val="17"/>
        </w:rPr>
      </w:pPr>
    </w:p>
    <w:p>
      <w:pPr>
        <w:spacing w:before="1"/>
        <w:ind w:left="270" w:right="1" w:firstLine="0"/>
        <w:jc w:val="both"/>
        <w:rPr>
          <w:sz w:val="18"/>
        </w:rPr>
      </w:pPr>
      <w:r>
        <w:rPr>
          <w:sz w:val="18"/>
        </w:rPr>
        <w:t>To calculate the benefit / cost of a single project, the following formula [4] is used:</w:t>
      </w:r>
    </w:p>
    <w:p>
      <w:pPr>
        <w:pStyle w:val="BodyText"/>
        <w:spacing w:before="9"/>
        <w:rPr>
          <w:sz w:val="15"/>
        </w:rPr>
      </w:pPr>
      <w:r>
        <w:rPr/>
        <w:pict>
          <v:group style="position:absolute;margin-left:42.900002pt;margin-top:11.072618pt;width:158.35pt;height:19.5pt;mso-position-horizontal-relative:page;mso-position-vertical-relative:paragraph;z-index:4408;mso-wrap-distance-left:0;mso-wrap-distance-right:0" coordorigin="858,221" coordsize="3167,390">
            <v:shape style="position:absolute;left:858;top:237;width:125;height:125" type="#_x0000_t75" stroked="false">
              <v:imagedata r:id="rId135" o:title=""/>
            </v:shape>
            <v:shape style="position:absolute;left:858;top:424;width:125;height:187" type="#_x0000_t75" stroked="false">
              <v:imagedata r:id="rId136" o:title=""/>
            </v:shape>
            <v:shape style="position:absolute;left:1045;top:221;width:1264;height:390" type="#_x0000_t75" stroked="false">
              <v:imagedata r:id="rId137" o:title=""/>
            </v:shape>
            <v:shape style="position:absolute;left:2371;top:221;width:889;height:390" type="#_x0000_t75" stroked="false">
              <v:imagedata r:id="rId138" o:title=""/>
            </v:shape>
            <v:shape style="position:absolute;left:3315;top:221;width:709;height:390" type="#_x0000_t75" stroked="false">
              <v:imagedata r:id="rId139" o:title=""/>
            </v:shape>
            <w10:wrap type="topAndBottom"/>
          </v:group>
        </w:pict>
      </w:r>
    </w:p>
    <w:p>
      <w:pPr>
        <w:spacing w:before="0"/>
        <w:ind w:left="270" w:right="0" w:firstLine="708"/>
        <w:jc w:val="both"/>
        <w:rPr>
          <w:sz w:val="18"/>
        </w:rPr>
      </w:pPr>
      <w:r>
        <w:rPr>
          <w:sz w:val="18"/>
        </w:rPr>
        <w:t>Where benefits act as the numerator and the costs and benefits against the denominator. It is important to clarify that the benefit / cost ratio should take account prices rather than market prices because the latter do not necessarily reflect the socio- economic opportunities for the whole community that supports the project. It is also important to note that although there are different calculator to calculate costs and benefits, most times this value is used instead of the annual value or future value. Although in reality it is optional; rather depends of the problem and the problem data. Taking the value of money over time and as mentioned in [5 ] , the benefit / cost of a project to an interest rate ( i ) is the quotient obtained by dividing the sum of the present value of the net income at a rate of interest ( i ) between the sum of the present value of net expenses to an interest rate ( i ).</w:t>
      </w:r>
    </w:p>
    <w:p>
      <w:pPr>
        <w:pStyle w:val="BodyText"/>
        <w:spacing w:before="3"/>
        <w:rPr>
          <w:sz w:val="18"/>
        </w:rPr>
      </w:pPr>
    </w:p>
    <w:p>
      <w:pPr>
        <w:pStyle w:val="ListParagraph"/>
        <w:numPr>
          <w:ilvl w:val="1"/>
          <w:numId w:val="47"/>
        </w:numPr>
        <w:tabs>
          <w:tab w:pos="632" w:val="left" w:leader="none"/>
        </w:tabs>
        <w:spacing w:line="240" w:lineRule="auto" w:before="0" w:after="0"/>
        <w:ind w:left="631" w:right="0" w:hanging="361"/>
        <w:jc w:val="both"/>
        <w:rPr>
          <w:b/>
          <w:sz w:val="18"/>
        </w:rPr>
      </w:pPr>
      <w:r>
        <w:rPr>
          <w:b/>
          <w:sz w:val="18"/>
        </w:rPr>
        <w:t>Decision criteria benefit /</w:t>
      </w:r>
      <w:r>
        <w:rPr>
          <w:b/>
          <w:spacing w:val="-25"/>
          <w:sz w:val="18"/>
        </w:rPr>
        <w:t> </w:t>
      </w:r>
      <w:r>
        <w:rPr>
          <w:b/>
          <w:sz w:val="18"/>
        </w:rPr>
        <w:t>cost:</w:t>
      </w:r>
    </w:p>
    <w:p>
      <w:pPr>
        <w:pStyle w:val="BodyText"/>
        <w:spacing w:before="7"/>
        <w:rPr>
          <w:b/>
          <w:sz w:val="17"/>
        </w:rPr>
      </w:pPr>
    </w:p>
    <w:p>
      <w:pPr>
        <w:spacing w:before="1"/>
        <w:ind w:left="270" w:right="0" w:firstLine="0"/>
        <w:jc w:val="both"/>
        <w:rPr>
          <w:sz w:val="18"/>
        </w:rPr>
      </w:pPr>
      <w:r>
        <w:rPr>
          <w:sz w:val="18"/>
        </w:rPr>
        <w:t>Once it has been calculated benefit / cost ratio is reached this step because you already have the result of a mathematical model which can yield different results as:</w:t>
      </w:r>
    </w:p>
    <w:p>
      <w:pPr>
        <w:pStyle w:val="ListParagraph"/>
        <w:numPr>
          <w:ilvl w:val="2"/>
          <w:numId w:val="47"/>
        </w:numPr>
        <w:tabs>
          <w:tab w:pos="978" w:val="left" w:leader="none"/>
          <w:tab w:pos="979" w:val="left" w:leader="none"/>
        </w:tabs>
        <w:spacing w:line="220" w:lineRule="exact" w:before="0" w:after="0"/>
        <w:ind w:left="978" w:right="0" w:hanging="348"/>
        <w:jc w:val="left"/>
        <w:rPr>
          <w:sz w:val="18"/>
        </w:rPr>
      </w:pPr>
      <w:r>
        <w:rPr>
          <w:sz w:val="18"/>
        </w:rPr>
        <w:t>Greater than</w:t>
      </w:r>
      <w:r>
        <w:rPr>
          <w:spacing w:val="-3"/>
          <w:sz w:val="18"/>
        </w:rPr>
        <w:t> </w:t>
      </w:r>
      <w:r>
        <w:rPr>
          <w:sz w:val="18"/>
        </w:rPr>
        <w:t>1</w:t>
      </w:r>
    </w:p>
    <w:p>
      <w:pPr>
        <w:pStyle w:val="ListParagraph"/>
        <w:numPr>
          <w:ilvl w:val="2"/>
          <w:numId w:val="47"/>
        </w:numPr>
        <w:tabs>
          <w:tab w:pos="978" w:val="left" w:leader="none"/>
          <w:tab w:pos="979" w:val="left" w:leader="none"/>
        </w:tabs>
        <w:spacing w:line="240" w:lineRule="auto" w:before="0" w:after="0"/>
        <w:ind w:left="978" w:right="0" w:hanging="348"/>
        <w:jc w:val="left"/>
        <w:rPr>
          <w:sz w:val="18"/>
        </w:rPr>
      </w:pPr>
      <w:r>
        <w:rPr>
          <w:sz w:val="18"/>
        </w:rPr>
        <w:t>Equals 1</w:t>
      </w:r>
    </w:p>
    <w:p>
      <w:pPr>
        <w:pStyle w:val="ListParagraph"/>
        <w:numPr>
          <w:ilvl w:val="2"/>
          <w:numId w:val="47"/>
        </w:numPr>
        <w:tabs>
          <w:tab w:pos="978" w:val="left" w:leader="none"/>
          <w:tab w:pos="979" w:val="left" w:leader="none"/>
        </w:tabs>
        <w:spacing w:line="220" w:lineRule="exact" w:before="67" w:after="0"/>
        <w:ind w:left="978" w:right="0" w:hanging="348"/>
        <w:jc w:val="left"/>
        <w:rPr>
          <w:sz w:val="18"/>
        </w:rPr>
      </w:pPr>
      <w:r>
        <w:rPr>
          <w:sz w:val="18"/>
        </w:rPr>
        <w:br w:type="column"/>
        <w:t>About 1</w:t>
      </w:r>
    </w:p>
    <w:p>
      <w:pPr>
        <w:pStyle w:val="ListParagraph"/>
        <w:numPr>
          <w:ilvl w:val="2"/>
          <w:numId w:val="47"/>
        </w:numPr>
        <w:tabs>
          <w:tab w:pos="978" w:val="left" w:leader="none"/>
          <w:tab w:pos="979" w:val="left" w:leader="none"/>
        </w:tabs>
        <w:spacing w:line="220" w:lineRule="exact" w:before="0" w:after="0"/>
        <w:ind w:left="978" w:right="0" w:hanging="348"/>
        <w:jc w:val="left"/>
        <w:rPr>
          <w:sz w:val="18"/>
        </w:rPr>
      </w:pPr>
      <w:r>
        <w:rPr>
          <w:sz w:val="18"/>
        </w:rPr>
        <w:t>Under 1</w:t>
      </w:r>
    </w:p>
    <w:p>
      <w:pPr>
        <w:pStyle w:val="BodyText"/>
        <w:spacing w:before="10"/>
        <w:rPr>
          <w:sz w:val="17"/>
        </w:rPr>
      </w:pPr>
    </w:p>
    <w:p>
      <w:pPr>
        <w:spacing w:before="1"/>
        <w:ind w:left="270" w:right="677" w:firstLine="708"/>
        <w:jc w:val="both"/>
        <w:rPr>
          <w:sz w:val="18"/>
        </w:rPr>
      </w:pPr>
      <w:r>
        <w:rPr>
          <w:sz w:val="18"/>
        </w:rPr>
        <w:t>The result depends thrown the decision taken in the last step of this methodology.</w:t>
      </w:r>
    </w:p>
    <w:p>
      <w:pPr>
        <w:pStyle w:val="BodyText"/>
        <w:spacing w:before="3"/>
        <w:rPr>
          <w:sz w:val="18"/>
        </w:rPr>
      </w:pPr>
    </w:p>
    <w:p>
      <w:pPr>
        <w:pStyle w:val="ListParagraph"/>
        <w:numPr>
          <w:ilvl w:val="1"/>
          <w:numId w:val="47"/>
        </w:numPr>
        <w:tabs>
          <w:tab w:pos="633" w:val="left" w:leader="none"/>
        </w:tabs>
        <w:spacing w:line="240" w:lineRule="auto" w:before="0" w:after="0"/>
        <w:ind w:left="632" w:right="0" w:hanging="362"/>
        <w:jc w:val="both"/>
        <w:rPr>
          <w:b/>
          <w:sz w:val="18"/>
        </w:rPr>
      </w:pPr>
      <w:r>
        <w:rPr>
          <w:b/>
          <w:sz w:val="18"/>
        </w:rPr>
        <w:t>Deciding</w:t>
      </w:r>
      <w:r>
        <w:rPr>
          <w:b/>
          <w:spacing w:val="-4"/>
          <w:sz w:val="18"/>
        </w:rPr>
        <w:t> </w:t>
      </w:r>
      <w:r>
        <w:rPr>
          <w:b/>
          <w:sz w:val="18"/>
        </w:rPr>
        <w:t>feasibility:</w:t>
      </w:r>
    </w:p>
    <w:p>
      <w:pPr>
        <w:pStyle w:val="BodyText"/>
        <w:spacing w:before="7"/>
        <w:rPr>
          <w:b/>
          <w:sz w:val="17"/>
        </w:rPr>
      </w:pPr>
    </w:p>
    <w:p>
      <w:pPr>
        <w:spacing w:before="1"/>
        <w:ind w:left="270" w:right="678" w:firstLine="0"/>
        <w:jc w:val="both"/>
        <w:rPr>
          <w:sz w:val="18"/>
        </w:rPr>
      </w:pPr>
      <w:r>
        <w:rPr>
          <w:sz w:val="18"/>
        </w:rPr>
        <w:t>If greater than 1: the alternative is feasible to perform as the benefits to be obtained justify the costs or expenses that will be incurred.</w:t>
      </w:r>
    </w:p>
    <w:p>
      <w:pPr>
        <w:pStyle w:val="BodyText"/>
        <w:rPr>
          <w:sz w:val="18"/>
        </w:rPr>
      </w:pPr>
    </w:p>
    <w:p>
      <w:pPr>
        <w:spacing w:before="0"/>
        <w:ind w:left="270" w:right="678" w:firstLine="752"/>
        <w:jc w:val="both"/>
        <w:rPr>
          <w:sz w:val="18"/>
        </w:rPr>
      </w:pPr>
      <w:r>
        <w:rPr>
          <w:sz w:val="18"/>
        </w:rPr>
        <w:t>If it is equal to 1: you can accept the application or not alternative but this depends on the judgment of the engineer and the decision must take into account non-economic factors.</w:t>
      </w:r>
    </w:p>
    <w:p>
      <w:pPr>
        <w:pStyle w:val="BodyText"/>
        <w:rPr>
          <w:sz w:val="18"/>
        </w:rPr>
      </w:pPr>
    </w:p>
    <w:p>
      <w:pPr>
        <w:spacing w:before="0"/>
        <w:ind w:left="270" w:right="678" w:firstLine="708"/>
        <w:jc w:val="both"/>
        <w:rPr>
          <w:sz w:val="18"/>
        </w:rPr>
      </w:pPr>
      <w:r>
        <w:rPr>
          <w:sz w:val="18"/>
        </w:rPr>
        <w:t>If it is about 1: you can accept the application or not alternative but this depends on the judgment of the engineer and the decision must take into account non-economic factors.</w:t>
      </w:r>
    </w:p>
    <w:p>
      <w:pPr>
        <w:pStyle w:val="BodyText"/>
        <w:rPr>
          <w:sz w:val="18"/>
        </w:rPr>
      </w:pPr>
    </w:p>
    <w:p>
      <w:pPr>
        <w:spacing w:before="0"/>
        <w:ind w:left="270" w:right="678" w:firstLine="708"/>
        <w:jc w:val="both"/>
        <w:rPr>
          <w:sz w:val="18"/>
        </w:rPr>
      </w:pPr>
      <w:r>
        <w:rPr>
          <w:sz w:val="18"/>
        </w:rPr>
        <w:t>If it is less than 1: definitely the alternative was rejected because the costs or capital expenditures necessary for their development outweigh the benefits to be obtained; ie, the benefits do not justify the costs.</w:t>
      </w:r>
    </w:p>
    <w:p>
      <w:pPr>
        <w:pStyle w:val="BodyText"/>
        <w:spacing w:before="3"/>
        <w:rPr>
          <w:sz w:val="18"/>
        </w:rPr>
      </w:pPr>
    </w:p>
    <w:p>
      <w:pPr>
        <w:pStyle w:val="ListParagraph"/>
        <w:numPr>
          <w:ilvl w:val="0"/>
          <w:numId w:val="47"/>
        </w:numPr>
        <w:tabs>
          <w:tab w:pos="452" w:val="left" w:leader="none"/>
        </w:tabs>
        <w:spacing w:line="240" w:lineRule="auto" w:before="0" w:after="0"/>
        <w:ind w:left="451" w:right="0" w:hanging="181"/>
        <w:jc w:val="both"/>
        <w:rPr>
          <w:b/>
          <w:sz w:val="18"/>
        </w:rPr>
      </w:pPr>
      <w:r>
        <w:rPr>
          <w:b/>
          <w:sz w:val="18"/>
        </w:rPr>
        <w:t>Results</w:t>
      </w:r>
    </w:p>
    <w:p>
      <w:pPr>
        <w:pStyle w:val="BodyText"/>
        <w:rPr>
          <w:b/>
          <w:sz w:val="18"/>
        </w:rPr>
      </w:pPr>
    </w:p>
    <w:p>
      <w:pPr>
        <w:pStyle w:val="ListParagraph"/>
        <w:numPr>
          <w:ilvl w:val="1"/>
          <w:numId w:val="47"/>
        </w:numPr>
        <w:tabs>
          <w:tab w:pos="543" w:val="left" w:leader="none"/>
        </w:tabs>
        <w:spacing w:line="240" w:lineRule="auto" w:before="0" w:after="0"/>
        <w:ind w:left="542" w:right="0" w:hanging="272"/>
        <w:jc w:val="both"/>
        <w:rPr>
          <w:b/>
          <w:sz w:val="18"/>
        </w:rPr>
      </w:pPr>
      <w:r>
        <w:rPr>
          <w:b/>
          <w:sz w:val="18"/>
        </w:rPr>
        <w:t>Detection of</w:t>
      </w:r>
      <w:r>
        <w:rPr>
          <w:b/>
          <w:spacing w:val="-7"/>
          <w:sz w:val="18"/>
        </w:rPr>
        <w:t> </w:t>
      </w:r>
      <w:r>
        <w:rPr>
          <w:b/>
          <w:sz w:val="18"/>
        </w:rPr>
        <w:t>needs</w:t>
      </w:r>
    </w:p>
    <w:p>
      <w:pPr>
        <w:pStyle w:val="BodyText"/>
        <w:spacing w:before="7"/>
        <w:rPr>
          <w:b/>
          <w:sz w:val="17"/>
        </w:rPr>
      </w:pPr>
    </w:p>
    <w:p>
      <w:pPr>
        <w:spacing w:before="1"/>
        <w:ind w:left="270" w:right="678" w:firstLine="0"/>
        <w:jc w:val="both"/>
        <w:rPr>
          <w:sz w:val="18"/>
        </w:rPr>
      </w:pPr>
      <w:r>
        <w:rPr>
          <w:sz w:val="18"/>
        </w:rPr>
        <w:t>The competing needs are proposing a new way of carrying out the process of making donuts and also create a new design tool used in this activity because the traditional design of the tool presented in Figure 1, is a cylindrical design, and that when used for an extended period of time causes pain in the arm and hand, causing a CTD´s. This is due to the repetitive circular motions that are made to</w:t>
      </w:r>
      <w:r>
        <w:rPr>
          <w:spacing w:val="14"/>
          <w:sz w:val="18"/>
        </w:rPr>
        <w:t> </w:t>
      </w:r>
      <w:r>
        <w:rPr>
          <w:sz w:val="18"/>
        </w:rPr>
        <w:t>cut</w:t>
      </w:r>
      <w:r>
        <w:rPr>
          <w:spacing w:val="14"/>
          <w:sz w:val="18"/>
        </w:rPr>
        <w:t> </w:t>
      </w:r>
      <w:r>
        <w:rPr>
          <w:sz w:val="18"/>
        </w:rPr>
        <w:t>the</w:t>
      </w:r>
      <w:r>
        <w:rPr>
          <w:spacing w:val="14"/>
          <w:sz w:val="18"/>
        </w:rPr>
        <w:t> </w:t>
      </w:r>
      <w:r>
        <w:rPr>
          <w:sz w:val="18"/>
        </w:rPr>
        <w:t>dough</w:t>
      </w:r>
      <w:r>
        <w:rPr>
          <w:spacing w:val="12"/>
          <w:sz w:val="18"/>
        </w:rPr>
        <w:t> </w:t>
      </w:r>
      <w:r>
        <w:rPr>
          <w:sz w:val="18"/>
        </w:rPr>
        <w:t>for</w:t>
      </w:r>
      <w:r>
        <w:rPr>
          <w:spacing w:val="14"/>
          <w:sz w:val="18"/>
        </w:rPr>
        <w:t> </w:t>
      </w:r>
      <w:r>
        <w:rPr>
          <w:sz w:val="18"/>
        </w:rPr>
        <w:t>making</w:t>
      </w:r>
      <w:r>
        <w:rPr>
          <w:spacing w:val="14"/>
          <w:sz w:val="18"/>
        </w:rPr>
        <w:t> </w:t>
      </w:r>
      <w:r>
        <w:rPr>
          <w:sz w:val="18"/>
        </w:rPr>
        <w:t>donuts.</w:t>
      </w:r>
      <w:r>
        <w:rPr>
          <w:spacing w:val="14"/>
          <w:sz w:val="18"/>
        </w:rPr>
        <w:t> </w:t>
      </w:r>
      <w:r>
        <w:rPr>
          <w:sz w:val="18"/>
        </w:rPr>
        <w:t>The</w:t>
      </w:r>
      <w:r>
        <w:rPr>
          <w:spacing w:val="14"/>
          <w:sz w:val="18"/>
        </w:rPr>
        <w:t> </w:t>
      </w:r>
      <w:r>
        <w:rPr>
          <w:sz w:val="18"/>
        </w:rPr>
        <w:t>dough</w:t>
      </w:r>
      <w:r>
        <w:rPr>
          <w:spacing w:val="12"/>
          <w:sz w:val="18"/>
        </w:rPr>
        <w:t> </w:t>
      </w:r>
      <w:r>
        <w:rPr>
          <w:sz w:val="18"/>
        </w:rPr>
        <w:t>has</w:t>
      </w:r>
      <w:r>
        <w:rPr>
          <w:spacing w:val="14"/>
          <w:sz w:val="18"/>
        </w:rPr>
        <w:t> </w:t>
      </w:r>
      <w:r>
        <w:rPr>
          <w:sz w:val="18"/>
        </w:rPr>
        <w:t>a</w:t>
      </w:r>
      <w:r>
        <w:rPr>
          <w:spacing w:val="14"/>
          <w:sz w:val="18"/>
        </w:rPr>
        <w:t> </w:t>
      </w:r>
      <w:r>
        <w:rPr>
          <w:sz w:val="18"/>
        </w:rPr>
        <w:t>thickness</w:t>
      </w:r>
      <w:r>
        <w:rPr>
          <w:spacing w:val="14"/>
          <w:sz w:val="18"/>
        </w:rPr>
        <w:t> </w:t>
      </w:r>
      <w:r>
        <w:rPr>
          <w:sz w:val="18"/>
        </w:rPr>
        <w:t>of</w:t>
      </w:r>
    </w:p>
    <w:p>
      <w:pPr>
        <w:spacing w:before="0"/>
        <w:ind w:left="270" w:right="677" w:firstLine="0"/>
        <w:jc w:val="both"/>
        <w:rPr>
          <w:sz w:val="18"/>
        </w:rPr>
      </w:pPr>
      <w:r>
        <w:rPr>
          <w:sz w:val="18"/>
        </w:rPr>
        <w:t>1.5 inches , so it is absolutely necessary to make several movements until you can cut the piece ; when a large number of pieces this work cause arm pain more acutely in hand because the wrist is performing circular movements and may cause injury to the hand , known as the " carpal tunnel</w:t>
      </w:r>
      <w:r>
        <w:rPr>
          <w:spacing w:val="-8"/>
          <w:sz w:val="18"/>
        </w:rPr>
        <w:t> </w:t>
      </w:r>
      <w:r>
        <w:rPr>
          <w:sz w:val="18"/>
        </w:rPr>
        <w:t>syndrome”.</w:t>
      </w:r>
    </w:p>
    <w:p>
      <w:pPr>
        <w:pStyle w:val="BodyText"/>
        <w:rPr>
          <w:sz w:val="18"/>
        </w:rPr>
      </w:pPr>
    </w:p>
    <w:p>
      <w:pPr>
        <w:spacing w:before="0"/>
        <w:ind w:left="270" w:right="678" w:firstLine="708"/>
        <w:jc w:val="both"/>
        <w:rPr>
          <w:sz w:val="18"/>
        </w:rPr>
      </w:pPr>
      <w:r>
        <w:rPr>
          <w:sz w:val="18"/>
        </w:rPr>
        <w:t>The mold (Figure 1) which is currently used is commercial and is only sold which is made from aluminum; with this material, the mold is less resistant to oxidation and also as used to prepare food, aluminum contains lead and zinc, which cannot be used as tools for the production of products for human consumption, since it is harmful to</w:t>
      </w:r>
      <w:r>
        <w:rPr>
          <w:spacing w:val="-8"/>
          <w:sz w:val="18"/>
        </w:rPr>
        <w:t> </w:t>
      </w:r>
      <w:r>
        <w:rPr>
          <w:sz w:val="18"/>
        </w:rPr>
        <w:t>health.</w:t>
      </w:r>
    </w:p>
    <w:p>
      <w:pPr>
        <w:spacing w:after="0"/>
        <w:jc w:val="both"/>
        <w:rPr>
          <w:sz w:val="18"/>
        </w:rPr>
        <w:sectPr>
          <w:type w:val="continuous"/>
          <w:pgSz w:w="12240" w:h="15840"/>
          <w:pgMar w:top="1500" w:bottom="280" w:left="580" w:right="220"/>
          <w:cols w:num="2" w:equalWidth="0">
            <w:col w:w="5164" w:space="434"/>
            <w:col w:w="5842"/>
          </w:cols>
        </w:sectPr>
      </w:pPr>
    </w:p>
    <w:p>
      <w:pPr>
        <w:pStyle w:val="BodyText"/>
        <w:spacing w:before="1"/>
        <w:rPr>
          <w:sz w:val="18"/>
        </w:rPr>
      </w:pPr>
    </w:p>
    <w:p>
      <w:pPr>
        <w:pStyle w:val="BodyText"/>
        <w:ind w:left="270"/>
      </w:pPr>
      <w:r>
        <w:rPr/>
        <w:drawing>
          <wp:inline distT="0" distB="0" distL="0" distR="0">
            <wp:extent cx="2474975" cy="2596896"/>
            <wp:effectExtent l="0" t="0" r="0" b="0"/>
            <wp:docPr id="97" name="image64.jpeg" descr=""/>
            <wp:cNvGraphicFramePr>
              <a:graphicFrameLocks noChangeAspect="1"/>
            </wp:cNvGraphicFramePr>
            <a:graphic>
              <a:graphicData uri="http://schemas.openxmlformats.org/drawingml/2006/picture">
                <pic:pic>
                  <pic:nvPicPr>
                    <pic:cNvPr id="98" name="image64.jpeg"/>
                    <pic:cNvPicPr/>
                  </pic:nvPicPr>
                  <pic:blipFill>
                    <a:blip r:embed="rId140" cstate="print"/>
                    <a:stretch>
                      <a:fillRect/>
                    </a:stretch>
                  </pic:blipFill>
                  <pic:spPr>
                    <a:xfrm>
                      <a:off x="0" y="0"/>
                      <a:ext cx="2474975" cy="2596896"/>
                    </a:xfrm>
                    <a:prstGeom prst="rect">
                      <a:avLst/>
                    </a:prstGeom>
                  </pic:spPr>
                </pic:pic>
              </a:graphicData>
            </a:graphic>
          </wp:inline>
        </w:drawing>
      </w:r>
      <w:r>
        <w:rPr/>
      </w:r>
    </w:p>
    <w:p>
      <w:pPr>
        <w:spacing w:line="410" w:lineRule="atLeast" w:before="0"/>
        <w:ind w:left="270" w:right="2568" w:firstLine="0"/>
        <w:jc w:val="left"/>
        <w:rPr>
          <w:sz w:val="18"/>
        </w:rPr>
      </w:pPr>
      <w:r>
        <w:rPr>
          <w:sz w:val="18"/>
        </w:rPr>
        <w:t>Figure 1. Anti - ergonomic tool. Dimensions:</w:t>
      </w:r>
    </w:p>
    <w:p>
      <w:pPr>
        <w:pStyle w:val="ListParagraph"/>
        <w:numPr>
          <w:ilvl w:val="0"/>
          <w:numId w:val="48"/>
        </w:numPr>
        <w:tabs>
          <w:tab w:pos="542" w:val="left" w:leader="none"/>
        </w:tabs>
        <w:spacing w:line="207" w:lineRule="exact" w:before="0" w:after="0"/>
        <w:ind w:left="541" w:right="0" w:hanging="271"/>
        <w:jc w:val="both"/>
        <w:rPr>
          <w:sz w:val="18"/>
        </w:rPr>
      </w:pPr>
      <w:r>
        <w:rPr>
          <w:sz w:val="18"/>
        </w:rPr>
        <w:t>9 cm (diameter of the</w:t>
      </w:r>
      <w:r>
        <w:rPr>
          <w:spacing w:val="-14"/>
          <w:sz w:val="18"/>
        </w:rPr>
        <w:t> </w:t>
      </w:r>
      <w:r>
        <w:rPr>
          <w:sz w:val="18"/>
        </w:rPr>
        <w:t>molding).</w:t>
      </w:r>
    </w:p>
    <w:p>
      <w:pPr>
        <w:pStyle w:val="ListParagraph"/>
        <w:numPr>
          <w:ilvl w:val="0"/>
          <w:numId w:val="48"/>
        </w:numPr>
        <w:tabs>
          <w:tab w:pos="496" w:val="left" w:leader="none"/>
        </w:tabs>
        <w:spacing w:line="207" w:lineRule="exact" w:before="0" w:after="0"/>
        <w:ind w:left="496" w:right="0" w:hanging="226"/>
        <w:jc w:val="both"/>
        <w:rPr>
          <w:sz w:val="18"/>
        </w:rPr>
      </w:pPr>
      <w:r>
        <w:rPr>
          <w:sz w:val="18"/>
        </w:rPr>
        <w:t>3 cm (diameter of the center hole to cut the center of the</w:t>
      </w:r>
      <w:r>
        <w:rPr>
          <w:spacing w:val="-13"/>
          <w:sz w:val="18"/>
        </w:rPr>
        <w:t> </w:t>
      </w:r>
      <w:r>
        <w:rPr>
          <w:sz w:val="18"/>
        </w:rPr>
        <w:t>donut).</w:t>
      </w:r>
    </w:p>
    <w:p>
      <w:pPr>
        <w:pStyle w:val="ListParagraph"/>
        <w:numPr>
          <w:ilvl w:val="0"/>
          <w:numId w:val="48"/>
        </w:numPr>
        <w:tabs>
          <w:tab w:pos="496" w:val="left" w:leader="none"/>
        </w:tabs>
        <w:spacing w:line="207" w:lineRule="exact" w:before="0" w:after="0"/>
        <w:ind w:left="495" w:right="0" w:hanging="225"/>
        <w:jc w:val="both"/>
        <w:rPr>
          <w:sz w:val="18"/>
        </w:rPr>
      </w:pPr>
      <w:r>
        <w:rPr>
          <w:sz w:val="18"/>
        </w:rPr>
        <w:t>5.5 cm (height of the</w:t>
      </w:r>
      <w:r>
        <w:rPr>
          <w:spacing w:val="-4"/>
          <w:sz w:val="18"/>
        </w:rPr>
        <w:t> </w:t>
      </w:r>
      <w:r>
        <w:rPr>
          <w:sz w:val="18"/>
        </w:rPr>
        <w:t>mold).</w:t>
      </w:r>
    </w:p>
    <w:p>
      <w:pPr>
        <w:pStyle w:val="ListParagraph"/>
        <w:numPr>
          <w:ilvl w:val="0"/>
          <w:numId w:val="48"/>
        </w:numPr>
        <w:tabs>
          <w:tab w:pos="496" w:val="left" w:leader="none"/>
        </w:tabs>
        <w:spacing w:line="207" w:lineRule="exact" w:before="0" w:after="0"/>
        <w:ind w:left="495" w:right="0" w:hanging="225"/>
        <w:jc w:val="both"/>
        <w:rPr>
          <w:sz w:val="18"/>
        </w:rPr>
      </w:pPr>
      <w:r>
        <w:rPr>
          <w:sz w:val="18"/>
        </w:rPr>
        <w:t>5 cm (height of the center hole of the</w:t>
      </w:r>
      <w:r>
        <w:rPr>
          <w:spacing w:val="-5"/>
          <w:sz w:val="18"/>
        </w:rPr>
        <w:t> </w:t>
      </w:r>
      <w:r>
        <w:rPr>
          <w:sz w:val="18"/>
        </w:rPr>
        <w:t>mold).</w:t>
      </w:r>
    </w:p>
    <w:p>
      <w:pPr>
        <w:pStyle w:val="BodyText"/>
        <w:rPr>
          <w:sz w:val="18"/>
        </w:rPr>
      </w:pPr>
    </w:p>
    <w:p>
      <w:pPr>
        <w:spacing w:before="0"/>
        <w:ind w:left="270" w:right="1" w:firstLine="708"/>
        <w:jc w:val="both"/>
        <w:rPr>
          <w:sz w:val="18"/>
        </w:rPr>
      </w:pPr>
      <w:r>
        <w:rPr>
          <w:sz w:val="18"/>
        </w:rPr>
        <w:t>It is noteworthy that the upper mold is closed; only the central orifice is maintained to facilitate cutting of the dough and to form the part.</w:t>
      </w:r>
    </w:p>
    <w:p>
      <w:pPr>
        <w:pStyle w:val="BodyText"/>
        <w:spacing w:before="3"/>
        <w:rPr>
          <w:sz w:val="18"/>
        </w:rPr>
      </w:pPr>
    </w:p>
    <w:p>
      <w:pPr>
        <w:pStyle w:val="ListParagraph"/>
        <w:numPr>
          <w:ilvl w:val="1"/>
          <w:numId w:val="49"/>
        </w:numPr>
        <w:tabs>
          <w:tab w:pos="542" w:val="left" w:leader="none"/>
        </w:tabs>
        <w:spacing w:line="240" w:lineRule="auto" w:before="0" w:after="0"/>
        <w:ind w:left="541" w:right="0" w:hanging="271"/>
        <w:jc w:val="both"/>
        <w:rPr>
          <w:b/>
          <w:sz w:val="18"/>
        </w:rPr>
      </w:pPr>
      <w:r>
        <w:rPr>
          <w:b/>
          <w:sz w:val="18"/>
        </w:rPr>
        <w:t>Defining the</w:t>
      </w:r>
      <w:r>
        <w:rPr>
          <w:b/>
          <w:spacing w:val="-13"/>
          <w:sz w:val="18"/>
        </w:rPr>
        <w:t> </w:t>
      </w:r>
      <w:r>
        <w:rPr>
          <w:b/>
          <w:sz w:val="18"/>
        </w:rPr>
        <w:t>problem</w:t>
      </w:r>
    </w:p>
    <w:p>
      <w:pPr>
        <w:pStyle w:val="BodyText"/>
        <w:spacing w:before="7"/>
        <w:rPr>
          <w:b/>
          <w:sz w:val="17"/>
        </w:rPr>
      </w:pPr>
    </w:p>
    <w:p>
      <w:pPr>
        <w:spacing w:before="1"/>
        <w:ind w:left="270" w:right="1" w:firstLine="0"/>
        <w:jc w:val="both"/>
        <w:rPr>
          <w:sz w:val="18"/>
        </w:rPr>
      </w:pPr>
      <w:r>
        <w:rPr>
          <w:sz w:val="18"/>
        </w:rPr>
        <w:t>It is necessary to redesign a new ergonomic tool and a new method to carry out the development of donuts and once put in use is to achieve increased productivity and therefore profits. It also aims to reduce the risk of injuries and illnesses that ultimately is reflected  in earnings. Finally donuts will be developed more quickly and efficiently. From this point we start to search, collect and analyze information and data required to calculate the benefit / cost study and whether the results that she’d be favorable or not to make the right</w:t>
      </w:r>
      <w:r>
        <w:rPr>
          <w:spacing w:val="-2"/>
          <w:sz w:val="18"/>
        </w:rPr>
        <w:t> </w:t>
      </w:r>
      <w:r>
        <w:rPr>
          <w:sz w:val="18"/>
        </w:rPr>
        <w:t>decisions.</w:t>
      </w:r>
    </w:p>
    <w:p>
      <w:pPr>
        <w:pStyle w:val="BodyText"/>
        <w:spacing w:before="3"/>
        <w:rPr>
          <w:sz w:val="18"/>
        </w:rPr>
      </w:pPr>
    </w:p>
    <w:p>
      <w:pPr>
        <w:pStyle w:val="ListParagraph"/>
        <w:numPr>
          <w:ilvl w:val="1"/>
          <w:numId w:val="49"/>
        </w:numPr>
        <w:tabs>
          <w:tab w:pos="542" w:val="left" w:leader="none"/>
        </w:tabs>
        <w:spacing w:line="240" w:lineRule="auto" w:before="0" w:after="0"/>
        <w:ind w:left="541" w:right="0" w:hanging="271"/>
        <w:jc w:val="both"/>
        <w:rPr>
          <w:b/>
          <w:sz w:val="18"/>
        </w:rPr>
      </w:pPr>
      <w:r>
        <w:rPr>
          <w:b/>
          <w:sz w:val="18"/>
        </w:rPr>
        <w:t>Finding information and data</w:t>
      </w:r>
      <w:r>
        <w:rPr>
          <w:b/>
          <w:spacing w:val="-27"/>
          <w:sz w:val="18"/>
        </w:rPr>
        <w:t> </w:t>
      </w:r>
      <w:r>
        <w:rPr>
          <w:b/>
          <w:sz w:val="18"/>
        </w:rPr>
        <w:t>collection.</w:t>
      </w:r>
    </w:p>
    <w:p>
      <w:pPr>
        <w:pStyle w:val="BodyText"/>
        <w:spacing w:before="7"/>
        <w:rPr>
          <w:b/>
          <w:sz w:val="17"/>
        </w:rPr>
      </w:pPr>
    </w:p>
    <w:p>
      <w:pPr>
        <w:spacing w:before="1"/>
        <w:ind w:left="270" w:right="0" w:firstLine="0"/>
        <w:jc w:val="both"/>
        <w:rPr>
          <w:sz w:val="18"/>
        </w:rPr>
      </w:pPr>
      <w:r>
        <w:rPr>
          <w:sz w:val="18"/>
        </w:rPr>
        <w:t>According to the standards of safety and quality, ideal for mold material is stainless steel, although more costly, life is longer like its resistance to oxidation. Also, if a company wants to be certified on ISO 22000 standards are those related to food , it is necessary to comply with all health standards which indicates that all tools must be made with stainless steel. In a bakery located in the Valle del Carrizo, anti - ergonomic mold was used to cut the dough for making donuts and found that the number of parts produced was 26 parts per</w:t>
      </w:r>
      <w:r>
        <w:rPr>
          <w:spacing w:val="-14"/>
          <w:sz w:val="18"/>
        </w:rPr>
        <w:t> </w:t>
      </w:r>
      <w:r>
        <w:rPr>
          <w:sz w:val="18"/>
        </w:rPr>
        <w:t>minute.</w:t>
      </w:r>
    </w:p>
    <w:p>
      <w:pPr>
        <w:pStyle w:val="BodyText"/>
        <w:spacing w:before="3"/>
        <w:rPr>
          <w:sz w:val="18"/>
        </w:rPr>
      </w:pPr>
    </w:p>
    <w:p>
      <w:pPr>
        <w:pStyle w:val="ListParagraph"/>
        <w:numPr>
          <w:ilvl w:val="1"/>
          <w:numId w:val="49"/>
        </w:numPr>
        <w:tabs>
          <w:tab w:pos="543" w:val="left" w:leader="none"/>
        </w:tabs>
        <w:spacing w:line="240" w:lineRule="auto" w:before="0" w:after="0"/>
        <w:ind w:left="542" w:right="0" w:hanging="272"/>
        <w:jc w:val="both"/>
        <w:rPr>
          <w:b/>
          <w:sz w:val="18"/>
        </w:rPr>
      </w:pPr>
      <w:r>
        <w:rPr>
          <w:b/>
          <w:sz w:val="18"/>
        </w:rPr>
        <w:t>Determine the possible alternatives to solve the</w:t>
      </w:r>
      <w:r>
        <w:rPr>
          <w:b/>
          <w:spacing w:val="-20"/>
          <w:sz w:val="18"/>
        </w:rPr>
        <w:t> </w:t>
      </w:r>
      <w:r>
        <w:rPr>
          <w:b/>
          <w:sz w:val="18"/>
        </w:rPr>
        <w:t>problem.</w:t>
      </w:r>
    </w:p>
    <w:p>
      <w:pPr>
        <w:pStyle w:val="BodyText"/>
        <w:spacing w:before="7"/>
        <w:rPr>
          <w:b/>
          <w:sz w:val="17"/>
        </w:rPr>
      </w:pPr>
    </w:p>
    <w:p>
      <w:pPr>
        <w:spacing w:before="1"/>
        <w:ind w:left="270" w:right="0" w:firstLine="0"/>
        <w:jc w:val="both"/>
        <w:rPr>
          <w:sz w:val="18"/>
        </w:rPr>
      </w:pPr>
      <w:r>
        <w:rPr>
          <w:sz w:val="18"/>
        </w:rPr>
        <w:t>To show that if it is beneficial to use an ergonomic design, a similar tool was developed only this already has an ergonomic design and management is easier and more practical. This was developed taking into account the anthropometric measurements of the hand and the standard measure of a sample of workers. In Figure 2, is shown only the front of the new mold and in Figure 3, the mold</w:t>
      </w:r>
    </w:p>
    <w:p>
      <w:pPr>
        <w:pStyle w:val="BodyText"/>
        <w:spacing w:before="7"/>
        <w:rPr>
          <w:sz w:val="17"/>
        </w:rPr>
      </w:pPr>
      <w:r>
        <w:rPr/>
        <w:br w:type="column"/>
      </w:r>
      <w:r>
        <w:rPr>
          <w:sz w:val="17"/>
        </w:rPr>
      </w:r>
    </w:p>
    <w:p>
      <w:pPr>
        <w:spacing w:before="1"/>
        <w:ind w:left="270" w:right="679" w:firstLine="0"/>
        <w:jc w:val="both"/>
        <w:rPr>
          <w:sz w:val="18"/>
        </w:rPr>
      </w:pPr>
      <w:r>
        <w:rPr>
          <w:sz w:val="18"/>
        </w:rPr>
        <w:t>shown laterally to observe changes and the front mold. The dimensions and description of each part of the two figures are shown below in Figure 2 and 3.</w:t>
      </w:r>
    </w:p>
    <w:p>
      <w:pPr>
        <w:pStyle w:val="BodyText"/>
        <w:rPr>
          <w:sz w:val="18"/>
        </w:rPr>
      </w:pPr>
    </w:p>
    <w:p>
      <w:pPr>
        <w:spacing w:before="0"/>
        <w:ind w:left="270" w:right="0" w:firstLine="0"/>
        <w:jc w:val="both"/>
        <w:rPr>
          <w:sz w:val="18"/>
        </w:rPr>
      </w:pPr>
      <w:r>
        <w:rPr>
          <w:sz w:val="18"/>
        </w:rPr>
        <w:t>Description:</w:t>
      </w:r>
    </w:p>
    <w:p>
      <w:pPr>
        <w:pStyle w:val="BodyText"/>
        <w:rPr>
          <w:sz w:val="18"/>
        </w:rPr>
      </w:pPr>
    </w:p>
    <w:p>
      <w:pPr>
        <w:pStyle w:val="ListParagraph"/>
        <w:numPr>
          <w:ilvl w:val="0"/>
          <w:numId w:val="50"/>
        </w:numPr>
        <w:tabs>
          <w:tab w:pos="467" w:val="left" w:leader="none"/>
        </w:tabs>
        <w:spacing w:line="207" w:lineRule="exact" w:before="0" w:after="0"/>
        <w:ind w:left="466" w:right="0" w:hanging="196"/>
        <w:jc w:val="both"/>
        <w:rPr>
          <w:sz w:val="18"/>
        </w:rPr>
      </w:pPr>
      <w:r>
        <w:rPr>
          <w:sz w:val="18"/>
        </w:rPr>
        <w:t>9 cm (diameter of the mold)</w:t>
      </w:r>
      <w:r>
        <w:rPr>
          <w:spacing w:val="-5"/>
          <w:sz w:val="18"/>
        </w:rPr>
        <w:t> </w:t>
      </w:r>
      <w:r>
        <w:rPr>
          <w:sz w:val="18"/>
        </w:rPr>
        <w:t>.</w:t>
      </w:r>
    </w:p>
    <w:p>
      <w:pPr>
        <w:pStyle w:val="ListParagraph"/>
        <w:numPr>
          <w:ilvl w:val="0"/>
          <w:numId w:val="50"/>
        </w:numPr>
        <w:tabs>
          <w:tab w:pos="467" w:val="left" w:leader="none"/>
        </w:tabs>
        <w:spacing w:line="207" w:lineRule="exact" w:before="0" w:after="0"/>
        <w:ind w:left="466" w:right="0" w:hanging="196"/>
        <w:jc w:val="both"/>
        <w:rPr>
          <w:sz w:val="18"/>
        </w:rPr>
      </w:pPr>
      <w:r>
        <w:rPr>
          <w:sz w:val="18"/>
        </w:rPr>
        <w:t>3 cm (diameter of the center hole to cut the center of the</w:t>
      </w:r>
      <w:r>
        <w:rPr>
          <w:spacing w:val="-17"/>
          <w:sz w:val="18"/>
        </w:rPr>
        <w:t> </w:t>
      </w:r>
      <w:r>
        <w:rPr>
          <w:sz w:val="18"/>
        </w:rPr>
        <w:t>donut).</w:t>
      </w:r>
    </w:p>
    <w:p>
      <w:pPr>
        <w:pStyle w:val="ListParagraph"/>
        <w:numPr>
          <w:ilvl w:val="0"/>
          <w:numId w:val="50"/>
        </w:numPr>
        <w:tabs>
          <w:tab w:pos="467" w:val="left" w:leader="none"/>
        </w:tabs>
        <w:spacing w:line="207" w:lineRule="exact" w:before="0" w:after="0"/>
        <w:ind w:left="466" w:right="0" w:hanging="196"/>
        <w:jc w:val="both"/>
        <w:rPr>
          <w:sz w:val="18"/>
        </w:rPr>
      </w:pPr>
      <w:r>
        <w:rPr>
          <w:sz w:val="18"/>
        </w:rPr>
        <w:t>5.5 cm (height of the</w:t>
      </w:r>
      <w:r>
        <w:rPr>
          <w:spacing w:val="-4"/>
          <w:sz w:val="18"/>
        </w:rPr>
        <w:t> </w:t>
      </w:r>
      <w:r>
        <w:rPr>
          <w:sz w:val="18"/>
        </w:rPr>
        <w:t>mold).</w:t>
      </w:r>
    </w:p>
    <w:p>
      <w:pPr>
        <w:pStyle w:val="ListParagraph"/>
        <w:numPr>
          <w:ilvl w:val="0"/>
          <w:numId w:val="50"/>
        </w:numPr>
        <w:tabs>
          <w:tab w:pos="467" w:val="left" w:leader="none"/>
        </w:tabs>
        <w:spacing w:line="207" w:lineRule="exact" w:before="0" w:after="0"/>
        <w:ind w:left="466" w:right="0" w:hanging="196"/>
        <w:jc w:val="both"/>
        <w:rPr>
          <w:sz w:val="18"/>
        </w:rPr>
      </w:pPr>
      <w:r>
        <w:rPr>
          <w:sz w:val="18"/>
        </w:rPr>
        <w:t>5 cm (height of the center hole of the</w:t>
      </w:r>
      <w:r>
        <w:rPr>
          <w:spacing w:val="-5"/>
          <w:sz w:val="18"/>
        </w:rPr>
        <w:t> </w:t>
      </w:r>
      <w:r>
        <w:rPr>
          <w:sz w:val="18"/>
        </w:rPr>
        <w:t>mold).</w:t>
      </w:r>
    </w:p>
    <w:p>
      <w:pPr>
        <w:pStyle w:val="BodyText"/>
        <w:rPr>
          <w:sz w:val="15"/>
        </w:rPr>
      </w:pPr>
      <w:r>
        <w:rPr/>
        <w:drawing>
          <wp:anchor distT="0" distB="0" distL="0" distR="0" allowOverlap="1" layoutInCell="1" locked="0" behindDoc="0" simplePos="0" relativeHeight="4432">
            <wp:simplePos x="0" y="0"/>
            <wp:positionH relativeFrom="page">
              <wp:posOffset>4094988</wp:posOffset>
            </wp:positionH>
            <wp:positionV relativeFrom="paragraph">
              <wp:posOffset>134514</wp:posOffset>
            </wp:positionV>
            <wp:extent cx="2371648" cy="2432304"/>
            <wp:effectExtent l="0" t="0" r="0" b="0"/>
            <wp:wrapTopAndBottom/>
            <wp:docPr id="99" name="image65.jpeg" descr=""/>
            <wp:cNvGraphicFramePr>
              <a:graphicFrameLocks noChangeAspect="1"/>
            </wp:cNvGraphicFramePr>
            <a:graphic>
              <a:graphicData uri="http://schemas.openxmlformats.org/drawingml/2006/picture">
                <pic:pic>
                  <pic:nvPicPr>
                    <pic:cNvPr id="100" name="image65.jpeg"/>
                    <pic:cNvPicPr/>
                  </pic:nvPicPr>
                  <pic:blipFill>
                    <a:blip r:embed="rId141" cstate="print"/>
                    <a:stretch>
                      <a:fillRect/>
                    </a:stretch>
                  </pic:blipFill>
                  <pic:spPr>
                    <a:xfrm>
                      <a:off x="0" y="0"/>
                      <a:ext cx="2371648" cy="2432304"/>
                    </a:xfrm>
                    <a:prstGeom prst="rect">
                      <a:avLst/>
                    </a:prstGeom>
                  </pic:spPr>
                </pic:pic>
              </a:graphicData>
            </a:graphic>
          </wp:anchor>
        </w:drawing>
      </w:r>
    </w:p>
    <w:p>
      <w:pPr>
        <w:spacing w:before="0"/>
        <w:ind w:left="270" w:right="0" w:firstLine="0"/>
        <w:jc w:val="both"/>
        <w:rPr>
          <w:sz w:val="18"/>
        </w:rPr>
      </w:pPr>
      <w:r>
        <w:rPr>
          <w:sz w:val="18"/>
        </w:rPr>
        <w:t>Figure 2. Traditional mold.</w:t>
      </w:r>
    </w:p>
    <w:p>
      <w:pPr>
        <w:pStyle w:val="BodyText"/>
        <w:rPr>
          <w:sz w:val="18"/>
        </w:rPr>
      </w:pPr>
    </w:p>
    <w:p>
      <w:pPr>
        <w:spacing w:before="0"/>
        <w:ind w:left="270" w:right="678" w:firstLine="708"/>
        <w:jc w:val="both"/>
        <w:rPr>
          <w:sz w:val="18"/>
        </w:rPr>
      </w:pPr>
      <w:r>
        <w:rPr>
          <w:sz w:val="18"/>
        </w:rPr>
        <w:t>The proposed mold (figure 2) has the same dimensions as the ergonomic anti- mold (Figure 1). Only it was added a handle  for maneuvering the mold when pregnant using I (Figure</w:t>
      </w:r>
      <w:r>
        <w:rPr>
          <w:spacing w:val="-7"/>
          <w:sz w:val="18"/>
        </w:rPr>
        <w:t> </w:t>
      </w:r>
      <w:r>
        <w:rPr>
          <w:sz w:val="18"/>
        </w:rPr>
        <w:t>3).</w:t>
      </w:r>
    </w:p>
    <w:p>
      <w:pPr>
        <w:pStyle w:val="BodyText"/>
        <w:rPr>
          <w:sz w:val="18"/>
        </w:rPr>
      </w:pPr>
    </w:p>
    <w:p>
      <w:pPr>
        <w:spacing w:before="0"/>
        <w:ind w:left="270" w:right="676" w:firstLine="708"/>
        <w:jc w:val="both"/>
        <w:rPr>
          <w:sz w:val="18"/>
        </w:rPr>
      </w:pPr>
      <w:r>
        <w:rPr>
          <w:sz w:val="18"/>
        </w:rPr>
        <w:t>Furthermore, at the top end where the mold and between the handle was added , a piece of rubber so that in case that the hand from slipping from the mold, are not hit as hard when paste was placed directly on the metal mold is</w:t>
      </w:r>
      <w:r>
        <w:rPr>
          <w:spacing w:val="-12"/>
          <w:sz w:val="18"/>
        </w:rPr>
        <w:t> </w:t>
      </w:r>
      <w:r>
        <w:rPr>
          <w:sz w:val="18"/>
        </w:rPr>
        <w:t>made.</w:t>
      </w:r>
    </w:p>
    <w:p>
      <w:pPr>
        <w:pStyle w:val="BodyText"/>
        <w:spacing w:before="10"/>
        <w:rPr>
          <w:sz w:val="14"/>
        </w:rPr>
      </w:pPr>
      <w:r>
        <w:rPr/>
        <w:drawing>
          <wp:anchor distT="0" distB="0" distL="0" distR="0" allowOverlap="1" layoutInCell="1" locked="0" behindDoc="0" simplePos="0" relativeHeight="4456">
            <wp:simplePos x="0" y="0"/>
            <wp:positionH relativeFrom="page">
              <wp:posOffset>4094988</wp:posOffset>
            </wp:positionH>
            <wp:positionV relativeFrom="paragraph">
              <wp:posOffset>133772</wp:posOffset>
            </wp:positionV>
            <wp:extent cx="2436304" cy="1644205"/>
            <wp:effectExtent l="0" t="0" r="0" b="0"/>
            <wp:wrapTopAndBottom/>
            <wp:docPr id="101" name="image66.jpeg" descr=""/>
            <wp:cNvGraphicFramePr>
              <a:graphicFrameLocks noChangeAspect="1"/>
            </wp:cNvGraphicFramePr>
            <a:graphic>
              <a:graphicData uri="http://schemas.openxmlformats.org/drawingml/2006/picture">
                <pic:pic>
                  <pic:nvPicPr>
                    <pic:cNvPr id="102" name="image66.jpeg"/>
                    <pic:cNvPicPr/>
                  </pic:nvPicPr>
                  <pic:blipFill>
                    <a:blip r:embed="rId142" cstate="print"/>
                    <a:stretch>
                      <a:fillRect/>
                    </a:stretch>
                  </pic:blipFill>
                  <pic:spPr>
                    <a:xfrm>
                      <a:off x="0" y="0"/>
                      <a:ext cx="2436304" cy="1644205"/>
                    </a:xfrm>
                    <a:prstGeom prst="rect">
                      <a:avLst/>
                    </a:prstGeom>
                  </pic:spPr>
                </pic:pic>
              </a:graphicData>
            </a:graphic>
          </wp:anchor>
        </w:drawing>
      </w:r>
    </w:p>
    <w:p>
      <w:pPr>
        <w:spacing w:line="480" w:lineRule="auto" w:before="8"/>
        <w:ind w:left="270" w:right="3032" w:firstLine="0"/>
        <w:jc w:val="left"/>
        <w:rPr>
          <w:sz w:val="18"/>
        </w:rPr>
      </w:pPr>
      <w:r>
        <w:rPr>
          <w:sz w:val="18"/>
        </w:rPr>
        <w:t>Figure 3. Proposed Tool. Dimensions of the redesigned tool:</w:t>
      </w:r>
    </w:p>
    <w:p>
      <w:pPr>
        <w:pStyle w:val="ListParagraph"/>
        <w:numPr>
          <w:ilvl w:val="0"/>
          <w:numId w:val="51"/>
        </w:numPr>
        <w:tabs>
          <w:tab w:pos="452" w:val="left" w:leader="none"/>
        </w:tabs>
        <w:spacing w:line="240" w:lineRule="auto" w:before="7" w:after="0"/>
        <w:ind w:left="270" w:right="0" w:firstLine="0"/>
        <w:jc w:val="both"/>
        <w:rPr>
          <w:sz w:val="18"/>
        </w:rPr>
      </w:pPr>
      <w:r>
        <w:rPr>
          <w:sz w:val="18"/>
        </w:rPr>
        <w:t>9 cm (diameter of the mold)</w:t>
      </w:r>
      <w:r>
        <w:rPr>
          <w:spacing w:val="-10"/>
          <w:sz w:val="18"/>
        </w:rPr>
        <w:t> </w:t>
      </w:r>
      <w:r>
        <w:rPr>
          <w:sz w:val="18"/>
        </w:rPr>
        <w:t>.</w:t>
      </w:r>
    </w:p>
    <w:p>
      <w:pPr>
        <w:pStyle w:val="ListParagraph"/>
        <w:numPr>
          <w:ilvl w:val="0"/>
          <w:numId w:val="51"/>
        </w:numPr>
        <w:tabs>
          <w:tab w:pos="480" w:val="left" w:leader="none"/>
          <w:tab w:pos="4203" w:val="left" w:leader="none"/>
        </w:tabs>
        <w:spacing w:line="240" w:lineRule="auto" w:before="0" w:after="0"/>
        <w:ind w:left="270" w:right="678" w:firstLine="0"/>
        <w:jc w:val="left"/>
        <w:rPr>
          <w:sz w:val="18"/>
        </w:rPr>
      </w:pPr>
      <w:r>
        <w:rPr>
          <w:sz w:val="18"/>
        </w:rPr>
        <w:t>3  cm (diameter  of  the  center hole  to</w:t>
      </w:r>
      <w:r>
        <w:rPr>
          <w:spacing w:val="-6"/>
          <w:sz w:val="18"/>
        </w:rPr>
        <w:t> </w:t>
      </w:r>
      <w:r>
        <w:rPr>
          <w:sz w:val="18"/>
        </w:rPr>
        <w:t>cut</w:t>
      </w:r>
      <w:r>
        <w:rPr>
          <w:spacing w:val="26"/>
          <w:sz w:val="18"/>
        </w:rPr>
        <w:t> </w:t>
      </w:r>
      <w:r>
        <w:rPr>
          <w:sz w:val="18"/>
        </w:rPr>
        <w:t>the</w:t>
        <w:tab/>
        <w:t>center</w:t>
      </w:r>
      <w:r>
        <w:rPr>
          <w:spacing w:val="27"/>
          <w:sz w:val="18"/>
        </w:rPr>
        <w:t> </w:t>
      </w:r>
      <w:r>
        <w:rPr>
          <w:sz w:val="18"/>
        </w:rPr>
        <w:t>of</w:t>
      </w:r>
      <w:r>
        <w:rPr>
          <w:spacing w:val="27"/>
          <w:sz w:val="18"/>
        </w:rPr>
        <w:t> </w:t>
      </w:r>
      <w:r>
        <w:rPr>
          <w:sz w:val="18"/>
        </w:rPr>
        <w:t>the donut).</w:t>
      </w:r>
    </w:p>
    <w:p>
      <w:pPr>
        <w:pStyle w:val="ListParagraph"/>
        <w:numPr>
          <w:ilvl w:val="0"/>
          <w:numId w:val="51"/>
        </w:numPr>
        <w:tabs>
          <w:tab w:pos="452" w:val="left" w:leader="none"/>
        </w:tabs>
        <w:spacing w:line="207" w:lineRule="exact" w:before="0" w:after="0"/>
        <w:ind w:left="451" w:right="0" w:hanging="181"/>
        <w:jc w:val="both"/>
        <w:rPr>
          <w:sz w:val="18"/>
        </w:rPr>
      </w:pPr>
      <w:r>
        <w:rPr>
          <w:sz w:val="18"/>
        </w:rPr>
        <w:t>5.5 cm (height of the</w:t>
      </w:r>
      <w:r>
        <w:rPr>
          <w:spacing w:val="-8"/>
          <w:sz w:val="18"/>
        </w:rPr>
        <w:t> </w:t>
      </w:r>
      <w:r>
        <w:rPr>
          <w:sz w:val="18"/>
        </w:rPr>
        <w:t>mold).</w:t>
      </w:r>
    </w:p>
    <w:p>
      <w:pPr>
        <w:pStyle w:val="ListParagraph"/>
        <w:numPr>
          <w:ilvl w:val="0"/>
          <w:numId w:val="51"/>
        </w:numPr>
        <w:tabs>
          <w:tab w:pos="452" w:val="left" w:leader="none"/>
        </w:tabs>
        <w:spacing w:line="207" w:lineRule="exact" w:before="0" w:after="0"/>
        <w:ind w:left="451" w:right="0" w:hanging="181"/>
        <w:jc w:val="both"/>
        <w:rPr>
          <w:sz w:val="18"/>
        </w:rPr>
      </w:pPr>
      <w:r>
        <w:rPr>
          <w:sz w:val="18"/>
        </w:rPr>
        <w:t>8 cm ( handle height added to the mold</w:t>
      </w:r>
      <w:r>
        <w:rPr>
          <w:spacing w:val="-8"/>
          <w:sz w:val="18"/>
        </w:rPr>
        <w:t> </w:t>
      </w:r>
      <w:r>
        <w:rPr>
          <w:sz w:val="18"/>
        </w:rPr>
        <w:t>).</w:t>
      </w:r>
    </w:p>
    <w:p>
      <w:pPr>
        <w:pStyle w:val="ListParagraph"/>
        <w:numPr>
          <w:ilvl w:val="0"/>
          <w:numId w:val="51"/>
        </w:numPr>
        <w:tabs>
          <w:tab w:pos="452" w:val="left" w:leader="none"/>
        </w:tabs>
        <w:spacing w:line="207" w:lineRule="exact" w:before="0" w:after="0"/>
        <w:ind w:left="451" w:right="0" w:hanging="181"/>
        <w:jc w:val="both"/>
        <w:rPr>
          <w:sz w:val="18"/>
        </w:rPr>
      </w:pPr>
      <w:r>
        <w:rPr>
          <w:sz w:val="18"/>
        </w:rPr>
        <w:t>3.5 cm (diameter of the handle</w:t>
      </w:r>
      <w:r>
        <w:rPr>
          <w:spacing w:val="-10"/>
          <w:sz w:val="18"/>
        </w:rPr>
        <w:t> </w:t>
      </w:r>
      <w:r>
        <w:rPr>
          <w:sz w:val="18"/>
        </w:rPr>
        <w:t>added).</w:t>
      </w:r>
    </w:p>
    <w:p>
      <w:pPr>
        <w:pStyle w:val="ListParagraph"/>
        <w:numPr>
          <w:ilvl w:val="0"/>
          <w:numId w:val="51"/>
        </w:numPr>
        <w:tabs>
          <w:tab w:pos="452" w:val="left" w:leader="none"/>
        </w:tabs>
        <w:spacing w:line="207" w:lineRule="exact" w:before="0" w:after="0"/>
        <w:ind w:left="451" w:right="0" w:hanging="181"/>
        <w:jc w:val="both"/>
        <w:rPr>
          <w:sz w:val="18"/>
        </w:rPr>
      </w:pPr>
      <w:r>
        <w:rPr>
          <w:sz w:val="18"/>
        </w:rPr>
        <w:t>0.5 cm (width cork base</w:t>
      </w:r>
      <w:r>
        <w:rPr>
          <w:spacing w:val="-10"/>
          <w:sz w:val="18"/>
        </w:rPr>
        <w:t> </w:t>
      </w:r>
      <w:r>
        <w:rPr>
          <w:sz w:val="18"/>
        </w:rPr>
        <w:t>added).</w:t>
      </w:r>
    </w:p>
    <w:p>
      <w:pPr>
        <w:spacing w:after="0" w:line="207" w:lineRule="exact"/>
        <w:jc w:val="both"/>
        <w:rPr>
          <w:sz w:val="18"/>
        </w:rPr>
        <w:sectPr>
          <w:pgSz w:w="12240" w:h="15840"/>
          <w:pgMar w:header="545" w:footer="852" w:top="1060" w:bottom="1040" w:left="580" w:right="220"/>
          <w:cols w:num="2" w:equalWidth="0">
            <w:col w:w="5163" w:space="435"/>
            <w:col w:w="5842"/>
          </w:cols>
        </w:sectPr>
      </w:pPr>
    </w:p>
    <w:p>
      <w:pPr>
        <w:pStyle w:val="BodyText"/>
        <w:rPr>
          <w:sz w:val="11"/>
        </w:rPr>
      </w:pPr>
    </w:p>
    <w:p>
      <w:pPr>
        <w:spacing w:after="0"/>
        <w:rPr>
          <w:sz w:val="11"/>
        </w:rPr>
        <w:sectPr>
          <w:pgSz w:w="12240" w:h="15840"/>
          <w:pgMar w:header="545" w:footer="852" w:top="1060" w:bottom="1040" w:left="580" w:right="220"/>
        </w:sectPr>
      </w:pPr>
    </w:p>
    <w:p>
      <w:pPr>
        <w:pStyle w:val="BodyText"/>
        <w:spacing w:before="10"/>
        <w:rPr>
          <w:sz w:val="24"/>
        </w:rPr>
      </w:pPr>
    </w:p>
    <w:p>
      <w:pPr>
        <w:pStyle w:val="ListParagraph"/>
        <w:numPr>
          <w:ilvl w:val="1"/>
          <w:numId w:val="49"/>
        </w:numPr>
        <w:tabs>
          <w:tab w:pos="542" w:val="left" w:leader="none"/>
        </w:tabs>
        <w:spacing w:line="240" w:lineRule="auto" w:before="1" w:after="0"/>
        <w:ind w:left="541" w:right="0" w:hanging="271"/>
        <w:jc w:val="both"/>
        <w:rPr>
          <w:b/>
          <w:sz w:val="18"/>
        </w:rPr>
      </w:pPr>
      <w:r>
        <w:rPr>
          <w:b/>
          <w:sz w:val="18"/>
        </w:rPr>
        <w:t>Physical Valuation of each</w:t>
      </w:r>
      <w:r>
        <w:rPr>
          <w:b/>
          <w:spacing w:val="-9"/>
          <w:sz w:val="18"/>
        </w:rPr>
        <w:t> </w:t>
      </w:r>
      <w:r>
        <w:rPr>
          <w:b/>
          <w:sz w:val="18"/>
        </w:rPr>
        <w:t>alternative.</w:t>
      </w:r>
    </w:p>
    <w:p>
      <w:pPr>
        <w:pStyle w:val="BodyText"/>
        <w:spacing w:before="7"/>
        <w:rPr>
          <w:b/>
          <w:sz w:val="17"/>
        </w:rPr>
      </w:pPr>
    </w:p>
    <w:p>
      <w:pPr>
        <w:spacing w:before="1"/>
        <w:ind w:left="270" w:right="1" w:firstLine="0"/>
        <w:jc w:val="both"/>
        <w:rPr>
          <w:sz w:val="18"/>
        </w:rPr>
      </w:pPr>
      <w:r>
        <w:rPr>
          <w:sz w:val="18"/>
        </w:rPr>
        <w:t>Structurally if its realization is possible; materials (stainless steel , welding , rubber , lathe, electrodes) and labor ( welder and turner ) to develop the proposed tool are available in the locality and even affordable price ; the material to be used is stainless steel because  as used in food , health standards mark this as a right for all utensils and tools that deal with working in an establishment where food is prepared; limitations that may exist are within the company you want to improve the process as many times does not seem justifiable to spend on developing a new ergonomic tool  with which they use if they are getting though not as great benefits like improved tool ; in volume of the project, this is not great and perform improved tool is not a big change and involving many expenses and processes, so that at this point there is no limitation , so it is concluded that manufacture is</w:t>
      </w:r>
      <w:r>
        <w:rPr>
          <w:spacing w:val="-12"/>
          <w:sz w:val="18"/>
        </w:rPr>
        <w:t> </w:t>
      </w:r>
      <w:r>
        <w:rPr>
          <w:sz w:val="18"/>
        </w:rPr>
        <w:t>viable.</w:t>
      </w:r>
    </w:p>
    <w:p>
      <w:pPr>
        <w:pStyle w:val="BodyText"/>
        <w:spacing w:before="3"/>
        <w:rPr>
          <w:sz w:val="18"/>
        </w:rPr>
      </w:pPr>
    </w:p>
    <w:p>
      <w:pPr>
        <w:pStyle w:val="ListParagraph"/>
        <w:numPr>
          <w:ilvl w:val="1"/>
          <w:numId w:val="49"/>
        </w:numPr>
        <w:tabs>
          <w:tab w:pos="543" w:val="left" w:leader="none"/>
        </w:tabs>
        <w:spacing w:line="240" w:lineRule="auto" w:before="0" w:after="0"/>
        <w:ind w:left="542" w:right="0" w:hanging="272"/>
        <w:jc w:val="both"/>
        <w:rPr>
          <w:b/>
          <w:sz w:val="18"/>
        </w:rPr>
      </w:pPr>
      <w:r>
        <w:rPr>
          <w:b/>
          <w:sz w:val="18"/>
        </w:rPr>
        <w:t>Select the possible</w:t>
      </w:r>
      <w:r>
        <w:rPr>
          <w:b/>
          <w:spacing w:val="-13"/>
          <w:sz w:val="18"/>
        </w:rPr>
        <w:t> </w:t>
      </w:r>
      <w:r>
        <w:rPr>
          <w:b/>
          <w:sz w:val="18"/>
        </w:rPr>
        <w:t>alternatives.</w:t>
      </w:r>
    </w:p>
    <w:p>
      <w:pPr>
        <w:pStyle w:val="BodyText"/>
        <w:spacing w:before="7"/>
        <w:rPr>
          <w:b/>
          <w:sz w:val="17"/>
        </w:rPr>
      </w:pPr>
    </w:p>
    <w:p>
      <w:pPr>
        <w:spacing w:before="1"/>
        <w:ind w:left="270" w:right="0" w:firstLine="0"/>
        <w:jc w:val="both"/>
        <w:rPr>
          <w:sz w:val="18"/>
        </w:rPr>
      </w:pPr>
      <w:r>
        <w:rPr>
          <w:sz w:val="18"/>
        </w:rPr>
        <w:t>To select the alternative presented above was based mainly at normal tool redesign quantifiable benefits which are further  detailed in the application made in a bakery located in the Valle del Carrizo are obtained; the mold was used with ergonomic redesign to cut the dough for the preparation of donuts was observed and the number of parts produced was 34 parts per minute. Finally this tool for analyzing benefit / cost is selected. The analysis benefit / cost are spent in an EXCEL template and reference to the data of anti - ergonomic tool (tool 1) and the redesigned tool (tool</w:t>
      </w:r>
      <w:r>
        <w:rPr>
          <w:spacing w:val="-8"/>
          <w:sz w:val="18"/>
        </w:rPr>
        <w:t> </w:t>
      </w:r>
      <w:r>
        <w:rPr>
          <w:sz w:val="18"/>
        </w:rPr>
        <w:t>2).</w:t>
      </w:r>
    </w:p>
    <w:p>
      <w:pPr>
        <w:pStyle w:val="BodyText"/>
        <w:rPr>
          <w:sz w:val="18"/>
        </w:rPr>
      </w:pPr>
    </w:p>
    <w:p>
      <w:pPr>
        <w:pStyle w:val="BodyText"/>
        <w:rPr>
          <w:sz w:val="18"/>
        </w:rPr>
      </w:pPr>
    </w:p>
    <w:p>
      <w:pPr>
        <w:pStyle w:val="BodyText"/>
        <w:rPr>
          <w:sz w:val="18"/>
        </w:rPr>
      </w:pPr>
    </w:p>
    <w:p>
      <w:pPr>
        <w:pStyle w:val="BodyText"/>
        <w:rPr>
          <w:sz w:val="18"/>
        </w:rPr>
      </w:pPr>
    </w:p>
    <w:p>
      <w:pPr>
        <w:spacing w:before="0"/>
        <w:ind w:left="270" w:right="0" w:firstLine="0"/>
        <w:jc w:val="both"/>
        <w:rPr>
          <w:sz w:val="18"/>
        </w:rPr>
      </w:pPr>
      <w:r>
        <w:rPr/>
        <w:pict>
          <v:shape style="position:absolute;margin-left:36.900002pt;margin-top:20.942034pt;width:211pt;height:107.5pt;mso-position-horizontal-relative:page;mso-position-vertical-relative:paragraph;z-index:460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02"/>
                    <w:gridCol w:w="2102"/>
                  </w:tblGrid>
                  <w:tr>
                    <w:trPr>
                      <w:trHeight w:val="424" w:hRule="exact"/>
                    </w:trPr>
                    <w:tc>
                      <w:tcPr>
                        <w:tcW w:w="2102" w:type="dxa"/>
                      </w:tcPr>
                      <w:p>
                        <w:pPr>
                          <w:pStyle w:val="TableParagraph"/>
                          <w:spacing w:line="202" w:lineRule="exact"/>
                          <w:ind w:left="103" w:right="167"/>
                          <w:rPr>
                            <w:sz w:val="18"/>
                          </w:rPr>
                        </w:pPr>
                        <w:r>
                          <w:rPr>
                            <w:sz w:val="18"/>
                          </w:rPr>
                          <w:t>Data</w:t>
                        </w:r>
                      </w:p>
                    </w:tc>
                    <w:tc>
                      <w:tcPr>
                        <w:tcW w:w="2102" w:type="dxa"/>
                      </w:tcPr>
                      <w:p>
                        <w:pPr>
                          <w:pStyle w:val="TableParagraph"/>
                          <w:spacing w:line="202" w:lineRule="exact"/>
                          <w:ind w:left="103" w:right="167"/>
                          <w:rPr>
                            <w:sz w:val="18"/>
                          </w:rPr>
                        </w:pPr>
                        <w:r>
                          <w:rPr>
                            <w:sz w:val="18"/>
                          </w:rPr>
                          <w:t>Current Tool</w:t>
                        </w:r>
                      </w:p>
                    </w:tc>
                  </w:tr>
                  <w:tr>
                    <w:trPr>
                      <w:trHeight w:val="217" w:hRule="exact"/>
                    </w:trPr>
                    <w:tc>
                      <w:tcPr>
                        <w:tcW w:w="2102" w:type="dxa"/>
                      </w:tcPr>
                      <w:p>
                        <w:pPr>
                          <w:pStyle w:val="TableParagraph"/>
                          <w:spacing w:line="202" w:lineRule="exact"/>
                          <w:ind w:left="103" w:right="167"/>
                          <w:rPr>
                            <w:sz w:val="18"/>
                          </w:rPr>
                        </w:pPr>
                        <w:r>
                          <w:rPr>
                            <w:sz w:val="18"/>
                          </w:rPr>
                          <w:t>Number of uses per day</w:t>
                        </w:r>
                      </w:p>
                    </w:tc>
                    <w:tc>
                      <w:tcPr>
                        <w:tcW w:w="2102" w:type="dxa"/>
                      </w:tcPr>
                      <w:p>
                        <w:pPr>
                          <w:pStyle w:val="TableParagraph"/>
                          <w:spacing w:line="202" w:lineRule="exact"/>
                          <w:ind w:left="104" w:right="167"/>
                          <w:rPr>
                            <w:sz w:val="18"/>
                          </w:rPr>
                        </w:pPr>
                        <w:r>
                          <w:rPr>
                            <w:sz w:val="18"/>
                          </w:rPr>
                          <w:t>26*60*8=12,480</w:t>
                        </w:r>
                      </w:p>
                    </w:tc>
                  </w:tr>
                  <w:tr>
                    <w:trPr>
                      <w:trHeight w:val="217" w:hRule="exact"/>
                    </w:trPr>
                    <w:tc>
                      <w:tcPr>
                        <w:tcW w:w="2102" w:type="dxa"/>
                      </w:tcPr>
                      <w:p>
                        <w:pPr>
                          <w:pStyle w:val="TableParagraph"/>
                          <w:spacing w:line="202" w:lineRule="exact"/>
                          <w:ind w:left="103" w:right="167"/>
                          <w:rPr>
                            <w:sz w:val="18"/>
                          </w:rPr>
                        </w:pPr>
                        <w:r>
                          <w:rPr>
                            <w:sz w:val="18"/>
                          </w:rPr>
                          <w:t>working days a year</w:t>
                        </w:r>
                      </w:p>
                    </w:tc>
                    <w:tc>
                      <w:tcPr>
                        <w:tcW w:w="2102" w:type="dxa"/>
                      </w:tcPr>
                      <w:p>
                        <w:pPr>
                          <w:pStyle w:val="TableParagraph"/>
                          <w:spacing w:line="202" w:lineRule="exact"/>
                          <w:ind w:left="103" w:right="167"/>
                          <w:rPr>
                            <w:sz w:val="18"/>
                          </w:rPr>
                        </w:pPr>
                        <w:r>
                          <w:rPr>
                            <w:sz w:val="18"/>
                          </w:rPr>
                          <w:t>300</w:t>
                        </w:r>
                      </w:p>
                    </w:tc>
                  </w:tr>
                  <w:tr>
                    <w:trPr>
                      <w:trHeight w:val="216" w:hRule="exact"/>
                    </w:trPr>
                    <w:tc>
                      <w:tcPr>
                        <w:tcW w:w="2102" w:type="dxa"/>
                      </w:tcPr>
                      <w:p>
                        <w:pPr>
                          <w:pStyle w:val="TableParagraph"/>
                          <w:spacing w:line="202" w:lineRule="exact"/>
                          <w:ind w:left="103" w:right="167"/>
                          <w:rPr>
                            <w:sz w:val="18"/>
                          </w:rPr>
                        </w:pPr>
                        <w:r>
                          <w:rPr>
                            <w:sz w:val="18"/>
                          </w:rPr>
                          <w:t>Number of years</w:t>
                        </w:r>
                      </w:p>
                    </w:tc>
                    <w:tc>
                      <w:tcPr>
                        <w:tcW w:w="2102" w:type="dxa"/>
                      </w:tcPr>
                      <w:p>
                        <w:pPr>
                          <w:pStyle w:val="TableParagraph"/>
                          <w:spacing w:line="202" w:lineRule="exact"/>
                          <w:ind w:left="103"/>
                          <w:rPr>
                            <w:sz w:val="18"/>
                          </w:rPr>
                        </w:pPr>
                        <w:r>
                          <w:rPr>
                            <w:sz w:val="18"/>
                          </w:rPr>
                          <w:t>5</w:t>
                        </w:r>
                      </w:p>
                    </w:tc>
                  </w:tr>
                  <w:tr>
                    <w:trPr>
                      <w:trHeight w:val="425" w:hRule="exact"/>
                    </w:trPr>
                    <w:tc>
                      <w:tcPr>
                        <w:tcW w:w="2102" w:type="dxa"/>
                      </w:tcPr>
                      <w:p>
                        <w:pPr>
                          <w:pStyle w:val="TableParagraph"/>
                          <w:spacing w:line="203" w:lineRule="exact"/>
                          <w:ind w:left="103" w:right="167"/>
                          <w:rPr>
                            <w:sz w:val="18"/>
                          </w:rPr>
                        </w:pPr>
                        <w:r>
                          <w:rPr>
                            <w:sz w:val="18"/>
                          </w:rPr>
                          <w:t>Cost Tool</w:t>
                        </w:r>
                      </w:p>
                    </w:tc>
                    <w:tc>
                      <w:tcPr>
                        <w:tcW w:w="2102" w:type="dxa"/>
                      </w:tcPr>
                      <w:p>
                        <w:pPr>
                          <w:pStyle w:val="TableParagraph"/>
                          <w:spacing w:line="203" w:lineRule="exact"/>
                          <w:ind w:left="103" w:right="167"/>
                          <w:rPr>
                            <w:sz w:val="18"/>
                          </w:rPr>
                        </w:pPr>
                        <w:r>
                          <w:rPr>
                            <w:sz w:val="18"/>
                          </w:rPr>
                          <w:t>$ 520.00</w:t>
                        </w:r>
                      </w:p>
                    </w:tc>
                  </w:tr>
                  <w:tr>
                    <w:trPr>
                      <w:trHeight w:val="424" w:hRule="exact"/>
                    </w:trPr>
                    <w:tc>
                      <w:tcPr>
                        <w:tcW w:w="2102" w:type="dxa"/>
                      </w:tcPr>
                      <w:p>
                        <w:pPr>
                          <w:pStyle w:val="TableParagraph"/>
                          <w:spacing w:line="202" w:lineRule="exact"/>
                          <w:ind w:left="103" w:right="167"/>
                          <w:rPr>
                            <w:sz w:val="18"/>
                          </w:rPr>
                        </w:pPr>
                        <w:r>
                          <w:rPr>
                            <w:sz w:val="18"/>
                          </w:rPr>
                          <w:t>Time use in seconds</w:t>
                        </w:r>
                      </w:p>
                    </w:tc>
                    <w:tc>
                      <w:tcPr>
                        <w:tcW w:w="2102" w:type="dxa"/>
                      </w:tcPr>
                      <w:p>
                        <w:pPr>
                          <w:pStyle w:val="TableParagraph"/>
                          <w:ind w:left="856" w:right="167" w:hanging="667"/>
                          <w:rPr>
                            <w:sz w:val="18"/>
                          </w:rPr>
                        </w:pPr>
                        <w:r>
                          <w:rPr>
                            <w:sz w:val="18"/>
                          </w:rPr>
                          <w:t>60/26 = 2.3 seconds per piece</w:t>
                        </w:r>
                      </w:p>
                    </w:tc>
                  </w:tr>
                  <w:tr>
                    <w:trPr>
                      <w:trHeight w:val="217" w:hRule="exact"/>
                    </w:trPr>
                    <w:tc>
                      <w:tcPr>
                        <w:tcW w:w="2102" w:type="dxa"/>
                      </w:tcPr>
                      <w:p>
                        <w:pPr>
                          <w:pStyle w:val="TableParagraph"/>
                          <w:spacing w:line="202" w:lineRule="exact"/>
                          <w:ind w:left="103" w:right="167"/>
                          <w:rPr>
                            <w:sz w:val="18"/>
                          </w:rPr>
                        </w:pPr>
                        <w:r>
                          <w:rPr>
                            <w:sz w:val="18"/>
                          </w:rPr>
                          <w:t>Cost of labor</w:t>
                        </w:r>
                      </w:p>
                    </w:tc>
                    <w:tc>
                      <w:tcPr>
                        <w:tcW w:w="2102" w:type="dxa"/>
                      </w:tcPr>
                      <w:p>
                        <w:pPr>
                          <w:pStyle w:val="TableParagraph"/>
                          <w:spacing w:line="202" w:lineRule="exact"/>
                          <w:ind w:left="103" w:right="167"/>
                          <w:rPr>
                            <w:sz w:val="18"/>
                          </w:rPr>
                        </w:pPr>
                        <w:r>
                          <w:rPr>
                            <w:sz w:val="18"/>
                          </w:rPr>
                          <w:t>$ 12.50</w:t>
                        </w:r>
                      </w:p>
                    </w:tc>
                  </w:tr>
                </w:tbl>
                <w:p>
                  <w:pPr>
                    <w:pStyle w:val="BodyText"/>
                  </w:pPr>
                </w:p>
              </w:txbxContent>
            </v:textbox>
            <w10:wrap type="none"/>
          </v:shape>
        </w:pict>
      </w:r>
      <w:r>
        <w:rPr>
          <w:sz w:val="18"/>
        </w:rPr>
        <w:t>For the tool 1:</w:t>
      </w:r>
    </w:p>
    <w:p>
      <w:pPr>
        <w:spacing w:before="77"/>
        <w:ind w:left="270" w:right="0" w:firstLine="0"/>
        <w:jc w:val="both"/>
        <w:rPr>
          <w:sz w:val="18"/>
        </w:rPr>
      </w:pPr>
      <w:r>
        <w:rPr/>
        <w:br w:type="column"/>
      </w:r>
      <w:r>
        <w:rPr>
          <w:sz w:val="18"/>
        </w:rPr>
        <w:t>To the tool 1.</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2"/>
        <w:rPr>
          <w:sz w:val="23"/>
        </w:rPr>
      </w:pPr>
    </w:p>
    <w:p>
      <w:pPr>
        <w:spacing w:before="0"/>
        <w:ind w:left="270" w:right="0" w:firstLine="0"/>
        <w:jc w:val="both"/>
        <w:rPr>
          <w:sz w:val="18"/>
        </w:rPr>
      </w:pPr>
      <w:r>
        <w:rPr/>
        <w:pict>
          <v:shape style="position:absolute;margin-left:316.799988pt;margin-top:-106.257706pt;width:214.8pt;height:106.5pt;mso-position-horizontal-relative:page;mso-position-vertical-relative:paragraph;z-index:4552"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9"/>
                    <w:gridCol w:w="2462"/>
                  </w:tblGrid>
                  <w:tr>
                    <w:trPr>
                      <w:trHeight w:val="424" w:hRule="exact"/>
                    </w:trPr>
                    <w:tc>
                      <w:tcPr>
                        <w:tcW w:w="1819" w:type="dxa"/>
                      </w:tcPr>
                      <w:p>
                        <w:pPr>
                          <w:pStyle w:val="TableParagraph"/>
                          <w:spacing w:line="202" w:lineRule="exact"/>
                          <w:ind w:left="103" w:right="77"/>
                          <w:rPr>
                            <w:sz w:val="18"/>
                          </w:rPr>
                        </w:pPr>
                        <w:r>
                          <w:rPr>
                            <w:sz w:val="18"/>
                          </w:rPr>
                          <w:t>Life applications</w:t>
                        </w:r>
                      </w:p>
                    </w:tc>
                    <w:tc>
                      <w:tcPr>
                        <w:tcW w:w="2462" w:type="dxa"/>
                      </w:tcPr>
                      <w:p>
                        <w:pPr>
                          <w:pStyle w:val="TableParagraph"/>
                          <w:spacing w:line="202" w:lineRule="exact"/>
                          <w:ind w:left="103"/>
                          <w:rPr>
                            <w:sz w:val="18"/>
                          </w:rPr>
                        </w:pPr>
                        <w:r>
                          <w:rPr>
                            <w:sz w:val="18"/>
                          </w:rPr>
                          <w:t>12,480(300)(5)=18´720,000</w:t>
                        </w:r>
                      </w:p>
                    </w:tc>
                  </w:tr>
                  <w:tr>
                    <w:trPr>
                      <w:trHeight w:val="425" w:hRule="exact"/>
                    </w:trPr>
                    <w:tc>
                      <w:tcPr>
                        <w:tcW w:w="1819" w:type="dxa"/>
                      </w:tcPr>
                      <w:p>
                        <w:pPr>
                          <w:pStyle w:val="TableParagraph"/>
                          <w:ind w:left="103" w:right="77"/>
                          <w:rPr>
                            <w:sz w:val="18"/>
                          </w:rPr>
                        </w:pPr>
                        <w:r>
                          <w:rPr>
                            <w:sz w:val="18"/>
                          </w:rPr>
                          <w:t>Unit cost per use of life</w:t>
                        </w:r>
                      </w:p>
                    </w:tc>
                    <w:tc>
                      <w:tcPr>
                        <w:tcW w:w="2462" w:type="dxa"/>
                      </w:tcPr>
                      <w:p>
                        <w:pPr>
                          <w:pStyle w:val="TableParagraph"/>
                          <w:ind w:left="103" w:right="318"/>
                          <w:rPr>
                            <w:sz w:val="18"/>
                          </w:rPr>
                        </w:pPr>
                        <w:r>
                          <w:rPr>
                            <w:sz w:val="18"/>
                          </w:rPr>
                          <w:t>(520*100)/(5*300*12480)= 0.0027778</w:t>
                        </w:r>
                      </w:p>
                    </w:tc>
                  </w:tr>
                  <w:tr>
                    <w:trPr>
                      <w:trHeight w:val="424" w:hRule="exact"/>
                    </w:trPr>
                    <w:tc>
                      <w:tcPr>
                        <w:tcW w:w="1819" w:type="dxa"/>
                      </w:tcPr>
                      <w:p>
                        <w:pPr>
                          <w:pStyle w:val="TableParagraph"/>
                          <w:spacing w:line="202" w:lineRule="exact"/>
                          <w:ind w:left="103" w:right="77"/>
                          <w:rPr>
                            <w:sz w:val="18"/>
                          </w:rPr>
                        </w:pPr>
                        <w:r>
                          <w:rPr>
                            <w:sz w:val="18"/>
                          </w:rPr>
                          <w:t>Unit cost for labor</w:t>
                        </w:r>
                      </w:p>
                    </w:tc>
                    <w:tc>
                      <w:tcPr>
                        <w:tcW w:w="2462" w:type="dxa"/>
                      </w:tcPr>
                      <w:p>
                        <w:pPr>
                          <w:pStyle w:val="TableParagraph"/>
                          <w:spacing w:line="202" w:lineRule="exact"/>
                          <w:ind w:left="103"/>
                          <w:rPr>
                            <w:sz w:val="18"/>
                          </w:rPr>
                        </w:pPr>
                        <w:r>
                          <w:rPr>
                            <w:sz w:val="18"/>
                          </w:rPr>
                          <w:t>(2.3*100) / 3600 = 0.35</w:t>
                        </w:r>
                      </w:p>
                    </w:tc>
                  </w:tr>
                  <w:tr>
                    <w:trPr>
                      <w:trHeight w:val="424" w:hRule="exact"/>
                    </w:trPr>
                    <w:tc>
                      <w:tcPr>
                        <w:tcW w:w="1819" w:type="dxa"/>
                      </w:tcPr>
                      <w:p>
                        <w:pPr>
                          <w:pStyle w:val="TableParagraph"/>
                          <w:ind w:left="103" w:right="77"/>
                          <w:rPr>
                            <w:sz w:val="18"/>
                          </w:rPr>
                        </w:pPr>
                        <w:r>
                          <w:rPr>
                            <w:sz w:val="18"/>
                          </w:rPr>
                          <w:t>Cost of labor per second of Use</w:t>
                        </w:r>
                      </w:p>
                    </w:tc>
                    <w:tc>
                      <w:tcPr>
                        <w:tcW w:w="2462" w:type="dxa"/>
                      </w:tcPr>
                      <w:p>
                        <w:pPr>
                          <w:pStyle w:val="TableParagraph"/>
                          <w:spacing w:line="202" w:lineRule="exact"/>
                          <w:ind w:left="103"/>
                          <w:rPr>
                            <w:sz w:val="18"/>
                          </w:rPr>
                        </w:pPr>
                        <w:r>
                          <w:rPr>
                            <w:sz w:val="18"/>
                          </w:rPr>
                          <w:t>0.35* 2.3 = 0.80</w:t>
                        </w:r>
                      </w:p>
                    </w:tc>
                  </w:tr>
                  <w:tr>
                    <w:trPr>
                      <w:trHeight w:val="425" w:hRule="exact"/>
                    </w:trPr>
                    <w:tc>
                      <w:tcPr>
                        <w:tcW w:w="1819" w:type="dxa"/>
                      </w:tcPr>
                      <w:p>
                        <w:pPr>
                          <w:pStyle w:val="TableParagraph"/>
                          <w:ind w:left="103" w:right="77"/>
                          <w:rPr>
                            <w:sz w:val="18"/>
                          </w:rPr>
                        </w:pPr>
                        <w:r>
                          <w:rPr>
                            <w:sz w:val="18"/>
                          </w:rPr>
                          <w:t>Sum of labor and unit cost tool usage</w:t>
                        </w:r>
                      </w:p>
                    </w:tc>
                    <w:tc>
                      <w:tcPr>
                        <w:tcW w:w="2462" w:type="dxa"/>
                      </w:tcPr>
                      <w:p>
                        <w:pPr>
                          <w:pStyle w:val="TableParagraph"/>
                          <w:spacing w:line="203" w:lineRule="exact"/>
                          <w:ind w:left="103"/>
                          <w:rPr>
                            <w:sz w:val="18"/>
                          </w:rPr>
                        </w:pPr>
                        <w:r>
                          <w:rPr>
                            <w:sz w:val="18"/>
                          </w:rPr>
                          <w:t>0.80 + 0.0027778</w:t>
                        </w:r>
                      </w:p>
                      <w:p>
                        <w:pPr>
                          <w:pStyle w:val="TableParagraph"/>
                          <w:spacing w:line="207" w:lineRule="exact"/>
                          <w:ind w:left="148"/>
                          <w:rPr>
                            <w:sz w:val="18"/>
                          </w:rPr>
                        </w:pPr>
                        <w:r>
                          <w:rPr>
                            <w:sz w:val="18"/>
                          </w:rPr>
                          <w:t>= 0.80</w:t>
                        </w:r>
                      </w:p>
                    </w:tc>
                  </w:tr>
                </w:tbl>
                <w:p>
                  <w:pPr>
                    <w:pStyle w:val="BodyText"/>
                  </w:pPr>
                </w:p>
              </w:txbxContent>
            </v:textbox>
            <w10:wrap type="none"/>
          </v:shape>
        </w:pict>
      </w:r>
      <w:r>
        <w:rPr>
          <w:sz w:val="18"/>
        </w:rPr>
        <w:t>For the tool 2.</w:t>
      </w:r>
    </w:p>
    <w:tbl>
      <w:tblPr>
        <w:tblW w:w="0" w:type="auto"/>
        <w:jc w:val="left"/>
        <w:tblInd w:w="1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02"/>
        <w:gridCol w:w="2125"/>
      </w:tblGrid>
      <w:tr>
        <w:trPr>
          <w:trHeight w:val="425" w:hRule="exact"/>
        </w:trPr>
        <w:tc>
          <w:tcPr>
            <w:tcW w:w="2102" w:type="dxa"/>
          </w:tcPr>
          <w:p>
            <w:pPr>
              <w:pStyle w:val="TableParagraph"/>
              <w:spacing w:line="203" w:lineRule="exact"/>
              <w:ind w:left="103" w:right="167"/>
              <w:rPr>
                <w:sz w:val="18"/>
              </w:rPr>
            </w:pPr>
            <w:r>
              <w:rPr>
                <w:sz w:val="18"/>
              </w:rPr>
              <w:t>Life applications</w:t>
            </w:r>
          </w:p>
        </w:tc>
        <w:tc>
          <w:tcPr>
            <w:tcW w:w="2125" w:type="dxa"/>
          </w:tcPr>
          <w:p>
            <w:pPr>
              <w:pStyle w:val="TableParagraph"/>
              <w:spacing w:line="203" w:lineRule="exact"/>
              <w:ind w:left="103"/>
              <w:rPr>
                <w:sz w:val="18"/>
              </w:rPr>
            </w:pPr>
            <w:r>
              <w:rPr>
                <w:sz w:val="18"/>
              </w:rPr>
              <w:t>16,320(300)(5)=</w:t>
            </w:r>
          </w:p>
          <w:p>
            <w:pPr>
              <w:pStyle w:val="TableParagraph"/>
              <w:spacing w:line="207" w:lineRule="exact"/>
              <w:ind w:left="103"/>
              <w:rPr>
                <w:sz w:val="18"/>
              </w:rPr>
            </w:pPr>
            <w:r>
              <w:rPr>
                <w:sz w:val="18"/>
              </w:rPr>
              <w:t>24´480,000</w:t>
            </w:r>
          </w:p>
        </w:tc>
      </w:tr>
      <w:tr>
        <w:trPr>
          <w:trHeight w:val="424" w:hRule="exact"/>
        </w:trPr>
        <w:tc>
          <w:tcPr>
            <w:tcW w:w="2102" w:type="dxa"/>
          </w:tcPr>
          <w:p>
            <w:pPr>
              <w:pStyle w:val="TableParagraph"/>
              <w:spacing w:line="202" w:lineRule="exact"/>
              <w:ind w:left="103" w:right="167"/>
              <w:rPr>
                <w:sz w:val="18"/>
              </w:rPr>
            </w:pPr>
            <w:r>
              <w:rPr>
                <w:sz w:val="18"/>
              </w:rPr>
              <w:t>Unit cost per use of life</w:t>
            </w:r>
          </w:p>
        </w:tc>
        <w:tc>
          <w:tcPr>
            <w:tcW w:w="2125" w:type="dxa"/>
          </w:tcPr>
          <w:p>
            <w:pPr>
              <w:pStyle w:val="TableParagraph"/>
              <w:spacing w:line="202" w:lineRule="exact"/>
              <w:ind w:left="104"/>
              <w:rPr>
                <w:sz w:val="18"/>
              </w:rPr>
            </w:pPr>
            <w:r>
              <w:rPr>
                <w:sz w:val="18"/>
              </w:rPr>
              <w:t>(650*100)/(5*300*16320)</w:t>
            </w:r>
          </w:p>
          <w:p>
            <w:pPr>
              <w:pStyle w:val="TableParagraph"/>
              <w:ind w:left="103"/>
              <w:rPr>
                <w:sz w:val="18"/>
              </w:rPr>
            </w:pPr>
            <w:r>
              <w:rPr>
                <w:sz w:val="18"/>
              </w:rPr>
              <w:t>=0.002655</w:t>
            </w:r>
          </w:p>
        </w:tc>
      </w:tr>
      <w:tr>
        <w:trPr>
          <w:trHeight w:val="217" w:hRule="exact"/>
        </w:trPr>
        <w:tc>
          <w:tcPr>
            <w:tcW w:w="2102" w:type="dxa"/>
          </w:tcPr>
          <w:p>
            <w:pPr>
              <w:pStyle w:val="TableParagraph"/>
              <w:spacing w:line="202" w:lineRule="exact"/>
              <w:ind w:left="103" w:right="167"/>
              <w:rPr>
                <w:sz w:val="18"/>
              </w:rPr>
            </w:pPr>
            <w:r>
              <w:rPr>
                <w:sz w:val="18"/>
              </w:rPr>
              <w:t>Unit cost for labor</w:t>
            </w:r>
          </w:p>
        </w:tc>
        <w:tc>
          <w:tcPr>
            <w:tcW w:w="2125" w:type="dxa"/>
          </w:tcPr>
          <w:p>
            <w:pPr>
              <w:pStyle w:val="TableParagraph"/>
              <w:spacing w:line="202" w:lineRule="exact"/>
              <w:ind w:left="104"/>
              <w:rPr>
                <w:sz w:val="18"/>
              </w:rPr>
            </w:pPr>
            <w:r>
              <w:rPr>
                <w:sz w:val="18"/>
              </w:rPr>
              <w:t>(1.76* 100)/3600=0.35</w:t>
            </w:r>
          </w:p>
        </w:tc>
      </w:tr>
      <w:tr>
        <w:trPr>
          <w:trHeight w:val="424" w:hRule="exact"/>
        </w:trPr>
        <w:tc>
          <w:tcPr>
            <w:tcW w:w="2102" w:type="dxa"/>
          </w:tcPr>
          <w:p>
            <w:pPr>
              <w:pStyle w:val="TableParagraph"/>
              <w:ind w:left="103" w:right="167"/>
              <w:rPr>
                <w:sz w:val="18"/>
              </w:rPr>
            </w:pPr>
            <w:r>
              <w:rPr>
                <w:sz w:val="18"/>
              </w:rPr>
              <w:t>Cost of labor per second of Use</w:t>
            </w:r>
          </w:p>
        </w:tc>
        <w:tc>
          <w:tcPr>
            <w:tcW w:w="2125" w:type="dxa"/>
          </w:tcPr>
          <w:p>
            <w:pPr>
              <w:pStyle w:val="TableParagraph"/>
              <w:spacing w:line="202" w:lineRule="exact"/>
              <w:ind w:left="103"/>
              <w:rPr>
                <w:sz w:val="18"/>
              </w:rPr>
            </w:pPr>
            <w:r>
              <w:rPr>
                <w:sz w:val="18"/>
              </w:rPr>
              <w:t>0.35 * 1.76 = 0.61</w:t>
            </w:r>
          </w:p>
        </w:tc>
      </w:tr>
      <w:tr>
        <w:trPr>
          <w:trHeight w:val="425" w:hRule="exact"/>
        </w:trPr>
        <w:tc>
          <w:tcPr>
            <w:tcW w:w="2102" w:type="dxa"/>
          </w:tcPr>
          <w:p>
            <w:pPr>
              <w:pStyle w:val="TableParagraph"/>
              <w:ind w:left="103" w:right="167"/>
              <w:rPr>
                <w:sz w:val="18"/>
              </w:rPr>
            </w:pPr>
            <w:r>
              <w:rPr>
                <w:sz w:val="18"/>
              </w:rPr>
              <w:t>Sum of labor and unit  cost tool</w:t>
            </w:r>
            <w:r>
              <w:rPr>
                <w:spacing w:val="-4"/>
                <w:sz w:val="18"/>
              </w:rPr>
              <w:t> </w:t>
            </w:r>
            <w:r>
              <w:rPr>
                <w:sz w:val="18"/>
              </w:rPr>
              <w:t>usage</w:t>
            </w:r>
          </w:p>
        </w:tc>
        <w:tc>
          <w:tcPr>
            <w:tcW w:w="2125" w:type="dxa"/>
          </w:tcPr>
          <w:p>
            <w:pPr>
              <w:pStyle w:val="TableParagraph"/>
              <w:spacing w:line="203" w:lineRule="exact"/>
              <w:ind w:left="103"/>
              <w:rPr>
                <w:sz w:val="18"/>
              </w:rPr>
            </w:pPr>
            <w:r>
              <w:rPr>
                <w:sz w:val="18"/>
              </w:rPr>
              <w:t>0.61 + 0.002655</w:t>
            </w:r>
          </w:p>
          <w:p>
            <w:pPr>
              <w:pStyle w:val="TableParagraph"/>
              <w:spacing w:line="207" w:lineRule="exact"/>
              <w:ind w:left="148"/>
              <w:rPr>
                <w:sz w:val="18"/>
              </w:rPr>
            </w:pPr>
            <w:r>
              <w:rPr>
                <w:sz w:val="18"/>
              </w:rPr>
              <w:t>= 0.61</w:t>
            </w:r>
          </w:p>
        </w:tc>
      </w:tr>
    </w:tbl>
    <w:p>
      <w:pPr>
        <w:pStyle w:val="BodyText"/>
        <w:spacing w:before="10"/>
        <w:rPr>
          <w:sz w:val="17"/>
        </w:rPr>
      </w:pPr>
    </w:p>
    <w:p>
      <w:pPr>
        <w:spacing w:before="0"/>
        <w:ind w:left="270" w:right="668" w:firstLine="708"/>
        <w:jc w:val="left"/>
        <w:rPr>
          <w:sz w:val="18"/>
        </w:rPr>
      </w:pPr>
      <w:r>
        <w:rPr>
          <w:sz w:val="18"/>
        </w:rPr>
        <w:t>The cost difference was calculated by using the proposed tool. According EXCEL template, where includes rounding.</w:t>
      </w:r>
    </w:p>
    <w:p>
      <w:pPr>
        <w:pStyle w:val="BodyText"/>
        <w:ind w:left="153"/>
      </w:pPr>
      <w:r>
        <w:rPr/>
        <w:pict>
          <v:group style="width:211pt;height:32.5500pt;mso-position-horizontal-relative:char;mso-position-vertical-relative:line" coordorigin="0,0" coordsize="4220,651">
            <v:line style="position:absolute" from="5,10" to="2117,10" stroked="true" strokeweight=".48001pt" strokecolor="#000000"/>
            <v:line style="position:absolute" from="2117,10" to="4210,10" stroked="true" strokeweight=".48pt" strokecolor="#000000"/>
            <v:line style="position:absolute" from="10,5" to="10,646" stroked="true" strokeweight=".48001pt" strokecolor="#000000"/>
            <v:line style="position:absolute" from="5,641" to="2107,641" stroked="true" strokeweight=".48001pt" strokecolor="#000000"/>
            <v:line style="position:absolute" from="2112,15" to="2112,646" stroked="true" strokeweight=".47998pt" strokecolor="#000000"/>
            <v:line style="position:absolute" from="2117,641" to="4210,641" stroked="true" strokeweight=".48pt" strokecolor="#000000"/>
            <v:line style="position:absolute" from="4215,5" to="4215,646" stroked="true" strokeweight=".48004pt" strokecolor="#000000"/>
            <v:shape style="position:absolute;left:10;top:10;width:2103;height:632" type="#_x0000_t202" filled="false" stroked="false">
              <v:textbox inset="0,0,0,0">
                <w:txbxContent>
                  <w:p>
                    <w:pPr>
                      <w:spacing w:before="1"/>
                      <w:ind w:left="107" w:right="411" w:firstLine="0"/>
                      <w:jc w:val="left"/>
                      <w:rPr>
                        <w:sz w:val="18"/>
                      </w:rPr>
                    </w:pPr>
                    <w:r>
                      <w:rPr>
                        <w:sz w:val="18"/>
                      </w:rPr>
                      <w:t>Difference in cost per use of the tool proposal from</w:t>
                    </w:r>
                  </w:p>
                </w:txbxContent>
              </v:textbox>
              <w10:wrap type="none"/>
            </v:shape>
            <v:shape style="position:absolute;left:2112;top:10;width:2103;height:632" type="#_x0000_t202" filled="false" stroked="false">
              <v:textbox inset="0,0,0,0">
                <w:txbxContent>
                  <w:p>
                    <w:pPr>
                      <w:spacing w:before="1"/>
                      <w:ind w:left="108" w:right="411" w:firstLine="0"/>
                      <w:jc w:val="left"/>
                      <w:rPr>
                        <w:sz w:val="18"/>
                      </w:rPr>
                    </w:pPr>
                    <w:r>
                      <w:rPr>
                        <w:sz w:val="18"/>
                      </w:rPr>
                      <w:t>0.80 to 0.61 = 0.19</w:t>
                    </w:r>
                  </w:p>
                </w:txbxContent>
              </v:textbox>
              <w10:wrap type="none"/>
            </v:shape>
          </v:group>
        </w:pict>
      </w:r>
      <w:r>
        <w:rPr/>
      </w:r>
    </w:p>
    <w:p>
      <w:pPr>
        <w:pStyle w:val="BodyText"/>
        <w:spacing w:before="1"/>
        <w:rPr>
          <w:sz w:val="14"/>
        </w:rPr>
      </w:pPr>
    </w:p>
    <w:p>
      <w:pPr>
        <w:spacing w:before="0"/>
        <w:ind w:left="270" w:right="677" w:firstLine="0"/>
        <w:jc w:val="both"/>
        <w:rPr>
          <w:sz w:val="18"/>
        </w:rPr>
      </w:pPr>
      <w:r>
        <w:rPr/>
        <w:pict>
          <v:shape style="position:absolute;margin-left:316.799988pt;margin-top:41.642624pt;width:211pt;height:65.1pt;mso-position-horizontal-relative:page;mso-position-vertical-relative:paragraph;z-index:4576"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05"/>
                  </w:tblGrid>
                  <w:tr>
                    <w:trPr>
                      <w:trHeight w:val="424" w:hRule="exact"/>
                    </w:trPr>
                    <w:tc>
                      <w:tcPr>
                        <w:tcW w:w="4205" w:type="dxa"/>
                      </w:tcPr>
                      <w:p>
                        <w:pPr>
                          <w:pStyle w:val="TableParagraph"/>
                          <w:ind w:left="1286" w:right="1266" w:firstLine="18"/>
                          <w:rPr>
                            <w:b/>
                            <w:sz w:val="18"/>
                          </w:rPr>
                        </w:pPr>
                        <w:r>
                          <w:rPr>
                            <w:b/>
                            <w:sz w:val="18"/>
                          </w:rPr>
                          <w:t>Annuity as a present A = P (A / P , i %, n )</w:t>
                        </w:r>
                      </w:p>
                    </w:tc>
                  </w:tr>
                  <w:tr>
                    <w:trPr>
                      <w:trHeight w:val="217" w:hRule="exact"/>
                    </w:trPr>
                    <w:tc>
                      <w:tcPr>
                        <w:tcW w:w="4205" w:type="dxa"/>
                      </w:tcPr>
                      <w:p>
                        <w:pPr>
                          <w:pStyle w:val="TableParagraph"/>
                          <w:spacing w:line="206" w:lineRule="exact"/>
                          <w:ind w:left="1578" w:right="1578"/>
                          <w:jc w:val="center"/>
                          <w:rPr>
                            <w:b/>
                            <w:sz w:val="18"/>
                          </w:rPr>
                        </w:pPr>
                        <w:r>
                          <w:rPr>
                            <w:b/>
                            <w:sz w:val="18"/>
                          </w:rPr>
                          <w:t>P =650</w:t>
                        </w:r>
                      </w:p>
                    </w:tc>
                  </w:tr>
                  <w:tr>
                    <w:trPr>
                      <w:trHeight w:val="217" w:hRule="exact"/>
                    </w:trPr>
                    <w:tc>
                      <w:tcPr>
                        <w:tcW w:w="4205" w:type="dxa"/>
                      </w:tcPr>
                      <w:p>
                        <w:pPr>
                          <w:pStyle w:val="TableParagraph"/>
                          <w:spacing w:line="206" w:lineRule="exact"/>
                          <w:ind w:left="1577" w:right="1578"/>
                          <w:jc w:val="center"/>
                          <w:rPr>
                            <w:b/>
                            <w:sz w:val="18"/>
                          </w:rPr>
                        </w:pPr>
                        <w:r>
                          <w:rPr>
                            <w:b/>
                            <w:sz w:val="18"/>
                          </w:rPr>
                          <w:t>i %=0.12</w:t>
                        </w:r>
                      </w:p>
                    </w:tc>
                  </w:tr>
                  <w:tr>
                    <w:trPr>
                      <w:trHeight w:val="217" w:hRule="exact"/>
                    </w:trPr>
                    <w:tc>
                      <w:tcPr>
                        <w:tcW w:w="4205" w:type="dxa"/>
                      </w:tcPr>
                      <w:p>
                        <w:pPr>
                          <w:pStyle w:val="TableParagraph"/>
                          <w:spacing w:line="206" w:lineRule="exact"/>
                          <w:ind w:left="1577" w:right="1578"/>
                          <w:jc w:val="center"/>
                          <w:rPr>
                            <w:b/>
                            <w:sz w:val="18"/>
                          </w:rPr>
                        </w:pPr>
                        <w:r>
                          <w:rPr>
                            <w:b/>
                            <w:sz w:val="18"/>
                          </w:rPr>
                          <w:t>n =5</w:t>
                        </w:r>
                      </w:p>
                    </w:tc>
                  </w:tr>
                  <w:tr>
                    <w:trPr>
                      <w:trHeight w:val="217" w:hRule="exact"/>
                    </w:trPr>
                    <w:tc>
                      <w:tcPr>
                        <w:tcW w:w="4205" w:type="dxa"/>
                      </w:tcPr>
                      <w:p>
                        <w:pPr>
                          <w:pStyle w:val="TableParagraph"/>
                          <w:spacing w:line="206" w:lineRule="exact"/>
                          <w:ind w:left="1578" w:right="1578"/>
                          <w:jc w:val="center"/>
                          <w:rPr>
                            <w:b/>
                            <w:sz w:val="18"/>
                          </w:rPr>
                        </w:pPr>
                        <w:r>
                          <w:rPr>
                            <w:b/>
                            <w:sz w:val="18"/>
                          </w:rPr>
                          <w:t>A =180.32</w:t>
                        </w:r>
                      </w:p>
                    </w:tc>
                  </w:tr>
                </w:tbl>
                <w:p>
                  <w:pPr>
                    <w:pStyle w:val="BodyText"/>
                  </w:pPr>
                </w:p>
              </w:txbxContent>
            </v:textbox>
            <w10:wrap type="none"/>
          </v:shape>
        </w:pict>
      </w:r>
      <w:r>
        <w:rPr>
          <w:sz w:val="18"/>
        </w:rPr>
        <w:t>Annuity formula was applied to acquisition cost equal to $ 650.00, for a value i = 12 % per annum n = 5 Tool Proposal 2, obtaining the following results:</w:t>
      </w:r>
    </w:p>
    <w:p>
      <w:pPr>
        <w:spacing w:after="0"/>
        <w:jc w:val="both"/>
        <w:rPr>
          <w:sz w:val="18"/>
        </w:rPr>
        <w:sectPr>
          <w:type w:val="continuous"/>
          <w:pgSz w:w="12240" w:h="15840"/>
          <w:pgMar w:top="1500" w:bottom="280" w:left="580" w:right="220"/>
          <w:cols w:num="2" w:equalWidth="0">
            <w:col w:w="5163" w:space="435"/>
            <w:col w:w="5842"/>
          </w:cols>
        </w:sectPr>
      </w:pPr>
    </w:p>
    <w:p>
      <w:pPr>
        <w:pStyle w:val="BodyText"/>
      </w:pPr>
    </w:p>
    <w:p>
      <w:pPr>
        <w:pStyle w:val="BodyText"/>
      </w:pPr>
    </w:p>
    <w:p>
      <w:pPr>
        <w:pStyle w:val="BodyText"/>
      </w:pPr>
    </w:p>
    <w:p>
      <w:pPr>
        <w:pStyle w:val="BodyText"/>
      </w:pPr>
    </w:p>
    <w:p>
      <w:pPr>
        <w:pStyle w:val="BodyText"/>
        <w:spacing w:before="11"/>
      </w:pPr>
    </w:p>
    <w:p>
      <w:pPr>
        <w:spacing w:after="0"/>
        <w:sectPr>
          <w:type w:val="continuous"/>
          <w:pgSz w:w="12240" w:h="15840"/>
          <w:pgMar w:top="1500" w:bottom="280" w:left="580" w:right="220"/>
        </w:sect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spacing w:before="160"/>
        <w:ind w:left="270" w:right="-18" w:firstLine="0"/>
        <w:jc w:val="left"/>
        <w:rPr>
          <w:sz w:val="18"/>
        </w:rPr>
      </w:pPr>
      <w:r>
        <w:rPr/>
        <w:pict>
          <v:shape style="position:absolute;margin-left:36.900002pt;margin-top:18.622349pt;width:211pt;height:86.8pt;mso-position-horizontal-relative:page;mso-position-vertical-relative:paragraph;z-index:4624"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02"/>
                    <w:gridCol w:w="2102"/>
                  </w:tblGrid>
                  <w:tr>
                    <w:trPr>
                      <w:trHeight w:val="216" w:hRule="exact"/>
                    </w:trPr>
                    <w:tc>
                      <w:tcPr>
                        <w:tcW w:w="2102" w:type="dxa"/>
                      </w:tcPr>
                      <w:p>
                        <w:pPr>
                          <w:pStyle w:val="TableParagraph"/>
                          <w:spacing w:line="202" w:lineRule="exact"/>
                          <w:ind w:left="103" w:right="167"/>
                          <w:rPr>
                            <w:sz w:val="18"/>
                          </w:rPr>
                        </w:pPr>
                        <w:r>
                          <w:rPr>
                            <w:sz w:val="18"/>
                          </w:rPr>
                          <w:t>Data</w:t>
                        </w:r>
                      </w:p>
                    </w:tc>
                    <w:tc>
                      <w:tcPr>
                        <w:tcW w:w="2102" w:type="dxa"/>
                      </w:tcPr>
                      <w:p>
                        <w:pPr>
                          <w:pStyle w:val="TableParagraph"/>
                          <w:spacing w:line="202" w:lineRule="exact"/>
                          <w:ind w:left="103" w:right="167"/>
                          <w:rPr>
                            <w:sz w:val="18"/>
                          </w:rPr>
                        </w:pPr>
                        <w:r>
                          <w:rPr>
                            <w:sz w:val="18"/>
                          </w:rPr>
                          <w:t>Proposed tool</w:t>
                        </w:r>
                      </w:p>
                    </w:tc>
                  </w:tr>
                  <w:tr>
                    <w:trPr>
                      <w:trHeight w:val="217" w:hRule="exact"/>
                    </w:trPr>
                    <w:tc>
                      <w:tcPr>
                        <w:tcW w:w="2102" w:type="dxa"/>
                      </w:tcPr>
                      <w:p>
                        <w:pPr>
                          <w:pStyle w:val="TableParagraph"/>
                          <w:spacing w:line="203" w:lineRule="exact"/>
                          <w:ind w:left="103" w:right="167"/>
                          <w:rPr>
                            <w:sz w:val="18"/>
                          </w:rPr>
                        </w:pPr>
                        <w:r>
                          <w:rPr>
                            <w:sz w:val="18"/>
                          </w:rPr>
                          <w:t>Number of uses per day</w:t>
                        </w:r>
                      </w:p>
                    </w:tc>
                    <w:tc>
                      <w:tcPr>
                        <w:tcW w:w="2102" w:type="dxa"/>
                      </w:tcPr>
                      <w:p>
                        <w:pPr>
                          <w:pStyle w:val="TableParagraph"/>
                          <w:spacing w:line="203" w:lineRule="exact"/>
                          <w:ind w:left="104" w:right="167"/>
                          <w:rPr>
                            <w:sz w:val="18"/>
                          </w:rPr>
                        </w:pPr>
                        <w:r>
                          <w:rPr>
                            <w:sz w:val="18"/>
                          </w:rPr>
                          <w:t>34*60*8=16,320</w:t>
                        </w:r>
                      </w:p>
                    </w:tc>
                  </w:tr>
                  <w:tr>
                    <w:trPr>
                      <w:trHeight w:val="217" w:hRule="exact"/>
                    </w:trPr>
                    <w:tc>
                      <w:tcPr>
                        <w:tcW w:w="2102" w:type="dxa"/>
                      </w:tcPr>
                      <w:p>
                        <w:pPr>
                          <w:pStyle w:val="TableParagraph"/>
                          <w:spacing w:line="203" w:lineRule="exact"/>
                          <w:ind w:left="103" w:right="167"/>
                          <w:rPr>
                            <w:sz w:val="18"/>
                          </w:rPr>
                        </w:pPr>
                        <w:r>
                          <w:rPr>
                            <w:sz w:val="18"/>
                          </w:rPr>
                          <w:t>working days a year</w:t>
                        </w:r>
                      </w:p>
                    </w:tc>
                    <w:tc>
                      <w:tcPr>
                        <w:tcW w:w="2102" w:type="dxa"/>
                      </w:tcPr>
                      <w:p>
                        <w:pPr>
                          <w:pStyle w:val="TableParagraph"/>
                          <w:spacing w:line="203" w:lineRule="exact"/>
                          <w:ind w:left="103" w:right="167"/>
                          <w:rPr>
                            <w:sz w:val="18"/>
                          </w:rPr>
                        </w:pPr>
                        <w:r>
                          <w:rPr>
                            <w:sz w:val="18"/>
                          </w:rPr>
                          <w:t>300</w:t>
                        </w:r>
                      </w:p>
                    </w:tc>
                  </w:tr>
                  <w:tr>
                    <w:trPr>
                      <w:trHeight w:val="217" w:hRule="exact"/>
                    </w:trPr>
                    <w:tc>
                      <w:tcPr>
                        <w:tcW w:w="2102" w:type="dxa"/>
                      </w:tcPr>
                      <w:p>
                        <w:pPr>
                          <w:pStyle w:val="TableParagraph"/>
                          <w:spacing w:line="202" w:lineRule="exact"/>
                          <w:ind w:left="103" w:right="167"/>
                          <w:rPr>
                            <w:sz w:val="18"/>
                          </w:rPr>
                        </w:pPr>
                        <w:r>
                          <w:rPr>
                            <w:sz w:val="18"/>
                          </w:rPr>
                          <w:t>Number of years</w:t>
                        </w:r>
                      </w:p>
                    </w:tc>
                    <w:tc>
                      <w:tcPr>
                        <w:tcW w:w="2102" w:type="dxa"/>
                      </w:tcPr>
                      <w:p>
                        <w:pPr>
                          <w:pStyle w:val="TableParagraph"/>
                          <w:spacing w:line="202" w:lineRule="exact"/>
                          <w:ind w:left="103"/>
                          <w:rPr>
                            <w:sz w:val="18"/>
                          </w:rPr>
                        </w:pPr>
                        <w:r>
                          <w:rPr>
                            <w:sz w:val="18"/>
                          </w:rPr>
                          <w:t>5</w:t>
                        </w:r>
                      </w:p>
                    </w:tc>
                  </w:tr>
                  <w:tr>
                    <w:trPr>
                      <w:trHeight w:val="217" w:hRule="exact"/>
                    </w:trPr>
                    <w:tc>
                      <w:tcPr>
                        <w:tcW w:w="2102" w:type="dxa"/>
                      </w:tcPr>
                      <w:p>
                        <w:pPr>
                          <w:pStyle w:val="TableParagraph"/>
                          <w:spacing w:line="202" w:lineRule="exact"/>
                          <w:ind w:left="103" w:right="167"/>
                          <w:rPr>
                            <w:sz w:val="18"/>
                          </w:rPr>
                        </w:pPr>
                        <w:r>
                          <w:rPr>
                            <w:sz w:val="18"/>
                          </w:rPr>
                          <w:t>Cost Tool</w:t>
                        </w:r>
                      </w:p>
                    </w:tc>
                    <w:tc>
                      <w:tcPr>
                        <w:tcW w:w="2102" w:type="dxa"/>
                      </w:tcPr>
                      <w:p>
                        <w:pPr>
                          <w:pStyle w:val="TableParagraph"/>
                          <w:spacing w:line="202" w:lineRule="exact"/>
                          <w:ind w:left="104" w:right="167"/>
                          <w:rPr>
                            <w:sz w:val="18"/>
                          </w:rPr>
                        </w:pPr>
                        <w:r>
                          <w:rPr>
                            <w:sz w:val="18"/>
                          </w:rPr>
                          <w:t>$650.00</w:t>
                        </w:r>
                      </w:p>
                    </w:tc>
                  </w:tr>
                  <w:tr>
                    <w:trPr>
                      <w:trHeight w:val="424" w:hRule="exact"/>
                    </w:trPr>
                    <w:tc>
                      <w:tcPr>
                        <w:tcW w:w="2102" w:type="dxa"/>
                      </w:tcPr>
                      <w:p>
                        <w:pPr>
                          <w:pStyle w:val="TableParagraph"/>
                          <w:spacing w:line="202" w:lineRule="exact"/>
                          <w:ind w:left="103" w:right="167"/>
                          <w:rPr>
                            <w:sz w:val="18"/>
                          </w:rPr>
                        </w:pPr>
                        <w:r>
                          <w:rPr>
                            <w:sz w:val="18"/>
                          </w:rPr>
                          <w:t>Time use in seconds</w:t>
                        </w:r>
                      </w:p>
                    </w:tc>
                    <w:tc>
                      <w:tcPr>
                        <w:tcW w:w="2102" w:type="dxa"/>
                      </w:tcPr>
                      <w:p>
                        <w:pPr>
                          <w:pStyle w:val="TableParagraph"/>
                          <w:ind w:left="103" w:firstLine="2"/>
                          <w:rPr>
                            <w:sz w:val="18"/>
                          </w:rPr>
                        </w:pPr>
                        <w:r>
                          <w:rPr>
                            <w:sz w:val="18"/>
                          </w:rPr>
                          <w:t>60/34 = 1.77 seconds per piece</w:t>
                        </w:r>
                      </w:p>
                    </w:tc>
                  </w:tr>
                  <w:tr>
                    <w:trPr>
                      <w:trHeight w:val="217" w:hRule="exact"/>
                    </w:trPr>
                    <w:tc>
                      <w:tcPr>
                        <w:tcW w:w="2102" w:type="dxa"/>
                      </w:tcPr>
                      <w:p>
                        <w:pPr>
                          <w:pStyle w:val="TableParagraph"/>
                          <w:spacing w:line="202" w:lineRule="exact"/>
                          <w:ind w:left="103" w:right="167"/>
                          <w:rPr>
                            <w:sz w:val="18"/>
                          </w:rPr>
                        </w:pPr>
                        <w:r>
                          <w:rPr>
                            <w:sz w:val="18"/>
                          </w:rPr>
                          <w:t>Cost of labor</w:t>
                        </w:r>
                      </w:p>
                    </w:tc>
                    <w:tc>
                      <w:tcPr>
                        <w:tcW w:w="2102" w:type="dxa"/>
                      </w:tcPr>
                      <w:p>
                        <w:pPr>
                          <w:pStyle w:val="TableParagraph"/>
                          <w:spacing w:line="202" w:lineRule="exact"/>
                          <w:ind w:left="104" w:right="167"/>
                          <w:rPr>
                            <w:sz w:val="18"/>
                          </w:rPr>
                        </w:pPr>
                        <w:r>
                          <w:rPr>
                            <w:sz w:val="18"/>
                          </w:rPr>
                          <w:t>$ 12.50</w:t>
                        </w:r>
                      </w:p>
                    </w:tc>
                  </w:tr>
                </w:tbl>
                <w:p>
                  <w:pPr>
                    <w:pStyle w:val="BodyText"/>
                  </w:pPr>
                </w:p>
              </w:txbxContent>
            </v:textbox>
            <w10:wrap type="none"/>
          </v:shape>
        </w:pict>
      </w:r>
      <w:r>
        <w:rPr>
          <w:sz w:val="18"/>
        </w:rPr>
        <w:t>For the tool 2:</w:t>
      </w:r>
    </w:p>
    <w:p>
      <w:pPr>
        <w:spacing w:before="77"/>
        <w:ind w:left="270" w:right="0" w:firstLine="0"/>
        <w:jc w:val="both"/>
        <w:rPr>
          <w:b/>
          <w:sz w:val="18"/>
        </w:rPr>
      </w:pPr>
      <w:r>
        <w:rPr/>
        <w:br w:type="column"/>
      </w:r>
      <w:r>
        <w:rPr>
          <w:b/>
          <w:sz w:val="18"/>
        </w:rPr>
        <w:t>3.8 Identify benefits and benefits of each alternative against.</w:t>
      </w:r>
    </w:p>
    <w:p>
      <w:pPr>
        <w:pStyle w:val="BodyText"/>
        <w:spacing w:before="7"/>
        <w:rPr>
          <w:b/>
          <w:sz w:val="17"/>
        </w:rPr>
      </w:pPr>
    </w:p>
    <w:p>
      <w:pPr>
        <w:spacing w:before="1"/>
        <w:ind w:left="270" w:right="678" w:firstLine="0"/>
        <w:jc w:val="both"/>
        <w:rPr>
          <w:sz w:val="18"/>
        </w:rPr>
      </w:pPr>
      <w:r>
        <w:rPr>
          <w:sz w:val="18"/>
        </w:rPr>
        <w:t>For purposes of this analysis, saving is considered as the profit.  This was determined by taking into account the data of the proposed tool 2. It is considered as present value to the product obtained by multiplying the following amounts, ((34*60*8)*300*5)*(0.19) = 46512. If this present value is applied the formula to determine the annuity, considering a value i = 12 % for n = 5, we obtain</w:t>
      </w:r>
      <w:r>
        <w:rPr>
          <w:spacing w:val="-3"/>
          <w:sz w:val="18"/>
        </w:rPr>
        <w:t> </w:t>
      </w:r>
      <w:r>
        <w:rPr>
          <w:sz w:val="18"/>
        </w:rPr>
        <w:t>that:</w:t>
      </w:r>
    </w:p>
    <w:p>
      <w:pPr>
        <w:spacing w:after="0"/>
        <w:jc w:val="both"/>
        <w:rPr>
          <w:sz w:val="18"/>
        </w:rPr>
        <w:sectPr>
          <w:type w:val="continuous"/>
          <w:pgSz w:w="12240" w:h="15840"/>
          <w:pgMar w:top="1500" w:bottom="280" w:left="580" w:right="220"/>
          <w:cols w:num="2" w:equalWidth="0">
            <w:col w:w="1297" w:space="4301"/>
            <w:col w:w="5842"/>
          </w:cols>
        </w:sectPr>
      </w:pPr>
    </w:p>
    <w:p>
      <w:pPr>
        <w:pStyle w:val="BodyText"/>
        <w:spacing w:before="4" w:after="1"/>
        <w:rPr>
          <w:sz w:val="18"/>
        </w:rPr>
      </w:pPr>
    </w:p>
    <w:tbl>
      <w:tblPr>
        <w:tblW w:w="0" w:type="auto"/>
        <w:jc w:val="left"/>
        <w:tblInd w:w="57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05"/>
      </w:tblGrid>
      <w:tr>
        <w:trPr>
          <w:trHeight w:val="424" w:hRule="exact"/>
        </w:trPr>
        <w:tc>
          <w:tcPr>
            <w:tcW w:w="4205" w:type="dxa"/>
          </w:tcPr>
          <w:p>
            <w:pPr>
              <w:pStyle w:val="TableParagraph"/>
              <w:ind w:left="1286" w:right="1266" w:firstLine="18"/>
              <w:rPr>
                <w:b/>
                <w:sz w:val="18"/>
              </w:rPr>
            </w:pPr>
            <w:r>
              <w:rPr>
                <w:b/>
                <w:sz w:val="18"/>
              </w:rPr>
              <w:t>Annuity as a present A = P (A / P , i %, n )</w:t>
            </w:r>
          </w:p>
        </w:tc>
      </w:tr>
      <w:tr>
        <w:trPr>
          <w:trHeight w:val="217" w:hRule="exact"/>
        </w:trPr>
        <w:tc>
          <w:tcPr>
            <w:tcW w:w="4205" w:type="dxa"/>
          </w:tcPr>
          <w:p>
            <w:pPr>
              <w:pStyle w:val="TableParagraph"/>
              <w:ind w:left="1578" w:right="1578"/>
              <w:jc w:val="center"/>
              <w:rPr>
                <w:b/>
                <w:sz w:val="18"/>
              </w:rPr>
            </w:pPr>
            <w:r>
              <w:rPr>
                <w:b/>
                <w:sz w:val="18"/>
              </w:rPr>
              <w:t>P =46512</w:t>
            </w:r>
          </w:p>
        </w:tc>
      </w:tr>
      <w:tr>
        <w:trPr>
          <w:trHeight w:val="217" w:hRule="exact"/>
        </w:trPr>
        <w:tc>
          <w:tcPr>
            <w:tcW w:w="4205" w:type="dxa"/>
          </w:tcPr>
          <w:p>
            <w:pPr>
              <w:pStyle w:val="TableParagraph"/>
              <w:ind w:left="1577" w:right="1578"/>
              <w:jc w:val="center"/>
              <w:rPr>
                <w:b/>
                <w:sz w:val="18"/>
              </w:rPr>
            </w:pPr>
            <w:r>
              <w:rPr>
                <w:b/>
                <w:sz w:val="18"/>
              </w:rPr>
              <w:t>i %=0.12</w:t>
            </w:r>
          </w:p>
        </w:tc>
      </w:tr>
      <w:tr>
        <w:trPr>
          <w:trHeight w:val="217" w:hRule="exact"/>
        </w:trPr>
        <w:tc>
          <w:tcPr>
            <w:tcW w:w="4205" w:type="dxa"/>
          </w:tcPr>
          <w:p>
            <w:pPr>
              <w:pStyle w:val="TableParagraph"/>
              <w:spacing w:line="206" w:lineRule="exact"/>
              <w:ind w:left="1577" w:right="1578"/>
              <w:jc w:val="center"/>
              <w:rPr>
                <w:b/>
                <w:sz w:val="18"/>
              </w:rPr>
            </w:pPr>
            <w:r>
              <w:rPr>
                <w:b/>
                <w:sz w:val="18"/>
              </w:rPr>
              <w:t>n =5</w:t>
            </w:r>
          </w:p>
        </w:tc>
      </w:tr>
      <w:tr>
        <w:trPr>
          <w:trHeight w:val="217" w:hRule="exact"/>
        </w:trPr>
        <w:tc>
          <w:tcPr>
            <w:tcW w:w="4205" w:type="dxa"/>
          </w:tcPr>
          <w:p>
            <w:pPr>
              <w:pStyle w:val="TableParagraph"/>
              <w:spacing w:line="206" w:lineRule="exact"/>
              <w:ind w:left="1578" w:right="1578"/>
              <w:jc w:val="center"/>
              <w:rPr>
                <w:b/>
                <w:sz w:val="18"/>
              </w:rPr>
            </w:pPr>
            <w:r>
              <w:rPr>
                <w:b/>
                <w:sz w:val="18"/>
              </w:rPr>
              <w:t>A =12,902.88</w:t>
            </w:r>
          </w:p>
        </w:tc>
      </w:tr>
    </w:tbl>
    <w:p>
      <w:pPr>
        <w:pStyle w:val="BodyText"/>
        <w:spacing w:before="3"/>
        <w:rPr>
          <w:sz w:val="11"/>
        </w:rPr>
      </w:pPr>
    </w:p>
    <w:p>
      <w:pPr>
        <w:spacing w:after="0"/>
        <w:rPr>
          <w:sz w:val="11"/>
        </w:rPr>
        <w:sectPr>
          <w:type w:val="continuous"/>
          <w:pgSz w:w="12240" w:h="15840"/>
          <w:pgMar w:top="1500" w:bottom="280" w:left="580" w:right="220"/>
        </w:sectPr>
      </w:pPr>
    </w:p>
    <w:p>
      <w:pPr>
        <w:pStyle w:val="BodyText"/>
        <w:spacing w:before="11"/>
        <w:rPr>
          <w:sz w:val="15"/>
        </w:rPr>
      </w:pPr>
    </w:p>
    <w:p>
      <w:pPr>
        <w:spacing w:before="0"/>
        <w:ind w:left="270" w:right="0" w:firstLine="0"/>
        <w:jc w:val="both"/>
        <w:rPr>
          <w:b/>
          <w:sz w:val="18"/>
        </w:rPr>
      </w:pPr>
      <w:r>
        <w:rPr>
          <w:b/>
          <w:sz w:val="18"/>
        </w:rPr>
        <w:t>3.7 Determine costs for each alternative.</w:t>
      </w:r>
    </w:p>
    <w:p>
      <w:pPr>
        <w:pStyle w:val="BodyText"/>
        <w:spacing w:before="7"/>
        <w:rPr>
          <w:b/>
          <w:sz w:val="17"/>
        </w:rPr>
      </w:pPr>
    </w:p>
    <w:p>
      <w:pPr>
        <w:spacing w:before="1"/>
        <w:ind w:left="270" w:right="0" w:firstLine="0"/>
        <w:jc w:val="both"/>
        <w:rPr>
          <w:sz w:val="18"/>
        </w:rPr>
      </w:pPr>
      <w:r>
        <w:rPr>
          <w:sz w:val="18"/>
        </w:rPr>
        <w:t>The acquisition cost of the anti - ergonomic tool is $ 520.00, while the proposed tool is $ 650.00. The costs of cleaning and maintenance are considered irrelevant. In both alternatives the sum of labor and the unit cost of tool use was calculated.</w:t>
      </w:r>
    </w:p>
    <w:p>
      <w:pPr>
        <w:pStyle w:val="ListParagraph"/>
        <w:numPr>
          <w:ilvl w:val="1"/>
          <w:numId w:val="52"/>
        </w:numPr>
        <w:tabs>
          <w:tab w:pos="543" w:val="left" w:leader="none"/>
        </w:tabs>
        <w:spacing w:line="240" w:lineRule="auto" w:before="77" w:after="0"/>
        <w:ind w:left="542" w:right="0" w:hanging="272"/>
        <w:jc w:val="left"/>
        <w:rPr>
          <w:b/>
          <w:sz w:val="18"/>
        </w:rPr>
      </w:pPr>
      <w:r>
        <w:rPr>
          <w:b/>
          <w:sz w:val="18"/>
        </w:rPr>
        <w:br w:type="column"/>
        <w:t>Calculate the benefit / cost of each</w:t>
      </w:r>
      <w:r>
        <w:rPr>
          <w:b/>
          <w:spacing w:val="-15"/>
          <w:sz w:val="18"/>
        </w:rPr>
        <w:t> </w:t>
      </w:r>
      <w:r>
        <w:rPr>
          <w:b/>
          <w:sz w:val="18"/>
        </w:rPr>
        <w:t>alternative.</w:t>
      </w:r>
    </w:p>
    <w:p>
      <w:pPr>
        <w:pStyle w:val="BodyText"/>
        <w:spacing w:before="6"/>
        <w:rPr>
          <w:b/>
          <w:sz w:val="17"/>
        </w:rPr>
      </w:pPr>
    </w:p>
    <w:p>
      <w:pPr>
        <w:spacing w:before="0"/>
        <w:ind w:left="270" w:right="668" w:firstLine="0"/>
        <w:jc w:val="left"/>
        <w:rPr>
          <w:sz w:val="18"/>
        </w:rPr>
      </w:pPr>
      <w:r>
        <w:rPr>
          <w:sz w:val="18"/>
        </w:rPr>
        <w:t>Finally get the benefit / cost expressed as an annual performance is obtained by dividing the profit (savings) / cost: Yearly=12,902.88/180.32=71.55</w:t>
      </w:r>
    </w:p>
    <w:p>
      <w:pPr>
        <w:pStyle w:val="BodyText"/>
        <w:spacing w:before="3"/>
        <w:rPr>
          <w:sz w:val="18"/>
        </w:rPr>
      </w:pPr>
    </w:p>
    <w:p>
      <w:pPr>
        <w:pStyle w:val="ListParagraph"/>
        <w:numPr>
          <w:ilvl w:val="1"/>
          <w:numId w:val="52"/>
        </w:numPr>
        <w:tabs>
          <w:tab w:pos="632" w:val="left" w:leader="none"/>
        </w:tabs>
        <w:spacing w:line="240" w:lineRule="auto" w:before="0" w:after="0"/>
        <w:ind w:left="631" w:right="0" w:hanging="361"/>
        <w:jc w:val="left"/>
        <w:rPr>
          <w:b/>
          <w:sz w:val="18"/>
        </w:rPr>
      </w:pPr>
      <w:r>
        <w:rPr>
          <w:b/>
          <w:sz w:val="18"/>
        </w:rPr>
        <w:t>Decision</w:t>
      </w:r>
      <w:r>
        <w:rPr>
          <w:b/>
          <w:spacing w:val="-16"/>
          <w:sz w:val="18"/>
        </w:rPr>
        <w:t> </w:t>
      </w:r>
      <w:r>
        <w:rPr>
          <w:b/>
          <w:sz w:val="18"/>
        </w:rPr>
        <w:t>criteria.</w:t>
      </w:r>
    </w:p>
    <w:p>
      <w:pPr>
        <w:spacing w:after="0" w:line="240" w:lineRule="auto"/>
        <w:jc w:val="left"/>
        <w:rPr>
          <w:sz w:val="18"/>
        </w:rPr>
        <w:sectPr>
          <w:type w:val="continuous"/>
          <w:pgSz w:w="12240" w:h="15840"/>
          <w:pgMar w:top="1500" w:bottom="280" w:left="580" w:right="220"/>
          <w:cols w:num="2" w:equalWidth="0">
            <w:col w:w="5162" w:space="436"/>
            <w:col w:w="5842"/>
          </w:cols>
        </w:sectPr>
      </w:pPr>
    </w:p>
    <w:p>
      <w:pPr>
        <w:pStyle w:val="BodyText"/>
        <w:rPr>
          <w:b/>
          <w:sz w:val="11"/>
        </w:rPr>
      </w:pPr>
    </w:p>
    <w:p>
      <w:pPr>
        <w:spacing w:after="0"/>
        <w:rPr>
          <w:sz w:val="11"/>
        </w:rPr>
        <w:sectPr>
          <w:pgSz w:w="12240" w:h="15840"/>
          <w:pgMar w:header="545" w:footer="852" w:top="1060" w:bottom="1040" w:left="580" w:right="220"/>
        </w:sectPr>
      </w:pPr>
    </w:p>
    <w:p>
      <w:pPr>
        <w:pStyle w:val="BodyText"/>
        <w:spacing w:before="7"/>
        <w:rPr>
          <w:b/>
          <w:sz w:val="24"/>
        </w:rPr>
      </w:pPr>
    </w:p>
    <w:p>
      <w:pPr>
        <w:spacing w:before="0"/>
        <w:ind w:left="270" w:right="1" w:firstLine="0"/>
        <w:jc w:val="both"/>
        <w:rPr>
          <w:sz w:val="18"/>
        </w:rPr>
      </w:pPr>
      <w:r>
        <w:rPr>
          <w:sz w:val="18"/>
        </w:rPr>
        <w:t>Taking the decision criterion when it says that for a project feasible is having used the benefit / cost, this should be greater than 1. As taking the case at hand, the annual output is turned 71.55.</w:t>
      </w:r>
    </w:p>
    <w:p>
      <w:pPr>
        <w:pStyle w:val="BodyText"/>
        <w:spacing w:before="3"/>
        <w:rPr>
          <w:sz w:val="18"/>
        </w:rPr>
      </w:pPr>
    </w:p>
    <w:p>
      <w:pPr>
        <w:pStyle w:val="ListParagraph"/>
        <w:numPr>
          <w:ilvl w:val="1"/>
          <w:numId w:val="52"/>
        </w:numPr>
        <w:tabs>
          <w:tab w:pos="632" w:val="left" w:leader="none"/>
        </w:tabs>
        <w:spacing w:line="240" w:lineRule="auto" w:before="0" w:after="0"/>
        <w:ind w:left="631" w:right="0" w:hanging="361"/>
        <w:jc w:val="both"/>
        <w:rPr>
          <w:b/>
          <w:sz w:val="18"/>
        </w:rPr>
      </w:pPr>
      <w:r>
        <w:rPr>
          <w:b/>
          <w:sz w:val="18"/>
        </w:rPr>
        <w:t>Deciding</w:t>
      </w:r>
      <w:r>
        <w:rPr>
          <w:b/>
          <w:spacing w:val="-4"/>
          <w:sz w:val="18"/>
        </w:rPr>
        <w:t> </w:t>
      </w:r>
      <w:r>
        <w:rPr>
          <w:b/>
          <w:sz w:val="18"/>
        </w:rPr>
        <w:t>feasibility</w:t>
      </w:r>
    </w:p>
    <w:p>
      <w:pPr>
        <w:pStyle w:val="BodyText"/>
        <w:spacing w:before="7"/>
        <w:rPr>
          <w:b/>
          <w:sz w:val="17"/>
        </w:rPr>
      </w:pPr>
    </w:p>
    <w:p>
      <w:pPr>
        <w:spacing w:before="1"/>
        <w:ind w:left="270" w:right="0" w:firstLine="0"/>
        <w:jc w:val="both"/>
        <w:rPr>
          <w:sz w:val="18"/>
        </w:rPr>
      </w:pPr>
      <w:r>
        <w:rPr>
          <w:sz w:val="18"/>
        </w:rPr>
        <w:t>From the results, it is concluded that the proposed tool is feasible to be used as widely investment is recovered and greatest benefits are obtained, for n = 5 and a value of i = 12%.</w:t>
      </w:r>
    </w:p>
    <w:p>
      <w:pPr>
        <w:pStyle w:val="BodyText"/>
        <w:spacing w:before="3"/>
        <w:rPr>
          <w:sz w:val="18"/>
        </w:rPr>
      </w:pPr>
    </w:p>
    <w:p>
      <w:pPr>
        <w:pStyle w:val="ListParagraph"/>
        <w:numPr>
          <w:ilvl w:val="1"/>
          <w:numId w:val="52"/>
        </w:numPr>
        <w:tabs>
          <w:tab w:pos="632" w:val="left" w:leader="none"/>
        </w:tabs>
        <w:spacing w:line="240" w:lineRule="auto" w:before="0" w:after="0"/>
        <w:ind w:left="631" w:right="0" w:hanging="361"/>
        <w:jc w:val="both"/>
        <w:rPr>
          <w:b/>
          <w:sz w:val="18"/>
        </w:rPr>
      </w:pPr>
      <w:r>
        <w:rPr>
          <w:b/>
          <w:sz w:val="18"/>
        </w:rPr>
        <w:t>Conclusions</w:t>
      </w:r>
    </w:p>
    <w:p>
      <w:pPr>
        <w:pStyle w:val="BodyText"/>
        <w:spacing w:before="7"/>
        <w:rPr>
          <w:b/>
          <w:sz w:val="17"/>
        </w:rPr>
      </w:pPr>
    </w:p>
    <w:p>
      <w:pPr>
        <w:spacing w:before="1"/>
        <w:ind w:left="270" w:right="0" w:firstLine="0"/>
        <w:jc w:val="both"/>
        <w:rPr>
          <w:sz w:val="18"/>
        </w:rPr>
      </w:pPr>
      <w:r>
        <w:rPr>
          <w:sz w:val="18"/>
        </w:rPr>
        <w:t>Within bakeries very useful tool to tiring work but instead is used. The mold for making donuts is a tool that is frequently used in bakeries; this mold commercially sells only aluminum but which is less durable and less resistant to oxidation. It was necessary to redesign the existing tool and thus modify the procedure to carry out such work and thus to avoid injury to workers and consequently improve productivity which carries a higher profit margin. In this case only counted with an alternative for comparison with the anti - ergonomic tool; data were obtained and with this information the benefit / cost ratio was</w:t>
      </w:r>
      <w:r>
        <w:rPr>
          <w:spacing w:val="-11"/>
          <w:sz w:val="18"/>
        </w:rPr>
        <w:t> </w:t>
      </w:r>
      <w:r>
        <w:rPr>
          <w:sz w:val="18"/>
        </w:rPr>
        <w:t>calculated;</w:t>
      </w:r>
    </w:p>
    <w:p>
      <w:pPr>
        <w:pStyle w:val="BodyText"/>
        <w:rPr>
          <w:sz w:val="18"/>
        </w:rPr>
      </w:pPr>
    </w:p>
    <w:p>
      <w:pPr>
        <w:spacing w:before="0"/>
        <w:ind w:left="270" w:right="22" w:firstLine="708"/>
        <w:jc w:val="left"/>
        <w:rPr>
          <w:sz w:val="18"/>
        </w:rPr>
      </w:pPr>
      <w:r>
        <w:rPr>
          <w:sz w:val="18"/>
        </w:rPr>
        <w:t>Only in this way it was determined to be optimal, once  the outcome benefit / cost was 71.55; ie , greater than</w:t>
      </w:r>
      <w:r>
        <w:rPr>
          <w:spacing w:val="-13"/>
          <w:sz w:val="18"/>
        </w:rPr>
        <w:t> </w:t>
      </w:r>
      <w:r>
        <w:rPr>
          <w:sz w:val="18"/>
        </w:rPr>
        <w:t>1.</w:t>
      </w:r>
    </w:p>
    <w:p>
      <w:pPr>
        <w:spacing w:before="0"/>
        <w:ind w:left="270" w:right="1" w:firstLine="0"/>
        <w:jc w:val="both"/>
        <w:rPr>
          <w:sz w:val="18"/>
        </w:rPr>
      </w:pPr>
      <w:r>
        <w:rPr>
          <w:sz w:val="18"/>
        </w:rPr>
        <w:t>With this result, it is possible to interpret that investment is feasible and that every dollar invested in the redesigned stainless steel tool, an annual savings of $ 71.05 will be obtained. From the results obtained when evaluating the performance of the tools subject to this study shows that if the proposed tool is used, although it has a higher cost, performance is higher as her most parts are produced by day with a difference of 3840 parts with respect to the current tool; so the profits from the difference of parts pay the cost of developing the new tool because if each piece is sold at $ 6.00, multiplying (3840 * 6), obtained $ 23, 040 of additional income. If this is subtracted production costs and the cost of the tool is still even superior utility to that obtained by using the current tool? If the decision by the non-economic benefits is taken, may be mentioned as non-economic benefits that an atmosphere of comfort for the operator is encouraged and, therefore, its efficiency is higher, there is less risk of work. Also, consider the ergonomic design of the mold that this benefits both the operator and the owner, as the operator will help you avoid injuries and poor performance and reflects the owner not to pay insurance for injuries work or accidents and is therefore reflected in more profits. The purpose of this study is to demonstrate that although it is more expensive to acquire or develop tools based on ergonomic principles at the end to have these tools running operator generates more satisfaction and more efficiency in conducting its activities. Therefore, we choose to implement the alternative proposal  because through it is able to meet the needs arising in the problem and thereby improve the profits of the company which is the common goal sought by all companies. Is viable and feasible redesign ergonomic tool for manual preparation of donuts in bakeries.</w:t>
      </w:r>
    </w:p>
    <w:p>
      <w:pPr>
        <w:pStyle w:val="BodyText"/>
        <w:rPr>
          <w:sz w:val="18"/>
        </w:rPr>
      </w:pPr>
    </w:p>
    <w:p>
      <w:pPr>
        <w:pStyle w:val="BodyText"/>
        <w:spacing w:before="4"/>
        <w:rPr>
          <w:sz w:val="18"/>
        </w:rPr>
      </w:pPr>
    </w:p>
    <w:p>
      <w:pPr>
        <w:spacing w:before="0"/>
        <w:ind w:left="270" w:right="0" w:firstLine="0"/>
        <w:jc w:val="both"/>
        <w:rPr>
          <w:b/>
          <w:sz w:val="18"/>
        </w:rPr>
      </w:pPr>
      <w:r>
        <w:rPr>
          <w:b/>
          <w:sz w:val="18"/>
        </w:rPr>
        <w:t>4. References</w:t>
      </w:r>
    </w:p>
    <w:p>
      <w:pPr>
        <w:pStyle w:val="BodyText"/>
        <w:spacing w:before="7"/>
        <w:rPr>
          <w:b/>
          <w:sz w:val="17"/>
        </w:rPr>
      </w:pPr>
    </w:p>
    <w:p>
      <w:pPr>
        <w:spacing w:before="1"/>
        <w:ind w:left="270" w:right="1" w:firstLine="0"/>
        <w:jc w:val="both"/>
        <w:rPr>
          <w:sz w:val="18"/>
        </w:rPr>
      </w:pPr>
      <w:r>
        <w:rPr>
          <w:sz w:val="18"/>
        </w:rPr>
        <w:t>[1] S.Konz, “Diseño de sistemas de trabajo”, Limusa., pp. 64 - 68, 2005. ISBN. 968-18-1653-6.</w:t>
      </w:r>
    </w:p>
    <w:p>
      <w:pPr>
        <w:spacing w:before="0"/>
        <w:ind w:left="270" w:right="0" w:firstLine="0"/>
        <w:jc w:val="both"/>
        <w:rPr>
          <w:sz w:val="18"/>
        </w:rPr>
      </w:pPr>
      <w:r>
        <w:rPr>
          <w:sz w:val="18"/>
        </w:rPr>
        <w:t>[2] W. G. Sullivan, E.M. Wicks, J.T. Luxhoj, “Ingeniería económica”, Pearson., pp. 502-503, 2004. ISBN. 970-26-0529-6.</w:t>
      </w:r>
    </w:p>
    <w:p>
      <w:pPr>
        <w:spacing w:line="207" w:lineRule="exact" w:before="77"/>
        <w:ind w:left="270" w:right="0" w:firstLine="0"/>
        <w:jc w:val="both"/>
        <w:rPr>
          <w:sz w:val="18"/>
        </w:rPr>
      </w:pPr>
      <w:r>
        <w:rPr/>
        <w:br w:type="column"/>
      </w:r>
      <w:r>
        <w:rPr>
          <w:sz w:val="18"/>
        </w:rPr>
        <w:t>[3] J.D. Murcia, F.N. Díaz, V. Medellín, J.A. Ortega, L. Santana,</w:t>
      </w:r>
    </w:p>
    <w:p>
      <w:pPr>
        <w:spacing w:before="0"/>
        <w:ind w:left="270" w:right="677" w:firstLine="0"/>
        <w:jc w:val="both"/>
        <w:rPr>
          <w:sz w:val="18"/>
        </w:rPr>
      </w:pPr>
      <w:r>
        <w:rPr>
          <w:sz w:val="18"/>
        </w:rPr>
        <w:t>M.R. González, G.A. Oñate, C.A. Baca, “Proyectos, formulación y criterios de evaluación”, Alfaomega., pp. 7-11, 2009. ISBN. 978- 958-682-750-8</w:t>
      </w:r>
    </w:p>
    <w:p>
      <w:pPr>
        <w:spacing w:before="0"/>
        <w:ind w:left="270" w:right="678" w:firstLine="0"/>
        <w:jc w:val="both"/>
        <w:rPr>
          <w:sz w:val="18"/>
        </w:rPr>
      </w:pPr>
      <w:r>
        <w:rPr>
          <w:sz w:val="18"/>
        </w:rPr>
        <w:t>[4] L. Blank, A. Tarquin, “Ingeniería económica”, Mc. Graw Hill., pp. 235-236. 2012. ISBN. 978-0-07-337630-1.</w:t>
      </w:r>
    </w:p>
    <w:p>
      <w:pPr>
        <w:spacing w:before="0"/>
        <w:ind w:left="270" w:right="678" w:firstLine="0"/>
        <w:jc w:val="both"/>
        <w:rPr>
          <w:sz w:val="18"/>
        </w:rPr>
      </w:pPr>
      <w:r>
        <w:rPr>
          <w:sz w:val="18"/>
        </w:rPr>
        <w:t>[5] G. Arboleda, “Proyectos, identificación, formulación, evaluación y gerencia”, Alfaomega, pp. 356-357. 2014. ISBN. 978-</w:t>
      </w:r>
    </w:p>
    <w:p>
      <w:pPr>
        <w:spacing w:before="0"/>
        <w:ind w:left="270" w:right="0" w:firstLine="0"/>
        <w:jc w:val="both"/>
        <w:rPr>
          <w:sz w:val="18"/>
        </w:rPr>
      </w:pPr>
      <w:r>
        <w:rPr>
          <w:sz w:val="18"/>
        </w:rPr>
        <w:t>958-682-884-0.</w:t>
      </w:r>
    </w:p>
    <w:p>
      <w:pPr>
        <w:spacing w:after="0"/>
        <w:jc w:val="both"/>
        <w:rPr>
          <w:sz w:val="18"/>
        </w:rPr>
        <w:sectPr>
          <w:type w:val="continuous"/>
          <w:pgSz w:w="12240" w:h="15840"/>
          <w:pgMar w:top="1500" w:bottom="280" w:left="580" w:right="220"/>
          <w:cols w:num="2" w:equalWidth="0">
            <w:col w:w="5165" w:space="433"/>
            <w:col w:w="5842"/>
          </w:cols>
        </w:sectPr>
      </w:pPr>
    </w:p>
    <w:p>
      <w:pPr>
        <w:pStyle w:val="BodyText"/>
        <w:spacing w:before="11"/>
        <w:rPr>
          <w:sz w:val="28"/>
        </w:rPr>
      </w:pPr>
    </w:p>
    <w:p>
      <w:pPr>
        <w:spacing w:after="0"/>
        <w:rPr>
          <w:sz w:val="28"/>
        </w:rPr>
        <w:sectPr>
          <w:pgSz w:w="12240" w:h="15840"/>
          <w:pgMar w:header="545" w:footer="852" w:top="1060" w:bottom="1040" w:left="580" w:right="220"/>
        </w:sectPr>
      </w:pPr>
    </w:p>
    <w:p>
      <w:pPr>
        <w:pStyle w:val="Heading1"/>
        <w:spacing w:before="80"/>
        <w:ind w:right="345"/>
        <w:jc w:val="left"/>
      </w:pPr>
      <w:r>
        <w:rPr/>
        <w:t>Ergonomic Analysis Method Based on Reba an Electronics</w:t>
      </w:r>
      <w:r>
        <w:rPr>
          <w:spacing w:val="-2"/>
        </w:rPr>
        <w:t> </w:t>
      </w:r>
      <w:r>
        <w:rPr/>
        <w:t>Company</w:t>
      </w:r>
    </w:p>
    <w:p>
      <w:pPr>
        <w:spacing w:line="206" w:lineRule="exact" w:before="207"/>
        <w:ind w:left="270" w:right="345" w:firstLine="0"/>
        <w:jc w:val="left"/>
        <w:rPr>
          <w:i/>
          <w:sz w:val="12"/>
        </w:rPr>
      </w:pPr>
      <w:r>
        <w:rPr>
          <w:i/>
          <w:sz w:val="18"/>
        </w:rPr>
        <w:t>Jose Emanuel Mazon sauceda</w:t>
      </w:r>
      <w:r>
        <w:rPr>
          <w:i/>
          <w:position w:val="8"/>
          <w:sz w:val="12"/>
        </w:rPr>
        <w:t>a</w:t>
      </w:r>
      <w:r>
        <w:rPr>
          <w:i/>
          <w:sz w:val="18"/>
        </w:rPr>
        <w:t>, Mauricio López Acosta</w:t>
      </w:r>
      <w:r>
        <w:rPr>
          <w:i/>
          <w:position w:val="8"/>
          <w:sz w:val="12"/>
        </w:rPr>
        <w:t>b</w:t>
      </w:r>
      <w:r>
        <w:rPr>
          <w:i/>
          <w:sz w:val="18"/>
        </w:rPr>
        <w:t>, Allan </w:t>
      </w:r>
      <w:r>
        <w:rPr>
          <w:i/>
          <w:sz w:val="18"/>
        </w:rPr>
        <w:t>Chacara Montes</w:t>
      </w:r>
      <w:r>
        <w:rPr>
          <w:i/>
          <w:position w:val="8"/>
          <w:sz w:val="12"/>
        </w:rPr>
        <w:t>b</w:t>
      </w:r>
      <w:r>
        <w:rPr>
          <w:i/>
          <w:sz w:val="18"/>
        </w:rPr>
        <w:t>, Luis Carlos Montiel Rodríguez</w:t>
      </w:r>
      <w:r>
        <w:rPr>
          <w:i/>
          <w:position w:val="8"/>
          <w:sz w:val="12"/>
        </w:rPr>
        <w:t>b</w:t>
      </w:r>
    </w:p>
    <w:p>
      <w:pPr>
        <w:pStyle w:val="BodyText"/>
        <w:rPr>
          <w:i/>
        </w:rPr>
      </w:pPr>
    </w:p>
    <w:p>
      <w:pPr>
        <w:tabs>
          <w:tab w:pos="1249" w:val="left" w:leader="none"/>
          <w:tab w:pos="2429" w:val="left" w:leader="none"/>
          <w:tab w:pos="2880" w:val="left" w:leader="none"/>
          <w:tab w:pos="3715" w:val="left" w:leader="none"/>
          <w:tab w:pos="4526" w:val="left" w:leader="none"/>
        </w:tabs>
        <w:spacing w:before="158"/>
        <w:ind w:left="270" w:right="0" w:firstLine="0"/>
        <w:jc w:val="left"/>
        <w:rPr>
          <w:sz w:val="18"/>
        </w:rPr>
      </w:pPr>
      <w:r>
        <w:rPr>
          <w:position w:val="8"/>
          <w:sz w:val="12"/>
        </w:rPr>
        <w:t>a</w:t>
      </w:r>
      <w:r>
        <w:rPr>
          <w:sz w:val="18"/>
        </w:rPr>
        <w:t>,Instituto</w:t>
        <w:tab/>
        <w:t>Tecnológico</w:t>
        <w:tab/>
        <w:t>de</w:t>
        <w:tab/>
        <w:t>Sonora,</w:t>
        <w:tab/>
        <w:t>Unidad</w:t>
        <w:tab/>
      </w:r>
      <w:r>
        <w:rPr>
          <w:spacing w:val="-1"/>
          <w:sz w:val="18"/>
        </w:rPr>
        <w:t>Navojoa, </w:t>
      </w:r>
      <w:r>
        <w:rPr>
          <w:color w:val="0000FF"/>
          <w:sz w:val="18"/>
          <w:u w:val="single" w:color="0000FF"/>
        </w:rPr>
        <w:t>josemazzon@hotmail.com</w:t>
      </w:r>
      <w:r>
        <w:rPr>
          <w:sz w:val="18"/>
        </w:rPr>
        <w:t>,Navojoa, Sonora,</w:t>
      </w:r>
      <w:r>
        <w:rPr>
          <w:spacing w:val="-10"/>
          <w:sz w:val="18"/>
        </w:rPr>
        <w:t> </w:t>
      </w:r>
      <w:r>
        <w:rPr>
          <w:sz w:val="18"/>
        </w:rPr>
        <w:t>México.</w:t>
      </w:r>
    </w:p>
    <w:p>
      <w:pPr>
        <w:spacing w:line="208" w:lineRule="exact" w:before="1"/>
        <w:ind w:left="270" w:right="0" w:firstLine="0"/>
        <w:jc w:val="left"/>
        <w:rPr>
          <w:sz w:val="18"/>
        </w:rPr>
      </w:pPr>
      <w:r>
        <w:rPr>
          <w:position w:val="8"/>
          <w:sz w:val="12"/>
        </w:rPr>
        <w:t>b</w:t>
      </w:r>
      <w:r>
        <w:rPr>
          <w:sz w:val="18"/>
        </w:rPr>
        <w:t>Instituto Tecnológico de Sonora, Ingeniería Industrial, Navojoa, Sonora, México.</w:t>
      </w:r>
    </w:p>
    <w:p>
      <w:pPr>
        <w:pStyle w:val="BodyText"/>
        <w:spacing w:before="2"/>
        <w:rPr>
          <w:sz w:val="18"/>
        </w:rPr>
      </w:pPr>
    </w:p>
    <w:p>
      <w:pPr>
        <w:spacing w:before="0"/>
        <w:ind w:left="270" w:right="0" w:firstLine="0"/>
        <w:jc w:val="both"/>
        <w:rPr>
          <w:b/>
          <w:sz w:val="18"/>
        </w:rPr>
      </w:pPr>
      <w:r>
        <w:rPr/>
        <w:pict>
          <v:line style="position:absolute;mso-position-horizontal-relative:page;mso-position-vertical-relative:paragraph;z-index:4648" from="41.040001pt,12.092365pt" to="288.540001pt,12.092365pt" stroked="true" strokeweight="1.5pt" strokecolor="#000000">
            <w10:wrap type="none"/>
          </v:line>
        </w:pict>
      </w:r>
      <w:r>
        <w:rPr>
          <w:b/>
          <w:sz w:val="18"/>
        </w:rPr>
        <w:t>ABSTRACT</w:t>
      </w:r>
    </w:p>
    <w:p>
      <w:pPr>
        <w:spacing w:before="45"/>
        <w:ind w:left="270" w:right="16" w:firstLine="0"/>
        <w:jc w:val="both"/>
        <w:rPr>
          <w:sz w:val="18"/>
        </w:rPr>
      </w:pPr>
      <w:r>
        <w:rPr>
          <w:sz w:val="18"/>
        </w:rPr>
        <w:t>Following the need to install a new production line for a new product in manufacturing industry arises, results in a production area without ergonomics analysis for new employees who work in this line, so it does not have identified risks that may cause muscle area, muscle risks, physical effort, stretching or awkward postures, etc that may cause the area.</w:t>
      </w:r>
    </w:p>
    <w:p>
      <w:pPr>
        <w:pStyle w:val="BodyText"/>
        <w:spacing w:before="3"/>
        <w:rPr>
          <w:sz w:val="18"/>
        </w:rPr>
      </w:pPr>
    </w:p>
    <w:p>
      <w:pPr>
        <w:spacing w:before="0"/>
        <w:ind w:left="270" w:right="0" w:firstLine="0"/>
        <w:jc w:val="both"/>
        <w:rPr>
          <w:b/>
          <w:sz w:val="18"/>
        </w:rPr>
      </w:pPr>
      <w:r>
        <w:rPr>
          <w:b/>
          <w:sz w:val="18"/>
        </w:rPr>
        <w:t>Keywords</w:t>
      </w:r>
    </w:p>
    <w:p>
      <w:pPr>
        <w:pStyle w:val="BodyText"/>
        <w:spacing w:before="10"/>
        <w:rPr>
          <w:b/>
          <w:sz w:val="17"/>
        </w:rPr>
      </w:pPr>
    </w:p>
    <w:p>
      <w:pPr>
        <w:pStyle w:val="ListParagraph"/>
        <w:numPr>
          <w:ilvl w:val="0"/>
          <w:numId w:val="53"/>
        </w:numPr>
        <w:tabs>
          <w:tab w:pos="452" w:val="left" w:leader="none"/>
        </w:tabs>
        <w:spacing w:line="240" w:lineRule="auto" w:before="0" w:after="0"/>
        <w:ind w:left="451" w:right="0" w:hanging="181"/>
        <w:jc w:val="both"/>
        <w:rPr>
          <w:b/>
          <w:sz w:val="18"/>
        </w:rPr>
      </w:pPr>
      <w:r>
        <w:rPr>
          <w:b/>
          <w:sz w:val="18"/>
        </w:rPr>
        <w:t>INTRODUCTION</w:t>
      </w:r>
    </w:p>
    <w:p>
      <w:pPr>
        <w:pStyle w:val="BodyText"/>
        <w:spacing w:before="7"/>
        <w:rPr>
          <w:b/>
          <w:sz w:val="17"/>
        </w:rPr>
      </w:pPr>
    </w:p>
    <w:p>
      <w:pPr>
        <w:spacing w:before="1"/>
        <w:ind w:left="270" w:right="15" w:firstLine="0"/>
        <w:jc w:val="both"/>
        <w:rPr>
          <w:sz w:val="18"/>
        </w:rPr>
      </w:pPr>
      <w:r>
        <w:rPr>
          <w:sz w:val="18"/>
        </w:rPr>
        <w:t>This work was developed in a new production line of a manufacturing company of electronic boards by the need to implement an ergonomic analysis using the method that best suits your needs and it is not counted on an evaluation of ergonomics,  not it had</w:t>
      </w:r>
      <w:r>
        <w:rPr>
          <w:spacing w:val="-6"/>
          <w:sz w:val="18"/>
        </w:rPr>
        <w:t> </w:t>
      </w:r>
      <w:r>
        <w:rPr>
          <w:sz w:val="18"/>
        </w:rPr>
        <w:t>identified.</w:t>
      </w:r>
    </w:p>
    <w:p>
      <w:pPr>
        <w:spacing w:before="0"/>
        <w:ind w:left="270" w:right="14" w:firstLine="403"/>
        <w:jc w:val="both"/>
        <w:rPr>
          <w:sz w:val="18"/>
        </w:rPr>
      </w:pPr>
      <w:r>
        <w:rPr>
          <w:sz w:val="18"/>
        </w:rPr>
        <w:t>One checklist for identifying risks was designed and based on the results obtained using the REBA (Rapid Evolution Full Body ) method was established since it was appropriate for the activities carried out , to make assessments chose by the use of an online platform and this led to the results can be established by them corrective actions. It will provide the company with the evidence of the existence of ergonomic hazards in the work area to eradicate them in the near future, and meet the standards required corporate organization.</w:t>
      </w:r>
    </w:p>
    <w:p>
      <w:pPr>
        <w:spacing w:before="0"/>
        <w:ind w:left="270" w:right="14" w:firstLine="403"/>
        <w:jc w:val="both"/>
        <w:rPr>
          <w:sz w:val="18"/>
        </w:rPr>
      </w:pPr>
      <w:r>
        <w:rPr>
          <w:sz w:val="18"/>
        </w:rPr>
        <w:t>An example is as Jose[3], in Mexico IMSS reported in 2000 that musculoskeletal injuries constituted only 0.6% of cases of occupational diseases evaluated during that year, but otherwise these lesions generated 20% all cases of workers who were pensioned disability. The great economic impact of these injuries is because these problems originate many days off for their difficult treatment and a significant number of relapses and difficult for workers to be reinstated in their posts. The relationship between direct and indirect costs of these injuries is 1: 4.</w:t>
      </w:r>
    </w:p>
    <w:p>
      <w:pPr>
        <w:spacing w:before="0"/>
        <w:ind w:left="270" w:right="16" w:firstLine="403"/>
        <w:jc w:val="both"/>
        <w:rPr>
          <w:sz w:val="18"/>
        </w:rPr>
      </w:pPr>
      <w:r>
        <w:rPr>
          <w:sz w:val="18"/>
        </w:rPr>
        <w:t>Today, musculoskeletal disorders [4] are among the most common injuries suffered by workers in developed countries. Specifically in 2012, the 38.38% of accidents with low, were caused by overexertion. Ergonomic hazards apart from generating injury to workers, also raise the economic costs of business, because they disturb the workplace, resulting in sickness and incapacity.</w:t>
      </w:r>
    </w:p>
    <w:p>
      <w:pPr>
        <w:spacing w:before="0"/>
        <w:ind w:left="270" w:right="15" w:firstLine="403"/>
        <w:jc w:val="both"/>
        <w:rPr>
          <w:sz w:val="18"/>
        </w:rPr>
      </w:pPr>
      <w:r>
        <w:rPr>
          <w:sz w:val="18"/>
        </w:rPr>
        <w:t>The main ergonomic risks are generally produced by the adoption of stress positions, performing repetitive movements, manual handling of loads and forces applied during the workday. The main ergonomic risks are generally produced by the adoption of stress positions, performing repetitive movements, manual handling of loads and forces applied during the</w:t>
      </w:r>
      <w:r>
        <w:rPr>
          <w:spacing w:val="-13"/>
          <w:sz w:val="18"/>
        </w:rPr>
        <w:t> </w:t>
      </w:r>
      <w:r>
        <w:rPr>
          <w:sz w:val="18"/>
        </w:rPr>
        <w:t>workday.</w:t>
      </w:r>
    </w:p>
    <w:p>
      <w:pPr>
        <w:pStyle w:val="BodyText"/>
        <w:spacing w:before="3"/>
        <w:rPr>
          <w:sz w:val="18"/>
        </w:rPr>
      </w:pPr>
    </w:p>
    <w:p>
      <w:pPr>
        <w:pStyle w:val="ListParagraph"/>
        <w:numPr>
          <w:ilvl w:val="1"/>
          <w:numId w:val="53"/>
        </w:numPr>
        <w:tabs>
          <w:tab w:pos="542" w:val="left" w:leader="none"/>
        </w:tabs>
        <w:spacing w:line="240" w:lineRule="auto" w:before="0" w:after="0"/>
        <w:ind w:left="541" w:right="0" w:hanging="271"/>
        <w:jc w:val="both"/>
        <w:rPr>
          <w:b/>
          <w:color w:val="202020"/>
          <w:sz w:val="18"/>
        </w:rPr>
      </w:pPr>
      <w:r>
        <w:rPr>
          <w:b/>
          <w:color w:val="202020"/>
          <w:sz w:val="18"/>
        </w:rPr>
        <w:t>STATEMENT OF THE</w:t>
      </w:r>
      <w:r>
        <w:rPr>
          <w:b/>
          <w:color w:val="202020"/>
          <w:spacing w:val="-5"/>
          <w:sz w:val="18"/>
        </w:rPr>
        <w:t> </w:t>
      </w:r>
      <w:r>
        <w:rPr>
          <w:b/>
          <w:color w:val="202020"/>
          <w:sz w:val="18"/>
        </w:rPr>
        <w:t>PROBLEM</w:t>
      </w:r>
    </w:p>
    <w:p>
      <w:pPr>
        <w:spacing w:before="76"/>
        <w:ind w:left="270" w:right="677" w:firstLine="0"/>
        <w:jc w:val="both"/>
        <w:rPr>
          <w:sz w:val="18"/>
        </w:rPr>
      </w:pPr>
      <w:r>
        <w:rPr/>
        <w:br w:type="column"/>
      </w:r>
      <w:r>
        <w:rPr>
          <w:color w:val="202020"/>
          <w:sz w:val="18"/>
        </w:rPr>
        <w:t>Based on the needs of the manufacturing company has about a new line without ergonomic evaluation , chooses to implement the REBA method to identify ergonomic hazards that may affect employees in the area and in accordance with the requirements established by the Secretary of Labor and social welfare , in addition to the health secretary , all areas of a manufacturing company exposed, should have an ergonomic analysis to identify the risks to which they are exposed , either awkward postures , handling charges , repeatability , stretching, etc.</w:t>
      </w:r>
    </w:p>
    <w:p>
      <w:pPr>
        <w:pStyle w:val="BodyText"/>
        <w:rPr>
          <w:sz w:val="18"/>
        </w:rPr>
      </w:pPr>
    </w:p>
    <w:p>
      <w:pPr>
        <w:pStyle w:val="BodyText"/>
        <w:spacing w:before="3"/>
        <w:rPr>
          <w:sz w:val="18"/>
        </w:rPr>
      </w:pPr>
    </w:p>
    <w:p>
      <w:pPr>
        <w:pStyle w:val="ListParagraph"/>
        <w:numPr>
          <w:ilvl w:val="1"/>
          <w:numId w:val="53"/>
        </w:numPr>
        <w:tabs>
          <w:tab w:pos="631" w:val="left" w:leader="none"/>
        </w:tabs>
        <w:spacing w:line="240" w:lineRule="auto" w:before="0" w:after="0"/>
        <w:ind w:left="630" w:right="0" w:hanging="360"/>
        <w:jc w:val="both"/>
        <w:rPr>
          <w:b/>
          <w:sz w:val="18"/>
        </w:rPr>
      </w:pPr>
      <w:r>
        <w:rPr>
          <w:b/>
          <w:sz w:val="18"/>
        </w:rPr>
        <w:t>JUSTIFICATION</w:t>
      </w:r>
    </w:p>
    <w:p>
      <w:pPr>
        <w:pStyle w:val="BodyText"/>
        <w:spacing w:before="7"/>
        <w:rPr>
          <w:b/>
          <w:sz w:val="17"/>
        </w:rPr>
      </w:pPr>
    </w:p>
    <w:p>
      <w:pPr>
        <w:spacing w:before="1"/>
        <w:ind w:left="270" w:right="679" w:firstLine="0"/>
        <w:jc w:val="both"/>
        <w:rPr>
          <w:sz w:val="18"/>
        </w:rPr>
      </w:pPr>
      <w:r>
        <w:rPr>
          <w:color w:val="121721"/>
          <w:sz w:val="18"/>
        </w:rPr>
        <w:t>The purpose of this work is to have specific ergonomic risk assessments for workers who work in this industry, plus get better benefits in numbers of accidents ergonomic health secretary. To do ergonomic assessments methods were applied without interrupting work activities.</w:t>
      </w:r>
    </w:p>
    <w:p>
      <w:pPr>
        <w:pStyle w:val="BodyText"/>
        <w:spacing w:before="3"/>
        <w:rPr>
          <w:sz w:val="18"/>
        </w:rPr>
      </w:pPr>
    </w:p>
    <w:p>
      <w:pPr>
        <w:pStyle w:val="ListParagraph"/>
        <w:numPr>
          <w:ilvl w:val="1"/>
          <w:numId w:val="53"/>
        </w:numPr>
        <w:tabs>
          <w:tab w:pos="542" w:val="left" w:leader="none"/>
        </w:tabs>
        <w:spacing w:line="240" w:lineRule="auto" w:before="0" w:after="0"/>
        <w:ind w:left="541" w:right="0" w:hanging="271"/>
        <w:jc w:val="both"/>
        <w:rPr>
          <w:b/>
          <w:sz w:val="18"/>
        </w:rPr>
      </w:pPr>
      <w:r>
        <w:rPr>
          <w:b/>
          <w:sz w:val="18"/>
        </w:rPr>
        <w:t>OBJETIVE</w:t>
      </w:r>
    </w:p>
    <w:p>
      <w:pPr>
        <w:pStyle w:val="BodyText"/>
        <w:spacing w:before="7"/>
        <w:rPr>
          <w:b/>
          <w:sz w:val="17"/>
        </w:rPr>
      </w:pPr>
    </w:p>
    <w:p>
      <w:pPr>
        <w:spacing w:before="1"/>
        <w:ind w:left="270" w:right="678" w:firstLine="0"/>
        <w:jc w:val="both"/>
        <w:rPr>
          <w:sz w:val="18"/>
        </w:rPr>
      </w:pPr>
      <w:r>
        <w:rPr>
          <w:sz w:val="18"/>
        </w:rPr>
        <w:t>The objective of this project is to evaluate the jobs using the REBA method for detecting ergonomic risks that may affect both the employe, business productivity and product quality. Identify awkward postures based motion repeatability etc.</w:t>
      </w:r>
    </w:p>
    <w:p>
      <w:pPr>
        <w:pStyle w:val="BodyText"/>
        <w:spacing w:before="3"/>
        <w:rPr>
          <w:sz w:val="18"/>
        </w:rPr>
      </w:pPr>
    </w:p>
    <w:p>
      <w:pPr>
        <w:pStyle w:val="ListParagraph"/>
        <w:numPr>
          <w:ilvl w:val="1"/>
          <w:numId w:val="53"/>
        </w:numPr>
        <w:tabs>
          <w:tab w:pos="542" w:val="left" w:leader="none"/>
        </w:tabs>
        <w:spacing w:line="240" w:lineRule="auto" w:before="0" w:after="0"/>
        <w:ind w:left="541" w:right="0" w:hanging="271"/>
        <w:jc w:val="both"/>
        <w:rPr>
          <w:b/>
          <w:sz w:val="18"/>
        </w:rPr>
      </w:pPr>
      <w:r>
        <w:rPr>
          <w:b/>
          <w:sz w:val="18"/>
        </w:rPr>
        <w:t>DELIMITATION</w:t>
      </w:r>
    </w:p>
    <w:p>
      <w:pPr>
        <w:pStyle w:val="BodyText"/>
        <w:spacing w:before="7"/>
        <w:rPr>
          <w:b/>
          <w:sz w:val="17"/>
        </w:rPr>
      </w:pPr>
    </w:p>
    <w:p>
      <w:pPr>
        <w:spacing w:before="1"/>
        <w:ind w:left="270" w:right="678" w:firstLine="0"/>
        <w:jc w:val="both"/>
        <w:rPr>
          <w:sz w:val="18"/>
        </w:rPr>
      </w:pPr>
      <w:r>
        <w:rPr>
          <w:sz w:val="18"/>
        </w:rPr>
        <w:t>Ergonomic analysis is based on each of the operations making up a production line.</w:t>
      </w:r>
    </w:p>
    <w:p>
      <w:pPr>
        <w:pStyle w:val="BodyText"/>
        <w:spacing w:before="3"/>
        <w:rPr>
          <w:sz w:val="18"/>
        </w:rPr>
      </w:pPr>
    </w:p>
    <w:p>
      <w:pPr>
        <w:pStyle w:val="ListParagraph"/>
        <w:numPr>
          <w:ilvl w:val="0"/>
          <w:numId w:val="53"/>
        </w:numPr>
        <w:tabs>
          <w:tab w:pos="452" w:val="left" w:leader="none"/>
        </w:tabs>
        <w:spacing w:line="240" w:lineRule="auto" w:before="0" w:after="0"/>
        <w:ind w:left="452" w:right="0" w:hanging="182"/>
        <w:jc w:val="both"/>
        <w:rPr>
          <w:b/>
          <w:sz w:val="18"/>
        </w:rPr>
      </w:pPr>
      <w:r>
        <w:rPr>
          <w:b/>
          <w:sz w:val="18"/>
        </w:rPr>
        <w:t>METODOLOGY</w:t>
      </w:r>
    </w:p>
    <w:p>
      <w:pPr>
        <w:pStyle w:val="BodyText"/>
        <w:rPr>
          <w:b/>
          <w:sz w:val="18"/>
        </w:rPr>
      </w:pPr>
    </w:p>
    <w:p>
      <w:pPr>
        <w:pStyle w:val="ListParagraph"/>
        <w:numPr>
          <w:ilvl w:val="1"/>
          <w:numId w:val="53"/>
        </w:numPr>
        <w:tabs>
          <w:tab w:pos="542" w:val="left" w:leader="none"/>
        </w:tabs>
        <w:spacing w:line="240" w:lineRule="auto" w:before="0" w:after="0"/>
        <w:ind w:left="541" w:right="0" w:hanging="271"/>
        <w:jc w:val="both"/>
        <w:rPr>
          <w:b/>
          <w:sz w:val="18"/>
        </w:rPr>
      </w:pPr>
      <w:r>
        <w:rPr>
          <w:b/>
          <w:sz w:val="18"/>
        </w:rPr>
        <w:t>Under study</w:t>
      </w:r>
      <w:r>
        <w:rPr>
          <w:b/>
          <w:spacing w:val="-12"/>
          <w:sz w:val="18"/>
        </w:rPr>
        <w:t> </w:t>
      </w:r>
      <w:r>
        <w:rPr>
          <w:b/>
          <w:sz w:val="18"/>
        </w:rPr>
        <w:t>subject:</w:t>
      </w:r>
    </w:p>
    <w:p>
      <w:pPr>
        <w:pStyle w:val="BodyText"/>
        <w:spacing w:before="7"/>
        <w:rPr>
          <w:b/>
          <w:sz w:val="17"/>
        </w:rPr>
      </w:pPr>
    </w:p>
    <w:p>
      <w:pPr>
        <w:spacing w:before="1"/>
        <w:ind w:left="270" w:right="677" w:firstLine="0"/>
        <w:jc w:val="both"/>
        <w:rPr>
          <w:sz w:val="18"/>
        </w:rPr>
      </w:pPr>
      <w:r>
        <w:rPr>
          <w:sz w:val="18"/>
        </w:rPr>
        <w:t>UTC Building &amp; Industrial Systems is a manufacturing company of electronic products such as fire alarms and security alarms, dedicated to the export of its products to countries like the US and Europe, is currently the largest producer of his company because it covers more than 60 % of the division.</w:t>
      </w:r>
    </w:p>
    <w:p>
      <w:pPr>
        <w:spacing w:before="0"/>
        <w:ind w:left="270" w:right="676" w:firstLine="403"/>
        <w:jc w:val="both"/>
        <w:rPr>
          <w:sz w:val="18"/>
        </w:rPr>
      </w:pPr>
      <w:r>
        <w:rPr>
          <w:sz w:val="18"/>
        </w:rPr>
        <w:t>The project developed in the company, focus on a new production line, satisfying the need to identify ergonomic hazards  in the line, identifying possible causes that may affect employees in different workstations that encompasses the</w:t>
      </w:r>
      <w:r>
        <w:rPr>
          <w:spacing w:val="-15"/>
          <w:sz w:val="18"/>
        </w:rPr>
        <w:t> </w:t>
      </w:r>
      <w:r>
        <w:rPr>
          <w:sz w:val="18"/>
        </w:rPr>
        <w:t>line.</w:t>
      </w:r>
    </w:p>
    <w:p>
      <w:pPr>
        <w:pStyle w:val="BodyText"/>
        <w:spacing w:before="3"/>
        <w:rPr>
          <w:sz w:val="18"/>
        </w:rPr>
      </w:pPr>
    </w:p>
    <w:p>
      <w:pPr>
        <w:pStyle w:val="ListParagraph"/>
        <w:numPr>
          <w:ilvl w:val="1"/>
          <w:numId w:val="53"/>
        </w:numPr>
        <w:tabs>
          <w:tab w:pos="542" w:val="left" w:leader="none"/>
        </w:tabs>
        <w:spacing w:line="240" w:lineRule="auto" w:before="0" w:after="0"/>
        <w:ind w:left="541" w:right="0" w:hanging="271"/>
        <w:jc w:val="both"/>
        <w:rPr>
          <w:b/>
          <w:sz w:val="18"/>
        </w:rPr>
      </w:pPr>
      <w:r>
        <w:rPr>
          <w:b/>
          <w:sz w:val="18"/>
        </w:rPr>
        <w:t>PROCEDURE</w:t>
      </w:r>
    </w:p>
    <w:p>
      <w:pPr>
        <w:pStyle w:val="BodyText"/>
        <w:spacing w:before="7"/>
        <w:rPr>
          <w:b/>
          <w:sz w:val="17"/>
        </w:rPr>
      </w:pPr>
    </w:p>
    <w:p>
      <w:pPr>
        <w:spacing w:before="1"/>
        <w:ind w:left="270" w:right="678" w:firstLine="403"/>
        <w:jc w:val="both"/>
        <w:rPr>
          <w:sz w:val="18"/>
        </w:rPr>
      </w:pPr>
      <w:r>
        <w:rPr>
          <w:sz w:val="18"/>
        </w:rPr>
        <w:t>The REBA[ 1]  method is one of the tools for evaluating  major risks that it covers the whole body, its implementation is simple, fast and includes both static and dynamic work. The REBA (Rapid Entire Body Assessment) method has been developed by Hignett and McAtamney (Nottingham,</w:t>
      </w:r>
      <w:r>
        <w:rPr>
          <w:spacing w:val="-4"/>
          <w:sz w:val="18"/>
        </w:rPr>
        <w:t> </w:t>
      </w:r>
      <w:r>
        <w:rPr>
          <w:sz w:val="18"/>
        </w:rPr>
        <w:t>2000).</w:t>
      </w:r>
    </w:p>
    <w:p>
      <w:pPr>
        <w:spacing w:before="0"/>
        <w:ind w:left="270" w:right="677" w:firstLine="403"/>
        <w:jc w:val="both"/>
        <w:rPr>
          <w:sz w:val="18"/>
        </w:rPr>
      </w:pPr>
      <w:r>
        <w:rPr>
          <w:sz w:val="18"/>
        </w:rPr>
        <w:t>The method presented is a new tool to analyze such positions; is emerging and is in validation phase although the reliability of the coding parts of the body is high.</w:t>
      </w:r>
    </w:p>
    <w:p>
      <w:pPr>
        <w:spacing w:before="0"/>
        <w:ind w:left="270" w:right="677" w:firstLine="403"/>
        <w:jc w:val="both"/>
        <w:rPr>
          <w:sz w:val="18"/>
        </w:rPr>
      </w:pPr>
      <w:r>
        <w:rPr>
          <w:sz w:val="18"/>
        </w:rPr>
        <w:t>Bears a strong resemblance to the RULA (Rapid Upper Limb Assessment) method but as it is aimed at analyzing the upper extremity and works in which repetitive movements are made, the REBA is more general. In addition, there is a new system of analysis that includes factors of dynamic and static postural load, the person - load, and a new concept that incorporates consider what they call " assisted gravity" for the maintenance of posture interaction the upper extremities, ie aid that can make gravity</w:t>
      </w:r>
      <w:r>
        <w:rPr>
          <w:spacing w:val="44"/>
          <w:sz w:val="18"/>
        </w:rPr>
        <w:t> </w:t>
      </w:r>
      <w:r>
        <w:rPr>
          <w:sz w:val="18"/>
        </w:rPr>
        <w:t>itself</w:t>
      </w:r>
    </w:p>
    <w:p>
      <w:pPr>
        <w:spacing w:after="0"/>
        <w:jc w:val="both"/>
        <w:rPr>
          <w:sz w:val="18"/>
        </w:rPr>
        <w:sectPr>
          <w:type w:val="continuous"/>
          <w:pgSz w:w="12240" w:h="15840"/>
          <w:pgMar w:top="1500" w:bottom="280" w:left="580" w:right="220"/>
          <w:cols w:num="2" w:equalWidth="0">
            <w:col w:w="5180" w:space="418"/>
            <w:col w:w="5842"/>
          </w:cols>
        </w:sectPr>
      </w:pPr>
    </w:p>
    <w:p>
      <w:pPr>
        <w:pStyle w:val="BodyText"/>
        <w:rPr>
          <w:sz w:val="11"/>
        </w:rPr>
      </w:pPr>
    </w:p>
    <w:p>
      <w:pPr>
        <w:spacing w:after="0"/>
        <w:rPr>
          <w:sz w:val="11"/>
        </w:rPr>
        <w:sectPr>
          <w:pgSz w:w="12240" w:h="15840"/>
          <w:pgMar w:header="545" w:footer="852" w:top="1060" w:bottom="1040" w:left="580" w:right="220"/>
        </w:sectPr>
      </w:pPr>
    </w:p>
    <w:p>
      <w:pPr>
        <w:spacing w:before="77"/>
        <w:ind w:left="270" w:right="0" w:firstLine="0"/>
        <w:jc w:val="both"/>
        <w:rPr>
          <w:sz w:val="18"/>
        </w:rPr>
      </w:pPr>
      <w:r>
        <w:rPr>
          <w:sz w:val="18"/>
        </w:rPr>
        <w:t>to maintain the position of the arm, for example, is more expensive to maintain arm raised to have it hanging down but the position is forced.</w:t>
      </w:r>
    </w:p>
    <w:p>
      <w:pPr>
        <w:spacing w:line="206" w:lineRule="exact" w:before="0"/>
        <w:ind w:left="674" w:right="0" w:firstLine="0"/>
        <w:jc w:val="left"/>
        <w:rPr>
          <w:sz w:val="18"/>
        </w:rPr>
      </w:pPr>
      <w:r>
        <w:rPr>
          <w:sz w:val="18"/>
        </w:rPr>
        <w:t>.</w:t>
      </w:r>
    </w:p>
    <w:p>
      <w:pPr>
        <w:pStyle w:val="BodyText"/>
        <w:spacing w:before="3"/>
        <w:rPr>
          <w:sz w:val="18"/>
        </w:rPr>
      </w:pPr>
    </w:p>
    <w:p>
      <w:pPr>
        <w:pStyle w:val="ListParagraph"/>
        <w:numPr>
          <w:ilvl w:val="1"/>
          <w:numId w:val="53"/>
        </w:numPr>
        <w:tabs>
          <w:tab w:pos="542" w:val="left" w:leader="none"/>
        </w:tabs>
        <w:spacing w:line="240" w:lineRule="auto" w:before="0" w:after="0"/>
        <w:ind w:left="541" w:right="0" w:hanging="271"/>
        <w:jc w:val="both"/>
        <w:rPr>
          <w:b/>
          <w:sz w:val="18"/>
        </w:rPr>
      </w:pPr>
      <w:r>
        <w:rPr>
          <w:b/>
          <w:sz w:val="18"/>
        </w:rPr>
        <w:t>REBA</w:t>
      </w:r>
      <w:r>
        <w:rPr>
          <w:b/>
          <w:spacing w:val="-13"/>
          <w:sz w:val="18"/>
        </w:rPr>
        <w:t> </w:t>
      </w:r>
      <w:r>
        <w:rPr>
          <w:b/>
          <w:sz w:val="18"/>
        </w:rPr>
        <w:t>OBJETIVES</w:t>
      </w:r>
    </w:p>
    <w:p>
      <w:pPr>
        <w:pStyle w:val="BodyText"/>
        <w:spacing w:before="8"/>
        <w:rPr>
          <w:b/>
          <w:sz w:val="17"/>
        </w:rPr>
      </w:pPr>
    </w:p>
    <w:p>
      <w:pPr>
        <w:pStyle w:val="ListParagraph"/>
        <w:numPr>
          <w:ilvl w:val="2"/>
          <w:numId w:val="53"/>
        </w:numPr>
        <w:tabs>
          <w:tab w:pos="979" w:val="left" w:leader="none"/>
        </w:tabs>
        <w:spacing w:line="240" w:lineRule="auto" w:before="0" w:after="0"/>
        <w:ind w:left="990" w:right="1" w:hanging="360"/>
        <w:jc w:val="both"/>
        <w:rPr>
          <w:sz w:val="18"/>
        </w:rPr>
      </w:pPr>
      <w:r>
        <w:rPr>
          <w:sz w:val="18"/>
        </w:rPr>
        <w:t>Develop a postural analysis system sensitive to risks skeletal muscle in a variety of</w:t>
      </w:r>
      <w:r>
        <w:rPr>
          <w:spacing w:val="-11"/>
          <w:sz w:val="18"/>
        </w:rPr>
        <w:t> </w:t>
      </w:r>
      <w:r>
        <w:rPr>
          <w:sz w:val="18"/>
        </w:rPr>
        <w:t>tasks.</w:t>
      </w:r>
    </w:p>
    <w:p>
      <w:pPr>
        <w:pStyle w:val="ListParagraph"/>
        <w:numPr>
          <w:ilvl w:val="2"/>
          <w:numId w:val="53"/>
        </w:numPr>
        <w:tabs>
          <w:tab w:pos="979" w:val="left" w:leader="none"/>
        </w:tabs>
        <w:spacing w:line="240" w:lineRule="auto" w:before="1" w:after="0"/>
        <w:ind w:left="990" w:right="1" w:hanging="360"/>
        <w:jc w:val="both"/>
        <w:rPr>
          <w:sz w:val="18"/>
        </w:rPr>
      </w:pPr>
      <w:r>
        <w:rPr>
          <w:sz w:val="18"/>
        </w:rPr>
        <w:t>Divide the body into segments to encode individually, with reference to the planes of</w:t>
      </w:r>
      <w:r>
        <w:rPr>
          <w:spacing w:val="-6"/>
          <w:sz w:val="18"/>
        </w:rPr>
        <w:t> </w:t>
      </w:r>
      <w:r>
        <w:rPr>
          <w:sz w:val="18"/>
        </w:rPr>
        <w:t>movement.</w:t>
      </w:r>
    </w:p>
    <w:p>
      <w:pPr>
        <w:pStyle w:val="ListParagraph"/>
        <w:numPr>
          <w:ilvl w:val="2"/>
          <w:numId w:val="53"/>
        </w:numPr>
        <w:tabs>
          <w:tab w:pos="979" w:val="left" w:leader="none"/>
        </w:tabs>
        <w:spacing w:line="240" w:lineRule="auto" w:before="1" w:after="0"/>
        <w:ind w:left="990" w:right="0" w:hanging="360"/>
        <w:jc w:val="both"/>
        <w:rPr>
          <w:sz w:val="18"/>
        </w:rPr>
      </w:pPr>
      <w:r>
        <w:rPr>
          <w:sz w:val="18"/>
        </w:rPr>
        <w:t>Provide a scoring system for muscle activity due to static postures (body segment or a body part), dynamic (repeated actions, for example greater than 4  times/minute repetitions, except walking), unstable or rapidly changing</w:t>
      </w:r>
      <w:r>
        <w:rPr>
          <w:spacing w:val="-3"/>
          <w:sz w:val="18"/>
        </w:rPr>
        <w:t> </w:t>
      </w:r>
      <w:r>
        <w:rPr>
          <w:sz w:val="18"/>
        </w:rPr>
        <w:t>stance.</w:t>
      </w:r>
    </w:p>
    <w:p>
      <w:pPr>
        <w:pStyle w:val="BodyText"/>
        <w:spacing w:before="3"/>
        <w:rPr>
          <w:sz w:val="18"/>
        </w:rPr>
      </w:pPr>
    </w:p>
    <w:p>
      <w:pPr>
        <w:pStyle w:val="ListParagraph"/>
        <w:numPr>
          <w:ilvl w:val="1"/>
          <w:numId w:val="53"/>
        </w:numPr>
        <w:tabs>
          <w:tab w:pos="542" w:val="left" w:leader="none"/>
        </w:tabs>
        <w:spacing w:line="240" w:lineRule="auto" w:before="0" w:after="0"/>
        <w:ind w:left="541" w:right="0" w:hanging="271"/>
        <w:jc w:val="both"/>
        <w:rPr>
          <w:b/>
          <w:sz w:val="18"/>
        </w:rPr>
      </w:pPr>
      <w:r>
        <w:rPr>
          <w:b/>
          <w:sz w:val="18"/>
        </w:rPr>
        <w:t>EVALUATION OF</w:t>
      </w:r>
      <w:r>
        <w:rPr>
          <w:b/>
          <w:spacing w:val="-12"/>
          <w:sz w:val="18"/>
        </w:rPr>
        <w:t> </w:t>
      </w:r>
      <w:r>
        <w:rPr>
          <w:b/>
          <w:sz w:val="18"/>
        </w:rPr>
        <w:t>REBA</w:t>
      </w:r>
    </w:p>
    <w:p>
      <w:pPr>
        <w:pStyle w:val="BodyText"/>
        <w:spacing w:before="7"/>
        <w:rPr>
          <w:b/>
          <w:sz w:val="17"/>
        </w:rPr>
      </w:pPr>
    </w:p>
    <w:p>
      <w:pPr>
        <w:spacing w:before="1"/>
        <w:ind w:left="281" w:right="11" w:firstLine="0"/>
        <w:jc w:val="center"/>
        <w:rPr>
          <w:sz w:val="18"/>
        </w:rPr>
      </w:pPr>
      <w:r>
        <w:rPr>
          <w:sz w:val="18"/>
        </w:rPr>
        <w:t>The parts of the RULA (McAtamney and Corlett, 1993 ) method body; the group A as shown in Fig.1 includes trunk, neck and legs and group B is formed by the arms and wrists as shown in Figure 2</w:t>
      </w:r>
    </w:p>
    <w:p>
      <w:pPr>
        <w:pStyle w:val="BodyText"/>
        <w:rPr>
          <w:sz w:val="18"/>
        </w:rPr>
      </w:pPr>
    </w:p>
    <w:p>
      <w:pPr>
        <w:spacing w:before="0"/>
        <w:ind w:left="279" w:right="11" w:firstLine="0"/>
        <w:jc w:val="center"/>
        <w:rPr>
          <w:sz w:val="18"/>
        </w:rPr>
      </w:pPr>
      <w:r>
        <w:rPr>
          <w:sz w:val="18"/>
        </w:rPr>
        <w:t>Figure 1. Group A.</w:t>
      </w:r>
    </w:p>
    <w:p>
      <w:pPr>
        <w:spacing w:before="0"/>
        <w:ind w:left="278" w:right="11" w:firstLine="0"/>
        <w:jc w:val="center"/>
        <w:rPr>
          <w:sz w:val="18"/>
        </w:rPr>
      </w:pPr>
      <w:r>
        <w:rPr/>
        <w:drawing>
          <wp:anchor distT="0" distB="0" distL="0" distR="0" allowOverlap="1" layoutInCell="1" locked="0" behindDoc="0" simplePos="0" relativeHeight="4672">
            <wp:simplePos x="0" y="0"/>
            <wp:positionH relativeFrom="page">
              <wp:posOffset>540258</wp:posOffset>
            </wp:positionH>
            <wp:positionV relativeFrom="paragraph">
              <wp:posOffset>134122</wp:posOffset>
            </wp:positionV>
            <wp:extent cx="3086862" cy="1845564"/>
            <wp:effectExtent l="0" t="0" r="0" b="0"/>
            <wp:wrapNone/>
            <wp:docPr id="103" name="image67.jpeg" descr=""/>
            <wp:cNvGraphicFramePr>
              <a:graphicFrameLocks noChangeAspect="1"/>
            </wp:cNvGraphicFramePr>
            <a:graphic>
              <a:graphicData uri="http://schemas.openxmlformats.org/drawingml/2006/picture">
                <pic:pic>
                  <pic:nvPicPr>
                    <pic:cNvPr id="104" name="image67.jpeg"/>
                    <pic:cNvPicPr/>
                  </pic:nvPicPr>
                  <pic:blipFill>
                    <a:blip r:embed="rId143" cstate="print"/>
                    <a:stretch>
                      <a:fillRect/>
                    </a:stretch>
                  </pic:blipFill>
                  <pic:spPr>
                    <a:xfrm>
                      <a:off x="0" y="0"/>
                      <a:ext cx="3086862" cy="1845564"/>
                    </a:xfrm>
                    <a:prstGeom prst="rect">
                      <a:avLst/>
                    </a:prstGeom>
                  </pic:spPr>
                </pic:pic>
              </a:graphicData>
            </a:graphic>
          </wp:anchor>
        </w:drawing>
      </w:r>
      <w:r>
        <w:rPr>
          <w:sz w:val="18"/>
        </w:rPr>
        <w:t>Hignett y McAtamney (Nottingham, 2000).</w:t>
      </w:r>
    </w:p>
    <w:p>
      <w:pPr>
        <w:spacing w:line="207" w:lineRule="exact" w:before="77"/>
        <w:ind w:left="1137" w:right="1534" w:firstLine="0"/>
        <w:jc w:val="center"/>
        <w:rPr>
          <w:sz w:val="18"/>
        </w:rPr>
      </w:pPr>
      <w:r>
        <w:rPr/>
        <w:br w:type="column"/>
      </w:r>
      <w:r>
        <w:rPr>
          <w:sz w:val="18"/>
        </w:rPr>
        <w:t>Figure 2. Group B.</w:t>
      </w:r>
    </w:p>
    <w:p>
      <w:pPr>
        <w:spacing w:line="207" w:lineRule="exact" w:before="0"/>
        <w:ind w:left="1137" w:right="1535" w:firstLine="0"/>
        <w:jc w:val="center"/>
        <w:rPr>
          <w:sz w:val="18"/>
        </w:rPr>
      </w:pPr>
      <w:r>
        <w:rPr>
          <w:sz w:val="18"/>
        </w:rPr>
        <w:t>Hignett y McAtamney (Nottingham, 2000).</w:t>
      </w:r>
    </w:p>
    <w:p>
      <w:pPr>
        <w:pStyle w:val="BodyText"/>
        <w:spacing w:before="5"/>
        <w:rPr>
          <w:sz w:val="18"/>
        </w:rPr>
      </w:pPr>
    </w:p>
    <w:p>
      <w:pPr>
        <w:spacing w:before="0"/>
        <w:ind w:left="281" w:right="679" w:firstLine="0"/>
        <w:jc w:val="both"/>
        <w:rPr>
          <w:rFonts w:ascii="Calibri"/>
          <w:sz w:val="18"/>
        </w:rPr>
      </w:pPr>
      <w:r>
        <w:rPr>
          <w:rFonts w:ascii="Calibri"/>
          <w:sz w:val="18"/>
        </w:rPr>
        <w:t>Group A has a total of 60 combinations postural trunk, neck and legs. The score of Table A shall be between 1 and 9; this value must be added the score resulting from the load / force whose range is between 0 and 3 as expressed in Table</w:t>
      </w:r>
      <w:r>
        <w:rPr>
          <w:rFonts w:ascii="Calibri"/>
          <w:spacing w:val="-21"/>
          <w:sz w:val="18"/>
        </w:rPr>
        <w:t> </w:t>
      </w:r>
      <w:r>
        <w:rPr>
          <w:rFonts w:ascii="Calibri"/>
          <w:sz w:val="18"/>
        </w:rPr>
        <w:t>1.</w:t>
      </w:r>
    </w:p>
    <w:p>
      <w:pPr>
        <w:spacing w:line="203" w:lineRule="exact" w:before="0"/>
        <w:ind w:left="1137" w:right="1488" w:firstLine="0"/>
        <w:jc w:val="center"/>
        <w:rPr>
          <w:sz w:val="18"/>
        </w:rPr>
      </w:pPr>
      <w:r>
        <w:rPr>
          <w:sz w:val="18"/>
        </w:rPr>
        <w:t>Table 1. Load / Force.</w:t>
      </w:r>
    </w:p>
    <w:p>
      <w:pPr>
        <w:pStyle w:val="BodyText"/>
        <w:spacing w:before="5"/>
        <w:rPr>
          <w:sz w:val="5"/>
        </w:rPr>
      </w:pPr>
    </w:p>
    <w:p>
      <w:pPr>
        <w:pStyle w:val="BodyText"/>
        <w:ind w:left="270"/>
      </w:pPr>
      <w:r>
        <w:rPr/>
        <w:drawing>
          <wp:inline distT="0" distB="0" distL="0" distR="0">
            <wp:extent cx="3089905" cy="1352930"/>
            <wp:effectExtent l="0" t="0" r="0" b="0"/>
            <wp:docPr id="105" name="image68.jpeg" descr=""/>
            <wp:cNvGraphicFramePr>
              <a:graphicFrameLocks noChangeAspect="1"/>
            </wp:cNvGraphicFramePr>
            <a:graphic>
              <a:graphicData uri="http://schemas.openxmlformats.org/drawingml/2006/picture">
                <pic:pic>
                  <pic:nvPicPr>
                    <pic:cNvPr id="106" name="image68.jpeg"/>
                    <pic:cNvPicPr/>
                  </pic:nvPicPr>
                  <pic:blipFill>
                    <a:blip r:embed="rId144" cstate="print"/>
                    <a:stretch>
                      <a:fillRect/>
                    </a:stretch>
                  </pic:blipFill>
                  <pic:spPr>
                    <a:xfrm>
                      <a:off x="0" y="0"/>
                      <a:ext cx="3089905" cy="1352930"/>
                    </a:xfrm>
                    <a:prstGeom prst="rect">
                      <a:avLst/>
                    </a:prstGeom>
                  </pic:spPr>
                </pic:pic>
              </a:graphicData>
            </a:graphic>
          </wp:inline>
        </w:drawing>
      </w:r>
      <w:r>
        <w:rPr/>
      </w:r>
    </w:p>
    <w:p>
      <w:pPr>
        <w:pStyle w:val="BodyText"/>
        <w:spacing w:before="7"/>
        <w:rPr>
          <w:sz w:val="25"/>
        </w:rPr>
      </w:pPr>
    </w:p>
    <w:p>
      <w:pPr>
        <w:spacing w:before="0"/>
        <w:ind w:left="281" w:right="0" w:firstLine="0"/>
        <w:jc w:val="both"/>
        <w:rPr>
          <w:rFonts w:ascii="Calibri"/>
          <w:sz w:val="18"/>
        </w:rPr>
      </w:pPr>
      <w:r>
        <w:rPr>
          <w:rFonts w:ascii="Calibri"/>
          <w:sz w:val="18"/>
        </w:rPr>
        <w:t>The B group has a total of 36 combinations for postural upper arm</w:t>
      </w:r>
    </w:p>
    <w:p>
      <w:pPr>
        <w:spacing w:before="0"/>
        <w:ind w:left="281" w:right="679" w:firstLine="0"/>
        <w:jc w:val="both"/>
        <w:rPr>
          <w:rFonts w:ascii="Calibri"/>
          <w:sz w:val="18"/>
        </w:rPr>
      </w:pPr>
      <w:r>
        <w:rPr>
          <w:rFonts w:ascii="Calibri"/>
          <w:sz w:val="18"/>
        </w:rPr>
        <w:t>, lower arm and wrist , the final score of this group , as stated in Table B is between 0 and 9; this result should be added into the table obtained grip , ie , from 0 to 3 points as shown in Table 2.</w:t>
      </w:r>
    </w:p>
    <w:p>
      <w:pPr>
        <w:pStyle w:val="BodyText"/>
        <w:spacing w:before="6"/>
        <w:rPr>
          <w:rFonts w:ascii="Calibri"/>
          <w:sz w:val="17"/>
        </w:rPr>
      </w:pPr>
    </w:p>
    <w:p>
      <w:pPr>
        <w:spacing w:before="1"/>
        <w:ind w:left="1137" w:right="1534" w:firstLine="0"/>
        <w:jc w:val="center"/>
        <w:rPr>
          <w:sz w:val="18"/>
        </w:rPr>
      </w:pPr>
      <w:r>
        <w:rPr>
          <w:sz w:val="18"/>
        </w:rPr>
        <w:t>Table 2. Bite.</w:t>
      </w:r>
    </w:p>
    <w:p>
      <w:pPr>
        <w:pStyle w:val="BodyText"/>
        <w:spacing w:before="5"/>
        <w:rPr>
          <w:sz w:val="4"/>
        </w:rPr>
      </w:pPr>
    </w:p>
    <w:p>
      <w:pPr>
        <w:pStyle w:val="BodyText"/>
        <w:ind w:left="286"/>
      </w:pPr>
      <w:r>
        <w:rPr/>
        <w:drawing>
          <wp:inline distT="0" distB="0" distL="0" distR="0">
            <wp:extent cx="3090403" cy="1161478"/>
            <wp:effectExtent l="0" t="0" r="0" b="0"/>
            <wp:docPr id="107" name="image69.jpeg" descr=""/>
            <wp:cNvGraphicFramePr>
              <a:graphicFrameLocks noChangeAspect="1"/>
            </wp:cNvGraphicFramePr>
            <a:graphic>
              <a:graphicData uri="http://schemas.openxmlformats.org/drawingml/2006/picture">
                <pic:pic>
                  <pic:nvPicPr>
                    <pic:cNvPr id="108" name="image69.jpeg"/>
                    <pic:cNvPicPr/>
                  </pic:nvPicPr>
                  <pic:blipFill>
                    <a:blip r:embed="rId145" cstate="print"/>
                    <a:stretch>
                      <a:fillRect/>
                    </a:stretch>
                  </pic:blipFill>
                  <pic:spPr>
                    <a:xfrm>
                      <a:off x="0" y="0"/>
                      <a:ext cx="3090403" cy="1161478"/>
                    </a:xfrm>
                    <a:prstGeom prst="rect">
                      <a:avLst/>
                    </a:prstGeom>
                  </pic:spPr>
                </pic:pic>
              </a:graphicData>
            </a:graphic>
          </wp:inline>
        </w:drawing>
      </w:r>
      <w:r>
        <w:rPr/>
      </w:r>
    </w:p>
    <w:p>
      <w:pPr>
        <w:pStyle w:val="BodyText"/>
        <w:spacing w:before="10"/>
        <w:rPr>
          <w:sz w:val="16"/>
        </w:rPr>
      </w:pPr>
    </w:p>
    <w:p>
      <w:pPr>
        <w:spacing w:before="0"/>
        <w:ind w:left="281" w:right="678" w:firstLine="0"/>
        <w:jc w:val="both"/>
        <w:rPr>
          <w:rFonts w:ascii="Calibri"/>
          <w:sz w:val="18"/>
        </w:rPr>
      </w:pPr>
      <w:r>
        <w:rPr/>
        <w:drawing>
          <wp:anchor distT="0" distB="0" distL="0" distR="0" allowOverlap="1" layoutInCell="1" locked="0" behindDoc="0" simplePos="0" relativeHeight="4696">
            <wp:simplePos x="0" y="0"/>
            <wp:positionH relativeFrom="page">
              <wp:posOffset>540258</wp:posOffset>
            </wp:positionH>
            <wp:positionV relativeFrom="paragraph">
              <wp:posOffset>614803</wp:posOffset>
            </wp:positionV>
            <wp:extent cx="3085338" cy="3099816"/>
            <wp:effectExtent l="0" t="0" r="0" b="0"/>
            <wp:wrapNone/>
            <wp:docPr id="109" name="image70.jpeg" descr=""/>
            <wp:cNvGraphicFramePr>
              <a:graphicFrameLocks noChangeAspect="1"/>
            </wp:cNvGraphicFramePr>
            <a:graphic>
              <a:graphicData uri="http://schemas.openxmlformats.org/drawingml/2006/picture">
                <pic:pic>
                  <pic:nvPicPr>
                    <pic:cNvPr id="110" name="image70.jpeg"/>
                    <pic:cNvPicPr/>
                  </pic:nvPicPr>
                  <pic:blipFill>
                    <a:blip r:embed="rId146" cstate="print"/>
                    <a:stretch>
                      <a:fillRect/>
                    </a:stretch>
                  </pic:blipFill>
                  <pic:spPr>
                    <a:xfrm>
                      <a:off x="0" y="0"/>
                      <a:ext cx="3085338" cy="3099816"/>
                    </a:xfrm>
                    <a:prstGeom prst="rect">
                      <a:avLst/>
                    </a:prstGeom>
                  </pic:spPr>
                </pic:pic>
              </a:graphicData>
            </a:graphic>
          </wp:anchor>
        </w:drawing>
      </w:r>
      <w:r>
        <w:rPr>
          <w:rFonts w:ascii="Calibri"/>
          <w:sz w:val="18"/>
        </w:rPr>
        <w:t>Results A and B are combined in Table C for a total of 144 possible combinations, and finally the result of the activity is added to give the final DRINK result showing the level of risk and level of action, as shown in Table 3 .</w:t>
      </w:r>
    </w:p>
    <w:p>
      <w:pPr>
        <w:pStyle w:val="BodyText"/>
        <w:spacing w:before="7"/>
        <w:rPr>
          <w:rFonts w:ascii="Calibri"/>
          <w:sz w:val="16"/>
        </w:rPr>
      </w:pPr>
    </w:p>
    <w:p>
      <w:pPr>
        <w:spacing w:before="0"/>
        <w:ind w:left="1137" w:right="1535" w:firstLine="0"/>
        <w:jc w:val="center"/>
        <w:rPr>
          <w:sz w:val="18"/>
        </w:rPr>
      </w:pPr>
      <w:r>
        <w:rPr>
          <w:sz w:val="18"/>
        </w:rPr>
        <w:t>Table 3. Activity.</w:t>
      </w:r>
    </w:p>
    <w:p>
      <w:pPr>
        <w:pStyle w:val="BodyText"/>
        <w:spacing w:before="2"/>
        <w:rPr>
          <w:sz w:val="2"/>
        </w:rPr>
      </w:pPr>
    </w:p>
    <w:p>
      <w:pPr>
        <w:pStyle w:val="BodyText"/>
        <w:ind w:left="285"/>
      </w:pPr>
      <w:r>
        <w:rPr/>
        <w:drawing>
          <wp:inline distT="0" distB="0" distL="0" distR="0">
            <wp:extent cx="3085053" cy="1659540"/>
            <wp:effectExtent l="0" t="0" r="0" b="0"/>
            <wp:docPr id="111" name="image71.jpeg" descr=""/>
            <wp:cNvGraphicFramePr>
              <a:graphicFrameLocks noChangeAspect="1"/>
            </wp:cNvGraphicFramePr>
            <a:graphic>
              <a:graphicData uri="http://schemas.openxmlformats.org/drawingml/2006/picture">
                <pic:pic>
                  <pic:nvPicPr>
                    <pic:cNvPr id="112" name="image71.jpeg"/>
                    <pic:cNvPicPr/>
                  </pic:nvPicPr>
                  <pic:blipFill>
                    <a:blip r:embed="rId147" cstate="print"/>
                    <a:stretch>
                      <a:fillRect/>
                    </a:stretch>
                  </pic:blipFill>
                  <pic:spPr>
                    <a:xfrm>
                      <a:off x="0" y="0"/>
                      <a:ext cx="3085053" cy="1659540"/>
                    </a:xfrm>
                    <a:prstGeom prst="rect">
                      <a:avLst/>
                    </a:prstGeom>
                  </pic:spPr>
                </pic:pic>
              </a:graphicData>
            </a:graphic>
          </wp:inline>
        </w:drawing>
      </w:r>
      <w:r>
        <w:rPr/>
      </w:r>
    </w:p>
    <w:p>
      <w:pPr>
        <w:pStyle w:val="BodyText"/>
        <w:rPr>
          <w:sz w:val="18"/>
        </w:rPr>
      </w:pPr>
    </w:p>
    <w:p>
      <w:pPr>
        <w:pStyle w:val="BodyText"/>
        <w:rPr>
          <w:sz w:val="24"/>
        </w:rPr>
      </w:pPr>
    </w:p>
    <w:p>
      <w:pPr>
        <w:spacing w:before="0"/>
        <w:ind w:left="281" w:right="0" w:firstLine="0"/>
        <w:jc w:val="both"/>
        <w:rPr>
          <w:rFonts w:ascii="Calibri"/>
          <w:sz w:val="18"/>
        </w:rPr>
      </w:pPr>
      <w:r>
        <w:rPr>
          <w:rFonts w:ascii="Calibri"/>
          <w:sz w:val="18"/>
        </w:rPr>
        <w:t>The score refers to the activity (+1) is added when:</w:t>
      </w:r>
    </w:p>
    <w:p>
      <w:pPr>
        <w:pStyle w:val="ListParagraph"/>
        <w:numPr>
          <w:ilvl w:val="0"/>
          <w:numId w:val="54"/>
        </w:numPr>
        <w:tabs>
          <w:tab w:pos="989" w:val="left" w:leader="none"/>
          <w:tab w:pos="990" w:val="left" w:leader="none"/>
        </w:tabs>
        <w:spacing w:line="240" w:lineRule="auto" w:before="0" w:after="0"/>
        <w:ind w:left="1001" w:right="1149" w:hanging="360"/>
        <w:jc w:val="left"/>
        <w:rPr>
          <w:rFonts w:ascii="Calibri"/>
          <w:sz w:val="18"/>
        </w:rPr>
      </w:pPr>
      <w:r>
        <w:rPr>
          <w:rFonts w:ascii="Calibri"/>
          <w:sz w:val="18"/>
        </w:rPr>
        <w:t>One or more body parts remain static for example, sustained for more than 1</w:t>
      </w:r>
      <w:r>
        <w:rPr>
          <w:rFonts w:ascii="Calibri"/>
          <w:spacing w:val="-6"/>
          <w:sz w:val="18"/>
        </w:rPr>
        <w:t> </w:t>
      </w:r>
      <w:r>
        <w:rPr>
          <w:rFonts w:ascii="Calibri"/>
          <w:sz w:val="18"/>
        </w:rPr>
        <w:t>minute.</w:t>
      </w:r>
    </w:p>
    <w:p>
      <w:pPr>
        <w:pStyle w:val="ListParagraph"/>
        <w:numPr>
          <w:ilvl w:val="0"/>
          <w:numId w:val="54"/>
        </w:numPr>
        <w:tabs>
          <w:tab w:pos="989" w:val="left" w:leader="none"/>
          <w:tab w:pos="990" w:val="left" w:leader="none"/>
        </w:tabs>
        <w:spacing w:line="240" w:lineRule="auto" w:before="0" w:after="0"/>
        <w:ind w:left="1001" w:right="766" w:hanging="360"/>
        <w:jc w:val="left"/>
        <w:rPr>
          <w:rFonts w:ascii="Calibri"/>
          <w:sz w:val="18"/>
        </w:rPr>
      </w:pPr>
      <w:r>
        <w:rPr>
          <w:rFonts w:ascii="Calibri"/>
          <w:sz w:val="18"/>
        </w:rPr>
        <w:t>Short Repetitions of a task: for example, more than four times per minute (not walking</w:t>
      </w:r>
      <w:r>
        <w:rPr>
          <w:rFonts w:ascii="Calibri"/>
          <w:spacing w:val="-25"/>
          <w:sz w:val="18"/>
        </w:rPr>
        <w:t> </w:t>
      </w:r>
      <w:r>
        <w:rPr>
          <w:rFonts w:ascii="Calibri"/>
          <w:sz w:val="18"/>
        </w:rPr>
        <w:t>included).</w:t>
      </w:r>
    </w:p>
    <w:p>
      <w:pPr>
        <w:pStyle w:val="ListParagraph"/>
        <w:numPr>
          <w:ilvl w:val="0"/>
          <w:numId w:val="54"/>
        </w:numPr>
        <w:tabs>
          <w:tab w:pos="989" w:val="left" w:leader="none"/>
          <w:tab w:pos="990" w:val="left" w:leader="none"/>
        </w:tabs>
        <w:spacing w:line="240" w:lineRule="auto" w:before="1" w:after="0"/>
        <w:ind w:left="989" w:right="0" w:hanging="348"/>
        <w:jc w:val="left"/>
        <w:rPr>
          <w:rFonts w:ascii="Calibri"/>
          <w:sz w:val="18"/>
        </w:rPr>
      </w:pPr>
      <w:r>
        <w:rPr>
          <w:rFonts w:ascii="Calibri"/>
          <w:sz w:val="18"/>
        </w:rPr>
        <w:t>Actions that cause large and rapid postural</w:t>
      </w:r>
      <w:r>
        <w:rPr>
          <w:rFonts w:ascii="Calibri"/>
          <w:spacing w:val="-21"/>
          <w:sz w:val="18"/>
        </w:rPr>
        <w:t> </w:t>
      </w:r>
      <w:r>
        <w:rPr>
          <w:rFonts w:ascii="Calibri"/>
          <w:sz w:val="18"/>
        </w:rPr>
        <w:t>changes.</w:t>
      </w:r>
    </w:p>
    <w:p>
      <w:pPr>
        <w:spacing w:after="0" w:line="240" w:lineRule="auto"/>
        <w:jc w:val="left"/>
        <w:rPr>
          <w:rFonts w:ascii="Calibri"/>
          <w:sz w:val="18"/>
        </w:rPr>
        <w:sectPr>
          <w:type w:val="continuous"/>
          <w:pgSz w:w="12240" w:h="15840"/>
          <w:pgMar w:top="1500" w:bottom="280" w:left="580" w:right="220"/>
          <w:cols w:num="2" w:equalWidth="0">
            <w:col w:w="5163" w:space="424"/>
            <w:col w:w="5853"/>
          </w:cols>
        </w:sectPr>
      </w:pPr>
    </w:p>
    <w:p>
      <w:pPr>
        <w:pStyle w:val="BodyText"/>
        <w:spacing w:before="4"/>
        <w:rPr>
          <w:rFonts w:ascii="Calibri"/>
          <w:sz w:val="10"/>
        </w:rPr>
      </w:pPr>
    </w:p>
    <w:p>
      <w:pPr>
        <w:spacing w:after="0"/>
        <w:rPr>
          <w:rFonts w:ascii="Calibri"/>
          <w:sz w:val="10"/>
        </w:rPr>
        <w:sectPr>
          <w:pgSz w:w="12240" w:h="15840"/>
          <w:pgMar w:header="545" w:footer="852" w:top="1060" w:bottom="1040" w:left="580" w:right="220"/>
        </w:sectPr>
      </w:pPr>
    </w:p>
    <w:p>
      <w:pPr>
        <w:spacing w:before="82"/>
        <w:ind w:left="270" w:right="0" w:firstLine="0"/>
        <w:jc w:val="both"/>
        <w:rPr>
          <w:rFonts w:ascii="Calibri"/>
          <w:sz w:val="18"/>
        </w:rPr>
      </w:pPr>
      <w:r>
        <w:rPr>
          <w:rFonts w:ascii="Calibri"/>
          <w:sz w:val="18"/>
        </w:rPr>
        <w:t>When the position is unstable.</w:t>
      </w:r>
    </w:p>
    <w:p>
      <w:pPr>
        <w:pStyle w:val="BodyText"/>
        <w:spacing w:before="9"/>
        <w:rPr>
          <w:rFonts w:ascii="Calibri"/>
          <w:sz w:val="16"/>
        </w:rPr>
      </w:pPr>
    </w:p>
    <w:p>
      <w:pPr>
        <w:pStyle w:val="ListParagraph"/>
        <w:numPr>
          <w:ilvl w:val="1"/>
          <w:numId w:val="53"/>
        </w:numPr>
        <w:tabs>
          <w:tab w:pos="542" w:val="left" w:leader="none"/>
        </w:tabs>
        <w:spacing w:line="240" w:lineRule="auto" w:before="0" w:after="0"/>
        <w:ind w:left="541" w:right="0" w:hanging="271"/>
        <w:jc w:val="both"/>
        <w:rPr>
          <w:b/>
          <w:sz w:val="18"/>
        </w:rPr>
      </w:pPr>
      <w:r>
        <w:rPr>
          <w:b/>
          <w:sz w:val="18"/>
        </w:rPr>
        <w:t>FINAL</w:t>
      </w:r>
      <w:r>
        <w:rPr>
          <w:b/>
          <w:spacing w:val="-9"/>
          <w:sz w:val="18"/>
        </w:rPr>
        <w:t> </w:t>
      </w:r>
      <w:r>
        <w:rPr>
          <w:b/>
          <w:sz w:val="18"/>
        </w:rPr>
        <w:t>SCORE</w:t>
      </w:r>
    </w:p>
    <w:p>
      <w:pPr>
        <w:pStyle w:val="BodyText"/>
        <w:spacing w:before="7"/>
        <w:rPr>
          <w:b/>
          <w:sz w:val="17"/>
        </w:rPr>
      </w:pPr>
    </w:p>
    <w:p>
      <w:pPr>
        <w:spacing w:before="1"/>
        <w:ind w:left="270" w:right="0" w:firstLine="0"/>
        <w:jc w:val="both"/>
        <w:rPr>
          <w:sz w:val="18"/>
        </w:rPr>
      </w:pPr>
      <w:r>
        <w:rPr>
          <w:sz w:val="18"/>
        </w:rPr>
        <w:t>As previously mentioned, the end 144 postural combinations must be added to the concept corresponding Rating scores load coupling and activities; This will give us the final score REBA that will fall within a range of 1 to 15, which will indicate the risk involved in developing the kind of task analyzed and will indicate the action levels required in each case, as classified in Table 4.</w:t>
      </w:r>
    </w:p>
    <w:p>
      <w:pPr>
        <w:pStyle w:val="BodyText"/>
        <w:rPr>
          <w:sz w:val="18"/>
        </w:rPr>
      </w:pPr>
    </w:p>
    <w:p>
      <w:pPr>
        <w:spacing w:before="0"/>
        <w:ind w:left="334" w:right="64" w:firstLine="0"/>
        <w:jc w:val="center"/>
        <w:rPr>
          <w:sz w:val="18"/>
        </w:rPr>
      </w:pPr>
      <w:r>
        <w:rPr>
          <w:sz w:val="18"/>
        </w:rPr>
        <w:t>Table 4. Action levels</w:t>
      </w:r>
    </w:p>
    <w:p>
      <w:pPr>
        <w:pStyle w:val="BodyText"/>
        <w:ind w:left="287" w:right="-26"/>
      </w:pPr>
      <w:r>
        <w:rPr/>
        <w:drawing>
          <wp:inline distT="0" distB="0" distL="0" distR="0">
            <wp:extent cx="3086475" cy="772763"/>
            <wp:effectExtent l="0" t="0" r="0" b="0"/>
            <wp:docPr id="113" name="image72.jpeg" descr=""/>
            <wp:cNvGraphicFramePr>
              <a:graphicFrameLocks noChangeAspect="1"/>
            </wp:cNvGraphicFramePr>
            <a:graphic>
              <a:graphicData uri="http://schemas.openxmlformats.org/drawingml/2006/picture">
                <pic:pic>
                  <pic:nvPicPr>
                    <pic:cNvPr id="114" name="image72.jpeg"/>
                    <pic:cNvPicPr/>
                  </pic:nvPicPr>
                  <pic:blipFill>
                    <a:blip r:embed="rId148" cstate="print"/>
                    <a:stretch>
                      <a:fillRect/>
                    </a:stretch>
                  </pic:blipFill>
                  <pic:spPr>
                    <a:xfrm>
                      <a:off x="0" y="0"/>
                      <a:ext cx="3086475" cy="772763"/>
                    </a:xfrm>
                    <a:prstGeom prst="rect">
                      <a:avLst/>
                    </a:prstGeom>
                  </pic:spPr>
                </pic:pic>
              </a:graphicData>
            </a:graphic>
          </wp:inline>
        </w:drawing>
      </w:r>
      <w:r>
        <w:rPr/>
      </w:r>
    </w:p>
    <w:p>
      <w:pPr>
        <w:pStyle w:val="BodyText"/>
        <w:rPr>
          <w:sz w:val="18"/>
        </w:rPr>
      </w:pPr>
    </w:p>
    <w:p>
      <w:pPr>
        <w:pStyle w:val="BodyText"/>
        <w:spacing w:before="1"/>
        <w:rPr>
          <w:sz w:val="18"/>
        </w:rPr>
      </w:pPr>
    </w:p>
    <w:p>
      <w:pPr>
        <w:spacing w:before="0"/>
        <w:ind w:left="270" w:right="0" w:firstLine="0"/>
        <w:jc w:val="both"/>
        <w:rPr>
          <w:b/>
          <w:sz w:val="18"/>
        </w:rPr>
      </w:pPr>
      <w:r>
        <w:rPr>
          <w:b/>
          <w:sz w:val="18"/>
        </w:rPr>
        <w:t>2.5 MATERIALS</w:t>
      </w:r>
    </w:p>
    <w:p>
      <w:pPr>
        <w:pStyle w:val="BodyText"/>
        <w:spacing w:before="7"/>
        <w:rPr>
          <w:b/>
          <w:sz w:val="17"/>
        </w:rPr>
      </w:pPr>
    </w:p>
    <w:p>
      <w:pPr>
        <w:spacing w:before="1"/>
        <w:ind w:left="270" w:right="1" w:firstLine="0"/>
        <w:jc w:val="both"/>
        <w:rPr>
          <w:sz w:val="18"/>
        </w:rPr>
      </w:pPr>
      <w:r>
        <w:rPr>
          <w:sz w:val="18"/>
        </w:rPr>
        <w:t>The analysis was performed by using a platform of the Institute for Safety and Health at Work[2]  holding  ergonomic  assessment based on the REBA method, which showed us the results more efficiently, as shown in the picture.</w:t>
      </w:r>
    </w:p>
    <w:p>
      <w:pPr>
        <w:pStyle w:val="BodyText"/>
      </w:pPr>
    </w:p>
    <w:p>
      <w:pPr>
        <w:pStyle w:val="BodyText"/>
      </w:pPr>
    </w:p>
    <w:p>
      <w:pPr>
        <w:pStyle w:val="BodyText"/>
        <w:spacing w:before="1"/>
        <w:rPr>
          <w:sz w:val="29"/>
        </w:rPr>
      </w:pPr>
      <w:r>
        <w:rPr/>
        <w:drawing>
          <wp:anchor distT="0" distB="0" distL="0" distR="0" allowOverlap="1" layoutInCell="1" locked="0" behindDoc="0" simplePos="0" relativeHeight="4720">
            <wp:simplePos x="0" y="0"/>
            <wp:positionH relativeFrom="page">
              <wp:posOffset>550926</wp:posOffset>
            </wp:positionH>
            <wp:positionV relativeFrom="paragraph">
              <wp:posOffset>237166</wp:posOffset>
            </wp:positionV>
            <wp:extent cx="3043525" cy="2346960"/>
            <wp:effectExtent l="0" t="0" r="0" b="0"/>
            <wp:wrapTopAndBottom/>
            <wp:docPr id="115" name="image73.jpeg" descr=""/>
            <wp:cNvGraphicFramePr>
              <a:graphicFrameLocks noChangeAspect="1"/>
            </wp:cNvGraphicFramePr>
            <a:graphic>
              <a:graphicData uri="http://schemas.openxmlformats.org/drawingml/2006/picture">
                <pic:pic>
                  <pic:nvPicPr>
                    <pic:cNvPr id="116" name="image73.jpeg"/>
                    <pic:cNvPicPr/>
                  </pic:nvPicPr>
                  <pic:blipFill>
                    <a:blip r:embed="rId149" cstate="print"/>
                    <a:stretch>
                      <a:fillRect/>
                    </a:stretch>
                  </pic:blipFill>
                  <pic:spPr>
                    <a:xfrm>
                      <a:off x="0" y="0"/>
                      <a:ext cx="3043525" cy="2346960"/>
                    </a:xfrm>
                    <a:prstGeom prst="rect">
                      <a:avLst/>
                    </a:prstGeom>
                  </pic:spPr>
                </pic:pic>
              </a:graphicData>
            </a:graphic>
          </wp:anchor>
        </w:drawing>
      </w:r>
    </w:p>
    <w:p>
      <w:pPr>
        <w:spacing w:before="14"/>
        <w:ind w:left="334" w:right="64" w:firstLine="0"/>
        <w:jc w:val="center"/>
        <w:rPr>
          <w:sz w:val="18"/>
        </w:rPr>
      </w:pPr>
      <w:r>
        <w:rPr>
          <w:sz w:val="18"/>
        </w:rPr>
        <w:t>Figure 3. Analysis Awkward Postures</w:t>
      </w:r>
    </w:p>
    <w:p>
      <w:pPr>
        <w:pStyle w:val="BodyText"/>
        <w:rPr>
          <w:sz w:val="18"/>
        </w:rPr>
      </w:pPr>
    </w:p>
    <w:p>
      <w:pPr>
        <w:spacing w:before="0"/>
        <w:ind w:left="270" w:right="1" w:firstLine="0"/>
        <w:jc w:val="both"/>
        <w:rPr>
          <w:sz w:val="18"/>
        </w:rPr>
      </w:pPr>
      <w:r>
        <w:rPr>
          <w:sz w:val="18"/>
        </w:rPr>
        <w:t>It should display a table showing the results of the evaluation are the risk, if an intervention and traffic light colors qualify through our risk level is necessary. (Red = high risk, medium risk Yellow = Green = no risk).</w:t>
      </w:r>
    </w:p>
    <w:p>
      <w:pPr>
        <w:spacing w:before="0"/>
        <w:ind w:left="270" w:right="1" w:firstLine="403"/>
        <w:jc w:val="both"/>
        <w:rPr>
          <w:sz w:val="18"/>
        </w:rPr>
      </w:pPr>
      <w:r>
        <w:rPr>
          <w:sz w:val="18"/>
        </w:rPr>
        <w:t>The risk score is rated on a 1-15 scale up in the level of the same, while the level of action or intervention is measured on a scale of 0-4 the same ascending order.</w:t>
      </w:r>
    </w:p>
    <w:p>
      <w:pPr>
        <w:pStyle w:val="BodyText"/>
        <w:spacing w:before="3"/>
        <w:rPr>
          <w:sz w:val="18"/>
        </w:rPr>
      </w:pPr>
    </w:p>
    <w:p>
      <w:pPr>
        <w:pStyle w:val="ListParagraph"/>
        <w:numPr>
          <w:ilvl w:val="0"/>
          <w:numId w:val="53"/>
        </w:numPr>
        <w:tabs>
          <w:tab w:pos="452" w:val="left" w:leader="none"/>
        </w:tabs>
        <w:spacing w:line="240" w:lineRule="auto" w:before="0" w:after="0"/>
        <w:ind w:left="451" w:right="0" w:hanging="181"/>
        <w:jc w:val="both"/>
        <w:rPr>
          <w:b/>
          <w:sz w:val="18"/>
        </w:rPr>
      </w:pPr>
      <w:r>
        <w:rPr>
          <w:b/>
          <w:sz w:val="18"/>
        </w:rPr>
        <w:t>RESULTS</w:t>
      </w:r>
    </w:p>
    <w:p>
      <w:pPr>
        <w:pStyle w:val="BodyText"/>
        <w:spacing w:before="7"/>
        <w:rPr>
          <w:b/>
          <w:sz w:val="17"/>
        </w:rPr>
      </w:pPr>
    </w:p>
    <w:p>
      <w:pPr>
        <w:spacing w:before="1"/>
        <w:ind w:left="270" w:right="0" w:firstLine="0"/>
        <w:jc w:val="both"/>
        <w:rPr>
          <w:sz w:val="18"/>
        </w:rPr>
      </w:pPr>
      <w:r>
        <w:rPr>
          <w:sz w:val="18"/>
        </w:rPr>
        <w:t>The analysis was carried out because the line did not have an ergonomic assessment by reason of being recently implemented a new process in the company.</w:t>
      </w:r>
    </w:p>
    <w:p>
      <w:pPr>
        <w:spacing w:before="77"/>
        <w:ind w:left="270" w:right="676" w:firstLine="403"/>
        <w:jc w:val="both"/>
        <w:rPr>
          <w:sz w:val="18"/>
        </w:rPr>
      </w:pPr>
      <w:r>
        <w:rPr/>
        <w:br w:type="column"/>
      </w:r>
      <w:r>
        <w:rPr>
          <w:sz w:val="18"/>
        </w:rPr>
        <w:t>As a result of ergonomic analysis was observed that none of the workstations has a high level of ergonomic risks generated as results were favorable.</w:t>
      </w:r>
    </w:p>
    <w:p>
      <w:pPr>
        <w:spacing w:before="0"/>
        <w:ind w:left="270" w:right="677" w:firstLine="403"/>
        <w:jc w:val="both"/>
        <w:rPr>
          <w:sz w:val="18"/>
        </w:rPr>
      </w:pPr>
      <w:r>
        <w:rPr>
          <w:sz w:val="18"/>
        </w:rPr>
        <w:t>A checklist was developed based on the activities of each operation.</w:t>
      </w:r>
    </w:p>
    <w:p>
      <w:pPr>
        <w:pStyle w:val="BodyText"/>
        <w:spacing w:before="5"/>
        <w:rPr>
          <w:sz w:val="15"/>
        </w:rPr>
      </w:pPr>
      <w:r>
        <w:rPr/>
        <w:drawing>
          <wp:anchor distT="0" distB="0" distL="0" distR="0" allowOverlap="1" layoutInCell="1" locked="0" behindDoc="0" simplePos="0" relativeHeight="4744">
            <wp:simplePos x="0" y="0"/>
            <wp:positionH relativeFrom="page">
              <wp:posOffset>4097273</wp:posOffset>
            </wp:positionH>
            <wp:positionV relativeFrom="paragraph">
              <wp:posOffset>137578</wp:posOffset>
            </wp:positionV>
            <wp:extent cx="3092205" cy="1684781"/>
            <wp:effectExtent l="0" t="0" r="0" b="0"/>
            <wp:wrapTopAndBottom/>
            <wp:docPr id="117" name="image74.jpeg" descr=""/>
            <wp:cNvGraphicFramePr>
              <a:graphicFrameLocks noChangeAspect="1"/>
            </wp:cNvGraphicFramePr>
            <a:graphic>
              <a:graphicData uri="http://schemas.openxmlformats.org/drawingml/2006/picture">
                <pic:pic>
                  <pic:nvPicPr>
                    <pic:cNvPr id="118" name="image74.jpeg"/>
                    <pic:cNvPicPr/>
                  </pic:nvPicPr>
                  <pic:blipFill>
                    <a:blip r:embed="rId150" cstate="print"/>
                    <a:stretch>
                      <a:fillRect/>
                    </a:stretch>
                  </pic:blipFill>
                  <pic:spPr>
                    <a:xfrm>
                      <a:off x="0" y="0"/>
                      <a:ext cx="3092205" cy="1684781"/>
                    </a:xfrm>
                    <a:prstGeom prst="rect">
                      <a:avLst/>
                    </a:prstGeom>
                  </pic:spPr>
                </pic:pic>
              </a:graphicData>
            </a:graphic>
          </wp:anchor>
        </w:drawing>
      </w:r>
    </w:p>
    <w:p>
      <w:pPr>
        <w:spacing w:before="0"/>
        <w:ind w:left="0" w:right="408" w:firstLine="0"/>
        <w:jc w:val="center"/>
        <w:rPr>
          <w:sz w:val="18"/>
        </w:rPr>
      </w:pPr>
      <w:r>
        <w:rPr>
          <w:sz w:val="18"/>
        </w:rPr>
        <w:t>Image 1. Operation Manual Insertion</w:t>
      </w:r>
    </w:p>
    <w:p>
      <w:pPr>
        <w:pStyle w:val="BodyText"/>
        <w:spacing w:before="6"/>
        <w:rPr>
          <w:sz w:val="15"/>
        </w:rPr>
      </w:pPr>
      <w:r>
        <w:rPr/>
        <w:drawing>
          <wp:anchor distT="0" distB="0" distL="0" distR="0" allowOverlap="1" layoutInCell="1" locked="0" behindDoc="0" simplePos="0" relativeHeight="4768">
            <wp:simplePos x="0" y="0"/>
            <wp:positionH relativeFrom="page">
              <wp:posOffset>4108703</wp:posOffset>
            </wp:positionH>
            <wp:positionV relativeFrom="paragraph">
              <wp:posOffset>138336</wp:posOffset>
            </wp:positionV>
            <wp:extent cx="3091218" cy="2067687"/>
            <wp:effectExtent l="0" t="0" r="0" b="0"/>
            <wp:wrapTopAndBottom/>
            <wp:docPr id="119" name="image75.jpeg" descr=""/>
            <wp:cNvGraphicFramePr>
              <a:graphicFrameLocks noChangeAspect="1"/>
            </wp:cNvGraphicFramePr>
            <a:graphic>
              <a:graphicData uri="http://schemas.openxmlformats.org/drawingml/2006/picture">
                <pic:pic>
                  <pic:nvPicPr>
                    <pic:cNvPr id="120" name="image75.jpeg"/>
                    <pic:cNvPicPr/>
                  </pic:nvPicPr>
                  <pic:blipFill>
                    <a:blip r:embed="rId151" cstate="print"/>
                    <a:stretch>
                      <a:fillRect/>
                    </a:stretch>
                  </pic:blipFill>
                  <pic:spPr>
                    <a:xfrm>
                      <a:off x="0" y="0"/>
                      <a:ext cx="3091218" cy="2067687"/>
                    </a:xfrm>
                    <a:prstGeom prst="rect">
                      <a:avLst/>
                    </a:prstGeom>
                  </pic:spPr>
                </pic:pic>
              </a:graphicData>
            </a:graphic>
          </wp:anchor>
        </w:drawing>
      </w:r>
    </w:p>
    <w:p>
      <w:pPr>
        <w:spacing w:before="16"/>
        <w:ind w:left="0" w:right="407" w:firstLine="0"/>
        <w:jc w:val="center"/>
        <w:rPr>
          <w:sz w:val="18"/>
        </w:rPr>
      </w:pPr>
      <w:r>
        <w:rPr>
          <w:sz w:val="18"/>
        </w:rPr>
        <w:t>Image 2. Wave solder</w:t>
      </w:r>
    </w:p>
    <w:p>
      <w:pPr>
        <w:pStyle w:val="BodyText"/>
        <w:spacing w:before="3"/>
        <w:rPr>
          <w:sz w:val="16"/>
        </w:rPr>
      </w:pPr>
      <w:r>
        <w:rPr/>
        <w:drawing>
          <wp:anchor distT="0" distB="0" distL="0" distR="0" allowOverlap="1" layoutInCell="1" locked="0" behindDoc="0" simplePos="0" relativeHeight="4792">
            <wp:simplePos x="0" y="0"/>
            <wp:positionH relativeFrom="page">
              <wp:posOffset>4183379</wp:posOffset>
            </wp:positionH>
            <wp:positionV relativeFrom="paragraph">
              <wp:posOffset>143670</wp:posOffset>
            </wp:positionV>
            <wp:extent cx="3075015" cy="2863024"/>
            <wp:effectExtent l="0" t="0" r="0" b="0"/>
            <wp:wrapTopAndBottom/>
            <wp:docPr id="121" name="image76.jpeg" descr=""/>
            <wp:cNvGraphicFramePr>
              <a:graphicFrameLocks noChangeAspect="1"/>
            </wp:cNvGraphicFramePr>
            <a:graphic>
              <a:graphicData uri="http://schemas.openxmlformats.org/drawingml/2006/picture">
                <pic:pic>
                  <pic:nvPicPr>
                    <pic:cNvPr id="122" name="image76.jpeg"/>
                    <pic:cNvPicPr/>
                  </pic:nvPicPr>
                  <pic:blipFill>
                    <a:blip r:embed="rId152" cstate="print"/>
                    <a:stretch>
                      <a:fillRect/>
                    </a:stretch>
                  </pic:blipFill>
                  <pic:spPr>
                    <a:xfrm>
                      <a:off x="0" y="0"/>
                      <a:ext cx="3075015" cy="2863024"/>
                    </a:xfrm>
                    <a:prstGeom prst="rect">
                      <a:avLst/>
                    </a:prstGeom>
                  </pic:spPr>
                </pic:pic>
              </a:graphicData>
            </a:graphic>
          </wp:anchor>
        </w:drawing>
      </w:r>
    </w:p>
    <w:p>
      <w:pPr>
        <w:spacing w:before="0"/>
        <w:ind w:left="0" w:right="407" w:firstLine="0"/>
        <w:jc w:val="center"/>
        <w:rPr>
          <w:sz w:val="18"/>
        </w:rPr>
      </w:pPr>
      <w:r>
        <w:rPr>
          <w:sz w:val="18"/>
        </w:rPr>
        <w:t>Image 3. Touch up</w:t>
      </w:r>
    </w:p>
    <w:p>
      <w:pPr>
        <w:spacing w:after="0"/>
        <w:jc w:val="center"/>
        <w:rPr>
          <w:sz w:val="18"/>
        </w:rPr>
        <w:sectPr>
          <w:type w:val="continuous"/>
          <w:pgSz w:w="12240" w:h="15840"/>
          <w:pgMar w:top="1500" w:bottom="280" w:left="580" w:right="220"/>
          <w:cols w:num="2" w:equalWidth="0">
            <w:col w:w="5164" w:space="434"/>
            <w:col w:w="5842"/>
          </w:cols>
        </w:sectPr>
      </w:pPr>
    </w:p>
    <w:p>
      <w:pPr>
        <w:pStyle w:val="BodyText"/>
        <w:rPr>
          <w:sz w:val="18"/>
        </w:rPr>
      </w:pPr>
    </w:p>
    <w:p>
      <w:pPr>
        <w:pStyle w:val="BodyText"/>
        <w:tabs>
          <w:tab w:pos="5884" w:val="left" w:leader="none"/>
        </w:tabs>
        <w:ind w:left="286"/>
      </w:pPr>
      <w:r>
        <w:rPr/>
        <w:drawing>
          <wp:inline distT="0" distB="0" distL="0" distR="0">
            <wp:extent cx="3074803" cy="4142517"/>
            <wp:effectExtent l="0" t="0" r="0" b="0"/>
            <wp:docPr id="123" name="image77.jpeg" descr=""/>
            <wp:cNvGraphicFramePr>
              <a:graphicFrameLocks noChangeAspect="1"/>
            </wp:cNvGraphicFramePr>
            <a:graphic>
              <a:graphicData uri="http://schemas.openxmlformats.org/drawingml/2006/picture">
                <pic:pic>
                  <pic:nvPicPr>
                    <pic:cNvPr id="124" name="image77.jpeg"/>
                    <pic:cNvPicPr/>
                  </pic:nvPicPr>
                  <pic:blipFill>
                    <a:blip r:embed="rId153" cstate="print"/>
                    <a:stretch>
                      <a:fillRect/>
                    </a:stretch>
                  </pic:blipFill>
                  <pic:spPr>
                    <a:xfrm>
                      <a:off x="0" y="0"/>
                      <a:ext cx="3074803" cy="4142517"/>
                    </a:xfrm>
                    <a:prstGeom prst="rect">
                      <a:avLst/>
                    </a:prstGeom>
                  </pic:spPr>
                </pic:pic>
              </a:graphicData>
            </a:graphic>
          </wp:inline>
        </w:drawing>
      </w:r>
      <w:r>
        <w:rPr/>
      </w:r>
      <w:r>
        <w:rPr/>
        <w:tab/>
      </w:r>
      <w:r>
        <w:rPr/>
        <w:drawing>
          <wp:inline distT="0" distB="0" distL="0" distR="0">
            <wp:extent cx="3075931" cy="4142517"/>
            <wp:effectExtent l="0" t="0" r="0" b="0"/>
            <wp:docPr id="125" name="image78.jpeg" descr=""/>
            <wp:cNvGraphicFramePr>
              <a:graphicFrameLocks noChangeAspect="1"/>
            </wp:cNvGraphicFramePr>
            <a:graphic>
              <a:graphicData uri="http://schemas.openxmlformats.org/drawingml/2006/picture">
                <pic:pic>
                  <pic:nvPicPr>
                    <pic:cNvPr id="126" name="image78.jpeg"/>
                    <pic:cNvPicPr/>
                  </pic:nvPicPr>
                  <pic:blipFill>
                    <a:blip r:embed="rId154" cstate="print"/>
                    <a:stretch>
                      <a:fillRect/>
                    </a:stretch>
                  </pic:blipFill>
                  <pic:spPr>
                    <a:xfrm>
                      <a:off x="0" y="0"/>
                      <a:ext cx="3075931" cy="4142517"/>
                    </a:xfrm>
                    <a:prstGeom prst="rect">
                      <a:avLst/>
                    </a:prstGeom>
                  </pic:spPr>
                </pic:pic>
              </a:graphicData>
            </a:graphic>
          </wp:inline>
        </w:drawing>
      </w:r>
      <w:r>
        <w:rPr/>
      </w:r>
    </w:p>
    <w:p>
      <w:pPr>
        <w:spacing w:after="0"/>
        <w:sectPr>
          <w:pgSz w:w="12240" w:h="15840"/>
          <w:pgMar w:header="545" w:footer="852" w:top="1060" w:bottom="1040" w:left="580" w:right="220"/>
        </w:sectPr>
      </w:pPr>
    </w:p>
    <w:p>
      <w:pPr>
        <w:spacing w:before="17"/>
        <w:ind w:left="1541" w:right="1254" w:firstLine="0"/>
        <w:jc w:val="center"/>
        <w:rPr>
          <w:sz w:val="18"/>
        </w:rPr>
      </w:pPr>
      <w:r>
        <w:rPr>
          <w:sz w:val="18"/>
        </w:rPr>
        <w:t>Image 4. Tester</w:t>
      </w:r>
    </w:p>
    <w:p>
      <w:pPr>
        <w:pStyle w:val="BodyText"/>
        <w:rPr>
          <w:sz w:val="15"/>
        </w:rPr>
      </w:pPr>
      <w:r>
        <w:rPr/>
        <w:drawing>
          <wp:anchor distT="0" distB="0" distL="0" distR="0" allowOverlap="1" layoutInCell="1" locked="0" behindDoc="0" simplePos="0" relativeHeight="4816">
            <wp:simplePos x="0" y="0"/>
            <wp:positionH relativeFrom="page">
              <wp:posOffset>550163</wp:posOffset>
            </wp:positionH>
            <wp:positionV relativeFrom="paragraph">
              <wp:posOffset>134530</wp:posOffset>
            </wp:positionV>
            <wp:extent cx="3082079" cy="2883408"/>
            <wp:effectExtent l="0" t="0" r="0" b="0"/>
            <wp:wrapTopAndBottom/>
            <wp:docPr id="127" name="image79.jpeg" descr=""/>
            <wp:cNvGraphicFramePr>
              <a:graphicFrameLocks noChangeAspect="1"/>
            </wp:cNvGraphicFramePr>
            <a:graphic>
              <a:graphicData uri="http://schemas.openxmlformats.org/drawingml/2006/picture">
                <pic:pic>
                  <pic:nvPicPr>
                    <pic:cNvPr id="128" name="image79.jpeg"/>
                    <pic:cNvPicPr/>
                  </pic:nvPicPr>
                  <pic:blipFill>
                    <a:blip r:embed="rId155" cstate="print"/>
                    <a:stretch>
                      <a:fillRect/>
                    </a:stretch>
                  </pic:blipFill>
                  <pic:spPr>
                    <a:xfrm>
                      <a:off x="0" y="0"/>
                      <a:ext cx="3082079" cy="2883408"/>
                    </a:xfrm>
                    <a:prstGeom prst="rect">
                      <a:avLst/>
                    </a:prstGeom>
                  </pic:spPr>
                </pic:pic>
              </a:graphicData>
            </a:graphic>
          </wp:anchor>
        </w:drawing>
      </w:r>
    </w:p>
    <w:p>
      <w:pPr>
        <w:spacing w:before="0"/>
        <w:ind w:left="1541" w:right="1254" w:firstLine="0"/>
        <w:jc w:val="center"/>
        <w:rPr>
          <w:sz w:val="18"/>
        </w:rPr>
      </w:pPr>
      <w:r>
        <w:rPr>
          <w:sz w:val="18"/>
        </w:rPr>
        <w:t>Image 5. Production Technician</w:t>
      </w:r>
    </w:p>
    <w:p>
      <w:pPr>
        <w:spacing w:before="13"/>
        <w:ind w:left="0" w:right="408" w:firstLine="0"/>
        <w:jc w:val="center"/>
        <w:rPr>
          <w:sz w:val="18"/>
        </w:rPr>
      </w:pPr>
      <w:r>
        <w:rPr/>
        <w:br w:type="column"/>
      </w:r>
      <w:r>
        <w:rPr>
          <w:sz w:val="18"/>
        </w:rPr>
        <w:t>Image 6. Conformal</w:t>
      </w:r>
    </w:p>
    <w:p>
      <w:pPr>
        <w:pStyle w:val="BodyText"/>
      </w:pPr>
    </w:p>
    <w:p>
      <w:pPr>
        <w:pStyle w:val="BodyText"/>
        <w:spacing w:before="1"/>
        <w:rPr>
          <w:sz w:val="13"/>
        </w:rPr>
      </w:pPr>
      <w:r>
        <w:rPr/>
        <w:drawing>
          <wp:anchor distT="0" distB="0" distL="0" distR="0" allowOverlap="1" layoutInCell="1" locked="0" behindDoc="0" simplePos="0" relativeHeight="4840">
            <wp:simplePos x="0" y="0"/>
            <wp:positionH relativeFrom="page">
              <wp:posOffset>4104894</wp:posOffset>
            </wp:positionH>
            <wp:positionV relativeFrom="paragraph">
              <wp:posOffset>120318</wp:posOffset>
            </wp:positionV>
            <wp:extent cx="3070624" cy="2444972"/>
            <wp:effectExtent l="0" t="0" r="0" b="0"/>
            <wp:wrapTopAndBottom/>
            <wp:docPr id="129" name="image80.jpeg" descr=""/>
            <wp:cNvGraphicFramePr>
              <a:graphicFrameLocks noChangeAspect="1"/>
            </wp:cNvGraphicFramePr>
            <a:graphic>
              <a:graphicData uri="http://schemas.openxmlformats.org/drawingml/2006/picture">
                <pic:pic>
                  <pic:nvPicPr>
                    <pic:cNvPr id="130" name="image80.jpeg"/>
                    <pic:cNvPicPr/>
                  </pic:nvPicPr>
                  <pic:blipFill>
                    <a:blip r:embed="rId156" cstate="print"/>
                    <a:stretch>
                      <a:fillRect/>
                    </a:stretch>
                  </pic:blipFill>
                  <pic:spPr>
                    <a:xfrm>
                      <a:off x="0" y="0"/>
                      <a:ext cx="3070624" cy="2444972"/>
                    </a:xfrm>
                    <a:prstGeom prst="rect">
                      <a:avLst/>
                    </a:prstGeom>
                  </pic:spPr>
                </pic:pic>
              </a:graphicData>
            </a:graphic>
          </wp:anchor>
        </w:drawing>
      </w:r>
    </w:p>
    <w:p>
      <w:pPr>
        <w:spacing w:before="0"/>
        <w:ind w:left="0" w:right="409" w:firstLine="0"/>
        <w:jc w:val="center"/>
        <w:rPr>
          <w:sz w:val="18"/>
        </w:rPr>
      </w:pPr>
      <w:r>
        <w:rPr>
          <w:sz w:val="18"/>
        </w:rPr>
        <w:t>Imagen 7. Assy</w:t>
      </w:r>
    </w:p>
    <w:p>
      <w:pPr>
        <w:spacing w:after="0"/>
        <w:jc w:val="center"/>
        <w:rPr>
          <w:sz w:val="18"/>
        </w:rPr>
        <w:sectPr>
          <w:type w:val="continuous"/>
          <w:pgSz w:w="12240" w:h="15840"/>
          <w:pgMar w:top="1500" w:bottom="280" w:left="580" w:right="220"/>
          <w:cols w:num="2" w:equalWidth="0">
            <w:col w:w="5146" w:space="452"/>
            <w:col w:w="5842"/>
          </w:cols>
        </w:sectPr>
      </w:pPr>
    </w:p>
    <w:p>
      <w:pPr>
        <w:pStyle w:val="BodyText"/>
        <w:rPr>
          <w:sz w:val="18"/>
        </w:rPr>
      </w:pPr>
    </w:p>
    <w:p>
      <w:pPr>
        <w:pStyle w:val="BodyText"/>
        <w:ind w:left="286" w:right="-34"/>
      </w:pPr>
      <w:r>
        <w:rPr/>
        <w:drawing>
          <wp:inline distT="0" distB="0" distL="0" distR="0">
            <wp:extent cx="3080945" cy="1603248"/>
            <wp:effectExtent l="0" t="0" r="0" b="0"/>
            <wp:docPr id="131" name="image81.jpeg" descr=""/>
            <wp:cNvGraphicFramePr>
              <a:graphicFrameLocks noChangeAspect="1"/>
            </wp:cNvGraphicFramePr>
            <a:graphic>
              <a:graphicData uri="http://schemas.openxmlformats.org/drawingml/2006/picture">
                <pic:pic>
                  <pic:nvPicPr>
                    <pic:cNvPr id="132" name="image81.jpeg"/>
                    <pic:cNvPicPr/>
                  </pic:nvPicPr>
                  <pic:blipFill>
                    <a:blip r:embed="rId157" cstate="print"/>
                    <a:stretch>
                      <a:fillRect/>
                    </a:stretch>
                  </pic:blipFill>
                  <pic:spPr>
                    <a:xfrm>
                      <a:off x="0" y="0"/>
                      <a:ext cx="3080945" cy="1603248"/>
                    </a:xfrm>
                    <a:prstGeom prst="rect">
                      <a:avLst/>
                    </a:prstGeom>
                  </pic:spPr>
                </pic:pic>
              </a:graphicData>
            </a:graphic>
          </wp:inline>
        </w:drawing>
      </w:r>
      <w:r>
        <w:rPr/>
      </w:r>
    </w:p>
    <w:p>
      <w:pPr>
        <w:spacing w:before="0"/>
        <w:ind w:left="1541" w:right="1254" w:firstLine="0"/>
        <w:jc w:val="center"/>
        <w:rPr>
          <w:sz w:val="18"/>
        </w:rPr>
      </w:pPr>
      <w:r>
        <w:rPr>
          <w:sz w:val="18"/>
        </w:rPr>
        <w:t>Image 8. Assy 2</w:t>
      </w:r>
    </w:p>
    <w:p>
      <w:pPr>
        <w:pStyle w:val="BodyText"/>
        <w:spacing w:before="1"/>
        <w:rPr>
          <w:sz w:val="15"/>
        </w:rPr>
      </w:pPr>
      <w:r>
        <w:rPr/>
        <w:drawing>
          <wp:anchor distT="0" distB="0" distL="0" distR="0" allowOverlap="1" layoutInCell="1" locked="0" behindDoc="0" simplePos="0" relativeHeight="4864">
            <wp:simplePos x="0" y="0"/>
            <wp:positionH relativeFrom="page">
              <wp:posOffset>550163</wp:posOffset>
            </wp:positionH>
            <wp:positionV relativeFrom="paragraph">
              <wp:posOffset>135292</wp:posOffset>
            </wp:positionV>
            <wp:extent cx="3082031" cy="2840736"/>
            <wp:effectExtent l="0" t="0" r="0" b="0"/>
            <wp:wrapTopAndBottom/>
            <wp:docPr id="133" name="image82.jpeg" descr=""/>
            <wp:cNvGraphicFramePr>
              <a:graphicFrameLocks noChangeAspect="1"/>
            </wp:cNvGraphicFramePr>
            <a:graphic>
              <a:graphicData uri="http://schemas.openxmlformats.org/drawingml/2006/picture">
                <pic:pic>
                  <pic:nvPicPr>
                    <pic:cNvPr id="134" name="image82.jpeg"/>
                    <pic:cNvPicPr/>
                  </pic:nvPicPr>
                  <pic:blipFill>
                    <a:blip r:embed="rId158" cstate="print"/>
                    <a:stretch>
                      <a:fillRect/>
                    </a:stretch>
                  </pic:blipFill>
                  <pic:spPr>
                    <a:xfrm>
                      <a:off x="0" y="0"/>
                      <a:ext cx="3082031" cy="2840736"/>
                    </a:xfrm>
                    <a:prstGeom prst="rect">
                      <a:avLst/>
                    </a:prstGeom>
                  </pic:spPr>
                </pic:pic>
              </a:graphicData>
            </a:graphic>
          </wp:anchor>
        </w:drawing>
      </w:r>
    </w:p>
    <w:p>
      <w:pPr>
        <w:spacing w:before="0"/>
        <w:ind w:left="1541" w:right="1254" w:firstLine="0"/>
        <w:jc w:val="center"/>
        <w:rPr>
          <w:sz w:val="18"/>
        </w:rPr>
      </w:pPr>
      <w:r>
        <w:rPr>
          <w:sz w:val="18"/>
        </w:rPr>
        <w:t>Image 9. Tester</w:t>
      </w:r>
    </w:p>
    <w:p>
      <w:pPr>
        <w:pStyle w:val="BodyText"/>
        <w:spacing w:before="10"/>
        <w:rPr>
          <w:sz w:val="14"/>
        </w:rPr>
      </w:pPr>
      <w:r>
        <w:rPr/>
        <w:drawing>
          <wp:anchor distT="0" distB="0" distL="0" distR="0" allowOverlap="1" layoutInCell="1" locked="0" behindDoc="0" simplePos="0" relativeHeight="4888">
            <wp:simplePos x="0" y="0"/>
            <wp:positionH relativeFrom="page">
              <wp:posOffset>550163</wp:posOffset>
            </wp:positionH>
            <wp:positionV relativeFrom="paragraph">
              <wp:posOffset>133775</wp:posOffset>
            </wp:positionV>
            <wp:extent cx="3083243" cy="1121664"/>
            <wp:effectExtent l="0" t="0" r="0" b="0"/>
            <wp:wrapTopAndBottom/>
            <wp:docPr id="135" name="image83.jpeg" descr=""/>
            <wp:cNvGraphicFramePr>
              <a:graphicFrameLocks noChangeAspect="1"/>
            </wp:cNvGraphicFramePr>
            <a:graphic>
              <a:graphicData uri="http://schemas.openxmlformats.org/drawingml/2006/picture">
                <pic:pic>
                  <pic:nvPicPr>
                    <pic:cNvPr id="136" name="image83.jpeg"/>
                    <pic:cNvPicPr/>
                  </pic:nvPicPr>
                  <pic:blipFill>
                    <a:blip r:embed="rId159" cstate="print"/>
                    <a:stretch>
                      <a:fillRect/>
                    </a:stretch>
                  </pic:blipFill>
                  <pic:spPr>
                    <a:xfrm>
                      <a:off x="0" y="0"/>
                      <a:ext cx="3083243" cy="1121664"/>
                    </a:xfrm>
                    <a:prstGeom prst="rect">
                      <a:avLst/>
                    </a:prstGeom>
                  </pic:spPr>
                </pic:pic>
              </a:graphicData>
            </a:graphic>
          </wp:anchor>
        </w:drawing>
      </w:r>
    </w:p>
    <w:p>
      <w:pPr>
        <w:spacing w:before="0"/>
        <w:ind w:left="1539" w:right="1254" w:firstLine="0"/>
        <w:jc w:val="center"/>
        <w:rPr>
          <w:sz w:val="18"/>
        </w:rPr>
      </w:pPr>
      <w:r>
        <w:rPr>
          <w:sz w:val="18"/>
        </w:rPr>
        <w:t>Image 10. Packing</w:t>
      </w:r>
    </w:p>
    <w:p>
      <w:pPr>
        <w:pStyle w:val="BodyText"/>
        <w:rPr>
          <w:sz w:val="15"/>
        </w:rPr>
      </w:pPr>
      <w:r>
        <w:rPr/>
        <w:drawing>
          <wp:anchor distT="0" distB="0" distL="0" distR="0" allowOverlap="1" layoutInCell="1" locked="0" behindDoc="0" simplePos="0" relativeHeight="4912">
            <wp:simplePos x="0" y="0"/>
            <wp:positionH relativeFrom="page">
              <wp:posOffset>550163</wp:posOffset>
            </wp:positionH>
            <wp:positionV relativeFrom="paragraph">
              <wp:posOffset>134530</wp:posOffset>
            </wp:positionV>
            <wp:extent cx="3075960" cy="999744"/>
            <wp:effectExtent l="0" t="0" r="0" b="0"/>
            <wp:wrapTopAndBottom/>
            <wp:docPr id="137" name="image84.jpeg" descr=""/>
            <wp:cNvGraphicFramePr>
              <a:graphicFrameLocks noChangeAspect="1"/>
            </wp:cNvGraphicFramePr>
            <a:graphic>
              <a:graphicData uri="http://schemas.openxmlformats.org/drawingml/2006/picture">
                <pic:pic>
                  <pic:nvPicPr>
                    <pic:cNvPr id="138" name="image84.jpeg"/>
                    <pic:cNvPicPr/>
                  </pic:nvPicPr>
                  <pic:blipFill>
                    <a:blip r:embed="rId160" cstate="print"/>
                    <a:stretch>
                      <a:fillRect/>
                    </a:stretch>
                  </pic:blipFill>
                  <pic:spPr>
                    <a:xfrm>
                      <a:off x="0" y="0"/>
                      <a:ext cx="3075960" cy="999744"/>
                    </a:xfrm>
                    <a:prstGeom prst="rect">
                      <a:avLst/>
                    </a:prstGeom>
                  </pic:spPr>
                </pic:pic>
              </a:graphicData>
            </a:graphic>
          </wp:anchor>
        </w:drawing>
      </w:r>
    </w:p>
    <w:p>
      <w:pPr>
        <w:spacing w:before="0"/>
        <w:ind w:left="1540" w:right="1254" w:firstLine="0"/>
        <w:jc w:val="center"/>
        <w:rPr>
          <w:sz w:val="18"/>
        </w:rPr>
      </w:pPr>
      <w:r>
        <w:rPr>
          <w:sz w:val="18"/>
        </w:rPr>
        <w:t>Image 11. Packing 1</w:t>
      </w:r>
    </w:p>
    <w:p>
      <w:pPr>
        <w:pStyle w:val="BodyText"/>
        <w:spacing w:before="8" w:after="39"/>
        <w:rPr>
          <w:sz w:val="14"/>
        </w:rPr>
      </w:pPr>
      <w:r>
        <w:rPr/>
        <w:br w:type="column"/>
      </w:r>
      <w:r>
        <w:rPr>
          <w:sz w:val="14"/>
        </w:rPr>
      </w:r>
    </w:p>
    <w:p>
      <w:pPr>
        <w:pStyle w:val="BodyText"/>
        <w:ind w:left="302"/>
      </w:pPr>
      <w:r>
        <w:rPr/>
        <w:drawing>
          <wp:inline distT="0" distB="0" distL="0" distR="0">
            <wp:extent cx="3068432" cy="1106424"/>
            <wp:effectExtent l="0" t="0" r="0" b="0"/>
            <wp:docPr id="139" name="image85.jpeg" descr=""/>
            <wp:cNvGraphicFramePr>
              <a:graphicFrameLocks noChangeAspect="1"/>
            </wp:cNvGraphicFramePr>
            <a:graphic>
              <a:graphicData uri="http://schemas.openxmlformats.org/drawingml/2006/picture">
                <pic:pic>
                  <pic:nvPicPr>
                    <pic:cNvPr id="140" name="image85.jpeg"/>
                    <pic:cNvPicPr/>
                  </pic:nvPicPr>
                  <pic:blipFill>
                    <a:blip r:embed="rId161" cstate="print"/>
                    <a:stretch>
                      <a:fillRect/>
                    </a:stretch>
                  </pic:blipFill>
                  <pic:spPr>
                    <a:xfrm>
                      <a:off x="0" y="0"/>
                      <a:ext cx="3068432" cy="1106424"/>
                    </a:xfrm>
                    <a:prstGeom prst="rect">
                      <a:avLst/>
                    </a:prstGeom>
                  </pic:spPr>
                </pic:pic>
              </a:graphicData>
            </a:graphic>
          </wp:inline>
        </w:drawing>
      </w:r>
      <w:r>
        <w:rPr/>
      </w:r>
    </w:p>
    <w:p>
      <w:pPr>
        <w:spacing w:before="4"/>
        <w:ind w:left="1946" w:right="711" w:firstLine="0"/>
        <w:jc w:val="left"/>
        <w:rPr>
          <w:sz w:val="18"/>
        </w:rPr>
      </w:pPr>
      <w:r>
        <w:rPr>
          <w:sz w:val="18"/>
        </w:rPr>
        <w:t>Imagen 12. Packing 2</w:t>
      </w:r>
    </w:p>
    <w:p>
      <w:pPr>
        <w:pStyle w:val="BodyText"/>
        <w:rPr>
          <w:sz w:val="18"/>
        </w:rPr>
      </w:pPr>
    </w:p>
    <w:p>
      <w:pPr>
        <w:pStyle w:val="BodyText"/>
        <w:spacing w:before="3"/>
        <w:rPr>
          <w:sz w:val="18"/>
        </w:rPr>
      </w:pPr>
    </w:p>
    <w:p>
      <w:pPr>
        <w:pStyle w:val="ListParagraph"/>
        <w:numPr>
          <w:ilvl w:val="0"/>
          <w:numId w:val="53"/>
        </w:numPr>
        <w:tabs>
          <w:tab w:pos="468" w:val="left" w:leader="none"/>
        </w:tabs>
        <w:spacing w:line="240" w:lineRule="auto" w:before="0" w:after="0"/>
        <w:ind w:left="467" w:right="0" w:hanging="181"/>
        <w:jc w:val="left"/>
        <w:rPr>
          <w:b/>
          <w:sz w:val="18"/>
        </w:rPr>
      </w:pPr>
      <w:r>
        <w:rPr>
          <w:b/>
          <w:sz w:val="18"/>
        </w:rPr>
        <w:t>CONCLUSIONS</w:t>
      </w:r>
    </w:p>
    <w:p>
      <w:pPr>
        <w:pStyle w:val="BodyText"/>
        <w:spacing w:before="7"/>
        <w:rPr>
          <w:b/>
          <w:sz w:val="17"/>
        </w:rPr>
      </w:pPr>
    </w:p>
    <w:p>
      <w:pPr>
        <w:spacing w:before="1"/>
        <w:ind w:left="286" w:right="677" w:firstLine="0"/>
        <w:jc w:val="both"/>
        <w:rPr>
          <w:sz w:val="18"/>
        </w:rPr>
      </w:pPr>
      <w:r>
        <w:rPr>
          <w:sz w:val="18"/>
        </w:rPr>
        <w:t>To implement this analysis was studied afond the REBA method was instrumental that helped identify with greater certainty the levels of ergonomic risk that exist in each area, to define more effective operations with serious ergonomic hazards affecting productivity of staff working in manufacturing industry, this will help us as a precedent for future ergonomic projects in the  company and laid the foundations for better productivity and  fitness for workers working inside the plant, because they are the engine more important for each</w:t>
      </w:r>
      <w:r>
        <w:rPr>
          <w:spacing w:val="-7"/>
          <w:sz w:val="18"/>
        </w:rPr>
        <w:t> </w:t>
      </w:r>
      <w:r>
        <w:rPr>
          <w:sz w:val="18"/>
        </w:rPr>
        <w:t>organization.</w:t>
      </w:r>
    </w:p>
    <w:p>
      <w:pPr>
        <w:pStyle w:val="BodyText"/>
        <w:spacing w:before="3"/>
        <w:rPr>
          <w:sz w:val="18"/>
        </w:rPr>
      </w:pPr>
    </w:p>
    <w:p>
      <w:pPr>
        <w:pStyle w:val="ListParagraph"/>
        <w:numPr>
          <w:ilvl w:val="0"/>
          <w:numId w:val="53"/>
        </w:numPr>
        <w:tabs>
          <w:tab w:pos="468" w:val="left" w:leader="none"/>
        </w:tabs>
        <w:spacing w:line="240" w:lineRule="auto" w:before="0" w:after="0"/>
        <w:ind w:left="467" w:right="0" w:hanging="181"/>
        <w:jc w:val="left"/>
        <w:rPr>
          <w:b/>
          <w:sz w:val="18"/>
        </w:rPr>
      </w:pPr>
      <w:r>
        <w:rPr>
          <w:b/>
          <w:sz w:val="18"/>
        </w:rPr>
        <w:t>CONTRIBUTION TO</w:t>
      </w:r>
      <w:r>
        <w:rPr>
          <w:b/>
          <w:spacing w:val="-22"/>
          <w:sz w:val="18"/>
        </w:rPr>
        <w:t> </w:t>
      </w:r>
      <w:r>
        <w:rPr>
          <w:b/>
          <w:sz w:val="18"/>
        </w:rPr>
        <w:t>ERGONOMICS</w:t>
      </w:r>
    </w:p>
    <w:p>
      <w:pPr>
        <w:pStyle w:val="BodyText"/>
        <w:spacing w:before="7"/>
        <w:rPr>
          <w:b/>
          <w:sz w:val="17"/>
        </w:rPr>
      </w:pPr>
    </w:p>
    <w:p>
      <w:pPr>
        <w:spacing w:before="1"/>
        <w:ind w:left="286" w:right="677" w:firstLine="0"/>
        <w:jc w:val="both"/>
        <w:rPr>
          <w:sz w:val="18"/>
        </w:rPr>
      </w:pPr>
      <w:r>
        <w:rPr>
          <w:sz w:val="18"/>
        </w:rPr>
        <w:t>As time has progressed, technology grow uncontrollably bringing new problems for the safety and health of people, hence the fundamental importance of ergonomics as an interdisciplinary science to address problems that arise every day. It is important to know the proper methods and techniques work to help workers increase their quality as a person through this can improve organizational productivity and improve working conditions.</w:t>
      </w:r>
    </w:p>
    <w:p>
      <w:pPr>
        <w:pStyle w:val="BodyText"/>
        <w:spacing w:before="3"/>
        <w:rPr>
          <w:sz w:val="18"/>
        </w:rPr>
      </w:pPr>
    </w:p>
    <w:p>
      <w:pPr>
        <w:spacing w:before="0"/>
        <w:ind w:left="286" w:right="711" w:firstLine="0"/>
        <w:jc w:val="left"/>
        <w:rPr>
          <w:b/>
          <w:sz w:val="18"/>
        </w:rPr>
      </w:pPr>
      <w:r>
        <w:rPr>
          <w:b/>
          <w:sz w:val="18"/>
        </w:rPr>
        <w:t>REFERENCES</w:t>
      </w:r>
    </w:p>
    <w:p>
      <w:pPr>
        <w:pStyle w:val="BodyText"/>
        <w:spacing w:before="7"/>
        <w:rPr>
          <w:b/>
          <w:sz w:val="17"/>
        </w:rPr>
      </w:pPr>
    </w:p>
    <w:p>
      <w:pPr>
        <w:spacing w:before="1"/>
        <w:ind w:left="286" w:right="677" w:firstLine="0"/>
        <w:jc w:val="both"/>
        <w:rPr>
          <w:sz w:val="18"/>
        </w:rPr>
      </w:pPr>
      <w:r>
        <w:rPr>
          <w:sz w:val="18"/>
        </w:rPr>
        <w:t>[ 3] </w:t>
      </w:r>
      <w:r>
        <w:rPr>
          <w:i/>
          <w:sz w:val="18"/>
        </w:rPr>
        <w:t>Instituto Nacional de Seguridad e Higiene en el Trabajo. </w:t>
      </w:r>
      <w:r>
        <w:rPr>
          <w:color w:val="0000FF"/>
          <w:sz w:val="18"/>
          <w:u w:val="single" w:color="0000FF"/>
        </w:rPr>
        <w:t>http://calculadores.insht.es:86/An%C3%A1lisisdeposturasforzadas/ Entradadedatos.aspx</w:t>
      </w:r>
    </w:p>
    <w:p>
      <w:pPr>
        <w:spacing w:before="4"/>
        <w:ind w:left="286" w:right="711" w:firstLine="0"/>
        <w:jc w:val="left"/>
        <w:rPr>
          <w:rFonts w:ascii="Calibri" w:hAnsi="Calibri"/>
          <w:sz w:val="18"/>
        </w:rPr>
      </w:pPr>
      <w:r>
        <w:rPr>
          <w:rFonts w:ascii="Calibri" w:hAnsi="Calibri"/>
          <w:sz w:val="18"/>
        </w:rPr>
        <w:t>[ 4] Silvia Nogareda C. (2001). </w:t>
      </w:r>
      <w:r>
        <w:rPr>
          <w:rFonts w:ascii="Calibri" w:hAnsi="Calibri"/>
          <w:i/>
          <w:sz w:val="18"/>
        </w:rPr>
        <w:t>Evaluación de las condiciones de </w:t>
      </w:r>
      <w:r>
        <w:rPr>
          <w:rFonts w:ascii="Calibri" w:hAnsi="Calibri"/>
          <w:i/>
          <w:sz w:val="18"/>
        </w:rPr>
        <w:t>trabajo: carga postural. Método REBA (Rapid Entire Body Assessment) </w:t>
      </w:r>
      <w:hyperlink r:id="rId162">
        <w:r>
          <w:rPr>
            <w:rFonts w:ascii="Calibri" w:hAnsi="Calibri"/>
            <w:color w:val="0000FF"/>
            <w:sz w:val="18"/>
            <w:u w:val="single" w:color="0000FF"/>
          </w:rPr>
          <w:t>https://www.estrucplan.com.ar/</w:t>
        </w:r>
      </w:hyperlink>
      <w:r>
        <w:rPr>
          <w:rFonts w:ascii="Calibri" w:hAnsi="Calibri"/>
          <w:color w:val="0000FF"/>
          <w:sz w:val="18"/>
          <w:u w:val="single" w:color="0000FF"/>
        </w:rPr>
        <w:t>Producci</w:t>
      </w:r>
      <w:hyperlink r:id="rId162">
        <w:r>
          <w:rPr>
            <w:rFonts w:ascii="Calibri" w:hAnsi="Calibri"/>
            <w:color w:val="0000FF"/>
            <w:sz w:val="18"/>
            <w:u w:val="single" w:color="0000FF"/>
          </w:rPr>
          <w:t>ones/imprimir.asp?IdEnt</w:t>
        </w:r>
      </w:hyperlink>
      <w:r>
        <w:rPr>
          <w:rFonts w:ascii="Calibri" w:hAnsi="Calibri"/>
          <w:color w:val="0000FF"/>
          <w:sz w:val="18"/>
          <w:u w:val="single" w:color="0000FF"/>
        </w:rPr>
        <w:t> rega=1055</w:t>
      </w:r>
    </w:p>
    <w:p>
      <w:pPr>
        <w:spacing w:before="0"/>
        <w:ind w:left="286" w:right="711" w:firstLine="0"/>
        <w:jc w:val="left"/>
        <w:rPr>
          <w:rFonts w:ascii="Calibri" w:hAnsi="Calibri"/>
          <w:sz w:val="18"/>
        </w:rPr>
      </w:pPr>
      <w:r>
        <w:rPr>
          <w:rFonts w:ascii="Calibri" w:hAnsi="Calibri"/>
          <w:sz w:val="18"/>
        </w:rPr>
        <w:t>[3] José Luis Vallejo G. (2002). Ergonomía Ocupacional – (lesiones muscoesqueleticas) </w:t>
      </w:r>
      <w:hyperlink r:id="rId162">
        <w:r>
          <w:rPr>
            <w:rFonts w:ascii="Calibri" w:hAnsi="Calibri"/>
            <w:color w:val="0000FF"/>
            <w:sz w:val="18"/>
            <w:u w:val="single" w:color="0000FF"/>
          </w:rPr>
          <w:t>https://www.estrucplan.com.ar/</w:t>
        </w:r>
      </w:hyperlink>
      <w:r>
        <w:rPr>
          <w:rFonts w:ascii="Calibri" w:hAnsi="Calibri"/>
          <w:color w:val="0000FF"/>
          <w:sz w:val="18"/>
          <w:u w:val="single" w:color="0000FF"/>
        </w:rPr>
        <w:t>Producci</w:t>
      </w:r>
      <w:hyperlink r:id="rId162">
        <w:r>
          <w:rPr>
            <w:rFonts w:ascii="Calibri" w:hAnsi="Calibri"/>
            <w:color w:val="0000FF"/>
            <w:sz w:val="18"/>
            <w:u w:val="single" w:color="0000FF"/>
          </w:rPr>
          <w:t>ones/imprimir.asp?IdEnt</w:t>
        </w:r>
      </w:hyperlink>
      <w:r>
        <w:rPr>
          <w:rFonts w:ascii="Calibri" w:hAnsi="Calibri"/>
          <w:color w:val="0000FF"/>
          <w:sz w:val="18"/>
          <w:u w:val="single" w:color="0000FF"/>
        </w:rPr>
        <w:t> rega=1055</w:t>
      </w:r>
    </w:p>
    <w:p>
      <w:pPr>
        <w:spacing w:before="0"/>
        <w:ind w:left="286" w:right="756" w:firstLine="0"/>
        <w:jc w:val="left"/>
        <w:rPr>
          <w:rFonts w:ascii="Calibri" w:hAnsi="Calibri"/>
          <w:sz w:val="18"/>
        </w:rPr>
      </w:pPr>
      <w:r>
        <w:rPr>
          <w:rFonts w:ascii="Calibri" w:hAnsi="Calibri"/>
          <w:sz w:val="18"/>
        </w:rPr>
        <w:t>[4] Prevalia, S. (2013). Riesgos Ergonómicos y Medidas Preventivas en las Empresas Lideradas por Jóvenes Empresarios </w:t>
      </w:r>
      <w:hyperlink r:id="rId163">
        <w:r>
          <w:rPr>
            <w:rFonts w:ascii="Calibri" w:hAnsi="Calibri"/>
            <w:color w:val="0000FF"/>
            <w:sz w:val="18"/>
            <w:u w:val="single" w:color="0000FF"/>
          </w:rPr>
          <w:t>http://prevalia.es/sites/prevalia.es/files/documentos/aje_ergono</w:t>
        </w:r>
      </w:hyperlink>
      <w:r>
        <w:rPr>
          <w:rFonts w:ascii="Calibri" w:hAnsi="Calibri"/>
          <w:color w:val="0000FF"/>
          <w:sz w:val="18"/>
          <w:u w:val="single" w:color="0000FF"/>
        </w:rPr>
        <w:t> micos.pdf</w:t>
      </w:r>
    </w:p>
    <w:p>
      <w:pPr>
        <w:spacing w:after="0"/>
        <w:jc w:val="left"/>
        <w:rPr>
          <w:rFonts w:ascii="Calibri" w:hAnsi="Calibri"/>
          <w:sz w:val="18"/>
        </w:rPr>
        <w:sectPr>
          <w:pgSz w:w="12240" w:h="15840"/>
          <w:pgMar w:header="545" w:footer="852" w:top="1060" w:bottom="1040" w:left="580" w:right="220"/>
          <w:cols w:num="2" w:equalWidth="0">
            <w:col w:w="5146" w:space="437"/>
            <w:col w:w="5857"/>
          </w:cols>
        </w:sectPr>
      </w:pPr>
    </w:p>
    <w:p>
      <w:pPr>
        <w:pStyle w:val="BodyText"/>
        <w:spacing w:before="4"/>
        <w:rPr>
          <w:rFonts w:ascii="Calibri"/>
          <w:sz w:val="10"/>
        </w:rPr>
      </w:pPr>
    </w:p>
    <w:p>
      <w:pPr>
        <w:spacing w:after="0"/>
        <w:rPr>
          <w:rFonts w:ascii="Calibri"/>
          <w:sz w:val="10"/>
        </w:rPr>
        <w:sectPr>
          <w:pgSz w:w="12240" w:h="15840"/>
          <w:pgMar w:header="545" w:footer="852" w:top="1060" w:bottom="1040" w:left="580" w:right="220"/>
        </w:sectPr>
      </w:pPr>
    </w:p>
    <w:p>
      <w:pPr>
        <w:pStyle w:val="BodyText"/>
        <w:spacing w:before="6"/>
        <w:rPr>
          <w:rFonts w:ascii="Calibri"/>
          <w:sz w:val="23"/>
        </w:rPr>
      </w:pPr>
    </w:p>
    <w:p>
      <w:pPr>
        <w:pStyle w:val="Heading1"/>
        <w:spacing w:before="1"/>
        <w:ind w:right="17"/>
      </w:pPr>
      <w:r>
        <w:rPr/>
        <w:t>Ergonomic analysis of evaluation in a solder workshop using the Method REBA</w:t>
      </w:r>
    </w:p>
    <w:p>
      <w:pPr>
        <w:spacing w:line="206" w:lineRule="exact" w:before="207"/>
        <w:ind w:left="270" w:right="17" w:firstLine="0"/>
        <w:jc w:val="both"/>
        <w:rPr>
          <w:i/>
          <w:sz w:val="18"/>
        </w:rPr>
      </w:pPr>
      <w:r>
        <w:rPr>
          <w:i/>
          <w:sz w:val="18"/>
        </w:rPr>
        <w:t>Juan Heberto Valenzuela Contreras</w:t>
      </w:r>
      <w:r>
        <w:rPr>
          <w:i/>
          <w:position w:val="8"/>
          <w:sz w:val="12"/>
        </w:rPr>
        <w:t>a</w:t>
      </w:r>
      <w:r>
        <w:rPr>
          <w:i/>
          <w:sz w:val="18"/>
        </w:rPr>
        <w:t>., Luis Carlos Montiel </w:t>
      </w:r>
      <w:r>
        <w:rPr>
          <w:i/>
          <w:sz w:val="18"/>
        </w:rPr>
        <w:t>Rodríguez</w:t>
      </w:r>
      <w:r>
        <w:rPr>
          <w:i/>
          <w:position w:val="8"/>
          <w:sz w:val="12"/>
        </w:rPr>
        <w:t>b</w:t>
      </w:r>
      <w:r>
        <w:rPr>
          <w:i/>
          <w:sz w:val="18"/>
        </w:rPr>
        <w:t>, Mauricio López Acosta</w:t>
      </w:r>
      <w:r>
        <w:rPr>
          <w:i/>
          <w:position w:val="8"/>
          <w:sz w:val="12"/>
        </w:rPr>
        <w:t>b</w:t>
      </w:r>
      <w:r>
        <w:rPr>
          <w:i/>
          <w:sz w:val="18"/>
        </w:rPr>
        <w:t>., Allan Chacara Montes</w:t>
      </w:r>
      <w:r>
        <w:rPr>
          <w:i/>
          <w:position w:val="8"/>
          <w:sz w:val="12"/>
        </w:rPr>
        <w:t>b</w:t>
      </w:r>
      <w:r>
        <w:rPr>
          <w:i/>
          <w:sz w:val="18"/>
        </w:rPr>
        <w:t>.</w:t>
      </w:r>
    </w:p>
    <w:p>
      <w:pPr>
        <w:pStyle w:val="BodyText"/>
        <w:spacing w:before="8"/>
        <w:rPr>
          <w:i/>
          <w:sz w:val="15"/>
        </w:rPr>
      </w:pPr>
    </w:p>
    <w:p>
      <w:pPr>
        <w:spacing w:before="0"/>
        <w:ind w:left="270" w:right="1" w:firstLine="0"/>
        <w:jc w:val="both"/>
        <w:rPr>
          <w:sz w:val="18"/>
        </w:rPr>
      </w:pPr>
      <w:r>
        <w:rPr>
          <w:position w:val="8"/>
          <w:sz w:val="12"/>
        </w:rPr>
        <w:t>a </w:t>
      </w:r>
      <w:r>
        <w:rPr>
          <w:sz w:val="18"/>
        </w:rPr>
        <w:t>Instituto Tecnológico de Sonora, </w:t>
      </w:r>
      <w:hyperlink r:id="rId164">
        <w:r>
          <w:rPr>
            <w:sz w:val="18"/>
          </w:rPr>
          <w:t>juane_12@hotmail.com,</w:t>
        </w:r>
      </w:hyperlink>
      <w:r>
        <w:rPr>
          <w:sz w:val="18"/>
        </w:rPr>
        <w:t> Navojoa, Sonora, México.</w:t>
      </w:r>
    </w:p>
    <w:p>
      <w:pPr>
        <w:spacing w:line="206" w:lineRule="exact" w:before="2"/>
        <w:ind w:left="270" w:right="0" w:firstLine="0"/>
        <w:jc w:val="both"/>
        <w:rPr>
          <w:sz w:val="18"/>
        </w:rPr>
      </w:pPr>
      <w:r>
        <w:rPr>
          <w:position w:val="8"/>
          <w:sz w:val="12"/>
        </w:rPr>
        <w:t>b </w:t>
      </w:r>
      <w:r>
        <w:rPr>
          <w:sz w:val="18"/>
        </w:rPr>
        <w:t>Instituto Tecnológico de Sonora, Departamento de Ingeniería Industrial, Navojoa, Sonora, México.</w:t>
      </w:r>
    </w:p>
    <w:p>
      <w:pPr>
        <w:pStyle w:val="BodyText"/>
        <w:rPr>
          <w:sz w:val="18"/>
        </w:rPr>
      </w:pPr>
    </w:p>
    <w:p>
      <w:pPr>
        <w:pStyle w:val="BodyText"/>
        <w:spacing w:before="3"/>
        <w:rPr>
          <w:sz w:val="18"/>
        </w:rPr>
      </w:pPr>
    </w:p>
    <w:p>
      <w:pPr>
        <w:spacing w:before="0"/>
        <w:ind w:left="270" w:right="0" w:firstLine="0"/>
        <w:jc w:val="both"/>
        <w:rPr>
          <w:b/>
          <w:sz w:val="18"/>
        </w:rPr>
      </w:pPr>
      <w:r>
        <w:rPr/>
        <w:pict>
          <v:line style="position:absolute;mso-position-horizontal-relative:page;mso-position-vertical-relative:paragraph;z-index:4936" from="41.040001pt,12.09206pt" to="288.540001pt,12.09206pt" stroked="true" strokeweight="1.5pt" strokecolor="#000000">
            <w10:wrap type="none"/>
          </v:line>
        </w:pict>
      </w:r>
      <w:r>
        <w:rPr>
          <w:b/>
          <w:sz w:val="18"/>
        </w:rPr>
        <w:t>Resumen</w:t>
      </w:r>
    </w:p>
    <w:p>
      <w:pPr>
        <w:spacing w:before="45"/>
        <w:ind w:left="270" w:right="16" w:firstLine="0"/>
        <w:jc w:val="both"/>
        <w:rPr>
          <w:sz w:val="18"/>
        </w:rPr>
      </w:pPr>
      <w:r>
        <w:rPr>
          <w:sz w:val="18"/>
        </w:rPr>
        <w:t>El propósito de esta actividad es identificar los riesgos y posturas ergonómicas que tienen una soldadura trabajador, en este trabajo se utilizó el método REBA para evaluar las distintas posturas de los trabajadores, tales como troncales posiciones, cuello, piernas, brazos, antebrazos y muñecas. Con el fin de proporcionar  una mejor seguridad en el empleo en el momento de realizar sus actividades, reduciendo los riesgos ergonómicos en la postura de no tener como consecuencias que afectan a sus problemas de salud.</w:t>
      </w:r>
    </w:p>
    <w:p>
      <w:pPr>
        <w:pStyle w:val="BodyText"/>
        <w:spacing w:before="10"/>
        <w:rPr>
          <w:sz w:val="17"/>
        </w:rPr>
      </w:pPr>
    </w:p>
    <w:p>
      <w:pPr>
        <w:spacing w:before="0"/>
        <w:ind w:left="270" w:right="0" w:firstLine="0"/>
        <w:jc w:val="both"/>
        <w:rPr>
          <w:sz w:val="18"/>
        </w:rPr>
      </w:pPr>
      <w:r>
        <w:rPr>
          <w:b/>
          <w:sz w:val="18"/>
        </w:rPr>
        <w:t>Palabras clave</w:t>
      </w:r>
      <w:r>
        <w:rPr>
          <w:sz w:val="18"/>
        </w:rPr>
        <w:t>— Ergonomía, Método REBA, Riesgos.</w:t>
      </w:r>
    </w:p>
    <w:p>
      <w:pPr>
        <w:pStyle w:val="BodyText"/>
        <w:spacing w:before="6"/>
        <w:rPr>
          <w:sz w:val="18"/>
        </w:rPr>
      </w:pPr>
    </w:p>
    <w:p>
      <w:pPr>
        <w:spacing w:before="0"/>
        <w:ind w:left="270" w:right="0" w:firstLine="0"/>
        <w:jc w:val="both"/>
        <w:rPr>
          <w:b/>
          <w:i/>
          <w:sz w:val="18"/>
        </w:rPr>
      </w:pPr>
      <w:r>
        <w:rPr/>
        <w:pict>
          <v:line style="position:absolute;mso-position-horizontal-relative:page;mso-position-vertical-relative:paragraph;z-index:4960" from="41.040001pt,12.092334pt" to="288.540001pt,12.092334pt" stroked="true" strokeweight="1.5pt" strokecolor="#000000">
            <w10:wrap type="none"/>
          </v:line>
        </w:pict>
      </w:r>
      <w:r>
        <w:rPr>
          <w:b/>
          <w:i/>
          <w:sz w:val="18"/>
        </w:rPr>
        <w:t>Abstract</w:t>
      </w:r>
    </w:p>
    <w:p>
      <w:pPr>
        <w:spacing w:before="45"/>
        <w:ind w:left="270" w:right="16" w:firstLine="0"/>
        <w:jc w:val="both"/>
        <w:rPr>
          <w:sz w:val="18"/>
        </w:rPr>
      </w:pPr>
      <w:r>
        <w:rPr>
          <w:sz w:val="18"/>
        </w:rPr>
        <w:t>The purpose of this activity is to identify risks and ergonomic postures having a worker solder, in this work the REBA method was employed to evaluate the different postures of workers such as position trunk, neck, legs, arms, forearms and wrists. In order to provide better job security at the moment performing their activities, reducing ergonomic risks in posture to not have as consequences that affect their health</w:t>
      </w:r>
      <w:r>
        <w:rPr>
          <w:spacing w:val="-11"/>
          <w:sz w:val="18"/>
        </w:rPr>
        <w:t> </w:t>
      </w:r>
      <w:r>
        <w:rPr>
          <w:sz w:val="18"/>
        </w:rPr>
        <w:t>problems.</w:t>
      </w:r>
    </w:p>
    <w:p>
      <w:pPr>
        <w:pStyle w:val="BodyText"/>
        <w:spacing w:before="10"/>
        <w:rPr>
          <w:sz w:val="17"/>
        </w:rPr>
      </w:pPr>
    </w:p>
    <w:p>
      <w:pPr>
        <w:spacing w:before="0"/>
        <w:ind w:left="270" w:right="1385" w:firstLine="0"/>
        <w:jc w:val="left"/>
        <w:rPr>
          <w:sz w:val="18"/>
        </w:rPr>
      </w:pPr>
      <w:r>
        <w:rPr>
          <w:b/>
          <w:i/>
          <w:sz w:val="18"/>
        </w:rPr>
        <w:t>Keywords</w:t>
      </w:r>
      <w:r>
        <w:rPr>
          <w:i/>
          <w:sz w:val="18"/>
        </w:rPr>
        <w:t>— </w:t>
      </w:r>
      <w:r>
        <w:rPr>
          <w:sz w:val="18"/>
        </w:rPr>
        <w:t>Ergonomics, REBA Method, Risks. Relevance to Ergonomics:</w:t>
      </w:r>
    </w:p>
    <w:p>
      <w:pPr>
        <w:spacing w:before="0"/>
        <w:ind w:left="270" w:right="14" w:firstLine="0"/>
        <w:jc w:val="both"/>
        <w:rPr>
          <w:sz w:val="18"/>
        </w:rPr>
      </w:pPr>
      <w:r>
        <w:rPr>
          <w:sz w:val="18"/>
        </w:rPr>
        <w:t>This method allows the valuation of muscle activity and determines the level of risk to minimize or eliminate, to improve the workplace and increase quality.</w:t>
      </w:r>
    </w:p>
    <w:p>
      <w:pPr>
        <w:pStyle w:val="BodyText"/>
        <w:rPr>
          <w:sz w:val="18"/>
        </w:rPr>
      </w:pPr>
    </w:p>
    <w:p>
      <w:pPr>
        <w:pStyle w:val="BodyText"/>
        <w:spacing w:before="4"/>
        <w:rPr>
          <w:sz w:val="18"/>
        </w:rPr>
      </w:pPr>
    </w:p>
    <w:p>
      <w:pPr>
        <w:pStyle w:val="ListParagraph"/>
        <w:numPr>
          <w:ilvl w:val="0"/>
          <w:numId w:val="55"/>
        </w:numPr>
        <w:tabs>
          <w:tab w:pos="556" w:val="left" w:leader="none"/>
        </w:tabs>
        <w:spacing w:line="240" w:lineRule="auto" w:before="0" w:after="0"/>
        <w:ind w:left="555" w:right="0" w:hanging="285"/>
        <w:jc w:val="both"/>
        <w:rPr>
          <w:b/>
          <w:sz w:val="18"/>
        </w:rPr>
      </w:pPr>
      <w:r>
        <w:rPr>
          <w:b/>
          <w:sz w:val="18"/>
        </w:rPr>
        <w:t>INTRODUCTION</w:t>
      </w:r>
    </w:p>
    <w:p>
      <w:pPr>
        <w:pStyle w:val="BodyText"/>
        <w:spacing w:before="7"/>
        <w:rPr>
          <w:b/>
          <w:sz w:val="17"/>
        </w:rPr>
      </w:pPr>
    </w:p>
    <w:p>
      <w:pPr>
        <w:spacing w:before="1"/>
        <w:ind w:left="270" w:right="16" w:firstLine="0"/>
        <w:jc w:val="both"/>
        <w:rPr>
          <w:sz w:val="18"/>
        </w:rPr>
      </w:pPr>
      <w:r>
        <w:rPr>
          <w:sz w:val="18"/>
        </w:rPr>
        <w:t>The method allows the joint analysis of the positions taken by the upper limbs (arm, forearm, wrist), trunk, neck and legs. It also defines other factors considered decisive for the final assessment of posture, such as loading or handled strength, grip type or type of muscular activity of the worker. Allows to evaluate both static and dynamic postures and incorporates novelty noted the possibility of the existence of sudden changes in posture or unstable positions.</w:t>
      </w:r>
    </w:p>
    <w:p>
      <w:pPr>
        <w:spacing w:before="0"/>
        <w:ind w:left="270" w:right="16" w:firstLine="430"/>
        <w:jc w:val="both"/>
        <w:rPr>
          <w:sz w:val="18"/>
        </w:rPr>
      </w:pPr>
      <w:r>
        <w:rPr>
          <w:sz w:val="18"/>
        </w:rPr>
        <w:t>Note the inclusion in the method of a new factor which assesses whether the position of the upper limbs is adopted for or against gravity. It is considered that this circumstance accentuated or attenuated, as a stand for or against gravity, the risk associated with the position. The techniques used to perform a postural analysis have two characteristics that are the sensitivity and generality; high generality means that it is applicable in many cases but probably has a low sensitivity, ie, the results obtained may be poor in details. However, those techniques with high sensitivity in a very precise information on the specific parameters being measured is needed, often have a very limited application. But known to this day, none is particularly sensitive to assess the amount of stress positions that occur frequently in the tasks that have to   manipulate</w:t>
      </w:r>
    </w:p>
    <w:p>
      <w:pPr>
        <w:spacing w:before="77"/>
        <w:ind w:left="270" w:right="678" w:firstLine="0"/>
        <w:jc w:val="both"/>
        <w:rPr>
          <w:sz w:val="18"/>
        </w:rPr>
      </w:pPr>
      <w:r>
        <w:rPr/>
        <w:br w:type="column"/>
      </w:r>
      <w:r>
        <w:rPr>
          <w:sz w:val="18"/>
        </w:rPr>
        <w:t>people or any type of animated loading. The method presented is a new tool to analyze such positions; is emerging and is in validation phase although the reliability of the coding parts of the body is  high.</w:t>
      </w:r>
    </w:p>
    <w:p>
      <w:pPr>
        <w:pStyle w:val="BodyText"/>
        <w:spacing w:before="3"/>
        <w:rPr>
          <w:sz w:val="18"/>
        </w:rPr>
      </w:pPr>
    </w:p>
    <w:p>
      <w:pPr>
        <w:pStyle w:val="ListParagraph"/>
        <w:numPr>
          <w:ilvl w:val="0"/>
          <w:numId w:val="55"/>
        </w:numPr>
        <w:tabs>
          <w:tab w:pos="556" w:val="left" w:leader="none"/>
        </w:tabs>
        <w:spacing w:line="240" w:lineRule="auto" w:before="0" w:after="0"/>
        <w:ind w:left="555" w:right="0" w:hanging="285"/>
        <w:jc w:val="both"/>
        <w:rPr>
          <w:b/>
          <w:sz w:val="18"/>
        </w:rPr>
      </w:pPr>
      <w:r>
        <w:rPr>
          <w:b/>
          <w:sz w:val="18"/>
        </w:rPr>
        <w:t>OBJETIVES</w:t>
      </w:r>
    </w:p>
    <w:p>
      <w:pPr>
        <w:pStyle w:val="BodyText"/>
        <w:spacing w:before="7"/>
        <w:rPr>
          <w:b/>
          <w:sz w:val="17"/>
        </w:rPr>
      </w:pPr>
    </w:p>
    <w:p>
      <w:pPr>
        <w:spacing w:before="1"/>
        <w:ind w:left="270" w:right="678" w:firstLine="0"/>
        <w:jc w:val="both"/>
        <w:rPr>
          <w:sz w:val="18"/>
        </w:rPr>
      </w:pPr>
      <w:r>
        <w:rPr>
          <w:sz w:val="18"/>
        </w:rPr>
        <w:t>Evaluate employee positions adopted by using the REBA method  to identify and prevent ergonomic risks in the activity. Determining the risks in a sector of</w:t>
      </w:r>
      <w:r>
        <w:rPr>
          <w:spacing w:val="-9"/>
          <w:sz w:val="18"/>
        </w:rPr>
        <w:t> </w:t>
      </w:r>
      <w:r>
        <w:rPr>
          <w:sz w:val="18"/>
        </w:rPr>
        <w:t>welding.</w:t>
      </w:r>
    </w:p>
    <w:p>
      <w:pPr>
        <w:pStyle w:val="BodyText"/>
        <w:spacing w:before="3"/>
        <w:rPr>
          <w:sz w:val="18"/>
        </w:rPr>
      </w:pPr>
    </w:p>
    <w:p>
      <w:pPr>
        <w:pStyle w:val="ListParagraph"/>
        <w:numPr>
          <w:ilvl w:val="0"/>
          <w:numId w:val="55"/>
        </w:numPr>
        <w:tabs>
          <w:tab w:pos="556" w:val="left" w:leader="none"/>
        </w:tabs>
        <w:spacing w:line="240" w:lineRule="auto" w:before="0" w:after="0"/>
        <w:ind w:left="555" w:right="0" w:hanging="285"/>
        <w:jc w:val="both"/>
        <w:rPr>
          <w:b/>
          <w:sz w:val="18"/>
        </w:rPr>
      </w:pPr>
      <w:r>
        <w:rPr>
          <w:b/>
          <w:sz w:val="18"/>
        </w:rPr>
        <w:t>DELIMITATION</w:t>
      </w:r>
    </w:p>
    <w:p>
      <w:pPr>
        <w:pStyle w:val="BodyText"/>
        <w:spacing w:before="7"/>
        <w:rPr>
          <w:b/>
          <w:sz w:val="17"/>
        </w:rPr>
      </w:pPr>
    </w:p>
    <w:p>
      <w:pPr>
        <w:spacing w:before="1"/>
        <w:ind w:left="270" w:right="677" w:firstLine="0"/>
        <w:jc w:val="both"/>
        <w:rPr>
          <w:sz w:val="18"/>
        </w:rPr>
      </w:pPr>
      <w:r>
        <w:rPr>
          <w:sz w:val="18"/>
        </w:rPr>
        <w:t>The project will be limited, only to evaluate the risk of the postures of a job and applied separately to the right side and the left side of the body.</w:t>
      </w:r>
    </w:p>
    <w:p>
      <w:pPr>
        <w:pStyle w:val="BodyText"/>
        <w:spacing w:before="3"/>
        <w:rPr>
          <w:sz w:val="18"/>
        </w:rPr>
      </w:pPr>
    </w:p>
    <w:p>
      <w:pPr>
        <w:pStyle w:val="ListParagraph"/>
        <w:numPr>
          <w:ilvl w:val="0"/>
          <w:numId w:val="55"/>
        </w:numPr>
        <w:tabs>
          <w:tab w:pos="556" w:val="left" w:leader="none"/>
        </w:tabs>
        <w:spacing w:line="240" w:lineRule="auto" w:before="0" w:after="0"/>
        <w:ind w:left="555" w:right="0" w:hanging="285"/>
        <w:jc w:val="both"/>
        <w:rPr>
          <w:b/>
          <w:sz w:val="18"/>
        </w:rPr>
      </w:pPr>
      <w:r>
        <w:rPr>
          <w:b/>
          <w:sz w:val="18"/>
        </w:rPr>
        <w:t>METHODOLOGY</w:t>
      </w:r>
    </w:p>
    <w:p>
      <w:pPr>
        <w:pStyle w:val="BodyText"/>
        <w:spacing w:before="7"/>
        <w:rPr>
          <w:b/>
          <w:sz w:val="17"/>
        </w:rPr>
      </w:pPr>
    </w:p>
    <w:p>
      <w:pPr>
        <w:spacing w:before="1"/>
        <w:ind w:left="270" w:right="678" w:firstLine="0"/>
        <w:jc w:val="both"/>
        <w:rPr>
          <w:sz w:val="18"/>
        </w:rPr>
      </w:pPr>
      <w:r>
        <w:rPr>
          <w:sz w:val="18"/>
        </w:rPr>
        <w:t>The REBA method evaluates the risk of specific positions independently. Therefore, to assess a post you must select the most representative positions or for its repetition in time or its precariousness. The correct selection of the positions determined evaluates the results provided by the method and future actions.</w:t>
      </w:r>
    </w:p>
    <w:p>
      <w:pPr>
        <w:spacing w:before="0"/>
        <w:ind w:left="270" w:right="676" w:firstLine="430"/>
        <w:jc w:val="both"/>
        <w:rPr>
          <w:sz w:val="18"/>
        </w:rPr>
      </w:pPr>
      <w:r>
        <w:rPr>
          <w:sz w:val="18"/>
        </w:rPr>
        <w:t>For the definition of body segments, a series of simple tasks were performed with load variations and movements. The study  was conducted by applying various methodologies, reliability widely recognized for ergonomic community, such as the NIOSH method [7], the Scale of Perceived Exertion [1], the OWAS method [3]. The application of RULA was central to the development of  the ranges of the various parts of the body the REBA method encodes and values, hence the great similarity can be observed between the two</w:t>
      </w:r>
      <w:r>
        <w:rPr>
          <w:spacing w:val="-5"/>
          <w:sz w:val="18"/>
        </w:rPr>
        <w:t> </w:t>
      </w:r>
      <w:r>
        <w:rPr>
          <w:sz w:val="18"/>
        </w:rPr>
        <w:t>methods.</w:t>
      </w:r>
    </w:p>
    <w:p>
      <w:pPr>
        <w:spacing w:before="0"/>
        <w:ind w:left="270" w:right="678" w:firstLine="430"/>
        <w:jc w:val="both"/>
        <w:rPr>
          <w:sz w:val="18"/>
        </w:rPr>
      </w:pPr>
      <w:r>
        <w:rPr>
          <w:sz w:val="18"/>
        </w:rPr>
        <w:t>As a previous step to the actual application of the method should be [4]:</w:t>
      </w:r>
    </w:p>
    <w:p>
      <w:pPr>
        <w:pStyle w:val="BodyText"/>
        <w:rPr>
          <w:sz w:val="18"/>
        </w:rPr>
      </w:pPr>
    </w:p>
    <w:p>
      <w:pPr>
        <w:pStyle w:val="ListParagraph"/>
        <w:numPr>
          <w:ilvl w:val="1"/>
          <w:numId w:val="29"/>
        </w:numPr>
        <w:tabs>
          <w:tab w:pos="464" w:val="left" w:leader="none"/>
        </w:tabs>
        <w:spacing w:line="240" w:lineRule="auto" w:before="0" w:after="0"/>
        <w:ind w:left="270" w:right="679" w:firstLine="0"/>
        <w:jc w:val="both"/>
        <w:rPr>
          <w:sz w:val="18"/>
        </w:rPr>
      </w:pPr>
      <w:r>
        <w:rPr>
          <w:sz w:val="18"/>
        </w:rPr>
        <w:t>Determine the period of observation since considering, if necessary, time</w:t>
      </w:r>
      <w:r>
        <w:rPr>
          <w:spacing w:val="-7"/>
          <w:sz w:val="18"/>
        </w:rPr>
        <w:t> </w:t>
      </w:r>
      <w:r>
        <w:rPr>
          <w:sz w:val="18"/>
        </w:rPr>
        <w:t>cycle.</w:t>
      </w:r>
    </w:p>
    <w:p>
      <w:pPr>
        <w:pStyle w:val="ListParagraph"/>
        <w:numPr>
          <w:ilvl w:val="1"/>
          <w:numId w:val="29"/>
        </w:numPr>
        <w:tabs>
          <w:tab w:pos="391" w:val="left" w:leader="none"/>
        </w:tabs>
        <w:spacing w:line="240" w:lineRule="auto" w:before="0" w:after="0"/>
        <w:ind w:left="270" w:right="677" w:firstLine="0"/>
        <w:jc w:val="both"/>
        <w:rPr>
          <w:sz w:val="18"/>
        </w:rPr>
      </w:pPr>
      <w:r>
        <w:rPr>
          <w:sz w:val="18"/>
        </w:rPr>
        <w:t>Perform, if necessary due to the excessive duration of the task to evaluate.</w:t>
      </w:r>
    </w:p>
    <w:p>
      <w:pPr>
        <w:pStyle w:val="ListParagraph"/>
        <w:numPr>
          <w:ilvl w:val="1"/>
          <w:numId w:val="29"/>
        </w:numPr>
        <w:tabs>
          <w:tab w:pos="399" w:val="left" w:leader="none"/>
        </w:tabs>
        <w:spacing w:line="240" w:lineRule="auto" w:before="0" w:after="0"/>
        <w:ind w:left="270" w:right="678" w:firstLine="0"/>
        <w:jc w:val="both"/>
        <w:rPr>
          <w:sz w:val="18"/>
        </w:rPr>
      </w:pPr>
      <w:r>
        <w:rPr>
          <w:sz w:val="18"/>
        </w:rPr>
        <w:t>Register the various positions taken by the employee during the development of the</w:t>
      </w:r>
      <w:r>
        <w:rPr>
          <w:spacing w:val="-19"/>
          <w:sz w:val="18"/>
        </w:rPr>
        <w:t> </w:t>
      </w:r>
      <w:r>
        <w:rPr>
          <w:sz w:val="18"/>
        </w:rPr>
        <w:t>task.</w:t>
      </w:r>
    </w:p>
    <w:p>
      <w:pPr>
        <w:pStyle w:val="ListParagraph"/>
        <w:numPr>
          <w:ilvl w:val="1"/>
          <w:numId w:val="29"/>
        </w:numPr>
        <w:tabs>
          <w:tab w:pos="451" w:val="left" w:leader="none"/>
        </w:tabs>
        <w:spacing w:line="240" w:lineRule="auto" w:before="0" w:after="0"/>
        <w:ind w:left="270" w:right="678" w:firstLine="0"/>
        <w:jc w:val="both"/>
        <w:rPr>
          <w:sz w:val="18"/>
        </w:rPr>
      </w:pPr>
      <w:r>
        <w:rPr>
          <w:sz w:val="18"/>
        </w:rPr>
        <w:t>Identify from all positions recorded those considered most significant or "dangerous" for further evaluation with the REBA method.</w:t>
      </w:r>
    </w:p>
    <w:p>
      <w:pPr>
        <w:pStyle w:val="ListParagraph"/>
        <w:numPr>
          <w:ilvl w:val="1"/>
          <w:numId w:val="29"/>
        </w:numPr>
        <w:tabs>
          <w:tab w:pos="391" w:val="left" w:leader="none"/>
        </w:tabs>
        <w:spacing w:line="240" w:lineRule="auto" w:before="0" w:after="0"/>
        <w:ind w:left="270" w:right="677" w:firstLine="0"/>
        <w:jc w:val="both"/>
        <w:rPr>
          <w:sz w:val="18"/>
        </w:rPr>
      </w:pPr>
      <w:r>
        <w:rPr>
          <w:sz w:val="18"/>
        </w:rPr>
        <w:t>The REBA method is applied separately to the right side and the left side of the body. Therefore, the evaluator at their discretion and experience, must determine, for each selected position, the body side that "a priori" means greater postural load. If there are doubts  it is recommended to evaluate both sides</w:t>
      </w:r>
      <w:r>
        <w:rPr>
          <w:spacing w:val="-16"/>
          <w:sz w:val="18"/>
        </w:rPr>
        <w:t> </w:t>
      </w:r>
      <w:r>
        <w:rPr>
          <w:sz w:val="18"/>
        </w:rPr>
        <w:t>separately.</w:t>
      </w:r>
    </w:p>
    <w:p>
      <w:pPr>
        <w:spacing w:before="0"/>
        <w:ind w:left="270" w:right="680" w:firstLine="45"/>
        <w:jc w:val="both"/>
        <w:rPr>
          <w:sz w:val="18"/>
        </w:rPr>
      </w:pPr>
      <w:r>
        <w:rPr>
          <w:sz w:val="18"/>
        </w:rPr>
        <w:t>It is necessary to note that for evaluating jobs using the REBA method should be selected postures more representative of the task and the work cycle time [2]. The method is applied to the right side of the human body to the left at to be determined for each position side exerting greater force for lifting the load.</w:t>
      </w:r>
    </w:p>
    <w:p>
      <w:pPr>
        <w:pStyle w:val="BodyText"/>
        <w:rPr>
          <w:sz w:val="18"/>
        </w:rPr>
      </w:pPr>
    </w:p>
    <w:p>
      <w:pPr>
        <w:spacing w:before="0"/>
        <w:ind w:left="270" w:right="0" w:firstLine="0"/>
        <w:jc w:val="both"/>
        <w:rPr>
          <w:sz w:val="18"/>
        </w:rPr>
      </w:pPr>
      <w:r>
        <w:rPr>
          <w:sz w:val="18"/>
        </w:rPr>
        <w:t>Application Method [4]:</w:t>
      </w:r>
    </w:p>
    <w:p>
      <w:pPr>
        <w:pStyle w:val="BodyText"/>
        <w:rPr>
          <w:sz w:val="18"/>
        </w:rPr>
      </w:pPr>
    </w:p>
    <w:p>
      <w:pPr>
        <w:pStyle w:val="ListParagraph"/>
        <w:numPr>
          <w:ilvl w:val="0"/>
          <w:numId w:val="56"/>
        </w:numPr>
        <w:tabs>
          <w:tab w:pos="452" w:val="left" w:leader="none"/>
        </w:tabs>
        <w:spacing w:line="240" w:lineRule="auto" w:before="0" w:after="0"/>
        <w:ind w:left="978" w:right="1575" w:hanging="708"/>
        <w:jc w:val="left"/>
        <w:rPr>
          <w:sz w:val="18"/>
        </w:rPr>
      </w:pPr>
      <w:r>
        <w:rPr>
          <w:sz w:val="18"/>
        </w:rPr>
        <w:t>Divide the plane of the human body into two</w:t>
      </w:r>
      <w:r>
        <w:rPr>
          <w:spacing w:val="-9"/>
          <w:sz w:val="18"/>
        </w:rPr>
        <w:t> </w:t>
      </w:r>
      <w:r>
        <w:rPr>
          <w:sz w:val="18"/>
        </w:rPr>
        <w:t>groups: A = trunk, neck and</w:t>
      </w:r>
      <w:r>
        <w:rPr>
          <w:spacing w:val="-6"/>
          <w:sz w:val="18"/>
        </w:rPr>
        <w:t> </w:t>
      </w:r>
      <w:r>
        <w:rPr>
          <w:sz w:val="18"/>
        </w:rPr>
        <w:t>legs.</w:t>
      </w:r>
    </w:p>
    <w:p>
      <w:pPr>
        <w:spacing w:line="207" w:lineRule="exact" w:before="0"/>
        <w:ind w:left="978" w:right="668" w:firstLine="0"/>
        <w:jc w:val="left"/>
        <w:rPr>
          <w:sz w:val="18"/>
        </w:rPr>
      </w:pPr>
      <w:r>
        <w:rPr>
          <w:sz w:val="18"/>
        </w:rPr>
        <w:t>B = arm, forearm and wrist.</w:t>
      </w:r>
    </w:p>
    <w:p>
      <w:pPr>
        <w:pStyle w:val="ListParagraph"/>
        <w:numPr>
          <w:ilvl w:val="0"/>
          <w:numId w:val="56"/>
        </w:numPr>
        <w:tabs>
          <w:tab w:pos="452" w:val="left" w:leader="none"/>
        </w:tabs>
        <w:spacing w:line="207" w:lineRule="exact" w:before="0" w:after="0"/>
        <w:ind w:left="451" w:right="0" w:hanging="181"/>
        <w:jc w:val="both"/>
        <w:rPr>
          <w:sz w:val="18"/>
        </w:rPr>
      </w:pPr>
      <w:r>
        <w:rPr>
          <w:sz w:val="18"/>
        </w:rPr>
        <w:t>Look</w:t>
      </w:r>
      <w:r>
        <w:rPr>
          <w:spacing w:val="-4"/>
          <w:sz w:val="18"/>
        </w:rPr>
        <w:t> </w:t>
      </w:r>
      <w:r>
        <w:rPr>
          <w:sz w:val="18"/>
        </w:rPr>
        <w:t>at</w:t>
      </w:r>
      <w:r>
        <w:rPr>
          <w:spacing w:val="-3"/>
          <w:sz w:val="18"/>
        </w:rPr>
        <w:t> </w:t>
      </w:r>
      <w:r>
        <w:rPr>
          <w:sz w:val="18"/>
        </w:rPr>
        <w:t>the</w:t>
      </w:r>
      <w:r>
        <w:rPr>
          <w:spacing w:val="-4"/>
          <w:sz w:val="18"/>
        </w:rPr>
        <w:t> </w:t>
      </w:r>
      <w:r>
        <w:rPr>
          <w:sz w:val="18"/>
        </w:rPr>
        <w:t>table</w:t>
      </w:r>
      <w:r>
        <w:rPr>
          <w:spacing w:val="-3"/>
          <w:sz w:val="18"/>
        </w:rPr>
        <w:t> </w:t>
      </w:r>
      <w:r>
        <w:rPr>
          <w:sz w:val="18"/>
        </w:rPr>
        <w:t>of</w:t>
      </w:r>
      <w:r>
        <w:rPr>
          <w:spacing w:val="-4"/>
          <w:sz w:val="18"/>
        </w:rPr>
        <w:t> </w:t>
      </w:r>
      <w:r>
        <w:rPr>
          <w:sz w:val="18"/>
        </w:rPr>
        <w:t>group</w:t>
      </w:r>
      <w:r>
        <w:rPr>
          <w:spacing w:val="-3"/>
          <w:sz w:val="18"/>
        </w:rPr>
        <w:t> </w:t>
      </w:r>
      <w:r>
        <w:rPr>
          <w:sz w:val="18"/>
        </w:rPr>
        <w:t>A</w:t>
      </w:r>
      <w:r>
        <w:rPr>
          <w:spacing w:val="-6"/>
          <w:sz w:val="18"/>
        </w:rPr>
        <w:t> </w:t>
      </w:r>
      <w:r>
        <w:rPr>
          <w:sz w:val="18"/>
        </w:rPr>
        <w:t>and</w:t>
      </w:r>
      <w:r>
        <w:rPr>
          <w:spacing w:val="-3"/>
          <w:sz w:val="18"/>
        </w:rPr>
        <w:t> </w:t>
      </w:r>
      <w:r>
        <w:rPr>
          <w:sz w:val="18"/>
        </w:rPr>
        <w:t>B</w:t>
      </w:r>
      <w:r>
        <w:rPr>
          <w:spacing w:val="-3"/>
          <w:sz w:val="18"/>
        </w:rPr>
        <w:t> </w:t>
      </w:r>
      <w:r>
        <w:rPr>
          <w:sz w:val="18"/>
        </w:rPr>
        <w:t>correct</w:t>
      </w:r>
      <w:r>
        <w:rPr>
          <w:spacing w:val="-3"/>
          <w:sz w:val="18"/>
        </w:rPr>
        <w:t> </w:t>
      </w:r>
      <w:r>
        <w:rPr>
          <w:sz w:val="18"/>
        </w:rPr>
        <w:t>individual</w:t>
      </w:r>
      <w:r>
        <w:rPr>
          <w:spacing w:val="-3"/>
          <w:sz w:val="18"/>
        </w:rPr>
        <w:t> </w:t>
      </w:r>
      <w:r>
        <w:rPr>
          <w:sz w:val="18"/>
        </w:rPr>
        <w:t>score.</w:t>
      </w:r>
    </w:p>
    <w:p>
      <w:pPr>
        <w:pStyle w:val="ListParagraph"/>
        <w:numPr>
          <w:ilvl w:val="0"/>
          <w:numId w:val="56"/>
        </w:numPr>
        <w:tabs>
          <w:tab w:pos="452" w:val="left" w:leader="none"/>
        </w:tabs>
        <w:spacing w:line="207" w:lineRule="exact" w:before="0" w:after="0"/>
        <w:ind w:left="451" w:right="0" w:hanging="181"/>
        <w:jc w:val="both"/>
        <w:rPr>
          <w:sz w:val="18"/>
        </w:rPr>
      </w:pPr>
      <w:r>
        <w:rPr>
          <w:sz w:val="18"/>
        </w:rPr>
        <w:t>Modify the score A depending on the</w:t>
      </w:r>
      <w:r>
        <w:rPr>
          <w:spacing w:val="-10"/>
          <w:sz w:val="18"/>
        </w:rPr>
        <w:t> </w:t>
      </w:r>
      <w:r>
        <w:rPr>
          <w:sz w:val="18"/>
        </w:rPr>
        <w:t>load.</w:t>
      </w:r>
    </w:p>
    <w:p>
      <w:pPr>
        <w:pStyle w:val="ListParagraph"/>
        <w:numPr>
          <w:ilvl w:val="0"/>
          <w:numId w:val="56"/>
        </w:numPr>
        <w:tabs>
          <w:tab w:pos="452" w:val="left" w:leader="none"/>
        </w:tabs>
        <w:spacing w:line="207" w:lineRule="exact" w:before="0" w:after="0"/>
        <w:ind w:left="451" w:right="0" w:hanging="181"/>
        <w:jc w:val="both"/>
        <w:rPr>
          <w:sz w:val="18"/>
        </w:rPr>
      </w:pPr>
      <w:r>
        <w:rPr>
          <w:sz w:val="18"/>
        </w:rPr>
        <w:t>Modify the score B depending on the type of</w:t>
      </w:r>
      <w:r>
        <w:rPr>
          <w:spacing w:val="-11"/>
          <w:sz w:val="18"/>
        </w:rPr>
        <w:t> </w:t>
      </w:r>
      <w:r>
        <w:rPr>
          <w:sz w:val="18"/>
        </w:rPr>
        <w:t>grip.</w:t>
      </w:r>
    </w:p>
    <w:p>
      <w:pPr>
        <w:spacing w:after="0" w:line="207" w:lineRule="exact"/>
        <w:jc w:val="both"/>
        <w:rPr>
          <w:sz w:val="18"/>
        </w:rPr>
        <w:sectPr>
          <w:type w:val="continuous"/>
          <w:pgSz w:w="12240" w:h="15840"/>
          <w:pgMar w:top="1500" w:bottom="280" w:left="580" w:right="220"/>
          <w:cols w:num="2" w:equalWidth="0">
            <w:col w:w="5181" w:space="417"/>
            <w:col w:w="5842"/>
          </w:cols>
        </w:sectPr>
      </w:pPr>
    </w:p>
    <w:p>
      <w:pPr>
        <w:pStyle w:val="BodyText"/>
        <w:spacing w:before="7"/>
        <w:rPr>
          <w:sz w:val="17"/>
        </w:rPr>
      </w:pPr>
    </w:p>
    <w:p>
      <w:pPr>
        <w:pStyle w:val="ListParagraph"/>
        <w:numPr>
          <w:ilvl w:val="0"/>
          <w:numId w:val="56"/>
        </w:numPr>
        <w:tabs>
          <w:tab w:pos="452" w:val="left" w:leader="none"/>
        </w:tabs>
        <w:spacing w:line="240" w:lineRule="auto" w:before="1" w:after="0"/>
        <w:ind w:left="270" w:right="497" w:firstLine="0"/>
        <w:jc w:val="left"/>
        <w:rPr>
          <w:sz w:val="18"/>
        </w:rPr>
      </w:pPr>
      <w:r>
        <w:rPr>
          <w:sz w:val="18"/>
        </w:rPr>
        <w:t>According to both final scores will be looking at Table C's new global</w:t>
      </w:r>
      <w:r>
        <w:rPr>
          <w:spacing w:val="-14"/>
          <w:sz w:val="18"/>
        </w:rPr>
        <w:t> </w:t>
      </w:r>
      <w:r>
        <w:rPr>
          <w:sz w:val="18"/>
        </w:rPr>
        <w:t>score.</w:t>
      </w:r>
    </w:p>
    <w:p>
      <w:pPr>
        <w:pStyle w:val="ListParagraph"/>
        <w:numPr>
          <w:ilvl w:val="0"/>
          <w:numId w:val="56"/>
        </w:numPr>
        <w:tabs>
          <w:tab w:pos="452" w:val="left" w:leader="none"/>
        </w:tabs>
        <w:spacing w:line="207" w:lineRule="exact" w:before="0" w:after="0"/>
        <w:ind w:left="451" w:right="0" w:hanging="181"/>
        <w:jc w:val="left"/>
        <w:rPr>
          <w:sz w:val="18"/>
        </w:rPr>
      </w:pPr>
      <w:r>
        <w:rPr>
          <w:sz w:val="18"/>
        </w:rPr>
        <w:t>Modify the score C according to muscular</w:t>
      </w:r>
      <w:r>
        <w:rPr>
          <w:spacing w:val="-5"/>
          <w:sz w:val="18"/>
        </w:rPr>
        <w:t> </w:t>
      </w:r>
      <w:r>
        <w:rPr>
          <w:sz w:val="18"/>
        </w:rPr>
        <w:t>activity.</w:t>
      </w:r>
    </w:p>
    <w:p>
      <w:pPr>
        <w:pStyle w:val="ListParagraph"/>
        <w:numPr>
          <w:ilvl w:val="0"/>
          <w:numId w:val="56"/>
        </w:numPr>
        <w:tabs>
          <w:tab w:pos="471" w:val="left" w:leader="none"/>
        </w:tabs>
        <w:spacing w:line="240" w:lineRule="auto" w:before="0" w:after="0"/>
        <w:ind w:left="270" w:right="1" w:firstLine="0"/>
        <w:jc w:val="both"/>
        <w:rPr>
          <w:sz w:val="18"/>
        </w:rPr>
      </w:pPr>
      <w:r>
        <w:rPr>
          <w:sz w:val="18"/>
        </w:rPr>
        <w:t>Evaluate the level of action and corresponding risk to the final value.</w:t>
      </w:r>
    </w:p>
    <w:p>
      <w:pPr>
        <w:pStyle w:val="BodyText"/>
        <w:rPr>
          <w:sz w:val="18"/>
        </w:rPr>
      </w:pPr>
    </w:p>
    <w:p>
      <w:pPr>
        <w:spacing w:before="0"/>
        <w:ind w:left="270" w:right="1" w:firstLine="430"/>
        <w:jc w:val="both"/>
        <w:rPr>
          <w:sz w:val="18"/>
        </w:rPr>
      </w:pPr>
      <w:r>
        <w:rPr>
          <w:sz w:val="18"/>
        </w:rPr>
        <w:t>It should be emphasized that the REBA method must  be made in each posture on the task chosen. After the evaluation, you must decide if the position redesign merits thereof or a worker induction good postures.</w:t>
      </w:r>
    </w:p>
    <w:p>
      <w:pPr>
        <w:spacing w:line="410" w:lineRule="atLeast" w:before="4"/>
        <w:ind w:left="701" w:right="0" w:hanging="431"/>
        <w:jc w:val="both"/>
        <w:rPr>
          <w:sz w:val="18"/>
        </w:rPr>
      </w:pPr>
      <w:r>
        <w:rPr>
          <w:sz w:val="18"/>
        </w:rPr>
        <w:t>The information required by the method is basically as follows: The angles formed by the different parts of the body   </w:t>
      </w:r>
      <w:r>
        <w:rPr>
          <w:spacing w:val="18"/>
          <w:sz w:val="18"/>
        </w:rPr>
        <w:t> </w:t>
      </w:r>
      <w:r>
        <w:rPr>
          <w:sz w:val="18"/>
        </w:rPr>
        <w:t>(trunk,</w:t>
      </w:r>
    </w:p>
    <w:p>
      <w:pPr>
        <w:spacing w:before="0"/>
        <w:ind w:left="270" w:right="0" w:firstLine="0"/>
        <w:jc w:val="both"/>
        <w:rPr>
          <w:sz w:val="18"/>
        </w:rPr>
      </w:pPr>
      <w:r>
        <w:rPr>
          <w:sz w:val="18"/>
        </w:rPr>
        <w:t>neck, legs, arm, forearm, wrist) with respect to certain reference positions. Such measurements can be performed directly on the worker (protractors, electrogoniometers or other devices angular measurement) or from photographs, provided these ensure correct measurements (true magnitude of the angles measured and sufficient views).</w:t>
      </w:r>
    </w:p>
    <w:p>
      <w:pPr>
        <w:spacing w:before="0"/>
        <w:ind w:left="270" w:right="0" w:firstLine="430"/>
        <w:jc w:val="both"/>
        <w:rPr>
          <w:sz w:val="18"/>
        </w:rPr>
      </w:pPr>
      <w:r>
        <w:rPr>
          <w:sz w:val="18"/>
        </w:rPr>
        <w:t>The load or force handled by the worker to take the position under consideration in kilograms.</w:t>
      </w:r>
    </w:p>
    <w:p>
      <w:pPr>
        <w:spacing w:line="206" w:lineRule="exact" w:before="0"/>
        <w:ind w:left="701" w:right="-16" w:firstLine="0"/>
        <w:jc w:val="left"/>
        <w:rPr>
          <w:sz w:val="18"/>
        </w:rPr>
      </w:pPr>
      <w:r>
        <w:rPr>
          <w:sz w:val="18"/>
        </w:rPr>
        <w:t>Gripping type cargo handled manually or by other body parts.</w:t>
      </w:r>
    </w:p>
    <w:p>
      <w:pPr>
        <w:spacing w:before="0"/>
        <w:ind w:left="270" w:right="1" w:firstLine="430"/>
        <w:jc w:val="both"/>
        <w:rPr>
          <w:sz w:val="18"/>
        </w:rPr>
      </w:pPr>
      <w:r>
        <w:rPr>
          <w:sz w:val="18"/>
        </w:rPr>
        <w:t>The characteristics of the muscular activity of the worker (static, dynamic or subject to possible abrupt changes).</w:t>
      </w:r>
    </w:p>
    <w:p>
      <w:pPr>
        <w:spacing w:before="0"/>
        <w:ind w:left="270" w:right="1" w:firstLine="430"/>
        <w:jc w:val="both"/>
        <w:rPr>
          <w:sz w:val="18"/>
        </w:rPr>
      </w:pPr>
      <w:r>
        <w:rPr>
          <w:sz w:val="18"/>
        </w:rPr>
        <w:t>The application of the method can be summarized in the following steps [6]:</w:t>
      </w:r>
    </w:p>
    <w:p>
      <w:pPr>
        <w:pStyle w:val="ListParagraph"/>
        <w:numPr>
          <w:ilvl w:val="0"/>
          <w:numId w:val="41"/>
        </w:numPr>
        <w:tabs>
          <w:tab w:pos="631" w:val="left" w:leader="none"/>
        </w:tabs>
        <w:spacing w:line="240" w:lineRule="auto" w:before="1" w:after="0"/>
        <w:ind w:left="630" w:right="0" w:hanging="360"/>
        <w:jc w:val="both"/>
        <w:rPr>
          <w:sz w:val="18"/>
        </w:rPr>
      </w:pPr>
      <w:r>
        <w:rPr>
          <w:sz w:val="18"/>
        </w:rPr>
        <w:t>Dividing the body into two groups, with group A corresponding to the trunk, neck and legs and the B group formed by the upper limbs (arm, forearm and wrist). Individual score of members of each group from the corresponding</w:t>
      </w:r>
      <w:r>
        <w:rPr>
          <w:spacing w:val="-1"/>
          <w:sz w:val="18"/>
        </w:rPr>
        <w:t> </w:t>
      </w:r>
      <w:r>
        <w:rPr>
          <w:sz w:val="18"/>
        </w:rPr>
        <w:t>tables.</w:t>
      </w:r>
    </w:p>
    <w:p>
      <w:pPr>
        <w:pStyle w:val="BodyText"/>
        <w:rPr>
          <w:sz w:val="18"/>
        </w:rPr>
      </w:pPr>
    </w:p>
    <w:p>
      <w:pPr>
        <w:pStyle w:val="ListParagraph"/>
        <w:numPr>
          <w:ilvl w:val="0"/>
          <w:numId w:val="41"/>
        </w:numPr>
        <w:tabs>
          <w:tab w:pos="631" w:val="left" w:leader="none"/>
        </w:tabs>
        <w:spacing w:line="240" w:lineRule="auto" w:before="0" w:after="0"/>
        <w:ind w:left="630" w:right="1" w:hanging="360"/>
        <w:jc w:val="both"/>
        <w:rPr>
          <w:sz w:val="18"/>
        </w:rPr>
      </w:pPr>
      <w:r>
        <w:rPr>
          <w:sz w:val="18"/>
        </w:rPr>
        <w:t>See Table A for obtaining the initial score of group A from the individual scores of the trunk, neck and</w:t>
      </w:r>
      <w:r>
        <w:rPr>
          <w:spacing w:val="-6"/>
          <w:sz w:val="18"/>
        </w:rPr>
        <w:t> </w:t>
      </w:r>
      <w:r>
        <w:rPr>
          <w:sz w:val="18"/>
        </w:rPr>
        <w:t>legs.</w:t>
      </w:r>
    </w:p>
    <w:p>
      <w:pPr>
        <w:pStyle w:val="ListParagraph"/>
        <w:numPr>
          <w:ilvl w:val="0"/>
          <w:numId w:val="41"/>
        </w:numPr>
        <w:tabs>
          <w:tab w:pos="631" w:val="left" w:leader="none"/>
        </w:tabs>
        <w:spacing w:line="240" w:lineRule="auto" w:before="0" w:after="0"/>
        <w:ind w:left="630" w:right="1" w:hanging="360"/>
        <w:jc w:val="both"/>
        <w:rPr>
          <w:sz w:val="18"/>
        </w:rPr>
      </w:pPr>
      <w:r>
        <w:rPr>
          <w:sz w:val="18"/>
        </w:rPr>
        <w:t>Group B rating from the scores of the arm, forearm and wrist using Table</w:t>
      </w:r>
      <w:r>
        <w:rPr>
          <w:spacing w:val="-10"/>
          <w:sz w:val="18"/>
        </w:rPr>
        <w:t> </w:t>
      </w:r>
      <w:r>
        <w:rPr>
          <w:sz w:val="18"/>
        </w:rPr>
        <w:t>B.</w:t>
      </w:r>
    </w:p>
    <w:p>
      <w:pPr>
        <w:pStyle w:val="ListParagraph"/>
        <w:numPr>
          <w:ilvl w:val="0"/>
          <w:numId w:val="41"/>
        </w:numPr>
        <w:tabs>
          <w:tab w:pos="631" w:val="left" w:leader="none"/>
        </w:tabs>
        <w:spacing w:line="240" w:lineRule="auto" w:before="1" w:after="0"/>
        <w:ind w:left="630" w:right="0" w:hanging="360"/>
        <w:jc w:val="both"/>
        <w:rPr>
          <w:sz w:val="18"/>
        </w:rPr>
      </w:pPr>
      <w:r>
        <w:rPr>
          <w:sz w:val="18"/>
        </w:rPr>
        <w:t>Modification of the score assigned to the group A (trunk, neck and legs) according to the applied loads or forces, hereinafter "Score</w:t>
      </w:r>
      <w:r>
        <w:rPr>
          <w:spacing w:val="-8"/>
          <w:sz w:val="18"/>
        </w:rPr>
        <w:t> </w:t>
      </w:r>
      <w:r>
        <w:rPr>
          <w:sz w:val="18"/>
        </w:rPr>
        <w:t>A".</w:t>
      </w:r>
    </w:p>
    <w:p>
      <w:pPr>
        <w:pStyle w:val="ListParagraph"/>
        <w:numPr>
          <w:ilvl w:val="0"/>
          <w:numId w:val="41"/>
        </w:numPr>
        <w:tabs>
          <w:tab w:pos="631" w:val="left" w:leader="none"/>
        </w:tabs>
        <w:spacing w:line="240" w:lineRule="auto" w:before="0" w:after="0"/>
        <w:ind w:left="630" w:right="0" w:hanging="360"/>
        <w:jc w:val="both"/>
        <w:rPr>
          <w:sz w:val="18"/>
        </w:rPr>
      </w:pPr>
      <w:r>
        <w:rPr>
          <w:sz w:val="18"/>
        </w:rPr>
        <w:t>Correcting the score assigned to the body area of the upper limbs (arm, forearm and wrist) or group B according to the type of cargo handled grip, hereinafter "Score</w:t>
      </w:r>
      <w:r>
        <w:rPr>
          <w:spacing w:val="-8"/>
          <w:sz w:val="18"/>
        </w:rPr>
        <w:t> </w:t>
      </w:r>
      <w:r>
        <w:rPr>
          <w:sz w:val="18"/>
        </w:rPr>
        <w:t>B".</w:t>
      </w:r>
    </w:p>
    <w:p>
      <w:pPr>
        <w:pStyle w:val="ListParagraph"/>
        <w:numPr>
          <w:ilvl w:val="0"/>
          <w:numId w:val="41"/>
        </w:numPr>
        <w:tabs>
          <w:tab w:pos="631" w:val="left" w:leader="none"/>
        </w:tabs>
        <w:spacing w:line="240" w:lineRule="auto" w:before="0" w:after="0"/>
        <w:ind w:left="630" w:right="0" w:hanging="360"/>
        <w:jc w:val="both"/>
        <w:rPr>
          <w:sz w:val="18"/>
        </w:rPr>
      </w:pPr>
      <w:r>
        <w:rPr>
          <w:sz w:val="18"/>
        </w:rPr>
        <w:t>From the "Score A" and "B Score" and by consulting Table C a new score called "Score C" is</w:t>
      </w:r>
      <w:r>
        <w:rPr>
          <w:spacing w:val="-11"/>
          <w:sz w:val="18"/>
        </w:rPr>
        <w:t> </w:t>
      </w:r>
      <w:r>
        <w:rPr>
          <w:sz w:val="18"/>
        </w:rPr>
        <w:t>obtained.</w:t>
      </w:r>
    </w:p>
    <w:p>
      <w:pPr>
        <w:pStyle w:val="ListParagraph"/>
        <w:numPr>
          <w:ilvl w:val="0"/>
          <w:numId w:val="41"/>
        </w:numPr>
        <w:tabs>
          <w:tab w:pos="631" w:val="left" w:leader="none"/>
        </w:tabs>
        <w:spacing w:line="240" w:lineRule="auto" w:before="0" w:after="0"/>
        <w:ind w:left="630" w:right="1" w:hanging="360"/>
        <w:jc w:val="both"/>
        <w:rPr>
          <w:sz w:val="18"/>
        </w:rPr>
      </w:pPr>
      <w:r>
        <w:rPr>
          <w:sz w:val="18"/>
        </w:rPr>
        <w:t>Changing the "Score C" depending on the type of muscular activity developed to obtain the final score of the</w:t>
      </w:r>
      <w:r>
        <w:rPr>
          <w:spacing w:val="-9"/>
          <w:sz w:val="18"/>
        </w:rPr>
        <w:t> </w:t>
      </w:r>
      <w:r>
        <w:rPr>
          <w:sz w:val="18"/>
        </w:rPr>
        <w:t>method.</w:t>
      </w:r>
    </w:p>
    <w:p>
      <w:pPr>
        <w:pStyle w:val="ListParagraph"/>
        <w:numPr>
          <w:ilvl w:val="0"/>
          <w:numId w:val="41"/>
        </w:numPr>
        <w:tabs>
          <w:tab w:pos="631" w:val="left" w:leader="none"/>
        </w:tabs>
        <w:spacing w:line="240" w:lineRule="auto" w:before="1" w:after="0"/>
        <w:ind w:left="630" w:right="0" w:hanging="360"/>
        <w:jc w:val="both"/>
        <w:rPr>
          <w:sz w:val="18"/>
        </w:rPr>
      </w:pPr>
      <w:r>
        <w:rPr>
          <w:sz w:val="18"/>
        </w:rPr>
        <w:t>See the action level, risk and urgency of action corresponding to the final value</w:t>
      </w:r>
      <w:r>
        <w:rPr>
          <w:spacing w:val="-11"/>
          <w:sz w:val="18"/>
        </w:rPr>
        <w:t> </w:t>
      </w:r>
      <w:r>
        <w:rPr>
          <w:sz w:val="18"/>
        </w:rPr>
        <w:t>calculated.</w:t>
      </w:r>
    </w:p>
    <w:p>
      <w:pPr>
        <w:spacing w:line="207" w:lineRule="exact" w:before="0"/>
        <w:ind w:left="701" w:right="77" w:firstLine="0"/>
        <w:jc w:val="left"/>
        <w:rPr>
          <w:sz w:val="18"/>
        </w:rPr>
      </w:pPr>
      <w:r>
        <w:rPr>
          <w:sz w:val="18"/>
        </w:rPr>
        <w:t>After the application of REBA method is recommended:</w:t>
      </w:r>
    </w:p>
    <w:p>
      <w:pPr>
        <w:spacing w:before="0"/>
        <w:ind w:left="270" w:right="1" w:firstLine="430"/>
        <w:jc w:val="both"/>
        <w:rPr>
          <w:sz w:val="18"/>
        </w:rPr>
      </w:pPr>
      <w:r>
        <w:rPr>
          <w:sz w:val="18"/>
        </w:rPr>
        <w:t>The comprehensive review of the individual scores for different parts of the body, as well as strength, grip, and activities, in order to guide the evaluator about where corrections are necessary.</w:t>
      </w:r>
    </w:p>
    <w:p>
      <w:pPr>
        <w:spacing w:before="0"/>
        <w:ind w:left="270" w:right="1" w:firstLine="430"/>
        <w:jc w:val="both"/>
        <w:rPr>
          <w:sz w:val="18"/>
        </w:rPr>
      </w:pPr>
      <w:r>
        <w:rPr>
          <w:sz w:val="18"/>
        </w:rPr>
        <w:t>Redesign of the post or making changes to improve certain critical positions if the results obtained so recommends.</w:t>
      </w:r>
    </w:p>
    <w:p>
      <w:pPr>
        <w:spacing w:before="0"/>
        <w:ind w:left="270" w:right="0" w:firstLine="430"/>
        <w:jc w:val="both"/>
        <w:rPr>
          <w:sz w:val="18"/>
        </w:rPr>
      </w:pPr>
      <w:r>
        <w:rPr>
          <w:sz w:val="18"/>
        </w:rPr>
        <w:t>In case of changes, reevaluation of the new conditions of the post with the REBA method for testing the effectiveness of improvement.</w:t>
      </w:r>
    </w:p>
    <w:p>
      <w:pPr>
        <w:pStyle w:val="BodyText"/>
        <w:spacing w:before="7" w:after="39"/>
        <w:rPr>
          <w:sz w:val="14"/>
        </w:rPr>
      </w:pPr>
      <w:r>
        <w:rPr/>
        <w:br w:type="column"/>
      </w:r>
      <w:r>
        <w:rPr>
          <w:sz w:val="14"/>
        </w:rPr>
      </w:r>
    </w:p>
    <w:p>
      <w:pPr>
        <w:pStyle w:val="BodyText"/>
        <w:ind w:left="1463"/>
      </w:pPr>
      <w:r>
        <w:rPr/>
        <w:drawing>
          <wp:inline distT="0" distB="0" distL="0" distR="0">
            <wp:extent cx="1592184" cy="962787"/>
            <wp:effectExtent l="0" t="0" r="0" b="0"/>
            <wp:docPr id="141" name="image86.jpeg" descr=""/>
            <wp:cNvGraphicFramePr>
              <a:graphicFrameLocks noChangeAspect="1"/>
            </wp:cNvGraphicFramePr>
            <a:graphic>
              <a:graphicData uri="http://schemas.openxmlformats.org/drawingml/2006/picture">
                <pic:pic>
                  <pic:nvPicPr>
                    <pic:cNvPr id="142" name="image86.jpeg"/>
                    <pic:cNvPicPr/>
                  </pic:nvPicPr>
                  <pic:blipFill>
                    <a:blip r:embed="rId165" cstate="print"/>
                    <a:stretch>
                      <a:fillRect/>
                    </a:stretch>
                  </pic:blipFill>
                  <pic:spPr>
                    <a:xfrm>
                      <a:off x="0" y="0"/>
                      <a:ext cx="1592184" cy="962787"/>
                    </a:xfrm>
                    <a:prstGeom prst="rect">
                      <a:avLst/>
                    </a:prstGeom>
                  </pic:spPr>
                </pic:pic>
              </a:graphicData>
            </a:graphic>
          </wp:inline>
        </w:drawing>
      </w:r>
      <w:r>
        <w:rPr/>
      </w:r>
    </w:p>
    <w:p>
      <w:pPr>
        <w:pStyle w:val="BodyText"/>
        <w:spacing w:before="5"/>
        <w:rPr>
          <w:sz w:val="14"/>
        </w:rPr>
      </w:pPr>
      <w:r>
        <w:rPr/>
        <w:drawing>
          <wp:anchor distT="0" distB="0" distL="0" distR="0" allowOverlap="1" layoutInCell="1" locked="0" behindDoc="0" simplePos="0" relativeHeight="4984">
            <wp:simplePos x="0" y="0"/>
            <wp:positionH relativeFrom="page">
              <wp:posOffset>4776978</wp:posOffset>
            </wp:positionH>
            <wp:positionV relativeFrom="paragraph">
              <wp:posOffset>130175</wp:posOffset>
            </wp:positionV>
            <wp:extent cx="1735078" cy="1054417"/>
            <wp:effectExtent l="0" t="0" r="0" b="0"/>
            <wp:wrapTopAndBottom/>
            <wp:docPr id="143" name="image87.jpeg" descr=""/>
            <wp:cNvGraphicFramePr>
              <a:graphicFrameLocks noChangeAspect="1"/>
            </wp:cNvGraphicFramePr>
            <a:graphic>
              <a:graphicData uri="http://schemas.openxmlformats.org/drawingml/2006/picture">
                <pic:pic>
                  <pic:nvPicPr>
                    <pic:cNvPr id="144" name="image87.jpeg"/>
                    <pic:cNvPicPr/>
                  </pic:nvPicPr>
                  <pic:blipFill>
                    <a:blip r:embed="rId166" cstate="print"/>
                    <a:stretch>
                      <a:fillRect/>
                    </a:stretch>
                  </pic:blipFill>
                  <pic:spPr>
                    <a:xfrm>
                      <a:off x="0" y="0"/>
                      <a:ext cx="1735078" cy="1054417"/>
                    </a:xfrm>
                    <a:prstGeom prst="rect">
                      <a:avLst/>
                    </a:prstGeom>
                  </pic:spPr>
                </pic:pic>
              </a:graphicData>
            </a:graphic>
          </wp:anchor>
        </w:drawing>
      </w:r>
    </w:p>
    <w:p>
      <w:pPr>
        <w:pStyle w:val="BodyText"/>
        <w:spacing w:before="7"/>
        <w:rPr>
          <w:sz w:val="15"/>
        </w:rPr>
      </w:pPr>
    </w:p>
    <w:p>
      <w:pPr>
        <w:spacing w:before="0"/>
        <w:ind w:left="0" w:right="408" w:firstLine="0"/>
        <w:jc w:val="center"/>
        <w:rPr>
          <w:b/>
          <w:sz w:val="18"/>
        </w:rPr>
      </w:pPr>
      <w:r>
        <w:rPr>
          <w:b/>
          <w:sz w:val="18"/>
        </w:rPr>
        <w:t>Group A</w:t>
      </w:r>
    </w:p>
    <w:p>
      <w:pPr>
        <w:pStyle w:val="BodyText"/>
        <w:spacing w:before="7"/>
        <w:rPr>
          <w:b/>
          <w:sz w:val="17"/>
        </w:rPr>
      </w:pPr>
    </w:p>
    <w:p>
      <w:pPr>
        <w:spacing w:before="1"/>
        <w:ind w:left="270" w:right="0" w:firstLine="0"/>
        <w:jc w:val="both"/>
        <w:rPr>
          <w:sz w:val="18"/>
        </w:rPr>
      </w:pPr>
      <w:r>
        <w:rPr>
          <w:sz w:val="18"/>
        </w:rPr>
        <w:t>Ratings of the trunk, neck and legs.</w:t>
      </w:r>
    </w:p>
    <w:p>
      <w:pPr>
        <w:pStyle w:val="BodyText"/>
        <w:rPr>
          <w:sz w:val="18"/>
        </w:rPr>
      </w:pPr>
    </w:p>
    <w:p>
      <w:pPr>
        <w:spacing w:before="0"/>
        <w:ind w:left="270" w:right="678" w:firstLine="0"/>
        <w:jc w:val="both"/>
        <w:rPr>
          <w:sz w:val="18"/>
        </w:rPr>
      </w:pPr>
      <w:r>
        <w:rPr>
          <w:sz w:val="18"/>
        </w:rPr>
        <w:t>The method begins with the assessment and individual score of the group A, formed by the trunk, neck and legs.</w:t>
      </w:r>
    </w:p>
    <w:p>
      <w:pPr>
        <w:pStyle w:val="BodyText"/>
        <w:rPr>
          <w:sz w:val="18"/>
        </w:rPr>
      </w:pPr>
    </w:p>
    <w:p>
      <w:pPr>
        <w:spacing w:before="0"/>
        <w:ind w:left="270" w:right="0" w:firstLine="0"/>
        <w:jc w:val="both"/>
        <w:rPr>
          <w:sz w:val="18"/>
        </w:rPr>
      </w:pPr>
      <w:r>
        <w:rPr>
          <w:sz w:val="18"/>
        </w:rPr>
        <w:t>-Punctuation trunk</w:t>
      </w:r>
    </w:p>
    <w:p>
      <w:pPr>
        <w:pStyle w:val="BodyText"/>
        <w:rPr>
          <w:sz w:val="18"/>
        </w:rPr>
      </w:pPr>
    </w:p>
    <w:p>
      <w:pPr>
        <w:spacing w:before="0"/>
        <w:ind w:left="270" w:right="678" w:firstLine="0"/>
        <w:jc w:val="both"/>
        <w:rPr>
          <w:sz w:val="18"/>
        </w:rPr>
      </w:pPr>
      <w:r>
        <w:rPr/>
        <w:pict>
          <v:shape style="position:absolute;margin-left:333.720001pt;margin-top:155.222061pt;width:222.6pt;height:149.1pt;mso-position-horizontal-relative:page;mso-position-vertical-relative:paragraph;z-index:5032" type="#_x0000_t202" filled="false" stroked="false">
            <v:textbox inset="0,0,0,0">
              <w:txbxContent>
                <w:tbl>
                  <w:tblPr>
                    <w:tblW w:w="0" w:type="auto"/>
                    <w:jc w:val="left"/>
                    <w:tblBorders>
                      <w:top w:val="single" w:sz="12" w:space="0" w:color="1F487B"/>
                      <w:left w:val="single" w:sz="12" w:space="0" w:color="1F487B"/>
                      <w:bottom w:val="single" w:sz="12" w:space="0" w:color="1F487B"/>
                      <w:right w:val="single" w:sz="12" w:space="0" w:color="1F487B"/>
                      <w:insideH w:val="single" w:sz="12" w:space="0" w:color="1F487B"/>
                      <w:insideV w:val="single" w:sz="12" w:space="0" w:color="1F487B"/>
                    </w:tblBorders>
                    <w:tblLayout w:type="fixed"/>
                    <w:tblCellMar>
                      <w:top w:w="0" w:type="dxa"/>
                      <w:left w:w="0" w:type="dxa"/>
                      <w:bottom w:w="0" w:type="dxa"/>
                      <w:right w:w="0" w:type="dxa"/>
                    </w:tblCellMar>
                    <w:tblLook w:val="01E0"/>
                  </w:tblPr>
                  <w:tblGrid>
                    <w:gridCol w:w="880"/>
                    <w:gridCol w:w="3527"/>
                  </w:tblGrid>
                  <w:tr>
                    <w:trPr>
                      <w:trHeight w:val="457" w:hRule="exact"/>
                    </w:trPr>
                    <w:tc>
                      <w:tcPr>
                        <w:tcW w:w="880" w:type="dxa"/>
                      </w:tcPr>
                      <w:p>
                        <w:pPr>
                          <w:pStyle w:val="TableParagraph"/>
                          <w:spacing w:line="202" w:lineRule="exact"/>
                          <w:ind w:left="180" w:right="179"/>
                          <w:jc w:val="center"/>
                          <w:rPr>
                            <w:sz w:val="18"/>
                          </w:rPr>
                        </w:pPr>
                        <w:r>
                          <w:rPr>
                            <w:sz w:val="18"/>
                          </w:rPr>
                          <w:t>Points</w:t>
                        </w:r>
                      </w:p>
                    </w:tc>
                    <w:tc>
                      <w:tcPr>
                        <w:tcW w:w="3527" w:type="dxa"/>
                      </w:tcPr>
                      <w:p>
                        <w:pPr>
                          <w:pStyle w:val="TableParagraph"/>
                          <w:spacing w:line="202" w:lineRule="exact"/>
                          <w:ind w:left="233" w:right="233"/>
                          <w:jc w:val="center"/>
                          <w:rPr>
                            <w:sz w:val="18"/>
                          </w:rPr>
                        </w:pPr>
                        <w:r>
                          <w:rPr>
                            <w:sz w:val="18"/>
                          </w:rPr>
                          <w:t>Position</w:t>
                        </w:r>
                      </w:p>
                    </w:tc>
                  </w:tr>
                  <w:tr>
                    <w:trPr>
                      <w:trHeight w:val="456" w:hRule="exact"/>
                    </w:trPr>
                    <w:tc>
                      <w:tcPr>
                        <w:tcW w:w="880" w:type="dxa"/>
                      </w:tcPr>
                      <w:p>
                        <w:pPr>
                          <w:pStyle w:val="TableParagraph"/>
                          <w:spacing w:line="202" w:lineRule="exact"/>
                          <w:ind w:left="1"/>
                          <w:jc w:val="center"/>
                          <w:rPr>
                            <w:sz w:val="18"/>
                          </w:rPr>
                        </w:pPr>
                        <w:r>
                          <w:rPr>
                            <w:sz w:val="18"/>
                          </w:rPr>
                          <w:t>1</w:t>
                        </w:r>
                      </w:p>
                    </w:tc>
                    <w:tc>
                      <w:tcPr>
                        <w:tcW w:w="3527" w:type="dxa"/>
                      </w:tcPr>
                      <w:p>
                        <w:pPr>
                          <w:pStyle w:val="TableParagraph"/>
                          <w:spacing w:line="202" w:lineRule="exact"/>
                          <w:ind w:left="233" w:right="231"/>
                          <w:jc w:val="center"/>
                          <w:rPr>
                            <w:sz w:val="18"/>
                          </w:rPr>
                        </w:pPr>
                        <w:r>
                          <w:rPr>
                            <w:sz w:val="18"/>
                          </w:rPr>
                          <w:t>The trunk is erect.</w:t>
                        </w:r>
                      </w:p>
                    </w:tc>
                  </w:tr>
                  <w:tr>
                    <w:trPr>
                      <w:trHeight w:val="906" w:hRule="exact"/>
                    </w:trPr>
                    <w:tc>
                      <w:tcPr>
                        <w:tcW w:w="880" w:type="dxa"/>
                      </w:tcPr>
                      <w:p>
                        <w:pPr>
                          <w:pStyle w:val="TableParagraph"/>
                          <w:spacing w:line="202" w:lineRule="exact"/>
                          <w:ind w:left="1"/>
                          <w:jc w:val="center"/>
                          <w:rPr>
                            <w:sz w:val="18"/>
                          </w:rPr>
                        </w:pPr>
                        <w:r>
                          <w:rPr>
                            <w:sz w:val="18"/>
                          </w:rPr>
                          <w:t>2</w:t>
                        </w:r>
                      </w:p>
                    </w:tc>
                    <w:tc>
                      <w:tcPr>
                        <w:tcW w:w="3527" w:type="dxa"/>
                      </w:tcPr>
                      <w:p>
                        <w:pPr>
                          <w:pStyle w:val="TableParagraph"/>
                          <w:ind w:left="233" w:right="230"/>
                          <w:jc w:val="center"/>
                          <w:rPr>
                            <w:sz w:val="18"/>
                          </w:rPr>
                        </w:pPr>
                        <w:r>
                          <w:rPr>
                            <w:sz w:val="18"/>
                          </w:rPr>
                          <w:t>The truck is between 0 and 20 degress of flexion or between 0 and 20 degrees of extension.</w:t>
                        </w:r>
                      </w:p>
                    </w:tc>
                  </w:tr>
                  <w:tr>
                    <w:trPr>
                      <w:trHeight w:val="882" w:hRule="exact"/>
                    </w:trPr>
                    <w:tc>
                      <w:tcPr>
                        <w:tcW w:w="880" w:type="dxa"/>
                      </w:tcPr>
                      <w:p>
                        <w:pPr>
                          <w:pStyle w:val="TableParagraph"/>
                          <w:spacing w:line="202" w:lineRule="exact"/>
                          <w:ind w:left="1"/>
                          <w:jc w:val="center"/>
                          <w:rPr>
                            <w:sz w:val="18"/>
                          </w:rPr>
                        </w:pPr>
                        <w:r>
                          <w:rPr>
                            <w:sz w:val="18"/>
                          </w:rPr>
                          <w:t>3</w:t>
                        </w:r>
                      </w:p>
                    </w:tc>
                    <w:tc>
                      <w:tcPr>
                        <w:tcW w:w="3527" w:type="dxa"/>
                      </w:tcPr>
                      <w:p>
                        <w:pPr>
                          <w:pStyle w:val="TableParagraph"/>
                          <w:ind w:left="136" w:right="116" w:firstLine="92"/>
                          <w:rPr>
                            <w:sz w:val="18"/>
                          </w:rPr>
                        </w:pPr>
                        <w:r>
                          <w:rPr>
                            <w:sz w:val="18"/>
                          </w:rPr>
                          <w:t>The truck is between 20 and 60 degress of flexion or more than 20 degrees of extension</w:t>
                        </w:r>
                      </w:p>
                    </w:tc>
                  </w:tr>
                  <w:tr>
                    <w:trPr>
                      <w:trHeight w:val="251" w:hRule="exact"/>
                    </w:trPr>
                    <w:tc>
                      <w:tcPr>
                        <w:tcW w:w="880" w:type="dxa"/>
                      </w:tcPr>
                      <w:p>
                        <w:pPr>
                          <w:pStyle w:val="TableParagraph"/>
                          <w:spacing w:line="202" w:lineRule="exact"/>
                          <w:ind w:left="1"/>
                          <w:jc w:val="center"/>
                          <w:rPr>
                            <w:sz w:val="18"/>
                          </w:rPr>
                        </w:pPr>
                        <w:r>
                          <w:rPr>
                            <w:sz w:val="18"/>
                          </w:rPr>
                          <w:t>4</w:t>
                        </w:r>
                      </w:p>
                    </w:tc>
                    <w:tc>
                      <w:tcPr>
                        <w:tcW w:w="3527" w:type="dxa"/>
                      </w:tcPr>
                      <w:p>
                        <w:pPr>
                          <w:pStyle w:val="TableParagraph"/>
                          <w:spacing w:line="202" w:lineRule="exact"/>
                          <w:ind w:left="233" w:right="233"/>
                          <w:jc w:val="center"/>
                          <w:rPr>
                            <w:sz w:val="18"/>
                          </w:rPr>
                        </w:pPr>
                        <w:r>
                          <w:rPr>
                            <w:sz w:val="18"/>
                          </w:rPr>
                          <w:t>The truck is flexed more than 60 degrees.</w:t>
                        </w:r>
                      </w:p>
                    </w:tc>
                  </w:tr>
                </w:tbl>
                <w:p>
                  <w:pPr>
                    <w:pStyle w:val="BodyText"/>
                  </w:pPr>
                </w:p>
              </w:txbxContent>
            </v:textbox>
            <w10:wrap type="none"/>
          </v:shape>
        </w:pict>
      </w:r>
      <w:r>
        <w:rPr>
          <w:sz w:val="18"/>
        </w:rPr>
        <w:t>The first member to evaluate the group A is the trunk. It should be determined if the employee performs the task to erect or trunk, the latter indicating the degree of flexion or extension observed. Adequate score table 1 is selected.</w:t>
      </w:r>
    </w:p>
    <w:p>
      <w:pPr>
        <w:pStyle w:val="BodyText"/>
        <w:rPr>
          <w:sz w:val="15"/>
        </w:rPr>
      </w:pPr>
      <w:r>
        <w:rPr/>
        <w:drawing>
          <wp:anchor distT="0" distB="0" distL="0" distR="0" allowOverlap="1" layoutInCell="1" locked="0" behindDoc="0" simplePos="0" relativeHeight="5008">
            <wp:simplePos x="0" y="0"/>
            <wp:positionH relativeFrom="page">
              <wp:posOffset>4269485</wp:posOffset>
            </wp:positionH>
            <wp:positionV relativeFrom="paragraph">
              <wp:posOffset>134526</wp:posOffset>
            </wp:positionV>
            <wp:extent cx="2748520" cy="914400"/>
            <wp:effectExtent l="0" t="0" r="0" b="0"/>
            <wp:wrapTopAndBottom/>
            <wp:docPr id="145" name="image88.jpeg" descr=""/>
            <wp:cNvGraphicFramePr>
              <a:graphicFrameLocks noChangeAspect="1"/>
            </wp:cNvGraphicFramePr>
            <a:graphic>
              <a:graphicData uri="http://schemas.openxmlformats.org/drawingml/2006/picture">
                <pic:pic>
                  <pic:nvPicPr>
                    <pic:cNvPr id="146" name="image88.jpeg"/>
                    <pic:cNvPicPr/>
                  </pic:nvPicPr>
                  <pic:blipFill>
                    <a:blip r:embed="rId167" cstate="print"/>
                    <a:stretch>
                      <a:fillRect/>
                    </a:stretch>
                  </pic:blipFill>
                  <pic:spPr>
                    <a:xfrm>
                      <a:off x="0" y="0"/>
                      <a:ext cx="2748520" cy="914400"/>
                    </a:xfrm>
                    <a:prstGeom prst="rect">
                      <a:avLst/>
                    </a:prstGeom>
                  </pic:spPr>
                </pic:pic>
              </a:graphicData>
            </a:graphic>
          </wp:anchor>
        </w:drawing>
      </w:r>
    </w:p>
    <w:p>
      <w:pPr>
        <w:spacing w:line="480" w:lineRule="auto" w:before="0"/>
        <w:ind w:left="1782" w:right="1815" w:hanging="188"/>
        <w:jc w:val="left"/>
        <w:rPr>
          <w:sz w:val="18"/>
        </w:rPr>
      </w:pPr>
      <w:r>
        <w:rPr>
          <w:sz w:val="18"/>
        </w:rPr>
        <w:t>Figure 1. Positions of the trunk Table  1. Positions of the trunk</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11"/>
        <w:rPr>
          <w:sz w:val="25"/>
        </w:rPr>
      </w:pPr>
    </w:p>
    <w:p>
      <w:pPr>
        <w:spacing w:before="0"/>
        <w:ind w:left="270" w:right="678" w:firstLine="0"/>
        <w:jc w:val="both"/>
        <w:rPr>
          <w:sz w:val="18"/>
        </w:rPr>
      </w:pPr>
      <w:r>
        <w:rPr>
          <w:sz w:val="18"/>
        </w:rPr>
        <w:t>-The score trunk will increase in value if there twisting or lateral bending of the trunk.</w:t>
      </w:r>
    </w:p>
    <w:p>
      <w:pPr>
        <w:spacing w:after="0"/>
        <w:jc w:val="both"/>
        <w:rPr>
          <w:sz w:val="18"/>
        </w:rPr>
        <w:sectPr>
          <w:pgSz w:w="12240" w:h="15840"/>
          <w:pgMar w:header="545" w:footer="852" w:top="1060" w:bottom="1040" w:left="580" w:right="220"/>
          <w:cols w:num="2" w:equalWidth="0">
            <w:col w:w="5164" w:space="434"/>
            <w:col w:w="5842"/>
          </w:cols>
        </w:sectPr>
      </w:pPr>
    </w:p>
    <w:p>
      <w:pPr>
        <w:pStyle w:val="BodyText"/>
        <w:spacing w:before="1"/>
        <w:rPr>
          <w:sz w:val="18"/>
        </w:rPr>
      </w:pPr>
    </w:p>
    <w:p>
      <w:pPr>
        <w:pStyle w:val="BodyText"/>
        <w:ind w:left="270"/>
      </w:pPr>
      <w:r>
        <w:rPr/>
        <w:drawing>
          <wp:inline distT="0" distB="0" distL="0" distR="0">
            <wp:extent cx="2898503" cy="1101280"/>
            <wp:effectExtent l="0" t="0" r="0" b="0"/>
            <wp:docPr id="147" name="image89.png" descr=""/>
            <wp:cNvGraphicFramePr>
              <a:graphicFrameLocks noChangeAspect="1"/>
            </wp:cNvGraphicFramePr>
            <a:graphic>
              <a:graphicData uri="http://schemas.openxmlformats.org/drawingml/2006/picture">
                <pic:pic>
                  <pic:nvPicPr>
                    <pic:cNvPr id="148" name="image89.png"/>
                    <pic:cNvPicPr/>
                  </pic:nvPicPr>
                  <pic:blipFill>
                    <a:blip r:embed="rId168" cstate="print"/>
                    <a:stretch>
                      <a:fillRect/>
                    </a:stretch>
                  </pic:blipFill>
                  <pic:spPr>
                    <a:xfrm>
                      <a:off x="0" y="0"/>
                      <a:ext cx="2898503" cy="1101280"/>
                    </a:xfrm>
                    <a:prstGeom prst="rect">
                      <a:avLst/>
                    </a:prstGeom>
                  </pic:spPr>
                </pic:pic>
              </a:graphicData>
            </a:graphic>
          </wp:inline>
        </w:drawing>
      </w:r>
      <w:r>
        <w:rPr/>
      </w:r>
    </w:p>
    <w:p>
      <w:pPr>
        <w:spacing w:line="480" w:lineRule="auto" w:before="11"/>
        <w:ind w:left="1805" w:right="1150" w:hanging="8"/>
        <w:jc w:val="left"/>
        <w:rPr>
          <w:sz w:val="18"/>
        </w:rPr>
      </w:pPr>
      <w:r>
        <w:rPr/>
        <w:pict>
          <v:shape style="position:absolute;margin-left:47.639999pt;margin-top:31.812056pt;width:235.05pt;height:48.3pt;mso-position-horizontal-relative:page;mso-position-vertical-relative:paragraph;z-index:5128" type="#_x0000_t202" filled="false" stroked="false">
            <v:textbox inset="0,0,0,0">
              <w:txbxContent>
                <w:tbl>
                  <w:tblPr>
                    <w:tblW w:w="0" w:type="auto"/>
                    <w:jc w:val="left"/>
                    <w:tblBorders>
                      <w:top w:val="single" w:sz="12" w:space="0" w:color="1F487B"/>
                      <w:left w:val="single" w:sz="12" w:space="0" w:color="1F487B"/>
                      <w:bottom w:val="single" w:sz="12" w:space="0" w:color="1F487B"/>
                      <w:right w:val="single" w:sz="12" w:space="0" w:color="1F487B"/>
                      <w:insideH w:val="single" w:sz="12" w:space="0" w:color="1F487B"/>
                      <w:insideV w:val="single" w:sz="12" w:space="0" w:color="1F487B"/>
                    </w:tblBorders>
                    <w:tblLayout w:type="fixed"/>
                    <w:tblCellMar>
                      <w:top w:w="0" w:type="dxa"/>
                      <w:left w:w="0" w:type="dxa"/>
                      <w:bottom w:w="0" w:type="dxa"/>
                      <w:right w:w="0" w:type="dxa"/>
                    </w:tblCellMar>
                    <w:tblLook w:val="01E0"/>
                  </w:tblPr>
                  <w:tblGrid>
                    <w:gridCol w:w="2453"/>
                    <w:gridCol w:w="2203"/>
                  </w:tblGrid>
                  <w:tr>
                    <w:trPr>
                      <w:trHeight w:val="400" w:hRule="exact"/>
                    </w:trPr>
                    <w:tc>
                      <w:tcPr>
                        <w:tcW w:w="2453" w:type="dxa"/>
                      </w:tcPr>
                      <w:p>
                        <w:pPr>
                          <w:pStyle w:val="TableParagraph"/>
                          <w:spacing w:line="202" w:lineRule="exact"/>
                          <w:ind w:left="966" w:right="966"/>
                          <w:jc w:val="center"/>
                          <w:rPr>
                            <w:sz w:val="18"/>
                          </w:rPr>
                        </w:pPr>
                        <w:r>
                          <w:rPr>
                            <w:sz w:val="18"/>
                          </w:rPr>
                          <w:t>Points</w:t>
                        </w:r>
                      </w:p>
                    </w:tc>
                    <w:tc>
                      <w:tcPr>
                        <w:tcW w:w="2203" w:type="dxa"/>
                      </w:tcPr>
                      <w:p>
                        <w:pPr>
                          <w:pStyle w:val="TableParagraph"/>
                          <w:spacing w:line="202" w:lineRule="exact"/>
                          <w:ind w:left="772" w:right="771"/>
                          <w:jc w:val="center"/>
                          <w:rPr>
                            <w:sz w:val="18"/>
                          </w:rPr>
                        </w:pPr>
                        <w:r>
                          <w:rPr>
                            <w:sz w:val="18"/>
                          </w:rPr>
                          <w:t>Position</w:t>
                        </w:r>
                      </w:p>
                    </w:tc>
                  </w:tr>
                  <w:tr>
                    <w:trPr>
                      <w:trHeight w:val="536" w:hRule="exact"/>
                    </w:trPr>
                    <w:tc>
                      <w:tcPr>
                        <w:tcW w:w="2453" w:type="dxa"/>
                      </w:tcPr>
                      <w:p>
                        <w:pPr>
                          <w:pStyle w:val="TableParagraph"/>
                          <w:spacing w:line="202" w:lineRule="exact"/>
                          <w:ind w:left="966" w:right="965"/>
                          <w:jc w:val="center"/>
                          <w:rPr>
                            <w:sz w:val="18"/>
                          </w:rPr>
                        </w:pPr>
                        <w:r>
                          <w:rPr>
                            <w:sz w:val="18"/>
                          </w:rPr>
                          <w:t>+1</w:t>
                        </w:r>
                      </w:p>
                    </w:tc>
                    <w:tc>
                      <w:tcPr>
                        <w:tcW w:w="2203" w:type="dxa"/>
                      </w:tcPr>
                      <w:p>
                        <w:pPr>
                          <w:pStyle w:val="TableParagraph"/>
                          <w:ind w:left="332" w:right="199" w:hanging="113"/>
                          <w:rPr>
                            <w:sz w:val="18"/>
                          </w:rPr>
                        </w:pPr>
                        <w:r>
                          <w:rPr>
                            <w:sz w:val="18"/>
                          </w:rPr>
                          <w:t>There twisting or lateral bending of the trunk.</w:t>
                        </w:r>
                      </w:p>
                    </w:tc>
                  </w:tr>
                </w:tbl>
                <w:p>
                  <w:pPr>
                    <w:pStyle w:val="BodyText"/>
                  </w:pPr>
                </w:p>
              </w:txbxContent>
            </v:textbox>
            <w10:wrap type="none"/>
          </v:shape>
        </w:pict>
      </w:r>
      <w:r>
        <w:rPr>
          <w:sz w:val="18"/>
        </w:rPr>
        <w:t>Figure2. Positions of the trunk Table 2. Positions of the trunk</w:t>
      </w:r>
    </w:p>
    <w:p>
      <w:pPr>
        <w:pStyle w:val="BodyText"/>
        <w:rPr>
          <w:sz w:val="18"/>
        </w:rPr>
      </w:pPr>
    </w:p>
    <w:p>
      <w:pPr>
        <w:pStyle w:val="BodyText"/>
        <w:rPr>
          <w:sz w:val="18"/>
        </w:rPr>
      </w:pPr>
    </w:p>
    <w:p>
      <w:pPr>
        <w:pStyle w:val="BodyText"/>
        <w:rPr>
          <w:sz w:val="18"/>
        </w:rPr>
      </w:pPr>
    </w:p>
    <w:p>
      <w:pPr>
        <w:pStyle w:val="BodyText"/>
        <w:rPr>
          <w:sz w:val="18"/>
        </w:rPr>
      </w:pPr>
    </w:p>
    <w:p>
      <w:pPr>
        <w:spacing w:before="145"/>
        <w:ind w:left="270" w:right="0" w:firstLine="0"/>
        <w:jc w:val="both"/>
        <w:rPr>
          <w:sz w:val="18"/>
        </w:rPr>
      </w:pPr>
      <w:r>
        <w:rPr>
          <w:sz w:val="18"/>
        </w:rPr>
        <w:t>-Score the neck</w:t>
      </w:r>
    </w:p>
    <w:p>
      <w:pPr>
        <w:pStyle w:val="BodyText"/>
        <w:rPr>
          <w:sz w:val="18"/>
        </w:rPr>
      </w:pPr>
    </w:p>
    <w:p>
      <w:pPr>
        <w:spacing w:before="0"/>
        <w:ind w:left="270" w:right="0" w:firstLine="0"/>
        <w:jc w:val="both"/>
        <w:rPr>
          <w:sz w:val="18"/>
        </w:rPr>
      </w:pPr>
      <w:r>
        <w:rPr>
          <w:sz w:val="18"/>
        </w:rPr>
        <w:t>Secondly   the   neck   position   will   be   evaluated.   The  method</w:t>
      </w:r>
    </w:p>
    <w:p>
      <w:pPr>
        <w:pStyle w:val="BodyText"/>
        <w:spacing w:before="2"/>
        <w:rPr>
          <w:sz w:val="6"/>
        </w:rPr>
      </w:pPr>
    </w:p>
    <w:tbl>
      <w:tblPr>
        <w:tblW w:w="0" w:type="auto"/>
        <w:jc w:val="left"/>
        <w:tblInd w:w="147" w:type="dxa"/>
        <w:tblBorders>
          <w:top w:val="single" w:sz="12" w:space="0" w:color="1F487B"/>
          <w:left w:val="single" w:sz="12" w:space="0" w:color="1F487B"/>
          <w:bottom w:val="single" w:sz="12" w:space="0" w:color="1F487B"/>
          <w:right w:val="single" w:sz="12" w:space="0" w:color="1F487B"/>
          <w:insideH w:val="single" w:sz="12" w:space="0" w:color="1F487B"/>
          <w:insideV w:val="single" w:sz="12" w:space="0" w:color="1F487B"/>
        </w:tblBorders>
        <w:tblLayout w:type="fixed"/>
        <w:tblCellMar>
          <w:top w:w="0" w:type="dxa"/>
          <w:left w:w="0" w:type="dxa"/>
          <w:bottom w:w="0" w:type="dxa"/>
          <w:right w:w="0" w:type="dxa"/>
        </w:tblCellMar>
        <w:tblLook w:val="01E0"/>
      </w:tblPr>
      <w:tblGrid>
        <w:gridCol w:w="2510"/>
        <w:gridCol w:w="2570"/>
      </w:tblGrid>
      <w:tr>
        <w:trPr>
          <w:trHeight w:val="300" w:hRule="exact"/>
        </w:trPr>
        <w:tc>
          <w:tcPr>
            <w:tcW w:w="2510" w:type="dxa"/>
          </w:tcPr>
          <w:p>
            <w:pPr>
              <w:pStyle w:val="TableParagraph"/>
              <w:spacing w:before="3"/>
              <w:ind w:left="980" w:right="979"/>
              <w:jc w:val="center"/>
              <w:rPr>
                <w:b/>
                <w:sz w:val="18"/>
              </w:rPr>
            </w:pPr>
            <w:r>
              <w:rPr>
                <w:b/>
                <w:sz w:val="18"/>
              </w:rPr>
              <w:t>Points</w:t>
            </w:r>
          </w:p>
        </w:tc>
        <w:tc>
          <w:tcPr>
            <w:tcW w:w="2570" w:type="dxa"/>
          </w:tcPr>
          <w:p>
            <w:pPr>
              <w:pStyle w:val="TableParagraph"/>
              <w:spacing w:before="3"/>
              <w:ind w:left="858" w:right="855"/>
              <w:jc w:val="center"/>
              <w:rPr>
                <w:b/>
                <w:sz w:val="18"/>
              </w:rPr>
            </w:pPr>
            <w:r>
              <w:rPr>
                <w:b/>
                <w:sz w:val="18"/>
              </w:rPr>
              <w:t>Position</w:t>
            </w:r>
          </w:p>
        </w:tc>
      </w:tr>
      <w:tr>
        <w:trPr>
          <w:trHeight w:val="444" w:hRule="exact"/>
        </w:trPr>
        <w:tc>
          <w:tcPr>
            <w:tcW w:w="2510" w:type="dxa"/>
          </w:tcPr>
          <w:p>
            <w:pPr>
              <w:pStyle w:val="TableParagraph"/>
              <w:jc w:val="center"/>
              <w:rPr>
                <w:sz w:val="18"/>
              </w:rPr>
            </w:pPr>
            <w:r>
              <w:rPr>
                <w:sz w:val="18"/>
              </w:rPr>
              <w:t>1</w:t>
            </w:r>
          </w:p>
        </w:tc>
        <w:tc>
          <w:tcPr>
            <w:tcW w:w="2570" w:type="dxa"/>
          </w:tcPr>
          <w:p>
            <w:pPr>
              <w:pStyle w:val="TableParagraph"/>
              <w:ind w:left="1046" w:right="214" w:hanging="810"/>
              <w:rPr>
                <w:sz w:val="18"/>
              </w:rPr>
            </w:pPr>
            <w:r>
              <w:rPr>
                <w:sz w:val="18"/>
              </w:rPr>
              <w:t>Bilateral support, walking or sitting</w:t>
            </w:r>
          </w:p>
        </w:tc>
      </w:tr>
      <w:tr>
        <w:trPr>
          <w:trHeight w:val="444" w:hRule="exact"/>
        </w:trPr>
        <w:tc>
          <w:tcPr>
            <w:tcW w:w="2510" w:type="dxa"/>
          </w:tcPr>
          <w:p>
            <w:pPr>
              <w:pStyle w:val="TableParagraph"/>
              <w:jc w:val="center"/>
              <w:rPr>
                <w:sz w:val="18"/>
              </w:rPr>
            </w:pPr>
            <w:r>
              <w:rPr>
                <w:sz w:val="18"/>
              </w:rPr>
              <w:t>2</w:t>
            </w:r>
          </w:p>
        </w:tc>
        <w:tc>
          <w:tcPr>
            <w:tcW w:w="2570" w:type="dxa"/>
          </w:tcPr>
          <w:p>
            <w:pPr>
              <w:pStyle w:val="TableParagraph"/>
              <w:ind w:left="661" w:right="77" w:hanging="563"/>
              <w:rPr>
                <w:sz w:val="18"/>
              </w:rPr>
            </w:pPr>
            <w:r>
              <w:rPr>
                <w:sz w:val="18"/>
              </w:rPr>
              <w:t>Unilateral support, light stand or unstable posture.</w:t>
            </w:r>
          </w:p>
        </w:tc>
      </w:tr>
    </w:tbl>
    <w:p>
      <w:pPr>
        <w:spacing w:before="0"/>
        <w:ind w:left="270" w:right="0" w:firstLine="0"/>
        <w:jc w:val="both"/>
        <w:rPr>
          <w:sz w:val="18"/>
        </w:rPr>
      </w:pPr>
      <w:r>
        <w:rPr>
          <w:sz w:val="18"/>
        </w:rPr>
        <w:t>considers two possible positions of the neck. In the first neck is  bent between 0 and 20 degrees and in the second there is flexion or extension of more than 20</w:t>
      </w:r>
      <w:r>
        <w:rPr>
          <w:spacing w:val="-7"/>
          <w:sz w:val="18"/>
        </w:rPr>
        <w:t> </w:t>
      </w:r>
      <w:r>
        <w:rPr>
          <w:sz w:val="18"/>
        </w:rPr>
        <w:t>degrees.</w:t>
      </w:r>
    </w:p>
    <w:p>
      <w:pPr>
        <w:pStyle w:val="BodyText"/>
        <w:rPr>
          <w:sz w:val="15"/>
        </w:rPr>
      </w:pPr>
      <w:r>
        <w:rPr/>
        <w:drawing>
          <wp:anchor distT="0" distB="0" distL="0" distR="0" allowOverlap="1" layoutInCell="1" locked="0" behindDoc="0" simplePos="0" relativeHeight="5056">
            <wp:simplePos x="0" y="0"/>
            <wp:positionH relativeFrom="page">
              <wp:posOffset>944880</wp:posOffset>
            </wp:positionH>
            <wp:positionV relativeFrom="paragraph">
              <wp:posOffset>134541</wp:posOffset>
            </wp:positionV>
            <wp:extent cx="2518529" cy="1012126"/>
            <wp:effectExtent l="0" t="0" r="0" b="0"/>
            <wp:wrapTopAndBottom/>
            <wp:docPr id="149" name="image90.jpeg" descr=""/>
            <wp:cNvGraphicFramePr>
              <a:graphicFrameLocks noChangeAspect="1"/>
            </wp:cNvGraphicFramePr>
            <a:graphic>
              <a:graphicData uri="http://schemas.openxmlformats.org/drawingml/2006/picture">
                <pic:pic>
                  <pic:nvPicPr>
                    <pic:cNvPr id="150" name="image90.jpeg"/>
                    <pic:cNvPicPr/>
                  </pic:nvPicPr>
                  <pic:blipFill>
                    <a:blip r:embed="rId169" cstate="print"/>
                    <a:stretch>
                      <a:fillRect/>
                    </a:stretch>
                  </pic:blipFill>
                  <pic:spPr>
                    <a:xfrm>
                      <a:off x="0" y="0"/>
                      <a:ext cx="2518529" cy="1012126"/>
                    </a:xfrm>
                    <a:prstGeom prst="rect">
                      <a:avLst/>
                    </a:prstGeom>
                  </pic:spPr>
                </pic:pic>
              </a:graphicData>
            </a:graphic>
          </wp:anchor>
        </w:drawing>
      </w:r>
    </w:p>
    <w:p>
      <w:pPr>
        <w:spacing w:line="480" w:lineRule="auto" w:before="0"/>
        <w:ind w:left="1826" w:right="1176" w:hanging="188"/>
        <w:jc w:val="left"/>
        <w:rPr>
          <w:sz w:val="18"/>
        </w:rPr>
      </w:pPr>
      <w:r>
        <w:rPr>
          <w:sz w:val="18"/>
        </w:rPr>
        <w:t>Figure 3.Positions of the neck Table 3. Positions of the neck</w:t>
      </w:r>
    </w:p>
    <w:p>
      <w:pPr>
        <w:pStyle w:val="BodyText"/>
        <w:spacing w:before="7"/>
        <w:rPr>
          <w:sz w:val="17"/>
        </w:rPr>
      </w:pPr>
      <w:r>
        <w:rPr/>
        <w:br w:type="column"/>
      </w:r>
      <w:r>
        <w:rPr>
          <w:sz w:val="17"/>
        </w:rPr>
      </w:r>
    </w:p>
    <w:p>
      <w:pPr>
        <w:spacing w:line="480" w:lineRule="auto" w:before="1"/>
        <w:ind w:left="1138" w:right="1169" w:hanging="210"/>
        <w:jc w:val="left"/>
        <w:rPr>
          <w:sz w:val="18"/>
        </w:rPr>
      </w:pPr>
      <w:r>
        <w:rPr>
          <w:sz w:val="18"/>
        </w:rPr>
        <w:t>Figure 4. Positions that modify the score the neck Table 4. Positions that modify the score the neck</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10"/>
        <w:rPr>
          <w:sz w:val="23"/>
        </w:rPr>
      </w:pPr>
    </w:p>
    <w:p>
      <w:pPr>
        <w:spacing w:before="0"/>
        <w:ind w:left="270" w:right="0" w:firstLine="0"/>
        <w:jc w:val="both"/>
        <w:rPr>
          <w:sz w:val="18"/>
        </w:rPr>
      </w:pPr>
      <w:r>
        <w:rPr/>
        <w:pict>
          <v:shape style="position:absolute;margin-left:313.140015pt;margin-top:-75.237663pt;width:263.75pt;height:54.8pt;mso-position-horizontal-relative:page;mso-position-vertical-relative:paragraph;z-index:5104" type="#_x0000_t202" filled="false" stroked="false">
            <v:textbox inset="0,0,0,0">
              <w:txbxContent>
                <w:tbl>
                  <w:tblPr>
                    <w:tblW w:w="0" w:type="auto"/>
                    <w:jc w:val="left"/>
                    <w:tblBorders>
                      <w:top w:val="single" w:sz="12" w:space="0" w:color="1F487B"/>
                      <w:left w:val="single" w:sz="12" w:space="0" w:color="1F487B"/>
                      <w:bottom w:val="single" w:sz="12" w:space="0" w:color="1F487B"/>
                      <w:right w:val="single" w:sz="12" w:space="0" w:color="1F487B"/>
                      <w:insideH w:val="single" w:sz="12" w:space="0" w:color="1F487B"/>
                      <w:insideV w:val="single" w:sz="12" w:space="0" w:color="1F487B"/>
                    </w:tblBorders>
                    <w:tblLayout w:type="fixed"/>
                    <w:tblCellMar>
                      <w:top w:w="0" w:type="dxa"/>
                      <w:left w:w="0" w:type="dxa"/>
                      <w:bottom w:w="0" w:type="dxa"/>
                      <w:right w:w="0" w:type="dxa"/>
                    </w:tblCellMar>
                    <w:tblLook w:val="01E0"/>
                  </w:tblPr>
                  <w:tblGrid>
                    <w:gridCol w:w="2598"/>
                    <w:gridCol w:w="2632"/>
                  </w:tblGrid>
                  <w:tr>
                    <w:trPr>
                      <w:trHeight w:val="622" w:hRule="exact"/>
                    </w:trPr>
                    <w:tc>
                      <w:tcPr>
                        <w:tcW w:w="2598" w:type="dxa"/>
                      </w:tcPr>
                      <w:p>
                        <w:pPr>
                          <w:pStyle w:val="TableParagraph"/>
                          <w:spacing w:line="204" w:lineRule="exact"/>
                          <w:ind w:left="989" w:right="988"/>
                          <w:jc w:val="center"/>
                          <w:rPr>
                            <w:rFonts w:ascii="Arial"/>
                            <w:b/>
                            <w:sz w:val="18"/>
                          </w:rPr>
                        </w:pPr>
                        <w:r>
                          <w:rPr>
                            <w:rFonts w:ascii="Arial"/>
                            <w:b/>
                            <w:sz w:val="18"/>
                          </w:rPr>
                          <w:t>Points</w:t>
                        </w:r>
                      </w:p>
                    </w:tc>
                    <w:tc>
                      <w:tcPr>
                        <w:tcW w:w="2632" w:type="dxa"/>
                      </w:tcPr>
                      <w:p>
                        <w:pPr>
                          <w:pStyle w:val="TableParagraph"/>
                          <w:spacing w:line="204" w:lineRule="exact"/>
                          <w:ind w:left="926" w:right="925"/>
                          <w:jc w:val="center"/>
                          <w:rPr>
                            <w:rFonts w:ascii="Arial"/>
                            <w:b/>
                            <w:sz w:val="18"/>
                          </w:rPr>
                        </w:pPr>
                        <w:r>
                          <w:rPr>
                            <w:rFonts w:ascii="Arial"/>
                            <w:b/>
                            <w:sz w:val="18"/>
                          </w:rPr>
                          <w:t>Position</w:t>
                        </w:r>
                      </w:p>
                    </w:tc>
                  </w:tr>
                  <w:tr>
                    <w:trPr>
                      <w:trHeight w:val="444" w:hRule="exact"/>
                    </w:trPr>
                    <w:tc>
                      <w:tcPr>
                        <w:tcW w:w="2598" w:type="dxa"/>
                      </w:tcPr>
                      <w:p>
                        <w:pPr>
                          <w:pStyle w:val="TableParagraph"/>
                          <w:spacing w:line="205" w:lineRule="exact"/>
                          <w:ind w:left="988" w:right="988"/>
                          <w:jc w:val="center"/>
                          <w:rPr>
                            <w:rFonts w:ascii="Arial"/>
                            <w:sz w:val="18"/>
                          </w:rPr>
                        </w:pPr>
                        <w:r>
                          <w:rPr>
                            <w:rFonts w:ascii="Arial"/>
                            <w:sz w:val="18"/>
                          </w:rPr>
                          <w:t>+1</w:t>
                        </w:r>
                      </w:p>
                    </w:tc>
                    <w:tc>
                      <w:tcPr>
                        <w:tcW w:w="2632" w:type="dxa"/>
                      </w:tcPr>
                      <w:p>
                        <w:pPr>
                          <w:pStyle w:val="TableParagraph"/>
                          <w:ind w:left="490" w:right="170" w:hanging="300"/>
                          <w:rPr>
                            <w:rFonts w:ascii="Arial"/>
                            <w:sz w:val="18"/>
                          </w:rPr>
                        </w:pPr>
                        <w:r>
                          <w:rPr>
                            <w:rFonts w:ascii="Arial"/>
                            <w:sz w:val="18"/>
                          </w:rPr>
                          <w:t>There twisting and/or lateral bending of the neck.</w:t>
                        </w:r>
                      </w:p>
                    </w:tc>
                  </w:tr>
                </w:tbl>
                <w:p>
                  <w:pPr>
                    <w:pStyle w:val="BodyText"/>
                  </w:pPr>
                </w:p>
              </w:txbxContent>
            </v:textbox>
            <w10:wrap type="none"/>
          </v:shape>
        </w:pict>
      </w:r>
      <w:r>
        <w:rPr>
          <w:sz w:val="18"/>
        </w:rPr>
        <w:t>-Punctuation of legs</w:t>
      </w:r>
    </w:p>
    <w:p>
      <w:pPr>
        <w:spacing w:before="0"/>
        <w:ind w:left="270" w:right="678" w:firstLine="0"/>
        <w:jc w:val="both"/>
        <w:rPr>
          <w:sz w:val="18"/>
        </w:rPr>
      </w:pPr>
      <w:r>
        <w:rPr>
          <w:sz w:val="18"/>
        </w:rPr>
        <w:t>To finish assigning scores of members of group A leg position will be evaluated. Consulting Table 5 allow to obtain the initial score assigned to the legs depending on the weight distribution.</w:t>
      </w:r>
    </w:p>
    <w:p>
      <w:pPr>
        <w:pStyle w:val="BodyText"/>
        <w:ind w:left="843"/>
      </w:pPr>
      <w:r>
        <w:rPr/>
        <w:drawing>
          <wp:inline distT="0" distB="0" distL="0" distR="0">
            <wp:extent cx="2374309" cy="866775"/>
            <wp:effectExtent l="0" t="0" r="0" b="0"/>
            <wp:docPr id="151" name="image91.jpeg" descr=""/>
            <wp:cNvGraphicFramePr>
              <a:graphicFrameLocks noChangeAspect="1"/>
            </wp:cNvGraphicFramePr>
            <a:graphic>
              <a:graphicData uri="http://schemas.openxmlformats.org/drawingml/2006/picture">
                <pic:pic>
                  <pic:nvPicPr>
                    <pic:cNvPr id="152" name="image91.jpeg"/>
                    <pic:cNvPicPr/>
                  </pic:nvPicPr>
                  <pic:blipFill>
                    <a:blip r:embed="rId170" cstate="print"/>
                    <a:stretch>
                      <a:fillRect/>
                    </a:stretch>
                  </pic:blipFill>
                  <pic:spPr>
                    <a:xfrm>
                      <a:off x="0" y="0"/>
                      <a:ext cx="2374309" cy="866775"/>
                    </a:xfrm>
                    <a:prstGeom prst="rect">
                      <a:avLst/>
                    </a:prstGeom>
                  </pic:spPr>
                </pic:pic>
              </a:graphicData>
            </a:graphic>
          </wp:inline>
        </w:drawing>
      </w:r>
      <w:r>
        <w:rPr/>
      </w:r>
    </w:p>
    <w:p>
      <w:pPr>
        <w:spacing w:before="2"/>
        <w:ind w:left="0" w:right="407" w:firstLine="0"/>
        <w:jc w:val="center"/>
        <w:rPr>
          <w:sz w:val="18"/>
        </w:rPr>
      </w:pPr>
      <w:r>
        <w:rPr>
          <w:sz w:val="18"/>
        </w:rPr>
        <w:t>Figure 5. Rating legs</w:t>
      </w:r>
    </w:p>
    <w:p>
      <w:pPr>
        <w:pStyle w:val="BodyText"/>
        <w:rPr>
          <w:sz w:val="18"/>
        </w:rPr>
      </w:pPr>
    </w:p>
    <w:p>
      <w:pPr>
        <w:pStyle w:val="BodyText"/>
        <w:rPr>
          <w:sz w:val="18"/>
        </w:rPr>
      </w:pPr>
    </w:p>
    <w:p>
      <w:pPr>
        <w:pStyle w:val="BodyText"/>
        <w:spacing w:before="10"/>
        <w:rPr>
          <w:sz w:val="17"/>
        </w:rPr>
      </w:pPr>
    </w:p>
    <w:p>
      <w:pPr>
        <w:spacing w:before="0"/>
        <w:ind w:left="0" w:right="408" w:firstLine="0"/>
        <w:jc w:val="center"/>
        <w:rPr>
          <w:sz w:val="18"/>
        </w:rPr>
      </w:pPr>
      <w:r>
        <w:rPr>
          <w:sz w:val="18"/>
        </w:rPr>
        <w:t>Table 5: Rating legs</w:t>
      </w:r>
    </w:p>
    <w:p>
      <w:pPr>
        <w:pStyle w:val="BodyText"/>
        <w:rPr>
          <w:sz w:val="18"/>
        </w:rPr>
      </w:pPr>
    </w:p>
    <w:p>
      <w:pPr>
        <w:spacing w:before="0"/>
        <w:ind w:left="270" w:right="676" w:firstLine="0"/>
        <w:jc w:val="both"/>
        <w:rPr>
          <w:sz w:val="18"/>
        </w:rPr>
      </w:pPr>
      <w:r>
        <w:rPr>
          <w:sz w:val="18"/>
        </w:rPr>
        <w:t>-The score of the legs will be increased if there is bending of one or both knees. The increase may be up to 2 units if there flexion 60 °. If the worker is granted, the method considers that there is no bending and thus increases the score of the legs.</w:t>
      </w:r>
    </w:p>
    <w:p>
      <w:pPr>
        <w:pStyle w:val="BodyText"/>
        <w:ind w:left="929"/>
      </w:pPr>
      <w:r>
        <w:rPr/>
        <w:drawing>
          <wp:inline distT="0" distB="0" distL="0" distR="0">
            <wp:extent cx="2267712" cy="1316736"/>
            <wp:effectExtent l="0" t="0" r="0" b="0"/>
            <wp:docPr id="153" name="image92.png" descr=""/>
            <wp:cNvGraphicFramePr>
              <a:graphicFrameLocks noChangeAspect="1"/>
            </wp:cNvGraphicFramePr>
            <a:graphic>
              <a:graphicData uri="http://schemas.openxmlformats.org/drawingml/2006/picture">
                <pic:pic>
                  <pic:nvPicPr>
                    <pic:cNvPr id="154" name="image92.png"/>
                    <pic:cNvPicPr/>
                  </pic:nvPicPr>
                  <pic:blipFill>
                    <a:blip r:embed="rId171" cstate="print"/>
                    <a:stretch>
                      <a:fillRect/>
                    </a:stretch>
                  </pic:blipFill>
                  <pic:spPr>
                    <a:xfrm>
                      <a:off x="0" y="0"/>
                      <a:ext cx="2267712" cy="1316736"/>
                    </a:xfrm>
                    <a:prstGeom prst="rect">
                      <a:avLst/>
                    </a:prstGeom>
                  </pic:spPr>
                </pic:pic>
              </a:graphicData>
            </a:graphic>
          </wp:inline>
        </w:drawing>
      </w:r>
      <w:r>
        <w:rPr/>
      </w:r>
    </w:p>
    <w:p>
      <w:pPr>
        <w:spacing w:line="480" w:lineRule="auto" w:before="0"/>
        <w:ind w:left="1876" w:right="1906" w:hanging="210"/>
        <w:jc w:val="left"/>
        <w:rPr>
          <w:sz w:val="18"/>
        </w:rPr>
      </w:pPr>
      <w:r>
        <w:rPr/>
        <w:pict>
          <v:shape style="position:absolute;margin-left:316.859985pt;margin-top:31.32205pt;width:256.3pt;height:71.9pt;mso-position-horizontal-relative:page;mso-position-vertical-relative:paragraph;z-index:5176" type="#_x0000_t202" filled="false" stroked="false">
            <v:textbox inset="0,0,0,0">
              <w:txbxContent>
                <w:tbl>
                  <w:tblPr>
                    <w:tblW w:w="0" w:type="auto"/>
                    <w:jc w:val="left"/>
                    <w:tblBorders>
                      <w:top w:val="single" w:sz="12" w:space="0" w:color="1F487B"/>
                      <w:left w:val="single" w:sz="12" w:space="0" w:color="1F487B"/>
                      <w:bottom w:val="single" w:sz="12" w:space="0" w:color="1F487B"/>
                      <w:right w:val="single" w:sz="12" w:space="0" w:color="1F487B"/>
                      <w:insideH w:val="single" w:sz="12" w:space="0" w:color="1F487B"/>
                      <w:insideV w:val="single" w:sz="12" w:space="0" w:color="1F487B"/>
                    </w:tblBorders>
                    <w:tblLayout w:type="fixed"/>
                    <w:tblCellMar>
                      <w:top w:w="0" w:type="dxa"/>
                      <w:left w:w="0" w:type="dxa"/>
                      <w:bottom w:w="0" w:type="dxa"/>
                      <w:right w:w="0" w:type="dxa"/>
                    </w:tblCellMar>
                    <w:tblLook w:val="01E0"/>
                  </w:tblPr>
                  <w:tblGrid>
                    <w:gridCol w:w="2503"/>
                    <w:gridCol w:w="2578"/>
                  </w:tblGrid>
                  <w:tr>
                    <w:trPr>
                      <w:trHeight w:val="313" w:hRule="exact"/>
                    </w:trPr>
                    <w:tc>
                      <w:tcPr>
                        <w:tcW w:w="2503" w:type="dxa"/>
                      </w:tcPr>
                      <w:p>
                        <w:pPr>
                          <w:pStyle w:val="TableParagraph"/>
                          <w:spacing w:line="206" w:lineRule="exact"/>
                          <w:ind w:left="977" w:right="976"/>
                          <w:jc w:val="center"/>
                          <w:rPr>
                            <w:b/>
                            <w:sz w:val="18"/>
                          </w:rPr>
                        </w:pPr>
                        <w:r>
                          <w:rPr>
                            <w:b/>
                            <w:sz w:val="18"/>
                          </w:rPr>
                          <w:t>Points</w:t>
                        </w:r>
                      </w:p>
                    </w:tc>
                    <w:tc>
                      <w:tcPr>
                        <w:tcW w:w="2578" w:type="dxa"/>
                      </w:tcPr>
                      <w:p>
                        <w:pPr>
                          <w:pStyle w:val="TableParagraph"/>
                          <w:spacing w:line="206" w:lineRule="exact"/>
                          <w:ind w:left="286" w:right="285"/>
                          <w:jc w:val="center"/>
                          <w:rPr>
                            <w:b/>
                            <w:sz w:val="18"/>
                          </w:rPr>
                        </w:pPr>
                        <w:r>
                          <w:rPr>
                            <w:b/>
                            <w:sz w:val="18"/>
                          </w:rPr>
                          <w:t>Position</w:t>
                        </w:r>
                      </w:p>
                    </w:tc>
                  </w:tr>
                  <w:tr>
                    <w:trPr>
                      <w:trHeight w:val="444" w:hRule="exact"/>
                    </w:trPr>
                    <w:tc>
                      <w:tcPr>
                        <w:tcW w:w="2503" w:type="dxa"/>
                      </w:tcPr>
                      <w:p>
                        <w:pPr>
                          <w:pStyle w:val="TableParagraph"/>
                          <w:spacing w:line="202" w:lineRule="exact"/>
                          <w:ind w:left="976" w:right="976"/>
                          <w:jc w:val="center"/>
                          <w:rPr>
                            <w:sz w:val="18"/>
                          </w:rPr>
                        </w:pPr>
                        <w:r>
                          <w:rPr>
                            <w:sz w:val="18"/>
                          </w:rPr>
                          <w:t>+1</w:t>
                        </w:r>
                      </w:p>
                    </w:tc>
                    <w:tc>
                      <w:tcPr>
                        <w:tcW w:w="2578" w:type="dxa"/>
                      </w:tcPr>
                      <w:p>
                        <w:pPr>
                          <w:pStyle w:val="TableParagraph"/>
                          <w:ind w:left="346" w:right="300" w:hanging="28"/>
                          <w:rPr>
                            <w:sz w:val="18"/>
                          </w:rPr>
                        </w:pPr>
                        <w:r>
                          <w:rPr>
                            <w:sz w:val="18"/>
                          </w:rPr>
                          <w:t>There bending one or both knees between 30 and 60.</w:t>
                        </w:r>
                      </w:p>
                    </w:tc>
                  </w:tr>
                  <w:tr>
                    <w:trPr>
                      <w:trHeight w:val="650" w:hRule="exact"/>
                    </w:trPr>
                    <w:tc>
                      <w:tcPr>
                        <w:tcW w:w="2503" w:type="dxa"/>
                      </w:tcPr>
                      <w:p>
                        <w:pPr>
                          <w:pStyle w:val="TableParagraph"/>
                          <w:spacing w:line="202" w:lineRule="exact"/>
                          <w:ind w:left="976" w:right="976"/>
                          <w:jc w:val="center"/>
                          <w:rPr>
                            <w:sz w:val="18"/>
                          </w:rPr>
                        </w:pPr>
                        <w:r>
                          <w:rPr>
                            <w:sz w:val="18"/>
                          </w:rPr>
                          <w:t>+2</w:t>
                        </w:r>
                      </w:p>
                    </w:tc>
                    <w:tc>
                      <w:tcPr>
                        <w:tcW w:w="2578" w:type="dxa"/>
                      </w:tcPr>
                      <w:p>
                        <w:pPr>
                          <w:pStyle w:val="TableParagraph"/>
                          <w:ind w:left="288" w:right="285"/>
                          <w:jc w:val="center"/>
                          <w:rPr>
                            <w:sz w:val="18"/>
                          </w:rPr>
                        </w:pPr>
                        <w:r>
                          <w:rPr>
                            <w:sz w:val="18"/>
                          </w:rPr>
                          <w:t>There bending one or both knees of 60°( except sitting posture).</w:t>
                        </w:r>
                      </w:p>
                    </w:tc>
                  </w:tr>
                </w:tbl>
                <w:p>
                  <w:pPr>
                    <w:pStyle w:val="BodyText"/>
                  </w:pPr>
                </w:p>
              </w:txbxContent>
            </v:textbox>
            <w10:wrap type="none"/>
          </v:shape>
        </w:pict>
      </w:r>
      <w:r>
        <w:rPr>
          <w:sz w:val="18"/>
        </w:rPr>
        <w:t>Figure 6. Bending of the legs Table 6. Bending of the legs</w:t>
      </w:r>
    </w:p>
    <w:p>
      <w:pPr>
        <w:spacing w:after="0" w:line="480" w:lineRule="auto"/>
        <w:jc w:val="left"/>
        <w:rPr>
          <w:sz w:val="18"/>
        </w:rPr>
        <w:sectPr>
          <w:pgSz w:w="12240" w:h="15840"/>
          <w:pgMar w:header="545" w:footer="852" w:top="1060" w:bottom="1040" w:left="580" w:right="220"/>
          <w:cols w:num="2" w:equalWidth="0">
            <w:col w:w="5162" w:space="436"/>
            <w:col w:w="5842"/>
          </w:cols>
        </w:sectPr>
      </w:pPr>
    </w:p>
    <w:p>
      <w:pPr>
        <w:pStyle w:val="BodyText"/>
      </w:pPr>
    </w:p>
    <w:p>
      <w:pPr>
        <w:pStyle w:val="BodyText"/>
      </w:pPr>
    </w:p>
    <w:p>
      <w:pPr>
        <w:pStyle w:val="BodyText"/>
      </w:pPr>
    </w:p>
    <w:p>
      <w:pPr>
        <w:pStyle w:val="BodyText"/>
      </w:pPr>
    </w:p>
    <w:p>
      <w:pPr>
        <w:pStyle w:val="BodyText"/>
      </w:pPr>
    </w:p>
    <w:p>
      <w:pPr>
        <w:pStyle w:val="BodyText"/>
        <w:spacing w:before="6"/>
        <w:rPr>
          <w:sz w:val="22"/>
        </w:rPr>
      </w:pPr>
    </w:p>
    <w:p>
      <w:pPr>
        <w:spacing w:before="77"/>
        <w:ind w:left="270" w:right="6277" w:firstLine="0"/>
        <w:jc w:val="both"/>
        <w:rPr>
          <w:sz w:val="18"/>
        </w:rPr>
      </w:pPr>
      <w:r>
        <w:rPr/>
        <w:pict>
          <v:shape style="position:absolute;margin-left:49.139999pt;margin-top:-109.547363pt;width:232pt;height:103.3pt;mso-position-horizontal-relative:page;mso-position-vertical-relative:paragraph;z-index:5152" type="#_x0000_t202" filled="false" stroked="false">
            <v:textbox inset="0,0,0,0">
              <w:txbxContent>
                <w:tbl>
                  <w:tblPr>
                    <w:tblW w:w="0" w:type="auto"/>
                    <w:jc w:val="left"/>
                    <w:tblBorders>
                      <w:top w:val="single" w:sz="12" w:space="0" w:color="1F487B"/>
                      <w:left w:val="single" w:sz="12" w:space="0" w:color="1F487B"/>
                      <w:bottom w:val="single" w:sz="12" w:space="0" w:color="1F487B"/>
                      <w:right w:val="single" w:sz="12" w:space="0" w:color="1F487B"/>
                      <w:insideH w:val="single" w:sz="12" w:space="0" w:color="1F487B"/>
                      <w:insideV w:val="single" w:sz="12" w:space="0" w:color="1F487B"/>
                    </w:tblBorders>
                    <w:tblLayout w:type="fixed"/>
                    <w:tblCellMar>
                      <w:top w:w="0" w:type="dxa"/>
                      <w:left w:w="0" w:type="dxa"/>
                      <w:bottom w:w="0" w:type="dxa"/>
                      <w:right w:w="0" w:type="dxa"/>
                    </w:tblCellMar>
                    <w:tblLook w:val="01E0"/>
                  </w:tblPr>
                  <w:tblGrid>
                    <w:gridCol w:w="2260"/>
                    <w:gridCol w:w="2335"/>
                  </w:tblGrid>
                  <w:tr>
                    <w:trPr>
                      <w:trHeight w:val="588" w:hRule="exact"/>
                    </w:trPr>
                    <w:tc>
                      <w:tcPr>
                        <w:tcW w:w="2260" w:type="dxa"/>
                      </w:tcPr>
                      <w:p>
                        <w:pPr>
                          <w:pStyle w:val="TableParagraph"/>
                          <w:spacing w:line="202" w:lineRule="exact"/>
                          <w:ind w:left="870" w:right="869"/>
                          <w:jc w:val="center"/>
                          <w:rPr>
                            <w:sz w:val="18"/>
                          </w:rPr>
                        </w:pPr>
                        <w:r>
                          <w:rPr>
                            <w:sz w:val="18"/>
                          </w:rPr>
                          <w:t>Points</w:t>
                        </w:r>
                      </w:p>
                    </w:tc>
                    <w:tc>
                      <w:tcPr>
                        <w:tcW w:w="2335" w:type="dxa"/>
                      </w:tcPr>
                      <w:p>
                        <w:pPr>
                          <w:pStyle w:val="TableParagraph"/>
                          <w:spacing w:line="202" w:lineRule="exact"/>
                          <w:ind w:left="328" w:right="327"/>
                          <w:jc w:val="center"/>
                          <w:rPr>
                            <w:sz w:val="18"/>
                          </w:rPr>
                        </w:pPr>
                        <w:r>
                          <w:rPr>
                            <w:sz w:val="18"/>
                          </w:rPr>
                          <w:t>Position</w:t>
                        </w:r>
                      </w:p>
                    </w:tc>
                  </w:tr>
                  <w:tr>
                    <w:trPr>
                      <w:trHeight w:val="797" w:hRule="exact"/>
                    </w:trPr>
                    <w:tc>
                      <w:tcPr>
                        <w:tcW w:w="2260" w:type="dxa"/>
                      </w:tcPr>
                      <w:p>
                        <w:pPr>
                          <w:pStyle w:val="TableParagraph"/>
                          <w:spacing w:line="202" w:lineRule="exact"/>
                          <w:ind w:left="1"/>
                          <w:jc w:val="center"/>
                          <w:rPr>
                            <w:sz w:val="18"/>
                          </w:rPr>
                        </w:pPr>
                        <w:r>
                          <w:rPr>
                            <w:sz w:val="18"/>
                          </w:rPr>
                          <w:t>1</w:t>
                        </w:r>
                      </w:p>
                    </w:tc>
                    <w:tc>
                      <w:tcPr>
                        <w:tcW w:w="2335" w:type="dxa"/>
                      </w:tcPr>
                      <w:p>
                        <w:pPr>
                          <w:pStyle w:val="TableParagraph"/>
                          <w:ind w:left="368" w:right="175" w:hanging="173"/>
                          <w:rPr>
                            <w:sz w:val="18"/>
                          </w:rPr>
                        </w:pPr>
                        <w:r>
                          <w:rPr>
                            <w:sz w:val="18"/>
                          </w:rPr>
                          <w:t>The neck is between 0 and 20 degrees of flexion.</w:t>
                        </w:r>
                      </w:p>
                    </w:tc>
                  </w:tr>
                  <w:tr>
                    <w:trPr>
                      <w:trHeight w:val="650" w:hRule="exact"/>
                    </w:trPr>
                    <w:tc>
                      <w:tcPr>
                        <w:tcW w:w="2260" w:type="dxa"/>
                      </w:tcPr>
                      <w:p>
                        <w:pPr>
                          <w:pStyle w:val="TableParagraph"/>
                          <w:spacing w:line="202" w:lineRule="exact"/>
                          <w:ind w:left="1"/>
                          <w:jc w:val="center"/>
                          <w:rPr>
                            <w:sz w:val="18"/>
                          </w:rPr>
                        </w:pPr>
                        <w:r>
                          <w:rPr>
                            <w:sz w:val="18"/>
                          </w:rPr>
                          <w:t>2</w:t>
                        </w:r>
                      </w:p>
                    </w:tc>
                    <w:tc>
                      <w:tcPr>
                        <w:tcW w:w="2335" w:type="dxa"/>
                      </w:tcPr>
                      <w:p>
                        <w:pPr>
                          <w:pStyle w:val="TableParagraph"/>
                          <w:ind w:left="330" w:right="327"/>
                          <w:jc w:val="center"/>
                          <w:rPr>
                            <w:sz w:val="18"/>
                          </w:rPr>
                        </w:pPr>
                        <w:r>
                          <w:rPr>
                            <w:sz w:val="18"/>
                          </w:rPr>
                          <w:t>The neck is flexed or extenden more than 20 degrees.</w:t>
                        </w:r>
                      </w:p>
                    </w:tc>
                  </w:tr>
                </w:tbl>
                <w:p>
                  <w:pPr>
                    <w:pStyle w:val="BodyText"/>
                  </w:pPr>
                </w:p>
              </w:txbxContent>
            </v:textbox>
            <w10:wrap type="none"/>
          </v:shape>
        </w:pict>
      </w:r>
      <w:r>
        <w:rPr>
          <w:sz w:val="18"/>
        </w:rPr>
        <w:t>-The score calculated for the neck may be increased if the employee presents twisting or lateral bending of the neck, as indicated in Table</w:t>
      </w:r>
      <w:r>
        <w:rPr>
          <w:spacing w:val="-5"/>
          <w:sz w:val="18"/>
        </w:rPr>
        <w:t> </w:t>
      </w:r>
      <w:r>
        <w:rPr>
          <w:sz w:val="18"/>
        </w:rPr>
        <w:t>4.</w:t>
      </w:r>
    </w:p>
    <w:p>
      <w:pPr>
        <w:pStyle w:val="BodyText"/>
        <w:rPr>
          <w:sz w:val="15"/>
        </w:rPr>
      </w:pPr>
      <w:r>
        <w:rPr/>
        <w:drawing>
          <wp:anchor distT="0" distB="0" distL="0" distR="0" allowOverlap="1" layoutInCell="1" locked="0" behindDoc="0" simplePos="0" relativeHeight="5080">
            <wp:simplePos x="0" y="0"/>
            <wp:positionH relativeFrom="page">
              <wp:posOffset>540258</wp:posOffset>
            </wp:positionH>
            <wp:positionV relativeFrom="paragraph">
              <wp:posOffset>134537</wp:posOffset>
            </wp:positionV>
            <wp:extent cx="2887050" cy="1120711"/>
            <wp:effectExtent l="0" t="0" r="0" b="0"/>
            <wp:wrapTopAndBottom/>
            <wp:docPr id="155" name="image93.png" descr=""/>
            <wp:cNvGraphicFramePr>
              <a:graphicFrameLocks noChangeAspect="1"/>
            </wp:cNvGraphicFramePr>
            <a:graphic>
              <a:graphicData uri="http://schemas.openxmlformats.org/drawingml/2006/picture">
                <pic:pic>
                  <pic:nvPicPr>
                    <pic:cNvPr id="156" name="image93.png"/>
                    <pic:cNvPicPr/>
                  </pic:nvPicPr>
                  <pic:blipFill>
                    <a:blip r:embed="rId172" cstate="print"/>
                    <a:stretch>
                      <a:fillRect/>
                    </a:stretch>
                  </pic:blipFill>
                  <pic:spPr>
                    <a:xfrm>
                      <a:off x="0" y="0"/>
                      <a:ext cx="2887050" cy="1120711"/>
                    </a:xfrm>
                    <a:prstGeom prst="rect">
                      <a:avLst/>
                    </a:prstGeom>
                  </pic:spPr>
                </pic:pic>
              </a:graphicData>
            </a:graphic>
          </wp:anchor>
        </w:drawing>
      </w:r>
    </w:p>
    <w:p>
      <w:pPr>
        <w:spacing w:after="0"/>
        <w:rPr>
          <w:sz w:val="15"/>
        </w:rPr>
        <w:sectPr>
          <w:type w:val="continuous"/>
          <w:pgSz w:w="12240" w:h="15840"/>
          <w:pgMar w:top="1500" w:bottom="280" w:left="580" w:right="220"/>
        </w:sectPr>
      </w:pPr>
    </w:p>
    <w:p>
      <w:pPr>
        <w:pStyle w:val="BodyText"/>
        <w:spacing w:before="1"/>
        <w:rPr>
          <w:sz w:val="18"/>
        </w:rPr>
      </w:pPr>
    </w:p>
    <w:p>
      <w:pPr>
        <w:pStyle w:val="BodyText"/>
        <w:ind w:left="804"/>
      </w:pPr>
      <w:r>
        <w:rPr/>
        <w:drawing>
          <wp:inline distT="0" distB="0" distL="0" distR="0">
            <wp:extent cx="2418193" cy="1646872"/>
            <wp:effectExtent l="0" t="0" r="0" b="0"/>
            <wp:docPr id="157" name="image94.jpeg" descr=""/>
            <wp:cNvGraphicFramePr>
              <a:graphicFrameLocks noChangeAspect="1"/>
            </wp:cNvGraphicFramePr>
            <a:graphic>
              <a:graphicData uri="http://schemas.openxmlformats.org/drawingml/2006/picture">
                <pic:pic>
                  <pic:nvPicPr>
                    <pic:cNvPr id="158" name="image94.jpeg"/>
                    <pic:cNvPicPr/>
                  </pic:nvPicPr>
                  <pic:blipFill>
                    <a:blip r:embed="rId173" cstate="print"/>
                    <a:stretch>
                      <a:fillRect/>
                    </a:stretch>
                  </pic:blipFill>
                  <pic:spPr>
                    <a:xfrm>
                      <a:off x="0" y="0"/>
                      <a:ext cx="2418193" cy="1646872"/>
                    </a:xfrm>
                    <a:prstGeom prst="rect">
                      <a:avLst/>
                    </a:prstGeom>
                  </pic:spPr>
                </pic:pic>
              </a:graphicData>
            </a:graphic>
          </wp:inline>
        </w:drawing>
      </w:r>
      <w:r>
        <w:rPr/>
      </w:r>
    </w:p>
    <w:p>
      <w:pPr>
        <w:spacing w:before="7"/>
        <w:ind w:left="2348" w:right="115" w:hanging="707"/>
        <w:jc w:val="left"/>
        <w:rPr>
          <w:sz w:val="18"/>
        </w:rPr>
      </w:pPr>
      <w:r>
        <w:rPr>
          <w:sz w:val="18"/>
        </w:rPr>
        <w:t>Figure 7.  Position the worker</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2"/>
        <w:rPr>
          <w:sz w:val="18"/>
        </w:rPr>
      </w:pPr>
    </w:p>
    <w:p>
      <w:pPr>
        <w:spacing w:before="0"/>
        <w:ind w:left="280" w:right="11" w:firstLine="0"/>
        <w:jc w:val="center"/>
        <w:rPr>
          <w:b/>
          <w:sz w:val="18"/>
        </w:rPr>
      </w:pPr>
      <w:r>
        <w:rPr>
          <w:b/>
          <w:sz w:val="18"/>
        </w:rPr>
        <w:t>Group B:</w:t>
      </w:r>
    </w:p>
    <w:p>
      <w:pPr>
        <w:pStyle w:val="BodyText"/>
        <w:spacing w:before="7"/>
        <w:rPr>
          <w:b/>
          <w:sz w:val="17"/>
        </w:rPr>
      </w:pPr>
    </w:p>
    <w:p>
      <w:pPr>
        <w:spacing w:before="1"/>
        <w:ind w:left="270" w:right="115" w:firstLine="0"/>
        <w:jc w:val="left"/>
        <w:rPr>
          <w:sz w:val="18"/>
        </w:rPr>
      </w:pPr>
      <w:r>
        <w:rPr>
          <w:sz w:val="18"/>
        </w:rPr>
        <w:t>Ratings of the upper limbs (arm, forearm and wrist).</w:t>
      </w:r>
    </w:p>
    <w:p>
      <w:pPr>
        <w:pStyle w:val="BodyText"/>
        <w:rPr>
          <w:sz w:val="18"/>
        </w:rPr>
      </w:pPr>
    </w:p>
    <w:p>
      <w:pPr>
        <w:spacing w:before="0"/>
        <w:ind w:left="270" w:right="115" w:firstLine="0"/>
        <w:jc w:val="left"/>
        <w:rPr>
          <w:sz w:val="18"/>
        </w:rPr>
      </w:pPr>
      <w:r>
        <w:rPr>
          <w:sz w:val="18"/>
        </w:rPr>
        <w:t>-Score the arm</w:t>
      </w:r>
    </w:p>
    <w:p>
      <w:pPr>
        <w:pStyle w:val="BodyText"/>
        <w:spacing w:before="1"/>
        <w:rPr>
          <w:sz w:val="15"/>
        </w:rPr>
      </w:pPr>
      <w:r>
        <w:rPr/>
        <w:drawing>
          <wp:anchor distT="0" distB="0" distL="0" distR="0" allowOverlap="1" layoutInCell="1" locked="0" behindDoc="0" simplePos="0" relativeHeight="5200">
            <wp:simplePos x="0" y="0"/>
            <wp:positionH relativeFrom="page">
              <wp:posOffset>714755</wp:posOffset>
            </wp:positionH>
            <wp:positionV relativeFrom="paragraph">
              <wp:posOffset>135284</wp:posOffset>
            </wp:positionV>
            <wp:extent cx="2744396" cy="950976"/>
            <wp:effectExtent l="0" t="0" r="0" b="0"/>
            <wp:wrapTopAndBottom/>
            <wp:docPr id="159" name="image95.png" descr=""/>
            <wp:cNvGraphicFramePr>
              <a:graphicFrameLocks noChangeAspect="1"/>
            </wp:cNvGraphicFramePr>
            <a:graphic>
              <a:graphicData uri="http://schemas.openxmlformats.org/drawingml/2006/picture">
                <pic:pic>
                  <pic:nvPicPr>
                    <pic:cNvPr id="160" name="image95.png"/>
                    <pic:cNvPicPr/>
                  </pic:nvPicPr>
                  <pic:blipFill>
                    <a:blip r:embed="rId174" cstate="print"/>
                    <a:stretch>
                      <a:fillRect/>
                    </a:stretch>
                  </pic:blipFill>
                  <pic:spPr>
                    <a:xfrm>
                      <a:off x="0" y="0"/>
                      <a:ext cx="2744396" cy="950976"/>
                    </a:xfrm>
                    <a:prstGeom prst="rect">
                      <a:avLst/>
                    </a:prstGeom>
                  </pic:spPr>
                </pic:pic>
              </a:graphicData>
            </a:graphic>
          </wp:anchor>
        </w:drawing>
      </w:r>
    </w:p>
    <w:p>
      <w:pPr>
        <w:spacing w:line="480" w:lineRule="auto" w:before="0"/>
        <w:ind w:left="1856" w:right="1207" w:hanging="210"/>
        <w:jc w:val="left"/>
        <w:rPr>
          <w:sz w:val="18"/>
        </w:rPr>
      </w:pPr>
      <w:r>
        <w:rPr>
          <w:sz w:val="18"/>
        </w:rPr>
        <w:t>Figure 8. Positions of the arm Table 7. Positions of the arm</w:t>
      </w:r>
    </w:p>
    <w:tbl>
      <w:tblPr>
        <w:tblW w:w="0" w:type="auto"/>
        <w:jc w:val="left"/>
        <w:tblInd w:w="500" w:type="dxa"/>
        <w:tblBorders>
          <w:top w:val="single" w:sz="12" w:space="0" w:color="1F487B"/>
          <w:left w:val="single" w:sz="12" w:space="0" w:color="1F487B"/>
          <w:bottom w:val="single" w:sz="12" w:space="0" w:color="1F487B"/>
          <w:right w:val="single" w:sz="12" w:space="0" w:color="1F487B"/>
          <w:insideH w:val="single" w:sz="12" w:space="0" w:color="1F487B"/>
          <w:insideV w:val="single" w:sz="12" w:space="0" w:color="1F487B"/>
        </w:tblBorders>
        <w:tblLayout w:type="fixed"/>
        <w:tblCellMar>
          <w:top w:w="0" w:type="dxa"/>
          <w:left w:w="0" w:type="dxa"/>
          <w:bottom w:w="0" w:type="dxa"/>
          <w:right w:w="0" w:type="dxa"/>
        </w:tblCellMar>
        <w:tblLook w:val="01E0"/>
      </w:tblPr>
      <w:tblGrid>
        <w:gridCol w:w="1884"/>
        <w:gridCol w:w="2515"/>
      </w:tblGrid>
      <w:tr>
        <w:trPr>
          <w:trHeight w:val="371" w:hRule="exact"/>
        </w:trPr>
        <w:tc>
          <w:tcPr>
            <w:tcW w:w="1884" w:type="dxa"/>
          </w:tcPr>
          <w:p>
            <w:pPr>
              <w:pStyle w:val="TableParagraph"/>
              <w:spacing w:line="202" w:lineRule="exact"/>
              <w:ind w:left="681" w:right="681"/>
              <w:jc w:val="center"/>
              <w:rPr>
                <w:sz w:val="18"/>
              </w:rPr>
            </w:pPr>
            <w:r>
              <w:rPr>
                <w:sz w:val="18"/>
              </w:rPr>
              <w:t>Points</w:t>
            </w:r>
          </w:p>
        </w:tc>
        <w:tc>
          <w:tcPr>
            <w:tcW w:w="2515" w:type="dxa"/>
          </w:tcPr>
          <w:p>
            <w:pPr>
              <w:pStyle w:val="TableParagraph"/>
              <w:spacing w:line="202" w:lineRule="exact"/>
              <w:ind w:left="201" w:right="200"/>
              <w:jc w:val="center"/>
              <w:rPr>
                <w:sz w:val="18"/>
              </w:rPr>
            </w:pPr>
            <w:r>
              <w:rPr>
                <w:sz w:val="18"/>
              </w:rPr>
              <w:t>Position</w:t>
            </w:r>
          </w:p>
        </w:tc>
      </w:tr>
      <w:tr>
        <w:trPr>
          <w:trHeight w:val="650" w:hRule="exact"/>
        </w:trPr>
        <w:tc>
          <w:tcPr>
            <w:tcW w:w="1884" w:type="dxa"/>
          </w:tcPr>
          <w:p>
            <w:pPr>
              <w:pStyle w:val="TableParagraph"/>
              <w:spacing w:line="202" w:lineRule="exact"/>
              <w:jc w:val="center"/>
              <w:rPr>
                <w:sz w:val="18"/>
              </w:rPr>
            </w:pPr>
            <w:r>
              <w:rPr>
                <w:sz w:val="18"/>
              </w:rPr>
              <w:t>1</w:t>
            </w:r>
          </w:p>
        </w:tc>
        <w:tc>
          <w:tcPr>
            <w:tcW w:w="2515" w:type="dxa"/>
          </w:tcPr>
          <w:p>
            <w:pPr>
              <w:pStyle w:val="TableParagraph"/>
              <w:ind w:left="203" w:right="200"/>
              <w:jc w:val="center"/>
              <w:rPr>
                <w:sz w:val="18"/>
              </w:rPr>
            </w:pPr>
            <w:r>
              <w:rPr>
                <w:sz w:val="18"/>
              </w:rPr>
              <w:t>The arm is between 0 and 20 degree of flexion and 20 degrees or 0 extension.</w:t>
            </w:r>
          </w:p>
        </w:tc>
      </w:tr>
      <w:tr>
        <w:trPr>
          <w:trHeight w:val="652" w:hRule="exact"/>
        </w:trPr>
        <w:tc>
          <w:tcPr>
            <w:tcW w:w="1884" w:type="dxa"/>
          </w:tcPr>
          <w:p>
            <w:pPr>
              <w:pStyle w:val="TableParagraph"/>
              <w:spacing w:line="202" w:lineRule="exact"/>
              <w:jc w:val="center"/>
              <w:rPr>
                <w:sz w:val="18"/>
              </w:rPr>
            </w:pPr>
            <w:r>
              <w:rPr>
                <w:sz w:val="18"/>
              </w:rPr>
              <w:t>2</w:t>
            </w:r>
          </w:p>
        </w:tc>
        <w:tc>
          <w:tcPr>
            <w:tcW w:w="2515" w:type="dxa"/>
          </w:tcPr>
          <w:p>
            <w:pPr>
              <w:pStyle w:val="TableParagraph"/>
              <w:ind w:left="110" w:right="105" w:hanging="1"/>
              <w:jc w:val="center"/>
              <w:rPr>
                <w:sz w:val="18"/>
              </w:rPr>
            </w:pPr>
            <w:r>
              <w:rPr>
                <w:sz w:val="18"/>
              </w:rPr>
              <w:t>The arm is between 21 and 45 degrees of flexion or more than 20 degrees of extension.</w:t>
            </w:r>
          </w:p>
        </w:tc>
      </w:tr>
      <w:tr>
        <w:trPr>
          <w:trHeight w:val="451" w:hRule="exact"/>
        </w:trPr>
        <w:tc>
          <w:tcPr>
            <w:tcW w:w="1884" w:type="dxa"/>
          </w:tcPr>
          <w:p>
            <w:pPr>
              <w:pStyle w:val="TableParagraph"/>
              <w:spacing w:line="202" w:lineRule="exact"/>
              <w:jc w:val="center"/>
              <w:rPr>
                <w:sz w:val="18"/>
              </w:rPr>
            </w:pPr>
            <w:r>
              <w:rPr>
                <w:sz w:val="18"/>
              </w:rPr>
              <w:t>3</w:t>
            </w:r>
          </w:p>
        </w:tc>
        <w:tc>
          <w:tcPr>
            <w:tcW w:w="2515" w:type="dxa"/>
          </w:tcPr>
          <w:p>
            <w:pPr>
              <w:pStyle w:val="TableParagraph"/>
              <w:ind w:left="571" w:right="137" w:hanging="413"/>
              <w:rPr>
                <w:sz w:val="18"/>
              </w:rPr>
            </w:pPr>
            <w:r>
              <w:rPr>
                <w:sz w:val="18"/>
              </w:rPr>
              <w:t>The arm is between 46 and 90 degrees of flexion.</w:t>
            </w:r>
          </w:p>
        </w:tc>
      </w:tr>
      <w:tr>
        <w:trPr>
          <w:trHeight w:val="444" w:hRule="exact"/>
        </w:trPr>
        <w:tc>
          <w:tcPr>
            <w:tcW w:w="1884" w:type="dxa"/>
          </w:tcPr>
          <w:p>
            <w:pPr>
              <w:pStyle w:val="TableParagraph"/>
              <w:spacing w:line="202" w:lineRule="exact"/>
              <w:jc w:val="center"/>
              <w:rPr>
                <w:sz w:val="18"/>
              </w:rPr>
            </w:pPr>
            <w:r>
              <w:rPr>
                <w:sz w:val="18"/>
              </w:rPr>
              <w:t>4</w:t>
            </w:r>
          </w:p>
        </w:tc>
        <w:tc>
          <w:tcPr>
            <w:tcW w:w="2515" w:type="dxa"/>
          </w:tcPr>
          <w:p>
            <w:pPr>
              <w:pStyle w:val="TableParagraph"/>
              <w:ind w:left="945" w:right="301" w:hanging="626"/>
              <w:rPr>
                <w:sz w:val="18"/>
              </w:rPr>
            </w:pPr>
            <w:r>
              <w:rPr>
                <w:sz w:val="18"/>
              </w:rPr>
              <w:t>Arm is bent more than 90 degrees.</w:t>
            </w:r>
          </w:p>
        </w:tc>
      </w:tr>
    </w:tbl>
    <w:p>
      <w:pPr>
        <w:pStyle w:val="BodyText"/>
        <w:rPr>
          <w:sz w:val="18"/>
        </w:rPr>
      </w:pPr>
    </w:p>
    <w:p>
      <w:pPr>
        <w:pStyle w:val="BodyText"/>
        <w:rPr>
          <w:sz w:val="18"/>
        </w:rPr>
      </w:pPr>
    </w:p>
    <w:p>
      <w:pPr>
        <w:pStyle w:val="BodyText"/>
        <w:spacing w:before="8"/>
        <w:rPr>
          <w:sz w:val="18"/>
        </w:rPr>
      </w:pPr>
    </w:p>
    <w:p>
      <w:pPr>
        <w:spacing w:before="0"/>
        <w:ind w:left="270" w:right="115" w:firstLine="0"/>
        <w:jc w:val="left"/>
        <w:rPr>
          <w:sz w:val="18"/>
        </w:rPr>
      </w:pPr>
      <w:r>
        <w:rPr>
          <w:sz w:val="18"/>
        </w:rPr>
        <w:t>The score assigned to the arm may be increased if the worker has the abducted arm or rotated or if the shoulder is raised.</w:t>
      </w:r>
    </w:p>
    <w:p>
      <w:pPr>
        <w:pStyle w:val="BodyText"/>
        <w:spacing w:before="8" w:after="39"/>
        <w:rPr>
          <w:sz w:val="14"/>
        </w:rPr>
      </w:pPr>
      <w:r>
        <w:rPr/>
        <w:br w:type="column"/>
      </w:r>
      <w:r>
        <w:rPr>
          <w:sz w:val="14"/>
        </w:rPr>
      </w:r>
    </w:p>
    <w:p>
      <w:pPr>
        <w:pStyle w:val="BodyText"/>
        <w:ind w:left="814"/>
      </w:pPr>
      <w:r>
        <w:rPr/>
        <w:drawing>
          <wp:inline distT="0" distB="0" distL="0" distR="0">
            <wp:extent cx="2407397" cy="1108709"/>
            <wp:effectExtent l="0" t="0" r="0" b="0"/>
            <wp:docPr id="161" name="image96.png" descr=""/>
            <wp:cNvGraphicFramePr>
              <a:graphicFrameLocks noChangeAspect="1"/>
            </wp:cNvGraphicFramePr>
            <a:graphic>
              <a:graphicData uri="http://schemas.openxmlformats.org/drawingml/2006/picture">
                <pic:pic>
                  <pic:nvPicPr>
                    <pic:cNvPr id="162" name="image96.png"/>
                    <pic:cNvPicPr/>
                  </pic:nvPicPr>
                  <pic:blipFill>
                    <a:blip r:embed="rId175" cstate="print"/>
                    <a:stretch>
                      <a:fillRect/>
                    </a:stretch>
                  </pic:blipFill>
                  <pic:spPr>
                    <a:xfrm>
                      <a:off x="0" y="0"/>
                      <a:ext cx="2407397" cy="1108709"/>
                    </a:xfrm>
                    <a:prstGeom prst="rect">
                      <a:avLst/>
                    </a:prstGeom>
                  </pic:spPr>
                </pic:pic>
              </a:graphicData>
            </a:graphic>
          </wp:inline>
        </w:drawing>
      </w:r>
      <w:r>
        <w:rPr/>
      </w:r>
    </w:p>
    <w:p>
      <w:pPr>
        <w:spacing w:line="480" w:lineRule="auto" w:before="0"/>
        <w:ind w:left="1219" w:right="1628" w:firstLine="0"/>
        <w:jc w:val="center"/>
        <w:rPr>
          <w:sz w:val="18"/>
        </w:rPr>
      </w:pPr>
      <w:r>
        <w:rPr/>
        <w:pict>
          <v:shape style="position:absolute;margin-left:316.559998pt;margin-top:31.262056pt;width:256.9pt;height:103pt;mso-position-horizontal-relative:page;mso-position-vertical-relative:paragraph;z-index:5272" type="#_x0000_t202" filled="false" stroked="false">
            <v:textbox inset="0,0,0,0">
              <w:txbxContent>
                <w:tbl>
                  <w:tblPr>
                    <w:tblW w:w="0" w:type="auto"/>
                    <w:jc w:val="left"/>
                    <w:tblBorders>
                      <w:top w:val="single" w:sz="12" w:space="0" w:color="1F487B"/>
                      <w:left w:val="single" w:sz="12" w:space="0" w:color="1F487B"/>
                      <w:bottom w:val="single" w:sz="12" w:space="0" w:color="1F487B"/>
                      <w:right w:val="single" w:sz="12" w:space="0" w:color="1F487B"/>
                      <w:insideH w:val="single" w:sz="12" w:space="0" w:color="1F487B"/>
                      <w:insideV w:val="single" w:sz="12" w:space="0" w:color="1F487B"/>
                    </w:tblBorders>
                    <w:tblLayout w:type="fixed"/>
                    <w:tblCellMar>
                      <w:top w:w="0" w:type="dxa"/>
                      <w:left w:w="0" w:type="dxa"/>
                      <w:bottom w:w="0" w:type="dxa"/>
                      <w:right w:w="0" w:type="dxa"/>
                    </w:tblCellMar>
                    <w:tblLook w:val="01E0"/>
                  </w:tblPr>
                  <w:tblGrid>
                    <w:gridCol w:w="2255"/>
                    <w:gridCol w:w="2838"/>
                  </w:tblGrid>
                  <w:tr>
                    <w:trPr>
                      <w:trHeight w:val="432" w:hRule="exact"/>
                    </w:trPr>
                    <w:tc>
                      <w:tcPr>
                        <w:tcW w:w="2255" w:type="dxa"/>
                      </w:tcPr>
                      <w:p>
                        <w:pPr>
                          <w:pStyle w:val="TableParagraph"/>
                          <w:spacing w:line="206" w:lineRule="exact"/>
                          <w:ind w:left="834" w:right="834"/>
                          <w:jc w:val="center"/>
                          <w:rPr>
                            <w:b/>
                            <w:sz w:val="18"/>
                          </w:rPr>
                        </w:pPr>
                        <w:r>
                          <w:rPr>
                            <w:b/>
                            <w:sz w:val="18"/>
                          </w:rPr>
                          <w:t>Points</w:t>
                        </w:r>
                      </w:p>
                    </w:tc>
                    <w:tc>
                      <w:tcPr>
                        <w:tcW w:w="2838" w:type="dxa"/>
                      </w:tcPr>
                      <w:p>
                        <w:pPr>
                          <w:pStyle w:val="TableParagraph"/>
                          <w:spacing w:line="206" w:lineRule="exact"/>
                          <w:ind w:left="205" w:right="203"/>
                          <w:jc w:val="center"/>
                          <w:rPr>
                            <w:b/>
                            <w:sz w:val="18"/>
                          </w:rPr>
                        </w:pPr>
                        <w:r>
                          <w:rPr>
                            <w:b/>
                            <w:sz w:val="18"/>
                          </w:rPr>
                          <w:t>Position</w:t>
                        </w:r>
                      </w:p>
                    </w:tc>
                  </w:tr>
                  <w:tr>
                    <w:trPr>
                      <w:trHeight w:val="665" w:hRule="exact"/>
                    </w:trPr>
                    <w:tc>
                      <w:tcPr>
                        <w:tcW w:w="2255" w:type="dxa"/>
                      </w:tcPr>
                      <w:p>
                        <w:pPr>
                          <w:pStyle w:val="TableParagraph"/>
                          <w:spacing w:line="202" w:lineRule="exact"/>
                          <w:ind w:left="834" w:right="834"/>
                          <w:jc w:val="center"/>
                          <w:rPr>
                            <w:sz w:val="18"/>
                          </w:rPr>
                        </w:pPr>
                        <w:r>
                          <w:rPr>
                            <w:sz w:val="18"/>
                          </w:rPr>
                          <w:t>+1</w:t>
                        </w:r>
                      </w:p>
                    </w:tc>
                    <w:tc>
                      <w:tcPr>
                        <w:tcW w:w="2838" w:type="dxa"/>
                      </w:tcPr>
                      <w:p>
                        <w:pPr>
                          <w:pStyle w:val="TableParagraph"/>
                          <w:spacing w:line="202" w:lineRule="exact"/>
                          <w:ind w:left="205" w:right="203"/>
                          <w:jc w:val="center"/>
                          <w:rPr>
                            <w:sz w:val="18"/>
                          </w:rPr>
                        </w:pPr>
                        <w:r>
                          <w:rPr>
                            <w:sz w:val="18"/>
                          </w:rPr>
                          <w:t>The arm is abducted and rotated.</w:t>
                        </w:r>
                      </w:p>
                    </w:tc>
                  </w:tr>
                  <w:tr>
                    <w:trPr>
                      <w:trHeight w:val="488" w:hRule="exact"/>
                    </w:trPr>
                    <w:tc>
                      <w:tcPr>
                        <w:tcW w:w="2255" w:type="dxa"/>
                      </w:tcPr>
                      <w:p>
                        <w:pPr>
                          <w:pStyle w:val="TableParagraph"/>
                          <w:spacing w:line="202" w:lineRule="exact"/>
                          <w:ind w:left="834" w:right="834"/>
                          <w:jc w:val="center"/>
                          <w:rPr>
                            <w:sz w:val="18"/>
                          </w:rPr>
                        </w:pPr>
                        <w:r>
                          <w:rPr>
                            <w:sz w:val="18"/>
                          </w:rPr>
                          <w:t>+1</w:t>
                        </w:r>
                      </w:p>
                    </w:tc>
                    <w:tc>
                      <w:tcPr>
                        <w:tcW w:w="2838" w:type="dxa"/>
                      </w:tcPr>
                      <w:p>
                        <w:pPr>
                          <w:pStyle w:val="TableParagraph"/>
                          <w:spacing w:line="202" w:lineRule="exact"/>
                          <w:ind w:left="203" w:right="203"/>
                          <w:jc w:val="center"/>
                          <w:rPr>
                            <w:sz w:val="18"/>
                          </w:rPr>
                        </w:pPr>
                        <w:r>
                          <w:rPr>
                            <w:sz w:val="18"/>
                          </w:rPr>
                          <w:t>The shoulder is elevated.</w:t>
                        </w:r>
                      </w:p>
                    </w:tc>
                  </w:tr>
                  <w:tr>
                    <w:trPr>
                      <w:trHeight w:val="444" w:hRule="exact"/>
                    </w:trPr>
                    <w:tc>
                      <w:tcPr>
                        <w:tcW w:w="2255" w:type="dxa"/>
                      </w:tcPr>
                      <w:p>
                        <w:pPr>
                          <w:pStyle w:val="TableParagraph"/>
                          <w:spacing w:line="202" w:lineRule="exact"/>
                          <w:ind w:left="835" w:right="834"/>
                          <w:jc w:val="center"/>
                          <w:rPr>
                            <w:sz w:val="18"/>
                          </w:rPr>
                        </w:pPr>
                        <w:r>
                          <w:rPr>
                            <w:sz w:val="18"/>
                          </w:rPr>
                          <w:t>-1</w:t>
                        </w:r>
                      </w:p>
                    </w:tc>
                    <w:tc>
                      <w:tcPr>
                        <w:tcW w:w="2838" w:type="dxa"/>
                      </w:tcPr>
                      <w:p>
                        <w:pPr>
                          <w:pStyle w:val="TableParagraph"/>
                          <w:ind w:left="1126" w:right="363" w:hanging="746"/>
                          <w:rPr>
                            <w:sz w:val="18"/>
                          </w:rPr>
                        </w:pPr>
                        <w:r>
                          <w:rPr>
                            <w:sz w:val="18"/>
                          </w:rPr>
                          <w:t>There is support or stand for gravity.</w:t>
                        </w:r>
                      </w:p>
                    </w:tc>
                  </w:tr>
                </w:tbl>
                <w:p>
                  <w:pPr>
                    <w:pStyle w:val="BodyText"/>
                  </w:pPr>
                </w:p>
              </w:txbxContent>
            </v:textbox>
            <w10:wrap type="none"/>
          </v:shape>
        </w:pict>
      </w:r>
      <w:r>
        <w:rPr>
          <w:sz w:val="18"/>
        </w:rPr>
        <w:t>Figure 9. Modifications on the score arm. Table 8:  Modifications on the score arm.</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7"/>
        <w:rPr>
          <w:sz w:val="17"/>
        </w:rPr>
      </w:pPr>
    </w:p>
    <w:p>
      <w:pPr>
        <w:spacing w:before="1"/>
        <w:ind w:left="270" w:right="668" w:firstLine="0"/>
        <w:jc w:val="left"/>
        <w:rPr>
          <w:sz w:val="18"/>
        </w:rPr>
      </w:pPr>
      <w:r>
        <w:rPr>
          <w:sz w:val="18"/>
        </w:rPr>
        <w:t>-Forearm score</w:t>
      </w:r>
    </w:p>
    <w:p>
      <w:pPr>
        <w:spacing w:before="0"/>
        <w:ind w:left="270" w:right="673" w:firstLine="0"/>
        <w:jc w:val="left"/>
        <w:rPr>
          <w:sz w:val="18"/>
        </w:rPr>
      </w:pPr>
      <w:r>
        <w:rPr>
          <w:sz w:val="18"/>
        </w:rPr>
        <w:t>Next will be analyzed forearm position. Consulting Table 9 provide the score depending forearm bending angle, Figure 9 shows the angles measured by the method.</w:t>
      </w:r>
    </w:p>
    <w:p>
      <w:pPr>
        <w:pStyle w:val="BodyText"/>
        <w:rPr>
          <w:sz w:val="15"/>
        </w:rPr>
      </w:pPr>
      <w:r>
        <w:rPr/>
        <w:drawing>
          <wp:anchor distT="0" distB="0" distL="0" distR="0" allowOverlap="1" layoutInCell="1" locked="0" behindDoc="0" simplePos="0" relativeHeight="5224">
            <wp:simplePos x="0" y="0"/>
            <wp:positionH relativeFrom="page">
              <wp:posOffset>4513326</wp:posOffset>
            </wp:positionH>
            <wp:positionV relativeFrom="paragraph">
              <wp:posOffset>134537</wp:posOffset>
            </wp:positionV>
            <wp:extent cx="2263687" cy="857250"/>
            <wp:effectExtent l="0" t="0" r="0" b="0"/>
            <wp:wrapTopAndBottom/>
            <wp:docPr id="163" name="image97.jpeg" descr=""/>
            <wp:cNvGraphicFramePr>
              <a:graphicFrameLocks noChangeAspect="1"/>
            </wp:cNvGraphicFramePr>
            <a:graphic>
              <a:graphicData uri="http://schemas.openxmlformats.org/drawingml/2006/picture">
                <pic:pic>
                  <pic:nvPicPr>
                    <pic:cNvPr id="164" name="image97.jpeg"/>
                    <pic:cNvPicPr/>
                  </pic:nvPicPr>
                  <pic:blipFill>
                    <a:blip r:embed="rId176" cstate="print"/>
                    <a:stretch>
                      <a:fillRect/>
                    </a:stretch>
                  </pic:blipFill>
                  <pic:spPr>
                    <a:xfrm>
                      <a:off x="0" y="0"/>
                      <a:ext cx="2263687" cy="857250"/>
                    </a:xfrm>
                    <a:prstGeom prst="rect">
                      <a:avLst/>
                    </a:prstGeom>
                  </pic:spPr>
                </pic:pic>
              </a:graphicData>
            </a:graphic>
          </wp:anchor>
        </w:drawing>
      </w:r>
    </w:p>
    <w:p>
      <w:pPr>
        <w:spacing w:before="0"/>
        <w:ind w:left="0" w:right="409" w:firstLine="0"/>
        <w:jc w:val="center"/>
        <w:rPr>
          <w:sz w:val="18"/>
        </w:rPr>
      </w:pPr>
      <w:r>
        <w:rPr>
          <w:sz w:val="18"/>
        </w:rPr>
        <w:t>Figure 10. Score Forearm</w:t>
      </w:r>
    </w:p>
    <w:p>
      <w:pPr>
        <w:pStyle w:val="BodyText"/>
      </w:pPr>
    </w:p>
    <w:p>
      <w:pPr>
        <w:pStyle w:val="BodyText"/>
        <w:spacing w:before="11"/>
        <w:rPr>
          <w:sz w:val="12"/>
        </w:rPr>
      </w:pPr>
      <w:r>
        <w:rPr/>
        <w:drawing>
          <wp:anchor distT="0" distB="0" distL="0" distR="0" allowOverlap="1" layoutInCell="1" locked="0" behindDoc="0" simplePos="0" relativeHeight="5248">
            <wp:simplePos x="0" y="0"/>
            <wp:positionH relativeFrom="page">
              <wp:posOffset>4525517</wp:posOffset>
            </wp:positionH>
            <wp:positionV relativeFrom="paragraph">
              <wp:posOffset>119556</wp:posOffset>
            </wp:positionV>
            <wp:extent cx="2234365" cy="1520189"/>
            <wp:effectExtent l="0" t="0" r="0" b="0"/>
            <wp:wrapTopAndBottom/>
            <wp:docPr id="165" name="image98.jpeg" descr=""/>
            <wp:cNvGraphicFramePr>
              <a:graphicFrameLocks noChangeAspect="1"/>
            </wp:cNvGraphicFramePr>
            <a:graphic>
              <a:graphicData uri="http://schemas.openxmlformats.org/drawingml/2006/picture">
                <pic:pic>
                  <pic:nvPicPr>
                    <pic:cNvPr id="166" name="image98.jpeg"/>
                    <pic:cNvPicPr/>
                  </pic:nvPicPr>
                  <pic:blipFill>
                    <a:blip r:embed="rId177" cstate="print"/>
                    <a:stretch>
                      <a:fillRect/>
                    </a:stretch>
                  </pic:blipFill>
                  <pic:spPr>
                    <a:xfrm>
                      <a:off x="0" y="0"/>
                      <a:ext cx="2234365" cy="1520189"/>
                    </a:xfrm>
                    <a:prstGeom prst="rect">
                      <a:avLst/>
                    </a:prstGeom>
                  </pic:spPr>
                </pic:pic>
              </a:graphicData>
            </a:graphic>
          </wp:anchor>
        </w:drawing>
      </w:r>
    </w:p>
    <w:p>
      <w:pPr>
        <w:spacing w:before="0"/>
        <w:ind w:left="0" w:right="409" w:firstLine="0"/>
        <w:jc w:val="center"/>
        <w:rPr>
          <w:sz w:val="18"/>
        </w:rPr>
      </w:pPr>
      <w:r>
        <w:rPr>
          <w:sz w:val="18"/>
        </w:rPr>
        <w:t>Figure 11. Position of the arm the worker.</w:t>
      </w:r>
    </w:p>
    <w:p>
      <w:pPr>
        <w:pStyle w:val="BodyText"/>
        <w:rPr>
          <w:sz w:val="18"/>
        </w:rPr>
      </w:pPr>
    </w:p>
    <w:p>
      <w:pPr>
        <w:spacing w:before="0"/>
        <w:ind w:left="270" w:right="668" w:firstLine="0"/>
        <w:jc w:val="left"/>
        <w:rPr>
          <w:sz w:val="18"/>
        </w:rPr>
      </w:pPr>
      <w:r>
        <w:rPr>
          <w:sz w:val="18"/>
        </w:rPr>
        <w:t>-Score for the Wrist</w:t>
      </w:r>
    </w:p>
    <w:p>
      <w:pPr>
        <w:spacing w:before="0"/>
        <w:ind w:left="270" w:right="678" w:firstLine="0"/>
        <w:jc w:val="both"/>
        <w:rPr>
          <w:sz w:val="18"/>
        </w:rPr>
      </w:pPr>
      <w:r>
        <w:rPr>
          <w:sz w:val="18"/>
        </w:rPr>
        <w:t>To end with the score of the upper limbs the wrist position is analyzed. Figure 10 shows the two positions considered by the method.</w:t>
      </w:r>
    </w:p>
    <w:p>
      <w:pPr>
        <w:pStyle w:val="BodyText"/>
        <w:ind w:left="881"/>
      </w:pPr>
      <w:r>
        <w:rPr/>
        <w:drawing>
          <wp:inline distT="0" distB="0" distL="0" distR="0">
            <wp:extent cx="2302003" cy="1060608"/>
            <wp:effectExtent l="0" t="0" r="0" b="0"/>
            <wp:docPr id="167" name="image99.jpeg" descr=""/>
            <wp:cNvGraphicFramePr>
              <a:graphicFrameLocks noChangeAspect="1"/>
            </wp:cNvGraphicFramePr>
            <a:graphic>
              <a:graphicData uri="http://schemas.openxmlformats.org/drawingml/2006/picture">
                <pic:pic>
                  <pic:nvPicPr>
                    <pic:cNvPr id="168" name="image99.jpeg"/>
                    <pic:cNvPicPr/>
                  </pic:nvPicPr>
                  <pic:blipFill>
                    <a:blip r:embed="rId178" cstate="print"/>
                    <a:stretch>
                      <a:fillRect/>
                    </a:stretch>
                  </pic:blipFill>
                  <pic:spPr>
                    <a:xfrm>
                      <a:off x="0" y="0"/>
                      <a:ext cx="2302003" cy="1060608"/>
                    </a:xfrm>
                    <a:prstGeom prst="rect">
                      <a:avLst/>
                    </a:prstGeom>
                  </pic:spPr>
                </pic:pic>
              </a:graphicData>
            </a:graphic>
          </wp:inline>
        </w:drawing>
      </w:r>
      <w:r>
        <w:rPr/>
      </w:r>
    </w:p>
    <w:p>
      <w:pPr>
        <w:spacing w:before="18"/>
        <w:ind w:left="0" w:right="407" w:firstLine="0"/>
        <w:jc w:val="center"/>
        <w:rPr>
          <w:sz w:val="18"/>
        </w:rPr>
      </w:pPr>
      <w:r>
        <w:rPr>
          <w:sz w:val="18"/>
        </w:rPr>
        <w:t>Figure 12. Positions of the wrist</w:t>
      </w:r>
    </w:p>
    <w:p>
      <w:pPr>
        <w:spacing w:after="0"/>
        <w:jc w:val="center"/>
        <w:rPr>
          <w:sz w:val="18"/>
        </w:rPr>
        <w:sectPr>
          <w:pgSz w:w="12240" w:h="15840"/>
          <w:pgMar w:header="545" w:footer="852" w:top="1060" w:bottom="1040" w:left="580" w:right="220"/>
          <w:cols w:num="2" w:equalWidth="0">
            <w:col w:w="5163" w:space="435"/>
            <w:col w:w="5842"/>
          </w:cols>
        </w:sectPr>
      </w:pPr>
    </w:p>
    <w:p>
      <w:pPr>
        <w:pStyle w:val="BodyText"/>
        <w:rPr>
          <w:sz w:val="11"/>
        </w:rPr>
      </w:pPr>
    </w:p>
    <w:p>
      <w:pPr>
        <w:spacing w:after="0"/>
        <w:rPr>
          <w:sz w:val="11"/>
        </w:rPr>
        <w:sectPr>
          <w:pgSz w:w="12240" w:h="15840"/>
          <w:pgMar w:header="545" w:footer="852" w:top="1060" w:bottom="1040" w:left="580" w:right="220"/>
        </w:sectPr>
      </w:pPr>
    </w:p>
    <w:p>
      <w:pPr>
        <w:pStyle w:val="BodyText"/>
        <w:spacing w:before="7"/>
        <w:rPr>
          <w:sz w:val="24"/>
        </w:rPr>
      </w:pPr>
    </w:p>
    <w:p>
      <w:pPr>
        <w:spacing w:before="0"/>
        <w:ind w:left="1815" w:right="77" w:firstLine="0"/>
        <w:jc w:val="left"/>
        <w:rPr>
          <w:sz w:val="18"/>
        </w:rPr>
      </w:pPr>
      <w:r>
        <w:rPr>
          <w:sz w:val="18"/>
        </w:rPr>
        <w:t>Table 9. Positions of the wrist</w:t>
      </w:r>
    </w:p>
    <w:tbl>
      <w:tblPr>
        <w:tblW w:w="0" w:type="auto"/>
        <w:jc w:val="left"/>
        <w:tblInd w:w="143" w:type="dxa"/>
        <w:tblBorders>
          <w:top w:val="single" w:sz="12" w:space="0" w:color="1F487B"/>
          <w:left w:val="single" w:sz="12" w:space="0" w:color="1F487B"/>
          <w:bottom w:val="single" w:sz="12" w:space="0" w:color="1F487B"/>
          <w:right w:val="single" w:sz="12" w:space="0" w:color="1F487B"/>
          <w:insideH w:val="single" w:sz="12" w:space="0" w:color="1F487B"/>
          <w:insideV w:val="single" w:sz="12" w:space="0" w:color="1F487B"/>
        </w:tblBorders>
        <w:tblLayout w:type="fixed"/>
        <w:tblCellMar>
          <w:top w:w="0" w:type="dxa"/>
          <w:left w:w="0" w:type="dxa"/>
          <w:bottom w:w="0" w:type="dxa"/>
          <w:right w:w="0" w:type="dxa"/>
        </w:tblCellMar>
        <w:tblLook w:val="01E0"/>
      </w:tblPr>
      <w:tblGrid>
        <w:gridCol w:w="2263"/>
        <w:gridCol w:w="2849"/>
      </w:tblGrid>
      <w:tr>
        <w:trPr>
          <w:trHeight w:val="324" w:hRule="exact"/>
        </w:trPr>
        <w:tc>
          <w:tcPr>
            <w:tcW w:w="2263" w:type="dxa"/>
          </w:tcPr>
          <w:p>
            <w:pPr>
              <w:pStyle w:val="TableParagraph"/>
              <w:spacing w:line="206" w:lineRule="exact"/>
              <w:ind w:left="858" w:right="855"/>
              <w:jc w:val="center"/>
              <w:rPr>
                <w:b/>
                <w:sz w:val="18"/>
              </w:rPr>
            </w:pPr>
            <w:r>
              <w:rPr>
                <w:b/>
                <w:sz w:val="18"/>
              </w:rPr>
              <w:t>Points</w:t>
            </w:r>
          </w:p>
        </w:tc>
        <w:tc>
          <w:tcPr>
            <w:tcW w:w="2849" w:type="dxa"/>
          </w:tcPr>
          <w:p>
            <w:pPr>
              <w:pStyle w:val="TableParagraph"/>
              <w:spacing w:line="206" w:lineRule="exact"/>
              <w:ind w:left="1080" w:right="1077"/>
              <w:jc w:val="center"/>
              <w:rPr>
                <w:b/>
                <w:sz w:val="18"/>
              </w:rPr>
            </w:pPr>
            <w:r>
              <w:rPr>
                <w:b/>
                <w:sz w:val="18"/>
              </w:rPr>
              <w:t>Position</w:t>
            </w:r>
          </w:p>
        </w:tc>
      </w:tr>
      <w:tr>
        <w:trPr>
          <w:trHeight w:val="496" w:hRule="exact"/>
        </w:trPr>
        <w:tc>
          <w:tcPr>
            <w:tcW w:w="2263" w:type="dxa"/>
          </w:tcPr>
          <w:p>
            <w:pPr>
              <w:pStyle w:val="TableParagraph"/>
              <w:spacing w:line="202" w:lineRule="exact"/>
              <w:ind w:left="2"/>
              <w:jc w:val="center"/>
              <w:rPr>
                <w:sz w:val="18"/>
              </w:rPr>
            </w:pPr>
            <w:r>
              <w:rPr>
                <w:sz w:val="18"/>
              </w:rPr>
              <w:t>1</w:t>
            </w:r>
          </w:p>
        </w:tc>
        <w:tc>
          <w:tcPr>
            <w:tcW w:w="2849" w:type="dxa"/>
          </w:tcPr>
          <w:p>
            <w:pPr>
              <w:pStyle w:val="TableParagraph"/>
              <w:ind w:left="273" w:right="251" w:firstLine="56"/>
              <w:rPr>
                <w:sz w:val="18"/>
              </w:rPr>
            </w:pPr>
            <w:r>
              <w:rPr>
                <w:sz w:val="18"/>
              </w:rPr>
              <w:t>The wrist is between 0 and 15 degrees of flexion or extension.</w:t>
            </w:r>
          </w:p>
        </w:tc>
      </w:tr>
      <w:tr>
        <w:trPr>
          <w:trHeight w:val="444" w:hRule="exact"/>
        </w:trPr>
        <w:tc>
          <w:tcPr>
            <w:tcW w:w="2263" w:type="dxa"/>
          </w:tcPr>
          <w:p>
            <w:pPr>
              <w:pStyle w:val="TableParagraph"/>
              <w:spacing w:line="202" w:lineRule="exact"/>
              <w:ind w:left="2"/>
              <w:jc w:val="center"/>
              <w:rPr>
                <w:sz w:val="18"/>
              </w:rPr>
            </w:pPr>
            <w:r>
              <w:rPr>
                <w:sz w:val="18"/>
              </w:rPr>
              <w:t>2</w:t>
            </w:r>
          </w:p>
        </w:tc>
        <w:tc>
          <w:tcPr>
            <w:tcW w:w="2849" w:type="dxa"/>
          </w:tcPr>
          <w:p>
            <w:pPr>
              <w:pStyle w:val="TableParagraph"/>
              <w:ind w:left="1112" w:right="119" w:hanging="972"/>
              <w:rPr>
                <w:sz w:val="18"/>
              </w:rPr>
            </w:pPr>
            <w:r>
              <w:rPr>
                <w:sz w:val="18"/>
              </w:rPr>
              <w:t>Wrist is flexed or extended over 15 degrees.</w:t>
            </w:r>
          </w:p>
        </w:tc>
      </w:tr>
    </w:tbl>
    <w:p>
      <w:pPr>
        <w:pStyle w:val="BodyText"/>
        <w:rPr>
          <w:sz w:val="18"/>
        </w:rPr>
      </w:pPr>
    </w:p>
    <w:p>
      <w:pPr>
        <w:spacing w:before="0"/>
        <w:ind w:left="270" w:right="77" w:firstLine="0"/>
        <w:jc w:val="left"/>
        <w:rPr>
          <w:sz w:val="18"/>
        </w:rPr>
      </w:pPr>
      <w:r>
        <w:rPr>
          <w:sz w:val="18"/>
        </w:rPr>
        <w:t>-The value calculated wrist</w:t>
      </w:r>
    </w:p>
    <w:p>
      <w:pPr>
        <w:pStyle w:val="BodyText"/>
        <w:rPr>
          <w:sz w:val="15"/>
        </w:rPr>
      </w:pPr>
      <w:r>
        <w:rPr/>
        <w:drawing>
          <wp:anchor distT="0" distB="0" distL="0" distR="0" allowOverlap="1" layoutInCell="1" locked="0" behindDoc="0" simplePos="0" relativeHeight="5296">
            <wp:simplePos x="0" y="0"/>
            <wp:positionH relativeFrom="page">
              <wp:posOffset>861060</wp:posOffset>
            </wp:positionH>
            <wp:positionV relativeFrom="paragraph">
              <wp:posOffset>134529</wp:posOffset>
            </wp:positionV>
            <wp:extent cx="2445644" cy="706754"/>
            <wp:effectExtent l="0" t="0" r="0" b="0"/>
            <wp:wrapTopAndBottom/>
            <wp:docPr id="169" name="image100.png" descr=""/>
            <wp:cNvGraphicFramePr>
              <a:graphicFrameLocks noChangeAspect="1"/>
            </wp:cNvGraphicFramePr>
            <a:graphic>
              <a:graphicData uri="http://schemas.openxmlformats.org/drawingml/2006/picture">
                <pic:pic>
                  <pic:nvPicPr>
                    <pic:cNvPr id="170" name="image100.png"/>
                    <pic:cNvPicPr/>
                  </pic:nvPicPr>
                  <pic:blipFill>
                    <a:blip r:embed="rId179" cstate="print"/>
                    <a:stretch>
                      <a:fillRect/>
                    </a:stretch>
                  </pic:blipFill>
                  <pic:spPr>
                    <a:xfrm>
                      <a:off x="0" y="0"/>
                      <a:ext cx="2445644" cy="706754"/>
                    </a:xfrm>
                    <a:prstGeom prst="rect">
                      <a:avLst/>
                    </a:prstGeom>
                  </pic:spPr>
                </pic:pic>
              </a:graphicData>
            </a:graphic>
          </wp:anchor>
        </w:drawing>
      </w:r>
    </w:p>
    <w:p>
      <w:pPr>
        <w:spacing w:line="480" w:lineRule="auto" w:before="0"/>
        <w:ind w:left="1383" w:right="736" w:hanging="210"/>
        <w:jc w:val="left"/>
        <w:rPr>
          <w:sz w:val="18"/>
        </w:rPr>
      </w:pPr>
      <w:r>
        <w:rPr>
          <w:sz w:val="18"/>
        </w:rPr>
        <w:t>Figure 13. Twist or desviation of the wrist. Table 10. Twist or desviation of the wrist.</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10"/>
      </w:pPr>
    </w:p>
    <w:p>
      <w:pPr>
        <w:pStyle w:val="ListParagraph"/>
        <w:numPr>
          <w:ilvl w:val="1"/>
          <w:numId w:val="56"/>
        </w:numPr>
        <w:tabs>
          <w:tab w:pos="978" w:val="left" w:leader="none"/>
          <w:tab w:pos="979" w:val="left" w:leader="none"/>
        </w:tabs>
        <w:spacing w:line="240" w:lineRule="auto" w:before="0" w:after="0"/>
        <w:ind w:left="978" w:right="0" w:hanging="348"/>
        <w:jc w:val="left"/>
        <w:rPr>
          <w:b/>
          <w:sz w:val="18"/>
        </w:rPr>
      </w:pPr>
      <w:r>
        <w:rPr/>
        <w:pict>
          <v:shape style="position:absolute;margin-left:36.18pt;margin-top:-63.177662pt;width:257.8500pt;height:42.55pt;mso-position-horizontal-relative:page;mso-position-vertical-relative:paragraph;z-index:5320" type="#_x0000_t202" filled="false" stroked="false">
            <v:textbox inset="0,0,0,0">
              <w:txbxContent>
                <w:tbl>
                  <w:tblPr>
                    <w:tblW w:w="0" w:type="auto"/>
                    <w:jc w:val="left"/>
                    <w:tblBorders>
                      <w:top w:val="single" w:sz="12" w:space="0" w:color="1F487B"/>
                      <w:left w:val="single" w:sz="12" w:space="0" w:color="1F487B"/>
                      <w:bottom w:val="single" w:sz="12" w:space="0" w:color="1F487B"/>
                      <w:right w:val="single" w:sz="12" w:space="0" w:color="1F487B"/>
                      <w:insideH w:val="single" w:sz="12" w:space="0" w:color="1F487B"/>
                      <w:insideV w:val="single" w:sz="12" w:space="0" w:color="1F487B"/>
                    </w:tblBorders>
                    <w:tblLayout w:type="fixed"/>
                    <w:tblCellMar>
                      <w:top w:w="0" w:type="dxa"/>
                      <w:left w:w="0" w:type="dxa"/>
                      <w:bottom w:w="0" w:type="dxa"/>
                      <w:right w:w="0" w:type="dxa"/>
                    </w:tblCellMar>
                    <w:tblLook w:val="01E0"/>
                  </w:tblPr>
                  <w:tblGrid>
                    <w:gridCol w:w="2263"/>
                    <w:gridCol w:w="2849"/>
                  </w:tblGrid>
                  <w:tr>
                    <w:trPr>
                      <w:trHeight w:val="325" w:hRule="exact"/>
                    </w:trPr>
                    <w:tc>
                      <w:tcPr>
                        <w:tcW w:w="2263" w:type="dxa"/>
                      </w:tcPr>
                      <w:p>
                        <w:pPr>
                          <w:pStyle w:val="TableParagraph"/>
                          <w:spacing w:line="206" w:lineRule="exact"/>
                          <w:ind w:left="858" w:right="855"/>
                          <w:jc w:val="center"/>
                          <w:rPr>
                            <w:b/>
                            <w:sz w:val="18"/>
                          </w:rPr>
                        </w:pPr>
                        <w:r>
                          <w:rPr>
                            <w:b/>
                            <w:sz w:val="18"/>
                          </w:rPr>
                          <w:t>Points</w:t>
                        </w:r>
                      </w:p>
                    </w:tc>
                    <w:tc>
                      <w:tcPr>
                        <w:tcW w:w="2849" w:type="dxa"/>
                      </w:tcPr>
                      <w:p>
                        <w:pPr>
                          <w:pStyle w:val="TableParagraph"/>
                          <w:spacing w:line="206" w:lineRule="exact"/>
                          <w:ind w:left="1080" w:right="1077"/>
                          <w:jc w:val="center"/>
                          <w:rPr>
                            <w:b/>
                            <w:sz w:val="18"/>
                          </w:rPr>
                        </w:pPr>
                        <w:r>
                          <w:rPr>
                            <w:b/>
                            <w:sz w:val="18"/>
                          </w:rPr>
                          <w:t>Position</w:t>
                        </w:r>
                      </w:p>
                    </w:tc>
                  </w:tr>
                  <w:tr>
                    <w:trPr>
                      <w:trHeight w:val="496" w:hRule="exact"/>
                    </w:trPr>
                    <w:tc>
                      <w:tcPr>
                        <w:tcW w:w="2263" w:type="dxa"/>
                      </w:tcPr>
                      <w:p>
                        <w:pPr>
                          <w:pStyle w:val="TableParagraph"/>
                          <w:spacing w:line="202" w:lineRule="exact"/>
                          <w:ind w:left="858" w:right="855"/>
                          <w:jc w:val="center"/>
                          <w:rPr>
                            <w:sz w:val="18"/>
                          </w:rPr>
                        </w:pPr>
                        <w:r>
                          <w:rPr>
                            <w:sz w:val="18"/>
                          </w:rPr>
                          <w:t>+1</w:t>
                        </w:r>
                      </w:p>
                    </w:tc>
                    <w:tc>
                      <w:tcPr>
                        <w:tcW w:w="2849" w:type="dxa"/>
                      </w:tcPr>
                      <w:p>
                        <w:pPr>
                          <w:pStyle w:val="TableParagraph"/>
                          <w:ind w:left="978" w:right="163" w:hanging="792"/>
                          <w:rPr>
                            <w:sz w:val="18"/>
                          </w:rPr>
                        </w:pPr>
                        <w:r>
                          <w:rPr>
                            <w:sz w:val="18"/>
                          </w:rPr>
                          <w:t>There twisting or lateral deviation of the wrist.</w:t>
                        </w:r>
                      </w:p>
                    </w:tc>
                  </w:tr>
                </w:tbl>
                <w:p>
                  <w:pPr>
                    <w:pStyle w:val="BodyText"/>
                  </w:pPr>
                </w:p>
              </w:txbxContent>
            </v:textbox>
            <w10:wrap type="none"/>
          </v:shape>
        </w:pict>
      </w:r>
      <w:r>
        <w:rPr>
          <w:b/>
          <w:sz w:val="18"/>
        </w:rPr>
        <w:t>RESULTS</w:t>
      </w:r>
    </w:p>
    <w:p>
      <w:pPr>
        <w:pStyle w:val="BodyText"/>
        <w:spacing w:before="7"/>
        <w:rPr>
          <w:b/>
          <w:sz w:val="17"/>
        </w:rPr>
      </w:pPr>
    </w:p>
    <w:p>
      <w:pPr>
        <w:spacing w:before="1"/>
        <w:ind w:left="270" w:right="0" w:firstLine="397"/>
        <w:jc w:val="both"/>
        <w:rPr>
          <w:sz w:val="18"/>
        </w:rPr>
      </w:pPr>
      <w:r>
        <w:rPr>
          <w:sz w:val="18"/>
        </w:rPr>
        <w:t>The welder must weld anywhere on the plant that is required, which means that chemical pollutants, high temperatures, noise, radiation, fire risk, just as if it adopts forced to weld exposed positions such as: inclinations , stretching bending -  trunk extension, flexion - extension of the neck and weight lifting loading pieces.</w:t>
      </w:r>
    </w:p>
    <w:p>
      <w:pPr>
        <w:pStyle w:val="BodyText"/>
        <w:rPr>
          <w:sz w:val="18"/>
        </w:rPr>
      </w:pPr>
    </w:p>
    <w:p>
      <w:pPr>
        <w:spacing w:before="0"/>
        <w:ind w:left="270" w:right="0" w:firstLine="397"/>
        <w:jc w:val="both"/>
        <w:rPr>
          <w:sz w:val="18"/>
        </w:rPr>
      </w:pPr>
      <w:r>
        <w:rPr>
          <w:sz w:val="18"/>
        </w:rPr>
        <w:t>That's why their positions were analyzed with the implementation of the REBA method to reduce ergonomic risks to not be affected in the future health of the worker welding. And with this study will help prevent risks.</w:t>
      </w:r>
    </w:p>
    <w:p>
      <w:pPr>
        <w:pStyle w:val="BodyText"/>
        <w:rPr>
          <w:sz w:val="18"/>
        </w:rPr>
      </w:pPr>
    </w:p>
    <w:p>
      <w:pPr>
        <w:spacing w:before="0"/>
        <w:ind w:left="270" w:right="1" w:firstLine="397"/>
        <w:jc w:val="both"/>
        <w:rPr>
          <w:sz w:val="18"/>
        </w:rPr>
      </w:pPr>
      <w:r>
        <w:rPr>
          <w:sz w:val="18"/>
        </w:rPr>
        <w:t>The REBA method to estimate the risk of bodily disorders related to work based analysis of the positions taken by the upper limbs (arm, forearm, wrist), trunk, neck and legs. It also defines the load or run strength, grip type or type of muscular activity of the worker. Although it was initially designed to be applied to analyze the kind of awkward postures that often occur among health care workers, caregivers, therapists, etc. and other service activities, is applicable to any sector or work activity.</w:t>
      </w:r>
    </w:p>
    <w:p>
      <w:pPr>
        <w:spacing w:before="77"/>
        <w:ind w:left="270" w:right="679" w:firstLine="430"/>
        <w:jc w:val="both"/>
        <w:rPr>
          <w:sz w:val="18"/>
        </w:rPr>
      </w:pPr>
      <w:r>
        <w:rPr/>
        <w:br w:type="column"/>
      </w:r>
      <w:r>
        <w:rPr>
          <w:sz w:val="18"/>
        </w:rPr>
        <w:t>Position Legs: The legs have unilateral support or any light stand. Increase your punctuation +2 because there is flexion of one or both knees more than 60 degrees. Punctuation: 4</w:t>
      </w:r>
    </w:p>
    <w:p>
      <w:pPr>
        <w:pStyle w:val="BodyText"/>
        <w:ind w:left="270"/>
      </w:pPr>
      <w:r>
        <w:rPr/>
        <w:drawing>
          <wp:inline distT="0" distB="0" distL="0" distR="0">
            <wp:extent cx="3177108" cy="1383029"/>
            <wp:effectExtent l="0" t="0" r="0" b="0"/>
            <wp:docPr id="171" name="image101.jpeg" descr=""/>
            <wp:cNvGraphicFramePr>
              <a:graphicFrameLocks noChangeAspect="1"/>
            </wp:cNvGraphicFramePr>
            <a:graphic>
              <a:graphicData uri="http://schemas.openxmlformats.org/drawingml/2006/picture">
                <pic:pic>
                  <pic:nvPicPr>
                    <pic:cNvPr id="172" name="image101.jpeg"/>
                    <pic:cNvPicPr/>
                  </pic:nvPicPr>
                  <pic:blipFill>
                    <a:blip r:embed="rId180" cstate="print"/>
                    <a:stretch>
                      <a:fillRect/>
                    </a:stretch>
                  </pic:blipFill>
                  <pic:spPr>
                    <a:xfrm>
                      <a:off x="0" y="0"/>
                      <a:ext cx="3177108" cy="1383029"/>
                    </a:xfrm>
                    <a:prstGeom prst="rect">
                      <a:avLst/>
                    </a:prstGeom>
                  </pic:spPr>
                </pic:pic>
              </a:graphicData>
            </a:graphic>
          </wp:inline>
        </w:drawing>
      </w:r>
      <w:r>
        <w:rPr/>
      </w:r>
    </w:p>
    <w:p>
      <w:pPr>
        <w:spacing w:before="14"/>
        <w:ind w:left="1748" w:right="668" w:firstLine="0"/>
        <w:jc w:val="left"/>
        <w:rPr>
          <w:sz w:val="18"/>
        </w:rPr>
      </w:pPr>
      <w:r>
        <w:rPr>
          <w:sz w:val="18"/>
        </w:rPr>
        <w:t>Table 11. Results Group A</w:t>
      </w:r>
    </w:p>
    <w:p>
      <w:pPr>
        <w:pStyle w:val="BodyText"/>
        <w:rPr>
          <w:sz w:val="18"/>
        </w:rPr>
      </w:pPr>
    </w:p>
    <w:p>
      <w:pPr>
        <w:pStyle w:val="BodyText"/>
        <w:spacing w:before="4"/>
        <w:rPr>
          <w:sz w:val="18"/>
        </w:rPr>
      </w:pPr>
    </w:p>
    <w:p>
      <w:pPr>
        <w:spacing w:before="0"/>
        <w:ind w:left="270" w:right="0" w:firstLine="0"/>
        <w:jc w:val="both"/>
        <w:rPr>
          <w:b/>
          <w:sz w:val="18"/>
        </w:rPr>
      </w:pPr>
      <w:r>
        <w:rPr>
          <w:b/>
          <w:sz w:val="18"/>
        </w:rPr>
        <w:t>Group B</w:t>
      </w:r>
    </w:p>
    <w:p>
      <w:pPr>
        <w:pStyle w:val="BodyText"/>
        <w:spacing w:before="7"/>
        <w:rPr>
          <w:b/>
          <w:sz w:val="17"/>
        </w:rPr>
      </w:pPr>
    </w:p>
    <w:p>
      <w:pPr>
        <w:spacing w:before="1"/>
        <w:ind w:left="270" w:right="679" w:firstLine="0"/>
        <w:jc w:val="both"/>
        <w:rPr>
          <w:sz w:val="18"/>
        </w:rPr>
      </w:pPr>
      <w:r>
        <w:rPr>
          <w:sz w:val="18"/>
        </w:rPr>
        <w:t>Arm Position: It's between 46 and 90 degrees of flexion its punctuation is 2 +1 It increases because the arm is rotated. Punctuation: 3.</w:t>
      </w:r>
    </w:p>
    <w:p>
      <w:pPr>
        <w:spacing w:before="0"/>
        <w:ind w:left="270" w:right="680" w:firstLine="430"/>
        <w:jc w:val="both"/>
        <w:rPr>
          <w:sz w:val="18"/>
        </w:rPr>
      </w:pPr>
      <w:r>
        <w:rPr>
          <w:sz w:val="18"/>
        </w:rPr>
        <w:t>Position of the forearms: The forearm is between 60 and 100 degrees of flexion. Punctuation: 1</w:t>
      </w:r>
    </w:p>
    <w:p>
      <w:pPr>
        <w:spacing w:before="0"/>
        <w:ind w:left="270" w:right="678" w:firstLine="430"/>
        <w:jc w:val="both"/>
        <w:rPr>
          <w:sz w:val="18"/>
        </w:rPr>
      </w:pPr>
      <w:r>
        <w:rPr>
          <w:sz w:val="18"/>
        </w:rPr>
        <w:t>Position wrist: wrist is between 0 and 15 degrees of flexion and extention. Punctuation: 1, the punctuation that exists be incremented torsion or lateral deviation of the wrist +1. Su Punctuation: 2</w:t>
      </w:r>
    </w:p>
    <w:p>
      <w:pPr>
        <w:spacing w:before="0"/>
        <w:ind w:left="1932" w:right="668" w:firstLine="0"/>
        <w:jc w:val="left"/>
        <w:rPr>
          <w:sz w:val="18"/>
        </w:rPr>
      </w:pPr>
      <w:r>
        <w:rPr>
          <w:sz w:val="18"/>
        </w:rPr>
        <w:t>Table 12. Results Group B</w:t>
      </w:r>
    </w:p>
    <w:p>
      <w:pPr>
        <w:pStyle w:val="BodyText"/>
        <w:ind w:left="270"/>
      </w:pPr>
      <w:r>
        <w:rPr/>
        <w:drawing>
          <wp:inline distT="0" distB="0" distL="0" distR="0">
            <wp:extent cx="3162198" cy="1372838"/>
            <wp:effectExtent l="0" t="0" r="0" b="0"/>
            <wp:docPr id="173" name="image102.jpeg" descr=""/>
            <wp:cNvGraphicFramePr>
              <a:graphicFrameLocks noChangeAspect="1"/>
            </wp:cNvGraphicFramePr>
            <a:graphic>
              <a:graphicData uri="http://schemas.openxmlformats.org/drawingml/2006/picture">
                <pic:pic>
                  <pic:nvPicPr>
                    <pic:cNvPr id="174" name="image102.jpeg"/>
                    <pic:cNvPicPr/>
                  </pic:nvPicPr>
                  <pic:blipFill>
                    <a:blip r:embed="rId181" cstate="print"/>
                    <a:stretch>
                      <a:fillRect/>
                    </a:stretch>
                  </pic:blipFill>
                  <pic:spPr>
                    <a:xfrm>
                      <a:off x="0" y="0"/>
                      <a:ext cx="3162198" cy="1372838"/>
                    </a:xfrm>
                    <a:prstGeom prst="rect">
                      <a:avLst/>
                    </a:prstGeom>
                  </pic:spPr>
                </pic:pic>
              </a:graphicData>
            </a:graphic>
          </wp:inline>
        </w:drawing>
      </w:r>
      <w:r>
        <w:rPr/>
      </w:r>
    </w:p>
    <w:p>
      <w:pPr>
        <w:pStyle w:val="BodyText"/>
        <w:spacing w:before="2"/>
        <w:rPr>
          <w:sz w:val="17"/>
        </w:rPr>
      </w:pPr>
    </w:p>
    <w:p>
      <w:pPr>
        <w:spacing w:before="0"/>
        <w:ind w:left="270" w:right="0" w:firstLine="0"/>
        <w:jc w:val="both"/>
        <w:rPr>
          <w:sz w:val="18"/>
        </w:rPr>
      </w:pPr>
      <w:r>
        <w:rPr>
          <w:sz w:val="18"/>
        </w:rPr>
        <w:t>Rating load or force.</w:t>
      </w:r>
    </w:p>
    <w:p>
      <w:pPr>
        <w:pStyle w:val="BodyText"/>
        <w:rPr>
          <w:sz w:val="18"/>
        </w:rPr>
      </w:pPr>
    </w:p>
    <w:p>
      <w:pPr>
        <w:spacing w:before="0"/>
        <w:ind w:left="270" w:right="677" w:firstLine="430"/>
        <w:jc w:val="both"/>
        <w:rPr>
          <w:sz w:val="18"/>
        </w:rPr>
      </w:pPr>
      <w:r>
        <w:rPr>
          <w:sz w:val="18"/>
        </w:rPr>
        <w:t>The load or force managed modify the score assigned  to group A (trunk, neck and legs), except if the load does not exceed 5 kilograms in weight, in which case the score will not increase. The following table shows the increase depending on the applied load weight. Also, if the force is applied abruptly should increase one unit.</w:t>
      </w:r>
    </w:p>
    <w:p>
      <w:pPr>
        <w:spacing w:after="0"/>
        <w:jc w:val="both"/>
        <w:rPr>
          <w:sz w:val="18"/>
        </w:rPr>
        <w:sectPr>
          <w:type w:val="continuous"/>
          <w:pgSz w:w="12240" w:h="15840"/>
          <w:pgMar w:top="1500" w:bottom="280" w:left="580" w:right="220"/>
          <w:cols w:num="2" w:equalWidth="0">
            <w:col w:w="5164" w:space="434"/>
            <w:col w:w="5842"/>
          </w:cols>
        </w:sectPr>
      </w:pPr>
    </w:p>
    <w:p>
      <w:pPr>
        <w:pStyle w:val="BodyText"/>
        <w:spacing w:before="1"/>
        <w:rPr>
          <w:sz w:val="14"/>
        </w:rPr>
      </w:pPr>
    </w:p>
    <w:p>
      <w:pPr>
        <w:spacing w:before="0"/>
        <w:ind w:left="270" w:right="0" w:firstLine="397"/>
        <w:jc w:val="both"/>
        <w:rPr>
          <w:sz w:val="18"/>
        </w:rPr>
      </w:pPr>
      <w:r>
        <w:rPr>
          <w:sz w:val="18"/>
        </w:rPr>
        <w:t>Assesses both static and dynamic postures and incorporates novelty noted the possibility of the existence of sudden changes in posture or unstable positions. A new factor that assesses whether the position of the upper limbs is adopted for or against gravity is included in the</w:t>
      </w:r>
      <w:r>
        <w:rPr>
          <w:spacing w:val="-6"/>
          <w:sz w:val="18"/>
        </w:rPr>
        <w:t> </w:t>
      </w:r>
      <w:r>
        <w:rPr>
          <w:sz w:val="18"/>
        </w:rPr>
        <w:t>method.</w:t>
      </w:r>
    </w:p>
    <w:p>
      <w:pPr>
        <w:pStyle w:val="BodyText"/>
        <w:spacing w:before="3"/>
        <w:rPr>
          <w:sz w:val="18"/>
        </w:rPr>
      </w:pPr>
    </w:p>
    <w:p>
      <w:pPr>
        <w:spacing w:before="0"/>
        <w:ind w:left="270" w:right="115" w:firstLine="0"/>
        <w:jc w:val="left"/>
        <w:rPr>
          <w:b/>
          <w:sz w:val="18"/>
        </w:rPr>
      </w:pPr>
      <w:r>
        <w:rPr>
          <w:b/>
          <w:sz w:val="18"/>
        </w:rPr>
        <w:t>Group A</w:t>
      </w:r>
    </w:p>
    <w:p>
      <w:pPr>
        <w:pStyle w:val="BodyText"/>
        <w:spacing w:before="7"/>
        <w:rPr>
          <w:b/>
          <w:sz w:val="17"/>
        </w:rPr>
      </w:pPr>
    </w:p>
    <w:p>
      <w:pPr>
        <w:spacing w:before="1"/>
        <w:ind w:left="270" w:right="0" w:firstLine="0"/>
        <w:jc w:val="left"/>
        <w:rPr>
          <w:sz w:val="18"/>
        </w:rPr>
      </w:pPr>
      <w:r>
        <w:rPr>
          <w:sz w:val="18"/>
        </w:rPr>
        <w:t>Position Trunk: This between 20 and 60 degrees of flexion or more than 20 degrees of extension. The score is 3.</w:t>
      </w:r>
    </w:p>
    <w:p>
      <w:pPr>
        <w:pStyle w:val="BodyText"/>
        <w:rPr>
          <w:sz w:val="18"/>
        </w:rPr>
      </w:pPr>
    </w:p>
    <w:p>
      <w:pPr>
        <w:spacing w:before="0"/>
        <w:ind w:left="270" w:right="0" w:firstLine="430"/>
        <w:jc w:val="both"/>
        <w:rPr>
          <w:sz w:val="18"/>
        </w:rPr>
      </w:pPr>
      <w:r>
        <w:rPr>
          <w:sz w:val="18"/>
        </w:rPr>
        <w:t>Increase your trunk punctuation that there is lateral flexion or torsion of the trunk 1. Punctuation: 4</w:t>
      </w:r>
    </w:p>
    <w:p>
      <w:pPr>
        <w:spacing w:before="0"/>
        <w:ind w:left="270" w:right="0" w:firstLine="430"/>
        <w:jc w:val="both"/>
        <w:rPr>
          <w:sz w:val="18"/>
        </w:rPr>
      </w:pPr>
      <w:r>
        <w:rPr>
          <w:sz w:val="18"/>
        </w:rPr>
        <w:t>Position Neck: The neck is flexed at more than 20 degrees. Increase your punctuation that exists lateral flexion or lateral inclination The neck 1.Puntuacion: 3</w:t>
      </w:r>
    </w:p>
    <w:p>
      <w:pPr>
        <w:spacing w:before="0"/>
        <w:ind w:left="270" w:right="747" w:firstLine="430"/>
        <w:jc w:val="left"/>
        <w:rPr>
          <w:sz w:val="18"/>
        </w:rPr>
      </w:pPr>
      <w:r>
        <w:rPr/>
        <w:br w:type="column"/>
      </w:r>
      <w:r>
        <w:rPr>
          <w:sz w:val="18"/>
        </w:rPr>
        <w:t>Henceforth the score of group A, duly increased by the load  or force, is called "Score A".</w:t>
      </w:r>
    </w:p>
    <w:p>
      <w:pPr>
        <w:pStyle w:val="BodyText"/>
        <w:rPr>
          <w:sz w:val="18"/>
        </w:rPr>
      </w:pPr>
    </w:p>
    <w:p>
      <w:pPr>
        <w:spacing w:before="0"/>
        <w:ind w:left="0" w:right="408" w:firstLine="0"/>
        <w:jc w:val="center"/>
        <w:rPr>
          <w:sz w:val="18"/>
        </w:rPr>
      </w:pPr>
      <w:r>
        <w:rPr>
          <w:sz w:val="18"/>
        </w:rPr>
        <w:t>Tabla 13. Score for the load or force.</w:t>
      </w:r>
    </w:p>
    <w:tbl>
      <w:tblPr>
        <w:tblW w:w="0" w:type="auto"/>
        <w:jc w:val="left"/>
        <w:tblInd w:w="161" w:type="dxa"/>
        <w:tblBorders>
          <w:top w:val="single" w:sz="12" w:space="0" w:color="1F487B"/>
          <w:left w:val="single" w:sz="12" w:space="0" w:color="1F487B"/>
          <w:bottom w:val="single" w:sz="12" w:space="0" w:color="1F487B"/>
          <w:right w:val="single" w:sz="12" w:space="0" w:color="1F487B"/>
          <w:insideH w:val="single" w:sz="12" w:space="0" w:color="1F487B"/>
          <w:insideV w:val="single" w:sz="12" w:space="0" w:color="1F487B"/>
        </w:tblBorders>
        <w:tblLayout w:type="fixed"/>
        <w:tblCellMar>
          <w:top w:w="0" w:type="dxa"/>
          <w:left w:w="0" w:type="dxa"/>
          <w:bottom w:w="0" w:type="dxa"/>
          <w:right w:w="0" w:type="dxa"/>
        </w:tblCellMar>
        <w:tblLook w:val="01E0"/>
      </w:tblPr>
      <w:tblGrid>
        <w:gridCol w:w="1357"/>
        <w:gridCol w:w="3720"/>
      </w:tblGrid>
      <w:tr>
        <w:trPr>
          <w:trHeight w:val="440" w:hRule="exact"/>
        </w:trPr>
        <w:tc>
          <w:tcPr>
            <w:tcW w:w="1357" w:type="dxa"/>
          </w:tcPr>
          <w:p>
            <w:pPr>
              <w:pStyle w:val="TableParagraph"/>
              <w:spacing w:line="204" w:lineRule="exact"/>
              <w:ind w:left="369" w:right="368"/>
              <w:jc w:val="center"/>
              <w:rPr>
                <w:rFonts w:ascii="Arial"/>
                <w:b/>
                <w:sz w:val="18"/>
              </w:rPr>
            </w:pPr>
            <w:r>
              <w:rPr>
                <w:rFonts w:ascii="Arial"/>
                <w:b/>
                <w:sz w:val="18"/>
              </w:rPr>
              <w:t>Points</w:t>
            </w:r>
          </w:p>
        </w:tc>
        <w:tc>
          <w:tcPr>
            <w:tcW w:w="3720" w:type="dxa"/>
          </w:tcPr>
          <w:p>
            <w:pPr>
              <w:pStyle w:val="TableParagraph"/>
              <w:spacing w:line="204" w:lineRule="exact"/>
              <w:ind w:left="276" w:right="274"/>
              <w:jc w:val="center"/>
              <w:rPr>
                <w:rFonts w:ascii="Arial"/>
                <w:b/>
                <w:sz w:val="18"/>
              </w:rPr>
            </w:pPr>
            <w:r>
              <w:rPr>
                <w:rFonts w:ascii="Arial"/>
                <w:b/>
                <w:sz w:val="18"/>
              </w:rPr>
              <w:t>Position</w:t>
            </w:r>
          </w:p>
        </w:tc>
      </w:tr>
      <w:tr>
        <w:trPr>
          <w:trHeight w:val="419" w:hRule="exact"/>
        </w:trPr>
        <w:tc>
          <w:tcPr>
            <w:tcW w:w="1357" w:type="dxa"/>
          </w:tcPr>
          <w:p>
            <w:pPr>
              <w:pStyle w:val="TableParagraph"/>
              <w:spacing w:line="202" w:lineRule="exact"/>
              <w:ind w:left="368" w:right="368"/>
              <w:jc w:val="center"/>
              <w:rPr>
                <w:sz w:val="18"/>
              </w:rPr>
            </w:pPr>
            <w:r>
              <w:rPr>
                <w:sz w:val="18"/>
              </w:rPr>
              <w:t>+0</w:t>
            </w:r>
          </w:p>
        </w:tc>
        <w:tc>
          <w:tcPr>
            <w:tcW w:w="3720" w:type="dxa"/>
          </w:tcPr>
          <w:p>
            <w:pPr>
              <w:pStyle w:val="TableParagraph"/>
              <w:spacing w:line="202" w:lineRule="exact"/>
              <w:ind w:left="275" w:right="274"/>
              <w:jc w:val="center"/>
              <w:rPr>
                <w:sz w:val="18"/>
              </w:rPr>
            </w:pPr>
            <w:r>
              <w:rPr>
                <w:sz w:val="18"/>
              </w:rPr>
              <w:t>The load or force is less than 5 kg.</w:t>
            </w:r>
          </w:p>
        </w:tc>
      </w:tr>
      <w:tr>
        <w:trPr>
          <w:trHeight w:val="448" w:hRule="exact"/>
        </w:trPr>
        <w:tc>
          <w:tcPr>
            <w:tcW w:w="1357" w:type="dxa"/>
          </w:tcPr>
          <w:p>
            <w:pPr>
              <w:pStyle w:val="TableParagraph"/>
              <w:spacing w:line="202" w:lineRule="exact"/>
              <w:ind w:left="368" w:right="368"/>
              <w:jc w:val="center"/>
              <w:rPr>
                <w:sz w:val="18"/>
              </w:rPr>
            </w:pPr>
            <w:r>
              <w:rPr>
                <w:sz w:val="18"/>
              </w:rPr>
              <w:t>+1</w:t>
            </w:r>
          </w:p>
        </w:tc>
        <w:tc>
          <w:tcPr>
            <w:tcW w:w="3720" w:type="dxa"/>
          </w:tcPr>
          <w:p>
            <w:pPr>
              <w:pStyle w:val="TableParagraph"/>
              <w:spacing w:line="202" w:lineRule="exact"/>
              <w:ind w:left="277" w:right="274"/>
              <w:jc w:val="center"/>
              <w:rPr>
                <w:sz w:val="18"/>
              </w:rPr>
            </w:pPr>
            <w:r>
              <w:rPr>
                <w:sz w:val="18"/>
              </w:rPr>
              <w:t>The load or force is between 5 and 10 Kgs.</w:t>
            </w:r>
          </w:p>
        </w:tc>
      </w:tr>
      <w:tr>
        <w:trPr>
          <w:trHeight w:val="353" w:hRule="exact"/>
        </w:trPr>
        <w:tc>
          <w:tcPr>
            <w:tcW w:w="1357" w:type="dxa"/>
          </w:tcPr>
          <w:p>
            <w:pPr>
              <w:pStyle w:val="TableParagraph"/>
              <w:spacing w:line="202" w:lineRule="exact"/>
              <w:ind w:left="368" w:right="368"/>
              <w:jc w:val="center"/>
              <w:rPr>
                <w:sz w:val="18"/>
              </w:rPr>
            </w:pPr>
            <w:r>
              <w:rPr>
                <w:sz w:val="18"/>
              </w:rPr>
              <w:t>+2</w:t>
            </w:r>
          </w:p>
        </w:tc>
        <w:tc>
          <w:tcPr>
            <w:tcW w:w="3720" w:type="dxa"/>
          </w:tcPr>
          <w:p>
            <w:pPr>
              <w:pStyle w:val="TableParagraph"/>
              <w:spacing w:line="202" w:lineRule="exact"/>
              <w:ind w:left="276" w:right="274"/>
              <w:jc w:val="center"/>
              <w:rPr>
                <w:sz w:val="18"/>
              </w:rPr>
            </w:pPr>
            <w:r>
              <w:rPr>
                <w:sz w:val="18"/>
              </w:rPr>
              <w:t>The load or force is greater than 10 Kgs.</w:t>
            </w:r>
          </w:p>
        </w:tc>
      </w:tr>
    </w:tbl>
    <w:p>
      <w:pPr>
        <w:pStyle w:val="BodyText"/>
        <w:rPr>
          <w:sz w:val="18"/>
        </w:rPr>
      </w:pPr>
    </w:p>
    <w:p>
      <w:pPr>
        <w:pStyle w:val="BodyText"/>
        <w:rPr>
          <w:sz w:val="18"/>
        </w:rPr>
      </w:pPr>
    </w:p>
    <w:p>
      <w:pPr>
        <w:spacing w:before="0"/>
        <w:ind w:left="0" w:right="406" w:firstLine="0"/>
        <w:jc w:val="center"/>
        <w:rPr>
          <w:sz w:val="18"/>
        </w:rPr>
      </w:pPr>
      <w:r>
        <w:rPr>
          <w:sz w:val="18"/>
        </w:rPr>
        <w:t>Table 14. Changing the score for loading or forces</w:t>
      </w:r>
    </w:p>
    <w:p>
      <w:pPr>
        <w:spacing w:after="0"/>
        <w:jc w:val="center"/>
        <w:rPr>
          <w:sz w:val="18"/>
        </w:rPr>
        <w:sectPr>
          <w:type w:val="continuous"/>
          <w:pgSz w:w="12240" w:h="15840"/>
          <w:pgMar w:top="1500" w:bottom="280" w:left="580" w:right="220"/>
          <w:cols w:num="2" w:equalWidth="0">
            <w:col w:w="5163" w:space="435"/>
            <w:col w:w="5842"/>
          </w:cols>
        </w:sectPr>
      </w:pPr>
    </w:p>
    <w:p>
      <w:pPr>
        <w:pStyle w:val="BodyText"/>
        <w:spacing w:before="11"/>
        <w:rPr>
          <w:sz w:val="28"/>
        </w:rPr>
      </w:pPr>
    </w:p>
    <w:p>
      <w:pPr>
        <w:spacing w:before="77"/>
        <w:ind w:left="5868" w:right="676" w:firstLine="0"/>
        <w:jc w:val="both"/>
        <w:rPr>
          <w:sz w:val="18"/>
        </w:rPr>
      </w:pPr>
      <w:r>
        <w:rPr/>
        <w:pict>
          <v:shape style="position:absolute;margin-left:37.080002pt;margin-top:-6.228828pt;width:256.1500pt;height:61.9pt;mso-position-horizontal-relative:page;mso-position-vertical-relative:paragraph;z-index:5656" type="#_x0000_t202" filled="false" stroked="false">
            <v:textbox inset="0,0,0,0">
              <w:txbxContent>
                <w:tbl>
                  <w:tblPr>
                    <w:tblW w:w="0" w:type="auto"/>
                    <w:jc w:val="left"/>
                    <w:tblBorders>
                      <w:top w:val="single" w:sz="12" w:space="0" w:color="1F487B"/>
                      <w:left w:val="single" w:sz="12" w:space="0" w:color="1F487B"/>
                      <w:bottom w:val="single" w:sz="12" w:space="0" w:color="1F487B"/>
                      <w:right w:val="single" w:sz="12" w:space="0" w:color="1F487B"/>
                      <w:insideH w:val="single" w:sz="12" w:space="0" w:color="1F487B"/>
                      <w:insideV w:val="single" w:sz="12" w:space="0" w:color="1F487B"/>
                    </w:tblBorders>
                    <w:tblLayout w:type="fixed"/>
                    <w:tblCellMar>
                      <w:top w:w="0" w:type="dxa"/>
                      <w:left w:w="0" w:type="dxa"/>
                      <w:bottom w:w="0" w:type="dxa"/>
                      <w:right w:w="0" w:type="dxa"/>
                    </w:tblCellMar>
                    <w:tblLook w:val="01E0"/>
                  </w:tblPr>
                  <w:tblGrid>
                    <w:gridCol w:w="2248"/>
                    <w:gridCol w:w="2830"/>
                  </w:tblGrid>
                  <w:tr>
                    <w:trPr>
                      <w:trHeight w:val="475" w:hRule="exact"/>
                    </w:trPr>
                    <w:tc>
                      <w:tcPr>
                        <w:tcW w:w="2248" w:type="dxa"/>
                      </w:tcPr>
                      <w:p>
                        <w:pPr>
                          <w:pStyle w:val="TableParagraph"/>
                          <w:spacing w:line="204" w:lineRule="exact"/>
                          <w:ind w:left="814" w:right="813"/>
                          <w:jc w:val="center"/>
                          <w:rPr>
                            <w:rFonts w:ascii="Arial"/>
                            <w:b/>
                            <w:sz w:val="18"/>
                          </w:rPr>
                        </w:pPr>
                        <w:r>
                          <w:rPr>
                            <w:rFonts w:ascii="Arial"/>
                            <w:b/>
                            <w:sz w:val="18"/>
                          </w:rPr>
                          <w:t>Points</w:t>
                        </w:r>
                      </w:p>
                    </w:tc>
                    <w:tc>
                      <w:tcPr>
                        <w:tcW w:w="2830" w:type="dxa"/>
                      </w:tcPr>
                      <w:p>
                        <w:pPr>
                          <w:pStyle w:val="TableParagraph"/>
                          <w:spacing w:line="204" w:lineRule="exact"/>
                          <w:ind w:left="317" w:right="318"/>
                          <w:jc w:val="center"/>
                          <w:rPr>
                            <w:rFonts w:ascii="Arial"/>
                            <w:b/>
                            <w:sz w:val="18"/>
                          </w:rPr>
                        </w:pPr>
                        <w:r>
                          <w:rPr>
                            <w:rFonts w:ascii="Arial"/>
                            <w:b/>
                            <w:sz w:val="18"/>
                          </w:rPr>
                          <w:t>Position</w:t>
                        </w:r>
                      </w:p>
                    </w:tc>
                  </w:tr>
                  <w:tr>
                    <w:trPr>
                      <w:trHeight w:val="732" w:hRule="exact"/>
                    </w:trPr>
                    <w:tc>
                      <w:tcPr>
                        <w:tcW w:w="2248" w:type="dxa"/>
                      </w:tcPr>
                      <w:p>
                        <w:pPr>
                          <w:pStyle w:val="TableParagraph"/>
                          <w:spacing w:line="202" w:lineRule="exact"/>
                          <w:ind w:left="813" w:right="813"/>
                          <w:jc w:val="center"/>
                          <w:rPr>
                            <w:sz w:val="18"/>
                          </w:rPr>
                        </w:pPr>
                        <w:r>
                          <w:rPr>
                            <w:sz w:val="18"/>
                          </w:rPr>
                          <w:t>+1</w:t>
                        </w:r>
                      </w:p>
                    </w:tc>
                    <w:tc>
                      <w:tcPr>
                        <w:tcW w:w="2830" w:type="dxa"/>
                      </w:tcPr>
                      <w:p>
                        <w:pPr>
                          <w:pStyle w:val="TableParagraph"/>
                          <w:spacing w:line="202" w:lineRule="exact"/>
                          <w:ind w:left="317" w:right="318"/>
                          <w:jc w:val="center"/>
                          <w:rPr>
                            <w:sz w:val="18"/>
                          </w:rPr>
                        </w:pPr>
                        <w:r>
                          <w:rPr>
                            <w:sz w:val="18"/>
                          </w:rPr>
                          <w:t>The force is applied abruptly.</w:t>
                        </w:r>
                      </w:p>
                    </w:tc>
                  </w:tr>
                </w:tbl>
                <w:p>
                  <w:pPr>
                    <w:pStyle w:val="BodyText"/>
                  </w:pPr>
                </w:p>
              </w:txbxContent>
            </v:textbox>
            <w10:wrap type="none"/>
          </v:shape>
        </w:pict>
      </w:r>
      <w:r>
        <w:rPr>
          <w:sz w:val="18"/>
        </w:rPr>
        <w:t>The final evaluation of the method REBA is a score of 11. This indicates that the task performed has a very high level of risk and action is required immediately.</w:t>
      </w:r>
    </w:p>
    <w:p>
      <w:pPr>
        <w:pStyle w:val="BodyText"/>
      </w:pPr>
    </w:p>
    <w:p>
      <w:pPr>
        <w:pStyle w:val="BodyText"/>
        <w:rPr>
          <w:sz w:val="27"/>
        </w:rPr>
      </w:pPr>
    </w:p>
    <w:p>
      <w:pPr>
        <w:spacing w:before="77"/>
        <w:ind w:left="270" w:right="6276" w:firstLine="0"/>
        <w:jc w:val="left"/>
        <w:rPr>
          <w:sz w:val="18"/>
        </w:rPr>
      </w:pPr>
      <w:r>
        <w:rPr/>
        <w:pict>
          <v:line style="position:absolute;mso-position-horizontal-relative:page;mso-position-vertical-relative:paragraph;z-index:-873424" from="44.040001pt,3.852349pt" to="44.040001pt,14.412349pt" stroked="true" strokeweight="3pt" strokecolor="#f4f4f4">
            <w10:wrap type="none"/>
          </v:line>
        </w:pict>
      </w:r>
      <w:r>
        <w:rPr>
          <w:sz w:val="18"/>
        </w:rPr>
        <w:t>-Score the type of grip.</w:t>
      </w:r>
    </w:p>
    <w:p>
      <w:pPr>
        <w:pStyle w:val="BodyText"/>
        <w:spacing w:before="3"/>
        <w:rPr>
          <w:sz w:val="11"/>
        </w:rPr>
      </w:pPr>
    </w:p>
    <w:p>
      <w:pPr>
        <w:spacing w:after="0"/>
        <w:rPr>
          <w:sz w:val="11"/>
        </w:rPr>
        <w:sectPr>
          <w:pgSz w:w="12240" w:h="15840"/>
          <w:pgMar w:header="545" w:footer="852" w:top="1060" w:bottom="1040" w:left="580" w:right="220"/>
        </w:sectPr>
      </w:pPr>
    </w:p>
    <w:p>
      <w:pPr>
        <w:spacing w:before="77"/>
        <w:ind w:left="270" w:right="0" w:firstLine="430"/>
        <w:jc w:val="both"/>
        <w:rPr>
          <w:sz w:val="18"/>
        </w:rPr>
      </w:pPr>
      <w:r>
        <w:rPr>
          <w:sz w:val="18"/>
        </w:rPr>
        <w:t>Gripping type increases the score in Group B (arm, forearm and wrist), except that the type considered good grip. Table 16 shows the increases to apply depending on the type of grip.</w:t>
      </w:r>
    </w:p>
    <w:p>
      <w:pPr>
        <w:spacing w:before="0"/>
        <w:ind w:left="270" w:right="0" w:firstLine="430"/>
        <w:jc w:val="both"/>
        <w:rPr>
          <w:sz w:val="18"/>
        </w:rPr>
      </w:pPr>
      <w:r>
        <w:rPr>
          <w:sz w:val="18"/>
        </w:rPr>
        <w:t>Henceforth the score of group B modified by the type of grip will be called "Score B".</w:t>
      </w:r>
    </w:p>
    <w:p>
      <w:pPr>
        <w:pStyle w:val="BodyText"/>
        <w:rPr>
          <w:sz w:val="18"/>
        </w:rPr>
      </w:pPr>
    </w:p>
    <w:p>
      <w:pPr>
        <w:spacing w:before="0"/>
        <w:ind w:left="1765" w:right="0" w:firstLine="0"/>
        <w:jc w:val="left"/>
        <w:rPr>
          <w:sz w:val="18"/>
        </w:rPr>
      </w:pPr>
      <w:r>
        <w:rPr/>
        <w:pict>
          <v:shape style="position:absolute;margin-left:44.639999pt;margin-top:10.562361pt;width:241pt;height:181.15pt;mso-position-horizontal-relative:page;mso-position-vertical-relative:paragraph;z-index:5680" type="#_x0000_t202" filled="false" stroked="false">
            <v:textbox inset="0,0,0,0">
              <w:txbxContent>
                <w:tbl>
                  <w:tblPr>
                    <w:tblW w:w="0" w:type="auto"/>
                    <w:jc w:val="left"/>
                    <w:tblBorders>
                      <w:top w:val="single" w:sz="12" w:space="0" w:color="1F487B"/>
                      <w:left w:val="single" w:sz="12" w:space="0" w:color="1F487B"/>
                      <w:bottom w:val="single" w:sz="12" w:space="0" w:color="1F487B"/>
                      <w:right w:val="single" w:sz="12" w:space="0" w:color="1F487B"/>
                      <w:insideH w:val="single" w:sz="12" w:space="0" w:color="1F487B"/>
                      <w:insideV w:val="single" w:sz="12" w:space="0" w:color="1F487B"/>
                    </w:tblBorders>
                    <w:tblLayout w:type="fixed"/>
                    <w:tblCellMar>
                      <w:top w:w="0" w:type="dxa"/>
                      <w:left w:w="0" w:type="dxa"/>
                      <w:bottom w:w="0" w:type="dxa"/>
                      <w:right w:w="0" w:type="dxa"/>
                    </w:tblCellMar>
                    <w:tblLook w:val="01E0"/>
                  </w:tblPr>
                  <w:tblGrid>
                    <w:gridCol w:w="2045"/>
                    <w:gridCol w:w="914"/>
                    <w:gridCol w:w="1018"/>
                    <w:gridCol w:w="385"/>
                    <w:gridCol w:w="413"/>
                  </w:tblGrid>
                  <w:tr>
                    <w:trPr>
                      <w:trHeight w:val="368" w:hRule="exact"/>
                    </w:trPr>
                    <w:tc>
                      <w:tcPr>
                        <w:tcW w:w="2045" w:type="dxa"/>
                      </w:tcPr>
                      <w:p>
                        <w:pPr>
                          <w:pStyle w:val="TableParagraph"/>
                          <w:spacing w:line="202" w:lineRule="exact"/>
                          <w:ind w:left="762" w:right="762"/>
                          <w:jc w:val="center"/>
                          <w:rPr>
                            <w:sz w:val="18"/>
                          </w:rPr>
                        </w:pPr>
                        <w:r>
                          <w:rPr>
                            <w:sz w:val="18"/>
                          </w:rPr>
                          <w:t>Points</w:t>
                        </w:r>
                      </w:p>
                    </w:tc>
                    <w:tc>
                      <w:tcPr>
                        <w:tcW w:w="2730" w:type="dxa"/>
                        <w:gridSpan w:val="4"/>
                      </w:tcPr>
                      <w:p>
                        <w:pPr>
                          <w:pStyle w:val="TableParagraph"/>
                          <w:spacing w:line="202" w:lineRule="exact"/>
                          <w:ind w:left="914" w:right="914"/>
                          <w:jc w:val="center"/>
                          <w:rPr>
                            <w:sz w:val="18"/>
                          </w:rPr>
                        </w:pPr>
                        <w:r>
                          <w:rPr>
                            <w:sz w:val="18"/>
                          </w:rPr>
                          <w:t>Position</w:t>
                        </w:r>
                      </w:p>
                    </w:tc>
                  </w:tr>
                  <w:tr>
                    <w:trPr>
                      <w:trHeight w:val="650" w:hRule="exact"/>
                    </w:trPr>
                    <w:tc>
                      <w:tcPr>
                        <w:tcW w:w="2045" w:type="dxa"/>
                      </w:tcPr>
                      <w:p>
                        <w:pPr>
                          <w:pStyle w:val="TableParagraph"/>
                          <w:spacing w:line="202" w:lineRule="exact"/>
                          <w:ind w:left="762" w:right="761"/>
                          <w:jc w:val="center"/>
                          <w:rPr>
                            <w:sz w:val="18"/>
                          </w:rPr>
                        </w:pPr>
                        <w:r>
                          <w:rPr>
                            <w:sz w:val="18"/>
                          </w:rPr>
                          <w:t>+0</w:t>
                        </w:r>
                      </w:p>
                    </w:tc>
                    <w:tc>
                      <w:tcPr>
                        <w:tcW w:w="2730" w:type="dxa"/>
                        <w:gridSpan w:val="4"/>
                      </w:tcPr>
                      <w:p>
                        <w:pPr>
                          <w:pStyle w:val="TableParagraph"/>
                          <w:spacing w:line="204" w:lineRule="exact"/>
                          <w:ind w:left="914" w:right="914"/>
                          <w:jc w:val="center"/>
                          <w:rPr>
                            <w:b/>
                            <w:sz w:val="18"/>
                          </w:rPr>
                        </w:pPr>
                        <w:r>
                          <w:rPr>
                            <w:b/>
                            <w:sz w:val="18"/>
                          </w:rPr>
                          <w:t>Good grip.</w:t>
                        </w:r>
                      </w:p>
                      <w:p>
                        <w:pPr>
                          <w:pStyle w:val="TableParagraph"/>
                          <w:ind w:left="93"/>
                          <w:rPr>
                            <w:sz w:val="18"/>
                          </w:rPr>
                        </w:pPr>
                        <w:r>
                          <w:rPr>
                            <w:sz w:val="18"/>
                          </w:rPr>
                          <w:t>The grip is good and grip strength midrange</w:t>
                        </w:r>
                      </w:p>
                    </w:tc>
                  </w:tr>
                  <w:tr>
                    <w:trPr>
                      <w:trHeight w:val="858" w:hRule="exact"/>
                    </w:trPr>
                    <w:tc>
                      <w:tcPr>
                        <w:tcW w:w="2045" w:type="dxa"/>
                      </w:tcPr>
                      <w:p>
                        <w:pPr>
                          <w:pStyle w:val="TableParagraph"/>
                          <w:spacing w:line="202" w:lineRule="exact"/>
                          <w:ind w:left="762" w:right="761"/>
                          <w:jc w:val="center"/>
                          <w:rPr>
                            <w:sz w:val="18"/>
                          </w:rPr>
                        </w:pPr>
                        <w:r>
                          <w:rPr>
                            <w:sz w:val="18"/>
                          </w:rPr>
                          <w:t>+1</w:t>
                        </w:r>
                      </w:p>
                    </w:tc>
                    <w:tc>
                      <w:tcPr>
                        <w:tcW w:w="2730" w:type="dxa"/>
                        <w:gridSpan w:val="4"/>
                      </w:tcPr>
                      <w:p>
                        <w:pPr>
                          <w:pStyle w:val="TableParagraph"/>
                          <w:spacing w:line="204" w:lineRule="exact"/>
                          <w:ind w:left="835"/>
                          <w:rPr>
                            <w:b/>
                            <w:sz w:val="18"/>
                          </w:rPr>
                        </w:pPr>
                        <w:r>
                          <w:rPr>
                            <w:b/>
                            <w:sz w:val="18"/>
                          </w:rPr>
                          <w:t>Regular grip.</w:t>
                        </w:r>
                      </w:p>
                      <w:p>
                        <w:pPr>
                          <w:pStyle w:val="TableParagraph"/>
                          <w:ind w:left="93" w:right="89"/>
                          <w:jc w:val="both"/>
                          <w:rPr>
                            <w:sz w:val="18"/>
                          </w:rPr>
                        </w:pPr>
                        <w:r>
                          <w:rPr>
                            <w:sz w:val="18"/>
                          </w:rPr>
                          <w:t>The hand grip is acceptable  but not ideal or grip is acceptable using other body</w:t>
                        </w:r>
                        <w:r>
                          <w:rPr>
                            <w:spacing w:val="-3"/>
                            <w:sz w:val="18"/>
                          </w:rPr>
                          <w:t> </w:t>
                        </w:r>
                        <w:r>
                          <w:rPr>
                            <w:sz w:val="18"/>
                          </w:rPr>
                          <w:t>parts</w:t>
                        </w:r>
                      </w:p>
                    </w:tc>
                  </w:tr>
                  <w:tr>
                    <w:trPr>
                      <w:trHeight w:val="652" w:hRule="exact"/>
                    </w:trPr>
                    <w:tc>
                      <w:tcPr>
                        <w:tcW w:w="2045" w:type="dxa"/>
                      </w:tcPr>
                      <w:p>
                        <w:pPr>
                          <w:pStyle w:val="TableParagraph"/>
                          <w:spacing w:line="202" w:lineRule="exact"/>
                          <w:ind w:left="762" w:right="761"/>
                          <w:jc w:val="center"/>
                          <w:rPr>
                            <w:sz w:val="18"/>
                          </w:rPr>
                        </w:pPr>
                        <w:r>
                          <w:rPr>
                            <w:sz w:val="18"/>
                          </w:rPr>
                          <w:t>+2</w:t>
                        </w:r>
                      </w:p>
                    </w:tc>
                    <w:tc>
                      <w:tcPr>
                        <w:tcW w:w="914" w:type="dxa"/>
                        <w:tcBorders>
                          <w:right w:val="nil"/>
                        </w:tcBorders>
                      </w:tcPr>
                      <w:p>
                        <w:pPr>
                          <w:pStyle w:val="TableParagraph"/>
                          <w:spacing w:before="7"/>
                          <w:rPr>
                            <w:b/>
                            <w:sz w:val="17"/>
                          </w:rPr>
                        </w:pPr>
                      </w:p>
                      <w:p>
                        <w:pPr>
                          <w:pStyle w:val="TableParagraph"/>
                          <w:ind w:left="93" w:right="-19"/>
                          <w:rPr>
                            <w:sz w:val="18"/>
                          </w:rPr>
                        </w:pPr>
                        <w:r>
                          <w:rPr>
                            <w:sz w:val="18"/>
                          </w:rPr>
                          <w:t>The grip acceptable.</w:t>
                        </w:r>
                      </w:p>
                    </w:tc>
                    <w:tc>
                      <w:tcPr>
                        <w:tcW w:w="1018" w:type="dxa"/>
                        <w:tcBorders>
                          <w:left w:val="nil"/>
                          <w:right w:val="nil"/>
                        </w:tcBorders>
                      </w:tcPr>
                      <w:p>
                        <w:pPr>
                          <w:pStyle w:val="TableParagraph"/>
                          <w:spacing w:line="204" w:lineRule="exact"/>
                          <w:rPr>
                            <w:b/>
                            <w:sz w:val="18"/>
                          </w:rPr>
                        </w:pPr>
                        <w:r>
                          <w:rPr>
                            <w:b/>
                            <w:sz w:val="18"/>
                          </w:rPr>
                          <w:t>Grab Malo.</w:t>
                        </w:r>
                      </w:p>
                      <w:p>
                        <w:pPr>
                          <w:pStyle w:val="TableParagraph"/>
                          <w:spacing w:line="205" w:lineRule="exact"/>
                          <w:ind w:left="74"/>
                          <w:rPr>
                            <w:sz w:val="18"/>
                          </w:rPr>
                        </w:pPr>
                        <w:r>
                          <w:rPr>
                            <w:sz w:val="18"/>
                          </w:rPr>
                          <w:t>is   possible</w:t>
                        </w:r>
                      </w:p>
                    </w:tc>
                    <w:tc>
                      <w:tcPr>
                        <w:tcW w:w="385" w:type="dxa"/>
                        <w:tcBorders>
                          <w:left w:val="nil"/>
                          <w:right w:val="nil"/>
                        </w:tcBorders>
                      </w:tcPr>
                      <w:p>
                        <w:pPr>
                          <w:pStyle w:val="TableParagraph"/>
                          <w:spacing w:before="7"/>
                          <w:rPr>
                            <w:b/>
                            <w:sz w:val="17"/>
                          </w:rPr>
                        </w:pPr>
                      </w:p>
                      <w:p>
                        <w:pPr>
                          <w:pStyle w:val="TableParagraph"/>
                          <w:ind w:left="77"/>
                          <w:rPr>
                            <w:sz w:val="18"/>
                          </w:rPr>
                        </w:pPr>
                        <w:r>
                          <w:rPr>
                            <w:sz w:val="18"/>
                          </w:rPr>
                          <w:t>but</w:t>
                        </w:r>
                      </w:p>
                    </w:tc>
                    <w:tc>
                      <w:tcPr>
                        <w:tcW w:w="413" w:type="dxa"/>
                        <w:tcBorders>
                          <w:left w:val="nil"/>
                        </w:tcBorders>
                      </w:tcPr>
                      <w:p>
                        <w:pPr>
                          <w:pStyle w:val="TableParagraph"/>
                          <w:spacing w:before="7"/>
                          <w:rPr>
                            <w:b/>
                            <w:sz w:val="17"/>
                          </w:rPr>
                        </w:pPr>
                      </w:p>
                      <w:p>
                        <w:pPr>
                          <w:pStyle w:val="TableParagraph"/>
                          <w:ind w:left="77"/>
                          <w:rPr>
                            <w:sz w:val="18"/>
                          </w:rPr>
                        </w:pPr>
                        <w:r>
                          <w:rPr>
                            <w:sz w:val="18"/>
                          </w:rPr>
                          <w:t>not</w:t>
                        </w:r>
                      </w:p>
                    </w:tc>
                  </w:tr>
                  <w:tr>
                    <w:trPr>
                      <w:trHeight w:val="1064" w:hRule="exact"/>
                    </w:trPr>
                    <w:tc>
                      <w:tcPr>
                        <w:tcW w:w="2045" w:type="dxa"/>
                      </w:tcPr>
                      <w:p>
                        <w:pPr>
                          <w:pStyle w:val="TableParagraph"/>
                          <w:spacing w:line="202" w:lineRule="exact"/>
                          <w:ind w:left="762" w:right="761"/>
                          <w:jc w:val="center"/>
                          <w:rPr>
                            <w:sz w:val="18"/>
                          </w:rPr>
                        </w:pPr>
                        <w:r>
                          <w:rPr>
                            <w:sz w:val="18"/>
                          </w:rPr>
                          <w:t>+3</w:t>
                        </w:r>
                      </w:p>
                    </w:tc>
                    <w:tc>
                      <w:tcPr>
                        <w:tcW w:w="2730" w:type="dxa"/>
                        <w:gridSpan w:val="4"/>
                      </w:tcPr>
                      <w:p>
                        <w:pPr>
                          <w:pStyle w:val="TableParagraph"/>
                          <w:spacing w:line="204" w:lineRule="exact"/>
                          <w:ind w:left="625"/>
                          <w:rPr>
                            <w:b/>
                            <w:sz w:val="18"/>
                          </w:rPr>
                        </w:pPr>
                        <w:r>
                          <w:rPr>
                            <w:b/>
                            <w:sz w:val="18"/>
                          </w:rPr>
                          <w:t>Unacceptable grip.</w:t>
                        </w:r>
                      </w:p>
                      <w:p>
                        <w:pPr>
                          <w:pStyle w:val="TableParagraph"/>
                          <w:ind w:left="93" w:right="89"/>
                          <w:jc w:val="both"/>
                          <w:rPr>
                            <w:sz w:val="18"/>
                          </w:rPr>
                        </w:pPr>
                        <w:r>
                          <w:rPr>
                            <w:sz w:val="18"/>
                          </w:rPr>
                          <w:t>The grip is awkward and insecure, it is not possible hand grip or grip is unacceptable using other body parts.</w:t>
                        </w:r>
                      </w:p>
                    </w:tc>
                  </w:tr>
                </w:tbl>
                <w:p>
                  <w:pPr>
                    <w:pStyle w:val="BodyText"/>
                  </w:pPr>
                </w:p>
              </w:txbxContent>
            </v:textbox>
            <w10:wrap type="none"/>
          </v:shape>
        </w:pict>
      </w:r>
      <w:r>
        <w:rPr>
          <w:sz w:val="18"/>
        </w:rPr>
        <w:t>Table 15. Rating gripping type.</w:t>
      </w:r>
    </w:p>
    <w:p>
      <w:pPr>
        <w:pStyle w:val="BodyText"/>
        <w:spacing w:before="1"/>
        <w:rPr>
          <w:sz w:val="25"/>
        </w:rPr>
      </w:pPr>
      <w:r>
        <w:rPr/>
        <w:br w:type="column"/>
      </w:r>
      <w:r>
        <w:rPr>
          <w:sz w:val="25"/>
        </w:rPr>
      </w:r>
    </w:p>
    <w:p>
      <w:pPr>
        <w:spacing w:before="0"/>
        <w:ind w:left="0" w:right="46" w:firstLine="0"/>
        <w:jc w:val="center"/>
        <w:rPr>
          <w:sz w:val="18"/>
        </w:rPr>
      </w:pPr>
      <w:r>
        <w:rPr>
          <w:sz w:val="18"/>
        </w:rPr>
        <w:t>Table 17. Results the risk</w:t>
      </w:r>
    </w:p>
    <w:p>
      <w:pPr>
        <w:pStyle w:val="BodyText"/>
        <w:ind w:left="270"/>
      </w:pPr>
      <w:r>
        <w:rPr/>
        <w:drawing>
          <wp:inline distT="0" distB="0" distL="0" distR="0">
            <wp:extent cx="3219931" cy="1380839"/>
            <wp:effectExtent l="0" t="0" r="0" b="0"/>
            <wp:docPr id="175" name="image103.jpeg" descr=""/>
            <wp:cNvGraphicFramePr>
              <a:graphicFrameLocks noChangeAspect="1"/>
            </wp:cNvGraphicFramePr>
            <a:graphic>
              <a:graphicData uri="http://schemas.openxmlformats.org/drawingml/2006/picture">
                <pic:pic>
                  <pic:nvPicPr>
                    <pic:cNvPr id="176" name="image103.jpeg"/>
                    <pic:cNvPicPr/>
                  </pic:nvPicPr>
                  <pic:blipFill>
                    <a:blip r:embed="rId182" cstate="print"/>
                    <a:stretch>
                      <a:fillRect/>
                    </a:stretch>
                  </pic:blipFill>
                  <pic:spPr>
                    <a:xfrm>
                      <a:off x="0" y="0"/>
                      <a:ext cx="3219931" cy="1380839"/>
                    </a:xfrm>
                    <a:prstGeom prst="rect">
                      <a:avLst/>
                    </a:prstGeom>
                  </pic:spPr>
                </pic:pic>
              </a:graphicData>
            </a:graphic>
          </wp:inline>
        </w:drawing>
      </w:r>
      <w:r>
        <w:rPr/>
      </w:r>
    </w:p>
    <w:p>
      <w:pPr>
        <w:pStyle w:val="BodyText"/>
        <w:spacing w:before="5"/>
        <w:rPr>
          <w:sz w:val="18"/>
        </w:rPr>
      </w:pPr>
    </w:p>
    <w:p>
      <w:pPr>
        <w:spacing w:before="0"/>
        <w:ind w:left="270" w:right="668" w:firstLine="0"/>
        <w:jc w:val="left"/>
        <w:rPr>
          <w:sz w:val="18"/>
        </w:rPr>
      </w:pPr>
      <w:r>
        <w:rPr>
          <w:sz w:val="18"/>
        </w:rPr>
        <w:t>The following diagram summarizes the application of the method.</w:t>
      </w:r>
    </w:p>
    <w:p>
      <w:pPr>
        <w:spacing w:after="0"/>
        <w:jc w:val="left"/>
        <w:rPr>
          <w:sz w:val="18"/>
        </w:rPr>
        <w:sectPr>
          <w:type w:val="continuous"/>
          <w:pgSz w:w="12240" w:h="15840"/>
          <w:pgMar w:top="1500" w:bottom="280" w:left="580" w:right="220"/>
          <w:cols w:num="2" w:equalWidth="0">
            <w:col w:w="5162" w:space="436"/>
            <w:col w:w="5842"/>
          </w:cols>
        </w:sectPr>
      </w:pPr>
    </w:p>
    <w:p>
      <w:pPr>
        <w:pStyle w:val="BodyText"/>
      </w:pPr>
    </w:p>
    <w:p>
      <w:pPr>
        <w:pStyle w:val="BodyText"/>
      </w:pPr>
    </w:p>
    <w:p>
      <w:pPr>
        <w:pStyle w:val="BodyText"/>
        <w:spacing w:before="3"/>
        <w:rPr>
          <w:sz w:val="21"/>
        </w:rPr>
      </w:pPr>
    </w:p>
    <w:tbl>
      <w:tblPr>
        <w:tblW w:w="0" w:type="auto"/>
        <w:jc w:val="left"/>
        <w:tblInd w:w="781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671"/>
        <w:gridCol w:w="2260"/>
      </w:tblGrid>
      <w:tr>
        <w:trPr>
          <w:trHeight w:val="256" w:hRule="exact"/>
        </w:trPr>
        <w:tc>
          <w:tcPr>
            <w:tcW w:w="671" w:type="dxa"/>
            <w:vMerge w:val="restart"/>
            <w:tcBorders>
              <w:left w:val="nil"/>
            </w:tcBorders>
            <w:shd w:val="clear" w:color="auto" w:fill="E4E4E4"/>
          </w:tcPr>
          <w:p>
            <w:pPr>
              <w:pStyle w:val="TableParagraph"/>
              <w:spacing w:before="7"/>
              <w:rPr>
                <w:sz w:val="23"/>
              </w:rPr>
            </w:pPr>
          </w:p>
          <w:p>
            <w:pPr>
              <w:pStyle w:val="TableParagraph"/>
              <w:ind w:left="162" w:right="76" w:hanging="84"/>
              <w:rPr>
                <w:rFonts w:ascii="Verdana"/>
                <w:b/>
                <w:sz w:val="18"/>
              </w:rPr>
            </w:pPr>
            <w:r>
              <w:rPr>
                <w:rFonts w:ascii="Verdana"/>
                <w:b/>
                <w:color w:val="00007E"/>
                <w:sz w:val="18"/>
              </w:rPr>
              <w:t>Grup o B</w:t>
            </w:r>
          </w:p>
        </w:tc>
        <w:tc>
          <w:tcPr>
            <w:tcW w:w="2260" w:type="dxa"/>
            <w:tcBorders>
              <w:right w:val="nil"/>
            </w:tcBorders>
            <w:shd w:val="clear" w:color="auto" w:fill="E4E4E4"/>
          </w:tcPr>
          <w:p>
            <w:pPr>
              <w:pStyle w:val="TableParagraph"/>
              <w:spacing w:before="8"/>
              <w:ind w:left="8" w:right="112"/>
              <w:rPr>
                <w:rFonts w:ascii="Verdana" w:hAnsi="Verdana"/>
                <w:b/>
                <w:sz w:val="18"/>
              </w:rPr>
            </w:pPr>
            <w:r>
              <w:rPr>
                <w:rFonts w:ascii="Verdana" w:hAnsi="Verdana"/>
                <w:b/>
                <w:color w:val="00007E"/>
                <w:sz w:val="18"/>
              </w:rPr>
              <w:t>Puntuación Brazo</w:t>
            </w:r>
          </w:p>
        </w:tc>
      </w:tr>
      <w:tr>
        <w:trPr>
          <w:trHeight w:val="482" w:hRule="exact"/>
        </w:trPr>
        <w:tc>
          <w:tcPr>
            <w:tcW w:w="671" w:type="dxa"/>
            <w:vMerge/>
            <w:tcBorders>
              <w:left w:val="nil"/>
            </w:tcBorders>
            <w:shd w:val="clear" w:color="auto" w:fill="E4E4E4"/>
          </w:tcPr>
          <w:p>
            <w:pPr/>
          </w:p>
        </w:tc>
        <w:tc>
          <w:tcPr>
            <w:tcW w:w="2260" w:type="dxa"/>
            <w:tcBorders>
              <w:right w:val="nil"/>
            </w:tcBorders>
            <w:shd w:val="clear" w:color="auto" w:fill="E4E4E4"/>
          </w:tcPr>
          <w:p>
            <w:pPr>
              <w:pStyle w:val="TableParagraph"/>
              <w:spacing w:before="16"/>
              <w:ind w:left="8" w:right="112"/>
              <w:rPr>
                <w:rFonts w:ascii="Verdana" w:hAnsi="Verdana"/>
                <w:b/>
                <w:sz w:val="18"/>
              </w:rPr>
            </w:pPr>
            <w:r>
              <w:rPr>
                <w:rFonts w:ascii="Verdana" w:hAnsi="Verdana"/>
                <w:b/>
                <w:color w:val="00007E"/>
                <w:sz w:val="18"/>
              </w:rPr>
              <w:t>Puntuación Antebraz</w:t>
            </w:r>
            <w:r>
              <w:rPr>
                <w:rFonts w:ascii="Verdana" w:hAnsi="Verdana"/>
                <w:b/>
                <w:color w:val="00007E"/>
                <w:w w:val="99"/>
                <w:sz w:val="18"/>
              </w:rPr>
              <w:t> </w:t>
            </w:r>
            <w:r>
              <w:rPr>
                <w:rFonts w:ascii="Verdana" w:hAnsi="Verdana"/>
                <w:b/>
                <w:color w:val="00007E"/>
                <w:sz w:val="18"/>
              </w:rPr>
              <w:t>o</w:t>
            </w:r>
          </w:p>
        </w:tc>
      </w:tr>
      <w:tr>
        <w:trPr>
          <w:trHeight w:val="256" w:hRule="exact"/>
        </w:trPr>
        <w:tc>
          <w:tcPr>
            <w:tcW w:w="671" w:type="dxa"/>
            <w:vMerge/>
            <w:tcBorders>
              <w:left w:val="nil"/>
            </w:tcBorders>
            <w:shd w:val="clear" w:color="auto" w:fill="E4E4E4"/>
          </w:tcPr>
          <w:p>
            <w:pPr/>
          </w:p>
        </w:tc>
        <w:tc>
          <w:tcPr>
            <w:tcW w:w="2260" w:type="dxa"/>
            <w:tcBorders>
              <w:right w:val="nil"/>
            </w:tcBorders>
            <w:shd w:val="clear" w:color="auto" w:fill="E4E4E4"/>
          </w:tcPr>
          <w:p>
            <w:pPr>
              <w:pStyle w:val="TableParagraph"/>
              <w:spacing w:before="16"/>
              <w:ind w:left="8" w:right="112"/>
              <w:rPr>
                <w:rFonts w:ascii="Verdana" w:hAnsi="Verdana"/>
                <w:b/>
                <w:sz w:val="18"/>
              </w:rPr>
            </w:pPr>
            <w:r>
              <w:rPr>
                <w:rFonts w:ascii="Verdana" w:hAnsi="Verdana"/>
                <w:b/>
                <w:color w:val="00007E"/>
                <w:sz w:val="18"/>
              </w:rPr>
              <w:t>Puntuación Muñeca</w:t>
            </w:r>
          </w:p>
        </w:tc>
      </w:tr>
    </w:tbl>
    <w:p>
      <w:pPr>
        <w:pStyle w:val="BodyText"/>
        <w:spacing w:before="8"/>
        <w:rPr>
          <w:sz w:val="22"/>
        </w:rPr>
      </w:pPr>
      <w:r>
        <w:rPr/>
        <w:drawing>
          <wp:anchor distT="0" distB="0" distL="0" distR="0" allowOverlap="1" layoutInCell="1" locked="0" behindDoc="0" simplePos="0" relativeHeight="5344">
            <wp:simplePos x="0" y="0"/>
            <wp:positionH relativeFrom="page">
              <wp:posOffset>4545329</wp:posOffset>
            </wp:positionH>
            <wp:positionV relativeFrom="paragraph">
              <wp:posOffset>190880</wp:posOffset>
            </wp:positionV>
            <wp:extent cx="270077" cy="238125"/>
            <wp:effectExtent l="0" t="0" r="0" b="0"/>
            <wp:wrapTopAndBottom/>
            <wp:docPr id="177" name="image104.png" descr=""/>
            <wp:cNvGraphicFramePr>
              <a:graphicFrameLocks noChangeAspect="1"/>
            </wp:cNvGraphicFramePr>
            <a:graphic>
              <a:graphicData uri="http://schemas.openxmlformats.org/drawingml/2006/picture">
                <pic:pic>
                  <pic:nvPicPr>
                    <pic:cNvPr id="178" name="image104.png"/>
                    <pic:cNvPicPr/>
                  </pic:nvPicPr>
                  <pic:blipFill>
                    <a:blip r:embed="rId183" cstate="print"/>
                    <a:stretch>
                      <a:fillRect/>
                    </a:stretch>
                  </pic:blipFill>
                  <pic:spPr>
                    <a:xfrm>
                      <a:off x="0" y="0"/>
                      <a:ext cx="270077" cy="238125"/>
                    </a:xfrm>
                    <a:prstGeom prst="rect">
                      <a:avLst/>
                    </a:prstGeom>
                  </pic:spPr>
                </pic:pic>
              </a:graphicData>
            </a:graphic>
          </wp:anchor>
        </w:drawing>
      </w:r>
      <w:r>
        <w:rPr/>
        <w:drawing>
          <wp:anchor distT="0" distB="0" distL="0" distR="0" allowOverlap="1" layoutInCell="1" locked="0" behindDoc="0" simplePos="0" relativeHeight="5368">
            <wp:simplePos x="0" y="0"/>
            <wp:positionH relativeFrom="page">
              <wp:posOffset>6121908</wp:posOffset>
            </wp:positionH>
            <wp:positionV relativeFrom="paragraph">
              <wp:posOffset>190880</wp:posOffset>
            </wp:positionV>
            <wp:extent cx="270077" cy="238125"/>
            <wp:effectExtent l="0" t="0" r="0" b="0"/>
            <wp:wrapTopAndBottom/>
            <wp:docPr id="179" name="image104.png" descr=""/>
            <wp:cNvGraphicFramePr>
              <a:graphicFrameLocks noChangeAspect="1"/>
            </wp:cNvGraphicFramePr>
            <a:graphic>
              <a:graphicData uri="http://schemas.openxmlformats.org/drawingml/2006/picture">
                <pic:pic>
                  <pic:nvPicPr>
                    <pic:cNvPr id="180" name="image104.png"/>
                    <pic:cNvPicPr/>
                  </pic:nvPicPr>
                  <pic:blipFill>
                    <a:blip r:embed="rId183" cstate="print"/>
                    <a:stretch>
                      <a:fillRect/>
                    </a:stretch>
                  </pic:blipFill>
                  <pic:spPr>
                    <a:xfrm>
                      <a:off x="0" y="0"/>
                      <a:ext cx="270077" cy="238125"/>
                    </a:xfrm>
                    <a:prstGeom prst="rect">
                      <a:avLst/>
                    </a:prstGeom>
                  </pic:spPr>
                </pic:pic>
              </a:graphicData>
            </a:graphic>
          </wp:anchor>
        </w:drawing>
      </w:r>
    </w:p>
    <w:p>
      <w:pPr>
        <w:pStyle w:val="BodyText"/>
        <w:spacing w:before="4"/>
        <w:rPr>
          <w:sz w:val="16"/>
        </w:rPr>
      </w:pPr>
    </w:p>
    <w:p>
      <w:pPr>
        <w:spacing w:before="77"/>
        <w:ind w:left="270" w:right="6276" w:firstLine="0"/>
        <w:jc w:val="left"/>
        <w:rPr>
          <w:b/>
          <w:sz w:val="18"/>
        </w:rPr>
      </w:pPr>
      <w:r>
        <w:rPr/>
        <w:pict>
          <v:shape style="position:absolute;margin-left:318.720001pt;margin-top:-110.177368pt;width:252.25pt;height:400.15pt;mso-position-horizontal-relative:page;mso-position-vertical-relative:paragraph;z-index:5704" type="#_x0000_t202" filled="false" stroked="false">
            <v:textbox inset="0,0,0,0">
              <w:txbxContent>
                <w:tbl>
                  <w:tblPr>
                    <w:tblW w:w="0" w:type="auto"/>
                    <w:jc w:val="left"/>
                    <w:tblBorders>
                      <w:top w:val="single" w:sz="17" w:space="0" w:color="F4F4F4"/>
                      <w:left w:val="single" w:sz="17" w:space="0" w:color="F4F4F4"/>
                      <w:bottom w:val="single" w:sz="17" w:space="0" w:color="F4F4F4"/>
                      <w:right w:val="single" w:sz="17" w:space="0" w:color="F4F4F4"/>
                      <w:insideH w:val="single" w:sz="17" w:space="0" w:color="F4F4F4"/>
                      <w:insideV w:val="single" w:sz="17" w:space="0" w:color="F4F4F4"/>
                    </w:tblBorders>
                    <w:tblLayout w:type="fixed"/>
                    <w:tblCellMar>
                      <w:top w:w="0" w:type="dxa"/>
                      <w:left w:w="0" w:type="dxa"/>
                      <w:bottom w:w="0" w:type="dxa"/>
                      <w:right w:w="0" w:type="dxa"/>
                    </w:tblCellMar>
                    <w:tblLook w:val="01E0"/>
                  </w:tblPr>
                  <w:tblGrid>
                    <w:gridCol w:w="328"/>
                    <w:gridCol w:w="101"/>
                    <w:gridCol w:w="285"/>
                    <w:gridCol w:w="761"/>
                    <w:gridCol w:w="392"/>
                    <w:gridCol w:w="94"/>
                    <w:gridCol w:w="650"/>
                    <w:gridCol w:w="499"/>
                    <w:gridCol w:w="379"/>
                    <w:gridCol w:w="830"/>
                    <w:gridCol w:w="656"/>
                  </w:tblGrid>
                  <w:tr>
                    <w:trPr>
                      <w:trHeight w:val="528" w:hRule="exact"/>
                    </w:trPr>
                    <w:tc>
                      <w:tcPr>
                        <w:tcW w:w="714" w:type="dxa"/>
                        <w:gridSpan w:val="3"/>
                        <w:vMerge w:val="restart"/>
                        <w:tcBorders>
                          <w:top w:val="thickThinMediumGap" w:sz="15" w:space="0" w:color="F4F4F4"/>
                          <w:left w:val="thickThinMediumGap" w:sz="15" w:space="0" w:color="F4F4F4"/>
                          <w:right w:val="single" w:sz="6" w:space="0" w:color="000000"/>
                        </w:tcBorders>
                        <w:shd w:val="clear" w:color="auto" w:fill="E4E4E4"/>
                      </w:tcPr>
                      <w:p>
                        <w:pPr>
                          <w:pStyle w:val="TableParagraph"/>
                          <w:rPr>
                            <w:b/>
                            <w:sz w:val="18"/>
                          </w:rPr>
                        </w:pPr>
                      </w:p>
                      <w:p>
                        <w:pPr>
                          <w:pStyle w:val="TableParagraph"/>
                          <w:spacing w:before="8"/>
                          <w:rPr>
                            <w:b/>
                            <w:sz w:val="26"/>
                          </w:rPr>
                        </w:pPr>
                      </w:p>
                      <w:p>
                        <w:pPr>
                          <w:pStyle w:val="TableParagraph"/>
                          <w:ind w:left="164" w:right="79" w:hanging="83"/>
                          <w:rPr>
                            <w:rFonts w:ascii="Verdana"/>
                            <w:b/>
                            <w:sz w:val="18"/>
                          </w:rPr>
                        </w:pPr>
                        <w:r>
                          <w:rPr>
                            <w:rFonts w:ascii="Verdana"/>
                            <w:b/>
                            <w:color w:val="00007E"/>
                            <w:sz w:val="18"/>
                          </w:rPr>
                          <w:t>Grup o A</w:t>
                        </w:r>
                      </w:p>
                    </w:tc>
                    <w:tc>
                      <w:tcPr>
                        <w:tcW w:w="1248" w:type="dxa"/>
                        <w:gridSpan w:val="3"/>
                        <w:tcBorders>
                          <w:top w:val="thickThinMediumGap" w:sz="15" w:space="0" w:color="F4F4F4"/>
                          <w:left w:val="single" w:sz="6" w:space="0" w:color="000000"/>
                          <w:bottom w:val="single" w:sz="6" w:space="0" w:color="000000"/>
                          <w:right w:val="single" w:sz="9" w:space="0" w:color="F4F4F4"/>
                        </w:tcBorders>
                        <w:shd w:val="clear" w:color="auto" w:fill="E4E4E4"/>
                      </w:tcPr>
                      <w:p>
                        <w:pPr>
                          <w:pStyle w:val="TableParagraph"/>
                          <w:spacing w:before="31"/>
                          <w:ind w:left="8" w:right="191"/>
                          <w:rPr>
                            <w:rFonts w:ascii="Verdana" w:hAnsi="Verdana"/>
                            <w:b/>
                            <w:sz w:val="18"/>
                          </w:rPr>
                        </w:pPr>
                        <w:r>
                          <w:rPr>
                            <w:rFonts w:ascii="Verdana" w:hAnsi="Verdana"/>
                            <w:b/>
                            <w:color w:val="00007E"/>
                            <w:sz w:val="18"/>
                          </w:rPr>
                          <w:t>Puntuació n Tronco</w:t>
                        </w:r>
                      </w:p>
                    </w:tc>
                    <w:tc>
                      <w:tcPr>
                        <w:tcW w:w="3014" w:type="dxa"/>
                        <w:gridSpan w:val="5"/>
                        <w:vMerge w:val="restart"/>
                        <w:tcBorders>
                          <w:left w:val="single" w:sz="9" w:space="0" w:color="F4F4F4"/>
                        </w:tcBorders>
                        <w:shd w:val="clear" w:color="auto" w:fill="E4E4E4"/>
                      </w:tcPr>
                      <w:p>
                        <w:pPr/>
                      </w:p>
                    </w:tc>
                  </w:tr>
                  <w:tr>
                    <w:trPr>
                      <w:trHeight w:val="482" w:hRule="exact"/>
                    </w:trPr>
                    <w:tc>
                      <w:tcPr>
                        <w:tcW w:w="714" w:type="dxa"/>
                        <w:gridSpan w:val="3"/>
                        <w:vMerge/>
                        <w:tcBorders>
                          <w:left w:val="thickThinMediumGap" w:sz="15" w:space="0" w:color="F4F4F4"/>
                          <w:right w:val="single" w:sz="6" w:space="0" w:color="000000"/>
                        </w:tcBorders>
                        <w:shd w:val="clear" w:color="auto" w:fill="E4E4E4"/>
                      </w:tcPr>
                      <w:p>
                        <w:pPr/>
                      </w:p>
                    </w:tc>
                    <w:tc>
                      <w:tcPr>
                        <w:tcW w:w="1248" w:type="dxa"/>
                        <w:gridSpan w:val="3"/>
                        <w:tcBorders>
                          <w:top w:val="single" w:sz="6" w:space="0" w:color="000000"/>
                          <w:left w:val="single" w:sz="6" w:space="0" w:color="000000"/>
                          <w:bottom w:val="single" w:sz="6" w:space="0" w:color="000000"/>
                          <w:right w:val="single" w:sz="9" w:space="0" w:color="F4F4F4"/>
                        </w:tcBorders>
                        <w:shd w:val="clear" w:color="auto" w:fill="E4E4E4"/>
                      </w:tcPr>
                      <w:p>
                        <w:pPr>
                          <w:pStyle w:val="TableParagraph"/>
                          <w:spacing w:before="16"/>
                          <w:ind w:left="8" w:right="191"/>
                          <w:rPr>
                            <w:rFonts w:ascii="Verdana" w:hAnsi="Verdana"/>
                            <w:b/>
                            <w:sz w:val="18"/>
                          </w:rPr>
                        </w:pPr>
                        <w:r>
                          <w:rPr>
                            <w:rFonts w:ascii="Verdana" w:hAnsi="Verdana"/>
                            <w:b/>
                            <w:color w:val="00007E"/>
                            <w:sz w:val="18"/>
                          </w:rPr>
                          <w:t>Puntuació n Cuello</w:t>
                        </w:r>
                      </w:p>
                    </w:tc>
                    <w:tc>
                      <w:tcPr>
                        <w:tcW w:w="3014" w:type="dxa"/>
                        <w:gridSpan w:val="5"/>
                        <w:vMerge/>
                        <w:tcBorders>
                          <w:left w:val="single" w:sz="9" w:space="0" w:color="F4F4F4"/>
                        </w:tcBorders>
                        <w:shd w:val="clear" w:color="auto" w:fill="E4E4E4"/>
                      </w:tcPr>
                      <w:p>
                        <w:pPr/>
                      </w:p>
                    </w:tc>
                  </w:tr>
                  <w:tr>
                    <w:trPr>
                      <w:trHeight w:val="527" w:hRule="exact"/>
                    </w:trPr>
                    <w:tc>
                      <w:tcPr>
                        <w:tcW w:w="714" w:type="dxa"/>
                        <w:gridSpan w:val="3"/>
                        <w:vMerge/>
                        <w:tcBorders>
                          <w:left w:val="thickThinMediumGap" w:sz="15" w:space="0" w:color="F4F4F4"/>
                          <w:bottom w:val="single" w:sz="9" w:space="0" w:color="F4F4F4"/>
                          <w:right w:val="single" w:sz="6" w:space="0" w:color="000000"/>
                        </w:tcBorders>
                        <w:shd w:val="clear" w:color="auto" w:fill="E4E4E4"/>
                      </w:tcPr>
                      <w:p>
                        <w:pPr/>
                      </w:p>
                    </w:tc>
                    <w:tc>
                      <w:tcPr>
                        <w:tcW w:w="1248" w:type="dxa"/>
                        <w:gridSpan w:val="3"/>
                        <w:tcBorders>
                          <w:top w:val="single" w:sz="6" w:space="0" w:color="000000"/>
                          <w:left w:val="single" w:sz="6" w:space="0" w:color="000000"/>
                          <w:bottom w:val="single" w:sz="9" w:space="0" w:color="F4F4F4"/>
                          <w:right w:val="single" w:sz="9" w:space="0" w:color="F4F4F4"/>
                        </w:tcBorders>
                        <w:shd w:val="clear" w:color="auto" w:fill="E4E4E4"/>
                      </w:tcPr>
                      <w:p>
                        <w:pPr>
                          <w:pStyle w:val="TableParagraph"/>
                          <w:spacing w:before="16"/>
                          <w:ind w:left="8" w:right="191"/>
                          <w:rPr>
                            <w:rFonts w:ascii="Verdana" w:hAnsi="Verdana"/>
                            <w:b/>
                            <w:sz w:val="18"/>
                          </w:rPr>
                        </w:pPr>
                        <w:r>
                          <w:rPr>
                            <w:rFonts w:ascii="Verdana" w:hAnsi="Verdana"/>
                            <w:b/>
                            <w:color w:val="00007E"/>
                            <w:sz w:val="18"/>
                          </w:rPr>
                          <w:t>Puntuació n Piernas</w:t>
                        </w:r>
                      </w:p>
                    </w:tc>
                    <w:tc>
                      <w:tcPr>
                        <w:tcW w:w="3014" w:type="dxa"/>
                        <w:gridSpan w:val="5"/>
                        <w:vMerge/>
                        <w:tcBorders>
                          <w:left w:val="single" w:sz="9" w:space="0" w:color="F4F4F4"/>
                        </w:tcBorders>
                        <w:shd w:val="clear" w:color="auto" w:fill="E4E4E4"/>
                      </w:tcPr>
                      <w:p>
                        <w:pPr/>
                      </w:p>
                    </w:tc>
                  </w:tr>
                  <w:tr>
                    <w:trPr>
                      <w:trHeight w:val="450" w:hRule="exact"/>
                    </w:trPr>
                    <w:tc>
                      <w:tcPr>
                        <w:tcW w:w="1962" w:type="dxa"/>
                        <w:gridSpan w:val="6"/>
                        <w:tcBorders>
                          <w:top w:val="single" w:sz="9" w:space="0" w:color="F4F4F4"/>
                        </w:tcBorders>
                      </w:tcPr>
                      <w:p>
                        <w:pPr>
                          <w:pStyle w:val="TableParagraph"/>
                          <w:rPr>
                            <w:b/>
                            <w:sz w:val="20"/>
                          </w:rPr>
                        </w:pPr>
                      </w:p>
                      <w:p>
                        <w:pPr>
                          <w:pStyle w:val="TableParagraph"/>
                          <w:spacing w:before="3"/>
                          <w:rPr>
                            <w:b/>
                            <w:sz w:val="16"/>
                          </w:rPr>
                        </w:pPr>
                      </w:p>
                    </w:tc>
                    <w:tc>
                      <w:tcPr>
                        <w:tcW w:w="3014" w:type="dxa"/>
                        <w:gridSpan w:val="5"/>
                      </w:tcPr>
                      <w:p>
                        <w:pPr>
                          <w:pStyle w:val="TableParagraph"/>
                          <w:rPr>
                            <w:b/>
                            <w:sz w:val="20"/>
                          </w:rPr>
                        </w:pPr>
                      </w:p>
                    </w:tc>
                  </w:tr>
                  <w:tr>
                    <w:trPr>
                      <w:trHeight w:val="105" w:hRule="exact"/>
                    </w:trPr>
                    <w:tc>
                      <w:tcPr>
                        <w:tcW w:w="429" w:type="dxa"/>
                        <w:gridSpan w:val="2"/>
                        <w:vMerge w:val="restart"/>
                        <w:tcBorders>
                          <w:right w:val="single" w:sz="6" w:space="0" w:color="175977"/>
                        </w:tcBorders>
                      </w:tcPr>
                      <w:p>
                        <w:pPr/>
                      </w:p>
                    </w:tc>
                    <w:tc>
                      <w:tcPr>
                        <w:tcW w:w="1046" w:type="dxa"/>
                        <w:gridSpan w:val="2"/>
                        <w:tcBorders>
                          <w:top w:val="triple" w:sz="9" w:space="0" w:color="F4F4F4"/>
                          <w:left w:val="single" w:sz="6" w:space="0" w:color="175977"/>
                          <w:bottom w:val="nil"/>
                          <w:right w:val="single" w:sz="6" w:space="0" w:color="175977"/>
                        </w:tcBorders>
                        <w:shd w:val="clear" w:color="auto" w:fill="E4E4E4"/>
                      </w:tcPr>
                      <w:p>
                        <w:pPr/>
                      </w:p>
                    </w:tc>
                    <w:tc>
                      <w:tcPr>
                        <w:tcW w:w="486" w:type="dxa"/>
                        <w:gridSpan w:val="2"/>
                        <w:vMerge w:val="restart"/>
                        <w:tcBorders>
                          <w:left w:val="single" w:sz="6" w:space="0" w:color="175977"/>
                        </w:tcBorders>
                      </w:tcPr>
                      <w:p>
                        <w:pPr/>
                      </w:p>
                    </w:tc>
                    <w:tc>
                      <w:tcPr>
                        <w:tcW w:w="650" w:type="dxa"/>
                        <w:vMerge w:val="restart"/>
                        <w:tcBorders>
                          <w:right w:val="single" w:sz="6" w:space="0" w:color="175977"/>
                        </w:tcBorders>
                      </w:tcPr>
                      <w:p>
                        <w:pPr/>
                      </w:p>
                    </w:tc>
                    <w:tc>
                      <w:tcPr>
                        <w:tcW w:w="1708" w:type="dxa"/>
                        <w:gridSpan w:val="3"/>
                        <w:tcBorders>
                          <w:top w:val="triple" w:sz="9" w:space="0" w:color="F4F4F4"/>
                          <w:left w:val="single" w:sz="6" w:space="0" w:color="175977"/>
                          <w:bottom w:val="single" w:sz="6" w:space="0" w:color="E4E4E4"/>
                          <w:right w:val="single" w:sz="6" w:space="0" w:color="175977"/>
                        </w:tcBorders>
                      </w:tcPr>
                      <w:p>
                        <w:pPr/>
                      </w:p>
                    </w:tc>
                    <w:tc>
                      <w:tcPr>
                        <w:tcW w:w="656" w:type="dxa"/>
                        <w:vMerge w:val="restart"/>
                        <w:tcBorders>
                          <w:left w:val="single" w:sz="6" w:space="0" w:color="175977"/>
                        </w:tcBorders>
                      </w:tcPr>
                      <w:p>
                        <w:pPr/>
                      </w:p>
                    </w:tc>
                  </w:tr>
                  <w:tr>
                    <w:trPr>
                      <w:trHeight w:val="428" w:hRule="exact"/>
                    </w:trPr>
                    <w:tc>
                      <w:tcPr>
                        <w:tcW w:w="429" w:type="dxa"/>
                        <w:gridSpan w:val="2"/>
                        <w:vMerge/>
                        <w:tcBorders>
                          <w:right w:val="single" w:sz="6" w:space="0" w:color="175977"/>
                        </w:tcBorders>
                      </w:tcPr>
                      <w:p>
                        <w:pPr/>
                      </w:p>
                    </w:tc>
                    <w:tc>
                      <w:tcPr>
                        <w:tcW w:w="1046" w:type="dxa"/>
                        <w:gridSpan w:val="2"/>
                        <w:tcBorders>
                          <w:top w:val="nil"/>
                          <w:left w:val="single" w:sz="6" w:space="0" w:color="175977"/>
                          <w:bottom w:val="nil"/>
                          <w:right w:val="single" w:sz="6" w:space="0" w:color="175977"/>
                        </w:tcBorders>
                        <w:shd w:val="clear" w:color="auto" w:fill="E4E4E4"/>
                      </w:tcPr>
                      <w:p>
                        <w:pPr>
                          <w:pStyle w:val="TableParagraph"/>
                          <w:spacing w:before="4"/>
                          <w:ind w:left="198" w:right="-1" w:hanging="165"/>
                          <w:rPr>
                            <w:rFonts w:ascii="Arial" w:hAnsi="Arial"/>
                            <w:b/>
                            <w:sz w:val="18"/>
                          </w:rPr>
                        </w:pPr>
                        <w:r>
                          <w:rPr>
                            <w:rFonts w:ascii="Arial" w:hAnsi="Arial"/>
                            <w:b/>
                            <w:color w:val="00007E"/>
                            <w:sz w:val="18"/>
                          </w:rPr>
                          <w:t>Puntuación Tabla A</w:t>
                        </w:r>
                      </w:p>
                    </w:tc>
                    <w:tc>
                      <w:tcPr>
                        <w:tcW w:w="486" w:type="dxa"/>
                        <w:gridSpan w:val="2"/>
                        <w:vMerge/>
                        <w:tcBorders>
                          <w:left w:val="single" w:sz="6" w:space="0" w:color="175977"/>
                        </w:tcBorders>
                      </w:tcPr>
                      <w:p>
                        <w:pPr/>
                      </w:p>
                    </w:tc>
                    <w:tc>
                      <w:tcPr>
                        <w:tcW w:w="650" w:type="dxa"/>
                        <w:vMerge/>
                        <w:tcBorders>
                          <w:right w:val="single" w:sz="6" w:space="0" w:color="175977"/>
                        </w:tcBorders>
                      </w:tcPr>
                      <w:p>
                        <w:pPr/>
                      </w:p>
                    </w:tc>
                    <w:tc>
                      <w:tcPr>
                        <w:tcW w:w="1708" w:type="dxa"/>
                        <w:gridSpan w:val="3"/>
                        <w:tcBorders>
                          <w:top w:val="nil"/>
                          <w:left w:val="single" w:sz="6" w:space="0" w:color="175977"/>
                          <w:bottom w:val="nil"/>
                          <w:right w:val="single" w:sz="6" w:space="0" w:color="175977"/>
                        </w:tcBorders>
                        <w:shd w:val="clear" w:color="auto" w:fill="E4E4E4"/>
                      </w:tcPr>
                      <w:p>
                        <w:pPr>
                          <w:pStyle w:val="TableParagraph"/>
                          <w:spacing w:before="4"/>
                          <w:ind w:left="769" w:right="90" w:hanging="686"/>
                          <w:rPr>
                            <w:rFonts w:ascii="Arial" w:hAnsi="Arial"/>
                            <w:b/>
                            <w:sz w:val="18"/>
                          </w:rPr>
                        </w:pPr>
                        <w:r>
                          <w:rPr>
                            <w:rFonts w:ascii="Arial" w:hAnsi="Arial"/>
                            <w:b/>
                            <w:color w:val="000064"/>
                            <w:sz w:val="18"/>
                          </w:rPr>
                          <w:t>Puntuación Tabla B</w:t>
                        </w:r>
                      </w:p>
                    </w:tc>
                    <w:tc>
                      <w:tcPr>
                        <w:tcW w:w="656" w:type="dxa"/>
                        <w:vMerge/>
                        <w:tcBorders>
                          <w:left w:val="single" w:sz="6" w:space="0" w:color="175977"/>
                        </w:tcBorders>
                      </w:tcPr>
                      <w:p>
                        <w:pPr/>
                      </w:p>
                    </w:tc>
                  </w:tr>
                  <w:tr>
                    <w:trPr>
                      <w:trHeight w:val="105" w:hRule="exact"/>
                    </w:trPr>
                    <w:tc>
                      <w:tcPr>
                        <w:tcW w:w="429" w:type="dxa"/>
                        <w:gridSpan w:val="2"/>
                        <w:vMerge/>
                        <w:tcBorders>
                          <w:right w:val="single" w:sz="6" w:space="0" w:color="175977"/>
                        </w:tcBorders>
                      </w:tcPr>
                      <w:p>
                        <w:pPr/>
                      </w:p>
                    </w:tc>
                    <w:tc>
                      <w:tcPr>
                        <w:tcW w:w="1046" w:type="dxa"/>
                        <w:gridSpan w:val="2"/>
                        <w:tcBorders>
                          <w:top w:val="nil"/>
                          <w:left w:val="single" w:sz="6" w:space="0" w:color="175977"/>
                          <w:bottom w:val="single" w:sz="9" w:space="0" w:color="F4F4F4"/>
                          <w:right w:val="single" w:sz="6" w:space="0" w:color="175977"/>
                        </w:tcBorders>
                        <w:shd w:val="clear" w:color="auto" w:fill="E4E4E4"/>
                      </w:tcPr>
                      <w:p>
                        <w:pPr/>
                      </w:p>
                    </w:tc>
                    <w:tc>
                      <w:tcPr>
                        <w:tcW w:w="486" w:type="dxa"/>
                        <w:gridSpan w:val="2"/>
                        <w:vMerge/>
                        <w:tcBorders>
                          <w:left w:val="single" w:sz="6" w:space="0" w:color="175977"/>
                        </w:tcBorders>
                      </w:tcPr>
                      <w:p>
                        <w:pPr/>
                      </w:p>
                    </w:tc>
                    <w:tc>
                      <w:tcPr>
                        <w:tcW w:w="650" w:type="dxa"/>
                        <w:vMerge/>
                        <w:tcBorders>
                          <w:right w:val="single" w:sz="6" w:space="0" w:color="175977"/>
                        </w:tcBorders>
                      </w:tcPr>
                      <w:p>
                        <w:pPr/>
                      </w:p>
                    </w:tc>
                    <w:tc>
                      <w:tcPr>
                        <w:tcW w:w="1708" w:type="dxa"/>
                        <w:gridSpan w:val="3"/>
                        <w:tcBorders>
                          <w:top w:val="single" w:sz="6" w:space="0" w:color="E4E4E4"/>
                          <w:left w:val="single" w:sz="6" w:space="0" w:color="175977"/>
                          <w:bottom w:val="single" w:sz="9" w:space="0" w:color="F4F4F4"/>
                          <w:right w:val="single" w:sz="6" w:space="0" w:color="175977"/>
                        </w:tcBorders>
                      </w:tcPr>
                      <w:p>
                        <w:pPr/>
                      </w:p>
                    </w:tc>
                    <w:tc>
                      <w:tcPr>
                        <w:tcW w:w="656" w:type="dxa"/>
                        <w:vMerge/>
                        <w:tcBorders>
                          <w:left w:val="single" w:sz="6" w:space="0" w:color="175977"/>
                        </w:tcBorders>
                      </w:tcPr>
                      <w:p>
                        <w:pPr/>
                      </w:p>
                    </w:tc>
                  </w:tr>
                  <w:tr>
                    <w:trPr>
                      <w:trHeight w:val="281" w:hRule="exact"/>
                    </w:trPr>
                    <w:tc>
                      <w:tcPr>
                        <w:tcW w:w="1962" w:type="dxa"/>
                        <w:gridSpan w:val="6"/>
                        <w:tcBorders>
                          <w:bottom w:val="triple" w:sz="9" w:space="0" w:color="F4F4F4"/>
                        </w:tcBorders>
                      </w:tcPr>
                      <w:p>
                        <w:pPr>
                          <w:pStyle w:val="TableParagraph"/>
                          <w:spacing w:before="12"/>
                          <w:ind w:right="40"/>
                          <w:jc w:val="center"/>
                          <w:rPr>
                            <w:rFonts w:ascii="Arial"/>
                            <w:b/>
                            <w:sz w:val="18"/>
                          </w:rPr>
                        </w:pPr>
                        <w:r>
                          <w:rPr>
                            <w:rFonts w:ascii="Arial"/>
                            <w:b/>
                            <w:color w:val="000064"/>
                            <w:sz w:val="18"/>
                          </w:rPr>
                          <w:t>+</w:t>
                        </w:r>
                      </w:p>
                    </w:tc>
                    <w:tc>
                      <w:tcPr>
                        <w:tcW w:w="3014" w:type="dxa"/>
                        <w:gridSpan w:val="5"/>
                      </w:tcPr>
                      <w:p>
                        <w:pPr>
                          <w:pStyle w:val="TableParagraph"/>
                          <w:spacing w:before="12"/>
                          <w:ind w:right="29"/>
                          <w:jc w:val="center"/>
                          <w:rPr>
                            <w:rFonts w:ascii="Arial"/>
                            <w:b/>
                            <w:sz w:val="18"/>
                          </w:rPr>
                        </w:pPr>
                        <w:r>
                          <w:rPr>
                            <w:rFonts w:ascii="Arial"/>
                            <w:b/>
                            <w:color w:val="000064"/>
                            <w:sz w:val="18"/>
                          </w:rPr>
                          <w:t>+</w:t>
                        </w:r>
                      </w:p>
                    </w:tc>
                  </w:tr>
                  <w:tr>
                    <w:trPr>
                      <w:trHeight w:val="638" w:hRule="exact"/>
                    </w:trPr>
                    <w:tc>
                      <w:tcPr>
                        <w:tcW w:w="1962" w:type="dxa"/>
                        <w:gridSpan w:val="6"/>
                        <w:tcBorders>
                          <w:top w:val="triple" w:sz="9" w:space="0" w:color="F4F4F4"/>
                          <w:left w:val="thickThinMediumGap" w:sz="15" w:space="0" w:color="F4F4F4"/>
                          <w:bottom w:val="single" w:sz="9" w:space="0" w:color="F4F4F4"/>
                          <w:right w:val="single" w:sz="9" w:space="0" w:color="F4F4F4"/>
                        </w:tcBorders>
                        <w:shd w:val="clear" w:color="auto" w:fill="E4E4E4"/>
                      </w:tcPr>
                      <w:p>
                        <w:pPr>
                          <w:pStyle w:val="TableParagraph"/>
                          <w:spacing w:before="97"/>
                          <w:ind w:left="873" w:right="166" w:hanging="756"/>
                          <w:rPr>
                            <w:rFonts w:ascii="Arial" w:hAnsi="Arial"/>
                            <w:b/>
                            <w:sz w:val="18"/>
                          </w:rPr>
                        </w:pPr>
                        <w:r>
                          <w:rPr>
                            <w:rFonts w:ascii="Arial" w:hAnsi="Arial"/>
                            <w:b/>
                            <w:color w:val="00007E"/>
                            <w:sz w:val="18"/>
                          </w:rPr>
                          <w:t>Puntuación </w:t>
                        </w:r>
                        <w:r>
                          <w:rPr>
                            <w:rFonts w:ascii="Arial" w:hAnsi="Arial"/>
                            <w:b/>
                            <w:color w:val="000064"/>
                            <w:sz w:val="18"/>
                          </w:rPr>
                          <w:t>Fuerza s</w:t>
                        </w:r>
                      </w:p>
                    </w:tc>
                    <w:tc>
                      <w:tcPr>
                        <w:tcW w:w="3014" w:type="dxa"/>
                        <w:gridSpan w:val="5"/>
                        <w:tcBorders>
                          <w:left w:val="single" w:sz="9" w:space="0" w:color="F4F4F4"/>
                        </w:tcBorders>
                      </w:tcPr>
                      <w:p>
                        <w:pPr>
                          <w:pStyle w:val="TableParagraph"/>
                          <w:spacing w:before="7"/>
                          <w:rPr>
                            <w:b/>
                            <w:sz w:val="16"/>
                          </w:rPr>
                        </w:pPr>
                      </w:p>
                      <w:p>
                        <w:pPr>
                          <w:pStyle w:val="TableParagraph"/>
                          <w:ind w:left="675"/>
                          <w:rPr>
                            <w:rFonts w:ascii="Arial" w:hAnsi="Arial"/>
                            <w:b/>
                            <w:sz w:val="18"/>
                          </w:rPr>
                        </w:pPr>
                        <w:r>
                          <w:rPr>
                            <w:rFonts w:ascii="Arial" w:hAnsi="Arial"/>
                            <w:b/>
                            <w:color w:val="00007E"/>
                            <w:sz w:val="18"/>
                            <w:shd w:fill="E4E4E4" w:color="auto" w:val="clear"/>
                          </w:rPr>
                          <w:t>Puntuación </w:t>
                        </w:r>
                        <w:r>
                          <w:rPr>
                            <w:rFonts w:ascii="Arial" w:hAnsi="Arial"/>
                            <w:b/>
                            <w:color w:val="000064"/>
                            <w:sz w:val="18"/>
                            <w:shd w:fill="E4E4E4" w:color="auto" w:val="clear"/>
                          </w:rPr>
                          <w:t>Agarre</w:t>
                        </w:r>
                      </w:p>
                    </w:tc>
                  </w:tr>
                  <w:tr>
                    <w:trPr>
                      <w:trHeight w:val="450" w:hRule="exact"/>
                    </w:trPr>
                    <w:tc>
                      <w:tcPr>
                        <w:tcW w:w="1962" w:type="dxa"/>
                        <w:gridSpan w:val="6"/>
                        <w:tcBorders>
                          <w:top w:val="single" w:sz="9" w:space="0" w:color="F4F4F4"/>
                          <w:bottom w:val="single" w:sz="17" w:space="0" w:color="175977"/>
                        </w:tcBorders>
                      </w:tcPr>
                      <w:p>
                        <w:pPr>
                          <w:pStyle w:val="TableParagraph"/>
                          <w:spacing w:before="3"/>
                          <w:rPr>
                            <w:b/>
                            <w:sz w:val="2"/>
                          </w:rPr>
                        </w:pPr>
                      </w:p>
                      <w:p>
                        <w:pPr>
                          <w:pStyle w:val="TableParagraph"/>
                          <w:ind w:left="724"/>
                          <w:rPr>
                            <w:sz w:val="20"/>
                          </w:rPr>
                        </w:pPr>
                        <w:r>
                          <w:rPr>
                            <w:sz w:val="20"/>
                          </w:rPr>
                          <w:drawing>
                            <wp:inline distT="0" distB="0" distL="0" distR="0">
                              <wp:extent cx="270943" cy="238125"/>
                              <wp:effectExtent l="0" t="0" r="0" b="0"/>
                              <wp:docPr id="181" name="image104.png" descr=""/>
                              <wp:cNvGraphicFramePr>
                                <a:graphicFrameLocks noChangeAspect="1"/>
                              </wp:cNvGraphicFramePr>
                              <a:graphic>
                                <a:graphicData uri="http://schemas.openxmlformats.org/drawingml/2006/picture">
                                  <pic:pic>
                                    <pic:nvPicPr>
                                      <pic:cNvPr id="182" name="image104.png"/>
                                      <pic:cNvPicPr/>
                                    </pic:nvPicPr>
                                    <pic:blipFill>
                                      <a:blip r:embed="rId183" cstate="print"/>
                                      <a:stretch>
                                        <a:fillRect/>
                                      </a:stretch>
                                    </pic:blipFill>
                                    <pic:spPr>
                                      <a:xfrm>
                                        <a:off x="0" y="0"/>
                                        <a:ext cx="270943" cy="238125"/>
                                      </a:xfrm>
                                      <a:prstGeom prst="rect">
                                        <a:avLst/>
                                      </a:prstGeom>
                                    </pic:spPr>
                                  </pic:pic>
                                </a:graphicData>
                              </a:graphic>
                            </wp:inline>
                          </w:drawing>
                        </w:r>
                        <w:r>
                          <w:rPr>
                            <w:sz w:val="20"/>
                          </w:rPr>
                        </w:r>
                      </w:p>
                    </w:tc>
                    <w:tc>
                      <w:tcPr>
                        <w:tcW w:w="3014" w:type="dxa"/>
                        <w:gridSpan w:val="5"/>
                      </w:tcPr>
                      <w:p>
                        <w:pPr>
                          <w:pStyle w:val="TableParagraph"/>
                          <w:ind w:left="1257"/>
                          <w:rPr>
                            <w:sz w:val="20"/>
                          </w:rPr>
                        </w:pPr>
                        <w:r>
                          <w:rPr>
                            <w:sz w:val="20"/>
                          </w:rPr>
                          <w:drawing>
                            <wp:inline distT="0" distB="0" distL="0" distR="0">
                              <wp:extent cx="270943" cy="238125"/>
                              <wp:effectExtent l="0" t="0" r="0" b="0"/>
                              <wp:docPr id="183" name="image104.png" descr=""/>
                              <wp:cNvGraphicFramePr>
                                <a:graphicFrameLocks noChangeAspect="1"/>
                              </wp:cNvGraphicFramePr>
                              <a:graphic>
                                <a:graphicData uri="http://schemas.openxmlformats.org/drawingml/2006/picture">
                                  <pic:pic>
                                    <pic:nvPicPr>
                                      <pic:cNvPr id="184" name="image104.png"/>
                                      <pic:cNvPicPr/>
                                    </pic:nvPicPr>
                                    <pic:blipFill>
                                      <a:blip r:embed="rId183" cstate="print"/>
                                      <a:stretch>
                                        <a:fillRect/>
                                      </a:stretch>
                                    </pic:blipFill>
                                    <pic:spPr>
                                      <a:xfrm>
                                        <a:off x="0" y="0"/>
                                        <a:ext cx="270943" cy="238125"/>
                                      </a:xfrm>
                                      <a:prstGeom prst="rect">
                                        <a:avLst/>
                                      </a:prstGeom>
                                    </pic:spPr>
                                  </pic:pic>
                                </a:graphicData>
                              </a:graphic>
                            </wp:inline>
                          </w:drawing>
                        </w:r>
                        <w:r>
                          <w:rPr>
                            <w:sz w:val="20"/>
                          </w:rPr>
                        </w:r>
                      </w:p>
                    </w:tc>
                  </w:tr>
                  <w:tr>
                    <w:trPr>
                      <w:trHeight w:val="96" w:hRule="exact"/>
                    </w:trPr>
                    <w:tc>
                      <w:tcPr>
                        <w:tcW w:w="328" w:type="dxa"/>
                        <w:vMerge w:val="restart"/>
                        <w:tcBorders>
                          <w:right w:val="single" w:sz="6" w:space="0" w:color="175977"/>
                        </w:tcBorders>
                      </w:tcPr>
                      <w:p>
                        <w:pPr/>
                      </w:p>
                    </w:tc>
                    <w:tc>
                      <w:tcPr>
                        <w:tcW w:w="1147" w:type="dxa"/>
                        <w:gridSpan w:val="3"/>
                        <w:tcBorders>
                          <w:top w:val="triple" w:sz="9" w:space="0" w:color="F4F4F4"/>
                          <w:left w:val="single" w:sz="6" w:space="0" w:color="175977"/>
                          <w:bottom w:val="nil"/>
                        </w:tcBorders>
                        <w:shd w:val="clear" w:color="auto" w:fill="E4E4E4"/>
                      </w:tcPr>
                      <w:p>
                        <w:pPr/>
                      </w:p>
                    </w:tc>
                    <w:tc>
                      <w:tcPr>
                        <w:tcW w:w="486" w:type="dxa"/>
                        <w:gridSpan w:val="2"/>
                        <w:tcBorders>
                          <w:bottom w:val="nil"/>
                        </w:tcBorders>
                      </w:tcPr>
                      <w:p>
                        <w:pPr/>
                      </w:p>
                    </w:tc>
                    <w:tc>
                      <w:tcPr>
                        <w:tcW w:w="650" w:type="dxa"/>
                        <w:vMerge w:val="restart"/>
                      </w:tcPr>
                      <w:p>
                        <w:pPr>
                          <w:pStyle w:val="TableParagraph"/>
                          <w:spacing w:before="3"/>
                          <w:rPr>
                            <w:b/>
                            <w:sz w:val="7"/>
                          </w:rPr>
                        </w:pPr>
                      </w:p>
                      <w:p>
                        <w:pPr>
                          <w:pStyle w:val="TableParagraph"/>
                          <w:ind w:left="97"/>
                          <w:rPr>
                            <w:sz w:val="20"/>
                          </w:rPr>
                        </w:pPr>
                        <w:r>
                          <w:rPr>
                            <w:sz w:val="20"/>
                          </w:rPr>
                          <w:drawing>
                            <wp:inline distT="0" distB="0" distL="0" distR="0">
                              <wp:extent cx="237498" cy="269367"/>
                              <wp:effectExtent l="0" t="0" r="0" b="0"/>
                              <wp:docPr id="185" name="image105.png" descr=""/>
                              <wp:cNvGraphicFramePr>
                                <a:graphicFrameLocks noChangeAspect="1"/>
                              </wp:cNvGraphicFramePr>
                              <a:graphic>
                                <a:graphicData uri="http://schemas.openxmlformats.org/drawingml/2006/picture">
                                  <pic:pic>
                                    <pic:nvPicPr>
                                      <pic:cNvPr id="186" name="image105.png"/>
                                      <pic:cNvPicPr/>
                                    </pic:nvPicPr>
                                    <pic:blipFill>
                                      <a:blip r:embed="rId184" cstate="print"/>
                                      <a:stretch>
                                        <a:fillRect/>
                                      </a:stretch>
                                    </pic:blipFill>
                                    <pic:spPr>
                                      <a:xfrm>
                                        <a:off x="0" y="0"/>
                                        <a:ext cx="237498" cy="269367"/>
                                      </a:xfrm>
                                      <a:prstGeom prst="rect">
                                        <a:avLst/>
                                      </a:prstGeom>
                                    </pic:spPr>
                                  </pic:pic>
                                </a:graphicData>
                              </a:graphic>
                            </wp:inline>
                          </w:drawing>
                        </w:r>
                        <w:r>
                          <w:rPr>
                            <w:sz w:val="20"/>
                          </w:rPr>
                        </w:r>
                      </w:p>
                    </w:tc>
                    <w:tc>
                      <w:tcPr>
                        <w:tcW w:w="2365" w:type="dxa"/>
                        <w:gridSpan w:val="4"/>
                        <w:vMerge w:val="restart"/>
                      </w:tcPr>
                      <w:p>
                        <w:pPr>
                          <w:pStyle w:val="TableParagraph"/>
                          <w:spacing w:before="5"/>
                          <w:rPr>
                            <w:b/>
                            <w:sz w:val="16"/>
                          </w:rPr>
                        </w:pPr>
                      </w:p>
                      <w:p>
                        <w:pPr>
                          <w:pStyle w:val="TableParagraph"/>
                          <w:tabs>
                            <w:tab w:pos="1684" w:val="left" w:leader="none"/>
                          </w:tabs>
                          <w:spacing w:before="1"/>
                          <w:ind w:left="61"/>
                          <w:rPr>
                            <w:rFonts w:ascii="Arial" w:hAnsi="Arial"/>
                            <w:b/>
                            <w:sz w:val="18"/>
                          </w:rPr>
                        </w:pPr>
                        <w:r>
                          <w:rPr>
                            <w:rFonts w:ascii="Arial" w:hAnsi="Arial"/>
                            <w:b/>
                            <w:color w:val="000064"/>
                            <w:sz w:val="18"/>
                            <w:shd w:fill="E4E4E4" w:color="auto" w:val="clear"/>
                          </w:rPr>
                          <w:t>   </w:t>
                        </w:r>
                        <w:r>
                          <w:rPr>
                            <w:rFonts w:ascii="Arial" w:hAnsi="Arial"/>
                            <w:b/>
                            <w:color w:val="000064"/>
                            <w:spacing w:val="15"/>
                            <w:sz w:val="18"/>
                            <w:shd w:fill="E4E4E4" w:color="auto" w:val="clear"/>
                          </w:rPr>
                          <w:t> </w:t>
                        </w:r>
                        <w:r>
                          <w:rPr>
                            <w:rFonts w:ascii="Arial" w:hAnsi="Arial"/>
                            <w:b/>
                            <w:color w:val="000064"/>
                            <w:sz w:val="18"/>
                            <w:shd w:fill="E4E4E4" w:color="auto" w:val="clear"/>
                          </w:rPr>
                          <w:t>Puntuación</w:t>
                        </w:r>
                        <w:r>
                          <w:rPr>
                            <w:rFonts w:ascii="Arial" w:hAnsi="Arial"/>
                            <w:b/>
                            <w:color w:val="000064"/>
                            <w:spacing w:val="-3"/>
                            <w:sz w:val="18"/>
                            <w:shd w:fill="E4E4E4" w:color="auto" w:val="clear"/>
                          </w:rPr>
                          <w:t> </w:t>
                        </w:r>
                        <w:r>
                          <w:rPr>
                            <w:rFonts w:ascii="Arial" w:hAnsi="Arial"/>
                            <w:b/>
                            <w:color w:val="000064"/>
                            <w:sz w:val="18"/>
                            <w:shd w:fill="E4E4E4" w:color="auto" w:val="clear"/>
                          </w:rPr>
                          <w:t>B</w:t>
                          <w:tab/>
                        </w:r>
                      </w:p>
                    </w:tc>
                  </w:tr>
                  <w:tr>
                    <w:trPr>
                      <w:trHeight w:val="541" w:hRule="exact"/>
                    </w:trPr>
                    <w:tc>
                      <w:tcPr>
                        <w:tcW w:w="328" w:type="dxa"/>
                        <w:vMerge/>
                        <w:tcBorders>
                          <w:right w:val="single" w:sz="6" w:space="0" w:color="175977"/>
                        </w:tcBorders>
                      </w:tcPr>
                      <w:p>
                        <w:pPr/>
                      </w:p>
                    </w:tc>
                    <w:tc>
                      <w:tcPr>
                        <w:tcW w:w="1147" w:type="dxa"/>
                        <w:gridSpan w:val="3"/>
                        <w:tcBorders>
                          <w:top w:val="nil"/>
                          <w:left w:val="single" w:sz="6" w:space="0" w:color="175977"/>
                          <w:bottom w:val="single" w:sz="9" w:space="0" w:color="F4F4F4"/>
                        </w:tcBorders>
                        <w:shd w:val="clear" w:color="auto" w:fill="E4E4E4"/>
                      </w:tcPr>
                      <w:p>
                        <w:pPr>
                          <w:pStyle w:val="TableParagraph"/>
                          <w:spacing w:before="12"/>
                          <w:ind w:left="458" w:right="85" w:hanging="425"/>
                          <w:rPr>
                            <w:rFonts w:ascii="Arial" w:hAnsi="Arial"/>
                            <w:b/>
                            <w:sz w:val="18"/>
                          </w:rPr>
                        </w:pPr>
                        <w:r>
                          <w:rPr>
                            <w:rFonts w:ascii="Arial" w:hAnsi="Arial"/>
                            <w:b/>
                            <w:color w:val="000064"/>
                            <w:sz w:val="18"/>
                          </w:rPr>
                          <w:t>Puntuación A</w:t>
                        </w:r>
                      </w:p>
                    </w:tc>
                    <w:tc>
                      <w:tcPr>
                        <w:tcW w:w="486" w:type="dxa"/>
                        <w:gridSpan w:val="2"/>
                        <w:tcBorders>
                          <w:top w:val="nil"/>
                        </w:tcBorders>
                      </w:tcPr>
                      <w:p>
                        <w:pPr/>
                      </w:p>
                    </w:tc>
                    <w:tc>
                      <w:tcPr>
                        <w:tcW w:w="650" w:type="dxa"/>
                        <w:vMerge/>
                      </w:tcPr>
                      <w:p>
                        <w:pPr/>
                      </w:p>
                    </w:tc>
                    <w:tc>
                      <w:tcPr>
                        <w:tcW w:w="2365" w:type="dxa"/>
                        <w:gridSpan w:val="4"/>
                        <w:vMerge/>
                      </w:tcPr>
                      <w:p>
                        <w:pPr/>
                      </w:p>
                    </w:tc>
                  </w:tr>
                  <w:tr>
                    <w:trPr>
                      <w:trHeight w:val="450" w:hRule="exact"/>
                    </w:trPr>
                    <w:tc>
                      <w:tcPr>
                        <w:tcW w:w="4976" w:type="dxa"/>
                        <w:gridSpan w:val="11"/>
                      </w:tcPr>
                      <w:p>
                        <w:pPr>
                          <w:pStyle w:val="TableParagraph"/>
                          <w:ind w:left="2232"/>
                          <w:rPr>
                            <w:sz w:val="20"/>
                          </w:rPr>
                        </w:pPr>
                        <w:r>
                          <w:rPr>
                            <w:sz w:val="20"/>
                          </w:rPr>
                          <w:drawing>
                            <wp:inline distT="0" distB="0" distL="0" distR="0">
                              <wp:extent cx="270077" cy="238125"/>
                              <wp:effectExtent l="0" t="0" r="0" b="0"/>
                              <wp:docPr id="187" name="image104.png" descr=""/>
                              <wp:cNvGraphicFramePr>
                                <a:graphicFrameLocks noChangeAspect="1"/>
                              </wp:cNvGraphicFramePr>
                              <a:graphic>
                                <a:graphicData uri="http://schemas.openxmlformats.org/drawingml/2006/picture">
                                  <pic:pic>
                                    <pic:nvPicPr>
                                      <pic:cNvPr id="188" name="image104.png"/>
                                      <pic:cNvPicPr/>
                                    </pic:nvPicPr>
                                    <pic:blipFill>
                                      <a:blip r:embed="rId183" cstate="print"/>
                                      <a:stretch>
                                        <a:fillRect/>
                                      </a:stretch>
                                    </pic:blipFill>
                                    <pic:spPr>
                                      <a:xfrm>
                                        <a:off x="0" y="0"/>
                                        <a:ext cx="270077" cy="238125"/>
                                      </a:xfrm>
                                      <a:prstGeom prst="rect">
                                        <a:avLst/>
                                      </a:prstGeom>
                                    </pic:spPr>
                                  </pic:pic>
                                </a:graphicData>
                              </a:graphic>
                            </wp:inline>
                          </w:drawing>
                        </w:r>
                        <w:r>
                          <w:rPr>
                            <w:sz w:val="20"/>
                          </w:rPr>
                        </w:r>
                      </w:p>
                    </w:tc>
                  </w:tr>
                  <w:tr>
                    <w:trPr>
                      <w:trHeight w:val="97" w:hRule="exact"/>
                    </w:trPr>
                    <w:tc>
                      <w:tcPr>
                        <w:tcW w:w="1867" w:type="dxa"/>
                        <w:gridSpan w:val="5"/>
                        <w:vMerge w:val="restart"/>
                        <w:tcBorders>
                          <w:right w:val="single" w:sz="6" w:space="0" w:color="175977"/>
                        </w:tcBorders>
                      </w:tcPr>
                      <w:p>
                        <w:pPr/>
                      </w:p>
                    </w:tc>
                    <w:tc>
                      <w:tcPr>
                        <w:tcW w:w="1243" w:type="dxa"/>
                        <w:gridSpan w:val="3"/>
                        <w:tcBorders>
                          <w:top w:val="triple" w:sz="9" w:space="0" w:color="F4F4F4"/>
                          <w:left w:val="single" w:sz="6" w:space="0" w:color="175977"/>
                          <w:bottom w:val="nil"/>
                          <w:right w:val="single" w:sz="6" w:space="0" w:color="175977"/>
                        </w:tcBorders>
                        <w:shd w:val="clear" w:color="auto" w:fill="E4E4E4"/>
                      </w:tcPr>
                      <w:p>
                        <w:pPr/>
                      </w:p>
                    </w:tc>
                    <w:tc>
                      <w:tcPr>
                        <w:tcW w:w="1866" w:type="dxa"/>
                        <w:gridSpan w:val="3"/>
                        <w:vMerge w:val="restart"/>
                        <w:tcBorders>
                          <w:left w:val="single" w:sz="6" w:space="0" w:color="175977"/>
                        </w:tcBorders>
                      </w:tcPr>
                      <w:p>
                        <w:pPr/>
                      </w:p>
                    </w:tc>
                  </w:tr>
                  <w:tr>
                    <w:trPr>
                      <w:trHeight w:val="541" w:hRule="exact"/>
                    </w:trPr>
                    <w:tc>
                      <w:tcPr>
                        <w:tcW w:w="1867" w:type="dxa"/>
                        <w:gridSpan w:val="5"/>
                        <w:vMerge/>
                        <w:tcBorders>
                          <w:bottom w:val="single" w:sz="9" w:space="0" w:color="F4F4F4"/>
                          <w:right w:val="single" w:sz="6" w:space="0" w:color="175977"/>
                        </w:tcBorders>
                      </w:tcPr>
                      <w:p>
                        <w:pPr/>
                      </w:p>
                    </w:tc>
                    <w:tc>
                      <w:tcPr>
                        <w:tcW w:w="1243" w:type="dxa"/>
                        <w:gridSpan w:val="3"/>
                        <w:tcBorders>
                          <w:top w:val="nil"/>
                          <w:left w:val="single" w:sz="6" w:space="0" w:color="175977"/>
                          <w:bottom w:val="thickThinMediumGap" w:sz="15" w:space="0" w:color="F4F4F4"/>
                          <w:right w:val="single" w:sz="6" w:space="0" w:color="175977"/>
                        </w:tcBorders>
                        <w:shd w:val="clear" w:color="auto" w:fill="E4E4E4"/>
                      </w:tcPr>
                      <w:p>
                        <w:pPr>
                          <w:pStyle w:val="TableParagraph"/>
                          <w:spacing w:before="12"/>
                          <w:ind w:left="277" w:right="116" w:hanging="165"/>
                          <w:rPr>
                            <w:rFonts w:ascii="Arial" w:hAnsi="Arial"/>
                            <w:b/>
                            <w:sz w:val="18"/>
                          </w:rPr>
                        </w:pPr>
                        <w:r>
                          <w:rPr>
                            <w:rFonts w:ascii="Arial" w:hAnsi="Arial"/>
                            <w:b/>
                            <w:color w:val="000064"/>
                            <w:sz w:val="18"/>
                          </w:rPr>
                          <w:t>Puntuación Tabla C</w:t>
                        </w:r>
                      </w:p>
                    </w:tc>
                    <w:tc>
                      <w:tcPr>
                        <w:tcW w:w="1866" w:type="dxa"/>
                        <w:gridSpan w:val="3"/>
                        <w:vMerge/>
                        <w:tcBorders>
                          <w:left w:val="single" w:sz="6" w:space="0" w:color="175977"/>
                          <w:bottom w:val="single" w:sz="9" w:space="0" w:color="F4F4F4"/>
                        </w:tcBorders>
                      </w:tcPr>
                      <w:p>
                        <w:pPr/>
                      </w:p>
                    </w:tc>
                  </w:tr>
                  <w:tr>
                    <w:trPr>
                      <w:trHeight w:val="281" w:hRule="exact"/>
                    </w:trPr>
                    <w:tc>
                      <w:tcPr>
                        <w:tcW w:w="4976" w:type="dxa"/>
                        <w:gridSpan w:val="11"/>
                        <w:tcBorders>
                          <w:top w:val="single" w:sz="9" w:space="0" w:color="F4F4F4"/>
                          <w:bottom w:val="single" w:sz="9" w:space="0" w:color="F4F4F4"/>
                        </w:tcBorders>
                      </w:tcPr>
                      <w:p>
                        <w:pPr>
                          <w:pStyle w:val="TableParagraph"/>
                          <w:spacing w:before="23"/>
                          <w:ind w:right="40"/>
                          <w:jc w:val="center"/>
                          <w:rPr>
                            <w:rFonts w:ascii="Arial"/>
                            <w:b/>
                            <w:sz w:val="18"/>
                          </w:rPr>
                        </w:pPr>
                        <w:r>
                          <w:rPr>
                            <w:rFonts w:ascii="Arial"/>
                            <w:b/>
                            <w:color w:val="000064"/>
                            <w:sz w:val="18"/>
                          </w:rPr>
                          <w:t>+</w:t>
                        </w:r>
                      </w:p>
                    </w:tc>
                  </w:tr>
                  <w:tr>
                    <w:trPr>
                      <w:trHeight w:val="431" w:hRule="exact"/>
                    </w:trPr>
                    <w:tc>
                      <w:tcPr>
                        <w:tcW w:w="1475" w:type="dxa"/>
                        <w:gridSpan w:val="4"/>
                        <w:tcBorders>
                          <w:top w:val="single" w:sz="9" w:space="0" w:color="F4F4F4"/>
                          <w:right w:val="single" w:sz="6" w:space="0" w:color="175977"/>
                        </w:tcBorders>
                      </w:tcPr>
                      <w:p>
                        <w:pPr/>
                      </w:p>
                    </w:tc>
                    <w:tc>
                      <w:tcPr>
                        <w:tcW w:w="2014" w:type="dxa"/>
                        <w:gridSpan w:val="5"/>
                        <w:tcBorders>
                          <w:top w:val="thickThinMediumGap" w:sz="15" w:space="0" w:color="F4F4F4"/>
                          <w:left w:val="single" w:sz="6" w:space="0" w:color="175977"/>
                          <w:bottom w:val="single" w:sz="9" w:space="0" w:color="F4F4F4"/>
                          <w:right w:val="single" w:sz="6" w:space="0" w:color="175977"/>
                        </w:tcBorders>
                      </w:tcPr>
                      <w:p>
                        <w:pPr>
                          <w:pStyle w:val="TableParagraph"/>
                          <w:spacing w:before="73"/>
                          <w:ind w:left="75"/>
                          <w:rPr>
                            <w:rFonts w:ascii="Arial" w:hAnsi="Arial"/>
                            <w:b/>
                            <w:sz w:val="18"/>
                          </w:rPr>
                        </w:pPr>
                        <w:r>
                          <w:rPr>
                            <w:rFonts w:ascii="Arial" w:hAnsi="Arial"/>
                            <w:b/>
                            <w:color w:val="000064"/>
                            <w:sz w:val="18"/>
                            <w:shd w:fill="E4E4E4" w:color="auto" w:val="clear"/>
                          </w:rPr>
                          <w:t>Puntuación Actividad</w:t>
                        </w:r>
                      </w:p>
                    </w:tc>
                    <w:tc>
                      <w:tcPr>
                        <w:tcW w:w="1487" w:type="dxa"/>
                        <w:gridSpan w:val="2"/>
                        <w:tcBorders>
                          <w:top w:val="single" w:sz="9" w:space="0" w:color="F4F4F4"/>
                          <w:left w:val="single" w:sz="6" w:space="0" w:color="175977"/>
                        </w:tcBorders>
                      </w:tcPr>
                      <w:p>
                        <w:pPr/>
                      </w:p>
                    </w:tc>
                  </w:tr>
                  <w:tr>
                    <w:trPr>
                      <w:trHeight w:val="451" w:hRule="exact"/>
                    </w:trPr>
                    <w:tc>
                      <w:tcPr>
                        <w:tcW w:w="4976" w:type="dxa"/>
                        <w:gridSpan w:val="11"/>
                      </w:tcPr>
                      <w:p>
                        <w:pPr>
                          <w:pStyle w:val="TableParagraph"/>
                          <w:ind w:left="2232"/>
                          <w:rPr>
                            <w:sz w:val="20"/>
                          </w:rPr>
                        </w:pPr>
                        <w:r>
                          <w:rPr>
                            <w:sz w:val="20"/>
                          </w:rPr>
                          <w:drawing>
                            <wp:inline distT="0" distB="0" distL="0" distR="0">
                              <wp:extent cx="270077" cy="238125"/>
                              <wp:effectExtent l="0" t="0" r="0" b="0"/>
                              <wp:docPr id="189" name="image104.png" descr=""/>
                              <wp:cNvGraphicFramePr>
                                <a:graphicFrameLocks noChangeAspect="1"/>
                              </wp:cNvGraphicFramePr>
                              <a:graphic>
                                <a:graphicData uri="http://schemas.openxmlformats.org/drawingml/2006/picture">
                                  <pic:pic>
                                    <pic:nvPicPr>
                                      <pic:cNvPr id="190" name="image104.png"/>
                                      <pic:cNvPicPr/>
                                    </pic:nvPicPr>
                                    <pic:blipFill>
                                      <a:blip r:embed="rId183" cstate="print"/>
                                      <a:stretch>
                                        <a:fillRect/>
                                      </a:stretch>
                                    </pic:blipFill>
                                    <pic:spPr>
                                      <a:xfrm>
                                        <a:off x="0" y="0"/>
                                        <a:ext cx="270077" cy="238125"/>
                                      </a:xfrm>
                                      <a:prstGeom prst="rect">
                                        <a:avLst/>
                                      </a:prstGeom>
                                    </pic:spPr>
                                  </pic:pic>
                                </a:graphicData>
                              </a:graphic>
                            </wp:inline>
                          </w:drawing>
                        </w:r>
                        <w:r>
                          <w:rPr>
                            <w:sz w:val="20"/>
                          </w:rPr>
                        </w:r>
                      </w:p>
                    </w:tc>
                  </w:tr>
                  <w:tr>
                    <w:trPr>
                      <w:trHeight w:val="96" w:hRule="exact"/>
                    </w:trPr>
                    <w:tc>
                      <w:tcPr>
                        <w:tcW w:w="1867" w:type="dxa"/>
                        <w:gridSpan w:val="5"/>
                        <w:vMerge w:val="restart"/>
                        <w:tcBorders>
                          <w:right w:val="single" w:sz="6" w:space="0" w:color="175977"/>
                        </w:tcBorders>
                      </w:tcPr>
                      <w:p>
                        <w:pPr/>
                      </w:p>
                    </w:tc>
                    <w:tc>
                      <w:tcPr>
                        <w:tcW w:w="1243" w:type="dxa"/>
                        <w:gridSpan w:val="3"/>
                        <w:tcBorders>
                          <w:top w:val="triple" w:sz="9" w:space="0" w:color="F4F4F4"/>
                          <w:left w:val="single" w:sz="6" w:space="0" w:color="175977"/>
                          <w:bottom w:val="nil"/>
                          <w:right w:val="single" w:sz="6" w:space="0" w:color="175977"/>
                        </w:tcBorders>
                        <w:shd w:val="clear" w:color="auto" w:fill="C4D1E2"/>
                      </w:tcPr>
                      <w:p>
                        <w:pPr/>
                      </w:p>
                    </w:tc>
                    <w:tc>
                      <w:tcPr>
                        <w:tcW w:w="1866" w:type="dxa"/>
                        <w:gridSpan w:val="3"/>
                        <w:vMerge w:val="restart"/>
                        <w:tcBorders>
                          <w:left w:val="single" w:sz="6" w:space="0" w:color="175977"/>
                        </w:tcBorders>
                      </w:tcPr>
                      <w:p>
                        <w:pPr/>
                      </w:p>
                    </w:tc>
                  </w:tr>
                  <w:tr>
                    <w:trPr>
                      <w:trHeight w:val="541" w:hRule="exact"/>
                    </w:trPr>
                    <w:tc>
                      <w:tcPr>
                        <w:tcW w:w="1867" w:type="dxa"/>
                        <w:gridSpan w:val="5"/>
                        <w:vMerge/>
                        <w:tcBorders>
                          <w:right w:val="single" w:sz="6" w:space="0" w:color="175977"/>
                        </w:tcBorders>
                      </w:tcPr>
                      <w:p>
                        <w:pPr/>
                      </w:p>
                    </w:tc>
                    <w:tc>
                      <w:tcPr>
                        <w:tcW w:w="1243" w:type="dxa"/>
                        <w:gridSpan w:val="3"/>
                        <w:tcBorders>
                          <w:top w:val="nil"/>
                          <w:left w:val="single" w:sz="6" w:space="0" w:color="175977"/>
                          <w:bottom w:val="single" w:sz="9" w:space="0" w:color="F4F4F4"/>
                          <w:right w:val="single" w:sz="6" w:space="0" w:color="175977"/>
                        </w:tcBorders>
                        <w:shd w:val="clear" w:color="auto" w:fill="C4D1E2"/>
                      </w:tcPr>
                      <w:p>
                        <w:pPr>
                          <w:pStyle w:val="TableParagraph"/>
                          <w:spacing w:before="12"/>
                          <w:ind w:left="59" w:right="5" w:hanging="56"/>
                          <w:rPr>
                            <w:rFonts w:ascii="Arial" w:hAnsi="Arial"/>
                            <w:b/>
                            <w:sz w:val="18"/>
                          </w:rPr>
                        </w:pPr>
                        <w:r>
                          <w:rPr>
                            <w:rFonts w:ascii="Arial" w:hAnsi="Arial"/>
                            <w:b/>
                            <w:color w:val="000064"/>
                            <w:sz w:val="18"/>
                          </w:rPr>
                          <w:t>PUNTUACIÓN FINAL REBA</w:t>
                        </w:r>
                      </w:p>
                    </w:tc>
                    <w:tc>
                      <w:tcPr>
                        <w:tcW w:w="1866" w:type="dxa"/>
                        <w:gridSpan w:val="3"/>
                        <w:vMerge/>
                        <w:tcBorders>
                          <w:left w:val="single" w:sz="6" w:space="0" w:color="175977"/>
                        </w:tcBorders>
                      </w:tcPr>
                      <w:p>
                        <w:pPr/>
                      </w:p>
                    </w:tc>
                  </w:tr>
                  <w:tr>
                    <w:trPr>
                      <w:trHeight w:val="420" w:hRule="exact"/>
                    </w:trPr>
                    <w:tc>
                      <w:tcPr>
                        <w:tcW w:w="1867" w:type="dxa"/>
                        <w:gridSpan w:val="5"/>
                        <w:tcBorders>
                          <w:bottom w:val="single" w:sz="9" w:space="0" w:color="F4F4F4"/>
                          <w:right w:val="single" w:sz="6" w:space="0" w:color="175977"/>
                        </w:tcBorders>
                      </w:tcPr>
                      <w:p>
                        <w:pPr/>
                      </w:p>
                    </w:tc>
                    <w:tc>
                      <w:tcPr>
                        <w:tcW w:w="1243" w:type="dxa"/>
                        <w:gridSpan w:val="3"/>
                        <w:tcBorders>
                          <w:top w:val="single" w:sz="9" w:space="0" w:color="F4F4F4"/>
                          <w:left w:val="single" w:sz="6" w:space="0" w:color="175977"/>
                          <w:bottom w:val="thickThinMediumGap" w:sz="10" w:space="0" w:color="F4F4F4"/>
                          <w:right w:val="single" w:sz="6" w:space="0" w:color="175977"/>
                        </w:tcBorders>
                      </w:tcPr>
                      <w:p>
                        <w:pPr>
                          <w:pStyle w:val="TableParagraph"/>
                          <w:tabs>
                            <w:tab w:pos="1183" w:val="left" w:leader="none"/>
                          </w:tabs>
                          <w:spacing w:before="98"/>
                          <w:ind w:left="54"/>
                          <w:rPr>
                            <w:rFonts w:ascii="Arial"/>
                            <w:b/>
                            <w:sz w:val="18"/>
                          </w:rPr>
                        </w:pPr>
                        <w:r>
                          <w:rPr>
                            <w:rFonts w:ascii="Arial"/>
                            <w:b/>
                            <w:color w:val="000064"/>
                            <w:sz w:val="18"/>
                            <w:shd w:fill="C4D1E2" w:color="auto" w:val="clear"/>
                          </w:rPr>
                          <w:t>   </w:t>
                        </w:r>
                        <w:r>
                          <w:rPr>
                            <w:rFonts w:ascii="Arial"/>
                            <w:b/>
                            <w:color w:val="000064"/>
                            <w:spacing w:val="3"/>
                            <w:sz w:val="18"/>
                            <w:shd w:fill="C4D1E2" w:color="auto" w:val="clear"/>
                          </w:rPr>
                          <w:t> </w:t>
                        </w:r>
                        <w:r>
                          <w:rPr>
                            <w:rFonts w:ascii="Arial"/>
                            <w:b/>
                            <w:color w:val="000064"/>
                            <w:sz w:val="18"/>
                            <w:shd w:fill="C4D1E2" w:color="auto" w:val="clear"/>
                          </w:rPr>
                          <w:t>Nivel</w:t>
                        </w:r>
                        <w:r>
                          <w:rPr>
                            <w:rFonts w:ascii="Arial"/>
                            <w:b/>
                            <w:color w:val="000064"/>
                            <w:spacing w:val="-2"/>
                            <w:sz w:val="18"/>
                            <w:shd w:fill="C4D1E2" w:color="auto" w:val="clear"/>
                          </w:rPr>
                          <w:t> </w:t>
                        </w:r>
                        <w:r>
                          <w:rPr>
                            <w:rFonts w:ascii="Arial"/>
                            <w:b/>
                            <w:color w:val="000064"/>
                            <w:sz w:val="18"/>
                            <w:shd w:fill="C4D1E2" w:color="auto" w:val="clear"/>
                          </w:rPr>
                          <w:t>de</w:t>
                          <w:tab/>
                        </w:r>
                      </w:p>
                    </w:tc>
                    <w:tc>
                      <w:tcPr>
                        <w:tcW w:w="1866" w:type="dxa"/>
                        <w:gridSpan w:val="3"/>
                        <w:tcBorders>
                          <w:left w:val="single" w:sz="6" w:space="0" w:color="175977"/>
                          <w:bottom w:val="single" w:sz="9" w:space="0" w:color="F4F4F4"/>
                        </w:tcBorders>
                      </w:tcPr>
                      <w:p>
                        <w:pPr/>
                      </w:p>
                    </w:tc>
                  </w:tr>
                </w:tbl>
                <w:p>
                  <w:pPr>
                    <w:pStyle w:val="BodyText"/>
                  </w:pPr>
                </w:p>
              </w:txbxContent>
            </v:textbox>
            <w10:wrap type="none"/>
          </v:shape>
        </w:pict>
      </w:r>
      <w:r>
        <w:rPr>
          <w:b/>
          <w:sz w:val="18"/>
        </w:rPr>
        <w:t>Results final Group C</w:t>
      </w:r>
    </w:p>
    <w:p>
      <w:pPr>
        <w:pStyle w:val="BodyText"/>
        <w:spacing w:before="7"/>
        <w:rPr>
          <w:b/>
          <w:sz w:val="17"/>
        </w:rPr>
      </w:pPr>
    </w:p>
    <w:p>
      <w:pPr>
        <w:spacing w:before="1"/>
        <w:ind w:left="270" w:right="6304" w:firstLine="0"/>
        <w:jc w:val="left"/>
        <w:rPr>
          <w:sz w:val="18"/>
        </w:rPr>
      </w:pPr>
      <w:r>
        <w:rPr/>
        <w:pict>
          <v:group style="position:absolute;margin-left:324.679993pt;margin-top:17.452644pt;width:89.4pt;height:22.3pt;mso-position-horizontal-relative:page;mso-position-vertical-relative:paragraph;z-index:5440" coordorigin="6494,349" coordsize="1788,446">
            <v:shape style="position:absolute;left:6502;top:349;width:1770;height:446" coordorigin="6502,349" coordsize="1770,446" path="m8272,349l6502,349,6502,365,6517,365,6517,572,6517,779,6502,779,6502,794,8272,794,8272,779,8257,779,8257,572,8257,365,8272,365,8272,349e" filled="true" fillcolor="#e4e4e4" stroked="false">
              <v:path arrowok="t"/>
              <v:fill type="solid"/>
            </v:shape>
            <v:shape style="position:absolute;left:6502;top:358;width:1772;height:429" coordorigin="6502,358" coordsize="1772,429" path="m6502,786l8273,786m6502,358l8273,358e" filled="false" stroked="true" strokeweight=".78pt" strokecolor="#e4e4e4">
              <v:path arrowok="t"/>
            </v:shape>
            <w10:wrap type="none"/>
          </v:group>
        </w:pict>
      </w:r>
      <w:r>
        <w:rPr/>
        <w:pict>
          <v:group style="position:absolute;margin-left:448.665009pt;margin-top:19.297646pt;width:89.5pt;height:18.650pt;mso-position-horizontal-relative:page;mso-position-vertical-relative:paragraph;z-index:5464" coordorigin="8973,386" coordsize="1790,373">
            <v:rect style="position:absolute;left:9032;top:453;width:1672;height:16" filled="true" fillcolor="#e4e4e4" stroked="false">
              <v:fill type="solid"/>
            </v:rect>
            <v:shape style="position:absolute;left:8981;top:401;width:1775;height:2" coordorigin="8981,401" coordsize="1775,0" path="m8981,401l10741,401m10741,401l10756,401e" filled="false" stroked="true" strokeweight=".72pt" strokecolor="#175977">
              <v:path arrowok="t"/>
            </v:shape>
            <v:line style="position:absolute" from="9032,461" to="10704,461" stroked="true" strokeweight=".78pt" strokecolor="#e4e4e4"/>
            <v:rect style="position:absolute;left:9032;top:675;width:1672;height:16" filled="true" fillcolor="#e4e4e4" stroked="false">
              <v:fill type="solid"/>
            </v:rect>
            <v:line style="position:absolute" from="9032,683" to="10704,683" stroked="true" strokeweight=".78pt" strokecolor="#e4e4e4"/>
            <v:shape style="position:absolute;left:8981;top:393;width:1761;height:358" coordorigin="8981,393" coordsize="1761,358" path="m8988,393l8988,751m8981,744l10741,744e" filled="false" stroked="true" strokeweight=".72pt" strokecolor="#175977">
              <v:path arrowok="t"/>
            </v:shape>
            <v:line style="position:absolute" from="10748,393" to="10748,751" stroked="true" strokeweight=".72003pt" strokecolor="#175977"/>
            <w10:wrap type="none"/>
          </v:group>
        </w:pict>
      </w:r>
      <w:r>
        <w:rPr>
          <w:sz w:val="18"/>
        </w:rPr>
        <w:t>This table shows the results of the AYB table which gives us the end result is.</w:t>
      </w:r>
    </w:p>
    <w:p>
      <w:pPr>
        <w:pStyle w:val="BodyText"/>
        <w:rPr>
          <w:sz w:val="18"/>
        </w:rPr>
      </w:pPr>
    </w:p>
    <w:p>
      <w:pPr>
        <w:spacing w:before="0"/>
        <w:ind w:left="270" w:right="6274" w:firstLine="430"/>
        <w:jc w:val="both"/>
        <w:rPr>
          <w:sz w:val="18"/>
        </w:rPr>
      </w:pPr>
      <w:r>
        <w:rPr/>
        <w:drawing>
          <wp:anchor distT="0" distB="0" distL="0" distR="0" allowOverlap="1" layoutInCell="1" locked="0" behindDoc="0" simplePos="0" relativeHeight="5488">
            <wp:simplePos x="0" y="0"/>
            <wp:positionH relativeFrom="page">
              <wp:posOffset>4545329</wp:posOffset>
            </wp:positionH>
            <wp:positionV relativeFrom="paragraph">
              <wp:posOffset>195101</wp:posOffset>
            </wp:positionV>
            <wp:extent cx="270510" cy="237744"/>
            <wp:effectExtent l="0" t="0" r="0" b="0"/>
            <wp:wrapNone/>
            <wp:docPr id="191" name="image104.png" descr=""/>
            <wp:cNvGraphicFramePr>
              <a:graphicFrameLocks noChangeAspect="1"/>
            </wp:cNvGraphicFramePr>
            <a:graphic>
              <a:graphicData uri="http://schemas.openxmlformats.org/drawingml/2006/picture">
                <pic:pic>
                  <pic:nvPicPr>
                    <pic:cNvPr id="192" name="image104.png"/>
                    <pic:cNvPicPr/>
                  </pic:nvPicPr>
                  <pic:blipFill>
                    <a:blip r:embed="rId183" cstate="print"/>
                    <a:stretch>
                      <a:fillRect/>
                    </a:stretch>
                  </pic:blipFill>
                  <pic:spPr>
                    <a:xfrm>
                      <a:off x="0" y="0"/>
                      <a:ext cx="270510" cy="237744"/>
                    </a:xfrm>
                    <a:prstGeom prst="rect">
                      <a:avLst/>
                    </a:prstGeom>
                  </pic:spPr>
                </pic:pic>
              </a:graphicData>
            </a:graphic>
          </wp:anchor>
        </w:drawing>
      </w:r>
      <w:r>
        <w:rPr/>
        <w:drawing>
          <wp:anchor distT="0" distB="0" distL="0" distR="0" allowOverlap="1" layoutInCell="1" locked="0" behindDoc="0" simplePos="0" relativeHeight="5512">
            <wp:simplePos x="0" y="0"/>
            <wp:positionH relativeFrom="page">
              <wp:posOffset>6121908</wp:posOffset>
            </wp:positionH>
            <wp:positionV relativeFrom="paragraph">
              <wp:posOffset>195101</wp:posOffset>
            </wp:positionV>
            <wp:extent cx="270510" cy="237744"/>
            <wp:effectExtent l="0" t="0" r="0" b="0"/>
            <wp:wrapNone/>
            <wp:docPr id="193" name="image104.png" descr=""/>
            <wp:cNvGraphicFramePr>
              <a:graphicFrameLocks noChangeAspect="1"/>
            </wp:cNvGraphicFramePr>
            <a:graphic>
              <a:graphicData uri="http://schemas.openxmlformats.org/drawingml/2006/picture">
                <pic:pic>
                  <pic:nvPicPr>
                    <pic:cNvPr id="194" name="image104.png"/>
                    <pic:cNvPicPr/>
                  </pic:nvPicPr>
                  <pic:blipFill>
                    <a:blip r:embed="rId183" cstate="print"/>
                    <a:stretch>
                      <a:fillRect/>
                    </a:stretch>
                  </pic:blipFill>
                  <pic:spPr>
                    <a:xfrm>
                      <a:off x="0" y="0"/>
                      <a:ext cx="270510" cy="237744"/>
                    </a:xfrm>
                    <a:prstGeom prst="rect">
                      <a:avLst/>
                    </a:prstGeom>
                  </pic:spPr>
                </pic:pic>
              </a:graphicData>
            </a:graphic>
          </wp:anchor>
        </w:drawing>
      </w:r>
      <w:r>
        <w:rPr>
          <w:sz w:val="18"/>
        </w:rPr>
        <w:t>The result of Table A is 9, so that if the load or force is greater than 10kg. Increase your punctuation 2 and the final punctuation is</w:t>
      </w:r>
      <w:r>
        <w:rPr>
          <w:spacing w:val="-3"/>
          <w:sz w:val="18"/>
        </w:rPr>
        <w:t> </w:t>
      </w:r>
      <w:r>
        <w:rPr>
          <w:sz w:val="18"/>
        </w:rPr>
        <w:t>11.</w:t>
      </w:r>
    </w:p>
    <w:p>
      <w:pPr>
        <w:spacing w:line="206" w:lineRule="exact" w:before="0"/>
        <w:ind w:left="1745" w:right="6276" w:firstLine="0"/>
        <w:jc w:val="left"/>
        <w:rPr>
          <w:sz w:val="18"/>
        </w:rPr>
      </w:pPr>
      <w:r>
        <w:rPr/>
        <w:drawing>
          <wp:anchor distT="0" distB="0" distL="0" distR="0" allowOverlap="1" layoutInCell="1" locked="0" behindDoc="0" simplePos="0" relativeHeight="5416">
            <wp:simplePos x="0" y="0"/>
            <wp:positionH relativeFrom="page">
              <wp:posOffset>540258</wp:posOffset>
            </wp:positionH>
            <wp:positionV relativeFrom="paragraph">
              <wp:posOffset>134533</wp:posOffset>
            </wp:positionV>
            <wp:extent cx="3292001" cy="2166270"/>
            <wp:effectExtent l="0" t="0" r="0" b="0"/>
            <wp:wrapNone/>
            <wp:docPr id="195" name="image106.jpeg" descr=""/>
            <wp:cNvGraphicFramePr>
              <a:graphicFrameLocks noChangeAspect="1"/>
            </wp:cNvGraphicFramePr>
            <a:graphic>
              <a:graphicData uri="http://schemas.openxmlformats.org/drawingml/2006/picture">
                <pic:pic>
                  <pic:nvPicPr>
                    <pic:cNvPr id="196" name="image106.jpeg"/>
                    <pic:cNvPicPr/>
                  </pic:nvPicPr>
                  <pic:blipFill>
                    <a:blip r:embed="rId185" cstate="print"/>
                    <a:stretch>
                      <a:fillRect/>
                    </a:stretch>
                  </pic:blipFill>
                  <pic:spPr>
                    <a:xfrm>
                      <a:off x="0" y="0"/>
                      <a:ext cx="3292001" cy="2166270"/>
                    </a:xfrm>
                    <a:prstGeom prst="rect">
                      <a:avLst/>
                    </a:prstGeom>
                  </pic:spPr>
                </pic:pic>
              </a:graphicData>
            </a:graphic>
          </wp:anchor>
        </w:drawing>
      </w:r>
      <w:r>
        <w:rPr/>
        <w:drawing>
          <wp:anchor distT="0" distB="0" distL="0" distR="0" allowOverlap="1" layoutInCell="1" locked="0" behindDoc="0" simplePos="0" relativeHeight="5536">
            <wp:simplePos x="0" y="0"/>
            <wp:positionH relativeFrom="page">
              <wp:posOffset>4980432</wp:posOffset>
            </wp:positionH>
            <wp:positionV relativeFrom="paragraph">
              <wp:posOffset>129961</wp:posOffset>
            </wp:positionV>
            <wp:extent cx="289387" cy="319087"/>
            <wp:effectExtent l="0" t="0" r="0" b="0"/>
            <wp:wrapNone/>
            <wp:docPr id="197" name="image107.png" descr=""/>
            <wp:cNvGraphicFramePr>
              <a:graphicFrameLocks noChangeAspect="1"/>
            </wp:cNvGraphicFramePr>
            <a:graphic>
              <a:graphicData uri="http://schemas.openxmlformats.org/drawingml/2006/picture">
                <pic:pic>
                  <pic:nvPicPr>
                    <pic:cNvPr id="198" name="image107.png"/>
                    <pic:cNvPicPr/>
                  </pic:nvPicPr>
                  <pic:blipFill>
                    <a:blip r:embed="rId186" cstate="print"/>
                    <a:stretch>
                      <a:fillRect/>
                    </a:stretch>
                  </pic:blipFill>
                  <pic:spPr>
                    <a:xfrm>
                      <a:off x="0" y="0"/>
                      <a:ext cx="289387" cy="319087"/>
                    </a:xfrm>
                    <a:prstGeom prst="rect">
                      <a:avLst/>
                    </a:prstGeom>
                  </pic:spPr>
                </pic:pic>
              </a:graphicData>
            </a:graphic>
          </wp:anchor>
        </w:drawing>
      </w:r>
      <w:r>
        <w:rPr/>
        <w:drawing>
          <wp:anchor distT="0" distB="0" distL="0" distR="0" allowOverlap="1" layoutInCell="1" locked="0" behindDoc="0" simplePos="0" relativeHeight="5560">
            <wp:simplePos x="0" y="0"/>
            <wp:positionH relativeFrom="page">
              <wp:posOffset>5385053</wp:posOffset>
            </wp:positionH>
            <wp:positionV relativeFrom="paragraph">
              <wp:posOffset>129961</wp:posOffset>
            </wp:positionV>
            <wp:extent cx="237498" cy="269367"/>
            <wp:effectExtent l="0" t="0" r="0" b="0"/>
            <wp:wrapNone/>
            <wp:docPr id="199" name="image105.png" descr=""/>
            <wp:cNvGraphicFramePr>
              <a:graphicFrameLocks noChangeAspect="1"/>
            </wp:cNvGraphicFramePr>
            <a:graphic>
              <a:graphicData uri="http://schemas.openxmlformats.org/drawingml/2006/picture">
                <pic:pic>
                  <pic:nvPicPr>
                    <pic:cNvPr id="200" name="image105.png"/>
                    <pic:cNvPicPr/>
                  </pic:nvPicPr>
                  <pic:blipFill>
                    <a:blip r:embed="rId184" cstate="print"/>
                    <a:stretch>
                      <a:fillRect/>
                    </a:stretch>
                  </pic:blipFill>
                  <pic:spPr>
                    <a:xfrm>
                      <a:off x="0" y="0"/>
                      <a:ext cx="237498" cy="269367"/>
                    </a:xfrm>
                    <a:prstGeom prst="rect">
                      <a:avLst/>
                    </a:prstGeom>
                  </pic:spPr>
                </pic:pic>
              </a:graphicData>
            </a:graphic>
          </wp:anchor>
        </w:drawing>
      </w:r>
      <w:r>
        <w:rPr/>
        <w:pict>
          <v:group style="position:absolute;margin-left:451.785004pt;margin-top:11.598198pt;width:86.7pt;height:18.6pt;mso-position-horizontal-relative:page;mso-position-vertical-relative:paragraph;z-index:5584" coordorigin="9036,232" coordsize="1734,372">
            <v:line style="position:absolute" from="9043,247" to="10754,247" stroked="true" strokeweight=".72002pt" strokecolor="#175977"/>
            <v:line style="position:absolute" from="9050,239" to="9050,596" stroked="true" strokeweight=".72pt" strokecolor="#175977"/>
            <v:line style="position:absolute" from="9043,589" to="10754,589" stroked="true" strokeweight=".72pt" strokecolor="#175977"/>
            <v:line style="position:absolute" from="10762,239" to="10762,596" stroked="true" strokeweight=".71997pt" strokecolor="#175977"/>
            <w10:wrap type="none"/>
          </v:group>
        </w:pict>
      </w:r>
      <w:r>
        <w:rPr/>
        <w:drawing>
          <wp:anchor distT="0" distB="0" distL="0" distR="0" allowOverlap="1" layoutInCell="1" locked="0" behindDoc="0" simplePos="0" relativeHeight="5608">
            <wp:simplePos x="0" y="0"/>
            <wp:positionH relativeFrom="page">
              <wp:posOffset>5502402</wp:posOffset>
            </wp:positionH>
            <wp:positionV relativeFrom="paragraph">
              <wp:posOffset>491149</wp:posOffset>
            </wp:positionV>
            <wp:extent cx="270077" cy="238125"/>
            <wp:effectExtent l="0" t="0" r="0" b="0"/>
            <wp:wrapNone/>
            <wp:docPr id="201" name="image104.png" descr=""/>
            <wp:cNvGraphicFramePr>
              <a:graphicFrameLocks noChangeAspect="1"/>
            </wp:cNvGraphicFramePr>
            <a:graphic>
              <a:graphicData uri="http://schemas.openxmlformats.org/drawingml/2006/picture">
                <pic:pic>
                  <pic:nvPicPr>
                    <pic:cNvPr id="202" name="image104.png"/>
                    <pic:cNvPicPr/>
                  </pic:nvPicPr>
                  <pic:blipFill>
                    <a:blip r:embed="rId183" cstate="print"/>
                    <a:stretch>
                      <a:fillRect/>
                    </a:stretch>
                  </pic:blipFill>
                  <pic:spPr>
                    <a:xfrm>
                      <a:off x="0" y="0"/>
                      <a:ext cx="270077" cy="238125"/>
                    </a:xfrm>
                    <a:prstGeom prst="rect">
                      <a:avLst/>
                    </a:prstGeom>
                  </pic:spPr>
                </pic:pic>
              </a:graphicData>
            </a:graphic>
          </wp:anchor>
        </w:drawing>
      </w:r>
      <w:r>
        <w:rPr>
          <w:sz w:val="18"/>
        </w:rPr>
        <w:t>Table 16. Results final Group C</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spacing w:before="109"/>
        <w:ind w:left="270" w:right="6276" w:firstLine="0"/>
        <w:jc w:val="left"/>
        <w:rPr>
          <w:b/>
          <w:sz w:val="18"/>
        </w:rPr>
      </w:pPr>
      <w:r>
        <w:rPr/>
        <w:drawing>
          <wp:anchor distT="0" distB="0" distL="0" distR="0" allowOverlap="1" layoutInCell="1" locked="0" behindDoc="0" simplePos="0" relativeHeight="5632">
            <wp:simplePos x="0" y="0"/>
            <wp:positionH relativeFrom="page">
              <wp:posOffset>5502402</wp:posOffset>
            </wp:positionH>
            <wp:positionV relativeFrom="paragraph">
              <wp:posOffset>-731624</wp:posOffset>
            </wp:positionV>
            <wp:extent cx="270077" cy="238125"/>
            <wp:effectExtent l="0" t="0" r="0" b="0"/>
            <wp:wrapNone/>
            <wp:docPr id="203" name="image104.png" descr=""/>
            <wp:cNvGraphicFramePr>
              <a:graphicFrameLocks noChangeAspect="1"/>
            </wp:cNvGraphicFramePr>
            <a:graphic>
              <a:graphicData uri="http://schemas.openxmlformats.org/drawingml/2006/picture">
                <pic:pic>
                  <pic:nvPicPr>
                    <pic:cNvPr id="204" name="image104.png"/>
                    <pic:cNvPicPr/>
                  </pic:nvPicPr>
                  <pic:blipFill>
                    <a:blip r:embed="rId183" cstate="print"/>
                    <a:stretch>
                      <a:fillRect/>
                    </a:stretch>
                  </pic:blipFill>
                  <pic:spPr>
                    <a:xfrm>
                      <a:off x="0" y="0"/>
                      <a:ext cx="270077" cy="238125"/>
                    </a:xfrm>
                    <a:prstGeom prst="rect">
                      <a:avLst/>
                    </a:prstGeom>
                  </pic:spPr>
                </pic:pic>
              </a:graphicData>
            </a:graphic>
          </wp:anchor>
        </w:drawing>
      </w:r>
      <w:r>
        <w:rPr>
          <w:b/>
          <w:sz w:val="18"/>
        </w:rPr>
        <w:t>Final Score</w:t>
      </w:r>
    </w:p>
    <w:p>
      <w:pPr>
        <w:spacing w:after="0"/>
        <w:jc w:val="left"/>
        <w:rPr>
          <w:sz w:val="18"/>
        </w:rPr>
        <w:sectPr>
          <w:type w:val="continuous"/>
          <w:pgSz w:w="12240" w:h="15840"/>
          <w:pgMar w:top="1500" w:bottom="280" w:left="580" w:right="220"/>
        </w:sectPr>
      </w:pPr>
    </w:p>
    <w:p>
      <w:pPr>
        <w:pStyle w:val="BodyText"/>
        <w:spacing w:before="3"/>
        <w:rPr>
          <w:b/>
          <w:sz w:val="29"/>
        </w:rPr>
      </w:pPr>
    </w:p>
    <w:p>
      <w:pPr>
        <w:spacing w:before="77"/>
        <w:ind w:left="5548" w:right="4041" w:firstLine="0"/>
        <w:jc w:val="center"/>
        <w:rPr>
          <w:b/>
          <w:sz w:val="18"/>
        </w:rPr>
      </w:pPr>
      <w:r>
        <w:rPr/>
        <w:pict>
          <v:shape style="position:absolute;margin-left:39.599998pt;margin-top:-7.127966pt;width:251.5pt;height:110.35pt;mso-position-horizontal-relative:page;mso-position-vertical-relative:paragraph;z-index:5728" type="#_x0000_t202" filled="false" stroked="false">
            <v:textbox inset="0,0,0,0">
              <w:txbxContent>
                <w:tbl>
                  <w:tblPr>
                    <w:tblW w:w="0" w:type="auto"/>
                    <w:jc w:val="left"/>
                    <w:tblBorders>
                      <w:top w:val="single" w:sz="6" w:space="0" w:color="175977"/>
                      <w:left w:val="single" w:sz="6" w:space="0" w:color="175977"/>
                      <w:bottom w:val="single" w:sz="6" w:space="0" w:color="175977"/>
                      <w:right w:val="single" w:sz="6" w:space="0" w:color="175977"/>
                      <w:insideH w:val="single" w:sz="6" w:space="0" w:color="175977"/>
                      <w:insideV w:val="single" w:sz="6" w:space="0" w:color="175977"/>
                    </w:tblBorders>
                    <w:tblLayout w:type="fixed"/>
                    <w:tblCellMar>
                      <w:top w:w="0" w:type="dxa"/>
                      <w:left w:w="0" w:type="dxa"/>
                      <w:bottom w:w="0" w:type="dxa"/>
                      <w:right w:w="0" w:type="dxa"/>
                    </w:tblCellMar>
                    <w:tblLook w:val="01E0"/>
                  </w:tblPr>
                  <w:tblGrid>
                    <w:gridCol w:w="1891"/>
                    <w:gridCol w:w="1181"/>
                    <w:gridCol w:w="1892"/>
                  </w:tblGrid>
                  <w:tr>
                    <w:trPr>
                      <w:trHeight w:val="420" w:hRule="exact"/>
                    </w:trPr>
                    <w:tc>
                      <w:tcPr>
                        <w:tcW w:w="1891" w:type="dxa"/>
                        <w:tcBorders>
                          <w:top w:val="single" w:sz="9" w:space="0" w:color="F4F4F4"/>
                          <w:left w:val="single" w:sz="17" w:space="0" w:color="F4F4F4"/>
                          <w:bottom w:val="single" w:sz="17" w:space="0" w:color="F4F4F4"/>
                        </w:tcBorders>
                      </w:tcPr>
                      <w:p>
                        <w:pPr/>
                      </w:p>
                    </w:tc>
                    <w:tc>
                      <w:tcPr>
                        <w:tcW w:w="1181" w:type="dxa"/>
                        <w:tcBorders>
                          <w:top w:val="thickThinMediumGap" w:sz="10" w:space="0" w:color="F4F4F4"/>
                          <w:bottom w:val="single" w:sz="9" w:space="0" w:color="F4F4F4"/>
                        </w:tcBorders>
                      </w:tcPr>
                      <w:p>
                        <w:pPr>
                          <w:pStyle w:val="TableParagraph"/>
                          <w:spacing w:before="72"/>
                          <w:ind w:left="19"/>
                          <w:rPr>
                            <w:rFonts w:ascii="Arial" w:hAnsi="Arial"/>
                            <w:b/>
                            <w:sz w:val="18"/>
                          </w:rPr>
                        </w:pPr>
                        <w:r>
                          <w:rPr>
                            <w:rFonts w:ascii="Arial" w:hAnsi="Arial"/>
                            <w:b/>
                            <w:color w:val="000064"/>
                            <w:sz w:val="18"/>
                            <w:shd w:fill="C4D1E2" w:color="auto" w:val="clear"/>
                          </w:rPr>
                          <w:t>   actuación </w:t>
                        </w:r>
                      </w:p>
                    </w:tc>
                    <w:tc>
                      <w:tcPr>
                        <w:tcW w:w="1892" w:type="dxa"/>
                        <w:tcBorders>
                          <w:top w:val="single" w:sz="9" w:space="0" w:color="F4F4F4"/>
                          <w:bottom w:val="single" w:sz="17" w:space="0" w:color="F4F4F4"/>
                          <w:right w:val="single" w:sz="17" w:space="0" w:color="F4F4F4"/>
                        </w:tcBorders>
                      </w:tcPr>
                      <w:p>
                        <w:pPr/>
                      </w:p>
                    </w:tc>
                  </w:tr>
                  <w:tr>
                    <w:trPr>
                      <w:trHeight w:val="96" w:hRule="exact"/>
                    </w:trPr>
                    <w:tc>
                      <w:tcPr>
                        <w:tcW w:w="1891" w:type="dxa"/>
                        <w:vMerge w:val="restart"/>
                        <w:tcBorders>
                          <w:top w:val="single" w:sz="17" w:space="0" w:color="F4F4F4"/>
                          <w:left w:val="single" w:sz="17" w:space="0" w:color="F4F4F4"/>
                        </w:tcBorders>
                      </w:tcPr>
                      <w:p>
                        <w:pPr/>
                      </w:p>
                    </w:tc>
                    <w:tc>
                      <w:tcPr>
                        <w:tcW w:w="1181" w:type="dxa"/>
                        <w:tcBorders>
                          <w:top w:val="single" w:sz="9" w:space="0" w:color="F4F4F4"/>
                          <w:bottom w:val="nil"/>
                        </w:tcBorders>
                        <w:shd w:val="clear" w:color="auto" w:fill="C4D1E2"/>
                      </w:tcPr>
                      <w:p>
                        <w:pPr/>
                      </w:p>
                    </w:tc>
                    <w:tc>
                      <w:tcPr>
                        <w:tcW w:w="1892" w:type="dxa"/>
                        <w:vMerge w:val="restart"/>
                        <w:tcBorders>
                          <w:top w:val="single" w:sz="17" w:space="0" w:color="F4F4F4"/>
                          <w:right w:val="single" w:sz="17" w:space="0" w:color="F4F4F4"/>
                        </w:tcBorders>
                      </w:tcPr>
                      <w:p>
                        <w:pPr/>
                      </w:p>
                    </w:tc>
                  </w:tr>
                  <w:tr>
                    <w:trPr>
                      <w:trHeight w:val="549" w:hRule="exact"/>
                    </w:trPr>
                    <w:tc>
                      <w:tcPr>
                        <w:tcW w:w="1891" w:type="dxa"/>
                        <w:vMerge/>
                        <w:tcBorders>
                          <w:left w:val="single" w:sz="17" w:space="0" w:color="F4F4F4"/>
                          <w:bottom w:val="single" w:sz="24" w:space="0" w:color="F4F4F4"/>
                        </w:tcBorders>
                      </w:tcPr>
                      <w:p>
                        <w:pPr/>
                      </w:p>
                    </w:tc>
                    <w:tc>
                      <w:tcPr>
                        <w:tcW w:w="1181" w:type="dxa"/>
                        <w:tcBorders>
                          <w:top w:val="nil"/>
                          <w:bottom w:val="single" w:sz="9" w:space="0" w:color="F4F4F4"/>
                        </w:tcBorders>
                        <w:shd w:val="clear" w:color="auto" w:fill="C4D1E2"/>
                      </w:tcPr>
                      <w:p>
                        <w:pPr>
                          <w:pStyle w:val="TableParagraph"/>
                          <w:spacing w:before="12"/>
                          <w:ind w:left="297" w:right="234" w:hanging="75"/>
                          <w:rPr>
                            <w:rFonts w:ascii="Arial"/>
                            <w:b/>
                            <w:sz w:val="18"/>
                          </w:rPr>
                        </w:pPr>
                        <w:r>
                          <w:rPr>
                            <w:rFonts w:ascii="Arial"/>
                            <w:b/>
                            <w:color w:val="000064"/>
                            <w:sz w:val="18"/>
                          </w:rPr>
                          <w:t>Nivel de riesgo</w:t>
                        </w:r>
                      </w:p>
                    </w:tc>
                    <w:tc>
                      <w:tcPr>
                        <w:tcW w:w="1892" w:type="dxa"/>
                        <w:vMerge/>
                        <w:tcBorders>
                          <w:bottom w:val="single" w:sz="24" w:space="0" w:color="F4F4F4"/>
                          <w:right w:val="single" w:sz="17" w:space="0" w:color="F4F4F4"/>
                        </w:tcBorders>
                      </w:tcPr>
                      <w:p>
                        <w:pPr/>
                      </w:p>
                    </w:tc>
                  </w:tr>
                  <w:tr>
                    <w:trPr>
                      <w:trHeight w:val="1094" w:hRule="exact"/>
                    </w:trPr>
                    <w:tc>
                      <w:tcPr>
                        <w:tcW w:w="4964" w:type="dxa"/>
                        <w:gridSpan w:val="3"/>
                        <w:tcBorders>
                          <w:top w:val="single" w:sz="17" w:space="0" w:color="F4F4F4"/>
                          <w:left w:val="single" w:sz="17" w:space="0" w:color="F4F4F4"/>
                          <w:bottom w:val="single" w:sz="17" w:space="0" w:color="F4F4F4"/>
                          <w:right w:val="single" w:sz="17" w:space="0" w:color="F4F4F4"/>
                        </w:tcBorders>
                        <w:shd w:val="clear" w:color="auto" w:fill="F3F3F3"/>
                      </w:tcPr>
                      <w:p>
                        <w:pPr>
                          <w:pStyle w:val="TableParagraph"/>
                          <w:spacing w:before="3"/>
                          <w:rPr>
                            <w:sz w:val="18"/>
                          </w:rPr>
                        </w:pPr>
                      </w:p>
                      <w:p>
                        <w:pPr>
                          <w:pStyle w:val="TableParagraph"/>
                          <w:ind w:left="208"/>
                          <w:rPr>
                            <w:sz w:val="18"/>
                          </w:rPr>
                        </w:pPr>
                        <w:r>
                          <w:rPr>
                            <w:sz w:val="18"/>
                          </w:rPr>
                          <w:t>Figure 14. Diagram summarizes the application of the method</w:t>
                        </w:r>
                      </w:p>
                    </w:tc>
                  </w:tr>
                </w:tbl>
                <w:p>
                  <w:pPr>
                    <w:pStyle w:val="BodyText"/>
                  </w:pPr>
                </w:p>
              </w:txbxContent>
            </v:textbox>
            <w10:wrap type="none"/>
          </v:shape>
        </w:pict>
      </w:r>
      <w:r>
        <w:rPr>
          <w:b/>
          <w:sz w:val="18"/>
        </w:rPr>
        <w:t>REFERENCES</w:t>
      </w:r>
    </w:p>
    <w:p>
      <w:pPr>
        <w:pStyle w:val="BodyText"/>
        <w:spacing w:before="7"/>
        <w:rPr>
          <w:b/>
          <w:sz w:val="17"/>
        </w:rPr>
      </w:pPr>
    </w:p>
    <w:p>
      <w:pPr>
        <w:spacing w:before="1"/>
        <w:ind w:left="5868" w:right="1274" w:firstLine="0"/>
        <w:jc w:val="left"/>
        <w:rPr>
          <w:sz w:val="18"/>
        </w:rPr>
      </w:pPr>
      <w:r>
        <w:rPr>
          <w:sz w:val="18"/>
        </w:rPr>
        <w:t>[1] BORG, G., 1985. An Introduction to Borg's RPE-Scale. Movement Publications, Ithaca, NY.</w:t>
      </w:r>
    </w:p>
    <w:p>
      <w:pPr>
        <w:pStyle w:val="BodyText"/>
        <w:rPr>
          <w:sz w:val="18"/>
        </w:rPr>
      </w:pPr>
    </w:p>
    <w:p>
      <w:pPr>
        <w:spacing w:before="0"/>
        <w:ind w:left="5868" w:right="680" w:firstLine="0"/>
        <w:jc w:val="both"/>
        <w:rPr>
          <w:sz w:val="18"/>
        </w:rPr>
      </w:pPr>
      <w:r>
        <w:rPr>
          <w:sz w:val="18"/>
        </w:rPr>
        <w:t>[2] Hignett, S., 1994. Using Computerised OWAS for postural analysis of nursing work. In: Robertson, S. (Ed.), Contemporary Ergonomics. Taylor &amp; Francis, London, pp. 253-258.</w:t>
      </w:r>
    </w:p>
    <w:p>
      <w:pPr>
        <w:pStyle w:val="BodyText"/>
        <w:spacing w:before="3"/>
        <w:rPr>
          <w:sz w:val="11"/>
        </w:rPr>
      </w:pPr>
    </w:p>
    <w:p>
      <w:pPr>
        <w:spacing w:after="0"/>
        <w:rPr>
          <w:sz w:val="11"/>
        </w:rPr>
        <w:sectPr>
          <w:pgSz w:w="12240" w:h="15840"/>
          <w:pgMar w:header="545" w:footer="852" w:top="1060" w:bottom="1040" w:left="580" w:right="220"/>
        </w:sectPr>
      </w:pPr>
    </w:p>
    <w:p>
      <w:pPr>
        <w:pStyle w:val="BodyText"/>
        <w:rPr>
          <w:sz w:val="18"/>
        </w:rPr>
      </w:pPr>
    </w:p>
    <w:p>
      <w:pPr>
        <w:pStyle w:val="BodyText"/>
        <w:rPr>
          <w:sz w:val="18"/>
        </w:rPr>
      </w:pPr>
    </w:p>
    <w:p>
      <w:pPr>
        <w:pStyle w:val="BodyText"/>
        <w:rPr>
          <w:sz w:val="18"/>
        </w:rPr>
      </w:pPr>
    </w:p>
    <w:p>
      <w:pPr>
        <w:pStyle w:val="BodyText"/>
        <w:spacing w:before="3"/>
        <w:rPr>
          <w:sz w:val="18"/>
        </w:rPr>
      </w:pPr>
    </w:p>
    <w:p>
      <w:pPr>
        <w:pStyle w:val="ListParagraph"/>
        <w:numPr>
          <w:ilvl w:val="1"/>
          <w:numId w:val="56"/>
        </w:numPr>
        <w:tabs>
          <w:tab w:pos="978" w:val="left" w:leader="none"/>
          <w:tab w:pos="979" w:val="left" w:leader="none"/>
        </w:tabs>
        <w:spacing w:line="240" w:lineRule="auto" w:before="0" w:after="0"/>
        <w:ind w:left="978" w:right="0" w:hanging="348"/>
        <w:jc w:val="left"/>
        <w:rPr>
          <w:b/>
          <w:sz w:val="18"/>
        </w:rPr>
      </w:pPr>
      <w:r>
        <w:rPr>
          <w:b/>
          <w:sz w:val="18"/>
        </w:rPr>
        <w:t>CONCLUSIONS</w:t>
      </w:r>
    </w:p>
    <w:p>
      <w:pPr>
        <w:pStyle w:val="BodyText"/>
        <w:spacing w:before="7"/>
        <w:rPr>
          <w:b/>
          <w:sz w:val="17"/>
        </w:rPr>
      </w:pPr>
    </w:p>
    <w:p>
      <w:pPr>
        <w:spacing w:before="1"/>
        <w:ind w:left="270" w:right="0" w:firstLine="0"/>
        <w:jc w:val="both"/>
        <w:rPr>
          <w:sz w:val="18"/>
        </w:rPr>
      </w:pPr>
      <w:r>
        <w:rPr>
          <w:sz w:val="18"/>
        </w:rPr>
        <w:t>According to the results obtained by the REBA method, we found that the risk of welding work to eliminate the high level of risk, so  it is necessary to take immediate measures to safeguard the integrity of the worker in the</w:t>
      </w:r>
      <w:r>
        <w:rPr>
          <w:spacing w:val="-10"/>
          <w:sz w:val="18"/>
        </w:rPr>
        <w:t> </w:t>
      </w:r>
      <w:r>
        <w:rPr>
          <w:sz w:val="18"/>
        </w:rPr>
        <w:t>study.</w:t>
      </w:r>
    </w:p>
    <w:p>
      <w:pPr>
        <w:spacing w:before="0"/>
        <w:ind w:left="270" w:right="0" w:firstLine="397"/>
        <w:jc w:val="both"/>
        <w:rPr>
          <w:sz w:val="18"/>
        </w:rPr>
      </w:pPr>
      <w:r>
        <w:rPr>
          <w:sz w:val="18"/>
        </w:rPr>
        <w:t>The REBA method guide the evaluator on whether or not to propose corrective actions on certain positions. Moreover, the individual scores for body segments, the load, the grip and the activity may guide the assessor on aspects with more ergonomic problems and thus target their prevention efforts accordingly.</w:t>
      </w:r>
    </w:p>
    <w:p>
      <w:pPr>
        <w:spacing w:before="0"/>
        <w:ind w:left="270" w:right="1" w:firstLine="397"/>
        <w:jc w:val="both"/>
        <w:rPr>
          <w:sz w:val="18"/>
        </w:rPr>
      </w:pPr>
      <w:r>
        <w:rPr>
          <w:sz w:val="18"/>
        </w:rPr>
        <w:t>If finally posture corrections / s were applied evaluated are advised to check the correct action to the implementation of REBA method to the proposed solution, ensuring the effectiveness of the changes.</w:t>
      </w:r>
    </w:p>
    <w:p>
      <w:pPr>
        <w:spacing w:before="0"/>
        <w:ind w:left="270" w:right="0" w:firstLine="397"/>
        <w:jc w:val="both"/>
        <w:rPr>
          <w:sz w:val="18"/>
        </w:rPr>
      </w:pPr>
      <w:r>
        <w:rPr>
          <w:sz w:val="18"/>
        </w:rPr>
        <w:t>In regard to health protection is sought in ergonomics reduce or prevent diseases generated by work. Many of the diseases that appear in older people, are not due to aging of the body but are the consequences of a number of sobresolicitaciones, such as unnatural postures, repetitive movements or unsuitable, exposure to noise, vibration, gases , lighting, etc., which over time affect the body, so that it seeks to reduce and compensate such on sub solicitations solicitations.</w:t>
      </w:r>
    </w:p>
    <w:p>
      <w:pPr>
        <w:spacing w:before="0"/>
        <w:ind w:left="270" w:right="1" w:firstLine="357"/>
        <w:jc w:val="both"/>
        <w:rPr>
          <w:sz w:val="18"/>
        </w:rPr>
      </w:pPr>
      <w:r>
        <w:rPr>
          <w:sz w:val="18"/>
        </w:rPr>
        <w:t>Social adaptation is also seeking in order to guarantee social norms, when you are or you are prescribed by laws, ordinances, regulations, internal policies or collective agreements; fostering right human relations.</w:t>
      </w:r>
    </w:p>
    <w:p>
      <w:pPr>
        <w:pStyle w:val="BodyText"/>
        <w:rPr>
          <w:sz w:val="18"/>
        </w:rPr>
      </w:pPr>
    </w:p>
    <w:p>
      <w:pPr>
        <w:pStyle w:val="BodyText"/>
        <w:spacing w:before="3"/>
        <w:rPr>
          <w:sz w:val="18"/>
        </w:rPr>
      </w:pPr>
    </w:p>
    <w:p>
      <w:pPr>
        <w:pStyle w:val="ListParagraph"/>
        <w:numPr>
          <w:ilvl w:val="1"/>
          <w:numId w:val="56"/>
        </w:numPr>
        <w:tabs>
          <w:tab w:pos="978" w:val="left" w:leader="none"/>
          <w:tab w:pos="979" w:val="left" w:leader="none"/>
        </w:tabs>
        <w:spacing w:line="205" w:lineRule="exact" w:before="0" w:after="0"/>
        <w:ind w:left="978" w:right="0" w:hanging="350"/>
        <w:jc w:val="left"/>
        <w:rPr>
          <w:b/>
          <w:sz w:val="18"/>
        </w:rPr>
      </w:pPr>
      <w:r>
        <w:rPr>
          <w:b/>
          <w:sz w:val="18"/>
        </w:rPr>
        <w:t>IMPROVEMENT</w:t>
      </w:r>
      <w:r>
        <w:rPr>
          <w:b/>
          <w:spacing w:val="-19"/>
          <w:sz w:val="18"/>
        </w:rPr>
        <w:t> </w:t>
      </w:r>
      <w:r>
        <w:rPr>
          <w:b/>
          <w:sz w:val="18"/>
        </w:rPr>
        <w:t>PROPOSALS</w:t>
      </w:r>
    </w:p>
    <w:p>
      <w:pPr>
        <w:spacing w:before="0"/>
        <w:ind w:left="270" w:right="0" w:firstLine="0"/>
        <w:jc w:val="both"/>
        <w:rPr>
          <w:sz w:val="18"/>
        </w:rPr>
      </w:pPr>
      <w:r>
        <w:rPr>
          <w:sz w:val="18"/>
        </w:rPr>
        <w:t>Assistance to the Medical Service workers periodic hearing tests performed for control and monitoring. Structural changes in those areas where equipment operation produces awkward postures.</w:t>
      </w:r>
    </w:p>
    <w:p>
      <w:pPr>
        <w:spacing w:before="0"/>
        <w:ind w:left="270" w:right="0" w:firstLine="397"/>
        <w:jc w:val="both"/>
        <w:rPr>
          <w:sz w:val="18"/>
        </w:rPr>
      </w:pPr>
      <w:r>
        <w:rPr>
          <w:sz w:val="18"/>
        </w:rPr>
        <w:t>Perform thorough studies awkward postures and lifting of loads using the REBA methods to obtain a more detailed assessment.</w:t>
      </w:r>
    </w:p>
    <w:p>
      <w:pPr>
        <w:spacing w:before="0"/>
        <w:ind w:left="270" w:right="1" w:firstLine="397"/>
        <w:jc w:val="both"/>
        <w:rPr>
          <w:sz w:val="18"/>
        </w:rPr>
      </w:pPr>
      <w:r>
        <w:rPr>
          <w:sz w:val="18"/>
        </w:rPr>
        <w:t>Train staff on issues related to hearing protection, respiratory protection, protective skeletal muscle.</w:t>
      </w:r>
    </w:p>
    <w:p>
      <w:pPr>
        <w:spacing w:before="0"/>
        <w:ind w:left="270" w:right="0" w:firstLine="397"/>
        <w:jc w:val="both"/>
        <w:rPr>
          <w:sz w:val="18"/>
        </w:rPr>
      </w:pPr>
      <w:r>
        <w:rPr>
          <w:sz w:val="18"/>
        </w:rPr>
        <w:t>Perform and monitor environmental measurements taken at different plant operating states.</w:t>
      </w:r>
    </w:p>
    <w:p>
      <w:pPr>
        <w:spacing w:before="0"/>
        <w:ind w:left="270" w:right="1" w:firstLine="397"/>
        <w:jc w:val="both"/>
        <w:rPr>
          <w:sz w:val="18"/>
        </w:rPr>
      </w:pPr>
      <w:r>
        <w:rPr>
          <w:sz w:val="18"/>
        </w:rPr>
        <w:t>The implementation of activities will be proposed complementary to help workers improve their posture perform activities and to remember that actions should or should not to do.</w:t>
      </w:r>
    </w:p>
    <w:p>
      <w:pPr>
        <w:spacing w:before="0"/>
        <w:ind w:left="270" w:right="0" w:firstLine="397"/>
        <w:jc w:val="both"/>
        <w:rPr>
          <w:sz w:val="18"/>
        </w:rPr>
      </w:pPr>
      <w:r>
        <w:rPr>
          <w:sz w:val="18"/>
        </w:rPr>
        <w:t>Another proposal for the worker welding workshop serious when a repetitive activity is done take a break for exercise and movement in his hands and wrists.</w:t>
      </w:r>
    </w:p>
    <w:p>
      <w:pPr>
        <w:spacing w:before="0"/>
        <w:ind w:left="270" w:right="1" w:firstLine="397"/>
        <w:jc w:val="both"/>
        <w:rPr>
          <w:sz w:val="18"/>
        </w:rPr>
      </w:pPr>
      <w:r>
        <w:rPr>
          <w:sz w:val="18"/>
        </w:rPr>
        <w:t>It is necessary for strengthening exercises and physical examples of manual loads are performed before exercising their activities. this Thing improve the working positions, rhythms and forces exerted.</w:t>
      </w:r>
    </w:p>
    <w:p>
      <w:pPr>
        <w:spacing w:before="77"/>
        <w:ind w:left="270" w:right="677" w:firstLine="0"/>
        <w:jc w:val="both"/>
        <w:rPr>
          <w:sz w:val="18"/>
        </w:rPr>
      </w:pPr>
      <w:r>
        <w:rPr/>
        <w:br w:type="column"/>
      </w:r>
      <w:r>
        <w:rPr>
          <w:sz w:val="18"/>
        </w:rPr>
        <w:t>[3] Karhu, O., Kansi, P., and Kuorinka, L., 1977, Correcting working postures in industry: A practical method for analysis. Applied Ergonomics, 8, pp. 199-201.</w:t>
      </w:r>
    </w:p>
    <w:p>
      <w:pPr>
        <w:pStyle w:val="BodyText"/>
        <w:rPr>
          <w:sz w:val="18"/>
        </w:rPr>
      </w:pPr>
    </w:p>
    <w:p>
      <w:pPr>
        <w:spacing w:before="0"/>
        <w:ind w:left="270" w:right="678" w:firstLine="0"/>
        <w:jc w:val="both"/>
        <w:rPr>
          <w:sz w:val="18"/>
        </w:rPr>
      </w:pPr>
      <w:r>
        <w:rPr>
          <w:sz w:val="18"/>
        </w:rPr>
        <w:t>[4] NTP 601: Evaluation of working conditions: postural load. Method REBA (Rapid Entire Body Assessment). INSHT.</w:t>
      </w:r>
    </w:p>
    <w:p>
      <w:pPr>
        <w:pStyle w:val="BodyText"/>
        <w:rPr>
          <w:sz w:val="18"/>
        </w:rPr>
      </w:pPr>
    </w:p>
    <w:p>
      <w:pPr>
        <w:spacing w:before="0"/>
        <w:ind w:left="270" w:right="677" w:firstLine="0"/>
        <w:jc w:val="both"/>
        <w:rPr>
          <w:sz w:val="18"/>
        </w:rPr>
      </w:pPr>
      <w:r>
        <w:rPr>
          <w:sz w:val="18"/>
        </w:rPr>
        <w:t>[5] VALENCIA, Adolfo, 2012-Y. Industrial Ergonomics. Teaching material. Lima: Pontifical Catholic University of Peru. Faculty of Sciences Engineering. Consultation August 15, 2012.</w:t>
      </w:r>
    </w:p>
    <w:p>
      <w:pPr>
        <w:pStyle w:val="BodyText"/>
        <w:rPr>
          <w:sz w:val="18"/>
        </w:rPr>
      </w:pPr>
    </w:p>
    <w:p>
      <w:pPr>
        <w:spacing w:before="0"/>
        <w:ind w:left="270" w:right="679" w:firstLine="0"/>
        <w:jc w:val="both"/>
        <w:rPr>
          <w:sz w:val="18"/>
        </w:rPr>
      </w:pPr>
      <w:r>
        <w:rPr>
          <w:sz w:val="18"/>
        </w:rPr>
        <w:t>[6] VALLEJO GONZALEZ, José Luis (2002) Occupational Ergonomics SC Occupational musculoskeletal injuries origin. Consultation 15 January 2014.</w:t>
      </w:r>
    </w:p>
    <w:p>
      <w:pPr>
        <w:pStyle w:val="BodyText"/>
        <w:rPr>
          <w:sz w:val="18"/>
        </w:rPr>
      </w:pPr>
    </w:p>
    <w:p>
      <w:pPr>
        <w:spacing w:before="0"/>
        <w:ind w:left="270" w:right="677" w:firstLine="0"/>
        <w:jc w:val="both"/>
        <w:rPr>
          <w:sz w:val="18"/>
        </w:rPr>
      </w:pPr>
      <w:r>
        <w:rPr>
          <w:sz w:val="18"/>
        </w:rPr>
        <w:t>[7] Waters, TR, Putz-Anderson, V., Garg, A., Fine, LJ, 1993. Revised NIOSH equation for the design and evaluation of manually lifting tasks. Ergonomics 36 (7).</w:t>
      </w:r>
    </w:p>
    <w:p>
      <w:pPr>
        <w:spacing w:after="0"/>
        <w:jc w:val="both"/>
        <w:rPr>
          <w:sz w:val="18"/>
        </w:rPr>
        <w:sectPr>
          <w:type w:val="continuous"/>
          <w:pgSz w:w="12240" w:h="15840"/>
          <w:pgMar w:top="1500" w:bottom="280" w:left="580" w:right="220"/>
          <w:cols w:num="2" w:equalWidth="0">
            <w:col w:w="5163" w:space="435"/>
            <w:col w:w="5842"/>
          </w:cols>
        </w:sectPr>
      </w:pPr>
    </w:p>
    <w:p>
      <w:pPr>
        <w:pStyle w:val="BodyText"/>
        <w:rPr>
          <w:sz w:val="11"/>
        </w:rPr>
      </w:pPr>
    </w:p>
    <w:p>
      <w:pPr>
        <w:spacing w:after="0"/>
        <w:rPr>
          <w:sz w:val="11"/>
        </w:rPr>
        <w:sectPr>
          <w:pgSz w:w="12240" w:h="15840"/>
          <w:pgMar w:header="545" w:footer="852" w:top="1060" w:bottom="1040" w:left="580" w:right="220"/>
        </w:sectPr>
      </w:pPr>
    </w:p>
    <w:p>
      <w:pPr>
        <w:pStyle w:val="BodyText"/>
        <w:spacing w:before="11"/>
        <w:rPr>
          <w:sz w:val="24"/>
        </w:rPr>
      </w:pPr>
    </w:p>
    <w:p>
      <w:pPr>
        <w:pStyle w:val="Heading1"/>
        <w:ind w:left="275" w:right="6"/>
        <w:jc w:val="center"/>
      </w:pPr>
      <w:r>
        <w:rPr/>
        <w:t>Analysis and redesign of workstation in turning brake and tire balancing to ergonomically improve their operation</w:t>
      </w:r>
    </w:p>
    <w:p>
      <w:pPr>
        <w:spacing w:line="206" w:lineRule="exact" w:before="207"/>
        <w:ind w:left="1276" w:right="77" w:hanging="916"/>
        <w:jc w:val="left"/>
        <w:rPr>
          <w:i/>
          <w:sz w:val="12"/>
        </w:rPr>
      </w:pPr>
      <w:r>
        <w:rPr>
          <w:i/>
          <w:sz w:val="18"/>
        </w:rPr>
        <w:t>Rigoberto Zamora Alarcón</w:t>
      </w:r>
      <w:r>
        <w:rPr>
          <w:i/>
          <w:position w:val="8"/>
          <w:sz w:val="12"/>
        </w:rPr>
        <w:t>a</w:t>
      </w:r>
      <w:r>
        <w:rPr>
          <w:i/>
          <w:sz w:val="18"/>
        </w:rPr>
        <w:t>, Víctor Nuño Moreno</w:t>
      </w:r>
      <w:r>
        <w:rPr>
          <w:i/>
          <w:position w:val="8"/>
          <w:sz w:val="12"/>
        </w:rPr>
        <w:t>b</w:t>
      </w:r>
      <w:r>
        <w:rPr>
          <w:i/>
          <w:sz w:val="18"/>
        </w:rPr>
        <w:t>, Edson Pérez </w:t>
      </w:r>
      <w:r>
        <w:rPr>
          <w:i/>
          <w:sz w:val="18"/>
        </w:rPr>
        <w:t>Noyola</w:t>
      </w:r>
      <w:r>
        <w:rPr>
          <w:i/>
          <w:position w:val="8"/>
          <w:sz w:val="12"/>
        </w:rPr>
        <w:t>c</w:t>
      </w:r>
      <w:r>
        <w:rPr>
          <w:i/>
          <w:sz w:val="18"/>
        </w:rPr>
        <w:t>, José Mario Pérez Talamantes</w:t>
      </w:r>
      <w:r>
        <w:rPr>
          <w:i/>
          <w:position w:val="8"/>
          <w:sz w:val="12"/>
        </w:rPr>
        <w:t>d</w:t>
      </w:r>
    </w:p>
    <w:p>
      <w:pPr>
        <w:pStyle w:val="BodyText"/>
        <w:spacing w:before="8"/>
        <w:rPr>
          <w:i/>
          <w:sz w:val="15"/>
        </w:rPr>
      </w:pPr>
    </w:p>
    <w:p>
      <w:pPr>
        <w:spacing w:before="0"/>
        <w:ind w:left="270" w:right="1" w:firstLine="0"/>
        <w:jc w:val="both"/>
        <w:rPr>
          <w:sz w:val="18"/>
        </w:rPr>
      </w:pPr>
      <w:r>
        <w:rPr>
          <w:position w:val="8"/>
          <w:sz w:val="12"/>
        </w:rPr>
        <w:t>a</w:t>
      </w:r>
      <w:r>
        <w:rPr>
          <w:sz w:val="18"/>
        </w:rPr>
        <w:t>Universidad Autónoma de Baja California-Instituto Tecnológico Mexicali, </w:t>
      </w:r>
      <w:hyperlink r:id="rId187">
        <w:r>
          <w:rPr>
            <w:sz w:val="18"/>
          </w:rPr>
          <w:t>zamora@uabc.edu.mx,</w:t>
        </w:r>
      </w:hyperlink>
      <w:r>
        <w:rPr>
          <w:sz w:val="18"/>
        </w:rPr>
        <w:t> Mexicali, Baja California, México.</w:t>
      </w:r>
    </w:p>
    <w:p>
      <w:pPr>
        <w:spacing w:line="208" w:lineRule="exact" w:before="1"/>
        <w:ind w:left="270" w:right="1" w:firstLine="0"/>
        <w:jc w:val="both"/>
        <w:rPr>
          <w:sz w:val="18"/>
        </w:rPr>
      </w:pPr>
      <w:r>
        <w:rPr>
          <w:position w:val="8"/>
          <w:sz w:val="12"/>
        </w:rPr>
        <w:t>b</w:t>
      </w:r>
      <w:r>
        <w:rPr>
          <w:sz w:val="18"/>
        </w:rPr>
        <w:t>Universidad Autónoma de Baja California, </w:t>
      </w:r>
      <w:hyperlink r:id="rId188">
        <w:r>
          <w:rPr>
            <w:sz w:val="18"/>
          </w:rPr>
          <w:t>vnu</w:t>
        </w:r>
      </w:hyperlink>
      <w:hyperlink r:id="rId189">
        <w:r>
          <w:rPr>
            <w:sz w:val="18"/>
          </w:rPr>
          <w:t>no@uabc.edu.mx,</w:t>
        </w:r>
      </w:hyperlink>
      <w:r>
        <w:rPr>
          <w:sz w:val="18"/>
        </w:rPr>
        <w:t> Mexicali, Baja California, México.</w:t>
      </w:r>
    </w:p>
    <w:p>
      <w:pPr>
        <w:tabs>
          <w:tab w:pos="1684" w:val="left" w:leader="none"/>
          <w:tab w:pos="2925" w:val="left" w:leader="none"/>
          <w:tab w:pos="3575" w:val="left" w:leader="none"/>
          <w:tab w:pos="4386" w:val="left" w:leader="none"/>
        </w:tabs>
        <w:spacing w:line="204" w:lineRule="exact" w:before="0"/>
        <w:ind w:left="270" w:right="0" w:firstLine="0"/>
        <w:jc w:val="both"/>
        <w:rPr>
          <w:sz w:val="18"/>
        </w:rPr>
      </w:pPr>
      <w:r>
        <w:rPr>
          <w:position w:val="8"/>
          <w:sz w:val="12"/>
        </w:rPr>
        <w:t>c</w:t>
      </w:r>
      <w:r>
        <w:rPr>
          <w:sz w:val="18"/>
        </w:rPr>
        <w:t>Universidad</w:t>
        <w:tab/>
        <w:t>Autónoma</w:t>
        <w:tab/>
        <w:t>de</w:t>
        <w:tab/>
        <w:t>Baja</w:t>
        <w:tab/>
        <w:t>California,</w:t>
      </w:r>
    </w:p>
    <w:p>
      <w:pPr>
        <w:tabs>
          <w:tab w:pos="1689" w:val="left" w:leader="none"/>
          <w:tab w:pos="2929" w:val="left" w:leader="none"/>
          <w:tab w:pos="3577" w:val="left" w:leader="none"/>
          <w:tab w:pos="4386" w:val="left" w:leader="none"/>
        </w:tabs>
        <w:spacing w:line="225" w:lineRule="auto" w:before="10"/>
        <w:ind w:left="270" w:right="1" w:firstLine="0"/>
        <w:jc w:val="left"/>
        <w:rPr>
          <w:sz w:val="18"/>
        </w:rPr>
      </w:pPr>
      <w:hyperlink r:id="rId190">
        <w:r>
          <w:rPr>
            <w:sz w:val="18"/>
          </w:rPr>
          <w:t>edson.aem@gmail.com,</w:t>
        </w:r>
      </w:hyperlink>
      <w:r>
        <w:rPr>
          <w:sz w:val="18"/>
        </w:rPr>
        <w:t> Mexicali, Baja California, México. </w:t>
      </w:r>
      <w:r>
        <w:rPr>
          <w:position w:val="8"/>
          <w:sz w:val="12"/>
        </w:rPr>
        <w:t>d</w:t>
      </w:r>
      <w:r>
        <w:rPr>
          <w:sz w:val="18"/>
        </w:rPr>
        <w:t>Universidad</w:t>
        <w:tab/>
        <w:t>Autónoma</w:t>
        <w:tab/>
        <w:t>de</w:t>
        <w:tab/>
        <w:t>Baja</w:t>
        <w:tab/>
        <w:t>California, </w:t>
      </w:r>
      <w:hyperlink r:id="rId191">
        <w:r>
          <w:rPr>
            <w:sz w:val="18"/>
          </w:rPr>
          <w:t>jperez18@uabc.edu.mx,</w:t>
        </w:r>
      </w:hyperlink>
      <w:r>
        <w:rPr>
          <w:sz w:val="18"/>
        </w:rPr>
        <w:t> Mexicali, Baja California,</w:t>
      </w:r>
      <w:r>
        <w:rPr>
          <w:spacing w:val="-11"/>
          <w:sz w:val="18"/>
        </w:rPr>
        <w:t> </w:t>
      </w:r>
      <w:r>
        <w:rPr>
          <w:sz w:val="18"/>
        </w:rPr>
        <w:t>México.</w:t>
      </w:r>
    </w:p>
    <w:p>
      <w:pPr>
        <w:pStyle w:val="BodyText"/>
        <w:spacing w:before="7"/>
        <w:rPr>
          <w:sz w:val="18"/>
        </w:rPr>
      </w:pPr>
    </w:p>
    <w:p>
      <w:pPr>
        <w:spacing w:before="0"/>
        <w:ind w:left="270" w:right="0" w:firstLine="0"/>
        <w:jc w:val="both"/>
        <w:rPr>
          <w:b/>
          <w:sz w:val="18"/>
        </w:rPr>
      </w:pPr>
      <w:r>
        <w:rPr/>
        <w:pict>
          <v:line style="position:absolute;mso-position-horizontal-relative:page;mso-position-vertical-relative:paragraph;z-index:5752" from="41.040001pt,12.092354pt" to="288.540001pt,12.092354pt" stroked="true" strokeweight="1.5pt" strokecolor="#000000">
            <w10:wrap type="none"/>
          </v:line>
        </w:pict>
      </w:r>
      <w:r>
        <w:rPr>
          <w:b/>
          <w:sz w:val="18"/>
        </w:rPr>
        <w:t>Resumen</w:t>
      </w:r>
    </w:p>
    <w:p>
      <w:pPr>
        <w:spacing w:before="45"/>
        <w:ind w:left="270" w:right="1" w:firstLine="0"/>
        <w:jc w:val="both"/>
        <w:rPr>
          <w:sz w:val="18"/>
        </w:rPr>
      </w:pPr>
      <w:r>
        <w:rPr>
          <w:sz w:val="18"/>
        </w:rPr>
        <w:t>Análisis aplicado en taller automotriz dedicado a servicio de frenos, alineación, balanceo y cambio de llantas.</w:t>
      </w:r>
    </w:p>
    <w:p>
      <w:pPr>
        <w:spacing w:before="0"/>
        <w:ind w:left="270" w:right="0" w:firstLine="0"/>
        <w:jc w:val="both"/>
        <w:rPr>
          <w:sz w:val="18"/>
        </w:rPr>
      </w:pPr>
      <w:r>
        <w:rPr>
          <w:sz w:val="18"/>
        </w:rPr>
        <w:t>Previamente se determinaron los trabajos con condiciones ergonómicas críticas en su operación.</w:t>
      </w:r>
    </w:p>
    <w:p>
      <w:pPr>
        <w:spacing w:before="0"/>
        <w:ind w:left="270" w:right="0" w:firstLine="0"/>
        <w:jc w:val="both"/>
        <w:rPr>
          <w:sz w:val="18"/>
        </w:rPr>
      </w:pPr>
      <w:r>
        <w:rPr>
          <w:sz w:val="18"/>
        </w:rPr>
        <w:t>Se evaluó el confort del operador con matriz de riesgo, se  realizaron mediciones antropométricas para obtener indicadores de percentiles útiles a la aplicación de frenado y balanceo en las respectivas maquinas de torno y balanceo</w:t>
      </w:r>
      <w:r>
        <w:rPr>
          <w:spacing w:val="-11"/>
          <w:sz w:val="18"/>
        </w:rPr>
        <w:t> </w:t>
      </w:r>
      <w:r>
        <w:rPr>
          <w:sz w:val="18"/>
        </w:rPr>
        <w:t>correspondientes.</w:t>
      </w:r>
    </w:p>
    <w:p>
      <w:pPr>
        <w:spacing w:before="0"/>
        <w:ind w:left="270" w:right="1" w:firstLine="0"/>
        <w:jc w:val="both"/>
        <w:rPr>
          <w:sz w:val="18"/>
        </w:rPr>
      </w:pPr>
      <w:r>
        <w:rPr>
          <w:sz w:val="18"/>
        </w:rPr>
        <w:t>Se evaluaron las condiciones a partir de los indicaciones marcadas por las normas Mexicanas correspondientes, así como de la matriz de de riesgo y listas de verificación para validar el confort en el que se encuentran los operadores en esas áreas de trabajo.</w:t>
      </w:r>
    </w:p>
    <w:p>
      <w:pPr>
        <w:spacing w:before="0"/>
        <w:ind w:left="270" w:right="1" w:firstLine="0"/>
        <w:jc w:val="both"/>
        <w:rPr>
          <w:sz w:val="18"/>
        </w:rPr>
      </w:pPr>
      <w:r>
        <w:rPr>
          <w:sz w:val="18"/>
        </w:rPr>
        <w:t>Se aplicaron los métodos de Evaluación ergonómica en las estaciones con RULA (Rapid Upper Limb Assessment) y Sue Rodgers</w:t>
      </w:r>
    </w:p>
    <w:p>
      <w:pPr>
        <w:spacing w:before="0"/>
        <w:ind w:left="270" w:right="1" w:firstLine="708"/>
        <w:jc w:val="both"/>
        <w:rPr>
          <w:sz w:val="18"/>
        </w:rPr>
      </w:pPr>
      <w:r>
        <w:rPr>
          <w:sz w:val="18"/>
        </w:rPr>
        <w:t>Para aplicar los cambios, se necesito implementar un análisis y evaluación de los procesos, con diagnósticos y sistemas de mejora industrial.</w:t>
      </w:r>
    </w:p>
    <w:p>
      <w:pPr>
        <w:pStyle w:val="BodyText"/>
        <w:rPr>
          <w:sz w:val="18"/>
        </w:rPr>
      </w:pPr>
    </w:p>
    <w:p>
      <w:pPr>
        <w:spacing w:before="0"/>
        <w:ind w:left="270" w:right="0" w:firstLine="0"/>
        <w:jc w:val="both"/>
        <w:rPr>
          <w:sz w:val="18"/>
        </w:rPr>
      </w:pPr>
      <w:r>
        <w:rPr>
          <w:b/>
          <w:sz w:val="18"/>
        </w:rPr>
        <w:t>Palabras clave</w:t>
      </w:r>
      <w:r>
        <w:rPr>
          <w:sz w:val="18"/>
        </w:rPr>
        <w:t>— Matriz de Riesgo, RULA, Sue Rodgers</w:t>
      </w:r>
    </w:p>
    <w:p>
      <w:pPr>
        <w:pStyle w:val="BodyText"/>
        <w:rPr>
          <w:sz w:val="18"/>
        </w:rPr>
      </w:pPr>
    </w:p>
    <w:p>
      <w:pPr>
        <w:pStyle w:val="BodyText"/>
        <w:spacing w:before="6"/>
        <w:rPr>
          <w:sz w:val="18"/>
        </w:rPr>
      </w:pPr>
    </w:p>
    <w:p>
      <w:pPr>
        <w:spacing w:before="0"/>
        <w:ind w:left="270" w:right="0" w:firstLine="0"/>
        <w:jc w:val="both"/>
        <w:rPr>
          <w:b/>
          <w:i/>
          <w:sz w:val="18"/>
        </w:rPr>
      </w:pPr>
      <w:r>
        <w:rPr/>
        <w:pict>
          <v:line style="position:absolute;mso-position-horizontal-relative:page;mso-position-vertical-relative:paragraph;z-index:5776" from="41.040001pt,12.031737pt" to="288.540001pt,12.031737pt" stroked="true" strokeweight="1.5pt" strokecolor="#000000">
            <w10:wrap type="none"/>
          </v:line>
        </w:pict>
      </w:r>
      <w:r>
        <w:rPr>
          <w:b/>
          <w:i/>
          <w:sz w:val="18"/>
        </w:rPr>
        <w:t>Abstract</w:t>
      </w:r>
    </w:p>
    <w:p>
      <w:pPr>
        <w:spacing w:before="44"/>
        <w:ind w:left="270" w:right="400" w:firstLine="0"/>
        <w:jc w:val="left"/>
        <w:rPr>
          <w:sz w:val="18"/>
        </w:rPr>
      </w:pPr>
      <w:r>
        <w:rPr>
          <w:sz w:val="18"/>
        </w:rPr>
        <w:t>Analysis applied in automotive workshop dedicated to service brakes, alignment, balancing and tire change.</w:t>
      </w:r>
    </w:p>
    <w:p>
      <w:pPr>
        <w:spacing w:before="0"/>
        <w:ind w:left="270" w:right="130" w:firstLine="0"/>
        <w:jc w:val="left"/>
        <w:rPr>
          <w:sz w:val="18"/>
        </w:rPr>
      </w:pPr>
      <w:r>
        <w:rPr>
          <w:sz w:val="18"/>
        </w:rPr>
        <w:t>Previously determined work with ergonomic conditions critical in its operation.</w:t>
      </w:r>
    </w:p>
    <w:p>
      <w:pPr>
        <w:spacing w:before="0"/>
        <w:ind w:left="270" w:right="0" w:firstLine="0"/>
        <w:jc w:val="both"/>
        <w:rPr>
          <w:sz w:val="18"/>
        </w:rPr>
      </w:pPr>
      <w:r>
        <w:rPr>
          <w:sz w:val="18"/>
        </w:rPr>
        <w:t>Assessed risk matrix operator comfort, anthropometric measurements were performed to obtain indicators of useful percentiles to the application of braking and rolling in the  respective corresponding lathe and rolling</w:t>
      </w:r>
      <w:r>
        <w:rPr>
          <w:spacing w:val="-8"/>
          <w:sz w:val="18"/>
        </w:rPr>
        <w:t> </w:t>
      </w:r>
      <w:r>
        <w:rPr>
          <w:sz w:val="18"/>
        </w:rPr>
        <w:t>machines.</w:t>
      </w:r>
    </w:p>
    <w:p>
      <w:pPr>
        <w:spacing w:before="0"/>
        <w:ind w:left="270" w:right="5" w:firstLine="0"/>
        <w:jc w:val="left"/>
        <w:rPr>
          <w:sz w:val="18"/>
        </w:rPr>
      </w:pPr>
      <w:r>
        <w:rPr>
          <w:sz w:val="18"/>
        </w:rPr>
        <w:t>We assessed the conditions from the indications marked by Mexican standards, as well as the matrix of risk and checklists to validate the comfort in which operators are in those areas of work. Applied methods of ergonomic evaluation in stations with RULA (Rapid Upper Limb Assessment) and Sue Rodgers</w:t>
      </w:r>
    </w:p>
    <w:p>
      <w:pPr>
        <w:spacing w:before="0"/>
        <w:ind w:left="270" w:right="1" w:firstLine="0"/>
        <w:jc w:val="both"/>
        <w:rPr>
          <w:sz w:val="18"/>
        </w:rPr>
      </w:pPr>
      <w:r>
        <w:rPr>
          <w:sz w:val="18"/>
        </w:rPr>
        <w:t>To apply the changes, is need to implement an analysis and evaluation of the processes, with Diagnostics and industrial improvement systems.</w:t>
      </w:r>
    </w:p>
    <w:p>
      <w:pPr>
        <w:pStyle w:val="BodyText"/>
        <w:rPr>
          <w:sz w:val="18"/>
        </w:rPr>
      </w:pPr>
    </w:p>
    <w:p>
      <w:pPr>
        <w:spacing w:before="0"/>
        <w:ind w:left="270" w:right="0" w:firstLine="0"/>
        <w:jc w:val="both"/>
        <w:rPr>
          <w:i/>
          <w:sz w:val="18"/>
        </w:rPr>
      </w:pPr>
      <w:r>
        <w:rPr>
          <w:b/>
          <w:i/>
          <w:sz w:val="18"/>
        </w:rPr>
        <w:t>Keywords</w:t>
      </w:r>
      <w:r>
        <w:rPr>
          <w:i/>
          <w:sz w:val="18"/>
        </w:rPr>
        <w:t>— Risk matrix, RULA, Sue Rodgers</w:t>
      </w:r>
    </w:p>
    <w:p>
      <w:pPr>
        <w:pStyle w:val="BodyText"/>
        <w:spacing w:before="3"/>
        <w:rPr>
          <w:i/>
          <w:sz w:val="18"/>
        </w:rPr>
      </w:pPr>
    </w:p>
    <w:p>
      <w:pPr>
        <w:pStyle w:val="ListParagraph"/>
        <w:numPr>
          <w:ilvl w:val="0"/>
          <w:numId w:val="57"/>
        </w:numPr>
        <w:tabs>
          <w:tab w:pos="452" w:val="left" w:leader="none"/>
        </w:tabs>
        <w:spacing w:line="240" w:lineRule="auto" w:before="0" w:after="0"/>
        <w:ind w:left="451" w:right="0" w:hanging="181"/>
        <w:jc w:val="both"/>
        <w:rPr>
          <w:b/>
          <w:sz w:val="18"/>
        </w:rPr>
      </w:pPr>
      <w:r>
        <w:rPr>
          <w:b/>
          <w:sz w:val="18"/>
        </w:rPr>
        <w:t>INTRODUCTION</w:t>
      </w:r>
    </w:p>
    <w:p>
      <w:pPr>
        <w:spacing w:before="77"/>
        <w:ind w:left="270" w:right="679" w:firstLine="0"/>
        <w:jc w:val="both"/>
        <w:rPr>
          <w:sz w:val="18"/>
        </w:rPr>
      </w:pPr>
      <w:r>
        <w:rPr/>
        <w:br w:type="column"/>
      </w:r>
      <w:r>
        <w:rPr>
          <w:sz w:val="18"/>
        </w:rPr>
        <w:t>Analysis applied in automotive workshop dedicated to service brakes, alignment, balancing and tire change.</w:t>
      </w:r>
    </w:p>
    <w:p>
      <w:pPr>
        <w:spacing w:before="0"/>
        <w:ind w:left="270" w:right="676" w:firstLine="0"/>
        <w:jc w:val="both"/>
        <w:rPr>
          <w:sz w:val="18"/>
        </w:rPr>
      </w:pPr>
      <w:r>
        <w:rPr>
          <w:sz w:val="18"/>
        </w:rPr>
        <w:t>Previously determined work with ergonomic conditions critical in its operation.</w:t>
      </w:r>
    </w:p>
    <w:p>
      <w:pPr>
        <w:spacing w:before="0"/>
        <w:ind w:left="270" w:right="677" w:firstLine="0"/>
        <w:jc w:val="both"/>
        <w:rPr>
          <w:sz w:val="18"/>
        </w:rPr>
      </w:pPr>
      <w:r>
        <w:rPr>
          <w:sz w:val="18"/>
        </w:rPr>
        <w:t>Assessed risk matrix operator comfort, anthropometric measurements were performed to obtain indicators of useful percentiles to the application of braking and rolling in the  respective corresponding lathe and rolling</w:t>
      </w:r>
      <w:r>
        <w:rPr>
          <w:spacing w:val="-8"/>
          <w:sz w:val="18"/>
        </w:rPr>
        <w:t> </w:t>
      </w:r>
      <w:r>
        <w:rPr>
          <w:sz w:val="18"/>
        </w:rPr>
        <w:t>machines.</w:t>
      </w:r>
    </w:p>
    <w:p>
      <w:pPr>
        <w:spacing w:before="0"/>
        <w:ind w:left="270" w:right="747" w:firstLine="0"/>
        <w:jc w:val="left"/>
        <w:rPr>
          <w:sz w:val="18"/>
        </w:rPr>
      </w:pPr>
      <w:r>
        <w:rPr>
          <w:sz w:val="18"/>
        </w:rPr>
        <w:t>We assessed the conditions from the indications marked by Mexican standards, as well as the matrix of risk and checklists to validate the comfort in which operators are in those areas of work. Applied methods of ergonomic evaluation in stations with RULA (Rapid Upper Limb Assessment) and Sue Rodgers</w:t>
      </w:r>
    </w:p>
    <w:p>
      <w:pPr>
        <w:spacing w:before="0"/>
        <w:ind w:left="270" w:right="677" w:firstLine="0"/>
        <w:jc w:val="both"/>
        <w:rPr>
          <w:sz w:val="18"/>
        </w:rPr>
      </w:pPr>
      <w:r>
        <w:rPr>
          <w:sz w:val="18"/>
        </w:rPr>
        <w:t>To apply the changes, is need to implement an analysis and evaluation of the processes, with Diagnostics and industrial improvement systems.</w:t>
      </w:r>
    </w:p>
    <w:p>
      <w:pPr>
        <w:pStyle w:val="BodyText"/>
        <w:rPr>
          <w:sz w:val="18"/>
        </w:rPr>
      </w:pPr>
    </w:p>
    <w:p>
      <w:pPr>
        <w:pStyle w:val="BodyText"/>
        <w:spacing w:before="3"/>
        <w:rPr>
          <w:sz w:val="18"/>
        </w:rPr>
      </w:pPr>
    </w:p>
    <w:p>
      <w:pPr>
        <w:pStyle w:val="ListParagraph"/>
        <w:numPr>
          <w:ilvl w:val="0"/>
          <w:numId w:val="57"/>
        </w:numPr>
        <w:tabs>
          <w:tab w:pos="452" w:val="left" w:leader="none"/>
        </w:tabs>
        <w:spacing w:line="240" w:lineRule="auto" w:before="0" w:after="0"/>
        <w:ind w:left="451" w:right="0" w:hanging="181"/>
        <w:jc w:val="both"/>
        <w:rPr>
          <w:b/>
          <w:sz w:val="18"/>
        </w:rPr>
      </w:pPr>
      <w:r>
        <w:rPr>
          <w:b/>
          <w:sz w:val="18"/>
        </w:rPr>
        <w:t>OBJECTIVES</w:t>
      </w:r>
    </w:p>
    <w:p>
      <w:pPr>
        <w:pStyle w:val="BodyText"/>
        <w:spacing w:before="7"/>
        <w:rPr>
          <w:b/>
          <w:sz w:val="17"/>
        </w:rPr>
      </w:pPr>
    </w:p>
    <w:p>
      <w:pPr>
        <w:spacing w:before="1"/>
        <w:ind w:left="270" w:right="678" w:firstLine="0"/>
        <w:jc w:val="both"/>
        <w:rPr>
          <w:sz w:val="18"/>
        </w:rPr>
      </w:pPr>
      <w:r>
        <w:rPr>
          <w:sz w:val="18"/>
        </w:rPr>
        <w:t>Evaluate the ergonomic conditions in balancing tire and brake lathe operations with checklists of risks, ergonomic evaluation and improvement of productive systems, to benefit the comfort and working conditions that operate on the workstations of the workshop</w:t>
      </w:r>
    </w:p>
    <w:p>
      <w:pPr>
        <w:pStyle w:val="BodyText"/>
        <w:spacing w:before="3"/>
        <w:rPr>
          <w:sz w:val="18"/>
        </w:rPr>
      </w:pPr>
    </w:p>
    <w:p>
      <w:pPr>
        <w:pStyle w:val="ListParagraph"/>
        <w:numPr>
          <w:ilvl w:val="0"/>
          <w:numId w:val="57"/>
        </w:numPr>
        <w:tabs>
          <w:tab w:pos="452" w:val="left" w:leader="none"/>
        </w:tabs>
        <w:spacing w:line="240" w:lineRule="auto" w:before="0" w:after="0"/>
        <w:ind w:left="451" w:right="0" w:hanging="181"/>
        <w:jc w:val="both"/>
        <w:rPr>
          <w:b/>
          <w:sz w:val="18"/>
        </w:rPr>
      </w:pPr>
      <w:r>
        <w:rPr>
          <w:b/>
          <w:sz w:val="18"/>
        </w:rPr>
        <w:t>DELIMITATION</w:t>
      </w:r>
    </w:p>
    <w:p>
      <w:pPr>
        <w:pStyle w:val="BodyText"/>
        <w:spacing w:before="7"/>
        <w:rPr>
          <w:b/>
          <w:sz w:val="17"/>
        </w:rPr>
      </w:pPr>
    </w:p>
    <w:p>
      <w:pPr>
        <w:spacing w:before="1"/>
        <w:ind w:left="270" w:right="678" w:firstLine="0"/>
        <w:jc w:val="both"/>
        <w:rPr>
          <w:sz w:val="18"/>
        </w:rPr>
      </w:pPr>
      <w:r>
        <w:rPr>
          <w:sz w:val="18"/>
        </w:rPr>
        <w:t>Improved ergonomically with design templates, the operations of turning brakes, but it will take more time analysis of disassembly and Assembly of tires , because the workshop is located in remodeling.</w:t>
      </w:r>
    </w:p>
    <w:p>
      <w:pPr>
        <w:pStyle w:val="BodyText"/>
        <w:spacing w:before="3"/>
        <w:rPr>
          <w:sz w:val="18"/>
        </w:rPr>
      </w:pPr>
    </w:p>
    <w:p>
      <w:pPr>
        <w:pStyle w:val="ListParagraph"/>
        <w:numPr>
          <w:ilvl w:val="0"/>
          <w:numId w:val="57"/>
        </w:numPr>
        <w:tabs>
          <w:tab w:pos="452" w:val="left" w:leader="none"/>
        </w:tabs>
        <w:spacing w:line="240" w:lineRule="auto" w:before="0" w:after="0"/>
        <w:ind w:left="451" w:right="0" w:hanging="181"/>
        <w:jc w:val="both"/>
        <w:rPr>
          <w:b/>
          <w:sz w:val="18"/>
        </w:rPr>
      </w:pPr>
      <w:r>
        <w:rPr>
          <w:b/>
          <w:sz w:val="18"/>
        </w:rPr>
        <w:t>METHODOLOGY</w:t>
      </w:r>
    </w:p>
    <w:p>
      <w:pPr>
        <w:pStyle w:val="BodyText"/>
        <w:spacing w:before="7"/>
        <w:rPr>
          <w:b/>
          <w:sz w:val="17"/>
        </w:rPr>
      </w:pPr>
    </w:p>
    <w:p>
      <w:pPr>
        <w:spacing w:before="1"/>
        <w:ind w:left="270" w:right="677" w:firstLine="0"/>
        <w:jc w:val="both"/>
        <w:rPr>
          <w:sz w:val="18"/>
        </w:rPr>
      </w:pPr>
      <w:r>
        <w:rPr>
          <w:sz w:val="18"/>
        </w:rPr>
        <w:t>Began with risk map, then matrix of risk on workstations, then measurement of the operating conditions and the ergonomic evaluation Sue Rodgers and Rula in each case before and after operational improvement</w:t>
      </w:r>
    </w:p>
    <w:p>
      <w:pPr>
        <w:pStyle w:val="BodyText"/>
        <w:spacing w:before="3"/>
        <w:rPr>
          <w:sz w:val="18"/>
        </w:rPr>
      </w:pPr>
    </w:p>
    <w:p>
      <w:pPr>
        <w:pStyle w:val="ListParagraph"/>
        <w:numPr>
          <w:ilvl w:val="1"/>
          <w:numId w:val="57"/>
        </w:numPr>
        <w:tabs>
          <w:tab w:pos="587" w:val="left" w:leader="none"/>
        </w:tabs>
        <w:spacing w:line="240" w:lineRule="auto" w:before="0" w:after="0"/>
        <w:ind w:left="586" w:right="0" w:hanging="316"/>
        <w:jc w:val="both"/>
        <w:rPr>
          <w:b/>
          <w:sz w:val="18"/>
        </w:rPr>
      </w:pPr>
      <w:r>
        <w:rPr>
          <w:b/>
          <w:sz w:val="18"/>
        </w:rPr>
        <w:t>Matrix of risks in workstations and</w:t>
      </w:r>
      <w:r>
        <w:rPr>
          <w:b/>
          <w:spacing w:val="-23"/>
          <w:sz w:val="18"/>
        </w:rPr>
        <w:t> </w:t>
      </w:r>
      <w:r>
        <w:rPr>
          <w:b/>
          <w:sz w:val="18"/>
        </w:rPr>
        <w:t>equipment</w:t>
      </w:r>
    </w:p>
    <w:p>
      <w:pPr>
        <w:pStyle w:val="BodyText"/>
        <w:spacing w:before="7"/>
        <w:rPr>
          <w:b/>
          <w:sz w:val="17"/>
        </w:rPr>
      </w:pPr>
    </w:p>
    <w:p>
      <w:pPr>
        <w:spacing w:before="1"/>
        <w:ind w:left="270" w:right="677" w:firstLine="0"/>
        <w:jc w:val="both"/>
        <w:rPr>
          <w:sz w:val="18"/>
        </w:rPr>
      </w:pPr>
      <w:r>
        <w:rPr>
          <w:sz w:val="18"/>
        </w:rPr>
        <w:t>Table 1 shows the matrix of risks in work stations and equipment with priority significant, such as change of tire, tire balancing, and turning drum and disc. The risk matrix determines alterations in the comfort of the users in your workstation, displays only the significant conditions to analyze of the workstations in the process. [1]</w:t>
      </w:r>
    </w:p>
    <w:p>
      <w:pPr>
        <w:pStyle w:val="BodyText"/>
        <w:rPr>
          <w:sz w:val="18"/>
        </w:rPr>
      </w:pPr>
    </w:p>
    <w:p>
      <w:pPr>
        <w:spacing w:before="0"/>
        <w:ind w:left="1863" w:right="668" w:firstLine="0"/>
        <w:jc w:val="left"/>
        <w:rPr>
          <w:sz w:val="18"/>
        </w:rPr>
      </w:pPr>
      <w:r>
        <w:rPr/>
        <w:pict>
          <v:shape style="position:absolute;margin-left:316.799988pt;margin-top:20.971441pt;width:247.15pt;height:137.050pt;mso-position-horizontal-relative:page;mso-position-vertical-relative:paragraph;z-index:580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42"/>
                    <w:gridCol w:w="1560"/>
                    <w:gridCol w:w="2126"/>
                  </w:tblGrid>
                  <w:tr>
                    <w:trPr>
                      <w:trHeight w:val="631" w:hRule="exact"/>
                    </w:trPr>
                    <w:tc>
                      <w:tcPr>
                        <w:tcW w:w="1242" w:type="dxa"/>
                        <w:shd w:val="clear" w:color="auto" w:fill="FFBF00"/>
                      </w:tcPr>
                      <w:p>
                        <w:pPr>
                          <w:pStyle w:val="TableParagraph"/>
                          <w:ind w:left="103" w:right="219"/>
                          <w:rPr>
                            <w:sz w:val="18"/>
                          </w:rPr>
                        </w:pPr>
                        <w:r>
                          <w:rPr>
                            <w:sz w:val="18"/>
                          </w:rPr>
                          <w:t>Actividad (Estaciones)</w:t>
                        </w:r>
                      </w:p>
                    </w:tc>
                    <w:tc>
                      <w:tcPr>
                        <w:tcW w:w="3686" w:type="dxa"/>
                        <w:gridSpan w:val="2"/>
                        <w:shd w:val="clear" w:color="auto" w:fill="FFBF00"/>
                      </w:tcPr>
                      <w:p>
                        <w:pPr>
                          <w:pStyle w:val="TableParagraph"/>
                          <w:ind w:left="857" w:right="857"/>
                          <w:jc w:val="center"/>
                          <w:rPr>
                            <w:sz w:val="18"/>
                          </w:rPr>
                        </w:pPr>
                        <w:r>
                          <w:rPr>
                            <w:sz w:val="18"/>
                          </w:rPr>
                          <w:t>Torneado (Discos Tambor) Balanceadora</w:t>
                        </w:r>
                      </w:p>
                      <w:p>
                        <w:pPr>
                          <w:pStyle w:val="TableParagraph"/>
                          <w:ind w:left="857" w:right="857"/>
                          <w:jc w:val="center"/>
                          <w:rPr>
                            <w:sz w:val="18"/>
                          </w:rPr>
                        </w:pPr>
                        <w:r>
                          <w:rPr>
                            <w:sz w:val="18"/>
                          </w:rPr>
                          <w:t>Maquina para llanta</w:t>
                        </w:r>
                      </w:p>
                    </w:tc>
                  </w:tr>
                  <w:tr>
                    <w:trPr>
                      <w:trHeight w:val="424" w:hRule="exact"/>
                    </w:trPr>
                    <w:tc>
                      <w:tcPr>
                        <w:tcW w:w="1242" w:type="dxa"/>
                        <w:shd w:val="clear" w:color="auto" w:fill="FFBF00"/>
                      </w:tcPr>
                      <w:p>
                        <w:pPr>
                          <w:pStyle w:val="TableParagraph"/>
                          <w:ind w:left="103" w:right="229"/>
                          <w:rPr>
                            <w:sz w:val="18"/>
                          </w:rPr>
                        </w:pPr>
                        <w:r>
                          <w:rPr>
                            <w:sz w:val="18"/>
                          </w:rPr>
                          <w:t>Tipo y clase de peligro</w:t>
                        </w:r>
                      </w:p>
                    </w:tc>
                    <w:tc>
                      <w:tcPr>
                        <w:tcW w:w="1560" w:type="dxa"/>
                        <w:shd w:val="clear" w:color="auto" w:fill="FFBF00"/>
                      </w:tcPr>
                      <w:p>
                        <w:pPr>
                          <w:pStyle w:val="TableParagraph"/>
                          <w:ind w:left="175" w:right="155" w:firstLine="154"/>
                          <w:rPr>
                            <w:sz w:val="18"/>
                          </w:rPr>
                        </w:pPr>
                        <w:r>
                          <w:rPr>
                            <w:sz w:val="18"/>
                          </w:rPr>
                          <w:t>Ergonómico diseño de puesto</w:t>
                        </w:r>
                      </w:p>
                    </w:tc>
                    <w:tc>
                      <w:tcPr>
                        <w:tcW w:w="2126" w:type="dxa"/>
                        <w:shd w:val="clear" w:color="auto" w:fill="FFBF00"/>
                      </w:tcPr>
                      <w:p>
                        <w:pPr>
                          <w:pStyle w:val="TableParagraph"/>
                          <w:spacing w:before="99"/>
                          <w:ind w:left="595"/>
                          <w:rPr>
                            <w:sz w:val="18"/>
                          </w:rPr>
                        </w:pPr>
                        <w:r>
                          <w:rPr>
                            <w:sz w:val="18"/>
                          </w:rPr>
                          <w:t>Físico Ruido</w:t>
                        </w:r>
                      </w:p>
                    </w:tc>
                  </w:tr>
                  <w:tr>
                    <w:trPr>
                      <w:trHeight w:val="1044" w:hRule="exact"/>
                    </w:trPr>
                    <w:tc>
                      <w:tcPr>
                        <w:tcW w:w="1242" w:type="dxa"/>
                        <w:shd w:val="clear" w:color="auto" w:fill="FFBF00"/>
                      </w:tcPr>
                      <w:p>
                        <w:pPr>
                          <w:pStyle w:val="TableParagraph"/>
                          <w:spacing w:before="6"/>
                          <w:rPr>
                            <w:sz w:val="26"/>
                          </w:rPr>
                        </w:pPr>
                      </w:p>
                      <w:p>
                        <w:pPr>
                          <w:pStyle w:val="TableParagraph"/>
                          <w:spacing w:before="1"/>
                          <w:ind w:left="103" w:right="344"/>
                          <w:rPr>
                            <w:sz w:val="18"/>
                          </w:rPr>
                        </w:pPr>
                        <w:r>
                          <w:rPr>
                            <w:sz w:val="18"/>
                          </w:rPr>
                          <w:t>Origen del peligro</w:t>
                        </w:r>
                      </w:p>
                    </w:tc>
                    <w:tc>
                      <w:tcPr>
                        <w:tcW w:w="1560" w:type="dxa"/>
                      </w:tcPr>
                      <w:p>
                        <w:pPr>
                          <w:pStyle w:val="TableParagraph"/>
                          <w:ind w:left="168" w:right="165"/>
                          <w:jc w:val="center"/>
                          <w:rPr>
                            <w:sz w:val="18"/>
                          </w:rPr>
                        </w:pPr>
                        <w:r>
                          <w:rPr>
                            <w:sz w:val="18"/>
                          </w:rPr>
                          <w:t>Altura de puesto de trabajo, ubica control, equipo, mesa, superficie, etc.</w:t>
                        </w:r>
                      </w:p>
                    </w:tc>
                    <w:tc>
                      <w:tcPr>
                        <w:tcW w:w="2126" w:type="dxa"/>
                      </w:tcPr>
                      <w:p>
                        <w:pPr>
                          <w:pStyle w:val="TableParagraph"/>
                          <w:spacing w:before="6"/>
                          <w:rPr>
                            <w:sz w:val="17"/>
                          </w:rPr>
                        </w:pPr>
                      </w:p>
                      <w:p>
                        <w:pPr>
                          <w:pStyle w:val="TableParagraph"/>
                          <w:ind w:left="160" w:right="159" w:hanging="2"/>
                          <w:jc w:val="center"/>
                          <w:rPr>
                            <w:sz w:val="18"/>
                          </w:rPr>
                        </w:pPr>
                        <w:r>
                          <w:rPr>
                            <w:sz w:val="18"/>
                          </w:rPr>
                          <w:t>Motores, sonido de corte en tambor y en disco al cortar metal con acústica</w:t>
                        </w:r>
                      </w:p>
                    </w:tc>
                  </w:tr>
                  <w:tr>
                    <w:trPr>
                      <w:trHeight w:val="631" w:hRule="exact"/>
                    </w:trPr>
                    <w:tc>
                      <w:tcPr>
                        <w:tcW w:w="1242" w:type="dxa"/>
                        <w:shd w:val="clear" w:color="auto" w:fill="FFBF00"/>
                      </w:tcPr>
                      <w:p>
                        <w:pPr>
                          <w:pStyle w:val="TableParagraph"/>
                          <w:spacing w:before="7"/>
                          <w:rPr>
                            <w:sz w:val="17"/>
                          </w:rPr>
                        </w:pPr>
                      </w:p>
                      <w:p>
                        <w:pPr>
                          <w:pStyle w:val="TableParagraph"/>
                          <w:ind w:left="103" w:right="219"/>
                          <w:rPr>
                            <w:sz w:val="18"/>
                          </w:rPr>
                        </w:pPr>
                        <w:r>
                          <w:rPr>
                            <w:sz w:val="18"/>
                          </w:rPr>
                          <w:t>Riesgo</w:t>
                        </w:r>
                      </w:p>
                    </w:tc>
                    <w:tc>
                      <w:tcPr>
                        <w:tcW w:w="1560" w:type="dxa"/>
                      </w:tcPr>
                      <w:p>
                        <w:pPr>
                          <w:pStyle w:val="TableParagraph"/>
                          <w:ind w:left="129" w:right="125" w:hanging="5"/>
                          <w:jc w:val="both"/>
                          <w:rPr>
                            <w:sz w:val="18"/>
                          </w:rPr>
                        </w:pPr>
                        <w:r>
                          <w:rPr>
                            <w:sz w:val="18"/>
                          </w:rPr>
                          <w:t>Alteraciones de la salud (lesión óseo muscular, fatiga,</w:t>
                        </w:r>
                      </w:p>
                    </w:tc>
                    <w:tc>
                      <w:tcPr>
                        <w:tcW w:w="2126" w:type="dxa"/>
                      </w:tcPr>
                      <w:p>
                        <w:pPr>
                          <w:pStyle w:val="TableParagraph"/>
                          <w:ind w:left="135" w:right="134" w:hanging="1"/>
                          <w:jc w:val="center"/>
                          <w:rPr>
                            <w:sz w:val="18"/>
                          </w:rPr>
                        </w:pPr>
                        <w:r>
                          <w:rPr>
                            <w:sz w:val="18"/>
                          </w:rPr>
                          <w:t>No se tapan oídos, sin embargo, el peligro está latente sólo en caso de no</w:t>
                        </w:r>
                      </w:p>
                    </w:tc>
                  </w:tr>
                </w:tbl>
                <w:p>
                  <w:pPr>
                    <w:pStyle w:val="BodyText"/>
                  </w:pPr>
                </w:p>
              </w:txbxContent>
            </v:textbox>
            <w10:wrap type="none"/>
          </v:shape>
        </w:pict>
      </w:r>
      <w:r>
        <w:rPr>
          <w:sz w:val="18"/>
        </w:rPr>
        <w:t>Table 1. Matrix of risks</w:t>
      </w:r>
    </w:p>
    <w:p>
      <w:pPr>
        <w:spacing w:after="0"/>
        <w:jc w:val="left"/>
        <w:rPr>
          <w:sz w:val="18"/>
        </w:rPr>
        <w:sectPr>
          <w:type w:val="continuous"/>
          <w:pgSz w:w="12240" w:h="15840"/>
          <w:pgMar w:top="1500" w:bottom="280" w:left="580" w:right="220"/>
          <w:cols w:num="2" w:equalWidth="0">
            <w:col w:w="5164" w:space="434"/>
            <w:col w:w="5842"/>
          </w:cols>
        </w:sectPr>
      </w:pPr>
    </w:p>
    <w:p>
      <w:pPr>
        <w:pStyle w:val="BodyText"/>
        <w:rPr>
          <w:sz w:val="11"/>
        </w:rPr>
      </w:pPr>
    </w:p>
    <w:p>
      <w:pPr>
        <w:spacing w:before="77"/>
        <w:ind w:left="5868" w:right="678" w:firstLine="0"/>
        <w:jc w:val="both"/>
        <w:rPr>
          <w:sz w:val="18"/>
        </w:rPr>
      </w:pPr>
      <w:r>
        <w:rPr/>
        <w:pict>
          <v:shape style="position:absolute;margin-left:36.900009pt;margin-top:4.092664pt;width:247.15pt;height:222.3pt;mso-position-horizontal-relative:page;mso-position-vertical-relative:paragraph;z-index:5992"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42"/>
                    <w:gridCol w:w="1560"/>
                    <w:gridCol w:w="2126"/>
                  </w:tblGrid>
                  <w:tr>
                    <w:trPr>
                      <w:trHeight w:val="1458" w:hRule="exact"/>
                    </w:trPr>
                    <w:tc>
                      <w:tcPr>
                        <w:tcW w:w="1242" w:type="dxa"/>
                        <w:shd w:val="clear" w:color="auto" w:fill="FFBF00"/>
                      </w:tcPr>
                      <w:p>
                        <w:pPr/>
                      </w:p>
                    </w:tc>
                    <w:tc>
                      <w:tcPr>
                        <w:tcW w:w="1560" w:type="dxa"/>
                      </w:tcPr>
                      <w:p>
                        <w:pPr>
                          <w:pStyle w:val="TableParagraph"/>
                          <w:ind w:left="167" w:right="165"/>
                          <w:jc w:val="center"/>
                          <w:rPr>
                            <w:sz w:val="18"/>
                          </w:rPr>
                        </w:pPr>
                        <w:r>
                          <w:rPr>
                            <w:sz w:val="18"/>
                          </w:rPr>
                          <w:t>alteración vascular, accidente de trabajo)</w:t>
                        </w:r>
                      </w:p>
                    </w:tc>
                    <w:tc>
                      <w:tcPr>
                        <w:tcW w:w="2126" w:type="dxa"/>
                      </w:tcPr>
                      <w:p>
                        <w:pPr>
                          <w:pStyle w:val="TableParagraph"/>
                          <w:ind w:left="130" w:right="128"/>
                          <w:jc w:val="center"/>
                          <w:rPr>
                            <w:sz w:val="18"/>
                          </w:rPr>
                        </w:pPr>
                        <w:r>
                          <w:rPr>
                            <w:sz w:val="18"/>
                          </w:rPr>
                          <w:t>colocar cinturones de piel en piezas a tornear.</w:t>
                        </w:r>
                      </w:p>
                      <w:p>
                        <w:pPr>
                          <w:pStyle w:val="TableParagraph"/>
                          <w:ind w:left="130" w:right="128"/>
                          <w:jc w:val="center"/>
                          <w:rPr>
                            <w:sz w:val="18"/>
                          </w:rPr>
                        </w:pPr>
                        <w:r>
                          <w:rPr>
                            <w:sz w:val="18"/>
                          </w:rPr>
                          <w:t>Alteraciones de la salud (efecto audición baja, trauma acústico, alteraciones del sueño y descanso, estrés, etc.)</w:t>
                        </w:r>
                      </w:p>
                    </w:tc>
                  </w:tr>
                  <w:tr>
                    <w:trPr>
                      <w:trHeight w:val="631" w:hRule="exact"/>
                    </w:trPr>
                    <w:tc>
                      <w:tcPr>
                        <w:tcW w:w="1242" w:type="dxa"/>
                        <w:shd w:val="clear" w:color="auto" w:fill="FFBF00"/>
                      </w:tcPr>
                      <w:p>
                        <w:pPr>
                          <w:pStyle w:val="TableParagraph"/>
                          <w:spacing w:before="99"/>
                          <w:ind w:left="103" w:right="399"/>
                          <w:rPr>
                            <w:sz w:val="18"/>
                          </w:rPr>
                        </w:pPr>
                        <w:r>
                          <w:rPr>
                            <w:sz w:val="18"/>
                          </w:rPr>
                          <w:t>Cargos expuestos</w:t>
                        </w:r>
                      </w:p>
                    </w:tc>
                    <w:tc>
                      <w:tcPr>
                        <w:tcW w:w="1560" w:type="dxa"/>
                      </w:tcPr>
                      <w:p>
                        <w:pPr>
                          <w:pStyle w:val="TableParagraph"/>
                          <w:ind w:left="272" w:right="180" w:hanging="72"/>
                          <w:rPr>
                            <w:sz w:val="18"/>
                          </w:rPr>
                        </w:pPr>
                        <w:r>
                          <w:rPr>
                            <w:sz w:val="18"/>
                          </w:rPr>
                          <w:t>Torno de frenos Cambia llanta Balanceadora</w:t>
                        </w:r>
                      </w:p>
                    </w:tc>
                    <w:tc>
                      <w:tcPr>
                        <w:tcW w:w="2126" w:type="dxa"/>
                      </w:tcPr>
                      <w:p>
                        <w:pPr>
                          <w:pStyle w:val="TableParagraph"/>
                          <w:spacing w:before="7"/>
                          <w:rPr>
                            <w:sz w:val="17"/>
                          </w:rPr>
                        </w:pPr>
                      </w:p>
                      <w:p>
                        <w:pPr>
                          <w:pStyle w:val="TableParagraph"/>
                          <w:ind w:left="128" w:right="128"/>
                          <w:jc w:val="center"/>
                          <w:rPr>
                            <w:sz w:val="18"/>
                          </w:rPr>
                        </w:pPr>
                        <w:r>
                          <w:rPr>
                            <w:sz w:val="18"/>
                          </w:rPr>
                          <w:t>Torneado de Frenos</w:t>
                        </w:r>
                      </w:p>
                    </w:tc>
                  </w:tr>
                  <w:tr>
                    <w:trPr>
                      <w:trHeight w:val="424" w:hRule="exact"/>
                    </w:trPr>
                    <w:tc>
                      <w:tcPr>
                        <w:tcW w:w="1242" w:type="dxa"/>
                        <w:shd w:val="clear" w:color="auto" w:fill="FFBF00"/>
                      </w:tcPr>
                      <w:p>
                        <w:pPr>
                          <w:pStyle w:val="TableParagraph"/>
                          <w:ind w:left="103" w:right="304"/>
                          <w:rPr>
                            <w:sz w:val="18"/>
                          </w:rPr>
                        </w:pPr>
                        <w:r>
                          <w:rPr>
                            <w:sz w:val="18"/>
                          </w:rPr>
                          <w:t>Número de expuestos</w:t>
                        </w:r>
                      </w:p>
                    </w:tc>
                    <w:tc>
                      <w:tcPr>
                        <w:tcW w:w="1560" w:type="dxa"/>
                      </w:tcPr>
                      <w:p>
                        <w:pPr>
                          <w:pStyle w:val="TableParagraph"/>
                          <w:spacing w:before="99"/>
                          <w:ind w:right="1"/>
                          <w:jc w:val="center"/>
                          <w:rPr>
                            <w:sz w:val="18"/>
                          </w:rPr>
                        </w:pPr>
                        <w:r>
                          <w:rPr>
                            <w:sz w:val="18"/>
                          </w:rPr>
                          <w:t>3</w:t>
                        </w:r>
                      </w:p>
                    </w:tc>
                    <w:tc>
                      <w:tcPr>
                        <w:tcW w:w="2126" w:type="dxa"/>
                      </w:tcPr>
                      <w:p>
                        <w:pPr>
                          <w:pStyle w:val="TableParagraph"/>
                          <w:spacing w:before="99"/>
                          <w:ind w:right="1"/>
                          <w:jc w:val="center"/>
                          <w:rPr>
                            <w:sz w:val="18"/>
                          </w:rPr>
                        </w:pPr>
                        <w:r>
                          <w:rPr>
                            <w:sz w:val="18"/>
                          </w:rPr>
                          <w:t>3</w:t>
                        </w:r>
                      </w:p>
                    </w:tc>
                  </w:tr>
                  <w:tr>
                    <w:trPr>
                      <w:trHeight w:val="425" w:hRule="exact"/>
                    </w:trPr>
                    <w:tc>
                      <w:tcPr>
                        <w:tcW w:w="1242" w:type="dxa"/>
                        <w:shd w:val="clear" w:color="auto" w:fill="FFBF00"/>
                      </w:tcPr>
                      <w:p>
                        <w:pPr>
                          <w:pStyle w:val="TableParagraph"/>
                          <w:ind w:left="103" w:right="409"/>
                          <w:rPr>
                            <w:sz w:val="18"/>
                          </w:rPr>
                        </w:pPr>
                        <w:r>
                          <w:rPr>
                            <w:sz w:val="18"/>
                          </w:rPr>
                          <w:t>Horas expuestas</w:t>
                        </w:r>
                      </w:p>
                    </w:tc>
                    <w:tc>
                      <w:tcPr>
                        <w:tcW w:w="1560" w:type="dxa"/>
                      </w:tcPr>
                      <w:p>
                        <w:pPr>
                          <w:pStyle w:val="TableParagraph"/>
                          <w:spacing w:before="99"/>
                          <w:ind w:right="1"/>
                          <w:jc w:val="center"/>
                          <w:rPr>
                            <w:sz w:val="18"/>
                          </w:rPr>
                        </w:pPr>
                        <w:r>
                          <w:rPr>
                            <w:sz w:val="18"/>
                          </w:rPr>
                          <w:t>8</w:t>
                        </w:r>
                      </w:p>
                    </w:tc>
                    <w:tc>
                      <w:tcPr>
                        <w:tcW w:w="2126" w:type="dxa"/>
                      </w:tcPr>
                      <w:p>
                        <w:pPr>
                          <w:pStyle w:val="TableParagraph"/>
                          <w:spacing w:before="99"/>
                          <w:ind w:right="1"/>
                          <w:jc w:val="center"/>
                          <w:rPr>
                            <w:sz w:val="18"/>
                          </w:rPr>
                        </w:pPr>
                        <w:r>
                          <w:rPr>
                            <w:sz w:val="18"/>
                          </w:rPr>
                          <w:t>8</w:t>
                        </w:r>
                      </w:p>
                    </w:tc>
                  </w:tr>
                  <w:tr>
                    <w:trPr>
                      <w:trHeight w:val="217" w:hRule="exact"/>
                    </w:trPr>
                    <w:tc>
                      <w:tcPr>
                        <w:tcW w:w="1242" w:type="dxa"/>
                        <w:shd w:val="clear" w:color="auto" w:fill="FFBF00"/>
                      </w:tcPr>
                      <w:p>
                        <w:pPr>
                          <w:pStyle w:val="TableParagraph"/>
                          <w:spacing w:line="202" w:lineRule="exact"/>
                          <w:ind w:left="103" w:right="219"/>
                          <w:rPr>
                            <w:sz w:val="18"/>
                          </w:rPr>
                        </w:pPr>
                        <w:r>
                          <w:rPr>
                            <w:sz w:val="18"/>
                          </w:rPr>
                          <w:t>Probable</w:t>
                        </w:r>
                      </w:p>
                    </w:tc>
                    <w:tc>
                      <w:tcPr>
                        <w:tcW w:w="1560" w:type="dxa"/>
                      </w:tcPr>
                      <w:p>
                        <w:pPr>
                          <w:pStyle w:val="TableParagraph"/>
                          <w:spacing w:line="202" w:lineRule="exact"/>
                          <w:ind w:left="164" w:right="165"/>
                          <w:jc w:val="center"/>
                          <w:rPr>
                            <w:sz w:val="18"/>
                          </w:rPr>
                        </w:pPr>
                        <w:r>
                          <w:rPr>
                            <w:sz w:val="18"/>
                          </w:rPr>
                          <w:t>500</w:t>
                        </w:r>
                      </w:p>
                    </w:tc>
                    <w:tc>
                      <w:tcPr>
                        <w:tcW w:w="2126" w:type="dxa"/>
                      </w:tcPr>
                      <w:p>
                        <w:pPr>
                          <w:pStyle w:val="TableParagraph"/>
                          <w:spacing w:line="202" w:lineRule="exact"/>
                          <w:ind w:left="128" w:right="128"/>
                          <w:jc w:val="center"/>
                          <w:rPr>
                            <w:sz w:val="18"/>
                          </w:rPr>
                        </w:pPr>
                        <w:r>
                          <w:rPr>
                            <w:sz w:val="18"/>
                          </w:rPr>
                          <w:t>200</w:t>
                        </w:r>
                      </w:p>
                    </w:tc>
                  </w:tr>
                  <w:tr>
                    <w:trPr>
                      <w:trHeight w:val="216" w:hRule="exact"/>
                    </w:trPr>
                    <w:tc>
                      <w:tcPr>
                        <w:tcW w:w="1242" w:type="dxa"/>
                        <w:shd w:val="clear" w:color="auto" w:fill="FFBF00"/>
                      </w:tcPr>
                      <w:p>
                        <w:pPr>
                          <w:pStyle w:val="TableParagraph"/>
                          <w:spacing w:line="202" w:lineRule="exact"/>
                          <w:ind w:left="103"/>
                          <w:rPr>
                            <w:sz w:val="18"/>
                          </w:rPr>
                        </w:pPr>
                        <w:r>
                          <w:rPr>
                            <w:sz w:val="18"/>
                          </w:rPr>
                          <w:t>Consecuente</w:t>
                        </w:r>
                      </w:p>
                    </w:tc>
                    <w:tc>
                      <w:tcPr>
                        <w:tcW w:w="1560" w:type="dxa"/>
                      </w:tcPr>
                      <w:p>
                        <w:pPr>
                          <w:pStyle w:val="TableParagraph"/>
                          <w:spacing w:line="202" w:lineRule="exact"/>
                          <w:ind w:left="165" w:right="165"/>
                          <w:jc w:val="center"/>
                          <w:rPr>
                            <w:sz w:val="18"/>
                          </w:rPr>
                        </w:pPr>
                        <w:r>
                          <w:rPr>
                            <w:sz w:val="18"/>
                          </w:rPr>
                          <w:t>200</w:t>
                        </w:r>
                      </w:p>
                    </w:tc>
                    <w:tc>
                      <w:tcPr>
                        <w:tcW w:w="2126" w:type="dxa"/>
                      </w:tcPr>
                      <w:p>
                        <w:pPr>
                          <w:pStyle w:val="TableParagraph"/>
                          <w:spacing w:line="202" w:lineRule="exact"/>
                          <w:ind w:left="128" w:right="128"/>
                          <w:jc w:val="center"/>
                          <w:rPr>
                            <w:sz w:val="18"/>
                          </w:rPr>
                        </w:pPr>
                        <w:r>
                          <w:rPr>
                            <w:sz w:val="18"/>
                          </w:rPr>
                          <w:t>500</w:t>
                        </w:r>
                      </w:p>
                    </w:tc>
                  </w:tr>
                  <w:tr>
                    <w:trPr>
                      <w:trHeight w:val="425" w:hRule="exact"/>
                    </w:trPr>
                    <w:tc>
                      <w:tcPr>
                        <w:tcW w:w="1242" w:type="dxa"/>
                        <w:shd w:val="clear" w:color="auto" w:fill="FFBF00"/>
                      </w:tcPr>
                      <w:p>
                        <w:pPr>
                          <w:pStyle w:val="TableParagraph"/>
                          <w:ind w:left="103" w:right="419"/>
                          <w:rPr>
                            <w:sz w:val="18"/>
                          </w:rPr>
                        </w:pPr>
                        <w:r>
                          <w:rPr>
                            <w:sz w:val="18"/>
                          </w:rPr>
                          <w:t>Requisito legal</w:t>
                        </w:r>
                      </w:p>
                    </w:tc>
                    <w:tc>
                      <w:tcPr>
                        <w:tcW w:w="1560" w:type="dxa"/>
                      </w:tcPr>
                      <w:p>
                        <w:pPr>
                          <w:pStyle w:val="TableParagraph"/>
                          <w:spacing w:before="99"/>
                          <w:ind w:left="165" w:right="165"/>
                          <w:jc w:val="center"/>
                          <w:rPr>
                            <w:sz w:val="18"/>
                          </w:rPr>
                        </w:pPr>
                        <w:r>
                          <w:rPr>
                            <w:sz w:val="18"/>
                          </w:rPr>
                          <w:t>10</w:t>
                        </w:r>
                      </w:p>
                    </w:tc>
                    <w:tc>
                      <w:tcPr>
                        <w:tcW w:w="2126" w:type="dxa"/>
                      </w:tcPr>
                      <w:p>
                        <w:pPr>
                          <w:pStyle w:val="TableParagraph"/>
                          <w:spacing w:before="99"/>
                          <w:ind w:left="128" w:right="128"/>
                          <w:jc w:val="center"/>
                          <w:rPr>
                            <w:sz w:val="18"/>
                          </w:rPr>
                        </w:pPr>
                        <w:r>
                          <w:rPr>
                            <w:sz w:val="18"/>
                          </w:rPr>
                          <w:t>10</w:t>
                        </w:r>
                      </w:p>
                    </w:tc>
                  </w:tr>
                  <w:tr>
                    <w:trPr>
                      <w:trHeight w:val="424" w:hRule="exact"/>
                    </w:trPr>
                    <w:tc>
                      <w:tcPr>
                        <w:tcW w:w="1242" w:type="dxa"/>
                        <w:shd w:val="clear" w:color="auto" w:fill="FFBF00"/>
                      </w:tcPr>
                      <w:p>
                        <w:pPr>
                          <w:pStyle w:val="TableParagraph"/>
                          <w:ind w:left="103" w:right="249"/>
                          <w:rPr>
                            <w:sz w:val="18"/>
                          </w:rPr>
                        </w:pPr>
                        <w:r>
                          <w:rPr>
                            <w:sz w:val="18"/>
                          </w:rPr>
                          <w:t>Grado de importancia</w:t>
                        </w:r>
                      </w:p>
                    </w:tc>
                    <w:tc>
                      <w:tcPr>
                        <w:tcW w:w="1560" w:type="dxa"/>
                      </w:tcPr>
                      <w:p>
                        <w:pPr>
                          <w:pStyle w:val="TableParagraph"/>
                          <w:spacing w:before="98"/>
                          <w:ind w:left="164" w:right="165"/>
                          <w:jc w:val="center"/>
                          <w:rPr>
                            <w:sz w:val="18"/>
                          </w:rPr>
                        </w:pPr>
                        <w:r>
                          <w:rPr>
                            <w:sz w:val="18"/>
                          </w:rPr>
                          <w:t>710</w:t>
                        </w:r>
                      </w:p>
                    </w:tc>
                    <w:tc>
                      <w:tcPr>
                        <w:tcW w:w="2126" w:type="dxa"/>
                      </w:tcPr>
                      <w:p>
                        <w:pPr>
                          <w:pStyle w:val="TableParagraph"/>
                          <w:spacing w:before="98"/>
                          <w:ind w:left="127" w:right="128"/>
                          <w:jc w:val="center"/>
                          <w:rPr>
                            <w:sz w:val="18"/>
                          </w:rPr>
                        </w:pPr>
                        <w:r>
                          <w:rPr>
                            <w:sz w:val="18"/>
                          </w:rPr>
                          <w:t>710</w:t>
                        </w:r>
                      </w:p>
                    </w:tc>
                  </w:tr>
                  <w:tr>
                    <w:trPr>
                      <w:trHeight w:val="217" w:hRule="exact"/>
                    </w:trPr>
                    <w:tc>
                      <w:tcPr>
                        <w:tcW w:w="1242" w:type="dxa"/>
                        <w:shd w:val="clear" w:color="auto" w:fill="FFBF00"/>
                      </w:tcPr>
                      <w:p>
                        <w:pPr>
                          <w:pStyle w:val="TableParagraph"/>
                          <w:spacing w:line="202" w:lineRule="exact"/>
                          <w:ind w:left="103" w:right="219"/>
                          <w:rPr>
                            <w:sz w:val="18"/>
                          </w:rPr>
                        </w:pPr>
                        <w:r>
                          <w:rPr>
                            <w:sz w:val="18"/>
                          </w:rPr>
                          <w:t>Prioridad</w:t>
                        </w:r>
                      </w:p>
                    </w:tc>
                    <w:tc>
                      <w:tcPr>
                        <w:tcW w:w="1560" w:type="dxa"/>
                      </w:tcPr>
                      <w:p>
                        <w:pPr>
                          <w:pStyle w:val="TableParagraph"/>
                          <w:spacing w:line="202" w:lineRule="exact"/>
                          <w:ind w:left="165" w:right="165"/>
                          <w:jc w:val="center"/>
                          <w:rPr>
                            <w:sz w:val="18"/>
                          </w:rPr>
                        </w:pPr>
                        <w:r>
                          <w:rPr>
                            <w:sz w:val="18"/>
                          </w:rPr>
                          <w:t>Significativo</w:t>
                        </w:r>
                      </w:p>
                    </w:tc>
                    <w:tc>
                      <w:tcPr>
                        <w:tcW w:w="2126" w:type="dxa"/>
                      </w:tcPr>
                      <w:p>
                        <w:pPr>
                          <w:pStyle w:val="TableParagraph"/>
                          <w:spacing w:line="202" w:lineRule="exact"/>
                          <w:ind w:left="128" w:right="128"/>
                          <w:jc w:val="center"/>
                          <w:rPr>
                            <w:sz w:val="18"/>
                          </w:rPr>
                        </w:pPr>
                        <w:r>
                          <w:rPr>
                            <w:sz w:val="18"/>
                          </w:rPr>
                          <w:t>Significativo</w:t>
                        </w:r>
                      </w:p>
                    </w:tc>
                  </w:tr>
                </w:tbl>
                <w:p>
                  <w:pPr>
                    <w:pStyle w:val="BodyText"/>
                  </w:pPr>
                </w:p>
              </w:txbxContent>
            </v:textbox>
            <w10:wrap type="none"/>
          </v:shape>
        </w:pict>
      </w:r>
      <w:r>
        <w:rPr>
          <w:sz w:val="18"/>
        </w:rPr>
        <w:t>workshop is that temperature control of 31.5C within the workshop). This temperature contributes to fatigue and employee productivity. [3] [4] [5]</w:t>
      </w:r>
    </w:p>
    <w:p>
      <w:pPr>
        <w:pStyle w:val="BodyText"/>
        <w:rPr>
          <w:sz w:val="18"/>
        </w:rPr>
      </w:pPr>
    </w:p>
    <w:p>
      <w:pPr>
        <w:pStyle w:val="BodyText"/>
        <w:spacing w:before="3"/>
        <w:rPr>
          <w:sz w:val="18"/>
        </w:rPr>
      </w:pPr>
    </w:p>
    <w:p>
      <w:pPr>
        <w:spacing w:before="0"/>
        <w:ind w:left="5868" w:right="0" w:firstLine="0"/>
        <w:jc w:val="both"/>
        <w:rPr>
          <w:b/>
          <w:sz w:val="18"/>
        </w:rPr>
      </w:pPr>
      <w:r>
        <w:rPr>
          <w:b/>
          <w:sz w:val="18"/>
        </w:rPr>
        <w:t>4.3 Ergonomic analysis Sue Rodgers and RULA</w:t>
      </w:r>
    </w:p>
    <w:p>
      <w:pPr>
        <w:pStyle w:val="BodyText"/>
        <w:spacing w:before="7"/>
        <w:rPr>
          <w:b/>
          <w:sz w:val="17"/>
        </w:rPr>
      </w:pPr>
    </w:p>
    <w:p>
      <w:pPr>
        <w:spacing w:before="1"/>
        <w:ind w:left="5868" w:right="680" w:firstLine="0"/>
        <w:jc w:val="both"/>
        <w:rPr>
          <w:sz w:val="18"/>
        </w:rPr>
      </w:pPr>
      <w:r>
        <w:rPr>
          <w:sz w:val="18"/>
        </w:rPr>
        <w:t>Figure 1 and figure 2 show the operator by removing the tire from the car, can be seen in the evaluation having score of 10 (very high value) in shoulders,  , with moderate values of 6 in neck, back,  arms and elbows and wrists, hands and</w:t>
      </w:r>
      <w:r>
        <w:rPr>
          <w:spacing w:val="-8"/>
          <w:sz w:val="18"/>
        </w:rPr>
        <w:t> </w:t>
      </w:r>
      <w:r>
        <w:rPr>
          <w:sz w:val="18"/>
        </w:rPr>
        <w:t>fingers</w:t>
      </w:r>
    </w:p>
    <w:p>
      <w:pPr>
        <w:spacing w:after="0"/>
        <w:jc w:val="both"/>
        <w:rPr>
          <w:sz w:val="18"/>
        </w:rPr>
        <w:sectPr>
          <w:pgSz w:w="12240" w:h="15840"/>
          <w:pgMar w:header="545" w:footer="852" w:top="1060" w:bottom="1040" w:left="580" w:right="220"/>
        </w:sect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10"/>
        <w:rPr>
          <w:sz w:val="26"/>
        </w:rPr>
      </w:pPr>
    </w:p>
    <w:p>
      <w:pPr>
        <w:pStyle w:val="ListParagraph"/>
        <w:numPr>
          <w:ilvl w:val="1"/>
          <w:numId w:val="57"/>
        </w:numPr>
        <w:tabs>
          <w:tab w:pos="587" w:val="left" w:leader="none"/>
        </w:tabs>
        <w:spacing w:line="240" w:lineRule="auto" w:before="1" w:after="0"/>
        <w:ind w:left="586" w:right="0" w:hanging="316"/>
        <w:jc w:val="both"/>
        <w:rPr>
          <w:b/>
          <w:sz w:val="18"/>
        </w:rPr>
      </w:pPr>
      <w:r>
        <w:rPr>
          <w:b/>
          <w:sz w:val="18"/>
        </w:rPr>
        <w:t>Measurements of environmental conditions of</w:t>
      </w:r>
      <w:r>
        <w:rPr>
          <w:b/>
          <w:spacing w:val="-17"/>
          <w:sz w:val="18"/>
        </w:rPr>
        <w:t> </w:t>
      </w:r>
      <w:r>
        <w:rPr>
          <w:b/>
          <w:sz w:val="18"/>
        </w:rPr>
        <w:t>operation</w:t>
      </w:r>
    </w:p>
    <w:p>
      <w:pPr>
        <w:pStyle w:val="BodyText"/>
        <w:spacing w:before="7"/>
        <w:rPr>
          <w:b/>
          <w:sz w:val="17"/>
        </w:rPr>
      </w:pPr>
    </w:p>
    <w:p>
      <w:pPr>
        <w:spacing w:before="1"/>
        <w:ind w:left="270" w:right="0" w:firstLine="0"/>
        <w:jc w:val="both"/>
        <w:rPr>
          <w:sz w:val="18"/>
        </w:rPr>
      </w:pPr>
      <w:r>
        <w:rPr>
          <w:sz w:val="18"/>
        </w:rPr>
        <w:t>Table 2 shows the average measurement of the intensity of illumination in Lux, registration took place without artificial light, the workshop works until 15:00 hours.</w:t>
      </w:r>
    </w:p>
    <w:p>
      <w:pPr>
        <w:pStyle w:val="BodyText"/>
        <w:rPr>
          <w:sz w:val="18"/>
        </w:rPr>
      </w:pPr>
    </w:p>
    <w:p>
      <w:pPr>
        <w:spacing w:before="0"/>
        <w:ind w:left="923" w:right="115" w:firstLine="0"/>
        <w:jc w:val="left"/>
        <w:rPr>
          <w:sz w:val="18"/>
        </w:rPr>
      </w:pPr>
      <w:r>
        <w:rPr>
          <w:sz w:val="18"/>
        </w:rPr>
        <w:t>Table 2. Registration of measurements of lighting</w:t>
      </w:r>
    </w:p>
    <w:p>
      <w:pPr>
        <w:pStyle w:val="BodyText"/>
      </w:pPr>
      <w:r>
        <w:rPr/>
        <w:br w:type="column"/>
      </w:r>
      <w:r>
        <w:rPr/>
      </w:r>
    </w:p>
    <w:p>
      <w:pPr>
        <w:pStyle w:val="BodyText"/>
        <w:spacing w:before="4"/>
        <w:rPr>
          <w:sz w:val="16"/>
        </w:rPr>
      </w:pPr>
    </w:p>
    <w:tbl>
      <w:tblPr>
        <w:tblW w:w="0" w:type="auto"/>
        <w:jc w:val="left"/>
        <w:tblInd w:w="-4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68"/>
        <w:gridCol w:w="426"/>
        <w:gridCol w:w="426"/>
        <w:gridCol w:w="425"/>
        <w:gridCol w:w="566"/>
      </w:tblGrid>
      <w:tr>
        <w:trPr>
          <w:trHeight w:val="286" w:hRule="exact"/>
        </w:trPr>
        <w:tc>
          <w:tcPr>
            <w:tcW w:w="4111" w:type="dxa"/>
            <w:gridSpan w:val="5"/>
          </w:tcPr>
          <w:p>
            <w:pPr>
              <w:pStyle w:val="TableParagraph"/>
              <w:spacing w:before="32"/>
              <w:ind w:left="1420" w:right="1420"/>
              <w:jc w:val="center"/>
              <w:rPr>
                <w:rFonts w:ascii="Arial"/>
                <w:sz w:val="18"/>
              </w:rPr>
            </w:pPr>
            <w:r>
              <w:rPr>
                <w:rFonts w:ascii="Arial"/>
                <w:sz w:val="18"/>
              </w:rPr>
              <w:t>Quitar Tornillos</w:t>
            </w:r>
          </w:p>
        </w:tc>
      </w:tr>
      <w:tr>
        <w:trPr>
          <w:trHeight w:val="1241" w:hRule="exact"/>
        </w:trPr>
        <w:tc>
          <w:tcPr>
            <w:tcW w:w="2268" w:type="dxa"/>
          </w:tcPr>
          <w:p>
            <w:pPr>
              <w:pStyle w:val="TableParagraph"/>
              <w:ind w:left="728"/>
              <w:rPr>
                <w:sz w:val="20"/>
              </w:rPr>
            </w:pPr>
            <w:r>
              <w:rPr>
                <w:sz w:val="20"/>
              </w:rPr>
              <w:drawing>
                <wp:inline distT="0" distB="0" distL="0" distR="0">
                  <wp:extent cx="509565" cy="740282"/>
                  <wp:effectExtent l="0" t="0" r="0" b="0"/>
                  <wp:docPr id="205" name="image108.jpeg" descr=""/>
                  <wp:cNvGraphicFramePr>
                    <a:graphicFrameLocks noChangeAspect="1"/>
                  </wp:cNvGraphicFramePr>
                  <a:graphic>
                    <a:graphicData uri="http://schemas.openxmlformats.org/drawingml/2006/picture">
                      <pic:pic>
                        <pic:nvPicPr>
                          <pic:cNvPr id="206" name="image108.jpeg"/>
                          <pic:cNvPicPr/>
                        </pic:nvPicPr>
                        <pic:blipFill>
                          <a:blip r:embed="rId192" cstate="print"/>
                          <a:stretch>
                            <a:fillRect/>
                          </a:stretch>
                        </pic:blipFill>
                        <pic:spPr>
                          <a:xfrm>
                            <a:off x="0" y="0"/>
                            <a:ext cx="509565" cy="740282"/>
                          </a:xfrm>
                          <a:prstGeom prst="rect">
                            <a:avLst/>
                          </a:prstGeom>
                        </pic:spPr>
                      </pic:pic>
                    </a:graphicData>
                  </a:graphic>
                </wp:inline>
              </w:drawing>
            </w:r>
            <w:r>
              <w:rPr>
                <w:sz w:val="20"/>
              </w:rPr>
            </w:r>
          </w:p>
        </w:tc>
        <w:tc>
          <w:tcPr>
            <w:tcW w:w="426" w:type="dxa"/>
            <w:textDirection w:val="btLr"/>
          </w:tcPr>
          <w:p>
            <w:pPr>
              <w:pStyle w:val="TableParagraph"/>
              <w:spacing w:before="104"/>
              <w:ind w:left="199"/>
              <w:rPr>
                <w:rFonts w:ascii="Arial"/>
                <w:sz w:val="18"/>
              </w:rPr>
            </w:pPr>
            <w:r>
              <w:rPr>
                <w:rFonts w:ascii="Arial"/>
                <w:spacing w:val="-1"/>
                <w:sz w:val="18"/>
              </w:rPr>
              <w:t>Intensi</w:t>
            </w:r>
            <w:r>
              <w:rPr>
                <w:rFonts w:ascii="Arial"/>
                <w:sz w:val="18"/>
              </w:rPr>
              <w:t>d</w:t>
            </w:r>
            <w:r>
              <w:rPr>
                <w:rFonts w:ascii="Arial"/>
                <w:spacing w:val="-1"/>
                <w:sz w:val="18"/>
              </w:rPr>
              <w:t>ad</w:t>
            </w:r>
          </w:p>
        </w:tc>
        <w:tc>
          <w:tcPr>
            <w:tcW w:w="426" w:type="dxa"/>
            <w:textDirection w:val="btLr"/>
          </w:tcPr>
          <w:p>
            <w:pPr>
              <w:pStyle w:val="TableParagraph"/>
              <w:spacing w:before="104"/>
              <w:ind w:left="254"/>
              <w:rPr>
                <w:rFonts w:ascii="Arial" w:hAnsi="Arial"/>
                <w:sz w:val="18"/>
              </w:rPr>
            </w:pPr>
            <w:r>
              <w:rPr>
                <w:rFonts w:ascii="Arial" w:hAnsi="Arial"/>
                <w:spacing w:val="-1"/>
                <w:sz w:val="18"/>
              </w:rPr>
              <w:t>Duración</w:t>
            </w:r>
          </w:p>
        </w:tc>
        <w:tc>
          <w:tcPr>
            <w:tcW w:w="425" w:type="dxa"/>
            <w:textDirection w:val="btLr"/>
          </w:tcPr>
          <w:p>
            <w:pPr>
              <w:pStyle w:val="TableParagraph"/>
              <w:spacing w:before="104"/>
              <w:ind w:left="180"/>
              <w:rPr>
                <w:rFonts w:ascii="Arial"/>
                <w:sz w:val="18"/>
              </w:rPr>
            </w:pPr>
            <w:r>
              <w:rPr>
                <w:rFonts w:ascii="Arial"/>
                <w:sz w:val="18"/>
              </w:rPr>
              <w:t>Por minuto</w:t>
            </w:r>
          </w:p>
        </w:tc>
        <w:tc>
          <w:tcPr>
            <w:tcW w:w="566" w:type="dxa"/>
            <w:textDirection w:val="btLr"/>
          </w:tcPr>
          <w:p>
            <w:pPr>
              <w:pStyle w:val="TableParagraph"/>
              <w:spacing w:before="104"/>
              <w:ind w:left="309"/>
              <w:rPr>
                <w:rFonts w:ascii="Arial"/>
                <w:sz w:val="18"/>
              </w:rPr>
            </w:pPr>
            <w:r>
              <w:rPr>
                <w:rFonts w:ascii="Arial"/>
                <w:spacing w:val="-1"/>
                <w:sz w:val="18"/>
              </w:rPr>
              <w:t>Punta</w:t>
            </w:r>
            <w:r>
              <w:rPr>
                <w:rFonts w:ascii="Arial"/>
                <w:sz w:val="18"/>
              </w:rPr>
              <w:t>je</w:t>
            </w:r>
          </w:p>
        </w:tc>
      </w:tr>
      <w:tr>
        <w:trPr>
          <w:trHeight w:val="307" w:hRule="exact"/>
        </w:trPr>
        <w:tc>
          <w:tcPr>
            <w:tcW w:w="2268" w:type="dxa"/>
            <w:shd w:val="clear" w:color="auto" w:fill="FFBF00"/>
          </w:tcPr>
          <w:p>
            <w:pPr>
              <w:pStyle w:val="TableParagraph"/>
              <w:spacing w:line="205" w:lineRule="exact"/>
              <w:ind w:left="103" w:right="363"/>
              <w:rPr>
                <w:rFonts w:ascii="Arial"/>
                <w:sz w:val="18"/>
              </w:rPr>
            </w:pPr>
            <w:r>
              <w:rPr>
                <w:rFonts w:ascii="Arial"/>
                <w:sz w:val="18"/>
              </w:rPr>
              <w:t>Cuello</w:t>
            </w:r>
          </w:p>
        </w:tc>
        <w:tc>
          <w:tcPr>
            <w:tcW w:w="426" w:type="dxa"/>
          </w:tcPr>
          <w:p>
            <w:pPr>
              <w:pStyle w:val="TableParagraph"/>
              <w:spacing w:line="205" w:lineRule="exact"/>
              <w:jc w:val="center"/>
              <w:rPr>
                <w:rFonts w:ascii="Arial"/>
                <w:sz w:val="18"/>
              </w:rPr>
            </w:pPr>
            <w:r>
              <w:rPr>
                <w:rFonts w:ascii="Arial"/>
                <w:sz w:val="18"/>
              </w:rPr>
              <w:t>2</w:t>
            </w:r>
          </w:p>
        </w:tc>
        <w:tc>
          <w:tcPr>
            <w:tcW w:w="426" w:type="dxa"/>
          </w:tcPr>
          <w:p>
            <w:pPr>
              <w:pStyle w:val="TableParagraph"/>
              <w:spacing w:line="205" w:lineRule="exact"/>
              <w:jc w:val="center"/>
              <w:rPr>
                <w:rFonts w:ascii="Arial"/>
                <w:sz w:val="18"/>
              </w:rPr>
            </w:pPr>
            <w:r>
              <w:rPr>
                <w:rFonts w:ascii="Arial"/>
                <w:sz w:val="18"/>
              </w:rPr>
              <w:t>3</w:t>
            </w:r>
          </w:p>
        </w:tc>
        <w:tc>
          <w:tcPr>
            <w:tcW w:w="425" w:type="dxa"/>
          </w:tcPr>
          <w:p>
            <w:pPr>
              <w:pStyle w:val="TableParagraph"/>
              <w:spacing w:line="205" w:lineRule="exact"/>
              <w:jc w:val="center"/>
              <w:rPr>
                <w:rFonts w:ascii="Arial"/>
                <w:sz w:val="18"/>
              </w:rPr>
            </w:pPr>
            <w:r>
              <w:rPr>
                <w:rFonts w:ascii="Arial"/>
                <w:sz w:val="18"/>
              </w:rPr>
              <w:t>1</w:t>
            </w:r>
          </w:p>
        </w:tc>
        <w:tc>
          <w:tcPr>
            <w:tcW w:w="566" w:type="dxa"/>
          </w:tcPr>
          <w:p>
            <w:pPr>
              <w:pStyle w:val="TableParagraph"/>
              <w:spacing w:line="204" w:lineRule="exact"/>
              <w:ind w:left="229"/>
              <w:rPr>
                <w:rFonts w:ascii="Arial"/>
                <w:b/>
                <w:sz w:val="18"/>
              </w:rPr>
            </w:pPr>
            <w:r>
              <w:rPr>
                <w:rFonts w:ascii="Arial"/>
                <w:b/>
                <w:sz w:val="18"/>
              </w:rPr>
              <w:t>6</w:t>
            </w:r>
          </w:p>
        </w:tc>
      </w:tr>
      <w:tr>
        <w:trPr>
          <w:trHeight w:val="299" w:hRule="exact"/>
        </w:trPr>
        <w:tc>
          <w:tcPr>
            <w:tcW w:w="2268" w:type="dxa"/>
            <w:shd w:val="clear" w:color="auto" w:fill="FFBF00"/>
          </w:tcPr>
          <w:p>
            <w:pPr>
              <w:pStyle w:val="TableParagraph"/>
              <w:spacing w:before="38"/>
              <w:ind w:left="103" w:right="363"/>
              <w:rPr>
                <w:rFonts w:ascii="Arial"/>
                <w:sz w:val="18"/>
              </w:rPr>
            </w:pPr>
            <w:r>
              <w:rPr>
                <w:rFonts w:ascii="Arial"/>
                <w:sz w:val="18"/>
              </w:rPr>
              <w:t>Hombro</w:t>
            </w:r>
          </w:p>
        </w:tc>
        <w:tc>
          <w:tcPr>
            <w:tcW w:w="426" w:type="dxa"/>
          </w:tcPr>
          <w:p>
            <w:pPr>
              <w:pStyle w:val="TableParagraph"/>
              <w:spacing w:before="38"/>
              <w:jc w:val="center"/>
              <w:rPr>
                <w:rFonts w:ascii="Arial"/>
                <w:sz w:val="18"/>
              </w:rPr>
            </w:pPr>
            <w:r>
              <w:rPr>
                <w:rFonts w:ascii="Arial"/>
                <w:sz w:val="18"/>
              </w:rPr>
              <w:t>3</w:t>
            </w:r>
          </w:p>
        </w:tc>
        <w:tc>
          <w:tcPr>
            <w:tcW w:w="426" w:type="dxa"/>
          </w:tcPr>
          <w:p>
            <w:pPr>
              <w:pStyle w:val="TableParagraph"/>
              <w:spacing w:before="38"/>
              <w:jc w:val="center"/>
              <w:rPr>
                <w:rFonts w:ascii="Arial"/>
                <w:sz w:val="18"/>
              </w:rPr>
            </w:pPr>
            <w:r>
              <w:rPr>
                <w:rFonts w:ascii="Arial"/>
                <w:sz w:val="18"/>
              </w:rPr>
              <w:t>3</w:t>
            </w:r>
          </w:p>
        </w:tc>
        <w:tc>
          <w:tcPr>
            <w:tcW w:w="425" w:type="dxa"/>
          </w:tcPr>
          <w:p>
            <w:pPr>
              <w:pStyle w:val="TableParagraph"/>
              <w:spacing w:before="38"/>
              <w:ind w:right="1"/>
              <w:jc w:val="center"/>
              <w:rPr>
                <w:rFonts w:ascii="Arial"/>
                <w:sz w:val="18"/>
              </w:rPr>
            </w:pPr>
            <w:r>
              <w:rPr>
                <w:rFonts w:ascii="Arial"/>
                <w:sz w:val="18"/>
              </w:rPr>
              <w:t>1</w:t>
            </w:r>
          </w:p>
        </w:tc>
        <w:tc>
          <w:tcPr>
            <w:tcW w:w="566" w:type="dxa"/>
          </w:tcPr>
          <w:p>
            <w:pPr>
              <w:pStyle w:val="TableParagraph"/>
              <w:ind w:left="188"/>
              <w:rPr>
                <w:b/>
                <w:sz w:val="18"/>
              </w:rPr>
            </w:pPr>
            <w:r>
              <w:rPr>
                <w:b/>
                <w:sz w:val="18"/>
              </w:rPr>
              <w:t>10</w:t>
            </w:r>
          </w:p>
        </w:tc>
      </w:tr>
      <w:tr>
        <w:trPr>
          <w:trHeight w:val="274" w:hRule="exact"/>
        </w:trPr>
        <w:tc>
          <w:tcPr>
            <w:tcW w:w="2268" w:type="dxa"/>
            <w:shd w:val="clear" w:color="auto" w:fill="FFBF00"/>
          </w:tcPr>
          <w:p>
            <w:pPr>
              <w:pStyle w:val="TableParagraph"/>
              <w:spacing w:line="205" w:lineRule="exact"/>
              <w:ind w:left="103" w:right="363"/>
              <w:rPr>
                <w:rFonts w:ascii="Arial"/>
                <w:sz w:val="18"/>
              </w:rPr>
            </w:pPr>
            <w:r>
              <w:rPr>
                <w:rFonts w:ascii="Arial"/>
                <w:sz w:val="18"/>
              </w:rPr>
              <w:t>Espalda</w:t>
            </w:r>
          </w:p>
        </w:tc>
        <w:tc>
          <w:tcPr>
            <w:tcW w:w="426" w:type="dxa"/>
          </w:tcPr>
          <w:p>
            <w:pPr>
              <w:pStyle w:val="TableParagraph"/>
              <w:spacing w:line="205" w:lineRule="exact"/>
              <w:ind w:right="1"/>
              <w:jc w:val="center"/>
              <w:rPr>
                <w:rFonts w:ascii="Arial"/>
                <w:sz w:val="18"/>
              </w:rPr>
            </w:pPr>
            <w:r>
              <w:rPr>
                <w:rFonts w:ascii="Arial"/>
                <w:sz w:val="18"/>
              </w:rPr>
              <w:t>2</w:t>
            </w:r>
          </w:p>
        </w:tc>
        <w:tc>
          <w:tcPr>
            <w:tcW w:w="426" w:type="dxa"/>
          </w:tcPr>
          <w:p>
            <w:pPr>
              <w:pStyle w:val="TableParagraph"/>
              <w:spacing w:line="205" w:lineRule="exact"/>
              <w:jc w:val="center"/>
              <w:rPr>
                <w:rFonts w:ascii="Arial"/>
                <w:sz w:val="18"/>
              </w:rPr>
            </w:pPr>
            <w:r>
              <w:rPr>
                <w:rFonts w:ascii="Arial"/>
                <w:sz w:val="18"/>
              </w:rPr>
              <w:t>3</w:t>
            </w:r>
          </w:p>
        </w:tc>
        <w:tc>
          <w:tcPr>
            <w:tcW w:w="425" w:type="dxa"/>
          </w:tcPr>
          <w:p>
            <w:pPr>
              <w:pStyle w:val="TableParagraph"/>
              <w:spacing w:line="205" w:lineRule="exact"/>
              <w:ind w:right="1"/>
              <w:jc w:val="center"/>
              <w:rPr>
                <w:rFonts w:ascii="Arial"/>
                <w:sz w:val="18"/>
              </w:rPr>
            </w:pPr>
            <w:r>
              <w:rPr>
                <w:rFonts w:ascii="Arial"/>
                <w:sz w:val="18"/>
              </w:rPr>
              <w:t>1</w:t>
            </w:r>
          </w:p>
        </w:tc>
        <w:tc>
          <w:tcPr>
            <w:tcW w:w="566" w:type="dxa"/>
          </w:tcPr>
          <w:p>
            <w:pPr>
              <w:pStyle w:val="TableParagraph"/>
              <w:spacing w:line="204" w:lineRule="exact"/>
              <w:ind w:left="229"/>
              <w:rPr>
                <w:rFonts w:ascii="Arial"/>
                <w:b/>
                <w:sz w:val="18"/>
              </w:rPr>
            </w:pPr>
            <w:r>
              <w:rPr>
                <w:rFonts w:ascii="Arial"/>
                <w:b/>
                <w:sz w:val="18"/>
              </w:rPr>
              <w:t>6</w:t>
            </w:r>
          </w:p>
        </w:tc>
      </w:tr>
      <w:tr>
        <w:trPr>
          <w:trHeight w:val="278" w:hRule="exact"/>
        </w:trPr>
        <w:tc>
          <w:tcPr>
            <w:tcW w:w="2268" w:type="dxa"/>
            <w:shd w:val="clear" w:color="auto" w:fill="FFBF00"/>
          </w:tcPr>
          <w:p>
            <w:pPr>
              <w:pStyle w:val="TableParagraph"/>
              <w:spacing w:before="29"/>
              <w:ind w:left="103" w:right="363"/>
              <w:rPr>
                <w:rFonts w:ascii="Arial"/>
                <w:sz w:val="18"/>
              </w:rPr>
            </w:pPr>
            <w:r>
              <w:rPr>
                <w:rFonts w:ascii="Arial"/>
                <w:sz w:val="18"/>
              </w:rPr>
              <w:t>Brazo y Codo</w:t>
            </w:r>
          </w:p>
        </w:tc>
        <w:tc>
          <w:tcPr>
            <w:tcW w:w="426" w:type="dxa"/>
          </w:tcPr>
          <w:p>
            <w:pPr>
              <w:pStyle w:val="TableParagraph"/>
              <w:spacing w:line="205" w:lineRule="exact"/>
              <w:ind w:right="1"/>
              <w:jc w:val="center"/>
              <w:rPr>
                <w:rFonts w:ascii="Arial"/>
                <w:sz w:val="18"/>
              </w:rPr>
            </w:pPr>
            <w:r>
              <w:rPr>
                <w:rFonts w:ascii="Arial"/>
                <w:sz w:val="18"/>
              </w:rPr>
              <w:t>2</w:t>
            </w:r>
          </w:p>
        </w:tc>
        <w:tc>
          <w:tcPr>
            <w:tcW w:w="426" w:type="dxa"/>
          </w:tcPr>
          <w:p>
            <w:pPr>
              <w:pStyle w:val="TableParagraph"/>
              <w:spacing w:line="205" w:lineRule="exact"/>
              <w:jc w:val="center"/>
              <w:rPr>
                <w:rFonts w:ascii="Arial"/>
                <w:sz w:val="18"/>
              </w:rPr>
            </w:pPr>
            <w:r>
              <w:rPr>
                <w:rFonts w:ascii="Arial"/>
                <w:sz w:val="18"/>
              </w:rPr>
              <w:t>3</w:t>
            </w:r>
          </w:p>
        </w:tc>
        <w:tc>
          <w:tcPr>
            <w:tcW w:w="425" w:type="dxa"/>
          </w:tcPr>
          <w:p>
            <w:pPr>
              <w:pStyle w:val="TableParagraph"/>
              <w:spacing w:line="205" w:lineRule="exact"/>
              <w:jc w:val="center"/>
              <w:rPr>
                <w:rFonts w:ascii="Arial"/>
                <w:sz w:val="18"/>
              </w:rPr>
            </w:pPr>
            <w:r>
              <w:rPr>
                <w:rFonts w:ascii="Arial"/>
                <w:sz w:val="18"/>
              </w:rPr>
              <w:t>1</w:t>
            </w:r>
          </w:p>
        </w:tc>
        <w:tc>
          <w:tcPr>
            <w:tcW w:w="566" w:type="dxa"/>
          </w:tcPr>
          <w:p>
            <w:pPr>
              <w:pStyle w:val="TableParagraph"/>
              <w:spacing w:line="204" w:lineRule="exact"/>
              <w:ind w:left="229"/>
              <w:rPr>
                <w:rFonts w:ascii="Arial"/>
                <w:b/>
                <w:sz w:val="18"/>
              </w:rPr>
            </w:pPr>
            <w:r>
              <w:rPr>
                <w:rFonts w:ascii="Arial"/>
                <w:b/>
                <w:sz w:val="18"/>
              </w:rPr>
              <w:t>6</w:t>
            </w:r>
          </w:p>
        </w:tc>
      </w:tr>
      <w:tr>
        <w:trPr>
          <w:trHeight w:val="282" w:hRule="exact"/>
        </w:trPr>
        <w:tc>
          <w:tcPr>
            <w:tcW w:w="2268" w:type="dxa"/>
            <w:shd w:val="clear" w:color="auto" w:fill="FFBF00"/>
          </w:tcPr>
          <w:p>
            <w:pPr>
              <w:pStyle w:val="TableParagraph"/>
              <w:spacing w:line="205" w:lineRule="exact"/>
              <w:ind w:left="103" w:right="363"/>
              <w:rPr>
                <w:rFonts w:ascii="Arial" w:hAnsi="Arial"/>
                <w:sz w:val="18"/>
              </w:rPr>
            </w:pPr>
            <w:r>
              <w:rPr>
                <w:rFonts w:ascii="Arial" w:hAnsi="Arial"/>
                <w:sz w:val="18"/>
              </w:rPr>
              <w:t>Muñeca, mano, dedo</w:t>
            </w:r>
          </w:p>
        </w:tc>
        <w:tc>
          <w:tcPr>
            <w:tcW w:w="426" w:type="dxa"/>
          </w:tcPr>
          <w:p>
            <w:pPr>
              <w:pStyle w:val="TableParagraph"/>
              <w:spacing w:line="205" w:lineRule="exact"/>
              <w:jc w:val="center"/>
              <w:rPr>
                <w:rFonts w:ascii="Arial"/>
                <w:sz w:val="18"/>
              </w:rPr>
            </w:pPr>
            <w:r>
              <w:rPr>
                <w:rFonts w:ascii="Arial"/>
                <w:sz w:val="18"/>
              </w:rPr>
              <w:t>2</w:t>
            </w:r>
          </w:p>
        </w:tc>
        <w:tc>
          <w:tcPr>
            <w:tcW w:w="426" w:type="dxa"/>
          </w:tcPr>
          <w:p>
            <w:pPr>
              <w:pStyle w:val="TableParagraph"/>
              <w:spacing w:line="205" w:lineRule="exact"/>
              <w:jc w:val="center"/>
              <w:rPr>
                <w:rFonts w:ascii="Arial"/>
                <w:sz w:val="18"/>
              </w:rPr>
            </w:pPr>
            <w:r>
              <w:rPr>
                <w:rFonts w:ascii="Arial"/>
                <w:sz w:val="18"/>
              </w:rPr>
              <w:t>3</w:t>
            </w:r>
          </w:p>
        </w:tc>
        <w:tc>
          <w:tcPr>
            <w:tcW w:w="425" w:type="dxa"/>
          </w:tcPr>
          <w:p>
            <w:pPr>
              <w:pStyle w:val="TableParagraph"/>
              <w:spacing w:line="205" w:lineRule="exact"/>
              <w:jc w:val="center"/>
              <w:rPr>
                <w:rFonts w:ascii="Arial"/>
                <w:sz w:val="18"/>
              </w:rPr>
            </w:pPr>
            <w:r>
              <w:rPr>
                <w:rFonts w:ascii="Arial"/>
                <w:sz w:val="18"/>
              </w:rPr>
              <w:t>1</w:t>
            </w:r>
          </w:p>
        </w:tc>
        <w:tc>
          <w:tcPr>
            <w:tcW w:w="566" w:type="dxa"/>
          </w:tcPr>
          <w:p>
            <w:pPr>
              <w:pStyle w:val="TableParagraph"/>
              <w:spacing w:line="204" w:lineRule="exact"/>
              <w:ind w:left="229"/>
              <w:rPr>
                <w:rFonts w:ascii="Arial"/>
                <w:b/>
                <w:sz w:val="18"/>
              </w:rPr>
            </w:pPr>
            <w:r>
              <w:rPr>
                <w:rFonts w:ascii="Arial"/>
                <w:b/>
                <w:sz w:val="18"/>
              </w:rPr>
              <w:t>6</w:t>
            </w:r>
          </w:p>
        </w:tc>
      </w:tr>
      <w:tr>
        <w:trPr>
          <w:trHeight w:val="286" w:hRule="exact"/>
        </w:trPr>
        <w:tc>
          <w:tcPr>
            <w:tcW w:w="2268" w:type="dxa"/>
            <w:shd w:val="clear" w:color="auto" w:fill="FFBF00"/>
          </w:tcPr>
          <w:p>
            <w:pPr>
              <w:pStyle w:val="TableParagraph"/>
              <w:spacing w:before="32"/>
              <w:ind w:left="103" w:right="363"/>
              <w:rPr>
                <w:rFonts w:ascii="Arial"/>
                <w:sz w:val="18"/>
              </w:rPr>
            </w:pPr>
            <w:r>
              <w:rPr>
                <w:rFonts w:ascii="Arial"/>
                <w:sz w:val="18"/>
              </w:rPr>
              <w:t>Piernas y tobillos</w:t>
            </w:r>
          </w:p>
        </w:tc>
        <w:tc>
          <w:tcPr>
            <w:tcW w:w="426" w:type="dxa"/>
          </w:tcPr>
          <w:p>
            <w:pPr>
              <w:pStyle w:val="TableParagraph"/>
              <w:spacing w:line="205" w:lineRule="exact"/>
              <w:ind w:right="1"/>
              <w:jc w:val="center"/>
              <w:rPr>
                <w:rFonts w:ascii="Arial"/>
                <w:sz w:val="18"/>
              </w:rPr>
            </w:pPr>
            <w:r>
              <w:rPr>
                <w:rFonts w:ascii="Arial"/>
                <w:sz w:val="18"/>
              </w:rPr>
              <w:t>1</w:t>
            </w:r>
          </w:p>
        </w:tc>
        <w:tc>
          <w:tcPr>
            <w:tcW w:w="426" w:type="dxa"/>
          </w:tcPr>
          <w:p>
            <w:pPr>
              <w:pStyle w:val="TableParagraph"/>
              <w:spacing w:line="205" w:lineRule="exact"/>
              <w:jc w:val="center"/>
              <w:rPr>
                <w:rFonts w:ascii="Arial"/>
                <w:sz w:val="18"/>
              </w:rPr>
            </w:pPr>
            <w:r>
              <w:rPr>
                <w:rFonts w:ascii="Arial"/>
                <w:sz w:val="18"/>
              </w:rPr>
              <w:t>3</w:t>
            </w:r>
          </w:p>
        </w:tc>
        <w:tc>
          <w:tcPr>
            <w:tcW w:w="425" w:type="dxa"/>
          </w:tcPr>
          <w:p>
            <w:pPr>
              <w:pStyle w:val="TableParagraph"/>
              <w:spacing w:line="205" w:lineRule="exact"/>
              <w:jc w:val="center"/>
              <w:rPr>
                <w:rFonts w:ascii="Arial"/>
                <w:sz w:val="18"/>
              </w:rPr>
            </w:pPr>
            <w:r>
              <w:rPr>
                <w:rFonts w:ascii="Arial"/>
                <w:sz w:val="18"/>
              </w:rPr>
              <w:t>1</w:t>
            </w:r>
          </w:p>
        </w:tc>
        <w:tc>
          <w:tcPr>
            <w:tcW w:w="566" w:type="dxa"/>
          </w:tcPr>
          <w:p>
            <w:pPr>
              <w:pStyle w:val="TableParagraph"/>
              <w:spacing w:line="204" w:lineRule="exact"/>
              <w:ind w:left="229"/>
              <w:rPr>
                <w:rFonts w:ascii="Arial"/>
                <w:b/>
                <w:sz w:val="18"/>
              </w:rPr>
            </w:pPr>
            <w:r>
              <w:rPr>
                <w:rFonts w:ascii="Arial"/>
                <w:b/>
                <w:sz w:val="18"/>
              </w:rPr>
              <w:t>3</w:t>
            </w:r>
          </w:p>
        </w:tc>
      </w:tr>
    </w:tbl>
    <w:p>
      <w:pPr>
        <w:pStyle w:val="BodyText"/>
        <w:spacing w:before="7"/>
        <w:rPr>
          <w:sz w:val="17"/>
        </w:rPr>
      </w:pPr>
    </w:p>
    <w:p>
      <w:pPr>
        <w:spacing w:before="0"/>
        <w:ind w:left="291" w:right="0" w:firstLine="0"/>
        <w:jc w:val="left"/>
        <w:rPr>
          <w:sz w:val="18"/>
        </w:rPr>
      </w:pPr>
      <w:r>
        <w:rPr/>
        <w:drawing>
          <wp:anchor distT="0" distB="0" distL="0" distR="0" allowOverlap="1" layoutInCell="1" locked="0" behindDoc="0" simplePos="0" relativeHeight="5824">
            <wp:simplePos x="0" y="0"/>
            <wp:positionH relativeFrom="page">
              <wp:posOffset>4665726</wp:posOffset>
            </wp:positionH>
            <wp:positionV relativeFrom="paragraph">
              <wp:posOffset>453423</wp:posOffset>
            </wp:positionV>
            <wp:extent cx="481328" cy="806195"/>
            <wp:effectExtent l="0" t="0" r="0" b="0"/>
            <wp:wrapNone/>
            <wp:docPr id="207" name="image109.jpeg" descr=""/>
            <wp:cNvGraphicFramePr>
              <a:graphicFrameLocks noChangeAspect="1"/>
            </wp:cNvGraphicFramePr>
            <a:graphic>
              <a:graphicData uri="http://schemas.openxmlformats.org/drawingml/2006/picture">
                <pic:pic>
                  <pic:nvPicPr>
                    <pic:cNvPr id="208" name="image109.jpeg"/>
                    <pic:cNvPicPr/>
                  </pic:nvPicPr>
                  <pic:blipFill>
                    <a:blip r:embed="rId193" cstate="print"/>
                    <a:stretch>
                      <a:fillRect/>
                    </a:stretch>
                  </pic:blipFill>
                  <pic:spPr>
                    <a:xfrm>
                      <a:off x="0" y="0"/>
                      <a:ext cx="481328" cy="806195"/>
                    </a:xfrm>
                    <a:prstGeom prst="rect">
                      <a:avLst/>
                    </a:prstGeom>
                  </pic:spPr>
                </pic:pic>
              </a:graphicData>
            </a:graphic>
          </wp:anchor>
        </w:drawing>
      </w:r>
      <w:r>
        <w:rPr>
          <w:sz w:val="18"/>
        </w:rPr>
        <w:t>Figure 1. Remove the Lug Nuts and Wheel</w:t>
      </w:r>
    </w:p>
    <w:p>
      <w:pPr>
        <w:spacing w:after="0"/>
        <w:jc w:val="left"/>
        <w:rPr>
          <w:sz w:val="18"/>
        </w:rPr>
        <w:sectPr>
          <w:type w:val="continuous"/>
          <w:pgSz w:w="12240" w:h="15840"/>
          <w:pgMar w:top="1500" w:bottom="280" w:left="580" w:right="220"/>
          <w:cols w:num="2" w:equalWidth="0">
            <w:col w:w="5163" w:space="1310"/>
            <w:col w:w="4967"/>
          </w:cols>
        </w:sectPr>
      </w:pPr>
    </w:p>
    <w:p>
      <w:pPr>
        <w:pStyle w:val="BodyText"/>
        <w:spacing w:before="4"/>
        <w:rPr>
          <w:sz w:val="13"/>
        </w:rPr>
      </w:pPr>
    </w:p>
    <w:tbl>
      <w:tblPr>
        <w:tblW w:w="0" w:type="auto"/>
        <w:jc w:val="left"/>
        <w:tblInd w:w="4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02"/>
        <w:gridCol w:w="1559"/>
        <w:gridCol w:w="1276"/>
      </w:tblGrid>
      <w:tr>
        <w:trPr>
          <w:trHeight w:val="280" w:hRule="exact"/>
        </w:trPr>
        <w:tc>
          <w:tcPr>
            <w:tcW w:w="1702" w:type="dxa"/>
            <w:tcBorders>
              <w:bottom w:val="nil"/>
            </w:tcBorders>
            <w:shd w:val="clear" w:color="auto" w:fill="FFBF00"/>
          </w:tcPr>
          <w:p>
            <w:pPr/>
          </w:p>
        </w:tc>
        <w:tc>
          <w:tcPr>
            <w:tcW w:w="2834" w:type="dxa"/>
            <w:gridSpan w:val="2"/>
            <w:shd w:val="clear" w:color="auto" w:fill="FFBF00"/>
          </w:tcPr>
          <w:p>
            <w:pPr>
              <w:pStyle w:val="TableParagraph"/>
              <w:spacing w:before="26"/>
              <w:ind w:left="600"/>
              <w:rPr>
                <w:sz w:val="18"/>
              </w:rPr>
            </w:pPr>
            <w:r>
              <w:rPr>
                <w:sz w:val="18"/>
              </w:rPr>
              <w:t>Intensidad de luz (lux)</w:t>
            </w:r>
          </w:p>
        </w:tc>
      </w:tr>
      <w:tr>
        <w:trPr>
          <w:trHeight w:val="282" w:hRule="exact"/>
        </w:trPr>
        <w:tc>
          <w:tcPr>
            <w:tcW w:w="1702" w:type="dxa"/>
            <w:tcBorders>
              <w:top w:val="nil"/>
            </w:tcBorders>
            <w:shd w:val="clear" w:color="auto" w:fill="FFBF00"/>
          </w:tcPr>
          <w:p>
            <w:pPr>
              <w:pStyle w:val="TableParagraph"/>
              <w:ind w:left="432" w:right="362"/>
              <w:rPr>
                <w:sz w:val="18"/>
              </w:rPr>
            </w:pPr>
            <w:r>
              <w:rPr>
                <w:sz w:val="18"/>
              </w:rPr>
              <w:t>Maquinaria</w:t>
            </w:r>
          </w:p>
        </w:tc>
        <w:tc>
          <w:tcPr>
            <w:tcW w:w="1559" w:type="dxa"/>
            <w:shd w:val="clear" w:color="auto" w:fill="FFBF00"/>
          </w:tcPr>
          <w:p>
            <w:pPr>
              <w:pStyle w:val="TableParagraph"/>
              <w:spacing w:line="202" w:lineRule="exact"/>
              <w:ind w:left="609"/>
              <w:rPr>
                <w:sz w:val="18"/>
              </w:rPr>
            </w:pPr>
            <w:r>
              <w:rPr>
                <w:sz w:val="18"/>
              </w:rPr>
              <w:t>Real</w:t>
            </w:r>
          </w:p>
        </w:tc>
        <w:tc>
          <w:tcPr>
            <w:tcW w:w="1276" w:type="dxa"/>
            <w:shd w:val="clear" w:color="auto" w:fill="FFBF00"/>
          </w:tcPr>
          <w:p>
            <w:pPr>
              <w:pStyle w:val="TableParagraph"/>
              <w:spacing w:line="202" w:lineRule="exact"/>
              <w:ind w:left="354" w:right="354"/>
              <w:jc w:val="center"/>
              <w:rPr>
                <w:sz w:val="18"/>
              </w:rPr>
            </w:pPr>
            <w:r>
              <w:rPr>
                <w:sz w:val="18"/>
              </w:rPr>
              <w:t>Ideal</w:t>
            </w:r>
          </w:p>
        </w:tc>
      </w:tr>
      <w:tr>
        <w:trPr>
          <w:trHeight w:val="217" w:hRule="exact"/>
        </w:trPr>
        <w:tc>
          <w:tcPr>
            <w:tcW w:w="1702" w:type="dxa"/>
          </w:tcPr>
          <w:p>
            <w:pPr>
              <w:pStyle w:val="TableParagraph"/>
              <w:spacing w:line="203" w:lineRule="exact"/>
              <w:ind w:left="104" w:right="362"/>
              <w:rPr>
                <w:sz w:val="18"/>
              </w:rPr>
            </w:pPr>
            <w:r>
              <w:rPr>
                <w:sz w:val="18"/>
              </w:rPr>
              <w:t>Grúa principal</w:t>
            </w:r>
          </w:p>
        </w:tc>
        <w:tc>
          <w:tcPr>
            <w:tcW w:w="1559" w:type="dxa"/>
          </w:tcPr>
          <w:p>
            <w:pPr>
              <w:pStyle w:val="TableParagraph"/>
              <w:spacing w:line="203" w:lineRule="exact"/>
              <w:ind w:left="640"/>
              <w:rPr>
                <w:sz w:val="18"/>
              </w:rPr>
            </w:pPr>
            <w:r>
              <w:rPr>
                <w:sz w:val="18"/>
              </w:rPr>
              <w:t>210</w:t>
            </w:r>
          </w:p>
        </w:tc>
        <w:tc>
          <w:tcPr>
            <w:tcW w:w="1276" w:type="dxa"/>
          </w:tcPr>
          <w:p>
            <w:pPr>
              <w:pStyle w:val="TableParagraph"/>
              <w:spacing w:line="203" w:lineRule="exact"/>
              <w:ind w:left="354" w:right="354"/>
              <w:jc w:val="center"/>
              <w:rPr>
                <w:sz w:val="18"/>
              </w:rPr>
            </w:pPr>
            <w:r>
              <w:rPr>
                <w:sz w:val="18"/>
              </w:rPr>
              <w:t>300</w:t>
            </w:r>
          </w:p>
        </w:tc>
      </w:tr>
      <w:tr>
        <w:trPr>
          <w:trHeight w:val="217" w:hRule="exact"/>
        </w:trPr>
        <w:tc>
          <w:tcPr>
            <w:tcW w:w="1702" w:type="dxa"/>
          </w:tcPr>
          <w:p>
            <w:pPr>
              <w:pStyle w:val="TableParagraph"/>
              <w:spacing w:line="203" w:lineRule="exact"/>
              <w:ind w:left="104" w:right="362"/>
              <w:rPr>
                <w:sz w:val="18"/>
              </w:rPr>
            </w:pPr>
            <w:r>
              <w:rPr>
                <w:sz w:val="18"/>
              </w:rPr>
              <w:t>Balanceadora</w:t>
            </w:r>
          </w:p>
        </w:tc>
        <w:tc>
          <w:tcPr>
            <w:tcW w:w="1559" w:type="dxa"/>
          </w:tcPr>
          <w:p>
            <w:pPr>
              <w:pStyle w:val="TableParagraph"/>
              <w:spacing w:line="203" w:lineRule="exact"/>
              <w:ind w:left="638"/>
              <w:rPr>
                <w:sz w:val="18"/>
              </w:rPr>
            </w:pPr>
            <w:r>
              <w:rPr>
                <w:sz w:val="18"/>
              </w:rPr>
              <w:t>150</w:t>
            </w:r>
          </w:p>
        </w:tc>
        <w:tc>
          <w:tcPr>
            <w:tcW w:w="1276" w:type="dxa"/>
          </w:tcPr>
          <w:p>
            <w:pPr>
              <w:pStyle w:val="TableParagraph"/>
              <w:spacing w:line="203" w:lineRule="exact"/>
              <w:ind w:left="354" w:right="354"/>
              <w:jc w:val="center"/>
              <w:rPr>
                <w:sz w:val="18"/>
              </w:rPr>
            </w:pPr>
            <w:r>
              <w:rPr>
                <w:sz w:val="18"/>
              </w:rPr>
              <w:t>300</w:t>
            </w:r>
          </w:p>
        </w:tc>
      </w:tr>
      <w:tr>
        <w:trPr>
          <w:trHeight w:val="217" w:hRule="exact"/>
        </w:trPr>
        <w:tc>
          <w:tcPr>
            <w:tcW w:w="1702" w:type="dxa"/>
          </w:tcPr>
          <w:p>
            <w:pPr>
              <w:pStyle w:val="TableParagraph"/>
              <w:spacing w:line="202" w:lineRule="exact"/>
              <w:ind w:left="104" w:right="362"/>
              <w:rPr>
                <w:sz w:val="18"/>
              </w:rPr>
            </w:pPr>
            <w:r>
              <w:rPr>
                <w:sz w:val="18"/>
              </w:rPr>
              <w:t>Monta llantas</w:t>
            </w:r>
          </w:p>
        </w:tc>
        <w:tc>
          <w:tcPr>
            <w:tcW w:w="1559" w:type="dxa"/>
          </w:tcPr>
          <w:p>
            <w:pPr>
              <w:pStyle w:val="TableParagraph"/>
              <w:spacing w:line="202" w:lineRule="exact"/>
              <w:ind w:left="639"/>
              <w:rPr>
                <w:sz w:val="18"/>
              </w:rPr>
            </w:pPr>
            <w:r>
              <w:rPr>
                <w:sz w:val="18"/>
              </w:rPr>
              <w:t>140</w:t>
            </w:r>
          </w:p>
        </w:tc>
        <w:tc>
          <w:tcPr>
            <w:tcW w:w="1276" w:type="dxa"/>
          </w:tcPr>
          <w:p>
            <w:pPr>
              <w:pStyle w:val="TableParagraph"/>
              <w:spacing w:line="202" w:lineRule="exact"/>
              <w:ind w:left="354" w:right="354"/>
              <w:jc w:val="center"/>
              <w:rPr>
                <w:sz w:val="18"/>
              </w:rPr>
            </w:pPr>
            <w:r>
              <w:rPr>
                <w:sz w:val="18"/>
              </w:rPr>
              <w:t>300</w:t>
            </w:r>
          </w:p>
        </w:tc>
      </w:tr>
      <w:tr>
        <w:trPr>
          <w:trHeight w:val="217" w:hRule="exact"/>
        </w:trPr>
        <w:tc>
          <w:tcPr>
            <w:tcW w:w="1702" w:type="dxa"/>
          </w:tcPr>
          <w:p>
            <w:pPr>
              <w:pStyle w:val="TableParagraph"/>
              <w:spacing w:line="202" w:lineRule="exact"/>
              <w:ind w:left="104" w:right="362"/>
              <w:rPr>
                <w:sz w:val="18"/>
              </w:rPr>
            </w:pPr>
            <w:r>
              <w:rPr>
                <w:sz w:val="18"/>
              </w:rPr>
              <w:t>Torno</w:t>
            </w:r>
          </w:p>
        </w:tc>
        <w:tc>
          <w:tcPr>
            <w:tcW w:w="1559" w:type="dxa"/>
          </w:tcPr>
          <w:p>
            <w:pPr>
              <w:pStyle w:val="TableParagraph"/>
              <w:spacing w:line="202" w:lineRule="exact"/>
              <w:ind w:left="639"/>
              <w:rPr>
                <w:sz w:val="18"/>
              </w:rPr>
            </w:pPr>
            <w:r>
              <w:rPr>
                <w:sz w:val="18"/>
              </w:rPr>
              <w:t>210</w:t>
            </w:r>
          </w:p>
        </w:tc>
        <w:tc>
          <w:tcPr>
            <w:tcW w:w="1276" w:type="dxa"/>
          </w:tcPr>
          <w:p>
            <w:pPr>
              <w:pStyle w:val="TableParagraph"/>
              <w:spacing w:line="202" w:lineRule="exact"/>
              <w:ind w:left="354" w:right="354"/>
              <w:jc w:val="center"/>
              <w:rPr>
                <w:sz w:val="18"/>
              </w:rPr>
            </w:pPr>
            <w:r>
              <w:rPr>
                <w:sz w:val="18"/>
              </w:rPr>
              <w:t>300</w:t>
            </w:r>
          </w:p>
        </w:tc>
      </w:tr>
    </w:tbl>
    <w:p>
      <w:pPr>
        <w:spacing w:after="0" w:line="202" w:lineRule="exact"/>
        <w:jc w:val="center"/>
        <w:rPr>
          <w:sz w:val="18"/>
        </w:rPr>
        <w:sectPr>
          <w:type w:val="continuous"/>
          <w:pgSz w:w="12240" w:h="15840"/>
          <w:pgMar w:top="1500" w:bottom="280" w:left="580" w:right="220"/>
        </w:sectPr>
      </w:pPr>
    </w:p>
    <w:p>
      <w:pPr>
        <w:spacing w:line="240" w:lineRule="auto" w:before="0"/>
        <w:ind w:left="270" w:right="0" w:firstLine="0"/>
        <w:jc w:val="both"/>
        <w:rPr>
          <w:sz w:val="18"/>
        </w:rPr>
      </w:pPr>
      <w:r>
        <w:rPr>
          <w:sz w:val="18"/>
        </w:rPr>
        <w:t>Artificial lamps, are very dirty, is cleaning and maintenance problems.</w:t>
      </w:r>
    </w:p>
    <w:p>
      <w:pPr>
        <w:pStyle w:val="BodyText"/>
        <w:rPr>
          <w:sz w:val="18"/>
        </w:rPr>
      </w:pPr>
    </w:p>
    <w:p>
      <w:pPr>
        <w:spacing w:before="0"/>
        <w:ind w:left="270" w:right="0" w:firstLine="0"/>
        <w:jc w:val="both"/>
        <w:rPr>
          <w:sz w:val="18"/>
        </w:rPr>
      </w:pPr>
      <w:r>
        <w:rPr>
          <w:sz w:val="18"/>
        </w:rPr>
        <w:t>Table 3 shows the average measurement of the intensity of noise in db. They were performed with the compressor off and without the use of another machine, working only the specified machine.</w:t>
      </w:r>
    </w:p>
    <w:p>
      <w:pPr>
        <w:spacing w:before="0"/>
        <w:ind w:left="270" w:right="0" w:firstLine="0"/>
        <w:jc w:val="both"/>
        <w:rPr>
          <w:sz w:val="18"/>
        </w:rPr>
      </w:pPr>
      <w:r>
        <w:rPr>
          <w:sz w:val="18"/>
        </w:rPr>
        <w:t>Noise levels do not represent risk of working in any of the stations from the Centre of machining since they are low according to the provisions of the occupational safety and health administration Noise levels do not represent risk of working in any of the stations from the Centre of machining since they are low according to the provisions of the Occupational Safety and Health Administration (OSHA). [2]</w:t>
      </w:r>
    </w:p>
    <w:p>
      <w:pPr>
        <w:pStyle w:val="BodyText"/>
        <w:rPr>
          <w:sz w:val="18"/>
        </w:rPr>
      </w:pPr>
    </w:p>
    <w:p>
      <w:pPr>
        <w:spacing w:before="0"/>
        <w:ind w:left="923" w:right="115" w:firstLine="0"/>
        <w:jc w:val="left"/>
        <w:rPr>
          <w:sz w:val="18"/>
        </w:rPr>
      </w:pPr>
      <w:r>
        <w:rPr/>
        <w:pict>
          <v:shape style="position:absolute;margin-left:49.380001pt;margin-top:20.942343pt;width:227.55pt;height:58.05pt;mso-position-horizontal-relative:page;mso-position-vertical-relative:paragraph;z-index:604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86"/>
                    <w:gridCol w:w="2550"/>
                  </w:tblGrid>
                  <w:tr>
                    <w:trPr>
                      <w:trHeight w:val="283" w:hRule="exact"/>
                    </w:trPr>
                    <w:tc>
                      <w:tcPr>
                        <w:tcW w:w="1986" w:type="dxa"/>
                        <w:shd w:val="clear" w:color="auto" w:fill="FFBF00"/>
                      </w:tcPr>
                      <w:p>
                        <w:pPr>
                          <w:pStyle w:val="TableParagraph"/>
                          <w:spacing w:line="202" w:lineRule="exact"/>
                          <w:ind w:left="573"/>
                          <w:rPr>
                            <w:sz w:val="18"/>
                          </w:rPr>
                        </w:pPr>
                        <w:r>
                          <w:rPr>
                            <w:sz w:val="18"/>
                          </w:rPr>
                          <w:t>Maquinaria</w:t>
                        </w:r>
                      </w:p>
                    </w:tc>
                    <w:tc>
                      <w:tcPr>
                        <w:tcW w:w="2550" w:type="dxa"/>
                        <w:shd w:val="clear" w:color="auto" w:fill="FFBF00"/>
                      </w:tcPr>
                      <w:p>
                        <w:pPr>
                          <w:pStyle w:val="TableParagraph"/>
                          <w:spacing w:line="202" w:lineRule="exact"/>
                          <w:ind w:left="858" w:right="856"/>
                          <w:jc w:val="center"/>
                          <w:rPr>
                            <w:sz w:val="18"/>
                          </w:rPr>
                        </w:pPr>
                        <w:r>
                          <w:rPr>
                            <w:sz w:val="18"/>
                          </w:rPr>
                          <w:t>Ruido (db)</w:t>
                        </w:r>
                      </w:p>
                    </w:tc>
                  </w:tr>
                  <w:tr>
                    <w:trPr>
                      <w:trHeight w:val="216" w:hRule="exact"/>
                    </w:trPr>
                    <w:tc>
                      <w:tcPr>
                        <w:tcW w:w="1986" w:type="dxa"/>
                      </w:tcPr>
                      <w:p>
                        <w:pPr>
                          <w:pStyle w:val="TableParagraph"/>
                          <w:spacing w:line="202" w:lineRule="exact"/>
                          <w:ind w:left="104"/>
                          <w:rPr>
                            <w:sz w:val="18"/>
                          </w:rPr>
                        </w:pPr>
                        <w:r>
                          <w:rPr>
                            <w:sz w:val="18"/>
                          </w:rPr>
                          <w:t>Grúa principal</w:t>
                        </w:r>
                      </w:p>
                    </w:tc>
                    <w:tc>
                      <w:tcPr>
                        <w:tcW w:w="2550" w:type="dxa"/>
                      </w:tcPr>
                      <w:p>
                        <w:pPr>
                          <w:pStyle w:val="TableParagraph"/>
                          <w:spacing w:line="202" w:lineRule="exact"/>
                          <w:ind w:left="857" w:right="856"/>
                          <w:jc w:val="center"/>
                          <w:rPr>
                            <w:sz w:val="18"/>
                          </w:rPr>
                        </w:pPr>
                        <w:r>
                          <w:rPr>
                            <w:sz w:val="18"/>
                          </w:rPr>
                          <w:t>70-85</w:t>
                        </w:r>
                      </w:p>
                    </w:tc>
                  </w:tr>
                  <w:tr>
                    <w:trPr>
                      <w:trHeight w:val="217" w:hRule="exact"/>
                    </w:trPr>
                    <w:tc>
                      <w:tcPr>
                        <w:tcW w:w="1986" w:type="dxa"/>
                      </w:tcPr>
                      <w:p>
                        <w:pPr>
                          <w:pStyle w:val="TableParagraph"/>
                          <w:spacing w:line="203" w:lineRule="exact"/>
                          <w:ind w:left="104"/>
                          <w:rPr>
                            <w:sz w:val="18"/>
                          </w:rPr>
                        </w:pPr>
                        <w:r>
                          <w:rPr>
                            <w:sz w:val="18"/>
                          </w:rPr>
                          <w:t>Balanceadora</w:t>
                        </w:r>
                      </w:p>
                    </w:tc>
                    <w:tc>
                      <w:tcPr>
                        <w:tcW w:w="2550" w:type="dxa"/>
                      </w:tcPr>
                      <w:p>
                        <w:pPr>
                          <w:pStyle w:val="TableParagraph"/>
                          <w:spacing w:line="203" w:lineRule="exact"/>
                          <w:ind w:left="856" w:right="856"/>
                          <w:jc w:val="center"/>
                          <w:rPr>
                            <w:sz w:val="18"/>
                          </w:rPr>
                        </w:pPr>
                        <w:r>
                          <w:rPr>
                            <w:sz w:val="18"/>
                          </w:rPr>
                          <w:t>65</w:t>
                        </w:r>
                      </w:p>
                    </w:tc>
                  </w:tr>
                  <w:tr>
                    <w:trPr>
                      <w:trHeight w:val="217" w:hRule="exact"/>
                    </w:trPr>
                    <w:tc>
                      <w:tcPr>
                        <w:tcW w:w="1986" w:type="dxa"/>
                      </w:tcPr>
                      <w:p>
                        <w:pPr>
                          <w:pStyle w:val="TableParagraph"/>
                          <w:spacing w:line="203" w:lineRule="exact"/>
                          <w:ind w:left="104"/>
                          <w:rPr>
                            <w:sz w:val="18"/>
                          </w:rPr>
                        </w:pPr>
                        <w:r>
                          <w:rPr>
                            <w:sz w:val="18"/>
                          </w:rPr>
                          <w:t>Monta llantas</w:t>
                        </w:r>
                      </w:p>
                    </w:tc>
                    <w:tc>
                      <w:tcPr>
                        <w:tcW w:w="2550" w:type="dxa"/>
                      </w:tcPr>
                      <w:p>
                        <w:pPr>
                          <w:pStyle w:val="TableParagraph"/>
                          <w:spacing w:line="203" w:lineRule="exact"/>
                          <w:ind w:left="857" w:right="856"/>
                          <w:jc w:val="center"/>
                          <w:rPr>
                            <w:sz w:val="18"/>
                          </w:rPr>
                        </w:pPr>
                        <w:r>
                          <w:rPr>
                            <w:sz w:val="18"/>
                          </w:rPr>
                          <w:t>54-86</w:t>
                        </w:r>
                      </w:p>
                    </w:tc>
                  </w:tr>
                  <w:tr>
                    <w:trPr>
                      <w:trHeight w:val="217" w:hRule="exact"/>
                    </w:trPr>
                    <w:tc>
                      <w:tcPr>
                        <w:tcW w:w="1986" w:type="dxa"/>
                      </w:tcPr>
                      <w:p>
                        <w:pPr>
                          <w:pStyle w:val="TableParagraph"/>
                          <w:spacing w:line="202" w:lineRule="exact"/>
                          <w:ind w:left="104"/>
                          <w:rPr>
                            <w:sz w:val="18"/>
                          </w:rPr>
                        </w:pPr>
                        <w:r>
                          <w:rPr>
                            <w:sz w:val="18"/>
                          </w:rPr>
                          <w:t>Torno</w:t>
                        </w:r>
                      </w:p>
                    </w:tc>
                    <w:tc>
                      <w:tcPr>
                        <w:tcW w:w="2550" w:type="dxa"/>
                      </w:tcPr>
                      <w:p>
                        <w:pPr>
                          <w:pStyle w:val="TableParagraph"/>
                          <w:spacing w:line="202" w:lineRule="exact"/>
                          <w:ind w:left="856" w:right="856"/>
                          <w:jc w:val="center"/>
                          <w:rPr>
                            <w:sz w:val="18"/>
                          </w:rPr>
                        </w:pPr>
                        <w:r>
                          <w:rPr>
                            <w:sz w:val="18"/>
                          </w:rPr>
                          <w:t>71</w:t>
                        </w:r>
                      </w:p>
                    </w:tc>
                  </w:tr>
                </w:tbl>
                <w:p>
                  <w:pPr>
                    <w:pStyle w:val="BodyText"/>
                  </w:pPr>
                </w:p>
              </w:txbxContent>
            </v:textbox>
            <w10:wrap type="none"/>
          </v:shape>
        </w:pict>
      </w:r>
      <w:r>
        <w:rPr>
          <w:sz w:val="18"/>
        </w:rPr>
        <w:t>Table 3. Registration of measurements of lighting</w:t>
      </w:r>
    </w:p>
    <w:p>
      <w:pPr>
        <w:pStyle w:val="BodyText"/>
        <w:rPr>
          <w:sz w:val="18"/>
        </w:rPr>
      </w:pPr>
      <w:r>
        <w:rPr/>
        <w:br w:type="column"/>
      </w:r>
      <w:r>
        <w:rPr>
          <w:sz w:val="18"/>
        </w:rPr>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4"/>
        <w:rPr>
          <w:sz w:val="22"/>
        </w:rPr>
      </w:pPr>
    </w:p>
    <w:p>
      <w:pPr>
        <w:spacing w:before="0"/>
        <w:ind w:left="1793" w:right="668" w:firstLine="0"/>
        <w:jc w:val="left"/>
        <w:rPr>
          <w:sz w:val="18"/>
        </w:rPr>
      </w:pPr>
      <w:r>
        <w:rPr/>
        <w:pict>
          <v:shape style="position:absolute;margin-left:329.279999pt;margin-top:-175.13797pt;width:206.3pt;height:165.1pt;mso-position-horizontal-relative:page;mso-position-vertical-relative:paragraph;z-index:6016"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68"/>
                    <w:gridCol w:w="426"/>
                    <w:gridCol w:w="426"/>
                    <w:gridCol w:w="425"/>
                    <w:gridCol w:w="566"/>
                  </w:tblGrid>
                  <w:tr>
                    <w:trPr>
                      <w:trHeight w:val="286" w:hRule="exact"/>
                    </w:trPr>
                    <w:tc>
                      <w:tcPr>
                        <w:tcW w:w="4111" w:type="dxa"/>
                        <w:gridSpan w:val="5"/>
                      </w:tcPr>
                      <w:p>
                        <w:pPr>
                          <w:pStyle w:val="TableParagraph"/>
                          <w:spacing w:before="32"/>
                          <w:ind w:left="103"/>
                          <w:rPr>
                            <w:rFonts w:ascii="Arial"/>
                            <w:sz w:val="18"/>
                          </w:rPr>
                        </w:pPr>
                        <w:r>
                          <w:rPr>
                            <w:rFonts w:ascii="Arial"/>
                            <w:sz w:val="18"/>
                          </w:rPr>
                          <w:t>Quitar Llanta</w:t>
                        </w:r>
                      </w:p>
                    </w:tc>
                  </w:tr>
                  <w:tr>
                    <w:trPr>
                      <w:trHeight w:val="1279" w:hRule="exact"/>
                    </w:trPr>
                    <w:tc>
                      <w:tcPr>
                        <w:tcW w:w="2268" w:type="dxa"/>
                      </w:tcPr>
                      <w:p>
                        <w:pPr>
                          <w:pStyle w:val="TableParagraph"/>
                          <w:ind w:left="752"/>
                          <w:rPr>
                            <w:sz w:val="20"/>
                          </w:rPr>
                        </w:pPr>
                        <w:r>
                          <w:rPr>
                            <w:sz w:val="20"/>
                          </w:rPr>
                          <w:drawing>
                            <wp:inline distT="0" distB="0" distL="0" distR="0">
                              <wp:extent cx="480077" cy="804100"/>
                              <wp:effectExtent l="0" t="0" r="0" b="0"/>
                              <wp:docPr id="209" name="image109.jpeg" descr=""/>
                              <wp:cNvGraphicFramePr>
                                <a:graphicFrameLocks noChangeAspect="1"/>
                              </wp:cNvGraphicFramePr>
                              <a:graphic>
                                <a:graphicData uri="http://schemas.openxmlformats.org/drawingml/2006/picture">
                                  <pic:pic>
                                    <pic:nvPicPr>
                                      <pic:cNvPr id="210" name="image109.jpeg"/>
                                      <pic:cNvPicPr/>
                                    </pic:nvPicPr>
                                    <pic:blipFill>
                                      <a:blip r:embed="rId193" cstate="print"/>
                                      <a:stretch>
                                        <a:fillRect/>
                                      </a:stretch>
                                    </pic:blipFill>
                                    <pic:spPr>
                                      <a:xfrm>
                                        <a:off x="0" y="0"/>
                                        <a:ext cx="480077" cy="804100"/>
                                      </a:xfrm>
                                      <a:prstGeom prst="rect">
                                        <a:avLst/>
                                      </a:prstGeom>
                                    </pic:spPr>
                                  </pic:pic>
                                </a:graphicData>
                              </a:graphic>
                            </wp:inline>
                          </w:drawing>
                        </w:r>
                        <w:r>
                          <w:rPr>
                            <w:sz w:val="20"/>
                          </w:rPr>
                        </w:r>
                      </w:p>
                    </w:tc>
                    <w:tc>
                      <w:tcPr>
                        <w:tcW w:w="426" w:type="dxa"/>
                        <w:textDirection w:val="btLr"/>
                      </w:tcPr>
                      <w:p>
                        <w:pPr>
                          <w:pStyle w:val="TableParagraph"/>
                          <w:spacing w:before="104"/>
                          <w:ind w:left="218"/>
                          <w:rPr>
                            <w:rFonts w:ascii="Arial"/>
                            <w:sz w:val="18"/>
                          </w:rPr>
                        </w:pPr>
                        <w:r>
                          <w:rPr>
                            <w:rFonts w:ascii="Arial"/>
                            <w:spacing w:val="-1"/>
                            <w:sz w:val="18"/>
                          </w:rPr>
                          <w:t>Intensi</w:t>
                        </w:r>
                        <w:r>
                          <w:rPr>
                            <w:rFonts w:ascii="Arial"/>
                            <w:sz w:val="18"/>
                          </w:rPr>
                          <w:t>d</w:t>
                        </w:r>
                        <w:r>
                          <w:rPr>
                            <w:rFonts w:ascii="Arial"/>
                            <w:spacing w:val="-1"/>
                            <w:sz w:val="18"/>
                          </w:rPr>
                          <w:t>ad</w:t>
                        </w:r>
                      </w:p>
                    </w:tc>
                    <w:tc>
                      <w:tcPr>
                        <w:tcW w:w="426" w:type="dxa"/>
                        <w:textDirection w:val="btLr"/>
                      </w:tcPr>
                      <w:p>
                        <w:pPr>
                          <w:pStyle w:val="TableParagraph"/>
                          <w:spacing w:before="104"/>
                          <w:ind w:left="273"/>
                          <w:rPr>
                            <w:rFonts w:ascii="Arial" w:hAnsi="Arial"/>
                            <w:sz w:val="18"/>
                          </w:rPr>
                        </w:pPr>
                        <w:r>
                          <w:rPr>
                            <w:rFonts w:ascii="Arial" w:hAnsi="Arial"/>
                            <w:spacing w:val="-1"/>
                            <w:sz w:val="18"/>
                          </w:rPr>
                          <w:t>Duración</w:t>
                        </w:r>
                      </w:p>
                    </w:tc>
                    <w:tc>
                      <w:tcPr>
                        <w:tcW w:w="425" w:type="dxa"/>
                        <w:textDirection w:val="btLr"/>
                      </w:tcPr>
                      <w:p>
                        <w:pPr>
                          <w:pStyle w:val="TableParagraph"/>
                          <w:spacing w:before="104"/>
                          <w:ind w:left="199"/>
                          <w:rPr>
                            <w:rFonts w:ascii="Arial"/>
                            <w:sz w:val="18"/>
                          </w:rPr>
                        </w:pPr>
                        <w:r>
                          <w:rPr>
                            <w:rFonts w:ascii="Arial"/>
                            <w:sz w:val="18"/>
                          </w:rPr>
                          <w:t>Por minuto</w:t>
                        </w:r>
                      </w:p>
                    </w:tc>
                    <w:tc>
                      <w:tcPr>
                        <w:tcW w:w="566" w:type="dxa"/>
                        <w:textDirection w:val="btLr"/>
                      </w:tcPr>
                      <w:p>
                        <w:pPr>
                          <w:pStyle w:val="TableParagraph"/>
                          <w:spacing w:before="104"/>
                          <w:ind w:left="328"/>
                          <w:rPr>
                            <w:rFonts w:ascii="Arial"/>
                            <w:sz w:val="18"/>
                          </w:rPr>
                        </w:pPr>
                        <w:r>
                          <w:rPr>
                            <w:rFonts w:ascii="Arial"/>
                            <w:spacing w:val="-1"/>
                            <w:sz w:val="18"/>
                          </w:rPr>
                          <w:t>Punta</w:t>
                        </w:r>
                        <w:r>
                          <w:rPr>
                            <w:rFonts w:ascii="Arial"/>
                            <w:sz w:val="18"/>
                          </w:rPr>
                          <w:t>je</w:t>
                        </w:r>
                      </w:p>
                    </w:tc>
                  </w:tr>
                  <w:tr>
                    <w:trPr>
                      <w:trHeight w:val="308" w:hRule="exact"/>
                    </w:trPr>
                    <w:tc>
                      <w:tcPr>
                        <w:tcW w:w="2268" w:type="dxa"/>
                        <w:shd w:val="clear" w:color="auto" w:fill="FFBF00"/>
                      </w:tcPr>
                      <w:p>
                        <w:pPr>
                          <w:pStyle w:val="TableParagraph"/>
                          <w:spacing w:line="205" w:lineRule="exact"/>
                          <w:ind w:left="103" w:right="363"/>
                          <w:rPr>
                            <w:rFonts w:ascii="Arial"/>
                            <w:sz w:val="18"/>
                          </w:rPr>
                        </w:pPr>
                        <w:r>
                          <w:rPr>
                            <w:rFonts w:ascii="Arial"/>
                            <w:sz w:val="18"/>
                          </w:rPr>
                          <w:t>Cuello</w:t>
                        </w:r>
                      </w:p>
                    </w:tc>
                    <w:tc>
                      <w:tcPr>
                        <w:tcW w:w="426" w:type="dxa"/>
                      </w:tcPr>
                      <w:p>
                        <w:pPr>
                          <w:pStyle w:val="TableParagraph"/>
                          <w:spacing w:line="205" w:lineRule="exact"/>
                          <w:jc w:val="center"/>
                          <w:rPr>
                            <w:rFonts w:ascii="Arial"/>
                            <w:sz w:val="18"/>
                          </w:rPr>
                        </w:pPr>
                        <w:r>
                          <w:rPr>
                            <w:rFonts w:ascii="Arial"/>
                            <w:sz w:val="18"/>
                          </w:rPr>
                          <w:t>2</w:t>
                        </w:r>
                      </w:p>
                    </w:tc>
                    <w:tc>
                      <w:tcPr>
                        <w:tcW w:w="426" w:type="dxa"/>
                      </w:tcPr>
                      <w:p>
                        <w:pPr>
                          <w:pStyle w:val="TableParagraph"/>
                          <w:spacing w:line="205" w:lineRule="exact"/>
                          <w:jc w:val="center"/>
                          <w:rPr>
                            <w:rFonts w:ascii="Arial"/>
                            <w:sz w:val="18"/>
                          </w:rPr>
                        </w:pPr>
                        <w:r>
                          <w:rPr>
                            <w:rFonts w:ascii="Arial"/>
                            <w:sz w:val="18"/>
                          </w:rPr>
                          <w:t>1</w:t>
                        </w:r>
                      </w:p>
                    </w:tc>
                    <w:tc>
                      <w:tcPr>
                        <w:tcW w:w="425" w:type="dxa"/>
                      </w:tcPr>
                      <w:p>
                        <w:pPr>
                          <w:pStyle w:val="TableParagraph"/>
                          <w:spacing w:line="205" w:lineRule="exact"/>
                          <w:jc w:val="center"/>
                          <w:rPr>
                            <w:rFonts w:ascii="Arial"/>
                            <w:sz w:val="18"/>
                          </w:rPr>
                        </w:pPr>
                        <w:r>
                          <w:rPr>
                            <w:rFonts w:ascii="Arial"/>
                            <w:sz w:val="18"/>
                          </w:rPr>
                          <w:t>1</w:t>
                        </w:r>
                      </w:p>
                    </w:tc>
                    <w:tc>
                      <w:tcPr>
                        <w:tcW w:w="566" w:type="dxa"/>
                      </w:tcPr>
                      <w:p>
                        <w:pPr>
                          <w:pStyle w:val="TableParagraph"/>
                          <w:spacing w:line="204" w:lineRule="exact"/>
                          <w:ind w:left="1"/>
                          <w:jc w:val="center"/>
                          <w:rPr>
                            <w:rFonts w:ascii="Arial"/>
                            <w:b/>
                            <w:sz w:val="18"/>
                          </w:rPr>
                        </w:pPr>
                        <w:r>
                          <w:rPr>
                            <w:rFonts w:ascii="Arial"/>
                            <w:b/>
                            <w:sz w:val="18"/>
                          </w:rPr>
                          <w:t>3</w:t>
                        </w:r>
                      </w:p>
                    </w:tc>
                  </w:tr>
                  <w:tr>
                    <w:trPr>
                      <w:trHeight w:val="298" w:hRule="exact"/>
                    </w:trPr>
                    <w:tc>
                      <w:tcPr>
                        <w:tcW w:w="2268" w:type="dxa"/>
                        <w:shd w:val="clear" w:color="auto" w:fill="FFBF00"/>
                      </w:tcPr>
                      <w:p>
                        <w:pPr>
                          <w:pStyle w:val="TableParagraph"/>
                          <w:spacing w:before="38"/>
                          <w:ind w:left="103" w:right="363"/>
                          <w:rPr>
                            <w:rFonts w:ascii="Arial"/>
                            <w:sz w:val="18"/>
                          </w:rPr>
                        </w:pPr>
                        <w:r>
                          <w:rPr>
                            <w:rFonts w:ascii="Arial"/>
                            <w:sz w:val="18"/>
                          </w:rPr>
                          <w:t>Hombro</w:t>
                        </w:r>
                      </w:p>
                    </w:tc>
                    <w:tc>
                      <w:tcPr>
                        <w:tcW w:w="426" w:type="dxa"/>
                      </w:tcPr>
                      <w:p>
                        <w:pPr>
                          <w:pStyle w:val="TableParagraph"/>
                          <w:spacing w:before="38"/>
                          <w:jc w:val="center"/>
                          <w:rPr>
                            <w:rFonts w:ascii="Arial"/>
                            <w:sz w:val="18"/>
                          </w:rPr>
                        </w:pPr>
                        <w:r>
                          <w:rPr>
                            <w:rFonts w:ascii="Arial"/>
                            <w:sz w:val="18"/>
                          </w:rPr>
                          <w:t>3</w:t>
                        </w:r>
                      </w:p>
                    </w:tc>
                    <w:tc>
                      <w:tcPr>
                        <w:tcW w:w="426" w:type="dxa"/>
                      </w:tcPr>
                      <w:p>
                        <w:pPr>
                          <w:pStyle w:val="TableParagraph"/>
                          <w:spacing w:before="38"/>
                          <w:jc w:val="center"/>
                          <w:rPr>
                            <w:rFonts w:ascii="Arial"/>
                            <w:sz w:val="18"/>
                          </w:rPr>
                        </w:pPr>
                        <w:r>
                          <w:rPr>
                            <w:rFonts w:ascii="Arial"/>
                            <w:sz w:val="18"/>
                          </w:rPr>
                          <w:t>1</w:t>
                        </w:r>
                      </w:p>
                    </w:tc>
                    <w:tc>
                      <w:tcPr>
                        <w:tcW w:w="425" w:type="dxa"/>
                      </w:tcPr>
                      <w:p>
                        <w:pPr>
                          <w:pStyle w:val="TableParagraph"/>
                          <w:spacing w:before="38"/>
                          <w:ind w:right="1"/>
                          <w:jc w:val="center"/>
                          <w:rPr>
                            <w:rFonts w:ascii="Arial"/>
                            <w:sz w:val="18"/>
                          </w:rPr>
                        </w:pPr>
                        <w:r>
                          <w:rPr>
                            <w:rFonts w:ascii="Arial"/>
                            <w:sz w:val="18"/>
                          </w:rPr>
                          <w:t>1</w:t>
                        </w:r>
                      </w:p>
                    </w:tc>
                    <w:tc>
                      <w:tcPr>
                        <w:tcW w:w="566" w:type="dxa"/>
                      </w:tcPr>
                      <w:p>
                        <w:pPr>
                          <w:pStyle w:val="TableParagraph"/>
                          <w:spacing w:line="206" w:lineRule="exact"/>
                          <w:ind w:left="1"/>
                          <w:jc w:val="center"/>
                          <w:rPr>
                            <w:b/>
                            <w:sz w:val="18"/>
                          </w:rPr>
                        </w:pPr>
                        <w:r>
                          <w:rPr>
                            <w:b/>
                            <w:sz w:val="18"/>
                          </w:rPr>
                          <w:t>4</w:t>
                        </w:r>
                      </w:p>
                    </w:tc>
                  </w:tr>
                  <w:tr>
                    <w:trPr>
                      <w:trHeight w:val="274" w:hRule="exact"/>
                    </w:trPr>
                    <w:tc>
                      <w:tcPr>
                        <w:tcW w:w="2268" w:type="dxa"/>
                        <w:shd w:val="clear" w:color="auto" w:fill="FFBF00"/>
                      </w:tcPr>
                      <w:p>
                        <w:pPr>
                          <w:pStyle w:val="TableParagraph"/>
                          <w:spacing w:line="205" w:lineRule="exact"/>
                          <w:ind w:left="103" w:right="363"/>
                          <w:rPr>
                            <w:rFonts w:ascii="Arial"/>
                            <w:sz w:val="18"/>
                          </w:rPr>
                        </w:pPr>
                        <w:r>
                          <w:rPr>
                            <w:rFonts w:ascii="Arial"/>
                            <w:sz w:val="18"/>
                          </w:rPr>
                          <w:t>Espalda</w:t>
                        </w:r>
                      </w:p>
                    </w:tc>
                    <w:tc>
                      <w:tcPr>
                        <w:tcW w:w="426" w:type="dxa"/>
                      </w:tcPr>
                      <w:p>
                        <w:pPr>
                          <w:pStyle w:val="TableParagraph"/>
                          <w:spacing w:before="26"/>
                          <w:ind w:right="1"/>
                          <w:jc w:val="center"/>
                          <w:rPr>
                            <w:rFonts w:ascii="Arial"/>
                            <w:sz w:val="18"/>
                          </w:rPr>
                        </w:pPr>
                        <w:r>
                          <w:rPr>
                            <w:rFonts w:ascii="Arial"/>
                            <w:sz w:val="18"/>
                          </w:rPr>
                          <w:t>3</w:t>
                        </w:r>
                      </w:p>
                    </w:tc>
                    <w:tc>
                      <w:tcPr>
                        <w:tcW w:w="426" w:type="dxa"/>
                      </w:tcPr>
                      <w:p>
                        <w:pPr>
                          <w:pStyle w:val="TableParagraph"/>
                          <w:spacing w:before="26"/>
                          <w:jc w:val="center"/>
                          <w:rPr>
                            <w:rFonts w:ascii="Arial"/>
                            <w:sz w:val="18"/>
                          </w:rPr>
                        </w:pPr>
                        <w:r>
                          <w:rPr>
                            <w:rFonts w:ascii="Arial"/>
                            <w:sz w:val="18"/>
                          </w:rPr>
                          <w:t>1</w:t>
                        </w:r>
                      </w:p>
                    </w:tc>
                    <w:tc>
                      <w:tcPr>
                        <w:tcW w:w="425" w:type="dxa"/>
                      </w:tcPr>
                      <w:p>
                        <w:pPr>
                          <w:pStyle w:val="TableParagraph"/>
                          <w:spacing w:before="26"/>
                          <w:jc w:val="center"/>
                          <w:rPr>
                            <w:rFonts w:ascii="Arial"/>
                            <w:sz w:val="18"/>
                          </w:rPr>
                        </w:pPr>
                        <w:r>
                          <w:rPr>
                            <w:rFonts w:ascii="Arial"/>
                            <w:sz w:val="18"/>
                          </w:rPr>
                          <w:t>1</w:t>
                        </w:r>
                      </w:p>
                    </w:tc>
                    <w:tc>
                      <w:tcPr>
                        <w:tcW w:w="566" w:type="dxa"/>
                      </w:tcPr>
                      <w:p>
                        <w:pPr>
                          <w:pStyle w:val="TableParagraph"/>
                          <w:spacing w:line="206" w:lineRule="exact"/>
                          <w:ind w:left="1"/>
                          <w:jc w:val="center"/>
                          <w:rPr>
                            <w:b/>
                            <w:sz w:val="18"/>
                          </w:rPr>
                        </w:pPr>
                        <w:r>
                          <w:rPr>
                            <w:b/>
                            <w:sz w:val="18"/>
                          </w:rPr>
                          <w:t>4</w:t>
                        </w:r>
                      </w:p>
                    </w:tc>
                  </w:tr>
                  <w:tr>
                    <w:trPr>
                      <w:trHeight w:val="278" w:hRule="exact"/>
                    </w:trPr>
                    <w:tc>
                      <w:tcPr>
                        <w:tcW w:w="2268" w:type="dxa"/>
                        <w:shd w:val="clear" w:color="auto" w:fill="FFBF00"/>
                      </w:tcPr>
                      <w:p>
                        <w:pPr>
                          <w:pStyle w:val="TableParagraph"/>
                          <w:spacing w:before="29"/>
                          <w:ind w:left="103" w:right="363"/>
                          <w:rPr>
                            <w:rFonts w:ascii="Arial"/>
                            <w:sz w:val="18"/>
                          </w:rPr>
                        </w:pPr>
                        <w:r>
                          <w:rPr>
                            <w:rFonts w:ascii="Arial"/>
                            <w:sz w:val="18"/>
                          </w:rPr>
                          <w:t>Brazo y Codo</w:t>
                        </w:r>
                      </w:p>
                    </w:tc>
                    <w:tc>
                      <w:tcPr>
                        <w:tcW w:w="426" w:type="dxa"/>
                      </w:tcPr>
                      <w:p>
                        <w:pPr>
                          <w:pStyle w:val="TableParagraph"/>
                          <w:spacing w:before="29"/>
                          <w:ind w:right="1"/>
                          <w:jc w:val="center"/>
                          <w:rPr>
                            <w:rFonts w:ascii="Arial"/>
                            <w:sz w:val="18"/>
                          </w:rPr>
                        </w:pPr>
                        <w:r>
                          <w:rPr>
                            <w:rFonts w:ascii="Arial"/>
                            <w:sz w:val="18"/>
                          </w:rPr>
                          <w:t>3</w:t>
                        </w:r>
                      </w:p>
                    </w:tc>
                    <w:tc>
                      <w:tcPr>
                        <w:tcW w:w="426" w:type="dxa"/>
                      </w:tcPr>
                      <w:p>
                        <w:pPr>
                          <w:pStyle w:val="TableParagraph"/>
                          <w:spacing w:before="29"/>
                          <w:jc w:val="center"/>
                          <w:rPr>
                            <w:rFonts w:ascii="Arial"/>
                            <w:sz w:val="18"/>
                          </w:rPr>
                        </w:pPr>
                        <w:r>
                          <w:rPr>
                            <w:rFonts w:ascii="Arial"/>
                            <w:sz w:val="18"/>
                          </w:rPr>
                          <w:t>1</w:t>
                        </w:r>
                      </w:p>
                    </w:tc>
                    <w:tc>
                      <w:tcPr>
                        <w:tcW w:w="425" w:type="dxa"/>
                      </w:tcPr>
                      <w:p>
                        <w:pPr>
                          <w:pStyle w:val="TableParagraph"/>
                          <w:spacing w:before="29"/>
                          <w:ind w:right="1"/>
                          <w:jc w:val="center"/>
                          <w:rPr>
                            <w:rFonts w:ascii="Arial"/>
                            <w:sz w:val="18"/>
                          </w:rPr>
                        </w:pPr>
                        <w:r>
                          <w:rPr>
                            <w:rFonts w:ascii="Arial"/>
                            <w:sz w:val="18"/>
                          </w:rPr>
                          <w:t>1</w:t>
                        </w:r>
                      </w:p>
                    </w:tc>
                    <w:tc>
                      <w:tcPr>
                        <w:tcW w:w="566" w:type="dxa"/>
                      </w:tcPr>
                      <w:p>
                        <w:pPr>
                          <w:pStyle w:val="TableParagraph"/>
                          <w:ind w:left="1"/>
                          <w:jc w:val="center"/>
                          <w:rPr>
                            <w:b/>
                            <w:sz w:val="18"/>
                          </w:rPr>
                        </w:pPr>
                        <w:r>
                          <w:rPr>
                            <w:b/>
                            <w:sz w:val="18"/>
                          </w:rPr>
                          <w:t>4</w:t>
                        </w:r>
                      </w:p>
                    </w:tc>
                  </w:tr>
                  <w:tr>
                    <w:trPr>
                      <w:trHeight w:val="282" w:hRule="exact"/>
                    </w:trPr>
                    <w:tc>
                      <w:tcPr>
                        <w:tcW w:w="2268" w:type="dxa"/>
                        <w:shd w:val="clear" w:color="auto" w:fill="FFBF00"/>
                      </w:tcPr>
                      <w:p>
                        <w:pPr>
                          <w:pStyle w:val="TableParagraph"/>
                          <w:spacing w:line="205" w:lineRule="exact"/>
                          <w:ind w:left="103" w:right="363"/>
                          <w:rPr>
                            <w:rFonts w:ascii="Arial" w:hAnsi="Arial"/>
                            <w:sz w:val="18"/>
                          </w:rPr>
                        </w:pPr>
                        <w:r>
                          <w:rPr>
                            <w:rFonts w:ascii="Arial" w:hAnsi="Arial"/>
                            <w:sz w:val="18"/>
                          </w:rPr>
                          <w:t>Muñeca, mano, dedo</w:t>
                        </w:r>
                      </w:p>
                    </w:tc>
                    <w:tc>
                      <w:tcPr>
                        <w:tcW w:w="426" w:type="dxa"/>
                      </w:tcPr>
                      <w:p>
                        <w:pPr>
                          <w:pStyle w:val="TableParagraph"/>
                          <w:spacing w:before="30"/>
                          <w:ind w:right="1"/>
                          <w:jc w:val="center"/>
                          <w:rPr>
                            <w:rFonts w:ascii="Arial"/>
                            <w:sz w:val="18"/>
                          </w:rPr>
                        </w:pPr>
                        <w:r>
                          <w:rPr>
                            <w:rFonts w:ascii="Arial"/>
                            <w:sz w:val="18"/>
                          </w:rPr>
                          <w:t>3</w:t>
                        </w:r>
                      </w:p>
                    </w:tc>
                    <w:tc>
                      <w:tcPr>
                        <w:tcW w:w="426" w:type="dxa"/>
                      </w:tcPr>
                      <w:p>
                        <w:pPr>
                          <w:pStyle w:val="TableParagraph"/>
                          <w:spacing w:before="30"/>
                          <w:jc w:val="center"/>
                          <w:rPr>
                            <w:rFonts w:ascii="Arial"/>
                            <w:sz w:val="18"/>
                          </w:rPr>
                        </w:pPr>
                        <w:r>
                          <w:rPr>
                            <w:rFonts w:ascii="Arial"/>
                            <w:sz w:val="18"/>
                          </w:rPr>
                          <w:t>1</w:t>
                        </w:r>
                      </w:p>
                    </w:tc>
                    <w:tc>
                      <w:tcPr>
                        <w:tcW w:w="425" w:type="dxa"/>
                      </w:tcPr>
                      <w:p>
                        <w:pPr>
                          <w:pStyle w:val="TableParagraph"/>
                          <w:spacing w:before="30"/>
                          <w:jc w:val="center"/>
                          <w:rPr>
                            <w:rFonts w:ascii="Arial"/>
                            <w:sz w:val="18"/>
                          </w:rPr>
                        </w:pPr>
                        <w:r>
                          <w:rPr>
                            <w:rFonts w:ascii="Arial"/>
                            <w:sz w:val="18"/>
                          </w:rPr>
                          <w:t>1</w:t>
                        </w:r>
                      </w:p>
                    </w:tc>
                    <w:tc>
                      <w:tcPr>
                        <w:tcW w:w="566" w:type="dxa"/>
                      </w:tcPr>
                      <w:p>
                        <w:pPr>
                          <w:pStyle w:val="TableParagraph"/>
                          <w:spacing w:line="206" w:lineRule="exact"/>
                          <w:ind w:left="1"/>
                          <w:jc w:val="center"/>
                          <w:rPr>
                            <w:b/>
                            <w:sz w:val="18"/>
                          </w:rPr>
                        </w:pPr>
                        <w:r>
                          <w:rPr>
                            <w:b/>
                            <w:sz w:val="18"/>
                          </w:rPr>
                          <w:t>4</w:t>
                        </w:r>
                      </w:p>
                    </w:tc>
                  </w:tr>
                  <w:tr>
                    <w:trPr>
                      <w:trHeight w:val="287" w:hRule="exact"/>
                    </w:trPr>
                    <w:tc>
                      <w:tcPr>
                        <w:tcW w:w="2268" w:type="dxa"/>
                        <w:shd w:val="clear" w:color="auto" w:fill="FFBF00"/>
                      </w:tcPr>
                      <w:p>
                        <w:pPr>
                          <w:pStyle w:val="TableParagraph"/>
                          <w:spacing w:before="32"/>
                          <w:ind w:left="103" w:right="363"/>
                          <w:rPr>
                            <w:rFonts w:ascii="Arial"/>
                            <w:sz w:val="18"/>
                          </w:rPr>
                        </w:pPr>
                        <w:r>
                          <w:rPr>
                            <w:rFonts w:ascii="Arial"/>
                            <w:sz w:val="18"/>
                          </w:rPr>
                          <w:t>Piernas y tobillos</w:t>
                        </w:r>
                      </w:p>
                    </w:tc>
                    <w:tc>
                      <w:tcPr>
                        <w:tcW w:w="426" w:type="dxa"/>
                      </w:tcPr>
                      <w:p>
                        <w:pPr>
                          <w:pStyle w:val="TableParagraph"/>
                          <w:spacing w:before="32"/>
                          <w:ind w:right="2"/>
                          <w:jc w:val="center"/>
                          <w:rPr>
                            <w:rFonts w:ascii="Arial"/>
                            <w:sz w:val="18"/>
                          </w:rPr>
                        </w:pPr>
                        <w:r>
                          <w:rPr>
                            <w:rFonts w:ascii="Arial"/>
                            <w:sz w:val="18"/>
                          </w:rPr>
                          <w:t>3</w:t>
                        </w:r>
                      </w:p>
                    </w:tc>
                    <w:tc>
                      <w:tcPr>
                        <w:tcW w:w="426" w:type="dxa"/>
                      </w:tcPr>
                      <w:p>
                        <w:pPr>
                          <w:pStyle w:val="TableParagraph"/>
                          <w:spacing w:before="32"/>
                          <w:ind w:right="1"/>
                          <w:jc w:val="center"/>
                          <w:rPr>
                            <w:rFonts w:ascii="Arial"/>
                            <w:sz w:val="18"/>
                          </w:rPr>
                        </w:pPr>
                        <w:r>
                          <w:rPr>
                            <w:rFonts w:ascii="Arial"/>
                            <w:sz w:val="18"/>
                          </w:rPr>
                          <w:t>1</w:t>
                        </w:r>
                      </w:p>
                    </w:tc>
                    <w:tc>
                      <w:tcPr>
                        <w:tcW w:w="425" w:type="dxa"/>
                      </w:tcPr>
                      <w:p>
                        <w:pPr>
                          <w:pStyle w:val="TableParagraph"/>
                          <w:spacing w:before="32"/>
                          <w:jc w:val="center"/>
                          <w:rPr>
                            <w:rFonts w:ascii="Arial"/>
                            <w:sz w:val="18"/>
                          </w:rPr>
                        </w:pPr>
                        <w:r>
                          <w:rPr>
                            <w:rFonts w:ascii="Arial"/>
                            <w:sz w:val="18"/>
                          </w:rPr>
                          <w:t>1</w:t>
                        </w:r>
                      </w:p>
                    </w:tc>
                    <w:tc>
                      <w:tcPr>
                        <w:tcW w:w="566" w:type="dxa"/>
                      </w:tcPr>
                      <w:p>
                        <w:pPr>
                          <w:pStyle w:val="TableParagraph"/>
                          <w:spacing w:line="206" w:lineRule="exact"/>
                          <w:ind w:left="1"/>
                          <w:jc w:val="center"/>
                          <w:rPr>
                            <w:b/>
                            <w:sz w:val="18"/>
                          </w:rPr>
                        </w:pPr>
                        <w:r>
                          <w:rPr>
                            <w:b/>
                            <w:sz w:val="18"/>
                          </w:rPr>
                          <w:t>4</w:t>
                        </w:r>
                      </w:p>
                    </w:tc>
                  </w:tr>
                </w:tbl>
                <w:p>
                  <w:pPr>
                    <w:pStyle w:val="BodyText"/>
                  </w:pPr>
                </w:p>
              </w:txbxContent>
            </v:textbox>
            <w10:wrap type="none"/>
          </v:shape>
        </w:pict>
      </w:r>
      <w:r>
        <w:rPr>
          <w:sz w:val="18"/>
        </w:rPr>
        <w:t>Figure 2. Remove the tire</w:t>
      </w:r>
    </w:p>
    <w:p>
      <w:pPr>
        <w:pStyle w:val="BodyText"/>
        <w:rPr>
          <w:sz w:val="18"/>
        </w:rPr>
      </w:pPr>
    </w:p>
    <w:p>
      <w:pPr>
        <w:pStyle w:val="BodyText"/>
        <w:rPr>
          <w:sz w:val="18"/>
        </w:rPr>
      </w:pPr>
    </w:p>
    <w:p>
      <w:pPr>
        <w:spacing w:before="0"/>
        <w:ind w:left="270" w:right="678" w:firstLine="0"/>
        <w:jc w:val="both"/>
        <w:rPr>
          <w:sz w:val="18"/>
        </w:rPr>
      </w:pPr>
      <w:r>
        <w:rPr>
          <w:sz w:val="18"/>
        </w:rPr>
        <w:t>Figure 3 shows the operator by removing the tire and place new tire, can be seen in the evaluation having score in of 9  ( high  value) in shoulders, neck, back, arms and elbows and wrists, hands and</w:t>
      </w:r>
      <w:r>
        <w:rPr>
          <w:spacing w:val="-2"/>
          <w:sz w:val="18"/>
        </w:rPr>
        <w:t> </w:t>
      </w:r>
      <w:r>
        <w:rPr>
          <w:sz w:val="18"/>
        </w:rPr>
        <w:t>fingers</w:t>
      </w:r>
    </w:p>
    <w:p>
      <w:pPr>
        <w:spacing w:after="0"/>
        <w:jc w:val="both"/>
        <w:rPr>
          <w:sz w:val="18"/>
        </w:rPr>
        <w:sectPr>
          <w:type w:val="continuous"/>
          <w:pgSz w:w="12240" w:h="15840"/>
          <w:pgMar w:top="1500" w:bottom="280" w:left="580" w:right="220"/>
          <w:cols w:num="2" w:equalWidth="0">
            <w:col w:w="5163" w:space="435"/>
            <w:col w:w="5842"/>
          </w:cols>
        </w:sectPr>
      </w:pPr>
    </w:p>
    <w:p>
      <w:pPr>
        <w:pStyle w:val="BodyText"/>
      </w:pPr>
    </w:p>
    <w:p>
      <w:pPr>
        <w:pStyle w:val="BodyText"/>
      </w:pPr>
    </w:p>
    <w:p>
      <w:pPr>
        <w:pStyle w:val="BodyText"/>
      </w:pPr>
    </w:p>
    <w:p>
      <w:pPr>
        <w:pStyle w:val="BodyText"/>
      </w:pPr>
    </w:p>
    <w:p>
      <w:pPr>
        <w:pStyle w:val="BodyText"/>
        <w:spacing w:before="5"/>
        <w:rPr>
          <w:sz w:val="27"/>
        </w:rPr>
      </w:pPr>
    </w:p>
    <w:p>
      <w:pPr>
        <w:spacing w:before="77"/>
        <w:ind w:left="270" w:right="6276" w:firstLine="0"/>
        <w:jc w:val="left"/>
        <w:rPr>
          <w:sz w:val="18"/>
        </w:rPr>
      </w:pPr>
      <w:r>
        <w:rPr/>
        <w:pict>
          <v:group style="position:absolute;margin-left:329.029999pt;margin-top:-51.417656pt;width:206.55pt;height:79.05pt;mso-position-horizontal-relative:page;mso-position-vertical-relative:paragraph;z-index:5872" coordorigin="6581,-1028" coordsize="4131,1581">
            <v:line style="position:absolute" from="6586,-1019" to="10706,-1019" stroked="true" strokeweight=".48pt" strokecolor="#000000"/>
            <v:line style="position:absolute" from="6590,-1023" to="6590,-738" stroked="true" strokeweight=".48001pt" strokecolor="#000000"/>
            <v:line style="position:absolute" from="10702,-1023" to="10702,-738" stroked="true" strokeweight=".47998pt" strokecolor="#000000"/>
            <v:shape style="position:absolute;left:6985;top:-727;width:1477;height:1265" type="#_x0000_t75" stroked="false">
              <v:imagedata r:id="rId194" o:title=""/>
            </v:shape>
            <v:shape style="position:absolute;left:6586;top:-733;width:4121;height:1281" coordorigin="6586,-733" coordsize="4121,1281" path="m6586,-733l10706,-733m6590,-728l6590,547e" filled="false" stroked="true" strokeweight=".48001pt" strokecolor="#000000">
              <v:path arrowok="t"/>
            </v:shape>
            <v:line style="position:absolute" from="6586,543" to="8854,543" stroked="true" strokeweight=".48001pt" strokecolor="#000000"/>
            <v:line style="position:absolute" from="8858,-728" to="8858,547" stroked="true" strokeweight=".47998pt" strokecolor="#000000"/>
            <v:line style="position:absolute" from="8863,543" to="9280,543" stroked="true" strokeweight=".48001pt" strokecolor="#000000"/>
            <v:line style="position:absolute" from="9284,-728" to="9284,547" stroked="true" strokeweight=".47998pt" strokecolor="#000000"/>
            <v:line style="position:absolute" from="9289,543" to="9706,543" stroked="true" strokeweight=".48001pt" strokecolor="#000000"/>
            <v:line style="position:absolute" from="9710,-728" to="9710,547" stroked="true" strokeweight=".48001pt" strokecolor="#000000"/>
            <v:line style="position:absolute" from="9715,543" to="10130,543" stroked="true" strokeweight=".48001pt" strokecolor="#000000"/>
            <v:line style="position:absolute" from="10135,-728" to="10135,547" stroked="true" strokeweight=".47998pt" strokecolor="#000000"/>
            <v:line style="position:absolute" from="10140,543" to="10697,543" stroked="true" strokeweight=".48001pt" strokecolor="#000000"/>
            <v:line style="position:absolute" from="10702,-728" to="10702,547" stroked="true" strokeweight=".47998pt" strokecolor="#000000"/>
            <v:shape style="position:absolute;left:6590;top:-1019;width:4112;height:286" type="#_x0000_t202" filled="false" stroked="false">
              <v:textbox inset="0,0,0,0">
                <w:txbxContent>
                  <w:p>
                    <w:pPr>
                      <w:spacing w:before="37"/>
                      <w:ind w:left="108" w:right="0" w:firstLine="0"/>
                      <w:jc w:val="left"/>
                      <w:rPr>
                        <w:rFonts w:ascii="Arial"/>
                        <w:sz w:val="18"/>
                      </w:rPr>
                    </w:pPr>
                    <w:r>
                      <w:rPr>
                        <w:rFonts w:ascii="Arial"/>
                        <w:sz w:val="18"/>
                      </w:rPr>
                      <w:t>Empujar llanta y apalancar con barra</w:t>
                    </w:r>
                  </w:p>
                </w:txbxContent>
              </v:textbox>
              <w10:wrap type="none"/>
            </v:shape>
            <w10:wrap type="none"/>
          </v:group>
        </w:pict>
      </w:r>
      <w:r>
        <w:rPr/>
        <w:pict>
          <v:shape style="position:absolute;margin-left:448.54718pt;margin-top:-26.421173pt;width:11pt;height:43.5pt;mso-position-horizontal-relative:page;mso-position-vertical-relative:paragraph;z-index:5896" type="#_x0000_t202" filled="false" stroked="false">
            <v:textbox inset="0,0,0,0" style="layout-flow:vertical;mso-layout-flow-alt:bottom-to-top">
              <w:txbxContent>
                <w:p>
                  <w:pPr>
                    <w:spacing w:line="204" w:lineRule="exact" w:before="0"/>
                    <w:ind w:left="20" w:right="-642" w:firstLine="0"/>
                    <w:jc w:val="left"/>
                    <w:rPr>
                      <w:rFonts w:ascii="Arial"/>
                      <w:sz w:val="18"/>
                    </w:rPr>
                  </w:pPr>
                  <w:r>
                    <w:rPr>
                      <w:rFonts w:ascii="Arial"/>
                      <w:spacing w:val="-1"/>
                      <w:sz w:val="18"/>
                    </w:rPr>
                    <w:t>Intensi</w:t>
                  </w:r>
                  <w:r>
                    <w:rPr>
                      <w:rFonts w:ascii="Arial"/>
                      <w:sz w:val="18"/>
                    </w:rPr>
                    <w:t>d</w:t>
                  </w:r>
                  <w:r>
                    <w:rPr>
                      <w:rFonts w:ascii="Arial"/>
                      <w:spacing w:val="-1"/>
                      <w:sz w:val="18"/>
                    </w:rPr>
                    <w:t>ad</w:t>
                  </w:r>
                </w:p>
              </w:txbxContent>
            </v:textbox>
            <w10:wrap type="none"/>
          </v:shape>
        </w:pict>
      </w:r>
      <w:r>
        <w:rPr/>
        <w:pict>
          <v:shape style="position:absolute;margin-left:469.847473pt;margin-top:-23.723936pt;width:11pt;height:38pt;mso-position-horizontal-relative:page;mso-position-vertical-relative:paragraph;z-index:5920" type="#_x0000_t202" filled="false" stroked="false">
            <v:textbox inset="0,0,0,0" style="layout-flow:vertical;mso-layout-flow-alt:bottom-to-top">
              <w:txbxContent>
                <w:p>
                  <w:pPr>
                    <w:spacing w:line="204" w:lineRule="exact" w:before="0"/>
                    <w:ind w:left="20" w:right="-533" w:firstLine="0"/>
                    <w:jc w:val="left"/>
                    <w:rPr>
                      <w:rFonts w:ascii="Arial" w:hAnsi="Arial"/>
                      <w:sz w:val="18"/>
                    </w:rPr>
                  </w:pPr>
                  <w:r>
                    <w:rPr>
                      <w:rFonts w:ascii="Arial" w:hAnsi="Arial"/>
                      <w:spacing w:val="-1"/>
                      <w:sz w:val="18"/>
                    </w:rPr>
                    <w:t>Duración</w:t>
                  </w:r>
                </w:p>
              </w:txbxContent>
            </v:textbox>
            <w10:wrap type="none"/>
          </v:shape>
        </w:pict>
      </w:r>
      <w:r>
        <w:rPr/>
        <w:pict>
          <v:shape style="position:absolute;margin-left:491.147766pt;margin-top:-27.486801pt;width:11pt;height:45.55pt;mso-position-horizontal-relative:page;mso-position-vertical-relative:paragraph;z-index:5944" type="#_x0000_t202" filled="false" stroked="false">
            <v:textbox inset="0,0,0,0" style="layout-flow:vertical;mso-layout-flow-alt:bottom-to-top">
              <w:txbxContent>
                <w:p>
                  <w:pPr>
                    <w:spacing w:line="204" w:lineRule="exact" w:before="0"/>
                    <w:ind w:left="20" w:right="-361" w:firstLine="0"/>
                    <w:jc w:val="left"/>
                    <w:rPr>
                      <w:rFonts w:ascii="Arial"/>
                      <w:sz w:val="18"/>
                    </w:rPr>
                  </w:pPr>
                  <w:r>
                    <w:rPr>
                      <w:rFonts w:ascii="Arial"/>
                      <w:sz w:val="18"/>
                    </w:rPr>
                    <w:t>Por minuto</w:t>
                  </w:r>
                </w:p>
              </w:txbxContent>
            </v:textbox>
            <w10:wrap type="none"/>
          </v:shape>
        </w:pict>
      </w:r>
      <w:r>
        <w:rPr/>
        <w:pict>
          <v:shape style="position:absolute;margin-left:512.387756pt;margin-top:-20.920872pt;width:11pt;height:32.5pt;mso-position-horizontal-relative:page;mso-position-vertical-relative:paragraph;z-index:5968" type="#_x0000_t202" filled="false" stroked="false">
            <v:textbox inset="0,0,0,0" style="layout-flow:vertical;mso-layout-flow-alt:bottom-to-top">
              <w:txbxContent>
                <w:p>
                  <w:pPr>
                    <w:spacing w:line="204" w:lineRule="exact" w:before="0"/>
                    <w:ind w:left="20" w:right="-426" w:firstLine="0"/>
                    <w:jc w:val="left"/>
                    <w:rPr>
                      <w:rFonts w:ascii="Arial"/>
                      <w:sz w:val="18"/>
                    </w:rPr>
                  </w:pPr>
                  <w:r>
                    <w:rPr>
                      <w:rFonts w:ascii="Arial"/>
                      <w:spacing w:val="-1"/>
                      <w:sz w:val="18"/>
                    </w:rPr>
                    <w:t>Punta</w:t>
                  </w:r>
                  <w:r>
                    <w:rPr>
                      <w:rFonts w:ascii="Arial"/>
                      <w:sz w:val="18"/>
                    </w:rPr>
                    <w:t>je</w:t>
                  </w:r>
                </w:p>
              </w:txbxContent>
            </v:textbox>
            <w10:wrap type="none"/>
          </v:shape>
        </w:pict>
      </w:r>
      <w:r>
        <w:rPr>
          <w:sz w:val="18"/>
        </w:rPr>
        <w:t>Temperatures in the workstations were on average the same (by having  everything  in  a  short  space,  and  by  the  height  of    the</w:t>
      </w:r>
    </w:p>
    <w:p>
      <w:pPr>
        <w:spacing w:after="0"/>
        <w:jc w:val="left"/>
        <w:rPr>
          <w:sz w:val="18"/>
        </w:rPr>
        <w:sectPr>
          <w:type w:val="continuous"/>
          <w:pgSz w:w="12240" w:h="15840"/>
          <w:pgMar w:top="1500" w:bottom="280" w:left="580" w:right="220"/>
        </w:sectPr>
      </w:pPr>
    </w:p>
    <w:p>
      <w:pPr>
        <w:pStyle w:val="BodyText"/>
        <w:spacing w:before="11"/>
        <w:rPr>
          <w:sz w:val="28"/>
        </w:rPr>
      </w:pPr>
    </w:p>
    <w:p>
      <w:pPr>
        <w:spacing w:line="203" w:lineRule="exact" w:before="76"/>
        <w:ind w:left="7308" w:right="1218" w:firstLine="0"/>
        <w:jc w:val="left"/>
        <w:rPr>
          <w:sz w:val="18"/>
        </w:rPr>
      </w:pPr>
      <w:r>
        <w:rPr/>
        <w:pict>
          <v:shape style="position:absolute;margin-left:49.380001pt;margin-top:-6.277954pt;width:206.3pt;height:251.2pt;mso-position-horizontal-relative:page;mso-position-vertical-relative:paragraph;z-index:6136"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68"/>
                    <w:gridCol w:w="426"/>
                    <w:gridCol w:w="426"/>
                    <w:gridCol w:w="425"/>
                    <w:gridCol w:w="566"/>
                  </w:tblGrid>
                  <w:tr>
                    <w:trPr>
                      <w:trHeight w:val="307" w:hRule="exact"/>
                    </w:trPr>
                    <w:tc>
                      <w:tcPr>
                        <w:tcW w:w="2268" w:type="dxa"/>
                        <w:shd w:val="clear" w:color="auto" w:fill="FFBF00"/>
                      </w:tcPr>
                      <w:p>
                        <w:pPr>
                          <w:pStyle w:val="TableParagraph"/>
                          <w:spacing w:line="205" w:lineRule="exact"/>
                          <w:ind w:left="104" w:right="363"/>
                          <w:rPr>
                            <w:rFonts w:ascii="Arial"/>
                            <w:sz w:val="18"/>
                          </w:rPr>
                        </w:pPr>
                        <w:r>
                          <w:rPr>
                            <w:rFonts w:ascii="Arial"/>
                            <w:sz w:val="18"/>
                          </w:rPr>
                          <w:t>Cuello</w:t>
                        </w:r>
                      </w:p>
                    </w:tc>
                    <w:tc>
                      <w:tcPr>
                        <w:tcW w:w="426" w:type="dxa"/>
                      </w:tcPr>
                      <w:p>
                        <w:pPr>
                          <w:pStyle w:val="TableParagraph"/>
                          <w:spacing w:line="205" w:lineRule="exact"/>
                          <w:jc w:val="center"/>
                          <w:rPr>
                            <w:rFonts w:ascii="Arial"/>
                            <w:sz w:val="18"/>
                          </w:rPr>
                        </w:pPr>
                        <w:r>
                          <w:rPr>
                            <w:rFonts w:ascii="Arial"/>
                            <w:sz w:val="18"/>
                          </w:rPr>
                          <w:t>2</w:t>
                        </w:r>
                      </w:p>
                    </w:tc>
                    <w:tc>
                      <w:tcPr>
                        <w:tcW w:w="426" w:type="dxa"/>
                      </w:tcPr>
                      <w:p>
                        <w:pPr>
                          <w:pStyle w:val="TableParagraph"/>
                          <w:spacing w:line="205" w:lineRule="exact"/>
                          <w:jc w:val="center"/>
                          <w:rPr>
                            <w:rFonts w:ascii="Arial"/>
                            <w:sz w:val="18"/>
                          </w:rPr>
                        </w:pPr>
                        <w:r>
                          <w:rPr>
                            <w:rFonts w:ascii="Arial"/>
                            <w:sz w:val="18"/>
                          </w:rPr>
                          <w:t>2</w:t>
                        </w:r>
                      </w:p>
                    </w:tc>
                    <w:tc>
                      <w:tcPr>
                        <w:tcW w:w="425" w:type="dxa"/>
                      </w:tcPr>
                      <w:p>
                        <w:pPr>
                          <w:pStyle w:val="TableParagraph"/>
                          <w:spacing w:line="205" w:lineRule="exact"/>
                          <w:jc w:val="center"/>
                          <w:rPr>
                            <w:rFonts w:ascii="Arial"/>
                            <w:sz w:val="18"/>
                          </w:rPr>
                        </w:pPr>
                        <w:r>
                          <w:rPr>
                            <w:rFonts w:ascii="Arial"/>
                            <w:sz w:val="18"/>
                          </w:rPr>
                          <w:t>1</w:t>
                        </w:r>
                      </w:p>
                    </w:tc>
                    <w:tc>
                      <w:tcPr>
                        <w:tcW w:w="566" w:type="dxa"/>
                      </w:tcPr>
                      <w:p>
                        <w:pPr>
                          <w:pStyle w:val="TableParagraph"/>
                          <w:spacing w:line="206" w:lineRule="exact"/>
                          <w:ind w:left="1"/>
                          <w:jc w:val="center"/>
                          <w:rPr>
                            <w:b/>
                            <w:sz w:val="18"/>
                          </w:rPr>
                        </w:pPr>
                        <w:r>
                          <w:rPr>
                            <w:b/>
                            <w:sz w:val="18"/>
                          </w:rPr>
                          <w:t>4</w:t>
                        </w:r>
                      </w:p>
                    </w:tc>
                  </w:tr>
                  <w:tr>
                    <w:trPr>
                      <w:trHeight w:val="299" w:hRule="exact"/>
                    </w:trPr>
                    <w:tc>
                      <w:tcPr>
                        <w:tcW w:w="2268" w:type="dxa"/>
                        <w:shd w:val="clear" w:color="auto" w:fill="FFBF00"/>
                      </w:tcPr>
                      <w:p>
                        <w:pPr>
                          <w:pStyle w:val="TableParagraph"/>
                          <w:spacing w:before="38"/>
                          <w:ind w:left="104" w:right="363"/>
                          <w:rPr>
                            <w:rFonts w:ascii="Arial"/>
                            <w:sz w:val="18"/>
                          </w:rPr>
                        </w:pPr>
                        <w:r>
                          <w:rPr>
                            <w:rFonts w:ascii="Arial"/>
                            <w:sz w:val="18"/>
                          </w:rPr>
                          <w:t>Hombro</w:t>
                        </w:r>
                      </w:p>
                    </w:tc>
                    <w:tc>
                      <w:tcPr>
                        <w:tcW w:w="426" w:type="dxa"/>
                      </w:tcPr>
                      <w:p>
                        <w:pPr>
                          <w:pStyle w:val="TableParagraph"/>
                          <w:spacing w:before="38"/>
                          <w:jc w:val="center"/>
                          <w:rPr>
                            <w:rFonts w:ascii="Arial"/>
                            <w:sz w:val="18"/>
                          </w:rPr>
                        </w:pPr>
                        <w:r>
                          <w:rPr>
                            <w:rFonts w:ascii="Arial"/>
                            <w:sz w:val="18"/>
                          </w:rPr>
                          <w:t>2</w:t>
                        </w:r>
                      </w:p>
                    </w:tc>
                    <w:tc>
                      <w:tcPr>
                        <w:tcW w:w="426" w:type="dxa"/>
                      </w:tcPr>
                      <w:p>
                        <w:pPr>
                          <w:pStyle w:val="TableParagraph"/>
                          <w:spacing w:before="38"/>
                          <w:jc w:val="center"/>
                          <w:rPr>
                            <w:rFonts w:ascii="Arial"/>
                            <w:sz w:val="18"/>
                          </w:rPr>
                        </w:pPr>
                        <w:r>
                          <w:rPr>
                            <w:rFonts w:ascii="Arial"/>
                            <w:sz w:val="18"/>
                          </w:rPr>
                          <w:t>2</w:t>
                        </w:r>
                      </w:p>
                    </w:tc>
                    <w:tc>
                      <w:tcPr>
                        <w:tcW w:w="425" w:type="dxa"/>
                      </w:tcPr>
                      <w:p>
                        <w:pPr>
                          <w:pStyle w:val="TableParagraph"/>
                          <w:spacing w:before="38"/>
                          <w:ind w:right="1"/>
                          <w:jc w:val="center"/>
                          <w:rPr>
                            <w:rFonts w:ascii="Arial"/>
                            <w:sz w:val="18"/>
                          </w:rPr>
                        </w:pPr>
                        <w:r>
                          <w:rPr>
                            <w:rFonts w:ascii="Arial"/>
                            <w:sz w:val="18"/>
                          </w:rPr>
                          <w:t>1</w:t>
                        </w:r>
                      </w:p>
                    </w:tc>
                    <w:tc>
                      <w:tcPr>
                        <w:tcW w:w="566" w:type="dxa"/>
                      </w:tcPr>
                      <w:p>
                        <w:pPr>
                          <w:pStyle w:val="TableParagraph"/>
                          <w:ind w:left="1"/>
                          <w:jc w:val="center"/>
                          <w:rPr>
                            <w:b/>
                            <w:sz w:val="18"/>
                          </w:rPr>
                        </w:pPr>
                        <w:r>
                          <w:rPr>
                            <w:b/>
                            <w:sz w:val="18"/>
                          </w:rPr>
                          <w:t>4</w:t>
                        </w:r>
                      </w:p>
                    </w:tc>
                  </w:tr>
                  <w:tr>
                    <w:trPr>
                      <w:trHeight w:val="274" w:hRule="exact"/>
                    </w:trPr>
                    <w:tc>
                      <w:tcPr>
                        <w:tcW w:w="2268" w:type="dxa"/>
                        <w:shd w:val="clear" w:color="auto" w:fill="FFBF00"/>
                      </w:tcPr>
                      <w:p>
                        <w:pPr>
                          <w:pStyle w:val="TableParagraph"/>
                          <w:spacing w:line="205" w:lineRule="exact"/>
                          <w:ind w:left="104" w:right="363"/>
                          <w:rPr>
                            <w:rFonts w:ascii="Arial"/>
                            <w:sz w:val="18"/>
                          </w:rPr>
                        </w:pPr>
                        <w:r>
                          <w:rPr>
                            <w:rFonts w:ascii="Arial"/>
                            <w:sz w:val="18"/>
                          </w:rPr>
                          <w:t>Espalda</w:t>
                        </w:r>
                      </w:p>
                    </w:tc>
                    <w:tc>
                      <w:tcPr>
                        <w:tcW w:w="426" w:type="dxa"/>
                      </w:tcPr>
                      <w:p>
                        <w:pPr>
                          <w:pStyle w:val="TableParagraph"/>
                          <w:spacing w:before="26"/>
                          <w:ind w:right="1"/>
                          <w:jc w:val="center"/>
                          <w:rPr>
                            <w:rFonts w:ascii="Arial"/>
                            <w:sz w:val="18"/>
                          </w:rPr>
                        </w:pPr>
                        <w:r>
                          <w:rPr>
                            <w:rFonts w:ascii="Arial"/>
                            <w:sz w:val="18"/>
                          </w:rPr>
                          <w:t>3</w:t>
                        </w:r>
                      </w:p>
                    </w:tc>
                    <w:tc>
                      <w:tcPr>
                        <w:tcW w:w="426" w:type="dxa"/>
                      </w:tcPr>
                      <w:p>
                        <w:pPr>
                          <w:pStyle w:val="TableParagraph"/>
                          <w:spacing w:before="26"/>
                          <w:jc w:val="center"/>
                          <w:rPr>
                            <w:rFonts w:ascii="Arial"/>
                            <w:sz w:val="18"/>
                          </w:rPr>
                        </w:pPr>
                        <w:r>
                          <w:rPr>
                            <w:rFonts w:ascii="Arial"/>
                            <w:sz w:val="18"/>
                          </w:rPr>
                          <w:t>2</w:t>
                        </w:r>
                      </w:p>
                    </w:tc>
                    <w:tc>
                      <w:tcPr>
                        <w:tcW w:w="425" w:type="dxa"/>
                      </w:tcPr>
                      <w:p>
                        <w:pPr>
                          <w:pStyle w:val="TableParagraph"/>
                          <w:spacing w:before="26"/>
                          <w:jc w:val="center"/>
                          <w:rPr>
                            <w:rFonts w:ascii="Arial"/>
                            <w:sz w:val="18"/>
                          </w:rPr>
                        </w:pPr>
                        <w:r>
                          <w:rPr>
                            <w:rFonts w:ascii="Arial"/>
                            <w:sz w:val="18"/>
                          </w:rPr>
                          <w:t>1</w:t>
                        </w:r>
                      </w:p>
                    </w:tc>
                    <w:tc>
                      <w:tcPr>
                        <w:tcW w:w="566" w:type="dxa"/>
                      </w:tcPr>
                      <w:p>
                        <w:pPr>
                          <w:pStyle w:val="TableParagraph"/>
                          <w:spacing w:line="206" w:lineRule="exact"/>
                          <w:ind w:left="1"/>
                          <w:jc w:val="center"/>
                          <w:rPr>
                            <w:b/>
                            <w:sz w:val="18"/>
                          </w:rPr>
                        </w:pPr>
                        <w:r>
                          <w:rPr>
                            <w:b/>
                            <w:sz w:val="18"/>
                          </w:rPr>
                          <w:t>9</w:t>
                        </w:r>
                      </w:p>
                    </w:tc>
                  </w:tr>
                  <w:tr>
                    <w:trPr>
                      <w:trHeight w:val="278" w:hRule="exact"/>
                    </w:trPr>
                    <w:tc>
                      <w:tcPr>
                        <w:tcW w:w="2268" w:type="dxa"/>
                        <w:shd w:val="clear" w:color="auto" w:fill="FFBF00"/>
                      </w:tcPr>
                      <w:p>
                        <w:pPr>
                          <w:pStyle w:val="TableParagraph"/>
                          <w:spacing w:before="29"/>
                          <w:ind w:left="104" w:right="363"/>
                          <w:rPr>
                            <w:rFonts w:ascii="Arial"/>
                            <w:sz w:val="18"/>
                          </w:rPr>
                        </w:pPr>
                        <w:r>
                          <w:rPr>
                            <w:rFonts w:ascii="Arial"/>
                            <w:sz w:val="18"/>
                          </w:rPr>
                          <w:t>Brazo y Codo</w:t>
                        </w:r>
                      </w:p>
                    </w:tc>
                    <w:tc>
                      <w:tcPr>
                        <w:tcW w:w="426" w:type="dxa"/>
                      </w:tcPr>
                      <w:p>
                        <w:pPr>
                          <w:pStyle w:val="TableParagraph"/>
                          <w:spacing w:before="29"/>
                          <w:ind w:right="1"/>
                          <w:jc w:val="center"/>
                          <w:rPr>
                            <w:rFonts w:ascii="Arial"/>
                            <w:sz w:val="18"/>
                          </w:rPr>
                        </w:pPr>
                        <w:r>
                          <w:rPr>
                            <w:rFonts w:ascii="Arial"/>
                            <w:sz w:val="18"/>
                          </w:rPr>
                          <w:t>3</w:t>
                        </w:r>
                      </w:p>
                    </w:tc>
                    <w:tc>
                      <w:tcPr>
                        <w:tcW w:w="426" w:type="dxa"/>
                      </w:tcPr>
                      <w:p>
                        <w:pPr>
                          <w:pStyle w:val="TableParagraph"/>
                          <w:spacing w:before="29"/>
                          <w:jc w:val="center"/>
                          <w:rPr>
                            <w:rFonts w:ascii="Arial"/>
                            <w:sz w:val="18"/>
                          </w:rPr>
                        </w:pPr>
                        <w:r>
                          <w:rPr>
                            <w:rFonts w:ascii="Arial"/>
                            <w:sz w:val="18"/>
                          </w:rPr>
                          <w:t>2</w:t>
                        </w:r>
                      </w:p>
                    </w:tc>
                    <w:tc>
                      <w:tcPr>
                        <w:tcW w:w="425" w:type="dxa"/>
                      </w:tcPr>
                      <w:p>
                        <w:pPr>
                          <w:pStyle w:val="TableParagraph"/>
                          <w:spacing w:before="29"/>
                          <w:ind w:right="1"/>
                          <w:jc w:val="center"/>
                          <w:rPr>
                            <w:rFonts w:ascii="Arial"/>
                            <w:sz w:val="18"/>
                          </w:rPr>
                        </w:pPr>
                        <w:r>
                          <w:rPr>
                            <w:rFonts w:ascii="Arial"/>
                            <w:sz w:val="18"/>
                          </w:rPr>
                          <w:t>1</w:t>
                        </w:r>
                      </w:p>
                    </w:tc>
                    <w:tc>
                      <w:tcPr>
                        <w:tcW w:w="566" w:type="dxa"/>
                      </w:tcPr>
                      <w:p>
                        <w:pPr>
                          <w:pStyle w:val="TableParagraph"/>
                          <w:spacing w:line="206" w:lineRule="exact"/>
                          <w:ind w:left="1"/>
                          <w:jc w:val="center"/>
                          <w:rPr>
                            <w:b/>
                            <w:sz w:val="18"/>
                          </w:rPr>
                        </w:pPr>
                        <w:r>
                          <w:rPr>
                            <w:b/>
                            <w:sz w:val="18"/>
                          </w:rPr>
                          <w:t>9</w:t>
                        </w:r>
                      </w:p>
                    </w:tc>
                  </w:tr>
                  <w:tr>
                    <w:trPr>
                      <w:trHeight w:val="282" w:hRule="exact"/>
                    </w:trPr>
                    <w:tc>
                      <w:tcPr>
                        <w:tcW w:w="2268" w:type="dxa"/>
                        <w:shd w:val="clear" w:color="auto" w:fill="FFBF00"/>
                      </w:tcPr>
                      <w:p>
                        <w:pPr>
                          <w:pStyle w:val="TableParagraph"/>
                          <w:spacing w:line="205" w:lineRule="exact"/>
                          <w:ind w:left="104" w:right="363"/>
                          <w:rPr>
                            <w:rFonts w:ascii="Arial" w:hAnsi="Arial"/>
                            <w:sz w:val="18"/>
                          </w:rPr>
                        </w:pPr>
                        <w:r>
                          <w:rPr>
                            <w:rFonts w:ascii="Arial" w:hAnsi="Arial"/>
                            <w:sz w:val="18"/>
                          </w:rPr>
                          <w:t>Muñeca, mano, dedo</w:t>
                        </w:r>
                      </w:p>
                    </w:tc>
                    <w:tc>
                      <w:tcPr>
                        <w:tcW w:w="426" w:type="dxa"/>
                      </w:tcPr>
                      <w:p>
                        <w:pPr>
                          <w:pStyle w:val="TableParagraph"/>
                          <w:spacing w:before="30"/>
                          <w:ind w:right="1"/>
                          <w:jc w:val="center"/>
                          <w:rPr>
                            <w:rFonts w:ascii="Arial"/>
                            <w:sz w:val="18"/>
                          </w:rPr>
                        </w:pPr>
                        <w:r>
                          <w:rPr>
                            <w:rFonts w:ascii="Arial"/>
                            <w:sz w:val="18"/>
                          </w:rPr>
                          <w:t>3</w:t>
                        </w:r>
                      </w:p>
                    </w:tc>
                    <w:tc>
                      <w:tcPr>
                        <w:tcW w:w="426" w:type="dxa"/>
                      </w:tcPr>
                      <w:p>
                        <w:pPr>
                          <w:pStyle w:val="TableParagraph"/>
                          <w:spacing w:before="30"/>
                          <w:jc w:val="center"/>
                          <w:rPr>
                            <w:rFonts w:ascii="Arial"/>
                            <w:sz w:val="18"/>
                          </w:rPr>
                        </w:pPr>
                        <w:r>
                          <w:rPr>
                            <w:rFonts w:ascii="Arial"/>
                            <w:sz w:val="18"/>
                          </w:rPr>
                          <w:t>2</w:t>
                        </w:r>
                      </w:p>
                    </w:tc>
                    <w:tc>
                      <w:tcPr>
                        <w:tcW w:w="425" w:type="dxa"/>
                      </w:tcPr>
                      <w:p>
                        <w:pPr>
                          <w:pStyle w:val="TableParagraph"/>
                          <w:spacing w:before="30"/>
                          <w:jc w:val="center"/>
                          <w:rPr>
                            <w:rFonts w:ascii="Arial"/>
                            <w:sz w:val="18"/>
                          </w:rPr>
                        </w:pPr>
                        <w:r>
                          <w:rPr>
                            <w:rFonts w:ascii="Arial"/>
                            <w:sz w:val="18"/>
                          </w:rPr>
                          <w:t>1</w:t>
                        </w:r>
                      </w:p>
                    </w:tc>
                    <w:tc>
                      <w:tcPr>
                        <w:tcW w:w="566" w:type="dxa"/>
                      </w:tcPr>
                      <w:p>
                        <w:pPr>
                          <w:pStyle w:val="TableParagraph"/>
                          <w:spacing w:line="206" w:lineRule="exact"/>
                          <w:ind w:left="1"/>
                          <w:jc w:val="center"/>
                          <w:rPr>
                            <w:b/>
                            <w:sz w:val="18"/>
                          </w:rPr>
                        </w:pPr>
                        <w:r>
                          <w:rPr>
                            <w:b/>
                            <w:sz w:val="18"/>
                          </w:rPr>
                          <w:t>9</w:t>
                        </w:r>
                      </w:p>
                    </w:tc>
                  </w:tr>
                  <w:tr>
                    <w:trPr>
                      <w:trHeight w:val="286" w:hRule="exact"/>
                    </w:trPr>
                    <w:tc>
                      <w:tcPr>
                        <w:tcW w:w="2268" w:type="dxa"/>
                        <w:shd w:val="clear" w:color="auto" w:fill="FFBF00"/>
                      </w:tcPr>
                      <w:p>
                        <w:pPr>
                          <w:pStyle w:val="TableParagraph"/>
                          <w:spacing w:before="32"/>
                          <w:ind w:left="104" w:right="363"/>
                          <w:rPr>
                            <w:rFonts w:ascii="Arial"/>
                            <w:sz w:val="18"/>
                          </w:rPr>
                        </w:pPr>
                        <w:r>
                          <w:rPr>
                            <w:rFonts w:ascii="Arial"/>
                            <w:sz w:val="18"/>
                          </w:rPr>
                          <w:t>Piernas y tobillos</w:t>
                        </w:r>
                      </w:p>
                    </w:tc>
                    <w:tc>
                      <w:tcPr>
                        <w:tcW w:w="426" w:type="dxa"/>
                      </w:tcPr>
                      <w:p>
                        <w:pPr>
                          <w:pStyle w:val="TableParagraph"/>
                          <w:spacing w:before="32"/>
                          <w:ind w:right="2"/>
                          <w:jc w:val="center"/>
                          <w:rPr>
                            <w:rFonts w:ascii="Arial"/>
                            <w:sz w:val="18"/>
                          </w:rPr>
                        </w:pPr>
                        <w:r>
                          <w:rPr>
                            <w:rFonts w:ascii="Arial"/>
                            <w:sz w:val="18"/>
                          </w:rPr>
                          <w:t>3</w:t>
                        </w:r>
                      </w:p>
                    </w:tc>
                    <w:tc>
                      <w:tcPr>
                        <w:tcW w:w="426" w:type="dxa"/>
                      </w:tcPr>
                      <w:p>
                        <w:pPr>
                          <w:pStyle w:val="TableParagraph"/>
                          <w:spacing w:before="32"/>
                          <w:ind w:right="1"/>
                          <w:jc w:val="center"/>
                          <w:rPr>
                            <w:rFonts w:ascii="Arial"/>
                            <w:sz w:val="18"/>
                          </w:rPr>
                        </w:pPr>
                        <w:r>
                          <w:rPr>
                            <w:rFonts w:ascii="Arial"/>
                            <w:sz w:val="18"/>
                          </w:rPr>
                          <w:t>2</w:t>
                        </w:r>
                      </w:p>
                    </w:tc>
                    <w:tc>
                      <w:tcPr>
                        <w:tcW w:w="425" w:type="dxa"/>
                      </w:tcPr>
                      <w:p>
                        <w:pPr>
                          <w:pStyle w:val="TableParagraph"/>
                          <w:spacing w:before="32"/>
                          <w:jc w:val="center"/>
                          <w:rPr>
                            <w:rFonts w:ascii="Arial"/>
                            <w:sz w:val="18"/>
                          </w:rPr>
                        </w:pPr>
                        <w:r>
                          <w:rPr>
                            <w:rFonts w:ascii="Arial"/>
                            <w:sz w:val="18"/>
                          </w:rPr>
                          <w:t>1</w:t>
                        </w:r>
                      </w:p>
                    </w:tc>
                    <w:tc>
                      <w:tcPr>
                        <w:tcW w:w="566" w:type="dxa"/>
                      </w:tcPr>
                      <w:p>
                        <w:pPr>
                          <w:pStyle w:val="TableParagraph"/>
                          <w:spacing w:line="206" w:lineRule="exact"/>
                          <w:ind w:left="1"/>
                          <w:jc w:val="center"/>
                          <w:rPr>
                            <w:b/>
                            <w:sz w:val="18"/>
                          </w:rPr>
                        </w:pPr>
                        <w:r>
                          <w:rPr>
                            <w:b/>
                            <w:sz w:val="18"/>
                          </w:rPr>
                          <w:t>9</w:t>
                        </w:r>
                      </w:p>
                    </w:tc>
                  </w:tr>
                  <w:tr>
                    <w:trPr>
                      <w:trHeight w:val="286" w:hRule="exact"/>
                    </w:trPr>
                    <w:tc>
                      <w:tcPr>
                        <w:tcW w:w="4111" w:type="dxa"/>
                        <w:gridSpan w:val="5"/>
                      </w:tcPr>
                      <w:p>
                        <w:pPr>
                          <w:pStyle w:val="TableParagraph"/>
                          <w:spacing w:before="32"/>
                          <w:ind w:left="104"/>
                          <w:rPr>
                            <w:rFonts w:ascii="Arial"/>
                            <w:sz w:val="18"/>
                          </w:rPr>
                        </w:pPr>
                        <w:r>
                          <w:rPr>
                            <w:rFonts w:ascii="Arial"/>
                            <w:sz w:val="18"/>
                          </w:rPr>
                          <w:t>Montaje de llanta nueva</w:t>
                        </w:r>
                      </w:p>
                    </w:tc>
                  </w:tr>
                  <w:tr>
                    <w:trPr>
                      <w:trHeight w:val="1277" w:hRule="exact"/>
                    </w:trPr>
                    <w:tc>
                      <w:tcPr>
                        <w:tcW w:w="2268" w:type="dxa"/>
                      </w:tcPr>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tc>
                    <w:tc>
                      <w:tcPr>
                        <w:tcW w:w="426" w:type="dxa"/>
                        <w:textDirection w:val="btLr"/>
                      </w:tcPr>
                      <w:p>
                        <w:pPr>
                          <w:pStyle w:val="TableParagraph"/>
                          <w:spacing w:before="104"/>
                          <w:ind w:left="217"/>
                          <w:rPr>
                            <w:rFonts w:ascii="Arial"/>
                            <w:sz w:val="18"/>
                          </w:rPr>
                        </w:pPr>
                        <w:r>
                          <w:rPr>
                            <w:rFonts w:ascii="Arial"/>
                            <w:spacing w:val="-1"/>
                            <w:sz w:val="18"/>
                          </w:rPr>
                          <w:t>Intensi</w:t>
                        </w:r>
                        <w:r>
                          <w:rPr>
                            <w:rFonts w:ascii="Arial"/>
                            <w:sz w:val="18"/>
                          </w:rPr>
                          <w:t>d</w:t>
                        </w:r>
                        <w:r>
                          <w:rPr>
                            <w:rFonts w:ascii="Arial"/>
                            <w:spacing w:val="-1"/>
                            <w:sz w:val="18"/>
                          </w:rPr>
                          <w:t>ad</w:t>
                        </w:r>
                      </w:p>
                    </w:tc>
                    <w:tc>
                      <w:tcPr>
                        <w:tcW w:w="426" w:type="dxa"/>
                        <w:textDirection w:val="btLr"/>
                      </w:tcPr>
                      <w:p>
                        <w:pPr>
                          <w:pStyle w:val="TableParagraph"/>
                          <w:spacing w:before="104"/>
                          <w:ind w:left="272"/>
                          <w:rPr>
                            <w:rFonts w:ascii="Arial" w:hAnsi="Arial"/>
                            <w:sz w:val="18"/>
                          </w:rPr>
                        </w:pPr>
                        <w:r>
                          <w:rPr>
                            <w:rFonts w:ascii="Arial" w:hAnsi="Arial"/>
                            <w:spacing w:val="-1"/>
                            <w:sz w:val="18"/>
                          </w:rPr>
                          <w:t>Duración</w:t>
                        </w:r>
                      </w:p>
                    </w:tc>
                    <w:tc>
                      <w:tcPr>
                        <w:tcW w:w="425" w:type="dxa"/>
                        <w:textDirection w:val="btLr"/>
                      </w:tcPr>
                      <w:p>
                        <w:pPr>
                          <w:pStyle w:val="TableParagraph"/>
                          <w:spacing w:before="104"/>
                          <w:ind w:left="198"/>
                          <w:rPr>
                            <w:rFonts w:ascii="Arial"/>
                            <w:sz w:val="18"/>
                          </w:rPr>
                        </w:pPr>
                        <w:r>
                          <w:rPr>
                            <w:rFonts w:ascii="Arial"/>
                            <w:sz w:val="18"/>
                          </w:rPr>
                          <w:t>Por minuto</w:t>
                        </w:r>
                      </w:p>
                    </w:tc>
                    <w:tc>
                      <w:tcPr>
                        <w:tcW w:w="566" w:type="dxa"/>
                        <w:textDirection w:val="btLr"/>
                      </w:tcPr>
                      <w:p>
                        <w:pPr>
                          <w:pStyle w:val="TableParagraph"/>
                          <w:spacing w:before="104"/>
                          <w:ind w:left="327"/>
                          <w:rPr>
                            <w:rFonts w:ascii="Arial"/>
                            <w:sz w:val="18"/>
                          </w:rPr>
                        </w:pPr>
                        <w:r>
                          <w:rPr>
                            <w:rFonts w:ascii="Arial"/>
                            <w:spacing w:val="-1"/>
                            <w:sz w:val="18"/>
                          </w:rPr>
                          <w:t>Punta</w:t>
                        </w:r>
                        <w:r>
                          <w:rPr>
                            <w:rFonts w:ascii="Arial"/>
                            <w:sz w:val="18"/>
                          </w:rPr>
                          <w:t>je</w:t>
                        </w:r>
                      </w:p>
                    </w:tc>
                  </w:tr>
                  <w:tr>
                    <w:trPr>
                      <w:trHeight w:val="307" w:hRule="exact"/>
                    </w:trPr>
                    <w:tc>
                      <w:tcPr>
                        <w:tcW w:w="2268" w:type="dxa"/>
                        <w:shd w:val="clear" w:color="auto" w:fill="FFBF00"/>
                      </w:tcPr>
                      <w:p>
                        <w:pPr>
                          <w:pStyle w:val="TableParagraph"/>
                          <w:spacing w:line="205" w:lineRule="exact"/>
                          <w:ind w:left="104" w:right="363"/>
                          <w:rPr>
                            <w:rFonts w:ascii="Arial"/>
                            <w:sz w:val="18"/>
                          </w:rPr>
                        </w:pPr>
                        <w:r>
                          <w:rPr>
                            <w:rFonts w:ascii="Arial"/>
                            <w:sz w:val="18"/>
                          </w:rPr>
                          <w:t>Cuello</w:t>
                        </w:r>
                      </w:p>
                    </w:tc>
                    <w:tc>
                      <w:tcPr>
                        <w:tcW w:w="426" w:type="dxa"/>
                      </w:tcPr>
                      <w:p>
                        <w:pPr>
                          <w:pStyle w:val="TableParagraph"/>
                          <w:spacing w:before="43"/>
                          <w:ind w:right="1"/>
                          <w:jc w:val="center"/>
                          <w:rPr>
                            <w:rFonts w:ascii="Arial"/>
                            <w:sz w:val="18"/>
                          </w:rPr>
                        </w:pPr>
                        <w:r>
                          <w:rPr>
                            <w:rFonts w:ascii="Arial"/>
                            <w:sz w:val="18"/>
                          </w:rPr>
                          <w:t>2</w:t>
                        </w:r>
                      </w:p>
                    </w:tc>
                    <w:tc>
                      <w:tcPr>
                        <w:tcW w:w="426" w:type="dxa"/>
                      </w:tcPr>
                      <w:p>
                        <w:pPr>
                          <w:pStyle w:val="TableParagraph"/>
                          <w:spacing w:before="43"/>
                          <w:jc w:val="center"/>
                          <w:rPr>
                            <w:rFonts w:ascii="Arial"/>
                            <w:sz w:val="18"/>
                          </w:rPr>
                        </w:pPr>
                        <w:r>
                          <w:rPr>
                            <w:rFonts w:ascii="Arial"/>
                            <w:sz w:val="18"/>
                          </w:rPr>
                          <w:t>2</w:t>
                        </w:r>
                      </w:p>
                    </w:tc>
                    <w:tc>
                      <w:tcPr>
                        <w:tcW w:w="425" w:type="dxa"/>
                      </w:tcPr>
                      <w:p>
                        <w:pPr>
                          <w:pStyle w:val="TableParagraph"/>
                          <w:spacing w:before="43"/>
                          <w:jc w:val="center"/>
                          <w:rPr>
                            <w:rFonts w:ascii="Arial"/>
                            <w:sz w:val="18"/>
                          </w:rPr>
                        </w:pPr>
                        <w:r>
                          <w:rPr>
                            <w:rFonts w:ascii="Arial"/>
                            <w:sz w:val="18"/>
                          </w:rPr>
                          <w:t>1</w:t>
                        </w:r>
                      </w:p>
                    </w:tc>
                    <w:tc>
                      <w:tcPr>
                        <w:tcW w:w="566" w:type="dxa"/>
                      </w:tcPr>
                      <w:p>
                        <w:pPr>
                          <w:pStyle w:val="TableParagraph"/>
                          <w:spacing w:line="206" w:lineRule="exact"/>
                          <w:ind w:left="1"/>
                          <w:jc w:val="center"/>
                          <w:rPr>
                            <w:b/>
                            <w:sz w:val="18"/>
                          </w:rPr>
                        </w:pPr>
                        <w:r>
                          <w:rPr>
                            <w:b/>
                            <w:sz w:val="18"/>
                          </w:rPr>
                          <w:t>4</w:t>
                        </w:r>
                      </w:p>
                    </w:tc>
                  </w:tr>
                  <w:tr>
                    <w:trPr>
                      <w:trHeight w:val="299" w:hRule="exact"/>
                    </w:trPr>
                    <w:tc>
                      <w:tcPr>
                        <w:tcW w:w="2268" w:type="dxa"/>
                        <w:shd w:val="clear" w:color="auto" w:fill="FFBF00"/>
                      </w:tcPr>
                      <w:p>
                        <w:pPr>
                          <w:pStyle w:val="TableParagraph"/>
                          <w:spacing w:before="40"/>
                          <w:ind w:left="104" w:right="363"/>
                          <w:rPr>
                            <w:rFonts w:ascii="Arial"/>
                            <w:sz w:val="18"/>
                          </w:rPr>
                        </w:pPr>
                        <w:r>
                          <w:rPr>
                            <w:rFonts w:ascii="Arial"/>
                            <w:sz w:val="18"/>
                          </w:rPr>
                          <w:t>Hombro</w:t>
                        </w:r>
                      </w:p>
                    </w:tc>
                    <w:tc>
                      <w:tcPr>
                        <w:tcW w:w="426" w:type="dxa"/>
                      </w:tcPr>
                      <w:p>
                        <w:pPr>
                          <w:pStyle w:val="TableParagraph"/>
                          <w:spacing w:before="40"/>
                          <w:jc w:val="center"/>
                          <w:rPr>
                            <w:rFonts w:ascii="Arial"/>
                            <w:sz w:val="18"/>
                          </w:rPr>
                        </w:pPr>
                        <w:r>
                          <w:rPr>
                            <w:rFonts w:ascii="Arial"/>
                            <w:sz w:val="18"/>
                          </w:rPr>
                          <w:t>3</w:t>
                        </w:r>
                      </w:p>
                    </w:tc>
                    <w:tc>
                      <w:tcPr>
                        <w:tcW w:w="426" w:type="dxa"/>
                      </w:tcPr>
                      <w:p>
                        <w:pPr>
                          <w:pStyle w:val="TableParagraph"/>
                          <w:spacing w:before="40"/>
                          <w:jc w:val="center"/>
                          <w:rPr>
                            <w:rFonts w:ascii="Arial"/>
                            <w:sz w:val="18"/>
                          </w:rPr>
                        </w:pPr>
                        <w:r>
                          <w:rPr>
                            <w:rFonts w:ascii="Arial"/>
                            <w:sz w:val="18"/>
                          </w:rPr>
                          <w:t>2</w:t>
                        </w:r>
                      </w:p>
                    </w:tc>
                    <w:tc>
                      <w:tcPr>
                        <w:tcW w:w="425" w:type="dxa"/>
                      </w:tcPr>
                      <w:p>
                        <w:pPr>
                          <w:pStyle w:val="TableParagraph"/>
                          <w:spacing w:before="40"/>
                          <w:ind w:right="1"/>
                          <w:jc w:val="center"/>
                          <w:rPr>
                            <w:rFonts w:ascii="Arial"/>
                            <w:sz w:val="18"/>
                          </w:rPr>
                        </w:pPr>
                        <w:r>
                          <w:rPr>
                            <w:rFonts w:ascii="Arial"/>
                            <w:sz w:val="18"/>
                          </w:rPr>
                          <w:t>1</w:t>
                        </w:r>
                      </w:p>
                    </w:tc>
                    <w:tc>
                      <w:tcPr>
                        <w:tcW w:w="566" w:type="dxa"/>
                      </w:tcPr>
                      <w:p>
                        <w:pPr>
                          <w:pStyle w:val="TableParagraph"/>
                          <w:ind w:left="1"/>
                          <w:jc w:val="center"/>
                          <w:rPr>
                            <w:b/>
                            <w:sz w:val="18"/>
                          </w:rPr>
                        </w:pPr>
                        <w:r>
                          <w:rPr>
                            <w:b/>
                            <w:sz w:val="18"/>
                          </w:rPr>
                          <w:t>9</w:t>
                        </w:r>
                      </w:p>
                    </w:tc>
                  </w:tr>
                  <w:tr>
                    <w:trPr>
                      <w:trHeight w:val="274" w:hRule="exact"/>
                    </w:trPr>
                    <w:tc>
                      <w:tcPr>
                        <w:tcW w:w="2268" w:type="dxa"/>
                        <w:shd w:val="clear" w:color="auto" w:fill="FFBF00"/>
                      </w:tcPr>
                      <w:p>
                        <w:pPr>
                          <w:pStyle w:val="TableParagraph"/>
                          <w:spacing w:line="205" w:lineRule="exact"/>
                          <w:ind w:left="104" w:right="363"/>
                          <w:rPr>
                            <w:rFonts w:ascii="Arial"/>
                            <w:sz w:val="18"/>
                          </w:rPr>
                        </w:pPr>
                        <w:r>
                          <w:rPr>
                            <w:rFonts w:ascii="Arial"/>
                            <w:sz w:val="18"/>
                          </w:rPr>
                          <w:t>Espalda</w:t>
                        </w:r>
                      </w:p>
                    </w:tc>
                    <w:tc>
                      <w:tcPr>
                        <w:tcW w:w="426" w:type="dxa"/>
                      </w:tcPr>
                      <w:p>
                        <w:pPr>
                          <w:pStyle w:val="TableParagraph"/>
                          <w:spacing w:before="26"/>
                          <w:ind w:right="1"/>
                          <w:jc w:val="center"/>
                          <w:rPr>
                            <w:rFonts w:ascii="Arial"/>
                            <w:sz w:val="18"/>
                          </w:rPr>
                        </w:pPr>
                        <w:r>
                          <w:rPr>
                            <w:rFonts w:ascii="Arial"/>
                            <w:sz w:val="18"/>
                          </w:rPr>
                          <w:t>3</w:t>
                        </w:r>
                      </w:p>
                    </w:tc>
                    <w:tc>
                      <w:tcPr>
                        <w:tcW w:w="426" w:type="dxa"/>
                      </w:tcPr>
                      <w:p>
                        <w:pPr>
                          <w:pStyle w:val="TableParagraph"/>
                          <w:spacing w:before="26"/>
                          <w:jc w:val="center"/>
                          <w:rPr>
                            <w:rFonts w:ascii="Arial"/>
                            <w:sz w:val="18"/>
                          </w:rPr>
                        </w:pPr>
                        <w:r>
                          <w:rPr>
                            <w:rFonts w:ascii="Arial"/>
                            <w:sz w:val="18"/>
                          </w:rPr>
                          <w:t>2</w:t>
                        </w:r>
                      </w:p>
                    </w:tc>
                    <w:tc>
                      <w:tcPr>
                        <w:tcW w:w="425" w:type="dxa"/>
                      </w:tcPr>
                      <w:p>
                        <w:pPr>
                          <w:pStyle w:val="TableParagraph"/>
                          <w:spacing w:before="26"/>
                          <w:jc w:val="center"/>
                          <w:rPr>
                            <w:rFonts w:ascii="Arial"/>
                            <w:sz w:val="18"/>
                          </w:rPr>
                        </w:pPr>
                        <w:r>
                          <w:rPr>
                            <w:rFonts w:ascii="Arial"/>
                            <w:sz w:val="18"/>
                          </w:rPr>
                          <w:t>1</w:t>
                        </w:r>
                      </w:p>
                    </w:tc>
                    <w:tc>
                      <w:tcPr>
                        <w:tcW w:w="566" w:type="dxa"/>
                      </w:tcPr>
                      <w:p>
                        <w:pPr>
                          <w:pStyle w:val="TableParagraph"/>
                          <w:spacing w:line="206" w:lineRule="exact"/>
                          <w:ind w:left="1"/>
                          <w:jc w:val="center"/>
                          <w:rPr>
                            <w:b/>
                            <w:sz w:val="18"/>
                          </w:rPr>
                        </w:pPr>
                        <w:r>
                          <w:rPr>
                            <w:b/>
                            <w:sz w:val="18"/>
                          </w:rPr>
                          <w:t>9</w:t>
                        </w:r>
                      </w:p>
                    </w:tc>
                  </w:tr>
                  <w:tr>
                    <w:trPr>
                      <w:trHeight w:val="278" w:hRule="exact"/>
                    </w:trPr>
                    <w:tc>
                      <w:tcPr>
                        <w:tcW w:w="2268" w:type="dxa"/>
                        <w:shd w:val="clear" w:color="auto" w:fill="FFBF00"/>
                      </w:tcPr>
                      <w:p>
                        <w:pPr>
                          <w:pStyle w:val="TableParagraph"/>
                          <w:spacing w:before="29"/>
                          <w:ind w:left="104" w:right="363"/>
                          <w:rPr>
                            <w:rFonts w:ascii="Arial"/>
                            <w:sz w:val="18"/>
                          </w:rPr>
                        </w:pPr>
                        <w:r>
                          <w:rPr>
                            <w:rFonts w:ascii="Arial"/>
                            <w:sz w:val="18"/>
                          </w:rPr>
                          <w:t>Brazo y Codo</w:t>
                        </w:r>
                      </w:p>
                    </w:tc>
                    <w:tc>
                      <w:tcPr>
                        <w:tcW w:w="426" w:type="dxa"/>
                      </w:tcPr>
                      <w:p>
                        <w:pPr>
                          <w:pStyle w:val="TableParagraph"/>
                          <w:spacing w:before="29"/>
                          <w:ind w:right="1"/>
                          <w:jc w:val="center"/>
                          <w:rPr>
                            <w:rFonts w:ascii="Arial"/>
                            <w:sz w:val="18"/>
                          </w:rPr>
                        </w:pPr>
                        <w:r>
                          <w:rPr>
                            <w:rFonts w:ascii="Arial"/>
                            <w:sz w:val="18"/>
                          </w:rPr>
                          <w:t>2</w:t>
                        </w:r>
                      </w:p>
                    </w:tc>
                    <w:tc>
                      <w:tcPr>
                        <w:tcW w:w="426" w:type="dxa"/>
                      </w:tcPr>
                      <w:p>
                        <w:pPr>
                          <w:pStyle w:val="TableParagraph"/>
                          <w:spacing w:before="29"/>
                          <w:jc w:val="center"/>
                          <w:rPr>
                            <w:rFonts w:ascii="Arial"/>
                            <w:sz w:val="18"/>
                          </w:rPr>
                        </w:pPr>
                        <w:r>
                          <w:rPr>
                            <w:rFonts w:ascii="Arial"/>
                            <w:sz w:val="18"/>
                          </w:rPr>
                          <w:t>2</w:t>
                        </w:r>
                      </w:p>
                    </w:tc>
                    <w:tc>
                      <w:tcPr>
                        <w:tcW w:w="425" w:type="dxa"/>
                      </w:tcPr>
                      <w:p>
                        <w:pPr>
                          <w:pStyle w:val="TableParagraph"/>
                          <w:spacing w:before="29"/>
                          <w:ind w:right="1"/>
                          <w:jc w:val="center"/>
                          <w:rPr>
                            <w:rFonts w:ascii="Arial"/>
                            <w:sz w:val="18"/>
                          </w:rPr>
                        </w:pPr>
                        <w:r>
                          <w:rPr>
                            <w:rFonts w:ascii="Arial"/>
                            <w:sz w:val="18"/>
                          </w:rPr>
                          <w:t>1</w:t>
                        </w:r>
                      </w:p>
                    </w:tc>
                    <w:tc>
                      <w:tcPr>
                        <w:tcW w:w="566" w:type="dxa"/>
                      </w:tcPr>
                      <w:p>
                        <w:pPr>
                          <w:pStyle w:val="TableParagraph"/>
                          <w:spacing w:line="206" w:lineRule="exact"/>
                          <w:ind w:left="1"/>
                          <w:jc w:val="center"/>
                          <w:rPr>
                            <w:b/>
                            <w:sz w:val="18"/>
                          </w:rPr>
                        </w:pPr>
                        <w:r>
                          <w:rPr>
                            <w:b/>
                            <w:sz w:val="18"/>
                          </w:rPr>
                          <w:t>4</w:t>
                        </w:r>
                      </w:p>
                    </w:tc>
                  </w:tr>
                  <w:tr>
                    <w:trPr>
                      <w:trHeight w:val="282" w:hRule="exact"/>
                    </w:trPr>
                    <w:tc>
                      <w:tcPr>
                        <w:tcW w:w="2268" w:type="dxa"/>
                        <w:shd w:val="clear" w:color="auto" w:fill="FFBF00"/>
                      </w:tcPr>
                      <w:p>
                        <w:pPr>
                          <w:pStyle w:val="TableParagraph"/>
                          <w:spacing w:line="205" w:lineRule="exact"/>
                          <w:ind w:left="104" w:right="363"/>
                          <w:rPr>
                            <w:rFonts w:ascii="Arial" w:hAnsi="Arial"/>
                            <w:sz w:val="18"/>
                          </w:rPr>
                        </w:pPr>
                        <w:r>
                          <w:rPr>
                            <w:rFonts w:ascii="Arial" w:hAnsi="Arial"/>
                            <w:sz w:val="18"/>
                          </w:rPr>
                          <w:t>Muñeca, mano, dedo</w:t>
                        </w:r>
                      </w:p>
                    </w:tc>
                    <w:tc>
                      <w:tcPr>
                        <w:tcW w:w="426" w:type="dxa"/>
                      </w:tcPr>
                      <w:p>
                        <w:pPr>
                          <w:pStyle w:val="TableParagraph"/>
                          <w:spacing w:before="30"/>
                          <w:ind w:right="1"/>
                          <w:jc w:val="center"/>
                          <w:rPr>
                            <w:rFonts w:ascii="Arial"/>
                            <w:sz w:val="18"/>
                          </w:rPr>
                        </w:pPr>
                        <w:r>
                          <w:rPr>
                            <w:rFonts w:ascii="Arial"/>
                            <w:sz w:val="18"/>
                          </w:rPr>
                          <w:t>3</w:t>
                        </w:r>
                      </w:p>
                    </w:tc>
                    <w:tc>
                      <w:tcPr>
                        <w:tcW w:w="426" w:type="dxa"/>
                      </w:tcPr>
                      <w:p>
                        <w:pPr>
                          <w:pStyle w:val="TableParagraph"/>
                          <w:spacing w:before="30"/>
                          <w:jc w:val="center"/>
                          <w:rPr>
                            <w:rFonts w:ascii="Arial"/>
                            <w:sz w:val="18"/>
                          </w:rPr>
                        </w:pPr>
                        <w:r>
                          <w:rPr>
                            <w:rFonts w:ascii="Arial"/>
                            <w:sz w:val="18"/>
                          </w:rPr>
                          <w:t>2</w:t>
                        </w:r>
                      </w:p>
                    </w:tc>
                    <w:tc>
                      <w:tcPr>
                        <w:tcW w:w="425" w:type="dxa"/>
                      </w:tcPr>
                      <w:p>
                        <w:pPr>
                          <w:pStyle w:val="TableParagraph"/>
                          <w:spacing w:before="30"/>
                          <w:jc w:val="center"/>
                          <w:rPr>
                            <w:rFonts w:ascii="Arial"/>
                            <w:sz w:val="18"/>
                          </w:rPr>
                        </w:pPr>
                        <w:r>
                          <w:rPr>
                            <w:rFonts w:ascii="Arial"/>
                            <w:sz w:val="18"/>
                          </w:rPr>
                          <w:t>1</w:t>
                        </w:r>
                      </w:p>
                    </w:tc>
                    <w:tc>
                      <w:tcPr>
                        <w:tcW w:w="566" w:type="dxa"/>
                      </w:tcPr>
                      <w:p>
                        <w:pPr>
                          <w:pStyle w:val="TableParagraph"/>
                          <w:spacing w:line="206" w:lineRule="exact"/>
                          <w:ind w:left="1"/>
                          <w:jc w:val="center"/>
                          <w:rPr>
                            <w:b/>
                            <w:sz w:val="18"/>
                          </w:rPr>
                        </w:pPr>
                        <w:r>
                          <w:rPr>
                            <w:b/>
                            <w:sz w:val="18"/>
                          </w:rPr>
                          <w:t>9</w:t>
                        </w:r>
                      </w:p>
                    </w:tc>
                  </w:tr>
                  <w:tr>
                    <w:trPr>
                      <w:trHeight w:val="286" w:hRule="exact"/>
                    </w:trPr>
                    <w:tc>
                      <w:tcPr>
                        <w:tcW w:w="2268" w:type="dxa"/>
                        <w:shd w:val="clear" w:color="auto" w:fill="FFBF00"/>
                      </w:tcPr>
                      <w:p>
                        <w:pPr>
                          <w:pStyle w:val="TableParagraph"/>
                          <w:spacing w:before="32"/>
                          <w:ind w:left="104" w:right="363"/>
                          <w:rPr>
                            <w:rFonts w:ascii="Arial"/>
                            <w:sz w:val="18"/>
                          </w:rPr>
                        </w:pPr>
                        <w:r>
                          <w:rPr>
                            <w:rFonts w:ascii="Arial"/>
                            <w:sz w:val="18"/>
                          </w:rPr>
                          <w:t>Piernas y tobillos</w:t>
                        </w:r>
                      </w:p>
                    </w:tc>
                    <w:tc>
                      <w:tcPr>
                        <w:tcW w:w="426" w:type="dxa"/>
                      </w:tcPr>
                      <w:p>
                        <w:pPr>
                          <w:pStyle w:val="TableParagraph"/>
                          <w:spacing w:before="32"/>
                          <w:ind w:right="2"/>
                          <w:jc w:val="center"/>
                          <w:rPr>
                            <w:rFonts w:ascii="Arial"/>
                            <w:sz w:val="18"/>
                          </w:rPr>
                        </w:pPr>
                        <w:r>
                          <w:rPr>
                            <w:rFonts w:ascii="Arial"/>
                            <w:sz w:val="18"/>
                          </w:rPr>
                          <w:t>2</w:t>
                        </w:r>
                      </w:p>
                    </w:tc>
                    <w:tc>
                      <w:tcPr>
                        <w:tcW w:w="426" w:type="dxa"/>
                      </w:tcPr>
                      <w:p>
                        <w:pPr>
                          <w:pStyle w:val="TableParagraph"/>
                          <w:spacing w:before="32"/>
                          <w:ind w:right="1"/>
                          <w:jc w:val="center"/>
                          <w:rPr>
                            <w:rFonts w:ascii="Arial"/>
                            <w:sz w:val="18"/>
                          </w:rPr>
                        </w:pPr>
                        <w:r>
                          <w:rPr>
                            <w:rFonts w:ascii="Arial"/>
                            <w:sz w:val="18"/>
                          </w:rPr>
                          <w:t>2</w:t>
                        </w:r>
                      </w:p>
                    </w:tc>
                    <w:tc>
                      <w:tcPr>
                        <w:tcW w:w="425" w:type="dxa"/>
                      </w:tcPr>
                      <w:p>
                        <w:pPr>
                          <w:pStyle w:val="TableParagraph"/>
                          <w:spacing w:before="32"/>
                          <w:jc w:val="center"/>
                          <w:rPr>
                            <w:rFonts w:ascii="Arial"/>
                            <w:sz w:val="18"/>
                          </w:rPr>
                        </w:pPr>
                        <w:r>
                          <w:rPr>
                            <w:rFonts w:ascii="Arial"/>
                            <w:sz w:val="18"/>
                          </w:rPr>
                          <w:t>1</w:t>
                        </w:r>
                      </w:p>
                    </w:tc>
                    <w:tc>
                      <w:tcPr>
                        <w:tcW w:w="566" w:type="dxa"/>
                      </w:tcPr>
                      <w:p>
                        <w:pPr>
                          <w:pStyle w:val="TableParagraph"/>
                          <w:spacing w:line="206" w:lineRule="exact"/>
                          <w:ind w:left="1"/>
                          <w:jc w:val="center"/>
                          <w:rPr>
                            <w:b/>
                            <w:sz w:val="18"/>
                          </w:rPr>
                        </w:pPr>
                        <w:r>
                          <w:rPr>
                            <w:b/>
                            <w:sz w:val="18"/>
                          </w:rPr>
                          <w:t>4</w:t>
                        </w:r>
                      </w:p>
                    </w:tc>
                  </w:tr>
                </w:tbl>
                <w:p>
                  <w:pPr>
                    <w:pStyle w:val="BodyText"/>
                  </w:pPr>
                </w:p>
              </w:txbxContent>
            </v:textbox>
            <w10:wrap type="none"/>
          </v:shape>
        </w:pict>
      </w:r>
      <w:r>
        <w:rPr>
          <w:sz w:val="18"/>
        </w:rPr>
        <w:t>Figure 4. Balancing process</w:t>
      </w:r>
    </w:p>
    <w:p>
      <w:pPr>
        <w:spacing w:after="0" w:line="203" w:lineRule="exact"/>
        <w:jc w:val="left"/>
        <w:rPr>
          <w:sz w:val="18"/>
        </w:rPr>
        <w:sectPr>
          <w:pgSz w:w="12240" w:h="15840"/>
          <w:pgMar w:header="545" w:footer="852" w:top="1060" w:bottom="1040" w:left="580" w:right="220"/>
        </w:sectPr>
      </w:pPr>
    </w:p>
    <w:p>
      <w:pPr>
        <w:pStyle w:val="BodyText"/>
      </w:pPr>
    </w:p>
    <w:p>
      <w:pPr>
        <w:pStyle w:val="BodyText"/>
      </w:pPr>
    </w:p>
    <w:p>
      <w:pPr>
        <w:pStyle w:val="BodyText"/>
      </w:pPr>
    </w:p>
    <w:p>
      <w:pPr>
        <w:pStyle w:val="BodyText"/>
      </w:pPr>
    </w:p>
    <w:p>
      <w:pPr>
        <w:pStyle w:val="BodyText"/>
      </w:pPr>
    </w:p>
    <w:p>
      <w:pPr>
        <w:pStyle w:val="BodyText"/>
      </w:pPr>
    </w:p>
    <w:p>
      <w:pPr>
        <w:pStyle w:val="BodyText"/>
        <w:spacing w:before="7"/>
      </w:pPr>
    </w:p>
    <w:p>
      <w:pPr>
        <w:pStyle w:val="BodyText"/>
        <w:ind w:left="846"/>
      </w:pPr>
      <w:r>
        <w:rPr/>
        <w:drawing>
          <wp:inline distT="0" distB="0" distL="0" distR="0">
            <wp:extent cx="895859" cy="804100"/>
            <wp:effectExtent l="0" t="0" r="0" b="0"/>
            <wp:docPr id="211" name="image111.png" descr=""/>
            <wp:cNvGraphicFramePr>
              <a:graphicFrameLocks noChangeAspect="1"/>
            </wp:cNvGraphicFramePr>
            <a:graphic>
              <a:graphicData uri="http://schemas.openxmlformats.org/drawingml/2006/picture">
                <pic:pic>
                  <pic:nvPicPr>
                    <pic:cNvPr id="212" name="image111.png"/>
                    <pic:cNvPicPr/>
                  </pic:nvPicPr>
                  <pic:blipFill>
                    <a:blip r:embed="rId195" cstate="print"/>
                    <a:stretch>
                      <a:fillRect/>
                    </a:stretch>
                  </pic:blipFill>
                  <pic:spPr>
                    <a:xfrm>
                      <a:off x="0" y="0"/>
                      <a:ext cx="895859" cy="804100"/>
                    </a:xfrm>
                    <a:prstGeom prst="rect">
                      <a:avLst/>
                    </a:prstGeom>
                  </pic:spPr>
                </pic:pic>
              </a:graphicData>
            </a:graphic>
          </wp:inline>
        </w:drawing>
      </w:r>
      <w:r>
        <w:rPr/>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5"/>
        <w:rPr>
          <w:sz w:val="24"/>
        </w:rPr>
      </w:pPr>
    </w:p>
    <w:p>
      <w:pPr>
        <w:spacing w:before="0"/>
        <w:ind w:left="1486" w:right="115" w:firstLine="0"/>
        <w:jc w:val="left"/>
        <w:rPr>
          <w:sz w:val="18"/>
        </w:rPr>
      </w:pPr>
      <w:r>
        <w:rPr>
          <w:sz w:val="18"/>
        </w:rPr>
        <w:t>Figure 3. Remove and placing tire</w:t>
      </w:r>
    </w:p>
    <w:p>
      <w:pPr>
        <w:pStyle w:val="BodyText"/>
        <w:rPr>
          <w:sz w:val="18"/>
        </w:rPr>
      </w:pPr>
    </w:p>
    <w:p>
      <w:pPr>
        <w:pStyle w:val="BodyText"/>
        <w:spacing w:before="10"/>
        <w:rPr>
          <w:sz w:val="17"/>
        </w:rPr>
      </w:pPr>
    </w:p>
    <w:p>
      <w:pPr>
        <w:spacing w:before="1"/>
        <w:ind w:left="270" w:right="0" w:firstLine="0"/>
        <w:jc w:val="both"/>
        <w:rPr>
          <w:sz w:val="18"/>
        </w:rPr>
      </w:pPr>
      <w:r>
        <w:rPr/>
        <w:drawing>
          <wp:anchor distT="0" distB="0" distL="0" distR="0" allowOverlap="1" layoutInCell="1" locked="0" behindDoc="0" simplePos="0" relativeHeight="6088">
            <wp:simplePos x="0" y="0"/>
            <wp:positionH relativeFrom="page">
              <wp:posOffset>1091946</wp:posOffset>
            </wp:positionH>
            <wp:positionV relativeFrom="paragraph">
              <wp:posOffset>586642</wp:posOffset>
            </wp:positionV>
            <wp:extent cx="549402" cy="914400"/>
            <wp:effectExtent l="0" t="0" r="0" b="0"/>
            <wp:wrapNone/>
            <wp:docPr id="213" name="image112.jpeg" descr=""/>
            <wp:cNvGraphicFramePr>
              <a:graphicFrameLocks noChangeAspect="1"/>
            </wp:cNvGraphicFramePr>
            <a:graphic>
              <a:graphicData uri="http://schemas.openxmlformats.org/drawingml/2006/picture">
                <pic:pic>
                  <pic:nvPicPr>
                    <pic:cNvPr id="214" name="image112.jpeg"/>
                    <pic:cNvPicPr/>
                  </pic:nvPicPr>
                  <pic:blipFill>
                    <a:blip r:embed="rId196" cstate="print"/>
                    <a:stretch>
                      <a:fillRect/>
                    </a:stretch>
                  </pic:blipFill>
                  <pic:spPr>
                    <a:xfrm>
                      <a:off x="0" y="0"/>
                      <a:ext cx="549402" cy="914400"/>
                    </a:xfrm>
                    <a:prstGeom prst="rect">
                      <a:avLst/>
                    </a:prstGeom>
                  </pic:spPr>
                </pic:pic>
              </a:graphicData>
            </a:graphic>
          </wp:anchor>
        </w:drawing>
      </w:r>
      <w:r>
        <w:rPr/>
        <w:pict>
          <v:shape style="position:absolute;margin-left:49.380001pt;margin-top:31.372362pt;width:206.3pt;height:349.05pt;mso-position-horizontal-relative:page;mso-position-vertical-relative:paragraph;z-index:616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68"/>
                    <w:gridCol w:w="426"/>
                    <w:gridCol w:w="426"/>
                    <w:gridCol w:w="425"/>
                    <w:gridCol w:w="566"/>
                  </w:tblGrid>
                  <w:tr>
                    <w:trPr>
                      <w:trHeight w:val="286" w:hRule="exact"/>
                    </w:trPr>
                    <w:tc>
                      <w:tcPr>
                        <w:tcW w:w="4111" w:type="dxa"/>
                        <w:gridSpan w:val="5"/>
                      </w:tcPr>
                      <w:p>
                        <w:pPr>
                          <w:pStyle w:val="TableParagraph"/>
                          <w:spacing w:before="32"/>
                          <w:ind w:left="104"/>
                          <w:rPr>
                            <w:rFonts w:ascii="Arial"/>
                            <w:sz w:val="18"/>
                          </w:rPr>
                        </w:pPr>
                        <w:r>
                          <w:rPr>
                            <w:rFonts w:ascii="Arial"/>
                            <w:sz w:val="18"/>
                          </w:rPr>
                          <w:t>Colocar y roscar contraurca</w:t>
                        </w:r>
                      </w:p>
                    </w:tc>
                  </w:tr>
                  <w:tr>
                    <w:trPr>
                      <w:trHeight w:val="1451" w:hRule="exact"/>
                    </w:trPr>
                    <w:tc>
                      <w:tcPr>
                        <w:tcW w:w="2268" w:type="dxa"/>
                      </w:tcPr>
                      <w:p>
                        <w:pPr>
                          <w:pStyle w:val="TableParagraph"/>
                          <w:ind w:left="722"/>
                          <w:rPr>
                            <w:sz w:val="20"/>
                          </w:rPr>
                        </w:pPr>
                        <w:r>
                          <w:rPr>
                            <w:sz w:val="20"/>
                          </w:rPr>
                          <w:drawing>
                            <wp:inline distT="0" distB="0" distL="0" distR="0">
                              <wp:extent cx="548028" cy="912113"/>
                              <wp:effectExtent l="0" t="0" r="0" b="0"/>
                              <wp:docPr id="215" name="image112.jpeg" descr=""/>
                              <wp:cNvGraphicFramePr>
                                <a:graphicFrameLocks noChangeAspect="1"/>
                              </wp:cNvGraphicFramePr>
                              <a:graphic>
                                <a:graphicData uri="http://schemas.openxmlformats.org/drawingml/2006/picture">
                                  <pic:pic>
                                    <pic:nvPicPr>
                                      <pic:cNvPr id="216" name="image112.jpeg"/>
                                      <pic:cNvPicPr/>
                                    </pic:nvPicPr>
                                    <pic:blipFill>
                                      <a:blip r:embed="rId196" cstate="print"/>
                                      <a:stretch>
                                        <a:fillRect/>
                                      </a:stretch>
                                    </pic:blipFill>
                                    <pic:spPr>
                                      <a:xfrm>
                                        <a:off x="0" y="0"/>
                                        <a:ext cx="548028" cy="912113"/>
                                      </a:xfrm>
                                      <a:prstGeom prst="rect">
                                        <a:avLst/>
                                      </a:prstGeom>
                                    </pic:spPr>
                                  </pic:pic>
                                </a:graphicData>
                              </a:graphic>
                            </wp:inline>
                          </w:drawing>
                        </w:r>
                        <w:r>
                          <w:rPr>
                            <w:sz w:val="20"/>
                          </w:rPr>
                        </w:r>
                      </w:p>
                    </w:tc>
                    <w:tc>
                      <w:tcPr>
                        <w:tcW w:w="426" w:type="dxa"/>
                        <w:textDirection w:val="btLr"/>
                      </w:tcPr>
                      <w:p>
                        <w:pPr>
                          <w:pStyle w:val="TableParagraph"/>
                          <w:spacing w:before="104"/>
                          <w:ind w:left="304"/>
                          <w:rPr>
                            <w:rFonts w:ascii="Arial"/>
                            <w:sz w:val="18"/>
                          </w:rPr>
                        </w:pPr>
                        <w:r>
                          <w:rPr>
                            <w:rFonts w:ascii="Arial"/>
                            <w:spacing w:val="-1"/>
                            <w:sz w:val="18"/>
                          </w:rPr>
                          <w:t>Intensi</w:t>
                        </w:r>
                        <w:r>
                          <w:rPr>
                            <w:rFonts w:ascii="Arial"/>
                            <w:sz w:val="18"/>
                          </w:rPr>
                          <w:t>d</w:t>
                        </w:r>
                        <w:r>
                          <w:rPr>
                            <w:rFonts w:ascii="Arial"/>
                            <w:spacing w:val="-1"/>
                            <w:sz w:val="18"/>
                          </w:rPr>
                          <w:t>ad</w:t>
                        </w:r>
                      </w:p>
                    </w:tc>
                    <w:tc>
                      <w:tcPr>
                        <w:tcW w:w="426" w:type="dxa"/>
                        <w:textDirection w:val="btLr"/>
                      </w:tcPr>
                      <w:p>
                        <w:pPr>
                          <w:pStyle w:val="TableParagraph"/>
                          <w:spacing w:before="104"/>
                          <w:ind w:left="360"/>
                          <w:rPr>
                            <w:rFonts w:ascii="Arial" w:hAnsi="Arial"/>
                            <w:sz w:val="18"/>
                          </w:rPr>
                        </w:pPr>
                        <w:r>
                          <w:rPr>
                            <w:rFonts w:ascii="Arial" w:hAnsi="Arial"/>
                            <w:spacing w:val="-1"/>
                            <w:sz w:val="18"/>
                          </w:rPr>
                          <w:t>Duración</w:t>
                        </w:r>
                      </w:p>
                    </w:tc>
                    <w:tc>
                      <w:tcPr>
                        <w:tcW w:w="425" w:type="dxa"/>
                        <w:textDirection w:val="btLr"/>
                      </w:tcPr>
                      <w:p>
                        <w:pPr>
                          <w:pStyle w:val="TableParagraph"/>
                          <w:spacing w:before="104"/>
                          <w:ind w:left="284"/>
                          <w:rPr>
                            <w:rFonts w:ascii="Arial"/>
                            <w:sz w:val="18"/>
                          </w:rPr>
                        </w:pPr>
                        <w:r>
                          <w:rPr>
                            <w:rFonts w:ascii="Arial"/>
                            <w:sz w:val="18"/>
                          </w:rPr>
                          <w:t>Por minuto</w:t>
                        </w:r>
                      </w:p>
                    </w:tc>
                    <w:tc>
                      <w:tcPr>
                        <w:tcW w:w="566" w:type="dxa"/>
                        <w:textDirection w:val="btLr"/>
                      </w:tcPr>
                      <w:p>
                        <w:pPr>
                          <w:pStyle w:val="TableParagraph"/>
                          <w:spacing w:before="104"/>
                          <w:ind w:left="414"/>
                          <w:rPr>
                            <w:rFonts w:ascii="Arial"/>
                            <w:sz w:val="18"/>
                          </w:rPr>
                        </w:pPr>
                        <w:r>
                          <w:rPr>
                            <w:rFonts w:ascii="Arial"/>
                            <w:spacing w:val="-1"/>
                            <w:sz w:val="18"/>
                          </w:rPr>
                          <w:t>Punta</w:t>
                        </w:r>
                        <w:r>
                          <w:rPr>
                            <w:rFonts w:ascii="Arial"/>
                            <w:sz w:val="18"/>
                          </w:rPr>
                          <w:t>je</w:t>
                        </w:r>
                      </w:p>
                    </w:tc>
                  </w:tr>
                  <w:tr>
                    <w:trPr>
                      <w:trHeight w:val="307" w:hRule="exact"/>
                    </w:trPr>
                    <w:tc>
                      <w:tcPr>
                        <w:tcW w:w="2268" w:type="dxa"/>
                        <w:shd w:val="clear" w:color="auto" w:fill="FFBF00"/>
                      </w:tcPr>
                      <w:p>
                        <w:pPr>
                          <w:pStyle w:val="TableParagraph"/>
                          <w:spacing w:line="205" w:lineRule="exact"/>
                          <w:ind w:left="104" w:right="363"/>
                          <w:rPr>
                            <w:rFonts w:ascii="Arial"/>
                            <w:sz w:val="18"/>
                          </w:rPr>
                        </w:pPr>
                        <w:r>
                          <w:rPr>
                            <w:rFonts w:ascii="Arial"/>
                            <w:sz w:val="18"/>
                          </w:rPr>
                          <w:t>Cuello</w:t>
                        </w:r>
                      </w:p>
                    </w:tc>
                    <w:tc>
                      <w:tcPr>
                        <w:tcW w:w="426" w:type="dxa"/>
                      </w:tcPr>
                      <w:p>
                        <w:pPr>
                          <w:pStyle w:val="TableParagraph"/>
                          <w:spacing w:before="43"/>
                          <w:ind w:right="1"/>
                          <w:jc w:val="center"/>
                          <w:rPr>
                            <w:rFonts w:ascii="Arial"/>
                            <w:sz w:val="18"/>
                          </w:rPr>
                        </w:pPr>
                        <w:r>
                          <w:rPr>
                            <w:rFonts w:ascii="Arial"/>
                            <w:sz w:val="18"/>
                          </w:rPr>
                          <w:t>2</w:t>
                        </w:r>
                      </w:p>
                    </w:tc>
                    <w:tc>
                      <w:tcPr>
                        <w:tcW w:w="426" w:type="dxa"/>
                      </w:tcPr>
                      <w:p>
                        <w:pPr>
                          <w:pStyle w:val="TableParagraph"/>
                          <w:spacing w:before="43"/>
                          <w:jc w:val="center"/>
                          <w:rPr>
                            <w:rFonts w:ascii="Arial"/>
                            <w:sz w:val="18"/>
                          </w:rPr>
                        </w:pPr>
                        <w:r>
                          <w:rPr>
                            <w:rFonts w:ascii="Arial"/>
                            <w:sz w:val="18"/>
                          </w:rPr>
                          <w:t>2</w:t>
                        </w:r>
                      </w:p>
                    </w:tc>
                    <w:tc>
                      <w:tcPr>
                        <w:tcW w:w="425" w:type="dxa"/>
                      </w:tcPr>
                      <w:p>
                        <w:pPr>
                          <w:pStyle w:val="TableParagraph"/>
                          <w:spacing w:before="43"/>
                          <w:jc w:val="center"/>
                          <w:rPr>
                            <w:rFonts w:ascii="Arial"/>
                            <w:sz w:val="18"/>
                          </w:rPr>
                        </w:pPr>
                        <w:r>
                          <w:rPr>
                            <w:rFonts w:ascii="Arial"/>
                            <w:sz w:val="18"/>
                          </w:rPr>
                          <w:t>1</w:t>
                        </w:r>
                      </w:p>
                    </w:tc>
                    <w:tc>
                      <w:tcPr>
                        <w:tcW w:w="566" w:type="dxa"/>
                      </w:tcPr>
                      <w:p>
                        <w:pPr>
                          <w:pStyle w:val="TableParagraph"/>
                          <w:spacing w:line="206" w:lineRule="exact"/>
                          <w:ind w:left="1"/>
                          <w:jc w:val="center"/>
                          <w:rPr>
                            <w:b/>
                            <w:sz w:val="18"/>
                          </w:rPr>
                        </w:pPr>
                        <w:r>
                          <w:rPr>
                            <w:b/>
                            <w:sz w:val="18"/>
                          </w:rPr>
                          <w:t>4</w:t>
                        </w:r>
                      </w:p>
                    </w:tc>
                  </w:tr>
                  <w:tr>
                    <w:trPr>
                      <w:trHeight w:val="299" w:hRule="exact"/>
                    </w:trPr>
                    <w:tc>
                      <w:tcPr>
                        <w:tcW w:w="2268" w:type="dxa"/>
                        <w:shd w:val="clear" w:color="auto" w:fill="FFBF00"/>
                      </w:tcPr>
                      <w:p>
                        <w:pPr>
                          <w:pStyle w:val="TableParagraph"/>
                          <w:spacing w:before="38"/>
                          <w:ind w:left="104" w:right="363"/>
                          <w:rPr>
                            <w:rFonts w:ascii="Arial"/>
                            <w:sz w:val="18"/>
                          </w:rPr>
                        </w:pPr>
                        <w:r>
                          <w:rPr>
                            <w:rFonts w:ascii="Arial"/>
                            <w:sz w:val="18"/>
                          </w:rPr>
                          <w:t>Hombro</w:t>
                        </w:r>
                      </w:p>
                    </w:tc>
                    <w:tc>
                      <w:tcPr>
                        <w:tcW w:w="426" w:type="dxa"/>
                      </w:tcPr>
                      <w:p>
                        <w:pPr>
                          <w:pStyle w:val="TableParagraph"/>
                          <w:spacing w:before="38"/>
                          <w:jc w:val="center"/>
                          <w:rPr>
                            <w:rFonts w:ascii="Arial"/>
                            <w:sz w:val="18"/>
                          </w:rPr>
                        </w:pPr>
                        <w:r>
                          <w:rPr>
                            <w:rFonts w:ascii="Arial"/>
                            <w:sz w:val="18"/>
                          </w:rPr>
                          <w:t>2</w:t>
                        </w:r>
                      </w:p>
                    </w:tc>
                    <w:tc>
                      <w:tcPr>
                        <w:tcW w:w="426" w:type="dxa"/>
                      </w:tcPr>
                      <w:p>
                        <w:pPr>
                          <w:pStyle w:val="TableParagraph"/>
                          <w:spacing w:before="38"/>
                          <w:jc w:val="center"/>
                          <w:rPr>
                            <w:rFonts w:ascii="Arial"/>
                            <w:sz w:val="18"/>
                          </w:rPr>
                        </w:pPr>
                        <w:r>
                          <w:rPr>
                            <w:rFonts w:ascii="Arial"/>
                            <w:sz w:val="18"/>
                          </w:rPr>
                          <w:t>2</w:t>
                        </w:r>
                      </w:p>
                    </w:tc>
                    <w:tc>
                      <w:tcPr>
                        <w:tcW w:w="425" w:type="dxa"/>
                      </w:tcPr>
                      <w:p>
                        <w:pPr>
                          <w:pStyle w:val="TableParagraph"/>
                          <w:spacing w:before="38"/>
                          <w:ind w:right="1"/>
                          <w:jc w:val="center"/>
                          <w:rPr>
                            <w:rFonts w:ascii="Arial"/>
                            <w:sz w:val="18"/>
                          </w:rPr>
                        </w:pPr>
                        <w:r>
                          <w:rPr>
                            <w:rFonts w:ascii="Arial"/>
                            <w:sz w:val="18"/>
                          </w:rPr>
                          <w:t>1</w:t>
                        </w:r>
                      </w:p>
                    </w:tc>
                    <w:tc>
                      <w:tcPr>
                        <w:tcW w:w="566" w:type="dxa"/>
                      </w:tcPr>
                      <w:p>
                        <w:pPr>
                          <w:pStyle w:val="TableParagraph"/>
                          <w:ind w:left="1"/>
                          <w:jc w:val="center"/>
                          <w:rPr>
                            <w:b/>
                            <w:sz w:val="18"/>
                          </w:rPr>
                        </w:pPr>
                        <w:r>
                          <w:rPr>
                            <w:b/>
                            <w:sz w:val="18"/>
                          </w:rPr>
                          <w:t>4</w:t>
                        </w:r>
                      </w:p>
                    </w:tc>
                  </w:tr>
                  <w:tr>
                    <w:trPr>
                      <w:trHeight w:val="274" w:hRule="exact"/>
                    </w:trPr>
                    <w:tc>
                      <w:tcPr>
                        <w:tcW w:w="2268" w:type="dxa"/>
                        <w:shd w:val="clear" w:color="auto" w:fill="FFBF00"/>
                      </w:tcPr>
                      <w:p>
                        <w:pPr>
                          <w:pStyle w:val="TableParagraph"/>
                          <w:spacing w:line="205" w:lineRule="exact"/>
                          <w:ind w:left="104" w:right="363"/>
                          <w:rPr>
                            <w:rFonts w:ascii="Arial"/>
                            <w:sz w:val="18"/>
                          </w:rPr>
                        </w:pPr>
                        <w:r>
                          <w:rPr>
                            <w:rFonts w:ascii="Arial"/>
                            <w:sz w:val="18"/>
                          </w:rPr>
                          <w:t>Espalda</w:t>
                        </w:r>
                      </w:p>
                    </w:tc>
                    <w:tc>
                      <w:tcPr>
                        <w:tcW w:w="426" w:type="dxa"/>
                      </w:tcPr>
                      <w:p>
                        <w:pPr>
                          <w:pStyle w:val="TableParagraph"/>
                          <w:spacing w:before="26"/>
                          <w:ind w:right="1"/>
                          <w:jc w:val="center"/>
                          <w:rPr>
                            <w:rFonts w:ascii="Arial"/>
                            <w:sz w:val="18"/>
                          </w:rPr>
                        </w:pPr>
                        <w:r>
                          <w:rPr>
                            <w:rFonts w:ascii="Arial"/>
                            <w:sz w:val="18"/>
                          </w:rPr>
                          <w:t>2</w:t>
                        </w:r>
                      </w:p>
                    </w:tc>
                    <w:tc>
                      <w:tcPr>
                        <w:tcW w:w="426" w:type="dxa"/>
                      </w:tcPr>
                      <w:p>
                        <w:pPr>
                          <w:pStyle w:val="TableParagraph"/>
                          <w:spacing w:before="26"/>
                          <w:jc w:val="center"/>
                          <w:rPr>
                            <w:rFonts w:ascii="Arial"/>
                            <w:sz w:val="18"/>
                          </w:rPr>
                        </w:pPr>
                        <w:r>
                          <w:rPr>
                            <w:rFonts w:ascii="Arial"/>
                            <w:sz w:val="18"/>
                          </w:rPr>
                          <w:t>2</w:t>
                        </w:r>
                      </w:p>
                    </w:tc>
                    <w:tc>
                      <w:tcPr>
                        <w:tcW w:w="425" w:type="dxa"/>
                      </w:tcPr>
                      <w:p>
                        <w:pPr>
                          <w:pStyle w:val="TableParagraph"/>
                          <w:spacing w:before="26"/>
                          <w:jc w:val="center"/>
                          <w:rPr>
                            <w:rFonts w:ascii="Arial"/>
                            <w:sz w:val="18"/>
                          </w:rPr>
                        </w:pPr>
                        <w:r>
                          <w:rPr>
                            <w:rFonts w:ascii="Arial"/>
                            <w:sz w:val="18"/>
                          </w:rPr>
                          <w:t>1</w:t>
                        </w:r>
                      </w:p>
                    </w:tc>
                    <w:tc>
                      <w:tcPr>
                        <w:tcW w:w="566" w:type="dxa"/>
                      </w:tcPr>
                      <w:p>
                        <w:pPr>
                          <w:pStyle w:val="TableParagraph"/>
                          <w:spacing w:line="206" w:lineRule="exact"/>
                          <w:ind w:left="1"/>
                          <w:jc w:val="center"/>
                          <w:rPr>
                            <w:b/>
                            <w:sz w:val="18"/>
                          </w:rPr>
                        </w:pPr>
                        <w:r>
                          <w:rPr>
                            <w:b/>
                            <w:sz w:val="18"/>
                          </w:rPr>
                          <w:t>4</w:t>
                        </w:r>
                      </w:p>
                    </w:tc>
                  </w:tr>
                  <w:tr>
                    <w:trPr>
                      <w:trHeight w:val="278" w:hRule="exact"/>
                    </w:trPr>
                    <w:tc>
                      <w:tcPr>
                        <w:tcW w:w="2268" w:type="dxa"/>
                        <w:shd w:val="clear" w:color="auto" w:fill="FFBF00"/>
                      </w:tcPr>
                      <w:p>
                        <w:pPr>
                          <w:pStyle w:val="TableParagraph"/>
                          <w:spacing w:before="29"/>
                          <w:ind w:left="104" w:right="363"/>
                          <w:rPr>
                            <w:rFonts w:ascii="Arial"/>
                            <w:sz w:val="18"/>
                          </w:rPr>
                        </w:pPr>
                        <w:r>
                          <w:rPr>
                            <w:rFonts w:ascii="Arial"/>
                            <w:sz w:val="18"/>
                          </w:rPr>
                          <w:t>Brazo y Codo</w:t>
                        </w:r>
                      </w:p>
                    </w:tc>
                    <w:tc>
                      <w:tcPr>
                        <w:tcW w:w="426" w:type="dxa"/>
                      </w:tcPr>
                      <w:p>
                        <w:pPr>
                          <w:pStyle w:val="TableParagraph"/>
                          <w:spacing w:before="29"/>
                          <w:ind w:right="1"/>
                          <w:jc w:val="center"/>
                          <w:rPr>
                            <w:rFonts w:ascii="Arial"/>
                            <w:sz w:val="18"/>
                          </w:rPr>
                        </w:pPr>
                        <w:r>
                          <w:rPr>
                            <w:rFonts w:ascii="Arial"/>
                            <w:sz w:val="18"/>
                          </w:rPr>
                          <w:t>2</w:t>
                        </w:r>
                      </w:p>
                    </w:tc>
                    <w:tc>
                      <w:tcPr>
                        <w:tcW w:w="426" w:type="dxa"/>
                      </w:tcPr>
                      <w:p>
                        <w:pPr>
                          <w:pStyle w:val="TableParagraph"/>
                          <w:spacing w:before="29"/>
                          <w:jc w:val="center"/>
                          <w:rPr>
                            <w:rFonts w:ascii="Arial"/>
                            <w:sz w:val="18"/>
                          </w:rPr>
                        </w:pPr>
                        <w:r>
                          <w:rPr>
                            <w:rFonts w:ascii="Arial"/>
                            <w:sz w:val="18"/>
                          </w:rPr>
                          <w:t>2</w:t>
                        </w:r>
                      </w:p>
                    </w:tc>
                    <w:tc>
                      <w:tcPr>
                        <w:tcW w:w="425" w:type="dxa"/>
                      </w:tcPr>
                      <w:p>
                        <w:pPr>
                          <w:pStyle w:val="TableParagraph"/>
                          <w:spacing w:before="29"/>
                          <w:ind w:right="1"/>
                          <w:jc w:val="center"/>
                          <w:rPr>
                            <w:rFonts w:ascii="Arial"/>
                            <w:sz w:val="18"/>
                          </w:rPr>
                        </w:pPr>
                        <w:r>
                          <w:rPr>
                            <w:rFonts w:ascii="Arial"/>
                            <w:sz w:val="18"/>
                          </w:rPr>
                          <w:t>1</w:t>
                        </w:r>
                      </w:p>
                    </w:tc>
                    <w:tc>
                      <w:tcPr>
                        <w:tcW w:w="566" w:type="dxa"/>
                      </w:tcPr>
                      <w:p>
                        <w:pPr>
                          <w:pStyle w:val="TableParagraph"/>
                          <w:spacing w:line="206" w:lineRule="exact"/>
                          <w:ind w:left="1"/>
                          <w:jc w:val="center"/>
                          <w:rPr>
                            <w:b/>
                            <w:sz w:val="18"/>
                          </w:rPr>
                        </w:pPr>
                        <w:r>
                          <w:rPr>
                            <w:b/>
                            <w:sz w:val="18"/>
                          </w:rPr>
                          <w:t>4</w:t>
                        </w:r>
                      </w:p>
                    </w:tc>
                  </w:tr>
                  <w:tr>
                    <w:trPr>
                      <w:trHeight w:val="282" w:hRule="exact"/>
                    </w:trPr>
                    <w:tc>
                      <w:tcPr>
                        <w:tcW w:w="2268" w:type="dxa"/>
                        <w:shd w:val="clear" w:color="auto" w:fill="FFBF00"/>
                      </w:tcPr>
                      <w:p>
                        <w:pPr>
                          <w:pStyle w:val="TableParagraph"/>
                          <w:spacing w:line="205" w:lineRule="exact"/>
                          <w:ind w:left="104" w:right="363"/>
                          <w:rPr>
                            <w:rFonts w:ascii="Arial" w:hAnsi="Arial"/>
                            <w:sz w:val="18"/>
                          </w:rPr>
                        </w:pPr>
                        <w:r>
                          <w:rPr>
                            <w:rFonts w:ascii="Arial" w:hAnsi="Arial"/>
                            <w:sz w:val="18"/>
                          </w:rPr>
                          <w:t>Muñeca, mano, dedo</w:t>
                        </w:r>
                      </w:p>
                    </w:tc>
                    <w:tc>
                      <w:tcPr>
                        <w:tcW w:w="426" w:type="dxa"/>
                      </w:tcPr>
                      <w:p>
                        <w:pPr>
                          <w:pStyle w:val="TableParagraph"/>
                          <w:spacing w:before="30"/>
                          <w:ind w:right="1"/>
                          <w:jc w:val="center"/>
                          <w:rPr>
                            <w:rFonts w:ascii="Arial"/>
                            <w:sz w:val="18"/>
                          </w:rPr>
                        </w:pPr>
                        <w:r>
                          <w:rPr>
                            <w:rFonts w:ascii="Arial"/>
                            <w:sz w:val="18"/>
                          </w:rPr>
                          <w:t>3</w:t>
                        </w:r>
                      </w:p>
                    </w:tc>
                    <w:tc>
                      <w:tcPr>
                        <w:tcW w:w="426" w:type="dxa"/>
                      </w:tcPr>
                      <w:p>
                        <w:pPr>
                          <w:pStyle w:val="TableParagraph"/>
                          <w:spacing w:before="30"/>
                          <w:jc w:val="center"/>
                          <w:rPr>
                            <w:rFonts w:ascii="Arial"/>
                            <w:sz w:val="18"/>
                          </w:rPr>
                        </w:pPr>
                        <w:r>
                          <w:rPr>
                            <w:rFonts w:ascii="Arial"/>
                            <w:sz w:val="18"/>
                          </w:rPr>
                          <w:t>2</w:t>
                        </w:r>
                      </w:p>
                    </w:tc>
                    <w:tc>
                      <w:tcPr>
                        <w:tcW w:w="425" w:type="dxa"/>
                      </w:tcPr>
                      <w:p>
                        <w:pPr>
                          <w:pStyle w:val="TableParagraph"/>
                          <w:spacing w:before="30"/>
                          <w:jc w:val="center"/>
                          <w:rPr>
                            <w:rFonts w:ascii="Arial"/>
                            <w:sz w:val="18"/>
                          </w:rPr>
                        </w:pPr>
                        <w:r>
                          <w:rPr>
                            <w:rFonts w:ascii="Arial"/>
                            <w:sz w:val="18"/>
                          </w:rPr>
                          <w:t>1</w:t>
                        </w:r>
                      </w:p>
                    </w:tc>
                    <w:tc>
                      <w:tcPr>
                        <w:tcW w:w="566" w:type="dxa"/>
                      </w:tcPr>
                      <w:p>
                        <w:pPr>
                          <w:pStyle w:val="TableParagraph"/>
                          <w:spacing w:line="206" w:lineRule="exact"/>
                          <w:ind w:left="1"/>
                          <w:jc w:val="center"/>
                          <w:rPr>
                            <w:b/>
                            <w:sz w:val="18"/>
                          </w:rPr>
                        </w:pPr>
                        <w:r>
                          <w:rPr>
                            <w:b/>
                            <w:sz w:val="18"/>
                          </w:rPr>
                          <w:t>9</w:t>
                        </w:r>
                      </w:p>
                    </w:tc>
                  </w:tr>
                  <w:tr>
                    <w:trPr>
                      <w:trHeight w:val="286" w:hRule="exact"/>
                    </w:trPr>
                    <w:tc>
                      <w:tcPr>
                        <w:tcW w:w="2268" w:type="dxa"/>
                        <w:shd w:val="clear" w:color="auto" w:fill="FFBF00"/>
                      </w:tcPr>
                      <w:p>
                        <w:pPr>
                          <w:pStyle w:val="TableParagraph"/>
                          <w:spacing w:before="32"/>
                          <w:ind w:left="104" w:right="363"/>
                          <w:rPr>
                            <w:rFonts w:ascii="Arial"/>
                            <w:sz w:val="18"/>
                          </w:rPr>
                        </w:pPr>
                        <w:r>
                          <w:rPr>
                            <w:rFonts w:ascii="Arial"/>
                            <w:sz w:val="18"/>
                          </w:rPr>
                          <w:t>Piernas y tobillos</w:t>
                        </w:r>
                      </w:p>
                    </w:tc>
                    <w:tc>
                      <w:tcPr>
                        <w:tcW w:w="426" w:type="dxa"/>
                      </w:tcPr>
                      <w:p>
                        <w:pPr>
                          <w:pStyle w:val="TableParagraph"/>
                          <w:spacing w:before="32"/>
                          <w:ind w:right="2"/>
                          <w:jc w:val="center"/>
                          <w:rPr>
                            <w:rFonts w:ascii="Arial"/>
                            <w:sz w:val="18"/>
                          </w:rPr>
                        </w:pPr>
                        <w:r>
                          <w:rPr>
                            <w:rFonts w:ascii="Arial"/>
                            <w:sz w:val="18"/>
                          </w:rPr>
                          <w:t>2</w:t>
                        </w:r>
                      </w:p>
                    </w:tc>
                    <w:tc>
                      <w:tcPr>
                        <w:tcW w:w="426" w:type="dxa"/>
                      </w:tcPr>
                      <w:p>
                        <w:pPr>
                          <w:pStyle w:val="TableParagraph"/>
                          <w:spacing w:before="32"/>
                          <w:ind w:right="1"/>
                          <w:jc w:val="center"/>
                          <w:rPr>
                            <w:rFonts w:ascii="Arial"/>
                            <w:sz w:val="18"/>
                          </w:rPr>
                        </w:pPr>
                        <w:r>
                          <w:rPr>
                            <w:rFonts w:ascii="Arial"/>
                            <w:sz w:val="18"/>
                          </w:rPr>
                          <w:t>2</w:t>
                        </w:r>
                      </w:p>
                    </w:tc>
                    <w:tc>
                      <w:tcPr>
                        <w:tcW w:w="425" w:type="dxa"/>
                      </w:tcPr>
                      <w:p>
                        <w:pPr>
                          <w:pStyle w:val="TableParagraph"/>
                          <w:spacing w:before="32"/>
                          <w:jc w:val="center"/>
                          <w:rPr>
                            <w:rFonts w:ascii="Arial"/>
                            <w:sz w:val="18"/>
                          </w:rPr>
                        </w:pPr>
                        <w:r>
                          <w:rPr>
                            <w:rFonts w:ascii="Arial"/>
                            <w:sz w:val="18"/>
                          </w:rPr>
                          <w:t>1</w:t>
                        </w:r>
                      </w:p>
                    </w:tc>
                    <w:tc>
                      <w:tcPr>
                        <w:tcW w:w="566" w:type="dxa"/>
                      </w:tcPr>
                      <w:p>
                        <w:pPr>
                          <w:pStyle w:val="TableParagraph"/>
                          <w:spacing w:line="206" w:lineRule="exact"/>
                          <w:ind w:left="1"/>
                          <w:jc w:val="center"/>
                          <w:rPr>
                            <w:b/>
                            <w:sz w:val="18"/>
                          </w:rPr>
                        </w:pPr>
                        <w:r>
                          <w:rPr>
                            <w:b/>
                            <w:sz w:val="18"/>
                          </w:rPr>
                          <w:t>4</w:t>
                        </w:r>
                      </w:p>
                    </w:tc>
                  </w:tr>
                  <w:tr>
                    <w:trPr>
                      <w:trHeight w:val="286" w:hRule="exact"/>
                    </w:trPr>
                    <w:tc>
                      <w:tcPr>
                        <w:tcW w:w="4111" w:type="dxa"/>
                        <w:gridSpan w:val="5"/>
                      </w:tcPr>
                      <w:p>
                        <w:pPr>
                          <w:pStyle w:val="TableParagraph"/>
                          <w:spacing w:before="32"/>
                          <w:ind w:left="104"/>
                          <w:rPr>
                            <w:rFonts w:ascii="Arial"/>
                            <w:sz w:val="18"/>
                          </w:rPr>
                        </w:pPr>
                        <w:r>
                          <w:rPr>
                            <w:rFonts w:ascii="Arial"/>
                            <w:sz w:val="18"/>
                          </w:rPr>
                          <w:t>Colocar llanta en maquina</w:t>
                        </w:r>
                      </w:p>
                    </w:tc>
                  </w:tr>
                  <w:tr>
                    <w:trPr>
                      <w:trHeight w:val="1451" w:hRule="exact"/>
                    </w:trPr>
                    <w:tc>
                      <w:tcPr>
                        <w:tcW w:w="2268" w:type="dxa"/>
                      </w:tcPr>
                      <w:p>
                        <w:pPr>
                          <w:pStyle w:val="TableParagraph"/>
                          <w:ind w:left="717"/>
                          <w:rPr>
                            <w:sz w:val="20"/>
                          </w:rPr>
                        </w:pPr>
                        <w:r>
                          <w:rPr>
                            <w:sz w:val="20"/>
                          </w:rPr>
                          <w:drawing>
                            <wp:inline distT="0" distB="0" distL="0" distR="0">
                              <wp:extent cx="586033" cy="912113"/>
                              <wp:effectExtent l="0" t="0" r="0" b="0"/>
                              <wp:docPr id="217" name="image113.jpeg" descr=""/>
                              <wp:cNvGraphicFramePr>
                                <a:graphicFrameLocks noChangeAspect="1"/>
                              </wp:cNvGraphicFramePr>
                              <a:graphic>
                                <a:graphicData uri="http://schemas.openxmlformats.org/drawingml/2006/picture">
                                  <pic:pic>
                                    <pic:nvPicPr>
                                      <pic:cNvPr id="218" name="image113.jpeg"/>
                                      <pic:cNvPicPr/>
                                    </pic:nvPicPr>
                                    <pic:blipFill>
                                      <a:blip r:embed="rId197" cstate="print"/>
                                      <a:stretch>
                                        <a:fillRect/>
                                      </a:stretch>
                                    </pic:blipFill>
                                    <pic:spPr>
                                      <a:xfrm>
                                        <a:off x="0" y="0"/>
                                        <a:ext cx="586033" cy="912113"/>
                                      </a:xfrm>
                                      <a:prstGeom prst="rect">
                                        <a:avLst/>
                                      </a:prstGeom>
                                    </pic:spPr>
                                  </pic:pic>
                                </a:graphicData>
                              </a:graphic>
                            </wp:inline>
                          </w:drawing>
                        </w:r>
                        <w:r>
                          <w:rPr>
                            <w:sz w:val="20"/>
                          </w:rPr>
                        </w:r>
                      </w:p>
                    </w:tc>
                    <w:tc>
                      <w:tcPr>
                        <w:tcW w:w="426" w:type="dxa"/>
                        <w:textDirection w:val="btLr"/>
                      </w:tcPr>
                      <w:p>
                        <w:pPr>
                          <w:pStyle w:val="TableParagraph"/>
                          <w:spacing w:before="104"/>
                          <w:ind w:left="304"/>
                          <w:rPr>
                            <w:rFonts w:ascii="Arial"/>
                            <w:sz w:val="18"/>
                          </w:rPr>
                        </w:pPr>
                        <w:r>
                          <w:rPr>
                            <w:rFonts w:ascii="Arial"/>
                            <w:spacing w:val="-1"/>
                            <w:sz w:val="18"/>
                          </w:rPr>
                          <w:t>Intensi</w:t>
                        </w:r>
                        <w:r>
                          <w:rPr>
                            <w:rFonts w:ascii="Arial"/>
                            <w:sz w:val="18"/>
                          </w:rPr>
                          <w:t>d</w:t>
                        </w:r>
                        <w:r>
                          <w:rPr>
                            <w:rFonts w:ascii="Arial"/>
                            <w:spacing w:val="-1"/>
                            <w:sz w:val="18"/>
                          </w:rPr>
                          <w:t>ad</w:t>
                        </w:r>
                      </w:p>
                    </w:tc>
                    <w:tc>
                      <w:tcPr>
                        <w:tcW w:w="426" w:type="dxa"/>
                        <w:textDirection w:val="btLr"/>
                      </w:tcPr>
                      <w:p>
                        <w:pPr>
                          <w:pStyle w:val="TableParagraph"/>
                          <w:spacing w:before="104"/>
                          <w:ind w:left="360"/>
                          <w:rPr>
                            <w:rFonts w:ascii="Arial" w:hAnsi="Arial"/>
                            <w:sz w:val="18"/>
                          </w:rPr>
                        </w:pPr>
                        <w:r>
                          <w:rPr>
                            <w:rFonts w:ascii="Arial" w:hAnsi="Arial"/>
                            <w:spacing w:val="-1"/>
                            <w:sz w:val="18"/>
                          </w:rPr>
                          <w:t>Duración</w:t>
                        </w:r>
                      </w:p>
                    </w:tc>
                    <w:tc>
                      <w:tcPr>
                        <w:tcW w:w="425" w:type="dxa"/>
                        <w:textDirection w:val="btLr"/>
                      </w:tcPr>
                      <w:p>
                        <w:pPr>
                          <w:pStyle w:val="TableParagraph"/>
                          <w:spacing w:before="104"/>
                          <w:ind w:left="285"/>
                          <w:rPr>
                            <w:rFonts w:ascii="Arial"/>
                            <w:sz w:val="18"/>
                          </w:rPr>
                        </w:pPr>
                        <w:r>
                          <w:rPr>
                            <w:rFonts w:ascii="Arial"/>
                            <w:sz w:val="18"/>
                          </w:rPr>
                          <w:t>Por minuto</w:t>
                        </w:r>
                      </w:p>
                    </w:tc>
                    <w:tc>
                      <w:tcPr>
                        <w:tcW w:w="566" w:type="dxa"/>
                        <w:textDirection w:val="btLr"/>
                      </w:tcPr>
                      <w:p>
                        <w:pPr>
                          <w:pStyle w:val="TableParagraph"/>
                          <w:spacing w:before="104"/>
                          <w:ind w:left="415"/>
                          <w:rPr>
                            <w:rFonts w:ascii="Arial"/>
                            <w:sz w:val="18"/>
                          </w:rPr>
                        </w:pPr>
                        <w:r>
                          <w:rPr>
                            <w:rFonts w:ascii="Arial"/>
                            <w:spacing w:val="-1"/>
                            <w:sz w:val="18"/>
                          </w:rPr>
                          <w:t>Punta</w:t>
                        </w:r>
                        <w:r>
                          <w:rPr>
                            <w:rFonts w:ascii="Arial"/>
                            <w:sz w:val="18"/>
                          </w:rPr>
                          <w:t>je</w:t>
                        </w:r>
                      </w:p>
                    </w:tc>
                  </w:tr>
                  <w:tr>
                    <w:trPr>
                      <w:trHeight w:val="308" w:hRule="exact"/>
                    </w:trPr>
                    <w:tc>
                      <w:tcPr>
                        <w:tcW w:w="2268" w:type="dxa"/>
                        <w:shd w:val="clear" w:color="auto" w:fill="FFBF00"/>
                      </w:tcPr>
                      <w:p>
                        <w:pPr>
                          <w:pStyle w:val="TableParagraph"/>
                          <w:spacing w:line="205" w:lineRule="exact"/>
                          <w:ind w:left="104" w:right="363"/>
                          <w:rPr>
                            <w:rFonts w:ascii="Arial"/>
                            <w:sz w:val="18"/>
                          </w:rPr>
                        </w:pPr>
                        <w:r>
                          <w:rPr>
                            <w:rFonts w:ascii="Arial"/>
                            <w:sz w:val="18"/>
                          </w:rPr>
                          <w:t>Cuello</w:t>
                        </w:r>
                      </w:p>
                    </w:tc>
                    <w:tc>
                      <w:tcPr>
                        <w:tcW w:w="426" w:type="dxa"/>
                      </w:tcPr>
                      <w:p>
                        <w:pPr>
                          <w:pStyle w:val="TableParagraph"/>
                          <w:spacing w:before="43"/>
                          <w:ind w:right="1"/>
                          <w:jc w:val="center"/>
                          <w:rPr>
                            <w:rFonts w:ascii="Arial"/>
                            <w:sz w:val="18"/>
                          </w:rPr>
                        </w:pPr>
                        <w:r>
                          <w:rPr>
                            <w:rFonts w:ascii="Arial"/>
                            <w:sz w:val="18"/>
                          </w:rPr>
                          <w:t>2</w:t>
                        </w:r>
                      </w:p>
                    </w:tc>
                    <w:tc>
                      <w:tcPr>
                        <w:tcW w:w="426" w:type="dxa"/>
                      </w:tcPr>
                      <w:p>
                        <w:pPr>
                          <w:pStyle w:val="TableParagraph"/>
                          <w:spacing w:before="43"/>
                          <w:jc w:val="center"/>
                          <w:rPr>
                            <w:rFonts w:ascii="Arial"/>
                            <w:sz w:val="18"/>
                          </w:rPr>
                        </w:pPr>
                        <w:r>
                          <w:rPr>
                            <w:rFonts w:ascii="Arial"/>
                            <w:sz w:val="18"/>
                          </w:rPr>
                          <w:t>2</w:t>
                        </w:r>
                      </w:p>
                    </w:tc>
                    <w:tc>
                      <w:tcPr>
                        <w:tcW w:w="425" w:type="dxa"/>
                      </w:tcPr>
                      <w:p>
                        <w:pPr>
                          <w:pStyle w:val="TableParagraph"/>
                          <w:spacing w:before="43"/>
                          <w:jc w:val="center"/>
                          <w:rPr>
                            <w:rFonts w:ascii="Arial"/>
                            <w:sz w:val="18"/>
                          </w:rPr>
                        </w:pPr>
                        <w:r>
                          <w:rPr>
                            <w:rFonts w:ascii="Arial"/>
                            <w:sz w:val="18"/>
                          </w:rPr>
                          <w:t>1</w:t>
                        </w:r>
                      </w:p>
                    </w:tc>
                    <w:tc>
                      <w:tcPr>
                        <w:tcW w:w="566" w:type="dxa"/>
                      </w:tcPr>
                      <w:p>
                        <w:pPr>
                          <w:pStyle w:val="TableParagraph"/>
                          <w:spacing w:line="206" w:lineRule="exact"/>
                          <w:ind w:left="1"/>
                          <w:jc w:val="center"/>
                          <w:rPr>
                            <w:b/>
                            <w:sz w:val="18"/>
                          </w:rPr>
                        </w:pPr>
                        <w:r>
                          <w:rPr>
                            <w:b/>
                            <w:sz w:val="18"/>
                          </w:rPr>
                          <w:t>4</w:t>
                        </w:r>
                      </w:p>
                    </w:tc>
                  </w:tr>
                  <w:tr>
                    <w:trPr>
                      <w:trHeight w:val="298" w:hRule="exact"/>
                    </w:trPr>
                    <w:tc>
                      <w:tcPr>
                        <w:tcW w:w="2268" w:type="dxa"/>
                        <w:shd w:val="clear" w:color="auto" w:fill="FFBF00"/>
                      </w:tcPr>
                      <w:p>
                        <w:pPr>
                          <w:pStyle w:val="TableParagraph"/>
                          <w:spacing w:before="38"/>
                          <w:ind w:left="104" w:right="363"/>
                          <w:rPr>
                            <w:rFonts w:ascii="Arial"/>
                            <w:sz w:val="18"/>
                          </w:rPr>
                        </w:pPr>
                        <w:r>
                          <w:rPr>
                            <w:rFonts w:ascii="Arial"/>
                            <w:sz w:val="18"/>
                          </w:rPr>
                          <w:t>Hombro</w:t>
                        </w:r>
                      </w:p>
                    </w:tc>
                    <w:tc>
                      <w:tcPr>
                        <w:tcW w:w="426" w:type="dxa"/>
                      </w:tcPr>
                      <w:p>
                        <w:pPr>
                          <w:pStyle w:val="TableParagraph"/>
                          <w:spacing w:before="38"/>
                          <w:jc w:val="center"/>
                          <w:rPr>
                            <w:rFonts w:ascii="Arial"/>
                            <w:sz w:val="18"/>
                          </w:rPr>
                        </w:pPr>
                        <w:r>
                          <w:rPr>
                            <w:rFonts w:ascii="Arial"/>
                            <w:sz w:val="18"/>
                          </w:rPr>
                          <w:t>2</w:t>
                        </w:r>
                      </w:p>
                    </w:tc>
                    <w:tc>
                      <w:tcPr>
                        <w:tcW w:w="426" w:type="dxa"/>
                      </w:tcPr>
                      <w:p>
                        <w:pPr>
                          <w:pStyle w:val="TableParagraph"/>
                          <w:spacing w:before="38"/>
                          <w:jc w:val="center"/>
                          <w:rPr>
                            <w:rFonts w:ascii="Arial"/>
                            <w:sz w:val="18"/>
                          </w:rPr>
                        </w:pPr>
                        <w:r>
                          <w:rPr>
                            <w:rFonts w:ascii="Arial"/>
                            <w:sz w:val="18"/>
                          </w:rPr>
                          <w:t>2</w:t>
                        </w:r>
                      </w:p>
                    </w:tc>
                    <w:tc>
                      <w:tcPr>
                        <w:tcW w:w="425" w:type="dxa"/>
                      </w:tcPr>
                      <w:p>
                        <w:pPr>
                          <w:pStyle w:val="TableParagraph"/>
                          <w:spacing w:before="38"/>
                          <w:ind w:right="1"/>
                          <w:jc w:val="center"/>
                          <w:rPr>
                            <w:rFonts w:ascii="Arial"/>
                            <w:sz w:val="18"/>
                          </w:rPr>
                        </w:pPr>
                        <w:r>
                          <w:rPr>
                            <w:rFonts w:ascii="Arial"/>
                            <w:sz w:val="18"/>
                          </w:rPr>
                          <w:t>1</w:t>
                        </w:r>
                      </w:p>
                    </w:tc>
                    <w:tc>
                      <w:tcPr>
                        <w:tcW w:w="566" w:type="dxa"/>
                      </w:tcPr>
                      <w:p>
                        <w:pPr>
                          <w:pStyle w:val="TableParagraph"/>
                          <w:spacing w:line="206" w:lineRule="exact"/>
                          <w:ind w:left="1"/>
                          <w:jc w:val="center"/>
                          <w:rPr>
                            <w:b/>
                            <w:sz w:val="18"/>
                          </w:rPr>
                        </w:pPr>
                        <w:r>
                          <w:rPr>
                            <w:b/>
                            <w:sz w:val="18"/>
                          </w:rPr>
                          <w:t>4</w:t>
                        </w:r>
                      </w:p>
                    </w:tc>
                  </w:tr>
                  <w:tr>
                    <w:trPr>
                      <w:trHeight w:val="274" w:hRule="exact"/>
                    </w:trPr>
                    <w:tc>
                      <w:tcPr>
                        <w:tcW w:w="2268" w:type="dxa"/>
                        <w:shd w:val="clear" w:color="auto" w:fill="FFBF00"/>
                      </w:tcPr>
                      <w:p>
                        <w:pPr>
                          <w:pStyle w:val="TableParagraph"/>
                          <w:spacing w:line="205" w:lineRule="exact"/>
                          <w:ind w:left="104" w:right="363"/>
                          <w:rPr>
                            <w:rFonts w:ascii="Arial"/>
                            <w:sz w:val="18"/>
                          </w:rPr>
                        </w:pPr>
                        <w:r>
                          <w:rPr>
                            <w:rFonts w:ascii="Arial"/>
                            <w:sz w:val="18"/>
                          </w:rPr>
                          <w:t>Espalda</w:t>
                        </w:r>
                      </w:p>
                    </w:tc>
                    <w:tc>
                      <w:tcPr>
                        <w:tcW w:w="426" w:type="dxa"/>
                      </w:tcPr>
                      <w:p>
                        <w:pPr>
                          <w:pStyle w:val="TableParagraph"/>
                          <w:spacing w:before="26"/>
                          <w:ind w:right="1"/>
                          <w:jc w:val="center"/>
                          <w:rPr>
                            <w:rFonts w:ascii="Arial"/>
                            <w:sz w:val="18"/>
                          </w:rPr>
                        </w:pPr>
                        <w:r>
                          <w:rPr>
                            <w:rFonts w:ascii="Arial"/>
                            <w:sz w:val="18"/>
                          </w:rPr>
                          <w:t>2</w:t>
                        </w:r>
                      </w:p>
                    </w:tc>
                    <w:tc>
                      <w:tcPr>
                        <w:tcW w:w="426" w:type="dxa"/>
                      </w:tcPr>
                      <w:p>
                        <w:pPr>
                          <w:pStyle w:val="TableParagraph"/>
                          <w:spacing w:before="26"/>
                          <w:jc w:val="center"/>
                          <w:rPr>
                            <w:rFonts w:ascii="Arial"/>
                            <w:sz w:val="18"/>
                          </w:rPr>
                        </w:pPr>
                        <w:r>
                          <w:rPr>
                            <w:rFonts w:ascii="Arial"/>
                            <w:sz w:val="18"/>
                          </w:rPr>
                          <w:t>2</w:t>
                        </w:r>
                      </w:p>
                    </w:tc>
                    <w:tc>
                      <w:tcPr>
                        <w:tcW w:w="425" w:type="dxa"/>
                      </w:tcPr>
                      <w:p>
                        <w:pPr>
                          <w:pStyle w:val="TableParagraph"/>
                          <w:spacing w:before="26"/>
                          <w:jc w:val="center"/>
                          <w:rPr>
                            <w:rFonts w:ascii="Arial"/>
                            <w:sz w:val="18"/>
                          </w:rPr>
                        </w:pPr>
                        <w:r>
                          <w:rPr>
                            <w:rFonts w:ascii="Arial"/>
                            <w:sz w:val="18"/>
                          </w:rPr>
                          <w:t>1</w:t>
                        </w:r>
                      </w:p>
                    </w:tc>
                    <w:tc>
                      <w:tcPr>
                        <w:tcW w:w="566" w:type="dxa"/>
                      </w:tcPr>
                      <w:p>
                        <w:pPr>
                          <w:pStyle w:val="TableParagraph"/>
                          <w:spacing w:line="206" w:lineRule="exact"/>
                          <w:ind w:left="1"/>
                          <w:jc w:val="center"/>
                          <w:rPr>
                            <w:b/>
                            <w:sz w:val="18"/>
                          </w:rPr>
                        </w:pPr>
                        <w:r>
                          <w:rPr>
                            <w:b/>
                            <w:sz w:val="18"/>
                          </w:rPr>
                          <w:t>4</w:t>
                        </w:r>
                      </w:p>
                    </w:tc>
                  </w:tr>
                  <w:tr>
                    <w:trPr>
                      <w:trHeight w:val="278" w:hRule="exact"/>
                    </w:trPr>
                    <w:tc>
                      <w:tcPr>
                        <w:tcW w:w="2268" w:type="dxa"/>
                        <w:shd w:val="clear" w:color="auto" w:fill="FFBF00"/>
                      </w:tcPr>
                      <w:p>
                        <w:pPr>
                          <w:pStyle w:val="TableParagraph"/>
                          <w:spacing w:before="29"/>
                          <w:ind w:left="104" w:right="363"/>
                          <w:rPr>
                            <w:rFonts w:ascii="Arial"/>
                            <w:sz w:val="18"/>
                          </w:rPr>
                        </w:pPr>
                        <w:r>
                          <w:rPr>
                            <w:rFonts w:ascii="Arial"/>
                            <w:sz w:val="18"/>
                          </w:rPr>
                          <w:t>Brazo y Codo</w:t>
                        </w:r>
                      </w:p>
                    </w:tc>
                    <w:tc>
                      <w:tcPr>
                        <w:tcW w:w="426" w:type="dxa"/>
                      </w:tcPr>
                      <w:p>
                        <w:pPr>
                          <w:pStyle w:val="TableParagraph"/>
                          <w:spacing w:before="29"/>
                          <w:ind w:right="1"/>
                          <w:jc w:val="center"/>
                          <w:rPr>
                            <w:rFonts w:ascii="Arial"/>
                            <w:sz w:val="18"/>
                          </w:rPr>
                        </w:pPr>
                        <w:r>
                          <w:rPr>
                            <w:rFonts w:ascii="Arial"/>
                            <w:sz w:val="18"/>
                          </w:rPr>
                          <w:t>1</w:t>
                        </w:r>
                      </w:p>
                    </w:tc>
                    <w:tc>
                      <w:tcPr>
                        <w:tcW w:w="426" w:type="dxa"/>
                      </w:tcPr>
                      <w:p>
                        <w:pPr>
                          <w:pStyle w:val="TableParagraph"/>
                          <w:spacing w:before="29"/>
                          <w:jc w:val="center"/>
                          <w:rPr>
                            <w:rFonts w:ascii="Arial"/>
                            <w:sz w:val="18"/>
                          </w:rPr>
                        </w:pPr>
                        <w:r>
                          <w:rPr>
                            <w:rFonts w:ascii="Arial"/>
                            <w:sz w:val="18"/>
                          </w:rPr>
                          <w:t>2</w:t>
                        </w:r>
                      </w:p>
                    </w:tc>
                    <w:tc>
                      <w:tcPr>
                        <w:tcW w:w="425" w:type="dxa"/>
                      </w:tcPr>
                      <w:p>
                        <w:pPr>
                          <w:pStyle w:val="TableParagraph"/>
                          <w:spacing w:before="29"/>
                          <w:ind w:right="1"/>
                          <w:jc w:val="center"/>
                          <w:rPr>
                            <w:rFonts w:ascii="Arial"/>
                            <w:sz w:val="18"/>
                          </w:rPr>
                        </w:pPr>
                        <w:r>
                          <w:rPr>
                            <w:rFonts w:ascii="Arial"/>
                            <w:sz w:val="18"/>
                          </w:rPr>
                          <w:t>1</w:t>
                        </w:r>
                      </w:p>
                    </w:tc>
                    <w:tc>
                      <w:tcPr>
                        <w:tcW w:w="566" w:type="dxa"/>
                      </w:tcPr>
                      <w:p>
                        <w:pPr>
                          <w:pStyle w:val="TableParagraph"/>
                          <w:ind w:left="1"/>
                          <w:jc w:val="center"/>
                          <w:rPr>
                            <w:b/>
                            <w:sz w:val="18"/>
                          </w:rPr>
                        </w:pPr>
                        <w:r>
                          <w:rPr>
                            <w:b/>
                            <w:sz w:val="18"/>
                          </w:rPr>
                          <w:t>2</w:t>
                        </w:r>
                      </w:p>
                    </w:tc>
                  </w:tr>
                  <w:tr>
                    <w:trPr>
                      <w:trHeight w:val="282" w:hRule="exact"/>
                    </w:trPr>
                    <w:tc>
                      <w:tcPr>
                        <w:tcW w:w="2268" w:type="dxa"/>
                        <w:shd w:val="clear" w:color="auto" w:fill="FFBF00"/>
                      </w:tcPr>
                      <w:p>
                        <w:pPr>
                          <w:pStyle w:val="TableParagraph"/>
                          <w:spacing w:line="205" w:lineRule="exact"/>
                          <w:ind w:left="104" w:right="363"/>
                          <w:rPr>
                            <w:rFonts w:ascii="Arial" w:hAnsi="Arial"/>
                            <w:sz w:val="18"/>
                          </w:rPr>
                        </w:pPr>
                        <w:r>
                          <w:rPr>
                            <w:rFonts w:ascii="Arial" w:hAnsi="Arial"/>
                            <w:sz w:val="18"/>
                          </w:rPr>
                          <w:t>Muñeca, mano, dedo</w:t>
                        </w:r>
                      </w:p>
                    </w:tc>
                    <w:tc>
                      <w:tcPr>
                        <w:tcW w:w="426" w:type="dxa"/>
                      </w:tcPr>
                      <w:p>
                        <w:pPr>
                          <w:pStyle w:val="TableParagraph"/>
                          <w:spacing w:before="31"/>
                          <w:ind w:right="1"/>
                          <w:jc w:val="center"/>
                          <w:rPr>
                            <w:rFonts w:ascii="Arial"/>
                            <w:sz w:val="18"/>
                          </w:rPr>
                        </w:pPr>
                        <w:r>
                          <w:rPr>
                            <w:rFonts w:ascii="Arial"/>
                            <w:sz w:val="18"/>
                          </w:rPr>
                          <w:t>2</w:t>
                        </w:r>
                      </w:p>
                    </w:tc>
                    <w:tc>
                      <w:tcPr>
                        <w:tcW w:w="426" w:type="dxa"/>
                      </w:tcPr>
                      <w:p>
                        <w:pPr>
                          <w:pStyle w:val="TableParagraph"/>
                          <w:spacing w:before="31"/>
                          <w:jc w:val="center"/>
                          <w:rPr>
                            <w:rFonts w:ascii="Arial"/>
                            <w:sz w:val="18"/>
                          </w:rPr>
                        </w:pPr>
                        <w:r>
                          <w:rPr>
                            <w:rFonts w:ascii="Arial"/>
                            <w:sz w:val="18"/>
                          </w:rPr>
                          <w:t>2</w:t>
                        </w:r>
                      </w:p>
                    </w:tc>
                    <w:tc>
                      <w:tcPr>
                        <w:tcW w:w="425" w:type="dxa"/>
                      </w:tcPr>
                      <w:p>
                        <w:pPr>
                          <w:pStyle w:val="TableParagraph"/>
                          <w:spacing w:before="31"/>
                          <w:jc w:val="center"/>
                          <w:rPr>
                            <w:rFonts w:ascii="Arial"/>
                            <w:sz w:val="18"/>
                          </w:rPr>
                        </w:pPr>
                        <w:r>
                          <w:rPr>
                            <w:rFonts w:ascii="Arial"/>
                            <w:sz w:val="18"/>
                          </w:rPr>
                          <w:t>1</w:t>
                        </w:r>
                      </w:p>
                    </w:tc>
                    <w:tc>
                      <w:tcPr>
                        <w:tcW w:w="566" w:type="dxa"/>
                      </w:tcPr>
                      <w:p>
                        <w:pPr>
                          <w:pStyle w:val="TableParagraph"/>
                          <w:spacing w:line="206" w:lineRule="exact"/>
                          <w:ind w:left="1"/>
                          <w:jc w:val="center"/>
                          <w:rPr>
                            <w:b/>
                            <w:sz w:val="18"/>
                          </w:rPr>
                        </w:pPr>
                        <w:r>
                          <w:rPr>
                            <w:b/>
                            <w:sz w:val="18"/>
                          </w:rPr>
                          <w:t>4</w:t>
                        </w:r>
                      </w:p>
                    </w:tc>
                  </w:tr>
                  <w:tr>
                    <w:trPr>
                      <w:trHeight w:val="309" w:hRule="exact"/>
                    </w:trPr>
                    <w:tc>
                      <w:tcPr>
                        <w:tcW w:w="2268" w:type="dxa"/>
                        <w:tcBorders>
                          <w:bottom w:val="single" w:sz="23" w:space="0" w:color="FFFFFF"/>
                        </w:tcBorders>
                        <w:shd w:val="clear" w:color="auto" w:fill="FFBF00"/>
                      </w:tcPr>
                      <w:p>
                        <w:pPr>
                          <w:pStyle w:val="TableParagraph"/>
                          <w:spacing w:before="32"/>
                          <w:ind w:left="104" w:right="363"/>
                          <w:rPr>
                            <w:rFonts w:ascii="Arial"/>
                            <w:sz w:val="18"/>
                          </w:rPr>
                        </w:pPr>
                        <w:r>
                          <w:rPr>
                            <w:rFonts w:ascii="Arial"/>
                            <w:sz w:val="18"/>
                          </w:rPr>
                          <w:t>Piernas y tobillos</w:t>
                        </w:r>
                      </w:p>
                    </w:tc>
                    <w:tc>
                      <w:tcPr>
                        <w:tcW w:w="426" w:type="dxa"/>
                        <w:tcBorders>
                          <w:bottom w:val="single" w:sz="23" w:space="0" w:color="FFFFFF"/>
                        </w:tcBorders>
                      </w:tcPr>
                      <w:p>
                        <w:pPr>
                          <w:pStyle w:val="TableParagraph"/>
                          <w:spacing w:before="32"/>
                          <w:ind w:right="2"/>
                          <w:jc w:val="center"/>
                          <w:rPr>
                            <w:rFonts w:ascii="Arial"/>
                            <w:sz w:val="18"/>
                          </w:rPr>
                        </w:pPr>
                        <w:r>
                          <w:rPr>
                            <w:rFonts w:ascii="Arial"/>
                            <w:sz w:val="18"/>
                          </w:rPr>
                          <w:t>2</w:t>
                        </w:r>
                      </w:p>
                    </w:tc>
                    <w:tc>
                      <w:tcPr>
                        <w:tcW w:w="426" w:type="dxa"/>
                        <w:tcBorders>
                          <w:bottom w:val="single" w:sz="23" w:space="0" w:color="FFFFFF"/>
                        </w:tcBorders>
                      </w:tcPr>
                      <w:p>
                        <w:pPr>
                          <w:pStyle w:val="TableParagraph"/>
                          <w:spacing w:before="32"/>
                          <w:ind w:right="1"/>
                          <w:jc w:val="center"/>
                          <w:rPr>
                            <w:rFonts w:ascii="Arial"/>
                            <w:sz w:val="18"/>
                          </w:rPr>
                        </w:pPr>
                        <w:r>
                          <w:rPr>
                            <w:rFonts w:ascii="Arial"/>
                            <w:sz w:val="18"/>
                          </w:rPr>
                          <w:t>2</w:t>
                        </w:r>
                      </w:p>
                    </w:tc>
                    <w:tc>
                      <w:tcPr>
                        <w:tcW w:w="425" w:type="dxa"/>
                        <w:tcBorders>
                          <w:bottom w:val="single" w:sz="23" w:space="0" w:color="FFFFFF"/>
                        </w:tcBorders>
                      </w:tcPr>
                      <w:p>
                        <w:pPr>
                          <w:pStyle w:val="TableParagraph"/>
                          <w:spacing w:before="32"/>
                          <w:jc w:val="center"/>
                          <w:rPr>
                            <w:rFonts w:ascii="Arial"/>
                            <w:sz w:val="18"/>
                          </w:rPr>
                        </w:pPr>
                        <w:r>
                          <w:rPr>
                            <w:rFonts w:ascii="Arial"/>
                            <w:sz w:val="18"/>
                          </w:rPr>
                          <w:t>1</w:t>
                        </w:r>
                      </w:p>
                    </w:tc>
                    <w:tc>
                      <w:tcPr>
                        <w:tcW w:w="566" w:type="dxa"/>
                        <w:tcBorders>
                          <w:bottom w:val="single" w:sz="23" w:space="0" w:color="FFFFFF"/>
                        </w:tcBorders>
                      </w:tcPr>
                      <w:p>
                        <w:pPr>
                          <w:pStyle w:val="TableParagraph"/>
                          <w:spacing w:line="206" w:lineRule="exact"/>
                          <w:ind w:left="1"/>
                          <w:jc w:val="center"/>
                          <w:rPr>
                            <w:b/>
                            <w:sz w:val="18"/>
                          </w:rPr>
                        </w:pPr>
                        <w:r>
                          <w:rPr>
                            <w:b/>
                            <w:sz w:val="18"/>
                          </w:rPr>
                          <w:t>4</w:t>
                        </w:r>
                      </w:p>
                    </w:tc>
                  </w:tr>
                </w:tbl>
                <w:p>
                  <w:pPr>
                    <w:pStyle w:val="BodyText"/>
                  </w:pPr>
                </w:p>
              </w:txbxContent>
            </v:textbox>
            <w10:wrap type="none"/>
          </v:shape>
        </w:pict>
      </w:r>
      <w:r>
        <w:rPr>
          <w:sz w:val="18"/>
        </w:rPr>
        <w:t>Figure 4 shows the operator in balancing process, can be seen in  the evaluation having score in of 9 (high value) in, hands and fingers</w:t>
      </w:r>
    </w:p>
    <w:p>
      <w:pPr>
        <w:pStyle w:val="BodyText"/>
      </w:pPr>
      <w:r>
        <w:rPr/>
        <w:br w:type="column"/>
      </w:r>
      <w:r>
        <w:rPr/>
      </w:r>
    </w:p>
    <w:p>
      <w:pPr>
        <w:pStyle w:val="BodyText"/>
      </w:pPr>
    </w:p>
    <w:p>
      <w:pPr>
        <w:pStyle w:val="BodyText"/>
        <w:spacing w:before="8"/>
        <w:rPr>
          <w:sz w:val="14"/>
        </w:rPr>
      </w:pPr>
    </w:p>
    <w:tbl>
      <w:tblPr>
        <w:tblW w:w="0" w:type="auto"/>
        <w:jc w:val="left"/>
        <w:tblInd w:w="4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68"/>
        <w:gridCol w:w="426"/>
        <w:gridCol w:w="426"/>
        <w:gridCol w:w="425"/>
        <w:gridCol w:w="566"/>
      </w:tblGrid>
      <w:tr>
        <w:trPr>
          <w:trHeight w:val="286" w:hRule="exact"/>
        </w:trPr>
        <w:tc>
          <w:tcPr>
            <w:tcW w:w="4111" w:type="dxa"/>
            <w:gridSpan w:val="5"/>
          </w:tcPr>
          <w:p>
            <w:pPr>
              <w:pStyle w:val="TableParagraph"/>
              <w:spacing w:before="32"/>
              <w:ind w:left="103"/>
              <w:rPr>
                <w:rFonts w:ascii="Arial"/>
                <w:sz w:val="18"/>
              </w:rPr>
            </w:pPr>
            <w:r>
              <w:rPr>
                <w:rFonts w:ascii="Arial"/>
                <w:sz w:val="18"/>
              </w:rPr>
              <w:t>Colocar Llanta</w:t>
            </w:r>
          </w:p>
        </w:tc>
      </w:tr>
      <w:tr>
        <w:trPr>
          <w:trHeight w:val="1576" w:hRule="exact"/>
        </w:trPr>
        <w:tc>
          <w:tcPr>
            <w:tcW w:w="2268" w:type="dxa"/>
          </w:tcPr>
          <w:p>
            <w:pPr>
              <w:pStyle w:val="TableParagraph"/>
              <w:ind w:left="176"/>
              <w:rPr>
                <w:sz w:val="20"/>
              </w:rPr>
            </w:pPr>
            <w:r>
              <w:rPr>
                <w:sz w:val="20"/>
              </w:rPr>
              <w:pict>
                <v:group style="width:95.25pt;height:78.25pt;mso-position-horizontal-relative:char;mso-position-vertical-relative:line" coordorigin="0,0" coordsize="1905,1565">
                  <v:shape style="position:absolute;left:0;top:62;width:954;height:1502" type="#_x0000_t75" stroked="false">
                    <v:imagedata r:id="rId198" o:title=""/>
                  </v:shape>
                  <v:shape style="position:absolute;left:954;top:0;width:950;height:1565" type="#_x0000_t75" stroked="false">
                    <v:imagedata r:id="rId199" o:title=""/>
                  </v:shape>
                </v:group>
              </w:pict>
            </w:r>
            <w:r>
              <w:rPr>
                <w:sz w:val="20"/>
              </w:rPr>
            </w:r>
          </w:p>
        </w:tc>
        <w:tc>
          <w:tcPr>
            <w:tcW w:w="426" w:type="dxa"/>
            <w:textDirection w:val="btLr"/>
          </w:tcPr>
          <w:p>
            <w:pPr>
              <w:pStyle w:val="TableParagraph"/>
              <w:spacing w:before="104"/>
              <w:ind w:left="367"/>
              <w:rPr>
                <w:rFonts w:ascii="Arial"/>
                <w:sz w:val="18"/>
              </w:rPr>
            </w:pPr>
            <w:r>
              <w:rPr>
                <w:rFonts w:ascii="Arial"/>
                <w:spacing w:val="-1"/>
                <w:sz w:val="18"/>
              </w:rPr>
              <w:t>Intensi</w:t>
            </w:r>
            <w:r>
              <w:rPr>
                <w:rFonts w:ascii="Arial"/>
                <w:sz w:val="18"/>
              </w:rPr>
              <w:t>d</w:t>
            </w:r>
            <w:r>
              <w:rPr>
                <w:rFonts w:ascii="Arial"/>
                <w:spacing w:val="-1"/>
                <w:sz w:val="18"/>
              </w:rPr>
              <w:t>ad</w:t>
            </w:r>
          </w:p>
        </w:tc>
        <w:tc>
          <w:tcPr>
            <w:tcW w:w="426" w:type="dxa"/>
            <w:textDirection w:val="btLr"/>
          </w:tcPr>
          <w:p>
            <w:pPr>
              <w:pStyle w:val="TableParagraph"/>
              <w:spacing w:before="104"/>
              <w:ind w:left="422"/>
              <w:rPr>
                <w:rFonts w:ascii="Arial" w:hAnsi="Arial"/>
                <w:sz w:val="18"/>
              </w:rPr>
            </w:pPr>
            <w:r>
              <w:rPr>
                <w:rFonts w:ascii="Arial" w:hAnsi="Arial"/>
                <w:spacing w:val="-1"/>
                <w:sz w:val="18"/>
              </w:rPr>
              <w:t>Duración</w:t>
            </w:r>
          </w:p>
        </w:tc>
        <w:tc>
          <w:tcPr>
            <w:tcW w:w="425" w:type="dxa"/>
            <w:textDirection w:val="btLr"/>
          </w:tcPr>
          <w:p>
            <w:pPr>
              <w:pStyle w:val="TableParagraph"/>
              <w:spacing w:before="104"/>
              <w:ind w:left="346"/>
              <w:rPr>
                <w:rFonts w:ascii="Arial"/>
                <w:sz w:val="18"/>
              </w:rPr>
            </w:pPr>
            <w:r>
              <w:rPr>
                <w:rFonts w:ascii="Arial"/>
                <w:sz w:val="18"/>
              </w:rPr>
              <w:t>Por minuto</w:t>
            </w:r>
          </w:p>
        </w:tc>
        <w:tc>
          <w:tcPr>
            <w:tcW w:w="566" w:type="dxa"/>
            <w:textDirection w:val="btLr"/>
          </w:tcPr>
          <w:p>
            <w:pPr>
              <w:pStyle w:val="TableParagraph"/>
              <w:spacing w:before="104"/>
              <w:ind w:left="476"/>
              <w:rPr>
                <w:rFonts w:ascii="Arial"/>
                <w:sz w:val="18"/>
              </w:rPr>
            </w:pPr>
            <w:r>
              <w:rPr>
                <w:rFonts w:ascii="Arial"/>
                <w:spacing w:val="-1"/>
                <w:sz w:val="18"/>
              </w:rPr>
              <w:t>Punta</w:t>
            </w:r>
            <w:r>
              <w:rPr>
                <w:rFonts w:ascii="Arial"/>
                <w:sz w:val="18"/>
              </w:rPr>
              <w:t>je</w:t>
            </w:r>
          </w:p>
        </w:tc>
      </w:tr>
      <w:tr>
        <w:trPr>
          <w:trHeight w:val="308" w:hRule="exact"/>
        </w:trPr>
        <w:tc>
          <w:tcPr>
            <w:tcW w:w="2268" w:type="dxa"/>
            <w:shd w:val="clear" w:color="auto" w:fill="FFBF00"/>
          </w:tcPr>
          <w:p>
            <w:pPr>
              <w:pStyle w:val="TableParagraph"/>
              <w:spacing w:line="205" w:lineRule="exact"/>
              <w:ind w:left="103" w:right="363"/>
              <w:rPr>
                <w:rFonts w:ascii="Arial"/>
                <w:sz w:val="18"/>
              </w:rPr>
            </w:pPr>
            <w:r>
              <w:rPr>
                <w:rFonts w:ascii="Arial"/>
                <w:sz w:val="18"/>
              </w:rPr>
              <w:t>Cuello</w:t>
            </w:r>
          </w:p>
        </w:tc>
        <w:tc>
          <w:tcPr>
            <w:tcW w:w="426" w:type="dxa"/>
          </w:tcPr>
          <w:p>
            <w:pPr>
              <w:pStyle w:val="TableParagraph"/>
              <w:spacing w:line="205" w:lineRule="exact"/>
              <w:jc w:val="center"/>
              <w:rPr>
                <w:rFonts w:ascii="Arial"/>
                <w:sz w:val="18"/>
              </w:rPr>
            </w:pPr>
            <w:r>
              <w:rPr>
                <w:rFonts w:ascii="Arial"/>
                <w:sz w:val="18"/>
              </w:rPr>
              <w:t>2</w:t>
            </w:r>
          </w:p>
        </w:tc>
        <w:tc>
          <w:tcPr>
            <w:tcW w:w="426" w:type="dxa"/>
          </w:tcPr>
          <w:p>
            <w:pPr>
              <w:pStyle w:val="TableParagraph"/>
              <w:spacing w:line="205" w:lineRule="exact"/>
              <w:jc w:val="center"/>
              <w:rPr>
                <w:rFonts w:ascii="Arial"/>
                <w:sz w:val="18"/>
              </w:rPr>
            </w:pPr>
            <w:r>
              <w:rPr>
                <w:rFonts w:ascii="Arial"/>
                <w:sz w:val="18"/>
              </w:rPr>
              <w:t>1</w:t>
            </w:r>
          </w:p>
        </w:tc>
        <w:tc>
          <w:tcPr>
            <w:tcW w:w="425" w:type="dxa"/>
          </w:tcPr>
          <w:p>
            <w:pPr>
              <w:pStyle w:val="TableParagraph"/>
              <w:spacing w:line="205" w:lineRule="exact"/>
              <w:jc w:val="center"/>
              <w:rPr>
                <w:rFonts w:ascii="Arial"/>
                <w:sz w:val="18"/>
              </w:rPr>
            </w:pPr>
            <w:r>
              <w:rPr>
                <w:rFonts w:ascii="Arial"/>
                <w:sz w:val="18"/>
              </w:rPr>
              <w:t>1</w:t>
            </w:r>
          </w:p>
        </w:tc>
        <w:tc>
          <w:tcPr>
            <w:tcW w:w="566" w:type="dxa"/>
          </w:tcPr>
          <w:p>
            <w:pPr>
              <w:pStyle w:val="TableParagraph"/>
              <w:spacing w:line="204" w:lineRule="exact"/>
              <w:ind w:left="1"/>
              <w:jc w:val="center"/>
              <w:rPr>
                <w:rFonts w:ascii="Arial"/>
                <w:b/>
                <w:sz w:val="18"/>
              </w:rPr>
            </w:pPr>
            <w:r>
              <w:rPr>
                <w:rFonts w:ascii="Arial"/>
                <w:b/>
                <w:sz w:val="18"/>
              </w:rPr>
              <w:t>3</w:t>
            </w:r>
          </w:p>
        </w:tc>
      </w:tr>
      <w:tr>
        <w:trPr>
          <w:trHeight w:val="298" w:hRule="exact"/>
        </w:trPr>
        <w:tc>
          <w:tcPr>
            <w:tcW w:w="2268" w:type="dxa"/>
            <w:shd w:val="clear" w:color="auto" w:fill="FFBF00"/>
          </w:tcPr>
          <w:p>
            <w:pPr>
              <w:pStyle w:val="TableParagraph"/>
              <w:spacing w:before="38"/>
              <w:ind w:left="103" w:right="363"/>
              <w:rPr>
                <w:rFonts w:ascii="Arial"/>
                <w:sz w:val="18"/>
              </w:rPr>
            </w:pPr>
            <w:r>
              <w:rPr>
                <w:rFonts w:ascii="Arial"/>
                <w:sz w:val="18"/>
              </w:rPr>
              <w:t>Hombro</w:t>
            </w:r>
          </w:p>
        </w:tc>
        <w:tc>
          <w:tcPr>
            <w:tcW w:w="426" w:type="dxa"/>
          </w:tcPr>
          <w:p>
            <w:pPr>
              <w:pStyle w:val="TableParagraph"/>
              <w:spacing w:before="38"/>
              <w:jc w:val="center"/>
              <w:rPr>
                <w:rFonts w:ascii="Arial"/>
                <w:sz w:val="18"/>
              </w:rPr>
            </w:pPr>
            <w:r>
              <w:rPr>
                <w:rFonts w:ascii="Arial"/>
                <w:sz w:val="18"/>
              </w:rPr>
              <w:t>3</w:t>
            </w:r>
          </w:p>
        </w:tc>
        <w:tc>
          <w:tcPr>
            <w:tcW w:w="426" w:type="dxa"/>
          </w:tcPr>
          <w:p>
            <w:pPr>
              <w:pStyle w:val="TableParagraph"/>
              <w:spacing w:before="38"/>
              <w:jc w:val="center"/>
              <w:rPr>
                <w:rFonts w:ascii="Arial"/>
                <w:sz w:val="18"/>
              </w:rPr>
            </w:pPr>
            <w:r>
              <w:rPr>
                <w:rFonts w:ascii="Arial"/>
                <w:sz w:val="18"/>
              </w:rPr>
              <w:t>1</w:t>
            </w:r>
          </w:p>
        </w:tc>
        <w:tc>
          <w:tcPr>
            <w:tcW w:w="425" w:type="dxa"/>
          </w:tcPr>
          <w:p>
            <w:pPr>
              <w:pStyle w:val="TableParagraph"/>
              <w:spacing w:before="38"/>
              <w:ind w:right="1"/>
              <w:jc w:val="center"/>
              <w:rPr>
                <w:rFonts w:ascii="Arial"/>
                <w:sz w:val="18"/>
              </w:rPr>
            </w:pPr>
            <w:r>
              <w:rPr>
                <w:rFonts w:ascii="Arial"/>
                <w:sz w:val="18"/>
              </w:rPr>
              <w:t>1</w:t>
            </w:r>
          </w:p>
        </w:tc>
        <w:tc>
          <w:tcPr>
            <w:tcW w:w="566" w:type="dxa"/>
          </w:tcPr>
          <w:p>
            <w:pPr>
              <w:pStyle w:val="TableParagraph"/>
              <w:spacing w:line="204" w:lineRule="exact"/>
              <w:ind w:left="1"/>
              <w:jc w:val="center"/>
              <w:rPr>
                <w:rFonts w:ascii="Arial"/>
                <w:b/>
                <w:sz w:val="18"/>
              </w:rPr>
            </w:pPr>
            <w:r>
              <w:rPr>
                <w:rFonts w:ascii="Arial"/>
                <w:b/>
                <w:sz w:val="18"/>
              </w:rPr>
              <w:t>4</w:t>
            </w:r>
          </w:p>
        </w:tc>
      </w:tr>
      <w:tr>
        <w:trPr>
          <w:trHeight w:val="274" w:hRule="exact"/>
        </w:trPr>
        <w:tc>
          <w:tcPr>
            <w:tcW w:w="2268" w:type="dxa"/>
            <w:shd w:val="clear" w:color="auto" w:fill="FFBF00"/>
          </w:tcPr>
          <w:p>
            <w:pPr>
              <w:pStyle w:val="TableParagraph"/>
              <w:spacing w:line="205" w:lineRule="exact"/>
              <w:ind w:left="103" w:right="363"/>
              <w:rPr>
                <w:rFonts w:ascii="Arial"/>
                <w:sz w:val="18"/>
              </w:rPr>
            </w:pPr>
            <w:r>
              <w:rPr>
                <w:rFonts w:ascii="Arial"/>
                <w:sz w:val="18"/>
              </w:rPr>
              <w:t>Espalda</w:t>
            </w:r>
          </w:p>
        </w:tc>
        <w:tc>
          <w:tcPr>
            <w:tcW w:w="426" w:type="dxa"/>
          </w:tcPr>
          <w:p>
            <w:pPr>
              <w:pStyle w:val="TableParagraph"/>
              <w:spacing w:before="26"/>
              <w:ind w:right="1"/>
              <w:jc w:val="center"/>
              <w:rPr>
                <w:rFonts w:ascii="Arial"/>
                <w:sz w:val="18"/>
              </w:rPr>
            </w:pPr>
            <w:r>
              <w:rPr>
                <w:rFonts w:ascii="Arial"/>
                <w:sz w:val="18"/>
              </w:rPr>
              <w:t>3</w:t>
            </w:r>
          </w:p>
        </w:tc>
        <w:tc>
          <w:tcPr>
            <w:tcW w:w="426" w:type="dxa"/>
          </w:tcPr>
          <w:p>
            <w:pPr>
              <w:pStyle w:val="TableParagraph"/>
              <w:spacing w:before="26"/>
              <w:jc w:val="center"/>
              <w:rPr>
                <w:rFonts w:ascii="Arial"/>
                <w:sz w:val="18"/>
              </w:rPr>
            </w:pPr>
            <w:r>
              <w:rPr>
                <w:rFonts w:ascii="Arial"/>
                <w:sz w:val="18"/>
              </w:rPr>
              <w:t>1</w:t>
            </w:r>
          </w:p>
        </w:tc>
        <w:tc>
          <w:tcPr>
            <w:tcW w:w="425" w:type="dxa"/>
          </w:tcPr>
          <w:p>
            <w:pPr>
              <w:pStyle w:val="TableParagraph"/>
              <w:spacing w:before="26"/>
              <w:jc w:val="center"/>
              <w:rPr>
                <w:rFonts w:ascii="Arial"/>
                <w:sz w:val="18"/>
              </w:rPr>
            </w:pPr>
            <w:r>
              <w:rPr>
                <w:rFonts w:ascii="Arial"/>
                <w:sz w:val="18"/>
              </w:rPr>
              <w:t>1</w:t>
            </w:r>
          </w:p>
        </w:tc>
        <w:tc>
          <w:tcPr>
            <w:tcW w:w="566" w:type="dxa"/>
          </w:tcPr>
          <w:p>
            <w:pPr>
              <w:pStyle w:val="TableParagraph"/>
              <w:spacing w:line="204" w:lineRule="exact"/>
              <w:ind w:left="1"/>
              <w:jc w:val="center"/>
              <w:rPr>
                <w:rFonts w:ascii="Arial"/>
                <w:b/>
                <w:sz w:val="18"/>
              </w:rPr>
            </w:pPr>
            <w:r>
              <w:rPr>
                <w:rFonts w:ascii="Arial"/>
                <w:b/>
                <w:sz w:val="18"/>
              </w:rPr>
              <w:t>4</w:t>
            </w:r>
          </w:p>
        </w:tc>
      </w:tr>
      <w:tr>
        <w:trPr>
          <w:trHeight w:val="278" w:hRule="exact"/>
        </w:trPr>
        <w:tc>
          <w:tcPr>
            <w:tcW w:w="2268" w:type="dxa"/>
            <w:shd w:val="clear" w:color="auto" w:fill="FFBF00"/>
          </w:tcPr>
          <w:p>
            <w:pPr>
              <w:pStyle w:val="TableParagraph"/>
              <w:spacing w:before="29"/>
              <w:ind w:left="103" w:right="363"/>
              <w:rPr>
                <w:rFonts w:ascii="Arial"/>
                <w:sz w:val="18"/>
              </w:rPr>
            </w:pPr>
            <w:r>
              <w:rPr>
                <w:rFonts w:ascii="Arial"/>
                <w:sz w:val="18"/>
              </w:rPr>
              <w:t>Brazo y Codo</w:t>
            </w:r>
          </w:p>
        </w:tc>
        <w:tc>
          <w:tcPr>
            <w:tcW w:w="426" w:type="dxa"/>
          </w:tcPr>
          <w:p>
            <w:pPr>
              <w:pStyle w:val="TableParagraph"/>
              <w:spacing w:before="29"/>
              <w:ind w:right="1"/>
              <w:jc w:val="center"/>
              <w:rPr>
                <w:rFonts w:ascii="Arial"/>
                <w:sz w:val="18"/>
              </w:rPr>
            </w:pPr>
            <w:r>
              <w:rPr>
                <w:rFonts w:ascii="Arial"/>
                <w:sz w:val="18"/>
              </w:rPr>
              <w:t>2</w:t>
            </w:r>
          </w:p>
        </w:tc>
        <w:tc>
          <w:tcPr>
            <w:tcW w:w="426" w:type="dxa"/>
          </w:tcPr>
          <w:p>
            <w:pPr>
              <w:pStyle w:val="TableParagraph"/>
              <w:spacing w:before="29"/>
              <w:jc w:val="center"/>
              <w:rPr>
                <w:rFonts w:ascii="Arial"/>
                <w:sz w:val="18"/>
              </w:rPr>
            </w:pPr>
            <w:r>
              <w:rPr>
                <w:rFonts w:ascii="Arial"/>
                <w:sz w:val="18"/>
              </w:rPr>
              <w:t>1</w:t>
            </w:r>
          </w:p>
        </w:tc>
        <w:tc>
          <w:tcPr>
            <w:tcW w:w="425" w:type="dxa"/>
          </w:tcPr>
          <w:p>
            <w:pPr>
              <w:pStyle w:val="TableParagraph"/>
              <w:spacing w:before="29"/>
              <w:ind w:right="1"/>
              <w:jc w:val="center"/>
              <w:rPr>
                <w:rFonts w:ascii="Arial"/>
                <w:sz w:val="18"/>
              </w:rPr>
            </w:pPr>
            <w:r>
              <w:rPr>
                <w:rFonts w:ascii="Arial"/>
                <w:sz w:val="18"/>
              </w:rPr>
              <w:t>1</w:t>
            </w:r>
          </w:p>
        </w:tc>
        <w:tc>
          <w:tcPr>
            <w:tcW w:w="566" w:type="dxa"/>
          </w:tcPr>
          <w:p>
            <w:pPr>
              <w:pStyle w:val="TableParagraph"/>
              <w:spacing w:line="205" w:lineRule="exact"/>
              <w:ind w:left="1"/>
              <w:jc w:val="center"/>
              <w:rPr>
                <w:rFonts w:ascii="Arial"/>
                <w:b/>
                <w:sz w:val="18"/>
              </w:rPr>
            </w:pPr>
            <w:r>
              <w:rPr>
                <w:rFonts w:ascii="Arial"/>
                <w:b/>
                <w:sz w:val="18"/>
              </w:rPr>
              <w:t>3</w:t>
            </w:r>
          </w:p>
        </w:tc>
      </w:tr>
      <w:tr>
        <w:trPr>
          <w:trHeight w:val="282" w:hRule="exact"/>
        </w:trPr>
        <w:tc>
          <w:tcPr>
            <w:tcW w:w="2268" w:type="dxa"/>
            <w:shd w:val="clear" w:color="auto" w:fill="FFBF00"/>
          </w:tcPr>
          <w:p>
            <w:pPr>
              <w:pStyle w:val="TableParagraph"/>
              <w:spacing w:line="205" w:lineRule="exact"/>
              <w:ind w:left="103" w:right="363"/>
              <w:rPr>
                <w:rFonts w:ascii="Arial" w:hAnsi="Arial"/>
                <w:sz w:val="18"/>
              </w:rPr>
            </w:pPr>
            <w:r>
              <w:rPr>
                <w:rFonts w:ascii="Arial" w:hAnsi="Arial"/>
                <w:sz w:val="18"/>
              </w:rPr>
              <w:t>Muñeca, mano, dedo</w:t>
            </w:r>
          </w:p>
        </w:tc>
        <w:tc>
          <w:tcPr>
            <w:tcW w:w="426" w:type="dxa"/>
          </w:tcPr>
          <w:p>
            <w:pPr>
              <w:pStyle w:val="TableParagraph"/>
              <w:spacing w:before="30"/>
              <w:ind w:right="1"/>
              <w:jc w:val="center"/>
              <w:rPr>
                <w:rFonts w:ascii="Arial"/>
                <w:sz w:val="18"/>
              </w:rPr>
            </w:pPr>
            <w:r>
              <w:rPr>
                <w:rFonts w:ascii="Arial"/>
                <w:sz w:val="18"/>
              </w:rPr>
              <w:t>3</w:t>
            </w:r>
          </w:p>
        </w:tc>
        <w:tc>
          <w:tcPr>
            <w:tcW w:w="426" w:type="dxa"/>
          </w:tcPr>
          <w:p>
            <w:pPr>
              <w:pStyle w:val="TableParagraph"/>
              <w:spacing w:before="30"/>
              <w:jc w:val="center"/>
              <w:rPr>
                <w:rFonts w:ascii="Arial"/>
                <w:sz w:val="18"/>
              </w:rPr>
            </w:pPr>
            <w:r>
              <w:rPr>
                <w:rFonts w:ascii="Arial"/>
                <w:sz w:val="18"/>
              </w:rPr>
              <w:t>1</w:t>
            </w:r>
          </w:p>
        </w:tc>
        <w:tc>
          <w:tcPr>
            <w:tcW w:w="425" w:type="dxa"/>
          </w:tcPr>
          <w:p>
            <w:pPr>
              <w:pStyle w:val="TableParagraph"/>
              <w:spacing w:before="30"/>
              <w:jc w:val="center"/>
              <w:rPr>
                <w:rFonts w:ascii="Arial"/>
                <w:sz w:val="18"/>
              </w:rPr>
            </w:pPr>
            <w:r>
              <w:rPr>
                <w:rFonts w:ascii="Arial"/>
                <w:sz w:val="18"/>
              </w:rPr>
              <w:t>1</w:t>
            </w:r>
          </w:p>
        </w:tc>
        <w:tc>
          <w:tcPr>
            <w:tcW w:w="566" w:type="dxa"/>
          </w:tcPr>
          <w:p>
            <w:pPr>
              <w:pStyle w:val="TableParagraph"/>
              <w:spacing w:line="204" w:lineRule="exact"/>
              <w:ind w:left="1"/>
              <w:jc w:val="center"/>
              <w:rPr>
                <w:rFonts w:ascii="Arial"/>
                <w:b/>
                <w:sz w:val="18"/>
              </w:rPr>
            </w:pPr>
            <w:r>
              <w:rPr>
                <w:rFonts w:ascii="Arial"/>
                <w:b/>
                <w:sz w:val="18"/>
              </w:rPr>
              <w:t>4</w:t>
            </w:r>
          </w:p>
        </w:tc>
      </w:tr>
      <w:tr>
        <w:trPr>
          <w:trHeight w:val="287" w:hRule="exact"/>
        </w:trPr>
        <w:tc>
          <w:tcPr>
            <w:tcW w:w="2268" w:type="dxa"/>
            <w:shd w:val="clear" w:color="auto" w:fill="FFBF00"/>
          </w:tcPr>
          <w:p>
            <w:pPr>
              <w:pStyle w:val="TableParagraph"/>
              <w:spacing w:before="32"/>
              <w:ind w:left="103" w:right="363"/>
              <w:rPr>
                <w:rFonts w:ascii="Arial"/>
                <w:sz w:val="18"/>
              </w:rPr>
            </w:pPr>
            <w:r>
              <w:rPr>
                <w:rFonts w:ascii="Arial"/>
                <w:sz w:val="18"/>
              </w:rPr>
              <w:t>Piernas y tobillos</w:t>
            </w:r>
          </w:p>
        </w:tc>
        <w:tc>
          <w:tcPr>
            <w:tcW w:w="426" w:type="dxa"/>
          </w:tcPr>
          <w:p>
            <w:pPr>
              <w:pStyle w:val="TableParagraph"/>
              <w:spacing w:before="32"/>
              <w:ind w:right="2"/>
              <w:jc w:val="center"/>
              <w:rPr>
                <w:rFonts w:ascii="Arial"/>
                <w:sz w:val="18"/>
              </w:rPr>
            </w:pPr>
            <w:r>
              <w:rPr>
                <w:rFonts w:ascii="Arial"/>
                <w:sz w:val="18"/>
              </w:rPr>
              <w:t>3</w:t>
            </w:r>
          </w:p>
        </w:tc>
        <w:tc>
          <w:tcPr>
            <w:tcW w:w="426" w:type="dxa"/>
          </w:tcPr>
          <w:p>
            <w:pPr>
              <w:pStyle w:val="TableParagraph"/>
              <w:spacing w:before="32"/>
              <w:ind w:right="1"/>
              <w:jc w:val="center"/>
              <w:rPr>
                <w:rFonts w:ascii="Arial"/>
                <w:sz w:val="18"/>
              </w:rPr>
            </w:pPr>
            <w:r>
              <w:rPr>
                <w:rFonts w:ascii="Arial"/>
                <w:sz w:val="18"/>
              </w:rPr>
              <w:t>1</w:t>
            </w:r>
          </w:p>
        </w:tc>
        <w:tc>
          <w:tcPr>
            <w:tcW w:w="425" w:type="dxa"/>
          </w:tcPr>
          <w:p>
            <w:pPr>
              <w:pStyle w:val="TableParagraph"/>
              <w:spacing w:before="32"/>
              <w:jc w:val="center"/>
              <w:rPr>
                <w:rFonts w:ascii="Arial"/>
                <w:sz w:val="18"/>
              </w:rPr>
            </w:pPr>
            <w:r>
              <w:rPr>
                <w:rFonts w:ascii="Arial"/>
                <w:sz w:val="18"/>
              </w:rPr>
              <w:t>1</w:t>
            </w:r>
          </w:p>
        </w:tc>
        <w:tc>
          <w:tcPr>
            <w:tcW w:w="566" w:type="dxa"/>
          </w:tcPr>
          <w:p>
            <w:pPr>
              <w:pStyle w:val="TableParagraph"/>
              <w:spacing w:line="204" w:lineRule="exact"/>
              <w:ind w:left="1"/>
              <w:jc w:val="center"/>
              <w:rPr>
                <w:rFonts w:ascii="Arial"/>
                <w:b/>
                <w:sz w:val="18"/>
              </w:rPr>
            </w:pPr>
            <w:r>
              <w:rPr>
                <w:rFonts w:ascii="Arial"/>
                <w:b/>
                <w:sz w:val="18"/>
              </w:rPr>
              <w:t>4</w:t>
            </w:r>
          </w:p>
        </w:tc>
      </w:tr>
    </w:tbl>
    <w:p>
      <w:pPr>
        <w:pStyle w:val="BodyText"/>
        <w:spacing w:before="6"/>
        <w:rPr>
          <w:sz w:val="17"/>
        </w:rPr>
      </w:pPr>
    </w:p>
    <w:p>
      <w:pPr>
        <w:spacing w:before="0"/>
        <w:ind w:left="1782" w:right="668" w:firstLine="0"/>
        <w:jc w:val="left"/>
        <w:rPr>
          <w:sz w:val="18"/>
        </w:rPr>
      </w:pPr>
      <w:r>
        <w:rPr>
          <w:sz w:val="18"/>
        </w:rPr>
        <w:t>Figure 5. Placing new tire</w:t>
      </w:r>
    </w:p>
    <w:p>
      <w:pPr>
        <w:pStyle w:val="BodyText"/>
        <w:rPr>
          <w:sz w:val="18"/>
        </w:rPr>
      </w:pPr>
    </w:p>
    <w:p>
      <w:pPr>
        <w:pStyle w:val="BodyText"/>
        <w:rPr>
          <w:sz w:val="18"/>
        </w:rPr>
      </w:pPr>
    </w:p>
    <w:p>
      <w:pPr>
        <w:spacing w:before="0"/>
        <w:ind w:left="270" w:right="677" w:firstLine="0"/>
        <w:jc w:val="both"/>
        <w:rPr>
          <w:sz w:val="18"/>
        </w:rPr>
      </w:pPr>
      <w:r>
        <w:rPr>
          <w:sz w:val="18"/>
        </w:rPr>
        <w:t>Figure 5 and figure 6 show the operator by placing the new tire,  can be seen in the evaluation having score of 10 (very high value)  in shoulders, with moderate values of 6 in neck, back, arms and elbows and wrists, hands and</w:t>
      </w:r>
      <w:r>
        <w:rPr>
          <w:spacing w:val="-30"/>
          <w:sz w:val="18"/>
        </w:rPr>
        <w:t> </w:t>
      </w:r>
      <w:r>
        <w:rPr>
          <w:sz w:val="18"/>
        </w:rPr>
        <w:t>fingers.</w:t>
      </w:r>
    </w:p>
    <w:tbl>
      <w:tblPr>
        <w:tblW w:w="0" w:type="auto"/>
        <w:jc w:val="left"/>
        <w:tblInd w:w="4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68"/>
        <w:gridCol w:w="426"/>
        <w:gridCol w:w="426"/>
        <w:gridCol w:w="425"/>
        <w:gridCol w:w="566"/>
      </w:tblGrid>
      <w:tr>
        <w:trPr>
          <w:trHeight w:val="287" w:hRule="exact"/>
        </w:trPr>
        <w:tc>
          <w:tcPr>
            <w:tcW w:w="4111" w:type="dxa"/>
            <w:gridSpan w:val="5"/>
          </w:tcPr>
          <w:p>
            <w:pPr>
              <w:pStyle w:val="TableParagraph"/>
              <w:spacing w:before="34"/>
              <w:ind w:left="103"/>
              <w:rPr>
                <w:rFonts w:ascii="Arial"/>
                <w:sz w:val="18"/>
              </w:rPr>
            </w:pPr>
            <w:r>
              <w:rPr>
                <w:rFonts w:ascii="Arial"/>
                <w:sz w:val="18"/>
              </w:rPr>
              <w:t>Atornillar Llanta</w:t>
            </w:r>
          </w:p>
        </w:tc>
      </w:tr>
      <w:tr>
        <w:trPr>
          <w:trHeight w:val="1350" w:hRule="exact"/>
        </w:trPr>
        <w:tc>
          <w:tcPr>
            <w:tcW w:w="2268" w:type="dxa"/>
          </w:tcPr>
          <w:p>
            <w:pPr>
              <w:pStyle w:val="TableParagraph"/>
              <w:ind w:left="753"/>
              <w:rPr>
                <w:sz w:val="20"/>
              </w:rPr>
            </w:pPr>
            <w:r>
              <w:rPr>
                <w:sz w:val="20"/>
              </w:rPr>
              <w:drawing>
                <wp:inline distT="0" distB="0" distL="0" distR="0">
                  <wp:extent cx="474543" cy="847344"/>
                  <wp:effectExtent l="0" t="0" r="0" b="0"/>
                  <wp:docPr id="219" name="image116.jpeg" descr=""/>
                  <wp:cNvGraphicFramePr>
                    <a:graphicFrameLocks noChangeAspect="1"/>
                  </wp:cNvGraphicFramePr>
                  <a:graphic>
                    <a:graphicData uri="http://schemas.openxmlformats.org/drawingml/2006/picture">
                      <pic:pic>
                        <pic:nvPicPr>
                          <pic:cNvPr id="220" name="image116.jpeg"/>
                          <pic:cNvPicPr/>
                        </pic:nvPicPr>
                        <pic:blipFill>
                          <a:blip r:embed="rId200" cstate="print"/>
                          <a:stretch>
                            <a:fillRect/>
                          </a:stretch>
                        </pic:blipFill>
                        <pic:spPr>
                          <a:xfrm>
                            <a:off x="0" y="0"/>
                            <a:ext cx="474543" cy="847344"/>
                          </a:xfrm>
                          <a:prstGeom prst="rect">
                            <a:avLst/>
                          </a:prstGeom>
                        </pic:spPr>
                      </pic:pic>
                    </a:graphicData>
                  </a:graphic>
                </wp:inline>
              </w:drawing>
            </w:r>
            <w:r>
              <w:rPr>
                <w:sz w:val="20"/>
              </w:rPr>
            </w:r>
          </w:p>
        </w:tc>
        <w:tc>
          <w:tcPr>
            <w:tcW w:w="426" w:type="dxa"/>
            <w:textDirection w:val="btLr"/>
          </w:tcPr>
          <w:p>
            <w:pPr>
              <w:pStyle w:val="TableParagraph"/>
              <w:spacing w:before="104"/>
              <w:ind w:left="254"/>
              <w:rPr>
                <w:rFonts w:ascii="Arial"/>
                <w:sz w:val="18"/>
              </w:rPr>
            </w:pPr>
            <w:r>
              <w:rPr>
                <w:rFonts w:ascii="Arial"/>
                <w:spacing w:val="-1"/>
                <w:sz w:val="18"/>
              </w:rPr>
              <w:t>Intensi</w:t>
            </w:r>
            <w:r>
              <w:rPr>
                <w:rFonts w:ascii="Arial"/>
                <w:sz w:val="18"/>
              </w:rPr>
              <w:t>d</w:t>
            </w:r>
            <w:r>
              <w:rPr>
                <w:rFonts w:ascii="Arial"/>
                <w:spacing w:val="-1"/>
                <w:sz w:val="18"/>
              </w:rPr>
              <w:t>ad</w:t>
            </w:r>
          </w:p>
        </w:tc>
        <w:tc>
          <w:tcPr>
            <w:tcW w:w="426" w:type="dxa"/>
            <w:textDirection w:val="btLr"/>
          </w:tcPr>
          <w:p>
            <w:pPr>
              <w:pStyle w:val="TableParagraph"/>
              <w:spacing w:before="104"/>
              <w:ind w:left="309"/>
              <w:rPr>
                <w:rFonts w:ascii="Arial" w:hAnsi="Arial"/>
                <w:sz w:val="18"/>
              </w:rPr>
            </w:pPr>
            <w:r>
              <w:rPr>
                <w:rFonts w:ascii="Arial" w:hAnsi="Arial"/>
                <w:spacing w:val="-1"/>
                <w:sz w:val="18"/>
              </w:rPr>
              <w:t>Duración</w:t>
            </w:r>
          </w:p>
        </w:tc>
        <w:tc>
          <w:tcPr>
            <w:tcW w:w="425" w:type="dxa"/>
            <w:textDirection w:val="btLr"/>
          </w:tcPr>
          <w:p>
            <w:pPr>
              <w:pStyle w:val="TableParagraph"/>
              <w:spacing w:before="104"/>
              <w:ind w:left="235"/>
              <w:rPr>
                <w:rFonts w:ascii="Arial"/>
                <w:sz w:val="18"/>
              </w:rPr>
            </w:pPr>
            <w:r>
              <w:rPr>
                <w:rFonts w:ascii="Arial"/>
                <w:sz w:val="18"/>
              </w:rPr>
              <w:t>Por minuto</w:t>
            </w:r>
          </w:p>
        </w:tc>
        <w:tc>
          <w:tcPr>
            <w:tcW w:w="566" w:type="dxa"/>
            <w:textDirection w:val="btLr"/>
          </w:tcPr>
          <w:p>
            <w:pPr>
              <w:pStyle w:val="TableParagraph"/>
              <w:spacing w:before="104"/>
              <w:ind w:left="364"/>
              <w:rPr>
                <w:rFonts w:ascii="Arial"/>
                <w:sz w:val="18"/>
              </w:rPr>
            </w:pPr>
            <w:r>
              <w:rPr>
                <w:rFonts w:ascii="Arial"/>
                <w:spacing w:val="-1"/>
                <w:sz w:val="18"/>
              </w:rPr>
              <w:t>Punta</w:t>
            </w:r>
            <w:r>
              <w:rPr>
                <w:rFonts w:ascii="Arial"/>
                <w:sz w:val="18"/>
              </w:rPr>
              <w:t>je</w:t>
            </w:r>
          </w:p>
        </w:tc>
      </w:tr>
      <w:tr>
        <w:trPr>
          <w:trHeight w:val="307" w:hRule="exact"/>
        </w:trPr>
        <w:tc>
          <w:tcPr>
            <w:tcW w:w="2268" w:type="dxa"/>
            <w:shd w:val="clear" w:color="auto" w:fill="FFBF00"/>
          </w:tcPr>
          <w:p>
            <w:pPr>
              <w:pStyle w:val="TableParagraph"/>
              <w:spacing w:line="205" w:lineRule="exact"/>
              <w:ind w:left="103" w:right="363"/>
              <w:rPr>
                <w:rFonts w:ascii="Arial"/>
                <w:sz w:val="18"/>
              </w:rPr>
            </w:pPr>
            <w:r>
              <w:rPr>
                <w:rFonts w:ascii="Arial"/>
                <w:sz w:val="18"/>
              </w:rPr>
              <w:t>Cuello</w:t>
            </w:r>
          </w:p>
        </w:tc>
        <w:tc>
          <w:tcPr>
            <w:tcW w:w="426" w:type="dxa"/>
          </w:tcPr>
          <w:p>
            <w:pPr>
              <w:pStyle w:val="TableParagraph"/>
              <w:spacing w:line="205" w:lineRule="exact"/>
              <w:jc w:val="center"/>
              <w:rPr>
                <w:rFonts w:ascii="Arial"/>
                <w:sz w:val="18"/>
              </w:rPr>
            </w:pPr>
            <w:r>
              <w:rPr>
                <w:rFonts w:ascii="Arial"/>
                <w:sz w:val="18"/>
              </w:rPr>
              <w:t>2</w:t>
            </w:r>
          </w:p>
        </w:tc>
        <w:tc>
          <w:tcPr>
            <w:tcW w:w="426" w:type="dxa"/>
          </w:tcPr>
          <w:p>
            <w:pPr>
              <w:pStyle w:val="TableParagraph"/>
              <w:spacing w:line="205" w:lineRule="exact"/>
              <w:jc w:val="center"/>
              <w:rPr>
                <w:rFonts w:ascii="Arial"/>
                <w:sz w:val="18"/>
              </w:rPr>
            </w:pPr>
            <w:r>
              <w:rPr>
                <w:rFonts w:ascii="Arial"/>
                <w:sz w:val="18"/>
              </w:rPr>
              <w:t>3</w:t>
            </w:r>
          </w:p>
        </w:tc>
        <w:tc>
          <w:tcPr>
            <w:tcW w:w="425" w:type="dxa"/>
          </w:tcPr>
          <w:p>
            <w:pPr>
              <w:pStyle w:val="TableParagraph"/>
              <w:spacing w:line="205" w:lineRule="exact"/>
              <w:jc w:val="center"/>
              <w:rPr>
                <w:rFonts w:ascii="Arial"/>
                <w:sz w:val="18"/>
              </w:rPr>
            </w:pPr>
            <w:r>
              <w:rPr>
                <w:rFonts w:ascii="Arial"/>
                <w:sz w:val="18"/>
              </w:rPr>
              <w:t>1</w:t>
            </w:r>
          </w:p>
        </w:tc>
        <w:tc>
          <w:tcPr>
            <w:tcW w:w="566" w:type="dxa"/>
          </w:tcPr>
          <w:p>
            <w:pPr>
              <w:pStyle w:val="TableParagraph"/>
              <w:spacing w:line="204" w:lineRule="exact"/>
              <w:ind w:right="225"/>
              <w:jc w:val="right"/>
              <w:rPr>
                <w:rFonts w:ascii="Arial"/>
                <w:b/>
                <w:sz w:val="18"/>
              </w:rPr>
            </w:pPr>
            <w:r>
              <w:rPr>
                <w:rFonts w:ascii="Arial"/>
                <w:b/>
                <w:sz w:val="18"/>
              </w:rPr>
              <w:t>6</w:t>
            </w:r>
          </w:p>
        </w:tc>
      </w:tr>
      <w:tr>
        <w:trPr>
          <w:trHeight w:val="299" w:hRule="exact"/>
        </w:trPr>
        <w:tc>
          <w:tcPr>
            <w:tcW w:w="2268" w:type="dxa"/>
            <w:shd w:val="clear" w:color="auto" w:fill="FFBF00"/>
          </w:tcPr>
          <w:p>
            <w:pPr>
              <w:pStyle w:val="TableParagraph"/>
              <w:spacing w:before="38"/>
              <w:ind w:left="103" w:right="363"/>
              <w:rPr>
                <w:rFonts w:ascii="Arial"/>
                <w:sz w:val="18"/>
              </w:rPr>
            </w:pPr>
            <w:r>
              <w:rPr>
                <w:rFonts w:ascii="Arial"/>
                <w:sz w:val="18"/>
              </w:rPr>
              <w:t>Hombro</w:t>
            </w:r>
          </w:p>
        </w:tc>
        <w:tc>
          <w:tcPr>
            <w:tcW w:w="426" w:type="dxa"/>
          </w:tcPr>
          <w:p>
            <w:pPr>
              <w:pStyle w:val="TableParagraph"/>
              <w:spacing w:before="38"/>
              <w:jc w:val="center"/>
              <w:rPr>
                <w:rFonts w:ascii="Arial"/>
                <w:sz w:val="18"/>
              </w:rPr>
            </w:pPr>
            <w:r>
              <w:rPr>
                <w:rFonts w:ascii="Arial"/>
                <w:sz w:val="18"/>
              </w:rPr>
              <w:t>3</w:t>
            </w:r>
          </w:p>
        </w:tc>
        <w:tc>
          <w:tcPr>
            <w:tcW w:w="426" w:type="dxa"/>
          </w:tcPr>
          <w:p>
            <w:pPr>
              <w:pStyle w:val="TableParagraph"/>
              <w:spacing w:before="38"/>
              <w:jc w:val="center"/>
              <w:rPr>
                <w:rFonts w:ascii="Arial"/>
                <w:sz w:val="18"/>
              </w:rPr>
            </w:pPr>
            <w:r>
              <w:rPr>
                <w:rFonts w:ascii="Arial"/>
                <w:sz w:val="18"/>
              </w:rPr>
              <w:t>3</w:t>
            </w:r>
          </w:p>
        </w:tc>
        <w:tc>
          <w:tcPr>
            <w:tcW w:w="425" w:type="dxa"/>
          </w:tcPr>
          <w:p>
            <w:pPr>
              <w:pStyle w:val="TableParagraph"/>
              <w:spacing w:before="38"/>
              <w:ind w:right="1"/>
              <w:jc w:val="center"/>
              <w:rPr>
                <w:rFonts w:ascii="Arial"/>
                <w:sz w:val="18"/>
              </w:rPr>
            </w:pPr>
            <w:r>
              <w:rPr>
                <w:rFonts w:ascii="Arial"/>
                <w:sz w:val="18"/>
              </w:rPr>
              <w:t>1</w:t>
            </w:r>
          </w:p>
        </w:tc>
        <w:tc>
          <w:tcPr>
            <w:tcW w:w="566" w:type="dxa"/>
          </w:tcPr>
          <w:p>
            <w:pPr>
              <w:pStyle w:val="TableParagraph"/>
              <w:spacing w:line="205" w:lineRule="exact"/>
              <w:ind w:right="176"/>
              <w:jc w:val="right"/>
              <w:rPr>
                <w:rFonts w:ascii="Arial"/>
                <w:b/>
                <w:sz w:val="18"/>
              </w:rPr>
            </w:pPr>
            <w:r>
              <w:rPr>
                <w:rFonts w:ascii="Arial"/>
                <w:b/>
                <w:sz w:val="18"/>
              </w:rPr>
              <w:t>10</w:t>
            </w:r>
          </w:p>
        </w:tc>
      </w:tr>
      <w:tr>
        <w:trPr>
          <w:trHeight w:val="274" w:hRule="exact"/>
        </w:trPr>
        <w:tc>
          <w:tcPr>
            <w:tcW w:w="2268" w:type="dxa"/>
            <w:shd w:val="clear" w:color="auto" w:fill="FFBF00"/>
          </w:tcPr>
          <w:p>
            <w:pPr>
              <w:pStyle w:val="TableParagraph"/>
              <w:spacing w:line="205" w:lineRule="exact"/>
              <w:ind w:left="103" w:right="363"/>
              <w:rPr>
                <w:rFonts w:ascii="Arial"/>
                <w:sz w:val="18"/>
              </w:rPr>
            </w:pPr>
            <w:r>
              <w:rPr>
                <w:rFonts w:ascii="Arial"/>
                <w:sz w:val="18"/>
              </w:rPr>
              <w:t>Espalda</w:t>
            </w:r>
          </w:p>
        </w:tc>
        <w:tc>
          <w:tcPr>
            <w:tcW w:w="426" w:type="dxa"/>
          </w:tcPr>
          <w:p>
            <w:pPr>
              <w:pStyle w:val="TableParagraph"/>
              <w:spacing w:line="205" w:lineRule="exact"/>
              <w:ind w:right="1"/>
              <w:jc w:val="center"/>
              <w:rPr>
                <w:rFonts w:ascii="Arial"/>
                <w:sz w:val="18"/>
              </w:rPr>
            </w:pPr>
            <w:r>
              <w:rPr>
                <w:rFonts w:ascii="Arial"/>
                <w:sz w:val="18"/>
              </w:rPr>
              <w:t>2</w:t>
            </w:r>
          </w:p>
        </w:tc>
        <w:tc>
          <w:tcPr>
            <w:tcW w:w="426" w:type="dxa"/>
          </w:tcPr>
          <w:p>
            <w:pPr>
              <w:pStyle w:val="TableParagraph"/>
              <w:spacing w:line="205" w:lineRule="exact"/>
              <w:jc w:val="center"/>
              <w:rPr>
                <w:rFonts w:ascii="Arial"/>
                <w:sz w:val="18"/>
              </w:rPr>
            </w:pPr>
            <w:r>
              <w:rPr>
                <w:rFonts w:ascii="Arial"/>
                <w:sz w:val="18"/>
              </w:rPr>
              <w:t>3</w:t>
            </w:r>
          </w:p>
        </w:tc>
        <w:tc>
          <w:tcPr>
            <w:tcW w:w="425" w:type="dxa"/>
          </w:tcPr>
          <w:p>
            <w:pPr>
              <w:pStyle w:val="TableParagraph"/>
              <w:spacing w:line="205" w:lineRule="exact"/>
              <w:ind w:right="1"/>
              <w:jc w:val="center"/>
              <w:rPr>
                <w:rFonts w:ascii="Arial"/>
                <w:sz w:val="18"/>
              </w:rPr>
            </w:pPr>
            <w:r>
              <w:rPr>
                <w:rFonts w:ascii="Arial"/>
                <w:sz w:val="18"/>
              </w:rPr>
              <w:t>1</w:t>
            </w:r>
          </w:p>
        </w:tc>
        <w:tc>
          <w:tcPr>
            <w:tcW w:w="566" w:type="dxa"/>
          </w:tcPr>
          <w:p>
            <w:pPr>
              <w:pStyle w:val="TableParagraph"/>
              <w:spacing w:line="204" w:lineRule="exact"/>
              <w:ind w:right="225"/>
              <w:jc w:val="right"/>
              <w:rPr>
                <w:rFonts w:ascii="Arial"/>
                <w:b/>
                <w:sz w:val="18"/>
              </w:rPr>
            </w:pPr>
            <w:r>
              <w:rPr>
                <w:rFonts w:ascii="Arial"/>
                <w:b/>
                <w:sz w:val="18"/>
              </w:rPr>
              <w:t>6</w:t>
            </w:r>
          </w:p>
        </w:tc>
      </w:tr>
      <w:tr>
        <w:trPr>
          <w:trHeight w:val="278" w:hRule="exact"/>
        </w:trPr>
        <w:tc>
          <w:tcPr>
            <w:tcW w:w="2268" w:type="dxa"/>
            <w:shd w:val="clear" w:color="auto" w:fill="FFBF00"/>
          </w:tcPr>
          <w:p>
            <w:pPr>
              <w:pStyle w:val="TableParagraph"/>
              <w:spacing w:before="29"/>
              <w:ind w:left="103" w:right="363"/>
              <w:rPr>
                <w:rFonts w:ascii="Arial"/>
                <w:sz w:val="18"/>
              </w:rPr>
            </w:pPr>
            <w:r>
              <w:rPr>
                <w:rFonts w:ascii="Arial"/>
                <w:sz w:val="18"/>
              </w:rPr>
              <w:t>Brazo y Codo</w:t>
            </w:r>
          </w:p>
        </w:tc>
        <w:tc>
          <w:tcPr>
            <w:tcW w:w="426" w:type="dxa"/>
          </w:tcPr>
          <w:p>
            <w:pPr>
              <w:pStyle w:val="TableParagraph"/>
              <w:spacing w:line="205" w:lineRule="exact"/>
              <w:ind w:right="1"/>
              <w:jc w:val="center"/>
              <w:rPr>
                <w:rFonts w:ascii="Arial"/>
                <w:sz w:val="18"/>
              </w:rPr>
            </w:pPr>
            <w:r>
              <w:rPr>
                <w:rFonts w:ascii="Arial"/>
                <w:sz w:val="18"/>
              </w:rPr>
              <w:t>2</w:t>
            </w:r>
          </w:p>
        </w:tc>
        <w:tc>
          <w:tcPr>
            <w:tcW w:w="426" w:type="dxa"/>
          </w:tcPr>
          <w:p>
            <w:pPr>
              <w:pStyle w:val="TableParagraph"/>
              <w:spacing w:line="205" w:lineRule="exact"/>
              <w:jc w:val="center"/>
              <w:rPr>
                <w:rFonts w:ascii="Arial"/>
                <w:sz w:val="18"/>
              </w:rPr>
            </w:pPr>
            <w:r>
              <w:rPr>
                <w:rFonts w:ascii="Arial"/>
                <w:sz w:val="18"/>
              </w:rPr>
              <w:t>3</w:t>
            </w:r>
          </w:p>
        </w:tc>
        <w:tc>
          <w:tcPr>
            <w:tcW w:w="425" w:type="dxa"/>
          </w:tcPr>
          <w:p>
            <w:pPr>
              <w:pStyle w:val="TableParagraph"/>
              <w:spacing w:line="205" w:lineRule="exact"/>
              <w:jc w:val="center"/>
              <w:rPr>
                <w:rFonts w:ascii="Arial"/>
                <w:sz w:val="18"/>
              </w:rPr>
            </w:pPr>
            <w:r>
              <w:rPr>
                <w:rFonts w:ascii="Arial"/>
                <w:sz w:val="18"/>
              </w:rPr>
              <w:t>1</w:t>
            </w:r>
          </w:p>
        </w:tc>
        <w:tc>
          <w:tcPr>
            <w:tcW w:w="566" w:type="dxa"/>
          </w:tcPr>
          <w:p>
            <w:pPr>
              <w:pStyle w:val="TableParagraph"/>
              <w:spacing w:line="204" w:lineRule="exact"/>
              <w:ind w:right="225"/>
              <w:jc w:val="right"/>
              <w:rPr>
                <w:rFonts w:ascii="Arial"/>
                <w:b/>
                <w:sz w:val="18"/>
              </w:rPr>
            </w:pPr>
            <w:r>
              <w:rPr>
                <w:rFonts w:ascii="Arial"/>
                <w:b/>
                <w:sz w:val="18"/>
              </w:rPr>
              <w:t>6</w:t>
            </w:r>
          </w:p>
        </w:tc>
      </w:tr>
      <w:tr>
        <w:trPr>
          <w:trHeight w:val="282" w:hRule="exact"/>
        </w:trPr>
        <w:tc>
          <w:tcPr>
            <w:tcW w:w="2268" w:type="dxa"/>
            <w:shd w:val="clear" w:color="auto" w:fill="FFBF00"/>
          </w:tcPr>
          <w:p>
            <w:pPr>
              <w:pStyle w:val="TableParagraph"/>
              <w:spacing w:line="205" w:lineRule="exact"/>
              <w:ind w:left="103" w:right="363"/>
              <w:rPr>
                <w:rFonts w:ascii="Arial" w:hAnsi="Arial"/>
                <w:sz w:val="18"/>
              </w:rPr>
            </w:pPr>
            <w:r>
              <w:rPr>
                <w:rFonts w:ascii="Arial" w:hAnsi="Arial"/>
                <w:sz w:val="18"/>
              </w:rPr>
              <w:t>Muñeca, mano, dedo</w:t>
            </w:r>
          </w:p>
        </w:tc>
        <w:tc>
          <w:tcPr>
            <w:tcW w:w="426" w:type="dxa"/>
          </w:tcPr>
          <w:p>
            <w:pPr>
              <w:pStyle w:val="TableParagraph"/>
              <w:spacing w:line="205" w:lineRule="exact"/>
              <w:jc w:val="center"/>
              <w:rPr>
                <w:rFonts w:ascii="Arial"/>
                <w:sz w:val="18"/>
              </w:rPr>
            </w:pPr>
            <w:r>
              <w:rPr>
                <w:rFonts w:ascii="Arial"/>
                <w:sz w:val="18"/>
              </w:rPr>
              <w:t>2</w:t>
            </w:r>
          </w:p>
        </w:tc>
        <w:tc>
          <w:tcPr>
            <w:tcW w:w="426" w:type="dxa"/>
          </w:tcPr>
          <w:p>
            <w:pPr>
              <w:pStyle w:val="TableParagraph"/>
              <w:spacing w:line="205" w:lineRule="exact"/>
              <w:jc w:val="center"/>
              <w:rPr>
                <w:rFonts w:ascii="Arial"/>
                <w:sz w:val="18"/>
              </w:rPr>
            </w:pPr>
            <w:r>
              <w:rPr>
                <w:rFonts w:ascii="Arial"/>
                <w:sz w:val="18"/>
              </w:rPr>
              <w:t>3</w:t>
            </w:r>
          </w:p>
        </w:tc>
        <w:tc>
          <w:tcPr>
            <w:tcW w:w="425" w:type="dxa"/>
          </w:tcPr>
          <w:p>
            <w:pPr>
              <w:pStyle w:val="TableParagraph"/>
              <w:spacing w:line="205" w:lineRule="exact"/>
              <w:jc w:val="center"/>
              <w:rPr>
                <w:rFonts w:ascii="Arial"/>
                <w:sz w:val="18"/>
              </w:rPr>
            </w:pPr>
            <w:r>
              <w:rPr>
                <w:rFonts w:ascii="Arial"/>
                <w:sz w:val="18"/>
              </w:rPr>
              <w:t>1</w:t>
            </w:r>
          </w:p>
        </w:tc>
        <w:tc>
          <w:tcPr>
            <w:tcW w:w="566" w:type="dxa"/>
          </w:tcPr>
          <w:p>
            <w:pPr>
              <w:pStyle w:val="TableParagraph"/>
              <w:spacing w:line="204" w:lineRule="exact"/>
              <w:ind w:right="225"/>
              <w:jc w:val="right"/>
              <w:rPr>
                <w:rFonts w:ascii="Arial"/>
                <w:b/>
                <w:sz w:val="18"/>
              </w:rPr>
            </w:pPr>
            <w:r>
              <w:rPr>
                <w:rFonts w:ascii="Arial"/>
                <w:b/>
                <w:sz w:val="18"/>
              </w:rPr>
              <w:t>6</w:t>
            </w:r>
          </w:p>
        </w:tc>
      </w:tr>
      <w:tr>
        <w:trPr>
          <w:trHeight w:val="286" w:hRule="exact"/>
        </w:trPr>
        <w:tc>
          <w:tcPr>
            <w:tcW w:w="2268" w:type="dxa"/>
            <w:shd w:val="clear" w:color="auto" w:fill="FFBF00"/>
          </w:tcPr>
          <w:p>
            <w:pPr>
              <w:pStyle w:val="TableParagraph"/>
              <w:spacing w:before="32"/>
              <w:ind w:left="103" w:right="363"/>
              <w:rPr>
                <w:rFonts w:ascii="Arial"/>
                <w:sz w:val="18"/>
              </w:rPr>
            </w:pPr>
            <w:r>
              <w:rPr>
                <w:rFonts w:ascii="Arial"/>
                <w:sz w:val="18"/>
              </w:rPr>
              <w:t>Piernas y tobillos</w:t>
            </w:r>
          </w:p>
        </w:tc>
        <w:tc>
          <w:tcPr>
            <w:tcW w:w="426" w:type="dxa"/>
          </w:tcPr>
          <w:p>
            <w:pPr>
              <w:pStyle w:val="TableParagraph"/>
              <w:spacing w:before="32"/>
              <w:ind w:right="2"/>
              <w:jc w:val="center"/>
              <w:rPr>
                <w:rFonts w:ascii="Arial"/>
                <w:sz w:val="18"/>
              </w:rPr>
            </w:pPr>
            <w:r>
              <w:rPr>
                <w:rFonts w:ascii="Arial"/>
                <w:sz w:val="18"/>
              </w:rPr>
              <w:t>1</w:t>
            </w:r>
          </w:p>
        </w:tc>
        <w:tc>
          <w:tcPr>
            <w:tcW w:w="426" w:type="dxa"/>
          </w:tcPr>
          <w:p>
            <w:pPr>
              <w:pStyle w:val="TableParagraph"/>
              <w:spacing w:before="32"/>
              <w:ind w:right="1"/>
              <w:jc w:val="center"/>
              <w:rPr>
                <w:rFonts w:ascii="Arial"/>
                <w:sz w:val="18"/>
              </w:rPr>
            </w:pPr>
            <w:r>
              <w:rPr>
                <w:rFonts w:ascii="Arial"/>
                <w:sz w:val="18"/>
              </w:rPr>
              <w:t>3</w:t>
            </w:r>
          </w:p>
        </w:tc>
        <w:tc>
          <w:tcPr>
            <w:tcW w:w="425" w:type="dxa"/>
          </w:tcPr>
          <w:p>
            <w:pPr>
              <w:pStyle w:val="TableParagraph"/>
              <w:spacing w:before="32"/>
              <w:jc w:val="center"/>
              <w:rPr>
                <w:rFonts w:ascii="Arial"/>
                <w:sz w:val="18"/>
              </w:rPr>
            </w:pPr>
            <w:r>
              <w:rPr>
                <w:rFonts w:ascii="Arial"/>
                <w:sz w:val="18"/>
              </w:rPr>
              <w:t>1</w:t>
            </w:r>
          </w:p>
        </w:tc>
        <w:tc>
          <w:tcPr>
            <w:tcW w:w="566" w:type="dxa"/>
          </w:tcPr>
          <w:p>
            <w:pPr>
              <w:pStyle w:val="TableParagraph"/>
              <w:spacing w:line="204" w:lineRule="exact"/>
              <w:ind w:right="225"/>
              <w:jc w:val="right"/>
              <w:rPr>
                <w:rFonts w:ascii="Arial"/>
                <w:b/>
                <w:sz w:val="18"/>
              </w:rPr>
            </w:pPr>
            <w:r>
              <w:rPr>
                <w:rFonts w:ascii="Arial"/>
                <w:b/>
                <w:sz w:val="18"/>
              </w:rPr>
              <w:t>3</w:t>
            </w:r>
          </w:p>
        </w:tc>
      </w:tr>
    </w:tbl>
    <w:p>
      <w:pPr>
        <w:pStyle w:val="BodyText"/>
        <w:rPr>
          <w:sz w:val="18"/>
        </w:rPr>
      </w:pPr>
    </w:p>
    <w:p>
      <w:pPr>
        <w:spacing w:before="0"/>
        <w:ind w:left="1782" w:right="668" w:firstLine="0"/>
        <w:jc w:val="left"/>
        <w:rPr>
          <w:sz w:val="18"/>
        </w:rPr>
      </w:pPr>
      <w:r>
        <w:rPr>
          <w:sz w:val="18"/>
        </w:rPr>
        <w:t>Figure 6. Placing new tire</w:t>
      </w:r>
    </w:p>
    <w:p>
      <w:pPr>
        <w:pStyle w:val="BodyText"/>
        <w:rPr>
          <w:sz w:val="18"/>
        </w:rPr>
      </w:pPr>
    </w:p>
    <w:p>
      <w:pPr>
        <w:pStyle w:val="BodyText"/>
        <w:spacing w:before="10"/>
        <w:rPr>
          <w:sz w:val="17"/>
        </w:rPr>
      </w:pPr>
    </w:p>
    <w:p>
      <w:pPr>
        <w:spacing w:before="1"/>
        <w:ind w:left="270" w:right="823" w:firstLine="0"/>
        <w:jc w:val="left"/>
        <w:rPr>
          <w:sz w:val="18"/>
        </w:rPr>
      </w:pPr>
      <w:r>
        <w:rPr>
          <w:sz w:val="18"/>
        </w:rPr>
        <w:t>Figure 7 shows the operator by turning brake surface, can be seen in the evaluation having score of 4 (Low value)</w:t>
      </w:r>
    </w:p>
    <w:p>
      <w:pPr>
        <w:spacing w:after="0"/>
        <w:jc w:val="left"/>
        <w:rPr>
          <w:sz w:val="18"/>
        </w:rPr>
        <w:sectPr>
          <w:type w:val="continuous"/>
          <w:pgSz w:w="12240" w:h="15840"/>
          <w:pgMar w:top="1500" w:bottom="280" w:left="580" w:right="220"/>
          <w:cols w:num="2" w:equalWidth="0">
            <w:col w:w="5163" w:space="435"/>
            <w:col w:w="5842"/>
          </w:cols>
        </w:sectPr>
      </w:pPr>
    </w:p>
    <w:p>
      <w:pPr>
        <w:pStyle w:val="BodyText"/>
        <w:spacing w:before="4" w:after="1"/>
        <w:rPr>
          <w:sz w:val="18"/>
        </w:rPr>
      </w:pPr>
      <w:r>
        <w:rPr/>
        <w:drawing>
          <wp:anchor distT="0" distB="0" distL="0" distR="0" allowOverlap="1" layoutInCell="1" locked="0" behindDoc="0" simplePos="0" relativeHeight="6112">
            <wp:simplePos x="0" y="0"/>
            <wp:positionH relativeFrom="page">
              <wp:posOffset>1088897</wp:posOffset>
            </wp:positionH>
            <wp:positionV relativeFrom="page">
              <wp:posOffset>7306056</wp:posOffset>
            </wp:positionV>
            <wp:extent cx="587502" cy="914400"/>
            <wp:effectExtent l="0" t="0" r="0" b="0"/>
            <wp:wrapNone/>
            <wp:docPr id="221" name="image113.jpeg" descr=""/>
            <wp:cNvGraphicFramePr>
              <a:graphicFrameLocks noChangeAspect="1"/>
            </wp:cNvGraphicFramePr>
            <a:graphic>
              <a:graphicData uri="http://schemas.openxmlformats.org/drawingml/2006/picture">
                <pic:pic>
                  <pic:nvPicPr>
                    <pic:cNvPr id="222" name="image113.jpeg"/>
                    <pic:cNvPicPr/>
                  </pic:nvPicPr>
                  <pic:blipFill>
                    <a:blip r:embed="rId197" cstate="print"/>
                    <a:stretch>
                      <a:fillRect/>
                    </a:stretch>
                  </pic:blipFill>
                  <pic:spPr>
                    <a:xfrm>
                      <a:off x="0" y="0"/>
                      <a:ext cx="587502" cy="914400"/>
                    </a:xfrm>
                    <a:prstGeom prst="rect">
                      <a:avLst/>
                    </a:prstGeom>
                  </pic:spPr>
                </pic:pic>
              </a:graphicData>
            </a:graphic>
          </wp:anchor>
        </w:drawing>
      </w:r>
    </w:p>
    <w:tbl>
      <w:tblPr>
        <w:tblW w:w="0" w:type="auto"/>
        <w:jc w:val="left"/>
        <w:tblInd w:w="60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68"/>
        <w:gridCol w:w="426"/>
        <w:gridCol w:w="426"/>
        <w:gridCol w:w="425"/>
        <w:gridCol w:w="566"/>
      </w:tblGrid>
      <w:tr>
        <w:trPr>
          <w:trHeight w:val="286" w:hRule="exact"/>
        </w:trPr>
        <w:tc>
          <w:tcPr>
            <w:tcW w:w="4111" w:type="dxa"/>
            <w:gridSpan w:val="5"/>
          </w:tcPr>
          <w:p>
            <w:pPr>
              <w:pStyle w:val="TableParagraph"/>
              <w:spacing w:before="32"/>
              <w:ind w:left="103"/>
              <w:rPr>
                <w:rFonts w:ascii="Arial" w:hAnsi="Arial"/>
                <w:sz w:val="18"/>
              </w:rPr>
            </w:pPr>
            <w:r>
              <w:rPr>
                <w:rFonts w:ascii="Arial" w:hAnsi="Arial"/>
                <w:sz w:val="18"/>
              </w:rPr>
              <w:t>Colocación de freno de tambor en torno</w:t>
            </w:r>
          </w:p>
        </w:tc>
      </w:tr>
      <w:tr>
        <w:trPr>
          <w:trHeight w:val="1240" w:hRule="exact"/>
        </w:trPr>
        <w:tc>
          <w:tcPr>
            <w:tcW w:w="2268" w:type="dxa"/>
          </w:tcPr>
          <w:p>
            <w:pPr>
              <w:pStyle w:val="TableParagraph"/>
              <w:ind w:left="453"/>
              <w:rPr>
                <w:sz w:val="20"/>
              </w:rPr>
            </w:pPr>
            <w:r>
              <w:rPr>
                <w:sz w:val="20"/>
              </w:rPr>
              <w:drawing>
                <wp:inline distT="0" distB="0" distL="0" distR="0">
                  <wp:extent cx="859613" cy="765810"/>
                  <wp:effectExtent l="0" t="0" r="0" b="0"/>
                  <wp:docPr id="223" name="image117.png" descr=""/>
                  <wp:cNvGraphicFramePr>
                    <a:graphicFrameLocks noChangeAspect="1"/>
                  </wp:cNvGraphicFramePr>
                  <a:graphic>
                    <a:graphicData uri="http://schemas.openxmlformats.org/drawingml/2006/picture">
                      <pic:pic>
                        <pic:nvPicPr>
                          <pic:cNvPr id="224" name="image117.png"/>
                          <pic:cNvPicPr/>
                        </pic:nvPicPr>
                        <pic:blipFill>
                          <a:blip r:embed="rId201" cstate="print"/>
                          <a:stretch>
                            <a:fillRect/>
                          </a:stretch>
                        </pic:blipFill>
                        <pic:spPr>
                          <a:xfrm>
                            <a:off x="0" y="0"/>
                            <a:ext cx="859613" cy="765810"/>
                          </a:xfrm>
                          <a:prstGeom prst="rect">
                            <a:avLst/>
                          </a:prstGeom>
                        </pic:spPr>
                      </pic:pic>
                    </a:graphicData>
                  </a:graphic>
                </wp:inline>
              </w:drawing>
            </w:r>
            <w:r>
              <w:rPr>
                <w:sz w:val="20"/>
              </w:rPr>
            </w:r>
          </w:p>
        </w:tc>
        <w:tc>
          <w:tcPr>
            <w:tcW w:w="426" w:type="dxa"/>
            <w:textDirection w:val="btLr"/>
          </w:tcPr>
          <w:p>
            <w:pPr>
              <w:pStyle w:val="TableParagraph"/>
              <w:spacing w:before="104"/>
              <w:ind w:left="199" w:right="113"/>
              <w:rPr>
                <w:rFonts w:ascii="Arial"/>
                <w:sz w:val="18"/>
              </w:rPr>
            </w:pPr>
            <w:r>
              <w:rPr>
                <w:rFonts w:ascii="Arial"/>
                <w:spacing w:val="-1"/>
                <w:sz w:val="18"/>
              </w:rPr>
              <w:t>Intensi</w:t>
            </w:r>
            <w:r>
              <w:rPr>
                <w:rFonts w:ascii="Arial"/>
                <w:sz w:val="18"/>
              </w:rPr>
              <w:t>d</w:t>
            </w:r>
            <w:r>
              <w:rPr>
                <w:rFonts w:ascii="Arial"/>
                <w:spacing w:val="-1"/>
                <w:sz w:val="18"/>
              </w:rPr>
              <w:t>ad</w:t>
            </w:r>
          </w:p>
        </w:tc>
        <w:tc>
          <w:tcPr>
            <w:tcW w:w="426" w:type="dxa"/>
            <w:textDirection w:val="btLr"/>
          </w:tcPr>
          <w:p>
            <w:pPr>
              <w:pStyle w:val="TableParagraph"/>
              <w:spacing w:before="104"/>
              <w:ind w:left="254" w:right="113"/>
              <w:rPr>
                <w:rFonts w:ascii="Arial" w:hAnsi="Arial"/>
                <w:sz w:val="18"/>
              </w:rPr>
            </w:pPr>
            <w:r>
              <w:rPr>
                <w:rFonts w:ascii="Arial" w:hAnsi="Arial"/>
                <w:spacing w:val="-1"/>
                <w:sz w:val="18"/>
              </w:rPr>
              <w:t>Duración</w:t>
            </w:r>
          </w:p>
        </w:tc>
        <w:tc>
          <w:tcPr>
            <w:tcW w:w="425" w:type="dxa"/>
            <w:textDirection w:val="btLr"/>
          </w:tcPr>
          <w:p>
            <w:pPr>
              <w:pStyle w:val="TableParagraph"/>
              <w:spacing w:before="104"/>
              <w:ind w:left="180" w:right="113"/>
              <w:rPr>
                <w:rFonts w:ascii="Arial"/>
                <w:sz w:val="18"/>
              </w:rPr>
            </w:pPr>
            <w:r>
              <w:rPr>
                <w:rFonts w:ascii="Arial"/>
                <w:sz w:val="18"/>
              </w:rPr>
              <w:t>Por minuto</w:t>
            </w:r>
          </w:p>
        </w:tc>
        <w:tc>
          <w:tcPr>
            <w:tcW w:w="566" w:type="dxa"/>
            <w:textDirection w:val="btLr"/>
          </w:tcPr>
          <w:p>
            <w:pPr>
              <w:pStyle w:val="TableParagraph"/>
              <w:spacing w:before="104"/>
              <w:ind w:left="309" w:right="113"/>
              <w:rPr>
                <w:rFonts w:ascii="Arial"/>
                <w:sz w:val="18"/>
              </w:rPr>
            </w:pPr>
            <w:r>
              <w:rPr>
                <w:rFonts w:ascii="Arial"/>
                <w:spacing w:val="-1"/>
                <w:sz w:val="18"/>
              </w:rPr>
              <w:t>Punta</w:t>
            </w:r>
            <w:r>
              <w:rPr>
                <w:rFonts w:ascii="Arial"/>
                <w:sz w:val="18"/>
              </w:rPr>
              <w:t>je</w:t>
            </w:r>
          </w:p>
        </w:tc>
      </w:tr>
      <w:tr>
        <w:trPr>
          <w:trHeight w:val="308" w:hRule="exact"/>
        </w:trPr>
        <w:tc>
          <w:tcPr>
            <w:tcW w:w="2268" w:type="dxa"/>
            <w:shd w:val="clear" w:color="auto" w:fill="FFBF00"/>
          </w:tcPr>
          <w:p>
            <w:pPr>
              <w:pStyle w:val="TableParagraph"/>
              <w:spacing w:line="206" w:lineRule="exact"/>
              <w:ind w:left="103" w:right="363"/>
              <w:rPr>
                <w:rFonts w:ascii="Arial"/>
                <w:sz w:val="18"/>
              </w:rPr>
            </w:pPr>
            <w:r>
              <w:rPr>
                <w:rFonts w:ascii="Arial"/>
                <w:sz w:val="18"/>
              </w:rPr>
              <w:t>Cuello</w:t>
            </w:r>
          </w:p>
        </w:tc>
        <w:tc>
          <w:tcPr>
            <w:tcW w:w="426" w:type="dxa"/>
          </w:tcPr>
          <w:p>
            <w:pPr>
              <w:pStyle w:val="TableParagraph"/>
              <w:spacing w:line="206" w:lineRule="exact"/>
              <w:jc w:val="center"/>
              <w:rPr>
                <w:rFonts w:ascii="Arial"/>
                <w:sz w:val="18"/>
              </w:rPr>
            </w:pPr>
            <w:r>
              <w:rPr>
                <w:rFonts w:ascii="Arial"/>
                <w:sz w:val="18"/>
              </w:rPr>
              <w:t>2</w:t>
            </w:r>
          </w:p>
        </w:tc>
        <w:tc>
          <w:tcPr>
            <w:tcW w:w="426" w:type="dxa"/>
          </w:tcPr>
          <w:p>
            <w:pPr>
              <w:pStyle w:val="TableParagraph"/>
              <w:spacing w:line="206" w:lineRule="exact"/>
              <w:jc w:val="center"/>
              <w:rPr>
                <w:rFonts w:ascii="Arial"/>
                <w:sz w:val="18"/>
              </w:rPr>
            </w:pPr>
            <w:r>
              <w:rPr>
                <w:rFonts w:ascii="Arial"/>
                <w:sz w:val="18"/>
              </w:rPr>
              <w:t>2</w:t>
            </w:r>
          </w:p>
        </w:tc>
        <w:tc>
          <w:tcPr>
            <w:tcW w:w="425" w:type="dxa"/>
          </w:tcPr>
          <w:p>
            <w:pPr>
              <w:pStyle w:val="TableParagraph"/>
              <w:spacing w:line="206" w:lineRule="exact"/>
              <w:jc w:val="center"/>
              <w:rPr>
                <w:rFonts w:ascii="Arial"/>
                <w:sz w:val="18"/>
              </w:rPr>
            </w:pPr>
            <w:r>
              <w:rPr>
                <w:rFonts w:ascii="Arial"/>
                <w:sz w:val="18"/>
              </w:rPr>
              <w:t>1</w:t>
            </w:r>
          </w:p>
        </w:tc>
        <w:tc>
          <w:tcPr>
            <w:tcW w:w="566" w:type="dxa"/>
          </w:tcPr>
          <w:p>
            <w:pPr>
              <w:pStyle w:val="TableParagraph"/>
              <w:ind w:left="1"/>
              <w:jc w:val="center"/>
              <w:rPr>
                <w:b/>
                <w:sz w:val="18"/>
              </w:rPr>
            </w:pPr>
            <w:r>
              <w:rPr>
                <w:b/>
                <w:sz w:val="18"/>
              </w:rPr>
              <w:t>4</w:t>
            </w:r>
          </w:p>
        </w:tc>
      </w:tr>
      <w:tr>
        <w:trPr>
          <w:trHeight w:val="299" w:hRule="exact"/>
        </w:trPr>
        <w:tc>
          <w:tcPr>
            <w:tcW w:w="2268" w:type="dxa"/>
            <w:shd w:val="clear" w:color="auto" w:fill="FFBF00"/>
          </w:tcPr>
          <w:p>
            <w:pPr>
              <w:pStyle w:val="TableParagraph"/>
              <w:spacing w:before="38"/>
              <w:ind w:left="103" w:right="363"/>
              <w:rPr>
                <w:rFonts w:ascii="Arial"/>
                <w:sz w:val="18"/>
              </w:rPr>
            </w:pPr>
            <w:r>
              <w:rPr>
                <w:rFonts w:ascii="Arial"/>
                <w:sz w:val="18"/>
              </w:rPr>
              <w:t>Hombro</w:t>
            </w:r>
          </w:p>
        </w:tc>
        <w:tc>
          <w:tcPr>
            <w:tcW w:w="426" w:type="dxa"/>
          </w:tcPr>
          <w:p>
            <w:pPr>
              <w:pStyle w:val="TableParagraph"/>
              <w:spacing w:before="38"/>
              <w:jc w:val="center"/>
              <w:rPr>
                <w:rFonts w:ascii="Arial"/>
                <w:sz w:val="18"/>
              </w:rPr>
            </w:pPr>
            <w:r>
              <w:rPr>
                <w:rFonts w:ascii="Arial"/>
                <w:sz w:val="18"/>
              </w:rPr>
              <w:t>2</w:t>
            </w:r>
          </w:p>
        </w:tc>
        <w:tc>
          <w:tcPr>
            <w:tcW w:w="426" w:type="dxa"/>
          </w:tcPr>
          <w:p>
            <w:pPr>
              <w:pStyle w:val="TableParagraph"/>
              <w:spacing w:before="38"/>
              <w:jc w:val="center"/>
              <w:rPr>
                <w:rFonts w:ascii="Arial"/>
                <w:sz w:val="18"/>
              </w:rPr>
            </w:pPr>
            <w:r>
              <w:rPr>
                <w:rFonts w:ascii="Arial"/>
                <w:sz w:val="18"/>
              </w:rPr>
              <w:t>2</w:t>
            </w:r>
          </w:p>
        </w:tc>
        <w:tc>
          <w:tcPr>
            <w:tcW w:w="425" w:type="dxa"/>
          </w:tcPr>
          <w:p>
            <w:pPr>
              <w:pStyle w:val="TableParagraph"/>
              <w:spacing w:before="38"/>
              <w:ind w:right="1"/>
              <w:jc w:val="center"/>
              <w:rPr>
                <w:rFonts w:ascii="Arial"/>
                <w:sz w:val="18"/>
              </w:rPr>
            </w:pPr>
            <w:r>
              <w:rPr>
                <w:rFonts w:ascii="Arial"/>
                <w:sz w:val="18"/>
              </w:rPr>
              <w:t>1</w:t>
            </w:r>
          </w:p>
        </w:tc>
        <w:tc>
          <w:tcPr>
            <w:tcW w:w="566" w:type="dxa"/>
          </w:tcPr>
          <w:p>
            <w:pPr>
              <w:pStyle w:val="TableParagraph"/>
              <w:spacing w:line="206" w:lineRule="exact"/>
              <w:ind w:left="1"/>
              <w:jc w:val="center"/>
              <w:rPr>
                <w:b/>
                <w:sz w:val="18"/>
              </w:rPr>
            </w:pPr>
            <w:r>
              <w:rPr>
                <w:b/>
                <w:sz w:val="18"/>
              </w:rPr>
              <w:t>4</w:t>
            </w:r>
          </w:p>
        </w:tc>
      </w:tr>
    </w:tbl>
    <w:p>
      <w:pPr>
        <w:spacing w:after="0" w:line="206" w:lineRule="exact"/>
        <w:jc w:val="center"/>
        <w:rPr>
          <w:sz w:val="18"/>
        </w:rPr>
        <w:sectPr>
          <w:type w:val="continuous"/>
          <w:pgSz w:w="12240" w:h="15840"/>
          <w:pgMar w:top="1500" w:bottom="280" w:left="580" w:right="220"/>
        </w:sectPr>
      </w:pPr>
    </w:p>
    <w:p>
      <w:pPr>
        <w:pStyle w:val="BodyText"/>
      </w:pPr>
    </w:p>
    <w:p>
      <w:pPr>
        <w:pStyle w:val="BodyText"/>
        <w:spacing w:before="3"/>
        <w:rPr>
          <w:sz w:val="27"/>
        </w:rPr>
      </w:pPr>
    </w:p>
    <w:p>
      <w:pPr>
        <w:spacing w:after="0"/>
        <w:rPr>
          <w:sz w:val="27"/>
        </w:rPr>
        <w:sectPr>
          <w:pgSz w:w="12240" w:h="15840"/>
          <w:pgMar w:header="545" w:footer="852" w:top="1060" w:bottom="1040" w:left="580" w:right="220"/>
        </w:sect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7"/>
        <w:rPr>
          <w:sz w:val="14"/>
        </w:rPr>
      </w:pPr>
    </w:p>
    <w:p>
      <w:pPr>
        <w:spacing w:before="0"/>
        <w:ind w:left="309" w:right="0" w:firstLine="0"/>
        <w:jc w:val="center"/>
        <w:rPr>
          <w:sz w:val="18"/>
        </w:rPr>
      </w:pPr>
      <w:r>
        <w:rPr/>
        <w:pict>
          <v:shape style="position:absolute;margin-left:49.410011pt;margin-top:-66.59761pt;width:206.25pt;height:56.5pt;mso-position-horizontal-relative:page;mso-position-vertical-relative:paragraph;z-index:6184"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67"/>
                    <w:gridCol w:w="426"/>
                    <w:gridCol w:w="426"/>
                    <w:gridCol w:w="425"/>
                    <w:gridCol w:w="566"/>
                  </w:tblGrid>
                  <w:tr>
                    <w:trPr>
                      <w:trHeight w:val="274" w:hRule="exact"/>
                    </w:trPr>
                    <w:tc>
                      <w:tcPr>
                        <w:tcW w:w="2267" w:type="dxa"/>
                        <w:shd w:val="clear" w:color="auto" w:fill="FFBF00"/>
                      </w:tcPr>
                      <w:p>
                        <w:pPr>
                          <w:pStyle w:val="TableParagraph"/>
                          <w:spacing w:line="205" w:lineRule="exact"/>
                          <w:ind w:left="103"/>
                          <w:rPr>
                            <w:rFonts w:ascii="Arial"/>
                            <w:sz w:val="18"/>
                          </w:rPr>
                        </w:pPr>
                        <w:r>
                          <w:rPr>
                            <w:rFonts w:ascii="Arial"/>
                            <w:sz w:val="18"/>
                          </w:rPr>
                          <w:t>Espalda</w:t>
                        </w:r>
                      </w:p>
                    </w:tc>
                    <w:tc>
                      <w:tcPr>
                        <w:tcW w:w="426" w:type="dxa"/>
                      </w:tcPr>
                      <w:p>
                        <w:pPr>
                          <w:pStyle w:val="TableParagraph"/>
                          <w:spacing w:before="26"/>
                          <w:ind w:right="1"/>
                          <w:jc w:val="center"/>
                          <w:rPr>
                            <w:rFonts w:ascii="Arial"/>
                            <w:sz w:val="18"/>
                          </w:rPr>
                        </w:pPr>
                        <w:r>
                          <w:rPr>
                            <w:rFonts w:ascii="Arial"/>
                            <w:sz w:val="18"/>
                          </w:rPr>
                          <w:t>2</w:t>
                        </w:r>
                      </w:p>
                    </w:tc>
                    <w:tc>
                      <w:tcPr>
                        <w:tcW w:w="426" w:type="dxa"/>
                      </w:tcPr>
                      <w:p>
                        <w:pPr>
                          <w:pStyle w:val="TableParagraph"/>
                          <w:spacing w:before="26"/>
                          <w:jc w:val="center"/>
                          <w:rPr>
                            <w:rFonts w:ascii="Arial"/>
                            <w:sz w:val="18"/>
                          </w:rPr>
                        </w:pPr>
                        <w:r>
                          <w:rPr>
                            <w:rFonts w:ascii="Arial"/>
                            <w:sz w:val="18"/>
                          </w:rPr>
                          <w:t>2</w:t>
                        </w:r>
                      </w:p>
                    </w:tc>
                    <w:tc>
                      <w:tcPr>
                        <w:tcW w:w="425" w:type="dxa"/>
                      </w:tcPr>
                      <w:p>
                        <w:pPr>
                          <w:pStyle w:val="TableParagraph"/>
                          <w:spacing w:before="26"/>
                          <w:jc w:val="center"/>
                          <w:rPr>
                            <w:rFonts w:ascii="Arial"/>
                            <w:sz w:val="18"/>
                          </w:rPr>
                        </w:pPr>
                        <w:r>
                          <w:rPr>
                            <w:rFonts w:ascii="Arial"/>
                            <w:sz w:val="18"/>
                          </w:rPr>
                          <w:t>1</w:t>
                        </w:r>
                      </w:p>
                    </w:tc>
                    <w:tc>
                      <w:tcPr>
                        <w:tcW w:w="566" w:type="dxa"/>
                      </w:tcPr>
                      <w:p>
                        <w:pPr>
                          <w:pStyle w:val="TableParagraph"/>
                          <w:spacing w:line="206" w:lineRule="exact"/>
                          <w:ind w:left="1"/>
                          <w:jc w:val="center"/>
                          <w:rPr>
                            <w:b/>
                            <w:sz w:val="18"/>
                          </w:rPr>
                        </w:pPr>
                        <w:r>
                          <w:rPr>
                            <w:b/>
                            <w:sz w:val="18"/>
                          </w:rPr>
                          <w:t>4</w:t>
                        </w:r>
                      </w:p>
                    </w:tc>
                  </w:tr>
                  <w:tr>
                    <w:trPr>
                      <w:trHeight w:val="278" w:hRule="exact"/>
                    </w:trPr>
                    <w:tc>
                      <w:tcPr>
                        <w:tcW w:w="2267" w:type="dxa"/>
                        <w:shd w:val="clear" w:color="auto" w:fill="FFBF00"/>
                      </w:tcPr>
                      <w:p>
                        <w:pPr>
                          <w:pStyle w:val="TableParagraph"/>
                          <w:spacing w:before="29"/>
                          <w:ind w:left="103"/>
                          <w:rPr>
                            <w:rFonts w:ascii="Arial"/>
                            <w:sz w:val="18"/>
                          </w:rPr>
                        </w:pPr>
                        <w:r>
                          <w:rPr>
                            <w:rFonts w:ascii="Arial"/>
                            <w:sz w:val="18"/>
                          </w:rPr>
                          <w:t>Brazo y Codo</w:t>
                        </w:r>
                      </w:p>
                    </w:tc>
                    <w:tc>
                      <w:tcPr>
                        <w:tcW w:w="426" w:type="dxa"/>
                      </w:tcPr>
                      <w:p>
                        <w:pPr>
                          <w:pStyle w:val="TableParagraph"/>
                          <w:spacing w:before="29"/>
                          <w:ind w:right="1"/>
                          <w:jc w:val="center"/>
                          <w:rPr>
                            <w:rFonts w:ascii="Arial"/>
                            <w:sz w:val="18"/>
                          </w:rPr>
                        </w:pPr>
                        <w:r>
                          <w:rPr>
                            <w:rFonts w:ascii="Arial"/>
                            <w:sz w:val="18"/>
                          </w:rPr>
                          <w:t>2</w:t>
                        </w:r>
                      </w:p>
                    </w:tc>
                    <w:tc>
                      <w:tcPr>
                        <w:tcW w:w="426" w:type="dxa"/>
                      </w:tcPr>
                      <w:p>
                        <w:pPr>
                          <w:pStyle w:val="TableParagraph"/>
                          <w:spacing w:before="29"/>
                          <w:jc w:val="center"/>
                          <w:rPr>
                            <w:rFonts w:ascii="Arial"/>
                            <w:sz w:val="18"/>
                          </w:rPr>
                        </w:pPr>
                        <w:r>
                          <w:rPr>
                            <w:rFonts w:ascii="Arial"/>
                            <w:sz w:val="18"/>
                          </w:rPr>
                          <w:t>2</w:t>
                        </w:r>
                      </w:p>
                    </w:tc>
                    <w:tc>
                      <w:tcPr>
                        <w:tcW w:w="425" w:type="dxa"/>
                      </w:tcPr>
                      <w:p>
                        <w:pPr>
                          <w:pStyle w:val="TableParagraph"/>
                          <w:spacing w:before="29"/>
                          <w:ind w:right="1"/>
                          <w:jc w:val="center"/>
                          <w:rPr>
                            <w:rFonts w:ascii="Arial"/>
                            <w:sz w:val="18"/>
                          </w:rPr>
                        </w:pPr>
                        <w:r>
                          <w:rPr>
                            <w:rFonts w:ascii="Arial"/>
                            <w:sz w:val="18"/>
                          </w:rPr>
                          <w:t>1</w:t>
                        </w:r>
                      </w:p>
                    </w:tc>
                    <w:tc>
                      <w:tcPr>
                        <w:tcW w:w="566" w:type="dxa"/>
                      </w:tcPr>
                      <w:p>
                        <w:pPr>
                          <w:pStyle w:val="TableParagraph"/>
                          <w:spacing w:line="206" w:lineRule="exact"/>
                          <w:ind w:left="1"/>
                          <w:jc w:val="center"/>
                          <w:rPr>
                            <w:b/>
                            <w:sz w:val="18"/>
                          </w:rPr>
                        </w:pPr>
                        <w:r>
                          <w:rPr>
                            <w:b/>
                            <w:sz w:val="18"/>
                          </w:rPr>
                          <w:t>4</w:t>
                        </w:r>
                      </w:p>
                    </w:tc>
                  </w:tr>
                  <w:tr>
                    <w:trPr>
                      <w:trHeight w:val="282" w:hRule="exact"/>
                    </w:trPr>
                    <w:tc>
                      <w:tcPr>
                        <w:tcW w:w="2267" w:type="dxa"/>
                        <w:shd w:val="clear" w:color="auto" w:fill="FFBF00"/>
                      </w:tcPr>
                      <w:p>
                        <w:pPr>
                          <w:pStyle w:val="TableParagraph"/>
                          <w:spacing w:line="205" w:lineRule="exact"/>
                          <w:ind w:left="103"/>
                          <w:rPr>
                            <w:rFonts w:ascii="Arial" w:hAnsi="Arial"/>
                            <w:sz w:val="18"/>
                          </w:rPr>
                        </w:pPr>
                        <w:r>
                          <w:rPr>
                            <w:rFonts w:ascii="Arial" w:hAnsi="Arial"/>
                            <w:sz w:val="18"/>
                          </w:rPr>
                          <w:t>Muñeca, mano, dedo</w:t>
                        </w:r>
                      </w:p>
                    </w:tc>
                    <w:tc>
                      <w:tcPr>
                        <w:tcW w:w="426" w:type="dxa"/>
                      </w:tcPr>
                      <w:p>
                        <w:pPr>
                          <w:pStyle w:val="TableParagraph"/>
                          <w:spacing w:before="30"/>
                          <w:ind w:right="1"/>
                          <w:jc w:val="center"/>
                          <w:rPr>
                            <w:rFonts w:ascii="Arial"/>
                            <w:sz w:val="18"/>
                          </w:rPr>
                        </w:pPr>
                        <w:r>
                          <w:rPr>
                            <w:rFonts w:ascii="Arial"/>
                            <w:sz w:val="18"/>
                          </w:rPr>
                          <w:t>2</w:t>
                        </w:r>
                      </w:p>
                    </w:tc>
                    <w:tc>
                      <w:tcPr>
                        <w:tcW w:w="426" w:type="dxa"/>
                      </w:tcPr>
                      <w:p>
                        <w:pPr>
                          <w:pStyle w:val="TableParagraph"/>
                          <w:spacing w:before="30"/>
                          <w:jc w:val="center"/>
                          <w:rPr>
                            <w:rFonts w:ascii="Arial"/>
                            <w:sz w:val="18"/>
                          </w:rPr>
                        </w:pPr>
                        <w:r>
                          <w:rPr>
                            <w:rFonts w:ascii="Arial"/>
                            <w:sz w:val="18"/>
                          </w:rPr>
                          <w:t>2</w:t>
                        </w:r>
                      </w:p>
                    </w:tc>
                    <w:tc>
                      <w:tcPr>
                        <w:tcW w:w="425" w:type="dxa"/>
                      </w:tcPr>
                      <w:p>
                        <w:pPr>
                          <w:pStyle w:val="TableParagraph"/>
                          <w:spacing w:before="30"/>
                          <w:jc w:val="center"/>
                          <w:rPr>
                            <w:rFonts w:ascii="Arial"/>
                            <w:sz w:val="18"/>
                          </w:rPr>
                        </w:pPr>
                        <w:r>
                          <w:rPr>
                            <w:rFonts w:ascii="Arial"/>
                            <w:sz w:val="18"/>
                          </w:rPr>
                          <w:t>1</w:t>
                        </w:r>
                      </w:p>
                    </w:tc>
                    <w:tc>
                      <w:tcPr>
                        <w:tcW w:w="566" w:type="dxa"/>
                      </w:tcPr>
                      <w:p>
                        <w:pPr>
                          <w:pStyle w:val="TableParagraph"/>
                          <w:spacing w:line="206" w:lineRule="exact"/>
                          <w:ind w:left="1"/>
                          <w:jc w:val="center"/>
                          <w:rPr>
                            <w:b/>
                            <w:sz w:val="18"/>
                          </w:rPr>
                        </w:pPr>
                        <w:r>
                          <w:rPr>
                            <w:b/>
                            <w:sz w:val="18"/>
                          </w:rPr>
                          <w:t>4</w:t>
                        </w:r>
                      </w:p>
                    </w:tc>
                  </w:tr>
                  <w:tr>
                    <w:trPr>
                      <w:trHeight w:val="286" w:hRule="exact"/>
                    </w:trPr>
                    <w:tc>
                      <w:tcPr>
                        <w:tcW w:w="2267" w:type="dxa"/>
                        <w:shd w:val="clear" w:color="auto" w:fill="FFBF00"/>
                      </w:tcPr>
                      <w:p>
                        <w:pPr>
                          <w:pStyle w:val="TableParagraph"/>
                          <w:spacing w:before="32"/>
                          <w:ind w:left="103"/>
                          <w:rPr>
                            <w:rFonts w:ascii="Arial"/>
                            <w:sz w:val="18"/>
                          </w:rPr>
                        </w:pPr>
                        <w:r>
                          <w:rPr>
                            <w:rFonts w:ascii="Arial"/>
                            <w:sz w:val="18"/>
                          </w:rPr>
                          <w:t>Piernas y tobillos</w:t>
                        </w:r>
                      </w:p>
                    </w:tc>
                    <w:tc>
                      <w:tcPr>
                        <w:tcW w:w="426" w:type="dxa"/>
                      </w:tcPr>
                      <w:p>
                        <w:pPr>
                          <w:pStyle w:val="TableParagraph"/>
                          <w:spacing w:before="32"/>
                          <w:ind w:right="2"/>
                          <w:jc w:val="center"/>
                          <w:rPr>
                            <w:rFonts w:ascii="Arial"/>
                            <w:sz w:val="18"/>
                          </w:rPr>
                        </w:pPr>
                        <w:r>
                          <w:rPr>
                            <w:rFonts w:ascii="Arial"/>
                            <w:sz w:val="18"/>
                          </w:rPr>
                          <w:t>2</w:t>
                        </w:r>
                      </w:p>
                    </w:tc>
                    <w:tc>
                      <w:tcPr>
                        <w:tcW w:w="426" w:type="dxa"/>
                      </w:tcPr>
                      <w:p>
                        <w:pPr>
                          <w:pStyle w:val="TableParagraph"/>
                          <w:spacing w:before="32"/>
                          <w:ind w:right="1"/>
                          <w:jc w:val="center"/>
                          <w:rPr>
                            <w:rFonts w:ascii="Arial"/>
                            <w:sz w:val="18"/>
                          </w:rPr>
                        </w:pPr>
                        <w:r>
                          <w:rPr>
                            <w:rFonts w:ascii="Arial"/>
                            <w:sz w:val="18"/>
                          </w:rPr>
                          <w:t>2</w:t>
                        </w:r>
                      </w:p>
                    </w:tc>
                    <w:tc>
                      <w:tcPr>
                        <w:tcW w:w="425" w:type="dxa"/>
                      </w:tcPr>
                      <w:p>
                        <w:pPr>
                          <w:pStyle w:val="TableParagraph"/>
                          <w:spacing w:before="32"/>
                          <w:jc w:val="center"/>
                          <w:rPr>
                            <w:rFonts w:ascii="Arial"/>
                            <w:sz w:val="18"/>
                          </w:rPr>
                        </w:pPr>
                        <w:r>
                          <w:rPr>
                            <w:rFonts w:ascii="Arial"/>
                            <w:sz w:val="18"/>
                          </w:rPr>
                          <w:t>1</w:t>
                        </w:r>
                      </w:p>
                    </w:tc>
                    <w:tc>
                      <w:tcPr>
                        <w:tcW w:w="566" w:type="dxa"/>
                      </w:tcPr>
                      <w:p>
                        <w:pPr>
                          <w:pStyle w:val="TableParagraph"/>
                          <w:spacing w:line="206" w:lineRule="exact"/>
                          <w:ind w:left="1"/>
                          <w:jc w:val="center"/>
                          <w:rPr>
                            <w:b/>
                            <w:sz w:val="18"/>
                          </w:rPr>
                        </w:pPr>
                        <w:r>
                          <w:rPr>
                            <w:b/>
                            <w:sz w:val="18"/>
                          </w:rPr>
                          <w:t>4</w:t>
                        </w:r>
                      </w:p>
                    </w:tc>
                  </w:tr>
                </w:tbl>
                <w:p>
                  <w:pPr>
                    <w:pStyle w:val="BodyText"/>
                  </w:pPr>
                </w:p>
              </w:txbxContent>
            </v:textbox>
            <w10:wrap type="none"/>
          </v:shape>
        </w:pict>
      </w:r>
      <w:r>
        <w:rPr>
          <w:sz w:val="18"/>
        </w:rPr>
        <w:t>Figure 7. Turning Brake Surfaces</w:t>
      </w:r>
    </w:p>
    <w:p>
      <w:pPr>
        <w:pStyle w:val="BodyText"/>
        <w:rPr>
          <w:sz w:val="18"/>
        </w:rPr>
      </w:pPr>
    </w:p>
    <w:p>
      <w:pPr>
        <w:pStyle w:val="BodyText"/>
        <w:spacing w:before="10"/>
        <w:rPr>
          <w:sz w:val="17"/>
        </w:rPr>
      </w:pPr>
    </w:p>
    <w:p>
      <w:pPr>
        <w:spacing w:before="1"/>
        <w:ind w:left="309" w:right="0" w:firstLine="0"/>
        <w:jc w:val="center"/>
        <w:rPr>
          <w:sz w:val="18"/>
        </w:rPr>
      </w:pPr>
      <w:r>
        <w:rPr>
          <w:sz w:val="18"/>
        </w:rPr>
        <w:t>Table 4. RULA method, the overall score of each group and which activity</w:t>
      </w:r>
    </w:p>
    <w:p>
      <w:pPr>
        <w:spacing w:before="77"/>
        <w:ind w:left="309" w:right="1388" w:firstLine="0"/>
        <w:jc w:val="left"/>
        <w:rPr>
          <w:b/>
          <w:sz w:val="18"/>
        </w:rPr>
      </w:pPr>
      <w:r>
        <w:rPr/>
        <w:br w:type="column"/>
      </w:r>
      <w:r>
        <w:rPr>
          <w:b/>
          <w:sz w:val="18"/>
        </w:rPr>
        <w:t>4.5 Process reengineering</w:t>
      </w:r>
    </w:p>
    <w:p>
      <w:pPr>
        <w:pStyle w:val="BodyText"/>
        <w:spacing w:before="7"/>
        <w:rPr>
          <w:b/>
          <w:sz w:val="17"/>
        </w:rPr>
      </w:pPr>
    </w:p>
    <w:p>
      <w:pPr>
        <w:spacing w:before="1"/>
        <w:ind w:left="309" w:right="1388" w:firstLine="0"/>
        <w:jc w:val="left"/>
        <w:rPr>
          <w:sz w:val="18"/>
        </w:rPr>
      </w:pPr>
      <w:r>
        <w:rPr>
          <w:sz w:val="18"/>
        </w:rPr>
        <w:t>Table 6 shows the workshop performance measures when evaluating ergonomically activities.</w:t>
      </w:r>
    </w:p>
    <w:p>
      <w:pPr>
        <w:spacing w:before="0"/>
        <w:ind w:left="309" w:right="1323" w:firstLine="0"/>
        <w:jc w:val="left"/>
        <w:rPr>
          <w:sz w:val="18"/>
        </w:rPr>
      </w:pPr>
      <w:r>
        <w:rPr>
          <w:sz w:val="18"/>
        </w:rPr>
        <w:t>The performance measures are pieces per hour, production capacity, utilization, availability and  inventory in process</w:t>
      </w:r>
    </w:p>
    <w:p>
      <w:pPr>
        <w:spacing w:before="0"/>
        <w:ind w:left="1246" w:right="1388" w:firstLine="0"/>
        <w:jc w:val="left"/>
        <w:rPr>
          <w:sz w:val="18"/>
        </w:rPr>
      </w:pPr>
      <w:r>
        <w:rPr/>
        <w:pict>
          <v:shape style="position:absolute;margin-left:322.200012pt;margin-top:20.942371pt;width:220.5pt;height:95.65pt;mso-position-horizontal-relative:page;mso-position-vertical-relative:paragraph;z-index:6208"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02"/>
                    <w:gridCol w:w="1417"/>
                    <w:gridCol w:w="1277"/>
                  </w:tblGrid>
                  <w:tr>
                    <w:trPr>
                      <w:trHeight w:val="424" w:hRule="exact"/>
                    </w:trPr>
                    <w:tc>
                      <w:tcPr>
                        <w:tcW w:w="1702" w:type="dxa"/>
                        <w:shd w:val="clear" w:color="auto" w:fill="FFBF00"/>
                      </w:tcPr>
                      <w:p>
                        <w:pPr>
                          <w:pStyle w:val="TableParagraph"/>
                          <w:ind w:left="380" w:right="362" w:firstLine="82"/>
                          <w:rPr>
                            <w:sz w:val="18"/>
                          </w:rPr>
                        </w:pPr>
                        <w:r>
                          <w:rPr>
                            <w:sz w:val="18"/>
                          </w:rPr>
                          <w:t>Medida de Rendimiento</w:t>
                        </w:r>
                      </w:p>
                    </w:tc>
                    <w:tc>
                      <w:tcPr>
                        <w:tcW w:w="1417" w:type="dxa"/>
                        <w:shd w:val="clear" w:color="auto" w:fill="FFBF00"/>
                      </w:tcPr>
                      <w:p>
                        <w:pPr>
                          <w:pStyle w:val="TableParagraph"/>
                          <w:spacing w:before="98"/>
                          <w:ind w:left="163" w:right="163"/>
                          <w:jc w:val="center"/>
                          <w:rPr>
                            <w:sz w:val="18"/>
                          </w:rPr>
                        </w:pPr>
                        <w:r>
                          <w:rPr>
                            <w:sz w:val="18"/>
                          </w:rPr>
                          <w:t>Torno</w:t>
                        </w:r>
                      </w:p>
                    </w:tc>
                    <w:tc>
                      <w:tcPr>
                        <w:tcW w:w="1277" w:type="dxa"/>
                        <w:shd w:val="clear" w:color="auto" w:fill="FFBF00"/>
                      </w:tcPr>
                      <w:p>
                        <w:pPr>
                          <w:pStyle w:val="TableParagraph"/>
                          <w:spacing w:before="98"/>
                          <w:ind w:left="128" w:right="129"/>
                          <w:jc w:val="center"/>
                          <w:rPr>
                            <w:sz w:val="18"/>
                          </w:rPr>
                        </w:pPr>
                        <w:r>
                          <w:rPr>
                            <w:sz w:val="18"/>
                          </w:rPr>
                          <w:t>Balancedora</w:t>
                        </w:r>
                      </w:p>
                    </w:tc>
                  </w:tr>
                  <w:tr>
                    <w:trPr>
                      <w:trHeight w:val="424" w:hRule="exact"/>
                    </w:trPr>
                    <w:tc>
                      <w:tcPr>
                        <w:tcW w:w="1702" w:type="dxa"/>
                      </w:tcPr>
                      <w:p>
                        <w:pPr>
                          <w:pStyle w:val="TableParagraph"/>
                          <w:ind w:left="103"/>
                          <w:rPr>
                            <w:sz w:val="18"/>
                          </w:rPr>
                        </w:pPr>
                        <w:r>
                          <w:rPr>
                            <w:sz w:val="18"/>
                          </w:rPr>
                          <w:t>Razón productiva (Piezas/hora)</w:t>
                        </w:r>
                      </w:p>
                    </w:tc>
                    <w:tc>
                      <w:tcPr>
                        <w:tcW w:w="1417" w:type="dxa"/>
                      </w:tcPr>
                      <w:p>
                        <w:pPr>
                          <w:pStyle w:val="TableParagraph"/>
                          <w:spacing w:before="98"/>
                          <w:ind w:left="165" w:right="163"/>
                          <w:jc w:val="center"/>
                          <w:rPr>
                            <w:sz w:val="18"/>
                          </w:rPr>
                        </w:pPr>
                        <w:r>
                          <w:rPr>
                            <w:sz w:val="18"/>
                          </w:rPr>
                          <w:t>6.36</w:t>
                        </w:r>
                      </w:p>
                    </w:tc>
                    <w:tc>
                      <w:tcPr>
                        <w:tcW w:w="1277" w:type="dxa"/>
                      </w:tcPr>
                      <w:p>
                        <w:pPr>
                          <w:pStyle w:val="TableParagraph"/>
                          <w:spacing w:before="98"/>
                          <w:ind w:left="128" w:right="128"/>
                          <w:jc w:val="center"/>
                          <w:rPr>
                            <w:sz w:val="18"/>
                          </w:rPr>
                        </w:pPr>
                        <w:r>
                          <w:rPr>
                            <w:sz w:val="18"/>
                          </w:rPr>
                          <w:t>20</w:t>
                        </w:r>
                      </w:p>
                    </w:tc>
                  </w:tr>
                  <w:tr>
                    <w:trPr>
                      <w:trHeight w:val="631" w:hRule="exact"/>
                    </w:trPr>
                    <w:tc>
                      <w:tcPr>
                        <w:tcW w:w="1702" w:type="dxa"/>
                      </w:tcPr>
                      <w:p>
                        <w:pPr>
                          <w:pStyle w:val="TableParagraph"/>
                          <w:ind w:left="103" w:right="719"/>
                          <w:rPr>
                            <w:sz w:val="18"/>
                          </w:rPr>
                        </w:pPr>
                        <w:r>
                          <w:rPr>
                            <w:sz w:val="18"/>
                          </w:rPr>
                          <w:t>Capacidad Producida (Piezas/día)</w:t>
                        </w:r>
                      </w:p>
                    </w:tc>
                    <w:tc>
                      <w:tcPr>
                        <w:tcW w:w="1417" w:type="dxa"/>
                      </w:tcPr>
                      <w:p>
                        <w:pPr>
                          <w:pStyle w:val="TableParagraph"/>
                          <w:spacing w:before="7"/>
                          <w:rPr>
                            <w:sz w:val="17"/>
                          </w:rPr>
                        </w:pPr>
                      </w:p>
                      <w:p>
                        <w:pPr>
                          <w:pStyle w:val="TableParagraph"/>
                          <w:ind w:left="164" w:right="163"/>
                          <w:jc w:val="center"/>
                          <w:rPr>
                            <w:sz w:val="18"/>
                          </w:rPr>
                        </w:pPr>
                        <w:r>
                          <w:rPr>
                            <w:sz w:val="18"/>
                          </w:rPr>
                          <w:t>53</w:t>
                        </w:r>
                      </w:p>
                    </w:tc>
                    <w:tc>
                      <w:tcPr>
                        <w:tcW w:w="1277" w:type="dxa"/>
                      </w:tcPr>
                      <w:p>
                        <w:pPr>
                          <w:pStyle w:val="TableParagraph"/>
                          <w:spacing w:before="7"/>
                          <w:rPr>
                            <w:sz w:val="17"/>
                          </w:rPr>
                        </w:pPr>
                      </w:p>
                      <w:p>
                        <w:pPr>
                          <w:pStyle w:val="TableParagraph"/>
                          <w:ind w:left="128" w:right="129"/>
                          <w:jc w:val="center"/>
                          <w:rPr>
                            <w:sz w:val="18"/>
                          </w:rPr>
                        </w:pPr>
                        <w:r>
                          <w:rPr>
                            <w:sz w:val="18"/>
                          </w:rPr>
                          <w:t>116</w:t>
                        </w:r>
                      </w:p>
                    </w:tc>
                  </w:tr>
                  <w:tr>
                    <w:trPr>
                      <w:trHeight w:val="425" w:hRule="exact"/>
                    </w:trPr>
                    <w:tc>
                      <w:tcPr>
                        <w:tcW w:w="1702" w:type="dxa"/>
                      </w:tcPr>
                      <w:p>
                        <w:pPr>
                          <w:pStyle w:val="TableParagraph"/>
                          <w:ind w:left="103" w:right="769"/>
                          <w:rPr>
                            <w:sz w:val="18"/>
                          </w:rPr>
                        </w:pPr>
                        <w:r>
                          <w:rPr>
                            <w:sz w:val="18"/>
                          </w:rPr>
                          <w:t>Utilización (%)</w:t>
                        </w:r>
                      </w:p>
                    </w:tc>
                    <w:tc>
                      <w:tcPr>
                        <w:tcW w:w="1417" w:type="dxa"/>
                      </w:tcPr>
                      <w:p>
                        <w:pPr>
                          <w:pStyle w:val="TableParagraph"/>
                          <w:spacing w:before="98"/>
                          <w:ind w:left="164" w:right="163"/>
                          <w:jc w:val="center"/>
                          <w:rPr>
                            <w:sz w:val="18"/>
                          </w:rPr>
                        </w:pPr>
                        <w:r>
                          <w:rPr>
                            <w:sz w:val="18"/>
                          </w:rPr>
                          <w:t>52.34</w:t>
                        </w:r>
                      </w:p>
                    </w:tc>
                    <w:tc>
                      <w:tcPr>
                        <w:tcW w:w="1277" w:type="dxa"/>
                      </w:tcPr>
                      <w:p>
                        <w:pPr>
                          <w:pStyle w:val="TableParagraph"/>
                          <w:spacing w:before="98"/>
                          <w:ind w:left="128" w:right="128"/>
                          <w:jc w:val="center"/>
                          <w:rPr>
                            <w:sz w:val="18"/>
                          </w:rPr>
                        </w:pPr>
                        <w:r>
                          <w:rPr>
                            <w:sz w:val="18"/>
                          </w:rPr>
                          <w:t>24.11</w:t>
                        </w:r>
                      </w:p>
                    </w:tc>
                  </w:tr>
                </w:tbl>
                <w:p>
                  <w:pPr>
                    <w:pStyle w:val="BodyText"/>
                  </w:pPr>
                </w:p>
              </w:txbxContent>
            </v:textbox>
            <w10:wrap type="none"/>
          </v:shape>
        </w:pict>
      </w:r>
      <w:r>
        <w:rPr>
          <w:sz w:val="18"/>
        </w:rPr>
        <w:t>Table 6. workshop performance measures</w:t>
      </w:r>
    </w:p>
    <w:p>
      <w:pPr>
        <w:spacing w:after="0"/>
        <w:jc w:val="left"/>
        <w:rPr>
          <w:sz w:val="18"/>
        </w:rPr>
        <w:sectPr>
          <w:type w:val="continuous"/>
          <w:pgSz w:w="12240" w:h="15840"/>
          <w:pgMar w:top="1500" w:bottom="280" w:left="580" w:right="220"/>
          <w:cols w:num="2" w:equalWidth="0">
            <w:col w:w="5123" w:space="436"/>
            <w:col w:w="5881"/>
          </w:cols>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4"/>
        <w:rPr>
          <w:sz w:val="29"/>
        </w:rPr>
      </w:pPr>
    </w:p>
    <w:p>
      <w:pPr>
        <w:spacing w:before="77"/>
        <w:ind w:left="5868" w:right="678" w:firstLine="0"/>
        <w:jc w:val="both"/>
        <w:rPr>
          <w:sz w:val="18"/>
        </w:rPr>
      </w:pPr>
      <w:r>
        <w:rPr/>
        <w:pict>
          <v:shape style="position:absolute;margin-left:42.299999pt;margin-top:-86.807701pt;width:240.3pt;height:133.6pt;mso-position-horizontal-relative:page;mso-position-vertical-relative:paragraph;z-index:6232"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76"/>
                    <w:gridCol w:w="690"/>
                    <w:gridCol w:w="708"/>
                    <w:gridCol w:w="708"/>
                    <w:gridCol w:w="720"/>
                    <w:gridCol w:w="690"/>
                  </w:tblGrid>
                  <w:tr>
                    <w:trPr>
                      <w:trHeight w:val="936" w:hRule="exact"/>
                    </w:trPr>
                    <w:tc>
                      <w:tcPr>
                        <w:tcW w:w="1276" w:type="dxa"/>
                        <w:shd w:val="clear" w:color="auto" w:fill="FFBF00"/>
                      </w:tcPr>
                      <w:p>
                        <w:pPr>
                          <w:pStyle w:val="TableParagraph"/>
                          <w:spacing w:before="9"/>
                          <w:rPr>
                            <w:sz w:val="21"/>
                          </w:rPr>
                        </w:pPr>
                      </w:p>
                      <w:p>
                        <w:pPr>
                          <w:pStyle w:val="TableParagraph"/>
                          <w:ind w:left="175" w:right="156" w:firstLine="52"/>
                          <w:rPr>
                            <w:sz w:val="18"/>
                          </w:rPr>
                        </w:pPr>
                        <w:r>
                          <w:rPr>
                            <w:sz w:val="18"/>
                          </w:rPr>
                          <w:t>Puntuación global grupo</w:t>
                        </w:r>
                      </w:p>
                    </w:tc>
                    <w:tc>
                      <w:tcPr>
                        <w:tcW w:w="690" w:type="dxa"/>
                        <w:shd w:val="clear" w:color="auto" w:fill="FFBF00"/>
                        <w:textDirection w:val="btLr"/>
                      </w:tcPr>
                      <w:p>
                        <w:pPr>
                          <w:pStyle w:val="TableParagraph"/>
                          <w:spacing w:line="247" w:lineRule="auto" w:before="106"/>
                          <w:ind w:left="262" w:right="214" w:hanging="30"/>
                          <w:rPr>
                            <w:sz w:val="18"/>
                          </w:rPr>
                        </w:pPr>
                        <w:r>
                          <w:rPr>
                            <w:sz w:val="18"/>
                          </w:rPr>
                          <w:t>Quitar llan</w:t>
                        </w:r>
                        <w:r>
                          <w:rPr>
                            <w:spacing w:val="-1"/>
                            <w:sz w:val="18"/>
                          </w:rPr>
                          <w:t>t</w:t>
                        </w:r>
                        <w:r>
                          <w:rPr>
                            <w:sz w:val="18"/>
                          </w:rPr>
                          <w:t>a</w:t>
                        </w:r>
                      </w:p>
                    </w:tc>
                    <w:tc>
                      <w:tcPr>
                        <w:tcW w:w="708" w:type="dxa"/>
                        <w:shd w:val="clear" w:color="auto" w:fill="FFBF00"/>
                        <w:textDirection w:val="btLr"/>
                      </w:tcPr>
                      <w:p>
                        <w:pPr>
                          <w:pStyle w:val="TableParagraph"/>
                          <w:spacing w:line="247" w:lineRule="auto" w:before="105"/>
                          <w:ind w:left="262" w:right="136" w:hanging="111"/>
                          <w:rPr>
                            <w:sz w:val="18"/>
                          </w:rPr>
                        </w:pPr>
                        <w:r>
                          <w:rPr>
                            <w:sz w:val="18"/>
                          </w:rPr>
                          <w:t>Cambi</w:t>
                        </w:r>
                        <w:r>
                          <w:rPr>
                            <w:spacing w:val="-1"/>
                            <w:sz w:val="18"/>
                          </w:rPr>
                          <w:t>a</w:t>
                        </w:r>
                        <w:r>
                          <w:rPr>
                            <w:sz w:val="18"/>
                          </w:rPr>
                          <w:t>r llan</w:t>
                        </w:r>
                        <w:r>
                          <w:rPr>
                            <w:spacing w:val="-1"/>
                            <w:sz w:val="18"/>
                          </w:rPr>
                          <w:t>t</w:t>
                        </w:r>
                        <w:r>
                          <w:rPr>
                            <w:sz w:val="18"/>
                          </w:rPr>
                          <w:t>a</w:t>
                        </w:r>
                      </w:p>
                    </w:tc>
                    <w:tc>
                      <w:tcPr>
                        <w:tcW w:w="708" w:type="dxa"/>
                        <w:shd w:val="clear" w:color="auto" w:fill="FFBF00"/>
                        <w:textDirection w:val="btLr"/>
                      </w:tcPr>
                      <w:p>
                        <w:pPr>
                          <w:pStyle w:val="TableParagraph"/>
                          <w:spacing w:line="247" w:lineRule="auto" w:before="105"/>
                          <w:ind w:left="210" w:right="115" w:hanging="77"/>
                          <w:rPr>
                            <w:sz w:val="18"/>
                          </w:rPr>
                        </w:pPr>
                        <w:r>
                          <w:rPr>
                            <w:sz w:val="18"/>
                          </w:rPr>
                          <w:t>Bala</w:t>
                        </w:r>
                        <w:r>
                          <w:rPr>
                            <w:spacing w:val="-2"/>
                            <w:sz w:val="18"/>
                          </w:rPr>
                          <w:t>n</w:t>
                        </w:r>
                        <w:r>
                          <w:rPr>
                            <w:sz w:val="18"/>
                          </w:rPr>
                          <w:t>cea r l</w:t>
                        </w:r>
                        <w:r>
                          <w:rPr>
                            <w:spacing w:val="-1"/>
                            <w:sz w:val="18"/>
                          </w:rPr>
                          <w:t>l</w:t>
                        </w:r>
                        <w:r>
                          <w:rPr>
                            <w:sz w:val="18"/>
                          </w:rPr>
                          <w:t>anta</w:t>
                        </w:r>
                      </w:p>
                    </w:tc>
                    <w:tc>
                      <w:tcPr>
                        <w:tcW w:w="720" w:type="dxa"/>
                        <w:shd w:val="clear" w:color="auto" w:fill="FFBF00"/>
                        <w:textDirection w:val="btLr"/>
                      </w:tcPr>
                      <w:p>
                        <w:pPr>
                          <w:pStyle w:val="TableParagraph"/>
                          <w:spacing w:line="247" w:lineRule="auto" w:before="106"/>
                          <w:ind w:left="262" w:right="160" w:hanging="86"/>
                          <w:rPr>
                            <w:sz w:val="18"/>
                          </w:rPr>
                        </w:pPr>
                        <w:r>
                          <w:rPr>
                            <w:sz w:val="18"/>
                          </w:rPr>
                          <w:t>Colocar llan</w:t>
                        </w:r>
                        <w:r>
                          <w:rPr>
                            <w:spacing w:val="-1"/>
                            <w:sz w:val="18"/>
                          </w:rPr>
                          <w:t>t</w:t>
                        </w:r>
                        <w:r>
                          <w:rPr>
                            <w:sz w:val="18"/>
                          </w:rPr>
                          <w:t>a</w:t>
                        </w:r>
                      </w:p>
                    </w:tc>
                    <w:tc>
                      <w:tcPr>
                        <w:tcW w:w="690" w:type="dxa"/>
                        <w:shd w:val="clear" w:color="auto" w:fill="FFBF00"/>
                        <w:textDirection w:val="btLr"/>
                      </w:tcPr>
                      <w:p>
                        <w:pPr>
                          <w:pStyle w:val="TableParagraph"/>
                          <w:spacing w:line="247" w:lineRule="auto" w:before="106"/>
                          <w:ind w:left="207" w:right="159" w:hanging="30"/>
                          <w:rPr>
                            <w:sz w:val="18"/>
                          </w:rPr>
                        </w:pPr>
                        <w:r>
                          <w:rPr>
                            <w:sz w:val="18"/>
                          </w:rPr>
                          <w:t>Tornear tambor</w:t>
                        </w:r>
                      </w:p>
                    </w:tc>
                  </w:tr>
                  <w:tr>
                    <w:trPr>
                      <w:trHeight w:val="307" w:hRule="exact"/>
                    </w:trPr>
                    <w:tc>
                      <w:tcPr>
                        <w:tcW w:w="1276" w:type="dxa"/>
                      </w:tcPr>
                      <w:p>
                        <w:pPr>
                          <w:pStyle w:val="TableParagraph"/>
                          <w:spacing w:line="202" w:lineRule="exact"/>
                          <w:ind w:left="103"/>
                          <w:rPr>
                            <w:sz w:val="18"/>
                          </w:rPr>
                        </w:pPr>
                        <w:r>
                          <w:rPr>
                            <w:sz w:val="18"/>
                          </w:rPr>
                          <w:t>A</w:t>
                        </w:r>
                      </w:p>
                    </w:tc>
                    <w:tc>
                      <w:tcPr>
                        <w:tcW w:w="690" w:type="dxa"/>
                      </w:tcPr>
                      <w:p>
                        <w:pPr>
                          <w:pStyle w:val="TableParagraph"/>
                          <w:spacing w:line="202" w:lineRule="exact"/>
                          <w:jc w:val="center"/>
                          <w:rPr>
                            <w:sz w:val="18"/>
                          </w:rPr>
                        </w:pPr>
                        <w:r>
                          <w:rPr>
                            <w:sz w:val="18"/>
                          </w:rPr>
                          <w:t>7</w:t>
                        </w:r>
                      </w:p>
                    </w:tc>
                    <w:tc>
                      <w:tcPr>
                        <w:tcW w:w="708" w:type="dxa"/>
                      </w:tcPr>
                      <w:p>
                        <w:pPr>
                          <w:pStyle w:val="TableParagraph"/>
                          <w:spacing w:line="202" w:lineRule="exact"/>
                          <w:jc w:val="center"/>
                          <w:rPr>
                            <w:sz w:val="18"/>
                          </w:rPr>
                        </w:pPr>
                        <w:r>
                          <w:rPr>
                            <w:sz w:val="18"/>
                          </w:rPr>
                          <w:t>4</w:t>
                        </w:r>
                      </w:p>
                    </w:tc>
                    <w:tc>
                      <w:tcPr>
                        <w:tcW w:w="708" w:type="dxa"/>
                      </w:tcPr>
                      <w:p>
                        <w:pPr>
                          <w:pStyle w:val="TableParagraph"/>
                          <w:spacing w:line="202" w:lineRule="exact"/>
                          <w:ind w:left="1"/>
                          <w:jc w:val="center"/>
                          <w:rPr>
                            <w:sz w:val="18"/>
                          </w:rPr>
                        </w:pPr>
                        <w:r>
                          <w:rPr>
                            <w:sz w:val="18"/>
                          </w:rPr>
                          <w:t>5</w:t>
                        </w:r>
                      </w:p>
                    </w:tc>
                    <w:tc>
                      <w:tcPr>
                        <w:tcW w:w="720" w:type="dxa"/>
                      </w:tcPr>
                      <w:p>
                        <w:pPr>
                          <w:pStyle w:val="TableParagraph"/>
                          <w:spacing w:line="202" w:lineRule="exact"/>
                          <w:ind w:left="306"/>
                          <w:rPr>
                            <w:sz w:val="18"/>
                          </w:rPr>
                        </w:pPr>
                        <w:r>
                          <w:rPr>
                            <w:sz w:val="18"/>
                          </w:rPr>
                          <w:t>7</w:t>
                        </w:r>
                      </w:p>
                    </w:tc>
                    <w:tc>
                      <w:tcPr>
                        <w:tcW w:w="690" w:type="dxa"/>
                      </w:tcPr>
                      <w:p>
                        <w:pPr>
                          <w:pStyle w:val="TableParagraph"/>
                          <w:spacing w:line="202" w:lineRule="exact"/>
                          <w:ind w:right="9"/>
                          <w:jc w:val="center"/>
                          <w:rPr>
                            <w:sz w:val="18"/>
                          </w:rPr>
                        </w:pPr>
                        <w:r>
                          <w:rPr>
                            <w:sz w:val="18"/>
                          </w:rPr>
                          <w:t>4</w:t>
                        </w:r>
                      </w:p>
                    </w:tc>
                  </w:tr>
                  <w:tr>
                    <w:trPr>
                      <w:trHeight w:val="299" w:hRule="exact"/>
                    </w:trPr>
                    <w:tc>
                      <w:tcPr>
                        <w:tcW w:w="1276" w:type="dxa"/>
                      </w:tcPr>
                      <w:p>
                        <w:pPr>
                          <w:pStyle w:val="TableParagraph"/>
                          <w:spacing w:before="36"/>
                          <w:ind w:left="103"/>
                          <w:rPr>
                            <w:sz w:val="18"/>
                          </w:rPr>
                        </w:pPr>
                        <w:r>
                          <w:rPr>
                            <w:sz w:val="18"/>
                          </w:rPr>
                          <w:t>B</w:t>
                        </w:r>
                      </w:p>
                    </w:tc>
                    <w:tc>
                      <w:tcPr>
                        <w:tcW w:w="690" w:type="dxa"/>
                      </w:tcPr>
                      <w:p>
                        <w:pPr>
                          <w:pStyle w:val="TableParagraph"/>
                          <w:spacing w:before="36"/>
                          <w:jc w:val="center"/>
                          <w:rPr>
                            <w:sz w:val="18"/>
                          </w:rPr>
                        </w:pPr>
                        <w:r>
                          <w:rPr>
                            <w:sz w:val="18"/>
                          </w:rPr>
                          <w:t>2</w:t>
                        </w:r>
                      </w:p>
                    </w:tc>
                    <w:tc>
                      <w:tcPr>
                        <w:tcW w:w="708" w:type="dxa"/>
                      </w:tcPr>
                      <w:p>
                        <w:pPr>
                          <w:pStyle w:val="TableParagraph"/>
                          <w:spacing w:before="36"/>
                          <w:ind w:right="1"/>
                          <w:jc w:val="center"/>
                          <w:rPr>
                            <w:sz w:val="18"/>
                          </w:rPr>
                        </w:pPr>
                        <w:r>
                          <w:rPr>
                            <w:sz w:val="18"/>
                          </w:rPr>
                          <w:t>6</w:t>
                        </w:r>
                      </w:p>
                    </w:tc>
                    <w:tc>
                      <w:tcPr>
                        <w:tcW w:w="708" w:type="dxa"/>
                      </w:tcPr>
                      <w:p>
                        <w:pPr>
                          <w:pStyle w:val="TableParagraph"/>
                          <w:spacing w:before="36"/>
                          <w:ind w:left="1"/>
                          <w:jc w:val="center"/>
                          <w:rPr>
                            <w:sz w:val="18"/>
                          </w:rPr>
                        </w:pPr>
                        <w:r>
                          <w:rPr>
                            <w:sz w:val="18"/>
                          </w:rPr>
                          <w:t>4</w:t>
                        </w:r>
                      </w:p>
                    </w:tc>
                    <w:tc>
                      <w:tcPr>
                        <w:tcW w:w="720" w:type="dxa"/>
                      </w:tcPr>
                      <w:p>
                        <w:pPr>
                          <w:pStyle w:val="TableParagraph"/>
                          <w:spacing w:line="203" w:lineRule="exact"/>
                          <w:ind w:left="305"/>
                          <w:rPr>
                            <w:sz w:val="18"/>
                          </w:rPr>
                        </w:pPr>
                        <w:r>
                          <w:rPr>
                            <w:sz w:val="18"/>
                          </w:rPr>
                          <w:t>2</w:t>
                        </w:r>
                      </w:p>
                    </w:tc>
                    <w:tc>
                      <w:tcPr>
                        <w:tcW w:w="690" w:type="dxa"/>
                      </w:tcPr>
                      <w:p>
                        <w:pPr>
                          <w:pStyle w:val="TableParagraph"/>
                          <w:spacing w:line="203" w:lineRule="exact"/>
                          <w:ind w:right="10"/>
                          <w:jc w:val="center"/>
                          <w:rPr>
                            <w:sz w:val="18"/>
                          </w:rPr>
                        </w:pPr>
                        <w:r>
                          <w:rPr>
                            <w:sz w:val="18"/>
                          </w:rPr>
                          <w:t>4</w:t>
                        </w:r>
                      </w:p>
                    </w:tc>
                  </w:tr>
                  <w:tr>
                    <w:trPr>
                      <w:trHeight w:val="274" w:hRule="exact"/>
                    </w:trPr>
                    <w:tc>
                      <w:tcPr>
                        <w:tcW w:w="1276" w:type="dxa"/>
                      </w:tcPr>
                      <w:p>
                        <w:pPr>
                          <w:pStyle w:val="TableParagraph"/>
                          <w:spacing w:line="202" w:lineRule="exact"/>
                          <w:ind w:left="103"/>
                          <w:rPr>
                            <w:sz w:val="18"/>
                          </w:rPr>
                        </w:pPr>
                        <w:r>
                          <w:rPr>
                            <w:sz w:val="18"/>
                          </w:rPr>
                          <w:t>C</w:t>
                        </w:r>
                      </w:p>
                    </w:tc>
                    <w:tc>
                      <w:tcPr>
                        <w:tcW w:w="690" w:type="dxa"/>
                      </w:tcPr>
                      <w:p>
                        <w:pPr>
                          <w:pStyle w:val="TableParagraph"/>
                          <w:spacing w:before="24"/>
                          <w:ind w:left="230" w:right="229"/>
                          <w:jc w:val="center"/>
                          <w:rPr>
                            <w:sz w:val="18"/>
                          </w:rPr>
                        </w:pPr>
                        <w:r>
                          <w:rPr>
                            <w:sz w:val="18"/>
                          </w:rPr>
                          <w:t>10</w:t>
                        </w:r>
                      </w:p>
                    </w:tc>
                    <w:tc>
                      <w:tcPr>
                        <w:tcW w:w="708" w:type="dxa"/>
                      </w:tcPr>
                      <w:p>
                        <w:pPr>
                          <w:pStyle w:val="TableParagraph"/>
                          <w:spacing w:before="24"/>
                          <w:ind w:right="1"/>
                          <w:jc w:val="center"/>
                          <w:rPr>
                            <w:sz w:val="18"/>
                          </w:rPr>
                        </w:pPr>
                        <w:r>
                          <w:rPr>
                            <w:sz w:val="18"/>
                          </w:rPr>
                          <w:t>6</w:t>
                        </w:r>
                      </w:p>
                    </w:tc>
                    <w:tc>
                      <w:tcPr>
                        <w:tcW w:w="708" w:type="dxa"/>
                      </w:tcPr>
                      <w:p>
                        <w:pPr>
                          <w:pStyle w:val="TableParagraph"/>
                          <w:spacing w:before="24"/>
                          <w:ind w:left="1"/>
                          <w:jc w:val="center"/>
                          <w:rPr>
                            <w:sz w:val="18"/>
                          </w:rPr>
                        </w:pPr>
                        <w:r>
                          <w:rPr>
                            <w:sz w:val="18"/>
                          </w:rPr>
                          <w:t>7</w:t>
                        </w:r>
                      </w:p>
                    </w:tc>
                    <w:tc>
                      <w:tcPr>
                        <w:tcW w:w="720" w:type="dxa"/>
                      </w:tcPr>
                      <w:p>
                        <w:pPr>
                          <w:pStyle w:val="TableParagraph"/>
                          <w:spacing w:line="202" w:lineRule="exact"/>
                          <w:ind w:left="260" w:right="126"/>
                          <w:rPr>
                            <w:sz w:val="18"/>
                          </w:rPr>
                        </w:pPr>
                        <w:r>
                          <w:rPr>
                            <w:sz w:val="18"/>
                          </w:rPr>
                          <w:t>10</w:t>
                        </w:r>
                      </w:p>
                    </w:tc>
                    <w:tc>
                      <w:tcPr>
                        <w:tcW w:w="690" w:type="dxa"/>
                      </w:tcPr>
                      <w:p>
                        <w:pPr>
                          <w:pStyle w:val="TableParagraph"/>
                          <w:spacing w:line="202" w:lineRule="exact"/>
                          <w:ind w:right="10"/>
                          <w:jc w:val="center"/>
                          <w:rPr>
                            <w:sz w:val="18"/>
                          </w:rPr>
                        </w:pPr>
                        <w:r>
                          <w:rPr>
                            <w:sz w:val="18"/>
                          </w:rPr>
                          <w:t>5</w:t>
                        </w:r>
                      </w:p>
                    </w:tc>
                  </w:tr>
                  <w:tr>
                    <w:trPr>
                      <w:trHeight w:val="278" w:hRule="exact"/>
                    </w:trPr>
                    <w:tc>
                      <w:tcPr>
                        <w:tcW w:w="1276" w:type="dxa"/>
                      </w:tcPr>
                      <w:p>
                        <w:pPr>
                          <w:pStyle w:val="TableParagraph"/>
                          <w:spacing w:before="26"/>
                          <w:ind w:left="103"/>
                          <w:rPr>
                            <w:sz w:val="18"/>
                          </w:rPr>
                        </w:pPr>
                        <w:r>
                          <w:rPr>
                            <w:sz w:val="18"/>
                          </w:rPr>
                          <w:t>D</w:t>
                        </w:r>
                      </w:p>
                    </w:tc>
                    <w:tc>
                      <w:tcPr>
                        <w:tcW w:w="690" w:type="dxa"/>
                      </w:tcPr>
                      <w:p>
                        <w:pPr>
                          <w:pStyle w:val="TableParagraph"/>
                          <w:spacing w:before="26"/>
                          <w:jc w:val="center"/>
                          <w:rPr>
                            <w:sz w:val="18"/>
                          </w:rPr>
                        </w:pPr>
                        <w:r>
                          <w:rPr>
                            <w:sz w:val="18"/>
                          </w:rPr>
                          <w:t>5</w:t>
                        </w:r>
                      </w:p>
                    </w:tc>
                    <w:tc>
                      <w:tcPr>
                        <w:tcW w:w="708" w:type="dxa"/>
                      </w:tcPr>
                      <w:p>
                        <w:pPr>
                          <w:pStyle w:val="TableParagraph"/>
                          <w:spacing w:before="26"/>
                          <w:jc w:val="center"/>
                          <w:rPr>
                            <w:sz w:val="18"/>
                          </w:rPr>
                        </w:pPr>
                        <w:r>
                          <w:rPr>
                            <w:sz w:val="18"/>
                          </w:rPr>
                          <w:t>8</w:t>
                        </w:r>
                      </w:p>
                    </w:tc>
                    <w:tc>
                      <w:tcPr>
                        <w:tcW w:w="708" w:type="dxa"/>
                      </w:tcPr>
                      <w:p>
                        <w:pPr>
                          <w:pStyle w:val="TableParagraph"/>
                          <w:spacing w:before="26"/>
                          <w:ind w:left="1"/>
                          <w:jc w:val="center"/>
                          <w:rPr>
                            <w:sz w:val="18"/>
                          </w:rPr>
                        </w:pPr>
                        <w:r>
                          <w:rPr>
                            <w:sz w:val="18"/>
                          </w:rPr>
                          <w:t>6</w:t>
                        </w:r>
                      </w:p>
                    </w:tc>
                    <w:tc>
                      <w:tcPr>
                        <w:tcW w:w="720" w:type="dxa"/>
                      </w:tcPr>
                      <w:p>
                        <w:pPr>
                          <w:pStyle w:val="TableParagraph"/>
                          <w:spacing w:line="202" w:lineRule="exact"/>
                          <w:ind w:left="305"/>
                          <w:rPr>
                            <w:sz w:val="18"/>
                          </w:rPr>
                        </w:pPr>
                        <w:r>
                          <w:rPr>
                            <w:sz w:val="18"/>
                          </w:rPr>
                          <w:t>5</w:t>
                        </w:r>
                      </w:p>
                    </w:tc>
                    <w:tc>
                      <w:tcPr>
                        <w:tcW w:w="690" w:type="dxa"/>
                      </w:tcPr>
                      <w:p>
                        <w:pPr>
                          <w:pStyle w:val="TableParagraph"/>
                          <w:spacing w:line="202" w:lineRule="exact"/>
                          <w:ind w:right="10"/>
                          <w:jc w:val="center"/>
                          <w:rPr>
                            <w:sz w:val="18"/>
                          </w:rPr>
                        </w:pPr>
                        <w:r>
                          <w:rPr>
                            <w:sz w:val="18"/>
                          </w:rPr>
                          <w:t>5</w:t>
                        </w:r>
                      </w:p>
                    </w:tc>
                  </w:tr>
                  <w:tr>
                    <w:trPr>
                      <w:trHeight w:val="282" w:hRule="exact"/>
                    </w:trPr>
                    <w:tc>
                      <w:tcPr>
                        <w:tcW w:w="1276" w:type="dxa"/>
                      </w:tcPr>
                      <w:p>
                        <w:pPr>
                          <w:pStyle w:val="TableParagraph"/>
                          <w:spacing w:line="202" w:lineRule="exact"/>
                          <w:ind w:left="103" w:right="156"/>
                          <w:rPr>
                            <w:sz w:val="18"/>
                          </w:rPr>
                        </w:pPr>
                        <w:r>
                          <w:rPr>
                            <w:sz w:val="18"/>
                          </w:rPr>
                          <w:t>Final</w:t>
                        </w:r>
                      </w:p>
                    </w:tc>
                    <w:tc>
                      <w:tcPr>
                        <w:tcW w:w="690" w:type="dxa"/>
                      </w:tcPr>
                      <w:p>
                        <w:pPr>
                          <w:pStyle w:val="TableParagraph"/>
                          <w:spacing w:before="27"/>
                          <w:jc w:val="center"/>
                          <w:rPr>
                            <w:sz w:val="18"/>
                          </w:rPr>
                        </w:pPr>
                        <w:r>
                          <w:rPr>
                            <w:sz w:val="18"/>
                          </w:rPr>
                          <w:t>7</w:t>
                        </w:r>
                      </w:p>
                    </w:tc>
                    <w:tc>
                      <w:tcPr>
                        <w:tcW w:w="708" w:type="dxa"/>
                      </w:tcPr>
                      <w:p>
                        <w:pPr>
                          <w:pStyle w:val="TableParagraph"/>
                          <w:spacing w:before="27"/>
                          <w:ind w:right="1"/>
                          <w:jc w:val="center"/>
                          <w:rPr>
                            <w:sz w:val="18"/>
                          </w:rPr>
                        </w:pPr>
                        <w:r>
                          <w:rPr>
                            <w:sz w:val="18"/>
                          </w:rPr>
                          <w:t>7</w:t>
                        </w:r>
                      </w:p>
                    </w:tc>
                    <w:tc>
                      <w:tcPr>
                        <w:tcW w:w="708" w:type="dxa"/>
                      </w:tcPr>
                      <w:p>
                        <w:pPr>
                          <w:pStyle w:val="TableParagraph"/>
                          <w:spacing w:before="27"/>
                          <w:ind w:left="1"/>
                          <w:jc w:val="center"/>
                          <w:rPr>
                            <w:sz w:val="18"/>
                          </w:rPr>
                        </w:pPr>
                        <w:r>
                          <w:rPr>
                            <w:sz w:val="18"/>
                          </w:rPr>
                          <w:t>7</w:t>
                        </w:r>
                      </w:p>
                    </w:tc>
                    <w:tc>
                      <w:tcPr>
                        <w:tcW w:w="720" w:type="dxa"/>
                      </w:tcPr>
                      <w:p>
                        <w:pPr>
                          <w:pStyle w:val="TableParagraph"/>
                          <w:spacing w:before="27"/>
                          <w:ind w:left="305"/>
                          <w:rPr>
                            <w:sz w:val="18"/>
                          </w:rPr>
                        </w:pPr>
                        <w:r>
                          <w:rPr>
                            <w:sz w:val="18"/>
                          </w:rPr>
                          <w:t>7</w:t>
                        </w:r>
                      </w:p>
                    </w:tc>
                    <w:tc>
                      <w:tcPr>
                        <w:tcW w:w="690" w:type="dxa"/>
                      </w:tcPr>
                      <w:p>
                        <w:pPr>
                          <w:pStyle w:val="TableParagraph"/>
                          <w:spacing w:line="202" w:lineRule="exact"/>
                          <w:ind w:right="10"/>
                          <w:jc w:val="center"/>
                          <w:rPr>
                            <w:sz w:val="18"/>
                          </w:rPr>
                        </w:pPr>
                        <w:r>
                          <w:rPr>
                            <w:sz w:val="18"/>
                          </w:rPr>
                          <w:t>6</w:t>
                        </w:r>
                      </w:p>
                    </w:tc>
                  </w:tr>
                  <w:tr>
                    <w:trPr>
                      <w:trHeight w:val="286" w:hRule="exact"/>
                    </w:trPr>
                    <w:tc>
                      <w:tcPr>
                        <w:tcW w:w="1276" w:type="dxa"/>
                      </w:tcPr>
                      <w:p>
                        <w:pPr>
                          <w:pStyle w:val="TableParagraph"/>
                          <w:spacing w:before="30"/>
                          <w:ind w:left="103" w:right="156"/>
                          <w:rPr>
                            <w:sz w:val="18"/>
                          </w:rPr>
                        </w:pPr>
                        <w:r>
                          <w:rPr>
                            <w:sz w:val="18"/>
                          </w:rPr>
                          <w:t>Nivel</w:t>
                        </w:r>
                      </w:p>
                    </w:tc>
                    <w:tc>
                      <w:tcPr>
                        <w:tcW w:w="690" w:type="dxa"/>
                      </w:tcPr>
                      <w:p>
                        <w:pPr>
                          <w:pStyle w:val="TableParagraph"/>
                          <w:spacing w:before="30"/>
                          <w:jc w:val="center"/>
                          <w:rPr>
                            <w:sz w:val="18"/>
                          </w:rPr>
                        </w:pPr>
                        <w:r>
                          <w:rPr>
                            <w:sz w:val="18"/>
                          </w:rPr>
                          <w:t>4</w:t>
                        </w:r>
                      </w:p>
                    </w:tc>
                    <w:tc>
                      <w:tcPr>
                        <w:tcW w:w="708" w:type="dxa"/>
                      </w:tcPr>
                      <w:p>
                        <w:pPr>
                          <w:pStyle w:val="TableParagraph"/>
                          <w:spacing w:before="30"/>
                          <w:ind w:right="1"/>
                          <w:jc w:val="center"/>
                          <w:rPr>
                            <w:sz w:val="18"/>
                          </w:rPr>
                        </w:pPr>
                        <w:r>
                          <w:rPr>
                            <w:sz w:val="18"/>
                          </w:rPr>
                          <w:t>4</w:t>
                        </w:r>
                      </w:p>
                    </w:tc>
                    <w:tc>
                      <w:tcPr>
                        <w:tcW w:w="708" w:type="dxa"/>
                      </w:tcPr>
                      <w:p>
                        <w:pPr>
                          <w:pStyle w:val="TableParagraph"/>
                          <w:spacing w:before="30"/>
                          <w:jc w:val="center"/>
                          <w:rPr>
                            <w:sz w:val="18"/>
                          </w:rPr>
                        </w:pPr>
                        <w:r>
                          <w:rPr>
                            <w:sz w:val="18"/>
                          </w:rPr>
                          <w:t>4</w:t>
                        </w:r>
                      </w:p>
                    </w:tc>
                    <w:tc>
                      <w:tcPr>
                        <w:tcW w:w="720" w:type="dxa"/>
                      </w:tcPr>
                      <w:p>
                        <w:pPr>
                          <w:pStyle w:val="TableParagraph"/>
                          <w:spacing w:before="30"/>
                          <w:ind w:left="305"/>
                          <w:rPr>
                            <w:sz w:val="18"/>
                          </w:rPr>
                        </w:pPr>
                        <w:r>
                          <w:rPr>
                            <w:sz w:val="18"/>
                          </w:rPr>
                          <w:t>4</w:t>
                        </w:r>
                      </w:p>
                    </w:tc>
                    <w:tc>
                      <w:tcPr>
                        <w:tcW w:w="690" w:type="dxa"/>
                      </w:tcPr>
                      <w:p>
                        <w:pPr>
                          <w:pStyle w:val="TableParagraph"/>
                          <w:spacing w:line="202" w:lineRule="exact"/>
                          <w:ind w:right="10"/>
                          <w:jc w:val="center"/>
                          <w:rPr>
                            <w:sz w:val="18"/>
                          </w:rPr>
                        </w:pPr>
                        <w:r>
                          <w:rPr>
                            <w:sz w:val="18"/>
                          </w:rPr>
                          <w:t>3</w:t>
                        </w:r>
                      </w:p>
                    </w:tc>
                  </w:tr>
                </w:tbl>
                <w:p>
                  <w:pPr>
                    <w:pStyle w:val="BodyText"/>
                  </w:pPr>
                </w:p>
              </w:txbxContent>
            </v:textbox>
            <w10:wrap type="none"/>
          </v:shape>
        </w:pict>
      </w:r>
      <w:r>
        <w:rPr>
          <w:sz w:val="18"/>
        </w:rPr>
        <w:t>The table 7, shows the percentage in each of the activities that take place in the automotive workshop. This is a concentrate of  diagrams of process of each activity, with operations, transport, delays and</w:t>
      </w:r>
      <w:r>
        <w:rPr>
          <w:spacing w:val="-20"/>
          <w:sz w:val="18"/>
        </w:rPr>
        <w:t> </w:t>
      </w:r>
      <w:r>
        <w:rPr>
          <w:sz w:val="18"/>
        </w:rPr>
        <w:t>inspections.</w:t>
      </w:r>
    </w:p>
    <w:p>
      <w:pPr>
        <w:spacing w:line="206" w:lineRule="exact" w:before="0"/>
        <w:ind w:left="6646" w:right="1218" w:firstLine="0"/>
        <w:jc w:val="left"/>
        <w:rPr>
          <w:sz w:val="18"/>
        </w:rPr>
      </w:pPr>
      <w:r>
        <w:rPr>
          <w:sz w:val="18"/>
        </w:rPr>
        <w:t>Table 7. Percentage of each activity workshop</w:t>
      </w:r>
    </w:p>
    <w:p>
      <w:pPr>
        <w:pStyle w:val="BodyText"/>
        <w:spacing w:before="7"/>
        <w:rPr>
          <w:sz w:val="13"/>
        </w:rPr>
      </w:pPr>
    </w:p>
    <w:p>
      <w:pPr>
        <w:spacing w:before="77"/>
        <w:ind w:left="270" w:right="6275" w:firstLine="0"/>
        <w:jc w:val="both"/>
        <w:rPr>
          <w:sz w:val="18"/>
        </w:rPr>
      </w:pPr>
      <w:r>
        <w:rPr/>
        <w:pict>
          <v:shape style="position:absolute;margin-left:328.739990pt;margin-top:2.772357pt;width:236.2pt;height:121.2pt;mso-position-horizontal-relative:page;mso-position-vertical-relative:paragraph;z-index:6256" type="#_x0000_t202" filled="false" stroked="false">
            <v:textbox inset="0,0,0,0">
              <w:txbxContent>
                <w:tbl>
                  <w:tblPr>
                    <w:tblW w:w="0" w:type="auto"/>
                    <w:jc w:val="left"/>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844"/>
                    <w:gridCol w:w="709"/>
                    <w:gridCol w:w="708"/>
                    <w:gridCol w:w="709"/>
                    <w:gridCol w:w="709"/>
                  </w:tblGrid>
                  <w:tr>
                    <w:trPr>
                      <w:trHeight w:val="1289" w:hRule="exact"/>
                    </w:trPr>
                    <w:tc>
                      <w:tcPr>
                        <w:tcW w:w="1844" w:type="dxa"/>
                        <w:tcBorders>
                          <w:right w:val="single" w:sz="4" w:space="0" w:color="000000"/>
                        </w:tcBorders>
                        <w:shd w:val="clear" w:color="auto" w:fill="FFBF00"/>
                      </w:tcPr>
                      <w:p>
                        <w:pPr>
                          <w:pStyle w:val="TableParagraph"/>
                          <w:rPr>
                            <w:sz w:val="18"/>
                          </w:rPr>
                        </w:pPr>
                      </w:p>
                      <w:p>
                        <w:pPr>
                          <w:pStyle w:val="TableParagraph"/>
                          <w:rPr>
                            <w:sz w:val="18"/>
                          </w:rPr>
                        </w:pPr>
                      </w:p>
                      <w:p>
                        <w:pPr>
                          <w:pStyle w:val="TableParagraph"/>
                          <w:spacing w:before="110"/>
                          <w:ind w:left="452"/>
                          <w:rPr>
                            <w:b/>
                            <w:sz w:val="18"/>
                          </w:rPr>
                        </w:pPr>
                        <w:r>
                          <w:rPr>
                            <w:b/>
                            <w:sz w:val="18"/>
                          </w:rPr>
                          <w:t>Descripción</w:t>
                        </w:r>
                      </w:p>
                    </w:tc>
                    <w:tc>
                      <w:tcPr>
                        <w:tcW w:w="709" w:type="dxa"/>
                        <w:tcBorders>
                          <w:left w:val="single" w:sz="4" w:space="0" w:color="000000"/>
                          <w:right w:val="single" w:sz="4" w:space="0" w:color="000000"/>
                        </w:tcBorders>
                        <w:shd w:val="clear" w:color="auto" w:fill="FFBF00"/>
                        <w:textDirection w:val="btLr"/>
                      </w:tcPr>
                      <w:p>
                        <w:pPr>
                          <w:pStyle w:val="TableParagraph"/>
                          <w:spacing w:before="4"/>
                          <w:rPr>
                            <w:sz w:val="21"/>
                          </w:rPr>
                        </w:pPr>
                      </w:p>
                      <w:p>
                        <w:pPr>
                          <w:pStyle w:val="TableParagraph"/>
                          <w:ind w:left="383"/>
                          <w:rPr>
                            <w:b/>
                            <w:sz w:val="18"/>
                          </w:rPr>
                        </w:pPr>
                        <w:r>
                          <w:rPr>
                            <w:b/>
                            <w:sz w:val="18"/>
                          </w:rPr>
                          <w:t>O</w:t>
                        </w:r>
                        <w:r>
                          <w:rPr>
                            <w:b/>
                            <w:spacing w:val="-1"/>
                            <w:sz w:val="18"/>
                          </w:rPr>
                          <w:t>p</w:t>
                        </w:r>
                        <w:r>
                          <w:rPr>
                            <w:b/>
                            <w:sz w:val="18"/>
                          </w:rPr>
                          <w:t>era</w:t>
                        </w:r>
                      </w:p>
                    </w:tc>
                    <w:tc>
                      <w:tcPr>
                        <w:tcW w:w="708" w:type="dxa"/>
                        <w:tcBorders>
                          <w:left w:val="single" w:sz="4" w:space="0" w:color="000000"/>
                          <w:right w:val="single" w:sz="4" w:space="0" w:color="000000"/>
                        </w:tcBorders>
                        <w:shd w:val="clear" w:color="auto" w:fill="FFBF00"/>
                        <w:textDirection w:val="btLr"/>
                      </w:tcPr>
                      <w:p>
                        <w:pPr>
                          <w:pStyle w:val="TableParagraph"/>
                          <w:spacing w:before="4"/>
                          <w:rPr>
                            <w:sz w:val="21"/>
                          </w:rPr>
                        </w:pPr>
                      </w:p>
                      <w:p>
                        <w:pPr>
                          <w:pStyle w:val="TableParagraph"/>
                          <w:ind w:left="193"/>
                          <w:rPr>
                            <w:b/>
                            <w:sz w:val="18"/>
                          </w:rPr>
                        </w:pPr>
                        <w:r>
                          <w:rPr>
                            <w:b/>
                            <w:sz w:val="18"/>
                          </w:rPr>
                          <w:t>Transporte</w:t>
                        </w:r>
                      </w:p>
                    </w:tc>
                    <w:tc>
                      <w:tcPr>
                        <w:tcW w:w="709" w:type="dxa"/>
                        <w:tcBorders>
                          <w:left w:val="single" w:sz="4" w:space="0" w:color="000000"/>
                          <w:right w:val="single" w:sz="4" w:space="0" w:color="000000"/>
                        </w:tcBorders>
                        <w:shd w:val="clear" w:color="auto" w:fill="FFBF00"/>
                        <w:textDirection w:val="btLr"/>
                      </w:tcPr>
                      <w:p>
                        <w:pPr>
                          <w:pStyle w:val="TableParagraph"/>
                          <w:spacing w:before="4"/>
                          <w:rPr>
                            <w:sz w:val="21"/>
                          </w:rPr>
                        </w:pPr>
                      </w:p>
                      <w:p>
                        <w:pPr>
                          <w:pStyle w:val="TableParagraph"/>
                          <w:ind w:left="317"/>
                          <w:rPr>
                            <w:b/>
                            <w:sz w:val="18"/>
                          </w:rPr>
                        </w:pPr>
                        <w:r>
                          <w:rPr>
                            <w:b/>
                            <w:sz w:val="18"/>
                          </w:rPr>
                          <w:t>Demora</w:t>
                        </w:r>
                      </w:p>
                    </w:tc>
                    <w:tc>
                      <w:tcPr>
                        <w:tcW w:w="709" w:type="dxa"/>
                        <w:tcBorders>
                          <w:left w:val="single" w:sz="4" w:space="0" w:color="000000"/>
                        </w:tcBorders>
                        <w:shd w:val="clear" w:color="auto" w:fill="FFBF00"/>
                        <w:textDirection w:val="btLr"/>
                      </w:tcPr>
                      <w:p>
                        <w:pPr>
                          <w:pStyle w:val="TableParagraph"/>
                          <w:spacing w:before="11"/>
                          <w:rPr>
                            <w:sz w:val="20"/>
                          </w:rPr>
                        </w:pPr>
                      </w:p>
                      <w:p>
                        <w:pPr>
                          <w:pStyle w:val="TableParagraph"/>
                          <w:ind w:left="218"/>
                          <w:rPr>
                            <w:b/>
                            <w:sz w:val="18"/>
                          </w:rPr>
                        </w:pPr>
                        <w:r>
                          <w:rPr>
                            <w:b/>
                            <w:spacing w:val="-1"/>
                            <w:sz w:val="18"/>
                          </w:rPr>
                          <w:t>In</w:t>
                        </w:r>
                        <w:r>
                          <w:rPr>
                            <w:b/>
                            <w:sz w:val="18"/>
                          </w:rPr>
                          <w:t>s</w:t>
                        </w:r>
                        <w:r>
                          <w:rPr>
                            <w:b/>
                            <w:spacing w:val="-1"/>
                            <w:sz w:val="18"/>
                          </w:rPr>
                          <w:t>p</w:t>
                        </w:r>
                        <w:r>
                          <w:rPr>
                            <w:b/>
                            <w:sz w:val="18"/>
                          </w:rPr>
                          <w:t>ección</w:t>
                        </w:r>
                      </w:p>
                    </w:tc>
                  </w:tr>
                  <w:tr>
                    <w:trPr>
                      <w:trHeight w:val="226" w:hRule="exact"/>
                    </w:trPr>
                    <w:tc>
                      <w:tcPr>
                        <w:tcW w:w="1844" w:type="dxa"/>
                        <w:tcBorders>
                          <w:bottom w:val="single" w:sz="4" w:space="0" w:color="000000"/>
                          <w:right w:val="single" w:sz="4" w:space="0" w:color="000000"/>
                        </w:tcBorders>
                      </w:tcPr>
                      <w:p>
                        <w:pPr>
                          <w:pStyle w:val="TableParagraph"/>
                          <w:spacing w:line="202" w:lineRule="exact"/>
                          <w:ind w:left="93"/>
                          <w:rPr>
                            <w:sz w:val="18"/>
                          </w:rPr>
                        </w:pPr>
                        <w:r>
                          <w:rPr>
                            <w:sz w:val="18"/>
                          </w:rPr>
                          <w:t>Torneado</w:t>
                        </w:r>
                      </w:p>
                    </w:tc>
                    <w:tc>
                      <w:tcPr>
                        <w:tcW w:w="709" w:type="dxa"/>
                        <w:tcBorders>
                          <w:left w:val="single" w:sz="4" w:space="0" w:color="000000"/>
                          <w:bottom w:val="single" w:sz="4" w:space="0" w:color="000000"/>
                          <w:right w:val="single" w:sz="4" w:space="0" w:color="000000"/>
                        </w:tcBorders>
                      </w:tcPr>
                      <w:p>
                        <w:pPr>
                          <w:pStyle w:val="TableParagraph"/>
                          <w:spacing w:line="202" w:lineRule="exact"/>
                          <w:ind w:left="82" w:right="82"/>
                          <w:jc w:val="center"/>
                          <w:rPr>
                            <w:sz w:val="18"/>
                          </w:rPr>
                        </w:pPr>
                        <w:r>
                          <w:rPr>
                            <w:sz w:val="18"/>
                          </w:rPr>
                          <w:t>65</w:t>
                        </w:r>
                      </w:p>
                    </w:tc>
                    <w:tc>
                      <w:tcPr>
                        <w:tcW w:w="708" w:type="dxa"/>
                        <w:tcBorders>
                          <w:left w:val="single" w:sz="4" w:space="0" w:color="000000"/>
                          <w:bottom w:val="single" w:sz="4" w:space="0" w:color="000000"/>
                          <w:right w:val="single" w:sz="4" w:space="0" w:color="000000"/>
                        </w:tcBorders>
                      </w:tcPr>
                      <w:p>
                        <w:pPr>
                          <w:pStyle w:val="TableParagraph"/>
                          <w:spacing w:line="202" w:lineRule="exact"/>
                          <w:ind w:left="89" w:right="90"/>
                          <w:jc w:val="center"/>
                          <w:rPr>
                            <w:sz w:val="18"/>
                          </w:rPr>
                        </w:pPr>
                        <w:r>
                          <w:rPr>
                            <w:sz w:val="18"/>
                          </w:rPr>
                          <w:t>27</w:t>
                        </w:r>
                      </w:p>
                    </w:tc>
                    <w:tc>
                      <w:tcPr>
                        <w:tcW w:w="709" w:type="dxa"/>
                        <w:tcBorders>
                          <w:left w:val="single" w:sz="4" w:space="0" w:color="000000"/>
                          <w:bottom w:val="single" w:sz="4" w:space="0" w:color="000000"/>
                          <w:right w:val="single" w:sz="4" w:space="0" w:color="000000"/>
                        </w:tcBorders>
                      </w:tcPr>
                      <w:p>
                        <w:pPr>
                          <w:pStyle w:val="TableParagraph"/>
                          <w:spacing w:line="202" w:lineRule="exact"/>
                          <w:ind w:left="304"/>
                          <w:rPr>
                            <w:sz w:val="18"/>
                          </w:rPr>
                        </w:pPr>
                        <w:r>
                          <w:rPr>
                            <w:sz w:val="18"/>
                          </w:rPr>
                          <w:t>5</w:t>
                        </w:r>
                      </w:p>
                    </w:tc>
                    <w:tc>
                      <w:tcPr>
                        <w:tcW w:w="709" w:type="dxa"/>
                        <w:tcBorders>
                          <w:left w:val="single" w:sz="4" w:space="0" w:color="000000"/>
                          <w:bottom w:val="single" w:sz="4" w:space="0" w:color="000000"/>
                        </w:tcBorders>
                      </w:tcPr>
                      <w:p>
                        <w:pPr>
                          <w:pStyle w:val="TableParagraph"/>
                          <w:spacing w:line="202" w:lineRule="exact"/>
                          <w:ind w:left="9"/>
                          <w:jc w:val="center"/>
                          <w:rPr>
                            <w:sz w:val="18"/>
                          </w:rPr>
                        </w:pPr>
                        <w:r>
                          <w:rPr>
                            <w:sz w:val="18"/>
                          </w:rPr>
                          <w:t>4</w:t>
                        </w:r>
                      </w:p>
                    </w:tc>
                  </w:tr>
                  <w:tr>
                    <w:trPr>
                      <w:trHeight w:val="217" w:hRule="exact"/>
                    </w:trPr>
                    <w:tc>
                      <w:tcPr>
                        <w:tcW w:w="1844" w:type="dxa"/>
                        <w:tcBorders>
                          <w:top w:val="single" w:sz="4" w:space="0" w:color="000000"/>
                          <w:bottom w:val="single" w:sz="4" w:space="0" w:color="000000"/>
                          <w:right w:val="single" w:sz="4" w:space="0" w:color="000000"/>
                        </w:tcBorders>
                      </w:tcPr>
                      <w:p>
                        <w:pPr>
                          <w:pStyle w:val="TableParagraph"/>
                          <w:spacing w:line="203" w:lineRule="exact"/>
                          <w:ind w:left="93"/>
                          <w:rPr>
                            <w:sz w:val="18"/>
                          </w:rPr>
                        </w:pPr>
                        <w:r>
                          <w:rPr>
                            <w:sz w:val="18"/>
                          </w:rPr>
                          <w:t>Desmontar llanta</w:t>
                        </w:r>
                      </w:p>
                    </w:tc>
                    <w:tc>
                      <w:tcPr>
                        <w:tcW w:w="70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81" w:right="82"/>
                          <w:jc w:val="center"/>
                          <w:rPr>
                            <w:sz w:val="18"/>
                          </w:rPr>
                        </w:pPr>
                        <w:r>
                          <w:rPr>
                            <w:sz w:val="18"/>
                          </w:rPr>
                          <w:t>40</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90" w:right="90"/>
                          <w:jc w:val="center"/>
                          <w:rPr>
                            <w:sz w:val="18"/>
                          </w:rPr>
                        </w:pPr>
                        <w:r>
                          <w:rPr>
                            <w:sz w:val="18"/>
                          </w:rPr>
                          <w:t>40</w:t>
                        </w:r>
                      </w:p>
                    </w:tc>
                    <w:tc>
                      <w:tcPr>
                        <w:tcW w:w="70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259"/>
                          <w:rPr>
                            <w:sz w:val="18"/>
                          </w:rPr>
                        </w:pPr>
                        <w:r>
                          <w:rPr>
                            <w:sz w:val="18"/>
                          </w:rPr>
                          <w:t>20</w:t>
                        </w:r>
                      </w:p>
                    </w:tc>
                    <w:tc>
                      <w:tcPr>
                        <w:tcW w:w="709" w:type="dxa"/>
                        <w:tcBorders>
                          <w:top w:val="single" w:sz="4" w:space="0" w:color="000000"/>
                          <w:left w:val="single" w:sz="4" w:space="0" w:color="000000"/>
                          <w:bottom w:val="single" w:sz="4" w:space="0" w:color="000000"/>
                        </w:tcBorders>
                      </w:tcPr>
                      <w:p>
                        <w:pPr>
                          <w:pStyle w:val="TableParagraph"/>
                          <w:spacing w:line="203" w:lineRule="exact"/>
                          <w:ind w:left="11"/>
                          <w:jc w:val="center"/>
                          <w:rPr>
                            <w:sz w:val="18"/>
                          </w:rPr>
                        </w:pPr>
                        <w:r>
                          <w:rPr>
                            <w:sz w:val="18"/>
                          </w:rPr>
                          <w:t>0</w:t>
                        </w:r>
                      </w:p>
                    </w:tc>
                  </w:tr>
                  <w:tr>
                    <w:trPr>
                      <w:trHeight w:val="217" w:hRule="exact"/>
                    </w:trPr>
                    <w:tc>
                      <w:tcPr>
                        <w:tcW w:w="1844" w:type="dxa"/>
                        <w:tcBorders>
                          <w:top w:val="single" w:sz="4" w:space="0" w:color="000000"/>
                          <w:bottom w:val="single" w:sz="4" w:space="0" w:color="000000"/>
                          <w:right w:val="single" w:sz="4" w:space="0" w:color="000000"/>
                        </w:tcBorders>
                      </w:tcPr>
                      <w:p>
                        <w:pPr>
                          <w:pStyle w:val="TableParagraph"/>
                          <w:spacing w:line="202" w:lineRule="exact"/>
                          <w:ind w:left="93"/>
                          <w:rPr>
                            <w:sz w:val="18"/>
                          </w:rPr>
                        </w:pPr>
                        <w:r>
                          <w:rPr>
                            <w:sz w:val="18"/>
                          </w:rPr>
                          <w:t>Cambio de llanta</w:t>
                        </w:r>
                      </w:p>
                    </w:tc>
                    <w:tc>
                      <w:tcPr>
                        <w:tcW w:w="709" w:type="dxa"/>
                        <w:tcBorders>
                          <w:top w:val="single" w:sz="4" w:space="0" w:color="000000"/>
                          <w:left w:val="single" w:sz="4" w:space="0" w:color="000000"/>
                          <w:bottom w:val="single" w:sz="4" w:space="0" w:color="000000"/>
                          <w:right w:val="single" w:sz="4" w:space="0" w:color="000000"/>
                        </w:tcBorders>
                      </w:tcPr>
                      <w:p>
                        <w:pPr>
                          <w:pStyle w:val="TableParagraph"/>
                          <w:spacing w:line="202" w:lineRule="exact"/>
                          <w:ind w:left="83" w:right="82"/>
                          <w:jc w:val="center"/>
                          <w:rPr>
                            <w:sz w:val="18"/>
                          </w:rPr>
                        </w:pPr>
                        <w:r>
                          <w:rPr>
                            <w:sz w:val="18"/>
                          </w:rPr>
                          <w:t>42.3</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line="202" w:lineRule="exact"/>
                          <w:ind w:left="90" w:right="89"/>
                          <w:jc w:val="center"/>
                          <w:rPr>
                            <w:sz w:val="18"/>
                          </w:rPr>
                        </w:pPr>
                        <w:r>
                          <w:rPr>
                            <w:sz w:val="18"/>
                          </w:rPr>
                          <w:t>20.1</w:t>
                        </w:r>
                      </w:p>
                    </w:tc>
                    <w:tc>
                      <w:tcPr>
                        <w:tcW w:w="709" w:type="dxa"/>
                        <w:tcBorders>
                          <w:top w:val="single" w:sz="4" w:space="0" w:color="000000"/>
                          <w:left w:val="single" w:sz="4" w:space="0" w:color="000000"/>
                          <w:bottom w:val="single" w:sz="4" w:space="0" w:color="000000"/>
                          <w:right w:val="single" w:sz="4" w:space="0" w:color="000000"/>
                        </w:tcBorders>
                      </w:tcPr>
                      <w:p>
                        <w:pPr>
                          <w:pStyle w:val="TableParagraph"/>
                          <w:spacing w:line="202" w:lineRule="exact"/>
                          <w:ind w:left="191"/>
                          <w:rPr>
                            <w:sz w:val="18"/>
                          </w:rPr>
                        </w:pPr>
                        <w:r>
                          <w:rPr>
                            <w:sz w:val="18"/>
                          </w:rPr>
                          <w:t>37.6</w:t>
                        </w:r>
                      </w:p>
                    </w:tc>
                    <w:tc>
                      <w:tcPr>
                        <w:tcW w:w="709" w:type="dxa"/>
                        <w:tcBorders>
                          <w:top w:val="single" w:sz="4" w:space="0" w:color="000000"/>
                          <w:left w:val="single" w:sz="4" w:space="0" w:color="000000"/>
                          <w:bottom w:val="single" w:sz="4" w:space="0" w:color="000000"/>
                        </w:tcBorders>
                      </w:tcPr>
                      <w:p>
                        <w:pPr>
                          <w:pStyle w:val="TableParagraph"/>
                          <w:spacing w:line="202" w:lineRule="exact"/>
                          <w:ind w:left="9"/>
                          <w:jc w:val="center"/>
                          <w:rPr>
                            <w:sz w:val="18"/>
                          </w:rPr>
                        </w:pPr>
                        <w:r>
                          <w:rPr>
                            <w:sz w:val="18"/>
                          </w:rPr>
                          <w:t>0</w:t>
                        </w:r>
                      </w:p>
                    </w:tc>
                  </w:tr>
                  <w:tr>
                    <w:trPr>
                      <w:trHeight w:val="217" w:hRule="exact"/>
                    </w:trPr>
                    <w:tc>
                      <w:tcPr>
                        <w:tcW w:w="1844" w:type="dxa"/>
                        <w:tcBorders>
                          <w:top w:val="single" w:sz="4" w:space="0" w:color="000000"/>
                          <w:bottom w:val="single" w:sz="4" w:space="0" w:color="000000"/>
                          <w:right w:val="single" w:sz="4" w:space="0" w:color="000000"/>
                        </w:tcBorders>
                      </w:tcPr>
                      <w:p>
                        <w:pPr>
                          <w:pStyle w:val="TableParagraph"/>
                          <w:spacing w:line="202" w:lineRule="exact"/>
                          <w:ind w:left="93"/>
                          <w:rPr>
                            <w:sz w:val="18"/>
                          </w:rPr>
                        </w:pPr>
                        <w:r>
                          <w:rPr>
                            <w:sz w:val="18"/>
                          </w:rPr>
                          <w:t>Balancear llanta</w:t>
                        </w:r>
                      </w:p>
                    </w:tc>
                    <w:tc>
                      <w:tcPr>
                        <w:tcW w:w="709" w:type="dxa"/>
                        <w:tcBorders>
                          <w:top w:val="single" w:sz="4" w:space="0" w:color="000000"/>
                          <w:left w:val="single" w:sz="4" w:space="0" w:color="000000"/>
                          <w:bottom w:val="single" w:sz="4" w:space="0" w:color="000000"/>
                          <w:right w:val="single" w:sz="4" w:space="0" w:color="000000"/>
                        </w:tcBorders>
                      </w:tcPr>
                      <w:p>
                        <w:pPr>
                          <w:pStyle w:val="TableParagraph"/>
                          <w:spacing w:line="202" w:lineRule="exact"/>
                          <w:ind w:left="82" w:right="82"/>
                          <w:jc w:val="center"/>
                          <w:rPr>
                            <w:sz w:val="18"/>
                          </w:rPr>
                        </w:pPr>
                        <w:r>
                          <w:rPr>
                            <w:sz w:val="18"/>
                          </w:rPr>
                          <w:t>15.5</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line="202" w:lineRule="exact"/>
                          <w:ind w:left="90" w:right="89"/>
                          <w:jc w:val="center"/>
                          <w:rPr>
                            <w:sz w:val="18"/>
                          </w:rPr>
                        </w:pPr>
                        <w:r>
                          <w:rPr>
                            <w:sz w:val="18"/>
                          </w:rPr>
                          <w:t>44.6</w:t>
                        </w:r>
                      </w:p>
                    </w:tc>
                    <w:tc>
                      <w:tcPr>
                        <w:tcW w:w="709" w:type="dxa"/>
                        <w:tcBorders>
                          <w:top w:val="single" w:sz="4" w:space="0" w:color="000000"/>
                          <w:left w:val="single" w:sz="4" w:space="0" w:color="000000"/>
                          <w:bottom w:val="single" w:sz="4" w:space="0" w:color="000000"/>
                          <w:right w:val="single" w:sz="4" w:space="0" w:color="000000"/>
                        </w:tcBorders>
                      </w:tcPr>
                      <w:p>
                        <w:pPr>
                          <w:pStyle w:val="TableParagraph"/>
                          <w:spacing w:line="202" w:lineRule="exact"/>
                          <w:ind w:left="192"/>
                          <w:rPr>
                            <w:sz w:val="18"/>
                          </w:rPr>
                        </w:pPr>
                        <w:r>
                          <w:rPr>
                            <w:sz w:val="18"/>
                          </w:rPr>
                          <w:t>27.5</w:t>
                        </w:r>
                      </w:p>
                    </w:tc>
                    <w:tc>
                      <w:tcPr>
                        <w:tcW w:w="709" w:type="dxa"/>
                        <w:tcBorders>
                          <w:top w:val="single" w:sz="4" w:space="0" w:color="000000"/>
                          <w:left w:val="single" w:sz="4" w:space="0" w:color="000000"/>
                          <w:bottom w:val="single" w:sz="4" w:space="0" w:color="000000"/>
                        </w:tcBorders>
                      </w:tcPr>
                      <w:p>
                        <w:pPr>
                          <w:pStyle w:val="TableParagraph"/>
                          <w:spacing w:line="202" w:lineRule="exact"/>
                          <w:ind w:left="172" w:right="160"/>
                          <w:jc w:val="center"/>
                          <w:rPr>
                            <w:sz w:val="18"/>
                          </w:rPr>
                        </w:pPr>
                        <w:r>
                          <w:rPr>
                            <w:sz w:val="18"/>
                          </w:rPr>
                          <w:t>12.4</w:t>
                        </w:r>
                      </w:p>
                    </w:tc>
                  </w:tr>
                  <w:tr>
                    <w:trPr>
                      <w:trHeight w:val="227" w:hRule="exact"/>
                    </w:trPr>
                    <w:tc>
                      <w:tcPr>
                        <w:tcW w:w="1844" w:type="dxa"/>
                        <w:tcBorders>
                          <w:top w:val="single" w:sz="4" w:space="0" w:color="000000"/>
                          <w:right w:val="single" w:sz="4" w:space="0" w:color="000000"/>
                        </w:tcBorders>
                      </w:tcPr>
                      <w:p>
                        <w:pPr>
                          <w:pStyle w:val="TableParagraph"/>
                          <w:spacing w:line="202" w:lineRule="exact"/>
                          <w:ind w:left="93"/>
                          <w:rPr>
                            <w:sz w:val="18"/>
                          </w:rPr>
                        </w:pPr>
                        <w:r>
                          <w:rPr>
                            <w:sz w:val="18"/>
                          </w:rPr>
                          <w:t>Montaje de llanta</w:t>
                        </w:r>
                      </w:p>
                    </w:tc>
                    <w:tc>
                      <w:tcPr>
                        <w:tcW w:w="709" w:type="dxa"/>
                        <w:tcBorders>
                          <w:top w:val="single" w:sz="4" w:space="0" w:color="000000"/>
                          <w:left w:val="single" w:sz="4" w:space="0" w:color="000000"/>
                          <w:right w:val="single" w:sz="4" w:space="0" w:color="000000"/>
                        </w:tcBorders>
                      </w:tcPr>
                      <w:p>
                        <w:pPr>
                          <w:pStyle w:val="TableParagraph"/>
                          <w:spacing w:line="202" w:lineRule="exact"/>
                          <w:ind w:left="82" w:right="82"/>
                          <w:jc w:val="center"/>
                          <w:rPr>
                            <w:sz w:val="18"/>
                          </w:rPr>
                        </w:pPr>
                        <w:r>
                          <w:rPr>
                            <w:sz w:val="18"/>
                          </w:rPr>
                          <w:t>31</w:t>
                        </w:r>
                      </w:p>
                    </w:tc>
                    <w:tc>
                      <w:tcPr>
                        <w:tcW w:w="708" w:type="dxa"/>
                        <w:tcBorders>
                          <w:top w:val="single" w:sz="4" w:space="0" w:color="000000"/>
                          <w:left w:val="single" w:sz="4" w:space="0" w:color="000000"/>
                          <w:right w:val="single" w:sz="4" w:space="0" w:color="000000"/>
                        </w:tcBorders>
                      </w:tcPr>
                      <w:p>
                        <w:pPr>
                          <w:pStyle w:val="TableParagraph"/>
                          <w:spacing w:line="202" w:lineRule="exact"/>
                          <w:ind w:left="90" w:right="88"/>
                          <w:jc w:val="center"/>
                          <w:rPr>
                            <w:sz w:val="18"/>
                          </w:rPr>
                        </w:pPr>
                        <w:r>
                          <w:rPr>
                            <w:sz w:val="18"/>
                          </w:rPr>
                          <w:t>43.7</w:t>
                        </w:r>
                      </w:p>
                    </w:tc>
                    <w:tc>
                      <w:tcPr>
                        <w:tcW w:w="709" w:type="dxa"/>
                        <w:tcBorders>
                          <w:top w:val="single" w:sz="4" w:space="0" w:color="000000"/>
                          <w:left w:val="single" w:sz="4" w:space="0" w:color="000000"/>
                          <w:right w:val="single" w:sz="4" w:space="0" w:color="000000"/>
                        </w:tcBorders>
                      </w:tcPr>
                      <w:p>
                        <w:pPr>
                          <w:pStyle w:val="TableParagraph"/>
                          <w:spacing w:line="202" w:lineRule="exact"/>
                          <w:ind w:left="192"/>
                          <w:rPr>
                            <w:sz w:val="18"/>
                          </w:rPr>
                        </w:pPr>
                        <w:r>
                          <w:rPr>
                            <w:sz w:val="18"/>
                          </w:rPr>
                          <w:t>25.4</w:t>
                        </w:r>
                      </w:p>
                    </w:tc>
                    <w:tc>
                      <w:tcPr>
                        <w:tcW w:w="709" w:type="dxa"/>
                        <w:tcBorders>
                          <w:top w:val="single" w:sz="4" w:space="0" w:color="000000"/>
                          <w:left w:val="single" w:sz="4" w:space="0" w:color="000000"/>
                        </w:tcBorders>
                      </w:tcPr>
                      <w:p>
                        <w:pPr>
                          <w:pStyle w:val="TableParagraph"/>
                          <w:spacing w:line="202" w:lineRule="exact"/>
                          <w:ind w:left="10"/>
                          <w:jc w:val="center"/>
                          <w:rPr>
                            <w:sz w:val="18"/>
                          </w:rPr>
                        </w:pPr>
                        <w:r>
                          <w:rPr>
                            <w:sz w:val="18"/>
                          </w:rPr>
                          <w:t>0</w:t>
                        </w:r>
                      </w:p>
                    </w:tc>
                  </w:tr>
                </w:tbl>
                <w:p>
                  <w:pPr>
                    <w:pStyle w:val="BodyText"/>
                  </w:pPr>
                </w:p>
              </w:txbxContent>
            </v:textbox>
            <w10:wrap type="none"/>
          </v:shape>
        </w:pict>
      </w:r>
      <w:r>
        <w:rPr>
          <w:sz w:val="18"/>
        </w:rPr>
        <w:t>Table 4 shows the results of the RULA method, the overall score of each group and which activity is evaluated score, are levels where mainly recommended urgent changes in the job or task related to tire change, tire balancing and tire placement. Thus also perceived  a requirement in the design of task; where it is necessary to carry out research activities, for the activity of turning brakes</w:t>
      </w:r>
      <w:r>
        <w:rPr>
          <w:spacing w:val="-15"/>
          <w:sz w:val="18"/>
        </w:rPr>
        <w:t> </w:t>
      </w:r>
      <w:r>
        <w:rPr>
          <w:sz w:val="18"/>
        </w:rPr>
        <w:t>[6]</w:t>
      </w:r>
    </w:p>
    <w:p>
      <w:pPr>
        <w:pStyle w:val="BodyText"/>
        <w:spacing w:before="6"/>
        <w:rPr>
          <w:sz w:val="29"/>
        </w:rPr>
      </w:pPr>
    </w:p>
    <w:p>
      <w:pPr>
        <w:spacing w:after="0"/>
        <w:rPr>
          <w:sz w:val="29"/>
        </w:rPr>
        <w:sectPr>
          <w:type w:val="continuous"/>
          <w:pgSz w:w="12240" w:h="15840"/>
          <w:pgMar w:top="1500" w:bottom="280" w:left="580" w:right="220"/>
        </w:sectPr>
      </w:pPr>
    </w:p>
    <w:p>
      <w:pPr>
        <w:spacing w:before="77"/>
        <w:ind w:left="270" w:right="0" w:firstLine="0"/>
        <w:jc w:val="both"/>
        <w:rPr>
          <w:b/>
          <w:sz w:val="18"/>
        </w:rPr>
      </w:pPr>
      <w:r>
        <w:rPr>
          <w:b/>
          <w:sz w:val="18"/>
        </w:rPr>
        <w:t>4.4 Anthropometric measurement</w:t>
      </w:r>
    </w:p>
    <w:p>
      <w:pPr>
        <w:pStyle w:val="BodyText"/>
        <w:spacing w:before="7"/>
        <w:rPr>
          <w:b/>
          <w:sz w:val="17"/>
        </w:rPr>
      </w:pPr>
    </w:p>
    <w:p>
      <w:pPr>
        <w:spacing w:before="1"/>
        <w:ind w:left="270" w:right="1" w:firstLine="0"/>
        <w:jc w:val="both"/>
        <w:rPr>
          <w:sz w:val="18"/>
        </w:rPr>
      </w:pPr>
      <w:r>
        <w:rPr>
          <w:sz w:val="18"/>
        </w:rPr>
        <w:t>Table 5. shows the anthropometric measurement of operations in automotive workshop. The Anthropometric measures allow to design templates and mobile bases to improve operations.</w:t>
      </w:r>
    </w:p>
    <w:p>
      <w:pPr>
        <w:spacing w:before="0"/>
        <w:ind w:left="270" w:right="0" w:firstLine="0"/>
        <w:jc w:val="both"/>
        <w:rPr>
          <w:sz w:val="18"/>
        </w:rPr>
      </w:pPr>
      <w:r>
        <w:rPr>
          <w:sz w:val="18"/>
        </w:rPr>
        <w:t>The three operators working in the automotive workshop were measured, two have almost the same anthropometric measures.</w:t>
      </w:r>
    </w:p>
    <w:p>
      <w:pPr>
        <w:pStyle w:val="BodyText"/>
        <w:rPr>
          <w:sz w:val="18"/>
        </w:rPr>
      </w:pPr>
    </w:p>
    <w:p>
      <w:pPr>
        <w:spacing w:before="0"/>
        <w:ind w:left="844" w:right="115" w:firstLine="0"/>
        <w:jc w:val="left"/>
        <w:rPr>
          <w:sz w:val="18"/>
        </w:rPr>
      </w:pPr>
      <w:r>
        <w:rPr/>
        <w:pict>
          <v:shape style="position:absolute;margin-left:41.279999pt;margin-top:20.94235pt;width:226.25pt;height:194.6pt;mso-position-horizontal-relative:page;mso-position-vertical-relative:paragraph;z-index:6280" type="#_x0000_t202" filled="false" stroked="false">
            <v:textbox inset="0,0,0,0">
              <w:txbxContent>
                <w:tbl>
                  <w:tblPr>
                    <w:tblW w:w="0" w:type="auto"/>
                    <w:jc w:val="left"/>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278"/>
                    <w:gridCol w:w="767"/>
                    <w:gridCol w:w="652"/>
                    <w:gridCol w:w="783"/>
                  </w:tblGrid>
                  <w:tr>
                    <w:trPr>
                      <w:trHeight w:val="290" w:hRule="exact"/>
                    </w:trPr>
                    <w:tc>
                      <w:tcPr>
                        <w:tcW w:w="2278" w:type="dxa"/>
                        <w:tcBorders>
                          <w:bottom w:val="nil"/>
                          <w:right w:val="single" w:sz="8" w:space="0" w:color="000000"/>
                        </w:tcBorders>
                        <w:shd w:val="clear" w:color="auto" w:fill="FFBF00"/>
                      </w:tcPr>
                      <w:p>
                        <w:pPr>
                          <w:pStyle w:val="TableParagraph"/>
                          <w:spacing w:before="58"/>
                          <w:ind w:left="688" w:right="219"/>
                          <w:rPr>
                            <w:sz w:val="18"/>
                          </w:rPr>
                        </w:pPr>
                        <w:r>
                          <w:rPr>
                            <w:sz w:val="18"/>
                          </w:rPr>
                          <w:t>Descripción</w:t>
                        </w:r>
                      </w:p>
                    </w:tc>
                    <w:tc>
                      <w:tcPr>
                        <w:tcW w:w="2201" w:type="dxa"/>
                        <w:gridSpan w:val="3"/>
                        <w:tcBorders>
                          <w:left w:val="single" w:sz="8" w:space="0" w:color="000000"/>
                          <w:bottom w:val="single" w:sz="4" w:space="0" w:color="000000"/>
                        </w:tcBorders>
                        <w:shd w:val="clear" w:color="auto" w:fill="FFBF00"/>
                      </w:tcPr>
                      <w:p>
                        <w:pPr>
                          <w:pStyle w:val="TableParagraph"/>
                          <w:spacing w:before="58"/>
                          <w:ind w:left="750" w:right="747"/>
                          <w:jc w:val="center"/>
                          <w:rPr>
                            <w:sz w:val="18"/>
                          </w:rPr>
                        </w:pPr>
                        <w:r>
                          <w:rPr>
                            <w:sz w:val="18"/>
                          </w:rPr>
                          <w:t>Percentil</w:t>
                        </w:r>
                      </w:p>
                    </w:tc>
                  </w:tr>
                  <w:tr>
                    <w:trPr>
                      <w:trHeight w:val="305" w:hRule="exact"/>
                    </w:trPr>
                    <w:tc>
                      <w:tcPr>
                        <w:tcW w:w="2278" w:type="dxa"/>
                        <w:tcBorders>
                          <w:top w:val="nil"/>
                          <w:right w:val="single" w:sz="8" w:space="0" w:color="000000"/>
                        </w:tcBorders>
                        <w:shd w:val="clear" w:color="auto" w:fill="FFBF00"/>
                      </w:tcPr>
                      <w:p>
                        <w:pPr>
                          <w:pStyle w:val="TableParagraph"/>
                          <w:spacing w:before="78"/>
                          <w:ind w:left="459" w:right="219"/>
                          <w:rPr>
                            <w:sz w:val="18"/>
                          </w:rPr>
                        </w:pPr>
                        <w:r>
                          <w:rPr>
                            <w:sz w:val="18"/>
                          </w:rPr>
                          <w:t>de Medición (Cm)</w:t>
                        </w:r>
                      </w:p>
                    </w:tc>
                    <w:tc>
                      <w:tcPr>
                        <w:tcW w:w="767" w:type="dxa"/>
                        <w:tcBorders>
                          <w:top w:val="single" w:sz="4" w:space="0" w:color="000000"/>
                          <w:left w:val="single" w:sz="8" w:space="0" w:color="000000"/>
                          <w:right w:val="single" w:sz="4" w:space="0" w:color="000000"/>
                        </w:tcBorders>
                        <w:shd w:val="clear" w:color="auto" w:fill="FFBF00"/>
                      </w:tcPr>
                      <w:p>
                        <w:pPr>
                          <w:pStyle w:val="TableParagraph"/>
                          <w:spacing w:before="73"/>
                          <w:ind w:right="2"/>
                          <w:jc w:val="center"/>
                          <w:rPr>
                            <w:sz w:val="18"/>
                          </w:rPr>
                        </w:pPr>
                        <w:r>
                          <w:rPr>
                            <w:sz w:val="18"/>
                          </w:rPr>
                          <w:t>5</w:t>
                        </w:r>
                      </w:p>
                    </w:tc>
                    <w:tc>
                      <w:tcPr>
                        <w:tcW w:w="652" w:type="dxa"/>
                        <w:tcBorders>
                          <w:top w:val="single" w:sz="4" w:space="0" w:color="000000"/>
                          <w:left w:val="single" w:sz="4" w:space="0" w:color="000000"/>
                          <w:right w:val="single" w:sz="4" w:space="0" w:color="000000"/>
                        </w:tcBorders>
                        <w:shd w:val="clear" w:color="auto" w:fill="FFBF00"/>
                      </w:tcPr>
                      <w:p>
                        <w:pPr>
                          <w:pStyle w:val="TableParagraph"/>
                          <w:spacing w:before="73"/>
                          <w:ind w:left="97" w:right="96"/>
                          <w:jc w:val="center"/>
                          <w:rPr>
                            <w:sz w:val="18"/>
                          </w:rPr>
                        </w:pPr>
                        <w:r>
                          <w:rPr>
                            <w:sz w:val="18"/>
                          </w:rPr>
                          <w:t>50</w:t>
                        </w:r>
                      </w:p>
                    </w:tc>
                    <w:tc>
                      <w:tcPr>
                        <w:tcW w:w="783" w:type="dxa"/>
                        <w:tcBorders>
                          <w:top w:val="single" w:sz="4" w:space="0" w:color="000000"/>
                          <w:left w:val="single" w:sz="4" w:space="0" w:color="000000"/>
                        </w:tcBorders>
                        <w:shd w:val="clear" w:color="auto" w:fill="FFBF00"/>
                      </w:tcPr>
                      <w:p>
                        <w:pPr>
                          <w:pStyle w:val="TableParagraph"/>
                          <w:spacing w:before="73"/>
                          <w:ind w:left="161" w:right="152"/>
                          <w:jc w:val="center"/>
                          <w:rPr>
                            <w:sz w:val="18"/>
                          </w:rPr>
                        </w:pPr>
                        <w:r>
                          <w:rPr>
                            <w:sz w:val="18"/>
                          </w:rPr>
                          <w:t>95</w:t>
                        </w:r>
                      </w:p>
                    </w:tc>
                  </w:tr>
                  <w:tr>
                    <w:trPr>
                      <w:trHeight w:val="274" w:hRule="exact"/>
                    </w:trPr>
                    <w:tc>
                      <w:tcPr>
                        <w:tcW w:w="2278" w:type="dxa"/>
                        <w:tcBorders>
                          <w:bottom w:val="single" w:sz="4" w:space="0" w:color="000000"/>
                          <w:right w:val="single" w:sz="8" w:space="0" w:color="000000"/>
                        </w:tcBorders>
                      </w:tcPr>
                      <w:p>
                        <w:pPr>
                          <w:pStyle w:val="TableParagraph"/>
                          <w:spacing w:before="43"/>
                          <w:ind w:left="55" w:right="219"/>
                          <w:rPr>
                            <w:sz w:val="18"/>
                          </w:rPr>
                        </w:pPr>
                        <w:r>
                          <w:rPr>
                            <w:sz w:val="18"/>
                          </w:rPr>
                          <w:t>Estatura</w:t>
                        </w:r>
                      </w:p>
                    </w:tc>
                    <w:tc>
                      <w:tcPr>
                        <w:tcW w:w="767" w:type="dxa"/>
                        <w:tcBorders>
                          <w:left w:val="single" w:sz="8" w:space="0" w:color="000000"/>
                          <w:bottom w:val="single" w:sz="4" w:space="0" w:color="000000"/>
                          <w:right w:val="single" w:sz="4" w:space="0" w:color="000000"/>
                        </w:tcBorders>
                      </w:tcPr>
                      <w:p>
                        <w:pPr>
                          <w:pStyle w:val="TableParagraph"/>
                          <w:spacing w:before="43"/>
                          <w:ind w:left="152" w:right="153"/>
                          <w:jc w:val="center"/>
                          <w:rPr>
                            <w:sz w:val="18"/>
                          </w:rPr>
                        </w:pPr>
                        <w:r>
                          <w:rPr>
                            <w:sz w:val="18"/>
                          </w:rPr>
                          <w:t>168.4</w:t>
                        </w:r>
                      </w:p>
                    </w:tc>
                    <w:tc>
                      <w:tcPr>
                        <w:tcW w:w="652" w:type="dxa"/>
                        <w:tcBorders>
                          <w:left w:val="single" w:sz="4" w:space="0" w:color="000000"/>
                          <w:bottom w:val="single" w:sz="4" w:space="0" w:color="000000"/>
                          <w:right w:val="single" w:sz="4" w:space="0" w:color="000000"/>
                        </w:tcBorders>
                      </w:tcPr>
                      <w:p>
                        <w:pPr>
                          <w:pStyle w:val="TableParagraph"/>
                          <w:spacing w:before="43"/>
                          <w:ind w:left="97" w:right="96"/>
                          <w:jc w:val="center"/>
                          <w:rPr>
                            <w:sz w:val="18"/>
                          </w:rPr>
                        </w:pPr>
                        <w:r>
                          <w:rPr>
                            <w:sz w:val="18"/>
                          </w:rPr>
                          <w:t>173.7</w:t>
                        </w:r>
                      </w:p>
                    </w:tc>
                    <w:tc>
                      <w:tcPr>
                        <w:tcW w:w="783" w:type="dxa"/>
                        <w:tcBorders>
                          <w:left w:val="single" w:sz="4" w:space="0" w:color="000000"/>
                          <w:bottom w:val="single" w:sz="4" w:space="0" w:color="000000"/>
                        </w:tcBorders>
                      </w:tcPr>
                      <w:p>
                        <w:pPr>
                          <w:pStyle w:val="TableParagraph"/>
                          <w:spacing w:before="43"/>
                          <w:ind w:left="164" w:right="152"/>
                          <w:jc w:val="center"/>
                          <w:rPr>
                            <w:sz w:val="18"/>
                          </w:rPr>
                        </w:pPr>
                        <w:r>
                          <w:rPr>
                            <w:sz w:val="18"/>
                          </w:rPr>
                          <w:t>179.0</w:t>
                        </w:r>
                      </w:p>
                    </w:tc>
                  </w:tr>
                  <w:tr>
                    <w:trPr>
                      <w:trHeight w:val="265" w:hRule="exact"/>
                    </w:trPr>
                    <w:tc>
                      <w:tcPr>
                        <w:tcW w:w="2278" w:type="dxa"/>
                        <w:tcBorders>
                          <w:top w:val="single" w:sz="4" w:space="0" w:color="000000"/>
                          <w:bottom w:val="single" w:sz="4" w:space="0" w:color="000000"/>
                          <w:right w:val="single" w:sz="8" w:space="0" w:color="000000"/>
                        </w:tcBorders>
                      </w:tcPr>
                      <w:p>
                        <w:pPr>
                          <w:pStyle w:val="TableParagraph"/>
                          <w:spacing w:before="44"/>
                          <w:ind w:left="55" w:right="219"/>
                          <w:rPr>
                            <w:sz w:val="18"/>
                          </w:rPr>
                        </w:pPr>
                        <w:r>
                          <w:rPr>
                            <w:sz w:val="18"/>
                          </w:rPr>
                          <w:t>Altura de la vista al suelo</w:t>
                        </w:r>
                      </w:p>
                    </w:tc>
                    <w:tc>
                      <w:tcPr>
                        <w:tcW w:w="767" w:type="dxa"/>
                        <w:tcBorders>
                          <w:top w:val="single" w:sz="4" w:space="0" w:color="000000"/>
                          <w:left w:val="single" w:sz="8" w:space="0" w:color="000000"/>
                          <w:bottom w:val="single" w:sz="4" w:space="0" w:color="000000"/>
                          <w:right w:val="single" w:sz="4" w:space="0" w:color="000000"/>
                        </w:tcBorders>
                      </w:tcPr>
                      <w:p>
                        <w:pPr>
                          <w:pStyle w:val="TableParagraph"/>
                          <w:spacing w:before="44"/>
                          <w:ind w:left="152" w:right="152"/>
                          <w:jc w:val="center"/>
                          <w:rPr>
                            <w:sz w:val="18"/>
                          </w:rPr>
                        </w:pPr>
                        <w:r>
                          <w:rPr>
                            <w:sz w:val="18"/>
                          </w:rPr>
                          <w:t>154.6</w:t>
                        </w:r>
                      </w:p>
                    </w:tc>
                    <w:tc>
                      <w:tcPr>
                        <w:tcW w:w="652" w:type="dxa"/>
                        <w:tcBorders>
                          <w:top w:val="single" w:sz="4" w:space="0" w:color="000000"/>
                          <w:left w:val="single" w:sz="4" w:space="0" w:color="000000"/>
                          <w:bottom w:val="single" w:sz="4" w:space="0" w:color="000000"/>
                          <w:right w:val="single" w:sz="4" w:space="0" w:color="000000"/>
                        </w:tcBorders>
                      </w:tcPr>
                      <w:p>
                        <w:pPr>
                          <w:pStyle w:val="TableParagraph"/>
                          <w:spacing w:before="44"/>
                          <w:ind w:left="98" w:right="94"/>
                          <w:jc w:val="center"/>
                          <w:rPr>
                            <w:sz w:val="18"/>
                          </w:rPr>
                        </w:pPr>
                        <w:r>
                          <w:rPr>
                            <w:sz w:val="18"/>
                          </w:rPr>
                          <w:t>160.3</w:t>
                        </w:r>
                      </w:p>
                    </w:tc>
                    <w:tc>
                      <w:tcPr>
                        <w:tcW w:w="783" w:type="dxa"/>
                        <w:tcBorders>
                          <w:top w:val="single" w:sz="4" w:space="0" w:color="000000"/>
                          <w:left w:val="single" w:sz="4" w:space="0" w:color="000000"/>
                          <w:bottom w:val="single" w:sz="4" w:space="0" w:color="000000"/>
                        </w:tcBorders>
                      </w:tcPr>
                      <w:p>
                        <w:pPr>
                          <w:pStyle w:val="TableParagraph"/>
                          <w:spacing w:before="44"/>
                          <w:ind w:left="164" w:right="150"/>
                          <w:jc w:val="center"/>
                          <w:rPr>
                            <w:sz w:val="18"/>
                          </w:rPr>
                        </w:pPr>
                        <w:r>
                          <w:rPr>
                            <w:sz w:val="18"/>
                          </w:rPr>
                          <w:t>166.1</w:t>
                        </w:r>
                      </w:p>
                    </w:tc>
                  </w:tr>
                  <w:tr>
                    <w:trPr>
                      <w:trHeight w:val="265" w:hRule="exact"/>
                    </w:trPr>
                    <w:tc>
                      <w:tcPr>
                        <w:tcW w:w="2278" w:type="dxa"/>
                        <w:tcBorders>
                          <w:top w:val="single" w:sz="4" w:space="0" w:color="000000"/>
                          <w:bottom w:val="single" w:sz="4" w:space="0" w:color="000000"/>
                          <w:right w:val="single" w:sz="8" w:space="0" w:color="000000"/>
                        </w:tcBorders>
                      </w:tcPr>
                      <w:p>
                        <w:pPr>
                          <w:pStyle w:val="TableParagraph"/>
                          <w:spacing w:before="44"/>
                          <w:ind w:left="100" w:right="219"/>
                          <w:rPr>
                            <w:sz w:val="18"/>
                          </w:rPr>
                        </w:pPr>
                        <w:r>
                          <w:rPr>
                            <w:sz w:val="18"/>
                          </w:rPr>
                          <w:t>Altura hombro al suelo</w:t>
                        </w:r>
                      </w:p>
                    </w:tc>
                    <w:tc>
                      <w:tcPr>
                        <w:tcW w:w="767" w:type="dxa"/>
                        <w:tcBorders>
                          <w:top w:val="single" w:sz="4" w:space="0" w:color="000000"/>
                          <w:left w:val="single" w:sz="8" w:space="0" w:color="000000"/>
                          <w:bottom w:val="single" w:sz="4" w:space="0" w:color="000000"/>
                          <w:right w:val="single" w:sz="4" w:space="0" w:color="000000"/>
                        </w:tcBorders>
                      </w:tcPr>
                      <w:p>
                        <w:pPr>
                          <w:pStyle w:val="TableParagraph"/>
                          <w:spacing w:before="44"/>
                          <w:ind w:left="152" w:right="152"/>
                          <w:jc w:val="center"/>
                          <w:rPr>
                            <w:sz w:val="18"/>
                          </w:rPr>
                        </w:pPr>
                        <w:r>
                          <w:rPr>
                            <w:sz w:val="18"/>
                          </w:rPr>
                          <w:t>138.3</w:t>
                        </w:r>
                      </w:p>
                    </w:tc>
                    <w:tc>
                      <w:tcPr>
                        <w:tcW w:w="652" w:type="dxa"/>
                        <w:tcBorders>
                          <w:top w:val="single" w:sz="4" w:space="0" w:color="000000"/>
                          <w:left w:val="single" w:sz="4" w:space="0" w:color="000000"/>
                          <w:bottom w:val="single" w:sz="4" w:space="0" w:color="000000"/>
                          <w:right w:val="single" w:sz="4" w:space="0" w:color="000000"/>
                        </w:tcBorders>
                      </w:tcPr>
                      <w:p>
                        <w:pPr>
                          <w:pStyle w:val="TableParagraph"/>
                          <w:spacing w:before="44"/>
                          <w:ind w:left="98" w:right="94"/>
                          <w:jc w:val="center"/>
                          <w:rPr>
                            <w:sz w:val="18"/>
                          </w:rPr>
                        </w:pPr>
                        <w:r>
                          <w:rPr>
                            <w:sz w:val="18"/>
                          </w:rPr>
                          <w:t>143.0</w:t>
                        </w:r>
                      </w:p>
                    </w:tc>
                    <w:tc>
                      <w:tcPr>
                        <w:tcW w:w="783" w:type="dxa"/>
                        <w:tcBorders>
                          <w:top w:val="single" w:sz="4" w:space="0" w:color="000000"/>
                          <w:left w:val="single" w:sz="4" w:space="0" w:color="000000"/>
                          <w:bottom w:val="single" w:sz="4" w:space="0" w:color="000000"/>
                        </w:tcBorders>
                      </w:tcPr>
                      <w:p>
                        <w:pPr>
                          <w:pStyle w:val="TableParagraph"/>
                          <w:spacing w:before="44"/>
                          <w:ind w:left="164" w:right="150"/>
                          <w:jc w:val="center"/>
                          <w:rPr>
                            <w:sz w:val="18"/>
                          </w:rPr>
                        </w:pPr>
                        <w:r>
                          <w:rPr>
                            <w:sz w:val="18"/>
                          </w:rPr>
                          <w:t>147.7</w:t>
                        </w:r>
                      </w:p>
                    </w:tc>
                  </w:tr>
                  <w:tr>
                    <w:trPr>
                      <w:trHeight w:val="424" w:hRule="exact"/>
                    </w:trPr>
                    <w:tc>
                      <w:tcPr>
                        <w:tcW w:w="2278" w:type="dxa"/>
                        <w:tcBorders>
                          <w:top w:val="single" w:sz="4" w:space="0" w:color="000000"/>
                          <w:bottom w:val="single" w:sz="4" w:space="0" w:color="000000"/>
                          <w:right w:val="single" w:sz="8" w:space="0" w:color="000000"/>
                        </w:tcBorders>
                      </w:tcPr>
                      <w:p>
                        <w:pPr>
                          <w:pStyle w:val="TableParagraph"/>
                          <w:ind w:left="55" w:right="219"/>
                          <w:rPr>
                            <w:sz w:val="18"/>
                          </w:rPr>
                        </w:pPr>
                        <w:r>
                          <w:rPr>
                            <w:sz w:val="18"/>
                          </w:rPr>
                          <w:t>Altura codo al suelo (brazo colgando)</w:t>
                        </w:r>
                      </w:p>
                    </w:tc>
                    <w:tc>
                      <w:tcPr>
                        <w:tcW w:w="767" w:type="dxa"/>
                        <w:tcBorders>
                          <w:top w:val="single" w:sz="4" w:space="0" w:color="000000"/>
                          <w:left w:val="single" w:sz="8" w:space="0" w:color="000000"/>
                          <w:bottom w:val="single" w:sz="4" w:space="0" w:color="000000"/>
                          <w:right w:val="single" w:sz="4" w:space="0" w:color="000000"/>
                        </w:tcBorders>
                      </w:tcPr>
                      <w:p>
                        <w:pPr>
                          <w:pStyle w:val="TableParagraph"/>
                          <w:spacing w:before="7"/>
                          <w:rPr>
                            <w:sz w:val="17"/>
                          </w:rPr>
                        </w:pPr>
                      </w:p>
                      <w:p>
                        <w:pPr>
                          <w:pStyle w:val="TableParagraph"/>
                          <w:ind w:left="150" w:right="153"/>
                          <w:jc w:val="center"/>
                          <w:rPr>
                            <w:sz w:val="18"/>
                          </w:rPr>
                        </w:pPr>
                        <w:r>
                          <w:rPr>
                            <w:sz w:val="18"/>
                          </w:rPr>
                          <w:t>108.3</w:t>
                        </w:r>
                      </w:p>
                    </w:tc>
                    <w:tc>
                      <w:tcPr>
                        <w:tcW w:w="652" w:type="dxa"/>
                        <w:tcBorders>
                          <w:top w:val="single" w:sz="4" w:space="0" w:color="000000"/>
                          <w:left w:val="single" w:sz="4" w:space="0" w:color="000000"/>
                          <w:bottom w:val="single" w:sz="4" w:space="0" w:color="000000"/>
                          <w:right w:val="single" w:sz="4" w:space="0" w:color="000000"/>
                        </w:tcBorders>
                      </w:tcPr>
                      <w:p>
                        <w:pPr>
                          <w:pStyle w:val="TableParagraph"/>
                          <w:spacing w:before="7"/>
                          <w:rPr>
                            <w:sz w:val="17"/>
                          </w:rPr>
                        </w:pPr>
                      </w:p>
                      <w:p>
                        <w:pPr>
                          <w:pStyle w:val="TableParagraph"/>
                          <w:ind w:left="96" w:right="96"/>
                          <w:jc w:val="center"/>
                          <w:rPr>
                            <w:sz w:val="18"/>
                          </w:rPr>
                        </w:pPr>
                        <w:r>
                          <w:rPr>
                            <w:sz w:val="18"/>
                          </w:rPr>
                          <w:t>109.5</w:t>
                        </w:r>
                      </w:p>
                    </w:tc>
                    <w:tc>
                      <w:tcPr>
                        <w:tcW w:w="783" w:type="dxa"/>
                        <w:tcBorders>
                          <w:top w:val="single" w:sz="4" w:space="0" w:color="000000"/>
                          <w:left w:val="single" w:sz="4" w:space="0" w:color="000000"/>
                          <w:bottom w:val="single" w:sz="4" w:space="0" w:color="000000"/>
                        </w:tcBorders>
                      </w:tcPr>
                      <w:p>
                        <w:pPr>
                          <w:pStyle w:val="TableParagraph"/>
                          <w:spacing w:before="7"/>
                          <w:rPr>
                            <w:sz w:val="17"/>
                          </w:rPr>
                        </w:pPr>
                      </w:p>
                      <w:p>
                        <w:pPr>
                          <w:pStyle w:val="TableParagraph"/>
                          <w:ind w:left="163" w:right="152"/>
                          <w:jc w:val="center"/>
                          <w:rPr>
                            <w:sz w:val="18"/>
                          </w:rPr>
                        </w:pPr>
                        <w:r>
                          <w:rPr>
                            <w:sz w:val="18"/>
                          </w:rPr>
                          <w:t>110.7</w:t>
                        </w:r>
                      </w:p>
                    </w:tc>
                  </w:tr>
                  <w:tr>
                    <w:trPr>
                      <w:trHeight w:val="265" w:hRule="exact"/>
                    </w:trPr>
                    <w:tc>
                      <w:tcPr>
                        <w:tcW w:w="2278" w:type="dxa"/>
                        <w:tcBorders>
                          <w:top w:val="single" w:sz="4" w:space="0" w:color="000000"/>
                          <w:bottom w:val="single" w:sz="4" w:space="0" w:color="000000"/>
                          <w:right w:val="single" w:sz="8" w:space="0" w:color="000000"/>
                        </w:tcBorders>
                      </w:tcPr>
                      <w:p>
                        <w:pPr>
                          <w:pStyle w:val="TableParagraph"/>
                          <w:spacing w:before="44"/>
                          <w:ind w:left="55" w:right="219"/>
                          <w:rPr>
                            <w:sz w:val="18"/>
                          </w:rPr>
                        </w:pPr>
                        <w:r>
                          <w:rPr>
                            <w:sz w:val="18"/>
                          </w:rPr>
                          <w:t>Altura cadera al suelo</w:t>
                        </w:r>
                      </w:p>
                    </w:tc>
                    <w:tc>
                      <w:tcPr>
                        <w:tcW w:w="767" w:type="dxa"/>
                        <w:tcBorders>
                          <w:top w:val="single" w:sz="4" w:space="0" w:color="000000"/>
                          <w:left w:val="single" w:sz="8" w:space="0" w:color="000000"/>
                          <w:bottom w:val="single" w:sz="4" w:space="0" w:color="000000"/>
                          <w:right w:val="single" w:sz="4" w:space="0" w:color="000000"/>
                        </w:tcBorders>
                      </w:tcPr>
                      <w:p>
                        <w:pPr>
                          <w:pStyle w:val="TableParagraph"/>
                          <w:spacing w:before="44"/>
                          <w:ind w:left="149" w:right="153"/>
                          <w:jc w:val="center"/>
                          <w:rPr>
                            <w:sz w:val="18"/>
                          </w:rPr>
                        </w:pPr>
                        <w:r>
                          <w:rPr>
                            <w:sz w:val="18"/>
                          </w:rPr>
                          <w:t>95.0</w:t>
                        </w:r>
                      </w:p>
                    </w:tc>
                    <w:tc>
                      <w:tcPr>
                        <w:tcW w:w="652" w:type="dxa"/>
                        <w:tcBorders>
                          <w:top w:val="single" w:sz="4" w:space="0" w:color="000000"/>
                          <w:left w:val="single" w:sz="4" w:space="0" w:color="000000"/>
                          <w:bottom w:val="single" w:sz="4" w:space="0" w:color="000000"/>
                          <w:right w:val="single" w:sz="4" w:space="0" w:color="000000"/>
                        </w:tcBorders>
                      </w:tcPr>
                      <w:p>
                        <w:pPr>
                          <w:pStyle w:val="TableParagraph"/>
                          <w:spacing w:before="44"/>
                          <w:ind w:left="96" w:right="96"/>
                          <w:jc w:val="center"/>
                          <w:rPr>
                            <w:sz w:val="18"/>
                          </w:rPr>
                        </w:pPr>
                        <w:r>
                          <w:rPr>
                            <w:sz w:val="18"/>
                          </w:rPr>
                          <w:t>95.0</w:t>
                        </w:r>
                      </w:p>
                    </w:tc>
                    <w:tc>
                      <w:tcPr>
                        <w:tcW w:w="783" w:type="dxa"/>
                        <w:tcBorders>
                          <w:top w:val="single" w:sz="4" w:space="0" w:color="000000"/>
                          <w:left w:val="single" w:sz="4" w:space="0" w:color="000000"/>
                          <w:bottom w:val="single" w:sz="4" w:space="0" w:color="000000"/>
                        </w:tcBorders>
                      </w:tcPr>
                      <w:p>
                        <w:pPr>
                          <w:pStyle w:val="TableParagraph"/>
                          <w:spacing w:before="44"/>
                          <w:ind w:left="159" w:right="152"/>
                          <w:jc w:val="center"/>
                          <w:rPr>
                            <w:sz w:val="18"/>
                          </w:rPr>
                        </w:pPr>
                        <w:r>
                          <w:rPr>
                            <w:sz w:val="18"/>
                          </w:rPr>
                          <w:t>95.0</w:t>
                        </w:r>
                      </w:p>
                    </w:tc>
                  </w:tr>
                  <w:tr>
                    <w:trPr>
                      <w:trHeight w:val="265" w:hRule="exact"/>
                    </w:trPr>
                    <w:tc>
                      <w:tcPr>
                        <w:tcW w:w="2278" w:type="dxa"/>
                        <w:tcBorders>
                          <w:top w:val="single" w:sz="4" w:space="0" w:color="000000"/>
                          <w:bottom w:val="single" w:sz="4" w:space="0" w:color="000000"/>
                          <w:right w:val="single" w:sz="8" w:space="0" w:color="000000"/>
                        </w:tcBorders>
                      </w:tcPr>
                      <w:p>
                        <w:pPr>
                          <w:pStyle w:val="TableParagraph"/>
                          <w:spacing w:before="44"/>
                          <w:ind w:left="55" w:right="219"/>
                          <w:rPr>
                            <w:sz w:val="18"/>
                          </w:rPr>
                        </w:pPr>
                        <w:r>
                          <w:rPr>
                            <w:sz w:val="18"/>
                          </w:rPr>
                          <w:t>Altura Rodilla al suelo</w:t>
                        </w:r>
                      </w:p>
                    </w:tc>
                    <w:tc>
                      <w:tcPr>
                        <w:tcW w:w="767" w:type="dxa"/>
                        <w:tcBorders>
                          <w:top w:val="single" w:sz="4" w:space="0" w:color="000000"/>
                          <w:left w:val="single" w:sz="8" w:space="0" w:color="000000"/>
                          <w:bottom w:val="single" w:sz="4" w:space="0" w:color="000000"/>
                          <w:right w:val="single" w:sz="4" w:space="0" w:color="000000"/>
                        </w:tcBorders>
                      </w:tcPr>
                      <w:p>
                        <w:pPr>
                          <w:pStyle w:val="TableParagraph"/>
                          <w:spacing w:before="44"/>
                          <w:ind w:left="152" w:right="152"/>
                          <w:jc w:val="center"/>
                          <w:rPr>
                            <w:sz w:val="18"/>
                          </w:rPr>
                        </w:pPr>
                        <w:r>
                          <w:rPr>
                            <w:sz w:val="18"/>
                          </w:rPr>
                          <w:t>46.4</w:t>
                        </w:r>
                      </w:p>
                    </w:tc>
                    <w:tc>
                      <w:tcPr>
                        <w:tcW w:w="652" w:type="dxa"/>
                        <w:tcBorders>
                          <w:top w:val="single" w:sz="4" w:space="0" w:color="000000"/>
                          <w:left w:val="single" w:sz="4" w:space="0" w:color="000000"/>
                          <w:bottom w:val="single" w:sz="4" w:space="0" w:color="000000"/>
                          <w:right w:val="single" w:sz="4" w:space="0" w:color="000000"/>
                        </w:tcBorders>
                      </w:tcPr>
                      <w:p>
                        <w:pPr>
                          <w:pStyle w:val="TableParagraph"/>
                          <w:spacing w:before="44"/>
                          <w:ind w:left="98" w:right="94"/>
                          <w:jc w:val="center"/>
                          <w:rPr>
                            <w:sz w:val="18"/>
                          </w:rPr>
                        </w:pPr>
                        <w:r>
                          <w:rPr>
                            <w:sz w:val="18"/>
                          </w:rPr>
                          <w:t>50.5</w:t>
                        </w:r>
                      </w:p>
                    </w:tc>
                    <w:tc>
                      <w:tcPr>
                        <w:tcW w:w="783" w:type="dxa"/>
                        <w:tcBorders>
                          <w:top w:val="single" w:sz="4" w:space="0" w:color="000000"/>
                          <w:left w:val="single" w:sz="4" w:space="0" w:color="000000"/>
                          <w:bottom w:val="single" w:sz="4" w:space="0" w:color="000000"/>
                        </w:tcBorders>
                      </w:tcPr>
                      <w:p>
                        <w:pPr>
                          <w:pStyle w:val="TableParagraph"/>
                          <w:spacing w:before="44"/>
                          <w:ind w:left="164" w:right="151"/>
                          <w:jc w:val="center"/>
                          <w:rPr>
                            <w:sz w:val="18"/>
                          </w:rPr>
                        </w:pPr>
                        <w:r>
                          <w:rPr>
                            <w:sz w:val="18"/>
                          </w:rPr>
                          <w:t>54.6</w:t>
                        </w:r>
                      </w:p>
                    </w:tc>
                  </w:tr>
                  <w:tr>
                    <w:trPr>
                      <w:trHeight w:val="424" w:hRule="exact"/>
                    </w:trPr>
                    <w:tc>
                      <w:tcPr>
                        <w:tcW w:w="2278" w:type="dxa"/>
                        <w:tcBorders>
                          <w:top w:val="single" w:sz="4" w:space="0" w:color="000000"/>
                          <w:bottom w:val="single" w:sz="4" w:space="0" w:color="000000"/>
                          <w:right w:val="single" w:sz="8" w:space="0" w:color="000000"/>
                        </w:tcBorders>
                      </w:tcPr>
                      <w:p>
                        <w:pPr>
                          <w:pStyle w:val="TableParagraph"/>
                          <w:ind w:left="55" w:right="344"/>
                          <w:rPr>
                            <w:sz w:val="18"/>
                          </w:rPr>
                        </w:pPr>
                        <w:r>
                          <w:rPr>
                            <w:sz w:val="18"/>
                          </w:rPr>
                          <w:t>Extensión brazo doblado, pegado a cuerpo</w:t>
                        </w:r>
                      </w:p>
                    </w:tc>
                    <w:tc>
                      <w:tcPr>
                        <w:tcW w:w="767" w:type="dxa"/>
                        <w:tcBorders>
                          <w:top w:val="single" w:sz="4" w:space="0" w:color="000000"/>
                          <w:left w:val="single" w:sz="8" w:space="0" w:color="000000"/>
                          <w:bottom w:val="single" w:sz="4" w:space="0" w:color="000000"/>
                          <w:right w:val="single" w:sz="4" w:space="0" w:color="000000"/>
                        </w:tcBorders>
                      </w:tcPr>
                      <w:p>
                        <w:pPr>
                          <w:pStyle w:val="TableParagraph"/>
                          <w:spacing w:before="7"/>
                          <w:rPr>
                            <w:sz w:val="17"/>
                          </w:rPr>
                        </w:pPr>
                      </w:p>
                      <w:p>
                        <w:pPr>
                          <w:pStyle w:val="TableParagraph"/>
                          <w:ind w:left="150" w:right="153"/>
                          <w:jc w:val="center"/>
                          <w:rPr>
                            <w:sz w:val="18"/>
                          </w:rPr>
                        </w:pPr>
                        <w:r>
                          <w:rPr>
                            <w:sz w:val="18"/>
                          </w:rPr>
                          <w:t>36.9</w:t>
                        </w:r>
                      </w:p>
                    </w:tc>
                    <w:tc>
                      <w:tcPr>
                        <w:tcW w:w="652" w:type="dxa"/>
                        <w:tcBorders>
                          <w:top w:val="single" w:sz="4" w:space="0" w:color="000000"/>
                          <w:left w:val="single" w:sz="4" w:space="0" w:color="000000"/>
                          <w:bottom w:val="single" w:sz="4" w:space="0" w:color="000000"/>
                          <w:right w:val="single" w:sz="4" w:space="0" w:color="000000"/>
                        </w:tcBorders>
                      </w:tcPr>
                      <w:p>
                        <w:pPr>
                          <w:pStyle w:val="TableParagraph"/>
                          <w:spacing w:before="7"/>
                          <w:rPr>
                            <w:sz w:val="17"/>
                          </w:rPr>
                        </w:pPr>
                      </w:p>
                      <w:p>
                        <w:pPr>
                          <w:pStyle w:val="TableParagraph"/>
                          <w:ind w:left="98" w:right="96"/>
                          <w:jc w:val="center"/>
                          <w:rPr>
                            <w:sz w:val="18"/>
                          </w:rPr>
                        </w:pPr>
                        <w:r>
                          <w:rPr>
                            <w:sz w:val="18"/>
                          </w:rPr>
                          <w:t>37.8</w:t>
                        </w:r>
                      </w:p>
                    </w:tc>
                    <w:tc>
                      <w:tcPr>
                        <w:tcW w:w="783" w:type="dxa"/>
                        <w:tcBorders>
                          <w:top w:val="single" w:sz="4" w:space="0" w:color="000000"/>
                          <w:left w:val="single" w:sz="4" w:space="0" w:color="000000"/>
                          <w:bottom w:val="single" w:sz="4" w:space="0" w:color="000000"/>
                        </w:tcBorders>
                      </w:tcPr>
                      <w:p>
                        <w:pPr>
                          <w:pStyle w:val="TableParagraph"/>
                          <w:spacing w:before="7"/>
                          <w:rPr>
                            <w:sz w:val="17"/>
                          </w:rPr>
                        </w:pPr>
                      </w:p>
                      <w:p>
                        <w:pPr>
                          <w:pStyle w:val="TableParagraph"/>
                          <w:ind w:left="162" w:right="152"/>
                          <w:jc w:val="center"/>
                          <w:rPr>
                            <w:sz w:val="18"/>
                          </w:rPr>
                        </w:pPr>
                        <w:r>
                          <w:rPr>
                            <w:sz w:val="18"/>
                          </w:rPr>
                          <w:t>38.8</w:t>
                        </w:r>
                      </w:p>
                    </w:tc>
                  </w:tr>
                  <w:tr>
                    <w:trPr>
                      <w:trHeight w:val="425" w:hRule="exact"/>
                    </w:trPr>
                    <w:tc>
                      <w:tcPr>
                        <w:tcW w:w="2278" w:type="dxa"/>
                        <w:tcBorders>
                          <w:top w:val="single" w:sz="4" w:space="0" w:color="000000"/>
                          <w:bottom w:val="single" w:sz="4" w:space="0" w:color="000000"/>
                          <w:right w:val="single" w:sz="8" w:space="0" w:color="000000"/>
                        </w:tcBorders>
                      </w:tcPr>
                      <w:p>
                        <w:pPr>
                          <w:pStyle w:val="TableParagraph"/>
                          <w:ind w:left="55" w:right="394"/>
                          <w:rPr>
                            <w:sz w:val="18"/>
                          </w:rPr>
                        </w:pPr>
                        <w:r>
                          <w:rPr>
                            <w:sz w:val="18"/>
                          </w:rPr>
                          <w:t>Extension hacia el frente (desde espalda)</w:t>
                        </w:r>
                      </w:p>
                    </w:tc>
                    <w:tc>
                      <w:tcPr>
                        <w:tcW w:w="767" w:type="dxa"/>
                        <w:tcBorders>
                          <w:top w:val="single" w:sz="4" w:space="0" w:color="000000"/>
                          <w:left w:val="single" w:sz="8" w:space="0" w:color="000000"/>
                          <w:bottom w:val="single" w:sz="4" w:space="0" w:color="000000"/>
                          <w:right w:val="single" w:sz="4" w:space="0" w:color="000000"/>
                        </w:tcBorders>
                      </w:tcPr>
                      <w:p>
                        <w:pPr>
                          <w:pStyle w:val="TableParagraph"/>
                          <w:spacing w:before="7"/>
                          <w:rPr>
                            <w:sz w:val="17"/>
                          </w:rPr>
                        </w:pPr>
                      </w:p>
                      <w:p>
                        <w:pPr>
                          <w:pStyle w:val="TableParagraph"/>
                          <w:ind w:left="152" w:right="153"/>
                          <w:jc w:val="center"/>
                          <w:rPr>
                            <w:sz w:val="18"/>
                          </w:rPr>
                        </w:pPr>
                        <w:r>
                          <w:rPr>
                            <w:sz w:val="18"/>
                          </w:rPr>
                          <w:t>78.2</w:t>
                        </w:r>
                      </w:p>
                    </w:tc>
                    <w:tc>
                      <w:tcPr>
                        <w:tcW w:w="652" w:type="dxa"/>
                        <w:tcBorders>
                          <w:top w:val="single" w:sz="4" w:space="0" w:color="000000"/>
                          <w:left w:val="single" w:sz="4" w:space="0" w:color="000000"/>
                          <w:bottom w:val="single" w:sz="4" w:space="0" w:color="000000"/>
                          <w:right w:val="single" w:sz="4" w:space="0" w:color="000000"/>
                        </w:tcBorders>
                      </w:tcPr>
                      <w:p>
                        <w:pPr>
                          <w:pStyle w:val="TableParagraph"/>
                          <w:spacing w:before="7"/>
                          <w:rPr>
                            <w:sz w:val="17"/>
                          </w:rPr>
                        </w:pPr>
                      </w:p>
                      <w:p>
                        <w:pPr>
                          <w:pStyle w:val="TableParagraph"/>
                          <w:ind w:left="98" w:right="95"/>
                          <w:jc w:val="center"/>
                          <w:rPr>
                            <w:sz w:val="18"/>
                          </w:rPr>
                        </w:pPr>
                        <w:r>
                          <w:rPr>
                            <w:sz w:val="18"/>
                          </w:rPr>
                          <w:t>80.7</w:t>
                        </w:r>
                      </w:p>
                    </w:tc>
                    <w:tc>
                      <w:tcPr>
                        <w:tcW w:w="783" w:type="dxa"/>
                        <w:tcBorders>
                          <w:top w:val="single" w:sz="4" w:space="0" w:color="000000"/>
                          <w:left w:val="single" w:sz="4" w:space="0" w:color="000000"/>
                          <w:bottom w:val="single" w:sz="4" w:space="0" w:color="000000"/>
                        </w:tcBorders>
                      </w:tcPr>
                      <w:p>
                        <w:pPr>
                          <w:pStyle w:val="TableParagraph"/>
                          <w:spacing w:before="7"/>
                          <w:rPr>
                            <w:sz w:val="17"/>
                          </w:rPr>
                        </w:pPr>
                      </w:p>
                      <w:p>
                        <w:pPr>
                          <w:pStyle w:val="TableParagraph"/>
                          <w:ind w:left="164" w:right="152"/>
                          <w:jc w:val="center"/>
                          <w:rPr>
                            <w:sz w:val="18"/>
                          </w:rPr>
                        </w:pPr>
                        <w:r>
                          <w:rPr>
                            <w:sz w:val="18"/>
                          </w:rPr>
                          <w:t>83.2</w:t>
                        </w:r>
                      </w:p>
                    </w:tc>
                  </w:tr>
                  <w:tr>
                    <w:trPr>
                      <w:trHeight w:val="385" w:hRule="exact"/>
                    </w:trPr>
                    <w:tc>
                      <w:tcPr>
                        <w:tcW w:w="2278" w:type="dxa"/>
                        <w:tcBorders>
                          <w:top w:val="single" w:sz="4" w:space="0" w:color="000000"/>
                          <w:bottom w:val="single" w:sz="4" w:space="0" w:color="000000"/>
                          <w:right w:val="single" w:sz="8" w:space="0" w:color="000000"/>
                        </w:tcBorders>
                      </w:tcPr>
                      <w:p>
                        <w:pPr>
                          <w:pStyle w:val="TableParagraph"/>
                          <w:spacing w:before="2"/>
                          <w:rPr>
                            <w:sz w:val="14"/>
                          </w:rPr>
                        </w:pPr>
                      </w:p>
                      <w:p>
                        <w:pPr>
                          <w:pStyle w:val="TableParagraph"/>
                          <w:ind w:left="55" w:right="219"/>
                          <w:rPr>
                            <w:sz w:val="18"/>
                          </w:rPr>
                        </w:pPr>
                        <w:r>
                          <w:rPr>
                            <w:sz w:val="18"/>
                          </w:rPr>
                          <w:t>Extensión ambos brazos</w:t>
                        </w:r>
                      </w:p>
                    </w:tc>
                    <w:tc>
                      <w:tcPr>
                        <w:tcW w:w="767" w:type="dxa"/>
                        <w:tcBorders>
                          <w:top w:val="single" w:sz="4" w:space="0" w:color="000000"/>
                          <w:left w:val="single" w:sz="8" w:space="0" w:color="000000"/>
                          <w:bottom w:val="single" w:sz="4" w:space="0" w:color="000000"/>
                          <w:right w:val="single" w:sz="4" w:space="0" w:color="000000"/>
                        </w:tcBorders>
                      </w:tcPr>
                      <w:p>
                        <w:pPr>
                          <w:pStyle w:val="TableParagraph"/>
                          <w:spacing w:before="2"/>
                          <w:rPr>
                            <w:sz w:val="14"/>
                          </w:rPr>
                        </w:pPr>
                      </w:p>
                      <w:p>
                        <w:pPr>
                          <w:pStyle w:val="TableParagraph"/>
                          <w:ind w:left="152" w:right="152"/>
                          <w:jc w:val="center"/>
                          <w:rPr>
                            <w:sz w:val="18"/>
                          </w:rPr>
                        </w:pPr>
                        <w:r>
                          <w:rPr>
                            <w:sz w:val="18"/>
                          </w:rPr>
                          <w:t>165.0</w:t>
                        </w:r>
                      </w:p>
                    </w:tc>
                    <w:tc>
                      <w:tcPr>
                        <w:tcW w:w="652" w:type="dxa"/>
                        <w:tcBorders>
                          <w:top w:val="single" w:sz="4" w:space="0" w:color="000000"/>
                          <w:left w:val="single" w:sz="4" w:space="0" w:color="000000"/>
                          <w:bottom w:val="single" w:sz="4" w:space="0" w:color="000000"/>
                          <w:right w:val="single" w:sz="4" w:space="0" w:color="000000"/>
                        </w:tcBorders>
                      </w:tcPr>
                      <w:p>
                        <w:pPr>
                          <w:pStyle w:val="TableParagraph"/>
                          <w:spacing w:before="2"/>
                          <w:rPr>
                            <w:sz w:val="14"/>
                          </w:rPr>
                        </w:pPr>
                      </w:p>
                      <w:p>
                        <w:pPr>
                          <w:pStyle w:val="TableParagraph"/>
                          <w:ind w:left="98" w:right="96"/>
                          <w:jc w:val="center"/>
                          <w:rPr>
                            <w:sz w:val="18"/>
                          </w:rPr>
                        </w:pPr>
                        <w:r>
                          <w:rPr>
                            <w:sz w:val="18"/>
                          </w:rPr>
                          <w:t>174.3</w:t>
                        </w:r>
                      </w:p>
                    </w:tc>
                    <w:tc>
                      <w:tcPr>
                        <w:tcW w:w="783" w:type="dxa"/>
                        <w:tcBorders>
                          <w:top w:val="single" w:sz="4" w:space="0" w:color="000000"/>
                          <w:left w:val="single" w:sz="4" w:space="0" w:color="000000"/>
                          <w:bottom w:val="single" w:sz="4" w:space="0" w:color="000000"/>
                        </w:tcBorders>
                      </w:tcPr>
                      <w:p>
                        <w:pPr>
                          <w:pStyle w:val="TableParagraph"/>
                          <w:spacing w:before="2"/>
                          <w:rPr>
                            <w:sz w:val="14"/>
                          </w:rPr>
                        </w:pPr>
                      </w:p>
                      <w:p>
                        <w:pPr>
                          <w:pStyle w:val="TableParagraph"/>
                          <w:ind w:left="164" w:right="152"/>
                          <w:jc w:val="center"/>
                          <w:rPr>
                            <w:sz w:val="18"/>
                          </w:rPr>
                        </w:pPr>
                        <w:r>
                          <w:rPr>
                            <w:sz w:val="18"/>
                          </w:rPr>
                          <w:t>183.7</w:t>
                        </w:r>
                      </w:p>
                    </w:tc>
                  </w:tr>
                  <w:tr>
                    <w:trPr>
                      <w:trHeight w:val="274" w:hRule="exact"/>
                    </w:trPr>
                    <w:tc>
                      <w:tcPr>
                        <w:tcW w:w="2278" w:type="dxa"/>
                        <w:tcBorders>
                          <w:top w:val="single" w:sz="4" w:space="0" w:color="000000"/>
                          <w:right w:val="single" w:sz="8" w:space="0" w:color="000000"/>
                        </w:tcBorders>
                      </w:tcPr>
                      <w:p>
                        <w:pPr>
                          <w:pStyle w:val="TableParagraph"/>
                          <w:spacing w:before="43"/>
                          <w:ind w:left="55" w:right="219"/>
                          <w:rPr>
                            <w:sz w:val="18"/>
                          </w:rPr>
                        </w:pPr>
                        <w:r>
                          <w:rPr>
                            <w:sz w:val="18"/>
                          </w:rPr>
                          <w:t>Ancho de codo a codo</w:t>
                        </w:r>
                      </w:p>
                    </w:tc>
                    <w:tc>
                      <w:tcPr>
                        <w:tcW w:w="767" w:type="dxa"/>
                        <w:tcBorders>
                          <w:top w:val="single" w:sz="4" w:space="0" w:color="000000"/>
                          <w:left w:val="single" w:sz="8" w:space="0" w:color="000000"/>
                          <w:right w:val="single" w:sz="4" w:space="0" w:color="000000"/>
                        </w:tcBorders>
                      </w:tcPr>
                      <w:p>
                        <w:pPr>
                          <w:pStyle w:val="TableParagraph"/>
                          <w:spacing w:before="43"/>
                          <w:ind w:left="152" w:right="153"/>
                          <w:jc w:val="center"/>
                          <w:rPr>
                            <w:sz w:val="18"/>
                          </w:rPr>
                        </w:pPr>
                        <w:r>
                          <w:rPr>
                            <w:sz w:val="18"/>
                          </w:rPr>
                          <w:t>45.7</w:t>
                        </w:r>
                      </w:p>
                    </w:tc>
                    <w:tc>
                      <w:tcPr>
                        <w:tcW w:w="652" w:type="dxa"/>
                        <w:tcBorders>
                          <w:top w:val="single" w:sz="4" w:space="0" w:color="000000"/>
                          <w:left w:val="single" w:sz="4" w:space="0" w:color="000000"/>
                          <w:right w:val="single" w:sz="4" w:space="0" w:color="000000"/>
                        </w:tcBorders>
                      </w:tcPr>
                      <w:p>
                        <w:pPr>
                          <w:pStyle w:val="TableParagraph"/>
                          <w:spacing w:before="43"/>
                          <w:ind w:left="97" w:right="96"/>
                          <w:jc w:val="center"/>
                          <w:rPr>
                            <w:sz w:val="18"/>
                          </w:rPr>
                        </w:pPr>
                        <w:r>
                          <w:rPr>
                            <w:sz w:val="18"/>
                          </w:rPr>
                          <w:t>48</w:t>
                        </w:r>
                      </w:p>
                    </w:tc>
                    <w:tc>
                      <w:tcPr>
                        <w:tcW w:w="783" w:type="dxa"/>
                        <w:tcBorders>
                          <w:top w:val="single" w:sz="4" w:space="0" w:color="000000"/>
                          <w:left w:val="single" w:sz="4" w:space="0" w:color="000000"/>
                        </w:tcBorders>
                      </w:tcPr>
                      <w:p>
                        <w:pPr>
                          <w:pStyle w:val="TableParagraph"/>
                          <w:spacing w:before="43"/>
                          <w:ind w:left="163" w:right="152"/>
                          <w:jc w:val="center"/>
                          <w:rPr>
                            <w:sz w:val="18"/>
                          </w:rPr>
                        </w:pPr>
                        <w:r>
                          <w:rPr>
                            <w:sz w:val="18"/>
                          </w:rPr>
                          <w:t>50.3</w:t>
                        </w:r>
                      </w:p>
                    </w:tc>
                  </w:tr>
                </w:tbl>
                <w:p>
                  <w:pPr>
                    <w:pStyle w:val="BodyText"/>
                  </w:pPr>
                </w:p>
              </w:txbxContent>
            </v:textbox>
            <w10:wrap type="none"/>
          </v:shape>
        </w:pict>
      </w:r>
      <w:r>
        <w:rPr>
          <w:sz w:val="18"/>
        </w:rPr>
        <w:t>Table 5.  Anthropometric measurement of operators</w:t>
      </w:r>
    </w:p>
    <w:p>
      <w:pPr>
        <w:pStyle w:val="BodyText"/>
        <w:rPr>
          <w:sz w:val="18"/>
        </w:rPr>
      </w:pPr>
      <w:r>
        <w:rPr/>
        <w:br w:type="column"/>
      </w:r>
      <w:r>
        <w:rPr>
          <w:sz w:val="18"/>
        </w:rPr>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9"/>
        <w:rPr>
          <w:sz w:val="16"/>
        </w:rPr>
      </w:pPr>
    </w:p>
    <w:p>
      <w:pPr>
        <w:spacing w:before="0"/>
        <w:ind w:left="270" w:right="678" w:firstLine="0"/>
        <w:jc w:val="both"/>
        <w:rPr>
          <w:sz w:val="18"/>
        </w:rPr>
      </w:pPr>
      <w:r>
        <w:rPr>
          <w:sz w:val="18"/>
        </w:rPr>
        <w:t>The figure 8, shows the percentages in each of the activities that take place in the automotive workshop, with high percentages of delay and transportation that cause unnecessary movements in the respective workstations.</w:t>
      </w:r>
    </w:p>
    <w:p>
      <w:pPr>
        <w:spacing w:before="0"/>
        <w:ind w:left="270" w:right="679" w:firstLine="0"/>
        <w:jc w:val="both"/>
        <w:rPr>
          <w:sz w:val="18"/>
        </w:rPr>
      </w:pPr>
      <w:r>
        <w:rPr>
          <w:sz w:val="18"/>
        </w:rPr>
        <w:t>Coincidentally many unnecessary movements caused discomfort in the evaluated operational management.</w:t>
      </w:r>
    </w:p>
    <w:p>
      <w:pPr>
        <w:spacing w:after="0"/>
        <w:jc w:val="both"/>
        <w:rPr>
          <w:sz w:val="18"/>
        </w:rPr>
        <w:sectPr>
          <w:type w:val="continuous"/>
          <w:pgSz w:w="12240" w:h="15840"/>
          <w:pgMar w:top="1500" w:bottom="280" w:left="580" w:right="220"/>
          <w:cols w:num="2" w:equalWidth="0">
            <w:col w:w="5163" w:space="435"/>
            <w:col w:w="5842"/>
          </w:cols>
        </w:sectPr>
      </w:pPr>
    </w:p>
    <w:p>
      <w:pPr>
        <w:pStyle w:val="BodyText"/>
        <w:rPr>
          <w:sz w:val="19"/>
        </w:rPr>
      </w:pPr>
    </w:p>
    <w:p>
      <w:pPr>
        <w:pStyle w:val="BodyText"/>
        <w:ind w:left="394"/>
      </w:pPr>
      <w:r>
        <w:rPr/>
        <w:drawing>
          <wp:inline distT="0" distB="0" distL="0" distR="0">
            <wp:extent cx="2951515" cy="3643122"/>
            <wp:effectExtent l="0" t="0" r="0" b="0"/>
            <wp:docPr id="225" name="image118.png" descr=""/>
            <wp:cNvGraphicFramePr>
              <a:graphicFrameLocks noChangeAspect="1"/>
            </wp:cNvGraphicFramePr>
            <a:graphic>
              <a:graphicData uri="http://schemas.openxmlformats.org/drawingml/2006/picture">
                <pic:pic>
                  <pic:nvPicPr>
                    <pic:cNvPr id="226" name="image118.png"/>
                    <pic:cNvPicPr/>
                  </pic:nvPicPr>
                  <pic:blipFill>
                    <a:blip r:embed="rId202" cstate="print"/>
                    <a:stretch>
                      <a:fillRect/>
                    </a:stretch>
                  </pic:blipFill>
                  <pic:spPr>
                    <a:xfrm>
                      <a:off x="0" y="0"/>
                      <a:ext cx="2951515" cy="3643122"/>
                    </a:xfrm>
                    <a:prstGeom prst="rect">
                      <a:avLst/>
                    </a:prstGeom>
                  </pic:spPr>
                </pic:pic>
              </a:graphicData>
            </a:graphic>
          </wp:inline>
        </w:drawing>
      </w:r>
      <w:r>
        <w:rPr/>
      </w:r>
    </w:p>
    <w:p>
      <w:pPr>
        <w:pStyle w:val="BodyText"/>
        <w:spacing w:before="6"/>
        <w:rPr>
          <w:sz w:val="17"/>
        </w:rPr>
      </w:pPr>
    </w:p>
    <w:p>
      <w:pPr>
        <w:spacing w:line="720" w:lineRule="auto" w:before="0"/>
        <w:ind w:left="1048" w:right="730" w:hanging="29"/>
        <w:jc w:val="left"/>
        <w:rPr>
          <w:sz w:val="18"/>
        </w:rPr>
      </w:pPr>
      <w:r>
        <w:rPr/>
        <w:pict>
          <v:shape style="position:absolute;margin-left:48.84pt;margin-top:52.021729pt;width:236.2pt;height:85.1pt;mso-position-horizontal-relative:page;mso-position-vertical-relative:paragraph;z-index:6352" type="#_x0000_t202" filled="false" stroked="false">
            <v:textbox inset="0,0,0,0">
              <w:txbxContent>
                <w:tbl>
                  <w:tblPr>
                    <w:tblW w:w="0" w:type="auto"/>
                    <w:jc w:val="left"/>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987"/>
                    <w:gridCol w:w="850"/>
                    <w:gridCol w:w="992"/>
                    <w:gridCol w:w="850"/>
                  </w:tblGrid>
                  <w:tr>
                    <w:trPr>
                      <w:trHeight w:val="566" w:hRule="exact"/>
                    </w:trPr>
                    <w:tc>
                      <w:tcPr>
                        <w:tcW w:w="1987" w:type="dxa"/>
                        <w:tcBorders>
                          <w:right w:val="single" w:sz="4" w:space="0" w:color="000000"/>
                        </w:tcBorders>
                        <w:shd w:val="clear" w:color="auto" w:fill="FFBF00"/>
                      </w:tcPr>
                      <w:p>
                        <w:pPr>
                          <w:pStyle w:val="TableParagraph"/>
                          <w:spacing w:before="2"/>
                          <w:rPr>
                            <w:sz w:val="14"/>
                          </w:rPr>
                        </w:pPr>
                      </w:p>
                      <w:p>
                        <w:pPr>
                          <w:pStyle w:val="TableParagraph"/>
                          <w:ind w:left="524"/>
                          <w:rPr>
                            <w:b/>
                            <w:sz w:val="18"/>
                          </w:rPr>
                        </w:pPr>
                        <w:r>
                          <w:rPr>
                            <w:b/>
                            <w:sz w:val="18"/>
                          </w:rPr>
                          <w:t>Descripción</w:t>
                        </w:r>
                      </w:p>
                    </w:tc>
                    <w:tc>
                      <w:tcPr>
                        <w:tcW w:w="850" w:type="dxa"/>
                        <w:tcBorders>
                          <w:left w:val="single" w:sz="4" w:space="0" w:color="000000"/>
                          <w:right w:val="single" w:sz="4" w:space="0" w:color="000000"/>
                        </w:tcBorders>
                        <w:shd w:val="clear" w:color="auto" w:fill="FFBF00"/>
                      </w:tcPr>
                      <w:p>
                        <w:pPr>
                          <w:pStyle w:val="TableParagraph"/>
                          <w:spacing w:before="2"/>
                          <w:rPr>
                            <w:sz w:val="14"/>
                          </w:rPr>
                        </w:pPr>
                      </w:p>
                      <w:p>
                        <w:pPr>
                          <w:pStyle w:val="TableParagraph"/>
                          <w:ind w:left="155" w:right="154"/>
                          <w:jc w:val="center"/>
                          <w:rPr>
                            <w:b/>
                            <w:sz w:val="18"/>
                          </w:rPr>
                        </w:pPr>
                        <w:r>
                          <w:rPr>
                            <w:b/>
                            <w:sz w:val="18"/>
                          </w:rPr>
                          <w:t>Opera</w:t>
                        </w:r>
                      </w:p>
                    </w:tc>
                    <w:tc>
                      <w:tcPr>
                        <w:tcW w:w="992" w:type="dxa"/>
                        <w:tcBorders>
                          <w:left w:val="single" w:sz="4" w:space="0" w:color="000000"/>
                          <w:right w:val="single" w:sz="4" w:space="0" w:color="000000"/>
                        </w:tcBorders>
                        <w:shd w:val="clear" w:color="auto" w:fill="FFBF00"/>
                      </w:tcPr>
                      <w:p>
                        <w:pPr>
                          <w:pStyle w:val="TableParagraph"/>
                          <w:spacing w:before="2"/>
                          <w:rPr>
                            <w:sz w:val="14"/>
                          </w:rPr>
                        </w:pPr>
                      </w:p>
                      <w:p>
                        <w:pPr>
                          <w:pStyle w:val="TableParagraph"/>
                          <w:ind w:left="157" w:right="156"/>
                          <w:jc w:val="center"/>
                          <w:rPr>
                            <w:b/>
                            <w:sz w:val="18"/>
                          </w:rPr>
                        </w:pPr>
                        <w:r>
                          <w:rPr>
                            <w:b/>
                            <w:sz w:val="18"/>
                          </w:rPr>
                          <w:t>Prepara</w:t>
                        </w:r>
                      </w:p>
                    </w:tc>
                    <w:tc>
                      <w:tcPr>
                        <w:tcW w:w="850" w:type="dxa"/>
                        <w:tcBorders>
                          <w:left w:val="single" w:sz="4" w:space="0" w:color="000000"/>
                        </w:tcBorders>
                        <w:shd w:val="clear" w:color="auto" w:fill="FFBF00"/>
                      </w:tcPr>
                      <w:p>
                        <w:pPr>
                          <w:pStyle w:val="TableParagraph"/>
                          <w:spacing w:before="60"/>
                          <w:ind w:left="200" w:right="170" w:firstLine="110"/>
                          <w:rPr>
                            <w:b/>
                            <w:sz w:val="18"/>
                          </w:rPr>
                        </w:pPr>
                        <w:r>
                          <w:rPr>
                            <w:b/>
                            <w:sz w:val="18"/>
                          </w:rPr>
                          <w:t>No opera</w:t>
                        </w:r>
                      </w:p>
                    </w:tc>
                  </w:tr>
                  <w:tr>
                    <w:trPr>
                      <w:trHeight w:val="227" w:hRule="exact"/>
                    </w:trPr>
                    <w:tc>
                      <w:tcPr>
                        <w:tcW w:w="1987" w:type="dxa"/>
                        <w:tcBorders>
                          <w:bottom w:val="single" w:sz="4" w:space="0" w:color="000000"/>
                          <w:right w:val="single" w:sz="4" w:space="0" w:color="000000"/>
                        </w:tcBorders>
                      </w:tcPr>
                      <w:p>
                        <w:pPr>
                          <w:pStyle w:val="TableParagraph"/>
                          <w:spacing w:line="202" w:lineRule="exact"/>
                          <w:ind w:left="94"/>
                          <w:rPr>
                            <w:sz w:val="18"/>
                          </w:rPr>
                        </w:pPr>
                        <w:r>
                          <w:rPr>
                            <w:sz w:val="18"/>
                          </w:rPr>
                          <w:t>Torneado</w:t>
                        </w:r>
                      </w:p>
                    </w:tc>
                    <w:tc>
                      <w:tcPr>
                        <w:tcW w:w="850" w:type="dxa"/>
                        <w:tcBorders>
                          <w:left w:val="single" w:sz="4" w:space="0" w:color="000000"/>
                          <w:bottom w:val="single" w:sz="4" w:space="0" w:color="000000"/>
                          <w:right w:val="single" w:sz="4" w:space="0" w:color="000000"/>
                        </w:tcBorders>
                      </w:tcPr>
                      <w:p>
                        <w:pPr>
                          <w:pStyle w:val="TableParagraph"/>
                          <w:spacing w:line="202" w:lineRule="exact"/>
                          <w:ind w:left="153" w:right="154"/>
                          <w:jc w:val="center"/>
                          <w:rPr>
                            <w:sz w:val="18"/>
                          </w:rPr>
                        </w:pPr>
                        <w:r>
                          <w:rPr>
                            <w:sz w:val="18"/>
                          </w:rPr>
                          <w:t>65</w:t>
                        </w:r>
                      </w:p>
                    </w:tc>
                    <w:tc>
                      <w:tcPr>
                        <w:tcW w:w="992" w:type="dxa"/>
                        <w:tcBorders>
                          <w:left w:val="single" w:sz="4" w:space="0" w:color="000000"/>
                          <w:bottom w:val="single" w:sz="4" w:space="0" w:color="000000"/>
                          <w:right w:val="single" w:sz="4" w:space="0" w:color="000000"/>
                        </w:tcBorders>
                      </w:tcPr>
                      <w:p>
                        <w:pPr>
                          <w:pStyle w:val="TableParagraph"/>
                          <w:spacing w:line="202" w:lineRule="exact"/>
                          <w:ind w:left="156" w:right="156"/>
                          <w:jc w:val="center"/>
                          <w:rPr>
                            <w:sz w:val="18"/>
                          </w:rPr>
                        </w:pPr>
                        <w:r>
                          <w:rPr>
                            <w:sz w:val="18"/>
                          </w:rPr>
                          <w:t>17</w:t>
                        </w:r>
                      </w:p>
                    </w:tc>
                    <w:tc>
                      <w:tcPr>
                        <w:tcW w:w="850" w:type="dxa"/>
                        <w:tcBorders>
                          <w:left w:val="single" w:sz="4" w:space="0" w:color="000000"/>
                          <w:bottom w:val="single" w:sz="4" w:space="0" w:color="000000"/>
                        </w:tcBorders>
                      </w:tcPr>
                      <w:p>
                        <w:pPr>
                          <w:pStyle w:val="TableParagraph"/>
                          <w:spacing w:line="202" w:lineRule="exact"/>
                          <w:ind w:left="329" w:right="170"/>
                          <w:rPr>
                            <w:sz w:val="18"/>
                          </w:rPr>
                        </w:pPr>
                        <w:r>
                          <w:rPr>
                            <w:sz w:val="18"/>
                          </w:rPr>
                          <w:t>18</w:t>
                        </w:r>
                      </w:p>
                    </w:tc>
                  </w:tr>
                  <w:tr>
                    <w:trPr>
                      <w:trHeight w:val="216" w:hRule="exact"/>
                    </w:trPr>
                    <w:tc>
                      <w:tcPr>
                        <w:tcW w:w="1987" w:type="dxa"/>
                        <w:tcBorders>
                          <w:top w:val="single" w:sz="4" w:space="0" w:color="000000"/>
                          <w:bottom w:val="single" w:sz="4" w:space="0" w:color="000000"/>
                          <w:right w:val="single" w:sz="4" w:space="0" w:color="000000"/>
                        </w:tcBorders>
                      </w:tcPr>
                      <w:p>
                        <w:pPr>
                          <w:pStyle w:val="TableParagraph"/>
                          <w:spacing w:line="202" w:lineRule="exact"/>
                          <w:ind w:left="94"/>
                          <w:rPr>
                            <w:sz w:val="18"/>
                          </w:rPr>
                        </w:pPr>
                        <w:r>
                          <w:rPr>
                            <w:sz w:val="18"/>
                          </w:rPr>
                          <w:t>Desmontaje de llanta</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202" w:lineRule="exact"/>
                          <w:ind w:left="154" w:right="154"/>
                          <w:jc w:val="center"/>
                          <w:rPr>
                            <w:sz w:val="18"/>
                          </w:rPr>
                        </w:pPr>
                        <w:r>
                          <w:rPr>
                            <w:sz w:val="18"/>
                          </w:rPr>
                          <w:t>40</w:t>
                        </w:r>
                      </w:p>
                    </w:tc>
                    <w:tc>
                      <w:tcPr>
                        <w:tcW w:w="992" w:type="dxa"/>
                        <w:tcBorders>
                          <w:top w:val="single" w:sz="4" w:space="0" w:color="000000"/>
                          <w:left w:val="single" w:sz="4" w:space="0" w:color="000000"/>
                          <w:bottom w:val="single" w:sz="4" w:space="0" w:color="000000"/>
                          <w:right w:val="single" w:sz="4" w:space="0" w:color="000000"/>
                        </w:tcBorders>
                      </w:tcPr>
                      <w:p>
                        <w:pPr>
                          <w:pStyle w:val="TableParagraph"/>
                          <w:spacing w:line="202" w:lineRule="exact"/>
                          <w:jc w:val="center"/>
                          <w:rPr>
                            <w:sz w:val="18"/>
                          </w:rPr>
                        </w:pPr>
                        <w:r>
                          <w:rPr>
                            <w:sz w:val="18"/>
                          </w:rPr>
                          <w:t>0</w:t>
                        </w:r>
                      </w:p>
                    </w:tc>
                    <w:tc>
                      <w:tcPr>
                        <w:tcW w:w="850" w:type="dxa"/>
                        <w:tcBorders>
                          <w:top w:val="single" w:sz="4" w:space="0" w:color="000000"/>
                          <w:left w:val="single" w:sz="4" w:space="0" w:color="000000"/>
                          <w:bottom w:val="single" w:sz="4" w:space="0" w:color="000000"/>
                        </w:tcBorders>
                      </w:tcPr>
                      <w:p>
                        <w:pPr>
                          <w:pStyle w:val="TableParagraph"/>
                          <w:spacing w:line="202" w:lineRule="exact"/>
                          <w:ind w:left="330" w:right="170"/>
                          <w:rPr>
                            <w:sz w:val="18"/>
                          </w:rPr>
                        </w:pPr>
                        <w:r>
                          <w:rPr>
                            <w:sz w:val="18"/>
                          </w:rPr>
                          <w:t>60</w:t>
                        </w:r>
                      </w:p>
                    </w:tc>
                  </w:tr>
                  <w:tr>
                    <w:trPr>
                      <w:trHeight w:val="217" w:hRule="exact"/>
                    </w:trPr>
                    <w:tc>
                      <w:tcPr>
                        <w:tcW w:w="1987" w:type="dxa"/>
                        <w:tcBorders>
                          <w:top w:val="single" w:sz="4" w:space="0" w:color="000000"/>
                          <w:bottom w:val="single" w:sz="4" w:space="0" w:color="000000"/>
                          <w:right w:val="single" w:sz="4" w:space="0" w:color="000000"/>
                        </w:tcBorders>
                      </w:tcPr>
                      <w:p>
                        <w:pPr>
                          <w:pStyle w:val="TableParagraph"/>
                          <w:spacing w:line="203" w:lineRule="exact"/>
                          <w:ind w:left="94"/>
                          <w:rPr>
                            <w:sz w:val="18"/>
                          </w:rPr>
                        </w:pPr>
                        <w:r>
                          <w:rPr>
                            <w:sz w:val="18"/>
                          </w:rPr>
                          <w:t>Cambio de llanta</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55" w:right="154"/>
                          <w:jc w:val="center"/>
                          <w:rPr>
                            <w:sz w:val="18"/>
                          </w:rPr>
                        </w:pPr>
                        <w:r>
                          <w:rPr>
                            <w:sz w:val="18"/>
                          </w:rPr>
                          <w:t>40.9</w:t>
                        </w:r>
                      </w:p>
                    </w:tc>
                    <w:tc>
                      <w:tcPr>
                        <w:tcW w:w="99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56" w:right="156"/>
                          <w:jc w:val="center"/>
                          <w:rPr>
                            <w:sz w:val="18"/>
                          </w:rPr>
                        </w:pPr>
                        <w:r>
                          <w:rPr>
                            <w:sz w:val="18"/>
                          </w:rPr>
                          <w:t>21.2</w:t>
                        </w:r>
                      </w:p>
                    </w:tc>
                    <w:tc>
                      <w:tcPr>
                        <w:tcW w:w="850" w:type="dxa"/>
                        <w:tcBorders>
                          <w:top w:val="single" w:sz="4" w:space="0" w:color="000000"/>
                          <w:left w:val="single" w:sz="4" w:space="0" w:color="000000"/>
                          <w:bottom w:val="single" w:sz="4" w:space="0" w:color="000000"/>
                        </w:tcBorders>
                      </w:tcPr>
                      <w:p>
                        <w:pPr>
                          <w:pStyle w:val="TableParagraph"/>
                          <w:spacing w:line="203" w:lineRule="exact"/>
                          <w:ind w:left="329" w:right="170"/>
                          <w:rPr>
                            <w:sz w:val="18"/>
                          </w:rPr>
                        </w:pPr>
                        <w:r>
                          <w:rPr>
                            <w:sz w:val="18"/>
                          </w:rPr>
                          <w:t>38</w:t>
                        </w:r>
                      </w:p>
                    </w:tc>
                  </w:tr>
                  <w:tr>
                    <w:trPr>
                      <w:trHeight w:val="217" w:hRule="exact"/>
                    </w:trPr>
                    <w:tc>
                      <w:tcPr>
                        <w:tcW w:w="1987" w:type="dxa"/>
                        <w:tcBorders>
                          <w:top w:val="single" w:sz="4" w:space="0" w:color="000000"/>
                          <w:bottom w:val="single" w:sz="4" w:space="0" w:color="000000"/>
                          <w:right w:val="single" w:sz="4" w:space="0" w:color="000000"/>
                        </w:tcBorders>
                      </w:tcPr>
                      <w:p>
                        <w:pPr>
                          <w:pStyle w:val="TableParagraph"/>
                          <w:spacing w:line="203" w:lineRule="exact"/>
                          <w:ind w:left="94"/>
                          <w:rPr>
                            <w:sz w:val="18"/>
                          </w:rPr>
                        </w:pPr>
                        <w:r>
                          <w:rPr>
                            <w:sz w:val="18"/>
                          </w:rPr>
                          <w:t>Balancear llanta</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54" w:right="154"/>
                          <w:jc w:val="center"/>
                          <w:rPr>
                            <w:sz w:val="18"/>
                          </w:rPr>
                        </w:pPr>
                        <w:r>
                          <w:rPr>
                            <w:sz w:val="18"/>
                          </w:rPr>
                          <w:t>15.5</w:t>
                        </w:r>
                      </w:p>
                    </w:tc>
                    <w:tc>
                      <w:tcPr>
                        <w:tcW w:w="99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56" w:right="156"/>
                          <w:jc w:val="center"/>
                          <w:rPr>
                            <w:sz w:val="18"/>
                          </w:rPr>
                        </w:pPr>
                        <w:r>
                          <w:rPr>
                            <w:sz w:val="18"/>
                          </w:rPr>
                          <w:t>40.7</w:t>
                        </w:r>
                      </w:p>
                    </w:tc>
                    <w:tc>
                      <w:tcPr>
                        <w:tcW w:w="850" w:type="dxa"/>
                        <w:tcBorders>
                          <w:top w:val="single" w:sz="4" w:space="0" w:color="000000"/>
                          <w:left w:val="single" w:sz="4" w:space="0" w:color="000000"/>
                          <w:bottom w:val="single" w:sz="4" w:space="0" w:color="000000"/>
                        </w:tcBorders>
                      </w:tcPr>
                      <w:p>
                        <w:pPr>
                          <w:pStyle w:val="TableParagraph"/>
                          <w:spacing w:line="203" w:lineRule="exact"/>
                          <w:ind w:left="262" w:right="170"/>
                          <w:rPr>
                            <w:sz w:val="18"/>
                          </w:rPr>
                        </w:pPr>
                        <w:r>
                          <w:rPr>
                            <w:sz w:val="18"/>
                          </w:rPr>
                          <w:t>43.8</w:t>
                        </w:r>
                      </w:p>
                    </w:tc>
                  </w:tr>
                  <w:tr>
                    <w:trPr>
                      <w:trHeight w:val="227" w:hRule="exact"/>
                    </w:trPr>
                    <w:tc>
                      <w:tcPr>
                        <w:tcW w:w="1987" w:type="dxa"/>
                        <w:tcBorders>
                          <w:top w:val="single" w:sz="4" w:space="0" w:color="000000"/>
                          <w:right w:val="single" w:sz="4" w:space="0" w:color="000000"/>
                        </w:tcBorders>
                      </w:tcPr>
                      <w:p>
                        <w:pPr>
                          <w:pStyle w:val="TableParagraph"/>
                          <w:spacing w:line="202" w:lineRule="exact"/>
                          <w:ind w:left="94"/>
                          <w:rPr>
                            <w:sz w:val="18"/>
                          </w:rPr>
                        </w:pPr>
                        <w:r>
                          <w:rPr>
                            <w:sz w:val="18"/>
                          </w:rPr>
                          <w:t>Montaje de llanta</w:t>
                        </w:r>
                      </w:p>
                    </w:tc>
                    <w:tc>
                      <w:tcPr>
                        <w:tcW w:w="850" w:type="dxa"/>
                        <w:tcBorders>
                          <w:top w:val="single" w:sz="4" w:space="0" w:color="000000"/>
                          <w:left w:val="single" w:sz="4" w:space="0" w:color="000000"/>
                          <w:right w:val="single" w:sz="4" w:space="0" w:color="000000"/>
                        </w:tcBorders>
                      </w:tcPr>
                      <w:p>
                        <w:pPr>
                          <w:pStyle w:val="TableParagraph"/>
                          <w:spacing w:line="202" w:lineRule="exact"/>
                          <w:ind w:left="155" w:right="153"/>
                          <w:jc w:val="center"/>
                          <w:rPr>
                            <w:sz w:val="18"/>
                          </w:rPr>
                        </w:pPr>
                        <w:r>
                          <w:rPr>
                            <w:sz w:val="18"/>
                          </w:rPr>
                          <w:t>31</w:t>
                        </w:r>
                      </w:p>
                    </w:tc>
                    <w:tc>
                      <w:tcPr>
                        <w:tcW w:w="992" w:type="dxa"/>
                        <w:tcBorders>
                          <w:top w:val="single" w:sz="4" w:space="0" w:color="000000"/>
                          <w:left w:val="single" w:sz="4" w:space="0" w:color="000000"/>
                          <w:right w:val="single" w:sz="4" w:space="0" w:color="000000"/>
                        </w:tcBorders>
                      </w:tcPr>
                      <w:p>
                        <w:pPr>
                          <w:pStyle w:val="TableParagraph"/>
                          <w:spacing w:line="202" w:lineRule="exact"/>
                          <w:ind w:left="157" w:right="156"/>
                          <w:jc w:val="center"/>
                          <w:rPr>
                            <w:sz w:val="18"/>
                          </w:rPr>
                        </w:pPr>
                        <w:r>
                          <w:rPr>
                            <w:sz w:val="18"/>
                          </w:rPr>
                          <w:t>12.7</w:t>
                        </w:r>
                      </w:p>
                    </w:tc>
                    <w:tc>
                      <w:tcPr>
                        <w:tcW w:w="850" w:type="dxa"/>
                        <w:tcBorders>
                          <w:top w:val="single" w:sz="4" w:space="0" w:color="000000"/>
                          <w:left w:val="single" w:sz="4" w:space="0" w:color="000000"/>
                        </w:tcBorders>
                      </w:tcPr>
                      <w:p>
                        <w:pPr>
                          <w:pStyle w:val="TableParagraph"/>
                          <w:spacing w:line="202" w:lineRule="exact"/>
                          <w:ind w:left="263" w:right="170"/>
                          <w:rPr>
                            <w:sz w:val="18"/>
                          </w:rPr>
                        </w:pPr>
                        <w:r>
                          <w:rPr>
                            <w:sz w:val="18"/>
                          </w:rPr>
                          <w:t>56.3</w:t>
                        </w:r>
                      </w:p>
                    </w:tc>
                  </w:tr>
                </w:tbl>
                <w:p>
                  <w:pPr>
                    <w:pStyle w:val="BodyText"/>
                  </w:pPr>
                </w:p>
              </w:txbxContent>
            </v:textbox>
            <w10:wrap type="none"/>
          </v:shape>
        </w:pict>
      </w:r>
      <w:r>
        <w:rPr>
          <w:sz w:val="18"/>
        </w:rPr>
        <w:t>Figure 8. Percentage of each activity workshop Table 8. Percentage of each activity workshop</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3"/>
        <w:rPr>
          <w:sz w:val="23"/>
        </w:rPr>
      </w:pPr>
    </w:p>
    <w:p>
      <w:pPr>
        <w:spacing w:before="0"/>
        <w:ind w:left="270" w:right="0" w:firstLine="0"/>
        <w:jc w:val="both"/>
        <w:rPr>
          <w:sz w:val="18"/>
        </w:rPr>
      </w:pPr>
      <w:r>
        <w:rPr>
          <w:sz w:val="18"/>
        </w:rPr>
        <w:t>The table 8 and figure 9, show percentages in each of the activities that take place in the automotive workshop. This is a concentrate of diagrams of process of each activity, with operations, non operation and preparation.</w:t>
      </w:r>
    </w:p>
    <w:p>
      <w:pPr>
        <w:spacing w:before="0"/>
        <w:ind w:left="270" w:right="1" w:firstLine="0"/>
        <w:jc w:val="both"/>
        <w:rPr>
          <w:sz w:val="18"/>
        </w:rPr>
      </w:pPr>
      <w:r>
        <w:rPr>
          <w:sz w:val="18"/>
        </w:rPr>
        <w:t>To reassess the processes it was necessary to separate the activities in times of operation, non operation and preparation with the purpose of applying improvement tools that enable you to respond to every need.</w:t>
      </w:r>
    </w:p>
    <w:p>
      <w:pPr>
        <w:pStyle w:val="BodyText"/>
        <w:spacing w:before="8" w:after="40"/>
        <w:rPr>
          <w:sz w:val="15"/>
        </w:rPr>
      </w:pPr>
      <w:r>
        <w:rPr/>
        <w:br w:type="column"/>
      </w:r>
      <w:r>
        <w:rPr>
          <w:sz w:val="15"/>
        </w:rPr>
      </w:r>
    </w:p>
    <w:p>
      <w:pPr>
        <w:pStyle w:val="BodyText"/>
        <w:ind w:left="282"/>
      </w:pPr>
      <w:r>
        <w:rPr/>
        <w:drawing>
          <wp:inline distT="0" distB="0" distL="0" distR="0">
            <wp:extent cx="2955968" cy="3194304"/>
            <wp:effectExtent l="0" t="0" r="0" b="0"/>
            <wp:docPr id="227" name="image119.png" descr=""/>
            <wp:cNvGraphicFramePr>
              <a:graphicFrameLocks noChangeAspect="1"/>
            </wp:cNvGraphicFramePr>
            <a:graphic>
              <a:graphicData uri="http://schemas.openxmlformats.org/drawingml/2006/picture">
                <pic:pic>
                  <pic:nvPicPr>
                    <pic:cNvPr id="228" name="image119.png"/>
                    <pic:cNvPicPr/>
                  </pic:nvPicPr>
                  <pic:blipFill>
                    <a:blip r:embed="rId203" cstate="print"/>
                    <a:stretch>
                      <a:fillRect/>
                    </a:stretch>
                  </pic:blipFill>
                  <pic:spPr>
                    <a:xfrm>
                      <a:off x="0" y="0"/>
                      <a:ext cx="2955968" cy="3194304"/>
                    </a:xfrm>
                    <a:prstGeom prst="rect">
                      <a:avLst/>
                    </a:prstGeom>
                  </pic:spPr>
                </pic:pic>
              </a:graphicData>
            </a:graphic>
          </wp:inline>
        </w:drawing>
      </w:r>
      <w:r>
        <w:rPr/>
      </w:r>
    </w:p>
    <w:p>
      <w:pPr>
        <w:pStyle w:val="BodyText"/>
        <w:spacing w:before="9"/>
        <w:rPr>
          <w:sz w:val="17"/>
        </w:rPr>
      </w:pPr>
    </w:p>
    <w:p>
      <w:pPr>
        <w:spacing w:before="0"/>
        <w:ind w:left="0" w:right="405" w:firstLine="0"/>
        <w:jc w:val="center"/>
        <w:rPr>
          <w:sz w:val="18"/>
        </w:rPr>
      </w:pPr>
      <w:r>
        <w:rPr>
          <w:sz w:val="18"/>
        </w:rPr>
        <w:t>Figure 9. Percentage of each activity workshop</w:t>
      </w:r>
    </w:p>
    <w:p>
      <w:pPr>
        <w:pStyle w:val="BodyText"/>
        <w:rPr>
          <w:sz w:val="18"/>
        </w:rPr>
      </w:pPr>
    </w:p>
    <w:p>
      <w:pPr>
        <w:pStyle w:val="BodyText"/>
        <w:spacing w:before="4"/>
        <w:rPr>
          <w:sz w:val="18"/>
        </w:rPr>
      </w:pPr>
    </w:p>
    <w:p>
      <w:pPr>
        <w:pStyle w:val="ListParagraph"/>
        <w:numPr>
          <w:ilvl w:val="1"/>
          <w:numId w:val="58"/>
        </w:numPr>
        <w:tabs>
          <w:tab w:pos="587" w:val="left" w:leader="none"/>
        </w:tabs>
        <w:spacing w:line="240" w:lineRule="auto" w:before="0" w:after="0"/>
        <w:ind w:left="586" w:right="0" w:hanging="316"/>
        <w:jc w:val="both"/>
        <w:rPr>
          <w:b/>
          <w:sz w:val="18"/>
        </w:rPr>
      </w:pPr>
      <w:r>
        <w:rPr>
          <w:b/>
          <w:sz w:val="18"/>
        </w:rPr>
        <w:t>Application of Order and</w:t>
      </w:r>
      <w:r>
        <w:rPr>
          <w:b/>
          <w:spacing w:val="-17"/>
          <w:sz w:val="18"/>
        </w:rPr>
        <w:t> </w:t>
      </w:r>
      <w:r>
        <w:rPr>
          <w:b/>
          <w:sz w:val="18"/>
        </w:rPr>
        <w:t>SMED</w:t>
      </w:r>
    </w:p>
    <w:p>
      <w:pPr>
        <w:pStyle w:val="BodyText"/>
        <w:spacing w:before="7"/>
        <w:rPr>
          <w:b/>
          <w:sz w:val="17"/>
        </w:rPr>
      </w:pPr>
    </w:p>
    <w:p>
      <w:pPr>
        <w:spacing w:before="1"/>
        <w:ind w:left="270" w:right="1118" w:firstLine="0"/>
        <w:jc w:val="left"/>
        <w:rPr>
          <w:sz w:val="18"/>
        </w:rPr>
      </w:pPr>
      <w:r>
        <w:rPr>
          <w:sz w:val="18"/>
        </w:rPr>
        <w:t>External setup improvements include refining the storage and transportation of parts and tools [7] [8].</w:t>
      </w:r>
    </w:p>
    <w:p>
      <w:pPr>
        <w:spacing w:before="0"/>
        <w:ind w:left="270" w:right="678" w:firstLine="0"/>
        <w:jc w:val="both"/>
        <w:rPr>
          <w:sz w:val="18"/>
        </w:rPr>
      </w:pPr>
      <w:r>
        <w:rPr>
          <w:sz w:val="18"/>
        </w:rPr>
        <w:t>Implement a template tools to reduce management and create an order, on a work table with tire and comfortable measure for the reduction or elimination of delays and transport.</w:t>
      </w:r>
    </w:p>
    <w:p>
      <w:pPr>
        <w:spacing w:before="0"/>
        <w:ind w:left="270" w:right="678" w:firstLine="0"/>
        <w:jc w:val="both"/>
        <w:rPr>
          <w:sz w:val="18"/>
        </w:rPr>
      </w:pPr>
      <w:r>
        <w:rPr/>
        <w:pict>
          <v:shape style="position:absolute;margin-left:380.399994pt;margin-top:33.481735pt;width:154pt;height:145.5pt;mso-position-horizontal-relative:page;mso-position-vertical-relative:paragraph;z-index:-872512" type="#_x0000_t202" filled="false" stroked="false">
            <v:textbox inset="0,0,0,0">
              <w:txbxContent>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spacing w:before="158"/>
                    <w:ind w:left="4" w:right="-19" w:firstLine="0"/>
                    <w:jc w:val="left"/>
                    <w:rPr>
                      <w:sz w:val="18"/>
                    </w:rPr>
                  </w:pPr>
                  <w:r>
                    <w:rPr>
                      <w:sz w:val="18"/>
                    </w:rPr>
                    <w:t>ork table with template tools for turning of</w:t>
                  </w:r>
                </w:p>
              </w:txbxContent>
            </v:textbox>
            <w10:wrap type="none"/>
          </v:shape>
        </w:pict>
      </w:r>
      <w:r>
        <w:rPr/>
        <w:pict>
          <v:group style="position:absolute;margin-left:380.399994pt;margin-top:33.481735pt;width:148.9pt;height:145.5pt;mso-position-horizontal-relative:page;mso-position-vertical-relative:paragraph;z-index:-872488" coordorigin="7608,670" coordsize="2978,2910">
            <v:rect style="position:absolute;left:7608;top:670;width:2977;height:2910" filled="true" fillcolor="#ffffff" stroked="false">
              <v:fill type="solid"/>
            </v:rect>
            <v:shape style="position:absolute;left:7760;top:749;width:2675;height:2738" type="#_x0000_t75" stroked="false">
              <v:imagedata r:id="rId204" o:title=""/>
            </v:shape>
            <w10:wrap type="none"/>
          </v:group>
        </w:pict>
      </w:r>
      <w:r>
        <w:rPr>
          <w:sz w:val="18"/>
        </w:rPr>
        <w:t>Figure 10 shows a template of tools grouped by products (brake disc and drum), ordered in sequence of use, that allows to view the tools and or equipment to be used in the specific process [8]</w:t>
      </w:r>
      <w:r>
        <w:rPr>
          <w:spacing w:val="-12"/>
          <w:sz w:val="18"/>
        </w:rPr>
        <w:t> </w:t>
      </w:r>
      <w:r>
        <w:rPr>
          <w:sz w:val="18"/>
        </w:rPr>
        <w:t>[9].</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tabs>
          <w:tab w:pos="4076" w:val="left" w:leader="none"/>
        </w:tabs>
        <w:spacing w:line="207" w:lineRule="exact" w:before="0"/>
        <w:ind w:left="0" w:right="408" w:firstLine="0"/>
        <w:jc w:val="center"/>
        <w:rPr>
          <w:sz w:val="18"/>
        </w:rPr>
      </w:pPr>
      <w:r>
        <w:rPr>
          <w:sz w:val="18"/>
        </w:rPr>
        <w:t>Figure 10. W</w:t>
        <w:tab/>
        <w:t>brake</w:t>
      </w:r>
    </w:p>
    <w:p>
      <w:pPr>
        <w:spacing w:line="207" w:lineRule="exact" w:before="0"/>
        <w:ind w:left="2445" w:right="668" w:firstLine="0"/>
        <w:jc w:val="left"/>
        <w:rPr>
          <w:sz w:val="18"/>
        </w:rPr>
      </w:pPr>
      <w:r>
        <w:rPr>
          <w:sz w:val="18"/>
        </w:rPr>
        <w:t>process</w:t>
      </w:r>
    </w:p>
    <w:p>
      <w:pPr>
        <w:pStyle w:val="BodyText"/>
        <w:rPr>
          <w:sz w:val="18"/>
        </w:rPr>
      </w:pPr>
    </w:p>
    <w:p>
      <w:pPr>
        <w:pStyle w:val="BodyText"/>
        <w:rPr>
          <w:sz w:val="18"/>
        </w:rPr>
      </w:pPr>
    </w:p>
    <w:p>
      <w:pPr>
        <w:spacing w:line="207" w:lineRule="exact" w:before="0"/>
        <w:ind w:left="270" w:right="0" w:firstLine="0"/>
        <w:jc w:val="both"/>
        <w:rPr>
          <w:sz w:val="18"/>
        </w:rPr>
      </w:pPr>
      <w:r>
        <w:rPr>
          <w:sz w:val="18"/>
        </w:rPr>
        <w:t>Figure 10 shows:</w:t>
      </w:r>
    </w:p>
    <w:p>
      <w:pPr>
        <w:pStyle w:val="ListParagraph"/>
        <w:numPr>
          <w:ilvl w:val="0"/>
          <w:numId w:val="41"/>
        </w:numPr>
        <w:tabs>
          <w:tab w:pos="631" w:val="left" w:leader="none"/>
        </w:tabs>
        <w:spacing w:line="240" w:lineRule="auto" w:before="0" w:after="0"/>
        <w:ind w:left="630" w:right="678" w:hanging="360"/>
        <w:jc w:val="both"/>
        <w:rPr>
          <w:sz w:val="18"/>
        </w:rPr>
      </w:pPr>
      <w:r>
        <w:rPr>
          <w:sz w:val="18"/>
        </w:rPr>
        <w:t>The work table with wheels for their management, compliance with measures for the convenience of the operator, without unnecessary</w:t>
      </w:r>
      <w:r>
        <w:rPr>
          <w:spacing w:val="-3"/>
          <w:sz w:val="18"/>
        </w:rPr>
        <w:t> </w:t>
      </w:r>
      <w:r>
        <w:rPr>
          <w:sz w:val="18"/>
        </w:rPr>
        <w:t>movements.</w:t>
      </w:r>
    </w:p>
    <w:p>
      <w:pPr>
        <w:pStyle w:val="ListParagraph"/>
        <w:numPr>
          <w:ilvl w:val="0"/>
          <w:numId w:val="41"/>
        </w:numPr>
        <w:tabs>
          <w:tab w:pos="631" w:val="left" w:leader="none"/>
        </w:tabs>
        <w:spacing w:line="240" w:lineRule="auto" w:before="0" w:after="0"/>
        <w:ind w:left="630" w:right="679" w:hanging="360"/>
        <w:jc w:val="both"/>
        <w:rPr>
          <w:sz w:val="18"/>
        </w:rPr>
      </w:pPr>
      <w:r>
        <w:rPr>
          <w:sz w:val="18"/>
        </w:rPr>
        <w:t>Templates with the necessary tools in order to make the turning.</w:t>
      </w:r>
    </w:p>
    <w:p>
      <w:pPr>
        <w:pStyle w:val="ListParagraph"/>
        <w:numPr>
          <w:ilvl w:val="0"/>
          <w:numId w:val="41"/>
        </w:numPr>
        <w:tabs>
          <w:tab w:pos="631" w:val="left" w:leader="none"/>
        </w:tabs>
        <w:spacing w:line="240" w:lineRule="auto" w:before="0" w:after="0"/>
        <w:ind w:left="630" w:right="679" w:hanging="360"/>
        <w:jc w:val="both"/>
        <w:rPr>
          <w:sz w:val="18"/>
        </w:rPr>
      </w:pPr>
      <w:r>
        <w:rPr>
          <w:sz w:val="18"/>
        </w:rPr>
        <w:t>Classification of internal and external activities necessary for fast</w:t>
      </w:r>
      <w:r>
        <w:rPr>
          <w:spacing w:val="-7"/>
          <w:sz w:val="18"/>
        </w:rPr>
        <w:t> </w:t>
      </w:r>
      <w:r>
        <w:rPr>
          <w:sz w:val="18"/>
        </w:rPr>
        <w:t>setup.</w:t>
      </w:r>
    </w:p>
    <w:p>
      <w:pPr>
        <w:spacing w:after="0" w:line="240" w:lineRule="auto"/>
        <w:jc w:val="both"/>
        <w:rPr>
          <w:sz w:val="18"/>
        </w:rPr>
        <w:sectPr>
          <w:pgSz w:w="12240" w:h="15840"/>
          <w:pgMar w:header="545" w:footer="852" w:top="1060" w:bottom="1040" w:left="580" w:right="220"/>
          <w:cols w:num="2" w:equalWidth="0">
            <w:col w:w="5163" w:space="435"/>
            <w:col w:w="5842"/>
          </w:cols>
        </w:sectPr>
      </w:pPr>
    </w:p>
    <w:p>
      <w:pPr>
        <w:pStyle w:val="BodyText"/>
        <w:rPr>
          <w:sz w:val="11"/>
        </w:rPr>
      </w:pPr>
    </w:p>
    <w:p>
      <w:pPr>
        <w:spacing w:after="0"/>
        <w:rPr>
          <w:sz w:val="11"/>
        </w:rPr>
        <w:sectPr>
          <w:pgSz w:w="12240" w:h="15840"/>
          <w:pgMar w:header="545" w:footer="852" w:top="1060" w:bottom="1040" w:left="580" w:right="220"/>
        </w:sectPr>
      </w:pPr>
    </w:p>
    <w:p>
      <w:pPr>
        <w:pStyle w:val="ListParagraph"/>
        <w:numPr>
          <w:ilvl w:val="0"/>
          <w:numId w:val="41"/>
        </w:numPr>
        <w:tabs>
          <w:tab w:pos="630" w:val="left" w:leader="none"/>
          <w:tab w:pos="631" w:val="left" w:leader="none"/>
        </w:tabs>
        <w:spacing w:line="240" w:lineRule="auto" w:before="77" w:after="0"/>
        <w:ind w:left="630" w:right="48" w:hanging="360"/>
        <w:jc w:val="left"/>
        <w:rPr>
          <w:sz w:val="18"/>
        </w:rPr>
      </w:pPr>
      <w:r>
        <w:rPr>
          <w:sz w:val="18"/>
        </w:rPr>
        <w:t>It is noted as the operator looks for the tools you need for the process, instead of having them on hand, in the process before applying quick preparations, proposed template and designed work desk</w:t>
      </w:r>
      <w:r>
        <w:rPr>
          <w:spacing w:val="-2"/>
          <w:sz w:val="18"/>
        </w:rPr>
        <w:t> </w:t>
      </w:r>
      <w:r>
        <w:rPr>
          <w:sz w:val="18"/>
        </w:rPr>
        <w:t>[10].</w:t>
      </w:r>
    </w:p>
    <w:p>
      <w:pPr>
        <w:spacing w:line="206" w:lineRule="exact" w:before="0"/>
        <w:ind w:left="270" w:right="0" w:firstLine="0"/>
        <w:jc w:val="both"/>
        <w:rPr>
          <w:sz w:val="18"/>
        </w:rPr>
      </w:pPr>
      <w:r>
        <w:rPr>
          <w:sz w:val="18"/>
        </w:rPr>
        <w:t>Improved work sequence of operator:</w:t>
      </w:r>
    </w:p>
    <w:p>
      <w:pPr>
        <w:pStyle w:val="ListParagraph"/>
        <w:numPr>
          <w:ilvl w:val="2"/>
          <w:numId w:val="58"/>
        </w:numPr>
        <w:tabs>
          <w:tab w:pos="979" w:val="left" w:leader="none"/>
        </w:tabs>
        <w:spacing w:line="228" w:lineRule="exact" w:before="1" w:after="0"/>
        <w:ind w:left="978" w:right="0" w:hanging="348"/>
        <w:jc w:val="left"/>
        <w:rPr>
          <w:sz w:val="20"/>
        </w:rPr>
      </w:pPr>
      <w:r>
        <w:rPr>
          <w:sz w:val="18"/>
        </w:rPr>
        <w:t>Place drum to start turning.operar</w:t>
      </w:r>
      <w:r>
        <w:rPr>
          <w:spacing w:val="37"/>
          <w:sz w:val="18"/>
        </w:rPr>
        <w:t> </w:t>
      </w:r>
      <w:r>
        <w:rPr>
          <w:sz w:val="18"/>
        </w:rPr>
        <w:t>torno.</w:t>
      </w:r>
    </w:p>
    <w:p>
      <w:pPr>
        <w:pStyle w:val="ListParagraph"/>
        <w:numPr>
          <w:ilvl w:val="2"/>
          <w:numId w:val="58"/>
        </w:numPr>
        <w:tabs>
          <w:tab w:pos="979" w:val="left" w:leader="none"/>
        </w:tabs>
        <w:spacing w:line="226" w:lineRule="exact" w:before="0" w:after="0"/>
        <w:ind w:left="978" w:right="0" w:hanging="348"/>
        <w:jc w:val="left"/>
        <w:rPr>
          <w:sz w:val="20"/>
        </w:rPr>
      </w:pPr>
      <w:r>
        <w:rPr>
          <w:sz w:val="18"/>
        </w:rPr>
        <w:t>Go for a second</w:t>
      </w:r>
      <w:r>
        <w:rPr>
          <w:spacing w:val="-15"/>
          <w:sz w:val="18"/>
        </w:rPr>
        <w:t> </w:t>
      </w:r>
      <w:r>
        <w:rPr>
          <w:sz w:val="18"/>
        </w:rPr>
        <w:t>drum.</w:t>
      </w:r>
    </w:p>
    <w:p>
      <w:pPr>
        <w:pStyle w:val="ListParagraph"/>
        <w:numPr>
          <w:ilvl w:val="2"/>
          <w:numId w:val="58"/>
        </w:numPr>
        <w:tabs>
          <w:tab w:pos="979" w:val="left" w:leader="none"/>
        </w:tabs>
        <w:spacing w:line="226" w:lineRule="exact" w:before="0" w:after="0"/>
        <w:ind w:left="978" w:right="0" w:hanging="348"/>
        <w:jc w:val="left"/>
        <w:rPr>
          <w:sz w:val="20"/>
        </w:rPr>
      </w:pPr>
      <w:r>
        <w:rPr>
          <w:sz w:val="18"/>
        </w:rPr>
        <w:t>Back to</w:t>
      </w:r>
      <w:r>
        <w:rPr>
          <w:spacing w:val="-4"/>
          <w:sz w:val="18"/>
        </w:rPr>
        <w:t> </w:t>
      </w:r>
      <w:r>
        <w:rPr>
          <w:sz w:val="18"/>
        </w:rPr>
        <w:t>lathe.</w:t>
      </w:r>
    </w:p>
    <w:p>
      <w:pPr>
        <w:pStyle w:val="ListParagraph"/>
        <w:numPr>
          <w:ilvl w:val="2"/>
          <w:numId w:val="58"/>
        </w:numPr>
        <w:tabs>
          <w:tab w:pos="979" w:val="left" w:leader="none"/>
        </w:tabs>
        <w:spacing w:line="225" w:lineRule="exact" w:before="0" w:after="0"/>
        <w:ind w:left="978" w:right="0" w:hanging="348"/>
        <w:jc w:val="left"/>
        <w:rPr>
          <w:sz w:val="20"/>
        </w:rPr>
      </w:pPr>
      <w:r>
        <w:rPr>
          <w:sz w:val="18"/>
        </w:rPr>
        <w:t>Remove finished</w:t>
      </w:r>
      <w:r>
        <w:rPr>
          <w:spacing w:val="-1"/>
          <w:sz w:val="18"/>
        </w:rPr>
        <w:t> </w:t>
      </w:r>
      <w:r>
        <w:rPr>
          <w:sz w:val="18"/>
        </w:rPr>
        <w:t>drum.</w:t>
      </w:r>
    </w:p>
    <w:p>
      <w:pPr>
        <w:spacing w:line="205" w:lineRule="exact" w:before="0"/>
        <w:ind w:left="270" w:right="0" w:firstLine="0"/>
        <w:jc w:val="both"/>
        <w:rPr>
          <w:sz w:val="18"/>
        </w:rPr>
      </w:pPr>
      <w:r>
        <w:rPr>
          <w:sz w:val="18"/>
        </w:rPr>
        <w:t>Indications of fast preparation 3 phase [7] [11]</w:t>
      </w:r>
    </w:p>
    <w:p>
      <w:pPr>
        <w:spacing w:line="207" w:lineRule="exact" w:before="0"/>
        <w:ind w:left="270" w:right="0" w:firstLine="0"/>
        <w:jc w:val="both"/>
        <w:rPr>
          <w:sz w:val="18"/>
        </w:rPr>
      </w:pPr>
      <w:r>
        <w:rPr>
          <w:sz w:val="18"/>
        </w:rPr>
        <w:t>SMED phase 1</w:t>
      </w:r>
    </w:p>
    <w:p>
      <w:pPr>
        <w:spacing w:before="0"/>
        <w:ind w:left="270" w:right="5" w:firstLine="0"/>
        <w:jc w:val="left"/>
        <w:rPr>
          <w:sz w:val="18"/>
        </w:rPr>
      </w:pPr>
      <w:r>
        <w:rPr>
          <w:sz w:val="18"/>
        </w:rPr>
        <w:t>. a. separate setup internal and external. Discover the activities that can be performed while the machine is operating.</w:t>
      </w:r>
    </w:p>
    <w:p>
      <w:pPr>
        <w:pStyle w:val="ListParagraph"/>
        <w:numPr>
          <w:ilvl w:val="0"/>
          <w:numId w:val="59"/>
        </w:numPr>
        <w:tabs>
          <w:tab w:pos="461" w:val="left" w:leader="none"/>
        </w:tabs>
        <w:spacing w:line="240" w:lineRule="auto" w:before="0" w:after="0"/>
        <w:ind w:left="270" w:right="0" w:firstLine="0"/>
        <w:jc w:val="both"/>
        <w:rPr>
          <w:sz w:val="18"/>
        </w:rPr>
      </w:pPr>
      <w:r>
        <w:rPr>
          <w:sz w:val="18"/>
        </w:rPr>
        <w:t>checklist of functions. Do it before the start of the preparation, must be for each machine or operation, to avoid mistakes that could hamper and delay the task once started the internal</w:t>
      </w:r>
      <w:r>
        <w:rPr>
          <w:spacing w:val="-10"/>
          <w:sz w:val="18"/>
        </w:rPr>
        <w:t> </w:t>
      </w:r>
      <w:r>
        <w:rPr>
          <w:sz w:val="18"/>
        </w:rPr>
        <w:t>preparation.</w:t>
      </w:r>
    </w:p>
    <w:p>
      <w:pPr>
        <w:pStyle w:val="ListParagraph"/>
        <w:numPr>
          <w:ilvl w:val="0"/>
          <w:numId w:val="59"/>
        </w:numPr>
        <w:tabs>
          <w:tab w:pos="466" w:val="left" w:leader="none"/>
        </w:tabs>
        <w:spacing w:line="240" w:lineRule="auto" w:before="0" w:after="0"/>
        <w:ind w:left="270" w:right="0" w:firstLine="0"/>
        <w:jc w:val="both"/>
        <w:rPr>
          <w:sz w:val="18"/>
        </w:rPr>
      </w:pPr>
      <w:r>
        <w:rPr>
          <w:sz w:val="18"/>
        </w:rPr>
        <w:t>improvement of transportation and useful parts. Implement the work table and template tools to use the useful parts, maintain order and improve</w:t>
      </w:r>
      <w:r>
        <w:rPr>
          <w:spacing w:val="-2"/>
          <w:sz w:val="18"/>
        </w:rPr>
        <w:t> </w:t>
      </w:r>
      <w:r>
        <w:rPr>
          <w:sz w:val="18"/>
        </w:rPr>
        <w:t>transportation.</w:t>
      </w:r>
    </w:p>
    <w:p>
      <w:pPr>
        <w:spacing w:line="207" w:lineRule="exact" w:before="0"/>
        <w:ind w:left="270" w:right="0" w:firstLine="0"/>
        <w:jc w:val="both"/>
        <w:rPr>
          <w:sz w:val="18"/>
        </w:rPr>
      </w:pPr>
      <w:r>
        <w:rPr>
          <w:sz w:val="18"/>
        </w:rPr>
        <w:t>SMED phase 2[8].</w:t>
      </w:r>
    </w:p>
    <w:p>
      <w:pPr>
        <w:spacing w:before="0"/>
        <w:ind w:left="270" w:right="1" w:firstLine="0"/>
        <w:jc w:val="both"/>
        <w:rPr>
          <w:sz w:val="18"/>
        </w:rPr>
      </w:pPr>
      <w:r>
        <w:rPr>
          <w:sz w:val="18"/>
        </w:rPr>
        <w:t>Convert setup internal to external. With machine off will make the process of setup, all the installation steps are internal, but we can make the internal setup steps in external.</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4"/>
        <w:rPr>
          <w:sz w:val="18"/>
        </w:rPr>
      </w:pPr>
    </w:p>
    <w:p>
      <w:pPr>
        <w:pStyle w:val="ListParagraph"/>
        <w:numPr>
          <w:ilvl w:val="2"/>
          <w:numId w:val="58"/>
        </w:numPr>
        <w:tabs>
          <w:tab w:pos="979" w:val="left" w:leader="none"/>
        </w:tabs>
        <w:spacing w:line="240" w:lineRule="auto" w:before="0" w:after="0"/>
        <w:ind w:left="978" w:right="0" w:hanging="348"/>
        <w:jc w:val="left"/>
        <w:rPr>
          <w:b/>
          <w:sz w:val="20"/>
        </w:rPr>
      </w:pPr>
      <w:r>
        <w:rPr>
          <w:b/>
          <w:sz w:val="18"/>
        </w:rPr>
        <w:t>Results</w:t>
      </w:r>
    </w:p>
    <w:p>
      <w:pPr>
        <w:pStyle w:val="BodyText"/>
        <w:spacing w:before="3"/>
        <w:rPr>
          <w:b/>
          <w:sz w:val="17"/>
        </w:rPr>
      </w:pPr>
    </w:p>
    <w:p>
      <w:pPr>
        <w:pStyle w:val="ListParagraph"/>
        <w:numPr>
          <w:ilvl w:val="0"/>
          <w:numId w:val="60"/>
        </w:numPr>
        <w:tabs>
          <w:tab w:pos="631" w:val="left" w:leader="none"/>
        </w:tabs>
        <w:spacing w:line="207" w:lineRule="exact" w:before="0" w:after="0"/>
        <w:ind w:left="630" w:right="0" w:hanging="360"/>
        <w:jc w:val="both"/>
        <w:rPr>
          <w:sz w:val="18"/>
        </w:rPr>
      </w:pPr>
      <w:r>
        <w:rPr>
          <w:sz w:val="18"/>
        </w:rPr>
        <w:t>Environmental temperatures exposed to extreme</w:t>
      </w:r>
      <w:r>
        <w:rPr>
          <w:spacing w:val="-17"/>
          <w:sz w:val="18"/>
        </w:rPr>
        <w:t> </w:t>
      </w:r>
      <w:r>
        <w:rPr>
          <w:sz w:val="18"/>
        </w:rPr>
        <w:t>temperature</w:t>
      </w:r>
    </w:p>
    <w:p>
      <w:pPr>
        <w:pStyle w:val="ListParagraph"/>
        <w:numPr>
          <w:ilvl w:val="0"/>
          <w:numId w:val="60"/>
        </w:numPr>
        <w:tabs>
          <w:tab w:pos="631" w:val="left" w:leader="none"/>
        </w:tabs>
        <w:spacing w:line="207" w:lineRule="exact" w:before="0" w:after="0"/>
        <w:ind w:left="630" w:right="0" w:hanging="360"/>
        <w:jc w:val="both"/>
        <w:rPr>
          <w:sz w:val="18"/>
        </w:rPr>
      </w:pPr>
      <w:r>
        <w:rPr>
          <w:sz w:val="18"/>
        </w:rPr>
        <w:t>Noise levels</w:t>
      </w:r>
      <w:r>
        <w:rPr>
          <w:spacing w:val="-6"/>
          <w:sz w:val="18"/>
        </w:rPr>
        <w:t> </w:t>
      </w:r>
      <w:r>
        <w:rPr>
          <w:sz w:val="18"/>
        </w:rPr>
        <w:t>optimal</w:t>
      </w:r>
    </w:p>
    <w:p>
      <w:pPr>
        <w:pStyle w:val="ListParagraph"/>
        <w:numPr>
          <w:ilvl w:val="0"/>
          <w:numId w:val="60"/>
        </w:numPr>
        <w:tabs>
          <w:tab w:pos="631" w:val="left" w:leader="none"/>
        </w:tabs>
        <w:spacing w:line="207" w:lineRule="exact" w:before="0" w:after="0"/>
        <w:ind w:left="630" w:right="0" w:hanging="360"/>
        <w:jc w:val="both"/>
        <w:rPr>
          <w:sz w:val="18"/>
        </w:rPr>
      </w:pPr>
      <w:r>
        <w:rPr>
          <w:sz w:val="18"/>
        </w:rPr>
        <w:t>Lighting</w:t>
      </w:r>
      <w:r>
        <w:rPr>
          <w:spacing w:val="-3"/>
          <w:sz w:val="18"/>
        </w:rPr>
        <w:t> </w:t>
      </w:r>
      <w:r>
        <w:rPr>
          <w:sz w:val="18"/>
        </w:rPr>
        <w:t>adequate</w:t>
      </w:r>
    </w:p>
    <w:p>
      <w:pPr>
        <w:pStyle w:val="ListParagraph"/>
        <w:numPr>
          <w:ilvl w:val="0"/>
          <w:numId w:val="60"/>
        </w:numPr>
        <w:tabs>
          <w:tab w:pos="631" w:val="left" w:leader="none"/>
        </w:tabs>
        <w:spacing w:line="207" w:lineRule="exact" w:before="0" w:after="0"/>
        <w:ind w:left="630" w:right="0" w:hanging="360"/>
        <w:jc w:val="both"/>
        <w:rPr>
          <w:sz w:val="18"/>
        </w:rPr>
      </w:pPr>
      <w:r>
        <w:rPr>
          <w:sz w:val="18"/>
        </w:rPr>
        <w:t>Heat and humidity with good</w:t>
      </w:r>
      <w:r>
        <w:rPr>
          <w:spacing w:val="-8"/>
          <w:sz w:val="18"/>
        </w:rPr>
        <w:t> </w:t>
      </w:r>
      <w:r>
        <w:rPr>
          <w:sz w:val="18"/>
        </w:rPr>
        <w:t>ventilation</w:t>
      </w:r>
    </w:p>
    <w:p>
      <w:pPr>
        <w:pStyle w:val="ListParagraph"/>
        <w:numPr>
          <w:ilvl w:val="0"/>
          <w:numId w:val="60"/>
        </w:numPr>
        <w:tabs>
          <w:tab w:pos="630" w:val="left" w:leader="none"/>
          <w:tab w:pos="631" w:val="left" w:leader="none"/>
        </w:tabs>
        <w:spacing w:line="240" w:lineRule="auto" w:before="0" w:after="0"/>
        <w:ind w:left="630" w:right="2" w:hanging="360"/>
        <w:jc w:val="left"/>
        <w:rPr>
          <w:sz w:val="18"/>
        </w:rPr>
      </w:pPr>
      <w:r>
        <w:rPr>
          <w:sz w:val="18"/>
        </w:rPr>
        <w:t>Necessary ergonomic changes at stations Unnecessary movements inside and outside</w:t>
      </w:r>
      <w:r>
        <w:rPr>
          <w:spacing w:val="-2"/>
          <w:sz w:val="18"/>
        </w:rPr>
        <w:t> </w:t>
      </w:r>
      <w:r>
        <w:rPr>
          <w:sz w:val="18"/>
        </w:rPr>
        <w:t>station</w:t>
      </w:r>
    </w:p>
    <w:p>
      <w:pPr>
        <w:pStyle w:val="ListParagraph"/>
        <w:numPr>
          <w:ilvl w:val="0"/>
          <w:numId w:val="60"/>
        </w:numPr>
        <w:tabs>
          <w:tab w:pos="631" w:val="left" w:leader="none"/>
        </w:tabs>
        <w:spacing w:line="240" w:lineRule="auto" w:before="0" w:after="0"/>
        <w:ind w:left="630" w:right="1" w:hanging="360"/>
        <w:jc w:val="both"/>
        <w:rPr>
          <w:sz w:val="18"/>
        </w:rPr>
      </w:pPr>
      <w:r>
        <w:rPr>
          <w:sz w:val="18"/>
        </w:rPr>
        <w:t>Increased production capacity will be given reduced movements, unnecessary effort producing shorter manufacturing</w:t>
      </w:r>
      <w:r>
        <w:rPr>
          <w:spacing w:val="-9"/>
          <w:sz w:val="18"/>
        </w:rPr>
        <w:t> </w:t>
      </w:r>
      <w:r>
        <w:rPr>
          <w:sz w:val="18"/>
        </w:rPr>
        <w:t>time.</w:t>
      </w:r>
    </w:p>
    <w:p>
      <w:pPr>
        <w:pStyle w:val="ListParagraph"/>
        <w:numPr>
          <w:ilvl w:val="0"/>
          <w:numId w:val="60"/>
        </w:numPr>
        <w:tabs>
          <w:tab w:pos="631" w:val="left" w:leader="none"/>
        </w:tabs>
        <w:spacing w:line="240" w:lineRule="auto" w:before="0" w:after="0"/>
        <w:ind w:left="630" w:right="0" w:hanging="360"/>
        <w:jc w:val="both"/>
        <w:rPr>
          <w:sz w:val="18"/>
        </w:rPr>
      </w:pPr>
      <w:r>
        <w:rPr>
          <w:sz w:val="18"/>
        </w:rPr>
        <w:t>Implemented organization, order and cleanliness of the workspace will also notice these improvements in the results that are displayed after applied the analysis of rapid preparations [8] [10]</w:t>
      </w:r>
      <w:r>
        <w:rPr>
          <w:spacing w:val="-5"/>
          <w:sz w:val="18"/>
        </w:rPr>
        <w:t> </w:t>
      </w:r>
      <w:r>
        <w:rPr>
          <w:sz w:val="18"/>
        </w:rPr>
        <w:t>[12].</w:t>
      </w:r>
    </w:p>
    <w:p>
      <w:pPr>
        <w:pStyle w:val="ListParagraph"/>
        <w:numPr>
          <w:ilvl w:val="0"/>
          <w:numId w:val="60"/>
        </w:numPr>
        <w:tabs>
          <w:tab w:pos="631" w:val="left" w:leader="none"/>
        </w:tabs>
        <w:spacing w:line="240" w:lineRule="auto" w:before="0" w:after="0"/>
        <w:ind w:left="630" w:right="0" w:hanging="360"/>
        <w:jc w:val="both"/>
        <w:rPr>
          <w:sz w:val="18"/>
        </w:rPr>
      </w:pPr>
      <w:r>
        <w:rPr>
          <w:sz w:val="18"/>
        </w:rPr>
        <w:t>New activity in the process of turning, when the operator activates the automatic. The operator takes another drum to have a piece over time becoming external</w:t>
      </w:r>
      <w:r>
        <w:rPr>
          <w:spacing w:val="-16"/>
          <w:sz w:val="18"/>
        </w:rPr>
        <w:t> </w:t>
      </w:r>
      <w:r>
        <w:rPr>
          <w:sz w:val="18"/>
        </w:rPr>
        <w:t>setup.</w:t>
      </w:r>
    </w:p>
    <w:p>
      <w:pPr>
        <w:spacing w:before="0"/>
        <w:ind w:left="270" w:right="77" w:firstLine="0"/>
        <w:jc w:val="left"/>
        <w:rPr>
          <w:sz w:val="18"/>
        </w:rPr>
      </w:pPr>
      <w:r>
        <w:rPr>
          <w:sz w:val="18"/>
        </w:rPr>
        <w:t>Table 9 and Table 10 show the results of application of Industrial improvement systems in the process of machining of brake and rolling, reduces fatigue and unnecessary movements.</w:t>
      </w:r>
    </w:p>
    <w:p>
      <w:pPr>
        <w:pStyle w:val="BodyText"/>
        <w:spacing w:before="10"/>
        <w:rPr>
          <w:sz w:val="17"/>
        </w:rPr>
      </w:pPr>
    </w:p>
    <w:p>
      <w:pPr>
        <w:spacing w:before="0"/>
        <w:ind w:left="2408" w:right="106" w:hanging="2014"/>
        <w:jc w:val="left"/>
        <w:rPr>
          <w:sz w:val="18"/>
        </w:rPr>
      </w:pPr>
      <w:r>
        <w:rPr>
          <w:sz w:val="18"/>
        </w:rPr>
        <w:t>Table 9. Performance measures implementation of improvement systems.</w:t>
      </w:r>
    </w:p>
    <w:p>
      <w:pPr>
        <w:spacing w:before="77"/>
        <w:ind w:left="2245" w:right="854" w:hanging="1422"/>
        <w:jc w:val="left"/>
        <w:rPr>
          <w:sz w:val="18"/>
        </w:rPr>
      </w:pPr>
      <w:r>
        <w:rPr/>
        <w:br w:type="column"/>
      </w:r>
      <w:r>
        <w:rPr>
          <w:sz w:val="18"/>
        </w:rPr>
        <w:t>Table 10. Results of improvements in types of time in the process of turning</w:t>
      </w:r>
    </w:p>
    <w:p>
      <w:pPr>
        <w:pStyle w:val="BodyText"/>
        <w:spacing w:before="5"/>
        <w:rPr>
          <w:sz w:val="18"/>
        </w:rPr>
      </w:pPr>
    </w:p>
    <w:tbl>
      <w:tblPr>
        <w:tblW w:w="0" w:type="auto"/>
        <w:jc w:val="left"/>
        <w:tblInd w:w="82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176"/>
        <w:gridCol w:w="700"/>
        <w:gridCol w:w="967"/>
        <w:gridCol w:w="1194"/>
      </w:tblGrid>
      <w:tr>
        <w:trPr>
          <w:trHeight w:val="664" w:hRule="exact"/>
        </w:trPr>
        <w:tc>
          <w:tcPr>
            <w:tcW w:w="1176" w:type="dxa"/>
            <w:tcBorders>
              <w:right w:val="single" w:sz="4" w:space="0" w:color="000000"/>
            </w:tcBorders>
            <w:shd w:val="clear" w:color="auto" w:fill="FFBF00"/>
          </w:tcPr>
          <w:p>
            <w:pPr>
              <w:pStyle w:val="TableParagraph"/>
              <w:spacing w:before="6"/>
              <w:rPr>
                <w:sz w:val="18"/>
              </w:rPr>
            </w:pPr>
          </w:p>
          <w:p>
            <w:pPr>
              <w:pStyle w:val="TableParagraph"/>
              <w:ind w:left="227"/>
              <w:rPr>
                <w:rFonts w:ascii="Calibri"/>
                <w:sz w:val="18"/>
              </w:rPr>
            </w:pPr>
            <w:r>
              <w:rPr>
                <w:rFonts w:ascii="Calibri"/>
                <w:sz w:val="18"/>
              </w:rPr>
              <w:t>Concepto</w:t>
            </w:r>
          </w:p>
        </w:tc>
        <w:tc>
          <w:tcPr>
            <w:tcW w:w="700" w:type="dxa"/>
            <w:tcBorders>
              <w:left w:val="single" w:sz="4" w:space="0" w:color="000000"/>
              <w:right w:val="single" w:sz="4" w:space="0" w:color="000000"/>
            </w:tcBorders>
            <w:shd w:val="clear" w:color="auto" w:fill="FFBF00"/>
          </w:tcPr>
          <w:p>
            <w:pPr>
              <w:pStyle w:val="TableParagraph"/>
              <w:spacing w:before="6"/>
              <w:rPr>
                <w:sz w:val="18"/>
              </w:rPr>
            </w:pPr>
          </w:p>
          <w:p>
            <w:pPr>
              <w:pStyle w:val="TableParagraph"/>
              <w:ind w:left="116" w:right="115"/>
              <w:jc w:val="center"/>
              <w:rPr>
                <w:rFonts w:ascii="Calibri"/>
                <w:sz w:val="18"/>
              </w:rPr>
            </w:pPr>
            <w:r>
              <w:rPr>
                <w:rFonts w:ascii="Calibri"/>
                <w:sz w:val="18"/>
              </w:rPr>
              <w:t>Antes</w:t>
            </w:r>
          </w:p>
        </w:tc>
        <w:tc>
          <w:tcPr>
            <w:tcW w:w="967" w:type="dxa"/>
            <w:tcBorders>
              <w:left w:val="single" w:sz="4" w:space="0" w:color="000000"/>
              <w:right w:val="single" w:sz="4" w:space="0" w:color="000000"/>
            </w:tcBorders>
            <w:shd w:val="clear" w:color="auto" w:fill="FFBF00"/>
          </w:tcPr>
          <w:p>
            <w:pPr>
              <w:pStyle w:val="TableParagraph"/>
              <w:spacing w:before="6"/>
              <w:rPr>
                <w:sz w:val="18"/>
              </w:rPr>
            </w:pPr>
          </w:p>
          <w:p>
            <w:pPr>
              <w:pStyle w:val="TableParagraph"/>
              <w:ind w:left="148" w:right="149"/>
              <w:jc w:val="center"/>
              <w:rPr>
                <w:rFonts w:ascii="Calibri" w:hAnsi="Calibri"/>
                <w:sz w:val="18"/>
              </w:rPr>
            </w:pPr>
            <w:r>
              <w:rPr>
                <w:rFonts w:ascii="Calibri" w:hAnsi="Calibri"/>
                <w:sz w:val="18"/>
              </w:rPr>
              <w:t>Después</w:t>
            </w:r>
          </w:p>
        </w:tc>
        <w:tc>
          <w:tcPr>
            <w:tcW w:w="1194" w:type="dxa"/>
            <w:tcBorders>
              <w:left w:val="single" w:sz="4" w:space="0" w:color="000000"/>
            </w:tcBorders>
            <w:shd w:val="clear" w:color="auto" w:fill="FFBF00"/>
          </w:tcPr>
          <w:p>
            <w:pPr>
              <w:pStyle w:val="TableParagraph"/>
              <w:spacing w:before="103"/>
              <w:ind w:left="326" w:right="173" w:hanging="130"/>
              <w:rPr>
                <w:rFonts w:ascii="Calibri"/>
                <w:sz w:val="18"/>
              </w:rPr>
            </w:pPr>
            <w:r>
              <w:rPr>
                <w:rFonts w:ascii="Calibri"/>
                <w:sz w:val="18"/>
              </w:rPr>
              <w:t>Porcentaje Mejora</w:t>
            </w:r>
          </w:p>
        </w:tc>
      </w:tr>
      <w:tr>
        <w:trPr>
          <w:trHeight w:val="330" w:hRule="exact"/>
        </w:trPr>
        <w:tc>
          <w:tcPr>
            <w:tcW w:w="1176" w:type="dxa"/>
            <w:tcBorders>
              <w:bottom w:val="single" w:sz="4" w:space="0" w:color="000000"/>
              <w:right w:val="single" w:sz="4" w:space="0" w:color="000000"/>
            </w:tcBorders>
          </w:tcPr>
          <w:p>
            <w:pPr>
              <w:pStyle w:val="TableParagraph"/>
              <w:spacing w:before="96"/>
              <w:ind w:left="59"/>
              <w:rPr>
                <w:rFonts w:ascii="Calibri"/>
                <w:sz w:val="18"/>
              </w:rPr>
            </w:pPr>
            <w:r>
              <w:rPr>
                <w:rFonts w:ascii="Calibri"/>
                <w:sz w:val="18"/>
              </w:rPr>
              <w:t>Demoras</w:t>
            </w:r>
          </w:p>
        </w:tc>
        <w:tc>
          <w:tcPr>
            <w:tcW w:w="700" w:type="dxa"/>
            <w:tcBorders>
              <w:left w:val="single" w:sz="4" w:space="0" w:color="000000"/>
              <w:bottom w:val="single" w:sz="4" w:space="0" w:color="000000"/>
              <w:right w:val="single" w:sz="4" w:space="0" w:color="000000"/>
            </w:tcBorders>
          </w:tcPr>
          <w:p>
            <w:pPr>
              <w:pStyle w:val="TableParagraph"/>
              <w:spacing w:before="96"/>
              <w:ind w:left="116" w:right="115"/>
              <w:jc w:val="center"/>
              <w:rPr>
                <w:rFonts w:ascii="Calibri"/>
                <w:sz w:val="18"/>
              </w:rPr>
            </w:pPr>
            <w:r>
              <w:rPr>
                <w:rFonts w:ascii="Calibri"/>
                <w:sz w:val="18"/>
              </w:rPr>
              <w:t>27</w:t>
            </w:r>
          </w:p>
        </w:tc>
        <w:tc>
          <w:tcPr>
            <w:tcW w:w="967" w:type="dxa"/>
            <w:tcBorders>
              <w:left w:val="single" w:sz="4" w:space="0" w:color="000000"/>
              <w:bottom w:val="single" w:sz="4" w:space="0" w:color="000000"/>
              <w:right w:val="single" w:sz="4" w:space="0" w:color="000000"/>
            </w:tcBorders>
          </w:tcPr>
          <w:p>
            <w:pPr>
              <w:pStyle w:val="TableParagraph"/>
              <w:spacing w:before="96"/>
              <w:jc w:val="center"/>
              <w:rPr>
                <w:rFonts w:ascii="Calibri"/>
                <w:sz w:val="18"/>
              </w:rPr>
            </w:pPr>
            <w:r>
              <w:rPr>
                <w:rFonts w:ascii="Calibri"/>
                <w:sz w:val="18"/>
              </w:rPr>
              <w:t>9</w:t>
            </w:r>
          </w:p>
        </w:tc>
        <w:tc>
          <w:tcPr>
            <w:tcW w:w="1194" w:type="dxa"/>
            <w:tcBorders>
              <w:left w:val="single" w:sz="4" w:space="0" w:color="000000"/>
              <w:bottom w:val="single" w:sz="4" w:space="0" w:color="000000"/>
            </w:tcBorders>
          </w:tcPr>
          <w:p>
            <w:pPr>
              <w:pStyle w:val="TableParagraph"/>
              <w:spacing w:before="96"/>
              <w:ind w:left="346" w:right="344"/>
              <w:jc w:val="center"/>
              <w:rPr>
                <w:rFonts w:ascii="Calibri"/>
                <w:sz w:val="18"/>
              </w:rPr>
            </w:pPr>
            <w:r>
              <w:rPr>
                <w:rFonts w:ascii="Calibri"/>
                <w:sz w:val="18"/>
              </w:rPr>
              <w:t>66.7%</w:t>
            </w:r>
          </w:p>
        </w:tc>
      </w:tr>
      <w:tr>
        <w:trPr>
          <w:trHeight w:val="325" w:hRule="exact"/>
        </w:trPr>
        <w:tc>
          <w:tcPr>
            <w:tcW w:w="1176" w:type="dxa"/>
            <w:tcBorders>
              <w:top w:val="single" w:sz="4" w:space="0" w:color="000000"/>
              <w:bottom w:val="single" w:sz="4" w:space="0" w:color="000000"/>
              <w:right w:val="single" w:sz="4" w:space="0" w:color="000000"/>
            </w:tcBorders>
          </w:tcPr>
          <w:p>
            <w:pPr>
              <w:pStyle w:val="TableParagraph"/>
              <w:spacing w:before="96"/>
              <w:ind w:left="59"/>
              <w:rPr>
                <w:rFonts w:ascii="Calibri" w:hAnsi="Calibri"/>
                <w:sz w:val="18"/>
              </w:rPr>
            </w:pPr>
            <w:r>
              <w:rPr>
                <w:rFonts w:ascii="Calibri" w:hAnsi="Calibri"/>
                <w:sz w:val="18"/>
              </w:rPr>
              <w:t>Inspección</w:t>
            </w:r>
          </w:p>
        </w:tc>
        <w:tc>
          <w:tcPr>
            <w:tcW w:w="700" w:type="dxa"/>
            <w:tcBorders>
              <w:top w:val="single" w:sz="4" w:space="0" w:color="000000"/>
              <w:left w:val="single" w:sz="4" w:space="0" w:color="000000"/>
              <w:bottom w:val="single" w:sz="4" w:space="0" w:color="000000"/>
              <w:right w:val="single" w:sz="4" w:space="0" w:color="000000"/>
            </w:tcBorders>
          </w:tcPr>
          <w:p>
            <w:pPr>
              <w:pStyle w:val="TableParagraph"/>
              <w:spacing w:before="96"/>
              <w:ind w:left="116" w:right="115"/>
              <w:jc w:val="center"/>
              <w:rPr>
                <w:rFonts w:ascii="Calibri"/>
                <w:sz w:val="18"/>
              </w:rPr>
            </w:pPr>
            <w:r>
              <w:rPr>
                <w:rFonts w:ascii="Calibri"/>
                <w:sz w:val="18"/>
              </w:rPr>
              <w:t>14</w:t>
            </w:r>
          </w:p>
        </w:tc>
        <w:tc>
          <w:tcPr>
            <w:tcW w:w="967" w:type="dxa"/>
            <w:tcBorders>
              <w:top w:val="single" w:sz="4" w:space="0" w:color="000000"/>
              <w:left w:val="single" w:sz="4" w:space="0" w:color="000000"/>
              <w:bottom w:val="single" w:sz="4" w:space="0" w:color="000000"/>
              <w:right w:val="single" w:sz="4" w:space="0" w:color="000000"/>
            </w:tcBorders>
          </w:tcPr>
          <w:p>
            <w:pPr>
              <w:pStyle w:val="TableParagraph"/>
              <w:spacing w:before="96"/>
              <w:jc w:val="center"/>
              <w:rPr>
                <w:rFonts w:ascii="Calibri"/>
                <w:sz w:val="18"/>
              </w:rPr>
            </w:pPr>
            <w:r>
              <w:rPr>
                <w:rFonts w:ascii="Calibri"/>
                <w:sz w:val="18"/>
              </w:rPr>
              <w:t>7</w:t>
            </w:r>
          </w:p>
        </w:tc>
        <w:tc>
          <w:tcPr>
            <w:tcW w:w="1194" w:type="dxa"/>
            <w:tcBorders>
              <w:top w:val="single" w:sz="4" w:space="0" w:color="000000"/>
              <w:left w:val="single" w:sz="4" w:space="0" w:color="000000"/>
              <w:bottom w:val="single" w:sz="4" w:space="0" w:color="000000"/>
            </w:tcBorders>
          </w:tcPr>
          <w:p>
            <w:pPr>
              <w:pStyle w:val="TableParagraph"/>
              <w:spacing w:before="96"/>
              <w:ind w:left="346" w:right="344"/>
              <w:jc w:val="center"/>
              <w:rPr>
                <w:rFonts w:ascii="Calibri"/>
                <w:sz w:val="18"/>
              </w:rPr>
            </w:pPr>
            <w:r>
              <w:rPr>
                <w:rFonts w:ascii="Calibri"/>
                <w:sz w:val="18"/>
              </w:rPr>
              <w:t>50.0%</w:t>
            </w:r>
          </w:p>
        </w:tc>
      </w:tr>
      <w:tr>
        <w:trPr>
          <w:trHeight w:val="346" w:hRule="exact"/>
        </w:trPr>
        <w:tc>
          <w:tcPr>
            <w:tcW w:w="1176" w:type="dxa"/>
            <w:tcBorders>
              <w:top w:val="single" w:sz="4" w:space="0" w:color="000000"/>
              <w:right w:val="single" w:sz="4" w:space="0" w:color="000000"/>
            </w:tcBorders>
          </w:tcPr>
          <w:p>
            <w:pPr>
              <w:pStyle w:val="TableParagraph"/>
              <w:spacing w:before="112"/>
              <w:ind w:left="59"/>
              <w:rPr>
                <w:rFonts w:ascii="Calibri"/>
                <w:sz w:val="18"/>
              </w:rPr>
            </w:pPr>
            <w:r>
              <w:rPr>
                <w:rFonts w:ascii="Calibri"/>
                <w:sz w:val="18"/>
              </w:rPr>
              <w:t>Manejo</w:t>
            </w:r>
          </w:p>
        </w:tc>
        <w:tc>
          <w:tcPr>
            <w:tcW w:w="700" w:type="dxa"/>
            <w:tcBorders>
              <w:top w:val="single" w:sz="4" w:space="0" w:color="000000"/>
              <w:left w:val="single" w:sz="4" w:space="0" w:color="000000"/>
              <w:right w:val="single" w:sz="4" w:space="0" w:color="000000"/>
            </w:tcBorders>
          </w:tcPr>
          <w:p>
            <w:pPr>
              <w:pStyle w:val="TableParagraph"/>
              <w:spacing w:before="112"/>
              <w:ind w:left="116" w:right="115"/>
              <w:jc w:val="center"/>
              <w:rPr>
                <w:rFonts w:ascii="Calibri"/>
                <w:sz w:val="18"/>
              </w:rPr>
            </w:pPr>
            <w:r>
              <w:rPr>
                <w:rFonts w:ascii="Calibri"/>
                <w:sz w:val="18"/>
              </w:rPr>
              <w:t>152</w:t>
            </w:r>
          </w:p>
        </w:tc>
        <w:tc>
          <w:tcPr>
            <w:tcW w:w="967" w:type="dxa"/>
            <w:tcBorders>
              <w:top w:val="single" w:sz="4" w:space="0" w:color="000000"/>
              <w:left w:val="single" w:sz="4" w:space="0" w:color="000000"/>
              <w:right w:val="single" w:sz="4" w:space="0" w:color="000000"/>
            </w:tcBorders>
          </w:tcPr>
          <w:p>
            <w:pPr>
              <w:pStyle w:val="TableParagraph"/>
              <w:spacing w:before="112"/>
              <w:ind w:left="148" w:right="148"/>
              <w:jc w:val="center"/>
              <w:rPr>
                <w:rFonts w:ascii="Calibri"/>
                <w:sz w:val="18"/>
              </w:rPr>
            </w:pPr>
            <w:r>
              <w:rPr>
                <w:rFonts w:ascii="Calibri"/>
                <w:sz w:val="18"/>
              </w:rPr>
              <w:t>104</w:t>
            </w:r>
          </w:p>
        </w:tc>
        <w:tc>
          <w:tcPr>
            <w:tcW w:w="1194" w:type="dxa"/>
            <w:tcBorders>
              <w:top w:val="single" w:sz="4" w:space="0" w:color="000000"/>
              <w:left w:val="single" w:sz="4" w:space="0" w:color="000000"/>
            </w:tcBorders>
          </w:tcPr>
          <w:p>
            <w:pPr>
              <w:pStyle w:val="TableParagraph"/>
              <w:spacing w:before="112"/>
              <w:ind w:left="346" w:right="344"/>
              <w:jc w:val="center"/>
              <w:rPr>
                <w:rFonts w:ascii="Calibri"/>
                <w:sz w:val="18"/>
              </w:rPr>
            </w:pPr>
            <w:r>
              <w:rPr>
                <w:rFonts w:ascii="Calibri"/>
                <w:sz w:val="18"/>
              </w:rPr>
              <w:t>31.6%</w:t>
            </w:r>
          </w:p>
        </w:tc>
      </w:tr>
    </w:tbl>
    <w:p>
      <w:pPr>
        <w:pStyle w:val="BodyText"/>
        <w:rPr>
          <w:sz w:val="18"/>
        </w:rPr>
      </w:pPr>
    </w:p>
    <w:p>
      <w:pPr>
        <w:pStyle w:val="BodyText"/>
        <w:spacing w:before="10"/>
        <w:rPr>
          <w:sz w:val="17"/>
        </w:rPr>
      </w:pPr>
    </w:p>
    <w:p>
      <w:pPr>
        <w:spacing w:line="205" w:lineRule="exact" w:before="0"/>
        <w:ind w:left="270" w:right="668" w:firstLine="0"/>
        <w:jc w:val="left"/>
        <w:rPr>
          <w:b/>
          <w:sz w:val="18"/>
        </w:rPr>
      </w:pPr>
      <w:r>
        <w:rPr>
          <w:b/>
          <w:sz w:val="18"/>
        </w:rPr>
        <w:t>6. Conclusion</w:t>
      </w:r>
    </w:p>
    <w:p>
      <w:pPr>
        <w:pStyle w:val="ListParagraph"/>
        <w:numPr>
          <w:ilvl w:val="0"/>
          <w:numId w:val="61"/>
        </w:numPr>
        <w:tabs>
          <w:tab w:pos="630" w:val="left" w:leader="none"/>
          <w:tab w:pos="631" w:val="left" w:leader="none"/>
        </w:tabs>
        <w:spacing w:line="240" w:lineRule="auto" w:before="0" w:after="0"/>
        <w:ind w:left="630" w:right="679" w:hanging="360"/>
        <w:jc w:val="left"/>
        <w:rPr>
          <w:sz w:val="18"/>
        </w:rPr>
      </w:pPr>
      <w:r>
        <w:rPr>
          <w:sz w:val="18"/>
        </w:rPr>
        <w:t>Rehabilitation of material handling cars Figure 10 and figure 11</w:t>
      </w:r>
    </w:p>
    <w:p>
      <w:pPr>
        <w:pStyle w:val="ListParagraph"/>
        <w:numPr>
          <w:ilvl w:val="0"/>
          <w:numId w:val="61"/>
        </w:numPr>
        <w:tabs>
          <w:tab w:pos="630" w:val="left" w:leader="none"/>
          <w:tab w:pos="631" w:val="left" w:leader="none"/>
        </w:tabs>
        <w:spacing w:line="207" w:lineRule="exact" w:before="0" w:after="0"/>
        <w:ind w:left="630" w:right="0" w:hanging="360"/>
        <w:jc w:val="left"/>
        <w:rPr>
          <w:sz w:val="18"/>
        </w:rPr>
      </w:pPr>
      <w:r>
        <w:rPr>
          <w:sz w:val="18"/>
        </w:rPr>
        <w:t>Regulation of neutral positions of work</w:t>
      </w:r>
      <w:r>
        <w:rPr>
          <w:spacing w:val="-4"/>
          <w:sz w:val="18"/>
        </w:rPr>
        <w:t> </w:t>
      </w:r>
      <w:r>
        <w:rPr>
          <w:sz w:val="18"/>
        </w:rPr>
        <w:t>operations</w:t>
      </w:r>
    </w:p>
    <w:p>
      <w:pPr>
        <w:pStyle w:val="ListParagraph"/>
        <w:numPr>
          <w:ilvl w:val="0"/>
          <w:numId w:val="61"/>
        </w:numPr>
        <w:tabs>
          <w:tab w:pos="630" w:val="left" w:leader="none"/>
          <w:tab w:pos="631" w:val="left" w:leader="none"/>
        </w:tabs>
        <w:spacing w:line="207" w:lineRule="exact" w:before="0" w:after="0"/>
        <w:ind w:left="630" w:right="0" w:hanging="360"/>
        <w:jc w:val="left"/>
        <w:rPr>
          <w:sz w:val="18"/>
        </w:rPr>
      </w:pPr>
      <w:r>
        <w:rPr>
          <w:sz w:val="18"/>
        </w:rPr>
        <w:t>Redesign of stations of turning</w:t>
      </w:r>
      <w:r>
        <w:rPr>
          <w:spacing w:val="-4"/>
          <w:sz w:val="18"/>
        </w:rPr>
        <w:t> </w:t>
      </w:r>
      <w:r>
        <w:rPr>
          <w:sz w:val="18"/>
        </w:rPr>
        <w:t>brakes</w:t>
      </w:r>
    </w:p>
    <w:p>
      <w:pPr>
        <w:pStyle w:val="ListParagraph"/>
        <w:numPr>
          <w:ilvl w:val="0"/>
          <w:numId w:val="61"/>
        </w:numPr>
        <w:tabs>
          <w:tab w:pos="630" w:val="left" w:leader="none"/>
          <w:tab w:pos="631" w:val="left" w:leader="none"/>
        </w:tabs>
        <w:spacing w:line="240" w:lineRule="auto" w:before="0" w:after="0"/>
        <w:ind w:left="630" w:right="678" w:hanging="360"/>
        <w:jc w:val="left"/>
        <w:rPr>
          <w:sz w:val="18"/>
        </w:rPr>
      </w:pPr>
      <w:r>
        <w:rPr>
          <w:sz w:val="18"/>
        </w:rPr>
        <w:t>Will improve the comfort of the operators figure 12 and table 11.</w:t>
      </w:r>
    </w:p>
    <w:p>
      <w:pPr>
        <w:pStyle w:val="ListParagraph"/>
        <w:numPr>
          <w:ilvl w:val="0"/>
          <w:numId w:val="61"/>
        </w:numPr>
        <w:tabs>
          <w:tab w:pos="630" w:val="left" w:leader="none"/>
          <w:tab w:pos="631" w:val="left" w:leader="none"/>
        </w:tabs>
        <w:spacing w:line="240" w:lineRule="auto" w:before="0" w:after="0"/>
        <w:ind w:left="630" w:right="677" w:hanging="360"/>
        <w:jc w:val="left"/>
        <w:rPr>
          <w:sz w:val="18"/>
        </w:rPr>
      </w:pPr>
      <w:r>
        <w:rPr>
          <w:sz w:val="18"/>
        </w:rPr>
        <w:t>The Organization of the work area and order get one would improve the process as well as in the comfort of our</w:t>
      </w:r>
      <w:r>
        <w:rPr>
          <w:spacing w:val="-6"/>
          <w:sz w:val="18"/>
        </w:rPr>
        <w:t> </w:t>
      </w:r>
      <w:r>
        <w:rPr>
          <w:sz w:val="18"/>
        </w:rPr>
        <w:t>operator.</w:t>
      </w:r>
    </w:p>
    <w:p>
      <w:pPr>
        <w:pStyle w:val="ListParagraph"/>
        <w:numPr>
          <w:ilvl w:val="0"/>
          <w:numId w:val="61"/>
        </w:numPr>
        <w:tabs>
          <w:tab w:pos="630" w:val="left" w:leader="none"/>
          <w:tab w:pos="631" w:val="left" w:leader="none"/>
        </w:tabs>
        <w:spacing w:line="240" w:lineRule="auto" w:before="0" w:after="0"/>
        <w:ind w:left="630" w:right="0" w:hanging="360"/>
        <w:jc w:val="left"/>
        <w:rPr>
          <w:sz w:val="18"/>
        </w:rPr>
      </w:pPr>
      <w:r>
        <w:rPr>
          <w:sz w:val="18"/>
        </w:rPr>
        <w:t>Redesign of tires rolling</w:t>
      </w:r>
      <w:r>
        <w:rPr>
          <w:spacing w:val="-5"/>
          <w:sz w:val="18"/>
        </w:rPr>
        <w:t> </w:t>
      </w:r>
      <w:r>
        <w:rPr>
          <w:sz w:val="18"/>
        </w:rPr>
        <w:t>operations</w:t>
      </w:r>
    </w:p>
    <w:p>
      <w:pPr>
        <w:pStyle w:val="BodyText"/>
        <w:spacing w:before="6"/>
        <w:rPr>
          <w:sz w:val="14"/>
        </w:rPr>
      </w:pPr>
      <w:r>
        <w:rPr/>
        <w:pict>
          <v:group style="position:absolute;margin-left:357.649994pt;margin-top:10.343498pt;width:213.7pt;height:102.75pt;mso-position-horizontal-relative:page;mso-position-vertical-relative:paragraph;z-index:6376;mso-wrap-distance-left:0;mso-wrap-distance-right:0" coordorigin="7153,207" coordsize="4274,2055">
            <v:shape style="position:absolute;left:7266;top:221;width:1721;height:2024" type="#_x0000_t75" stroked="false">
              <v:imagedata r:id="rId205" o:title=""/>
            </v:shape>
            <v:shape style="position:absolute;left:8987;top:464;width:2143;height:1782" type="#_x0000_t75" stroked="false">
              <v:imagedata r:id="rId206" o:title=""/>
            </v:shape>
            <v:line style="position:absolute" from="7163,217" to="11417,217" stroked="true" strokeweight=".48pt" strokecolor="#000000"/>
            <v:line style="position:absolute" from="7158,212" to="7158,2257" stroked="true" strokeweight=".48001pt" strokecolor="#000000"/>
            <v:line style="position:absolute" from="7163,2252" to="11417,2252" stroked="true" strokeweight=".48pt" strokecolor="#000000"/>
            <v:line style="position:absolute" from="11422,212" to="11422,2257" stroked="true" strokeweight=".47998pt" strokecolor="#000000"/>
            <w10:wrap type="topAndBottom"/>
          </v:group>
        </w:pict>
      </w:r>
    </w:p>
    <w:p>
      <w:pPr>
        <w:pStyle w:val="BodyText"/>
        <w:spacing w:before="6"/>
        <w:rPr>
          <w:sz w:val="14"/>
        </w:rPr>
      </w:pPr>
    </w:p>
    <w:p>
      <w:pPr>
        <w:spacing w:before="0"/>
        <w:ind w:left="1398" w:right="668" w:firstLine="0"/>
        <w:jc w:val="left"/>
        <w:rPr>
          <w:sz w:val="18"/>
        </w:rPr>
      </w:pPr>
      <w:r>
        <w:rPr/>
        <w:drawing>
          <wp:anchor distT="0" distB="0" distL="0" distR="0" allowOverlap="1" layoutInCell="1" locked="0" behindDoc="0" simplePos="0" relativeHeight="6400">
            <wp:simplePos x="0" y="0"/>
            <wp:positionH relativeFrom="page">
              <wp:posOffset>4650485</wp:posOffset>
            </wp:positionH>
            <wp:positionV relativeFrom="paragraph">
              <wp:posOffset>585241</wp:posOffset>
            </wp:positionV>
            <wp:extent cx="511745" cy="739139"/>
            <wp:effectExtent l="0" t="0" r="0" b="0"/>
            <wp:wrapNone/>
            <wp:docPr id="229" name="image108.jpeg" descr=""/>
            <wp:cNvGraphicFramePr>
              <a:graphicFrameLocks noChangeAspect="1"/>
            </wp:cNvGraphicFramePr>
            <a:graphic>
              <a:graphicData uri="http://schemas.openxmlformats.org/drawingml/2006/picture">
                <pic:pic>
                  <pic:nvPicPr>
                    <pic:cNvPr id="230" name="image108.jpeg"/>
                    <pic:cNvPicPr/>
                  </pic:nvPicPr>
                  <pic:blipFill>
                    <a:blip r:embed="rId192" cstate="print"/>
                    <a:stretch>
                      <a:fillRect/>
                    </a:stretch>
                  </pic:blipFill>
                  <pic:spPr>
                    <a:xfrm>
                      <a:off x="0" y="0"/>
                      <a:ext cx="511745" cy="739139"/>
                    </a:xfrm>
                    <a:prstGeom prst="rect">
                      <a:avLst/>
                    </a:prstGeom>
                  </pic:spPr>
                </pic:pic>
              </a:graphicData>
            </a:graphic>
          </wp:anchor>
        </w:drawing>
      </w:r>
      <w:r>
        <w:rPr>
          <w:sz w:val="18"/>
        </w:rPr>
        <w:t>Figure 11. Improved turning process</w:t>
      </w:r>
    </w:p>
    <w:p>
      <w:pPr>
        <w:spacing w:after="0"/>
        <w:jc w:val="left"/>
        <w:rPr>
          <w:sz w:val="18"/>
        </w:rPr>
        <w:sectPr>
          <w:type w:val="continuous"/>
          <w:pgSz w:w="12240" w:h="15840"/>
          <w:pgMar w:top="1500" w:bottom="280" w:left="580" w:right="220"/>
          <w:cols w:num="2" w:equalWidth="0">
            <w:col w:w="5164" w:space="434"/>
            <w:col w:w="5842"/>
          </w:cols>
        </w:sectPr>
      </w:pPr>
    </w:p>
    <w:p>
      <w:pPr>
        <w:pStyle w:val="BodyText"/>
      </w:pPr>
    </w:p>
    <w:p>
      <w:pPr>
        <w:pStyle w:val="BodyText"/>
        <w:spacing w:before="9"/>
      </w:pPr>
    </w:p>
    <w:p>
      <w:pPr>
        <w:spacing w:line="720" w:lineRule="auto" w:before="1"/>
        <w:ind w:left="6364" w:right="1078" w:hanging="81"/>
        <w:jc w:val="left"/>
        <w:rPr>
          <w:sz w:val="18"/>
        </w:rPr>
      </w:pPr>
      <w:r>
        <w:rPr/>
        <w:pict>
          <v:shape style="position:absolute;margin-left:329.279999pt;margin-top:-173.167358pt;width:234.7pt;height:163.1pt;mso-position-horizontal-relative:page;mso-position-vertical-relative:paragraph;z-index:6424"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68"/>
                    <w:gridCol w:w="852"/>
                    <w:gridCol w:w="566"/>
                    <w:gridCol w:w="992"/>
                  </w:tblGrid>
                  <w:tr>
                    <w:trPr>
                      <w:trHeight w:val="286" w:hRule="exact"/>
                    </w:trPr>
                    <w:tc>
                      <w:tcPr>
                        <w:tcW w:w="4679" w:type="dxa"/>
                        <w:gridSpan w:val="4"/>
                      </w:tcPr>
                      <w:p>
                        <w:pPr>
                          <w:pStyle w:val="TableParagraph"/>
                          <w:spacing w:before="29"/>
                          <w:ind w:left="1180"/>
                          <w:rPr>
                            <w:rFonts w:ascii="Arial"/>
                            <w:sz w:val="18"/>
                          </w:rPr>
                        </w:pPr>
                        <w:r>
                          <w:rPr>
                            <w:rFonts w:ascii="Arial"/>
                            <w:sz w:val="18"/>
                          </w:rPr>
                          <w:t>Quitar Tornillos (</w:t>
                        </w:r>
                        <w:r>
                          <w:rPr>
                            <w:sz w:val="18"/>
                          </w:rPr>
                          <w:t>Sue Rodgers</w:t>
                        </w:r>
                        <w:r>
                          <w:rPr>
                            <w:rFonts w:ascii="Arial"/>
                            <w:sz w:val="18"/>
                          </w:rPr>
                          <w:t>)</w:t>
                        </w:r>
                      </w:p>
                    </w:tc>
                  </w:tr>
                  <w:tr>
                    <w:trPr>
                      <w:trHeight w:val="1240" w:hRule="exact"/>
                    </w:trPr>
                    <w:tc>
                      <w:tcPr>
                        <w:tcW w:w="2268" w:type="dxa"/>
                      </w:tcPr>
                      <w:p>
                        <w:pPr>
                          <w:pStyle w:val="TableParagraph"/>
                          <w:ind w:left="728"/>
                          <w:rPr>
                            <w:sz w:val="20"/>
                          </w:rPr>
                        </w:pPr>
                        <w:r>
                          <w:rPr>
                            <w:sz w:val="20"/>
                          </w:rPr>
                          <w:drawing>
                            <wp:inline distT="0" distB="0" distL="0" distR="0">
                              <wp:extent cx="512536" cy="740283"/>
                              <wp:effectExtent l="0" t="0" r="0" b="0"/>
                              <wp:docPr id="231" name="image108.jpeg" descr=""/>
                              <wp:cNvGraphicFramePr>
                                <a:graphicFrameLocks noChangeAspect="1"/>
                              </wp:cNvGraphicFramePr>
                              <a:graphic>
                                <a:graphicData uri="http://schemas.openxmlformats.org/drawingml/2006/picture">
                                  <pic:pic>
                                    <pic:nvPicPr>
                                      <pic:cNvPr id="232" name="image108.jpeg"/>
                                      <pic:cNvPicPr/>
                                    </pic:nvPicPr>
                                    <pic:blipFill>
                                      <a:blip r:embed="rId192" cstate="print"/>
                                      <a:stretch>
                                        <a:fillRect/>
                                      </a:stretch>
                                    </pic:blipFill>
                                    <pic:spPr>
                                      <a:xfrm>
                                        <a:off x="0" y="0"/>
                                        <a:ext cx="512536" cy="740283"/>
                                      </a:xfrm>
                                      <a:prstGeom prst="rect">
                                        <a:avLst/>
                                      </a:prstGeom>
                                    </pic:spPr>
                                  </pic:pic>
                                </a:graphicData>
                              </a:graphic>
                            </wp:inline>
                          </w:drawing>
                        </w:r>
                        <w:r>
                          <w:rPr>
                            <w:sz w:val="20"/>
                          </w:rPr>
                        </w:r>
                      </w:p>
                    </w:tc>
                    <w:tc>
                      <w:tcPr>
                        <w:tcW w:w="852" w:type="dxa"/>
                        <w:textDirection w:val="btLr"/>
                      </w:tcPr>
                      <w:p>
                        <w:pPr>
                          <w:pStyle w:val="TableParagraph"/>
                          <w:spacing w:before="104"/>
                          <w:ind w:left="384" w:right="113"/>
                          <w:rPr>
                            <w:rFonts w:ascii="Arial"/>
                            <w:sz w:val="18"/>
                          </w:rPr>
                        </w:pPr>
                        <w:r>
                          <w:rPr>
                            <w:rFonts w:ascii="Arial"/>
                            <w:spacing w:val="-1"/>
                            <w:sz w:val="18"/>
                          </w:rPr>
                          <w:t>Antes</w:t>
                        </w:r>
                      </w:p>
                    </w:tc>
                    <w:tc>
                      <w:tcPr>
                        <w:tcW w:w="566" w:type="dxa"/>
                        <w:textDirection w:val="btLr"/>
                      </w:tcPr>
                      <w:p>
                        <w:pPr>
                          <w:pStyle w:val="TableParagraph"/>
                          <w:spacing w:before="104"/>
                          <w:ind w:left="259" w:right="113"/>
                          <w:rPr>
                            <w:rFonts w:ascii="Arial"/>
                            <w:sz w:val="18"/>
                          </w:rPr>
                        </w:pPr>
                        <w:r>
                          <w:rPr>
                            <w:rFonts w:ascii="Arial"/>
                            <w:spacing w:val="-1"/>
                            <w:sz w:val="18"/>
                          </w:rPr>
                          <w:t>Des</w:t>
                        </w:r>
                        <w:r>
                          <w:rPr>
                            <w:rFonts w:ascii="Arial"/>
                            <w:sz w:val="18"/>
                          </w:rPr>
                          <w:t>p</w:t>
                        </w:r>
                        <w:r>
                          <w:rPr>
                            <w:rFonts w:ascii="Arial"/>
                            <w:spacing w:val="-1"/>
                            <w:sz w:val="18"/>
                          </w:rPr>
                          <w:t>ues</w:t>
                        </w:r>
                      </w:p>
                    </w:tc>
                    <w:tc>
                      <w:tcPr>
                        <w:tcW w:w="992" w:type="dxa"/>
                        <w:textDirection w:val="btLr"/>
                      </w:tcPr>
                      <w:p>
                        <w:pPr>
                          <w:pStyle w:val="TableParagraph"/>
                          <w:spacing w:before="104"/>
                          <w:ind w:left="339" w:right="113"/>
                          <w:rPr>
                            <w:rFonts w:ascii="Arial"/>
                            <w:sz w:val="18"/>
                          </w:rPr>
                        </w:pPr>
                        <w:r>
                          <w:rPr>
                            <w:rFonts w:ascii="Arial"/>
                            <w:spacing w:val="-1"/>
                            <w:sz w:val="18"/>
                          </w:rPr>
                          <w:t>Mejora</w:t>
                        </w:r>
                      </w:p>
                    </w:tc>
                  </w:tr>
                  <w:tr>
                    <w:trPr>
                      <w:trHeight w:val="308" w:hRule="exact"/>
                    </w:trPr>
                    <w:tc>
                      <w:tcPr>
                        <w:tcW w:w="2268" w:type="dxa"/>
                        <w:shd w:val="clear" w:color="auto" w:fill="FFBF00"/>
                      </w:tcPr>
                      <w:p>
                        <w:pPr>
                          <w:pStyle w:val="TableParagraph"/>
                          <w:spacing w:line="206" w:lineRule="exact"/>
                          <w:ind w:left="103" w:right="363"/>
                          <w:rPr>
                            <w:rFonts w:ascii="Arial"/>
                            <w:sz w:val="18"/>
                          </w:rPr>
                        </w:pPr>
                        <w:r>
                          <w:rPr>
                            <w:rFonts w:ascii="Arial"/>
                            <w:sz w:val="18"/>
                          </w:rPr>
                          <w:t>Cuello</w:t>
                        </w:r>
                      </w:p>
                    </w:tc>
                    <w:tc>
                      <w:tcPr>
                        <w:tcW w:w="852" w:type="dxa"/>
                      </w:tcPr>
                      <w:p>
                        <w:pPr>
                          <w:pStyle w:val="TableParagraph"/>
                          <w:spacing w:line="206" w:lineRule="exact"/>
                          <w:ind w:right="1"/>
                          <w:jc w:val="center"/>
                          <w:rPr>
                            <w:rFonts w:ascii="Arial"/>
                            <w:sz w:val="18"/>
                          </w:rPr>
                        </w:pPr>
                        <w:r>
                          <w:rPr>
                            <w:rFonts w:ascii="Arial"/>
                            <w:sz w:val="18"/>
                          </w:rPr>
                          <w:t>6</w:t>
                        </w:r>
                      </w:p>
                    </w:tc>
                    <w:tc>
                      <w:tcPr>
                        <w:tcW w:w="566" w:type="dxa"/>
                      </w:tcPr>
                      <w:p>
                        <w:pPr>
                          <w:pStyle w:val="TableParagraph"/>
                          <w:spacing w:line="206" w:lineRule="exact"/>
                          <w:ind w:right="225"/>
                          <w:jc w:val="right"/>
                          <w:rPr>
                            <w:rFonts w:ascii="Arial"/>
                            <w:sz w:val="18"/>
                          </w:rPr>
                        </w:pPr>
                        <w:r>
                          <w:rPr>
                            <w:rFonts w:ascii="Arial"/>
                            <w:sz w:val="18"/>
                          </w:rPr>
                          <w:t>4</w:t>
                        </w:r>
                      </w:p>
                    </w:tc>
                    <w:tc>
                      <w:tcPr>
                        <w:tcW w:w="992" w:type="dxa"/>
                      </w:tcPr>
                      <w:p>
                        <w:pPr>
                          <w:pStyle w:val="TableParagraph"/>
                          <w:spacing w:line="206" w:lineRule="exact"/>
                          <w:ind w:left="156" w:right="156"/>
                          <w:jc w:val="center"/>
                          <w:rPr>
                            <w:rFonts w:ascii="Arial"/>
                            <w:sz w:val="18"/>
                          </w:rPr>
                        </w:pPr>
                        <w:r>
                          <w:rPr>
                            <w:rFonts w:ascii="Arial"/>
                            <w:sz w:val="18"/>
                          </w:rPr>
                          <w:t>33%</w:t>
                        </w:r>
                      </w:p>
                    </w:tc>
                  </w:tr>
                  <w:tr>
                    <w:trPr>
                      <w:trHeight w:val="298" w:hRule="exact"/>
                    </w:trPr>
                    <w:tc>
                      <w:tcPr>
                        <w:tcW w:w="2268" w:type="dxa"/>
                        <w:shd w:val="clear" w:color="auto" w:fill="FFBF00"/>
                      </w:tcPr>
                      <w:p>
                        <w:pPr>
                          <w:pStyle w:val="TableParagraph"/>
                          <w:spacing w:before="38"/>
                          <w:ind w:left="103" w:right="363"/>
                          <w:rPr>
                            <w:rFonts w:ascii="Arial"/>
                            <w:sz w:val="18"/>
                          </w:rPr>
                        </w:pPr>
                        <w:r>
                          <w:rPr>
                            <w:rFonts w:ascii="Arial"/>
                            <w:sz w:val="18"/>
                          </w:rPr>
                          <w:t>Hombro</w:t>
                        </w:r>
                      </w:p>
                    </w:tc>
                    <w:tc>
                      <w:tcPr>
                        <w:tcW w:w="852" w:type="dxa"/>
                      </w:tcPr>
                      <w:p>
                        <w:pPr>
                          <w:pStyle w:val="TableParagraph"/>
                          <w:spacing w:line="202" w:lineRule="exact"/>
                          <w:ind w:left="121" w:right="121"/>
                          <w:jc w:val="center"/>
                          <w:rPr>
                            <w:sz w:val="18"/>
                          </w:rPr>
                        </w:pPr>
                        <w:r>
                          <w:rPr>
                            <w:sz w:val="18"/>
                          </w:rPr>
                          <w:t>10</w:t>
                        </w:r>
                      </w:p>
                    </w:tc>
                    <w:tc>
                      <w:tcPr>
                        <w:tcW w:w="566" w:type="dxa"/>
                      </w:tcPr>
                      <w:p>
                        <w:pPr>
                          <w:pStyle w:val="TableParagraph"/>
                          <w:spacing w:before="38"/>
                          <w:ind w:right="225"/>
                          <w:jc w:val="right"/>
                          <w:rPr>
                            <w:rFonts w:ascii="Arial"/>
                            <w:sz w:val="18"/>
                          </w:rPr>
                        </w:pPr>
                        <w:r>
                          <w:rPr>
                            <w:rFonts w:ascii="Arial"/>
                            <w:sz w:val="18"/>
                          </w:rPr>
                          <w:t>4</w:t>
                        </w:r>
                      </w:p>
                    </w:tc>
                    <w:tc>
                      <w:tcPr>
                        <w:tcW w:w="992" w:type="dxa"/>
                      </w:tcPr>
                      <w:p>
                        <w:pPr>
                          <w:pStyle w:val="TableParagraph"/>
                          <w:spacing w:line="205" w:lineRule="exact"/>
                          <w:ind w:left="156" w:right="156"/>
                          <w:jc w:val="center"/>
                          <w:rPr>
                            <w:rFonts w:ascii="Arial"/>
                            <w:sz w:val="18"/>
                          </w:rPr>
                        </w:pPr>
                        <w:r>
                          <w:rPr>
                            <w:rFonts w:ascii="Arial"/>
                            <w:sz w:val="18"/>
                          </w:rPr>
                          <w:t>60%</w:t>
                        </w:r>
                      </w:p>
                    </w:tc>
                  </w:tr>
                  <w:tr>
                    <w:trPr>
                      <w:trHeight w:val="275" w:hRule="exact"/>
                    </w:trPr>
                    <w:tc>
                      <w:tcPr>
                        <w:tcW w:w="2268" w:type="dxa"/>
                        <w:shd w:val="clear" w:color="auto" w:fill="FFBF00"/>
                      </w:tcPr>
                      <w:p>
                        <w:pPr>
                          <w:pStyle w:val="TableParagraph"/>
                          <w:spacing w:line="206" w:lineRule="exact"/>
                          <w:ind w:left="103" w:right="363"/>
                          <w:rPr>
                            <w:rFonts w:ascii="Arial"/>
                            <w:sz w:val="18"/>
                          </w:rPr>
                        </w:pPr>
                        <w:r>
                          <w:rPr>
                            <w:rFonts w:ascii="Arial"/>
                            <w:sz w:val="18"/>
                          </w:rPr>
                          <w:t>Espalda</w:t>
                        </w:r>
                      </w:p>
                    </w:tc>
                    <w:tc>
                      <w:tcPr>
                        <w:tcW w:w="852" w:type="dxa"/>
                      </w:tcPr>
                      <w:p>
                        <w:pPr>
                          <w:pStyle w:val="TableParagraph"/>
                          <w:spacing w:line="206" w:lineRule="exact"/>
                          <w:ind w:right="1"/>
                          <w:jc w:val="center"/>
                          <w:rPr>
                            <w:rFonts w:ascii="Arial"/>
                            <w:sz w:val="18"/>
                          </w:rPr>
                        </w:pPr>
                        <w:r>
                          <w:rPr>
                            <w:rFonts w:ascii="Arial"/>
                            <w:sz w:val="18"/>
                          </w:rPr>
                          <w:t>6</w:t>
                        </w:r>
                      </w:p>
                    </w:tc>
                    <w:tc>
                      <w:tcPr>
                        <w:tcW w:w="566" w:type="dxa"/>
                      </w:tcPr>
                      <w:p>
                        <w:pPr>
                          <w:pStyle w:val="TableParagraph"/>
                          <w:spacing w:line="206" w:lineRule="exact"/>
                          <w:ind w:right="226"/>
                          <w:jc w:val="right"/>
                          <w:rPr>
                            <w:rFonts w:ascii="Arial"/>
                            <w:sz w:val="18"/>
                          </w:rPr>
                        </w:pPr>
                        <w:r>
                          <w:rPr>
                            <w:rFonts w:ascii="Arial"/>
                            <w:sz w:val="18"/>
                          </w:rPr>
                          <w:t>4</w:t>
                        </w:r>
                      </w:p>
                    </w:tc>
                    <w:tc>
                      <w:tcPr>
                        <w:tcW w:w="992" w:type="dxa"/>
                      </w:tcPr>
                      <w:p>
                        <w:pPr>
                          <w:pStyle w:val="TableParagraph"/>
                          <w:spacing w:line="206" w:lineRule="exact"/>
                          <w:ind w:left="155" w:right="156"/>
                          <w:jc w:val="center"/>
                          <w:rPr>
                            <w:rFonts w:ascii="Arial"/>
                            <w:sz w:val="18"/>
                          </w:rPr>
                        </w:pPr>
                        <w:r>
                          <w:rPr>
                            <w:rFonts w:ascii="Arial"/>
                            <w:sz w:val="18"/>
                          </w:rPr>
                          <w:t>33%</w:t>
                        </w:r>
                      </w:p>
                    </w:tc>
                  </w:tr>
                  <w:tr>
                    <w:trPr>
                      <w:trHeight w:val="277" w:hRule="exact"/>
                    </w:trPr>
                    <w:tc>
                      <w:tcPr>
                        <w:tcW w:w="2268" w:type="dxa"/>
                        <w:shd w:val="clear" w:color="auto" w:fill="FFBF00"/>
                      </w:tcPr>
                      <w:p>
                        <w:pPr>
                          <w:pStyle w:val="TableParagraph"/>
                          <w:spacing w:before="28"/>
                          <w:ind w:left="103" w:right="363"/>
                          <w:rPr>
                            <w:rFonts w:ascii="Arial"/>
                            <w:sz w:val="18"/>
                          </w:rPr>
                        </w:pPr>
                        <w:r>
                          <w:rPr>
                            <w:rFonts w:ascii="Arial"/>
                            <w:sz w:val="18"/>
                          </w:rPr>
                          <w:t>Brazo y Codo</w:t>
                        </w:r>
                      </w:p>
                    </w:tc>
                    <w:tc>
                      <w:tcPr>
                        <w:tcW w:w="852" w:type="dxa"/>
                      </w:tcPr>
                      <w:p>
                        <w:pPr>
                          <w:pStyle w:val="TableParagraph"/>
                          <w:spacing w:line="205" w:lineRule="exact"/>
                          <w:jc w:val="center"/>
                          <w:rPr>
                            <w:rFonts w:ascii="Arial"/>
                            <w:sz w:val="18"/>
                          </w:rPr>
                        </w:pPr>
                        <w:r>
                          <w:rPr>
                            <w:rFonts w:ascii="Arial"/>
                            <w:sz w:val="18"/>
                          </w:rPr>
                          <w:t>6</w:t>
                        </w:r>
                      </w:p>
                    </w:tc>
                    <w:tc>
                      <w:tcPr>
                        <w:tcW w:w="566" w:type="dxa"/>
                      </w:tcPr>
                      <w:p>
                        <w:pPr>
                          <w:pStyle w:val="TableParagraph"/>
                          <w:spacing w:line="205" w:lineRule="exact"/>
                          <w:ind w:right="225"/>
                          <w:jc w:val="right"/>
                          <w:rPr>
                            <w:rFonts w:ascii="Arial"/>
                            <w:sz w:val="18"/>
                          </w:rPr>
                        </w:pPr>
                        <w:r>
                          <w:rPr>
                            <w:rFonts w:ascii="Arial"/>
                            <w:sz w:val="18"/>
                          </w:rPr>
                          <w:t>4</w:t>
                        </w:r>
                      </w:p>
                    </w:tc>
                    <w:tc>
                      <w:tcPr>
                        <w:tcW w:w="992" w:type="dxa"/>
                      </w:tcPr>
                      <w:p>
                        <w:pPr>
                          <w:pStyle w:val="TableParagraph"/>
                          <w:spacing w:line="205" w:lineRule="exact"/>
                          <w:ind w:left="156" w:right="156"/>
                          <w:jc w:val="center"/>
                          <w:rPr>
                            <w:rFonts w:ascii="Arial"/>
                            <w:sz w:val="18"/>
                          </w:rPr>
                        </w:pPr>
                        <w:r>
                          <w:rPr>
                            <w:rFonts w:ascii="Arial"/>
                            <w:sz w:val="18"/>
                          </w:rPr>
                          <w:t>33%</w:t>
                        </w:r>
                      </w:p>
                    </w:tc>
                  </w:tr>
                  <w:tr>
                    <w:trPr>
                      <w:trHeight w:val="282" w:hRule="exact"/>
                    </w:trPr>
                    <w:tc>
                      <w:tcPr>
                        <w:tcW w:w="2268" w:type="dxa"/>
                        <w:shd w:val="clear" w:color="auto" w:fill="FFBF00"/>
                      </w:tcPr>
                      <w:p>
                        <w:pPr>
                          <w:pStyle w:val="TableParagraph"/>
                          <w:spacing w:line="206" w:lineRule="exact"/>
                          <w:ind w:left="103" w:right="363"/>
                          <w:rPr>
                            <w:rFonts w:ascii="Arial" w:hAnsi="Arial"/>
                            <w:sz w:val="18"/>
                          </w:rPr>
                        </w:pPr>
                        <w:r>
                          <w:rPr>
                            <w:rFonts w:ascii="Arial" w:hAnsi="Arial"/>
                            <w:sz w:val="18"/>
                          </w:rPr>
                          <w:t>Muñeca, mano, dedo</w:t>
                        </w:r>
                      </w:p>
                    </w:tc>
                    <w:tc>
                      <w:tcPr>
                        <w:tcW w:w="852" w:type="dxa"/>
                      </w:tcPr>
                      <w:p>
                        <w:pPr>
                          <w:pStyle w:val="TableParagraph"/>
                          <w:spacing w:line="206" w:lineRule="exact"/>
                          <w:ind w:right="1"/>
                          <w:jc w:val="center"/>
                          <w:rPr>
                            <w:rFonts w:ascii="Arial"/>
                            <w:sz w:val="18"/>
                          </w:rPr>
                        </w:pPr>
                        <w:r>
                          <w:rPr>
                            <w:rFonts w:ascii="Arial"/>
                            <w:sz w:val="18"/>
                          </w:rPr>
                          <w:t>6</w:t>
                        </w:r>
                      </w:p>
                    </w:tc>
                    <w:tc>
                      <w:tcPr>
                        <w:tcW w:w="566" w:type="dxa"/>
                      </w:tcPr>
                      <w:p>
                        <w:pPr>
                          <w:pStyle w:val="TableParagraph"/>
                          <w:spacing w:line="206" w:lineRule="exact"/>
                          <w:ind w:right="225"/>
                          <w:jc w:val="right"/>
                          <w:rPr>
                            <w:rFonts w:ascii="Arial"/>
                            <w:sz w:val="18"/>
                          </w:rPr>
                        </w:pPr>
                        <w:r>
                          <w:rPr>
                            <w:rFonts w:ascii="Arial"/>
                            <w:sz w:val="18"/>
                          </w:rPr>
                          <w:t>4</w:t>
                        </w:r>
                      </w:p>
                    </w:tc>
                    <w:tc>
                      <w:tcPr>
                        <w:tcW w:w="992" w:type="dxa"/>
                      </w:tcPr>
                      <w:p>
                        <w:pPr>
                          <w:pStyle w:val="TableParagraph"/>
                          <w:spacing w:line="206" w:lineRule="exact"/>
                          <w:ind w:left="156" w:right="156"/>
                          <w:jc w:val="center"/>
                          <w:rPr>
                            <w:rFonts w:ascii="Arial"/>
                            <w:sz w:val="18"/>
                          </w:rPr>
                        </w:pPr>
                        <w:r>
                          <w:rPr>
                            <w:rFonts w:ascii="Arial"/>
                            <w:sz w:val="18"/>
                          </w:rPr>
                          <w:t>33%</w:t>
                        </w:r>
                      </w:p>
                    </w:tc>
                  </w:tr>
                  <w:tr>
                    <w:trPr>
                      <w:trHeight w:val="287" w:hRule="exact"/>
                    </w:trPr>
                    <w:tc>
                      <w:tcPr>
                        <w:tcW w:w="2268" w:type="dxa"/>
                        <w:shd w:val="clear" w:color="auto" w:fill="FFBF00"/>
                      </w:tcPr>
                      <w:p>
                        <w:pPr>
                          <w:pStyle w:val="TableParagraph"/>
                          <w:spacing w:before="32"/>
                          <w:ind w:left="103" w:right="363"/>
                          <w:rPr>
                            <w:rFonts w:ascii="Arial"/>
                            <w:sz w:val="18"/>
                          </w:rPr>
                        </w:pPr>
                        <w:r>
                          <w:rPr>
                            <w:rFonts w:ascii="Arial"/>
                            <w:sz w:val="18"/>
                          </w:rPr>
                          <w:t>Piernas y tobillos</w:t>
                        </w:r>
                      </w:p>
                    </w:tc>
                    <w:tc>
                      <w:tcPr>
                        <w:tcW w:w="852" w:type="dxa"/>
                      </w:tcPr>
                      <w:p>
                        <w:pPr>
                          <w:pStyle w:val="TableParagraph"/>
                          <w:spacing w:line="206" w:lineRule="exact"/>
                          <w:jc w:val="center"/>
                          <w:rPr>
                            <w:rFonts w:ascii="Arial"/>
                            <w:sz w:val="18"/>
                          </w:rPr>
                        </w:pPr>
                        <w:r>
                          <w:rPr>
                            <w:rFonts w:ascii="Arial"/>
                            <w:sz w:val="18"/>
                          </w:rPr>
                          <w:t>3</w:t>
                        </w:r>
                      </w:p>
                    </w:tc>
                    <w:tc>
                      <w:tcPr>
                        <w:tcW w:w="566" w:type="dxa"/>
                      </w:tcPr>
                      <w:p>
                        <w:pPr>
                          <w:pStyle w:val="TableParagraph"/>
                          <w:spacing w:line="206" w:lineRule="exact"/>
                          <w:ind w:right="225"/>
                          <w:jc w:val="right"/>
                          <w:rPr>
                            <w:rFonts w:ascii="Arial"/>
                            <w:sz w:val="18"/>
                          </w:rPr>
                        </w:pPr>
                        <w:r>
                          <w:rPr>
                            <w:rFonts w:ascii="Arial"/>
                            <w:sz w:val="18"/>
                          </w:rPr>
                          <w:t>2</w:t>
                        </w:r>
                      </w:p>
                    </w:tc>
                    <w:tc>
                      <w:tcPr>
                        <w:tcW w:w="992" w:type="dxa"/>
                      </w:tcPr>
                      <w:p>
                        <w:pPr>
                          <w:pStyle w:val="TableParagraph"/>
                          <w:spacing w:line="206" w:lineRule="exact"/>
                          <w:ind w:left="156" w:right="156"/>
                          <w:jc w:val="center"/>
                          <w:rPr>
                            <w:rFonts w:ascii="Arial"/>
                            <w:sz w:val="18"/>
                          </w:rPr>
                        </w:pPr>
                        <w:r>
                          <w:rPr>
                            <w:rFonts w:ascii="Arial"/>
                            <w:sz w:val="18"/>
                          </w:rPr>
                          <w:t>33%</w:t>
                        </w:r>
                      </w:p>
                    </w:tc>
                  </w:tr>
                </w:tbl>
                <w:p>
                  <w:pPr>
                    <w:pStyle w:val="BodyText"/>
                  </w:pPr>
                </w:p>
              </w:txbxContent>
            </v:textbox>
            <w10:wrap type="none"/>
          </v:shape>
        </w:pict>
      </w:r>
      <w:r>
        <w:rPr/>
        <w:pict>
          <v:shape style="position:absolute;margin-left:49.380001pt;margin-top:-12.847368pt;width:220.45pt;height:95.65pt;mso-position-horizontal-relative:page;mso-position-vertical-relative:paragraph;z-index:6448"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02"/>
                    <w:gridCol w:w="1276"/>
                    <w:gridCol w:w="1417"/>
                  </w:tblGrid>
                  <w:tr>
                    <w:trPr>
                      <w:trHeight w:val="424" w:hRule="exact"/>
                    </w:trPr>
                    <w:tc>
                      <w:tcPr>
                        <w:tcW w:w="1702" w:type="dxa"/>
                        <w:shd w:val="clear" w:color="auto" w:fill="FFBF00"/>
                      </w:tcPr>
                      <w:p>
                        <w:pPr>
                          <w:pStyle w:val="TableParagraph"/>
                          <w:ind w:left="381" w:right="361" w:firstLine="82"/>
                          <w:rPr>
                            <w:sz w:val="18"/>
                          </w:rPr>
                        </w:pPr>
                        <w:r>
                          <w:rPr>
                            <w:sz w:val="18"/>
                          </w:rPr>
                          <w:t>Medida de Rendimiento</w:t>
                        </w:r>
                      </w:p>
                    </w:tc>
                    <w:tc>
                      <w:tcPr>
                        <w:tcW w:w="1276" w:type="dxa"/>
                        <w:shd w:val="clear" w:color="auto" w:fill="FFBF00"/>
                      </w:tcPr>
                      <w:p>
                        <w:pPr>
                          <w:pStyle w:val="TableParagraph"/>
                          <w:spacing w:before="99"/>
                          <w:ind w:right="410"/>
                          <w:jc w:val="right"/>
                          <w:rPr>
                            <w:sz w:val="18"/>
                          </w:rPr>
                        </w:pPr>
                        <w:r>
                          <w:rPr>
                            <w:sz w:val="18"/>
                          </w:rPr>
                          <w:t>Torno</w:t>
                        </w:r>
                      </w:p>
                    </w:tc>
                    <w:tc>
                      <w:tcPr>
                        <w:tcW w:w="1417" w:type="dxa"/>
                        <w:shd w:val="clear" w:color="auto" w:fill="FFBF00"/>
                      </w:tcPr>
                      <w:p>
                        <w:pPr>
                          <w:pStyle w:val="TableParagraph"/>
                          <w:spacing w:before="99"/>
                          <w:ind w:left="163" w:right="163"/>
                          <w:jc w:val="center"/>
                          <w:rPr>
                            <w:sz w:val="18"/>
                          </w:rPr>
                        </w:pPr>
                        <w:r>
                          <w:rPr>
                            <w:sz w:val="18"/>
                          </w:rPr>
                          <w:t>Balancedora</w:t>
                        </w:r>
                      </w:p>
                    </w:tc>
                  </w:tr>
                  <w:tr>
                    <w:trPr>
                      <w:trHeight w:val="425" w:hRule="exact"/>
                    </w:trPr>
                    <w:tc>
                      <w:tcPr>
                        <w:tcW w:w="1702" w:type="dxa"/>
                      </w:tcPr>
                      <w:p>
                        <w:pPr>
                          <w:pStyle w:val="TableParagraph"/>
                          <w:ind w:left="104"/>
                          <w:rPr>
                            <w:sz w:val="18"/>
                          </w:rPr>
                        </w:pPr>
                        <w:r>
                          <w:rPr>
                            <w:sz w:val="18"/>
                          </w:rPr>
                          <w:t>Razón productiva (Piezas/hora)</w:t>
                        </w:r>
                      </w:p>
                    </w:tc>
                    <w:tc>
                      <w:tcPr>
                        <w:tcW w:w="1276" w:type="dxa"/>
                      </w:tcPr>
                      <w:p>
                        <w:pPr>
                          <w:pStyle w:val="TableParagraph"/>
                          <w:spacing w:before="99"/>
                          <w:jc w:val="center"/>
                          <w:rPr>
                            <w:sz w:val="18"/>
                          </w:rPr>
                        </w:pPr>
                        <w:r>
                          <w:rPr>
                            <w:sz w:val="18"/>
                          </w:rPr>
                          <w:t>7</w:t>
                        </w:r>
                      </w:p>
                    </w:tc>
                    <w:tc>
                      <w:tcPr>
                        <w:tcW w:w="1417" w:type="dxa"/>
                      </w:tcPr>
                      <w:p>
                        <w:pPr>
                          <w:pStyle w:val="TableParagraph"/>
                          <w:spacing w:before="99"/>
                          <w:ind w:left="162" w:right="163"/>
                          <w:jc w:val="center"/>
                          <w:rPr>
                            <w:sz w:val="18"/>
                          </w:rPr>
                        </w:pPr>
                        <w:r>
                          <w:rPr>
                            <w:sz w:val="18"/>
                          </w:rPr>
                          <w:t>30</w:t>
                        </w:r>
                      </w:p>
                    </w:tc>
                  </w:tr>
                  <w:tr>
                    <w:trPr>
                      <w:trHeight w:val="630" w:hRule="exact"/>
                    </w:trPr>
                    <w:tc>
                      <w:tcPr>
                        <w:tcW w:w="1702" w:type="dxa"/>
                      </w:tcPr>
                      <w:p>
                        <w:pPr>
                          <w:pStyle w:val="TableParagraph"/>
                          <w:ind w:left="104" w:right="718"/>
                          <w:rPr>
                            <w:sz w:val="18"/>
                          </w:rPr>
                        </w:pPr>
                        <w:r>
                          <w:rPr>
                            <w:sz w:val="18"/>
                          </w:rPr>
                          <w:t>Capacidad Producida (Piezas/día)</w:t>
                        </w:r>
                      </w:p>
                    </w:tc>
                    <w:tc>
                      <w:tcPr>
                        <w:tcW w:w="1276" w:type="dxa"/>
                      </w:tcPr>
                      <w:p>
                        <w:pPr>
                          <w:pStyle w:val="TableParagraph"/>
                          <w:spacing w:before="6"/>
                          <w:rPr>
                            <w:sz w:val="17"/>
                          </w:rPr>
                        </w:pPr>
                      </w:p>
                      <w:p>
                        <w:pPr>
                          <w:pStyle w:val="TableParagraph"/>
                          <w:ind w:right="383"/>
                          <w:jc w:val="right"/>
                          <w:rPr>
                            <w:sz w:val="18"/>
                          </w:rPr>
                        </w:pPr>
                        <w:r>
                          <w:rPr>
                            <w:sz w:val="18"/>
                          </w:rPr>
                          <w:t>61.460</w:t>
                        </w:r>
                      </w:p>
                    </w:tc>
                    <w:tc>
                      <w:tcPr>
                        <w:tcW w:w="1417" w:type="dxa"/>
                      </w:tcPr>
                      <w:p>
                        <w:pPr>
                          <w:pStyle w:val="TableParagraph"/>
                          <w:spacing w:before="6"/>
                          <w:rPr>
                            <w:sz w:val="17"/>
                          </w:rPr>
                        </w:pPr>
                      </w:p>
                      <w:p>
                        <w:pPr>
                          <w:pStyle w:val="TableParagraph"/>
                          <w:ind w:left="163" w:right="163"/>
                          <w:jc w:val="center"/>
                          <w:rPr>
                            <w:sz w:val="18"/>
                          </w:rPr>
                        </w:pPr>
                        <w:r>
                          <w:rPr>
                            <w:sz w:val="18"/>
                          </w:rPr>
                          <w:t>249</w:t>
                        </w:r>
                      </w:p>
                    </w:tc>
                  </w:tr>
                  <w:tr>
                    <w:trPr>
                      <w:trHeight w:val="425" w:hRule="exact"/>
                    </w:trPr>
                    <w:tc>
                      <w:tcPr>
                        <w:tcW w:w="1702" w:type="dxa"/>
                      </w:tcPr>
                      <w:p>
                        <w:pPr>
                          <w:pStyle w:val="TableParagraph"/>
                          <w:ind w:left="104" w:right="768"/>
                          <w:rPr>
                            <w:sz w:val="18"/>
                          </w:rPr>
                        </w:pPr>
                        <w:r>
                          <w:rPr>
                            <w:sz w:val="18"/>
                          </w:rPr>
                          <w:t>Utilización (%)</w:t>
                        </w:r>
                      </w:p>
                    </w:tc>
                    <w:tc>
                      <w:tcPr>
                        <w:tcW w:w="1276" w:type="dxa"/>
                      </w:tcPr>
                      <w:p>
                        <w:pPr>
                          <w:pStyle w:val="TableParagraph"/>
                          <w:spacing w:before="99"/>
                          <w:ind w:right="473"/>
                          <w:jc w:val="right"/>
                          <w:rPr>
                            <w:sz w:val="18"/>
                          </w:rPr>
                        </w:pPr>
                        <w:r>
                          <w:rPr>
                            <w:sz w:val="18"/>
                          </w:rPr>
                          <w:t>45.5</w:t>
                        </w:r>
                      </w:p>
                    </w:tc>
                    <w:tc>
                      <w:tcPr>
                        <w:tcW w:w="1417" w:type="dxa"/>
                      </w:tcPr>
                      <w:p>
                        <w:pPr>
                          <w:pStyle w:val="TableParagraph"/>
                          <w:spacing w:before="99"/>
                          <w:ind w:left="163" w:right="163"/>
                          <w:jc w:val="center"/>
                          <w:rPr>
                            <w:sz w:val="18"/>
                          </w:rPr>
                        </w:pPr>
                        <w:r>
                          <w:rPr>
                            <w:sz w:val="18"/>
                          </w:rPr>
                          <w:t>11.2</w:t>
                        </w:r>
                      </w:p>
                    </w:tc>
                  </w:tr>
                </w:tbl>
                <w:p>
                  <w:pPr>
                    <w:pStyle w:val="BodyText"/>
                  </w:pPr>
                </w:p>
              </w:txbxContent>
            </v:textbox>
            <w10:wrap type="none"/>
          </v:shape>
        </w:pict>
      </w:r>
      <w:r>
        <w:rPr/>
        <w:pict>
          <v:shape style="position:absolute;margin-left:322.200012pt;margin-top:52.01263pt;width:248.85pt;height:24.15pt;mso-position-horizontal-relative:page;mso-position-vertical-relative:paragraph;z-index:6472"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76"/>
                    <w:gridCol w:w="1843"/>
                    <w:gridCol w:w="1843"/>
                  </w:tblGrid>
                  <w:tr>
                    <w:trPr>
                      <w:trHeight w:val="473" w:hRule="exact"/>
                    </w:trPr>
                    <w:tc>
                      <w:tcPr>
                        <w:tcW w:w="1276" w:type="dxa"/>
                        <w:tcBorders>
                          <w:bottom w:val="nil"/>
                        </w:tcBorders>
                        <w:shd w:val="clear" w:color="auto" w:fill="FFBF00"/>
                      </w:tcPr>
                      <w:p>
                        <w:pPr>
                          <w:pStyle w:val="TableParagraph"/>
                          <w:spacing w:before="10"/>
                          <w:rPr>
                            <w:sz w:val="21"/>
                          </w:rPr>
                        </w:pPr>
                      </w:p>
                      <w:p>
                        <w:pPr>
                          <w:pStyle w:val="TableParagraph"/>
                          <w:ind w:left="228" w:right="156"/>
                          <w:rPr>
                            <w:sz w:val="18"/>
                          </w:rPr>
                        </w:pPr>
                        <w:r>
                          <w:rPr>
                            <w:sz w:val="18"/>
                          </w:rPr>
                          <w:t>Puntuación</w:t>
                        </w:r>
                      </w:p>
                    </w:tc>
                    <w:tc>
                      <w:tcPr>
                        <w:tcW w:w="1843" w:type="dxa"/>
                        <w:shd w:val="clear" w:color="auto" w:fill="FFBF00"/>
                      </w:tcPr>
                      <w:p>
                        <w:pPr>
                          <w:pStyle w:val="TableParagraph"/>
                          <w:spacing w:before="123"/>
                          <w:ind w:left="464"/>
                          <w:rPr>
                            <w:sz w:val="18"/>
                          </w:rPr>
                        </w:pPr>
                        <w:r>
                          <w:rPr>
                            <w:sz w:val="18"/>
                          </w:rPr>
                          <w:t>Quitar llanta</w:t>
                        </w:r>
                      </w:p>
                    </w:tc>
                    <w:tc>
                      <w:tcPr>
                        <w:tcW w:w="1843" w:type="dxa"/>
                        <w:shd w:val="clear" w:color="auto" w:fill="FFBF00"/>
                      </w:tcPr>
                      <w:p>
                        <w:pPr>
                          <w:pStyle w:val="TableParagraph"/>
                          <w:spacing w:before="123"/>
                          <w:ind w:left="383"/>
                          <w:rPr>
                            <w:sz w:val="18"/>
                          </w:rPr>
                        </w:pPr>
                        <w:r>
                          <w:rPr>
                            <w:sz w:val="18"/>
                          </w:rPr>
                          <w:t>Tornear tambo</w:t>
                        </w:r>
                      </w:p>
                    </w:tc>
                  </w:tr>
                </w:tbl>
                <w:p>
                  <w:pPr>
                    <w:pStyle w:val="BodyText"/>
                  </w:pPr>
                </w:p>
              </w:txbxContent>
            </v:textbox>
            <w10:wrap type="none"/>
          </v:shape>
        </w:pict>
      </w:r>
      <w:r>
        <w:rPr>
          <w:sz w:val="18"/>
        </w:rPr>
        <w:t>Figure 12. Improved to remove the Lug Nuts and Wheel Table 11. RULA method, the overall score(Improved)</w:t>
      </w:r>
    </w:p>
    <w:p>
      <w:pPr>
        <w:spacing w:after="0" w:line="720" w:lineRule="auto"/>
        <w:jc w:val="left"/>
        <w:rPr>
          <w:sz w:val="18"/>
        </w:rPr>
        <w:sectPr>
          <w:type w:val="continuous"/>
          <w:pgSz w:w="12240" w:h="15840"/>
          <w:pgMar w:top="1500" w:bottom="280" w:left="580" w:right="220"/>
        </w:sectPr>
      </w:pPr>
    </w:p>
    <w:p>
      <w:pPr>
        <w:pStyle w:val="BodyText"/>
        <w:rPr>
          <w:sz w:val="11"/>
        </w:rPr>
      </w:pPr>
    </w:p>
    <w:p>
      <w:pPr>
        <w:spacing w:before="77"/>
        <w:ind w:left="5868" w:right="314" w:firstLine="0"/>
        <w:jc w:val="left"/>
        <w:rPr>
          <w:sz w:val="18"/>
        </w:rPr>
      </w:pPr>
      <w:r>
        <w:rPr/>
        <w:pict>
          <v:shape style="position:absolute;margin-left:42.299999pt;margin-top:4.092054pt;width:249.25pt;height:133.6pt;mso-position-horizontal-relative:page;mso-position-vertical-relative:paragraph;z-index:649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76"/>
                    <w:gridCol w:w="568"/>
                    <w:gridCol w:w="566"/>
                    <w:gridCol w:w="709"/>
                    <w:gridCol w:w="568"/>
                    <w:gridCol w:w="566"/>
                    <w:gridCol w:w="718"/>
                  </w:tblGrid>
                  <w:tr>
                    <w:trPr>
                      <w:trHeight w:val="936" w:hRule="exact"/>
                    </w:trPr>
                    <w:tc>
                      <w:tcPr>
                        <w:tcW w:w="1276" w:type="dxa"/>
                        <w:tcBorders>
                          <w:left w:val="single" w:sz="4" w:space="0" w:color="000000"/>
                          <w:bottom w:val="single" w:sz="4" w:space="0" w:color="000000"/>
                          <w:right w:val="single" w:sz="4" w:space="0" w:color="000000"/>
                        </w:tcBorders>
                        <w:shd w:val="clear" w:color="auto" w:fill="FFBF00"/>
                      </w:tcPr>
                      <w:p>
                        <w:pPr>
                          <w:pStyle w:val="TableParagraph"/>
                          <w:ind w:left="175" w:right="77"/>
                          <w:rPr>
                            <w:sz w:val="18"/>
                          </w:rPr>
                        </w:pPr>
                        <w:r>
                          <w:rPr>
                            <w:sz w:val="18"/>
                          </w:rPr>
                          <w:t>global grupo</w:t>
                        </w:r>
                      </w:p>
                    </w:tc>
                    <w:tc>
                      <w:tcPr>
                        <w:tcW w:w="568" w:type="dxa"/>
                        <w:tcBorders>
                          <w:top w:val="single" w:sz="4" w:space="0" w:color="000000"/>
                          <w:left w:val="single" w:sz="4" w:space="0" w:color="000000"/>
                          <w:bottom w:val="single" w:sz="4" w:space="0" w:color="000000"/>
                          <w:right w:val="single" w:sz="4" w:space="0" w:color="000000"/>
                        </w:tcBorders>
                        <w:shd w:val="clear" w:color="auto" w:fill="FFBF00"/>
                        <w:textDirection w:val="btLr"/>
                      </w:tcPr>
                      <w:p>
                        <w:pPr>
                          <w:pStyle w:val="TableParagraph"/>
                          <w:spacing w:before="106"/>
                          <w:ind w:left="253" w:right="214"/>
                          <w:rPr>
                            <w:sz w:val="18"/>
                          </w:rPr>
                        </w:pPr>
                        <w:r>
                          <w:rPr>
                            <w:spacing w:val="-1"/>
                            <w:sz w:val="18"/>
                          </w:rPr>
                          <w:t>Antes</w:t>
                        </w:r>
                      </w:p>
                    </w:tc>
                    <w:tc>
                      <w:tcPr>
                        <w:tcW w:w="566" w:type="dxa"/>
                        <w:tcBorders>
                          <w:top w:val="single" w:sz="4" w:space="0" w:color="000000"/>
                          <w:left w:val="single" w:sz="4" w:space="0" w:color="000000"/>
                          <w:bottom w:val="single" w:sz="4" w:space="0" w:color="000000"/>
                          <w:right w:val="single" w:sz="4" w:space="0" w:color="000000"/>
                        </w:tcBorders>
                        <w:shd w:val="clear" w:color="auto" w:fill="FFBF00"/>
                        <w:textDirection w:val="btLr"/>
                      </w:tcPr>
                      <w:p>
                        <w:pPr>
                          <w:pStyle w:val="TableParagraph"/>
                          <w:spacing w:before="105"/>
                          <w:ind w:left="158" w:right="115"/>
                          <w:rPr>
                            <w:sz w:val="18"/>
                          </w:rPr>
                        </w:pPr>
                        <w:r>
                          <w:rPr>
                            <w:spacing w:val="-1"/>
                            <w:sz w:val="18"/>
                          </w:rPr>
                          <w:t>Despues</w:t>
                        </w:r>
                      </w:p>
                    </w:tc>
                    <w:tc>
                      <w:tcPr>
                        <w:tcW w:w="709" w:type="dxa"/>
                        <w:tcBorders>
                          <w:top w:val="single" w:sz="4" w:space="0" w:color="000000"/>
                          <w:left w:val="single" w:sz="4" w:space="0" w:color="000000"/>
                          <w:bottom w:val="single" w:sz="4" w:space="0" w:color="000000"/>
                          <w:right w:val="single" w:sz="4" w:space="0" w:color="000000"/>
                        </w:tcBorders>
                        <w:shd w:val="clear" w:color="auto" w:fill="FFBF00"/>
                        <w:textDirection w:val="btLr"/>
                      </w:tcPr>
                      <w:p>
                        <w:pPr>
                          <w:pStyle w:val="TableParagraph"/>
                          <w:spacing w:before="105"/>
                          <w:ind w:left="202" w:right="136"/>
                          <w:rPr>
                            <w:sz w:val="18"/>
                          </w:rPr>
                        </w:pPr>
                        <w:r>
                          <w:rPr>
                            <w:spacing w:val="-1"/>
                            <w:sz w:val="18"/>
                          </w:rPr>
                          <w:t>M</w:t>
                        </w:r>
                        <w:r>
                          <w:rPr>
                            <w:sz w:val="18"/>
                          </w:rPr>
                          <w:t>e</w:t>
                        </w:r>
                        <w:r>
                          <w:rPr>
                            <w:spacing w:val="-1"/>
                            <w:sz w:val="18"/>
                          </w:rPr>
                          <w:t>jora</w:t>
                        </w:r>
                      </w:p>
                    </w:tc>
                    <w:tc>
                      <w:tcPr>
                        <w:tcW w:w="568" w:type="dxa"/>
                        <w:tcBorders>
                          <w:top w:val="single" w:sz="4" w:space="0" w:color="000000"/>
                          <w:left w:val="single" w:sz="4" w:space="0" w:color="000000"/>
                          <w:bottom w:val="single" w:sz="4" w:space="0" w:color="000000"/>
                          <w:right w:val="single" w:sz="4" w:space="0" w:color="000000"/>
                        </w:tcBorders>
                        <w:shd w:val="clear" w:color="auto" w:fill="FFBF00"/>
                        <w:textDirection w:val="btLr"/>
                      </w:tcPr>
                      <w:p>
                        <w:pPr>
                          <w:pStyle w:val="TableParagraph"/>
                          <w:spacing w:before="105"/>
                          <w:ind w:left="253" w:right="214"/>
                          <w:rPr>
                            <w:sz w:val="18"/>
                          </w:rPr>
                        </w:pPr>
                        <w:r>
                          <w:rPr>
                            <w:spacing w:val="-1"/>
                            <w:sz w:val="18"/>
                          </w:rPr>
                          <w:t>Antes</w:t>
                        </w:r>
                      </w:p>
                    </w:tc>
                    <w:tc>
                      <w:tcPr>
                        <w:tcW w:w="566" w:type="dxa"/>
                        <w:tcBorders>
                          <w:top w:val="single" w:sz="4" w:space="0" w:color="000000"/>
                          <w:left w:val="single" w:sz="4" w:space="0" w:color="000000"/>
                          <w:bottom w:val="single" w:sz="4" w:space="0" w:color="000000"/>
                          <w:right w:val="single" w:sz="4" w:space="0" w:color="000000"/>
                        </w:tcBorders>
                        <w:shd w:val="clear" w:color="auto" w:fill="FFBF00"/>
                        <w:textDirection w:val="btLr"/>
                      </w:tcPr>
                      <w:p>
                        <w:pPr>
                          <w:pStyle w:val="TableParagraph"/>
                          <w:spacing w:before="105"/>
                          <w:ind w:left="158" w:right="115"/>
                          <w:rPr>
                            <w:sz w:val="18"/>
                          </w:rPr>
                        </w:pPr>
                        <w:r>
                          <w:rPr>
                            <w:spacing w:val="-1"/>
                            <w:sz w:val="18"/>
                          </w:rPr>
                          <w:t>Despues</w:t>
                        </w:r>
                      </w:p>
                    </w:tc>
                    <w:tc>
                      <w:tcPr>
                        <w:tcW w:w="718" w:type="dxa"/>
                        <w:tcBorders>
                          <w:top w:val="single" w:sz="4" w:space="0" w:color="000000"/>
                          <w:left w:val="single" w:sz="4" w:space="0" w:color="000000"/>
                          <w:bottom w:val="single" w:sz="4" w:space="0" w:color="000000"/>
                          <w:right w:val="single" w:sz="4" w:space="0" w:color="000000"/>
                        </w:tcBorders>
                        <w:shd w:val="clear" w:color="auto" w:fill="FFBF00"/>
                        <w:textDirection w:val="btLr"/>
                      </w:tcPr>
                      <w:p>
                        <w:pPr>
                          <w:pStyle w:val="TableParagraph"/>
                          <w:spacing w:before="105"/>
                          <w:ind w:left="202" w:right="136"/>
                          <w:rPr>
                            <w:sz w:val="18"/>
                          </w:rPr>
                        </w:pPr>
                        <w:r>
                          <w:rPr>
                            <w:spacing w:val="-1"/>
                            <w:sz w:val="18"/>
                          </w:rPr>
                          <w:t>M</w:t>
                        </w:r>
                        <w:r>
                          <w:rPr>
                            <w:sz w:val="18"/>
                          </w:rPr>
                          <w:t>e</w:t>
                        </w:r>
                        <w:r>
                          <w:rPr>
                            <w:spacing w:val="-1"/>
                            <w:sz w:val="18"/>
                          </w:rPr>
                          <w:t>jora</w:t>
                        </w:r>
                      </w:p>
                    </w:tc>
                  </w:tr>
                  <w:tr>
                    <w:trPr>
                      <w:trHeight w:val="307" w:hRule="exact"/>
                    </w:trPr>
                    <w:tc>
                      <w:tcPr>
                        <w:tcW w:w="1276" w:type="dxa"/>
                        <w:tcBorders>
                          <w:top w:val="single" w:sz="4" w:space="0" w:color="000000"/>
                          <w:left w:val="single" w:sz="4" w:space="0" w:color="000000"/>
                          <w:bottom w:val="single" w:sz="4" w:space="0" w:color="000000"/>
                          <w:right w:val="single" w:sz="4" w:space="0" w:color="000000"/>
                        </w:tcBorders>
                      </w:tcPr>
                      <w:p>
                        <w:pPr>
                          <w:pStyle w:val="TableParagraph"/>
                          <w:spacing w:line="202" w:lineRule="exact"/>
                          <w:ind w:left="103"/>
                          <w:rPr>
                            <w:sz w:val="18"/>
                          </w:rPr>
                        </w:pPr>
                        <w:r>
                          <w:rPr>
                            <w:sz w:val="18"/>
                          </w:rPr>
                          <w:t>A</w:t>
                        </w:r>
                      </w:p>
                    </w:tc>
                    <w:tc>
                      <w:tcPr>
                        <w:tcW w:w="568" w:type="dxa"/>
                        <w:tcBorders>
                          <w:top w:val="single" w:sz="4" w:space="0" w:color="000000"/>
                          <w:left w:val="single" w:sz="4" w:space="0" w:color="000000"/>
                          <w:bottom w:val="single" w:sz="4" w:space="0" w:color="000000"/>
                          <w:right w:val="single" w:sz="4" w:space="0" w:color="000000"/>
                        </w:tcBorders>
                      </w:tcPr>
                      <w:p>
                        <w:pPr>
                          <w:pStyle w:val="TableParagraph"/>
                          <w:spacing w:line="202" w:lineRule="exact"/>
                          <w:ind w:left="235"/>
                          <w:rPr>
                            <w:sz w:val="18"/>
                          </w:rPr>
                        </w:pPr>
                        <w:r>
                          <w:rPr>
                            <w:sz w:val="18"/>
                          </w:rPr>
                          <w:t>7</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line="202" w:lineRule="exact"/>
                          <w:ind w:left="1"/>
                          <w:jc w:val="center"/>
                          <w:rPr>
                            <w:sz w:val="18"/>
                          </w:rPr>
                        </w:pPr>
                        <w:r>
                          <w:rPr>
                            <w:sz w:val="18"/>
                          </w:rPr>
                          <w:t>3</w:t>
                        </w:r>
                      </w:p>
                    </w:tc>
                    <w:tc>
                      <w:tcPr>
                        <w:tcW w:w="709"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right="169"/>
                          <w:jc w:val="right"/>
                          <w:rPr>
                            <w:rFonts w:ascii="Arial"/>
                            <w:sz w:val="18"/>
                          </w:rPr>
                        </w:pPr>
                        <w:r>
                          <w:rPr>
                            <w:rFonts w:ascii="Arial"/>
                            <w:sz w:val="18"/>
                          </w:rPr>
                          <w:t>57%</w:t>
                        </w:r>
                      </w:p>
                    </w:tc>
                    <w:tc>
                      <w:tcPr>
                        <w:tcW w:w="568" w:type="dxa"/>
                        <w:tcBorders>
                          <w:top w:val="single" w:sz="4" w:space="0" w:color="000000"/>
                          <w:left w:val="single" w:sz="4" w:space="0" w:color="000000"/>
                          <w:bottom w:val="single" w:sz="4" w:space="0" w:color="000000"/>
                          <w:right w:val="single" w:sz="4" w:space="0" w:color="000000"/>
                        </w:tcBorders>
                      </w:tcPr>
                      <w:p>
                        <w:pPr>
                          <w:pStyle w:val="TableParagraph"/>
                          <w:spacing w:line="202" w:lineRule="exact"/>
                          <w:jc w:val="center"/>
                          <w:rPr>
                            <w:sz w:val="18"/>
                          </w:rPr>
                        </w:pPr>
                        <w:r>
                          <w:rPr>
                            <w:sz w:val="18"/>
                          </w:rPr>
                          <w:t>4</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line="202" w:lineRule="exact"/>
                          <w:ind w:left="1"/>
                          <w:jc w:val="center"/>
                          <w:rPr>
                            <w:sz w:val="18"/>
                          </w:rPr>
                        </w:pPr>
                        <w:r>
                          <w:rPr>
                            <w:sz w:val="18"/>
                          </w:rPr>
                          <w:t>2</w:t>
                        </w:r>
                      </w:p>
                    </w:tc>
                    <w:tc>
                      <w:tcPr>
                        <w:tcW w:w="718"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left="169"/>
                          <w:rPr>
                            <w:rFonts w:ascii="Arial"/>
                            <w:sz w:val="18"/>
                          </w:rPr>
                        </w:pPr>
                        <w:r>
                          <w:rPr>
                            <w:rFonts w:ascii="Arial"/>
                            <w:sz w:val="18"/>
                          </w:rPr>
                          <w:t>50%</w:t>
                        </w:r>
                      </w:p>
                    </w:tc>
                  </w:tr>
                  <w:tr>
                    <w:trPr>
                      <w:trHeight w:val="299" w:hRule="exact"/>
                    </w:trPr>
                    <w:tc>
                      <w:tcPr>
                        <w:tcW w:w="1276" w:type="dxa"/>
                        <w:tcBorders>
                          <w:top w:val="single" w:sz="4" w:space="0" w:color="000000"/>
                          <w:left w:val="single" w:sz="4" w:space="0" w:color="000000"/>
                          <w:bottom w:val="single" w:sz="4" w:space="0" w:color="000000"/>
                          <w:right w:val="single" w:sz="4" w:space="0" w:color="000000"/>
                        </w:tcBorders>
                      </w:tcPr>
                      <w:p>
                        <w:pPr>
                          <w:pStyle w:val="TableParagraph"/>
                          <w:spacing w:before="36"/>
                          <w:ind w:left="103"/>
                          <w:rPr>
                            <w:sz w:val="18"/>
                          </w:rPr>
                        </w:pPr>
                        <w:r>
                          <w:rPr>
                            <w:sz w:val="18"/>
                          </w:rPr>
                          <w:t>B</w:t>
                        </w:r>
                      </w:p>
                    </w:tc>
                    <w:tc>
                      <w:tcPr>
                        <w:tcW w:w="568" w:type="dxa"/>
                        <w:tcBorders>
                          <w:top w:val="single" w:sz="4" w:space="0" w:color="000000"/>
                          <w:left w:val="single" w:sz="4" w:space="0" w:color="000000"/>
                          <w:bottom w:val="single" w:sz="4" w:space="0" w:color="000000"/>
                          <w:right w:val="single" w:sz="4" w:space="0" w:color="000000"/>
                        </w:tcBorders>
                      </w:tcPr>
                      <w:p>
                        <w:pPr>
                          <w:pStyle w:val="TableParagraph"/>
                          <w:spacing w:before="36"/>
                          <w:ind w:left="235"/>
                          <w:rPr>
                            <w:sz w:val="18"/>
                          </w:rPr>
                        </w:pPr>
                        <w:r>
                          <w:rPr>
                            <w:sz w:val="18"/>
                          </w:rPr>
                          <w:t>2</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36"/>
                          <w:ind w:left="1"/>
                          <w:jc w:val="center"/>
                          <w:rPr>
                            <w:sz w:val="18"/>
                          </w:rPr>
                        </w:pPr>
                        <w:r>
                          <w:rPr>
                            <w:sz w:val="18"/>
                          </w:rPr>
                          <w:t>2</w:t>
                        </w:r>
                      </w:p>
                    </w:tc>
                    <w:tc>
                      <w:tcPr>
                        <w:tcW w:w="70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218"/>
                          <w:jc w:val="right"/>
                          <w:rPr>
                            <w:rFonts w:ascii="Arial"/>
                            <w:sz w:val="18"/>
                          </w:rPr>
                        </w:pPr>
                        <w:r>
                          <w:rPr>
                            <w:rFonts w:ascii="Arial"/>
                            <w:sz w:val="18"/>
                          </w:rPr>
                          <w:t>0%</w:t>
                        </w:r>
                      </w:p>
                    </w:tc>
                    <w:tc>
                      <w:tcPr>
                        <w:tcW w:w="568"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jc w:val="center"/>
                          <w:rPr>
                            <w:sz w:val="18"/>
                          </w:rPr>
                        </w:pPr>
                        <w:r>
                          <w:rPr>
                            <w:sz w:val="18"/>
                          </w:rPr>
                          <w:t>4</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
                          <w:jc w:val="center"/>
                          <w:rPr>
                            <w:sz w:val="18"/>
                          </w:rPr>
                        </w:pPr>
                        <w:r>
                          <w:rPr>
                            <w:sz w:val="18"/>
                          </w:rPr>
                          <w:t>2</w:t>
                        </w:r>
                      </w:p>
                    </w:tc>
                    <w:tc>
                      <w:tcPr>
                        <w:tcW w:w="71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69"/>
                          <w:rPr>
                            <w:rFonts w:ascii="Arial"/>
                            <w:sz w:val="18"/>
                          </w:rPr>
                        </w:pPr>
                        <w:r>
                          <w:rPr>
                            <w:rFonts w:ascii="Arial"/>
                            <w:sz w:val="18"/>
                          </w:rPr>
                          <w:t>50%</w:t>
                        </w:r>
                      </w:p>
                    </w:tc>
                  </w:tr>
                  <w:tr>
                    <w:trPr>
                      <w:trHeight w:val="274" w:hRule="exact"/>
                    </w:trPr>
                    <w:tc>
                      <w:tcPr>
                        <w:tcW w:w="1276" w:type="dxa"/>
                        <w:tcBorders>
                          <w:top w:val="single" w:sz="4" w:space="0" w:color="000000"/>
                          <w:left w:val="single" w:sz="4" w:space="0" w:color="000000"/>
                          <w:bottom w:val="single" w:sz="4" w:space="0" w:color="000000"/>
                          <w:right w:val="single" w:sz="4" w:space="0" w:color="000000"/>
                        </w:tcBorders>
                      </w:tcPr>
                      <w:p>
                        <w:pPr>
                          <w:pStyle w:val="TableParagraph"/>
                          <w:spacing w:line="202" w:lineRule="exact"/>
                          <w:ind w:left="103"/>
                          <w:rPr>
                            <w:sz w:val="18"/>
                          </w:rPr>
                        </w:pPr>
                        <w:r>
                          <w:rPr>
                            <w:sz w:val="18"/>
                          </w:rPr>
                          <w:t>C</w:t>
                        </w:r>
                      </w:p>
                    </w:tc>
                    <w:tc>
                      <w:tcPr>
                        <w:tcW w:w="568" w:type="dxa"/>
                        <w:tcBorders>
                          <w:top w:val="single" w:sz="4" w:space="0" w:color="000000"/>
                          <w:left w:val="single" w:sz="4" w:space="0" w:color="000000"/>
                          <w:bottom w:val="single" w:sz="4" w:space="0" w:color="000000"/>
                          <w:right w:val="single" w:sz="4" w:space="0" w:color="000000"/>
                        </w:tcBorders>
                      </w:tcPr>
                      <w:p>
                        <w:pPr>
                          <w:pStyle w:val="TableParagraph"/>
                          <w:spacing w:before="24"/>
                          <w:ind w:left="189"/>
                          <w:rPr>
                            <w:sz w:val="18"/>
                          </w:rPr>
                        </w:pPr>
                        <w:r>
                          <w:rPr>
                            <w:sz w:val="18"/>
                          </w:rPr>
                          <w:t>10</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24"/>
                          <w:ind w:left="1"/>
                          <w:jc w:val="center"/>
                          <w:rPr>
                            <w:sz w:val="18"/>
                          </w:rPr>
                        </w:pPr>
                        <w:r>
                          <w:rPr>
                            <w:sz w:val="18"/>
                          </w:rPr>
                          <w:t>6</w:t>
                        </w:r>
                      </w:p>
                    </w:tc>
                    <w:tc>
                      <w:tcPr>
                        <w:tcW w:w="709"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right="169"/>
                          <w:jc w:val="right"/>
                          <w:rPr>
                            <w:rFonts w:ascii="Arial"/>
                            <w:sz w:val="18"/>
                          </w:rPr>
                        </w:pPr>
                        <w:r>
                          <w:rPr>
                            <w:rFonts w:ascii="Arial"/>
                            <w:sz w:val="18"/>
                          </w:rPr>
                          <w:t>40%</w:t>
                        </w:r>
                      </w:p>
                    </w:tc>
                    <w:tc>
                      <w:tcPr>
                        <w:tcW w:w="568" w:type="dxa"/>
                        <w:tcBorders>
                          <w:top w:val="single" w:sz="4" w:space="0" w:color="000000"/>
                          <w:left w:val="single" w:sz="4" w:space="0" w:color="000000"/>
                          <w:bottom w:val="single" w:sz="4" w:space="0" w:color="000000"/>
                          <w:right w:val="single" w:sz="4" w:space="0" w:color="000000"/>
                        </w:tcBorders>
                      </w:tcPr>
                      <w:p>
                        <w:pPr>
                          <w:pStyle w:val="TableParagraph"/>
                          <w:spacing w:line="202" w:lineRule="exact"/>
                          <w:jc w:val="center"/>
                          <w:rPr>
                            <w:sz w:val="18"/>
                          </w:rPr>
                        </w:pPr>
                        <w:r>
                          <w:rPr>
                            <w:sz w:val="18"/>
                          </w:rPr>
                          <w:t>5</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line="202" w:lineRule="exact"/>
                          <w:ind w:left="1"/>
                          <w:jc w:val="center"/>
                          <w:rPr>
                            <w:sz w:val="18"/>
                          </w:rPr>
                        </w:pPr>
                        <w:r>
                          <w:rPr>
                            <w:sz w:val="18"/>
                          </w:rPr>
                          <w:t>3</w:t>
                        </w:r>
                      </w:p>
                    </w:tc>
                    <w:tc>
                      <w:tcPr>
                        <w:tcW w:w="718"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left="169"/>
                          <w:rPr>
                            <w:rFonts w:ascii="Arial"/>
                            <w:sz w:val="18"/>
                          </w:rPr>
                        </w:pPr>
                        <w:r>
                          <w:rPr>
                            <w:rFonts w:ascii="Arial"/>
                            <w:sz w:val="18"/>
                          </w:rPr>
                          <w:t>40%</w:t>
                        </w:r>
                      </w:p>
                    </w:tc>
                  </w:tr>
                  <w:tr>
                    <w:trPr>
                      <w:trHeight w:val="278" w:hRule="exact"/>
                    </w:trPr>
                    <w:tc>
                      <w:tcPr>
                        <w:tcW w:w="1276" w:type="dxa"/>
                        <w:tcBorders>
                          <w:top w:val="single" w:sz="4" w:space="0" w:color="000000"/>
                          <w:left w:val="single" w:sz="4" w:space="0" w:color="000000"/>
                          <w:bottom w:val="single" w:sz="4" w:space="0" w:color="000000"/>
                          <w:right w:val="single" w:sz="4" w:space="0" w:color="000000"/>
                        </w:tcBorders>
                      </w:tcPr>
                      <w:p>
                        <w:pPr>
                          <w:pStyle w:val="TableParagraph"/>
                          <w:spacing w:before="26"/>
                          <w:ind w:left="103"/>
                          <w:rPr>
                            <w:sz w:val="18"/>
                          </w:rPr>
                        </w:pPr>
                        <w:r>
                          <w:rPr>
                            <w:sz w:val="18"/>
                          </w:rPr>
                          <w:t>D</w:t>
                        </w:r>
                      </w:p>
                    </w:tc>
                    <w:tc>
                      <w:tcPr>
                        <w:tcW w:w="568" w:type="dxa"/>
                        <w:tcBorders>
                          <w:top w:val="single" w:sz="4" w:space="0" w:color="000000"/>
                          <w:left w:val="single" w:sz="4" w:space="0" w:color="000000"/>
                          <w:bottom w:val="single" w:sz="4" w:space="0" w:color="000000"/>
                          <w:right w:val="single" w:sz="4" w:space="0" w:color="000000"/>
                        </w:tcBorders>
                      </w:tcPr>
                      <w:p>
                        <w:pPr>
                          <w:pStyle w:val="TableParagraph"/>
                          <w:spacing w:before="26"/>
                          <w:ind w:left="235"/>
                          <w:rPr>
                            <w:sz w:val="18"/>
                          </w:rPr>
                        </w:pPr>
                        <w:r>
                          <w:rPr>
                            <w:sz w:val="18"/>
                          </w:rPr>
                          <w:t>5</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26"/>
                          <w:ind w:left="1"/>
                          <w:jc w:val="center"/>
                          <w:rPr>
                            <w:sz w:val="18"/>
                          </w:rPr>
                        </w:pPr>
                        <w:r>
                          <w:rPr>
                            <w:sz w:val="18"/>
                          </w:rPr>
                          <w:t>5</w:t>
                        </w:r>
                      </w:p>
                    </w:tc>
                    <w:tc>
                      <w:tcPr>
                        <w:tcW w:w="709"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right="218"/>
                          <w:jc w:val="right"/>
                          <w:rPr>
                            <w:rFonts w:ascii="Arial"/>
                            <w:sz w:val="18"/>
                          </w:rPr>
                        </w:pPr>
                        <w:r>
                          <w:rPr>
                            <w:rFonts w:ascii="Arial"/>
                            <w:sz w:val="18"/>
                          </w:rPr>
                          <w:t>0%</w:t>
                        </w:r>
                      </w:p>
                    </w:tc>
                    <w:tc>
                      <w:tcPr>
                        <w:tcW w:w="568" w:type="dxa"/>
                        <w:tcBorders>
                          <w:top w:val="single" w:sz="4" w:space="0" w:color="000000"/>
                          <w:left w:val="single" w:sz="4" w:space="0" w:color="000000"/>
                          <w:bottom w:val="single" w:sz="4" w:space="0" w:color="000000"/>
                          <w:right w:val="single" w:sz="4" w:space="0" w:color="000000"/>
                        </w:tcBorders>
                      </w:tcPr>
                      <w:p>
                        <w:pPr>
                          <w:pStyle w:val="TableParagraph"/>
                          <w:spacing w:line="202" w:lineRule="exact"/>
                          <w:jc w:val="center"/>
                          <w:rPr>
                            <w:sz w:val="18"/>
                          </w:rPr>
                        </w:pPr>
                        <w:r>
                          <w:rPr>
                            <w:sz w:val="18"/>
                          </w:rPr>
                          <w:t>5</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line="202" w:lineRule="exact"/>
                          <w:ind w:left="1"/>
                          <w:jc w:val="center"/>
                          <w:rPr>
                            <w:sz w:val="18"/>
                          </w:rPr>
                        </w:pPr>
                        <w:r>
                          <w:rPr>
                            <w:sz w:val="18"/>
                          </w:rPr>
                          <w:t>3</w:t>
                        </w:r>
                      </w:p>
                    </w:tc>
                    <w:tc>
                      <w:tcPr>
                        <w:tcW w:w="718"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left="169"/>
                          <w:rPr>
                            <w:rFonts w:ascii="Arial"/>
                            <w:sz w:val="18"/>
                          </w:rPr>
                        </w:pPr>
                        <w:r>
                          <w:rPr>
                            <w:rFonts w:ascii="Arial"/>
                            <w:sz w:val="18"/>
                          </w:rPr>
                          <w:t>40%</w:t>
                        </w:r>
                      </w:p>
                    </w:tc>
                  </w:tr>
                  <w:tr>
                    <w:trPr>
                      <w:trHeight w:val="282" w:hRule="exact"/>
                    </w:trPr>
                    <w:tc>
                      <w:tcPr>
                        <w:tcW w:w="1276" w:type="dxa"/>
                        <w:tcBorders>
                          <w:top w:val="single" w:sz="4" w:space="0" w:color="000000"/>
                          <w:left w:val="single" w:sz="4" w:space="0" w:color="000000"/>
                          <w:bottom w:val="single" w:sz="4" w:space="0" w:color="000000"/>
                          <w:right w:val="single" w:sz="4" w:space="0" w:color="000000"/>
                        </w:tcBorders>
                      </w:tcPr>
                      <w:p>
                        <w:pPr>
                          <w:pStyle w:val="TableParagraph"/>
                          <w:spacing w:line="202" w:lineRule="exact"/>
                          <w:ind w:left="103" w:right="156"/>
                          <w:rPr>
                            <w:sz w:val="18"/>
                          </w:rPr>
                        </w:pPr>
                        <w:r>
                          <w:rPr>
                            <w:sz w:val="18"/>
                          </w:rPr>
                          <w:t>Final</w:t>
                        </w:r>
                      </w:p>
                    </w:tc>
                    <w:tc>
                      <w:tcPr>
                        <w:tcW w:w="568" w:type="dxa"/>
                        <w:tcBorders>
                          <w:top w:val="single" w:sz="4" w:space="0" w:color="000000"/>
                          <w:left w:val="single" w:sz="4" w:space="0" w:color="000000"/>
                          <w:bottom w:val="single" w:sz="4" w:space="0" w:color="000000"/>
                          <w:right w:val="single" w:sz="4" w:space="0" w:color="000000"/>
                        </w:tcBorders>
                      </w:tcPr>
                      <w:p>
                        <w:pPr>
                          <w:pStyle w:val="TableParagraph"/>
                          <w:spacing w:before="27"/>
                          <w:ind w:left="235"/>
                          <w:rPr>
                            <w:sz w:val="18"/>
                          </w:rPr>
                        </w:pPr>
                        <w:r>
                          <w:rPr>
                            <w:sz w:val="18"/>
                          </w:rPr>
                          <w:t>7</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27"/>
                          <w:ind w:left="1"/>
                          <w:jc w:val="center"/>
                          <w:rPr>
                            <w:sz w:val="18"/>
                          </w:rPr>
                        </w:pPr>
                        <w:r>
                          <w:rPr>
                            <w:sz w:val="18"/>
                          </w:rPr>
                          <w:t>7</w:t>
                        </w:r>
                      </w:p>
                    </w:tc>
                    <w:tc>
                      <w:tcPr>
                        <w:tcW w:w="709"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right="218"/>
                          <w:jc w:val="right"/>
                          <w:rPr>
                            <w:rFonts w:ascii="Arial"/>
                            <w:sz w:val="18"/>
                          </w:rPr>
                        </w:pPr>
                        <w:r>
                          <w:rPr>
                            <w:rFonts w:ascii="Arial"/>
                            <w:sz w:val="18"/>
                          </w:rPr>
                          <w:t>0%</w:t>
                        </w:r>
                      </w:p>
                    </w:tc>
                    <w:tc>
                      <w:tcPr>
                        <w:tcW w:w="568" w:type="dxa"/>
                        <w:tcBorders>
                          <w:top w:val="single" w:sz="4" w:space="0" w:color="000000"/>
                          <w:left w:val="single" w:sz="4" w:space="0" w:color="000000"/>
                          <w:bottom w:val="single" w:sz="4" w:space="0" w:color="000000"/>
                          <w:right w:val="single" w:sz="4" w:space="0" w:color="000000"/>
                        </w:tcBorders>
                      </w:tcPr>
                      <w:p>
                        <w:pPr>
                          <w:pStyle w:val="TableParagraph"/>
                          <w:spacing w:line="202" w:lineRule="exact"/>
                          <w:jc w:val="center"/>
                          <w:rPr>
                            <w:sz w:val="18"/>
                          </w:rPr>
                        </w:pPr>
                        <w:r>
                          <w:rPr>
                            <w:sz w:val="18"/>
                          </w:rPr>
                          <w:t>6</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line="202" w:lineRule="exact"/>
                          <w:ind w:left="1"/>
                          <w:jc w:val="center"/>
                          <w:rPr>
                            <w:sz w:val="18"/>
                          </w:rPr>
                        </w:pPr>
                        <w:r>
                          <w:rPr>
                            <w:sz w:val="18"/>
                          </w:rPr>
                          <w:t>3</w:t>
                        </w:r>
                      </w:p>
                    </w:tc>
                    <w:tc>
                      <w:tcPr>
                        <w:tcW w:w="718"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left="169"/>
                          <w:rPr>
                            <w:rFonts w:ascii="Arial"/>
                            <w:sz w:val="18"/>
                          </w:rPr>
                        </w:pPr>
                        <w:r>
                          <w:rPr>
                            <w:rFonts w:ascii="Arial"/>
                            <w:sz w:val="18"/>
                          </w:rPr>
                          <w:t>50%</w:t>
                        </w:r>
                      </w:p>
                    </w:tc>
                  </w:tr>
                  <w:tr>
                    <w:trPr>
                      <w:trHeight w:val="286" w:hRule="exact"/>
                    </w:trPr>
                    <w:tc>
                      <w:tcPr>
                        <w:tcW w:w="1276" w:type="dxa"/>
                        <w:tcBorders>
                          <w:top w:val="single" w:sz="4" w:space="0" w:color="000000"/>
                          <w:left w:val="single" w:sz="4" w:space="0" w:color="000000"/>
                          <w:bottom w:val="single" w:sz="4" w:space="0" w:color="000000"/>
                          <w:right w:val="single" w:sz="4" w:space="0" w:color="000000"/>
                        </w:tcBorders>
                      </w:tcPr>
                      <w:p>
                        <w:pPr>
                          <w:pStyle w:val="TableParagraph"/>
                          <w:spacing w:before="30"/>
                          <w:ind w:left="103" w:right="156"/>
                          <w:rPr>
                            <w:sz w:val="18"/>
                          </w:rPr>
                        </w:pPr>
                        <w:r>
                          <w:rPr>
                            <w:sz w:val="18"/>
                          </w:rPr>
                          <w:t>Nivel</w:t>
                        </w:r>
                      </w:p>
                    </w:tc>
                    <w:tc>
                      <w:tcPr>
                        <w:tcW w:w="568" w:type="dxa"/>
                        <w:tcBorders>
                          <w:top w:val="single" w:sz="4" w:space="0" w:color="000000"/>
                          <w:left w:val="single" w:sz="4" w:space="0" w:color="000000"/>
                          <w:bottom w:val="single" w:sz="4" w:space="0" w:color="000000"/>
                          <w:right w:val="single" w:sz="4" w:space="0" w:color="000000"/>
                        </w:tcBorders>
                      </w:tcPr>
                      <w:p>
                        <w:pPr>
                          <w:pStyle w:val="TableParagraph"/>
                          <w:spacing w:before="30"/>
                          <w:ind w:left="234"/>
                          <w:rPr>
                            <w:sz w:val="18"/>
                          </w:rPr>
                        </w:pPr>
                        <w:r>
                          <w:rPr>
                            <w:sz w:val="18"/>
                          </w:rPr>
                          <w:t>4</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30"/>
                          <w:jc w:val="center"/>
                          <w:rPr>
                            <w:sz w:val="18"/>
                          </w:rPr>
                        </w:pPr>
                        <w:r>
                          <w:rPr>
                            <w:sz w:val="18"/>
                          </w:rPr>
                          <w:t>4</w:t>
                        </w:r>
                      </w:p>
                    </w:tc>
                    <w:tc>
                      <w:tcPr>
                        <w:tcW w:w="709"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right="218"/>
                          <w:jc w:val="right"/>
                          <w:rPr>
                            <w:rFonts w:ascii="Arial"/>
                            <w:sz w:val="18"/>
                          </w:rPr>
                        </w:pPr>
                        <w:r>
                          <w:rPr>
                            <w:rFonts w:ascii="Arial"/>
                            <w:sz w:val="18"/>
                          </w:rPr>
                          <w:t>0%</w:t>
                        </w:r>
                      </w:p>
                    </w:tc>
                    <w:tc>
                      <w:tcPr>
                        <w:tcW w:w="568" w:type="dxa"/>
                        <w:tcBorders>
                          <w:top w:val="single" w:sz="4" w:space="0" w:color="000000"/>
                          <w:left w:val="single" w:sz="4" w:space="0" w:color="000000"/>
                          <w:bottom w:val="single" w:sz="4" w:space="0" w:color="000000"/>
                          <w:right w:val="single" w:sz="4" w:space="0" w:color="000000"/>
                        </w:tcBorders>
                      </w:tcPr>
                      <w:p>
                        <w:pPr>
                          <w:pStyle w:val="TableParagraph"/>
                          <w:spacing w:line="202" w:lineRule="exact"/>
                          <w:jc w:val="center"/>
                          <w:rPr>
                            <w:sz w:val="18"/>
                          </w:rPr>
                        </w:pPr>
                        <w:r>
                          <w:rPr>
                            <w:sz w:val="18"/>
                          </w:rPr>
                          <w:t>3</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line="202" w:lineRule="exact"/>
                          <w:ind w:left="1"/>
                          <w:jc w:val="center"/>
                          <w:rPr>
                            <w:sz w:val="18"/>
                          </w:rPr>
                        </w:pPr>
                        <w:r>
                          <w:rPr>
                            <w:sz w:val="18"/>
                          </w:rPr>
                          <w:t>2</w:t>
                        </w:r>
                      </w:p>
                    </w:tc>
                    <w:tc>
                      <w:tcPr>
                        <w:tcW w:w="718"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left="169"/>
                          <w:rPr>
                            <w:rFonts w:ascii="Arial"/>
                            <w:sz w:val="18"/>
                          </w:rPr>
                        </w:pPr>
                        <w:r>
                          <w:rPr>
                            <w:rFonts w:ascii="Arial"/>
                            <w:sz w:val="18"/>
                          </w:rPr>
                          <w:t>33%</w:t>
                        </w:r>
                      </w:p>
                    </w:tc>
                  </w:tr>
                </w:tbl>
                <w:p>
                  <w:pPr>
                    <w:pStyle w:val="BodyText"/>
                  </w:pPr>
                </w:p>
              </w:txbxContent>
            </v:textbox>
            <w10:wrap type="none"/>
          </v:shape>
        </w:pict>
      </w:r>
      <w:r>
        <w:rPr>
          <w:sz w:val="18"/>
        </w:rPr>
        <w:t>[7] Equipo de desarrollo de Productivity Press (Shingeo Shingo) “ Preparaciones    Rápidas    de    maquinas,    El    sistema   SMED”,</w:t>
      </w:r>
    </w:p>
    <w:p>
      <w:pPr>
        <w:spacing w:line="207" w:lineRule="exact" w:before="0"/>
        <w:ind w:left="5868" w:right="1218" w:firstLine="0"/>
        <w:jc w:val="left"/>
        <w:rPr>
          <w:sz w:val="18"/>
        </w:rPr>
      </w:pPr>
      <w:r>
        <w:rPr>
          <w:sz w:val="18"/>
        </w:rPr>
        <w:t>Productivity Press, 1997,pp.14-29</w:t>
      </w:r>
    </w:p>
    <w:p>
      <w:pPr>
        <w:spacing w:before="0"/>
        <w:ind w:left="6300" w:right="678" w:hanging="432"/>
        <w:jc w:val="both"/>
        <w:rPr>
          <w:sz w:val="18"/>
        </w:rPr>
      </w:pPr>
      <w:r>
        <w:rPr>
          <w:sz w:val="18"/>
        </w:rPr>
        <w:t>[8] (Hirano Hiroyuki) Equipo de desarrollo de Productivity Press (1999). 5 S para todos, </w:t>
      </w:r>
      <w:r>
        <w:rPr>
          <w:i/>
          <w:sz w:val="18"/>
        </w:rPr>
        <w:t>5 pilares de la fabrica visual </w:t>
      </w:r>
      <w:r>
        <w:rPr>
          <w:sz w:val="18"/>
        </w:rPr>
        <w:t>Productivity Press, pp.1-30</w:t>
      </w:r>
    </w:p>
    <w:p>
      <w:pPr>
        <w:spacing w:before="0"/>
        <w:ind w:left="5868" w:right="937" w:firstLine="0"/>
        <w:jc w:val="left"/>
        <w:rPr>
          <w:sz w:val="18"/>
        </w:rPr>
      </w:pPr>
      <w:r>
        <w:rPr>
          <w:sz w:val="18"/>
        </w:rPr>
        <w:t>[9] Luis Socconini; Marco Barrantes, “ El proceso de las 5 S en acciòn”, Grupo editorial norma, 2007, pp.1-35</w:t>
      </w:r>
    </w:p>
    <w:p>
      <w:pPr>
        <w:spacing w:line="207" w:lineRule="exact" w:before="0"/>
        <w:ind w:left="5868" w:right="314" w:firstLine="0"/>
        <w:jc w:val="left"/>
        <w:rPr>
          <w:sz w:val="18"/>
        </w:rPr>
      </w:pPr>
      <w:r>
        <w:rPr>
          <w:sz w:val="18"/>
        </w:rPr>
        <w:t>[10]  Villaseñor,    Contreras  Alberto,  “Lean  Manufacturing”   ed.</w:t>
      </w:r>
    </w:p>
    <w:p>
      <w:pPr>
        <w:spacing w:line="207" w:lineRule="exact" w:before="0"/>
        <w:ind w:left="5868" w:right="1218" w:firstLine="0"/>
        <w:jc w:val="left"/>
        <w:rPr>
          <w:sz w:val="18"/>
        </w:rPr>
      </w:pPr>
      <w:r>
        <w:rPr>
          <w:sz w:val="18"/>
        </w:rPr>
        <w:t>Limusa México, D.F.pp.16-93</w:t>
      </w:r>
    </w:p>
    <w:p>
      <w:pPr>
        <w:spacing w:before="0"/>
        <w:ind w:left="5868" w:right="1262" w:firstLine="0"/>
        <w:jc w:val="left"/>
        <w:rPr>
          <w:sz w:val="18"/>
        </w:rPr>
      </w:pPr>
      <w:r>
        <w:rPr>
          <w:sz w:val="18"/>
        </w:rPr>
        <w:t>[11] Shingeo Shingo “Una Revolución en la producción: El Sistema SMED”</w:t>
      </w:r>
    </w:p>
    <w:p>
      <w:pPr>
        <w:spacing w:before="0"/>
        <w:ind w:left="5868" w:right="314" w:firstLine="0"/>
        <w:jc w:val="left"/>
        <w:rPr>
          <w:sz w:val="18"/>
        </w:rPr>
      </w:pPr>
      <w:r>
        <w:rPr>
          <w:sz w:val="18"/>
        </w:rPr>
        <w:t>[12] Bernstein, Ralph “ Herramientas visuales en la manufactura esbelta”, Panorama, 2008, pp.11-37</w:t>
      </w:r>
    </w:p>
    <w:p>
      <w:pPr>
        <w:pStyle w:val="BodyText"/>
        <w:spacing w:before="7"/>
        <w:rPr>
          <w:sz w:val="9"/>
        </w:rPr>
      </w:pPr>
    </w:p>
    <w:p>
      <w:pPr>
        <w:spacing w:after="0"/>
        <w:rPr>
          <w:sz w:val="9"/>
        </w:rPr>
        <w:sectPr>
          <w:pgSz w:w="12240" w:h="15840"/>
          <w:pgMar w:header="545" w:footer="852" w:top="1060" w:bottom="1040" w:left="580" w:right="220"/>
        </w:sectPr>
      </w:pPr>
    </w:p>
    <w:p>
      <w:pPr>
        <w:pStyle w:val="ListParagraph"/>
        <w:numPr>
          <w:ilvl w:val="0"/>
          <w:numId w:val="61"/>
        </w:numPr>
        <w:tabs>
          <w:tab w:pos="631" w:val="left" w:leader="none"/>
        </w:tabs>
        <w:spacing w:line="240" w:lineRule="auto" w:before="77" w:after="0"/>
        <w:ind w:left="630" w:right="0" w:hanging="360"/>
        <w:jc w:val="both"/>
        <w:rPr>
          <w:sz w:val="18"/>
        </w:rPr>
      </w:pPr>
      <w:r>
        <w:rPr>
          <w:sz w:val="18"/>
        </w:rPr>
        <w:t>Diagnostics with reengineering and measures of performance before and after improvement allowed us to identify areas of opportunity to</w:t>
      </w:r>
      <w:r>
        <w:rPr>
          <w:spacing w:val="-19"/>
          <w:sz w:val="18"/>
        </w:rPr>
        <w:t> </w:t>
      </w:r>
      <w:r>
        <w:rPr>
          <w:sz w:val="18"/>
        </w:rPr>
        <w:t>improve</w:t>
      </w:r>
    </w:p>
    <w:p>
      <w:pPr>
        <w:pStyle w:val="ListParagraph"/>
        <w:numPr>
          <w:ilvl w:val="0"/>
          <w:numId w:val="61"/>
        </w:numPr>
        <w:tabs>
          <w:tab w:pos="631" w:val="left" w:leader="none"/>
        </w:tabs>
        <w:spacing w:line="240" w:lineRule="auto" w:before="0" w:after="0"/>
        <w:ind w:left="630" w:right="0" w:hanging="360"/>
        <w:jc w:val="both"/>
        <w:rPr>
          <w:sz w:val="18"/>
        </w:rPr>
      </w:pPr>
      <w:r>
        <w:rPr>
          <w:sz w:val="18"/>
        </w:rPr>
        <w:t>When applied SMED achieving the process to be best performance based on the production of</w:t>
      </w:r>
      <w:r>
        <w:rPr>
          <w:spacing w:val="-6"/>
          <w:sz w:val="18"/>
        </w:rPr>
        <w:t> </w:t>
      </w:r>
      <w:r>
        <w:rPr>
          <w:sz w:val="18"/>
        </w:rPr>
        <w:t>parts</w:t>
      </w:r>
    </w:p>
    <w:p>
      <w:pPr>
        <w:pStyle w:val="ListParagraph"/>
        <w:numPr>
          <w:ilvl w:val="0"/>
          <w:numId w:val="61"/>
        </w:numPr>
        <w:tabs>
          <w:tab w:pos="631" w:val="left" w:leader="none"/>
        </w:tabs>
        <w:spacing w:line="240" w:lineRule="auto" w:before="0" w:after="0"/>
        <w:ind w:left="630" w:right="1" w:hanging="360"/>
        <w:jc w:val="both"/>
        <w:rPr>
          <w:sz w:val="18"/>
        </w:rPr>
      </w:pPr>
      <w:r>
        <w:rPr>
          <w:sz w:val="18"/>
        </w:rPr>
        <w:t>Complexity of the process was reduced by applying the template in sequence</w:t>
      </w:r>
      <w:r>
        <w:rPr>
          <w:spacing w:val="-3"/>
          <w:sz w:val="18"/>
        </w:rPr>
        <w:t> </w:t>
      </w:r>
      <w:r>
        <w:rPr>
          <w:sz w:val="18"/>
        </w:rPr>
        <w:t>order</w:t>
      </w:r>
    </w:p>
    <w:p>
      <w:pPr>
        <w:pStyle w:val="ListParagraph"/>
        <w:numPr>
          <w:ilvl w:val="0"/>
          <w:numId w:val="61"/>
        </w:numPr>
        <w:tabs>
          <w:tab w:pos="631" w:val="left" w:leader="none"/>
        </w:tabs>
        <w:spacing w:line="240" w:lineRule="auto" w:before="0" w:after="0"/>
        <w:ind w:left="630" w:right="0" w:hanging="360"/>
        <w:jc w:val="both"/>
        <w:rPr>
          <w:sz w:val="18"/>
        </w:rPr>
      </w:pPr>
      <w:r>
        <w:rPr>
          <w:sz w:val="18"/>
        </w:rPr>
        <w:t>Increase the ability of the company to meet 7 cars to 8 cars daily, creating a new 1 increase automobile capacity journals Table</w:t>
      </w:r>
      <w:r>
        <w:rPr>
          <w:spacing w:val="-2"/>
          <w:sz w:val="18"/>
        </w:rPr>
        <w:t> </w:t>
      </w:r>
      <w:r>
        <w:rPr>
          <w:sz w:val="18"/>
        </w:rPr>
        <w:t>12.</w:t>
      </w:r>
    </w:p>
    <w:p>
      <w:pPr>
        <w:pStyle w:val="BodyText"/>
        <w:rPr>
          <w:sz w:val="18"/>
        </w:rPr>
      </w:pPr>
    </w:p>
    <w:p>
      <w:pPr>
        <w:spacing w:before="0"/>
        <w:ind w:left="2588" w:right="88" w:hanging="1852"/>
        <w:jc w:val="left"/>
        <w:rPr>
          <w:sz w:val="18"/>
        </w:rPr>
      </w:pPr>
      <w:r>
        <w:rPr>
          <w:sz w:val="18"/>
        </w:rPr>
        <w:t>Table 12. Results of measures of performance improvement systems.</w:t>
      </w:r>
    </w:p>
    <w:p>
      <w:pPr>
        <w:pStyle w:val="BodyText"/>
        <w:spacing w:before="4" w:after="1"/>
        <w:rPr>
          <w:sz w:val="18"/>
        </w:rPr>
      </w:pPr>
    </w:p>
    <w:tbl>
      <w:tblPr>
        <w:tblW w:w="0" w:type="auto"/>
        <w:jc w:val="left"/>
        <w:tblInd w:w="5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17"/>
        <w:gridCol w:w="1417"/>
        <w:gridCol w:w="1417"/>
      </w:tblGrid>
      <w:tr>
        <w:trPr>
          <w:trHeight w:val="217" w:hRule="exact"/>
        </w:trPr>
        <w:tc>
          <w:tcPr>
            <w:tcW w:w="1417" w:type="dxa"/>
            <w:vMerge w:val="restart"/>
            <w:shd w:val="clear" w:color="auto" w:fill="FFBF00"/>
          </w:tcPr>
          <w:p>
            <w:pPr>
              <w:pStyle w:val="TableParagraph"/>
              <w:spacing w:line="252" w:lineRule="auto"/>
              <w:ind w:left="198" w:right="179" w:firstLine="85"/>
              <w:rPr>
                <w:rFonts w:ascii="Arial"/>
                <w:sz w:val="18"/>
              </w:rPr>
            </w:pPr>
            <w:r>
              <w:rPr>
                <w:rFonts w:ascii="Arial"/>
                <w:sz w:val="18"/>
              </w:rPr>
              <w:t>Medida de Rendimiento</w:t>
            </w:r>
          </w:p>
        </w:tc>
        <w:tc>
          <w:tcPr>
            <w:tcW w:w="2834" w:type="dxa"/>
            <w:gridSpan w:val="2"/>
            <w:shd w:val="clear" w:color="auto" w:fill="FFBF00"/>
          </w:tcPr>
          <w:p>
            <w:pPr>
              <w:pStyle w:val="TableParagraph"/>
              <w:spacing w:line="205" w:lineRule="exact"/>
              <w:ind w:left="731"/>
              <w:rPr>
                <w:rFonts w:ascii="Arial"/>
                <w:sz w:val="18"/>
              </w:rPr>
            </w:pPr>
            <w:r>
              <w:rPr>
                <w:rFonts w:ascii="Arial"/>
                <w:sz w:val="18"/>
              </w:rPr>
              <w:t>Porciento Mejora</w:t>
            </w:r>
          </w:p>
        </w:tc>
      </w:tr>
      <w:tr>
        <w:trPr>
          <w:trHeight w:val="287" w:hRule="exact"/>
        </w:trPr>
        <w:tc>
          <w:tcPr>
            <w:tcW w:w="1417" w:type="dxa"/>
            <w:vMerge/>
            <w:shd w:val="clear" w:color="auto" w:fill="FFBF00"/>
          </w:tcPr>
          <w:p>
            <w:pPr/>
          </w:p>
        </w:tc>
        <w:tc>
          <w:tcPr>
            <w:tcW w:w="1417" w:type="dxa"/>
            <w:shd w:val="clear" w:color="auto" w:fill="FFBF00"/>
          </w:tcPr>
          <w:p>
            <w:pPr>
              <w:pStyle w:val="TableParagraph"/>
              <w:spacing w:line="205" w:lineRule="exact"/>
              <w:ind w:left="469" w:right="179"/>
              <w:rPr>
                <w:rFonts w:ascii="Arial"/>
                <w:sz w:val="18"/>
              </w:rPr>
            </w:pPr>
            <w:r>
              <w:rPr>
                <w:rFonts w:ascii="Arial"/>
                <w:sz w:val="18"/>
              </w:rPr>
              <w:t>Torno</w:t>
            </w:r>
          </w:p>
        </w:tc>
        <w:tc>
          <w:tcPr>
            <w:tcW w:w="1417" w:type="dxa"/>
            <w:shd w:val="clear" w:color="auto" w:fill="FFBF00"/>
          </w:tcPr>
          <w:p>
            <w:pPr>
              <w:pStyle w:val="TableParagraph"/>
              <w:spacing w:before="32"/>
              <w:ind w:left="163" w:right="163"/>
              <w:jc w:val="center"/>
              <w:rPr>
                <w:rFonts w:ascii="Arial"/>
                <w:sz w:val="18"/>
              </w:rPr>
            </w:pPr>
            <w:r>
              <w:rPr>
                <w:rFonts w:ascii="Arial"/>
                <w:sz w:val="18"/>
              </w:rPr>
              <w:t>Balanceado</w:t>
            </w:r>
          </w:p>
        </w:tc>
      </w:tr>
      <w:tr>
        <w:trPr>
          <w:trHeight w:val="424" w:hRule="exact"/>
        </w:trPr>
        <w:tc>
          <w:tcPr>
            <w:tcW w:w="1417" w:type="dxa"/>
          </w:tcPr>
          <w:p>
            <w:pPr>
              <w:pStyle w:val="TableParagraph"/>
              <w:ind w:left="103" w:right="384"/>
              <w:rPr>
                <w:rFonts w:ascii="Arial" w:hAnsi="Arial"/>
                <w:sz w:val="18"/>
              </w:rPr>
            </w:pPr>
            <w:r>
              <w:rPr>
                <w:rFonts w:ascii="Arial" w:hAnsi="Arial"/>
                <w:sz w:val="18"/>
              </w:rPr>
              <w:t>Razón de Producción</w:t>
            </w:r>
          </w:p>
        </w:tc>
        <w:tc>
          <w:tcPr>
            <w:tcW w:w="1417" w:type="dxa"/>
          </w:tcPr>
          <w:p>
            <w:pPr>
              <w:pStyle w:val="TableParagraph"/>
              <w:spacing w:before="10"/>
              <w:rPr>
                <w:sz w:val="17"/>
              </w:rPr>
            </w:pPr>
          </w:p>
          <w:p>
            <w:pPr>
              <w:pStyle w:val="TableParagraph"/>
              <w:ind w:left="448" w:right="179"/>
              <w:rPr>
                <w:rFonts w:ascii="Arial"/>
                <w:sz w:val="18"/>
              </w:rPr>
            </w:pPr>
            <w:r>
              <w:rPr>
                <w:rFonts w:ascii="Arial"/>
                <w:sz w:val="18"/>
              </w:rPr>
              <w:t>14.8%</w:t>
            </w:r>
          </w:p>
        </w:tc>
        <w:tc>
          <w:tcPr>
            <w:tcW w:w="1417" w:type="dxa"/>
          </w:tcPr>
          <w:p>
            <w:pPr>
              <w:pStyle w:val="TableParagraph"/>
              <w:spacing w:before="10"/>
              <w:rPr>
                <w:sz w:val="17"/>
              </w:rPr>
            </w:pPr>
          </w:p>
          <w:p>
            <w:pPr>
              <w:pStyle w:val="TableParagraph"/>
              <w:ind w:left="161" w:right="163"/>
              <w:jc w:val="center"/>
              <w:rPr>
                <w:rFonts w:ascii="Arial"/>
                <w:sz w:val="18"/>
              </w:rPr>
            </w:pPr>
            <w:r>
              <w:rPr>
                <w:rFonts w:ascii="Arial"/>
                <w:sz w:val="18"/>
              </w:rPr>
              <w:t>50%</w:t>
            </w:r>
          </w:p>
        </w:tc>
      </w:tr>
      <w:tr>
        <w:trPr>
          <w:trHeight w:val="425" w:hRule="exact"/>
        </w:trPr>
        <w:tc>
          <w:tcPr>
            <w:tcW w:w="1417" w:type="dxa"/>
          </w:tcPr>
          <w:p>
            <w:pPr>
              <w:pStyle w:val="TableParagraph"/>
              <w:ind w:left="103" w:right="384"/>
              <w:rPr>
                <w:rFonts w:ascii="Arial" w:hAnsi="Arial"/>
                <w:sz w:val="18"/>
              </w:rPr>
            </w:pPr>
            <w:r>
              <w:rPr>
                <w:rFonts w:ascii="Arial" w:hAnsi="Arial"/>
                <w:sz w:val="18"/>
              </w:rPr>
              <w:t>Capacidad Producción</w:t>
            </w:r>
          </w:p>
        </w:tc>
        <w:tc>
          <w:tcPr>
            <w:tcW w:w="1417" w:type="dxa"/>
          </w:tcPr>
          <w:p>
            <w:pPr>
              <w:pStyle w:val="TableParagraph"/>
              <w:spacing w:before="10"/>
              <w:rPr>
                <w:sz w:val="17"/>
              </w:rPr>
            </w:pPr>
          </w:p>
          <w:p>
            <w:pPr>
              <w:pStyle w:val="TableParagraph"/>
              <w:ind w:left="448" w:right="179"/>
              <w:rPr>
                <w:rFonts w:ascii="Arial"/>
                <w:sz w:val="18"/>
              </w:rPr>
            </w:pPr>
            <w:r>
              <w:rPr>
                <w:rFonts w:ascii="Arial"/>
                <w:sz w:val="18"/>
              </w:rPr>
              <w:t>15.1%</w:t>
            </w:r>
          </w:p>
        </w:tc>
        <w:tc>
          <w:tcPr>
            <w:tcW w:w="1417" w:type="dxa"/>
          </w:tcPr>
          <w:p>
            <w:pPr>
              <w:pStyle w:val="TableParagraph"/>
              <w:spacing w:before="10"/>
              <w:rPr>
                <w:sz w:val="17"/>
              </w:rPr>
            </w:pPr>
          </w:p>
          <w:p>
            <w:pPr>
              <w:pStyle w:val="TableParagraph"/>
              <w:ind w:left="162" w:right="163"/>
              <w:jc w:val="center"/>
              <w:rPr>
                <w:rFonts w:ascii="Arial"/>
                <w:sz w:val="18"/>
              </w:rPr>
            </w:pPr>
            <w:r>
              <w:rPr>
                <w:rFonts w:ascii="Arial"/>
                <w:sz w:val="18"/>
              </w:rPr>
              <w:t>65%</w:t>
            </w:r>
          </w:p>
        </w:tc>
      </w:tr>
      <w:tr>
        <w:trPr>
          <w:trHeight w:val="217" w:hRule="exact"/>
        </w:trPr>
        <w:tc>
          <w:tcPr>
            <w:tcW w:w="1417" w:type="dxa"/>
          </w:tcPr>
          <w:p>
            <w:pPr>
              <w:pStyle w:val="TableParagraph"/>
              <w:spacing w:line="205" w:lineRule="exact"/>
              <w:ind w:left="103" w:right="179"/>
              <w:rPr>
                <w:rFonts w:ascii="Arial" w:hAnsi="Arial"/>
                <w:sz w:val="18"/>
              </w:rPr>
            </w:pPr>
            <w:r>
              <w:rPr>
                <w:rFonts w:ascii="Arial" w:hAnsi="Arial"/>
                <w:sz w:val="18"/>
              </w:rPr>
              <w:t>Utilización</w:t>
            </w:r>
          </w:p>
        </w:tc>
        <w:tc>
          <w:tcPr>
            <w:tcW w:w="1417" w:type="dxa"/>
          </w:tcPr>
          <w:p>
            <w:pPr>
              <w:pStyle w:val="TableParagraph"/>
              <w:spacing w:line="205" w:lineRule="exact"/>
              <w:ind w:left="418" w:right="179"/>
              <w:rPr>
                <w:rFonts w:ascii="Arial"/>
                <w:sz w:val="18"/>
              </w:rPr>
            </w:pPr>
            <w:r>
              <w:rPr>
                <w:rFonts w:ascii="Arial"/>
                <w:sz w:val="18"/>
              </w:rPr>
              <w:t>-13.1%</w:t>
            </w:r>
          </w:p>
        </w:tc>
        <w:tc>
          <w:tcPr>
            <w:tcW w:w="1417" w:type="dxa"/>
          </w:tcPr>
          <w:p>
            <w:pPr>
              <w:pStyle w:val="TableParagraph"/>
              <w:spacing w:line="205" w:lineRule="exact"/>
              <w:ind w:left="163" w:right="163"/>
              <w:jc w:val="center"/>
              <w:rPr>
                <w:rFonts w:ascii="Arial"/>
                <w:sz w:val="18"/>
              </w:rPr>
            </w:pPr>
            <w:r>
              <w:rPr>
                <w:rFonts w:ascii="Arial"/>
                <w:sz w:val="18"/>
              </w:rPr>
              <w:t>-53.5%</w:t>
            </w:r>
          </w:p>
        </w:tc>
      </w:tr>
    </w:tbl>
    <w:p>
      <w:pPr>
        <w:pStyle w:val="BodyText"/>
        <w:rPr>
          <w:sz w:val="18"/>
        </w:rPr>
      </w:pPr>
    </w:p>
    <w:p>
      <w:pPr>
        <w:pStyle w:val="BodyText"/>
        <w:spacing w:before="6"/>
        <w:rPr>
          <w:sz w:val="17"/>
        </w:rPr>
      </w:pPr>
    </w:p>
    <w:p>
      <w:pPr>
        <w:pStyle w:val="ListParagraph"/>
        <w:numPr>
          <w:ilvl w:val="0"/>
          <w:numId w:val="61"/>
        </w:numPr>
        <w:tabs>
          <w:tab w:pos="631" w:val="left" w:leader="none"/>
        </w:tabs>
        <w:spacing w:line="240" w:lineRule="auto" w:before="0" w:after="0"/>
        <w:ind w:left="630" w:right="1" w:hanging="360"/>
        <w:jc w:val="both"/>
        <w:rPr>
          <w:sz w:val="18"/>
        </w:rPr>
      </w:pPr>
      <w:r>
        <w:rPr>
          <w:sz w:val="18"/>
        </w:rPr>
        <w:t>Reduce material handling loaded by hand and at considerable distances from the</w:t>
      </w:r>
      <w:r>
        <w:rPr>
          <w:spacing w:val="-5"/>
          <w:sz w:val="18"/>
        </w:rPr>
        <w:t> </w:t>
      </w:r>
      <w:r>
        <w:rPr>
          <w:sz w:val="18"/>
        </w:rPr>
        <w:t>use.</w:t>
      </w:r>
    </w:p>
    <w:p>
      <w:pPr>
        <w:pStyle w:val="ListParagraph"/>
        <w:numPr>
          <w:ilvl w:val="0"/>
          <w:numId w:val="61"/>
        </w:numPr>
        <w:tabs>
          <w:tab w:pos="631" w:val="left" w:leader="none"/>
        </w:tabs>
        <w:spacing w:line="240" w:lineRule="auto" w:before="0" w:after="0"/>
        <w:ind w:left="630" w:right="0" w:hanging="360"/>
        <w:jc w:val="left"/>
        <w:rPr>
          <w:sz w:val="18"/>
        </w:rPr>
      </w:pPr>
      <w:r>
        <w:rPr>
          <w:sz w:val="18"/>
        </w:rPr>
        <w:t>Better organization of the</w:t>
      </w:r>
      <w:r>
        <w:rPr>
          <w:spacing w:val="-4"/>
          <w:sz w:val="18"/>
        </w:rPr>
        <w:t> </w:t>
      </w:r>
      <w:r>
        <w:rPr>
          <w:sz w:val="18"/>
        </w:rPr>
        <w:t>workplace</w:t>
      </w:r>
    </w:p>
    <w:p>
      <w:pPr>
        <w:pStyle w:val="BodyText"/>
        <w:rPr>
          <w:sz w:val="18"/>
        </w:rPr>
      </w:pPr>
    </w:p>
    <w:p>
      <w:pPr>
        <w:pStyle w:val="BodyText"/>
        <w:spacing w:before="3"/>
        <w:rPr>
          <w:sz w:val="18"/>
        </w:rPr>
      </w:pPr>
    </w:p>
    <w:p>
      <w:pPr>
        <w:spacing w:before="0"/>
        <w:ind w:left="270" w:right="115" w:firstLine="0"/>
        <w:jc w:val="left"/>
        <w:rPr>
          <w:b/>
          <w:sz w:val="18"/>
        </w:rPr>
      </w:pPr>
      <w:r>
        <w:rPr>
          <w:b/>
          <w:color w:val="233F5E"/>
          <w:sz w:val="18"/>
        </w:rPr>
        <w:t>7. REFERENCES</w:t>
      </w:r>
    </w:p>
    <w:p>
      <w:pPr>
        <w:pStyle w:val="BodyText"/>
        <w:spacing w:before="7"/>
        <w:rPr>
          <w:b/>
          <w:sz w:val="17"/>
        </w:rPr>
      </w:pPr>
    </w:p>
    <w:p>
      <w:pPr>
        <w:spacing w:before="1"/>
        <w:ind w:left="270" w:right="115" w:firstLine="0"/>
        <w:jc w:val="left"/>
        <w:rPr>
          <w:sz w:val="18"/>
        </w:rPr>
      </w:pPr>
      <w:r>
        <w:rPr>
          <w:sz w:val="18"/>
        </w:rPr>
        <w:t>[1] Oliverio García. Carlos Uribe. Fernando Varela. Javier Pinto</w:t>
      </w:r>
      <w:r>
        <w:rPr>
          <w:i/>
          <w:sz w:val="18"/>
        </w:rPr>
        <w:t>. </w:t>
      </w:r>
      <w:r>
        <w:rPr>
          <w:i/>
          <w:sz w:val="18"/>
        </w:rPr>
        <w:t>Matriz de identificación y evaluación de peligros y riesgos</w:t>
      </w:r>
      <w:r>
        <w:rPr>
          <w:sz w:val="18"/>
        </w:rPr>
        <w:t>. 2008 [2] B. W Niebel, A. Freivalds Ingeniería Industrial, Métodos estándares y diseño del trabajo. Ed. Alfaomega. Onceava. Ciudad de México. 2004. pp</w:t>
      </w:r>
      <w:r>
        <w:rPr>
          <w:spacing w:val="-3"/>
          <w:sz w:val="18"/>
        </w:rPr>
        <w:t> </w:t>
      </w:r>
      <w:r>
        <w:rPr>
          <w:sz w:val="18"/>
        </w:rPr>
        <w:t>736</w:t>
      </w:r>
    </w:p>
    <w:p>
      <w:pPr>
        <w:spacing w:before="0"/>
        <w:ind w:left="270" w:right="0" w:firstLine="0"/>
        <w:jc w:val="both"/>
        <w:rPr>
          <w:sz w:val="18"/>
        </w:rPr>
      </w:pPr>
      <w:r>
        <w:rPr>
          <w:sz w:val="18"/>
        </w:rPr>
        <w:t>[3] Ministerio de Empleo y Seguridad Social de España, Instituto Nacional de Seguridad e Higiene en el Trabajo, Real Decreto 486 sobre las disposiciones mínimas de seguridad y salud en los lugares de trabajo. 1997</w:t>
      </w:r>
    </w:p>
    <w:p>
      <w:pPr>
        <w:spacing w:before="0"/>
        <w:ind w:left="270" w:right="0" w:firstLine="0"/>
        <w:jc w:val="both"/>
        <w:rPr>
          <w:sz w:val="18"/>
        </w:rPr>
      </w:pPr>
      <w:r>
        <w:rPr>
          <w:sz w:val="18"/>
        </w:rPr>
        <w:t>[4] Ministerio de trabajo e inmigración de España, Universidad Politécnica de Valencia, Métodos de evaluación ergonómica en línea y soluciones prácticas para mejorar la seguridad, la salud y las condiciones de trabajo. (Lista de verificación, método FANGER y método LEST). 2006</w:t>
      </w:r>
    </w:p>
    <w:p>
      <w:pPr>
        <w:spacing w:line="206" w:lineRule="exact" w:before="0"/>
        <w:ind w:left="270" w:right="115" w:firstLine="0"/>
        <w:jc w:val="left"/>
        <w:rPr>
          <w:sz w:val="18"/>
        </w:rPr>
      </w:pPr>
      <w:r>
        <w:rPr>
          <w:sz w:val="18"/>
        </w:rPr>
        <w:t>[5] </w:t>
      </w:r>
      <w:hyperlink r:id="rId207">
        <w:r>
          <w:rPr>
            <w:sz w:val="18"/>
          </w:rPr>
          <w:t>www.ergoprojects.com/contenido/articulo.php?id_</w:t>
        </w:r>
      </w:hyperlink>
    </w:p>
    <w:p>
      <w:pPr>
        <w:spacing w:line="207" w:lineRule="exact" w:before="0"/>
        <w:ind w:left="270" w:right="115" w:firstLine="0"/>
        <w:jc w:val="left"/>
        <w:rPr>
          <w:sz w:val="18"/>
        </w:rPr>
      </w:pPr>
      <w:r>
        <w:rPr>
          <w:sz w:val="18"/>
        </w:rPr>
        <w:t>articulo =26, (agosto 2013)</w:t>
      </w:r>
    </w:p>
    <w:p>
      <w:pPr>
        <w:spacing w:before="0"/>
        <w:ind w:left="270" w:right="115" w:firstLine="0"/>
        <w:jc w:val="left"/>
        <w:rPr>
          <w:sz w:val="18"/>
        </w:rPr>
      </w:pPr>
      <w:r>
        <w:rPr>
          <w:sz w:val="18"/>
        </w:rPr>
        <w:t>[6] RiesgoLab Consulting Group S.R.L., </w:t>
      </w:r>
      <w:hyperlink r:id="rId208">
        <w:r>
          <w:rPr>
            <w:sz w:val="18"/>
          </w:rPr>
          <w:t>www.ergosoft.com.ar,</w:t>
        </w:r>
      </w:hyperlink>
      <w:r>
        <w:rPr>
          <w:sz w:val="18"/>
        </w:rPr>
        <w:t> Buenos Aires, Argentina</w:t>
      </w:r>
    </w:p>
    <w:p>
      <w:pPr>
        <w:pStyle w:val="BodyText"/>
        <w:spacing w:before="3"/>
        <w:rPr>
          <w:sz w:val="26"/>
        </w:rPr>
      </w:pPr>
      <w:r>
        <w:rPr/>
        <w:br w:type="column"/>
      </w:r>
      <w:r>
        <w:rPr>
          <w:sz w:val="26"/>
        </w:rPr>
      </w:r>
    </w:p>
    <w:p>
      <w:pPr>
        <w:spacing w:before="1"/>
        <w:ind w:left="270" w:right="677" w:firstLine="0"/>
        <w:jc w:val="both"/>
        <w:rPr>
          <w:sz w:val="18"/>
        </w:rPr>
      </w:pPr>
      <w:r>
        <w:rPr>
          <w:b/>
          <w:sz w:val="18"/>
        </w:rPr>
        <w:t>Rigoberto Zamora Alarcón: </w:t>
      </w:r>
      <w:r>
        <w:rPr>
          <w:sz w:val="18"/>
        </w:rPr>
        <w:t>Engineer in electrical mechanics  with mechanics specialization by the Autonomous University of Baja California. Masters degree in System and Manufacturing Proccess by CETYS University (Faculty of Engineering ). He has collaborated in different academic and administrative functions for over 27 years in UABC; he has taken part in Lean Manufacturing and automatization projects. He has been a speak in different congresses</w:t>
      </w:r>
      <w:r>
        <w:rPr>
          <w:spacing w:val="-10"/>
          <w:sz w:val="18"/>
        </w:rPr>
        <w:t> </w:t>
      </w:r>
      <w:r>
        <w:rPr>
          <w:sz w:val="18"/>
        </w:rPr>
        <w:t>both</w:t>
      </w:r>
      <w:r>
        <w:rPr>
          <w:spacing w:val="-12"/>
          <w:sz w:val="18"/>
        </w:rPr>
        <w:t> </w:t>
      </w:r>
      <w:r>
        <w:rPr>
          <w:sz w:val="18"/>
        </w:rPr>
        <w:t>domestically</w:t>
      </w:r>
      <w:r>
        <w:rPr>
          <w:spacing w:val="-8"/>
          <w:sz w:val="18"/>
        </w:rPr>
        <w:t> </w:t>
      </w:r>
      <w:r>
        <w:rPr>
          <w:sz w:val="18"/>
        </w:rPr>
        <w:t>and</w:t>
      </w:r>
      <w:r>
        <w:rPr>
          <w:spacing w:val="-11"/>
          <w:sz w:val="18"/>
        </w:rPr>
        <w:t> </w:t>
      </w:r>
      <w:r>
        <w:rPr>
          <w:sz w:val="18"/>
        </w:rPr>
        <w:t>internationally.</w:t>
      </w:r>
    </w:p>
    <w:p>
      <w:pPr>
        <w:pStyle w:val="BodyText"/>
        <w:rPr>
          <w:sz w:val="18"/>
        </w:rPr>
      </w:pPr>
    </w:p>
    <w:p>
      <w:pPr>
        <w:spacing w:before="0"/>
        <w:ind w:left="270" w:right="678" w:firstLine="0"/>
        <w:jc w:val="both"/>
        <w:rPr>
          <w:sz w:val="18"/>
        </w:rPr>
      </w:pPr>
      <w:r>
        <w:rPr>
          <w:b/>
          <w:sz w:val="18"/>
        </w:rPr>
        <w:t>Victor Nuño Moreno: </w:t>
      </w:r>
      <w:r>
        <w:rPr>
          <w:sz w:val="18"/>
        </w:rPr>
        <w:t>Engineer in electrical mechanics with mechanics specialization by the Autonomous University of Baja California. Masters degree in System and Manufacturing Proccess by CETYS University (Faculty of Engineering ), and has a PhD in Engineering Sciences (Industrial) by the Autonomous University of Baja California. He has collaborated in different academic and administrative functions for over 30 years in UABC; he has taken part in CNC Manufacturing and automatization projects. He has been a speak in different congresses both domestically and internationally.</w:t>
      </w:r>
    </w:p>
    <w:p>
      <w:pPr>
        <w:pStyle w:val="BodyText"/>
        <w:rPr>
          <w:sz w:val="18"/>
        </w:rPr>
      </w:pPr>
    </w:p>
    <w:p>
      <w:pPr>
        <w:spacing w:before="0"/>
        <w:ind w:left="270" w:right="663" w:firstLine="0"/>
        <w:jc w:val="left"/>
        <w:rPr>
          <w:sz w:val="18"/>
        </w:rPr>
      </w:pPr>
      <w:r>
        <w:rPr>
          <w:b/>
          <w:sz w:val="18"/>
        </w:rPr>
        <w:t>Edson Pérez Noyola: </w:t>
      </w:r>
      <w:r>
        <w:rPr>
          <w:sz w:val="18"/>
        </w:rPr>
        <w:t>Student of mechanics engineer by the Autonomous University of Baja California. Owner of automotive workshop dedicated to service brakes, alignment, balancing and tire change and also makes machine designs.</w:t>
      </w:r>
    </w:p>
    <w:p>
      <w:pPr>
        <w:pStyle w:val="BodyText"/>
        <w:rPr>
          <w:sz w:val="18"/>
        </w:rPr>
      </w:pPr>
    </w:p>
    <w:p>
      <w:pPr>
        <w:spacing w:before="0"/>
        <w:ind w:left="270" w:right="668" w:firstLine="0"/>
        <w:jc w:val="left"/>
        <w:rPr>
          <w:sz w:val="18"/>
        </w:rPr>
      </w:pPr>
      <w:r>
        <w:rPr>
          <w:b/>
          <w:sz w:val="18"/>
        </w:rPr>
        <w:t>José Mario Pérez Talamantes: </w:t>
      </w:r>
      <w:r>
        <w:rPr>
          <w:sz w:val="18"/>
        </w:rPr>
        <w:t>Student of mechanics engineer by the Autonomous University of Baja California. Worker of automotive workshop dedicated to service brakes, alignment, balancing and tire change also makes machine designs.</w:t>
      </w:r>
    </w:p>
    <w:p>
      <w:pPr>
        <w:spacing w:after="0"/>
        <w:jc w:val="left"/>
        <w:rPr>
          <w:sz w:val="18"/>
        </w:rPr>
        <w:sectPr>
          <w:type w:val="continuous"/>
          <w:pgSz w:w="12240" w:h="15840"/>
          <w:pgMar w:top="1500" w:bottom="280" w:left="580" w:right="220"/>
          <w:cols w:num="2" w:equalWidth="0">
            <w:col w:w="5163" w:space="435"/>
            <w:col w:w="5842"/>
          </w:cols>
        </w:sectPr>
      </w:pPr>
    </w:p>
    <w:p>
      <w:pPr>
        <w:pStyle w:val="BodyText"/>
        <w:spacing w:before="3"/>
        <w:rPr>
          <w:sz w:val="29"/>
        </w:rPr>
      </w:pPr>
    </w:p>
    <w:p>
      <w:pPr>
        <w:spacing w:after="0"/>
        <w:rPr>
          <w:sz w:val="29"/>
        </w:rPr>
        <w:sectPr>
          <w:headerReference w:type="default" r:id="rId209"/>
          <w:footerReference w:type="default" r:id="rId210"/>
          <w:pgSz w:w="12240" w:h="15840"/>
          <w:pgMar w:header="545" w:footer="0" w:top="1060" w:bottom="280" w:left="580" w:right="220"/>
        </w:sectPr>
      </w:pPr>
    </w:p>
    <w:p>
      <w:pPr>
        <w:spacing w:before="77"/>
        <w:ind w:left="270" w:right="0" w:firstLine="0"/>
        <w:jc w:val="both"/>
        <w:rPr>
          <w:b/>
          <w:sz w:val="18"/>
        </w:rPr>
      </w:pPr>
      <w:r>
        <w:rPr>
          <w:b/>
          <w:sz w:val="18"/>
        </w:rPr>
        <w:t>An Ergonomic Study of a Footwear Manufacturing Company</w:t>
      </w:r>
    </w:p>
    <w:p>
      <w:pPr>
        <w:pStyle w:val="BodyText"/>
        <w:spacing w:before="6"/>
        <w:rPr>
          <w:b/>
          <w:sz w:val="15"/>
        </w:rPr>
      </w:pPr>
    </w:p>
    <w:p>
      <w:pPr>
        <w:spacing w:before="1"/>
        <w:ind w:left="270" w:right="0" w:firstLine="0"/>
        <w:jc w:val="both"/>
        <w:rPr>
          <w:i/>
          <w:sz w:val="12"/>
        </w:rPr>
      </w:pPr>
      <w:r>
        <w:rPr>
          <w:i/>
          <w:sz w:val="18"/>
        </w:rPr>
        <w:t>Alejandra Alicia Silva Moreno</w:t>
      </w:r>
      <w:r>
        <w:rPr>
          <w:i/>
          <w:position w:val="8"/>
          <w:sz w:val="12"/>
        </w:rPr>
        <w:t>a</w:t>
      </w:r>
      <w:r>
        <w:rPr>
          <w:i/>
          <w:sz w:val="18"/>
        </w:rPr>
        <w:t>, Abraham Vallejo Villa</w:t>
      </w:r>
      <w:r>
        <w:rPr>
          <w:i/>
          <w:position w:val="8"/>
          <w:sz w:val="12"/>
        </w:rPr>
        <w:t>b</w:t>
      </w:r>
    </w:p>
    <w:p>
      <w:pPr>
        <w:pStyle w:val="BodyText"/>
        <w:spacing w:before="10"/>
        <w:rPr>
          <w:i/>
          <w:sz w:val="15"/>
        </w:rPr>
      </w:pPr>
    </w:p>
    <w:p>
      <w:pPr>
        <w:spacing w:before="0"/>
        <w:ind w:left="270" w:right="0" w:firstLine="0"/>
        <w:jc w:val="both"/>
        <w:rPr>
          <w:sz w:val="18"/>
        </w:rPr>
      </w:pPr>
      <w:r>
        <w:rPr>
          <w:position w:val="8"/>
          <w:sz w:val="12"/>
        </w:rPr>
        <w:t>a </w:t>
      </w:r>
      <w:r>
        <w:rPr>
          <w:sz w:val="18"/>
        </w:rPr>
        <w:t>CIATEC, A. C., Omega 201, Industrial Delta, C. P. 37545 </w:t>
      </w:r>
      <w:hyperlink r:id="rId211">
        <w:r>
          <w:rPr>
            <w:sz w:val="18"/>
          </w:rPr>
          <w:t>asilva@ciatec.mx,</w:t>
        </w:r>
      </w:hyperlink>
      <w:r>
        <w:rPr>
          <w:sz w:val="18"/>
        </w:rPr>
        <w:t> </w:t>
      </w:r>
      <w:hyperlink r:id="rId212">
        <w:r>
          <w:rPr>
            <w:color w:val="0000FF"/>
            <w:sz w:val="18"/>
            <w:u w:val="single" w:color="0000FF"/>
          </w:rPr>
          <w:t>alejansilva@yahoo.com</w:t>
        </w:r>
        <w:r>
          <w:rPr>
            <w:sz w:val="18"/>
          </w:rPr>
          <w:t>,</w:t>
        </w:r>
      </w:hyperlink>
      <w:r>
        <w:rPr>
          <w:sz w:val="18"/>
        </w:rPr>
        <w:t> León, Guanajuato, México.</w:t>
      </w:r>
    </w:p>
    <w:p>
      <w:pPr>
        <w:spacing w:line="208" w:lineRule="exact" w:before="0"/>
        <w:ind w:left="270" w:right="0" w:firstLine="0"/>
        <w:jc w:val="both"/>
        <w:rPr>
          <w:sz w:val="18"/>
        </w:rPr>
      </w:pPr>
      <w:r>
        <w:rPr>
          <w:position w:val="8"/>
          <w:sz w:val="12"/>
        </w:rPr>
        <w:t>b </w:t>
      </w:r>
      <w:r>
        <w:rPr>
          <w:sz w:val="18"/>
        </w:rPr>
        <w:t>Instituto Tecnológico de León,  León, Guanajuato, México,</w:t>
      </w:r>
    </w:p>
    <w:p>
      <w:pPr>
        <w:pStyle w:val="BodyText"/>
        <w:spacing w:before="4"/>
        <w:rPr>
          <w:sz w:val="18"/>
        </w:rPr>
      </w:pPr>
    </w:p>
    <w:p>
      <w:pPr>
        <w:spacing w:before="1"/>
        <w:ind w:left="270" w:right="0" w:firstLine="0"/>
        <w:jc w:val="both"/>
        <w:rPr>
          <w:b/>
          <w:sz w:val="18"/>
        </w:rPr>
      </w:pPr>
      <w:r>
        <w:rPr/>
        <w:pict>
          <v:line style="position:absolute;mso-position-horizontal-relative:page;mso-position-vertical-relative:paragraph;z-index:6760" from="41.040001pt,12.142043pt" to="288.540001pt,12.142043pt" stroked="true" strokeweight="1.5pt" strokecolor="#000000">
            <w10:wrap type="none"/>
          </v:line>
        </w:pict>
      </w:r>
      <w:r>
        <w:rPr>
          <w:b/>
          <w:sz w:val="18"/>
        </w:rPr>
        <w:t>Resumen</w:t>
      </w:r>
    </w:p>
    <w:p>
      <w:pPr>
        <w:spacing w:before="45"/>
        <w:ind w:left="270" w:right="17" w:firstLine="0"/>
        <w:jc w:val="both"/>
        <w:rPr>
          <w:sz w:val="18"/>
        </w:rPr>
      </w:pPr>
      <w:r>
        <w:rPr>
          <w:sz w:val="18"/>
        </w:rPr>
        <w:t>El propósito de este trabajo fue evaluar las condiciones ergonómicas en una empresa de manufactura de calzado para identificar oportunidades de mejora. Se aplicaron los cuestionarios de Yoshitake y Corlett, tambien se realizaron evaluaciones con el método RULA, REBA además de cuestionario con diferentes preguntas para identificar los riesgos y las</w:t>
      </w:r>
      <w:r>
        <w:rPr>
          <w:spacing w:val="-7"/>
          <w:sz w:val="18"/>
        </w:rPr>
        <w:t> </w:t>
      </w:r>
      <w:r>
        <w:rPr>
          <w:sz w:val="18"/>
        </w:rPr>
        <w:t>mejoras.</w:t>
      </w:r>
    </w:p>
    <w:p>
      <w:pPr>
        <w:pStyle w:val="BodyText"/>
        <w:rPr>
          <w:sz w:val="18"/>
        </w:rPr>
      </w:pPr>
    </w:p>
    <w:p>
      <w:pPr>
        <w:pStyle w:val="BodyText"/>
        <w:rPr>
          <w:sz w:val="18"/>
        </w:rPr>
      </w:pPr>
    </w:p>
    <w:p>
      <w:pPr>
        <w:spacing w:before="0"/>
        <w:ind w:left="270" w:right="0" w:firstLine="0"/>
        <w:jc w:val="both"/>
        <w:rPr>
          <w:sz w:val="18"/>
        </w:rPr>
      </w:pPr>
      <w:r>
        <w:rPr>
          <w:b/>
          <w:sz w:val="18"/>
        </w:rPr>
        <w:t>Palabras clave</w:t>
      </w:r>
      <w:r>
        <w:rPr>
          <w:sz w:val="18"/>
        </w:rPr>
        <w:t>—manufactura, salud laboral, factores de riesgo.</w:t>
      </w:r>
    </w:p>
    <w:p>
      <w:pPr>
        <w:pStyle w:val="BodyText"/>
        <w:spacing w:before="6"/>
        <w:rPr>
          <w:sz w:val="18"/>
        </w:rPr>
      </w:pPr>
    </w:p>
    <w:p>
      <w:pPr>
        <w:spacing w:before="0"/>
        <w:ind w:left="270" w:right="0" w:firstLine="0"/>
        <w:jc w:val="both"/>
        <w:rPr>
          <w:b/>
          <w:i/>
          <w:sz w:val="18"/>
        </w:rPr>
      </w:pPr>
      <w:r>
        <w:rPr/>
        <w:pict>
          <v:line style="position:absolute;mso-position-horizontal-relative:page;mso-position-vertical-relative:paragraph;z-index:6784" from="41.040001pt,12.031744pt" to="288.540001pt,12.031744pt" stroked="true" strokeweight="1.5pt" strokecolor="#000000">
            <w10:wrap type="none"/>
          </v:line>
        </w:pict>
      </w:r>
      <w:r>
        <w:rPr>
          <w:b/>
          <w:i/>
          <w:sz w:val="18"/>
        </w:rPr>
        <w:t>Abstract</w:t>
      </w:r>
    </w:p>
    <w:p>
      <w:pPr>
        <w:spacing w:before="44"/>
        <w:ind w:left="270" w:right="17" w:firstLine="0"/>
        <w:jc w:val="both"/>
        <w:rPr>
          <w:i/>
          <w:sz w:val="18"/>
        </w:rPr>
      </w:pPr>
      <w:r>
        <w:rPr>
          <w:i/>
          <w:sz w:val="18"/>
        </w:rPr>
        <w:t>The purpose of this study was to evaluate the ergonomic conditions </w:t>
      </w:r>
      <w:r>
        <w:rPr>
          <w:i/>
          <w:sz w:val="18"/>
        </w:rPr>
        <w:t>within a shoe manufacturing company while identifying opportunities for improvement. A survey of Yoshitake and Corlett was applied also evaluation with the RULA and REBA method, as well as cuestionary with diferent kind of questions to identify risk and improvements</w:t>
      </w:r>
    </w:p>
    <w:p>
      <w:pPr>
        <w:pStyle w:val="BodyText"/>
        <w:rPr>
          <w:i/>
          <w:sz w:val="18"/>
        </w:rPr>
      </w:pPr>
    </w:p>
    <w:p>
      <w:pPr>
        <w:spacing w:before="0"/>
        <w:ind w:left="270" w:right="0" w:firstLine="0"/>
        <w:jc w:val="both"/>
        <w:rPr>
          <w:i/>
          <w:sz w:val="18"/>
        </w:rPr>
      </w:pPr>
      <w:r>
        <w:rPr>
          <w:b/>
          <w:i/>
          <w:sz w:val="18"/>
        </w:rPr>
        <w:t>Keywords</w:t>
      </w:r>
      <w:r>
        <w:rPr>
          <w:i/>
          <w:sz w:val="18"/>
        </w:rPr>
        <w:t>— manufacturing, occupational health, risk factors.</w:t>
      </w:r>
    </w:p>
    <w:p>
      <w:pPr>
        <w:pStyle w:val="BodyText"/>
        <w:rPr>
          <w:i/>
          <w:sz w:val="18"/>
        </w:rPr>
      </w:pPr>
    </w:p>
    <w:p>
      <w:pPr>
        <w:spacing w:before="0"/>
        <w:ind w:left="270" w:right="0" w:firstLine="0"/>
        <w:jc w:val="both"/>
        <w:rPr>
          <w:sz w:val="18"/>
        </w:rPr>
      </w:pPr>
      <w:r>
        <w:rPr>
          <w:sz w:val="18"/>
        </w:rPr>
        <w:t>Relevance to Ergonomics:</w:t>
      </w:r>
    </w:p>
    <w:p>
      <w:pPr>
        <w:pStyle w:val="BodyText"/>
        <w:spacing w:before="3"/>
        <w:rPr>
          <w:sz w:val="18"/>
        </w:rPr>
      </w:pPr>
    </w:p>
    <w:p>
      <w:pPr>
        <w:spacing w:before="0"/>
        <w:ind w:left="270" w:right="0" w:firstLine="0"/>
        <w:jc w:val="both"/>
        <w:rPr>
          <w:b/>
          <w:sz w:val="18"/>
        </w:rPr>
      </w:pPr>
      <w:r>
        <w:rPr>
          <w:b/>
          <w:sz w:val="18"/>
        </w:rPr>
        <w:t>1. INTRODUCTION</w:t>
      </w:r>
    </w:p>
    <w:p>
      <w:pPr>
        <w:pStyle w:val="BodyText"/>
        <w:spacing w:before="7"/>
        <w:rPr>
          <w:b/>
          <w:sz w:val="17"/>
        </w:rPr>
      </w:pPr>
    </w:p>
    <w:p>
      <w:pPr>
        <w:spacing w:before="1"/>
        <w:ind w:left="270" w:right="17" w:firstLine="0"/>
        <w:jc w:val="both"/>
        <w:rPr>
          <w:sz w:val="18"/>
        </w:rPr>
      </w:pPr>
      <w:r>
        <w:rPr>
          <w:sz w:val="18"/>
        </w:rPr>
        <w:t>When evaluating a company’s performance the measure of worker productivity is one of the most significant factors. Collectively, the health and capacity of workers has been directly correlated with an ergonomically proper working environment.</w:t>
      </w:r>
    </w:p>
    <w:p>
      <w:pPr>
        <w:spacing w:before="0"/>
        <w:ind w:left="270" w:right="16" w:firstLine="432"/>
        <w:jc w:val="both"/>
        <w:rPr>
          <w:sz w:val="18"/>
        </w:rPr>
      </w:pPr>
      <w:r>
        <w:rPr/>
        <w:pict>
          <v:shape style="position:absolute;margin-left:390.808075pt;margin-top:74.822060pt;width:109.45pt;height:130.8pt;mso-position-horizontal-relative:page;mso-position-vertical-relative:paragraph;z-index:-872080" type="#_x0000_t202" filled="false" stroked="false">
            <v:textbox inset="0,0,0,0">
              <w:txbxContent>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2"/>
                    <w:rPr>
                      <w:sz w:val="23"/>
                    </w:rPr>
                  </w:pPr>
                </w:p>
                <w:p>
                  <w:pPr>
                    <w:spacing w:before="0"/>
                    <w:ind w:left="0" w:right="-16" w:firstLine="0"/>
                    <w:jc w:val="left"/>
                    <w:rPr>
                      <w:sz w:val="18"/>
                    </w:rPr>
                  </w:pPr>
                  <w:r>
                    <w:rPr>
                      <w:sz w:val="18"/>
                    </w:rPr>
                    <w:t>igure 3. Worker without globe</w:t>
                  </w:r>
                </w:p>
              </w:txbxContent>
            </v:textbox>
            <w10:wrap type="none"/>
          </v:shape>
        </w:pict>
      </w:r>
      <w:r>
        <w:rPr>
          <w:sz w:val="18"/>
        </w:rPr>
        <w:t>Within a limited threshold workers can adapt to the working condition. An ergonomic study based on their individual task can  be beneficial in further increasing worker productivity through the prevention of debilitating accidents and redundancy related  injuries.</w:t>
      </w:r>
    </w:p>
    <w:p>
      <w:pPr>
        <w:pStyle w:val="BodyText"/>
        <w:rPr>
          <w:sz w:val="18"/>
        </w:rPr>
      </w:pPr>
      <w:r>
        <w:rPr/>
        <w:br w:type="column"/>
      </w:r>
      <w:r>
        <w:rPr>
          <w:sz w:val="18"/>
        </w:rPr>
      </w:r>
    </w:p>
    <w:p>
      <w:pPr>
        <w:pStyle w:val="BodyText"/>
        <w:spacing w:before="4"/>
        <w:rPr>
          <w:sz w:val="24"/>
        </w:rPr>
      </w:pPr>
    </w:p>
    <w:p>
      <w:pPr>
        <w:spacing w:before="0"/>
        <w:ind w:left="1480" w:right="668" w:firstLine="0"/>
        <w:jc w:val="left"/>
        <w:rPr>
          <w:sz w:val="18"/>
        </w:rPr>
      </w:pPr>
      <w:r>
        <w:rPr>
          <w:sz w:val="18"/>
        </w:rPr>
        <w:t>Figure 1. Manufacturing company</w:t>
      </w:r>
    </w:p>
    <w:p>
      <w:pPr>
        <w:pStyle w:val="BodyText"/>
        <w:rPr>
          <w:sz w:val="18"/>
        </w:rPr>
      </w:pPr>
    </w:p>
    <w:p>
      <w:pPr>
        <w:pStyle w:val="BodyText"/>
        <w:rPr>
          <w:sz w:val="18"/>
        </w:rPr>
      </w:pPr>
    </w:p>
    <w:p>
      <w:pPr>
        <w:spacing w:before="0"/>
        <w:ind w:left="270" w:right="676" w:firstLine="426"/>
        <w:jc w:val="both"/>
        <w:rPr>
          <w:sz w:val="18"/>
        </w:rPr>
      </w:pPr>
      <w:r>
        <w:rPr>
          <w:sz w:val="18"/>
        </w:rPr>
        <w:t>Direct observations of the processes and conditions in the work area were performed. The instruments used to obtain information regarding working conditions used a symptomatic list and map for fatigue by Yoshitake [1] and Corlett. These tests were applied to the 34 workers twice a day for a week. Also, the RULA [2,3] and REBA method was applied, as well as, video recording to analyze the subjects’ routines [4,5].</w:t>
      </w:r>
    </w:p>
    <w:p>
      <w:pPr>
        <w:spacing w:before="0"/>
        <w:ind w:left="270" w:right="677" w:firstLine="426"/>
        <w:jc w:val="both"/>
        <w:rPr>
          <w:sz w:val="18"/>
        </w:rPr>
      </w:pPr>
      <w:r>
        <w:rPr>
          <w:sz w:val="18"/>
        </w:rPr>
        <w:t>In addition, we found it beneficial to conduct an open questionnaire to determine if the habits beyond regular working hours contributed to the presence of any pain or fatigue in workers. Moreover, unstructured interviews were applied in order to obtain the opinion of the workers and identify opportunities for improvement and potential solutions.</w:t>
      </w:r>
    </w:p>
    <w:p>
      <w:pPr>
        <w:pStyle w:val="BodyText"/>
        <w:rPr>
          <w:sz w:val="18"/>
        </w:rPr>
      </w:pPr>
    </w:p>
    <w:p>
      <w:pPr>
        <w:pStyle w:val="BodyText"/>
        <w:spacing w:before="4"/>
        <w:rPr>
          <w:sz w:val="18"/>
        </w:rPr>
      </w:pPr>
    </w:p>
    <w:p>
      <w:pPr>
        <w:pStyle w:val="ListParagraph"/>
        <w:numPr>
          <w:ilvl w:val="0"/>
          <w:numId w:val="62"/>
        </w:numPr>
        <w:tabs>
          <w:tab w:pos="452" w:val="left" w:leader="none"/>
        </w:tabs>
        <w:spacing w:line="240" w:lineRule="auto" w:before="0" w:after="0"/>
        <w:ind w:left="451" w:right="0" w:hanging="181"/>
        <w:jc w:val="both"/>
        <w:rPr>
          <w:b/>
          <w:sz w:val="18"/>
        </w:rPr>
      </w:pPr>
      <w:r>
        <w:rPr>
          <w:b/>
          <w:color w:val="233F5E"/>
          <w:sz w:val="18"/>
        </w:rPr>
        <w:t>RESULTS</w:t>
      </w:r>
    </w:p>
    <w:p>
      <w:pPr>
        <w:pStyle w:val="BodyText"/>
        <w:spacing w:before="7"/>
        <w:rPr>
          <w:b/>
          <w:sz w:val="17"/>
        </w:rPr>
      </w:pPr>
    </w:p>
    <w:p>
      <w:pPr>
        <w:spacing w:before="1"/>
        <w:ind w:left="270" w:right="678" w:firstLine="0"/>
        <w:jc w:val="both"/>
        <w:rPr>
          <w:sz w:val="18"/>
        </w:rPr>
      </w:pPr>
      <w:r>
        <w:rPr/>
        <w:pict>
          <v:shape style="position:absolute;margin-left:346.079987pt;margin-top:85.43174pt;width:208.2pt;height:131.8pt;mso-position-horizontal-relative:page;mso-position-vertical-relative:paragraph;z-index:-872104" type="#_x0000_t202" filled="false" stroked="false">
            <v:textbox inset="0,0,0,0">
              <w:txbxContent>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spacing w:line="203" w:lineRule="exact" w:before="155"/>
                    <w:ind w:left="510" w:right="0" w:firstLine="0"/>
                    <w:jc w:val="left"/>
                    <w:rPr>
                      <w:sz w:val="18"/>
                    </w:rPr>
                  </w:pPr>
                  <w:r>
                    <w:rPr>
                      <w:sz w:val="18"/>
                    </w:rPr>
                    <w:t>Figure 2. Working in a standing position</w:t>
                  </w:r>
                </w:p>
              </w:txbxContent>
            </v:textbox>
            <w10:wrap type="none"/>
          </v:shape>
        </w:pict>
      </w:r>
      <w:r>
        <w:rPr/>
        <w:pict>
          <v:group style="position:absolute;margin-left:346.079987pt;margin-top:85.43174pt;width:208.2pt;height:130.0500pt;mso-position-horizontal-relative:page;mso-position-vertical-relative:paragraph;z-index:6856" coordorigin="6922,1709" coordsize="4164,2601">
            <v:rect style="position:absolute;left:6922;top:1709;width:4164;height:2600" filled="true" fillcolor="#ffffff" stroked="false">
              <v:fill type="solid"/>
            </v:rect>
            <v:shape style="position:absolute;left:7066;top:1781;width:1699;height:2256" type="#_x0000_t75" stroked="false">
              <v:imagedata r:id="rId213" o:title=""/>
            </v:shape>
            <v:shape style="position:absolute;left:9058;top:1781;width:1728;height:2256" type="#_x0000_t75" stroked="false">
              <v:imagedata r:id="rId214" o:title=""/>
            </v:shape>
            <v:shape style="position:absolute;left:7762;top:4059;width:156;height:201" type="#_x0000_t202" filled="false" stroked="false">
              <v:textbox inset="0,0,0,0">
                <w:txbxContent>
                  <w:p>
                    <w:pPr>
                      <w:spacing w:line="200" w:lineRule="exact" w:before="0"/>
                      <w:ind w:left="0" w:right="-20" w:firstLine="0"/>
                      <w:jc w:val="left"/>
                      <w:rPr>
                        <w:sz w:val="20"/>
                      </w:rPr>
                    </w:pPr>
                    <w:r>
                      <w:rPr>
                        <w:sz w:val="20"/>
                      </w:rPr>
                      <w:t>a)</w:t>
                    </w:r>
                  </w:p>
                </w:txbxContent>
              </v:textbox>
              <w10:wrap type="none"/>
            </v:shape>
            <v:shape style="position:absolute;left:9772;top:4059;width:169;height:201" type="#_x0000_t202" filled="false" stroked="false">
              <v:textbox inset="0,0,0,0">
                <w:txbxContent>
                  <w:p>
                    <w:pPr>
                      <w:spacing w:line="200" w:lineRule="exact" w:before="0"/>
                      <w:ind w:left="0" w:right="-18" w:firstLine="0"/>
                      <w:jc w:val="left"/>
                      <w:rPr>
                        <w:sz w:val="20"/>
                      </w:rPr>
                    </w:pPr>
                    <w:r>
                      <w:rPr>
                        <w:sz w:val="20"/>
                      </w:rPr>
                      <w:t>b)</w:t>
                    </w:r>
                  </w:p>
                </w:txbxContent>
              </v:textbox>
              <w10:wrap type="none"/>
            </v:shape>
            <w10:wrap type="none"/>
          </v:group>
        </w:pict>
      </w:r>
      <w:r>
        <w:rPr>
          <w:sz w:val="18"/>
        </w:rPr>
        <w:t>The results revealed that 58.82% of the workers reported “fatigued legs”, with occurrences more common with women at 81.81%, figure 2 shows task in a standing position of the worker. 44.11% reported themselves as “easily losing patience” (54.54% women and 39.13% men), 41.17% reported “eye-strain”, 38.23% reported unspecified “body fatigue”, and 35.29% reported “back</w:t>
      </w:r>
      <w:r>
        <w:rPr>
          <w:spacing w:val="-9"/>
          <w:sz w:val="18"/>
        </w:rPr>
        <w:t> </w:t>
      </w:r>
      <w:r>
        <w:rPr>
          <w:sz w:val="18"/>
        </w:rPr>
        <w:t>pain”.</w:t>
      </w:r>
    </w:p>
    <w:p>
      <w:pPr>
        <w:spacing w:after="0"/>
        <w:jc w:val="both"/>
        <w:rPr>
          <w:sz w:val="18"/>
        </w:rPr>
        <w:sectPr>
          <w:type w:val="continuous"/>
          <w:pgSz w:w="12240" w:h="15840"/>
          <w:pgMar w:top="1500" w:bottom="280" w:left="580" w:right="220"/>
          <w:cols w:num="2" w:equalWidth="0">
            <w:col w:w="5182" w:space="416"/>
            <w:col w:w="5842"/>
          </w:cols>
        </w:sectPr>
      </w:pPr>
    </w:p>
    <w:p>
      <w:pPr>
        <w:pStyle w:val="BodyText"/>
      </w:pPr>
      <w:r>
        <w:rPr/>
        <w:pict>
          <v:shape style="position:absolute;margin-left:46.5pt;margin-top:653.159973pt;width:244.5pt;height:117.6pt;mso-position-horizontal-relative:page;mso-position-vertical-relative:page;z-index:-872128" type="#_x0000_t202" filled="false" stroked="false">
            <v:textbox inset="0,0,0,0">
              <w:txbxContent>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spacing w:before="114"/>
                    <w:ind w:left="20" w:right="0" w:firstLine="0"/>
                    <w:jc w:val="left"/>
                    <w:rPr>
                      <w:sz w:val="18"/>
                    </w:rPr>
                  </w:pPr>
                  <w:r>
                    <w:rPr>
                      <w:sz w:val="18"/>
                    </w:rPr>
                    <w:t>OCIEDAD DE ERGONOMISTAS DE MEXICO, A.C.</w:t>
                  </w:r>
                </w:p>
              </w:txbxContent>
            </v:textbox>
            <w10:wrap type="none"/>
          </v:shape>
        </w:pict>
      </w:r>
    </w:p>
    <w:p>
      <w:pPr>
        <w:pStyle w:val="BodyText"/>
        <w:spacing w:before="3"/>
        <w:rPr>
          <w:sz w:val="18"/>
        </w:rPr>
      </w:pPr>
    </w:p>
    <w:p>
      <w:pPr>
        <w:pStyle w:val="BodyText"/>
        <w:ind w:left="210"/>
      </w:pPr>
      <w:r>
        <w:rPr/>
        <w:pict>
          <v:group style="width:556.4pt;height:224.95pt;mso-position-horizontal-relative:char;mso-position-vertical-relative:line" coordorigin="0,0" coordsize="11128,4499">
            <v:line style="position:absolute" from="5029,3841" to="11098,3841" stroked="true" strokeweight="3pt" strokecolor="#602321"/>
            <v:line style="position:absolute" from="5029,3892" to="11098,3892" stroked="true" strokeweight=".72pt" strokecolor="#602321"/>
            <v:line style="position:absolute" from="30,3841" to="139,3841" stroked="true" strokeweight="3pt" strokecolor="#602321"/>
            <v:line style="position:absolute" from="30,3892" to="139,3892" stroked="true" strokeweight=".72pt" strokecolor="#602321"/>
            <v:rect style="position:absolute;left:139;top:2146;width:4890;height:2352" filled="true" fillcolor="#ffffff" stroked="false">
              <v:fill type="solid"/>
            </v:rect>
            <v:shape style="position:absolute;left:283;top:2218;width:4695;height:2207" type="#_x0000_t75" stroked="false">
              <v:imagedata r:id="rId215" o:title=""/>
            </v:shape>
            <v:rect style="position:absolute;left:7055;top:21;width:2142;height:2616" filled="true" fillcolor="#ffffff" stroked="false">
              <v:fill type="solid"/>
            </v:rect>
            <v:shape style="position:absolute;left:7198;top:93;width:1862;height:2471" type="#_x0000_t75" stroked="false">
              <v:imagedata r:id="rId216" o:title=""/>
            </v:shape>
            <v:shape style="position:absolute;left:60;top:0;width:4892;height:1626" type="#_x0000_t202" filled="false" stroked="false">
              <v:textbox inset="0,0,0,0">
                <w:txbxContent>
                  <w:p>
                    <w:pPr>
                      <w:spacing w:line="184" w:lineRule="exact" w:before="0"/>
                      <w:ind w:left="0" w:right="0" w:firstLine="0"/>
                      <w:jc w:val="both"/>
                      <w:rPr>
                        <w:b/>
                        <w:sz w:val="18"/>
                      </w:rPr>
                    </w:pPr>
                    <w:r>
                      <w:rPr>
                        <w:b/>
                        <w:color w:val="233F5E"/>
                        <w:sz w:val="18"/>
                      </w:rPr>
                      <w:t>2. METHODOLOGY</w:t>
                    </w:r>
                  </w:p>
                  <w:p>
                    <w:pPr>
                      <w:spacing w:line="240" w:lineRule="auto" w:before="7"/>
                      <w:rPr>
                        <w:sz w:val="17"/>
                      </w:rPr>
                    </w:pPr>
                  </w:p>
                  <w:p>
                    <w:pPr>
                      <w:spacing w:before="1"/>
                      <w:ind w:left="0" w:right="0" w:firstLine="0"/>
                      <w:jc w:val="both"/>
                      <w:rPr>
                        <w:sz w:val="18"/>
                      </w:rPr>
                    </w:pPr>
                    <w:r>
                      <w:rPr>
                        <w:sz w:val="18"/>
                      </w:rPr>
                      <w:t>A transversal, exploratory and descriptive study of workers from a footwear manufacturing company was made in which 34 volunteer employees participated figure 1 shows manufacturing company. The study population consisted of: 23 males and 11 females, with an age range between 17 to 67 years. All jobs were assessed and rated for ergonomic exposure based on an established baseline.</w:t>
                    </w:r>
                  </w:p>
                </w:txbxContent>
              </v:textbox>
              <w10:wrap type="none"/>
            </v:shape>
            <v:shape style="position:absolute;left:6925;top:2381;width:101;height:180" type="#_x0000_t202" filled="false" stroked="false">
              <v:textbox inset="0,0,0,0">
                <w:txbxContent>
                  <w:p>
                    <w:pPr>
                      <w:spacing w:line="180" w:lineRule="exact" w:before="0"/>
                      <w:ind w:left="0" w:right="0" w:firstLine="0"/>
                      <w:jc w:val="left"/>
                      <w:rPr>
                        <w:sz w:val="18"/>
                      </w:rPr>
                    </w:pPr>
                    <w:r>
                      <w:rPr>
                        <w:sz w:val="18"/>
                      </w:rPr>
                      <w:t>F</w:t>
                    </w:r>
                  </w:p>
                </w:txbxContent>
              </v:textbox>
              <w10:wrap type="none"/>
            </v:shape>
            <v:shape style="position:absolute;left:9214;top:2381;width:71;height:180" type="#_x0000_t202" filled="false" stroked="false">
              <v:textbox inset="0,0,0,0">
                <w:txbxContent>
                  <w:p>
                    <w:pPr>
                      <w:spacing w:line="180" w:lineRule="exact" w:before="0"/>
                      <w:ind w:left="0" w:right="0" w:firstLine="0"/>
                      <w:jc w:val="left"/>
                      <w:rPr>
                        <w:sz w:val="18"/>
                      </w:rPr>
                    </w:pPr>
                    <w:r>
                      <w:rPr>
                        <w:sz w:val="18"/>
                      </w:rPr>
                      <w:t>s</w:t>
                    </w:r>
                  </w:p>
                </w:txbxContent>
              </v:textbox>
              <w10:wrap type="none"/>
            </v:shape>
            <v:shape style="position:absolute;left:5658;top:3001;width:4891;height:594" type="#_x0000_t202" filled="false" stroked="false">
              <v:textbox inset="0,0,0,0">
                <w:txbxContent>
                  <w:p>
                    <w:pPr>
                      <w:spacing w:line="184" w:lineRule="exact" w:before="0"/>
                      <w:ind w:left="0" w:right="0" w:firstLine="426"/>
                      <w:jc w:val="left"/>
                      <w:rPr>
                        <w:sz w:val="18"/>
                      </w:rPr>
                    </w:pPr>
                    <w:r>
                      <w:rPr>
                        <w:sz w:val="18"/>
                      </w:rPr>
                      <w:t>We discovered that 73.53% of the workers were not  wearing</w:t>
                    </w:r>
                  </w:p>
                  <w:p>
                    <w:pPr>
                      <w:spacing w:before="0"/>
                      <w:ind w:left="0" w:right="0" w:firstLine="0"/>
                      <w:jc w:val="left"/>
                      <w:rPr>
                        <w:sz w:val="18"/>
                      </w:rPr>
                    </w:pPr>
                    <w:r>
                      <w:rPr>
                        <w:sz w:val="18"/>
                      </w:rPr>
                      <w:t>protective equipment such as suitable gloves and goggles, as relegated by the task to prevent injuries as shown in figure 3.</w:t>
                    </w:r>
                  </w:p>
                </w:txbxContent>
              </v:textbox>
              <w10:wrap type="none"/>
            </v:shape>
            <v:shape style="position:absolute;left:60;top:3940;width:100;height:180" type="#_x0000_t202" filled="false" stroked="false">
              <v:textbox inset="0,0,0,0">
                <w:txbxContent>
                  <w:p>
                    <w:pPr>
                      <w:spacing w:line="180" w:lineRule="exact" w:before="0"/>
                      <w:ind w:left="0" w:right="0" w:firstLine="0"/>
                      <w:jc w:val="left"/>
                      <w:rPr>
                        <w:sz w:val="18"/>
                      </w:rPr>
                    </w:pPr>
                    <w:r>
                      <w:rPr>
                        <w:spacing w:val="-1"/>
                        <w:sz w:val="18"/>
                      </w:rPr>
                      <w:t>S</w:t>
                    </w:r>
                  </w:p>
                </w:txbxContent>
              </v:textbox>
              <w10:wrap type="none"/>
            </v:shape>
            <v:shape style="position:absolute;left:9804;top:3940;width:714;height:180" type="#_x0000_t202" filled="false" stroked="false">
              <v:textbox inset="0,0,0,0">
                <w:txbxContent>
                  <w:p>
                    <w:pPr>
                      <w:spacing w:line="180" w:lineRule="exact" w:before="0"/>
                      <w:ind w:left="0" w:right="-16" w:firstLine="0"/>
                      <w:jc w:val="left"/>
                      <w:rPr>
                        <w:sz w:val="18"/>
                      </w:rPr>
                    </w:pPr>
                    <w:r>
                      <w:rPr>
                        <w:sz w:val="18"/>
                      </w:rPr>
                      <w:t>Página</w:t>
                    </w:r>
                    <w:r>
                      <w:rPr>
                        <w:spacing w:val="-5"/>
                        <w:sz w:val="18"/>
                      </w:rPr>
                      <w:t> </w:t>
                    </w:r>
                    <w:r>
                      <w:rPr>
                        <w:sz w:val="18"/>
                      </w:rPr>
                      <w:t>82</w:t>
                    </w:r>
                  </w:p>
                </w:txbxContent>
              </v:textbox>
              <w10:wrap type="none"/>
            </v:shape>
          </v:group>
        </w:pict>
      </w:r>
      <w:r>
        <w:rPr/>
      </w:r>
    </w:p>
    <w:p>
      <w:pPr>
        <w:spacing w:after="0"/>
        <w:sectPr>
          <w:type w:val="continuous"/>
          <w:pgSz w:w="12240" w:h="15840"/>
          <w:pgMar w:top="1500" w:bottom="280" w:left="580" w:right="220"/>
        </w:sectPr>
      </w:pPr>
    </w:p>
    <w:p>
      <w:pPr>
        <w:pStyle w:val="BodyText"/>
        <w:rPr>
          <w:sz w:val="11"/>
        </w:rPr>
      </w:pPr>
    </w:p>
    <w:p>
      <w:pPr>
        <w:spacing w:after="0"/>
        <w:rPr>
          <w:sz w:val="11"/>
        </w:rPr>
        <w:sectPr>
          <w:footerReference w:type="default" r:id="rId217"/>
          <w:pgSz w:w="12240" w:h="15840"/>
          <w:pgMar w:footer="852" w:header="545" w:top="1060" w:bottom="1040" w:left="560" w:right="220"/>
          <w:pgNumType w:start="83"/>
        </w:sectPr>
      </w:pPr>
    </w:p>
    <w:p>
      <w:pPr>
        <w:spacing w:before="77"/>
        <w:ind w:left="290" w:right="0" w:firstLine="426"/>
        <w:jc w:val="both"/>
        <w:rPr>
          <w:sz w:val="18"/>
        </w:rPr>
      </w:pPr>
      <w:r>
        <w:rPr>
          <w:sz w:val="18"/>
        </w:rPr>
        <w:t>The results of the study revealed that 38.23% of the subjects reported discomfort due to awkward body positioning while working and 29.47% reported suffering from fatigue at least once a week, figure 4 shows different task positions.</w:t>
      </w:r>
    </w:p>
    <w:p>
      <w:pPr>
        <w:pStyle w:val="BodyText"/>
        <w:spacing w:before="3"/>
        <w:rPr>
          <w:sz w:val="21"/>
        </w:rPr>
      </w:pPr>
      <w:r>
        <w:rPr/>
        <w:drawing>
          <wp:anchor distT="0" distB="0" distL="0" distR="0" allowOverlap="1" layoutInCell="1" locked="0" behindDoc="0" simplePos="0" relativeHeight="6880">
            <wp:simplePos x="0" y="0"/>
            <wp:positionH relativeFrom="page">
              <wp:posOffset>424433</wp:posOffset>
            </wp:positionH>
            <wp:positionV relativeFrom="paragraph">
              <wp:posOffset>197775</wp:posOffset>
            </wp:positionV>
            <wp:extent cx="1166157" cy="1533905"/>
            <wp:effectExtent l="0" t="0" r="0" b="0"/>
            <wp:wrapTopAndBottom/>
            <wp:docPr id="233" name="image127.png" descr=""/>
            <wp:cNvGraphicFramePr>
              <a:graphicFrameLocks noChangeAspect="1"/>
            </wp:cNvGraphicFramePr>
            <a:graphic>
              <a:graphicData uri="http://schemas.openxmlformats.org/drawingml/2006/picture">
                <pic:pic>
                  <pic:nvPicPr>
                    <pic:cNvPr id="234" name="image127.png"/>
                    <pic:cNvPicPr/>
                  </pic:nvPicPr>
                  <pic:blipFill>
                    <a:blip r:embed="rId218" cstate="print"/>
                    <a:stretch>
                      <a:fillRect/>
                    </a:stretch>
                  </pic:blipFill>
                  <pic:spPr>
                    <a:xfrm>
                      <a:off x="0" y="0"/>
                      <a:ext cx="1166157" cy="1533905"/>
                    </a:xfrm>
                    <a:prstGeom prst="rect">
                      <a:avLst/>
                    </a:prstGeom>
                  </pic:spPr>
                </pic:pic>
              </a:graphicData>
            </a:graphic>
          </wp:anchor>
        </w:drawing>
      </w:r>
      <w:r>
        <w:rPr/>
        <w:drawing>
          <wp:anchor distT="0" distB="0" distL="0" distR="0" allowOverlap="1" layoutInCell="1" locked="0" behindDoc="0" simplePos="0" relativeHeight="6904">
            <wp:simplePos x="0" y="0"/>
            <wp:positionH relativeFrom="page">
              <wp:posOffset>1685544</wp:posOffset>
            </wp:positionH>
            <wp:positionV relativeFrom="paragraph">
              <wp:posOffset>180249</wp:posOffset>
            </wp:positionV>
            <wp:extent cx="1900698" cy="1554479"/>
            <wp:effectExtent l="0" t="0" r="0" b="0"/>
            <wp:wrapTopAndBottom/>
            <wp:docPr id="235" name="image128.jpeg" descr=""/>
            <wp:cNvGraphicFramePr>
              <a:graphicFrameLocks noChangeAspect="1"/>
            </wp:cNvGraphicFramePr>
            <a:graphic>
              <a:graphicData uri="http://schemas.openxmlformats.org/drawingml/2006/picture">
                <pic:pic>
                  <pic:nvPicPr>
                    <pic:cNvPr id="236" name="image128.jpeg"/>
                    <pic:cNvPicPr/>
                  </pic:nvPicPr>
                  <pic:blipFill>
                    <a:blip r:embed="rId219" cstate="print"/>
                    <a:stretch>
                      <a:fillRect/>
                    </a:stretch>
                  </pic:blipFill>
                  <pic:spPr>
                    <a:xfrm>
                      <a:off x="0" y="0"/>
                      <a:ext cx="1900698" cy="1554479"/>
                    </a:xfrm>
                    <a:prstGeom prst="rect">
                      <a:avLst/>
                    </a:prstGeom>
                  </pic:spPr>
                </pic:pic>
              </a:graphicData>
            </a:graphic>
          </wp:anchor>
        </w:drawing>
      </w:r>
    </w:p>
    <w:p>
      <w:pPr>
        <w:spacing w:before="136"/>
        <w:ind w:left="1515" w:right="0" w:firstLine="0"/>
        <w:jc w:val="left"/>
        <w:rPr>
          <w:sz w:val="18"/>
        </w:rPr>
      </w:pPr>
      <w:r>
        <w:rPr>
          <w:sz w:val="18"/>
        </w:rPr>
        <w:t>Figure 4. Positions of the workers</w:t>
      </w:r>
    </w:p>
    <w:p>
      <w:pPr>
        <w:pStyle w:val="BodyText"/>
        <w:rPr>
          <w:sz w:val="18"/>
        </w:rPr>
      </w:pPr>
    </w:p>
    <w:p>
      <w:pPr>
        <w:pStyle w:val="BodyText"/>
        <w:rPr>
          <w:sz w:val="18"/>
        </w:rPr>
      </w:pPr>
    </w:p>
    <w:p>
      <w:pPr>
        <w:spacing w:before="0"/>
        <w:ind w:left="290" w:right="1" w:firstLine="470"/>
        <w:jc w:val="both"/>
        <w:rPr>
          <w:sz w:val="18"/>
        </w:rPr>
      </w:pPr>
      <w:r>
        <w:rPr>
          <w:sz w:val="18"/>
        </w:rPr>
        <w:t>Furthermore, it was found that light, temperature and vibration were not reported as detrimental, but exposure to solvents and noise proved to be harmful. Analysis of the video recordings identified the postural risks related to their specific activity.</w:t>
      </w:r>
    </w:p>
    <w:p>
      <w:pPr>
        <w:pStyle w:val="BodyText"/>
        <w:rPr>
          <w:sz w:val="18"/>
        </w:rPr>
      </w:pPr>
    </w:p>
    <w:p>
      <w:pPr>
        <w:pStyle w:val="BodyText"/>
        <w:spacing w:before="4"/>
        <w:rPr>
          <w:sz w:val="18"/>
        </w:rPr>
      </w:pPr>
    </w:p>
    <w:p>
      <w:pPr>
        <w:pStyle w:val="ListParagraph"/>
        <w:numPr>
          <w:ilvl w:val="0"/>
          <w:numId w:val="62"/>
        </w:numPr>
        <w:tabs>
          <w:tab w:pos="472" w:val="left" w:leader="none"/>
        </w:tabs>
        <w:spacing w:line="240" w:lineRule="auto" w:before="0" w:after="0"/>
        <w:ind w:left="471" w:right="0" w:hanging="181"/>
        <w:jc w:val="both"/>
        <w:rPr>
          <w:b/>
          <w:sz w:val="18"/>
        </w:rPr>
      </w:pPr>
      <w:r>
        <w:rPr>
          <w:b/>
          <w:color w:val="233F5E"/>
          <w:sz w:val="18"/>
        </w:rPr>
        <w:t>CONCLUSIONS</w:t>
      </w:r>
    </w:p>
    <w:p>
      <w:pPr>
        <w:pStyle w:val="BodyText"/>
        <w:spacing w:before="7"/>
        <w:rPr>
          <w:b/>
          <w:sz w:val="17"/>
        </w:rPr>
      </w:pPr>
    </w:p>
    <w:p>
      <w:pPr>
        <w:spacing w:before="1"/>
        <w:ind w:left="290" w:right="0" w:firstLine="0"/>
        <w:jc w:val="both"/>
        <w:rPr>
          <w:sz w:val="18"/>
        </w:rPr>
      </w:pPr>
      <w:r>
        <w:rPr>
          <w:sz w:val="18"/>
        </w:rPr>
        <w:t>Incidents of fatigue in the legs were more commonly reported. Risk factors which involved the inhalation of solvents or other vapors were identified. One of the main causes of fatigue was related to workers performing secondary activities including; second jobs and household related tasks. While other causes are correlated with the monotony of the task.</w:t>
      </w:r>
    </w:p>
    <w:p>
      <w:pPr>
        <w:spacing w:before="0"/>
        <w:ind w:left="290" w:right="0" w:firstLine="432"/>
        <w:jc w:val="both"/>
        <w:rPr>
          <w:sz w:val="18"/>
        </w:rPr>
      </w:pPr>
      <w:r>
        <w:rPr>
          <w:sz w:val="18"/>
        </w:rPr>
        <w:t>Mitigation activities include: task-rotation, motivating incentives which include personnel integration, the proper use of protective equipment, and health breaks. Increased worker productivity is directly correlated with a positive  work environment, so efforts should be directed towards activities which reduced employee turn-over, dissatisfaction and accident prevention.</w:t>
      </w:r>
    </w:p>
    <w:p>
      <w:pPr>
        <w:pStyle w:val="BodyText"/>
        <w:rPr>
          <w:sz w:val="18"/>
        </w:rPr>
      </w:pPr>
    </w:p>
    <w:p>
      <w:pPr>
        <w:pStyle w:val="BodyText"/>
        <w:spacing w:before="3"/>
        <w:rPr>
          <w:sz w:val="18"/>
        </w:rPr>
      </w:pPr>
    </w:p>
    <w:p>
      <w:pPr>
        <w:spacing w:before="0"/>
        <w:ind w:left="336" w:right="0" w:firstLine="0"/>
        <w:jc w:val="both"/>
        <w:rPr>
          <w:b/>
          <w:sz w:val="18"/>
        </w:rPr>
      </w:pPr>
      <w:r>
        <w:rPr>
          <w:b/>
          <w:color w:val="233F5E"/>
          <w:sz w:val="18"/>
        </w:rPr>
        <w:t>REFERENCES</w:t>
      </w:r>
    </w:p>
    <w:p>
      <w:pPr>
        <w:pStyle w:val="BodyText"/>
        <w:spacing w:before="7"/>
        <w:rPr>
          <w:b/>
          <w:sz w:val="17"/>
        </w:rPr>
      </w:pPr>
    </w:p>
    <w:p>
      <w:pPr>
        <w:spacing w:before="1"/>
        <w:ind w:left="290" w:right="1" w:firstLine="0"/>
        <w:jc w:val="both"/>
        <w:rPr>
          <w:sz w:val="18"/>
        </w:rPr>
      </w:pPr>
      <w:r>
        <w:rPr>
          <w:sz w:val="18"/>
        </w:rPr>
        <w:t>[1]Yoshitake H. Theree characteristic patterns of subjective fatigue symptoms, Ergonomics 21 (3), pp.  231-233, 1978</w:t>
      </w:r>
    </w:p>
    <w:p>
      <w:pPr>
        <w:spacing w:before="0"/>
        <w:ind w:left="290" w:right="0" w:firstLine="0"/>
        <w:jc w:val="both"/>
        <w:rPr>
          <w:sz w:val="18"/>
        </w:rPr>
      </w:pPr>
      <w:r>
        <w:rPr>
          <w:sz w:val="18"/>
        </w:rPr>
        <w:t>[2] Atamney, Corlett. “RULA: A Survey Method for the investigation of Work- Related Upper Limb Disorders. Applied Ergonomics. Vol. No. 2, pp. 91-99, 1993.</w:t>
      </w:r>
    </w:p>
    <w:p>
      <w:pPr>
        <w:spacing w:line="206" w:lineRule="exact" w:before="0"/>
        <w:ind w:left="290" w:right="0" w:firstLine="0"/>
        <w:jc w:val="both"/>
        <w:rPr>
          <w:sz w:val="18"/>
        </w:rPr>
      </w:pPr>
      <w:r>
        <w:rPr>
          <w:sz w:val="18"/>
        </w:rPr>
        <w:t>[3]Cornell   University   Ergonomics   Web.   “RULA Worksheet”.</w:t>
      </w:r>
    </w:p>
    <w:p>
      <w:pPr>
        <w:spacing w:line="207" w:lineRule="exact" w:before="0"/>
        <w:ind w:left="290" w:right="0" w:firstLine="0"/>
        <w:jc w:val="both"/>
        <w:rPr>
          <w:sz w:val="18"/>
        </w:rPr>
      </w:pPr>
      <w:r>
        <w:rPr>
          <w:sz w:val="18"/>
        </w:rPr>
        <w:t>Cornell University. 2007</w:t>
      </w:r>
    </w:p>
    <w:p>
      <w:pPr>
        <w:spacing w:line="207" w:lineRule="exact" w:before="0"/>
        <w:ind w:left="290" w:right="0" w:firstLine="0"/>
        <w:jc w:val="both"/>
        <w:rPr>
          <w:sz w:val="18"/>
        </w:rPr>
      </w:pPr>
      <w:r>
        <w:rPr>
          <w:sz w:val="18"/>
        </w:rPr>
        <w:t>[4]Mondelo  P.  “Ergonomia  3.  Diseño  de  puestos  de     trabajo".</w:t>
      </w:r>
    </w:p>
    <w:p>
      <w:pPr>
        <w:spacing w:line="207" w:lineRule="exact" w:before="0"/>
        <w:ind w:left="290" w:right="0" w:firstLine="0"/>
        <w:jc w:val="both"/>
        <w:rPr>
          <w:sz w:val="18"/>
        </w:rPr>
      </w:pPr>
      <w:r>
        <w:rPr>
          <w:sz w:val="18"/>
        </w:rPr>
        <w:t>Alfaomega grupo editorial, D. F. México. 2001</w:t>
      </w:r>
    </w:p>
    <w:p>
      <w:pPr>
        <w:spacing w:before="0"/>
        <w:ind w:left="290" w:right="1" w:firstLine="0"/>
        <w:jc w:val="both"/>
        <w:rPr>
          <w:sz w:val="18"/>
        </w:rPr>
      </w:pPr>
      <w:r>
        <w:rPr>
          <w:sz w:val="18"/>
        </w:rPr>
        <w:t>[5]Chaffin, DB., Anderson, G.B., Martin, B J “Occupational Biomechanics”, John Wiley&amp;Sons, New York, USA. 1999</w:t>
      </w:r>
    </w:p>
    <w:p>
      <w:pPr>
        <w:pStyle w:val="BodyText"/>
        <w:rPr>
          <w:sz w:val="18"/>
        </w:rPr>
      </w:pPr>
    </w:p>
    <w:p>
      <w:pPr>
        <w:spacing w:before="0"/>
        <w:ind w:left="290" w:right="1" w:firstLine="0"/>
        <w:jc w:val="both"/>
        <w:rPr>
          <w:sz w:val="18"/>
        </w:rPr>
      </w:pPr>
      <w:r>
        <w:rPr>
          <w:b/>
          <w:sz w:val="18"/>
        </w:rPr>
        <w:t>Alejandra Alicia Silva Moreno: </w:t>
      </w:r>
      <w:r>
        <w:rPr>
          <w:sz w:val="18"/>
        </w:rPr>
        <w:t>She has combined degree in Physics math by the Universidad Michoacana de San Nicolas de Hidalgo, and a PhD in Sciences Optics by Universidad de Guanajuato. In addition, Alejandra is a graduate in Copyright studied in the Faculty of Right of the University of Guanajuato. As well as, having participated in technical training from the   “Digital</w:t>
      </w:r>
    </w:p>
    <w:p>
      <w:pPr>
        <w:spacing w:before="77"/>
        <w:ind w:left="108" w:right="677" w:firstLine="0"/>
        <w:jc w:val="both"/>
        <w:rPr>
          <w:sz w:val="18"/>
        </w:rPr>
      </w:pPr>
      <w:r>
        <w:rPr/>
        <w:br w:type="column"/>
      </w:r>
      <w:r>
        <w:rPr>
          <w:sz w:val="18"/>
        </w:rPr>
        <w:t>Human Research Center” of Japan. For more than a decade Alejandra has been a Biomechanical researcher at CIATEC, having publications in domestic and international journals, and also  articles of disclosure. Alejandra has presented research findings multiple congresses, which included publications in journals of investigation, technological and scientific diffusion. Alejandra has been a leader for numerous research and development projects financed by both the private and public sector. In addition, Alejandra is also thesis advisor to graduate students and industry trade</w:t>
      </w:r>
      <w:r>
        <w:rPr>
          <w:spacing w:val="-11"/>
          <w:sz w:val="18"/>
        </w:rPr>
        <w:t> </w:t>
      </w:r>
      <w:r>
        <w:rPr>
          <w:sz w:val="18"/>
        </w:rPr>
        <w:t>groups.</w:t>
      </w:r>
    </w:p>
    <w:p>
      <w:pPr>
        <w:pStyle w:val="BodyText"/>
        <w:rPr>
          <w:sz w:val="18"/>
        </w:rPr>
      </w:pPr>
    </w:p>
    <w:p>
      <w:pPr>
        <w:pStyle w:val="BodyText"/>
        <w:spacing w:before="10"/>
        <w:rPr>
          <w:sz w:val="17"/>
        </w:rPr>
      </w:pPr>
    </w:p>
    <w:p>
      <w:pPr>
        <w:spacing w:before="1"/>
        <w:ind w:left="108" w:right="677" w:firstLine="0"/>
        <w:jc w:val="both"/>
        <w:rPr>
          <w:sz w:val="18"/>
        </w:rPr>
      </w:pPr>
      <w:r>
        <w:rPr>
          <w:b/>
          <w:sz w:val="18"/>
        </w:rPr>
        <w:t>Abraham Vallejo Villa: </w:t>
      </w:r>
      <w:r>
        <w:rPr>
          <w:sz w:val="18"/>
        </w:rPr>
        <w:t>He is an engineering student at Mechatronics by the Instituto Tecnológico de León, where development projects such as pattern recognition with MatLab, mechanical vibration meter using LabView, programming for the automation of a tower parking. He is currently conducting their professional practices in CIATEC, A.C. Collaborating with a Shoe Company.</w:t>
      </w:r>
    </w:p>
    <w:p>
      <w:pPr>
        <w:spacing w:after="0"/>
        <w:jc w:val="both"/>
        <w:rPr>
          <w:sz w:val="18"/>
        </w:rPr>
        <w:sectPr>
          <w:type w:val="continuous"/>
          <w:pgSz w:w="12240" w:h="15840"/>
          <w:pgMar w:top="1500" w:bottom="280" w:left="560" w:right="220"/>
          <w:cols w:num="2" w:equalWidth="0">
            <w:col w:w="5183" w:space="597"/>
            <w:col w:w="5680"/>
          </w:cols>
        </w:sectPr>
      </w:pPr>
    </w:p>
    <w:p>
      <w:pPr>
        <w:pStyle w:val="BodyText"/>
        <w:rPr>
          <w:sz w:val="11"/>
        </w:rPr>
      </w:pPr>
    </w:p>
    <w:p>
      <w:pPr>
        <w:spacing w:after="0"/>
        <w:rPr>
          <w:sz w:val="11"/>
        </w:rPr>
        <w:sectPr>
          <w:pgSz w:w="12240" w:h="15840"/>
          <w:pgMar w:header="545" w:footer="852" w:top="1060" w:bottom="1040" w:left="580" w:right="220"/>
        </w:sectPr>
      </w:pPr>
    </w:p>
    <w:p>
      <w:pPr>
        <w:pStyle w:val="BodyText"/>
        <w:spacing w:before="10"/>
        <w:rPr>
          <w:sz w:val="24"/>
        </w:rPr>
      </w:pPr>
    </w:p>
    <w:p>
      <w:pPr>
        <w:spacing w:before="1"/>
        <w:ind w:left="270" w:right="17" w:firstLine="0"/>
        <w:jc w:val="both"/>
        <w:rPr>
          <w:b/>
          <w:sz w:val="18"/>
        </w:rPr>
      </w:pPr>
      <w:r>
        <w:rPr>
          <w:b/>
          <w:sz w:val="18"/>
        </w:rPr>
        <w:t>Evaluation of Positions in the Area of Production of Lenses by Rula.</w:t>
      </w:r>
    </w:p>
    <w:p>
      <w:pPr>
        <w:pStyle w:val="BodyText"/>
        <w:spacing w:before="7"/>
        <w:rPr>
          <w:b/>
          <w:sz w:val="17"/>
        </w:rPr>
      </w:pPr>
    </w:p>
    <w:p>
      <w:pPr>
        <w:spacing w:before="1"/>
        <w:ind w:left="270" w:right="0" w:firstLine="0"/>
        <w:jc w:val="both"/>
        <w:rPr>
          <w:i/>
          <w:sz w:val="18"/>
        </w:rPr>
      </w:pPr>
      <w:r>
        <w:rPr>
          <w:i/>
          <w:sz w:val="18"/>
        </w:rPr>
        <w:t>Ramón Addel López Félix</w:t>
      </w:r>
    </w:p>
    <w:p>
      <w:pPr>
        <w:pStyle w:val="BodyText"/>
        <w:spacing w:before="10"/>
        <w:rPr>
          <w:i/>
          <w:sz w:val="15"/>
        </w:rPr>
      </w:pPr>
    </w:p>
    <w:p>
      <w:pPr>
        <w:spacing w:before="0"/>
        <w:ind w:left="270" w:right="0" w:firstLine="0"/>
        <w:jc w:val="both"/>
        <w:rPr>
          <w:sz w:val="18"/>
        </w:rPr>
      </w:pPr>
      <w:r>
        <w:rPr>
          <w:position w:val="8"/>
          <w:sz w:val="12"/>
        </w:rPr>
        <w:t>a </w:t>
      </w:r>
      <w:r>
        <w:rPr>
          <w:sz w:val="18"/>
        </w:rPr>
        <w:t>Instituto Tecnológico de Sonora, </w:t>
      </w:r>
      <w:hyperlink r:id="rId220">
        <w:r>
          <w:rPr>
            <w:color w:val="0000FF"/>
            <w:sz w:val="18"/>
            <w:u w:val="single" w:color="0000FF"/>
          </w:rPr>
          <w:t>addel.lf@hotmail.com</w:t>
        </w:r>
        <w:r>
          <w:rPr>
            <w:sz w:val="18"/>
          </w:rPr>
          <w:t>,</w:t>
        </w:r>
      </w:hyperlink>
      <w:r>
        <w:rPr>
          <w:sz w:val="18"/>
        </w:rPr>
        <w:t> Navojoa, Sonora, México.</w:t>
      </w:r>
    </w:p>
    <w:p>
      <w:pPr>
        <w:pStyle w:val="BodyText"/>
        <w:spacing w:before="4"/>
        <w:rPr>
          <w:sz w:val="18"/>
        </w:rPr>
      </w:pPr>
    </w:p>
    <w:p>
      <w:pPr>
        <w:spacing w:before="1"/>
        <w:ind w:left="270" w:right="0" w:firstLine="0"/>
        <w:jc w:val="both"/>
        <w:rPr>
          <w:b/>
          <w:sz w:val="18"/>
        </w:rPr>
      </w:pPr>
      <w:r>
        <w:rPr/>
        <w:pict>
          <v:line style="position:absolute;mso-position-horizontal-relative:page;mso-position-vertical-relative:paragraph;z-index:6928" from="41.040001pt,12.142658pt" to="288.540001pt,12.142658pt" stroked="true" strokeweight="1.5pt" strokecolor="#000000">
            <w10:wrap type="none"/>
          </v:line>
        </w:pict>
      </w:r>
      <w:r>
        <w:rPr>
          <w:b/>
          <w:sz w:val="18"/>
        </w:rPr>
        <w:t>Resumen</w:t>
      </w:r>
    </w:p>
    <w:p>
      <w:pPr>
        <w:spacing w:before="45"/>
        <w:ind w:left="270" w:right="16" w:firstLine="0"/>
        <w:jc w:val="both"/>
        <w:rPr>
          <w:sz w:val="18"/>
        </w:rPr>
      </w:pPr>
      <w:r>
        <w:rPr>
          <w:sz w:val="18"/>
        </w:rPr>
        <w:t>En el presente documento, se presenta un análisis ergonómico donde se evalúa el puesto de trabajo en una empresa del sector Industrial-Servicios, dentro del área de producción de lentes. El propósito, identificar el nivel de riesgo del tipo músculo- esquelético y los factores de riesgo para los trabajadores. En el estudio, se utilizó el método RULA (Rapid Upper Limb Assessment) que fue desarrollado para evaluar la exposición de los trabajadores a factores de riesgo que pueden ocasionar trastornos músculo-esqueléticos en los miembros superiores del cuerpo, tales como las posturas adoptadas, la repetitividad de los movimientos,  la fuerza aplicada o la actividad estática del sistema músculo- esquelético.  (Asensio-Cuesta, Bastante-Ceca, &amp; Diego-Más,</w:t>
      </w:r>
      <w:r>
        <w:rPr>
          <w:spacing w:val="-13"/>
          <w:sz w:val="18"/>
        </w:rPr>
        <w:t> </w:t>
      </w:r>
      <w:r>
        <w:rPr>
          <w:sz w:val="18"/>
        </w:rPr>
        <w:t>2012)</w:t>
      </w:r>
    </w:p>
    <w:p>
      <w:pPr>
        <w:pStyle w:val="BodyText"/>
        <w:rPr>
          <w:sz w:val="18"/>
        </w:rPr>
      </w:pPr>
    </w:p>
    <w:p>
      <w:pPr>
        <w:pStyle w:val="BodyText"/>
        <w:spacing w:before="10"/>
        <w:rPr>
          <w:sz w:val="17"/>
        </w:rPr>
      </w:pPr>
    </w:p>
    <w:p>
      <w:pPr>
        <w:spacing w:before="1"/>
        <w:ind w:left="270" w:right="0" w:firstLine="0"/>
        <w:jc w:val="both"/>
        <w:rPr>
          <w:sz w:val="18"/>
        </w:rPr>
      </w:pPr>
      <w:r>
        <w:rPr>
          <w:b/>
          <w:sz w:val="18"/>
        </w:rPr>
        <w:t>Palabras clave</w:t>
      </w:r>
      <w:r>
        <w:rPr>
          <w:sz w:val="18"/>
        </w:rPr>
        <w:t>—Evaluación ergonómica, Posturas, Riesgo.</w:t>
      </w:r>
    </w:p>
    <w:p>
      <w:pPr>
        <w:pStyle w:val="BodyText"/>
        <w:spacing w:before="6"/>
        <w:rPr>
          <w:sz w:val="18"/>
        </w:rPr>
      </w:pPr>
    </w:p>
    <w:p>
      <w:pPr>
        <w:spacing w:before="0"/>
        <w:ind w:left="270" w:right="0" w:firstLine="0"/>
        <w:jc w:val="both"/>
        <w:rPr>
          <w:b/>
          <w:i/>
          <w:sz w:val="18"/>
        </w:rPr>
      </w:pPr>
      <w:r>
        <w:rPr/>
        <w:pict>
          <v:line style="position:absolute;mso-position-horizontal-relative:page;mso-position-vertical-relative:paragraph;z-index:6952" from="41.040001pt,12.031743pt" to="288.540001pt,12.031743pt" stroked="true" strokeweight="1.5pt" strokecolor="#000000">
            <w10:wrap type="none"/>
          </v:line>
        </w:pict>
      </w:r>
      <w:r>
        <w:rPr>
          <w:b/>
          <w:i/>
          <w:sz w:val="18"/>
        </w:rPr>
        <w:t>Abstract</w:t>
      </w:r>
    </w:p>
    <w:p>
      <w:pPr>
        <w:spacing w:before="44"/>
        <w:ind w:left="270" w:right="15" w:firstLine="0"/>
        <w:jc w:val="both"/>
        <w:rPr>
          <w:i/>
          <w:sz w:val="18"/>
        </w:rPr>
      </w:pPr>
      <w:r>
        <w:rPr>
          <w:i/>
          <w:sz w:val="18"/>
        </w:rPr>
        <w:t>This document, features an ergonomic analysis where the job in a </w:t>
      </w:r>
      <w:r>
        <w:rPr>
          <w:i/>
          <w:sz w:val="18"/>
        </w:rPr>
        <w:t>company's Industrial Services sector within the area of production of lenses is evaluated. The purpose of identifying the level of risk of musculoskeletal and risk factors for workers. The RULA (Rapid Upper Limb Assessment) method was developed to evaluate worker exposure to risk factors that can cause musculoskeletal disorders of the upper limbs of the body, such as the positions taken was used in the study, the repetitive movements, applied force or static activity of the musculoskeletal system.</w:t>
      </w:r>
    </w:p>
    <w:p>
      <w:pPr>
        <w:pStyle w:val="BodyText"/>
        <w:rPr>
          <w:i/>
          <w:sz w:val="18"/>
        </w:rPr>
      </w:pPr>
    </w:p>
    <w:p>
      <w:pPr>
        <w:pStyle w:val="BodyText"/>
        <w:spacing w:before="10"/>
        <w:rPr>
          <w:i/>
          <w:sz w:val="17"/>
        </w:rPr>
      </w:pPr>
    </w:p>
    <w:p>
      <w:pPr>
        <w:spacing w:before="1"/>
        <w:ind w:left="270" w:right="0" w:firstLine="0"/>
        <w:jc w:val="both"/>
        <w:rPr>
          <w:i/>
          <w:sz w:val="18"/>
        </w:rPr>
      </w:pPr>
      <w:r>
        <w:rPr>
          <w:b/>
          <w:i/>
          <w:sz w:val="18"/>
        </w:rPr>
        <w:t>Keywords</w:t>
      </w:r>
      <w:r>
        <w:rPr>
          <w:i/>
          <w:sz w:val="18"/>
        </w:rPr>
        <w:t>— Ergonomic evaluation, Positions, Risk.</w:t>
      </w:r>
    </w:p>
    <w:p>
      <w:pPr>
        <w:pStyle w:val="BodyText"/>
        <w:rPr>
          <w:i/>
          <w:sz w:val="18"/>
        </w:rPr>
      </w:pPr>
    </w:p>
    <w:p>
      <w:pPr>
        <w:spacing w:before="0"/>
        <w:ind w:left="270" w:right="0" w:firstLine="0"/>
        <w:jc w:val="both"/>
        <w:rPr>
          <w:sz w:val="18"/>
        </w:rPr>
      </w:pPr>
      <w:r>
        <w:rPr>
          <w:sz w:val="18"/>
        </w:rPr>
        <w:t>Relevance to Ergonomics:</w:t>
      </w:r>
    </w:p>
    <w:p>
      <w:pPr>
        <w:pStyle w:val="BodyText"/>
        <w:spacing w:before="3"/>
        <w:rPr>
          <w:sz w:val="18"/>
        </w:rPr>
      </w:pPr>
    </w:p>
    <w:p>
      <w:pPr>
        <w:pStyle w:val="ListParagraph"/>
        <w:numPr>
          <w:ilvl w:val="0"/>
          <w:numId w:val="63"/>
        </w:numPr>
        <w:tabs>
          <w:tab w:pos="452" w:val="left" w:leader="none"/>
        </w:tabs>
        <w:spacing w:line="240" w:lineRule="auto" w:before="0" w:after="0"/>
        <w:ind w:left="451" w:right="0" w:hanging="181"/>
        <w:jc w:val="both"/>
        <w:rPr>
          <w:b/>
          <w:sz w:val="18"/>
        </w:rPr>
      </w:pPr>
      <w:r>
        <w:rPr>
          <w:b/>
          <w:sz w:val="18"/>
        </w:rPr>
        <w:t>INTRODUCTION</w:t>
      </w:r>
    </w:p>
    <w:p>
      <w:pPr>
        <w:pStyle w:val="BodyText"/>
        <w:spacing w:before="7"/>
        <w:rPr>
          <w:b/>
          <w:sz w:val="17"/>
        </w:rPr>
      </w:pPr>
    </w:p>
    <w:p>
      <w:pPr>
        <w:spacing w:before="1"/>
        <w:ind w:left="270" w:right="16" w:firstLine="0"/>
        <w:jc w:val="both"/>
        <w:rPr>
          <w:sz w:val="18"/>
        </w:rPr>
      </w:pPr>
      <w:r>
        <w:rPr>
          <w:sz w:val="18"/>
        </w:rPr>
        <w:t>Currently, the assessment of the work area is critical to determine the most effective and efficient way of working, which is directly reflected in productivity. These studies range from tools and equipment used in that area, lighting and amount of noise as well as the burdens and body postures.</w:t>
      </w:r>
    </w:p>
    <w:p>
      <w:pPr>
        <w:pStyle w:val="BodyText"/>
        <w:rPr>
          <w:sz w:val="18"/>
        </w:rPr>
      </w:pPr>
    </w:p>
    <w:p>
      <w:pPr>
        <w:spacing w:before="0"/>
        <w:ind w:left="270" w:right="16" w:firstLine="133"/>
        <w:jc w:val="both"/>
        <w:rPr>
          <w:sz w:val="18"/>
        </w:rPr>
      </w:pPr>
      <w:r>
        <w:rPr>
          <w:sz w:val="18"/>
        </w:rPr>
        <w:t>To perform the risk assessment of postural loads generated in a particular job, there are several methods with a specific focus and conclusive results.</w:t>
      </w:r>
    </w:p>
    <w:p>
      <w:pPr>
        <w:spacing w:before="0"/>
        <w:ind w:left="270" w:right="16" w:firstLine="178"/>
        <w:jc w:val="both"/>
        <w:rPr>
          <w:sz w:val="18"/>
        </w:rPr>
      </w:pPr>
      <w:r>
        <w:rPr>
          <w:sz w:val="18"/>
        </w:rPr>
        <w:t>The RULA (Rapid Upper Limb Assessment) method was developed by McAtamney and Corlett doctors at the University of Nottingham in 1993 (Institute for Occupational Ergonomics) to evaluate worker exposure to risk factors that can cause disorders in the upper limbs of body, such as positions, repeatability of movements, forces applied static activity of the skeletal muscle system.  (McAtamney &amp; Corlett, 1993)</w:t>
      </w:r>
    </w:p>
    <w:p>
      <w:pPr>
        <w:spacing w:line="206" w:lineRule="exact" w:before="0"/>
        <w:ind w:left="0" w:right="3727" w:firstLine="0"/>
        <w:jc w:val="center"/>
        <w:rPr>
          <w:sz w:val="18"/>
        </w:rPr>
      </w:pPr>
      <w:r>
        <w:rPr>
          <w:sz w:val="18"/>
        </w:rPr>
        <w:t>.</w:t>
      </w:r>
    </w:p>
    <w:p>
      <w:pPr>
        <w:pStyle w:val="BodyText"/>
        <w:spacing w:before="3"/>
        <w:rPr>
          <w:sz w:val="18"/>
        </w:rPr>
      </w:pPr>
    </w:p>
    <w:p>
      <w:pPr>
        <w:pStyle w:val="ListParagraph"/>
        <w:numPr>
          <w:ilvl w:val="0"/>
          <w:numId w:val="63"/>
        </w:numPr>
        <w:tabs>
          <w:tab w:pos="452" w:val="left" w:leader="none"/>
        </w:tabs>
        <w:spacing w:line="240" w:lineRule="auto" w:before="0" w:after="0"/>
        <w:ind w:left="452" w:right="0" w:hanging="182"/>
        <w:jc w:val="both"/>
        <w:rPr>
          <w:b/>
          <w:sz w:val="18"/>
        </w:rPr>
      </w:pPr>
      <w:r>
        <w:rPr>
          <w:b/>
          <w:sz w:val="18"/>
        </w:rPr>
        <w:t>OBJECTIVE:</w:t>
      </w:r>
    </w:p>
    <w:p>
      <w:pPr>
        <w:spacing w:before="77"/>
        <w:ind w:left="270" w:right="676" w:firstLine="0"/>
        <w:jc w:val="both"/>
        <w:rPr>
          <w:sz w:val="18"/>
        </w:rPr>
      </w:pPr>
      <w:r>
        <w:rPr/>
        <w:br w:type="column"/>
      </w:r>
      <w:r>
        <w:rPr>
          <w:sz w:val="18"/>
        </w:rPr>
        <w:t>Analyze the positions taken in the area of production of lenses, identifying the degree of risk of such positions by RULA method to develop strategies for improvement.</w:t>
      </w:r>
    </w:p>
    <w:p>
      <w:pPr>
        <w:pStyle w:val="BodyText"/>
        <w:spacing w:before="3"/>
        <w:rPr>
          <w:sz w:val="18"/>
        </w:rPr>
      </w:pPr>
    </w:p>
    <w:p>
      <w:pPr>
        <w:pStyle w:val="ListParagraph"/>
        <w:numPr>
          <w:ilvl w:val="0"/>
          <w:numId w:val="63"/>
        </w:numPr>
        <w:tabs>
          <w:tab w:pos="452" w:val="left" w:leader="none"/>
        </w:tabs>
        <w:spacing w:line="240" w:lineRule="auto" w:before="0" w:after="0"/>
        <w:ind w:left="451" w:right="0" w:hanging="181"/>
        <w:jc w:val="both"/>
        <w:rPr>
          <w:b/>
          <w:sz w:val="18"/>
        </w:rPr>
      </w:pPr>
      <w:r>
        <w:rPr>
          <w:b/>
          <w:sz w:val="18"/>
        </w:rPr>
        <w:t>DEFINITION:</w:t>
      </w:r>
    </w:p>
    <w:p>
      <w:pPr>
        <w:pStyle w:val="BodyText"/>
        <w:spacing w:before="7"/>
        <w:rPr>
          <w:b/>
          <w:sz w:val="17"/>
        </w:rPr>
      </w:pPr>
    </w:p>
    <w:p>
      <w:pPr>
        <w:spacing w:before="1"/>
        <w:ind w:left="270" w:right="0" w:firstLine="0"/>
        <w:jc w:val="both"/>
        <w:rPr>
          <w:sz w:val="18"/>
        </w:rPr>
      </w:pPr>
      <w:r>
        <w:rPr>
          <w:sz w:val="18"/>
        </w:rPr>
        <w:t>The study was conducted within the area of production of lenses.</w:t>
      </w:r>
    </w:p>
    <w:p>
      <w:pPr>
        <w:pStyle w:val="BodyText"/>
        <w:spacing w:before="3"/>
        <w:rPr>
          <w:sz w:val="18"/>
        </w:rPr>
      </w:pPr>
    </w:p>
    <w:p>
      <w:pPr>
        <w:pStyle w:val="ListParagraph"/>
        <w:numPr>
          <w:ilvl w:val="0"/>
          <w:numId w:val="63"/>
        </w:numPr>
        <w:tabs>
          <w:tab w:pos="452" w:val="left" w:leader="none"/>
        </w:tabs>
        <w:spacing w:line="240" w:lineRule="auto" w:before="0" w:after="0"/>
        <w:ind w:left="451" w:right="0" w:hanging="181"/>
        <w:jc w:val="both"/>
        <w:rPr>
          <w:b/>
          <w:sz w:val="18"/>
        </w:rPr>
      </w:pPr>
      <w:r>
        <w:rPr>
          <w:b/>
          <w:sz w:val="18"/>
        </w:rPr>
        <w:t>METHODOLOGY</w:t>
      </w:r>
    </w:p>
    <w:p>
      <w:pPr>
        <w:pStyle w:val="BodyText"/>
        <w:spacing w:before="7"/>
        <w:rPr>
          <w:b/>
          <w:sz w:val="17"/>
        </w:rPr>
      </w:pPr>
    </w:p>
    <w:p>
      <w:pPr>
        <w:spacing w:before="1"/>
        <w:ind w:left="270" w:right="677" w:firstLine="0"/>
        <w:jc w:val="both"/>
        <w:rPr>
          <w:sz w:val="18"/>
        </w:rPr>
      </w:pPr>
      <w:r>
        <w:rPr>
          <w:sz w:val="18"/>
        </w:rPr>
        <w:t>The subject under study, is an operator that performs its work in the area of production of lenses, during a working day of 8 hours divided in two shifts of four hours respectively. During this time, repetitive positions and angular rotations occur.</w:t>
      </w:r>
    </w:p>
    <w:p>
      <w:pPr>
        <w:pStyle w:val="BodyText"/>
        <w:spacing w:before="3"/>
        <w:rPr>
          <w:sz w:val="18"/>
        </w:rPr>
      </w:pPr>
    </w:p>
    <w:p>
      <w:pPr>
        <w:pStyle w:val="ListParagraph"/>
        <w:numPr>
          <w:ilvl w:val="1"/>
          <w:numId w:val="63"/>
        </w:numPr>
        <w:tabs>
          <w:tab w:pos="542" w:val="left" w:leader="none"/>
        </w:tabs>
        <w:spacing w:line="240" w:lineRule="auto" w:before="0" w:after="0"/>
        <w:ind w:left="541" w:right="0" w:hanging="271"/>
        <w:jc w:val="both"/>
        <w:rPr>
          <w:b/>
          <w:sz w:val="18"/>
        </w:rPr>
      </w:pPr>
      <w:r>
        <w:rPr>
          <w:b/>
          <w:sz w:val="18"/>
        </w:rPr>
        <w:t>Materials</w:t>
      </w:r>
    </w:p>
    <w:p>
      <w:pPr>
        <w:pStyle w:val="BodyText"/>
        <w:spacing w:before="8"/>
        <w:rPr>
          <w:b/>
          <w:sz w:val="17"/>
        </w:rPr>
      </w:pPr>
    </w:p>
    <w:p>
      <w:pPr>
        <w:pStyle w:val="ListParagraph"/>
        <w:numPr>
          <w:ilvl w:val="2"/>
          <w:numId w:val="63"/>
        </w:numPr>
        <w:tabs>
          <w:tab w:pos="978" w:val="left" w:leader="none"/>
          <w:tab w:pos="979" w:val="left" w:leader="none"/>
        </w:tabs>
        <w:spacing w:line="240" w:lineRule="auto" w:before="0" w:after="0"/>
        <w:ind w:left="978" w:right="0" w:hanging="348"/>
        <w:jc w:val="left"/>
        <w:rPr>
          <w:sz w:val="18"/>
        </w:rPr>
      </w:pPr>
      <w:r>
        <w:rPr>
          <w:sz w:val="18"/>
        </w:rPr>
        <w:t>Camera</w:t>
      </w:r>
    </w:p>
    <w:p>
      <w:pPr>
        <w:pStyle w:val="BodyText"/>
        <w:spacing w:before="11"/>
        <w:rPr>
          <w:sz w:val="17"/>
        </w:rPr>
      </w:pPr>
    </w:p>
    <w:p>
      <w:pPr>
        <w:pStyle w:val="ListParagraph"/>
        <w:numPr>
          <w:ilvl w:val="2"/>
          <w:numId w:val="63"/>
        </w:numPr>
        <w:tabs>
          <w:tab w:pos="978" w:val="left" w:leader="none"/>
          <w:tab w:pos="979" w:val="left" w:leader="none"/>
        </w:tabs>
        <w:spacing w:line="240" w:lineRule="auto" w:before="0" w:after="0"/>
        <w:ind w:left="978" w:right="0" w:hanging="348"/>
        <w:jc w:val="left"/>
        <w:rPr>
          <w:sz w:val="18"/>
        </w:rPr>
      </w:pPr>
      <w:r>
        <w:rPr>
          <w:sz w:val="18"/>
        </w:rPr>
        <w:t>Field sheet method</w:t>
      </w:r>
      <w:r>
        <w:rPr>
          <w:spacing w:val="-2"/>
          <w:sz w:val="18"/>
        </w:rPr>
        <w:t> </w:t>
      </w:r>
      <w:r>
        <w:rPr>
          <w:sz w:val="18"/>
        </w:rPr>
        <w:t>RULA</w:t>
      </w:r>
    </w:p>
    <w:p>
      <w:pPr>
        <w:pStyle w:val="BodyText"/>
        <w:rPr>
          <w:sz w:val="18"/>
        </w:rPr>
      </w:pPr>
    </w:p>
    <w:p>
      <w:pPr>
        <w:pStyle w:val="BodyText"/>
        <w:spacing w:before="2"/>
        <w:rPr>
          <w:sz w:val="18"/>
        </w:rPr>
      </w:pPr>
    </w:p>
    <w:p>
      <w:pPr>
        <w:pStyle w:val="ListParagraph"/>
        <w:numPr>
          <w:ilvl w:val="1"/>
          <w:numId w:val="63"/>
        </w:numPr>
        <w:tabs>
          <w:tab w:pos="542" w:val="left" w:leader="none"/>
        </w:tabs>
        <w:spacing w:line="240" w:lineRule="auto" w:before="0" w:after="0"/>
        <w:ind w:left="541" w:right="0" w:hanging="271"/>
        <w:jc w:val="both"/>
        <w:rPr>
          <w:b/>
          <w:sz w:val="18"/>
        </w:rPr>
      </w:pPr>
      <w:r>
        <w:rPr>
          <w:b/>
          <w:sz w:val="18"/>
        </w:rPr>
        <w:t>Process</w:t>
      </w:r>
    </w:p>
    <w:p>
      <w:pPr>
        <w:pStyle w:val="BodyText"/>
        <w:spacing w:before="7"/>
        <w:rPr>
          <w:b/>
          <w:sz w:val="17"/>
        </w:rPr>
      </w:pPr>
    </w:p>
    <w:p>
      <w:pPr>
        <w:spacing w:before="1"/>
        <w:ind w:left="270" w:right="678" w:firstLine="0"/>
        <w:jc w:val="both"/>
        <w:rPr>
          <w:sz w:val="18"/>
        </w:rPr>
      </w:pPr>
      <w:r>
        <w:rPr>
          <w:sz w:val="18"/>
        </w:rPr>
        <w:t>RULA. Assesses the exposure of workers to risk factors that can cause disorders in the upper limbs: postures, repetitiveness of movements, applied forces and static activity of  the musculoskeletal system.  (Barba Morán, 2007)</w:t>
      </w:r>
    </w:p>
    <w:p>
      <w:pPr>
        <w:pStyle w:val="BodyText"/>
        <w:rPr>
          <w:sz w:val="18"/>
        </w:rPr>
      </w:pPr>
    </w:p>
    <w:p>
      <w:pPr>
        <w:spacing w:before="0"/>
        <w:ind w:left="270" w:right="677" w:firstLine="178"/>
        <w:jc w:val="both"/>
        <w:rPr>
          <w:sz w:val="18"/>
        </w:rPr>
      </w:pPr>
      <w:r>
        <w:rPr>
          <w:sz w:val="18"/>
        </w:rPr>
        <w:t>This technique ergonomic evaluation. Study individual positions and occupational risk factors that have been associated with musculoskeletal disorders. Using RULA results in a risk factor between 1 and 7, where the score factor or higher means more risk. RULA is an assessment tool used to detect positions of work requiring attention or modification. (Universidad Católica Andrés Bello, 2006)</w:t>
      </w:r>
    </w:p>
    <w:p>
      <w:pPr>
        <w:pStyle w:val="BodyText"/>
        <w:rPr>
          <w:sz w:val="18"/>
        </w:rPr>
      </w:pPr>
    </w:p>
    <w:p>
      <w:pPr>
        <w:spacing w:before="0"/>
        <w:ind w:left="270" w:right="679" w:firstLine="133"/>
        <w:jc w:val="both"/>
        <w:rPr>
          <w:sz w:val="18"/>
        </w:rPr>
      </w:pPr>
      <w:r>
        <w:rPr>
          <w:sz w:val="18"/>
        </w:rPr>
        <w:t>The RULA method allows assessment of the positions of the upper limb including the trunk, neck and legs. (Llaneza Álvarez, 2007)</w:t>
      </w:r>
    </w:p>
    <w:p>
      <w:pPr>
        <w:pStyle w:val="BodyText"/>
        <w:rPr>
          <w:sz w:val="18"/>
        </w:rPr>
      </w:pPr>
    </w:p>
    <w:p>
      <w:pPr>
        <w:spacing w:before="0"/>
        <w:ind w:left="270" w:right="678" w:firstLine="178"/>
        <w:jc w:val="both"/>
        <w:rPr>
          <w:sz w:val="18"/>
        </w:rPr>
      </w:pPr>
      <w:r>
        <w:rPr>
          <w:sz w:val="18"/>
        </w:rPr>
        <w:t>This method of measuring rapid movements of the upper limbs, is used to assess the status of the configuration of the workstation with a system of evaluation points with a range that spans four levels of action.  (Rivas,</w:t>
      </w:r>
      <w:r>
        <w:rPr>
          <w:spacing w:val="-1"/>
          <w:sz w:val="18"/>
        </w:rPr>
        <w:t> </w:t>
      </w:r>
      <w:r>
        <w:rPr>
          <w:sz w:val="18"/>
        </w:rPr>
        <w:t>2007)</w:t>
      </w:r>
    </w:p>
    <w:p>
      <w:pPr>
        <w:pStyle w:val="BodyText"/>
        <w:rPr>
          <w:sz w:val="18"/>
        </w:rPr>
      </w:pPr>
    </w:p>
    <w:p>
      <w:pPr>
        <w:spacing w:before="0"/>
        <w:ind w:left="270" w:right="677" w:firstLine="134"/>
        <w:jc w:val="both"/>
        <w:rPr>
          <w:sz w:val="18"/>
        </w:rPr>
      </w:pPr>
      <w:r>
        <w:rPr>
          <w:sz w:val="18"/>
        </w:rPr>
        <w:t>A great advantage of RULA is that it allows a rapid initial assessment of large numbers of workers.</w:t>
      </w:r>
    </w:p>
    <w:p>
      <w:pPr>
        <w:pStyle w:val="BodyText"/>
        <w:rPr>
          <w:sz w:val="18"/>
        </w:rPr>
      </w:pPr>
    </w:p>
    <w:p>
      <w:pPr>
        <w:spacing w:before="0"/>
        <w:ind w:left="270" w:right="680" w:firstLine="102"/>
        <w:jc w:val="both"/>
        <w:rPr>
          <w:sz w:val="18"/>
        </w:rPr>
      </w:pPr>
      <w:r>
        <w:rPr>
          <w:sz w:val="18"/>
        </w:rPr>
        <w:t>It is based on direct observation of the positions taken during the task by upper extremities, neck, back and legs.</w:t>
      </w:r>
    </w:p>
    <w:p>
      <w:pPr>
        <w:pStyle w:val="BodyText"/>
        <w:rPr>
          <w:sz w:val="18"/>
        </w:rPr>
      </w:pPr>
    </w:p>
    <w:p>
      <w:pPr>
        <w:spacing w:before="0"/>
        <w:ind w:left="270" w:right="678" w:firstLine="133"/>
        <w:jc w:val="both"/>
        <w:rPr>
          <w:sz w:val="18"/>
        </w:rPr>
      </w:pPr>
      <w:r>
        <w:rPr>
          <w:sz w:val="18"/>
        </w:rPr>
        <w:t>Identifies four levels of action in relation to the values that have been obtained from the evaluation of the exposure factors mentioned above.</w:t>
      </w:r>
    </w:p>
    <w:p>
      <w:pPr>
        <w:pStyle w:val="BodyText"/>
        <w:rPr>
          <w:sz w:val="18"/>
        </w:rPr>
      </w:pPr>
    </w:p>
    <w:p>
      <w:pPr>
        <w:spacing w:before="0"/>
        <w:ind w:left="270" w:right="677" w:firstLine="133"/>
        <w:jc w:val="both"/>
        <w:rPr>
          <w:sz w:val="18"/>
        </w:rPr>
      </w:pPr>
      <w:r>
        <w:rPr>
          <w:sz w:val="18"/>
        </w:rPr>
        <w:t>The analysis can be performed before and after an intervention to demonstrate that such action has influenced decrease the risk of injury.</w:t>
      </w:r>
    </w:p>
    <w:p>
      <w:pPr>
        <w:pStyle w:val="BodyText"/>
        <w:rPr>
          <w:sz w:val="18"/>
        </w:rPr>
      </w:pPr>
    </w:p>
    <w:p>
      <w:pPr>
        <w:spacing w:before="0"/>
        <w:ind w:left="270" w:right="678" w:firstLine="133"/>
        <w:jc w:val="both"/>
        <w:rPr>
          <w:sz w:val="18"/>
        </w:rPr>
      </w:pPr>
      <w:r>
        <w:rPr>
          <w:sz w:val="18"/>
        </w:rPr>
        <w:t>Evaluates specific positions; is important to evaluate those which involve a higher postural load. The application of the method begins with the observation of the worker's activity over several cycles.  From  this  observation  should  be  selected</w:t>
      </w:r>
      <w:r>
        <w:rPr>
          <w:spacing w:val="19"/>
          <w:sz w:val="18"/>
        </w:rPr>
        <w:t> </w:t>
      </w:r>
      <w:r>
        <w:rPr>
          <w:sz w:val="18"/>
        </w:rPr>
        <w:t>tasks and most</w:t>
      </w:r>
    </w:p>
    <w:p>
      <w:pPr>
        <w:spacing w:after="0"/>
        <w:jc w:val="both"/>
        <w:rPr>
          <w:sz w:val="18"/>
        </w:rPr>
        <w:sectPr>
          <w:type w:val="continuous"/>
          <w:pgSz w:w="12240" w:h="15840"/>
          <w:pgMar w:top="1500" w:bottom="280" w:left="580" w:right="220"/>
          <w:cols w:num="2" w:equalWidth="0">
            <w:col w:w="5181" w:space="417"/>
            <w:col w:w="5842"/>
          </w:cols>
        </w:sectPr>
      </w:pPr>
    </w:p>
    <w:p>
      <w:pPr>
        <w:pStyle w:val="BodyText"/>
        <w:spacing w:before="7"/>
        <w:rPr>
          <w:sz w:val="17"/>
        </w:rPr>
      </w:pPr>
    </w:p>
    <w:p>
      <w:pPr>
        <w:spacing w:before="1"/>
        <w:ind w:left="270" w:right="1" w:firstLine="0"/>
        <w:jc w:val="both"/>
        <w:rPr>
          <w:sz w:val="18"/>
        </w:rPr>
      </w:pPr>
      <w:r>
        <w:rPr>
          <w:sz w:val="18"/>
        </w:rPr>
        <w:t>significant positions, may be in duration, priority or greater  postural</w:t>
      </w:r>
      <w:r>
        <w:rPr>
          <w:spacing w:val="-3"/>
          <w:sz w:val="18"/>
        </w:rPr>
        <w:t> </w:t>
      </w:r>
      <w:r>
        <w:rPr>
          <w:sz w:val="18"/>
        </w:rPr>
        <w:t>load.</w:t>
      </w:r>
    </w:p>
    <w:p>
      <w:pPr>
        <w:pStyle w:val="BodyText"/>
        <w:rPr>
          <w:sz w:val="18"/>
        </w:rPr>
      </w:pPr>
    </w:p>
    <w:p>
      <w:pPr>
        <w:spacing w:before="0"/>
        <w:ind w:left="270" w:right="1" w:firstLine="133"/>
        <w:jc w:val="both"/>
        <w:rPr>
          <w:sz w:val="18"/>
        </w:rPr>
      </w:pPr>
      <w:r>
        <w:rPr>
          <w:sz w:val="18"/>
        </w:rPr>
        <w:t>The measurements to be performed on the positions taken are fundamentally angle. These measurements can be performed directly on the worker using protractors or any device for making angle data (you may use photographs of the worker taking the position studied and measuring angles on them).</w:t>
      </w:r>
    </w:p>
    <w:p>
      <w:pPr>
        <w:pStyle w:val="BodyText"/>
        <w:rPr>
          <w:sz w:val="18"/>
        </w:rPr>
      </w:pPr>
    </w:p>
    <w:p>
      <w:pPr>
        <w:spacing w:before="0"/>
        <w:ind w:left="270" w:right="1" w:firstLine="133"/>
        <w:jc w:val="both"/>
        <w:rPr>
          <w:sz w:val="18"/>
        </w:rPr>
      </w:pPr>
      <w:r>
        <w:rPr>
          <w:sz w:val="18"/>
        </w:rPr>
        <w:t>The RULA divides the body into two groups: A group that includes the upper limbs (arms, forearms and wrists) and group B, comprising the legs, trunk and neck.</w:t>
      </w:r>
    </w:p>
    <w:p>
      <w:pPr>
        <w:spacing w:before="0"/>
        <w:ind w:left="270" w:right="1" w:firstLine="0"/>
        <w:jc w:val="both"/>
        <w:rPr>
          <w:sz w:val="18"/>
        </w:rPr>
      </w:pPr>
      <w:r>
        <w:rPr>
          <w:sz w:val="18"/>
        </w:rPr>
        <w:t>By the tables associated with the method, a score to each body part (legs, wrists, arms, trunk) is assigned, based on these scores, global values are assigned to each of the groups A and B.</w:t>
      </w:r>
    </w:p>
    <w:p>
      <w:pPr>
        <w:spacing w:before="0"/>
        <w:ind w:left="270" w:right="954" w:firstLine="133"/>
        <w:jc w:val="both"/>
        <w:rPr>
          <w:sz w:val="18"/>
        </w:rPr>
      </w:pPr>
      <w:r>
        <w:rPr>
          <w:sz w:val="18"/>
        </w:rPr>
        <w:t>The method determines for each member in the f measurement. Subsequently, overall scores of groups modified depending on the type of muscular activity d the force applied during task performance. Lastly, the obtained from such global modified values.</w:t>
      </w:r>
    </w:p>
    <w:p>
      <w:pPr>
        <w:pStyle w:val="BodyText"/>
        <w:rPr>
          <w:sz w:val="18"/>
        </w:rPr>
      </w:pPr>
    </w:p>
    <w:p>
      <w:pPr>
        <w:spacing w:before="0"/>
        <w:ind w:left="270" w:right="809" w:firstLine="133"/>
        <w:jc w:val="left"/>
        <w:rPr>
          <w:sz w:val="18"/>
        </w:rPr>
      </w:pPr>
      <w:r>
        <w:rPr>
          <w:sz w:val="18"/>
        </w:rPr>
        <w:t>The final value provided by the RULA is proporti involved in performing the task, so that higher val greater risk of skeletal muscle injury.</w:t>
      </w:r>
    </w:p>
    <w:p>
      <w:pPr>
        <w:pStyle w:val="BodyText"/>
        <w:rPr>
          <w:sz w:val="18"/>
        </w:rPr>
      </w:pPr>
    </w:p>
    <w:p>
      <w:pPr>
        <w:spacing w:before="0"/>
        <w:ind w:left="270" w:right="0" w:firstLine="133"/>
        <w:jc w:val="both"/>
        <w:rPr>
          <w:sz w:val="18"/>
        </w:rPr>
      </w:pPr>
      <w:r>
        <w:rPr>
          <w:sz w:val="18"/>
        </w:rPr>
        <w:t>The proposed performance levels ranging from level 1, which estimates the posture assessed acceptable, level 4, which indicates the urgent need for changes in activity.</w:t>
      </w:r>
    </w:p>
    <w:p>
      <w:pPr>
        <w:pStyle w:val="BodyText"/>
        <w:rPr>
          <w:sz w:val="18"/>
        </w:rPr>
      </w:pPr>
    </w:p>
    <w:p>
      <w:pPr>
        <w:spacing w:before="0"/>
        <w:ind w:left="270" w:right="3" w:firstLine="133"/>
        <w:jc w:val="both"/>
        <w:rPr>
          <w:sz w:val="18"/>
        </w:rPr>
      </w:pPr>
      <w:r>
        <w:rPr>
          <w:sz w:val="18"/>
        </w:rPr>
        <w:t>The material used in this study are the rubrics of different groups, camera to capture the positions taken and video camera.</w:t>
      </w:r>
    </w:p>
    <w:p>
      <w:pPr>
        <w:pStyle w:val="BodyText"/>
        <w:rPr>
          <w:sz w:val="18"/>
        </w:rPr>
      </w:pPr>
    </w:p>
    <w:p>
      <w:pPr>
        <w:spacing w:line="480" w:lineRule="auto" w:before="0"/>
        <w:ind w:left="270" w:right="103" w:firstLine="0"/>
        <w:jc w:val="left"/>
        <w:rPr>
          <w:sz w:val="18"/>
        </w:rPr>
      </w:pPr>
      <w:r>
        <w:rPr/>
        <w:drawing>
          <wp:anchor distT="0" distB="0" distL="0" distR="0" allowOverlap="1" layoutInCell="1" locked="0" behindDoc="1" simplePos="0" relativeHeight="267563759">
            <wp:simplePos x="0" y="0"/>
            <wp:positionH relativeFrom="page">
              <wp:posOffset>856488</wp:posOffset>
            </wp:positionH>
            <wp:positionV relativeFrom="paragraph">
              <wp:posOffset>397024</wp:posOffset>
            </wp:positionV>
            <wp:extent cx="2471928" cy="1121664"/>
            <wp:effectExtent l="0" t="0" r="0" b="0"/>
            <wp:wrapNone/>
            <wp:docPr id="237" name="image129.png" descr=""/>
            <wp:cNvGraphicFramePr>
              <a:graphicFrameLocks noChangeAspect="1"/>
            </wp:cNvGraphicFramePr>
            <a:graphic>
              <a:graphicData uri="http://schemas.openxmlformats.org/drawingml/2006/picture">
                <pic:pic>
                  <pic:nvPicPr>
                    <pic:cNvPr id="238" name="image129.png"/>
                    <pic:cNvPicPr/>
                  </pic:nvPicPr>
                  <pic:blipFill>
                    <a:blip r:embed="rId221" cstate="print"/>
                    <a:stretch>
                      <a:fillRect/>
                    </a:stretch>
                  </pic:blipFill>
                  <pic:spPr>
                    <a:xfrm>
                      <a:off x="0" y="0"/>
                      <a:ext cx="2471928" cy="1121664"/>
                    </a:xfrm>
                    <a:prstGeom prst="rect">
                      <a:avLst/>
                    </a:prstGeom>
                  </pic:spPr>
                </pic:pic>
              </a:graphicData>
            </a:graphic>
          </wp:anchor>
        </w:drawing>
      </w:r>
      <w:r>
        <w:rPr>
          <w:b/>
          <w:sz w:val="18"/>
        </w:rPr>
        <w:t>Group A: </w:t>
      </w:r>
      <w:r>
        <w:rPr>
          <w:sz w:val="18"/>
        </w:rPr>
        <w:t>Ratings of the upper limbs (arms, forearms and wrists). Score arms:</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spacing w:before="117"/>
        <w:ind w:left="278" w:right="11" w:firstLine="0"/>
        <w:jc w:val="center"/>
        <w:rPr>
          <w:sz w:val="18"/>
        </w:rPr>
      </w:pPr>
      <w:r>
        <w:rPr>
          <w:sz w:val="18"/>
        </w:rPr>
        <w:t>Fig. 1 Rating arms.</w:t>
      </w:r>
    </w:p>
    <w:p>
      <w:pPr>
        <w:pStyle w:val="BodyText"/>
        <w:rPr>
          <w:sz w:val="18"/>
        </w:rPr>
      </w:pPr>
    </w:p>
    <w:p>
      <w:pPr>
        <w:tabs>
          <w:tab w:pos="3445" w:val="left" w:leader="none"/>
        </w:tabs>
        <w:spacing w:before="135"/>
        <w:ind w:left="1104" w:right="115" w:firstLine="0"/>
        <w:jc w:val="left"/>
        <w:rPr>
          <w:b/>
          <w:sz w:val="18"/>
        </w:rPr>
      </w:pPr>
      <w:r>
        <w:rPr>
          <w:b/>
          <w:color w:val="FFFFFF"/>
          <w:sz w:val="18"/>
        </w:rPr>
        <w:t>Score</w:t>
        <w:tab/>
        <w:t>Position</w:t>
      </w:r>
    </w:p>
    <w:p>
      <w:pPr>
        <w:pStyle w:val="BodyText"/>
        <w:spacing w:before="2"/>
        <w:rPr>
          <w:b/>
        </w:rPr>
      </w:pPr>
    </w:p>
    <w:p>
      <w:pPr>
        <w:tabs>
          <w:tab w:pos="3025" w:val="left" w:leader="none"/>
        </w:tabs>
        <w:spacing w:before="0"/>
        <w:ind w:left="1688" w:right="115" w:firstLine="0"/>
        <w:jc w:val="left"/>
        <w:rPr>
          <w:sz w:val="18"/>
        </w:rPr>
      </w:pPr>
      <w:r>
        <w:rPr/>
        <w:pict>
          <v:shape style="position:absolute;margin-left:185.940002pt;margin-top:6.84234pt;width:426.1pt;height:45.25pt;mso-position-horizontal-relative:page;mso-position-vertical-relative:paragraph;z-index:-871768" type="#_x0000_t202" filled="false" stroked="false">
            <v:textbox inset="0,0,0,0">
              <w:txbxContent>
                <w:p>
                  <w:pPr>
                    <w:spacing w:before="69"/>
                    <w:ind w:left="778" w:right="6367" w:firstLine="0"/>
                    <w:jc w:val="left"/>
                    <w:rPr>
                      <w:sz w:val="18"/>
                    </w:rPr>
                  </w:pPr>
                  <w:r>
                    <w:rPr>
                      <w:sz w:val="18"/>
                    </w:rPr>
                    <w:t>flexion</w:t>
                  </w:r>
                </w:p>
                <w:p>
                  <w:pPr>
                    <w:spacing w:before="74"/>
                    <w:ind w:left="778" w:right="6367" w:hanging="736"/>
                    <w:jc w:val="left"/>
                    <w:rPr>
                      <w:sz w:val="18"/>
                    </w:rPr>
                  </w:pPr>
                  <w:r>
                    <w:rPr>
                      <w:sz w:val="18"/>
                    </w:rPr>
                    <w:t>xteded &gt; 20° or 20° to 45° of flexion</w:t>
                  </w:r>
                </w:p>
              </w:txbxContent>
            </v:textbox>
            <w10:wrap type="none"/>
          </v:shape>
        </w:pict>
      </w:r>
      <w:r>
        <w:rPr/>
        <w:pict>
          <v:shape style="position:absolute;margin-left:182.580002pt;margin-top:7.622341pt;width:148.4pt;height:27pt;mso-position-horizontal-relative:page;mso-position-vertical-relative:paragraph;z-index:-871744" type="#_x0000_t202" filled="false" stroked="false">
            <v:textbox inset="0,0,0,0">
              <w:txbxContent>
                <w:p>
                  <w:pPr>
                    <w:pStyle w:val="BodyText"/>
                    <w:rPr>
                      <w:sz w:val="18"/>
                    </w:rPr>
                  </w:pPr>
                </w:p>
                <w:p>
                  <w:pPr>
                    <w:spacing w:line="205" w:lineRule="exact" w:before="127"/>
                    <w:ind w:left="0" w:right="0" w:firstLine="0"/>
                    <w:jc w:val="left"/>
                    <w:rPr>
                      <w:sz w:val="18"/>
                    </w:rPr>
                  </w:pPr>
                  <w:r>
                    <w:rPr>
                      <w:sz w:val="18"/>
                    </w:rPr>
                    <w:t>E</w:t>
                  </w:r>
                </w:p>
              </w:txbxContent>
            </v:textbox>
            <w10:wrap type="none"/>
          </v:shape>
        </w:pict>
      </w:r>
      <w:r>
        <w:rPr>
          <w:position w:val="-9"/>
          <w:sz w:val="18"/>
        </w:rPr>
        <w:t>1</w:t>
        <w:tab/>
      </w:r>
      <w:r>
        <w:rPr>
          <w:sz w:val="18"/>
        </w:rPr>
        <w:t>F</w:t>
      </w:r>
    </w:p>
    <w:p>
      <w:pPr>
        <w:pStyle w:val="BodyText"/>
        <w:spacing w:before="8" w:after="39"/>
        <w:rPr>
          <w:sz w:val="14"/>
        </w:rPr>
      </w:pPr>
      <w:r>
        <w:rPr/>
        <w:br w:type="column"/>
      </w:r>
      <w:r>
        <w:rPr>
          <w:sz w:val="14"/>
        </w:rPr>
      </w:r>
    </w:p>
    <w:p>
      <w:pPr>
        <w:pStyle w:val="BodyText"/>
        <w:ind w:left="888"/>
      </w:pPr>
      <w:r>
        <w:rPr/>
        <w:drawing>
          <wp:inline distT="0" distB="0" distL="0" distR="0">
            <wp:extent cx="2319793" cy="1781175"/>
            <wp:effectExtent l="0" t="0" r="0" b="0"/>
            <wp:docPr id="239" name="image130.png" descr=""/>
            <wp:cNvGraphicFramePr>
              <a:graphicFrameLocks noChangeAspect="1"/>
            </wp:cNvGraphicFramePr>
            <a:graphic>
              <a:graphicData uri="http://schemas.openxmlformats.org/drawingml/2006/picture">
                <pic:pic>
                  <pic:nvPicPr>
                    <pic:cNvPr id="240" name="image130.png"/>
                    <pic:cNvPicPr/>
                  </pic:nvPicPr>
                  <pic:blipFill>
                    <a:blip r:embed="rId222" cstate="print"/>
                    <a:stretch>
                      <a:fillRect/>
                    </a:stretch>
                  </pic:blipFill>
                  <pic:spPr>
                    <a:xfrm>
                      <a:off x="0" y="0"/>
                      <a:ext cx="2319793" cy="1781175"/>
                    </a:xfrm>
                    <a:prstGeom prst="rect">
                      <a:avLst/>
                    </a:prstGeom>
                  </pic:spPr>
                </pic:pic>
              </a:graphicData>
            </a:graphic>
          </wp:inline>
        </w:drawing>
      </w:r>
      <w:r>
        <w:rPr/>
      </w:r>
    </w:p>
    <w:p>
      <w:pPr>
        <w:spacing w:before="0"/>
        <w:ind w:left="0" w:right="628" w:firstLine="0"/>
        <w:jc w:val="center"/>
        <w:rPr>
          <w:sz w:val="18"/>
        </w:rPr>
      </w:pPr>
      <w:r>
        <w:rPr/>
        <w:pict>
          <v:shape style="position:absolute;margin-left:237.920883pt;margin-top:10.562065pt;width:374.1pt;height:27pt;mso-position-horizontal-relative:page;mso-position-vertical-relative:paragraph;z-index:-871840" type="#_x0000_t202" filled="false" stroked="false">
            <v:textbox inset="0,0,0,0">
              <w:txbxContent>
                <w:p>
                  <w:pPr>
                    <w:spacing w:before="87"/>
                    <w:ind w:left="68" w:right="6484" w:hanging="69"/>
                    <w:jc w:val="left"/>
                    <w:rPr>
                      <w:sz w:val="18"/>
                    </w:rPr>
                  </w:pPr>
                  <w:r>
                    <w:rPr>
                      <w:sz w:val="18"/>
                    </w:rPr>
                    <w:t>orm of angle A and B  are</w:t>
                  </w:r>
                </w:p>
              </w:txbxContent>
            </v:textbox>
            <w10:wrap type="none"/>
          </v:shape>
        </w:pict>
      </w:r>
      <w:r>
        <w:rPr/>
        <w:pict>
          <v:group style="position:absolute;margin-left:238.699997pt;margin-top:10.562065pt;width:373.7pt;height:86.25pt;mso-position-horizontal-relative:page;mso-position-vertical-relative:paragraph;z-index:-871648" coordorigin="4774,211" coordsize="7474,1725">
            <v:shape style="position:absolute;left:4782;top:211;width:7458;height:540" coordorigin="4782,211" coordsize="7458,540" path="m12240,211l4782,211,4782,751,12240,751,12240,736,12240,227,12240,211e" filled="true" fillcolor="#ffffff" stroked="false">
              <v:path arrowok="t"/>
              <v:fill type="solid"/>
            </v:shape>
            <v:shape style="position:absolute;left:6796;top:286;width:4196;height:393" coordorigin="6796,286" coordsize="4196,393" path="m8669,286l6796,286,6796,378,6811,378,6811,584,6796,584,6796,678,8669,678,8669,584,8654,584,8654,378,8669,378,8669,286m10991,286l8713,286,8713,378,8728,378,8728,584,8713,584,8713,678,10991,678,10991,584,10976,584,10976,378,10991,378,10991,286e" filled="true" fillcolor="#000000" stroked="false">
              <v:path arrowok="t"/>
              <v:fill type="solid"/>
            </v:shape>
            <v:line style="position:absolute" from="6744,234" to="11027,234" stroked="true" strokeweight=".71997pt" strokecolor="#175977"/>
            <v:line style="position:absolute" from="6794,669" to="8669,669" stroked="true" strokeweight=".78003pt" strokecolor="#000000"/>
            <v:line style="position:absolute" from="6794,293" to="8669,293" stroked="true" strokeweight=".77997pt" strokecolor="#000000"/>
            <v:line style="position:absolute" from="6751,227" to="6751,736" stroked="true" strokeweight=".72pt" strokecolor="#175977"/>
            <v:line style="position:absolute" from="6744,728" to="8690,728" stroked="true" strokeweight=".72003pt" strokecolor="#175977"/>
            <v:line style="position:absolute" from="8712,669" to="10991,669" stroked="true" strokeweight=".78003pt" strokecolor="#000000"/>
            <v:line style="position:absolute" from="8712,293" to="10991,293" stroked="true" strokeweight=".77997pt" strokecolor="#000000"/>
            <v:line style="position:absolute" from="8690,728" to="11027,728" stroked="true" strokeweight=".72003pt" strokecolor="#175977"/>
            <v:line style="position:absolute" from="11034,227" to="11034,736" stroked="true" strokeweight=".71997pt" strokecolor="#175977"/>
            <v:shape style="position:absolute;left:4782;top:220;width:7458;height:524" coordorigin="4782,220" coordsize="7458,524" path="m4782,220l12240,220m4782,743l12240,743e" filled="false" stroked="true" strokeweight=".77997pt" strokecolor="#ffffff">
              <v:path arrowok="t"/>
            </v:shape>
            <v:shape style="position:absolute;left:4782;top:750;width:7458;height:1186" coordorigin="4782,750" coordsize="7458,1186" path="m12240,750l4782,750,4782,1936,12240,1936,12240,1306,12240,766,12240,750e" filled="true" fillcolor="#ffffff" stroked="false">
              <v:path arrowok="t"/>
              <v:fill type="solid"/>
            </v:shape>
            <v:shape style="position:absolute;left:6844;top:839;width:1836;height:446" coordorigin="6844,839" coordsize="1836,446" path="m8680,839l6844,839,6844,959,6859,959,6859,1165,6844,1165,6844,1284,8680,1284,8680,1165,8665,1165,8665,959,8680,959,8680,839e" filled="true" fillcolor="#dddddd" stroked="false">
              <v:path arrowok="t"/>
              <v:fill type="solid"/>
            </v:shape>
            <v:line style="position:absolute" from="6785,766" to="6785,854" stroked="true" strokeweight=".72pt" strokecolor="#175977"/>
            <v:line style="position:absolute" from="6778,773" to="10993,773" stroked="true" strokeweight=".72003pt" strokecolor="#175977"/>
            <v:line style="position:absolute" from="6842,1276" to="8680,1276" stroked="true" strokeweight=".78pt" strokecolor="#dddddd"/>
            <v:line style="position:absolute" from="6842,847" to="8680,847" stroked="true" strokeweight=".78pt" strokecolor="#dddddd"/>
            <v:shape style="position:absolute;left:4796;top:1306;width:7444;height:281" coordorigin="4796,1306" coordsize="7444,281" path="m6778,1306l4796,1306,4796,1586,6778,1586,6778,1306m12240,1306l11008,1306,11008,1586,12240,1586,12240,1306e" filled="true" fillcolor="#ffffff" stroked="false">
              <v:path arrowok="t"/>
              <v:fill type="solid"/>
            </v:shape>
            <v:shape style="position:absolute;left:6844;top:1327;width:1836;height:224" coordorigin="6844,1327" coordsize="1836,224" path="m8680,1327l6844,1327,6844,1343,6859,1343,6859,1550,8665,1550,8665,1343,8680,1343,8680,1327e" filled="true" fillcolor="#dddddd" stroked="false">
              <v:path arrowok="t"/>
              <v:fill type="solid"/>
            </v:shape>
            <v:line style="position:absolute" from="6842,1557" to="8680,1557" stroked="true" strokeweight=".78pt" strokecolor="#dddddd"/>
            <v:shape style="position:absolute;left:4796;top:1586;width:7444;height:334" coordorigin="4796,1586" coordsize="7444,334" path="m6778,1586l4796,1586,4796,1920,6778,1920,6778,1586m12240,1586l11008,1586,11008,1920,12240,1920,12240,1586e" filled="true" fillcolor="#ffffff" stroked="false">
              <v:path arrowok="t"/>
              <v:fill type="solid"/>
            </v:shape>
            <v:shape style="position:absolute;left:6844;top:1608;width:1836;height:224" coordorigin="6844,1608" coordsize="1836,224" path="m8680,1608l6844,1608,6844,1624,6859,1624,6859,1831,8665,1831,8665,1624,8680,1624,8680,1608e" filled="true" fillcolor="#dddddd" stroked="false">
              <v:path arrowok="t"/>
              <v:fill type="solid"/>
            </v:shape>
            <v:line style="position:absolute" from="6785,854" to="6785,1920" stroked="true" strokeweight=".72pt" strokecolor="#175977"/>
            <v:shape style="position:absolute;left:6778;top:1913;width:4216;height:2" coordorigin="6778,1913" coordsize="4216,0" path="m6778,1913l8701,1913m8701,1913l10993,1913e" filled="false" stroked="true" strokeweight=".71997pt" strokecolor="#175977">
              <v:path arrowok="t"/>
            </v:shape>
            <v:line style="position:absolute" from="11000,766" to="11000,1920" stroked="true" strokeweight=".71997pt" strokecolor="#175977"/>
            <v:shape style="position:absolute;left:4782;top:759;width:7458;height:1168" coordorigin="4782,759" coordsize="7458,1168" path="m4782,759l12240,759m4782,1927l12240,1927e" filled="false" stroked="true" strokeweight=".78003pt" strokecolor="#ffffff">
              <v:path arrowok="t"/>
            </v:shape>
            <w10:wrap type="none"/>
          </v:group>
        </w:pict>
      </w:r>
      <w:r>
        <w:rPr>
          <w:sz w:val="18"/>
        </w:rPr>
        <w:t>Fig. 2 Positions that modify the score arm.</w:t>
      </w:r>
    </w:p>
    <w:p>
      <w:pPr>
        <w:pStyle w:val="BodyText"/>
        <w:spacing w:before="8"/>
        <w:rPr>
          <w:sz w:val="14"/>
        </w:rPr>
      </w:pPr>
    </w:p>
    <w:p>
      <w:pPr>
        <w:tabs>
          <w:tab w:pos="2023" w:val="left" w:leader="none"/>
        </w:tabs>
        <w:spacing w:before="1"/>
        <w:ind w:left="0" w:right="767" w:firstLine="0"/>
        <w:jc w:val="center"/>
        <w:rPr>
          <w:b/>
          <w:sz w:val="18"/>
        </w:rPr>
      </w:pPr>
      <w:r>
        <w:rPr/>
        <w:pict>
          <v:shape style="position:absolute;margin-left:232.096588pt;margin-top:18.01058pt;width:379.95pt;height:60.75pt;mso-position-horizontal-relative:page;mso-position-vertical-relative:paragraph;z-index:-871816" type="#_x0000_t202" filled="false" stroked="false">
            <v:textbox inset="0,0,0,0">
              <w:txbxContent>
                <w:p>
                  <w:pPr>
                    <w:spacing w:line="183" w:lineRule="exact" w:before="0"/>
                    <w:ind w:left="168" w:right="0" w:hanging="26"/>
                    <w:jc w:val="left"/>
                    <w:rPr>
                      <w:sz w:val="18"/>
                    </w:rPr>
                  </w:pPr>
                  <w:r>
                    <w:rPr>
                      <w:sz w:val="18"/>
                    </w:rPr>
                    <w:t>eveloped and</w:t>
                  </w:r>
                </w:p>
                <w:p>
                  <w:pPr>
                    <w:spacing w:line="207" w:lineRule="exact" w:before="0"/>
                    <w:ind w:left="0" w:right="0" w:firstLine="168"/>
                    <w:jc w:val="left"/>
                    <w:rPr>
                      <w:sz w:val="18"/>
                    </w:rPr>
                  </w:pPr>
                  <w:r>
                    <w:rPr>
                      <w:sz w:val="18"/>
                    </w:rPr>
                    <w:t>final score is</w:t>
                  </w:r>
                </w:p>
                <w:p>
                  <w:pPr>
                    <w:pStyle w:val="BodyText"/>
                    <w:rPr>
                      <w:sz w:val="18"/>
                    </w:rPr>
                  </w:pPr>
                </w:p>
                <w:p>
                  <w:pPr>
                    <w:pStyle w:val="BodyText"/>
                    <w:rPr>
                      <w:sz w:val="18"/>
                    </w:rPr>
                  </w:pPr>
                </w:p>
                <w:p>
                  <w:pPr>
                    <w:spacing w:before="0"/>
                    <w:ind w:left="0" w:right="6497" w:firstLine="0"/>
                    <w:jc w:val="center"/>
                    <w:rPr>
                      <w:sz w:val="18"/>
                    </w:rPr>
                  </w:pPr>
                  <w:r>
                    <w:rPr>
                      <w:sz w:val="18"/>
                    </w:rPr>
                    <w:t>onal to the risk ues  indicate a</w:t>
                  </w:r>
                </w:p>
              </w:txbxContent>
            </v:textbox>
            <w10:wrap type="none"/>
          </v:shape>
        </w:pict>
      </w:r>
      <w:r>
        <w:rPr>
          <w:b/>
          <w:color w:val="FFFFFF"/>
          <w:sz w:val="18"/>
        </w:rPr>
        <w:t>Score</w:t>
        <w:tab/>
        <w:t>Position</w:t>
      </w:r>
    </w:p>
    <w:p>
      <w:pPr>
        <w:pStyle w:val="BodyText"/>
        <w:spacing w:before="2"/>
        <w:rPr>
          <w:b/>
          <w:sz w:val="22"/>
        </w:rPr>
      </w:pPr>
    </w:p>
    <w:tbl>
      <w:tblPr>
        <w:tblW w:w="0" w:type="auto"/>
        <w:jc w:val="left"/>
        <w:tblInd w:w="65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59"/>
        <w:gridCol w:w="2225"/>
      </w:tblGrid>
      <w:tr>
        <w:trPr>
          <w:trHeight w:val="459" w:hRule="exact"/>
        </w:trPr>
        <w:tc>
          <w:tcPr>
            <w:tcW w:w="1859" w:type="dxa"/>
            <w:tcBorders>
              <w:top w:val="single" w:sz="6" w:space="0" w:color="FFFFFF"/>
              <w:right w:val="single" w:sz="29" w:space="0" w:color="FFFFFF"/>
            </w:tcBorders>
            <w:shd w:val="clear" w:color="auto" w:fill="DDDDDD"/>
          </w:tcPr>
          <w:p>
            <w:pPr>
              <w:pStyle w:val="TableParagraph"/>
              <w:spacing w:before="99"/>
              <w:ind w:left="808"/>
              <w:rPr>
                <w:sz w:val="18"/>
              </w:rPr>
            </w:pPr>
            <w:r>
              <w:rPr>
                <w:sz w:val="18"/>
              </w:rPr>
              <w:t>+1</w:t>
            </w:r>
          </w:p>
        </w:tc>
        <w:tc>
          <w:tcPr>
            <w:tcW w:w="2225" w:type="dxa"/>
            <w:tcBorders>
              <w:top w:val="single" w:sz="6" w:space="0" w:color="FFFFFF"/>
              <w:left w:val="single" w:sz="29" w:space="0" w:color="FFFFFF"/>
            </w:tcBorders>
            <w:shd w:val="clear" w:color="auto" w:fill="DDDDDD"/>
          </w:tcPr>
          <w:p>
            <w:pPr>
              <w:pStyle w:val="TableParagraph"/>
              <w:ind w:left="643" w:right="149" w:hanging="508"/>
              <w:rPr>
                <w:sz w:val="18"/>
              </w:rPr>
            </w:pPr>
            <w:r>
              <w:rPr>
                <w:sz w:val="18"/>
              </w:rPr>
              <w:t>If the shoulder is raised or arm rotated.</w:t>
            </w:r>
          </w:p>
        </w:tc>
      </w:tr>
      <w:tr>
        <w:trPr>
          <w:trHeight w:val="281" w:hRule="exact"/>
        </w:trPr>
        <w:tc>
          <w:tcPr>
            <w:tcW w:w="1859" w:type="dxa"/>
            <w:tcBorders>
              <w:right w:val="single" w:sz="29" w:space="0" w:color="FFFFFF"/>
            </w:tcBorders>
            <w:shd w:val="clear" w:color="auto" w:fill="DDDDDD"/>
          </w:tcPr>
          <w:p>
            <w:pPr>
              <w:pStyle w:val="TableParagraph"/>
              <w:spacing w:before="32"/>
              <w:ind w:left="808"/>
              <w:rPr>
                <w:sz w:val="18"/>
              </w:rPr>
            </w:pPr>
            <w:r>
              <w:rPr>
                <w:sz w:val="18"/>
              </w:rPr>
              <w:t>+1</w:t>
            </w:r>
          </w:p>
        </w:tc>
        <w:tc>
          <w:tcPr>
            <w:tcW w:w="2225" w:type="dxa"/>
            <w:tcBorders>
              <w:left w:val="single" w:sz="29" w:space="0" w:color="FFFFFF"/>
            </w:tcBorders>
            <w:shd w:val="clear" w:color="auto" w:fill="DDDDDD"/>
          </w:tcPr>
          <w:p>
            <w:pPr>
              <w:pStyle w:val="TableParagraph"/>
              <w:spacing w:before="32"/>
              <w:ind w:left="168" w:right="196"/>
              <w:jc w:val="center"/>
              <w:rPr>
                <w:sz w:val="18"/>
              </w:rPr>
            </w:pPr>
            <w:r>
              <w:rPr>
                <w:sz w:val="18"/>
              </w:rPr>
              <w:t>If the arms are abducted.</w:t>
            </w:r>
          </w:p>
        </w:tc>
      </w:tr>
      <w:tr>
        <w:trPr>
          <w:trHeight w:val="252" w:hRule="exact"/>
        </w:trPr>
        <w:tc>
          <w:tcPr>
            <w:tcW w:w="1859" w:type="dxa"/>
            <w:tcBorders>
              <w:right w:val="single" w:sz="29" w:space="0" w:color="FFFFFF"/>
            </w:tcBorders>
            <w:shd w:val="clear" w:color="auto" w:fill="DDDDDD"/>
          </w:tcPr>
          <w:p>
            <w:pPr>
              <w:pStyle w:val="TableParagraph"/>
              <w:spacing w:before="31"/>
              <w:ind w:left="829"/>
              <w:rPr>
                <w:sz w:val="18"/>
              </w:rPr>
            </w:pPr>
            <w:r>
              <w:rPr>
                <w:sz w:val="18"/>
              </w:rPr>
              <w:t>-1</w:t>
            </w:r>
          </w:p>
        </w:tc>
        <w:tc>
          <w:tcPr>
            <w:tcW w:w="2225" w:type="dxa"/>
            <w:tcBorders>
              <w:left w:val="single" w:sz="29" w:space="0" w:color="FFFFFF"/>
            </w:tcBorders>
            <w:shd w:val="clear" w:color="auto" w:fill="DDDDDD"/>
          </w:tcPr>
          <w:p>
            <w:pPr>
              <w:pStyle w:val="TableParagraph"/>
              <w:spacing w:before="31"/>
              <w:ind w:left="166" w:right="196"/>
              <w:jc w:val="center"/>
              <w:rPr>
                <w:sz w:val="18"/>
              </w:rPr>
            </w:pPr>
            <w:r>
              <w:rPr>
                <w:sz w:val="18"/>
              </w:rPr>
              <w:t>If the arm has a fulcrum.</w:t>
            </w:r>
          </w:p>
        </w:tc>
      </w:tr>
    </w:tbl>
    <w:p>
      <w:pPr>
        <w:spacing w:before="82"/>
        <w:ind w:left="0" w:right="629" w:firstLine="0"/>
        <w:jc w:val="center"/>
        <w:rPr>
          <w:sz w:val="18"/>
        </w:rPr>
      </w:pPr>
      <w:r>
        <w:rPr>
          <w:sz w:val="18"/>
        </w:rPr>
        <w:t>Table 2. Changes on the score arm.</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spacing w:before="0"/>
        <w:ind w:left="270" w:right="0" w:firstLine="0"/>
        <w:jc w:val="left"/>
        <w:rPr>
          <w:sz w:val="18"/>
        </w:rPr>
      </w:pPr>
      <w:r>
        <w:rPr>
          <w:sz w:val="18"/>
        </w:rPr>
        <w:t>Rating forearm:</w:t>
      </w:r>
    </w:p>
    <w:p>
      <w:pPr>
        <w:pStyle w:val="BodyText"/>
        <w:ind w:left="1326"/>
      </w:pPr>
      <w:r>
        <w:rPr/>
        <w:drawing>
          <wp:inline distT="0" distB="0" distL="0" distR="0">
            <wp:extent cx="1732286" cy="1554194"/>
            <wp:effectExtent l="0" t="0" r="0" b="0"/>
            <wp:docPr id="241" name="image131.png" descr=""/>
            <wp:cNvGraphicFramePr>
              <a:graphicFrameLocks noChangeAspect="1"/>
            </wp:cNvGraphicFramePr>
            <a:graphic>
              <a:graphicData uri="http://schemas.openxmlformats.org/drawingml/2006/picture">
                <pic:pic>
                  <pic:nvPicPr>
                    <pic:cNvPr id="242" name="image131.png"/>
                    <pic:cNvPicPr/>
                  </pic:nvPicPr>
                  <pic:blipFill>
                    <a:blip r:embed="rId223" cstate="print"/>
                    <a:stretch>
                      <a:fillRect/>
                    </a:stretch>
                  </pic:blipFill>
                  <pic:spPr>
                    <a:xfrm>
                      <a:off x="0" y="0"/>
                      <a:ext cx="1732286" cy="1554194"/>
                    </a:xfrm>
                    <a:prstGeom prst="rect">
                      <a:avLst/>
                    </a:prstGeom>
                  </pic:spPr>
                </pic:pic>
              </a:graphicData>
            </a:graphic>
          </wp:inline>
        </w:drawing>
      </w:r>
      <w:r>
        <w:rPr/>
      </w:r>
    </w:p>
    <w:p>
      <w:pPr>
        <w:spacing w:before="44"/>
        <w:ind w:left="0" w:right="628" w:firstLine="0"/>
        <w:jc w:val="center"/>
        <w:rPr>
          <w:sz w:val="18"/>
        </w:rPr>
      </w:pPr>
      <w:r>
        <w:rPr/>
        <w:pict>
          <v:group style="position:absolute;margin-left:41.145pt;margin-top:9.147024pt;width:571.3pt;height:106.35pt;mso-position-horizontal-relative:page;mso-position-vertical-relative:paragraph;z-index:-871672" coordorigin="823,183" coordsize="11426,2127">
            <v:shape style="position:absolute;left:881;top:248;width:4829;height:324" coordorigin="881,248" coordsize="4829,324" path="m2918,248l881,248,881,307,896,307,896,513,881,513,881,572,2918,572,2918,513,2903,513,2903,307,2918,307,2918,248m5710,248l2962,248,2962,307,2977,307,2977,513,2962,513,2962,572,3719,572,3719,513,5695,513,5695,307,5710,307,5710,248e" filled="true" fillcolor="#000000" stroked="false">
              <v:path arrowok="t"/>
              <v:fill type="solid"/>
            </v:shape>
            <v:line style="position:absolute" from="830,198" to="5747,198" stroked="true" strokeweight=".72002pt" strokecolor="#175977"/>
            <v:shape style="position:absolute;left:881;top:257;width:2038;height:306" coordorigin="881,257" coordsize="2038,306" path="m881,563l2918,563m881,257l2918,257e" filled="false" stroked="true" strokeweight=".78pt" strokecolor="#000000">
              <v:path arrowok="t"/>
            </v:shape>
            <v:shape style="position:absolute;left:830;top:190;width:2110;height:440" coordorigin="830,190" coordsize="2110,440" path="m838,190l838,630m830,622l2940,622e" filled="false" stroked="true" strokeweight=".72pt" strokecolor="#175977">
              <v:path arrowok="t"/>
            </v:shape>
            <v:shape style="position:absolute;left:2962;top:257;width:2750;height:306" coordorigin="2962,257" coordsize="2750,306" path="m2962,563l3719,563m2962,257l5711,257e" filled="false" stroked="true" strokeweight=".78pt" strokecolor="#000000">
              <v:path arrowok="t"/>
            </v:shape>
            <v:line style="position:absolute" from="2940,622" to="3719,622" stroked="true" strokeweight=".72pt" strokecolor="#175977"/>
            <v:line style="position:absolute" from="5754,190" to="5754,462" stroked="true" strokeweight=".72pt" strokecolor="#175977"/>
            <v:shape style="position:absolute;left:1304;top:734;width:4820;height:446" coordorigin="1304,734" coordsize="4820,446" path="m3352,734l1304,734,1304,853,1319,853,1319,1059,1304,1059,1304,1179,3352,1179,3352,1059,3337,1059,3337,853,3352,853,3352,734m6124,750l3719,750,3719,734,3396,734,3396,750,3412,750,3412,956,3412,1164,3396,1164,3396,1179,3719,1179,3719,1164,3719,956,6124,956,6124,750e" filled="true" fillcolor="#dddddd" stroked="false">
              <v:path arrowok="t"/>
              <v:fill type="solid"/>
            </v:shape>
            <v:shape style="position:absolute;left:1237;top:660;width:2482;height:89" coordorigin="1237,660" coordsize="2482,89" path="m1244,660l1244,748m1237,667l3719,667e" filled="false" stroked="true" strokeweight=".72pt" strokecolor="#175977">
              <v:path arrowok="t"/>
            </v:shape>
            <v:shape style="position:absolute;left:1303;top:741;width:2416;height:430" coordorigin="1303,741" coordsize="2416,430" path="m1303,1170l3353,1170m1303,741l3353,741m3395,1170l3719,1170m3395,741l3719,741e" filled="false" stroked="true" strokeweight=".78pt" strokecolor="#dddddd">
              <v:path arrowok="t"/>
            </v:shape>
            <v:shape style="position:absolute;left:1304;top:1221;width:2415;height:446" coordorigin="1304,1221" coordsize="2415,446" path="m3352,1221l1304,1221,1304,1341,1319,1341,1319,1548,1304,1548,1304,1666,3352,1666,3352,1548,3337,1548,3337,1341,3352,1341,3352,1221m3719,1221l3396,1221,3396,1237,3412,1237,3412,1444,3412,1651,3396,1651,3396,1666,3719,1666,3719,1651,3719,1444,3719,1237,3719,1221e" filled="true" fillcolor="#dddddd" stroked="false">
              <v:path arrowok="t"/>
              <v:fill type="solid"/>
            </v:shape>
            <v:shape style="position:absolute;left:1303;top:1229;width:2416;height:430" coordorigin="1303,1229" coordsize="2416,430" path="m1303,1659l3353,1659m1303,1229l3353,1229m3395,1659l3719,1659m3395,1229l3719,1229e" filled="false" stroked="true" strokeweight=".78pt" strokecolor="#dddddd">
              <v:path arrowok="t"/>
            </v:shape>
            <v:shape style="position:absolute;left:1304;top:1710;width:4820;height:238" coordorigin="1304,1710" coordsize="4820,238" path="m3352,1710l1304,1710,1304,1725,1319,1725,1319,1932,1304,1932,1304,1947,3352,1947,3352,1932,3337,1932,3337,1725,3352,1725,3352,1710m6124,1725l3719,1725,3719,1710,3396,1710,3396,1725,3412,1725,3412,1932,3396,1932,3396,1947,3719,1947,3719,1932,6124,1932,6124,1725e" filled="true" fillcolor="#dddddd" stroked="false">
              <v:path arrowok="t"/>
              <v:fill type="solid"/>
            </v:shape>
            <v:shape style="position:absolute;left:1303;top:1717;width:2416;height:222" coordorigin="1303,1717" coordsize="2416,222" path="m1303,1939l3353,1939m1303,1717l3353,1717m3395,1939l3719,1939m3395,1717l3719,1717e" filled="false" stroked="true" strokeweight=".78pt" strokecolor="#dddddd">
              <v:path arrowok="t"/>
            </v:shape>
            <v:shape style="position:absolute;left:1304;top:1990;width:4835;height:239" coordorigin="1304,1990" coordsize="4835,239" path="m3352,1990l1304,1990,1304,2006,1319,2006,1319,2214,1304,2214,1304,2229,3352,2229,3352,2214,3337,2214,3337,2006,3352,2006,3352,1990m6139,2214l3719,2214,3719,2006,3719,1990,3396,1990,3396,2006,3412,2006,3412,2214,3396,2214,3396,2229,6139,2229,6139,2214e" filled="true" fillcolor="#dddddd" stroked="false">
              <v:path arrowok="t"/>
              <v:fill type="solid"/>
            </v:shape>
            <v:shape style="position:absolute;left:1303;top:1998;width:2050;height:224" coordorigin="1303,1998" coordsize="2050,224" path="m1303,2221l3353,2221m1303,1998l3353,1998e" filled="false" stroked="true" strokeweight=".78pt" strokecolor="#dddddd">
              <v:path arrowok="t"/>
            </v:shape>
            <v:shape style="position:absolute;left:1237;top:748;width:2138;height:1554" coordorigin="1237,748" coordsize="2138,1554" path="m1244,748l1244,2302m1237,2295l3374,2295e" filled="false" stroked="true" strokeweight=".72pt" strokecolor="#175977">
              <v:path arrowok="t"/>
            </v:shape>
            <v:shape style="position:absolute;left:3395;top:1998;width:2745;height:224" coordorigin="3395,1998" coordsize="2745,224" path="m3395,2221l6139,2221m3395,1998l3719,1998e" filled="false" stroked="true" strokeweight=".78pt" strokecolor="#dddddd">
              <v:path arrowok="t"/>
            </v:shape>
            <v:line style="position:absolute" from="3374,2295" to="6191,2295" stroked="true" strokeweight=".72pt" strokecolor="#175977"/>
            <v:line style="position:absolute" from="6198,2230" to="6198,2302" stroked="true" strokeweight=".72pt" strokecolor="#175977"/>
            <v:shape style="position:absolute;left:3719;top:462;width:8522;height:422" coordorigin="3719,462" coordsize="8522,422" path="m12240,462l3719,462,3719,883,12240,883,12240,832,12240,477,12240,462e" filled="true" fillcolor="#ffffff" stroked="false">
              <v:path arrowok="t"/>
              <v:fill type="solid"/>
            </v:shape>
            <v:shape style="position:absolute;left:6660;top:536;width:4468;height:238" coordorigin="6660,536" coordsize="4468,238" path="m8857,536l6660,536,6660,552,6676,552,6676,758,6660,758,6660,774,8857,774,8857,758,8842,758,8842,552,8857,552,8857,536m11128,536l8902,536,8902,552,8916,552,8916,758,8902,758,8902,774,11128,774,11128,758,11112,758,11112,552,11128,552,11128,536e" filled="true" fillcolor="#000000" stroked="false">
              <v:path arrowok="t"/>
              <v:fill type="solid"/>
            </v:shape>
            <v:shape style="position:absolute;left:6610;top:484;width:4570;height:2" coordorigin="6610,484" coordsize="4570,0" path="m6610,484l11165,484m11165,484l11179,484e" filled="false" stroked="true" strokeweight=".72pt" strokecolor="#175977">
              <v:path arrowok="t"/>
            </v:shape>
            <v:shape style="position:absolute;left:6660;top:544;width:2199;height:222" coordorigin="6660,544" coordsize="2199,222" path="m6660,766l8858,766m6660,544l8858,544e" filled="false" stroked="true" strokeweight=".78pt" strokecolor="#000000">
              <v:path arrowok="t"/>
            </v:shape>
            <v:line style="position:absolute" from="6617,477" to="6617,832" stroked="true" strokeweight=".72pt" strokecolor="#175977"/>
            <v:line style="position:absolute" from="6610,825" to="8880,825" stroked="true" strokeweight=".72pt" strokecolor="#175977"/>
            <v:shape style="position:absolute;left:8900;top:544;width:2228;height:222" coordorigin="8900,544" coordsize="2228,222" path="m8900,766l11128,766m8900,544l11128,544e" filled="false" stroked="true" strokeweight=".78pt" strokecolor="#000000">
              <v:path arrowok="t"/>
            </v:shape>
            <v:line style="position:absolute" from="8880,825" to="11165,825" stroked="true" strokeweight=".72pt" strokecolor="#175977"/>
            <v:line style="position:absolute" from="11172,477" to="11172,832" stroked="true" strokeweight=".72003pt" strokecolor="#175977"/>
            <v:shape style="position:absolute;left:3719;top:471;width:8522;height:405" coordorigin="3719,471" coordsize="8522,405" path="m3719,471l12240,471m3719,875l12240,875e" filled="false" stroked="true" strokeweight=".78pt" strokecolor="#ffffff">
              <v:path arrowok="t"/>
            </v:shape>
            <v:shape style="position:absolute;left:3719;top:882;width:8522;height:905" coordorigin="3719,882" coordsize="8522,905" path="m12240,882l3719,882,3719,1786,12240,1786,12240,1437,12240,897,12240,882e" filled="true" fillcolor="#ffffff" stroked="false">
              <v:path arrowok="t"/>
              <v:fill type="solid"/>
            </v:shape>
            <v:shape style="position:absolute;left:6685;top:970;width:2188;height:446" coordorigin="6685,970" coordsize="2188,446" path="m8873,970l6685,970,6685,1090,6700,1090,6700,1297,6685,1297,6685,1416,8873,1416,8873,1297,8858,1297,8858,1090,8873,1090,8873,970e" filled="true" fillcolor="#dddddd" stroked="false">
              <v:path arrowok="t"/>
              <v:fill type="solid"/>
            </v:shape>
            <v:shape style="position:absolute;left:6634;top:904;width:4522;height:2" coordorigin="6634,904" coordsize="4522,0" path="m6634,904l8896,904m8896,904l11155,904e" filled="false" stroked="true" strokeweight=".72pt" strokecolor="#175977">
              <v:path arrowok="t"/>
            </v:shape>
            <v:line style="position:absolute" from="6685,1408" to="8874,1408" stroked="true" strokeweight=".78001pt" strokecolor="#dddddd"/>
            <v:line style="position:absolute" from="6685,978" to="8874,978" stroked="true" strokeweight=".78pt" strokecolor="#dddddd"/>
            <v:shape style="position:absolute;left:3734;top:1437;width:8506;height:334" coordorigin="3734,1437" coordsize="8506,334" path="m6619,1437l3734,1437,3734,1771,6619,1771,6619,1437m12240,1437l11170,1437,11170,1771,12240,1771,12240,1437e" filled="true" fillcolor="#ffffff" stroked="false">
              <v:path arrowok="t"/>
              <v:fill type="solid"/>
            </v:shape>
            <v:shape style="position:absolute;left:6685;top:1459;width:4418;height:224" coordorigin="6685,1459" coordsize="4418,224" path="m8873,1459l6685,1459,6685,1474,6700,1474,6700,1682,8858,1682,8858,1474,8873,1474,8873,1459m11102,1459l8917,1459,8917,1474,8932,1474,8932,1682,11088,1682,11088,1474,11102,1474,11102,1459e" filled="true" fillcolor="#dddddd" stroked="false">
              <v:path arrowok="t"/>
              <v:fill type="solid"/>
            </v:shape>
            <v:shape style="position:absolute;left:6685;top:1467;width:2189;height:224" coordorigin="6685,1467" coordsize="2189,224" path="m6685,1690l8874,1690m6685,1467l8874,1467e" filled="false" stroked="true" strokeweight=".78pt" strokecolor="#dddddd">
              <v:path arrowok="t"/>
            </v:shape>
            <v:line style="position:absolute" from="6626,897" to="6626,1771" stroked="true" strokeweight=".72pt" strokecolor="#175977"/>
            <v:line style="position:absolute" from="6634,1764" to="8896,1764" stroked="true" strokeweight=".72pt" strokecolor="#175977"/>
            <v:shape style="position:absolute;left:8917;top:1467;width:2187;height:224" coordorigin="8917,1467" coordsize="2187,224" path="m8917,1690l11104,1690m8917,1467l11104,1467e" filled="false" stroked="true" strokeweight=".78pt" strokecolor="#dddddd">
              <v:path arrowok="t"/>
            </v:shape>
            <v:line style="position:absolute" from="8896,1764" to="11155,1764" stroked="true" strokeweight=".72pt" strokecolor="#175977"/>
            <v:line style="position:absolute" from="11162,897" to="11162,1771" stroked="true" strokeweight=".72003pt" strokecolor="#175977"/>
            <v:line style="position:absolute" from="3719,891" to="12240,891" stroked="true" strokeweight=".78pt" strokecolor="#ffffff"/>
            <v:shape style="position:absolute;left:3719;top:1770;width:8522;height:461" coordorigin="3719,1770" coordsize="8522,461" path="m12240,2215l3719,2215,3719,2230,12240,2230,12240,2215m12240,1770l3719,1770,3719,1801,3734,1801,3734,2007,12240,2007,12240,1801,12240,1770e" filled="true" fillcolor="#ffffff" stroked="false">
              <v:path arrowok="t"/>
              <v:fill type="solid"/>
            </v:shape>
            <v:shape style="position:absolute;left:3719;top:1793;width:8522;height:429" coordorigin="3719,1793" coordsize="8522,429" path="m3719,1793l12240,1793m3719,2221l12240,2221e" filled="false" stroked="true" strokeweight=".78pt" strokecolor="#ffffff">
              <v:path arrowok="t"/>
            </v:shape>
            <w10:wrap type="none"/>
          </v:group>
        </w:pict>
      </w:r>
      <w:r>
        <w:rPr>
          <w:sz w:val="18"/>
        </w:rPr>
        <w:t>Fig. 3 Forearm positions</w:t>
      </w:r>
    </w:p>
    <w:p>
      <w:pPr>
        <w:pStyle w:val="BodyText"/>
        <w:rPr>
          <w:sz w:val="26"/>
        </w:rPr>
      </w:pPr>
    </w:p>
    <w:p>
      <w:pPr>
        <w:tabs>
          <w:tab w:pos="2159" w:val="left" w:leader="none"/>
        </w:tabs>
        <w:spacing w:before="0"/>
        <w:ind w:left="0" w:right="577" w:firstLine="0"/>
        <w:jc w:val="center"/>
        <w:rPr>
          <w:b/>
          <w:sz w:val="18"/>
        </w:rPr>
      </w:pPr>
      <w:r>
        <w:rPr/>
        <w:pict>
          <v:shape style="position:absolute;margin-left:185.307175pt;margin-top:-4.437658pt;width:426.7pt;height:24.35pt;mso-position-horizontal-relative:page;mso-position-vertical-relative:paragraph;z-index:-871792" type="#_x0000_t202" filled="false" stroked="false">
            <v:textbox inset="0,0,0,0">
              <w:txbxContent>
                <w:p>
                  <w:pPr>
                    <w:pStyle w:val="BodyText"/>
                    <w:spacing w:before="7"/>
                    <w:rPr>
                      <w:sz w:val="24"/>
                    </w:rPr>
                  </w:pPr>
                </w:p>
                <w:p>
                  <w:pPr>
                    <w:spacing w:line="203" w:lineRule="exact" w:before="0"/>
                    <w:ind w:left="0" w:right="0" w:firstLine="0"/>
                    <w:jc w:val="left"/>
                    <w:rPr>
                      <w:sz w:val="18"/>
                    </w:rPr>
                  </w:pPr>
                  <w:r>
                    <w:rPr>
                      <w:sz w:val="18"/>
                    </w:rPr>
                    <w:t>rom 20° of extension to 20° of</w:t>
                  </w:r>
                </w:p>
              </w:txbxContent>
            </v:textbox>
            <w10:wrap type="none"/>
          </v:shape>
        </w:pict>
      </w:r>
      <w:r>
        <w:rPr>
          <w:b/>
          <w:color w:val="FFFFFF"/>
          <w:sz w:val="18"/>
        </w:rPr>
        <w:t>Score</w:t>
        <w:tab/>
        <w:t>Position</w:t>
      </w:r>
    </w:p>
    <w:p>
      <w:pPr>
        <w:spacing w:after="0"/>
        <w:jc w:val="center"/>
        <w:rPr>
          <w:sz w:val="18"/>
        </w:rPr>
        <w:sectPr>
          <w:pgSz w:w="12240" w:h="15840"/>
          <w:pgMar w:header="545" w:footer="852" w:top="1060" w:bottom="1040" w:left="580" w:right="0"/>
          <w:cols w:num="2" w:equalWidth="0">
            <w:col w:w="5163" w:space="435"/>
            <w:col w:w="6062"/>
          </w:cols>
        </w:sectPr>
      </w:pPr>
    </w:p>
    <w:p>
      <w:pPr>
        <w:pStyle w:val="BodyText"/>
        <w:rPr>
          <w:b/>
          <w:sz w:val="18"/>
        </w:rPr>
      </w:pPr>
    </w:p>
    <w:p>
      <w:pPr>
        <w:spacing w:after="0"/>
        <w:rPr>
          <w:sz w:val="18"/>
        </w:rPr>
        <w:sectPr>
          <w:type w:val="continuous"/>
          <w:pgSz w:w="12240" w:h="15840"/>
          <w:pgMar w:top="1500" w:bottom="280" w:left="580" w:right="0"/>
        </w:sectPr>
      </w:pPr>
    </w:p>
    <w:p>
      <w:pPr>
        <w:spacing w:before="77"/>
        <w:ind w:left="6" w:right="0" w:firstLine="0"/>
        <w:jc w:val="center"/>
        <w:rPr>
          <w:sz w:val="18"/>
        </w:rPr>
      </w:pPr>
      <w:r>
        <w:rPr>
          <w:sz w:val="18"/>
        </w:rPr>
        <w:t>2</w:t>
      </w:r>
    </w:p>
    <w:p>
      <w:pPr>
        <w:pStyle w:val="BodyText"/>
        <w:spacing w:before="4"/>
        <w:rPr>
          <w:sz w:val="15"/>
        </w:rPr>
      </w:pPr>
    </w:p>
    <w:p>
      <w:pPr>
        <w:spacing w:before="0"/>
        <w:ind w:left="6" w:right="0" w:firstLine="0"/>
        <w:jc w:val="center"/>
        <w:rPr>
          <w:sz w:val="18"/>
        </w:rPr>
      </w:pPr>
      <w:r>
        <w:rPr/>
        <w:pict>
          <v:shape style="position:absolute;margin-left:185.279999pt;margin-top:1.160278pt;width:426.75pt;height:24.35pt;mso-position-horizontal-relative:page;mso-position-vertical-relative:paragraph;z-index:-871720" type="#_x0000_t202" filled="false" stroked="false">
            <v:textbox inset="0,0,0,0">
              <w:txbxContent>
                <w:p>
                  <w:pPr>
                    <w:spacing w:line="184" w:lineRule="exact" w:before="0"/>
                    <w:ind w:left="0" w:right="6436" w:firstLine="0"/>
                    <w:jc w:val="center"/>
                    <w:rPr>
                      <w:sz w:val="18"/>
                    </w:rPr>
                  </w:pPr>
                  <w:r>
                    <w:rPr>
                      <w:sz w:val="18"/>
                    </w:rPr>
                    <w:t>Flexion between 45° and 90°</w:t>
                  </w:r>
                </w:p>
                <w:p>
                  <w:pPr>
                    <w:spacing w:before="74"/>
                    <w:ind w:left="0" w:right="6435" w:firstLine="0"/>
                    <w:jc w:val="center"/>
                    <w:rPr>
                      <w:sz w:val="18"/>
                    </w:rPr>
                  </w:pPr>
                  <w:r>
                    <w:rPr>
                      <w:sz w:val="18"/>
                    </w:rPr>
                    <w:t>Flexion &gt; 90°</w:t>
                  </w:r>
                </w:p>
              </w:txbxContent>
            </v:textbox>
            <w10:wrap type="none"/>
          </v:shape>
        </w:pict>
      </w:r>
      <w:r>
        <w:rPr>
          <w:sz w:val="18"/>
        </w:rPr>
        <w:t>3</w:t>
      </w:r>
    </w:p>
    <w:p>
      <w:pPr>
        <w:spacing w:before="74"/>
        <w:ind w:left="6" w:right="0" w:firstLine="0"/>
        <w:jc w:val="center"/>
        <w:rPr>
          <w:sz w:val="18"/>
        </w:rPr>
      </w:pPr>
      <w:r>
        <w:rPr>
          <w:sz w:val="18"/>
        </w:rPr>
        <w:t>4</w:t>
      </w:r>
    </w:p>
    <w:p>
      <w:pPr>
        <w:spacing w:before="119"/>
        <w:ind w:left="1973" w:right="-18" w:firstLine="0"/>
        <w:jc w:val="left"/>
        <w:rPr>
          <w:sz w:val="18"/>
        </w:rPr>
      </w:pPr>
      <w:r>
        <w:rPr>
          <w:sz w:val="18"/>
        </w:rPr>
        <w:t>Table 1. Score arms.</w:t>
      </w:r>
    </w:p>
    <w:p>
      <w:pPr>
        <w:pStyle w:val="BodyText"/>
        <w:rPr>
          <w:sz w:val="18"/>
        </w:rPr>
      </w:pPr>
      <w:r>
        <w:rPr/>
        <w:br w:type="column"/>
      </w:r>
      <w:r>
        <w:rPr>
          <w:sz w:val="18"/>
        </w:rPr>
      </w:r>
    </w:p>
    <w:p>
      <w:pPr>
        <w:pStyle w:val="BodyText"/>
        <w:rPr>
          <w:sz w:val="18"/>
        </w:rPr>
      </w:pPr>
    </w:p>
    <w:p>
      <w:pPr>
        <w:spacing w:before="123"/>
        <w:ind w:left="3281" w:right="0" w:firstLine="0"/>
        <w:jc w:val="left"/>
        <w:rPr>
          <w:sz w:val="18"/>
        </w:rPr>
      </w:pPr>
      <w:r>
        <w:rPr/>
        <w:pict>
          <v:shape style="position:absolute;margin-left:333.869995pt;margin-top:-35.127655pt;width:221.35pt;height:36.4pt;mso-position-horizontal-relative:page;mso-position-vertical-relative:paragraph;z-index:7192" type="#_x0000_t202" filled="false" stroked="false">
            <v:textbox inset="0,0,0,0">
              <w:txbxContent>
                <w:tbl>
                  <w:tblPr>
                    <w:tblCellSpacing w:w="29" w:type="dxa"/>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17"/>
                    <w:gridCol w:w="2186"/>
                  </w:tblGrid>
                  <w:tr>
                    <w:trPr>
                      <w:trHeight w:val="393" w:hRule="exact"/>
                    </w:trPr>
                    <w:tc>
                      <w:tcPr>
                        <w:tcW w:w="2217" w:type="dxa"/>
                        <w:tcBorders>
                          <w:left w:val="nil"/>
                          <w:bottom w:val="nil"/>
                          <w:right w:val="nil"/>
                        </w:tcBorders>
                        <w:shd w:val="clear" w:color="auto" w:fill="DDDDDD"/>
                      </w:tcPr>
                      <w:p>
                        <w:pPr>
                          <w:pStyle w:val="TableParagraph"/>
                          <w:spacing w:before="99"/>
                          <w:ind w:left="1033"/>
                          <w:rPr>
                            <w:sz w:val="18"/>
                          </w:rPr>
                        </w:pPr>
                        <w:r>
                          <w:rPr>
                            <w:sz w:val="18"/>
                          </w:rPr>
                          <w:t>1</w:t>
                        </w:r>
                      </w:p>
                    </w:tc>
                    <w:tc>
                      <w:tcPr>
                        <w:tcW w:w="2186" w:type="dxa"/>
                        <w:tcBorders>
                          <w:left w:val="nil"/>
                          <w:bottom w:val="nil"/>
                          <w:right w:val="nil"/>
                        </w:tcBorders>
                        <w:shd w:val="clear" w:color="auto" w:fill="DDDDDD"/>
                      </w:tcPr>
                      <w:p>
                        <w:pPr>
                          <w:pStyle w:val="TableParagraph"/>
                          <w:ind w:left="891" w:hanging="728"/>
                          <w:rPr>
                            <w:sz w:val="18"/>
                          </w:rPr>
                        </w:pPr>
                        <w:r>
                          <w:rPr>
                            <w:sz w:val="18"/>
                          </w:rPr>
                          <w:t>Flexion between 60° and 100°</w:t>
                        </w:r>
                      </w:p>
                    </w:tc>
                  </w:tr>
                  <w:tr>
                    <w:trPr>
                      <w:trHeight w:val="202" w:hRule="exact"/>
                    </w:trPr>
                    <w:tc>
                      <w:tcPr>
                        <w:tcW w:w="2217" w:type="dxa"/>
                        <w:tcBorders>
                          <w:top w:val="nil"/>
                          <w:left w:val="nil"/>
                          <w:bottom w:val="nil"/>
                          <w:right w:val="nil"/>
                        </w:tcBorders>
                        <w:shd w:val="clear" w:color="auto" w:fill="DDDDDD"/>
                      </w:tcPr>
                      <w:p>
                        <w:pPr>
                          <w:pStyle w:val="TableParagraph"/>
                          <w:spacing w:before="10"/>
                          <w:ind w:left="1033"/>
                          <w:rPr>
                            <w:sz w:val="18"/>
                          </w:rPr>
                        </w:pPr>
                        <w:r>
                          <w:rPr>
                            <w:sz w:val="18"/>
                          </w:rPr>
                          <w:t>2</w:t>
                        </w:r>
                      </w:p>
                    </w:tc>
                    <w:tc>
                      <w:tcPr>
                        <w:tcW w:w="2186" w:type="dxa"/>
                        <w:tcBorders>
                          <w:top w:val="nil"/>
                          <w:left w:val="nil"/>
                          <w:bottom w:val="nil"/>
                          <w:right w:val="nil"/>
                        </w:tcBorders>
                        <w:shd w:val="clear" w:color="auto" w:fill="DDDDDD"/>
                      </w:tcPr>
                      <w:p>
                        <w:pPr>
                          <w:pStyle w:val="TableParagraph"/>
                          <w:spacing w:before="10"/>
                          <w:ind w:left="201"/>
                          <w:rPr>
                            <w:sz w:val="18"/>
                          </w:rPr>
                        </w:pPr>
                        <w:r>
                          <w:rPr>
                            <w:sz w:val="18"/>
                          </w:rPr>
                          <w:t>Flexion &lt; 60° or &gt; 100°</w:t>
                        </w:r>
                      </w:p>
                    </w:tc>
                  </w:tr>
                </w:tbl>
                <w:p>
                  <w:pPr>
                    <w:pStyle w:val="BodyText"/>
                  </w:pPr>
                </w:p>
              </w:txbxContent>
            </v:textbox>
            <w10:wrap type="none"/>
          </v:shape>
        </w:pict>
      </w:r>
      <w:r>
        <w:rPr>
          <w:sz w:val="18"/>
        </w:rPr>
        <w:t>Table 3. Score forearm.</w:t>
      </w:r>
    </w:p>
    <w:p>
      <w:pPr>
        <w:pStyle w:val="BodyText"/>
        <w:spacing w:before="2"/>
        <w:rPr>
          <w:sz w:val="19"/>
        </w:rPr>
      </w:pPr>
    </w:p>
    <w:p>
      <w:pPr>
        <w:spacing w:before="1"/>
        <w:ind w:left="1688" w:right="0" w:firstLine="0"/>
        <w:jc w:val="left"/>
        <w:rPr>
          <w:sz w:val="18"/>
        </w:rPr>
      </w:pPr>
      <w:r>
        <w:rPr>
          <w:sz w:val="18"/>
        </w:rPr>
        <w:t>The score assigned to the forearm can be increased in two cases:</w:t>
      </w:r>
    </w:p>
    <w:p>
      <w:pPr>
        <w:spacing w:after="0"/>
        <w:jc w:val="left"/>
        <w:rPr>
          <w:sz w:val="18"/>
        </w:rPr>
        <w:sectPr>
          <w:type w:val="continuous"/>
          <w:pgSz w:w="12240" w:h="15840"/>
          <w:pgMar w:top="1500" w:bottom="280" w:left="580" w:right="0"/>
          <w:cols w:num="2" w:equalWidth="0">
            <w:col w:w="3460" w:space="721"/>
            <w:col w:w="7479"/>
          </w:cols>
        </w:sectPr>
      </w:pPr>
    </w:p>
    <w:p>
      <w:pPr>
        <w:pStyle w:val="BodyText"/>
        <w:spacing w:before="6"/>
        <w:rPr>
          <w:sz w:val="12"/>
        </w:rPr>
      </w:pPr>
    </w:p>
    <w:p>
      <w:pPr>
        <w:spacing w:before="77"/>
        <w:ind w:left="270" w:right="718" w:firstLine="0"/>
        <w:jc w:val="left"/>
        <w:rPr>
          <w:sz w:val="18"/>
        </w:rPr>
      </w:pPr>
      <w:r>
        <w:rPr>
          <w:sz w:val="18"/>
        </w:rPr>
        <w:t>The score assigned to the arm may be modified.</w:t>
      </w:r>
    </w:p>
    <w:p>
      <w:pPr>
        <w:spacing w:after="0"/>
        <w:jc w:val="left"/>
        <w:rPr>
          <w:sz w:val="18"/>
        </w:rPr>
        <w:sectPr>
          <w:type w:val="continuous"/>
          <w:pgSz w:w="12240" w:h="15840"/>
          <w:pgMar w:top="1500" w:bottom="280" w:left="580" w:right="0"/>
        </w:sectPr>
      </w:pPr>
    </w:p>
    <w:p>
      <w:pPr>
        <w:pStyle w:val="BodyText"/>
        <w:spacing w:before="2"/>
        <w:rPr>
          <w:sz w:val="12"/>
        </w:rPr>
      </w:pPr>
    </w:p>
    <w:p>
      <w:pPr>
        <w:spacing w:before="77"/>
        <w:ind w:left="7157" w:right="718" w:firstLine="0"/>
        <w:jc w:val="left"/>
        <w:rPr>
          <w:sz w:val="18"/>
        </w:rPr>
      </w:pPr>
      <w:r>
        <w:rPr/>
        <w:pict>
          <v:group style="position:absolute;margin-left:37.365002pt;margin-top:3.312368pt;width:575.050pt;height:217.4pt;mso-position-horizontal-relative:page;mso-position-vertical-relative:paragraph;z-index:-871480" coordorigin="747,66" coordsize="11501,4348">
            <v:shape style="position:absolute;left:1223;top:66;width:4145;height:1679" type="#_x0000_t75" stroked="false">
              <v:imagedata r:id="rId224" o:title=""/>
            </v:shape>
            <v:shape style="position:absolute;left:3719;top:66;width:8522;height:257" coordorigin="3719,66" coordsize="8522,257" path="m12240,66l3719,66,3719,82,3734,82,3734,289,3719,289,3719,323,12240,323,12240,289,12240,82,12240,66e" filled="true" fillcolor="#ffffff" stroked="false">
              <v:path arrowok="t"/>
              <v:fill type="solid"/>
            </v:shape>
            <v:shape style="position:absolute;left:3719;top:75;width:8522;height:239" coordorigin="3719,75" coordsize="8522,239" path="m3719,75l12240,75m3719,314l12240,314e" filled="false" stroked="true" strokeweight=".78003pt" strokecolor="#ffffff">
              <v:path arrowok="t"/>
            </v:shape>
            <v:rect style="position:absolute;left:3719;top:736;width:8521;height:16" filled="true" fillcolor="#ffffff" stroked="false">
              <v:fill type="solid"/>
            </v:rect>
            <v:shape style="position:absolute;left:805;top:2232;width:2914;height:239" coordorigin="805,2232" coordsize="2914,239" path="m2336,2232l805,2232,805,2471,2336,2471,2336,2232m3719,2232l2380,2232,2380,2248,2395,2248,2395,2455,2380,2455,2380,2471,3719,2471,3719,2455,3719,2248,3719,2232e" filled="true" fillcolor="#000000" stroked="false">
              <v:path arrowok="t"/>
              <v:fill type="solid"/>
            </v:shape>
            <v:line style="position:absolute" from="755,2182" to="3719,2182" stroked="true" strokeweight=".72003pt" strokecolor="#175977"/>
            <v:line style="position:absolute" from="805,2463" to="2338,2463" stroked="true" strokeweight=".77997pt" strokecolor="#000000"/>
            <v:line style="position:absolute" from="805,2241" to="2338,2241" stroked="true" strokeweight=".78003pt" strokecolor="#000000"/>
            <v:line style="position:absolute" from="762,2175" to="762,2530" stroked="true" strokeweight=".72pt" strokecolor="#175977"/>
            <v:line style="position:absolute" from="755,2523" to="2358,2523" stroked="true" strokeweight=".71997pt" strokecolor="#175977"/>
            <v:line style="position:absolute" from="2380,2463" to="3719,2463" stroked="true" strokeweight=".77997pt" strokecolor="#000000"/>
            <v:line style="position:absolute" from="2380,2241" to="3719,2241" stroked="true" strokeweight=".78003pt" strokecolor="#000000"/>
            <v:line style="position:absolute" from="2358,2523" to="3719,2523" stroked="true" strokeweight=".71997pt" strokecolor="#175977"/>
            <v:shape style="position:absolute;left:830;top:2668;width:4916;height:446" coordorigin="830,2668" coordsize="4916,446" path="m2348,2668l830,2668,830,2787,845,2787,845,2994,830,2994,830,3113,2348,3113,2348,2994,2334,2994,2334,2787,2348,2787,2348,2668m5746,2890l3719,2890,3719,2683,3719,2668,2393,2668,2393,2683,2408,2683,2408,2890,2408,3097,2393,3097,2393,3113,3719,3113,3719,3097,5746,3097,5746,2890e" filled="true" fillcolor="#dddddd" stroked="false">
              <v:path arrowok="t"/>
              <v:fill type="solid"/>
            </v:shape>
            <v:line style="position:absolute" from="772,2595" to="772,2683" stroked="true" strokeweight=".72pt" strokecolor="#175977"/>
            <v:line style="position:absolute" from="764,2602" to="3719,2602" stroked="true" strokeweight=".72003pt" strokecolor="#175977"/>
            <v:line style="position:absolute" from="830,3105" to="2350,3105" stroked="true" strokeweight=".78003pt" strokecolor="#dddddd"/>
            <v:line style="position:absolute" from="830,2676" to="2350,2676" stroked="true" strokeweight=".77997pt" strokecolor="#dddddd"/>
            <v:line style="position:absolute" from="2393,3105" to="3719,3105" stroked="true" strokeweight=".78003pt" strokecolor="#dddddd"/>
            <v:line style="position:absolute" from="2393,2676" to="3719,2676" stroked="true" strokeweight=".77997pt" strokecolor="#dddddd"/>
            <v:shape style="position:absolute;left:830;top:3156;width:2889;height:238" coordorigin="830,3156" coordsize="2889,238" path="m2348,3156l830,3156,830,3172,845,3172,845,3378,830,3378,830,3394,2348,3394,2348,3378,2334,3378,2334,3172,2348,3172,2348,3156m3719,3378l2393,3378,2393,3394,3719,3394,3719,3378m3719,3156l2393,3156,2393,3172,3719,3172,3719,3156e" filled="true" fillcolor="#dddddd" stroked="false">
              <v:path arrowok="t"/>
              <v:fill type="solid"/>
            </v:shape>
            <v:shape style="position:absolute;left:830;top:3164;width:1520;height:222" coordorigin="830,3164" coordsize="1520,222" path="m830,3386l2350,3386m830,3164l2350,3164e" filled="false" stroked="true" strokeweight=".77997pt" strokecolor="#dddddd">
              <v:path arrowok="t"/>
            </v:shape>
            <v:line style="position:absolute" from="772,2683" to="772,3467" stroked="true" strokeweight=".72pt" strokecolor="#175977"/>
            <v:line style="position:absolute" from="764,3460" to="2371,3460" stroked="true" strokeweight=".71997pt" strokecolor="#175977"/>
            <v:shape style="position:absolute;left:2393;top:3164;width:1326;height:222" coordorigin="2393,3164" coordsize="1326,222" path="m2393,3386l3719,3386m2393,3164l3719,3164e" filled="false" stroked="true" strokeweight=".77997pt" strokecolor="#dddddd">
              <v:path arrowok="t"/>
            </v:shape>
            <v:line style="position:absolute" from="2371,3460" to="3719,3460" stroked="true" strokeweight=".71997pt" strokecolor="#175977"/>
            <v:shape style="position:absolute;left:3719;top:751;width:8522;height:1900" coordorigin="3719,751" coordsize="8522,1900" path="m12240,2635l3719,2635,3719,2651,12240,2651,12240,2635m12240,751l3734,751,3734,2429,12240,2429,12240,751e" filled="true" fillcolor="#ffffff" stroked="false">
              <v:path arrowok="t"/>
              <v:fill type="solid"/>
            </v:shape>
            <v:shape style="position:absolute;left:7729;top:751;width:2329;height:1678" type="#_x0000_t75" stroked="false">
              <v:imagedata r:id="rId225" o:title=""/>
            </v:shape>
            <v:shape style="position:absolute;left:3719;top:744;width:8522;height:1900" coordorigin="3719,744" coordsize="8522,1900" path="m3719,744l12240,744m3719,2643l12240,2643e" filled="false" stroked="true" strokeweight=".77997pt" strokecolor="#ffffff">
              <v:path arrowok="t"/>
            </v:shape>
            <v:shape style="position:absolute;left:3719;top:2650;width:8522;height:377" coordorigin="3719,2650" coordsize="8522,377" path="m12240,2873l3719,2873,3719,3027,12240,3027,12240,2873m12240,2650l3719,2650,3719,2665,12240,2665,12240,2650e" filled="true" fillcolor="#ffffff" stroked="false">
              <v:path arrowok="t"/>
              <v:fill type="solid"/>
            </v:shape>
            <v:line style="position:absolute" from="3719,2659" to="12240,2659" stroked="true" strokeweight=".78003pt" strokecolor="#ffffff"/>
            <v:shape style="position:absolute;left:3719;top:3010;width:8522;height:501" coordorigin="3719,3010" coordsize="8522,501" path="m12240,3010l3719,3010,3719,3510,12240,3510,12240,3495,12240,3041,12240,3010e" filled="true" fillcolor="#ffffff" stroked="false">
              <v:path arrowok="t"/>
              <v:fill type="solid"/>
            </v:shape>
            <v:shape style="position:absolute;left:6414;top:3100;width:4960;height:338" coordorigin="6414,3100" coordsize="4960,338" path="m8116,3100l6414,3100,6414,3165,6428,3165,6428,3371,6414,3371,6414,3437,8116,3437,8116,3371,8100,3371,8100,3165,8116,3165,8116,3100m11374,3100l8159,3100,8159,3165,8174,3165,8174,3371,8159,3371,8159,3437,11374,3437,11374,3371,11359,3371,11359,3165,11374,3165,11374,3100e" filled="true" fillcolor="#000000" stroked="false">
              <v:path arrowok="t"/>
              <v:fill type="solid"/>
            </v:shape>
            <v:shape style="position:absolute;left:6364;top:3048;width:5062;height:2" coordorigin="6364,3048" coordsize="5062,0" path="m6364,3048l11411,3048m11411,3048l11425,3048e" filled="false" stroked="true" strokeweight=".72003pt" strokecolor="#175977">
              <v:path arrowok="t"/>
            </v:shape>
            <v:shape style="position:absolute;left:6414;top:3108;width:1702;height:321" coordorigin="6414,3108" coordsize="1702,321" path="m6414,3428l8116,3428m6414,3108l8116,3108e" filled="false" stroked="true" strokeweight=".78003pt" strokecolor="#000000">
              <v:path arrowok="t"/>
            </v:shape>
            <v:line style="position:absolute" from="6371,3041" to="6371,3495" stroked="true" strokeweight=".72pt" strokecolor="#175977"/>
            <v:line style="position:absolute" from="6364,3487" to="8137,3487" stroked="true" strokeweight=".71997pt" strokecolor="#175977"/>
            <v:shape style="position:absolute;left:8159;top:3108;width:3216;height:321" coordorigin="8159,3108" coordsize="3216,321" path="m8159,3428l11375,3428m8159,3108l11375,3108e" filled="false" stroked="true" strokeweight=".78pt" strokecolor="#000000">
              <v:path arrowok="t"/>
            </v:shape>
            <v:line style="position:absolute" from="8137,3487" to="11411,3487" stroked="true" strokeweight=".71997pt" strokecolor="#175977"/>
            <v:line style="position:absolute" from="11418,3041" to="11418,3495" stroked="true" strokeweight=".72003pt" strokecolor="#175977"/>
            <v:line style="position:absolute" from="3719,3033" to="12240,3033" stroked="true" strokeweight=".77997pt" strokecolor="#ffffff"/>
            <v:line style="position:absolute" from="3719,3502" to="12240,3502" stroked="true" strokeweight=".78003pt" strokecolor="#ffffff"/>
            <v:shape style="position:absolute;left:3719;top:3509;width:8522;height:905" coordorigin="3719,3509" coordsize="8522,905" path="m12240,3509l3719,3509,3719,4414,12240,4414,12240,3858,12240,3525,12240,3509e" filled="true" fillcolor="#ffffff" stroked="false">
              <v:path arrowok="t"/>
              <v:fill type="solid"/>
            </v:shape>
            <v:line style="position:absolute" from="6349,3525" to="6349,3613" stroked="true" strokeweight=".72pt" strokecolor="#175977"/>
            <v:line style="position:absolute" from="6342,3532" to="11431,3532" stroked="true" strokeweight=".72003pt" strokecolor="#175977"/>
            <v:shape style="position:absolute;left:3734;top:3858;width:8506;height:540" coordorigin="3734,3858" coordsize="8506,540" path="m6342,3858l3734,3858,3734,4398,6342,4398,6342,3858m12240,3858l11446,3858,11446,4398,12240,4398,12240,3858e" filled="true" fillcolor="#ffffff" stroked="false">
              <v:path arrowok="t"/>
              <v:fill type="solid"/>
            </v:shape>
            <v:line style="position:absolute" from="6349,3613" to="6349,4398" stroked="true" strokeweight=".72pt" strokecolor="#175977"/>
            <v:shape style="position:absolute;left:6342;top:4391;width:5090;height:2" coordorigin="6342,4391" coordsize="5090,0" path="m6342,4391l8160,4391m8160,4391l11431,4391e" filled="false" stroked="true" strokeweight=".71997pt" strokecolor="#175977">
              <v:path arrowok="t"/>
            </v:shape>
            <v:line style="position:absolute" from="11438,3525" to="11438,4398" stroked="true" strokeweight=".71997pt" strokecolor="#175977"/>
            <v:line style="position:absolute" from="3719,3518" to="12240,3518" stroked="true" strokeweight=".78003pt" strokecolor="#ffffff"/>
            <w10:wrap type="none"/>
          </v:group>
        </w:pict>
      </w:r>
      <w:r>
        <w:rPr>
          <w:sz w:val="18"/>
        </w:rPr>
        <w:t>Table 6. Changes to score wrist.</w:t>
      </w:r>
    </w:p>
    <w:p>
      <w:pPr>
        <w:pStyle w:val="BodyText"/>
        <w:spacing w:before="2"/>
        <w:rPr>
          <w:sz w:val="14"/>
        </w:rPr>
      </w:pPr>
    </w:p>
    <w:p>
      <w:pPr>
        <w:spacing w:before="77"/>
        <w:ind w:left="5868" w:right="718" w:firstLine="0"/>
        <w:jc w:val="left"/>
        <w:rPr>
          <w:sz w:val="18"/>
        </w:rPr>
      </w:pPr>
      <w:r>
        <w:rPr>
          <w:sz w:val="18"/>
        </w:rPr>
        <w:t>Once the score wrist rotation thereof will be assessed.</w:t>
      </w:r>
    </w:p>
    <w:p>
      <w:pPr>
        <w:pStyle w:val="BodyText"/>
      </w:pPr>
    </w:p>
    <w:p>
      <w:pPr>
        <w:pStyle w:val="BodyText"/>
      </w:pPr>
    </w:p>
    <w:p>
      <w:pPr>
        <w:pStyle w:val="BodyText"/>
      </w:pPr>
    </w:p>
    <w:p>
      <w:pPr>
        <w:pStyle w:val="BodyText"/>
        <w:rPr>
          <w:sz w:val="21"/>
        </w:rPr>
      </w:pPr>
    </w:p>
    <w:p>
      <w:pPr>
        <w:spacing w:before="77"/>
        <w:ind w:left="808" w:right="718" w:firstLine="0"/>
        <w:jc w:val="left"/>
        <w:rPr>
          <w:sz w:val="18"/>
        </w:rPr>
      </w:pPr>
      <w:r>
        <w:rPr/>
        <w:pict>
          <v:shape style="position:absolute;margin-left:185.34346pt;margin-top:-46.36797pt;width:426.7pt;height:95.8pt;mso-position-horizontal-relative:page;mso-position-vertical-relative:paragraph;z-index:-871600" type="#_x0000_t202" filled="false" stroked="false">
            <v:textbox inset="0,0,0,0">
              <w:txbxContent>
                <w:p>
                  <w:pPr>
                    <w:pStyle w:val="BodyText"/>
                    <w:rPr>
                      <w:sz w:val="18"/>
                    </w:rPr>
                  </w:pPr>
                </w:p>
                <w:p>
                  <w:pPr>
                    <w:pStyle w:val="BodyText"/>
                    <w:rPr>
                      <w:sz w:val="18"/>
                    </w:rPr>
                  </w:pPr>
                </w:p>
                <w:p>
                  <w:pPr>
                    <w:pStyle w:val="BodyText"/>
                    <w:rPr>
                      <w:sz w:val="18"/>
                    </w:rPr>
                  </w:pPr>
                </w:p>
                <w:p>
                  <w:pPr>
                    <w:pStyle w:val="BodyText"/>
                    <w:rPr>
                      <w:sz w:val="18"/>
                    </w:rPr>
                  </w:pPr>
                </w:p>
                <w:p>
                  <w:pPr>
                    <w:pStyle w:val="BodyText"/>
                    <w:spacing w:before="3"/>
                    <w:rPr>
                      <w:sz w:val="15"/>
                    </w:rPr>
                  </w:pPr>
                </w:p>
                <w:p>
                  <w:pPr>
                    <w:spacing w:before="1"/>
                    <w:ind w:left="0" w:right="0" w:firstLine="0"/>
                    <w:jc w:val="left"/>
                    <w:rPr>
                      <w:sz w:val="18"/>
                    </w:rPr>
                  </w:pPr>
                  <w:r>
                    <w:rPr>
                      <w:sz w:val="18"/>
                    </w:rPr>
                    <w:t>score of the forearm.</w:t>
                  </w:r>
                </w:p>
                <w:p>
                  <w:pPr>
                    <w:pStyle w:val="BodyText"/>
                    <w:rPr>
                      <w:sz w:val="26"/>
                    </w:rPr>
                  </w:pPr>
                </w:p>
                <w:p>
                  <w:pPr>
                    <w:spacing w:before="0"/>
                    <w:ind w:left="51" w:right="0" w:firstLine="0"/>
                    <w:jc w:val="left"/>
                    <w:rPr>
                      <w:b/>
                      <w:sz w:val="18"/>
                    </w:rPr>
                  </w:pPr>
                  <w:r>
                    <w:rPr>
                      <w:b/>
                      <w:color w:val="FFFFFF"/>
                      <w:sz w:val="18"/>
                    </w:rPr>
                    <w:t>Position</w:t>
                  </w:r>
                </w:p>
              </w:txbxContent>
            </v:textbox>
            <w10:wrap type="none"/>
          </v:shape>
        </w:pict>
      </w:r>
      <w:r>
        <w:rPr>
          <w:sz w:val="18"/>
        </w:rPr>
        <w:t>Fig. 4 Positions that modify the</w:t>
      </w:r>
    </w:p>
    <w:p>
      <w:pPr>
        <w:pStyle w:val="BodyText"/>
        <w:spacing w:before="4"/>
        <w:rPr>
          <w:sz w:val="19"/>
        </w:rPr>
      </w:pPr>
    </w:p>
    <w:p>
      <w:pPr>
        <w:spacing w:after="0"/>
        <w:rPr>
          <w:sz w:val="19"/>
        </w:rPr>
        <w:sectPr>
          <w:pgSz w:w="12240" w:h="15840"/>
          <w:pgMar w:header="545" w:footer="852" w:top="1060" w:bottom="1040" w:left="580" w:right="0"/>
        </w:sectPr>
      </w:pPr>
    </w:p>
    <w:p>
      <w:pPr>
        <w:spacing w:before="77"/>
        <w:ind w:left="760" w:right="2010" w:firstLine="0"/>
        <w:jc w:val="left"/>
        <w:rPr>
          <w:b/>
          <w:sz w:val="18"/>
        </w:rPr>
      </w:pPr>
      <w:r>
        <w:rPr>
          <w:b/>
          <w:color w:val="FFFFFF"/>
          <w:sz w:val="18"/>
        </w:rPr>
        <w:t>Score</w:t>
      </w:r>
    </w:p>
    <w:p>
      <w:pPr>
        <w:pStyle w:val="BodyText"/>
        <w:spacing w:before="8"/>
        <w:rPr>
          <w:b/>
          <w:sz w:val="26"/>
        </w:rPr>
      </w:pPr>
    </w:p>
    <w:p>
      <w:pPr>
        <w:tabs>
          <w:tab w:pos="1990" w:val="left" w:leader="none"/>
        </w:tabs>
        <w:spacing w:line="122" w:lineRule="auto" w:before="0"/>
        <w:ind w:left="1932" w:right="2010" w:hanging="1035"/>
        <w:jc w:val="left"/>
        <w:rPr>
          <w:sz w:val="18"/>
        </w:rPr>
      </w:pPr>
      <w:r>
        <w:rPr/>
        <w:pict>
          <v:shape style="position:absolute;margin-left:181.681335pt;margin-top:-5.554797pt;width:430.35pt;height:21.95pt;mso-position-horizontal-relative:page;mso-position-vertical-relative:paragraph;z-index:-871576" type="#_x0000_t202" filled="false" stroked="false">
            <v:textbox inset="0,0,0,0">
              <w:txbxContent>
                <w:p>
                  <w:pPr>
                    <w:spacing w:before="28"/>
                    <w:ind w:left="0" w:right="6607" w:firstLine="101"/>
                    <w:jc w:val="left"/>
                    <w:rPr>
                      <w:sz w:val="18"/>
                    </w:rPr>
                  </w:pPr>
                  <w:r>
                    <w:rPr>
                      <w:sz w:val="18"/>
                    </w:rPr>
                    <w:t>ojection of the forearm is ical projection of the elbow</w:t>
                  </w:r>
                </w:p>
              </w:txbxContent>
            </v:textbox>
            <w10:wrap type="none"/>
          </v:shape>
        </w:pict>
      </w:r>
      <w:r>
        <w:rPr/>
        <w:pict>
          <v:shape style="position:absolute;margin-left:185.940002pt;margin-top:12.445203pt;width:426.1pt;height:25.05pt;mso-position-horizontal-relative:page;mso-position-vertical-relative:paragraph;z-index:-871552" type="#_x0000_t202" filled="false" stroked="false">
            <v:textbox inset="0,0,0,0">
              <w:txbxContent>
                <w:p>
                  <w:pPr>
                    <w:spacing w:before="157"/>
                    <w:ind w:left="39" w:right="6367" w:firstLine="0"/>
                    <w:jc w:val="left"/>
                    <w:rPr>
                      <w:sz w:val="18"/>
                    </w:rPr>
                  </w:pPr>
                  <w:r>
                    <w:rPr>
                      <w:sz w:val="18"/>
                    </w:rPr>
                    <w:t>the center line of the body.</w:t>
                  </w:r>
                </w:p>
              </w:txbxContent>
            </v:textbox>
            <w10:wrap type="none"/>
          </v:shape>
        </w:pict>
      </w:r>
      <w:r>
        <w:rPr>
          <w:position w:val="-9"/>
          <w:sz w:val="18"/>
        </w:rPr>
        <w:t>+1</w:t>
        <w:tab/>
        <w:tab/>
      </w:r>
      <w:r>
        <w:rPr>
          <w:sz w:val="18"/>
        </w:rPr>
        <w:t>If the</w:t>
      </w:r>
      <w:r>
        <w:rPr>
          <w:spacing w:val="-2"/>
          <w:sz w:val="18"/>
        </w:rPr>
        <w:t> </w:t>
      </w:r>
      <w:r>
        <w:rPr>
          <w:sz w:val="18"/>
        </w:rPr>
        <w:t>vertical</w:t>
      </w:r>
      <w:r>
        <w:rPr>
          <w:spacing w:val="-1"/>
          <w:sz w:val="18"/>
        </w:rPr>
        <w:t> </w:t>
      </w:r>
      <w:r>
        <w:rPr>
          <w:sz w:val="18"/>
        </w:rPr>
        <w:t>pr beyond the</w:t>
      </w:r>
      <w:r>
        <w:rPr>
          <w:spacing w:val="-3"/>
          <w:sz w:val="18"/>
        </w:rPr>
        <w:t> </w:t>
      </w:r>
      <w:r>
        <w:rPr>
          <w:sz w:val="18"/>
        </w:rPr>
        <w:t>vert</w:t>
      </w:r>
    </w:p>
    <w:p>
      <w:pPr>
        <w:tabs>
          <w:tab w:pos="1828" w:val="left" w:leader="none"/>
        </w:tabs>
        <w:spacing w:line="376" w:lineRule="auto" w:before="94"/>
        <w:ind w:left="927" w:right="2011" w:hanging="29"/>
        <w:jc w:val="left"/>
        <w:rPr>
          <w:sz w:val="18"/>
        </w:rPr>
      </w:pPr>
      <w:r>
        <w:rPr/>
        <w:pict>
          <v:shape style="position:absolute;margin-left:185.940002pt;margin-top:21.802368pt;width:426.1pt;height:45.25pt;mso-position-horizontal-relative:page;mso-position-vertical-relative:paragraph;z-index:-871528" type="#_x0000_t202" filled="false" stroked="false">
            <v:textbox inset="0,0,0,0">
              <w:txbxContent>
                <w:p>
                  <w:pPr>
                    <w:spacing w:line="190" w:lineRule="exact" w:before="0"/>
                    <w:ind w:left="18" w:right="6367" w:firstLine="0"/>
                    <w:jc w:val="left"/>
                    <w:rPr>
                      <w:sz w:val="18"/>
                    </w:rPr>
                  </w:pPr>
                  <w:r>
                    <w:rPr>
                      <w:sz w:val="18"/>
                    </w:rPr>
                    <w:t>ore of the forearm.</w:t>
                  </w:r>
                </w:p>
              </w:txbxContent>
            </v:textbox>
            <w10:wrap type="none"/>
          </v:shape>
        </w:pict>
      </w:r>
      <w:r>
        <w:rPr>
          <w:sz w:val="18"/>
        </w:rPr>
        <w:t>+1</w:t>
        <w:tab/>
      </w:r>
      <w:r>
        <w:rPr>
          <w:sz w:val="18"/>
          <w:shd w:fill="DDDDDD" w:color="auto" w:val="clear"/>
        </w:rPr>
        <w:t>If the</w:t>
      </w:r>
      <w:r>
        <w:rPr>
          <w:spacing w:val="-2"/>
          <w:sz w:val="18"/>
          <w:shd w:fill="DDDDDD" w:color="auto" w:val="clear"/>
        </w:rPr>
        <w:t> </w:t>
      </w:r>
      <w:r>
        <w:rPr>
          <w:sz w:val="18"/>
          <w:shd w:fill="DDDDDD" w:color="auto" w:val="clear"/>
        </w:rPr>
        <w:t>arm</w:t>
      </w:r>
      <w:r>
        <w:rPr>
          <w:spacing w:val="-3"/>
          <w:sz w:val="18"/>
          <w:shd w:fill="DDDDDD" w:color="auto" w:val="clear"/>
        </w:rPr>
        <w:t> </w:t>
      </w:r>
      <w:r>
        <w:rPr>
          <w:sz w:val="18"/>
          <w:shd w:fill="DDDDDD" w:color="auto" w:val="clear"/>
        </w:rPr>
        <w:t>crosses</w:t>
      </w:r>
      <w:r>
        <w:rPr>
          <w:sz w:val="18"/>
        </w:rPr>
        <w:t> Table 4. Modification of the</w:t>
      </w:r>
      <w:r>
        <w:rPr>
          <w:spacing w:val="-6"/>
          <w:sz w:val="18"/>
        </w:rPr>
        <w:t> </w:t>
      </w:r>
      <w:r>
        <w:rPr>
          <w:sz w:val="18"/>
        </w:rPr>
        <w:t>sc</w:t>
      </w:r>
    </w:p>
    <w:p>
      <w:pPr>
        <w:pStyle w:val="BodyText"/>
        <w:rPr>
          <w:sz w:val="18"/>
        </w:rPr>
      </w:pPr>
    </w:p>
    <w:p>
      <w:pPr>
        <w:pStyle w:val="BodyText"/>
        <w:rPr>
          <w:sz w:val="18"/>
        </w:rPr>
      </w:pPr>
    </w:p>
    <w:p>
      <w:pPr>
        <w:pStyle w:val="BodyText"/>
        <w:rPr>
          <w:sz w:val="18"/>
        </w:rPr>
      </w:pPr>
    </w:p>
    <w:p>
      <w:pPr>
        <w:spacing w:before="126"/>
        <w:ind w:left="270" w:right="2010" w:firstLine="0"/>
        <w:jc w:val="left"/>
        <w:rPr>
          <w:sz w:val="18"/>
        </w:rPr>
      </w:pPr>
      <w:r>
        <w:rPr/>
        <w:drawing>
          <wp:anchor distT="0" distB="0" distL="0" distR="0" allowOverlap="1" layoutInCell="1" locked="0" behindDoc="0" simplePos="0" relativeHeight="7360">
            <wp:simplePos x="0" y="0"/>
            <wp:positionH relativeFrom="page">
              <wp:posOffset>534923</wp:posOffset>
            </wp:positionH>
            <wp:positionV relativeFrom="paragraph">
              <wp:posOffset>224057</wp:posOffset>
            </wp:positionV>
            <wp:extent cx="3115817" cy="1040891"/>
            <wp:effectExtent l="0" t="0" r="0" b="0"/>
            <wp:wrapNone/>
            <wp:docPr id="243" name="image134.jpeg" descr=""/>
            <wp:cNvGraphicFramePr>
              <a:graphicFrameLocks noChangeAspect="1"/>
            </wp:cNvGraphicFramePr>
            <a:graphic>
              <a:graphicData uri="http://schemas.openxmlformats.org/drawingml/2006/picture">
                <pic:pic>
                  <pic:nvPicPr>
                    <pic:cNvPr id="244" name="image134.jpeg"/>
                    <pic:cNvPicPr/>
                  </pic:nvPicPr>
                  <pic:blipFill>
                    <a:blip r:embed="rId226" cstate="print"/>
                    <a:stretch>
                      <a:fillRect/>
                    </a:stretch>
                  </pic:blipFill>
                  <pic:spPr>
                    <a:xfrm>
                      <a:off x="0" y="0"/>
                      <a:ext cx="3115817" cy="1040891"/>
                    </a:xfrm>
                    <a:prstGeom prst="rect">
                      <a:avLst/>
                    </a:prstGeom>
                  </pic:spPr>
                </pic:pic>
              </a:graphicData>
            </a:graphic>
          </wp:anchor>
        </w:drawing>
      </w:r>
      <w:r>
        <w:rPr>
          <w:sz w:val="18"/>
        </w:rPr>
        <w:t>Rating wrist:</w:t>
      </w:r>
    </w:p>
    <w:p>
      <w:pPr>
        <w:pStyle w:val="BodyText"/>
        <w:spacing w:before="1"/>
        <w:rPr>
          <w:sz w:val="22"/>
        </w:rPr>
      </w:pPr>
      <w:r>
        <w:rPr/>
        <w:br w:type="column"/>
      </w:r>
      <w:r>
        <w:rPr>
          <w:sz w:val="22"/>
        </w:rPr>
      </w:r>
    </w:p>
    <w:p>
      <w:pPr>
        <w:spacing w:before="0"/>
        <w:ind w:left="1434" w:right="2069" w:firstLine="0"/>
        <w:jc w:val="center"/>
        <w:rPr>
          <w:sz w:val="18"/>
        </w:rPr>
      </w:pPr>
      <w:r>
        <w:rPr>
          <w:sz w:val="18"/>
        </w:rPr>
        <w:t>Fig. 7 Rotating of the wrist.</w:t>
      </w:r>
    </w:p>
    <w:p>
      <w:pPr>
        <w:pStyle w:val="BodyText"/>
        <w:rPr>
          <w:sz w:val="18"/>
        </w:rPr>
      </w:pPr>
    </w:p>
    <w:p>
      <w:pPr>
        <w:pStyle w:val="BodyText"/>
        <w:rPr>
          <w:sz w:val="18"/>
        </w:rPr>
      </w:pPr>
    </w:p>
    <w:p>
      <w:pPr>
        <w:tabs>
          <w:tab w:pos="3269" w:val="left" w:leader="none"/>
        </w:tabs>
        <w:spacing w:before="118"/>
        <w:ind w:left="862" w:right="0" w:firstLine="0"/>
        <w:jc w:val="left"/>
        <w:rPr>
          <w:b/>
          <w:sz w:val="18"/>
        </w:rPr>
      </w:pPr>
      <w:r>
        <w:rPr>
          <w:b/>
          <w:color w:val="FFFFFF"/>
          <w:sz w:val="18"/>
        </w:rPr>
        <w:t>Score</w:t>
        <w:tab/>
        <w:t>Position</w:t>
      </w:r>
    </w:p>
    <w:p>
      <w:pPr>
        <w:pStyle w:val="BodyText"/>
        <w:spacing w:before="9"/>
        <w:rPr>
          <w:b/>
          <w:sz w:val="19"/>
        </w:rPr>
      </w:pPr>
    </w:p>
    <w:tbl>
      <w:tblPr>
        <w:tblCellSpacing w:w="32" w:type="dxa"/>
        <w:tblW w:w="0" w:type="auto"/>
        <w:jc w:val="left"/>
        <w:tblInd w:w="21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59"/>
        <w:gridCol w:w="3197"/>
      </w:tblGrid>
      <w:tr>
        <w:trPr>
          <w:trHeight w:val="189" w:hRule="exact"/>
        </w:trPr>
        <w:tc>
          <w:tcPr>
            <w:tcW w:w="1759" w:type="dxa"/>
            <w:tcBorders>
              <w:top w:val="single" w:sz="6" w:space="0" w:color="DDDDDD"/>
              <w:bottom w:val="single" w:sz="30" w:space="0" w:color="auto"/>
              <w:right w:val="nil"/>
            </w:tcBorders>
          </w:tcPr>
          <w:p>
            <w:pPr>
              <w:pStyle w:val="TableParagraph"/>
              <w:tabs>
                <w:tab w:pos="789" w:val="left" w:leader="none"/>
                <w:tab w:pos="1699" w:val="left" w:leader="none"/>
              </w:tabs>
              <w:spacing w:line="202" w:lineRule="exact"/>
              <w:ind w:right="1"/>
              <w:jc w:val="center"/>
              <w:rPr>
                <w:sz w:val="18"/>
              </w:rPr>
            </w:pPr>
            <w:r>
              <w:rPr>
                <w:sz w:val="18"/>
                <w:shd w:fill="DDDDDD" w:color="auto" w:val="clear"/>
              </w:rPr>
              <w:t> </w:t>
              <w:tab/>
              <w:t>1</w:t>
              <w:tab/>
            </w:r>
          </w:p>
        </w:tc>
        <w:tc>
          <w:tcPr>
            <w:tcW w:w="3197" w:type="dxa"/>
            <w:tcBorders>
              <w:left w:val="nil"/>
              <w:bottom w:val="nil"/>
            </w:tcBorders>
            <w:shd w:val="clear" w:color="auto" w:fill="DDDDDD"/>
          </w:tcPr>
          <w:p>
            <w:pPr>
              <w:pStyle w:val="TableParagraph"/>
              <w:spacing w:before="3"/>
              <w:ind w:left="58"/>
              <w:rPr>
                <w:sz w:val="18"/>
              </w:rPr>
            </w:pPr>
            <w:r>
              <w:rPr>
                <w:sz w:val="18"/>
              </w:rPr>
              <w:t>If there pronation or supination midrange.</w:t>
            </w:r>
          </w:p>
        </w:tc>
      </w:tr>
      <w:tr>
        <w:trPr>
          <w:trHeight w:val="394" w:hRule="exact"/>
        </w:trPr>
        <w:tc>
          <w:tcPr>
            <w:tcW w:w="1759" w:type="dxa"/>
            <w:tcBorders>
              <w:top w:val="nil"/>
              <w:right w:val="nil"/>
            </w:tcBorders>
            <w:shd w:val="clear" w:color="auto" w:fill="DDDDDD"/>
          </w:tcPr>
          <w:p>
            <w:pPr>
              <w:pStyle w:val="TableParagraph"/>
              <w:spacing w:before="98"/>
              <w:ind w:right="29"/>
              <w:jc w:val="center"/>
              <w:rPr>
                <w:sz w:val="18"/>
              </w:rPr>
            </w:pPr>
            <w:r>
              <w:rPr>
                <w:sz w:val="18"/>
              </w:rPr>
              <w:t>2</w:t>
            </w:r>
          </w:p>
        </w:tc>
        <w:tc>
          <w:tcPr>
            <w:tcW w:w="3197" w:type="dxa"/>
            <w:tcBorders>
              <w:top w:val="nil"/>
              <w:left w:val="nil"/>
            </w:tcBorders>
            <w:shd w:val="clear" w:color="auto" w:fill="DDDDDD"/>
          </w:tcPr>
          <w:p>
            <w:pPr>
              <w:pStyle w:val="TableParagraph"/>
              <w:ind w:left="1346" w:hanging="1304"/>
              <w:rPr>
                <w:sz w:val="18"/>
              </w:rPr>
            </w:pPr>
            <w:r>
              <w:rPr>
                <w:sz w:val="18"/>
              </w:rPr>
              <w:t>If there pronation or supination at extreme range.</w:t>
            </w:r>
          </w:p>
        </w:tc>
      </w:tr>
    </w:tbl>
    <w:p>
      <w:pPr>
        <w:spacing w:before="99"/>
        <w:ind w:left="1434" w:right="2069" w:firstLine="0"/>
        <w:jc w:val="center"/>
        <w:rPr>
          <w:sz w:val="18"/>
        </w:rPr>
      </w:pPr>
      <w:r>
        <w:rPr>
          <w:sz w:val="18"/>
        </w:rPr>
        <w:t>Table 7. Score roating of the wrist.</w:t>
      </w:r>
    </w:p>
    <w:p>
      <w:pPr>
        <w:pStyle w:val="BodyText"/>
        <w:spacing w:before="9"/>
      </w:pPr>
    </w:p>
    <w:p>
      <w:pPr>
        <w:spacing w:before="0"/>
        <w:ind w:left="262" w:right="0" w:firstLine="0"/>
        <w:jc w:val="left"/>
        <w:rPr>
          <w:sz w:val="18"/>
        </w:rPr>
      </w:pPr>
      <w:r>
        <w:rPr>
          <w:b/>
          <w:sz w:val="18"/>
        </w:rPr>
        <w:t>Group B: </w:t>
      </w:r>
      <w:r>
        <w:rPr>
          <w:sz w:val="18"/>
        </w:rPr>
        <w:t>Ratings for the legs, trunk and neck.</w:t>
      </w:r>
    </w:p>
    <w:p>
      <w:pPr>
        <w:spacing w:after="0"/>
        <w:jc w:val="left"/>
        <w:rPr>
          <w:sz w:val="18"/>
        </w:rPr>
        <w:sectPr>
          <w:type w:val="continuous"/>
          <w:pgSz w:w="12240" w:h="15840"/>
          <w:pgMar w:top="1500" w:bottom="280" w:left="580" w:right="0"/>
          <w:cols w:num="2" w:equalWidth="0">
            <w:col w:w="5170" w:space="437"/>
            <w:col w:w="6053"/>
          </w:cols>
        </w:sectPr>
      </w:pPr>
    </w:p>
    <w:p>
      <w:pPr>
        <w:pStyle w:val="BodyText"/>
      </w:pPr>
    </w:p>
    <w:p>
      <w:pPr>
        <w:pStyle w:val="BodyText"/>
      </w:pPr>
    </w:p>
    <w:p>
      <w:pPr>
        <w:pStyle w:val="BodyText"/>
      </w:pPr>
    </w:p>
    <w:p>
      <w:pPr>
        <w:pStyle w:val="BodyText"/>
      </w:pPr>
    </w:p>
    <w:p>
      <w:pPr>
        <w:pStyle w:val="BodyText"/>
      </w:pPr>
    </w:p>
    <w:p>
      <w:pPr>
        <w:pStyle w:val="BodyText"/>
      </w:pPr>
    </w:p>
    <w:p>
      <w:pPr>
        <w:pStyle w:val="BodyText"/>
        <w:spacing w:before="5"/>
        <w:rPr>
          <w:sz w:val="22"/>
        </w:rPr>
      </w:pPr>
    </w:p>
    <w:p>
      <w:pPr>
        <w:spacing w:after="0"/>
        <w:rPr>
          <w:sz w:val="22"/>
        </w:rPr>
        <w:sectPr>
          <w:type w:val="continuous"/>
          <w:pgSz w:w="12240" w:h="15840"/>
          <w:pgMar w:top="1500" w:bottom="280" w:left="580" w:right="0"/>
        </w:sectPr>
      </w:pPr>
    </w:p>
    <w:p>
      <w:pPr>
        <w:pStyle w:val="BodyText"/>
        <w:rPr>
          <w:sz w:val="18"/>
        </w:rPr>
      </w:pPr>
    </w:p>
    <w:p>
      <w:pPr>
        <w:pStyle w:val="BodyText"/>
        <w:rPr>
          <w:sz w:val="18"/>
        </w:rPr>
      </w:pPr>
    </w:p>
    <w:p>
      <w:pPr>
        <w:spacing w:before="137"/>
        <w:ind w:left="0" w:right="0" w:firstLine="0"/>
        <w:jc w:val="right"/>
        <w:rPr>
          <w:b/>
          <w:sz w:val="18"/>
        </w:rPr>
      </w:pPr>
      <w:r>
        <w:rPr/>
        <w:pict>
          <v:group style="position:absolute;margin-left:35.685001pt;margin-top:1.082346pt;width:576.75pt;height:311.05pt;mso-position-horizontal-relative:page;mso-position-vertical-relative:paragraph;z-index:-871432" coordorigin="714,22" coordsize="11535,6221">
            <v:shape style="position:absolute;left:772;top:101;width:2933;height:281" coordorigin="772,101" coordsize="2933,281" path="m3002,101l772,101,772,138,787,138,787,345,772,345,772,382,3002,382,3002,345,2987,345,2987,138,3002,138,3002,101m3704,101l3046,101,3046,138,3061,138,3061,345,3046,345,3046,382,3704,382,3704,345,3704,138,3704,101e" filled="true" fillcolor="#000000" stroked="false">
              <v:path arrowok="t"/>
              <v:fill type="solid"/>
            </v:shape>
            <v:line style="position:absolute" from="721,51" to="3704,51" stroked="true" strokeweight=".72pt" strokecolor="#175977"/>
            <v:shape style="position:absolute;left:772;top:110;width:2232;height:263" coordorigin="772,110" coordsize="2232,263" path="m772,373l3004,373m772,110l3004,110e" filled="false" stroked="true" strokeweight=".78pt" strokecolor="#000000">
              <v:path arrowok="t"/>
            </v:shape>
            <v:line style="position:absolute" from="728,43" to="728,439" stroked="true" strokeweight=".72pt" strokecolor="#175977"/>
            <v:line style="position:absolute" from="721,432" to="3024,432" stroked="true" strokeweight=".72pt" strokecolor="#175977"/>
            <v:shape style="position:absolute;left:3046;top:110;width:659;height:263" coordorigin="3046,110" coordsize="659,263" path="m3046,373l3704,373m3046,110l3704,110e" filled="false" stroked="true" strokeweight=".78pt" strokecolor="#000000">
              <v:path arrowok="t"/>
            </v:shape>
            <v:line style="position:absolute" from="3024,432" to="3704,432" stroked="true" strokeweight=".72pt" strokecolor="#175977"/>
            <v:line style="position:absolute" from="732,469" to="732,558" stroked="true" strokeweight=".72pt" strokecolor="#175977"/>
            <v:line style="position:absolute" from="725,477" to="3704,477" stroked="true" strokeweight=".72pt" strokecolor="#175977"/>
            <v:line style="position:absolute" from="732,558" to="732,2038" stroked="true" strokeweight=".72pt" strokecolor="#175977"/>
            <v:shape style="position:absolute;left:725;top:2031;width:2980;height:2" coordorigin="725,2031" coordsize="2980,0" path="m725,2031l3024,2031m3024,2031l3704,2031e" filled="false" stroked="true" strokeweight=".72pt" strokecolor="#175977">
              <v:path arrowok="t"/>
            </v:shape>
            <v:rect style="position:absolute;left:3704;top:22;width:8536;height:16" filled="true" fillcolor="#ffffff" stroked="false">
              <v:fill type="solid"/>
            </v:rect>
            <v:shape style="position:absolute;left:1925;top:2944;width:2742;height:1790" type="#_x0000_t75" stroked="false">
              <v:imagedata r:id="rId227" o:title=""/>
            </v:shape>
            <v:rect style="position:absolute;left:3719;top:37;width:8521;height:3193" filled="true" fillcolor="#ffffff" stroked="false">
              <v:fill type="solid"/>
            </v:rect>
            <v:shape style="position:absolute;left:6932;top:37;width:3922;height:3193" type="#_x0000_t75" stroked="false">
              <v:imagedata r:id="rId228" o:title=""/>
            </v:shape>
            <v:shape style="position:absolute;left:3719;top:3231;width:8522;height:584" coordorigin="3719,3231" coordsize="8522,584" path="m12240,3231l3719,3231,3719,3437,3719,3438,3719,3453,3734,3453,3734,3660,3719,3660,3719,3814,12240,3814,12240,3660,12240,3453,12240,3438,12240,3437,12240,3231e" filled="true" fillcolor="#ffffff" stroked="false">
              <v:path arrowok="t"/>
              <v:fill type="solid"/>
            </v:shape>
            <v:line style="position:absolute" from="3719,3446" to="12240,3446" stroked="true" strokeweight=".78pt" strokecolor="#ffffff"/>
            <v:shape style="position:absolute;left:3719;top:3797;width:8522;height:488" coordorigin="3719,3797" coordsize="8522,488" path="m12240,3797l3719,3797,3719,4284,12240,4284,12240,4269,12240,3828,12240,3797e" filled="true" fillcolor="#ffffff" stroked="false">
              <v:path arrowok="t"/>
              <v:fill type="solid"/>
            </v:shape>
            <v:shape style="position:absolute;left:6433;top:3886;width:4923;height:326" coordorigin="6433,3886" coordsize="4923,326" path="m8810,3886l6433,3886,6433,3945,6448,3945,6448,4152,6433,4152,6433,4211,8810,4211,8810,4152,8796,4152,8796,3945,8810,3945,8810,3886m11356,3886l8855,3886,8855,3945,8870,3945,8870,4152,8855,4152,8855,4211,11356,4211,11356,4152,11340,4152,11340,3945,11356,3945,11356,3886e" filled="true" fillcolor="#000000" stroked="false">
              <v:path arrowok="t"/>
              <v:fill type="solid"/>
            </v:shape>
            <v:shape style="position:absolute;left:6383;top:3835;width:5010;height:2" coordorigin="6383,3835" coordsize="5010,0" path="m6383,3835l8848,3835m8848,3835l11393,3835e" filled="false" stroked="true" strokeweight=".72pt" strokecolor="#175977">
              <v:path arrowok="t"/>
            </v:shape>
            <v:shape style="position:absolute;left:6433;top:3895;width:2379;height:308" coordorigin="6433,3895" coordsize="2379,308" path="m6433,4202l8812,4202m6433,3895l8812,3895e" filled="false" stroked="true" strokeweight=".78001pt" strokecolor="#000000">
              <v:path arrowok="t"/>
            </v:shape>
            <v:line style="position:absolute" from="6390,3828" to="6390,4269" stroked="true" strokeweight=".72pt" strokecolor="#175977"/>
            <v:line style="position:absolute" from="6383,4261" to="8833,4261" stroked="true" strokeweight=".72pt" strokecolor="#175977"/>
            <v:shape style="position:absolute;left:8855;top:3895;width:2501;height:308" coordorigin="8855,3895" coordsize="2501,308" path="m8855,4202l11356,4202m8855,3895l11356,3895e" filled="false" stroked="true" strokeweight=".78pt" strokecolor="#000000">
              <v:path arrowok="t"/>
            </v:shape>
            <v:shape style="position:absolute;left:8833;top:4261;width:2560;height:2" coordorigin="8833,4261" coordsize="2560,0" path="m8833,4261l8848,4261m8848,4261l11393,4261e" filled="false" stroked="true" strokeweight=".72pt" strokecolor="#175977">
              <v:path arrowok="t"/>
            </v:shape>
            <v:line style="position:absolute" from="11400,3828" to="11400,4269" stroked="true" strokeweight=".72003pt" strokecolor="#175977"/>
            <v:shape style="position:absolute;left:3719;top:3820;width:8522;height:456" coordorigin="3719,3820" coordsize="8522,456" path="m3719,3820l12240,3820m3719,4276l12240,4276e" filled="false" stroked="true" strokeweight=".78pt" strokecolor="#ffffff">
              <v:path arrowok="t"/>
            </v:shape>
            <v:shape style="position:absolute;left:803;top:5197;width:2902;height:357" coordorigin="803,5197" coordsize="2902,357" path="m3170,5197l803,5197,803,5272,818,5272,818,5479,803,5479,803,5554,3170,5554,3170,5479,3155,5479,3155,5272,3170,5272,3170,5197m3704,5197l3214,5197,3214,5272,3229,5272,3229,5479,3214,5479,3214,5554,3704,5554,3704,5479,3704,5272,3704,5197e" filled="true" fillcolor="#000000" stroked="false">
              <v:path arrowok="t"/>
              <v:fill type="solid"/>
            </v:shape>
            <v:line style="position:absolute" from="752,5146" to="3704,5146" stroked="true" strokeweight=".72pt" strokecolor="#175977"/>
            <v:shape style="position:absolute;left:803;top:5205;width:2369;height:341" coordorigin="803,5205" coordsize="2369,341" path="m803,5546l3172,5546m803,5205l3172,5205e" filled="false" stroked="true" strokeweight=".78pt" strokecolor="#000000">
              <v:path arrowok="t"/>
            </v:shape>
            <v:shape style="position:absolute;left:752;top:5139;width:2440;height:474" coordorigin="752,5139" coordsize="2440,474" path="m760,5139l760,5613m752,5605l3192,5605e" filled="false" stroked="true" strokeweight=".72pt" strokecolor="#175977">
              <v:path arrowok="t"/>
            </v:shape>
            <v:shape style="position:absolute;left:3214;top:5205;width:491;height:341" coordorigin="3214,5205" coordsize="491,341" path="m3214,5546l3704,5546m3214,5205l3704,5205e" filled="false" stroked="true" strokeweight=".78pt" strokecolor="#000000">
              <v:path arrowok="t"/>
            </v:shape>
            <v:line style="position:absolute" from="3192,5605" to="3704,5605" stroked="true" strokeweight=".72pt" strokecolor="#175977"/>
            <v:shape style="position:absolute;left:848;top:5716;width:2856;height:446" coordorigin="848,5716" coordsize="2856,446" path="m3220,5716l848,5716,848,5835,863,5835,863,6042,848,6042,848,6161,3220,6161,3220,6042,3205,6042,3205,5835,3220,5835,3220,5716m3704,5716l3264,5716,3264,5731,3278,5731,3278,5938,3278,6145,3264,6145,3264,6161,3704,6161,3704,6145,3704,5938,3704,5731,3704,5716e" filled="true" fillcolor="#dddddd" stroked="false">
              <v:path arrowok="t"/>
              <v:fill type="solid"/>
            </v:shape>
            <v:shape style="position:absolute;left:782;top:5643;width:2922;height:89" coordorigin="782,5643" coordsize="2922,89" path="m790,5643l790,5731m782,5650l3704,5650e" filled="false" stroked="true" strokeweight=".72pt" strokecolor="#175977">
              <v:path arrowok="t"/>
            </v:shape>
            <v:shape style="position:absolute;left:848;top:5724;width:2373;height:430" coordorigin="848,5724" coordsize="2373,430" path="m848,6153l3221,6153m848,5724l3221,5724e" filled="false" stroked="true" strokeweight=".78pt" strokecolor="#dddddd">
              <v:path arrowok="t"/>
            </v:shape>
            <v:line style="position:absolute" from="790,5731" to="790,6234" stroked="true" strokeweight=".72pt" strokecolor="#175977"/>
            <v:line style="position:absolute" from="782,6227" to="3242,6227" stroked="true" strokeweight=".72pt" strokecolor="#175977"/>
            <v:shape style="position:absolute;left:3264;top:5724;width:441;height:430" coordorigin="3264,5724" coordsize="441,430" path="m3264,6153l3704,6153m3264,5724l3704,5724e" filled="false" stroked="true" strokeweight=".78pt" strokecolor="#dddddd">
              <v:path arrowok="t"/>
            </v:shape>
            <v:line style="position:absolute" from="3242,6227" to="5795,6227" stroked="true" strokeweight=".72pt" strokecolor="#175977"/>
            <v:line style="position:absolute" from="5802,6220" to="5802,6234" stroked="true" strokeweight=".72pt" strokecolor="#175977"/>
            <v:shape style="position:absolute;left:3704;top:4283;width:8536;height:1943" coordorigin="3704,4283" coordsize="8536,1943" path="m12240,6210l3704,6210,3704,6226,12240,6226,12240,6210m12240,4283l3719,4283,3719,5749,12240,5749,12240,4632,12240,4299,12240,4283e" filled="true" fillcolor="#ffffff" stroked="false">
              <v:path arrowok="t"/>
              <v:fill type="solid"/>
            </v:shape>
            <v:shape style="position:absolute;left:6494;top:4372;width:2301;height:224" coordorigin="6494,4372" coordsize="2301,224" path="m8795,4372l6494,4372,6494,4387,6509,4387,6509,4595,8780,4595,8780,4387,8795,4387,8795,4372e" filled="true" fillcolor="#dddddd" stroked="false">
              <v:path arrowok="t"/>
              <v:fill type="solid"/>
            </v:shape>
            <v:line style="position:absolute" from="6436,4299" to="6436,4387" stroked="true" strokeweight=".72pt" strokecolor="#175977"/>
            <v:line style="position:absolute" from="6428,4306" to="11345,4306" stroked="true" strokeweight=".72pt" strokecolor="#175977"/>
            <v:shape style="position:absolute;left:6494;top:4380;width:2302;height:224" coordorigin="6494,4380" coordsize="2302,224" path="m6494,4603l8796,4603m6494,4380l8796,4380e" filled="false" stroked="true" strokeweight=".78pt" strokecolor="#dddddd">
              <v:path arrowok="t"/>
            </v:shape>
            <v:shape style="position:absolute;left:3734;top:4632;width:8506;height:488" coordorigin="3734,4632" coordsize="8506,488" path="m6428,4632l3734,4632,3734,5119,6428,5119,6428,4632m12240,4632l11359,4632,11359,5119,12240,5119,12240,4632e" filled="true" fillcolor="#ffffff" stroked="false">
              <v:path arrowok="t"/>
              <v:fill type="solid"/>
            </v:shape>
            <v:shape style="position:absolute;left:6494;top:4654;width:2301;height:444" coordorigin="6494,4654" coordsize="2301,444" path="m8795,4654l6494,4654,6494,4773,6509,4773,6509,4979,6494,4979,6494,5098,8795,5098,8795,4979,8780,4979,8780,4773,8795,4773,8795,4654e" filled="true" fillcolor="#dddddd" stroked="false">
              <v:path arrowok="t"/>
              <v:fill type="solid"/>
            </v:shape>
            <v:shape style="position:absolute;left:6494;top:4662;width:2302;height:429" coordorigin="6494,4662" coordsize="2302,429" path="m6494,5090l8796,5090m6494,4662l8796,4662e" filled="false" stroked="true" strokeweight=".78pt" strokecolor="#dddddd">
              <v:path arrowok="t"/>
            </v:shape>
            <v:shape style="position:absolute;left:3734;top:5119;width:8506;height:281" coordorigin="3734,5119" coordsize="8506,281" path="m6428,5119l3734,5119,3734,5400,6428,5400,6428,5119m12240,5119l11359,5119,11359,5400,12240,5400,12240,5119e" filled="true" fillcolor="#ffffff" stroked="false">
              <v:path arrowok="t"/>
              <v:fill type="solid"/>
            </v:shape>
            <v:shape style="position:absolute;left:6494;top:5141;width:2301;height:224" coordorigin="6494,5141" coordsize="2301,224" path="m8795,5141l6494,5141,6494,5157,6509,5157,6509,5364,8780,5364,8780,5157,8795,5157,8795,5141e" filled="true" fillcolor="#dddddd" stroked="false">
              <v:path arrowok="t"/>
              <v:fill type="solid"/>
            </v:shape>
            <v:shape style="position:absolute;left:6494;top:5149;width:2302;height:222" coordorigin="6494,5149" coordsize="2302,222" path="m6494,5371l8796,5371m6494,5149l8796,5149e" filled="false" stroked="true" strokeweight=".78pt" strokecolor="#dddddd">
              <v:path arrowok="t"/>
            </v:shape>
            <v:shape style="position:absolute;left:3734;top:5400;width:8506;height:334" coordorigin="3734,5400" coordsize="8506,334" path="m6428,5400l3734,5400,3734,5734,6428,5734,6428,5400m12240,5400l11359,5400,11359,5734,12240,5734,12240,5400e" filled="true" fillcolor="#ffffff" stroked="false">
              <v:path arrowok="t"/>
              <v:fill type="solid"/>
            </v:shape>
            <v:shape style="position:absolute;left:6494;top:5422;width:2301;height:224" coordorigin="6494,5422" coordsize="2301,224" path="m8795,5422l6494,5422,6494,5437,6509,5437,6509,5645,8780,5645,8780,5437,8795,5437,8795,5422e" filled="true" fillcolor="#dddddd" stroked="false">
              <v:path arrowok="t"/>
              <v:fill type="solid"/>
            </v:shape>
            <v:shape style="position:absolute;left:6494;top:5430;width:2302;height:224" coordorigin="6494,5430" coordsize="2302,224" path="m6494,5653l8796,5653m6494,5430l8796,5430e" filled="false" stroked="true" strokeweight=".78pt" strokecolor="#dddddd">
              <v:path arrowok="t"/>
            </v:shape>
            <v:line style="position:absolute" from="6436,4387" to="6436,5734" stroked="true" strokeweight=".72pt" strokecolor="#175977"/>
            <v:shape style="position:absolute;left:6428;top:5727;width:4917;height:2" coordorigin="6428,5727" coordsize="4917,0" path="m6428,5727l8818,5727m8818,5727l11345,5727e" filled="false" stroked="true" strokeweight=".71997pt" strokecolor="#175977">
              <v:path arrowok="t"/>
            </v:shape>
            <v:line style="position:absolute" from="11352,4299" to="11352,5734" stroked="true" strokeweight=".71997pt" strokecolor="#175977"/>
            <v:line style="position:absolute" from="3719,4292" to="12240,4292" stroked="true" strokeweight=".78001pt" strokecolor="#ffffff"/>
            <v:line style="position:absolute" from="3703,30" to="12240,30" stroked="true" strokeweight=".78pt" strokecolor="#ffffff"/>
            <v:line style="position:absolute" from="3703,6218" to="12240,6218" stroked="true" strokeweight=".78pt" strokecolor="#ffffff"/>
            <w10:wrap type="none"/>
          </v:group>
        </w:pict>
      </w:r>
      <w:r>
        <w:rPr>
          <w:b/>
          <w:color w:val="FFFFFF"/>
          <w:sz w:val="18"/>
        </w:rPr>
        <w:t>Score</w:t>
      </w:r>
    </w:p>
    <w:p>
      <w:pPr>
        <w:spacing w:before="77"/>
        <w:ind w:left="151" w:right="-20" w:firstLine="0"/>
        <w:jc w:val="left"/>
        <w:rPr>
          <w:sz w:val="18"/>
        </w:rPr>
      </w:pPr>
      <w:r>
        <w:rPr/>
        <w:br w:type="column"/>
      </w:r>
      <w:r>
        <w:rPr>
          <w:sz w:val="18"/>
        </w:rPr>
        <w:t>Fig 5. Positions of the wrist.</w:t>
      </w:r>
    </w:p>
    <w:p>
      <w:pPr>
        <w:pStyle w:val="BodyText"/>
        <w:spacing w:before="6"/>
        <w:rPr>
          <w:sz w:val="19"/>
        </w:rPr>
      </w:pPr>
      <w:r>
        <w:rPr/>
        <w:br w:type="column"/>
      </w:r>
      <w:r>
        <w:rPr>
          <w:sz w:val="19"/>
        </w:rPr>
      </w:r>
    </w:p>
    <w:p>
      <w:pPr>
        <w:spacing w:before="0"/>
        <w:ind w:left="1077" w:right="0" w:firstLine="0"/>
        <w:jc w:val="left"/>
        <w:rPr>
          <w:sz w:val="18"/>
        </w:rPr>
      </w:pPr>
      <w:r>
        <w:rPr>
          <w:sz w:val="18"/>
        </w:rPr>
        <w:t>Rating neck:</w:t>
      </w:r>
    </w:p>
    <w:p>
      <w:pPr>
        <w:spacing w:after="0"/>
        <w:jc w:val="left"/>
        <w:rPr>
          <w:sz w:val="18"/>
        </w:rPr>
        <w:sectPr>
          <w:type w:val="continuous"/>
          <w:pgSz w:w="12240" w:h="15840"/>
          <w:pgMar w:top="1500" w:bottom="280" w:left="580" w:right="0"/>
          <w:cols w:num="3" w:equalWidth="0">
            <w:col w:w="1508" w:space="40"/>
            <w:col w:w="2187" w:space="1057"/>
            <w:col w:w="6868"/>
          </w:cols>
        </w:sectPr>
      </w:pPr>
    </w:p>
    <w:p>
      <w:pPr>
        <w:pStyle w:val="BodyText"/>
        <w:spacing w:before="4"/>
        <w:rPr>
          <w:sz w:val="17"/>
        </w:rPr>
      </w:pPr>
    </w:p>
    <w:tbl>
      <w:tblPr>
        <w:tblCellSpacing w:w="16" w:type="dxa"/>
        <w:tblW w:w="0" w:type="auto"/>
        <w:jc w:val="left"/>
        <w:tblInd w:w="20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40"/>
        <w:gridCol w:w="681"/>
      </w:tblGrid>
      <w:tr>
        <w:trPr>
          <w:trHeight w:val="433" w:hRule="exact"/>
        </w:trPr>
        <w:tc>
          <w:tcPr>
            <w:tcW w:w="2240" w:type="dxa"/>
            <w:tcBorders>
              <w:bottom w:val="nil"/>
              <w:right w:val="nil"/>
            </w:tcBorders>
            <w:shd w:val="clear" w:color="auto" w:fill="DDDDDD"/>
          </w:tcPr>
          <w:p>
            <w:pPr>
              <w:pStyle w:val="TableParagraph"/>
              <w:spacing w:before="114"/>
              <w:ind w:left="1045"/>
              <w:rPr>
                <w:sz w:val="18"/>
              </w:rPr>
            </w:pPr>
            <w:r>
              <w:rPr>
                <w:sz w:val="18"/>
              </w:rPr>
              <w:t>1</w:t>
            </w:r>
          </w:p>
        </w:tc>
        <w:tc>
          <w:tcPr>
            <w:tcW w:w="681" w:type="dxa"/>
            <w:tcBorders>
              <w:left w:val="nil"/>
              <w:bottom w:val="nil"/>
              <w:right w:val="nil"/>
            </w:tcBorders>
            <w:shd w:val="clear" w:color="auto" w:fill="DDDDDD"/>
          </w:tcPr>
          <w:p>
            <w:pPr>
              <w:pStyle w:val="TableParagraph"/>
              <w:spacing w:before="10"/>
              <w:ind w:left="214" w:right="-2"/>
              <w:rPr>
                <w:sz w:val="18"/>
              </w:rPr>
            </w:pPr>
            <w:r>
              <w:rPr>
                <w:sz w:val="18"/>
              </w:rPr>
              <w:t>If it</w:t>
            </w:r>
            <w:r>
              <w:rPr>
                <w:spacing w:val="-1"/>
                <w:sz w:val="18"/>
              </w:rPr>
              <w:t> </w:t>
            </w:r>
            <w:r>
              <w:rPr>
                <w:sz w:val="18"/>
              </w:rPr>
              <w:t>is</w:t>
            </w:r>
          </w:p>
        </w:tc>
      </w:tr>
      <w:tr>
        <w:trPr>
          <w:trHeight w:val="454" w:hRule="exact"/>
        </w:trPr>
        <w:tc>
          <w:tcPr>
            <w:tcW w:w="2240" w:type="dxa"/>
            <w:tcBorders>
              <w:top w:val="nil"/>
              <w:bottom w:val="nil"/>
              <w:right w:val="nil"/>
            </w:tcBorders>
            <w:shd w:val="clear" w:color="auto" w:fill="DDDDDD"/>
          </w:tcPr>
          <w:p>
            <w:pPr>
              <w:pStyle w:val="TableParagraph"/>
              <w:spacing w:before="114"/>
              <w:ind w:left="1045"/>
              <w:rPr>
                <w:sz w:val="18"/>
              </w:rPr>
            </w:pPr>
            <w:r>
              <w:rPr>
                <w:sz w:val="18"/>
              </w:rPr>
              <w:t>2</w:t>
            </w:r>
          </w:p>
        </w:tc>
        <w:tc>
          <w:tcPr>
            <w:tcW w:w="681" w:type="dxa"/>
            <w:tcBorders>
              <w:top w:val="nil"/>
              <w:left w:val="nil"/>
              <w:bottom w:val="nil"/>
              <w:right w:val="nil"/>
            </w:tcBorders>
            <w:shd w:val="clear" w:color="auto" w:fill="DDDDDD"/>
          </w:tcPr>
          <w:p>
            <w:pPr>
              <w:pStyle w:val="TableParagraph"/>
              <w:spacing w:before="10"/>
              <w:ind w:left="304" w:right="-2"/>
              <w:rPr>
                <w:sz w:val="18"/>
              </w:rPr>
            </w:pPr>
            <w:r>
              <w:rPr>
                <w:sz w:val="18"/>
              </w:rPr>
              <w:t>If y</w:t>
            </w:r>
          </w:p>
        </w:tc>
      </w:tr>
      <w:tr>
        <w:trPr>
          <w:trHeight w:val="433" w:hRule="exact"/>
        </w:trPr>
        <w:tc>
          <w:tcPr>
            <w:tcW w:w="2240" w:type="dxa"/>
            <w:tcBorders>
              <w:top w:val="nil"/>
              <w:right w:val="nil"/>
            </w:tcBorders>
            <w:shd w:val="clear" w:color="auto" w:fill="DDDDDD"/>
          </w:tcPr>
          <w:p>
            <w:pPr>
              <w:pStyle w:val="TableParagraph"/>
              <w:spacing w:before="114"/>
              <w:ind w:left="1045"/>
              <w:rPr>
                <w:sz w:val="18"/>
              </w:rPr>
            </w:pPr>
            <w:r>
              <w:rPr>
                <w:sz w:val="18"/>
              </w:rPr>
              <w:t>3</w:t>
            </w:r>
          </w:p>
        </w:tc>
        <w:tc>
          <w:tcPr>
            <w:tcW w:w="681" w:type="dxa"/>
            <w:tcBorders>
              <w:top w:val="nil"/>
              <w:left w:val="nil"/>
              <w:right w:val="nil"/>
            </w:tcBorders>
            <w:shd w:val="clear" w:color="auto" w:fill="DDDDDD"/>
          </w:tcPr>
          <w:p>
            <w:pPr>
              <w:pStyle w:val="TableParagraph"/>
              <w:spacing w:before="10"/>
              <w:ind w:left="75" w:right="-2"/>
              <w:rPr>
                <w:sz w:val="18"/>
              </w:rPr>
            </w:pPr>
            <w:r>
              <w:rPr>
                <w:sz w:val="18"/>
              </w:rPr>
              <w:t>For be</w:t>
            </w:r>
          </w:p>
        </w:tc>
      </w:tr>
    </w:tbl>
    <w:p>
      <w:pPr>
        <w:spacing w:before="91"/>
        <w:ind w:left="270" w:right="718" w:firstLine="1663"/>
        <w:jc w:val="left"/>
        <w:rPr>
          <w:sz w:val="18"/>
        </w:rPr>
      </w:pPr>
      <w:r>
        <w:rPr/>
        <w:pict>
          <v:shape style="position:absolute;margin-left:180.079269pt;margin-top:-97.507645pt;width:431.95pt;height:310.2pt;mso-position-horizontal-relative:page;mso-position-vertical-relative:paragraph;z-index:-871504" type="#_x0000_t202" filled="false" stroked="false">
            <v:textbox inset="0,0,0,0">
              <w:txbxContent>
                <w:p>
                  <w:pPr>
                    <w:spacing w:before="115"/>
                    <w:ind w:left="487" w:right="7490" w:firstLine="0"/>
                    <w:jc w:val="center"/>
                    <w:rPr>
                      <w:b/>
                      <w:sz w:val="18"/>
                    </w:rPr>
                  </w:pPr>
                  <w:r>
                    <w:rPr>
                      <w:b/>
                      <w:color w:val="FFFFFF"/>
                      <w:sz w:val="18"/>
                    </w:rPr>
                    <w:t>Position</w:t>
                  </w:r>
                </w:p>
                <w:p>
                  <w:pPr>
                    <w:pStyle w:val="BodyText"/>
                    <w:spacing w:before="3"/>
                    <w:rPr>
                      <w:sz w:val="18"/>
                    </w:rPr>
                  </w:pPr>
                </w:p>
                <w:p>
                  <w:pPr>
                    <w:spacing w:before="0"/>
                    <w:ind w:left="492" w:right="6681" w:hanging="344"/>
                    <w:jc w:val="left"/>
                    <w:rPr>
                      <w:sz w:val="18"/>
                    </w:rPr>
                  </w:pPr>
                  <w:r>
                    <w:rPr>
                      <w:sz w:val="18"/>
                    </w:rPr>
                    <w:t>in neutral with respect to bending.</w:t>
                  </w:r>
                </w:p>
                <w:p>
                  <w:pPr>
                    <w:spacing w:before="74"/>
                    <w:ind w:left="95" w:right="6772" w:hanging="78"/>
                    <w:jc w:val="left"/>
                    <w:rPr>
                      <w:sz w:val="18"/>
                    </w:rPr>
                  </w:pPr>
                  <w:r>
                    <w:rPr>
                      <w:sz w:val="18"/>
                    </w:rPr>
                    <w:t>ou are flexed or extended between 0º and 15º.</w:t>
                  </w:r>
                </w:p>
                <w:p>
                  <w:pPr>
                    <w:spacing w:line="207" w:lineRule="exact" w:before="74"/>
                    <w:ind w:left="0" w:right="0" w:firstLine="0"/>
                    <w:jc w:val="left"/>
                    <w:rPr>
                      <w:sz w:val="18"/>
                    </w:rPr>
                  </w:pPr>
                  <w:r>
                    <w:rPr>
                      <w:sz w:val="18"/>
                    </w:rPr>
                    <w:t>nding or greater extension of</w:t>
                  </w:r>
                </w:p>
                <w:p>
                  <w:pPr>
                    <w:spacing w:line="207" w:lineRule="exact" w:before="0"/>
                    <w:ind w:left="465" w:right="7490" w:firstLine="0"/>
                    <w:jc w:val="center"/>
                    <w:rPr>
                      <w:sz w:val="18"/>
                    </w:rPr>
                  </w:pPr>
                  <w:r>
                    <w:rPr>
                      <w:sz w:val="18"/>
                    </w:rPr>
                    <w:t>15°.</w:t>
                  </w:r>
                </w:p>
                <w:p>
                  <w:pPr>
                    <w:spacing w:before="119"/>
                    <w:ind w:left="70" w:right="6681" w:firstLine="0"/>
                    <w:jc w:val="left"/>
                    <w:rPr>
                      <w:sz w:val="18"/>
                    </w:rPr>
                  </w:pPr>
                  <w:r>
                    <w:rPr>
                      <w:sz w:val="18"/>
                    </w:rPr>
                    <w:t>wrist.</w:t>
                  </w:r>
                </w:p>
                <w:p>
                  <w:pPr>
                    <w:pStyle w:val="BodyText"/>
                    <w:spacing w:before="10"/>
                  </w:pPr>
                </w:p>
                <w:p>
                  <w:pPr>
                    <w:spacing w:before="0"/>
                    <w:ind w:left="33" w:right="0" w:firstLine="0"/>
                    <w:jc w:val="left"/>
                    <w:rPr>
                      <w:sz w:val="18"/>
                    </w:rPr>
                  </w:pPr>
                  <w:r>
                    <w:rPr>
                      <w:sz w:val="18"/>
                    </w:rPr>
                    <w:t>dified if there radial or  ulnar</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6"/>
                    <w:rPr>
                      <w:sz w:val="15"/>
                    </w:rPr>
                  </w:pPr>
                </w:p>
                <w:p>
                  <w:pPr>
                    <w:spacing w:before="0"/>
                    <w:ind w:left="67" w:right="6681" w:firstLine="0"/>
                    <w:jc w:val="left"/>
                    <w:rPr>
                      <w:sz w:val="18"/>
                    </w:rPr>
                  </w:pPr>
                  <w:r>
                    <w:rPr>
                      <w:sz w:val="18"/>
                    </w:rPr>
                    <w:t>the wrist.</w:t>
                  </w:r>
                </w:p>
                <w:p>
                  <w:pPr>
                    <w:pStyle w:val="BodyText"/>
                    <w:spacing w:before="5"/>
                    <w:rPr>
                      <w:sz w:val="26"/>
                    </w:rPr>
                  </w:pPr>
                </w:p>
                <w:p>
                  <w:pPr>
                    <w:spacing w:before="0"/>
                    <w:ind w:left="590" w:right="6681" w:firstLine="0"/>
                    <w:jc w:val="left"/>
                    <w:rPr>
                      <w:b/>
                      <w:sz w:val="18"/>
                    </w:rPr>
                  </w:pPr>
                  <w:r>
                    <w:rPr>
                      <w:b/>
                      <w:color w:val="FFFFFF"/>
                      <w:sz w:val="18"/>
                    </w:rPr>
                    <w:t>Position</w:t>
                  </w:r>
                </w:p>
                <w:p>
                  <w:pPr>
                    <w:pStyle w:val="BodyText"/>
                    <w:spacing w:before="7"/>
                    <w:rPr>
                      <w:sz w:val="21"/>
                    </w:rPr>
                  </w:pPr>
                </w:p>
                <w:p>
                  <w:pPr>
                    <w:spacing w:before="0"/>
                    <w:ind w:left="609" w:right="6637" w:hanging="566"/>
                    <w:jc w:val="left"/>
                    <w:rPr>
                      <w:sz w:val="18"/>
                    </w:rPr>
                  </w:pPr>
                  <w:r>
                    <w:rPr>
                      <w:sz w:val="18"/>
                    </w:rPr>
                    <w:t>ou are deflected radially or ulnarly.</w:t>
                  </w:r>
                </w:p>
              </w:txbxContent>
            </v:textbox>
            <w10:wrap type="none"/>
          </v:shape>
        </w:pict>
      </w:r>
      <w:r>
        <w:rPr>
          <w:sz w:val="18"/>
        </w:rPr>
        <w:t>Table 5. Rating</w:t>
      </w:r>
    </w:p>
    <w:p>
      <w:pPr>
        <w:pStyle w:val="BodyText"/>
        <w:spacing w:before="10"/>
      </w:pPr>
    </w:p>
    <w:p>
      <w:pPr>
        <w:spacing w:before="0"/>
        <w:ind w:left="270" w:right="8416" w:firstLine="0"/>
        <w:jc w:val="left"/>
        <w:rPr>
          <w:sz w:val="18"/>
        </w:rPr>
      </w:pPr>
      <w:r>
        <w:rPr>
          <w:sz w:val="18"/>
        </w:rPr>
        <w:t>The wrist calculated value will be mo deviation.</w:t>
      </w:r>
    </w:p>
    <w:p>
      <w:pPr>
        <w:pStyle w:val="BodyText"/>
      </w:pPr>
    </w:p>
    <w:p>
      <w:pPr>
        <w:pStyle w:val="BodyText"/>
        <w:spacing w:before="10"/>
        <w:rPr>
          <w:sz w:val="18"/>
        </w:rPr>
      </w:pPr>
    </w:p>
    <w:p>
      <w:pPr>
        <w:spacing w:before="77"/>
        <w:ind w:left="7556" w:right="718" w:firstLine="0"/>
        <w:jc w:val="left"/>
        <w:rPr>
          <w:sz w:val="18"/>
        </w:rPr>
      </w:pPr>
      <w:r>
        <w:rPr>
          <w:sz w:val="18"/>
        </w:rPr>
        <w:t>Fig. 8 Neck position.</w:t>
      </w:r>
    </w:p>
    <w:p>
      <w:pPr>
        <w:pStyle w:val="BodyText"/>
        <w:spacing w:before="4"/>
        <w:rPr>
          <w:sz w:val="18"/>
        </w:rPr>
      </w:pPr>
    </w:p>
    <w:p>
      <w:pPr>
        <w:tabs>
          <w:tab w:pos="9214" w:val="left" w:leader="none"/>
        </w:tabs>
        <w:spacing w:before="77"/>
        <w:ind w:left="6826" w:right="718" w:firstLine="0"/>
        <w:jc w:val="left"/>
        <w:rPr>
          <w:b/>
          <w:sz w:val="18"/>
        </w:rPr>
      </w:pPr>
      <w:r>
        <w:rPr>
          <w:b/>
          <w:color w:val="FFFFFF"/>
          <w:sz w:val="18"/>
        </w:rPr>
        <w:t>Score</w:t>
        <w:tab/>
        <w:t>Position</w:t>
      </w:r>
    </w:p>
    <w:p>
      <w:pPr>
        <w:pStyle w:val="BodyText"/>
        <w:rPr>
          <w:b/>
        </w:rPr>
      </w:pPr>
    </w:p>
    <w:p>
      <w:pPr>
        <w:pStyle w:val="BodyText"/>
        <w:spacing w:before="3"/>
        <w:rPr>
          <w:b/>
          <w:sz w:val="26"/>
        </w:rPr>
      </w:pPr>
    </w:p>
    <w:p>
      <w:pPr>
        <w:spacing w:before="77"/>
        <w:ind w:left="1673" w:right="718" w:firstLine="0"/>
        <w:jc w:val="left"/>
        <w:rPr>
          <w:sz w:val="18"/>
        </w:rPr>
      </w:pPr>
      <w:r>
        <w:rPr/>
        <w:pict>
          <v:shape style="position:absolute;margin-left:324.720001pt;margin-top:-15.527649pt;width:239.2pt;height:64.05pt;mso-position-horizontal-relative:page;mso-position-vertical-relative:paragraph;z-index:7456" type="#_x0000_t202" filled="false" stroked="false">
            <v:textbox inset="0,0,0,0">
              <w:txbxContent>
                <w:tbl>
                  <w:tblPr>
                    <w:tblCellSpacing w:w="33" w:type="dxa"/>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23"/>
                    <w:gridCol w:w="2461"/>
                  </w:tblGrid>
                  <w:tr>
                    <w:trPr>
                      <w:trHeight w:val="185" w:hRule="exact"/>
                    </w:trPr>
                    <w:tc>
                      <w:tcPr>
                        <w:tcW w:w="2323" w:type="dxa"/>
                        <w:tcBorders>
                          <w:bottom w:val="nil"/>
                          <w:right w:val="nil"/>
                        </w:tcBorders>
                        <w:shd w:val="clear" w:color="auto" w:fill="DDDDDD"/>
                      </w:tcPr>
                      <w:p>
                        <w:pPr>
                          <w:pStyle w:val="TableParagraph"/>
                          <w:spacing w:before="10"/>
                          <w:ind w:right="14"/>
                          <w:jc w:val="center"/>
                          <w:rPr>
                            <w:sz w:val="18"/>
                          </w:rPr>
                        </w:pPr>
                        <w:r>
                          <w:rPr>
                            <w:sz w:val="18"/>
                          </w:rPr>
                          <w:t>1</w:t>
                        </w:r>
                      </w:p>
                    </w:tc>
                    <w:tc>
                      <w:tcPr>
                        <w:tcW w:w="2461" w:type="dxa"/>
                        <w:tcBorders>
                          <w:left w:val="nil"/>
                          <w:bottom w:val="nil"/>
                        </w:tcBorders>
                        <w:shd w:val="clear" w:color="auto" w:fill="DDDDDD"/>
                      </w:tcPr>
                      <w:p>
                        <w:pPr>
                          <w:pStyle w:val="TableParagraph"/>
                          <w:spacing w:before="10"/>
                          <w:ind w:left="74" w:right="102"/>
                          <w:jc w:val="center"/>
                          <w:rPr>
                            <w:sz w:val="18"/>
                          </w:rPr>
                        </w:pPr>
                        <w:r>
                          <w:rPr>
                            <w:sz w:val="18"/>
                          </w:rPr>
                          <w:t>If between 0° and 10° bending.</w:t>
                        </w:r>
                      </w:p>
                    </w:tc>
                  </w:tr>
                  <w:tr>
                    <w:trPr>
                      <w:trHeight w:val="419" w:hRule="exact"/>
                    </w:trPr>
                    <w:tc>
                      <w:tcPr>
                        <w:tcW w:w="2323" w:type="dxa"/>
                        <w:tcBorders>
                          <w:top w:val="nil"/>
                          <w:bottom w:val="nil"/>
                          <w:right w:val="nil"/>
                        </w:tcBorders>
                        <w:shd w:val="clear" w:color="auto" w:fill="DDDDDD"/>
                      </w:tcPr>
                      <w:p>
                        <w:pPr>
                          <w:pStyle w:val="TableParagraph"/>
                          <w:spacing w:before="114"/>
                          <w:ind w:right="14"/>
                          <w:jc w:val="center"/>
                          <w:rPr>
                            <w:sz w:val="18"/>
                          </w:rPr>
                        </w:pPr>
                        <w:r>
                          <w:rPr>
                            <w:sz w:val="18"/>
                          </w:rPr>
                          <w:t>2</w:t>
                        </w:r>
                      </w:p>
                    </w:tc>
                    <w:tc>
                      <w:tcPr>
                        <w:tcW w:w="2461" w:type="dxa"/>
                        <w:tcBorders>
                          <w:top w:val="nil"/>
                          <w:left w:val="nil"/>
                          <w:bottom w:val="nil"/>
                        </w:tcBorders>
                        <w:shd w:val="clear" w:color="auto" w:fill="DDDDDD"/>
                      </w:tcPr>
                      <w:p>
                        <w:pPr>
                          <w:pStyle w:val="TableParagraph"/>
                          <w:spacing w:before="10"/>
                          <w:ind w:left="1048" w:hanging="916"/>
                          <w:rPr>
                            <w:sz w:val="18"/>
                          </w:rPr>
                        </w:pPr>
                        <w:r>
                          <w:rPr>
                            <w:sz w:val="18"/>
                          </w:rPr>
                          <w:t>If are flexed between 10° and 20°.</w:t>
                        </w:r>
                      </w:p>
                    </w:tc>
                  </w:tr>
                  <w:tr>
                    <w:trPr>
                      <w:trHeight w:val="213" w:hRule="exact"/>
                    </w:trPr>
                    <w:tc>
                      <w:tcPr>
                        <w:tcW w:w="2323" w:type="dxa"/>
                        <w:tcBorders>
                          <w:top w:val="nil"/>
                          <w:bottom w:val="nil"/>
                          <w:right w:val="nil"/>
                        </w:tcBorders>
                        <w:shd w:val="clear" w:color="auto" w:fill="DDDDDD"/>
                      </w:tcPr>
                      <w:p>
                        <w:pPr>
                          <w:pStyle w:val="TableParagraph"/>
                          <w:spacing w:before="10"/>
                          <w:ind w:right="14"/>
                          <w:jc w:val="center"/>
                          <w:rPr>
                            <w:sz w:val="18"/>
                          </w:rPr>
                        </w:pPr>
                        <w:r>
                          <w:rPr>
                            <w:sz w:val="18"/>
                          </w:rPr>
                          <w:t>3</w:t>
                        </w:r>
                      </w:p>
                    </w:tc>
                    <w:tc>
                      <w:tcPr>
                        <w:tcW w:w="2461" w:type="dxa"/>
                        <w:tcBorders>
                          <w:top w:val="nil"/>
                          <w:left w:val="nil"/>
                          <w:bottom w:val="nil"/>
                        </w:tcBorders>
                        <w:shd w:val="clear" w:color="auto" w:fill="DDDDDD"/>
                      </w:tcPr>
                      <w:p>
                        <w:pPr>
                          <w:pStyle w:val="TableParagraph"/>
                          <w:spacing w:before="10"/>
                          <w:ind w:left="74" w:right="101"/>
                          <w:jc w:val="center"/>
                          <w:rPr>
                            <w:sz w:val="18"/>
                          </w:rPr>
                        </w:pPr>
                        <w:r>
                          <w:rPr>
                            <w:sz w:val="18"/>
                          </w:rPr>
                          <w:t>For flexion greater than 20°.</w:t>
                        </w:r>
                      </w:p>
                    </w:tc>
                  </w:tr>
                  <w:tr>
                    <w:trPr>
                      <w:trHeight w:val="192" w:hRule="exact"/>
                    </w:trPr>
                    <w:tc>
                      <w:tcPr>
                        <w:tcW w:w="2323" w:type="dxa"/>
                        <w:tcBorders>
                          <w:top w:val="nil"/>
                          <w:right w:val="nil"/>
                        </w:tcBorders>
                        <w:shd w:val="clear" w:color="auto" w:fill="DDDDDD"/>
                      </w:tcPr>
                      <w:p>
                        <w:pPr>
                          <w:pStyle w:val="TableParagraph"/>
                          <w:spacing w:before="10"/>
                          <w:ind w:right="14"/>
                          <w:jc w:val="center"/>
                          <w:rPr>
                            <w:sz w:val="18"/>
                          </w:rPr>
                        </w:pPr>
                        <w:r>
                          <w:rPr>
                            <w:sz w:val="18"/>
                          </w:rPr>
                          <w:t>4</w:t>
                        </w:r>
                      </w:p>
                    </w:tc>
                    <w:tc>
                      <w:tcPr>
                        <w:tcW w:w="2461" w:type="dxa"/>
                        <w:tcBorders>
                          <w:top w:val="nil"/>
                          <w:left w:val="nil"/>
                        </w:tcBorders>
                        <w:shd w:val="clear" w:color="auto" w:fill="DDDDDD"/>
                      </w:tcPr>
                      <w:p>
                        <w:pPr>
                          <w:pStyle w:val="TableParagraph"/>
                          <w:spacing w:before="10"/>
                          <w:ind w:left="74" w:right="101"/>
                          <w:jc w:val="center"/>
                          <w:rPr>
                            <w:sz w:val="18"/>
                          </w:rPr>
                        </w:pPr>
                        <w:r>
                          <w:rPr>
                            <w:sz w:val="18"/>
                          </w:rPr>
                          <w:t>If are extended.</w:t>
                        </w:r>
                      </w:p>
                    </w:tc>
                  </w:tr>
                </w:tbl>
                <w:p>
                  <w:pPr>
                    <w:pStyle w:val="BodyText"/>
                  </w:pPr>
                </w:p>
              </w:txbxContent>
            </v:textbox>
            <w10:wrap type="none"/>
          </v:shape>
        </w:pict>
      </w:r>
      <w:r>
        <w:rPr>
          <w:sz w:val="18"/>
        </w:rPr>
        <w:t>Fig 6. Deviation of</w:t>
      </w:r>
    </w:p>
    <w:p>
      <w:pPr>
        <w:pStyle w:val="BodyText"/>
        <w:spacing w:before="8"/>
        <w:rPr>
          <w:sz w:val="19"/>
        </w:rPr>
      </w:pPr>
    </w:p>
    <w:p>
      <w:pPr>
        <w:spacing w:before="77"/>
        <w:ind w:left="1192" w:right="718" w:firstLine="0"/>
        <w:jc w:val="left"/>
        <w:rPr>
          <w:b/>
          <w:sz w:val="18"/>
        </w:rPr>
      </w:pPr>
      <w:r>
        <w:rPr>
          <w:b/>
          <w:color w:val="FFFFFF"/>
          <w:sz w:val="18"/>
        </w:rPr>
        <w:t>Score</w:t>
      </w:r>
    </w:p>
    <w:p>
      <w:pPr>
        <w:pStyle w:val="BodyText"/>
        <w:spacing w:before="5"/>
        <w:rPr>
          <w:b/>
          <w:sz w:val="24"/>
        </w:rPr>
      </w:pPr>
    </w:p>
    <w:p>
      <w:pPr>
        <w:spacing w:before="0"/>
        <w:ind w:left="7571" w:right="718" w:firstLine="0"/>
        <w:jc w:val="left"/>
        <w:rPr>
          <w:sz w:val="18"/>
        </w:rPr>
      </w:pPr>
      <w:r>
        <w:rPr/>
        <w:pict>
          <v:shape style="position:absolute;margin-left:162.449997pt;margin-top:-1.377553pt;width:22.8pt;height:20.7pt;mso-position-horizontal-relative:page;mso-position-vertical-relative:paragraph;z-index:7408" type="#_x0000_t202" filled="false" stroked="false">
            <v:textbox inset="0,0,0,0">
              <w:txbxContent>
                <w:p>
                  <w:pPr>
                    <w:spacing w:line="202" w:lineRule="exact" w:before="0"/>
                    <w:ind w:left="141" w:right="-20" w:firstLine="0"/>
                    <w:jc w:val="left"/>
                    <w:rPr>
                      <w:sz w:val="18"/>
                    </w:rPr>
                  </w:pPr>
                  <w:r>
                    <w:rPr>
                      <w:sz w:val="18"/>
                    </w:rPr>
                    <w:t>If y</w:t>
                  </w:r>
                </w:p>
              </w:txbxContent>
            </v:textbox>
            <w10:wrap type="none"/>
          </v:shape>
        </w:pict>
      </w:r>
      <w:r>
        <w:rPr/>
        <w:pict>
          <v:shape style="position:absolute;margin-left:42.419998pt;margin-top:-2.157553pt;width:118.6pt;height:22.3pt;mso-position-horizontal-relative:page;mso-position-vertical-relative:paragraph;z-index:7432" type="#_x0000_t202" filled="false" stroked="false">
            <v:textbox inset="0,0,0,0">
              <w:txbxContent>
                <w:p>
                  <w:pPr>
                    <w:spacing w:before="114"/>
                    <w:ind w:left="1055" w:right="1084" w:firstLine="0"/>
                    <w:jc w:val="center"/>
                    <w:rPr>
                      <w:sz w:val="18"/>
                    </w:rPr>
                  </w:pPr>
                  <w:r>
                    <w:rPr>
                      <w:sz w:val="18"/>
                    </w:rPr>
                    <w:t>+1</w:t>
                  </w:r>
                </w:p>
              </w:txbxContent>
            </v:textbox>
            <w10:wrap type="none"/>
          </v:shape>
        </w:pict>
      </w:r>
      <w:r>
        <w:rPr>
          <w:sz w:val="18"/>
        </w:rPr>
        <w:t>Table 8. Neck score.</w:t>
      </w:r>
    </w:p>
    <w:p>
      <w:pPr>
        <w:spacing w:after="0"/>
        <w:jc w:val="left"/>
        <w:rPr>
          <w:sz w:val="18"/>
        </w:rPr>
        <w:sectPr>
          <w:type w:val="continuous"/>
          <w:pgSz w:w="12240" w:h="15840"/>
          <w:pgMar w:top="1500" w:bottom="280" w:left="580" w:right="0"/>
        </w:sectPr>
      </w:pPr>
    </w:p>
    <w:p>
      <w:pPr>
        <w:pStyle w:val="BodyText"/>
        <w:spacing w:before="4"/>
        <w:rPr>
          <w:sz w:val="19"/>
        </w:rPr>
      </w:pPr>
    </w:p>
    <w:p>
      <w:pPr>
        <w:pStyle w:val="BodyText"/>
        <w:ind w:left="6117"/>
      </w:pPr>
      <w:r>
        <w:rPr/>
        <w:drawing>
          <wp:inline distT="0" distB="0" distL="0" distR="0">
            <wp:extent cx="2777986" cy="1678019"/>
            <wp:effectExtent l="0" t="0" r="0" b="0"/>
            <wp:docPr id="245" name="image137.jpeg" descr=""/>
            <wp:cNvGraphicFramePr>
              <a:graphicFrameLocks noChangeAspect="1"/>
            </wp:cNvGraphicFramePr>
            <a:graphic>
              <a:graphicData uri="http://schemas.openxmlformats.org/drawingml/2006/picture">
                <pic:pic>
                  <pic:nvPicPr>
                    <pic:cNvPr id="246" name="image137.jpeg"/>
                    <pic:cNvPicPr/>
                  </pic:nvPicPr>
                  <pic:blipFill>
                    <a:blip r:embed="rId229" cstate="print"/>
                    <a:stretch>
                      <a:fillRect/>
                    </a:stretch>
                  </pic:blipFill>
                  <pic:spPr>
                    <a:xfrm>
                      <a:off x="0" y="0"/>
                      <a:ext cx="2777986" cy="1678019"/>
                    </a:xfrm>
                    <a:prstGeom prst="rect">
                      <a:avLst/>
                    </a:prstGeom>
                  </pic:spPr>
                </pic:pic>
              </a:graphicData>
            </a:graphic>
          </wp:inline>
        </w:drawing>
      </w:r>
      <w:r>
        <w:rPr/>
      </w:r>
    </w:p>
    <w:p>
      <w:pPr>
        <w:spacing w:before="37"/>
        <w:ind w:left="7481" w:right="718" w:firstLine="0"/>
        <w:jc w:val="left"/>
        <w:rPr>
          <w:sz w:val="18"/>
        </w:rPr>
      </w:pPr>
      <w:r>
        <w:rPr>
          <w:sz w:val="18"/>
        </w:rPr>
        <w:t>Fig. 10 Trunk position.</w:t>
      </w:r>
    </w:p>
    <w:p>
      <w:pPr>
        <w:pStyle w:val="BodyText"/>
        <w:spacing w:before="7"/>
        <w:rPr>
          <w:sz w:val="24"/>
        </w:rPr>
      </w:pPr>
    </w:p>
    <w:p>
      <w:pPr>
        <w:spacing w:before="77"/>
        <w:ind w:left="122" w:right="0" w:firstLine="0"/>
        <w:jc w:val="center"/>
        <w:rPr>
          <w:sz w:val="18"/>
        </w:rPr>
      </w:pPr>
      <w:r>
        <w:rPr/>
        <w:pict>
          <v:group style="position:absolute;margin-left:41.865002pt;margin-top:14.817609pt;width:570.550pt;height:317.1pt;mso-position-horizontal-relative:page;mso-position-vertical-relative:paragraph;z-index:-871288" coordorigin="837,296" coordsize="11411,6342">
            <v:shape style="position:absolute;left:899;top:1575;width:4794;height:2466" type="#_x0000_t75" stroked="false">
              <v:imagedata r:id="rId230" o:title=""/>
            </v:shape>
            <v:shape style="position:absolute;left:6416;top:363;width:4955;height:238" coordorigin="6416,363" coordsize="4955,238" path="m8798,363l6416,363,6416,378,6431,378,6431,585,6416,585,6416,600,8798,600,8798,585,8784,585,8784,378,8798,378,8798,363m11371,363l8843,363,8843,378,8858,378,8858,585,8843,585,8843,600,11371,600,11371,585,11356,585,11356,378,11371,378,11371,363e" filled="true" fillcolor="#000000" stroked="false">
              <v:path arrowok="t"/>
              <v:fill type="solid"/>
            </v:shape>
            <v:line style="position:absolute" from="6379,311" to="8821,311" stroked="true" strokeweight=".72pt" strokecolor="#175977"/>
            <v:shape style="position:absolute;left:8821;top:311;width:2602;height:2" coordorigin="8821,311" coordsize="2602,0" path="m8821,311l11408,311m11408,311l11423,311e" filled="false" stroked="true" strokeweight=".72003pt" strokecolor="#175977">
              <v:path arrowok="t"/>
            </v:shape>
            <v:shape style="position:absolute;left:6416;top:370;width:2384;height:222" coordorigin="6416,370" coordsize="2384,222" path="m6416,592l8800,592m6416,370l8800,370e" filled="false" stroked="true" strokeweight=".77997pt" strokecolor="#000000">
              <v:path arrowok="t"/>
            </v:shape>
            <v:shape style="position:absolute;left:6372;top:304;width:2450;height:356" coordorigin="6372,304" coordsize="2450,356" path="m6372,304l6372,659m6379,652l8821,652e" filled="false" stroked="true" strokeweight=".72pt" strokecolor="#175977">
              <v:path arrowok="t"/>
            </v:shape>
            <v:shape style="position:absolute;left:8843;top:370;width:2530;height:222" coordorigin="8843,370" coordsize="2530,222" path="m8843,592l11372,592m8843,370l11372,370e" filled="false" stroked="true" strokeweight=".77997pt" strokecolor="#000000">
              <v:path arrowok="t"/>
            </v:shape>
            <v:line style="position:absolute" from="8821,652" to="11408,652" stroked="true" strokeweight=".71997pt" strokecolor="#175977"/>
            <v:line style="position:absolute" from="11416,304" to="11416,659" stroked="true" strokeweight=".72003pt" strokecolor="#175977"/>
            <v:shape style="position:absolute;left:3719;top:663;width:8522;height:1482" coordorigin="3719,663" coordsize="8522,1482" path="m12240,663l3719,663,3719,2145,12240,2145,12240,1234,12240,694,12240,663e" filled="true" fillcolor="#ffffff" stroked="false">
              <v:path arrowok="t"/>
              <v:fill type="solid"/>
            </v:shape>
            <v:line style="position:absolute" from="6410,701" to="8815,701" stroked="true" strokeweight=".72pt" strokecolor="#175977"/>
            <v:line style="position:absolute" from="8815,701" to="11378,701" stroked="true" strokeweight=".72003pt" strokecolor="#175977"/>
            <v:shape style="position:absolute;left:3734;top:1234;width:8506;height:562" coordorigin="3734,1234" coordsize="8506,562" path="m6396,1234l3734,1234,3734,1515,3734,1795,6396,1795,6396,1515,6396,1234m12240,1234l11393,1234,11393,1515,11393,1795,12240,1795,12240,1515,12240,1234e" filled="true" fillcolor="#ffffff" stroked="false">
              <v:path arrowok="t"/>
              <v:fill type="solid"/>
            </v:shape>
            <v:shape style="position:absolute;left:8837;top:1536;width:2489;height:222" coordorigin="8837,1536" coordsize="2489,222" path="m11326,1536l8837,1536,8837,1552,8852,1552,8852,1758,11311,1758,11311,1552,11326,1552,11326,1536e" filled="true" fillcolor="#dddddd" stroked="false">
              <v:path arrowok="t"/>
              <v:fill type="solid"/>
            </v:shape>
            <v:line style="position:absolute" from="8837,1544" to="11327,1544" stroked="true" strokeweight=".78pt" strokecolor="#dddddd"/>
            <v:shape style="position:absolute;left:3734;top:1795;width:8506;height:334" coordorigin="3734,1795" coordsize="8506,334" path="m6396,1795l3734,1795,3734,2129,6396,2129,6396,1795m12240,1795l11393,1795,11393,2129,12240,2129,12240,1795e" filled="true" fillcolor="#ffffff" stroked="false">
              <v:path arrowok="t"/>
              <v:fill type="solid"/>
            </v:shape>
            <v:line style="position:absolute" from="6403,694" to="6403,2129" stroked="true" strokeweight=".72pt" strokecolor="#175977"/>
            <v:line style="position:absolute" from="6410,2122" to="8815,2122" stroked="true" strokeweight=".72pt" strokecolor="#175977"/>
            <v:line style="position:absolute" from="8815,2122" to="11378,2122" stroked="true" strokeweight=".72pt" strokecolor="#175977"/>
            <v:line style="position:absolute" from="11386,694" to="11386,2129" stroked="true" strokeweight=".72003pt" strokecolor="#175977"/>
            <v:line style="position:absolute" from="3719,686" to="12240,686" stroked="true" strokeweight=".77997pt" strokecolor="#ffffff"/>
            <v:shape style="position:absolute;left:3719;top:2128;width:8522;height:272" coordorigin="3719,2128" coordsize="8522,272" path="m12240,2128l3719,2128,3719,2159,3734,2159,3734,2365,3719,2365,3719,2399,12240,2399,12240,2365,12240,2159,12240,2128e" filled="true" fillcolor="#ffffff" stroked="false">
              <v:path arrowok="t"/>
              <v:fill type="solid"/>
            </v:shape>
            <v:shape style="position:absolute;left:3719;top:2151;width:8522;height:240" coordorigin="3719,2151" coordsize="8522,240" path="m3719,2151l12240,2151m3719,2391l12240,2391e" filled="false" stroked="true" strokeweight=".78pt" strokecolor="#ffffff">
              <v:path arrowok="t"/>
            </v:shape>
            <v:shape style="position:absolute;left:895;top:4529;width:2824;height:296" coordorigin="895,4529" coordsize="2824,296" path="m3214,4529l895,4529,895,4572,910,4572,910,4780,895,4780,895,4824,3214,4824,3214,4780,3199,4780,3199,4572,3214,4572,3214,4529m3719,4529l3258,4529,3258,4572,3274,4572,3274,4780,3258,4780,3258,4824,3719,4824,3719,4780,3719,4572,3719,4529e" filled="true" fillcolor="#000000" stroked="false">
              <v:path arrowok="t"/>
              <v:fill type="solid"/>
            </v:shape>
            <v:line style="position:absolute" from="845,4477" to="3719,4477" stroked="true" strokeweight=".72pt" strokecolor="#175977"/>
            <v:shape style="position:absolute;left:895;top:4537;width:2320;height:279" coordorigin="895,4537" coordsize="2320,279" path="m895,4815l3215,4815m895,4537l3215,4537e" filled="false" stroked="true" strokeweight=".78pt" strokecolor="#000000">
              <v:path arrowok="t"/>
            </v:shape>
            <v:line style="position:absolute" from="852,4470" to="852,4882" stroked="true" strokeweight=".72pt" strokecolor="#175977"/>
            <v:line style="position:absolute" from="845,4875" to="3236,4875" stroked="true" strokeweight=".72pt" strokecolor="#175977"/>
            <v:shape style="position:absolute;left:3258;top:4537;width:461;height:279" coordorigin="3258,4537" coordsize="461,279" path="m3258,4815l3719,4815m3258,4537l3719,4537e" filled="false" stroked="true" strokeweight=".78pt" strokecolor="#000000">
              <v:path arrowok="t"/>
            </v:shape>
            <v:line style="position:absolute" from="3236,4875" to="3719,4875" stroked="true" strokeweight=".72pt" strokecolor="#175977"/>
            <v:shape style="position:absolute;left:930;top:4985;width:2789;height:239" coordorigin="930,4985" coordsize="2789,239" path="m3239,4985l930,4985,930,5001,946,5001,946,5208,930,5208,930,5224,3239,5224,3239,5208,3224,5208,3224,5001,3239,5001,3239,4985m3719,4985l3283,4985,3283,5001,3298,5001,3298,5208,3283,5208,3283,5224,3719,5224,3719,5208,3719,5001,3719,4985e" filled="true" fillcolor="#dddddd" stroked="false">
              <v:path arrowok="t"/>
              <v:fill type="solid"/>
            </v:shape>
            <v:line style="position:absolute" from="871,4912" to="871,5001" stroked="true" strokeweight=".72pt" strokecolor="#175977"/>
            <v:line style="position:absolute" from="864,4919" to="3719,4919" stroked="true" strokeweight=".72pt" strokecolor="#175977"/>
            <v:shape style="position:absolute;left:930;top:4993;width:2789;height:224" coordorigin="930,4993" coordsize="2789,224" path="m930,5216l3240,5216m930,4993l3240,4993m3283,5216l3719,5216m3283,4993l3719,4993e" filled="false" stroked="true" strokeweight=".78pt" strokecolor="#dddddd">
              <v:path arrowok="t"/>
            </v:shape>
            <v:shape style="position:absolute;left:930;top:5267;width:2789;height:238" coordorigin="930,5267" coordsize="2789,238" path="m3239,5267l930,5267,930,5283,946,5283,946,5489,930,5489,930,5505,3239,5505,3239,5489,3224,5489,3224,5283,3239,5283,3239,5267m3719,5267l3283,5267,3283,5283,3298,5283,3298,5489,3283,5489,3283,5505,3719,5505,3719,5489,3719,5283,3719,5267e" filled="true" fillcolor="#dddddd" stroked="false">
              <v:path arrowok="t"/>
              <v:fill type="solid"/>
            </v:shape>
            <v:line style="position:absolute" from="930,5497" to="3240,5497" stroked="true" strokeweight=".77997pt" strokecolor="#dddddd"/>
            <v:line style="position:absolute" from="930,5275" to="3240,5275" stroked="true" strokeweight=".78pt" strokecolor="#dddddd"/>
            <v:line style="position:absolute" from="871,5001" to="871,5578" stroked="true" strokeweight=".72pt" strokecolor="#175977"/>
            <v:line style="position:absolute" from="864,5571" to="3262,5571" stroked="true" strokeweight=".72003pt" strokecolor="#175977"/>
            <v:line style="position:absolute" from="3283,5497" to="3719,5497" stroked="true" strokeweight=".77997pt" strokecolor="#dddddd"/>
            <v:line style="position:absolute" from="3283,5275" to="3719,5275" stroked="true" strokeweight=".78pt" strokecolor="#dddddd"/>
            <v:line style="position:absolute" from="3262,5571" to="3719,5571" stroked="true" strokeweight=".72003pt" strokecolor="#175977"/>
            <v:shape style="position:absolute;left:3719;top:3226;width:8522;height:3412" coordorigin="3719,3226" coordsize="8522,3412" path="m12240,3241l3734,3241,3734,3226,3719,3226,3719,6637,3734,6637,3734,6622,12240,6622,12240,3241e" filled="true" fillcolor="#ffffff" stroked="false">
              <v:path arrowok="t"/>
              <v:fill type="solid"/>
            </v:shape>
            <v:shape style="position:absolute;left:6954;top:3241;width:3881;height:3380" type="#_x0000_t75" stroked="false">
              <v:imagedata r:id="rId231" o:title=""/>
            </v:shape>
            <v:line style="position:absolute" from="3719,3235" to="12240,3235" stroked="true" strokeweight=".78pt" strokecolor="#ffffff"/>
            <v:line style="position:absolute" from="3719,6630" to="12240,6630" stroked="true" strokeweight=".78pt" strokecolor="#ffffff"/>
            <w10:wrap type="none"/>
          </v:group>
        </w:pict>
      </w:r>
      <w:r>
        <w:rPr>
          <w:sz w:val="18"/>
        </w:rPr>
        <w:t>.</w:t>
      </w:r>
    </w:p>
    <w:p>
      <w:pPr>
        <w:tabs>
          <w:tab w:pos="9216" w:val="left" w:leader="none"/>
        </w:tabs>
        <w:spacing w:before="93"/>
        <w:ind w:left="6812" w:right="718" w:firstLine="0"/>
        <w:jc w:val="left"/>
        <w:rPr>
          <w:b/>
          <w:sz w:val="18"/>
        </w:rPr>
      </w:pPr>
      <w:r>
        <w:rPr>
          <w:b/>
          <w:color w:val="FFFFFF"/>
          <w:sz w:val="18"/>
        </w:rPr>
        <w:t>Score</w:t>
        <w:tab/>
        <w:t>Position</w:t>
      </w:r>
    </w:p>
    <w:p>
      <w:pPr>
        <w:pStyle w:val="BodyText"/>
        <w:spacing w:before="1"/>
        <w:rPr>
          <w:b/>
          <w:sz w:val="25"/>
        </w:rPr>
      </w:pPr>
    </w:p>
    <w:p>
      <w:pPr>
        <w:spacing w:before="77"/>
        <w:ind w:left="270" w:right="8416" w:firstLine="0"/>
        <w:jc w:val="left"/>
        <w:rPr>
          <w:sz w:val="18"/>
        </w:rPr>
      </w:pPr>
      <w:r>
        <w:rPr/>
        <w:pict>
          <v:shape style="position:absolute;margin-left:185.940002pt;margin-top:-10.487661pt;width:426.1pt;height:74.1pt;mso-position-horizontal-relative:page;mso-position-vertical-relative:paragraph;z-index:-871336" type="#_x0000_t202" filled="false" stroked="false">
            <v:textbox inset="0,0,0,0">
              <w:txbxContent>
                <w:p>
                  <w:pPr>
                    <w:pStyle w:val="BodyText"/>
                    <w:spacing w:before="10"/>
                    <w:rPr>
                      <w:sz w:val="24"/>
                    </w:rPr>
                  </w:pPr>
                </w:p>
                <w:p>
                  <w:pPr>
                    <w:spacing w:before="0"/>
                    <w:ind w:left="49" w:right="6367" w:firstLine="0"/>
                    <w:jc w:val="left"/>
                    <w:rPr>
                      <w:sz w:val="18"/>
                    </w:rPr>
                  </w:pPr>
                  <w:r>
                    <w:rPr>
                      <w:sz w:val="18"/>
                    </w:rPr>
                    <w:t>if the worker has lateral tilt</w:t>
                  </w:r>
                </w:p>
              </w:txbxContent>
            </v:textbox>
            <w10:wrap type="none"/>
          </v:shape>
        </w:pict>
      </w:r>
      <w:r>
        <w:rPr/>
        <w:pict>
          <v:shape style="position:absolute;margin-left:322.709991pt;margin-top:-5.267661pt;width:243.65pt;height:64.05pt;mso-position-horizontal-relative:page;mso-position-vertical-relative:paragraph;z-index:762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53"/>
                    <w:gridCol w:w="2496"/>
                  </w:tblGrid>
                  <w:tr>
                    <w:trPr>
                      <w:trHeight w:val="459" w:hRule="exact"/>
                    </w:trPr>
                    <w:tc>
                      <w:tcPr>
                        <w:tcW w:w="2353" w:type="dxa"/>
                        <w:tcBorders>
                          <w:top w:val="single" w:sz="6" w:space="0" w:color="FFFFFF"/>
                          <w:right w:val="single" w:sz="30" w:space="0" w:color="FFFFFF"/>
                        </w:tcBorders>
                        <w:shd w:val="clear" w:color="auto" w:fill="DDDDDD"/>
                      </w:tcPr>
                      <w:p>
                        <w:pPr>
                          <w:pStyle w:val="TableParagraph"/>
                          <w:spacing w:before="98"/>
                          <w:ind w:right="13"/>
                          <w:jc w:val="center"/>
                          <w:rPr>
                            <w:sz w:val="18"/>
                          </w:rPr>
                        </w:pPr>
                        <w:r>
                          <w:rPr>
                            <w:sz w:val="18"/>
                          </w:rPr>
                          <w:t>1</w:t>
                        </w:r>
                      </w:p>
                    </w:tc>
                    <w:tc>
                      <w:tcPr>
                        <w:tcW w:w="2496" w:type="dxa"/>
                        <w:tcBorders>
                          <w:top w:val="single" w:sz="6" w:space="0" w:color="FFFFFF"/>
                          <w:left w:val="single" w:sz="30" w:space="0" w:color="FFFFFF"/>
                        </w:tcBorders>
                        <w:shd w:val="clear" w:color="auto" w:fill="DDDDDD"/>
                      </w:tcPr>
                      <w:p>
                        <w:pPr>
                          <w:pStyle w:val="TableParagraph"/>
                          <w:ind w:left="463" w:right="209" w:hanging="282"/>
                          <w:rPr>
                            <w:sz w:val="18"/>
                          </w:rPr>
                        </w:pPr>
                        <w:r>
                          <w:rPr>
                            <w:sz w:val="18"/>
                          </w:rPr>
                          <w:t>Sitting, well supported and a trunk-hip angle&gt; 90°</w:t>
                        </w:r>
                      </w:p>
                    </w:tc>
                  </w:tr>
                  <w:tr>
                    <w:trPr>
                      <w:trHeight w:val="273" w:hRule="exact"/>
                    </w:trPr>
                    <w:tc>
                      <w:tcPr>
                        <w:tcW w:w="2353" w:type="dxa"/>
                        <w:tcBorders>
                          <w:bottom w:val="single" w:sz="24" w:space="0" w:color="FFFFFF"/>
                          <w:right w:val="single" w:sz="30" w:space="0" w:color="FFFFFF"/>
                        </w:tcBorders>
                        <w:shd w:val="clear" w:color="auto" w:fill="DDDDDD"/>
                      </w:tcPr>
                      <w:p>
                        <w:pPr>
                          <w:pStyle w:val="TableParagraph"/>
                          <w:spacing w:before="32"/>
                          <w:ind w:right="13"/>
                          <w:jc w:val="center"/>
                          <w:rPr>
                            <w:sz w:val="18"/>
                          </w:rPr>
                        </w:pPr>
                        <w:r>
                          <w:rPr>
                            <w:sz w:val="18"/>
                          </w:rPr>
                          <w:t>2</w:t>
                        </w:r>
                      </w:p>
                    </w:tc>
                    <w:tc>
                      <w:tcPr>
                        <w:tcW w:w="2496" w:type="dxa"/>
                        <w:tcBorders>
                          <w:left w:val="single" w:sz="30" w:space="0" w:color="FFFFFF"/>
                          <w:bottom w:val="single" w:sz="24" w:space="0" w:color="FFFFFF"/>
                        </w:tcBorders>
                        <w:shd w:val="clear" w:color="auto" w:fill="DDDDDD"/>
                      </w:tcPr>
                      <w:p>
                        <w:pPr>
                          <w:pStyle w:val="TableParagraph"/>
                          <w:spacing w:before="32"/>
                          <w:ind w:left="140" w:right="169"/>
                          <w:jc w:val="center"/>
                          <w:rPr>
                            <w:sz w:val="18"/>
                          </w:rPr>
                        </w:pPr>
                        <w:r>
                          <w:rPr>
                            <w:sz w:val="18"/>
                          </w:rPr>
                          <w:t>Flexion between 0º and 20º</w:t>
                        </w:r>
                      </w:p>
                    </w:tc>
                  </w:tr>
                  <w:tr>
                    <w:trPr>
                      <w:trHeight w:val="281" w:hRule="exact"/>
                    </w:trPr>
                    <w:tc>
                      <w:tcPr>
                        <w:tcW w:w="2353" w:type="dxa"/>
                        <w:tcBorders>
                          <w:top w:val="single" w:sz="24" w:space="0" w:color="FFFFFF"/>
                          <w:bottom w:val="single" w:sz="24" w:space="0" w:color="FFFFFF"/>
                          <w:right w:val="single" w:sz="30" w:space="0" w:color="FFFFFF"/>
                        </w:tcBorders>
                        <w:shd w:val="clear" w:color="auto" w:fill="DDDDDD"/>
                      </w:tcPr>
                      <w:p>
                        <w:pPr>
                          <w:pStyle w:val="TableParagraph"/>
                          <w:spacing w:before="10"/>
                          <w:ind w:right="13"/>
                          <w:jc w:val="center"/>
                          <w:rPr>
                            <w:sz w:val="18"/>
                          </w:rPr>
                        </w:pPr>
                        <w:r>
                          <w:rPr>
                            <w:sz w:val="18"/>
                          </w:rPr>
                          <w:t>3</w:t>
                        </w:r>
                      </w:p>
                    </w:tc>
                    <w:tc>
                      <w:tcPr>
                        <w:tcW w:w="2496" w:type="dxa"/>
                        <w:tcBorders>
                          <w:top w:val="single" w:sz="24" w:space="0" w:color="FFFFFF"/>
                          <w:left w:val="single" w:sz="30" w:space="0" w:color="FFFFFF"/>
                          <w:bottom w:val="single" w:sz="24" w:space="0" w:color="FFFFFF"/>
                        </w:tcBorders>
                        <w:shd w:val="clear" w:color="auto" w:fill="DDDDDD"/>
                      </w:tcPr>
                      <w:p>
                        <w:pPr>
                          <w:pStyle w:val="TableParagraph"/>
                          <w:spacing w:before="10"/>
                          <w:ind w:left="142" w:right="169"/>
                          <w:jc w:val="center"/>
                          <w:rPr>
                            <w:sz w:val="18"/>
                          </w:rPr>
                        </w:pPr>
                        <w:r>
                          <w:rPr>
                            <w:sz w:val="18"/>
                          </w:rPr>
                          <w:t>Flexion between 20º and 60º.</w:t>
                        </w:r>
                      </w:p>
                    </w:tc>
                  </w:tr>
                  <w:tr>
                    <w:trPr>
                      <w:trHeight w:val="260" w:hRule="exact"/>
                    </w:trPr>
                    <w:tc>
                      <w:tcPr>
                        <w:tcW w:w="2353" w:type="dxa"/>
                        <w:tcBorders>
                          <w:top w:val="single" w:sz="24" w:space="0" w:color="FFFFFF"/>
                          <w:right w:val="single" w:sz="30" w:space="0" w:color="FFFFFF"/>
                        </w:tcBorders>
                        <w:shd w:val="clear" w:color="auto" w:fill="DDDDDD"/>
                      </w:tcPr>
                      <w:p>
                        <w:pPr>
                          <w:pStyle w:val="TableParagraph"/>
                          <w:spacing w:before="10"/>
                          <w:ind w:right="13"/>
                          <w:jc w:val="center"/>
                          <w:rPr>
                            <w:sz w:val="18"/>
                          </w:rPr>
                        </w:pPr>
                        <w:r>
                          <w:rPr>
                            <w:sz w:val="18"/>
                          </w:rPr>
                          <w:t>4</w:t>
                        </w:r>
                      </w:p>
                    </w:tc>
                    <w:tc>
                      <w:tcPr>
                        <w:tcW w:w="2496" w:type="dxa"/>
                        <w:tcBorders>
                          <w:top w:val="single" w:sz="24" w:space="0" w:color="FFFFFF"/>
                          <w:left w:val="single" w:sz="30" w:space="0" w:color="FFFFFF"/>
                        </w:tcBorders>
                        <w:shd w:val="clear" w:color="auto" w:fill="DDDDDD"/>
                      </w:tcPr>
                      <w:p>
                        <w:pPr>
                          <w:pStyle w:val="TableParagraph"/>
                          <w:spacing w:before="10"/>
                          <w:ind w:left="140" w:right="169"/>
                          <w:jc w:val="center"/>
                          <w:rPr>
                            <w:sz w:val="18"/>
                          </w:rPr>
                        </w:pPr>
                        <w:r>
                          <w:rPr>
                            <w:sz w:val="18"/>
                          </w:rPr>
                          <w:t>Flexion more than 60º.</w:t>
                        </w:r>
                      </w:p>
                    </w:tc>
                  </w:tr>
                </w:tbl>
                <w:p>
                  <w:pPr>
                    <w:pStyle w:val="BodyText"/>
                  </w:pPr>
                </w:p>
              </w:txbxContent>
            </v:textbox>
            <w10:wrap type="none"/>
          </v:shape>
        </w:pict>
      </w:r>
      <w:r>
        <w:rPr>
          <w:sz w:val="18"/>
        </w:rPr>
        <w:t>The score of the neck may be increased or rotation.</w:t>
      </w:r>
    </w:p>
    <w:p>
      <w:pPr>
        <w:pStyle w:val="BodyText"/>
      </w:pPr>
    </w:p>
    <w:p>
      <w:pPr>
        <w:pStyle w:val="BodyText"/>
      </w:pPr>
    </w:p>
    <w:p>
      <w:pPr>
        <w:pStyle w:val="BodyText"/>
        <w:spacing w:before="1"/>
        <w:rPr>
          <w:sz w:val="22"/>
        </w:rPr>
      </w:pPr>
    </w:p>
    <w:p>
      <w:pPr>
        <w:spacing w:before="77"/>
        <w:ind w:left="7497" w:right="718" w:firstLine="0"/>
        <w:jc w:val="left"/>
        <w:rPr>
          <w:sz w:val="18"/>
        </w:rPr>
      </w:pPr>
      <w:r>
        <w:rPr>
          <w:sz w:val="18"/>
        </w:rPr>
        <w:t>Table 10. Trunk score.</w:t>
      </w:r>
    </w:p>
    <w:p>
      <w:pPr>
        <w:pStyle w:val="BodyText"/>
      </w:pPr>
    </w:p>
    <w:p>
      <w:pPr>
        <w:pStyle w:val="BodyText"/>
        <w:spacing w:before="10"/>
        <w:rPr>
          <w:sz w:val="18"/>
        </w:rPr>
      </w:pPr>
    </w:p>
    <w:p>
      <w:pPr>
        <w:spacing w:before="0"/>
        <w:ind w:left="5868" w:right="718" w:firstLine="0"/>
        <w:jc w:val="left"/>
        <w:rPr>
          <w:sz w:val="18"/>
        </w:rPr>
      </w:pPr>
      <w:r>
        <w:rPr>
          <w:sz w:val="18"/>
        </w:rPr>
        <w:t>Trunk score will increase in value if the trunk twisting or lateralization.</w:t>
      </w:r>
    </w:p>
    <w:p>
      <w:pPr>
        <w:pStyle w:val="BodyText"/>
      </w:pPr>
    </w:p>
    <w:p>
      <w:pPr>
        <w:pStyle w:val="BodyText"/>
      </w:pPr>
    </w:p>
    <w:p>
      <w:pPr>
        <w:pStyle w:val="BodyText"/>
        <w:spacing w:before="1"/>
        <w:rPr>
          <w:sz w:val="24"/>
        </w:rPr>
      </w:pPr>
    </w:p>
    <w:p>
      <w:pPr>
        <w:spacing w:before="77"/>
        <w:ind w:left="923" w:right="718" w:firstLine="0"/>
        <w:jc w:val="left"/>
        <w:rPr>
          <w:sz w:val="18"/>
        </w:rPr>
      </w:pPr>
      <w:r>
        <w:rPr/>
        <w:pict>
          <v:shape style="position:absolute;margin-left:177.843628pt;margin-top:-36.647942pt;width:434.2pt;height:170.6pt;mso-position-horizontal-relative:page;mso-position-vertical-relative:paragraph;z-index:-871312" type="#_x0000_t202" filled="false" stroked="false">
            <v:textbox inset="0,0,0,0">
              <w:txbxContent>
                <w:p>
                  <w:pPr>
                    <w:pStyle w:val="BodyText"/>
                    <w:rPr>
                      <w:sz w:val="18"/>
                    </w:rPr>
                  </w:pPr>
                </w:p>
                <w:p>
                  <w:pPr>
                    <w:pStyle w:val="BodyText"/>
                    <w:rPr>
                      <w:sz w:val="18"/>
                    </w:rPr>
                  </w:pPr>
                </w:p>
                <w:p>
                  <w:pPr>
                    <w:pStyle w:val="BodyText"/>
                    <w:rPr>
                      <w:sz w:val="18"/>
                    </w:rPr>
                  </w:pPr>
                </w:p>
                <w:p>
                  <w:pPr>
                    <w:pStyle w:val="BodyText"/>
                    <w:spacing w:before="5"/>
                    <w:rPr>
                      <w:sz w:val="16"/>
                    </w:rPr>
                  </w:pPr>
                </w:p>
                <w:p>
                  <w:pPr>
                    <w:spacing w:before="0"/>
                    <w:ind w:left="0" w:right="7148" w:firstLine="0"/>
                    <w:jc w:val="center"/>
                    <w:rPr>
                      <w:sz w:val="18"/>
                    </w:rPr>
                  </w:pPr>
                  <w:r>
                    <w:rPr>
                      <w:sz w:val="18"/>
                    </w:rPr>
                    <w:t>the score of the neck.</w:t>
                  </w:r>
                </w:p>
                <w:p>
                  <w:pPr>
                    <w:pStyle w:val="BodyText"/>
                    <w:rPr>
                      <w:sz w:val="18"/>
                    </w:rPr>
                  </w:pPr>
                </w:p>
                <w:p>
                  <w:pPr>
                    <w:spacing w:before="121"/>
                    <w:ind w:left="0" w:right="6838" w:firstLine="0"/>
                    <w:jc w:val="center"/>
                    <w:rPr>
                      <w:b/>
                      <w:sz w:val="18"/>
                    </w:rPr>
                  </w:pPr>
                  <w:r>
                    <w:rPr>
                      <w:b/>
                      <w:color w:val="FFFFFF"/>
                      <w:sz w:val="18"/>
                    </w:rPr>
                    <w:t>Position</w:t>
                  </w:r>
                </w:p>
                <w:p>
                  <w:pPr>
                    <w:pStyle w:val="BodyText"/>
                    <w:spacing w:before="10"/>
                    <w:rPr>
                      <w:sz w:val="18"/>
                    </w:rPr>
                  </w:pPr>
                </w:p>
                <w:p>
                  <w:pPr>
                    <w:spacing w:line="326" w:lineRule="auto" w:before="1"/>
                    <w:ind w:left="327" w:right="7002" w:hanging="190"/>
                    <w:jc w:val="left"/>
                    <w:rPr>
                      <w:sz w:val="18"/>
                    </w:rPr>
                  </w:pPr>
                  <w:r>
                    <w:rPr>
                      <w:sz w:val="18"/>
                    </w:rPr>
                    <w:t>If the neck is rotated. If there dishing.</w:t>
                  </w:r>
                </w:p>
                <w:p>
                  <w:pPr>
                    <w:spacing w:before="86"/>
                    <w:ind w:left="131" w:right="7002" w:firstLine="0"/>
                    <w:jc w:val="left"/>
                    <w:rPr>
                      <w:sz w:val="18"/>
                    </w:rPr>
                  </w:pPr>
                  <w:r>
                    <w:rPr>
                      <w:sz w:val="18"/>
                    </w:rPr>
                    <w:t>ore of the neck.</w:t>
                  </w:r>
                </w:p>
              </w:txbxContent>
            </v:textbox>
            <w10:wrap type="none"/>
          </v:shape>
        </w:pict>
      </w:r>
      <w:r>
        <w:rPr>
          <w:sz w:val="18"/>
        </w:rPr>
        <w:t>Fig. 9 Positions that modify</w:t>
      </w:r>
    </w:p>
    <w:p>
      <w:pPr>
        <w:pStyle w:val="BodyText"/>
        <w:spacing w:before="9"/>
        <w:rPr>
          <w:sz w:val="21"/>
        </w:rPr>
      </w:pPr>
    </w:p>
    <w:p>
      <w:pPr>
        <w:spacing w:before="77"/>
        <w:ind w:left="1258" w:right="718" w:firstLine="0"/>
        <w:jc w:val="left"/>
        <w:rPr>
          <w:b/>
          <w:sz w:val="18"/>
        </w:rPr>
      </w:pPr>
      <w:r>
        <w:rPr>
          <w:b/>
          <w:color w:val="FFFFFF"/>
          <w:sz w:val="18"/>
        </w:rPr>
        <w:t>Score</w:t>
      </w:r>
    </w:p>
    <w:p>
      <w:pPr>
        <w:pStyle w:val="BodyText"/>
        <w:spacing w:before="3"/>
        <w:rPr>
          <w:b/>
          <w:sz w:val="12"/>
        </w:rPr>
      </w:pPr>
    </w:p>
    <w:p>
      <w:pPr>
        <w:spacing w:before="77"/>
        <w:ind w:left="1394" w:right="718" w:firstLine="0"/>
        <w:jc w:val="left"/>
        <w:rPr>
          <w:sz w:val="18"/>
        </w:rPr>
      </w:pPr>
      <w:r>
        <w:rPr>
          <w:sz w:val="18"/>
        </w:rPr>
        <w:t>+1</w:t>
      </w:r>
    </w:p>
    <w:p>
      <w:pPr>
        <w:spacing w:before="75"/>
        <w:ind w:left="1394" w:right="718" w:firstLine="0"/>
        <w:jc w:val="left"/>
        <w:rPr>
          <w:sz w:val="18"/>
        </w:rPr>
      </w:pPr>
      <w:r>
        <w:rPr>
          <w:sz w:val="18"/>
        </w:rPr>
        <w:t>+1</w:t>
      </w:r>
    </w:p>
    <w:p>
      <w:pPr>
        <w:spacing w:before="158"/>
        <w:ind w:left="1206" w:right="718" w:firstLine="0"/>
        <w:jc w:val="left"/>
        <w:rPr>
          <w:sz w:val="18"/>
        </w:rPr>
      </w:pPr>
      <w:r>
        <w:rPr>
          <w:sz w:val="18"/>
        </w:rPr>
        <w:t>Table 9. Changes to the sc</w:t>
      </w:r>
    </w:p>
    <w:p>
      <w:pPr>
        <w:pStyle w:val="BodyText"/>
      </w:pPr>
    </w:p>
    <w:p>
      <w:pPr>
        <w:pStyle w:val="BodyText"/>
      </w:pPr>
    </w:p>
    <w:p>
      <w:pPr>
        <w:pStyle w:val="BodyText"/>
        <w:spacing w:before="7"/>
        <w:rPr>
          <w:sz w:val="22"/>
        </w:rPr>
      </w:pPr>
    </w:p>
    <w:p>
      <w:pPr>
        <w:spacing w:before="77"/>
        <w:ind w:left="6456" w:right="718" w:firstLine="0"/>
        <w:jc w:val="left"/>
        <w:rPr>
          <w:sz w:val="18"/>
        </w:rPr>
      </w:pPr>
      <w:r>
        <w:rPr>
          <w:sz w:val="18"/>
        </w:rPr>
        <w:t>Fig. 11 Positions that modify the score of the trunk.</w:t>
      </w:r>
    </w:p>
    <w:p>
      <w:pPr>
        <w:pStyle w:val="BodyText"/>
      </w:pPr>
    </w:p>
    <w:p>
      <w:pPr>
        <w:pStyle w:val="BodyText"/>
      </w:pPr>
    </w:p>
    <w:p>
      <w:pPr>
        <w:pStyle w:val="BodyText"/>
      </w:pPr>
    </w:p>
    <w:p>
      <w:pPr>
        <w:pStyle w:val="BodyText"/>
        <w:spacing w:before="5"/>
        <w:rPr>
          <w:sz w:val="17"/>
        </w:rPr>
      </w:pPr>
    </w:p>
    <w:p>
      <w:pPr>
        <w:spacing w:before="0"/>
        <w:ind w:left="270" w:right="718" w:firstLine="0"/>
        <w:jc w:val="left"/>
        <w:rPr>
          <w:sz w:val="18"/>
        </w:rPr>
      </w:pPr>
      <w:r>
        <w:rPr/>
        <w:pict>
          <v:group style="position:absolute;margin-left:319.785004pt;margin-top:-36.252949pt;width:249.55pt;height:69.75pt;mso-position-horizontal-relative:page;mso-position-vertical-relative:paragraph;z-index:7600" coordorigin="6396,-725" coordsize="4991,1395">
            <v:shape style="position:absolute;left:6454;top:-660;width:4881;height:362" coordorigin="6454,-660" coordsize="4881,362" path="m8812,-660l6454,-660,6454,-583,6469,-583,6469,-376,6454,-376,6454,-299,8812,-299,8812,-376,8796,-376,8796,-583,8812,-583,8812,-660m11334,-660l8855,-660,8855,-583,8870,-583,8870,-376,8855,-376,8855,-299,11334,-299,11334,-376,11318,-376,11318,-583,11334,-583,11334,-660e" filled="true" fillcolor="#000000" stroked="false">
              <v:path arrowok="t"/>
              <v:fill type="solid"/>
            </v:shape>
            <v:shape style="position:absolute;left:6403;top:-710;width:4968;height:2" coordorigin="6403,-710" coordsize="4968,0" path="m6403,-710l8848,-710m8848,-710l11371,-710e" filled="false" stroked="true" strokeweight=".72pt" strokecolor="#175977">
              <v:path arrowok="t"/>
            </v:shape>
            <v:shape style="position:absolute;left:6454;top:-651;width:2358;height:344" coordorigin="6454,-651" coordsize="2358,344" path="m6454,-308l8812,-308m6454,-651l8812,-651e" filled="false" stroked="true" strokeweight=".78pt" strokecolor="#000000">
              <v:path arrowok="t"/>
            </v:shape>
            <v:line style="position:absolute" from="6410,-718" to="6410,-241" stroked="true" strokeweight=".72pt" strokecolor="#175977"/>
            <v:line style="position:absolute" from="6403,-248" to="8833,-248" stroked="true" strokeweight=".72pt" strokecolor="#175977"/>
            <v:shape style="position:absolute;left:8855;top:-651;width:2481;height:344" coordorigin="8855,-651" coordsize="2481,344" path="m8855,-308l11335,-308m8855,-651l11335,-651e" filled="false" stroked="true" strokeweight=".78pt" strokecolor="#000000">
              <v:path arrowok="t"/>
            </v:shape>
            <v:shape style="position:absolute;left:8833;top:-248;width:2538;height:2" coordorigin="8833,-248" coordsize="2538,0" path="m8833,-248l8848,-248m8848,-248l11371,-248e" filled="false" stroked="true" strokeweight=".72pt" strokecolor="#175977">
              <v:path arrowok="t"/>
            </v:shape>
            <v:line style="position:absolute" from="11378,-718" to="11378,-241" stroked="true" strokeweight=".71997pt" strokecolor="#175977"/>
            <v:line style="position:absolute" from="6426,-211" to="6426,-122" stroked="true" strokeweight=".72pt" strokecolor="#175977"/>
            <v:shape style="position:absolute;left:6419;top:-204;width:4937;height:2" coordorigin="6419,-204" coordsize="4937,0" path="m6419,-204l8878,-204m8878,-204l11356,-204e" filled="false" stroked="true" strokeweight=".72pt" strokecolor="#175977">
              <v:path arrowok="t"/>
            </v:shape>
            <v:line style="position:absolute" from="6426,-122" to="6426,662" stroked="true" strokeweight=".72pt" strokecolor="#175977"/>
            <v:shape style="position:absolute;left:6419;top:655;width:2459;height:2" coordorigin="6419,655" coordsize="2459,0" path="m6419,655l8863,655m8863,655l8878,655e" filled="false" stroked="true" strokeweight=".71999pt" strokecolor="#175977">
              <v:path arrowok="t"/>
            </v:shape>
            <v:line style="position:absolute" from="8878,655" to="11356,655" stroked="true" strokeweight=".72pt" strokecolor="#175977"/>
            <v:line style="position:absolute" from="11363,-211" to="11363,662" stroked="true" strokeweight=".72003pt" strokecolor="#175977"/>
            <v:shape style="position:absolute;left:6426;top:-710;width:2408;height:463" type="#_x0000_t202" filled="false" stroked="false">
              <v:textbox inset="0,0,0,0">
                <w:txbxContent>
                  <w:p>
                    <w:pPr>
                      <w:spacing w:before="126"/>
                      <w:ind w:left="971" w:right="966" w:firstLine="0"/>
                      <w:jc w:val="center"/>
                      <w:rPr>
                        <w:b/>
                        <w:sz w:val="18"/>
                      </w:rPr>
                    </w:pPr>
                    <w:r>
                      <w:rPr>
                        <w:b/>
                        <w:color w:val="FFFFFF"/>
                        <w:sz w:val="18"/>
                      </w:rPr>
                      <w:t>Score</w:t>
                    </w:r>
                  </w:p>
                </w:txbxContent>
              </v:textbox>
              <w10:wrap type="none"/>
            </v:shape>
            <v:shape style="position:absolute;left:8833;top:-710;width:2530;height:463" type="#_x0000_t202" filled="false" stroked="false">
              <v:textbox inset="0,0,0,0">
                <w:txbxContent>
                  <w:p>
                    <w:pPr>
                      <w:spacing w:before="126"/>
                      <w:ind w:left="933" w:right="936" w:firstLine="0"/>
                      <w:jc w:val="center"/>
                      <w:rPr>
                        <w:b/>
                        <w:sz w:val="18"/>
                      </w:rPr>
                    </w:pPr>
                    <w:r>
                      <w:rPr>
                        <w:b/>
                        <w:color w:val="FFFFFF"/>
                        <w:sz w:val="18"/>
                      </w:rPr>
                      <w:t>Position</w:t>
                    </w:r>
                  </w:p>
                </w:txbxContent>
              </v:textbox>
              <w10:wrap type="none"/>
            </v:shape>
            <w10:wrap type="none"/>
          </v:group>
        </w:pict>
      </w:r>
      <w:r>
        <w:rPr/>
        <w:pict>
          <v:shape style="position:absolute;margin-left:323.790009pt;margin-top:-6.89795pt;width:241.45pt;height:36.4pt;mso-position-horizontal-relative:page;mso-position-vertical-relative:paragraph;z-index:764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87"/>
                    <w:gridCol w:w="2417"/>
                  </w:tblGrid>
                  <w:tr>
                    <w:trPr>
                      <w:trHeight w:val="260" w:hRule="exact"/>
                    </w:trPr>
                    <w:tc>
                      <w:tcPr>
                        <w:tcW w:w="2387" w:type="dxa"/>
                        <w:tcBorders>
                          <w:bottom w:val="nil"/>
                          <w:right w:val="nil"/>
                        </w:tcBorders>
                        <w:shd w:val="clear" w:color="auto" w:fill="DDDDDD"/>
                      </w:tcPr>
                      <w:p>
                        <w:pPr>
                          <w:pStyle w:val="TableParagraph"/>
                          <w:spacing w:before="10"/>
                          <w:ind w:left="1067"/>
                          <w:rPr>
                            <w:sz w:val="18"/>
                          </w:rPr>
                        </w:pPr>
                        <w:r>
                          <w:rPr>
                            <w:sz w:val="18"/>
                          </w:rPr>
                          <w:t>+1</w:t>
                        </w:r>
                      </w:p>
                    </w:tc>
                    <w:tc>
                      <w:tcPr>
                        <w:tcW w:w="2417" w:type="dxa"/>
                        <w:tcBorders>
                          <w:left w:val="nil"/>
                          <w:bottom w:val="nil"/>
                        </w:tcBorders>
                        <w:shd w:val="clear" w:color="auto" w:fill="DDDDDD"/>
                      </w:tcPr>
                      <w:p>
                        <w:pPr>
                          <w:pStyle w:val="TableParagraph"/>
                          <w:spacing w:before="10"/>
                          <w:ind w:left="409"/>
                          <w:rPr>
                            <w:sz w:val="18"/>
                          </w:rPr>
                        </w:pPr>
                        <w:r>
                          <w:rPr>
                            <w:sz w:val="18"/>
                          </w:rPr>
                          <w:t>If there trunk torsion.</w:t>
                        </w:r>
                      </w:p>
                    </w:tc>
                  </w:tr>
                  <w:tr>
                    <w:trPr>
                      <w:trHeight w:val="459" w:hRule="exact"/>
                    </w:trPr>
                    <w:tc>
                      <w:tcPr>
                        <w:tcW w:w="2387" w:type="dxa"/>
                        <w:tcBorders>
                          <w:top w:val="single" w:sz="30" w:space="0" w:color="FFFFFF"/>
                          <w:bottom w:val="single" w:sz="6" w:space="0" w:color="FFFFFF"/>
                          <w:right w:val="single" w:sz="24" w:space="0" w:color="FFFFFF"/>
                        </w:tcBorders>
                        <w:shd w:val="clear" w:color="auto" w:fill="DDDDDD"/>
                      </w:tcPr>
                      <w:p>
                        <w:pPr>
                          <w:pStyle w:val="TableParagraph"/>
                          <w:spacing w:before="98"/>
                          <w:ind w:left="1067"/>
                          <w:rPr>
                            <w:sz w:val="18"/>
                          </w:rPr>
                        </w:pPr>
                        <w:r>
                          <w:rPr>
                            <w:sz w:val="18"/>
                          </w:rPr>
                          <w:t>+1</w:t>
                        </w:r>
                      </w:p>
                    </w:tc>
                    <w:tc>
                      <w:tcPr>
                        <w:tcW w:w="2417" w:type="dxa"/>
                        <w:tcBorders>
                          <w:top w:val="single" w:sz="30" w:space="0" w:color="FFFFFF"/>
                          <w:left w:val="single" w:sz="24" w:space="0" w:color="FFFFFF"/>
                          <w:bottom w:val="single" w:sz="6" w:space="0" w:color="FFFFFF"/>
                        </w:tcBorders>
                        <w:shd w:val="clear" w:color="auto" w:fill="DDDDDD"/>
                      </w:tcPr>
                      <w:p>
                        <w:pPr>
                          <w:pStyle w:val="TableParagraph"/>
                          <w:ind w:left="966" w:right="172" w:hanging="804"/>
                          <w:rPr>
                            <w:sz w:val="18"/>
                          </w:rPr>
                        </w:pPr>
                        <w:r>
                          <w:rPr>
                            <w:sz w:val="18"/>
                          </w:rPr>
                          <w:t>If there lateral flexion of the trunk.</w:t>
                        </w:r>
                      </w:p>
                    </w:tc>
                  </w:tr>
                </w:tbl>
                <w:p>
                  <w:pPr>
                    <w:pStyle w:val="BodyText"/>
                  </w:pPr>
                </w:p>
              </w:txbxContent>
            </v:textbox>
            <w10:wrap type="none"/>
          </v:shape>
        </w:pict>
      </w:r>
      <w:r>
        <w:rPr>
          <w:sz w:val="18"/>
        </w:rPr>
        <w:t>Rating trunk:</w:t>
      </w:r>
    </w:p>
    <w:p>
      <w:pPr>
        <w:pStyle w:val="BodyText"/>
      </w:pPr>
    </w:p>
    <w:p>
      <w:pPr>
        <w:pStyle w:val="BodyText"/>
        <w:spacing w:before="9"/>
        <w:rPr>
          <w:sz w:val="21"/>
        </w:rPr>
      </w:pPr>
    </w:p>
    <w:p>
      <w:pPr>
        <w:spacing w:before="0"/>
        <w:ind w:left="6761" w:right="718" w:firstLine="0"/>
        <w:jc w:val="left"/>
        <w:rPr>
          <w:sz w:val="18"/>
        </w:rPr>
      </w:pPr>
      <w:r>
        <w:rPr>
          <w:sz w:val="18"/>
        </w:rPr>
        <w:t>Table 11. Changes to the score of the trunk</w:t>
      </w:r>
    </w:p>
    <w:p>
      <w:pPr>
        <w:spacing w:after="0"/>
        <w:jc w:val="left"/>
        <w:rPr>
          <w:sz w:val="18"/>
        </w:rPr>
        <w:sectPr>
          <w:pgSz w:w="12240" w:h="15840"/>
          <w:pgMar w:header="545" w:footer="852" w:top="1060" w:bottom="1040" w:left="580" w:right="0"/>
        </w:sectPr>
      </w:pPr>
    </w:p>
    <w:p>
      <w:pPr>
        <w:pStyle w:val="BodyText"/>
        <w:spacing w:before="7"/>
        <w:rPr>
          <w:sz w:val="17"/>
        </w:rPr>
      </w:pPr>
    </w:p>
    <w:p>
      <w:pPr>
        <w:spacing w:before="1"/>
        <w:ind w:left="270" w:right="-18" w:firstLine="0"/>
        <w:jc w:val="left"/>
        <w:rPr>
          <w:sz w:val="18"/>
        </w:rPr>
      </w:pPr>
      <w:r>
        <w:rPr>
          <w:sz w:val="18"/>
        </w:rPr>
        <w:t>Rating legs:</w:t>
      </w:r>
    </w:p>
    <w:p>
      <w:pPr>
        <w:pStyle w:val="BodyText"/>
        <w:rPr>
          <w:sz w:val="18"/>
        </w:rPr>
      </w:pPr>
      <w:r>
        <w:rPr/>
        <w:br w:type="column"/>
      </w:r>
      <w:r>
        <w:rPr>
          <w:sz w:val="18"/>
        </w:rPr>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11"/>
        <w:rPr>
          <w:sz w:val="18"/>
        </w:rPr>
      </w:pPr>
    </w:p>
    <w:p>
      <w:pPr>
        <w:spacing w:before="0"/>
        <w:ind w:left="270" w:right="-18" w:firstLine="0"/>
        <w:jc w:val="left"/>
        <w:rPr>
          <w:sz w:val="18"/>
        </w:rPr>
      </w:pPr>
      <w:r>
        <w:rPr/>
        <w:drawing>
          <wp:anchor distT="0" distB="0" distL="0" distR="0" allowOverlap="1" layoutInCell="1" locked="0" behindDoc="1" simplePos="0" relativeHeight="267564311">
            <wp:simplePos x="0" y="0"/>
            <wp:positionH relativeFrom="page">
              <wp:posOffset>1042416</wp:posOffset>
            </wp:positionH>
            <wp:positionV relativeFrom="paragraph">
              <wp:posOffset>-2635731</wp:posOffset>
            </wp:positionV>
            <wp:extent cx="2100072" cy="2638805"/>
            <wp:effectExtent l="0" t="0" r="0" b="0"/>
            <wp:wrapNone/>
            <wp:docPr id="247" name="image140.jpeg" descr=""/>
            <wp:cNvGraphicFramePr>
              <a:graphicFrameLocks noChangeAspect="1"/>
            </wp:cNvGraphicFramePr>
            <a:graphic>
              <a:graphicData uri="http://schemas.openxmlformats.org/drawingml/2006/picture">
                <pic:pic>
                  <pic:nvPicPr>
                    <pic:cNvPr id="248" name="image140.jpeg"/>
                    <pic:cNvPicPr/>
                  </pic:nvPicPr>
                  <pic:blipFill>
                    <a:blip r:embed="rId232" cstate="print"/>
                    <a:stretch>
                      <a:fillRect/>
                    </a:stretch>
                  </pic:blipFill>
                  <pic:spPr>
                    <a:xfrm>
                      <a:off x="0" y="0"/>
                      <a:ext cx="2100072" cy="2638805"/>
                    </a:xfrm>
                    <a:prstGeom prst="rect">
                      <a:avLst/>
                    </a:prstGeom>
                  </pic:spPr>
                </pic:pic>
              </a:graphicData>
            </a:graphic>
          </wp:anchor>
        </w:drawing>
      </w:r>
      <w:r>
        <w:rPr>
          <w:sz w:val="18"/>
        </w:rPr>
        <w:t>Fig. 12 Legs position.</w:t>
      </w:r>
    </w:p>
    <w:p>
      <w:pPr>
        <w:pStyle w:val="BodyText"/>
        <w:spacing w:before="7" w:after="39"/>
        <w:rPr>
          <w:sz w:val="14"/>
        </w:rPr>
      </w:pPr>
      <w:r>
        <w:rPr/>
        <w:br w:type="column"/>
      </w:r>
      <w:r>
        <w:rPr>
          <w:sz w:val="14"/>
        </w:rPr>
      </w:r>
    </w:p>
    <w:p>
      <w:pPr>
        <w:pStyle w:val="BodyText"/>
        <w:ind w:left="417"/>
      </w:pPr>
      <w:r>
        <w:rPr/>
        <w:drawing>
          <wp:inline distT="0" distB="0" distL="0" distR="0">
            <wp:extent cx="2929577" cy="1940052"/>
            <wp:effectExtent l="0" t="0" r="0" b="0"/>
            <wp:docPr id="249" name="image141.jpeg" descr=""/>
            <wp:cNvGraphicFramePr>
              <a:graphicFrameLocks noChangeAspect="1"/>
            </wp:cNvGraphicFramePr>
            <a:graphic>
              <a:graphicData uri="http://schemas.openxmlformats.org/drawingml/2006/picture">
                <pic:pic>
                  <pic:nvPicPr>
                    <pic:cNvPr id="250" name="image141.jpeg"/>
                    <pic:cNvPicPr/>
                  </pic:nvPicPr>
                  <pic:blipFill>
                    <a:blip r:embed="rId233" cstate="print"/>
                    <a:stretch>
                      <a:fillRect/>
                    </a:stretch>
                  </pic:blipFill>
                  <pic:spPr>
                    <a:xfrm>
                      <a:off x="0" y="0"/>
                      <a:ext cx="2929577" cy="1940052"/>
                    </a:xfrm>
                    <a:prstGeom prst="rect">
                      <a:avLst/>
                    </a:prstGeom>
                  </pic:spPr>
                </pic:pic>
              </a:graphicData>
            </a:graphic>
          </wp:inline>
        </w:drawing>
      </w:r>
      <w:r>
        <w:rPr/>
      </w:r>
    </w:p>
    <w:p>
      <w:pPr>
        <w:pStyle w:val="BodyText"/>
        <w:rPr>
          <w:sz w:val="18"/>
        </w:rPr>
      </w:pPr>
    </w:p>
    <w:p>
      <w:pPr>
        <w:pStyle w:val="BodyText"/>
        <w:rPr>
          <w:sz w:val="18"/>
        </w:rPr>
      </w:pPr>
    </w:p>
    <w:p>
      <w:pPr>
        <w:pStyle w:val="BodyText"/>
        <w:spacing w:before="10"/>
        <w:rPr>
          <w:sz w:val="16"/>
        </w:rPr>
      </w:pPr>
    </w:p>
    <w:p>
      <w:pPr>
        <w:pStyle w:val="ListParagraph"/>
        <w:numPr>
          <w:ilvl w:val="0"/>
          <w:numId w:val="63"/>
        </w:numPr>
        <w:tabs>
          <w:tab w:pos="452" w:val="left" w:leader="none"/>
        </w:tabs>
        <w:spacing w:line="240" w:lineRule="auto" w:before="1" w:after="0"/>
        <w:ind w:left="451" w:right="0" w:hanging="181"/>
        <w:jc w:val="left"/>
        <w:rPr>
          <w:b/>
          <w:sz w:val="18"/>
        </w:rPr>
      </w:pPr>
      <w:r>
        <w:rPr>
          <w:b/>
          <w:sz w:val="18"/>
        </w:rPr>
        <w:t>RESULTS:</w:t>
      </w:r>
    </w:p>
    <w:p>
      <w:pPr>
        <w:spacing w:after="0" w:line="240" w:lineRule="auto"/>
        <w:jc w:val="left"/>
        <w:rPr>
          <w:sz w:val="18"/>
        </w:rPr>
        <w:sectPr>
          <w:pgSz w:w="12240" w:h="15840"/>
          <w:pgMar w:header="545" w:footer="852" w:top="1060" w:bottom="1040" w:left="580" w:right="220"/>
          <w:cols w:num="3" w:equalWidth="0">
            <w:col w:w="1137" w:space="520"/>
            <w:col w:w="1848" w:space="2093"/>
            <w:col w:w="5842"/>
          </w:cols>
        </w:sect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2"/>
        <w:rPr>
          <w:b/>
          <w:sz w:val="18"/>
        </w:rPr>
      </w:pPr>
    </w:p>
    <w:p>
      <w:pPr>
        <w:spacing w:before="77"/>
        <w:ind w:left="7403" w:right="1218" w:firstLine="0"/>
        <w:jc w:val="left"/>
        <w:rPr>
          <w:sz w:val="18"/>
        </w:rPr>
      </w:pPr>
      <w:r>
        <w:rPr/>
        <w:pict>
          <v:group style="position:absolute;margin-left:57.285pt;margin-top:-102.962646pt;width:214.75pt;height:147.550pt;mso-position-horizontal-relative:page;mso-position-vertical-relative:paragraph;z-index:7744" coordorigin="1146,-2059" coordsize="4295,2951">
            <v:shape style="position:absolute;left:1204;top:-1994;width:4185;height:394" coordorigin="1204,-1994" coordsize="4185,394" path="m3127,-1994l1204,-1994,1204,-1901,1219,-1901,1219,-1694,1204,-1694,1204,-1601,3127,-1601,3127,-1694,3112,-1694,3112,-1901,3127,-1901,3127,-1994m5388,-1994l3172,-1994,3172,-1901,3186,-1901,3186,-1694,3172,-1694,3172,-1601,5388,-1601,5388,-1694,5374,-1694,5374,-1901,5388,-1901,5388,-1994e" filled="true" fillcolor="#000000" stroked="false">
              <v:path arrowok="t"/>
              <v:fill type="solid"/>
            </v:shape>
            <v:line style="position:absolute" from="1153,-2045" to="5425,-2045" stroked="true" strokeweight=".72pt" strokecolor="#175977"/>
            <v:shape style="position:absolute;left:1204;top:-1985;width:1925;height:377" coordorigin="1204,-1985" coordsize="1925,377" path="m1204,-1608l3128,-1608m1204,-1985l3128,-1985e" filled="false" stroked="true" strokeweight=".78pt" strokecolor="#000000">
              <v:path arrowok="t"/>
            </v:shape>
            <v:line style="position:absolute" from="1160,-2052" to="1160,-1542" stroked="true" strokeweight=".72pt" strokecolor="#175977"/>
            <v:line style="position:absolute" from="1153,-1549" to="3150,-1549" stroked="true" strokeweight=".72pt" strokecolor="#175977"/>
            <v:shape style="position:absolute;left:3170;top:-1985;width:2219;height:377" coordorigin="3170,-1985" coordsize="2219,377" path="m3170,-1608l5389,-1608m3170,-1985l5389,-1985e" filled="false" stroked="true" strokeweight=".78pt" strokecolor="#000000">
              <v:path arrowok="t"/>
            </v:shape>
            <v:shape style="position:absolute;left:3150;top:-2052;width:2283;height:510" coordorigin="3150,-2052" coordsize="2283,510" path="m3150,-1549l5425,-1549m5432,-2052l5432,-1542e" filled="false" stroked="true" strokeweight=".72pt" strokecolor="#175977">
              <v:path arrowok="t"/>
            </v:shape>
            <v:shape style="position:absolute;left:1234;top:-1439;width:1913;height:446" coordorigin="1234,-1439" coordsize="1913,446" path="m3146,-1439l1234,-1439,1234,-1320,1248,-1320,1248,-1113,1234,-1113,1234,-993,3146,-993,3146,-1113,3131,-1113,3131,-1320,3146,-1320,3146,-1439e" filled="true" fillcolor="#dddddd" stroked="false">
              <v:path arrowok="t"/>
              <v:fill type="solid"/>
            </v:shape>
            <v:line style="position:absolute" from="1175,-1512" to="1175,-1423" stroked="true" strokeweight=".72pt" strokecolor="#175977"/>
            <v:line style="position:absolute" from="1168,-1505" to="5411,-1505" stroked="true" strokeweight=".72pt" strokecolor="#175977"/>
            <v:shape style="position:absolute;left:1232;top:-1431;width:1916;height:430" coordorigin="1232,-1431" coordsize="1916,430" path="m1232,-1001l3148,-1001m1232,-1431l3148,-1431e" filled="false" stroked="true" strokeweight=".78pt" strokecolor="#dddddd">
              <v:path arrowok="t"/>
            </v:shape>
            <v:shape style="position:absolute;left:1234;top:-951;width:1913;height:860" coordorigin="1234,-951" coordsize="1913,860" path="m3146,-951l1234,-951,1234,-625,1248,-625,1248,-417,1234,-417,1234,-92,3146,-92,3146,-417,3131,-417,3131,-625,3146,-625,3146,-951e" filled="true" fillcolor="#dddddd" stroked="false">
              <v:path arrowok="t"/>
              <v:fill type="solid"/>
            </v:shape>
            <v:shape style="position:absolute;left:1232;top:-942;width:1916;height:843" coordorigin="1232,-942" coordsize="1916,843" path="m1232,-100l3148,-100m1232,-942l3148,-942e" filled="false" stroked="true" strokeweight=".78pt" strokecolor="#dddddd">
              <v:path arrowok="t"/>
            </v:shape>
            <v:shape style="position:absolute;left:1234;top:-49;width:1913;height:860" coordorigin="1234,-49" coordsize="1913,860" path="m3146,-49l1234,-49,1234,277,1248,277,1248,484,1234,484,1234,810,3146,810,3146,484,3131,484,3131,277,3146,277,3146,-49e" filled="true" fillcolor="#dddddd" stroked="false">
              <v:path arrowok="t"/>
              <v:fill type="solid"/>
            </v:shape>
            <v:shape style="position:absolute;left:1232;top:-41;width:1916;height:844" coordorigin="1232,-41" coordsize="1916,844" path="m1232,802l3148,802m1232,-41l3148,-41e" filled="false" stroked="true" strokeweight=".78pt" strokecolor="#dddddd">
              <v:path arrowok="t"/>
            </v:shape>
            <v:line style="position:absolute" from="1175,-1423" to="1175,883" stroked="true" strokeweight=".72pt" strokecolor="#175977"/>
            <v:shape style="position:absolute;left:1168;top:-1512;width:4251;height:2396" coordorigin="1168,-1512" coordsize="4251,2396" path="m1168,876l3168,876m3168,876l5411,876m5418,-1512l5418,883e" filled="false" stroked="true" strokeweight=".72pt" strokecolor="#175977">
              <v:path arrowok="t"/>
            </v:shape>
            <v:shape style="position:absolute;left:1175;top:-2045;width:1975;height:496" type="#_x0000_t202" filled="false" stroked="false">
              <v:textbox inset="0,0,0,0">
                <w:txbxContent>
                  <w:p>
                    <w:pPr>
                      <w:spacing w:before="142"/>
                      <w:ind w:left="755" w:right="749" w:firstLine="0"/>
                      <w:jc w:val="center"/>
                      <w:rPr>
                        <w:b/>
                        <w:sz w:val="18"/>
                      </w:rPr>
                    </w:pPr>
                    <w:r>
                      <w:rPr>
                        <w:b/>
                        <w:color w:val="FFFFFF"/>
                        <w:sz w:val="18"/>
                      </w:rPr>
                      <w:t>Score</w:t>
                    </w:r>
                  </w:p>
                </w:txbxContent>
              </v:textbox>
              <w10:wrap type="none"/>
            </v:shape>
            <v:shape style="position:absolute;left:3149;top:-2045;width:2269;height:496" type="#_x0000_t202" filled="false" stroked="false">
              <v:textbox inset="0,0,0,0">
                <w:txbxContent>
                  <w:p>
                    <w:pPr>
                      <w:spacing w:before="142"/>
                      <w:ind w:left="801" w:right="806" w:firstLine="0"/>
                      <w:jc w:val="center"/>
                      <w:rPr>
                        <w:b/>
                        <w:sz w:val="18"/>
                      </w:rPr>
                    </w:pPr>
                    <w:r>
                      <w:rPr>
                        <w:b/>
                        <w:color w:val="FFFFFF"/>
                        <w:sz w:val="18"/>
                      </w:rPr>
                      <w:t>Position</w:t>
                    </w:r>
                  </w:p>
                </w:txbxContent>
              </v:textbox>
              <w10:wrap type="none"/>
            </v:shape>
            <w10:wrap type="none"/>
          </v:group>
        </w:pict>
      </w:r>
      <w:r>
        <w:rPr/>
        <w:pict>
          <v:shape style="position:absolute;margin-left:334.200012pt;margin-top:-148.067642pt;width:221.25pt;height:152.2pt;mso-position-horizontal-relative:page;mso-position-vertical-relative:paragraph;z-index:779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422"/>
                    <w:gridCol w:w="988"/>
                  </w:tblGrid>
                  <w:tr>
                    <w:trPr>
                      <w:trHeight w:val="431" w:hRule="exact"/>
                    </w:trPr>
                    <w:tc>
                      <w:tcPr>
                        <w:tcW w:w="4410" w:type="dxa"/>
                        <w:gridSpan w:val="2"/>
                        <w:shd w:val="clear" w:color="auto" w:fill="000000"/>
                      </w:tcPr>
                      <w:p>
                        <w:pPr>
                          <w:pStyle w:val="TableParagraph"/>
                          <w:tabs>
                            <w:tab w:pos="3700" w:val="left" w:leader="none"/>
                          </w:tabs>
                          <w:spacing w:line="206" w:lineRule="exact"/>
                          <w:ind w:left="1298"/>
                          <w:rPr>
                            <w:b/>
                            <w:sz w:val="18"/>
                          </w:rPr>
                        </w:pPr>
                        <w:r>
                          <w:rPr>
                            <w:b/>
                            <w:color w:val="FFFFFF"/>
                            <w:sz w:val="18"/>
                          </w:rPr>
                          <w:t>GROUP A</w:t>
                          <w:tab/>
                          <w:t>Score</w:t>
                        </w:r>
                      </w:p>
                    </w:tc>
                  </w:tr>
                  <w:tr>
                    <w:trPr>
                      <w:trHeight w:val="482" w:hRule="exact"/>
                    </w:trPr>
                    <w:tc>
                      <w:tcPr>
                        <w:tcW w:w="3422" w:type="dxa"/>
                        <w:tcBorders>
                          <w:left w:val="single" w:sz="4" w:space="0" w:color="000000"/>
                          <w:bottom w:val="single" w:sz="4" w:space="0" w:color="000000"/>
                          <w:right w:val="single" w:sz="4" w:space="0" w:color="000000"/>
                        </w:tcBorders>
                      </w:tcPr>
                      <w:p>
                        <w:pPr>
                          <w:pStyle w:val="TableParagraph"/>
                          <w:spacing w:before="6"/>
                          <w:ind w:left="300" w:right="301"/>
                          <w:jc w:val="center"/>
                          <w:rPr>
                            <w:sz w:val="18"/>
                          </w:rPr>
                        </w:pPr>
                        <w:r>
                          <w:rPr>
                            <w:sz w:val="18"/>
                          </w:rPr>
                          <w:t>Arms (1-6)</w:t>
                        </w:r>
                      </w:p>
                    </w:tc>
                    <w:tc>
                      <w:tcPr>
                        <w:tcW w:w="988" w:type="dxa"/>
                        <w:tcBorders>
                          <w:left w:val="single" w:sz="4" w:space="0" w:color="000000"/>
                          <w:bottom w:val="single" w:sz="4" w:space="0" w:color="000000"/>
                          <w:right w:val="single" w:sz="4" w:space="0" w:color="000000"/>
                        </w:tcBorders>
                      </w:tcPr>
                      <w:p>
                        <w:pPr>
                          <w:pStyle w:val="TableParagraph"/>
                          <w:spacing w:before="6"/>
                          <w:ind w:left="1"/>
                          <w:jc w:val="center"/>
                          <w:rPr>
                            <w:sz w:val="18"/>
                          </w:rPr>
                        </w:pPr>
                        <w:r>
                          <w:rPr>
                            <w:sz w:val="18"/>
                          </w:rPr>
                          <w:t>3</w:t>
                        </w:r>
                      </w:p>
                    </w:tc>
                  </w:tr>
                  <w:tr>
                    <w:trPr>
                      <w:trHeight w:val="476" w:hRule="exact"/>
                    </w:trPr>
                    <w:tc>
                      <w:tcPr>
                        <w:tcW w:w="3422" w:type="dxa"/>
                        <w:tcBorders>
                          <w:top w:val="single" w:sz="4" w:space="0" w:color="000000"/>
                          <w:left w:val="single" w:sz="4" w:space="0" w:color="000000"/>
                          <w:bottom w:val="single" w:sz="4" w:space="0" w:color="000000"/>
                          <w:right w:val="single" w:sz="4" w:space="0" w:color="000000"/>
                        </w:tcBorders>
                      </w:tcPr>
                      <w:p>
                        <w:pPr>
                          <w:pStyle w:val="TableParagraph"/>
                          <w:spacing w:line="202" w:lineRule="exact"/>
                          <w:ind w:left="301" w:right="301"/>
                          <w:jc w:val="center"/>
                          <w:rPr>
                            <w:sz w:val="18"/>
                          </w:rPr>
                        </w:pPr>
                        <w:r>
                          <w:rPr>
                            <w:sz w:val="18"/>
                          </w:rPr>
                          <w:t>Forearms (1-3)</w:t>
                        </w:r>
                      </w:p>
                    </w:tc>
                    <w:tc>
                      <w:tcPr>
                        <w:tcW w:w="988" w:type="dxa"/>
                        <w:tcBorders>
                          <w:top w:val="single" w:sz="4" w:space="0" w:color="000000"/>
                          <w:left w:val="single" w:sz="4" w:space="0" w:color="000000"/>
                          <w:bottom w:val="single" w:sz="4" w:space="0" w:color="000000"/>
                          <w:right w:val="single" w:sz="4" w:space="0" w:color="000000"/>
                        </w:tcBorders>
                      </w:tcPr>
                      <w:p>
                        <w:pPr>
                          <w:pStyle w:val="TableParagraph"/>
                          <w:spacing w:line="202" w:lineRule="exact"/>
                          <w:ind w:left="1"/>
                          <w:jc w:val="center"/>
                          <w:rPr>
                            <w:sz w:val="18"/>
                          </w:rPr>
                        </w:pPr>
                        <w:r>
                          <w:rPr>
                            <w:sz w:val="18"/>
                          </w:rPr>
                          <w:t>2</w:t>
                        </w:r>
                      </w:p>
                    </w:tc>
                  </w:tr>
                  <w:tr>
                    <w:trPr>
                      <w:trHeight w:val="478" w:hRule="exact"/>
                    </w:trPr>
                    <w:tc>
                      <w:tcPr>
                        <w:tcW w:w="342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301" w:right="301"/>
                          <w:jc w:val="center"/>
                          <w:rPr>
                            <w:sz w:val="18"/>
                          </w:rPr>
                        </w:pPr>
                        <w:r>
                          <w:rPr>
                            <w:sz w:val="18"/>
                          </w:rPr>
                          <w:t>Wrist (1-4)</w:t>
                        </w:r>
                      </w:p>
                    </w:tc>
                    <w:tc>
                      <w:tcPr>
                        <w:tcW w:w="988"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jc w:val="center"/>
                          <w:rPr>
                            <w:sz w:val="18"/>
                          </w:rPr>
                        </w:pPr>
                        <w:r>
                          <w:rPr>
                            <w:sz w:val="18"/>
                          </w:rPr>
                          <w:t>3</w:t>
                        </w:r>
                      </w:p>
                    </w:tc>
                  </w:tr>
                  <w:tr>
                    <w:trPr>
                      <w:trHeight w:val="476" w:hRule="exact"/>
                    </w:trPr>
                    <w:tc>
                      <w:tcPr>
                        <w:tcW w:w="3422" w:type="dxa"/>
                        <w:tcBorders>
                          <w:top w:val="single" w:sz="4" w:space="0" w:color="000000"/>
                          <w:left w:val="single" w:sz="4" w:space="0" w:color="000000"/>
                          <w:bottom w:val="single" w:sz="4" w:space="0" w:color="000000"/>
                          <w:right w:val="single" w:sz="4" w:space="0" w:color="000000"/>
                        </w:tcBorders>
                      </w:tcPr>
                      <w:p>
                        <w:pPr>
                          <w:pStyle w:val="TableParagraph"/>
                          <w:spacing w:line="202" w:lineRule="exact"/>
                          <w:ind w:left="301" w:right="300"/>
                          <w:jc w:val="center"/>
                          <w:rPr>
                            <w:sz w:val="18"/>
                          </w:rPr>
                        </w:pPr>
                        <w:r>
                          <w:rPr>
                            <w:sz w:val="18"/>
                          </w:rPr>
                          <w:t>Twist of the wrist (1-2)</w:t>
                        </w:r>
                      </w:p>
                    </w:tc>
                    <w:tc>
                      <w:tcPr>
                        <w:tcW w:w="988" w:type="dxa"/>
                        <w:tcBorders>
                          <w:top w:val="single" w:sz="4" w:space="0" w:color="000000"/>
                          <w:left w:val="single" w:sz="4" w:space="0" w:color="000000"/>
                          <w:bottom w:val="single" w:sz="4" w:space="0" w:color="000000"/>
                          <w:right w:val="single" w:sz="4" w:space="0" w:color="000000"/>
                        </w:tcBorders>
                      </w:tcPr>
                      <w:p>
                        <w:pPr>
                          <w:pStyle w:val="TableParagraph"/>
                          <w:spacing w:line="202" w:lineRule="exact"/>
                          <w:jc w:val="center"/>
                          <w:rPr>
                            <w:sz w:val="18"/>
                          </w:rPr>
                        </w:pPr>
                        <w:r>
                          <w:rPr>
                            <w:sz w:val="18"/>
                          </w:rPr>
                          <w:t>1</w:t>
                        </w:r>
                      </w:p>
                    </w:tc>
                  </w:tr>
                  <w:tr>
                    <w:trPr>
                      <w:trHeight w:val="478" w:hRule="exact"/>
                    </w:trPr>
                    <w:tc>
                      <w:tcPr>
                        <w:tcW w:w="342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301" w:right="301"/>
                          <w:jc w:val="center"/>
                          <w:rPr>
                            <w:sz w:val="18"/>
                          </w:rPr>
                        </w:pPr>
                        <w:r>
                          <w:rPr>
                            <w:sz w:val="18"/>
                          </w:rPr>
                          <w:t>Score the type of muscle activity (0-1)</w:t>
                        </w:r>
                      </w:p>
                    </w:tc>
                    <w:tc>
                      <w:tcPr>
                        <w:tcW w:w="988"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2"/>
                          <w:jc w:val="center"/>
                          <w:rPr>
                            <w:sz w:val="18"/>
                          </w:rPr>
                        </w:pPr>
                        <w:r>
                          <w:rPr>
                            <w:sz w:val="18"/>
                          </w:rPr>
                          <w:t>1</w:t>
                        </w:r>
                      </w:p>
                    </w:tc>
                  </w:tr>
                  <w:tr>
                    <w:trPr>
                      <w:trHeight w:val="217" w:hRule="exact"/>
                    </w:trPr>
                    <w:tc>
                      <w:tcPr>
                        <w:tcW w:w="3422" w:type="dxa"/>
                        <w:tcBorders>
                          <w:top w:val="single" w:sz="4" w:space="0" w:color="000000"/>
                          <w:left w:val="single" w:sz="4" w:space="0" w:color="000000"/>
                          <w:bottom w:val="single" w:sz="4" w:space="0" w:color="000000"/>
                          <w:right w:val="single" w:sz="4" w:space="0" w:color="000000"/>
                        </w:tcBorders>
                      </w:tcPr>
                      <w:p>
                        <w:pPr>
                          <w:pStyle w:val="TableParagraph"/>
                          <w:spacing w:line="202" w:lineRule="exact"/>
                          <w:ind w:left="301" w:right="301"/>
                          <w:jc w:val="center"/>
                          <w:rPr>
                            <w:sz w:val="18"/>
                          </w:rPr>
                        </w:pPr>
                        <w:r>
                          <w:rPr>
                            <w:sz w:val="18"/>
                          </w:rPr>
                          <w:t>Rating force / load (0-3)</w:t>
                        </w:r>
                      </w:p>
                    </w:tc>
                    <w:tc>
                      <w:tcPr>
                        <w:tcW w:w="988" w:type="dxa"/>
                        <w:tcBorders>
                          <w:top w:val="single" w:sz="4" w:space="0" w:color="000000"/>
                          <w:left w:val="single" w:sz="4" w:space="0" w:color="000000"/>
                          <w:bottom w:val="single" w:sz="4" w:space="0" w:color="000000"/>
                          <w:right w:val="single" w:sz="4" w:space="0" w:color="000000"/>
                        </w:tcBorders>
                      </w:tcPr>
                      <w:p>
                        <w:pPr>
                          <w:pStyle w:val="TableParagraph"/>
                          <w:spacing w:line="202" w:lineRule="exact"/>
                          <w:ind w:right="1"/>
                          <w:jc w:val="center"/>
                          <w:rPr>
                            <w:sz w:val="18"/>
                          </w:rPr>
                        </w:pPr>
                        <w:r>
                          <w:rPr>
                            <w:sz w:val="18"/>
                          </w:rPr>
                          <w:t>0</w:t>
                        </w:r>
                      </w:p>
                    </w:tc>
                  </w:tr>
                </w:tbl>
                <w:p>
                  <w:pPr>
                    <w:pStyle w:val="BodyText"/>
                  </w:pPr>
                </w:p>
              </w:txbxContent>
            </v:textbox>
            <w10:wrap type="none"/>
          </v:shape>
        </w:pict>
      </w:r>
      <w:r>
        <w:rPr/>
        <w:pict>
          <v:shape style="position:absolute;margin-left:61.619999pt;margin-top:-71.92765pt;width:206.35pt;height:112.45pt;mso-position-horizontal-relative:page;mso-position-vertical-relative:paragraph;z-index:781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43"/>
                    <w:gridCol w:w="2168"/>
                  </w:tblGrid>
                  <w:tr>
                    <w:trPr>
                      <w:trHeight w:val="458" w:hRule="exact"/>
                    </w:trPr>
                    <w:tc>
                      <w:tcPr>
                        <w:tcW w:w="1943" w:type="dxa"/>
                        <w:tcBorders>
                          <w:top w:val="single" w:sz="6" w:space="0" w:color="FFFFFF"/>
                          <w:bottom w:val="single" w:sz="29" w:space="0" w:color="FFFFFF"/>
                          <w:right w:val="single" w:sz="24" w:space="0" w:color="FFFFFF"/>
                        </w:tcBorders>
                        <w:shd w:val="clear" w:color="auto" w:fill="DDDDDD"/>
                      </w:tcPr>
                      <w:p>
                        <w:pPr>
                          <w:pStyle w:val="TableParagraph"/>
                          <w:spacing w:before="98"/>
                          <w:ind w:right="31"/>
                          <w:jc w:val="center"/>
                          <w:rPr>
                            <w:sz w:val="18"/>
                          </w:rPr>
                        </w:pPr>
                        <w:r>
                          <w:rPr>
                            <w:sz w:val="18"/>
                          </w:rPr>
                          <w:t>1</w:t>
                        </w:r>
                      </w:p>
                    </w:tc>
                    <w:tc>
                      <w:tcPr>
                        <w:tcW w:w="2168" w:type="dxa"/>
                        <w:tcBorders>
                          <w:top w:val="single" w:sz="6" w:space="0" w:color="FFFFFF"/>
                          <w:left w:val="single" w:sz="24" w:space="0" w:color="FFFFFF"/>
                          <w:bottom w:val="single" w:sz="29" w:space="0" w:color="FFFFFF"/>
                        </w:tcBorders>
                        <w:shd w:val="clear" w:color="auto" w:fill="DDDDDD"/>
                      </w:tcPr>
                      <w:p>
                        <w:pPr>
                          <w:pStyle w:val="TableParagraph"/>
                          <w:ind w:left="499" w:right="165" w:hanging="346"/>
                          <w:rPr>
                            <w:sz w:val="18"/>
                          </w:rPr>
                        </w:pPr>
                        <w:r>
                          <w:rPr>
                            <w:sz w:val="18"/>
                          </w:rPr>
                          <w:t>Sitting with feet and legs well supported.</w:t>
                        </w:r>
                      </w:p>
                    </w:tc>
                  </w:tr>
                  <w:tr>
                    <w:trPr>
                      <w:trHeight w:val="902" w:hRule="exact"/>
                    </w:trPr>
                    <w:tc>
                      <w:tcPr>
                        <w:tcW w:w="1943" w:type="dxa"/>
                        <w:tcBorders>
                          <w:top w:val="single" w:sz="29" w:space="0" w:color="FFFFFF"/>
                          <w:bottom w:val="single" w:sz="30" w:space="0" w:color="FFFFFF"/>
                          <w:right w:val="single" w:sz="24" w:space="0" w:color="FFFFFF"/>
                        </w:tcBorders>
                        <w:shd w:val="clear" w:color="auto" w:fill="DDDDDD"/>
                      </w:tcPr>
                      <w:p>
                        <w:pPr>
                          <w:pStyle w:val="TableParagraph"/>
                          <w:spacing w:before="6"/>
                          <w:rPr>
                            <w:sz w:val="26"/>
                          </w:rPr>
                        </w:pPr>
                      </w:p>
                      <w:p>
                        <w:pPr>
                          <w:pStyle w:val="TableParagraph"/>
                          <w:spacing w:before="1"/>
                          <w:ind w:right="29"/>
                          <w:jc w:val="center"/>
                          <w:rPr>
                            <w:sz w:val="18"/>
                          </w:rPr>
                        </w:pPr>
                        <w:r>
                          <w:rPr>
                            <w:sz w:val="18"/>
                          </w:rPr>
                          <w:t>1</w:t>
                        </w:r>
                      </w:p>
                    </w:tc>
                    <w:tc>
                      <w:tcPr>
                        <w:tcW w:w="2168" w:type="dxa"/>
                        <w:tcBorders>
                          <w:top w:val="single" w:sz="29" w:space="0" w:color="FFFFFF"/>
                          <w:left w:val="single" w:sz="24" w:space="0" w:color="FFFFFF"/>
                          <w:bottom w:val="single" w:sz="30" w:space="0" w:color="FFFFFF"/>
                        </w:tcBorders>
                        <w:shd w:val="clear" w:color="auto" w:fill="DDDDDD"/>
                      </w:tcPr>
                      <w:p>
                        <w:pPr>
                          <w:pStyle w:val="TableParagraph"/>
                          <w:ind w:left="130" w:right="159" w:firstLine="1"/>
                          <w:jc w:val="center"/>
                          <w:rPr>
                            <w:sz w:val="18"/>
                          </w:rPr>
                        </w:pPr>
                        <w:r>
                          <w:rPr>
                            <w:sz w:val="18"/>
                          </w:rPr>
                          <w:t>Standing with the weight distributed symmetrically and space to change position.</w:t>
                        </w:r>
                      </w:p>
                    </w:tc>
                  </w:tr>
                  <w:tr>
                    <w:trPr>
                      <w:trHeight w:val="873" w:hRule="exact"/>
                    </w:trPr>
                    <w:tc>
                      <w:tcPr>
                        <w:tcW w:w="1943" w:type="dxa"/>
                        <w:tcBorders>
                          <w:top w:val="single" w:sz="30" w:space="0" w:color="FFFFFF"/>
                          <w:bottom w:val="single" w:sz="6" w:space="0" w:color="FFFFFF"/>
                          <w:right w:val="single" w:sz="24" w:space="0" w:color="FFFFFF"/>
                        </w:tcBorders>
                        <w:shd w:val="clear" w:color="auto" w:fill="DDDDDD"/>
                      </w:tcPr>
                      <w:p>
                        <w:pPr>
                          <w:pStyle w:val="TableParagraph"/>
                          <w:spacing w:before="6"/>
                          <w:rPr>
                            <w:sz w:val="26"/>
                          </w:rPr>
                        </w:pPr>
                      </w:p>
                      <w:p>
                        <w:pPr>
                          <w:pStyle w:val="TableParagraph"/>
                          <w:spacing w:before="1"/>
                          <w:ind w:right="29"/>
                          <w:jc w:val="center"/>
                          <w:rPr>
                            <w:sz w:val="18"/>
                          </w:rPr>
                        </w:pPr>
                        <w:r>
                          <w:rPr>
                            <w:sz w:val="18"/>
                          </w:rPr>
                          <w:t>2</w:t>
                        </w:r>
                      </w:p>
                    </w:tc>
                    <w:tc>
                      <w:tcPr>
                        <w:tcW w:w="2168" w:type="dxa"/>
                        <w:tcBorders>
                          <w:top w:val="single" w:sz="30" w:space="0" w:color="FFFFFF"/>
                          <w:left w:val="single" w:sz="24" w:space="0" w:color="FFFFFF"/>
                          <w:bottom w:val="single" w:sz="6" w:space="0" w:color="FFFFFF"/>
                        </w:tcBorders>
                        <w:shd w:val="clear" w:color="auto" w:fill="DDDDDD"/>
                      </w:tcPr>
                      <w:p>
                        <w:pPr>
                          <w:pStyle w:val="TableParagraph"/>
                          <w:ind w:left="19" w:right="47" w:hanging="2"/>
                          <w:jc w:val="center"/>
                          <w:rPr>
                            <w:sz w:val="18"/>
                          </w:rPr>
                        </w:pPr>
                        <w:r>
                          <w:rPr>
                            <w:sz w:val="18"/>
                          </w:rPr>
                          <w:t>If your feet are not supported, or if the weight is not distributed symmetrically.</w:t>
                        </w:r>
                      </w:p>
                    </w:tc>
                  </w:tr>
                </w:tbl>
                <w:p>
                  <w:pPr>
                    <w:pStyle w:val="BodyText"/>
                  </w:pPr>
                </w:p>
              </w:txbxContent>
            </v:textbox>
            <w10:wrap type="none"/>
          </v:shape>
        </w:pict>
      </w:r>
      <w:r>
        <w:rPr>
          <w:sz w:val="18"/>
        </w:rPr>
        <w:t>Table 13. Score group A.</w:t>
      </w:r>
    </w:p>
    <w:p>
      <w:pPr>
        <w:pStyle w:val="BodyText"/>
      </w:pPr>
    </w:p>
    <w:p>
      <w:pPr>
        <w:pStyle w:val="BodyText"/>
        <w:spacing w:before="7"/>
        <w:rPr>
          <w:sz w:val="27"/>
        </w:rPr>
      </w:pPr>
    </w:p>
    <w:p>
      <w:pPr>
        <w:spacing w:before="77"/>
        <w:ind w:left="270" w:right="6276" w:firstLine="1695"/>
        <w:jc w:val="left"/>
        <w:rPr>
          <w:sz w:val="18"/>
        </w:rPr>
      </w:pPr>
      <w:r>
        <w:rPr/>
        <w:pict>
          <v:shape style="position:absolute;margin-left:333.299988pt;margin-top:-5.987665pt;width:223pt;height:154.450pt;mso-position-horizontal-relative:page;mso-position-vertical-relative:paragraph;z-index:784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436"/>
                    <w:gridCol w:w="1009"/>
                  </w:tblGrid>
                  <w:tr>
                    <w:trPr>
                      <w:trHeight w:val="487" w:hRule="exact"/>
                    </w:trPr>
                    <w:tc>
                      <w:tcPr>
                        <w:tcW w:w="4445" w:type="dxa"/>
                        <w:gridSpan w:val="2"/>
                        <w:shd w:val="clear" w:color="auto" w:fill="000000"/>
                      </w:tcPr>
                      <w:p>
                        <w:pPr>
                          <w:pStyle w:val="TableParagraph"/>
                          <w:tabs>
                            <w:tab w:pos="3724" w:val="left" w:leader="none"/>
                          </w:tabs>
                          <w:ind w:left="1310"/>
                          <w:rPr>
                            <w:b/>
                            <w:sz w:val="18"/>
                          </w:rPr>
                        </w:pPr>
                        <w:r>
                          <w:rPr>
                            <w:b/>
                            <w:color w:val="FFFFFF"/>
                            <w:sz w:val="18"/>
                          </w:rPr>
                          <w:t>GROUP B</w:t>
                          <w:tab/>
                          <w:t>Score</w:t>
                        </w:r>
                      </w:p>
                    </w:tc>
                  </w:tr>
                  <w:tr>
                    <w:trPr>
                      <w:trHeight w:val="528" w:hRule="exact"/>
                    </w:trPr>
                    <w:tc>
                      <w:tcPr>
                        <w:tcW w:w="3436" w:type="dxa"/>
                        <w:tcBorders>
                          <w:left w:val="single" w:sz="4" w:space="0" w:color="000000"/>
                          <w:bottom w:val="single" w:sz="4" w:space="0" w:color="000000"/>
                          <w:right w:val="single" w:sz="4" w:space="0" w:color="000000"/>
                        </w:tcBorders>
                      </w:tcPr>
                      <w:p>
                        <w:pPr>
                          <w:pStyle w:val="TableParagraph"/>
                          <w:spacing w:before="4"/>
                          <w:ind w:left="307" w:right="307"/>
                          <w:jc w:val="center"/>
                          <w:rPr>
                            <w:sz w:val="18"/>
                          </w:rPr>
                        </w:pPr>
                        <w:r>
                          <w:rPr>
                            <w:sz w:val="18"/>
                          </w:rPr>
                          <w:t>Neck (1-6)</w:t>
                        </w:r>
                      </w:p>
                    </w:tc>
                    <w:tc>
                      <w:tcPr>
                        <w:tcW w:w="1009" w:type="dxa"/>
                        <w:tcBorders>
                          <w:left w:val="single" w:sz="4" w:space="0" w:color="000000"/>
                          <w:bottom w:val="single" w:sz="4" w:space="0" w:color="000000"/>
                          <w:right w:val="single" w:sz="4" w:space="0" w:color="000000"/>
                        </w:tcBorders>
                      </w:tcPr>
                      <w:p>
                        <w:pPr>
                          <w:pStyle w:val="TableParagraph"/>
                          <w:spacing w:before="4"/>
                          <w:jc w:val="center"/>
                          <w:rPr>
                            <w:sz w:val="18"/>
                          </w:rPr>
                        </w:pPr>
                        <w:r>
                          <w:rPr>
                            <w:sz w:val="18"/>
                          </w:rPr>
                          <w:t>4</w:t>
                        </w:r>
                      </w:p>
                    </w:tc>
                  </w:tr>
                  <w:tr>
                    <w:trPr>
                      <w:trHeight w:val="524" w:hRule="exact"/>
                    </w:trPr>
                    <w:tc>
                      <w:tcPr>
                        <w:tcW w:w="343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307" w:right="307"/>
                          <w:jc w:val="center"/>
                          <w:rPr>
                            <w:sz w:val="18"/>
                          </w:rPr>
                        </w:pPr>
                        <w:r>
                          <w:rPr>
                            <w:sz w:val="18"/>
                          </w:rPr>
                          <w:t>Trunk (1-6)</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jc w:val="center"/>
                          <w:rPr>
                            <w:sz w:val="18"/>
                          </w:rPr>
                        </w:pPr>
                        <w:r>
                          <w:rPr>
                            <w:sz w:val="18"/>
                          </w:rPr>
                          <w:t>3</w:t>
                        </w:r>
                      </w:p>
                    </w:tc>
                  </w:tr>
                  <w:tr>
                    <w:trPr>
                      <w:trHeight w:val="524" w:hRule="exact"/>
                    </w:trPr>
                    <w:tc>
                      <w:tcPr>
                        <w:tcW w:w="3436" w:type="dxa"/>
                        <w:tcBorders>
                          <w:top w:val="single" w:sz="4" w:space="0" w:color="000000"/>
                          <w:left w:val="single" w:sz="4" w:space="0" w:color="000000"/>
                          <w:bottom w:val="single" w:sz="4" w:space="0" w:color="000000"/>
                          <w:right w:val="single" w:sz="4" w:space="0" w:color="000000"/>
                        </w:tcBorders>
                      </w:tcPr>
                      <w:p>
                        <w:pPr>
                          <w:pStyle w:val="TableParagraph"/>
                          <w:spacing w:line="202" w:lineRule="exact"/>
                          <w:ind w:left="308" w:right="307"/>
                          <w:jc w:val="center"/>
                          <w:rPr>
                            <w:sz w:val="18"/>
                          </w:rPr>
                        </w:pPr>
                        <w:r>
                          <w:rPr>
                            <w:sz w:val="18"/>
                          </w:rPr>
                          <w:t>Legs (1-2)</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spacing w:line="202" w:lineRule="exact"/>
                          <w:jc w:val="center"/>
                          <w:rPr>
                            <w:sz w:val="18"/>
                          </w:rPr>
                        </w:pPr>
                        <w:r>
                          <w:rPr>
                            <w:sz w:val="18"/>
                          </w:rPr>
                          <w:t>2</w:t>
                        </w:r>
                      </w:p>
                    </w:tc>
                  </w:tr>
                  <w:tr>
                    <w:trPr>
                      <w:trHeight w:val="496" w:hRule="exact"/>
                    </w:trPr>
                    <w:tc>
                      <w:tcPr>
                        <w:tcW w:w="3436" w:type="dxa"/>
                        <w:tcBorders>
                          <w:top w:val="single" w:sz="4" w:space="0" w:color="000000"/>
                          <w:left w:val="single" w:sz="4" w:space="0" w:color="000000"/>
                          <w:bottom w:val="single" w:sz="4" w:space="0" w:color="000000"/>
                          <w:right w:val="single" w:sz="4" w:space="0" w:color="000000"/>
                        </w:tcBorders>
                      </w:tcPr>
                      <w:p>
                        <w:pPr>
                          <w:pStyle w:val="TableParagraph"/>
                          <w:spacing w:line="202" w:lineRule="exact"/>
                          <w:ind w:left="308" w:right="307"/>
                          <w:jc w:val="center"/>
                          <w:rPr>
                            <w:sz w:val="18"/>
                          </w:rPr>
                        </w:pPr>
                        <w:r>
                          <w:rPr>
                            <w:sz w:val="18"/>
                          </w:rPr>
                          <w:t>Score the type of muscle activity (0-1)</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spacing w:line="202" w:lineRule="exact"/>
                          <w:ind w:left="2"/>
                          <w:jc w:val="center"/>
                          <w:rPr>
                            <w:sz w:val="18"/>
                          </w:rPr>
                        </w:pPr>
                        <w:r>
                          <w:rPr>
                            <w:sz w:val="18"/>
                          </w:rPr>
                          <w:t>1</w:t>
                        </w:r>
                      </w:p>
                    </w:tc>
                  </w:tr>
                  <w:tr>
                    <w:trPr>
                      <w:trHeight w:val="524" w:hRule="exact"/>
                    </w:trPr>
                    <w:tc>
                      <w:tcPr>
                        <w:tcW w:w="3436" w:type="dxa"/>
                        <w:tcBorders>
                          <w:top w:val="single" w:sz="4" w:space="0" w:color="000000"/>
                          <w:left w:val="single" w:sz="4" w:space="0" w:color="000000"/>
                          <w:bottom w:val="single" w:sz="4" w:space="0" w:color="000000"/>
                          <w:right w:val="single" w:sz="4" w:space="0" w:color="000000"/>
                        </w:tcBorders>
                      </w:tcPr>
                      <w:p>
                        <w:pPr>
                          <w:pStyle w:val="TableParagraph"/>
                          <w:spacing w:line="202" w:lineRule="exact"/>
                          <w:ind w:left="307" w:right="307"/>
                          <w:jc w:val="center"/>
                          <w:rPr>
                            <w:sz w:val="18"/>
                          </w:rPr>
                        </w:pPr>
                        <w:r>
                          <w:rPr>
                            <w:sz w:val="18"/>
                          </w:rPr>
                          <w:t>Rating force / load (0-3)</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spacing w:line="202" w:lineRule="exact"/>
                          <w:ind w:right="1"/>
                          <w:jc w:val="center"/>
                          <w:rPr>
                            <w:sz w:val="18"/>
                          </w:rPr>
                        </w:pPr>
                        <w:r>
                          <w:rPr>
                            <w:sz w:val="18"/>
                          </w:rPr>
                          <w:t>0</w:t>
                        </w:r>
                      </w:p>
                    </w:tc>
                  </w:tr>
                </w:tbl>
                <w:p>
                  <w:pPr>
                    <w:pStyle w:val="BodyText"/>
                  </w:pPr>
                </w:p>
              </w:txbxContent>
            </v:textbox>
            <w10:wrap type="none"/>
          </v:shape>
        </w:pict>
      </w:r>
      <w:r>
        <w:rPr>
          <w:sz w:val="18"/>
        </w:rPr>
        <w:t>Table 12. Legs score</w:t>
      </w:r>
    </w:p>
    <w:p>
      <w:pPr>
        <w:pStyle w:val="BodyText"/>
        <w:rPr>
          <w:sz w:val="18"/>
        </w:rPr>
      </w:pPr>
    </w:p>
    <w:p>
      <w:pPr>
        <w:pStyle w:val="BodyText"/>
        <w:spacing w:before="10"/>
      </w:pPr>
    </w:p>
    <w:p>
      <w:pPr>
        <w:spacing w:before="0"/>
        <w:ind w:left="270" w:right="6276" w:firstLine="0"/>
        <w:jc w:val="left"/>
        <w:rPr>
          <w:sz w:val="18"/>
        </w:rPr>
      </w:pPr>
      <w:r>
        <w:rPr>
          <w:sz w:val="18"/>
        </w:rPr>
        <w:t>Some of the pictures of operator workspace.</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6"/>
        <w:rPr>
          <w:sz w:val="29"/>
        </w:rPr>
      </w:pPr>
    </w:p>
    <w:p>
      <w:pPr>
        <w:spacing w:line="480" w:lineRule="auto" w:before="77"/>
        <w:ind w:left="5868" w:right="1917" w:firstLine="1539"/>
        <w:jc w:val="left"/>
        <w:rPr>
          <w:b/>
          <w:sz w:val="18"/>
        </w:rPr>
      </w:pPr>
      <w:r>
        <w:rPr/>
        <w:pict>
          <v:group style="position:absolute;margin-left:52.68pt;margin-top:-86.867653pt;width:224.3pt;height:167.3pt;mso-position-horizontal-relative:page;mso-position-vertical-relative:paragraph;z-index:7768" coordorigin="1054,-1737" coordsize="4486,3346">
            <v:shape style="position:absolute;left:1054;top:-1737;width:2226;height:3346" type="#_x0000_t75" stroked="false">
              <v:imagedata r:id="rId234" o:title=""/>
            </v:shape>
            <v:shape style="position:absolute;left:3322;top:-1735;width:2217;height:3343" type="#_x0000_t75" stroked="false">
              <v:imagedata r:id="rId235" o:title=""/>
            </v:shape>
            <w10:wrap type="none"/>
          </v:group>
        </w:pict>
      </w:r>
      <w:r>
        <w:rPr>
          <w:sz w:val="18"/>
        </w:rPr>
        <w:t>Table 14. Score group B. Levels of risk and performance by RULA System: Final score RULA (1-7): </w:t>
      </w:r>
      <w:r>
        <w:rPr>
          <w:b/>
          <w:sz w:val="18"/>
        </w:rPr>
        <w:t>7</w:t>
      </w:r>
    </w:p>
    <w:p>
      <w:pPr>
        <w:spacing w:before="7"/>
        <w:ind w:left="5848" w:right="4040" w:firstLine="0"/>
        <w:jc w:val="center"/>
        <w:rPr>
          <w:b/>
          <w:sz w:val="18"/>
        </w:rPr>
      </w:pPr>
      <w:r>
        <w:rPr>
          <w:sz w:val="18"/>
        </w:rPr>
        <w:t>Level of risk (1-4): </w:t>
      </w:r>
      <w:r>
        <w:rPr>
          <w:b/>
          <w:sz w:val="18"/>
        </w:rPr>
        <w:t>4</w:t>
      </w:r>
    </w:p>
    <w:p>
      <w:pPr>
        <w:pStyle w:val="BodyText"/>
        <w:rPr>
          <w:b/>
          <w:sz w:val="18"/>
        </w:rPr>
      </w:pPr>
    </w:p>
    <w:p>
      <w:pPr>
        <w:spacing w:before="0"/>
        <w:ind w:left="5868" w:right="679" w:firstLine="0"/>
        <w:jc w:val="both"/>
        <w:rPr>
          <w:sz w:val="18"/>
        </w:rPr>
      </w:pPr>
      <w:r>
        <w:rPr>
          <w:sz w:val="18"/>
        </w:rPr>
        <w:t>This activity takes place indefinitely during a working day of eight hours, divided into two shifts of four hours. The results obtained using  a  preset  software  generates  a  Performance  Level  4.  This</w:t>
      </w:r>
    </w:p>
    <w:p>
      <w:pPr>
        <w:spacing w:after="0"/>
        <w:jc w:val="both"/>
        <w:rPr>
          <w:sz w:val="18"/>
        </w:rPr>
        <w:sectPr>
          <w:type w:val="continuous"/>
          <w:pgSz w:w="12240" w:h="15840"/>
          <w:pgMar w:top="1500" w:bottom="280" w:left="580" w:right="220"/>
        </w:sectPr>
      </w:pPr>
    </w:p>
    <w:p>
      <w:pPr>
        <w:pStyle w:val="BodyText"/>
        <w:rPr>
          <w:sz w:val="11"/>
        </w:rPr>
      </w:pPr>
    </w:p>
    <w:p>
      <w:pPr>
        <w:spacing w:before="77"/>
        <w:ind w:left="270" w:right="6276" w:firstLine="0"/>
        <w:jc w:val="left"/>
        <w:rPr>
          <w:sz w:val="18"/>
        </w:rPr>
      </w:pPr>
      <w:r>
        <w:rPr>
          <w:sz w:val="18"/>
        </w:rPr>
        <w:t>means that it is immediately necessary changes in the design of the task and / or job.</w:t>
      </w:r>
    </w:p>
    <w:p>
      <w:pPr>
        <w:pStyle w:val="BodyText"/>
        <w:rPr>
          <w:sz w:val="18"/>
        </w:rPr>
      </w:pPr>
    </w:p>
    <w:p>
      <w:pPr>
        <w:spacing w:before="0"/>
        <w:ind w:left="270" w:right="6276" w:firstLine="0"/>
        <w:jc w:val="left"/>
        <w:rPr>
          <w:b/>
          <w:sz w:val="18"/>
        </w:rPr>
      </w:pPr>
      <w:r>
        <w:rPr>
          <w:sz w:val="18"/>
        </w:rPr>
        <w:t>Actions: </w:t>
      </w:r>
      <w:r>
        <w:rPr>
          <w:b/>
          <w:sz w:val="18"/>
        </w:rPr>
        <w:t>Analysis and changes required immediately</w:t>
      </w:r>
    </w:p>
    <w:p>
      <w:pPr>
        <w:pStyle w:val="BodyText"/>
        <w:rPr>
          <w:b/>
          <w:sz w:val="18"/>
        </w:rPr>
      </w:pPr>
    </w:p>
    <w:p>
      <w:pPr>
        <w:pStyle w:val="BodyText"/>
        <w:spacing w:before="4"/>
        <w:rPr>
          <w:b/>
          <w:sz w:val="18"/>
        </w:rPr>
      </w:pPr>
    </w:p>
    <w:p>
      <w:pPr>
        <w:pStyle w:val="ListParagraph"/>
        <w:numPr>
          <w:ilvl w:val="0"/>
          <w:numId w:val="63"/>
        </w:numPr>
        <w:tabs>
          <w:tab w:pos="452" w:val="left" w:leader="none"/>
        </w:tabs>
        <w:spacing w:line="240" w:lineRule="auto" w:before="0" w:after="0"/>
        <w:ind w:left="451" w:right="0" w:hanging="181"/>
        <w:jc w:val="left"/>
        <w:rPr>
          <w:b/>
          <w:sz w:val="18"/>
        </w:rPr>
      </w:pPr>
      <w:r>
        <w:rPr>
          <w:b/>
          <w:sz w:val="18"/>
        </w:rPr>
        <w:t>CONCLUSIONS:</w:t>
      </w:r>
    </w:p>
    <w:p>
      <w:pPr>
        <w:pStyle w:val="BodyText"/>
        <w:spacing w:before="7"/>
        <w:rPr>
          <w:b/>
          <w:sz w:val="17"/>
        </w:rPr>
      </w:pPr>
    </w:p>
    <w:p>
      <w:pPr>
        <w:spacing w:before="1"/>
        <w:ind w:left="270" w:right="6276" w:firstLine="0"/>
        <w:jc w:val="left"/>
        <w:rPr>
          <w:sz w:val="18"/>
        </w:rPr>
      </w:pPr>
      <w:r>
        <w:rPr>
          <w:sz w:val="18"/>
        </w:rPr>
        <w:t>The job and the position adopted by the operator, was really affecting its productivity.</w:t>
      </w:r>
    </w:p>
    <w:p>
      <w:pPr>
        <w:pStyle w:val="BodyText"/>
        <w:rPr>
          <w:sz w:val="18"/>
        </w:rPr>
      </w:pPr>
    </w:p>
    <w:p>
      <w:pPr>
        <w:spacing w:before="0"/>
        <w:ind w:left="270" w:right="6275" w:firstLine="134"/>
        <w:jc w:val="both"/>
        <w:rPr>
          <w:sz w:val="18"/>
        </w:rPr>
      </w:pPr>
      <w:r>
        <w:rPr>
          <w:sz w:val="18"/>
        </w:rPr>
        <w:t>An urgent change in the design area or place of work is needed to perform the activities in an efficient manner and that this will be reflected in operator productivity, preventing fatigue, injuries, downtime, unnecessary burdens and poor posture.</w:t>
      </w:r>
    </w:p>
    <w:p>
      <w:pPr>
        <w:pStyle w:val="BodyText"/>
        <w:rPr>
          <w:sz w:val="18"/>
        </w:rPr>
      </w:pPr>
    </w:p>
    <w:p>
      <w:pPr>
        <w:spacing w:before="0"/>
        <w:ind w:left="270" w:right="6274" w:firstLine="133"/>
        <w:jc w:val="both"/>
        <w:rPr>
          <w:sz w:val="18"/>
        </w:rPr>
      </w:pPr>
      <w:r>
        <w:rPr>
          <w:sz w:val="18"/>
        </w:rPr>
        <w:t>This method is extremely important because it allows us to identify if you really have the appropriate ergonomic conditions for carrying out any work.</w:t>
      </w:r>
    </w:p>
    <w:p>
      <w:pPr>
        <w:pStyle w:val="BodyText"/>
        <w:spacing w:before="3"/>
        <w:rPr>
          <w:sz w:val="18"/>
        </w:rPr>
      </w:pPr>
    </w:p>
    <w:p>
      <w:pPr>
        <w:pStyle w:val="ListParagraph"/>
        <w:numPr>
          <w:ilvl w:val="1"/>
          <w:numId w:val="63"/>
        </w:numPr>
        <w:tabs>
          <w:tab w:pos="542" w:val="left" w:leader="none"/>
        </w:tabs>
        <w:spacing w:line="240" w:lineRule="auto" w:before="0" w:after="0"/>
        <w:ind w:left="541" w:right="0" w:hanging="271"/>
        <w:jc w:val="left"/>
        <w:rPr>
          <w:b/>
          <w:sz w:val="18"/>
        </w:rPr>
      </w:pPr>
      <w:r>
        <w:rPr>
          <w:b/>
          <w:sz w:val="18"/>
        </w:rPr>
        <w:t>Contribution to</w:t>
      </w:r>
      <w:r>
        <w:rPr>
          <w:b/>
          <w:spacing w:val="-4"/>
          <w:sz w:val="18"/>
        </w:rPr>
        <w:t> </w:t>
      </w:r>
      <w:r>
        <w:rPr>
          <w:b/>
          <w:sz w:val="18"/>
        </w:rPr>
        <w:t>ergonomics:</w:t>
      </w:r>
    </w:p>
    <w:p>
      <w:pPr>
        <w:pStyle w:val="BodyText"/>
        <w:spacing w:before="7"/>
        <w:rPr>
          <w:b/>
          <w:sz w:val="17"/>
        </w:rPr>
      </w:pPr>
    </w:p>
    <w:p>
      <w:pPr>
        <w:spacing w:before="1"/>
        <w:ind w:left="270" w:right="6273" w:firstLine="0"/>
        <w:jc w:val="both"/>
        <w:rPr>
          <w:sz w:val="18"/>
        </w:rPr>
      </w:pPr>
      <w:r>
        <w:rPr>
          <w:sz w:val="18"/>
        </w:rPr>
        <w:t>In the previous study, you can see a not very common job that has many areas of opportunity where you can make an ergonomic assessment to establish new strategies and ways of working or even better, new tools or machinery that support in carrying out the activities of companies such as industrial development  lens rotation.</w:t>
      </w:r>
    </w:p>
    <w:p>
      <w:pPr>
        <w:pStyle w:val="BodyText"/>
        <w:spacing w:before="3"/>
        <w:rPr>
          <w:sz w:val="18"/>
        </w:rPr>
      </w:pPr>
    </w:p>
    <w:p>
      <w:pPr>
        <w:spacing w:before="0"/>
        <w:ind w:left="270" w:right="6276" w:firstLine="0"/>
        <w:jc w:val="left"/>
        <w:rPr>
          <w:b/>
          <w:sz w:val="18"/>
        </w:rPr>
      </w:pPr>
      <w:r>
        <w:rPr>
          <w:b/>
          <w:sz w:val="18"/>
        </w:rPr>
        <w:t>REFERENCES</w:t>
      </w:r>
    </w:p>
    <w:p>
      <w:pPr>
        <w:pStyle w:val="BodyText"/>
        <w:spacing w:before="7"/>
        <w:rPr>
          <w:b/>
          <w:sz w:val="17"/>
        </w:rPr>
      </w:pPr>
    </w:p>
    <w:p>
      <w:pPr>
        <w:spacing w:before="1"/>
        <w:ind w:left="990" w:right="6276" w:hanging="720"/>
        <w:jc w:val="both"/>
        <w:rPr>
          <w:sz w:val="18"/>
        </w:rPr>
      </w:pPr>
      <w:r>
        <w:rPr>
          <w:sz w:val="18"/>
        </w:rPr>
        <w:t>Asensio-Cuesta, S., Bastante-Ceca, M. J., &amp; Diego-Más, J. A. (2012). </w:t>
      </w:r>
      <w:r>
        <w:rPr>
          <w:i/>
          <w:sz w:val="18"/>
        </w:rPr>
        <w:t>Evaluación Ergonómica de Puestos de Trabajo. </w:t>
      </w:r>
      <w:r>
        <w:rPr>
          <w:sz w:val="18"/>
        </w:rPr>
        <w:t>Madrid: Parainfo.</w:t>
      </w:r>
    </w:p>
    <w:p>
      <w:pPr>
        <w:spacing w:before="0"/>
        <w:ind w:left="990" w:right="6276" w:hanging="720"/>
        <w:jc w:val="both"/>
        <w:rPr>
          <w:sz w:val="18"/>
        </w:rPr>
      </w:pPr>
      <w:r>
        <w:rPr>
          <w:sz w:val="18"/>
        </w:rPr>
        <w:t>Barba Morán, M. C. (2007). </w:t>
      </w:r>
      <w:r>
        <w:rPr>
          <w:i/>
          <w:sz w:val="18"/>
        </w:rPr>
        <w:t>El Dictamen Pericial en Ergonomía y </w:t>
      </w:r>
      <w:r>
        <w:rPr>
          <w:i/>
          <w:sz w:val="18"/>
        </w:rPr>
        <w:t>Psicosociologia Aplicada. </w:t>
      </w:r>
      <w:r>
        <w:rPr>
          <w:sz w:val="18"/>
        </w:rPr>
        <w:t>Madrid: TEBAR, S. L.</w:t>
      </w:r>
    </w:p>
    <w:p>
      <w:pPr>
        <w:spacing w:before="0"/>
        <w:ind w:left="990" w:right="6276" w:hanging="720"/>
        <w:jc w:val="both"/>
        <w:rPr>
          <w:sz w:val="18"/>
        </w:rPr>
      </w:pPr>
      <w:r>
        <w:rPr>
          <w:sz w:val="18"/>
        </w:rPr>
        <w:t>Llaneza Álvarez, F. J. (2007). </w:t>
      </w:r>
      <w:r>
        <w:rPr>
          <w:i/>
          <w:sz w:val="18"/>
        </w:rPr>
        <w:t>Ergonomía y Psicología Aplicada: </w:t>
      </w:r>
      <w:r>
        <w:rPr>
          <w:i/>
          <w:sz w:val="18"/>
        </w:rPr>
        <w:t>Manual para la transformación del especialista. </w:t>
      </w:r>
      <w:r>
        <w:rPr>
          <w:sz w:val="18"/>
        </w:rPr>
        <w:t>Valladolid: Lex Nova.</w:t>
      </w:r>
    </w:p>
    <w:p>
      <w:pPr>
        <w:spacing w:before="0"/>
        <w:ind w:left="990" w:right="6277" w:hanging="720"/>
        <w:jc w:val="both"/>
        <w:rPr>
          <w:i/>
          <w:sz w:val="18"/>
        </w:rPr>
      </w:pPr>
      <w:r>
        <w:rPr>
          <w:sz w:val="18"/>
        </w:rPr>
        <w:t>McAtamney, L., &amp; Corlett, E. (1993). </w:t>
      </w:r>
      <w:r>
        <w:rPr>
          <w:i/>
          <w:sz w:val="18"/>
        </w:rPr>
        <w:t>RULA: A survey method for </w:t>
      </w:r>
      <w:r>
        <w:rPr>
          <w:i/>
          <w:sz w:val="18"/>
        </w:rPr>
        <w:t>the investigation of work-related upper limb disorders.</w:t>
      </w:r>
    </w:p>
    <w:p>
      <w:pPr>
        <w:spacing w:before="0"/>
        <w:ind w:left="990" w:right="6278" w:hanging="720"/>
        <w:jc w:val="both"/>
        <w:rPr>
          <w:sz w:val="18"/>
        </w:rPr>
      </w:pPr>
      <w:r>
        <w:rPr>
          <w:sz w:val="18"/>
        </w:rPr>
        <w:t>Rivas, R. R. (2007). </w:t>
      </w:r>
      <w:r>
        <w:rPr>
          <w:i/>
          <w:sz w:val="18"/>
        </w:rPr>
        <w:t>Ergonomía en el Diseño y la Producción </w:t>
      </w:r>
      <w:r>
        <w:rPr>
          <w:i/>
          <w:sz w:val="18"/>
        </w:rPr>
        <w:t>Industrial. </w:t>
      </w:r>
      <w:r>
        <w:rPr>
          <w:sz w:val="18"/>
        </w:rPr>
        <w:t>Buenos Aires: NOBUKO.</w:t>
      </w:r>
    </w:p>
    <w:p>
      <w:pPr>
        <w:spacing w:line="207" w:lineRule="exact" w:before="0"/>
        <w:ind w:left="270" w:right="1218" w:firstLine="0"/>
        <w:jc w:val="left"/>
        <w:rPr>
          <w:sz w:val="18"/>
        </w:rPr>
      </w:pPr>
      <w:r>
        <w:rPr>
          <w:sz w:val="18"/>
        </w:rPr>
        <w:t>Universidad   Católica   Andrés   Bello.   (2006).   Método   RULA.</w:t>
      </w:r>
    </w:p>
    <w:p>
      <w:pPr>
        <w:spacing w:line="207" w:lineRule="exact" w:before="0"/>
        <w:ind w:left="990" w:right="6276" w:firstLine="0"/>
        <w:jc w:val="left"/>
        <w:rPr>
          <w:sz w:val="18"/>
        </w:rPr>
      </w:pPr>
      <w:r>
        <w:rPr>
          <w:i/>
          <w:sz w:val="18"/>
        </w:rPr>
        <w:t>TEKHNE: Revista de la facultad de ingeniería</w:t>
      </w:r>
      <w:r>
        <w:rPr>
          <w:sz w:val="18"/>
        </w:rPr>
        <w:t>, 99.</w:t>
      </w:r>
    </w:p>
    <w:p>
      <w:pPr>
        <w:spacing w:after="0" w:line="207" w:lineRule="exact"/>
        <w:jc w:val="left"/>
        <w:rPr>
          <w:sz w:val="18"/>
        </w:rPr>
        <w:sectPr>
          <w:pgSz w:w="12240" w:h="15840"/>
          <w:pgMar w:header="545" w:footer="852" w:top="1060" w:bottom="1040" w:left="580" w:right="220"/>
        </w:sectPr>
      </w:pPr>
    </w:p>
    <w:p>
      <w:pPr>
        <w:pStyle w:val="BodyText"/>
        <w:rPr>
          <w:sz w:val="11"/>
        </w:rPr>
      </w:pPr>
    </w:p>
    <w:p>
      <w:pPr>
        <w:spacing w:after="0"/>
        <w:rPr>
          <w:sz w:val="11"/>
        </w:rPr>
        <w:sectPr>
          <w:pgSz w:w="12240" w:h="15840"/>
          <w:pgMar w:header="545" w:footer="852" w:top="1060" w:bottom="1040" w:left="580" w:right="220"/>
        </w:sectPr>
      </w:pPr>
    </w:p>
    <w:p>
      <w:pPr>
        <w:pStyle w:val="BodyText"/>
        <w:spacing w:before="11"/>
        <w:rPr>
          <w:sz w:val="24"/>
        </w:rPr>
      </w:pPr>
    </w:p>
    <w:p>
      <w:pPr>
        <w:pStyle w:val="Heading1"/>
        <w:ind w:right="16"/>
      </w:pPr>
      <w:r>
        <w:rPr/>
        <w:t>Project of equipment of the laboratory of anthropometry, ergonomics and biomechanics Uabc-fcqi-laeb-104</w:t>
      </w:r>
    </w:p>
    <w:p>
      <w:pPr>
        <w:pStyle w:val="BodyText"/>
        <w:spacing w:before="5"/>
        <w:rPr>
          <w:b/>
          <w:sz w:val="19"/>
        </w:rPr>
      </w:pPr>
    </w:p>
    <w:p>
      <w:pPr>
        <w:spacing w:line="211" w:lineRule="auto" w:before="0"/>
        <w:ind w:left="270" w:right="15" w:firstLine="0"/>
        <w:jc w:val="both"/>
        <w:rPr>
          <w:sz w:val="18"/>
        </w:rPr>
      </w:pPr>
      <w:r>
        <w:rPr>
          <w:sz w:val="18"/>
        </w:rPr>
        <w:t>López Ávila María Jose¹, Villaseñor Ochoa Ciara Leilani², López Barreras Juan Andres</w:t>
      </w:r>
      <w:r>
        <w:rPr>
          <w:position w:val="8"/>
          <w:sz w:val="12"/>
        </w:rPr>
        <w:t>3</w:t>
      </w:r>
      <w:r>
        <w:rPr>
          <w:sz w:val="18"/>
        </w:rPr>
        <w:t>, Olguín Tiznado Jesús Everardo</w:t>
      </w:r>
      <w:r>
        <w:rPr>
          <w:position w:val="8"/>
          <w:sz w:val="12"/>
        </w:rPr>
        <w:t>4</w:t>
      </w:r>
      <w:r>
        <w:rPr>
          <w:sz w:val="18"/>
        </w:rPr>
        <w:t>, Camargo Wilson Claudia</w:t>
      </w:r>
      <w:r>
        <w:rPr>
          <w:position w:val="8"/>
          <w:sz w:val="12"/>
        </w:rPr>
        <w:t>5</w:t>
      </w:r>
      <w:r>
        <w:rPr>
          <w:sz w:val="18"/>
        </w:rPr>
        <w:t>.</w:t>
      </w:r>
    </w:p>
    <w:p>
      <w:pPr>
        <w:pStyle w:val="BodyText"/>
        <w:spacing w:before="3"/>
        <w:rPr>
          <w:sz w:val="16"/>
        </w:rPr>
      </w:pPr>
    </w:p>
    <w:p>
      <w:pPr>
        <w:tabs>
          <w:tab w:pos="689" w:val="left" w:leader="none"/>
        </w:tabs>
        <w:spacing w:before="0"/>
        <w:ind w:left="270" w:right="17" w:firstLine="0"/>
        <w:jc w:val="both"/>
        <w:rPr>
          <w:sz w:val="18"/>
        </w:rPr>
      </w:pPr>
      <w:r>
        <w:rPr>
          <w:position w:val="8"/>
          <w:sz w:val="12"/>
        </w:rPr>
        <w:t>a</w:t>
        <w:tab/>
      </w:r>
      <w:r>
        <w:rPr>
          <w:sz w:val="18"/>
        </w:rPr>
        <w:t>Autonomous        University        of       </w:t>
      </w:r>
      <w:r>
        <w:rPr>
          <w:spacing w:val="40"/>
          <w:sz w:val="18"/>
        </w:rPr>
        <w:t> </w:t>
      </w:r>
      <w:r>
        <w:rPr>
          <w:sz w:val="18"/>
        </w:rPr>
        <w:t>Baja       </w:t>
      </w:r>
      <w:r>
        <w:rPr>
          <w:spacing w:val="13"/>
          <w:sz w:val="18"/>
        </w:rPr>
        <w:t> </w:t>
      </w:r>
      <w:r>
        <w:rPr>
          <w:sz w:val="18"/>
        </w:rPr>
        <w:t>California,</w:t>
      </w:r>
      <w:r>
        <w:rPr>
          <w:spacing w:val="-1"/>
          <w:sz w:val="18"/>
        </w:rPr>
        <w:t> </w:t>
      </w:r>
      <w:hyperlink r:id="rId236">
        <w:r>
          <w:rPr>
            <w:color w:val="0000FF"/>
            <w:sz w:val="18"/>
            <w:u w:val="single" w:color="0000FF"/>
          </w:rPr>
          <w:t>mlopez96@uabc.edu.mx</w:t>
        </w:r>
      </w:hyperlink>
      <w:r>
        <w:rPr>
          <w:sz w:val="18"/>
        </w:rPr>
        <w:t>¹,</w:t>
      </w:r>
    </w:p>
    <w:p>
      <w:pPr>
        <w:spacing w:line="195" w:lineRule="exact" w:before="0"/>
        <w:ind w:left="270" w:right="0" w:firstLine="0"/>
        <w:jc w:val="both"/>
        <w:rPr>
          <w:sz w:val="18"/>
        </w:rPr>
      </w:pPr>
      <w:r>
        <w:rPr>
          <w:sz w:val="18"/>
        </w:rPr>
        <w:t>Tijuana, Baja California, México.</w:t>
      </w:r>
    </w:p>
    <w:p>
      <w:pPr>
        <w:tabs>
          <w:tab w:pos="3677" w:val="left" w:leader="none"/>
        </w:tabs>
        <w:spacing w:line="206" w:lineRule="exact" w:before="15"/>
        <w:ind w:left="270" w:right="17" w:firstLine="0"/>
        <w:jc w:val="both"/>
        <w:rPr>
          <w:sz w:val="18"/>
        </w:rPr>
      </w:pPr>
      <w:r>
        <w:rPr>
          <w:position w:val="8"/>
          <w:sz w:val="12"/>
        </w:rPr>
        <w:t>a</w:t>
      </w:r>
      <w:r>
        <w:rPr>
          <w:sz w:val="18"/>
        </w:rPr>
        <w:t>Autonomous       </w:t>
      </w:r>
      <w:r>
        <w:rPr>
          <w:spacing w:val="17"/>
          <w:sz w:val="18"/>
        </w:rPr>
        <w:t> </w:t>
      </w:r>
      <w:r>
        <w:rPr>
          <w:sz w:val="18"/>
        </w:rPr>
        <w:t>University       </w:t>
      </w:r>
      <w:r>
        <w:rPr>
          <w:spacing w:val="18"/>
          <w:sz w:val="18"/>
        </w:rPr>
        <w:t> </w:t>
      </w:r>
      <w:r>
        <w:rPr>
          <w:sz w:val="18"/>
        </w:rPr>
        <w:t>of</w:t>
        <w:tab/>
        <w:t>Baja       </w:t>
      </w:r>
      <w:r>
        <w:rPr>
          <w:spacing w:val="16"/>
          <w:sz w:val="18"/>
        </w:rPr>
        <w:t> </w:t>
      </w:r>
      <w:r>
        <w:rPr>
          <w:sz w:val="18"/>
        </w:rPr>
        <w:t>California, </w:t>
      </w:r>
      <w:hyperlink r:id="rId237">
        <w:r>
          <w:rPr>
            <w:color w:val="0000FF"/>
            <w:sz w:val="18"/>
            <w:u w:val="single" w:color="0000FF"/>
          </w:rPr>
          <w:t>ciara.villasenor@uabc.edu.mx</w:t>
        </w:r>
      </w:hyperlink>
      <w:r>
        <w:rPr>
          <w:sz w:val="18"/>
        </w:rPr>
        <w:t>², Tijuana, Baja California,</w:t>
      </w:r>
      <w:r>
        <w:rPr>
          <w:spacing w:val="-19"/>
          <w:sz w:val="18"/>
        </w:rPr>
        <w:t> </w:t>
      </w:r>
      <w:r>
        <w:rPr>
          <w:sz w:val="18"/>
        </w:rPr>
        <w:t>México.</w:t>
      </w:r>
    </w:p>
    <w:p>
      <w:pPr>
        <w:tabs>
          <w:tab w:pos="689" w:val="left" w:leader="none"/>
        </w:tabs>
        <w:spacing w:line="206" w:lineRule="exact" w:before="1"/>
        <w:ind w:left="270" w:right="17" w:firstLine="0"/>
        <w:jc w:val="both"/>
        <w:rPr>
          <w:sz w:val="18"/>
        </w:rPr>
      </w:pPr>
      <w:r>
        <w:rPr>
          <w:position w:val="8"/>
          <w:sz w:val="12"/>
        </w:rPr>
        <w:t>a</w:t>
        <w:tab/>
      </w:r>
      <w:r>
        <w:rPr>
          <w:sz w:val="18"/>
        </w:rPr>
        <w:t>Autonomous        University        of       </w:t>
      </w:r>
      <w:r>
        <w:rPr>
          <w:spacing w:val="40"/>
          <w:sz w:val="18"/>
        </w:rPr>
        <w:t> </w:t>
      </w:r>
      <w:r>
        <w:rPr>
          <w:sz w:val="18"/>
        </w:rPr>
        <w:t>Baja       </w:t>
      </w:r>
      <w:r>
        <w:rPr>
          <w:spacing w:val="13"/>
          <w:sz w:val="18"/>
        </w:rPr>
        <w:t> </w:t>
      </w:r>
      <w:r>
        <w:rPr>
          <w:sz w:val="18"/>
        </w:rPr>
        <w:t>California,</w:t>
      </w:r>
      <w:r>
        <w:rPr>
          <w:spacing w:val="-1"/>
          <w:sz w:val="18"/>
        </w:rPr>
        <w:t> </w:t>
      </w:r>
      <w:hyperlink r:id="rId238">
        <w:r>
          <w:rPr>
            <w:color w:val="0000FF"/>
            <w:sz w:val="18"/>
            <w:u w:val="single" w:color="0000FF"/>
          </w:rPr>
          <w:t>jalopez@uabc.edu.mx</w:t>
        </w:r>
        <w:r>
          <w:rPr>
            <w:position w:val="8"/>
            <w:sz w:val="12"/>
          </w:rPr>
          <w:t>3</w:t>
        </w:r>
        <w:r>
          <w:rPr>
            <w:sz w:val="18"/>
          </w:rPr>
          <w:t>,</w:t>
        </w:r>
      </w:hyperlink>
    </w:p>
    <w:p>
      <w:pPr>
        <w:spacing w:line="193" w:lineRule="exact" w:before="0"/>
        <w:ind w:left="270" w:right="0" w:firstLine="0"/>
        <w:jc w:val="both"/>
        <w:rPr>
          <w:sz w:val="18"/>
        </w:rPr>
      </w:pPr>
      <w:r>
        <w:rPr>
          <w:sz w:val="18"/>
        </w:rPr>
        <w:t>Tijuana, Baja California, México.</w:t>
      </w:r>
    </w:p>
    <w:p>
      <w:pPr>
        <w:tabs>
          <w:tab w:pos="689" w:val="left" w:leader="none"/>
        </w:tabs>
        <w:spacing w:line="208" w:lineRule="exact" w:before="13"/>
        <w:ind w:left="270" w:right="17" w:firstLine="0"/>
        <w:jc w:val="both"/>
        <w:rPr>
          <w:sz w:val="18"/>
        </w:rPr>
      </w:pPr>
      <w:r>
        <w:rPr>
          <w:position w:val="8"/>
          <w:sz w:val="12"/>
        </w:rPr>
        <w:t>a</w:t>
        <w:tab/>
      </w:r>
      <w:r>
        <w:rPr>
          <w:sz w:val="18"/>
        </w:rPr>
        <w:t>Autonomous        University        of       </w:t>
      </w:r>
      <w:r>
        <w:rPr>
          <w:spacing w:val="40"/>
          <w:sz w:val="18"/>
        </w:rPr>
        <w:t> </w:t>
      </w:r>
      <w:r>
        <w:rPr>
          <w:sz w:val="18"/>
        </w:rPr>
        <w:t>Baja       </w:t>
      </w:r>
      <w:r>
        <w:rPr>
          <w:spacing w:val="13"/>
          <w:sz w:val="18"/>
        </w:rPr>
        <w:t> </w:t>
      </w:r>
      <w:r>
        <w:rPr>
          <w:sz w:val="18"/>
        </w:rPr>
        <w:t>California,</w:t>
      </w:r>
      <w:r>
        <w:rPr>
          <w:spacing w:val="-1"/>
          <w:sz w:val="18"/>
        </w:rPr>
        <w:t> </w:t>
      </w:r>
      <w:hyperlink r:id="rId239">
        <w:r>
          <w:rPr>
            <w:color w:val="0000FF"/>
            <w:sz w:val="18"/>
            <w:u w:val="single" w:color="0000FF"/>
          </w:rPr>
          <w:t>jeol79@uabc.edu.mx</w:t>
        </w:r>
        <w:r>
          <w:rPr>
            <w:position w:val="8"/>
            <w:sz w:val="12"/>
          </w:rPr>
          <w:t>4</w:t>
        </w:r>
        <w:r>
          <w:rPr>
            <w:sz w:val="18"/>
          </w:rPr>
          <w:t>,</w:t>
        </w:r>
      </w:hyperlink>
    </w:p>
    <w:p>
      <w:pPr>
        <w:spacing w:line="192" w:lineRule="exact" w:before="0"/>
        <w:ind w:left="270" w:right="0" w:firstLine="0"/>
        <w:jc w:val="both"/>
        <w:rPr>
          <w:sz w:val="18"/>
        </w:rPr>
      </w:pPr>
      <w:r>
        <w:rPr>
          <w:sz w:val="18"/>
        </w:rPr>
        <w:t>Tijuana, Baja California, México.</w:t>
      </w:r>
    </w:p>
    <w:p>
      <w:pPr>
        <w:tabs>
          <w:tab w:pos="694" w:val="left" w:leader="none"/>
        </w:tabs>
        <w:spacing w:line="206" w:lineRule="exact" w:before="15"/>
        <w:ind w:left="270" w:right="0" w:firstLine="0"/>
        <w:jc w:val="both"/>
        <w:rPr>
          <w:sz w:val="18"/>
        </w:rPr>
      </w:pPr>
      <w:r>
        <w:rPr>
          <w:position w:val="8"/>
          <w:sz w:val="12"/>
        </w:rPr>
        <w:t>a</w:t>
        <w:tab/>
      </w:r>
      <w:r>
        <w:rPr>
          <w:sz w:val="18"/>
        </w:rPr>
        <w:t>Autonomous        University        of        </w:t>
      </w:r>
      <w:r>
        <w:rPr>
          <w:spacing w:val="8"/>
          <w:sz w:val="18"/>
        </w:rPr>
        <w:t> </w:t>
      </w:r>
      <w:r>
        <w:rPr>
          <w:sz w:val="18"/>
        </w:rPr>
        <w:t>Baja       </w:t>
      </w:r>
      <w:r>
        <w:rPr>
          <w:spacing w:val="17"/>
          <w:sz w:val="18"/>
        </w:rPr>
        <w:t> </w:t>
      </w:r>
      <w:r>
        <w:rPr>
          <w:sz w:val="18"/>
        </w:rPr>
        <w:t>California,</w:t>
      </w:r>
      <w:r>
        <w:rPr>
          <w:spacing w:val="-1"/>
          <w:sz w:val="18"/>
        </w:rPr>
        <w:t> </w:t>
      </w:r>
      <w:hyperlink r:id="rId240">
        <w:r>
          <w:rPr>
            <w:color w:val="0000FF"/>
            <w:sz w:val="18"/>
            <w:u w:val="single" w:color="0000FF"/>
          </w:rPr>
          <w:t>ccamargo@uabc.edu.mx</w:t>
        </w:r>
        <w:r>
          <w:rPr>
            <w:position w:val="8"/>
            <w:sz w:val="12"/>
          </w:rPr>
          <w:t>5</w:t>
        </w:r>
        <w:r>
          <w:rPr>
            <w:sz w:val="18"/>
          </w:rPr>
          <w:t>,</w:t>
        </w:r>
      </w:hyperlink>
      <w:r>
        <w:rPr>
          <w:sz w:val="18"/>
        </w:rPr>
        <w:t> Tijuana, Baja California,</w:t>
      </w:r>
      <w:r>
        <w:rPr>
          <w:spacing w:val="-20"/>
          <w:sz w:val="18"/>
        </w:rPr>
        <w:t> </w:t>
      </w:r>
      <w:r>
        <w:rPr>
          <w:sz w:val="18"/>
        </w:rPr>
        <w:t>México.</w:t>
      </w:r>
    </w:p>
    <w:p>
      <w:pPr>
        <w:pStyle w:val="BodyText"/>
        <w:spacing w:before="3"/>
        <w:rPr>
          <w:sz w:val="18"/>
        </w:rPr>
      </w:pPr>
    </w:p>
    <w:p>
      <w:pPr>
        <w:spacing w:before="0"/>
        <w:ind w:left="270" w:right="0" w:firstLine="0"/>
        <w:jc w:val="both"/>
        <w:rPr>
          <w:b/>
          <w:i/>
          <w:sz w:val="18"/>
        </w:rPr>
      </w:pPr>
      <w:r>
        <w:rPr/>
        <w:pict>
          <v:line style="position:absolute;mso-position-horizontal-relative:page;mso-position-vertical-relative:paragraph;z-index:7864" from="41.040001pt,12.032629pt" to="288.540001pt,12.032629pt" stroked="true" strokeweight="1.5pt" strokecolor="#000000">
            <w10:wrap type="none"/>
          </v:line>
        </w:pict>
      </w:r>
      <w:r>
        <w:rPr>
          <w:b/>
          <w:i/>
          <w:sz w:val="18"/>
        </w:rPr>
        <w:t>Abstract</w:t>
      </w:r>
    </w:p>
    <w:p>
      <w:pPr>
        <w:tabs>
          <w:tab w:pos="4366" w:val="left" w:leader="none"/>
        </w:tabs>
        <w:spacing w:before="44"/>
        <w:ind w:left="270" w:right="15" w:firstLine="0"/>
        <w:jc w:val="both"/>
        <w:rPr>
          <w:i/>
          <w:sz w:val="18"/>
        </w:rPr>
      </w:pPr>
      <w:r>
        <w:rPr>
          <w:i/>
          <w:sz w:val="18"/>
        </w:rPr>
        <w:t>This article describes the activities carried out by the Capitulo </w:t>
      </w:r>
      <w:r>
        <w:rPr>
          <w:i/>
          <w:sz w:val="18"/>
        </w:rPr>
        <w:t>Universitario (CAPUNI) of the Autonomous University of Baja California campus Tijuana in matters related to the project of the new laboratory of Anthropometry, ergonomics and Biomechanics (LAEB-104)</w:t>
        <w:tab/>
        <w:t>equipment.</w:t>
      </w:r>
    </w:p>
    <w:p>
      <w:pPr>
        <w:pStyle w:val="BodyText"/>
        <w:rPr>
          <w:i/>
          <w:sz w:val="18"/>
        </w:rPr>
      </w:pPr>
    </w:p>
    <w:p>
      <w:pPr>
        <w:spacing w:before="0"/>
        <w:ind w:left="270" w:right="15" w:firstLine="0"/>
        <w:jc w:val="both"/>
        <w:rPr>
          <w:i/>
          <w:sz w:val="18"/>
        </w:rPr>
      </w:pPr>
      <w:r>
        <w:rPr>
          <w:i/>
          <w:sz w:val="18"/>
        </w:rPr>
        <w:t>Our chapter has been commissioned to manage the access to this </w:t>
      </w:r>
      <w:r>
        <w:rPr>
          <w:i/>
          <w:sz w:val="18"/>
        </w:rPr>
        <w:t>lab and offer guidance, advice and training to new users. Users are professors who conduct researches; usually they do not know the equipment and its operation. We can help these researchers to use this equipment in order to get the most out of it under the supervision of our faculty counselor. Among users, there can also be found scholars and research assistants. It is expected that, gradually, this laboratory access extends to other researchers, especially in the Northwest of the country, since it is the only one that has this equipment in this region.</w:t>
      </w:r>
    </w:p>
    <w:p>
      <w:pPr>
        <w:pStyle w:val="BodyText"/>
        <w:rPr>
          <w:i/>
          <w:sz w:val="18"/>
        </w:rPr>
      </w:pPr>
    </w:p>
    <w:p>
      <w:pPr>
        <w:spacing w:before="0"/>
        <w:ind w:left="270" w:right="15" w:firstLine="0"/>
        <w:jc w:val="both"/>
        <w:rPr>
          <w:i/>
          <w:sz w:val="18"/>
        </w:rPr>
      </w:pPr>
      <w:r>
        <w:rPr>
          <w:i/>
          <w:sz w:val="18"/>
        </w:rPr>
        <w:t>The most important subject during this course is the promotion and </w:t>
      </w:r>
      <w:r>
        <w:rPr>
          <w:i/>
          <w:sz w:val="18"/>
        </w:rPr>
        <w:t>diffusion of the LAEB-104 with different sectors of society. This working space has what, according to the Federal Regulations on Safety and Health at Work, it is needed for the productive sector which requires to comply with the new requirements of the published in the official journal of the Federation. One of the objectives we pursue in our CAPUNI is to support researchers who have access to the LAEB-104 to the establishment of the provisions in the field of safety and health to be carried out in the workplace, to have conditions enabling to prevent risks and, in this way,  ensure workers carrying out their activities in an environment that ensures their life integrity and health, as well as prevent damage to the work</w:t>
      </w:r>
      <w:r>
        <w:rPr>
          <w:i/>
          <w:spacing w:val="-5"/>
          <w:sz w:val="18"/>
        </w:rPr>
        <w:t> </w:t>
      </w:r>
      <w:r>
        <w:rPr>
          <w:i/>
          <w:sz w:val="18"/>
        </w:rPr>
        <w:t>center.</w:t>
      </w:r>
    </w:p>
    <w:p>
      <w:pPr>
        <w:pStyle w:val="BodyText"/>
        <w:rPr>
          <w:i/>
          <w:sz w:val="18"/>
        </w:rPr>
      </w:pPr>
    </w:p>
    <w:p>
      <w:pPr>
        <w:pStyle w:val="BodyText"/>
        <w:spacing w:before="10"/>
        <w:rPr>
          <w:i/>
          <w:sz w:val="17"/>
        </w:rPr>
      </w:pPr>
    </w:p>
    <w:p>
      <w:pPr>
        <w:spacing w:before="1"/>
        <w:ind w:left="270" w:right="0" w:firstLine="0"/>
        <w:jc w:val="both"/>
        <w:rPr>
          <w:i/>
          <w:sz w:val="18"/>
        </w:rPr>
      </w:pPr>
      <w:r>
        <w:rPr>
          <w:b/>
          <w:i/>
          <w:sz w:val="18"/>
        </w:rPr>
        <w:t>Keywords</w:t>
      </w:r>
      <w:r>
        <w:rPr>
          <w:i/>
          <w:sz w:val="18"/>
        </w:rPr>
        <w:t>— Anthropometry, Biomechanics, Ergonomics.</w:t>
      </w:r>
    </w:p>
    <w:p>
      <w:pPr>
        <w:pStyle w:val="BodyText"/>
        <w:rPr>
          <w:i/>
          <w:sz w:val="18"/>
        </w:rPr>
      </w:pPr>
    </w:p>
    <w:p>
      <w:pPr>
        <w:pStyle w:val="BodyText"/>
        <w:spacing w:before="10"/>
        <w:rPr>
          <w:i/>
          <w:sz w:val="17"/>
        </w:rPr>
      </w:pPr>
    </w:p>
    <w:p>
      <w:pPr>
        <w:spacing w:before="1"/>
        <w:ind w:left="270" w:right="0" w:firstLine="0"/>
        <w:jc w:val="both"/>
        <w:rPr>
          <w:sz w:val="18"/>
        </w:rPr>
      </w:pPr>
      <w:r>
        <w:rPr>
          <w:sz w:val="18"/>
        </w:rPr>
        <w:t>Relevance to Ergonomics: Practical Industrial case.</w:t>
      </w:r>
    </w:p>
    <w:p>
      <w:pPr>
        <w:pStyle w:val="ListParagraph"/>
        <w:numPr>
          <w:ilvl w:val="0"/>
          <w:numId w:val="64"/>
        </w:numPr>
        <w:tabs>
          <w:tab w:pos="452" w:val="left" w:leader="none"/>
        </w:tabs>
        <w:spacing w:line="240" w:lineRule="auto" w:before="4" w:after="0"/>
        <w:ind w:left="451" w:right="0" w:hanging="181"/>
        <w:jc w:val="both"/>
        <w:rPr>
          <w:b/>
          <w:sz w:val="18"/>
        </w:rPr>
      </w:pPr>
      <w:r>
        <w:rPr>
          <w:b/>
          <w:sz w:val="18"/>
        </w:rPr>
        <w:t>INTRODUCTION</w:t>
      </w:r>
    </w:p>
    <w:p>
      <w:pPr>
        <w:spacing w:before="77"/>
        <w:ind w:left="270" w:right="676" w:firstLine="0"/>
        <w:jc w:val="both"/>
        <w:rPr>
          <w:sz w:val="18"/>
        </w:rPr>
      </w:pPr>
      <w:r>
        <w:rPr/>
        <w:br w:type="column"/>
      </w:r>
      <w:r>
        <w:rPr>
          <w:sz w:val="18"/>
        </w:rPr>
        <w:t>The project of this equipment was developed at the Faculty of Chemical Sciences and Engineering in the 6G building at the 104 area. In addition, our acquired experience with the acquisition, training and implementation underway. The LAEB-104 has 5 work stations: station of central monitoring, anthropometric and biomechanical analysis station, station design of workplace, production with semi-automatic tools station, and station booths of experimentation. There is also a room of oxygen consume, metabolic energy wastage and the necessary equipment to carry out the required studies inside and outside the laboratory, the  equipment has the ability of telemetry. The fact that the people’s needs are transformed lets us know that we could never be oblivious to these changes. Whereby, we care every day about the quality of workers life’s so they will not harm their health demand. We can understand, as well, that an industrial engineer is required to know and to apply the ergonomic principles, not only to design but also to perfect his job or the worker's activity. We also must keep in mind that technology of automated processes is in development and change. For this reason, the equipment must be under permanent</w:t>
      </w:r>
      <w:r>
        <w:rPr>
          <w:spacing w:val="-2"/>
          <w:sz w:val="18"/>
        </w:rPr>
        <w:t> </w:t>
      </w:r>
      <w:r>
        <w:rPr>
          <w:sz w:val="18"/>
        </w:rPr>
        <w:t>research.</w:t>
      </w:r>
    </w:p>
    <w:p>
      <w:pPr>
        <w:pStyle w:val="BodyText"/>
        <w:spacing w:before="3"/>
        <w:rPr>
          <w:sz w:val="18"/>
        </w:rPr>
      </w:pPr>
    </w:p>
    <w:p>
      <w:pPr>
        <w:spacing w:before="0"/>
        <w:ind w:left="270" w:right="0" w:firstLine="0"/>
        <w:jc w:val="both"/>
        <w:rPr>
          <w:b/>
          <w:sz w:val="18"/>
        </w:rPr>
      </w:pPr>
      <w:r>
        <w:rPr>
          <w:b/>
          <w:sz w:val="18"/>
        </w:rPr>
        <w:t>PROBLEMATIC</w:t>
      </w:r>
    </w:p>
    <w:p>
      <w:pPr>
        <w:pStyle w:val="BodyText"/>
        <w:spacing w:before="7"/>
        <w:rPr>
          <w:b/>
          <w:sz w:val="17"/>
        </w:rPr>
      </w:pPr>
    </w:p>
    <w:p>
      <w:pPr>
        <w:spacing w:before="1"/>
        <w:ind w:left="270" w:right="677" w:firstLine="0"/>
        <w:jc w:val="both"/>
        <w:rPr>
          <w:sz w:val="18"/>
        </w:rPr>
      </w:pPr>
      <w:r>
        <w:rPr>
          <w:sz w:val="18"/>
        </w:rPr>
        <w:t>This work represents our interest in how productive you will disseminate Laboratory Ergonomics 104, Anthropometry and Biomechanics of industrial engineering career in relation to schools or programs that, usually, the curricula are routed to theorize about the human factor leaving the practical side. In other words  the study of Ergonomics focuses on the knowledge of prevention and detection of risks, generally, rather than on whether the safety and health of workers in their work area as many companies are not made aware of the importance this entails in the industry. These systems should be a little more sensitized since there must be a mutual benefit, which allows both parts win, without neglecting the responsibilities incumbent on each. A very difficult goal to achieve is that workers could see physical and mental exhaustion as a game and these conditions lead you to not only accept responsibilities, but also, to find them in order to obtain better</w:t>
      </w:r>
      <w:r>
        <w:rPr>
          <w:spacing w:val="-10"/>
          <w:sz w:val="18"/>
        </w:rPr>
        <w:t> </w:t>
      </w:r>
      <w:r>
        <w:rPr>
          <w:sz w:val="18"/>
        </w:rPr>
        <w:t>results.</w:t>
      </w:r>
    </w:p>
    <w:p>
      <w:pPr>
        <w:pStyle w:val="BodyText"/>
        <w:rPr>
          <w:sz w:val="18"/>
        </w:rPr>
      </w:pPr>
    </w:p>
    <w:p>
      <w:pPr>
        <w:spacing w:before="0"/>
        <w:ind w:left="270" w:right="678" w:firstLine="0"/>
        <w:jc w:val="both"/>
        <w:rPr>
          <w:sz w:val="18"/>
        </w:rPr>
      </w:pPr>
      <w:r>
        <w:rPr>
          <w:sz w:val="18"/>
        </w:rPr>
        <w:t>The first thing we are looking for is to instruct students  from UABC for their preparation and performance in future through a computer simulation work environment which provides them a quality education. [1] This project anticipates the needs of education in occupational health and the federal provisions on human factors and ergonomics</w:t>
      </w:r>
      <w:r>
        <w:rPr>
          <w:spacing w:val="-4"/>
          <w:sz w:val="18"/>
        </w:rPr>
        <w:t> </w:t>
      </w:r>
      <w:r>
        <w:rPr>
          <w:sz w:val="18"/>
        </w:rPr>
        <w:t>factors.</w:t>
      </w:r>
    </w:p>
    <w:p>
      <w:pPr>
        <w:pStyle w:val="BodyText"/>
        <w:rPr>
          <w:sz w:val="18"/>
        </w:rPr>
      </w:pPr>
    </w:p>
    <w:p>
      <w:pPr>
        <w:spacing w:before="0"/>
        <w:ind w:left="270" w:right="678" w:firstLine="0"/>
        <w:jc w:val="both"/>
        <w:rPr>
          <w:sz w:val="18"/>
        </w:rPr>
      </w:pPr>
      <w:r>
        <w:rPr>
          <w:sz w:val="18"/>
        </w:rPr>
        <w:t>We believe that this article is a sample of the interest you could have for students to acquire the skills that the sector are requesting. Authors of this paper have been proposed to develop a virtual scenario to potentiate their skills and abilities, same that will be very necessary in view of the entry into force of</w:t>
      </w:r>
      <w:r>
        <w:rPr>
          <w:spacing w:val="-26"/>
          <w:sz w:val="18"/>
        </w:rPr>
        <w:t> </w:t>
      </w:r>
      <w:r>
        <w:rPr>
          <w:sz w:val="18"/>
        </w:rPr>
        <w:t>RFSST.</w:t>
      </w:r>
    </w:p>
    <w:p>
      <w:pPr>
        <w:pStyle w:val="BodyText"/>
        <w:spacing w:before="3"/>
        <w:rPr>
          <w:sz w:val="18"/>
        </w:rPr>
      </w:pPr>
    </w:p>
    <w:p>
      <w:pPr>
        <w:pStyle w:val="ListParagraph"/>
        <w:numPr>
          <w:ilvl w:val="0"/>
          <w:numId w:val="64"/>
        </w:numPr>
        <w:tabs>
          <w:tab w:pos="697" w:val="left" w:leader="none"/>
        </w:tabs>
        <w:spacing w:line="240" w:lineRule="auto" w:before="0" w:after="0"/>
        <w:ind w:left="696" w:right="0" w:hanging="426"/>
        <w:jc w:val="both"/>
        <w:rPr>
          <w:b/>
          <w:sz w:val="18"/>
        </w:rPr>
      </w:pPr>
      <w:r>
        <w:rPr>
          <w:b/>
          <w:sz w:val="18"/>
        </w:rPr>
        <w:t>METHODOLOGY</w:t>
      </w:r>
    </w:p>
    <w:p>
      <w:pPr>
        <w:pStyle w:val="BodyText"/>
        <w:spacing w:before="7"/>
        <w:rPr>
          <w:b/>
          <w:sz w:val="17"/>
        </w:rPr>
      </w:pPr>
    </w:p>
    <w:p>
      <w:pPr>
        <w:spacing w:before="1"/>
        <w:ind w:left="270" w:right="678" w:firstLine="0"/>
        <w:jc w:val="both"/>
        <w:rPr>
          <w:sz w:val="18"/>
        </w:rPr>
      </w:pPr>
      <w:r>
        <w:rPr>
          <w:sz w:val="18"/>
        </w:rPr>
        <w:t>The working method consisted on the following steps in chronological order: supervision of the work of enabling the physical space that houses the equipment, monitoring of the discharge of the equipment and introduction to the space, supervision of installation, verification of operation, calibration of equipment, tests start running, training. On this last point below are described very succinctly seen.</w:t>
      </w:r>
    </w:p>
    <w:p>
      <w:pPr>
        <w:spacing w:after="0"/>
        <w:jc w:val="both"/>
        <w:rPr>
          <w:sz w:val="18"/>
        </w:rPr>
        <w:sectPr>
          <w:type w:val="continuous"/>
          <w:pgSz w:w="12240" w:h="15840"/>
          <w:pgMar w:top="1500" w:bottom="280" w:left="580" w:right="220"/>
          <w:cols w:num="2" w:equalWidth="0">
            <w:col w:w="5180" w:space="418"/>
            <w:col w:w="5842"/>
          </w:cols>
        </w:sectPr>
      </w:pPr>
    </w:p>
    <w:p>
      <w:pPr>
        <w:pStyle w:val="BodyText"/>
        <w:spacing w:before="1"/>
        <w:rPr>
          <w:sz w:val="18"/>
        </w:rPr>
      </w:pPr>
    </w:p>
    <w:p>
      <w:pPr>
        <w:pStyle w:val="BodyText"/>
        <w:ind w:left="290"/>
      </w:pPr>
      <w:r>
        <w:rPr/>
        <w:drawing>
          <wp:inline distT="0" distB="0" distL="0" distR="0">
            <wp:extent cx="3083153" cy="1804416"/>
            <wp:effectExtent l="0" t="0" r="0" b="0"/>
            <wp:docPr id="251" name="image144.jpeg" descr=""/>
            <wp:cNvGraphicFramePr>
              <a:graphicFrameLocks noChangeAspect="1"/>
            </wp:cNvGraphicFramePr>
            <a:graphic>
              <a:graphicData uri="http://schemas.openxmlformats.org/drawingml/2006/picture">
                <pic:pic>
                  <pic:nvPicPr>
                    <pic:cNvPr id="252" name="image144.jpeg"/>
                    <pic:cNvPicPr/>
                  </pic:nvPicPr>
                  <pic:blipFill>
                    <a:blip r:embed="rId241" cstate="print"/>
                    <a:stretch>
                      <a:fillRect/>
                    </a:stretch>
                  </pic:blipFill>
                  <pic:spPr>
                    <a:xfrm>
                      <a:off x="0" y="0"/>
                      <a:ext cx="3083153" cy="1804416"/>
                    </a:xfrm>
                    <a:prstGeom prst="rect">
                      <a:avLst/>
                    </a:prstGeom>
                  </pic:spPr>
                </pic:pic>
              </a:graphicData>
            </a:graphic>
          </wp:inline>
        </w:drawing>
      </w:r>
      <w:r>
        <w:rPr/>
      </w:r>
    </w:p>
    <w:p>
      <w:pPr>
        <w:spacing w:after="0"/>
        <w:sectPr>
          <w:pgSz w:w="12240" w:h="15840"/>
          <w:pgMar w:header="545" w:footer="852" w:top="1060" w:bottom="1040" w:left="580" w:right="220"/>
        </w:sectPr>
      </w:pPr>
    </w:p>
    <w:p>
      <w:pPr>
        <w:spacing w:line="240" w:lineRule="auto" w:before="0"/>
        <w:ind w:left="270" w:right="0" w:firstLine="0"/>
        <w:jc w:val="both"/>
        <w:rPr>
          <w:sz w:val="18"/>
        </w:rPr>
      </w:pPr>
      <w:r>
        <w:rPr>
          <w:sz w:val="18"/>
        </w:rPr>
        <w:t>Figure 1.1 Discharge of the equipment and introduction to  the space inside of the LAEB-104</w:t>
      </w:r>
    </w:p>
    <w:p>
      <w:pPr>
        <w:pStyle w:val="BodyText"/>
        <w:spacing w:before="10"/>
        <w:rPr>
          <w:sz w:val="14"/>
        </w:rPr>
      </w:pPr>
      <w:r>
        <w:rPr/>
        <w:drawing>
          <wp:anchor distT="0" distB="0" distL="0" distR="0" allowOverlap="1" layoutInCell="1" locked="0" behindDoc="0" simplePos="0" relativeHeight="7888">
            <wp:simplePos x="0" y="0"/>
            <wp:positionH relativeFrom="page">
              <wp:posOffset>552450</wp:posOffset>
            </wp:positionH>
            <wp:positionV relativeFrom="paragraph">
              <wp:posOffset>133771</wp:posOffset>
            </wp:positionV>
            <wp:extent cx="3083153" cy="1804416"/>
            <wp:effectExtent l="0" t="0" r="0" b="0"/>
            <wp:wrapTopAndBottom/>
            <wp:docPr id="253" name="image145.jpeg" descr=""/>
            <wp:cNvGraphicFramePr>
              <a:graphicFrameLocks noChangeAspect="1"/>
            </wp:cNvGraphicFramePr>
            <a:graphic>
              <a:graphicData uri="http://schemas.openxmlformats.org/drawingml/2006/picture">
                <pic:pic>
                  <pic:nvPicPr>
                    <pic:cNvPr id="254" name="image145.jpeg"/>
                    <pic:cNvPicPr/>
                  </pic:nvPicPr>
                  <pic:blipFill>
                    <a:blip r:embed="rId242" cstate="print"/>
                    <a:stretch>
                      <a:fillRect/>
                    </a:stretch>
                  </pic:blipFill>
                  <pic:spPr>
                    <a:xfrm>
                      <a:off x="0" y="0"/>
                      <a:ext cx="3083153" cy="1804416"/>
                    </a:xfrm>
                    <a:prstGeom prst="rect">
                      <a:avLst/>
                    </a:prstGeom>
                  </pic:spPr>
                </pic:pic>
              </a:graphicData>
            </a:graphic>
          </wp:anchor>
        </w:drawing>
      </w:r>
    </w:p>
    <w:p>
      <w:pPr>
        <w:spacing w:before="0"/>
        <w:ind w:left="270" w:right="0" w:firstLine="0"/>
        <w:jc w:val="both"/>
        <w:rPr>
          <w:sz w:val="18"/>
        </w:rPr>
      </w:pPr>
      <w:r>
        <w:rPr>
          <w:sz w:val="18"/>
        </w:rPr>
        <w:t>Figure 1.2 Supervision and Installation of equipment, with the security and proper precautions, during a period of 3 days.</w:t>
      </w:r>
    </w:p>
    <w:p>
      <w:pPr>
        <w:pStyle w:val="BodyText"/>
        <w:rPr>
          <w:sz w:val="15"/>
        </w:rPr>
      </w:pPr>
      <w:r>
        <w:rPr/>
        <w:drawing>
          <wp:anchor distT="0" distB="0" distL="0" distR="0" allowOverlap="1" layoutInCell="1" locked="0" behindDoc="0" simplePos="0" relativeHeight="7912">
            <wp:simplePos x="0" y="0"/>
            <wp:positionH relativeFrom="page">
              <wp:posOffset>540258</wp:posOffset>
            </wp:positionH>
            <wp:positionV relativeFrom="paragraph">
              <wp:posOffset>134534</wp:posOffset>
            </wp:positionV>
            <wp:extent cx="3083043" cy="1731264"/>
            <wp:effectExtent l="0" t="0" r="0" b="0"/>
            <wp:wrapTopAndBottom/>
            <wp:docPr id="255" name="image146.jpeg" descr=""/>
            <wp:cNvGraphicFramePr>
              <a:graphicFrameLocks noChangeAspect="1"/>
            </wp:cNvGraphicFramePr>
            <a:graphic>
              <a:graphicData uri="http://schemas.openxmlformats.org/drawingml/2006/picture">
                <pic:pic>
                  <pic:nvPicPr>
                    <pic:cNvPr id="256" name="image146.jpeg"/>
                    <pic:cNvPicPr/>
                  </pic:nvPicPr>
                  <pic:blipFill>
                    <a:blip r:embed="rId243" cstate="print"/>
                    <a:stretch>
                      <a:fillRect/>
                    </a:stretch>
                  </pic:blipFill>
                  <pic:spPr>
                    <a:xfrm>
                      <a:off x="0" y="0"/>
                      <a:ext cx="3083043" cy="1731264"/>
                    </a:xfrm>
                    <a:prstGeom prst="rect">
                      <a:avLst/>
                    </a:prstGeom>
                  </pic:spPr>
                </pic:pic>
              </a:graphicData>
            </a:graphic>
          </wp:anchor>
        </w:drawing>
      </w:r>
    </w:p>
    <w:p>
      <w:pPr>
        <w:spacing w:before="0"/>
        <w:ind w:left="270" w:right="0" w:firstLine="0"/>
        <w:jc w:val="both"/>
        <w:rPr>
          <w:sz w:val="18"/>
        </w:rPr>
      </w:pPr>
      <w:r>
        <w:rPr>
          <w:sz w:val="18"/>
        </w:rPr>
        <w:t>Figure 1.3 Training. During this one, academic advisers were present, engineers, technical staff in the instruments, professionals at the stations where they did manuals delivery, with applicable learning activities for any course, so much like licentiate as graduate.</w:t>
      </w:r>
    </w:p>
    <w:p>
      <w:pPr>
        <w:spacing w:before="4"/>
        <w:ind w:left="270" w:right="0" w:firstLine="0"/>
        <w:jc w:val="both"/>
        <w:rPr>
          <w:b/>
          <w:i/>
          <w:sz w:val="18"/>
        </w:rPr>
      </w:pPr>
      <w:r>
        <w:rPr>
          <w:b/>
          <w:i/>
          <w:sz w:val="18"/>
        </w:rPr>
        <w:t>2.1  Stations</w:t>
      </w:r>
    </w:p>
    <w:p>
      <w:pPr>
        <w:spacing w:before="155"/>
        <w:ind w:left="0" w:right="408" w:firstLine="0"/>
        <w:jc w:val="center"/>
        <w:rPr>
          <w:sz w:val="18"/>
        </w:rPr>
      </w:pPr>
      <w:r>
        <w:rPr/>
        <w:br w:type="column"/>
      </w:r>
      <w:r>
        <w:rPr>
          <w:sz w:val="18"/>
        </w:rPr>
        <w:t>Figure 2.1 Central of monitoring station.</w:t>
      </w:r>
    </w:p>
    <w:p>
      <w:pPr>
        <w:pStyle w:val="BodyText"/>
        <w:rPr>
          <w:sz w:val="18"/>
        </w:rPr>
      </w:pPr>
    </w:p>
    <w:p>
      <w:pPr>
        <w:pStyle w:val="ListParagraph"/>
        <w:numPr>
          <w:ilvl w:val="0"/>
          <w:numId w:val="65"/>
        </w:numPr>
        <w:tabs>
          <w:tab w:pos="978" w:val="left" w:leader="none"/>
          <w:tab w:pos="979" w:val="left" w:leader="none"/>
        </w:tabs>
        <w:spacing w:line="240" w:lineRule="auto" w:before="0" w:after="0"/>
        <w:ind w:left="270" w:right="677" w:firstLine="0"/>
        <w:jc w:val="both"/>
        <w:rPr>
          <w:sz w:val="18"/>
        </w:rPr>
      </w:pPr>
      <w:r>
        <w:rPr/>
        <w:drawing>
          <wp:anchor distT="0" distB="0" distL="0" distR="0" allowOverlap="1" layoutInCell="1" locked="0" behindDoc="1" simplePos="0" relativeHeight="267564599">
            <wp:simplePos x="0" y="0"/>
            <wp:positionH relativeFrom="page">
              <wp:posOffset>4124705</wp:posOffset>
            </wp:positionH>
            <wp:positionV relativeFrom="paragraph">
              <wp:posOffset>-2166336</wp:posOffset>
            </wp:positionV>
            <wp:extent cx="3044952" cy="1906524"/>
            <wp:effectExtent l="0" t="0" r="0" b="0"/>
            <wp:wrapNone/>
            <wp:docPr id="257" name="image147.jpeg" descr=""/>
            <wp:cNvGraphicFramePr>
              <a:graphicFrameLocks noChangeAspect="1"/>
            </wp:cNvGraphicFramePr>
            <a:graphic>
              <a:graphicData uri="http://schemas.openxmlformats.org/drawingml/2006/picture">
                <pic:pic>
                  <pic:nvPicPr>
                    <pic:cNvPr id="258" name="image147.jpeg"/>
                    <pic:cNvPicPr/>
                  </pic:nvPicPr>
                  <pic:blipFill>
                    <a:blip r:embed="rId244" cstate="print"/>
                    <a:stretch>
                      <a:fillRect/>
                    </a:stretch>
                  </pic:blipFill>
                  <pic:spPr>
                    <a:xfrm>
                      <a:off x="0" y="0"/>
                      <a:ext cx="3044952" cy="1906524"/>
                    </a:xfrm>
                    <a:prstGeom prst="rect">
                      <a:avLst/>
                    </a:prstGeom>
                  </pic:spPr>
                </pic:pic>
              </a:graphicData>
            </a:graphic>
          </wp:anchor>
        </w:drawing>
      </w:r>
      <w:r>
        <w:rPr>
          <w:b/>
          <w:sz w:val="18"/>
        </w:rPr>
        <w:t>Central of monitoring station</w:t>
      </w:r>
      <w:r>
        <w:rPr>
          <w:sz w:val="18"/>
        </w:rPr>
        <w:t>, designed for analysis and overall supervision of the laboratory through its internal work and equipment of monitoring as well as working groups with the main purpose of studying methods of production lines and balance of operations focused on the improvement of processes from semi- automatic assembly for the improvement of manufacturing processes, the relationship man/machine, etc. The care of hygiene that must be in this area is very simple: from surface cleaning with special detergents, to have ranked station. Students that have been set in this season to be able to organize manage and to control other stations; a basis of control, acquired in its software to carry out a registration of all practice at any other station. They are also targeting practices from professionals to research of postgraduate  or introduction to a workshop in progress. It’s kind of manufacturing for extruded</w:t>
      </w:r>
      <w:r>
        <w:rPr>
          <w:spacing w:val="-9"/>
          <w:sz w:val="18"/>
        </w:rPr>
        <w:t> </w:t>
      </w:r>
      <w:r>
        <w:rPr>
          <w:sz w:val="18"/>
        </w:rPr>
        <w:t>aluminum.</w:t>
      </w:r>
    </w:p>
    <w:p>
      <w:pPr>
        <w:pStyle w:val="BodyText"/>
        <w:rPr>
          <w:sz w:val="18"/>
        </w:rPr>
      </w:pPr>
    </w:p>
    <w:p>
      <w:pPr>
        <w:spacing w:before="0"/>
        <w:ind w:left="270" w:right="678" w:firstLine="0"/>
        <w:jc w:val="both"/>
        <w:rPr>
          <w:sz w:val="18"/>
        </w:rPr>
      </w:pPr>
      <w:r>
        <w:rPr>
          <w:sz w:val="18"/>
        </w:rPr>
        <w:t>Integrated operating systems are: System of monitoring  digital, Data acquisition system, Control of pan, zoom for camera, Dual screen for viewing, Multiplex screens ion and stereo sound. With accessories as: Furniture with drawers, Dome camera, Video projector and projector screen, Router, Multifunctional printer.</w:t>
      </w:r>
    </w:p>
    <w:p>
      <w:pPr>
        <w:pStyle w:val="BodyText"/>
        <w:rPr>
          <w:sz w:val="15"/>
        </w:rPr>
      </w:pPr>
      <w:r>
        <w:rPr/>
        <w:drawing>
          <wp:anchor distT="0" distB="0" distL="0" distR="0" allowOverlap="1" layoutInCell="1" locked="0" behindDoc="0" simplePos="0" relativeHeight="7936">
            <wp:simplePos x="0" y="0"/>
            <wp:positionH relativeFrom="page">
              <wp:posOffset>4116323</wp:posOffset>
            </wp:positionH>
            <wp:positionV relativeFrom="paragraph">
              <wp:posOffset>134533</wp:posOffset>
            </wp:positionV>
            <wp:extent cx="3063429" cy="1874901"/>
            <wp:effectExtent l="0" t="0" r="0" b="0"/>
            <wp:wrapTopAndBottom/>
            <wp:docPr id="259" name="image148.png" descr=""/>
            <wp:cNvGraphicFramePr>
              <a:graphicFrameLocks noChangeAspect="1"/>
            </wp:cNvGraphicFramePr>
            <a:graphic>
              <a:graphicData uri="http://schemas.openxmlformats.org/drawingml/2006/picture">
                <pic:pic>
                  <pic:nvPicPr>
                    <pic:cNvPr id="260" name="image148.png"/>
                    <pic:cNvPicPr/>
                  </pic:nvPicPr>
                  <pic:blipFill>
                    <a:blip r:embed="rId245" cstate="print"/>
                    <a:stretch>
                      <a:fillRect/>
                    </a:stretch>
                  </pic:blipFill>
                  <pic:spPr>
                    <a:xfrm>
                      <a:off x="0" y="0"/>
                      <a:ext cx="3063429" cy="1874901"/>
                    </a:xfrm>
                    <a:prstGeom prst="rect">
                      <a:avLst/>
                    </a:prstGeom>
                  </pic:spPr>
                </pic:pic>
              </a:graphicData>
            </a:graphic>
          </wp:anchor>
        </w:drawing>
      </w:r>
    </w:p>
    <w:p>
      <w:pPr>
        <w:spacing w:before="0"/>
        <w:ind w:left="0" w:right="408" w:firstLine="0"/>
        <w:jc w:val="center"/>
        <w:rPr>
          <w:sz w:val="18"/>
        </w:rPr>
      </w:pPr>
      <w:r>
        <w:rPr>
          <w:sz w:val="18"/>
        </w:rPr>
        <w:t>Figure 2.2 Biomechanical and anthropometric analysis station.</w:t>
      </w:r>
    </w:p>
    <w:p>
      <w:pPr>
        <w:pStyle w:val="BodyText"/>
        <w:spacing w:before="3"/>
        <w:rPr>
          <w:sz w:val="18"/>
        </w:rPr>
      </w:pPr>
    </w:p>
    <w:p>
      <w:pPr>
        <w:pStyle w:val="ListParagraph"/>
        <w:numPr>
          <w:ilvl w:val="0"/>
          <w:numId w:val="65"/>
        </w:numPr>
        <w:tabs>
          <w:tab w:pos="978" w:val="left" w:leader="none"/>
          <w:tab w:pos="979" w:val="left" w:leader="none"/>
        </w:tabs>
        <w:spacing w:line="240" w:lineRule="auto" w:before="0" w:after="0"/>
        <w:ind w:left="270" w:right="678" w:firstLine="0"/>
        <w:jc w:val="both"/>
        <w:rPr>
          <w:sz w:val="18"/>
        </w:rPr>
      </w:pPr>
      <w:r>
        <w:rPr>
          <w:b/>
          <w:sz w:val="18"/>
        </w:rPr>
        <w:t>Biomechanical and anthropometric analysis station, </w:t>
      </w:r>
      <w:r>
        <w:rPr>
          <w:sz w:val="18"/>
        </w:rPr>
        <w:t>specifically devoted to the anthropometric study and biomechanics of the human being, has a strong focus on the application of theories, principles and methods to adapt spaces, tasks and tools to the characteristics, skills and labor needs of the worker. The care of this station is rigorous due to it is provided with many pieces of work and a table of measurement of the finished body like: Section of Heights,  Section of Widths, Mixed section, Station of record  and</w:t>
      </w:r>
      <w:r>
        <w:rPr>
          <w:spacing w:val="-2"/>
          <w:sz w:val="18"/>
        </w:rPr>
        <w:t> </w:t>
      </w:r>
      <w:r>
        <w:rPr>
          <w:sz w:val="18"/>
        </w:rPr>
        <w:t>monitoring.</w:t>
      </w:r>
    </w:p>
    <w:p>
      <w:pPr>
        <w:spacing w:after="0" w:line="240" w:lineRule="auto"/>
        <w:jc w:val="both"/>
        <w:rPr>
          <w:sz w:val="18"/>
        </w:rPr>
        <w:sectPr>
          <w:type w:val="continuous"/>
          <w:pgSz w:w="12240" w:h="15840"/>
          <w:pgMar w:top="1500" w:bottom="280" w:left="580" w:right="220"/>
          <w:cols w:num="2" w:equalWidth="0">
            <w:col w:w="5162" w:space="436"/>
            <w:col w:w="5842"/>
          </w:cols>
        </w:sectPr>
      </w:pPr>
    </w:p>
    <w:p>
      <w:pPr>
        <w:pStyle w:val="BodyText"/>
        <w:spacing w:before="7"/>
        <w:rPr>
          <w:sz w:val="17"/>
        </w:rPr>
      </w:pPr>
    </w:p>
    <w:p>
      <w:pPr>
        <w:spacing w:before="1"/>
        <w:ind w:left="270" w:right="0" w:firstLine="0"/>
        <w:jc w:val="both"/>
        <w:rPr>
          <w:sz w:val="18"/>
        </w:rPr>
      </w:pPr>
      <w:r>
        <w:rPr>
          <w:sz w:val="18"/>
        </w:rPr>
        <w:t>The included accessories are: Ergonomic seat, Semiprofessional Chamber with tripod, Scales of movable apartment of comfortable use, Anthropometry type lafayet,  Goniometry and tape measures.</w:t>
      </w:r>
    </w:p>
    <w:p>
      <w:pPr>
        <w:pStyle w:val="BodyText"/>
        <w:rPr>
          <w:sz w:val="18"/>
        </w:rPr>
      </w:pPr>
    </w:p>
    <w:p>
      <w:pPr>
        <w:spacing w:before="0"/>
        <w:ind w:left="270" w:right="0" w:firstLine="0"/>
        <w:jc w:val="both"/>
        <w:rPr>
          <w:sz w:val="18"/>
        </w:rPr>
      </w:pPr>
      <w:r>
        <w:rPr>
          <w:sz w:val="18"/>
        </w:rPr>
        <w:t>The integrated operation systems are: Straight measurements, Measurements sedates, Supine measurement, Photogrammetry</w:t>
      </w:r>
    </w:p>
    <w:p>
      <w:pPr>
        <w:pStyle w:val="BodyText"/>
        <w:rPr>
          <w:sz w:val="18"/>
        </w:rPr>
      </w:pPr>
    </w:p>
    <w:p>
      <w:pPr>
        <w:spacing w:before="0"/>
        <w:ind w:left="270" w:right="1" w:firstLine="0"/>
        <w:jc w:val="both"/>
        <w:rPr>
          <w:sz w:val="18"/>
        </w:rPr>
      </w:pPr>
      <w:r>
        <w:rPr>
          <w:sz w:val="18"/>
        </w:rPr>
        <w:t>This team is of supreme importance in the laboratory since he evaluates the portions of the human body and creates designs and statisticians in samples really for the size that is. There can be realized professional practices and projects of scientific investigation.</w:t>
      </w:r>
    </w:p>
    <w:p>
      <w:pPr>
        <w:pStyle w:val="BodyText"/>
        <w:rPr>
          <w:sz w:val="15"/>
        </w:rPr>
      </w:pPr>
      <w:r>
        <w:rPr/>
        <w:drawing>
          <wp:anchor distT="0" distB="0" distL="0" distR="0" allowOverlap="1" layoutInCell="1" locked="0" behindDoc="0" simplePos="0" relativeHeight="7984">
            <wp:simplePos x="0" y="0"/>
            <wp:positionH relativeFrom="page">
              <wp:posOffset>540258</wp:posOffset>
            </wp:positionH>
            <wp:positionV relativeFrom="paragraph">
              <wp:posOffset>134533</wp:posOffset>
            </wp:positionV>
            <wp:extent cx="3085579" cy="2292953"/>
            <wp:effectExtent l="0" t="0" r="0" b="0"/>
            <wp:wrapTopAndBottom/>
            <wp:docPr id="261" name="image149.jpeg" descr=""/>
            <wp:cNvGraphicFramePr>
              <a:graphicFrameLocks noChangeAspect="1"/>
            </wp:cNvGraphicFramePr>
            <a:graphic>
              <a:graphicData uri="http://schemas.openxmlformats.org/drawingml/2006/picture">
                <pic:pic>
                  <pic:nvPicPr>
                    <pic:cNvPr id="262" name="image149.jpeg"/>
                    <pic:cNvPicPr/>
                  </pic:nvPicPr>
                  <pic:blipFill>
                    <a:blip r:embed="rId246" cstate="print"/>
                    <a:stretch>
                      <a:fillRect/>
                    </a:stretch>
                  </pic:blipFill>
                  <pic:spPr>
                    <a:xfrm>
                      <a:off x="0" y="0"/>
                      <a:ext cx="3085579" cy="2292953"/>
                    </a:xfrm>
                    <a:prstGeom prst="rect">
                      <a:avLst/>
                    </a:prstGeom>
                  </pic:spPr>
                </pic:pic>
              </a:graphicData>
            </a:graphic>
          </wp:anchor>
        </w:drawing>
      </w:r>
    </w:p>
    <w:p>
      <w:pPr>
        <w:spacing w:before="0"/>
        <w:ind w:left="686" w:right="115" w:firstLine="0"/>
        <w:jc w:val="left"/>
        <w:rPr>
          <w:sz w:val="18"/>
        </w:rPr>
      </w:pPr>
      <w:r>
        <w:rPr>
          <w:sz w:val="18"/>
        </w:rPr>
        <w:t>Figure 2.3 Production station with semi-automatic tools.</w:t>
      </w:r>
    </w:p>
    <w:p>
      <w:pPr>
        <w:pStyle w:val="BodyText"/>
        <w:spacing w:before="5"/>
        <w:rPr>
          <w:sz w:val="18"/>
        </w:rPr>
      </w:pPr>
    </w:p>
    <w:p>
      <w:pPr>
        <w:pStyle w:val="ListParagraph"/>
        <w:numPr>
          <w:ilvl w:val="0"/>
          <w:numId w:val="65"/>
        </w:numPr>
        <w:tabs>
          <w:tab w:pos="978" w:val="left" w:leader="none"/>
          <w:tab w:pos="979" w:val="left" w:leader="none"/>
        </w:tabs>
        <w:spacing w:line="237" w:lineRule="auto" w:before="0" w:after="0"/>
        <w:ind w:left="270" w:right="0" w:firstLine="0"/>
        <w:jc w:val="both"/>
        <w:rPr>
          <w:sz w:val="18"/>
        </w:rPr>
      </w:pPr>
      <w:r>
        <w:rPr>
          <w:b/>
          <w:sz w:val="18"/>
        </w:rPr>
        <w:t>Production station with semi-automatic tools, </w:t>
      </w:r>
      <w:r>
        <w:rPr>
          <w:sz w:val="18"/>
        </w:rPr>
        <w:t>dedicated specifically to the design of productive tasks. As all other stations, it also uses specially developed software to interpret data time cycle, standard time, line balancing,</w:t>
      </w:r>
      <w:r>
        <w:rPr>
          <w:spacing w:val="-14"/>
          <w:sz w:val="18"/>
        </w:rPr>
        <w:t> </w:t>
      </w:r>
      <w:r>
        <w:rPr>
          <w:sz w:val="18"/>
        </w:rPr>
        <w:t>etc.</w:t>
      </w:r>
    </w:p>
    <w:p>
      <w:pPr>
        <w:pStyle w:val="BodyText"/>
        <w:rPr>
          <w:sz w:val="18"/>
        </w:rPr>
      </w:pPr>
    </w:p>
    <w:p>
      <w:pPr>
        <w:spacing w:before="0"/>
        <w:ind w:left="270" w:right="0" w:firstLine="0"/>
        <w:jc w:val="both"/>
        <w:rPr>
          <w:sz w:val="18"/>
        </w:rPr>
      </w:pPr>
      <w:r>
        <w:rPr>
          <w:sz w:val="18"/>
        </w:rPr>
        <w:t>Teams that compose them:</w:t>
      </w:r>
    </w:p>
    <w:p>
      <w:pPr>
        <w:spacing w:before="0"/>
        <w:ind w:left="270" w:right="0" w:firstLine="0"/>
        <w:jc w:val="both"/>
        <w:rPr>
          <w:sz w:val="18"/>
        </w:rPr>
      </w:pPr>
      <w:r>
        <w:rPr>
          <w:sz w:val="18"/>
        </w:rPr>
        <w:t>Workstations “Analyst“, Stations of "Collaborating" work Turret.</w:t>
      </w:r>
    </w:p>
    <w:p>
      <w:pPr>
        <w:pStyle w:val="BodyText"/>
        <w:rPr>
          <w:sz w:val="18"/>
        </w:rPr>
      </w:pPr>
    </w:p>
    <w:p>
      <w:pPr>
        <w:spacing w:before="0"/>
        <w:ind w:left="270" w:right="1" w:firstLine="0"/>
        <w:jc w:val="both"/>
        <w:rPr>
          <w:sz w:val="18"/>
        </w:rPr>
      </w:pPr>
      <w:r>
        <w:rPr>
          <w:sz w:val="18"/>
        </w:rPr>
        <w:t>The accessories that shape it are: Ergonomic seats and banks it attires, Interior trays for materials, Arm articulated with containers of storage, Levelers of steel and wheels antistatic, Professional auditory diadems, Digital chronometers, Didactic work kit</w:t>
      </w:r>
    </w:p>
    <w:p>
      <w:pPr>
        <w:pStyle w:val="BodyText"/>
        <w:rPr>
          <w:sz w:val="18"/>
        </w:rPr>
      </w:pPr>
    </w:p>
    <w:p>
      <w:pPr>
        <w:spacing w:before="0"/>
        <w:ind w:left="270" w:right="0" w:firstLine="0"/>
        <w:jc w:val="both"/>
        <w:rPr>
          <w:sz w:val="18"/>
        </w:rPr>
      </w:pPr>
      <w:r>
        <w:rPr>
          <w:sz w:val="18"/>
        </w:rPr>
        <w:t>At this station there can specialize the engineering of methods, investigation of operations and automation and control. Where, in these courses, the pupil is allowed to know in detail the production line in a company, to follow procedures, to create an article, to assemble laity pieces, to have a control of times and specific movements, to take care of the work environment and the position of the pupil, and to simulate to be a worker.</w:t>
      </w:r>
    </w:p>
    <w:p>
      <w:pPr>
        <w:pStyle w:val="BodyText"/>
        <w:spacing w:before="7" w:after="39"/>
        <w:rPr>
          <w:sz w:val="14"/>
        </w:rPr>
      </w:pPr>
      <w:r>
        <w:rPr/>
        <w:br w:type="column"/>
      </w:r>
      <w:r>
        <w:rPr>
          <w:sz w:val="14"/>
        </w:rPr>
      </w:r>
    </w:p>
    <w:p>
      <w:pPr>
        <w:pStyle w:val="BodyText"/>
        <w:ind w:left="270"/>
      </w:pPr>
      <w:r>
        <w:rPr/>
        <w:drawing>
          <wp:inline distT="0" distB="0" distL="0" distR="0">
            <wp:extent cx="3170940" cy="2343626"/>
            <wp:effectExtent l="0" t="0" r="0" b="0"/>
            <wp:docPr id="263" name="image150.jpeg" descr=""/>
            <wp:cNvGraphicFramePr>
              <a:graphicFrameLocks noChangeAspect="1"/>
            </wp:cNvGraphicFramePr>
            <a:graphic>
              <a:graphicData uri="http://schemas.openxmlformats.org/drawingml/2006/picture">
                <pic:pic>
                  <pic:nvPicPr>
                    <pic:cNvPr id="264" name="image150.jpeg"/>
                    <pic:cNvPicPr/>
                  </pic:nvPicPr>
                  <pic:blipFill>
                    <a:blip r:embed="rId247" cstate="print"/>
                    <a:stretch>
                      <a:fillRect/>
                    </a:stretch>
                  </pic:blipFill>
                  <pic:spPr>
                    <a:xfrm>
                      <a:off x="0" y="0"/>
                      <a:ext cx="3170940" cy="2343626"/>
                    </a:xfrm>
                    <a:prstGeom prst="rect">
                      <a:avLst/>
                    </a:prstGeom>
                  </pic:spPr>
                </pic:pic>
              </a:graphicData>
            </a:graphic>
          </wp:inline>
        </w:drawing>
      </w:r>
      <w:r>
        <w:rPr/>
      </w:r>
    </w:p>
    <w:p>
      <w:pPr>
        <w:spacing w:before="9"/>
        <w:ind w:left="0" w:right="406" w:firstLine="0"/>
        <w:jc w:val="center"/>
        <w:rPr>
          <w:sz w:val="18"/>
        </w:rPr>
      </w:pPr>
      <w:r>
        <w:rPr>
          <w:sz w:val="18"/>
        </w:rPr>
        <w:t>Figure 2.4 Station of workplace design</w:t>
      </w:r>
    </w:p>
    <w:p>
      <w:pPr>
        <w:pStyle w:val="BodyText"/>
        <w:rPr>
          <w:sz w:val="18"/>
        </w:rPr>
      </w:pPr>
    </w:p>
    <w:p>
      <w:pPr>
        <w:pStyle w:val="ListParagraph"/>
        <w:numPr>
          <w:ilvl w:val="0"/>
          <w:numId w:val="65"/>
        </w:numPr>
        <w:tabs>
          <w:tab w:pos="978" w:val="left" w:leader="none"/>
          <w:tab w:pos="979" w:val="left" w:leader="none"/>
        </w:tabs>
        <w:spacing w:line="240" w:lineRule="auto" w:before="0" w:after="0"/>
        <w:ind w:left="270" w:right="677" w:firstLine="0"/>
        <w:jc w:val="both"/>
        <w:rPr>
          <w:sz w:val="18"/>
        </w:rPr>
      </w:pPr>
      <w:r>
        <w:rPr>
          <w:b/>
          <w:sz w:val="18"/>
        </w:rPr>
        <w:t>Station of workplace design, </w:t>
      </w:r>
      <w:r>
        <w:rPr>
          <w:sz w:val="18"/>
        </w:rPr>
        <w:t>focused on the simulation and study of ergonomic conditions of workplaces, among other applications is useful to determine rates of ergonomic risks and factors affecting benefit or prevent any (DTA) cumulative trauma disorders. Here the student evaluates the fatigue, the intensity of the lights, and the height of the</w:t>
      </w:r>
      <w:r>
        <w:rPr>
          <w:spacing w:val="-6"/>
          <w:sz w:val="18"/>
        </w:rPr>
        <w:t> </w:t>
      </w:r>
      <w:r>
        <w:rPr>
          <w:sz w:val="18"/>
        </w:rPr>
        <w:t>table.</w:t>
      </w:r>
    </w:p>
    <w:p>
      <w:pPr>
        <w:pStyle w:val="BodyText"/>
        <w:rPr>
          <w:sz w:val="18"/>
        </w:rPr>
      </w:pPr>
    </w:p>
    <w:p>
      <w:pPr>
        <w:spacing w:before="0"/>
        <w:ind w:left="270" w:right="677" w:firstLine="0"/>
        <w:jc w:val="both"/>
        <w:rPr>
          <w:sz w:val="18"/>
        </w:rPr>
      </w:pPr>
      <w:r>
        <w:rPr>
          <w:sz w:val="18"/>
        </w:rPr>
        <w:t>This station is complemented with the experimental arrays because it creates the ideal design for the worker, under what conditions should work, time and how many cycles you can perform in a  given time simulating a common labor day. The student can practice of risk assessment, and control of health for the worker, creating activities of assemblies and positions. Under that repetitive motion is and how long is this exposed, with dimensions of Breadth 150 cm gave 122 cm Height 209</w:t>
      </w:r>
      <w:r>
        <w:rPr>
          <w:spacing w:val="-6"/>
          <w:sz w:val="18"/>
        </w:rPr>
        <w:t> </w:t>
      </w:r>
      <w:r>
        <w:rPr>
          <w:sz w:val="18"/>
        </w:rPr>
        <w:t>cm.</w:t>
      </w:r>
    </w:p>
    <w:p>
      <w:pPr>
        <w:pStyle w:val="BodyText"/>
        <w:rPr>
          <w:sz w:val="18"/>
        </w:rPr>
      </w:pPr>
    </w:p>
    <w:p>
      <w:pPr>
        <w:spacing w:before="0"/>
        <w:ind w:left="270" w:right="677" w:firstLine="0"/>
        <w:jc w:val="both"/>
        <w:rPr>
          <w:sz w:val="18"/>
        </w:rPr>
      </w:pPr>
      <w:r>
        <w:rPr>
          <w:sz w:val="18"/>
        </w:rPr>
        <w:t>With integrated systems of: System of automatic elevation, System of manual inclination, Board for the process control, Board of visual devices, Relation of scope of spaces, System of lighting  LED type RGB, Unit of acquisition and prosecution of information, System of digital videotaping,  Signs multiplexer, Didactic</w:t>
      </w:r>
      <w:r>
        <w:rPr>
          <w:spacing w:val="-19"/>
          <w:sz w:val="18"/>
        </w:rPr>
        <w:t> </w:t>
      </w:r>
      <w:r>
        <w:rPr>
          <w:sz w:val="18"/>
        </w:rPr>
        <w:t>board.</w:t>
      </w:r>
    </w:p>
    <w:p>
      <w:pPr>
        <w:pStyle w:val="BodyText"/>
        <w:rPr>
          <w:sz w:val="18"/>
        </w:rPr>
      </w:pPr>
    </w:p>
    <w:p>
      <w:pPr>
        <w:spacing w:before="0"/>
        <w:ind w:left="270" w:right="679" w:firstLine="0"/>
        <w:jc w:val="both"/>
        <w:rPr>
          <w:sz w:val="18"/>
        </w:rPr>
      </w:pPr>
      <w:r>
        <w:rPr>
          <w:sz w:val="18"/>
        </w:rPr>
        <w:t>Accessories: Ergonomic seats, Digital chronometer, Containers  with articulated arm, Transfers kit for panels, Didactic work</w:t>
      </w:r>
      <w:r>
        <w:rPr>
          <w:spacing w:val="-20"/>
          <w:sz w:val="18"/>
        </w:rPr>
        <w:t> </w:t>
      </w:r>
      <w:r>
        <w:rPr>
          <w:sz w:val="18"/>
        </w:rPr>
        <w:t>kit.</w:t>
      </w:r>
    </w:p>
    <w:p>
      <w:pPr>
        <w:pStyle w:val="BodyText"/>
        <w:rPr>
          <w:sz w:val="15"/>
        </w:rPr>
      </w:pPr>
      <w:r>
        <w:rPr/>
        <w:drawing>
          <wp:anchor distT="0" distB="0" distL="0" distR="0" allowOverlap="1" layoutInCell="1" locked="0" behindDoc="0" simplePos="0" relativeHeight="8008">
            <wp:simplePos x="0" y="0"/>
            <wp:positionH relativeFrom="page">
              <wp:posOffset>4101846</wp:posOffset>
            </wp:positionH>
            <wp:positionV relativeFrom="paragraph">
              <wp:posOffset>134532</wp:posOffset>
            </wp:positionV>
            <wp:extent cx="3087760" cy="2318289"/>
            <wp:effectExtent l="0" t="0" r="0" b="0"/>
            <wp:wrapTopAndBottom/>
            <wp:docPr id="265" name="image151.jpeg" descr=""/>
            <wp:cNvGraphicFramePr>
              <a:graphicFrameLocks noChangeAspect="1"/>
            </wp:cNvGraphicFramePr>
            <a:graphic>
              <a:graphicData uri="http://schemas.openxmlformats.org/drawingml/2006/picture">
                <pic:pic>
                  <pic:nvPicPr>
                    <pic:cNvPr id="266" name="image151.jpeg"/>
                    <pic:cNvPicPr/>
                  </pic:nvPicPr>
                  <pic:blipFill>
                    <a:blip r:embed="rId248" cstate="print"/>
                    <a:stretch>
                      <a:fillRect/>
                    </a:stretch>
                  </pic:blipFill>
                  <pic:spPr>
                    <a:xfrm>
                      <a:off x="0" y="0"/>
                      <a:ext cx="3087760" cy="2318289"/>
                    </a:xfrm>
                    <a:prstGeom prst="rect">
                      <a:avLst/>
                    </a:prstGeom>
                  </pic:spPr>
                </pic:pic>
              </a:graphicData>
            </a:graphic>
          </wp:anchor>
        </w:drawing>
      </w:r>
    </w:p>
    <w:p>
      <w:pPr>
        <w:spacing w:before="0"/>
        <w:ind w:left="0" w:right="408" w:firstLine="0"/>
        <w:jc w:val="center"/>
        <w:rPr>
          <w:sz w:val="18"/>
        </w:rPr>
      </w:pPr>
      <w:r>
        <w:rPr>
          <w:sz w:val="18"/>
        </w:rPr>
        <w:t>Figure 2.5 Experimental cabins</w:t>
      </w:r>
    </w:p>
    <w:p>
      <w:pPr>
        <w:spacing w:after="0"/>
        <w:jc w:val="center"/>
        <w:rPr>
          <w:sz w:val="18"/>
        </w:rPr>
        <w:sectPr>
          <w:pgSz w:w="12240" w:h="15840"/>
          <w:pgMar w:header="545" w:footer="852" w:top="1060" w:bottom="1040" w:left="580" w:right="220"/>
          <w:cols w:num="2" w:equalWidth="0">
            <w:col w:w="5163" w:space="435"/>
            <w:col w:w="5842"/>
          </w:cols>
        </w:sectPr>
      </w:pPr>
    </w:p>
    <w:p>
      <w:pPr>
        <w:pStyle w:val="BodyText"/>
        <w:rPr>
          <w:sz w:val="11"/>
        </w:rPr>
      </w:pPr>
    </w:p>
    <w:p>
      <w:pPr>
        <w:spacing w:after="0"/>
        <w:rPr>
          <w:sz w:val="11"/>
        </w:rPr>
        <w:sectPr>
          <w:pgSz w:w="12240" w:h="15840"/>
          <w:pgMar w:header="545" w:footer="852" w:top="1060" w:bottom="1040" w:left="580" w:right="220"/>
        </w:sectPr>
      </w:pPr>
    </w:p>
    <w:p>
      <w:pPr>
        <w:pStyle w:val="ListParagraph"/>
        <w:numPr>
          <w:ilvl w:val="0"/>
          <w:numId w:val="65"/>
        </w:numPr>
        <w:tabs>
          <w:tab w:pos="978" w:val="left" w:leader="none"/>
          <w:tab w:pos="979" w:val="left" w:leader="none"/>
        </w:tabs>
        <w:spacing w:line="240" w:lineRule="auto" w:before="77" w:after="0"/>
        <w:ind w:left="270" w:right="1" w:firstLine="0"/>
        <w:jc w:val="both"/>
        <w:rPr>
          <w:sz w:val="18"/>
        </w:rPr>
      </w:pPr>
      <w:r>
        <w:rPr>
          <w:b/>
          <w:sz w:val="18"/>
        </w:rPr>
        <w:t>Experimental cabins </w:t>
      </w:r>
      <w:r>
        <w:rPr>
          <w:sz w:val="18"/>
        </w:rPr>
        <w:t>are used to study the performance and productivity of users under specific environmental conditions. It simulates different working environments by manipulating controlled variables as noise, humidity, temperature, lighting, and ventilation, among others. Some of the competencies and topics addressed with this laboratory module were the development of innovative practices, analysis and controls employment, movements, energy expenditure, environmental ergonomics, analysis and use of the meters, measuring times and movements, layout, analysis MTM/MOST/MODAPTS say some. Teams that compose them are: 1 Cabin Gilbreth, 1 Cabin Taylor, 1 Central Module</w:t>
      </w:r>
    </w:p>
    <w:p>
      <w:pPr>
        <w:pStyle w:val="BodyText"/>
        <w:rPr>
          <w:sz w:val="18"/>
        </w:rPr>
      </w:pPr>
    </w:p>
    <w:p>
      <w:pPr>
        <w:spacing w:line="207" w:lineRule="exact" w:before="0"/>
        <w:ind w:left="270" w:right="0" w:firstLine="0"/>
        <w:jc w:val="both"/>
        <w:rPr>
          <w:sz w:val="18"/>
        </w:rPr>
      </w:pPr>
      <w:r>
        <w:rPr>
          <w:sz w:val="18"/>
        </w:rPr>
        <w:t>With specific dimensions of:</w:t>
      </w:r>
    </w:p>
    <w:p>
      <w:pPr>
        <w:pStyle w:val="ListParagraph"/>
        <w:numPr>
          <w:ilvl w:val="1"/>
          <w:numId w:val="29"/>
        </w:numPr>
        <w:tabs>
          <w:tab w:pos="380" w:val="left" w:leader="none"/>
        </w:tabs>
        <w:spacing w:line="207" w:lineRule="exact" w:before="0" w:after="0"/>
        <w:ind w:left="379" w:right="0" w:hanging="109"/>
        <w:jc w:val="both"/>
        <w:rPr>
          <w:sz w:val="18"/>
        </w:rPr>
      </w:pPr>
      <w:r>
        <w:rPr>
          <w:sz w:val="18"/>
        </w:rPr>
        <w:t>Cabins, Breadth 145 cm / Gave 165 cm / Height 235</w:t>
      </w:r>
      <w:r>
        <w:rPr>
          <w:spacing w:val="-21"/>
          <w:sz w:val="18"/>
        </w:rPr>
        <w:t> </w:t>
      </w:r>
      <w:r>
        <w:rPr>
          <w:sz w:val="18"/>
        </w:rPr>
        <w:t>cm</w:t>
      </w:r>
    </w:p>
    <w:p>
      <w:pPr>
        <w:pStyle w:val="ListParagraph"/>
        <w:numPr>
          <w:ilvl w:val="1"/>
          <w:numId w:val="29"/>
        </w:numPr>
        <w:tabs>
          <w:tab w:pos="380" w:val="left" w:leader="none"/>
        </w:tabs>
        <w:spacing w:line="240" w:lineRule="auto" w:before="0" w:after="0"/>
        <w:ind w:left="379" w:right="0" w:hanging="109"/>
        <w:jc w:val="both"/>
        <w:rPr>
          <w:sz w:val="18"/>
        </w:rPr>
      </w:pPr>
      <w:r>
        <w:rPr>
          <w:sz w:val="18"/>
        </w:rPr>
        <w:t>Wide central module 190 cm / Gave 115 cm / Height 215</w:t>
      </w:r>
      <w:r>
        <w:rPr>
          <w:spacing w:val="-7"/>
          <w:sz w:val="18"/>
        </w:rPr>
        <w:t> </w:t>
      </w:r>
      <w:r>
        <w:rPr>
          <w:sz w:val="18"/>
        </w:rPr>
        <w:t>cm.</w:t>
      </w:r>
    </w:p>
    <w:p>
      <w:pPr>
        <w:pStyle w:val="BodyText"/>
        <w:rPr>
          <w:sz w:val="18"/>
        </w:rPr>
      </w:pPr>
    </w:p>
    <w:p>
      <w:pPr>
        <w:spacing w:before="0"/>
        <w:ind w:left="270" w:right="1" w:firstLine="0"/>
        <w:jc w:val="both"/>
        <w:rPr>
          <w:sz w:val="18"/>
        </w:rPr>
      </w:pPr>
      <w:r>
        <w:rPr>
          <w:sz w:val="18"/>
        </w:rPr>
        <w:t>Compound of material of abstracted aluminum. It is provided with integrated systems of operation that are: Lighting - Incandescent / fluorescent, Sound - Analogical / digital, Environmental temperature, Relative moisture, Physiological conditions, Folding workstation, Visualization of digital video of cabins.</w:t>
      </w:r>
    </w:p>
    <w:p>
      <w:pPr>
        <w:pStyle w:val="BodyText"/>
        <w:rPr>
          <w:sz w:val="18"/>
        </w:rPr>
      </w:pPr>
    </w:p>
    <w:p>
      <w:pPr>
        <w:spacing w:before="0"/>
        <w:ind w:left="270" w:right="1" w:firstLine="0"/>
        <w:jc w:val="both"/>
        <w:rPr>
          <w:sz w:val="18"/>
        </w:rPr>
      </w:pPr>
      <w:r>
        <w:rPr>
          <w:sz w:val="18"/>
        </w:rPr>
        <w:t>In addition account with ergonomic seats. As these cabins allow it, the student can experience the most common conditions until the most extreme in the workplace. Doing, at the same  time, internships in Assembly with a design specifically study the health of the worker, to understand causes and common reactions of the human body and make designs and reports from the environmental conditions for the worker.</w:t>
      </w:r>
    </w:p>
    <w:p>
      <w:pPr>
        <w:pStyle w:val="BodyText"/>
        <w:rPr>
          <w:sz w:val="15"/>
        </w:rPr>
      </w:pPr>
      <w:r>
        <w:rPr/>
        <w:drawing>
          <wp:anchor distT="0" distB="0" distL="0" distR="0" allowOverlap="1" layoutInCell="1" locked="0" behindDoc="0" simplePos="0" relativeHeight="8032">
            <wp:simplePos x="0" y="0"/>
            <wp:positionH relativeFrom="page">
              <wp:posOffset>556259</wp:posOffset>
            </wp:positionH>
            <wp:positionV relativeFrom="paragraph">
              <wp:posOffset>134533</wp:posOffset>
            </wp:positionV>
            <wp:extent cx="3072433" cy="2322576"/>
            <wp:effectExtent l="0" t="0" r="0" b="0"/>
            <wp:wrapTopAndBottom/>
            <wp:docPr id="267" name="image152.jpeg" descr=""/>
            <wp:cNvGraphicFramePr>
              <a:graphicFrameLocks noChangeAspect="1"/>
            </wp:cNvGraphicFramePr>
            <a:graphic>
              <a:graphicData uri="http://schemas.openxmlformats.org/drawingml/2006/picture">
                <pic:pic>
                  <pic:nvPicPr>
                    <pic:cNvPr id="268" name="image152.jpeg"/>
                    <pic:cNvPicPr/>
                  </pic:nvPicPr>
                  <pic:blipFill>
                    <a:blip r:embed="rId249" cstate="print"/>
                    <a:stretch>
                      <a:fillRect/>
                    </a:stretch>
                  </pic:blipFill>
                  <pic:spPr>
                    <a:xfrm>
                      <a:off x="0" y="0"/>
                      <a:ext cx="3072433" cy="2322576"/>
                    </a:xfrm>
                    <a:prstGeom prst="rect">
                      <a:avLst/>
                    </a:prstGeom>
                  </pic:spPr>
                </pic:pic>
              </a:graphicData>
            </a:graphic>
          </wp:anchor>
        </w:drawing>
      </w:r>
    </w:p>
    <w:p>
      <w:pPr>
        <w:spacing w:before="0"/>
        <w:ind w:left="1706" w:right="77" w:firstLine="0"/>
        <w:jc w:val="left"/>
        <w:rPr>
          <w:sz w:val="18"/>
        </w:rPr>
      </w:pPr>
      <w:r>
        <w:rPr>
          <w:sz w:val="18"/>
        </w:rPr>
        <w:t>Figure 2.6 Spirometry room</w:t>
      </w:r>
    </w:p>
    <w:p>
      <w:pPr>
        <w:pStyle w:val="BodyText"/>
        <w:rPr>
          <w:sz w:val="18"/>
        </w:rPr>
      </w:pPr>
    </w:p>
    <w:p>
      <w:pPr>
        <w:pStyle w:val="ListParagraph"/>
        <w:numPr>
          <w:ilvl w:val="0"/>
          <w:numId w:val="65"/>
        </w:numPr>
        <w:tabs>
          <w:tab w:pos="553" w:val="left" w:leader="none"/>
        </w:tabs>
        <w:spacing w:line="207" w:lineRule="exact" w:before="0" w:after="0"/>
        <w:ind w:left="552" w:right="0" w:hanging="282"/>
        <w:jc w:val="both"/>
        <w:rPr>
          <w:sz w:val="18"/>
        </w:rPr>
      </w:pPr>
      <w:r>
        <w:rPr>
          <w:b/>
          <w:sz w:val="18"/>
        </w:rPr>
        <w:t>Spirometry</w:t>
      </w:r>
      <w:r>
        <w:rPr>
          <w:b/>
          <w:spacing w:val="26"/>
          <w:sz w:val="18"/>
        </w:rPr>
        <w:t> </w:t>
      </w:r>
      <w:r>
        <w:rPr>
          <w:b/>
          <w:sz w:val="18"/>
        </w:rPr>
        <w:t>room,</w:t>
      </w:r>
      <w:r>
        <w:rPr>
          <w:b/>
          <w:spacing w:val="25"/>
          <w:sz w:val="18"/>
        </w:rPr>
        <w:t> </w:t>
      </w:r>
      <w:r>
        <w:rPr>
          <w:sz w:val="18"/>
        </w:rPr>
        <w:t>in</w:t>
      </w:r>
      <w:r>
        <w:rPr>
          <w:spacing w:val="25"/>
          <w:sz w:val="18"/>
        </w:rPr>
        <w:t> </w:t>
      </w:r>
      <w:r>
        <w:rPr>
          <w:sz w:val="18"/>
        </w:rPr>
        <w:t>this</w:t>
      </w:r>
      <w:r>
        <w:rPr>
          <w:spacing w:val="26"/>
          <w:sz w:val="18"/>
        </w:rPr>
        <w:t> </w:t>
      </w:r>
      <w:r>
        <w:rPr>
          <w:sz w:val="18"/>
        </w:rPr>
        <w:t>room</w:t>
      </w:r>
      <w:r>
        <w:rPr>
          <w:spacing w:val="25"/>
          <w:sz w:val="18"/>
        </w:rPr>
        <w:t> </w:t>
      </w:r>
      <w:r>
        <w:rPr>
          <w:sz w:val="18"/>
        </w:rPr>
        <w:t>is</w:t>
      </w:r>
      <w:r>
        <w:rPr>
          <w:spacing w:val="26"/>
          <w:sz w:val="18"/>
        </w:rPr>
        <w:t> </w:t>
      </w:r>
      <w:r>
        <w:rPr>
          <w:sz w:val="18"/>
        </w:rPr>
        <w:t>located</w:t>
      </w:r>
      <w:r>
        <w:rPr>
          <w:spacing w:val="25"/>
          <w:sz w:val="18"/>
        </w:rPr>
        <w:t> </w:t>
      </w:r>
      <w:r>
        <w:rPr>
          <w:sz w:val="18"/>
        </w:rPr>
        <w:t>within</w:t>
      </w:r>
      <w:r>
        <w:rPr>
          <w:spacing w:val="26"/>
          <w:sz w:val="18"/>
        </w:rPr>
        <w:t> </w:t>
      </w:r>
      <w:r>
        <w:rPr>
          <w:sz w:val="18"/>
        </w:rPr>
        <w:t>the</w:t>
      </w:r>
      <w:r>
        <w:rPr>
          <w:spacing w:val="26"/>
          <w:sz w:val="18"/>
        </w:rPr>
        <w:t> </w:t>
      </w:r>
      <w:r>
        <w:rPr>
          <w:sz w:val="18"/>
        </w:rPr>
        <w:t>LAEB-</w:t>
      </w:r>
    </w:p>
    <w:p>
      <w:pPr>
        <w:spacing w:before="0"/>
        <w:ind w:left="270" w:right="1" w:firstLine="0"/>
        <w:jc w:val="both"/>
        <w:rPr>
          <w:sz w:val="18"/>
        </w:rPr>
      </w:pPr>
      <w:r>
        <w:rPr>
          <w:sz w:val="18"/>
        </w:rPr>
        <w:t>104. Here are the pulmonary function tests in the laboratory or in industry thanks to which the team has wireless telemetry system. These studies serve as guideline to issue recommendations to workplaces in terms of whether to keep or not to workers in certain physical conditions. The clinical appearance of the diagnostics required will be covered by specialists of the  occupational medicine of the UABC or external which are signed collaboration agreements, in this way it is ensuring that the recommendations are reliable for those who receive them.</w:t>
      </w:r>
    </w:p>
    <w:p>
      <w:pPr>
        <w:pStyle w:val="BodyText"/>
        <w:rPr>
          <w:sz w:val="18"/>
        </w:rPr>
      </w:pPr>
    </w:p>
    <w:p>
      <w:pPr>
        <w:spacing w:before="0"/>
        <w:ind w:left="270" w:right="0" w:firstLine="0"/>
        <w:jc w:val="both"/>
        <w:rPr>
          <w:sz w:val="18"/>
        </w:rPr>
      </w:pPr>
      <w:r>
        <w:rPr>
          <w:sz w:val="18"/>
        </w:rPr>
        <w:t>Spirometry measures the flow of air. Measuring the amount of air you exhale and what it does so quickly, with spirometry can evaluate a range of lung diseases. The most important issue is to</w:t>
      </w:r>
    </w:p>
    <w:p>
      <w:pPr>
        <w:spacing w:before="77"/>
        <w:ind w:left="270" w:right="678" w:firstLine="0"/>
        <w:jc w:val="both"/>
        <w:rPr>
          <w:sz w:val="18"/>
        </w:rPr>
      </w:pPr>
      <w:r>
        <w:rPr/>
        <w:br w:type="column"/>
      </w:r>
      <w:r>
        <w:rPr>
          <w:sz w:val="18"/>
        </w:rPr>
        <w:t>have the test always in the same position. This area focuses on projects of scientific research and graduate programs. Spirometry is also used to objectively evaluate the response of airway to bronco stimuli (allergen, aspirin, inhalants industrial) specific or nonspecific constrictor (meth choline, histamine, cold air). This way is possible to reveal and to measure the bronchial hyperactivity. In the LAEB-104 students can create activities and practices related to applications that you can give them scientific research with the spirometer is evaluation of mechanisms of bronchial obstruction, graduation of the functional capacity, measurement of the physical disability (legal industrial) among others.</w:t>
      </w:r>
    </w:p>
    <w:p>
      <w:pPr>
        <w:pStyle w:val="BodyText"/>
        <w:spacing w:before="3"/>
        <w:rPr>
          <w:sz w:val="18"/>
        </w:rPr>
      </w:pPr>
    </w:p>
    <w:p>
      <w:pPr>
        <w:pStyle w:val="ListParagraph"/>
        <w:numPr>
          <w:ilvl w:val="0"/>
          <w:numId w:val="66"/>
        </w:numPr>
        <w:tabs>
          <w:tab w:pos="452" w:val="left" w:leader="none"/>
        </w:tabs>
        <w:spacing w:line="240" w:lineRule="auto" w:before="0" w:after="0"/>
        <w:ind w:left="451" w:right="0" w:hanging="181"/>
        <w:jc w:val="both"/>
        <w:rPr>
          <w:b/>
          <w:sz w:val="18"/>
        </w:rPr>
      </w:pPr>
      <w:r>
        <w:rPr>
          <w:b/>
          <w:sz w:val="18"/>
        </w:rPr>
        <w:t>RESULTS</w:t>
      </w:r>
    </w:p>
    <w:p>
      <w:pPr>
        <w:pStyle w:val="BodyText"/>
        <w:spacing w:before="7"/>
        <w:rPr>
          <w:b/>
          <w:sz w:val="17"/>
        </w:rPr>
      </w:pPr>
    </w:p>
    <w:p>
      <w:pPr>
        <w:spacing w:before="1"/>
        <w:ind w:left="270" w:right="677" w:firstLine="0"/>
        <w:jc w:val="both"/>
        <w:rPr>
          <w:sz w:val="18"/>
        </w:rPr>
      </w:pPr>
      <w:r>
        <w:rPr>
          <w:sz w:val="18"/>
        </w:rPr>
        <w:t>The most important subject during this course is recognize that each Member of the human capital must be aware of the  importance of their work within the Organization since they are a component of the large structure, making relevant selection of jobs carried out according to the skills and characteristics of the person, but mostly keep motivated personnel based on the treatment and satisfaction within the organizations. A staff motivated, satisfied, and identified with the company and its equipment allows that the delegated responsibilities are met in their entirety. Working environment harmonizes the situations that may arise and streamlines communication in general; we must remember the personnel is not an instrument, it is a tool at the service of enterprises. Therefore, as students, we realized the task the promotion and diffusion of the LAEB-104 with different sectors of society. This working space has what, according to the Federal Regulations on Safety and Health at Work; it is needed for the productive sector which requires complying with the new requirements of the published in the official journal of the Federation. [1] Companies must perform projects according to the federal decree [Art. 42 and chapter II of the RFSST 43del] in order to analyze ergonomic factors in its facilities. One of the objectives we pursue in our CAPUNI is to support researchers who have access to the LAEB-104 to the establishment of the provisions in the field of safety and health to be carried out in the workplace, to have conditions enabling to prevent risks and, in this way, ensure workers carrying out their activities in an environment that ensures their life integrity and health, as well as prevent damage to the  work center.</w:t>
      </w:r>
    </w:p>
    <w:p>
      <w:pPr>
        <w:pStyle w:val="BodyText"/>
        <w:rPr>
          <w:sz w:val="18"/>
        </w:rPr>
      </w:pPr>
    </w:p>
    <w:p>
      <w:pPr>
        <w:spacing w:before="0"/>
        <w:ind w:left="270" w:right="678" w:firstLine="0"/>
        <w:jc w:val="both"/>
        <w:rPr>
          <w:sz w:val="18"/>
        </w:rPr>
      </w:pPr>
      <w:r>
        <w:rPr>
          <w:sz w:val="18"/>
        </w:rPr>
        <w:t>The LAEB-104 will be able to be needed for multiple uses of investigation, from licentiate up to graduate, so much like specializations, qualified, certifications, even workshops, courses and seminars for projects with the industry, projects of scientific and technological investigation. All of this, under the supervision of the person in charge of the laboratory to take a record of the new projects and giving emphasis to which will be available for student public and academician interested by the study of the ergonomics and as to use it in the studies and disciplines of our career, and public or private</w:t>
      </w:r>
      <w:r>
        <w:rPr>
          <w:spacing w:val="-2"/>
          <w:sz w:val="18"/>
        </w:rPr>
        <w:t> </w:t>
      </w:r>
      <w:r>
        <w:rPr>
          <w:sz w:val="18"/>
        </w:rPr>
        <w:t>organizations.</w:t>
      </w:r>
    </w:p>
    <w:p>
      <w:pPr>
        <w:pStyle w:val="BodyText"/>
        <w:spacing w:before="3"/>
        <w:rPr>
          <w:sz w:val="18"/>
        </w:rPr>
      </w:pPr>
    </w:p>
    <w:p>
      <w:pPr>
        <w:pStyle w:val="ListParagraph"/>
        <w:numPr>
          <w:ilvl w:val="0"/>
          <w:numId w:val="66"/>
        </w:numPr>
        <w:tabs>
          <w:tab w:pos="452" w:val="left" w:leader="none"/>
        </w:tabs>
        <w:spacing w:line="240" w:lineRule="auto" w:before="0" w:after="0"/>
        <w:ind w:left="451" w:right="0" w:hanging="181"/>
        <w:jc w:val="both"/>
        <w:rPr>
          <w:b/>
          <w:sz w:val="18"/>
        </w:rPr>
      </w:pPr>
      <w:r>
        <w:rPr>
          <w:b/>
          <w:sz w:val="18"/>
        </w:rPr>
        <w:t>CONCLUSIONS</w:t>
      </w:r>
    </w:p>
    <w:p>
      <w:pPr>
        <w:pStyle w:val="BodyText"/>
        <w:spacing w:before="7"/>
        <w:rPr>
          <w:b/>
          <w:sz w:val="17"/>
        </w:rPr>
      </w:pPr>
    </w:p>
    <w:p>
      <w:pPr>
        <w:spacing w:before="1"/>
        <w:ind w:left="270" w:right="676" w:firstLine="0"/>
        <w:jc w:val="both"/>
        <w:rPr>
          <w:sz w:val="18"/>
        </w:rPr>
      </w:pPr>
      <w:r>
        <w:rPr>
          <w:sz w:val="18"/>
        </w:rPr>
        <w:t>Institutions of higher education in the country must be updated of these new provisions due to employers will resort to them in search of advice and proposals which ensure compliance with the law requirements and the UABC is ready to meet the northwestern region of the country. Our CAPUNI has engaged in a comprehensive way in everything what has to do with three main topics: anthropometry,  ergonomics and biomechanics. It has   been</w:t>
      </w:r>
    </w:p>
    <w:p>
      <w:pPr>
        <w:spacing w:after="0"/>
        <w:jc w:val="both"/>
        <w:rPr>
          <w:sz w:val="18"/>
        </w:rPr>
        <w:sectPr>
          <w:type w:val="continuous"/>
          <w:pgSz w:w="12240" w:h="15840"/>
          <w:pgMar w:top="1500" w:bottom="280" w:left="580" w:right="220"/>
          <w:cols w:num="2" w:equalWidth="0">
            <w:col w:w="5164" w:space="434"/>
            <w:col w:w="5842"/>
          </w:cols>
        </w:sectPr>
      </w:pPr>
    </w:p>
    <w:p>
      <w:pPr>
        <w:pStyle w:val="BodyText"/>
        <w:rPr>
          <w:sz w:val="11"/>
        </w:rPr>
      </w:pPr>
    </w:p>
    <w:p>
      <w:pPr>
        <w:spacing w:before="77"/>
        <w:ind w:left="270" w:right="6274" w:firstLine="0"/>
        <w:jc w:val="both"/>
        <w:rPr>
          <w:sz w:val="18"/>
        </w:rPr>
      </w:pPr>
      <w:r>
        <w:rPr>
          <w:sz w:val="18"/>
        </w:rPr>
        <w:t>required a huge effort, planning and support work of our academic authorities for proper installation and operation of the society of students, CAPITULO UNIVERSITARIO, wanting to get clear missions and objectives for the upcoming projects in the future. There are many pending tasks but we are already on the road and we are moving forward on it. We thank the unconditional support of the Dr. Juan Andres Lopez Barreras for their tireless academic work and management to get everything we needed to begin this  big project. Currently we already have our own website and an institutional email which will be useful to publicize our activities. We must mention that it is needed the support of the Society of Ergonomists from Mexico for the fulfillment of our objectives, in order to ask the SEMAC mutual commitment to endorse and continue this work on a permanent</w:t>
      </w:r>
      <w:r>
        <w:rPr>
          <w:spacing w:val="-5"/>
          <w:sz w:val="18"/>
        </w:rPr>
        <w:t> </w:t>
      </w:r>
      <w:r>
        <w:rPr>
          <w:sz w:val="18"/>
        </w:rPr>
        <w:t>basis.</w:t>
      </w:r>
    </w:p>
    <w:p>
      <w:pPr>
        <w:pStyle w:val="BodyText"/>
        <w:spacing w:before="3"/>
        <w:rPr>
          <w:sz w:val="18"/>
        </w:rPr>
      </w:pPr>
    </w:p>
    <w:p>
      <w:pPr>
        <w:spacing w:before="0"/>
        <w:ind w:left="270" w:right="0" w:firstLine="0"/>
        <w:jc w:val="both"/>
        <w:rPr>
          <w:b/>
          <w:sz w:val="18"/>
        </w:rPr>
      </w:pPr>
      <w:r>
        <w:rPr>
          <w:b/>
          <w:sz w:val="18"/>
        </w:rPr>
        <w:t>REFERENCES</w:t>
      </w:r>
    </w:p>
    <w:p>
      <w:pPr>
        <w:pStyle w:val="BodyText"/>
        <w:spacing w:before="7"/>
        <w:rPr>
          <w:b/>
          <w:sz w:val="17"/>
        </w:rPr>
      </w:pPr>
    </w:p>
    <w:p>
      <w:pPr>
        <w:spacing w:before="1"/>
        <w:ind w:left="270" w:right="6355" w:firstLine="0"/>
        <w:jc w:val="both"/>
        <w:rPr>
          <w:sz w:val="18"/>
        </w:rPr>
      </w:pPr>
      <w:r>
        <w:rPr>
          <w:sz w:val="18"/>
        </w:rPr>
        <w:t>[1]</w:t>
      </w:r>
      <w:hyperlink r:id="rId250">
        <w:r>
          <w:rPr>
            <w:color w:val="0000FF"/>
            <w:sz w:val="18"/>
            <w:u w:val="single" w:color="0000FF"/>
          </w:rPr>
          <w:t>http://www.dof.gob.mx/nota_detalle.php?codigo=5368114&amp;fec</w:t>
        </w:r>
      </w:hyperlink>
      <w:r>
        <w:rPr>
          <w:color w:val="0000FF"/>
          <w:sz w:val="18"/>
          <w:u w:val="single" w:color="0000FF"/>
        </w:rPr>
        <w:t> ha=13/11/2014</w:t>
      </w:r>
    </w:p>
    <w:p>
      <w:pPr>
        <w:spacing w:after="0"/>
        <w:jc w:val="both"/>
        <w:rPr>
          <w:sz w:val="18"/>
        </w:rPr>
        <w:sectPr>
          <w:pgSz w:w="12240" w:h="15840"/>
          <w:pgMar w:header="545" w:footer="852" w:top="1060" w:bottom="1040" w:left="580" w:right="220"/>
        </w:sectPr>
      </w:pPr>
    </w:p>
    <w:p>
      <w:pPr>
        <w:pStyle w:val="BodyText"/>
        <w:rPr>
          <w:sz w:val="11"/>
        </w:rPr>
      </w:pPr>
    </w:p>
    <w:p>
      <w:pPr>
        <w:spacing w:after="0"/>
        <w:rPr>
          <w:sz w:val="11"/>
        </w:rPr>
        <w:sectPr>
          <w:pgSz w:w="12240" w:h="15840"/>
          <w:pgMar w:header="545" w:footer="852" w:top="1060" w:bottom="1040" w:left="580" w:right="220"/>
        </w:sectPr>
      </w:pPr>
    </w:p>
    <w:p>
      <w:pPr>
        <w:pStyle w:val="BodyText"/>
        <w:spacing w:before="11"/>
        <w:rPr>
          <w:sz w:val="24"/>
        </w:rPr>
      </w:pPr>
    </w:p>
    <w:p>
      <w:pPr>
        <w:pStyle w:val="Heading1"/>
        <w:jc w:val="left"/>
      </w:pPr>
      <w:bookmarkStart w:name="_TOC_250000" w:id="3"/>
      <w:bookmarkEnd w:id="3"/>
      <w:r>
        <w:rPr/>
        <w:t>The Ergonomics Building Maintenance</w:t>
      </w:r>
    </w:p>
    <w:p>
      <w:pPr>
        <w:spacing w:line="231" w:lineRule="exact" w:before="179"/>
        <w:ind w:left="270" w:right="-1" w:firstLine="0"/>
        <w:jc w:val="left"/>
        <w:rPr>
          <w:i/>
          <w:sz w:val="12"/>
        </w:rPr>
      </w:pPr>
      <w:r>
        <w:rPr>
          <w:i/>
          <w:position w:val="8"/>
          <w:sz w:val="12"/>
        </w:rPr>
        <w:t>a  </w:t>
      </w:r>
      <w:r>
        <w:rPr>
          <w:i/>
          <w:sz w:val="18"/>
        </w:rPr>
        <w:t>Bertha Leticia Ortiz Návar, </w:t>
      </w:r>
      <w:r>
        <w:rPr>
          <w:i/>
          <w:position w:val="8"/>
          <w:sz w:val="12"/>
        </w:rPr>
        <w:t>b </w:t>
      </w:r>
      <w:r>
        <w:rPr>
          <w:i/>
          <w:sz w:val="18"/>
        </w:rPr>
        <w:t>Nelva Angélica Romero Rodríguez, </w:t>
      </w:r>
      <w:r>
        <w:rPr>
          <w:i/>
          <w:position w:val="8"/>
          <w:sz w:val="12"/>
        </w:rPr>
        <w:t>c</w:t>
      </w:r>
    </w:p>
    <w:p>
      <w:pPr>
        <w:spacing w:line="207" w:lineRule="exact" w:before="0"/>
        <w:ind w:left="270" w:right="0" w:firstLine="0"/>
        <w:jc w:val="left"/>
        <w:rPr>
          <w:i/>
          <w:sz w:val="18"/>
        </w:rPr>
      </w:pPr>
      <w:r>
        <w:rPr>
          <w:i/>
          <w:sz w:val="18"/>
        </w:rPr>
        <w:t>Sergio Iván Hernández Ruíz</w:t>
      </w:r>
    </w:p>
    <w:p>
      <w:pPr>
        <w:pStyle w:val="BodyText"/>
        <w:spacing w:before="10"/>
        <w:rPr>
          <w:i/>
          <w:sz w:val="15"/>
        </w:rPr>
      </w:pPr>
    </w:p>
    <w:p>
      <w:pPr>
        <w:spacing w:before="0"/>
        <w:ind w:left="270" w:right="0" w:firstLine="0"/>
        <w:jc w:val="left"/>
        <w:rPr>
          <w:sz w:val="18"/>
        </w:rPr>
      </w:pPr>
      <w:r>
        <w:rPr>
          <w:position w:val="8"/>
          <w:sz w:val="12"/>
        </w:rPr>
        <w:t>a </w:t>
      </w:r>
      <w:r>
        <w:rPr>
          <w:sz w:val="18"/>
        </w:rPr>
        <w:t>Instituto Tecnológico de Nogales, Ave. Tecnológico 911, Col. Granja, </w:t>
      </w:r>
      <w:hyperlink r:id="rId251">
        <w:r>
          <w:rPr>
            <w:color w:val="0000FF"/>
            <w:sz w:val="18"/>
            <w:u w:val="single" w:color="0000FF"/>
          </w:rPr>
          <w:t>blortiz@depiitn.edu.mx</w:t>
        </w:r>
        <w:r>
          <w:rPr>
            <w:sz w:val="18"/>
          </w:rPr>
          <w:t>,</w:t>
        </w:r>
      </w:hyperlink>
      <w:r>
        <w:rPr>
          <w:sz w:val="18"/>
        </w:rPr>
        <w:t> Nogales, Sonora, México.</w:t>
      </w:r>
    </w:p>
    <w:p>
      <w:pPr>
        <w:spacing w:line="208" w:lineRule="exact" w:before="1"/>
        <w:ind w:left="270" w:right="0" w:firstLine="0"/>
        <w:jc w:val="left"/>
        <w:rPr>
          <w:sz w:val="18"/>
        </w:rPr>
      </w:pPr>
      <w:r>
        <w:rPr>
          <w:position w:val="8"/>
          <w:sz w:val="12"/>
        </w:rPr>
        <w:t>b </w:t>
      </w:r>
      <w:r>
        <w:rPr>
          <w:sz w:val="18"/>
        </w:rPr>
        <w:t>Instituto Tecnológico de Nogales, Ave. Tecnológico 911, Col. Granja, </w:t>
      </w:r>
      <w:hyperlink r:id="rId252">
        <w:r>
          <w:rPr>
            <w:color w:val="0000FF"/>
            <w:sz w:val="18"/>
            <w:u w:val="single" w:color="0000FF"/>
          </w:rPr>
          <w:t>nelva_romero@hotmail.com</w:t>
        </w:r>
        <w:r>
          <w:rPr>
            <w:sz w:val="18"/>
          </w:rPr>
          <w:t>,</w:t>
        </w:r>
      </w:hyperlink>
      <w:r>
        <w:rPr>
          <w:sz w:val="18"/>
        </w:rPr>
        <w:t> Nogales, Sonora, México.</w:t>
      </w:r>
    </w:p>
    <w:p>
      <w:pPr>
        <w:spacing w:line="203" w:lineRule="exact" w:before="0"/>
        <w:ind w:left="270" w:right="0" w:firstLine="0"/>
        <w:jc w:val="left"/>
        <w:rPr>
          <w:sz w:val="18"/>
        </w:rPr>
      </w:pPr>
      <w:r>
        <w:rPr>
          <w:position w:val="8"/>
          <w:sz w:val="12"/>
        </w:rPr>
        <w:t>c  </w:t>
      </w:r>
      <w:r>
        <w:rPr>
          <w:sz w:val="18"/>
        </w:rPr>
        <w:t>Instituto  Tecnológico  de  Nogales,  Ave.  Tecnológico  911, Col.</w:t>
      </w:r>
    </w:p>
    <w:p>
      <w:pPr>
        <w:spacing w:line="207" w:lineRule="exact" w:before="0"/>
        <w:ind w:left="270" w:right="0" w:firstLine="0"/>
        <w:jc w:val="left"/>
        <w:rPr>
          <w:sz w:val="18"/>
        </w:rPr>
      </w:pPr>
      <w:r>
        <w:rPr>
          <w:sz w:val="18"/>
        </w:rPr>
        <w:t>Granja, </w:t>
      </w:r>
      <w:hyperlink r:id="rId253">
        <w:r>
          <w:rPr>
            <w:color w:val="0000FF"/>
            <w:sz w:val="18"/>
            <w:u w:val="single" w:color="0000FF"/>
          </w:rPr>
          <w:t>sihrtec@gmail.com</w:t>
        </w:r>
        <w:r>
          <w:rPr>
            <w:sz w:val="18"/>
          </w:rPr>
          <w:t>,</w:t>
        </w:r>
      </w:hyperlink>
      <w:r>
        <w:rPr>
          <w:sz w:val="18"/>
        </w:rPr>
        <w:t> Nogales, Sonora, México.</w:t>
      </w:r>
    </w:p>
    <w:p>
      <w:pPr>
        <w:pStyle w:val="BodyText"/>
        <w:spacing w:before="4"/>
        <w:rPr>
          <w:sz w:val="18"/>
        </w:rPr>
      </w:pPr>
    </w:p>
    <w:p>
      <w:pPr>
        <w:spacing w:before="1"/>
        <w:ind w:left="270" w:right="0" w:firstLine="0"/>
        <w:jc w:val="left"/>
        <w:rPr>
          <w:b/>
          <w:sz w:val="18"/>
        </w:rPr>
      </w:pPr>
      <w:r>
        <w:rPr/>
        <w:pict>
          <v:line style="position:absolute;mso-position-horizontal-relative:page;mso-position-vertical-relative:paragraph;z-index:8056" from="41.040001pt,12.202956pt" to="288.540001pt,12.202956pt" stroked="true" strokeweight="1.5pt" strokecolor="#000000">
            <w10:wrap type="none"/>
          </v:line>
        </w:pict>
      </w:r>
      <w:r>
        <w:rPr>
          <w:b/>
          <w:sz w:val="18"/>
        </w:rPr>
        <w:t>Resumen</w:t>
      </w:r>
    </w:p>
    <w:p>
      <w:pPr>
        <w:spacing w:before="46"/>
        <w:ind w:left="270" w:right="18" w:firstLine="403"/>
        <w:jc w:val="both"/>
        <w:rPr>
          <w:sz w:val="18"/>
        </w:rPr>
      </w:pPr>
      <w:r>
        <w:rPr>
          <w:sz w:val="18"/>
        </w:rPr>
        <w:t>La conducta humana en un ambiente laboral provoca riesgos en la seguridad y la salud que constituyen un problema social. Las características propias y únicas de la industria de la construcción y el mantenimiento de edificios ocasionan, por lo general, más daños a las personas que la mayoría de actividades productivas. El objetivo del presente estudio es conocer y analizar las condiciones de seguridad y salud en el trabajo prevalecientes en el caso particular del mantenimiento de edificios. Finalmente, conocer las repercuciones negativas en las partes del cuerpo del trabajador expuestas poniendo en riego de sufrir desordenes musculo esqueléticos.</w:t>
      </w:r>
    </w:p>
    <w:p>
      <w:pPr>
        <w:pStyle w:val="BodyText"/>
        <w:rPr>
          <w:sz w:val="18"/>
        </w:rPr>
      </w:pPr>
    </w:p>
    <w:p>
      <w:pPr>
        <w:spacing w:before="0"/>
        <w:ind w:left="270" w:right="0" w:firstLine="0"/>
        <w:jc w:val="left"/>
        <w:rPr>
          <w:sz w:val="18"/>
        </w:rPr>
      </w:pPr>
      <w:r>
        <w:rPr>
          <w:b/>
          <w:sz w:val="18"/>
        </w:rPr>
        <w:t>Palabras clave</w:t>
      </w:r>
      <w:r>
        <w:rPr>
          <w:sz w:val="18"/>
        </w:rPr>
        <w:t>—Desordenes Musculo Esqueléticos, Riesgos Laborales, Siniestralidad.</w:t>
      </w:r>
    </w:p>
    <w:p>
      <w:pPr>
        <w:pStyle w:val="BodyText"/>
        <w:spacing w:before="6"/>
        <w:rPr>
          <w:sz w:val="18"/>
        </w:rPr>
      </w:pPr>
    </w:p>
    <w:p>
      <w:pPr>
        <w:spacing w:before="0"/>
        <w:ind w:left="270" w:right="0" w:firstLine="0"/>
        <w:jc w:val="left"/>
        <w:rPr>
          <w:b/>
          <w:i/>
          <w:sz w:val="18"/>
        </w:rPr>
      </w:pPr>
      <w:r>
        <w:rPr/>
        <w:pict>
          <v:line style="position:absolute;mso-position-horizontal-relative:page;mso-position-vertical-relative:paragraph;z-index:8080" from="41.040001pt,12.031438pt" to="288.540001pt,12.031438pt" stroked="true" strokeweight="1.5pt" strokecolor="#000000">
            <w10:wrap type="none"/>
          </v:line>
        </w:pict>
      </w:r>
      <w:r>
        <w:rPr>
          <w:b/>
          <w:i/>
          <w:sz w:val="18"/>
        </w:rPr>
        <w:t>Abstract</w:t>
      </w:r>
    </w:p>
    <w:p>
      <w:pPr>
        <w:pStyle w:val="BodyText"/>
        <w:spacing w:before="9"/>
        <w:rPr>
          <w:b/>
          <w:i/>
          <w:sz w:val="21"/>
        </w:rPr>
      </w:pPr>
    </w:p>
    <w:p>
      <w:pPr>
        <w:spacing w:before="1"/>
        <w:ind w:left="270" w:right="18" w:firstLine="404"/>
        <w:jc w:val="both"/>
        <w:rPr>
          <w:i/>
          <w:sz w:val="18"/>
        </w:rPr>
      </w:pPr>
      <w:r>
        <w:rPr>
          <w:i/>
          <w:sz w:val="18"/>
        </w:rPr>
        <w:t>Human behavior in a work environment cause safety hazards </w:t>
      </w:r>
      <w:r>
        <w:rPr>
          <w:i/>
          <w:sz w:val="18"/>
        </w:rPr>
        <w:t>and health that constitute a social problem. The own unique from the construction industry and building maintenance characteristics cause, usually, the more harm to people than most productive activities. The aim of this study is to understand and analyze the safety and health at work prevailing in the particular case of building maintenance. Finally, knowing the negative repercussions on the parts of the worker's body putting at risk of musculoskeletal disorders.</w:t>
      </w:r>
    </w:p>
    <w:p>
      <w:pPr>
        <w:pStyle w:val="BodyText"/>
        <w:rPr>
          <w:i/>
          <w:sz w:val="18"/>
        </w:rPr>
      </w:pPr>
    </w:p>
    <w:p>
      <w:pPr>
        <w:spacing w:before="0"/>
        <w:ind w:left="270" w:right="0" w:firstLine="0"/>
        <w:jc w:val="left"/>
        <w:rPr>
          <w:i/>
          <w:sz w:val="18"/>
        </w:rPr>
      </w:pPr>
      <w:r>
        <w:rPr>
          <w:b/>
          <w:i/>
          <w:sz w:val="18"/>
        </w:rPr>
        <w:t>Keywords</w:t>
      </w:r>
      <w:r>
        <w:rPr>
          <w:i/>
          <w:sz w:val="18"/>
        </w:rPr>
        <w:t>— Disorders musculoskeletal, occupational hazards and </w:t>
      </w:r>
      <w:r>
        <w:rPr>
          <w:i/>
          <w:sz w:val="18"/>
        </w:rPr>
        <w:t>accidents.</w:t>
      </w:r>
    </w:p>
    <w:p>
      <w:pPr>
        <w:pStyle w:val="BodyText"/>
        <w:spacing w:before="3"/>
        <w:rPr>
          <w:i/>
          <w:sz w:val="18"/>
        </w:rPr>
      </w:pPr>
    </w:p>
    <w:p>
      <w:pPr>
        <w:pStyle w:val="ListParagraph"/>
        <w:numPr>
          <w:ilvl w:val="0"/>
          <w:numId w:val="67"/>
        </w:numPr>
        <w:tabs>
          <w:tab w:pos="452" w:val="left" w:leader="none"/>
        </w:tabs>
        <w:spacing w:line="240" w:lineRule="auto" w:before="0" w:after="0"/>
        <w:ind w:left="451" w:right="0" w:hanging="181"/>
        <w:jc w:val="left"/>
        <w:rPr>
          <w:b/>
          <w:sz w:val="18"/>
        </w:rPr>
      </w:pPr>
      <w:r>
        <w:rPr>
          <w:b/>
          <w:sz w:val="18"/>
        </w:rPr>
        <w:t>INTRODUCTION</w:t>
      </w:r>
    </w:p>
    <w:p>
      <w:pPr>
        <w:pStyle w:val="BodyText"/>
        <w:spacing w:before="7"/>
        <w:rPr>
          <w:b/>
          <w:sz w:val="17"/>
        </w:rPr>
      </w:pPr>
    </w:p>
    <w:p>
      <w:pPr>
        <w:spacing w:before="1"/>
        <w:ind w:left="270" w:right="17" w:firstLine="403"/>
        <w:jc w:val="both"/>
        <w:rPr>
          <w:sz w:val="18"/>
        </w:rPr>
      </w:pPr>
      <w:r>
        <w:rPr>
          <w:sz w:val="18"/>
        </w:rPr>
        <w:t>The Mexican worker weighs approximately 2496 hours per year in the workplace. It is not surprising that all these hours have their negative repercussions primarily in the eyes, back, hands and neck.</w:t>
      </w:r>
    </w:p>
    <w:p>
      <w:pPr>
        <w:spacing w:before="0"/>
        <w:ind w:left="270" w:right="18" w:firstLine="358"/>
        <w:jc w:val="both"/>
        <w:rPr>
          <w:sz w:val="18"/>
        </w:rPr>
      </w:pPr>
      <w:r>
        <w:rPr>
          <w:sz w:val="18"/>
        </w:rPr>
        <w:t>In addition to time spent at work, exposure to adverse working conditions can result in momentary pain or long-term  injuries. Also, workstations, equipment and poorly designed tools contribute to lower efficiency and production, loss of revenue, a greater number of medical claims, and permanent disabilities.</w:t>
      </w:r>
    </w:p>
    <w:p>
      <w:pPr>
        <w:spacing w:before="0"/>
        <w:ind w:left="270" w:right="16" w:firstLine="403"/>
        <w:jc w:val="both"/>
        <w:rPr>
          <w:sz w:val="18"/>
        </w:rPr>
      </w:pPr>
      <w:r>
        <w:rPr>
          <w:sz w:val="18"/>
        </w:rPr>
        <w:t>This occurs when the work has not been designed under ergonomic principles, which are based on the need to adjust the tools and stations to the worker. Ergonomics according to its definition is used to help remedy the conditions which cause disorders and occupational injuries and offers numerous solutions that make the workplace and tools more favorable for employees since its objective is to design methods of work in a way that adapt to human capabilities to prevent problems such as injuries.</w:t>
      </w:r>
    </w:p>
    <w:p>
      <w:pPr>
        <w:spacing w:before="77"/>
        <w:ind w:left="270" w:right="677" w:firstLine="404"/>
        <w:jc w:val="both"/>
        <w:rPr>
          <w:sz w:val="18"/>
        </w:rPr>
      </w:pPr>
      <w:r>
        <w:rPr/>
        <w:br w:type="column"/>
      </w:r>
      <w:r>
        <w:rPr>
          <w:sz w:val="18"/>
        </w:rPr>
        <w:t>One of the main concerns of an organization should be controlling risks that threaten the health of their workers, however, in the field of construction and maintenance of buildings, industrial accidents and occupational diseases are factors that often interfere with the normal development of activities.</w:t>
      </w:r>
    </w:p>
    <w:p>
      <w:pPr>
        <w:spacing w:before="0"/>
        <w:ind w:left="270" w:right="678" w:firstLine="403"/>
        <w:jc w:val="both"/>
        <w:rPr>
          <w:sz w:val="18"/>
        </w:rPr>
      </w:pPr>
      <w:r>
        <w:rPr>
          <w:sz w:val="18"/>
        </w:rPr>
        <w:t>The concept of maintenance has been widely developed by many authors because of the need to conserve and maintain not  only the buildings but everything can deteriorate within its useful life.</w:t>
      </w:r>
    </w:p>
    <w:p>
      <w:pPr>
        <w:spacing w:before="0"/>
        <w:ind w:left="270" w:right="675" w:firstLine="403"/>
        <w:jc w:val="both"/>
        <w:rPr>
          <w:sz w:val="18"/>
        </w:rPr>
      </w:pPr>
      <w:r>
        <w:rPr>
          <w:sz w:val="18"/>
        </w:rPr>
        <w:t>There are authors like Bebé, [1] for whom maintenance is nothing more than the work that should be undertaken in a cyclic manner to the attention of the components of the constructions in order to correct its deficiencies, and maintain an effective services that deliver with special emphasis on those spaces which by its continuous use or its location are more exposed to deterioration.</w:t>
      </w:r>
    </w:p>
    <w:p>
      <w:pPr>
        <w:spacing w:before="0"/>
        <w:ind w:left="270" w:right="677" w:firstLine="404"/>
        <w:jc w:val="both"/>
        <w:rPr>
          <w:sz w:val="18"/>
        </w:rPr>
      </w:pPr>
      <w:r>
        <w:rPr>
          <w:sz w:val="18"/>
        </w:rPr>
        <w:t>According to Loria, [2] maintenance is considered as works, papers and all actions aimed at the physical and functional conservation of a building along the lifecycle of it. Keep generally means conserving and improving the original performance of an element, machine, installation or building over time.</w:t>
      </w:r>
    </w:p>
    <w:p>
      <w:pPr>
        <w:spacing w:before="0"/>
        <w:ind w:left="270" w:right="678" w:firstLine="404"/>
        <w:jc w:val="both"/>
        <w:rPr>
          <w:sz w:val="18"/>
        </w:rPr>
      </w:pPr>
      <w:r>
        <w:rPr>
          <w:sz w:val="18"/>
        </w:rPr>
        <w:t>Among the works that includes maintenance, may be mentioned the following: painting, fixing chipped and surface cracks in plaster and plaster, in soldering roof, replacing tiles, waterproofing areas covered, fixtures floor slabs or baseboard, lubrication pumps or other engines, cleaning tanks and cisterns, septic tank cleaning, placement of Shoes keys, valve adjustments, settings electrical switches, door and window settings, replacement of windows and fittings, etc. These works, in depending on when performed, may be considered preventive or corrective [3]</w:t>
      </w:r>
    </w:p>
    <w:p>
      <w:pPr>
        <w:spacing w:before="0"/>
        <w:ind w:left="270" w:right="677" w:firstLine="403"/>
        <w:jc w:val="both"/>
        <w:rPr>
          <w:sz w:val="18"/>
        </w:rPr>
      </w:pPr>
      <w:r>
        <w:rPr>
          <w:sz w:val="18"/>
        </w:rPr>
        <w:t>It is estimated that globally, workers in the construction and maintenance encompassing the 5 to 10% of the workforce [4]. In Mexico, represent 8.3% of the economically active population [5], constituting the fourth source of work, after the trade (19.5%), manufacturing (16.4%) and agriculture (14.5%). In our country the number of construction workers is approximately 4.8 million.</w:t>
      </w:r>
    </w:p>
    <w:p>
      <w:pPr>
        <w:pStyle w:val="BodyText"/>
        <w:spacing w:before="3"/>
        <w:rPr>
          <w:sz w:val="18"/>
        </w:rPr>
      </w:pPr>
    </w:p>
    <w:p>
      <w:pPr>
        <w:pStyle w:val="ListParagraph"/>
        <w:numPr>
          <w:ilvl w:val="1"/>
          <w:numId w:val="67"/>
        </w:numPr>
        <w:tabs>
          <w:tab w:pos="632" w:val="left" w:leader="none"/>
        </w:tabs>
        <w:spacing w:line="240" w:lineRule="auto" w:before="0" w:after="0"/>
        <w:ind w:left="631" w:right="0" w:hanging="361"/>
        <w:jc w:val="both"/>
        <w:rPr>
          <w:b/>
          <w:sz w:val="18"/>
        </w:rPr>
      </w:pPr>
      <w:r>
        <w:rPr>
          <w:b/>
          <w:sz w:val="18"/>
        </w:rPr>
        <w:t>Objectives.</w:t>
      </w:r>
    </w:p>
    <w:p>
      <w:pPr>
        <w:pStyle w:val="BodyText"/>
        <w:spacing w:before="7"/>
        <w:rPr>
          <w:b/>
          <w:sz w:val="17"/>
        </w:rPr>
      </w:pPr>
    </w:p>
    <w:p>
      <w:pPr>
        <w:spacing w:before="1"/>
        <w:ind w:left="270" w:right="677" w:firstLine="0"/>
        <w:jc w:val="both"/>
        <w:rPr>
          <w:sz w:val="18"/>
        </w:rPr>
      </w:pPr>
      <w:r>
        <w:rPr>
          <w:sz w:val="18"/>
        </w:rPr>
        <w:t>Describe the current state of security and health in the sector of the construction and maintenance of buildings, emphasizing the aspects related to the management of prevention of occupational risks.</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3"/>
        <w:rPr>
          <w:sz w:val="18"/>
        </w:rPr>
      </w:pPr>
    </w:p>
    <w:p>
      <w:pPr>
        <w:pStyle w:val="ListParagraph"/>
        <w:numPr>
          <w:ilvl w:val="1"/>
          <w:numId w:val="67"/>
        </w:numPr>
        <w:tabs>
          <w:tab w:pos="632" w:val="left" w:leader="none"/>
        </w:tabs>
        <w:spacing w:line="240" w:lineRule="auto" w:before="0" w:after="0"/>
        <w:ind w:left="631" w:right="0" w:hanging="361"/>
        <w:jc w:val="both"/>
        <w:rPr>
          <w:b/>
          <w:sz w:val="18"/>
        </w:rPr>
      </w:pPr>
      <w:r>
        <w:rPr>
          <w:b/>
          <w:sz w:val="18"/>
        </w:rPr>
        <w:t>Delimitation</w:t>
      </w:r>
    </w:p>
    <w:p>
      <w:pPr>
        <w:pStyle w:val="BodyText"/>
        <w:spacing w:before="7"/>
        <w:rPr>
          <w:b/>
          <w:sz w:val="17"/>
        </w:rPr>
      </w:pPr>
    </w:p>
    <w:p>
      <w:pPr>
        <w:spacing w:before="1"/>
        <w:ind w:left="270" w:right="668" w:firstLine="0"/>
        <w:jc w:val="left"/>
        <w:rPr>
          <w:sz w:val="18"/>
        </w:rPr>
      </w:pPr>
      <w:r>
        <w:rPr>
          <w:sz w:val="18"/>
        </w:rPr>
        <w:t>The study wills only bibliographic research on the subject of the application of ergonomics in building maintenance.</w:t>
      </w:r>
    </w:p>
    <w:p>
      <w:pPr>
        <w:pStyle w:val="BodyText"/>
        <w:spacing w:before="3"/>
        <w:rPr>
          <w:sz w:val="18"/>
        </w:rPr>
      </w:pPr>
    </w:p>
    <w:p>
      <w:pPr>
        <w:pStyle w:val="ListParagraph"/>
        <w:numPr>
          <w:ilvl w:val="0"/>
          <w:numId w:val="67"/>
        </w:numPr>
        <w:tabs>
          <w:tab w:pos="586" w:val="left" w:leader="none"/>
        </w:tabs>
        <w:spacing w:line="240" w:lineRule="auto" w:before="0" w:after="0"/>
        <w:ind w:left="585" w:right="0" w:hanging="315"/>
        <w:jc w:val="both"/>
        <w:rPr>
          <w:b/>
          <w:sz w:val="18"/>
        </w:rPr>
      </w:pPr>
      <w:r>
        <w:rPr>
          <w:b/>
          <w:sz w:val="18"/>
        </w:rPr>
        <w:t>STATE OF THE</w:t>
      </w:r>
      <w:r>
        <w:rPr>
          <w:b/>
          <w:spacing w:val="-10"/>
          <w:sz w:val="18"/>
        </w:rPr>
        <w:t> </w:t>
      </w:r>
      <w:r>
        <w:rPr>
          <w:b/>
          <w:sz w:val="18"/>
        </w:rPr>
        <w:t>ART</w:t>
      </w:r>
    </w:p>
    <w:p>
      <w:pPr>
        <w:pStyle w:val="BodyText"/>
        <w:spacing w:before="7"/>
        <w:rPr>
          <w:b/>
          <w:sz w:val="17"/>
        </w:rPr>
      </w:pPr>
    </w:p>
    <w:p>
      <w:pPr>
        <w:spacing w:before="1"/>
        <w:ind w:left="270" w:right="677" w:firstLine="403"/>
        <w:jc w:val="both"/>
        <w:rPr>
          <w:sz w:val="18"/>
        </w:rPr>
      </w:pPr>
      <w:r>
        <w:rPr>
          <w:sz w:val="18"/>
        </w:rPr>
        <w:t>The human being is related entirely to the elements of the world in which he lives, which intervenes directly dictating the physical and mechanical laws that will be submitted, affecting it over time. It is imperative that the analysis with the right tools, to determine the damage that can be generated on the worker.</w:t>
      </w:r>
    </w:p>
    <w:p>
      <w:pPr>
        <w:pStyle w:val="BodyText"/>
        <w:spacing w:before="3"/>
        <w:rPr>
          <w:sz w:val="18"/>
        </w:rPr>
      </w:pPr>
    </w:p>
    <w:p>
      <w:pPr>
        <w:pStyle w:val="ListParagraph"/>
        <w:numPr>
          <w:ilvl w:val="1"/>
          <w:numId w:val="67"/>
        </w:numPr>
        <w:tabs>
          <w:tab w:pos="586" w:val="left" w:leader="none"/>
        </w:tabs>
        <w:spacing w:line="240" w:lineRule="auto" w:before="0" w:after="0"/>
        <w:ind w:left="585" w:right="0" w:hanging="315"/>
        <w:jc w:val="both"/>
        <w:rPr>
          <w:b/>
          <w:sz w:val="18"/>
        </w:rPr>
      </w:pPr>
      <w:r>
        <w:rPr>
          <w:b/>
          <w:sz w:val="18"/>
        </w:rPr>
        <w:t>Ergonómics.</w:t>
      </w:r>
    </w:p>
    <w:p>
      <w:pPr>
        <w:pStyle w:val="BodyText"/>
        <w:spacing w:before="7"/>
        <w:rPr>
          <w:b/>
          <w:sz w:val="17"/>
        </w:rPr>
      </w:pPr>
    </w:p>
    <w:p>
      <w:pPr>
        <w:spacing w:before="1"/>
        <w:ind w:left="270" w:right="677" w:firstLine="404"/>
        <w:jc w:val="both"/>
        <w:rPr>
          <w:sz w:val="18"/>
        </w:rPr>
      </w:pPr>
      <w:r>
        <w:rPr>
          <w:sz w:val="18"/>
        </w:rPr>
        <w:t>Natural and instinctive, human being, individual aspect, usually behaves in a certain way; however, the complex interaction between  individuals  living  in  society  means  that  some       risks</w:t>
      </w:r>
    </w:p>
    <w:p>
      <w:pPr>
        <w:spacing w:after="0"/>
        <w:jc w:val="both"/>
        <w:rPr>
          <w:sz w:val="18"/>
        </w:rPr>
        <w:sectPr>
          <w:type w:val="continuous"/>
          <w:pgSz w:w="12240" w:h="15840"/>
          <w:pgMar w:top="1500" w:bottom="280" w:left="580" w:right="220"/>
          <w:cols w:num="2" w:equalWidth="0">
            <w:col w:w="5182" w:space="416"/>
            <w:col w:w="5842"/>
          </w:cols>
        </w:sectPr>
      </w:pPr>
    </w:p>
    <w:p>
      <w:pPr>
        <w:pStyle w:val="BodyText"/>
        <w:rPr>
          <w:sz w:val="11"/>
        </w:rPr>
      </w:pPr>
    </w:p>
    <w:p>
      <w:pPr>
        <w:spacing w:after="0"/>
        <w:rPr>
          <w:sz w:val="11"/>
        </w:rPr>
        <w:sectPr>
          <w:pgSz w:w="12240" w:h="15840"/>
          <w:pgMar w:header="545" w:footer="852" w:top="1060" w:bottom="1040" w:left="580" w:right="220"/>
        </w:sectPr>
      </w:pPr>
    </w:p>
    <w:p>
      <w:pPr>
        <w:spacing w:before="77"/>
        <w:ind w:left="270" w:right="1" w:firstLine="0"/>
        <w:jc w:val="both"/>
        <w:rPr>
          <w:sz w:val="18"/>
        </w:rPr>
      </w:pPr>
      <w:r>
        <w:rPr>
          <w:sz w:val="18"/>
        </w:rPr>
        <w:t>affecting simultaneously generate many others; hence the lack of a safe conduct of an individual may bring about social dimensions. The work environment is perhaps the best example of how the joint action of a group of individuals leads to behaviors and unsafe environments for many members of an organization.</w:t>
      </w:r>
    </w:p>
    <w:p>
      <w:pPr>
        <w:spacing w:before="0"/>
        <w:ind w:left="270" w:right="0" w:firstLine="403"/>
        <w:jc w:val="both"/>
        <w:rPr>
          <w:sz w:val="18"/>
        </w:rPr>
      </w:pPr>
      <w:r>
        <w:rPr>
          <w:sz w:val="18"/>
        </w:rPr>
        <w:t>The magnitude of the social problem of the lack of safety and health at work has been quantified at the global level by the International Labour Organization [6] in 337 million of victims of accidents and 2.3 million people who die each year because of accidents or occupational diseases. In Mexico, the Mexican Social Security Institute [7] has reported 490 thousand cases of accidents and diseases work and 1 368 deaths; it is important to note that in Mexico approximately half of the workers are not affiliated to the IMSS, therefore, they lack of occupational risk insurance and are not considered in the statistics.</w:t>
      </w:r>
    </w:p>
    <w:p>
      <w:pPr>
        <w:spacing w:before="0"/>
        <w:ind w:left="270" w:right="1" w:firstLine="448"/>
        <w:jc w:val="both"/>
        <w:rPr>
          <w:sz w:val="18"/>
        </w:rPr>
      </w:pPr>
      <w:r>
        <w:rPr>
          <w:sz w:val="18"/>
        </w:rPr>
        <w:t>The postures that are adopted at the time of the jobs are part of occupational risks, to maintain alignment of the whole body; worker continuously performs physical exertion during labor dynamics, mainly to move the body, transporting objects and maintaining posture; to respond to these demands the body performs complex mechanisms that end in contraction and muscle relaxation, therefore, postural hygiene aims to implement measures of protection, and recognition of consequences by adopting an inadequate stance preventing musculoskeletal problems to appear [8]..</w:t>
      </w:r>
    </w:p>
    <w:p>
      <w:pPr>
        <w:spacing w:before="0"/>
        <w:ind w:left="270" w:right="15" w:firstLine="404"/>
        <w:jc w:val="left"/>
        <w:rPr>
          <w:sz w:val="18"/>
        </w:rPr>
      </w:pPr>
      <w:r>
        <w:rPr>
          <w:sz w:val="18"/>
        </w:rPr>
        <w:t>Occupational safety includes a set of activities for the protection of the worker and the physical property of the company, all through the prevention and control of the actions of men, machines and the working environment, in order to prevent injury [9]. To evaluate the physical positions taken in the work should be considered factors related to the occupational environment: works that are made repetitively; the uprisings of weights; the positions maintained in the work, as well as rotations and push-ups, which are harmful to health. The causes of forced postures depends, mainly from factors related to the working conditions such as the design of workplaces; the Organization of work; lighting; the demands of both physical and Visual tasks; knowledge of the worker, among others. It is important, as a preventive measure of musculoskeletal injuries, maintain a correct posture of work [10]. The consequence of inadequate working postures are muscle- skeletal problems, slow emergence and harmless character in appearance, so are ignored until damage occurs in chronic form [11].</w:t>
      </w:r>
    </w:p>
    <w:p>
      <w:pPr>
        <w:spacing w:before="77"/>
        <w:ind w:left="270" w:right="678" w:firstLine="403"/>
        <w:jc w:val="both"/>
        <w:rPr>
          <w:sz w:val="18"/>
        </w:rPr>
      </w:pPr>
      <w:r>
        <w:rPr/>
        <w:br w:type="column"/>
      </w:r>
      <w:r>
        <w:rPr>
          <w:sz w:val="18"/>
        </w:rPr>
        <w:t>The International Labour Organization (OTI) defines ergonomics as "The science which seeks to optimize the interaction between the worker, machine and working environment, in order to match the posts, environments, and the organization of work to the capabilities and limitations of the workers, in order to minimize stress and fatigue, and thereby increase the performance and safety of the worker", [14].</w:t>
      </w:r>
    </w:p>
    <w:p>
      <w:pPr>
        <w:spacing w:before="0"/>
        <w:ind w:left="270" w:right="678" w:firstLine="403"/>
        <w:jc w:val="both"/>
        <w:rPr>
          <w:sz w:val="18"/>
        </w:rPr>
      </w:pPr>
      <w:r>
        <w:rPr>
          <w:sz w:val="18"/>
        </w:rPr>
        <w:t>The construction or maintenance of buildings have been and continue to be one of the sectors of major accidents, by the lack of specific rules on how to combat these ergonomic hazards. The causes are varied, highlighting the bad image of this sector or poor training of its workers, [15].</w:t>
      </w:r>
    </w:p>
    <w:p>
      <w:pPr>
        <w:spacing w:before="0"/>
        <w:ind w:left="270" w:right="676" w:firstLine="403"/>
        <w:jc w:val="both"/>
        <w:rPr>
          <w:sz w:val="18"/>
        </w:rPr>
      </w:pPr>
      <w:r>
        <w:rPr>
          <w:sz w:val="18"/>
        </w:rPr>
        <w:t>In the area of building maintenance workers face daily risks which, they materialize in a crash, could cause great damage to  your health. Also most of the works are performed outdoors, which makes that workers may be exposed to extreme environmental conditions. In this type of activity should work against time to try  to meet initial planning of time that does not take into account weather conditions. So the time lost would have to retrieve it, all this without taking into account that sometimes worked piece. These "rush" are not good partners of respect for safety rules, as are imposed on the completion of work in time to the work carried out in the proper, ergonomically and</w:t>
      </w:r>
      <w:r>
        <w:rPr>
          <w:spacing w:val="-6"/>
          <w:sz w:val="18"/>
        </w:rPr>
        <w:t> </w:t>
      </w:r>
      <w:r>
        <w:rPr>
          <w:sz w:val="18"/>
        </w:rPr>
        <w:t>safely.</w:t>
      </w:r>
    </w:p>
    <w:p>
      <w:pPr>
        <w:spacing w:before="0"/>
        <w:ind w:left="270" w:right="677" w:firstLine="404"/>
        <w:jc w:val="both"/>
        <w:rPr>
          <w:sz w:val="18"/>
        </w:rPr>
      </w:pPr>
      <w:r>
        <w:rPr>
          <w:sz w:val="18"/>
        </w:rPr>
        <w:t>Certainly there are high odds, because of the danger of an accident to cause death to a worker, but it is also important to know what other irrigations, minor, a worker faces. Frank E. Bird developed in 1969 a study with more than 1,750,000 accidents that concluded: that for each fatal accident took place 10 minor accidents, in which the worker did not require low, 30 which  caused only material damage and 600 incidents, no bodily injury or material damage. With these data, he developed the famous  pyramid of accidents or pyramid of Bird</w:t>
      </w:r>
      <w:r>
        <w:rPr>
          <w:spacing w:val="-12"/>
          <w:sz w:val="18"/>
        </w:rPr>
        <w:t> </w:t>
      </w:r>
      <w:r>
        <w:rPr>
          <w:sz w:val="18"/>
        </w:rPr>
        <w:t>(Figure.1).</w:t>
      </w:r>
    </w:p>
    <w:p>
      <w:pPr>
        <w:spacing w:after="0"/>
        <w:jc w:val="both"/>
        <w:rPr>
          <w:sz w:val="18"/>
        </w:rPr>
        <w:sectPr>
          <w:type w:val="continuous"/>
          <w:pgSz w:w="12240" w:h="15840"/>
          <w:pgMar w:top="1500" w:bottom="280" w:left="580" w:right="220"/>
          <w:cols w:num="2" w:equalWidth="0">
            <w:col w:w="5164" w:space="434"/>
            <w:col w:w="5842"/>
          </w:cols>
        </w:sectPr>
      </w:pPr>
    </w:p>
    <w:p>
      <w:pPr>
        <w:spacing w:before="0"/>
        <w:ind w:left="270" w:right="0" w:firstLine="404"/>
        <w:jc w:val="both"/>
        <w:rPr>
          <w:sz w:val="18"/>
        </w:rPr>
      </w:pPr>
      <w:r>
        <w:rPr>
          <w:sz w:val="18"/>
        </w:rPr>
        <w:t>Static working postures are isometric positions, in which case little movement, and to cause overload muscle; they occur in all the jobs that require moving times prolonged standing or sitting, and have influence tested in the development of lumbar and cervical- brachial problems, as in the case of civil construction workers who have long working hours in positions of risk to health [12].</w:t>
      </w:r>
    </w:p>
    <w:p>
      <w:pPr>
        <w:spacing w:before="0"/>
        <w:ind w:left="270" w:right="0" w:firstLine="404"/>
        <w:jc w:val="both"/>
        <w:rPr>
          <w:sz w:val="18"/>
        </w:rPr>
      </w:pPr>
      <w:r>
        <w:rPr>
          <w:sz w:val="18"/>
        </w:rPr>
        <w:t>With the industrialization new risks and accidents at work, hence appear the work of many scholars, who have proposed the hypothesis that "there is an interaction between the number of accidents occurring in the enterprise and in the same unsafe conditions; as well as some socio-economic, cultural and technical characteristics of its workers. In this way, the best conditions of safety and hygiene and the characteristics mentioned in relation to workers, the lower the number of accidents and injuries of a company", [13].</w:t>
      </w:r>
    </w:p>
    <w:p>
      <w:pPr>
        <w:spacing w:before="0"/>
        <w:ind w:left="270" w:right="0" w:firstLine="403"/>
        <w:jc w:val="both"/>
        <w:rPr>
          <w:sz w:val="18"/>
        </w:rPr>
      </w:pPr>
      <w:r>
        <w:rPr>
          <w:sz w:val="18"/>
        </w:rPr>
        <w:t>There is no doubt that the continuous development of science and technology, has allowed the constant change in the methods and processes of human work, in all levels and areas. Such developments multidisciplinary activity called </w:t>
      </w:r>
      <w:r>
        <w:rPr>
          <w:b/>
          <w:sz w:val="18"/>
        </w:rPr>
        <w:t>ERGONOMICS </w:t>
      </w:r>
      <w:r>
        <w:rPr>
          <w:sz w:val="18"/>
        </w:rPr>
        <w:t>emerged.</w:t>
      </w:r>
    </w:p>
    <w:p>
      <w:pPr>
        <w:pStyle w:val="BodyText"/>
        <w:rPr>
          <w:sz w:val="18"/>
        </w:rPr>
      </w:pPr>
      <w:r>
        <w:rPr/>
        <w:br w:type="column"/>
      </w:r>
      <w:r>
        <w:rPr>
          <w:sz w:val="18"/>
        </w:rPr>
      </w:r>
    </w:p>
    <w:p>
      <w:pPr>
        <w:pStyle w:val="BodyText"/>
        <w:rPr>
          <w:sz w:val="18"/>
        </w:rPr>
      </w:pPr>
    </w:p>
    <w:p>
      <w:pPr>
        <w:pStyle w:val="BodyText"/>
        <w:rPr>
          <w:sz w:val="18"/>
        </w:rPr>
      </w:pPr>
    </w:p>
    <w:p>
      <w:pPr>
        <w:pStyle w:val="BodyText"/>
        <w:spacing w:before="9"/>
        <w:rPr>
          <w:sz w:val="18"/>
        </w:rPr>
      </w:pPr>
    </w:p>
    <w:p>
      <w:pPr>
        <w:spacing w:line="205" w:lineRule="exact" w:before="0"/>
        <w:ind w:left="958" w:right="668" w:firstLine="0"/>
        <w:jc w:val="left"/>
        <w:rPr>
          <w:b/>
          <w:sz w:val="18"/>
        </w:rPr>
      </w:pPr>
      <w:r>
        <w:rPr/>
        <w:drawing>
          <wp:anchor distT="0" distB="0" distL="0" distR="0" allowOverlap="1" layoutInCell="1" locked="0" behindDoc="0" simplePos="0" relativeHeight="8104">
            <wp:simplePos x="0" y="0"/>
            <wp:positionH relativeFrom="page">
              <wp:posOffset>4111752</wp:posOffset>
            </wp:positionH>
            <wp:positionV relativeFrom="paragraph">
              <wp:posOffset>-1831822</wp:posOffset>
            </wp:positionV>
            <wp:extent cx="3054096" cy="1798320"/>
            <wp:effectExtent l="0" t="0" r="0" b="0"/>
            <wp:wrapNone/>
            <wp:docPr id="269" name="image153.png" descr=""/>
            <wp:cNvGraphicFramePr>
              <a:graphicFrameLocks noChangeAspect="1"/>
            </wp:cNvGraphicFramePr>
            <a:graphic>
              <a:graphicData uri="http://schemas.openxmlformats.org/drawingml/2006/picture">
                <pic:pic>
                  <pic:nvPicPr>
                    <pic:cNvPr id="270" name="image153.png"/>
                    <pic:cNvPicPr/>
                  </pic:nvPicPr>
                  <pic:blipFill>
                    <a:blip r:embed="rId254" cstate="print"/>
                    <a:stretch>
                      <a:fillRect/>
                    </a:stretch>
                  </pic:blipFill>
                  <pic:spPr>
                    <a:xfrm>
                      <a:off x="0" y="0"/>
                      <a:ext cx="3054096" cy="1798320"/>
                    </a:xfrm>
                    <a:prstGeom prst="rect">
                      <a:avLst/>
                    </a:prstGeom>
                  </pic:spPr>
                </pic:pic>
              </a:graphicData>
            </a:graphic>
          </wp:anchor>
        </w:drawing>
      </w:r>
      <w:r>
        <w:rPr>
          <w:b/>
          <w:sz w:val="18"/>
        </w:rPr>
        <w:t>Figure 1: Accident Pyramid or  Bird Pyramid</w:t>
      </w:r>
    </w:p>
    <w:p>
      <w:pPr>
        <w:spacing w:line="240" w:lineRule="auto" w:before="0"/>
        <w:ind w:left="270" w:right="678" w:firstLine="403"/>
        <w:jc w:val="both"/>
        <w:rPr>
          <w:sz w:val="18"/>
        </w:rPr>
      </w:pPr>
      <w:r>
        <w:rPr>
          <w:sz w:val="18"/>
        </w:rPr>
        <w:t>In many countries including Mexico, it is still necessary to create a preventive culture of safety and health at work, conducive to employers, workers and government acquire a firm commitment to cooperation and concerted action.</w:t>
      </w:r>
    </w:p>
    <w:p>
      <w:pPr>
        <w:pStyle w:val="ListParagraph"/>
        <w:numPr>
          <w:ilvl w:val="1"/>
          <w:numId w:val="67"/>
        </w:numPr>
        <w:tabs>
          <w:tab w:pos="632" w:val="left" w:leader="none"/>
        </w:tabs>
        <w:spacing w:line="205" w:lineRule="exact" w:before="3" w:after="0"/>
        <w:ind w:left="631" w:right="0" w:hanging="361"/>
        <w:jc w:val="left"/>
        <w:rPr>
          <w:b/>
          <w:sz w:val="18"/>
        </w:rPr>
      </w:pPr>
      <w:r>
        <w:rPr>
          <w:b/>
          <w:sz w:val="18"/>
        </w:rPr>
        <w:t>Classification of risks at</w:t>
      </w:r>
      <w:r>
        <w:rPr>
          <w:b/>
          <w:spacing w:val="-4"/>
          <w:sz w:val="18"/>
        </w:rPr>
        <w:t> </w:t>
      </w:r>
      <w:r>
        <w:rPr>
          <w:b/>
          <w:sz w:val="18"/>
        </w:rPr>
        <w:t>work</w:t>
      </w:r>
    </w:p>
    <w:p>
      <w:pPr>
        <w:spacing w:before="0"/>
        <w:ind w:left="270" w:right="678" w:firstLine="403"/>
        <w:jc w:val="both"/>
        <w:rPr>
          <w:sz w:val="18"/>
        </w:rPr>
      </w:pPr>
      <w:r>
        <w:rPr>
          <w:sz w:val="18"/>
        </w:rPr>
        <w:t>The risks of workers in the construction and maintenance of buildings according to Weeks, [16] as well as in most of the work can be classified into 4 classes, as shown below.</w:t>
      </w:r>
    </w:p>
    <w:p>
      <w:pPr>
        <w:pStyle w:val="BodyText"/>
        <w:spacing w:before="3"/>
        <w:rPr>
          <w:sz w:val="18"/>
        </w:rPr>
      </w:pPr>
    </w:p>
    <w:p>
      <w:pPr>
        <w:pStyle w:val="ListParagraph"/>
        <w:numPr>
          <w:ilvl w:val="2"/>
          <w:numId w:val="67"/>
        </w:numPr>
        <w:tabs>
          <w:tab w:pos="766" w:val="left" w:leader="none"/>
        </w:tabs>
        <w:spacing w:line="240" w:lineRule="auto" w:before="0" w:after="0"/>
        <w:ind w:left="765" w:right="0" w:hanging="495"/>
        <w:jc w:val="left"/>
        <w:rPr>
          <w:b/>
          <w:sz w:val="18"/>
        </w:rPr>
      </w:pPr>
      <w:r>
        <w:rPr>
          <w:b/>
          <w:sz w:val="18"/>
        </w:rPr>
        <w:t>Chemical risks</w:t>
      </w:r>
    </w:p>
    <w:p>
      <w:pPr>
        <w:pStyle w:val="BodyText"/>
        <w:spacing w:before="7"/>
        <w:rPr>
          <w:b/>
          <w:sz w:val="17"/>
        </w:rPr>
      </w:pPr>
    </w:p>
    <w:p>
      <w:pPr>
        <w:spacing w:before="1"/>
        <w:ind w:left="270" w:right="678" w:firstLine="358"/>
        <w:jc w:val="both"/>
        <w:rPr>
          <w:sz w:val="18"/>
        </w:rPr>
      </w:pPr>
      <w:r>
        <w:rPr>
          <w:sz w:val="18"/>
        </w:rPr>
        <w:t>Usually present in the form of fumes, vapors or gases are therefore mainly transmitted through the air, the most common is by inhalation exposure, although some risk carried by the air can be attached and be absorbed by the</w:t>
      </w:r>
      <w:r>
        <w:rPr>
          <w:spacing w:val="-11"/>
          <w:sz w:val="18"/>
        </w:rPr>
        <w:t> </w:t>
      </w:r>
      <w:r>
        <w:rPr>
          <w:sz w:val="18"/>
        </w:rPr>
        <w:t>skin.</w:t>
      </w:r>
    </w:p>
    <w:p>
      <w:pPr>
        <w:spacing w:after="0"/>
        <w:jc w:val="both"/>
        <w:rPr>
          <w:sz w:val="18"/>
        </w:rPr>
        <w:sectPr>
          <w:type w:val="continuous"/>
          <w:pgSz w:w="12240" w:h="15840"/>
          <w:pgMar w:top="1500" w:bottom="280" w:left="580" w:right="220"/>
          <w:cols w:num="2" w:equalWidth="0">
            <w:col w:w="5163" w:space="435"/>
            <w:col w:w="5842"/>
          </w:cols>
        </w:sectPr>
      </w:pPr>
    </w:p>
    <w:p>
      <w:pPr>
        <w:pStyle w:val="BodyText"/>
        <w:rPr>
          <w:sz w:val="11"/>
        </w:rPr>
      </w:pPr>
    </w:p>
    <w:p>
      <w:pPr>
        <w:spacing w:after="0"/>
        <w:rPr>
          <w:sz w:val="11"/>
        </w:rPr>
        <w:sectPr>
          <w:pgSz w:w="12240" w:h="15840"/>
          <w:pgMar w:header="545" w:footer="852" w:top="1060" w:bottom="1040" w:left="580" w:right="220"/>
        </w:sectPr>
      </w:pPr>
    </w:p>
    <w:p>
      <w:pPr>
        <w:spacing w:before="77"/>
        <w:ind w:left="270" w:right="1" w:firstLine="404"/>
        <w:jc w:val="both"/>
        <w:rPr>
          <w:sz w:val="18"/>
        </w:rPr>
      </w:pPr>
      <w:r>
        <w:rPr>
          <w:sz w:val="18"/>
        </w:rPr>
        <w:t>According to studies by Weeks [16], several diseases have their origin in a chemical risk have been associated with the construction trades and maintenance of buildings is among them:</w:t>
      </w:r>
    </w:p>
    <w:p>
      <w:pPr>
        <w:pStyle w:val="BodyText"/>
        <w:rPr>
          <w:sz w:val="18"/>
        </w:rPr>
      </w:pPr>
    </w:p>
    <w:p>
      <w:pPr>
        <w:pStyle w:val="ListParagraph"/>
        <w:numPr>
          <w:ilvl w:val="3"/>
          <w:numId w:val="67"/>
        </w:numPr>
        <w:tabs>
          <w:tab w:pos="980" w:val="left" w:leader="none"/>
        </w:tabs>
        <w:spacing w:line="240" w:lineRule="auto" w:before="0" w:after="0"/>
        <w:ind w:left="990" w:right="1" w:hanging="360"/>
        <w:jc w:val="both"/>
        <w:rPr>
          <w:sz w:val="18"/>
        </w:rPr>
      </w:pPr>
      <w:r>
        <w:rPr>
          <w:sz w:val="18"/>
        </w:rPr>
        <w:t>Silicosis applicators generated by sandblasting, digging tunnels and</w:t>
      </w:r>
      <w:r>
        <w:rPr>
          <w:spacing w:val="-3"/>
          <w:sz w:val="18"/>
        </w:rPr>
        <w:t> </w:t>
      </w:r>
      <w:r>
        <w:rPr>
          <w:sz w:val="18"/>
        </w:rPr>
        <w:t>drillers.</w:t>
      </w:r>
    </w:p>
    <w:p>
      <w:pPr>
        <w:pStyle w:val="ListParagraph"/>
        <w:numPr>
          <w:ilvl w:val="3"/>
          <w:numId w:val="67"/>
        </w:numPr>
        <w:tabs>
          <w:tab w:pos="979" w:val="left" w:leader="none"/>
        </w:tabs>
        <w:spacing w:line="240" w:lineRule="auto" w:before="0" w:after="0"/>
        <w:ind w:left="990" w:right="0" w:hanging="360"/>
        <w:jc w:val="both"/>
        <w:rPr>
          <w:sz w:val="18"/>
        </w:rPr>
      </w:pPr>
      <w:r>
        <w:rPr>
          <w:sz w:val="18"/>
        </w:rPr>
        <w:t>Asbestosis formed by applicators asbestos insulation, vapor system installations and building demolition workers.</w:t>
      </w:r>
    </w:p>
    <w:p>
      <w:pPr>
        <w:pStyle w:val="ListParagraph"/>
        <w:numPr>
          <w:ilvl w:val="3"/>
          <w:numId w:val="67"/>
        </w:numPr>
        <w:tabs>
          <w:tab w:pos="979" w:val="left" w:leader="none"/>
          <w:tab w:pos="980" w:val="left" w:leader="none"/>
        </w:tabs>
        <w:spacing w:line="220" w:lineRule="exact" w:before="1" w:after="0"/>
        <w:ind w:left="980" w:right="0" w:hanging="350"/>
        <w:jc w:val="left"/>
        <w:rPr>
          <w:sz w:val="18"/>
        </w:rPr>
      </w:pPr>
      <w:r>
        <w:rPr>
          <w:sz w:val="18"/>
        </w:rPr>
        <w:t>Bronchitis occurs more frequently among</w:t>
      </w:r>
      <w:r>
        <w:rPr>
          <w:spacing w:val="-13"/>
          <w:sz w:val="18"/>
        </w:rPr>
        <w:t> </w:t>
      </w:r>
      <w:r>
        <w:rPr>
          <w:sz w:val="18"/>
        </w:rPr>
        <w:t>welders.</w:t>
      </w:r>
    </w:p>
    <w:p>
      <w:pPr>
        <w:pStyle w:val="ListParagraph"/>
        <w:numPr>
          <w:ilvl w:val="3"/>
          <w:numId w:val="67"/>
        </w:numPr>
        <w:tabs>
          <w:tab w:pos="979" w:val="left" w:leader="none"/>
          <w:tab w:pos="980" w:val="left" w:leader="none"/>
        </w:tabs>
        <w:spacing w:line="220" w:lineRule="exact" w:before="0" w:after="0"/>
        <w:ind w:left="980" w:right="0" w:hanging="350"/>
        <w:jc w:val="left"/>
        <w:rPr>
          <w:sz w:val="18"/>
        </w:rPr>
      </w:pPr>
      <w:r>
        <w:rPr>
          <w:sz w:val="18"/>
        </w:rPr>
        <w:t>Skin Allergies among masons working with</w:t>
      </w:r>
      <w:r>
        <w:rPr>
          <w:spacing w:val="-4"/>
          <w:sz w:val="18"/>
        </w:rPr>
        <w:t> </w:t>
      </w:r>
      <w:r>
        <w:rPr>
          <w:sz w:val="18"/>
        </w:rPr>
        <w:t>cement.</w:t>
      </w:r>
    </w:p>
    <w:p>
      <w:pPr>
        <w:pStyle w:val="ListParagraph"/>
        <w:numPr>
          <w:ilvl w:val="3"/>
          <w:numId w:val="67"/>
        </w:numPr>
        <w:tabs>
          <w:tab w:pos="980" w:val="left" w:leader="none"/>
        </w:tabs>
        <w:spacing w:line="240" w:lineRule="auto" w:before="0" w:after="0"/>
        <w:ind w:left="990" w:right="1" w:hanging="360"/>
        <w:jc w:val="both"/>
        <w:rPr>
          <w:sz w:val="18"/>
        </w:rPr>
      </w:pPr>
      <w:r>
        <w:rPr>
          <w:sz w:val="18"/>
        </w:rPr>
        <w:t>Neurological disorders that occur mainly among painters exposed to organic</w:t>
      </w:r>
      <w:r>
        <w:rPr>
          <w:spacing w:val="-3"/>
          <w:sz w:val="18"/>
        </w:rPr>
        <w:t> </w:t>
      </w:r>
      <w:r>
        <w:rPr>
          <w:sz w:val="18"/>
        </w:rPr>
        <w:t>solvents.</w:t>
      </w:r>
    </w:p>
    <w:p>
      <w:pPr>
        <w:pStyle w:val="ListParagraph"/>
        <w:numPr>
          <w:ilvl w:val="3"/>
          <w:numId w:val="67"/>
        </w:numPr>
        <w:tabs>
          <w:tab w:pos="980" w:val="left" w:leader="none"/>
        </w:tabs>
        <w:spacing w:line="240" w:lineRule="auto" w:before="1" w:after="0"/>
        <w:ind w:left="990" w:right="1" w:hanging="360"/>
        <w:jc w:val="both"/>
        <w:rPr>
          <w:sz w:val="18"/>
        </w:rPr>
      </w:pPr>
      <w:r>
        <w:rPr>
          <w:sz w:val="18"/>
        </w:rPr>
        <w:t>Lung cancer and other respiratory organs most commonly among asbestos insulation installers, welders and carpenters.</w:t>
      </w:r>
    </w:p>
    <w:p>
      <w:pPr>
        <w:pStyle w:val="ListParagraph"/>
        <w:numPr>
          <w:ilvl w:val="3"/>
          <w:numId w:val="67"/>
        </w:numPr>
        <w:tabs>
          <w:tab w:pos="979" w:val="left" w:leader="none"/>
          <w:tab w:pos="980" w:val="left" w:leader="none"/>
        </w:tabs>
        <w:spacing w:line="220" w:lineRule="exact" w:before="0" w:after="0"/>
        <w:ind w:left="980" w:right="0" w:hanging="350"/>
        <w:jc w:val="left"/>
        <w:rPr>
          <w:sz w:val="18"/>
        </w:rPr>
      </w:pPr>
      <w:r>
        <w:rPr>
          <w:sz w:val="18"/>
        </w:rPr>
        <w:t>Lead poisoning among</w:t>
      </w:r>
      <w:r>
        <w:rPr>
          <w:spacing w:val="-3"/>
          <w:sz w:val="18"/>
        </w:rPr>
        <w:t> </w:t>
      </w:r>
      <w:r>
        <w:rPr>
          <w:sz w:val="18"/>
        </w:rPr>
        <w:t>painters.</w:t>
      </w:r>
    </w:p>
    <w:p>
      <w:pPr>
        <w:pStyle w:val="ListParagraph"/>
        <w:numPr>
          <w:ilvl w:val="2"/>
          <w:numId w:val="68"/>
        </w:numPr>
        <w:tabs>
          <w:tab w:pos="812" w:val="left" w:leader="none"/>
        </w:tabs>
        <w:spacing w:line="205" w:lineRule="exact" w:before="2" w:after="0"/>
        <w:ind w:left="811" w:right="0" w:hanging="541"/>
        <w:jc w:val="both"/>
        <w:rPr>
          <w:b/>
          <w:sz w:val="18"/>
        </w:rPr>
      </w:pPr>
      <w:r>
        <w:rPr>
          <w:b/>
          <w:sz w:val="18"/>
        </w:rPr>
        <w:t>Physical</w:t>
      </w:r>
      <w:r>
        <w:rPr>
          <w:b/>
          <w:spacing w:val="-5"/>
          <w:sz w:val="18"/>
        </w:rPr>
        <w:t> </w:t>
      </w:r>
      <w:r>
        <w:rPr>
          <w:b/>
          <w:sz w:val="18"/>
        </w:rPr>
        <w:t>risk</w:t>
      </w:r>
    </w:p>
    <w:p>
      <w:pPr>
        <w:spacing w:before="0"/>
        <w:ind w:left="270" w:right="1" w:firstLine="404"/>
        <w:jc w:val="both"/>
        <w:rPr>
          <w:sz w:val="18"/>
        </w:rPr>
      </w:pPr>
      <w:r>
        <w:rPr>
          <w:sz w:val="18"/>
        </w:rPr>
        <w:t>Most risks in construction are physical. The most important and common are: noise, vibration, climate agents, radiation, barometric pressure and skeletal muscle disorders.</w:t>
      </w:r>
    </w:p>
    <w:p>
      <w:pPr>
        <w:spacing w:before="0"/>
        <w:ind w:left="270" w:right="0" w:firstLine="404"/>
        <w:jc w:val="both"/>
        <w:rPr>
          <w:sz w:val="18"/>
        </w:rPr>
      </w:pPr>
      <w:r>
        <w:rPr>
          <w:sz w:val="18"/>
        </w:rPr>
        <w:t>Skeletal muscle disorders may be the result of a traumatic injury, repetitive forceful movements, poor posture or violent efforts. The most common injuries to construction workers are of this type; such as sprains, fractures, tendinitis and lumbago. Falls due to unstable positions, open excavations, slip on scaffolding and ladders are frequent causes of these disorders.</w:t>
      </w:r>
    </w:p>
    <w:p>
      <w:pPr>
        <w:pStyle w:val="BodyText"/>
        <w:spacing w:before="3"/>
        <w:rPr>
          <w:sz w:val="18"/>
        </w:rPr>
      </w:pPr>
    </w:p>
    <w:p>
      <w:pPr>
        <w:pStyle w:val="ListParagraph"/>
        <w:numPr>
          <w:ilvl w:val="2"/>
          <w:numId w:val="68"/>
        </w:numPr>
        <w:tabs>
          <w:tab w:pos="812" w:val="left" w:leader="none"/>
        </w:tabs>
        <w:spacing w:line="240" w:lineRule="auto" w:before="0" w:after="0"/>
        <w:ind w:left="811" w:right="0" w:hanging="541"/>
        <w:jc w:val="both"/>
        <w:rPr>
          <w:b/>
          <w:sz w:val="18"/>
        </w:rPr>
      </w:pPr>
      <w:r>
        <w:rPr>
          <w:b/>
          <w:sz w:val="18"/>
        </w:rPr>
        <w:t>Biological</w:t>
      </w:r>
      <w:r>
        <w:rPr>
          <w:b/>
          <w:spacing w:val="-2"/>
          <w:sz w:val="18"/>
        </w:rPr>
        <w:t> </w:t>
      </w:r>
      <w:r>
        <w:rPr>
          <w:b/>
          <w:sz w:val="18"/>
        </w:rPr>
        <w:t>risk</w:t>
      </w:r>
    </w:p>
    <w:p>
      <w:pPr>
        <w:pStyle w:val="BodyText"/>
        <w:spacing w:before="7"/>
        <w:rPr>
          <w:b/>
          <w:sz w:val="17"/>
        </w:rPr>
      </w:pPr>
    </w:p>
    <w:p>
      <w:pPr>
        <w:spacing w:before="1"/>
        <w:ind w:left="270" w:right="1" w:firstLine="0"/>
        <w:jc w:val="both"/>
        <w:rPr>
          <w:sz w:val="18"/>
        </w:rPr>
      </w:pPr>
      <w:r>
        <w:rPr>
          <w:sz w:val="18"/>
        </w:rPr>
        <w:t>Biological risks presented by exposure to infectious microorganisms, toxic substances of biological origin or animal attacks. Excavations workers can develop histoplasmosis caused by a fungus commonly found in soil.</w:t>
      </w:r>
    </w:p>
    <w:p>
      <w:pPr>
        <w:spacing w:before="0"/>
        <w:ind w:left="270" w:right="0" w:firstLine="403"/>
        <w:jc w:val="both"/>
        <w:rPr>
          <w:sz w:val="18"/>
        </w:rPr>
      </w:pPr>
      <w:r>
        <w:rPr>
          <w:sz w:val="18"/>
        </w:rPr>
        <w:t>The risks of toxic substances derived from plants ivy, nettles and poisonous shrubs, causing skin rashes. Some wood sawdust  can cause allergies and even</w:t>
      </w:r>
      <w:r>
        <w:rPr>
          <w:spacing w:val="-11"/>
          <w:sz w:val="18"/>
        </w:rPr>
        <w:t> </w:t>
      </w:r>
      <w:r>
        <w:rPr>
          <w:sz w:val="18"/>
        </w:rPr>
        <w:t>cancer.</w:t>
      </w:r>
    </w:p>
    <w:p>
      <w:pPr>
        <w:pStyle w:val="BodyText"/>
        <w:spacing w:before="3"/>
        <w:rPr>
          <w:sz w:val="18"/>
        </w:rPr>
      </w:pPr>
    </w:p>
    <w:p>
      <w:pPr>
        <w:spacing w:before="0"/>
        <w:ind w:left="270" w:right="0" w:firstLine="0"/>
        <w:jc w:val="both"/>
        <w:rPr>
          <w:b/>
          <w:sz w:val="18"/>
        </w:rPr>
      </w:pPr>
      <w:r>
        <w:rPr>
          <w:b/>
          <w:sz w:val="18"/>
        </w:rPr>
        <w:t>2.2.4   Social risks</w:t>
      </w:r>
    </w:p>
    <w:p>
      <w:pPr>
        <w:pStyle w:val="BodyText"/>
        <w:spacing w:before="7"/>
        <w:rPr>
          <w:b/>
          <w:sz w:val="17"/>
        </w:rPr>
      </w:pPr>
    </w:p>
    <w:p>
      <w:pPr>
        <w:spacing w:before="1"/>
        <w:ind w:left="270" w:right="1" w:firstLine="404"/>
        <w:jc w:val="both"/>
        <w:rPr>
          <w:sz w:val="18"/>
        </w:rPr>
      </w:pPr>
      <w:r>
        <w:rPr>
          <w:sz w:val="18"/>
        </w:rPr>
        <w:t>Social risks occur mainly by stress [17], which are subject workers and their job security depends on many factors they cannot control, such as the state of the economy, climate, solvency of the builder or investor, etc. Due to the need that you have to work hard to make up the days that do not work, they can also suffer pressure in the quest to be productive.</w:t>
      </w:r>
    </w:p>
    <w:p>
      <w:pPr>
        <w:pStyle w:val="BodyText"/>
        <w:spacing w:before="3"/>
        <w:rPr>
          <w:sz w:val="18"/>
        </w:rPr>
      </w:pPr>
    </w:p>
    <w:p>
      <w:pPr>
        <w:spacing w:before="0"/>
        <w:ind w:left="270" w:right="0" w:firstLine="0"/>
        <w:jc w:val="both"/>
        <w:rPr>
          <w:b/>
          <w:sz w:val="18"/>
        </w:rPr>
      </w:pPr>
      <w:r>
        <w:rPr>
          <w:b/>
          <w:sz w:val="18"/>
        </w:rPr>
        <w:t>2.3   Health and Safety in Civil Works</w:t>
      </w:r>
    </w:p>
    <w:p>
      <w:pPr>
        <w:pStyle w:val="BodyText"/>
        <w:spacing w:before="7"/>
        <w:rPr>
          <w:b/>
          <w:sz w:val="17"/>
        </w:rPr>
      </w:pPr>
    </w:p>
    <w:p>
      <w:pPr>
        <w:spacing w:before="1"/>
        <w:ind w:left="270" w:right="0" w:firstLine="403"/>
        <w:jc w:val="both"/>
        <w:rPr>
          <w:sz w:val="18"/>
        </w:rPr>
      </w:pPr>
      <w:r>
        <w:rPr>
          <w:sz w:val="18"/>
        </w:rPr>
        <w:t>The civil works is a nomadic activity, therefore one of its main features is the site where you perform productive processes regularly and frequently change location [18]. Thus, the transformation of inputs into products develops almost always in an environment where the production system is being implemented without generally a state of stable operation. The safety and health of workers in civil works are inserted into this particular scheme, which</w:t>
      </w:r>
      <w:r>
        <w:rPr>
          <w:spacing w:val="-7"/>
          <w:sz w:val="18"/>
        </w:rPr>
        <w:t> </w:t>
      </w:r>
      <w:r>
        <w:rPr>
          <w:sz w:val="18"/>
        </w:rPr>
        <w:t>affects</w:t>
      </w:r>
      <w:r>
        <w:rPr>
          <w:spacing w:val="-7"/>
          <w:sz w:val="18"/>
        </w:rPr>
        <w:t> </w:t>
      </w:r>
      <w:r>
        <w:rPr>
          <w:sz w:val="18"/>
        </w:rPr>
        <w:t>the</w:t>
      </w:r>
      <w:r>
        <w:rPr>
          <w:spacing w:val="-7"/>
          <w:sz w:val="18"/>
        </w:rPr>
        <w:t> </w:t>
      </w:r>
      <w:r>
        <w:rPr>
          <w:sz w:val="18"/>
        </w:rPr>
        <w:t>quality</w:t>
      </w:r>
      <w:r>
        <w:rPr>
          <w:spacing w:val="-6"/>
          <w:sz w:val="18"/>
        </w:rPr>
        <w:t> </w:t>
      </w:r>
      <w:r>
        <w:rPr>
          <w:sz w:val="18"/>
        </w:rPr>
        <w:t>management</w:t>
      </w:r>
      <w:r>
        <w:rPr>
          <w:spacing w:val="-7"/>
          <w:sz w:val="18"/>
        </w:rPr>
        <w:t> </w:t>
      </w:r>
      <w:r>
        <w:rPr>
          <w:sz w:val="18"/>
        </w:rPr>
        <w:t>and</w:t>
      </w:r>
      <w:r>
        <w:rPr>
          <w:spacing w:val="-8"/>
          <w:sz w:val="18"/>
        </w:rPr>
        <w:t> </w:t>
      </w:r>
      <w:r>
        <w:rPr>
          <w:sz w:val="18"/>
        </w:rPr>
        <w:t>process</w:t>
      </w:r>
      <w:r>
        <w:rPr>
          <w:spacing w:val="-7"/>
          <w:sz w:val="18"/>
        </w:rPr>
        <w:t> </w:t>
      </w:r>
      <w:r>
        <w:rPr>
          <w:sz w:val="18"/>
        </w:rPr>
        <w:t>productivity.</w:t>
      </w:r>
    </w:p>
    <w:p>
      <w:pPr>
        <w:spacing w:before="0"/>
        <w:ind w:left="270" w:right="1" w:firstLine="404"/>
        <w:jc w:val="both"/>
        <w:rPr>
          <w:sz w:val="18"/>
        </w:rPr>
      </w:pPr>
      <w:r>
        <w:rPr>
          <w:sz w:val="18"/>
        </w:rPr>
        <w:t>One of the key points for security is particularly developed to identify unsafe acts [19]. These are defined as those in which there are elements, events, environments and human actions that represent a potential ability to cause injury or damage and whose probability of occurrence depends on the elimination or control of aggressive element [20].</w:t>
      </w:r>
    </w:p>
    <w:p>
      <w:pPr>
        <w:spacing w:before="77"/>
        <w:ind w:left="270" w:right="678" w:firstLine="403"/>
        <w:jc w:val="both"/>
        <w:rPr>
          <w:sz w:val="18"/>
        </w:rPr>
      </w:pPr>
      <w:r>
        <w:rPr/>
        <w:br w:type="column"/>
      </w:r>
      <w:r>
        <w:rPr>
          <w:sz w:val="18"/>
        </w:rPr>
        <w:t>The unsafe act in construction can be caused by different causes; as examples include among others: the use of tools or machines in disrepair, lack of personal protective equipment and the omission of signs to alert workers of the</w:t>
      </w:r>
      <w:r>
        <w:rPr>
          <w:spacing w:val="-8"/>
          <w:sz w:val="18"/>
        </w:rPr>
        <w:t> </w:t>
      </w:r>
      <w:r>
        <w:rPr>
          <w:sz w:val="18"/>
        </w:rPr>
        <w:t>risks.</w:t>
      </w:r>
    </w:p>
    <w:p>
      <w:pPr>
        <w:spacing w:before="0"/>
        <w:ind w:left="270" w:right="677" w:firstLine="404"/>
        <w:jc w:val="both"/>
        <w:rPr>
          <w:sz w:val="18"/>
        </w:rPr>
      </w:pPr>
      <w:r>
        <w:rPr>
          <w:sz w:val="18"/>
        </w:rPr>
        <w:t>An accident at work is generally the result of an unfortunate combination of factors and circumstances. A study of five hundred accidents in works in the United Kingdom [4] concluded that the principal causes of mishaps were attributable to the planning process problems (were present in 29% of accidents), problems directly with the execution of processes (88% of accidents), attributable to the control problems in construction (17% of all accidents) and situations related to workplace conditions (6% of accidents).</w:t>
      </w:r>
    </w:p>
    <w:p>
      <w:pPr>
        <w:spacing w:before="0"/>
        <w:ind w:left="270" w:right="678" w:firstLine="404"/>
        <w:jc w:val="both"/>
        <w:rPr>
          <w:sz w:val="18"/>
        </w:rPr>
      </w:pPr>
      <w:r>
        <w:rPr>
          <w:sz w:val="18"/>
        </w:rPr>
        <w:t>While the legal and direct responsibility for safety at work is of the firm, some authors have highlighted that the owner of the property under construction or maintenance must play a significant role in preventing accidents (Huang, et. al. 2006). This can be achieved by imposing builder’s security requirements in contracts and carefully monitoring their subsequent performance.</w:t>
      </w:r>
    </w:p>
    <w:p>
      <w:pPr>
        <w:pStyle w:val="BodyText"/>
        <w:spacing w:before="3"/>
        <w:rPr>
          <w:sz w:val="18"/>
        </w:rPr>
      </w:pPr>
    </w:p>
    <w:p>
      <w:pPr>
        <w:spacing w:before="0"/>
        <w:ind w:left="270" w:right="668" w:firstLine="0"/>
        <w:jc w:val="left"/>
        <w:rPr>
          <w:b/>
          <w:sz w:val="18"/>
        </w:rPr>
      </w:pPr>
      <w:r>
        <w:rPr>
          <w:b/>
          <w:sz w:val="18"/>
        </w:rPr>
        <w:t>3  RESULTS</w:t>
      </w:r>
    </w:p>
    <w:p>
      <w:pPr>
        <w:pStyle w:val="BodyText"/>
        <w:spacing w:before="7"/>
        <w:rPr>
          <w:b/>
          <w:sz w:val="17"/>
        </w:rPr>
      </w:pPr>
    </w:p>
    <w:p>
      <w:pPr>
        <w:spacing w:before="1"/>
        <w:ind w:left="270" w:right="677" w:firstLine="403"/>
        <w:jc w:val="both"/>
        <w:rPr>
          <w:sz w:val="18"/>
        </w:rPr>
      </w:pPr>
      <w:r>
        <w:rPr>
          <w:sz w:val="18"/>
        </w:rPr>
        <w:t>The construction worker has a pattern of exposure to very particular risk due to constantly changing work and work alongside workers in other trades that generate different risks. For a given  job, the severity of each risk depends mainly on the concentration and duration of</w:t>
      </w:r>
      <w:r>
        <w:rPr>
          <w:spacing w:val="-21"/>
          <w:sz w:val="18"/>
        </w:rPr>
        <w:t> </w:t>
      </w:r>
      <w:r>
        <w:rPr>
          <w:sz w:val="18"/>
        </w:rPr>
        <w:t>exposure.</w:t>
      </w:r>
    </w:p>
    <w:p>
      <w:pPr>
        <w:spacing w:before="0"/>
        <w:ind w:left="270" w:right="676" w:firstLine="403"/>
        <w:jc w:val="both"/>
        <w:rPr>
          <w:sz w:val="18"/>
        </w:rPr>
      </w:pPr>
      <w:r>
        <w:rPr>
          <w:sz w:val="18"/>
        </w:rPr>
        <w:t>There are common risk exposures to almost all construction projects, such as heat, the factors causing muscle skeletal disorders or fatigue. Table 1 [16] presents the primary risks to which workers in specific occupations major construction and maintenance can be seen exposed. It is important to note that some of the exhibits can affect both workers and professionals who do work direction and control; in the latter case passively. The classification of construction trades presented in Table 1 corresponds to the set in the System Standard Occupational Classification, developed by the United States Department of Commerce</w:t>
      </w:r>
      <w:r>
        <w:rPr>
          <w:spacing w:val="-6"/>
          <w:sz w:val="18"/>
        </w:rPr>
        <w:t> </w:t>
      </w:r>
      <w:r>
        <w:rPr>
          <w:sz w:val="18"/>
        </w:rPr>
        <w:t>(2005).</w:t>
      </w:r>
    </w:p>
    <w:p>
      <w:pPr>
        <w:pStyle w:val="BodyText"/>
        <w:spacing w:before="3"/>
        <w:rPr>
          <w:sz w:val="18"/>
        </w:rPr>
      </w:pPr>
    </w:p>
    <w:p>
      <w:pPr>
        <w:spacing w:before="0"/>
        <w:ind w:left="928" w:right="668" w:firstLine="0"/>
        <w:jc w:val="left"/>
        <w:rPr>
          <w:b/>
          <w:sz w:val="18"/>
        </w:rPr>
      </w:pPr>
      <w:r>
        <w:rPr/>
        <w:pict>
          <v:shape style="position:absolute;margin-left:316.799988pt;margin-top:20.762014pt;width:256.05pt;height:255.9pt;mso-position-horizontal-relative:page;mso-position-vertical-relative:paragraph;z-index:8128"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83"/>
                    <w:gridCol w:w="910"/>
                    <w:gridCol w:w="867"/>
                    <w:gridCol w:w="670"/>
                    <w:gridCol w:w="876"/>
                  </w:tblGrid>
                  <w:tr>
                    <w:trPr>
                      <w:trHeight w:val="217" w:hRule="exact"/>
                    </w:trPr>
                    <w:tc>
                      <w:tcPr>
                        <w:tcW w:w="1783" w:type="dxa"/>
                      </w:tcPr>
                      <w:p>
                        <w:pPr>
                          <w:pStyle w:val="TableParagraph"/>
                          <w:spacing w:line="202" w:lineRule="exact"/>
                          <w:ind w:left="576" w:right="170"/>
                          <w:rPr>
                            <w:sz w:val="18"/>
                          </w:rPr>
                        </w:pPr>
                        <w:r>
                          <w:rPr>
                            <w:sz w:val="18"/>
                          </w:rPr>
                          <w:t>OFFICE</w:t>
                        </w:r>
                      </w:p>
                    </w:tc>
                    <w:tc>
                      <w:tcPr>
                        <w:tcW w:w="3323" w:type="dxa"/>
                        <w:gridSpan w:val="4"/>
                      </w:tcPr>
                      <w:p>
                        <w:pPr>
                          <w:pStyle w:val="TableParagraph"/>
                          <w:spacing w:line="202" w:lineRule="exact"/>
                          <w:ind w:left="1431" w:right="1431"/>
                          <w:jc w:val="center"/>
                          <w:rPr>
                            <w:sz w:val="18"/>
                          </w:rPr>
                        </w:pPr>
                        <w:r>
                          <w:rPr>
                            <w:sz w:val="18"/>
                          </w:rPr>
                          <w:t>RISK</w:t>
                        </w:r>
                      </w:p>
                    </w:tc>
                  </w:tr>
                  <w:tr>
                    <w:trPr>
                      <w:trHeight w:val="424" w:hRule="exact"/>
                    </w:trPr>
                    <w:tc>
                      <w:tcPr>
                        <w:tcW w:w="1783" w:type="dxa"/>
                      </w:tcPr>
                      <w:p>
                        <w:pPr>
                          <w:pStyle w:val="TableParagraph"/>
                          <w:spacing w:line="202" w:lineRule="exact"/>
                          <w:ind w:left="103" w:right="170"/>
                          <w:rPr>
                            <w:sz w:val="18"/>
                          </w:rPr>
                        </w:pPr>
                        <w:r>
                          <w:rPr>
                            <w:sz w:val="18"/>
                          </w:rPr>
                          <w:t>Bricklayers</w:t>
                        </w:r>
                      </w:p>
                    </w:tc>
                    <w:tc>
                      <w:tcPr>
                        <w:tcW w:w="3323" w:type="dxa"/>
                        <w:gridSpan w:val="4"/>
                      </w:tcPr>
                      <w:p>
                        <w:pPr>
                          <w:pStyle w:val="TableParagraph"/>
                          <w:ind w:left="103" w:right="120"/>
                          <w:rPr>
                            <w:sz w:val="18"/>
                          </w:rPr>
                        </w:pPr>
                        <w:r>
                          <w:rPr>
                            <w:sz w:val="18"/>
                          </w:rPr>
                          <w:t>Cement dermatitis, awkward postures, and heavy loads.</w:t>
                        </w:r>
                      </w:p>
                    </w:tc>
                  </w:tr>
                  <w:tr>
                    <w:trPr>
                      <w:trHeight w:val="631" w:hRule="exact"/>
                    </w:trPr>
                    <w:tc>
                      <w:tcPr>
                        <w:tcW w:w="1783" w:type="dxa"/>
                      </w:tcPr>
                      <w:p>
                        <w:pPr>
                          <w:pStyle w:val="TableParagraph"/>
                          <w:spacing w:line="203" w:lineRule="exact"/>
                          <w:ind w:left="103" w:right="170"/>
                          <w:rPr>
                            <w:sz w:val="18"/>
                          </w:rPr>
                        </w:pPr>
                        <w:r>
                          <w:rPr>
                            <w:sz w:val="18"/>
                          </w:rPr>
                          <w:t>Welders</w:t>
                        </w:r>
                      </w:p>
                    </w:tc>
                    <w:tc>
                      <w:tcPr>
                        <w:tcW w:w="3323" w:type="dxa"/>
                        <w:gridSpan w:val="4"/>
                      </w:tcPr>
                      <w:p>
                        <w:pPr>
                          <w:pStyle w:val="TableParagraph"/>
                          <w:ind w:left="103" w:right="456"/>
                          <w:rPr>
                            <w:sz w:val="18"/>
                          </w:rPr>
                        </w:pPr>
                        <w:r>
                          <w:rPr>
                            <w:sz w:val="18"/>
                          </w:rPr>
                          <w:t>Steamers Pasta adhesion, heavy metal welding fumes, dermatitis, awkward postures.</w:t>
                        </w:r>
                      </w:p>
                    </w:tc>
                  </w:tr>
                  <w:tr>
                    <w:trPr>
                      <w:trHeight w:val="424" w:hRule="exact"/>
                    </w:trPr>
                    <w:tc>
                      <w:tcPr>
                        <w:tcW w:w="1783" w:type="dxa"/>
                      </w:tcPr>
                      <w:p>
                        <w:pPr>
                          <w:pStyle w:val="TableParagraph"/>
                          <w:spacing w:line="202" w:lineRule="exact"/>
                          <w:ind w:left="103" w:right="170"/>
                          <w:rPr>
                            <w:sz w:val="18"/>
                          </w:rPr>
                        </w:pPr>
                        <w:r>
                          <w:rPr>
                            <w:sz w:val="18"/>
                          </w:rPr>
                          <w:t>Carpenters</w:t>
                        </w:r>
                      </w:p>
                    </w:tc>
                    <w:tc>
                      <w:tcPr>
                        <w:tcW w:w="3323" w:type="dxa"/>
                        <w:gridSpan w:val="4"/>
                      </w:tcPr>
                      <w:p>
                        <w:pPr>
                          <w:pStyle w:val="TableParagraph"/>
                          <w:ind w:left="103" w:right="864" w:firstLine="1"/>
                          <w:rPr>
                            <w:sz w:val="18"/>
                          </w:rPr>
                        </w:pPr>
                        <w:r>
                          <w:rPr>
                            <w:sz w:val="18"/>
                          </w:rPr>
                          <w:t>Sawdust, heavy loads, repetitive movements.</w:t>
                        </w:r>
                      </w:p>
                    </w:tc>
                  </w:tr>
                  <w:tr>
                    <w:trPr>
                      <w:trHeight w:val="217" w:hRule="exact"/>
                    </w:trPr>
                    <w:tc>
                      <w:tcPr>
                        <w:tcW w:w="1783" w:type="dxa"/>
                      </w:tcPr>
                      <w:p>
                        <w:pPr>
                          <w:pStyle w:val="TableParagraph"/>
                          <w:spacing w:line="203" w:lineRule="exact"/>
                          <w:ind w:left="103" w:right="170"/>
                          <w:rPr>
                            <w:sz w:val="18"/>
                          </w:rPr>
                        </w:pPr>
                        <w:r>
                          <w:rPr>
                            <w:sz w:val="18"/>
                          </w:rPr>
                          <w:t>Attaching drywall</w:t>
                        </w:r>
                      </w:p>
                    </w:tc>
                    <w:tc>
                      <w:tcPr>
                        <w:tcW w:w="3323" w:type="dxa"/>
                        <w:gridSpan w:val="4"/>
                      </w:tcPr>
                      <w:p>
                        <w:pPr>
                          <w:pStyle w:val="TableParagraph"/>
                          <w:spacing w:line="203" w:lineRule="exact"/>
                          <w:ind w:left="102" w:right="120"/>
                          <w:rPr>
                            <w:sz w:val="18"/>
                          </w:rPr>
                        </w:pPr>
                        <w:r>
                          <w:rPr>
                            <w:sz w:val="18"/>
                          </w:rPr>
                          <w:t>Gypsum powder, awkward postures.</w:t>
                        </w:r>
                      </w:p>
                    </w:tc>
                  </w:tr>
                  <w:tr>
                    <w:trPr>
                      <w:trHeight w:val="424" w:hRule="exact"/>
                    </w:trPr>
                    <w:tc>
                      <w:tcPr>
                        <w:tcW w:w="1783" w:type="dxa"/>
                      </w:tcPr>
                      <w:p>
                        <w:pPr>
                          <w:pStyle w:val="TableParagraph"/>
                          <w:spacing w:line="202" w:lineRule="exact"/>
                          <w:ind w:left="103" w:right="170"/>
                          <w:rPr>
                            <w:sz w:val="18"/>
                          </w:rPr>
                        </w:pPr>
                        <w:r>
                          <w:rPr>
                            <w:sz w:val="18"/>
                          </w:rPr>
                          <w:t>Electricians</w:t>
                        </w:r>
                      </w:p>
                    </w:tc>
                    <w:tc>
                      <w:tcPr>
                        <w:tcW w:w="3323" w:type="dxa"/>
                        <w:gridSpan w:val="4"/>
                      </w:tcPr>
                      <w:p>
                        <w:pPr>
                          <w:pStyle w:val="TableParagraph"/>
                          <w:ind w:left="103" w:right="202" w:hanging="2"/>
                          <w:rPr>
                            <w:sz w:val="18"/>
                          </w:rPr>
                        </w:pPr>
                        <w:r>
                          <w:rPr>
                            <w:sz w:val="18"/>
                          </w:rPr>
                          <w:t>Awkward postures, heavy loads, asbestos dust.</w:t>
                        </w:r>
                      </w:p>
                    </w:tc>
                  </w:tr>
                  <w:tr>
                    <w:trPr>
                      <w:trHeight w:val="631" w:hRule="exact"/>
                    </w:trPr>
                    <w:tc>
                      <w:tcPr>
                        <w:tcW w:w="1783" w:type="dxa"/>
                      </w:tcPr>
                      <w:p>
                        <w:pPr>
                          <w:pStyle w:val="TableParagraph"/>
                          <w:spacing w:line="203" w:lineRule="exact"/>
                          <w:ind w:left="103" w:right="170"/>
                          <w:rPr>
                            <w:sz w:val="18"/>
                          </w:rPr>
                        </w:pPr>
                        <w:r>
                          <w:rPr>
                            <w:sz w:val="18"/>
                          </w:rPr>
                          <w:t>Painters</w:t>
                        </w:r>
                      </w:p>
                    </w:tc>
                    <w:tc>
                      <w:tcPr>
                        <w:tcW w:w="3323" w:type="dxa"/>
                        <w:gridSpan w:val="4"/>
                      </w:tcPr>
                      <w:p>
                        <w:pPr>
                          <w:pStyle w:val="TableParagraph"/>
                          <w:ind w:left="103" w:right="120" w:hanging="1"/>
                          <w:rPr>
                            <w:sz w:val="18"/>
                          </w:rPr>
                        </w:pPr>
                        <w:r>
                          <w:rPr>
                            <w:sz w:val="18"/>
                          </w:rPr>
                          <w:t>Fumes from solvents, toxic metals from pigments, additives for paints.</w:t>
                        </w:r>
                      </w:p>
                    </w:tc>
                  </w:tr>
                  <w:tr>
                    <w:trPr>
                      <w:trHeight w:val="425" w:hRule="exact"/>
                    </w:trPr>
                    <w:tc>
                      <w:tcPr>
                        <w:tcW w:w="1783" w:type="dxa"/>
                      </w:tcPr>
                      <w:p>
                        <w:pPr>
                          <w:pStyle w:val="TableParagraph"/>
                          <w:spacing w:line="203" w:lineRule="exact"/>
                          <w:ind w:left="103" w:right="170"/>
                          <w:rPr>
                            <w:sz w:val="18"/>
                          </w:rPr>
                        </w:pPr>
                        <w:r>
                          <w:rPr>
                            <w:sz w:val="18"/>
                          </w:rPr>
                          <w:t>Plumbers</w:t>
                        </w:r>
                      </w:p>
                    </w:tc>
                    <w:tc>
                      <w:tcPr>
                        <w:tcW w:w="3323" w:type="dxa"/>
                        <w:gridSpan w:val="4"/>
                      </w:tcPr>
                      <w:p>
                        <w:pPr>
                          <w:pStyle w:val="TableParagraph"/>
                          <w:ind w:left="103" w:right="120"/>
                          <w:rPr>
                            <w:sz w:val="18"/>
                          </w:rPr>
                        </w:pPr>
                        <w:r>
                          <w:rPr>
                            <w:sz w:val="18"/>
                          </w:rPr>
                          <w:t>Fumes and lead particles, welding fumes, asbestos dust.</w:t>
                        </w:r>
                      </w:p>
                    </w:tc>
                  </w:tr>
                  <w:tr>
                    <w:trPr>
                      <w:trHeight w:val="216" w:hRule="exact"/>
                    </w:trPr>
                    <w:tc>
                      <w:tcPr>
                        <w:tcW w:w="1783" w:type="dxa"/>
                      </w:tcPr>
                      <w:p>
                        <w:pPr>
                          <w:pStyle w:val="TableParagraph"/>
                          <w:spacing w:line="202" w:lineRule="exact"/>
                          <w:ind w:left="103" w:right="170"/>
                          <w:rPr>
                            <w:sz w:val="18"/>
                          </w:rPr>
                        </w:pPr>
                        <w:r>
                          <w:rPr>
                            <w:sz w:val="18"/>
                          </w:rPr>
                          <w:t>Polishers</w:t>
                        </w:r>
                      </w:p>
                    </w:tc>
                    <w:tc>
                      <w:tcPr>
                        <w:tcW w:w="3323" w:type="dxa"/>
                        <w:gridSpan w:val="4"/>
                      </w:tcPr>
                      <w:p>
                        <w:pPr>
                          <w:pStyle w:val="TableParagraph"/>
                          <w:spacing w:line="202" w:lineRule="exact"/>
                          <w:ind w:left="103" w:right="120"/>
                          <w:rPr>
                            <w:sz w:val="18"/>
                          </w:rPr>
                        </w:pPr>
                        <w:r>
                          <w:rPr>
                            <w:sz w:val="18"/>
                          </w:rPr>
                          <w:t>Awkward postures.</w:t>
                        </w:r>
                      </w:p>
                    </w:tc>
                  </w:tr>
                  <w:tr>
                    <w:trPr>
                      <w:trHeight w:val="425" w:hRule="exact"/>
                    </w:trPr>
                    <w:tc>
                      <w:tcPr>
                        <w:tcW w:w="1783" w:type="dxa"/>
                      </w:tcPr>
                      <w:p>
                        <w:pPr>
                          <w:pStyle w:val="TableParagraph"/>
                          <w:spacing w:line="203" w:lineRule="exact"/>
                          <w:ind w:left="103" w:right="170"/>
                          <w:rPr>
                            <w:sz w:val="18"/>
                          </w:rPr>
                        </w:pPr>
                        <w:r>
                          <w:rPr>
                            <w:sz w:val="18"/>
                          </w:rPr>
                          <w:t>Insulation installers</w:t>
                        </w:r>
                      </w:p>
                    </w:tc>
                    <w:tc>
                      <w:tcPr>
                        <w:tcW w:w="910" w:type="dxa"/>
                        <w:tcBorders>
                          <w:right w:val="nil"/>
                        </w:tcBorders>
                      </w:tcPr>
                      <w:p>
                        <w:pPr>
                          <w:pStyle w:val="TableParagraph"/>
                          <w:ind w:left="103" w:right="88" w:hanging="1"/>
                          <w:rPr>
                            <w:sz w:val="18"/>
                          </w:rPr>
                        </w:pPr>
                        <w:r>
                          <w:rPr>
                            <w:sz w:val="18"/>
                          </w:rPr>
                          <w:t>Asbestos, postures.</w:t>
                        </w:r>
                      </w:p>
                    </w:tc>
                    <w:tc>
                      <w:tcPr>
                        <w:tcW w:w="867" w:type="dxa"/>
                        <w:tcBorders>
                          <w:left w:val="nil"/>
                          <w:right w:val="nil"/>
                        </w:tcBorders>
                      </w:tcPr>
                      <w:p>
                        <w:pPr>
                          <w:pStyle w:val="TableParagraph"/>
                          <w:spacing w:line="203" w:lineRule="exact"/>
                          <w:ind w:left="108"/>
                          <w:rPr>
                            <w:sz w:val="18"/>
                          </w:rPr>
                        </w:pPr>
                        <w:r>
                          <w:rPr>
                            <w:sz w:val="18"/>
                          </w:rPr>
                          <w:t>synthetic</w:t>
                        </w:r>
                      </w:p>
                    </w:tc>
                    <w:tc>
                      <w:tcPr>
                        <w:tcW w:w="670" w:type="dxa"/>
                        <w:tcBorders>
                          <w:left w:val="nil"/>
                          <w:right w:val="nil"/>
                        </w:tcBorders>
                      </w:tcPr>
                      <w:p>
                        <w:pPr>
                          <w:pStyle w:val="TableParagraph"/>
                          <w:spacing w:line="203" w:lineRule="exact"/>
                          <w:ind w:left="108"/>
                          <w:rPr>
                            <w:sz w:val="18"/>
                          </w:rPr>
                        </w:pPr>
                        <w:r>
                          <w:rPr>
                            <w:sz w:val="18"/>
                          </w:rPr>
                          <w:t>fibers,</w:t>
                        </w:r>
                      </w:p>
                    </w:tc>
                    <w:tc>
                      <w:tcPr>
                        <w:tcW w:w="876" w:type="dxa"/>
                        <w:tcBorders>
                          <w:left w:val="nil"/>
                        </w:tcBorders>
                      </w:tcPr>
                      <w:p>
                        <w:pPr>
                          <w:pStyle w:val="TableParagraph"/>
                          <w:spacing w:line="203" w:lineRule="exact"/>
                          <w:ind w:left="108"/>
                          <w:rPr>
                            <w:sz w:val="18"/>
                          </w:rPr>
                        </w:pPr>
                        <w:r>
                          <w:rPr>
                            <w:sz w:val="18"/>
                          </w:rPr>
                          <w:t>awkward</w:t>
                        </w:r>
                      </w:p>
                    </w:tc>
                  </w:tr>
                  <w:tr>
                    <w:trPr>
                      <w:trHeight w:val="424" w:hRule="exact"/>
                    </w:trPr>
                    <w:tc>
                      <w:tcPr>
                        <w:tcW w:w="1783" w:type="dxa"/>
                      </w:tcPr>
                      <w:p>
                        <w:pPr>
                          <w:pStyle w:val="TableParagraph"/>
                          <w:ind w:left="103" w:right="170"/>
                          <w:rPr>
                            <w:sz w:val="18"/>
                          </w:rPr>
                        </w:pPr>
                        <w:r>
                          <w:rPr>
                            <w:sz w:val="18"/>
                          </w:rPr>
                          <w:t>Assemblers of metal structures</w:t>
                        </w:r>
                      </w:p>
                    </w:tc>
                    <w:tc>
                      <w:tcPr>
                        <w:tcW w:w="3323" w:type="dxa"/>
                        <w:gridSpan w:val="4"/>
                      </w:tcPr>
                      <w:p>
                        <w:pPr>
                          <w:pStyle w:val="TableParagraph"/>
                          <w:ind w:left="103" w:right="120"/>
                          <w:rPr>
                            <w:sz w:val="18"/>
                          </w:rPr>
                        </w:pPr>
                        <w:r>
                          <w:rPr>
                            <w:sz w:val="18"/>
                          </w:rPr>
                          <w:t>Awkward postures, heavy loads, working at heights.</w:t>
                        </w:r>
                      </w:p>
                    </w:tc>
                  </w:tr>
                  <w:tr>
                    <w:trPr>
                      <w:trHeight w:val="217" w:hRule="exact"/>
                    </w:trPr>
                    <w:tc>
                      <w:tcPr>
                        <w:tcW w:w="1783" w:type="dxa"/>
                      </w:tcPr>
                      <w:p>
                        <w:pPr>
                          <w:pStyle w:val="TableParagraph"/>
                          <w:spacing w:line="202" w:lineRule="exact"/>
                          <w:ind w:left="103" w:right="170"/>
                          <w:rPr>
                            <w:sz w:val="18"/>
                          </w:rPr>
                        </w:pPr>
                        <w:r>
                          <w:rPr>
                            <w:sz w:val="18"/>
                          </w:rPr>
                          <w:t>Rock drillers</w:t>
                        </w:r>
                      </w:p>
                    </w:tc>
                    <w:tc>
                      <w:tcPr>
                        <w:tcW w:w="3323" w:type="dxa"/>
                        <w:gridSpan w:val="4"/>
                      </w:tcPr>
                      <w:p>
                        <w:pPr>
                          <w:pStyle w:val="TableParagraph"/>
                          <w:spacing w:line="202" w:lineRule="exact"/>
                          <w:ind w:left="103" w:right="120"/>
                          <w:rPr>
                            <w:sz w:val="18"/>
                          </w:rPr>
                        </w:pPr>
                        <w:r>
                          <w:rPr>
                            <w:sz w:val="18"/>
                          </w:rPr>
                          <w:t>Fatigue, isolation.</w:t>
                        </w:r>
                      </w:p>
                    </w:tc>
                  </w:tr>
                  <w:tr>
                    <w:trPr>
                      <w:trHeight w:val="217" w:hRule="exact"/>
                    </w:trPr>
                    <w:tc>
                      <w:tcPr>
                        <w:tcW w:w="1783" w:type="dxa"/>
                      </w:tcPr>
                      <w:p>
                        <w:pPr>
                          <w:pStyle w:val="TableParagraph"/>
                          <w:spacing w:line="202" w:lineRule="exact"/>
                          <w:ind w:left="103" w:right="170"/>
                          <w:rPr>
                            <w:sz w:val="18"/>
                          </w:rPr>
                        </w:pPr>
                        <w:r>
                          <w:rPr>
                            <w:sz w:val="18"/>
                          </w:rPr>
                          <w:t>Crane Operators</w:t>
                        </w:r>
                      </w:p>
                    </w:tc>
                    <w:tc>
                      <w:tcPr>
                        <w:tcW w:w="3323" w:type="dxa"/>
                        <w:gridSpan w:val="4"/>
                      </w:tcPr>
                      <w:p>
                        <w:pPr>
                          <w:pStyle w:val="TableParagraph"/>
                          <w:spacing w:line="202" w:lineRule="exact"/>
                          <w:ind w:left="103" w:right="120"/>
                          <w:rPr>
                            <w:sz w:val="18"/>
                          </w:rPr>
                        </w:pPr>
                        <w:r>
                          <w:rPr>
                            <w:sz w:val="18"/>
                          </w:rPr>
                          <w:t>Fatigue, isolation..</w:t>
                        </w:r>
                      </w:p>
                    </w:tc>
                  </w:tr>
                  <w:tr>
                    <w:trPr>
                      <w:trHeight w:val="217" w:hRule="exact"/>
                    </w:trPr>
                    <w:tc>
                      <w:tcPr>
                        <w:tcW w:w="1783" w:type="dxa"/>
                      </w:tcPr>
                      <w:p>
                        <w:pPr>
                          <w:pStyle w:val="TableParagraph"/>
                          <w:spacing w:line="202" w:lineRule="exact"/>
                          <w:ind w:left="103" w:right="170"/>
                          <w:rPr>
                            <w:sz w:val="18"/>
                          </w:rPr>
                        </w:pPr>
                        <w:r>
                          <w:rPr>
                            <w:sz w:val="18"/>
                          </w:rPr>
                          <w:t>Operators of trucks</w:t>
                        </w:r>
                      </w:p>
                    </w:tc>
                    <w:tc>
                      <w:tcPr>
                        <w:tcW w:w="3323" w:type="dxa"/>
                        <w:gridSpan w:val="4"/>
                      </w:tcPr>
                      <w:p>
                        <w:pPr>
                          <w:pStyle w:val="TableParagraph"/>
                          <w:spacing w:line="202" w:lineRule="exact"/>
                          <w:ind w:left="103" w:right="120"/>
                          <w:rPr>
                            <w:sz w:val="18"/>
                          </w:rPr>
                        </w:pPr>
                        <w:r>
                          <w:rPr>
                            <w:sz w:val="18"/>
                          </w:rPr>
                          <w:t>Dust, vibration, heat, noise.</w:t>
                        </w:r>
                      </w:p>
                    </w:tc>
                  </w:tr>
                </w:tbl>
                <w:p>
                  <w:pPr>
                    <w:pStyle w:val="BodyText"/>
                  </w:pPr>
                </w:p>
              </w:txbxContent>
            </v:textbox>
            <w10:wrap type="none"/>
          </v:shape>
        </w:pict>
      </w:r>
      <w:r>
        <w:rPr>
          <w:b/>
          <w:sz w:val="18"/>
        </w:rPr>
        <w:t>Table 1 Primary Risks job in construction [16]</w:t>
      </w:r>
    </w:p>
    <w:p>
      <w:pPr>
        <w:spacing w:after="0"/>
        <w:jc w:val="left"/>
        <w:rPr>
          <w:sz w:val="18"/>
        </w:rPr>
        <w:sectPr>
          <w:type w:val="continuous"/>
          <w:pgSz w:w="12240" w:h="15840"/>
          <w:pgMar w:top="1500" w:bottom="280" w:left="580" w:right="220"/>
          <w:cols w:num="2" w:equalWidth="0">
            <w:col w:w="5164" w:space="434"/>
            <w:col w:w="5842"/>
          </w:cols>
        </w:sectPr>
      </w:pPr>
    </w:p>
    <w:p>
      <w:pPr>
        <w:pStyle w:val="BodyText"/>
        <w:rPr>
          <w:b/>
          <w:sz w:val="11"/>
        </w:rPr>
      </w:pPr>
    </w:p>
    <w:p>
      <w:pPr>
        <w:spacing w:after="0"/>
        <w:rPr>
          <w:sz w:val="11"/>
        </w:rPr>
        <w:sectPr>
          <w:pgSz w:w="12240" w:h="15840"/>
          <w:pgMar w:header="545" w:footer="852" w:top="1060" w:bottom="1040" w:left="580" w:right="220"/>
        </w:sectPr>
      </w:pPr>
    </w:p>
    <w:p>
      <w:pPr>
        <w:pStyle w:val="BodyText"/>
        <w:spacing w:before="1"/>
        <w:rPr>
          <w:b/>
          <w:sz w:val="7"/>
        </w:rPr>
      </w:pPr>
    </w:p>
    <w:tbl>
      <w:tblPr>
        <w:tblW w:w="0" w:type="auto"/>
        <w:jc w:val="left"/>
        <w:tblInd w:w="1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83"/>
        <w:gridCol w:w="3323"/>
      </w:tblGrid>
      <w:tr>
        <w:trPr>
          <w:trHeight w:val="216" w:hRule="exact"/>
        </w:trPr>
        <w:tc>
          <w:tcPr>
            <w:tcW w:w="1783" w:type="dxa"/>
          </w:tcPr>
          <w:p>
            <w:pPr>
              <w:pStyle w:val="TableParagraph"/>
              <w:spacing w:line="202" w:lineRule="exact"/>
              <w:ind w:left="103" w:right="170"/>
              <w:rPr>
                <w:sz w:val="18"/>
              </w:rPr>
            </w:pPr>
            <w:r>
              <w:rPr>
                <w:sz w:val="18"/>
              </w:rPr>
              <w:t>and machinery</w:t>
            </w:r>
          </w:p>
        </w:tc>
        <w:tc>
          <w:tcPr>
            <w:tcW w:w="3323" w:type="dxa"/>
          </w:tcPr>
          <w:p>
            <w:pPr/>
          </w:p>
        </w:tc>
      </w:tr>
      <w:tr>
        <w:trPr>
          <w:trHeight w:val="425" w:hRule="exact"/>
        </w:trPr>
        <w:tc>
          <w:tcPr>
            <w:tcW w:w="1783" w:type="dxa"/>
          </w:tcPr>
          <w:p>
            <w:pPr>
              <w:pStyle w:val="TableParagraph"/>
              <w:ind w:left="103" w:right="295"/>
              <w:rPr>
                <w:sz w:val="18"/>
              </w:rPr>
            </w:pPr>
            <w:r>
              <w:rPr>
                <w:sz w:val="18"/>
              </w:rPr>
              <w:t>Road Construction Workers</w:t>
            </w:r>
          </w:p>
        </w:tc>
        <w:tc>
          <w:tcPr>
            <w:tcW w:w="3323" w:type="dxa"/>
          </w:tcPr>
          <w:p>
            <w:pPr>
              <w:pStyle w:val="TableParagraph"/>
              <w:ind w:left="103" w:right="120"/>
              <w:rPr>
                <w:sz w:val="18"/>
              </w:rPr>
            </w:pPr>
            <w:r>
              <w:rPr>
                <w:sz w:val="18"/>
              </w:rPr>
              <w:t>Asphalt fumes, heat, smoke from diesel engines.</w:t>
            </w:r>
          </w:p>
        </w:tc>
      </w:tr>
      <w:tr>
        <w:trPr>
          <w:trHeight w:val="217" w:hRule="exact"/>
        </w:trPr>
        <w:tc>
          <w:tcPr>
            <w:tcW w:w="1783" w:type="dxa"/>
          </w:tcPr>
          <w:p>
            <w:pPr>
              <w:pStyle w:val="TableParagraph"/>
              <w:spacing w:line="202" w:lineRule="exact"/>
              <w:ind w:left="103" w:right="170"/>
              <w:rPr>
                <w:sz w:val="18"/>
              </w:rPr>
            </w:pPr>
            <w:r>
              <w:rPr>
                <w:sz w:val="18"/>
              </w:rPr>
              <w:t>Demolition workers</w:t>
            </w:r>
          </w:p>
        </w:tc>
        <w:tc>
          <w:tcPr>
            <w:tcW w:w="3323" w:type="dxa"/>
          </w:tcPr>
          <w:p>
            <w:pPr>
              <w:pStyle w:val="TableParagraph"/>
              <w:spacing w:line="202" w:lineRule="exact"/>
              <w:ind w:left="102" w:right="120"/>
              <w:rPr>
                <w:sz w:val="18"/>
              </w:rPr>
            </w:pPr>
            <w:r>
              <w:rPr>
                <w:sz w:val="18"/>
              </w:rPr>
              <w:t>Dust, asbestos, lead, noise.</w:t>
            </w:r>
          </w:p>
        </w:tc>
      </w:tr>
    </w:tbl>
    <w:p>
      <w:pPr>
        <w:pStyle w:val="BodyText"/>
        <w:spacing w:before="6"/>
        <w:rPr>
          <w:b/>
          <w:sz w:val="17"/>
        </w:rPr>
      </w:pPr>
    </w:p>
    <w:p>
      <w:pPr>
        <w:spacing w:before="0"/>
        <w:ind w:left="270" w:right="1" w:firstLine="404"/>
        <w:jc w:val="both"/>
        <w:rPr>
          <w:sz w:val="18"/>
        </w:rPr>
      </w:pPr>
      <w:r>
        <w:rPr>
          <w:sz w:val="18"/>
        </w:rPr>
        <w:t>As can be seen in Table the lesions depend greatly on the type of work being performed, which can be in the building industry or maintenance of buildings, so that both activities cannot be analyzed separately since they are intimately linked with the activities and ways of working.</w:t>
      </w:r>
    </w:p>
    <w:p>
      <w:pPr>
        <w:pStyle w:val="BodyText"/>
        <w:spacing w:before="3"/>
        <w:rPr>
          <w:sz w:val="18"/>
        </w:rPr>
      </w:pPr>
    </w:p>
    <w:p>
      <w:pPr>
        <w:spacing w:before="0"/>
        <w:ind w:left="270" w:right="0" w:firstLine="0"/>
        <w:jc w:val="both"/>
        <w:rPr>
          <w:b/>
          <w:sz w:val="18"/>
        </w:rPr>
      </w:pPr>
      <w:r>
        <w:rPr>
          <w:b/>
          <w:sz w:val="18"/>
        </w:rPr>
        <w:t>4.  CONCLUSIONS</w:t>
      </w:r>
    </w:p>
    <w:p>
      <w:pPr>
        <w:pStyle w:val="BodyText"/>
        <w:spacing w:before="7"/>
        <w:rPr>
          <w:b/>
          <w:sz w:val="17"/>
        </w:rPr>
      </w:pPr>
    </w:p>
    <w:p>
      <w:pPr>
        <w:spacing w:before="1"/>
        <w:ind w:left="270" w:right="0" w:firstLine="403"/>
        <w:jc w:val="both"/>
        <w:rPr>
          <w:sz w:val="18"/>
        </w:rPr>
      </w:pPr>
      <w:r>
        <w:rPr>
          <w:sz w:val="18"/>
        </w:rPr>
        <w:t>The work done in the construction and maintenance, is among those who produce more risks and factors that may endanger health are highly variable. The risk exposure is different from office in office, from work to work, and constantly changing from day to  day and even from hour to hour. Risk exposures in building and maintaining their main features that are intermittent, repetitive and short duration.</w:t>
      </w:r>
    </w:p>
    <w:p>
      <w:pPr>
        <w:spacing w:before="0"/>
        <w:ind w:left="270" w:right="1" w:firstLine="404"/>
        <w:jc w:val="both"/>
        <w:rPr>
          <w:sz w:val="18"/>
        </w:rPr>
      </w:pPr>
      <w:r>
        <w:rPr>
          <w:sz w:val="18"/>
        </w:rPr>
        <w:t>According to the indicators of the Mexican Social Security Institute (IMSS) in Mexico branch of the construction industry and building maintenance is the second most risky for the worker, only surpassed by the extractive industry. The total number of injuries increased by 2% during the period from 2005 to 2006 [21].</w:t>
      </w:r>
    </w:p>
    <w:p>
      <w:pPr>
        <w:spacing w:before="0"/>
        <w:ind w:left="270" w:right="1" w:firstLine="404"/>
        <w:jc w:val="both"/>
        <w:rPr>
          <w:sz w:val="18"/>
        </w:rPr>
      </w:pPr>
      <w:r>
        <w:rPr>
          <w:sz w:val="18"/>
        </w:rPr>
        <w:t>So here foregoing essential to create a preventive culture of safety and health at work, requiring employers and government to acquire a firm commitment to cooperation and concerted action for the protection of workers by meeting in our country safety requirements established in the contracts</w:t>
      </w:r>
    </w:p>
    <w:p>
      <w:pPr>
        <w:pStyle w:val="BodyText"/>
        <w:spacing w:before="3"/>
        <w:rPr>
          <w:sz w:val="18"/>
        </w:rPr>
      </w:pPr>
    </w:p>
    <w:p>
      <w:pPr>
        <w:spacing w:before="0"/>
        <w:ind w:left="270" w:right="0" w:firstLine="0"/>
        <w:jc w:val="both"/>
        <w:rPr>
          <w:b/>
          <w:sz w:val="18"/>
        </w:rPr>
      </w:pPr>
      <w:r>
        <w:rPr>
          <w:b/>
          <w:sz w:val="18"/>
        </w:rPr>
        <w:t>5  REFERENCES</w:t>
      </w:r>
    </w:p>
    <w:p>
      <w:pPr>
        <w:pStyle w:val="BodyText"/>
        <w:spacing w:before="7"/>
        <w:rPr>
          <w:b/>
          <w:sz w:val="17"/>
        </w:rPr>
      </w:pPr>
    </w:p>
    <w:p>
      <w:pPr>
        <w:spacing w:before="1"/>
        <w:ind w:left="270" w:right="0" w:firstLine="0"/>
        <w:jc w:val="both"/>
        <w:rPr>
          <w:sz w:val="18"/>
        </w:rPr>
      </w:pPr>
      <w:r>
        <w:rPr>
          <w:sz w:val="18"/>
        </w:rPr>
        <w:t>[1] Bebé, R. M. (1986). Mantenimiento y Reconstrucción de Edificios. Ciudad de la Habana, Cuba: Ministerio de Educación Superior</w:t>
      </w:r>
    </w:p>
    <w:p>
      <w:pPr>
        <w:spacing w:line="206" w:lineRule="exact" w:before="0"/>
        <w:ind w:left="270" w:right="0" w:firstLine="0"/>
        <w:jc w:val="both"/>
        <w:rPr>
          <w:sz w:val="18"/>
        </w:rPr>
      </w:pPr>
      <w:r>
        <w:rPr>
          <w:sz w:val="18"/>
        </w:rPr>
        <w:t>[2] Loría, R. (2005). ¿Qué alarga la vida útil de una edificación?</w:t>
      </w:r>
    </w:p>
    <w:p>
      <w:pPr>
        <w:spacing w:line="207" w:lineRule="exact" w:before="0"/>
        <w:ind w:left="270" w:right="0" w:firstLine="0"/>
        <w:jc w:val="both"/>
        <w:rPr>
          <w:sz w:val="18"/>
        </w:rPr>
      </w:pPr>
      <w:r>
        <w:rPr>
          <w:sz w:val="18"/>
        </w:rPr>
        <w:t>Construcción. La Habana, Cuba</w:t>
      </w:r>
    </w:p>
    <w:p>
      <w:pPr>
        <w:spacing w:before="0"/>
        <w:ind w:left="270" w:right="5" w:firstLine="0"/>
        <w:jc w:val="left"/>
        <w:rPr>
          <w:sz w:val="18"/>
        </w:rPr>
      </w:pPr>
      <w:r>
        <w:rPr>
          <w:sz w:val="18"/>
        </w:rPr>
        <w:t>[3] Arencibia, J. B. (2005). Propuesta para la generalización del Programa para el Mantenimiento Constructivo de las Edificaciones de la Universidad de las Ciencias Informáticas.  la Habana, Cuba. [4] Suraji, A. D. (2001). Development of Causal Model of Construction Accident Causation. Journal of Construction Engineering and Management, 4, 337-344.</w:t>
      </w:r>
    </w:p>
    <w:p>
      <w:pPr>
        <w:spacing w:line="206" w:lineRule="exact" w:before="0"/>
        <w:ind w:left="270" w:right="0" w:firstLine="0"/>
        <w:jc w:val="both"/>
        <w:rPr>
          <w:sz w:val="18"/>
        </w:rPr>
      </w:pPr>
      <w:r>
        <w:rPr>
          <w:sz w:val="18"/>
        </w:rPr>
        <w:t>[5] 2004 – INEGI </w:t>
      </w:r>
      <w:hyperlink r:id="rId255">
        <w:r>
          <w:rPr>
            <w:sz w:val="18"/>
          </w:rPr>
          <w:t>www.inegi.org.mx</w:t>
        </w:r>
      </w:hyperlink>
    </w:p>
    <w:p>
      <w:pPr>
        <w:tabs>
          <w:tab w:pos="1521" w:val="left" w:leader="none"/>
          <w:tab w:pos="2271" w:val="left" w:leader="none"/>
        </w:tabs>
        <w:spacing w:before="0"/>
        <w:ind w:left="270" w:right="0" w:firstLine="0"/>
        <w:jc w:val="both"/>
        <w:rPr>
          <w:sz w:val="18"/>
        </w:rPr>
      </w:pPr>
      <w:r>
        <w:rPr>
          <w:sz w:val="18"/>
        </w:rPr>
        <w:t>[6] ILO. (8 de Junio de 2011). Estdísticas y bases de datos. Obtenido</w:t>
        <w:tab/>
        <w:t>de</w:t>
        <w:tab/>
      </w:r>
      <w:hyperlink r:id="rId256">
        <w:r>
          <w:rPr>
            <w:spacing w:val="-1"/>
            <w:sz w:val="18"/>
          </w:rPr>
          <w:t>http://www.ilo.org/global/statistics-and-</w:t>
        </w:r>
      </w:hyperlink>
      <w:r>
        <w:rPr>
          <w:spacing w:val="-1"/>
          <w:sz w:val="18"/>
        </w:rPr>
        <w:t> </w:t>
      </w:r>
      <w:r>
        <w:rPr>
          <w:sz w:val="18"/>
        </w:rPr>
        <w:t>databases/lang-es/index.htm.</w:t>
      </w:r>
    </w:p>
    <w:p>
      <w:pPr>
        <w:spacing w:before="0"/>
        <w:ind w:left="270" w:right="0" w:firstLine="0"/>
        <w:jc w:val="both"/>
        <w:rPr>
          <w:sz w:val="18"/>
        </w:rPr>
      </w:pPr>
      <w:r>
        <w:rPr>
          <w:sz w:val="18"/>
        </w:rPr>
        <w:t>[7] IMSS. (2009). Memoria Estadística, Capítulo VI, Salud en el Trabajo. Instituto Mexicano del Seguro Social</w:t>
      </w:r>
    </w:p>
    <w:p>
      <w:pPr>
        <w:spacing w:line="206" w:lineRule="exact" w:before="0"/>
        <w:ind w:left="270" w:right="0" w:firstLine="0"/>
        <w:jc w:val="both"/>
        <w:rPr>
          <w:sz w:val="18"/>
        </w:rPr>
      </w:pPr>
      <w:r>
        <w:rPr>
          <w:sz w:val="18"/>
        </w:rPr>
        <w:t>[8] Villar, F. M. (2011). Posturas de trabajo: evaluación del  riesgo.</w:t>
      </w:r>
    </w:p>
    <w:p>
      <w:pPr>
        <w:spacing w:line="207" w:lineRule="exact" w:before="0"/>
        <w:ind w:left="270" w:right="0" w:firstLine="0"/>
        <w:jc w:val="both"/>
        <w:rPr>
          <w:sz w:val="18"/>
        </w:rPr>
      </w:pPr>
      <w:r>
        <w:rPr>
          <w:sz w:val="18"/>
        </w:rPr>
        <w:t>INSHT. Obtenido de </w:t>
      </w:r>
      <w:hyperlink r:id="rId257">
        <w:r>
          <w:rPr>
            <w:sz w:val="18"/>
          </w:rPr>
          <w:t>www.insht.es</w:t>
        </w:r>
      </w:hyperlink>
    </w:p>
    <w:p>
      <w:pPr>
        <w:spacing w:before="0"/>
        <w:ind w:left="270" w:right="0" w:firstLine="0"/>
        <w:jc w:val="both"/>
        <w:rPr>
          <w:sz w:val="18"/>
        </w:rPr>
      </w:pPr>
      <w:r>
        <w:rPr>
          <w:sz w:val="18"/>
        </w:rPr>
        <w:t>[9] MINSA. (2005). Manual de Salud Ocupacional. Ministerio de Salud. Lima, Perú</w:t>
      </w:r>
    </w:p>
    <w:p>
      <w:pPr>
        <w:spacing w:before="0"/>
        <w:ind w:left="270" w:right="0" w:firstLine="0"/>
        <w:jc w:val="both"/>
        <w:rPr>
          <w:sz w:val="18"/>
        </w:rPr>
      </w:pPr>
      <w:r>
        <w:rPr>
          <w:sz w:val="18"/>
        </w:rPr>
        <w:t>[10] Mintra. (2007). Seguridad durante la construcción. Ministerio del trabajo. Lima, Perú</w:t>
      </w:r>
    </w:p>
    <w:p>
      <w:pPr>
        <w:spacing w:before="0"/>
        <w:ind w:left="270" w:right="1" w:firstLine="0"/>
        <w:jc w:val="both"/>
        <w:rPr>
          <w:sz w:val="18"/>
        </w:rPr>
      </w:pPr>
      <w:r>
        <w:rPr>
          <w:sz w:val="18"/>
        </w:rPr>
        <w:t>[11] Moreno, J. P. (2008). Ergonomía y Psicología. Obtenido de Programa Técnico en prevención de riesgos laborales</w:t>
      </w:r>
    </w:p>
    <w:p>
      <w:pPr>
        <w:spacing w:before="0"/>
        <w:ind w:left="270" w:right="0" w:firstLine="0"/>
        <w:jc w:val="both"/>
        <w:rPr>
          <w:sz w:val="18"/>
        </w:rPr>
      </w:pPr>
      <w:r>
        <w:rPr>
          <w:sz w:val="18"/>
        </w:rPr>
        <w:t>[12] Sanz L, G. J. (2002). Estudio ergonómico del cirujano durante la colecistectomía por vía abierta y laparosópica . Obtenido de Cir Esp.</w:t>
      </w:r>
    </w:p>
    <w:p>
      <w:pPr>
        <w:spacing w:before="0"/>
        <w:ind w:left="270" w:right="0" w:firstLine="0"/>
        <w:jc w:val="both"/>
        <w:rPr>
          <w:sz w:val="18"/>
        </w:rPr>
      </w:pPr>
      <w:r>
        <w:rPr>
          <w:sz w:val="18"/>
        </w:rPr>
        <w:t>[13] Cuellar, R. A. (1980). La Administración del Trabajo y la Ergonomía. Ergonómica, Volumen I. No. 2, México, 14-18.</w:t>
      </w:r>
    </w:p>
    <w:p>
      <w:pPr>
        <w:spacing w:before="77"/>
        <w:ind w:left="270" w:right="677" w:firstLine="0"/>
        <w:jc w:val="both"/>
        <w:rPr>
          <w:sz w:val="18"/>
        </w:rPr>
      </w:pPr>
      <w:r>
        <w:rPr/>
        <w:br w:type="column"/>
      </w:r>
      <w:r>
        <w:rPr>
          <w:sz w:val="18"/>
        </w:rPr>
        <w:t>[14] Villasante, A. J. (22 de Noviembre de 2008). Sistema Informativo de Información Laboral. Obtenido de </w:t>
      </w:r>
      <w:hyperlink r:id="rId258">
        <w:r>
          <w:rPr>
            <w:sz w:val="18"/>
          </w:rPr>
          <w:t>www.</w:t>
        </w:r>
      </w:hyperlink>
      <w:r>
        <w:rPr>
          <w:sz w:val="18"/>
        </w:rPr>
        <w:t> mintra.gob.pe</w:t>
      </w:r>
    </w:p>
    <w:p>
      <w:pPr>
        <w:spacing w:before="0"/>
        <w:ind w:left="270" w:right="679" w:firstLine="0"/>
        <w:jc w:val="both"/>
        <w:rPr>
          <w:sz w:val="18"/>
        </w:rPr>
      </w:pPr>
      <w:r>
        <w:rPr>
          <w:sz w:val="18"/>
        </w:rPr>
        <w:t>[15] INSHT. (2009). Accidentes de trabajo por sobreesfuerzos. INSHT.</w:t>
      </w:r>
    </w:p>
    <w:p>
      <w:pPr>
        <w:spacing w:before="0"/>
        <w:ind w:left="270" w:right="680" w:firstLine="0"/>
        <w:jc w:val="both"/>
        <w:rPr>
          <w:sz w:val="18"/>
        </w:rPr>
      </w:pPr>
      <w:r>
        <w:rPr>
          <w:sz w:val="18"/>
        </w:rPr>
        <w:t>[16] Weeks, J. (2001). Riesgos de Salud y Seguridad en el Sector  de la Construcción. Ginebra:</w:t>
      </w:r>
      <w:r>
        <w:rPr>
          <w:spacing w:val="-4"/>
          <w:sz w:val="18"/>
        </w:rPr>
        <w:t> </w:t>
      </w:r>
      <w:r>
        <w:rPr>
          <w:sz w:val="18"/>
        </w:rPr>
        <w:t>OIT.</w:t>
      </w:r>
    </w:p>
    <w:p>
      <w:pPr>
        <w:spacing w:before="0"/>
        <w:ind w:left="270" w:right="678" w:firstLine="0"/>
        <w:jc w:val="both"/>
        <w:rPr>
          <w:sz w:val="18"/>
        </w:rPr>
      </w:pPr>
      <w:r>
        <w:rPr>
          <w:sz w:val="18"/>
        </w:rPr>
        <w:t>[17] Levi, L. (2001). Factores Psicosociales, Estrés y Salud. Ginebra: OTI.</w:t>
      </w:r>
    </w:p>
    <w:p>
      <w:pPr>
        <w:spacing w:before="0"/>
        <w:ind w:left="270" w:right="677" w:firstLine="0"/>
        <w:jc w:val="both"/>
        <w:rPr>
          <w:sz w:val="18"/>
        </w:rPr>
      </w:pPr>
      <w:r>
        <w:rPr>
          <w:sz w:val="18"/>
        </w:rPr>
        <w:t>[18] Fang D., C. Y. (2006). Safety Climate in Construction Industry: A Case Study in Hong Kong. Journal of Construction Engineering and Management, 6, 99-109.</w:t>
      </w:r>
    </w:p>
    <w:p>
      <w:pPr>
        <w:spacing w:before="0"/>
        <w:ind w:left="270" w:right="678" w:firstLine="0"/>
        <w:jc w:val="both"/>
        <w:rPr>
          <w:sz w:val="18"/>
        </w:rPr>
      </w:pPr>
      <w:r>
        <w:rPr>
          <w:sz w:val="18"/>
        </w:rPr>
        <w:t>[19] Hinze, J. P. (1998). Identify Root Causes of Construction Injuries. Journal of Construction Engineering and Management, 1, 67-71.</w:t>
      </w:r>
    </w:p>
    <w:p>
      <w:pPr>
        <w:spacing w:before="0"/>
        <w:ind w:left="270" w:right="678" w:firstLine="0"/>
        <w:jc w:val="both"/>
        <w:rPr>
          <w:sz w:val="18"/>
        </w:rPr>
      </w:pPr>
      <w:r>
        <w:rPr>
          <w:sz w:val="18"/>
        </w:rPr>
        <w:t>[20] Huang, X. H. (2003). Analysis of Construction Worker Fall Accidents. Journal of Construction Engineering and Management, 3, 262-271.</w:t>
      </w:r>
    </w:p>
    <w:p>
      <w:pPr>
        <w:spacing w:before="0"/>
        <w:ind w:left="270" w:right="678" w:firstLine="0"/>
        <w:jc w:val="both"/>
        <w:rPr>
          <w:sz w:val="18"/>
        </w:rPr>
      </w:pPr>
      <w:r>
        <w:rPr>
          <w:sz w:val="18"/>
        </w:rPr>
        <w:t>[21] IMSS. (Febrero de 2006). Instituto Mexicano de Seguridad Social. Obtenido de Información estadística en salud: </w:t>
      </w:r>
      <w:hyperlink r:id="rId259">
        <w:r>
          <w:rPr>
            <w:sz w:val="18"/>
          </w:rPr>
          <w:t>http://www.imss.gob.mx/dpm/dties/Indice.aspx</w:t>
        </w:r>
      </w:hyperlink>
    </w:p>
    <w:p>
      <w:pPr>
        <w:spacing w:after="0"/>
        <w:jc w:val="both"/>
        <w:rPr>
          <w:sz w:val="18"/>
        </w:rPr>
        <w:sectPr>
          <w:type w:val="continuous"/>
          <w:pgSz w:w="12240" w:h="15840"/>
          <w:pgMar w:top="1500" w:bottom="280" w:left="580" w:right="220"/>
          <w:cols w:num="2" w:equalWidth="0">
            <w:col w:w="5164" w:space="434"/>
            <w:col w:w="5842"/>
          </w:cols>
        </w:sectPr>
      </w:pPr>
    </w:p>
    <w:p>
      <w:pPr>
        <w:pStyle w:val="BodyText"/>
        <w:spacing w:before="3"/>
        <w:rPr>
          <w:sz w:val="11"/>
        </w:rPr>
      </w:pPr>
    </w:p>
    <w:p>
      <w:pPr>
        <w:spacing w:after="0"/>
        <w:rPr>
          <w:sz w:val="11"/>
        </w:rPr>
        <w:sectPr>
          <w:pgSz w:w="12240" w:h="15840"/>
          <w:pgMar w:header="545" w:footer="852" w:top="1060" w:bottom="1040" w:left="580" w:right="220"/>
        </w:sectPr>
      </w:pPr>
    </w:p>
    <w:p>
      <w:pPr>
        <w:pStyle w:val="BodyText"/>
        <w:spacing w:before="8"/>
        <w:rPr>
          <w:sz w:val="24"/>
        </w:rPr>
      </w:pPr>
    </w:p>
    <w:p>
      <w:pPr>
        <w:pStyle w:val="Heading1"/>
        <w:ind w:right="1"/>
      </w:pPr>
      <w:r>
        <w:rPr/>
        <w:t>Ergonomic risk assessment in jobs through the method OWAS</w:t>
      </w:r>
    </w:p>
    <w:p>
      <w:pPr>
        <w:spacing w:before="110"/>
        <w:ind w:left="270" w:right="1" w:firstLine="0"/>
        <w:jc w:val="both"/>
        <w:rPr>
          <w:i/>
          <w:sz w:val="18"/>
        </w:rPr>
      </w:pPr>
      <w:r>
        <w:rPr>
          <w:i/>
          <w:sz w:val="18"/>
        </w:rPr>
        <w:t>Anel Abril Parra Cota</w:t>
      </w:r>
      <w:r>
        <w:rPr>
          <w:i/>
          <w:position w:val="8"/>
          <w:sz w:val="12"/>
        </w:rPr>
        <w:t>a</w:t>
      </w:r>
      <w:r>
        <w:rPr>
          <w:i/>
          <w:sz w:val="18"/>
        </w:rPr>
        <w:t>, Mauricio López Acosta</w:t>
      </w:r>
      <w:r>
        <w:rPr>
          <w:i/>
          <w:position w:val="8"/>
          <w:sz w:val="12"/>
        </w:rPr>
        <w:t>b</w:t>
      </w:r>
      <w:r>
        <w:rPr>
          <w:i/>
          <w:sz w:val="18"/>
        </w:rPr>
        <w:t>, Jorge Guadalupe </w:t>
      </w:r>
      <w:r>
        <w:rPr>
          <w:i/>
          <w:sz w:val="18"/>
        </w:rPr>
        <w:t>Mendoza León</w:t>
      </w:r>
    </w:p>
    <w:p>
      <w:pPr>
        <w:tabs>
          <w:tab w:pos="1262" w:val="left" w:leader="none"/>
          <w:tab w:pos="2500" w:val="left" w:leader="none"/>
          <w:tab w:pos="3009" w:val="left" w:leader="none"/>
          <w:tab w:pos="3903" w:val="left" w:leader="none"/>
          <w:tab w:pos="4552" w:val="left" w:leader="none"/>
        </w:tabs>
        <w:spacing w:before="113"/>
        <w:ind w:left="270" w:right="113" w:firstLine="0"/>
        <w:jc w:val="left"/>
        <w:rPr>
          <w:sz w:val="18"/>
        </w:rPr>
      </w:pPr>
      <w:r>
        <w:rPr>
          <w:position w:val="8"/>
          <w:sz w:val="12"/>
        </w:rPr>
        <w:t>a</w:t>
      </w:r>
      <w:r>
        <w:rPr>
          <w:sz w:val="18"/>
        </w:rPr>
        <w:t>Instituto</w:t>
        <w:tab/>
        <w:t>Tecnológico</w:t>
        <w:tab/>
        <w:t>de</w:t>
        <w:tab/>
        <w:t>Sonora,</w:t>
        <w:tab/>
        <w:t>C.P.</w:t>
        <w:tab/>
        <w:t>85860, </w:t>
      </w:r>
      <w:hyperlink r:id="rId260">
        <w:r>
          <w:rPr>
            <w:sz w:val="18"/>
          </w:rPr>
          <w:t>anel_apc@hotmail.com,</w:t>
        </w:r>
      </w:hyperlink>
      <w:r>
        <w:rPr>
          <w:sz w:val="18"/>
        </w:rPr>
        <w:t> Navojoa, Sonora,</w:t>
      </w:r>
      <w:r>
        <w:rPr>
          <w:spacing w:val="-10"/>
          <w:sz w:val="18"/>
        </w:rPr>
        <w:t> </w:t>
      </w:r>
      <w:r>
        <w:rPr>
          <w:sz w:val="18"/>
        </w:rPr>
        <w:t>México.</w:t>
      </w:r>
    </w:p>
    <w:p>
      <w:pPr>
        <w:spacing w:line="208" w:lineRule="exact" w:before="1"/>
        <w:ind w:left="270" w:right="77" w:firstLine="0"/>
        <w:jc w:val="left"/>
        <w:rPr>
          <w:sz w:val="18"/>
        </w:rPr>
      </w:pPr>
      <w:r>
        <w:rPr>
          <w:position w:val="8"/>
          <w:sz w:val="12"/>
        </w:rPr>
        <w:t>b</w:t>
      </w:r>
      <w:r>
        <w:rPr>
          <w:sz w:val="18"/>
        </w:rPr>
        <w:t>Instituto Tecnológico de Sonora, Departamento de Ingeniería Industrial, Navojoa, Sonora, México.</w:t>
      </w:r>
    </w:p>
    <w:p>
      <w:pPr>
        <w:pStyle w:val="BodyText"/>
        <w:rPr>
          <w:sz w:val="18"/>
        </w:rPr>
      </w:pPr>
    </w:p>
    <w:p>
      <w:pPr>
        <w:spacing w:before="1"/>
        <w:ind w:left="270" w:right="0" w:firstLine="0"/>
        <w:jc w:val="both"/>
        <w:rPr>
          <w:b/>
          <w:sz w:val="18"/>
        </w:rPr>
      </w:pPr>
      <w:r>
        <w:rPr/>
        <w:pict>
          <v:line style="position:absolute;mso-position-horizontal-relative:page;mso-position-vertical-relative:paragraph;z-index:8152" from="41.040001pt,12.20264pt" to="288.540001pt,12.20264pt" stroked="true" strokeweight="1.5pt" strokecolor="#000000">
            <w10:wrap type="none"/>
          </v:line>
        </w:pict>
      </w:r>
      <w:r>
        <w:rPr>
          <w:b/>
          <w:sz w:val="18"/>
        </w:rPr>
        <w:t>Resumen</w:t>
      </w:r>
    </w:p>
    <w:p>
      <w:pPr>
        <w:spacing w:before="46"/>
        <w:ind w:left="270" w:right="0" w:firstLine="0"/>
        <w:jc w:val="both"/>
        <w:rPr>
          <w:sz w:val="18"/>
        </w:rPr>
      </w:pPr>
      <w:r>
        <w:rPr>
          <w:sz w:val="18"/>
        </w:rPr>
        <w:t>Los tornos desempeñan un papel muy importante en los talleres de las industrias del sector metalmecánico. Alrededor de la décima parte de los accidentes registrados en este sector se deben a los tornos, lo cual representa la tercera parte de todos los accidentes en que intervienen máquinas.</w:t>
      </w:r>
    </w:p>
    <w:p>
      <w:pPr>
        <w:spacing w:before="0"/>
        <w:ind w:left="270" w:right="1" w:firstLine="403"/>
        <w:jc w:val="both"/>
        <w:rPr>
          <w:sz w:val="18"/>
        </w:rPr>
      </w:pPr>
      <w:r>
        <w:rPr>
          <w:sz w:val="18"/>
        </w:rPr>
        <w:t>Mediante la aplicación del método OWAS (Ovako Working Analysis System) se analizarán las estaciones de trabajo y el impacto ocasionado a la salud de los empleados de una empresa dedicada a la elaboración de productos de fierro y acero.</w:t>
      </w:r>
    </w:p>
    <w:p>
      <w:pPr>
        <w:pStyle w:val="BodyText"/>
        <w:spacing w:before="10"/>
        <w:rPr>
          <w:sz w:val="23"/>
        </w:rPr>
      </w:pPr>
    </w:p>
    <w:p>
      <w:pPr>
        <w:spacing w:before="1"/>
        <w:ind w:left="270" w:right="0" w:firstLine="0"/>
        <w:jc w:val="both"/>
        <w:rPr>
          <w:sz w:val="18"/>
        </w:rPr>
      </w:pPr>
      <w:r>
        <w:rPr>
          <w:b/>
          <w:sz w:val="18"/>
        </w:rPr>
        <w:t>Palabras claves: </w:t>
      </w:r>
      <w:r>
        <w:rPr>
          <w:sz w:val="18"/>
        </w:rPr>
        <w:t>Método OWAS, Rediseño, Riesgo ergonómico.</w:t>
      </w:r>
    </w:p>
    <w:p>
      <w:pPr>
        <w:pStyle w:val="BodyText"/>
        <w:spacing w:before="6"/>
        <w:rPr>
          <w:sz w:val="18"/>
        </w:rPr>
      </w:pPr>
    </w:p>
    <w:p>
      <w:pPr>
        <w:spacing w:before="0"/>
        <w:ind w:left="270" w:right="0" w:firstLine="0"/>
        <w:jc w:val="both"/>
        <w:rPr>
          <w:b/>
          <w:i/>
          <w:sz w:val="18"/>
        </w:rPr>
      </w:pPr>
      <w:r>
        <w:rPr/>
        <w:pict>
          <v:line style="position:absolute;mso-position-horizontal-relative:page;mso-position-vertical-relative:paragraph;z-index:8176" from="41.040001pt,12.031737pt" to="288.540001pt,12.031737pt" stroked="true" strokeweight="1.5pt" strokecolor="#000000">
            <w10:wrap type="none"/>
          </v:line>
        </w:pict>
      </w:r>
      <w:r>
        <w:rPr>
          <w:b/>
          <w:i/>
          <w:sz w:val="18"/>
        </w:rPr>
        <w:t>Abstract</w:t>
      </w:r>
    </w:p>
    <w:p>
      <w:pPr>
        <w:pStyle w:val="BodyText"/>
        <w:spacing w:before="9"/>
        <w:rPr>
          <w:b/>
          <w:i/>
          <w:sz w:val="21"/>
        </w:rPr>
      </w:pPr>
    </w:p>
    <w:p>
      <w:pPr>
        <w:spacing w:before="1"/>
        <w:ind w:left="270" w:right="1" w:firstLine="0"/>
        <w:jc w:val="both"/>
        <w:rPr>
          <w:sz w:val="18"/>
        </w:rPr>
      </w:pPr>
      <w:r>
        <w:rPr>
          <w:sz w:val="18"/>
        </w:rPr>
        <w:t>Machining lathes play an important role in the workshops of the metal-mechanical industries sector. Around the tenth of accidents recorded in this sector are due to lathes, representing one third of  all accidents involving</w:t>
      </w:r>
      <w:r>
        <w:rPr>
          <w:spacing w:val="-11"/>
          <w:sz w:val="18"/>
        </w:rPr>
        <w:t> </w:t>
      </w:r>
      <w:r>
        <w:rPr>
          <w:sz w:val="18"/>
        </w:rPr>
        <w:t>machines.</w:t>
      </w:r>
    </w:p>
    <w:p>
      <w:pPr>
        <w:spacing w:before="0"/>
        <w:ind w:left="270" w:right="0" w:firstLine="403"/>
        <w:jc w:val="both"/>
        <w:rPr>
          <w:sz w:val="18"/>
        </w:rPr>
      </w:pPr>
      <w:r>
        <w:rPr>
          <w:sz w:val="18"/>
        </w:rPr>
        <w:t>By applying the OWAS (Ovako Working Analysis System) method, the workstations and the damage to the health of the employees of a company dedicated to the manufacture of iron and steel impact is analyzed.</w:t>
      </w:r>
    </w:p>
    <w:p>
      <w:pPr>
        <w:pStyle w:val="BodyText"/>
        <w:rPr>
          <w:sz w:val="18"/>
        </w:rPr>
      </w:pPr>
    </w:p>
    <w:p>
      <w:pPr>
        <w:spacing w:before="0"/>
        <w:ind w:left="270" w:right="0" w:firstLine="0"/>
        <w:jc w:val="both"/>
        <w:rPr>
          <w:sz w:val="18"/>
        </w:rPr>
      </w:pPr>
      <w:r>
        <w:rPr>
          <w:b/>
          <w:sz w:val="18"/>
        </w:rPr>
        <w:t>Keywords</w:t>
      </w:r>
      <w:r>
        <w:rPr>
          <w:sz w:val="18"/>
        </w:rPr>
        <w:t>: OWAS method, Redesign, Ergonomic Risk.</w:t>
      </w:r>
    </w:p>
    <w:p>
      <w:pPr>
        <w:pStyle w:val="BodyText"/>
        <w:spacing w:before="3"/>
        <w:rPr>
          <w:sz w:val="24"/>
        </w:rPr>
      </w:pPr>
    </w:p>
    <w:p>
      <w:pPr>
        <w:pStyle w:val="ListParagraph"/>
        <w:numPr>
          <w:ilvl w:val="0"/>
          <w:numId w:val="69"/>
        </w:numPr>
        <w:tabs>
          <w:tab w:pos="978" w:val="left" w:leader="none"/>
          <w:tab w:pos="979" w:val="left" w:leader="none"/>
        </w:tabs>
        <w:spacing w:line="240" w:lineRule="auto" w:before="0" w:after="0"/>
        <w:ind w:left="978" w:right="0" w:hanging="348"/>
        <w:jc w:val="left"/>
        <w:rPr>
          <w:b/>
          <w:sz w:val="18"/>
        </w:rPr>
      </w:pPr>
      <w:r>
        <w:rPr>
          <w:b/>
          <w:sz w:val="18"/>
        </w:rPr>
        <w:t>INTRODUCCION</w:t>
      </w:r>
    </w:p>
    <w:p>
      <w:pPr>
        <w:spacing w:before="135"/>
        <w:ind w:left="270" w:right="168" w:firstLine="0"/>
        <w:jc w:val="both"/>
        <w:rPr>
          <w:sz w:val="18"/>
        </w:rPr>
      </w:pPr>
      <w:r>
        <w:rPr>
          <w:sz w:val="18"/>
        </w:rPr>
        <w:t>The most common accidents in the industry are related to the exposure of workers to mechanical forces inanimate, such as a machine, a tool, a forklift and even an explosive material, such accidents are related to shock, crushing or explosion arising from work with equipment, heavy objects or substances flammable  [3]. According to [1], ergonomics is a set of multidisciplinary character knowledge applied to the suitability of products, systems and artificial environments to the needs, limitations and character of its users optimizing efficiency, safety, and</w:t>
      </w:r>
      <w:r>
        <w:rPr>
          <w:spacing w:val="-16"/>
          <w:sz w:val="18"/>
        </w:rPr>
        <w:t> </w:t>
      </w:r>
      <w:r>
        <w:rPr>
          <w:sz w:val="18"/>
        </w:rPr>
        <w:t>welfare.</w:t>
      </w:r>
    </w:p>
    <w:p>
      <w:pPr>
        <w:spacing w:before="0"/>
        <w:ind w:left="270" w:right="1" w:firstLine="403"/>
        <w:jc w:val="both"/>
        <w:rPr>
          <w:sz w:val="18"/>
        </w:rPr>
      </w:pPr>
      <w:r>
        <w:rPr>
          <w:sz w:val="18"/>
        </w:rPr>
        <w:t>According to [8], one of every five accidents is on average, originated by machines, engines and drives.</w:t>
      </w:r>
    </w:p>
    <w:p>
      <w:pPr>
        <w:spacing w:before="0"/>
        <w:ind w:left="270" w:right="0" w:firstLine="0"/>
        <w:jc w:val="both"/>
        <w:rPr>
          <w:sz w:val="18"/>
        </w:rPr>
      </w:pPr>
      <w:r>
        <w:rPr>
          <w:sz w:val="18"/>
        </w:rPr>
        <w:t>The company that represents the case of this research study is dedicated to the manufacture and installation of various products of turning. The staff turnover is practically zero and currently has  three employees. The employees of the company have presented different types of injuries such as hernias caused by manipulation  of inappropriate tools, forced postures, excessive forces and bad design of workstations, because of this, this project will analyze jobs to determine the ergonomic impact of risks to which operators are exposed and propose improvements in the redesign of</w:t>
      </w:r>
      <w:r>
        <w:rPr>
          <w:spacing w:val="-10"/>
          <w:sz w:val="18"/>
        </w:rPr>
        <w:t> </w:t>
      </w:r>
      <w:r>
        <w:rPr>
          <w:sz w:val="18"/>
        </w:rPr>
        <w:t>jobs.</w:t>
      </w:r>
    </w:p>
    <w:p>
      <w:pPr>
        <w:spacing w:before="77"/>
        <w:ind w:left="270" w:right="0" w:firstLine="0"/>
        <w:jc w:val="both"/>
        <w:rPr>
          <w:b/>
          <w:sz w:val="18"/>
        </w:rPr>
      </w:pPr>
      <w:r>
        <w:rPr/>
        <w:br w:type="column"/>
      </w:r>
      <w:r>
        <w:rPr>
          <w:b/>
          <w:sz w:val="18"/>
        </w:rPr>
        <w:t>1.1.    Approach to the problem</w:t>
      </w:r>
    </w:p>
    <w:p>
      <w:pPr>
        <w:pStyle w:val="BodyText"/>
        <w:spacing w:before="7"/>
        <w:rPr>
          <w:b/>
          <w:sz w:val="17"/>
        </w:rPr>
      </w:pPr>
    </w:p>
    <w:p>
      <w:pPr>
        <w:spacing w:before="1"/>
        <w:ind w:left="270" w:right="678" w:firstLine="0"/>
        <w:jc w:val="both"/>
        <w:rPr>
          <w:sz w:val="18"/>
        </w:rPr>
      </w:pPr>
      <w:r>
        <w:rPr>
          <w:sz w:val="18"/>
        </w:rPr>
        <w:t>The application of the checklist of the Biomechanics Institute of Valencia identified different types of ergonomic hazards in each of the jobs of the operator, since they are operating machinery constantly. Some of the risks that are evaluated are as follows: postures, movements, and Manual handling of loads.</w:t>
      </w:r>
    </w:p>
    <w:p>
      <w:pPr>
        <w:spacing w:before="0"/>
        <w:ind w:left="270" w:right="677" w:firstLine="403"/>
        <w:jc w:val="both"/>
        <w:rPr>
          <w:sz w:val="18"/>
        </w:rPr>
      </w:pPr>
      <w:r>
        <w:rPr>
          <w:sz w:val="18"/>
        </w:rPr>
        <w:t>Due to lack of design at work stations, employees are more prone to injuries minor and severe, which could cause permanent damage to your physical health.</w:t>
      </w:r>
    </w:p>
    <w:p>
      <w:pPr>
        <w:pStyle w:val="BodyText"/>
        <w:spacing w:before="3"/>
        <w:rPr>
          <w:sz w:val="18"/>
        </w:rPr>
      </w:pPr>
    </w:p>
    <w:p>
      <w:pPr>
        <w:spacing w:before="0"/>
        <w:ind w:left="270" w:right="0" w:firstLine="0"/>
        <w:jc w:val="both"/>
        <w:rPr>
          <w:b/>
          <w:sz w:val="18"/>
        </w:rPr>
      </w:pPr>
      <w:r>
        <w:rPr>
          <w:b/>
          <w:sz w:val="18"/>
        </w:rPr>
        <w:t>1.1. Objetive</w:t>
      </w:r>
    </w:p>
    <w:p>
      <w:pPr>
        <w:pStyle w:val="BodyText"/>
        <w:spacing w:before="7"/>
        <w:rPr>
          <w:b/>
          <w:sz w:val="17"/>
        </w:rPr>
      </w:pPr>
    </w:p>
    <w:p>
      <w:pPr>
        <w:spacing w:before="1"/>
        <w:ind w:left="270" w:right="679" w:firstLine="0"/>
        <w:jc w:val="both"/>
        <w:rPr>
          <w:sz w:val="18"/>
        </w:rPr>
      </w:pPr>
      <w:r>
        <w:rPr>
          <w:sz w:val="18"/>
        </w:rPr>
        <w:t>Assessing ergonomic risk in a work station by using the OWAS methodology to make a proposal for ergonomic improvement, reducing musculoskeletal injuries caused by poor posture that adopts by operator.</w:t>
      </w:r>
    </w:p>
    <w:p>
      <w:pPr>
        <w:pStyle w:val="BodyText"/>
        <w:spacing w:before="3"/>
        <w:rPr>
          <w:sz w:val="18"/>
        </w:rPr>
      </w:pPr>
    </w:p>
    <w:p>
      <w:pPr>
        <w:spacing w:before="0"/>
        <w:ind w:left="270" w:right="0" w:firstLine="0"/>
        <w:jc w:val="both"/>
        <w:rPr>
          <w:b/>
          <w:sz w:val="18"/>
        </w:rPr>
      </w:pPr>
      <w:r>
        <w:rPr>
          <w:b/>
          <w:sz w:val="18"/>
        </w:rPr>
        <w:t>1.3. Justification</w:t>
      </w:r>
    </w:p>
    <w:p>
      <w:pPr>
        <w:pStyle w:val="BodyText"/>
        <w:spacing w:before="7"/>
        <w:rPr>
          <w:b/>
          <w:sz w:val="17"/>
        </w:rPr>
      </w:pPr>
    </w:p>
    <w:p>
      <w:pPr>
        <w:spacing w:before="1"/>
        <w:ind w:left="270" w:right="679" w:firstLine="0"/>
        <w:jc w:val="both"/>
        <w:rPr>
          <w:sz w:val="18"/>
        </w:rPr>
      </w:pPr>
      <w:r>
        <w:rPr>
          <w:sz w:val="18"/>
        </w:rPr>
        <w:t>What you want with this research is to obtain a clear assessment of the ergonomic risk that workers in this industry are exposed.</w:t>
      </w:r>
    </w:p>
    <w:p>
      <w:pPr>
        <w:spacing w:before="0"/>
        <w:ind w:left="270" w:right="678" w:firstLine="403"/>
        <w:jc w:val="both"/>
        <w:rPr>
          <w:sz w:val="18"/>
        </w:rPr>
      </w:pPr>
      <w:r>
        <w:rPr>
          <w:sz w:val="18"/>
        </w:rPr>
        <w:t>The importance of ergonomic assessments is to promote the health and well-being of the worker, identifying risk factors and accidents of every job in the company, so the advantage of providing security to the worker allowing to reduce or eliminate accidents and illnesses that put their health at risk.</w:t>
      </w:r>
    </w:p>
    <w:p>
      <w:pPr>
        <w:pStyle w:val="BodyText"/>
        <w:spacing w:before="3"/>
        <w:rPr>
          <w:sz w:val="18"/>
        </w:rPr>
      </w:pPr>
    </w:p>
    <w:p>
      <w:pPr>
        <w:spacing w:before="0"/>
        <w:ind w:left="270" w:right="0" w:firstLine="0"/>
        <w:jc w:val="both"/>
        <w:rPr>
          <w:b/>
          <w:sz w:val="18"/>
        </w:rPr>
      </w:pPr>
      <w:r>
        <w:rPr>
          <w:b/>
          <w:sz w:val="18"/>
        </w:rPr>
        <w:t>1.4 Delimitation</w:t>
      </w:r>
    </w:p>
    <w:p>
      <w:pPr>
        <w:pStyle w:val="BodyText"/>
        <w:spacing w:before="7"/>
        <w:rPr>
          <w:b/>
          <w:sz w:val="17"/>
        </w:rPr>
      </w:pPr>
    </w:p>
    <w:p>
      <w:pPr>
        <w:spacing w:before="1"/>
        <w:ind w:left="270" w:right="679" w:firstLine="0"/>
        <w:jc w:val="both"/>
        <w:rPr>
          <w:sz w:val="18"/>
        </w:rPr>
      </w:pPr>
      <w:r>
        <w:rPr>
          <w:sz w:val="18"/>
        </w:rPr>
        <w:t>The study only delimits the assessment of body postures and movements of operators in certain area / job due to poor repeatability and incorrect positions taken.</w:t>
      </w:r>
    </w:p>
    <w:p>
      <w:pPr>
        <w:pStyle w:val="BodyText"/>
        <w:rPr>
          <w:sz w:val="18"/>
        </w:rPr>
      </w:pPr>
    </w:p>
    <w:p>
      <w:pPr>
        <w:pStyle w:val="BodyText"/>
        <w:spacing w:before="4"/>
        <w:rPr>
          <w:sz w:val="18"/>
        </w:rPr>
      </w:pPr>
    </w:p>
    <w:p>
      <w:pPr>
        <w:pStyle w:val="ListParagraph"/>
        <w:numPr>
          <w:ilvl w:val="0"/>
          <w:numId w:val="69"/>
        </w:numPr>
        <w:tabs>
          <w:tab w:pos="631" w:val="left" w:leader="none"/>
        </w:tabs>
        <w:spacing w:line="240" w:lineRule="auto" w:before="0" w:after="0"/>
        <w:ind w:left="630" w:right="0" w:hanging="360"/>
        <w:jc w:val="both"/>
        <w:rPr>
          <w:b/>
          <w:sz w:val="18"/>
        </w:rPr>
      </w:pPr>
      <w:r>
        <w:rPr>
          <w:b/>
          <w:sz w:val="18"/>
        </w:rPr>
        <w:t>METHODOLOGY</w:t>
      </w:r>
    </w:p>
    <w:p>
      <w:pPr>
        <w:pStyle w:val="BodyText"/>
        <w:spacing w:before="7"/>
        <w:rPr>
          <w:b/>
          <w:sz w:val="17"/>
        </w:rPr>
      </w:pPr>
    </w:p>
    <w:p>
      <w:pPr>
        <w:spacing w:before="1"/>
        <w:ind w:left="270" w:right="677" w:firstLine="0"/>
        <w:jc w:val="both"/>
        <w:rPr>
          <w:sz w:val="18"/>
        </w:rPr>
      </w:pPr>
      <w:r>
        <w:rPr>
          <w:sz w:val="18"/>
        </w:rPr>
        <w:t>According to [7 ]the OWAS method bases its results on the observation of the various positions taken by the employee during the course of the task, allowing to identify up to 252 different positions as a result of the possible combinations of the back position (4 positions), arms (3 positions), legs (7 positions) and lifted (three intervals).</w:t>
      </w:r>
    </w:p>
    <w:p>
      <w:pPr>
        <w:pStyle w:val="BodyText"/>
        <w:spacing w:before="3"/>
        <w:rPr>
          <w:sz w:val="18"/>
        </w:rPr>
      </w:pPr>
    </w:p>
    <w:p>
      <w:pPr>
        <w:pStyle w:val="ListParagraph"/>
        <w:numPr>
          <w:ilvl w:val="1"/>
          <w:numId w:val="69"/>
        </w:numPr>
        <w:tabs>
          <w:tab w:pos="723" w:val="left" w:leader="none"/>
        </w:tabs>
        <w:spacing w:line="240" w:lineRule="auto" w:before="0" w:after="0"/>
        <w:ind w:left="722" w:right="0" w:hanging="452"/>
        <w:jc w:val="both"/>
        <w:rPr>
          <w:b/>
          <w:sz w:val="18"/>
        </w:rPr>
      </w:pPr>
      <w:r>
        <w:rPr>
          <w:b/>
          <w:sz w:val="18"/>
        </w:rPr>
        <w:t>Coding of the observed</w:t>
      </w:r>
      <w:r>
        <w:rPr>
          <w:b/>
          <w:spacing w:val="-3"/>
          <w:sz w:val="18"/>
        </w:rPr>
        <w:t> </w:t>
      </w:r>
      <w:r>
        <w:rPr>
          <w:b/>
          <w:sz w:val="18"/>
        </w:rPr>
        <w:t>positions</w:t>
      </w:r>
    </w:p>
    <w:p>
      <w:pPr>
        <w:pStyle w:val="BodyText"/>
        <w:spacing w:before="7"/>
        <w:rPr>
          <w:b/>
          <w:sz w:val="17"/>
        </w:rPr>
      </w:pPr>
    </w:p>
    <w:p>
      <w:pPr>
        <w:spacing w:before="1"/>
        <w:ind w:left="270" w:right="678" w:firstLine="0"/>
        <w:jc w:val="both"/>
        <w:rPr>
          <w:sz w:val="18"/>
        </w:rPr>
      </w:pPr>
      <w:r>
        <w:rPr>
          <w:sz w:val="18"/>
        </w:rPr>
        <w:t>The method begins with collection, previous observation, the different positions taken by the worker during the performance of the task. Should be noted that the greater the number of observed positions less is the possible error introduced by the observer (it is estimated that with 100 comments is introduces an error of 10%, while for 400 possible error is reduced approximately to half 5%).</w:t>
      </w:r>
    </w:p>
    <w:p>
      <w:pPr>
        <w:spacing w:before="0"/>
        <w:ind w:left="270" w:right="676" w:firstLine="403"/>
        <w:jc w:val="both"/>
        <w:rPr>
          <w:sz w:val="18"/>
        </w:rPr>
      </w:pPr>
      <w:r>
        <w:rPr>
          <w:sz w:val="18"/>
        </w:rPr>
        <w:t>The method assigns four-digit to each position observed depending on the position of the back, arms, legs and load supported, thus configuring your code or "Code position".</w:t>
      </w:r>
    </w:p>
    <w:p>
      <w:pPr>
        <w:spacing w:before="0"/>
        <w:ind w:left="270" w:right="677" w:firstLine="403"/>
        <w:jc w:val="both"/>
        <w:rPr>
          <w:sz w:val="18"/>
        </w:rPr>
      </w:pPr>
      <w:r>
        <w:rPr>
          <w:sz w:val="18"/>
        </w:rPr>
        <w:t>To those observations divided into stages, the method adds a fifth digit "Code position", the digit determines the phase in which the encoded position has been observed.</w:t>
      </w:r>
    </w:p>
    <w:p>
      <w:pPr>
        <w:pStyle w:val="BodyText"/>
        <w:rPr>
          <w:sz w:val="18"/>
        </w:rPr>
      </w:pPr>
    </w:p>
    <w:tbl>
      <w:tblPr>
        <w:tblW w:w="0" w:type="auto"/>
        <w:jc w:val="left"/>
        <w:tblInd w:w="1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47"/>
        <w:gridCol w:w="1099"/>
        <w:gridCol w:w="1099"/>
        <w:gridCol w:w="886"/>
        <w:gridCol w:w="875"/>
      </w:tblGrid>
      <w:tr>
        <w:trPr>
          <w:trHeight w:val="425" w:hRule="exact"/>
        </w:trPr>
        <w:tc>
          <w:tcPr>
            <w:tcW w:w="1147" w:type="dxa"/>
          </w:tcPr>
          <w:p>
            <w:pPr>
              <w:pStyle w:val="TableParagraph"/>
              <w:spacing w:before="1"/>
              <w:ind w:left="278" w:right="259" w:firstLine="104"/>
              <w:rPr>
                <w:sz w:val="18"/>
              </w:rPr>
            </w:pPr>
            <w:r>
              <w:rPr>
                <w:sz w:val="18"/>
              </w:rPr>
              <w:t>Back position</w:t>
            </w:r>
          </w:p>
        </w:tc>
        <w:tc>
          <w:tcPr>
            <w:tcW w:w="1099" w:type="dxa"/>
          </w:tcPr>
          <w:p>
            <w:pPr>
              <w:pStyle w:val="TableParagraph"/>
              <w:spacing w:before="1"/>
              <w:ind w:left="369" w:right="134" w:hanging="219"/>
              <w:rPr>
                <w:sz w:val="18"/>
              </w:rPr>
            </w:pPr>
            <w:r>
              <w:rPr>
                <w:sz w:val="18"/>
              </w:rPr>
              <w:t>Position of arms</w:t>
            </w:r>
          </w:p>
        </w:tc>
        <w:tc>
          <w:tcPr>
            <w:tcW w:w="1099" w:type="dxa"/>
          </w:tcPr>
          <w:p>
            <w:pPr>
              <w:pStyle w:val="TableParagraph"/>
              <w:spacing w:before="1"/>
              <w:ind w:left="267" w:right="133" w:hanging="116"/>
              <w:rPr>
                <w:sz w:val="18"/>
              </w:rPr>
            </w:pPr>
            <w:r>
              <w:rPr>
                <w:sz w:val="18"/>
              </w:rPr>
              <w:t>Position of the legs</w:t>
            </w:r>
          </w:p>
        </w:tc>
        <w:tc>
          <w:tcPr>
            <w:tcW w:w="886" w:type="dxa"/>
          </w:tcPr>
          <w:p>
            <w:pPr>
              <w:pStyle w:val="TableParagraph"/>
              <w:spacing w:before="1"/>
              <w:ind w:left="217" w:right="161"/>
              <w:rPr>
                <w:sz w:val="18"/>
              </w:rPr>
            </w:pPr>
            <w:r>
              <w:rPr>
                <w:sz w:val="18"/>
              </w:rPr>
              <w:t>Loads</w:t>
            </w:r>
          </w:p>
        </w:tc>
        <w:tc>
          <w:tcPr>
            <w:tcW w:w="875" w:type="dxa"/>
          </w:tcPr>
          <w:p>
            <w:pPr>
              <w:pStyle w:val="TableParagraph"/>
              <w:spacing w:before="1"/>
              <w:ind w:left="222"/>
              <w:rPr>
                <w:sz w:val="18"/>
              </w:rPr>
            </w:pPr>
            <w:r>
              <w:rPr>
                <w:sz w:val="18"/>
              </w:rPr>
              <w:t>Phase</w:t>
            </w:r>
          </w:p>
        </w:tc>
      </w:tr>
    </w:tbl>
    <w:p>
      <w:pPr>
        <w:spacing w:before="0"/>
        <w:ind w:left="366" w:right="0" w:firstLine="0"/>
        <w:jc w:val="both"/>
        <w:rPr>
          <w:sz w:val="18"/>
        </w:rPr>
      </w:pPr>
      <w:r>
        <w:rPr>
          <w:b/>
          <w:sz w:val="18"/>
        </w:rPr>
        <w:t>Figure 1</w:t>
      </w:r>
      <w:r>
        <w:rPr>
          <w:sz w:val="18"/>
        </w:rPr>
        <w:t>. The observed positions (position code) coding scheme.</w:t>
      </w:r>
    </w:p>
    <w:p>
      <w:pPr>
        <w:spacing w:after="0"/>
        <w:jc w:val="both"/>
        <w:rPr>
          <w:sz w:val="18"/>
        </w:rPr>
        <w:sectPr>
          <w:type w:val="continuous"/>
          <w:pgSz w:w="12240" w:h="15840"/>
          <w:pgMar w:top="1500" w:bottom="280" w:left="580" w:right="220"/>
          <w:cols w:num="2" w:equalWidth="0">
            <w:col w:w="5164" w:space="434"/>
            <w:col w:w="5842"/>
          </w:cols>
        </w:sectPr>
      </w:pPr>
    </w:p>
    <w:p>
      <w:pPr>
        <w:pStyle w:val="BodyText"/>
        <w:spacing w:before="11"/>
        <w:rPr>
          <w:sz w:val="17"/>
        </w:rPr>
      </w:pPr>
    </w:p>
    <w:p>
      <w:pPr>
        <w:pStyle w:val="ListParagraph"/>
        <w:numPr>
          <w:ilvl w:val="2"/>
          <w:numId w:val="69"/>
        </w:numPr>
        <w:tabs>
          <w:tab w:pos="856" w:val="left" w:leader="none"/>
        </w:tabs>
        <w:spacing w:line="240" w:lineRule="auto" w:before="0" w:after="0"/>
        <w:ind w:left="855" w:right="0" w:hanging="585"/>
        <w:jc w:val="both"/>
        <w:rPr>
          <w:b/>
          <w:sz w:val="18"/>
        </w:rPr>
      </w:pPr>
      <w:r>
        <w:rPr>
          <w:b/>
          <w:sz w:val="18"/>
        </w:rPr>
        <w:t>The back positions: Prime digit "Code</w:t>
      </w:r>
      <w:r>
        <w:rPr>
          <w:b/>
          <w:spacing w:val="-17"/>
          <w:sz w:val="18"/>
        </w:rPr>
        <w:t> </w:t>
      </w:r>
      <w:r>
        <w:rPr>
          <w:b/>
          <w:sz w:val="18"/>
        </w:rPr>
        <w:t>position".</w:t>
      </w:r>
    </w:p>
    <w:p>
      <w:pPr>
        <w:pStyle w:val="BodyText"/>
        <w:spacing w:before="7"/>
        <w:rPr>
          <w:b/>
          <w:sz w:val="17"/>
        </w:rPr>
      </w:pPr>
    </w:p>
    <w:p>
      <w:pPr>
        <w:spacing w:before="1"/>
        <w:ind w:left="270" w:right="0" w:firstLine="44"/>
        <w:jc w:val="both"/>
        <w:rPr>
          <w:sz w:val="18"/>
        </w:rPr>
      </w:pPr>
      <w:r>
        <w:rPr>
          <w:sz w:val="18"/>
        </w:rPr>
        <w:t>The first member to encode will be back, to set the value of the digit that represents it is must determine whether the position taken by the sword is right, bent, with twist or folded with twist. The value of the first digit of "Code position" get consulted the table displayed below table 1.</w:t>
      </w:r>
    </w:p>
    <w:p>
      <w:pPr>
        <w:pStyle w:val="BodyText"/>
        <w:rPr>
          <w:sz w:val="18"/>
        </w:rPr>
      </w:pPr>
    </w:p>
    <w:p>
      <w:pPr>
        <w:spacing w:before="0"/>
        <w:ind w:left="280" w:right="11" w:firstLine="0"/>
        <w:jc w:val="center"/>
        <w:rPr>
          <w:sz w:val="18"/>
        </w:rPr>
      </w:pPr>
      <w:r>
        <w:rPr>
          <w:b/>
          <w:sz w:val="18"/>
        </w:rPr>
        <w:t>Table 1. </w:t>
      </w:r>
      <w:r>
        <w:rPr>
          <w:sz w:val="18"/>
        </w:rPr>
        <w:t>Coding of the back positions.</w:t>
      </w:r>
    </w:p>
    <w:p>
      <w:pPr>
        <w:pStyle w:val="BodyText"/>
        <w:spacing w:before="4" w:after="1"/>
        <w:rPr>
          <w:sz w:val="18"/>
        </w:rPr>
      </w:pPr>
    </w:p>
    <w:tbl>
      <w:tblPr>
        <w:tblW w:w="0" w:type="auto"/>
        <w:jc w:val="left"/>
        <w:tblInd w:w="1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85"/>
        <w:gridCol w:w="1664"/>
        <w:gridCol w:w="1256"/>
      </w:tblGrid>
      <w:tr>
        <w:trPr>
          <w:trHeight w:val="424" w:hRule="exact"/>
        </w:trPr>
        <w:tc>
          <w:tcPr>
            <w:tcW w:w="3850" w:type="dxa"/>
            <w:gridSpan w:val="2"/>
          </w:tcPr>
          <w:p>
            <w:pPr>
              <w:pStyle w:val="TableParagraph"/>
              <w:spacing w:before="9"/>
              <w:rPr>
                <w:sz w:val="17"/>
              </w:rPr>
            </w:pPr>
          </w:p>
          <w:p>
            <w:pPr>
              <w:pStyle w:val="TableParagraph"/>
              <w:ind w:left="1376" w:right="1377"/>
              <w:jc w:val="center"/>
              <w:rPr>
                <w:b/>
                <w:sz w:val="18"/>
              </w:rPr>
            </w:pPr>
            <w:r>
              <w:rPr>
                <w:b/>
                <w:sz w:val="18"/>
              </w:rPr>
              <w:t>Back position</w:t>
            </w:r>
          </w:p>
        </w:tc>
        <w:tc>
          <w:tcPr>
            <w:tcW w:w="1256" w:type="dxa"/>
          </w:tcPr>
          <w:p>
            <w:pPr>
              <w:pStyle w:val="TableParagraph"/>
              <w:ind w:left="121" w:right="100" w:firstLine="22"/>
              <w:rPr>
                <w:b/>
                <w:sz w:val="18"/>
              </w:rPr>
            </w:pPr>
            <w:r>
              <w:rPr>
                <w:b/>
                <w:sz w:val="18"/>
              </w:rPr>
              <w:t>First digit of code position</w:t>
            </w:r>
          </w:p>
        </w:tc>
      </w:tr>
      <w:tr>
        <w:trPr>
          <w:trHeight w:val="1392" w:hRule="exact"/>
        </w:trPr>
        <w:tc>
          <w:tcPr>
            <w:tcW w:w="2185" w:type="dxa"/>
          </w:tcPr>
          <w:p>
            <w:pPr>
              <w:pStyle w:val="TableParagraph"/>
              <w:spacing w:line="204" w:lineRule="exact"/>
              <w:ind w:left="103"/>
              <w:jc w:val="both"/>
              <w:rPr>
                <w:b/>
                <w:sz w:val="18"/>
              </w:rPr>
            </w:pPr>
            <w:r>
              <w:rPr>
                <w:b/>
                <w:sz w:val="18"/>
              </w:rPr>
              <w:t>Right back</w:t>
            </w:r>
          </w:p>
          <w:p>
            <w:pPr>
              <w:pStyle w:val="TableParagraph"/>
              <w:ind w:left="103" w:right="100"/>
              <w:jc w:val="both"/>
              <w:rPr>
                <w:sz w:val="18"/>
              </w:rPr>
            </w:pPr>
            <w:r>
              <w:rPr>
                <w:sz w:val="18"/>
              </w:rPr>
              <w:t>The axis of the trunk of the worker is aligned with the axis hips-legs.</w:t>
            </w:r>
          </w:p>
        </w:tc>
        <w:tc>
          <w:tcPr>
            <w:tcW w:w="1664" w:type="dxa"/>
          </w:tcPr>
          <w:p>
            <w:pPr>
              <w:pStyle w:val="TableParagraph"/>
              <w:ind w:left="250"/>
              <w:rPr>
                <w:sz w:val="20"/>
              </w:rPr>
            </w:pPr>
            <w:r>
              <w:rPr>
                <w:sz w:val="20"/>
              </w:rPr>
              <w:drawing>
                <wp:inline distT="0" distB="0" distL="0" distR="0">
                  <wp:extent cx="727630" cy="873156"/>
                  <wp:effectExtent l="0" t="0" r="0" b="0"/>
                  <wp:docPr id="271" name="image154.jpeg" descr=""/>
                  <wp:cNvGraphicFramePr>
                    <a:graphicFrameLocks noChangeAspect="1"/>
                  </wp:cNvGraphicFramePr>
                  <a:graphic>
                    <a:graphicData uri="http://schemas.openxmlformats.org/drawingml/2006/picture">
                      <pic:pic>
                        <pic:nvPicPr>
                          <pic:cNvPr id="272" name="image154.jpeg"/>
                          <pic:cNvPicPr/>
                        </pic:nvPicPr>
                        <pic:blipFill>
                          <a:blip r:embed="rId262" cstate="print"/>
                          <a:stretch>
                            <a:fillRect/>
                          </a:stretch>
                        </pic:blipFill>
                        <pic:spPr>
                          <a:xfrm>
                            <a:off x="0" y="0"/>
                            <a:ext cx="727630" cy="873156"/>
                          </a:xfrm>
                          <a:prstGeom prst="rect">
                            <a:avLst/>
                          </a:prstGeom>
                        </pic:spPr>
                      </pic:pic>
                    </a:graphicData>
                  </a:graphic>
                </wp:inline>
              </w:drawing>
            </w:r>
            <w:r>
              <w:rPr>
                <w:sz w:val="20"/>
              </w:rPr>
            </w:r>
          </w:p>
        </w:tc>
        <w:tc>
          <w:tcPr>
            <w:tcW w:w="1256" w:type="dxa"/>
          </w:tcPr>
          <w:p>
            <w:pPr>
              <w:pStyle w:val="TableParagraph"/>
              <w:rPr>
                <w:sz w:val="18"/>
              </w:rPr>
            </w:pPr>
          </w:p>
          <w:p>
            <w:pPr>
              <w:pStyle w:val="TableParagraph"/>
              <w:spacing w:before="10"/>
              <w:rPr>
                <w:sz w:val="17"/>
              </w:rPr>
            </w:pPr>
          </w:p>
          <w:p>
            <w:pPr>
              <w:pStyle w:val="TableParagraph"/>
              <w:ind w:right="576"/>
              <w:jc w:val="right"/>
              <w:rPr>
                <w:b/>
                <w:sz w:val="18"/>
              </w:rPr>
            </w:pPr>
            <w:r>
              <w:rPr>
                <w:b/>
                <w:sz w:val="18"/>
              </w:rPr>
              <w:t>1</w:t>
            </w:r>
          </w:p>
        </w:tc>
      </w:tr>
      <w:tr>
        <w:trPr>
          <w:trHeight w:val="1873" w:hRule="exact"/>
        </w:trPr>
        <w:tc>
          <w:tcPr>
            <w:tcW w:w="2185" w:type="dxa"/>
          </w:tcPr>
          <w:p>
            <w:pPr>
              <w:pStyle w:val="TableParagraph"/>
              <w:spacing w:line="204" w:lineRule="exact"/>
              <w:ind w:left="103"/>
              <w:jc w:val="both"/>
              <w:rPr>
                <w:b/>
                <w:sz w:val="18"/>
              </w:rPr>
            </w:pPr>
            <w:r>
              <w:rPr>
                <w:b/>
                <w:sz w:val="18"/>
              </w:rPr>
              <w:t>Bent back</w:t>
            </w:r>
          </w:p>
          <w:p>
            <w:pPr>
              <w:pStyle w:val="TableParagraph"/>
              <w:ind w:left="103" w:right="99"/>
              <w:jc w:val="both"/>
              <w:rPr>
                <w:sz w:val="18"/>
              </w:rPr>
            </w:pPr>
            <w:r>
              <w:rPr>
                <w:sz w:val="18"/>
              </w:rPr>
              <w:t>This bending of the trunk. Although the method does not explain from that angle is given this circumstance, can be considered which occurs for slopes greater than 20 ° (Mattila et al., 1999).</w:t>
            </w:r>
          </w:p>
        </w:tc>
        <w:tc>
          <w:tcPr>
            <w:tcW w:w="1664" w:type="dxa"/>
          </w:tcPr>
          <w:p>
            <w:pPr>
              <w:pStyle w:val="TableParagraph"/>
              <w:ind w:left="220"/>
              <w:rPr>
                <w:sz w:val="20"/>
              </w:rPr>
            </w:pPr>
            <w:r>
              <w:rPr>
                <w:sz w:val="20"/>
              </w:rPr>
              <w:drawing>
                <wp:inline distT="0" distB="0" distL="0" distR="0">
                  <wp:extent cx="773350" cy="843724"/>
                  <wp:effectExtent l="0" t="0" r="0" b="0"/>
                  <wp:docPr id="273" name="image155.jpeg" descr=""/>
                  <wp:cNvGraphicFramePr>
                    <a:graphicFrameLocks noChangeAspect="1"/>
                  </wp:cNvGraphicFramePr>
                  <a:graphic>
                    <a:graphicData uri="http://schemas.openxmlformats.org/drawingml/2006/picture">
                      <pic:pic>
                        <pic:nvPicPr>
                          <pic:cNvPr id="274" name="image155.jpeg"/>
                          <pic:cNvPicPr/>
                        </pic:nvPicPr>
                        <pic:blipFill>
                          <a:blip r:embed="rId263" cstate="print"/>
                          <a:stretch>
                            <a:fillRect/>
                          </a:stretch>
                        </pic:blipFill>
                        <pic:spPr>
                          <a:xfrm>
                            <a:off x="0" y="0"/>
                            <a:ext cx="773350" cy="843724"/>
                          </a:xfrm>
                          <a:prstGeom prst="rect">
                            <a:avLst/>
                          </a:prstGeom>
                        </pic:spPr>
                      </pic:pic>
                    </a:graphicData>
                  </a:graphic>
                </wp:inline>
              </w:drawing>
            </w:r>
            <w:r>
              <w:rPr>
                <w:sz w:val="20"/>
              </w:rPr>
            </w:r>
          </w:p>
          <w:p>
            <w:pPr>
              <w:pStyle w:val="TableParagraph"/>
              <w:rPr>
                <w:sz w:val="20"/>
              </w:rPr>
            </w:pPr>
          </w:p>
          <w:p>
            <w:pPr>
              <w:pStyle w:val="TableParagraph"/>
              <w:spacing w:before="4"/>
              <w:rPr>
                <w:sz w:val="26"/>
              </w:rPr>
            </w:pPr>
          </w:p>
        </w:tc>
        <w:tc>
          <w:tcPr>
            <w:tcW w:w="1256" w:type="dxa"/>
          </w:tcPr>
          <w:p>
            <w:pPr>
              <w:pStyle w:val="TableParagraph"/>
              <w:rPr>
                <w:sz w:val="18"/>
              </w:rPr>
            </w:pPr>
          </w:p>
          <w:p>
            <w:pPr>
              <w:pStyle w:val="TableParagraph"/>
              <w:rPr>
                <w:sz w:val="18"/>
              </w:rPr>
            </w:pPr>
          </w:p>
          <w:p>
            <w:pPr>
              <w:pStyle w:val="TableParagraph"/>
              <w:spacing w:before="10"/>
              <w:rPr>
                <w:sz w:val="17"/>
              </w:rPr>
            </w:pPr>
          </w:p>
          <w:p>
            <w:pPr>
              <w:pStyle w:val="TableParagraph"/>
              <w:spacing w:before="1"/>
              <w:ind w:right="576"/>
              <w:jc w:val="right"/>
              <w:rPr>
                <w:b/>
                <w:sz w:val="18"/>
              </w:rPr>
            </w:pPr>
            <w:r>
              <w:rPr>
                <w:b/>
                <w:sz w:val="18"/>
              </w:rPr>
              <w:t>2</w:t>
            </w:r>
          </w:p>
        </w:tc>
      </w:tr>
      <w:tr>
        <w:trPr>
          <w:trHeight w:val="1093" w:hRule="exact"/>
        </w:trPr>
        <w:tc>
          <w:tcPr>
            <w:tcW w:w="2185" w:type="dxa"/>
          </w:tcPr>
          <w:p>
            <w:pPr>
              <w:pStyle w:val="TableParagraph"/>
              <w:spacing w:line="204" w:lineRule="exact"/>
              <w:ind w:left="103" w:right="98"/>
              <w:rPr>
                <w:b/>
                <w:sz w:val="18"/>
              </w:rPr>
            </w:pPr>
            <w:r>
              <w:rPr>
                <w:b/>
                <w:sz w:val="18"/>
              </w:rPr>
              <w:t>Back with twist</w:t>
            </w:r>
          </w:p>
          <w:p>
            <w:pPr>
              <w:pStyle w:val="TableParagraph"/>
              <w:ind w:left="103" w:right="98"/>
              <w:rPr>
                <w:sz w:val="18"/>
              </w:rPr>
            </w:pPr>
            <w:r>
              <w:rPr>
                <w:sz w:val="18"/>
              </w:rPr>
              <w:t>There is a twisting of the trunk or side exceeding  20</w:t>
            </w:r>
          </w:p>
          <w:p>
            <w:pPr>
              <w:pStyle w:val="TableParagraph"/>
              <w:ind w:left="103" w:right="98"/>
              <w:rPr>
                <w:sz w:val="18"/>
              </w:rPr>
            </w:pPr>
            <w:r>
              <w:rPr>
                <w:sz w:val="18"/>
              </w:rPr>
              <w:t>° inclination.</w:t>
            </w:r>
          </w:p>
        </w:tc>
        <w:tc>
          <w:tcPr>
            <w:tcW w:w="1664" w:type="dxa"/>
          </w:tcPr>
          <w:p>
            <w:pPr>
              <w:pStyle w:val="TableParagraph"/>
              <w:ind w:left="235"/>
              <w:rPr>
                <w:sz w:val="20"/>
              </w:rPr>
            </w:pPr>
            <w:r>
              <w:rPr>
                <w:sz w:val="20"/>
              </w:rPr>
              <w:drawing>
                <wp:inline distT="0" distB="0" distL="0" distR="0">
                  <wp:extent cx="750707" cy="686752"/>
                  <wp:effectExtent l="0" t="0" r="0" b="0"/>
                  <wp:docPr id="275" name="image156.jpeg" descr=""/>
                  <wp:cNvGraphicFramePr>
                    <a:graphicFrameLocks noChangeAspect="1"/>
                  </wp:cNvGraphicFramePr>
                  <a:graphic>
                    <a:graphicData uri="http://schemas.openxmlformats.org/drawingml/2006/picture">
                      <pic:pic>
                        <pic:nvPicPr>
                          <pic:cNvPr id="276" name="image156.jpeg"/>
                          <pic:cNvPicPr/>
                        </pic:nvPicPr>
                        <pic:blipFill>
                          <a:blip r:embed="rId264" cstate="print"/>
                          <a:stretch>
                            <a:fillRect/>
                          </a:stretch>
                        </pic:blipFill>
                        <pic:spPr>
                          <a:xfrm>
                            <a:off x="0" y="0"/>
                            <a:ext cx="750707" cy="686752"/>
                          </a:xfrm>
                          <a:prstGeom prst="rect">
                            <a:avLst/>
                          </a:prstGeom>
                        </pic:spPr>
                      </pic:pic>
                    </a:graphicData>
                  </a:graphic>
                </wp:inline>
              </w:drawing>
            </w:r>
            <w:r>
              <w:rPr>
                <w:sz w:val="20"/>
              </w:rPr>
            </w:r>
          </w:p>
        </w:tc>
        <w:tc>
          <w:tcPr>
            <w:tcW w:w="1256" w:type="dxa"/>
          </w:tcPr>
          <w:p>
            <w:pPr>
              <w:pStyle w:val="TableParagraph"/>
              <w:rPr>
                <w:sz w:val="18"/>
              </w:rPr>
            </w:pPr>
          </w:p>
          <w:p>
            <w:pPr>
              <w:pStyle w:val="TableParagraph"/>
              <w:spacing w:before="10"/>
              <w:rPr>
                <w:sz w:val="17"/>
              </w:rPr>
            </w:pPr>
          </w:p>
          <w:p>
            <w:pPr>
              <w:pStyle w:val="TableParagraph"/>
              <w:ind w:right="576"/>
              <w:jc w:val="right"/>
              <w:rPr>
                <w:b/>
                <w:sz w:val="18"/>
              </w:rPr>
            </w:pPr>
            <w:r>
              <w:rPr>
                <w:b/>
                <w:sz w:val="18"/>
              </w:rPr>
              <w:t>3</w:t>
            </w:r>
          </w:p>
        </w:tc>
      </w:tr>
      <w:tr>
        <w:trPr>
          <w:trHeight w:val="1289" w:hRule="exact"/>
        </w:trPr>
        <w:tc>
          <w:tcPr>
            <w:tcW w:w="2185" w:type="dxa"/>
          </w:tcPr>
          <w:p>
            <w:pPr>
              <w:pStyle w:val="TableParagraph"/>
              <w:spacing w:line="237" w:lineRule="auto"/>
              <w:ind w:left="103" w:right="98"/>
              <w:rPr>
                <w:sz w:val="18"/>
              </w:rPr>
            </w:pPr>
            <w:r>
              <w:rPr>
                <w:b/>
                <w:sz w:val="18"/>
              </w:rPr>
              <w:t>Back bent with twist </w:t>
            </w:r>
            <w:r>
              <w:rPr>
                <w:sz w:val="18"/>
              </w:rPr>
              <w:t>There is a flexion of the trunk and turn (or tilt) simultaneously.</w:t>
            </w:r>
          </w:p>
        </w:tc>
        <w:tc>
          <w:tcPr>
            <w:tcW w:w="1664" w:type="dxa"/>
          </w:tcPr>
          <w:p>
            <w:pPr>
              <w:pStyle w:val="TableParagraph"/>
              <w:ind w:left="189"/>
              <w:rPr>
                <w:sz w:val="20"/>
              </w:rPr>
            </w:pPr>
            <w:r>
              <w:rPr>
                <w:sz w:val="20"/>
              </w:rPr>
              <w:drawing>
                <wp:inline distT="0" distB="0" distL="0" distR="0">
                  <wp:extent cx="807061" cy="810101"/>
                  <wp:effectExtent l="0" t="0" r="0" b="0"/>
                  <wp:docPr id="277" name="image157.jpeg" descr=""/>
                  <wp:cNvGraphicFramePr>
                    <a:graphicFrameLocks noChangeAspect="1"/>
                  </wp:cNvGraphicFramePr>
                  <a:graphic>
                    <a:graphicData uri="http://schemas.openxmlformats.org/drawingml/2006/picture">
                      <pic:pic>
                        <pic:nvPicPr>
                          <pic:cNvPr id="278" name="image157.jpeg"/>
                          <pic:cNvPicPr/>
                        </pic:nvPicPr>
                        <pic:blipFill>
                          <a:blip r:embed="rId265" cstate="print"/>
                          <a:stretch>
                            <a:fillRect/>
                          </a:stretch>
                        </pic:blipFill>
                        <pic:spPr>
                          <a:xfrm>
                            <a:off x="0" y="0"/>
                            <a:ext cx="807061" cy="810101"/>
                          </a:xfrm>
                          <a:prstGeom prst="rect">
                            <a:avLst/>
                          </a:prstGeom>
                        </pic:spPr>
                      </pic:pic>
                    </a:graphicData>
                  </a:graphic>
                </wp:inline>
              </w:drawing>
            </w:r>
            <w:r>
              <w:rPr>
                <w:sz w:val="20"/>
              </w:rPr>
            </w:r>
          </w:p>
        </w:tc>
        <w:tc>
          <w:tcPr>
            <w:tcW w:w="1256" w:type="dxa"/>
          </w:tcPr>
          <w:p>
            <w:pPr>
              <w:pStyle w:val="TableParagraph"/>
              <w:rPr>
                <w:sz w:val="18"/>
              </w:rPr>
            </w:pPr>
          </w:p>
          <w:p>
            <w:pPr>
              <w:pStyle w:val="TableParagraph"/>
              <w:spacing w:before="10"/>
              <w:rPr>
                <w:sz w:val="17"/>
              </w:rPr>
            </w:pPr>
          </w:p>
          <w:p>
            <w:pPr>
              <w:pStyle w:val="TableParagraph"/>
              <w:ind w:right="576"/>
              <w:jc w:val="right"/>
              <w:rPr>
                <w:b/>
                <w:sz w:val="18"/>
              </w:rPr>
            </w:pPr>
            <w:r>
              <w:rPr>
                <w:b/>
                <w:sz w:val="18"/>
              </w:rPr>
              <w:t>4</w:t>
            </w:r>
          </w:p>
        </w:tc>
      </w:tr>
    </w:tbl>
    <w:p>
      <w:pPr>
        <w:pStyle w:val="BodyText"/>
        <w:spacing w:before="9"/>
        <w:rPr>
          <w:sz w:val="17"/>
        </w:rPr>
      </w:pPr>
    </w:p>
    <w:p>
      <w:pPr>
        <w:pStyle w:val="ListParagraph"/>
        <w:numPr>
          <w:ilvl w:val="2"/>
          <w:numId w:val="69"/>
        </w:numPr>
        <w:tabs>
          <w:tab w:pos="856" w:val="left" w:leader="none"/>
        </w:tabs>
        <w:spacing w:line="240" w:lineRule="auto" w:before="0" w:after="0"/>
        <w:ind w:left="855" w:right="0" w:hanging="585"/>
        <w:jc w:val="both"/>
        <w:rPr>
          <w:b/>
          <w:sz w:val="18"/>
        </w:rPr>
      </w:pPr>
      <w:r>
        <w:rPr>
          <w:b/>
          <w:sz w:val="18"/>
        </w:rPr>
        <w:t>Positions of the arms: second digit of "Code</w:t>
      </w:r>
      <w:r>
        <w:rPr>
          <w:b/>
          <w:spacing w:val="-10"/>
          <w:sz w:val="18"/>
        </w:rPr>
        <w:t> </w:t>
      </w:r>
      <w:r>
        <w:rPr>
          <w:b/>
          <w:sz w:val="18"/>
        </w:rPr>
        <w:t>position".</w:t>
      </w:r>
    </w:p>
    <w:p>
      <w:pPr>
        <w:pStyle w:val="BodyText"/>
        <w:spacing w:before="7"/>
        <w:rPr>
          <w:b/>
          <w:sz w:val="17"/>
        </w:rPr>
      </w:pPr>
    </w:p>
    <w:p>
      <w:pPr>
        <w:spacing w:before="1"/>
        <w:ind w:left="270" w:right="0" w:firstLine="44"/>
        <w:jc w:val="both"/>
        <w:rPr>
          <w:sz w:val="18"/>
        </w:rPr>
      </w:pPr>
      <w:r>
        <w:rPr>
          <w:sz w:val="18"/>
        </w:rPr>
        <w:t>Will be then analyzed the position of the arms. The value of the second digit of "Code position" will be 1 if the two arms are low, 2 if one is low and the other high and, finally, 3 If both arms are elevated,  as shown in the following table of encoding table 2.</w:t>
      </w:r>
    </w:p>
    <w:p>
      <w:pPr>
        <w:pStyle w:val="BodyText"/>
        <w:rPr>
          <w:sz w:val="18"/>
        </w:rPr>
      </w:pPr>
    </w:p>
    <w:p>
      <w:pPr>
        <w:spacing w:before="0"/>
        <w:ind w:left="280" w:right="11" w:firstLine="0"/>
        <w:jc w:val="center"/>
        <w:rPr>
          <w:sz w:val="18"/>
        </w:rPr>
      </w:pPr>
      <w:r>
        <w:rPr>
          <w:b/>
          <w:sz w:val="18"/>
        </w:rPr>
        <w:t>Table 2. </w:t>
      </w:r>
      <w:r>
        <w:rPr>
          <w:sz w:val="18"/>
        </w:rPr>
        <w:t>Coding of the positions of the arms.</w:t>
      </w:r>
    </w:p>
    <w:p>
      <w:pPr>
        <w:pStyle w:val="BodyText"/>
        <w:spacing w:before="1"/>
        <w:rPr>
          <w:sz w:val="18"/>
        </w:rPr>
      </w:pPr>
      <w:r>
        <w:rPr/>
        <w:br w:type="column"/>
      </w:r>
      <w:r>
        <w:rPr>
          <w:sz w:val="18"/>
        </w:rPr>
      </w:r>
    </w:p>
    <w:tbl>
      <w:tblPr>
        <w:tblW w:w="0" w:type="auto"/>
        <w:jc w:val="left"/>
        <w:tblInd w:w="1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58"/>
        <w:gridCol w:w="1690"/>
        <w:gridCol w:w="1559"/>
      </w:tblGrid>
      <w:tr>
        <w:trPr>
          <w:trHeight w:val="1872" w:hRule="exact"/>
        </w:trPr>
        <w:tc>
          <w:tcPr>
            <w:tcW w:w="1858" w:type="dxa"/>
          </w:tcPr>
          <w:p>
            <w:pPr>
              <w:pStyle w:val="TableParagraph"/>
              <w:ind w:left="103" w:right="100"/>
              <w:jc w:val="both"/>
              <w:rPr>
                <w:b/>
                <w:sz w:val="18"/>
              </w:rPr>
            </w:pPr>
            <w:r>
              <w:rPr>
                <w:b/>
                <w:sz w:val="18"/>
              </w:rPr>
              <w:t>An arm and the other high</w:t>
            </w:r>
          </w:p>
          <w:p>
            <w:pPr>
              <w:pStyle w:val="TableParagraph"/>
              <w:ind w:left="103" w:right="98"/>
              <w:jc w:val="both"/>
              <w:rPr>
                <w:sz w:val="18"/>
              </w:rPr>
            </w:pPr>
            <w:r>
              <w:rPr>
                <w:sz w:val="18"/>
              </w:rPr>
              <w:t>An arm of the worker is located below the level of the shoulders and the other one, or part of the other, is located above  the level of the shoulders.</w:t>
            </w:r>
          </w:p>
        </w:tc>
        <w:tc>
          <w:tcPr>
            <w:tcW w:w="1690" w:type="dxa"/>
          </w:tcPr>
          <w:p>
            <w:pPr>
              <w:pStyle w:val="TableParagraph"/>
              <w:ind w:left="255"/>
              <w:rPr>
                <w:sz w:val="20"/>
              </w:rPr>
            </w:pPr>
            <w:r>
              <w:rPr>
                <w:sz w:val="20"/>
              </w:rPr>
              <w:drawing>
                <wp:inline distT="0" distB="0" distL="0" distR="0">
                  <wp:extent cx="738033" cy="962025"/>
                  <wp:effectExtent l="0" t="0" r="0" b="0"/>
                  <wp:docPr id="279" name="image158.jpeg" descr=""/>
                  <wp:cNvGraphicFramePr>
                    <a:graphicFrameLocks noChangeAspect="1"/>
                  </wp:cNvGraphicFramePr>
                  <a:graphic>
                    <a:graphicData uri="http://schemas.openxmlformats.org/drawingml/2006/picture">
                      <pic:pic>
                        <pic:nvPicPr>
                          <pic:cNvPr id="280" name="image158.jpeg"/>
                          <pic:cNvPicPr/>
                        </pic:nvPicPr>
                        <pic:blipFill>
                          <a:blip r:embed="rId266" cstate="print"/>
                          <a:stretch>
                            <a:fillRect/>
                          </a:stretch>
                        </pic:blipFill>
                        <pic:spPr>
                          <a:xfrm>
                            <a:off x="0" y="0"/>
                            <a:ext cx="738033" cy="962025"/>
                          </a:xfrm>
                          <a:prstGeom prst="rect">
                            <a:avLst/>
                          </a:prstGeom>
                        </pic:spPr>
                      </pic:pic>
                    </a:graphicData>
                  </a:graphic>
                </wp:inline>
              </w:drawing>
            </w:r>
            <w:r>
              <w:rPr>
                <w:sz w:val="20"/>
              </w:rPr>
            </w:r>
          </w:p>
          <w:p>
            <w:pPr>
              <w:pStyle w:val="TableParagraph"/>
              <w:rPr>
                <w:sz w:val="20"/>
              </w:rPr>
            </w:pPr>
          </w:p>
        </w:tc>
        <w:tc>
          <w:tcPr>
            <w:tcW w:w="1559" w:type="dxa"/>
          </w:tcPr>
          <w:p>
            <w:pPr>
              <w:pStyle w:val="TableParagraph"/>
              <w:rPr>
                <w:sz w:val="18"/>
              </w:rPr>
            </w:pPr>
          </w:p>
          <w:p>
            <w:pPr>
              <w:pStyle w:val="TableParagraph"/>
              <w:rPr>
                <w:sz w:val="18"/>
              </w:rPr>
            </w:pPr>
          </w:p>
          <w:p>
            <w:pPr>
              <w:pStyle w:val="TableParagraph"/>
              <w:spacing w:before="9"/>
              <w:rPr>
                <w:sz w:val="17"/>
              </w:rPr>
            </w:pPr>
          </w:p>
          <w:p>
            <w:pPr>
              <w:pStyle w:val="TableParagraph"/>
              <w:jc w:val="center"/>
              <w:rPr>
                <w:b/>
                <w:sz w:val="18"/>
              </w:rPr>
            </w:pPr>
            <w:r>
              <w:rPr>
                <w:b/>
                <w:sz w:val="18"/>
              </w:rPr>
              <w:t>2</w:t>
            </w:r>
          </w:p>
        </w:tc>
      </w:tr>
      <w:tr>
        <w:trPr>
          <w:trHeight w:val="1060" w:hRule="exact"/>
        </w:trPr>
        <w:tc>
          <w:tcPr>
            <w:tcW w:w="1858" w:type="dxa"/>
          </w:tcPr>
          <w:p>
            <w:pPr>
              <w:pStyle w:val="TableParagraph"/>
              <w:ind w:left="103" w:right="100"/>
              <w:rPr>
                <w:sz w:val="18"/>
              </w:rPr>
            </w:pPr>
            <w:r>
              <w:rPr>
                <w:b/>
                <w:sz w:val="18"/>
              </w:rPr>
              <w:t>The two raised arms </w:t>
            </w:r>
            <w:r>
              <w:rPr>
                <w:sz w:val="18"/>
              </w:rPr>
              <w:t>Both arms (or part of arms) of the worker are located above the level of the</w:t>
            </w:r>
            <w:r>
              <w:rPr>
                <w:spacing w:val="-1"/>
                <w:sz w:val="18"/>
              </w:rPr>
              <w:t> </w:t>
            </w:r>
            <w:r>
              <w:rPr>
                <w:sz w:val="18"/>
              </w:rPr>
              <w:t>shoulders.</w:t>
            </w:r>
          </w:p>
        </w:tc>
        <w:tc>
          <w:tcPr>
            <w:tcW w:w="1690" w:type="dxa"/>
          </w:tcPr>
          <w:p>
            <w:pPr>
              <w:pStyle w:val="TableParagraph"/>
              <w:ind w:left="201"/>
              <w:rPr>
                <w:sz w:val="20"/>
              </w:rPr>
            </w:pPr>
            <w:r>
              <w:rPr>
                <w:sz w:val="20"/>
              </w:rPr>
              <w:drawing>
                <wp:inline distT="0" distB="0" distL="0" distR="0">
                  <wp:extent cx="802986" cy="660082"/>
                  <wp:effectExtent l="0" t="0" r="0" b="0"/>
                  <wp:docPr id="281" name="image159.jpeg" descr=""/>
                  <wp:cNvGraphicFramePr>
                    <a:graphicFrameLocks noChangeAspect="1"/>
                  </wp:cNvGraphicFramePr>
                  <a:graphic>
                    <a:graphicData uri="http://schemas.openxmlformats.org/drawingml/2006/picture">
                      <pic:pic>
                        <pic:nvPicPr>
                          <pic:cNvPr id="282" name="image159.jpeg"/>
                          <pic:cNvPicPr/>
                        </pic:nvPicPr>
                        <pic:blipFill>
                          <a:blip r:embed="rId267" cstate="print"/>
                          <a:stretch>
                            <a:fillRect/>
                          </a:stretch>
                        </pic:blipFill>
                        <pic:spPr>
                          <a:xfrm>
                            <a:off x="0" y="0"/>
                            <a:ext cx="802986" cy="660082"/>
                          </a:xfrm>
                          <a:prstGeom prst="rect">
                            <a:avLst/>
                          </a:prstGeom>
                        </pic:spPr>
                      </pic:pic>
                    </a:graphicData>
                  </a:graphic>
                </wp:inline>
              </w:drawing>
            </w:r>
            <w:r>
              <w:rPr>
                <w:sz w:val="20"/>
              </w:rPr>
            </w:r>
          </w:p>
        </w:tc>
        <w:tc>
          <w:tcPr>
            <w:tcW w:w="1559" w:type="dxa"/>
          </w:tcPr>
          <w:p>
            <w:pPr>
              <w:pStyle w:val="TableParagraph"/>
              <w:rPr>
                <w:sz w:val="18"/>
              </w:rPr>
            </w:pPr>
          </w:p>
          <w:p>
            <w:pPr>
              <w:pStyle w:val="TableParagraph"/>
              <w:spacing w:before="11"/>
              <w:rPr>
                <w:sz w:val="17"/>
              </w:rPr>
            </w:pPr>
          </w:p>
          <w:p>
            <w:pPr>
              <w:pStyle w:val="TableParagraph"/>
              <w:jc w:val="center"/>
              <w:rPr>
                <w:b/>
                <w:sz w:val="18"/>
              </w:rPr>
            </w:pPr>
            <w:r>
              <w:rPr>
                <w:b/>
                <w:sz w:val="18"/>
              </w:rPr>
              <w:t>3</w:t>
            </w:r>
          </w:p>
        </w:tc>
      </w:tr>
    </w:tbl>
    <w:p>
      <w:pPr>
        <w:pStyle w:val="BodyText"/>
        <w:spacing w:before="9"/>
        <w:rPr>
          <w:sz w:val="17"/>
        </w:rPr>
      </w:pPr>
    </w:p>
    <w:p>
      <w:pPr>
        <w:spacing w:before="0"/>
        <w:ind w:left="270" w:right="0" w:firstLine="0"/>
        <w:jc w:val="both"/>
        <w:rPr>
          <w:b/>
          <w:sz w:val="18"/>
        </w:rPr>
      </w:pPr>
      <w:r>
        <w:rPr>
          <w:b/>
          <w:sz w:val="18"/>
        </w:rPr>
        <w:t>2.1.3 Positions of the legs: third digit "Code position".</w:t>
      </w:r>
    </w:p>
    <w:p>
      <w:pPr>
        <w:pStyle w:val="BodyText"/>
        <w:spacing w:before="7"/>
        <w:rPr>
          <w:b/>
          <w:sz w:val="17"/>
        </w:rPr>
      </w:pPr>
    </w:p>
    <w:p>
      <w:pPr>
        <w:spacing w:before="1"/>
        <w:ind w:left="270" w:right="678" w:firstLine="0"/>
        <w:jc w:val="both"/>
        <w:rPr>
          <w:sz w:val="18"/>
        </w:rPr>
      </w:pPr>
      <w:r>
        <w:rPr>
          <w:sz w:val="18"/>
        </w:rPr>
        <w:t>The coding of the position of the legs, will complete the first three digits of the "code position" that identify the parts of the body that is analyzed by the method. Table 3 provides the value of the digit associated with the legs, whereas 7 different positions as relevant.</w:t>
      </w:r>
    </w:p>
    <w:p>
      <w:pPr>
        <w:pStyle w:val="BodyText"/>
        <w:rPr>
          <w:sz w:val="18"/>
        </w:rPr>
      </w:pPr>
    </w:p>
    <w:p>
      <w:pPr>
        <w:spacing w:before="0"/>
        <w:ind w:left="1143" w:right="668" w:firstLine="0"/>
        <w:jc w:val="left"/>
        <w:rPr>
          <w:sz w:val="18"/>
        </w:rPr>
      </w:pPr>
      <w:r>
        <w:rPr/>
        <w:drawing>
          <wp:anchor distT="0" distB="0" distL="0" distR="0" allowOverlap="1" layoutInCell="1" locked="0" behindDoc="0" simplePos="0" relativeHeight="8200">
            <wp:simplePos x="0" y="0"/>
            <wp:positionH relativeFrom="page">
              <wp:posOffset>5472684</wp:posOffset>
            </wp:positionH>
            <wp:positionV relativeFrom="paragraph">
              <wp:posOffset>803939</wp:posOffset>
            </wp:positionV>
            <wp:extent cx="800100" cy="885444"/>
            <wp:effectExtent l="0" t="0" r="0" b="0"/>
            <wp:wrapNone/>
            <wp:docPr id="283" name="image160.jpeg" descr=""/>
            <wp:cNvGraphicFramePr>
              <a:graphicFrameLocks noChangeAspect="1"/>
            </wp:cNvGraphicFramePr>
            <a:graphic>
              <a:graphicData uri="http://schemas.openxmlformats.org/drawingml/2006/picture">
                <pic:pic>
                  <pic:nvPicPr>
                    <pic:cNvPr id="284" name="image160.jpeg"/>
                    <pic:cNvPicPr/>
                  </pic:nvPicPr>
                  <pic:blipFill>
                    <a:blip r:embed="rId268" cstate="print"/>
                    <a:stretch>
                      <a:fillRect/>
                    </a:stretch>
                  </pic:blipFill>
                  <pic:spPr>
                    <a:xfrm>
                      <a:off x="0" y="0"/>
                      <a:ext cx="800100" cy="885444"/>
                    </a:xfrm>
                    <a:prstGeom prst="rect">
                      <a:avLst/>
                    </a:prstGeom>
                  </pic:spPr>
                </pic:pic>
              </a:graphicData>
            </a:graphic>
          </wp:anchor>
        </w:drawing>
      </w:r>
      <w:r>
        <w:rPr/>
        <w:pict>
          <v:shape style="position:absolute;margin-left:323.880005pt;margin-top:20.882374pt;width:241.9pt;height:419pt;mso-position-horizontal-relative:page;mso-position-vertical-relative:paragraph;z-index:8272"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97"/>
                    <w:gridCol w:w="1738"/>
                    <w:gridCol w:w="1188"/>
                  </w:tblGrid>
                  <w:tr>
                    <w:trPr>
                      <w:trHeight w:val="839" w:hRule="exact"/>
                    </w:trPr>
                    <w:tc>
                      <w:tcPr>
                        <w:tcW w:w="3635" w:type="dxa"/>
                        <w:gridSpan w:val="2"/>
                      </w:tcPr>
                      <w:p>
                        <w:pPr>
                          <w:pStyle w:val="TableParagraph"/>
                          <w:rPr>
                            <w:sz w:val="18"/>
                          </w:rPr>
                        </w:pPr>
                      </w:p>
                      <w:p>
                        <w:pPr>
                          <w:pStyle w:val="TableParagraph"/>
                          <w:rPr>
                            <w:sz w:val="18"/>
                          </w:rPr>
                        </w:pPr>
                      </w:p>
                      <w:p>
                        <w:pPr>
                          <w:pStyle w:val="TableParagraph"/>
                          <w:ind w:left="1094"/>
                          <w:rPr>
                            <w:b/>
                            <w:sz w:val="18"/>
                          </w:rPr>
                        </w:pPr>
                        <w:r>
                          <w:rPr>
                            <w:b/>
                            <w:sz w:val="18"/>
                          </w:rPr>
                          <w:t>Position of the legs</w:t>
                        </w:r>
                      </w:p>
                    </w:tc>
                    <w:tc>
                      <w:tcPr>
                        <w:tcW w:w="1188" w:type="dxa"/>
                      </w:tcPr>
                      <w:p>
                        <w:pPr>
                          <w:pStyle w:val="TableParagraph"/>
                          <w:spacing w:before="10"/>
                          <w:rPr>
                            <w:sz w:val="17"/>
                          </w:rPr>
                        </w:pPr>
                      </w:p>
                      <w:p>
                        <w:pPr>
                          <w:pStyle w:val="TableParagraph"/>
                          <w:spacing w:before="1"/>
                          <w:ind w:left="113" w:right="110" w:hanging="2"/>
                          <w:jc w:val="center"/>
                          <w:rPr>
                            <w:b/>
                            <w:sz w:val="18"/>
                          </w:rPr>
                        </w:pPr>
                        <w:r>
                          <w:rPr>
                            <w:b/>
                            <w:sz w:val="18"/>
                          </w:rPr>
                          <w:t>Fourth digit of the code's position.</w:t>
                        </w:r>
                      </w:p>
                    </w:tc>
                  </w:tr>
                  <w:tr>
                    <w:trPr>
                      <w:trHeight w:val="1404" w:hRule="exact"/>
                    </w:trPr>
                    <w:tc>
                      <w:tcPr>
                        <w:tcW w:w="1897" w:type="dxa"/>
                      </w:tcPr>
                      <w:p>
                        <w:pPr>
                          <w:pStyle w:val="TableParagraph"/>
                          <w:spacing w:before="10"/>
                          <w:rPr>
                            <w:sz w:val="17"/>
                          </w:rPr>
                        </w:pPr>
                      </w:p>
                      <w:p>
                        <w:pPr>
                          <w:pStyle w:val="TableParagraph"/>
                          <w:spacing w:before="1"/>
                          <w:ind w:left="103" w:right="98"/>
                          <w:rPr>
                            <w:b/>
                            <w:sz w:val="18"/>
                          </w:rPr>
                        </w:pPr>
                        <w:r>
                          <w:rPr>
                            <w:b/>
                            <w:sz w:val="18"/>
                          </w:rPr>
                          <w:t>Sitting</w:t>
                        </w:r>
                      </w:p>
                    </w:tc>
                    <w:tc>
                      <w:tcPr>
                        <w:tcW w:w="1738" w:type="dxa"/>
                      </w:tcPr>
                      <w:p>
                        <w:pPr>
                          <w:pStyle w:val="TableParagraph"/>
                          <w:ind w:left="234"/>
                          <w:rPr>
                            <w:sz w:val="20"/>
                          </w:rPr>
                        </w:pPr>
                        <w:r>
                          <w:rPr>
                            <w:sz w:val="20"/>
                          </w:rPr>
                          <w:drawing>
                            <wp:inline distT="0" distB="0" distL="0" distR="0">
                              <wp:extent cx="795280" cy="880110"/>
                              <wp:effectExtent l="0" t="0" r="0" b="0"/>
                              <wp:docPr id="285" name="image160.jpeg" descr=""/>
                              <wp:cNvGraphicFramePr>
                                <a:graphicFrameLocks noChangeAspect="1"/>
                              </wp:cNvGraphicFramePr>
                              <a:graphic>
                                <a:graphicData uri="http://schemas.openxmlformats.org/drawingml/2006/picture">
                                  <pic:pic>
                                    <pic:nvPicPr>
                                      <pic:cNvPr id="286" name="image160.jpeg"/>
                                      <pic:cNvPicPr/>
                                    </pic:nvPicPr>
                                    <pic:blipFill>
                                      <a:blip r:embed="rId268" cstate="print"/>
                                      <a:stretch>
                                        <a:fillRect/>
                                      </a:stretch>
                                    </pic:blipFill>
                                    <pic:spPr>
                                      <a:xfrm>
                                        <a:off x="0" y="0"/>
                                        <a:ext cx="795280" cy="880110"/>
                                      </a:xfrm>
                                      <a:prstGeom prst="rect">
                                        <a:avLst/>
                                      </a:prstGeom>
                                    </pic:spPr>
                                  </pic:pic>
                                </a:graphicData>
                              </a:graphic>
                            </wp:inline>
                          </w:drawing>
                        </w:r>
                        <w:r>
                          <w:rPr>
                            <w:sz w:val="20"/>
                          </w:rPr>
                        </w:r>
                      </w:p>
                    </w:tc>
                    <w:tc>
                      <w:tcPr>
                        <w:tcW w:w="1188" w:type="dxa"/>
                      </w:tcPr>
                      <w:p>
                        <w:pPr>
                          <w:pStyle w:val="TableParagraph"/>
                          <w:rPr>
                            <w:sz w:val="18"/>
                          </w:rPr>
                        </w:pPr>
                      </w:p>
                      <w:p>
                        <w:pPr>
                          <w:pStyle w:val="TableParagraph"/>
                          <w:spacing w:before="10"/>
                          <w:rPr>
                            <w:sz w:val="17"/>
                          </w:rPr>
                        </w:pPr>
                      </w:p>
                      <w:p>
                        <w:pPr>
                          <w:pStyle w:val="TableParagraph"/>
                          <w:ind w:right="1"/>
                          <w:jc w:val="center"/>
                          <w:rPr>
                            <w:b/>
                            <w:sz w:val="18"/>
                          </w:rPr>
                        </w:pPr>
                        <w:r>
                          <w:rPr>
                            <w:b/>
                            <w:sz w:val="18"/>
                          </w:rPr>
                          <w:t>1</w:t>
                        </w:r>
                      </w:p>
                    </w:tc>
                  </w:tr>
                  <w:tr>
                    <w:trPr>
                      <w:trHeight w:val="1346" w:hRule="exact"/>
                    </w:trPr>
                    <w:tc>
                      <w:tcPr>
                        <w:tcW w:w="1897" w:type="dxa"/>
                      </w:tcPr>
                      <w:p>
                        <w:pPr>
                          <w:pStyle w:val="TableParagraph"/>
                          <w:ind w:left="103" w:right="101"/>
                          <w:jc w:val="both"/>
                          <w:rPr>
                            <w:sz w:val="18"/>
                          </w:rPr>
                        </w:pPr>
                        <w:r>
                          <w:rPr>
                            <w:sz w:val="18"/>
                          </w:rPr>
                          <w:t>Stand with both legs straight with weight balanced between both</w:t>
                        </w:r>
                      </w:p>
                    </w:tc>
                    <w:tc>
                      <w:tcPr>
                        <w:tcW w:w="1738" w:type="dxa"/>
                      </w:tcPr>
                      <w:p>
                        <w:pPr>
                          <w:pStyle w:val="TableParagraph"/>
                          <w:ind w:left="195"/>
                          <w:rPr>
                            <w:sz w:val="20"/>
                          </w:rPr>
                        </w:pPr>
                        <w:r>
                          <w:rPr>
                            <w:sz w:val="20"/>
                          </w:rPr>
                          <w:drawing>
                            <wp:inline distT="0" distB="0" distL="0" distR="0">
                              <wp:extent cx="846582" cy="846581"/>
                              <wp:effectExtent l="0" t="0" r="0" b="0"/>
                              <wp:docPr id="287" name="image161.jpeg" descr=""/>
                              <wp:cNvGraphicFramePr>
                                <a:graphicFrameLocks noChangeAspect="1"/>
                              </wp:cNvGraphicFramePr>
                              <a:graphic>
                                <a:graphicData uri="http://schemas.openxmlformats.org/drawingml/2006/picture">
                                  <pic:pic>
                                    <pic:nvPicPr>
                                      <pic:cNvPr id="288" name="image161.jpeg"/>
                                      <pic:cNvPicPr/>
                                    </pic:nvPicPr>
                                    <pic:blipFill>
                                      <a:blip r:embed="rId269" cstate="print"/>
                                      <a:stretch>
                                        <a:fillRect/>
                                      </a:stretch>
                                    </pic:blipFill>
                                    <pic:spPr>
                                      <a:xfrm>
                                        <a:off x="0" y="0"/>
                                        <a:ext cx="846582" cy="846581"/>
                                      </a:xfrm>
                                      <a:prstGeom prst="rect">
                                        <a:avLst/>
                                      </a:prstGeom>
                                    </pic:spPr>
                                  </pic:pic>
                                </a:graphicData>
                              </a:graphic>
                            </wp:inline>
                          </w:drawing>
                        </w:r>
                        <w:r>
                          <w:rPr>
                            <w:sz w:val="20"/>
                          </w:rPr>
                        </w:r>
                      </w:p>
                    </w:tc>
                    <w:tc>
                      <w:tcPr>
                        <w:tcW w:w="1188" w:type="dxa"/>
                      </w:tcPr>
                      <w:p>
                        <w:pPr>
                          <w:pStyle w:val="TableParagraph"/>
                          <w:rPr>
                            <w:sz w:val="18"/>
                          </w:rPr>
                        </w:pPr>
                      </w:p>
                      <w:p>
                        <w:pPr>
                          <w:pStyle w:val="TableParagraph"/>
                          <w:spacing w:before="6"/>
                          <w:rPr>
                            <w:sz w:val="17"/>
                          </w:rPr>
                        </w:pPr>
                      </w:p>
                      <w:p>
                        <w:pPr>
                          <w:pStyle w:val="TableParagraph"/>
                          <w:ind w:right="1"/>
                          <w:jc w:val="center"/>
                          <w:rPr>
                            <w:sz w:val="18"/>
                          </w:rPr>
                        </w:pPr>
                        <w:r>
                          <w:rPr>
                            <w:sz w:val="18"/>
                          </w:rPr>
                          <w:t>2</w:t>
                        </w:r>
                      </w:p>
                    </w:tc>
                  </w:tr>
                  <w:tr>
                    <w:trPr>
                      <w:trHeight w:val="1458" w:hRule="exact"/>
                    </w:trPr>
                    <w:tc>
                      <w:tcPr>
                        <w:tcW w:w="1897" w:type="dxa"/>
                      </w:tcPr>
                      <w:p>
                        <w:pPr>
                          <w:pStyle w:val="TableParagraph"/>
                          <w:ind w:left="103" w:right="99"/>
                          <w:jc w:val="both"/>
                          <w:rPr>
                            <w:sz w:val="18"/>
                          </w:rPr>
                        </w:pPr>
                        <w:r>
                          <w:rPr>
                            <w:sz w:val="18"/>
                          </w:rPr>
                          <w:t>Standing with one leg straight and the other bent with the weight balance between the two</w:t>
                        </w:r>
                      </w:p>
                    </w:tc>
                    <w:tc>
                      <w:tcPr>
                        <w:tcW w:w="1738" w:type="dxa"/>
                      </w:tcPr>
                      <w:p>
                        <w:pPr>
                          <w:pStyle w:val="TableParagraph"/>
                          <w:ind w:left="103"/>
                          <w:rPr>
                            <w:sz w:val="20"/>
                          </w:rPr>
                        </w:pPr>
                        <w:r>
                          <w:rPr>
                            <w:sz w:val="20"/>
                          </w:rPr>
                          <w:drawing>
                            <wp:inline distT="0" distB="0" distL="0" distR="0">
                              <wp:extent cx="964511" cy="876966"/>
                              <wp:effectExtent l="0" t="0" r="0" b="0"/>
                              <wp:docPr id="289" name="image162.jpeg" descr=""/>
                              <wp:cNvGraphicFramePr>
                                <a:graphicFrameLocks noChangeAspect="1"/>
                              </wp:cNvGraphicFramePr>
                              <a:graphic>
                                <a:graphicData uri="http://schemas.openxmlformats.org/drawingml/2006/picture">
                                  <pic:pic>
                                    <pic:nvPicPr>
                                      <pic:cNvPr id="290" name="image162.jpeg"/>
                                      <pic:cNvPicPr/>
                                    </pic:nvPicPr>
                                    <pic:blipFill>
                                      <a:blip r:embed="rId270" cstate="print"/>
                                      <a:stretch>
                                        <a:fillRect/>
                                      </a:stretch>
                                    </pic:blipFill>
                                    <pic:spPr>
                                      <a:xfrm>
                                        <a:off x="0" y="0"/>
                                        <a:ext cx="964511" cy="876966"/>
                                      </a:xfrm>
                                      <a:prstGeom prst="rect">
                                        <a:avLst/>
                                      </a:prstGeom>
                                    </pic:spPr>
                                  </pic:pic>
                                </a:graphicData>
                              </a:graphic>
                            </wp:inline>
                          </w:drawing>
                        </w:r>
                        <w:r>
                          <w:rPr>
                            <w:sz w:val="20"/>
                          </w:rPr>
                        </w:r>
                      </w:p>
                    </w:tc>
                    <w:tc>
                      <w:tcPr>
                        <w:tcW w:w="1188" w:type="dxa"/>
                      </w:tcPr>
                      <w:p>
                        <w:pPr>
                          <w:pStyle w:val="TableParagraph"/>
                          <w:rPr>
                            <w:sz w:val="18"/>
                          </w:rPr>
                        </w:pPr>
                      </w:p>
                      <w:p>
                        <w:pPr>
                          <w:pStyle w:val="TableParagraph"/>
                          <w:spacing w:before="6"/>
                          <w:rPr>
                            <w:sz w:val="17"/>
                          </w:rPr>
                        </w:pPr>
                      </w:p>
                      <w:p>
                        <w:pPr>
                          <w:pStyle w:val="TableParagraph"/>
                          <w:ind w:right="1"/>
                          <w:jc w:val="center"/>
                          <w:rPr>
                            <w:sz w:val="18"/>
                          </w:rPr>
                        </w:pPr>
                        <w:r>
                          <w:rPr>
                            <w:sz w:val="18"/>
                          </w:rPr>
                          <w:t>3</w:t>
                        </w:r>
                      </w:p>
                    </w:tc>
                  </w:tr>
                  <w:tr>
                    <w:trPr>
                      <w:trHeight w:val="3323" w:hRule="exact"/>
                    </w:trPr>
                    <w:tc>
                      <w:tcPr>
                        <w:tcW w:w="1897" w:type="dxa"/>
                      </w:tcPr>
                      <w:p>
                        <w:pPr>
                          <w:pStyle w:val="TableParagraph"/>
                          <w:tabs>
                            <w:tab w:pos="794" w:val="left" w:leader="none"/>
                            <w:tab w:pos="1145" w:val="left" w:leader="none"/>
                            <w:tab w:pos="1245" w:val="left" w:leader="none"/>
                            <w:tab w:pos="1523" w:val="left" w:leader="none"/>
                          </w:tabs>
                          <w:ind w:left="103" w:right="98"/>
                          <w:rPr>
                            <w:sz w:val="18"/>
                          </w:rPr>
                        </w:pPr>
                        <w:r>
                          <w:rPr>
                            <w:sz w:val="18"/>
                          </w:rPr>
                          <w:t>Standing or squatting with both legs bent and weight</w:t>
                          <w:tab/>
                          <w:tab/>
                          <w:t>balanced between  both Although the method  is not explicit from what</w:t>
                          <w:tab/>
                          <w:t>angle</w:t>
                          <w:tab/>
                          <w:tab/>
                          <w:t>this circumstance occurs, it can be considered to occur for angles less than or equal to 150 ° muslo-pantorrilla (Mattila et al., 1999). Larger angles will be considered</w:t>
                          <w:tab/>
                          <w:tab/>
                          <w:t>straight legs</w:t>
                        </w:r>
                      </w:p>
                    </w:tc>
                    <w:tc>
                      <w:tcPr>
                        <w:tcW w:w="1738" w:type="dxa"/>
                      </w:tcPr>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1"/>
                          <w:rPr>
                            <w:sz w:val="28"/>
                          </w:rPr>
                        </w:pPr>
                      </w:p>
                    </w:tc>
                    <w:tc>
                      <w:tcPr>
                        <w:tcW w:w="1188" w:type="dxa"/>
                      </w:tcPr>
                      <w:p>
                        <w:pPr>
                          <w:pStyle w:val="TableParagraph"/>
                          <w:rPr>
                            <w:sz w:val="18"/>
                          </w:rPr>
                        </w:pPr>
                      </w:p>
                      <w:p>
                        <w:pPr>
                          <w:pStyle w:val="TableParagraph"/>
                          <w:rPr>
                            <w:sz w:val="18"/>
                          </w:rPr>
                        </w:pPr>
                      </w:p>
                      <w:p>
                        <w:pPr>
                          <w:pStyle w:val="TableParagraph"/>
                          <w:rPr>
                            <w:sz w:val="18"/>
                          </w:rPr>
                        </w:pPr>
                      </w:p>
                      <w:p>
                        <w:pPr>
                          <w:pStyle w:val="TableParagraph"/>
                          <w:spacing w:before="7"/>
                          <w:rPr>
                            <w:sz w:val="17"/>
                          </w:rPr>
                        </w:pPr>
                      </w:p>
                      <w:p>
                        <w:pPr>
                          <w:pStyle w:val="TableParagraph"/>
                          <w:spacing w:before="1"/>
                          <w:ind w:right="1"/>
                          <w:jc w:val="center"/>
                          <w:rPr>
                            <w:sz w:val="18"/>
                          </w:rPr>
                        </w:pPr>
                        <w:r>
                          <w:rPr>
                            <w:sz w:val="18"/>
                          </w:rPr>
                          <w:t>4</w:t>
                        </w:r>
                      </w:p>
                    </w:tc>
                  </w:tr>
                </w:tbl>
                <w:p>
                  <w:pPr>
                    <w:pStyle w:val="BodyText"/>
                  </w:pPr>
                </w:p>
              </w:txbxContent>
            </v:textbox>
            <w10:wrap type="none"/>
          </v:shape>
        </w:pict>
      </w:r>
      <w:r>
        <w:rPr>
          <w:b/>
          <w:sz w:val="18"/>
        </w:rPr>
        <w:t>Table 3</w:t>
      </w:r>
      <w:r>
        <w:rPr>
          <w:sz w:val="18"/>
        </w:rPr>
        <w:t>. Coding of the positions of the legs</w:t>
      </w:r>
    </w:p>
    <w:p>
      <w:pPr>
        <w:spacing w:after="0"/>
        <w:jc w:val="left"/>
        <w:rPr>
          <w:sz w:val="18"/>
        </w:rPr>
        <w:sectPr>
          <w:footerReference w:type="default" r:id="rId261"/>
          <w:pgSz w:w="12240" w:h="15840"/>
          <w:pgMar w:footer="852" w:header="545" w:top="1060" w:bottom="1040" w:left="580" w:right="220"/>
          <w:cols w:num="2" w:equalWidth="0">
            <w:col w:w="5163" w:space="435"/>
            <w:col w:w="5842"/>
          </w:cols>
        </w:sectPr>
      </w:pPr>
    </w:p>
    <w:p>
      <w:pPr>
        <w:pStyle w:val="BodyText"/>
        <w:spacing w:before="4" w:after="1"/>
        <w:rPr>
          <w:sz w:val="18"/>
        </w:rPr>
      </w:pPr>
      <w:r>
        <w:rPr/>
        <w:drawing>
          <wp:anchor distT="0" distB="0" distL="0" distR="0" allowOverlap="1" layoutInCell="1" locked="0" behindDoc="0" simplePos="0" relativeHeight="8224">
            <wp:simplePos x="0" y="0"/>
            <wp:positionH relativeFrom="page">
              <wp:posOffset>5448300</wp:posOffset>
            </wp:positionH>
            <wp:positionV relativeFrom="page">
              <wp:posOffset>5420867</wp:posOffset>
            </wp:positionV>
            <wp:extent cx="848868" cy="848867"/>
            <wp:effectExtent l="0" t="0" r="0" b="0"/>
            <wp:wrapNone/>
            <wp:docPr id="291" name="image161.jpeg" descr=""/>
            <wp:cNvGraphicFramePr>
              <a:graphicFrameLocks noChangeAspect="1"/>
            </wp:cNvGraphicFramePr>
            <a:graphic>
              <a:graphicData uri="http://schemas.openxmlformats.org/drawingml/2006/picture">
                <pic:pic>
                  <pic:nvPicPr>
                    <pic:cNvPr id="292" name="image161.jpeg"/>
                    <pic:cNvPicPr/>
                  </pic:nvPicPr>
                  <pic:blipFill>
                    <a:blip r:embed="rId269" cstate="print"/>
                    <a:stretch>
                      <a:fillRect/>
                    </a:stretch>
                  </pic:blipFill>
                  <pic:spPr>
                    <a:xfrm>
                      <a:off x="0" y="0"/>
                      <a:ext cx="848868" cy="848867"/>
                    </a:xfrm>
                    <a:prstGeom prst="rect">
                      <a:avLst/>
                    </a:prstGeom>
                  </pic:spPr>
                </pic:pic>
              </a:graphicData>
            </a:graphic>
          </wp:anchor>
        </w:drawing>
      </w:r>
      <w:r>
        <w:rPr/>
        <w:drawing>
          <wp:anchor distT="0" distB="0" distL="0" distR="0" allowOverlap="1" layoutInCell="1" locked="0" behindDoc="0" simplePos="0" relativeHeight="8248">
            <wp:simplePos x="0" y="0"/>
            <wp:positionH relativeFrom="page">
              <wp:posOffset>5389626</wp:posOffset>
            </wp:positionH>
            <wp:positionV relativeFrom="page">
              <wp:posOffset>6275832</wp:posOffset>
            </wp:positionV>
            <wp:extent cx="965453" cy="877823"/>
            <wp:effectExtent l="0" t="0" r="0" b="0"/>
            <wp:wrapNone/>
            <wp:docPr id="293" name="image162.jpeg" descr=""/>
            <wp:cNvGraphicFramePr>
              <a:graphicFrameLocks noChangeAspect="1"/>
            </wp:cNvGraphicFramePr>
            <a:graphic>
              <a:graphicData uri="http://schemas.openxmlformats.org/drawingml/2006/picture">
                <pic:pic>
                  <pic:nvPicPr>
                    <pic:cNvPr id="294" name="image162.jpeg"/>
                    <pic:cNvPicPr/>
                  </pic:nvPicPr>
                  <pic:blipFill>
                    <a:blip r:embed="rId270" cstate="print"/>
                    <a:stretch>
                      <a:fillRect/>
                    </a:stretch>
                  </pic:blipFill>
                  <pic:spPr>
                    <a:xfrm>
                      <a:off x="0" y="0"/>
                      <a:ext cx="965453" cy="877823"/>
                    </a:xfrm>
                    <a:prstGeom prst="rect">
                      <a:avLst/>
                    </a:prstGeom>
                  </pic:spPr>
                </pic:pic>
              </a:graphicData>
            </a:graphic>
          </wp:anchor>
        </w:drawing>
      </w:r>
    </w:p>
    <w:p>
      <w:pPr>
        <w:pStyle w:val="BodyText"/>
        <w:tabs>
          <w:tab w:pos="7907" w:val="left" w:leader="none"/>
        </w:tabs>
        <w:ind w:left="158"/>
      </w:pPr>
      <w:r>
        <w:rPr/>
        <w:pict>
          <v:shape style="width:256.05pt;height:94.15pt;mso-position-horizontal-relative:char;mso-position-vertical-relative:line" type="#_x0000_t202" filled="false" stroked="false">
            <w10:anchorlock/>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58"/>
                    <w:gridCol w:w="1690"/>
                    <w:gridCol w:w="1559"/>
                  </w:tblGrid>
                  <w:tr>
                    <w:trPr>
                      <w:trHeight w:val="630" w:hRule="exact"/>
                    </w:trPr>
                    <w:tc>
                      <w:tcPr>
                        <w:tcW w:w="3547" w:type="dxa"/>
                        <w:gridSpan w:val="2"/>
                      </w:tcPr>
                      <w:p>
                        <w:pPr>
                          <w:pStyle w:val="TableParagraph"/>
                          <w:spacing w:before="10"/>
                          <w:rPr>
                            <w:sz w:val="17"/>
                          </w:rPr>
                        </w:pPr>
                      </w:p>
                      <w:p>
                        <w:pPr>
                          <w:pStyle w:val="TableParagraph"/>
                          <w:spacing w:before="1"/>
                          <w:ind w:left="1143"/>
                          <w:rPr>
                            <w:b/>
                            <w:sz w:val="18"/>
                          </w:rPr>
                        </w:pPr>
                        <w:r>
                          <w:rPr>
                            <w:b/>
                            <w:sz w:val="18"/>
                          </w:rPr>
                          <w:t>Position of arms</w:t>
                        </w:r>
                      </w:p>
                    </w:tc>
                    <w:tc>
                      <w:tcPr>
                        <w:tcW w:w="1559" w:type="dxa"/>
                      </w:tcPr>
                      <w:p>
                        <w:pPr>
                          <w:pStyle w:val="TableParagraph"/>
                          <w:ind w:left="204" w:right="202"/>
                          <w:jc w:val="center"/>
                          <w:rPr>
                            <w:b/>
                            <w:sz w:val="18"/>
                          </w:rPr>
                        </w:pPr>
                        <w:r>
                          <w:rPr>
                            <w:b/>
                            <w:sz w:val="18"/>
                          </w:rPr>
                          <w:t>Second digit of the code's position</w:t>
                        </w:r>
                      </w:p>
                    </w:tc>
                  </w:tr>
                  <w:tr>
                    <w:trPr>
                      <w:trHeight w:val="1243" w:hRule="exact"/>
                    </w:trPr>
                    <w:tc>
                      <w:tcPr>
                        <w:tcW w:w="1858" w:type="dxa"/>
                      </w:tcPr>
                      <w:p>
                        <w:pPr>
                          <w:pStyle w:val="TableParagraph"/>
                          <w:ind w:left="103" w:right="100"/>
                          <w:rPr>
                            <w:sz w:val="18"/>
                          </w:rPr>
                        </w:pPr>
                        <w:r>
                          <w:rPr>
                            <w:b/>
                            <w:sz w:val="18"/>
                          </w:rPr>
                          <w:t>The two lower arms </w:t>
                        </w:r>
                        <w:r>
                          <w:rPr>
                            <w:sz w:val="18"/>
                          </w:rPr>
                          <w:t>Both arms of the worker are located below the level of the shoulders.</w:t>
                        </w:r>
                      </w:p>
                    </w:tc>
                    <w:tc>
                      <w:tcPr>
                        <w:tcW w:w="1690" w:type="dxa"/>
                      </w:tcPr>
                      <w:p>
                        <w:pPr>
                          <w:pStyle w:val="TableParagraph"/>
                          <w:ind w:left="279"/>
                          <w:rPr>
                            <w:sz w:val="20"/>
                          </w:rPr>
                        </w:pPr>
                        <w:r>
                          <w:rPr>
                            <w:sz w:val="20"/>
                          </w:rPr>
                          <w:drawing>
                            <wp:inline distT="0" distB="0" distL="0" distR="0">
                              <wp:extent cx="706273" cy="777430"/>
                              <wp:effectExtent l="0" t="0" r="0" b="0"/>
                              <wp:docPr id="295" name="image163.jpeg" descr=""/>
                              <wp:cNvGraphicFramePr>
                                <a:graphicFrameLocks noChangeAspect="1"/>
                              </wp:cNvGraphicFramePr>
                              <a:graphic>
                                <a:graphicData uri="http://schemas.openxmlformats.org/drawingml/2006/picture">
                                  <pic:pic>
                                    <pic:nvPicPr>
                                      <pic:cNvPr id="296" name="image163.jpeg"/>
                                      <pic:cNvPicPr/>
                                    </pic:nvPicPr>
                                    <pic:blipFill>
                                      <a:blip r:embed="rId271" cstate="print"/>
                                      <a:stretch>
                                        <a:fillRect/>
                                      </a:stretch>
                                    </pic:blipFill>
                                    <pic:spPr>
                                      <a:xfrm>
                                        <a:off x="0" y="0"/>
                                        <a:ext cx="706273" cy="777430"/>
                                      </a:xfrm>
                                      <a:prstGeom prst="rect">
                                        <a:avLst/>
                                      </a:prstGeom>
                                    </pic:spPr>
                                  </pic:pic>
                                </a:graphicData>
                              </a:graphic>
                            </wp:inline>
                          </w:drawing>
                        </w:r>
                        <w:r>
                          <w:rPr>
                            <w:sz w:val="20"/>
                          </w:rPr>
                        </w:r>
                      </w:p>
                    </w:tc>
                    <w:tc>
                      <w:tcPr>
                        <w:tcW w:w="1559" w:type="dxa"/>
                      </w:tcPr>
                      <w:p>
                        <w:pPr>
                          <w:pStyle w:val="TableParagraph"/>
                          <w:rPr>
                            <w:sz w:val="18"/>
                          </w:rPr>
                        </w:pPr>
                      </w:p>
                      <w:p>
                        <w:pPr>
                          <w:pStyle w:val="TableParagraph"/>
                          <w:rPr>
                            <w:sz w:val="18"/>
                          </w:rPr>
                        </w:pPr>
                      </w:p>
                      <w:p>
                        <w:pPr>
                          <w:pStyle w:val="TableParagraph"/>
                          <w:spacing w:before="10"/>
                          <w:rPr>
                            <w:sz w:val="17"/>
                          </w:rPr>
                        </w:pPr>
                      </w:p>
                      <w:p>
                        <w:pPr>
                          <w:pStyle w:val="TableParagraph"/>
                          <w:spacing w:before="1"/>
                          <w:jc w:val="center"/>
                          <w:rPr>
                            <w:b/>
                            <w:sz w:val="18"/>
                          </w:rPr>
                        </w:pPr>
                        <w:r>
                          <w:rPr>
                            <w:b/>
                            <w:sz w:val="18"/>
                          </w:rPr>
                          <w:t>1</w:t>
                        </w:r>
                      </w:p>
                    </w:tc>
                  </w:tr>
                </w:tbl>
                <w:p>
                  <w:pPr>
                    <w:pStyle w:val="BodyText"/>
                  </w:pPr>
                </w:p>
              </w:txbxContent>
            </v:textbox>
          </v:shape>
        </w:pict>
      </w:r>
      <w:r>
        <w:rPr/>
      </w:r>
      <w:r>
        <w:rPr/>
        <w:tab/>
      </w:r>
      <w:r>
        <w:rPr>
          <w:position w:val="27"/>
        </w:rPr>
        <w:drawing>
          <wp:inline distT="0" distB="0" distL="0" distR="0">
            <wp:extent cx="960873" cy="859250"/>
            <wp:effectExtent l="0" t="0" r="0" b="0"/>
            <wp:docPr id="297" name="image164.jpeg" descr=""/>
            <wp:cNvGraphicFramePr>
              <a:graphicFrameLocks noChangeAspect="1"/>
            </wp:cNvGraphicFramePr>
            <a:graphic>
              <a:graphicData uri="http://schemas.openxmlformats.org/drawingml/2006/picture">
                <pic:pic>
                  <pic:nvPicPr>
                    <pic:cNvPr id="298" name="image164.jpeg"/>
                    <pic:cNvPicPr/>
                  </pic:nvPicPr>
                  <pic:blipFill>
                    <a:blip r:embed="rId272" cstate="print"/>
                    <a:stretch>
                      <a:fillRect/>
                    </a:stretch>
                  </pic:blipFill>
                  <pic:spPr>
                    <a:xfrm>
                      <a:off x="0" y="0"/>
                      <a:ext cx="960873" cy="859250"/>
                    </a:xfrm>
                    <a:prstGeom prst="rect">
                      <a:avLst/>
                    </a:prstGeom>
                  </pic:spPr>
                </pic:pic>
              </a:graphicData>
            </a:graphic>
          </wp:inline>
        </w:drawing>
      </w:r>
      <w:r>
        <w:rPr>
          <w:position w:val="27"/>
        </w:rPr>
      </w:r>
    </w:p>
    <w:p>
      <w:pPr>
        <w:spacing w:after="0"/>
        <w:sectPr>
          <w:type w:val="continuous"/>
          <w:pgSz w:w="12240" w:h="15840"/>
          <w:pgMar w:top="1500" w:bottom="280" w:left="580" w:right="220"/>
        </w:sectPr>
      </w:pPr>
    </w:p>
    <w:p>
      <w:pPr>
        <w:pStyle w:val="BodyText"/>
        <w:spacing w:before="3"/>
        <w:rPr>
          <w:sz w:val="11"/>
        </w:rPr>
      </w:pPr>
    </w:p>
    <w:p>
      <w:pPr>
        <w:pStyle w:val="ListParagraph"/>
        <w:numPr>
          <w:ilvl w:val="2"/>
          <w:numId w:val="70"/>
        </w:numPr>
        <w:tabs>
          <w:tab w:pos="6707" w:val="left" w:leader="none"/>
        </w:tabs>
        <w:spacing w:line="240" w:lineRule="auto" w:before="77" w:after="0"/>
        <w:ind w:left="5868" w:right="680" w:firstLine="0"/>
        <w:jc w:val="both"/>
        <w:rPr>
          <w:b/>
          <w:sz w:val="18"/>
        </w:rPr>
      </w:pPr>
      <w:r>
        <w:rPr/>
        <w:drawing>
          <wp:anchor distT="0" distB="0" distL="0" distR="0" allowOverlap="1" layoutInCell="1" locked="0" behindDoc="0" simplePos="0" relativeHeight="8296">
            <wp:simplePos x="0" y="0"/>
            <wp:positionH relativeFrom="page">
              <wp:posOffset>1834895</wp:posOffset>
            </wp:positionH>
            <wp:positionV relativeFrom="paragraph">
              <wp:posOffset>186850</wp:posOffset>
            </wp:positionV>
            <wp:extent cx="965454" cy="863346"/>
            <wp:effectExtent l="0" t="0" r="0" b="0"/>
            <wp:wrapNone/>
            <wp:docPr id="299" name="image165.jpeg" descr=""/>
            <wp:cNvGraphicFramePr>
              <a:graphicFrameLocks noChangeAspect="1"/>
            </wp:cNvGraphicFramePr>
            <a:graphic>
              <a:graphicData uri="http://schemas.openxmlformats.org/drawingml/2006/picture">
                <pic:pic>
                  <pic:nvPicPr>
                    <pic:cNvPr id="300" name="image165.jpeg"/>
                    <pic:cNvPicPr/>
                  </pic:nvPicPr>
                  <pic:blipFill>
                    <a:blip r:embed="rId274" cstate="print"/>
                    <a:stretch>
                      <a:fillRect/>
                    </a:stretch>
                  </pic:blipFill>
                  <pic:spPr>
                    <a:xfrm>
                      <a:off x="0" y="0"/>
                      <a:ext cx="965454" cy="863346"/>
                    </a:xfrm>
                    <a:prstGeom prst="rect">
                      <a:avLst/>
                    </a:prstGeom>
                  </pic:spPr>
                </pic:pic>
              </a:graphicData>
            </a:graphic>
          </wp:anchor>
        </w:drawing>
      </w:r>
      <w:r>
        <w:rPr/>
        <w:pict>
          <v:shape style="position:absolute;margin-left:43.98pt;margin-top:3.912671pt;width:241.9pt;height:266.1pt;mso-position-horizontal-relative:page;mso-position-vertical-relative:paragraph;z-index:8344"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97"/>
                    <w:gridCol w:w="1738"/>
                    <w:gridCol w:w="1188"/>
                  </w:tblGrid>
                  <w:tr>
                    <w:trPr>
                      <w:trHeight w:val="2700" w:hRule="exact"/>
                    </w:trPr>
                    <w:tc>
                      <w:tcPr>
                        <w:tcW w:w="1897" w:type="dxa"/>
                      </w:tcPr>
                      <w:p>
                        <w:pPr>
                          <w:pStyle w:val="TableParagraph"/>
                          <w:tabs>
                            <w:tab w:pos="1235" w:val="left" w:leader="none"/>
                          </w:tabs>
                          <w:ind w:left="103" w:right="98"/>
                          <w:jc w:val="both"/>
                          <w:rPr>
                            <w:sz w:val="18"/>
                          </w:rPr>
                        </w:pPr>
                        <w:r>
                          <w:rPr>
                            <w:sz w:val="18"/>
                          </w:rPr>
                          <w:t>Standing or squatting with both legs bent and weight</w:t>
                          <w:tab/>
                          <w:t>balance between the</w:t>
                        </w:r>
                        <w:r>
                          <w:rPr>
                            <w:spacing w:val="-3"/>
                            <w:sz w:val="18"/>
                          </w:rPr>
                          <w:t> </w:t>
                        </w:r>
                        <w:r>
                          <w:rPr>
                            <w:sz w:val="18"/>
                          </w:rPr>
                          <w:t>two</w:t>
                        </w:r>
                      </w:p>
                      <w:p>
                        <w:pPr>
                          <w:pStyle w:val="TableParagraph"/>
                          <w:rPr>
                            <w:sz w:val="18"/>
                          </w:rPr>
                        </w:pPr>
                      </w:p>
                      <w:p>
                        <w:pPr>
                          <w:pStyle w:val="TableParagraph"/>
                          <w:tabs>
                            <w:tab w:pos="1245" w:val="left" w:leader="none"/>
                          </w:tabs>
                          <w:ind w:left="103" w:right="99"/>
                          <w:rPr>
                            <w:sz w:val="18"/>
                          </w:rPr>
                        </w:pPr>
                        <w:r>
                          <w:rPr>
                            <w:sz w:val="18"/>
                          </w:rPr>
                          <w:t>It can be considered to occur for angles less than or equal to 150 ° muslo-pantorrilla (Mattila et al., 1999). Larger angles will be considered</w:t>
                          <w:tab/>
                          <w:t>straight legs.</w:t>
                        </w:r>
                      </w:p>
                    </w:tc>
                    <w:tc>
                      <w:tcPr>
                        <w:tcW w:w="1738" w:type="dxa"/>
                      </w:tcPr>
                      <w:p>
                        <w:pPr>
                          <w:pStyle w:val="TableParagraph"/>
                          <w:spacing w:before="10" w:after="1"/>
                          <w:rPr>
                            <w:sz w:val="17"/>
                          </w:rPr>
                        </w:pPr>
                      </w:p>
                      <w:p>
                        <w:pPr>
                          <w:pStyle w:val="TableParagraph"/>
                          <w:ind w:left="103"/>
                          <w:rPr>
                            <w:sz w:val="20"/>
                          </w:rPr>
                        </w:pPr>
                        <w:r>
                          <w:rPr>
                            <w:sz w:val="20"/>
                          </w:rPr>
                          <w:drawing>
                            <wp:inline distT="0" distB="0" distL="0" distR="0">
                              <wp:extent cx="970140" cy="867536"/>
                              <wp:effectExtent l="0" t="0" r="0" b="0"/>
                              <wp:docPr id="301" name="image165.jpeg" descr=""/>
                              <wp:cNvGraphicFramePr>
                                <a:graphicFrameLocks noChangeAspect="1"/>
                              </wp:cNvGraphicFramePr>
                              <a:graphic>
                                <a:graphicData uri="http://schemas.openxmlformats.org/drawingml/2006/picture">
                                  <pic:pic>
                                    <pic:nvPicPr>
                                      <pic:cNvPr id="302" name="image165.jpeg"/>
                                      <pic:cNvPicPr/>
                                    </pic:nvPicPr>
                                    <pic:blipFill>
                                      <a:blip r:embed="rId274" cstate="print"/>
                                      <a:stretch>
                                        <a:fillRect/>
                                      </a:stretch>
                                    </pic:blipFill>
                                    <pic:spPr>
                                      <a:xfrm>
                                        <a:off x="0" y="0"/>
                                        <a:ext cx="970140" cy="867536"/>
                                      </a:xfrm>
                                      <a:prstGeom prst="rect">
                                        <a:avLst/>
                                      </a:prstGeom>
                                    </pic:spPr>
                                  </pic:pic>
                                </a:graphicData>
                              </a:graphic>
                            </wp:inline>
                          </w:drawing>
                        </w:r>
                        <w:r>
                          <w:rPr>
                            <w:sz w:val="20"/>
                          </w:rPr>
                        </w: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1"/>
                          <w:rPr>
                            <w:sz w:val="17"/>
                          </w:rPr>
                        </w:pPr>
                      </w:p>
                    </w:tc>
                    <w:tc>
                      <w:tcPr>
                        <w:tcW w:w="1188" w:type="dxa"/>
                      </w:tcPr>
                      <w:p>
                        <w:pPr>
                          <w:pStyle w:val="TableParagraph"/>
                          <w:rPr>
                            <w:sz w:val="18"/>
                          </w:rPr>
                        </w:pPr>
                      </w:p>
                      <w:p>
                        <w:pPr>
                          <w:pStyle w:val="TableParagraph"/>
                          <w:rPr>
                            <w:sz w:val="18"/>
                          </w:rPr>
                        </w:pPr>
                      </w:p>
                      <w:p>
                        <w:pPr>
                          <w:pStyle w:val="TableParagraph"/>
                          <w:spacing w:before="6"/>
                          <w:rPr>
                            <w:sz w:val="17"/>
                          </w:rPr>
                        </w:pPr>
                      </w:p>
                      <w:p>
                        <w:pPr>
                          <w:pStyle w:val="TableParagraph"/>
                          <w:ind w:right="1"/>
                          <w:jc w:val="center"/>
                          <w:rPr>
                            <w:sz w:val="18"/>
                          </w:rPr>
                        </w:pPr>
                        <w:r>
                          <w:rPr>
                            <w:sz w:val="18"/>
                          </w:rPr>
                          <w:t>5</w:t>
                        </w:r>
                      </w:p>
                    </w:tc>
                  </w:tr>
                  <w:tr>
                    <w:trPr>
                      <w:trHeight w:val="1301" w:hRule="exact"/>
                    </w:trPr>
                    <w:tc>
                      <w:tcPr>
                        <w:tcW w:w="1897" w:type="dxa"/>
                      </w:tcPr>
                      <w:p>
                        <w:pPr>
                          <w:pStyle w:val="TableParagraph"/>
                          <w:spacing w:line="203" w:lineRule="exact"/>
                          <w:ind w:left="103"/>
                          <w:jc w:val="both"/>
                          <w:rPr>
                            <w:sz w:val="18"/>
                          </w:rPr>
                        </w:pPr>
                        <w:r>
                          <w:rPr>
                            <w:sz w:val="18"/>
                          </w:rPr>
                          <w:t>Kneeling</w:t>
                        </w:r>
                      </w:p>
                      <w:p>
                        <w:pPr>
                          <w:pStyle w:val="TableParagraph"/>
                          <w:ind w:left="103" w:right="101"/>
                          <w:jc w:val="both"/>
                          <w:rPr>
                            <w:sz w:val="18"/>
                          </w:rPr>
                        </w:pPr>
                        <w:r>
                          <w:rPr>
                            <w:sz w:val="18"/>
                          </w:rPr>
                          <w:t>Worker supports one or both knees on the ground.</w:t>
                        </w:r>
                      </w:p>
                    </w:tc>
                    <w:tc>
                      <w:tcPr>
                        <w:tcW w:w="1738" w:type="dxa"/>
                      </w:tcPr>
                      <w:p>
                        <w:pPr/>
                      </w:p>
                    </w:tc>
                    <w:tc>
                      <w:tcPr>
                        <w:tcW w:w="1188" w:type="dxa"/>
                      </w:tcPr>
                      <w:p>
                        <w:pPr>
                          <w:pStyle w:val="TableParagraph"/>
                          <w:rPr>
                            <w:sz w:val="18"/>
                          </w:rPr>
                        </w:pPr>
                      </w:p>
                      <w:p>
                        <w:pPr>
                          <w:pStyle w:val="TableParagraph"/>
                          <w:spacing w:before="7"/>
                          <w:rPr>
                            <w:sz w:val="17"/>
                          </w:rPr>
                        </w:pPr>
                      </w:p>
                      <w:p>
                        <w:pPr>
                          <w:pStyle w:val="TableParagraph"/>
                          <w:spacing w:before="1"/>
                          <w:ind w:right="1"/>
                          <w:jc w:val="center"/>
                          <w:rPr>
                            <w:sz w:val="18"/>
                          </w:rPr>
                        </w:pPr>
                        <w:r>
                          <w:rPr>
                            <w:sz w:val="18"/>
                          </w:rPr>
                          <w:t>6</w:t>
                        </w:r>
                      </w:p>
                    </w:tc>
                  </w:tr>
                  <w:tr>
                    <w:trPr>
                      <w:trHeight w:val="1312" w:hRule="exact"/>
                    </w:trPr>
                    <w:tc>
                      <w:tcPr>
                        <w:tcW w:w="1897" w:type="dxa"/>
                      </w:tcPr>
                      <w:p>
                        <w:pPr>
                          <w:pStyle w:val="TableParagraph"/>
                          <w:spacing w:before="7"/>
                          <w:rPr>
                            <w:sz w:val="17"/>
                          </w:rPr>
                        </w:pPr>
                      </w:p>
                      <w:p>
                        <w:pPr>
                          <w:pStyle w:val="TableParagraph"/>
                          <w:ind w:left="103" w:right="98"/>
                          <w:rPr>
                            <w:sz w:val="18"/>
                          </w:rPr>
                        </w:pPr>
                        <w:r>
                          <w:rPr>
                            <w:sz w:val="18"/>
                          </w:rPr>
                          <w:t>Walking</w:t>
                        </w:r>
                      </w:p>
                    </w:tc>
                    <w:tc>
                      <w:tcPr>
                        <w:tcW w:w="1738" w:type="dxa"/>
                      </w:tcPr>
                      <w:p>
                        <w:pPr/>
                      </w:p>
                    </w:tc>
                    <w:tc>
                      <w:tcPr>
                        <w:tcW w:w="1188" w:type="dxa"/>
                      </w:tcPr>
                      <w:p>
                        <w:pPr>
                          <w:pStyle w:val="TableParagraph"/>
                          <w:rPr>
                            <w:sz w:val="18"/>
                          </w:rPr>
                        </w:pPr>
                      </w:p>
                      <w:p>
                        <w:pPr>
                          <w:pStyle w:val="TableParagraph"/>
                          <w:spacing w:before="6"/>
                          <w:rPr>
                            <w:sz w:val="17"/>
                          </w:rPr>
                        </w:pPr>
                      </w:p>
                      <w:p>
                        <w:pPr>
                          <w:pStyle w:val="TableParagraph"/>
                          <w:ind w:right="1"/>
                          <w:jc w:val="center"/>
                          <w:rPr>
                            <w:sz w:val="18"/>
                          </w:rPr>
                        </w:pPr>
                        <w:r>
                          <w:rPr>
                            <w:sz w:val="18"/>
                          </w:rPr>
                          <w:t>7</w:t>
                        </w:r>
                      </w:p>
                    </w:tc>
                  </w:tr>
                </w:tbl>
                <w:p>
                  <w:pPr>
                    <w:pStyle w:val="BodyText"/>
                  </w:pPr>
                </w:p>
              </w:txbxContent>
            </v:textbox>
            <w10:wrap type="none"/>
          </v:shape>
        </w:pict>
      </w:r>
      <w:r>
        <w:rPr>
          <w:b/>
          <w:sz w:val="18"/>
        </w:rPr>
        <w:t>Loads and forces supported: fourth digit "Code position".</w:t>
      </w:r>
    </w:p>
    <w:p>
      <w:pPr>
        <w:pStyle w:val="BodyText"/>
        <w:spacing w:before="7"/>
        <w:rPr>
          <w:b/>
          <w:sz w:val="17"/>
        </w:rPr>
      </w:pPr>
    </w:p>
    <w:p>
      <w:pPr>
        <w:spacing w:before="1"/>
        <w:ind w:left="5868" w:right="676" w:firstLine="44"/>
        <w:jc w:val="both"/>
        <w:rPr>
          <w:sz w:val="18"/>
        </w:rPr>
      </w:pPr>
      <w:r>
        <w:rPr>
          <w:sz w:val="18"/>
        </w:rPr>
        <w:t>Finally, you should determine to what range of loads, from among the three proposed by the method, belongs which worker raises when it adopts the posture. Table 4 query will allow the evaluator  to assign the fourth digit of the code in configuration, ending at this point encoding of position for a single task (simple assessment) studies.</w:t>
      </w:r>
    </w:p>
    <w:p>
      <w:pPr>
        <w:pStyle w:val="BodyText"/>
        <w:rPr>
          <w:sz w:val="18"/>
        </w:rPr>
      </w:pPr>
    </w:p>
    <w:p>
      <w:pPr>
        <w:spacing w:before="0"/>
        <w:ind w:left="6598" w:right="1218" w:firstLine="0"/>
        <w:jc w:val="left"/>
        <w:rPr>
          <w:sz w:val="18"/>
        </w:rPr>
      </w:pPr>
      <w:r>
        <w:rPr>
          <w:b/>
          <w:sz w:val="18"/>
        </w:rPr>
        <w:t>Table 4</w:t>
      </w:r>
      <w:r>
        <w:rPr>
          <w:sz w:val="18"/>
        </w:rPr>
        <w:t>. Coding of supported load and strength</w:t>
      </w:r>
    </w:p>
    <w:p>
      <w:pPr>
        <w:pStyle w:val="BodyText"/>
        <w:spacing w:before="3"/>
        <w:rPr>
          <w:sz w:val="18"/>
        </w:rPr>
      </w:pPr>
    </w:p>
    <w:tbl>
      <w:tblPr>
        <w:tblW w:w="0" w:type="auto"/>
        <w:jc w:val="left"/>
        <w:tblInd w:w="59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02"/>
        <w:gridCol w:w="1913"/>
      </w:tblGrid>
      <w:tr>
        <w:trPr>
          <w:trHeight w:val="425" w:hRule="exact"/>
        </w:trPr>
        <w:tc>
          <w:tcPr>
            <w:tcW w:w="2802" w:type="dxa"/>
          </w:tcPr>
          <w:p>
            <w:pPr>
              <w:pStyle w:val="TableParagraph"/>
              <w:ind w:left="327"/>
              <w:rPr>
                <w:b/>
                <w:sz w:val="18"/>
              </w:rPr>
            </w:pPr>
            <w:r>
              <w:rPr>
                <w:b/>
                <w:sz w:val="18"/>
              </w:rPr>
              <w:t>Loads and forces supported</w:t>
            </w:r>
          </w:p>
        </w:tc>
        <w:tc>
          <w:tcPr>
            <w:tcW w:w="1913" w:type="dxa"/>
          </w:tcPr>
          <w:p>
            <w:pPr>
              <w:pStyle w:val="TableParagraph"/>
              <w:ind w:left="587" w:right="267" w:hanging="301"/>
              <w:rPr>
                <w:b/>
                <w:sz w:val="18"/>
              </w:rPr>
            </w:pPr>
            <w:r>
              <w:rPr>
                <w:b/>
                <w:sz w:val="18"/>
              </w:rPr>
              <w:t>Fourth digit code positions.</w:t>
            </w:r>
          </w:p>
        </w:tc>
      </w:tr>
      <w:tr>
        <w:trPr>
          <w:trHeight w:val="217" w:hRule="exact"/>
        </w:trPr>
        <w:tc>
          <w:tcPr>
            <w:tcW w:w="2802" w:type="dxa"/>
          </w:tcPr>
          <w:p>
            <w:pPr>
              <w:pStyle w:val="TableParagraph"/>
              <w:spacing w:line="202" w:lineRule="exact"/>
              <w:ind w:left="103"/>
              <w:rPr>
                <w:sz w:val="18"/>
              </w:rPr>
            </w:pPr>
            <w:r>
              <w:rPr>
                <w:sz w:val="18"/>
              </w:rPr>
              <w:t>Less than 10 kg.</w:t>
            </w:r>
          </w:p>
        </w:tc>
        <w:tc>
          <w:tcPr>
            <w:tcW w:w="1913" w:type="dxa"/>
          </w:tcPr>
          <w:p>
            <w:pPr>
              <w:pStyle w:val="TableParagraph"/>
              <w:spacing w:line="202" w:lineRule="exact"/>
              <w:ind w:left="905"/>
              <w:rPr>
                <w:sz w:val="18"/>
              </w:rPr>
            </w:pPr>
            <w:r>
              <w:rPr>
                <w:sz w:val="18"/>
              </w:rPr>
              <w:t>1</w:t>
            </w:r>
          </w:p>
        </w:tc>
      </w:tr>
      <w:tr>
        <w:trPr>
          <w:trHeight w:val="216" w:hRule="exact"/>
        </w:trPr>
        <w:tc>
          <w:tcPr>
            <w:tcW w:w="2802" w:type="dxa"/>
          </w:tcPr>
          <w:p>
            <w:pPr>
              <w:pStyle w:val="TableParagraph"/>
              <w:spacing w:line="202" w:lineRule="exact"/>
              <w:ind w:left="103"/>
              <w:rPr>
                <w:sz w:val="18"/>
              </w:rPr>
            </w:pPr>
            <w:r>
              <w:rPr>
                <w:sz w:val="18"/>
              </w:rPr>
              <w:t>Between 10 and 20 kilograms.</w:t>
            </w:r>
          </w:p>
        </w:tc>
        <w:tc>
          <w:tcPr>
            <w:tcW w:w="1913" w:type="dxa"/>
          </w:tcPr>
          <w:p>
            <w:pPr>
              <w:pStyle w:val="TableParagraph"/>
              <w:spacing w:line="202" w:lineRule="exact"/>
              <w:ind w:left="906"/>
              <w:rPr>
                <w:sz w:val="18"/>
              </w:rPr>
            </w:pPr>
            <w:r>
              <w:rPr>
                <w:sz w:val="18"/>
              </w:rPr>
              <w:t>2</w:t>
            </w:r>
          </w:p>
        </w:tc>
      </w:tr>
      <w:tr>
        <w:trPr>
          <w:trHeight w:val="218" w:hRule="exact"/>
        </w:trPr>
        <w:tc>
          <w:tcPr>
            <w:tcW w:w="2802" w:type="dxa"/>
          </w:tcPr>
          <w:p>
            <w:pPr>
              <w:pStyle w:val="TableParagraph"/>
              <w:spacing w:line="203" w:lineRule="exact"/>
              <w:ind w:left="103"/>
              <w:rPr>
                <w:sz w:val="18"/>
              </w:rPr>
            </w:pPr>
            <w:r>
              <w:rPr>
                <w:sz w:val="18"/>
              </w:rPr>
              <w:t>More than 20 kg.</w:t>
            </w:r>
          </w:p>
        </w:tc>
        <w:tc>
          <w:tcPr>
            <w:tcW w:w="1913" w:type="dxa"/>
          </w:tcPr>
          <w:p>
            <w:pPr>
              <w:pStyle w:val="TableParagraph"/>
              <w:spacing w:line="203" w:lineRule="exact"/>
              <w:ind w:left="906"/>
              <w:rPr>
                <w:sz w:val="18"/>
              </w:rPr>
            </w:pPr>
            <w:r>
              <w:rPr>
                <w:sz w:val="18"/>
              </w:rPr>
              <w:t>3</w:t>
            </w:r>
          </w:p>
        </w:tc>
      </w:tr>
    </w:tbl>
    <w:p>
      <w:pPr>
        <w:pStyle w:val="BodyText"/>
        <w:spacing w:before="1"/>
        <w:rPr>
          <w:sz w:val="11"/>
        </w:rPr>
      </w:pPr>
    </w:p>
    <w:p>
      <w:pPr>
        <w:pStyle w:val="ListParagraph"/>
        <w:numPr>
          <w:ilvl w:val="2"/>
          <w:numId w:val="70"/>
        </w:numPr>
        <w:tabs>
          <w:tab w:pos="6454" w:val="left" w:leader="none"/>
        </w:tabs>
        <w:spacing w:line="240" w:lineRule="auto" w:before="77" w:after="0"/>
        <w:ind w:left="6453" w:right="0" w:hanging="585"/>
        <w:jc w:val="both"/>
        <w:rPr>
          <w:b/>
          <w:sz w:val="18"/>
        </w:rPr>
      </w:pPr>
      <w:r>
        <w:rPr/>
        <w:drawing>
          <wp:anchor distT="0" distB="0" distL="0" distR="0" allowOverlap="1" layoutInCell="1" locked="0" behindDoc="0" simplePos="0" relativeHeight="8320">
            <wp:simplePos x="0" y="0"/>
            <wp:positionH relativeFrom="page">
              <wp:posOffset>1834895</wp:posOffset>
            </wp:positionH>
            <wp:positionV relativeFrom="paragraph">
              <wp:posOffset>-626211</wp:posOffset>
            </wp:positionV>
            <wp:extent cx="965454" cy="1652015"/>
            <wp:effectExtent l="0" t="0" r="0" b="0"/>
            <wp:wrapNone/>
            <wp:docPr id="303" name="image166.png" descr=""/>
            <wp:cNvGraphicFramePr>
              <a:graphicFrameLocks noChangeAspect="1"/>
            </wp:cNvGraphicFramePr>
            <a:graphic>
              <a:graphicData uri="http://schemas.openxmlformats.org/drawingml/2006/picture">
                <pic:pic>
                  <pic:nvPicPr>
                    <pic:cNvPr id="304" name="image166.png"/>
                    <pic:cNvPicPr/>
                  </pic:nvPicPr>
                  <pic:blipFill>
                    <a:blip r:embed="rId275" cstate="print"/>
                    <a:stretch>
                      <a:fillRect/>
                    </a:stretch>
                  </pic:blipFill>
                  <pic:spPr>
                    <a:xfrm>
                      <a:off x="0" y="0"/>
                      <a:ext cx="965454" cy="1652015"/>
                    </a:xfrm>
                    <a:prstGeom prst="rect">
                      <a:avLst/>
                    </a:prstGeom>
                  </pic:spPr>
                </pic:pic>
              </a:graphicData>
            </a:graphic>
          </wp:anchor>
        </w:drawing>
      </w:r>
      <w:r>
        <w:rPr>
          <w:b/>
          <w:sz w:val="18"/>
        </w:rPr>
        <w:t>Phase encoding: fifth digit "Code</w:t>
      </w:r>
      <w:r>
        <w:rPr>
          <w:b/>
          <w:spacing w:val="-2"/>
          <w:sz w:val="18"/>
        </w:rPr>
        <w:t> </w:t>
      </w:r>
      <w:r>
        <w:rPr>
          <w:b/>
          <w:sz w:val="18"/>
        </w:rPr>
        <w:t>position".</w:t>
      </w:r>
    </w:p>
    <w:p>
      <w:pPr>
        <w:pStyle w:val="BodyText"/>
        <w:spacing w:before="7"/>
        <w:rPr>
          <w:b/>
          <w:sz w:val="17"/>
        </w:rPr>
      </w:pPr>
    </w:p>
    <w:p>
      <w:pPr>
        <w:spacing w:before="1"/>
        <w:ind w:left="5868" w:right="678" w:firstLine="0"/>
        <w:jc w:val="both"/>
        <w:rPr>
          <w:sz w:val="18"/>
        </w:rPr>
      </w:pPr>
      <w:r>
        <w:rPr>
          <w:sz w:val="18"/>
        </w:rPr>
        <w:t>The fifth digit "Code position", identifies the phase which has been observed in the stance, therefore, this value only makes sense to those observations in which the evaluator, typically for reasons of clarity and simplification, decides to divide the task object of study in more than one phase.</w:t>
      </w:r>
    </w:p>
    <w:p>
      <w:pPr>
        <w:spacing w:after="0"/>
        <w:jc w:val="both"/>
        <w:rPr>
          <w:sz w:val="18"/>
        </w:rPr>
        <w:sectPr>
          <w:footerReference w:type="default" r:id="rId273"/>
          <w:pgSz w:w="12240" w:h="15840"/>
          <w:pgMar w:footer="852" w:header="545" w:top="1060" w:bottom="1040" w:left="580" w:right="220"/>
        </w:sectPr>
      </w:pPr>
    </w:p>
    <w:p>
      <w:pPr>
        <w:pStyle w:val="BodyText"/>
        <w:rPr>
          <w:sz w:val="11"/>
        </w:rPr>
      </w:pPr>
    </w:p>
    <w:p>
      <w:pPr>
        <w:spacing w:after="0"/>
        <w:rPr>
          <w:sz w:val="11"/>
        </w:rPr>
        <w:sectPr>
          <w:footerReference w:type="default" r:id="rId276"/>
          <w:pgSz w:w="12240" w:h="15840"/>
          <w:pgMar w:footer="553" w:header="545" w:top="1060" w:bottom="740" w:left="580" w:right="220"/>
        </w:sectPr>
      </w:pPr>
    </w:p>
    <w:p>
      <w:pPr>
        <w:pStyle w:val="ListParagraph"/>
        <w:numPr>
          <w:ilvl w:val="2"/>
          <w:numId w:val="70"/>
        </w:numPr>
        <w:tabs>
          <w:tab w:pos="856" w:val="left" w:leader="none"/>
        </w:tabs>
        <w:spacing w:line="240" w:lineRule="auto" w:before="80" w:after="0"/>
        <w:ind w:left="855" w:right="0" w:hanging="585"/>
        <w:jc w:val="both"/>
        <w:rPr>
          <w:b/>
          <w:sz w:val="18"/>
        </w:rPr>
      </w:pPr>
      <w:r>
        <w:rPr>
          <w:b/>
          <w:sz w:val="18"/>
        </w:rPr>
        <w:t>Risk</w:t>
      </w:r>
      <w:r>
        <w:rPr>
          <w:b/>
          <w:spacing w:val="-2"/>
          <w:sz w:val="18"/>
        </w:rPr>
        <w:t> </w:t>
      </w:r>
      <w:r>
        <w:rPr>
          <w:b/>
          <w:sz w:val="18"/>
        </w:rPr>
        <w:t>categories.</w:t>
      </w:r>
    </w:p>
    <w:p>
      <w:pPr>
        <w:pStyle w:val="BodyText"/>
        <w:spacing w:before="7"/>
        <w:rPr>
          <w:b/>
          <w:sz w:val="17"/>
        </w:rPr>
      </w:pPr>
    </w:p>
    <w:p>
      <w:pPr>
        <w:spacing w:before="1"/>
        <w:ind w:left="270" w:right="0" w:firstLine="0"/>
        <w:jc w:val="both"/>
        <w:rPr>
          <w:sz w:val="18"/>
        </w:rPr>
      </w:pPr>
      <w:r>
        <w:rPr>
          <w:sz w:val="18"/>
        </w:rPr>
        <w:t>The method classifies different codes in four levels or categories of risk. Each category of risk, in turn, determines what is the possible effect on the musculoskeletal system of the worker of each  collected posture, as well as corrective action to be considered in each</w:t>
      </w:r>
      <w:r>
        <w:rPr>
          <w:spacing w:val="-3"/>
          <w:sz w:val="18"/>
        </w:rPr>
        <w:t> </w:t>
      </w:r>
      <w:r>
        <w:rPr>
          <w:sz w:val="18"/>
        </w:rPr>
        <w:t>case.</w:t>
      </w:r>
    </w:p>
    <w:p>
      <w:pPr>
        <w:pStyle w:val="BodyText"/>
        <w:rPr>
          <w:sz w:val="18"/>
        </w:rPr>
      </w:pPr>
    </w:p>
    <w:p>
      <w:pPr>
        <w:spacing w:before="0"/>
        <w:ind w:left="617" w:right="118" w:firstLine="0"/>
        <w:jc w:val="left"/>
        <w:rPr>
          <w:sz w:val="18"/>
        </w:rPr>
      </w:pPr>
      <w:r>
        <w:rPr>
          <w:b/>
          <w:sz w:val="18"/>
        </w:rPr>
        <w:t>Table 5. </w:t>
      </w:r>
      <w:r>
        <w:rPr>
          <w:sz w:val="18"/>
        </w:rPr>
        <w:t>Table of categories of risk and corrective actions.</w:t>
      </w:r>
    </w:p>
    <w:p>
      <w:pPr>
        <w:pStyle w:val="BodyText"/>
      </w:pPr>
    </w:p>
    <w:p>
      <w:pPr>
        <w:pStyle w:val="BodyText"/>
        <w:spacing w:before="4"/>
        <w:rPr>
          <w:sz w:val="16"/>
        </w:rPr>
      </w:pPr>
    </w:p>
    <w:tbl>
      <w:tblPr>
        <w:tblW w:w="0" w:type="auto"/>
        <w:jc w:val="left"/>
        <w:tblInd w:w="1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23"/>
        <w:gridCol w:w="2088"/>
        <w:gridCol w:w="2070"/>
      </w:tblGrid>
      <w:tr>
        <w:trPr>
          <w:trHeight w:val="424" w:hRule="exact"/>
        </w:trPr>
        <w:tc>
          <w:tcPr>
            <w:tcW w:w="923" w:type="dxa"/>
          </w:tcPr>
          <w:p>
            <w:pPr>
              <w:pStyle w:val="TableParagraph"/>
              <w:ind w:left="126" w:right="107" w:firstLine="156"/>
              <w:rPr>
                <w:b/>
                <w:sz w:val="18"/>
              </w:rPr>
            </w:pPr>
            <w:r>
              <w:rPr>
                <w:b/>
                <w:sz w:val="18"/>
              </w:rPr>
              <w:t>Risk category</w:t>
            </w:r>
          </w:p>
        </w:tc>
        <w:tc>
          <w:tcPr>
            <w:tcW w:w="2088" w:type="dxa"/>
          </w:tcPr>
          <w:p>
            <w:pPr>
              <w:pStyle w:val="TableParagraph"/>
              <w:ind w:left="146" w:right="127" w:firstLine="367"/>
              <w:rPr>
                <w:b/>
                <w:sz w:val="18"/>
              </w:rPr>
            </w:pPr>
            <w:r>
              <w:rPr>
                <w:b/>
                <w:sz w:val="18"/>
              </w:rPr>
              <w:t>Effects on the musculoskeletal system</w:t>
            </w:r>
          </w:p>
        </w:tc>
        <w:tc>
          <w:tcPr>
            <w:tcW w:w="2070" w:type="dxa"/>
          </w:tcPr>
          <w:p>
            <w:pPr>
              <w:pStyle w:val="TableParagraph"/>
              <w:spacing w:line="206" w:lineRule="exact"/>
              <w:ind w:left="362" w:right="101"/>
              <w:rPr>
                <w:b/>
                <w:sz w:val="18"/>
              </w:rPr>
            </w:pPr>
            <w:r>
              <w:rPr>
                <w:b/>
                <w:sz w:val="18"/>
              </w:rPr>
              <w:t>Corrective action</w:t>
            </w:r>
          </w:p>
        </w:tc>
      </w:tr>
      <w:tr>
        <w:trPr>
          <w:trHeight w:val="1034" w:hRule="exact"/>
        </w:trPr>
        <w:tc>
          <w:tcPr>
            <w:tcW w:w="923" w:type="dxa"/>
          </w:tcPr>
          <w:p>
            <w:pPr>
              <w:pStyle w:val="TableParagraph"/>
              <w:spacing w:before="7"/>
              <w:rPr>
                <w:sz w:val="17"/>
              </w:rPr>
            </w:pPr>
          </w:p>
          <w:p>
            <w:pPr>
              <w:pStyle w:val="TableParagraph"/>
              <w:jc w:val="center"/>
              <w:rPr>
                <w:sz w:val="18"/>
              </w:rPr>
            </w:pPr>
            <w:r>
              <w:rPr>
                <w:sz w:val="18"/>
              </w:rPr>
              <w:t>1</w:t>
            </w:r>
          </w:p>
        </w:tc>
        <w:tc>
          <w:tcPr>
            <w:tcW w:w="2088" w:type="dxa"/>
          </w:tcPr>
          <w:p>
            <w:pPr>
              <w:pStyle w:val="TableParagraph"/>
              <w:ind w:left="103" w:right="100"/>
              <w:jc w:val="both"/>
              <w:rPr>
                <w:sz w:val="18"/>
              </w:rPr>
            </w:pPr>
            <w:r>
              <w:rPr>
                <w:sz w:val="18"/>
              </w:rPr>
              <w:t>Normal position without harmful effects on the musculoskeletal system.</w:t>
            </w:r>
          </w:p>
        </w:tc>
        <w:tc>
          <w:tcPr>
            <w:tcW w:w="2070" w:type="dxa"/>
          </w:tcPr>
          <w:p>
            <w:pPr>
              <w:pStyle w:val="TableParagraph"/>
              <w:spacing w:line="203" w:lineRule="exact"/>
              <w:ind w:left="103" w:right="101"/>
              <w:rPr>
                <w:sz w:val="18"/>
              </w:rPr>
            </w:pPr>
            <w:r>
              <w:rPr>
                <w:sz w:val="18"/>
              </w:rPr>
              <w:t>Does not require action.</w:t>
            </w:r>
          </w:p>
        </w:tc>
      </w:tr>
      <w:tr>
        <w:trPr>
          <w:trHeight w:val="838" w:hRule="exact"/>
        </w:trPr>
        <w:tc>
          <w:tcPr>
            <w:tcW w:w="923" w:type="dxa"/>
          </w:tcPr>
          <w:p>
            <w:pPr>
              <w:pStyle w:val="TableParagraph"/>
              <w:spacing w:before="7"/>
              <w:rPr>
                <w:sz w:val="17"/>
              </w:rPr>
            </w:pPr>
          </w:p>
          <w:p>
            <w:pPr>
              <w:pStyle w:val="TableParagraph"/>
              <w:jc w:val="center"/>
              <w:rPr>
                <w:sz w:val="18"/>
              </w:rPr>
            </w:pPr>
            <w:r>
              <w:rPr>
                <w:sz w:val="18"/>
              </w:rPr>
              <w:t>2</w:t>
            </w:r>
          </w:p>
        </w:tc>
        <w:tc>
          <w:tcPr>
            <w:tcW w:w="2088" w:type="dxa"/>
          </w:tcPr>
          <w:p>
            <w:pPr>
              <w:pStyle w:val="TableParagraph"/>
              <w:tabs>
                <w:tab w:pos="1139" w:val="left" w:leader="none"/>
                <w:tab w:pos="1754" w:val="left" w:leader="none"/>
              </w:tabs>
              <w:ind w:left="103" w:right="98"/>
              <w:jc w:val="both"/>
              <w:rPr>
                <w:sz w:val="18"/>
              </w:rPr>
            </w:pPr>
            <w:r>
              <w:rPr>
                <w:sz w:val="18"/>
              </w:rPr>
              <w:t>Position with the possibility of causing damage</w:t>
              <w:tab/>
              <w:t>to</w:t>
              <w:tab/>
              <w:t>the musculoskeletal</w:t>
            </w:r>
            <w:r>
              <w:rPr>
                <w:spacing w:val="-1"/>
                <w:sz w:val="18"/>
              </w:rPr>
              <w:t> </w:t>
            </w:r>
            <w:r>
              <w:rPr>
                <w:sz w:val="18"/>
              </w:rPr>
              <w:t>system</w:t>
            </w:r>
          </w:p>
        </w:tc>
        <w:tc>
          <w:tcPr>
            <w:tcW w:w="2070" w:type="dxa"/>
          </w:tcPr>
          <w:p>
            <w:pPr>
              <w:pStyle w:val="TableParagraph"/>
              <w:tabs>
                <w:tab w:pos="1236" w:val="left" w:leader="none"/>
              </w:tabs>
              <w:ind w:left="103" w:right="101"/>
              <w:rPr>
                <w:sz w:val="18"/>
              </w:rPr>
            </w:pPr>
            <w:r>
              <w:rPr>
                <w:sz w:val="18"/>
              </w:rPr>
              <w:t>Required</w:t>
              <w:tab/>
              <w:t>corrective actions in the near</w:t>
            </w:r>
            <w:r>
              <w:rPr>
                <w:spacing w:val="-6"/>
                <w:sz w:val="18"/>
              </w:rPr>
              <w:t> </w:t>
            </w:r>
            <w:r>
              <w:rPr>
                <w:sz w:val="18"/>
              </w:rPr>
              <w:t>future.</w:t>
            </w:r>
          </w:p>
        </w:tc>
      </w:tr>
      <w:tr>
        <w:trPr>
          <w:trHeight w:val="631" w:hRule="exact"/>
        </w:trPr>
        <w:tc>
          <w:tcPr>
            <w:tcW w:w="923" w:type="dxa"/>
          </w:tcPr>
          <w:p>
            <w:pPr>
              <w:pStyle w:val="TableParagraph"/>
              <w:spacing w:before="7"/>
              <w:rPr>
                <w:sz w:val="17"/>
              </w:rPr>
            </w:pPr>
          </w:p>
          <w:p>
            <w:pPr>
              <w:pStyle w:val="TableParagraph"/>
              <w:jc w:val="center"/>
              <w:rPr>
                <w:sz w:val="18"/>
              </w:rPr>
            </w:pPr>
            <w:r>
              <w:rPr>
                <w:sz w:val="18"/>
              </w:rPr>
              <w:t>3</w:t>
            </w:r>
          </w:p>
        </w:tc>
        <w:tc>
          <w:tcPr>
            <w:tcW w:w="2088" w:type="dxa"/>
          </w:tcPr>
          <w:p>
            <w:pPr>
              <w:pStyle w:val="TableParagraph"/>
              <w:tabs>
                <w:tab w:pos="1079" w:val="left" w:leader="none"/>
                <w:tab w:pos="1755" w:val="left" w:leader="none"/>
              </w:tabs>
              <w:ind w:left="103" w:right="100"/>
              <w:jc w:val="both"/>
              <w:rPr>
                <w:sz w:val="18"/>
              </w:rPr>
            </w:pPr>
            <w:r>
              <w:rPr>
                <w:sz w:val="18"/>
              </w:rPr>
              <w:t>Position with harmful effects</w:t>
              <w:tab/>
              <w:t>on</w:t>
              <w:tab/>
              <w:t>the musculoskeletal</w:t>
            </w:r>
            <w:r>
              <w:rPr>
                <w:spacing w:val="-1"/>
                <w:sz w:val="18"/>
              </w:rPr>
              <w:t> </w:t>
            </w:r>
            <w:r>
              <w:rPr>
                <w:sz w:val="18"/>
              </w:rPr>
              <w:t>system.</w:t>
            </w:r>
          </w:p>
        </w:tc>
        <w:tc>
          <w:tcPr>
            <w:tcW w:w="2070" w:type="dxa"/>
          </w:tcPr>
          <w:p>
            <w:pPr>
              <w:pStyle w:val="TableParagraph"/>
              <w:tabs>
                <w:tab w:pos="1448" w:val="left" w:leader="none"/>
              </w:tabs>
              <w:ind w:left="103" w:right="99"/>
              <w:jc w:val="both"/>
              <w:rPr>
                <w:sz w:val="18"/>
              </w:rPr>
            </w:pPr>
            <w:r>
              <w:rPr>
                <w:sz w:val="18"/>
              </w:rPr>
              <w:t>It is required to take corrective</w:t>
              <w:tab/>
              <w:t>actions immediately.</w:t>
            </w:r>
          </w:p>
        </w:tc>
      </w:tr>
      <w:tr>
        <w:trPr>
          <w:trHeight w:val="1045" w:hRule="exact"/>
        </w:trPr>
        <w:tc>
          <w:tcPr>
            <w:tcW w:w="923" w:type="dxa"/>
          </w:tcPr>
          <w:p>
            <w:pPr>
              <w:pStyle w:val="TableParagraph"/>
              <w:rPr>
                <w:sz w:val="18"/>
              </w:rPr>
            </w:pPr>
          </w:p>
          <w:p>
            <w:pPr>
              <w:pStyle w:val="TableParagraph"/>
              <w:spacing w:before="6"/>
              <w:rPr>
                <w:sz w:val="17"/>
              </w:rPr>
            </w:pPr>
          </w:p>
          <w:p>
            <w:pPr>
              <w:pStyle w:val="TableParagraph"/>
              <w:jc w:val="center"/>
              <w:rPr>
                <w:sz w:val="18"/>
              </w:rPr>
            </w:pPr>
            <w:r>
              <w:rPr>
                <w:sz w:val="18"/>
              </w:rPr>
              <w:t>4</w:t>
            </w:r>
          </w:p>
        </w:tc>
        <w:tc>
          <w:tcPr>
            <w:tcW w:w="2088" w:type="dxa"/>
          </w:tcPr>
          <w:p>
            <w:pPr>
              <w:pStyle w:val="TableParagraph"/>
              <w:ind w:left="103" w:right="101"/>
              <w:jc w:val="both"/>
              <w:rPr>
                <w:sz w:val="18"/>
              </w:rPr>
            </w:pPr>
            <w:r>
              <w:rPr>
                <w:sz w:val="18"/>
              </w:rPr>
              <w:t>The burden caused  by this stance  have extremely damaging effects on the muscle skeletal system.</w:t>
            </w:r>
          </w:p>
        </w:tc>
        <w:tc>
          <w:tcPr>
            <w:tcW w:w="2070" w:type="dxa"/>
          </w:tcPr>
          <w:p>
            <w:pPr/>
          </w:p>
        </w:tc>
      </w:tr>
    </w:tbl>
    <w:p>
      <w:pPr>
        <w:pStyle w:val="BodyText"/>
        <w:spacing w:before="7"/>
        <w:rPr>
          <w:sz w:val="17"/>
        </w:rPr>
      </w:pPr>
    </w:p>
    <w:p>
      <w:pPr>
        <w:spacing w:before="0"/>
        <w:ind w:left="270" w:right="0" w:firstLine="0"/>
        <w:jc w:val="both"/>
        <w:rPr>
          <w:sz w:val="18"/>
        </w:rPr>
      </w:pPr>
      <w:r>
        <w:rPr>
          <w:sz w:val="18"/>
        </w:rPr>
        <w:t>Once Calculated the category of risk for each posture is possible an initial analysis. The statistical processing of the results obtained so far will allow interpretation of the values of the risk. However, the method is not limited to the classification of the positions according to the risk they present on the musculo-skeletal system, also includes the analysis of the relative frequencies of the different positions of the back, arms and legs that have been observed and recorded on each "code</w:t>
      </w:r>
      <w:r>
        <w:rPr>
          <w:spacing w:val="-8"/>
          <w:sz w:val="18"/>
        </w:rPr>
        <w:t> </w:t>
      </w:r>
      <w:r>
        <w:rPr>
          <w:sz w:val="18"/>
        </w:rPr>
        <w:t>position".</w:t>
      </w:r>
    </w:p>
    <w:p>
      <w:pPr>
        <w:spacing w:before="0"/>
        <w:ind w:left="270" w:right="0" w:firstLine="403"/>
        <w:jc w:val="both"/>
        <w:rPr>
          <w:sz w:val="18"/>
        </w:rPr>
      </w:pPr>
      <w:r>
        <w:rPr>
          <w:sz w:val="18"/>
        </w:rPr>
        <w:t>Therefore is must calculate the number of times that recurs every position back, arms and legs in relation to others during the time of observation, i.e., its relative frequency.</w:t>
      </w:r>
    </w:p>
    <w:p>
      <w:pPr>
        <w:spacing w:before="0"/>
        <w:ind w:left="270" w:right="0" w:firstLine="403"/>
        <w:jc w:val="both"/>
        <w:rPr>
          <w:sz w:val="18"/>
        </w:rPr>
      </w:pPr>
      <w:r>
        <w:rPr>
          <w:sz w:val="18"/>
        </w:rPr>
        <w:t>As indicated previously, method does not apply to the calculation of the risk for the supported load, however, since the handling of loads is reflected in "Position codes" obtained, a percentage analysis of the ranks of cargo handled by the worker can alert the evaluator on the need to deepen the study of loads by applying specific methods for this purpose.</w:t>
      </w:r>
    </w:p>
    <w:p>
      <w:pPr>
        <w:spacing w:before="0"/>
        <w:ind w:left="270" w:right="0" w:firstLine="403"/>
        <w:jc w:val="both"/>
        <w:rPr>
          <w:sz w:val="18"/>
        </w:rPr>
      </w:pPr>
      <w:r>
        <w:rPr>
          <w:sz w:val="18"/>
        </w:rPr>
        <w:t>The procedure of application for the method is as follows:The procedure of application for the method is as follows:</w:t>
      </w:r>
    </w:p>
    <w:p>
      <w:pPr>
        <w:spacing w:before="0"/>
        <w:ind w:left="270" w:right="1" w:firstLine="0"/>
        <w:jc w:val="both"/>
        <w:rPr>
          <w:sz w:val="18"/>
        </w:rPr>
      </w:pPr>
      <w:r>
        <w:rPr>
          <w:sz w:val="18"/>
        </w:rPr>
        <w:t>Step 1. Determine if the observation of the task must  be  divided into several phases or stages, in order to facilitate it observation.</w:t>
      </w:r>
    </w:p>
    <w:p>
      <w:pPr>
        <w:spacing w:before="0"/>
        <w:ind w:left="270" w:right="5" w:firstLine="0"/>
        <w:jc w:val="left"/>
        <w:rPr>
          <w:sz w:val="18"/>
        </w:rPr>
      </w:pPr>
      <w:r>
        <w:rPr>
          <w:sz w:val="18"/>
        </w:rPr>
        <w:t>Step 2. Set the total observation time of the task (20 to 40 min.) Step 3. Determine the length of the time intervals in which the observation is divided (the method proposed time intervals between 30 and 60</w:t>
      </w:r>
      <w:r>
        <w:rPr>
          <w:spacing w:val="-3"/>
          <w:sz w:val="18"/>
        </w:rPr>
        <w:t> </w:t>
      </w:r>
      <w:r>
        <w:rPr>
          <w:sz w:val="18"/>
        </w:rPr>
        <w:t>seconds.)</w:t>
      </w:r>
    </w:p>
    <w:p>
      <w:pPr>
        <w:spacing w:before="0"/>
        <w:ind w:left="270" w:right="1" w:firstLine="0"/>
        <w:jc w:val="both"/>
        <w:rPr>
          <w:sz w:val="18"/>
        </w:rPr>
      </w:pPr>
      <w:r>
        <w:rPr>
          <w:sz w:val="18"/>
        </w:rPr>
        <w:t>Step 4. Identify, during the observation of the task or phase, the different positions taken by the worker.</w:t>
      </w:r>
    </w:p>
    <w:p>
      <w:pPr>
        <w:spacing w:before="0"/>
        <w:ind w:left="270" w:right="0" w:firstLine="0"/>
        <w:jc w:val="both"/>
        <w:rPr>
          <w:sz w:val="18"/>
        </w:rPr>
      </w:pPr>
      <w:r>
        <w:rPr>
          <w:sz w:val="18"/>
        </w:rPr>
        <w:t>Step 5. Encode the observed positions, assigning each position and load the values of the digits that make up its "code position" identifier.</w:t>
      </w:r>
    </w:p>
    <w:p>
      <w:pPr>
        <w:spacing w:before="0"/>
        <w:ind w:left="270" w:right="0" w:firstLine="0"/>
        <w:jc w:val="both"/>
        <w:rPr>
          <w:sz w:val="18"/>
        </w:rPr>
      </w:pPr>
      <w:r>
        <w:rPr>
          <w:sz w:val="18"/>
        </w:rPr>
        <w:t>Step 6. Calculate for each "code position" risk category to which it belongs, in order to identify those critical positions or higher level of risk to the</w:t>
      </w:r>
      <w:r>
        <w:rPr>
          <w:spacing w:val="-5"/>
          <w:sz w:val="18"/>
        </w:rPr>
        <w:t> </w:t>
      </w:r>
      <w:r>
        <w:rPr>
          <w:sz w:val="18"/>
        </w:rPr>
        <w:t>worker.</w:t>
      </w:r>
    </w:p>
    <w:p>
      <w:pPr>
        <w:spacing w:before="77"/>
        <w:ind w:left="270" w:right="676" w:firstLine="0"/>
        <w:jc w:val="both"/>
        <w:rPr>
          <w:sz w:val="18"/>
        </w:rPr>
      </w:pPr>
      <w:r>
        <w:rPr/>
        <w:br w:type="column"/>
      </w:r>
      <w:r>
        <w:rPr>
          <w:sz w:val="18"/>
        </w:rPr>
        <w:t>Step 7. Calculate the percentage of repetitions or relative frequency of each position of the back, arms and legs with respect to the  other.</w:t>
      </w:r>
    </w:p>
    <w:p>
      <w:pPr>
        <w:spacing w:before="0"/>
        <w:ind w:left="270" w:right="677" w:firstLine="0"/>
        <w:jc w:val="both"/>
        <w:rPr>
          <w:sz w:val="18"/>
        </w:rPr>
      </w:pPr>
      <w:r>
        <w:rPr>
          <w:sz w:val="18"/>
        </w:rPr>
        <w:t>Step 8. Determine, based on calculated risks, and corrective actions required redesign.</w:t>
      </w:r>
    </w:p>
    <w:p>
      <w:pPr>
        <w:pStyle w:val="BodyText"/>
        <w:rPr>
          <w:sz w:val="18"/>
        </w:rPr>
      </w:pPr>
    </w:p>
    <w:p>
      <w:pPr>
        <w:pStyle w:val="BodyText"/>
        <w:spacing w:before="3"/>
        <w:rPr>
          <w:sz w:val="18"/>
        </w:rPr>
      </w:pPr>
    </w:p>
    <w:p>
      <w:pPr>
        <w:pStyle w:val="ListParagraph"/>
        <w:numPr>
          <w:ilvl w:val="0"/>
          <w:numId w:val="69"/>
        </w:numPr>
        <w:tabs>
          <w:tab w:pos="631" w:val="left" w:leader="none"/>
        </w:tabs>
        <w:spacing w:line="240" w:lineRule="auto" w:before="0" w:after="0"/>
        <w:ind w:left="630" w:right="0" w:hanging="360"/>
        <w:jc w:val="both"/>
        <w:rPr>
          <w:b/>
          <w:sz w:val="18"/>
        </w:rPr>
      </w:pPr>
      <w:r>
        <w:rPr>
          <w:b/>
          <w:sz w:val="18"/>
        </w:rPr>
        <w:t>RESULTS</w:t>
      </w:r>
    </w:p>
    <w:p>
      <w:pPr>
        <w:pStyle w:val="BodyText"/>
        <w:spacing w:before="7"/>
        <w:rPr>
          <w:b/>
          <w:sz w:val="17"/>
        </w:rPr>
      </w:pPr>
    </w:p>
    <w:p>
      <w:pPr>
        <w:spacing w:before="1"/>
        <w:ind w:left="270" w:right="677" w:firstLine="0"/>
        <w:jc w:val="both"/>
        <w:rPr>
          <w:sz w:val="18"/>
        </w:rPr>
      </w:pPr>
      <w:r>
        <w:rPr>
          <w:sz w:val="18"/>
        </w:rPr>
        <w:t>OWAS analysis method was performed by shooting the operator, which were obtained every 30 seconds to determine the analysis of the positions taken by throwing the following:</w:t>
      </w:r>
    </w:p>
    <w:p>
      <w:pPr>
        <w:pStyle w:val="BodyText"/>
        <w:rPr>
          <w:sz w:val="18"/>
        </w:rPr>
      </w:pPr>
    </w:p>
    <w:p>
      <w:pPr>
        <w:pStyle w:val="BodyText"/>
        <w:spacing w:before="10"/>
        <w:rPr>
          <w:sz w:val="17"/>
        </w:rPr>
      </w:pPr>
    </w:p>
    <w:p>
      <w:pPr>
        <w:spacing w:before="1"/>
        <w:ind w:left="270" w:right="676" w:firstLine="0"/>
        <w:jc w:val="both"/>
        <w:rPr>
          <w:sz w:val="18"/>
        </w:rPr>
      </w:pPr>
      <w:r>
        <w:rPr>
          <w:sz w:val="18"/>
        </w:rPr>
        <w:t>Step 1. Determine if the observation of the task must be divided into several phases or stages. At this stage the operator which presented a repetitive activity, as shown in Figure 2 was evaluated.</w:t>
      </w:r>
    </w:p>
    <w:p>
      <w:pPr>
        <w:pStyle w:val="BodyText"/>
        <w:spacing w:before="2"/>
      </w:pPr>
      <w:r>
        <w:rPr/>
        <w:drawing>
          <wp:anchor distT="0" distB="0" distL="0" distR="0" allowOverlap="1" layoutInCell="1" locked="0" behindDoc="0" simplePos="0" relativeHeight="8368">
            <wp:simplePos x="0" y="0"/>
            <wp:positionH relativeFrom="page">
              <wp:posOffset>5086350</wp:posOffset>
            </wp:positionH>
            <wp:positionV relativeFrom="paragraph">
              <wp:posOffset>172618</wp:posOffset>
            </wp:positionV>
            <wp:extent cx="1188983" cy="1558480"/>
            <wp:effectExtent l="0" t="0" r="0" b="0"/>
            <wp:wrapTopAndBottom/>
            <wp:docPr id="305" name="image167.jpeg" descr=""/>
            <wp:cNvGraphicFramePr>
              <a:graphicFrameLocks noChangeAspect="1"/>
            </wp:cNvGraphicFramePr>
            <a:graphic>
              <a:graphicData uri="http://schemas.openxmlformats.org/drawingml/2006/picture">
                <pic:pic>
                  <pic:nvPicPr>
                    <pic:cNvPr id="306" name="image167.jpeg"/>
                    <pic:cNvPicPr/>
                  </pic:nvPicPr>
                  <pic:blipFill>
                    <a:blip r:embed="rId277" cstate="print"/>
                    <a:stretch>
                      <a:fillRect/>
                    </a:stretch>
                  </pic:blipFill>
                  <pic:spPr>
                    <a:xfrm>
                      <a:off x="0" y="0"/>
                      <a:ext cx="1188983" cy="1558480"/>
                    </a:xfrm>
                    <a:prstGeom prst="rect">
                      <a:avLst/>
                    </a:prstGeom>
                  </pic:spPr>
                </pic:pic>
              </a:graphicData>
            </a:graphic>
          </wp:anchor>
        </w:drawing>
      </w:r>
    </w:p>
    <w:p>
      <w:pPr>
        <w:spacing w:before="159"/>
        <w:ind w:left="295" w:right="700" w:firstLine="0"/>
        <w:jc w:val="center"/>
        <w:rPr>
          <w:sz w:val="18"/>
        </w:rPr>
      </w:pPr>
      <w:r>
        <w:rPr>
          <w:sz w:val="18"/>
        </w:rPr>
        <w:t>Figure 2. Operation evaluated</w:t>
      </w:r>
    </w:p>
    <w:p>
      <w:pPr>
        <w:pStyle w:val="BodyText"/>
        <w:rPr>
          <w:sz w:val="18"/>
        </w:rPr>
      </w:pPr>
    </w:p>
    <w:p>
      <w:pPr>
        <w:pStyle w:val="BodyText"/>
        <w:spacing w:before="10"/>
        <w:rPr>
          <w:sz w:val="17"/>
        </w:rPr>
      </w:pPr>
    </w:p>
    <w:p>
      <w:pPr>
        <w:spacing w:before="1"/>
        <w:ind w:left="270" w:right="677" w:firstLine="0"/>
        <w:jc w:val="both"/>
        <w:rPr>
          <w:sz w:val="18"/>
        </w:rPr>
      </w:pPr>
      <w:r>
        <w:rPr>
          <w:sz w:val="18"/>
        </w:rPr>
        <w:t>Step 2. At this stage the operator is observed for 50 minutes, which is able to collect samples or images necessary for performing this analysis method. See Figure 3.</w:t>
      </w:r>
    </w:p>
    <w:p>
      <w:pPr>
        <w:pStyle w:val="BodyText"/>
      </w:pPr>
    </w:p>
    <w:p>
      <w:pPr>
        <w:pStyle w:val="BodyText"/>
        <w:spacing w:before="5"/>
        <w:rPr>
          <w:sz w:val="21"/>
        </w:rPr>
      </w:pPr>
      <w:r>
        <w:rPr/>
        <w:drawing>
          <wp:anchor distT="0" distB="0" distL="0" distR="0" allowOverlap="1" layoutInCell="1" locked="0" behindDoc="0" simplePos="0" relativeHeight="8392">
            <wp:simplePos x="0" y="0"/>
            <wp:positionH relativeFrom="page">
              <wp:posOffset>4636770</wp:posOffset>
            </wp:positionH>
            <wp:positionV relativeFrom="paragraph">
              <wp:posOffset>181274</wp:posOffset>
            </wp:positionV>
            <wp:extent cx="2416903" cy="1482185"/>
            <wp:effectExtent l="0" t="0" r="0" b="0"/>
            <wp:wrapTopAndBottom/>
            <wp:docPr id="307" name="image168.jpeg" descr=""/>
            <wp:cNvGraphicFramePr>
              <a:graphicFrameLocks noChangeAspect="1"/>
            </wp:cNvGraphicFramePr>
            <a:graphic>
              <a:graphicData uri="http://schemas.openxmlformats.org/drawingml/2006/picture">
                <pic:pic>
                  <pic:nvPicPr>
                    <pic:cNvPr id="308" name="image168.jpeg"/>
                    <pic:cNvPicPr/>
                  </pic:nvPicPr>
                  <pic:blipFill>
                    <a:blip r:embed="rId278" cstate="print"/>
                    <a:stretch>
                      <a:fillRect/>
                    </a:stretch>
                  </pic:blipFill>
                  <pic:spPr>
                    <a:xfrm>
                      <a:off x="0" y="0"/>
                      <a:ext cx="2416903" cy="1482185"/>
                    </a:xfrm>
                    <a:prstGeom prst="rect">
                      <a:avLst/>
                    </a:prstGeom>
                  </pic:spPr>
                </pic:pic>
              </a:graphicData>
            </a:graphic>
          </wp:anchor>
        </w:drawing>
      </w:r>
    </w:p>
    <w:p>
      <w:pPr>
        <w:spacing w:before="19"/>
        <w:ind w:left="295" w:right="700" w:firstLine="0"/>
        <w:jc w:val="center"/>
        <w:rPr>
          <w:sz w:val="18"/>
        </w:rPr>
      </w:pPr>
      <w:r>
        <w:rPr>
          <w:sz w:val="18"/>
        </w:rPr>
        <w:t>Figure 3. Collecting Data</w:t>
      </w:r>
    </w:p>
    <w:p>
      <w:pPr>
        <w:pStyle w:val="BodyText"/>
        <w:rPr>
          <w:sz w:val="18"/>
        </w:rPr>
      </w:pPr>
    </w:p>
    <w:p>
      <w:pPr>
        <w:spacing w:before="0"/>
        <w:ind w:left="270" w:right="677" w:firstLine="0"/>
        <w:jc w:val="both"/>
        <w:rPr>
          <w:sz w:val="18"/>
        </w:rPr>
      </w:pPr>
      <w:r>
        <w:rPr>
          <w:sz w:val="18"/>
        </w:rPr>
        <w:t>Step 3. To perform this activity takes photographs were performed in a time interval of 30 seconds, yielding a sample of data 100, which are presented in Table 6.</w:t>
      </w:r>
    </w:p>
    <w:p>
      <w:pPr>
        <w:spacing w:after="0"/>
        <w:jc w:val="both"/>
        <w:rPr>
          <w:sz w:val="18"/>
        </w:rPr>
        <w:sectPr>
          <w:type w:val="continuous"/>
          <w:pgSz w:w="12240" w:h="15840"/>
          <w:pgMar w:top="1500" w:bottom="280" w:left="580" w:right="220"/>
          <w:cols w:num="2" w:equalWidth="0">
            <w:col w:w="5190" w:space="434"/>
            <w:col w:w="5816"/>
          </w:cols>
        </w:sectPr>
      </w:pPr>
    </w:p>
    <w:p>
      <w:pPr>
        <w:pStyle w:val="BodyText"/>
      </w:pPr>
    </w:p>
    <w:p>
      <w:pPr>
        <w:pStyle w:val="BodyText"/>
        <w:spacing w:before="2"/>
        <w:rPr>
          <w:sz w:val="14"/>
        </w:rPr>
      </w:pPr>
    </w:p>
    <w:p>
      <w:pPr>
        <w:pStyle w:val="BodyText"/>
        <w:spacing w:line="89" w:lineRule="exact"/>
        <w:ind w:left="210"/>
        <w:rPr>
          <w:sz w:val="8"/>
        </w:rPr>
      </w:pPr>
      <w:r>
        <w:rPr>
          <w:position w:val="-1"/>
          <w:sz w:val="8"/>
        </w:rPr>
        <w:pict>
          <v:group style="width:556.4pt;height:4.5pt;mso-position-horizontal-relative:char;mso-position-vertical-relative:line" coordorigin="0,0" coordsize="11128,90">
            <v:line style="position:absolute" from="30,30" to="11098,30" stroked="true" strokeweight="3pt" strokecolor="#602321"/>
            <v:line style="position:absolute" from="30,82" to="11098,82" stroked="true" strokeweight=".72pt" strokecolor="#602321"/>
          </v:group>
        </w:pict>
      </w:r>
      <w:r>
        <w:rPr>
          <w:position w:val="-1"/>
          <w:sz w:val="8"/>
        </w:rPr>
      </w:r>
    </w:p>
    <w:p>
      <w:pPr>
        <w:spacing w:after="0" w:line="89" w:lineRule="exact"/>
        <w:rPr>
          <w:sz w:val="8"/>
        </w:rPr>
        <w:sectPr>
          <w:type w:val="continuous"/>
          <w:pgSz w:w="12240" w:h="15840"/>
          <w:pgMar w:top="1500" w:bottom="280" w:left="580" w:right="220"/>
        </w:sectPr>
      </w:pPr>
    </w:p>
    <w:p>
      <w:pPr>
        <w:pStyle w:val="BodyText"/>
        <w:rPr>
          <w:sz w:val="11"/>
        </w:rPr>
      </w:pPr>
    </w:p>
    <w:p>
      <w:pPr>
        <w:spacing w:after="0"/>
        <w:rPr>
          <w:sz w:val="11"/>
        </w:rPr>
        <w:sectPr>
          <w:footerReference w:type="default" r:id="rId279"/>
          <w:pgSz w:w="12240" w:h="15840"/>
          <w:pgMar w:footer="852" w:header="545" w:top="1060" w:bottom="1040" w:left="580" w:right="220"/>
          <w:pgNumType w:start="103"/>
        </w:sectPr>
      </w:pPr>
    </w:p>
    <w:p>
      <w:pPr>
        <w:spacing w:before="77"/>
        <w:ind w:left="1184" w:right="827" w:firstLine="0"/>
        <w:jc w:val="center"/>
        <w:rPr>
          <w:sz w:val="18"/>
        </w:rPr>
      </w:pPr>
      <w:r>
        <w:rPr>
          <w:sz w:val="18"/>
        </w:rPr>
        <w:t>Table 6. Sample data concentrating</w:t>
      </w:r>
    </w:p>
    <w:p>
      <w:pPr>
        <w:pStyle w:val="BodyText"/>
        <w:rPr>
          <w:sz w:val="23"/>
        </w:rPr>
      </w:pPr>
      <w:r>
        <w:rPr/>
        <w:drawing>
          <wp:anchor distT="0" distB="0" distL="0" distR="0" allowOverlap="1" layoutInCell="1" locked="0" behindDoc="0" simplePos="0" relativeHeight="8440">
            <wp:simplePos x="0" y="0"/>
            <wp:positionH relativeFrom="page">
              <wp:posOffset>542544</wp:posOffset>
            </wp:positionH>
            <wp:positionV relativeFrom="paragraph">
              <wp:posOffset>193207</wp:posOffset>
            </wp:positionV>
            <wp:extent cx="2994155" cy="1632203"/>
            <wp:effectExtent l="0" t="0" r="0" b="0"/>
            <wp:wrapTopAndBottom/>
            <wp:docPr id="309" name="image169.jpeg" descr=""/>
            <wp:cNvGraphicFramePr>
              <a:graphicFrameLocks noChangeAspect="1"/>
            </wp:cNvGraphicFramePr>
            <a:graphic>
              <a:graphicData uri="http://schemas.openxmlformats.org/drawingml/2006/picture">
                <pic:pic>
                  <pic:nvPicPr>
                    <pic:cNvPr id="310" name="image169.jpeg"/>
                    <pic:cNvPicPr/>
                  </pic:nvPicPr>
                  <pic:blipFill>
                    <a:blip r:embed="rId280" cstate="print"/>
                    <a:stretch>
                      <a:fillRect/>
                    </a:stretch>
                  </pic:blipFill>
                  <pic:spPr>
                    <a:xfrm>
                      <a:off x="0" y="0"/>
                      <a:ext cx="2994155" cy="1632203"/>
                    </a:xfrm>
                    <a:prstGeom prst="rect">
                      <a:avLst/>
                    </a:prstGeom>
                  </pic:spPr>
                </pic:pic>
              </a:graphicData>
            </a:graphic>
          </wp:anchor>
        </w:drawing>
      </w:r>
    </w:p>
    <w:p>
      <w:pPr>
        <w:pStyle w:val="BodyText"/>
        <w:rPr>
          <w:sz w:val="18"/>
        </w:rPr>
      </w:pPr>
    </w:p>
    <w:p>
      <w:pPr>
        <w:pStyle w:val="BodyText"/>
        <w:rPr>
          <w:sz w:val="18"/>
        </w:rPr>
      </w:pPr>
    </w:p>
    <w:p>
      <w:pPr>
        <w:pStyle w:val="BodyText"/>
        <w:spacing w:before="6"/>
        <w:rPr>
          <w:sz w:val="14"/>
        </w:rPr>
      </w:pPr>
    </w:p>
    <w:p>
      <w:pPr>
        <w:spacing w:before="1"/>
        <w:ind w:left="270" w:right="-18" w:firstLine="0"/>
        <w:jc w:val="left"/>
        <w:rPr>
          <w:sz w:val="18"/>
        </w:rPr>
      </w:pPr>
      <w:r>
        <w:rPr>
          <w:sz w:val="18"/>
        </w:rPr>
        <w:t>Step 4. A sequence of images to establish each of the positions identified in the process was established; using the Coding Postures presented in this method which is shown in Figure 4.</w:t>
      </w:r>
    </w:p>
    <w:p>
      <w:pPr>
        <w:pStyle w:val="BodyText"/>
      </w:pPr>
    </w:p>
    <w:p>
      <w:pPr>
        <w:pStyle w:val="BodyText"/>
        <w:spacing w:before="3"/>
        <w:rPr>
          <w:sz w:val="23"/>
        </w:rPr>
      </w:pPr>
      <w:r>
        <w:rPr/>
        <w:drawing>
          <wp:anchor distT="0" distB="0" distL="0" distR="0" allowOverlap="1" layoutInCell="1" locked="0" behindDoc="0" simplePos="0" relativeHeight="8464">
            <wp:simplePos x="0" y="0"/>
            <wp:positionH relativeFrom="page">
              <wp:posOffset>562355</wp:posOffset>
            </wp:positionH>
            <wp:positionV relativeFrom="paragraph">
              <wp:posOffset>194990</wp:posOffset>
            </wp:positionV>
            <wp:extent cx="2886404" cy="1494853"/>
            <wp:effectExtent l="0" t="0" r="0" b="0"/>
            <wp:wrapTopAndBottom/>
            <wp:docPr id="311" name="image170.jpeg" descr=""/>
            <wp:cNvGraphicFramePr>
              <a:graphicFrameLocks noChangeAspect="1"/>
            </wp:cNvGraphicFramePr>
            <a:graphic>
              <a:graphicData uri="http://schemas.openxmlformats.org/drawingml/2006/picture">
                <pic:pic>
                  <pic:nvPicPr>
                    <pic:cNvPr id="312" name="image170.jpeg"/>
                    <pic:cNvPicPr/>
                  </pic:nvPicPr>
                  <pic:blipFill>
                    <a:blip r:embed="rId281" cstate="print"/>
                    <a:stretch>
                      <a:fillRect/>
                    </a:stretch>
                  </pic:blipFill>
                  <pic:spPr>
                    <a:xfrm>
                      <a:off x="0" y="0"/>
                      <a:ext cx="2886404" cy="1494853"/>
                    </a:xfrm>
                    <a:prstGeom prst="rect">
                      <a:avLst/>
                    </a:prstGeom>
                  </pic:spPr>
                </pic:pic>
              </a:graphicData>
            </a:graphic>
          </wp:anchor>
        </w:drawing>
      </w:r>
    </w:p>
    <w:p>
      <w:pPr>
        <w:spacing w:before="0"/>
        <w:ind w:left="1184" w:right="873" w:firstLine="0"/>
        <w:jc w:val="center"/>
        <w:rPr>
          <w:sz w:val="18"/>
        </w:rPr>
      </w:pPr>
      <w:r>
        <w:rPr>
          <w:sz w:val="18"/>
        </w:rPr>
        <w:t>Figure 4. Coding Method OWAS postures</w:t>
      </w:r>
    </w:p>
    <w:p>
      <w:pPr>
        <w:pStyle w:val="BodyText"/>
        <w:rPr>
          <w:sz w:val="18"/>
        </w:rPr>
      </w:pPr>
    </w:p>
    <w:p>
      <w:pPr>
        <w:pStyle w:val="BodyText"/>
        <w:rPr>
          <w:sz w:val="18"/>
        </w:rPr>
      </w:pPr>
    </w:p>
    <w:p>
      <w:pPr>
        <w:pStyle w:val="BodyText"/>
        <w:rPr>
          <w:sz w:val="18"/>
        </w:rPr>
      </w:pPr>
    </w:p>
    <w:p>
      <w:pPr>
        <w:spacing w:before="0"/>
        <w:ind w:left="1184" w:right="870" w:firstLine="0"/>
        <w:jc w:val="center"/>
        <w:rPr>
          <w:sz w:val="18"/>
        </w:rPr>
      </w:pPr>
      <w:r>
        <w:rPr>
          <w:sz w:val="18"/>
        </w:rPr>
        <w:t>Table 7. Postures observed the operator.7</w:t>
      </w:r>
    </w:p>
    <w:p>
      <w:pPr>
        <w:pStyle w:val="BodyText"/>
        <w:spacing w:before="6"/>
        <w:rPr>
          <w:sz w:val="11"/>
        </w:rPr>
      </w:pPr>
      <w:r>
        <w:rPr/>
        <w:pict>
          <v:group style="position:absolute;margin-left:59.400002pt;margin-top:8.612323pt;width:224.1pt;height:84.6pt;mso-position-horizontal-relative:page;mso-position-vertical-relative:paragraph;z-index:8488;mso-wrap-distance-left:0;mso-wrap-distance-right:0" coordorigin="1188,172" coordsize="4482,1692">
            <v:shape style="position:absolute;left:2754;top:172;width:1609;height:12" type="#_x0000_t75" stroked="false">
              <v:imagedata r:id="rId282" o:title=""/>
            </v:shape>
            <v:shape style="position:absolute;left:1188;top:424;width:1242;height:696" type="#_x0000_t75" stroked="false">
              <v:imagedata r:id="rId283" o:title=""/>
            </v:shape>
            <v:shape style="position:absolute;left:1858;top:184;width:3812;height:1320" type="#_x0000_t75" stroked="false">
              <v:imagedata r:id="rId284" o:title=""/>
            </v:shape>
            <v:line style="position:absolute" from="2225,1498" to="2236,1498" stroked="true" strokeweight=".6pt" strokecolor="#121212"/>
            <v:line style="position:absolute" from="2225,1510" to="2236,1510" stroked="true" strokeweight=".6pt" strokecolor="#111111"/>
            <v:line style="position:absolute" from="2225,1522" to="2236,1522" stroked="true" strokeweight=".6pt" strokecolor="#101010"/>
            <v:line style="position:absolute" from="2225,1534" to="2236,1534" stroked="true" strokeweight=".6pt" strokecolor="#101010"/>
            <v:line style="position:absolute" from="2230,1492" to="2230,1768" stroked="true" strokeweight=".54pt" strokecolor="#101010"/>
            <v:line style="position:absolute" from="2225,1558" to="2236,1558" stroked="true" strokeweight=".6pt" strokecolor="#101010"/>
            <v:line style="position:absolute" from="2225,1570" to="2236,1570" stroked="true" strokeweight=".6pt" strokecolor="#101010"/>
            <v:line style="position:absolute" from="2225,1582" to="2236,1582" stroked="true" strokeweight=".6pt" strokecolor="#101010"/>
            <v:line style="position:absolute" from="2225,1594" to="2236,1594" stroked="true" strokeweight=".6pt" strokecolor="#101010"/>
            <v:shape style="position:absolute;left:5011;top:1492;width:65;height:120" type="#_x0000_t75" stroked="false">
              <v:imagedata r:id="rId285" o:title=""/>
            </v:shape>
            <v:line style="position:absolute" from="2225,1618" to="2236,1618" stroked="true" strokeweight=".6pt" strokecolor="#101010"/>
            <v:line style="position:absolute" from="2225,1630" to="2236,1630" stroked="true" strokeweight=".6pt" strokecolor="#101010"/>
            <v:line style="position:absolute" from="2225,1642" to="2236,1642" stroked="true" strokeweight=".6pt" strokecolor="#101010"/>
            <v:line style="position:absolute" from="2225,1654" to="2236,1654" stroked="true" strokeweight=".6pt" strokecolor="#101010"/>
            <v:shape style="position:absolute;left:2052;top:1636;width:32;height:48" type="#_x0000_t75" stroked="false">
              <v:imagedata r:id="rId286" o:title=""/>
            </v:shape>
            <v:line style="position:absolute" from="2225,1678" to="2236,1678" stroked="true" strokeweight=".6pt" strokecolor="#101010"/>
            <v:shape style="position:absolute;left:2387;top:1636;width:32;height:48" type="#_x0000_t75" stroked="false">
              <v:imagedata r:id="rId287" o:title=""/>
            </v:shape>
            <v:shape style="position:absolute;left:2743;top:1648;width:32;height:36" type="#_x0000_t75" stroked="false">
              <v:imagedata r:id="rId288" o:title=""/>
            </v:shape>
            <v:shape style="position:absolute;left:3067;top:1636;width:32;height:48" type="#_x0000_t75" stroked="false">
              <v:imagedata r:id="rId289" o:title=""/>
            </v:shape>
            <v:shape style="position:absolute;left:3985;top:1636;width:43;height:48" type="#_x0000_t75" stroked="false">
              <v:imagedata r:id="rId290" o:title=""/>
            </v:shape>
            <v:line style="position:absolute" from="2225,1690" to="2236,1690" stroked="true" strokeweight=".6pt" strokecolor="#101010"/>
            <v:line style="position:absolute" from="2225,1702" to="2236,1702" stroked="true" strokeweight=".6pt" strokecolor="#101010"/>
            <v:line style="position:absolute" from="2225,1714" to="2236,1714" stroked="true" strokeweight=".6pt" strokecolor="#101010"/>
            <v:line style="position:absolute" from="2225,1738" to="2236,1738" stroked="true" strokeweight=".6pt" strokecolor="#101010"/>
            <v:line style="position:absolute" from="2225,1750" to="2236,1750" stroked="true" strokeweight=".6pt" strokecolor="#111111"/>
            <v:shape style="position:absolute;left:3640;top:1492;width:2030;height:360" type="#_x0000_t75" stroked="false">
              <v:imagedata r:id="rId291" o:title=""/>
            </v:shape>
            <v:shape style="position:absolute;left:1858;top:1492;width:1447;height:372" type="#_x0000_t75" stroked="false">
              <v:imagedata r:id="rId292" o:title=""/>
            </v:shape>
            <w10:wrap type="topAndBottom"/>
          </v:group>
        </w:pict>
      </w:r>
      <w:r>
        <w:rPr/>
        <w:pict>
          <v:group style="position:absolute;margin-left:51.299999pt;margin-top:108.812325pt;width:62.4pt;height:39pt;mso-position-horizontal-relative:page;mso-position-vertical-relative:paragraph;z-index:8512;mso-wrap-distance-left:0;mso-wrap-distance-right:0" coordorigin="1026,2176" coordsize="1248,780">
            <v:shape style="position:absolute;left:1037;top:2176;width:1231;height:12" type="#_x0000_t75" stroked="false">
              <v:imagedata r:id="rId293" o:title=""/>
            </v:shape>
            <v:shape style="position:absolute;left:1026;top:2188;width:1242;height:180" type="#_x0000_t75" stroked="false">
              <v:imagedata r:id="rId294" o:title=""/>
            </v:shape>
            <v:line style="position:absolute" from="2257,2362" to="2268,2362" stroked="true" strokeweight=".6pt" strokecolor="#101010"/>
            <v:line style="position:absolute" from="2257,2374" to="2268,2374" stroked="true" strokeweight=".6pt" strokecolor="#0f0f0f"/>
            <v:line style="position:absolute" from="2257,2386" to="2268,2386" stroked="true" strokeweight=".6pt" strokecolor="#0f0f0f"/>
            <v:line style="position:absolute" from="2257,2398" to="2268,2398" stroked="true" strokeweight=".6pt" strokecolor="#0f0f0f"/>
            <v:line style="position:absolute" from="2257,2410" to="2268,2410" stroked="true" strokeweight=".6pt" strokecolor="#0f0f0f"/>
            <v:line style="position:absolute" from="2257,2422" to="2268,2422" stroked="true" strokeweight=".6pt" strokecolor="#0f0f0f"/>
            <v:line style="position:absolute" from="2257,2434" to="2268,2434" stroked="true" strokeweight=".6pt" strokecolor="#0f0f0f"/>
            <v:line style="position:absolute" from="2257,2446" to="2268,2446" stroked="true" strokeweight=".6pt" strokecolor="#0f0f0f"/>
            <v:line style="position:absolute" from="2257,2458" to="2268,2458" stroked="true" strokeweight=".6pt" strokecolor="#0f0f0f"/>
            <v:line style="position:absolute" from="2257,2470" to="2268,2470" stroked="true" strokeweight=".6pt" strokecolor="#0f0f0f"/>
            <v:line style="position:absolute" from="2257,2482" to="2268,2482" stroked="true" strokeweight=".6pt" strokecolor="#0f0f0f"/>
            <v:line style="position:absolute" from="2257,2494" to="2268,2494" stroked="true" strokeweight=".6pt" strokecolor="#0f0f0f"/>
            <v:line style="position:absolute" from="2257,2506" to="2268,2506" stroked="true" strokeweight=".6pt" strokecolor="#0f0f0f"/>
            <v:line style="position:absolute" from="2257,2518" to="2268,2518" stroked="true" strokeweight=".6pt" strokecolor="#0f0f0f"/>
            <v:line style="position:absolute" from="2257,2530" to="2268,2530" stroked="true" strokeweight=".6pt" strokecolor="#0f0f0f"/>
            <v:line style="position:absolute" from="2257,2542" to="2268,2542" stroked="true" strokeweight=".6pt" strokecolor="#0f0f0f"/>
            <v:line style="position:absolute" from="2257,2554" to="2268,2554" stroked="true" strokeweight=".6pt" strokecolor="#0f0f0f"/>
            <v:line style="position:absolute" from="2257,2566" to="2268,2566" stroked="true" strokeweight=".6pt" strokecolor="#0f0f0f"/>
            <v:line style="position:absolute" from="2257,2578" to="2268,2578" stroked="true" strokeweight=".6pt" strokecolor="#0f0f0f"/>
            <v:line style="position:absolute" from="2257,2590" to="2268,2590" stroked="true" strokeweight=".6pt" strokecolor="#0f0f0f"/>
            <v:line style="position:absolute" from="2257,2602" to="2268,2602" stroked="true" strokeweight=".6pt" strokecolor="#0f0f0f"/>
            <v:line style="position:absolute" from="2257,2614" to="2268,2614" stroked="true" strokeweight=".6pt" strokecolor="#0f0f0f"/>
            <v:line style="position:absolute" from="2257,2626" to="2268,2626" stroked="true" strokeweight=".6pt" strokecolor="#0f0f0f"/>
            <v:line style="position:absolute" from="2257,2638" to="2268,2638" stroked="true" strokeweight=".6pt" strokecolor="#0f0f0f"/>
            <v:line style="position:absolute" from="2257,2650" to="2268,2650" stroked="true" strokeweight=".6pt" strokecolor="#0f0f0f"/>
            <v:line style="position:absolute" from="2257,2662" to="2268,2662" stroked="true" strokeweight=".6pt" strokecolor="#0f0f0f"/>
            <v:line style="position:absolute" from="2257,2674" to="2268,2674" stroked="true" strokeweight=".6pt" strokecolor="#0f0f0f"/>
            <v:line style="position:absolute" from="2257,2686" to="2268,2686" stroked="true" strokeweight=".6pt" strokecolor="#0f0f0f"/>
            <v:line style="position:absolute" from="2257,2698" to="2268,2698" stroked="true" strokeweight=".6pt" strokecolor="#0f0f0f"/>
            <v:line style="position:absolute" from="2257,2710" to="2268,2710" stroked="true" strokeweight=".6pt" strokecolor="#0f0f0f"/>
            <v:line style="position:absolute" from="2257,2722" to="2268,2722" stroked="true" strokeweight=".6pt" strokecolor="#0f0f0f"/>
            <v:line style="position:absolute" from="2257,2734" to="2268,2734" stroked="true" strokeweight=".6pt" strokecolor="#0f0f0f"/>
            <v:line style="position:absolute" from="2257,2746" to="2268,2746" stroked="true" strokeweight=".6pt" strokecolor="#0f0f0f"/>
            <v:line style="position:absolute" from="2257,2758" to="2268,2758" stroked="true" strokeweight=".6pt" strokecolor="#0f0f0f"/>
            <v:line style="position:absolute" from="2257,2770" to="2268,2770" stroked="true" strokeweight=".6pt" strokecolor="#0f0f0f"/>
            <v:line style="position:absolute" from="2257,2782" to="2268,2782" stroked="true" strokeweight=".6pt" strokecolor="#0f0f0f"/>
            <v:line style="position:absolute" from="2257,2794" to="2268,2794" stroked="true" strokeweight=".6pt" strokecolor="#0f0f0f"/>
            <v:line style="position:absolute" from="2257,2806" to="2268,2806" stroked="true" strokeweight=".6pt" strokecolor="#0f0f0f"/>
            <v:line style="position:absolute" from="2257,2818" to="2268,2818" stroked="true" strokeweight=".6pt" strokecolor="#0f0f0f"/>
            <v:line style="position:absolute" from="2257,2830" to="2268,2830" stroked="true" strokeweight=".6pt" strokecolor="#0f0f0f"/>
            <v:line style="position:absolute" from="2257,2842" to="2268,2842" stroked="true" strokeweight=".6pt" strokecolor="#0f0f0f"/>
            <v:line style="position:absolute" from="2257,2854" to="2268,2854" stroked="true" strokeweight=".6pt" strokecolor="#0f0f0f"/>
            <v:line style="position:absolute" from="2257,2866" to="2268,2866" stroked="true" strokeweight=".6pt" strokecolor="#0f0f0f"/>
            <v:line style="position:absolute" from="2257,2878" to="2268,2878" stroked="true" strokeweight=".6pt" strokecolor="#0f0f0f"/>
            <v:line style="position:absolute" from="2257,2890" to="2268,2890" stroked="true" strokeweight=".6pt" strokecolor="#0f0f0f"/>
            <v:line style="position:absolute" from="2257,2902" to="2268,2902" stroked="true" strokeweight=".6pt" strokecolor="#0f0f0f"/>
            <v:line style="position:absolute" from="2257,2914" to="2268,2914" stroked="true" strokeweight=".6pt" strokecolor="#0f0f0f"/>
            <v:line style="position:absolute" from="2257,2926" to="2268,2926" stroked="true" strokeweight=".6pt" strokecolor="#101010"/>
            <v:shape style="position:absolute;left:1026;top:2368;width:1242;height:588" type="#_x0000_t75" stroked="false">
              <v:imagedata r:id="rId295" o:title=""/>
            </v:shape>
            <w10:wrap type="topAndBottom"/>
          </v:group>
        </w:pict>
      </w:r>
      <w:r>
        <w:rPr/>
        <w:drawing>
          <wp:anchor distT="0" distB="0" distL="0" distR="0" allowOverlap="1" layoutInCell="1" locked="0" behindDoc="0" simplePos="0" relativeHeight="8536">
            <wp:simplePos x="0" y="0"/>
            <wp:positionH relativeFrom="page">
              <wp:posOffset>2146554</wp:posOffset>
            </wp:positionH>
            <wp:positionV relativeFrom="paragraph">
              <wp:posOffset>1496216</wp:posOffset>
            </wp:positionV>
            <wp:extent cx="788670" cy="350519"/>
            <wp:effectExtent l="0" t="0" r="0" b="0"/>
            <wp:wrapTopAndBottom/>
            <wp:docPr id="313" name="image185.png" descr=""/>
            <wp:cNvGraphicFramePr>
              <a:graphicFrameLocks noChangeAspect="1"/>
            </wp:cNvGraphicFramePr>
            <a:graphic>
              <a:graphicData uri="http://schemas.openxmlformats.org/drawingml/2006/picture">
                <pic:pic>
                  <pic:nvPicPr>
                    <pic:cNvPr id="314" name="image185.png"/>
                    <pic:cNvPicPr/>
                  </pic:nvPicPr>
                  <pic:blipFill>
                    <a:blip r:embed="rId296" cstate="print"/>
                    <a:stretch>
                      <a:fillRect/>
                    </a:stretch>
                  </pic:blipFill>
                  <pic:spPr>
                    <a:xfrm>
                      <a:off x="0" y="0"/>
                      <a:ext cx="788670" cy="350519"/>
                    </a:xfrm>
                    <a:prstGeom prst="rect">
                      <a:avLst/>
                    </a:prstGeom>
                  </pic:spPr>
                </pic:pic>
              </a:graphicData>
            </a:graphic>
          </wp:anchor>
        </w:drawing>
      </w:r>
    </w:p>
    <w:p>
      <w:pPr>
        <w:pStyle w:val="BodyText"/>
        <w:spacing w:before="2"/>
        <w:rPr>
          <w:sz w:val="21"/>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3"/>
        <w:rPr>
          <w:sz w:val="16"/>
        </w:rPr>
      </w:pPr>
    </w:p>
    <w:p>
      <w:pPr>
        <w:spacing w:before="0"/>
        <w:ind w:left="320" w:right="6" w:hanging="1"/>
        <w:jc w:val="center"/>
        <w:rPr>
          <w:sz w:val="18"/>
        </w:rPr>
      </w:pPr>
      <w:r>
        <w:rPr>
          <w:sz w:val="18"/>
        </w:rPr>
        <w:t>Step 5. At this stage each position taken by the operator, of which the various code frequencies were determined with their respective percentage and level of risk, as presented in table 7 was coded.</w:t>
      </w:r>
    </w:p>
    <w:p>
      <w:pPr>
        <w:pStyle w:val="BodyText"/>
        <w:spacing w:before="7"/>
        <w:rPr>
          <w:sz w:val="24"/>
        </w:rPr>
      </w:pPr>
      <w:r>
        <w:rPr/>
        <w:br w:type="column"/>
      </w:r>
      <w:r>
        <w:rPr>
          <w:sz w:val="24"/>
        </w:rPr>
      </w:r>
    </w:p>
    <w:p>
      <w:pPr>
        <w:spacing w:before="0"/>
        <w:ind w:left="270" w:right="677" w:firstLine="0"/>
        <w:jc w:val="both"/>
        <w:rPr>
          <w:sz w:val="18"/>
        </w:rPr>
      </w:pPr>
      <w:r>
        <w:rPr>
          <w:sz w:val="18"/>
        </w:rPr>
        <w:t>Step 6. Table 19 could identify their most critical operator positions, which are presented by their risk level and the frequency with  which  the  operator  present  this  position,  considering   the</w:t>
      </w:r>
    </w:p>
    <w:p>
      <w:pPr>
        <w:pStyle w:val="BodyText"/>
        <w:spacing w:before="7"/>
        <w:rPr>
          <w:sz w:val="8"/>
        </w:rPr>
      </w:pPr>
    </w:p>
    <w:p>
      <w:pPr>
        <w:pStyle w:val="BodyText"/>
        <w:ind w:left="784"/>
      </w:pPr>
      <w:r>
        <w:rPr/>
        <w:drawing>
          <wp:inline distT="0" distB="0" distL="0" distR="0">
            <wp:extent cx="2356733" cy="1314640"/>
            <wp:effectExtent l="0" t="0" r="0" b="0"/>
            <wp:docPr id="315" name="image186.jpeg" descr=""/>
            <wp:cNvGraphicFramePr>
              <a:graphicFrameLocks noChangeAspect="1"/>
            </wp:cNvGraphicFramePr>
            <a:graphic>
              <a:graphicData uri="http://schemas.openxmlformats.org/drawingml/2006/picture">
                <pic:pic>
                  <pic:nvPicPr>
                    <pic:cNvPr id="316" name="image186.jpeg"/>
                    <pic:cNvPicPr/>
                  </pic:nvPicPr>
                  <pic:blipFill>
                    <a:blip r:embed="rId297" cstate="print"/>
                    <a:stretch>
                      <a:fillRect/>
                    </a:stretch>
                  </pic:blipFill>
                  <pic:spPr>
                    <a:xfrm>
                      <a:off x="0" y="0"/>
                      <a:ext cx="2356733" cy="1314640"/>
                    </a:xfrm>
                    <a:prstGeom prst="rect">
                      <a:avLst/>
                    </a:prstGeom>
                  </pic:spPr>
                </pic:pic>
              </a:graphicData>
            </a:graphic>
          </wp:inline>
        </w:drawing>
      </w:r>
      <w:r>
        <w:rPr/>
      </w:r>
    </w:p>
    <w:p>
      <w:pPr>
        <w:spacing w:line="202" w:lineRule="exact" w:before="0"/>
        <w:ind w:left="270" w:right="0" w:firstLine="0"/>
        <w:jc w:val="both"/>
        <w:rPr>
          <w:sz w:val="18"/>
        </w:rPr>
      </w:pPr>
      <w:r>
        <w:rPr>
          <w:sz w:val="18"/>
        </w:rPr>
        <w:t>above position 4,5 and 9 representing the riskier.</w:t>
      </w:r>
    </w:p>
    <w:p>
      <w:pPr>
        <w:spacing w:before="0"/>
        <w:ind w:left="270" w:right="677" w:firstLine="0"/>
        <w:jc w:val="both"/>
        <w:rPr>
          <w:sz w:val="18"/>
        </w:rPr>
      </w:pPr>
      <w:r>
        <w:rPr>
          <w:sz w:val="18"/>
        </w:rPr>
        <w:t>Step 7. Back postures, positions of arms, legs and postures load or stress, which yielded the following results: Step 7. The percentage of repetitions of the positions taken by the operator, which were calculated:</w:t>
      </w:r>
    </w:p>
    <w:p>
      <w:pPr>
        <w:pStyle w:val="BodyText"/>
        <w:spacing w:before="10"/>
        <w:rPr>
          <w:sz w:val="11"/>
        </w:rPr>
      </w:pPr>
    </w:p>
    <w:p>
      <w:pPr>
        <w:pStyle w:val="BodyText"/>
        <w:ind w:left="834"/>
      </w:pPr>
      <w:r>
        <w:rPr/>
        <w:drawing>
          <wp:inline distT="0" distB="0" distL="0" distR="0">
            <wp:extent cx="2457009" cy="1634204"/>
            <wp:effectExtent l="0" t="0" r="0" b="0"/>
            <wp:docPr id="317" name="image187.jpeg" descr=""/>
            <wp:cNvGraphicFramePr>
              <a:graphicFrameLocks noChangeAspect="1"/>
            </wp:cNvGraphicFramePr>
            <a:graphic>
              <a:graphicData uri="http://schemas.openxmlformats.org/drawingml/2006/picture">
                <pic:pic>
                  <pic:nvPicPr>
                    <pic:cNvPr id="318" name="image187.jpeg"/>
                    <pic:cNvPicPr/>
                  </pic:nvPicPr>
                  <pic:blipFill>
                    <a:blip r:embed="rId298" cstate="print"/>
                    <a:stretch>
                      <a:fillRect/>
                    </a:stretch>
                  </pic:blipFill>
                  <pic:spPr>
                    <a:xfrm>
                      <a:off x="0" y="0"/>
                      <a:ext cx="2457009" cy="1634204"/>
                    </a:xfrm>
                    <a:prstGeom prst="rect">
                      <a:avLst/>
                    </a:prstGeom>
                  </pic:spPr>
                </pic:pic>
              </a:graphicData>
            </a:graphic>
          </wp:inline>
        </w:drawing>
      </w:r>
      <w:r>
        <w:rPr/>
      </w:r>
    </w:p>
    <w:p>
      <w:pPr>
        <w:pStyle w:val="BodyText"/>
        <w:spacing w:before="5"/>
        <w:rPr>
          <w:sz w:val="18"/>
        </w:rPr>
      </w:pPr>
    </w:p>
    <w:p>
      <w:pPr>
        <w:spacing w:line="205" w:lineRule="exact" w:before="0"/>
        <w:ind w:left="270" w:right="0" w:firstLine="0"/>
        <w:jc w:val="both"/>
        <w:rPr>
          <w:b/>
          <w:sz w:val="18"/>
        </w:rPr>
      </w:pPr>
      <w:r>
        <w:rPr>
          <w:b/>
          <w:sz w:val="18"/>
        </w:rPr>
        <w:t>Back postures</w:t>
      </w:r>
    </w:p>
    <w:p>
      <w:pPr>
        <w:spacing w:line="240" w:lineRule="auto" w:before="0"/>
        <w:ind w:left="270" w:right="677" w:firstLine="0"/>
        <w:jc w:val="both"/>
        <w:rPr>
          <w:sz w:val="18"/>
        </w:rPr>
      </w:pPr>
      <w:r>
        <w:rPr>
          <w:sz w:val="18"/>
        </w:rPr>
        <w:t>The following table shows the frequency positions back by the worker and you can see that most often with his back bent with 59%, making this activity in that position as shown in Figure 5.</w:t>
      </w:r>
    </w:p>
    <w:p>
      <w:pPr>
        <w:pStyle w:val="BodyText"/>
        <w:spacing w:before="7"/>
        <w:rPr>
          <w:sz w:val="11"/>
        </w:rPr>
      </w:pPr>
    </w:p>
    <w:p>
      <w:pPr>
        <w:pStyle w:val="BodyText"/>
        <w:ind w:left="553"/>
      </w:pPr>
      <w:r>
        <w:rPr/>
        <w:drawing>
          <wp:inline distT="0" distB="0" distL="0" distR="0">
            <wp:extent cx="2735893" cy="1849564"/>
            <wp:effectExtent l="0" t="0" r="0" b="0"/>
            <wp:docPr id="319" name="image188.jpeg" descr=""/>
            <wp:cNvGraphicFramePr>
              <a:graphicFrameLocks noChangeAspect="1"/>
            </wp:cNvGraphicFramePr>
            <a:graphic>
              <a:graphicData uri="http://schemas.openxmlformats.org/drawingml/2006/picture">
                <pic:pic>
                  <pic:nvPicPr>
                    <pic:cNvPr id="320" name="image188.jpeg"/>
                    <pic:cNvPicPr/>
                  </pic:nvPicPr>
                  <pic:blipFill>
                    <a:blip r:embed="rId299" cstate="print"/>
                    <a:stretch>
                      <a:fillRect/>
                    </a:stretch>
                  </pic:blipFill>
                  <pic:spPr>
                    <a:xfrm>
                      <a:off x="0" y="0"/>
                      <a:ext cx="2735893" cy="1849564"/>
                    </a:xfrm>
                    <a:prstGeom prst="rect">
                      <a:avLst/>
                    </a:prstGeom>
                  </pic:spPr>
                </pic:pic>
              </a:graphicData>
            </a:graphic>
          </wp:inline>
        </w:drawing>
      </w:r>
      <w:r>
        <w:rPr/>
      </w:r>
    </w:p>
    <w:p>
      <w:pPr>
        <w:spacing w:before="58"/>
        <w:ind w:left="600" w:right="702" w:firstLine="0"/>
        <w:jc w:val="left"/>
        <w:rPr>
          <w:sz w:val="18"/>
        </w:rPr>
      </w:pPr>
      <w:r>
        <w:rPr>
          <w:sz w:val="18"/>
        </w:rPr>
        <w:t>Figure 6. Graph of results frequency positions of the back.</w:t>
      </w:r>
    </w:p>
    <w:p>
      <w:pPr>
        <w:pStyle w:val="BodyText"/>
        <w:rPr>
          <w:sz w:val="18"/>
        </w:rPr>
      </w:pPr>
    </w:p>
    <w:p>
      <w:pPr>
        <w:pStyle w:val="BodyText"/>
        <w:spacing w:before="3"/>
        <w:rPr>
          <w:sz w:val="18"/>
        </w:rPr>
      </w:pPr>
    </w:p>
    <w:p>
      <w:pPr>
        <w:spacing w:before="0"/>
        <w:ind w:left="270" w:right="0" w:firstLine="0"/>
        <w:jc w:val="both"/>
        <w:rPr>
          <w:b/>
          <w:sz w:val="18"/>
        </w:rPr>
      </w:pPr>
      <w:r>
        <w:rPr>
          <w:b/>
          <w:sz w:val="18"/>
        </w:rPr>
        <w:t>Posture of the arms</w:t>
      </w:r>
    </w:p>
    <w:p>
      <w:pPr>
        <w:pStyle w:val="BodyText"/>
        <w:spacing w:before="7"/>
        <w:rPr>
          <w:b/>
          <w:sz w:val="17"/>
        </w:rPr>
      </w:pPr>
    </w:p>
    <w:p>
      <w:pPr>
        <w:spacing w:before="1"/>
        <w:ind w:left="270" w:right="677" w:firstLine="0"/>
        <w:jc w:val="both"/>
        <w:rPr>
          <w:sz w:val="18"/>
        </w:rPr>
      </w:pPr>
      <w:r>
        <w:rPr>
          <w:sz w:val="18"/>
        </w:rPr>
        <w:t>This table is achieved observed that 100% of the worker positions were observed with the lower arms, which are presented in Figure 6.</w:t>
      </w:r>
    </w:p>
    <w:p>
      <w:pPr>
        <w:pStyle w:val="BodyText"/>
        <w:rPr>
          <w:sz w:val="18"/>
        </w:rPr>
      </w:pPr>
    </w:p>
    <w:p>
      <w:pPr>
        <w:spacing w:before="0"/>
        <w:ind w:left="639" w:right="702" w:firstLine="0"/>
        <w:jc w:val="left"/>
        <w:rPr>
          <w:sz w:val="18"/>
        </w:rPr>
      </w:pPr>
      <w:r>
        <w:rPr>
          <w:sz w:val="18"/>
        </w:rPr>
        <w:t>Figure 6. Frequency arm postures adopted by the worker.</w:t>
      </w:r>
    </w:p>
    <w:p>
      <w:pPr>
        <w:spacing w:after="0"/>
        <w:jc w:val="left"/>
        <w:rPr>
          <w:sz w:val="18"/>
        </w:rPr>
        <w:sectPr>
          <w:type w:val="continuous"/>
          <w:pgSz w:w="12240" w:h="15840"/>
          <w:pgMar w:top="1500" w:bottom="280" w:left="580" w:right="220"/>
          <w:cols w:num="2" w:equalWidth="0">
            <w:col w:w="5147" w:space="477"/>
            <w:col w:w="5816"/>
          </w:cols>
        </w:sectPr>
      </w:pPr>
    </w:p>
    <w:p>
      <w:pPr>
        <w:pStyle w:val="BodyText"/>
        <w:rPr>
          <w:sz w:val="11"/>
        </w:rPr>
      </w:pPr>
    </w:p>
    <w:p>
      <w:pPr>
        <w:spacing w:after="0"/>
        <w:rPr>
          <w:sz w:val="11"/>
        </w:rPr>
        <w:sectPr>
          <w:pgSz w:w="12240" w:h="15840"/>
          <w:pgMar w:header="545" w:footer="852" w:top="1060" w:bottom="1040" w:left="580" w:right="220"/>
        </w:sectPr>
      </w:pPr>
    </w:p>
    <w:p>
      <w:pPr>
        <w:spacing w:line="205" w:lineRule="exact" w:before="80"/>
        <w:ind w:left="270" w:right="0" w:firstLine="0"/>
        <w:jc w:val="both"/>
        <w:rPr>
          <w:b/>
          <w:sz w:val="18"/>
        </w:rPr>
      </w:pPr>
      <w:r>
        <w:rPr>
          <w:b/>
          <w:sz w:val="18"/>
        </w:rPr>
        <w:t>Posture of legs</w:t>
      </w:r>
    </w:p>
    <w:p>
      <w:pPr>
        <w:spacing w:line="240" w:lineRule="auto" w:before="0"/>
        <w:ind w:left="270" w:right="1" w:firstLine="0"/>
        <w:jc w:val="both"/>
        <w:rPr>
          <w:sz w:val="18"/>
        </w:rPr>
      </w:pPr>
      <w:r>
        <w:rPr>
          <w:sz w:val="18"/>
        </w:rPr>
        <w:t>The following table shows how often and leg positions can be seen that the highest frequency is standing with one leg and the other bent with the weight balance between the two with 60%, making this activity in that position which is presented in table 23, the results were represented in a pie chart as shown in Figure</w:t>
      </w:r>
      <w:r>
        <w:rPr>
          <w:spacing w:val="-19"/>
          <w:sz w:val="18"/>
        </w:rPr>
        <w:t> </w:t>
      </w:r>
      <w:r>
        <w:rPr>
          <w:sz w:val="18"/>
        </w:rPr>
        <w:t>7.</w:t>
      </w:r>
    </w:p>
    <w:p>
      <w:pPr>
        <w:pStyle w:val="BodyText"/>
        <w:rPr>
          <w:sz w:val="18"/>
        </w:rPr>
      </w:pPr>
    </w:p>
    <w:p>
      <w:pPr>
        <w:spacing w:before="0"/>
        <w:ind w:left="358" w:right="89" w:firstLine="0"/>
        <w:jc w:val="center"/>
        <w:rPr>
          <w:sz w:val="18"/>
        </w:rPr>
      </w:pPr>
      <w:r>
        <w:rPr>
          <w:sz w:val="18"/>
        </w:rPr>
        <w:t>Figure 7. Graph of results frequency posture of the legs.</w:t>
      </w:r>
    </w:p>
    <w:p>
      <w:pPr>
        <w:pStyle w:val="BodyText"/>
        <w:spacing w:before="3"/>
        <w:rPr>
          <w:sz w:val="18"/>
        </w:rPr>
      </w:pPr>
    </w:p>
    <w:p>
      <w:pPr>
        <w:spacing w:before="0"/>
        <w:ind w:left="270" w:right="0" w:firstLine="0"/>
        <w:jc w:val="both"/>
        <w:rPr>
          <w:b/>
          <w:sz w:val="18"/>
        </w:rPr>
      </w:pPr>
      <w:r>
        <w:rPr>
          <w:b/>
          <w:sz w:val="18"/>
        </w:rPr>
        <w:t>Force / Load</w:t>
      </w:r>
    </w:p>
    <w:p>
      <w:pPr>
        <w:pStyle w:val="BodyText"/>
        <w:spacing w:before="7"/>
        <w:rPr>
          <w:b/>
          <w:sz w:val="17"/>
        </w:rPr>
      </w:pPr>
    </w:p>
    <w:p>
      <w:pPr>
        <w:spacing w:before="1"/>
        <w:ind w:left="270" w:right="0" w:firstLine="0"/>
        <w:jc w:val="both"/>
        <w:rPr>
          <w:sz w:val="18"/>
        </w:rPr>
      </w:pPr>
      <w:r>
        <w:rPr>
          <w:sz w:val="18"/>
        </w:rPr>
        <w:t>In this table we can see that 100% of lifting loads by a worker were less than or equal to 10 kg, as shown in Figure 8.</w:t>
      </w:r>
    </w:p>
    <w:p>
      <w:pPr>
        <w:pStyle w:val="BodyText"/>
        <w:spacing w:before="5"/>
        <w:rPr>
          <w:sz w:val="15"/>
        </w:rPr>
      </w:pPr>
      <w:r>
        <w:rPr/>
        <w:drawing>
          <wp:anchor distT="0" distB="0" distL="0" distR="0" allowOverlap="1" layoutInCell="1" locked="0" behindDoc="0" simplePos="0" relativeHeight="8560">
            <wp:simplePos x="0" y="0"/>
            <wp:positionH relativeFrom="page">
              <wp:posOffset>743712</wp:posOffset>
            </wp:positionH>
            <wp:positionV relativeFrom="paragraph">
              <wp:posOffset>137573</wp:posOffset>
            </wp:positionV>
            <wp:extent cx="2703076" cy="1684877"/>
            <wp:effectExtent l="0" t="0" r="0" b="0"/>
            <wp:wrapTopAndBottom/>
            <wp:docPr id="321" name="image189.jpeg" descr=""/>
            <wp:cNvGraphicFramePr>
              <a:graphicFrameLocks noChangeAspect="1"/>
            </wp:cNvGraphicFramePr>
            <a:graphic>
              <a:graphicData uri="http://schemas.openxmlformats.org/drawingml/2006/picture">
                <pic:pic>
                  <pic:nvPicPr>
                    <pic:cNvPr id="322" name="image189.jpeg"/>
                    <pic:cNvPicPr/>
                  </pic:nvPicPr>
                  <pic:blipFill>
                    <a:blip r:embed="rId300" cstate="print"/>
                    <a:stretch>
                      <a:fillRect/>
                    </a:stretch>
                  </pic:blipFill>
                  <pic:spPr>
                    <a:xfrm>
                      <a:off x="0" y="0"/>
                      <a:ext cx="2703076" cy="1684877"/>
                    </a:xfrm>
                    <a:prstGeom prst="rect">
                      <a:avLst/>
                    </a:prstGeom>
                  </pic:spPr>
                </pic:pic>
              </a:graphicData>
            </a:graphic>
          </wp:anchor>
        </w:drawing>
      </w:r>
    </w:p>
    <w:p>
      <w:pPr>
        <w:spacing w:before="0"/>
        <w:ind w:left="357" w:right="89" w:firstLine="0"/>
        <w:jc w:val="center"/>
        <w:rPr>
          <w:sz w:val="18"/>
        </w:rPr>
      </w:pPr>
      <w:r>
        <w:rPr>
          <w:sz w:val="18"/>
        </w:rPr>
        <w:t>Figure 8. Graph of results force / load.</w:t>
      </w:r>
    </w:p>
    <w:p>
      <w:pPr>
        <w:pStyle w:val="BodyText"/>
        <w:rPr>
          <w:sz w:val="18"/>
        </w:rPr>
      </w:pPr>
    </w:p>
    <w:p>
      <w:pPr>
        <w:pStyle w:val="BodyText"/>
        <w:rPr>
          <w:sz w:val="18"/>
        </w:rPr>
      </w:pPr>
    </w:p>
    <w:p>
      <w:pPr>
        <w:spacing w:before="0"/>
        <w:ind w:left="270" w:right="0" w:firstLine="0"/>
        <w:jc w:val="both"/>
        <w:rPr>
          <w:sz w:val="18"/>
        </w:rPr>
      </w:pPr>
      <w:r>
        <w:rPr>
          <w:sz w:val="18"/>
        </w:rPr>
        <w:t>Step 8. Based on the results yielded in step 6, you can determine that the job requires a redesign, which could bring benefits to the worker or to the same company as it would reduce injuries that generate bad postures adopts the</w:t>
      </w:r>
      <w:r>
        <w:rPr>
          <w:spacing w:val="-6"/>
          <w:sz w:val="18"/>
        </w:rPr>
        <w:t> </w:t>
      </w:r>
      <w:r>
        <w:rPr>
          <w:sz w:val="18"/>
        </w:rPr>
        <w:t>worker.</w:t>
      </w:r>
    </w:p>
    <w:p>
      <w:pPr>
        <w:pStyle w:val="BodyText"/>
        <w:spacing w:before="3"/>
        <w:rPr>
          <w:sz w:val="18"/>
        </w:rPr>
      </w:pPr>
    </w:p>
    <w:p>
      <w:pPr>
        <w:pStyle w:val="ListParagraph"/>
        <w:numPr>
          <w:ilvl w:val="0"/>
          <w:numId w:val="69"/>
        </w:numPr>
        <w:tabs>
          <w:tab w:pos="631" w:val="left" w:leader="none"/>
        </w:tabs>
        <w:spacing w:line="240" w:lineRule="auto" w:before="0" w:after="0"/>
        <w:ind w:left="630" w:right="0" w:hanging="360"/>
        <w:jc w:val="both"/>
        <w:rPr>
          <w:b/>
          <w:sz w:val="18"/>
        </w:rPr>
      </w:pPr>
      <w:r>
        <w:rPr>
          <w:b/>
          <w:sz w:val="18"/>
        </w:rPr>
        <w:t>CONCLUSIONS AND</w:t>
      </w:r>
      <w:r>
        <w:rPr>
          <w:b/>
          <w:spacing w:val="-23"/>
          <w:sz w:val="18"/>
        </w:rPr>
        <w:t> </w:t>
      </w:r>
      <w:r>
        <w:rPr>
          <w:b/>
          <w:sz w:val="18"/>
        </w:rPr>
        <w:t>RECOMMENDATIONS</w:t>
      </w:r>
    </w:p>
    <w:p>
      <w:pPr>
        <w:pStyle w:val="BodyText"/>
        <w:spacing w:before="7"/>
        <w:rPr>
          <w:b/>
          <w:sz w:val="17"/>
        </w:rPr>
      </w:pPr>
    </w:p>
    <w:p>
      <w:pPr>
        <w:spacing w:before="1"/>
        <w:ind w:left="270" w:right="0" w:firstLine="0"/>
        <w:jc w:val="both"/>
        <w:rPr>
          <w:sz w:val="18"/>
        </w:rPr>
      </w:pPr>
      <w:r>
        <w:rPr>
          <w:sz w:val="18"/>
        </w:rPr>
        <w:t>Evaluation conducted at selected job results showed levels of postural loads to which workers are exposed, together with the results of the factors evaluated on direct observations operators. By applying the method OWAS 9 different positions which the operator spent most of the time with back bent which is harmful to the spine and neck were obtained, which recommended a redesign  in the workplace as up the</w:t>
      </w:r>
      <w:r>
        <w:rPr>
          <w:spacing w:val="-8"/>
          <w:sz w:val="18"/>
        </w:rPr>
        <w:t> </w:t>
      </w:r>
      <w:r>
        <w:rPr>
          <w:sz w:val="18"/>
        </w:rPr>
        <w:t>machine.</w:t>
      </w:r>
    </w:p>
    <w:p>
      <w:pPr>
        <w:spacing w:before="0"/>
        <w:ind w:left="270" w:right="1" w:firstLine="403"/>
        <w:jc w:val="both"/>
        <w:rPr>
          <w:sz w:val="18"/>
        </w:rPr>
      </w:pPr>
      <w:r>
        <w:rPr>
          <w:sz w:val="18"/>
        </w:rPr>
        <w:t>It can be concluded that the exposure level of ergonomic risk assessed by OWAS method has a score of 2 corresponding to a lower level of postural risk in the work area nailamin hub for auto zipper. Risk factors of muscle disorders related to postural load on these areas of work are: repetition and static postures performed by the operator.</w:t>
      </w:r>
    </w:p>
    <w:p>
      <w:pPr>
        <w:pStyle w:val="BodyText"/>
        <w:rPr>
          <w:sz w:val="18"/>
        </w:rPr>
      </w:pPr>
    </w:p>
    <w:p>
      <w:pPr>
        <w:spacing w:before="0"/>
        <w:ind w:left="270" w:right="0" w:firstLine="0"/>
        <w:jc w:val="both"/>
        <w:rPr>
          <w:sz w:val="18"/>
        </w:rPr>
      </w:pPr>
      <w:r>
        <w:rPr>
          <w:sz w:val="18"/>
        </w:rPr>
        <w:t>It recommends a redesign in the workplace as:</w:t>
      </w:r>
    </w:p>
    <w:p>
      <w:pPr>
        <w:spacing w:line="207" w:lineRule="exact" w:before="0"/>
        <w:ind w:left="270" w:right="0" w:firstLine="0"/>
        <w:jc w:val="both"/>
        <w:rPr>
          <w:sz w:val="18"/>
        </w:rPr>
      </w:pPr>
      <w:r>
        <w:rPr>
          <w:sz w:val="18"/>
        </w:rPr>
        <w:t>•Raise the height of the machinery.</w:t>
      </w:r>
    </w:p>
    <w:p>
      <w:pPr>
        <w:spacing w:line="207" w:lineRule="exact" w:before="0"/>
        <w:ind w:left="270" w:right="0" w:firstLine="0"/>
        <w:jc w:val="both"/>
        <w:rPr>
          <w:sz w:val="18"/>
        </w:rPr>
      </w:pPr>
      <w:r>
        <w:rPr>
          <w:sz w:val="18"/>
        </w:rPr>
        <w:t>•Having a Chair sitting-stand</w:t>
      </w:r>
    </w:p>
    <w:p>
      <w:pPr>
        <w:spacing w:before="0"/>
        <w:ind w:left="270" w:right="118" w:firstLine="0"/>
        <w:jc w:val="left"/>
        <w:rPr>
          <w:sz w:val="18"/>
        </w:rPr>
      </w:pPr>
      <w:r>
        <w:rPr>
          <w:sz w:val="18"/>
        </w:rPr>
        <w:t>•Constant assessments and take steps to reduce future injury to the operators.</w:t>
      </w:r>
    </w:p>
    <w:p>
      <w:pPr>
        <w:pStyle w:val="BodyText"/>
        <w:spacing w:before="3"/>
        <w:rPr>
          <w:sz w:val="18"/>
        </w:rPr>
      </w:pPr>
    </w:p>
    <w:p>
      <w:pPr>
        <w:pStyle w:val="ListParagraph"/>
        <w:numPr>
          <w:ilvl w:val="0"/>
          <w:numId w:val="69"/>
        </w:numPr>
        <w:tabs>
          <w:tab w:pos="452" w:val="left" w:leader="none"/>
        </w:tabs>
        <w:spacing w:line="240" w:lineRule="auto" w:before="0" w:after="0"/>
        <w:ind w:left="451" w:right="0" w:hanging="181"/>
        <w:jc w:val="both"/>
        <w:rPr>
          <w:b/>
          <w:sz w:val="18"/>
        </w:rPr>
      </w:pPr>
      <w:r>
        <w:rPr>
          <w:b/>
          <w:sz w:val="18"/>
        </w:rPr>
        <w:t>REFERENCES</w:t>
      </w:r>
    </w:p>
    <w:p>
      <w:pPr>
        <w:pStyle w:val="BodyText"/>
        <w:spacing w:before="7"/>
        <w:rPr>
          <w:b/>
          <w:sz w:val="17"/>
        </w:rPr>
      </w:pPr>
    </w:p>
    <w:p>
      <w:pPr>
        <w:spacing w:before="1"/>
        <w:ind w:left="270" w:right="0" w:firstLine="44"/>
        <w:jc w:val="both"/>
        <w:rPr>
          <w:sz w:val="18"/>
        </w:rPr>
      </w:pPr>
      <w:r>
        <w:rPr>
          <w:sz w:val="18"/>
        </w:rPr>
        <w:t>[1] AEE. (2011). Spanish Ergonomics Association. Retrieved on October 30, 2013, International Ergonomics Association: </w:t>
      </w:r>
      <w:hyperlink r:id="rId301">
        <w:r>
          <w:rPr>
            <w:sz w:val="18"/>
          </w:rPr>
          <w:t>http://www.ergonomos.es/junta.php</w:t>
        </w:r>
      </w:hyperlink>
    </w:p>
    <w:p>
      <w:pPr>
        <w:spacing w:before="0"/>
        <w:ind w:left="270" w:right="1" w:firstLine="0"/>
        <w:jc w:val="both"/>
        <w:rPr>
          <w:sz w:val="18"/>
        </w:rPr>
      </w:pPr>
      <w:r>
        <w:rPr>
          <w:sz w:val="18"/>
        </w:rPr>
        <w:t>[2]Castello Mercè P., O. P. (2010). Ergometal. Ergonomics manual for   machines   of   the   Sector   of   Metal.   Retrieved   Institute of</w:t>
      </w:r>
    </w:p>
    <w:p>
      <w:pPr>
        <w:tabs>
          <w:tab w:pos="2777" w:val="left" w:leader="none"/>
          <w:tab w:pos="4445" w:val="left" w:leader="none"/>
        </w:tabs>
        <w:spacing w:before="77"/>
        <w:ind w:left="270" w:right="679" w:firstLine="0"/>
        <w:jc w:val="both"/>
        <w:rPr>
          <w:sz w:val="18"/>
        </w:rPr>
      </w:pPr>
      <w:r>
        <w:rPr/>
        <w:br w:type="column"/>
      </w:r>
      <w:r>
        <w:rPr>
          <w:sz w:val="18"/>
        </w:rPr>
        <w:t>biomechanics</w:t>
        <w:tab/>
        <w:t>of</w:t>
        <w:tab/>
      </w:r>
      <w:r>
        <w:rPr>
          <w:spacing w:val="-1"/>
          <w:sz w:val="18"/>
        </w:rPr>
        <w:t>Valencia: </w:t>
      </w:r>
      <w:hyperlink r:id="rId302">
        <w:r>
          <w:rPr>
            <w:sz w:val="18"/>
          </w:rPr>
          <w:t>http://laboral.ibv.org/index.php/es/publicaciones/publicacion/show</w:t>
        </w:r>
      </w:hyperlink>
    </w:p>
    <w:p>
      <w:pPr>
        <w:spacing w:line="207" w:lineRule="exact" w:before="0"/>
        <w:ind w:left="270" w:right="0" w:firstLine="0"/>
        <w:jc w:val="both"/>
        <w:rPr>
          <w:sz w:val="18"/>
        </w:rPr>
      </w:pPr>
      <w:r>
        <w:rPr>
          <w:sz w:val="18"/>
        </w:rPr>
        <w:t>_product/47/171</w:t>
      </w:r>
    </w:p>
    <w:p>
      <w:pPr>
        <w:tabs>
          <w:tab w:pos="2544" w:val="left" w:leader="none"/>
          <w:tab w:pos="4225" w:val="left" w:leader="none"/>
        </w:tabs>
        <w:spacing w:before="0"/>
        <w:ind w:left="270" w:right="677" w:firstLine="0"/>
        <w:jc w:val="both"/>
        <w:rPr>
          <w:sz w:val="18"/>
        </w:rPr>
      </w:pPr>
      <w:r>
        <w:rPr>
          <w:sz w:val="18"/>
        </w:rPr>
        <w:t>[3] Martinez, r. (2011). Most common accidents in the industry. MANUFACTURING</w:t>
        <w:tab/>
        <w:t>STRATEGIC</w:t>
        <w:tab/>
        <w:t>INDUSTRY INFORMATION, 1.</w:t>
      </w:r>
    </w:p>
    <w:p>
      <w:pPr>
        <w:tabs>
          <w:tab w:pos="2393" w:val="left" w:leader="none"/>
          <w:tab w:pos="4326" w:val="left" w:leader="none"/>
        </w:tabs>
        <w:spacing w:before="0"/>
        <w:ind w:left="270" w:right="677" w:firstLine="0"/>
        <w:jc w:val="both"/>
        <w:rPr>
          <w:sz w:val="18"/>
        </w:rPr>
      </w:pPr>
      <w:r>
        <w:rPr>
          <w:sz w:val="18"/>
        </w:rPr>
        <w:t>[4] Padrón, I. C. (February 2010). Model of the job post in the metalworking industry based on the theory of processes, theory of machines and ergonomics. Retrieved on October 29, 2013, of national</w:t>
        <w:tab/>
        <w:t>Open</w:t>
        <w:tab/>
        <w:t>University: </w:t>
      </w:r>
      <w:hyperlink r:id="rId303">
        <w:r>
          <w:rPr>
            <w:sz w:val="18"/>
          </w:rPr>
          <w:t>http://biblo.una.edu.ve/docu.7/bases/marc/texto/t36881.pdf</w:t>
        </w:r>
      </w:hyperlink>
    </w:p>
    <w:p>
      <w:pPr>
        <w:spacing w:before="0"/>
        <w:ind w:left="270" w:right="676" w:firstLine="0"/>
        <w:jc w:val="both"/>
        <w:rPr>
          <w:sz w:val="18"/>
        </w:rPr>
      </w:pPr>
      <w:r>
        <w:rPr>
          <w:sz w:val="18"/>
        </w:rPr>
        <w:t>[5] Ricardo López, J. Z. (2010). Handbook of occupational risk prevention for freelancers in the sector of metal in the Region of Murcia. Retrieved from regional Federation of employers in the metal of Murcia: </w:t>
      </w:r>
      <w:hyperlink r:id="rId304">
        <w:r>
          <w:rPr>
            <w:sz w:val="18"/>
          </w:rPr>
          <w:t>www.fremm.es</w:t>
        </w:r>
      </w:hyperlink>
    </w:p>
    <w:p>
      <w:pPr>
        <w:spacing w:before="0"/>
        <w:ind w:left="270" w:right="677" w:firstLine="0"/>
        <w:jc w:val="both"/>
        <w:rPr>
          <w:sz w:val="18"/>
        </w:rPr>
      </w:pPr>
      <w:r>
        <w:rPr>
          <w:sz w:val="18"/>
        </w:rPr>
        <w:t>[6] STPS. (2012). self-management in safety and health at work. Retrieved on November 21, 2013, Secretary of labor and  prevention Social.: work: </w:t>
      </w:r>
      <w:hyperlink r:id="rId305">
        <w:r>
          <w:rPr>
            <w:sz w:val="18"/>
          </w:rPr>
          <w:t>http://autogestion.stps.gob.mx:</w:t>
        </w:r>
      </w:hyperlink>
      <w:r>
        <w:rPr>
          <w:sz w:val="18"/>
        </w:rPr>
        <w:t> 8162/estadistica.aspx</w:t>
      </w:r>
    </w:p>
    <w:p>
      <w:pPr>
        <w:spacing w:before="0"/>
        <w:ind w:left="270" w:right="678" w:firstLine="0"/>
        <w:jc w:val="both"/>
        <w:rPr>
          <w:sz w:val="18"/>
        </w:rPr>
      </w:pPr>
      <w:r>
        <w:rPr>
          <w:sz w:val="18"/>
        </w:rPr>
        <w:t>[7] University of Valencia. (2013). evaluation OWAS method. Retrieved on October 30, 2013, ergonomic assessment of jobs: </w:t>
      </w:r>
      <w:hyperlink r:id="rId306">
        <w:r>
          <w:rPr>
            <w:sz w:val="18"/>
          </w:rPr>
          <w:t>http://www.ergonautas.upv.es/metodos/owas/owas-ayuda.php</w:t>
        </w:r>
      </w:hyperlink>
    </w:p>
    <w:p>
      <w:pPr>
        <w:spacing w:before="0"/>
        <w:ind w:left="270" w:right="676" w:firstLine="0"/>
        <w:jc w:val="both"/>
        <w:rPr>
          <w:sz w:val="18"/>
        </w:rPr>
      </w:pPr>
      <w:r>
        <w:rPr>
          <w:sz w:val="18"/>
        </w:rPr>
        <w:t>[8] International Labour Organization. (2002). recording and notification of occupational accidents and occupational diseases. Retrieved from International Conference of work 90 meeting. V. report</w:t>
      </w:r>
    </w:p>
    <w:p>
      <w:pPr>
        <w:pStyle w:val="BodyText"/>
        <w:rPr>
          <w:sz w:val="18"/>
        </w:rPr>
      </w:pPr>
    </w:p>
    <w:p>
      <w:pPr>
        <w:spacing w:before="0"/>
        <w:ind w:left="270" w:right="0" w:firstLine="0"/>
        <w:jc w:val="both"/>
        <w:rPr>
          <w:sz w:val="18"/>
        </w:rPr>
      </w:pPr>
      <w:r>
        <w:rPr>
          <w:b/>
          <w:sz w:val="18"/>
        </w:rPr>
        <w:t>Principal author's name: </w:t>
      </w:r>
      <w:r>
        <w:rPr>
          <w:sz w:val="18"/>
        </w:rPr>
        <w:t>She is a industrial engineer student</w:t>
      </w:r>
    </w:p>
    <w:p>
      <w:pPr>
        <w:spacing w:after="0"/>
        <w:jc w:val="both"/>
        <w:rPr>
          <w:sz w:val="18"/>
        </w:rPr>
        <w:sectPr>
          <w:type w:val="continuous"/>
          <w:pgSz w:w="12240" w:h="15840"/>
          <w:pgMar w:top="1500" w:bottom="280" w:left="580" w:right="220"/>
          <w:cols w:num="2" w:equalWidth="0">
            <w:col w:w="5190" w:space="434"/>
            <w:col w:w="5816"/>
          </w:cols>
        </w:sectPr>
      </w:pPr>
    </w:p>
    <w:p>
      <w:pPr>
        <w:pStyle w:val="BodyText"/>
        <w:rPr>
          <w:sz w:val="11"/>
        </w:rPr>
      </w:pPr>
    </w:p>
    <w:p>
      <w:pPr>
        <w:spacing w:after="0"/>
        <w:rPr>
          <w:sz w:val="11"/>
        </w:rPr>
        <w:sectPr>
          <w:pgSz w:w="12240" w:h="15840"/>
          <w:pgMar w:header="545" w:footer="852" w:top="1060" w:bottom="1040" w:left="580" w:right="220"/>
        </w:sectPr>
      </w:pPr>
    </w:p>
    <w:p>
      <w:pPr>
        <w:pStyle w:val="BodyText"/>
        <w:spacing w:before="11"/>
        <w:rPr>
          <w:sz w:val="24"/>
        </w:rPr>
      </w:pPr>
    </w:p>
    <w:p>
      <w:pPr>
        <w:pStyle w:val="Heading1"/>
        <w:ind w:right="16"/>
      </w:pPr>
      <w:r>
        <w:rPr/>
        <w:t>Risk assessment using the RULA method in the process of ingrown Nails for Water Pump</w:t>
      </w:r>
    </w:p>
    <w:p>
      <w:pPr>
        <w:spacing w:line="206" w:lineRule="exact" w:before="208"/>
        <w:ind w:left="270" w:right="18" w:firstLine="0"/>
        <w:jc w:val="both"/>
        <w:rPr>
          <w:i/>
          <w:sz w:val="18"/>
        </w:rPr>
      </w:pPr>
      <w:r>
        <w:rPr>
          <w:i/>
          <w:sz w:val="18"/>
        </w:rPr>
        <w:t>Alexia Cecilia Anaya Flores</w:t>
      </w:r>
      <w:r>
        <w:rPr>
          <w:i/>
          <w:position w:val="8"/>
          <w:sz w:val="12"/>
        </w:rPr>
        <w:t>a</w:t>
      </w:r>
      <w:r>
        <w:rPr>
          <w:rFonts w:ascii="Arial" w:hAnsi="Arial"/>
          <w:sz w:val="18"/>
        </w:rPr>
        <w:t>, </w:t>
      </w:r>
      <w:r>
        <w:rPr>
          <w:i/>
          <w:sz w:val="18"/>
        </w:rPr>
        <w:t>Mauricio López Acosta</w:t>
      </w:r>
      <w:r>
        <w:rPr>
          <w:i/>
          <w:position w:val="8"/>
          <w:sz w:val="12"/>
        </w:rPr>
        <w:t>b</w:t>
      </w:r>
      <w:r>
        <w:rPr>
          <w:i/>
          <w:sz w:val="18"/>
        </w:rPr>
        <w:t>, Lizette </w:t>
      </w:r>
      <w:r>
        <w:rPr>
          <w:i/>
          <w:sz w:val="18"/>
        </w:rPr>
        <w:t>Marcela Rodriguez Moncayo</w:t>
      </w:r>
      <w:r>
        <w:rPr>
          <w:i/>
          <w:position w:val="8"/>
          <w:sz w:val="12"/>
        </w:rPr>
        <w:t>b</w:t>
      </w:r>
      <w:r>
        <w:rPr>
          <w:i/>
          <w:sz w:val="18"/>
        </w:rPr>
        <w:t>, Jesus Enrique Sánchez Padilla</w:t>
      </w:r>
      <w:r>
        <w:rPr>
          <w:i/>
          <w:position w:val="8"/>
          <w:sz w:val="12"/>
        </w:rPr>
        <w:t>b</w:t>
      </w:r>
      <w:r>
        <w:rPr>
          <w:i/>
          <w:sz w:val="18"/>
        </w:rPr>
        <w:t>.</w:t>
      </w:r>
    </w:p>
    <w:p>
      <w:pPr>
        <w:pStyle w:val="BodyText"/>
        <w:spacing w:before="8"/>
        <w:rPr>
          <w:i/>
          <w:sz w:val="15"/>
        </w:rPr>
      </w:pPr>
    </w:p>
    <w:p>
      <w:pPr>
        <w:spacing w:before="0"/>
        <w:ind w:left="270" w:right="0" w:firstLine="0"/>
        <w:jc w:val="both"/>
        <w:rPr>
          <w:sz w:val="18"/>
        </w:rPr>
      </w:pPr>
      <w:r>
        <w:rPr>
          <w:position w:val="8"/>
          <w:sz w:val="12"/>
        </w:rPr>
        <w:t>a </w:t>
      </w:r>
      <w:r>
        <w:rPr>
          <w:sz w:val="18"/>
        </w:rPr>
        <w:t>Instituto Tecnológico de Sonora, C.P. 85860, </w:t>
      </w:r>
      <w:hyperlink r:id="rId307">
        <w:r>
          <w:rPr>
            <w:sz w:val="18"/>
          </w:rPr>
          <w:t>alexiiac92@hotmail.com,</w:t>
        </w:r>
      </w:hyperlink>
      <w:r>
        <w:rPr>
          <w:sz w:val="18"/>
        </w:rPr>
        <w:t> Navojoa, Sonora, México.</w:t>
      </w:r>
    </w:p>
    <w:p>
      <w:pPr>
        <w:spacing w:line="206" w:lineRule="exact" w:before="4"/>
        <w:ind w:left="270" w:right="0" w:firstLine="0"/>
        <w:jc w:val="both"/>
        <w:rPr>
          <w:sz w:val="18"/>
        </w:rPr>
      </w:pPr>
      <w:r>
        <w:rPr>
          <w:position w:val="8"/>
          <w:sz w:val="12"/>
        </w:rPr>
        <w:t>b </w:t>
      </w:r>
      <w:r>
        <w:rPr>
          <w:sz w:val="18"/>
        </w:rPr>
        <w:t>Instituto Tecnológico de Sonora, Departamento de Ingeniería Industrial, Navojoa, Sonora, México.</w:t>
      </w:r>
    </w:p>
    <w:p>
      <w:pPr>
        <w:pStyle w:val="BodyText"/>
        <w:rPr>
          <w:sz w:val="18"/>
        </w:rPr>
      </w:pPr>
    </w:p>
    <w:p>
      <w:pPr>
        <w:pStyle w:val="BodyText"/>
        <w:spacing w:before="3"/>
        <w:rPr>
          <w:sz w:val="18"/>
        </w:rPr>
      </w:pPr>
    </w:p>
    <w:p>
      <w:pPr>
        <w:spacing w:before="0"/>
        <w:ind w:left="270" w:right="0" w:firstLine="0"/>
        <w:jc w:val="both"/>
        <w:rPr>
          <w:b/>
          <w:sz w:val="18"/>
        </w:rPr>
      </w:pPr>
      <w:r>
        <w:rPr/>
        <w:pict>
          <v:line style="position:absolute;mso-position-horizontal-relative:page;mso-position-vertical-relative:paragraph;z-index:8584" from="41.040001pt,12.092063pt" to="289.860001pt,12.092063pt" stroked="true" strokeweight="1.5pt" strokecolor="#000000">
            <w10:wrap type="none"/>
          </v:line>
        </w:pict>
      </w:r>
      <w:r>
        <w:rPr>
          <w:b/>
          <w:sz w:val="18"/>
        </w:rPr>
        <w:t>Resumen</w:t>
      </w:r>
    </w:p>
    <w:p>
      <w:pPr>
        <w:spacing w:before="45"/>
        <w:ind w:left="270" w:right="17" w:firstLine="0"/>
        <w:jc w:val="both"/>
        <w:rPr>
          <w:sz w:val="18"/>
        </w:rPr>
      </w:pPr>
      <w:r>
        <w:rPr>
          <w:sz w:val="18"/>
        </w:rPr>
        <w:t>Actualmente la industria manufacturera juega un papel muy importante en el desarrollo tecnológico de nuestro país, por lo que  es necesario utilizar equipos y maquinaria adecuada al operador con el fin de reducir riesgos laborales, esto será posible si las maquinas o equipos de trabajo cuentan con un buen mantenimiento, sea correctivo o</w:t>
      </w:r>
      <w:r>
        <w:rPr>
          <w:spacing w:val="-7"/>
          <w:sz w:val="18"/>
        </w:rPr>
        <w:t> </w:t>
      </w:r>
      <w:r>
        <w:rPr>
          <w:sz w:val="18"/>
        </w:rPr>
        <w:t>preventivo.</w:t>
      </w:r>
    </w:p>
    <w:p>
      <w:pPr>
        <w:spacing w:before="0"/>
        <w:ind w:left="270" w:right="16" w:firstLine="430"/>
        <w:jc w:val="both"/>
        <w:rPr>
          <w:sz w:val="18"/>
        </w:rPr>
      </w:pPr>
      <w:r>
        <w:rPr>
          <w:sz w:val="18"/>
        </w:rPr>
        <w:t>En este estudio se pretende conocer el motivo de la alta tasa de accidentes en la industria metalmecánica y el porqué de lesiones físicas que sufren los trabajadores, produciendo esta investigación muchos beneficios a este importante sector de la economía, ya que se podrán prevenir riesgos, enfermedades y accidentes de trabajo, disminuyendo el ausentismo del</w:t>
      </w:r>
      <w:r>
        <w:rPr>
          <w:spacing w:val="-4"/>
          <w:sz w:val="18"/>
        </w:rPr>
        <w:t> </w:t>
      </w:r>
      <w:r>
        <w:rPr>
          <w:sz w:val="18"/>
        </w:rPr>
        <w:t>trabajador.</w:t>
      </w:r>
    </w:p>
    <w:p>
      <w:pPr>
        <w:spacing w:before="0"/>
        <w:ind w:left="270" w:right="17" w:firstLine="430"/>
        <w:jc w:val="both"/>
        <w:rPr>
          <w:sz w:val="18"/>
        </w:rPr>
      </w:pPr>
      <w:r>
        <w:rPr>
          <w:sz w:val="18"/>
        </w:rPr>
        <w:t>La importancia de realizar un proyecto ergonómico en dicha empresa, es promover la salud y bienestar del trabajador, identificando los factores de riesgos y accidentes de cada puesto de trabajo en la empresa, para ello la ventaja de proporcionar medidas de seguridad al trabajador permitiendo reducir o eliminar accidentes y enfermedades que pongan en riesgo su salud.</w:t>
      </w:r>
    </w:p>
    <w:p>
      <w:pPr>
        <w:pStyle w:val="BodyText"/>
        <w:rPr>
          <w:sz w:val="18"/>
        </w:rPr>
      </w:pPr>
    </w:p>
    <w:p>
      <w:pPr>
        <w:pStyle w:val="BodyText"/>
        <w:spacing w:before="10"/>
        <w:rPr>
          <w:sz w:val="17"/>
        </w:rPr>
      </w:pPr>
    </w:p>
    <w:p>
      <w:pPr>
        <w:spacing w:before="1"/>
        <w:ind w:left="270" w:right="0" w:firstLine="0"/>
        <w:jc w:val="both"/>
        <w:rPr>
          <w:sz w:val="18"/>
        </w:rPr>
      </w:pPr>
      <w:r>
        <w:rPr>
          <w:b/>
          <w:sz w:val="18"/>
        </w:rPr>
        <w:t>Palabras clave </w:t>
      </w:r>
      <w:r>
        <w:rPr>
          <w:sz w:val="18"/>
        </w:rPr>
        <w:t>Ergonomía, Posturas, Riesgos.</w:t>
      </w:r>
    </w:p>
    <w:p>
      <w:pPr>
        <w:pStyle w:val="BodyText"/>
        <w:spacing w:before="4"/>
        <w:rPr>
          <w:sz w:val="18"/>
        </w:rPr>
      </w:pPr>
    </w:p>
    <w:p>
      <w:pPr>
        <w:spacing w:before="1"/>
        <w:ind w:left="270" w:right="0" w:firstLine="0"/>
        <w:jc w:val="both"/>
        <w:rPr>
          <w:b/>
          <w:sz w:val="18"/>
        </w:rPr>
      </w:pPr>
      <w:r>
        <w:rPr/>
        <w:pict>
          <v:line style="position:absolute;mso-position-horizontal-relative:page;mso-position-vertical-relative:paragraph;z-index:8608" from="41.040001pt,12.202357pt" to="289.860001pt,12.202357pt" stroked="true" strokeweight="1.5pt" strokecolor="#000000">
            <w10:wrap type="none"/>
          </v:line>
        </w:pict>
      </w:r>
      <w:r>
        <w:rPr>
          <w:b/>
          <w:sz w:val="18"/>
        </w:rPr>
        <w:t>Abstract</w:t>
      </w:r>
    </w:p>
    <w:p>
      <w:pPr>
        <w:spacing w:before="46"/>
        <w:ind w:left="270" w:right="16" w:firstLine="0"/>
        <w:jc w:val="both"/>
        <w:rPr>
          <w:sz w:val="18"/>
        </w:rPr>
      </w:pPr>
      <w:r>
        <w:rPr>
          <w:sz w:val="18"/>
        </w:rPr>
        <w:t>At present the manufacturing industry plays a very important role in the development of our country, so it is necessary to use equipment and machinery adapted to the operator in order to reduce occupational risks, this will be possible if the machines or work teams have a good maintenance, corrective or preventive.[1]</w:t>
      </w:r>
    </w:p>
    <w:p>
      <w:pPr>
        <w:spacing w:before="0"/>
        <w:ind w:left="270" w:right="17" w:firstLine="430"/>
        <w:jc w:val="both"/>
        <w:rPr>
          <w:sz w:val="18"/>
        </w:rPr>
      </w:pPr>
      <w:r>
        <w:rPr>
          <w:sz w:val="18"/>
        </w:rPr>
        <w:t>This study seeks to know the reason for the high rate of accidents in the industry, metalworking and why physical injuries suffered by workers, producing this research many benefits to this important sector of the economy, since risks, diseases and accidents at work, you can prevent reducing worker absenteeism.</w:t>
      </w:r>
    </w:p>
    <w:p>
      <w:pPr>
        <w:spacing w:before="0"/>
        <w:ind w:left="270" w:right="16" w:firstLine="430"/>
        <w:jc w:val="both"/>
        <w:rPr>
          <w:sz w:val="18"/>
        </w:rPr>
      </w:pPr>
      <w:r>
        <w:rPr>
          <w:sz w:val="18"/>
        </w:rPr>
        <w:t>The importance of ergonomic design in the company, is to promote the health and well-being of the worker, identifying risk factors and accidents of every job in the company, so the advantage of providing security to the worker allowing to reduce or eliminate accidents and illnesses that put their health at risk.</w:t>
      </w:r>
    </w:p>
    <w:p>
      <w:pPr>
        <w:pStyle w:val="BodyText"/>
        <w:rPr>
          <w:sz w:val="18"/>
        </w:rPr>
      </w:pPr>
    </w:p>
    <w:p>
      <w:pPr>
        <w:spacing w:before="0"/>
        <w:ind w:left="270" w:right="0" w:firstLine="0"/>
        <w:jc w:val="both"/>
        <w:rPr>
          <w:sz w:val="18"/>
        </w:rPr>
      </w:pPr>
      <w:r>
        <w:rPr>
          <w:b/>
          <w:sz w:val="18"/>
        </w:rPr>
        <w:t>Key words </w:t>
      </w:r>
      <w:r>
        <w:rPr>
          <w:sz w:val="18"/>
        </w:rPr>
        <w:t>Ergonomics, posture, risks.</w:t>
      </w:r>
    </w:p>
    <w:p>
      <w:pPr>
        <w:pStyle w:val="BodyText"/>
        <w:spacing w:before="3"/>
        <w:rPr>
          <w:sz w:val="18"/>
        </w:rPr>
      </w:pPr>
    </w:p>
    <w:p>
      <w:pPr>
        <w:pStyle w:val="ListParagraph"/>
        <w:numPr>
          <w:ilvl w:val="0"/>
          <w:numId w:val="71"/>
        </w:numPr>
        <w:tabs>
          <w:tab w:pos="978" w:val="left" w:leader="none"/>
          <w:tab w:pos="979" w:val="left" w:leader="none"/>
        </w:tabs>
        <w:spacing w:line="240" w:lineRule="auto" w:before="0" w:after="0"/>
        <w:ind w:left="978" w:right="0" w:hanging="348"/>
        <w:jc w:val="left"/>
        <w:rPr>
          <w:b/>
          <w:sz w:val="18"/>
        </w:rPr>
      </w:pPr>
      <w:r>
        <w:rPr>
          <w:b/>
          <w:sz w:val="18"/>
        </w:rPr>
        <w:t>INTRODUCTION</w:t>
      </w:r>
    </w:p>
    <w:p>
      <w:pPr>
        <w:pStyle w:val="BodyText"/>
        <w:spacing w:before="7"/>
        <w:rPr>
          <w:b/>
          <w:sz w:val="17"/>
        </w:rPr>
      </w:pPr>
    </w:p>
    <w:p>
      <w:pPr>
        <w:spacing w:before="1"/>
        <w:ind w:left="270" w:right="17" w:firstLine="0"/>
        <w:jc w:val="both"/>
        <w:rPr>
          <w:sz w:val="18"/>
        </w:rPr>
      </w:pPr>
      <w:r>
        <w:rPr>
          <w:sz w:val="18"/>
        </w:rPr>
        <w:t>The metalworking industry constituted an essential industrial activity for centuries. Despite the continuous technological progress, is presented a large number of risks to the health and safety in this type of</w:t>
      </w:r>
      <w:r>
        <w:rPr>
          <w:spacing w:val="-7"/>
          <w:sz w:val="18"/>
        </w:rPr>
        <w:t> </w:t>
      </w:r>
      <w:r>
        <w:rPr>
          <w:sz w:val="18"/>
        </w:rPr>
        <w:t>companies.</w:t>
      </w:r>
    </w:p>
    <w:p>
      <w:pPr>
        <w:spacing w:before="0"/>
        <w:ind w:left="270" w:right="16" w:firstLine="430"/>
        <w:jc w:val="both"/>
        <w:rPr>
          <w:sz w:val="18"/>
        </w:rPr>
      </w:pPr>
      <w:r>
        <w:rPr>
          <w:sz w:val="18"/>
        </w:rPr>
        <w:t>Around of the tenth parts of the accidents in this sector are to lathes, which represents one third of all accidents in that it involved</w:t>
      </w:r>
    </w:p>
    <w:p>
      <w:pPr>
        <w:spacing w:before="77"/>
        <w:ind w:left="270" w:right="674" w:firstLine="0"/>
        <w:jc w:val="both"/>
        <w:rPr>
          <w:sz w:val="18"/>
        </w:rPr>
      </w:pPr>
      <w:r>
        <w:rPr/>
        <w:br w:type="column"/>
      </w:r>
      <w:r>
        <w:rPr>
          <w:sz w:val="18"/>
        </w:rPr>
        <w:t>machines. According to a study on the relative frequency of accidents per machine carried out in a small electrical equipment and precision parts manufacturing plant, winches occupy fifth place behind the machines for the working of wood, saws for metals, mechanical presses and boring machines. Thus, there is no doubt about the necessity of implementing protection measures for lathes.[ 5] This project will analyze the workstations and the  impact caused to the health of the employees of a company dedicated to the production of iron and steel products, improvements to these stations will be raised through an  ergonomic design. [ 6] The company that represents the case of  this research study is engaged in the manufacture and installation  of various products of turning. The staff turnover is practically zero and currently has three employees, which have presented different types of injuries such as hernias caused by manipulation of inappropriate tools, forced postures, excessive forces and bad design of</w:t>
      </w:r>
      <w:r>
        <w:rPr>
          <w:spacing w:val="-19"/>
          <w:sz w:val="18"/>
        </w:rPr>
        <w:t> </w:t>
      </w:r>
      <w:r>
        <w:rPr>
          <w:sz w:val="18"/>
        </w:rPr>
        <w:t>workstations.</w:t>
      </w:r>
    </w:p>
    <w:p>
      <w:pPr>
        <w:pStyle w:val="BodyText"/>
        <w:rPr>
          <w:sz w:val="18"/>
        </w:rPr>
      </w:pPr>
    </w:p>
    <w:p>
      <w:pPr>
        <w:pStyle w:val="BodyText"/>
        <w:spacing w:before="4"/>
        <w:rPr>
          <w:sz w:val="18"/>
        </w:rPr>
      </w:pPr>
    </w:p>
    <w:p>
      <w:pPr>
        <w:pStyle w:val="ListParagraph"/>
        <w:numPr>
          <w:ilvl w:val="1"/>
          <w:numId w:val="72"/>
        </w:numPr>
        <w:tabs>
          <w:tab w:pos="676" w:val="left" w:leader="none"/>
        </w:tabs>
        <w:spacing w:line="240" w:lineRule="auto" w:before="0" w:after="0"/>
        <w:ind w:left="675" w:right="0" w:hanging="405"/>
        <w:jc w:val="both"/>
        <w:rPr>
          <w:b/>
          <w:sz w:val="18"/>
        </w:rPr>
      </w:pPr>
      <w:r>
        <w:rPr>
          <w:b/>
          <w:sz w:val="18"/>
        </w:rPr>
        <w:t>Approach and definition of the</w:t>
      </w:r>
      <w:r>
        <w:rPr>
          <w:b/>
          <w:spacing w:val="-10"/>
          <w:sz w:val="18"/>
        </w:rPr>
        <w:t> </w:t>
      </w:r>
      <w:r>
        <w:rPr>
          <w:b/>
          <w:sz w:val="18"/>
        </w:rPr>
        <w:t>problem.</w:t>
      </w:r>
    </w:p>
    <w:p>
      <w:pPr>
        <w:pStyle w:val="BodyText"/>
        <w:spacing w:before="7"/>
        <w:rPr>
          <w:b/>
          <w:sz w:val="17"/>
        </w:rPr>
      </w:pPr>
    </w:p>
    <w:p>
      <w:pPr>
        <w:spacing w:before="1"/>
        <w:ind w:left="270" w:right="676" w:firstLine="0"/>
        <w:jc w:val="both"/>
        <w:rPr>
          <w:sz w:val="18"/>
        </w:rPr>
      </w:pPr>
      <w:r>
        <w:rPr>
          <w:sz w:val="18"/>
        </w:rPr>
        <w:t>The application of the checklist of the Biomechanics Institute of Valencia identified different types of ergonomic hazards in each of the jobs of the operator, since they are operating machinery constantly. Some of the risks that are evaluated are as follows: body dimensions, posture and movements, Manual handling of loads, information and control devices design and interaction with the physical working</w:t>
      </w:r>
      <w:r>
        <w:rPr>
          <w:spacing w:val="-10"/>
          <w:sz w:val="18"/>
        </w:rPr>
        <w:t> </w:t>
      </w:r>
      <w:r>
        <w:rPr>
          <w:sz w:val="18"/>
        </w:rPr>
        <w:t>environment.</w:t>
      </w:r>
    </w:p>
    <w:p>
      <w:pPr>
        <w:spacing w:before="0"/>
        <w:ind w:left="270" w:right="677" w:firstLine="430"/>
        <w:jc w:val="both"/>
        <w:rPr>
          <w:sz w:val="18"/>
        </w:rPr>
      </w:pPr>
      <w:r>
        <w:rPr>
          <w:sz w:val="18"/>
        </w:rPr>
        <w:t>I divide the lack of design at work stations, employees are more likely to introduce minor and severe injuries due to lack of ergonomic design in the jobs, which could cause permanent damage to your physical</w:t>
      </w:r>
      <w:r>
        <w:rPr>
          <w:spacing w:val="-6"/>
          <w:sz w:val="18"/>
        </w:rPr>
        <w:t> </w:t>
      </w:r>
      <w:r>
        <w:rPr>
          <w:sz w:val="18"/>
        </w:rPr>
        <w:t>health..</w:t>
      </w:r>
    </w:p>
    <w:p>
      <w:pPr>
        <w:pStyle w:val="BodyText"/>
        <w:spacing w:before="3"/>
        <w:rPr>
          <w:sz w:val="18"/>
        </w:rPr>
      </w:pPr>
    </w:p>
    <w:p>
      <w:pPr>
        <w:pStyle w:val="ListParagraph"/>
        <w:numPr>
          <w:ilvl w:val="1"/>
          <w:numId w:val="72"/>
        </w:numPr>
        <w:tabs>
          <w:tab w:pos="631" w:val="left" w:leader="none"/>
        </w:tabs>
        <w:spacing w:line="240" w:lineRule="auto" w:before="0" w:after="0"/>
        <w:ind w:left="630" w:right="0" w:hanging="360"/>
        <w:jc w:val="both"/>
        <w:rPr>
          <w:b/>
          <w:sz w:val="18"/>
        </w:rPr>
      </w:pPr>
      <w:r>
        <w:rPr>
          <w:b/>
          <w:sz w:val="18"/>
        </w:rPr>
        <w:t>Objetive</w:t>
      </w:r>
    </w:p>
    <w:p>
      <w:pPr>
        <w:pStyle w:val="BodyText"/>
        <w:spacing w:before="7"/>
        <w:rPr>
          <w:b/>
          <w:sz w:val="17"/>
        </w:rPr>
      </w:pPr>
    </w:p>
    <w:p>
      <w:pPr>
        <w:spacing w:before="1"/>
        <w:ind w:left="270" w:right="677" w:firstLine="0"/>
        <w:jc w:val="both"/>
        <w:rPr>
          <w:sz w:val="18"/>
        </w:rPr>
      </w:pPr>
      <w:r>
        <w:rPr>
          <w:sz w:val="18"/>
        </w:rPr>
        <w:t>Assess current problems presenting a company dedicated to the tournament and welding, as well as the type of conditions in which they work operators, such as facilities where works, machinery and equipment, which are exposed and loads any situation that alters the physical health of the worker, and thus through the use of the different tools and the application of different methodologies enhance avoiding more operators working conditions accidents and occupational</w:t>
      </w:r>
      <w:r>
        <w:rPr>
          <w:spacing w:val="-1"/>
          <w:sz w:val="18"/>
        </w:rPr>
        <w:t> </w:t>
      </w:r>
      <w:r>
        <w:rPr>
          <w:sz w:val="18"/>
        </w:rPr>
        <w:t>injuries.</w:t>
      </w:r>
    </w:p>
    <w:p>
      <w:pPr>
        <w:pStyle w:val="BodyText"/>
        <w:rPr>
          <w:sz w:val="18"/>
        </w:rPr>
      </w:pPr>
    </w:p>
    <w:p>
      <w:pPr>
        <w:pStyle w:val="BodyText"/>
        <w:rPr>
          <w:sz w:val="18"/>
        </w:rPr>
      </w:pPr>
    </w:p>
    <w:p>
      <w:pPr>
        <w:pStyle w:val="BodyText"/>
        <w:spacing w:before="3"/>
        <w:rPr>
          <w:sz w:val="18"/>
        </w:rPr>
      </w:pPr>
    </w:p>
    <w:p>
      <w:pPr>
        <w:pStyle w:val="ListParagraph"/>
        <w:numPr>
          <w:ilvl w:val="1"/>
          <w:numId w:val="72"/>
        </w:numPr>
        <w:tabs>
          <w:tab w:pos="631" w:val="left" w:leader="none"/>
        </w:tabs>
        <w:spacing w:line="240" w:lineRule="auto" w:before="0" w:after="0"/>
        <w:ind w:left="630" w:right="0" w:hanging="360"/>
        <w:jc w:val="both"/>
        <w:rPr>
          <w:b/>
          <w:sz w:val="18"/>
        </w:rPr>
      </w:pPr>
      <w:r>
        <w:rPr>
          <w:b/>
          <w:sz w:val="18"/>
        </w:rPr>
        <w:t>Justification</w:t>
      </w:r>
    </w:p>
    <w:p>
      <w:pPr>
        <w:pStyle w:val="BodyText"/>
        <w:spacing w:before="7"/>
        <w:rPr>
          <w:b/>
          <w:sz w:val="17"/>
        </w:rPr>
      </w:pPr>
    </w:p>
    <w:p>
      <w:pPr>
        <w:spacing w:before="1"/>
        <w:ind w:left="270" w:right="676" w:firstLine="0"/>
        <w:jc w:val="both"/>
        <w:rPr>
          <w:sz w:val="18"/>
        </w:rPr>
      </w:pPr>
      <w:r>
        <w:rPr>
          <w:sz w:val="18"/>
        </w:rPr>
        <w:t>This Diagnostics allows determine the impact caused to the health of the employees of a company dedicated to the development of iron and steel products, and thus to propose improvements to these workstations to a better ergonomic design.</w:t>
      </w:r>
    </w:p>
    <w:p>
      <w:pPr>
        <w:pStyle w:val="BodyText"/>
        <w:spacing w:before="3"/>
        <w:rPr>
          <w:sz w:val="18"/>
        </w:rPr>
      </w:pPr>
    </w:p>
    <w:p>
      <w:pPr>
        <w:pStyle w:val="ListParagraph"/>
        <w:numPr>
          <w:ilvl w:val="1"/>
          <w:numId w:val="72"/>
        </w:numPr>
        <w:tabs>
          <w:tab w:pos="631" w:val="left" w:leader="none"/>
        </w:tabs>
        <w:spacing w:line="240" w:lineRule="auto" w:before="0" w:after="0"/>
        <w:ind w:left="630" w:right="0" w:hanging="360"/>
        <w:jc w:val="both"/>
        <w:rPr>
          <w:b/>
          <w:sz w:val="18"/>
        </w:rPr>
      </w:pPr>
      <w:r>
        <w:rPr>
          <w:b/>
          <w:sz w:val="18"/>
        </w:rPr>
        <w:t>Delimitation</w:t>
      </w:r>
    </w:p>
    <w:p>
      <w:pPr>
        <w:pStyle w:val="BodyText"/>
        <w:spacing w:before="7"/>
        <w:rPr>
          <w:b/>
          <w:sz w:val="17"/>
        </w:rPr>
      </w:pPr>
    </w:p>
    <w:p>
      <w:pPr>
        <w:spacing w:before="1"/>
        <w:ind w:left="270" w:right="678" w:firstLine="0"/>
        <w:jc w:val="both"/>
        <w:rPr>
          <w:sz w:val="18"/>
        </w:rPr>
      </w:pPr>
      <w:r>
        <w:rPr>
          <w:sz w:val="18"/>
        </w:rPr>
        <w:t>The analysis is only declaratory to the evaluation of positions and body movements of the workers in the process of elaboration of ingrown nails for water pump.</w:t>
      </w:r>
    </w:p>
    <w:p>
      <w:pPr>
        <w:pStyle w:val="BodyText"/>
        <w:spacing w:before="3"/>
        <w:rPr>
          <w:sz w:val="18"/>
        </w:rPr>
      </w:pPr>
    </w:p>
    <w:p>
      <w:pPr>
        <w:pStyle w:val="ListParagraph"/>
        <w:numPr>
          <w:ilvl w:val="0"/>
          <w:numId w:val="71"/>
        </w:numPr>
        <w:tabs>
          <w:tab w:pos="452" w:val="left" w:leader="none"/>
        </w:tabs>
        <w:spacing w:line="240" w:lineRule="auto" w:before="0" w:after="0"/>
        <w:ind w:left="451" w:right="0" w:hanging="181"/>
        <w:jc w:val="both"/>
        <w:rPr>
          <w:b/>
          <w:sz w:val="18"/>
        </w:rPr>
      </w:pPr>
      <w:r>
        <w:rPr>
          <w:b/>
          <w:sz w:val="18"/>
        </w:rPr>
        <w:t>THEORETICAL</w:t>
      </w:r>
      <w:r>
        <w:rPr>
          <w:b/>
          <w:spacing w:val="-19"/>
          <w:sz w:val="18"/>
        </w:rPr>
        <w:t> </w:t>
      </w:r>
      <w:r>
        <w:rPr>
          <w:b/>
          <w:sz w:val="18"/>
        </w:rPr>
        <w:t>FRAMEWORK</w:t>
      </w:r>
    </w:p>
    <w:p>
      <w:pPr>
        <w:pStyle w:val="BodyText"/>
        <w:rPr>
          <w:b/>
          <w:sz w:val="18"/>
        </w:rPr>
      </w:pPr>
    </w:p>
    <w:p>
      <w:pPr>
        <w:pStyle w:val="ListParagraph"/>
        <w:numPr>
          <w:ilvl w:val="1"/>
          <w:numId w:val="71"/>
        </w:numPr>
        <w:tabs>
          <w:tab w:pos="542" w:val="left" w:leader="none"/>
        </w:tabs>
        <w:spacing w:line="240" w:lineRule="auto" w:before="0" w:after="0"/>
        <w:ind w:left="541" w:right="0" w:hanging="271"/>
        <w:jc w:val="both"/>
        <w:rPr>
          <w:b/>
          <w:sz w:val="18"/>
        </w:rPr>
      </w:pPr>
      <w:r>
        <w:rPr>
          <w:b/>
          <w:sz w:val="18"/>
        </w:rPr>
        <w:t>Definitions of</w:t>
      </w:r>
      <w:r>
        <w:rPr>
          <w:b/>
          <w:spacing w:val="-2"/>
          <w:sz w:val="18"/>
        </w:rPr>
        <w:t> </w:t>
      </w:r>
      <w:r>
        <w:rPr>
          <w:b/>
          <w:sz w:val="18"/>
        </w:rPr>
        <w:t>ergonomics:</w:t>
      </w:r>
    </w:p>
    <w:p>
      <w:pPr>
        <w:spacing w:after="0" w:line="240" w:lineRule="auto"/>
        <w:jc w:val="both"/>
        <w:rPr>
          <w:sz w:val="18"/>
        </w:rPr>
        <w:sectPr>
          <w:type w:val="continuous"/>
          <w:pgSz w:w="12240" w:h="15840"/>
          <w:pgMar w:top="1500" w:bottom="280" w:left="580" w:right="220"/>
          <w:cols w:num="2" w:equalWidth="0">
            <w:col w:w="5208" w:space="417"/>
            <w:col w:w="5815"/>
          </w:cols>
        </w:sectPr>
      </w:pPr>
    </w:p>
    <w:p>
      <w:pPr>
        <w:pStyle w:val="BodyText"/>
        <w:rPr>
          <w:b/>
          <w:sz w:val="11"/>
        </w:rPr>
      </w:pPr>
    </w:p>
    <w:p>
      <w:pPr>
        <w:spacing w:after="0"/>
        <w:rPr>
          <w:sz w:val="11"/>
        </w:rPr>
        <w:sectPr>
          <w:pgSz w:w="12240" w:h="15840"/>
          <w:pgMar w:header="545" w:footer="852" w:top="1060" w:bottom="1040" w:left="580" w:right="220"/>
        </w:sectPr>
      </w:pPr>
    </w:p>
    <w:p>
      <w:pPr>
        <w:spacing w:before="77"/>
        <w:ind w:left="270" w:right="0" w:firstLine="44"/>
        <w:jc w:val="both"/>
        <w:rPr>
          <w:sz w:val="18"/>
        </w:rPr>
      </w:pPr>
      <w:r>
        <w:rPr>
          <w:sz w:val="18"/>
        </w:rPr>
        <w:t>According to the International Association of ergonomics, ergonomics is the set of applied scientific knowledge for work, systems, products and environments suited to the capabilities and physical and mental limitations of the person.</w:t>
      </w:r>
    </w:p>
    <w:p>
      <w:pPr>
        <w:spacing w:before="0"/>
        <w:ind w:left="270" w:right="0" w:firstLine="430"/>
        <w:jc w:val="both"/>
        <w:rPr>
          <w:sz w:val="18"/>
        </w:rPr>
      </w:pPr>
      <w:r>
        <w:rPr>
          <w:sz w:val="18"/>
        </w:rPr>
        <w:t>According to the Spanish Ergonomics Association (2010), ergonomics is a set of multidisciplinary character knowledge applied to the suitability of products, systems and artificial environments to the needs, limitations and character of its users optimizing efficiency, safety, and welfare. [</w:t>
      </w:r>
      <w:r>
        <w:rPr>
          <w:spacing w:val="-9"/>
          <w:sz w:val="18"/>
        </w:rPr>
        <w:t> </w:t>
      </w:r>
      <w:r>
        <w:rPr>
          <w:sz w:val="18"/>
        </w:rPr>
        <w:t>7]</w:t>
      </w:r>
    </w:p>
    <w:p>
      <w:pPr>
        <w:pStyle w:val="BodyText"/>
        <w:spacing w:before="3"/>
        <w:rPr>
          <w:sz w:val="18"/>
        </w:rPr>
      </w:pPr>
    </w:p>
    <w:p>
      <w:pPr>
        <w:pStyle w:val="ListParagraph"/>
        <w:numPr>
          <w:ilvl w:val="0"/>
          <w:numId w:val="71"/>
        </w:numPr>
        <w:tabs>
          <w:tab w:pos="452" w:val="left" w:leader="none"/>
        </w:tabs>
        <w:spacing w:line="240" w:lineRule="auto" w:before="0" w:after="0"/>
        <w:ind w:left="451" w:right="0" w:hanging="181"/>
        <w:jc w:val="both"/>
        <w:rPr>
          <w:b/>
          <w:sz w:val="18"/>
        </w:rPr>
      </w:pPr>
      <w:r>
        <w:rPr>
          <w:b/>
          <w:sz w:val="18"/>
        </w:rPr>
        <w:t>METHODOLOGY:</w:t>
      </w:r>
    </w:p>
    <w:p>
      <w:pPr>
        <w:pStyle w:val="BodyText"/>
        <w:spacing w:before="6"/>
        <w:rPr>
          <w:b/>
          <w:sz w:val="17"/>
        </w:rPr>
      </w:pPr>
    </w:p>
    <w:p>
      <w:pPr>
        <w:spacing w:before="0"/>
        <w:ind w:left="270" w:right="1" w:firstLine="0"/>
        <w:jc w:val="both"/>
        <w:rPr>
          <w:sz w:val="18"/>
        </w:rPr>
      </w:pPr>
      <w:r>
        <w:rPr>
          <w:sz w:val="18"/>
        </w:rPr>
        <w:t>The Rula method was developed by Drs. McAtamney and Corlett  of the University of Nottingham in 1993 (Institute for Occupational Ergonomics) to assess the exposure of workers to risk factors that can cause disorders in the upper limbs of the body: positions, repetition of movements, applied forces, static activity of the musculoskeletal system. [</w:t>
      </w:r>
      <w:r>
        <w:rPr>
          <w:spacing w:val="-2"/>
          <w:sz w:val="18"/>
        </w:rPr>
        <w:t> </w:t>
      </w:r>
      <w:r>
        <w:rPr>
          <w:sz w:val="18"/>
        </w:rPr>
        <w:t>8]</w:t>
      </w:r>
    </w:p>
    <w:p>
      <w:pPr>
        <w:spacing w:before="0"/>
        <w:ind w:left="270" w:right="0" w:firstLine="430"/>
        <w:jc w:val="both"/>
        <w:rPr>
          <w:sz w:val="18"/>
        </w:rPr>
      </w:pPr>
      <w:r>
        <w:rPr>
          <w:sz w:val="18"/>
        </w:rPr>
        <w:t>Evaluates specific postures; It is important to evaluate those that pose a higher postural load. The application of the method begins with the observation of the activity of the worker during several work cycles.</w:t>
      </w:r>
    </w:p>
    <w:p>
      <w:pPr>
        <w:spacing w:before="0"/>
        <w:ind w:left="270" w:right="0" w:firstLine="430"/>
        <w:jc w:val="both"/>
        <w:rPr>
          <w:sz w:val="18"/>
        </w:rPr>
      </w:pPr>
      <w:r>
        <w:rPr>
          <w:sz w:val="18"/>
        </w:rPr>
        <w:t>Measurements to be performed on the adopted positions are basically angular, (angles forming by different members of  the body with respect to certain references in the studied posture). These measurements can be done directly on the worker using angles, electro goniometer conveyors, or any device that allows taking of angular data. [</w:t>
      </w:r>
      <w:r>
        <w:rPr>
          <w:spacing w:val="-2"/>
          <w:sz w:val="18"/>
        </w:rPr>
        <w:t> </w:t>
      </w:r>
      <w:r>
        <w:rPr>
          <w:sz w:val="18"/>
        </w:rPr>
        <w:t>9]</w:t>
      </w:r>
    </w:p>
    <w:p>
      <w:pPr>
        <w:spacing w:before="0"/>
        <w:ind w:left="270" w:right="1" w:firstLine="430"/>
        <w:jc w:val="both"/>
        <w:rPr>
          <w:sz w:val="18"/>
        </w:rPr>
      </w:pPr>
      <w:r>
        <w:rPr>
          <w:sz w:val="18"/>
        </w:rPr>
        <w:t>The RULA divides the body into two groups, Group A that includes the upper limbs (arms, forearms and wrists) and Group B, which includes the legs, trunk and neck.</w:t>
      </w:r>
    </w:p>
    <w:p>
      <w:pPr>
        <w:pStyle w:val="BodyText"/>
        <w:rPr>
          <w:sz w:val="18"/>
        </w:rPr>
      </w:pPr>
    </w:p>
    <w:p>
      <w:pPr>
        <w:spacing w:before="0"/>
        <w:ind w:left="270" w:right="0" w:firstLine="0"/>
        <w:jc w:val="both"/>
        <w:rPr>
          <w:sz w:val="18"/>
        </w:rPr>
      </w:pPr>
      <w:r>
        <w:rPr>
          <w:sz w:val="18"/>
        </w:rPr>
        <w:t>The process for the application of the method is, in summary, the following:</w:t>
      </w:r>
    </w:p>
    <w:p>
      <w:pPr>
        <w:pStyle w:val="ListParagraph"/>
        <w:numPr>
          <w:ilvl w:val="2"/>
          <w:numId w:val="71"/>
        </w:numPr>
        <w:tabs>
          <w:tab w:pos="990" w:val="left" w:leader="none"/>
          <w:tab w:pos="991" w:val="left" w:leader="none"/>
        </w:tabs>
        <w:spacing w:line="206" w:lineRule="exact" w:before="36" w:after="0"/>
        <w:ind w:left="990" w:right="0" w:hanging="360"/>
        <w:jc w:val="left"/>
        <w:rPr>
          <w:sz w:val="18"/>
        </w:rPr>
      </w:pPr>
      <w:r>
        <w:rPr>
          <w:sz w:val="18"/>
        </w:rPr>
        <w:t>Determine the work cycles and observe the worker during several of these</w:t>
      </w:r>
      <w:r>
        <w:rPr>
          <w:spacing w:val="-8"/>
          <w:sz w:val="18"/>
        </w:rPr>
        <w:t> </w:t>
      </w:r>
      <w:r>
        <w:rPr>
          <w:sz w:val="18"/>
        </w:rPr>
        <w:t>cycles</w:t>
      </w:r>
    </w:p>
    <w:p>
      <w:pPr>
        <w:pStyle w:val="ListParagraph"/>
        <w:numPr>
          <w:ilvl w:val="2"/>
          <w:numId w:val="71"/>
        </w:numPr>
        <w:tabs>
          <w:tab w:pos="990" w:val="left" w:leader="none"/>
          <w:tab w:pos="991" w:val="left" w:leader="none"/>
        </w:tabs>
        <w:spacing w:line="241" w:lineRule="exact" w:before="0" w:after="0"/>
        <w:ind w:left="990" w:right="0" w:hanging="360"/>
        <w:jc w:val="left"/>
        <w:rPr>
          <w:sz w:val="18"/>
        </w:rPr>
      </w:pPr>
      <w:r>
        <w:rPr>
          <w:sz w:val="18"/>
        </w:rPr>
        <w:t>Select the positions that were</w:t>
      </w:r>
      <w:r>
        <w:rPr>
          <w:spacing w:val="-12"/>
          <w:sz w:val="18"/>
        </w:rPr>
        <w:t> </w:t>
      </w:r>
      <w:r>
        <w:rPr>
          <w:sz w:val="18"/>
        </w:rPr>
        <w:t>evaluated</w:t>
      </w:r>
    </w:p>
    <w:p>
      <w:pPr>
        <w:pStyle w:val="ListParagraph"/>
        <w:numPr>
          <w:ilvl w:val="2"/>
          <w:numId w:val="71"/>
        </w:numPr>
        <w:tabs>
          <w:tab w:pos="990" w:val="left" w:leader="none"/>
          <w:tab w:pos="991" w:val="left" w:leader="none"/>
        </w:tabs>
        <w:spacing w:line="206" w:lineRule="exact" w:before="33" w:after="0"/>
        <w:ind w:left="990" w:right="1" w:hanging="360"/>
        <w:jc w:val="left"/>
        <w:rPr>
          <w:sz w:val="18"/>
        </w:rPr>
      </w:pPr>
      <w:r>
        <w:rPr>
          <w:sz w:val="18"/>
        </w:rPr>
        <w:t>Determine if the left side of the body or the right will be assessed for each</w:t>
      </w:r>
      <w:r>
        <w:rPr>
          <w:spacing w:val="-3"/>
          <w:sz w:val="18"/>
        </w:rPr>
        <w:t> </w:t>
      </w:r>
      <w:r>
        <w:rPr>
          <w:sz w:val="18"/>
        </w:rPr>
        <w:t>position</w:t>
      </w:r>
    </w:p>
    <w:p>
      <w:pPr>
        <w:pStyle w:val="ListParagraph"/>
        <w:numPr>
          <w:ilvl w:val="2"/>
          <w:numId w:val="71"/>
        </w:numPr>
        <w:tabs>
          <w:tab w:pos="990" w:val="left" w:leader="none"/>
          <w:tab w:pos="991" w:val="left" w:leader="none"/>
        </w:tabs>
        <w:spacing w:line="240" w:lineRule="exact" w:before="0" w:after="0"/>
        <w:ind w:left="990" w:right="0" w:hanging="360"/>
        <w:jc w:val="left"/>
        <w:rPr>
          <w:sz w:val="18"/>
        </w:rPr>
      </w:pPr>
      <w:r>
        <w:rPr>
          <w:sz w:val="18"/>
        </w:rPr>
        <w:t>Determine the scores for each part of the</w:t>
      </w:r>
      <w:r>
        <w:rPr>
          <w:spacing w:val="-13"/>
          <w:sz w:val="18"/>
        </w:rPr>
        <w:t> </w:t>
      </w:r>
      <w:r>
        <w:rPr>
          <w:sz w:val="18"/>
        </w:rPr>
        <w:t>body</w:t>
      </w:r>
    </w:p>
    <w:p>
      <w:pPr>
        <w:pStyle w:val="ListParagraph"/>
        <w:numPr>
          <w:ilvl w:val="2"/>
          <w:numId w:val="71"/>
        </w:numPr>
        <w:tabs>
          <w:tab w:pos="990" w:val="left" w:leader="none"/>
          <w:tab w:pos="991" w:val="left" w:leader="none"/>
        </w:tabs>
        <w:spacing w:line="206" w:lineRule="exact" w:before="33" w:after="0"/>
        <w:ind w:left="990" w:right="0" w:hanging="360"/>
        <w:jc w:val="left"/>
        <w:rPr>
          <w:sz w:val="18"/>
        </w:rPr>
      </w:pPr>
      <w:r>
        <w:rPr>
          <w:sz w:val="18"/>
        </w:rPr>
        <w:t>Get the final score of the method and level of action to determine the existence of</w:t>
      </w:r>
      <w:r>
        <w:rPr>
          <w:spacing w:val="-10"/>
          <w:sz w:val="18"/>
        </w:rPr>
        <w:t> </w:t>
      </w:r>
      <w:r>
        <w:rPr>
          <w:sz w:val="18"/>
        </w:rPr>
        <w:t>risk.</w:t>
      </w:r>
    </w:p>
    <w:p>
      <w:pPr>
        <w:pStyle w:val="ListParagraph"/>
        <w:numPr>
          <w:ilvl w:val="2"/>
          <w:numId w:val="71"/>
        </w:numPr>
        <w:tabs>
          <w:tab w:pos="990" w:val="left" w:leader="none"/>
          <w:tab w:pos="991" w:val="left" w:leader="none"/>
        </w:tabs>
        <w:spacing w:line="206" w:lineRule="exact" w:before="35" w:after="0"/>
        <w:ind w:left="990" w:right="0" w:hanging="360"/>
        <w:jc w:val="left"/>
        <w:rPr>
          <w:sz w:val="18"/>
        </w:rPr>
      </w:pPr>
      <w:r>
        <w:rPr>
          <w:sz w:val="18"/>
        </w:rPr>
        <w:t>Review scores from the different parts of the body to determine where it is necessary to apply</w:t>
      </w:r>
      <w:r>
        <w:rPr>
          <w:spacing w:val="-19"/>
          <w:sz w:val="18"/>
        </w:rPr>
        <w:t> </w:t>
      </w:r>
      <w:r>
        <w:rPr>
          <w:sz w:val="18"/>
        </w:rPr>
        <w:t>corrections</w:t>
      </w:r>
    </w:p>
    <w:p>
      <w:pPr>
        <w:pStyle w:val="ListParagraph"/>
        <w:numPr>
          <w:ilvl w:val="2"/>
          <w:numId w:val="71"/>
        </w:numPr>
        <w:tabs>
          <w:tab w:pos="990" w:val="left" w:leader="none"/>
          <w:tab w:pos="991" w:val="left" w:leader="none"/>
        </w:tabs>
        <w:spacing w:line="240" w:lineRule="exact" w:before="0" w:after="0"/>
        <w:ind w:left="990" w:right="0" w:hanging="360"/>
        <w:jc w:val="left"/>
        <w:rPr>
          <w:sz w:val="18"/>
        </w:rPr>
      </w:pPr>
      <w:r>
        <w:rPr>
          <w:sz w:val="18"/>
        </w:rPr>
        <w:t>Job redesign or introduce changes to improve if</w:t>
      </w:r>
      <w:r>
        <w:rPr>
          <w:spacing w:val="-13"/>
          <w:sz w:val="18"/>
        </w:rPr>
        <w:t> </w:t>
      </w:r>
      <w:r>
        <w:rPr>
          <w:sz w:val="18"/>
        </w:rPr>
        <w:t>necessary</w:t>
      </w:r>
    </w:p>
    <w:p>
      <w:pPr>
        <w:pStyle w:val="ListParagraph"/>
        <w:numPr>
          <w:ilvl w:val="2"/>
          <w:numId w:val="71"/>
        </w:numPr>
        <w:tabs>
          <w:tab w:pos="991" w:val="left" w:leader="none"/>
        </w:tabs>
        <w:spacing w:line="237" w:lineRule="auto" w:before="0" w:after="0"/>
        <w:ind w:left="990" w:right="0" w:hanging="360"/>
        <w:jc w:val="both"/>
        <w:rPr>
          <w:sz w:val="18"/>
        </w:rPr>
      </w:pPr>
      <w:r>
        <w:rPr>
          <w:sz w:val="18"/>
        </w:rPr>
        <w:t>In case of any change, re-assess the posture with the RULA method to check the effectiveness of the improvement. [</w:t>
      </w:r>
      <w:r>
        <w:rPr>
          <w:spacing w:val="-3"/>
          <w:sz w:val="18"/>
        </w:rPr>
        <w:t> </w:t>
      </w:r>
      <w:r>
        <w:rPr>
          <w:sz w:val="18"/>
        </w:rPr>
        <w:t>10]</w:t>
      </w:r>
    </w:p>
    <w:p>
      <w:pPr>
        <w:pStyle w:val="BodyText"/>
        <w:spacing w:before="4"/>
        <w:rPr>
          <w:sz w:val="18"/>
        </w:rPr>
      </w:pPr>
    </w:p>
    <w:p>
      <w:pPr>
        <w:pStyle w:val="ListParagraph"/>
        <w:numPr>
          <w:ilvl w:val="0"/>
          <w:numId w:val="71"/>
        </w:numPr>
        <w:tabs>
          <w:tab w:pos="453" w:val="left" w:leader="none"/>
        </w:tabs>
        <w:spacing w:line="240" w:lineRule="auto" w:before="0" w:after="0"/>
        <w:ind w:left="452" w:right="0" w:hanging="182"/>
        <w:jc w:val="both"/>
        <w:rPr>
          <w:b/>
          <w:sz w:val="18"/>
        </w:rPr>
      </w:pPr>
      <w:r>
        <w:rPr>
          <w:b/>
          <w:sz w:val="18"/>
        </w:rPr>
        <w:t>METHOD</w:t>
      </w:r>
    </w:p>
    <w:p>
      <w:pPr>
        <w:pStyle w:val="BodyText"/>
        <w:spacing w:before="7"/>
        <w:rPr>
          <w:b/>
          <w:sz w:val="17"/>
        </w:rPr>
      </w:pPr>
    </w:p>
    <w:p>
      <w:pPr>
        <w:spacing w:before="1"/>
        <w:ind w:left="270" w:right="1" w:firstLine="44"/>
        <w:jc w:val="both"/>
        <w:rPr>
          <w:sz w:val="18"/>
        </w:rPr>
      </w:pPr>
      <w:r>
        <w:rPr>
          <w:sz w:val="18"/>
        </w:rPr>
        <w:t>The methodology applied for the development of this research begins with the assessment of activities carried out at workstations that are involved in the process of ingrown nails for water pump, analyzing each of these activities with the support of images. Identified the position that represents a specific critical stance and it would weigh according to the criteria established by the RULA method. (Pattern)</w:t>
      </w:r>
    </w:p>
    <w:p>
      <w:pPr>
        <w:spacing w:before="0"/>
        <w:ind w:left="270" w:right="0" w:firstLine="475"/>
        <w:jc w:val="both"/>
        <w:rPr>
          <w:sz w:val="18"/>
        </w:rPr>
      </w:pPr>
      <w:r>
        <w:rPr>
          <w:sz w:val="18"/>
        </w:rPr>
        <w:t>The following procedure is used to perform the ergonomic risk assessment:</w:t>
      </w:r>
    </w:p>
    <w:p>
      <w:pPr>
        <w:pStyle w:val="BodyText"/>
        <w:spacing w:before="3"/>
        <w:rPr>
          <w:sz w:val="18"/>
        </w:rPr>
      </w:pPr>
    </w:p>
    <w:p>
      <w:pPr>
        <w:pStyle w:val="ListParagraph"/>
        <w:numPr>
          <w:ilvl w:val="1"/>
          <w:numId w:val="71"/>
        </w:numPr>
        <w:tabs>
          <w:tab w:pos="586" w:val="left" w:leader="none"/>
        </w:tabs>
        <w:spacing w:line="240" w:lineRule="auto" w:before="0" w:after="0"/>
        <w:ind w:left="585" w:right="0" w:hanging="269"/>
        <w:jc w:val="both"/>
        <w:rPr>
          <w:b/>
          <w:sz w:val="18"/>
        </w:rPr>
      </w:pPr>
      <w:r>
        <w:rPr>
          <w:b/>
          <w:sz w:val="18"/>
        </w:rPr>
        <w:t>Recognize</w:t>
      </w:r>
      <w:r>
        <w:rPr>
          <w:b/>
          <w:spacing w:val="-2"/>
          <w:sz w:val="18"/>
        </w:rPr>
        <w:t> </w:t>
      </w:r>
      <w:r>
        <w:rPr>
          <w:b/>
          <w:sz w:val="18"/>
        </w:rPr>
        <w:t>job.</w:t>
      </w:r>
    </w:p>
    <w:p>
      <w:pPr>
        <w:spacing w:before="77"/>
        <w:ind w:left="270" w:right="676" w:firstLine="44"/>
        <w:jc w:val="both"/>
        <w:rPr>
          <w:sz w:val="18"/>
        </w:rPr>
      </w:pPr>
      <w:r>
        <w:rPr/>
        <w:br w:type="column"/>
      </w:r>
      <w:r>
        <w:rPr>
          <w:sz w:val="18"/>
        </w:rPr>
        <w:t>This stage will perform an analysis of the different jobs through the implementation of the checklist of the Biomechanics Institute  of Valencia to determine job where the operator suffers most at  risk of contracting some type of</w:t>
      </w:r>
      <w:r>
        <w:rPr>
          <w:spacing w:val="-25"/>
          <w:sz w:val="18"/>
        </w:rPr>
        <w:t> </w:t>
      </w:r>
      <w:r>
        <w:rPr>
          <w:sz w:val="18"/>
        </w:rPr>
        <w:t>injury.</w:t>
      </w:r>
    </w:p>
    <w:p>
      <w:pPr>
        <w:pStyle w:val="BodyText"/>
        <w:spacing w:before="3"/>
        <w:rPr>
          <w:sz w:val="18"/>
        </w:rPr>
      </w:pPr>
    </w:p>
    <w:p>
      <w:pPr>
        <w:spacing w:before="0"/>
        <w:ind w:left="270" w:right="0" w:firstLine="0"/>
        <w:jc w:val="both"/>
        <w:rPr>
          <w:b/>
          <w:sz w:val="18"/>
        </w:rPr>
      </w:pPr>
      <w:r>
        <w:rPr>
          <w:b/>
          <w:sz w:val="18"/>
        </w:rPr>
        <w:t>4.2. Identify the positions adopted by the operator.</w:t>
      </w:r>
    </w:p>
    <w:p>
      <w:pPr>
        <w:pStyle w:val="BodyText"/>
        <w:spacing w:before="7"/>
        <w:rPr>
          <w:b/>
          <w:sz w:val="17"/>
        </w:rPr>
      </w:pPr>
    </w:p>
    <w:p>
      <w:pPr>
        <w:spacing w:before="1"/>
        <w:ind w:left="270" w:right="676" w:firstLine="0"/>
        <w:jc w:val="both"/>
        <w:rPr>
          <w:sz w:val="18"/>
        </w:rPr>
      </w:pPr>
      <w:r>
        <w:rPr>
          <w:sz w:val="18"/>
        </w:rPr>
        <w:t>They will be observations of the activity that the worker held on various work cycles, taking pictures and analyzing the most critical positions adopted by this. Choose a single image by choosing position that involves greater risk of injury and subsequently will be evaluated through the</w:t>
      </w:r>
      <w:r>
        <w:rPr>
          <w:spacing w:val="-9"/>
          <w:sz w:val="18"/>
        </w:rPr>
        <w:t> </w:t>
      </w:r>
      <w:r>
        <w:rPr>
          <w:sz w:val="18"/>
        </w:rPr>
        <w:t>method.</w:t>
      </w:r>
    </w:p>
    <w:p>
      <w:pPr>
        <w:pStyle w:val="BodyText"/>
        <w:spacing w:before="3"/>
        <w:rPr>
          <w:sz w:val="18"/>
        </w:rPr>
      </w:pPr>
    </w:p>
    <w:p>
      <w:pPr>
        <w:pStyle w:val="ListParagraph"/>
        <w:numPr>
          <w:ilvl w:val="1"/>
          <w:numId w:val="73"/>
        </w:numPr>
        <w:tabs>
          <w:tab w:pos="609" w:val="left" w:leader="none"/>
        </w:tabs>
        <w:spacing w:line="240" w:lineRule="auto" w:before="0" w:after="0"/>
        <w:ind w:left="270" w:right="676" w:firstLine="0"/>
        <w:jc w:val="both"/>
        <w:rPr>
          <w:b/>
          <w:sz w:val="18"/>
        </w:rPr>
      </w:pPr>
      <w:r>
        <w:rPr>
          <w:b/>
          <w:sz w:val="18"/>
        </w:rPr>
        <w:t>Identify the value in tables according to the position adopted and the method of</w:t>
      </w:r>
      <w:r>
        <w:rPr>
          <w:b/>
          <w:spacing w:val="-24"/>
          <w:sz w:val="18"/>
        </w:rPr>
        <w:t> </w:t>
      </w:r>
      <w:r>
        <w:rPr>
          <w:b/>
          <w:sz w:val="18"/>
        </w:rPr>
        <w:t>analysis.</w:t>
      </w:r>
    </w:p>
    <w:p>
      <w:pPr>
        <w:pStyle w:val="BodyText"/>
        <w:spacing w:before="7"/>
        <w:rPr>
          <w:b/>
          <w:sz w:val="17"/>
        </w:rPr>
      </w:pPr>
    </w:p>
    <w:p>
      <w:pPr>
        <w:spacing w:before="1"/>
        <w:ind w:left="270" w:right="677" w:firstLine="44"/>
        <w:jc w:val="both"/>
        <w:rPr>
          <w:sz w:val="18"/>
        </w:rPr>
      </w:pPr>
      <w:r>
        <w:rPr>
          <w:sz w:val="18"/>
        </w:rPr>
        <w:t>By supporting images, the angles of the positions of each of the members will be evaluated with the support of the AutoCAD program, thus giving the measures of the angles will proceed to the evaluation.</w:t>
      </w:r>
    </w:p>
    <w:p>
      <w:pPr>
        <w:pStyle w:val="BodyText"/>
        <w:rPr>
          <w:sz w:val="18"/>
        </w:rPr>
      </w:pPr>
    </w:p>
    <w:p>
      <w:pPr>
        <w:pStyle w:val="ListParagraph"/>
        <w:numPr>
          <w:ilvl w:val="0"/>
          <w:numId w:val="41"/>
        </w:numPr>
        <w:tabs>
          <w:tab w:pos="631" w:val="left" w:leader="none"/>
        </w:tabs>
        <w:spacing w:line="240" w:lineRule="auto" w:before="0" w:after="0"/>
        <w:ind w:left="630" w:right="677" w:hanging="360"/>
        <w:jc w:val="both"/>
        <w:rPr>
          <w:sz w:val="18"/>
        </w:rPr>
      </w:pPr>
      <w:r>
        <w:rPr>
          <w:sz w:val="18"/>
        </w:rPr>
        <w:t>The method begins with the assessment of the upper limbs (arms, forearms and wrists) called Group</w:t>
      </w:r>
      <w:r>
        <w:rPr>
          <w:spacing w:val="-19"/>
          <w:sz w:val="18"/>
        </w:rPr>
        <w:t> </w:t>
      </w:r>
      <w:r>
        <w:rPr>
          <w:sz w:val="18"/>
        </w:rPr>
        <w:t>A.</w:t>
      </w:r>
    </w:p>
    <w:p>
      <w:pPr>
        <w:pStyle w:val="BodyText"/>
        <w:rPr>
          <w:sz w:val="18"/>
        </w:rPr>
      </w:pPr>
    </w:p>
    <w:p>
      <w:pPr>
        <w:pStyle w:val="ListParagraph"/>
        <w:numPr>
          <w:ilvl w:val="0"/>
          <w:numId w:val="41"/>
        </w:numPr>
        <w:tabs>
          <w:tab w:pos="631" w:val="left" w:leader="none"/>
        </w:tabs>
        <w:spacing w:line="240" w:lineRule="auto" w:before="0" w:after="0"/>
        <w:ind w:left="630" w:right="678" w:hanging="360"/>
        <w:jc w:val="both"/>
        <w:rPr>
          <w:sz w:val="18"/>
        </w:rPr>
      </w:pPr>
      <w:r>
        <w:rPr>
          <w:sz w:val="18"/>
        </w:rPr>
        <w:t>The first member to be evaluated will be arm and depending on its angle formed with respect to the trunk get your score by referring to the</w:t>
      </w:r>
      <w:r>
        <w:rPr>
          <w:spacing w:val="-2"/>
          <w:sz w:val="18"/>
        </w:rPr>
        <w:t> </w:t>
      </w:r>
      <w:r>
        <w:rPr>
          <w:sz w:val="18"/>
        </w:rPr>
        <w:t>table.</w:t>
      </w:r>
    </w:p>
    <w:p>
      <w:pPr>
        <w:pStyle w:val="BodyText"/>
        <w:rPr>
          <w:sz w:val="18"/>
        </w:rPr>
      </w:pPr>
    </w:p>
    <w:p>
      <w:pPr>
        <w:pStyle w:val="ListParagraph"/>
        <w:numPr>
          <w:ilvl w:val="0"/>
          <w:numId w:val="41"/>
        </w:numPr>
        <w:tabs>
          <w:tab w:pos="631" w:val="left" w:leader="none"/>
        </w:tabs>
        <w:spacing w:line="240" w:lineRule="auto" w:before="0" w:after="0"/>
        <w:ind w:left="630" w:right="676" w:hanging="360"/>
        <w:jc w:val="both"/>
        <w:rPr>
          <w:sz w:val="18"/>
        </w:rPr>
      </w:pPr>
      <w:r>
        <w:rPr>
          <w:sz w:val="18"/>
        </w:rPr>
        <w:t>The next member to be evaluated will be the position of the forearm; the score assigned will again be with respect to the function of your position. Evaluated once it determined the score.</w:t>
      </w:r>
    </w:p>
    <w:p>
      <w:pPr>
        <w:pStyle w:val="BodyText"/>
        <w:rPr>
          <w:sz w:val="18"/>
        </w:rPr>
      </w:pPr>
    </w:p>
    <w:p>
      <w:pPr>
        <w:pStyle w:val="ListParagraph"/>
        <w:numPr>
          <w:ilvl w:val="0"/>
          <w:numId w:val="41"/>
        </w:numPr>
        <w:tabs>
          <w:tab w:pos="631" w:val="left" w:leader="none"/>
        </w:tabs>
        <w:spacing w:line="240" w:lineRule="auto" w:before="0" w:after="0"/>
        <w:ind w:left="630" w:right="676" w:hanging="360"/>
        <w:jc w:val="both"/>
        <w:rPr>
          <w:sz w:val="18"/>
        </w:rPr>
      </w:pPr>
      <w:r>
        <w:rPr>
          <w:sz w:val="18"/>
        </w:rPr>
        <w:t>And finally, to finish the evaluation of the members of Group A will discuss the position of the wrist; the flexion angle will first be determined to proceed to the election of the score that corresponds according to the values in the</w:t>
      </w:r>
      <w:r>
        <w:rPr>
          <w:spacing w:val="-4"/>
          <w:sz w:val="18"/>
        </w:rPr>
        <w:t> </w:t>
      </w:r>
      <w:r>
        <w:rPr>
          <w:sz w:val="18"/>
        </w:rPr>
        <w:t>table.</w:t>
      </w:r>
    </w:p>
    <w:p>
      <w:pPr>
        <w:pStyle w:val="BodyText"/>
        <w:rPr>
          <w:sz w:val="18"/>
        </w:rPr>
      </w:pPr>
    </w:p>
    <w:p>
      <w:pPr>
        <w:pStyle w:val="ListParagraph"/>
        <w:numPr>
          <w:ilvl w:val="0"/>
          <w:numId w:val="41"/>
        </w:numPr>
        <w:tabs>
          <w:tab w:pos="631" w:val="left" w:leader="none"/>
        </w:tabs>
        <w:spacing w:line="240" w:lineRule="auto" w:before="0" w:after="0"/>
        <w:ind w:left="630" w:right="675" w:hanging="360"/>
        <w:jc w:val="both"/>
        <w:rPr>
          <w:sz w:val="18"/>
        </w:rPr>
      </w:pPr>
      <w:r>
        <w:rPr>
          <w:sz w:val="18"/>
        </w:rPr>
        <w:t>The value calculated for the doll will be modified at a point if there is radial or ulnar</w:t>
      </w:r>
      <w:r>
        <w:rPr>
          <w:spacing w:val="-8"/>
          <w:sz w:val="18"/>
        </w:rPr>
        <w:t> </w:t>
      </w:r>
      <w:r>
        <w:rPr>
          <w:sz w:val="18"/>
        </w:rPr>
        <w:t>deviation.</w:t>
      </w:r>
    </w:p>
    <w:p>
      <w:pPr>
        <w:pStyle w:val="BodyText"/>
        <w:rPr>
          <w:sz w:val="18"/>
        </w:rPr>
      </w:pPr>
    </w:p>
    <w:p>
      <w:pPr>
        <w:pStyle w:val="ListParagraph"/>
        <w:numPr>
          <w:ilvl w:val="0"/>
          <w:numId w:val="41"/>
        </w:numPr>
        <w:tabs>
          <w:tab w:pos="631" w:val="left" w:leader="none"/>
        </w:tabs>
        <w:spacing w:line="240" w:lineRule="auto" w:before="0" w:after="0"/>
        <w:ind w:left="630" w:right="676" w:hanging="360"/>
        <w:jc w:val="both"/>
        <w:rPr>
          <w:sz w:val="18"/>
        </w:rPr>
      </w:pPr>
      <w:r>
        <w:rPr>
          <w:sz w:val="18"/>
        </w:rPr>
        <w:t>In the same way the turn taken by the wrist will be evaluated, this value is independent is not added to the previous scores,  is globalizing for Group A</w:t>
      </w:r>
      <w:r>
        <w:rPr>
          <w:spacing w:val="-4"/>
          <w:sz w:val="18"/>
        </w:rPr>
        <w:t> </w:t>
      </w:r>
      <w:r>
        <w:rPr>
          <w:sz w:val="18"/>
        </w:rPr>
        <w:t>score.</w:t>
      </w:r>
    </w:p>
    <w:p>
      <w:pPr>
        <w:pStyle w:val="BodyText"/>
        <w:rPr>
          <w:sz w:val="18"/>
        </w:rPr>
      </w:pPr>
    </w:p>
    <w:p>
      <w:pPr>
        <w:pStyle w:val="ListParagraph"/>
        <w:numPr>
          <w:ilvl w:val="0"/>
          <w:numId w:val="41"/>
        </w:numPr>
        <w:tabs>
          <w:tab w:pos="631" w:val="left" w:leader="none"/>
        </w:tabs>
        <w:spacing w:line="240" w:lineRule="auto" w:before="0" w:after="0"/>
        <w:ind w:left="630" w:right="678" w:hanging="360"/>
        <w:jc w:val="both"/>
        <w:rPr>
          <w:sz w:val="18"/>
        </w:rPr>
      </w:pPr>
      <w:r>
        <w:rPr>
          <w:sz w:val="18"/>
        </w:rPr>
        <w:t>Completed the evaluation of the members of Group A will be to assess to the B group formed by the legs, trunk and</w:t>
      </w:r>
      <w:r>
        <w:rPr>
          <w:spacing w:val="-10"/>
          <w:sz w:val="18"/>
        </w:rPr>
        <w:t> </w:t>
      </w:r>
      <w:r>
        <w:rPr>
          <w:sz w:val="18"/>
        </w:rPr>
        <w:t>neck.</w:t>
      </w:r>
    </w:p>
    <w:p>
      <w:pPr>
        <w:pStyle w:val="BodyText"/>
        <w:rPr>
          <w:sz w:val="18"/>
        </w:rPr>
      </w:pPr>
    </w:p>
    <w:p>
      <w:pPr>
        <w:pStyle w:val="ListParagraph"/>
        <w:numPr>
          <w:ilvl w:val="0"/>
          <w:numId w:val="41"/>
        </w:numPr>
        <w:tabs>
          <w:tab w:pos="631" w:val="left" w:leader="none"/>
        </w:tabs>
        <w:spacing w:line="240" w:lineRule="auto" w:before="0" w:after="0"/>
        <w:ind w:left="630" w:right="676" w:hanging="360"/>
        <w:jc w:val="both"/>
        <w:rPr>
          <w:sz w:val="18"/>
        </w:rPr>
      </w:pPr>
      <w:r>
        <w:rPr>
          <w:sz w:val="18"/>
        </w:rPr>
        <w:t>The flexion exercised by the neck will be first evaluated, the score will be assigned according to the</w:t>
      </w:r>
      <w:r>
        <w:rPr>
          <w:spacing w:val="-7"/>
          <w:sz w:val="18"/>
        </w:rPr>
        <w:t> </w:t>
      </w:r>
      <w:r>
        <w:rPr>
          <w:sz w:val="18"/>
        </w:rPr>
        <w:t>table.</w:t>
      </w:r>
    </w:p>
    <w:p>
      <w:pPr>
        <w:pStyle w:val="BodyText"/>
        <w:rPr>
          <w:sz w:val="18"/>
        </w:rPr>
      </w:pPr>
    </w:p>
    <w:p>
      <w:pPr>
        <w:pStyle w:val="ListParagraph"/>
        <w:numPr>
          <w:ilvl w:val="0"/>
          <w:numId w:val="41"/>
        </w:numPr>
        <w:tabs>
          <w:tab w:pos="631" w:val="left" w:leader="none"/>
        </w:tabs>
        <w:spacing w:line="240" w:lineRule="auto" w:before="0" w:after="0"/>
        <w:ind w:left="630" w:right="677" w:hanging="360"/>
        <w:jc w:val="both"/>
        <w:rPr>
          <w:sz w:val="18"/>
        </w:rPr>
      </w:pPr>
      <w:r>
        <w:rPr>
          <w:sz w:val="18"/>
        </w:rPr>
        <w:t>The second member to evaluate will be the trunk, must indicate the degree of Flex that it is exercising and if the operator is standing or sitting. Such a good</w:t>
      </w:r>
      <w:r>
        <w:rPr>
          <w:spacing w:val="-10"/>
          <w:sz w:val="18"/>
        </w:rPr>
        <w:t> </w:t>
      </w:r>
      <w:r>
        <w:rPr>
          <w:sz w:val="18"/>
        </w:rPr>
        <w:t>score.</w:t>
      </w:r>
    </w:p>
    <w:p>
      <w:pPr>
        <w:pStyle w:val="BodyText"/>
        <w:rPr>
          <w:sz w:val="18"/>
        </w:rPr>
      </w:pPr>
    </w:p>
    <w:p>
      <w:pPr>
        <w:pStyle w:val="ListParagraph"/>
        <w:numPr>
          <w:ilvl w:val="0"/>
          <w:numId w:val="41"/>
        </w:numPr>
        <w:tabs>
          <w:tab w:pos="631" w:val="left" w:leader="none"/>
        </w:tabs>
        <w:spacing w:line="240" w:lineRule="auto" w:before="0" w:after="0"/>
        <w:ind w:left="630" w:right="675" w:hanging="360"/>
        <w:jc w:val="both"/>
        <w:rPr>
          <w:sz w:val="18"/>
        </w:rPr>
      </w:pPr>
      <w:r>
        <w:rPr>
          <w:sz w:val="18"/>
        </w:rPr>
        <w:t>To conclude the evaluation of the members of the Group B is evaluated the position of the legs, in this case the evaluation would focus on the distribution of weight, the support and the position in which are. The value according to the table is assigned.</w:t>
      </w:r>
    </w:p>
    <w:p>
      <w:pPr>
        <w:pStyle w:val="BodyText"/>
        <w:rPr>
          <w:sz w:val="18"/>
        </w:rPr>
      </w:pPr>
    </w:p>
    <w:p>
      <w:pPr>
        <w:pStyle w:val="ListParagraph"/>
        <w:numPr>
          <w:ilvl w:val="0"/>
          <w:numId w:val="41"/>
        </w:numPr>
        <w:tabs>
          <w:tab w:pos="631" w:val="left" w:leader="none"/>
        </w:tabs>
        <w:spacing w:line="240" w:lineRule="auto" w:before="0" w:after="0"/>
        <w:ind w:left="630" w:right="677" w:hanging="360"/>
        <w:jc w:val="both"/>
        <w:rPr>
          <w:sz w:val="18"/>
        </w:rPr>
      </w:pPr>
      <w:r>
        <w:rPr>
          <w:sz w:val="18"/>
        </w:rPr>
        <w:t>It will proceed to make the overall score in both group A and B.</w:t>
      </w:r>
    </w:p>
    <w:p>
      <w:pPr>
        <w:spacing w:after="0" w:line="240" w:lineRule="auto"/>
        <w:jc w:val="both"/>
        <w:rPr>
          <w:sz w:val="18"/>
        </w:rPr>
        <w:sectPr>
          <w:type w:val="continuous"/>
          <w:pgSz w:w="12240" w:h="15840"/>
          <w:pgMar w:top="1500" w:bottom="280" w:left="580" w:right="220"/>
          <w:cols w:num="2" w:equalWidth="0">
            <w:col w:w="5189" w:space="435"/>
            <w:col w:w="5816"/>
          </w:cols>
        </w:sectPr>
      </w:pPr>
    </w:p>
    <w:p>
      <w:pPr>
        <w:pStyle w:val="BodyText"/>
        <w:spacing w:before="3"/>
        <w:rPr>
          <w:sz w:val="11"/>
        </w:rPr>
      </w:pPr>
    </w:p>
    <w:p>
      <w:pPr>
        <w:spacing w:after="0"/>
        <w:rPr>
          <w:sz w:val="11"/>
        </w:rPr>
        <w:sectPr>
          <w:pgSz w:w="12240" w:h="15840"/>
          <w:pgMar w:header="545" w:footer="852" w:top="1060" w:bottom="1040" w:left="580" w:right="220"/>
        </w:sectPr>
      </w:pPr>
    </w:p>
    <w:p>
      <w:pPr>
        <w:pStyle w:val="ListParagraph"/>
        <w:numPr>
          <w:ilvl w:val="1"/>
          <w:numId w:val="73"/>
        </w:numPr>
        <w:tabs>
          <w:tab w:pos="578" w:val="left" w:leader="none"/>
        </w:tabs>
        <w:spacing w:line="240" w:lineRule="auto" w:before="77" w:after="0"/>
        <w:ind w:left="270" w:right="0" w:firstLine="0"/>
        <w:jc w:val="left"/>
        <w:rPr>
          <w:b/>
          <w:sz w:val="18"/>
        </w:rPr>
      </w:pPr>
      <w:r>
        <w:rPr>
          <w:b/>
          <w:sz w:val="18"/>
        </w:rPr>
        <w:t>Review scores to determine where it will be necessary to apply</w:t>
      </w:r>
      <w:r>
        <w:rPr>
          <w:b/>
          <w:spacing w:val="-10"/>
          <w:sz w:val="18"/>
        </w:rPr>
        <w:t> </w:t>
      </w:r>
      <w:r>
        <w:rPr>
          <w:b/>
          <w:sz w:val="18"/>
        </w:rPr>
        <w:t>corrections.</w:t>
      </w:r>
    </w:p>
    <w:p>
      <w:pPr>
        <w:pStyle w:val="BodyText"/>
        <w:spacing w:before="7"/>
        <w:rPr>
          <w:b/>
          <w:sz w:val="17"/>
        </w:rPr>
      </w:pPr>
    </w:p>
    <w:p>
      <w:pPr>
        <w:spacing w:before="1"/>
        <w:ind w:left="270" w:right="1" w:firstLine="44"/>
        <w:jc w:val="both"/>
        <w:rPr>
          <w:sz w:val="18"/>
        </w:rPr>
      </w:pPr>
      <w:r>
        <w:rPr>
          <w:sz w:val="18"/>
        </w:rPr>
        <w:t>To get the final score Group A shall be called Group C due to muscle activity and the applied forces. Similarly, the score obtained by the Group B will be called Group D according to activity and applied forces. The end result will be obtained from scores C and  D.</w:t>
      </w:r>
    </w:p>
    <w:p>
      <w:pPr>
        <w:pStyle w:val="BodyText"/>
        <w:spacing w:before="3"/>
        <w:rPr>
          <w:sz w:val="18"/>
        </w:rPr>
      </w:pPr>
    </w:p>
    <w:p>
      <w:pPr>
        <w:pStyle w:val="ListParagraph"/>
        <w:numPr>
          <w:ilvl w:val="1"/>
          <w:numId w:val="73"/>
        </w:numPr>
        <w:tabs>
          <w:tab w:pos="542" w:val="left" w:leader="none"/>
        </w:tabs>
        <w:spacing w:line="240" w:lineRule="auto" w:before="0" w:after="0"/>
        <w:ind w:left="541" w:right="0" w:hanging="271"/>
        <w:jc w:val="both"/>
        <w:rPr>
          <w:b/>
          <w:sz w:val="18"/>
        </w:rPr>
      </w:pPr>
      <w:r>
        <w:rPr>
          <w:b/>
          <w:sz w:val="18"/>
        </w:rPr>
        <w:t>Apply or introduce changes to improve job if</w:t>
      </w:r>
      <w:r>
        <w:rPr>
          <w:b/>
          <w:spacing w:val="-10"/>
          <w:sz w:val="18"/>
        </w:rPr>
        <w:t> </w:t>
      </w:r>
      <w:r>
        <w:rPr>
          <w:b/>
          <w:sz w:val="18"/>
        </w:rPr>
        <w:t>necessary.</w:t>
      </w:r>
    </w:p>
    <w:p>
      <w:pPr>
        <w:pStyle w:val="BodyText"/>
        <w:spacing w:before="7"/>
        <w:rPr>
          <w:b/>
          <w:sz w:val="17"/>
        </w:rPr>
      </w:pPr>
    </w:p>
    <w:p>
      <w:pPr>
        <w:spacing w:before="1"/>
        <w:ind w:left="270" w:right="1" w:firstLine="0"/>
        <w:jc w:val="both"/>
        <w:rPr>
          <w:sz w:val="18"/>
        </w:rPr>
      </w:pPr>
      <w:r>
        <w:rPr>
          <w:sz w:val="18"/>
        </w:rPr>
        <w:t>At this stage the different scores given by the method will be analyses and the most critical positions will be chosen to give the recommendations of changes that must be made in the workplace.</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3"/>
        <w:rPr>
          <w:sz w:val="18"/>
        </w:rPr>
      </w:pPr>
    </w:p>
    <w:p>
      <w:pPr>
        <w:pStyle w:val="ListParagraph"/>
        <w:numPr>
          <w:ilvl w:val="1"/>
          <w:numId w:val="73"/>
        </w:numPr>
        <w:tabs>
          <w:tab w:pos="542" w:val="left" w:leader="none"/>
        </w:tabs>
        <w:spacing w:line="240" w:lineRule="auto" w:before="0" w:after="0"/>
        <w:ind w:left="541" w:right="0" w:hanging="271"/>
        <w:jc w:val="both"/>
        <w:rPr>
          <w:b/>
          <w:sz w:val="18"/>
        </w:rPr>
      </w:pPr>
      <w:r>
        <w:rPr>
          <w:b/>
          <w:sz w:val="18"/>
        </w:rPr>
        <w:t>Jobs redesign or introduce changes to improve if</w:t>
      </w:r>
      <w:r>
        <w:rPr>
          <w:b/>
          <w:spacing w:val="-20"/>
          <w:sz w:val="18"/>
        </w:rPr>
        <w:t> </w:t>
      </w:r>
      <w:r>
        <w:rPr>
          <w:b/>
          <w:sz w:val="18"/>
        </w:rPr>
        <w:t>necessary.</w:t>
      </w:r>
    </w:p>
    <w:p>
      <w:pPr>
        <w:pStyle w:val="BodyText"/>
        <w:spacing w:before="7"/>
        <w:rPr>
          <w:b/>
          <w:sz w:val="17"/>
        </w:rPr>
      </w:pPr>
    </w:p>
    <w:p>
      <w:pPr>
        <w:spacing w:before="1"/>
        <w:ind w:left="270" w:right="0" w:firstLine="44"/>
        <w:jc w:val="both"/>
        <w:rPr>
          <w:sz w:val="18"/>
        </w:rPr>
      </w:pPr>
      <w:r>
        <w:rPr>
          <w:sz w:val="18"/>
        </w:rPr>
        <w:t>Based on the results given by the method rula, at this stage only will give recommendations as to the measures that should be for the redesign of the</w:t>
      </w:r>
      <w:r>
        <w:rPr>
          <w:spacing w:val="-4"/>
          <w:sz w:val="18"/>
        </w:rPr>
        <w:t> </w:t>
      </w:r>
      <w:r>
        <w:rPr>
          <w:sz w:val="18"/>
        </w:rPr>
        <w:t>workplace.</w:t>
      </w:r>
    </w:p>
    <w:p>
      <w:pPr>
        <w:pStyle w:val="BodyText"/>
        <w:spacing w:before="3"/>
        <w:rPr>
          <w:sz w:val="18"/>
        </w:rPr>
      </w:pPr>
    </w:p>
    <w:p>
      <w:pPr>
        <w:pStyle w:val="ListParagraph"/>
        <w:numPr>
          <w:ilvl w:val="1"/>
          <w:numId w:val="73"/>
        </w:numPr>
        <w:tabs>
          <w:tab w:pos="542" w:val="left" w:leader="none"/>
        </w:tabs>
        <w:spacing w:line="240" w:lineRule="auto" w:before="0" w:after="0"/>
        <w:ind w:left="541" w:right="0" w:hanging="271"/>
        <w:jc w:val="both"/>
        <w:rPr>
          <w:b/>
          <w:sz w:val="18"/>
        </w:rPr>
      </w:pPr>
      <w:r>
        <w:rPr>
          <w:b/>
          <w:sz w:val="18"/>
        </w:rPr>
        <w:t>Materials to</w:t>
      </w:r>
      <w:r>
        <w:rPr>
          <w:b/>
          <w:spacing w:val="-3"/>
          <w:sz w:val="18"/>
        </w:rPr>
        <w:t> </w:t>
      </w:r>
      <w:r>
        <w:rPr>
          <w:b/>
          <w:sz w:val="18"/>
        </w:rPr>
        <w:t>use</w:t>
      </w:r>
    </w:p>
    <w:p>
      <w:pPr>
        <w:pStyle w:val="BodyText"/>
        <w:spacing w:before="8"/>
        <w:rPr>
          <w:b/>
          <w:sz w:val="17"/>
        </w:rPr>
      </w:pPr>
    </w:p>
    <w:p>
      <w:pPr>
        <w:pStyle w:val="ListParagraph"/>
        <w:numPr>
          <w:ilvl w:val="2"/>
          <w:numId w:val="73"/>
        </w:numPr>
        <w:tabs>
          <w:tab w:pos="978" w:val="left" w:leader="none"/>
          <w:tab w:pos="979" w:val="left" w:leader="none"/>
        </w:tabs>
        <w:spacing w:line="220" w:lineRule="exact" w:before="0" w:after="0"/>
        <w:ind w:left="978" w:right="0" w:hanging="348"/>
        <w:jc w:val="left"/>
        <w:rPr>
          <w:sz w:val="18"/>
        </w:rPr>
      </w:pPr>
      <w:r>
        <w:rPr>
          <w:sz w:val="18"/>
        </w:rPr>
        <w:t>RULA field</w:t>
      </w:r>
      <w:r>
        <w:rPr>
          <w:spacing w:val="-13"/>
          <w:sz w:val="18"/>
        </w:rPr>
        <w:t> </w:t>
      </w:r>
      <w:r>
        <w:rPr>
          <w:sz w:val="18"/>
        </w:rPr>
        <w:t>sheet</w:t>
      </w:r>
    </w:p>
    <w:p>
      <w:pPr>
        <w:pStyle w:val="ListParagraph"/>
        <w:numPr>
          <w:ilvl w:val="2"/>
          <w:numId w:val="73"/>
        </w:numPr>
        <w:tabs>
          <w:tab w:pos="978" w:val="left" w:leader="none"/>
          <w:tab w:pos="979" w:val="left" w:leader="none"/>
        </w:tabs>
        <w:spacing w:line="220" w:lineRule="exact" w:before="0" w:after="0"/>
        <w:ind w:left="978" w:right="0" w:hanging="348"/>
        <w:jc w:val="left"/>
        <w:rPr>
          <w:sz w:val="18"/>
        </w:rPr>
      </w:pPr>
      <w:r>
        <w:rPr>
          <w:sz w:val="18"/>
        </w:rPr>
        <w:t>ERula</w:t>
      </w:r>
      <w:r>
        <w:rPr>
          <w:spacing w:val="-12"/>
          <w:sz w:val="18"/>
        </w:rPr>
        <w:t> </w:t>
      </w:r>
      <w:r>
        <w:rPr>
          <w:sz w:val="18"/>
        </w:rPr>
        <w:t>software</w:t>
      </w:r>
    </w:p>
    <w:p>
      <w:pPr>
        <w:pStyle w:val="ListParagraph"/>
        <w:numPr>
          <w:ilvl w:val="2"/>
          <w:numId w:val="73"/>
        </w:numPr>
        <w:tabs>
          <w:tab w:pos="978" w:val="left" w:leader="none"/>
          <w:tab w:pos="979" w:val="left" w:leader="none"/>
        </w:tabs>
        <w:spacing w:line="220" w:lineRule="exact" w:before="0" w:after="0"/>
        <w:ind w:left="978" w:right="0" w:hanging="348"/>
        <w:jc w:val="left"/>
        <w:rPr>
          <w:sz w:val="18"/>
        </w:rPr>
      </w:pPr>
      <w:r>
        <w:rPr>
          <w:sz w:val="18"/>
        </w:rPr>
        <w:t>Camera</w:t>
      </w:r>
    </w:p>
    <w:p>
      <w:pPr>
        <w:pStyle w:val="ListParagraph"/>
        <w:numPr>
          <w:ilvl w:val="2"/>
          <w:numId w:val="73"/>
        </w:numPr>
        <w:tabs>
          <w:tab w:pos="978" w:val="left" w:leader="none"/>
          <w:tab w:pos="979" w:val="left" w:leader="none"/>
        </w:tabs>
        <w:spacing w:line="240" w:lineRule="auto" w:before="0" w:after="0"/>
        <w:ind w:left="978" w:right="0" w:hanging="348"/>
        <w:jc w:val="left"/>
        <w:rPr>
          <w:sz w:val="18"/>
        </w:rPr>
      </w:pPr>
      <w:r>
        <w:rPr>
          <w:sz w:val="18"/>
        </w:rPr>
        <w:t>AutoCAD</w:t>
      </w:r>
      <w:r>
        <w:rPr>
          <w:spacing w:val="-14"/>
          <w:sz w:val="18"/>
        </w:rPr>
        <w:t> </w:t>
      </w:r>
      <w:r>
        <w:rPr>
          <w:sz w:val="18"/>
        </w:rPr>
        <w:t>software</w:t>
      </w:r>
    </w:p>
    <w:p>
      <w:pPr>
        <w:pStyle w:val="BodyText"/>
        <w:spacing w:before="1"/>
        <w:rPr>
          <w:sz w:val="18"/>
        </w:rPr>
      </w:pPr>
    </w:p>
    <w:p>
      <w:pPr>
        <w:pStyle w:val="ListParagraph"/>
        <w:numPr>
          <w:ilvl w:val="0"/>
          <w:numId w:val="71"/>
        </w:numPr>
        <w:tabs>
          <w:tab w:pos="452" w:val="left" w:leader="none"/>
        </w:tabs>
        <w:spacing w:line="240" w:lineRule="auto" w:before="1" w:after="0"/>
        <w:ind w:left="451" w:right="0" w:hanging="181"/>
        <w:jc w:val="both"/>
        <w:rPr>
          <w:b/>
          <w:sz w:val="18"/>
        </w:rPr>
      </w:pPr>
      <w:r>
        <w:rPr>
          <w:b/>
          <w:sz w:val="18"/>
        </w:rPr>
        <w:t>RESULTS</w:t>
      </w:r>
    </w:p>
    <w:p>
      <w:pPr>
        <w:pStyle w:val="ListParagraph"/>
        <w:numPr>
          <w:ilvl w:val="1"/>
          <w:numId w:val="71"/>
        </w:numPr>
        <w:tabs>
          <w:tab w:pos="587" w:val="left" w:leader="none"/>
        </w:tabs>
        <w:spacing w:line="240" w:lineRule="auto" w:before="0" w:after="0"/>
        <w:ind w:left="586" w:right="0" w:hanging="270"/>
        <w:jc w:val="both"/>
        <w:rPr>
          <w:b/>
          <w:sz w:val="18"/>
        </w:rPr>
      </w:pPr>
      <w:r>
        <w:rPr>
          <w:b/>
          <w:sz w:val="18"/>
        </w:rPr>
        <w:t>Recognize</w:t>
      </w:r>
      <w:r>
        <w:rPr>
          <w:b/>
          <w:spacing w:val="-2"/>
          <w:sz w:val="18"/>
        </w:rPr>
        <w:t> </w:t>
      </w:r>
      <w:r>
        <w:rPr>
          <w:b/>
          <w:sz w:val="18"/>
        </w:rPr>
        <w:t>Job</w:t>
      </w:r>
    </w:p>
    <w:p>
      <w:pPr>
        <w:pStyle w:val="BodyText"/>
        <w:spacing w:before="7"/>
        <w:rPr>
          <w:b/>
          <w:sz w:val="17"/>
        </w:rPr>
      </w:pPr>
    </w:p>
    <w:p>
      <w:pPr>
        <w:spacing w:before="1"/>
        <w:ind w:left="270" w:right="118" w:firstLine="0"/>
        <w:jc w:val="left"/>
        <w:rPr>
          <w:sz w:val="18"/>
        </w:rPr>
      </w:pPr>
      <w:r>
        <w:rPr/>
        <w:pict>
          <v:shape style="position:absolute;margin-left:107.279999pt;margin-top:35.270855pt;width:115.2pt;height:120.9pt;mso-position-horizontal-relative:page;mso-position-vertical-relative:paragraph;z-index:-870136" type="#_x0000_t202" filled="false" stroked="false">
            <v:textbox inset="0,0,0,0">
              <w:txbxContent>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spacing w:before="123"/>
                    <w:ind w:left="88" w:right="0" w:firstLine="0"/>
                    <w:jc w:val="left"/>
                    <w:rPr>
                      <w:sz w:val="18"/>
                    </w:rPr>
                  </w:pPr>
                  <w:r>
                    <w:rPr>
                      <w:b/>
                      <w:sz w:val="18"/>
                    </w:rPr>
                    <w:t>Figure 1. </w:t>
                  </w:r>
                  <w:r>
                    <w:rPr>
                      <w:sz w:val="18"/>
                    </w:rPr>
                    <w:t>Position to analyze.</w:t>
                  </w:r>
                </w:p>
              </w:txbxContent>
            </v:textbox>
            <w10:wrap type="none"/>
          </v:shape>
        </w:pict>
      </w:r>
      <w:r>
        <w:rPr>
          <w:sz w:val="18"/>
        </w:rPr>
        <w:t>The production process was analyzed in order to determine the  risky positions. Follow</w:t>
      </w:r>
      <w:r>
        <w:rPr>
          <w:spacing w:val="-27"/>
          <w:sz w:val="18"/>
        </w:rPr>
        <w:t> </w:t>
      </w:r>
      <w:r>
        <w:rPr>
          <w:sz w:val="18"/>
        </w:rPr>
        <w:t>figure1.</w:t>
      </w:r>
    </w:p>
    <w:p>
      <w:pPr>
        <w:pStyle w:val="BodyText"/>
        <w:spacing w:before="10"/>
        <w:rPr>
          <w:sz w:val="21"/>
        </w:rPr>
      </w:pPr>
      <w:r>
        <w:rPr/>
        <w:drawing>
          <wp:anchor distT="0" distB="0" distL="0" distR="0" allowOverlap="1" layoutInCell="1" locked="0" behindDoc="0" simplePos="0" relativeHeight="8632">
            <wp:simplePos x="0" y="0"/>
            <wp:positionH relativeFrom="page">
              <wp:posOffset>1362455</wp:posOffset>
            </wp:positionH>
            <wp:positionV relativeFrom="paragraph">
              <wp:posOffset>184803</wp:posOffset>
            </wp:positionV>
            <wp:extent cx="1460589" cy="1532858"/>
            <wp:effectExtent l="0" t="0" r="0" b="0"/>
            <wp:wrapTopAndBottom/>
            <wp:docPr id="323" name="image190.jpeg" descr=""/>
            <wp:cNvGraphicFramePr>
              <a:graphicFrameLocks noChangeAspect="1"/>
            </wp:cNvGraphicFramePr>
            <a:graphic>
              <a:graphicData uri="http://schemas.openxmlformats.org/drawingml/2006/picture">
                <pic:pic>
                  <pic:nvPicPr>
                    <pic:cNvPr id="324" name="image190.jpeg"/>
                    <pic:cNvPicPr/>
                  </pic:nvPicPr>
                  <pic:blipFill>
                    <a:blip r:embed="rId308" cstate="print"/>
                    <a:stretch>
                      <a:fillRect/>
                    </a:stretch>
                  </pic:blipFill>
                  <pic:spPr>
                    <a:xfrm>
                      <a:off x="0" y="0"/>
                      <a:ext cx="1460589" cy="1532858"/>
                    </a:xfrm>
                    <a:prstGeom prst="rect">
                      <a:avLst/>
                    </a:prstGeom>
                  </pic:spPr>
                </pic:pic>
              </a:graphicData>
            </a:graphic>
          </wp:anchor>
        </w:drawing>
      </w:r>
    </w:p>
    <w:p>
      <w:pPr>
        <w:pStyle w:val="BodyText"/>
        <w:spacing w:before="6"/>
        <w:rPr>
          <w:sz w:val="14"/>
        </w:rPr>
      </w:pPr>
    </w:p>
    <w:p>
      <w:pPr>
        <w:pStyle w:val="ListParagraph"/>
        <w:numPr>
          <w:ilvl w:val="1"/>
          <w:numId w:val="71"/>
        </w:numPr>
        <w:tabs>
          <w:tab w:pos="542" w:val="left" w:leader="none"/>
        </w:tabs>
        <w:spacing w:line="240" w:lineRule="auto" w:before="0" w:after="0"/>
        <w:ind w:left="541" w:right="0" w:hanging="271"/>
        <w:jc w:val="both"/>
        <w:rPr>
          <w:b/>
          <w:sz w:val="18"/>
        </w:rPr>
      </w:pPr>
      <w:r>
        <w:rPr>
          <w:b/>
          <w:sz w:val="18"/>
        </w:rPr>
        <w:t>ANALYSIS GROUP</w:t>
      </w:r>
      <w:r>
        <w:rPr>
          <w:b/>
          <w:spacing w:val="-12"/>
          <w:sz w:val="18"/>
        </w:rPr>
        <w:t> </w:t>
      </w:r>
      <w:r>
        <w:rPr>
          <w:b/>
          <w:sz w:val="18"/>
        </w:rPr>
        <w:t>A.</w:t>
      </w:r>
    </w:p>
    <w:p>
      <w:pPr>
        <w:pStyle w:val="BodyText"/>
        <w:rPr>
          <w:b/>
          <w:sz w:val="18"/>
        </w:rPr>
      </w:pPr>
    </w:p>
    <w:p>
      <w:pPr>
        <w:spacing w:before="0"/>
        <w:ind w:left="270" w:right="0" w:firstLine="0"/>
        <w:jc w:val="both"/>
        <w:rPr>
          <w:b/>
          <w:sz w:val="18"/>
        </w:rPr>
      </w:pPr>
      <w:r>
        <w:rPr>
          <w:b/>
          <w:sz w:val="18"/>
        </w:rPr>
        <w:t>5.2.1Arm position.</w:t>
      </w:r>
    </w:p>
    <w:p>
      <w:pPr>
        <w:pStyle w:val="BodyText"/>
        <w:spacing w:before="7"/>
        <w:rPr>
          <w:b/>
          <w:sz w:val="17"/>
        </w:rPr>
      </w:pPr>
    </w:p>
    <w:p>
      <w:pPr>
        <w:spacing w:before="1"/>
        <w:ind w:left="270" w:right="-2" w:firstLine="0"/>
        <w:jc w:val="left"/>
        <w:rPr>
          <w:sz w:val="18"/>
        </w:rPr>
      </w:pPr>
      <w:r>
        <w:rPr>
          <w:sz w:val="18"/>
        </w:rPr>
        <w:t>You can see that the right arm is at a 30° angle, which indicates that the operator is in a position acceptable but little favorable, this position was very repetitive and constant throughout the job cycle. See Figure 2 and table 1 to see scores.</w:t>
      </w:r>
    </w:p>
    <w:p>
      <w:pPr>
        <w:spacing w:before="3"/>
        <w:ind w:left="270" w:right="0" w:firstLine="0"/>
        <w:jc w:val="both"/>
        <w:rPr>
          <w:b/>
          <w:sz w:val="18"/>
        </w:rPr>
      </w:pPr>
      <w:r>
        <w:rPr>
          <w:b/>
          <w:sz w:val="18"/>
        </w:rPr>
        <w:t>Total score: 2</w:t>
      </w:r>
    </w:p>
    <w:p>
      <w:pPr>
        <w:pStyle w:val="BodyText"/>
        <w:rPr>
          <w:b/>
        </w:rPr>
      </w:pPr>
      <w:r>
        <w:rPr/>
        <w:br w:type="column"/>
      </w:r>
      <w:r>
        <w:rPr>
          <w:b/>
        </w:rPr>
      </w:r>
    </w:p>
    <w:p>
      <w:pPr>
        <w:pStyle w:val="BodyText"/>
        <w:spacing w:before="5"/>
        <w:rPr>
          <w:b/>
          <w:sz w:val="19"/>
        </w:rPr>
      </w:pPr>
      <w:r>
        <w:rPr/>
        <w:drawing>
          <wp:anchor distT="0" distB="0" distL="0" distR="0" allowOverlap="1" layoutInCell="1" locked="0" behindDoc="0" simplePos="0" relativeHeight="8656">
            <wp:simplePos x="0" y="0"/>
            <wp:positionH relativeFrom="page">
              <wp:posOffset>4915661</wp:posOffset>
            </wp:positionH>
            <wp:positionV relativeFrom="paragraph">
              <wp:posOffset>166833</wp:posOffset>
            </wp:positionV>
            <wp:extent cx="1481250" cy="1583531"/>
            <wp:effectExtent l="0" t="0" r="0" b="0"/>
            <wp:wrapTopAndBottom/>
            <wp:docPr id="325" name="image191.jpeg" descr=""/>
            <wp:cNvGraphicFramePr>
              <a:graphicFrameLocks noChangeAspect="1"/>
            </wp:cNvGraphicFramePr>
            <a:graphic>
              <a:graphicData uri="http://schemas.openxmlformats.org/drawingml/2006/picture">
                <pic:pic>
                  <pic:nvPicPr>
                    <pic:cNvPr id="326" name="image191.jpeg"/>
                    <pic:cNvPicPr/>
                  </pic:nvPicPr>
                  <pic:blipFill>
                    <a:blip r:embed="rId309" cstate="print"/>
                    <a:stretch>
                      <a:fillRect/>
                    </a:stretch>
                  </pic:blipFill>
                  <pic:spPr>
                    <a:xfrm>
                      <a:off x="0" y="0"/>
                      <a:ext cx="1481250" cy="1583531"/>
                    </a:xfrm>
                    <a:prstGeom prst="rect">
                      <a:avLst/>
                    </a:prstGeom>
                  </pic:spPr>
                </pic:pic>
              </a:graphicData>
            </a:graphic>
          </wp:anchor>
        </w:drawing>
      </w:r>
    </w:p>
    <w:p>
      <w:pPr>
        <w:pStyle w:val="BodyText"/>
        <w:rPr>
          <w:b/>
          <w:sz w:val="18"/>
        </w:rPr>
      </w:pPr>
    </w:p>
    <w:p>
      <w:pPr>
        <w:pStyle w:val="BodyText"/>
        <w:spacing w:before="1"/>
        <w:rPr>
          <w:b/>
          <w:sz w:val="15"/>
        </w:rPr>
      </w:pPr>
    </w:p>
    <w:p>
      <w:pPr>
        <w:spacing w:line="207" w:lineRule="exact" w:before="0"/>
        <w:ind w:left="354" w:right="761" w:firstLine="0"/>
        <w:jc w:val="center"/>
        <w:rPr>
          <w:sz w:val="18"/>
        </w:rPr>
      </w:pPr>
      <w:r>
        <w:rPr>
          <w:b/>
          <w:sz w:val="18"/>
        </w:rPr>
        <w:t>Figure 2. </w:t>
      </w:r>
      <w:r>
        <w:rPr>
          <w:sz w:val="18"/>
        </w:rPr>
        <w:t>The arm angle.</w:t>
      </w:r>
    </w:p>
    <w:p>
      <w:pPr>
        <w:spacing w:line="207" w:lineRule="exact" w:before="0"/>
        <w:ind w:left="354" w:right="762" w:firstLine="0"/>
        <w:jc w:val="center"/>
        <w:rPr>
          <w:sz w:val="18"/>
        </w:rPr>
      </w:pPr>
      <w:r>
        <w:rPr>
          <w:b/>
          <w:sz w:val="18"/>
        </w:rPr>
        <w:t>Table 1</w:t>
      </w:r>
      <w:r>
        <w:rPr>
          <w:sz w:val="18"/>
        </w:rPr>
        <w:t>. Scores arm.</w:t>
      </w:r>
    </w:p>
    <w:p>
      <w:pPr>
        <w:pStyle w:val="BodyText"/>
        <w:spacing w:before="4" w:after="1"/>
        <w:rPr>
          <w:sz w:val="18"/>
        </w:rPr>
      </w:pPr>
    </w:p>
    <w:tbl>
      <w:tblPr>
        <w:tblW w:w="0" w:type="auto"/>
        <w:jc w:val="left"/>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84"/>
        <w:gridCol w:w="4297"/>
      </w:tblGrid>
      <w:tr>
        <w:trPr>
          <w:trHeight w:val="277" w:hRule="exact"/>
        </w:trPr>
        <w:tc>
          <w:tcPr>
            <w:tcW w:w="5081" w:type="dxa"/>
            <w:gridSpan w:val="2"/>
            <w:tcBorders>
              <w:top w:val="single" w:sz="8" w:space="0" w:color="7E64A1"/>
              <w:left w:val="single" w:sz="8" w:space="0" w:color="7E64A1"/>
              <w:right w:val="single" w:sz="8" w:space="0" w:color="7E64A1"/>
            </w:tcBorders>
          </w:tcPr>
          <w:p>
            <w:pPr>
              <w:pStyle w:val="TableParagraph"/>
              <w:tabs>
                <w:tab w:pos="2691" w:val="left" w:leader="none"/>
              </w:tabs>
              <w:ind w:left="221"/>
              <w:rPr>
                <w:b/>
                <w:sz w:val="18"/>
              </w:rPr>
            </w:pPr>
            <w:r>
              <w:rPr>
                <w:b/>
                <w:sz w:val="18"/>
              </w:rPr>
              <w:t>Points</w:t>
              <w:tab/>
              <w:t>Position</w:t>
            </w:r>
          </w:p>
        </w:tc>
      </w:tr>
      <w:tr>
        <w:trPr>
          <w:trHeight w:val="268" w:hRule="exact"/>
        </w:trPr>
        <w:tc>
          <w:tcPr>
            <w:tcW w:w="784" w:type="dxa"/>
            <w:tcBorders>
              <w:left w:val="single" w:sz="8" w:space="0" w:color="7E64A1"/>
              <w:bottom w:val="nil"/>
              <w:right w:val="nil"/>
            </w:tcBorders>
          </w:tcPr>
          <w:p>
            <w:pPr>
              <w:pStyle w:val="TableParagraph"/>
              <w:spacing w:line="202" w:lineRule="exact"/>
              <w:ind w:right="266"/>
              <w:jc w:val="right"/>
              <w:rPr>
                <w:sz w:val="18"/>
              </w:rPr>
            </w:pPr>
            <w:r>
              <w:rPr>
                <w:sz w:val="18"/>
              </w:rPr>
              <w:t>1</w:t>
            </w:r>
          </w:p>
        </w:tc>
        <w:tc>
          <w:tcPr>
            <w:tcW w:w="4297" w:type="dxa"/>
            <w:tcBorders>
              <w:left w:val="nil"/>
              <w:bottom w:val="nil"/>
              <w:right w:val="single" w:sz="8" w:space="0" w:color="7E64A1"/>
            </w:tcBorders>
          </w:tcPr>
          <w:p>
            <w:pPr>
              <w:pStyle w:val="TableParagraph"/>
              <w:spacing w:line="202" w:lineRule="exact"/>
              <w:ind w:left="266"/>
              <w:rPr>
                <w:sz w:val="18"/>
              </w:rPr>
            </w:pPr>
            <w:r>
              <w:rPr>
                <w:sz w:val="18"/>
              </w:rPr>
              <w:t>From 20 ° to 20 ° of flexion extension</w:t>
            </w:r>
          </w:p>
        </w:tc>
      </w:tr>
      <w:tr>
        <w:trPr>
          <w:trHeight w:val="277" w:hRule="exact"/>
        </w:trPr>
        <w:tc>
          <w:tcPr>
            <w:tcW w:w="784" w:type="dxa"/>
            <w:tcBorders>
              <w:top w:val="nil"/>
              <w:left w:val="single" w:sz="8" w:space="0" w:color="7E64A1"/>
              <w:bottom w:val="nil"/>
              <w:right w:val="nil"/>
            </w:tcBorders>
            <w:shd w:val="clear" w:color="auto" w:fill="CCBFD8"/>
          </w:tcPr>
          <w:p>
            <w:pPr>
              <w:pStyle w:val="TableParagraph"/>
              <w:spacing w:line="202" w:lineRule="exact"/>
              <w:ind w:right="266"/>
              <w:jc w:val="right"/>
              <w:rPr>
                <w:sz w:val="18"/>
              </w:rPr>
            </w:pPr>
            <w:r>
              <w:rPr>
                <w:sz w:val="18"/>
              </w:rPr>
              <w:t>2</w:t>
            </w:r>
          </w:p>
        </w:tc>
        <w:tc>
          <w:tcPr>
            <w:tcW w:w="4297" w:type="dxa"/>
            <w:tcBorders>
              <w:top w:val="nil"/>
              <w:left w:val="nil"/>
              <w:bottom w:val="nil"/>
              <w:right w:val="single" w:sz="8" w:space="0" w:color="7E64A1"/>
            </w:tcBorders>
            <w:shd w:val="clear" w:color="auto" w:fill="CCBFD8"/>
          </w:tcPr>
          <w:p>
            <w:pPr>
              <w:pStyle w:val="TableParagraph"/>
              <w:spacing w:line="202" w:lineRule="exact"/>
              <w:ind w:left="266"/>
              <w:rPr>
                <w:sz w:val="18"/>
              </w:rPr>
            </w:pPr>
            <w:r>
              <w:rPr>
                <w:sz w:val="18"/>
              </w:rPr>
              <w:t>Extension &gt; 20 ° or bending between 20º and 45º</w:t>
            </w:r>
          </w:p>
        </w:tc>
      </w:tr>
      <w:tr>
        <w:trPr>
          <w:trHeight w:val="480" w:hRule="exact"/>
        </w:trPr>
        <w:tc>
          <w:tcPr>
            <w:tcW w:w="784" w:type="dxa"/>
            <w:tcBorders>
              <w:top w:val="nil"/>
              <w:left w:val="single" w:sz="8" w:space="0" w:color="7E64A1"/>
              <w:bottom w:val="single" w:sz="8" w:space="0" w:color="7E64A1"/>
              <w:right w:val="nil"/>
            </w:tcBorders>
          </w:tcPr>
          <w:p>
            <w:pPr>
              <w:pStyle w:val="TableParagraph"/>
              <w:spacing w:line="202" w:lineRule="exact"/>
              <w:ind w:left="150"/>
              <w:jc w:val="center"/>
              <w:rPr>
                <w:sz w:val="18"/>
              </w:rPr>
            </w:pPr>
            <w:r>
              <w:rPr>
                <w:sz w:val="18"/>
              </w:rPr>
              <w:t>3</w:t>
            </w:r>
          </w:p>
          <w:p>
            <w:pPr>
              <w:pStyle w:val="TableParagraph"/>
              <w:ind w:left="150"/>
              <w:jc w:val="center"/>
              <w:rPr>
                <w:sz w:val="18"/>
              </w:rPr>
            </w:pPr>
            <w:r>
              <w:rPr>
                <w:sz w:val="18"/>
              </w:rPr>
              <w:t>4</w:t>
            </w:r>
          </w:p>
        </w:tc>
        <w:tc>
          <w:tcPr>
            <w:tcW w:w="4297" w:type="dxa"/>
            <w:tcBorders>
              <w:top w:val="nil"/>
              <w:left w:val="nil"/>
              <w:bottom w:val="single" w:sz="8" w:space="0" w:color="7E64A1"/>
              <w:right w:val="single" w:sz="8" w:space="0" w:color="7E64A1"/>
            </w:tcBorders>
          </w:tcPr>
          <w:p>
            <w:pPr>
              <w:pStyle w:val="TableParagraph"/>
              <w:ind w:left="267" w:right="2047" w:hanging="1"/>
              <w:rPr>
                <w:sz w:val="18"/>
              </w:rPr>
            </w:pPr>
            <w:r>
              <w:rPr>
                <w:sz w:val="18"/>
              </w:rPr>
              <w:t>Flex between 45 ° and 90 ° Flexion &gt; 90 °</w:t>
            </w:r>
          </w:p>
        </w:tc>
      </w:tr>
    </w:tbl>
    <w:p>
      <w:pPr>
        <w:pStyle w:val="BodyText"/>
        <w:rPr>
          <w:sz w:val="18"/>
        </w:rPr>
      </w:pPr>
    </w:p>
    <w:p>
      <w:pPr>
        <w:pStyle w:val="BodyText"/>
        <w:spacing w:before="6"/>
        <w:rPr>
          <w:sz w:val="17"/>
        </w:rPr>
      </w:pPr>
    </w:p>
    <w:p>
      <w:pPr>
        <w:spacing w:before="0"/>
        <w:ind w:left="270" w:right="678" w:firstLine="0"/>
        <w:jc w:val="both"/>
        <w:rPr>
          <w:sz w:val="18"/>
        </w:rPr>
      </w:pPr>
      <w:r>
        <w:rPr>
          <w:sz w:val="18"/>
        </w:rPr>
        <w:t>Similarly to the score of the angle of the arm is added an additional point for rotation in the arm and be separated from the trunk. See table 2.</w:t>
      </w:r>
    </w:p>
    <w:p>
      <w:pPr>
        <w:spacing w:before="3"/>
        <w:ind w:left="270" w:right="0" w:firstLine="0"/>
        <w:jc w:val="both"/>
        <w:rPr>
          <w:b/>
          <w:sz w:val="18"/>
        </w:rPr>
      </w:pPr>
      <w:r>
        <w:rPr>
          <w:b/>
          <w:sz w:val="18"/>
        </w:rPr>
        <w:t>Total score: 2 + 1 = 3</w:t>
      </w:r>
    </w:p>
    <w:p>
      <w:pPr>
        <w:pStyle w:val="BodyText"/>
        <w:spacing w:before="7"/>
        <w:rPr>
          <w:b/>
          <w:sz w:val="17"/>
        </w:rPr>
      </w:pPr>
    </w:p>
    <w:p>
      <w:pPr>
        <w:spacing w:before="1"/>
        <w:ind w:left="354" w:right="761" w:firstLine="0"/>
        <w:jc w:val="center"/>
        <w:rPr>
          <w:sz w:val="18"/>
        </w:rPr>
      </w:pPr>
      <w:r>
        <w:rPr>
          <w:b/>
          <w:sz w:val="18"/>
        </w:rPr>
        <w:t>Table 2. </w:t>
      </w:r>
      <w:r>
        <w:rPr>
          <w:sz w:val="18"/>
        </w:rPr>
        <w:t>Changes in arm position.</w:t>
      </w:r>
    </w:p>
    <w:p>
      <w:pPr>
        <w:pStyle w:val="BodyText"/>
        <w:spacing w:before="4" w:after="1"/>
        <w:rPr>
          <w:sz w:val="18"/>
        </w:rPr>
      </w:pPr>
    </w:p>
    <w:tbl>
      <w:tblPr>
        <w:tblW w:w="0" w:type="auto"/>
        <w:jc w:val="left"/>
        <w:tblInd w:w="15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025"/>
        <w:gridCol w:w="4056"/>
      </w:tblGrid>
      <w:tr>
        <w:trPr>
          <w:trHeight w:val="278" w:hRule="exact"/>
        </w:trPr>
        <w:tc>
          <w:tcPr>
            <w:tcW w:w="1025" w:type="dxa"/>
            <w:tcBorders>
              <w:bottom w:val="single" w:sz="4" w:space="0" w:color="000000"/>
              <w:right w:val="nil"/>
            </w:tcBorders>
          </w:tcPr>
          <w:p>
            <w:pPr>
              <w:pStyle w:val="TableParagraph"/>
              <w:ind w:left="297" w:right="197"/>
              <w:jc w:val="center"/>
              <w:rPr>
                <w:b/>
                <w:sz w:val="18"/>
              </w:rPr>
            </w:pPr>
            <w:r>
              <w:rPr>
                <w:b/>
                <w:sz w:val="18"/>
              </w:rPr>
              <w:t>Points</w:t>
            </w:r>
          </w:p>
        </w:tc>
        <w:tc>
          <w:tcPr>
            <w:tcW w:w="4056" w:type="dxa"/>
            <w:tcBorders>
              <w:left w:val="nil"/>
              <w:bottom w:val="single" w:sz="4" w:space="0" w:color="000000"/>
            </w:tcBorders>
          </w:tcPr>
          <w:p>
            <w:pPr>
              <w:pStyle w:val="TableParagraph"/>
              <w:ind w:left="1752" w:right="1633"/>
              <w:jc w:val="center"/>
              <w:rPr>
                <w:b/>
                <w:sz w:val="18"/>
              </w:rPr>
            </w:pPr>
            <w:r>
              <w:rPr>
                <w:b/>
                <w:sz w:val="18"/>
              </w:rPr>
              <w:t>Position</w:t>
            </w:r>
          </w:p>
        </w:tc>
      </w:tr>
      <w:tr>
        <w:trPr>
          <w:trHeight w:val="267" w:hRule="exact"/>
        </w:trPr>
        <w:tc>
          <w:tcPr>
            <w:tcW w:w="1025" w:type="dxa"/>
            <w:tcBorders>
              <w:top w:val="single" w:sz="4" w:space="0" w:color="000000"/>
              <w:bottom w:val="nil"/>
              <w:right w:val="nil"/>
            </w:tcBorders>
            <w:shd w:val="clear" w:color="auto" w:fill="CCBFD8"/>
          </w:tcPr>
          <w:p>
            <w:pPr>
              <w:pStyle w:val="TableParagraph"/>
              <w:spacing w:line="203" w:lineRule="exact"/>
              <w:ind w:left="297" w:right="197"/>
              <w:jc w:val="center"/>
              <w:rPr>
                <w:sz w:val="18"/>
              </w:rPr>
            </w:pPr>
            <w:r>
              <w:rPr>
                <w:sz w:val="18"/>
              </w:rPr>
              <w:t>+ 1</w:t>
            </w:r>
          </w:p>
        </w:tc>
        <w:tc>
          <w:tcPr>
            <w:tcW w:w="4056" w:type="dxa"/>
            <w:tcBorders>
              <w:top w:val="single" w:sz="4" w:space="0" w:color="000000"/>
              <w:left w:val="nil"/>
              <w:bottom w:val="nil"/>
            </w:tcBorders>
            <w:shd w:val="clear" w:color="auto" w:fill="CCBFD8"/>
          </w:tcPr>
          <w:p>
            <w:pPr>
              <w:pStyle w:val="TableParagraph"/>
              <w:spacing w:line="203" w:lineRule="exact"/>
              <w:ind w:left="217"/>
              <w:rPr>
                <w:sz w:val="18"/>
              </w:rPr>
            </w:pPr>
            <w:r>
              <w:rPr>
                <w:sz w:val="18"/>
              </w:rPr>
              <w:t>Yes the rotated arm or shoulder this high.</w:t>
            </w:r>
          </w:p>
        </w:tc>
      </w:tr>
      <w:tr>
        <w:trPr>
          <w:trHeight w:val="566" w:hRule="exact"/>
        </w:trPr>
        <w:tc>
          <w:tcPr>
            <w:tcW w:w="1025" w:type="dxa"/>
            <w:tcBorders>
              <w:top w:val="nil"/>
              <w:right w:val="nil"/>
            </w:tcBorders>
          </w:tcPr>
          <w:p>
            <w:pPr>
              <w:pStyle w:val="TableParagraph"/>
              <w:spacing w:line="202" w:lineRule="exact"/>
              <w:ind w:left="296" w:right="197"/>
              <w:jc w:val="center"/>
              <w:rPr>
                <w:sz w:val="18"/>
              </w:rPr>
            </w:pPr>
            <w:r>
              <w:rPr>
                <w:sz w:val="18"/>
              </w:rPr>
              <w:t>+ 1</w:t>
            </w:r>
          </w:p>
          <w:p>
            <w:pPr>
              <w:pStyle w:val="TableParagraph"/>
              <w:spacing w:before="71"/>
              <w:ind w:left="295" w:right="197"/>
              <w:jc w:val="center"/>
              <w:rPr>
                <w:sz w:val="18"/>
              </w:rPr>
            </w:pPr>
            <w:r>
              <w:rPr>
                <w:sz w:val="18"/>
              </w:rPr>
              <w:t>-1</w:t>
            </w:r>
          </w:p>
        </w:tc>
        <w:tc>
          <w:tcPr>
            <w:tcW w:w="4056" w:type="dxa"/>
            <w:tcBorders>
              <w:top w:val="nil"/>
              <w:left w:val="nil"/>
            </w:tcBorders>
          </w:tcPr>
          <w:p>
            <w:pPr>
              <w:pStyle w:val="TableParagraph"/>
              <w:spacing w:line="202" w:lineRule="exact"/>
              <w:ind w:left="217"/>
              <w:rPr>
                <w:sz w:val="18"/>
              </w:rPr>
            </w:pPr>
            <w:r>
              <w:rPr>
                <w:sz w:val="18"/>
              </w:rPr>
              <w:t>If the arms are abducted</w:t>
            </w:r>
          </w:p>
          <w:p>
            <w:pPr>
              <w:pStyle w:val="TableParagraph"/>
              <w:spacing w:before="71"/>
              <w:ind w:left="217"/>
              <w:rPr>
                <w:sz w:val="18"/>
              </w:rPr>
            </w:pPr>
            <w:r>
              <w:rPr>
                <w:sz w:val="18"/>
              </w:rPr>
              <w:t>If the arm has a point of support</w:t>
            </w:r>
          </w:p>
        </w:tc>
      </w:tr>
    </w:tbl>
    <w:p>
      <w:pPr>
        <w:pStyle w:val="BodyText"/>
        <w:rPr>
          <w:sz w:val="18"/>
        </w:rPr>
      </w:pPr>
    </w:p>
    <w:p>
      <w:pPr>
        <w:pStyle w:val="BodyText"/>
        <w:spacing w:before="10"/>
        <w:rPr>
          <w:sz w:val="17"/>
        </w:rPr>
      </w:pPr>
    </w:p>
    <w:p>
      <w:pPr>
        <w:spacing w:before="0"/>
        <w:ind w:left="270" w:right="0" w:firstLine="0"/>
        <w:jc w:val="both"/>
        <w:rPr>
          <w:b/>
          <w:sz w:val="18"/>
        </w:rPr>
      </w:pPr>
      <w:r>
        <w:rPr>
          <w:b/>
          <w:sz w:val="18"/>
        </w:rPr>
        <w:t>5.2.2. Position of the forearm.</w:t>
      </w:r>
    </w:p>
    <w:p>
      <w:pPr>
        <w:pStyle w:val="BodyText"/>
        <w:spacing w:before="7"/>
        <w:rPr>
          <w:b/>
          <w:sz w:val="17"/>
        </w:rPr>
      </w:pPr>
    </w:p>
    <w:p>
      <w:pPr>
        <w:spacing w:before="1"/>
        <w:ind w:left="270" w:right="674" w:firstLine="0"/>
        <w:jc w:val="both"/>
        <w:rPr>
          <w:sz w:val="18"/>
        </w:rPr>
      </w:pPr>
      <w:r>
        <w:rPr>
          <w:sz w:val="18"/>
        </w:rPr>
        <w:t>The analysis of the position of the forearm indicates that they are within the permissible range giving a score of 1. See Figure 3,  table</w:t>
      </w:r>
      <w:r>
        <w:rPr>
          <w:spacing w:val="-2"/>
          <w:sz w:val="18"/>
        </w:rPr>
        <w:t> </w:t>
      </w:r>
      <w:r>
        <w:rPr>
          <w:sz w:val="18"/>
        </w:rPr>
        <w:t>3.</w:t>
      </w:r>
    </w:p>
    <w:p>
      <w:pPr>
        <w:spacing w:before="3"/>
        <w:ind w:left="270" w:right="0" w:firstLine="0"/>
        <w:jc w:val="both"/>
        <w:rPr>
          <w:b/>
          <w:sz w:val="18"/>
        </w:rPr>
      </w:pPr>
      <w:r>
        <w:rPr>
          <w:b/>
          <w:sz w:val="18"/>
        </w:rPr>
        <w:t>Score: 1</w:t>
      </w:r>
    </w:p>
    <w:p>
      <w:pPr>
        <w:pStyle w:val="BodyText"/>
        <w:ind w:left="1451"/>
      </w:pPr>
      <w:r>
        <w:rPr/>
        <w:drawing>
          <wp:inline distT="0" distB="0" distL="0" distR="0">
            <wp:extent cx="1504401" cy="1557147"/>
            <wp:effectExtent l="0" t="0" r="0" b="0"/>
            <wp:docPr id="327" name="image192.jpeg" descr=""/>
            <wp:cNvGraphicFramePr>
              <a:graphicFrameLocks noChangeAspect="1"/>
            </wp:cNvGraphicFramePr>
            <a:graphic>
              <a:graphicData uri="http://schemas.openxmlformats.org/drawingml/2006/picture">
                <pic:pic>
                  <pic:nvPicPr>
                    <pic:cNvPr id="328" name="image192.jpeg"/>
                    <pic:cNvPicPr/>
                  </pic:nvPicPr>
                  <pic:blipFill>
                    <a:blip r:embed="rId310" cstate="print"/>
                    <a:stretch>
                      <a:fillRect/>
                    </a:stretch>
                  </pic:blipFill>
                  <pic:spPr>
                    <a:xfrm>
                      <a:off x="0" y="0"/>
                      <a:ext cx="1504401" cy="1557147"/>
                    </a:xfrm>
                    <a:prstGeom prst="rect">
                      <a:avLst/>
                    </a:prstGeom>
                  </pic:spPr>
                </pic:pic>
              </a:graphicData>
            </a:graphic>
          </wp:inline>
        </w:drawing>
      </w:r>
      <w:r>
        <w:rPr/>
      </w:r>
    </w:p>
    <w:p>
      <w:pPr>
        <w:spacing w:before="28"/>
        <w:ind w:left="354" w:right="760" w:firstLine="0"/>
        <w:jc w:val="center"/>
        <w:rPr>
          <w:sz w:val="18"/>
        </w:rPr>
      </w:pPr>
      <w:r>
        <w:rPr>
          <w:b/>
          <w:sz w:val="18"/>
        </w:rPr>
        <w:t>Figure 3. </w:t>
      </w:r>
      <w:r>
        <w:rPr>
          <w:sz w:val="18"/>
        </w:rPr>
        <w:t>The forearm angle.</w:t>
      </w:r>
    </w:p>
    <w:p>
      <w:pPr>
        <w:spacing w:after="0"/>
        <w:jc w:val="center"/>
        <w:rPr>
          <w:sz w:val="18"/>
        </w:rPr>
        <w:sectPr>
          <w:type w:val="continuous"/>
          <w:pgSz w:w="12240" w:h="15840"/>
          <w:pgMar w:top="1500" w:bottom="280" w:left="580" w:right="220"/>
          <w:cols w:num="2" w:equalWidth="0">
            <w:col w:w="5190" w:space="435"/>
            <w:col w:w="5815"/>
          </w:cols>
        </w:sectPr>
      </w:pPr>
    </w:p>
    <w:p>
      <w:pPr>
        <w:pStyle w:val="BodyText"/>
        <w:rPr>
          <w:sz w:val="11"/>
        </w:rPr>
      </w:pPr>
    </w:p>
    <w:p>
      <w:pPr>
        <w:tabs>
          <w:tab w:pos="7122" w:val="left" w:leader="none"/>
        </w:tabs>
        <w:spacing w:before="77"/>
        <w:ind w:left="1826" w:right="1218" w:firstLine="0"/>
        <w:jc w:val="left"/>
        <w:rPr>
          <w:sz w:val="18"/>
        </w:rPr>
      </w:pPr>
      <w:r>
        <w:rPr>
          <w:b/>
          <w:sz w:val="18"/>
        </w:rPr>
        <w:t>Table 3.</w:t>
      </w:r>
      <w:r>
        <w:rPr>
          <w:b/>
          <w:spacing w:val="-1"/>
          <w:sz w:val="18"/>
        </w:rPr>
        <w:t> </w:t>
      </w:r>
      <w:r>
        <w:rPr>
          <w:sz w:val="18"/>
        </w:rPr>
        <w:t>Scores</w:t>
      </w:r>
      <w:r>
        <w:rPr>
          <w:spacing w:val="-3"/>
          <w:sz w:val="18"/>
        </w:rPr>
        <w:t> </w:t>
      </w:r>
      <w:r>
        <w:rPr>
          <w:sz w:val="18"/>
        </w:rPr>
        <w:t>forearm.</w:t>
        <w:tab/>
      </w:r>
      <w:r>
        <w:rPr>
          <w:b/>
          <w:sz w:val="18"/>
        </w:rPr>
        <w:t>Table 6. </w:t>
      </w:r>
      <w:r>
        <w:rPr>
          <w:sz w:val="18"/>
        </w:rPr>
        <w:t>Twist of the wrist</w:t>
      </w:r>
      <w:r>
        <w:rPr>
          <w:spacing w:val="-6"/>
          <w:sz w:val="18"/>
        </w:rPr>
        <w:t> </w:t>
      </w:r>
      <w:r>
        <w:rPr>
          <w:sz w:val="18"/>
        </w:rPr>
        <w:t>score.</w:t>
      </w:r>
    </w:p>
    <w:p>
      <w:pPr>
        <w:pStyle w:val="BodyText"/>
        <w:spacing w:before="4" w:after="1"/>
        <w:rPr>
          <w:sz w:val="18"/>
        </w:rPr>
      </w:pPr>
    </w:p>
    <w:p>
      <w:pPr>
        <w:pStyle w:val="BodyText"/>
        <w:tabs>
          <w:tab w:pos="5777" w:val="left" w:leader="none"/>
        </w:tabs>
        <w:ind w:left="153"/>
      </w:pPr>
      <w:r>
        <w:rPr/>
        <w:pict>
          <v:shape style="width:255.5pt;height:54.25pt;mso-position-horizontal-relative:char;mso-position-vertical-relative:line" type="#_x0000_t202" filled="false" stroked="false">
            <w10:anchorlock/>
            <v:textbox inset="0,0,0,0">
              <w:txbxContent>
                <w:tbl>
                  <w:tblPr>
                    <w:tblW w:w="0" w:type="auto"/>
                    <w:jc w:val="lef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411"/>
                    <w:gridCol w:w="3670"/>
                  </w:tblGrid>
                  <w:tr>
                    <w:trPr>
                      <w:trHeight w:val="222" w:hRule="exact"/>
                    </w:trPr>
                    <w:tc>
                      <w:tcPr>
                        <w:tcW w:w="1411" w:type="dxa"/>
                        <w:tcBorders>
                          <w:bottom w:val="single" w:sz="4" w:space="0" w:color="000000"/>
                          <w:right w:val="nil"/>
                        </w:tcBorders>
                      </w:tcPr>
                      <w:p>
                        <w:pPr>
                          <w:pStyle w:val="TableParagraph"/>
                          <w:spacing w:line="206" w:lineRule="exact"/>
                          <w:ind w:left="554" w:right="326"/>
                          <w:jc w:val="center"/>
                          <w:rPr>
                            <w:b/>
                            <w:sz w:val="18"/>
                          </w:rPr>
                        </w:pPr>
                        <w:r>
                          <w:rPr>
                            <w:b/>
                            <w:sz w:val="18"/>
                          </w:rPr>
                          <w:t>Points</w:t>
                        </w:r>
                      </w:p>
                    </w:tc>
                    <w:tc>
                      <w:tcPr>
                        <w:tcW w:w="3670" w:type="dxa"/>
                        <w:tcBorders>
                          <w:left w:val="nil"/>
                          <w:bottom w:val="single" w:sz="4" w:space="0" w:color="000000"/>
                        </w:tcBorders>
                      </w:tcPr>
                      <w:p>
                        <w:pPr>
                          <w:pStyle w:val="TableParagraph"/>
                          <w:spacing w:line="206" w:lineRule="exact"/>
                          <w:ind w:left="1624" w:right="1376"/>
                          <w:jc w:val="center"/>
                          <w:rPr>
                            <w:b/>
                            <w:sz w:val="18"/>
                          </w:rPr>
                        </w:pPr>
                        <w:r>
                          <w:rPr>
                            <w:b/>
                            <w:sz w:val="18"/>
                          </w:rPr>
                          <w:t>Position</w:t>
                        </w:r>
                      </w:p>
                    </w:tc>
                  </w:tr>
                  <w:tr>
                    <w:trPr>
                      <w:trHeight w:val="419" w:hRule="exact"/>
                    </w:trPr>
                    <w:tc>
                      <w:tcPr>
                        <w:tcW w:w="1411" w:type="dxa"/>
                        <w:tcBorders>
                          <w:top w:val="single" w:sz="4" w:space="0" w:color="000000"/>
                          <w:bottom w:val="nil"/>
                          <w:right w:val="nil"/>
                        </w:tcBorders>
                        <w:shd w:val="clear" w:color="auto" w:fill="CCBFD8"/>
                      </w:tcPr>
                      <w:p>
                        <w:pPr>
                          <w:pStyle w:val="TableParagraph"/>
                          <w:spacing w:line="202" w:lineRule="exact"/>
                          <w:ind w:left="554" w:right="326"/>
                          <w:jc w:val="center"/>
                          <w:rPr>
                            <w:sz w:val="18"/>
                          </w:rPr>
                        </w:pPr>
                        <w:r>
                          <w:rPr>
                            <w:sz w:val="18"/>
                          </w:rPr>
                          <w:t>+ 1</w:t>
                        </w:r>
                      </w:p>
                    </w:tc>
                    <w:tc>
                      <w:tcPr>
                        <w:tcW w:w="3670" w:type="dxa"/>
                        <w:tcBorders>
                          <w:top w:val="single" w:sz="4" w:space="0" w:color="000000"/>
                          <w:left w:val="nil"/>
                          <w:bottom w:val="nil"/>
                        </w:tcBorders>
                        <w:shd w:val="clear" w:color="auto" w:fill="CCBFD8"/>
                      </w:tcPr>
                      <w:p>
                        <w:pPr>
                          <w:pStyle w:val="TableParagraph"/>
                          <w:ind w:left="346" w:right="150"/>
                          <w:rPr>
                            <w:sz w:val="18"/>
                          </w:rPr>
                        </w:pPr>
                        <w:r>
                          <w:rPr>
                            <w:sz w:val="18"/>
                          </w:rPr>
                          <w:t>If the vertical projection of the forearm is beyond the vertical projection of the elbow.</w:t>
                        </w:r>
                      </w:p>
                    </w:tc>
                  </w:tr>
                  <w:tr>
                    <w:trPr>
                      <w:trHeight w:val="425" w:hRule="exact"/>
                    </w:trPr>
                    <w:tc>
                      <w:tcPr>
                        <w:tcW w:w="1411" w:type="dxa"/>
                        <w:tcBorders>
                          <w:top w:val="nil"/>
                          <w:right w:val="nil"/>
                        </w:tcBorders>
                      </w:tcPr>
                      <w:p>
                        <w:pPr>
                          <w:pStyle w:val="TableParagraph"/>
                          <w:spacing w:line="202" w:lineRule="exact"/>
                          <w:ind w:left="554" w:right="326"/>
                          <w:jc w:val="center"/>
                          <w:rPr>
                            <w:sz w:val="18"/>
                          </w:rPr>
                        </w:pPr>
                        <w:r>
                          <w:rPr>
                            <w:sz w:val="18"/>
                          </w:rPr>
                          <w:t>+ 1</w:t>
                        </w:r>
                      </w:p>
                    </w:tc>
                    <w:tc>
                      <w:tcPr>
                        <w:tcW w:w="3670" w:type="dxa"/>
                        <w:tcBorders>
                          <w:top w:val="nil"/>
                          <w:left w:val="nil"/>
                        </w:tcBorders>
                      </w:tcPr>
                      <w:p>
                        <w:pPr>
                          <w:pStyle w:val="TableParagraph"/>
                          <w:ind w:left="346" w:right="207" w:hanging="1"/>
                          <w:rPr>
                            <w:sz w:val="18"/>
                          </w:rPr>
                        </w:pPr>
                        <w:r>
                          <w:rPr>
                            <w:sz w:val="18"/>
                          </w:rPr>
                          <w:t>If the forearm crosses the center line of the body.</w:t>
                        </w:r>
                      </w:p>
                    </w:tc>
                  </w:tr>
                </w:tbl>
                <w:p>
                  <w:pPr>
                    <w:pStyle w:val="BodyText"/>
                  </w:pPr>
                </w:p>
              </w:txbxContent>
            </v:textbox>
          </v:shape>
        </w:pict>
      </w:r>
      <w:r>
        <w:rPr/>
      </w:r>
      <w:r>
        <w:rPr/>
        <w:tab/>
      </w:r>
      <w:r>
        <w:rPr>
          <w:position w:val="41"/>
        </w:rPr>
        <w:pict>
          <v:shape style="width:255.5pt;height:33.550pt;mso-position-horizontal-relative:char;mso-position-vertical-relative:line" type="#_x0000_t202" filled="false" stroked="false">
            <w10:anchorlock/>
            <v:textbox inset="0,0,0,0">
              <w:txbxContent>
                <w:tbl>
                  <w:tblPr>
                    <w:tblW w:w="0" w:type="auto"/>
                    <w:jc w:val="lef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5081"/>
                  </w:tblGrid>
                  <w:tr>
                    <w:trPr>
                      <w:trHeight w:val="222" w:hRule="exact"/>
                    </w:trPr>
                    <w:tc>
                      <w:tcPr>
                        <w:tcW w:w="5081" w:type="dxa"/>
                        <w:tcBorders>
                          <w:bottom w:val="single" w:sz="4" w:space="0" w:color="000000"/>
                        </w:tcBorders>
                      </w:tcPr>
                      <w:p>
                        <w:pPr>
                          <w:pStyle w:val="TableParagraph"/>
                          <w:tabs>
                            <w:tab w:pos="3041" w:val="left" w:leader="none"/>
                          </w:tabs>
                          <w:spacing w:line="206" w:lineRule="exact"/>
                          <w:ind w:left="571"/>
                          <w:rPr>
                            <w:b/>
                            <w:sz w:val="18"/>
                          </w:rPr>
                        </w:pPr>
                        <w:r>
                          <w:rPr>
                            <w:b/>
                            <w:sz w:val="18"/>
                          </w:rPr>
                          <w:t>Points</w:t>
                          <w:tab/>
                          <w:t>Position</w:t>
                        </w:r>
                      </w:p>
                    </w:tc>
                  </w:tr>
                  <w:tr>
                    <w:trPr>
                      <w:trHeight w:val="212" w:hRule="exact"/>
                    </w:trPr>
                    <w:tc>
                      <w:tcPr>
                        <w:tcW w:w="5081" w:type="dxa"/>
                        <w:tcBorders>
                          <w:top w:val="single" w:sz="4" w:space="0" w:color="000000"/>
                          <w:bottom w:val="nil"/>
                        </w:tcBorders>
                      </w:tcPr>
                      <w:p>
                        <w:pPr>
                          <w:pStyle w:val="TableParagraph"/>
                          <w:tabs>
                            <w:tab w:pos="1739" w:val="left" w:leader="none"/>
                          </w:tabs>
                          <w:spacing w:line="202" w:lineRule="exact"/>
                          <w:ind w:left="765"/>
                          <w:rPr>
                            <w:sz w:val="18"/>
                          </w:rPr>
                        </w:pPr>
                        <w:r>
                          <w:rPr>
                            <w:sz w:val="18"/>
                          </w:rPr>
                          <w:t>1</w:t>
                          <w:tab/>
                          <w:t>If pronation or Supination in</w:t>
                        </w:r>
                        <w:r>
                          <w:rPr>
                            <w:spacing w:val="-3"/>
                            <w:sz w:val="18"/>
                          </w:rPr>
                          <w:t> </w:t>
                        </w:r>
                        <w:r>
                          <w:rPr>
                            <w:sz w:val="18"/>
                          </w:rPr>
                          <w:t>midrange.</w:t>
                        </w:r>
                      </w:p>
                    </w:tc>
                  </w:tr>
                  <w:tr>
                    <w:trPr>
                      <w:trHeight w:val="217" w:hRule="exact"/>
                    </w:trPr>
                    <w:tc>
                      <w:tcPr>
                        <w:tcW w:w="5081" w:type="dxa"/>
                        <w:tcBorders>
                          <w:top w:val="nil"/>
                        </w:tcBorders>
                        <w:shd w:val="clear" w:color="auto" w:fill="CCBFD8"/>
                      </w:tcPr>
                      <w:p>
                        <w:pPr>
                          <w:pStyle w:val="TableParagraph"/>
                          <w:tabs>
                            <w:tab w:pos="1739" w:val="left" w:leader="none"/>
                          </w:tabs>
                          <w:spacing w:line="202" w:lineRule="exact"/>
                          <w:ind w:left="765"/>
                          <w:rPr>
                            <w:sz w:val="18"/>
                          </w:rPr>
                        </w:pPr>
                        <w:r>
                          <w:rPr>
                            <w:sz w:val="18"/>
                          </w:rPr>
                          <w:t>2</w:t>
                          <w:tab/>
                          <w:t>If pronation or Supination at extreme</w:t>
                        </w:r>
                        <w:r>
                          <w:rPr>
                            <w:spacing w:val="-7"/>
                            <w:sz w:val="18"/>
                          </w:rPr>
                          <w:t> </w:t>
                        </w:r>
                        <w:r>
                          <w:rPr>
                            <w:sz w:val="18"/>
                          </w:rPr>
                          <w:t>range.</w:t>
                        </w:r>
                      </w:p>
                    </w:tc>
                  </w:tr>
                </w:tbl>
                <w:p>
                  <w:pPr>
                    <w:pStyle w:val="BodyText"/>
                  </w:pPr>
                </w:p>
              </w:txbxContent>
            </v:textbox>
          </v:shape>
        </w:pict>
      </w:r>
      <w:r>
        <w:rPr>
          <w:position w:val="41"/>
        </w:rPr>
      </w:r>
    </w:p>
    <w:p>
      <w:pPr>
        <w:spacing w:after="0"/>
        <w:sectPr>
          <w:pgSz w:w="12240" w:h="15840"/>
          <w:pgMar w:header="545" w:footer="852" w:top="1060" w:bottom="1040" w:left="580" w:right="220"/>
        </w:sectPr>
      </w:pPr>
    </w:p>
    <w:p>
      <w:pPr>
        <w:pStyle w:val="BodyText"/>
        <w:spacing w:before="5"/>
        <w:rPr>
          <w:sz w:val="17"/>
        </w:rPr>
      </w:pPr>
    </w:p>
    <w:p>
      <w:pPr>
        <w:spacing w:line="242" w:lineRule="auto" w:before="1"/>
        <w:ind w:left="270" w:right="0" w:firstLine="0"/>
        <w:jc w:val="left"/>
        <w:rPr>
          <w:b/>
          <w:sz w:val="18"/>
        </w:rPr>
      </w:pPr>
      <w:r>
        <w:rPr>
          <w:sz w:val="18"/>
        </w:rPr>
        <w:t>However are located beyond the vertical protection of the elbow by what one point more to the original score is increased. See table 4. </w:t>
      </w:r>
      <w:r>
        <w:rPr>
          <w:b/>
          <w:sz w:val="18"/>
        </w:rPr>
        <w:t>Total score: 1 + 1 = 2</w:t>
      </w:r>
    </w:p>
    <w:p>
      <w:pPr>
        <w:pStyle w:val="BodyText"/>
        <w:spacing w:before="5"/>
        <w:rPr>
          <w:b/>
          <w:sz w:val="17"/>
        </w:rPr>
      </w:pPr>
    </w:p>
    <w:p>
      <w:pPr>
        <w:spacing w:before="1"/>
        <w:ind w:left="270" w:right="1" w:firstLine="0"/>
        <w:jc w:val="center"/>
        <w:rPr>
          <w:sz w:val="18"/>
        </w:rPr>
      </w:pPr>
      <w:r>
        <w:rPr>
          <w:b/>
          <w:sz w:val="18"/>
        </w:rPr>
        <w:t>Table 4. </w:t>
      </w:r>
      <w:r>
        <w:rPr>
          <w:sz w:val="18"/>
        </w:rPr>
        <w:t>Changes in forearm position.</w:t>
      </w:r>
    </w:p>
    <w:p>
      <w:pPr>
        <w:pStyle w:val="BodyText"/>
        <w:spacing w:before="4" w:after="1"/>
        <w:rPr>
          <w:sz w:val="18"/>
        </w:rPr>
      </w:pPr>
    </w:p>
    <w:tbl>
      <w:tblPr>
        <w:tblW w:w="0" w:type="auto"/>
        <w:jc w:val="left"/>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45"/>
        <w:gridCol w:w="3635"/>
      </w:tblGrid>
      <w:tr>
        <w:trPr>
          <w:trHeight w:val="223" w:hRule="exact"/>
        </w:trPr>
        <w:tc>
          <w:tcPr>
            <w:tcW w:w="1445" w:type="dxa"/>
            <w:tcBorders>
              <w:top w:val="single" w:sz="8" w:space="0" w:color="7E64A1"/>
              <w:left w:val="single" w:sz="8" w:space="0" w:color="7E64A1"/>
              <w:right w:val="nil"/>
            </w:tcBorders>
          </w:tcPr>
          <w:p>
            <w:pPr>
              <w:pStyle w:val="TableParagraph"/>
              <w:ind w:left="577" w:right="338"/>
              <w:jc w:val="center"/>
              <w:rPr>
                <w:b/>
                <w:sz w:val="18"/>
              </w:rPr>
            </w:pPr>
            <w:r>
              <w:rPr>
                <w:b/>
                <w:sz w:val="18"/>
              </w:rPr>
              <w:t>Points</w:t>
            </w:r>
          </w:p>
        </w:tc>
        <w:tc>
          <w:tcPr>
            <w:tcW w:w="3635" w:type="dxa"/>
            <w:tcBorders>
              <w:top w:val="single" w:sz="8" w:space="0" w:color="7E64A1"/>
              <w:left w:val="nil"/>
              <w:right w:val="single" w:sz="8" w:space="0" w:color="7E64A1"/>
            </w:tcBorders>
          </w:tcPr>
          <w:p>
            <w:pPr>
              <w:pStyle w:val="TableParagraph"/>
              <w:ind w:left="1612" w:right="1352"/>
              <w:jc w:val="center"/>
              <w:rPr>
                <w:b/>
                <w:sz w:val="18"/>
              </w:rPr>
            </w:pPr>
            <w:r>
              <w:rPr>
                <w:b/>
                <w:sz w:val="18"/>
              </w:rPr>
              <w:t>Position</w:t>
            </w:r>
          </w:p>
        </w:tc>
      </w:tr>
      <w:tr>
        <w:trPr>
          <w:trHeight w:val="212" w:hRule="exact"/>
        </w:trPr>
        <w:tc>
          <w:tcPr>
            <w:tcW w:w="1445" w:type="dxa"/>
            <w:tcBorders>
              <w:left w:val="single" w:sz="8" w:space="0" w:color="7E64A1"/>
              <w:bottom w:val="nil"/>
              <w:right w:val="nil"/>
            </w:tcBorders>
            <w:shd w:val="clear" w:color="auto" w:fill="CCBFD8"/>
          </w:tcPr>
          <w:p>
            <w:pPr>
              <w:pStyle w:val="TableParagraph"/>
              <w:spacing w:line="203" w:lineRule="exact"/>
              <w:ind w:left="238"/>
              <w:jc w:val="center"/>
              <w:rPr>
                <w:sz w:val="18"/>
              </w:rPr>
            </w:pPr>
            <w:r>
              <w:rPr>
                <w:sz w:val="18"/>
              </w:rPr>
              <w:t>1</w:t>
            </w:r>
          </w:p>
        </w:tc>
        <w:tc>
          <w:tcPr>
            <w:tcW w:w="3635" w:type="dxa"/>
            <w:tcBorders>
              <w:left w:val="nil"/>
              <w:bottom w:val="nil"/>
              <w:right w:val="single" w:sz="8" w:space="0" w:color="7E64A1"/>
            </w:tcBorders>
            <w:shd w:val="clear" w:color="auto" w:fill="CCBFD8"/>
          </w:tcPr>
          <w:p>
            <w:pPr>
              <w:pStyle w:val="TableParagraph"/>
              <w:spacing w:line="203" w:lineRule="exact"/>
              <w:ind w:left="358"/>
              <w:rPr>
                <w:sz w:val="18"/>
              </w:rPr>
            </w:pPr>
            <w:r>
              <w:rPr>
                <w:sz w:val="18"/>
              </w:rPr>
              <w:t>Between 60 and 160 degrees flexion</w:t>
            </w:r>
          </w:p>
        </w:tc>
      </w:tr>
      <w:tr>
        <w:trPr>
          <w:trHeight w:val="217" w:hRule="exact"/>
        </w:trPr>
        <w:tc>
          <w:tcPr>
            <w:tcW w:w="1445" w:type="dxa"/>
            <w:tcBorders>
              <w:top w:val="nil"/>
              <w:left w:val="single" w:sz="8" w:space="0" w:color="7E64A1"/>
              <w:bottom w:val="single" w:sz="8" w:space="0" w:color="7E64A1"/>
              <w:right w:val="nil"/>
            </w:tcBorders>
          </w:tcPr>
          <w:p>
            <w:pPr>
              <w:pStyle w:val="TableParagraph"/>
              <w:spacing w:line="202" w:lineRule="exact"/>
              <w:ind w:left="238"/>
              <w:jc w:val="center"/>
              <w:rPr>
                <w:sz w:val="18"/>
              </w:rPr>
            </w:pPr>
            <w:r>
              <w:rPr>
                <w:sz w:val="18"/>
              </w:rPr>
              <w:t>2</w:t>
            </w:r>
          </w:p>
        </w:tc>
        <w:tc>
          <w:tcPr>
            <w:tcW w:w="3635" w:type="dxa"/>
            <w:tcBorders>
              <w:top w:val="nil"/>
              <w:left w:val="nil"/>
              <w:bottom w:val="single" w:sz="8" w:space="0" w:color="7E64A1"/>
              <w:right w:val="single" w:sz="8" w:space="0" w:color="7E64A1"/>
            </w:tcBorders>
          </w:tcPr>
          <w:p>
            <w:pPr>
              <w:pStyle w:val="TableParagraph"/>
              <w:spacing w:line="202" w:lineRule="exact"/>
              <w:ind w:left="358"/>
              <w:rPr>
                <w:sz w:val="18"/>
              </w:rPr>
            </w:pPr>
            <w:r>
              <w:rPr>
                <w:sz w:val="18"/>
              </w:rPr>
              <w:t>&lt; 60° or &gt; 100° flexion</w:t>
            </w:r>
          </w:p>
        </w:tc>
      </w:tr>
    </w:tbl>
    <w:p>
      <w:pPr>
        <w:pStyle w:val="BodyText"/>
        <w:rPr>
          <w:sz w:val="18"/>
        </w:rPr>
      </w:pPr>
    </w:p>
    <w:p>
      <w:pPr>
        <w:pStyle w:val="BodyText"/>
        <w:spacing w:before="10"/>
        <w:rPr>
          <w:sz w:val="17"/>
        </w:rPr>
      </w:pPr>
    </w:p>
    <w:p>
      <w:pPr>
        <w:spacing w:before="0"/>
        <w:ind w:left="270" w:right="0" w:firstLine="0"/>
        <w:jc w:val="both"/>
        <w:rPr>
          <w:b/>
          <w:sz w:val="18"/>
        </w:rPr>
      </w:pPr>
      <w:r>
        <w:rPr>
          <w:b/>
          <w:sz w:val="18"/>
        </w:rPr>
        <w:t>5.2.3 Position of the wrist.</w:t>
      </w:r>
    </w:p>
    <w:p>
      <w:pPr>
        <w:pStyle w:val="BodyText"/>
        <w:spacing w:before="7"/>
        <w:rPr>
          <w:b/>
          <w:sz w:val="17"/>
        </w:rPr>
      </w:pPr>
    </w:p>
    <w:p>
      <w:pPr>
        <w:spacing w:before="1"/>
        <w:ind w:left="270" w:right="0" w:firstLine="0"/>
        <w:jc w:val="both"/>
        <w:rPr>
          <w:sz w:val="18"/>
        </w:rPr>
      </w:pPr>
      <w:r>
        <w:rPr>
          <w:sz w:val="18"/>
        </w:rPr>
        <w:t>The position of the wrist is at an angle of 10 °, rotating work of the machine makes the operator may need to move your wrist at angles greater than is permitted. See Figure 4 and table 5.</w:t>
      </w:r>
    </w:p>
    <w:p>
      <w:pPr>
        <w:spacing w:before="4"/>
        <w:ind w:left="270" w:right="0" w:firstLine="0"/>
        <w:jc w:val="both"/>
        <w:rPr>
          <w:b/>
          <w:sz w:val="18"/>
        </w:rPr>
      </w:pPr>
      <w:r>
        <w:rPr>
          <w:b/>
          <w:sz w:val="18"/>
        </w:rPr>
        <w:t>Total score: 2</w:t>
      </w:r>
    </w:p>
    <w:p>
      <w:pPr>
        <w:pStyle w:val="BodyText"/>
        <w:spacing w:before="5"/>
        <w:rPr>
          <w:b/>
          <w:sz w:val="10"/>
        </w:rPr>
      </w:pPr>
      <w:r>
        <w:rPr/>
        <w:drawing>
          <wp:anchor distT="0" distB="0" distL="0" distR="0" allowOverlap="1" layoutInCell="1" locked="0" behindDoc="0" simplePos="0" relativeHeight="8704">
            <wp:simplePos x="0" y="0"/>
            <wp:positionH relativeFrom="page">
              <wp:posOffset>1310639</wp:posOffset>
            </wp:positionH>
            <wp:positionV relativeFrom="paragraph">
              <wp:posOffset>101009</wp:posOffset>
            </wp:positionV>
            <wp:extent cx="1451585" cy="1544383"/>
            <wp:effectExtent l="0" t="0" r="0" b="0"/>
            <wp:wrapTopAndBottom/>
            <wp:docPr id="329" name="image193.jpeg" descr=""/>
            <wp:cNvGraphicFramePr>
              <a:graphicFrameLocks noChangeAspect="1"/>
            </wp:cNvGraphicFramePr>
            <a:graphic>
              <a:graphicData uri="http://schemas.openxmlformats.org/drawingml/2006/picture">
                <pic:pic>
                  <pic:nvPicPr>
                    <pic:cNvPr id="330" name="image193.jpeg"/>
                    <pic:cNvPicPr/>
                  </pic:nvPicPr>
                  <pic:blipFill>
                    <a:blip r:embed="rId311" cstate="print"/>
                    <a:stretch>
                      <a:fillRect/>
                    </a:stretch>
                  </pic:blipFill>
                  <pic:spPr>
                    <a:xfrm>
                      <a:off x="0" y="0"/>
                      <a:ext cx="1451585" cy="1544383"/>
                    </a:xfrm>
                    <a:prstGeom prst="rect">
                      <a:avLst/>
                    </a:prstGeom>
                  </pic:spPr>
                </pic:pic>
              </a:graphicData>
            </a:graphic>
          </wp:anchor>
        </w:drawing>
      </w:r>
    </w:p>
    <w:p>
      <w:pPr>
        <w:spacing w:before="66"/>
        <w:ind w:left="272" w:right="1" w:firstLine="0"/>
        <w:jc w:val="center"/>
        <w:rPr>
          <w:sz w:val="18"/>
        </w:rPr>
      </w:pPr>
      <w:r>
        <w:rPr>
          <w:b/>
          <w:sz w:val="18"/>
        </w:rPr>
        <w:t>Figure 4. </w:t>
      </w:r>
      <w:r>
        <w:rPr>
          <w:sz w:val="18"/>
        </w:rPr>
        <w:t>Angle of the wrist.</w:t>
      </w:r>
    </w:p>
    <w:p>
      <w:pPr>
        <w:pStyle w:val="BodyText"/>
        <w:rPr>
          <w:sz w:val="18"/>
        </w:rPr>
      </w:pPr>
    </w:p>
    <w:p>
      <w:pPr>
        <w:pStyle w:val="BodyText"/>
        <w:rPr>
          <w:sz w:val="18"/>
        </w:rPr>
      </w:pPr>
    </w:p>
    <w:p>
      <w:pPr>
        <w:spacing w:before="0"/>
        <w:ind w:left="269" w:right="1" w:firstLine="0"/>
        <w:jc w:val="center"/>
        <w:rPr>
          <w:sz w:val="18"/>
        </w:rPr>
      </w:pPr>
      <w:r>
        <w:rPr>
          <w:b/>
          <w:sz w:val="18"/>
        </w:rPr>
        <w:t>Table 5. </w:t>
      </w:r>
      <w:r>
        <w:rPr>
          <w:sz w:val="18"/>
        </w:rPr>
        <w:t>Scores Wrist</w:t>
      </w:r>
    </w:p>
    <w:p>
      <w:pPr>
        <w:pStyle w:val="BodyText"/>
        <w:spacing w:before="4" w:after="1"/>
        <w:rPr>
          <w:sz w:val="18"/>
        </w:rPr>
      </w:pPr>
    </w:p>
    <w:tbl>
      <w:tblPr>
        <w:tblW w:w="0" w:type="auto"/>
        <w:jc w:val="left"/>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59"/>
        <w:gridCol w:w="3822"/>
      </w:tblGrid>
      <w:tr>
        <w:trPr>
          <w:trHeight w:val="378" w:hRule="exact"/>
        </w:trPr>
        <w:tc>
          <w:tcPr>
            <w:tcW w:w="5081" w:type="dxa"/>
            <w:gridSpan w:val="2"/>
            <w:tcBorders>
              <w:top w:val="single" w:sz="8" w:space="0" w:color="7E64A1"/>
              <w:left w:val="single" w:sz="8" w:space="0" w:color="7E64A1"/>
              <w:right w:val="single" w:sz="8" w:space="0" w:color="7E64A1"/>
            </w:tcBorders>
          </w:tcPr>
          <w:p>
            <w:pPr>
              <w:pStyle w:val="TableParagraph"/>
              <w:tabs>
                <w:tab w:pos="3008" w:val="left" w:leader="none"/>
              </w:tabs>
              <w:ind w:left="538"/>
              <w:rPr>
                <w:b/>
                <w:sz w:val="18"/>
              </w:rPr>
            </w:pPr>
            <w:r>
              <w:rPr>
                <w:b/>
                <w:sz w:val="18"/>
              </w:rPr>
              <w:t>Points</w:t>
              <w:tab/>
              <w:t>Position</w:t>
            </w:r>
          </w:p>
        </w:tc>
      </w:tr>
      <w:tr>
        <w:trPr>
          <w:trHeight w:val="434" w:hRule="exact"/>
        </w:trPr>
        <w:tc>
          <w:tcPr>
            <w:tcW w:w="1259" w:type="dxa"/>
            <w:tcBorders>
              <w:left w:val="single" w:sz="8" w:space="0" w:color="7E64A1"/>
              <w:bottom w:val="nil"/>
              <w:right w:val="nil"/>
            </w:tcBorders>
          </w:tcPr>
          <w:p>
            <w:pPr>
              <w:pStyle w:val="TableParagraph"/>
              <w:spacing w:line="202" w:lineRule="exact"/>
              <w:ind w:right="425"/>
              <w:jc w:val="right"/>
              <w:rPr>
                <w:sz w:val="18"/>
              </w:rPr>
            </w:pPr>
            <w:r>
              <w:rPr>
                <w:sz w:val="18"/>
              </w:rPr>
              <w:t>1</w:t>
            </w:r>
          </w:p>
        </w:tc>
        <w:tc>
          <w:tcPr>
            <w:tcW w:w="3822" w:type="dxa"/>
            <w:tcBorders>
              <w:left w:val="nil"/>
              <w:bottom w:val="nil"/>
              <w:right w:val="single" w:sz="8" w:space="0" w:color="7E64A1"/>
            </w:tcBorders>
          </w:tcPr>
          <w:p>
            <w:pPr>
              <w:pStyle w:val="TableParagraph"/>
              <w:spacing w:line="202" w:lineRule="exact"/>
              <w:ind w:left="426"/>
              <w:rPr>
                <w:sz w:val="18"/>
              </w:rPr>
            </w:pPr>
            <w:r>
              <w:rPr>
                <w:sz w:val="18"/>
              </w:rPr>
              <w:t>If you are in neutral position on Flex.</w:t>
            </w:r>
          </w:p>
        </w:tc>
      </w:tr>
      <w:tr>
        <w:trPr>
          <w:trHeight w:val="414" w:hRule="exact"/>
        </w:trPr>
        <w:tc>
          <w:tcPr>
            <w:tcW w:w="1259" w:type="dxa"/>
            <w:tcBorders>
              <w:top w:val="nil"/>
              <w:left w:val="single" w:sz="8" w:space="0" w:color="7E64A1"/>
              <w:bottom w:val="nil"/>
              <w:right w:val="nil"/>
            </w:tcBorders>
            <w:shd w:val="clear" w:color="auto" w:fill="CCBFD8"/>
          </w:tcPr>
          <w:p>
            <w:pPr>
              <w:pStyle w:val="TableParagraph"/>
              <w:spacing w:line="202" w:lineRule="exact"/>
              <w:ind w:right="425"/>
              <w:jc w:val="right"/>
              <w:rPr>
                <w:sz w:val="18"/>
              </w:rPr>
            </w:pPr>
            <w:r>
              <w:rPr>
                <w:sz w:val="18"/>
              </w:rPr>
              <w:t>2</w:t>
            </w:r>
          </w:p>
        </w:tc>
        <w:tc>
          <w:tcPr>
            <w:tcW w:w="3822" w:type="dxa"/>
            <w:tcBorders>
              <w:top w:val="nil"/>
              <w:left w:val="nil"/>
              <w:bottom w:val="nil"/>
              <w:right w:val="single" w:sz="8" w:space="0" w:color="7E64A1"/>
            </w:tcBorders>
            <w:shd w:val="clear" w:color="auto" w:fill="CCBFD8"/>
          </w:tcPr>
          <w:p>
            <w:pPr>
              <w:pStyle w:val="TableParagraph"/>
              <w:spacing w:line="202" w:lineRule="exact"/>
              <w:ind w:left="425"/>
              <w:rPr>
                <w:sz w:val="18"/>
              </w:rPr>
            </w:pPr>
            <w:r>
              <w:rPr>
                <w:sz w:val="18"/>
              </w:rPr>
              <w:t>If this flexed or extended between 0 ° and 15</w:t>
            </w:r>
          </w:p>
          <w:p>
            <w:pPr>
              <w:pStyle w:val="TableParagraph"/>
              <w:spacing w:line="207" w:lineRule="exact"/>
              <w:ind w:left="425"/>
              <w:rPr>
                <w:sz w:val="18"/>
              </w:rPr>
            </w:pPr>
            <w:r>
              <w:rPr>
                <w:sz w:val="18"/>
              </w:rPr>
              <w:t>°</w:t>
            </w:r>
          </w:p>
        </w:tc>
      </w:tr>
      <w:tr>
        <w:trPr>
          <w:trHeight w:val="358" w:hRule="exact"/>
        </w:trPr>
        <w:tc>
          <w:tcPr>
            <w:tcW w:w="1259" w:type="dxa"/>
            <w:tcBorders>
              <w:top w:val="nil"/>
              <w:left w:val="single" w:sz="8" w:space="0" w:color="7E64A1"/>
              <w:bottom w:val="single" w:sz="8" w:space="0" w:color="7E64A1"/>
              <w:right w:val="nil"/>
            </w:tcBorders>
          </w:tcPr>
          <w:p>
            <w:pPr>
              <w:pStyle w:val="TableParagraph"/>
              <w:spacing w:line="202" w:lineRule="exact"/>
              <w:ind w:right="425"/>
              <w:jc w:val="right"/>
              <w:rPr>
                <w:sz w:val="18"/>
              </w:rPr>
            </w:pPr>
            <w:r>
              <w:rPr>
                <w:sz w:val="18"/>
              </w:rPr>
              <w:t>3</w:t>
            </w:r>
          </w:p>
        </w:tc>
        <w:tc>
          <w:tcPr>
            <w:tcW w:w="3822" w:type="dxa"/>
            <w:tcBorders>
              <w:top w:val="nil"/>
              <w:left w:val="nil"/>
              <w:bottom w:val="single" w:sz="8" w:space="0" w:color="7E64A1"/>
              <w:right w:val="single" w:sz="8" w:space="0" w:color="7E64A1"/>
            </w:tcBorders>
          </w:tcPr>
          <w:p>
            <w:pPr>
              <w:pStyle w:val="TableParagraph"/>
              <w:spacing w:line="202" w:lineRule="exact"/>
              <w:ind w:left="426"/>
              <w:rPr>
                <w:sz w:val="18"/>
              </w:rPr>
            </w:pPr>
            <w:r>
              <w:rPr>
                <w:sz w:val="18"/>
              </w:rPr>
              <w:t>For flexion or extension greater than 15°</w:t>
            </w:r>
          </w:p>
        </w:tc>
      </w:tr>
    </w:tbl>
    <w:p>
      <w:pPr>
        <w:pStyle w:val="BodyText"/>
        <w:spacing w:before="6"/>
        <w:rPr>
          <w:sz w:val="17"/>
        </w:rPr>
      </w:pPr>
    </w:p>
    <w:p>
      <w:pPr>
        <w:spacing w:before="0"/>
        <w:ind w:left="270" w:right="0" w:firstLine="0"/>
        <w:jc w:val="both"/>
        <w:rPr>
          <w:sz w:val="18"/>
        </w:rPr>
      </w:pPr>
      <w:r>
        <w:rPr>
          <w:sz w:val="18"/>
        </w:rPr>
        <w:t>At the time of operating the machinery worker exerts radial deviation from motion in the wrist, so the original score given is added one more point.</w:t>
      </w:r>
    </w:p>
    <w:p>
      <w:pPr>
        <w:spacing w:before="0"/>
        <w:ind w:left="701" w:right="0" w:firstLine="0"/>
        <w:jc w:val="left"/>
        <w:rPr>
          <w:sz w:val="18"/>
        </w:rPr>
      </w:pPr>
      <w:r>
        <w:rPr>
          <w:sz w:val="18"/>
        </w:rPr>
        <w:t>Total score:   2 + 1 = 3</w:t>
      </w:r>
    </w:p>
    <w:p>
      <w:pPr>
        <w:pStyle w:val="BodyText"/>
        <w:rPr>
          <w:sz w:val="18"/>
        </w:rPr>
      </w:pPr>
    </w:p>
    <w:p>
      <w:pPr>
        <w:spacing w:before="0"/>
        <w:ind w:left="270" w:right="0" w:firstLine="430"/>
        <w:jc w:val="both"/>
        <w:rPr>
          <w:sz w:val="18"/>
        </w:rPr>
      </w:pPr>
      <w:r>
        <w:rPr>
          <w:sz w:val="18"/>
        </w:rPr>
        <w:t>Once obtained the score of the wrist, is valued the same rotation. This new value will be independent and not added to the previous score. It will serve in the rear for the overall assessment of Group A. In the case of the position under study is assigned a score of 2 since there is pronation at extreme range. See table 6.</w:t>
      </w:r>
    </w:p>
    <w:p>
      <w:pPr>
        <w:spacing w:before="3"/>
        <w:ind w:left="270" w:right="0" w:firstLine="0"/>
        <w:jc w:val="both"/>
        <w:rPr>
          <w:b/>
          <w:sz w:val="18"/>
        </w:rPr>
      </w:pPr>
      <w:r>
        <w:rPr>
          <w:b/>
          <w:sz w:val="18"/>
        </w:rPr>
        <w:t>Score: 2</w:t>
      </w:r>
    </w:p>
    <w:p>
      <w:pPr>
        <w:pStyle w:val="ListParagraph"/>
        <w:numPr>
          <w:ilvl w:val="1"/>
          <w:numId w:val="74"/>
        </w:numPr>
        <w:tabs>
          <w:tab w:pos="646" w:val="left" w:leader="none"/>
        </w:tabs>
        <w:spacing w:line="240" w:lineRule="auto" w:before="0" w:after="0"/>
        <w:ind w:left="270" w:right="678" w:firstLine="0"/>
        <w:jc w:val="left"/>
        <w:rPr>
          <w:b/>
          <w:sz w:val="18"/>
        </w:rPr>
      </w:pPr>
      <w:r>
        <w:rPr>
          <w:b/>
          <w:spacing w:val="-1"/>
          <w:sz w:val="18"/>
        </w:rPr>
        <w:br w:type="column"/>
      </w:r>
      <w:r>
        <w:rPr>
          <w:b/>
          <w:sz w:val="18"/>
        </w:rPr>
        <w:t>IDENTIFY THE TABLES ACCORDING TO THE ADOPTED GROUP A POSITION</w:t>
      </w:r>
      <w:r>
        <w:rPr>
          <w:b/>
          <w:spacing w:val="-23"/>
          <w:sz w:val="18"/>
        </w:rPr>
        <w:t> </w:t>
      </w:r>
      <w:r>
        <w:rPr>
          <w:b/>
          <w:sz w:val="18"/>
        </w:rPr>
        <w:t>VALUE.</w:t>
      </w:r>
    </w:p>
    <w:p>
      <w:pPr>
        <w:pStyle w:val="BodyText"/>
        <w:spacing w:before="7"/>
        <w:rPr>
          <w:b/>
          <w:sz w:val="17"/>
        </w:rPr>
      </w:pPr>
    </w:p>
    <w:p>
      <w:pPr>
        <w:spacing w:before="1"/>
        <w:ind w:left="270" w:right="702" w:firstLine="0"/>
        <w:jc w:val="left"/>
        <w:rPr>
          <w:sz w:val="18"/>
        </w:rPr>
      </w:pPr>
      <w:r>
        <w:rPr>
          <w:sz w:val="18"/>
        </w:rPr>
        <w:t>We analyzed the positions of the group to give the following results:</w:t>
      </w:r>
    </w:p>
    <w:p>
      <w:pPr>
        <w:pStyle w:val="ListParagraph"/>
        <w:numPr>
          <w:ilvl w:val="2"/>
          <w:numId w:val="74"/>
        </w:numPr>
        <w:tabs>
          <w:tab w:pos="990" w:val="left" w:leader="none"/>
          <w:tab w:pos="991" w:val="left" w:leader="none"/>
        </w:tabs>
        <w:spacing w:line="243" w:lineRule="exact" w:before="0" w:after="0"/>
        <w:ind w:left="990" w:right="0" w:hanging="360"/>
        <w:jc w:val="left"/>
        <w:rPr>
          <w:sz w:val="18"/>
        </w:rPr>
      </w:pPr>
      <w:r>
        <w:rPr>
          <w:sz w:val="18"/>
        </w:rPr>
        <w:t>The total position of the arm had a score of</w:t>
      </w:r>
      <w:r>
        <w:rPr>
          <w:spacing w:val="-10"/>
          <w:sz w:val="18"/>
        </w:rPr>
        <w:t> </w:t>
      </w:r>
      <w:r>
        <w:rPr>
          <w:sz w:val="18"/>
        </w:rPr>
        <w:t>3.</w:t>
      </w:r>
    </w:p>
    <w:p>
      <w:pPr>
        <w:pStyle w:val="ListParagraph"/>
        <w:numPr>
          <w:ilvl w:val="2"/>
          <w:numId w:val="74"/>
        </w:numPr>
        <w:tabs>
          <w:tab w:pos="990" w:val="left" w:leader="none"/>
          <w:tab w:pos="991" w:val="left" w:leader="none"/>
        </w:tabs>
        <w:spacing w:line="240" w:lineRule="exact" w:before="0" w:after="0"/>
        <w:ind w:left="990" w:right="0" w:hanging="360"/>
        <w:jc w:val="left"/>
        <w:rPr>
          <w:sz w:val="18"/>
        </w:rPr>
      </w:pPr>
      <w:r>
        <w:rPr>
          <w:sz w:val="18"/>
        </w:rPr>
        <w:t>The position of the forearm had a score of</w:t>
      </w:r>
      <w:r>
        <w:rPr>
          <w:spacing w:val="-30"/>
          <w:sz w:val="18"/>
        </w:rPr>
        <w:t> </w:t>
      </w:r>
      <w:r>
        <w:rPr>
          <w:sz w:val="18"/>
        </w:rPr>
        <w:t>2.</w:t>
      </w:r>
    </w:p>
    <w:p>
      <w:pPr>
        <w:pStyle w:val="ListParagraph"/>
        <w:numPr>
          <w:ilvl w:val="2"/>
          <w:numId w:val="74"/>
        </w:numPr>
        <w:tabs>
          <w:tab w:pos="990" w:val="left" w:leader="none"/>
          <w:tab w:pos="991" w:val="left" w:leader="none"/>
        </w:tabs>
        <w:spacing w:line="240" w:lineRule="exact" w:before="0" w:after="0"/>
        <w:ind w:left="990" w:right="0" w:hanging="360"/>
        <w:jc w:val="left"/>
        <w:rPr>
          <w:sz w:val="18"/>
        </w:rPr>
      </w:pPr>
      <w:r>
        <w:rPr>
          <w:sz w:val="18"/>
        </w:rPr>
        <w:t>The position of the wrist had a score of</w:t>
      </w:r>
      <w:r>
        <w:rPr>
          <w:spacing w:val="-6"/>
          <w:sz w:val="18"/>
        </w:rPr>
        <w:t> </w:t>
      </w:r>
      <w:r>
        <w:rPr>
          <w:sz w:val="18"/>
        </w:rPr>
        <w:t>3</w:t>
      </w:r>
    </w:p>
    <w:p>
      <w:pPr>
        <w:pStyle w:val="ListParagraph"/>
        <w:numPr>
          <w:ilvl w:val="2"/>
          <w:numId w:val="74"/>
        </w:numPr>
        <w:tabs>
          <w:tab w:pos="991" w:val="left" w:leader="none"/>
        </w:tabs>
        <w:spacing w:line="237" w:lineRule="auto" w:before="0" w:after="0"/>
        <w:ind w:left="990" w:right="676" w:hanging="360"/>
        <w:jc w:val="both"/>
        <w:rPr>
          <w:sz w:val="18"/>
        </w:rPr>
      </w:pPr>
      <w:r>
        <w:rPr>
          <w:sz w:val="18"/>
        </w:rPr>
        <w:t>The twist of the wrist has resulted a sum of + 2 to the score of previous positions, since the worker performs movements of pronation and Supination</w:t>
      </w:r>
      <w:r>
        <w:rPr>
          <w:spacing w:val="-7"/>
          <w:sz w:val="18"/>
        </w:rPr>
        <w:t> </w:t>
      </w:r>
      <w:r>
        <w:rPr>
          <w:sz w:val="18"/>
        </w:rPr>
        <w:t>constantly.</w:t>
      </w:r>
    </w:p>
    <w:p>
      <w:pPr>
        <w:spacing w:before="0"/>
        <w:ind w:left="270" w:right="678" w:firstLine="0"/>
        <w:jc w:val="both"/>
        <w:rPr>
          <w:sz w:val="18"/>
        </w:rPr>
      </w:pPr>
      <w:r>
        <w:rPr>
          <w:sz w:val="18"/>
        </w:rPr>
        <w:t>After scores of members of Group A was the allocation of the overall score, this was obtained using table 4 resulting in the total of 4 points.</w:t>
      </w:r>
    </w:p>
    <w:p>
      <w:pPr>
        <w:pStyle w:val="BodyText"/>
        <w:rPr>
          <w:sz w:val="18"/>
        </w:rPr>
      </w:pPr>
    </w:p>
    <w:p>
      <w:pPr>
        <w:pStyle w:val="BodyText"/>
        <w:rPr>
          <w:sz w:val="18"/>
        </w:rPr>
      </w:pPr>
    </w:p>
    <w:p>
      <w:pPr>
        <w:spacing w:before="0"/>
        <w:ind w:left="295" w:right="701" w:firstLine="0"/>
        <w:jc w:val="center"/>
        <w:rPr>
          <w:sz w:val="18"/>
        </w:rPr>
      </w:pPr>
      <w:r>
        <w:rPr>
          <w:b/>
          <w:sz w:val="18"/>
        </w:rPr>
        <w:t>Table 7. </w:t>
      </w:r>
      <w:r>
        <w:rPr>
          <w:sz w:val="18"/>
        </w:rPr>
        <w:t>Scores Group A results</w:t>
      </w:r>
    </w:p>
    <w:p>
      <w:pPr>
        <w:pStyle w:val="BodyText"/>
        <w:spacing w:before="7"/>
        <w:rPr>
          <w:sz w:val="8"/>
        </w:rPr>
      </w:pPr>
    </w:p>
    <w:p>
      <w:pPr>
        <w:pStyle w:val="BodyText"/>
        <w:ind w:left="564"/>
      </w:pPr>
      <w:r>
        <w:rPr/>
        <w:drawing>
          <wp:inline distT="0" distB="0" distL="0" distR="0">
            <wp:extent cx="2996946" cy="1969008"/>
            <wp:effectExtent l="0" t="0" r="0" b="0"/>
            <wp:docPr id="331" name="image194.jpeg" descr=""/>
            <wp:cNvGraphicFramePr>
              <a:graphicFrameLocks noChangeAspect="1"/>
            </wp:cNvGraphicFramePr>
            <a:graphic>
              <a:graphicData uri="http://schemas.openxmlformats.org/drawingml/2006/picture">
                <pic:pic>
                  <pic:nvPicPr>
                    <pic:cNvPr id="332" name="image194.jpeg"/>
                    <pic:cNvPicPr/>
                  </pic:nvPicPr>
                  <pic:blipFill>
                    <a:blip r:embed="rId312" cstate="print"/>
                    <a:stretch>
                      <a:fillRect/>
                    </a:stretch>
                  </pic:blipFill>
                  <pic:spPr>
                    <a:xfrm>
                      <a:off x="0" y="0"/>
                      <a:ext cx="2996946" cy="1969008"/>
                    </a:xfrm>
                    <a:prstGeom prst="rect">
                      <a:avLst/>
                    </a:prstGeom>
                  </pic:spPr>
                </pic:pic>
              </a:graphicData>
            </a:graphic>
          </wp:inline>
        </w:drawing>
      </w:r>
      <w:r>
        <w:rPr/>
      </w:r>
    </w:p>
    <w:p>
      <w:pPr>
        <w:pStyle w:val="ListParagraph"/>
        <w:numPr>
          <w:ilvl w:val="1"/>
          <w:numId w:val="74"/>
        </w:numPr>
        <w:tabs>
          <w:tab w:pos="547" w:val="left" w:leader="none"/>
        </w:tabs>
        <w:spacing w:line="480" w:lineRule="auto" w:before="115" w:after="0"/>
        <w:ind w:left="270" w:right="3451" w:firstLine="0"/>
        <w:jc w:val="left"/>
        <w:rPr>
          <w:b/>
          <w:sz w:val="18"/>
        </w:rPr>
      </w:pPr>
      <w:r>
        <w:rPr>
          <w:b/>
          <w:sz w:val="18"/>
        </w:rPr>
        <w:t>ANALYSIS GROUP B. The position of the</w:t>
      </w:r>
      <w:r>
        <w:rPr>
          <w:b/>
          <w:spacing w:val="-7"/>
          <w:sz w:val="18"/>
        </w:rPr>
        <w:t> </w:t>
      </w:r>
      <w:r>
        <w:rPr>
          <w:b/>
          <w:sz w:val="18"/>
        </w:rPr>
        <w:t>neck.</w:t>
      </w:r>
    </w:p>
    <w:p>
      <w:pPr>
        <w:spacing w:line="240" w:lineRule="auto" w:before="4"/>
        <w:ind w:left="270" w:right="702" w:firstLine="0"/>
        <w:jc w:val="left"/>
        <w:rPr>
          <w:b/>
          <w:sz w:val="18"/>
        </w:rPr>
      </w:pPr>
      <w:r>
        <w:rPr/>
        <w:pict>
          <v:shape style="position:absolute;margin-left:383.339996pt;margin-top:77.362045pt;width:124.2pt;height:114.2pt;mso-position-horizontal-relative:page;mso-position-vertical-relative:paragraph;z-index:-870064" type="#_x0000_t202" filled="false" stroked="false">
            <v:textbox inset="0,0,0,0">
              <w:txbxContent>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spacing w:before="114"/>
                    <w:ind w:left="200" w:right="0" w:firstLine="0"/>
                    <w:jc w:val="left"/>
                    <w:rPr>
                      <w:rFonts w:ascii="Arial"/>
                      <w:sz w:val="18"/>
                    </w:rPr>
                  </w:pPr>
                  <w:r>
                    <w:rPr>
                      <w:rFonts w:ascii="Arial"/>
                      <w:b/>
                      <w:sz w:val="18"/>
                    </w:rPr>
                    <w:t>Figure 5</w:t>
                  </w:r>
                  <w:r>
                    <w:rPr>
                      <w:rFonts w:ascii="Arial"/>
                      <w:sz w:val="18"/>
                    </w:rPr>
                    <w:t>. The neck angle.</w:t>
                  </w:r>
                </w:p>
              </w:txbxContent>
            </v:textbox>
            <w10:wrap type="none"/>
          </v:shape>
        </w:pict>
      </w:r>
      <w:r>
        <w:rPr>
          <w:sz w:val="18"/>
        </w:rPr>
        <w:t>In Figure 5 you can see that the operator Flex your neck above the 20 °, this is due to the lack of good lighting in the work area and  the machinery that does not adapt to the measures anthropometrics of the same, both neck and eye injuries can be caused. In Figure 5 </w:t>
      </w:r>
      <w:r>
        <w:rPr>
          <w:b/>
          <w:sz w:val="18"/>
        </w:rPr>
        <w:t>Total score: 2</w:t>
      </w:r>
    </w:p>
    <w:p>
      <w:pPr>
        <w:pStyle w:val="BodyText"/>
        <w:rPr>
          <w:b/>
        </w:rPr>
      </w:pPr>
    </w:p>
    <w:p>
      <w:pPr>
        <w:pStyle w:val="BodyText"/>
        <w:spacing w:before="5"/>
        <w:rPr>
          <w:b/>
        </w:rPr>
      </w:pPr>
      <w:r>
        <w:rPr/>
        <w:drawing>
          <wp:anchor distT="0" distB="0" distL="0" distR="0" allowOverlap="1" layoutInCell="1" locked="0" behindDoc="0" simplePos="0" relativeHeight="8728">
            <wp:simplePos x="0" y="0"/>
            <wp:positionH relativeFrom="page">
              <wp:posOffset>4868417</wp:posOffset>
            </wp:positionH>
            <wp:positionV relativeFrom="paragraph">
              <wp:posOffset>174420</wp:posOffset>
            </wp:positionV>
            <wp:extent cx="1582485" cy="1455039"/>
            <wp:effectExtent l="0" t="0" r="0" b="0"/>
            <wp:wrapTopAndBottom/>
            <wp:docPr id="333" name="image195.jpeg" descr=""/>
            <wp:cNvGraphicFramePr>
              <a:graphicFrameLocks noChangeAspect="1"/>
            </wp:cNvGraphicFramePr>
            <a:graphic>
              <a:graphicData uri="http://schemas.openxmlformats.org/drawingml/2006/picture">
                <pic:pic>
                  <pic:nvPicPr>
                    <pic:cNvPr id="334" name="image195.jpeg"/>
                    <pic:cNvPicPr/>
                  </pic:nvPicPr>
                  <pic:blipFill>
                    <a:blip r:embed="rId313" cstate="print"/>
                    <a:stretch>
                      <a:fillRect/>
                    </a:stretch>
                  </pic:blipFill>
                  <pic:spPr>
                    <a:xfrm>
                      <a:off x="0" y="0"/>
                      <a:ext cx="1582485" cy="1455039"/>
                    </a:xfrm>
                    <a:prstGeom prst="rect">
                      <a:avLst/>
                    </a:prstGeom>
                  </pic:spPr>
                </pic:pic>
              </a:graphicData>
            </a:graphic>
          </wp:anchor>
        </w:drawing>
      </w:r>
    </w:p>
    <w:p>
      <w:pPr>
        <w:spacing w:before="68"/>
        <w:ind w:left="293" w:right="701" w:firstLine="0"/>
        <w:jc w:val="center"/>
        <w:rPr>
          <w:sz w:val="18"/>
        </w:rPr>
      </w:pPr>
      <w:r>
        <w:rPr>
          <w:b/>
          <w:sz w:val="18"/>
        </w:rPr>
        <w:t>Table 8. </w:t>
      </w:r>
      <w:r>
        <w:rPr>
          <w:sz w:val="18"/>
        </w:rPr>
        <w:t>Score position neck.</w:t>
      </w:r>
    </w:p>
    <w:p>
      <w:pPr>
        <w:spacing w:after="0"/>
        <w:jc w:val="center"/>
        <w:rPr>
          <w:sz w:val="18"/>
        </w:rPr>
        <w:sectPr>
          <w:type w:val="continuous"/>
          <w:pgSz w:w="12240" w:h="15840"/>
          <w:pgMar w:top="1500" w:bottom="280" w:left="580" w:right="220"/>
          <w:cols w:num="2" w:equalWidth="0">
            <w:col w:w="5189" w:space="435"/>
            <w:col w:w="5816"/>
          </w:cols>
        </w:sectPr>
      </w:pPr>
    </w:p>
    <w:p>
      <w:pPr>
        <w:pStyle w:val="BodyText"/>
      </w:pPr>
    </w:p>
    <w:p>
      <w:pPr>
        <w:pStyle w:val="BodyText"/>
        <w:rPr>
          <w:sz w:val="16"/>
        </w:rPr>
      </w:pPr>
    </w:p>
    <w:tbl>
      <w:tblPr>
        <w:tblW w:w="0" w:type="auto"/>
        <w:jc w:val="left"/>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52"/>
        <w:gridCol w:w="3728"/>
      </w:tblGrid>
      <w:tr>
        <w:trPr>
          <w:trHeight w:val="293" w:hRule="exact"/>
        </w:trPr>
        <w:tc>
          <w:tcPr>
            <w:tcW w:w="5081" w:type="dxa"/>
            <w:gridSpan w:val="2"/>
            <w:tcBorders>
              <w:top w:val="single" w:sz="8" w:space="0" w:color="7E64A1"/>
              <w:left w:val="single" w:sz="8" w:space="0" w:color="7E64A1"/>
              <w:right w:val="single" w:sz="8" w:space="0" w:color="7E64A1"/>
            </w:tcBorders>
          </w:tcPr>
          <w:p>
            <w:pPr>
              <w:pStyle w:val="TableParagraph"/>
              <w:tabs>
                <w:tab w:pos="3070" w:val="left" w:leader="none"/>
              </w:tabs>
              <w:ind w:left="601"/>
              <w:rPr>
                <w:b/>
                <w:sz w:val="18"/>
              </w:rPr>
            </w:pPr>
            <w:r>
              <w:rPr>
                <w:b/>
                <w:sz w:val="18"/>
              </w:rPr>
              <w:t>Points</w:t>
              <w:tab/>
              <w:t>Position</w:t>
            </w:r>
          </w:p>
        </w:tc>
      </w:tr>
      <w:tr>
        <w:trPr>
          <w:trHeight w:val="264" w:hRule="exact"/>
        </w:trPr>
        <w:tc>
          <w:tcPr>
            <w:tcW w:w="1352" w:type="dxa"/>
            <w:tcBorders>
              <w:left w:val="single" w:sz="8" w:space="0" w:color="7E64A1"/>
              <w:bottom w:val="nil"/>
              <w:right w:val="nil"/>
            </w:tcBorders>
          </w:tcPr>
          <w:p>
            <w:pPr>
              <w:pStyle w:val="TableParagraph"/>
              <w:spacing w:line="202" w:lineRule="exact"/>
              <w:ind w:right="455"/>
              <w:jc w:val="right"/>
              <w:rPr>
                <w:sz w:val="18"/>
              </w:rPr>
            </w:pPr>
            <w:r>
              <w:rPr>
                <w:sz w:val="18"/>
              </w:rPr>
              <w:t>1</w:t>
            </w:r>
          </w:p>
        </w:tc>
        <w:tc>
          <w:tcPr>
            <w:tcW w:w="3728" w:type="dxa"/>
            <w:tcBorders>
              <w:left w:val="nil"/>
              <w:bottom w:val="nil"/>
              <w:right w:val="single" w:sz="8" w:space="0" w:color="7E64A1"/>
            </w:tcBorders>
          </w:tcPr>
          <w:p>
            <w:pPr>
              <w:pStyle w:val="TableParagraph"/>
              <w:spacing w:line="202" w:lineRule="exact"/>
              <w:ind w:left="457"/>
              <w:rPr>
                <w:sz w:val="18"/>
              </w:rPr>
            </w:pPr>
            <w:r>
              <w:rPr>
                <w:sz w:val="18"/>
              </w:rPr>
              <w:t>If there is a flexion between 0 ° and 10 °</w:t>
            </w:r>
          </w:p>
        </w:tc>
      </w:tr>
      <w:tr>
        <w:trPr>
          <w:trHeight w:val="259" w:hRule="exact"/>
        </w:trPr>
        <w:tc>
          <w:tcPr>
            <w:tcW w:w="1352" w:type="dxa"/>
            <w:tcBorders>
              <w:top w:val="nil"/>
              <w:left w:val="single" w:sz="8" w:space="0" w:color="7E64A1"/>
              <w:bottom w:val="nil"/>
              <w:right w:val="nil"/>
            </w:tcBorders>
            <w:shd w:val="clear" w:color="auto" w:fill="CCBFD8"/>
          </w:tcPr>
          <w:p>
            <w:pPr>
              <w:pStyle w:val="TableParagraph"/>
              <w:spacing w:line="202" w:lineRule="exact"/>
              <w:ind w:right="455"/>
              <w:jc w:val="right"/>
              <w:rPr>
                <w:sz w:val="18"/>
              </w:rPr>
            </w:pPr>
            <w:r>
              <w:rPr>
                <w:sz w:val="18"/>
              </w:rPr>
              <w:t>2</w:t>
            </w:r>
          </w:p>
        </w:tc>
        <w:tc>
          <w:tcPr>
            <w:tcW w:w="3728" w:type="dxa"/>
            <w:tcBorders>
              <w:top w:val="nil"/>
              <w:left w:val="nil"/>
              <w:bottom w:val="nil"/>
              <w:right w:val="single" w:sz="8" w:space="0" w:color="7E64A1"/>
            </w:tcBorders>
            <w:shd w:val="clear" w:color="auto" w:fill="CCBFD8"/>
          </w:tcPr>
          <w:p>
            <w:pPr>
              <w:pStyle w:val="TableParagraph"/>
              <w:spacing w:line="202" w:lineRule="exact"/>
              <w:ind w:left="457"/>
              <w:rPr>
                <w:sz w:val="18"/>
              </w:rPr>
            </w:pPr>
            <w:r>
              <w:rPr>
                <w:sz w:val="18"/>
              </w:rPr>
              <w:t>If this flexed between 10 ° and 20 °</w:t>
            </w:r>
          </w:p>
        </w:tc>
      </w:tr>
      <w:tr>
        <w:trPr>
          <w:trHeight w:val="546" w:hRule="exact"/>
        </w:trPr>
        <w:tc>
          <w:tcPr>
            <w:tcW w:w="1352" w:type="dxa"/>
            <w:tcBorders>
              <w:top w:val="nil"/>
              <w:left w:val="single" w:sz="8" w:space="0" w:color="7E64A1"/>
              <w:bottom w:val="single" w:sz="8" w:space="0" w:color="7E64A1"/>
              <w:right w:val="nil"/>
            </w:tcBorders>
          </w:tcPr>
          <w:p>
            <w:pPr>
              <w:pStyle w:val="TableParagraph"/>
              <w:spacing w:line="202" w:lineRule="exact"/>
              <w:ind w:left="338"/>
              <w:jc w:val="center"/>
              <w:rPr>
                <w:sz w:val="18"/>
              </w:rPr>
            </w:pPr>
            <w:r>
              <w:rPr>
                <w:sz w:val="18"/>
              </w:rPr>
              <w:t>3</w:t>
            </w:r>
          </w:p>
          <w:p>
            <w:pPr>
              <w:pStyle w:val="TableParagraph"/>
              <w:spacing w:before="51"/>
              <w:ind w:left="338"/>
              <w:jc w:val="center"/>
              <w:rPr>
                <w:sz w:val="18"/>
              </w:rPr>
            </w:pPr>
            <w:r>
              <w:rPr>
                <w:sz w:val="18"/>
              </w:rPr>
              <w:t>4</w:t>
            </w:r>
          </w:p>
        </w:tc>
        <w:tc>
          <w:tcPr>
            <w:tcW w:w="3728" w:type="dxa"/>
            <w:tcBorders>
              <w:top w:val="nil"/>
              <w:left w:val="nil"/>
              <w:bottom w:val="single" w:sz="8" w:space="0" w:color="7E64A1"/>
              <w:right w:val="single" w:sz="8" w:space="0" w:color="7E64A1"/>
            </w:tcBorders>
          </w:tcPr>
          <w:p>
            <w:pPr>
              <w:pStyle w:val="TableParagraph"/>
              <w:spacing w:line="300" w:lineRule="auto"/>
              <w:ind w:left="457" w:right="1236" w:hanging="1"/>
              <w:rPr>
                <w:sz w:val="18"/>
              </w:rPr>
            </w:pPr>
            <w:r>
              <w:rPr>
                <w:sz w:val="18"/>
              </w:rPr>
              <w:t>For higher than 20 ° flexion If it is extended</w:t>
            </w:r>
          </w:p>
        </w:tc>
      </w:tr>
    </w:tbl>
    <w:p>
      <w:pPr>
        <w:pStyle w:val="BodyText"/>
      </w:pPr>
    </w:p>
    <w:p>
      <w:pPr>
        <w:pStyle w:val="BodyText"/>
        <w:spacing w:before="1"/>
        <w:rPr>
          <w:sz w:val="27"/>
        </w:rPr>
      </w:pPr>
    </w:p>
    <w:p>
      <w:pPr>
        <w:spacing w:after="0"/>
        <w:rPr>
          <w:sz w:val="27"/>
        </w:rPr>
        <w:sectPr>
          <w:pgSz w:w="12240" w:h="15840"/>
          <w:pgMar w:header="545" w:footer="852" w:top="1060" w:bottom="1040" w:left="580" w:right="220"/>
        </w:sectPr>
      </w:pPr>
    </w:p>
    <w:p>
      <w:pPr>
        <w:pStyle w:val="ListParagraph"/>
        <w:numPr>
          <w:ilvl w:val="2"/>
          <w:numId w:val="75"/>
        </w:numPr>
        <w:tabs>
          <w:tab w:pos="682" w:val="left" w:leader="none"/>
        </w:tabs>
        <w:spacing w:line="240" w:lineRule="auto" w:before="77" w:after="0"/>
        <w:ind w:left="681" w:right="0" w:hanging="411"/>
        <w:jc w:val="both"/>
        <w:rPr>
          <w:b/>
          <w:sz w:val="18"/>
        </w:rPr>
      </w:pPr>
      <w:r>
        <w:rPr>
          <w:b/>
          <w:sz w:val="18"/>
        </w:rPr>
        <w:t>Position of the</w:t>
      </w:r>
      <w:r>
        <w:rPr>
          <w:b/>
          <w:spacing w:val="-3"/>
          <w:sz w:val="18"/>
        </w:rPr>
        <w:t> </w:t>
      </w:r>
      <w:r>
        <w:rPr>
          <w:b/>
          <w:sz w:val="18"/>
        </w:rPr>
        <w:t>trunk</w:t>
      </w:r>
    </w:p>
    <w:p>
      <w:pPr>
        <w:pStyle w:val="BodyText"/>
        <w:spacing w:before="7"/>
        <w:rPr>
          <w:b/>
          <w:sz w:val="17"/>
        </w:rPr>
      </w:pPr>
    </w:p>
    <w:p>
      <w:pPr>
        <w:spacing w:before="1"/>
        <w:ind w:left="270" w:right="0" w:firstLine="0"/>
        <w:jc w:val="both"/>
        <w:rPr>
          <w:sz w:val="18"/>
        </w:rPr>
      </w:pPr>
      <w:r>
        <w:rPr>
          <w:sz w:val="18"/>
        </w:rPr>
        <w:t>The operator adopted a stance with the trunk bent to 42° and  slightly rotated, this is due to the lack of ergonomic design between the machinery and the operator. See Figure 6 and table</w:t>
      </w:r>
      <w:r>
        <w:rPr>
          <w:spacing w:val="-12"/>
          <w:sz w:val="18"/>
        </w:rPr>
        <w:t> </w:t>
      </w:r>
      <w:r>
        <w:rPr>
          <w:sz w:val="18"/>
        </w:rPr>
        <w:t>9.</w:t>
      </w:r>
    </w:p>
    <w:p>
      <w:pPr>
        <w:spacing w:before="4"/>
        <w:ind w:left="270" w:right="0" w:firstLine="0"/>
        <w:jc w:val="both"/>
        <w:rPr>
          <w:b/>
          <w:sz w:val="18"/>
        </w:rPr>
      </w:pPr>
      <w:r>
        <w:rPr>
          <w:b/>
          <w:sz w:val="18"/>
        </w:rPr>
        <w:t>Total score: 3</w:t>
      </w:r>
    </w:p>
    <w:p>
      <w:pPr>
        <w:pStyle w:val="BodyText"/>
        <w:spacing w:before="7"/>
        <w:rPr>
          <w:b/>
          <w:sz w:val="9"/>
        </w:rPr>
      </w:pPr>
    </w:p>
    <w:p>
      <w:pPr>
        <w:pStyle w:val="BodyText"/>
        <w:ind w:left="1461"/>
      </w:pPr>
      <w:r>
        <w:rPr/>
        <w:drawing>
          <wp:inline distT="0" distB="0" distL="0" distR="0">
            <wp:extent cx="1554315" cy="1469136"/>
            <wp:effectExtent l="0" t="0" r="0" b="0"/>
            <wp:docPr id="335" name="image196.jpeg" descr=""/>
            <wp:cNvGraphicFramePr>
              <a:graphicFrameLocks noChangeAspect="1"/>
            </wp:cNvGraphicFramePr>
            <a:graphic>
              <a:graphicData uri="http://schemas.openxmlformats.org/drawingml/2006/picture">
                <pic:pic>
                  <pic:nvPicPr>
                    <pic:cNvPr id="336" name="image196.jpeg"/>
                    <pic:cNvPicPr/>
                  </pic:nvPicPr>
                  <pic:blipFill>
                    <a:blip r:embed="rId314" cstate="print"/>
                    <a:stretch>
                      <a:fillRect/>
                    </a:stretch>
                  </pic:blipFill>
                  <pic:spPr>
                    <a:xfrm>
                      <a:off x="0" y="0"/>
                      <a:ext cx="1554315" cy="1469136"/>
                    </a:xfrm>
                    <a:prstGeom prst="rect">
                      <a:avLst/>
                    </a:prstGeom>
                  </pic:spPr>
                </pic:pic>
              </a:graphicData>
            </a:graphic>
          </wp:inline>
        </w:drawing>
      </w:r>
      <w:r>
        <w:rPr/>
      </w:r>
    </w:p>
    <w:p>
      <w:pPr>
        <w:spacing w:before="55"/>
        <w:ind w:left="1381" w:right="1111" w:firstLine="0"/>
        <w:jc w:val="center"/>
        <w:rPr>
          <w:sz w:val="18"/>
        </w:rPr>
      </w:pPr>
      <w:r>
        <w:rPr>
          <w:b/>
          <w:sz w:val="18"/>
        </w:rPr>
        <w:t>Figure 6. </w:t>
      </w:r>
      <w:r>
        <w:rPr>
          <w:sz w:val="18"/>
        </w:rPr>
        <w:t>Angle of the trunk.</w:t>
      </w:r>
    </w:p>
    <w:p>
      <w:pPr>
        <w:pStyle w:val="BodyText"/>
        <w:rPr>
          <w:sz w:val="18"/>
        </w:rPr>
      </w:pPr>
    </w:p>
    <w:p>
      <w:pPr>
        <w:spacing w:before="0"/>
        <w:ind w:left="1381" w:right="1110" w:firstLine="0"/>
        <w:jc w:val="center"/>
        <w:rPr>
          <w:sz w:val="18"/>
        </w:rPr>
      </w:pPr>
      <w:r>
        <w:rPr>
          <w:b/>
          <w:sz w:val="18"/>
        </w:rPr>
        <w:t>Table 9. </w:t>
      </w:r>
      <w:r>
        <w:rPr>
          <w:sz w:val="18"/>
        </w:rPr>
        <w:t>Scores position trunk</w:t>
      </w:r>
    </w:p>
    <w:p>
      <w:pPr>
        <w:pStyle w:val="BodyText"/>
        <w:rPr>
          <w:sz w:val="18"/>
        </w:rPr>
      </w:pPr>
    </w:p>
    <w:tbl>
      <w:tblPr>
        <w:tblW w:w="0" w:type="auto"/>
        <w:jc w:val="left"/>
        <w:tblInd w:w="15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314"/>
        <w:gridCol w:w="3767"/>
      </w:tblGrid>
      <w:tr>
        <w:trPr>
          <w:trHeight w:val="222" w:hRule="exact"/>
        </w:trPr>
        <w:tc>
          <w:tcPr>
            <w:tcW w:w="5081" w:type="dxa"/>
            <w:gridSpan w:val="2"/>
            <w:tcBorders>
              <w:bottom w:val="single" w:sz="4" w:space="0" w:color="000000"/>
            </w:tcBorders>
          </w:tcPr>
          <w:p>
            <w:pPr>
              <w:pStyle w:val="TableParagraph"/>
              <w:tabs>
                <w:tab w:pos="3045" w:val="left" w:leader="none"/>
              </w:tabs>
              <w:spacing w:before="4"/>
              <w:ind w:left="574"/>
              <w:rPr>
                <w:b/>
                <w:sz w:val="18"/>
              </w:rPr>
            </w:pPr>
            <w:r>
              <w:rPr>
                <w:b/>
                <w:sz w:val="18"/>
              </w:rPr>
              <w:t>Points</w:t>
              <w:tab/>
              <w:t>Position</w:t>
            </w:r>
          </w:p>
        </w:tc>
      </w:tr>
      <w:tr>
        <w:trPr>
          <w:trHeight w:val="626" w:hRule="exact"/>
        </w:trPr>
        <w:tc>
          <w:tcPr>
            <w:tcW w:w="1314" w:type="dxa"/>
            <w:tcBorders>
              <w:top w:val="single" w:sz="4" w:space="0" w:color="000000"/>
              <w:bottom w:val="nil"/>
              <w:right w:val="nil"/>
            </w:tcBorders>
          </w:tcPr>
          <w:p>
            <w:pPr>
              <w:pStyle w:val="TableParagraph"/>
              <w:spacing w:before="1"/>
              <w:ind w:left="326"/>
              <w:jc w:val="center"/>
              <w:rPr>
                <w:sz w:val="18"/>
              </w:rPr>
            </w:pPr>
            <w:r>
              <w:rPr>
                <w:sz w:val="18"/>
              </w:rPr>
              <w:t>1</w:t>
            </w:r>
          </w:p>
          <w:p>
            <w:pPr>
              <w:pStyle w:val="TableParagraph"/>
              <w:rPr>
                <w:sz w:val="18"/>
              </w:rPr>
            </w:pPr>
          </w:p>
          <w:p>
            <w:pPr>
              <w:pStyle w:val="TableParagraph"/>
              <w:ind w:left="326"/>
              <w:jc w:val="center"/>
              <w:rPr>
                <w:sz w:val="18"/>
              </w:rPr>
            </w:pPr>
            <w:r>
              <w:rPr>
                <w:sz w:val="18"/>
              </w:rPr>
              <w:t>2</w:t>
            </w:r>
          </w:p>
        </w:tc>
        <w:tc>
          <w:tcPr>
            <w:tcW w:w="3767" w:type="dxa"/>
            <w:tcBorders>
              <w:top w:val="single" w:sz="4" w:space="0" w:color="000000"/>
              <w:left w:val="nil"/>
              <w:bottom w:val="nil"/>
            </w:tcBorders>
          </w:tcPr>
          <w:p>
            <w:pPr>
              <w:pStyle w:val="TableParagraph"/>
              <w:spacing w:before="1"/>
              <w:ind w:left="443" w:right="590"/>
              <w:rPr>
                <w:sz w:val="18"/>
              </w:rPr>
            </w:pPr>
            <w:r>
              <w:rPr>
                <w:sz w:val="18"/>
              </w:rPr>
              <w:t>Sitting, well supported and hip &gt; 90 ° angled</w:t>
            </w:r>
          </w:p>
          <w:p>
            <w:pPr>
              <w:pStyle w:val="TableParagraph"/>
              <w:ind w:left="444" w:right="590"/>
              <w:rPr>
                <w:sz w:val="18"/>
              </w:rPr>
            </w:pPr>
            <w:r>
              <w:rPr>
                <w:sz w:val="18"/>
              </w:rPr>
              <w:t>If it is bent between 0 ° and 20 °</w:t>
            </w:r>
          </w:p>
        </w:tc>
      </w:tr>
      <w:tr>
        <w:trPr>
          <w:trHeight w:val="208" w:hRule="exact"/>
        </w:trPr>
        <w:tc>
          <w:tcPr>
            <w:tcW w:w="1314" w:type="dxa"/>
            <w:tcBorders>
              <w:top w:val="nil"/>
              <w:bottom w:val="nil"/>
              <w:right w:val="nil"/>
            </w:tcBorders>
            <w:shd w:val="clear" w:color="auto" w:fill="CCBFD8"/>
          </w:tcPr>
          <w:p>
            <w:pPr>
              <w:pStyle w:val="TableParagraph"/>
              <w:ind w:right="443"/>
              <w:jc w:val="right"/>
              <w:rPr>
                <w:sz w:val="18"/>
              </w:rPr>
            </w:pPr>
            <w:r>
              <w:rPr>
                <w:sz w:val="18"/>
              </w:rPr>
              <w:t>3</w:t>
            </w:r>
          </w:p>
        </w:tc>
        <w:tc>
          <w:tcPr>
            <w:tcW w:w="3767" w:type="dxa"/>
            <w:tcBorders>
              <w:top w:val="nil"/>
              <w:left w:val="nil"/>
              <w:bottom w:val="nil"/>
            </w:tcBorders>
            <w:shd w:val="clear" w:color="auto" w:fill="CCBFD8"/>
          </w:tcPr>
          <w:p>
            <w:pPr>
              <w:pStyle w:val="TableParagraph"/>
              <w:ind w:left="443" w:right="590"/>
              <w:rPr>
                <w:sz w:val="18"/>
              </w:rPr>
            </w:pPr>
            <w:r>
              <w:rPr>
                <w:sz w:val="18"/>
              </w:rPr>
              <w:t>If it is bent between 20 ° and 60 °</w:t>
            </w:r>
          </w:p>
        </w:tc>
      </w:tr>
      <w:tr>
        <w:trPr>
          <w:trHeight w:val="217" w:hRule="exact"/>
        </w:trPr>
        <w:tc>
          <w:tcPr>
            <w:tcW w:w="1314" w:type="dxa"/>
            <w:tcBorders>
              <w:top w:val="nil"/>
              <w:right w:val="nil"/>
            </w:tcBorders>
          </w:tcPr>
          <w:p>
            <w:pPr>
              <w:pStyle w:val="TableParagraph"/>
              <w:ind w:right="443"/>
              <w:jc w:val="right"/>
              <w:rPr>
                <w:sz w:val="18"/>
              </w:rPr>
            </w:pPr>
            <w:r>
              <w:rPr>
                <w:sz w:val="18"/>
              </w:rPr>
              <w:t>4</w:t>
            </w:r>
          </w:p>
        </w:tc>
        <w:tc>
          <w:tcPr>
            <w:tcW w:w="3767" w:type="dxa"/>
            <w:tcBorders>
              <w:top w:val="nil"/>
              <w:left w:val="nil"/>
            </w:tcBorders>
          </w:tcPr>
          <w:p>
            <w:pPr>
              <w:pStyle w:val="TableParagraph"/>
              <w:ind w:left="444" w:right="590"/>
              <w:rPr>
                <w:sz w:val="18"/>
              </w:rPr>
            </w:pPr>
            <w:r>
              <w:rPr>
                <w:sz w:val="18"/>
              </w:rPr>
              <w:t>If more than 60 degrees is flexed</w:t>
            </w:r>
          </w:p>
        </w:tc>
      </w:tr>
    </w:tbl>
    <w:p>
      <w:pPr>
        <w:spacing w:before="0"/>
        <w:ind w:left="270" w:right="0" w:firstLine="0"/>
        <w:jc w:val="both"/>
        <w:rPr>
          <w:sz w:val="18"/>
        </w:rPr>
      </w:pPr>
      <w:r>
        <w:rPr>
          <w:sz w:val="18"/>
        </w:rPr>
        <w:t>The score of the trunk increases a point since the operator presents  a slight twist. See table</w:t>
      </w:r>
      <w:r>
        <w:rPr>
          <w:spacing w:val="-4"/>
          <w:sz w:val="18"/>
        </w:rPr>
        <w:t> </w:t>
      </w:r>
      <w:r>
        <w:rPr>
          <w:sz w:val="18"/>
        </w:rPr>
        <w:t>10.</w:t>
      </w:r>
    </w:p>
    <w:p>
      <w:pPr>
        <w:spacing w:before="4"/>
        <w:ind w:left="270" w:right="0" w:firstLine="0"/>
        <w:jc w:val="both"/>
        <w:rPr>
          <w:b/>
          <w:sz w:val="18"/>
        </w:rPr>
      </w:pPr>
      <w:r>
        <w:rPr>
          <w:b/>
          <w:sz w:val="18"/>
        </w:rPr>
        <w:t>Total score: 3 + 1 = 4</w:t>
      </w:r>
    </w:p>
    <w:p>
      <w:pPr>
        <w:pStyle w:val="BodyText"/>
        <w:spacing w:before="7"/>
        <w:rPr>
          <w:b/>
          <w:sz w:val="17"/>
        </w:rPr>
      </w:pPr>
    </w:p>
    <w:p>
      <w:pPr>
        <w:spacing w:before="1"/>
        <w:ind w:left="1381" w:right="1112" w:firstLine="0"/>
        <w:jc w:val="center"/>
        <w:rPr>
          <w:sz w:val="18"/>
        </w:rPr>
      </w:pPr>
      <w:r>
        <w:rPr>
          <w:b/>
          <w:sz w:val="18"/>
        </w:rPr>
        <w:t>Table 10</w:t>
      </w:r>
      <w:r>
        <w:rPr>
          <w:sz w:val="18"/>
        </w:rPr>
        <w:t>.  Changes in trunk position</w:t>
      </w:r>
    </w:p>
    <w:p>
      <w:pPr>
        <w:pStyle w:val="BodyText"/>
        <w:spacing w:before="4" w:after="1"/>
        <w:rPr>
          <w:sz w:val="18"/>
        </w:rPr>
      </w:pPr>
    </w:p>
    <w:tbl>
      <w:tblPr>
        <w:tblW w:w="0" w:type="auto"/>
        <w:jc w:val="left"/>
        <w:tblInd w:w="15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422"/>
        <w:gridCol w:w="3659"/>
      </w:tblGrid>
      <w:tr>
        <w:trPr>
          <w:trHeight w:val="222" w:hRule="exact"/>
        </w:trPr>
        <w:tc>
          <w:tcPr>
            <w:tcW w:w="1422" w:type="dxa"/>
            <w:tcBorders>
              <w:bottom w:val="single" w:sz="4" w:space="0" w:color="000000"/>
              <w:right w:val="nil"/>
            </w:tcBorders>
          </w:tcPr>
          <w:p>
            <w:pPr>
              <w:pStyle w:val="TableParagraph"/>
              <w:spacing w:line="206" w:lineRule="exact"/>
              <w:ind w:left="561" w:right="330"/>
              <w:jc w:val="center"/>
              <w:rPr>
                <w:b/>
                <w:sz w:val="18"/>
              </w:rPr>
            </w:pPr>
            <w:r>
              <w:rPr>
                <w:b/>
                <w:sz w:val="18"/>
              </w:rPr>
              <w:t>Points</w:t>
            </w:r>
          </w:p>
        </w:tc>
        <w:tc>
          <w:tcPr>
            <w:tcW w:w="3659" w:type="dxa"/>
            <w:tcBorders>
              <w:left w:val="nil"/>
              <w:bottom w:val="single" w:sz="4" w:space="0" w:color="000000"/>
            </w:tcBorders>
          </w:tcPr>
          <w:p>
            <w:pPr>
              <w:pStyle w:val="TableParagraph"/>
              <w:spacing w:line="206" w:lineRule="exact"/>
              <w:ind w:left="1621" w:right="1368"/>
              <w:jc w:val="center"/>
              <w:rPr>
                <w:b/>
                <w:sz w:val="18"/>
              </w:rPr>
            </w:pPr>
            <w:r>
              <w:rPr>
                <w:b/>
                <w:sz w:val="18"/>
              </w:rPr>
              <w:t>Position</w:t>
            </w:r>
          </w:p>
        </w:tc>
      </w:tr>
      <w:tr>
        <w:trPr>
          <w:trHeight w:val="212" w:hRule="exact"/>
        </w:trPr>
        <w:tc>
          <w:tcPr>
            <w:tcW w:w="1422" w:type="dxa"/>
            <w:tcBorders>
              <w:top w:val="single" w:sz="4" w:space="0" w:color="000000"/>
              <w:bottom w:val="nil"/>
              <w:right w:val="nil"/>
            </w:tcBorders>
            <w:shd w:val="clear" w:color="auto" w:fill="CCBFD8"/>
          </w:tcPr>
          <w:p>
            <w:pPr>
              <w:pStyle w:val="TableParagraph"/>
              <w:spacing w:line="202" w:lineRule="exact"/>
              <w:ind w:left="561" w:right="327"/>
              <w:jc w:val="center"/>
              <w:rPr>
                <w:sz w:val="18"/>
              </w:rPr>
            </w:pPr>
            <w:r>
              <w:rPr>
                <w:sz w:val="18"/>
              </w:rPr>
              <w:t>+ 1</w:t>
            </w:r>
          </w:p>
        </w:tc>
        <w:tc>
          <w:tcPr>
            <w:tcW w:w="3659" w:type="dxa"/>
            <w:tcBorders>
              <w:top w:val="single" w:sz="4" w:space="0" w:color="000000"/>
              <w:left w:val="nil"/>
              <w:bottom w:val="nil"/>
            </w:tcBorders>
            <w:shd w:val="clear" w:color="auto" w:fill="CCBFD8"/>
          </w:tcPr>
          <w:p>
            <w:pPr>
              <w:pStyle w:val="TableParagraph"/>
              <w:spacing w:line="202" w:lineRule="exact"/>
              <w:ind w:left="350"/>
              <w:rPr>
                <w:sz w:val="18"/>
              </w:rPr>
            </w:pPr>
            <w:r>
              <w:rPr>
                <w:sz w:val="18"/>
              </w:rPr>
              <w:t>If there is torsion of trunk.</w:t>
            </w:r>
          </w:p>
        </w:tc>
      </w:tr>
      <w:tr>
        <w:trPr>
          <w:trHeight w:val="217" w:hRule="exact"/>
        </w:trPr>
        <w:tc>
          <w:tcPr>
            <w:tcW w:w="1422" w:type="dxa"/>
            <w:tcBorders>
              <w:top w:val="nil"/>
              <w:right w:val="nil"/>
            </w:tcBorders>
          </w:tcPr>
          <w:p>
            <w:pPr>
              <w:pStyle w:val="TableParagraph"/>
              <w:spacing w:line="202" w:lineRule="exact"/>
              <w:ind w:left="561" w:right="328"/>
              <w:jc w:val="center"/>
              <w:rPr>
                <w:sz w:val="18"/>
              </w:rPr>
            </w:pPr>
            <w:r>
              <w:rPr>
                <w:sz w:val="18"/>
              </w:rPr>
              <w:t>+ 1</w:t>
            </w:r>
          </w:p>
        </w:tc>
        <w:tc>
          <w:tcPr>
            <w:tcW w:w="3659" w:type="dxa"/>
            <w:tcBorders>
              <w:top w:val="nil"/>
              <w:left w:val="nil"/>
            </w:tcBorders>
          </w:tcPr>
          <w:p>
            <w:pPr>
              <w:pStyle w:val="TableParagraph"/>
              <w:spacing w:line="202" w:lineRule="exact"/>
              <w:ind w:left="350"/>
              <w:rPr>
                <w:sz w:val="18"/>
              </w:rPr>
            </w:pPr>
            <w:r>
              <w:rPr>
                <w:sz w:val="18"/>
              </w:rPr>
              <w:t>If side-bending of the trunk is</w:t>
            </w:r>
          </w:p>
        </w:tc>
      </w:tr>
    </w:tbl>
    <w:p>
      <w:pPr>
        <w:pStyle w:val="BodyText"/>
        <w:rPr>
          <w:sz w:val="18"/>
        </w:rPr>
      </w:pPr>
    </w:p>
    <w:p>
      <w:pPr>
        <w:pStyle w:val="BodyText"/>
        <w:spacing w:before="10"/>
        <w:rPr>
          <w:sz w:val="17"/>
        </w:rPr>
      </w:pPr>
    </w:p>
    <w:p>
      <w:pPr>
        <w:pStyle w:val="ListParagraph"/>
        <w:numPr>
          <w:ilvl w:val="2"/>
          <w:numId w:val="75"/>
        </w:numPr>
        <w:tabs>
          <w:tab w:pos="682" w:val="left" w:leader="none"/>
        </w:tabs>
        <w:spacing w:line="240" w:lineRule="auto" w:before="0" w:after="0"/>
        <w:ind w:left="681" w:right="0" w:hanging="411"/>
        <w:jc w:val="both"/>
        <w:rPr>
          <w:b/>
          <w:sz w:val="18"/>
        </w:rPr>
      </w:pPr>
      <w:r>
        <w:rPr>
          <w:b/>
          <w:sz w:val="18"/>
        </w:rPr>
        <w:t>Position of the</w:t>
      </w:r>
      <w:r>
        <w:rPr>
          <w:b/>
          <w:spacing w:val="-1"/>
          <w:sz w:val="18"/>
        </w:rPr>
        <w:t> </w:t>
      </w:r>
      <w:r>
        <w:rPr>
          <w:b/>
          <w:sz w:val="18"/>
        </w:rPr>
        <w:t>legs.</w:t>
      </w:r>
    </w:p>
    <w:p>
      <w:pPr>
        <w:pStyle w:val="BodyText"/>
        <w:spacing w:before="7"/>
        <w:rPr>
          <w:b/>
          <w:sz w:val="17"/>
        </w:rPr>
      </w:pPr>
    </w:p>
    <w:p>
      <w:pPr>
        <w:spacing w:before="1"/>
        <w:ind w:left="270" w:right="0" w:firstLine="0"/>
        <w:jc w:val="both"/>
        <w:rPr>
          <w:sz w:val="18"/>
        </w:rPr>
      </w:pPr>
      <w:r>
        <w:rPr>
          <w:sz w:val="18"/>
        </w:rPr>
        <w:t>The operator is in standing position, this position is acceptable because its weight is distributed on both legs and gives you space to change position comfortably. See Figure 7, table 11.</w:t>
      </w:r>
    </w:p>
    <w:p>
      <w:pPr>
        <w:spacing w:before="3"/>
        <w:ind w:left="270" w:right="0" w:firstLine="0"/>
        <w:jc w:val="both"/>
        <w:rPr>
          <w:b/>
          <w:sz w:val="18"/>
        </w:rPr>
      </w:pPr>
      <w:r>
        <w:rPr>
          <w:b/>
          <w:sz w:val="18"/>
        </w:rPr>
        <w:t>Total score: 1</w:t>
      </w:r>
    </w:p>
    <w:p>
      <w:pPr>
        <w:pStyle w:val="BodyText"/>
        <w:rPr>
          <w:b/>
          <w:sz w:val="18"/>
        </w:rPr>
      </w:pPr>
      <w:r>
        <w:rPr/>
        <w:br w:type="column"/>
      </w:r>
      <w:r>
        <w:rPr>
          <w:b/>
          <w:sz w:val="18"/>
        </w:rPr>
      </w:r>
    </w:p>
    <w:p>
      <w:pPr>
        <w:pStyle w:val="BodyText"/>
        <w:rPr>
          <w:b/>
          <w:sz w:val="18"/>
        </w:rPr>
      </w:pPr>
    </w:p>
    <w:p>
      <w:pPr>
        <w:pStyle w:val="BodyText"/>
        <w:spacing w:before="5"/>
        <w:rPr>
          <w:b/>
          <w:sz w:val="14"/>
        </w:rPr>
      </w:pPr>
    </w:p>
    <w:p>
      <w:pPr>
        <w:spacing w:before="0"/>
        <w:ind w:left="354" w:right="762" w:firstLine="0"/>
        <w:jc w:val="center"/>
        <w:rPr>
          <w:sz w:val="18"/>
        </w:rPr>
      </w:pPr>
      <w:r>
        <w:rPr/>
        <w:drawing>
          <wp:anchor distT="0" distB="0" distL="0" distR="0" allowOverlap="1" layoutInCell="1" locked="0" behindDoc="0" simplePos="0" relativeHeight="8776">
            <wp:simplePos x="0" y="0"/>
            <wp:positionH relativeFrom="page">
              <wp:posOffset>4933950</wp:posOffset>
            </wp:positionH>
            <wp:positionV relativeFrom="paragraph">
              <wp:posOffset>-1589501</wp:posOffset>
            </wp:positionV>
            <wp:extent cx="1450378" cy="1460753"/>
            <wp:effectExtent l="0" t="0" r="0" b="0"/>
            <wp:wrapNone/>
            <wp:docPr id="337" name="image197.jpeg" descr=""/>
            <wp:cNvGraphicFramePr>
              <a:graphicFrameLocks noChangeAspect="1"/>
            </wp:cNvGraphicFramePr>
            <a:graphic>
              <a:graphicData uri="http://schemas.openxmlformats.org/drawingml/2006/picture">
                <pic:pic>
                  <pic:nvPicPr>
                    <pic:cNvPr id="338" name="image197.jpeg"/>
                    <pic:cNvPicPr/>
                  </pic:nvPicPr>
                  <pic:blipFill>
                    <a:blip r:embed="rId315" cstate="print"/>
                    <a:stretch>
                      <a:fillRect/>
                    </a:stretch>
                  </pic:blipFill>
                  <pic:spPr>
                    <a:xfrm>
                      <a:off x="0" y="0"/>
                      <a:ext cx="1450378" cy="1460753"/>
                    </a:xfrm>
                    <a:prstGeom prst="rect">
                      <a:avLst/>
                    </a:prstGeom>
                  </pic:spPr>
                </pic:pic>
              </a:graphicData>
            </a:graphic>
          </wp:anchor>
        </w:drawing>
      </w:r>
      <w:r>
        <w:rPr>
          <w:b/>
          <w:sz w:val="18"/>
        </w:rPr>
        <w:t>Figure 7</w:t>
      </w:r>
      <w:r>
        <w:rPr>
          <w:sz w:val="18"/>
        </w:rPr>
        <w:t>. Position of legs.</w:t>
      </w:r>
    </w:p>
    <w:p>
      <w:pPr>
        <w:pStyle w:val="BodyText"/>
        <w:rPr>
          <w:sz w:val="18"/>
        </w:rPr>
      </w:pPr>
    </w:p>
    <w:p>
      <w:pPr>
        <w:spacing w:before="0"/>
        <w:ind w:left="354" w:right="761" w:firstLine="0"/>
        <w:jc w:val="center"/>
        <w:rPr>
          <w:sz w:val="18"/>
        </w:rPr>
      </w:pPr>
      <w:r>
        <w:rPr>
          <w:b/>
          <w:sz w:val="18"/>
        </w:rPr>
        <w:t>Table 11. </w:t>
      </w:r>
      <w:r>
        <w:rPr>
          <w:sz w:val="18"/>
        </w:rPr>
        <w:t>Score position legs.</w:t>
      </w:r>
    </w:p>
    <w:p>
      <w:pPr>
        <w:pStyle w:val="BodyText"/>
        <w:spacing w:before="4" w:after="1"/>
        <w:rPr>
          <w:sz w:val="18"/>
        </w:rPr>
      </w:pPr>
    </w:p>
    <w:tbl>
      <w:tblPr>
        <w:tblW w:w="0" w:type="auto"/>
        <w:jc w:val="left"/>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61"/>
        <w:gridCol w:w="3820"/>
      </w:tblGrid>
      <w:tr>
        <w:trPr>
          <w:trHeight w:val="222" w:hRule="exact"/>
        </w:trPr>
        <w:tc>
          <w:tcPr>
            <w:tcW w:w="5081" w:type="dxa"/>
            <w:gridSpan w:val="2"/>
            <w:tcBorders>
              <w:top w:val="single" w:sz="8" w:space="0" w:color="7E64A1"/>
              <w:left w:val="single" w:sz="8" w:space="0" w:color="7E64A1"/>
              <w:right w:val="single" w:sz="8" w:space="0" w:color="7E64A1"/>
            </w:tcBorders>
          </w:tcPr>
          <w:p>
            <w:pPr>
              <w:pStyle w:val="TableParagraph"/>
              <w:tabs>
                <w:tab w:pos="3009" w:val="left" w:leader="none"/>
              </w:tabs>
              <w:spacing w:line="206" w:lineRule="exact"/>
              <w:ind w:left="540"/>
              <w:rPr>
                <w:b/>
                <w:sz w:val="18"/>
              </w:rPr>
            </w:pPr>
            <w:r>
              <w:rPr>
                <w:b/>
                <w:sz w:val="18"/>
              </w:rPr>
              <w:t>Points</w:t>
              <w:tab/>
              <w:t>Position</w:t>
            </w:r>
          </w:p>
        </w:tc>
      </w:tr>
      <w:tr>
        <w:trPr>
          <w:trHeight w:val="212" w:hRule="exact"/>
        </w:trPr>
        <w:tc>
          <w:tcPr>
            <w:tcW w:w="1261" w:type="dxa"/>
            <w:tcBorders>
              <w:left w:val="single" w:sz="8" w:space="0" w:color="7E64A1"/>
              <w:bottom w:val="nil"/>
              <w:right w:val="nil"/>
            </w:tcBorders>
          </w:tcPr>
          <w:p>
            <w:pPr>
              <w:pStyle w:val="TableParagraph"/>
              <w:spacing w:line="202" w:lineRule="exact"/>
              <w:ind w:right="424"/>
              <w:jc w:val="right"/>
              <w:rPr>
                <w:sz w:val="18"/>
              </w:rPr>
            </w:pPr>
            <w:r>
              <w:rPr>
                <w:sz w:val="18"/>
              </w:rPr>
              <w:t>1</w:t>
            </w:r>
          </w:p>
        </w:tc>
        <w:tc>
          <w:tcPr>
            <w:tcW w:w="3820" w:type="dxa"/>
            <w:tcBorders>
              <w:left w:val="nil"/>
              <w:bottom w:val="nil"/>
              <w:right w:val="single" w:sz="8" w:space="0" w:color="7E64A1"/>
            </w:tcBorders>
          </w:tcPr>
          <w:p>
            <w:pPr>
              <w:pStyle w:val="TableParagraph"/>
              <w:spacing w:line="202" w:lineRule="exact"/>
              <w:ind w:left="426" w:right="205"/>
              <w:rPr>
                <w:sz w:val="18"/>
              </w:rPr>
            </w:pPr>
            <w:r>
              <w:rPr>
                <w:sz w:val="18"/>
              </w:rPr>
              <w:t>Sitting with feet and legs well supported</w:t>
            </w:r>
          </w:p>
        </w:tc>
      </w:tr>
      <w:tr>
        <w:trPr>
          <w:trHeight w:val="414" w:hRule="exact"/>
        </w:trPr>
        <w:tc>
          <w:tcPr>
            <w:tcW w:w="1261" w:type="dxa"/>
            <w:tcBorders>
              <w:top w:val="nil"/>
              <w:left w:val="single" w:sz="8" w:space="0" w:color="7E64A1"/>
              <w:bottom w:val="nil"/>
              <w:right w:val="nil"/>
            </w:tcBorders>
            <w:shd w:val="clear" w:color="auto" w:fill="CCBFD8"/>
          </w:tcPr>
          <w:p>
            <w:pPr>
              <w:pStyle w:val="TableParagraph"/>
              <w:spacing w:line="202" w:lineRule="exact"/>
              <w:ind w:right="424"/>
              <w:jc w:val="right"/>
              <w:rPr>
                <w:sz w:val="18"/>
              </w:rPr>
            </w:pPr>
            <w:r>
              <w:rPr>
                <w:sz w:val="18"/>
              </w:rPr>
              <w:t>1</w:t>
            </w:r>
          </w:p>
        </w:tc>
        <w:tc>
          <w:tcPr>
            <w:tcW w:w="3820" w:type="dxa"/>
            <w:tcBorders>
              <w:top w:val="nil"/>
              <w:left w:val="nil"/>
              <w:bottom w:val="nil"/>
              <w:right w:val="single" w:sz="8" w:space="0" w:color="7E64A1"/>
            </w:tcBorders>
            <w:shd w:val="clear" w:color="auto" w:fill="CCBFD8"/>
          </w:tcPr>
          <w:p>
            <w:pPr>
              <w:pStyle w:val="TableParagraph"/>
              <w:ind w:left="426" w:right="205"/>
              <w:rPr>
                <w:sz w:val="18"/>
              </w:rPr>
            </w:pPr>
            <w:r>
              <w:rPr>
                <w:sz w:val="18"/>
              </w:rPr>
              <w:t>Standing with the symmetrically distributed weight and space to change position.</w:t>
            </w:r>
          </w:p>
        </w:tc>
      </w:tr>
      <w:tr>
        <w:trPr>
          <w:trHeight w:val="424" w:hRule="exact"/>
        </w:trPr>
        <w:tc>
          <w:tcPr>
            <w:tcW w:w="1261" w:type="dxa"/>
            <w:tcBorders>
              <w:top w:val="nil"/>
              <w:left w:val="single" w:sz="8" w:space="0" w:color="7E64A1"/>
              <w:bottom w:val="single" w:sz="8" w:space="0" w:color="7E64A1"/>
              <w:right w:val="nil"/>
            </w:tcBorders>
          </w:tcPr>
          <w:p>
            <w:pPr>
              <w:pStyle w:val="TableParagraph"/>
              <w:spacing w:line="202" w:lineRule="exact"/>
              <w:ind w:right="424"/>
              <w:jc w:val="right"/>
              <w:rPr>
                <w:sz w:val="18"/>
              </w:rPr>
            </w:pPr>
            <w:r>
              <w:rPr>
                <w:sz w:val="18"/>
              </w:rPr>
              <w:t>2</w:t>
            </w:r>
          </w:p>
        </w:tc>
        <w:tc>
          <w:tcPr>
            <w:tcW w:w="3820" w:type="dxa"/>
            <w:tcBorders>
              <w:top w:val="nil"/>
              <w:left w:val="nil"/>
              <w:bottom w:val="single" w:sz="8" w:space="0" w:color="7E64A1"/>
              <w:right w:val="single" w:sz="8" w:space="0" w:color="7E64A1"/>
            </w:tcBorders>
          </w:tcPr>
          <w:p>
            <w:pPr>
              <w:pStyle w:val="TableParagraph"/>
              <w:ind w:left="426" w:right="175"/>
              <w:rPr>
                <w:sz w:val="18"/>
              </w:rPr>
            </w:pPr>
            <w:r>
              <w:rPr>
                <w:sz w:val="18"/>
              </w:rPr>
              <w:t>If the feet are not supported, or if the weight is not symmetrically distribution.</w:t>
            </w:r>
          </w:p>
        </w:tc>
      </w:tr>
    </w:tbl>
    <w:p>
      <w:pPr>
        <w:pStyle w:val="BodyText"/>
        <w:rPr>
          <w:sz w:val="18"/>
        </w:rPr>
      </w:pPr>
    </w:p>
    <w:p>
      <w:pPr>
        <w:pStyle w:val="BodyText"/>
        <w:spacing w:before="10"/>
        <w:rPr>
          <w:sz w:val="17"/>
        </w:rPr>
      </w:pPr>
    </w:p>
    <w:p>
      <w:pPr>
        <w:pStyle w:val="ListParagraph"/>
        <w:numPr>
          <w:ilvl w:val="1"/>
          <w:numId w:val="75"/>
        </w:numPr>
        <w:tabs>
          <w:tab w:pos="646" w:val="left" w:leader="none"/>
        </w:tabs>
        <w:spacing w:line="240" w:lineRule="auto" w:before="0" w:after="0"/>
        <w:ind w:left="270" w:right="678" w:firstLine="0"/>
        <w:jc w:val="both"/>
        <w:rPr>
          <w:b/>
          <w:sz w:val="18"/>
        </w:rPr>
      </w:pPr>
      <w:r>
        <w:rPr>
          <w:b/>
          <w:sz w:val="18"/>
        </w:rPr>
        <w:t>IDENTIFY THE TABLES ACCORDING TO THE ADOPTED GROUP B POSITION</w:t>
      </w:r>
      <w:r>
        <w:rPr>
          <w:b/>
          <w:spacing w:val="-24"/>
          <w:sz w:val="18"/>
        </w:rPr>
        <w:t> </w:t>
      </w:r>
      <w:r>
        <w:rPr>
          <w:b/>
          <w:sz w:val="18"/>
        </w:rPr>
        <w:t>VALUE.</w:t>
      </w:r>
    </w:p>
    <w:p>
      <w:pPr>
        <w:pStyle w:val="BodyText"/>
        <w:spacing w:before="7"/>
        <w:rPr>
          <w:b/>
          <w:sz w:val="17"/>
        </w:rPr>
      </w:pPr>
    </w:p>
    <w:p>
      <w:pPr>
        <w:spacing w:before="1"/>
        <w:ind w:left="270" w:right="677" w:firstLine="0"/>
        <w:jc w:val="both"/>
        <w:rPr>
          <w:sz w:val="18"/>
        </w:rPr>
      </w:pPr>
      <w:r>
        <w:rPr>
          <w:sz w:val="18"/>
        </w:rPr>
        <w:t>Therefore analyzed the positions of Group B, the results were as follows:</w:t>
      </w:r>
    </w:p>
    <w:p>
      <w:pPr>
        <w:pStyle w:val="ListParagraph"/>
        <w:numPr>
          <w:ilvl w:val="0"/>
          <w:numId w:val="76"/>
        </w:numPr>
        <w:tabs>
          <w:tab w:pos="990" w:val="left" w:leader="none"/>
          <w:tab w:pos="991" w:val="left" w:leader="none"/>
        </w:tabs>
        <w:spacing w:line="243" w:lineRule="exact" w:before="1" w:after="0"/>
        <w:ind w:left="990" w:right="0" w:hanging="360"/>
        <w:jc w:val="left"/>
        <w:rPr>
          <w:sz w:val="18"/>
        </w:rPr>
      </w:pPr>
      <w:r>
        <w:rPr>
          <w:sz w:val="18"/>
        </w:rPr>
        <w:t>In the posture of the neck was obtained a score of</w:t>
      </w:r>
      <w:r>
        <w:rPr>
          <w:spacing w:val="-7"/>
          <w:sz w:val="18"/>
        </w:rPr>
        <w:t> </w:t>
      </w:r>
      <w:r>
        <w:rPr>
          <w:sz w:val="18"/>
        </w:rPr>
        <w:t>2.</w:t>
      </w:r>
    </w:p>
    <w:p>
      <w:pPr>
        <w:pStyle w:val="ListParagraph"/>
        <w:numPr>
          <w:ilvl w:val="0"/>
          <w:numId w:val="76"/>
        </w:numPr>
        <w:tabs>
          <w:tab w:pos="990" w:val="left" w:leader="none"/>
          <w:tab w:pos="991" w:val="left" w:leader="none"/>
        </w:tabs>
        <w:spacing w:line="240" w:lineRule="exact" w:before="0" w:after="0"/>
        <w:ind w:left="990" w:right="0" w:hanging="360"/>
        <w:jc w:val="left"/>
        <w:rPr>
          <w:sz w:val="18"/>
        </w:rPr>
      </w:pPr>
      <w:r>
        <w:rPr>
          <w:sz w:val="18"/>
        </w:rPr>
        <w:t>The position of the trunk had a score of</w:t>
      </w:r>
      <w:r>
        <w:rPr>
          <w:spacing w:val="-5"/>
          <w:sz w:val="18"/>
        </w:rPr>
        <w:t> </w:t>
      </w:r>
      <w:r>
        <w:rPr>
          <w:sz w:val="18"/>
        </w:rPr>
        <w:t>4.</w:t>
      </w:r>
    </w:p>
    <w:p>
      <w:pPr>
        <w:pStyle w:val="ListParagraph"/>
        <w:numPr>
          <w:ilvl w:val="0"/>
          <w:numId w:val="76"/>
        </w:numPr>
        <w:tabs>
          <w:tab w:pos="990" w:val="left" w:leader="none"/>
          <w:tab w:pos="991" w:val="left" w:leader="none"/>
        </w:tabs>
        <w:spacing w:line="243" w:lineRule="exact" w:before="0" w:after="0"/>
        <w:ind w:left="990" w:right="0" w:hanging="360"/>
        <w:jc w:val="left"/>
        <w:rPr>
          <w:sz w:val="18"/>
        </w:rPr>
      </w:pPr>
      <w:r>
        <w:rPr>
          <w:sz w:val="18"/>
        </w:rPr>
        <w:t>The position of the legs resulted in a score of</w:t>
      </w:r>
      <w:r>
        <w:rPr>
          <w:spacing w:val="-9"/>
          <w:sz w:val="18"/>
        </w:rPr>
        <w:t> </w:t>
      </w:r>
      <w:r>
        <w:rPr>
          <w:sz w:val="18"/>
        </w:rPr>
        <w:t>1.</w:t>
      </w:r>
    </w:p>
    <w:p>
      <w:pPr>
        <w:pStyle w:val="BodyText"/>
        <w:spacing w:before="5"/>
        <w:rPr>
          <w:sz w:val="17"/>
        </w:rPr>
      </w:pPr>
    </w:p>
    <w:p>
      <w:pPr>
        <w:spacing w:before="0"/>
        <w:ind w:left="270" w:right="676" w:firstLine="0"/>
        <w:jc w:val="both"/>
        <w:rPr>
          <w:sz w:val="18"/>
        </w:rPr>
      </w:pPr>
      <w:r>
        <w:rPr>
          <w:sz w:val="18"/>
        </w:rPr>
        <w:t>The results of Group B giving a total score of 5 points were introduced. See results table 12.</w:t>
      </w:r>
    </w:p>
    <w:p>
      <w:pPr>
        <w:spacing w:line="206" w:lineRule="exact" w:before="0"/>
        <w:ind w:left="354" w:right="759" w:firstLine="0"/>
        <w:jc w:val="center"/>
        <w:rPr>
          <w:sz w:val="18"/>
        </w:rPr>
      </w:pPr>
      <w:r>
        <w:rPr>
          <w:b/>
          <w:sz w:val="18"/>
        </w:rPr>
        <w:t>Table 12. </w:t>
      </w:r>
      <w:r>
        <w:rPr>
          <w:sz w:val="18"/>
        </w:rPr>
        <w:t>Scores of Group B results</w:t>
      </w:r>
    </w:p>
    <w:p>
      <w:pPr>
        <w:pStyle w:val="BodyText"/>
        <w:spacing w:before="4"/>
        <w:rPr>
          <w:sz w:val="3"/>
        </w:rPr>
      </w:pPr>
    </w:p>
    <w:p>
      <w:pPr>
        <w:pStyle w:val="BodyText"/>
        <w:ind w:left="404"/>
      </w:pPr>
      <w:r>
        <w:rPr/>
        <w:drawing>
          <wp:inline distT="0" distB="0" distL="0" distR="0">
            <wp:extent cx="2979143" cy="1940052"/>
            <wp:effectExtent l="0" t="0" r="0" b="0"/>
            <wp:docPr id="339" name="image198.jpeg" descr=""/>
            <wp:cNvGraphicFramePr>
              <a:graphicFrameLocks noChangeAspect="1"/>
            </wp:cNvGraphicFramePr>
            <a:graphic>
              <a:graphicData uri="http://schemas.openxmlformats.org/drawingml/2006/picture">
                <pic:pic>
                  <pic:nvPicPr>
                    <pic:cNvPr id="340" name="image198.jpeg"/>
                    <pic:cNvPicPr/>
                  </pic:nvPicPr>
                  <pic:blipFill>
                    <a:blip r:embed="rId316" cstate="print"/>
                    <a:stretch>
                      <a:fillRect/>
                    </a:stretch>
                  </pic:blipFill>
                  <pic:spPr>
                    <a:xfrm>
                      <a:off x="0" y="0"/>
                      <a:ext cx="2979143" cy="1940052"/>
                    </a:xfrm>
                    <a:prstGeom prst="rect">
                      <a:avLst/>
                    </a:prstGeom>
                  </pic:spPr>
                </pic:pic>
              </a:graphicData>
            </a:graphic>
          </wp:inline>
        </w:drawing>
      </w:r>
      <w:r>
        <w:rPr/>
      </w:r>
    </w:p>
    <w:p>
      <w:pPr>
        <w:pStyle w:val="BodyText"/>
        <w:spacing w:before="2"/>
        <w:rPr>
          <w:sz w:val="19"/>
        </w:rPr>
      </w:pPr>
    </w:p>
    <w:p>
      <w:pPr>
        <w:pStyle w:val="ListParagraph"/>
        <w:numPr>
          <w:ilvl w:val="1"/>
          <w:numId w:val="75"/>
        </w:numPr>
        <w:tabs>
          <w:tab w:pos="579" w:val="left" w:leader="none"/>
        </w:tabs>
        <w:spacing w:line="240" w:lineRule="auto" w:before="0" w:after="0"/>
        <w:ind w:left="270" w:right="677" w:firstLine="0"/>
        <w:jc w:val="both"/>
        <w:rPr>
          <w:b/>
          <w:sz w:val="18"/>
        </w:rPr>
      </w:pPr>
      <w:r>
        <w:rPr>
          <w:b/>
          <w:sz w:val="18"/>
        </w:rPr>
        <w:t>SCORE THE TYPE OF MUSCULAR ACTIVITY AND THE APPLIED</w:t>
      </w:r>
      <w:r>
        <w:rPr>
          <w:b/>
          <w:spacing w:val="-14"/>
          <w:sz w:val="18"/>
        </w:rPr>
        <w:t> </w:t>
      </w:r>
      <w:r>
        <w:rPr>
          <w:b/>
          <w:sz w:val="18"/>
        </w:rPr>
        <w:t>FORCE.</w:t>
      </w:r>
    </w:p>
    <w:p>
      <w:pPr>
        <w:pStyle w:val="BodyText"/>
        <w:spacing w:before="7"/>
        <w:rPr>
          <w:b/>
          <w:sz w:val="17"/>
        </w:rPr>
      </w:pPr>
    </w:p>
    <w:p>
      <w:pPr>
        <w:spacing w:before="1"/>
        <w:ind w:left="270" w:right="676" w:firstLine="0"/>
        <w:jc w:val="both"/>
        <w:rPr>
          <w:sz w:val="18"/>
        </w:rPr>
      </w:pPr>
      <w:r>
        <w:rPr>
          <w:sz w:val="18"/>
        </w:rPr>
        <w:t>The overall score of the Group A and B have not been increased according to the type of muscular activity, since the load lifting the operator is less than 2 kg. See table 13.</w:t>
      </w:r>
    </w:p>
    <w:p>
      <w:pPr>
        <w:spacing w:after="0"/>
        <w:jc w:val="both"/>
        <w:rPr>
          <w:sz w:val="18"/>
        </w:rPr>
        <w:sectPr>
          <w:type w:val="continuous"/>
          <w:pgSz w:w="12240" w:h="15840"/>
          <w:pgMar w:top="1500" w:bottom="280" w:left="580" w:right="220"/>
          <w:cols w:num="2" w:equalWidth="0">
            <w:col w:w="5188" w:space="437"/>
            <w:col w:w="5815"/>
          </w:cols>
        </w:sectPr>
      </w:pPr>
    </w:p>
    <w:p>
      <w:pPr>
        <w:pStyle w:val="BodyText"/>
        <w:rPr>
          <w:sz w:val="11"/>
        </w:rPr>
      </w:pPr>
    </w:p>
    <w:p>
      <w:pPr>
        <w:spacing w:after="0"/>
        <w:rPr>
          <w:sz w:val="11"/>
        </w:rPr>
        <w:sectPr>
          <w:pgSz w:w="12240" w:h="15840"/>
          <w:pgMar w:header="545" w:footer="852" w:top="1060" w:bottom="1040" w:left="580" w:right="220"/>
        </w:sectPr>
      </w:pPr>
    </w:p>
    <w:p>
      <w:pPr>
        <w:spacing w:before="77"/>
        <w:ind w:left="387" w:right="0" w:firstLine="0"/>
        <w:jc w:val="left"/>
        <w:rPr>
          <w:sz w:val="18"/>
        </w:rPr>
      </w:pPr>
      <w:r>
        <w:rPr/>
        <w:pict>
          <v:shape style="position:absolute;margin-left:36.660pt;margin-top:24.792318pt;width:255.5pt;height:126.7pt;mso-position-horizontal-relative:page;mso-position-vertical-relative:paragraph;z-index:8896" type="#_x0000_t202" filled="false" stroked="false">
            <v:textbox inset="0,0,0,0">
              <w:txbxContent>
                <w:tbl>
                  <w:tblPr>
                    <w:tblW w:w="0" w:type="auto"/>
                    <w:jc w:val="lef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374"/>
                    <w:gridCol w:w="3707"/>
                  </w:tblGrid>
                  <w:tr>
                    <w:trPr>
                      <w:trHeight w:val="222" w:hRule="exact"/>
                    </w:trPr>
                    <w:tc>
                      <w:tcPr>
                        <w:tcW w:w="1374" w:type="dxa"/>
                        <w:tcBorders>
                          <w:bottom w:val="single" w:sz="4" w:space="0" w:color="000000"/>
                          <w:right w:val="nil"/>
                        </w:tcBorders>
                      </w:tcPr>
                      <w:p>
                        <w:pPr>
                          <w:pStyle w:val="TableParagraph"/>
                          <w:spacing w:line="206" w:lineRule="exact"/>
                          <w:ind w:left="529" w:right="315"/>
                          <w:jc w:val="center"/>
                          <w:rPr>
                            <w:b/>
                            <w:sz w:val="18"/>
                          </w:rPr>
                        </w:pPr>
                        <w:r>
                          <w:rPr>
                            <w:b/>
                            <w:sz w:val="18"/>
                          </w:rPr>
                          <w:t>Points</w:t>
                        </w:r>
                      </w:p>
                    </w:tc>
                    <w:tc>
                      <w:tcPr>
                        <w:tcW w:w="3707" w:type="dxa"/>
                        <w:tcBorders>
                          <w:left w:val="nil"/>
                          <w:bottom w:val="single" w:sz="4" w:space="0" w:color="000000"/>
                        </w:tcBorders>
                      </w:tcPr>
                      <w:p>
                        <w:pPr>
                          <w:pStyle w:val="TableParagraph"/>
                          <w:spacing w:line="206" w:lineRule="exact"/>
                          <w:ind w:left="1637" w:right="1399"/>
                          <w:jc w:val="center"/>
                          <w:rPr>
                            <w:b/>
                            <w:sz w:val="18"/>
                          </w:rPr>
                        </w:pPr>
                        <w:r>
                          <w:rPr>
                            <w:b/>
                            <w:sz w:val="18"/>
                          </w:rPr>
                          <w:t>Position</w:t>
                        </w:r>
                      </w:p>
                    </w:tc>
                  </w:tr>
                  <w:tr>
                    <w:trPr>
                      <w:trHeight w:val="419" w:hRule="exact"/>
                    </w:trPr>
                    <w:tc>
                      <w:tcPr>
                        <w:tcW w:w="1374" w:type="dxa"/>
                        <w:tcBorders>
                          <w:top w:val="single" w:sz="4" w:space="0" w:color="000000"/>
                          <w:bottom w:val="nil"/>
                          <w:right w:val="nil"/>
                        </w:tcBorders>
                        <w:shd w:val="clear" w:color="auto" w:fill="CCBFD8"/>
                      </w:tcPr>
                      <w:p>
                        <w:pPr>
                          <w:pStyle w:val="TableParagraph"/>
                          <w:spacing w:line="202" w:lineRule="exact"/>
                          <w:ind w:left="215"/>
                          <w:jc w:val="center"/>
                          <w:rPr>
                            <w:sz w:val="18"/>
                          </w:rPr>
                        </w:pPr>
                        <w:r>
                          <w:rPr>
                            <w:sz w:val="18"/>
                          </w:rPr>
                          <w:t>0</w:t>
                        </w:r>
                      </w:p>
                    </w:tc>
                    <w:tc>
                      <w:tcPr>
                        <w:tcW w:w="3707" w:type="dxa"/>
                        <w:tcBorders>
                          <w:top w:val="single" w:sz="4" w:space="0" w:color="000000"/>
                          <w:left w:val="nil"/>
                          <w:bottom w:val="nil"/>
                        </w:tcBorders>
                        <w:shd w:val="clear" w:color="auto" w:fill="CCBFD8"/>
                      </w:tcPr>
                      <w:p>
                        <w:pPr>
                          <w:pStyle w:val="TableParagraph"/>
                          <w:ind w:left="334" w:right="409"/>
                          <w:rPr>
                            <w:sz w:val="18"/>
                          </w:rPr>
                        </w:pPr>
                        <w:r>
                          <w:rPr>
                            <w:sz w:val="18"/>
                          </w:rPr>
                          <w:t>If the load or force is less than 2 Kg. and perform intermittently.</w:t>
                        </w:r>
                      </w:p>
                    </w:tc>
                  </w:tr>
                  <w:tr>
                    <w:trPr>
                      <w:trHeight w:val="212" w:hRule="exact"/>
                    </w:trPr>
                    <w:tc>
                      <w:tcPr>
                        <w:tcW w:w="1374" w:type="dxa"/>
                        <w:tcBorders>
                          <w:top w:val="nil"/>
                          <w:bottom w:val="nil"/>
                          <w:right w:val="nil"/>
                        </w:tcBorders>
                      </w:tcPr>
                      <w:p>
                        <w:pPr>
                          <w:pStyle w:val="TableParagraph"/>
                          <w:spacing w:line="202" w:lineRule="exact"/>
                          <w:ind w:left="215"/>
                          <w:jc w:val="center"/>
                          <w:rPr>
                            <w:sz w:val="18"/>
                          </w:rPr>
                        </w:pPr>
                        <w:r>
                          <w:rPr>
                            <w:sz w:val="18"/>
                          </w:rPr>
                          <w:t>1</w:t>
                        </w:r>
                      </w:p>
                    </w:tc>
                    <w:tc>
                      <w:tcPr>
                        <w:tcW w:w="3707" w:type="dxa"/>
                        <w:tcBorders>
                          <w:top w:val="nil"/>
                          <w:left w:val="nil"/>
                          <w:bottom w:val="nil"/>
                        </w:tcBorders>
                      </w:tcPr>
                      <w:p>
                        <w:pPr>
                          <w:pStyle w:val="TableParagraph"/>
                          <w:spacing w:line="202" w:lineRule="exact"/>
                          <w:ind w:left="334"/>
                          <w:rPr>
                            <w:sz w:val="18"/>
                          </w:rPr>
                        </w:pPr>
                        <w:r>
                          <w:rPr>
                            <w:sz w:val="18"/>
                          </w:rPr>
                          <w:t>If the load or force is between 2 and 10 Kg</w:t>
                        </w:r>
                      </w:p>
                    </w:tc>
                  </w:tr>
                  <w:tr>
                    <w:trPr>
                      <w:trHeight w:val="207" w:hRule="exact"/>
                    </w:trPr>
                    <w:tc>
                      <w:tcPr>
                        <w:tcW w:w="1374" w:type="dxa"/>
                        <w:tcBorders>
                          <w:top w:val="nil"/>
                          <w:bottom w:val="nil"/>
                          <w:right w:val="nil"/>
                        </w:tcBorders>
                      </w:tcPr>
                      <w:p>
                        <w:pPr/>
                      </w:p>
                    </w:tc>
                    <w:tc>
                      <w:tcPr>
                        <w:tcW w:w="3707" w:type="dxa"/>
                        <w:tcBorders>
                          <w:top w:val="nil"/>
                          <w:left w:val="nil"/>
                          <w:bottom w:val="nil"/>
                        </w:tcBorders>
                      </w:tcPr>
                      <w:p>
                        <w:pPr>
                          <w:pStyle w:val="TableParagraph"/>
                          <w:spacing w:line="198" w:lineRule="exact"/>
                          <w:ind w:left="334" w:right="409"/>
                          <w:rPr>
                            <w:sz w:val="18"/>
                          </w:rPr>
                        </w:pPr>
                        <w:r>
                          <w:rPr>
                            <w:sz w:val="18"/>
                          </w:rPr>
                          <w:t>and lifted intermittently.</w:t>
                        </w:r>
                      </w:p>
                    </w:tc>
                  </w:tr>
                  <w:tr>
                    <w:trPr>
                      <w:trHeight w:val="207" w:hRule="exact"/>
                    </w:trPr>
                    <w:tc>
                      <w:tcPr>
                        <w:tcW w:w="1374" w:type="dxa"/>
                        <w:tcBorders>
                          <w:top w:val="nil"/>
                          <w:bottom w:val="nil"/>
                          <w:right w:val="nil"/>
                        </w:tcBorders>
                      </w:tcPr>
                      <w:p>
                        <w:pPr>
                          <w:pStyle w:val="TableParagraph"/>
                          <w:spacing w:line="197" w:lineRule="exact"/>
                          <w:ind w:left="215"/>
                          <w:jc w:val="center"/>
                          <w:rPr>
                            <w:sz w:val="18"/>
                          </w:rPr>
                        </w:pPr>
                        <w:r>
                          <w:rPr>
                            <w:sz w:val="18"/>
                          </w:rPr>
                          <w:t>2</w:t>
                        </w:r>
                      </w:p>
                    </w:tc>
                    <w:tc>
                      <w:tcPr>
                        <w:tcW w:w="3707" w:type="dxa"/>
                        <w:tcBorders>
                          <w:top w:val="nil"/>
                          <w:left w:val="nil"/>
                          <w:bottom w:val="nil"/>
                        </w:tcBorders>
                      </w:tcPr>
                      <w:p>
                        <w:pPr>
                          <w:pStyle w:val="TableParagraph"/>
                          <w:spacing w:line="197" w:lineRule="exact"/>
                          <w:ind w:left="334"/>
                          <w:rPr>
                            <w:sz w:val="18"/>
                          </w:rPr>
                        </w:pPr>
                        <w:r>
                          <w:rPr>
                            <w:sz w:val="18"/>
                          </w:rPr>
                          <w:t>If the load or force is between 2 and 10 kg.</w:t>
                        </w:r>
                      </w:p>
                    </w:tc>
                  </w:tr>
                  <w:tr>
                    <w:trPr>
                      <w:trHeight w:val="207" w:hRule="exact"/>
                    </w:trPr>
                    <w:tc>
                      <w:tcPr>
                        <w:tcW w:w="1374" w:type="dxa"/>
                        <w:tcBorders>
                          <w:top w:val="nil"/>
                          <w:bottom w:val="nil"/>
                          <w:right w:val="nil"/>
                        </w:tcBorders>
                      </w:tcPr>
                      <w:p>
                        <w:pPr/>
                      </w:p>
                    </w:tc>
                    <w:tc>
                      <w:tcPr>
                        <w:tcW w:w="3707" w:type="dxa"/>
                        <w:tcBorders>
                          <w:top w:val="nil"/>
                          <w:left w:val="nil"/>
                          <w:bottom w:val="nil"/>
                        </w:tcBorders>
                      </w:tcPr>
                      <w:p>
                        <w:pPr>
                          <w:pStyle w:val="TableParagraph"/>
                          <w:spacing w:line="198" w:lineRule="exact"/>
                          <w:ind w:left="334" w:right="409"/>
                          <w:rPr>
                            <w:sz w:val="18"/>
                          </w:rPr>
                        </w:pPr>
                        <w:r>
                          <w:rPr>
                            <w:sz w:val="18"/>
                          </w:rPr>
                          <w:t>and it is static and repetitive.</w:t>
                        </w:r>
                      </w:p>
                    </w:tc>
                  </w:tr>
                  <w:tr>
                    <w:trPr>
                      <w:trHeight w:val="207" w:hRule="exact"/>
                    </w:trPr>
                    <w:tc>
                      <w:tcPr>
                        <w:tcW w:w="1374" w:type="dxa"/>
                        <w:tcBorders>
                          <w:top w:val="nil"/>
                          <w:bottom w:val="nil"/>
                          <w:right w:val="nil"/>
                        </w:tcBorders>
                      </w:tcPr>
                      <w:p>
                        <w:pPr>
                          <w:pStyle w:val="TableParagraph"/>
                          <w:spacing w:line="197" w:lineRule="exact"/>
                          <w:ind w:left="215"/>
                          <w:jc w:val="center"/>
                          <w:rPr>
                            <w:sz w:val="18"/>
                          </w:rPr>
                        </w:pPr>
                        <w:r>
                          <w:rPr>
                            <w:sz w:val="18"/>
                          </w:rPr>
                          <w:t>2</w:t>
                        </w:r>
                      </w:p>
                    </w:tc>
                    <w:tc>
                      <w:tcPr>
                        <w:tcW w:w="3707" w:type="dxa"/>
                        <w:tcBorders>
                          <w:top w:val="nil"/>
                          <w:left w:val="nil"/>
                          <w:bottom w:val="nil"/>
                        </w:tcBorders>
                      </w:tcPr>
                      <w:p>
                        <w:pPr>
                          <w:pStyle w:val="TableParagraph"/>
                          <w:spacing w:line="197" w:lineRule="exact"/>
                          <w:ind w:left="335"/>
                          <w:rPr>
                            <w:sz w:val="18"/>
                          </w:rPr>
                        </w:pPr>
                        <w:r>
                          <w:rPr>
                            <w:sz w:val="18"/>
                          </w:rPr>
                          <w:t>If the load or force is intermittently and more</w:t>
                        </w:r>
                      </w:p>
                    </w:tc>
                  </w:tr>
                  <w:tr>
                    <w:trPr>
                      <w:trHeight w:val="207" w:hRule="exact"/>
                    </w:trPr>
                    <w:tc>
                      <w:tcPr>
                        <w:tcW w:w="1374" w:type="dxa"/>
                        <w:tcBorders>
                          <w:top w:val="nil"/>
                          <w:bottom w:val="nil"/>
                          <w:right w:val="nil"/>
                        </w:tcBorders>
                      </w:tcPr>
                      <w:p>
                        <w:pPr/>
                      </w:p>
                    </w:tc>
                    <w:tc>
                      <w:tcPr>
                        <w:tcW w:w="3707" w:type="dxa"/>
                        <w:tcBorders>
                          <w:top w:val="nil"/>
                          <w:left w:val="nil"/>
                          <w:bottom w:val="nil"/>
                        </w:tcBorders>
                      </w:tcPr>
                      <w:p>
                        <w:pPr>
                          <w:pStyle w:val="TableParagraph"/>
                          <w:spacing w:line="198" w:lineRule="exact"/>
                          <w:ind w:left="334" w:right="409"/>
                          <w:rPr>
                            <w:sz w:val="18"/>
                          </w:rPr>
                        </w:pPr>
                        <w:r>
                          <w:rPr>
                            <w:sz w:val="18"/>
                          </w:rPr>
                          <w:t>than 10 kg.</w:t>
                        </w:r>
                      </w:p>
                    </w:tc>
                  </w:tr>
                  <w:tr>
                    <w:trPr>
                      <w:trHeight w:val="206" w:hRule="exact"/>
                    </w:trPr>
                    <w:tc>
                      <w:tcPr>
                        <w:tcW w:w="1374" w:type="dxa"/>
                        <w:tcBorders>
                          <w:top w:val="nil"/>
                          <w:bottom w:val="nil"/>
                          <w:right w:val="nil"/>
                        </w:tcBorders>
                      </w:tcPr>
                      <w:p>
                        <w:pPr>
                          <w:pStyle w:val="TableParagraph"/>
                          <w:spacing w:line="197" w:lineRule="exact"/>
                          <w:ind w:left="215"/>
                          <w:jc w:val="center"/>
                          <w:rPr>
                            <w:sz w:val="18"/>
                          </w:rPr>
                        </w:pPr>
                        <w:r>
                          <w:rPr>
                            <w:sz w:val="18"/>
                          </w:rPr>
                          <w:t>3</w:t>
                        </w:r>
                      </w:p>
                    </w:tc>
                    <w:tc>
                      <w:tcPr>
                        <w:tcW w:w="3707" w:type="dxa"/>
                        <w:tcBorders>
                          <w:top w:val="nil"/>
                          <w:left w:val="nil"/>
                          <w:bottom w:val="nil"/>
                        </w:tcBorders>
                      </w:tcPr>
                      <w:p>
                        <w:pPr>
                          <w:pStyle w:val="TableParagraph"/>
                          <w:spacing w:line="197" w:lineRule="exact"/>
                          <w:ind w:left="335"/>
                          <w:rPr>
                            <w:sz w:val="18"/>
                          </w:rPr>
                        </w:pPr>
                        <w:r>
                          <w:rPr>
                            <w:sz w:val="18"/>
                          </w:rPr>
                          <w:t>If the load or force exceeds 10 kg, and is</w:t>
                        </w:r>
                      </w:p>
                    </w:tc>
                  </w:tr>
                  <w:tr>
                    <w:trPr>
                      <w:trHeight w:val="207" w:hRule="exact"/>
                    </w:trPr>
                    <w:tc>
                      <w:tcPr>
                        <w:tcW w:w="1374" w:type="dxa"/>
                        <w:tcBorders>
                          <w:top w:val="nil"/>
                          <w:bottom w:val="nil"/>
                          <w:right w:val="nil"/>
                        </w:tcBorders>
                      </w:tcPr>
                      <w:p>
                        <w:pPr/>
                      </w:p>
                    </w:tc>
                    <w:tc>
                      <w:tcPr>
                        <w:tcW w:w="3707" w:type="dxa"/>
                        <w:tcBorders>
                          <w:top w:val="nil"/>
                          <w:left w:val="nil"/>
                          <w:bottom w:val="nil"/>
                        </w:tcBorders>
                      </w:tcPr>
                      <w:p>
                        <w:pPr>
                          <w:pStyle w:val="TableParagraph"/>
                          <w:spacing w:line="197" w:lineRule="exact"/>
                          <w:ind w:left="334" w:right="409"/>
                          <w:rPr>
                            <w:sz w:val="18"/>
                          </w:rPr>
                        </w:pPr>
                        <w:r>
                          <w:rPr>
                            <w:sz w:val="18"/>
                          </w:rPr>
                          <w:t>static or repetitive.</w:t>
                        </w:r>
                      </w:p>
                    </w:tc>
                  </w:tr>
                  <w:tr>
                    <w:trPr>
                      <w:trHeight w:val="213" w:hRule="exact"/>
                    </w:trPr>
                    <w:tc>
                      <w:tcPr>
                        <w:tcW w:w="1374" w:type="dxa"/>
                        <w:tcBorders>
                          <w:top w:val="nil"/>
                          <w:right w:val="nil"/>
                        </w:tcBorders>
                      </w:tcPr>
                      <w:p>
                        <w:pPr>
                          <w:pStyle w:val="TableParagraph"/>
                          <w:spacing w:line="198" w:lineRule="exact"/>
                          <w:ind w:left="215"/>
                          <w:jc w:val="center"/>
                          <w:rPr>
                            <w:sz w:val="18"/>
                          </w:rPr>
                        </w:pPr>
                        <w:r>
                          <w:rPr>
                            <w:sz w:val="18"/>
                          </w:rPr>
                          <w:t>3</w:t>
                        </w:r>
                      </w:p>
                    </w:tc>
                    <w:tc>
                      <w:tcPr>
                        <w:tcW w:w="3707" w:type="dxa"/>
                        <w:tcBorders>
                          <w:top w:val="nil"/>
                          <w:left w:val="nil"/>
                        </w:tcBorders>
                      </w:tcPr>
                      <w:p>
                        <w:pPr>
                          <w:pStyle w:val="TableParagraph"/>
                          <w:spacing w:line="198" w:lineRule="exact"/>
                          <w:ind w:left="334"/>
                          <w:rPr>
                            <w:sz w:val="18"/>
                          </w:rPr>
                        </w:pPr>
                        <w:r>
                          <w:rPr>
                            <w:sz w:val="18"/>
                          </w:rPr>
                          <w:t>If shocks or sharp or sudden forces occur.</w:t>
                        </w:r>
                      </w:p>
                    </w:tc>
                  </w:tr>
                </w:tbl>
                <w:p>
                  <w:pPr>
                    <w:pStyle w:val="BodyText"/>
                  </w:pPr>
                </w:p>
              </w:txbxContent>
            </v:textbox>
            <w10:wrap type="none"/>
          </v:shape>
        </w:pict>
      </w:r>
      <w:r>
        <w:rPr>
          <w:b/>
          <w:sz w:val="18"/>
        </w:rPr>
        <w:t>Table 13.   </w:t>
      </w:r>
      <w:r>
        <w:rPr>
          <w:sz w:val="18"/>
        </w:rPr>
        <w:t>Type of muscular activity and the applied force</w:t>
      </w:r>
      <w:r>
        <w:rPr>
          <w:spacing w:val="-28"/>
          <w:sz w:val="18"/>
        </w:rPr>
        <w:t> </w:t>
      </w:r>
      <w:r>
        <w:rPr>
          <w:sz w:val="18"/>
        </w:rPr>
        <w:t>score</w:t>
      </w:r>
    </w:p>
    <w:p>
      <w:pPr>
        <w:spacing w:before="77"/>
        <w:ind w:left="387" w:right="706" w:firstLine="0"/>
        <w:jc w:val="left"/>
        <w:rPr>
          <w:sz w:val="18"/>
        </w:rPr>
      </w:pPr>
      <w:r>
        <w:rPr/>
        <w:br w:type="column"/>
      </w:r>
      <w:r>
        <w:rPr>
          <w:sz w:val="18"/>
        </w:rPr>
        <w:t>You can see that in Group A adopted postures of greatest risk are  in the area of the arm and</w:t>
      </w:r>
      <w:r>
        <w:rPr>
          <w:spacing w:val="-9"/>
          <w:sz w:val="18"/>
        </w:rPr>
        <w:t> </w:t>
      </w:r>
      <w:r>
        <w:rPr>
          <w:sz w:val="18"/>
        </w:rPr>
        <w:t>wrist.</w:t>
      </w:r>
    </w:p>
    <w:p>
      <w:pPr>
        <w:spacing w:before="0"/>
        <w:ind w:left="387" w:right="676" w:firstLine="430"/>
        <w:jc w:val="both"/>
        <w:rPr>
          <w:sz w:val="18"/>
        </w:rPr>
      </w:pPr>
      <w:r>
        <w:rPr>
          <w:sz w:val="18"/>
        </w:rPr>
        <w:t>In Group B adopted postures of greatest risk are found  mainly in the trunk which tells us that in those areas necessary to make changes to avoid future</w:t>
      </w:r>
      <w:r>
        <w:rPr>
          <w:spacing w:val="-8"/>
          <w:sz w:val="18"/>
        </w:rPr>
        <w:t> </w:t>
      </w:r>
      <w:r>
        <w:rPr>
          <w:sz w:val="18"/>
        </w:rPr>
        <w:t>injury.</w:t>
      </w:r>
    </w:p>
    <w:p>
      <w:pPr>
        <w:spacing w:before="0"/>
        <w:ind w:left="387" w:right="676" w:firstLine="430"/>
        <w:jc w:val="both"/>
        <w:rPr>
          <w:sz w:val="18"/>
        </w:rPr>
      </w:pPr>
      <w:r>
        <w:rPr>
          <w:sz w:val="18"/>
        </w:rPr>
        <w:t>The image below shows the final results and score of each of the positions of the members of the operator. See Figure 9.</w:t>
      </w:r>
    </w:p>
    <w:p>
      <w:pPr>
        <w:spacing w:after="0"/>
        <w:jc w:val="both"/>
        <w:rPr>
          <w:sz w:val="18"/>
        </w:rPr>
        <w:sectPr>
          <w:type w:val="continuous"/>
          <w:pgSz w:w="12240" w:h="15840"/>
          <w:pgMar w:top="1500" w:bottom="280" w:left="580" w:right="220"/>
          <w:cols w:num="2" w:equalWidth="0">
            <w:col w:w="5070" w:space="438"/>
            <w:col w:w="5932"/>
          </w:cols>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19"/>
        </w:rPr>
      </w:pPr>
    </w:p>
    <w:p>
      <w:pPr>
        <w:spacing w:after="0"/>
        <w:rPr>
          <w:sz w:val="19"/>
        </w:rPr>
        <w:sectPr>
          <w:type w:val="continuous"/>
          <w:pgSz w:w="12240" w:h="15840"/>
          <w:pgMar w:top="1500" w:bottom="280" w:left="580" w:right="220"/>
        </w:sectPr>
      </w:pPr>
    </w:p>
    <w:p>
      <w:pPr>
        <w:spacing w:before="77"/>
        <w:ind w:left="270" w:right="0" w:firstLine="0"/>
        <w:jc w:val="both"/>
        <w:rPr>
          <w:sz w:val="18"/>
        </w:rPr>
      </w:pPr>
      <w:r>
        <w:rPr>
          <w:sz w:val="18"/>
        </w:rPr>
        <w:t>The final result was obtained from scores of C and D. See table 14.</w:t>
      </w:r>
    </w:p>
    <w:p>
      <w:pPr>
        <w:pStyle w:val="BodyText"/>
        <w:rPr>
          <w:sz w:val="18"/>
        </w:rPr>
      </w:pPr>
    </w:p>
    <w:p>
      <w:pPr>
        <w:spacing w:before="0"/>
        <w:ind w:left="270" w:right="1" w:firstLine="0"/>
        <w:jc w:val="center"/>
        <w:rPr>
          <w:sz w:val="18"/>
        </w:rPr>
      </w:pPr>
      <w:r>
        <w:rPr>
          <w:b/>
          <w:sz w:val="18"/>
        </w:rPr>
        <w:t>Table 14. </w:t>
      </w:r>
      <w:r>
        <w:rPr>
          <w:sz w:val="18"/>
        </w:rPr>
        <w:t>Final result.</w:t>
      </w:r>
    </w:p>
    <w:p>
      <w:pPr>
        <w:pStyle w:val="BodyText"/>
        <w:ind w:left="404"/>
      </w:pPr>
      <w:r>
        <w:rPr/>
        <w:drawing>
          <wp:inline distT="0" distB="0" distL="0" distR="0">
            <wp:extent cx="2835475" cy="1767839"/>
            <wp:effectExtent l="0" t="0" r="0" b="0"/>
            <wp:docPr id="341" name="image199.jpeg" descr=""/>
            <wp:cNvGraphicFramePr>
              <a:graphicFrameLocks noChangeAspect="1"/>
            </wp:cNvGraphicFramePr>
            <a:graphic>
              <a:graphicData uri="http://schemas.openxmlformats.org/drawingml/2006/picture">
                <pic:pic>
                  <pic:nvPicPr>
                    <pic:cNvPr id="342" name="image199.jpeg"/>
                    <pic:cNvPicPr/>
                  </pic:nvPicPr>
                  <pic:blipFill>
                    <a:blip r:embed="rId317" cstate="print"/>
                    <a:stretch>
                      <a:fillRect/>
                    </a:stretch>
                  </pic:blipFill>
                  <pic:spPr>
                    <a:xfrm>
                      <a:off x="0" y="0"/>
                      <a:ext cx="2835475" cy="1767839"/>
                    </a:xfrm>
                    <a:prstGeom prst="rect">
                      <a:avLst/>
                    </a:prstGeom>
                  </pic:spPr>
                </pic:pic>
              </a:graphicData>
            </a:graphic>
          </wp:inline>
        </w:drawing>
      </w:r>
      <w:r>
        <w:rPr/>
      </w:r>
    </w:p>
    <w:p>
      <w:pPr>
        <w:pStyle w:val="BodyText"/>
        <w:rPr>
          <w:sz w:val="18"/>
        </w:rPr>
      </w:pPr>
    </w:p>
    <w:p>
      <w:pPr>
        <w:pStyle w:val="ListParagraph"/>
        <w:numPr>
          <w:ilvl w:val="1"/>
          <w:numId w:val="75"/>
        </w:numPr>
        <w:tabs>
          <w:tab w:pos="565" w:val="left" w:leader="none"/>
        </w:tabs>
        <w:spacing w:line="240" w:lineRule="auto" w:before="117" w:after="0"/>
        <w:ind w:left="270" w:right="1" w:firstLine="0"/>
        <w:jc w:val="both"/>
        <w:rPr>
          <w:b/>
          <w:sz w:val="18"/>
        </w:rPr>
      </w:pPr>
      <w:r>
        <w:rPr>
          <w:b/>
          <w:sz w:val="18"/>
        </w:rPr>
        <w:t>THE SCORE END OF THE METHOD AND LEVEL OF ACTION TO DETERMINE THE EXISTENCE OF</w:t>
      </w:r>
      <w:r>
        <w:rPr>
          <w:b/>
          <w:spacing w:val="-28"/>
          <w:sz w:val="18"/>
        </w:rPr>
        <w:t> </w:t>
      </w:r>
      <w:r>
        <w:rPr>
          <w:b/>
          <w:sz w:val="18"/>
        </w:rPr>
        <w:t>RISK.</w:t>
      </w:r>
    </w:p>
    <w:p>
      <w:pPr>
        <w:pStyle w:val="BodyText"/>
        <w:spacing w:before="7"/>
        <w:rPr>
          <w:b/>
          <w:sz w:val="17"/>
        </w:rPr>
      </w:pPr>
    </w:p>
    <w:p>
      <w:pPr>
        <w:spacing w:before="1"/>
        <w:ind w:left="270" w:right="0" w:firstLine="0"/>
        <w:jc w:val="both"/>
        <w:rPr>
          <w:sz w:val="18"/>
        </w:rPr>
      </w:pPr>
      <w:r>
        <w:rPr/>
        <w:pict>
          <v:shape style="position:absolute;margin-left:44.939999pt;margin-top:55.372028pt;width:247.7pt;height:177.45pt;mso-position-horizontal-relative:page;mso-position-vertical-relative:paragraph;z-index:-870016" type="#_x0000_t202" filled="false" stroked="false">
            <v:textbox inset="0,0,0,0">
              <w:txbxContent>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spacing w:before="135"/>
                    <w:ind w:left="1089" w:right="0" w:firstLine="0"/>
                    <w:jc w:val="left"/>
                    <w:rPr>
                      <w:sz w:val="18"/>
                    </w:rPr>
                  </w:pPr>
                  <w:r>
                    <w:rPr>
                      <w:b/>
                      <w:sz w:val="18"/>
                    </w:rPr>
                    <w:t>Figure 8. </w:t>
                  </w:r>
                  <w:r>
                    <w:rPr>
                      <w:sz w:val="18"/>
                    </w:rPr>
                    <w:t>Field sheet RULA method</w:t>
                  </w:r>
                </w:p>
              </w:txbxContent>
            </v:textbox>
            <w10:wrap type="none"/>
          </v:shape>
        </w:pict>
      </w:r>
      <w:r>
        <w:rPr/>
        <w:pict>
          <v:group style="position:absolute;margin-left:44.564999pt;margin-top:54.937027pt;width:248.45pt;height:178.25pt;mso-position-horizontal-relative:page;mso-position-vertical-relative:paragraph;z-index:8848" coordorigin="891,1099" coordsize="4969,3565">
            <v:rect style="position:absolute;left:899;top:1107;width:4954;height:3548" filled="true" fillcolor="#ffffff" stroked="false">
              <v:fill type="solid"/>
            </v:rect>
            <v:rect style="position:absolute;left:899;top:1106;width:4954;height:3550" filled="false" stroked="true" strokeweight=".75pt" strokecolor="#000000"/>
            <v:shape style="position:absolute;left:1164;top:1187;width:4428;height:3389" type="#_x0000_t75" stroked="false">
              <v:imagedata r:id="rId318" o:title=""/>
            </v:shape>
            <w10:wrap type="none"/>
          </v:group>
        </w:pict>
      </w:r>
      <w:r>
        <w:rPr>
          <w:sz w:val="18"/>
        </w:rPr>
        <w:t>Given in table C final score was 5-point determined as well that the job is risk for the operator and need a redesign of the task, modifying it so that the operator does not suffer further injury. The results are presented in Figure 8 field sheet.</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2"/>
        <w:rPr>
          <w:sz w:val="18"/>
        </w:rPr>
      </w:pPr>
    </w:p>
    <w:p>
      <w:pPr>
        <w:spacing w:before="0"/>
        <w:ind w:left="270" w:right="0" w:firstLine="0"/>
        <w:jc w:val="both"/>
        <w:rPr>
          <w:b/>
          <w:sz w:val="18"/>
        </w:rPr>
      </w:pPr>
      <w:r>
        <w:rPr>
          <w:b/>
          <w:sz w:val="18"/>
        </w:rPr>
        <w:t>Review scores from the different parts of the body to determine where it is necessary to apply corrections.</w:t>
      </w:r>
    </w:p>
    <w:p>
      <w:pPr>
        <w:pStyle w:val="BodyText"/>
        <w:rPr>
          <w:b/>
          <w:sz w:val="18"/>
        </w:rPr>
      </w:pPr>
      <w:r>
        <w:rPr/>
        <w:br w:type="column"/>
      </w:r>
      <w:r>
        <w:rPr>
          <w:b/>
          <w:sz w:val="18"/>
        </w:rPr>
      </w:r>
    </w:p>
    <w:p>
      <w:pPr>
        <w:pStyle w:val="BodyText"/>
        <w:rPr>
          <w:b/>
          <w:sz w:val="18"/>
        </w:rPr>
      </w:pPr>
    </w:p>
    <w:p>
      <w:pPr>
        <w:pStyle w:val="BodyText"/>
        <w:rPr>
          <w:b/>
          <w:sz w:val="18"/>
        </w:rPr>
      </w:pPr>
    </w:p>
    <w:p>
      <w:pPr>
        <w:pStyle w:val="BodyText"/>
        <w:rPr>
          <w:b/>
          <w:sz w:val="18"/>
        </w:rPr>
      </w:pPr>
    </w:p>
    <w:p>
      <w:pPr>
        <w:pStyle w:val="BodyText"/>
        <w:rPr>
          <w:b/>
          <w:sz w:val="18"/>
        </w:rPr>
      </w:pPr>
    </w:p>
    <w:p>
      <w:pPr>
        <w:pStyle w:val="BodyText"/>
        <w:rPr>
          <w:b/>
          <w:sz w:val="18"/>
        </w:rPr>
      </w:pPr>
    </w:p>
    <w:p>
      <w:pPr>
        <w:pStyle w:val="BodyText"/>
        <w:rPr>
          <w:b/>
          <w:sz w:val="18"/>
        </w:rPr>
      </w:pPr>
    </w:p>
    <w:p>
      <w:pPr>
        <w:pStyle w:val="BodyText"/>
        <w:spacing w:before="3"/>
        <w:rPr>
          <w:b/>
        </w:rPr>
      </w:pPr>
    </w:p>
    <w:p>
      <w:pPr>
        <w:spacing w:before="0"/>
        <w:ind w:left="270" w:right="677" w:firstLine="0"/>
        <w:jc w:val="both"/>
        <w:rPr>
          <w:sz w:val="18"/>
        </w:rPr>
      </w:pPr>
      <w:r>
        <w:rPr/>
        <w:pict>
          <v:shape style="position:absolute;margin-left:326.160004pt;margin-top:-160.198547pt;width:244.05pt;height:148.7pt;mso-position-horizontal-relative:page;mso-position-vertical-relative:paragraph;z-index:-869992" type="#_x0000_t202" filled="false" stroked="false">
            <v:textbox inset="0,0,0,0">
              <w:txbxContent>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7"/>
                    <w:rPr>
                      <w:sz w:val="26"/>
                    </w:rPr>
                  </w:pPr>
                </w:p>
                <w:p>
                  <w:pPr>
                    <w:spacing w:before="0"/>
                    <w:ind w:left="1052" w:right="0" w:firstLine="0"/>
                    <w:jc w:val="left"/>
                    <w:rPr>
                      <w:sz w:val="18"/>
                    </w:rPr>
                  </w:pPr>
                  <w:r>
                    <w:rPr>
                      <w:b/>
                      <w:sz w:val="18"/>
                    </w:rPr>
                    <w:t>Figure 9. </w:t>
                  </w:r>
                  <w:r>
                    <w:rPr>
                      <w:sz w:val="18"/>
                    </w:rPr>
                    <w:t>Final results of the method</w:t>
                  </w:r>
                </w:p>
              </w:txbxContent>
            </v:textbox>
            <w10:wrap type="none"/>
          </v:shape>
        </w:pict>
      </w:r>
      <w:r>
        <w:rPr/>
        <w:pict>
          <v:group style="position:absolute;margin-left:325.785004pt;margin-top:-160.573547pt;width:244.75pt;height:149.450pt;mso-position-horizontal-relative:page;mso-position-vertical-relative:paragraph;z-index:8872" coordorigin="6516,-3211" coordsize="4895,2989">
            <v:rect style="position:absolute;left:6523;top:-3204;width:4880;height:2974" filled="true" fillcolor="#ffffff" stroked="false">
              <v:fill type="solid"/>
            </v:rect>
            <v:rect style="position:absolute;left:6523;top:-3204;width:4879;height:2974" filled="false" stroked="true" strokeweight=".75pt" strokecolor="#000000"/>
            <v:shape style="position:absolute;left:6676;top:-3125;width:4720;height:2814" type="#_x0000_t75" stroked="false">
              <v:imagedata r:id="rId319" o:title=""/>
            </v:shape>
            <w10:wrap type="none"/>
          </v:group>
        </w:pict>
      </w:r>
      <w:r>
        <w:rPr>
          <w:sz w:val="18"/>
        </w:rPr>
        <w:t>To correct the risks that have been given in this analysis it is necessary to redesign job adapting machinery to anthropometric measures of increasing the height of this and worker placing better lighting to prevent visual and body worker effort.</w:t>
      </w:r>
    </w:p>
    <w:p>
      <w:pPr>
        <w:pStyle w:val="BodyText"/>
        <w:spacing w:before="3"/>
        <w:rPr>
          <w:sz w:val="18"/>
        </w:rPr>
      </w:pPr>
    </w:p>
    <w:p>
      <w:pPr>
        <w:pStyle w:val="ListParagraph"/>
        <w:numPr>
          <w:ilvl w:val="0"/>
          <w:numId w:val="71"/>
        </w:numPr>
        <w:tabs>
          <w:tab w:pos="452" w:val="left" w:leader="none"/>
        </w:tabs>
        <w:spacing w:line="240" w:lineRule="auto" w:before="0" w:after="0"/>
        <w:ind w:left="451" w:right="0" w:hanging="181"/>
        <w:jc w:val="both"/>
        <w:rPr>
          <w:b/>
          <w:sz w:val="18"/>
        </w:rPr>
      </w:pPr>
      <w:r>
        <w:rPr>
          <w:b/>
          <w:sz w:val="18"/>
        </w:rPr>
        <w:t>CONCLUSIONS AND</w:t>
      </w:r>
      <w:r>
        <w:rPr>
          <w:b/>
          <w:spacing w:val="-23"/>
          <w:sz w:val="18"/>
        </w:rPr>
        <w:t> </w:t>
      </w:r>
      <w:r>
        <w:rPr>
          <w:b/>
          <w:sz w:val="18"/>
        </w:rPr>
        <w:t>RECOMMENDATIONS</w:t>
      </w:r>
    </w:p>
    <w:p>
      <w:pPr>
        <w:pStyle w:val="BodyText"/>
        <w:spacing w:before="7"/>
        <w:rPr>
          <w:b/>
          <w:sz w:val="17"/>
        </w:rPr>
      </w:pPr>
    </w:p>
    <w:p>
      <w:pPr>
        <w:spacing w:before="1"/>
        <w:ind w:left="270" w:right="676" w:firstLine="0"/>
        <w:jc w:val="both"/>
        <w:rPr>
          <w:sz w:val="18"/>
        </w:rPr>
      </w:pPr>
      <w:r>
        <w:rPr>
          <w:sz w:val="18"/>
        </w:rPr>
        <w:t>Assessments carried out in the selected jobs resulted in levels of postural loads to which they are exposed workers of the company, in conjunction with the results of the factors evaluated in direct observations to operators. Through the application of the method, we can conclude that evaluated ergonomic risks exposure level was 5, he tells us that there is a great risk in postural load exerted by the operator at the workplace of felons to pump. To correct the risks that have been given in this analysis it is necessary to redesign job adapting machinery to anthropometric measures of increasing the height of this and worker placing better lighting to prevent visual and body worker effort.</w:t>
      </w:r>
    </w:p>
    <w:p>
      <w:pPr>
        <w:spacing w:before="0"/>
        <w:ind w:left="270" w:right="678" w:firstLine="430"/>
        <w:jc w:val="both"/>
        <w:rPr>
          <w:sz w:val="18"/>
        </w:rPr>
      </w:pPr>
      <w:r>
        <w:rPr>
          <w:sz w:val="18"/>
        </w:rPr>
        <w:t>Risk factors of muscle disorders associated with  postural load exerted in these areas of work are: repetition, static postures and lack of better lighting.</w:t>
      </w:r>
    </w:p>
    <w:p>
      <w:pPr>
        <w:spacing w:before="0"/>
        <w:ind w:left="270" w:right="677" w:firstLine="430"/>
        <w:jc w:val="both"/>
        <w:rPr>
          <w:sz w:val="18"/>
        </w:rPr>
      </w:pPr>
      <w:r>
        <w:rPr>
          <w:sz w:val="18"/>
        </w:rPr>
        <w:t>It must be a redesign at the workplace of the operator since it performed repetitive activities, which can cause permanent damage but this has not been presented yet and thus prevent future injury to other workers.</w:t>
      </w:r>
    </w:p>
    <w:p>
      <w:pPr>
        <w:pStyle w:val="BodyText"/>
        <w:spacing w:before="3"/>
        <w:rPr>
          <w:sz w:val="18"/>
        </w:rPr>
      </w:pPr>
    </w:p>
    <w:p>
      <w:pPr>
        <w:pStyle w:val="ListParagraph"/>
        <w:numPr>
          <w:ilvl w:val="0"/>
          <w:numId w:val="71"/>
        </w:numPr>
        <w:tabs>
          <w:tab w:pos="452" w:val="left" w:leader="none"/>
        </w:tabs>
        <w:spacing w:line="205" w:lineRule="exact" w:before="0" w:after="0"/>
        <w:ind w:left="451" w:right="0" w:hanging="181"/>
        <w:jc w:val="both"/>
        <w:rPr>
          <w:b/>
          <w:sz w:val="18"/>
        </w:rPr>
      </w:pPr>
      <w:r>
        <w:rPr>
          <w:b/>
          <w:sz w:val="18"/>
        </w:rPr>
        <w:t>REFERENCES</w:t>
      </w:r>
    </w:p>
    <w:p>
      <w:pPr>
        <w:tabs>
          <w:tab w:pos="1271" w:val="left" w:leader="none"/>
          <w:tab w:pos="2681" w:val="left" w:leader="none"/>
          <w:tab w:pos="3732" w:val="left" w:leader="none"/>
          <w:tab w:pos="4965" w:val="left" w:leader="none"/>
        </w:tabs>
        <w:spacing w:line="240" w:lineRule="auto" w:before="0"/>
        <w:ind w:left="270" w:right="677" w:firstLine="44"/>
        <w:jc w:val="left"/>
        <w:rPr>
          <w:sz w:val="18"/>
        </w:rPr>
      </w:pPr>
      <w:r>
        <w:rPr>
          <w:sz w:val="18"/>
        </w:rPr>
        <w:t>[1] Michael McCann, Metalurgia y metalistería, Recuperado el 13 de</w:t>
        <w:tab/>
        <w:t>Octubre</w:t>
        <w:tab/>
        <w:t>del</w:t>
        <w:tab/>
        <w:t>2013,</w:t>
        <w:tab/>
        <w:t>de </w:t>
      </w:r>
      <w:hyperlink r:id="rId320">
        <w:r>
          <w:rPr>
            <w:sz w:val="18"/>
          </w:rPr>
          <w:t>http://www.insht.es/InshtWeb/Contenidos/Documentacion/Textos</w:t>
        </w:r>
      </w:hyperlink>
      <w:r>
        <w:rPr>
          <w:sz w:val="18"/>
        </w:rPr>
        <w:t> Online/EnciclopediaOIT/tomo3/82.pdf</w:t>
      </w:r>
    </w:p>
    <w:p>
      <w:pPr>
        <w:spacing w:before="0"/>
        <w:ind w:left="270" w:right="677" w:firstLine="0"/>
        <w:jc w:val="left"/>
        <w:rPr>
          <w:sz w:val="18"/>
        </w:rPr>
      </w:pPr>
      <w:r>
        <w:rPr>
          <w:sz w:val="18"/>
        </w:rPr>
        <w:t>[2] (2009). Recuperado el 29 de Octubre de 2013, de </w:t>
      </w:r>
      <w:hyperlink r:id="rId321">
        <w:r>
          <w:rPr>
            <w:sz w:val="18"/>
          </w:rPr>
          <w:t>http://juarez.academiajournals.com/downloads/Juarez07-964-</w:t>
        </w:r>
      </w:hyperlink>
      <w:r>
        <w:rPr>
          <w:sz w:val="18"/>
        </w:rPr>
        <w:t> end.pdf</w:t>
      </w:r>
    </w:p>
    <w:p>
      <w:pPr>
        <w:spacing w:before="0"/>
        <w:ind w:left="270" w:right="677" w:firstLine="0"/>
        <w:jc w:val="both"/>
        <w:rPr>
          <w:sz w:val="18"/>
        </w:rPr>
      </w:pPr>
      <w:r>
        <w:rPr>
          <w:sz w:val="18"/>
        </w:rPr>
        <w:t>[3] Asociación Española de Ergonomía. (2011). </w:t>
      </w:r>
      <w:r>
        <w:rPr>
          <w:i/>
          <w:sz w:val="18"/>
        </w:rPr>
        <w:t>ergonomos.es</w:t>
      </w:r>
      <w:r>
        <w:rPr>
          <w:sz w:val="18"/>
        </w:rPr>
        <w:t>. Recuperado el 30 de Octubre de 2013, de ergonomos.es: </w:t>
      </w:r>
      <w:hyperlink r:id="rId322">
        <w:r>
          <w:rPr>
            <w:sz w:val="18"/>
          </w:rPr>
          <w:t>http://www.ergonomos.es/ergonomia.php</w:t>
        </w:r>
      </w:hyperlink>
    </w:p>
    <w:p>
      <w:pPr>
        <w:spacing w:before="0"/>
        <w:ind w:left="270" w:right="677" w:firstLine="0"/>
        <w:jc w:val="both"/>
        <w:rPr>
          <w:sz w:val="18"/>
        </w:rPr>
      </w:pPr>
      <w:r>
        <w:rPr>
          <w:sz w:val="18"/>
        </w:rPr>
        <w:t>[4] Fernando Javier Vázquez Cabrera, Riesgos ergonómicos en las operaciones de en tutorado de cultivos en invernadero y propuesta de solución, Editorial Visión Libros, pp.47-48.</w:t>
      </w:r>
    </w:p>
    <w:p>
      <w:pPr>
        <w:spacing w:after="0"/>
        <w:jc w:val="both"/>
        <w:rPr>
          <w:sz w:val="18"/>
        </w:rPr>
        <w:sectPr>
          <w:type w:val="continuous"/>
          <w:pgSz w:w="12240" w:h="15840"/>
          <w:pgMar w:top="1500" w:bottom="280" w:left="580" w:right="220"/>
          <w:cols w:num="2" w:equalWidth="0">
            <w:col w:w="5189" w:space="436"/>
            <w:col w:w="5815"/>
          </w:cols>
        </w:sectPr>
      </w:pPr>
    </w:p>
    <w:p>
      <w:pPr>
        <w:pStyle w:val="BodyText"/>
        <w:rPr>
          <w:sz w:val="11"/>
        </w:rPr>
      </w:pPr>
    </w:p>
    <w:p>
      <w:pPr>
        <w:spacing w:before="77"/>
        <w:ind w:left="270" w:right="6249" w:firstLine="0"/>
        <w:jc w:val="both"/>
        <w:rPr>
          <w:sz w:val="18"/>
        </w:rPr>
      </w:pPr>
      <w:r>
        <w:rPr>
          <w:sz w:val="18"/>
        </w:rPr>
        <w:t>[5] Sabina Asensio-Cuesta, Metodología para la generación de agendas de rotación de puestos de trabajo desde un enfoque ergonómico mediante algoritmos evolutivos, VALENCIA, Abril 2009, Recuperado el 12 de Noviembre de 2013, de https://riunet.upv.es/bitstream/handle/10251/6287/tesisUPV3088.pd f?sequence=1</w:t>
      </w:r>
    </w:p>
    <w:p>
      <w:pPr>
        <w:spacing w:before="0"/>
        <w:ind w:left="270" w:right="6249" w:firstLine="0"/>
        <w:jc w:val="both"/>
        <w:rPr>
          <w:sz w:val="18"/>
        </w:rPr>
      </w:pPr>
      <w:r>
        <w:rPr>
          <w:sz w:val="18"/>
        </w:rPr>
        <w:t>[6] Sabina Asensio-Cuesta,María José Bastante Ceca,J. Antonio Diego Más, EVALUACIÓN ERGONÓMICA DE PUESTOS    DE</w:t>
      </w:r>
    </w:p>
    <w:p>
      <w:pPr>
        <w:spacing w:before="0"/>
        <w:ind w:left="270" w:right="6249" w:firstLine="0"/>
        <w:jc w:val="both"/>
        <w:rPr>
          <w:sz w:val="18"/>
        </w:rPr>
      </w:pPr>
      <w:r>
        <w:rPr>
          <w:sz w:val="18"/>
        </w:rPr>
        <w:t>TRABAJO, Editorial Paraninfo, 1° Edición, - 350 páginas, pp. 53- 83, 2012.</w:t>
      </w:r>
    </w:p>
    <w:p>
      <w:pPr>
        <w:tabs>
          <w:tab w:pos="1549" w:val="left" w:leader="none"/>
          <w:tab w:pos="2219" w:val="left" w:leader="none"/>
          <w:tab w:pos="3178" w:val="left" w:leader="none"/>
          <w:tab w:pos="3927" w:val="left" w:leader="none"/>
          <w:tab w:pos="4636" w:val="left" w:leader="none"/>
        </w:tabs>
        <w:spacing w:before="0"/>
        <w:ind w:left="270" w:right="6249" w:firstLine="0"/>
        <w:jc w:val="both"/>
        <w:rPr>
          <w:sz w:val="18"/>
        </w:rPr>
      </w:pPr>
      <w:r>
        <w:rPr>
          <w:sz w:val="18"/>
        </w:rPr>
        <w:t>[7] Autogestión de seguridad y salud en el trabajo. (2012). Recuperado el 21 de Noviembre de 2012, de Autogestión de seguridad</w:t>
        <w:tab/>
        <w:t>y</w:t>
        <w:tab/>
        <w:t>salud</w:t>
        <w:tab/>
        <w:t>en</w:t>
        <w:tab/>
        <w:t>el</w:t>
        <w:tab/>
        <w:t>trabajo: http://autogestion.stps.gob.mx:8162/estadistica.aspx</w:t>
      </w:r>
    </w:p>
    <w:p>
      <w:pPr>
        <w:spacing w:before="0"/>
        <w:ind w:left="270" w:right="6251" w:firstLine="0"/>
        <w:jc w:val="both"/>
        <w:rPr>
          <w:sz w:val="18"/>
        </w:rPr>
      </w:pPr>
      <w:r>
        <w:rPr>
          <w:sz w:val="18"/>
        </w:rPr>
        <w:t>[8] Asociación Española de Ergonomía. (2011). </w:t>
      </w:r>
      <w:r>
        <w:rPr>
          <w:i/>
          <w:sz w:val="18"/>
        </w:rPr>
        <w:t>ergonomos.es</w:t>
      </w:r>
      <w:r>
        <w:rPr>
          <w:sz w:val="18"/>
        </w:rPr>
        <w:t>. Recuperado el 30 de Octubre de 2013, de ergonomos.es: </w:t>
      </w:r>
      <w:hyperlink r:id="rId322">
        <w:r>
          <w:rPr>
            <w:sz w:val="18"/>
          </w:rPr>
          <w:t>http://www.ergonomos.es/ergonomia.php</w:t>
        </w:r>
      </w:hyperlink>
    </w:p>
    <w:p>
      <w:pPr>
        <w:spacing w:before="0"/>
        <w:ind w:left="270" w:right="6446" w:firstLine="0"/>
        <w:jc w:val="left"/>
        <w:rPr>
          <w:sz w:val="18"/>
        </w:rPr>
      </w:pPr>
      <w:r>
        <w:rPr>
          <w:sz w:val="18"/>
        </w:rPr>
        <w:t>[9] Padrón, I. C. (Febrero de 2010). Recuperado el 29 de Octubre de 2013, de </w:t>
      </w:r>
      <w:hyperlink r:id="rId303">
        <w:r>
          <w:rPr>
            <w:sz w:val="18"/>
          </w:rPr>
          <w:t>http://biblo.una.edu.ve/docu.7/bases/marc/texto/t36881.pdf</w:t>
        </w:r>
      </w:hyperlink>
    </w:p>
    <w:p>
      <w:pPr>
        <w:spacing w:before="0"/>
        <w:ind w:left="270" w:right="6251" w:firstLine="0"/>
        <w:jc w:val="both"/>
        <w:rPr>
          <w:sz w:val="18"/>
        </w:rPr>
      </w:pPr>
      <w:r>
        <w:rPr>
          <w:sz w:val="18"/>
        </w:rPr>
        <w:t>[10] Niebel W. Benjamín. Ingeniería Industrial Métodos, Tiempos y Movimientos, Novena edición, ED. Alfa Omega, pp. 1996.</w:t>
      </w:r>
    </w:p>
    <w:p>
      <w:pPr>
        <w:pStyle w:val="BodyText"/>
        <w:rPr>
          <w:sz w:val="18"/>
        </w:rPr>
      </w:pPr>
    </w:p>
    <w:p>
      <w:pPr>
        <w:pStyle w:val="BodyText"/>
        <w:spacing w:before="10"/>
        <w:rPr>
          <w:sz w:val="17"/>
        </w:rPr>
      </w:pPr>
    </w:p>
    <w:p>
      <w:pPr>
        <w:spacing w:before="1"/>
        <w:ind w:left="270" w:right="0" w:firstLine="0"/>
        <w:jc w:val="both"/>
        <w:rPr>
          <w:sz w:val="18"/>
        </w:rPr>
      </w:pPr>
      <w:r>
        <w:rPr>
          <w:b/>
          <w:sz w:val="18"/>
        </w:rPr>
        <w:t>Principal author's name: </w:t>
      </w:r>
      <w:r>
        <w:rPr>
          <w:sz w:val="18"/>
        </w:rPr>
        <w:t>She is a industrial engineer student .</w:t>
      </w:r>
    </w:p>
    <w:p>
      <w:pPr>
        <w:spacing w:after="0"/>
        <w:jc w:val="both"/>
        <w:rPr>
          <w:sz w:val="18"/>
        </w:rPr>
        <w:sectPr>
          <w:pgSz w:w="12240" w:h="15840"/>
          <w:pgMar w:header="545" w:footer="852" w:top="1060" w:bottom="1040" w:left="580" w:right="220"/>
        </w:sectPr>
      </w:pPr>
    </w:p>
    <w:p>
      <w:pPr>
        <w:pStyle w:val="BodyText"/>
        <w:rPr>
          <w:sz w:val="11"/>
        </w:rPr>
      </w:pPr>
    </w:p>
    <w:p>
      <w:pPr>
        <w:spacing w:after="0"/>
        <w:rPr>
          <w:sz w:val="11"/>
        </w:rPr>
        <w:sectPr>
          <w:pgSz w:w="12240" w:h="15840"/>
          <w:pgMar w:header="545" w:footer="852" w:top="1060" w:bottom="1040" w:left="580" w:right="220"/>
        </w:sectPr>
      </w:pPr>
    </w:p>
    <w:p>
      <w:pPr>
        <w:pStyle w:val="BodyText"/>
        <w:spacing w:before="11"/>
        <w:rPr>
          <w:sz w:val="24"/>
        </w:rPr>
      </w:pPr>
    </w:p>
    <w:p>
      <w:pPr>
        <w:pStyle w:val="Heading1"/>
        <w:ind w:right="132"/>
      </w:pPr>
      <w:r>
        <w:rPr/>
        <w:t>A review of the ergonomic variables considered in the adoption and use of smart phones.</w:t>
      </w:r>
    </w:p>
    <w:p>
      <w:pPr>
        <w:spacing w:line="211" w:lineRule="auto" w:before="200"/>
        <w:ind w:left="270" w:right="19" w:firstLine="0"/>
        <w:jc w:val="both"/>
        <w:rPr>
          <w:i/>
          <w:sz w:val="18"/>
        </w:rPr>
      </w:pPr>
      <w:r>
        <w:rPr>
          <w:i/>
          <w:sz w:val="18"/>
        </w:rPr>
        <w:t>Edith Ivonne Martínez Salazar</w:t>
      </w:r>
      <w:r>
        <w:rPr>
          <w:position w:val="8"/>
          <w:sz w:val="12"/>
        </w:rPr>
        <w:t>a</w:t>
      </w:r>
      <w:r>
        <w:rPr>
          <w:i/>
          <w:sz w:val="18"/>
        </w:rPr>
        <w:t>, Juana Esmeralda Castillo </w:t>
      </w:r>
      <w:r>
        <w:rPr>
          <w:i/>
          <w:sz w:val="18"/>
        </w:rPr>
        <w:t>Hernández</w:t>
      </w:r>
      <w:r>
        <w:rPr>
          <w:position w:val="8"/>
          <w:sz w:val="12"/>
        </w:rPr>
        <w:t>b</w:t>
      </w:r>
      <w:r>
        <w:rPr>
          <w:i/>
          <w:sz w:val="18"/>
        </w:rPr>
        <w:t>, Jorge Alberto Gálvez Choy</w:t>
      </w:r>
      <w:r>
        <w:rPr>
          <w:position w:val="8"/>
          <w:sz w:val="12"/>
        </w:rPr>
        <w:t>c</w:t>
      </w:r>
      <w:r>
        <w:rPr>
          <w:i/>
          <w:sz w:val="18"/>
        </w:rPr>
        <w:t>, Valeria Treviño </w:t>
      </w:r>
      <w:r>
        <w:rPr>
          <w:i/>
          <w:sz w:val="18"/>
        </w:rPr>
        <w:t>Rodríguez </w:t>
      </w:r>
      <w:r>
        <w:rPr>
          <w:position w:val="8"/>
          <w:sz w:val="12"/>
        </w:rPr>
        <w:t>d</w:t>
      </w:r>
      <w:r>
        <w:rPr>
          <w:i/>
          <w:sz w:val="18"/>
        </w:rPr>
        <w:t>.</w:t>
      </w:r>
    </w:p>
    <w:p>
      <w:pPr>
        <w:pStyle w:val="BodyText"/>
        <w:spacing w:before="3"/>
        <w:rPr>
          <w:i/>
          <w:sz w:val="16"/>
        </w:rPr>
      </w:pPr>
    </w:p>
    <w:p>
      <w:pPr>
        <w:spacing w:before="0"/>
        <w:ind w:left="270" w:right="1" w:firstLine="0"/>
        <w:jc w:val="both"/>
        <w:rPr>
          <w:sz w:val="18"/>
        </w:rPr>
      </w:pPr>
      <w:r>
        <w:rPr>
          <w:position w:val="8"/>
          <w:sz w:val="12"/>
        </w:rPr>
        <w:t>a </w:t>
      </w:r>
      <w:r>
        <w:rPr>
          <w:sz w:val="18"/>
        </w:rPr>
        <w:t>Instituto Tecnológico de Cd. Madero, Departamento de Ingeniería Industrial. Av. 1 de mayo s/n Col. Los Mangos, C.P. 89440. Email: </w:t>
      </w:r>
      <w:hyperlink r:id="rId323">
        <w:r>
          <w:rPr>
            <w:sz w:val="18"/>
          </w:rPr>
          <w:t>iivone15@gmail.com.</w:t>
        </w:r>
      </w:hyperlink>
      <w:r>
        <w:rPr>
          <w:sz w:val="18"/>
        </w:rPr>
        <w:t> Cd. Madero., Tamaulipas, México.</w:t>
      </w:r>
    </w:p>
    <w:p>
      <w:pPr>
        <w:spacing w:line="206" w:lineRule="exact" w:before="4"/>
        <w:ind w:left="270" w:right="0" w:firstLine="0"/>
        <w:jc w:val="both"/>
        <w:rPr>
          <w:sz w:val="18"/>
        </w:rPr>
      </w:pPr>
      <w:r>
        <w:rPr>
          <w:position w:val="8"/>
          <w:sz w:val="12"/>
        </w:rPr>
        <w:t>b </w:t>
      </w:r>
      <w:r>
        <w:rPr>
          <w:sz w:val="18"/>
        </w:rPr>
        <w:t>Instituto Tecnológico de Cd. Madero, Departamento de Ingeniería Industrial. Av. 1 de mayo s/n Col. Los Mangos, C.P. 89440.  Email:</w:t>
      </w:r>
    </w:p>
    <w:p>
      <w:pPr>
        <w:spacing w:line="193" w:lineRule="exact" w:before="0"/>
        <w:ind w:left="270" w:right="0" w:firstLine="0"/>
        <w:jc w:val="both"/>
        <w:rPr>
          <w:sz w:val="18"/>
        </w:rPr>
      </w:pPr>
      <w:hyperlink r:id="rId324">
        <w:r>
          <w:rPr>
            <w:sz w:val="18"/>
          </w:rPr>
          <w:t>nita_esmeralda@hotmail.com.</w:t>
        </w:r>
      </w:hyperlink>
      <w:r>
        <w:rPr>
          <w:sz w:val="18"/>
        </w:rPr>
        <w:t> Cd. Madero., Tamaulipas, México..</w:t>
      </w:r>
    </w:p>
    <w:p>
      <w:pPr>
        <w:spacing w:line="219" w:lineRule="exact" w:before="0"/>
        <w:ind w:left="270" w:right="0" w:firstLine="0"/>
        <w:jc w:val="both"/>
        <w:rPr>
          <w:sz w:val="18"/>
        </w:rPr>
      </w:pPr>
      <w:r>
        <w:rPr>
          <w:position w:val="8"/>
          <w:sz w:val="12"/>
        </w:rPr>
        <w:t>c </w:t>
      </w:r>
      <w:r>
        <w:rPr>
          <w:sz w:val="18"/>
        </w:rPr>
        <w:t>Instituto Tecnológico de Cd. Madero, Departamento de  Ingeniería</w:t>
      </w:r>
    </w:p>
    <w:p>
      <w:pPr>
        <w:spacing w:before="0"/>
        <w:ind w:left="270" w:right="1" w:firstLine="0"/>
        <w:jc w:val="both"/>
        <w:rPr>
          <w:sz w:val="18"/>
        </w:rPr>
      </w:pPr>
      <w:r>
        <w:rPr>
          <w:sz w:val="18"/>
        </w:rPr>
        <w:t>Industrial. Av. 1 de mayo s/n Col. Los Mangos, C.P. 89440. Email: </w:t>
      </w:r>
      <w:hyperlink r:id="rId325">
        <w:r>
          <w:rPr>
            <w:sz w:val="18"/>
          </w:rPr>
          <w:t>jgalvez@itcm.edu.mx.</w:t>
        </w:r>
      </w:hyperlink>
      <w:r>
        <w:rPr>
          <w:sz w:val="18"/>
        </w:rPr>
        <w:t> Cd. Madero., Tamaulipas, México.</w:t>
      </w:r>
    </w:p>
    <w:p>
      <w:pPr>
        <w:spacing w:line="206" w:lineRule="exact" w:before="4"/>
        <w:ind w:left="270" w:right="0" w:firstLine="0"/>
        <w:jc w:val="both"/>
        <w:rPr>
          <w:sz w:val="18"/>
        </w:rPr>
      </w:pPr>
      <w:r>
        <w:rPr>
          <w:position w:val="8"/>
          <w:sz w:val="12"/>
        </w:rPr>
        <w:t>d </w:t>
      </w:r>
      <w:r>
        <w:rPr>
          <w:sz w:val="18"/>
        </w:rPr>
        <w:t>Instituto Tecnológico de Cd. Madero, Departamento de Ingeniería Industrial. Av. 1 de mayo s/n Col. Los Mangos, C.P. 89440.  Email:</w:t>
      </w:r>
    </w:p>
    <w:p>
      <w:pPr>
        <w:spacing w:line="205" w:lineRule="exact" w:before="0"/>
        <w:ind w:left="270" w:right="0" w:firstLine="0"/>
        <w:jc w:val="both"/>
        <w:rPr>
          <w:sz w:val="18"/>
        </w:rPr>
      </w:pPr>
      <w:hyperlink r:id="rId326">
        <w:r>
          <w:rPr>
            <w:sz w:val="18"/>
          </w:rPr>
          <w:t>alichan.ph@hotmail.com.</w:t>
        </w:r>
      </w:hyperlink>
      <w:r>
        <w:rPr>
          <w:sz w:val="18"/>
        </w:rPr>
        <w:t> Cd. Madero., Tamaulipas, México.</w:t>
      </w:r>
    </w:p>
    <w:p>
      <w:pPr>
        <w:spacing w:before="77"/>
        <w:ind w:left="270" w:right="676" w:firstLine="0"/>
        <w:jc w:val="both"/>
        <w:rPr>
          <w:i/>
          <w:sz w:val="18"/>
        </w:rPr>
      </w:pPr>
      <w:r>
        <w:rPr/>
        <w:br w:type="column"/>
      </w:r>
      <w:r>
        <w:rPr>
          <w:i/>
          <w:sz w:val="18"/>
        </w:rPr>
        <w:t>four hours or more using them. With this information it could be </w:t>
      </w:r>
      <w:r>
        <w:rPr>
          <w:i/>
          <w:sz w:val="18"/>
        </w:rPr>
        <w:t>demonstrated that participants perform practices that have generated them discomfort and are prone to diseases like WhatsAppitis or Text Neck. Furthermore, our research shows that the proportional ratio between hand and smartphone size, ergonomics and design issues are not the main issues considered  at the time of buying a new smartphone. People ignore these relevant issues and consider mainly novelty and technology over their own</w:t>
      </w:r>
      <w:r>
        <w:rPr>
          <w:i/>
          <w:spacing w:val="-4"/>
          <w:sz w:val="18"/>
        </w:rPr>
        <w:t> </w:t>
      </w:r>
      <w:r>
        <w:rPr>
          <w:i/>
          <w:sz w:val="18"/>
        </w:rPr>
        <w:t>comfort.</w:t>
      </w:r>
    </w:p>
    <w:p>
      <w:pPr>
        <w:pStyle w:val="BodyText"/>
        <w:rPr>
          <w:i/>
          <w:sz w:val="18"/>
        </w:rPr>
      </w:pPr>
    </w:p>
    <w:p>
      <w:pPr>
        <w:spacing w:before="0"/>
        <w:ind w:left="270" w:right="677" w:firstLine="0"/>
        <w:jc w:val="both"/>
        <w:rPr>
          <w:i/>
          <w:sz w:val="18"/>
        </w:rPr>
      </w:pPr>
      <w:r>
        <w:rPr>
          <w:b/>
          <w:i/>
          <w:sz w:val="18"/>
        </w:rPr>
        <w:t>Keywords</w:t>
      </w:r>
      <w:r>
        <w:rPr>
          <w:i/>
          <w:sz w:val="18"/>
        </w:rPr>
        <w:t>— Mobile phones, Smartphones, Technology illness, </w:t>
      </w:r>
      <w:r>
        <w:rPr>
          <w:i/>
          <w:sz w:val="18"/>
        </w:rPr>
        <w:t>Whatsappitis.</w:t>
      </w:r>
    </w:p>
    <w:p>
      <w:pPr>
        <w:pStyle w:val="BodyText"/>
        <w:rPr>
          <w:i/>
          <w:sz w:val="18"/>
        </w:rPr>
      </w:pPr>
    </w:p>
    <w:p>
      <w:pPr>
        <w:pStyle w:val="BodyText"/>
        <w:spacing w:before="3"/>
        <w:rPr>
          <w:i/>
          <w:sz w:val="18"/>
        </w:rPr>
      </w:pPr>
    </w:p>
    <w:p>
      <w:pPr>
        <w:pStyle w:val="ListParagraph"/>
        <w:numPr>
          <w:ilvl w:val="0"/>
          <w:numId w:val="77"/>
        </w:numPr>
        <w:tabs>
          <w:tab w:pos="452" w:val="left" w:leader="none"/>
        </w:tabs>
        <w:spacing w:line="240" w:lineRule="auto" w:before="0" w:after="0"/>
        <w:ind w:left="451" w:right="0" w:hanging="181"/>
        <w:jc w:val="both"/>
        <w:rPr>
          <w:b/>
          <w:sz w:val="18"/>
        </w:rPr>
      </w:pPr>
      <w:r>
        <w:rPr>
          <w:b/>
          <w:sz w:val="18"/>
        </w:rPr>
        <w:t>INTRODUCTION</w:t>
      </w:r>
    </w:p>
    <w:p>
      <w:pPr>
        <w:pStyle w:val="ListParagraph"/>
        <w:numPr>
          <w:ilvl w:val="1"/>
          <w:numId w:val="77"/>
        </w:numPr>
        <w:tabs>
          <w:tab w:pos="542" w:val="left" w:leader="none"/>
        </w:tabs>
        <w:spacing w:line="205" w:lineRule="exact" w:before="0" w:after="0"/>
        <w:ind w:left="541" w:right="0" w:hanging="271"/>
        <w:jc w:val="both"/>
        <w:rPr>
          <w:b/>
          <w:sz w:val="18"/>
        </w:rPr>
      </w:pPr>
      <w:r>
        <w:rPr>
          <w:b/>
          <w:sz w:val="18"/>
        </w:rPr>
        <w:t>Problem</w:t>
      </w:r>
      <w:r>
        <w:rPr>
          <w:b/>
          <w:spacing w:val="-1"/>
          <w:sz w:val="18"/>
        </w:rPr>
        <w:t> </w:t>
      </w:r>
      <w:r>
        <w:rPr>
          <w:b/>
          <w:sz w:val="18"/>
        </w:rPr>
        <w:t>statement</w:t>
      </w:r>
    </w:p>
    <w:p>
      <w:pPr>
        <w:spacing w:line="240" w:lineRule="auto" w:before="0"/>
        <w:ind w:left="270" w:right="677" w:firstLine="0"/>
        <w:jc w:val="both"/>
        <w:rPr>
          <w:sz w:val="18"/>
        </w:rPr>
      </w:pPr>
      <w:r>
        <w:rPr>
          <w:sz w:val="18"/>
        </w:rPr>
        <w:t>Throughout history, it has been proved the innate interest of the man in acquiring knowledge and the development of technology; nevertheless the ergonomic integration of technology to the man has not follow the same rhythm. [1] While the smartphone has been useful, it has also affected certain aspects of the health of users.</w:t>
      </w:r>
    </w:p>
    <w:p>
      <w:pPr>
        <w:spacing w:after="0" w:line="240" w:lineRule="auto"/>
        <w:jc w:val="both"/>
        <w:rPr>
          <w:sz w:val="18"/>
        </w:rPr>
        <w:sectPr>
          <w:type w:val="continuous"/>
          <w:pgSz w:w="12240" w:h="15840"/>
          <w:pgMar w:top="1500" w:bottom="280" w:left="580" w:right="220"/>
          <w:cols w:num="2" w:equalWidth="0">
            <w:col w:w="5208" w:space="416"/>
            <w:col w:w="5816"/>
          </w:cols>
        </w:sectPr>
      </w:pPr>
    </w:p>
    <w:p>
      <w:pPr>
        <w:pStyle w:val="BodyText"/>
        <w:rPr>
          <w:sz w:val="18"/>
        </w:rPr>
      </w:pPr>
    </w:p>
    <w:p>
      <w:pPr>
        <w:pStyle w:val="BodyText"/>
        <w:spacing w:before="4"/>
        <w:rPr>
          <w:sz w:val="18"/>
        </w:rPr>
      </w:pPr>
    </w:p>
    <w:p>
      <w:pPr>
        <w:spacing w:before="0"/>
        <w:ind w:left="270" w:right="0" w:firstLine="0"/>
        <w:jc w:val="both"/>
        <w:rPr>
          <w:b/>
          <w:sz w:val="18"/>
        </w:rPr>
      </w:pPr>
      <w:r>
        <w:rPr/>
        <w:pict>
          <v:line style="position:absolute;mso-position-horizontal-relative:page;mso-position-vertical-relative:paragraph;z-index:8920" from="41.040001pt,12.092657pt" to="289.860001pt,12.092657pt" stroked="true" strokeweight="1.5pt" strokecolor="#000000">
            <w10:wrap type="none"/>
          </v:line>
        </w:pict>
      </w:r>
      <w:r>
        <w:rPr>
          <w:b/>
          <w:sz w:val="18"/>
        </w:rPr>
        <w:t>Resumen</w:t>
      </w:r>
    </w:p>
    <w:p>
      <w:pPr>
        <w:spacing w:before="45"/>
        <w:ind w:left="270" w:right="0" w:firstLine="0"/>
        <w:jc w:val="both"/>
        <w:rPr>
          <w:sz w:val="18"/>
        </w:rPr>
      </w:pPr>
      <w:r>
        <w:rPr>
          <w:sz w:val="18"/>
        </w:rPr>
        <w:t>La evolución de la tecnología relacionada a los aparatos telefónicos ha mostrado un rápido ritmo de cambio; desde los teléfonos fijos de los primeros días hasta la aparición de los teléfonos celulares, la interacción hombre-máquina ha cambiado significativamente. Actualmente, el uso de teléfonos inteligentes es una practica común por la mayoría de la población y dado que su forma de uso es variante, la gente ha desarrollado hábitos que afectan su salud. Esta fue la principal razón que motivó la realización de este estudio cualitativo en una muestra de 23 individuos en la que se recolectó información sobre sus hábitos, la medida de sus manos y la forma  en que interactúan con su teléfono. Los resultados mostraron que 87% de los participantes sufre molestias relacionadas al uso del aparato, 100% de ellos adoptan posturas que incrementan la presión en el cuello en un rango que va de 4.54 y 5.44 hasta 12.25 kg y el 60.87% dedica más de 4 horas al uso de teléfono. Con esta información se pudo demostrar que los participantes desarrollan practicas que generan malestar y los hace proclives a enfermedades como WhatsAppitis o TextNeck. Además, esta investigación muestra que la relación mano-teléfono, el diseño y la ergonomía no son factores considerados al comprar un teléfono. La gente ignora estas</w:t>
      </w:r>
      <w:r>
        <w:rPr>
          <w:spacing w:val="-3"/>
          <w:sz w:val="18"/>
        </w:rPr>
        <w:t> </w:t>
      </w:r>
      <w:r>
        <w:rPr>
          <w:sz w:val="18"/>
        </w:rPr>
        <w:t>variables</w:t>
      </w:r>
      <w:r>
        <w:rPr>
          <w:spacing w:val="-5"/>
          <w:sz w:val="18"/>
        </w:rPr>
        <w:t> </w:t>
      </w:r>
      <w:r>
        <w:rPr>
          <w:sz w:val="18"/>
        </w:rPr>
        <w:t>y</w:t>
      </w:r>
      <w:r>
        <w:rPr>
          <w:spacing w:val="-5"/>
          <w:sz w:val="18"/>
        </w:rPr>
        <w:t> </w:t>
      </w:r>
      <w:r>
        <w:rPr>
          <w:sz w:val="18"/>
        </w:rPr>
        <w:t>prefieren</w:t>
      </w:r>
      <w:r>
        <w:rPr>
          <w:spacing w:val="-4"/>
          <w:sz w:val="18"/>
        </w:rPr>
        <w:t> </w:t>
      </w:r>
      <w:r>
        <w:rPr>
          <w:sz w:val="18"/>
        </w:rPr>
        <w:t>el</w:t>
      </w:r>
      <w:r>
        <w:rPr>
          <w:spacing w:val="-4"/>
          <w:sz w:val="18"/>
        </w:rPr>
        <w:t> </w:t>
      </w:r>
      <w:r>
        <w:rPr>
          <w:sz w:val="18"/>
        </w:rPr>
        <w:t>diseño</w:t>
      </w:r>
      <w:r>
        <w:rPr>
          <w:spacing w:val="-4"/>
          <w:sz w:val="18"/>
        </w:rPr>
        <w:t> </w:t>
      </w:r>
      <w:r>
        <w:rPr>
          <w:sz w:val="18"/>
        </w:rPr>
        <w:t>y</w:t>
      </w:r>
      <w:r>
        <w:rPr>
          <w:spacing w:val="-2"/>
          <w:sz w:val="18"/>
        </w:rPr>
        <w:t> </w:t>
      </w:r>
      <w:r>
        <w:rPr>
          <w:sz w:val="18"/>
        </w:rPr>
        <w:t>la</w:t>
      </w:r>
      <w:r>
        <w:rPr>
          <w:spacing w:val="-4"/>
          <w:sz w:val="18"/>
        </w:rPr>
        <w:t> </w:t>
      </w:r>
      <w:r>
        <w:rPr>
          <w:sz w:val="18"/>
        </w:rPr>
        <w:t>tecnología</w:t>
      </w:r>
      <w:r>
        <w:rPr>
          <w:spacing w:val="-3"/>
          <w:sz w:val="18"/>
        </w:rPr>
        <w:t> </w:t>
      </w:r>
      <w:r>
        <w:rPr>
          <w:sz w:val="18"/>
        </w:rPr>
        <w:t>a</w:t>
      </w:r>
      <w:r>
        <w:rPr>
          <w:spacing w:val="-3"/>
          <w:sz w:val="18"/>
        </w:rPr>
        <w:t> </w:t>
      </w:r>
      <w:r>
        <w:rPr>
          <w:sz w:val="18"/>
        </w:rPr>
        <w:t>la</w:t>
      </w:r>
      <w:r>
        <w:rPr>
          <w:spacing w:val="-4"/>
          <w:sz w:val="18"/>
        </w:rPr>
        <w:t> </w:t>
      </w:r>
      <w:r>
        <w:rPr>
          <w:sz w:val="18"/>
        </w:rPr>
        <w:t>comodidad.</w:t>
      </w:r>
    </w:p>
    <w:p>
      <w:pPr>
        <w:pStyle w:val="BodyText"/>
        <w:rPr>
          <w:sz w:val="18"/>
        </w:rPr>
      </w:pPr>
    </w:p>
    <w:p>
      <w:pPr>
        <w:spacing w:before="0"/>
        <w:ind w:left="270" w:right="1" w:firstLine="0"/>
        <w:jc w:val="both"/>
        <w:rPr>
          <w:sz w:val="18"/>
        </w:rPr>
      </w:pPr>
      <w:r>
        <w:rPr>
          <w:b/>
          <w:sz w:val="18"/>
        </w:rPr>
        <w:t>Palabras clave</w:t>
      </w:r>
      <w:r>
        <w:rPr>
          <w:sz w:val="18"/>
        </w:rPr>
        <w:t>— Teléfonos celulares, enfermedades tecnológicas, Whatsappitis.</w:t>
      </w:r>
    </w:p>
    <w:p>
      <w:pPr>
        <w:pStyle w:val="BodyText"/>
        <w:spacing w:before="6"/>
        <w:rPr>
          <w:sz w:val="18"/>
        </w:rPr>
      </w:pPr>
    </w:p>
    <w:p>
      <w:pPr>
        <w:spacing w:before="0"/>
        <w:ind w:left="270" w:right="0" w:firstLine="0"/>
        <w:jc w:val="both"/>
        <w:rPr>
          <w:b/>
          <w:i/>
          <w:sz w:val="18"/>
        </w:rPr>
      </w:pPr>
      <w:r>
        <w:rPr/>
        <w:pict>
          <v:line style="position:absolute;mso-position-horizontal-relative:page;mso-position-vertical-relative:paragraph;z-index:8944" from="41.040001pt,12.03204pt" to="289.860001pt,12.03204pt" stroked="true" strokeweight="1.5pt" strokecolor="#000000">
            <w10:wrap type="none"/>
          </v:line>
        </w:pict>
      </w:r>
      <w:r>
        <w:rPr>
          <w:b/>
          <w:i/>
          <w:sz w:val="18"/>
        </w:rPr>
        <w:t>Abstract</w:t>
      </w:r>
    </w:p>
    <w:p>
      <w:pPr>
        <w:spacing w:before="44"/>
        <w:ind w:left="270" w:right="0" w:firstLine="0"/>
        <w:jc w:val="both"/>
        <w:rPr>
          <w:i/>
          <w:sz w:val="18"/>
        </w:rPr>
      </w:pPr>
      <w:r>
        <w:rPr>
          <w:i/>
          <w:sz w:val="18"/>
        </w:rPr>
        <w:t>The evolution of technology regarding telephonic devices has  </w:t>
      </w:r>
      <w:r>
        <w:rPr>
          <w:i/>
          <w:sz w:val="18"/>
        </w:rPr>
        <w:t>shown a fast pacing of change; from the early days of dial phones  to the disruption of mobile phones, the human-machine interaction has changed a lot. Nowadays, the use of smartphones is a common practice by most of the population and because its mode of use is varied, people have created habits that compromise their health. This is the main reason that lead us to conduct a qualitative study with 23 volunteers, in which we collected information about their habits, the measures of their hands and their positions to interact with the device. The results showed that 87% of participants had discomfort related to smartphone use, 100% of them took awkward postures that increased the neutral muscle strain in the neck from a range</w:t>
      </w:r>
      <w:r>
        <w:rPr>
          <w:i/>
          <w:spacing w:val="29"/>
          <w:sz w:val="18"/>
        </w:rPr>
        <w:t> </w:t>
      </w:r>
      <w:r>
        <w:rPr>
          <w:i/>
          <w:sz w:val="18"/>
        </w:rPr>
        <w:t>between</w:t>
      </w:r>
      <w:r>
        <w:rPr>
          <w:i/>
          <w:spacing w:val="28"/>
          <w:sz w:val="18"/>
        </w:rPr>
        <w:t> </w:t>
      </w:r>
      <w:r>
        <w:rPr>
          <w:i/>
          <w:sz w:val="18"/>
        </w:rPr>
        <w:t>4.54</w:t>
      </w:r>
      <w:r>
        <w:rPr>
          <w:i/>
          <w:spacing w:val="29"/>
          <w:sz w:val="18"/>
        </w:rPr>
        <w:t> </w:t>
      </w:r>
      <w:r>
        <w:rPr>
          <w:i/>
          <w:sz w:val="18"/>
        </w:rPr>
        <w:t>and</w:t>
      </w:r>
      <w:r>
        <w:rPr>
          <w:i/>
          <w:spacing w:val="29"/>
          <w:sz w:val="18"/>
        </w:rPr>
        <w:t> </w:t>
      </w:r>
      <w:r>
        <w:rPr>
          <w:i/>
          <w:sz w:val="18"/>
        </w:rPr>
        <w:t>5.44</w:t>
      </w:r>
      <w:r>
        <w:rPr>
          <w:i/>
          <w:spacing w:val="29"/>
          <w:sz w:val="18"/>
        </w:rPr>
        <w:t> </w:t>
      </w:r>
      <w:r>
        <w:rPr>
          <w:i/>
          <w:sz w:val="18"/>
        </w:rPr>
        <w:t>to</w:t>
      </w:r>
      <w:r>
        <w:rPr>
          <w:i/>
          <w:spacing w:val="29"/>
          <w:sz w:val="18"/>
        </w:rPr>
        <w:t> </w:t>
      </w:r>
      <w:r>
        <w:rPr>
          <w:i/>
          <w:sz w:val="18"/>
        </w:rPr>
        <w:t>12.25</w:t>
      </w:r>
      <w:r>
        <w:rPr>
          <w:i/>
          <w:spacing w:val="29"/>
          <w:sz w:val="18"/>
        </w:rPr>
        <w:t> </w:t>
      </w:r>
      <w:r>
        <w:rPr>
          <w:i/>
          <w:sz w:val="18"/>
        </w:rPr>
        <w:t>kg,</w:t>
      </w:r>
      <w:r>
        <w:rPr>
          <w:i/>
          <w:spacing w:val="29"/>
          <w:sz w:val="18"/>
        </w:rPr>
        <w:t> </w:t>
      </w:r>
      <w:r>
        <w:rPr>
          <w:i/>
          <w:sz w:val="18"/>
        </w:rPr>
        <w:t>and</w:t>
      </w:r>
      <w:r>
        <w:rPr>
          <w:i/>
          <w:spacing w:val="28"/>
          <w:sz w:val="18"/>
        </w:rPr>
        <w:t> </w:t>
      </w:r>
      <w:r>
        <w:rPr>
          <w:i/>
          <w:sz w:val="18"/>
        </w:rPr>
        <w:t>the</w:t>
      </w:r>
      <w:r>
        <w:rPr>
          <w:i/>
          <w:spacing w:val="29"/>
          <w:sz w:val="18"/>
        </w:rPr>
        <w:t> </w:t>
      </w:r>
      <w:r>
        <w:rPr>
          <w:i/>
          <w:sz w:val="18"/>
        </w:rPr>
        <w:t>60.87%</w:t>
      </w:r>
      <w:r>
        <w:rPr>
          <w:i/>
          <w:spacing w:val="29"/>
          <w:sz w:val="18"/>
        </w:rPr>
        <w:t> </w:t>
      </w:r>
      <w:r>
        <w:rPr>
          <w:i/>
          <w:sz w:val="18"/>
        </w:rPr>
        <w:t>spent</w:t>
      </w:r>
    </w:p>
    <w:p>
      <w:pPr>
        <w:spacing w:before="0"/>
        <w:ind w:left="270" w:right="676" w:firstLine="453"/>
        <w:jc w:val="both"/>
        <w:rPr>
          <w:sz w:val="18"/>
        </w:rPr>
      </w:pPr>
      <w:r>
        <w:rPr/>
        <w:br w:type="column"/>
      </w:r>
      <w:r>
        <w:rPr>
          <w:sz w:val="18"/>
        </w:rPr>
        <w:t>The main issue of this project is the inadequate use of smartphones that despite of its numerous advantages also generate illnesses that compromise the well being of users, from fatigue and headaches to musculoskeletal disorders and ear canal issues. [2] Moreover, these devices have been related to a new group of pathologies called technology illnesses, and one of the most common is WhatsAppitis, [3] also known as BlackBerry Thumb, iPod Thumb, Wiitis or Nintenditis. [4]</w:t>
      </w:r>
    </w:p>
    <w:p>
      <w:pPr>
        <w:spacing w:before="0"/>
        <w:ind w:left="270" w:right="675" w:firstLine="453"/>
        <w:jc w:val="both"/>
        <w:rPr>
          <w:sz w:val="18"/>
        </w:rPr>
      </w:pPr>
      <w:r>
        <w:rPr>
          <w:sz w:val="18"/>
        </w:rPr>
        <w:t>One of the most important causes to develop this project is the widespread use of this device across a vast majority of the population, which is exposed to the risk involved of its use; in addition, the lack of information of the problem increases the risk. Moreover, in Mexico there is not much research done on the subject, despite multiple reports of cases of tendinitis, which could be related to the use of these devices. [5]</w:t>
      </w:r>
    </w:p>
    <w:p>
      <w:pPr>
        <w:pStyle w:val="BodyText"/>
        <w:spacing w:before="3"/>
        <w:rPr>
          <w:sz w:val="18"/>
        </w:rPr>
      </w:pPr>
    </w:p>
    <w:p>
      <w:pPr>
        <w:pStyle w:val="ListParagraph"/>
        <w:numPr>
          <w:ilvl w:val="1"/>
          <w:numId w:val="77"/>
        </w:numPr>
        <w:tabs>
          <w:tab w:pos="542" w:val="left" w:leader="none"/>
        </w:tabs>
        <w:spacing w:line="205" w:lineRule="exact" w:before="0" w:after="0"/>
        <w:ind w:left="541" w:right="0" w:hanging="271"/>
        <w:jc w:val="both"/>
        <w:rPr>
          <w:b/>
          <w:sz w:val="18"/>
        </w:rPr>
      </w:pPr>
      <w:r>
        <w:rPr>
          <w:b/>
          <w:sz w:val="18"/>
        </w:rPr>
        <w:t>Literature</w:t>
      </w:r>
      <w:r>
        <w:rPr>
          <w:b/>
          <w:spacing w:val="-3"/>
          <w:sz w:val="18"/>
        </w:rPr>
        <w:t> </w:t>
      </w:r>
      <w:r>
        <w:rPr>
          <w:b/>
          <w:sz w:val="18"/>
        </w:rPr>
        <w:t>review</w:t>
      </w:r>
    </w:p>
    <w:p>
      <w:pPr>
        <w:spacing w:before="0"/>
        <w:ind w:left="270" w:right="676" w:firstLine="0"/>
        <w:jc w:val="both"/>
        <w:rPr>
          <w:sz w:val="18"/>
        </w:rPr>
      </w:pPr>
      <w:r>
        <w:rPr>
          <w:sz w:val="18"/>
        </w:rPr>
        <w:t>In modern times, mankind uses technology for the development of their daily activities so that these will be simpler; one of the most used tools, and which has submitted more technological advances is the cellular phone, now called Smartphone. They received this name because of the multiple functions that can be done with them, from sending a message to control home appliances remotely, which is why there have been several ergonomic studies on their impact on the human</w:t>
      </w:r>
      <w:r>
        <w:rPr>
          <w:spacing w:val="-6"/>
          <w:sz w:val="18"/>
        </w:rPr>
        <w:t> </w:t>
      </w:r>
      <w:r>
        <w:rPr>
          <w:sz w:val="18"/>
        </w:rPr>
        <w:t>body.</w:t>
      </w:r>
    </w:p>
    <w:p>
      <w:pPr>
        <w:spacing w:before="0"/>
        <w:ind w:left="270" w:right="675" w:firstLine="453"/>
        <w:jc w:val="both"/>
        <w:rPr>
          <w:sz w:val="18"/>
        </w:rPr>
      </w:pPr>
      <w:r>
        <w:rPr>
          <w:sz w:val="18"/>
        </w:rPr>
        <w:t>Studies has determined texting as an activity that could be harmful, due to the unnatural postures the body acquire, and the repetitive movements of thumbs, representing a highly risk for all the users who often practice this activity. [6] Moreover, since in  the US it was determined that 80% of the users send and receive messages, and the 50% check their email, a significant part of population are exposed to this risk.</w:t>
      </w:r>
      <w:r>
        <w:rPr>
          <w:spacing w:val="-7"/>
          <w:sz w:val="18"/>
        </w:rPr>
        <w:t> </w:t>
      </w:r>
      <w:r>
        <w:rPr>
          <w:sz w:val="18"/>
        </w:rPr>
        <w:t>[7]</w:t>
      </w:r>
    </w:p>
    <w:p>
      <w:pPr>
        <w:spacing w:before="0"/>
        <w:ind w:left="270" w:right="676" w:firstLine="453"/>
        <w:jc w:val="both"/>
        <w:rPr>
          <w:sz w:val="18"/>
        </w:rPr>
      </w:pPr>
      <w:r>
        <w:rPr>
          <w:sz w:val="18"/>
        </w:rPr>
        <w:t>In a study done in Canada, it was observed how users hold their devices resolving two principal ways to do it: with one or  both hands. When users use one hand to hold it, the thumb is  forced to do a larger amount of repetitive movements, on the contrary holding with both hands, stress is distributed in both thumbs achieving a higher performance.</w:t>
      </w:r>
      <w:r>
        <w:rPr>
          <w:spacing w:val="-10"/>
          <w:sz w:val="18"/>
        </w:rPr>
        <w:t> </w:t>
      </w:r>
      <w:r>
        <w:rPr>
          <w:sz w:val="18"/>
        </w:rPr>
        <w:t>[8]</w:t>
      </w:r>
    </w:p>
    <w:p>
      <w:pPr>
        <w:spacing w:before="0"/>
        <w:ind w:left="270" w:right="676" w:firstLine="453"/>
        <w:jc w:val="both"/>
        <w:rPr>
          <w:sz w:val="18"/>
        </w:rPr>
      </w:pPr>
      <w:r>
        <w:rPr>
          <w:sz w:val="18"/>
        </w:rPr>
        <w:t>In India, a research showed some of the possible effects of using smartphones as thumbs and forearms sore, numbness and tingling, wrist and hand stiffness, and tendinitis thumb. This study also prove that thumbs are affected by the size of the device  while</w:t>
      </w:r>
    </w:p>
    <w:p>
      <w:pPr>
        <w:spacing w:after="0"/>
        <w:jc w:val="both"/>
        <w:rPr>
          <w:sz w:val="18"/>
        </w:rPr>
        <w:sectPr>
          <w:type w:val="continuous"/>
          <w:pgSz w:w="12240" w:h="15840"/>
          <w:pgMar w:top="1500" w:bottom="280" w:left="580" w:right="220"/>
          <w:cols w:num="2" w:equalWidth="0">
            <w:col w:w="5189" w:space="435"/>
            <w:col w:w="5816"/>
          </w:cols>
        </w:sectPr>
      </w:pPr>
    </w:p>
    <w:p>
      <w:pPr>
        <w:pStyle w:val="BodyText"/>
        <w:rPr>
          <w:sz w:val="11"/>
        </w:rPr>
      </w:pPr>
    </w:p>
    <w:p>
      <w:pPr>
        <w:spacing w:after="0"/>
        <w:rPr>
          <w:sz w:val="11"/>
        </w:rPr>
        <w:sectPr>
          <w:pgSz w:w="12240" w:h="15840"/>
          <w:pgMar w:header="545" w:footer="852" w:top="1060" w:bottom="1040" w:left="580" w:right="220"/>
        </w:sectPr>
      </w:pPr>
    </w:p>
    <w:p>
      <w:pPr>
        <w:spacing w:before="77"/>
        <w:ind w:left="270" w:right="0" w:firstLine="0"/>
        <w:jc w:val="left"/>
        <w:rPr>
          <w:sz w:val="18"/>
        </w:rPr>
      </w:pPr>
      <w:r>
        <w:rPr>
          <w:sz w:val="18"/>
        </w:rPr>
        <w:t>writing, and that this may lead to the development of musculoskeletal disorders. [9]</w:t>
      </w:r>
    </w:p>
    <w:p>
      <w:pPr>
        <w:spacing w:before="0"/>
        <w:ind w:left="270" w:right="0" w:firstLine="453"/>
        <w:jc w:val="both"/>
        <w:rPr>
          <w:sz w:val="18"/>
        </w:rPr>
      </w:pPr>
      <w:r>
        <w:rPr>
          <w:sz w:val="18"/>
        </w:rPr>
        <w:t>In 2010, it was determined that the most frequent symptoms related to cell phone use are pain, fatigue, stiffness and weakness in the hands, and in some cases difficult to write and to hold small objects. It was also possible to identify in a population of students aged 20-29 years, that 18.5% of them have cumulative trauma disorders of the upper limb, identifying the overuse of cellphone as the main cause of these symptoms. [10]</w:t>
      </w:r>
    </w:p>
    <w:p>
      <w:pPr>
        <w:spacing w:before="0"/>
        <w:ind w:left="270" w:right="0" w:firstLine="453"/>
        <w:jc w:val="both"/>
        <w:rPr>
          <w:sz w:val="18"/>
        </w:rPr>
      </w:pPr>
      <w:r>
        <w:rPr>
          <w:sz w:val="18"/>
        </w:rPr>
        <w:t>Other studies found that there is a direct relationship between the amount of text messages that are sent and sore thumb, as well as between the speed of writing, the design of mobile key pad, and the experience of pain and weakness at the base of the thumb/wrist, giving a positive result in the diagnosis of De Quervain's tendinitis. [11]</w:t>
      </w:r>
    </w:p>
    <w:p>
      <w:pPr>
        <w:spacing w:before="0"/>
        <w:ind w:left="270" w:right="0" w:firstLine="453"/>
        <w:jc w:val="both"/>
        <w:rPr>
          <w:sz w:val="18"/>
        </w:rPr>
      </w:pPr>
      <w:r>
        <w:rPr>
          <w:sz w:val="18"/>
        </w:rPr>
        <w:t>Associated with cell phone use, there have been diagnosed diseases like WhastAppitis [3] that was recently identified, and is a way to call Quervain's tendinitis caused by excessive cell phone  use. This condition causes pain at the base of the thumbs and has received other names like BlackBerry Thumb, iPod Thumb, Wiitis and Nintenditis. [4] It is considered an emerging disease because these symptoms were characteristic of sports and work injuries, not to the use of</w:t>
      </w:r>
      <w:r>
        <w:rPr>
          <w:spacing w:val="-2"/>
          <w:sz w:val="18"/>
        </w:rPr>
        <w:t> </w:t>
      </w:r>
      <w:r>
        <w:rPr>
          <w:sz w:val="18"/>
        </w:rPr>
        <w:t>smartphones.</w:t>
      </w:r>
    </w:p>
    <w:p>
      <w:pPr>
        <w:spacing w:before="0"/>
        <w:ind w:left="270" w:right="1" w:firstLine="453"/>
        <w:jc w:val="both"/>
        <w:rPr>
          <w:sz w:val="18"/>
        </w:rPr>
      </w:pPr>
      <w:r>
        <w:rPr>
          <w:sz w:val="18"/>
        </w:rPr>
        <w:t>Since it has been determined that a key factor to operate a smartphone is the movement of the thumb on the touch screen, the performance of users with a conventional QWERTY keyboard was evaluated as well as other designs with differences on the keyboard layout. The results showed poor performance when using the traditional design, which could contribute to discomfort in users. [12]</w:t>
      </w:r>
    </w:p>
    <w:p>
      <w:pPr>
        <w:spacing w:before="0"/>
        <w:ind w:left="270" w:right="0" w:firstLine="453"/>
        <w:jc w:val="both"/>
        <w:rPr>
          <w:sz w:val="18"/>
        </w:rPr>
      </w:pPr>
      <w:r>
        <w:rPr/>
        <w:pict>
          <v:line style="position:absolute;mso-position-horizontal-relative:page;mso-position-vertical-relative:paragraph;z-index:-869848" from="95.040001pt,72.721756pt" to="95.040001pt,83.041756pt" stroked="true" strokeweight="4.8pt" strokecolor="#00ff00">
            <w10:wrap type="none"/>
          </v:line>
        </w:pict>
      </w:r>
      <w:r>
        <w:rPr>
          <w:sz w:val="18"/>
        </w:rPr>
        <w:t>Other illnesses related to the use of smartphones deal with the unnatural exposition to the light emitted by these devices. Given the fact that in all of these devices is possible to read in total darkness  or in dimly lit rooms, this has become a common practice among users, which, according to studies by the Mayo Clinic, [13] represents another factor of risk associated with alterations in the sleep cycle. Other research has demonstrated that the exposure of two hours in the light of smartphones and tablets significantly reduces levels of melatonin, a condition that causes sleep disorders. [14]</w:t>
      </w:r>
    </w:p>
    <w:p>
      <w:pPr>
        <w:spacing w:before="0"/>
        <w:ind w:left="270" w:right="0" w:firstLine="453"/>
        <w:jc w:val="both"/>
        <w:rPr>
          <w:sz w:val="18"/>
        </w:rPr>
      </w:pPr>
      <w:r>
        <w:rPr>
          <w:sz w:val="18"/>
        </w:rPr>
        <w:t>Other of the most common syndromes related to the use of smartphone is the Text Neck, which is a chronic pain in shoulders and neck, due to the tension of keeping the same inclination of the neck while using the device. [15] In 2014, Hansraj determined that an inadequate posture dramatically increases the muscle strain of the neck, which regularly is between 4.5 and 5.4 kg, to 27.22 kg. [16]</w:t>
      </w:r>
    </w:p>
    <w:p>
      <w:pPr>
        <w:spacing w:before="0"/>
        <w:ind w:left="270" w:right="0" w:firstLine="453"/>
        <w:jc w:val="both"/>
        <w:rPr>
          <w:sz w:val="18"/>
        </w:rPr>
      </w:pPr>
      <w:r>
        <w:rPr>
          <w:sz w:val="18"/>
        </w:rPr>
        <w:t>With the purpose of reducing or eliminate the impact of an inadequate operation of mobile devices on the human body, there have been developed diverse strategies; one of them is the design of ergonomic devices which adapt the mobile appliances to the man; however many users consider expensive or unnecessary getting these kind of products. [17]</w:t>
      </w:r>
    </w:p>
    <w:p>
      <w:pPr>
        <w:spacing w:before="0"/>
        <w:ind w:left="270" w:right="0" w:firstLine="453"/>
        <w:jc w:val="both"/>
        <w:rPr>
          <w:sz w:val="18"/>
        </w:rPr>
      </w:pPr>
      <w:r>
        <w:rPr>
          <w:sz w:val="18"/>
        </w:rPr>
        <w:t>As part of these measures, the department of Environmental Health and Safety released a series of practices and guidelines to prevent musculoskeletal injuries from the use of mobile devices and promote ergonomics in the office. [18] While other organizations such as the European Commission, have done assessments about  the impact of these mobile devices in the workplace, considering both the physical and psychological impact, in order to promote ergonomics and the creation and implementation of norms that regulate the use of mobile devices in the workplace.</w:t>
      </w:r>
      <w:r>
        <w:rPr>
          <w:spacing w:val="-11"/>
          <w:sz w:val="18"/>
        </w:rPr>
        <w:t> </w:t>
      </w:r>
      <w:r>
        <w:rPr>
          <w:sz w:val="18"/>
        </w:rPr>
        <w:t>[19]</w:t>
      </w:r>
    </w:p>
    <w:p>
      <w:pPr>
        <w:spacing w:before="0"/>
        <w:ind w:left="270" w:right="0" w:firstLine="453"/>
        <w:jc w:val="both"/>
        <w:rPr>
          <w:sz w:val="18"/>
        </w:rPr>
      </w:pPr>
      <w:r>
        <w:rPr>
          <w:sz w:val="18"/>
        </w:rPr>
        <w:t>Moreover, on 2014 the Wall Street Journal published an article based on previous works of Hedge and Greiner in which, it</w:t>
      </w:r>
    </w:p>
    <w:p>
      <w:pPr>
        <w:spacing w:before="77"/>
        <w:ind w:left="270" w:right="676" w:firstLine="0"/>
        <w:jc w:val="both"/>
        <w:rPr>
          <w:sz w:val="18"/>
        </w:rPr>
      </w:pPr>
      <w:r>
        <w:rPr/>
        <w:br w:type="column"/>
      </w:r>
      <w:r>
        <w:rPr>
          <w:sz w:val="18"/>
        </w:rPr>
        <w:t>became known a method for the selection of the ideal screen size  of a smartphone, in order to reduce discomfort and prevent  injuries, In this method, two measures are required, the thumb length and length of the separation between thumb and forefinger. [20]</w:t>
      </w:r>
    </w:p>
    <w:p>
      <w:pPr>
        <w:pStyle w:val="BodyText"/>
        <w:rPr>
          <w:sz w:val="18"/>
        </w:rPr>
      </w:pPr>
    </w:p>
    <w:p>
      <w:pPr>
        <w:pStyle w:val="BodyText"/>
        <w:spacing w:before="3"/>
        <w:rPr>
          <w:sz w:val="18"/>
        </w:rPr>
      </w:pPr>
    </w:p>
    <w:p>
      <w:pPr>
        <w:pStyle w:val="ListParagraph"/>
        <w:numPr>
          <w:ilvl w:val="0"/>
          <w:numId w:val="77"/>
        </w:numPr>
        <w:tabs>
          <w:tab w:pos="452" w:val="left" w:leader="none"/>
        </w:tabs>
        <w:spacing w:line="205" w:lineRule="exact" w:before="0" w:after="0"/>
        <w:ind w:left="451" w:right="0" w:hanging="181"/>
        <w:jc w:val="both"/>
        <w:rPr>
          <w:b/>
          <w:sz w:val="18"/>
        </w:rPr>
      </w:pPr>
      <w:r>
        <w:rPr>
          <w:b/>
          <w:sz w:val="18"/>
        </w:rPr>
        <w:t>OBJECTIVES</w:t>
      </w:r>
    </w:p>
    <w:p>
      <w:pPr>
        <w:spacing w:line="205" w:lineRule="exact" w:before="0"/>
        <w:ind w:left="270" w:right="0" w:firstLine="0"/>
        <w:jc w:val="both"/>
        <w:rPr>
          <w:sz w:val="18"/>
        </w:rPr>
      </w:pPr>
      <w:r>
        <w:rPr>
          <w:sz w:val="18"/>
        </w:rPr>
        <w:t>Main objective:</w:t>
      </w:r>
    </w:p>
    <w:p>
      <w:pPr>
        <w:spacing w:line="207" w:lineRule="exact" w:before="0"/>
        <w:ind w:left="724" w:right="702" w:firstLine="0"/>
        <w:jc w:val="left"/>
        <w:rPr>
          <w:sz w:val="18"/>
        </w:rPr>
      </w:pPr>
      <w:r>
        <w:rPr>
          <w:sz w:val="18"/>
        </w:rPr>
        <w:t>To diagnose risk practices done by smartphone users.</w:t>
      </w:r>
    </w:p>
    <w:p>
      <w:pPr>
        <w:pStyle w:val="BodyText"/>
        <w:rPr>
          <w:sz w:val="18"/>
        </w:rPr>
      </w:pPr>
    </w:p>
    <w:p>
      <w:pPr>
        <w:spacing w:line="207" w:lineRule="exact" w:before="0"/>
        <w:ind w:left="724" w:right="702" w:firstLine="0"/>
        <w:jc w:val="left"/>
        <w:rPr>
          <w:sz w:val="18"/>
        </w:rPr>
      </w:pPr>
      <w:r>
        <w:rPr>
          <w:sz w:val="18"/>
        </w:rPr>
        <w:t>Specific objectives:</w:t>
      </w:r>
    </w:p>
    <w:p>
      <w:pPr>
        <w:pStyle w:val="ListParagraph"/>
        <w:numPr>
          <w:ilvl w:val="0"/>
          <w:numId w:val="78"/>
        </w:numPr>
        <w:tabs>
          <w:tab w:pos="978" w:val="left" w:leader="none"/>
          <w:tab w:pos="979" w:val="left" w:leader="none"/>
        </w:tabs>
        <w:spacing w:line="240" w:lineRule="auto" w:before="0" w:after="0"/>
        <w:ind w:left="990" w:right="0" w:hanging="360"/>
        <w:jc w:val="left"/>
        <w:rPr>
          <w:sz w:val="18"/>
        </w:rPr>
      </w:pPr>
      <w:r>
        <w:rPr>
          <w:sz w:val="18"/>
        </w:rPr>
        <w:t>to gather information of how smartphones are</w:t>
      </w:r>
      <w:r>
        <w:rPr>
          <w:spacing w:val="-4"/>
          <w:sz w:val="18"/>
        </w:rPr>
        <w:t> </w:t>
      </w:r>
      <w:r>
        <w:rPr>
          <w:sz w:val="18"/>
        </w:rPr>
        <w:t>used</w:t>
      </w:r>
    </w:p>
    <w:p>
      <w:pPr>
        <w:pStyle w:val="ListParagraph"/>
        <w:numPr>
          <w:ilvl w:val="0"/>
          <w:numId w:val="78"/>
        </w:numPr>
        <w:tabs>
          <w:tab w:pos="978" w:val="left" w:leader="none"/>
          <w:tab w:pos="979" w:val="left" w:leader="none"/>
        </w:tabs>
        <w:spacing w:line="220" w:lineRule="exact" w:before="0" w:after="0"/>
        <w:ind w:left="978" w:right="0" w:hanging="348"/>
        <w:jc w:val="left"/>
        <w:rPr>
          <w:sz w:val="18"/>
        </w:rPr>
      </w:pPr>
      <w:r>
        <w:rPr>
          <w:sz w:val="18"/>
        </w:rPr>
        <w:t>to evaluate the postures that users</w:t>
      </w:r>
      <w:r>
        <w:rPr>
          <w:spacing w:val="-13"/>
          <w:sz w:val="18"/>
        </w:rPr>
        <w:t> </w:t>
      </w:r>
      <w:r>
        <w:rPr>
          <w:sz w:val="18"/>
        </w:rPr>
        <w:t>acquire</w:t>
      </w:r>
    </w:p>
    <w:p>
      <w:pPr>
        <w:pStyle w:val="ListParagraph"/>
        <w:numPr>
          <w:ilvl w:val="0"/>
          <w:numId w:val="78"/>
        </w:numPr>
        <w:tabs>
          <w:tab w:pos="979" w:val="left" w:leader="none"/>
        </w:tabs>
        <w:spacing w:line="240" w:lineRule="auto" w:before="0" w:after="0"/>
        <w:ind w:left="990" w:right="676" w:hanging="360"/>
        <w:jc w:val="both"/>
        <w:rPr>
          <w:sz w:val="18"/>
        </w:rPr>
      </w:pPr>
      <w:r>
        <w:rPr>
          <w:sz w:val="18"/>
        </w:rPr>
        <w:t>to verify if users use a suitable device according to the size of their</w:t>
      </w:r>
      <w:r>
        <w:rPr>
          <w:spacing w:val="-8"/>
          <w:sz w:val="18"/>
        </w:rPr>
        <w:t> </w:t>
      </w:r>
      <w:r>
        <w:rPr>
          <w:sz w:val="18"/>
        </w:rPr>
        <w:t>hands</w:t>
      </w:r>
    </w:p>
    <w:p>
      <w:pPr>
        <w:pStyle w:val="BodyText"/>
        <w:rPr>
          <w:sz w:val="18"/>
        </w:rPr>
      </w:pPr>
    </w:p>
    <w:p>
      <w:pPr>
        <w:pStyle w:val="BodyText"/>
        <w:spacing w:before="4"/>
        <w:rPr>
          <w:sz w:val="18"/>
        </w:rPr>
      </w:pPr>
    </w:p>
    <w:p>
      <w:pPr>
        <w:pStyle w:val="ListParagraph"/>
        <w:numPr>
          <w:ilvl w:val="0"/>
          <w:numId w:val="77"/>
        </w:numPr>
        <w:tabs>
          <w:tab w:pos="452" w:val="left" w:leader="none"/>
        </w:tabs>
        <w:spacing w:line="205" w:lineRule="exact" w:before="0" w:after="0"/>
        <w:ind w:left="451" w:right="0" w:hanging="181"/>
        <w:jc w:val="both"/>
        <w:rPr>
          <w:b/>
          <w:sz w:val="18"/>
        </w:rPr>
      </w:pPr>
      <w:r>
        <w:rPr>
          <w:b/>
          <w:sz w:val="18"/>
        </w:rPr>
        <w:t>DELIMITATION</w:t>
      </w:r>
    </w:p>
    <w:p>
      <w:pPr>
        <w:spacing w:line="240" w:lineRule="auto" w:before="0"/>
        <w:ind w:left="270" w:right="675" w:firstLine="0"/>
        <w:jc w:val="both"/>
        <w:rPr>
          <w:sz w:val="18"/>
        </w:rPr>
      </w:pPr>
      <w:r>
        <w:rPr>
          <w:sz w:val="18"/>
        </w:rPr>
        <w:t>This research was established as a descriptive cross-sectional study with a qualitative focus, so we decided to work over a non representative sample.</w:t>
      </w:r>
    </w:p>
    <w:p>
      <w:pPr>
        <w:spacing w:before="0"/>
        <w:ind w:left="270" w:right="677" w:firstLine="453"/>
        <w:jc w:val="both"/>
        <w:rPr>
          <w:sz w:val="18"/>
        </w:rPr>
      </w:pPr>
      <w:r>
        <w:rPr>
          <w:sz w:val="18"/>
        </w:rPr>
        <w:t>Given the fact that this field has the potential for future studies, further research is considered on a wider sample and with different demographic profiles as gender, sample and age.</w:t>
      </w:r>
    </w:p>
    <w:p>
      <w:pPr>
        <w:pStyle w:val="BodyText"/>
        <w:rPr>
          <w:sz w:val="18"/>
        </w:rPr>
      </w:pPr>
    </w:p>
    <w:p>
      <w:pPr>
        <w:pStyle w:val="BodyText"/>
        <w:rPr>
          <w:sz w:val="18"/>
        </w:rPr>
      </w:pPr>
    </w:p>
    <w:p>
      <w:pPr>
        <w:pStyle w:val="BodyText"/>
        <w:spacing w:before="3"/>
        <w:rPr>
          <w:sz w:val="18"/>
        </w:rPr>
      </w:pPr>
    </w:p>
    <w:p>
      <w:pPr>
        <w:pStyle w:val="ListParagraph"/>
        <w:numPr>
          <w:ilvl w:val="0"/>
          <w:numId w:val="77"/>
        </w:numPr>
        <w:tabs>
          <w:tab w:pos="453" w:val="left" w:leader="none"/>
        </w:tabs>
        <w:spacing w:line="205" w:lineRule="exact" w:before="0" w:after="0"/>
        <w:ind w:left="452" w:right="0" w:hanging="182"/>
        <w:jc w:val="both"/>
        <w:rPr>
          <w:b/>
          <w:sz w:val="18"/>
        </w:rPr>
      </w:pPr>
      <w:r>
        <w:rPr>
          <w:b/>
          <w:sz w:val="18"/>
        </w:rPr>
        <w:t>METHOD</w:t>
      </w:r>
    </w:p>
    <w:p>
      <w:pPr>
        <w:spacing w:line="240" w:lineRule="auto" w:before="0"/>
        <w:ind w:left="270" w:right="678" w:firstLine="0"/>
        <w:jc w:val="both"/>
        <w:rPr>
          <w:sz w:val="18"/>
        </w:rPr>
      </w:pPr>
      <w:r>
        <w:rPr>
          <w:sz w:val="18"/>
        </w:rPr>
        <w:t>A study was conducted with a non-quantitative 23 people sample, in an age rank from 20 to 30 years old. The research consisted in four stages:</w:t>
      </w:r>
    </w:p>
    <w:p>
      <w:pPr>
        <w:pStyle w:val="BodyText"/>
        <w:rPr>
          <w:sz w:val="18"/>
        </w:rPr>
      </w:pPr>
    </w:p>
    <w:p>
      <w:pPr>
        <w:pStyle w:val="ListParagraph"/>
        <w:numPr>
          <w:ilvl w:val="0"/>
          <w:numId w:val="79"/>
        </w:numPr>
        <w:tabs>
          <w:tab w:pos="979" w:val="left" w:leader="none"/>
        </w:tabs>
        <w:spacing w:line="240" w:lineRule="auto" w:before="0" w:after="0"/>
        <w:ind w:left="990" w:right="674" w:hanging="360"/>
        <w:jc w:val="both"/>
        <w:rPr>
          <w:sz w:val="18"/>
        </w:rPr>
      </w:pPr>
      <w:r>
        <w:rPr>
          <w:sz w:val="18"/>
        </w:rPr>
        <w:t>Survey: a survey was applied to the participants in order to obtain data about their Smartphone and if there has been any discomfort related</w:t>
      </w:r>
      <w:r>
        <w:rPr>
          <w:spacing w:val="-14"/>
          <w:sz w:val="18"/>
        </w:rPr>
        <w:t> </w:t>
      </w:r>
      <w:r>
        <w:rPr>
          <w:sz w:val="18"/>
        </w:rPr>
        <w:t>therewith.</w:t>
      </w:r>
    </w:p>
    <w:p>
      <w:pPr>
        <w:pStyle w:val="ListParagraph"/>
        <w:numPr>
          <w:ilvl w:val="0"/>
          <w:numId w:val="79"/>
        </w:numPr>
        <w:tabs>
          <w:tab w:pos="979" w:val="left" w:leader="none"/>
        </w:tabs>
        <w:spacing w:line="240" w:lineRule="auto" w:before="0" w:after="0"/>
        <w:ind w:left="990" w:right="677" w:hanging="360"/>
        <w:jc w:val="both"/>
        <w:rPr>
          <w:sz w:val="18"/>
        </w:rPr>
      </w:pPr>
      <w:r>
        <w:rPr>
          <w:sz w:val="18"/>
        </w:rPr>
        <w:t>Measurement of the hand: taking the hand anthropometry considerations developed by Alan Hedge at Cornell University [21] and Thomas Greiner in the U.S. Army [22] as a base, we took two measures. The first was the length of the thumb in order to determine the maximum reach of it over the screen of the device, and the second was the distance between the thumb base and the index finger first</w:t>
      </w:r>
      <w:r>
        <w:rPr>
          <w:spacing w:val="-4"/>
          <w:sz w:val="18"/>
        </w:rPr>
        <w:t> </w:t>
      </w:r>
      <w:r>
        <w:rPr>
          <w:sz w:val="18"/>
        </w:rPr>
        <w:t>phalange.</w:t>
      </w:r>
    </w:p>
    <w:p>
      <w:pPr>
        <w:pStyle w:val="ListParagraph"/>
        <w:numPr>
          <w:ilvl w:val="0"/>
          <w:numId w:val="79"/>
        </w:numPr>
        <w:tabs>
          <w:tab w:pos="979" w:val="left" w:leader="none"/>
        </w:tabs>
        <w:spacing w:line="240" w:lineRule="auto" w:before="0" w:after="0"/>
        <w:ind w:left="990" w:right="677" w:hanging="360"/>
        <w:jc w:val="both"/>
        <w:rPr>
          <w:sz w:val="18"/>
        </w:rPr>
      </w:pPr>
      <w:r>
        <w:rPr>
          <w:sz w:val="18"/>
        </w:rPr>
        <w:t>Measurements of the cell phone: Participants' cell phone measures were taken with a Vernier caliper, with an accuracy of 0.01 mm, measuring the length, width and thickness of the device with and without cell case or protector.</w:t>
      </w:r>
    </w:p>
    <w:p>
      <w:pPr>
        <w:pStyle w:val="ListParagraph"/>
        <w:numPr>
          <w:ilvl w:val="0"/>
          <w:numId w:val="79"/>
        </w:numPr>
        <w:tabs>
          <w:tab w:pos="979" w:val="left" w:leader="none"/>
        </w:tabs>
        <w:spacing w:line="240" w:lineRule="auto" w:before="0" w:after="0"/>
        <w:ind w:left="990" w:right="676" w:hanging="360"/>
        <w:jc w:val="both"/>
        <w:rPr>
          <w:sz w:val="18"/>
        </w:rPr>
      </w:pPr>
      <w:r>
        <w:rPr>
          <w:sz w:val="18"/>
        </w:rPr>
        <w:t>Front-side pictures: we took front-side pictures of the participants using their smartphone. They were put in  two situations: in the first one the participant was asked to write a message, and in the second to look for an app, this in order to observe the neck's inclination, which was measured using squares and protractors, and then determine the pressure that is exerted in the "backbone" [16].</w:t>
      </w:r>
    </w:p>
    <w:p>
      <w:pPr>
        <w:pStyle w:val="BodyText"/>
        <w:rPr>
          <w:sz w:val="18"/>
        </w:rPr>
      </w:pPr>
    </w:p>
    <w:p>
      <w:pPr>
        <w:pStyle w:val="BodyText"/>
        <w:spacing w:before="4"/>
        <w:rPr>
          <w:sz w:val="18"/>
        </w:rPr>
      </w:pPr>
    </w:p>
    <w:p>
      <w:pPr>
        <w:pStyle w:val="ListParagraph"/>
        <w:numPr>
          <w:ilvl w:val="0"/>
          <w:numId w:val="77"/>
        </w:numPr>
        <w:tabs>
          <w:tab w:pos="452" w:val="left" w:leader="none"/>
        </w:tabs>
        <w:spacing w:line="205" w:lineRule="exact" w:before="0" w:after="0"/>
        <w:ind w:left="451" w:right="0" w:hanging="181"/>
        <w:jc w:val="both"/>
        <w:rPr>
          <w:b/>
          <w:sz w:val="18"/>
        </w:rPr>
      </w:pPr>
      <w:r>
        <w:rPr>
          <w:b/>
          <w:sz w:val="18"/>
        </w:rPr>
        <w:t>RESULTS</w:t>
      </w:r>
    </w:p>
    <w:p>
      <w:pPr>
        <w:spacing w:line="240" w:lineRule="auto" w:before="0"/>
        <w:ind w:left="270" w:right="677" w:firstLine="0"/>
        <w:jc w:val="both"/>
        <w:rPr>
          <w:sz w:val="18"/>
        </w:rPr>
      </w:pPr>
      <w:r>
        <w:rPr>
          <w:sz w:val="18"/>
        </w:rPr>
        <w:t>After the analysis of the information from the survey with the sample of 14 men and 9 women ranging from 20-30 years old, we observed that of the 23 main sample, 7 chose their smartphone   by</w:t>
      </w:r>
    </w:p>
    <w:p>
      <w:pPr>
        <w:spacing w:after="0" w:line="240" w:lineRule="auto"/>
        <w:jc w:val="both"/>
        <w:rPr>
          <w:sz w:val="18"/>
        </w:rPr>
        <w:sectPr>
          <w:type w:val="continuous"/>
          <w:pgSz w:w="12240" w:h="15840"/>
          <w:pgMar w:top="1500" w:bottom="280" w:left="580" w:right="220"/>
          <w:cols w:num="2" w:equalWidth="0">
            <w:col w:w="5189" w:space="435"/>
            <w:col w:w="5816"/>
          </w:cols>
        </w:sectPr>
      </w:pPr>
    </w:p>
    <w:p>
      <w:pPr>
        <w:pStyle w:val="BodyText"/>
        <w:rPr>
          <w:sz w:val="11"/>
        </w:rPr>
      </w:pPr>
    </w:p>
    <w:p>
      <w:pPr>
        <w:spacing w:after="0"/>
        <w:rPr>
          <w:sz w:val="11"/>
        </w:rPr>
        <w:sectPr>
          <w:pgSz w:w="12240" w:h="15840"/>
          <w:pgMar w:header="545" w:footer="852" w:top="1060" w:bottom="1040" w:left="580" w:right="220"/>
        </w:sectPr>
      </w:pPr>
    </w:p>
    <w:p>
      <w:pPr>
        <w:spacing w:before="77"/>
        <w:ind w:left="270" w:right="0" w:firstLine="0"/>
        <w:jc w:val="left"/>
        <w:rPr>
          <w:sz w:val="18"/>
        </w:rPr>
      </w:pPr>
      <w:r>
        <w:rPr>
          <w:sz w:val="18"/>
        </w:rPr>
        <w:t>the price as the most frequent factor, followed by other factors like screen size, as shown in the table 1.</w:t>
      </w:r>
    </w:p>
    <w:p>
      <w:pPr>
        <w:pStyle w:val="BodyText"/>
        <w:rPr>
          <w:sz w:val="18"/>
        </w:rPr>
      </w:pPr>
    </w:p>
    <w:p>
      <w:pPr>
        <w:pStyle w:val="BodyText"/>
        <w:rPr>
          <w:sz w:val="18"/>
        </w:rPr>
      </w:pPr>
    </w:p>
    <w:p>
      <w:pPr>
        <w:spacing w:before="0"/>
        <w:ind w:left="269" w:right="1" w:firstLine="0"/>
        <w:jc w:val="center"/>
        <w:rPr>
          <w:sz w:val="18"/>
        </w:rPr>
      </w:pPr>
      <w:r>
        <w:rPr>
          <w:sz w:val="18"/>
        </w:rPr>
        <w:t>Table 1: Factors to select of the Smartphone.</w:t>
      </w:r>
    </w:p>
    <w:p>
      <w:pPr>
        <w:pStyle w:val="BodyText"/>
        <w:spacing w:before="4" w:after="1"/>
        <w:rPr>
          <w:sz w:val="18"/>
        </w:rPr>
      </w:pPr>
    </w:p>
    <w:tbl>
      <w:tblPr>
        <w:tblW w:w="0" w:type="auto"/>
        <w:jc w:val="left"/>
        <w:tblInd w:w="1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6"/>
        <w:gridCol w:w="880"/>
        <w:gridCol w:w="851"/>
        <w:gridCol w:w="850"/>
        <w:gridCol w:w="852"/>
        <w:gridCol w:w="850"/>
      </w:tblGrid>
      <w:tr>
        <w:trPr>
          <w:trHeight w:val="317" w:hRule="exact"/>
        </w:trPr>
        <w:tc>
          <w:tcPr>
            <w:tcW w:w="5167" w:type="dxa"/>
            <w:gridSpan w:val="6"/>
          </w:tcPr>
          <w:p>
            <w:pPr>
              <w:pStyle w:val="TableParagraph"/>
              <w:spacing w:line="206" w:lineRule="exact"/>
              <w:ind w:left="1221"/>
              <w:rPr>
                <w:b/>
                <w:sz w:val="18"/>
              </w:rPr>
            </w:pPr>
            <w:r>
              <w:rPr>
                <w:b/>
                <w:sz w:val="18"/>
              </w:rPr>
              <w:t>Factors to select of the Smartphone</w:t>
            </w:r>
          </w:p>
        </w:tc>
      </w:tr>
      <w:tr>
        <w:trPr>
          <w:trHeight w:val="424" w:hRule="exact"/>
        </w:trPr>
        <w:tc>
          <w:tcPr>
            <w:tcW w:w="886" w:type="dxa"/>
          </w:tcPr>
          <w:p>
            <w:pPr>
              <w:pStyle w:val="TableParagraph"/>
              <w:ind w:left="297" w:right="161" w:hanging="122"/>
              <w:rPr>
                <w:b/>
                <w:sz w:val="18"/>
              </w:rPr>
            </w:pPr>
            <w:r>
              <w:rPr>
                <w:b/>
                <w:sz w:val="18"/>
              </w:rPr>
              <w:t>Screen size</w:t>
            </w:r>
          </w:p>
        </w:tc>
        <w:tc>
          <w:tcPr>
            <w:tcW w:w="880" w:type="dxa"/>
          </w:tcPr>
          <w:p>
            <w:pPr>
              <w:pStyle w:val="TableParagraph"/>
              <w:spacing w:line="206" w:lineRule="exact"/>
              <w:ind w:left="154" w:right="154"/>
              <w:jc w:val="center"/>
              <w:rPr>
                <w:b/>
                <w:sz w:val="18"/>
              </w:rPr>
            </w:pPr>
            <w:r>
              <w:rPr>
                <w:b/>
                <w:sz w:val="18"/>
              </w:rPr>
              <w:t>Design</w:t>
            </w:r>
          </w:p>
        </w:tc>
        <w:tc>
          <w:tcPr>
            <w:tcW w:w="851" w:type="dxa"/>
          </w:tcPr>
          <w:p>
            <w:pPr>
              <w:pStyle w:val="TableParagraph"/>
              <w:spacing w:line="206" w:lineRule="exact"/>
              <w:ind w:left="174" w:right="174"/>
              <w:jc w:val="center"/>
              <w:rPr>
                <w:b/>
                <w:sz w:val="18"/>
              </w:rPr>
            </w:pPr>
            <w:r>
              <w:rPr>
                <w:b/>
                <w:sz w:val="18"/>
              </w:rPr>
              <w:t>Price</w:t>
            </w:r>
          </w:p>
        </w:tc>
        <w:tc>
          <w:tcPr>
            <w:tcW w:w="850" w:type="dxa"/>
          </w:tcPr>
          <w:p>
            <w:pPr>
              <w:pStyle w:val="TableParagraph"/>
              <w:spacing w:line="206" w:lineRule="exact"/>
              <w:ind w:left="155" w:right="154"/>
              <w:jc w:val="center"/>
              <w:rPr>
                <w:b/>
                <w:sz w:val="18"/>
              </w:rPr>
            </w:pPr>
            <w:r>
              <w:rPr>
                <w:b/>
                <w:sz w:val="18"/>
              </w:rPr>
              <w:t>Brand</w:t>
            </w:r>
          </w:p>
        </w:tc>
        <w:tc>
          <w:tcPr>
            <w:tcW w:w="852" w:type="dxa"/>
          </w:tcPr>
          <w:p>
            <w:pPr>
              <w:pStyle w:val="TableParagraph"/>
              <w:spacing w:line="206" w:lineRule="exact"/>
              <w:ind w:left="121" w:right="121"/>
              <w:jc w:val="center"/>
              <w:rPr>
                <w:b/>
                <w:sz w:val="18"/>
              </w:rPr>
            </w:pPr>
            <w:r>
              <w:rPr>
                <w:b/>
                <w:sz w:val="18"/>
              </w:rPr>
              <w:t>Other</w:t>
            </w:r>
          </w:p>
        </w:tc>
        <w:tc>
          <w:tcPr>
            <w:tcW w:w="850" w:type="dxa"/>
          </w:tcPr>
          <w:p>
            <w:pPr>
              <w:pStyle w:val="TableParagraph"/>
              <w:spacing w:line="206" w:lineRule="exact"/>
              <w:ind w:left="154" w:right="154"/>
              <w:jc w:val="center"/>
              <w:rPr>
                <w:b/>
                <w:sz w:val="18"/>
              </w:rPr>
            </w:pPr>
            <w:r>
              <w:rPr>
                <w:b/>
                <w:sz w:val="18"/>
              </w:rPr>
              <w:t>Total</w:t>
            </w:r>
          </w:p>
        </w:tc>
      </w:tr>
      <w:tr>
        <w:trPr>
          <w:trHeight w:val="318" w:hRule="exact"/>
        </w:trPr>
        <w:tc>
          <w:tcPr>
            <w:tcW w:w="886" w:type="dxa"/>
          </w:tcPr>
          <w:p>
            <w:pPr>
              <w:pStyle w:val="TableParagraph"/>
              <w:spacing w:line="202" w:lineRule="exact"/>
              <w:ind w:right="1"/>
              <w:jc w:val="center"/>
              <w:rPr>
                <w:sz w:val="18"/>
              </w:rPr>
            </w:pPr>
            <w:r>
              <w:rPr>
                <w:sz w:val="18"/>
              </w:rPr>
              <w:t>4</w:t>
            </w:r>
          </w:p>
        </w:tc>
        <w:tc>
          <w:tcPr>
            <w:tcW w:w="880" w:type="dxa"/>
          </w:tcPr>
          <w:p>
            <w:pPr>
              <w:pStyle w:val="TableParagraph"/>
              <w:spacing w:line="202" w:lineRule="exact"/>
              <w:jc w:val="center"/>
              <w:rPr>
                <w:sz w:val="18"/>
              </w:rPr>
            </w:pPr>
            <w:r>
              <w:rPr>
                <w:sz w:val="18"/>
              </w:rPr>
              <w:t>3</w:t>
            </w:r>
          </w:p>
        </w:tc>
        <w:tc>
          <w:tcPr>
            <w:tcW w:w="851" w:type="dxa"/>
          </w:tcPr>
          <w:p>
            <w:pPr>
              <w:pStyle w:val="TableParagraph"/>
              <w:spacing w:line="202" w:lineRule="exact"/>
              <w:jc w:val="center"/>
              <w:rPr>
                <w:sz w:val="18"/>
              </w:rPr>
            </w:pPr>
            <w:r>
              <w:rPr>
                <w:sz w:val="18"/>
              </w:rPr>
              <w:t>7</w:t>
            </w:r>
          </w:p>
        </w:tc>
        <w:tc>
          <w:tcPr>
            <w:tcW w:w="850" w:type="dxa"/>
          </w:tcPr>
          <w:p>
            <w:pPr>
              <w:pStyle w:val="TableParagraph"/>
              <w:spacing w:line="202" w:lineRule="exact"/>
              <w:ind w:right="1"/>
              <w:jc w:val="center"/>
              <w:rPr>
                <w:sz w:val="18"/>
              </w:rPr>
            </w:pPr>
            <w:r>
              <w:rPr>
                <w:sz w:val="18"/>
              </w:rPr>
              <w:t>3</w:t>
            </w:r>
          </w:p>
        </w:tc>
        <w:tc>
          <w:tcPr>
            <w:tcW w:w="852" w:type="dxa"/>
          </w:tcPr>
          <w:p>
            <w:pPr>
              <w:pStyle w:val="TableParagraph"/>
              <w:spacing w:line="202" w:lineRule="exact"/>
              <w:ind w:right="1"/>
              <w:jc w:val="center"/>
              <w:rPr>
                <w:sz w:val="18"/>
              </w:rPr>
            </w:pPr>
            <w:r>
              <w:rPr>
                <w:sz w:val="18"/>
              </w:rPr>
              <w:t>6</w:t>
            </w:r>
          </w:p>
        </w:tc>
        <w:tc>
          <w:tcPr>
            <w:tcW w:w="850" w:type="dxa"/>
          </w:tcPr>
          <w:p>
            <w:pPr>
              <w:pStyle w:val="TableParagraph"/>
              <w:spacing w:line="202" w:lineRule="exact"/>
              <w:ind w:left="154" w:right="154"/>
              <w:jc w:val="center"/>
              <w:rPr>
                <w:sz w:val="18"/>
              </w:rPr>
            </w:pPr>
            <w:r>
              <w:rPr>
                <w:sz w:val="18"/>
              </w:rPr>
              <w:t>23</w:t>
            </w:r>
          </w:p>
        </w:tc>
      </w:tr>
    </w:tbl>
    <w:p>
      <w:pPr>
        <w:pStyle w:val="BodyText"/>
        <w:rPr>
          <w:sz w:val="18"/>
        </w:rPr>
      </w:pPr>
    </w:p>
    <w:p>
      <w:pPr>
        <w:pStyle w:val="BodyText"/>
        <w:spacing w:before="6"/>
        <w:rPr>
          <w:sz w:val="17"/>
        </w:rPr>
      </w:pPr>
    </w:p>
    <w:p>
      <w:pPr>
        <w:spacing w:before="0"/>
        <w:ind w:left="270" w:right="0" w:firstLine="453"/>
        <w:jc w:val="both"/>
        <w:rPr>
          <w:sz w:val="18"/>
        </w:rPr>
      </w:pPr>
      <w:r>
        <w:rPr>
          <w:sz w:val="18"/>
        </w:rPr>
        <w:t>Also, we found that of the total participants, 60.87% daily spend 4 hours or more using their smartphones.</w:t>
      </w:r>
    </w:p>
    <w:p>
      <w:pPr>
        <w:spacing w:before="0"/>
        <w:ind w:left="270" w:right="0" w:firstLine="453"/>
        <w:jc w:val="both"/>
        <w:rPr>
          <w:sz w:val="18"/>
        </w:rPr>
      </w:pPr>
      <w:r>
        <w:rPr>
          <w:sz w:val="18"/>
        </w:rPr>
        <w:t>As shown in Table 2, more than half of those surveyed said that it is easy to hold and manipulate the device but despite the above, Table 3 shows that only 3 of the 23 people polled do not have discomfort associated with the use of</w:t>
      </w:r>
      <w:r>
        <w:rPr>
          <w:spacing w:val="-8"/>
          <w:sz w:val="18"/>
        </w:rPr>
        <w:t> </w:t>
      </w:r>
      <w:r>
        <w:rPr>
          <w:sz w:val="18"/>
        </w:rPr>
        <w:t>smartphone.</w:t>
      </w:r>
    </w:p>
    <w:p>
      <w:pPr>
        <w:spacing w:before="0"/>
        <w:ind w:left="270" w:right="0" w:firstLine="453"/>
        <w:jc w:val="both"/>
        <w:rPr>
          <w:sz w:val="18"/>
        </w:rPr>
      </w:pPr>
      <w:r>
        <w:rPr>
          <w:sz w:val="18"/>
        </w:rPr>
        <w:t>The discomforts more mentioned by participants were pain in thumbs and pain in finger, followed by other ailments shown in Table 4.</w:t>
      </w:r>
    </w:p>
    <w:p>
      <w:pPr>
        <w:pStyle w:val="BodyText"/>
        <w:rPr>
          <w:sz w:val="18"/>
        </w:rPr>
      </w:pPr>
    </w:p>
    <w:p>
      <w:pPr>
        <w:pStyle w:val="BodyText"/>
        <w:rPr>
          <w:sz w:val="18"/>
        </w:rPr>
      </w:pPr>
    </w:p>
    <w:p>
      <w:pPr>
        <w:spacing w:before="0"/>
        <w:ind w:left="269" w:right="1" w:firstLine="0"/>
        <w:jc w:val="center"/>
        <w:rPr>
          <w:sz w:val="18"/>
        </w:rPr>
      </w:pPr>
      <w:r>
        <w:rPr>
          <w:sz w:val="18"/>
        </w:rPr>
        <w:t>Table 2: Manipulation of the device.</w:t>
      </w:r>
    </w:p>
    <w:p>
      <w:pPr>
        <w:spacing w:before="77"/>
        <w:ind w:left="270" w:right="675" w:firstLine="453"/>
        <w:jc w:val="both"/>
        <w:rPr>
          <w:sz w:val="18"/>
        </w:rPr>
      </w:pPr>
      <w:r>
        <w:rPr/>
        <w:br w:type="column"/>
      </w:r>
      <w:r>
        <w:rPr>
          <w:sz w:val="18"/>
        </w:rPr>
        <w:t>Following with the steps described in the Method section, </w:t>
      </w:r>
      <w:r>
        <w:rPr>
          <w:color w:val="2A2D3B"/>
          <w:sz w:val="18"/>
        </w:rPr>
        <w:t>with the acquired information in stages 2 and 3 shown in Table 5,  it was determined if the size of smartphones were appropriate to  the size of each respondent's hand according to the length of the thumb and the separation between the base of the thumb and the first phalanx of the index finger. With the first measurement is determined the percentage range of the screen, which may be the 5, 50 or 95% of it, and the second is use to establish the Smartphone grip, which also is classified into 5, 50 or determined</w:t>
      </w:r>
      <w:r>
        <w:rPr>
          <w:color w:val="2A2D3B"/>
          <w:spacing w:val="-2"/>
          <w:sz w:val="18"/>
        </w:rPr>
        <w:t> </w:t>
      </w:r>
      <w:r>
        <w:rPr>
          <w:color w:val="2A2D3B"/>
          <w:sz w:val="18"/>
        </w:rPr>
        <w:t>95%.</w:t>
      </w:r>
    </w:p>
    <w:p>
      <w:pPr>
        <w:spacing w:before="0"/>
        <w:ind w:left="270" w:right="675" w:firstLine="453"/>
        <w:jc w:val="both"/>
        <w:rPr>
          <w:sz w:val="18"/>
        </w:rPr>
      </w:pPr>
      <w:r>
        <w:rPr>
          <w:color w:val="2A2D3B"/>
          <w:sz w:val="18"/>
        </w:rPr>
        <w:t>According to the indicated method, first the extent of thumb is determined to set the size of the ideal display, between 4, 5 and 6 inches for the 5, 50 and 95% respectively. Then it is established whether the second measurement is greater than 5%, if this condition does not happen, then the size of the device must be smaller than the correspondent of the first measurement.</w:t>
      </w:r>
    </w:p>
    <w:p>
      <w:pPr>
        <w:pStyle w:val="BodyText"/>
        <w:rPr>
          <w:sz w:val="18"/>
        </w:rPr>
      </w:pPr>
    </w:p>
    <w:p>
      <w:pPr>
        <w:pStyle w:val="BodyText"/>
        <w:rPr>
          <w:sz w:val="18"/>
        </w:rPr>
      </w:pPr>
    </w:p>
    <w:p>
      <w:pPr>
        <w:spacing w:before="0"/>
        <w:ind w:left="930" w:right="852" w:firstLine="0"/>
        <w:jc w:val="left"/>
        <w:rPr>
          <w:sz w:val="18"/>
        </w:rPr>
      </w:pPr>
      <w:r>
        <w:rPr>
          <w:sz w:val="18"/>
        </w:rPr>
        <w:t>Table 5: proportional ratio of hand measurement.</w:t>
      </w:r>
    </w:p>
    <w:p>
      <w:pPr>
        <w:spacing w:after="0"/>
        <w:jc w:val="left"/>
        <w:rPr>
          <w:sz w:val="18"/>
        </w:rPr>
        <w:sectPr>
          <w:type w:val="continuous"/>
          <w:pgSz w:w="12240" w:h="15840"/>
          <w:pgMar w:top="1500" w:bottom="280" w:left="580" w:right="220"/>
          <w:cols w:num="2" w:equalWidth="0">
            <w:col w:w="5189" w:space="436"/>
            <w:col w:w="5815"/>
          </w:cols>
        </w:sectPr>
      </w:pPr>
    </w:p>
    <w:p>
      <w:pPr>
        <w:pStyle w:val="BodyText"/>
        <w:spacing w:before="4" w:after="1"/>
        <w:rPr>
          <w:sz w:val="18"/>
        </w:rPr>
      </w:pPr>
    </w:p>
    <w:tbl>
      <w:tblPr>
        <w:tblW w:w="0" w:type="auto"/>
        <w:jc w:val="left"/>
        <w:tblInd w:w="1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59"/>
        <w:gridCol w:w="1422"/>
        <w:gridCol w:w="1423"/>
        <w:gridCol w:w="1049"/>
      </w:tblGrid>
      <w:tr>
        <w:trPr>
          <w:trHeight w:val="298" w:hRule="exact"/>
        </w:trPr>
        <w:tc>
          <w:tcPr>
            <w:tcW w:w="2581" w:type="dxa"/>
            <w:gridSpan w:val="2"/>
          </w:tcPr>
          <w:p>
            <w:pPr>
              <w:pStyle w:val="TableParagraph"/>
              <w:spacing w:before="39"/>
              <w:ind w:left="666"/>
              <w:rPr>
                <w:b/>
                <w:sz w:val="18"/>
              </w:rPr>
            </w:pPr>
            <w:r>
              <w:rPr>
                <w:b/>
                <w:sz w:val="18"/>
              </w:rPr>
              <w:t>Comfort to hold</w:t>
            </w:r>
          </w:p>
        </w:tc>
        <w:tc>
          <w:tcPr>
            <w:tcW w:w="2472" w:type="dxa"/>
            <w:gridSpan w:val="2"/>
          </w:tcPr>
          <w:p>
            <w:pPr>
              <w:pStyle w:val="TableParagraph"/>
              <w:spacing w:before="39"/>
              <w:ind w:left="638"/>
              <w:rPr>
                <w:b/>
                <w:sz w:val="18"/>
              </w:rPr>
            </w:pPr>
            <w:r>
              <w:rPr>
                <w:b/>
                <w:sz w:val="18"/>
              </w:rPr>
              <w:t>Easy to operate</w:t>
            </w:r>
          </w:p>
        </w:tc>
      </w:tr>
      <w:tr>
        <w:trPr>
          <w:trHeight w:val="298" w:hRule="exact"/>
        </w:trPr>
        <w:tc>
          <w:tcPr>
            <w:tcW w:w="1159" w:type="dxa"/>
          </w:tcPr>
          <w:p>
            <w:pPr>
              <w:pStyle w:val="TableParagraph"/>
              <w:spacing w:before="39"/>
              <w:ind w:left="434" w:right="140"/>
              <w:rPr>
                <w:b/>
                <w:sz w:val="18"/>
              </w:rPr>
            </w:pPr>
            <w:r>
              <w:rPr>
                <w:b/>
                <w:sz w:val="18"/>
              </w:rPr>
              <w:t>Yes</w:t>
            </w:r>
          </w:p>
        </w:tc>
        <w:tc>
          <w:tcPr>
            <w:tcW w:w="1422" w:type="dxa"/>
          </w:tcPr>
          <w:p>
            <w:pPr>
              <w:pStyle w:val="TableParagraph"/>
              <w:spacing w:before="39"/>
              <w:ind w:left="576" w:right="576"/>
              <w:jc w:val="center"/>
              <w:rPr>
                <w:b/>
                <w:sz w:val="18"/>
              </w:rPr>
            </w:pPr>
            <w:r>
              <w:rPr>
                <w:b/>
                <w:sz w:val="18"/>
              </w:rPr>
              <w:t>No</w:t>
            </w:r>
          </w:p>
        </w:tc>
        <w:tc>
          <w:tcPr>
            <w:tcW w:w="1423" w:type="dxa"/>
          </w:tcPr>
          <w:p>
            <w:pPr>
              <w:pStyle w:val="TableParagraph"/>
              <w:spacing w:before="39"/>
              <w:ind w:left="49" w:right="49"/>
              <w:jc w:val="center"/>
              <w:rPr>
                <w:b/>
                <w:sz w:val="18"/>
              </w:rPr>
            </w:pPr>
            <w:r>
              <w:rPr>
                <w:b/>
                <w:sz w:val="18"/>
              </w:rPr>
              <w:t>Yes</w:t>
            </w:r>
          </w:p>
        </w:tc>
        <w:tc>
          <w:tcPr>
            <w:tcW w:w="1049" w:type="dxa"/>
          </w:tcPr>
          <w:p>
            <w:pPr>
              <w:pStyle w:val="TableParagraph"/>
              <w:spacing w:before="39"/>
              <w:ind w:left="389" w:right="389"/>
              <w:jc w:val="center"/>
              <w:rPr>
                <w:b/>
                <w:sz w:val="18"/>
              </w:rPr>
            </w:pPr>
            <w:r>
              <w:rPr>
                <w:b/>
                <w:sz w:val="18"/>
              </w:rPr>
              <w:t>No</w:t>
            </w:r>
          </w:p>
        </w:tc>
      </w:tr>
      <w:tr>
        <w:trPr>
          <w:trHeight w:val="299" w:hRule="exact"/>
        </w:trPr>
        <w:tc>
          <w:tcPr>
            <w:tcW w:w="1159" w:type="dxa"/>
          </w:tcPr>
          <w:p>
            <w:pPr>
              <w:pStyle w:val="TableParagraph"/>
              <w:spacing w:before="37"/>
              <w:ind w:left="484" w:right="140"/>
              <w:rPr>
                <w:sz w:val="18"/>
              </w:rPr>
            </w:pPr>
            <w:r>
              <w:rPr>
                <w:sz w:val="18"/>
              </w:rPr>
              <w:t>13</w:t>
            </w:r>
          </w:p>
        </w:tc>
        <w:tc>
          <w:tcPr>
            <w:tcW w:w="1422" w:type="dxa"/>
          </w:tcPr>
          <w:p>
            <w:pPr>
              <w:pStyle w:val="TableParagraph"/>
              <w:spacing w:before="37"/>
              <w:ind w:left="575" w:right="576"/>
              <w:jc w:val="center"/>
              <w:rPr>
                <w:sz w:val="18"/>
              </w:rPr>
            </w:pPr>
            <w:r>
              <w:rPr>
                <w:sz w:val="18"/>
              </w:rPr>
              <w:t>10</w:t>
            </w:r>
          </w:p>
        </w:tc>
        <w:tc>
          <w:tcPr>
            <w:tcW w:w="1423" w:type="dxa"/>
          </w:tcPr>
          <w:p>
            <w:pPr>
              <w:pStyle w:val="TableParagraph"/>
              <w:spacing w:before="37"/>
              <w:ind w:left="49" w:right="49"/>
              <w:jc w:val="center"/>
              <w:rPr>
                <w:sz w:val="18"/>
              </w:rPr>
            </w:pPr>
            <w:r>
              <w:rPr>
                <w:sz w:val="18"/>
              </w:rPr>
              <w:t>14</w:t>
            </w:r>
          </w:p>
        </w:tc>
        <w:tc>
          <w:tcPr>
            <w:tcW w:w="1049" w:type="dxa"/>
          </w:tcPr>
          <w:p>
            <w:pPr>
              <w:pStyle w:val="TableParagraph"/>
              <w:spacing w:before="37"/>
              <w:ind w:left="1"/>
              <w:jc w:val="center"/>
              <w:rPr>
                <w:sz w:val="18"/>
              </w:rPr>
            </w:pPr>
            <w:r>
              <w:rPr>
                <w:sz w:val="18"/>
              </w:rPr>
              <w:t>9</w:t>
            </w:r>
          </w:p>
        </w:tc>
      </w:tr>
      <w:tr>
        <w:trPr>
          <w:trHeight w:val="424" w:hRule="exact"/>
        </w:trPr>
        <w:tc>
          <w:tcPr>
            <w:tcW w:w="1159" w:type="dxa"/>
          </w:tcPr>
          <w:p>
            <w:pPr>
              <w:pStyle w:val="TableParagraph"/>
              <w:ind w:left="159" w:right="140" w:firstLine="214"/>
              <w:rPr>
                <w:b/>
                <w:sz w:val="18"/>
              </w:rPr>
            </w:pPr>
            <w:r>
              <w:rPr>
                <w:b/>
                <w:sz w:val="18"/>
              </w:rPr>
              <w:t>Have discomfort</w:t>
            </w:r>
          </w:p>
        </w:tc>
        <w:tc>
          <w:tcPr>
            <w:tcW w:w="1422" w:type="dxa"/>
            <w:vMerge w:val="restart"/>
          </w:tcPr>
          <w:p>
            <w:pPr/>
          </w:p>
        </w:tc>
        <w:tc>
          <w:tcPr>
            <w:tcW w:w="1423" w:type="dxa"/>
          </w:tcPr>
          <w:p>
            <w:pPr>
              <w:pStyle w:val="TableParagraph"/>
              <w:spacing w:before="102"/>
              <w:ind w:left="49" w:right="49"/>
              <w:jc w:val="center"/>
              <w:rPr>
                <w:b/>
                <w:sz w:val="18"/>
              </w:rPr>
            </w:pPr>
            <w:r>
              <w:rPr>
                <w:b/>
                <w:sz w:val="18"/>
              </w:rPr>
              <w:t>Have discomfort</w:t>
            </w:r>
          </w:p>
        </w:tc>
        <w:tc>
          <w:tcPr>
            <w:tcW w:w="1049" w:type="dxa"/>
            <w:vMerge w:val="restart"/>
            <w:tcBorders>
              <w:right w:val="nil"/>
            </w:tcBorders>
          </w:tcPr>
          <w:p>
            <w:pPr/>
          </w:p>
        </w:tc>
      </w:tr>
      <w:tr>
        <w:trPr>
          <w:trHeight w:val="299" w:hRule="exact"/>
        </w:trPr>
        <w:tc>
          <w:tcPr>
            <w:tcW w:w="1159" w:type="dxa"/>
          </w:tcPr>
          <w:p>
            <w:pPr>
              <w:pStyle w:val="TableParagraph"/>
              <w:spacing w:before="36"/>
              <w:ind w:left="484" w:right="140"/>
              <w:rPr>
                <w:sz w:val="18"/>
              </w:rPr>
            </w:pPr>
            <w:r>
              <w:rPr>
                <w:sz w:val="18"/>
              </w:rPr>
              <w:t>11</w:t>
            </w:r>
          </w:p>
        </w:tc>
        <w:tc>
          <w:tcPr>
            <w:tcW w:w="1422" w:type="dxa"/>
            <w:vMerge/>
            <w:tcBorders>
              <w:bottom w:val="nil"/>
            </w:tcBorders>
          </w:tcPr>
          <w:p>
            <w:pPr/>
          </w:p>
        </w:tc>
        <w:tc>
          <w:tcPr>
            <w:tcW w:w="1423" w:type="dxa"/>
          </w:tcPr>
          <w:p>
            <w:pPr>
              <w:pStyle w:val="TableParagraph"/>
              <w:spacing w:before="36"/>
              <w:ind w:left="49" w:right="49"/>
              <w:jc w:val="center"/>
              <w:rPr>
                <w:sz w:val="18"/>
              </w:rPr>
            </w:pPr>
            <w:r>
              <w:rPr>
                <w:sz w:val="18"/>
              </w:rPr>
              <w:t>12</w:t>
            </w:r>
          </w:p>
        </w:tc>
        <w:tc>
          <w:tcPr>
            <w:tcW w:w="1049" w:type="dxa"/>
            <w:vMerge/>
            <w:tcBorders>
              <w:bottom w:val="nil"/>
              <w:right w:val="nil"/>
            </w:tcBorders>
          </w:tcPr>
          <w:p>
            <w:pPr/>
          </w:p>
        </w:tc>
      </w:tr>
    </w:tbl>
    <w:p>
      <w:pPr>
        <w:pStyle w:val="BodyText"/>
        <w:spacing w:before="10"/>
        <w:rPr>
          <w:sz w:val="28"/>
        </w:rPr>
      </w:pPr>
    </w:p>
    <w:p>
      <w:pPr>
        <w:spacing w:before="77"/>
        <w:ind w:left="1128" w:right="6276" w:firstLine="0"/>
        <w:jc w:val="left"/>
        <w:rPr>
          <w:sz w:val="18"/>
        </w:rPr>
      </w:pPr>
      <w:r>
        <w:rPr/>
        <w:pict>
          <v:shape style="position:absolute;margin-left:338.519989pt;margin-top:-172.007645pt;width:213.9pt;height:374.85pt;mso-position-horizontal-relative:page;mso-position-vertical-relative:paragraph;z-index:8992"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32"/>
                    <w:gridCol w:w="779"/>
                    <w:gridCol w:w="518"/>
                    <w:gridCol w:w="1172"/>
                    <w:gridCol w:w="762"/>
                  </w:tblGrid>
                  <w:tr>
                    <w:trPr>
                      <w:trHeight w:val="310" w:hRule="exact"/>
                    </w:trPr>
                    <w:tc>
                      <w:tcPr>
                        <w:tcW w:w="1032" w:type="dxa"/>
                        <w:vMerge w:val="restart"/>
                      </w:tcPr>
                      <w:p>
                        <w:pPr>
                          <w:pStyle w:val="TableParagraph"/>
                          <w:rPr>
                            <w:sz w:val="18"/>
                          </w:rPr>
                        </w:pPr>
                      </w:p>
                      <w:p>
                        <w:pPr>
                          <w:pStyle w:val="TableParagraph"/>
                          <w:spacing w:before="11"/>
                          <w:rPr>
                            <w:sz w:val="16"/>
                          </w:rPr>
                        </w:pPr>
                      </w:p>
                      <w:p>
                        <w:pPr>
                          <w:pStyle w:val="TableParagraph"/>
                          <w:ind w:left="190" w:right="99"/>
                          <w:rPr>
                            <w:b/>
                            <w:sz w:val="18"/>
                          </w:rPr>
                        </w:pPr>
                        <w:r>
                          <w:rPr>
                            <w:b/>
                            <w:sz w:val="18"/>
                          </w:rPr>
                          <w:t>Number</w:t>
                        </w:r>
                      </w:p>
                    </w:tc>
                    <w:tc>
                      <w:tcPr>
                        <w:tcW w:w="3232" w:type="dxa"/>
                        <w:gridSpan w:val="4"/>
                      </w:tcPr>
                      <w:p>
                        <w:pPr>
                          <w:pStyle w:val="TableParagraph"/>
                          <w:spacing w:before="92"/>
                          <w:ind w:left="1035"/>
                          <w:rPr>
                            <w:b/>
                            <w:sz w:val="18"/>
                          </w:rPr>
                        </w:pPr>
                        <w:r>
                          <w:rPr>
                            <w:b/>
                            <w:sz w:val="18"/>
                          </w:rPr>
                          <w:t>Hand size (cm)</w:t>
                        </w:r>
                      </w:p>
                    </w:tc>
                  </w:tr>
                  <w:tr>
                    <w:trPr>
                      <w:trHeight w:val="311" w:hRule="exact"/>
                    </w:trPr>
                    <w:tc>
                      <w:tcPr>
                        <w:tcW w:w="1032" w:type="dxa"/>
                        <w:vMerge/>
                      </w:tcPr>
                      <w:p>
                        <w:pPr/>
                      </w:p>
                    </w:tc>
                    <w:tc>
                      <w:tcPr>
                        <w:tcW w:w="779" w:type="dxa"/>
                      </w:tcPr>
                      <w:p>
                        <w:pPr>
                          <w:pStyle w:val="TableParagraph"/>
                          <w:spacing w:before="92"/>
                          <w:ind w:left="79" w:right="79"/>
                          <w:jc w:val="center"/>
                          <w:rPr>
                            <w:b/>
                            <w:sz w:val="18"/>
                          </w:rPr>
                        </w:pPr>
                        <w:r>
                          <w:rPr>
                            <w:b/>
                            <w:sz w:val="18"/>
                          </w:rPr>
                          <w:t>Thumb</w:t>
                        </w:r>
                      </w:p>
                    </w:tc>
                    <w:tc>
                      <w:tcPr>
                        <w:tcW w:w="518" w:type="dxa"/>
                      </w:tcPr>
                      <w:p>
                        <w:pPr>
                          <w:pStyle w:val="TableParagraph"/>
                          <w:spacing w:before="92"/>
                          <w:ind w:left="163"/>
                          <w:rPr>
                            <w:b/>
                            <w:sz w:val="18"/>
                          </w:rPr>
                        </w:pPr>
                        <w:r>
                          <w:rPr>
                            <w:b/>
                            <w:sz w:val="18"/>
                          </w:rPr>
                          <w:t>%</w:t>
                        </w:r>
                      </w:p>
                    </w:tc>
                    <w:tc>
                      <w:tcPr>
                        <w:tcW w:w="1172" w:type="dxa"/>
                      </w:tcPr>
                      <w:p>
                        <w:pPr>
                          <w:pStyle w:val="TableParagraph"/>
                          <w:spacing w:before="92"/>
                          <w:ind w:left="141" w:right="141"/>
                          <w:jc w:val="center"/>
                          <w:rPr>
                            <w:b/>
                            <w:sz w:val="18"/>
                          </w:rPr>
                        </w:pPr>
                        <w:r>
                          <w:rPr>
                            <w:b/>
                            <w:sz w:val="18"/>
                          </w:rPr>
                          <w:t>Separation</w:t>
                        </w:r>
                      </w:p>
                    </w:tc>
                    <w:tc>
                      <w:tcPr>
                        <w:tcW w:w="762" w:type="dxa"/>
                      </w:tcPr>
                      <w:p>
                        <w:pPr>
                          <w:pStyle w:val="TableParagraph"/>
                          <w:spacing w:before="92"/>
                          <w:jc w:val="center"/>
                          <w:rPr>
                            <w:b/>
                            <w:sz w:val="18"/>
                          </w:rPr>
                        </w:pPr>
                        <w:r>
                          <w:rPr>
                            <w:b/>
                            <w:sz w:val="18"/>
                          </w:rPr>
                          <w:t>%</w:t>
                        </w:r>
                      </w:p>
                    </w:tc>
                  </w:tr>
                  <w:tr>
                    <w:trPr>
                      <w:trHeight w:val="298" w:hRule="exact"/>
                    </w:trPr>
                    <w:tc>
                      <w:tcPr>
                        <w:tcW w:w="1032" w:type="dxa"/>
                      </w:tcPr>
                      <w:p>
                        <w:pPr>
                          <w:pStyle w:val="TableParagraph"/>
                          <w:spacing w:before="75"/>
                          <w:ind w:left="465"/>
                          <w:rPr>
                            <w:sz w:val="18"/>
                          </w:rPr>
                        </w:pPr>
                        <w:r>
                          <w:rPr>
                            <w:sz w:val="18"/>
                          </w:rPr>
                          <w:t>1</w:t>
                        </w:r>
                      </w:p>
                    </w:tc>
                    <w:tc>
                      <w:tcPr>
                        <w:tcW w:w="779" w:type="dxa"/>
                      </w:tcPr>
                      <w:p>
                        <w:pPr>
                          <w:pStyle w:val="TableParagraph"/>
                          <w:spacing w:before="75"/>
                          <w:jc w:val="center"/>
                          <w:rPr>
                            <w:sz w:val="18"/>
                          </w:rPr>
                        </w:pPr>
                        <w:r>
                          <w:rPr>
                            <w:sz w:val="18"/>
                          </w:rPr>
                          <w:t>6</w:t>
                        </w:r>
                      </w:p>
                    </w:tc>
                    <w:tc>
                      <w:tcPr>
                        <w:tcW w:w="518" w:type="dxa"/>
                      </w:tcPr>
                      <w:p>
                        <w:pPr>
                          <w:pStyle w:val="TableParagraph"/>
                          <w:spacing w:before="75"/>
                          <w:ind w:left="163"/>
                          <w:rPr>
                            <w:sz w:val="18"/>
                          </w:rPr>
                        </w:pPr>
                        <w:r>
                          <w:rPr>
                            <w:sz w:val="18"/>
                          </w:rPr>
                          <w:t>50</w:t>
                        </w:r>
                      </w:p>
                    </w:tc>
                    <w:tc>
                      <w:tcPr>
                        <w:tcW w:w="1172" w:type="dxa"/>
                      </w:tcPr>
                      <w:p>
                        <w:pPr>
                          <w:pStyle w:val="TableParagraph"/>
                          <w:spacing w:before="75"/>
                          <w:jc w:val="center"/>
                          <w:rPr>
                            <w:sz w:val="18"/>
                          </w:rPr>
                        </w:pPr>
                        <w:r>
                          <w:rPr>
                            <w:sz w:val="18"/>
                          </w:rPr>
                          <w:t>7</w:t>
                        </w:r>
                      </w:p>
                    </w:tc>
                    <w:tc>
                      <w:tcPr>
                        <w:tcW w:w="762" w:type="dxa"/>
                      </w:tcPr>
                      <w:p>
                        <w:pPr>
                          <w:pStyle w:val="TableParagraph"/>
                          <w:spacing w:before="75"/>
                          <w:ind w:left="152" w:right="153"/>
                          <w:jc w:val="center"/>
                          <w:rPr>
                            <w:sz w:val="18"/>
                          </w:rPr>
                        </w:pPr>
                        <w:r>
                          <w:rPr>
                            <w:sz w:val="18"/>
                          </w:rPr>
                          <w:t>95</w:t>
                        </w:r>
                      </w:p>
                    </w:tc>
                  </w:tr>
                  <w:tr>
                    <w:trPr>
                      <w:trHeight w:val="298" w:hRule="exact"/>
                    </w:trPr>
                    <w:tc>
                      <w:tcPr>
                        <w:tcW w:w="1032" w:type="dxa"/>
                      </w:tcPr>
                      <w:p>
                        <w:pPr>
                          <w:pStyle w:val="TableParagraph"/>
                          <w:spacing w:before="76"/>
                          <w:ind w:left="465"/>
                          <w:rPr>
                            <w:sz w:val="18"/>
                          </w:rPr>
                        </w:pPr>
                        <w:r>
                          <w:rPr>
                            <w:sz w:val="18"/>
                          </w:rPr>
                          <w:t>2</w:t>
                        </w:r>
                      </w:p>
                    </w:tc>
                    <w:tc>
                      <w:tcPr>
                        <w:tcW w:w="779" w:type="dxa"/>
                      </w:tcPr>
                      <w:p>
                        <w:pPr>
                          <w:pStyle w:val="TableParagraph"/>
                          <w:spacing w:before="76"/>
                          <w:ind w:left="78" w:right="79"/>
                          <w:jc w:val="center"/>
                          <w:rPr>
                            <w:sz w:val="18"/>
                          </w:rPr>
                        </w:pPr>
                        <w:r>
                          <w:rPr>
                            <w:sz w:val="18"/>
                          </w:rPr>
                          <w:t>6.5</w:t>
                        </w:r>
                      </w:p>
                    </w:tc>
                    <w:tc>
                      <w:tcPr>
                        <w:tcW w:w="518" w:type="dxa"/>
                      </w:tcPr>
                      <w:p>
                        <w:pPr>
                          <w:pStyle w:val="TableParagraph"/>
                          <w:spacing w:before="76"/>
                          <w:ind w:left="162"/>
                          <w:rPr>
                            <w:sz w:val="18"/>
                          </w:rPr>
                        </w:pPr>
                        <w:r>
                          <w:rPr>
                            <w:sz w:val="18"/>
                          </w:rPr>
                          <w:t>50</w:t>
                        </w:r>
                      </w:p>
                    </w:tc>
                    <w:tc>
                      <w:tcPr>
                        <w:tcW w:w="1172" w:type="dxa"/>
                      </w:tcPr>
                      <w:p>
                        <w:pPr>
                          <w:pStyle w:val="TableParagraph"/>
                          <w:spacing w:before="76"/>
                          <w:ind w:left="140" w:right="141"/>
                          <w:jc w:val="center"/>
                          <w:rPr>
                            <w:sz w:val="18"/>
                          </w:rPr>
                        </w:pPr>
                        <w:r>
                          <w:rPr>
                            <w:sz w:val="18"/>
                          </w:rPr>
                          <w:t>6.5</w:t>
                        </w:r>
                      </w:p>
                    </w:tc>
                    <w:tc>
                      <w:tcPr>
                        <w:tcW w:w="762" w:type="dxa"/>
                      </w:tcPr>
                      <w:p>
                        <w:pPr>
                          <w:pStyle w:val="TableParagraph"/>
                          <w:spacing w:before="76"/>
                          <w:ind w:left="152" w:right="153"/>
                          <w:jc w:val="center"/>
                          <w:rPr>
                            <w:sz w:val="18"/>
                          </w:rPr>
                        </w:pPr>
                        <w:r>
                          <w:rPr>
                            <w:sz w:val="18"/>
                          </w:rPr>
                          <w:t>95</w:t>
                        </w:r>
                      </w:p>
                    </w:tc>
                  </w:tr>
                  <w:tr>
                    <w:trPr>
                      <w:trHeight w:val="299" w:hRule="exact"/>
                    </w:trPr>
                    <w:tc>
                      <w:tcPr>
                        <w:tcW w:w="1032" w:type="dxa"/>
                      </w:tcPr>
                      <w:p>
                        <w:pPr>
                          <w:pStyle w:val="TableParagraph"/>
                          <w:spacing w:before="76"/>
                          <w:ind w:left="465"/>
                          <w:rPr>
                            <w:sz w:val="18"/>
                          </w:rPr>
                        </w:pPr>
                        <w:r>
                          <w:rPr>
                            <w:sz w:val="18"/>
                          </w:rPr>
                          <w:t>3</w:t>
                        </w:r>
                      </w:p>
                    </w:tc>
                    <w:tc>
                      <w:tcPr>
                        <w:tcW w:w="779" w:type="dxa"/>
                      </w:tcPr>
                      <w:p>
                        <w:pPr>
                          <w:pStyle w:val="TableParagraph"/>
                          <w:spacing w:before="76"/>
                          <w:ind w:left="78" w:right="79"/>
                          <w:jc w:val="center"/>
                          <w:rPr>
                            <w:sz w:val="18"/>
                          </w:rPr>
                        </w:pPr>
                        <w:r>
                          <w:rPr>
                            <w:sz w:val="18"/>
                          </w:rPr>
                          <w:t>6.5</w:t>
                        </w:r>
                      </w:p>
                    </w:tc>
                    <w:tc>
                      <w:tcPr>
                        <w:tcW w:w="518" w:type="dxa"/>
                      </w:tcPr>
                      <w:p>
                        <w:pPr>
                          <w:pStyle w:val="TableParagraph"/>
                          <w:spacing w:before="76"/>
                          <w:ind w:left="162"/>
                          <w:rPr>
                            <w:sz w:val="18"/>
                          </w:rPr>
                        </w:pPr>
                        <w:r>
                          <w:rPr>
                            <w:sz w:val="18"/>
                          </w:rPr>
                          <w:t>50</w:t>
                        </w:r>
                      </w:p>
                    </w:tc>
                    <w:tc>
                      <w:tcPr>
                        <w:tcW w:w="1172" w:type="dxa"/>
                      </w:tcPr>
                      <w:p>
                        <w:pPr>
                          <w:pStyle w:val="TableParagraph"/>
                          <w:spacing w:before="76"/>
                          <w:ind w:left="140" w:right="141"/>
                          <w:jc w:val="center"/>
                          <w:rPr>
                            <w:sz w:val="18"/>
                          </w:rPr>
                        </w:pPr>
                        <w:r>
                          <w:rPr>
                            <w:sz w:val="18"/>
                          </w:rPr>
                          <w:t>7.5</w:t>
                        </w:r>
                      </w:p>
                    </w:tc>
                    <w:tc>
                      <w:tcPr>
                        <w:tcW w:w="762" w:type="dxa"/>
                      </w:tcPr>
                      <w:p>
                        <w:pPr>
                          <w:pStyle w:val="TableParagraph"/>
                          <w:spacing w:before="76"/>
                          <w:ind w:left="152" w:right="153"/>
                          <w:jc w:val="center"/>
                          <w:rPr>
                            <w:sz w:val="18"/>
                          </w:rPr>
                        </w:pPr>
                        <w:r>
                          <w:rPr>
                            <w:sz w:val="18"/>
                          </w:rPr>
                          <w:t>95</w:t>
                        </w:r>
                      </w:p>
                    </w:tc>
                  </w:tr>
                  <w:tr>
                    <w:trPr>
                      <w:trHeight w:val="298" w:hRule="exact"/>
                    </w:trPr>
                    <w:tc>
                      <w:tcPr>
                        <w:tcW w:w="1032" w:type="dxa"/>
                      </w:tcPr>
                      <w:p>
                        <w:pPr>
                          <w:pStyle w:val="TableParagraph"/>
                          <w:spacing w:before="75"/>
                          <w:ind w:left="465"/>
                          <w:rPr>
                            <w:sz w:val="18"/>
                          </w:rPr>
                        </w:pPr>
                        <w:r>
                          <w:rPr>
                            <w:sz w:val="18"/>
                          </w:rPr>
                          <w:t>4</w:t>
                        </w:r>
                      </w:p>
                    </w:tc>
                    <w:tc>
                      <w:tcPr>
                        <w:tcW w:w="779" w:type="dxa"/>
                      </w:tcPr>
                      <w:p>
                        <w:pPr>
                          <w:pStyle w:val="TableParagraph"/>
                          <w:spacing w:before="75"/>
                          <w:jc w:val="center"/>
                          <w:rPr>
                            <w:sz w:val="18"/>
                          </w:rPr>
                        </w:pPr>
                        <w:r>
                          <w:rPr>
                            <w:sz w:val="18"/>
                          </w:rPr>
                          <w:t>6</w:t>
                        </w:r>
                      </w:p>
                    </w:tc>
                    <w:tc>
                      <w:tcPr>
                        <w:tcW w:w="518" w:type="dxa"/>
                      </w:tcPr>
                      <w:p>
                        <w:pPr>
                          <w:pStyle w:val="TableParagraph"/>
                          <w:spacing w:before="75"/>
                          <w:ind w:left="208"/>
                          <w:rPr>
                            <w:sz w:val="18"/>
                          </w:rPr>
                        </w:pPr>
                        <w:r>
                          <w:rPr>
                            <w:sz w:val="18"/>
                          </w:rPr>
                          <w:t>5</w:t>
                        </w:r>
                      </w:p>
                    </w:tc>
                    <w:tc>
                      <w:tcPr>
                        <w:tcW w:w="1172" w:type="dxa"/>
                      </w:tcPr>
                      <w:p>
                        <w:pPr>
                          <w:pStyle w:val="TableParagraph"/>
                          <w:spacing w:before="75"/>
                          <w:ind w:left="140" w:right="141"/>
                          <w:jc w:val="center"/>
                          <w:rPr>
                            <w:sz w:val="18"/>
                          </w:rPr>
                        </w:pPr>
                        <w:r>
                          <w:rPr>
                            <w:sz w:val="18"/>
                          </w:rPr>
                          <w:t>7.5</w:t>
                        </w:r>
                      </w:p>
                    </w:tc>
                    <w:tc>
                      <w:tcPr>
                        <w:tcW w:w="762" w:type="dxa"/>
                      </w:tcPr>
                      <w:p>
                        <w:pPr>
                          <w:pStyle w:val="TableParagraph"/>
                          <w:spacing w:before="75"/>
                          <w:ind w:left="152" w:right="153"/>
                          <w:jc w:val="center"/>
                          <w:rPr>
                            <w:sz w:val="18"/>
                          </w:rPr>
                        </w:pPr>
                        <w:r>
                          <w:rPr>
                            <w:sz w:val="18"/>
                          </w:rPr>
                          <w:t>95</w:t>
                        </w:r>
                      </w:p>
                    </w:tc>
                  </w:tr>
                  <w:tr>
                    <w:trPr>
                      <w:trHeight w:val="298" w:hRule="exact"/>
                    </w:trPr>
                    <w:tc>
                      <w:tcPr>
                        <w:tcW w:w="1032" w:type="dxa"/>
                      </w:tcPr>
                      <w:p>
                        <w:pPr>
                          <w:pStyle w:val="TableParagraph"/>
                          <w:spacing w:before="76"/>
                          <w:ind w:left="465"/>
                          <w:rPr>
                            <w:sz w:val="18"/>
                          </w:rPr>
                        </w:pPr>
                        <w:r>
                          <w:rPr>
                            <w:sz w:val="18"/>
                          </w:rPr>
                          <w:t>5</w:t>
                        </w:r>
                      </w:p>
                    </w:tc>
                    <w:tc>
                      <w:tcPr>
                        <w:tcW w:w="779" w:type="dxa"/>
                      </w:tcPr>
                      <w:p>
                        <w:pPr>
                          <w:pStyle w:val="TableParagraph"/>
                          <w:spacing w:before="76"/>
                          <w:ind w:left="78" w:right="79"/>
                          <w:jc w:val="center"/>
                          <w:rPr>
                            <w:sz w:val="18"/>
                          </w:rPr>
                        </w:pPr>
                        <w:r>
                          <w:rPr>
                            <w:sz w:val="18"/>
                          </w:rPr>
                          <w:t>6.8</w:t>
                        </w:r>
                      </w:p>
                    </w:tc>
                    <w:tc>
                      <w:tcPr>
                        <w:tcW w:w="518" w:type="dxa"/>
                      </w:tcPr>
                      <w:p>
                        <w:pPr>
                          <w:pStyle w:val="TableParagraph"/>
                          <w:spacing w:before="76"/>
                          <w:ind w:left="162"/>
                          <w:rPr>
                            <w:sz w:val="18"/>
                          </w:rPr>
                        </w:pPr>
                        <w:r>
                          <w:rPr>
                            <w:sz w:val="18"/>
                          </w:rPr>
                          <w:t>50</w:t>
                        </w:r>
                      </w:p>
                    </w:tc>
                    <w:tc>
                      <w:tcPr>
                        <w:tcW w:w="1172" w:type="dxa"/>
                      </w:tcPr>
                      <w:p>
                        <w:pPr>
                          <w:pStyle w:val="TableParagraph"/>
                          <w:spacing w:before="76"/>
                          <w:ind w:left="140" w:right="141"/>
                          <w:jc w:val="center"/>
                          <w:rPr>
                            <w:sz w:val="18"/>
                          </w:rPr>
                        </w:pPr>
                        <w:r>
                          <w:rPr>
                            <w:sz w:val="18"/>
                          </w:rPr>
                          <w:t>6.4</w:t>
                        </w:r>
                      </w:p>
                    </w:tc>
                    <w:tc>
                      <w:tcPr>
                        <w:tcW w:w="762" w:type="dxa"/>
                      </w:tcPr>
                      <w:p>
                        <w:pPr>
                          <w:pStyle w:val="TableParagraph"/>
                          <w:spacing w:before="76"/>
                          <w:ind w:left="152" w:right="153"/>
                          <w:jc w:val="center"/>
                          <w:rPr>
                            <w:sz w:val="18"/>
                          </w:rPr>
                        </w:pPr>
                        <w:r>
                          <w:rPr>
                            <w:sz w:val="18"/>
                          </w:rPr>
                          <w:t>95</w:t>
                        </w:r>
                      </w:p>
                    </w:tc>
                  </w:tr>
                  <w:tr>
                    <w:trPr>
                      <w:trHeight w:val="299" w:hRule="exact"/>
                    </w:trPr>
                    <w:tc>
                      <w:tcPr>
                        <w:tcW w:w="1032" w:type="dxa"/>
                      </w:tcPr>
                      <w:p>
                        <w:pPr>
                          <w:pStyle w:val="TableParagraph"/>
                          <w:spacing w:before="76"/>
                          <w:ind w:left="465"/>
                          <w:rPr>
                            <w:sz w:val="18"/>
                          </w:rPr>
                        </w:pPr>
                        <w:r>
                          <w:rPr>
                            <w:sz w:val="18"/>
                          </w:rPr>
                          <w:t>6</w:t>
                        </w:r>
                      </w:p>
                    </w:tc>
                    <w:tc>
                      <w:tcPr>
                        <w:tcW w:w="779" w:type="dxa"/>
                      </w:tcPr>
                      <w:p>
                        <w:pPr>
                          <w:pStyle w:val="TableParagraph"/>
                          <w:spacing w:before="76"/>
                          <w:ind w:left="78" w:right="79"/>
                          <w:jc w:val="center"/>
                          <w:rPr>
                            <w:sz w:val="18"/>
                          </w:rPr>
                        </w:pPr>
                        <w:r>
                          <w:rPr>
                            <w:sz w:val="18"/>
                          </w:rPr>
                          <w:t>6.5</w:t>
                        </w:r>
                      </w:p>
                    </w:tc>
                    <w:tc>
                      <w:tcPr>
                        <w:tcW w:w="518" w:type="dxa"/>
                      </w:tcPr>
                      <w:p>
                        <w:pPr>
                          <w:pStyle w:val="TableParagraph"/>
                          <w:spacing w:before="76"/>
                          <w:ind w:left="162"/>
                          <w:rPr>
                            <w:sz w:val="18"/>
                          </w:rPr>
                        </w:pPr>
                        <w:r>
                          <w:rPr>
                            <w:sz w:val="18"/>
                          </w:rPr>
                          <w:t>50</w:t>
                        </w:r>
                      </w:p>
                    </w:tc>
                    <w:tc>
                      <w:tcPr>
                        <w:tcW w:w="1172" w:type="dxa"/>
                      </w:tcPr>
                      <w:p>
                        <w:pPr>
                          <w:pStyle w:val="TableParagraph"/>
                          <w:spacing w:before="76"/>
                          <w:ind w:left="140" w:right="141"/>
                          <w:jc w:val="center"/>
                          <w:rPr>
                            <w:sz w:val="18"/>
                          </w:rPr>
                        </w:pPr>
                        <w:r>
                          <w:rPr>
                            <w:sz w:val="18"/>
                          </w:rPr>
                          <w:t>6.5</w:t>
                        </w:r>
                      </w:p>
                    </w:tc>
                    <w:tc>
                      <w:tcPr>
                        <w:tcW w:w="762" w:type="dxa"/>
                      </w:tcPr>
                      <w:p>
                        <w:pPr>
                          <w:pStyle w:val="TableParagraph"/>
                          <w:spacing w:before="76"/>
                          <w:ind w:left="152" w:right="153"/>
                          <w:jc w:val="center"/>
                          <w:rPr>
                            <w:sz w:val="18"/>
                          </w:rPr>
                        </w:pPr>
                        <w:r>
                          <w:rPr>
                            <w:sz w:val="18"/>
                          </w:rPr>
                          <w:t>95</w:t>
                        </w:r>
                      </w:p>
                    </w:tc>
                  </w:tr>
                  <w:tr>
                    <w:trPr>
                      <w:trHeight w:val="298" w:hRule="exact"/>
                    </w:trPr>
                    <w:tc>
                      <w:tcPr>
                        <w:tcW w:w="1032" w:type="dxa"/>
                      </w:tcPr>
                      <w:p>
                        <w:pPr>
                          <w:pStyle w:val="TableParagraph"/>
                          <w:spacing w:before="75"/>
                          <w:ind w:left="465"/>
                          <w:rPr>
                            <w:sz w:val="18"/>
                          </w:rPr>
                        </w:pPr>
                        <w:r>
                          <w:rPr>
                            <w:sz w:val="18"/>
                          </w:rPr>
                          <w:t>7</w:t>
                        </w:r>
                      </w:p>
                    </w:tc>
                    <w:tc>
                      <w:tcPr>
                        <w:tcW w:w="779" w:type="dxa"/>
                      </w:tcPr>
                      <w:p>
                        <w:pPr>
                          <w:pStyle w:val="TableParagraph"/>
                          <w:spacing w:before="75"/>
                          <w:ind w:left="78" w:right="79"/>
                          <w:jc w:val="center"/>
                          <w:rPr>
                            <w:sz w:val="18"/>
                          </w:rPr>
                        </w:pPr>
                        <w:r>
                          <w:rPr>
                            <w:sz w:val="18"/>
                          </w:rPr>
                          <w:t>6.5</w:t>
                        </w:r>
                      </w:p>
                    </w:tc>
                    <w:tc>
                      <w:tcPr>
                        <w:tcW w:w="518" w:type="dxa"/>
                      </w:tcPr>
                      <w:p>
                        <w:pPr>
                          <w:pStyle w:val="TableParagraph"/>
                          <w:spacing w:before="75"/>
                          <w:ind w:left="208"/>
                          <w:rPr>
                            <w:sz w:val="18"/>
                          </w:rPr>
                        </w:pPr>
                        <w:r>
                          <w:rPr>
                            <w:sz w:val="18"/>
                          </w:rPr>
                          <w:t>5</w:t>
                        </w:r>
                      </w:p>
                    </w:tc>
                    <w:tc>
                      <w:tcPr>
                        <w:tcW w:w="1172" w:type="dxa"/>
                      </w:tcPr>
                      <w:p>
                        <w:pPr>
                          <w:pStyle w:val="TableParagraph"/>
                          <w:spacing w:before="75"/>
                          <w:ind w:left="140" w:right="141"/>
                          <w:jc w:val="center"/>
                          <w:rPr>
                            <w:sz w:val="18"/>
                          </w:rPr>
                        </w:pPr>
                        <w:r>
                          <w:rPr>
                            <w:sz w:val="18"/>
                          </w:rPr>
                          <w:t>5.8</w:t>
                        </w:r>
                      </w:p>
                    </w:tc>
                    <w:tc>
                      <w:tcPr>
                        <w:tcW w:w="762" w:type="dxa"/>
                      </w:tcPr>
                      <w:p>
                        <w:pPr>
                          <w:pStyle w:val="TableParagraph"/>
                          <w:spacing w:before="75"/>
                          <w:ind w:left="152" w:right="152"/>
                          <w:jc w:val="center"/>
                          <w:rPr>
                            <w:sz w:val="18"/>
                          </w:rPr>
                        </w:pPr>
                        <w:r>
                          <w:rPr>
                            <w:sz w:val="18"/>
                          </w:rPr>
                          <w:t>50</w:t>
                        </w:r>
                      </w:p>
                    </w:tc>
                  </w:tr>
                  <w:tr>
                    <w:trPr>
                      <w:trHeight w:val="298" w:hRule="exact"/>
                    </w:trPr>
                    <w:tc>
                      <w:tcPr>
                        <w:tcW w:w="1032" w:type="dxa"/>
                      </w:tcPr>
                      <w:p>
                        <w:pPr>
                          <w:pStyle w:val="TableParagraph"/>
                          <w:spacing w:before="76"/>
                          <w:ind w:left="465"/>
                          <w:rPr>
                            <w:sz w:val="18"/>
                          </w:rPr>
                        </w:pPr>
                        <w:r>
                          <w:rPr>
                            <w:sz w:val="18"/>
                          </w:rPr>
                          <w:t>8</w:t>
                        </w:r>
                      </w:p>
                    </w:tc>
                    <w:tc>
                      <w:tcPr>
                        <w:tcW w:w="779" w:type="dxa"/>
                      </w:tcPr>
                      <w:p>
                        <w:pPr>
                          <w:pStyle w:val="TableParagraph"/>
                          <w:spacing w:before="76"/>
                          <w:ind w:left="78" w:right="79"/>
                          <w:jc w:val="center"/>
                          <w:rPr>
                            <w:sz w:val="18"/>
                          </w:rPr>
                        </w:pPr>
                        <w:r>
                          <w:rPr>
                            <w:sz w:val="18"/>
                          </w:rPr>
                          <w:t>5.5</w:t>
                        </w:r>
                      </w:p>
                    </w:tc>
                    <w:tc>
                      <w:tcPr>
                        <w:tcW w:w="518" w:type="dxa"/>
                      </w:tcPr>
                      <w:p>
                        <w:pPr>
                          <w:pStyle w:val="TableParagraph"/>
                          <w:spacing w:before="76"/>
                          <w:ind w:left="208"/>
                          <w:rPr>
                            <w:sz w:val="18"/>
                          </w:rPr>
                        </w:pPr>
                        <w:r>
                          <w:rPr>
                            <w:sz w:val="18"/>
                          </w:rPr>
                          <w:t>5</w:t>
                        </w:r>
                      </w:p>
                    </w:tc>
                    <w:tc>
                      <w:tcPr>
                        <w:tcW w:w="1172" w:type="dxa"/>
                      </w:tcPr>
                      <w:p>
                        <w:pPr>
                          <w:pStyle w:val="TableParagraph"/>
                          <w:spacing w:before="76"/>
                          <w:ind w:left="140" w:right="141"/>
                          <w:jc w:val="center"/>
                          <w:rPr>
                            <w:sz w:val="18"/>
                          </w:rPr>
                        </w:pPr>
                        <w:r>
                          <w:rPr>
                            <w:sz w:val="18"/>
                          </w:rPr>
                          <w:t>6.5</w:t>
                        </w:r>
                      </w:p>
                    </w:tc>
                    <w:tc>
                      <w:tcPr>
                        <w:tcW w:w="762" w:type="dxa"/>
                      </w:tcPr>
                      <w:p>
                        <w:pPr>
                          <w:pStyle w:val="TableParagraph"/>
                          <w:spacing w:before="76"/>
                          <w:ind w:left="152" w:right="152"/>
                          <w:jc w:val="center"/>
                          <w:rPr>
                            <w:sz w:val="18"/>
                          </w:rPr>
                        </w:pPr>
                        <w:r>
                          <w:rPr>
                            <w:sz w:val="18"/>
                          </w:rPr>
                          <w:t>95</w:t>
                        </w:r>
                      </w:p>
                    </w:tc>
                  </w:tr>
                  <w:tr>
                    <w:trPr>
                      <w:trHeight w:val="299" w:hRule="exact"/>
                    </w:trPr>
                    <w:tc>
                      <w:tcPr>
                        <w:tcW w:w="1032" w:type="dxa"/>
                      </w:tcPr>
                      <w:p>
                        <w:pPr>
                          <w:pStyle w:val="TableParagraph"/>
                          <w:spacing w:before="76"/>
                          <w:ind w:left="465"/>
                          <w:rPr>
                            <w:sz w:val="18"/>
                          </w:rPr>
                        </w:pPr>
                        <w:r>
                          <w:rPr>
                            <w:sz w:val="18"/>
                          </w:rPr>
                          <w:t>9</w:t>
                        </w:r>
                      </w:p>
                    </w:tc>
                    <w:tc>
                      <w:tcPr>
                        <w:tcW w:w="779" w:type="dxa"/>
                      </w:tcPr>
                      <w:p>
                        <w:pPr>
                          <w:pStyle w:val="TableParagraph"/>
                          <w:spacing w:before="76"/>
                          <w:ind w:left="78" w:right="79"/>
                          <w:jc w:val="center"/>
                          <w:rPr>
                            <w:sz w:val="18"/>
                          </w:rPr>
                        </w:pPr>
                        <w:r>
                          <w:rPr>
                            <w:sz w:val="18"/>
                          </w:rPr>
                          <w:t>6.5</w:t>
                        </w:r>
                      </w:p>
                    </w:tc>
                    <w:tc>
                      <w:tcPr>
                        <w:tcW w:w="518" w:type="dxa"/>
                      </w:tcPr>
                      <w:p>
                        <w:pPr>
                          <w:pStyle w:val="TableParagraph"/>
                          <w:spacing w:before="76"/>
                          <w:ind w:left="162"/>
                          <w:rPr>
                            <w:sz w:val="18"/>
                          </w:rPr>
                        </w:pPr>
                        <w:r>
                          <w:rPr>
                            <w:sz w:val="18"/>
                          </w:rPr>
                          <w:t>50</w:t>
                        </w:r>
                      </w:p>
                    </w:tc>
                    <w:tc>
                      <w:tcPr>
                        <w:tcW w:w="1172" w:type="dxa"/>
                      </w:tcPr>
                      <w:p>
                        <w:pPr>
                          <w:pStyle w:val="TableParagraph"/>
                          <w:spacing w:before="76"/>
                          <w:ind w:left="140" w:right="141"/>
                          <w:jc w:val="center"/>
                          <w:rPr>
                            <w:sz w:val="18"/>
                          </w:rPr>
                        </w:pPr>
                        <w:r>
                          <w:rPr>
                            <w:sz w:val="18"/>
                          </w:rPr>
                          <w:t>5.5</w:t>
                        </w:r>
                      </w:p>
                    </w:tc>
                    <w:tc>
                      <w:tcPr>
                        <w:tcW w:w="762" w:type="dxa"/>
                      </w:tcPr>
                      <w:p>
                        <w:pPr>
                          <w:pStyle w:val="TableParagraph"/>
                          <w:spacing w:before="76"/>
                          <w:ind w:left="152" w:right="153"/>
                          <w:jc w:val="center"/>
                          <w:rPr>
                            <w:sz w:val="18"/>
                          </w:rPr>
                        </w:pPr>
                        <w:r>
                          <w:rPr>
                            <w:sz w:val="18"/>
                          </w:rPr>
                          <w:t>50</w:t>
                        </w:r>
                      </w:p>
                    </w:tc>
                  </w:tr>
                  <w:tr>
                    <w:trPr>
                      <w:trHeight w:val="298" w:hRule="exact"/>
                    </w:trPr>
                    <w:tc>
                      <w:tcPr>
                        <w:tcW w:w="1032" w:type="dxa"/>
                      </w:tcPr>
                      <w:p>
                        <w:pPr>
                          <w:pStyle w:val="TableParagraph"/>
                          <w:spacing w:before="75"/>
                          <w:ind w:left="419" w:right="155"/>
                          <w:rPr>
                            <w:sz w:val="18"/>
                          </w:rPr>
                        </w:pPr>
                        <w:r>
                          <w:rPr>
                            <w:sz w:val="18"/>
                          </w:rPr>
                          <w:t>10</w:t>
                        </w:r>
                      </w:p>
                    </w:tc>
                    <w:tc>
                      <w:tcPr>
                        <w:tcW w:w="779" w:type="dxa"/>
                      </w:tcPr>
                      <w:p>
                        <w:pPr>
                          <w:pStyle w:val="TableParagraph"/>
                          <w:spacing w:before="75"/>
                          <w:ind w:left="78" w:right="79"/>
                          <w:jc w:val="center"/>
                          <w:rPr>
                            <w:sz w:val="18"/>
                          </w:rPr>
                        </w:pPr>
                        <w:r>
                          <w:rPr>
                            <w:sz w:val="18"/>
                          </w:rPr>
                          <w:t>6.5</w:t>
                        </w:r>
                      </w:p>
                    </w:tc>
                    <w:tc>
                      <w:tcPr>
                        <w:tcW w:w="518" w:type="dxa"/>
                      </w:tcPr>
                      <w:p>
                        <w:pPr>
                          <w:pStyle w:val="TableParagraph"/>
                          <w:spacing w:before="75"/>
                          <w:ind w:left="162"/>
                          <w:rPr>
                            <w:sz w:val="18"/>
                          </w:rPr>
                        </w:pPr>
                        <w:r>
                          <w:rPr>
                            <w:sz w:val="18"/>
                          </w:rPr>
                          <w:t>50</w:t>
                        </w:r>
                      </w:p>
                    </w:tc>
                    <w:tc>
                      <w:tcPr>
                        <w:tcW w:w="1172" w:type="dxa"/>
                      </w:tcPr>
                      <w:p>
                        <w:pPr>
                          <w:pStyle w:val="TableParagraph"/>
                          <w:spacing w:before="75"/>
                          <w:jc w:val="center"/>
                          <w:rPr>
                            <w:sz w:val="18"/>
                          </w:rPr>
                        </w:pPr>
                        <w:r>
                          <w:rPr>
                            <w:sz w:val="18"/>
                          </w:rPr>
                          <w:t>7</w:t>
                        </w:r>
                      </w:p>
                    </w:tc>
                    <w:tc>
                      <w:tcPr>
                        <w:tcW w:w="762" w:type="dxa"/>
                      </w:tcPr>
                      <w:p>
                        <w:pPr>
                          <w:pStyle w:val="TableParagraph"/>
                          <w:spacing w:before="75"/>
                          <w:ind w:left="152" w:right="153"/>
                          <w:jc w:val="center"/>
                          <w:rPr>
                            <w:sz w:val="18"/>
                          </w:rPr>
                        </w:pPr>
                        <w:r>
                          <w:rPr>
                            <w:sz w:val="18"/>
                          </w:rPr>
                          <w:t>95</w:t>
                        </w:r>
                      </w:p>
                    </w:tc>
                  </w:tr>
                  <w:tr>
                    <w:trPr>
                      <w:trHeight w:val="298" w:hRule="exact"/>
                    </w:trPr>
                    <w:tc>
                      <w:tcPr>
                        <w:tcW w:w="1032" w:type="dxa"/>
                      </w:tcPr>
                      <w:p>
                        <w:pPr>
                          <w:pStyle w:val="TableParagraph"/>
                          <w:spacing w:before="76"/>
                          <w:ind w:left="419" w:right="155"/>
                          <w:rPr>
                            <w:sz w:val="18"/>
                          </w:rPr>
                        </w:pPr>
                        <w:r>
                          <w:rPr>
                            <w:sz w:val="18"/>
                          </w:rPr>
                          <w:t>11</w:t>
                        </w:r>
                      </w:p>
                    </w:tc>
                    <w:tc>
                      <w:tcPr>
                        <w:tcW w:w="779" w:type="dxa"/>
                      </w:tcPr>
                      <w:p>
                        <w:pPr>
                          <w:pStyle w:val="TableParagraph"/>
                          <w:spacing w:before="76"/>
                          <w:ind w:left="78" w:right="79"/>
                          <w:jc w:val="center"/>
                          <w:rPr>
                            <w:sz w:val="18"/>
                          </w:rPr>
                        </w:pPr>
                        <w:r>
                          <w:rPr>
                            <w:sz w:val="18"/>
                          </w:rPr>
                          <w:t>7.9</w:t>
                        </w:r>
                      </w:p>
                    </w:tc>
                    <w:tc>
                      <w:tcPr>
                        <w:tcW w:w="518" w:type="dxa"/>
                      </w:tcPr>
                      <w:p>
                        <w:pPr>
                          <w:pStyle w:val="TableParagraph"/>
                          <w:spacing w:before="76"/>
                          <w:ind w:left="162"/>
                          <w:rPr>
                            <w:sz w:val="18"/>
                          </w:rPr>
                        </w:pPr>
                        <w:r>
                          <w:rPr>
                            <w:sz w:val="18"/>
                          </w:rPr>
                          <w:t>95</w:t>
                        </w:r>
                      </w:p>
                    </w:tc>
                    <w:tc>
                      <w:tcPr>
                        <w:tcW w:w="1172" w:type="dxa"/>
                      </w:tcPr>
                      <w:p>
                        <w:pPr>
                          <w:pStyle w:val="TableParagraph"/>
                          <w:spacing w:before="76"/>
                          <w:ind w:left="140" w:right="141"/>
                          <w:jc w:val="center"/>
                          <w:rPr>
                            <w:sz w:val="18"/>
                          </w:rPr>
                        </w:pPr>
                        <w:r>
                          <w:rPr>
                            <w:sz w:val="18"/>
                          </w:rPr>
                          <w:t>7.5</w:t>
                        </w:r>
                      </w:p>
                    </w:tc>
                    <w:tc>
                      <w:tcPr>
                        <w:tcW w:w="762" w:type="dxa"/>
                      </w:tcPr>
                      <w:p>
                        <w:pPr>
                          <w:pStyle w:val="TableParagraph"/>
                          <w:spacing w:before="76"/>
                          <w:ind w:left="152" w:right="152"/>
                          <w:jc w:val="center"/>
                          <w:rPr>
                            <w:sz w:val="18"/>
                          </w:rPr>
                        </w:pPr>
                        <w:r>
                          <w:rPr>
                            <w:sz w:val="18"/>
                          </w:rPr>
                          <w:t>95</w:t>
                        </w:r>
                      </w:p>
                    </w:tc>
                  </w:tr>
                  <w:tr>
                    <w:trPr>
                      <w:trHeight w:val="299" w:hRule="exact"/>
                    </w:trPr>
                    <w:tc>
                      <w:tcPr>
                        <w:tcW w:w="1032" w:type="dxa"/>
                      </w:tcPr>
                      <w:p>
                        <w:pPr>
                          <w:pStyle w:val="TableParagraph"/>
                          <w:spacing w:before="76"/>
                          <w:ind w:left="419" w:right="155"/>
                          <w:rPr>
                            <w:sz w:val="18"/>
                          </w:rPr>
                        </w:pPr>
                        <w:r>
                          <w:rPr>
                            <w:sz w:val="18"/>
                          </w:rPr>
                          <w:t>12</w:t>
                        </w:r>
                      </w:p>
                    </w:tc>
                    <w:tc>
                      <w:tcPr>
                        <w:tcW w:w="779" w:type="dxa"/>
                      </w:tcPr>
                      <w:p>
                        <w:pPr>
                          <w:pStyle w:val="TableParagraph"/>
                          <w:spacing w:before="76"/>
                          <w:jc w:val="center"/>
                          <w:rPr>
                            <w:sz w:val="18"/>
                          </w:rPr>
                        </w:pPr>
                        <w:r>
                          <w:rPr>
                            <w:sz w:val="18"/>
                          </w:rPr>
                          <w:t>7</w:t>
                        </w:r>
                      </w:p>
                    </w:tc>
                    <w:tc>
                      <w:tcPr>
                        <w:tcW w:w="518" w:type="dxa"/>
                      </w:tcPr>
                      <w:p>
                        <w:pPr>
                          <w:pStyle w:val="TableParagraph"/>
                          <w:spacing w:before="76"/>
                          <w:ind w:left="163"/>
                          <w:rPr>
                            <w:sz w:val="18"/>
                          </w:rPr>
                        </w:pPr>
                        <w:r>
                          <w:rPr>
                            <w:sz w:val="18"/>
                          </w:rPr>
                          <w:t>95</w:t>
                        </w:r>
                      </w:p>
                    </w:tc>
                    <w:tc>
                      <w:tcPr>
                        <w:tcW w:w="1172" w:type="dxa"/>
                      </w:tcPr>
                      <w:p>
                        <w:pPr>
                          <w:pStyle w:val="TableParagraph"/>
                          <w:spacing w:before="76"/>
                          <w:jc w:val="center"/>
                          <w:rPr>
                            <w:sz w:val="18"/>
                          </w:rPr>
                        </w:pPr>
                        <w:r>
                          <w:rPr>
                            <w:sz w:val="18"/>
                          </w:rPr>
                          <w:t>8</w:t>
                        </w:r>
                      </w:p>
                    </w:tc>
                    <w:tc>
                      <w:tcPr>
                        <w:tcW w:w="762" w:type="dxa"/>
                      </w:tcPr>
                      <w:p>
                        <w:pPr>
                          <w:pStyle w:val="TableParagraph"/>
                          <w:spacing w:before="76"/>
                          <w:ind w:left="152" w:right="153"/>
                          <w:jc w:val="center"/>
                          <w:rPr>
                            <w:sz w:val="18"/>
                          </w:rPr>
                        </w:pPr>
                        <w:r>
                          <w:rPr>
                            <w:sz w:val="18"/>
                          </w:rPr>
                          <w:t>95</w:t>
                        </w:r>
                      </w:p>
                    </w:tc>
                  </w:tr>
                  <w:tr>
                    <w:trPr>
                      <w:trHeight w:val="298" w:hRule="exact"/>
                    </w:trPr>
                    <w:tc>
                      <w:tcPr>
                        <w:tcW w:w="1032" w:type="dxa"/>
                      </w:tcPr>
                      <w:p>
                        <w:pPr>
                          <w:pStyle w:val="TableParagraph"/>
                          <w:spacing w:before="75"/>
                          <w:ind w:left="419" w:right="155"/>
                          <w:rPr>
                            <w:sz w:val="18"/>
                          </w:rPr>
                        </w:pPr>
                        <w:r>
                          <w:rPr>
                            <w:sz w:val="18"/>
                          </w:rPr>
                          <w:t>13</w:t>
                        </w:r>
                      </w:p>
                    </w:tc>
                    <w:tc>
                      <w:tcPr>
                        <w:tcW w:w="779" w:type="dxa"/>
                      </w:tcPr>
                      <w:p>
                        <w:pPr>
                          <w:pStyle w:val="TableParagraph"/>
                          <w:spacing w:before="75"/>
                          <w:ind w:left="78" w:right="79"/>
                          <w:jc w:val="center"/>
                          <w:rPr>
                            <w:sz w:val="18"/>
                          </w:rPr>
                        </w:pPr>
                        <w:r>
                          <w:rPr>
                            <w:sz w:val="18"/>
                          </w:rPr>
                          <w:t>7.5</w:t>
                        </w:r>
                      </w:p>
                    </w:tc>
                    <w:tc>
                      <w:tcPr>
                        <w:tcW w:w="518" w:type="dxa"/>
                      </w:tcPr>
                      <w:p>
                        <w:pPr>
                          <w:pStyle w:val="TableParagraph"/>
                          <w:spacing w:before="75"/>
                          <w:ind w:left="162"/>
                          <w:rPr>
                            <w:sz w:val="18"/>
                          </w:rPr>
                        </w:pPr>
                        <w:r>
                          <w:rPr>
                            <w:sz w:val="18"/>
                          </w:rPr>
                          <w:t>95</w:t>
                        </w:r>
                      </w:p>
                    </w:tc>
                    <w:tc>
                      <w:tcPr>
                        <w:tcW w:w="1172" w:type="dxa"/>
                      </w:tcPr>
                      <w:p>
                        <w:pPr>
                          <w:pStyle w:val="TableParagraph"/>
                          <w:spacing w:before="75"/>
                          <w:ind w:left="140" w:right="141"/>
                          <w:jc w:val="center"/>
                          <w:rPr>
                            <w:sz w:val="18"/>
                          </w:rPr>
                        </w:pPr>
                        <w:r>
                          <w:rPr>
                            <w:sz w:val="18"/>
                          </w:rPr>
                          <w:t>6.8</w:t>
                        </w:r>
                      </w:p>
                    </w:tc>
                    <w:tc>
                      <w:tcPr>
                        <w:tcW w:w="762" w:type="dxa"/>
                      </w:tcPr>
                      <w:p>
                        <w:pPr>
                          <w:pStyle w:val="TableParagraph"/>
                          <w:spacing w:before="75"/>
                          <w:ind w:left="152" w:right="152"/>
                          <w:jc w:val="center"/>
                          <w:rPr>
                            <w:sz w:val="18"/>
                          </w:rPr>
                        </w:pPr>
                        <w:r>
                          <w:rPr>
                            <w:sz w:val="18"/>
                          </w:rPr>
                          <w:t>95</w:t>
                        </w:r>
                      </w:p>
                    </w:tc>
                  </w:tr>
                  <w:tr>
                    <w:trPr>
                      <w:trHeight w:val="298" w:hRule="exact"/>
                    </w:trPr>
                    <w:tc>
                      <w:tcPr>
                        <w:tcW w:w="1032" w:type="dxa"/>
                      </w:tcPr>
                      <w:p>
                        <w:pPr>
                          <w:pStyle w:val="TableParagraph"/>
                          <w:spacing w:before="76"/>
                          <w:ind w:left="419" w:right="155"/>
                          <w:rPr>
                            <w:sz w:val="18"/>
                          </w:rPr>
                        </w:pPr>
                        <w:r>
                          <w:rPr>
                            <w:sz w:val="18"/>
                          </w:rPr>
                          <w:t>14</w:t>
                        </w:r>
                      </w:p>
                    </w:tc>
                    <w:tc>
                      <w:tcPr>
                        <w:tcW w:w="779" w:type="dxa"/>
                      </w:tcPr>
                      <w:p>
                        <w:pPr>
                          <w:pStyle w:val="TableParagraph"/>
                          <w:spacing w:before="76"/>
                          <w:ind w:left="78" w:right="79"/>
                          <w:jc w:val="center"/>
                          <w:rPr>
                            <w:sz w:val="18"/>
                          </w:rPr>
                        </w:pPr>
                        <w:r>
                          <w:rPr>
                            <w:sz w:val="18"/>
                          </w:rPr>
                          <w:t>5.5</w:t>
                        </w:r>
                      </w:p>
                    </w:tc>
                    <w:tc>
                      <w:tcPr>
                        <w:tcW w:w="518" w:type="dxa"/>
                      </w:tcPr>
                      <w:p>
                        <w:pPr>
                          <w:pStyle w:val="TableParagraph"/>
                          <w:spacing w:before="76"/>
                          <w:ind w:left="208"/>
                          <w:rPr>
                            <w:sz w:val="18"/>
                          </w:rPr>
                        </w:pPr>
                        <w:r>
                          <w:rPr>
                            <w:sz w:val="18"/>
                          </w:rPr>
                          <w:t>5</w:t>
                        </w:r>
                      </w:p>
                    </w:tc>
                    <w:tc>
                      <w:tcPr>
                        <w:tcW w:w="1172" w:type="dxa"/>
                      </w:tcPr>
                      <w:p>
                        <w:pPr>
                          <w:pStyle w:val="TableParagraph"/>
                          <w:spacing w:before="76"/>
                          <w:ind w:right="1"/>
                          <w:jc w:val="center"/>
                          <w:rPr>
                            <w:sz w:val="18"/>
                          </w:rPr>
                        </w:pPr>
                        <w:r>
                          <w:rPr>
                            <w:sz w:val="18"/>
                          </w:rPr>
                          <w:t>8</w:t>
                        </w:r>
                      </w:p>
                    </w:tc>
                    <w:tc>
                      <w:tcPr>
                        <w:tcW w:w="762" w:type="dxa"/>
                      </w:tcPr>
                      <w:p>
                        <w:pPr>
                          <w:pStyle w:val="TableParagraph"/>
                          <w:spacing w:before="76"/>
                          <w:ind w:left="152" w:right="153"/>
                          <w:jc w:val="center"/>
                          <w:rPr>
                            <w:sz w:val="18"/>
                          </w:rPr>
                        </w:pPr>
                        <w:r>
                          <w:rPr>
                            <w:sz w:val="18"/>
                          </w:rPr>
                          <w:t>95</w:t>
                        </w:r>
                      </w:p>
                    </w:tc>
                  </w:tr>
                  <w:tr>
                    <w:trPr>
                      <w:trHeight w:val="299" w:hRule="exact"/>
                    </w:trPr>
                    <w:tc>
                      <w:tcPr>
                        <w:tcW w:w="1032" w:type="dxa"/>
                      </w:tcPr>
                      <w:p>
                        <w:pPr>
                          <w:pStyle w:val="TableParagraph"/>
                          <w:spacing w:before="76"/>
                          <w:ind w:left="419" w:right="155"/>
                          <w:rPr>
                            <w:sz w:val="18"/>
                          </w:rPr>
                        </w:pPr>
                        <w:r>
                          <w:rPr>
                            <w:sz w:val="18"/>
                          </w:rPr>
                          <w:t>15</w:t>
                        </w:r>
                      </w:p>
                    </w:tc>
                    <w:tc>
                      <w:tcPr>
                        <w:tcW w:w="779" w:type="dxa"/>
                      </w:tcPr>
                      <w:p>
                        <w:pPr>
                          <w:pStyle w:val="TableParagraph"/>
                          <w:spacing w:before="76"/>
                          <w:ind w:left="78" w:right="79"/>
                          <w:jc w:val="center"/>
                          <w:rPr>
                            <w:sz w:val="18"/>
                          </w:rPr>
                        </w:pPr>
                        <w:r>
                          <w:rPr>
                            <w:sz w:val="18"/>
                          </w:rPr>
                          <w:t>6.5</w:t>
                        </w:r>
                      </w:p>
                    </w:tc>
                    <w:tc>
                      <w:tcPr>
                        <w:tcW w:w="518" w:type="dxa"/>
                      </w:tcPr>
                      <w:p>
                        <w:pPr>
                          <w:pStyle w:val="TableParagraph"/>
                          <w:spacing w:before="76"/>
                          <w:ind w:left="162"/>
                          <w:rPr>
                            <w:sz w:val="18"/>
                          </w:rPr>
                        </w:pPr>
                        <w:r>
                          <w:rPr>
                            <w:sz w:val="18"/>
                          </w:rPr>
                          <w:t>50</w:t>
                        </w:r>
                      </w:p>
                    </w:tc>
                    <w:tc>
                      <w:tcPr>
                        <w:tcW w:w="1172" w:type="dxa"/>
                      </w:tcPr>
                      <w:p>
                        <w:pPr>
                          <w:pStyle w:val="TableParagraph"/>
                          <w:spacing w:before="76"/>
                          <w:jc w:val="center"/>
                          <w:rPr>
                            <w:sz w:val="18"/>
                          </w:rPr>
                        </w:pPr>
                        <w:r>
                          <w:rPr>
                            <w:sz w:val="18"/>
                          </w:rPr>
                          <w:t>7</w:t>
                        </w:r>
                      </w:p>
                    </w:tc>
                    <w:tc>
                      <w:tcPr>
                        <w:tcW w:w="762" w:type="dxa"/>
                      </w:tcPr>
                      <w:p>
                        <w:pPr>
                          <w:pStyle w:val="TableParagraph"/>
                          <w:spacing w:before="76"/>
                          <w:ind w:left="152" w:right="153"/>
                          <w:jc w:val="center"/>
                          <w:rPr>
                            <w:sz w:val="18"/>
                          </w:rPr>
                        </w:pPr>
                        <w:r>
                          <w:rPr>
                            <w:sz w:val="18"/>
                          </w:rPr>
                          <w:t>95</w:t>
                        </w:r>
                      </w:p>
                    </w:tc>
                  </w:tr>
                  <w:tr>
                    <w:trPr>
                      <w:trHeight w:val="298" w:hRule="exact"/>
                    </w:trPr>
                    <w:tc>
                      <w:tcPr>
                        <w:tcW w:w="1032" w:type="dxa"/>
                      </w:tcPr>
                      <w:p>
                        <w:pPr>
                          <w:pStyle w:val="TableParagraph"/>
                          <w:spacing w:before="75"/>
                          <w:ind w:left="419" w:right="155"/>
                          <w:rPr>
                            <w:sz w:val="18"/>
                          </w:rPr>
                        </w:pPr>
                        <w:r>
                          <w:rPr>
                            <w:sz w:val="18"/>
                          </w:rPr>
                          <w:t>16</w:t>
                        </w:r>
                      </w:p>
                    </w:tc>
                    <w:tc>
                      <w:tcPr>
                        <w:tcW w:w="779" w:type="dxa"/>
                      </w:tcPr>
                      <w:p>
                        <w:pPr>
                          <w:pStyle w:val="TableParagraph"/>
                          <w:spacing w:before="75"/>
                          <w:jc w:val="center"/>
                          <w:rPr>
                            <w:sz w:val="18"/>
                          </w:rPr>
                        </w:pPr>
                        <w:r>
                          <w:rPr>
                            <w:sz w:val="18"/>
                          </w:rPr>
                          <w:t>7</w:t>
                        </w:r>
                      </w:p>
                    </w:tc>
                    <w:tc>
                      <w:tcPr>
                        <w:tcW w:w="518" w:type="dxa"/>
                      </w:tcPr>
                      <w:p>
                        <w:pPr>
                          <w:pStyle w:val="TableParagraph"/>
                          <w:spacing w:before="75"/>
                          <w:ind w:left="163"/>
                          <w:rPr>
                            <w:sz w:val="18"/>
                          </w:rPr>
                        </w:pPr>
                        <w:r>
                          <w:rPr>
                            <w:sz w:val="18"/>
                          </w:rPr>
                          <w:t>95</w:t>
                        </w:r>
                      </w:p>
                    </w:tc>
                    <w:tc>
                      <w:tcPr>
                        <w:tcW w:w="1172" w:type="dxa"/>
                      </w:tcPr>
                      <w:p>
                        <w:pPr>
                          <w:pStyle w:val="TableParagraph"/>
                          <w:spacing w:before="75"/>
                          <w:jc w:val="center"/>
                          <w:rPr>
                            <w:sz w:val="18"/>
                          </w:rPr>
                        </w:pPr>
                        <w:r>
                          <w:rPr>
                            <w:sz w:val="18"/>
                          </w:rPr>
                          <w:t>7</w:t>
                        </w:r>
                      </w:p>
                    </w:tc>
                    <w:tc>
                      <w:tcPr>
                        <w:tcW w:w="762" w:type="dxa"/>
                      </w:tcPr>
                      <w:p>
                        <w:pPr>
                          <w:pStyle w:val="TableParagraph"/>
                          <w:spacing w:before="75"/>
                          <w:ind w:left="152" w:right="153"/>
                          <w:jc w:val="center"/>
                          <w:rPr>
                            <w:sz w:val="18"/>
                          </w:rPr>
                        </w:pPr>
                        <w:r>
                          <w:rPr>
                            <w:sz w:val="18"/>
                          </w:rPr>
                          <w:t>95</w:t>
                        </w:r>
                      </w:p>
                    </w:tc>
                  </w:tr>
                  <w:tr>
                    <w:trPr>
                      <w:trHeight w:val="298" w:hRule="exact"/>
                    </w:trPr>
                    <w:tc>
                      <w:tcPr>
                        <w:tcW w:w="1032" w:type="dxa"/>
                      </w:tcPr>
                      <w:p>
                        <w:pPr>
                          <w:pStyle w:val="TableParagraph"/>
                          <w:spacing w:before="76"/>
                          <w:ind w:left="419" w:right="155"/>
                          <w:rPr>
                            <w:sz w:val="18"/>
                          </w:rPr>
                        </w:pPr>
                        <w:r>
                          <w:rPr>
                            <w:sz w:val="18"/>
                          </w:rPr>
                          <w:t>17</w:t>
                        </w:r>
                      </w:p>
                    </w:tc>
                    <w:tc>
                      <w:tcPr>
                        <w:tcW w:w="779" w:type="dxa"/>
                      </w:tcPr>
                      <w:p>
                        <w:pPr>
                          <w:pStyle w:val="TableParagraph"/>
                          <w:spacing w:before="76"/>
                          <w:ind w:left="78" w:right="79"/>
                          <w:jc w:val="center"/>
                          <w:rPr>
                            <w:sz w:val="18"/>
                          </w:rPr>
                        </w:pPr>
                        <w:r>
                          <w:rPr>
                            <w:sz w:val="18"/>
                          </w:rPr>
                          <w:t>5.7</w:t>
                        </w:r>
                      </w:p>
                    </w:tc>
                    <w:tc>
                      <w:tcPr>
                        <w:tcW w:w="518" w:type="dxa"/>
                      </w:tcPr>
                      <w:p>
                        <w:pPr>
                          <w:pStyle w:val="TableParagraph"/>
                          <w:spacing w:before="76"/>
                          <w:ind w:left="208"/>
                          <w:rPr>
                            <w:sz w:val="18"/>
                          </w:rPr>
                        </w:pPr>
                        <w:r>
                          <w:rPr>
                            <w:sz w:val="18"/>
                          </w:rPr>
                          <w:t>5</w:t>
                        </w:r>
                      </w:p>
                    </w:tc>
                    <w:tc>
                      <w:tcPr>
                        <w:tcW w:w="1172" w:type="dxa"/>
                      </w:tcPr>
                      <w:p>
                        <w:pPr>
                          <w:pStyle w:val="TableParagraph"/>
                          <w:spacing w:before="76"/>
                          <w:ind w:right="1"/>
                          <w:jc w:val="center"/>
                          <w:rPr>
                            <w:sz w:val="18"/>
                          </w:rPr>
                        </w:pPr>
                        <w:r>
                          <w:rPr>
                            <w:sz w:val="18"/>
                          </w:rPr>
                          <w:t>8</w:t>
                        </w:r>
                      </w:p>
                    </w:tc>
                    <w:tc>
                      <w:tcPr>
                        <w:tcW w:w="762" w:type="dxa"/>
                      </w:tcPr>
                      <w:p>
                        <w:pPr>
                          <w:pStyle w:val="TableParagraph"/>
                          <w:spacing w:before="76"/>
                          <w:ind w:left="152" w:right="153"/>
                          <w:jc w:val="center"/>
                          <w:rPr>
                            <w:sz w:val="18"/>
                          </w:rPr>
                        </w:pPr>
                        <w:r>
                          <w:rPr>
                            <w:sz w:val="18"/>
                          </w:rPr>
                          <w:t>95</w:t>
                        </w:r>
                      </w:p>
                    </w:tc>
                  </w:tr>
                  <w:tr>
                    <w:trPr>
                      <w:trHeight w:val="299" w:hRule="exact"/>
                    </w:trPr>
                    <w:tc>
                      <w:tcPr>
                        <w:tcW w:w="1032" w:type="dxa"/>
                      </w:tcPr>
                      <w:p>
                        <w:pPr>
                          <w:pStyle w:val="TableParagraph"/>
                          <w:spacing w:before="76"/>
                          <w:ind w:left="419" w:right="155"/>
                          <w:rPr>
                            <w:sz w:val="18"/>
                          </w:rPr>
                        </w:pPr>
                        <w:r>
                          <w:rPr>
                            <w:sz w:val="18"/>
                          </w:rPr>
                          <w:t>18</w:t>
                        </w:r>
                      </w:p>
                    </w:tc>
                    <w:tc>
                      <w:tcPr>
                        <w:tcW w:w="779" w:type="dxa"/>
                      </w:tcPr>
                      <w:p>
                        <w:pPr>
                          <w:pStyle w:val="TableParagraph"/>
                          <w:spacing w:before="76"/>
                          <w:ind w:left="78" w:right="79"/>
                          <w:jc w:val="center"/>
                          <w:rPr>
                            <w:sz w:val="18"/>
                          </w:rPr>
                        </w:pPr>
                        <w:r>
                          <w:rPr>
                            <w:sz w:val="18"/>
                          </w:rPr>
                          <w:t>6.8</w:t>
                        </w:r>
                      </w:p>
                    </w:tc>
                    <w:tc>
                      <w:tcPr>
                        <w:tcW w:w="518" w:type="dxa"/>
                      </w:tcPr>
                      <w:p>
                        <w:pPr>
                          <w:pStyle w:val="TableParagraph"/>
                          <w:spacing w:before="76"/>
                          <w:ind w:left="162"/>
                          <w:rPr>
                            <w:sz w:val="18"/>
                          </w:rPr>
                        </w:pPr>
                        <w:r>
                          <w:rPr>
                            <w:sz w:val="18"/>
                          </w:rPr>
                          <w:t>50</w:t>
                        </w:r>
                      </w:p>
                    </w:tc>
                    <w:tc>
                      <w:tcPr>
                        <w:tcW w:w="1172" w:type="dxa"/>
                      </w:tcPr>
                      <w:p>
                        <w:pPr>
                          <w:pStyle w:val="TableParagraph"/>
                          <w:spacing w:before="76"/>
                          <w:jc w:val="center"/>
                          <w:rPr>
                            <w:sz w:val="18"/>
                          </w:rPr>
                        </w:pPr>
                        <w:r>
                          <w:rPr>
                            <w:sz w:val="18"/>
                          </w:rPr>
                          <w:t>7</w:t>
                        </w:r>
                      </w:p>
                    </w:tc>
                    <w:tc>
                      <w:tcPr>
                        <w:tcW w:w="762" w:type="dxa"/>
                      </w:tcPr>
                      <w:p>
                        <w:pPr>
                          <w:pStyle w:val="TableParagraph"/>
                          <w:spacing w:before="76"/>
                          <w:ind w:left="152" w:right="153"/>
                          <w:jc w:val="center"/>
                          <w:rPr>
                            <w:sz w:val="18"/>
                          </w:rPr>
                        </w:pPr>
                        <w:r>
                          <w:rPr>
                            <w:sz w:val="18"/>
                          </w:rPr>
                          <w:t>95</w:t>
                        </w:r>
                      </w:p>
                    </w:tc>
                  </w:tr>
                  <w:tr>
                    <w:trPr>
                      <w:trHeight w:val="298" w:hRule="exact"/>
                    </w:trPr>
                    <w:tc>
                      <w:tcPr>
                        <w:tcW w:w="1032" w:type="dxa"/>
                      </w:tcPr>
                      <w:p>
                        <w:pPr>
                          <w:pStyle w:val="TableParagraph"/>
                          <w:spacing w:before="75"/>
                          <w:ind w:left="419" w:right="155"/>
                          <w:rPr>
                            <w:sz w:val="18"/>
                          </w:rPr>
                        </w:pPr>
                        <w:r>
                          <w:rPr>
                            <w:sz w:val="18"/>
                          </w:rPr>
                          <w:t>19</w:t>
                        </w:r>
                      </w:p>
                    </w:tc>
                    <w:tc>
                      <w:tcPr>
                        <w:tcW w:w="779" w:type="dxa"/>
                      </w:tcPr>
                      <w:p>
                        <w:pPr>
                          <w:pStyle w:val="TableParagraph"/>
                          <w:spacing w:before="75"/>
                          <w:jc w:val="center"/>
                          <w:rPr>
                            <w:sz w:val="18"/>
                          </w:rPr>
                        </w:pPr>
                        <w:r>
                          <w:rPr>
                            <w:sz w:val="18"/>
                          </w:rPr>
                          <w:t>7</w:t>
                        </w:r>
                      </w:p>
                    </w:tc>
                    <w:tc>
                      <w:tcPr>
                        <w:tcW w:w="518" w:type="dxa"/>
                      </w:tcPr>
                      <w:p>
                        <w:pPr>
                          <w:pStyle w:val="TableParagraph"/>
                          <w:spacing w:before="75"/>
                          <w:ind w:left="163"/>
                          <w:rPr>
                            <w:sz w:val="18"/>
                          </w:rPr>
                        </w:pPr>
                        <w:r>
                          <w:rPr>
                            <w:sz w:val="18"/>
                          </w:rPr>
                          <w:t>95</w:t>
                        </w:r>
                      </w:p>
                    </w:tc>
                    <w:tc>
                      <w:tcPr>
                        <w:tcW w:w="1172" w:type="dxa"/>
                      </w:tcPr>
                      <w:p>
                        <w:pPr>
                          <w:pStyle w:val="TableParagraph"/>
                          <w:spacing w:before="75"/>
                          <w:jc w:val="center"/>
                          <w:rPr>
                            <w:sz w:val="18"/>
                          </w:rPr>
                        </w:pPr>
                        <w:r>
                          <w:rPr>
                            <w:sz w:val="18"/>
                          </w:rPr>
                          <w:t>7</w:t>
                        </w:r>
                      </w:p>
                    </w:tc>
                    <w:tc>
                      <w:tcPr>
                        <w:tcW w:w="762" w:type="dxa"/>
                      </w:tcPr>
                      <w:p>
                        <w:pPr>
                          <w:pStyle w:val="TableParagraph"/>
                          <w:spacing w:before="75"/>
                          <w:ind w:left="152" w:right="153"/>
                          <w:jc w:val="center"/>
                          <w:rPr>
                            <w:sz w:val="18"/>
                          </w:rPr>
                        </w:pPr>
                        <w:r>
                          <w:rPr>
                            <w:sz w:val="18"/>
                          </w:rPr>
                          <w:t>95</w:t>
                        </w:r>
                      </w:p>
                    </w:tc>
                  </w:tr>
                  <w:tr>
                    <w:trPr>
                      <w:trHeight w:val="298" w:hRule="exact"/>
                    </w:trPr>
                    <w:tc>
                      <w:tcPr>
                        <w:tcW w:w="1032" w:type="dxa"/>
                      </w:tcPr>
                      <w:p>
                        <w:pPr>
                          <w:pStyle w:val="TableParagraph"/>
                          <w:spacing w:before="76"/>
                          <w:ind w:left="419" w:right="155"/>
                          <w:rPr>
                            <w:sz w:val="18"/>
                          </w:rPr>
                        </w:pPr>
                        <w:r>
                          <w:rPr>
                            <w:sz w:val="18"/>
                          </w:rPr>
                          <w:t>20</w:t>
                        </w:r>
                      </w:p>
                    </w:tc>
                    <w:tc>
                      <w:tcPr>
                        <w:tcW w:w="779" w:type="dxa"/>
                      </w:tcPr>
                      <w:p>
                        <w:pPr>
                          <w:pStyle w:val="TableParagraph"/>
                          <w:spacing w:before="76"/>
                          <w:ind w:left="78" w:right="79"/>
                          <w:jc w:val="center"/>
                          <w:rPr>
                            <w:sz w:val="18"/>
                          </w:rPr>
                        </w:pPr>
                        <w:r>
                          <w:rPr>
                            <w:sz w:val="18"/>
                          </w:rPr>
                          <w:t>6.5</w:t>
                        </w:r>
                      </w:p>
                    </w:tc>
                    <w:tc>
                      <w:tcPr>
                        <w:tcW w:w="518" w:type="dxa"/>
                      </w:tcPr>
                      <w:p>
                        <w:pPr>
                          <w:pStyle w:val="TableParagraph"/>
                          <w:spacing w:before="76"/>
                          <w:ind w:left="162"/>
                          <w:rPr>
                            <w:sz w:val="18"/>
                          </w:rPr>
                        </w:pPr>
                        <w:r>
                          <w:rPr>
                            <w:sz w:val="18"/>
                          </w:rPr>
                          <w:t>50</w:t>
                        </w:r>
                      </w:p>
                    </w:tc>
                    <w:tc>
                      <w:tcPr>
                        <w:tcW w:w="1172" w:type="dxa"/>
                      </w:tcPr>
                      <w:p>
                        <w:pPr>
                          <w:pStyle w:val="TableParagraph"/>
                          <w:spacing w:before="76"/>
                          <w:jc w:val="center"/>
                          <w:rPr>
                            <w:sz w:val="18"/>
                          </w:rPr>
                        </w:pPr>
                        <w:r>
                          <w:rPr>
                            <w:sz w:val="18"/>
                          </w:rPr>
                          <w:t>8</w:t>
                        </w:r>
                      </w:p>
                    </w:tc>
                    <w:tc>
                      <w:tcPr>
                        <w:tcW w:w="762" w:type="dxa"/>
                      </w:tcPr>
                      <w:p>
                        <w:pPr>
                          <w:pStyle w:val="TableParagraph"/>
                          <w:spacing w:before="76"/>
                          <w:ind w:left="152" w:right="153"/>
                          <w:jc w:val="center"/>
                          <w:rPr>
                            <w:sz w:val="18"/>
                          </w:rPr>
                        </w:pPr>
                        <w:r>
                          <w:rPr>
                            <w:sz w:val="18"/>
                          </w:rPr>
                          <w:t>95</w:t>
                        </w:r>
                      </w:p>
                    </w:tc>
                  </w:tr>
                  <w:tr>
                    <w:trPr>
                      <w:trHeight w:val="299" w:hRule="exact"/>
                    </w:trPr>
                    <w:tc>
                      <w:tcPr>
                        <w:tcW w:w="1032" w:type="dxa"/>
                      </w:tcPr>
                      <w:p>
                        <w:pPr>
                          <w:pStyle w:val="TableParagraph"/>
                          <w:spacing w:before="76"/>
                          <w:ind w:left="419" w:right="155"/>
                          <w:rPr>
                            <w:sz w:val="18"/>
                          </w:rPr>
                        </w:pPr>
                        <w:r>
                          <w:rPr>
                            <w:sz w:val="18"/>
                          </w:rPr>
                          <w:t>21</w:t>
                        </w:r>
                      </w:p>
                    </w:tc>
                    <w:tc>
                      <w:tcPr>
                        <w:tcW w:w="779" w:type="dxa"/>
                      </w:tcPr>
                      <w:p>
                        <w:pPr>
                          <w:pStyle w:val="TableParagraph"/>
                          <w:spacing w:before="76"/>
                          <w:ind w:left="78" w:right="79"/>
                          <w:jc w:val="center"/>
                          <w:rPr>
                            <w:sz w:val="18"/>
                          </w:rPr>
                        </w:pPr>
                        <w:r>
                          <w:rPr>
                            <w:sz w:val="18"/>
                          </w:rPr>
                          <w:t>6.2</w:t>
                        </w:r>
                      </w:p>
                    </w:tc>
                    <w:tc>
                      <w:tcPr>
                        <w:tcW w:w="518" w:type="dxa"/>
                      </w:tcPr>
                      <w:p>
                        <w:pPr>
                          <w:pStyle w:val="TableParagraph"/>
                          <w:spacing w:before="76"/>
                          <w:ind w:left="208"/>
                          <w:rPr>
                            <w:sz w:val="18"/>
                          </w:rPr>
                        </w:pPr>
                        <w:r>
                          <w:rPr>
                            <w:sz w:val="18"/>
                          </w:rPr>
                          <w:t>5</w:t>
                        </w:r>
                      </w:p>
                    </w:tc>
                    <w:tc>
                      <w:tcPr>
                        <w:tcW w:w="1172" w:type="dxa"/>
                      </w:tcPr>
                      <w:p>
                        <w:pPr>
                          <w:pStyle w:val="TableParagraph"/>
                          <w:spacing w:before="76"/>
                          <w:ind w:right="1"/>
                          <w:jc w:val="center"/>
                          <w:rPr>
                            <w:sz w:val="18"/>
                          </w:rPr>
                        </w:pPr>
                        <w:r>
                          <w:rPr>
                            <w:sz w:val="18"/>
                          </w:rPr>
                          <w:t>5</w:t>
                        </w:r>
                      </w:p>
                    </w:tc>
                    <w:tc>
                      <w:tcPr>
                        <w:tcW w:w="762" w:type="dxa"/>
                      </w:tcPr>
                      <w:p>
                        <w:pPr>
                          <w:pStyle w:val="TableParagraph"/>
                          <w:spacing w:before="76"/>
                          <w:jc w:val="center"/>
                          <w:rPr>
                            <w:sz w:val="18"/>
                          </w:rPr>
                        </w:pPr>
                        <w:r>
                          <w:rPr>
                            <w:sz w:val="18"/>
                          </w:rPr>
                          <w:t>5</w:t>
                        </w:r>
                      </w:p>
                    </w:tc>
                  </w:tr>
                  <w:tr>
                    <w:trPr>
                      <w:trHeight w:val="298" w:hRule="exact"/>
                    </w:trPr>
                    <w:tc>
                      <w:tcPr>
                        <w:tcW w:w="1032" w:type="dxa"/>
                      </w:tcPr>
                      <w:p>
                        <w:pPr>
                          <w:pStyle w:val="TableParagraph"/>
                          <w:spacing w:before="75"/>
                          <w:ind w:left="419" w:right="155"/>
                          <w:rPr>
                            <w:sz w:val="18"/>
                          </w:rPr>
                        </w:pPr>
                        <w:r>
                          <w:rPr>
                            <w:sz w:val="18"/>
                          </w:rPr>
                          <w:t>22</w:t>
                        </w:r>
                      </w:p>
                    </w:tc>
                    <w:tc>
                      <w:tcPr>
                        <w:tcW w:w="779" w:type="dxa"/>
                      </w:tcPr>
                      <w:p>
                        <w:pPr>
                          <w:pStyle w:val="TableParagraph"/>
                          <w:spacing w:before="75"/>
                          <w:jc w:val="center"/>
                          <w:rPr>
                            <w:sz w:val="18"/>
                          </w:rPr>
                        </w:pPr>
                        <w:r>
                          <w:rPr>
                            <w:sz w:val="18"/>
                          </w:rPr>
                          <w:t>6</w:t>
                        </w:r>
                      </w:p>
                    </w:tc>
                    <w:tc>
                      <w:tcPr>
                        <w:tcW w:w="518" w:type="dxa"/>
                      </w:tcPr>
                      <w:p>
                        <w:pPr>
                          <w:pStyle w:val="TableParagraph"/>
                          <w:spacing w:before="75"/>
                          <w:ind w:left="208"/>
                          <w:rPr>
                            <w:sz w:val="18"/>
                          </w:rPr>
                        </w:pPr>
                        <w:r>
                          <w:rPr>
                            <w:sz w:val="18"/>
                          </w:rPr>
                          <w:t>5</w:t>
                        </w:r>
                      </w:p>
                    </w:tc>
                    <w:tc>
                      <w:tcPr>
                        <w:tcW w:w="1172" w:type="dxa"/>
                      </w:tcPr>
                      <w:p>
                        <w:pPr>
                          <w:pStyle w:val="TableParagraph"/>
                          <w:spacing w:before="75"/>
                          <w:ind w:left="140" w:right="141"/>
                          <w:jc w:val="center"/>
                          <w:rPr>
                            <w:sz w:val="18"/>
                          </w:rPr>
                        </w:pPr>
                        <w:r>
                          <w:rPr>
                            <w:sz w:val="18"/>
                          </w:rPr>
                          <w:t>6.5</w:t>
                        </w:r>
                      </w:p>
                    </w:tc>
                    <w:tc>
                      <w:tcPr>
                        <w:tcW w:w="762" w:type="dxa"/>
                      </w:tcPr>
                      <w:p>
                        <w:pPr>
                          <w:pStyle w:val="TableParagraph"/>
                          <w:spacing w:before="75"/>
                          <w:ind w:left="152" w:right="153"/>
                          <w:jc w:val="center"/>
                          <w:rPr>
                            <w:sz w:val="18"/>
                          </w:rPr>
                        </w:pPr>
                        <w:r>
                          <w:rPr>
                            <w:sz w:val="18"/>
                          </w:rPr>
                          <w:t>95</w:t>
                        </w:r>
                      </w:p>
                    </w:tc>
                  </w:tr>
                  <w:tr>
                    <w:trPr>
                      <w:trHeight w:val="311" w:hRule="exact"/>
                    </w:trPr>
                    <w:tc>
                      <w:tcPr>
                        <w:tcW w:w="1032" w:type="dxa"/>
                      </w:tcPr>
                      <w:p>
                        <w:pPr>
                          <w:pStyle w:val="TableParagraph"/>
                          <w:spacing w:before="88"/>
                          <w:ind w:left="419" w:right="155"/>
                          <w:rPr>
                            <w:sz w:val="18"/>
                          </w:rPr>
                        </w:pPr>
                        <w:r>
                          <w:rPr>
                            <w:sz w:val="18"/>
                          </w:rPr>
                          <w:t>23</w:t>
                        </w:r>
                      </w:p>
                    </w:tc>
                    <w:tc>
                      <w:tcPr>
                        <w:tcW w:w="779" w:type="dxa"/>
                      </w:tcPr>
                      <w:p>
                        <w:pPr>
                          <w:pStyle w:val="TableParagraph"/>
                          <w:spacing w:before="88"/>
                          <w:jc w:val="center"/>
                          <w:rPr>
                            <w:sz w:val="18"/>
                          </w:rPr>
                        </w:pPr>
                        <w:r>
                          <w:rPr>
                            <w:sz w:val="18"/>
                          </w:rPr>
                          <w:t>6</w:t>
                        </w:r>
                      </w:p>
                    </w:tc>
                    <w:tc>
                      <w:tcPr>
                        <w:tcW w:w="518" w:type="dxa"/>
                      </w:tcPr>
                      <w:p>
                        <w:pPr>
                          <w:pStyle w:val="TableParagraph"/>
                          <w:spacing w:before="88"/>
                          <w:ind w:left="208"/>
                          <w:rPr>
                            <w:sz w:val="18"/>
                          </w:rPr>
                        </w:pPr>
                        <w:r>
                          <w:rPr>
                            <w:sz w:val="18"/>
                          </w:rPr>
                          <w:t>5</w:t>
                        </w:r>
                      </w:p>
                    </w:tc>
                    <w:tc>
                      <w:tcPr>
                        <w:tcW w:w="1172" w:type="dxa"/>
                      </w:tcPr>
                      <w:p>
                        <w:pPr>
                          <w:pStyle w:val="TableParagraph"/>
                          <w:spacing w:before="88"/>
                          <w:jc w:val="center"/>
                          <w:rPr>
                            <w:sz w:val="18"/>
                          </w:rPr>
                        </w:pPr>
                        <w:r>
                          <w:rPr>
                            <w:sz w:val="18"/>
                          </w:rPr>
                          <w:t>7</w:t>
                        </w:r>
                      </w:p>
                    </w:tc>
                    <w:tc>
                      <w:tcPr>
                        <w:tcW w:w="762" w:type="dxa"/>
                      </w:tcPr>
                      <w:p>
                        <w:pPr>
                          <w:pStyle w:val="TableParagraph"/>
                          <w:spacing w:before="88"/>
                          <w:ind w:left="152" w:right="153"/>
                          <w:jc w:val="center"/>
                          <w:rPr>
                            <w:sz w:val="18"/>
                          </w:rPr>
                        </w:pPr>
                        <w:r>
                          <w:rPr>
                            <w:sz w:val="18"/>
                          </w:rPr>
                          <w:t>95</w:t>
                        </w:r>
                      </w:p>
                    </w:tc>
                  </w:tr>
                </w:tbl>
                <w:p>
                  <w:pPr>
                    <w:pStyle w:val="BodyText"/>
                  </w:pPr>
                </w:p>
              </w:txbxContent>
            </v:textbox>
            <w10:wrap type="none"/>
          </v:shape>
        </w:pict>
      </w:r>
      <w:r>
        <w:rPr>
          <w:sz w:val="18"/>
        </w:rPr>
        <w:t>Table 3: Frequency of user with discomforts</w:t>
      </w:r>
    </w:p>
    <w:p>
      <w:pPr>
        <w:pStyle w:val="BodyText"/>
        <w:spacing w:before="4" w:after="1"/>
        <w:rPr>
          <w:sz w:val="18"/>
        </w:rPr>
      </w:pPr>
    </w:p>
    <w:tbl>
      <w:tblPr>
        <w:tblW w:w="0" w:type="auto"/>
        <w:jc w:val="left"/>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54"/>
        <w:gridCol w:w="2747"/>
      </w:tblGrid>
      <w:tr>
        <w:trPr>
          <w:trHeight w:val="299" w:hRule="exact"/>
        </w:trPr>
        <w:tc>
          <w:tcPr>
            <w:tcW w:w="2154" w:type="dxa"/>
          </w:tcPr>
          <w:p>
            <w:pPr>
              <w:pStyle w:val="TableParagraph"/>
              <w:spacing w:before="39"/>
              <w:ind w:left="419" w:right="419"/>
              <w:jc w:val="center"/>
              <w:rPr>
                <w:b/>
                <w:sz w:val="18"/>
              </w:rPr>
            </w:pPr>
            <w:r>
              <w:rPr>
                <w:b/>
                <w:sz w:val="18"/>
              </w:rPr>
              <w:t>With discomfort</w:t>
            </w:r>
          </w:p>
        </w:tc>
        <w:tc>
          <w:tcPr>
            <w:tcW w:w="2747" w:type="dxa"/>
          </w:tcPr>
          <w:p>
            <w:pPr>
              <w:pStyle w:val="TableParagraph"/>
              <w:spacing w:before="39"/>
              <w:ind w:left="591" w:right="590"/>
              <w:jc w:val="center"/>
              <w:rPr>
                <w:b/>
                <w:sz w:val="18"/>
              </w:rPr>
            </w:pPr>
            <w:r>
              <w:rPr>
                <w:b/>
                <w:sz w:val="18"/>
              </w:rPr>
              <w:t>Without discomfort</w:t>
            </w:r>
          </w:p>
        </w:tc>
      </w:tr>
      <w:tr>
        <w:trPr>
          <w:trHeight w:val="311" w:hRule="exact"/>
        </w:trPr>
        <w:tc>
          <w:tcPr>
            <w:tcW w:w="2154" w:type="dxa"/>
          </w:tcPr>
          <w:p>
            <w:pPr>
              <w:pStyle w:val="TableParagraph"/>
              <w:spacing w:before="42"/>
              <w:ind w:left="418" w:right="419"/>
              <w:jc w:val="center"/>
              <w:rPr>
                <w:sz w:val="18"/>
              </w:rPr>
            </w:pPr>
            <w:r>
              <w:rPr>
                <w:sz w:val="18"/>
              </w:rPr>
              <w:t>20</w:t>
            </w:r>
          </w:p>
        </w:tc>
        <w:tc>
          <w:tcPr>
            <w:tcW w:w="2747" w:type="dxa"/>
          </w:tcPr>
          <w:p>
            <w:pPr>
              <w:pStyle w:val="TableParagraph"/>
              <w:spacing w:before="42"/>
              <w:jc w:val="center"/>
              <w:rPr>
                <w:sz w:val="18"/>
              </w:rPr>
            </w:pPr>
            <w:r>
              <w:rPr>
                <w:sz w:val="18"/>
              </w:rPr>
              <w:t>3</w:t>
            </w:r>
          </w:p>
        </w:tc>
      </w:tr>
    </w:tbl>
    <w:p>
      <w:pPr>
        <w:pStyle w:val="BodyText"/>
        <w:spacing w:before="10"/>
        <w:rPr>
          <w:sz w:val="28"/>
        </w:rPr>
      </w:pPr>
    </w:p>
    <w:p>
      <w:pPr>
        <w:spacing w:before="77"/>
        <w:ind w:left="1656" w:right="6276" w:firstLine="0"/>
        <w:jc w:val="left"/>
        <w:rPr>
          <w:sz w:val="18"/>
        </w:rPr>
      </w:pPr>
      <w:r>
        <w:rPr>
          <w:sz w:val="18"/>
        </w:rPr>
        <w:t>Table 4: Symptoms presented</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17"/>
        </w:rPr>
      </w:pPr>
    </w:p>
    <w:p>
      <w:pPr>
        <w:spacing w:before="0"/>
        <w:ind w:left="6090" w:right="314" w:firstLine="0"/>
        <w:jc w:val="left"/>
        <w:rPr>
          <w:sz w:val="18"/>
        </w:rPr>
      </w:pPr>
      <w:r>
        <w:rPr/>
        <w:pict>
          <v:shape style="position:absolute;margin-left:58.080002pt;margin-top:-126.118271pt;width:215pt;height:150.6pt;mso-position-horizontal-relative:page;mso-position-vertical-relative:paragraph;z-index:9016"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42"/>
                    <w:gridCol w:w="2143"/>
                  </w:tblGrid>
                  <w:tr>
                    <w:trPr>
                      <w:trHeight w:val="300" w:hRule="exact"/>
                    </w:trPr>
                    <w:tc>
                      <w:tcPr>
                        <w:tcW w:w="2142" w:type="dxa"/>
                      </w:tcPr>
                      <w:p>
                        <w:pPr>
                          <w:pStyle w:val="TableParagraph"/>
                          <w:spacing w:before="40"/>
                          <w:ind w:left="696"/>
                          <w:rPr>
                            <w:b/>
                            <w:sz w:val="18"/>
                          </w:rPr>
                        </w:pPr>
                        <w:r>
                          <w:rPr>
                            <w:b/>
                            <w:sz w:val="18"/>
                          </w:rPr>
                          <w:t>Symptom</w:t>
                        </w:r>
                      </w:p>
                    </w:tc>
                    <w:tc>
                      <w:tcPr>
                        <w:tcW w:w="2143" w:type="dxa"/>
                      </w:tcPr>
                      <w:p>
                        <w:pPr>
                          <w:pStyle w:val="TableParagraph"/>
                          <w:spacing w:before="40"/>
                          <w:ind w:left="636" w:right="636"/>
                          <w:jc w:val="center"/>
                          <w:rPr>
                            <w:b/>
                            <w:sz w:val="18"/>
                          </w:rPr>
                        </w:pPr>
                        <w:r>
                          <w:rPr>
                            <w:b/>
                            <w:sz w:val="18"/>
                          </w:rPr>
                          <w:t>Frequency</w:t>
                        </w:r>
                      </w:p>
                    </w:tc>
                  </w:tr>
                  <w:tr>
                    <w:trPr>
                      <w:trHeight w:val="299" w:hRule="exact"/>
                    </w:trPr>
                    <w:tc>
                      <w:tcPr>
                        <w:tcW w:w="2142" w:type="dxa"/>
                      </w:tcPr>
                      <w:p>
                        <w:pPr>
                          <w:pStyle w:val="TableParagraph"/>
                          <w:spacing w:before="36"/>
                          <w:ind w:left="64"/>
                          <w:rPr>
                            <w:sz w:val="18"/>
                          </w:rPr>
                        </w:pPr>
                        <w:r>
                          <w:rPr>
                            <w:sz w:val="18"/>
                          </w:rPr>
                          <w:t>Pain in thumbs</w:t>
                        </w:r>
                      </w:p>
                    </w:tc>
                    <w:tc>
                      <w:tcPr>
                        <w:tcW w:w="2143" w:type="dxa"/>
                      </w:tcPr>
                      <w:p>
                        <w:pPr>
                          <w:pStyle w:val="TableParagraph"/>
                          <w:spacing w:before="36"/>
                          <w:ind w:left="3"/>
                          <w:jc w:val="center"/>
                          <w:rPr>
                            <w:sz w:val="18"/>
                          </w:rPr>
                        </w:pPr>
                        <w:r>
                          <w:rPr>
                            <w:sz w:val="18"/>
                          </w:rPr>
                          <w:t>9</w:t>
                        </w:r>
                      </w:p>
                    </w:tc>
                  </w:tr>
                  <w:tr>
                    <w:trPr>
                      <w:trHeight w:val="310" w:hRule="exact"/>
                    </w:trPr>
                    <w:tc>
                      <w:tcPr>
                        <w:tcW w:w="2142" w:type="dxa"/>
                      </w:tcPr>
                      <w:p>
                        <w:pPr>
                          <w:pStyle w:val="TableParagraph"/>
                          <w:spacing w:before="42"/>
                          <w:ind w:left="64"/>
                          <w:rPr>
                            <w:sz w:val="18"/>
                          </w:rPr>
                        </w:pPr>
                        <w:r>
                          <w:rPr>
                            <w:sz w:val="18"/>
                          </w:rPr>
                          <w:t>Pain in wrist</w:t>
                        </w:r>
                      </w:p>
                    </w:tc>
                    <w:tc>
                      <w:tcPr>
                        <w:tcW w:w="2143" w:type="dxa"/>
                      </w:tcPr>
                      <w:p>
                        <w:pPr>
                          <w:pStyle w:val="TableParagraph"/>
                          <w:spacing w:before="42"/>
                          <w:ind w:left="2"/>
                          <w:jc w:val="center"/>
                          <w:rPr>
                            <w:sz w:val="18"/>
                          </w:rPr>
                        </w:pPr>
                        <w:r>
                          <w:rPr>
                            <w:sz w:val="18"/>
                          </w:rPr>
                          <w:t>3</w:t>
                        </w:r>
                      </w:p>
                    </w:tc>
                  </w:tr>
                  <w:tr>
                    <w:trPr>
                      <w:trHeight w:val="299" w:hRule="exact"/>
                    </w:trPr>
                    <w:tc>
                      <w:tcPr>
                        <w:tcW w:w="2142" w:type="dxa"/>
                      </w:tcPr>
                      <w:p>
                        <w:pPr>
                          <w:pStyle w:val="TableParagraph"/>
                          <w:spacing w:before="37"/>
                          <w:ind w:left="64"/>
                          <w:rPr>
                            <w:sz w:val="18"/>
                          </w:rPr>
                        </w:pPr>
                        <w:r>
                          <w:rPr>
                            <w:sz w:val="18"/>
                          </w:rPr>
                          <w:t>Pain in arms</w:t>
                        </w:r>
                      </w:p>
                    </w:tc>
                    <w:tc>
                      <w:tcPr>
                        <w:tcW w:w="2143" w:type="dxa"/>
                      </w:tcPr>
                      <w:p>
                        <w:pPr>
                          <w:pStyle w:val="TableParagraph"/>
                          <w:spacing w:before="37"/>
                          <w:ind w:left="1"/>
                          <w:jc w:val="center"/>
                          <w:rPr>
                            <w:sz w:val="18"/>
                          </w:rPr>
                        </w:pPr>
                        <w:r>
                          <w:rPr>
                            <w:sz w:val="18"/>
                          </w:rPr>
                          <w:t>1</w:t>
                        </w:r>
                      </w:p>
                    </w:tc>
                  </w:tr>
                  <w:tr>
                    <w:trPr>
                      <w:trHeight w:val="299" w:hRule="exact"/>
                    </w:trPr>
                    <w:tc>
                      <w:tcPr>
                        <w:tcW w:w="2142" w:type="dxa"/>
                      </w:tcPr>
                      <w:p>
                        <w:pPr>
                          <w:pStyle w:val="TableParagraph"/>
                          <w:spacing w:before="37"/>
                          <w:ind w:left="64"/>
                          <w:rPr>
                            <w:sz w:val="18"/>
                          </w:rPr>
                        </w:pPr>
                        <w:r>
                          <w:rPr>
                            <w:sz w:val="18"/>
                          </w:rPr>
                          <w:t>Pain in fingers</w:t>
                        </w:r>
                      </w:p>
                    </w:tc>
                    <w:tc>
                      <w:tcPr>
                        <w:tcW w:w="2143" w:type="dxa"/>
                      </w:tcPr>
                      <w:p>
                        <w:pPr>
                          <w:pStyle w:val="TableParagraph"/>
                          <w:spacing w:before="37"/>
                          <w:ind w:left="3"/>
                          <w:jc w:val="center"/>
                          <w:rPr>
                            <w:sz w:val="18"/>
                          </w:rPr>
                        </w:pPr>
                        <w:r>
                          <w:rPr>
                            <w:sz w:val="18"/>
                          </w:rPr>
                          <w:t>4</w:t>
                        </w:r>
                      </w:p>
                    </w:tc>
                  </w:tr>
                  <w:tr>
                    <w:trPr>
                      <w:trHeight w:val="300" w:hRule="exact"/>
                    </w:trPr>
                    <w:tc>
                      <w:tcPr>
                        <w:tcW w:w="2142" w:type="dxa"/>
                      </w:tcPr>
                      <w:p>
                        <w:pPr>
                          <w:pStyle w:val="TableParagraph"/>
                          <w:spacing w:before="37"/>
                          <w:ind w:left="64"/>
                          <w:rPr>
                            <w:sz w:val="18"/>
                          </w:rPr>
                        </w:pPr>
                        <w:r>
                          <w:rPr>
                            <w:sz w:val="18"/>
                          </w:rPr>
                          <w:t>Numbness in hand</w:t>
                        </w:r>
                      </w:p>
                    </w:tc>
                    <w:tc>
                      <w:tcPr>
                        <w:tcW w:w="2143" w:type="dxa"/>
                      </w:tcPr>
                      <w:p>
                        <w:pPr>
                          <w:pStyle w:val="TableParagraph"/>
                          <w:spacing w:before="37"/>
                          <w:ind w:left="1"/>
                          <w:jc w:val="center"/>
                          <w:rPr>
                            <w:sz w:val="18"/>
                          </w:rPr>
                        </w:pPr>
                        <w:r>
                          <w:rPr>
                            <w:sz w:val="18"/>
                          </w:rPr>
                          <w:t>1</w:t>
                        </w:r>
                      </w:p>
                    </w:tc>
                  </w:tr>
                  <w:tr>
                    <w:trPr>
                      <w:trHeight w:val="299" w:hRule="exact"/>
                    </w:trPr>
                    <w:tc>
                      <w:tcPr>
                        <w:tcW w:w="2142" w:type="dxa"/>
                      </w:tcPr>
                      <w:p>
                        <w:pPr>
                          <w:pStyle w:val="TableParagraph"/>
                          <w:spacing w:before="36"/>
                          <w:ind w:left="64"/>
                          <w:rPr>
                            <w:sz w:val="18"/>
                          </w:rPr>
                        </w:pPr>
                        <w:r>
                          <w:rPr>
                            <w:sz w:val="18"/>
                          </w:rPr>
                          <w:t>Numbness in thumbs</w:t>
                        </w:r>
                      </w:p>
                    </w:tc>
                    <w:tc>
                      <w:tcPr>
                        <w:tcW w:w="2143" w:type="dxa"/>
                      </w:tcPr>
                      <w:p>
                        <w:pPr>
                          <w:pStyle w:val="TableParagraph"/>
                          <w:spacing w:before="36"/>
                          <w:ind w:left="1"/>
                          <w:jc w:val="center"/>
                          <w:rPr>
                            <w:sz w:val="18"/>
                          </w:rPr>
                        </w:pPr>
                        <w:r>
                          <w:rPr>
                            <w:sz w:val="18"/>
                          </w:rPr>
                          <w:t>2</w:t>
                        </w:r>
                      </w:p>
                    </w:tc>
                  </w:tr>
                  <w:tr>
                    <w:trPr>
                      <w:trHeight w:val="299" w:hRule="exact"/>
                    </w:trPr>
                    <w:tc>
                      <w:tcPr>
                        <w:tcW w:w="2142" w:type="dxa"/>
                      </w:tcPr>
                      <w:p>
                        <w:pPr>
                          <w:pStyle w:val="TableParagraph"/>
                          <w:spacing w:before="36"/>
                          <w:ind w:left="64"/>
                          <w:rPr>
                            <w:sz w:val="18"/>
                          </w:rPr>
                        </w:pPr>
                        <w:r>
                          <w:rPr>
                            <w:sz w:val="18"/>
                          </w:rPr>
                          <w:t>Numbness in fingers</w:t>
                        </w:r>
                      </w:p>
                    </w:tc>
                    <w:tc>
                      <w:tcPr>
                        <w:tcW w:w="2143" w:type="dxa"/>
                      </w:tcPr>
                      <w:p>
                        <w:pPr>
                          <w:pStyle w:val="TableParagraph"/>
                          <w:spacing w:before="36"/>
                          <w:ind w:left="1"/>
                          <w:jc w:val="center"/>
                          <w:rPr>
                            <w:sz w:val="18"/>
                          </w:rPr>
                        </w:pPr>
                        <w:r>
                          <w:rPr>
                            <w:sz w:val="18"/>
                          </w:rPr>
                          <w:t>3</w:t>
                        </w:r>
                      </w:p>
                    </w:tc>
                  </w:tr>
                  <w:tr>
                    <w:trPr>
                      <w:trHeight w:val="299" w:hRule="exact"/>
                    </w:trPr>
                    <w:tc>
                      <w:tcPr>
                        <w:tcW w:w="2142" w:type="dxa"/>
                      </w:tcPr>
                      <w:p>
                        <w:pPr>
                          <w:pStyle w:val="TableParagraph"/>
                          <w:spacing w:before="36"/>
                          <w:ind w:left="64"/>
                          <w:rPr>
                            <w:sz w:val="18"/>
                          </w:rPr>
                        </w:pPr>
                        <w:r>
                          <w:rPr>
                            <w:sz w:val="18"/>
                          </w:rPr>
                          <w:t>Numbness in arm</w:t>
                        </w:r>
                      </w:p>
                    </w:tc>
                    <w:tc>
                      <w:tcPr>
                        <w:tcW w:w="2143" w:type="dxa"/>
                      </w:tcPr>
                      <w:p>
                        <w:pPr>
                          <w:pStyle w:val="TableParagraph"/>
                          <w:spacing w:before="36"/>
                          <w:ind w:left="2"/>
                          <w:jc w:val="center"/>
                          <w:rPr>
                            <w:sz w:val="18"/>
                          </w:rPr>
                        </w:pPr>
                        <w:r>
                          <w:rPr>
                            <w:sz w:val="18"/>
                          </w:rPr>
                          <w:t>1</w:t>
                        </w:r>
                      </w:p>
                    </w:tc>
                  </w:tr>
                  <w:tr>
                    <w:trPr>
                      <w:trHeight w:val="300" w:hRule="exact"/>
                    </w:trPr>
                    <w:tc>
                      <w:tcPr>
                        <w:tcW w:w="2142" w:type="dxa"/>
                      </w:tcPr>
                      <w:p>
                        <w:pPr>
                          <w:pStyle w:val="TableParagraph"/>
                          <w:spacing w:before="37"/>
                          <w:ind w:left="64"/>
                          <w:rPr>
                            <w:sz w:val="18"/>
                          </w:rPr>
                        </w:pPr>
                        <w:r>
                          <w:rPr>
                            <w:sz w:val="18"/>
                          </w:rPr>
                          <w:t>Visual discomfort</w:t>
                        </w:r>
                      </w:p>
                    </w:tc>
                    <w:tc>
                      <w:tcPr>
                        <w:tcW w:w="2143" w:type="dxa"/>
                      </w:tcPr>
                      <w:p>
                        <w:pPr>
                          <w:pStyle w:val="TableParagraph"/>
                          <w:spacing w:before="37"/>
                          <w:ind w:left="2"/>
                          <w:jc w:val="center"/>
                          <w:rPr>
                            <w:sz w:val="18"/>
                          </w:rPr>
                        </w:pPr>
                        <w:r>
                          <w:rPr>
                            <w:sz w:val="18"/>
                          </w:rPr>
                          <w:t>1</w:t>
                        </w:r>
                      </w:p>
                    </w:tc>
                  </w:tr>
                </w:tbl>
                <w:p>
                  <w:pPr>
                    <w:pStyle w:val="BodyText"/>
                  </w:pPr>
                </w:p>
              </w:txbxContent>
            </v:textbox>
            <w10:wrap type="none"/>
          </v:shape>
        </w:pict>
      </w:r>
      <w:r>
        <w:rPr>
          <w:sz w:val="18"/>
        </w:rPr>
        <w:t>Table 6: relation real vs ideal size and presence of discomfort.</w:t>
      </w:r>
    </w:p>
    <w:p>
      <w:pPr>
        <w:pStyle w:val="BodyText"/>
      </w:pPr>
    </w:p>
    <w:p>
      <w:pPr>
        <w:pStyle w:val="BodyText"/>
        <w:spacing w:before="5"/>
        <w:rPr>
          <w:sz w:val="19"/>
        </w:rPr>
      </w:pPr>
    </w:p>
    <w:p>
      <w:pPr>
        <w:pStyle w:val="BodyText"/>
        <w:spacing w:before="8"/>
      </w:pPr>
    </w:p>
    <w:p>
      <w:pPr>
        <w:spacing w:before="0"/>
        <w:ind w:left="270" w:right="6250" w:firstLine="453"/>
        <w:jc w:val="both"/>
        <w:rPr>
          <w:sz w:val="18"/>
        </w:rPr>
      </w:pPr>
      <w:r>
        <w:rPr/>
        <w:pict>
          <v:shape style="position:absolute;margin-left:338.220001pt;margin-top:-23.997667pt;width:214.6pt;height:46.45pt;mso-position-horizontal-relative:page;mso-position-vertical-relative:paragraph;z-index:904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00"/>
                    <w:gridCol w:w="932"/>
                    <w:gridCol w:w="934"/>
                    <w:gridCol w:w="1211"/>
                  </w:tblGrid>
                  <w:tr>
                    <w:trPr>
                      <w:trHeight w:val="311" w:hRule="exact"/>
                    </w:trPr>
                    <w:tc>
                      <w:tcPr>
                        <w:tcW w:w="1200" w:type="dxa"/>
                      </w:tcPr>
                      <w:p>
                        <w:pPr/>
                      </w:p>
                    </w:tc>
                    <w:tc>
                      <w:tcPr>
                        <w:tcW w:w="1866" w:type="dxa"/>
                        <w:gridSpan w:val="2"/>
                      </w:tcPr>
                      <w:p>
                        <w:pPr>
                          <w:pStyle w:val="TableParagraph"/>
                          <w:spacing w:before="92"/>
                          <w:ind w:left="348"/>
                          <w:rPr>
                            <w:b/>
                            <w:sz w:val="18"/>
                          </w:rPr>
                        </w:pPr>
                        <w:r>
                          <w:rPr>
                            <w:b/>
                            <w:sz w:val="18"/>
                          </w:rPr>
                          <w:t>Screen size (in)</w:t>
                        </w:r>
                      </w:p>
                    </w:tc>
                    <w:tc>
                      <w:tcPr>
                        <w:tcW w:w="1211" w:type="dxa"/>
                        <w:vMerge w:val="restart"/>
                      </w:tcPr>
                      <w:p>
                        <w:pPr>
                          <w:pStyle w:val="TableParagraph"/>
                          <w:rPr>
                            <w:sz w:val="18"/>
                          </w:rPr>
                        </w:pPr>
                      </w:p>
                      <w:p>
                        <w:pPr>
                          <w:pStyle w:val="TableParagraph"/>
                          <w:rPr>
                            <w:sz w:val="17"/>
                          </w:rPr>
                        </w:pPr>
                      </w:p>
                      <w:p>
                        <w:pPr>
                          <w:pStyle w:val="TableParagraph"/>
                          <w:ind w:left="170"/>
                          <w:rPr>
                            <w:b/>
                            <w:sz w:val="18"/>
                          </w:rPr>
                        </w:pPr>
                        <w:r>
                          <w:rPr>
                            <w:b/>
                            <w:sz w:val="18"/>
                          </w:rPr>
                          <w:t>Discomfort</w:t>
                        </w:r>
                      </w:p>
                    </w:tc>
                  </w:tr>
                  <w:tr>
                    <w:trPr>
                      <w:trHeight w:val="310" w:hRule="exact"/>
                    </w:trPr>
                    <w:tc>
                      <w:tcPr>
                        <w:tcW w:w="1200" w:type="dxa"/>
                      </w:tcPr>
                      <w:p>
                        <w:pPr>
                          <w:pStyle w:val="TableParagraph"/>
                          <w:spacing w:line="206" w:lineRule="exact"/>
                          <w:ind w:left="254" w:right="255"/>
                          <w:jc w:val="center"/>
                          <w:rPr>
                            <w:b/>
                            <w:sz w:val="18"/>
                          </w:rPr>
                        </w:pPr>
                        <w:r>
                          <w:rPr>
                            <w:b/>
                            <w:sz w:val="18"/>
                          </w:rPr>
                          <w:t>Number</w:t>
                        </w:r>
                      </w:p>
                    </w:tc>
                    <w:tc>
                      <w:tcPr>
                        <w:tcW w:w="932" w:type="dxa"/>
                      </w:tcPr>
                      <w:p>
                        <w:pPr>
                          <w:pStyle w:val="TableParagraph"/>
                          <w:spacing w:before="92"/>
                          <w:ind w:left="245" w:right="246"/>
                          <w:jc w:val="center"/>
                          <w:rPr>
                            <w:b/>
                            <w:sz w:val="18"/>
                          </w:rPr>
                        </w:pPr>
                        <w:r>
                          <w:rPr>
                            <w:b/>
                            <w:sz w:val="18"/>
                          </w:rPr>
                          <w:t>Ideal</w:t>
                        </w:r>
                      </w:p>
                    </w:tc>
                    <w:tc>
                      <w:tcPr>
                        <w:tcW w:w="934" w:type="dxa"/>
                      </w:tcPr>
                      <w:p>
                        <w:pPr>
                          <w:pStyle w:val="TableParagraph"/>
                          <w:spacing w:before="92"/>
                          <w:ind w:left="267" w:right="267"/>
                          <w:jc w:val="center"/>
                          <w:rPr>
                            <w:b/>
                            <w:sz w:val="18"/>
                          </w:rPr>
                        </w:pPr>
                        <w:r>
                          <w:rPr>
                            <w:b/>
                            <w:sz w:val="18"/>
                          </w:rPr>
                          <w:t>Real</w:t>
                        </w:r>
                      </w:p>
                    </w:tc>
                    <w:tc>
                      <w:tcPr>
                        <w:tcW w:w="1211" w:type="dxa"/>
                        <w:vMerge/>
                      </w:tcPr>
                      <w:p>
                        <w:pPr/>
                      </w:p>
                    </w:tc>
                  </w:tr>
                  <w:tr>
                    <w:trPr>
                      <w:trHeight w:val="299" w:hRule="exact"/>
                    </w:trPr>
                    <w:tc>
                      <w:tcPr>
                        <w:tcW w:w="1200" w:type="dxa"/>
                      </w:tcPr>
                      <w:p>
                        <w:pPr>
                          <w:pStyle w:val="TableParagraph"/>
                          <w:spacing w:before="76"/>
                          <w:ind w:right="1"/>
                          <w:jc w:val="center"/>
                          <w:rPr>
                            <w:sz w:val="18"/>
                          </w:rPr>
                        </w:pPr>
                        <w:r>
                          <w:rPr>
                            <w:sz w:val="18"/>
                          </w:rPr>
                          <w:t>1</w:t>
                        </w:r>
                      </w:p>
                    </w:tc>
                    <w:tc>
                      <w:tcPr>
                        <w:tcW w:w="932" w:type="dxa"/>
                      </w:tcPr>
                      <w:p>
                        <w:pPr>
                          <w:pStyle w:val="TableParagraph"/>
                          <w:spacing w:before="76"/>
                          <w:jc w:val="center"/>
                          <w:rPr>
                            <w:sz w:val="18"/>
                          </w:rPr>
                        </w:pPr>
                        <w:r>
                          <w:rPr>
                            <w:sz w:val="18"/>
                          </w:rPr>
                          <w:t>5</w:t>
                        </w:r>
                      </w:p>
                    </w:tc>
                    <w:tc>
                      <w:tcPr>
                        <w:tcW w:w="934" w:type="dxa"/>
                      </w:tcPr>
                      <w:p>
                        <w:pPr>
                          <w:pStyle w:val="TableParagraph"/>
                          <w:spacing w:before="76"/>
                          <w:ind w:left="267" w:right="267"/>
                          <w:jc w:val="center"/>
                          <w:rPr>
                            <w:sz w:val="18"/>
                          </w:rPr>
                        </w:pPr>
                        <w:r>
                          <w:rPr>
                            <w:sz w:val="18"/>
                          </w:rPr>
                          <w:t>4.99</w:t>
                        </w:r>
                      </w:p>
                    </w:tc>
                    <w:tc>
                      <w:tcPr>
                        <w:tcW w:w="1211" w:type="dxa"/>
                      </w:tcPr>
                      <w:p>
                        <w:pPr>
                          <w:pStyle w:val="TableParagraph"/>
                          <w:spacing w:before="76"/>
                          <w:ind w:left="470" w:right="470"/>
                          <w:jc w:val="center"/>
                          <w:rPr>
                            <w:sz w:val="18"/>
                          </w:rPr>
                        </w:pPr>
                        <w:r>
                          <w:rPr>
                            <w:sz w:val="18"/>
                          </w:rPr>
                          <w:t>No</w:t>
                        </w:r>
                      </w:p>
                    </w:tc>
                  </w:tr>
                </w:tbl>
                <w:p>
                  <w:pPr>
                    <w:pStyle w:val="BodyText"/>
                  </w:pPr>
                </w:p>
              </w:txbxContent>
            </v:textbox>
            <w10:wrap type="none"/>
          </v:shape>
        </w:pict>
      </w:r>
      <w:r>
        <w:rPr>
          <w:sz w:val="18"/>
        </w:rPr>
        <w:t>Regarding the use of a smartphone case, we found that 11 participants used it and 6 of them mentioned to have felt a positive influence with the cover when handling the device.</w:t>
      </w:r>
    </w:p>
    <w:p>
      <w:pPr>
        <w:spacing w:after="0"/>
        <w:jc w:val="both"/>
        <w:rPr>
          <w:sz w:val="18"/>
        </w:rPr>
        <w:sectPr>
          <w:type w:val="continuous"/>
          <w:pgSz w:w="12240" w:h="15840"/>
          <w:pgMar w:top="1500" w:bottom="280" w:left="580" w:right="220"/>
        </w:sectPr>
      </w:pPr>
    </w:p>
    <w:p>
      <w:pPr>
        <w:pStyle w:val="BodyText"/>
        <w:spacing w:before="1"/>
        <w:rPr>
          <w:sz w:val="18"/>
        </w:rPr>
      </w:pPr>
    </w:p>
    <w:tbl>
      <w:tblPr>
        <w:tblW w:w="0" w:type="auto"/>
        <w:jc w:val="left"/>
        <w:tblInd w:w="58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01"/>
        <w:gridCol w:w="1720"/>
        <w:gridCol w:w="1720"/>
      </w:tblGrid>
      <w:tr>
        <w:trPr>
          <w:trHeight w:val="310" w:hRule="exact"/>
        </w:trPr>
        <w:tc>
          <w:tcPr>
            <w:tcW w:w="1201" w:type="dxa"/>
          </w:tcPr>
          <w:p>
            <w:pPr>
              <w:pStyle w:val="TableParagraph"/>
              <w:spacing w:before="45"/>
              <w:ind w:left="530"/>
              <w:rPr>
                <w:b/>
                <w:sz w:val="18"/>
              </w:rPr>
            </w:pPr>
            <w:r>
              <w:rPr>
                <w:b/>
                <w:sz w:val="18"/>
              </w:rPr>
              <w:t>C</w:t>
            </w:r>
          </w:p>
        </w:tc>
        <w:tc>
          <w:tcPr>
            <w:tcW w:w="1720" w:type="dxa"/>
          </w:tcPr>
          <w:p>
            <w:pPr>
              <w:pStyle w:val="TableParagraph"/>
              <w:spacing w:before="42"/>
              <w:ind w:left="186" w:right="185"/>
              <w:jc w:val="center"/>
              <w:rPr>
                <w:sz w:val="18"/>
              </w:rPr>
            </w:pPr>
            <w:r>
              <w:rPr>
                <w:sz w:val="18"/>
              </w:rPr>
              <w:t>45° - 59°</w:t>
            </w:r>
          </w:p>
        </w:tc>
        <w:tc>
          <w:tcPr>
            <w:tcW w:w="1720" w:type="dxa"/>
          </w:tcPr>
          <w:p>
            <w:pPr>
              <w:pStyle w:val="TableParagraph"/>
              <w:spacing w:before="42"/>
              <w:ind w:left="186" w:right="185"/>
              <w:jc w:val="center"/>
              <w:rPr>
                <w:sz w:val="18"/>
              </w:rPr>
            </w:pPr>
            <w:r>
              <w:rPr>
                <w:sz w:val="18"/>
              </w:rPr>
              <w:t>22.23</w:t>
            </w:r>
          </w:p>
        </w:tc>
      </w:tr>
      <w:tr>
        <w:trPr>
          <w:trHeight w:val="311" w:hRule="exact"/>
        </w:trPr>
        <w:tc>
          <w:tcPr>
            <w:tcW w:w="1201" w:type="dxa"/>
          </w:tcPr>
          <w:p>
            <w:pPr>
              <w:pStyle w:val="TableParagraph"/>
              <w:spacing w:before="45"/>
              <w:ind w:left="530"/>
              <w:rPr>
                <w:b/>
                <w:sz w:val="18"/>
              </w:rPr>
            </w:pPr>
            <w:r>
              <w:rPr>
                <w:b/>
                <w:sz w:val="18"/>
              </w:rPr>
              <w:t>D</w:t>
            </w:r>
          </w:p>
        </w:tc>
        <w:tc>
          <w:tcPr>
            <w:tcW w:w="1720" w:type="dxa"/>
          </w:tcPr>
          <w:p>
            <w:pPr>
              <w:pStyle w:val="TableParagraph"/>
              <w:spacing w:before="42"/>
              <w:ind w:left="186" w:right="185"/>
              <w:jc w:val="center"/>
              <w:rPr>
                <w:sz w:val="18"/>
              </w:rPr>
            </w:pPr>
            <w:r>
              <w:rPr>
                <w:sz w:val="18"/>
              </w:rPr>
              <w:t>60° - 89°</w:t>
            </w:r>
          </w:p>
        </w:tc>
        <w:tc>
          <w:tcPr>
            <w:tcW w:w="1720" w:type="dxa"/>
          </w:tcPr>
          <w:p>
            <w:pPr>
              <w:pStyle w:val="TableParagraph"/>
              <w:spacing w:before="42"/>
              <w:ind w:left="186" w:right="185"/>
              <w:jc w:val="center"/>
              <w:rPr>
                <w:sz w:val="18"/>
              </w:rPr>
            </w:pPr>
            <w:r>
              <w:rPr>
                <w:sz w:val="18"/>
              </w:rPr>
              <w:t>27.22</w:t>
            </w:r>
          </w:p>
        </w:tc>
      </w:tr>
    </w:tbl>
    <w:p>
      <w:pPr>
        <w:pStyle w:val="BodyText"/>
      </w:pPr>
    </w:p>
    <w:p>
      <w:pPr>
        <w:pStyle w:val="BodyText"/>
      </w:pPr>
    </w:p>
    <w:p>
      <w:pPr>
        <w:pStyle w:val="BodyText"/>
        <w:spacing w:before="6"/>
        <w:rPr>
          <w:sz w:val="10"/>
        </w:rPr>
      </w:pPr>
      <w:r>
        <w:rPr/>
        <w:drawing>
          <wp:anchor distT="0" distB="0" distL="0" distR="0" allowOverlap="1" layoutInCell="1" locked="0" behindDoc="0" simplePos="0" relativeHeight="9064">
            <wp:simplePos x="0" y="0"/>
            <wp:positionH relativeFrom="page">
              <wp:posOffset>4115561</wp:posOffset>
            </wp:positionH>
            <wp:positionV relativeFrom="paragraph">
              <wp:posOffset>101878</wp:posOffset>
            </wp:positionV>
            <wp:extent cx="3075342" cy="3078384"/>
            <wp:effectExtent l="0" t="0" r="0" b="0"/>
            <wp:wrapTopAndBottom/>
            <wp:docPr id="343" name="image202.jpeg" descr=""/>
            <wp:cNvGraphicFramePr>
              <a:graphicFrameLocks noChangeAspect="1"/>
            </wp:cNvGraphicFramePr>
            <a:graphic>
              <a:graphicData uri="http://schemas.openxmlformats.org/drawingml/2006/picture">
                <pic:pic>
                  <pic:nvPicPr>
                    <pic:cNvPr id="344" name="image202.jpeg"/>
                    <pic:cNvPicPr/>
                  </pic:nvPicPr>
                  <pic:blipFill>
                    <a:blip r:embed="rId327" cstate="print"/>
                    <a:stretch>
                      <a:fillRect/>
                    </a:stretch>
                  </pic:blipFill>
                  <pic:spPr>
                    <a:xfrm>
                      <a:off x="0" y="0"/>
                      <a:ext cx="3075342" cy="3078384"/>
                    </a:xfrm>
                    <a:prstGeom prst="rect">
                      <a:avLst/>
                    </a:prstGeom>
                  </pic:spPr>
                </pic:pic>
              </a:graphicData>
            </a:graphic>
          </wp:anchor>
        </w:drawing>
      </w:r>
    </w:p>
    <w:p>
      <w:pPr>
        <w:pStyle w:val="BodyText"/>
        <w:spacing w:before="2"/>
        <w:rPr>
          <w:sz w:val="27"/>
        </w:rPr>
      </w:pPr>
    </w:p>
    <w:p>
      <w:pPr>
        <w:spacing w:before="77"/>
        <w:ind w:left="7296" w:right="1218" w:firstLine="0"/>
        <w:jc w:val="left"/>
        <w:rPr>
          <w:sz w:val="18"/>
        </w:rPr>
      </w:pPr>
      <w:r>
        <w:rPr/>
        <w:pict>
          <v:shape style="position:absolute;margin-left:57pt;margin-top:-322.007935pt;width:214.6pt;height:328.9pt;mso-position-horizontal-relative:page;mso-position-vertical-relative:paragraph;z-index:9112"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00"/>
                    <w:gridCol w:w="932"/>
                    <w:gridCol w:w="934"/>
                    <w:gridCol w:w="1211"/>
                  </w:tblGrid>
                  <w:tr>
                    <w:trPr>
                      <w:trHeight w:val="298" w:hRule="exact"/>
                    </w:trPr>
                    <w:tc>
                      <w:tcPr>
                        <w:tcW w:w="1200" w:type="dxa"/>
                      </w:tcPr>
                      <w:p>
                        <w:pPr>
                          <w:pStyle w:val="TableParagraph"/>
                          <w:spacing w:before="76"/>
                          <w:ind w:left="1"/>
                          <w:jc w:val="center"/>
                          <w:rPr>
                            <w:sz w:val="18"/>
                          </w:rPr>
                        </w:pPr>
                        <w:r>
                          <w:rPr>
                            <w:sz w:val="18"/>
                          </w:rPr>
                          <w:t>2</w:t>
                        </w:r>
                      </w:p>
                    </w:tc>
                    <w:tc>
                      <w:tcPr>
                        <w:tcW w:w="932" w:type="dxa"/>
                      </w:tcPr>
                      <w:p>
                        <w:pPr>
                          <w:pStyle w:val="TableParagraph"/>
                          <w:spacing w:before="76"/>
                          <w:ind w:right="414"/>
                          <w:jc w:val="right"/>
                          <w:rPr>
                            <w:sz w:val="18"/>
                          </w:rPr>
                        </w:pPr>
                        <w:r>
                          <w:rPr>
                            <w:sz w:val="18"/>
                          </w:rPr>
                          <w:t>5</w:t>
                        </w:r>
                      </w:p>
                    </w:tc>
                    <w:tc>
                      <w:tcPr>
                        <w:tcW w:w="934" w:type="dxa"/>
                      </w:tcPr>
                      <w:p>
                        <w:pPr>
                          <w:pStyle w:val="TableParagraph"/>
                          <w:spacing w:before="76"/>
                          <w:ind w:right="1"/>
                          <w:jc w:val="center"/>
                          <w:rPr>
                            <w:sz w:val="18"/>
                          </w:rPr>
                        </w:pPr>
                        <w:r>
                          <w:rPr>
                            <w:sz w:val="18"/>
                          </w:rPr>
                          <w:t>4</w:t>
                        </w:r>
                      </w:p>
                    </w:tc>
                    <w:tc>
                      <w:tcPr>
                        <w:tcW w:w="1211" w:type="dxa"/>
                      </w:tcPr>
                      <w:p>
                        <w:pPr>
                          <w:pStyle w:val="TableParagraph"/>
                          <w:spacing w:before="76"/>
                          <w:ind w:left="491"/>
                          <w:rPr>
                            <w:sz w:val="18"/>
                          </w:rPr>
                        </w:pPr>
                        <w:r>
                          <w:rPr>
                            <w:sz w:val="18"/>
                          </w:rPr>
                          <w:t>No</w:t>
                        </w:r>
                      </w:p>
                    </w:tc>
                  </w:tr>
                  <w:tr>
                    <w:trPr>
                      <w:trHeight w:val="298" w:hRule="exact"/>
                    </w:trPr>
                    <w:tc>
                      <w:tcPr>
                        <w:tcW w:w="1200" w:type="dxa"/>
                      </w:tcPr>
                      <w:p>
                        <w:pPr>
                          <w:pStyle w:val="TableParagraph"/>
                          <w:spacing w:before="76"/>
                          <w:ind w:left="1"/>
                          <w:jc w:val="center"/>
                          <w:rPr>
                            <w:sz w:val="18"/>
                          </w:rPr>
                        </w:pPr>
                        <w:r>
                          <w:rPr>
                            <w:sz w:val="18"/>
                          </w:rPr>
                          <w:t>3</w:t>
                        </w:r>
                      </w:p>
                    </w:tc>
                    <w:tc>
                      <w:tcPr>
                        <w:tcW w:w="932" w:type="dxa"/>
                      </w:tcPr>
                      <w:p>
                        <w:pPr>
                          <w:pStyle w:val="TableParagraph"/>
                          <w:spacing w:before="76"/>
                          <w:ind w:right="414"/>
                          <w:jc w:val="right"/>
                          <w:rPr>
                            <w:sz w:val="18"/>
                          </w:rPr>
                        </w:pPr>
                        <w:r>
                          <w:rPr>
                            <w:sz w:val="18"/>
                          </w:rPr>
                          <w:t>5</w:t>
                        </w:r>
                      </w:p>
                    </w:tc>
                    <w:tc>
                      <w:tcPr>
                        <w:tcW w:w="934" w:type="dxa"/>
                      </w:tcPr>
                      <w:p>
                        <w:pPr>
                          <w:pStyle w:val="TableParagraph"/>
                          <w:spacing w:before="76"/>
                          <w:ind w:right="1"/>
                          <w:jc w:val="center"/>
                          <w:rPr>
                            <w:sz w:val="18"/>
                          </w:rPr>
                        </w:pPr>
                        <w:r>
                          <w:rPr>
                            <w:sz w:val="18"/>
                          </w:rPr>
                          <w:t>4</w:t>
                        </w:r>
                      </w:p>
                    </w:tc>
                    <w:tc>
                      <w:tcPr>
                        <w:tcW w:w="1211" w:type="dxa"/>
                      </w:tcPr>
                      <w:p>
                        <w:pPr>
                          <w:pStyle w:val="TableParagraph"/>
                          <w:spacing w:before="76"/>
                          <w:ind w:left="491"/>
                          <w:rPr>
                            <w:sz w:val="18"/>
                          </w:rPr>
                        </w:pPr>
                        <w:r>
                          <w:rPr>
                            <w:sz w:val="18"/>
                          </w:rPr>
                          <w:t>No</w:t>
                        </w:r>
                      </w:p>
                    </w:tc>
                  </w:tr>
                  <w:tr>
                    <w:trPr>
                      <w:trHeight w:val="299" w:hRule="exact"/>
                    </w:trPr>
                    <w:tc>
                      <w:tcPr>
                        <w:tcW w:w="1200" w:type="dxa"/>
                      </w:tcPr>
                      <w:p>
                        <w:pPr>
                          <w:pStyle w:val="TableParagraph"/>
                          <w:spacing w:before="76"/>
                          <w:ind w:left="1"/>
                          <w:jc w:val="center"/>
                          <w:rPr>
                            <w:sz w:val="18"/>
                          </w:rPr>
                        </w:pPr>
                        <w:r>
                          <w:rPr>
                            <w:sz w:val="18"/>
                          </w:rPr>
                          <w:t>4</w:t>
                        </w:r>
                      </w:p>
                    </w:tc>
                    <w:tc>
                      <w:tcPr>
                        <w:tcW w:w="932" w:type="dxa"/>
                      </w:tcPr>
                      <w:p>
                        <w:pPr>
                          <w:pStyle w:val="TableParagraph"/>
                          <w:spacing w:before="76"/>
                          <w:ind w:right="414"/>
                          <w:jc w:val="right"/>
                          <w:rPr>
                            <w:sz w:val="18"/>
                          </w:rPr>
                        </w:pPr>
                        <w:r>
                          <w:rPr>
                            <w:sz w:val="18"/>
                          </w:rPr>
                          <w:t>4</w:t>
                        </w:r>
                      </w:p>
                    </w:tc>
                    <w:tc>
                      <w:tcPr>
                        <w:tcW w:w="934" w:type="dxa"/>
                      </w:tcPr>
                      <w:p>
                        <w:pPr>
                          <w:pStyle w:val="TableParagraph"/>
                          <w:spacing w:before="76"/>
                          <w:ind w:left="267" w:right="267"/>
                          <w:jc w:val="center"/>
                          <w:rPr>
                            <w:sz w:val="18"/>
                          </w:rPr>
                        </w:pPr>
                        <w:r>
                          <w:rPr>
                            <w:sz w:val="18"/>
                          </w:rPr>
                          <w:t>3.8</w:t>
                        </w:r>
                      </w:p>
                    </w:tc>
                    <w:tc>
                      <w:tcPr>
                        <w:tcW w:w="1211" w:type="dxa"/>
                      </w:tcPr>
                      <w:p>
                        <w:pPr>
                          <w:pStyle w:val="TableParagraph"/>
                          <w:spacing w:before="76"/>
                          <w:ind w:left="461"/>
                          <w:rPr>
                            <w:sz w:val="18"/>
                          </w:rPr>
                        </w:pPr>
                        <w:r>
                          <w:rPr>
                            <w:sz w:val="18"/>
                          </w:rPr>
                          <w:t>Yes</w:t>
                        </w:r>
                      </w:p>
                    </w:tc>
                  </w:tr>
                  <w:tr>
                    <w:trPr>
                      <w:trHeight w:val="298" w:hRule="exact"/>
                    </w:trPr>
                    <w:tc>
                      <w:tcPr>
                        <w:tcW w:w="1200" w:type="dxa"/>
                      </w:tcPr>
                      <w:p>
                        <w:pPr>
                          <w:pStyle w:val="TableParagraph"/>
                          <w:spacing w:before="75"/>
                          <w:ind w:left="1"/>
                          <w:jc w:val="center"/>
                          <w:rPr>
                            <w:sz w:val="18"/>
                          </w:rPr>
                        </w:pPr>
                        <w:r>
                          <w:rPr>
                            <w:sz w:val="18"/>
                          </w:rPr>
                          <w:t>5</w:t>
                        </w:r>
                      </w:p>
                    </w:tc>
                    <w:tc>
                      <w:tcPr>
                        <w:tcW w:w="932" w:type="dxa"/>
                      </w:tcPr>
                      <w:p>
                        <w:pPr>
                          <w:pStyle w:val="TableParagraph"/>
                          <w:spacing w:before="75"/>
                          <w:ind w:right="414"/>
                          <w:jc w:val="right"/>
                          <w:rPr>
                            <w:sz w:val="18"/>
                          </w:rPr>
                        </w:pPr>
                        <w:r>
                          <w:rPr>
                            <w:sz w:val="18"/>
                          </w:rPr>
                          <w:t>5</w:t>
                        </w:r>
                      </w:p>
                    </w:tc>
                    <w:tc>
                      <w:tcPr>
                        <w:tcW w:w="934" w:type="dxa"/>
                      </w:tcPr>
                      <w:p>
                        <w:pPr>
                          <w:pStyle w:val="TableParagraph"/>
                          <w:spacing w:before="75"/>
                          <w:ind w:right="1"/>
                          <w:jc w:val="center"/>
                          <w:rPr>
                            <w:sz w:val="18"/>
                          </w:rPr>
                        </w:pPr>
                        <w:r>
                          <w:rPr>
                            <w:sz w:val="18"/>
                          </w:rPr>
                          <w:t>5</w:t>
                        </w:r>
                      </w:p>
                    </w:tc>
                    <w:tc>
                      <w:tcPr>
                        <w:tcW w:w="1211" w:type="dxa"/>
                      </w:tcPr>
                      <w:p>
                        <w:pPr>
                          <w:pStyle w:val="TableParagraph"/>
                          <w:spacing w:before="75"/>
                          <w:ind w:left="461"/>
                          <w:rPr>
                            <w:sz w:val="18"/>
                          </w:rPr>
                        </w:pPr>
                        <w:r>
                          <w:rPr>
                            <w:sz w:val="18"/>
                          </w:rPr>
                          <w:t>Yes</w:t>
                        </w:r>
                      </w:p>
                    </w:tc>
                  </w:tr>
                  <w:tr>
                    <w:trPr>
                      <w:trHeight w:val="298" w:hRule="exact"/>
                    </w:trPr>
                    <w:tc>
                      <w:tcPr>
                        <w:tcW w:w="1200" w:type="dxa"/>
                      </w:tcPr>
                      <w:p>
                        <w:pPr>
                          <w:pStyle w:val="TableParagraph"/>
                          <w:spacing w:before="76"/>
                          <w:ind w:left="1"/>
                          <w:jc w:val="center"/>
                          <w:rPr>
                            <w:sz w:val="18"/>
                          </w:rPr>
                        </w:pPr>
                        <w:r>
                          <w:rPr>
                            <w:sz w:val="18"/>
                          </w:rPr>
                          <w:t>6</w:t>
                        </w:r>
                      </w:p>
                    </w:tc>
                    <w:tc>
                      <w:tcPr>
                        <w:tcW w:w="932" w:type="dxa"/>
                      </w:tcPr>
                      <w:p>
                        <w:pPr>
                          <w:pStyle w:val="TableParagraph"/>
                          <w:spacing w:before="76"/>
                          <w:ind w:right="414"/>
                          <w:jc w:val="right"/>
                          <w:rPr>
                            <w:sz w:val="18"/>
                          </w:rPr>
                        </w:pPr>
                        <w:r>
                          <w:rPr>
                            <w:sz w:val="18"/>
                          </w:rPr>
                          <w:t>5</w:t>
                        </w:r>
                      </w:p>
                    </w:tc>
                    <w:tc>
                      <w:tcPr>
                        <w:tcW w:w="934" w:type="dxa"/>
                      </w:tcPr>
                      <w:p>
                        <w:pPr>
                          <w:pStyle w:val="TableParagraph"/>
                          <w:spacing w:before="76"/>
                          <w:ind w:left="267" w:right="267"/>
                          <w:jc w:val="center"/>
                          <w:rPr>
                            <w:sz w:val="18"/>
                          </w:rPr>
                        </w:pPr>
                        <w:r>
                          <w:rPr>
                            <w:sz w:val="18"/>
                          </w:rPr>
                          <w:t>4.5</w:t>
                        </w:r>
                      </w:p>
                    </w:tc>
                    <w:tc>
                      <w:tcPr>
                        <w:tcW w:w="1211" w:type="dxa"/>
                      </w:tcPr>
                      <w:p>
                        <w:pPr>
                          <w:pStyle w:val="TableParagraph"/>
                          <w:spacing w:before="76"/>
                          <w:ind w:left="461"/>
                          <w:rPr>
                            <w:sz w:val="18"/>
                          </w:rPr>
                        </w:pPr>
                        <w:r>
                          <w:rPr>
                            <w:sz w:val="18"/>
                          </w:rPr>
                          <w:t>Yes</w:t>
                        </w:r>
                      </w:p>
                    </w:tc>
                  </w:tr>
                  <w:tr>
                    <w:trPr>
                      <w:trHeight w:val="299" w:hRule="exact"/>
                    </w:trPr>
                    <w:tc>
                      <w:tcPr>
                        <w:tcW w:w="1200" w:type="dxa"/>
                      </w:tcPr>
                      <w:p>
                        <w:pPr>
                          <w:pStyle w:val="TableParagraph"/>
                          <w:spacing w:before="76"/>
                          <w:ind w:left="1"/>
                          <w:jc w:val="center"/>
                          <w:rPr>
                            <w:sz w:val="18"/>
                          </w:rPr>
                        </w:pPr>
                        <w:r>
                          <w:rPr>
                            <w:sz w:val="18"/>
                          </w:rPr>
                          <w:t>7</w:t>
                        </w:r>
                      </w:p>
                    </w:tc>
                    <w:tc>
                      <w:tcPr>
                        <w:tcW w:w="932" w:type="dxa"/>
                      </w:tcPr>
                      <w:p>
                        <w:pPr>
                          <w:pStyle w:val="TableParagraph"/>
                          <w:spacing w:before="76"/>
                          <w:ind w:right="414"/>
                          <w:jc w:val="right"/>
                          <w:rPr>
                            <w:sz w:val="18"/>
                          </w:rPr>
                        </w:pPr>
                        <w:r>
                          <w:rPr>
                            <w:sz w:val="18"/>
                          </w:rPr>
                          <w:t>4</w:t>
                        </w:r>
                      </w:p>
                    </w:tc>
                    <w:tc>
                      <w:tcPr>
                        <w:tcW w:w="934" w:type="dxa"/>
                      </w:tcPr>
                      <w:p>
                        <w:pPr>
                          <w:pStyle w:val="TableParagraph"/>
                          <w:spacing w:before="76"/>
                          <w:ind w:left="267" w:right="267"/>
                          <w:jc w:val="center"/>
                          <w:rPr>
                            <w:sz w:val="18"/>
                          </w:rPr>
                        </w:pPr>
                        <w:r>
                          <w:rPr>
                            <w:sz w:val="18"/>
                          </w:rPr>
                          <w:t>3.5</w:t>
                        </w:r>
                      </w:p>
                    </w:tc>
                    <w:tc>
                      <w:tcPr>
                        <w:tcW w:w="1211" w:type="dxa"/>
                      </w:tcPr>
                      <w:p>
                        <w:pPr>
                          <w:pStyle w:val="TableParagraph"/>
                          <w:spacing w:before="76"/>
                          <w:ind w:left="461"/>
                          <w:rPr>
                            <w:sz w:val="18"/>
                          </w:rPr>
                        </w:pPr>
                        <w:r>
                          <w:rPr>
                            <w:sz w:val="18"/>
                          </w:rPr>
                          <w:t>Yes</w:t>
                        </w:r>
                      </w:p>
                    </w:tc>
                  </w:tr>
                  <w:tr>
                    <w:trPr>
                      <w:trHeight w:val="298" w:hRule="exact"/>
                    </w:trPr>
                    <w:tc>
                      <w:tcPr>
                        <w:tcW w:w="1200" w:type="dxa"/>
                      </w:tcPr>
                      <w:p>
                        <w:pPr>
                          <w:pStyle w:val="TableParagraph"/>
                          <w:spacing w:before="75"/>
                          <w:ind w:left="1"/>
                          <w:jc w:val="center"/>
                          <w:rPr>
                            <w:sz w:val="18"/>
                          </w:rPr>
                        </w:pPr>
                        <w:r>
                          <w:rPr>
                            <w:sz w:val="18"/>
                          </w:rPr>
                          <w:t>8</w:t>
                        </w:r>
                      </w:p>
                    </w:tc>
                    <w:tc>
                      <w:tcPr>
                        <w:tcW w:w="932" w:type="dxa"/>
                      </w:tcPr>
                      <w:p>
                        <w:pPr>
                          <w:pStyle w:val="TableParagraph"/>
                          <w:spacing w:before="75"/>
                          <w:ind w:right="414"/>
                          <w:jc w:val="right"/>
                          <w:rPr>
                            <w:sz w:val="18"/>
                          </w:rPr>
                        </w:pPr>
                        <w:r>
                          <w:rPr>
                            <w:sz w:val="18"/>
                          </w:rPr>
                          <w:t>4</w:t>
                        </w:r>
                      </w:p>
                    </w:tc>
                    <w:tc>
                      <w:tcPr>
                        <w:tcW w:w="934" w:type="dxa"/>
                      </w:tcPr>
                      <w:p>
                        <w:pPr>
                          <w:pStyle w:val="TableParagraph"/>
                          <w:spacing w:before="75"/>
                          <w:ind w:right="1"/>
                          <w:jc w:val="center"/>
                          <w:rPr>
                            <w:sz w:val="18"/>
                          </w:rPr>
                        </w:pPr>
                        <w:r>
                          <w:rPr>
                            <w:sz w:val="18"/>
                          </w:rPr>
                          <w:t>4</w:t>
                        </w:r>
                      </w:p>
                    </w:tc>
                    <w:tc>
                      <w:tcPr>
                        <w:tcW w:w="1211" w:type="dxa"/>
                      </w:tcPr>
                      <w:p>
                        <w:pPr>
                          <w:pStyle w:val="TableParagraph"/>
                          <w:spacing w:before="75"/>
                          <w:ind w:left="461"/>
                          <w:rPr>
                            <w:sz w:val="18"/>
                          </w:rPr>
                        </w:pPr>
                        <w:r>
                          <w:rPr>
                            <w:sz w:val="18"/>
                          </w:rPr>
                          <w:t>Yes</w:t>
                        </w:r>
                      </w:p>
                    </w:tc>
                  </w:tr>
                  <w:tr>
                    <w:trPr>
                      <w:trHeight w:val="298" w:hRule="exact"/>
                    </w:trPr>
                    <w:tc>
                      <w:tcPr>
                        <w:tcW w:w="1200" w:type="dxa"/>
                      </w:tcPr>
                      <w:p>
                        <w:pPr>
                          <w:pStyle w:val="TableParagraph"/>
                          <w:spacing w:before="76"/>
                          <w:ind w:left="1"/>
                          <w:jc w:val="center"/>
                          <w:rPr>
                            <w:sz w:val="18"/>
                          </w:rPr>
                        </w:pPr>
                        <w:r>
                          <w:rPr>
                            <w:sz w:val="18"/>
                          </w:rPr>
                          <w:t>9</w:t>
                        </w:r>
                      </w:p>
                    </w:tc>
                    <w:tc>
                      <w:tcPr>
                        <w:tcW w:w="932" w:type="dxa"/>
                      </w:tcPr>
                      <w:p>
                        <w:pPr>
                          <w:pStyle w:val="TableParagraph"/>
                          <w:spacing w:before="76"/>
                          <w:ind w:right="414"/>
                          <w:jc w:val="right"/>
                          <w:rPr>
                            <w:sz w:val="18"/>
                          </w:rPr>
                        </w:pPr>
                        <w:r>
                          <w:rPr>
                            <w:sz w:val="18"/>
                          </w:rPr>
                          <w:t>5</w:t>
                        </w:r>
                      </w:p>
                    </w:tc>
                    <w:tc>
                      <w:tcPr>
                        <w:tcW w:w="934" w:type="dxa"/>
                      </w:tcPr>
                      <w:p>
                        <w:pPr>
                          <w:pStyle w:val="TableParagraph"/>
                          <w:spacing w:before="76"/>
                          <w:ind w:left="267" w:right="267"/>
                          <w:jc w:val="center"/>
                          <w:rPr>
                            <w:sz w:val="18"/>
                          </w:rPr>
                        </w:pPr>
                        <w:r>
                          <w:rPr>
                            <w:sz w:val="18"/>
                          </w:rPr>
                          <w:t>3.2</w:t>
                        </w:r>
                      </w:p>
                    </w:tc>
                    <w:tc>
                      <w:tcPr>
                        <w:tcW w:w="1211" w:type="dxa"/>
                      </w:tcPr>
                      <w:p>
                        <w:pPr>
                          <w:pStyle w:val="TableParagraph"/>
                          <w:spacing w:before="76"/>
                          <w:ind w:left="461"/>
                          <w:rPr>
                            <w:sz w:val="18"/>
                          </w:rPr>
                        </w:pPr>
                        <w:r>
                          <w:rPr>
                            <w:sz w:val="18"/>
                          </w:rPr>
                          <w:t>Yes</w:t>
                        </w:r>
                      </w:p>
                    </w:tc>
                  </w:tr>
                  <w:tr>
                    <w:trPr>
                      <w:trHeight w:val="299" w:hRule="exact"/>
                    </w:trPr>
                    <w:tc>
                      <w:tcPr>
                        <w:tcW w:w="1200" w:type="dxa"/>
                      </w:tcPr>
                      <w:p>
                        <w:pPr>
                          <w:pStyle w:val="TableParagraph"/>
                          <w:spacing w:before="76"/>
                          <w:ind w:left="254" w:right="254"/>
                          <w:jc w:val="center"/>
                          <w:rPr>
                            <w:sz w:val="18"/>
                          </w:rPr>
                        </w:pPr>
                        <w:r>
                          <w:rPr>
                            <w:sz w:val="18"/>
                          </w:rPr>
                          <w:t>10</w:t>
                        </w:r>
                      </w:p>
                    </w:tc>
                    <w:tc>
                      <w:tcPr>
                        <w:tcW w:w="932" w:type="dxa"/>
                      </w:tcPr>
                      <w:p>
                        <w:pPr>
                          <w:pStyle w:val="TableParagraph"/>
                          <w:spacing w:before="76"/>
                          <w:ind w:right="414"/>
                          <w:jc w:val="right"/>
                          <w:rPr>
                            <w:sz w:val="18"/>
                          </w:rPr>
                        </w:pPr>
                        <w:r>
                          <w:rPr>
                            <w:sz w:val="18"/>
                          </w:rPr>
                          <w:t>5</w:t>
                        </w:r>
                      </w:p>
                    </w:tc>
                    <w:tc>
                      <w:tcPr>
                        <w:tcW w:w="934" w:type="dxa"/>
                      </w:tcPr>
                      <w:p>
                        <w:pPr>
                          <w:pStyle w:val="TableParagraph"/>
                          <w:spacing w:before="76"/>
                          <w:ind w:left="267" w:right="267"/>
                          <w:jc w:val="center"/>
                          <w:rPr>
                            <w:sz w:val="18"/>
                          </w:rPr>
                        </w:pPr>
                        <w:r>
                          <w:rPr>
                            <w:sz w:val="18"/>
                          </w:rPr>
                          <w:t>3.7</w:t>
                        </w:r>
                      </w:p>
                    </w:tc>
                    <w:tc>
                      <w:tcPr>
                        <w:tcW w:w="1211" w:type="dxa"/>
                      </w:tcPr>
                      <w:p>
                        <w:pPr>
                          <w:pStyle w:val="TableParagraph"/>
                          <w:spacing w:before="76"/>
                          <w:ind w:left="461"/>
                          <w:rPr>
                            <w:sz w:val="18"/>
                          </w:rPr>
                        </w:pPr>
                        <w:r>
                          <w:rPr>
                            <w:sz w:val="18"/>
                          </w:rPr>
                          <w:t>Yes</w:t>
                        </w:r>
                      </w:p>
                    </w:tc>
                  </w:tr>
                  <w:tr>
                    <w:trPr>
                      <w:trHeight w:val="298" w:hRule="exact"/>
                    </w:trPr>
                    <w:tc>
                      <w:tcPr>
                        <w:tcW w:w="1200" w:type="dxa"/>
                      </w:tcPr>
                      <w:p>
                        <w:pPr>
                          <w:pStyle w:val="TableParagraph"/>
                          <w:spacing w:before="75"/>
                          <w:ind w:left="254" w:right="254"/>
                          <w:jc w:val="center"/>
                          <w:rPr>
                            <w:sz w:val="18"/>
                          </w:rPr>
                        </w:pPr>
                        <w:r>
                          <w:rPr>
                            <w:sz w:val="18"/>
                          </w:rPr>
                          <w:t>11</w:t>
                        </w:r>
                      </w:p>
                    </w:tc>
                    <w:tc>
                      <w:tcPr>
                        <w:tcW w:w="932" w:type="dxa"/>
                      </w:tcPr>
                      <w:p>
                        <w:pPr>
                          <w:pStyle w:val="TableParagraph"/>
                          <w:spacing w:before="75"/>
                          <w:ind w:right="414"/>
                          <w:jc w:val="right"/>
                          <w:rPr>
                            <w:sz w:val="18"/>
                          </w:rPr>
                        </w:pPr>
                        <w:r>
                          <w:rPr>
                            <w:sz w:val="18"/>
                          </w:rPr>
                          <w:t>6</w:t>
                        </w:r>
                      </w:p>
                    </w:tc>
                    <w:tc>
                      <w:tcPr>
                        <w:tcW w:w="934" w:type="dxa"/>
                      </w:tcPr>
                      <w:p>
                        <w:pPr>
                          <w:pStyle w:val="TableParagraph"/>
                          <w:spacing w:before="75"/>
                          <w:ind w:left="267" w:right="267"/>
                          <w:jc w:val="center"/>
                          <w:rPr>
                            <w:sz w:val="18"/>
                          </w:rPr>
                        </w:pPr>
                        <w:r>
                          <w:rPr>
                            <w:sz w:val="18"/>
                          </w:rPr>
                          <w:t>3.5</w:t>
                        </w:r>
                      </w:p>
                    </w:tc>
                    <w:tc>
                      <w:tcPr>
                        <w:tcW w:w="1211" w:type="dxa"/>
                      </w:tcPr>
                      <w:p>
                        <w:pPr>
                          <w:pStyle w:val="TableParagraph"/>
                          <w:spacing w:before="75"/>
                          <w:ind w:left="461"/>
                          <w:rPr>
                            <w:sz w:val="18"/>
                          </w:rPr>
                        </w:pPr>
                        <w:r>
                          <w:rPr>
                            <w:sz w:val="18"/>
                          </w:rPr>
                          <w:t>Yes</w:t>
                        </w:r>
                      </w:p>
                    </w:tc>
                  </w:tr>
                  <w:tr>
                    <w:trPr>
                      <w:trHeight w:val="298" w:hRule="exact"/>
                    </w:trPr>
                    <w:tc>
                      <w:tcPr>
                        <w:tcW w:w="1200" w:type="dxa"/>
                      </w:tcPr>
                      <w:p>
                        <w:pPr>
                          <w:pStyle w:val="TableParagraph"/>
                          <w:spacing w:before="76"/>
                          <w:ind w:left="254" w:right="254"/>
                          <w:jc w:val="center"/>
                          <w:rPr>
                            <w:sz w:val="18"/>
                          </w:rPr>
                        </w:pPr>
                        <w:r>
                          <w:rPr>
                            <w:sz w:val="18"/>
                          </w:rPr>
                          <w:t>12</w:t>
                        </w:r>
                      </w:p>
                    </w:tc>
                    <w:tc>
                      <w:tcPr>
                        <w:tcW w:w="932" w:type="dxa"/>
                      </w:tcPr>
                      <w:p>
                        <w:pPr>
                          <w:pStyle w:val="TableParagraph"/>
                          <w:spacing w:before="76"/>
                          <w:ind w:right="414"/>
                          <w:jc w:val="right"/>
                          <w:rPr>
                            <w:sz w:val="18"/>
                          </w:rPr>
                        </w:pPr>
                        <w:r>
                          <w:rPr>
                            <w:sz w:val="18"/>
                          </w:rPr>
                          <w:t>6</w:t>
                        </w:r>
                      </w:p>
                    </w:tc>
                    <w:tc>
                      <w:tcPr>
                        <w:tcW w:w="934" w:type="dxa"/>
                      </w:tcPr>
                      <w:p>
                        <w:pPr>
                          <w:pStyle w:val="TableParagraph"/>
                          <w:spacing w:before="76"/>
                          <w:ind w:right="1"/>
                          <w:jc w:val="center"/>
                          <w:rPr>
                            <w:sz w:val="18"/>
                          </w:rPr>
                        </w:pPr>
                        <w:r>
                          <w:rPr>
                            <w:sz w:val="18"/>
                          </w:rPr>
                          <w:t>4</w:t>
                        </w:r>
                      </w:p>
                    </w:tc>
                    <w:tc>
                      <w:tcPr>
                        <w:tcW w:w="1211" w:type="dxa"/>
                      </w:tcPr>
                      <w:p>
                        <w:pPr>
                          <w:pStyle w:val="TableParagraph"/>
                          <w:spacing w:before="76"/>
                          <w:ind w:left="461"/>
                          <w:rPr>
                            <w:sz w:val="18"/>
                          </w:rPr>
                        </w:pPr>
                        <w:r>
                          <w:rPr>
                            <w:sz w:val="18"/>
                          </w:rPr>
                          <w:t>Yes</w:t>
                        </w:r>
                      </w:p>
                    </w:tc>
                  </w:tr>
                  <w:tr>
                    <w:trPr>
                      <w:trHeight w:val="299" w:hRule="exact"/>
                    </w:trPr>
                    <w:tc>
                      <w:tcPr>
                        <w:tcW w:w="1200" w:type="dxa"/>
                      </w:tcPr>
                      <w:p>
                        <w:pPr>
                          <w:pStyle w:val="TableParagraph"/>
                          <w:spacing w:before="76"/>
                          <w:ind w:left="254" w:right="254"/>
                          <w:jc w:val="center"/>
                          <w:rPr>
                            <w:sz w:val="18"/>
                          </w:rPr>
                        </w:pPr>
                        <w:r>
                          <w:rPr>
                            <w:sz w:val="18"/>
                          </w:rPr>
                          <w:t>13</w:t>
                        </w:r>
                      </w:p>
                    </w:tc>
                    <w:tc>
                      <w:tcPr>
                        <w:tcW w:w="932" w:type="dxa"/>
                      </w:tcPr>
                      <w:p>
                        <w:pPr>
                          <w:pStyle w:val="TableParagraph"/>
                          <w:spacing w:before="76"/>
                          <w:ind w:right="414"/>
                          <w:jc w:val="right"/>
                          <w:rPr>
                            <w:sz w:val="18"/>
                          </w:rPr>
                        </w:pPr>
                        <w:r>
                          <w:rPr>
                            <w:sz w:val="18"/>
                          </w:rPr>
                          <w:t>6</w:t>
                        </w:r>
                      </w:p>
                    </w:tc>
                    <w:tc>
                      <w:tcPr>
                        <w:tcW w:w="934" w:type="dxa"/>
                      </w:tcPr>
                      <w:p>
                        <w:pPr>
                          <w:pStyle w:val="TableParagraph"/>
                          <w:spacing w:before="76"/>
                          <w:ind w:left="267" w:right="267"/>
                          <w:jc w:val="center"/>
                          <w:rPr>
                            <w:sz w:val="18"/>
                          </w:rPr>
                        </w:pPr>
                        <w:r>
                          <w:rPr>
                            <w:sz w:val="18"/>
                          </w:rPr>
                          <w:t>5.5</w:t>
                        </w:r>
                      </w:p>
                    </w:tc>
                    <w:tc>
                      <w:tcPr>
                        <w:tcW w:w="1211" w:type="dxa"/>
                      </w:tcPr>
                      <w:p>
                        <w:pPr>
                          <w:pStyle w:val="TableParagraph"/>
                          <w:spacing w:before="76"/>
                          <w:ind w:left="461"/>
                          <w:rPr>
                            <w:sz w:val="18"/>
                          </w:rPr>
                        </w:pPr>
                        <w:r>
                          <w:rPr>
                            <w:sz w:val="18"/>
                          </w:rPr>
                          <w:t>Yes</w:t>
                        </w:r>
                      </w:p>
                    </w:tc>
                  </w:tr>
                  <w:tr>
                    <w:trPr>
                      <w:trHeight w:val="298" w:hRule="exact"/>
                    </w:trPr>
                    <w:tc>
                      <w:tcPr>
                        <w:tcW w:w="1200" w:type="dxa"/>
                      </w:tcPr>
                      <w:p>
                        <w:pPr>
                          <w:pStyle w:val="TableParagraph"/>
                          <w:spacing w:before="75"/>
                          <w:ind w:left="254" w:right="254"/>
                          <w:jc w:val="center"/>
                          <w:rPr>
                            <w:sz w:val="18"/>
                          </w:rPr>
                        </w:pPr>
                        <w:r>
                          <w:rPr>
                            <w:sz w:val="18"/>
                          </w:rPr>
                          <w:t>14</w:t>
                        </w:r>
                      </w:p>
                    </w:tc>
                    <w:tc>
                      <w:tcPr>
                        <w:tcW w:w="932" w:type="dxa"/>
                      </w:tcPr>
                      <w:p>
                        <w:pPr>
                          <w:pStyle w:val="TableParagraph"/>
                          <w:spacing w:before="75"/>
                          <w:ind w:right="414"/>
                          <w:jc w:val="right"/>
                          <w:rPr>
                            <w:sz w:val="18"/>
                          </w:rPr>
                        </w:pPr>
                        <w:r>
                          <w:rPr>
                            <w:sz w:val="18"/>
                          </w:rPr>
                          <w:t>4</w:t>
                        </w:r>
                      </w:p>
                    </w:tc>
                    <w:tc>
                      <w:tcPr>
                        <w:tcW w:w="934" w:type="dxa"/>
                      </w:tcPr>
                      <w:p>
                        <w:pPr>
                          <w:pStyle w:val="TableParagraph"/>
                          <w:spacing w:before="75"/>
                          <w:ind w:right="1"/>
                          <w:jc w:val="center"/>
                          <w:rPr>
                            <w:sz w:val="18"/>
                          </w:rPr>
                        </w:pPr>
                        <w:r>
                          <w:rPr>
                            <w:sz w:val="18"/>
                          </w:rPr>
                          <w:t>4</w:t>
                        </w:r>
                      </w:p>
                    </w:tc>
                    <w:tc>
                      <w:tcPr>
                        <w:tcW w:w="1211" w:type="dxa"/>
                      </w:tcPr>
                      <w:p>
                        <w:pPr>
                          <w:pStyle w:val="TableParagraph"/>
                          <w:spacing w:before="75"/>
                          <w:ind w:left="461"/>
                          <w:rPr>
                            <w:sz w:val="18"/>
                          </w:rPr>
                        </w:pPr>
                        <w:r>
                          <w:rPr>
                            <w:sz w:val="18"/>
                          </w:rPr>
                          <w:t>Yes</w:t>
                        </w:r>
                      </w:p>
                    </w:tc>
                  </w:tr>
                  <w:tr>
                    <w:trPr>
                      <w:trHeight w:val="298" w:hRule="exact"/>
                    </w:trPr>
                    <w:tc>
                      <w:tcPr>
                        <w:tcW w:w="1200" w:type="dxa"/>
                      </w:tcPr>
                      <w:p>
                        <w:pPr>
                          <w:pStyle w:val="TableParagraph"/>
                          <w:spacing w:before="76"/>
                          <w:ind w:left="254" w:right="254"/>
                          <w:jc w:val="center"/>
                          <w:rPr>
                            <w:sz w:val="18"/>
                          </w:rPr>
                        </w:pPr>
                        <w:r>
                          <w:rPr>
                            <w:sz w:val="18"/>
                          </w:rPr>
                          <w:t>15</w:t>
                        </w:r>
                      </w:p>
                    </w:tc>
                    <w:tc>
                      <w:tcPr>
                        <w:tcW w:w="932" w:type="dxa"/>
                      </w:tcPr>
                      <w:p>
                        <w:pPr>
                          <w:pStyle w:val="TableParagraph"/>
                          <w:spacing w:before="76"/>
                          <w:ind w:right="414"/>
                          <w:jc w:val="right"/>
                          <w:rPr>
                            <w:sz w:val="18"/>
                          </w:rPr>
                        </w:pPr>
                        <w:r>
                          <w:rPr>
                            <w:sz w:val="18"/>
                          </w:rPr>
                          <w:t>5</w:t>
                        </w:r>
                      </w:p>
                    </w:tc>
                    <w:tc>
                      <w:tcPr>
                        <w:tcW w:w="934" w:type="dxa"/>
                      </w:tcPr>
                      <w:p>
                        <w:pPr>
                          <w:pStyle w:val="TableParagraph"/>
                          <w:spacing w:before="76"/>
                          <w:ind w:left="267" w:right="267"/>
                          <w:jc w:val="center"/>
                          <w:rPr>
                            <w:sz w:val="18"/>
                          </w:rPr>
                        </w:pPr>
                        <w:r>
                          <w:rPr>
                            <w:sz w:val="18"/>
                          </w:rPr>
                          <w:t>3.5</w:t>
                        </w:r>
                      </w:p>
                    </w:tc>
                    <w:tc>
                      <w:tcPr>
                        <w:tcW w:w="1211" w:type="dxa"/>
                      </w:tcPr>
                      <w:p>
                        <w:pPr>
                          <w:pStyle w:val="TableParagraph"/>
                          <w:spacing w:before="76"/>
                          <w:ind w:left="461"/>
                          <w:rPr>
                            <w:sz w:val="18"/>
                          </w:rPr>
                        </w:pPr>
                        <w:r>
                          <w:rPr>
                            <w:sz w:val="18"/>
                          </w:rPr>
                          <w:t>Yes</w:t>
                        </w:r>
                      </w:p>
                    </w:tc>
                  </w:tr>
                  <w:tr>
                    <w:trPr>
                      <w:trHeight w:val="299" w:hRule="exact"/>
                    </w:trPr>
                    <w:tc>
                      <w:tcPr>
                        <w:tcW w:w="1200" w:type="dxa"/>
                      </w:tcPr>
                      <w:p>
                        <w:pPr>
                          <w:pStyle w:val="TableParagraph"/>
                          <w:spacing w:before="76"/>
                          <w:ind w:left="254" w:right="254"/>
                          <w:jc w:val="center"/>
                          <w:rPr>
                            <w:sz w:val="18"/>
                          </w:rPr>
                        </w:pPr>
                        <w:r>
                          <w:rPr>
                            <w:sz w:val="18"/>
                          </w:rPr>
                          <w:t>16</w:t>
                        </w:r>
                      </w:p>
                    </w:tc>
                    <w:tc>
                      <w:tcPr>
                        <w:tcW w:w="932" w:type="dxa"/>
                      </w:tcPr>
                      <w:p>
                        <w:pPr>
                          <w:pStyle w:val="TableParagraph"/>
                          <w:spacing w:before="76"/>
                          <w:ind w:right="414"/>
                          <w:jc w:val="right"/>
                          <w:rPr>
                            <w:sz w:val="18"/>
                          </w:rPr>
                        </w:pPr>
                        <w:r>
                          <w:rPr>
                            <w:sz w:val="18"/>
                          </w:rPr>
                          <w:t>6</w:t>
                        </w:r>
                      </w:p>
                    </w:tc>
                    <w:tc>
                      <w:tcPr>
                        <w:tcW w:w="934" w:type="dxa"/>
                      </w:tcPr>
                      <w:p>
                        <w:pPr>
                          <w:pStyle w:val="TableParagraph"/>
                          <w:spacing w:before="76"/>
                          <w:ind w:right="1"/>
                          <w:jc w:val="center"/>
                          <w:rPr>
                            <w:sz w:val="18"/>
                          </w:rPr>
                        </w:pPr>
                        <w:r>
                          <w:rPr>
                            <w:sz w:val="18"/>
                          </w:rPr>
                          <w:t>4</w:t>
                        </w:r>
                      </w:p>
                    </w:tc>
                    <w:tc>
                      <w:tcPr>
                        <w:tcW w:w="1211" w:type="dxa"/>
                      </w:tcPr>
                      <w:p>
                        <w:pPr>
                          <w:pStyle w:val="TableParagraph"/>
                          <w:spacing w:before="76"/>
                          <w:ind w:left="461"/>
                          <w:rPr>
                            <w:sz w:val="18"/>
                          </w:rPr>
                        </w:pPr>
                        <w:r>
                          <w:rPr>
                            <w:sz w:val="18"/>
                          </w:rPr>
                          <w:t>Yes</w:t>
                        </w:r>
                      </w:p>
                    </w:tc>
                  </w:tr>
                  <w:tr>
                    <w:trPr>
                      <w:trHeight w:val="298" w:hRule="exact"/>
                    </w:trPr>
                    <w:tc>
                      <w:tcPr>
                        <w:tcW w:w="1200" w:type="dxa"/>
                      </w:tcPr>
                      <w:p>
                        <w:pPr>
                          <w:pStyle w:val="TableParagraph"/>
                          <w:spacing w:before="75"/>
                          <w:ind w:left="254" w:right="254"/>
                          <w:jc w:val="center"/>
                          <w:rPr>
                            <w:sz w:val="18"/>
                          </w:rPr>
                        </w:pPr>
                        <w:r>
                          <w:rPr>
                            <w:sz w:val="18"/>
                          </w:rPr>
                          <w:t>17</w:t>
                        </w:r>
                      </w:p>
                    </w:tc>
                    <w:tc>
                      <w:tcPr>
                        <w:tcW w:w="932" w:type="dxa"/>
                      </w:tcPr>
                      <w:p>
                        <w:pPr>
                          <w:pStyle w:val="TableParagraph"/>
                          <w:spacing w:before="75"/>
                          <w:ind w:right="414"/>
                          <w:jc w:val="right"/>
                          <w:rPr>
                            <w:sz w:val="18"/>
                          </w:rPr>
                        </w:pPr>
                        <w:r>
                          <w:rPr>
                            <w:sz w:val="18"/>
                          </w:rPr>
                          <w:t>4</w:t>
                        </w:r>
                      </w:p>
                    </w:tc>
                    <w:tc>
                      <w:tcPr>
                        <w:tcW w:w="934" w:type="dxa"/>
                      </w:tcPr>
                      <w:p>
                        <w:pPr>
                          <w:pStyle w:val="TableParagraph"/>
                          <w:spacing w:before="75"/>
                          <w:ind w:left="267" w:right="267"/>
                          <w:jc w:val="center"/>
                          <w:rPr>
                            <w:sz w:val="18"/>
                          </w:rPr>
                        </w:pPr>
                        <w:r>
                          <w:rPr>
                            <w:sz w:val="18"/>
                          </w:rPr>
                          <w:t>3.5</w:t>
                        </w:r>
                      </w:p>
                    </w:tc>
                    <w:tc>
                      <w:tcPr>
                        <w:tcW w:w="1211" w:type="dxa"/>
                      </w:tcPr>
                      <w:p>
                        <w:pPr>
                          <w:pStyle w:val="TableParagraph"/>
                          <w:spacing w:before="75"/>
                          <w:ind w:left="461"/>
                          <w:rPr>
                            <w:sz w:val="18"/>
                          </w:rPr>
                        </w:pPr>
                        <w:r>
                          <w:rPr>
                            <w:sz w:val="18"/>
                          </w:rPr>
                          <w:t>Yes</w:t>
                        </w:r>
                      </w:p>
                    </w:tc>
                  </w:tr>
                  <w:tr>
                    <w:trPr>
                      <w:trHeight w:val="298" w:hRule="exact"/>
                    </w:trPr>
                    <w:tc>
                      <w:tcPr>
                        <w:tcW w:w="1200" w:type="dxa"/>
                      </w:tcPr>
                      <w:p>
                        <w:pPr>
                          <w:pStyle w:val="TableParagraph"/>
                          <w:spacing w:before="76"/>
                          <w:ind w:left="254" w:right="254"/>
                          <w:jc w:val="center"/>
                          <w:rPr>
                            <w:sz w:val="18"/>
                          </w:rPr>
                        </w:pPr>
                        <w:r>
                          <w:rPr>
                            <w:sz w:val="18"/>
                          </w:rPr>
                          <w:t>18</w:t>
                        </w:r>
                      </w:p>
                    </w:tc>
                    <w:tc>
                      <w:tcPr>
                        <w:tcW w:w="932" w:type="dxa"/>
                      </w:tcPr>
                      <w:p>
                        <w:pPr>
                          <w:pStyle w:val="TableParagraph"/>
                          <w:spacing w:before="76"/>
                          <w:ind w:right="414"/>
                          <w:jc w:val="right"/>
                          <w:rPr>
                            <w:sz w:val="18"/>
                          </w:rPr>
                        </w:pPr>
                        <w:r>
                          <w:rPr>
                            <w:sz w:val="18"/>
                          </w:rPr>
                          <w:t>5</w:t>
                        </w:r>
                      </w:p>
                    </w:tc>
                    <w:tc>
                      <w:tcPr>
                        <w:tcW w:w="934" w:type="dxa"/>
                      </w:tcPr>
                      <w:p>
                        <w:pPr>
                          <w:pStyle w:val="TableParagraph"/>
                          <w:spacing w:before="76"/>
                          <w:ind w:right="1"/>
                          <w:jc w:val="center"/>
                          <w:rPr>
                            <w:sz w:val="18"/>
                          </w:rPr>
                        </w:pPr>
                        <w:r>
                          <w:rPr>
                            <w:sz w:val="18"/>
                          </w:rPr>
                          <w:t>4</w:t>
                        </w:r>
                      </w:p>
                    </w:tc>
                    <w:tc>
                      <w:tcPr>
                        <w:tcW w:w="1211" w:type="dxa"/>
                      </w:tcPr>
                      <w:p>
                        <w:pPr>
                          <w:pStyle w:val="TableParagraph"/>
                          <w:spacing w:before="76"/>
                          <w:ind w:left="461"/>
                          <w:rPr>
                            <w:sz w:val="18"/>
                          </w:rPr>
                        </w:pPr>
                        <w:r>
                          <w:rPr>
                            <w:sz w:val="18"/>
                          </w:rPr>
                          <w:t>Yes</w:t>
                        </w:r>
                      </w:p>
                    </w:tc>
                  </w:tr>
                  <w:tr>
                    <w:trPr>
                      <w:trHeight w:val="299" w:hRule="exact"/>
                    </w:trPr>
                    <w:tc>
                      <w:tcPr>
                        <w:tcW w:w="1200" w:type="dxa"/>
                      </w:tcPr>
                      <w:p>
                        <w:pPr>
                          <w:pStyle w:val="TableParagraph"/>
                          <w:spacing w:before="76"/>
                          <w:ind w:left="254" w:right="254"/>
                          <w:jc w:val="center"/>
                          <w:rPr>
                            <w:sz w:val="18"/>
                          </w:rPr>
                        </w:pPr>
                        <w:r>
                          <w:rPr>
                            <w:sz w:val="18"/>
                          </w:rPr>
                          <w:t>19</w:t>
                        </w:r>
                      </w:p>
                    </w:tc>
                    <w:tc>
                      <w:tcPr>
                        <w:tcW w:w="932" w:type="dxa"/>
                      </w:tcPr>
                      <w:p>
                        <w:pPr>
                          <w:pStyle w:val="TableParagraph"/>
                          <w:spacing w:before="76"/>
                          <w:ind w:right="414"/>
                          <w:jc w:val="right"/>
                          <w:rPr>
                            <w:sz w:val="18"/>
                          </w:rPr>
                        </w:pPr>
                        <w:r>
                          <w:rPr>
                            <w:sz w:val="18"/>
                          </w:rPr>
                          <w:t>6</w:t>
                        </w:r>
                      </w:p>
                    </w:tc>
                    <w:tc>
                      <w:tcPr>
                        <w:tcW w:w="934" w:type="dxa"/>
                      </w:tcPr>
                      <w:p>
                        <w:pPr>
                          <w:pStyle w:val="TableParagraph"/>
                          <w:spacing w:before="76"/>
                          <w:ind w:right="1"/>
                          <w:jc w:val="center"/>
                          <w:rPr>
                            <w:sz w:val="18"/>
                          </w:rPr>
                        </w:pPr>
                        <w:r>
                          <w:rPr>
                            <w:sz w:val="18"/>
                          </w:rPr>
                          <w:t>4</w:t>
                        </w:r>
                      </w:p>
                    </w:tc>
                    <w:tc>
                      <w:tcPr>
                        <w:tcW w:w="1211" w:type="dxa"/>
                      </w:tcPr>
                      <w:p>
                        <w:pPr>
                          <w:pStyle w:val="TableParagraph"/>
                          <w:spacing w:before="76"/>
                          <w:ind w:left="461"/>
                          <w:rPr>
                            <w:sz w:val="18"/>
                          </w:rPr>
                        </w:pPr>
                        <w:r>
                          <w:rPr>
                            <w:sz w:val="18"/>
                          </w:rPr>
                          <w:t>Yes</w:t>
                        </w:r>
                      </w:p>
                    </w:tc>
                  </w:tr>
                  <w:tr>
                    <w:trPr>
                      <w:trHeight w:val="298" w:hRule="exact"/>
                    </w:trPr>
                    <w:tc>
                      <w:tcPr>
                        <w:tcW w:w="1200" w:type="dxa"/>
                      </w:tcPr>
                      <w:p>
                        <w:pPr>
                          <w:pStyle w:val="TableParagraph"/>
                          <w:spacing w:before="75"/>
                          <w:ind w:left="254" w:right="254"/>
                          <w:jc w:val="center"/>
                          <w:rPr>
                            <w:sz w:val="18"/>
                          </w:rPr>
                        </w:pPr>
                        <w:r>
                          <w:rPr>
                            <w:sz w:val="18"/>
                          </w:rPr>
                          <w:t>20</w:t>
                        </w:r>
                      </w:p>
                    </w:tc>
                    <w:tc>
                      <w:tcPr>
                        <w:tcW w:w="932" w:type="dxa"/>
                      </w:tcPr>
                      <w:p>
                        <w:pPr>
                          <w:pStyle w:val="TableParagraph"/>
                          <w:spacing w:before="75"/>
                          <w:ind w:right="414"/>
                          <w:jc w:val="right"/>
                          <w:rPr>
                            <w:sz w:val="18"/>
                          </w:rPr>
                        </w:pPr>
                        <w:r>
                          <w:rPr>
                            <w:sz w:val="18"/>
                          </w:rPr>
                          <w:t>5</w:t>
                        </w:r>
                      </w:p>
                    </w:tc>
                    <w:tc>
                      <w:tcPr>
                        <w:tcW w:w="934" w:type="dxa"/>
                      </w:tcPr>
                      <w:p>
                        <w:pPr>
                          <w:pStyle w:val="TableParagraph"/>
                          <w:spacing w:before="75"/>
                          <w:ind w:right="1"/>
                          <w:jc w:val="center"/>
                          <w:rPr>
                            <w:sz w:val="18"/>
                          </w:rPr>
                        </w:pPr>
                        <w:r>
                          <w:rPr>
                            <w:sz w:val="18"/>
                          </w:rPr>
                          <w:t>4</w:t>
                        </w:r>
                      </w:p>
                    </w:tc>
                    <w:tc>
                      <w:tcPr>
                        <w:tcW w:w="1211" w:type="dxa"/>
                      </w:tcPr>
                      <w:p>
                        <w:pPr>
                          <w:pStyle w:val="TableParagraph"/>
                          <w:spacing w:before="75"/>
                          <w:ind w:left="461"/>
                          <w:rPr>
                            <w:sz w:val="18"/>
                          </w:rPr>
                        </w:pPr>
                        <w:r>
                          <w:rPr>
                            <w:sz w:val="18"/>
                          </w:rPr>
                          <w:t>Yes</w:t>
                        </w:r>
                      </w:p>
                    </w:tc>
                  </w:tr>
                  <w:tr>
                    <w:trPr>
                      <w:trHeight w:val="298" w:hRule="exact"/>
                    </w:trPr>
                    <w:tc>
                      <w:tcPr>
                        <w:tcW w:w="1200" w:type="dxa"/>
                      </w:tcPr>
                      <w:p>
                        <w:pPr>
                          <w:pStyle w:val="TableParagraph"/>
                          <w:spacing w:before="76"/>
                          <w:ind w:left="254" w:right="254"/>
                          <w:jc w:val="center"/>
                          <w:rPr>
                            <w:sz w:val="18"/>
                          </w:rPr>
                        </w:pPr>
                        <w:r>
                          <w:rPr>
                            <w:sz w:val="18"/>
                          </w:rPr>
                          <w:t>21</w:t>
                        </w:r>
                      </w:p>
                    </w:tc>
                    <w:tc>
                      <w:tcPr>
                        <w:tcW w:w="932" w:type="dxa"/>
                      </w:tcPr>
                      <w:p>
                        <w:pPr>
                          <w:pStyle w:val="TableParagraph"/>
                          <w:spacing w:before="76"/>
                          <w:ind w:right="414"/>
                          <w:jc w:val="right"/>
                          <w:rPr>
                            <w:sz w:val="18"/>
                          </w:rPr>
                        </w:pPr>
                        <w:r>
                          <w:rPr>
                            <w:sz w:val="18"/>
                          </w:rPr>
                          <w:t>4</w:t>
                        </w:r>
                      </w:p>
                    </w:tc>
                    <w:tc>
                      <w:tcPr>
                        <w:tcW w:w="934" w:type="dxa"/>
                      </w:tcPr>
                      <w:p>
                        <w:pPr>
                          <w:pStyle w:val="TableParagraph"/>
                          <w:spacing w:before="76"/>
                          <w:ind w:left="267" w:right="267"/>
                          <w:jc w:val="center"/>
                          <w:rPr>
                            <w:sz w:val="18"/>
                          </w:rPr>
                        </w:pPr>
                        <w:r>
                          <w:rPr>
                            <w:sz w:val="18"/>
                          </w:rPr>
                          <w:t>4.3</w:t>
                        </w:r>
                      </w:p>
                    </w:tc>
                    <w:tc>
                      <w:tcPr>
                        <w:tcW w:w="1211" w:type="dxa"/>
                      </w:tcPr>
                      <w:p>
                        <w:pPr>
                          <w:pStyle w:val="TableParagraph"/>
                          <w:spacing w:before="76"/>
                          <w:ind w:left="461"/>
                          <w:rPr>
                            <w:sz w:val="18"/>
                          </w:rPr>
                        </w:pPr>
                        <w:r>
                          <w:rPr>
                            <w:sz w:val="18"/>
                          </w:rPr>
                          <w:t>Yes</w:t>
                        </w:r>
                      </w:p>
                    </w:tc>
                  </w:tr>
                  <w:tr>
                    <w:trPr>
                      <w:trHeight w:val="299" w:hRule="exact"/>
                    </w:trPr>
                    <w:tc>
                      <w:tcPr>
                        <w:tcW w:w="1200" w:type="dxa"/>
                      </w:tcPr>
                      <w:p>
                        <w:pPr>
                          <w:pStyle w:val="TableParagraph"/>
                          <w:spacing w:before="76"/>
                          <w:ind w:left="254" w:right="254"/>
                          <w:jc w:val="center"/>
                          <w:rPr>
                            <w:sz w:val="18"/>
                          </w:rPr>
                        </w:pPr>
                        <w:r>
                          <w:rPr>
                            <w:sz w:val="18"/>
                          </w:rPr>
                          <w:t>22</w:t>
                        </w:r>
                      </w:p>
                    </w:tc>
                    <w:tc>
                      <w:tcPr>
                        <w:tcW w:w="932" w:type="dxa"/>
                      </w:tcPr>
                      <w:p>
                        <w:pPr>
                          <w:pStyle w:val="TableParagraph"/>
                          <w:spacing w:before="76"/>
                          <w:ind w:right="414"/>
                          <w:jc w:val="right"/>
                          <w:rPr>
                            <w:sz w:val="18"/>
                          </w:rPr>
                        </w:pPr>
                        <w:r>
                          <w:rPr>
                            <w:sz w:val="18"/>
                          </w:rPr>
                          <w:t>4</w:t>
                        </w:r>
                      </w:p>
                    </w:tc>
                    <w:tc>
                      <w:tcPr>
                        <w:tcW w:w="934" w:type="dxa"/>
                      </w:tcPr>
                      <w:p>
                        <w:pPr>
                          <w:pStyle w:val="TableParagraph"/>
                          <w:spacing w:before="76"/>
                          <w:ind w:left="267" w:right="267"/>
                          <w:jc w:val="center"/>
                          <w:rPr>
                            <w:sz w:val="18"/>
                          </w:rPr>
                        </w:pPr>
                        <w:r>
                          <w:rPr>
                            <w:sz w:val="18"/>
                          </w:rPr>
                          <w:t>4.5</w:t>
                        </w:r>
                      </w:p>
                    </w:tc>
                    <w:tc>
                      <w:tcPr>
                        <w:tcW w:w="1211" w:type="dxa"/>
                      </w:tcPr>
                      <w:p>
                        <w:pPr>
                          <w:pStyle w:val="TableParagraph"/>
                          <w:spacing w:before="76"/>
                          <w:ind w:left="461"/>
                          <w:rPr>
                            <w:sz w:val="18"/>
                          </w:rPr>
                        </w:pPr>
                        <w:r>
                          <w:rPr>
                            <w:sz w:val="18"/>
                          </w:rPr>
                          <w:t>Yes</w:t>
                        </w:r>
                      </w:p>
                    </w:tc>
                  </w:tr>
                  <w:tr>
                    <w:trPr>
                      <w:trHeight w:val="310" w:hRule="exact"/>
                    </w:trPr>
                    <w:tc>
                      <w:tcPr>
                        <w:tcW w:w="1200" w:type="dxa"/>
                      </w:tcPr>
                      <w:p>
                        <w:pPr>
                          <w:pStyle w:val="TableParagraph"/>
                          <w:spacing w:before="87"/>
                          <w:ind w:left="254" w:right="254"/>
                          <w:jc w:val="center"/>
                          <w:rPr>
                            <w:sz w:val="18"/>
                          </w:rPr>
                        </w:pPr>
                        <w:r>
                          <w:rPr>
                            <w:sz w:val="18"/>
                          </w:rPr>
                          <w:t>23</w:t>
                        </w:r>
                      </w:p>
                    </w:tc>
                    <w:tc>
                      <w:tcPr>
                        <w:tcW w:w="932" w:type="dxa"/>
                      </w:tcPr>
                      <w:p>
                        <w:pPr>
                          <w:pStyle w:val="TableParagraph"/>
                          <w:spacing w:before="87"/>
                          <w:ind w:right="414"/>
                          <w:jc w:val="right"/>
                          <w:rPr>
                            <w:sz w:val="18"/>
                          </w:rPr>
                        </w:pPr>
                        <w:r>
                          <w:rPr>
                            <w:sz w:val="18"/>
                          </w:rPr>
                          <w:t>4</w:t>
                        </w:r>
                      </w:p>
                    </w:tc>
                    <w:tc>
                      <w:tcPr>
                        <w:tcW w:w="934" w:type="dxa"/>
                      </w:tcPr>
                      <w:p>
                        <w:pPr>
                          <w:pStyle w:val="TableParagraph"/>
                          <w:spacing w:before="87"/>
                          <w:ind w:left="267" w:right="267"/>
                          <w:jc w:val="center"/>
                          <w:rPr>
                            <w:sz w:val="18"/>
                          </w:rPr>
                        </w:pPr>
                        <w:r>
                          <w:rPr>
                            <w:sz w:val="18"/>
                          </w:rPr>
                          <w:t>4.3</w:t>
                        </w:r>
                      </w:p>
                    </w:tc>
                    <w:tc>
                      <w:tcPr>
                        <w:tcW w:w="1211" w:type="dxa"/>
                      </w:tcPr>
                      <w:p>
                        <w:pPr>
                          <w:pStyle w:val="TableParagraph"/>
                          <w:spacing w:before="87"/>
                          <w:ind w:left="461"/>
                          <w:rPr>
                            <w:sz w:val="18"/>
                          </w:rPr>
                        </w:pPr>
                        <w:r>
                          <w:rPr>
                            <w:sz w:val="18"/>
                          </w:rPr>
                          <w:t>Yes</w:t>
                        </w:r>
                      </w:p>
                    </w:tc>
                  </w:tr>
                </w:tbl>
                <w:p>
                  <w:pPr>
                    <w:pStyle w:val="BodyText"/>
                  </w:pPr>
                </w:p>
              </w:txbxContent>
            </v:textbox>
            <w10:wrap type="none"/>
          </v:shape>
        </w:pict>
      </w:r>
      <w:r>
        <w:rPr>
          <w:sz w:val="18"/>
        </w:rPr>
        <w:t>Table 9: Situation 1, texting.</w:t>
      </w:r>
    </w:p>
    <w:p>
      <w:pPr>
        <w:spacing w:before="56"/>
        <w:ind w:left="270" w:right="6250" w:firstLine="0"/>
        <w:jc w:val="both"/>
        <w:rPr>
          <w:sz w:val="18"/>
        </w:rPr>
      </w:pPr>
      <w:r>
        <w:rPr/>
        <w:pict>
          <v:shape style="position:absolute;margin-left:385.140015pt;margin-top:10.602654pt;width:120.75pt;height:78pt;mso-position-horizontal-relative:page;mso-position-vertical-relative:paragraph;z-index:9136"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48"/>
                    <w:gridCol w:w="1252"/>
                  </w:tblGrid>
                  <w:tr>
                    <w:trPr>
                      <w:trHeight w:val="310" w:hRule="exact"/>
                    </w:trPr>
                    <w:tc>
                      <w:tcPr>
                        <w:tcW w:w="2400" w:type="dxa"/>
                        <w:gridSpan w:val="2"/>
                      </w:tcPr>
                      <w:p>
                        <w:pPr>
                          <w:pStyle w:val="TableParagraph"/>
                          <w:spacing w:before="45"/>
                          <w:ind w:left="776"/>
                          <w:rPr>
                            <w:b/>
                            <w:sz w:val="18"/>
                          </w:rPr>
                        </w:pPr>
                        <w:r>
                          <w:rPr>
                            <w:b/>
                            <w:sz w:val="18"/>
                          </w:rPr>
                          <w:t>Situation 1</w:t>
                        </w:r>
                      </w:p>
                    </w:tc>
                  </w:tr>
                  <w:tr>
                    <w:trPr>
                      <w:trHeight w:val="311" w:hRule="exact"/>
                    </w:trPr>
                    <w:tc>
                      <w:tcPr>
                        <w:tcW w:w="1148" w:type="dxa"/>
                      </w:tcPr>
                      <w:p>
                        <w:pPr>
                          <w:pStyle w:val="TableParagraph"/>
                          <w:spacing w:before="42"/>
                          <w:jc w:val="center"/>
                          <w:rPr>
                            <w:sz w:val="18"/>
                          </w:rPr>
                        </w:pPr>
                        <w:r>
                          <w:rPr>
                            <w:sz w:val="18"/>
                          </w:rPr>
                          <w:t>A</w:t>
                        </w:r>
                      </w:p>
                    </w:tc>
                    <w:tc>
                      <w:tcPr>
                        <w:tcW w:w="1252" w:type="dxa"/>
                      </w:tcPr>
                      <w:p>
                        <w:pPr>
                          <w:pStyle w:val="TableParagraph"/>
                          <w:spacing w:before="42"/>
                          <w:ind w:left="574"/>
                          <w:rPr>
                            <w:sz w:val="18"/>
                          </w:rPr>
                        </w:pPr>
                        <w:r>
                          <w:rPr>
                            <w:sz w:val="18"/>
                          </w:rPr>
                          <w:t>9</w:t>
                        </w:r>
                      </w:p>
                    </w:tc>
                  </w:tr>
                  <w:tr>
                    <w:trPr>
                      <w:trHeight w:val="310" w:hRule="exact"/>
                    </w:trPr>
                    <w:tc>
                      <w:tcPr>
                        <w:tcW w:w="1148" w:type="dxa"/>
                      </w:tcPr>
                      <w:p>
                        <w:pPr>
                          <w:pStyle w:val="TableParagraph"/>
                          <w:spacing w:before="42"/>
                          <w:ind w:right="1"/>
                          <w:jc w:val="center"/>
                          <w:rPr>
                            <w:sz w:val="18"/>
                          </w:rPr>
                        </w:pPr>
                        <w:r>
                          <w:rPr>
                            <w:sz w:val="18"/>
                          </w:rPr>
                          <w:t>B</w:t>
                        </w:r>
                      </w:p>
                    </w:tc>
                    <w:tc>
                      <w:tcPr>
                        <w:tcW w:w="1252" w:type="dxa"/>
                      </w:tcPr>
                      <w:p>
                        <w:pPr>
                          <w:pStyle w:val="TableParagraph"/>
                          <w:spacing w:before="42"/>
                          <w:ind w:left="530"/>
                          <w:rPr>
                            <w:sz w:val="18"/>
                          </w:rPr>
                        </w:pPr>
                        <w:r>
                          <w:rPr>
                            <w:sz w:val="18"/>
                          </w:rPr>
                          <w:t>13</w:t>
                        </w:r>
                      </w:p>
                    </w:tc>
                  </w:tr>
                  <w:tr>
                    <w:trPr>
                      <w:trHeight w:val="310" w:hRule="exact"/>
                    </w:trPr>
                    <w:tc>
                      <w:tcPr>
                        <w:tcW w:w="1148" w:type="dxa"/>
                      </w:tcPr>
                      <w:p>
                        <w:pPr>
                          <w:pStyle w:val="TableParagraph"/>
                          <w:spacing w:before="42"/>
                          <w:ind w:right="1"/>
                          <w:jc w:val="center"/>
                          <w:rPr>
                            <w:sz w:val="18"/>
                          </w:rPr>
                        </w:pPr>
                        <w:r>
                          <w:rPr>
                            <w:sz w:val="18"/>
                          </w:rPr>
                          <w:t>C</w:t>
                        </w:r>
                      </w:p>
                    </w:tc>
                    <w:tc>
                      <w:tcPr>
                        <w:tcW w:w="1252" w:type="dxa"/>
                      </w:tcPr>
                      <w:p>
                        <w:pPr>
                          <w:pStyle w:val="TableParagraph"/>
                          <w:spacing w:before="42"/>
                          <w:ind w:left="574"/>
                          <w:rPr>
                            <w:sz w:val="18"/>
                          </w:rPr>
                        </w:pPr>
                        <w:r>
                          <w:rPr>
                            <w:sz w:val="18"/>
                          </w:rPr>
                          <w:t>1</w:t>
                        </w:r>
                      </w:p>
                    </w:tc>
                  </w:tr>
                  <w:tr>
                    <w:trPr>
                      <w:trHeight w:val="311" w:hRule="exact"/>
                    </w:trPr>
                    <w:tc>
                      <w:tcPr>
                        <w:tcW w:w="1148" w:type="dxa"/>
                      </w:tcPr>
                      <w:p>
                        <w:pPr>
                          <w:pStyle w:val="TableParagraph"/>
                          <w:spacing w:before="42"/>
                          <w:jc w:val="center"/>
                          <w:rPr>
                            <w:sz w:val="18"/>
                          </w:rPr>
                        </w:pPr>
                        <w:r>
                          <w:rPr>
                            <w:sz w:val="18"/>
                          </w:rPr>
                          <w:t>D</w:t>
                        </w:r>
                      </w:p>
                    </w:tc>
                    <w:tc>
                      <w:tcPr>
                        <w:tcW w:w="1252" w:type="dxa"/>
                      </w:tcPr>
                      <w:p>
                        <w:pPr>
                          <w:pStyle w:val="TableParagraph"/>
                          <w:spacing w:before="42"/>
                          <w:ind w:left="574"/>
                          <w:rPr>
                            <w:sz w:val="18"/>
                          </w:rPr>
                        </w:pPr>
                        <w:r>
                          <w:rPr>
                            <w:sz w:val="18"/>
                          </w:rPr>
                          <w:t>0</w:t>
                        </w:r>
                      </w:p>
                    </w:tc>
                  </w:tr>
                </w:tbl>
                <w:p>
                  <w:pPr>
                    <w:pStyle w:val="BodyText"/>
                  </w:pPr>
                </w:p>
              </w:txbxContent>
            </v:textbox>
            <w10:wrap type="none"/>
          </v:shape>
        </w:pict>
      </w:r>
      <w:r>
        <w:rPr>
          <w:sz w:val="18"/>
        </w:rPr>
        <w:t>As seen in Table 7, only 6 persons used a device of right size, nevertheless the 83% of the sample presented discomfort to use them.</w:t>
      </w:r>
    </w:p>
    <w:p>
      <w:pPr>
        <w:pStyle w:val="BodyText"/>
        <w:rPr>
          <w:sz w:val="18"/>
        </w:rPr>
      </w:pPr>
    </w:p>
    <w:p>
      <w:pPr>
        <w:pStyle w:val="BodyText"/>
        <w:spacing w:before="10"/>
        <w:rPr>
          <w:sz w:val="17"/>
        </w:rPr>
      </w:pPr>
    </w:p>
    <w:p>
      <w:pPr>
        <w:spacing w:before="1"/>
        <w:ind w:left="821" w:right="6276" w:firstLine="0"/>
        <w:jc w:val="left"/>
        <w:rPr>
          <w:sz w:val="18"/>
        </w:rPr>
      </w:pPr>
      <w:r>
        <w:rPr>
          <w:sz w:val="18"/>
        </w:rPr>
        <w:t>Table 7: Discomfort related to the Smartphone’s size</w:t>
      </w:r>
    </w:p>
    <w:p>
      <w:pPr>
        <w:pStyle w:val="BodyText"/>
      </w:pPr>
    </w:p>
    <w:p>
      <w:pPr>
        <w:pStyle w:val="BodyText"/>
      </w:pPr>
    </w:p>
    <w:p>
      <w:pPr>
        <w:pStyle w:val="BodyText"/>
        <w:spacing w:before="10"/>
        <w:rPr>
          <w:sz w:val="18"/>
        </w:rPr>
      </w:pPr>
    </w:p>
    <w:p>
      <w:pPr>
        <w:spacing w:before="0"/>
        <w:ind w:left="6815" w:right="1218" w:firstLine="0"/>
        <w:jc w:val="left"/>
        <w:rPr>
          <w:sz w:val="18"/>
        </w:rPr>
      </w:pPr>
      <w:r>
        <w:rPr/>
        <w:pict>
          <v:shape style="position:absolute;margin-left:39.18pt;margin-top:-23.277359pt;width:252.75pt;height:43.95pt;mso-position-horizontal-relative:page;mso-position-vertical-relative:paragraph;z-index:916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15"/>
                    <w:gridCol w:w="715"/>
                    <w:gridCol w:w="715"/>
                    <w:gridCol w:w="715"/>
                    <w:gridCol w:w="715"/>
                    <w:gridCol w:w="714"/>
                    <w:gridCol w:w="750"/>
                  </w:tblGrid>
                  <w:tr>
                    <w:trPr>
                      <w:trHeight w:val="217" w:hRule="exact"/>
                    </w:trPr>
                    <w:tc>
                      <w:tcPr>
                        <w:tcW w:w="1430" w:type="dxa"/>
                        <w:gridSpan w:val="2"/>
                      </w:tcPr>
                      <w:p>
                        <w:pPr>
                          <w:pStyle w:val="TableParagraph"/>
                          <w:ind w:left="460" w:right="460"/>
                          <w:jc w:val="center"/>
                          <w:rPr>
                            <w:b/>
                            <w:sz w:val="18"/>
                          </w:rPr>
                        </w:pPr>
                        <w:r>
                          <w:rPr>
                            <w:b/>
                            <w:sz w:val="18"/>
                          </w:rPr>
                          <w:t>Large</w:t>
                        </w:r>
                      </w:p>
                    </w:tc>
                    <w:tc>
                      <w:tcPr>
                        <w:tcW w:w="1430" w:type="dxa"/>
                        <w:gridSpan w:val="2"/>
                      </w:tcPr>
                      <w:p>
                        <w:pPr>
                          <w:pStyle w:val="TableParagraph"/>
                          <w:ind w:left="459" w:right="460"/>
                          <w:jc w:val="center"/>
                          <w:rPr>
                            <w:b/>
                            <w:sz w:val="18"/>
                          </w:rPr>
                        </w:pPr>
                        <w:r>
                          <w:rPr>
                            <w:b/>
                            <w:sz w:val="18"/>
                          </w:rPr>
                          <w:t>Ideal</w:t>
                        </w:r>
                      </w:p>
                    </w:tc>
                    <w:tc>
                      <w:tcPr>
                        <w:tcW w:w="1429" w:type="dxa"/>
                        <w:gridSpan w:val="2"/>
                      </w:tcPr>
                      <w:p>
                        <w:pPr>
                          <w:pStyle w:val="TableParagraph"/>
                          <w:ind w:left="469" w:right="469"/>
                          <w:jc w:val="center"/>
                          <w:rPr>
                            <w:b/>
                            <w:sz w:val="18"/>
                          </w:rPr>
                        </w:pPr>
                        <w:r>
                          <w:rPr>
                            <w:b/>
                            <w:sz w:val="18"/>
                          </w:rPr>
                          <w:t>Small</w:t>
                        </w:r>
                      </w:p>
                    </w:tc>
                    <w:tc>
                      <w:tcPr>
                        <w:tcW w:w="750" w:type="dxa"/>
                      </w:tcPr>
                      <w:p>
                        <w:pPr>
                          <w:pStyle w:val="TableParagraph"/>
                          <w:ind w:left="110" w:right="110"/>
                          <w:jc w:val="center"/>
                          <w:rPr>
                            <w:b/>
                            <w:sz w:val="18"/>
                          </w:rPr>
                        </w:pPr>
                        <w:r>
                          <w:rPr>
                            <w:b/>
                            <w:sz w:val="18"/>
                          </w:rPr>
                          <w:t>Totals</w:t>
                        </w:r>
                      </w:p>
                    </w:tc>
                  </w:tr>
                  <w:tr>
                    <w:trPr>
                      <w:trHeight w:val="217" w:hRule="exact"/>
                    </w:trPr>
                    <w:tc>
                      <w:tcPr>
                        <w:tcW w:w="1430" w:type="dxa"/>
                        <w:gridSpan w:val="2"/>
                      </w:tcPr>
                      <w:p>
                        <w:pPr>
                          <w:pStyle w:val="TableParagraph"/>
                          <w:spacing w:line="202" w:lineRule="exact"/>
                          <w:ind w:right="1"/>
                          <w:jc w:val="center"/>
                          <w:rPr>
                            <w:sz w:val="18"/>
                          </w:rPr>
                        </w:pPr>
                        <w:r>
                          <w:rPr>
                            <w:sz w:val="18"/>
                          </w:rPr>
                          <w:t>2</w:t>
                        </w:r>
                      </w:p>
                    </w:tc>
                    <w:tc>
                      <w:tcPr>
                        <w:tcW w:w="1430" w:type="dxa"/>
                        <w:gridSpan w:val="2"/>
                      </w:tcPr>
                      <w:p>
                        <w:pPr>
                          <w:pStyle w:val="TableParagraph"/>
                          <w:spacing w:line="202" w:lineRule="exact"/>
                          <w:ind w:right="1"/>
                          <w:jc w:val="center"/>
                          <w:rPr>
                            <w:sz w:val="18"/>
                          </w:rPr>
                        </w:pPr>
                        <w:r>
                          <w:rPr>
                            <w:sz w:val="18"/>
                          </w:rPr>
                          <w:t>6</w:t>
                        </w:r>
                      </w:p>
                    </w:tc>
                    <w:tc>
                      <w:tcPr>
                        <w:tcW w:w="1429" w:type="dxa"/>
                        <w:gridSpan w:val="2"/>
                      </w:tcPr>
                      <w:p>
                        <w:pPr>
                          <w:pStyle w:val="TableParagraph"/>
                          <w:spacing w:line="202" w:lineRule="exact"/>
                          <w:ind w:left="469" w:right="468"/>
                          <w:jc w:val="center"/>
                          <w:rPr>
                            <w:sz w:val="18"/>
                          </w:rPr>
                        </w:pPr>
                        <w:r>
                          <w:rPr>
                            <w:sz w:val="18"/>
                          </w:rPr>
                          <w:t>15</w:t>
                        </w:r>
                      </w:p>
                    </w:tc>
                    <w:tc>
                      <w:tcPr>
                        <w:tcW w:w="750" w:type="dxa"/>
                      </w:tcPr>
                      <w:p>
                        <w:pPr>
                          <w:pStyle w:val="TableParagraph"/>
                          <w:spacing w:line="202" w:lineRule="exact"/>
                          <w:ind w:left="109" w:right="110"/>
                          <w:jc w:val="center"/>
                          <w:rPr>
                            <w:sz w:val="18"/>
                          </w:rPr>
                        </w:pPr>
                        <w:r>
                          <w:rPr>
                            <w:sz w:val="18"/>
                          </w:rPr>
                          <w:t>23</w:t>
                        </w:r>
                      </w:p>
                    </w:tc>
                  </w:tr>
                  <w:tr>
                    <w:trPr>
                      <w:trHeight w:val="217" w:hRule="exact"/>
                    </w:trPr>
                    <w:tc>
                      <w:tcPr>
                        <w:tcW w:w="715" w:type="dxa"/>
                      </w:tcPr>
                      <w:p>
                        <w:pPr>
                          <w:pStyle w:val="TableParagraph"/>
                          <w:spacing w:line="206" w:lineRule="exact"/>
                          <w:ind w:left="192" w:right="193"/>
                          <w:jc w:val="center"/>
                          <w:rPr>
                            <w:b/>
                            <w:sz w:val="18"/>
                          </w:rPr>
                        </w:pPr>
                        <w:r>
                          <w:rPr>
                            <w:b/>
                            <w:sz w:val="18"/>
                          </w:rPr>
                          <w:t>Yes</w:t>
                        </w:r>
                      </w:p>
                    </w:tc>
                    <w:tc>
                      <w:tcPr>
                        <w:tcW w:w="715" w:type="dxa"/>
                      </w:tcPr>
                      <w:p>
                        <w:pPr>
                          <w:pStyle w:val="TableParagraph"/>
                          <w:spacing w:line="206" w:lineRule="exact"/>
                          <w:ind w:left="192" w:right="193"/>
                          <w:jc w:val="center"/>
                          <w:rPr>
                            <w:b/>
                            <w:sz w:val="18"/>
                          </w:rPr>
                        </w:pPr>
                        <w:r>
                          <w:rPr>
                            <w:b/>
                            <w:sz w:val="18"/>
                          </w:rPr>
                          <w:t>No</w:t>
                        </w:r>
                      </w:p>
                    </w:tc>
                    <w:tc>
                      <w:tcPr>
                        <w:tcW w:w="715" w:type="dxa"/>
                      </w:tcPr>
                      <w:p>
                        <w:pPr>
                          <w:pStyle w:val="TableParagraph"/>
                          <w:spacing w:line="206" w:lineRule="exact"/>
                          <w:ind w:left="192" w:right="193"/>
                          <w:jc w:val="center"/>
                          <w:rPr>
                            <w:b/>
                            <w:sz w:val="18"/>
                          </w:rPr>
                        </w:pPr>
                        <w:r>
                          <w:rPr>
                            <w:b/>
                            <w:sz w:val="18"/>
                          </w:rPr>
                          <w:t>Yes</w:t>
                        </w:r>
                      </w:p>
                    </w:tc>
                    <w:tc>
                      <w:tcPr>
                        <w:tcW w:w="715" w:type="dxa"/>
                      </w:tcPr>
                      <w:p>
                        <w:pPr>
                          <w:pStyle w:val="TableParagraph"/>
                          <w:spacing w:line="206" w:lineRule="exact"/>
                          <w:ind w:left="192" w:right="192"/>
                          <w:jc w:val="center"/>
                          <w:rPr>
                            <w:b/>
                            <w:sz w:val="18"/>
                          </w:rPr>
                        </w:pPr>
                        <w:r>
                          <w:rPr>
                            <w:b/>
                            <w:sz w:val="18"/>
                          </w:rPr>
                          <w:t>No</w:t>
                        </w:r>
                      </w:p>
                    </w:tc>
                    <w:tc>
                      <w:tcPr>
                        <w:tcW w:w="715" w:type="dxa"/>
                      </w:tcPr>
                      <w:p>
                        <w:pPr>
                          <w:pStyle w:val="TableParagraph"/>
                          <w:spacing w:line="206" w:lineRule="exact"/>
                          <w:ind w:left="211"/>
                          <w:rPr>
                            <w:b/>
                            <w:sz w:val="18"/>
                          </w:rPr>
                        </w:pPr>
                        <w:r>
                          <w:rPr>
                            <w:b/>
                            <w:sz w:val="18"/>
                          </w:rPr>
                          <w:t>Yes</w:t>
                        </w:r>
                      </w:p>
                    </w:tc>
                    <w:tc>
                      <w:tcPr>
                        <w:tcW w:w="714" w:type="dxa"/>
                      </w:tcPr>
                      <w:p>
                        <w:pPr>
                          <w:pStyle w:val="TableParagraph"/>
                          <w:spacing w:line="206" w:lineRule="exact"/>
                          <w:ind w:left="221" w:right="222"/>
                          <w:jc w:val="center"/>
                          <w:rPr>
                            <w:b/>
                            <w:sz w:val="18"/>
                          </w:rPr>
                        </w:pPr>
                        <w:r>
                          <w:rPr>
                            <w:b/>
                            <w:sz w:val="18"/>
                          </w:rPr>
                          <w:t>No</w:t>
                        </w:r>
                      </w:p>
                    </w:tc>
                    <w:tc>
                      <w:tcPr>
                        <w:tcW w:w="750" w:type="dxa"/>
                        <w:tcBorders>
                          <w:right w:val="nil"/>
                        </w:tcBorders>
                      </w:tcPr>
                      <w:p>
                        <w:pPr/>
                      </w:p>
                    </w:tc>
                  </w:tr>
                  <w:tr>
                    <w:trPr>
                      <w:trHeight w:val="217" w:hRule="exact"/>
                    </w:trPr>
                    <w:tc>
                      <w:tcPr>
                        <w:tcW w:w="715" w:type="dxa"/>
                      </w:tcPr>
                      <w:p>
                        <w:pPr>
                          <w:pStyle w:val="TableParagraph"/>
                          <w:spacing w:line="202" w:lineRule="exact"/>
                          <w:ind w:right="1"/>
                          <w:jc w:val="center"/>
                          <w:rPr>
                            <w:sz w:val="18"/>
                          </w:rPr>
                        </w:pPr>
                        <w:r>
                          <w:rPr>
                            <w:sz w:val="18"/>
                          </w:rPr>
                          <w:t>2</w:t>
                        </w:r>
                      </w:p>
                    </w:tc>
                    <w:tc>
                      <w:tcPr>
                        <w:tcW w:w="715" w:type="dxa"/>
                      </w:tcPr>
                      <w:p>
                        <w:pPr>
                          <w:pStyle w:val="TableParagraph"/>
                          <w:spacing w:line="202" w:lineRule="exact"/>
                          <w:ind w:right="1"/>
                          <w:jc w:val="center"/>
                          <w:rPr>
                            <w:sz w:val="18"/>
                          </w:rPr>
                        </w:pPr>
                        <w:r>
                          <w:rPr>
                            <w:sz w:val="18"/>
                          </w:rPr>
                          <w:t>0</w:t>
                        </w:r>
                      </w:p>
                    </w:tc>
                    <w:tc>
                      <w:tcPr>
                        <w:tcW w:w="715" w:type="dxa"/>
                      </w:tcPr>
                      <w:p>
                        <w:pPr>
                          <w:pStyle w:val="TableParagraph"/>
                          <w:spacing w:line="202" w:lineRule="exact"/>
                          <w:ind w:right="1"/>
                          <w:jc w:val="center"/>
                          <w:rPr>
                            <w:sz w:val="18"/>
                          </w:rPr>
                        </w:pPr>
                        <w:r>
                          <w:rPr>
                            <w:sz w:val="18"/>
                          </w:rPr>
                          <w:t>5</w:t>
                        </w:r>
                      </w:p>
                    </w:tc>
                    <w:tc>
                      <w:tcPr>
                        <w:tcW w:w="715" w:type="dxa"/>
                      </w:tcPr>
                      <w:p>
                        <w:pPr>
                          <w:pStyle w:val="TableParagraph"/>
                          <w:spacing w:line="202" w:lineRule="exact"/>
                          <w:ind w:right="1"/>
                          <w:jc w:val="center"/>
                          <w:rPr>
                            <w:sz w:val="18"/>
                          </w:rPr>
                        </w:pPr>
                        <w:r>
                          <w:rPr>
                            <w:sz w:val="18"/>
                          </w:rPr>
                          <w:t>1</w:t>
                        </w:r>
                      </w:p>
                    </w:tc>
                    <w:tc>
                      <w:tcPr>
                        <w:tcW w:w="715" w:type="dxa"/>
                      </w:tcPr>
                      <w:p>
                        <w:pPr>
                          <w:pStyle w:val="TableParagraph"/>
                          <w:spacing w:line="202" w:lineRule="exact"/>
                          <w:ind w:left="262"/>
                          <w:rPr>
                            <w:sz w:val="18"/>
                          </w:rPr>
                        </w:pPr>
                        <w:r>
                          <w:rPr>
                            <w:sz w:val="18"/>
                          </w:rPr>
                          <w:t>13</w:t>
                        </w:r>
                      </w:p>
                    </w:tc>
                    <w:tc>
                      <w:tcPr>
                        <w:tcW w:w="714" w:type="dxa"/>
                      </w:tcPr>
                      <w:p>
                        <w:pPr>
                          <w:pStyle w:val="TableParagraph"/>
                          <w:spacing w:line="202" w:lineRule="exact"/>
                          <w:jc w:val="center"/>
                          <w:rPr>
                            <w:sz w:val="18"/>
                          </w:rPr>
                        </w:pPr>
                        <w:r>
                          <w:rPr>
                            <w:sz w:val="18"/>
                          </w:rPr>
                          <w:t>2</w:t>
                        </w:r>
                      </w:p>
                    </w:tc>
                    <w:tc>
                      <w:tcPr>
                        <w:tcW w:w="750" w:type="dxa"/>
                      </w:tcPr>
                      <w:p>
                        <w:pPr>
                          <w:pStyle w:val="TableParagraph"/>
                          <w:spacing w:line="202" w:lineRule="exact"/>
                          <w:ind w:left="109" w:right="110"/>
                          <w:jc w:val="center"/>
                          <w:rPr>
                            <w:sz w:val="18"/>
                          </w:rPr>
                        </w:pPr>
                        <w:r>
                          <w:rPr>
                            <w:sz w:val="18"/>
                          </w:rPr>
                          <w:t>23</w:t>
                        </w:r>
                      </w:p>
                    </w:tc>
                  </w:tr>
                </w:tbl>
                <w:p>
                  <w:pPr>
                    <w:pStyle w:val="BodyText"/>
                  </w:pPr>
                </w:p>
              </w:txbxContent>
            </v:textbox>
            <w10:wrap type="none"/>
          </v:shape>
        </w:pict>
      </w:r>
      <w:r>
        <w:rPr>
          <w:sz w:val="18"/>
        </w:rPr>
        <w:t>Table 10: Situation 2, looking for an App.</w:t>
      </w:r>
    </w:p>
    <w:p>
      <w:pPr>
        <w:pStyle w:val="BodyText"/>
        <w:spacing w:before="8"/>
        <w:rPr>
          <w:sz w:val="28"/>
        </w:rPr>
      </w:pPr>
    </w:p>
    <w:p>
      <w:pPr>
        <w:spacing w:before="77"/>
        <w:ind w:left="270" w:right="6249" w:firstLine="453"/>
        <w:jc w:val="both"/>
        <w:rPr>
          <w:sz w:val="18"/>
        </w:rPr>
      </w:pPr>
      <w:r>
        <w:rPr/>
        <w:pict>
          <v:shape style="position:absolute;margin-left:385.140015pt;margin-top:-5.92796pt;width:120.75pt;height:78pt;mso-position-horizontal-relative:page;mso-position-vertical-relative:paragraph;z-index:9184"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48"/>
                    <w:gridCol w:w="1252"/>
                  </w:tblGrid>
                  <w:tr>
                    <w:trPr>
                      <w:trHeight w:val="310" w:hRule="exact"/>
                    </w:trPr>
                    <w:tc>
                      <w:tcPr>
                        <w:tcW w:w="2400" w:type="dxa"/>
                        <w:gridSpan w:val="2"/>
                      </w:tcPr>
                      <w:p>
                        <w:pPr>
                          <w:pStyle w:val="TableParagraph"/>
                          <w:spacing w:before="45"/>
                          <w:ind w:left="776"/>
                          <w:rPr>
                            <w:b/>
                            <w:sz w:val="18"/>
                          </w:rPr>
                        </w:pPr>
                        <w:r>
                          <w:rPr>
                            <w:b/>
                            <w:sz w:val="18"/>
                          </w:rPr>
                          <w:t>Situation 2</w:t>
                        </w:r>
                      </w:p>
                    </w:tc>
                  </w:tr>
                  <w:tr>
                    <w:trPr>
                      <w:trHeight w:val="310" w:hRule="exact"/>
                    </w:trPr>
                    <w:tc>
                      <w:tcPr>
                        <w:tcW w:w="1148" w:type="dxa"/>
                      </w:tcPr>
                      <w:p>
                        <w:pPr>
                          <w:pStyle w:val="TableParagraph"/>
                          <w:spacing w:before="42"/>
                          <w:jc w:val="center"/>
                          <w:rPr>
                            <w:sz w:val="18"/>
                          </w:rPr>
                        </w:pPr>
                        <w:r>
                          <w:rPr>
                            <w:sz w:val="18"/>
                          </w:rPr>
                          <w:t>A</w:t>
                        </w:r>
                      </w:p>
                    </w:tc>
                    <w:tc>
                      <w:tcPr>
                        <w:tcW w:w="1252" w:type="dxa"/>
                      </w:tcPr>
                      <w:p>
                        <w:pPr>
                          <w:pStyle w:val="TableParagraph"/>
                          <w:spacing w:before="42"/>
                          <w:ind w:left="530"/>
                          <w:rPr>
                            <w:sz w:val="18"/>
                          </w:rPr>
                        </w:pPr>
                        <w:r>
                          <w:rPr>
                            <w:sz w:val="18"/>
                          </w:rPr>
                          <w:t>10</w:t>
                        </w:r>
                      </w:p>
                    </w:tc>
                  </w:tr>
                  <w:tr>
                    <w:trPr>
                      <w:trHeight w:val="311" w:hRule="exact"/>
                    </w:trPr>
                    <w:tc>
                      <w:tcPr>
                        <w:tcW w:w="1148" w:type="dxa"/>
                      </w:tcPr>
                      <w:p>
                        <w:pPr>
                          <w:pStyle w:val="TableParagraph"/>
                          <w:spacing w:before="42"/>
                          <w:ind w:right="1"/>
                          <w:jc w:val="center"/>
                          <w:rPr>
                            <w:sz w:val="18"/>
                          </w:rPr>
                        </w:pPr>
                        <w:r>
                          <w:rPr>
                            <w:sz w:val="18"/>
                          </w:rPr>
                          <w:t>B</w:t>
                        </w:r>
                      </w:p>
                    </w:tc>
                    <w:tc>
                      <w:tcPr>
                        <w:tcW w:w="1252" w:type="dxa"/>
                      </w:tcPr>
                      <w:p>
                        <w:pPr>
                          <w:pStyle w:val="TableParagraph"/>
                          <w:spacing w:before="42"/>
                          <w:ind w:left="530"/>
                          <w:rPr>
                            <w:sz w:val="18"/>
                          </w:rPr>
                        </w:pPr>
                        <w:r>
                          <w:rPr>
                            <w:sz w:val="18"/>
                          </w:rPr>
                          <w:t>10</w:t>
                        </w:r>
                      </w:p>
                    </w:tc>
                  </w:tr>
                  <w:tr>
                    <w:trPr>
                      <w:trHeight w:val="310" w:hRule="exact"/>
                    </w:trPr>
                    <w:tc>
                      <w:tcPr>
                        <w:tcW w:w="1148" w:type="dxa"/>
                      </w:tcPr>
                      <w:p>
                        <w:pPr>
                          <w:pStyle w:val="TableParagraph"/>
                          <w:spacing w:before="42"/>
                          <w:ind w:right="1"/>
                          <w:jc w:val="center"/>
                          <w:rPr>
                            <w:sz w:val="18"/>
                          </w:rPr>
                        </w:pPr>
                        <w:r>
                          <w:rPr>
                            <w:sz w:val="18"/>
                          </w:rPr>
                          <w:t>C</w:t>
                        </w:r>
                      </w:p>
                    </w:tc>
                    <w:tc>
                      <w:tcPr>
                        <w:tcW w:w="1252" w:type="dxa"/>
                      </w:tcPr>
                      <w:p>
                        <w:pPr>
                          <w:pStyle w:val="TableParagraph"/>
                          <w:spacing w:before="42"/>
                          <w:ind w:left="574"/>
                          <w:rPr>
                            <w:sz w:val="18"/>
                          </w:rPr>
                        </w:pPr>
                        <w:r>
                          <w:rPr>
                            <w:sz w:val="18"/>
                          </w:rPr>
                          <w:t>3</w:t>
                        </w:r>
                      </w:p>
                    </w:tc>
                  </w:tr>
                  <w:tr>
                    <w:trPr>
                      <w:trHeight w:val="311" w:hRule="exact"/>
                    </w:trPr>
                    <w:tc>
                      <w:tcPr>
                        <w:tcW w:w="1148" w:type="dxa"/>
                      </w:tcPr>
                      <w:p>
                        <w:pPr>
                          <w:pStyle w:val="TableParagraph"/>
                          <w:spacing w:before="42"/>
                          <w:jc w:val="center"/>
                          <w:rPr>
                            <w:sz w:val="18"/>
                          </w:rPr>
                        </w:pPr>
                        <w:r>
                          <w:rPr>
                            <w:sz w:val="18"/>
                          </w:rPr>
                          <w:t>D</w:t>
                        </w:r>
                      </w:p>
                    </w:tc>
                    <w:tc>
                      <w:tcPr>
                        <w:tcW w:w="1252" w:type="dxa"/>
                      </w:tcPr>
                      <w:p>
                        <w:pPr>
                          <w:pStyle w:val="TableParagraph"/>
                          <w:spacing w:before="42"/>
                          <w:ind w:left="574"/>
                          <w:rPr>
                            <w:sz w:val="18"/>
                          </w:rPr>
                        </w:pPr>
                        <w:r>
                          <w:rPr>
                            <w:sz w:val="18"/>
                          </w:rPr>
                          <w:t>0</w:t>
                        </w:r>
                      </w:p>
                    </w:tc>
                  </w:tr>
                </w:tbl>
                <w:p>
                  <w:pPr>
                    <w:pStyle w:val="BodyText"/>
                  </w:pPr>
                </w:p>
              </w:txbxContent>
            </v:textbox>
            <w10:wrap type="none"/>
          </v:shape>
        </w:pict>
      </w:r>
      <w:r>
        <w:rPr>
          <w:sz w:val="18"/>
        </w:rPr>
        <w:t>With the pictures taken in the stage 4 of the method  proposed, as seen in the example of Figure 1, and with the Table 8 as a base, it was possible to determine that more of the 50% of the participants took a position in which their heads tilt exerts a tension of 18.14 kg in the neck, in the first situation, as shown in Table</w:t>
      </w:r>
      <w:r>
        <w:rPr>
          <w:spacing w:val="-15"/>
          <w:sz w:val="18"/>
        </w:rPr>
        <w:t> </w:t>
      </w:r>
      <w:r>
        <w:rPr>
          <w:sz w:val="18"/>
        </w:rPr>
        <w:t>9.</w:t>
      </w:r>
    </w:p>
    <w:p>
      <w:pPr>
        <w:spacing w:before="0"/>
        <w:ind w:left="270" w:right="6250" w:firstLine="453"/>
        <w:jc w:val="both"/>
        <w:rPr>
          <w:sz w:val="18"/>
        </w:rPr>
      </w:pPr>
      <w:r>
        <w:rPr/>
        <w:pict>
          <v:line style="position:absolute;mso-position-horizontal-relative:page;mso-position-vertical-relative:paragraph;z-index:-869728" from="205.860001pt,10.562346pt" to="205.860001pt,20.942346pt" stroked="true" strokeweight="2.280pt" strokecolor="#ffff00">
            <w10:wrap type="none"/>
          </v:line>
        </w:pict>
      </w:r>
      <w:r>
        <w:rPr>
          <w:sz w:val="18"/>
        </w:rPr>
        <w:t>Meanwhile that in the second situation a 43% were located in the group A, like in the B, this represented in Table 10.</w:t>
      </w:r>
    </w:p>
    <w:p>
      <w:pPr>
        <w:pStyle w:val="BodyText"/>
        <w:spacing w:before="4"/>
        <w:rPr>
          <w:sz w:val="29"/>
        </w:rPr>
      </w:pPr>
    </w:p>
    <w:p>
      <w:pPr>
        <w:spacing w:after="0"/>
        <w:rPr>
          <w:sz w:val="29"/>
        </w:rPr>
        <w:sectPr>
          <w:pgSz w:w="12240" w:h="15840"/>
          <w:pgMar w:header="545" w:footer="852" w:top="1060" w:bottom="1040" w:left="580" w:right="220"/>
        </w:sectPr>
      </w:pPr>
    </w:p>
    <w:p>
      <w:pPr>
        <w:spacing w:before="77"/>
        <w:ind w:left="1394" w:right="-20" w:firstLine="0"/>
        <w:jc w:val="left"/>
        <w:rPr>
          <w:sz w:val="18"/>
        </w:rPr>
      </w:pPr>
      <w:r>
        <w:rPr>
          <w:sz w:val="18"/>
        </w:rPr>
        <w:t>Table 8: inclination and weight ratio.</w:t>
      </w:r>
    </w:p>
    <w:p>
      <w:pPr>
        <w:pStyle w:val="BodyText"/>
        <w:spacing w:before="1"/>
        <w:rPr>
          <w:sz w:val="17"/>
        </w:rPr>
      </w:pPr>
      <w:r>
        <w:rPr/>
        <w:br w:type="column"/>
      </w:r>
      <w:r>
        <w:rPr>
          <w:sz w:val="17"/>
        </w:rPr>
      </w:r>
    </w:p>
    <w:p>
      <w:pPr>
        <w:spacing w:line="205" w:lineRule="exact" w:before="0"/>
        <w:ind w:left="1394" w:right="0" w:firstLine="0"/>
        <w:jc w:val="both"/>
        <w:rPr>
          <w:b/>
          <w:sz w:val="18"/>
        </w:rPr>
      </w:pPr>
      <w:r>
        <w:rPr>
          <w:b/>
          <w:sz w:val="18"/>
        </w:rPr>
        <w:t>CONCLUTION</w:t>
      </w:r>
    </w:p>
    <w:p>
      <w:pPr>
        <w:spacing w:line="240" w:lineRule="auto" w:before="0"/>
        <w:ind w:left="1394" w:right="676" w:firstLine="0"/>
        <w:jc w:val="both"/>
        <w:rPr>
          <w:sz w:val="18"/>
        </w:rPr>
      </w:pPr>
      <w:r>
        <w:rPr/>
        <w:pict>
          <v:shape style="position:absolute;margin-left:41.52pt;margin-top:4.801743pt;width:232.75pt;height:77.5pt;mso-position-horizontal-relative:page;mso-position-vertical-relative:paragraph;z-index:920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01"/>
                    <w:gridCol w:w="1720"/>
                    <w:gridCol w:w="1720"/>
                  </w:tblGrid>
                  <w:tr>
                    <w:trPr>
                      <w:trHeight w:val="610" w:hRule="exact"/>
                    </w:trPr>
                    <w:tc>
                      <w:tcPr>
                        <w:tcW w:w="1201" w:type="dxa"/>
                        <w:tcBorders>
                          <w:bottom w:val="single" w:sz="4" w:space="0" w:color="000000"/>
                          <w:right w:val="single" w:sz="4" w:space="0" w:color="000000"/>
                        </w:tcBorders>
                      </w:tcPr>
                      <w:p>
                        <w:pPr/>
                      </w:p>
                    </w:tc>
                    <w:tc>
                      <w:tcPr>
                        <w:tcW w:w="1720" w:type="dxa"/>
                        <w:tcBorders>
                          <w:top w:val="single" w:sz="4" w:space="0" w:color="000000"/>
                          <w:left w:val="single" w:sz="4" w:space="0" w:color="000000"/>
                          <w:bottom w:val="single" w:sz="4" w:space="0" w:color="000000"/>
                          <w:right w:val="single" w:sz="4" w:space="0" w:color="000000"/>
                        </w:tcBorders>
                      </w:tcPr>
                      <w:p>
                        <w:pPr>
                          <w:pStyle w:val="TableParagraph"/>
                          <w:rPr>
                            <w:sz w:val="17"/>
                          </w:rPr>
                        </w:pPr>
                      </w:p>
                      <w:p>
                        <w:pPr>
                          <w:pStyle w:val="TableParagraph"/>
                          <w:ind w:left="186" w:right="187"/>
                          <w:jc w:val="center"/>
                          <w:rPr>
                            <w:b/>
                            <w:sz w:val="18"/>
                          </w:rPr>
                        </w:pPr>
                        <w:r>
                          <w:rPr>
                            <w:b/>
                            <w:sz w:val="18"/>
                          </w:rPr>
                          <w:t>Inclination angle</w:t>
                        </w:r>
                      </w:p>
                    </w:tc>
                    <w:tc>
                      <w:tcPr>
                        <w:tcW w:w="1720" w:type="dxa"/>
                        <w:tcBorders>
                          <w:top w:val="single" w:sz="4" w:space="0" w:color="000000"/>
                          <w:left w:val="single" w:sz="4" w:space="0" w:color="000000"/>
                          <w:bottom w:val="single" w:sz="4" w:space="0" w:color="000000"/>
                          <w:right w:val="single" w:sz="4" w:space="0" w:color="000000"/>
                        </w:tcBorders>
                      </w:tcPr>
                      <w:p>
                        <w:pPr>
                          <w:pStyle w:val="TableParagraph"/>
                          <w:spacing w:before="91"/>
                          <w:ind w:left="512" w:right="150" w:hanging="342"/>
                          <w:rPr>
                            <w:b/>
                            <w:sz w:val="18"/>
                          </w:rPr>
                        </w:pPr>
                        <w:r>
                          <w:rPr>
                            <w:b/>
                            <w:sz w:val="18"/>
                          </w:rPr>
                          <w:t>Weight exerted in the spine</w:t>
                        </w:r>
                      </w:p>
                    </w:tc>
                  </w:tr>
                  <w:tr>
                    <w:trPr>
                      <w:trHeight w:val="310" w:hRule="exact"/>
                    </w:trPr>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5"/>
                          <w:ind w:left="280" w:right="280"/>
                          <w:jc w:val="center"/>
                          <w:rPr>
                            <w:b/>
                            <w:sz w:val="18"/>
                          </w:rPr>
                        </w:pPr>
                        <w:r>
                          <w:rPr>
                            <w:b/>
                            <w:sz w:val="18"/>
                          </w:rPr>
                          <w:t>Neutral</w:t>
                        </w:r>
                      </w:p>
                    </w:tc>
                    <w:tc>
                      <w:tcPr>
                        <w:tcW w:w="1720" w:type="dxa"/>
                        <w:tcBorders>
                          <w:top w:val="single" w:sz="4" w:space="0" w:color="000000"/>
                          <w:left w:val="single" w:sz="4" w:space="0" w:color="000000"/>
                          <w:bottom w:val="single" w:sz="4" w:space="0" w:color="000000"/>
                          <w:right w:val="single" w:sz="4" w:space="0" w:color="000000"/>
                        </w:tcBorders>
                      </w:tcPr>
                      <w:p>
                        <w:pPr>
                          <w:pStyle w:val="TableParagraph"/>
                          <w:spacing w:before="42"/>
                          <w:ind w:left="186" w:right="186"/>
                          <w:jc w:val="center"/>
                          <w:rPr>
                            <w:sz w:val="18"/>
                          </w:rPr>
                        </w:pPr>
                        <w:r>
                          <w:rPr>
                            <w:sz w:val="18"/>
                          </w:rPr>
                          <w:t>0° - 14°</w:t>
                        </w:r>
                      </w:p>
                    </w:tc>
                    <w:tc>
                      <w:tcPr>
                        <w:tcW w:w="1720" w:type="dxa"/>
                        <w:tcBorders>
                          <w:top w:val="single" w:sz="4" w:space="0" w:color="000000"/>
                          <w:left w:val="single" w:sz="4" w:space="0" w:color="000000"/>
                          <w:bottom w:val="single" w:sz="4" w:space="0" w:color="000000"/>
                          <w:right w:val="single" w:sz="4" w:space="0" w:color="000000"/>
                        </w:tcBorders>
                      </w:tcPr>
                      <w:p>
                        <w:pPr>
                          <w:pStyle w:val="TableParagraph"/>
                          <w:spacing w:before="42"/>
                          <w:ind w:left="186" w:right="184"/>
                          <w:jc w:val="center"/>
                          <w:rPr>
                            <w:sz w:val="18"/>
                          </w:rPr>
                        </w:pPr>
                        <w:r>
                          <w:rPr>
                            <w:sz w:val="18"/>
                          </w:rPr>
                          <w:t>4.54-5.44</w:t>
                        </w:r>
                      </w:p>
                    </w:tc>
                  </w:tr>
                  <w:tr>
                    <w:trPr>
                      <w:trHeight w:val="311" w:hRule="exact"/>
                    </w:trPr>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5"/>
                          <w:jc w:val="center"/>
                          <w:rPr>
                            <w:b/>
                            <w:sz w:val="18"/>
                          </w:rPr>
                        </w:pPr>
                        <w:r>
                          <w:rPr>
                            <w:b/>
                            <w:sz w:val="18"/>
                          </w:rPr>
                          <w:t>A</w:t>
                        </w:r>
                      </w:p>
                    </w:tc>
                    <w:tc>
                      <w:tcPr>
                        <w:tcW w:w="1720" w:type="dxa"/>
                        <w:tcBorders>
                          <w:top w:val="single" w:sz="4" w:space="0" w:color="000000"/>
                          <w:left w:val="single" w:sz="4" w:space="0" w:color="000000"/>
                          <w:bottom w:val="single" w:sz="4" w:space="0" w:color="000000"/>
                          <w:right w:val="single" w:sz="4" w:space="0" w:color="000000"/>
                        </w:tcBorders>
                      </w:tcPr>
                      <w:p>
                        <w:pPr>
                          <w:pStyle w:val="TableParagraph"/>
                          <w:spacing w:before="42"/>
                          <w:ind w:left="186" w:right="185"/>
                          <w:jc w:val="center"/>
                          <w:rPr>
                            <w:sz w:val="18"/>
                          </w:rPr>
                        </w:pPr>
                        <w:r>
                          <w:rPr>
                            <w:sz w:val="18"/>
                          </w:rPr>
                          <w:t>15° - 29°</w:t>
                        </w:r>
                      </w:p>
                    </w:tc>
                    <w:tc>
                      <w:tcPr>
                        <w:tcW w:w="1720" w:type="dxa"/>
                        <w:tcBorders>
                          <w:top w:val="single" w:sz="4" w:space="0" w:color="000000"/>
                          <w:left w:val="single" w:sz="4" w:space="0" w:color="000000"/>
                          <w:bottom w:val="single" w:sz="4" w:space="0" w:color="000000"/>
                          <w:right w:val="single" w:sz="4" w:space="0" w:color="000000"/>
                        </w:tcBorders>
                      </w:tcPr>
                      <w:p>
                        <w:pPr>
                          <w:pStyle w:val="TableParagraph"/>
                          <w:spacing w:before="42"/>
                          <w:ind w:left="186" w:right="185"/>
                          <w:jc w:val="center"/>
                          <w:rPr>
                            <w:sz w:val="18"/>
                          </w:rPr>
                        </w:pPr>
                        <w:r>
                          <w:rPr>
                            <w:sz w:val="18"/>
                          </w:rPr>
                          <w:t>12.25</w:t>
                        </w:r>
                      </w:p>
                    </w:tc>
                  </w:tr>
                  <w:tr>
                    <w:trPr>
                      <w:trHeight w:val="310" w:hRule="exact"/>
                    </w:trPr>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5"/>
                          <w:ind w:right="1"/>
                          <w:jc w:val="center"/>
                          <w:rPr>
                            <w:b/>
                            <w:sz w:val="18"/>
                          </w:rPr>
                        </w:pPr>
                        <w:r>
                          <w:rPr>
                            <w:b/>
                            <w:sz w:val="18"/>
                          </w:rPr>
                          <w:t>B</w:t>
                        </w:r>
                      </w:p>
                    </w:tc>
                    <w:tc>
                      <w:tcPr>
                        <w:tcW w:w="1720" w:type="dxa"/>
                        <w:tcBorders>
                          <w:top w:val="single" w:sz="4" w:space="0" w:color="000000"/>
                          <w:left w:val="single" w:sz="4" w:space="0" w:color="000000"/>
                          <w:bottom w:val="single" w:sz="4" w:space="0" w:color="000000"/>
                          <w:right w:val="single" w:sz="4" w:space="0" w:color="000000"/>
                        </w:tcBorders>
                      </w:tcPr>
                      <w:p>
                        <w:pPr>
                          <w:pStyle w:val="TableParagraph"/>
                          <w:spacing w:before="42"/>
                          <w:ind w:left="186" w:right="185"/>
                          <w:jc w:val="center"/>
                          <w:rPr>
                            <w:sz w:val="18"/>
                          </w:rPr>
                        </w:pPr>
                        <w:r>
                          <w:rPr>
                            <w:sz w:val="18"/>
                          </w:rPr>
                          <w:t>30° - 44°</w:t>
                        </w:r>
                      </w:p>
                    </w:tc>
                    <w:tc>
                      <w:tcPr>
                        <w:tcW w:w="1720" w:type="dxa"/>
                        <w:tcBorders>
                          <w:top w:val="single" w:sz="4" w:space="0" w:color="000000"/>
                          <w:left w:val="single" w:sz="4" w:space="0" w:color="000000"/>
                          <w:bottom w:val="single" w:sz="4" w:space="0" w:color="000000"/>
                          <w:right w:val="single" w:sz="4" w:space="0" w:color="000000"/>
                        </w:tcBorders>
                      </w:tcPr>
                      <w:p>
                        <w:pPr>
                          <w:pStyle w:val="TableParagraph"/>
                          <w:spacing w:before="42"/>
                          <w:ind w:left="186" w:right="185"/>
                          <w:jc w:val="center"/>
                          <w:rPr>
                            <w:sz w:val="18"/>
                          </w:rPr>
                        </w:pPr>
                        <w:r>
                          <w:rPr>
                            <w:sz w:val="18"/>
                          </w:rPr>
                          <w:t>18.14</w:t>
                        </w:r>
                      </w:p>
                    </w:tc>
                  </w:tr>
                </w:tbl>
                <w:p>
                  <w:pPr>
                    <w:pStyle w:val="BodyText"/>
                  </w:pPr>
                </w:p>
              </w:txbxContent>
            </v:textbox>
            <w10:wrap type="none"/>
          </v:shape>
        </w:pict>
      </w:r>
      <w:r>
        <w:rPr>
          <w:sz w:val="18"/>
        </w:rPr>
        <w:t>After analyzing the information acquired, it was determined that although respondents suffered discomfort and several symptoms, they were unaware that the cause was the use of the smartphone.</w:t>
      </w:r>
    </w:p>
    <w:p>
      <w:pPr>
        <w:spacing w:before="0"/>
        <w:ind w:left="1394" w:right="674" w:firstLine="453"/>
        <w:jc w:val="both"/>
        <w:rPr>
          <w:sz w:val="18"/>
        </w:rPr>
      </w:pPr>
      <w:r>
        <w:rPr>
          <w:sz w:val="18"/>
        </w:rPr>
        <w:t>It was also determined that the size of the smartphone and  the amount of time spent using it daily, are correlated variables on the problem; this means that even though the users were using a suitable smartphone for their hands, if they spend a huge amount of time in continuous use, the probability of pain and discomfort increases.</w:t>
      </w:r>
      <w:r>
        <w:rPr>
          <w:spacing w:val="15"/>
          <w:sz w:val="18"/>
        </w:rPr>
        <w:t> </w:t>
      </w:r>
      <w:r>
        <w:rPr>
          <w:sz w:val="18"/>
        </w:rPr>
        <w:t>In</w:t>
      </w:r>
      <w:r>
        <w:rPr>
          <w:spacing w:val="15"/>
          <w:sz w:val="18"/>
        </w:rPr>
        <w:t> </w:t>
      </w:r>
      <w:r>
        <w:rPr>
          <w:sz w:val="18"/>
        </w:rPr>
        <w:t>an</w:t>
      </w:r>
      <w:r>
        <w:rPr>
          <w:spacing w:val="14"/>
          <w:sz w:val="18"/>
        </w:rPr>
        <w:t> </w:t>
      </w:r>
      <w:r>
        <w:rPr>
          <w:sz w:val="18"/>
        </w:rPr>
        <w:t>opposite</w:t>
      </w:r>
      <w:r>
        <w:rPr>
          <w:spacing w:val="15"/>
          <w:sz w:val="18"/>
        </w:rPr>
        <w:t> </w:t>
      </w:r>
      <w:r>
        <w:rPr>
          <w:sz w:val="18"/>
        </w:rPr>
        <w:t>way,</w:t>
      </w:r>
      <w:r>
        <w:rPr>
          <w:spacing w:val="15"/>
          <w:sz w:val="18"/>
        </w:rPr>
        <w:t> </w:t>
      </w:r>
      <w:r>
        <w:rPr>
          <w:sz w:val="18"/>
        </w:rPr>
        <w:t>even</w:t>
      </w:r>
      <w:r>
        <w:rPr>
          <w:spacing w:val="15"/>
          <w:sz w:val="18"/>
        </w:rPr>
        <w:t> </w:t>
      </w:r>
      <w:r>
        <w:rPr>
          <w:sz w:val="18"/>
        </w:rPr>
        <w:t>with</w:t>
      </w:r>
      <w:r>
        <w:rPr>
          <w:spacing w:val="15"/>
          <w:sz w:val="18"/>
        </w:rPr>
        <w:t> </w:t>
      </w:r>
      <w:r>
        <w:rPr>
          <w:sz w:val="18"/>
        </w:rPr>
        <w:t>a</w:t>
      </w:r>
      <w:r>
        <w:rPr>
          <w:spacing w:val="15"/>
          <w:sz w:val="18"/>
        </w:rPr>
        <w:t> </w:t>
      </w:r>
      <w:r>
        <w:rPr>
          <w:sz w:val="18"/>
        </w:rPr>
        <w:t>device</w:t>
      </w:r>
      <w:r>
        <w:rPr>
          <w:spacing w:val="15"/>
          <w:sz w:val="18"/>
        </w:rPr>
        <w:t> </w:t>
      </w:r>
      <w:r>
        <w:rPr>
          <w:sz w:val="18"/>
        </w:rPr>
        <w:t>not</w:t>
      </w:r>
      <w:r>
        <w:rPr>
          <w:spacing w:val="15"/>
          <w:sz w:val="18"/>
        </w:rPr>
        <w:t> </w:t>
      </w:r>
      <w:r>
        <w:rPr>
          <w:sz w:val="18"/>
        </w:rPr>
        <w:t>suitable</w:t>
      </w:r>
      <w:r>
        <w:rPr>
          <w:spacing w:val="15"/>
          <w:sz w:val="18"/>
        </w:rPr>
        <w:t> </w:t>
      </w:r>
      <w:r>
        <w:rPr>
          <w:sz w:val="18"/>
        </w:rPr>
        <w:t>for</w:t>
      </w:r>
    </w:p>
    <w:p>
      <w:pPr>
        <w:spacing w:after="0"/>
        <w:jc w:val="both"/>
        <w:rPr>
          <w:sz w:val="18"/>
        </w:rPr>
        <w:sectPr>
          <w:type w:val="continuous"/>
          <w:pgSz w:w="12240" w:h="15840"/>
          <w:pgMar w:top="1500" w:bottom="280" w:left="580" w:right="220"/>
          <w:cols w:num="2" w:equalWidth="0">
            <w:col w:w="4064" w:space="437"/>
            <w:col w:w="6939"/>
          </w:cols>
        </w:sectPr>
      </w:pPr>
    </w:p>
    <w:p>
      <w:pPr>
        <w:pStyle w:val="BodyText"/>
        <w:rPr>
          <w:sz w:val="11"/>
        </w:rPr>
      </w:pPr>
    </w:p>
    <w:p>
      <w:pPr>
        <w:spacing w:after="0"/>
        <w:rPr>
          <w:sz w:val="11"/>
        </w:rPr>
        <w:sectPr>
          <w:pgSz w:w="12240" w:h="15840"/>
          <w:pgMar w:header="545" w:footer="852" w:top="1060" w:bottom="1040" w:left="580" w:right="220"/>
        </w:sectPr>
      </w:pPr>
    </w:p>
    <w:p>
      <w:pPr>
        <w:spacing w:before="77"/>
        <w:ind w:left="270" w:right="118" w:firstLine="0"/>
        <w:jc w:val="left"/>
        <w:rPr>
          <w:sz w:val="18"/>
        </w:rPr>
      </w:pPr>
      <w:r>
        <w:rPr>
          <w:sz w:val="18"/>
        </w:rPr>
        <w:t>their hands, if users spend a reasonable time using it, they will not suffer pain or discomfort.</w:t>
      </w:r>
    </w:p>
    <w:p>
      <w:pPr>
        <w:spacing w:before="0"/>
        <w:ind w:left="270" w:right="1" w:firstLine="453"/>
        <w:jc w:val="both"/>
        <w:rPr>
          <w:sz w:val="18"/>
        </w:rPr>
      </w:pPr>
      <w:r>
        <w:rPr>
          <w:sz w:val="18"/>
        </w:rPr>
        <w:t>Also it was possible to determine that the users adopt risky positions while using the smartphone, especially at the moment of writing text messages, so they are exposed to suffer  musculoskeletal injuries like the Text</w:t>
      </w:r>
      <w:r>
        <w:rPr>
          <w:spacing w:val="-12"/>
          <w:sz w:val="18"/>
        </w:rPr>
        <w:t> </w:t>
      </w:r>
      <w:r>
        <w:rPr>
          <w:sz w:val="18"/>
        </w:rPr>
        <w:t>Neck.</w:t>
      </w:r>
    </w:p>
    <w:p>
      <w:pPr>
        <w:spacing w:before="0"/>
        <w:ind w:left="270" w:right="0" w:firstLine="453"/>
        <w:jc w:val="both"/>
        <w:rPr>
          <w:sz w:val="18"/>
        </w:rPr>
      </w:pPr>
      <w:r>
        <w:rPr>
          <w:sz w:val="18"/>
        </w:rPr>
        <w:t>It was not possible to determine if the smartphone cases made the manipulation of the device easier, so that a further more detailed study on the topic would be needed later.</w:t>
      </w:r>
    </w:p>
    <w:p>
      <w:pPr>
        <w:pStyle w:val="BodyText"/>
        <w:rPr>
          <w:sz w:val="18"/>
        </w:rPr>
      </w:pPr>
    </w:p>
    <w:p>
      <w:pPr>
        <w:pStyle w:val="BodyText"/>
        <w:spacing w:before="3"/>
        <w:rPr>
          <w:sz w:val="18"/>
        </w:rPr>
      </w:pPr>
    </w:p>
    <w:p>
      <w:pPr>
        <w:spacing w:line="205" w:lineRule="exact" w:before="0"/>
        <w:ind w:left="270" w:right="118" w:firstLine="0"/>
        <w:jc w:val="left"/>
        <w:rPr>
          <w:b/>
          <w:sz w:val="18"/>
        </w:rPr>
      </w:pPr>
      <w:r>
        <w:rPr>
          <w:b/>
          <w:sz w:val="18"/>
        </w:rPr>
        <w:t>5. REFERENCES</w:t>
      </w:r>
    </w:p>
    <w:p>
      <w:pPr>
        <w:spacing w:line="240" w:lineRule="auto" w:before="0"/>
        <w:ind w:left="270" w:right="37" w:firstLine="0"/>
        <w:jc w:val="left"/>
        <w:rPr>
          <w:sz w:val="18"/>
        </w:rPr>
      </w:pPr>
      <w:r>
        <w:rPr>
          <w:sz w:val="18"/>
        </w:rPr>
        <w:t>[1] Ip, W., 2012, Ergonomics in a changing world, Industrial Engineer, Engineering and Management Solutions at Work, 44(11), p40-44.</w:t>
      </w:r>
    </w:p>
    <w:p>
      <w:pPr>
        <w:spacing w:before="0"/>
        <w:ind w:left="270" w:right="97" w:firstLine="0"/>
        <w:jc w:val="left"/>
        <w:rPr>
          <w:sz w:val="18"/>
        </w:rPr>
      </w:pPr>
      <w:r>
        <w:rPr>
          <w:sz w:val="18"/>
        </w:rPr>
        <w:t>[2] Szyjkowska, A., Gadzicka, E., Szymczak, W., Bortkiewicz, A., 2014, The risk of subjective symptoms in mobile phone users in Poland-An epidemiological study, International Journal of Occupational Medicine &amp; Environmental Health, 27(2), p293-303, DOI: 10.2478/s13382-014-0260-1.</w:t>
      </w:r>
    </w:p>
    <w:p>
      <w:pPr>
        <w:spacing w:before="0"/>
        <w:ind w:left="270" w:right="381" w:firstLine="0"/>
        <w:jc w:val="left"/>
        <w:rPr>
          <w:sz w:val="18"/>
        </w:rPr>
      </w:pPr>
      <w:r>
        <w:rPr>
          <w:sz w:val="18"/>
        </w:rPr>
        <w:t>[3] Fernández, I., 2014, WhatsAppitis, The Lancet, 383(9922), p1040.</w:t>
      </w:r>
    </w:p>
    <w:p>
      <w:pPr>
        <w:spacing w:before="0"/>
        <w:ind w:left="270" w:right="700" w:firstLine="0"/>
        <w:jc w:val="left"/>
        <w:rPr>
          <w:sz w:val="18"/>
        </w:rPr>
      </w:pPr>
      <w:r>
        <w:rPr>
          <w:sz w:val="18"/>
        </w:rPr>
        <w:t>[4] Minter, T., 2013, January 1, Ergonomics &amp; the Mobile Environment, American Society of Safety Engineers.</w:t>
      </w:r>
    </w:p>
    <w:p>
      <w:pPr>
        <w:spacing w:before="0"/>
        <w:ind w:left="270" w:right="55" w:firstLine="0"/>
        <w:jc w:val="left"/>
        <w:rPr>
          <w:sz w:val="18"/>
        </w:rPr>
      </w:pPr>
      <w:r>
        <w:rPr>
          <w:sz w:val="18"/>
        </w:rPr>
        <w:t>[5] ISSSTESON: Instituto de Seguridad y Servicios Sociales de los Trabajadores del Estado de Sonora, April 17 2014, Alerta ISSSTESON por lesiones en tendones por uso prolongado de teléfonos inteligentes, [Online] Recovered from </w:t>
      </w:r>
      <w:hyperlink r:id="rId328">
        <w:r>
          <w:rPr>
            <w:sz w:val="18"/>
          </w:rPr>
          <w:t>http://www.isssteson.gob.mx/index.php/articulos/ver/491</w:t>
        </w:r>
      </w:hyperlink>
    </w:p>
    <w:p>
      <w:pPr>
        <w:spacing w:before="0"/>
        <w:ind w:left="270" w:right="95" w:firstLine="0"/>
        <w:jc w:val="left"/>
        <w:rPr>
          <w:sz w:val="18"/>
        </w:rPr>
      </w:pPr>
      <w:r>
        <w:rPr>
          <w:sz w:val="18"/>
        </w:rPr>
        <w:t>[6] Occupational Safety and Environmental Health. Texting and Smartphone ergonomics, October 25 2014, Recovered from </w:t>
      </w:r>
      <w:hyperlink r:id="rId329">
        <w:r>
          <w:rPr>
            <w:sz w:val="18"/>
          </w:rPr>
          <w:t>http://www.oseh.umich.edu/pdf/ergonomics/Texting%20and%20S</w:t>
        </w:r>
      </w:hyperlink>
      <w:r>
        <w:rPr>
          <w:sz w:val="18"/>
        </w:rPr>
        <w:t> martphone%20Ergonomics.pdf</w:t>
      </w:r>
    </w:p>
    <w:p>
      <w:pPr>
        <w:spacing w:before="0"/>
        <w:ind w:left="270" w:right="150" w:firstLine="0"/>
        <w:jc w:val="left"/>
        <w:rPr>
          <w:sz w:val="18"/>
        </w:rPr>
      </w:pPr>
      <w:r>
        <w:rPr>
          <w:sz w:val="18"/>
        </w:rPr>
        <w:t>[7] Duggan, M., Rainie, L., 2012, Cell phone activities 2012, Pew Internet and American Life Project, Washington, D.C.</w:t>
      </w:r>
    </w:p>
    <w:p>
      <w:pPr>
        <w:spacing w:before="0"/>
        <w:ind w:left="270" w:right="1" w:firstLine="0"/>
        <w:jc w:val="left"/>
        <w:rPr>
          <w:sz w:val="18"/>
        </w:rPr>
      </w:pPr>
      <w:r>
        <w:rPr>
          <w:sz w:val="18"/>
        </w:rPr>
        <w:t>[8] Trudeau, M., Young, J., Jindrich, D., Dennerlein J., 2012, Thumb motor performance is greater for two-handed grip compared to single-handed grip on a mobile phone, Proceedings of the human factors and ergonomics society annual meeting, 56(1), 1887-1891 DOI: 10.1177/1071181312561274.</w:t>
      </w:r>
    </w:p>
    <w:p>
      <w:pPr>
        <w:spacing w:before="0"/>
        <w:ind w:left="270" w:right="153" w:firstLine="0"/>
        <w:jc w:val="left"/>
        <w:rPr>
          <w:sz w:val="18"/>
        </w:rPr>
      </w:pPr>
      <w:r>
        <w:rPr>
          <w:sz w:val="18"/>
        </w:rPr>
        <w:t>[9] Deepak, S., Ajeesh, P., 2012, Risk factors and clinical features of text message injuries, IOS Press, 41(1), 1145-1148 DOI: 10.3233/WOR-2012-0294-1145.</w:t>
      </w:r>
    </w:p>
    <w:p>
      <w:pPr>
        <w:spacing w:before="0"/>
        <w:ind w:left="270" w:right="646" w:firstLine="0"/>
        <w:jc w:val="left"/>
        <w:rPr>
          <w:sz w:val="18"/>
        </w:rPr>
      </w:pPr>
      <w:r>
        <w:rPr>
          <w:sz w:val="18"/>
        </w:rPr>
        <w:t>[10] Eapen, C., Kumar, B., Bhat, AK., 2010, Prevalence of cumulative trauma disorders in cell phone users, Journal of Musculoskeletal Research, 13(3), p137-145, DOI: 10.1142/S0218957710002545.</w:t>
      </w:r>
    </w:p>
    <w:p>
      <w:pPr>
        <w:spacing w:before="0"/>
        <w:ind w:left="270" w:right="15" w:firstLine="0"/>
        <w:jc w:val="left"/>
        <w:rPr>
          <w:sz w:val="18"/>
        </w:rPr>
      </w:pPr>
      <w:r>
        <w:rPr>
          <w:sz w:val="18"/>
        </w:rPr>
        <w:t>[11] Ali, M., Asim, M., Danish, SH., Ahmad, F., Iqbal, A., Hasan, SD., 2014, Frequency of De Quervain’s tenosynovitis and its association with SMS texting, Muscles Ligaments Tendons J., 2014 May 8, 4(1), 74-78.</w:t>
      </w:r>
    </w:p>
    <w:p>
      <w:pPr>
        <w:spacing w:before="0"/>
        <w:ind w:left="270" w:right="246" w:firstLine="0"/>
        <w:jc w:val="left"/>
        <w:rPr>
          <w:sz w:val="18"/>
        </w:rPr>
      </w:pPr>
      <w:r>
        <w:rPr>
          <w:sz w:val="18"/>
        </w:rPr>
        <w:t>[12] Trudeau, MB., Sunderland, EM., Jindrich, DL., Dennerlein, JT., 2014, A Data-Driven Design Evaluation Tool for Handheld Device Soft Keyboards, PLoS ONE, 9(9): e107070, DOI:10.1371/journal.pone.0107070.</w:t>
      </w:r>
    </w:p>
    <w:p>
      <w:pPr>
        <w:spacing w:before="0"/>
        <w:ind w:left="270" w:right="96" w:firstLine="0"/>
        <w:jc w:val="left"/>
        <w:rPr>
          <w:sz w:val="18"/>
        </w:rPr>
      </w:pPr>
      <w:r>
        <w:rPr>
          <w:sz w:val="18"/>
        </w:rPr>
        <w:t>[13] Mayo Clinic Health Letter, 2013, Avoid sleep difficulties associated with mobile devices, Mayo clinic Health Letter, 31(11), p4.</w:t>
      </w:r>
    </w:p>
    <w:p>
      <w:pPr>
        <w:spacing w:before="0"/>
        <w:ind w:left="270" w:right="200" w:firstLine="0"/>
        <w:jc w:val="left"/>
        <w:rPr>
          <w:sz w:val="18"/>
        </w:rPr>
      </w:pPr>
      <w:r>
        <w:rPr>
          <w:sz w:val="18"/>
        </w:rPr>
        <w:t>[14] Wood, B. Rea, M., Plitnick, B. y Figueiro, M., 2013, Light level and duration of exposure determine the impact of self- luminous tablets on melatonin suppression, Applied Ergonomics, 44, p237-240.</w:t>
      </w:r>
    </w:p>
    <w:p>
      <w:pPr>
        <w:spacing w:before="0"/>
        <w:ind w:left="270" w:right="203" w:firstLine="0"/>
        <w:jc w:val="left"/>
        <w:rPr>
          <w:sz w:val="18"/>
        </w:rPr>
      </w:pPr>
      <w:r>
        <w:rPr>
          <w:sz w:val="18"/>
        </w:rPr>
        <w:t>[15] Wood, L., 2013, Mobile's new ergonomics, Computerworld, 47(20), p19-21.</w:t>
      </w:r>
    </w:p>
    <w:p>
      <w:pPr>
        <w:spacing w:before="77"/>
        <w:ind w:left="270" w:right="687" w:firstLine="0"/>
        <w:jc w:val="left"/>
        <w:rPr>
          <w:sz w:val="18"/>
        </w:rPr>
      </w:pPr>
      <w:r>
        <w:rPr/>
        <w:br w:type="column"/>
      </w:r>
      <w:r>
        <w:rPr>
          <w:sz w:val="18"/>
        </w:rPr>
        <w:t>[16] Hansraj, K., 2014, Assessment of stresses in the cervical spine caused by posture and position of the head, Surgical technology international, 25, 277-279.</w:t>
      </w:r>
    </w:p>
    <w:p>
      <w:pPr>
        <w:spacing w:before="0"/>
        <w:ind w:left="270" w:right="702" w:firstLine="0"/>
        <w:jc w:val="left"/>
        <w:rPr>
          <w:sz w:val="18"/>
        </w:rPr>
      </w:pPr>
      <w:r>
        <w:rPr>
          <w:sz w:val="18"/>
        </w:rPr>
        <w:t>[17] Stawarz, K. y Benedyk, R., 2013, Bent necks and twisted wrists: Exploring the impact of touch-screen tablets on the posture of office workers, The 27th International British Computer Society Human Computer Interaction Conference: The Internet of things, London, England.</w:t>
      </w:r>
    </w:p>
    <w:p>
      <w:pPr>
        <w:spacing w:before="0"/>
        <w:ind w:left="270" w:right="691" w:firstLine="0"/>
        <w:jc w:val="left"/>
        <w:rPr>
          <w:sz w:val="18"/>
        </w:rPr>
      </w:pPr>
      <w:r>
        <w:rPr>
          <w:sz w:val="18"/>
        </w:rPr>
        <w:t>[18] Environmental Health and Safety, 2013, Ergonomics Guidance for Mobile Devices, Sanford University, Recovered</w:t>
      </w:r>
      <w:r>
        <w:rPr>
          <w:spacing w:val="-28"/>
          <w:sz w:val="18"/>
        </w:rPr>
        <w:t> </w:t>
      </w:r>
      <w:r>
        <w:rPr>
          <w:sz w:val="18"/>
        </w:rPr>
        <w:t>from https://web.stanford.edu/dept/EHS/prod/general/ergo/documents/la ptop_guide.pdf.</w:t>
      </w:r>
    </w:p>
    <w:p>
      <w:pPr>
        <w:spacing w:before="0"/>
        <w:ind w:left="270" w:right="1017" w:firstLine="0"/>
        <w:jc w:val="left"/>
        <w:rPr>
          <w:sz w:val="18"/>
        </w:rPr>
      </w:pPr>
      <w:r>
        <w:rPr>
          <w:sz w:val="18"/>
        </w:rPr>
        <w:t>[19] Directorate-General for Employment, Social Affairs and Inclusion, 2010, The increasing use of portable computing and communication devices and its impact on the health of EU workers, Luxembourg, European Commission, DOI: 10.2767/29806.</w:t>
      </w:r>
    </w:p>
    <w:p>
      <w:pPr>
        <w:spacing w:before="0"/>
        <w:ind w:left="270" w:right="743" w:firstLine="0"/>
        <w:jc w:val="left"/>
        <w:rPr>
          <w:sz w:val="18"/>
        </w:rPr>
      </w:pPr>
      <w:r>
        <w:rPr>
          <w:sz w:val="18"/>
        </w:rPr>
        <w:t>[20] Fowler, G., 2014, Find the Best Phone-Screen Size for You, The Wall Street Journal, March 26, 2014, Recovered from </w:t>
      </w:r>
      <w:hyperlink r:id="rId330">
        <w:r>
          <w:rPr>
            <w:sz w:val="18"/>
          </w:rPr>
          <w:t>http://www.wsj.com/articles/how-to-find-the-phone-that-fits-your-</w:t>
        </w:r>
      </w:hyperlink>
      <w:r>
        <w:rPr>
          <w:sz w:val="18"/>
        </w:rPr>
        <w:t> hand-1395795606.</w:t>
      </w:r>
    </w:p>
    <w:p>
      <w:pPr>
        <w:spacing w:before="0"/>
        <w:ind w:left="270" w:right="1272" w:firstLine="0"/>
        <w:jc w:val="both"/>
        <w:rPr>
          <w:sz w:val="18"/>
        </w:rPr>
      </w:pPr>
      <w:r>
        <w:rPr>
          <w:sz w:val="18"/>
        </w:rPr>
        <w:t>[21] Cornell University Ergonomics Web, 30, March 2015, Ergonomics: Human-Centered Design, Cornell University, Recovered from </w:t>
      </w:r>
      <w:hyperlink r:id="rId331">
        <w:r>
          <w:rPr>
            <w:sz w:val="18"/>
          </w:rPr>
          <w:t>http://ergo.human.cornell.edu.</w:t>
        </w:r>
      </w:hyperlink>
    </w:p>
    <w:p>
      <w:pPr>
        <w:spacing w:before="0"/>
        <w:ind w:left="270" w:right="721" w:firstLine="0"/>
        <w:jc w:val="left"/>
        <w:rPr>
          <w:sz w:val="18"/>
        </w:rPr>
      </w:pPr>
      <w:r>
        <w:rPr>
          <w:sz w:val="18"/>
        </w:rPr>
        <w:t>[22] Greiner, TM,. Hand Anthropometry of U. S. Army Personnel, Massachusetts, 1991.</w:t>
      </w:r>
    </w:p>
    <w:p>
      <w:pPr>
        <w:pStyle w:val="BodyText"/>
        <w:rPr>
          <w:sz w:val="18"/>
        </w:rPr>
      </w:pPr>
    </w:p>
    <w:p>
      <w:pPr>
        <w:spacing w:before="0"/>
        <w:ind w:left="270" w:right="676" w:firstLine="0"/>
        <w:jc w:val="both"/>
        <w:rPr>
          <w:sz w:val="18"/>
        </w:rPr>
      </w:pPr>
      <w:r>
        <w:rPr>
          <w:b/>
          <w:sz w:val="18"/>
        </w:rPr>
        <w:t>Edith Ivonne Martínez Salazar: </w:t>
      </w:r>
      <w:r>
        <w:rPr>
          <w:sz w:val="18"/>
        </w:rPr>
        <w:t>She attends undergraduate studies at the Instituto Tecnologico de Cd. Madero in Mexico, where she pursues the degree of Bachelor of Sciences with a major in Industrial Engineering. She is an active member of the Institute of Industrial Engineer Chapter 965.</w:t>
      </w:r>
    </w:p>
    <w:p>
      <w:pPr>
        <w:pStyle w:val="BodyText"/>
        <w:rPr>
          <w:sz w:val="18"/>
        </w:rPr>
      </w:pPr>
    </w:p>
    <w:p>
      <w:pPr>
        <w:spacing w:before="0"/>
        <w:ind w:left="270" w:right="675" w:firstLine="0"/>
        <w:jc w:val="both"/>
        <w:rPr>
          <w:sz w:val="18"/>
        </w:rPr>
      </w:pPr>
      <w:r>
        <w:rPr>
          <w:b/>
          <w:sz w:val="18"/>
        </w:rPr>
        <w:t>Juana Esmeralda Castillo Hernández: </w:t>
      </w:r>
      <w:r>
        <w:rPr>
          <w:sz w:val="18"/>
        </w:rPr>
        <w:t>She attends  undergraduate studies at the Instituto Tecnologico de Cd. Madero in Mexico, where she pursues the degree of Bachelor of Sciences with a major in Industrial Engineering. She is an active member of the Institute of Industrial Engineer Chapter</w:t>
      </w:r>
      <w:r>
        <w:rPr>
          <w:spacing w:val="-9"/>
          <w:sz w:val="18"/>
        </w:rPr>
        <w:t> </w:t>
      </w:r>
      <w:r>
        <w:rPr>
          <w:sz w:val="18"/>
        </w:rPr>
        <w:t>965.</w:t>
      </w:r>
    </w:p>
    <w:p>
      <w:pPr>
        <w:pStyle w:val="BodyText"/>
        <w:rPr>
          <w:sz w:val="18"/>
        </w:rPr>
      </w:pPr>
    </w:p>
    <w:p>
      <w:pPr>
        <w:spacing w:before="0"/>
        <w:ind w:left="270" w:right="675" w:firstLine="0"/>
        <w:jc w:val="both"/>
        <w:rPr>
          <w:sz w:val="18"/>
        </w:rPr>
      </w:pPr>
      <w:r>
        <w:rPr>
          <w:b/>
          <w:sz w:val="18"/>
        </w:rPr>
        <w:t>Jorge Alberto Gálvez Choy: </w:t>
      </w:r>
      <w:r>
        <w:rPr>
          <w:sz w:val="18"/>
        </w:rPr>
        <w:t>He is a full time professor of engineering at the Instituto Tecnologico de Cd. Madero where he teaches both basic and advanced research workshops. He is author and coauthor of papers regarding ergonomics, logistics and engineering education.</w:t>
      </w:r>
    </w:p>
    <w:p>
      <w:pPr>
        <w:pStyle w:val="BodyText"/>
        <w:spacing w:before="10"/>
        <w:rPr>
          <w:sz w:val="17"/>
        </w:rPr>
      </w:pPr>
    </w:p>
    <w:p>
      <w:pPr>
        <w:spacing w:before="0"/>
        <w:ind w:left="270" w:right="675" w:firstLine="0"/>
        <w:jc w:val="both"/>
        <w:rPr>
          <w:sz w:val="18"/>
        </w:rPr>
      </w:pPr>
      <w:r>
        <w:rPr>
          <w:b/>
          <w:sz w:val="18"/>
        </w:rPr>
        <w:t>Valeria Treviño Rodríguez: </w:t>
      </w:r>
      <w:r>
        <w:rPr>
          <w:sz w:val="18"/>
        </w:rPr>
        <w:t>She attends undergraduate studies at the Instituto Tecnologico de Cd. Madero in Mexico, where she pursues the degree of Bachelor of Sciences with a major in Industrial Engineering. She is an active member of the Institute of Industrial Engineer Chapter 965</w:t>
      </w:r>
    </w:p>
    <w:p>
      <w:pPr>
        <w:spacing w:after="0"/>
        <w:jc w:val="both"/>
        <w:rPr>
          <w:sz w:val="18"/>
        </w:rPr>
        <w:sectPr>
          <w:type w:val="continuous"/>
          <w:pgSz w:w="12240" w:h="15840"/>
          <w:pgMar w:top="1500" w:bottom="280" w:left="580" w:right="220"/>
          <w:cols w:num="2" w:equalWidth="0">
            <w:col w:w="5190" w:space="434"/>
            <w:col w:w="5816"/>
          </w:cols>
        </w:sectPr>
      </w:pPr>
    </w:p>
    <w:p>
      <w:pPr>
        <w:pStyle w:val="BodyText"/>
        <w:rPr>
          <w:sz w:val="11"/>
        </w:rPr>
      </w:pPr>
    </w:p>
    <w:p>
      <w:pPr>
        <w:spacing w:after="0"/>
        <w:rPr>
          <w:sz w:val="11"/>
        </w:rPr>
        <w:sectPr>
          <w:pgSz w:w="12240" w:h="15840"/>
          <w:pgMar w:header="545" w:footer="852" w:top="1060" w:bottom="1040" w:left="580" w:right="220"/>
        </w:sectPr>
      </w:pPr>
    </w:p>
    <w:p>
      <w:pPr>
        <w:pStyle w:val="BodyText"/>
        <w:spacing w:before="10"/>
        <w:rPr>
          <w:sz w:val="24"/>
        </w:rPr>
      </w:pPr>
    </w:p>
    <w:p>
      <w:pPr>
        <w:spacing w:before="1"/>
        <w:ind w:left="270" w:right="17" w:firstLine="0"/>
        <w:jc w:val="both"/>
        <w:rPr>
          <w:b/>
          <w:sz w:val="18"/>
        </w:rPr>
      </w:pPr>
      <w:r>
        <w:rPr>
          <w:b/>
          <w:sz w:val="18"/>
        </w:rPr>
        <w:t>Recommendation to Improve the Multipliers of Job Strain Index</w:t>
      </w:r>
    </w:p>
    <w:p>
      <w:pPr>
        <w:pStyle w:val="BodyText"/>
        <w:spacing w:before="7"/>
        <w:rPr>
          <w:b/>
          <w:sz w:val="17"/>
        </w:rPr>
      </w:pPr>
    </w:p>
    <w:p>
      <w:pPr>
        <w:spacing w:before="1"/>
        <w:ind w:left="270" w:right="17" w:firstLine="0"/>
        <w:jc w:val="both"/>
        <w:rPr>
          <w:i/>
          <w:sz w:val="18"/>
        </w:rPr>
      </w:pPr>
      <w:r>
        <w:rPr>
          <w:i/>
          <w:sz w:val="18"/>
        </w:rPr>
        <w:t>Dr. Pedro Wriu Valenzuela; Lucero García Alvarado; Maricela </w:t>
      </w:r>
      <w:r>
        <w:rPr>
          <w:i/>
          <w:sz w:val="18"/>
        </w:rPr>
        <w:t>Yépez Hernández; Luis Gracia González; Perla García Picazo; Rosendo Alvarado Carrillo.</w:t>
      </w:r>
    </w:p>
    <w:p>
      <w:pPr>
        <w:pStyle w:val="BodyText"/>
        <w:spacing w:before="10"/>
        <w:rPr>
          <w:i/>
          <w:sz w:val="15"/>
        </w:rPr>
      </w:pPr>
    </w:p>
    <w:p>
      <w:pPr>
        <w:spacing w:line="231" w:lineRule="exact" w:before="0"/>
        <w:ind w:left="270" w:right="0" w:firstLine="0"/>
        <w:jc w:val="both"/>
        <w:rPr>
          <w:sz w:val="18"/>
        </w:rPr>
      </w:pPr>
      <w:r>
        <w:rPr>
          <w:position w:val="8"/>
          <w:sz w:val="12"/>
        </w:rPr>
        <w:t>a     </w:t>
      </w:r>
      <w:r>
        <w:rPr>
          <w:sz w:val="18"/>
        </w:rPr>
        <w:t>Maestro   de   Ergonomía   UANE.    </w:t>
      </w:r>
      <w:hyperlink r:id="rId332">
        <w:r>
          <w:rPr>
            <w:color w:val="0000FF"/>
            <w:sz w:val="18"/>
            <w:u w:val="single" w:color="0000FF"/>
          </w:rPr>
          <w:t>pedrowriu@yahoo.com.mx</w:t>
        </w:r>
        <w:r>
          <w:rPr>
            <w:sz w:val="18"/>
          </w:rPr>
          <w:t>.</w:t>
        </w:r>
      </w:hyperlink>
    </w:p>
    <w:p>
      <w:pPr>
        <w:spacing w:line="195" w:lineRule="exact" w:before="0"/>
        <w:ind w:left="270" w:right="0" w:firstLine="0"/>
        <w:jc w:val="both"/>
        <w:rPr>
          <w:sz w:val="18"/>
        </w:rPr>
      </w:pPr>
      <w:r>
        <w:rPr>
          <w:sz w:val="18"/>
        </w:rPr>
        <w:t>Monterrey NL</w:t>
      </w:r>
    </w:p>
    <w:p>
      <w:pPr>
        <w:spacing w:line="206" w:lineRule="exact" w:before="15"/>
        <w:ind w:left="270" w:right="0" w:firstLine="0"/>
        <w:jc w:val="both"/>
        <w:rPr>
          <w:sz w:val="18"/>
        </w:rPr>
      </w:pPr>
      <w:r>
        <w:rPr>
          <w:position w:val="8"/>
          <w:sz w:val="12"/>
        </w:rPr>
        <w:t>b-e </w:t>
      </w:r>
      <w:r>
        <w:rPr>
          <w:sz w:val="18"/>
        </w:rPr>
        <w:t>Alumnos Maestria en Salud Ocupacional UANE Campus Matamoros</w:t>
      </w:r>
    </w:p>
    <w:p>
      <w:pPr>
        <w:tabs>
          <w:tab w:pos="3485" w:val="left" w:leader="none"/>
        </w:tabs>
        <w:spacing w:line="240" w:lineRule="auto" w:before="0"/>
        <w:ind w:left="270" w:right="0" w:firstLine="0"/>
        <w:jc w:val="both"/>
        <w:rPr>
          <w:sz w:val="18"/>
        </w:rPr>
      </w:pPr>
      <w:r>
        <w:rPr>
          <w:color w:val="0000FF"/>
          <w:sz w:val="18"/>
          <w:u w:val="single" w:color="0000FF"/>
        </w:rPr>
        <w:t>lugarcia.alv@gmail.com</w:t>
      </w:r>
      <w:r>
        <w:rPr>
          <w:sz w:val="18"/>
        </w:rPr>
        <w:t>;</w:t>
        <w:tab/>
      </w:r>
      <w:r>
        <w:rPr>
          <w:color w:val="0000FF"/>
          <w:sz w:val="18"/>
          <w:u w:val="single" w:color="0000FF"/>
        </w:rPr>
        <w:t>yepez_1@hotmail.com</w:t>
      </w:r>
      <w:r>
        <w:rPr>
          <w:sz w:val="18"/>
        </w:rPr>
        <w:t>; </w:t>
      </w:r>
      <w:r>
        <w:rPr>
          <w:color w:val="0000FF"/>
          <w:sz w:val="18"/>
          <w:u w:val="single" w:color="0000FF"/>
        </w:rPr>
        <w:t>luis_gragon@hotmail.com</w:t>
      </w:r>
      <w:r>
        <w:rPr>
          <w:sz w:val="18"/>
        </w:rPr>
        <w:t>;</w:t>
      </w:r>
      <w:r>
        <w:rPr>
          <w:spacing w:val="-7"/>
          <w:sz w:val="18"/>
        </w:rPr>
        <w:t> </w:t>
      </w:r>
      <w:r>
        <w:rPr>
          <w:color w:val="0000FF"/>
          <w:sz w:val="18"/>
          <w:u w:val="single" w:color="0000FF"/>
        </w:rPr>
        <w:t>dralvaradocarrillo@hotmial.com</w:t>
      </w:r>
      <w:r>
        <w:rPr>
          <w:sz w:val="18"/>
        </w:rPr>
        <w:t>;</w:t>
      </w:r>
    </w:p>
    <w:p>
      <w:pPr>
        <w:pStyle w:val="BodyText"/>
        <w:spacing w:before="4"/>
        <w:rPr>
          <w:sz w:val="18"/>
        </w:rPr>
      </w:pPr>
    </w:p>
    <w:p>
      <w:pPr>
        <w:spacing w:before="1"/>
        <w:ind w:left="270" w:right="0" w:firstLine="0"/>
        <w:jc w:val="both"/>
        <w:rPr>
          <w:b/>
          <w:sz w:val="18"/>
        </w:rPr>
      </w:pPr>
      <w:r>
        <w:rPr/>
        <w:pict>
          <v:line style="position:absolute;mso-position-horizontal-relative:page;mso-position-vertical-relative:paragraph;z-index:9232" from="41.040001pt,12.142073pt" to="289.860001pt,12.142073pt" stroked="true" strokeweight="1.5pt" strokecolor="#000000">
            <w10:wrap type="none"/>
          </v:line>
        </w:pict>
      </w:r>
      <w:r>
        <w:rPr>
          <w:b/>
          <w:sz w:val="18"/>
        </w:rPr>
        <w:t>Resumen</w:t>
      </w:r>
    </w:p>
    <w:p>
      <w:pPr>
        <w:spacing w:before="45"/>
        <w:ind w:left="270" w:right="15" w:firstLine="0"/>
        <w:jc w:val="both"/>
        <w:rPr>
          <w:sz w:val="18"/>
        </w:rPr>
      </w:pPr>
      <w:r>
        <w:rPr>
          <w:sz w:val="18"/>
        </w:rPr>
        <w:t>El Método Job Strain Index es una herramienta ergonómica ampliamente utilizada. Debido a que los resultados de la aplicación del método son bajos (menos de 3, el trabajo es seguro, de 3 a 7 es moderado y arriba de 7 es alto) y al momento de aplicarlos en la estación de trabajo, los resultado son muy elevados, se pretende valorar si los multiplicadores de las 6 variables son correctas o se pueden modificar para tener un resultado más real. Se evaluaron 60 puestos de trabajo en video. Los resultados mostraron que un 90% de los puestos de trabajo se encuentran por arriba del valor tolerable (arriba de 7), con cifras variables (mínima 9 y la máxima 243), los resultados mayores al doble del valor tolerable representan el 87%, es importante mencionar que el 88% de los valores del multiplicador de intensidad del ejercicio se encuentran en los multiplicadores de 3 y 6. Debido a esta situación, se sugiere modificar los resultados de JSI a valores más manejables y creíbles, con intervalos de 0.5 en el multiplicador de la intensidad del ejercicio.</w:t>
      </w:r>
    </w:p>
    <w:p>
      <w:pPr>
        <w:pStyle w:val="BodyText"/>
        <w:rPr>
          <w:sz w:val="18"/>
        </w:rPr>
      </w:pPr>
    </w:p>
    <w:p>
      <w:pPr>
        <w:spacing w:before="0"/>
        <w:ind w:left="270" w:right="19" w:firstLine="0"/>
        <w:jc w:val="both"/>
        <w:rPr>
          <w:sz w:val="18"/>
        </w:rPr>
      </w:pPr>
      <w:r>
        <w:rPr>
          <w:b/>
          <w:sz w:val="18"/>
        </w:rPr>
        <w:t>Palabras clave</w:t>
      </w:r>
      <w:r>
        <w:rPr>
          <w:sz w:val="18"/>
        </w:rPr>
        <w:t>—Job Strain Index, Movimiento repetitivo, Multiplicadores.</w:t>
      </w:r>
    </w:p>
    <w:p>
      <w:pPr>
        <w:pStyle w:val="BodyText"/>
        <w:spacing w:before="6"/>
        <w:rPr>
          <w:sz w:val="18"/>
        </w:rPr>
      </w:pPr>
    </w:p>
    <w:p>
      <w:pPr>
        <w:spacing w:before="0"/>
        <w:ind w:left="270" w:right="0" w:firstLine="0"/>
        <w:jc w:val="both"/>
        <w:rPr>
          <w:b/>
          <w:i/>
          <w:sz w:val="18"/>
        </w:rPr>
      </w:pPr>
      <w:r>
        <w:rPr/>
        <w:pict>
          <v:line style="position:absolute;mso-position-horizontal-relative:page;mso-position-vertical-relative:paragraph;z-index:9256" from="41.040001pt,12.032346pt" to="289.860001pt,12.032346pt" stroked="true" strokeweight="1.5pt" strokecolor="#000000">
            <w10:wrap type="none"/>
          </v:line>
        </w:pict>
      </w:r>
      <w:r>
        <w:rPr>
          <w:b/>
          <w:i/>
          <w:sz w:val="18"/>
        </w:rPr>
        <w:t>Abstract</w:t>
      </w:r>
    </w:p>
    <w:p>
      <w:pPr>
        <w:spacing w:before="44"/>
        <w:ind w:left="270" w:right="16" w:firstLine="0"/>
        <w:jc w:val="both"/>
        <w:rPr>
          <w:i/>
          <w:sz w:val="18"/>
        </w:rPr>
      </w:pPr>
      <w:r>
        <w:rPr>
          <w:i/>
          <w:sz w:val="18"/>
        </w:rPr>
        <w:t>The Job Strain Index method is an ergonomic tool widely used. Due </w:t>
      </w:r>
      <w:r>
        <w:rPr>
          <w:i/>
          <w:sz w:val="18"/>
        </w:rPr>
        <w:t>to the results of the application of the method are low (less than 3, the job is secure, 3-7 is the job is moderate and above 7 the job is high) and when to apply them in the workstation, the results are very high, the aim of the study was to assess whether the multipliers of the 6 variables are correct or can be modified to have a result of the Job Strain Index more in line with the reality. The study was to evaluate the repetitive movements in 60 jobs in video. The results showed that 90% of jobs are above the tolerable value (above 7), with variables (minimum 9 to maximum 243), the higher results than twice the tolerable value representing 87%; in addition, is important to mentioned that 88% of current multiplier values are in multipliers 3 and 6. As a result of this situation, we suggested to modify the results of JSI to more manageable and credible values. With intervals of 0.5  in the multipliers  of the intensity</w:t>
      </w:r>
      <w:r>
        <w:rPr>
          <w:i/>
          <w:spacing w:val="-21"/>
          <w:sz w:val="18"/>
        </w:rPr>
        <w:t> </w:t>
      </w:r>
      <w:r>
        <w:rPr>
          <w:i/>
          <w:sz w:val="18"/>
        </w:rPr>
        <w:t>exercise.</w:t>
      </w:r>
    </w:p>
    <w:p>
      <w:pPr>
        <w:pStyle w:val="BodyText"/>
        <w:rPr>
          <w:i/>
          <w:sz w:val="18"/>
        </w:rPr>
      </w:pPr>
    </w:p>
    <w:p>
      <w:pPr>
        <w:spacing w:before="0"/>
        <w:ind w:left="270" w:right="0" w:firstLine="0"/>
        <w:jc w:val="both"/>
        <w:rPr>
          <w:i/>
          <w:sz w:val="18"/>
        </w:rPr>
      </w:pPr>
      <w:r>
        <w:rPr>
          <w:b/>
          <w:i/>
          <w:sz w:val="18"/>
        </w:rPr>
        <w:t>Keywords</w:t>
      </w:r>
      <w:r>
        <w:rPr>
          <w:i/>
          <w:sz w:val="18"/>
        </w:rPr>
        <w:t>— Job Strain Index, Repetitive Motion, Multipliers</w:t>
      </w:r>
    </w:p>
    <w:p>
      <w:pPr>
        <w:pStyle w:val="BodyText"/>
        <w:rPr>
          <w:i/>
          <w:sz w:val="18"/>
        </w:rPr>
      </w:pPr>
    </w:p>
    <w:p>
      <w:pPr>
        <w:spacing w:before="0"/>
        <w:ind w:left="270" w:right="0" w:firstLine="0"/>
        <w:jc w:val="both"/>
        <w:rPr>
          <w:sz w:val="18"/>
        </w:rPr>
      </w:pPr>
      <w:r>
        <w:rPr>
          <w:sz w:val="18"/>
        </w:rPr>
        <w:t>Relevance to Ergonomics:</w:t>
      </w:r>
    </w:p>
    <w:p>
      <w:pPr>
        <w:spacing w:before="0"/>
        <w:ind w:left="270" w:right="16" w:firstLine="0"/>
        <w:jc w:val="both"/>
        <w:rPr>
          <w:sz w:val="18"/>
        </w:rPr>
      </w:pPr>
      <w:r>
        <w:rPr>
          <w:sz w:val="18"/>
        </w:rPr>
        <w:t>Offer more realistic values for the JSI method and improve the preventing injuries from repetitive ergonomic factors in workstations.</w:t>
      </w:r>
    </w:p>
    <w:p>
      <w:pPr>
        <w:pStyle w:val="BodyText"/>
        <w:spacing w:before="3"/>
        <w:rPr>
          <w:sz w:val="18"/>
        </w:rPr>
      </w:pPr>
    </w:p>
    <w:p>
      <w:pPr>
        <w:pStyle w:val="ListParagraph"/>
        <w:numPr>
          <w:ilvl w:val="0"/>
          <w:numId w:val="80"/>
        </w:numPr>
        <w:tabs>
          <w:tab w:pos="452" w:val="left" w:leader="none"/>
        </w:tabs>
        <w:spacing w:line="240" w:lineRule="auto" w:before="0" w:after="0"/>
        <w:ind w:left="451" w:right="0" w:hanging="181"/>
        <w:jc w:val="both"/>
        <w:rPr>
          <w:b/>
          <w:sz w:val="18"/>
        </w:rPr>
      </w:pPr>
      <w:r>
        <w:rPr>
          <w:b/>
          <w:sz w:val="18"/>
        </w:rPr>
        <w:t>INTRODUCTION</w:t>
      </w:r>
    </w:p>
    <w:p>
      <w:pPr>
        <w:spacing w:before="77"/>
        <w:ind w:left="270" w:right="676" w:firstLine="0"/>
        <w:jc w:val="both"/>
        <w:rPr>
          <w:sz w:val="18"/>
        </w:rPr>
      </w:pPr>
      <w:r>
        <w:rPr/>
        <w:br w:type="column"/>
      </w:r>
      <w:r>
        <w:rPr>
          <w:sz w:val="18"/>
        </w:rPr>
        <w:t>The Job Strain Index method (JSI) is an ergonomic method for evaluating workstations for determining whether the workers who occupied them, are exposed to developing skeletal muscle injuries of the distal upper extremity due to repetitive movements, which means making the same thing over and over again, Kilbom considers to be repetitive motion if the shoulder moves more than 3 times per minute, elbow/wrist more than 10 times per minute and the fingers more than 200. The JSI the product of 6 factors calculated by multiplying the intensity of effort, duration of effort, efforts per minute, hand/wrist posture, work rate and duration per day for the task. And where the valuation of the score or outcome is measured according to the following criteria: less than 3 indicate that the task is safe, of 3-7 is moderate and above 7 indicates that the task is</w:t>
      </w:r>
      <w:r>
        <w:rPr>
          <w:spacing w:val="-3"/>
          <w:sz w:val="18"/>
        </w:rPr>
        <w:t> </w:t>
      </w:r>
      <w:r>
        <w:rPr>
          <w:sz w:val="18"/>
        </w:rPr>
        <w:t>dangerous.</w:t>
      </w:r>
    </w:p>
    <w:p>
      <w:pPr>
        <w:spacing w:before="0"/>
        <w:ind w:left="270" w:right="676" w:firstLine="0"/>
        <w:jc w:val="both"/>
        <w:rPr>
          <w:sz w:val="18"/>
        </w:rPr>
      </w:pPr>
      <w:r>
        <w:rPr>
          <w:sz w:val="18"/>
        </w:rPr>
        <w:t>The repetitive motion can cause a musculoskeletal pathology, called the Carpal Tunnel Syndrome (CTS), which is the  entrapment of the median nerve in the carpal tunnel at the wrist. The STC may be caused and aggravated by work. Clinical data may include pain, numbness in the hand, thumb, index and middle and loss of sensation. The signs of Flick, Phalen and Tinnel’s test positive are characteristic of</w:t>
      </w:r>
      <w:r>
        <w:rPr>
          <w:spacing w:val="-11"/>
          <w:sz w:val="18"/>
        </w:rPr>
        <w:t> </w:t>
      </w:r>
      <w:r>
        <w:rPr>
          <w:sz w:val="18"/>
        </w:rPr>
        <w:t>STC.</w:t>
      </w:r>
    </w:p>
    <w:p>
      <w:pPr>
        <w:spacing w:before="0"/>
        <w:ind w:left="270" w:right="676" w:firstLine="0"/>
        <w:jc w:val="both"/>
        <w:rPr>
          <w:sz w:val="18"/>
        </w:rPr>
      </w:pPr>
      <w:r>
        <w:rPr>
          <w:sz w:val="18"/>
        </w:rPr>
        <w:t>The current values of JSI are: light intensity (1), a little hard (3), hard (6), very hard (9), close to maximum (12). Due to such a wide range in intensity multiplier task of JSI, which offers very high performance method, this study was conducted with the aim of offering values more adequate to the reality in the companies in Mexico.</w:t>
      </w:r>
    </w:p>
    <w:p>
      <w:pPr>
        <w:pStyle w:val="BodyText"/>
        <w:spacing w:before="3"/>
        <w:rPr>
          <w:sz w:val="18"/>
        </w:rPr>
      </w:pPr>
    </w:p>
    <w:p>
      <w:pPr>
        <w:pStyle w:val="ListParagraph"/>
        <w:numPr>
          <w:ilvl w:val="0"/>
          <w:numId w:val="80"/>
        </w:numPr>
        <w:tabs>
          <w:tab w:pos="452" w:val="left" w:leader="none"/>
        </w:tabs>
        <w:spacing w:line="240" w:lineRule="auto" w:before="0" w:after="0"/>
        <w:ind w:left="451" w:right="0" w:hanging="181"/>
        <w:jc w:val="both"/>
        <w:rPr>
          <w:b/>
          <w:sz w:val="18"/>
        </w:rPr>
      </w:pPr>
      <w:r>
        <w:rPr>
          <w:b/>
          <w:sz w:val="18"/>
        </w:rPr>
        <w:t>METHODOLOGY</w:t>
      </w:r>
    </w:p>
    <w:p>
      <w:pPr>
        <w:pStyle w:val="BodyText"/>
        <w:spacing w:before="7"/>
        <w:rPr>
          <w:b/>
          <w:sz w:val="17"/>
        </w:rPr>
      </w:pPr>
    </w:p>
    <w:p>
      <w:pPr>
        <w:spacing w:before="1"/>
        <w:ind w:left="270" w:right="677" w:firstLine="0"/>
        <w:jc w:val="both"/>
        <w:rPr>
          <w:sz w:val="18"/>
        </w:rPr>
      </w:pPr>
      <w:r>
        <w:rPr>
          <w:sz w:val="18"/>
        </w:rPr>
        <w:t>In this project observational, descriptive, transversal non- comparative research repetitive movements of a finite population  of 60 jobs were evaluated in video of the maquiladora industry in northeastern Mexico using the values of intensity multiplier  method Strain</w:t>
      </w:r>
      <w:r>
        <w:rPr>
          <w:spacing w:val="-4"/>
          <w:sz w:val="18"/>
        </w:rPr>
        <w:t> </w:t>
      </w:r>
      <w:r>
        <w:rPr>
          <w:sz w:val="18"/>
        </w:rPr>
        <w:t>Index</w:t>
      </w:r>
      <w:r>
        <w:rPr>
          <w:color w:val="233F5E"/>
          <w:sz w:val="18"/>
        </w:rPr>
        <w:t>.</w:t>
      </w:r>
    </w:p>
    <w:p>
      <w:pPr>
        <w:pStyle w:val="BodyText"/>
        <w:spacing w:before="3"/>
        <w:rPr>
          <w:sz w:val="18"/>
        </w:rPr>
      </w:pPr>
    </w:p>
    <w:p>
      <w:pPr>
        <w:pStyle w:val="ListParagraph"/>
        <w:numPr>
          <w:ilvl w:val="0"/>
          <w:numId w:val="80"/>
        </w:numPr>
        <w:tabs>
          <w:tab w:pos="452" w:val="left" w:leader="none"/>
        </w:tabs>
        <w:spacing w:line="240" w:lineRule="auto" w:before="0" w:after="0"/>
        <w:ind w:left="451" w:right="0" w:hanging="181"/>
        <w:jc w:val="both"/>
        <w:rPr>
          <w:b/>
          <w:sz w:val="18"/>
        </w:rPr>
      </w:pPr>
      <w:r>
        <w:rPr>
          <w:b/>
          <w:sz w:val="18"/>
        </w:rPr>
        <w:t>RESULTS</w:t>
      </w:r>
    </w:p>
    <w:p>
      <w:pPr>
        <w:pStyle w:val="BodyText"/>
        <w:spacing w:before="7"/>
        <w:rPr>
          <w:b/>
          <w:sz w:val="17"/>
        </w:rPr>
      </w:pPr>
    </w:p>
    <w:p>
      <w:pPr>
        <w:spacing w:before="1"/>
        <w:ind w:left="270" w:right="676" w:firstLine="0"/>
        <w:jc w:val="both"/>
        <w:rPr>
          <w:sz w:val="18"/>
        </w:rPr>
      </w:pPr>
      <w:r>
        <w:rPr>
          <w:sz w:val="18"/>
        </w:rPr>
        <w:t>The results showed that 90% of jobs are above the tolerable value (above 7), with variables (minimum 9 and maximum 243) figures, higher results than twice the tolerable value representing 87% important to mention that 88% of current multiplier values are in multipliers 3 and 6. We evaluated two options of multipliers of the values of intensity of the task. Option 1 was to review the videos giving values 1, 2, 3, 4, and 5. Option 2 was to values of 0.5, 1,</w:t>
      </w:r>
    </w:p>
    <w:p>
      <w:pPr>
        <w:spacing w:line="206" w:lineRule="exact" w:before="0"/>
        <w:ind w:left="270" w:right="0" w:firstLine="0"/>
        <w:jc w:val="both"/>
        <w:rPr>
          <w:sz w:val="18"/>
        </w:rPr>
      </w:pPr>
      <w:r>
        <w:rPr>
          <w:sz w:val="18"/>
        </w:rPr>
        <w:t>1.5, 2 and 2.5</w:t>
      </w:r>
    </w:p>
    <w:p>
      <w:pPr>
        <w:pStyle w:val="BodyText"/>
        <w:spacing w:before="3"/>
        <w:rPr>
          <w:sz w:val="18"/>
        </w:rPr>
      </w:pPr>
    </w:p>
    <w:p>
      <w:pPr>
        <w:pStyle w:val="ListParagraph"/>
        <w:numPr>
          <w:ilvl w:val="0"/>
          <w:numId w:val="80"/>
        </w:numPr>
        <w:tabs>
          <w:tab w:pos="452" w:val="left" w:leader="none"/>
        </w:tabs>
        <w:spacing w:line="240" w:lineRule="auto" w:before="0" w:after="0"/>
        <w:ind w:left="451" w:right="0" w:hanging="181"/>
        <w:jc w:val="both"/>
        <w:rPr>
          <w:b/>
          <w:sz w:val="18"/>
        </w:rPr>
      </w:pPr>
      <w:r>
        <w:rPr>
          <w:b/>
          <w:sz w:val="18"/>
        </w:rPr>
        <w:t>CONCLUSIONS</w:t>
      </w:r>
    </w:p>
    <w:p>
      <w:pPr>
        <w:pStyle w:val="BodyText"/>
        <w:spacing w:before="7"/>
        <w:rPr>
          <w:b/>
          <w:sz w:val="17"/>
        </w:rPr>
      </w:pPr>
    </w:p>
    <w:p>
      <w:pPr>
        <w:spacing w:before="1"/>
        <w:ind w:left="270" w:right="675" w:firstLine="0"/>
        <w:jc w:val="both"/>
        <w:rPr>
          <w:sz w:val="18"/>
        </w:rPr>
      </w:pPr>
      <w:r>
        <w:rPr>
          <w:sz w:val="18"/>
        </w:rPr>
        <w:t>We conclude that using multipliers with intervals of 0.5 in the variable of the intensity exercise are in a value close to the maximum tolerable range. Because of this situation, it is suggested to modify the results of JSI to more manageable and credible values. But regardless of the range multiplier intensity of the task,  a risky activity is changed, remains dangerous for</w:t>
      </w:r>
      <w:r>
        <w:rPr>
          <w:spacing w:val="-5"/>
          <w:sz w:val="18"/>
        </w:rPr>
        <w:t> </w:t>
      </w:r>
      <w:r>
        <w:rPr>
          <w:sz w:val="18"/>
        </w:rPr>
        <w:t>workers.</w:t>
      </w:r>
    </w:p>
    <w:p>
      <w:pPr>
        <w:pStyle w:val="BodyText"/>
        <w:spacing w:before="3"/>
        <w:rPr>
          <w:sz w:val="18"/>
        </w:rPr>
      </w:pPr>
    </w:p>
    <w:p>
      <w:pPr>
        <w:pStyle w:val="ListParagraph"/>
        <w:numPr>
          <w:ilvl w:val="0"/>
          <w:numId w:val="80"/>
        </w:numPr>
        <w:tabs>
          <w:tab w:pos="452" w:val="left" w:leader="none"/>
        </w:tabs>
        <w:spacing w:line="240" w:lineRule="auto" w:before="0" w:after="0"/>
        <w:ind w:left="451" w:right="0" w:hanging="181"/>
        <w:jc w:val="both"/>
        <w:rPr>
          <w:b/>
          <w:sz w:val="18"/>
        </w:rPr>
      </w:pPr>
      <w:r>
        <w:rPr>
          <w:b/>
          <w:sz w:val="18"/>
        </w:rPr>
        <w:t>REFERENCES</w:t>
      </w:r>
    </w:p>
    <w:p>
      <w:pPr>
        <w:pStyle w:val="BodyText"/>
        <w:spacing w:before="7"/>
        <w:rPr>
          <w:b/>
          <w:sz w:val="17"/>
        </w:rPr>
      </w:pPr>
    </w:p>
    <w:p>
      <w:pPr>
        <w:spacing w:line="207" w:lineRule="exact" w:before="1"/>
        <w:ind w:left="270" w:right="0" w:firstLine="0"/>
        <w:jc w:val="both"/>
        <w:rPr>
          <w:sz w:val="18"/>
        </w:rPr>
      </w:pPr>
      <w:r>
        <w:rPr>
          <w:sz w:val="18"/>
        </w:rPr>
        <w:t>[1] </w:t>
      </w:r>
      <w:hyperlink r:id="rId333">
        <w:r>
          <w:rPr>
            <w:sz w:val="18"/>
          </w:rPr>
          <w:t>http://www.elergonomista.com/fe08.htm</w:t>
        </w:r>
      </w:hyperlink>
    </w:p>
    <w:p>
      <w:pPr>
        <w:spacing w:line="207" w:lineRule="exact" w:before="0"/>
        <w:ind w:left="270" w:right="0" w:firstLine="0"/>
        <w:jc w:val="both"/>
        <w:rPr>
          <w:sz w:val="18"/>
        </w:rPr>
      </w:pPr>
      <w:r>
        <w:rPr>
          <w:sz w:val="18"/>
        </w:rPr>
        <w:t>[2] </w:t>
      </w:r>
      <w:hyperlink r:id="rId334">
        <w:r>
          <w:rPr>
            <w:sz w:val="18"/>
          </w:rPr>
          <w:t>http://www.ergonautas.upv.es/metodos/jsi/jsi-ayuda.php</w:t>
        </w:r>
      </w:hyperlink>
    </w:p>
    <w:p>
      <w:pPr>
        <w:spacing w:line="207" w:lineRule="exact" w:before="0"/>
        <w:ind w:left="270" w:right="0" w:firstLine="0"/>
        <w:jc w:val="both"/>
        <w:rPr>
          <w:sz w:val="18"/>
        </w:rPr>
      </w:pPr>
      <w:r>
        <w:rPr>
          <w:sz w:val="18"/>
        </w:rPr>
        <w:t>[3] </w:t>
      </w:r>
      <w:hyperlink r:id="rId335">
        <w:r>
          <w:rPr>
            <w:sz w:val="18"/>
          </w:rPr>
          <w:t>http://www.info7.mx/a/noticia/441756</w:t>
        </w:r>
      </w:hyperlink>
    </w:p>
    <w:p>
      <w:pPr>
        <w:spacing w:before="0"/>
        <w:ind w:left="270" w:right="672" w:firstLine="0"/>
        <w:jc w:val="left"/>
        <w:rPr>
          <w:sz w:val="18"/>
        </w:rPr>
      </w:pPr>
      <w:r>
        <w:rPr>
          <w:sz w:val="18"/>
        </w:rPr>
        <w:t>[4] </w:t>
      </w:r>
      <w:hyperlink r:id="rId336">
        <w:r>
          <w:rPr>
            <w:color w:val="0000FF"/>
            <w:sz w:val="18"/>
            <w:u w:val="single" w:color="0000FF"/>
          </w:rPr>
          <w:t>http://www.ilo.org</w:t>
        </w:r>
      </w:hyperlink>
      <w:r>
        <w:rPr>
          <w:color w:val="0000FF"/>
          <w:sz w:val="18"/>
          <w:u w:val="single" w:color="0000FF"/>
        </w:rPr>
        <w:t> </w:t>
      </w:r>
      <w:hyperlink r:id="rId337">
        <w:r>
          <w:rPr>
            <w:sz w:val="18"/>
          </w:rPr>
          <w:t>[5]http://www.aefi.</w:t>
        </w:r>
      </w:hyperlink>
      <w:r>
        <w:rPr>
          <w:sz w:val="18"/>
        </w:rPr>
        <w:t>n</w:t>
      </w:r>
      <w:hyperlink r:id="rId337">
        <w:r>
          <w:rPr>
            <w:sz w:val="18"/>
          </w:rPr>
          <w:t>et/Fisioterapi</w:t>
        </w:r>
      </w:hyperlink>
      <w:r>
        <w:rPr>
          <w:sz w:val="18"/>
        </w:rPr>
        <w:t>ay</w:t>
      </w:r>
      <w:hyperlink r:id="rId337">
        <w:r>
          <w:rPr>
            <w:sz w:val="18"/>
          </w:rPr>
          <w:t>salud/Sindrometuneldecarpo.as</w:t>
        </w:r>
      </w:hyperlink>
      <w:r>
        <w:rPr>
          <w:sz w:val="18"/>
        </w:rPr>
        <w:t> px</w:t>
      </w:r>
    </w:p>
    <w:p>
      <w:pPr>
        <w:spacing w:after="0"/>
        <w:jc w:val="left"/>
        <w:rPr>
          <w:sz w:val="18"/>
        </w:rPr>
        <w:sectPr>
          <w:type w:val="continuous"/>
          <w:pgSz w:w="12240" w:h="15840"/>
          <w:pgMar w:top="1500" w:bottom="280" w:left="580" w:right="220"/>
          <w:cols w:num="2" w:equalWidth="0">
            <w:col w:w="5207" w:space="417"/>
            <w:col w:w="5816"/>
          </w:cols>
        </w:sectPr>
      </w:pPr>
    </w:p>
    <w:p>
      <w:pPr>
        <w:pStyle w:val="BodyText"/>
        <w:rPr>
          <w:sz w:val="11"/>
        </w:rPr>
      </w:pPr>
    </w:p>
    <w:p>
      <w:pPr>
        <w:spacing w:before="77"/>
        <w:ind w:left="270" w:right="6276" w:firstLine="0"/>
        <w:jc w:val="left"/>
        <w:rPr>
          <w:sz w:val="18"/>
        </w:rPr>
      </w:pPr>
      <w:r>
        <w:rPr>
          <w:sz w:val="18"/>
        </w:rPr>
        <w:t>[6] Mital, A. Kilbom, A. Kumar S. Ergonomics Guidelines and Problem Solving. Elsevier Vol . 2000, pp 151-178.</w:t>
      </w:r>
    </w:p>
    <w:p>
      <w:pPr>
        <w:spacing w:after="0"/>
        <w:jc w:val="left"/>
        <w:rPr>
          <w:sz w:val="18"/>
        </w:rPr>
        <w:sectPr>
          <w:pgSz w:w="12240" w:h="15840"/>
          <w:pgMar w:header="545" w:footer="852" w:top="1060" w:bottom="1040" w:left="580" w:right="220"/>
        </w:sectPr>
      </w:pPr>
    </w:p>
    <w:p>
      <w:pPr>
        <w:pStyle w:val="BodyText"/>
        <w:rPr>
          <w:sz w:val="11"/>
        </w:rPr>
      </w:pPr>
    </w:p>
    <w:p>
      <w:pPr>
        <w:spacing w:after="0"/>
        <w:rPr>
          <w:sz w:val="11"/>
        </w:rPr>
        <w:sectPr>
          <w:pgSz w:w="12240" w:h="15840"/>
          <w:pgMar w:header="545" w:footer="852" w:top="1060" w:bottom="1040" w:left="580" w:right="220"/>
        </w:sectPr>
      </w:pPr>
    </w:p>
    <w:p>
      <w:pPr>
        <w:spacing w:before="80"/>
        <w:ind w:left="270" w:right="417" w:firstLine="0"/>
        <w:jc w:val="left"/>
        <w:rPr>
          <w:b/>
          <w:sz w:val="18"/>
        </w:rPr>
      </w:pPr>
      <w:r>
        <w:rPr>
          <w:b/>
          <w:sz w:val="18"/>
        </w:rPr>
        <w:t>Ergonomic Evaluation in a Company of Metal-Mechanical Sector by Means of Rula Method and Niosh Equation</w:t>
      </w:r>
    </w:p>
    <w:p>
      <w:pPr>
        <w:pStyle w:val="BodyText"/>
        <w:spacing w:before="4"/>
        <w:rPr>
          <w:b/>
          <w:sz w:val="17"/>
        </w:rPr>
      </w:pPr>
    </w:p>
    <w:p>
      <w:pPr>
        <w:spacing w:line="211" w:lineRule="auto" w:before="0"/>
        <w:ind w:left="318" w:right="64" w:firstLine="0"/>
        <w:jc w:val="center"/>
        <w:rPr>
          <w:i/>
          <w:sz w:val="18"/>
        </w:rPr>
      </w:pPr>
      <w:r>
        <w:rPr>
          <w:i/>
          <w:sz w:val="18"/>
        </w:rPr>
        <w:t>Alma Carolina Ross Uribe</w:t>
      </w:r>
      <w:r>
        <w:rPr>
          <w:i/>
          <w:position w:val="8"/>
          <w:sz w:val="12"/>
        </w:rPr>
        <w:t>a</w:t>
      </w:r>
      <w:r>
        <w:rPr>
          <w:i/>
          <w:sz w:val="18"/>
        </w:rPr>
        <w:t>, Mauricio López Acosta</w:t>
      </w:r>
      <w:r>
        <w:rPr>
          <w:i/>
          <w:position w:val="8"/>
          <w:sz w:val="12"/>
        </w:rPr>
        <w:t>b</w:t>
      </w:r>
      <w:r>
        <w:rPr>
          <w:i/>
          <w:sz w:val="18"/>
        </w:rPr>
        <w:t>, Ramón René </w:t>
      </w:r>
      <w:r>
        <w:rPr>
          <w:i/>
          <w:sz w:val="18"/>
        </w:rPr>
        <w:t>Palacio Cinco</w:t>
      </w:r>
      <w:r>
        <w:rPr>
          <w:i/>
          <w:position w:val="8"/>
          <w:sz w:val="12"/>
        </w:rPr>
        <w:t>c</w:t>
      </w:r>
      <w:r>
        <w:rPr>
          <w:i/>
          <w:sz w:val="18"/>
        </w:rPr>
        <w:t>, Rubén Varela Campos</w:t>
      </w:r>
      <w:r>
        <w:rPr>
          <w:i/>
          <w:position w:val="8"/>
          <w:sz w:val="12"/>
        </w:rPr>
        <w:t>d</w:t>
      </w:r>
      <w:r>
        <w:rPr>
          <w:i/>
          <w:sz w:val="18"/>
        </w:rPr>
        <w:t>, Aarón Fernando Quirós Morales</w:t>
      </w:r>
      <w:r>
        <w:rPr>
          <w:i/>
          <w:position w:val="8"/>
          <w:sz w:val="12"/>
        </w:rPr>
        <w:t>e</w:t>
      </w:r>
      <w:r>
        <w:rPr>
          <w:i/>
          <w:sz w:val="18"/>
        </w:rPr>
        <w:t>.</w:t>
      </w:r>
    </w:p>
    <w:p>
      <w:pPr>
        <w:pStyle w:val="BodyText"/>
        <w:spacing w:before="3"/>
        <w:rPr>
          <w:i/>
          <w:sz w:val="16"/>
        </w:rPr>
      </w:pPr>
    </w:p>
    <w:p>
      <w:pPr>
        <w:spacing w:before="0"/>
        <w:ind w:left="270" w:right="0" w:firstLine="0"/>
        <w:jc w:val="both"/>
        <w:rPr>
          <w:sz w:val="18"/>
        </w:rPr>
      </w:pPr>
      <w:r>
        <w:rPr>
          <w:position w:val="8"/>
          <w:sz w:val="12"/>
        </w:rPr>
        <w:t>a</w:t>
      </w:r>
      <w:r>
        <w:rPr>
          <w:sz w:val="18"/>
        </w:rPr>
        <w:t>,Instituto Tecnológico de Sonora, Unidad Navojoa, </w:t>
      </w:r>
      <w:hyperlink r:id="rId338">
        <w:r>
          <w:rPr>
            <w:color w:val="0000FF"/>
            <w:sz w:val="18"/>
            <w:u w:val="single" w:color="0000FF"/>
          </w:rPr>
          <w:t>karo_ross@hotmail.com</w:t>
        </w:r>
        <w:r>
          <w:rPr>
            <w:sz w:val="18"/>
          </w:rPr>
          <w:t>,</w:t>
        </w:r>
      </w:hyperlink>
      <w:r>
        <w:rPr>
          <w:sz w:val="18"/>
        </w:rPr>
        <w:t> Navojoa, Sonora, México.</w:t>
      </w:r>
    </w:p>
    <w:p>
      <w:pPr>
        <w:spacing w:line="208" w:lineRule="exact" w:before="1"/>
        <w:ind w:left="270" w:right="0" w:firstLine="0"/>
        <w:jc w:val="both"/>
        <w:rPr>
          <w:sz w:val="18"/>
        </w:rPr>
      </w:pPr>
      <w:r>
        <w:rPr>
          <w:position w:val="8"/>
          <w:sz w:val="12"/>
        </w:rPr>
        <w:t>b</w:t>
      </w:r>
      <w:r>
        <w:rPr>
          <w:sz w:val="18"/>
        </w:rPr>
        <w:t>Instituto Tecnológico de Sonora,Unidad Navojoa </w:t>
      </w:r>
      <w:hyperlink r:id="rId16">
        <w:r>
          <w:rPr>
            <w:sz w:val="18"/>
          </w:rPr>
          <w:t>mauricio.lopez@itson.edu.mx,</w:t>
        </w:r>
      </w:hyperlink>
      <w:r>
        <w:rPr>
          <w:sz w:val="18"/>
        </w:rPr>
        <w:t> Navojoa, Sonora, México.</w:t>
      </w:r>
    </w:p>
    <w:p>
      <w:pPr>
        <w:spacing w:line="203" w:lineRule="exact" w:before="0"/>
        <w:ind w:left="270" w:right="0" w:firstLine="0"/>
        <w:jc w:val="both"/>
        <w:rPr>
          <w:sz w:val="18"/>
        </w:rPr>
      </w:pPr>
      <w:r>
        <w:rPr>
          <w:position w:val="8"/>
          <w:sz w:val="12"/>
        </w:rPr>
        <w:t>c</w:t>
      </w:r>
      <w:r>
        <w:rPr>
          <w:sz w:val="18"/>
        </w:rPr>
        <w:t>Instituto       Tecnológico       de       Sonora,       Unidad    Navojoa,</w:t>
      </w:r>
    </w:p>
    <w:p>
      <w:pPr>
        <w:spacing w:line="195" w:lineRule="exact" w:before="0"/>
        <w:ind w:left="270" w:right="0" w:firstLine="0"/>
        <w:jc w:val="both"/>
        <w:rPr>
          <w:sz w:val="18"/>
        </w:rPr>
      </w:pPr>
      <w:r>
        <w:rPr>
          <w:sz w:val="18"/>
        </w:rPr>
        <w:t>ramon.palacio@itson.edu.mx,Navojoa, Sonora, México.</w:t>
      </w:r>
    </w:p>
    <w:p>
      <w:pPr>
        <w:spacing w:line="206" w:lineRule="exact" w:before="15"/>
        <w:ind w:left="270" w:right="0" w:firstLine="0"/>
        <w:jc w:val="both"/>
        <w:rPr>
          <w:sz w:val="18"/>
        </w:rPr>
      </w:pPr>
      <w:r>
        <w:rPr>
          <w:position w:val="8"/>
          <w:sz w:val="12"/>
        </w:rPr>
        <w:t>c</w:t>
      </w:r>
      <w:r>
        <w:rPr>
          <w:sz w:val="18"/>
        </w:rPr>
        <w:t>Instituto Tecnológico de Sonora, Unidad Navojoa, ruben.varela@itson.edu.mx,Navojoa, Sonora, México.</w:t>
      </w:r>
    </w:p>
    <w:p>
      <w:pPr>
        <w:spacing w:line="206" w:lineRule="exact" w:before="1"/>
        <w:ind w:left="270" w:right="0" w:firstLine="0"/>
        <w:jc w:val="both"/>
        <w:rPr>
          <w:sz w:val="18"/>
        </w:rPr>
      </w:pPr>
      <w:r>
        <w:rPr>
          <w:position w:val="8"/>
          <w:sz w:val="12"/>
        </w:rPr>
        <w:t>c</w:t>
      </w:r>
      <w:r>
        <w:rPr>
          <w:sz w:val="18"/>
        </w:rPr>
        <w:t>Instituto Tecnológico de Sonora, Unidad Navojoa, aaron.quiros@itson.edu.mx,Navojoa, Sonora, México.</w:t>
      </w:r>
    </w:p>
    <w:p>
      <w:pPr>
        <w:pStyle w:val="BodyText"/>
        <w:rPr>
          <w:sz w:val="18"/>
        </w:rPr>
      </w:pPr>
    </w:p>
    <w:p>
      <w:pPr>
        <w:pStyle w:val="BodyText"/>
        <w:spacing w:before="3"/>
        <w:rPr>
          <w:sz w:val="18"/>
        </w:rPr>
      </w:pPr>
    </w:p>
    <w:p>
      <w:pPr>
        <w:spacing w:before="0"/>
        <w:ind w:left="270" w:right="0" w:firstLine="0"/>
        <w:jc w:val="both"/>
        <w:rPr>
          <w:b/>
          <w:sz w:val="18"/>
        </w:rPr>
      </w:pPr>
      <w:r>
        <w:rPr/>
        <w:pict>
          <v:line style="position:absolute;mso-position-horizontal-relative:page;mso-position-vertical-relative:paragraph;z-index:9304" from="41.040001pt,12.092049pt" to="289.860001pt,12.092049pt" stroked="true" strokeweight="1.5pt" strokecolor="#000000">
            <w10:wrap type="none"/>
          </v:line>
        </w:pict>
      </w:r>
      <w:r>
        <w:rPr>
          <w:b/>
          <w:sz w:val="18"/>
        </w:rPr>
        <w:t>Resumen</w:t>
      </w:r>
    </w:p>
    <w:p>
      <w:pPr>
        <w:spacing w:before="45"/>
        <w:ind w:left="270" w:right="16" w:firstLine="0"/>
        <w:jc w:val="both"/>
        <w:rPr>
          <w:sz w:val="18"/>
        </w:rPr>
      </w:pPr>
      <w:r>
        <w:rPr>
          <w:sz w:val="18"/>
        </w:rPr>
        <w:t>En este artículo se presenta un estudio descriptivo para la  evaluación ergonómica de un puesto de trabajo realizado en una empresa del sector Metalmecánico. El estudio fue realizado para identificar los factores de riesgo de tipo músculo-esquelético para los trabajadores y el nivel de medición. Para ello se utilizó el método ecuación de Niosh que nos permite evaluar tareas en las  que se realizan levantamientos de carga, con lo cual se obtuvo el peso límite recomendado (RWL: Recommended  Weight  Limit) que es posible levantar en las condiciones del puesto. Tambié se utilizó el método RULA para evaluar la exposición de los trabajadores a factores de riesgo que pueden ocasionar trastornos en los miembros superiores del cuerpo: posturas, repetitividad de movimientos, fuerzas aplicadas, actividad estática del sistema musculoesquelético. Como resultados del analisis se identificaron las posturas que presentan riesgo a los trabajadores y el peso máximo</w:t>
      </w:r>
      <w:r>
        <w:rPr>
          <w:spacing w:val="-7"/>
          <w:sz w:val="18"/>
        </w:rPr>
        <w:t> </w:t>
      </w:r>
      <w:r>
        <w:rPr>
          <w:sz w:val="18"/>
        </w:rPr>
        <w:t>recomendado</w:t>
      </w:r>
      <w:r>
        <w:rPr>
          <w:spacing w:val="-7"/>
          <w:sz w:val="18"/>
        </w:rPr>
        <w:t> </w:t>
      </w:r>
      <w:r>
        <w:rPr>
          <w:sz w:val="18"/>
        </w:rPr>
        <w:t>de</w:t>
      </w:r>
      <w:r>
        <w:rPr>
          <w:spacing w:val="-7"/>
          <w:sz w:val="18"/>
        </w:rPr>
        <w:t> </w:t>
      </w:r>
      <w:r>
        <w:rPr>
          <w:sz w:val="18"/>
        </w:rPr>
        <w:t>levantamiento</w:t>
      </w:r>
      <w:r>
        <w:rPr>
          <w:spacing w:val="-7"/>
          <w:sz w:val="18"/>
        </w:rPr>
        <w:t> </w:t>
      </w:r>
      <w:r>
        <w:rPr>
          <w:sz w:val="18"/>
        </w:rPr>
        <w:t>de</w:t>
      </w:r>
      <w:r>
        <w:rPr>
          <w:spacing w:val="-7"/>
          <w:sz w:val="18"/>
        </w:rPr>
        <w:t> </w:t>
      </w:r>
      <w:r>
        <w:rPr>
          <w:sz w:val="18"/>
        </w:rPr>
        <w:t>carga.</w:t>
      </w:r>
    </w:p>
    <w:p>
      <w:pPr>
        <w:pStyle w:val="BodyText"/>
        <w:rPr>
          <w:sz w:val="18"/>
        </w:rPr>
      </w:pPr>
    </w:p>
    <w:p>
      <w:pPr>
        <w:pStyle w:val="BodyText"/>
        <w:rPr>
          <w:sz w:val="18"/>
        </w:rPr>
      </w:pPr>
    </w:p>
    <w:p>
      <w:pPr>
        <w:spacing w:before="0"/>
        <w:ind w:left="270" w:right="0" w:firstLine="0"/>
        <w:jc w:val="both"/>
        <w:rPr>
          <w:sz w:val="18"/>
        </w:rPr>
      </w:pPr>
      <w:r>
        <w:rPr>
          <w:b/>
          <w:sz w:val="18"/>
        </w:rPr>
        <w:t>Palabras clave</w:t>
      </w:r>
      <w:r>
        <w:rPr>
          <w:sz w:val="18"/>
        </w:rPr>
        <w:t>— Análisis ergonómico, Posturas, Riesgos</w:t>
      </w:r>
    </w:p>
    <w:p>
      <w:pPr>
        <w:pStyle w:val="BodyText"/>
        <w:spacing w:before="6"/>
        <w:rPr>
          <w:sz w:val="18"/>
        </w:rPr>
      </w:pPr>
    </w:p>
    <w:p>
      <w:pPr>
        <w:spacing w:before="0"/>
        <w:ind w:left="270" w:right="0" w:firstLine="0"/>
        <w:jc w:val="both"/>
        <w:rPr>
          <w:b/>
          <w:i/>
          <w:sz w:val="18"/>
        </w:rPr>
      </w:pPr>
      <w:r>
        <w:rPr/>
        <w:pict>
          <v:line style="position:absolute;mso-position-horizontal-relative:page;mso-position-vertical-relative:paragraph;z-index:9328" from="41.040001pt,12.03175pt" to="289.860001pt,12.03175pt" stroked="true" strokeweight="1.5pt" strokecolor="#000000">
            <w10:wrap type="none"/>
          </v:line>
        </w:pict>
      </w:r>
      <w:r>
        <w:rPr>
          <w:b/>
          <w:i/>
          <w:sz w:val="18"/>
        </w:rPr>
        <w:t>Abstract</w:t>
      </w:r>
    </w:p>
    <w:p>
      <w:pPr>
        <w:spacing w:before="44"/>
        <w:ind w:left="270" w:right="16" w:firstLine="0"/>
        <w:jc w:val="both"/>
        <w:rPr>
          <w:sz w:val="18"/>
        </w:rPr>
      </w:pPr>
      <w:r>
        <w:rPr>
          <w:sz w:val="18"/>
        </w:rPr>
        <w:t>This paper presents a descriptive study for the ergonomic  evaluation of a job, which was carried out in a metalmechanic compañy. The study was conducted to identify risk factors for musculoskeletal type and the level of measurement in workers. For that, we used the Niosh Equation to evaluate tasks of load lifting, with which we obtained the Recomended Weight Limit (RWL) that is possible to lift in the Job conditions. Also, we used the RULA Method to evaluate the exposure of workers to risk factors that may cause disturbances in the upper limbs: postures, repeatability of movements, applied forces, static activity of the musculoskeletal system. As analysis results, we identified the postures that present risk to workers and the</w:t>
      </w:r>
      <w:r>
        <w:rPr>
          <w:spacing w:val="-19"/>
          <w:sz w:val="18"/>
        </w:rPr>
        <w:t> </w:t>
      </w:r>
      <w:r>
        <w:rPr>
          <w:sz w:val="18"/>
        </w:rPr>
        <w:t>RWL.</w:t>
      </w:r>
    </w:p>
    <w:p>
      <w:pPr>
        <w:pStyle w:val="BodyText"/>
        <w:rPr>
          <w:sz w:val="18"/>
        </w:rPr>
      </w:pPr>
    </w:p>
    <w:p>
      <w:pPr>
        <w:pStyle w:val="BodyText"/>
        <w:rPr>
          <w:sz w:val="18"/>
        </w:rPr>
      </w:pPr>
    </w:p>
    <w:p>
      <w:pPr>
        <w:pStyle w:val="BodyText"/>
        <w:rPr>
          <w:sz w:val="18"/>
        </w:rPr>
      </w:pPr>
    </w:p>
    <w:p>
      <w:pPr>
        <w:spacing w:before="0"/>
        <w:ind w:left="270" w:right="0" w:firstLine="0"/>
        <w:jc w:val="both"/>
        <w:rPr>
          <w:sz w:val="18"/>
        </w:rPr>
      </w:pPr>
      <w:r>
        <w:rPr>
          <w:b/>
          <w:sz w:val="18"/>
        </w:rPr>
        <w:t>Keywords</w:t>
      </w:r>
      <w:r>
        <w:rPr>
          <w:sz w:val="18"/>
        </w:rPr>
        <w:t>— Ergonomic analysis, Postures, Risks</w:t>
      </w:r>
    </w:p>
    <w:p>
      <w:pPr>
        <w:pStyle w:val="BodyText"/>
        <w:spacing w:before="3"/>
        <w:rPr>
          <w:sz w:val="18"/>
        </w:rPr>
      </w:pPr>
    </w:p>
    <w:p>
      <w:pPr>
        <w:pStyle w:val="ListParagraph"/>
        <w:numPr>
          <w:ilvl w:val="0"/>
          <w:numId w:val="81"/>
        </w:numPr>
        <w:tabs>
          <w:tab w:pos="452" w:val="left" w:leader="none"/>
        </w:tabs>
        <w:spacing w:line="205" w:lineRule="exact" w:before="0" w:after="0"/>
        <w:ind w:left="451" w:right="0" w:hanging="181"/>
        <w:jc w:val="both"/>
        <w:rPr>
          <w:b/>
          <w:sz w:val="18"/>
        </w:rPr>
      </w:pPr>
      <w:r>
        <w:rPr>
          <w:b/>
          <w:sz w:val="18"/>
        </w:rPr>
        <w:t>INTRODUCTION</w:t>
      </w:r>
    </w:p>
    <w:p>
      <w:pPr>
        <w:spacing w:before="0"/>
        <w:ind w:left="270" w:right="16" w:firstLine="44"/>
        <w:jc w:val="both"/>
        <w:rPr>
          <w:sz w:val="18"/>
        </w:rPr>
      </w:pPr>
      <w:r>
        <w:rPr>
          <w:sz w:val="18"/>
        </w:rPr>
        <w:t>The main purpose of ergonomics according to Melo[ 11], is the adaptation of the medium to man, leaving aside the typecasting of the concept in the work area. In the metal industry there are numerous tasks with high physical load (heavy load handling, inadequate working postures, repeatability of movements, etc.).</w:t>
      </w:r>
    </w:p>
    <w:p>
      <w:pPr>
        <w:spacing w:before="77"/>
        <w:ind w:left="270" w:right="675" w:firstLine="170"/>
        <w:jc w:val="both"/>
        <w:rPr>
          <w:sz w:val="18"/>
        </w:rPr>
      </w:pPr>
      <w:r>
        <w:rPr/>
        <w:br w:type="column"/>
      </w:r>
      <w:r>
        <w:rPr>
          <w:sz w:val="18"/>
        </w:rPr>
        <w:t>According to published data by Instito Nacional de Seguridad e Higiene en el Trabajo (INSHT, 2007), 30.7% of workers expressed complaints of inadequate design aspects of their jobs.[ 12]</w:t>
      </w:r>
    </w:p>
    <w:p>
      <w:pPr>
        <w:pStyle w:val="BodyText"/>
        <w:rPr>
          <w:sz w:val="18"/>
        </w:rPr>
      </w:pPr>
    </w:p>
    <w:p>
      <w:pPr>
        <w:spacing w:before="0"/>
        <w:ind w:left="270" w:right="676" w:firstLine="0"/>
        <w:jc w:val="both"/>
        <w:rPr>
          <w:sz w:val="18"/>
        </w:rPr>
      </w:pPr>
      <w:r>
        <w:rPr>
          <w:sz w:val="18"/>
        </w:rPr>
        <w:t>In México, according to statistics from Instituto Mexicano del Seguro Social (IMSS), in 2013 were reported 409,119 accidents at work, 5,167 work-related disease and 953 deaths from accidents at work.[ 19]</w:t>
      </w:r>
    </w:p>
    <w:p>
      <w:pPr>
        <w:spacing w:before="0"/>
        <w:ind w:left="270" w:right="676" w:firstLine="0"/>
        <w:jc w:val="both"/>
        <w:rPr>
          <w:sz w:val="18"/>
        </w:rPr>
      </w:pPr>
      <w:r>
        <w:rPr>
          <w:sz w:val="18"/>
        </w:rPr>
        <w:t>In Sonora, in 2013 were informed 16,713 accidents at work, where 11,463 were males. Regarding to disturbances were reported 28% in wrist and hand; 8.24% in abdomen, lower back, lumbar spine and pelvis; and 9.9% in upper</w:t>
      </w:r>
      <w:r>
        <w:rPr>
          <w:spacing w:val="-5"/>
          <w:sz w:val="18"/>
        </w:rPr>
        <w:t> </w:t>
      </w:r>
      <w:r>
        <w:rPr>
          <w:sz w:val="18"/>
        </w:rPr>
        <w:t>limbs.</w:t>
      </w:r>
    </w:p>
    <w:p>
      <w:pPr>
        <w:pStyle w:val="BodyText"/>
        <w:rPr>
          <w:sz w:val="18"/>
        </w:rPr>
      </w:pPr>
    </w:p>
    <w:p>
      <w:pPr>
        <w:spacing w:before="0"/>
        <w:ind w:left="270" w:right="677" w:firstLine="170"/>
        <w:jc w:val="both"/>
        <w:rPr>
          <w:sz w:val="18"/>
        </w:rPr>
      </w:pPr>
      <w:r>
        <w:rPr>
          <w:sz w:val="18"/>
        </w:rPr>
        <w:t>In interviews conducted with operators of the organization under study in Navojoa, Mexico, declare that the main discomfort operators are back, arms and shoulders. This is because they are constantly performing load handling overexertion and awkward postures. Consequently, after work, they feel tired and have pain in these areas.</w:t>
      </w:r>
    </w:p>
    <w:p>
      <w:pPr>
        <w:pStyle w:val="BodyText"/>
        <w:spacing w:before="3"/>
        <w:rPr>
          <w:sz w:val="18"/>
        </w:rPr>
      </w:pPr>
    </w:p>
    <w:p>
      <w:pPr>
        <w:pStyle w:val="ListParagraph"/>
        <w:numPr>
          <w:ilvl w:val="1"/>
          <w:numId w:val="81"/>
        </w:numPr>
        <w:tabs>
          <w:tab w:pos="542" w:val="left" w:leader="none"/>
        </w:tabs>
        <w:spacing w:line="240" w:lineRule="auto" w:before="0" w:after="0"/>
        <w:ind w:left="541" w:right="0" w:hanging="271"/>
        <w:jc w:val="both"/>
        <w:rPr>
          <w:b/>
          <w:sz w:val="18"/>
        </w:rPr>
      </w:pPr>
      <w:r>
        <w:rPr>
          <w:b/>
          <w:sz w:val="18"/>
        </w:rPr>
        <w:t>PROBLEM</w:t>
      </w:r>
      <w:r>
        <w:rPr>
          <w:b/>
          <w:spacing w:val="-3"/>
          <w:sz w:val="18"/>
        </w:rPr>
        <w:t> </w:t>
      </w:r>
      <w:r>
        <w:rPr>
          <w:b/>
          <w:sz w:val="18"/>
        </w:rPr>
        <w:t>STATEMENT</w:t>
      </w:r>
    </w:p>
    <w:p>
      <w:pPr>
        <w:pStyle w:val="BodyText"/>
        <w:spacing w:before="7"/>
        <w:rPr>
          <w:b/>
          <w:sz w:val="17"/>
        </w:rPr>
      </w:pPr>
    </w:p>
    <w:p>
      <w:pPr>
        <w:spacing w:before="1"/>
        <w:ind w:left="270" w:right="676" w:firstLine="0"/>
        <w:jc w:val="both"/>
        <w:rPr>
          <w:sz w:val="18"/>
        </w:rPr>
      </w:pPr>
      <w:r>
        <w:rPr>
          <w:sz w:val="18"/>
        </w:rPr>
        <w:t>Based on the interviews with workers, it was observed that the lack of information to carry out the lifting and tasks are affecting the health of workers. As for the application of checklists[ 13], the company showed 87% of workers present risks for lifting, 75% risks for postures and according to the Lifshitz and Armstrong checklist[ 14], 50% of workers presents risks for repeatability (</w:t>
      </w:r>
      <w:r>
        <w:rPr>
          <w:i/>
          <w:sz w:val="18"/>
        </w:rPr>
        <w:t>see </w:t>
      </w:r>
      <w:r>
        <w:rPr>
          <w:i/>
          <w:sz w:val="18"/>
        </w:rPr>
        <w:t>Figure 1</w:t>
      </w:r>
      <w:r>
        <w:rPr>
          <w:sz w:val="18"/>
        </w:rPr>
        <w:t>).</w:t>
      </w:r>
    </w:p>
    <w:p>
      <w:pPr>
        <w:pStyle w:val="BodyText"/>
        <w:spacing w:before="5"/>
        <w:rPr>
          <w:sz w:val="15"/>
        </w:rPr>
      </w:pPr>
      <w:r>
        <w:rPr/>
        <w:drawing>
          <wp:anchor distT="0" distB="0" distL="0" distR="0" allowOverlap="1" layoutInCell="1" locked="0" behindDoc="0" simplePos="0" relativeHeight="9280">
            <wp:simplePos x="0" y="0"/>
            <wp:positionH relativeFrom="page">
              <wp:posOffset>4139184</wp:posOffset>
            </wp:positionH>
            <wp:positionV relativeFrom="paragraph">
              <wp:posOffset>137574</wp:posOffset>
            </wp:positionV>
            <wp:extent cx="3035360" cy="1292161"/>
            <wp:effectExtent l="0" t="0" r="0" b="0"/>
            <wp:wrapTopAndBottom/>
            <wp:docPr id="345" name="image203.jpeg" descr=""/>
            <wp:cNvGraphicFramePr>
              <a:graphicFrameLocks noChangeAspect="1"/>
            </wp:cNvGraphicFramePr>
            <a:graphic>
              <a:graphicData uri="http://schemas.openxmlformats.org/drawingml/2006/picture">
                <pic:pic>
                  <pic:nvPicPr>
                    <pic:cNvPr id="346" name="image203.jpeg"/>
                    <pic:cNvPicPr/>
                  </pic:nvPicPr>
                  <pic:blipFill>
                    <a:blip r:embed="rId339" cstate="print"/>
                    <a:stretch>
                      <a:fillRect/>
                    </a:stretch>
                  </pic:blipFill>
                  <pic:spPr>
                    <a:xfrm>
                      <a:off x="0" y="0"/>
                      <a:ext cx="3035360" cy="1292161"/>
                    </a:xfrm>
                    <a:prstGeom prst="rect">
                      <a:avLst/>
                    </a:prstGeom>
                  </pic:spPr>
                </pic:pic>
              </a:graphicData>
            </a:graphic>
          </wp:anchor>
        </w:drawing>
      </w:r>
    </w:p>
    <w:p>
      <w:pPr>
        <w:pStyle w:val="BodyText"/>
        <w:spacing w:before="6"/>
        <w:rPr>
          <w:sz w:val="15"/>
        </w:rPr>
      </w:pPr>
    </w:p>
    <w:p>
      <w:pPr>
        <w:spacing w:line="480" w:lineRule="auto" w:before="0"/>
        <w:ind w:left="270" w:right="774" w:firstLine="543"/>
        <w:jc w:val="left"/>
        <w:rPr>
          <w:sz w:val="18"/>
        </w:rPr>
      </w:pPr>
      <w:r>
        <w:rPr>
          <w:sz w:val="18"/>
        </w:rPr>
        <w:t>Figure 1. Occupational hazards (Source. Own elaboration) Therefore the problem statement is defined as:</w:t>
      </w:r>
    </w:p>
    <w:p>
      <w:pPr>
        <w:spacing w:before="7"/>
        <w:ind w:left="270" w:right="0" w:firstLine="0"/>
        <w:jc w:val="both"/>
        <w:rPr>
          <w:sz w:val="18"/>
        </w:rPr>
      </w:pPr>
      <w:r>
        <w:rPr>
          <w:sz w:val="18"/>
        </w:rPr>
        <w:t>What is the degree of ergonomic risk that occurs in the jobs?</w:t>
      </w:r>
    </w:p>
    <w:p>
      <w:pPr>
        <w:pStyle w:val="BodyText"/>
        <w:rPr>
          <w:sz w:val="18"/>
        </w:rPr>
      </w:pPr>
    </w:p>
    <w:p>
      <w:pPr>
        <w:spacing w:before="0"/>
        <w:ind w:left="270" w:right="676" w:firstLine="0"/>
        <w:jc w:val="both"/>
        <w:rPr>
          <w:sz w:val="18"/>
        </w:rPr>
      </w:pPr>
      <w:r>
        <w:rPr>
          <w:sz w:val="18"/>
        </w:rPr>
        <w:t>We assume that a poor design of jobs affects the health and integrity of workers.</w:t>
      </w:r>
    </w:p>
    <w:p>
      <w:pPr>
        <w:pStyle w:val="BodyText"/>
        <w:rPr>
          <w:sz w:val="18"/>
        </w:rPr>
      </w:pPr>
    </w:p>
    <w:p>
      <w:pPr>
        <w:pStyle w:val="BodyText"/>
        <w:spacing w:before="4"/>
        <w:rPr>
          <w:sz w:val="18"/>
        </w:rPr>
      </w:pPr>
    </w:p>
    <w:p>
      <w:pPr>
        <w:pStyle w:val="ListParagraph"/>
        <w:numPr>
          <w:ilvl w:val="1"/>
          <w:numId w:val="81"/>
        </w:numPr>
        <w:tabs>
          <w:tab w:pos="542" w:val="left" w:leader="none"/>
        </w:tabs>
        <w:spacing w:line="240" w:lineRule="auto" w:before="0" w:after="0"/>
        <w:ind w:left="541" w:right="0" w:hanging="271"/>
        <w:jc w:val="both"/>
        <w:rPr>
          <w:b/>
          <w:sz w:val="18"/>
        </w:rPr>
      </w:pPr>
      <w:r>
        <w:rPr>
          <w:b/>
          <w:sz w:val="18"/>
        </w:rPr>
        <w:t>JUSTIFICATION</w:t>
      </w:r>
    </w:p>
    <w:p>
      <w:pPr>
        <w:pStyle w:val="BodyText"/>
        <w:spacing w:before="7"/>
        <w:rPr>
          <w:b/>
          <w:sz w:val="17"/>
        </w:rPr>
      </w:pPr>
    </w:p>
    <w:p>
      <w:pPr>
        <w:spacing w:before="1"/>
        <w:ind w:left="270" w:right="677" w:firstLine="0"/>
        <w:jc w:val="both"/>
        <w:rPr>
          <w:sz w:val="18"/>
        </w:rPr>
      </w:pPr>
      <w:r>
        <w:rPr>
          <w:sz w:val="18"/>
        </w:rPr>
        <w:t>The direction of this research is to have specific assessments of ergonomic hazards for workers in the industry, as they are in the main statistics of accidents in the “Secretaria de Salud”. With this, it is possible to obtain different types of benefits. For example, Larson[ 15] realized a study in the company 3M, where the main benefits achieved were 73% of exposures higher risk identified were eliminated by applying a combination of redesign work, technical controls and administrative controls.</w:t>
      </w:r>
    </w:p>
    <w:p>
      <w:pPr>
        <w:spacing w:before="0"/>
        <w:ind w:left="270" w:right="677" w:firstLine="170"/>
        <w:jc w:val="both"/>
        <w:rPr>
          <w:sz w:val="18"/>
        </w:rPr>
      </w:pPr>
      <w:r>
        <w:rPr>
          <w:sz w:val="18"/>
        </w:rPr>
        <w:t>Therefore, methods regarding to ergonomic evaluation were applied without interrupting their work activities, and thus be able quantify the actual situation obtaining measurable data that will serve to develop proposals for improvement.</w:t>
      </w:r>
    </w:p>
    <w:p>
      <w:pPr>
        <w:spacing w:after="0"/>
        <w:jc w:val="both"/>
        <w:rPr>
          <w:sz w:val="18"/>
        </w:rPr>
        <w:sectPr>
          <w:type w:val="continuous"/>
          <w:pgSz w:w="12240" w:h="15840"/>
          <w:pgMar w:top="1500" w:bottom="280" w:left="580" w:right="220"/>
          <w:cols w:num="2" w:equalWidth="0">
            <w:col w:w="5207" w:space="417"/>
            <w:col w:w="5816"/>
          </w:cols>
        </w:sectPr>
      </w:pPr>
    </w:p>
    <w:p>
      <w:pPr>
        <w:pStyle w:val="BodyText"/>
        <w:rPr>
          <w:sz w:val="11"/>
        </w:rPr>
      </w:pPr>
    </w:p>
    <w:p>
      <w:pPr>
        <w:spacing w:after="0"/>
        <w:rPr>
          <w:sz w:val="11"/>
        </w:rPr>
        <w:sectPr>
          <w:pgSz w:w="12240" w:h="15840"/>
          <w:pgMar w:header="545" w:footer="852" w:top="1060" w:bottom="1040" w:left="580" w:right="220"/>
        </w:sectPr>
      </w:pPr>
    </w:p>
    <w:p>
      <w:pPr>
        <w:pStyle w:val="BodyText"/>
        <w:spacing w:before="10"/>
        <w:rPr>
          <w:sz w:val="24"/>
        </w:rPr>
      </w:pPr>
    </w:p>
    <w:p>
      <w:pPr>
        <w:spacing w:line="205" w:lineRule="exact" w:before="1"/>
        <w:ind w:left="270" w:right="0" w:firstLine="0"/>
        <w:jc w:val="both"/>
        <w:rPr>
          <w:b/>
          <w:sz w:val="18"/>
        </w:rPr>
      </w:pPr>
      <w:r>
        <w:rPr>
          <w:b/>
          <w:sz w:val="18"/>
        </w:rPr>
        <w:t>1.2 OBJECTIVE</w:t>
      </w:r>
    </w:p>
    <w:p>
      <w:pPr>
        <w:spacing w:before="0"/>
        <w:ind w:left="270" w:right="1" w:firstLine="0"/>
        <w:jc w:val="both"/>
        <w:rPr>
          <w:sz w:val="18"/>
        </w:rPr>
      </w:pPr>
      <w:r>
        <w:rPr>
          <w:sz w:val="18"/>
        </w:rPr>
        <w:t>Evaluate ergonomic risks in a job of Metal-mechanics industry, in order to make a proposal for ergonomic improvement in the productive system and optimize the interrelation Man-Machine- Environment in operations.</w:t>
      </w:r>
    </w:p>
    <w:p>
      <w:pPr>
        <w:pStyle w:val="BodyText"/>
        <w:spacing w:before="3"/>
        <w:rPr>
          <w:sz w:val="18"/>
        </w:rPr>
      </w:pPr>
    </w:p>
    <w:p>
      <w:pPr>
        <w:pStyle w:val="ListParagraph"/>
        <w:numPr>
          <w:ilvl w:val="1"/>
          <w:numId w:val="82"/>
        </w:numPr>
        <w:tabs>
          <w:tab w:pos="542" w:val="left" w:leader="none"/>
        </w:tabs>
        <w:spacing w:line="206" w:lineRule="exact" w:before="0" w:after="0"/>
        <w:ind w:left="541" w:right="0" w:hanging="271"/>
        <w:jc w:val="both"/>
        <w:rPr>
          <w:b/>
          <w:sz w:val="18"/>
        </w:rPr>
      </w:pPr>
      <w:r>
        <w:rPr>
          <w:b/>
          <w:sz w:val="18"/>
        </w:rPr>
        <w:t>SPECIFIC</w:t>
      </w:r>
      <w:r>
        <w:rPr>
          <w:b/>
          <w:spacing w:val="-16"/>
          <w:sz w:val="18"/>
        </w:rPr>
        <w:t> </w:t>
      </w:r>
      <w:r>
        <w:rPr>
          <w:b/>
          <w:sz w:val="18"/>
        </w:rPr>
        <w:t>OBJECTIVE</w:t>
      </w:r>
    </w:p>
    <w:p>
      <w:pPr>
        <w:pStyle w:val="ListParagraph"/>
        <w:numPr>
          <w:ilvl w:val="0"/>
          <w:numId w:val="41"/>
        </w:numPr>
        <w:tabs>
          <w:tab w:pos="631" w:val="left" w:leader="none"/>
        </w:tabs>
        <w:spacing w:line="219" w:lineRule="exact" w:before="0" w:after="0"/>
        <w:ind w:left="630" w:right="0" w:hanging="360"/>
        <w:jc w:val="both"/>
        <w:rPr>
          <w:sz w:val="18"/>
        </w:rPr>
      </w:pPr>
      <w:r>
        <w:rPr>
          <w:sz w:val="18"/>
        </w:rPr>
        <w:t>Evaluate the degree of ergonomic risk by NIOSH</w:t>
      </w:r>
      <w:r>
        <w:rPr>
          <w:spacing w:val="-11"/>
          <w:sz w:val="18"/>
        </w:rPr>
        <w:t> </w:t>
      </w:r>
      <w:r>
        <w:rPr>
          <w:sz w:val="18"/>
        </w:rPr>
        <w:t>equation.</w:t>
      </w:r>
    </w:p>
    <w:p>
      <w:pPr>
        <w:pStyle w:val="ListParagraph"/>
        <w:numPr>
          <w:ilvl w:val="0"/>
          <w:numId w:val="41"/>
        </w:numPr>
        <w:tabs>
          <w:tab w:pos="631" w:val="left" w:leader="none"/>
        </w:tabs>
        <w:spacing w:line="220" w:lineRule="exact" w:before="0" w:after="0"/>
        <w:ind w:left="630" w:right="0" w:hanging="360"/>
        <w:jc w:val="both"/>
        <w:rPr>
          <w:sz w:val="18"/>
        </w:rPr>
      </w:pPr>
      <w:r>
        <w:rPr>
          <w:sz w:val="18"/>
        </w:rPr>
        <w:t>Evaluate ergonomic risks for repeatability by</w:t>
      </w:r>
      <w:r>
        <w:rPr>
          <w:spacing w:val="-11"/>
          <w:sz w:val="18"/>
        </w:rPr>
        <w:t> </w:t>
      </w:r>
      <w:r>
        <w:rPr>
          <w:sz w:val="18"/>
        </w:rPr>
        <w:t>RULA.</w:t>
      </w:r>
    </w:p>
    <w:p>
      <w:pPr>
        <w:pStyle w:val="BodyText"/>
        <w:spacing w:before="3"/>
        <w:rPr>
          <w:sz w:val="18"/>
        </w:rPr>
      </w:pPr>
    </w:p>
    <w:p>
      <w:pPr>
        <w:pStyle w:val="ListParagraph"/>
        <w:numPr>
          <w:ilvl w:val="1"/>
          <w:numId w:val="82"/>
        </w:numPr>
        <w:tabs>
          <w:tab w:pos="542" w:val="left" w:leader="none"/>
        </w:tabs>
        <w:spacing w:line="205" w:lineRule="exact" w:before="0" w:after="0"/>
        <w:ind w:left="541" w:right="0" w:hanging="271"/>
        <w:jc w:val="both"/>
        <w:rPr>
          <w:b/>
          <w:sz w:val="18"/>
        </w:rPr>
      </w:pPr>
      <w:r>
        <w:rPr>
          <w:b/>
          <w:sz w:val="18"/>
        </w:rPr>
        <w:t>DELIMITATIONS</w:t>
      </w:r>
    </w:p>
    <w:p>
      <w:pPr>
        <w:spacing w:line="206" w:lineRule="exact" w:before="1"/>
        <w:ind w:left="270" w:right="118" w:firstLine="0"/>
        <w:jc w:val="left"/>
        <w:rPr>
          <w:sz w:val="18"/>
        </w:rPr>
      </w:pPr>
      <w:r>
        <w:rPr>
          <w:sz w:val="18"/>
        </w:rPr>
        <w:t>The study was conducted in a Metal-Mechanics Company, in particular, the area of machinery and operators.</w:t>
      </w:r>
    </w:p>
    <w:p>
      <w:pPr>
        <w:spacing w:before="0"/>
        <w:ind w:left="270" w:right="1" w:firstLine="0"/>
        <w:jc w:val="both"/>
        <w:rPr>
          <w:sz w:val="18"/>
        </w:rPr>
      </w:pPr>
      <w:r>
        <w:rPr>
          <w:sz w:val="18"/>
        </w:rPr>
        <w:t>The jobs considered for analysis were the positions where loads are handled, where have poor posture, or where repetitively was detected.</w:t>
      </w:r>
    </w:p>
    <w:p>
      <w:pPr>
        <w:pStyle w:val="BodyText"/>
        <w:spacing w:before="3"/>
        <w:rPr>
          <w:sz w:val="18"/>
        </w:rPr>
      </w:pPr>
    </w:p>
    <w:p>
      <w:pPr>
        <w:pStyle w:val="ListParagraph"/>
        <w:numPr>
          <w:ilvl w:val="0"/>
          <w:numId w:val="81"/>
        </w:numPr>
        <w:tabs>
          <w:tab w:pos="453" w:val="left" w:leader="none"/>
        </w:tabs>
        <w:spacing w:line="240" w:lineRule="auto" w:before="0" w:after="0"/>
        <w:ind w:left="452" w:right="0" w:hanging="182"/>
        <w:jc w:val="both"/>
        <w:rPr>
          <w:b/>
          <w:sz w:val="18"/>
        </w:rPr>
      </w:pPr>
      <w:r>
        <w:rPr>
          <w:b/>
          <w:sz w:val="18"/>
        </w:rPr>
        <w:t>METHOD</w:t>
      </w:r>
    </w:p>
    <w:p>
      <w:pPr>
        <w:pStyle w:val="BodyText"/>
        <w:rPr>
          <w:b/>
          <w:sz w:val="18"/>
        </w:rPr>
      </w:pPr>
    </w:p>
    <w:p>
      <w:pPr>
        <w:pStyle w:val="ListParagraph"/>
        <w:numPr>
          <w:ilvl w:val="1"/>
          <w:numId w:val="81"/>
        </w:numPr>
        <w:tabs>
          <w:tab w:pos="542" w:val="left" w:leader="none"/>
        </w:tabs>
        <w:spacing w:line="205" w:lineRule="exact" w:before="0" w:after="0"/>
        <w:ind w:left="541" w:right="0" w:hanging="271"/>
        <w:jc w:val="both"/>
        <w:rPr>
          <w:b/>
          <w:sz w:val="18"/>
        </w:rPr>
      </w:pPr>
      <w:r>
        <w:rPr>
          <w:b/>
          <w:sz w:val="18"/>
        </w:rPr>
        <w:t>SUBJECT OF</w:t>
      </w:r>
      <w:r>
        <w:rPr>
          <w:b/>
          <w:spacing w:val="-12"/>
          <w:sz w:val="18"/>
        </w:rPr>
        <w:t> </w:t>
      </w:r>
      <w:r>
        <w:rPr>
          <w:b/>
          <w:sz w:val="18"/>
        </w:rPr>
        <w:t>STUDY</w:t>
      </w:r>
    </w:p>
    <w:p>
      <w:pPr>
        <w:spacing w:line="240" w:lineRule="auto" w:before="0"/>
        <w:ind w:left="270" w:right="0" w:firstLine="0"/>
        <w:jc w:val="both"/>
        <w:rPr>
          <w:sz w:val="18"/>
        </w:rPr>
      </w:pPr>
      <w:r>
        <w:rPr>
          <w:sz w:val="18"/>
        </w:rPr>
        <w:t>The subject of study was a Metal-Mechanics Company, specifically from machinery and operators, where the main service is lathe and rectified.</w:t>
      </w:r>
    </w:p>
    <w:p>
      <w:pPr>
        <w:pStyle w:val="BodyText"/>
        <w:spacing w:before="3"/>
        <w:rPr>
          <w:sz w:val="18"/>
        </w:rPr>
      </w:pPr>
    </w:p>
    <w:p>
      <w:pPr>
        <w:pStyle w:val="ListParagraph"/>
        <w:numPr>
          <w:ilvl w:val="1"/>
          <w:numId w:val="81"/>
        </w:numPr>
        <w:tabs>
          <w:tab w:pos="542" w:val="left" w:leader="none"/>
        </w:tabs>
        <w:spacing w:line="205" w:lineRule="exact" w:before="0" w:after="0"/>
        <w:ind w:left="541" w:right="0" w:hanging="271"/>
        <w:jc w:val="both"/>
        <w:rPr>
          <w:b/>
          <w:sz w:val="18"/>
        </w:rPr>
      </w:pPr>
      <w:r>
        <w:rPr>
          <w:b/>
          <w:sz w:val="18"/>
        </w:rPr>
        <w:t>PROCEDURE</w:t>
      </w:r>
    </w:p>
    <w:p>
      <w:pPr>
        <w:spacing w:line="205" w:lineRule="exact" w:before="0"/>
        <w:ind w:left="270" w:right="0" w:firstLine="0"/>
        <w:jc w:val="both"/>
        <w:rPr>
          <w:sz w:val="18"/>
        </w:rPr>
      </w:pPr>
      <w:r>
        <w:rPr>
          <w:sz w:val="18"/>
        </w:rPr>
        <w:t>The procedure was the following:</w:t>
      </w:r>
    </w:p>
    <w:p>
      <w:pPr>
        <w:pStyle w:val="BodyText"/>
        <w:rPr>
          <w:sz w:val="18"/>
        </w:rPr>
      </w:pPr>
    </w:p>
    <w:p>
      <w:pPr>
        <w:pStyle w:val="ListParagraph"/>
        <w:numPr>
          <w:ilvl w:val="2"/>
          <w:numId w:val="81"/>
        </w:numPr>
        <w:tabs>
          <w:tab w:pos="686" w:val="left" w:leader="none"/>
        </w:tabs>
        <w:spacing w:line="240" w:lineRule="auto" w:before="0" w:after="0"/>
        <w:ind w:left="441" w:right="0" w:firstLine="0"/>
        <w:jc w:val="left"/>
        <w:rPr>
          <w:sz w:val="18"/>
        </w:rPr>
      </w:pPr>
      <w:r>
        <w:rPr>
          <w:sz w:val="18"/>
        </w:rPr>
        <w:t>Determine the operation and worker to be evaluated with distinct methods</w:t>
      </w:r>
    </w:p>
    <w:p>
      <w:pPr>
        <w:pStyle w:val="ListParagraph"/>
        <w:numPr>
          <w:ilvl w:val="2"/>
          <w:numId w:val="81"/>
        </w:numPr>
        <w:tabs>
          <w:tab w:pos="636" w:val="left" w:leader="none"/>
        </w:tabs>
        <w:spacing w:line="207" w:lineRule="exact" w:before="0" w:after="0"/>
        <w:ind w:left="636" w:right="0" w:hanging="195"/>
        <w:jc w:val="both"/>
        <w:rPr>
          <w:sz w:val="18"/>
        </w:rPr>
      </w:pPr>
      <w:r>
        <w:rPr>
          <w:sz w:val="18"/>
        </w:rPr>
        <w:t>Observe to worker during a time</w:t>
      </w:r>
      <w:r>
        <w:rPr>
          <w:spacing w:val="-20"/>
          <w:sz w:val="18"/>
        </w:rPr>
        <w:t> </w:t>
      </w:r>
      <w:r>
        <w:rPr>
          <w:sz w:val="18"/>
        </w:rPr>
        <w:t>period.</w:t>
      </w:r>
    </w:p>
    <w:p>
      <w:pPr>
        <w:pStyle w:val="ListParagraph"/>
        <w:numPr>
          <w:ilvl w:val="2"/>
          <w:numId w:val="81"/>
        </w:numPr>
        <w:tabs>
          <w:tab w:pos="660" w:val="left" w:leader="none"/>
        </w:tabs>
        <w:spacing w:line="240" w:lineRule="auto" w:before="0" w:after="0"/>
        <w:ind w:left="441" w:right="0" w:firstLine="0"/>
        <w:jc w:val="both"/>
        <w:rPr>
          <w:sz w:val="18"/>
        </w:rPr>
      </w:pPr>
      <w:r>
        <w:rPr>
          <w:sz w:val="18"/>
        </w:rPr>
        <w:t>Take video and photos during the observation of the worker without interrupting task while the worker conducted the NIOSH and RULA</w:t>
      </w:r>
      <w:r>
        <w:rPr>
          <w:spacing w:val="-2"/>
          <w:sz w:val="18"/>
        </w:rPr>
        <w:t> </w:t>
      </w:r>
      <w:r>
        <w:rPr>
          <w:sz w:val="18"/>
        </w:rPr>
        <w:t>Methods.</w:t>
      </w:r>
    </w:p>
    <w:p>
      <w:pPr>
        <w:pStyle w:val="ListParagraph"/>
        <w:numPr>
          <w:ilvl w:val="2"/>
          <w:numId w:val="81"/>
        </w:numPr>
        <w:tabs>
          <w:tab w:pos="690" w:val="left" w:leader="none"/>
        </w:tabs>
        <w:spacing w:line="240" w:lineRule="auto" w:before="0" w:after="0"/>
        <w:ind w:left="441" w:right="1" w:firstLine="44"/>
        <w:jc w:val="left"/>
        <w:rPr>
          <w:sz w:val="18"/>
        </w:rPr>
      </w:pPr>
      <w:r>
        <w:rPr>
          <w:sz w:val="18"/>
        </w:rPr>
        <w:t>Collect relevant data origin and destination for the realization of Equation NIOSH</w:t>
      </w:r>
      <w:r>
        <w:rPr>
          <w:spacing w:val="-1"/>
          <w:sz w:val="18"/>
        </w:rPr>
        <w:t> </w:t>
      </w:r>
      <w:r>
        <w:rPr>
          <w:sz w:val="18"/>
        </w:rPr>
        <w:t>method.</w:t>
      </w:r>
    </w:p>
    <w:p>
      <w:pPr>
        <w:pStyle w:val="ListParagraph"/>
        <w:numPr>
          <w:ilvl w:val="2"/>
          <w:numId w:val="81"/>
        </w:numPr>
        <w:tabs>
          <w:tab w:pos="682" w:val="left" w:leader="none"/>
        </w:tabs>
        <w:spacing w:line="240" w:lineRule="auto" w:before="0" w:after="0"/>
        <w:ind w:left="441" w:right="0" w:firstLine="0"/>
        <w:jc w:val="left"/>
        <w:rPr>
          <w:sz w:val="18"/>
        </w:rPr>
      </w:pPr>
      <w:r>
        <w:rPr>
          <w:sz w:val="18"/>
        </w:rPr>
        <w:t>Calculate the multiplier factors of NIOSH Equation for the task at the origin and destination of</w:t>
      </w:r>
      <w:r>
        <w:rPr>
          <w:spacing w:val="-13"/>
          <w:sz w:val="18"/>
        </w:rPr>
        <w:t> </w:t>
      </w:r>
      <w:r>
        <w:rPr>
          <w:sz w:val="18"/>
        </w:rPr>
        <w:t>lifting.</w:t>
      </w:r>
    </w:p>
    <w:p>
      <w:pPr>
        <w:pStyle w:val="ListParagraph"/>
        <w:numPr>
          <w:ilvl w:val="2"/>
          <w:numId w:val="81"/>
        </w:numPr>
        <w:tabs>
          <w:tab w:pos="655" w:val="left" w:leader="none"/>
        </w:tabs>
        <w:spacing w:line="240" w:lineRule="auto" w:before="0" w:after="0"/>
        <w:ind w:left="441" w:right="0" w:firstLine="0"/>
        <w:jc w:val="left"/>
        <w:rPr>
          <w:sz w:val="18"/>
        </w:rPr>
      </w:pPr>
      <w:r>
        <w:rPr>
          <w:sz w:val="18"/>
        </w:rPr>
        <w:t>Determine the value of the Maximum Recommended Weight (RWL) for origin and destination of lifting by NIOSH</w:t>
      </w:r>
      <w:r>
        <w:rPr>
          <w:spacing w:val="-12"/>
          <w:sz w:val="18"/>
        </w:rPr>
        <w:t> </w:t>
      </w:r>
      <w:r>
        <w:rPr>
          <w:sz w:val="18"/>
        </w:rPr>
        <w:t>Equation.</w:t>
      </w:r>
    </w:p>
    <w:p>
      <w:pPr>
        <w:pStyle w:val="ListParagraph"/>
        <w:numPr>
          <w:ilvl w:val="2"/>
          <w:numId w:val="81"/>
        </w:numPr>
        <w:tabs>
          <w:tab w:pos="638" w:val="left" w:leader="none"/>
        </w:tabs>
        <w:spacing w:line="207" w:lineRule="exact" w:before="0" w:after="0"/>
        <w:ind w:left="637" w:right="0" w:hanging="196"/>
        <w:jc w:val="both"/>
        <w:rPr>
          <w:sz w:val="18"/>
        </w:rPr>
      </w:pPr>
      <w:r>
        <w:rPr>
          <w:sz w:val="18"/>
        </w:rPr>
        <w:t>Calculate the lifting</w:t>
      </w:r>
      <w:r>
        <w:rPr>
          <w:spacing w:val="-8"/>
          <w:sz w:val="18"/>
        </w:rPr>
        <w:t> </w:t>
      </w:r>
      <w:r>
        <w:rPr>
          <w:sz w:val="18"/>
        </w:rPr>
        <w:t>index.</w:t>
      </w:r>
    </w:p>
    <w:p>
      <w:pPr>
        <w:pStyle w:val="ListParagraph"/>
        <w:numPr>
          <w:ilvl w:val="2"/>
          <w:numId w:val="81"/>
        </w:numPr>
        <w:tabs>
          <w:tab w:pos="638" w:val="left" w:leader="none"/>
        </w:tabs>
        <w:spacing w:line="207" w:lineRule="exact" w:before="0" w:after="0"/>
        <w:ind w:left="637" w:right="0" w:hanging="196"/>
        <w:jc w:val="both"/>
        <w:rPr>
          <w:sz w:val="18"/>
        </w:rPr>
      </w:pPr>
      <w:r>
        <w:rPr>
          <w:sz w:val="18"/>
        </w:rPr>
        <w:t>Select the postures to evaluate for RULA</w:t>
      </w:r>
      <w:r>
        <w:rPr>
          <w:spacing w:val="-11"/>
          <w:sz w:val="18"/>
        </w:rPr>
        <w:t> </w:t>
      </w:r>
      <w:r>
        <w:rPr>
          <w:sz w:val="18"/>
        </w:rPr>
        <w:t>Method.</w:t>
      </w:r>
    </w:p>
    <w:p>
      <w:pPr>
        <w:pStyle w:val="ListParagraph"/>
        <w:numPr>
          <w:ilvl w:val="2"/>
          <w:numId w:val="81"/>
        </w:numPr>
        <w:tabs>
          <w:tab w:pos="637" w:val="left" w:leader="none"/>
        </w:tabs>
        <w:spacing w:line="207" w:lineRule="exact" w:before="0" w:after="0"/>
        <w:ind w:left="636" w:right="0" w:hanging="195"/>
        <w:jc w:val="both"/>
        <w:rPr>
          <w:sz w:val="18"/>
        </w:rPr>
      </w:pPr>
      <w:r>
        <w:rPr>
          <w:sz w:val="18"/>
        </w:rPr>
        <w:t>Observe the photographs and determine</w:t>
      </w:r>
      <w:r>
        <w:rPr>
          <w:spacing w:val="-9"/>
          <w:sz w:val="18"/>
        </w:rPr>
        <w:t> </w:t>
      </w:r>
      <w:r>
        <w:rPr>
          <w:sz w:val="18"/>
        </w:rPr>
        <w:t>angles.</w:t>
      </w:r>
    </w:p>
    <w:p>
      <w:pPr>
        <w:pStyle w:val="ListParagraph"/>
        <w:numPr>
          <w:ilvl w:val="2"/>
          <w:numId w:val="81"/>
        </w:numPr>
        <w:tabs>
          <w:tab w:pos="728" w:val="left" w:leader="none"/>
        </w:tabs>
        <w:spacing w:line="207" w:lineRule="exact" w:before="0" w:after="0"/>
        <w:ind w:left="727" w:right="0" w:hanging="286"/>
        <w:jc w:val="both"/>
        <w:rPr>
          <w:sz w:val="18"/>
        </w:rPr>
      </w:pPr>
      <w:r>
        <w:rPr>
          <w:sz w:val="18"/>
        </w:rPr>
        <w:t>Determine the scores for each body</w:t>
      </w:r>
      <w:r>
        <w:rPr>
          <w:spacing w:val="-8"/>
          <w:sz w:val="18"/>
        </w:rPr>
        <w:t> </w:t>
      </w:r>
      <w:r>
        <w:rPr>
          <w:sz w:val="18"/>
        </w:rPr>
        <w:t>part.</w:t>
      </w:r>
    </w:p>
    <w:p>
      <w:pPr>
        <w:pStyle w:val="ListParagraph"/>
        <w:numPr>
          <w:ilvl w:val="2"/>
          <w:numId w:val="81"/>
        </w:numPr>
        <w:tabs>
          <w:tab w:pos="766" w:val="left" w:leader="none"/>
        </w:tabs>
        <w:spacing w:line="240" w:lineRule="auto" w:before="0" w:after="0"/>
        <w:ind w:left="441" w:right="0" w:firstLine="0"/>
        <w:jc w:val="left"/>
        <w:rPr>
          <w:sz w:val="18"/>
        </w:rPr>
      </w:pPr>
      <w:r>
        <w:rPr>
          <w:sz w:val="18"/>
        </w:rPr>
        <w:t>Obtain the final score of RULA method and the level of performance to determine the existence of</w:t>
      </w:r>
      <w:r>
        <w:rPr>
          <w:spacing w:val="-13"/>
          <w:sz w:val="18"/>
        </w:rPr>
        <w:t> </w:t>
      </w:r>
      <w:r>
        <w:rPr>
          <w:sz w:val="18"/>
        </w:rPr>
        <w:t>risks.</w:t>
      </w:r>
    </w:p>
    <w:p>
      <w:pPr>
        <w:pStyle w:val="BodyText"/>
        <w:rPr>
          <w:sz w:val="18"/>
        </w:rPr>
      </w:pPr>
    </w:p>
    <w:p>
      <w:pPr>
        <w:pStyle w:val="BodyText"/>
        <w:spacing w:before="3"/>
        <w:rPr>
          <w:sz w:val="18"/>
        </w:rPr>
      </w:pPr>
    </w:p>
    <w:p>
      <w:pPr>
        <w:pStyle w:val="ListParagraph"/>
        <w:numPr>
          <w:ilvl w:val="1"/>
          <w:numId w:val="81"/>
        </w:numPr>
        <w:tabs>
          <w:tab w:pos="542" w:val="left" w:leader="none"/>
        </w:tabs>
        <w:spacing w:line="240" w:lineRule="auto" w:before="0" w:after="0"/>
        <w:ind w:left="541" w:right="0" w:hanging="271"/>
        <w:jc w:val="both"/>
        <w:rPr>
          <w:b/>
          <w:sz w:val="18"/>
        </w:rPr>
      </w:pPr>
      <w:r>
        <w:rPr>
          <w:b/>
          <w:sz w:val="18"/>
        </w:rPr>
        <w:t>MATERIALS</w:t>
      </w:r>
    </w:p>
    <w:p>
      <w:pPr>
        <w:pStyle w:val="BodyText"/>
        <w:spacing w:before="8"/>
        <w:rPr>
          <w:b/>
          <w:sz w:val="17"/>
        </w:rPr>
      </w:pPr>
    </w:p>
    <w:p>
      <w:pPr>
        <w:pStyle w:val="ListParagraph"/>
        <w:numPr>
          <w:ilvl w:val="0"/>
          <w:numId w:val="83"/>
        </w:numPr>
        <w:tabs>
          <w:tab w:pos="978" w:val="left" w:leader="none"/>
          <w:tab w:pos="979" w:val="left" w:leader="none"/>
        </w:tabs>
        <w:spacing w:line="240" w:lineRule="auto" w:before="0" w:after="0"/>
        <w:ind w:left="978" w:right="0" w:hanging="348"/>
        <w:jc w:val="left"/>
        <w:rPr>
          <w:sz w:val="18"/>
        </w:rPr>
      </w:pPr>
      <w:r>
        <w:rPr>
          <w:sz w:val="18"/>
        </w:rPr>
        <w:t>Chronometer</w:t>
      </w:r>
    </w:p>
    <w:p>
      <w:pPr>
        <w:pStyle w:val="ListParagraph"/>
        <w:numPr>
          <w:ilvl w:val="0"/>
          <w:numId w:val="83"/>
        </w:numPr>
        <w:tabs>
          <w:tab w:pos="978" w:val="left" w:leader="none"/>
          <w:tab w:pos="979" w:val="left" w:leader="none"/>
        </w:tabs>
        <w:spacing w:line="220" w:lineRule="exact" w:before="0" w:after="0"/>
        <w:ind w:left="978" w:right="0" w:hanging="348"/>
        <w:jc w:val="left"/>
        <w:rPr>
          <w:sz w:val="18"/>
        </w:rPr>
      </w:pPr>
      <w:r>
        <w:rPr>
          <w:sz w:val="18"/>
        </w:rPr>
        <w:t>Calculator</w:t>
      </w:r>
    </w:p>
    <w:p>
      <w:pPr>
        <w:pStyle w:val="ListParagraph"/>
        <w:numPr>
          <w:ilvl w:val="0"/>
          <w:numId w:val="83"/>
        </w:numPr>
        <w:tabs>
          <w:tab w:pos="978" w:val="left" w:leader="none"/>
          <w:tab w:pos="979" w:val="left" w:leader="none"/>
        </w:tabs>
        <w:spacing w:line="220" w:lineRule="exact" w:before="0" w:after="0"/>
        <w:ind w:left="978" w:right="0" w:hanging="348"/>
        <w:jc w:val="left"/>
        <w:rPr>
          <w:sz w:val="18"/>
        </w:rPr>
      </w:pPr>
      <w:r>
        <w:rPr>
          <w:sz w:val="18"/>
        </w:rPr>
        <w:t>RULA</w:t>
      </w:r>
      <w:r>
        <w:rPr>
          <w:spacing w:val="-2"/>
          <w:sz w:val="18"/>
        </w:rPr>
        <w:t> </w:t>
      </w:r>
      <w:r>
        <w:rPr>
          <w:sz w:val="18"/>
        </w:rPr>
        <w:t>Worksheet</w:t>
      </w:r>
    </w:p>
    <w:p>
      <w:pPr>
        <w:pStyle w:val="ListParagraph"/>
        <w:numPr>
          <w:ilvl w:val="0"/>
          <w:numId w:val="83"/>
        </w:numPr>
        <w:tabs>
          <w:tab w:pos="978" w:val="left" w:leader="none"/>
          <w:tab w:pos="979" w:val="left" w:leader="none"/>
        </w:tabs>
        <w:spacing w:line="220" w:lineRule="exact" w:before="0" w:after="0"/>
        <w:ind w:left="978" w:right="0" w:hanging="348"/>
        <w:jc w:val="left"/>
        <w:rPr>
          <w:sz w:val="18"/>
        </w:rPr>
      </w:pPr>
      <w:r>
        <w:rPr>
          <w:sz w:val="18"/>
        </w:rPr>
        <w:t>Equation NIOSH</w:t>
      </w:r>
      <w:r>
        <w:rPr>
          <w:spacing w:val="-20"/>
          <w:sz w:val="18"/>
        </w:rPr>
        <w:t> </w:t>
      </w:r>
      <w:r>
        <w:rPr>
          <w:sz w:val="18"/>
        </w:rPr>
        <w:t>Worksheet</w:t>
      </w:r>
    </w:p>
    <w:p>
      <w:pPr>
        <w:pStyle w:val="ListParagraph"/>
        <w:numPr>
          <w:ilvl w:val="0"/>
          <w:numId w:val="83"/>
        </w:numPr>
        <w:tabs>
          <w:tab w:pos="978" w:val="left" w:leader="none"/>
          <w:tab w:pos="979" w:val="left" w:leader="none"/>
        </w:tabs>
        <w:spacing w:line="220" w:lineRule="exact" w:before="0" w:after="0"/>
        <w:ind w:left="978" w:right="0" w:hanging="348"/>
        <w:jc w:val="left"/>
        <w:rPr>
          <w:sz w:val="18"/>
        </w:rPr>
      </w:pPr>
      <w:r>
        <w:rPr>
          <w:sz w:val="18"/>
        </w:rPr>
        <w:t>Photo</w:t>
      </w:r>
      <w:r>
        <w:rPr>
          <w:spacing w:val="-10"/>
          <w:sz w:val="18"/>
        </w:rPr>
        <w:t> </w:t>
      </w:r>
      <w:r>
        <w:rPr>
          <w:sz w:val="18"/>
        </w:rPr>
        <w:t>camera</w:t>
      </w:r>
    </w:p>
    <w:p>
      <w:pPr>
        <w:pStyle w:val="BodyText"/>
        <w:spacing w:before="3"/>
        <w:rPr>
          <w:sz w:val="18"/>
        </w:rPr>
      </w:pPr>
    </w:p>
    <w:p>
      <w:pPr>
        <w:pStyle w:val="ListParagraph"/>
        <w:numPr>
          <w:ilvl w:val="0"/>
          <w:numId w:val="81"/>
        </w:numPr>
        <w:tabs>
          <w:tab w:pos="452" w:val="left" w:leader="none"/>
        </w:tabs>
        <w:spacing w:line="240" w:lineRule="auto" w:before="0" w:after="0"/>
        <w:ind w:left="451" w:right="0" w:hanging="181"/>
        <w:jc w:val="both"/>
        <w:rPr>
          <w:b/>
          <w:sz w:val="18"/>
        </w:rPr>
      </w:pPr>
      <w:r>
        <w:rPr>
          <w:b/>
          <w:sz w:val="18"/>
        </w:rPr>
        <w:t>METHODOLOGY</w:t>
      </w:r>
    </w:p>
    <w:p>
      <w:pPr>
        <w:pStyle w:val="BodyText"/>
        <w:rPr>
          <w:b/>
          <w:sz w:val="18"/>
        </w:rPr>
      </w:pPr>
    </w:p>
    <w:p>
      <w:pPr>
        <w:pStyle w:val="ListParagraph"/>
        <w:numPr>
          <w:ilvl w:val="1"/>
          <w:numId w:val="81"/>
        </w:numPr>
        <w:tabs>
          <w:tab w:pos="542" w:val="left" w:leader="none"/>
        </w:tabs>
        <w:spacing w:line="240" w:lineRule="auto" w:before="0" w:after="0"/>
        <w:ind w:left="541" w:right="0" w:hanging="271"/>
        <w:jc w:val="both"/>
        <w:rPr>
          <w:b/>
          <w:sz w:val="18"/>
        </w:rPr>
      </w:pPr>
      <w:r>
        <w:rPr>
          <w:b/>
          <w:sz w:val="18"/>
        </w:rPr>
        <w:t>NIOSH</w:t>
      </w:r>
      <w:r>
        <w:rPr>
          <w:b/>
          <w:spacing w:val="-12"/>
          <w:sz w:val="18"/>
        </w:rPr>
        <w:t> </w:t>
      </w:r>
      <w:r>
        <w:rPr>
          <w:b/>
          <w:sz w:val="18"/>
        </w:rPr>
        <w:t>EQUATION</w:t>
      </w:r>
    </w:p>
    <w:p>
      <w:pPr>
        <w:pStyle w:val="BodyText"/>
        <w:spacing w:before="7"/>
        <w:rPr>
          <w:b/>
          <w:sz w:val="17"/>
        </w:rPr>
      </w:pPr>
    </w:p>
    <w:p>
      <w:pPr>
        <w:spacing w:before="1"/>
        <w:ind w:left="270" w:right="0" w:firstLine="0"/>
        <w:jc w:val="both"/>
        <w:rPr>
          <w:sz w:val="18"/>
        </w:rPr>
      </w:pPr>
      <w:r>
        <w:rPr>
          <w:sz w:val="18"/>
        </w:rPr>
        <w:t>In 1981, the U.S. DEPARTMENT OF HFALTH AND HUMAN</w:t>
      </w:r>
    </w:p>
    <w:p>
      <w:pPr>
        <w:spacing w:before="0"/>
        <w:ind w:left="270" w:right="0" w:firstLine="0"/>
        <w:jc w:val="both"/>
        <w:rPr>
          <w:sz w:val="18"/>
        </w:rPr>
      </w:pPr>
      <w:r>
        <w:rPr>
          <w:sz w:val="18"/>
        </w:rPr>
        <w:t>SERVICES through the National Institute for Occupational Safety and Health published the first release about NIOSH Equation </w:t>
      </w:r>
      <w:r>
        <w:rPr>
          <w:b/>
          <w:sz w:val="18"/>
        </w:rPr>
        <w:t>Error! Reference source not found.</w:t>
      </w:r>
      <w:r>
        <w:rPr>
          <w:sz w:val="18"/>
        </w:rPr>
        <w:t>]; subsequently was</w:t>
      </w:r>
      <w:r>
        <w:rPr>
          <w:spacing w:val="17"/>
          <w:sz w:val="18"/>
        </w:rPr>
        <w:t> </w:t>
      </w:r>
      <w:r>
        <w:rPr>
          <w:sz w:val="18"/>
        </w:rPr>
        <w:t>published</w:t>
      </w:r>
    </w:p>
    <w:p>
      <w:pPr>
        <w:spacing w:before="77"/>
        <w:ind w:left="270" w:right="676" w:firstLine="0"/>
        <w:jc w:val="both"/>
        <w:rPr>
          <w:sz w:val="18"/>
        </w:rPr>
      </w:pPr>
      <w:r>
        <w:rPr/>
        <w:br w:type="column"/>
      </w:r>
      <w:r>
        <w:rPr>
          <w:sz w:val="18"/>
        </w:rPr>
        <w:t>in 1991 a second release in which new advances were collected, allowing to evaluate asymmetric lifting with grips of non-optimal load and a greater range of time-frequency lifting. Besides in this release was included the lifting index (LI) which is an indicator  that permits to identify hazardous uprisings.[</w:t>
      </w:r>
      <w:r>
        <w:rPr>
          <w:spacing w:val="-9"/>
          <w:sz w:val="18"/>
        </w:rPr>
        <w:t> </w:t>
      </w:r>
      <w:r>
        <w:rPr>
          <w:sz w:val="18"/>
        </w:rPr>
        <w:t>16]</w:t>
      </w:r>
    </w:p>
    <w:p>
      <w:pPr>
        <w:spacing w:before="0"/>
        <w:ind w:left="270" w:right="675" w:firstLine="170"/>
        <w:jc w:val="both"/>
        <w:rPr>
          <w:sz w:val="18"/>
        </w:rPr>
      </w:pPr>
      <w:r>
        <w:rPr>
          <w:sz w:val="18"/>
        </w:rPr>
        <w:t>Both releases were elaborated considering three criterion: i) </w:t>
      </w:r>
      <w:r>
        <w:rPr>
          <w:i/>
          <w:sz w:val="18"/>
        </w:rPr>
        <w:t>Biomechanical</w:t>
      </w:r>
      <w:r>
        <w:rPr>
          <w:sz w:val="18"/>
        </w:rPr>
        <w:t>, which limits the stress in the lumbosacral region. This is the most important in infrequent uprisings but require overexertion. ii) </w:t>
      </w:r>
      <w:r>
        <w:rPr>
          <w:i/>
          <w:sz w:val="18"/>
        </w:rPr>
        <w:t>Physiological</w:t>
      </w:r>
      <w:r>
        <w:rPr>
          <w:sz w:val="18"/>
        </w:rPr>
        <w:t>, which is limited to metabolic stress and fatigue associated with repetitive tasks. iii) </w:t>
      </w:r>
      <w:r>
        <w:rPr>
          <w:i/>
          <w:sz w:val="18"/>
        </w:rPr>
        <w:t>Psychophysical</w:t>
      </w:r>
      <w:r>
        <w:rPr>
          <w:sz w:val="18"/>
        </w:rPr>
        <w:t>, is limited to the load, which is based on the perception of the worker regarding to his/her own capacity, applicable to all types of tasks, except those in which a frequency lifting high is given (more than  6 uprisings per minute).[</w:t>
      </w:r>
      <w:r>
        <w:rPr>
          <w:spacing w:val="-3"/>
          <w:sz w:val="18"/>
        </w:rPr>
        <w:t> </w:t>
      </w:r>
      <w:r>
        <w:rPr>
          <w:sz w:val="18"/>
        </w:rPr>
        <w:t>16]</w:t>
      </w:r>
    </w:p>
    <w:p>
      <w:pPr>
        <w:pStyle w:val="BodyText"/>
        <w:rPr>
          <w:sz w:val="18"/>
        </w:rPr>
      </w:pPr>
    </w:p>
    <w:p>
      <w:pPr>
        <w:spacing w:before="0"/>
        <w:ind w:left="270" w:right="675" w:firstLine="0"/>
        <w:jc w:val="both"/>
        <w:rPr>
          <w:sz w:val="18"/>
        </w:rPr>
      </w:pPr>
      <w:r>
        <w:rPr>
          <w:sz w:val="18"/>
        </w:rPr>
        <w:t>The review of the equation conducted by the committee of NIOSH in 1994 completes the description of the method and its limitations (see Table 1). After this last review, the NIOSH equation determines the recommended weight limit (RWL), from the quotient seven factors, being the risk index associated to lifting, the quotient between the weight of the load lifted and the recommended weight limit for thoses specific conditions equal to the lifting index (see Figure 2).[</w:t>
      </w:r>
      <w:r>
        <w:rPr>
          <w:spacing w:val="-5"/>
          <w:sz w:val="18"/>
        </w:rPr>
        <w:t> </w:t>
      </w:r>
      <w:r>
        <w:rPr>
          <w:sz w:val="18"/>
        </w:rPr>
        <w:t>16]</w:t>
      </w:r>
    </w:p>
    <w:p>
      <w:pPr>
        <w:pStyle w:val="BodyText"/>
        <w:rPr>
          <w:sz w:val="15"/>
        </w:rPr>
      </w:pPr>
      <w:r>
        <w:rPr/>
        <w:drawing>
          <wp:anchor distT="0" distB="0" distL="0" distR="0" allowOverlap="1" layoutInCell="1" locked="0" behindDoc="0" simplePos="0" relativeHeight="9352">
            <wp:simplePos x="0" y="0"/>
            <wp:positionH relativeFrom="page">
              <wp:posOffset>4439411</wp:posOffset>
            </wp:positionH>
            <wp:positionV relativeFrom="paragraph">
              <wp:posOffset>134530</wp:posOffset>
            </wp:positionV>
            <wp:extent cx="2439402" cy="476726"/>
            <wp:effectExtent l="0" t="0" r="0" b="0"/>
            <wp:wrapTopAndBottom/>
            <wp:docPr id="347" name="image204.png" descr=""/>
            <wp:cNvGraphicFramePr>
              <a:graphicFrameLocks noChangeAspect="1"/>
            </wp:cNvGraphicFramePr>
            <a:graphic>
              <a:graphicData uri="http://schemas.openxmlformats.org/drawingml/2006/picture">
                <pic:pic>
                  <pic:nvPicPr>
                    <pic:cNvPr id="348" name="image204.png"/>
                    <pic:cNvPicPr/>
                  </pic:nvPicPr>
                  <pic:blipFill>
                    <a:blip r:embed="rId340" cstate="print"/>
                    <a:stretch>
                      <a:fillRect/>
                    </a:stretch>
                  </pic:blipFill>
                  <pic:spPr>
                    <a:xfrm>
                      <a:off x="0" y="0"/>
                      <a:ext cx="2439402" cy="476726"/>
                    </a:xfrm>
                    <a:prstGeom prst="rect">
                      <a:avLst/>
                    </a:prstGeom>
                  </pic:spPr>
                </pic:pic>
              </a:graphicData>
            </a:graphic>
          </wp:anchor>
        </w:drawing>
      </w:r>
    </w:p>
    <w:p>
      <w:pPr>
        <w:pStyle w:val="BodyText"/>
        <w:spacing w:before="10"/>
        <w:rPr>
          <w:sz w:val="14"/>
        </w:rPr>
      </w:pPr>
    </w:p>
    <w:p>
      <w:pPr>
        <w:spacing w:before="1"/>
        <w:ind w:left="354" w:right="762" w:firstLine="0"/>
        <w:jc w:val="center"/>
        <w:rPr>
          <w:sz w:val="18"/>
        </w:rPr>
      </w:pPr>
      <w:r>
        <w:rPr>
          <w:sz w:val="18"/>
        </w:rPr>
        <w:t>Figure 2. Lifting index (Source .Waters, Putz-Anderson, &amp; Garg, 1994)</w:t>
      </w:r>
    </w:p>
    <w:p>
      <w:pPr>
        <w:pStyle w:val="BodyText"/>
        <w:rPr>
          <w:sz w:val="18"/>
        </w:rPr>
      </w:pPr>
    </w:p>
    <w:p>
      <w:pPr>
        <w:pStyle w:val="ListParagraph"/>
        <w:numPr>
          <w:ilvl w:val="0"/>
          <w:numId w:val="84"/>
        </w:numPr>
        <w:tabs>
          <w:tab w:pos="991" w:val="left" w:leader="none"/>
        </w:tabs>
        <w:spacing w:line="240" w:lineRule="auto" w:before="0" w:after="0"/>
        <w:ind w:left="990" w:right="678" w:hanging="360"/>
        <w:jc w:val="both"/>
        <w:rPr>
          <w:sz w:val="18"/>
        </w:rPr>
      </w:pPr>
      <w:r>
        <w:rPr>
          <w:sz w:val="18"/>
        </w:rPr>
        <w:t>IF IL</w:t>
      </w:r>
      <w:r>
        <w:rPr>
          <w:b/>
          <w:sz w:val="18"/>
        </w:rPr>
        <w:t>≤</w:t>
      </w:r>
      <w:r>
        <w:rPr>
          <w:sz w:val="18"/>
        </w:rPr>
        <w:t>1 the task can be performed by most workers without causing</w:t>
      </w:r>
      <w:r>
        <w:rPr>
          <w:spacing w:val="-2"/>
          <w:sz w:val="18"/>
        </w:rPr>
        <w:t> </w:t>
      </w:r>
      <w:r>
        <w:rPr>
          <w:sz w:val="18"/>
        </w:rPr>
        <w:t>problems</w:t>
      </w:r>
    </w:p>
    <w:p>
      <w:pPr>
        <w:pStyle w:val="ListParagraph"/>
        <w:numPr>
          <w:ilvl w:val="0"/>
          <w:numId w:val="84"/>
        </w:numPr>
        <w:tabs>
          <w:tab w:pos="991" w:val="left" w:leader="none"/>
        </w:tabs>
        <w:spacing w:line="240" w:lineRule="auto" w:before="0" w:after="0"/>
        <w:ind w:left="990" w:right="676" w:hanging="360"/>
        <w:jc w:val="both"/>
        <w:rPr>
          <w:sz w:val="18"/>
        </w:rPr>
      </w:pPr>
      <w:r>
        <w:rPr>
          <w:sz w:val="18"/>
        </w:rPr>
        <w:t>IF IL is between 1 and 3, the task may cause problems for some workers. It's Convenient study the job and  make the necessary</w:t>
      </w:r>
      <w:r>
        <w:rPr>
          <w:spacing w:val="-3"/>
          <w:sz w:val="18"/>
        </w:rPr>
        <w:t> </w:t>
      </w:r>
      <w:r>
        <w:rPr>
          <w:sz w:val="18"/>
        </w:rPr>
        <w:t>changes.</w:t>
      </w:r>
    </w:p>
    <w:p>
      <w:pPr>
        <w:pStyle w:val="ListParagraph"/>
        <w:numPr>
          <w:ilvl w:val="0"/>
          <w:numId w:val="84"/>
        </w:numPr>
        <w:tabs>
          <w:tab w:pos="1036" w:val="left" w:leader="none"/>
        </w:tabs>
        <w:spacing w:line="240" w:lineRule="auto" w:before="0" w:after="0"/>
        <w:ind w:left="990" w:right="676" w:hanging="360"/>
        <w:jc w:val="both"/>
        <w:rPr>
          <w:sz w:val="18"/>
        </w:rPr>
      </w:pPr>
      <w:r>
        <w:rPr>
          <w:sz w:val="18"/>
        </w:rPr>
        <w:t>IF IL </w:t>
      </w:r>
      <w:r>
        <w:rPr>
          <w:b/>
          <w:sz w:val="18"/>
        </w:rPr>
        <w:t>≥</w:t>
      </w:r>
      <w:r>
        <w:rPr>
          <w:sz w:val="18"/>
        </w:rPr>
        <w:t>3 Task will cause problems to the most of the workers. This should be</w:t>
      </w:r>
      <w:r>
        <w:rPr>
          <w:spacing w:val="-2"/>
          <w:sz w:val="18"/>
        </w:rPr>
        <w:t> </w:t>
      </w:r>
      <w:r>
        <w:rPr>
          <w:sz w:val="18"/>
        </w:rPr>
        <w:t>modified.</w:t>
      </w:r>
    </w:p>
    <w:p>
      <w:pPr>
        <w:pStyle w:val="BodyText"/>
        <w:rPr>
          <w:sz w:val="18"/>
        </w:rPr>
      </w:pPr>
    </w:p>
    <w:p>
      <w:pPr>
        <w:spacing w:before="0"/>
        <w:ind w:left="270" w:right="676" w:firstLine="170"/>
        <w:jc w:val="both"/>
        <w:rPr>
          <w:sz w:val="18"/>
        </w:rPr>
      </w:pPr>
      <w:r>
        <w:rPr>
          <w:sz w:val="18"/>
        </w:rPr>
        <w:t>NIOSH equation evaluates tasks where the loads lifting are realized, offering as a result the maximum recommended weight (RWL: Recommended Weight Limit) which is possible to lift in a job, in order to avoid the appearance of back pain and others back problems.</w:t>
      </w:r>
    </w:p>
    <w:p>
      <w:pPr>
        <w:spacing w:before="0"/>
        <w:ind w:left="270" w:right="675" w:firstLine="170"/>
        <w:jc w:val="both"/>
        <w:rPr>
          <w:sz w:val="18"/>
        </w:rPr>
      </w:pPr>
      <w:r>
        <w:rPr>
          <w:sz w:val="18"/>
        </w:rPr>
        <w:t>The intermediate results are used to support the evaluator to determine the changes to be introduced in job to improve the conditions of the lifting.[ 16]</w:t>
      </w:r>
    </w:p>
    <w:p>
      <w:pPr>
        <w:pStyle w:val="BodyText"/>
        <w:rPr>
          <w:sz w:val="18"/>
        </w:rPr>
      </w:pPr>
    </w:p>
    <w:p>
      <w:pPr>
        <w:spacing w:before="0"/>
        <w:ind w:left="270" w:right="677" w:firstLine="170"/>
        <w:jc w:val="both"/>
        <w:rPr>
          <w:sz w:val="18"/>
        </w:rPr>
      </w:pPr>
      <w:r>
        <w:rPr>
          <w:sz w:val="18"/>
        </w:rPr>
        <w:t>NIOSH equation limit recommended weight calculated by the formula shown in Table 1.</w:t>
      </w:r>
    </w:p>
    <w:p>
      <w:pPr>
        <w:pStyle w:val="BodyText"/>
        <w:rPr>
          <w:sz w:val="18"/>
        </w:rPr>
      </w:pPr>
    </w:p>
    <w:p>
      <w:pPr>
        <w:pStyle w:val="BodyText"/>
        <w:spacing w:before="10"/>
        <w:rPr>
          <w:sz w:val="17"/>
        </w:rPr>
      </w:pPr>
    </w:p>
    <w:p>
      <w:pPr>
        <w:spacing w:before="1"/>
        <w:ind w:left="549" w:right="852" w:firstLine="0"/>
        <w:jc w:val="left"/>
        <w:rPr>
          <w:sz w:val="18"/>
        </w:rPr>
      </w:pPr>
      <w:r>
        <w:rPr/>
        <w:pict>
          <v:shape style="position:absolute;margin-left:341.160004pt;margin-top:21.021753pt;width:209pt;height:104.45pt;mso-position-horizontal-relative:page;mso-position-vertical-relative:paragraph;z-index:9376" type="#_x0000_t202" filled="false" stroked="false">
            <v:textbox inset="0,0,0,0">
              <w:txbxContent>
                <w:tbl>
                  <w:tblPr>
                    <w:tblW w:w="0" w:type="auto"/>
                    <w:jc w:val="lef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81"/>
                    <w:gridCol w:w="3670"/>
                  </w:tblGrid>
                  <w:tr>
                    <w:trPr>
                      <w:trHeight w:val="341" w:hRule="exact"/>
                    </w:trPr>
                    <w:tc>
                      <w:tcPr>
                        <w:tcW w:w="4151" w:type="dxa"/>
                        <w:gridSpan w:val="2"/>
                        <w:shd w:val="clear" w:color="auto" w:fill="C4D8F0"/>
                      </w:tcPr>
                      <w:p>
                        <w:pPr>
                          <w:pStyle w:val="TableParagraph"/>
                          <w:spacing w:before="53"/>
                          <w:ind w:left="1303"/>
                          <w:rPr>
                            <w:sz w:val="18"/>
                          </w:rPr>
                        </w:pPr>
                        <w:r>
                          <w:rPr>
                            <w:sz w:val="18"/>
                          </w:rPr>
                          <w:t>NIOSH EQUATION</w:t>
                        </w:r>
                      </w:p>
                    </w:tc>
                  </w:tr>
                  <w:tr>
                    <w:trPr>
                      <w:trHeight w:val="670" w:hRule="exact"/>
                    </w:trPr>
                    <w:tc>
                      <w:tcPr>
                        <w:tcW w:w="4151" w:type="dxa"/>
                        <w:gridSpan w:val="2"/>
                      </w:tcPr>
                      <w:p>
                        <w:pPr>
                          <w:pStyle w:val="TableParagraph"/>
                          <w:spacing w:before="2"/>
                          <w:rPr>
                            <w:sz w:val="19"/>
                          </w:rPr>
                        </w:pPr>
                      </w:p>
                      <w:p>
                        <w:pPr>
                          <w:pStyle w:val="TableParagraph"/>
                          <w:ind w:left="330"/>
                          <w:rPr>
                            <w:b/>
                            <w:sz w:val="18"/>
                          </w:rPr>
                        </w:pPr>
                        <w:r>
                          <w:rPr>
                            <w:b/>
                            <w:sz w:val="18"/>
                          </w:rPr>
                          <w:t>RWL = LC · HM · VM · DM · AM · FM · CM</w:t>
                        </w:r>
                      </w:p>
                    </w:tc>
                  </w:tr>
                  <w:tr>
                    <w:trPr>
                      <w:trHeight w:val="322" w:hRule="exact"/>
                    </w:trPr>
                    <w:tc>
                      <w:tcPr>
                        <w:tcW w:w="481" w:type="dxa"/>
                        <w:tcBorders>
                          <w:bottom w:val="single" w:sz="4" w:space="0" w:color="000000"/>
                          <w:right w:val="single" w:sz="4" w:space="0" w:color="000000"/>
                        </w:tcBorders>
                        <w:shd w:val="clear" w:color="auto" w:fill="C4D8F0"/>
                      </w:tcPr>
                      <w:p>
                        <w:pPr>
                          <w:pStyle w:val="TableParagraph"/>
                          <w:spacing w:before="45"/>
                          <w:ind w:right="119"/>
                          <w:jc w:val="right"/>
                          <w:rPr>
                            <w:sz w:val="18"/>
                          </w:rPr>
                        </w:pPr>
                        <w:r>
                          <w:rPr>
                            <w:sz w:val="18"/>
                          </w:rPr>
                          <w:t>LC</w:t>
                        </w:r>
                      </w:p>
                    </w:tc>
                    <w:tc>
                      <w:tcPr>
                        <w:tcW w:w="3670" w:type="dxa"/>
                        <w:tcBorders>
                          <w:left w:val="single" w:sz="4" w:space="0" w:color="000000"/>
                          <w:bottom w:val="single" w:sz="4" w:space="0" w:color="000000"/>
                        </w:tcBorders>
                      </w:tcPr>
                      <w:p>
                        <w:pPr>
                          <w:pStyle w:val="TableParagraph"/>
                          <w:spacing w:before="45"/>
                          <w:ind w:left="64" w:right="197"/>
                          <w:rPr>
                            <w:sz w:val="18"/>
                          </w:rPr>
                        </w:pPr>
                        <w:r>
                          <w:rPr>
                            <w:sz w:val="18"/>
                          </w:rPr>
                          <w:t>Load constant</w:t>
                        </w:r>
                      </w:p>
                    </w:tc>
                  </w:tr>
                  <w:tr>
                    <w:trPr>
                      <w:trHeight w:val="425" w:hRule="exact"/>
                    </w:trPr>
                    <w:tc>
                      <w:tcPr>
                        <w:tcW w:w="481" w:type="dxa"/>
                        <w:tcBorders>
                          <w:top w:val="single" w:sz="4" w:space="0" w:color="000000"/>
                          <w:bottom w:val="single" w:sz="4" w:space="0" w:color="000000"/>
                          <w:right w:val="single" w:sz="4" w:space="0" w:color="000000"/>
                        </w:tcBorders>
                        <w:shd w:val="clear" w:color="auto" w:fill="C4D8F0"/>
                      </w:tcPr>
                      <w:p>
                        <w:pPr>
                          <w:pStyle w:val="TableParagraph"/>
                          <w:spacing w:before="99"/>
                          <w:ind w:right="90"/>
                          <w:jc w:val="right"/>
                          <w:rPr>
                            <w:sz w:val="18"/>
                          </w:rPr>
                        </w:pPr>
                        <w:r>
                          <w:rPr>
                            <w:sz w:val="18"/>
                          </w:rPr>
                          <w:t>HM</w:t>
                        </w:r>
                      </w:p>
                    </w:tc>
                    <w:tc>
                      <w:tcPr>
                        <w:tcW w:w="3670" w:type="dxa"/>
                        <w:tcBorders>
                          <w:top w:val="single" w:sz="4" w:space="0" w:color="000000"/>
                          <w:left w:val="single" w:sz="4" w:space="0" w:color="000000"/>
                          <w:bottom w:val="single" w:sz="4" w:space="0" w:color="000000"/>
                        </w:tcBorders>
                      </w:tcPr>
                      <w:p>
                        <w:pPr>
                          <w:pStyle w:val="TableParagraph"/>
                          <w:ind w:left="64" w:right="197"/>
                          <w:rPr>
                            <w:sz w:val="18"/>
                          </w:rPr>
                        </w:pPr>
                        <w:r>
                          <w:rPr>
                            <w:sz w:val="18"/>
                          </w:rPr>
                          <w:t>Horizontal location of the object relative to the body</w:t>
                        </w:r>
                      </w:p>
                    </w:tc>
                  </w:tr>
                  <w:tr>
                    <w:trPr>
                      <w:trHeight w:val="317" w:hRule="exact"/>
                    </w:trPr>
                    <w:tc>
                      <w:tcPr>
                        <w:tcW w:w="481" w:type="dxa"/>
                        <w:tcBorders>
                          <w:top w:val="single" w:sz="4" w:space="0" w:color="000000"/>
                          <w:bottom w:val="single" w:sz="4" w:space="0" w:color="FFFFFF"/>
                          <w:right w:val="single" w:sz="4" w:space="0" w:color="000000"/>
                        </w:tcBorders>
                        <w:shd w:val="clear" w:color="auto" w:fill="C4D8F0"/>
                      </w:tcPr>
                      <w:p>
                        <w:pPr>
                          <w:pStyle w:val="TableParagraph"/>
                          <w:spacing w:before="45"/>
                          <w:ind w:right="88"/>
                          <w:jc w:val="right"/>
                          <w:rPr>
                            <w:sz w:val="18"/>
                          </w:rPr>
                        </w:pPr>
                        <w:r>
                          <w:rPr>
                            <w:sz w:val="18"/>
                          </w:rPr>
                          <w:t>VM</w:t>
                        </w:r>
                      </w:p>
                    </w:tc>
                    <w:tc>
                      <w:tcPr>
                        <w:tcW w:w="3670" w:type="dxa"/>
                        <w:tcBorders>
                          <w:top w:val="single" w:sz="4" w:space="0" w:color="000000"/>
                          <w:left w:val="single" w:sz="4" w:space="0" w:color="000000"/>
                          <w:bottom w:val="single" w:sz="4" w:space="0" w:color="FFFFFF"/>
                        </w:tcBorders>
                      </w:tcPr>
                      <w:p>
                        <w:pPr>
                          <w:pStyle w:val="TableParagraph"/>
                          <w:spacing w:before="45"/>
                          <w:ind w:left="65" w:right="197"/>
                          <w:rPr>
                            <w:sz w:val="18"/>
                          </w:rPr>
                        </w:pPr>
                        <w:r>
                          <w:rPr>
                            <w:sz w:val="18"/>
                          </w:rPr>
                          <w:t>Vertical location of the object relative to the</w:t>
                        </w:r>
                      </w:p>
                    </w:tc>
                  </w:tr>
                </w:tbl>
                <w:p>
                  <w:pPr>
                    <w:pStyle w:val="BodyText"/>
                  </w:pPr>
                </w:p>
              </w:txbxContent>
            </v:textbox>
            <w10:wrap type="none"/>
          </v:shape>
        </w:pict>
      </w:r>
      <w:r>
        <w:rPr>
          <w:sz w:val="18"/>
        </w:rPr>
        <w:t>Table 1. NIOSH Equation (Source. Ergonomics Plus, 2011)</w:t>
      </w:r>
    </w:p>
    <w:p>
      <w:pPr>
        <w:spacing w:after="0"/>
        <w:jc w:val="left"/>
        <w:rPr>
          <w:sz w:val="18"/>
        </w:rPr>
        <w:sectPr>
          <w:type w:val="continuous"/>
          <w:pgSz w:w="12240" w:h="15840"/>
          <w:pgMar w:top="1500" w:bottom="280" w:left="580" w:right="220"/>
          <w:cols w:num="2" w:equalWidth="0">
            <w:col w:w="5190" w:space="435"/>
            <w:col w:w="5815"/>
          </w:cols>
        </w:sectPr>
      </w:pPr>
    </w:p>
    <w:p>
      <w:pPr>
        <w:pStyle w:val="BodyText"/>
        <w:rPr>
          <w:sz w:val="11"/>
        </w:rPr>
      </w:pPr>
    </w:p>
    <w:p>
      <w:pPr>
        <w:spacing w:after="0"/>
        <w:rPr>
          <w:sz w:val="11"/>
        </w:rPr>
        <w:sectPr>
          <w:pgSz w:w="12240" w:h="15840"/>
          <w:pgMar w:header="545" w:footer="852" w:top="1060" w:bottom="1040" w:left="580" w:right="220"/>
        </w:sectPr>
      </w:pPr>
    </w:p>
    <w:p>
      <w:pPr>
        <w:pStyle w:val="BodyText"/>
        <w:spacing w:before="1"/>
        <w:rPr>
          <w:sz w:val="7"/>
        </w:rPr>
      </w:pPr>
    </w:p>
    <w:tbl>
      <w:tblPr>
        <w:tblW w:w="0" w:type="auto"/>
        <w:jc w:val="left"/>
        <w:tblInd w:w="6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81"/>
        <w:gridCol w:w="3670"/>
      </w:tblGrid>
      <w:tr>
        <w:trPr>
          <w:trHeight w:val="317" w:hRule="exact"/>
        </w:trPr>
        <w:tc>
          <w:tcPr>
            <w:tcW w:w="481" w:type="dxa"/>
            <w:tcBorders>
              <w:left w:val="single" w:sz="8" w:space="0" w:color="000000"/>
              <w:bottom w:val="single" w:sz="4" w:space="0" w:color="000000"/>
              <w:right w:val="single" w:sz="4" w:space="0" w:color="000000"/>
            </w:tcBorders>
            <w:shd w:val="clear" w:color="auto" w:fill="C4D8F0"/>
          </w:tcPr>
          <w:p>
            <w:pPr/>
          </w:p>
        </w:tc>
        <w:tc>
          <w:tcPr>
            <w:tcW w:w="3670" w:type="dxa"/>
            <w:tcBorders>
              <w:top w:val="single" w:sz="4" w:space="0" w:color="000000"/>
              <w:left w:val="single" w:sz="4" w:space="0" w:color="000000"/>
              <w:bottom w:val="single" w:sz="4" w:space="0" w:color="000000"/>
              <w:right w:val="single" w:sz="8" w:space="0" w:color="000000"/>
            </w:tcBorders>
          </w:tcPr>
          <w:p>
            <w:pPr>
              <w:pStyle w:val="TableParagraph"/>
              <w:spacing w:line="202" w:lineRule="exact"/>
              <w:ind w:left="65" w:right="197"/>
              <w:rPr>
                <w:sz w:val="18"/>
              </w:rPr>
            </w:pPr>
            <w:r>
              <w:rPr>
                <w:sz w:val="18"/>
              </w:rPr>
              <w:t>floor</w:t>
            </w:r>
          </w:p>
        </w:tc>
      </w:tr>
      <w:tr>
        <w:trPr>
          <w:trHeight w:val="317" w:hRule="exact"/>
        </w:trPr>
        <w:tc>
          <w:tcPr>
            <w:tcW w:w="481" w:type="dxa"/>
            <w:tcBorders>
              <w:top w:val="single" w:sz="4" w:space="0" w:color="000000"/>
              <w:left w:val="single" w:sz="8" w:space="0" w:color="000000"/>
              <w:bottom w:val="single" w:sz="4" w:space="0" w:color="000000"/>
              <w:right w:val="single" w:sz="4" w:space="0" w:color="000000"/>
            </w:tcBorders>
            <w:shd w:val="clear" w:color="auto" w:fill="C4D8F0"/>
          </w:tcPr>
          <w:p>
            <w:pPr>
              <w:pStyle w:val="TableParagraph"/>
              <w:spacing w:before="45"/>
              <w:ind w:left="66" w:right="69"/>
              <w:jc w:val="center"/>
              <w:rPr>
                <w:sz w:val="18"/>
              </w:rPr>
            </w:pPr>
            <w:r>
              <w:rPr>
                <w:sz w:val="18"/>
              </w:rPr>
              <w:t>DM</w:t>
            </w:r>
          </w:p>
        </w:tc>
        <w:tc>
          <w:tcPr>
            <w:tcW w:w="3670" w:type="dxa"/>
            <w:tcBorders>
              <w:top w:val="single" w:sz="4" w:space="0" w:color="000000"/>
              <w:left w:val="single" w:sz="4" w:space="0" w:color="000000"/>
              <w:bottom w:val="single" w:sz="4" w:space="0" w:color="000000"/>
              <w:right w:val="single" w:sz="8" w:space="0" w:color="000000"/>
            </w:tcBorders>
          </w:tcPr>
          <w:p>
            <w:pPr>
              <w:pStyle w:val="TableParagraph"/>
              <w:spacing w:before="45"/>
              <w:ind w:left="66" w:right="197"/>
              <w:rPr>
                <w:sz w:val="18"/>
              </w:rPr>
            </w:pPr>
            <w:r>
              <w:rPr>
                <w:sz w:val="18"/>
              </w:rPr>
              <w:t>Distance the object is moved vertically</w:t>
            </w:r>
          </w:p>
        </w:tc>
      </w:tr>
      <w:tr>
        <w:trPr>
          <w:trHeight w:val="317" w:hRule="exact"/>
        </w:trPr>
        <w:tc>
          <w:tcPr>
            <w:tcW w:w="481" w:type="dxa"/>
            <w:tcBorders>
              <w:top w:val="single" w:sz="4" w:space="0" w:color="000000"/>
              <w:left w:val="single" w:sz="8" w:space="0" w:color="000000"/>
              <w:bottom w:val="single" w:sz="4" w:space="0" w:color="000000"/>
              <w:right w:val="single" w:sz="4" w:space="0" w:color="000000"/>
            </w:tcBorders>
            <w:shd w:val="clear" w:color="auto" w:fill="C4D8F0"/>
          </w:tcPr>
          <w:p>
            <w:pPr>
              <w:pStyle w:val="TableParagraph"/>
              <w:spacing w:before="45"/>
              <w:ind w:left="66" w:right="69"/>
              <w:jc w:val="center"/>
              <w:rPr>
                <w:sz w:val="18"/>
              </w:rPr>
            </w:pPr>
            <w:r>
              <w:rPr>
                <w:sz w:val="18"/>
              </w:rPr>
              <w:t>AM</w:t>
            </w:r>
          </w:p>
        </w:tc>
        <w:tc>
          <w:tcPr>
            <w:tcW w:w="3670" w:type="dxa"/>
            <w:tcBorders>
              <w:top w:val="single" w:sz="4" w:space="0" w:color="000000"/>
              <w:left w:val="single" w:sz="4" w:space="0" w:color="000000"/>
              <w:bottom w:val="single" w:sz="4" w:space="0" w:color="000000"/>
              <w:right w:val="single" w:sz="8" w:space="0" w:color="000000"/>
            </w:tcBorders>
          </w:tcPr>
          <w:p>
            <w:pPr>
              <w:pStyle w:val="TableParagraph"/>
              <w:spacing w:before="45"/>
              <w:ind w:left="66" w:right="197"/>
              <w:rPr>
                <w:sz w:val="18"/>
              </w:rPr>
            </w:pPr>
            <w:r>
              <w:rPr>
                <w:sz w:val="18"/>
              </w:rPr>
              <w:t>Asymmetry angle or twisting requirement</w:t>
            </w:r>
          </w:p>
        </w:tc>
      </w:tr>
      <w:tr>
        <w:trPr>
          <w:trHeight w:val="317" w:hRule="exact"/>
        </w:trPr>
        <w:tc>
          <w:tcPr>
            <w:tcW w:w="481" w:type="dxa"/>
            <w:tcBorders>
              <w:top w:val="single" w:sz="4" w:space="0" w:color="000000"/>
              <w:left w:val="single" w:sz="8" w:space="0" w:color="000000"/>
              <w:bottom w:val="single" w:sz="4" w:space="0" w:color="000000"/>
              <w:right w:val="single" w:sz="4" w:space="0" w:color="000000"/>
            </w:tcBorders>
            <w:shd w:val="clear" w:color="auto" w:fill="C4D8F0"/>
          </w:tcPr>
          <w:p>
            <w:pPr>
              <w:pStyle w:val="TableParagraph"/>
              <w:spacing w:before="45"/>
              <w:ind w:left="66" w:right="68"/>
              <w:jc w:val="center"/>
              <w:rPr>
                <w:sz w:val="18"/>
              </w:rPr>
            </w:pPr>
            <w:r>
              <w:rPr>
                <w:sz w:val="18"/>
              </w:rPr>
              <w:t>FM</w:t>
            </w:r>
          </w:p>
        </w:tc>
        <w:tc>
          <w:tcPr>
            <w:tcW w:w="3670" w:type="dxa"/>
            <w:tcBorders>
              <w:top w:val="single" w:sz="4" w:space="0" w:color="000000"/>
              <w:left w:val="single" w:sz="4" w:space="0" w:color="000000"/>
              <w:bottom w:val="single" w:sz="4" w:space="0" w:color="000000"/>
              <w:right w:val="single" w:sz="8" w:space="0" w:color="000000"/>
            </w:tcBorders>
          </w:tcPr>
          <w:p>
            <w:pPr>
              <w:pStyle w:val="TableParagraph"/>
              <w:spacing w:before="45"/>
              <w:ind w:left="65" w:right="197"/>
              <w:rPr>
                <w:sz w:val="18"/>
              </w:rPr>
            </w:pPr>
            <w:r>
              <w:rPr>
                <w:sz w:val="18"/>
              </w:rPr>
              <w:t>Frequency and duration of lifting activity</w:t>
            </w:r>
          </w:p>
        </w:tc>
      </w:tr>
      <w:tr>
        <w:trPr>
          <w:trHeight w:val="430" w:hRule="exact"/>
        </w:trPr>
        <w:tc>
          <w:tcPr>
            <w:tcW w:w="481" w:type="dxa"/>
            <w:tcBorders>
              <w:top w:val="single" w:sz="4" w:space="0" w:color="000000"/>
              <w:left w:val="single" w:sz="8" w:space="0" w:color="000000"/>
              <w:bottom w:val="single" w:sz="8" w:space="0" w:color="000000"/>
              <w:right w:val="single" w:sz="4" w:space="0" w:color="000000"/>
            </w:tcBorders>
            <w:shd w:val="clear" w:color="auto" w:fill="C4D8F0"/>
          </w:tcPr>
          <w:p>
            <w:pPr>
              <w:pStyle w:val="TableParagraph"/>
              <w:spacing w:before="99"/>
              <w:ind w:left="66" w:right="68"/>
              <w:jc w:val="center"/>
              <w:rPr>
                <w:sz w:val="18"/>
              </w:rPr>
            </w:pPr>
            <w:r>
              <w:rPr>
                <w:sz w:val="18"/>
              </w:rPr>
              <w:t>CM</w:t>
            </w:r>
          </w:p>
        </w:tc>
        <w:tc>
          <w:tcPr>
            <w:tcW w:w="3670" w:type="dxa"/>
            <w:tcBorders>
              <w:top w:val="single" w:sz="4" w:space="0" w:color="000000"/>
              <w:left w:val="single" w:sz="4" w:space="0" w:color="000000"/>
              <w:bottom w:val="single" w:sz="8" w:space="0" w:color="000000"/>
              <w:right w:val="single" w:sz="8" w:space="0" w:color="000000"/>
            </w:tcBorders>
          </w:tcPr>
          <w:p>
            <w:pPr>
              <w:pStyle w:val="TableParagraph"/>
              <w:ind w:left="66" w:right="249"/>
              <w:rPr>
                <w:sz w:val="18"/>
              </w:rPr>
            </w:pPr>
            <w:r>
              <w:rPr>
                <w:sz w:val="18"/>
              </w:rPr>
              <w:t>Coupling or quality of the workers grip on the object</w:t>
            </w:r>
          </w:p>
        </w:tc>
      </w:tr>
    </w:tbl>
    <w:p>
      <w:pPr>
        <w:pStyle w:val="BodyText"/>
        <w:spacing w:before="11"/>
        <w:rPr>
          <w:sz w:val="17"/>
        </w:rPr>
      </w:pPr>
    </w:p>
    <w:p>
      <w:pPr>
        <w:spacing w:line="205" w:lineRule="exact" w:before="0"/>
        <w:ind w:left="270" w:right="0" w:firstLine="0"/>
        <w:jc w:val="both"/>
        <w:rPr>
          <w:b/>
          <w:sz w:val="18"/>
        </w:rPr>
      </w:pPr>
      <w:r>
        <w:rPr>
          <w:b/>
          <w:sz w:val="18"/>
        </w:rPr>
        <w:t>Standard lifting location</w:t>
      </w:r>
    </w:p>
    <w:p>
      <w:pPr>
        <w:spacing w:line="240" w:lineRule="auto" w:before="0"/>
        <w:ind w:left="270" w:right="0" w:firstLine="0"/>
        <w:jc w:val="both"/>
        <w:rPr>
          <w:sz w:val="18"/>
        </w:rPr>
      </w:pPr>
      <w:r>
        <w:rPr>
          <w:sz w:val="18"/>
        </w:rPr>
        <w:t>The standar lifting location (Figure 3), refers to the position considered optimal to carry out the load lifting; any deviation from this reference implies a shift away from the ideal conditions for lifting.[ 13]</w:t>
      </w:r>
    </w:p>
    <w:p>
      <w:pPr>
        <w:spacing w:before="0"/>
        <w:ind w:left="270" w:right="0" w:firstLine="170"/>
        <w:jc w:val="both"/>
        <w:rPr>
          <w:sz w:val="18"/>
        </w:rPr>
      </w:pPr>
      <w:r>
        <w:rPr>
          <w:sz w:val="18"/>
        </w:rPr>
        <w:t>This standard posture is presented when the distance (projected in a horizontal plane) of the grip point and the midpoint between the ankles is 25 centimeters and vertical, from the point of gripping to the ground 75.</w:t>
      </w:r>
    </w:p>
    <w:p>
      <w:pPr>
        <w:pStyle w:val="BodyText"/>
      </w:pPr>
    </w:p>
    <w:p>
      <w:pPr>
        <w:pStyle w:val="BodyText"/>
        <w:spacing w:before="1"/>
        <w:rPr>
          <w:sz w:val="13"/>
        </w:rPr>
      </w:pPr>
      <w:r>
        <w:rPr/>
        <w:drawing>
          <wp:anchor distT="0" distB="0" distL="0" distR="0" allowOverlap="1" layoutInCell="1" locked="0" behindDoc="0" simplePos="0" relativeHeight="9400">
            <wp:simplePos x="0" y="0"/>
            <wp:positionH relativeFrom="page">
              <wp:posOffset>691895</wp:posOffset>
            </wp:positionH>
            <wp:positionV relativeFrom="paragraph">
              <wp:posOffset>120326</wp:posOffset>
            </wp:positionV>
            <wp:extent cx="2907389" cy="3188970"/>
            <wp:effectExtent l="0" t="0" r="0" b="0"/>
            <wp:wrapTopAndBottom/>
            <wp:docPr id="349" name="image205.png" descr=""/>
            <wp:cNvGraphicFramePr>
              <a:graphicFrameLocks noChangeAspect="1"/>
            </wp:cNvGraphicFramePr>
            <a:graphic>
              <a:graphicData uri="http://schemas.openxmlformats.org/drawingml/2006/picture">
                <pic:pic>
                  <pic:nvPicPr>
                    <pic:cNvPr id="350" name="image205.png"/>
                    <pic:cNvPicPr/>
                  </pic:nvPicPr>
                  <pic:blipFill>
                    <a:blip r:embed="rId341" cstate="print"/>
                    <a:stretch>
                      <a:fillRect/>
                    </a:stretch>
                  </pic:blipFill>
                  <pic:spPr>
                    <a:xfrm>
                      <a:off x="0" y="0"/>
                      <a:ext cx="2907389" cy="3188970"/>
                    </a:xfrm>
                    <a:prstGeom prst="rect">
                      <a:avLst/>
                    </a:prstGeom>
                  </pic:spPr>
                </pic:pic>
              </a:graphicData>
            </a:graphic>
          </wp:anchor>
        </w:drawing>
      </w:r>
    </w:p>
    <w:p>
      <w:pPr>
        <w:spacing w:before="0"/>
        <w:ind w:left="1806" w:right="303" w:hanging="1048"/>
        <w:jc w:val="left"/>
        <w:rPr>
          <w:sz w:val="18"/>
        </w:rPr>
      </w:pPr>
      <w:r>
        <w:rPr>
          <w:sz w:val="18"/>
        </w:rPr>
        <w:t>Figure 3. Standard lifting location (Fuente. Waters, Putz- Anderson, &amp; Garg, 1994)</w:t>
      </w:r>
    </w:p>
    <w:p>
      <w:pPr>
        <w:pStyle w:val="BodyText"/>
        <w:spacing w:before="3"/>
        <w:rPr>
          <w:sz w:val="18"/>
        </w:rPr>
      </w:pPr>
    </w:p>
    <w:p>
      <w:pPr>
        <w:spacing w:before="0"/>
        <w:ind w:left="270" w:right="0" w:firstLine="0"/>
        <w:jc w:val="both"/>
        <w:rPr>
          <w:b/>
          <w:sz w:val="18"/>
        </w:rPr>
      </w:pPr>
      <w:r>
        <w:rPr>
          <w:b/>
          <w:sz w:val="18"/>
        </w:rPr>
        <w:t>Application of the method</w:t>
      </w:r>
    </w:p>
    <w:p>
      <w:pPr>
        <w:pStyle w:val="BodyText"/>
        <w:spacing w:before="7"/>
        <w:rPr>
          <w:b/>
          <w:sz w:val="17"/>
        </w:rPr>
      </w:pPr>
    </w:p>
    <w:p>
      <w:pPr>
        <w:spacing w:before="1"/>
        <w:ind w:left="270" w:right="1" w:firstLine="0"/>
        <w:jc w:val="both"/>
        <w:rPr>
          <w:sz w:val="18"/>
        </w:rPr>
      </w:pPr>
      <w:r>
        <w:rPr>
          <w:sz w:val="18"/>
        </w:rPr>
        <w:t>The application of the method begins with the observation of the activity developed by the worker and the determination of each of the tasks performed. From this observation, it must be determined whether the position will be analyzed as a single or multi-tasking task.[ 13]</w:t>
      </w:r>
    </w:p>
    <w:p>
      <w:pPr>
        <w:spacing w:before="0"/>
        <w:ind w:left="270" w:right="1" w:firstLine="170"/>
        <w:jc w:val="both"/>
        <w:rPr>
          <w:sz w:val="18"/>
        </w:rPr>
      </w:pPr>
      <w:r>
        <w:rPr>
          <w:sz w:val="18"/>
        </w:rPr>
        <w:t>Then, for each of the determined tasks, determine if there is significant control of the load destination of the lifting. Usually the most problematic part of an uprising is the beginning of the  uprising, because it is where greater efforts are made. Therefore measurements are usually made at the origin of the movement, and from them the recommended weight limit is obtained.[</w:t>
      </w:r>
      <w:r>
        <w:rPr>
          <w:spacing w:val="-28"/>
          <w:sz w:val="18"/>
        </w:rPr>
        <w:t> </w:t>
      </w:r>
      <w:r>
        <w:rPr>
          <w:sz w:val="18"/>
        </w:rPr>
        <w:t>13]</w:t>
      </w:r>
    </w:p>
    <w:p>
      <w:pPr>
        <w:pStyle w:val="BodyText"/>
        <w:rPr>
          <w:sz w:val="18"/>
        </w:rPr>
      </w:pPr>
    </w:p>
    <w:p>
      <w:pPr>
        <w:spacing w:before="0"/>
        <w:ind w:left="270" w:right="0" w:firstLine="170"/>
        <w:jc w:val="both"/>
        <w:rPr>
          <w:sz w:val="18"/>
        </w:rPr>
      </w:pPr>
      <w:r>
        <w:rPr>
          <w:sz w:val="18"/>
        </w:rPr>
        <w:t>Once determined the tasks to be analyzed, and if there is control of the load destination, It is advisable to collect the relevant data for</w:t>
      </w:r>
    </w:p>
    <w:p>
      <w:pPr>
        <w:spacing w:before="77"/>
        <w:ind w:left="270" w:right="702" w:firstLine="0"/>
        <w:jc w:val="left"/>
        <w:rPr>
          <w:sz w:val="18"/>
        </w:rPr>
      </w:pPr>
      <w:r>
        <w:rPr/>
        <w:br w:type="column"/>
      </w:r>
      <w:r>
        <w:rPr>
          <w:sz w:val="18"/>
        </w:rPr>
        <w:t>each task. These data should be collected at the origin of the uprising.</w:t>
      </w:r>
    </w:p>
    <w:p>
      <w:pPr>
        <w:pStyle w:val="BodyText"/>
        <w:rPr>
          <w:sz w:val="18"/>
        </w:rPr>
      </w:pPr>
    </w:p>
    <w:p>
      <w:pPr>
        <w:spacing w:before="0"/>
        <w:ind w:left="441" w:right="702" w:firstLine="0"/>
        <w:jc w:val="left"/>
        <w:rPr>
          <w:sz w:val="18"/>
        </w:rPr>
      </w:pPr>
      <w:r>
        <w:rPr>
          <w:sz w:val="18"/>
        </w:rPr>
        <w:t>The data collected are:</w:t>
      </w:r>
    </w:p>
    <w:p>
      <w:pPr>
        <w:pStyle w:val="ListParagraph"/>
        <w:numPr>
          <w:ilvl w:val="1"/>
          <w:numId w:val="84"/>
        </w:numPr>
        <w:tabs>
          <w:tab w:pos="979" w:val="left" w:leader="none"/>
        </w:tabs>
        <w:spacing w:line="240" w:lineRule="auto" w:before="1" w:after="0"/>
        <w:ind w:left="1216" w:right="677" w:hanging="360"/>
        <w:jc w:val="both"/>
        <w:rPr>
          <w:sz w:val="18"/>
        </w:rPr>
      </w:pPr>
      <w:r>
        <w:rPr>
          <w:sz w:val="18"/>
        </w:rPr>
        <w:t>The </w:t>
      </w:r>
      <w:r>
        <w:rPr>
          <w:b/>
          <w:sz w:val="18"/>
        </w:rPr>
        <w:t>weight </w:t>
      </w:r>
      <w:r>
        <w:rPr>
          <w:sz w:val="18"/>
        </w:rPr>
        <w:t>of the object manipulated in kilograms including its possible</w:t>
      </w:r>
      <w:r>
        <w:rPr>
          <w:spacing w:val="-4"/>
          <w:sz w:val="18"/>
        </w:rPr>
        <w:t> </w:t>
      </w:r>
      <w:r>
        <w:rPr>
          <w:sz w:val="18"/>
        </w:rPr>
        <w:t>container.</w:t>
      </w:r>
    </w:p>
    <w:p>
      <w:pPr>
        <w:pStyle w:val="ListParagraph"/>
        <w:numPr>
          <w:ilvl w:val="1"/>
          <w:numId w:val="84"/>
        </w:numPr>
        <w:tabs>
          <w:tab w:pos="979" w:val="left" w:leader="none"/>
        </w:tabs>
        <w:spacing w:line="240" w:lineRule="auto" w:before="0" w:after="0"/>
        <w:ind w:left="1216" w:right="675" w:hanging="360"/>
        <w:jc w:val="both"/>
        <w:rPr>
          <w:sz w:val="18"/>
        </w:rPr>
      </w:pPr>
      <w:r>
        <w:rPr>
          <w:sz w:val="18"/>
        </w:rPr>
        <w:t>The horizontal </w:t>
      </w:r>
      <w:r>
        <w:rPr>
          <w:b/>
          <w:sz w:val="18"/>
        </w:rPr>
        <w:t>(H) </w:t>
      </w:r>
      <w:r>
        <w:rPr>
          <w:sz w:val="18"/>
        </w:rPr>
        <w:t>and vertical </w:t>
      </w:r>
      <w:r>
        <w:rPr>
          <w:b/>
          <w:sz w:val="18"/>
        </w:rPr>
        <w:t>(V) </w:t>
      </w:r>
      <w:r>
        <w:rPr>
          <w:sz w:val="18"/>
        </w:rPr>
        <w:t>distances between  the gripping point and the projection on the ground of the midpoint of the line joining the ankle (see Figure 2).</w:t>
      </w:r>
    </w:p>
    <w:p>
      <w:pPr>
        <w:pStyle w:val="ListParagraph"/>
        <w:numPr>
          <w:ilvl w:val="1"/>
          <w:numId w:val="84"/>
        </w:numPr>
        <w:tabs>
          <w:tab w:pos="979" w:val="left" w:leader="none"/>
        </w:tabs>
        <w:spacing w:line="240" w:lineRule="auto" w:before="0" w:after="0"/>
        <w:ind w:left="1216" w:right="677" w:hanging="360"/>
        <w:jc w:val="both"/>
        <w:rPr>
          <w:sz w:val="18"/>
        </w:rPr>
      </w:pPr>
      <w:r>
        <w:rPr>
          <w:sz w:val="18"/>
        </w:rPr>
        <w:t>The frequency of uprisings </w:t>
      </w:r>
      <w:r>
        <w:rPr>
          <w:b/>
          <w:sz w:val="18"/>
        </w:rPr>
        <w:t>(F) </w:t>
      </w:r>
      <w:r>
        <w:rPr>
          <w:sz w:val="18"/>
        </w:rPr>
        <w:t>on each task. Determine the number of times per minute that the worker lifts the load on each</w:t>
      </w:r>
      <w:r>
        <w:rPr>
          <w:spacing w:val="-6"/>
          <w:sz w:val="18"/>
        </w:rPr>
        <w:t> </w:t>
      </w:r>
      <w:r>
        <w:rPr>
          <w:sz w:val="18"/>
        </w:rPr>
        <w:t>task.</w:t>
      </w:r>
    </w:p>
    <w:p>
      <w:pPr>
        <w:pStyle w:val="ListParagraph"/>
        <w:numPr>
          <w:ilvl w:val="1"/>
          <w:numId w:val="84"/>
        </w:numPr>
        <w:tabs>
          <w:tab w:pos="979" w:val="left" w:leader="none"/>
        </w:tabs>
        <w:spacing w:line="240" w:lineRule="auto" w:before="0" w:after="0"/>
        <w:ind w:left="1216" w:right="676" w:hanging="360"/>
        <w:jc w:val="both"/>
        <w:rPr>
          <w:sz w:val="18"/>
        </w:rPr>
      </w:pPr>
      <w:r>
        <w:rPr>
          <w:sz w:val="18"/>
        </w:rPr>
        <w:t>The Duration of Lifting and the Recovery Times. Establish the total time spent in the uprisings and the recovery time after a period of</w:t>
      </w:r>
      <w:r>
        <w:rPr>
          <w:spacing w:val="-10"/>
          <w:sz w:val="18"/>
        </w:rPr>
        <w:t> </w:t>
      </w:r>
      <w:r>
        <w:rPr>
          <w:sz w:val="18"/>
        </w:rPr>
        <w:t>lifting.</w:t>
      </w:r>
    </w:p>
    <w:p>
      <w:pPr>
        <w:pStyle w:val="ListParagraph"/>
        <w:numPr>
          <w:ilvl w:val="1"/>
          <w:numId w:val="84"/>
        </w:numPr>
        <w:tabs>
          <w:tab w:pos="979" w:val="left" w:leader="none"/>
        </w:tabs>
        <w:spacing w:line="240" w:lineRule="auto" w:before="0" w:after="0"/>
        <w:ind w:left="1216" w:right="675" w:hanging="360"/>
        <w:jc w:val="both"/>
        <w:rPr>
          <w:sz w:val="18"/>
        </w:rPr>
      </w:pPr>
      <w:r>
        <w:rPr>
          <w:sz w:val="18"/>
        </w:rPr>
        <w:t>The Type grip classified as Good, Fair or Poor. In later sections will indicate how to classify different types  of grip.</w:t>
      </w:r>
    </w:p>
    <w:p>
      <w:pPr>
        <w:pStyle w:val="ListParagraph"/>
        <w:numPr>
          <w:ilvl w:val="1"/>
          <w:numId w:val="84"/>
        </w:numPr>
        <w:tabs>
          <w:tab w:pos="979" w:val="left" w:leader="none"/>
        </w:tabs>
        <w:spacing w:line="240" w:lineRule="auto" w:before="1" w:after="0"/>
        <w:ind w:left="1216" w:right="675" w:hanging="360"/>
        <w:jc w:val="both"/>
        <w:rPr>
          <w:sz w:val="18"/>
        </w:rPr>
      </w:pPr>
      <w:r>
        <w:rPr>
          <w:sz w:val="18"/>
        </w:rPr>
        <w:t>The angle of asymmetry (A) formed by the sagittal plane of the worker and the load center (Figure 4). Asymmetry angle, is an indicator of twisting of the trunk of worker during the</w:t>
      </w:r>
      <w:r>
        <w:rPr>
          <w:spacing w:val="-5"/>
          <w:sz w:val="18"/>
        </w:rPr>
        <w:t> </w:t>
      </w:r>
      <w:r>
        <w:rPr>
          <w:sz w:val="18"/>
        </w:rPr>
        <w:t>lift.</w:t>
      </w:r>
    </w:p>
    <w:p>
      <w:pPr>
        <w:pStyle w:val="BodyText"/>
        <w:rPr>
          <w:sz w:val="15"/>
        </w:rPr>
      </w:pPr>
      <w:r>
        <w:rPr/>
        <w:drawing>
          <wp:anchor distT="0" distB="0" distL="0" distR="0" allowOverlap="1" layoutInCell="1" locked="0" behindDoc="0" simplePos="0" relativeHeight="9424">
            <wp:simplePos x="0" y="0"/>
            <wp:positionH relativeFrom="page">
              <wp:posOffset>4636770</wp:posOffset>
            </wp:positionH>
            <wp:positionV relativeFrom="paragraph">
              <wp:posOffset>134514</wp:posOffset>
            </wp:positionV>
            <wp:extent cx="2143689" cy="1782222"/>
            <wp:effectExtent l="0" t="0" r="0" b="0"/>
            <wp:wrapTopAndBottom/>
            <wp:docPr id="351" name="image206.png" descr=""/>
            <wp:cNvGraphicFramePr>
              <a:graphicFrameLocks noChangeAspect="1"/>
            </wp:cNvGraphicFramePr>
            <a:graphic>
              <a:graphicData uri="http://schemas.openxmlformats.org/drawingml/2006/picture">
                <pic:pic>
                  <pic:nvPicPr>
                    <pic:cNvPr id="352" name="image206.png"/>
                    <pic:cNvPicPr/>
                  </pic:nvPicPr>
                  <pic:blipFill>
                    <a:blip r:embed="rId342" cstate="print"/>
                    <a:stretch>
                      <a:fillRect/>
                    </a:stretch>
                  </pic:blipFill>
                  <pic:spPr>
                    <a:xfrm>
                      <a:off x="0" y="0"/>
                      <a:ext cx="2143689" cy="1782222"/>
                    </a:xfrm>
                    <a:prstGeom prst="rect">
                      <a:avLst/>
                    </a:prstGeom>
                  </pic:spPr>
                </pic:pic>
              </a:graphicData>
            </a:graphic>
          </wp:anchor>
        </w:drawing>
      </w:r>
    </w:p>
    <w:p>
      <w:pPr>
        <w:spacing w:before="0"/>
        <w:ind w:left="2292" w:right="712" w:hanging="1802"/>
        <w:jc w:val="left"/>
        <w:rPr>
          <w:sz w:val="18"/>
        </w:rPr>
      </w:pPr>
      <w:r>
        <w:rPr>
          <w:sz w:val="18"/>
        </w:rPr>
        <w:t>Figure 4. Asymmetry angle measurement. (Source. Ergonomics Plus, 2011)</w:t>
      </w:r>
    </w:p>
    <w:p>
      <w:pPr>
        <w:pStyle w:val="BodyText"/>
        <w:rPr>
          <w:sz w:val="18"/>
        </w:rPr>
      </w:pPr>
    </w:p>
    <w:p>
      <w:pPr>
        <w:spacing w:before="0"/>
        <w:ind w:left="270" w:right="677" w:firstLine="170"/>
        <w:jc w:val="both"/>
        <w:rPr>
          <w:sz w:val="18"/>
        </w:rPr>
      </w:pPr>
      <w:r>
        <w:rPr>
          <w:sz w:val="18"/>
        </w:rPr>
        <w:t>With the data, we must to calculate the multiplier factors of the equation NIOSH (HM, VM, DM, AM, FM and CM). The calculation of each factor will be discussed in later sections. With the factors, the RWL for each task is obtained by applying  equation</w:t>
      </w:r>
      <w:r>
        <w:rPr>
          <w:spacing w:val="-13"/>
          <w:sz w:val="18"/>
        </w:rPr>
        <w:t> </w:t>
      </w:r>
      <w:r>
        <w:rPr>
          <w:sz w:val="18"/>
        </w:rPr>
        <w:t>NIOSH:</w:t>
      </w:r>
    </w:p>
    <w:p>
      <w:pPr>
        <w:pStyle w:val="BodyText"/>
        <w:spacing w:before="3"/>
        <w:rPr>
          <w:sz w:val="18"/>
        </w:rPr>
      </w:pPr>
    </w:p>
    <w:p>
      <w:pPr>
        <w:spacing w:before="0"/>
        <w:ind w:left="441" w:right="702" w:firstLine="0"/>
        <w:jc w:val="left"/>
        <w:rPr>
          <w:b/>
          <w:sz w:val="18"/>
        </w:rPr>
      </w:pPr>
      <w:r>
        <w:rPr>
          <w:b/>
          <w:sz w:val="18"/>
        </w:rPr>
        <w:t>RWL = LC · HM · VM · DM · AM · FM · CM</w:t>
      </w:r>
    </w:p>
    <w:p>
      <w:pPr>
        <w:pStyle w:val="BodyText"/>
        <w:spacing w:before="7"/>
        <w:rPr>
          <w:b/>
          <w:sz w:val="17"/>
        </w:rPr>
      </w:pPr>
    </w:p>
    <w:p>
      <w:pPr>
        <w:spacing w:before="1"/>
        <w:ind w:left="270" w:right="677" w:firstLine="170"/>
        <w:jc w:val="both"/>
        <w:rPr>
          <w:sz w:val="18"/>
        </w:rPr>
      </w:pPr>
      <w:r>
        <w:rPr>
          <w:sz w:val="18"/>
        </w:rPr>
        <w:t>Where LC is the load constant and the remaining terms of the second member of the equation are multipliers that take the value 1 in the case of a lifting in optimal conditions, and values closer to 0 mean the deviation of lift conditions regarding the ideal. Therefore RWL takes the value of LC (23 kg) if it refers to an optimal lifting. Lower values refer to improper liftings.[ 16]</w:t>
      </w:r>
    </w:p>
    <w:p>
      <w:pPr>
        <w:pStyle w:val="BodyText"/>
        <w:spacing w:before="3"/>
        <w:rPr>
          <w:sz w:val="18"/>
        </w:rPr>
      </w:pPr>
    </w:p>
    <w:p>
      <w:pPr>
        <w:spacing w:line="207" w:lineRule="exact" w:before="0"/>
        <w:ind w:left="270" w:right="702" w:firstLine="0"/>
        <w:jc w:val="left"/>
        <w:rPr>
          <w:b/>
          <w:sz w:val="18"/>
        </w:rPr>
      </w:pPr>
      <w:r>
        <w:rPr>
          <w:b/>
          <w:sz w:val="18"/>
        </w:rPr>
        <w:t>Calculations of multiplier factors</w:t>
      </w:r>
    </w:p>
    <w:p>
      <w:pPr>
        <w:spacing w:line="237" w:lineRule="auto" w:before="1"/>
        <w:ind w:left="270" w:right="702" w:firstLine="0"/>
        <w:jc w:val="left"/>
        <w:rPr>
          <w:sz w:val="18"/>
        </w:rPr>
      </w:pPr>
      <w:r>
        <w:rPr/>
        <w:drawing>
          <wp:anchor distT="0" distB="0" distL="0" distR="0" allowOverlap="1" layoutInCell="1" locked="0" behindDoc="0" simplePos="0" relativeHeight="9448">
            <wp:simplePos x="0" y="0"/>
            <wp:positionH relativeFrom="page">
              <wp:posOffset>4636008</wp:posOffset>
            </wp:positionH>
            <wp:positionV relativeFrom="paragraph">
              <wp:posOffset>548230</wp:posOffset>
            </wp:positionV>
            <wp:extent cx="148589" cy="91440"/>
            <wp:effectExtent l="0" t="0" r="0" b="0"/>
            <wp:wrapNone/>
            <wp:docPr id="353" name="image207.png" descr=""/>
            <wp:cNvGraphicFramePr>
              <a:graphicFrameLocks noChangeAspect="1"/>
            </wp:cNvGraphicFramePr>
            <a:graphic>
              <a:graphicData uri="http://schemas.openxmlformats.org/drawingml/2006/picture">
                <pic:pic>
                  <pic:nvPicPr>
                    <pic:cNvPr id="354" name="image207.png"/>
                    <pic:cNvPicPr/>
                  </pic:nvPicPr>
                  <pic:blipFill>
                    <a:blip r:embed="rId343" cstate="print"/>
                    <a:stretch>
                      <a:fillRect/>
                    </a:stretch>
                  </pic:blipFill>
                  <pic:spPr>
                    <a:xfrm>
                      <a:off x="0" y="0"/>
                      <a:ext cx="148589" cy="91440"/>
                    </a:xfrm>
                    <a:prstGeom prst="rect">
                      <a:avLst/>
                    </a:prstGeom>
                  </pic:spPr>
                </pic:pic>
              </a:graphicData>
            </a:graphic>
          </wp:anchor>
        </w:drawing>
      </w:r>
      <w:r>
        <w:rPr/>
        <w:pict>
          <v:group style="position:absolute;margin-left:332.279999pt;margin-top:51.087723pt;width:44.5pt;height:14.85pt;mso-position-horizontal-relative:page;mso-position-vertical-relative:paragraph;z-index:9472" coordorigin="6646,1022" coordsize="890,297">
            <v:shape style="position:absolute;left:7082;top:1094;width:156;height:58" type="#_x0000_t75" stroked="false">
              <v:imagedata r:id="rId344" o:title=""/>
            </v:shape>
            <v:shape style="position:absolute;left:6646;top:1022;width:374;height:158" type="#_x0000_t75" stroked="false">
              <v:imagedata r:id="rId345" o:title=""/>
            </v:shape>
            <v:shape style="position:absolute;left:7301;top:1108;width:234;height:210" type="#_x0000_t75" stroked="false">
              <v:imagedata r:id="rId346" o:title=""/>
            </v:shape>
            <w10:wrap type="none"/>
          </v:group>
        </w:pict>
      </w:r>
      <w:r>
        <w:rPr>
          <w:b/>
          <w:sz w:val="18"/>
        </w:rPr>
        <w:t>HM (Horizontal multiplier). Horizontal distance factor </w:t>
      </w:r>
      <w:r>
        <w:rPr>
          <w:sz w:val="18"/>
        </w:rPr>
        <w:t>Penalizes uprisings in which the load is lifted away from the body. To calculate the following formula is used:</w:t>
      </w:r>
    </w:p>
    <w:p>
      <w:pPr>
        <w:spacing w:after="0" w:line="237" w:lineRule="auto"/>
        <w:jc w:val="left"/>
        <w:rPr>
          <w:sz w:val="18"/>
        </w:rPr>
        <w:sectPr>
          <w:type w:val="continuous"/>
          <w:pgSz w:w="12240" w:h="15840"/>
          <w:pgMar w:top="1500" w:bottom="280" w:left="580" w:right="220"/>
          <w:cols w:num="2" w:equalWidth="0">
            <w:col w:w="5191" w:space="433"/>
            <w:col w:w="5816"/>
          </w:cols>
        </w:sectPr>
      </w:pPr>
    </w:p>
    <w:p>
      <w:pPr>
        <w:pStyle w:val="BodyText"/>
        <w:rPr>
          <w:sz w:val="11"/>
        </w:rPr>
      </w:pPr>
    </w:p>
    <w:p>
      <w:pPr>
        <w:spacing w:after="0"/>
        <w:rPr>
          <w:sz w:val="11"/>
        </w:rPr>
        <w:sectPr>
          <w:pgSz w:w="12240" w:h="15840"/>
          <w:pgMar w:header="545" w:footer="852" w:top="1060" w:bottom="1040" w:left="580" w:right="220"/>
        </w:sectPr>
      </w:pPr>
    </w:p>
    <w:p>
      <w:pPr>
        <w:spacing w:before="77"/>
        <w:ind w:left="270" w:right="0" w:firstLine="0"/>
        <w:jc w:val="both"/>
        <w:rPr>
          <w:sz w:val="18"/>
        </w:rPr>
      </w:pPr>
      <w:r>
        <w:rPr>
          <w:sz w:val="18"/>
        </w:rPr>
        <w:t>Where H, is the projected distance in a horizontal plane, between the midpoint between the grips of the load and the midpoint  between the ankles (Figure 3). Take into account</w:t>
      </w:r>
      <w:r>
        <w:rPr>
          <w:spacing w:val="-17"/>
          <w:sz w:val="18"/>
        </w:rPr>
        <w:t> </w:t>
      </w:r>
      <w:r>
        <w:rPr>
          <w:sz w:val="18"/>
        </w:rPr>
        <w:t>that:</w:t>
      </w:r>
    </w:p>
    <w:p>
      <w:pPr>
        <w:pStyle w:val="BodyText"/>
        <w:spacing w:before="3"/>
        <w:rPr>
          <w:sz w:val="18"/>
        </w:rPr>
      </w:pPr>
    </w:p>
    <w:p>
      <w:pPr>
        <w:spacing w:line="207" w:lineRule="exact" w:before="0"/>
        <w:ind w:left="441" w:right="0" w:firstLine="0"/>
        <w:jc w:val="left"/>
        <w:rPr>
          <w:b/>
          <w:sz w:val="18"/>
        </w:rPr>
      </w:pPr>
      <w:r>
        <w:rPr>
          <w:b/>
          <w:sz w:val="18"/>
        </w:rPr>
        <w:t>If H is less than 25 cm., HM will be a value of 1</w:t>
      </w:r>
    </w:p>
    <w:p>
      <w:pPr>
        <w:spacing w:line="207" w:lineRule="exact" w:before="0"/>
        <w:ind w:left="441" w:right="0" w:firstLine="0"/>
        <w:jc w:val="left"/>
        <w:rPr>
          <w:b/>
          <w:sz w:val="18"/>
        </w:rPr>
      </w:pPr>
      <w:r>
        <w:rPr>
          <w:b/>
          <w:sz w:val="18"/>
        </w:rPr>
        <w:t>If H is greater than 63 cm., HM will be a value of 0</w:t>
      </w:r>
    </w:p>
    <w:p>
      <w:pPr>
        <w:pStyle w:val="BodyText"/>
        <w:spacing w:before="7"/>
        <w:rPr>
          <w:b/>
          <w:sz w:val="17"/>
        </w:rPr>
      </w:pPr>
    </w:p>
    <w:p>
      <w:pPr>
        <w:spacing w:before="1"/>
        <w:ind w:left="270" w:right="0" w:firstLine="170"/>
        <w:jc w:val="left"/>
        <w:rPr>
          <w:sz w:val="18"/>
        </w:rPr>
      </w:pPr>
      <w:r>
        <w:rPr>
          <w:sz w:val="18"/>
        </w:rPr>
        <w:t>When H can not be measured, it is possible to obtain an approximate value by the equation:</w:t>
      </w:r>
    </w:p>
    <w:p>
      <w:pPr>
        <w:pStyle w:val="BodyText"/>
        <w:rPr>
          <w:sz w:val="18"/>
        </w:rPr>
      </w:pPr>
    </w:p>
    <w:p>
      <w:pPr>
        <w:spacing w:before="0"/>
        <w:ind w:left="441" w:right="2788" w:firstLine="0"/>
        <w:jc w:val="left"/>
        <w:rPr>
          <w:sz w:val="18"/>
        </w:rPr>
      </w:pPr>
      <w:r>
        <w:rPr>
          <w:sz w:val="18"/>
        </w:rPr>
        <w:t>H = 20 + w/2 si V ≥ 25cm H = 25 + w/2 si  V &lt; 25cm</w:t>
      </w:r>
    </w:p>
    <w:p>
      <w:pPr>
        <w:pStyle w:val="BodyText"/>
        <w:spacing w:before="3"/>
        <w:rPr>
          <w:sz w:val="18"/>
        </w:rPr>
      </w:pPr>
    </w:p>
    <w:p>
      <w:pPr>
        <w:spacing w:line="205" w:lineRule="exact" w:before="0"/>
        <w:ind w:left="270" w:right="0" w:firstLine="0"/>
        <w:jc w:val="left"/>
        <w:rPr>
          <w:b/>
          <w:sz w:val="18"/>
        </w:rPr>
      </w:pPr>
      <w:r>
        <w:rPr>
          <w:b/>
          <w:sz w:val="18"/>
        </w:rPr>
        <w:t>VM (Vertical multiplier). Vertical distance factor.</w:t>
      </w:r>
    </w:p>
    <w:p>
      <w:pPr>
        <w:spacing w:line="240" w:lineRule="auto" w:before="0"/>
        <w:ind w:left="270" w:right="0" w:firstLine="0"/>
        <w:jc w:val="left"/>
        <w:rPr>
          <w:sz w:val="18"/>
        </w:rPr>
      </w:pPr>
      <w:r>
        <w:rPr>
          <w:sz w:val="18"/>
        </w:rPr>
        <w:t>Penalize lifting with source o destination in very low or very high positions. It is calculated using the following formula:</w:t>
      </w:r>
    </w:p>
    <w:p>
      <w:pPr>
        <w:pStyle w:val="BodyText"/>
        <w:spacing w:before="3"/>
        <w:rPr>
          <w:sz w:val="18"/>
        </w:rPr>
      </w:pPr>
    </w:p>
    <w:p>
      <w:pPr>
        <w:spacing w:before="0"/>
        <w:ind w:left="441" w:right="0" w:firstLine="0"/>
        <w:jc w:val="left"/>
        <w:rPr>
          <w:b/>
          <w:sz w:val="18"/>
        </w:rPr>
      </w:pPr>
      <w:r>
        <w:rPr>
          <w:b/>
          <w:sz w:val="18"/>
        </w:rPr>
        <w:t>VM=(1-0,003 |V-75|)</w:t>
      </w:r>
    </w:p>
    <w:p>
      <w:pPr>
        <w:pStyle w:val="BodyText"/>
        <w:spacing w:before="7"/>
        <w:rPr>
          <w:b/>
          <w:sz w:val="17"/>
        </w:rPr>
      </w:pPr>
    </w:p>
    <w:p>
      <w:pPr>
        <w:spacing w:before="1"/>
        <w:ind w:left="270" w:right="0" w:firstLine="170"/>
        <w:jc w:val="both"/>
        <w:rPr>
          <w:sz w:val="18"/>
        </w:rPr>
      </w:pPr>
      <w:r>
        <w:rPr>
          <w:sz w:val="18"/>
        </w:rPr>
        <w:t>Where V is the distance between the midpoint between the grips of the load and ground measured vertically (Figure 3). It is easy to check it out in the standard position of the uprising, the height  factor is 1, since V is set to 75. VM decreases as the origin height of the lifting is separated of 75 cm. Take into account</w:t>
      </w:r>
      <w:r>
        <w:rPr>
          <w:spacing w:val="-18"/>
          <w:sz w:val="18"/>
        </w:rPr>
        <w:t> </w:t>
      </w:r>
      <w:r>
        <w:rPr>
          <w:sz w:val="18"/>
        </w:rPr>
        <w:t>that:</w:t>
      </w:r>
    </w:p>
    <w:p>
      <w:pPr>
        <w:pStyle w:val="BodyText"/>
        <w:spacing w:before="3"/>
        <w:rPr>
          <w:sz w:val="18"/>
        </w:rPr>
      </w:pPr>
    </w:p>
    <w:p>
      <w:pPr>
        <w:spacing w:before="0"/>
        <w:ind w:left="441" w:right="0" w:firstLine="0"/>
        <w:jc w:val="left"/>
        <w:rPr>
          <w:b/>
          <w:sz w:val="18"/>
        </w:rPr>
      </w:pPr>
      <w:r>
        <w:rPr>
          <w:b/>
          <w:sz w:val="18"/>
        </w:rPr>
        <w:t>If V&gt;175 cm, VM is set to 0.</w:t>
      </w:r>
    </w:p>
    <w:p>
      <w:pPr>
        <w:pStyle w:val="BodyText"/>
        <w:spacing w:before="1"/>
        <w:rPr>
          <w:b/>
          <w:sz w:val="18"/>
        </w:rPr>
      </w:pPr>
    </w:p>
    <w:p>
      <w:pPr>
        <w:tabs>
          <w:tab w:pos="1035" w:val="left" w:leader="none"/>
          <w:tab w:pos="1676" w:val="left" w:leader="none"/>
          <w:tab w:pos="2606" w:val="left" w:leader="none"/>
          <w:tab w:pos="3296" w:val="left" w:leader="none"/>
          <w:tab w:pos="3866" w:val="left" w:leader="none"/>
          <w:tab w:pos="5014" w:val="left" w:leader="none"/>
        </w:tabs>
        <w:spacing w:line="237" w:lineRule="auto" w:before="0"/>
        <w:ind w:left="270" w:right="0" w:firstLine="0"/>
        <w:jc w:val="left"/>
        <w:rPr>
          <w:sz w:val="18"/>
        </w:rPr>
      </w:pPr>
      <w:r>
        <w:rPr>
          <w:b/>
          <w:sz w:val="18"/>
        </w:rPr>
        <w:t>DM (Distance multiplier). Vertical displacement factor </w:t>
      </w:r>
      <w:r>
        <w:rPr>
          <w:sz w:val="18"/>
        </w:rPr>
        <w:t>Penalizes the uprisings, in which the vertical path of the load is large.</w:t>
        <w:tab/>
        <w:t>The</w:t>
        <w:tab/>
        <w:t>formula</w:t>
        <w:tab/>
        <w:t>used</w:t>
        <w:tab/>
        <w:t>for</w:t>
        <w:tab/>
        <w:t>calculation</w:t>
        <w:tab/>
        <w:t>is:</w:t>
      </w:r>
    </w:p>
    <w:p>
      <w:pPr>
        <w:spacing w:before="77"/>
        <w:ind w:left="270" w:right="677" w:firstLine="0"/>
        <w:jc w:val="left"/>
        <w:rPr>
          <w:sz w:val="18"/>
        </w:rPr>
      </w:pPr>
      <w:r>
        <w:rPr/>
        <w:br w:type="column"/>
      </w:r>
      <w:r>
        <w:rPr>
          <w:sz w:val="18"/>
        </w:rPr>
        <w:t>from the working time and frequency, and vertical distance of the uprising.</w:t>
      </w:r>
    </w:p>
    <w:p>
      <w:pPr>
        <w:pStyle w:val="BodyText"/>
      </w:pPr>
    </w:p>
    <w:p>
      <w:pPr>
        <w:pStyle w:val="BodyText"/>
        <w:spacing w:before="2"/>
        <w:rPr>
          <w:sz w:val="13"/>
        </w:rPr>
      </w:pPr>
    </w:p>
    <w:tbl>
      <w:tblPr>
        <w:tblW w:w="0" w:type="auto"/>
        <w:jc w:val="left"/>
        <w:tblInd w:w="2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48"/>
        <w:gridCol w:w="810"/>
        <w:gridCol w:w="3094"/>
      </w:tblGrid>
      <w:tr>
        <w:trPr>
          <w:trHeight w:val="371" w:hRule="exact"/>
        </w:trPr>
        <w:tc>
          <w:tcPr>
            <w:tcW w:w="948" w:type="dxa"/>
          </w:tcPr>
          <w:p>
            <w:pPr>
              <w:pStyle w:val="TableParagraph"/>
              <w:spacing w:before="81"/>
              <w:ind w:right="267"/>
              <w:jc w:val="right"/>
              <w:rPr>
                <w:b/>
                <w:sz w:val="18"/>
              </w:rPr>
            </w:pPr>
            <w:r>
              <w:rPr>
                <w:b/>
                <w:sz w:val="18"/>
              </w:rPr>
              <w:t>Time</w:t>
            </w:r>
          </w:p>
        </w:tc>
        <w:tc>
          <w:tcPr>
            <w:tcW w:w="810" w:type="dxa"/>
          </w:tcPr>
          <w:p>
            <w:pPr>
              <w:pStyle w:val="TableParagraph"/>
              <w:spacing w:before="81"/>
              <w:ind w:left="50"/>
              <w:rPr>
                <w:b/>
                <w:sz w:val="18"/>
              </w:rPr>
            </w:pPr>
            <w:r>
              <w:rPr>
                <w:b/>
                <w:sz w:val="18"/>
              </w:rPr>
              <w:t>Duration</w:t>
            </w:r>
          </w:p>
        </w:tc>
        <w:tc>
          <w:tcPr>
            <w:tcW w:w="3094" w:type="dxa"/>
          </w:tcPr>
          <w:p>
            <w:pPr>
              <w:pStyle w:val="TableParagraph"/>
              <w:spacing w:before="81"/>
              <w:ind w:left="989" w:right="-19"/>
              <w:rPr>
                <w:b/>
                <w:sz w:val="18"/>
              </w:rPr>
            </w:pPr>
            <w:r>
              <w:rPr>
                <w:b/>
                <w:sz w:val="18"/>
              </w:rPr>
              <w:t>Recovery time</w:t>
            </w:r>
          </w:p>
        </w:tc>
      </w:tr>
      <w:tr>
        <w:trPr>
          <w:trHeight w:val="426" w:hRule="exact"/>
        </w:trPr>
        <w:tc>
          <w:tcPr>
            <w:tcW w:w="948" w:type="dxa"/>
          </w:tcPr>
          <w:p>
            <w:pPr>
              <w:pStyle w:val="TableParagraph"/>
              <w:spacing w:before="105"/>
              <w:ind w:right="212"/>
              <w:jc w:val="right"/>
              <w:rPr>
                <w:sz w:val="18"/>
              </w:rPr>
            </w:pPr>
            <w:r>
              <w:rPr>
                <w:sz w:val="18"/>
              </w:rPr>
              <w:t>&lt;=1 hour</w:t>
            </w:r>
          </w:p>
        </w:tc>
        <w:tc>
          <w:tcPr>
            <w:tcW w:w="810" w:type="dxa"/>
          </w:tcPr>
          <w:p>
            <w:pPr>
              <w:pStyle w:val="TableParagraph"/>
              <w:spacing w:before="105"/>
              <w:ind w:left="54"/>
              <w:rPr>
                <w:sz w:val="18"/>
              </w:rPr>
            </w:pPr>
            <w:r>
              <w:rPr>
                <w:sz w:val="18"/>
              </w:rPr>
              <w:t>Small</w:t>
            </w:r>
          </w:p>
        </w:tc>
        <w:tc>
          <w:tcPr>
            <w:tcW w:w="3094" w:type="dxa"/>
          </w:tcPr>
          <w:p>
            <w:pPr>
              <w:pStyle w:val="TableParagraph"/>
              <w:spacing w:before="105"/>
              <w:ind w:left="54" w:right="-19"/>
              <w:rPr>
                <w:sz w:val="18"/>
              </w:rPr>
            </w:pPr>
            <w:r>
              <w:rPr>
                <w:sz w:val="18"/>
              </w:rPr>
              <w:t>at least 1.2 times the working time</w:t>
            </w:r>
          </w:p>
        </w:tc>
      </w:tr>
      <w:tr>
        <w:trPr>
          <w:trHeight w:val="424" w:hRule="exact"/>
        </w:trPr>
        <w:tc>
          <w:tcPr>
            <w:tcW w:w="948" w:type="dxa"/>
          </w:tcPr>
          <w:p>
            <w:pPr>
              <w:pStyle w:val="TableParagraph"/>
              <w:tabs>
                <w:tab w:pos="490" w:val="left" w:leader="none"/>
                <w:tab w:pos="794" w:val="left" w:leader="none"/>
              </w:tabs>
              <w:spacing w:line="207" w:lineRule="exact" w:before="1"/>
              <w:ind w:left="55"/>
              <w:rPr>
                <w:sz w:val="18"/>
              </w:rPr>
            </w:pPr>
            <w:r>
              <w:rPr>
                <w:sz w:val="18"/>
              </w:rPr>
              <w:t>&gt;1</w:t>
              <w:tab/>
              <w:t>-</w:t>
              <w:tab/>
              <w:t>2</w:t>
            </w:r>
          </w:p>
          <w:p>
            <w:pPr>
              <w:pStyle w:val="TableParagraph"/>
              <w:spacing w:line="207" w:lineRule="exact"/>
              <w:ind w:left="55"/>
              <w:rPr>
                <w:sz w:val="18"/>
              </w:rPr>
            </w:pPr>
            <w:r>
              <w:rPr>
                <w:sz w:val="18"/>
              </w:rPr>
              <w:t>hours</w:t>
            </w:r>
          </w:p>
        </w:tc>
        <w:tc>
          <w:tcPr>
            <w:tcW w:w="810" w:type="dxa"/>
          </w:tcPr>
          <w:p>
            <w:pPr>
              <w:pStyle w:val="TableParagraph"/>
              <w:spacing w:before="104"/>
              <w:ind w:left="55"/>
              <w:rPr>
                <w:sz w:val="18"/>
              </w:rPr>
            </w:pPr>
            <w:r>
              <w:rPr>
                <w:sz w:val="18"/>
              </w:rPr>
              <w:t>Moderate</w:t>
            </w:r>
          </w:p>
        </w:tc>
        <w:tc>
          <w:tcPr>
            <w:tcW w:w="3094" w:type="dxa"/>
          </w:tcPr>
          <w:p>
            <w:pPr>
              <w:pStyle w:val="TableParagraph"/>
              <w:spacing w:before="104"/>
              <w:ind w:left="55" w:right="-19"/>
              <w:rPr>
                <w:sz w:val="18"/>
              </w:rPr>
            </w:pPr>
            <w:r>
              <w:rPr>
                <w:sz w:val="18"/>
              </w:rPr>
              <w:t>at least 0.3 times the working time</w:t>
            </w:r>
          </w:p>
        </w:tc>
      </w:tr>
      <w:tr>
        <w:trPr>
          <w:trHeight w:val="498" w:hRule="exact"/>
        </w:trPr>
        <w:tc>
          <w:tcPr>
            <w:tcW w:w="948" w:type="dxa"/>
          </w:tcPr>
          <w:p>
            <w:pPr>
              <w:pStyle w:val="TableParagraph"/>
              <w:tabs>
                <w:tab w:pos="490" w:val="left" w:leader="none"/>
                <w:tab w:pos="794" w:val="left" w:leader="none"/>
              </w:tabs>
              <w:spacing w:before="37"/>
              <w:ind w:left="55"/>
              <w:rPr>
                <w:sz w:val="18"/>
              </w:rPr>
            </w:pPr>
            <w:r>
              <w:rPr>
                <w:sz w:val="18"/>
              </w:rPr>
              <w:t>&gt;2</w:t>
              <w:tab/>
              <w:t>-</w:t>
              <w:tab/>
              <w:t>8</w:t>
            </w:r>
          </w:p>
          <w:p>
            <w:pPr>
              <w:pStyle w:val="TableParagraph"/>
              <w:ind w:left="55"/>
              <w:rPr>
                <w:sz w:val="18"/>
              </w:rPr>
            </w:pPr>
            <w:r>
              <w:rPr>
                <w:sz w:val="18"/>
              </w:rPr>
              <w:t>hours</w:t>
            </w:r>
          </w:p>
        </w:tc>
        <w:tc>
          <w:tcPr>
            <w:tcW w:w="810" w:type="dxa"/>
          </w:tcPr>
          <w:p>
            <w:pPr>
              <w:pStyle w:val="TableParagraph"/>
              <w:spacing w:before="140"/>
              <w:ind w:left="55"/>
              <w:rPr>
                <w:sz w:val="18"/>
              </w:rPr>
            </w:pPr>
            <w:r>
              <w:rPr>
                <w:sz w:val="18"/>
              </w:rPr>
              <w:t>Long</w:t>
            </w:r>
          </w:p>
        </w:tc>
        <w:tc>
          <w:tcPr>
            <w:tcW w:w="3094" w:type="dxa"/>
          </w:tcPr>
          <w:p>
            <w:pPr/>
          </w:p>
        </w:tc>
      </w:tr>
    </w:tbl>
    <w:p>
      <w:pPr>
        <w:spacing w:before="0"/>
        <w:ind w:left="270" w:right="746" w:firstLine="170"/>
        <w:jc w:val="left"/>
        <w:rPr>
          <w:sz w:val="18"/>
        </w:rPr>
      </w:pPr>
      <w:r>
        <w:rPr>
          <w:sz w:val="18"/>
        </w:rPr>
        <w:t>To calculate the required duration of the work in Table 2, Table  3 should be</w:t>
      </w:r>
      <w:r>
        <w:rPr>
          <w:spacing w:val="-2"/>
          <w:sz w:val="18"/>
        </w:rPr>
        <w:t> </w:t>
      </w:r>
      <w:r>
        <w:rPr>
          <w:sz w:val="18"/>
        </w:rPr>
        <w:t>used.</w:t>
      </w:r>
    </w:p>
    <w:p>
      <w:pPr>
        <w:pStyle w:val="BodyText"/>
        <w:rPr>
          <w:sz w:val="18"/>
        </w:rPr>
      </w:pPr>
    </w:p>
    <w:p>
      <w:pPr>
        <w:pStyle w:val="BodyText"/>
        <w:rPr>
          <w:sz w:val="18"/>
        </w:rPr>
      </w:pPr>
    </w:p>
    <w:p>
      <w:pPr>
        <w:spacing w:before="0"/>
        <w:ind w:left="354" w:right="761" w:firstLine="0"/>
        <w:jc w:val="center"/>
        <w:rPr>
          <w:sz w:val="18"/>
        </w:rPr>
      </w:pPr>
      <w:r>
        <w:rPr>
          <w:sz w:val="18"/>
        </w:rPr>
        <w:t>Table 2: Frequency Factor Calculation.( Source. (Ergonautas. Departamento de Proyectos de Ingeniería de la Universidad Politécnica de Valencia)</w:t>
      </w:r>
    </w:p>
    <w:p>
      <w:pPr>
        <w:spacing w:after="0"/>
        <w:jc w:val="center"/>
        <w:rPr>
          <w:sz w:val="18"/>
        </w:rPr>
        <w:sectPr>
          <w:type w:val="continuous"/>
          <w:pgSz w:w="12240" w:h="15840"/>
          <w:pgMar w:top="1500" w:bottom="280" w:left="580" w:right="220"/>
          <w:cols w:num="2" w:equalWidth="0">
            <w:col w:w="5189" w:space="436"/>
            <w:col w:w="5815"/>
          </w:cols>
        </w:sectPr>
      </w:pPr>
    </w:p>
    <w:p>
      <w:pPr>
        <w:pStyle w:val="BodyText"/>
        <w:spacing w:before="1"/>
        <w:rPr>
          <w:sz w:val="22"/>
        </w:rPr>
      </w:pPr>
    </w:p>
    <w:p>
      <w:pPr>
        <w:pStyle w:val="BodyText"/>
        <w:ind w:left="442"/>
      </w:pPr>
      <w:r>
        <w:rPr/>
        <w:pict>
          <v:group style="width:79.2pt;height:22.35pt;mso-position-horizontal-relative:char;mso-position-vertical-relative:line" coordorigin="0,0" coordsize="1584,447">
            <v:shape style="position:absolute;left:1296;top:0;width:288;height:144" type="#_x0000_t75" stroked="false">
              <v:imagedata r:id="rId347" o:title=""/>
            </v:shape>
            <v:shape style="position:absolute;left:0;top:158;width:1584;height:288" type="#_x0000_t75" stroked="false">
              <v:imagedata r:id="rId348" o:title=""/>
            </v:shape>
          </v:group>
        </w:pict>
      </w:r>
      <w:r>
        <w:rPr/>
      </w:r>
    </w:p>
    <w:p>
      <w:pPr>
        <w:pStyle w:val="BodyText"/>
        <w:spacing w:before="1"/>
        <w:rPr>
          <w:sz w:val="10"/>
        </w:rPr>
      </w:pPr>
    </w:p>
    <w:p>
      <w:pPr>
        <w:spacing w:before="77"/>
        <w:ind w:left="270" w:right="6248" w:firstLine="170"/>
        <w:jc w:val="both"/>
        <w:rPr>
          <w:sz w:val="18"/>
        </w:rPr>
      </w:pPr>
      <w:r>
        <w:rPr/>
        <w:pict>
          <v:shape style="position:absolute;margin-left:320.399994pt;margin-top:-153.37767pt;width:250.65pt;height:259.6500pt;mso-position-horizontal-relative:page;mso-position-vertical-relative:paragraph;z-index:9544" type="#_x0000_t202" filled="false" stroked="false">
            <v:textbox inset="0,0,0,0">
              <w:txbxContent>
                <w:tbl>
                  <w:tblPr>
                    <w:tblW w:w="0" w:type="auto"/>
                    <w:jc w:val="left"/>
                    <w:tblBorders>
                      <w:top w:val="double" w:sz="7" w:space="0" w:color="000000"/>
                      <w:left w:val="double" w:sz="7" w:space="0" w:color="000000"/>
                      <w:bottom w:val="double" w:sz="7" w:space="0" w:color="000000"/>
                      <w:right w:val="double" w:sz="7" w:space="0" w:color="000000"/>
                      <w:insideH w:val="double" w:sz="7" w:space="0" w:color="000000"/>
                      <w:insideV w:val="double" w:sz="7" w:space="0" w:color="000000"/>
                    </w:tblBorders>
                    <w:tblLayout w:type="fixed"/>
                    <w:tblCellMar>
                      <w:top w:w="0" w:type="dxa"/>
                      <w:left w:w="0" w:type="dxa"/>
                      <w:bottom w:w="0" w:type="dxa"/>
                      <w:right w:w="0" w:type="dxa"/>
                    </w:tblCellMar>
                    <w:tblLook w:val="01E0"/>
                  </w:tblPr>
                  <w:tblGrid>
                    <w:gridCol w:w="1375"/>
                    <w:gridCol w:w="601"/>
                    <w:gridCol w:w="564"/>
                    <w:gridCol w:w="638"/>
                    <w:gridCol w:w="638"/>
                    <w:gridCol w:w="564"/>
                    <w:gridCol w:w="590"/>
                  </w:tblGrid>
                  <w:tr>
                    <w:trPr>
                      <w:trHeight w:val="271" w:hRule="exact"/>
                    </w:trPr>
                    <w:tc>
                      <w:tcPr>
                        <w:tcW w:w="1375" w:type="dxa"/>
                        <w:vMerge w:val="restart"/>
                        <w:tcBorders>
                          <w:left w:val="double" w:sz="4" w:space="0" w:color="000000"/>
                          <w:right w:val="double" w:sz="4" w:space="0" w:color="000000"/>
                        </w:tcBorders>
                      </w:tcPr>
                      <w:p>
                        <w:pPr>
                          <w:pStyle w:val="TableParagraph"/>
                          <w:spacing w:before="2"/>
                          <w:rPr>
                            <w:sz w:val="15"/>
                          </w:rPr>
                        </w:pPr>
                      </w:p>
                      <w:p>
                        <w:pPr>
                          <w:pStyle w:val="TableParagraph"/>
                          <w:spacing w:line="207" w:lineRule="exact"/>
                          <w:ind w:left="81" w:right="82"/>
                          <w:jc w:val="center"/>
                          <w:rPr>
                            <w:b/>
                            <w:sz w:val="18"/>
                          </w:rPr>
                        </w:pPr>
                        <w:r>
                          <w:rPr>
                            <w:b/>
                            <w:sz w:val="18"/>
                          </w:rPr>
                          <w:t>FREQUENCY</w:t>
                        </w:r>
                      </w:p>
                      <w:p>
                        <w:pPr>
                          <w:pStyle w:val="TableParagraph"/>
                          <w:spacing w:line="207" w:lineRule="exact"/>
                          <w:ind w:left="81" w:right="80"/>
                          <w:jc w:val="center"/>
                          <w:rPr>
                            <w:b/>
                            <w:sz w:val="18"/>
                          </w:rPr>
                        </w:pPr>
                        <w:r>
                          <w:rPr>
                            <w:b/>
                            <w:sz w:val="18"/>
                          </w:rPr>
                          <w:t>elev/min</w:t>
                        </w:r>
                      </w:p>
                    </w:tc>
                    <w:tc>
                      <w:tcPr>
                        <w:tcW w:w="3595" w:type="dxa"/>
                        <w:gridSpan w:val="6"/>
                        <w:tcBorders>
                          <w:top w:val="double" w:sz="4" w:space="0" w:color="000000"/>
                          <w:left w:val="double" w:sz="4" w:space="0" w:color="000000"/>
                          <w:bottom w:val="double" w:sz="4" w:space="0" w:color="000000"/>
                          <w:right w:val="double" w:sz="4" w:space="0" w:color="000000"/>
                        </w:tcBorders>
                      </w:tcPr>
                      <w:p>
                        <w:pPr>
                          <w:pStyle w:val="TableParagraph"/>
                          <w:spacing w:before="14"/>
                          <w:ind w:left="825"/>
                          <w:rPr>
                            <w:b/>
                            <w:sz w:val="18"/>
                          </w:rPr>
                        </w:pPr>
                        <w:r>
                          <w:rPr>
                            <w:b/>
                            <w:sz w:val="18"/>
                          </w:rPr>
                          <w:t>DURATION OF WORK</w:t>
                        </w:r>
                      </w:p>
                    </w:tc>
                  </w:tr>
                  <w:tr>
                    <w:trPr>
                      <w:trHeight w:val="271" w:hRule="exact"/>
                    </w:trPr>
                    <w:tc>
                      <w:tcPr>
                        <w:tcW w:w="1375" w:type="dxa"/>
                        <w:vMerge/>
                        <w:tcBorders>
                          <w:left w:val="double" w:sz="4" w:space="0" w:color="000000"/>
                          <w:right w:val="double" w:sz="4" w:space="0" w:color="000000"/>
                        </w:tcBorders>
                      </w:tcPr>
                      <w:p>
                        <w:pPr/>
                      </w:p>
                    </w:tc>
                    <w:tc>
                      <w:tcPr>
                        <w:tcW w:w="1165" w:type="dxa"/>
                        <w:gridSpan w:val="2"/>
                        <w:tcBorders>
                          <w:top w:val="double" w:sz="4" w:space="0" w:color="000000"/>
                          <w:left w:val="double" w:sz="4" w:space="0" w:color="000000"/>
                          <w:bottom w:val="double" w:sz="4" w:space="0" w:color="000000"/>
                          <w:right w:val="double" w:sz="5" w:space="0" w:color="000000"/>
                        </w:tcBorders>
                      </w:tcPr>
                      <w:p>
                        <w:pPr>
                          <w:pStyle w:val="TableParagraph"/>
                          <w:spacing w:before="14"/>
                          <w:ind w:left="61"/>
                          <w:rPr>
                            <w:b/>
                            <w:sz w:val="18"/>
                          </w:rPr>
                        </w:pPr>
                        <w:r>
                          <w:rPr>
                            <w:b/>
                            <w:sz w:val="18"/>
                          </w:rPr>
                          <w:t>SMALL</w:t>
                        </w:r>
                      </w:p>
                    </w:tc>
                    <w:tc>
                      <w:tcPr>
                        <w:tcW w:w="1276" w:type="dxa"/>
                        <w:gridSpan w:val="2"/>
                        <w:tcBorders>
                          <w:top w:val="double" w:sz="4" w:space="0" w:color="000000"/>
                          <w:left w:val="double" w:sz="5" w:space="0" w:color="000000"/>
                          <w:bottom w:val="double" w:sz="4" w:space="0" w:color="000000"/>
                          <w:right w:val="double" w:sz="4" w:space="0" w:color="000000"/>
                        </w:tcBorders>
                      </w:tcPr>
                      <w:p>
                        <w:pPr>
                          <w:pStyle w:val="TableParagraph"/>
                          <w:spacing w:before="14"/>
                          <w:ind w:left="90"/>
                          <w:rPr>
                            <w:b/>
                            <w:sz w:val="18"/>
                          </w:rPr>
                        </w:pPr>
                        <w:r>
                          <w:rPr>
                            <w:b/>
                            <w:sz w:val="18"/>
                          </w:rPr>
                          <w:t>MODERATE</w:t>
                        </w:r>
                      </w:p>
                    </w:tc>
                    <w:tc>
                      <w:tcPr>
                        <w:tcW w:w="1154" w:type="dxa"/>
                        <w:gridSpan w:val="2"/>
                        <w:tcBorders>
                          <w:top w:val="double" w:sz="4" w:space="0" w:color="000000"/>
                          <w:left w:val="double" w:sz="4" w:space="0" w:color="000000"/>
                          <w:bottom w:val="double" w:sz="4" w:space="0" w:color="000000"/>
                          <w:right w:val="double" w:sz="4" w:space="0" w:color="000000"/>
                        </w:tcBorders>
                      </w:tcPr>
                      <w:p>
                        <w:pPr>
                          <w:pStyle w:val="TableParagraph"/>
                          <w:spacing w:before="14"/>
                          <w:ind w:left="295"/>
                          <w:rPr>
                            <w:b/>
                            <w:sz w:val="18"/>
                          </w:rPr>
                        </w:pPr>
                        <w:r>
                          <w:rPr>
                            <w:b/>
                            <w:sz w:val="18"/>
                          </w:rPr>
                          <w:t>LONG</w:t>
                        </w:r>
                      </w:p>
                    </w:tc>
                  </w:tr>
                  <w:tr>
                    <w:trPr>
                      <w:trHeight w:val="271" w:hRule="exact"/>
                    </w:trPr>
                    <w:tc>
                      <w:tcPr>
                        <w:tcW w:w="1375" w:type="dxa"/>
                        <w:vMerge/>
                        <w:tcBorders>
                          <w:left w:val="double" w:sz="4" w:space="0" w:color="000000"/>
                          <w:bottom w:val="double" w:sz="4" w:space="0" w:color="000000"/>
                          <w:right w:val="double" w:sz="4" w:space="0" w:color="000000"/>
                        </w:tcBorders>
                      </w:tcPr>
                      <w:p>
                        <w:pPr/>
                      </w:p>
                    </w:tc>
                    <w:tc>
                      <w:tcPr>
                        <w:tcW w:w="601" w:type="dxa"/>
                        <w:tcBorders>
                          <w:top w:val="double" w:sz="4" w:space="0" w:color="000000"/>
                          <w:left w:val="double" w:sz="4" w:space="0" w:color="000000"/>
                          <w:bottom w:val="double" w:sz="4" w:space="0" w:color="000000"/>
                          <w:right w:val="double" w:sz="5" w:space="0" w:color="000000"/>
                        </w:tcBorders>
                      </w:tcPr>
                      <w:p>
                        <w:pPr>
                          <w:pStyle w:val="TableParagraph"/>
                          <w:spacing w:before="14"/>
                          <w:ind w:left="77"/>
                          <w:rPr>
                            <w:b/>
                            <w:sz w:val="18"/>
                          </w:rPr>
                        </w:pPr>
                        <w:r>
                          <w:rPr>
                            <w:b/>
                            <w:sz w:val="18"/>
                          </w:rPr>
                          <w:t>V&lt;75</w:t>
                        </w:r>
                      </w:p>
                    </w:tc>
                    <w:tc>
                      <w:tcPr>
                        <w:tcW w:w="564" w:type="dxa"/>
                        <w:tcBorders>
                          <w:top w:val="double" w:sz="4" w:space="0" w:color="000000"/>
                          <w:left w:val="double" w:sz="5" w:space="0" w:color="000000"/>
                          <w:bottom w:val="double" w:sz="4" w:space="0" w:color="000000"/>
                          <w:right w:val="double" w:sz="5" w:space="0" w:color="000000"/>
                        </w:tcBorders>
                      </w:tcPr>
                      <w:p>
                        <w:pPr>
                          <w:pStyle w:val="TableParagraph"/>
                          <w:spacing w:before="14"/>
                          <w:ind w:left="38" w:right="38"/>
                          <w:jc w:val="center"/>
                          <w:rPr>
                            <w:b/>
                            <w:sz w:val="18"/>
                          </w:rPr>
                        </w:pPr>
                        <w:r>
                          <w:rPr>
                            <w:b/>
                            <w:sz w:val="18"/>
                          </w:rPr>
                          <w:t>V&gt;75</w:t>
                        </w:r>
                      </w:p>
                    </w:tc>
                    <w:tc>
                      <w:tcPr>
                        <w:tcW w:w="638" w:type="dxa"/>
                        <w:tcBorders>
                          <w:top w:val="double" w:sz="4" w:space="0" w:color="000000"/>
                          <w:left w:val="double" w:sz="5" w:space="0" w:color="000000"/>
                          <w:bottom w:val="double" w:sz="4" w:space="0" w:color="000000"/>
                          <w:right w:val="double" w:sz="4" w:space="0" w:color="000000"/>
                        </w:tcBorders>
                      </w:tcPr>
                      <w:p>
                        <w:pPr>
                          <w:pStyle w:val="TableParagraph"/>
                          <w:spacing w:before="14"/>
                          <w:ind w:left="94"/>
                          <w:rPr>
                            <w:b/>
                            <w:sz w:val="18"/>
                          </w:rPr>
                        </w:pPr>
                        <w:r>
                          <w:rPr>
                            <w:b/>
                            <w:sz w:val="18"/>
                          </w:rPr>
                          <w:t>V&lt;75</w:t>
                        </w:r>
                      </w:p>
                    </w:tc>
                    <w:tc>
                      <w:tcPr>
                        <w:tcW w:w="638" w:type="dxa"/>
                        <w:tcBorders>
                          <w:top w:val="double" w:sz="4" w:space="0" w:color="000000"/>
                          <w:left w:val="double" w:sz="4" w:space="0" w:color="000000"/>
                          <w:bottom w:val="double" w:sz="4" w:space="0" w:color="000000"/>
                          <w:right w:val="double" w:sz="4" w:space="0" w:color="000000"/>
                        </w:tcBorders>
                      </w:tcPr>
                      <w:p>
                        <w:pPr>
                          <w:pStyle w:val="TableParagraph"/>
                          <w:spacing w:before="14"/>
                          <w:ind w:left="95"/>
                          <w:rPr>
                            <w:b/>
                            <w:sz w:val="18"/>
                          </w:rPr>
                        </w:pPr>
                        <w:r>
                          <w:rPr>
                            <w:b/>
                            <w:sz w:val="18"/>
                          </w:rPr>
                          <w:t>V&gt;75</w:t>
                        </w:r>
                      </w:p>
                    </w:tc>
                    <w:tc>
                      <w:tcPr>
                        <w:tcW w:w="564" w:type="dxa"/>
                        <w:tcBorders>
                          <w:top w:val="double" w:sz="4" w:space="0" w:color="000000"/>
                          <w:left w:val="double" w:sz="4" w:space="0" w:color="000000"/>
                          <w:bottom w:val="double" w:sz="4" w:space="0" w:color="000000"/>
                          <w:right w:val="double" w:sz="4" w:space="0" w:color="000000"/>
                        </w:tcBorders>
                      </w:tcPr>
                      <w:p>
                        <w:pPr>
                          <w:pStyle w:val="TableParagraph"/>
                          <w:spacing w:before="14"/>
                          <w:ind w:left="38" w:right="39"/>
                          <w:jc w:val="center"/>
                          <w:rPr>
                            <w:b/>
                            <w:sz w:val="18"/>
                          </w:rPr>
                        </w:pPr>
                        <w:r>
                          <w:rPr>
                            <w:b/>
                            <w:sz w:val="18"/>
                          </w:rPr>
                          <w:t>V&lt;75</w:t>
                        </w:r>
                      </w:p>
                    </w:tc>
                    <w:tc>
                      <w:tcPr>
                        <w:tcW w:w="590" w:type="dxa"/>
                        <w:tcBorders>
                          <w:top w:val="double" w:sz="4" w:space="0" w:color="000000"/>
                          <w:left w:val="double" w:sz="4" w:space="0" w:color="000000"/>
                          <w:bottom w:val="double" w:sz="4" w:space="0" w:color="000000"/>
                          <w:right w:val="double" w:sz="4" w:space="0" w:color="000000"/>
                        </w:tcBorders>
                      </w:tcPr>
                      <w:p>
                        <w:pPr>
                          <w:pStyle w:val="TableParagraph"/>
                          <w:spacing w:before="14"/>
                          <w:ind w:left="71"/>
                          <w:rPr>
                            <w:b/>
                            <w:sz w:val="18"/>
                          </w:rPr>
                        </w:pPr>
                        <w:r>
                          <w:rPr>
                            <w:b/>
                            <w:sz w:val="18"/>
                          </w:rPr>
                          <w:t>V&gt;75</w:t>
                        </w:r>
                      </w:p>
                    </w:tc>
                  </w:tr>
                  <w:tr>
                    <w:trPr>
                      <w:trHeight w:val="241" w:hRule="exact"/>
                    </w:trPr>
                    <w:tc>
                      <w:tcPr>
                        <w:tcW w:w="1375" w:type="dxa"/>
                        <w:tcBorders>
                          <w:top w:val="double" w:sz="4" w:space="0" w:color="000000"/>
                          <w:left w:val="double" w:sz="4" w:space="0" w:color="000000"/>
                          <w:bottom w:val="double" w:sz="4" w:space="0" w:color="000000"/>
                          <w:right w:val="double" w:sz="5" w:space="0" w:color="000000"/>
                        </w:tcBorders>
                      </w:tcPr>
                      <w:p>
                        <w:pPr>
                          <w:pStyle w:val="TableParagraph"/>
                          <w:spacing w:line="202" w:lineRule="exact"/>
                          <w:ind w:left="60"/>
                          <w:rPr>
                            <w:sz w:val="18"/>
                          </w:rPr>
                        </w:pPr>
                        <w:r>
                          <w:rPr>
                            <w:b/>
                            <w:sz w:val="18"/>
                          </w:rPr>
                          <w:t>£</w:t>
                        </w:r>
                        <w:r>
                          <w:rPr>
                            <w:sz w:val="18"/>
                          </w:rPr>
                          <w:t>0,2</w:t>
                        </w:r>
                      </w:p>
                    </w:tc>
                    <w:tc>
                      <w:tcPr>
                        <w:tcW w:w="601" w:type="dxa"/>
                        <w:tcBorders>
                          <w:top w:val="double" w:sz="4" w:space="0" w:color="000000"/>
                          <w:left w:val="double" w:sz="5" w:space="0" w:color="000000"/>
                          <w:bottom w:val="double" w:sz="4" w:space="0" w:color="000000"/>
                          <w:right w:val="double" w:sz="5" w:space="0" w:color="000000"/>
                        </w:tcBorders>
                      </w:tcPr>
                      <w:p>
                        <w:pPr>
                          <w:pStyle w:val="TableParagraph"/>
                          <w:spacing w:line="202" w:lineRule="exact"/>
                          <w:ind w:left="60"/>
                          <w:rPr>
                            <w:sz w:val="18"/>
                          </w:rPr>
                        </w:pPr>
                        <w:r>
                          <w:rPr>
                            <w:sz w:val="18"/>
                          </w:rPr>
                          <w:t>1,00</w:t>
                        </w:r>
                      </w:p>
                    </w:tc>
                    <w:tc>
                      <w:tcPr>
                        <w:tcW w:w="564" w:type="dxa"/>
                        <w:tcBorders>
                          <w:top w:val="double" w:sz="4" w:space="0" w:color="000000"/>
                          <w:left w:val="double" w:sz="5" w:space="0" w:color="000000"/>
                          <w:bottom w:val="double" w:sz="4" w:space="0" w:color="000000"/>
                          <w:right w:val="double" w:sz="5" w:space="0" w:color="000000"/>
                        </w:tcBorders>
                      </w:tcPr>
                      <w:p>
                        <w:pPr>
                          <w:pStyle w:val="TableParagraph"/>
                          <w:spacing w:line="202" w:lineRule="exact"/>
                          <w:ind w:left="38" w:right="130"/>
                          <w:jc w:val="center"/>
                          <w:rPr>
                            <w:sz w:val="18"/>
                          </w:rPr>
                        </w:pPr>
                        <w:r>
                          <w:rPr>
                            <w:sz w:val="18"/>
                          </w:rPr>
                          <w:t>1,00</w:t>
                        </w:r>
                      </w:p>
                    </w:tc>
                    <w:tc>
                      <w:tcPr>
                        <w:tcW w:w="638" w:type="dxa"/>
                        <w:tcBorders>
                          <w:top w:val="double" w:sz="4" w:space="0" w:color="000000"/>
                          <w:left w:val="double" w:sz="5" w:space="0" w:color="000000"/>
                          <w:bottom w:val="double" w:sz="4" w:space="0" w:color="000000"/>
                          <w:right w:val="double" w:sz="4" w:space="0" w:color="000000"/>
                        </w:tcBorders>
                      </w:tcPr>
                      <w:p>
                        <w:pPr>
                          <w:pStyle w:val="TableParagraph"/>
                          <w:spacing w:line="202" w:lineRule="exact"/>
                          <w:ind w:left="58"/>
                          <w:rPr>
                            <w:sz w:val="18"/>
                          </w:rPr>
                        </w:pPr>
                        <w:r>
                          <w:rPr>
                            <w:sz w:val="18"/>
                          </w:rPr>
                          <w:t>0,95</w:t>
                        </w:r>
                      </w:p>
                    </w:tc>
                    <w:tc>
                      <w:tcPr>
                        <w:tcW w:w="638" w:type="dxa"/>
                        <w:tcBorders>
                          <w:top w:val="double" w:sz="4" w:space="0" w:color="000000"/>
                          <w:left w:val="double" w:sz="4" w:space="0" w:color="000000"/>
                          <w:bottom w:val="double" w:sz="4" w:space="0" w:color="000000"/>
                          <w:right w:val="double" w:sz="4" w:space="0" w:color="000000"/>
                        </w:tcBorders>
                      </w:tcPr>
                      <w:p>
                        <w:pPr>
                          <w:pStyle w:val="TableParagraph"/>
                          <w:spacing w:line="202" w:lineRule="exact"/>
                          <w:ind w:left="59"/>
                          <w:rPr>
                            <w:sz w:val="18"/>
                          </w:rPr>
                        </w:pPr>
                        <w:r>
                          <w:rPr>
                            <w:sz w:val="18"/>
                          </w:rPr>
                          <w:t>0,95</w:t>
                        </w:r>
                      </w:p>
                    </w:tc>
                    <w:tc>
                      <w:tcPr>
                        <w:tcW w:w="564" w:type="dxa"/>
                        <w:tcBorders>
                          <w:top w:val="double" w:sz="4" w:space="0" w:color="000000"/>
                          <w:left w:val="double" w:sz="4" w:space="0" w:color="000000"/>
                          <w:bottom w:val="double" w:sz="4" w:space="0" w:color="000000"/>
                          <w:right w:val="double" w:sz="4" w:space="0" w:color="000000"/>
                        </w:tcBorders>
                      </w:tcPr>
                      <w:p>
                        <w:pPr>
                          <w:pStyle w:val="TableParagraph"/>
                          <w:spacing w:line="202" w:lineRule="exact"/>
                          <w:ind w:left="38" w:right="132"/>
                          <w:jc w:val="center"/>
                          <w:rPr>
                            <w:sz w:val="18"/>
                          </w:rPr>
                        </w:pPr>
                        <w:r>
                          <w:rPr>
                            <w:sz w:val="18"/>
                          </w:rPr>
                          <w:t>0,85</w:t>
                        </w:r>
                      </w:p>
                    </w:tc>
                    <w:tc>
                      <w:tcPr>
                        <w:tcW w:w="590" w:type="dxa"/>
                        <w:tcBorders>
                          <w:top w:val="double" w:sz="4" w:space="0" w:color="000000"/>
                          <w:left w:val="double" w:sz="4" w:space="0" w:color="000000"/>
                          <w:bottom w:val="double" w:sz="4" w:space="0" w:color="000000"/>
                          <w:right w:val="double" w:sz="4" w:space="0" w:color="000000"/>
                        </w:tcBorders>
                      </w:tcPr>
                      <w:p>
                        <w:pPr>
                          <w:pStyle w:val="TableParagraph"/>
                          <w:spacing w:line="202" w:lineRule="exact"/>
                          <w:ind w:left="59"/>
                          <w:rPr>
                            <w:sz w:val="18"/>
                          </w:rPr>
                        </w:pPr>
                        <w:r>
                          <w:rPr>
                            <w:sz w:val="18"/>
                          </w:rPr>
                          <w:t>0,85</w:t>
                        </w:r>
                      </w:p>
                    </w:tc>
                  </w:tr>
                  <w:tr>
                    <w:trPr>
                      <w:trHeight w:val="241" w:hRule="exact"/>
                    </w:trPr>
                    <w:tc>
                      <w:tcPr>
                        <w:tcW w:w="1375" w:type="dxa"/>
                        <w:tcBorders>
                          <w:top w:val="double" w:sz="4" w:space="0" w:color="000000"/>
                          <w:left w:val="double" w:sz="4" w:space="0" w:color="000000"/>
                          <w:bottom w:val="double" w:sz="4" w:space="0" w:color="000000"/>
                          <w:right w:val="double" w:sz="5" w:space="0" w:color="000000"/>
                        </w:tcBorders>
                      </w:tcPr>
                      <w:p>
                        <w:pPr>
                          <w:pStyle w:val="TableParagraph"/>
                          <w:spacing w:line="202" w:lineRule="exact"/>
                          <w:ind w:left="60"/>
                          <w:rPr>
                            <w:sz w:val="18"/>
                          </w:rPr>
                        </w:pPr>
                        <w:r>
                          <w:rPr>
                            <w:sz w:val="18"/>
                          </w:rPr>
                          <w:t>0,5</w:t>
                        </w:r>
                      </w:p>
                    </w:tc>
                    <w:tc>
                      <w:tcPr>
                        <w:tcW w:w="601" w:type="dxa"/>
                        <w:tcBorders>
                          <w:top w:val="double" w:sz="4" w:space="0" w:color="000000"/>
                          <w:left w:val="double" w:sz="5" w:space="0" w:color="000000"/>
                          <w:bottom w:val="double" w:sz="4" w:space="0" w:color="000000"/>
                          <w:right w:val="double" w:sz="5" w:space="0" w:color="000000"/>
                        </w:tcBorders>
                      </w:tcPr>
                      <w:p>
                        <w:pPr>
                          <w:pStyle w:val="TableParagraph"/>
                          <w:spacing w:line="202" w:lineRule="exact"/>
                          <w:ind w:left="60"/>
                          <w:rPr>
                            <w:sz w:val="18"/>
                          </w:rPr>
                        </w:pPr>
                        <w:r>
                          <w:rPr>
                            <w:sz w:val="18"/>
                          </w:rPr>
                          <w:t>0,97</w:t>
                        </w:r>
                      </w:p>
                    </w:tc>
                    <w:tc>
                      <w:tcPr>
                        <w:tcW w:w="564" w:type="dxa"/>
                        <w:tcBorders>
                          <w:top w:val="double" w:sz="4" w:space="0" w:color="000000"/>
                          <w:left w:val="double" w:sz="5" w:space="0" w:color="000000"/>
                          <w:bottom w:val="double" w:sz="4" w:space="0" w:color="000000"/>
                          <w:right w:val="double" w:sz="5" w:space="0" w:color="000000"/>
                        </w:tcBorders>
                      </w:tcPr>
                      <w:p>
                        <w:pPr>
                          <w:pStyle w:val="TableParagraph"/>
                          <w:spacing w:line="202" w:lineRule="exact"/>
                          <w:ind w:left="38" w:right="130"/>
                          <w:jc w:val="center"/>
                          <w:rPr>
                            <w:sz w:val="18"/>
                          </w:rPr>
                        </w:pPr>
                        <w:r>
                          <w:rPr>
                            <w:sz w:val="18"/>
                          </w:rPr>
                          <w:t>0,97</w:t>
                        </w:r>
                      </w:p>
                    </w:tc>
                    <w:tc>
                      <w:tcPr>
                        <w:tcW w:w="638" w:type="dxa"/>
                        <w:tcBorders>
                          <w:top w:val="double" w:sz="4" w:space="0" w:color="000000"/>
                          <w:left w:val="double" w:sz="5" w:space="0" w:color="000000"/>
                          <w:bottom w:val="double" w:sz="4" w:space="0" w:color="000000"/>
                          <w:right w:val="double" w:sz="4" w:space="0" w:color="000000"/>
                        </w:tcBorders>
                      </w:tcPr>
                      <w:p>
                        <w:pPr>
                          <w:pStyle w:val="TableParagraph"/>
                          <w:spacing w:line="202" w:lineRule="exact"/>
                          <w:ind w:left="58"/>
                          <w:rPr>
                            <w:sz w:val="18"/>
                          </w:rPr>
                        </w:pPr>
                        <w:r>
                          <w:rPr>
                            <w:sz w:val="18"/>
                          </w:rPr>
                          <w:t>0,92</w:t>
                        </w:r>
                      </w:p>
                    </w:tc>
                    <w:tc>
                      <w:tcPr>
                        <w:tcW w:w="638" w:type="dxa"/>
                        <w:tcBorders>
                          <w:top w:val="double" w:sz="4" w:space="0" w:color="000000"/>
                          <w:left w:val="double" w:sz="4" w:space="0" w:color="000000"/>
                          <w:bottom w:val="double" w:sz="4" w:space="0" w:color="000000"/>
                          <w:right w:val="double" w:sz="4" w:space="0" w:color="000000"/>
                        </w:tcBorders>
                      </w:tcPr>
                      <w:p>
                        <w:pPr>
                          <w:pStyle w:val="TableParagraph"/>
                          <w:spacing w:line="202" w:lineRule="exact"/>
                          <w:ind w:left="59"/>
                          <w:rPr>
                            <w:sz w:val="18"/>
                          </w:rPr>
                        </w:pPr>
                        <w:r>
                          <w:rPr>
                            <w:sz w:val="18"/>
                          </w:rPr>
                          <w:t>0,92</w:t>
                        </w:r>
                      </w:p>
                    </w:tc>
                    <w:tc>
                      <w:tcPr>
                        <w:tcW w:w="564" w:type="dxa"/>
                        <w:tcBorders>
                          <w:top w:val="double" w:sz="4" w:space="0" w:color="000000"/>
                          <w:left w:val="double" w:sz="4" w:space="0" w:color="000000"/>
                          <w:bottom w:val="double" w:sz="4" w:space="0" w:color="000000"/>
                          <w:right w:val="double" w:sz="4" w:space="0" w:color="000000"/>
                        </w:tcBorders>
                      </w:tcPr>
                      <w:p>
                        <w:pPr>
                          <w:pStyle w:val="TableParagraph"/>
                          <w:spacing w:line="202" w:lineRule="exact"/>
                          <w:ind w:left="38" w:right="132"/>
                          <w:jc w:val="center"/>
                          <w:rPr>
                            <w:sz w:val="18"/>
                          </w:rPr>
                        </w:pPr>
                        <w:r>
                          <w:rPr>
                            <w:sz w:val="18"/>
                          </w:rPr>
                          <w:t>0,81</w:t>
                        </w:r>
                      </w:p>
                    </w:tc>
                    <w:tc>
                      <w:tcPr>
                        <w:tcW w:w="590" w:type="dxa"/>
                        <w:tcBorders>
                          <w:top w:val="double" w:sz="4" w:space="0" w:color="000000"/>
                          <w:left w:val="double" w:sz="4" w:space="0" w:color="000000"/>
                          <w:bottom w:val="double" w:sz="4" w:space="0" w:color="000000"/>
                          <w:right w:val="double" w:sz="4" w:space="0" w:color="000000"/>
                        </w:tcBorders>
                      </w:tcPr>
                      <w:p>
                        <w:pPr>
                          <w:pStyle w:val="TableParagraph"/>
                          <w:spacing w:line="202" w:lineRule="exact"/>
                          <w:ind w:left="59"/>
                          <w:rPr>
                            <w:sz w:val="18"/>
                          </w:rPr>
                        </w:pPr>
                        <w:r>
                          <w:rPr>
                            <w:sz w:val="18"/>
                          </w:rPr>
                          <w:t>0,81</w:t>
                        </w:r>
                      </w:p>
                    </w:tc>
                  </w:tr>
                  <w:tr>
                    <w:trPr>
                      <w:trHeight w:val="240" w:hRule="exact"/>
                    </w:trPr>
                    <w:tc>
                      <w:tcPr>
                        <w:tcW w:w="1375" w:type="dxa"/>
                        <w:tcBorders>
                          <w:top w:val="double" w:sz="4" w:space="0" w:color="000000"/>
                          <w:left w:val="double" w:sz="4" w:space="0" w:color="000000"/>
                          <w:bottom w:val="double" w:sz="4" w:space="0" w:color="000000"/>
                          <w:right w:val="double" w:sz="5" w:space="0" w:color="000000"/>
                        </w:tcBorders>
                      </w:tcPr>
                      <w:p>
                        <w:pPr>
                          <w:pStyle w:val="TableParagraph"/>
                          <w:spacing w:line="202" w:lineRule="exact"/>
                          <w:ind w:left="60"/>
                          <w:rPr>
                            <w:sz w:val="18"/>
                          </w:rPr>
                        </w:pPr>
                        <w:r>
                          <w:rPr>
                            <w:sz w:val="18"/>
                          </w:rPr>
                          <w:t>1</w:t>
                        </w:r>
                      </w:p>
                    </w:tc>
                    <w:tc>
                      <w:tcPr>
                        <w:tcW w:w="601" w:type="dxa"/>
                        <w:tcBorders>
                          <w:top w:val="double" w:sz="4" w:space="0" w:color="000000"/>
                          <w:left w:val="double" w:sz="5" w:space="0" w:color="000000"/>
                          <w:bottom w:val="double" w:sz="4" w:space="0" w:color="000000"/>
                          <w:right w:val="double" w:sz="5" w:space="0" w:color="000000"/>
                        </w:tcBorders>
                      </w:tcPr>
                      <w:p>
                        <w:pPr>
                          <w:pStyle w:val="TableParagraph"/>
                          <w:spacing w:line="202" w:lineRule="exact"/>
                          <w:ind w:left="60"/>
                          <w:rPr>
                            <w:sz w:val="18"/>
                          </w:rPr>
                        </w:pPr>
                        <w:r>
                          <w:rPr>
                            <w:sz w:val="18"/>
                          </w:rPr>
                          <w:t>0,94</w:t>
                        </w:r>
                      </w:p>
                    </w:tc>
                    <w:tc>
                      <w:tcPr>
                        <w:tcW w:w="564" w:type="dxa"/>
                        <w:tcBorders>
                          <w:top w:val="double" w:sz="4" w:space="0" w:color="000000"/>
                          <w:left w:val="double" w:sz="5" w:space="0" w:color="000000"/>
                          <w:bottom w:val="double" w:sz="4" w:space="0" w:color="000000"/>
                          <w:right w:val="double" w:sz="5" w:space="0" w:color="000000"/>
                        </w:tcBorders>
                      </w:tcPr>
                      <w:p>
                        <w:pPr>
                          <w:pStyle w:val="TableParagraph"/>
                          <w:spacing w:line="202" w:lineRule="exact"/>
                          <w:ind w:left="38" w:right="129"/>
                          <w:jc w:val="center"/>
                          <w:rPr>
                            <w:sz w:val="18"/>
                          </w:rPr>
                        </w:pPr>
                        <w:r>
                          <w:rPr>
                            <w:sz w:val="18"/>
                          </w:rPr>
                          <w:t>0,94</w:t>
                        </w:r>
                      </w:p>
                    </w:tc>
                    <w:tc>
                      <w:tcPr>
                        <w:tcW w:w="638" w:type="dxa"/>
                        <w:tcBorders>
                          <w:top w:val="double" w:sz="4" w:space="0" w:color="000000"/>
                          <w:left w:val="double" w:sz="5" w:space="0" w:color="000000"/>
                          <w:bottom w:val="double" w:sz="4" w:space="0" w:color="000000"/>
                          <w:right w:val="double" w:sz="4" w:space="0" w:color="000000"/>
                        </w:tcBorders>
                      </w:tcPr>
                      <w:p>
                        <w:pPr>
                          <w:pStyle w:val="TableParagraph"/>
                          <w:spacing w:line="202" w:lineRule="exact"/>
                          <w:ind w:left="58"/>
                          <w:rPr>
                            <w:sz w:val="18"/>
                          </w:rPr>
                        </w:pPr>
                        <w:r>
                          <w:rPr>
                            <w:sz w:val="18"/>
                          </w:rPr>
                          <w:t>0,88</w:t>
                        </w:r>
                      </w:p>
                    </w:tc>
                    <w:tc>
                      <w:tcPr>
                        <w:tcW w:w="638" w:type="dxa"/>
                        <w:tcBorders>
                          <w:top w:val="double" w:sz="4" w:space="0" w:color="000000"/>
                          <w:left w:val="double" w:sz="4" w:space="0" w:color="000000"/>
                          <w:bottom w:val="double" w:sz="4" w:space="0" w:color="000000"/>
                          <w:right w:val="double" w:sz="4" w:space="0" w:color="000000"/>
                        </w:tcBorders>
                      </w:tcPr>
                      <w:p>
                        <w:pPr>
                          <w:pStyle w:val="TableParagraph"/>
                          <w:spacing w:line="202" w:lineRule="exact"/>
                          <w:ind w:left="59"/>
                          <w:rPr>
                            <w:sz w:val="18"/>
                          </w:rPr>
                        </w:pPr>
                        <w:r>
                          <w:rPr>
                            <w:sz w:val="18"/>
                          </w:rPr>
                          <w:t>0,88</w:t>
                        </w:r>
                      </w:p>
                    </w:tc>
                    <w:tc>
                      <w:tcPr>
                        <w:tcW w:w="564" w:type="dxa"/>
                        <w:tcBorders>
                          <w:top w:val="double" w:sz="4" w:space="0" w:color="000000"/>
                          <w:left w:val="double" w:sz="4" w:space="0" w:color="000000"/>
                          <w:bottom w:val="double" w:sz="4" w:space="0" w:color="000000"/>
                          <w:right w:val="double" w:sz="4" w:space="0" w:color="000000"/>
                        </w:tcBorders>
                      </w:tcPr>
                      <w:p>
                        <w:pPr>
                          <w:pStyle w:val="TableParagraph"/>
                          <w:spacing w:line="202" w:lineRule="exact"/>
                          <w:ind w:left="38" w:right="131"/>
                          <w:jc w:val="center"/>
                          <w:rPr>
                            <w:sz w:val="18"/>
                          </w:rPr>
                        </w:pPr>
                        <w:r>
                          <w:rPr>
                            <w:sz w:val="18"/>
                          </w:rPr>
                          <w:t>0,75</w:t>
                        </w:r>
                      </w:p>
                    </w:tc>
                    <w:tc>
                      <w:tcPr>
                        <w:tcW w:w="590" w:type="dxa"/>
                        <w:tcBorders>
                          <w:top w:val="double" w:sz="4" w:space="0" w:color="000000"/>
                          <w:left w:val="double" w:sz="4" w:space="0" w:color="000000"/>
                          <w:bottom w:val="double" w:sz="4" w:space="0" w:color="000000"/>
                          <w:right w:val="double" w:sz="4" w:space="0" w:color="000000"/>
                        </w:tcBorders>
                      </w:tcPr>
                      <w:p>
                        <w:pPr>
                          <w:pStyle w:val="TableParagraph"/>
                          <w:spacing w:line="202" w:lineRule="exact"/>
                          <w:ind w:left="59"/>
                          <w:rPr>
                            <w:sz w:val="18"/>
                          </w:rPr>
                        </w:pPr>
                        <w:r>
                          <w:rPr>
                            <w:sz w:val="18"/>
                          </w:rPr>
                          <w:t>0,75</w:t>
                        </w:r>
                      </w:p>
                    </w:tc>
                  </w:tr>
                  <w:tr>
                    <w:trPr>
                      <w:trHeight w:val="241" w:hRule="exact"/>
                    </w:trPr>
                    <w:tc>
                      <w:tcPr>
                        <w:tcW w:w="1375" w:type="dxa"/>
                        <w:tcBorders>
                          <w:top w:val="double" w:sz="4" w:space="0" w:color="000000"/>
                          <w:left w:val="double" w:sz="4" w:space="0" w:color="000000"/>
                          <w:bottom w:val="double" w:sz="4" w:space="0" w:color="000000"/>
                          <w:right w:val="double" w:sz="5" w:space="0" w:color="000000"/>
                        </w:tcBorders>
                      </w:tcPr>
                      <w:p>
                        <w:pPr>
                          <w:pStyle w:val="TableParagraph"/>
                          <w:spacing w:line="203" w:lineRule="exact"/>
                          <w:ind w:left="60"/>
                          <w:rPr>
                            <w:sz w:val="18"/>
                          </w:rPr>
                        </w:pPr>
                        <w:r>
                          <w:rPr>
                            <w:sz w:val="18"/>
                          </w:rPr>
                          <w:t>2</w:t>
                        </w:r>
                      </w:p>
                    </w:tc>
                    <w:tc>
                      <w:tcPr>
                        <w:tcW w:w="601" w:type="dxa"/>
                        <w:tcBorders>
                          <w:top w:val="double" w:sz="4" w:space="0" w:color="000000"/>
                          <w:left w:val="double" w:sz="5" w:space="0" w:color="000000"/>
                          <w:bottom w:val="double" w:sz="4" w:space="0" w:color="000000"/>
                          <w:right w:val="double" w:sz="5" w:space="0" w:color="000000"/>
                        </w:tcBorders>
                      </w:tcPr>
                      <w:p>
                        <w:pPr>
                          <w:pStyle w:val="TableParagraph"/>
                          <w:spacing w:line="203" w:lineRule="exact"/>
                          <w:ind w:left="60"/>
                          <w:rPr>
                            <w:sz w:val="18"/>
                          </w:rPr>
                        </w:pPr>
                        <w:r>
                          <w:rPr>
                            <w:sz w:val="18"/>
                          </w:rPr>
                          <w:t>0,91</w:t>
                        </w:r>
                      </w:p>
                    </w:tc>
                    <w:tc>
                      <w:tcPr>
                        <w:tcW w:w="564" w:type="dxa"/>
                        <w:tcBorders>
                          <w:top w:val="double" w:sz="4" w:space="0" w:color="000000"/>
                          <w:left w:val="double" w:sz="5" w:space="0" w:color="000000"/>
                          <w:bottom w:val="double" w:sz="4" w:space="0" w:color="000000"/>
                          <w:right w:val="double" w:sz="5" w:space="0" w:color="000000"/>
                        </w:tcBorders>
                      </w:tcPr>
                      <w:p>
                        <w:pPr>
                          <w:pStyle w:val="TableParagraph"/>
                          <w:spacing w:line="203" w:lineRule="exact"/>
                          <w:ind w:left="38" w:right="129"/>
                          <w:jc w:val="center"/>
                          <w:rPr>
                            <w:sz w:val="18"/>
                          </w:rPr>
                        </w:pPr>
                        <w:r>
                          <w:rPr>
                            <w:sz w:val="18"/>
                          </w:rPr>
                          <w:t>0,91</w:t>
                        </w:r>
                      </w:p>
                    </w:tc>
                    <w:tc>
                      <w:tcPr>
                        <w:tcW w:w="638" w:type="dxa"/>
                        <w:tcBorders>
                          <w:top w:val="double" w:sz="4" w:space="0" w:color="000000"/>
                          <w:left w:val="double" w:sz="5" w:space="0" w:color="000000"/>
                          <w:bottom w:val="double" w:sz="4" w:space="0" w:color="000000"/>
                          <w:right w:val="double" w:sz="4" w:space="0" w:color="000000"/>
                        </w:tcBorders>
                      </w:tcPr>
                      <w:p>
                        <w:pPr>
                          <w:pStyle w:val="TableParagraph"/>
                          <w:spacing w:line="203" w:lineRule="exact"/>
                          <w:ind w:left="58"/>
                          <w:rPr>
                            <w:sz w:val="18"/>
                          </w:rPr>
                        </w:pPr>
                        <w:r>
                          <w:rPr>
                            <w:sz w:val="18"/>
                          </w:rPr>
                          <w:t>0,84</w:t>
                        </w:r>
                      </w:p>
                    </w:tc>
                    <w:tc>
                      <w:tcPr>
                        <w:tcW w:w="638" w:type="dxa"/>
                        <w:tcBorders>
                          <w:top w:val="double" w:sz="4" w:space="0" w:color="000000"/>
                          <w:left w:val="double" w:sz="4" w:space="0" w:color="000000"/>
                          <w:bottom w:val="double" w:sz="4" w:space="0" w:color="000000"/>
                          <w:right w:val="double" w:sz="4" w:space="0" w:color="000000"/>
                        </w:tcBorders>
                      </w:tcPr>
                      <w:p>
                        <w:pPr>
                          <w:pStyle w:val="TableParagraph"/>
                          <w:spacing w:line="203" w:lineRule="exact"/>
                          <w:ind w:left="59"/>
                          <w:rPr>
                            <w:sz w:val="18"/>
                          </w:rPr>
                        </w:pPr>
                        <w:r>
                          <w:rPr>
                            <w:sz w:val="18"/>
                          </w:rPr>
                          <w:t>0,84</w:t>
                        </w:r>
                      </w:p>
                    </w:tc>
                    <w:tc>
                      <w:tcPr>
                        <w:tcW w:w="564" w:type="dxa"/>
                        <w:tcBorders>
                          <w:top w:val="double" w:sz="4" w:space="0" w:color="000000"/>
                          <w:left w:val="double" w:sz="4" w:space="0" w:color="000000"/>
                          <w:bottom w:val="double" w:sz="4" w:space="0" w:color="000000"/>
                          <w:right w:val="double" w:sz="4" w:space="0" w:color="000000"/>
                        </w:tcBorders>
                      </w:tcPr>
                      <w:p>
                        <w:pPr>
                          <w:pStyle w:val="TableParagraph"/>
                          <w:spacing w:line="203" w:lineRule="exact"/>
                          <w:ind w:left="38" w:right="131"/>
                          <w:jc w:val="center"/>
                          <w:rPr>
                            <w:sz w:val="18"/>
                          </w:rPr>
                        </w:pPr>
                        <w:r>
                          <w:rPr>
                            <w:sz w:val="18"/>
                          </w:rPr>
                          <w:t>0,65</w:t>
                        </w:r>
                      </w:p>
                    </w:tc>
                    <w:tc>
                      <w:tcPr>
                        <w:tcW w:w="590" w:type="dxa"/>
                        <w:tcBorders>
                          <w:top w:val="double" w:sz="4" w:space="0" w:color="000000"/>
                          <w:left w:val="double" w:sz="4" w:space="0" w:color="000000"/>
                          <w:bottom w:val="double" w:sz="4" w:space="0" w:color="000000"/>
                          <w:right w:val="double" w:sz="4" w:space="0" w:color="000000"/>
                        </w:tcBorders>
                      </w:tcPr>
                      <w:p>
                        <w:pPr>
                          <w:pStyle w:val="TableParagraph"/>
                          <w:spacing w:line="203" w:lineRule="exact"/>
                          <w:ind w:left="59"/>
                          <w:rPr>
                            <w:sz w:val="18"/>
                          </w:rPr>
                        </w:pPr>
                        <w:r>
                          <w:rPr>
                            <w:sz w:val="18"/>
                          </w:rPr>
                          <w:t>0,65</w:t>
                        </w:r>
                      </w:p>
                    </w:tc>
                  </w:tr>
                  <w:tr>
                    <w:trPr>
                      <w:trHeight w:val="241" w:hRule="exact"/>
                    </w:trPr>
                    <w:tc>
                      <w:tcPr>
                        <w:tcW w:w="1375" w:type="dxa"/>
                        <w:tcBorders>
                          <w:top w:val="double" w:sz="4" w:space="0" w:color="000000"/>
                          <w:left w:val="double" w:sz="4" w:space="0" w:color="000000"/>
                          <w:bottom w:val="double" w:sz="4" w:space="0" w:color="000000"/>
                          <w:right w:val="double" w:sz="5" w:space="0" w:color="000000"/>
                        </w:tcBorders>
                      </w:tcPr>
                      <w:p>
                        <w:pPr>
                          <w:pStyle w:val="TableParagraph"/>
                          <w:spacing w:line="202" w:lineRule="exact"/>
                          <w:ind w:left="60"/>
                          <w:rPr>
                            <w:sz w:val="18"/>
                          </w:rPr>
                        </w:pPr>
                        <w:r>
                          <w:rPr>
                            <w:sz w:val="18"/>
                          </w:rPr>
                          <w:t>3</w:t>
                        </w:r>
                      </w:p>
                    </w:tc>
                    <w:tc>
                      <w:tcPr>
                        <w:tcW w:w="601" w:type="dxa"/>
                        <w:tcBorders>
                          <w:top w:val="double" w:sz="4" w:space="0" w:color="000000"/>
                          <w:left w:val="double" w:sz="5" w:space="0" w:color="000000"/>
                          <w:bottom w:val="double" w:sz="4" w:space="0" w:color="000000"/>
                          <w:right w:val="double" w:sz="5" w:space="0" w:color="000000"/>
                        </w:tcBorders>
                      </w:tcPr>
                      <w:p>
                        <w:pPr>
                          <w:pStyle w:val="TableParagraph"/>
                          <w:spacing w:line="202" w:lineRule="exact"/>
                          <w:ind w:left="60"/>
                          <w:rPr>
                            <w:sz w:val="18"/>
                          </w:rPr>
                        </w:pPr>
                        <w:r>
                          <w:rPr>
                            <w:sz w:val="18"/>
                          </w:rPr>
                          <w:t>0,88</w:t>
                        </w:r>
                      </w:p>
                    </w:tc>
                    <w:tc>
                      <w:tcPr>
                        <w:tcW w:w="564" w:type="dxa"/>
                        <w:tcBorders>
                          <w:top w:val="double" w:sz="4" w:space="0" w:color="000000"/>
                          <w:left w:val="double" w:sz="5" w:space="0" w:color="000000"/>
                          <w:bottom w:val="double" w:sz="4" w:space="0" w:color="000000"/>
                          <w:right w:val="double" w:sz="5" w:space="0" w:color="000000"/>
                        </w:tcBorders>
                      </w:tcPr>
                      <w:p>
                        <w:pPr>
                          <w:pStyle w:val="TableParagraph"/>
                          <w:spacing w:line="202" w:lineRule="exact"/>
                          <w:ind w:left="38" w:right="129"/>
                          <w:jc w:val="center"/>
                          <w:rPr>
                            <w:sz w:val="18"/>
                          </w:rPr>
                        </w:pPr>
                        <w:r>
                          <w:rPr>
                            <w:sz w:val="18"/>
                          </w:rPr>
                          <w:t>0,88</w:t>
                        </w:r>
                      </w:p>
                    </w:tc>
                    <w:tc>
                      <w:tcPr>
                        <w:tcW w:w="638" w:type="dxa"/>
                        <w:tcBorders>
                          <w:top w:val="double" w:sz="4" w:space="0" w:color="000000"/>
                          <w:left w:val="double" w:sz="5" w:space="0" w:color="000000"/>
                          <w:bottom w:val="double" w:sz="4" w:space="0" w:color="000000"/>
                          <w:right w:val="double" w:sz="4" w:space="0" w:color="000000"/>
                        </w:tcBorders>
                      </w:tcPr>
                      <w:p>
                        <w:pPr>
                          <w:pStyle w:val="TableParagraph"/>
                          <w:spacing w:line="202" w:lineRule="exact"/>
                          <w:ind w:left="58"/>
                          <w:rPr>
                            <w:sz w:val="18"/>
                          </w:rPr>
                        </w:pPr>
                        <w:r>
                          <w:rPr>
                            <w:sz w:val="18"/>
                          </w:rPr>
                          <w:t>0,79</w:t>
                        </w:r>
                      </w:p>
                    </w:tc>
                    <w:tc>
                      <w:tcPr>
                        <w:tcW w:w="638" w:type="dxa"/>
                        <w:tcBorders>
                          <w:top w:val="double" w:sz="4" w:space="0" w:color="000000"/>
                          <w:left w:val="double" w:sz="4" w:space="0" w:color="000000"/>
                          <w:bottom w:val="double" w:sz="4" w:space="0" w:color="000000"/>
                          <w:right w:val="double" w:sz="4" w:space="0" w:color="000000"/>
                        </w:tcBorders>
                      </w:tcPr>
                      <w:p>
                        <w:pPr>
                          <w:pStyle w:val="TableParagraph"/>
                          <w:spacing w:line="202" w:lineRule="exact"/>
                          <w:ind w:left="59"/>
                          <w:rPr>
                            <w:sz w:val="18"/>
                          </w:rPr>
                        </w:pPr>
                        <w:r>
                          <w:rPr>
                            <w:sz w:val="18"/>
                          </w:rPr>
                          <w:t>0,79</w:t>
                        </w:r>
                      </w:p>
                    </w:tc>
                    <w:tc>
                      <w:tcPr>
                        <w:tcW w:w="564" w:type="dxa"/>
                        <w:tcBorders>
                          <w:top w:val="double" w:sz="4" w:space="0" w:color="000000"/>
                          <w:left w:val="double" w:sz="4" w:space="0" w:color="000000"/>
                          <w:bottom w:val="double" w:sz="4" w:space="0" w:color="000000"/>
                          <w:right w:val="double" w:sz="4" w:space="0" w:color="000000"/>
                        </w:tcBorders>
                      </w:tcPr>
                      <w:p>
                        <w:pPr>
                          <w:pStyle w:val="TableParagraph"/>
                          <w:spacing w:line="202" w:lineRule="exact"/>
                          <w:ind w:left="38" w:right="131"/>
                          <w:jc w:val="center"/>
                          <w:rPr>
                            <w:sz w:val="18"/>
                          </w:rPr>
                        </w:pPr>
                        <w:r>
                          <w:rPr>
                            <w:sz w:val="18"/>
                          </w:rPr>
                          <w:t>0,55</w:t>
                        </w:r>
                      </w:p>
                    </w:tc>
                    <w:tc>
                      <w:tcPr>
                        <w:tcW w:w="590" w:type="dxa"/>
                        <w:tcBorders>
                          <w:top w:val="double" w:sz="4" w:space="0" w:color="000000"/>
                          <w:left w:val="double" w:sz="4" w:space="0" w:color="000000"/>
                          <w:bottom w:val="double" w:sz="4" w:space="0" w:color="000000"/>
                          <w:right w:val="double" w:sz="4" w:space="0" w:color="000000"/>
                        </w:tcBorders>
                      </w:tcPr>
                      <w:p>
                        <w:pPr>
                          <w:pStyle w:val="TableParagraph"/>
                          <w:spacing w:line="202" w:lineRule="exact"/>
                          <w:ind w:left="59"/>
                          <w:rPr>
                            <w:sz w:val="18"/>
                          </w:rPr>
                        </w:pPr>
                        <w:r>
                          <w:rPr>
                            <w:sz w:val="18"/>
                          </w:rPr>
                          <w:t>0,55</w:t>
                        </w:r>
                      </w:p>
                    </w:tc>
                  </w:tr>
                  <w:tr>
                    <w:trPr>
                      <w:trHeight w:val="241" w:hRule="exact"/>
                    </w:trPr>
                    <w:tc>
                      <w:tcPr>
                        <w:tcW w:w="1375" w:type="dxa"/>
                        <w:tcBorders>
                          <w:top w:val="double" w:sz="4" w:space="0" w:color="000000"/>
                          <w:left w:val="double" w:sz="4" w:space="0" w:color="000000"/>
                          <w:bottom w:val="double" w:sz="4" w:space="0" w:color="000000"/>
                          <w:right w:val="double" w:sz="5" w:space="0" w:color="000000"/>
                        </w:tcBorders>
                      </w:tcPr>
                      <w:p>
                        <w:pPr>
                          <w:pStyle w:val="TableParagraph"/>
                          <w:spacing w:line="202" w:lineRule="exact"/>
                          <w:ind w:left="60"/>
                          <w:rPr>
                            <w:sz w:val="18"/>
                          </w:rPr>
                        </w:pPr>
                        <w:r>
                          <w:rPr>
                            <w:sz w:val="18"/>
                          </w:rPr>
                          <w:t>4</w:t>
                        </w:r>
                      </w:p>
                    </w:tc>
                    <w:tc>
                      <w:tcPr>
                        <w:tcW w:w="601" w:type="dxa"/>
                        <w:tcBorders>
                          <w:top w:val="double" w:sz="4" w:space="0" w:color="000000"/>
                          <w:left w:val="double" w:sz="5" w:space="0" w:color="000000"/>
                          <w:bottom w:val="double" w:sz="4" w:space="0" w:color="000000"/>
                          <w:right w:val="double" w:sz="5" w:space="0" w:color="000000"/>
                        </w:tcBorders>
                      </w:tcPr>
                      <w:p>
                        <w:pPr>
                          <w:pStyle w:val="TableParagraph"/>
                          <w:spacing w:line="202" w:lineRule="exact"/>
                          <w:ind w:left="60"/>
                          <w:rPr>
                            <w:sz w:val="18"/>
                          </w:rPr>
                        </w:pPr>
                        <w:r>
                          <w:rPr>
                            <w:sz w:val="18"/>
                          </w:rPr>
                          <w:t>0,84</w:t>
                        </w:r>
                      </w:p>
                    </w:tc>
                    <w:tc>
                      <w:tcPr>
                        <w:tcW w:w="564" w:type="dxa"/>
                        <w:tcBorders>
                          <w:top w:val="double" w:sz="4" w:space="0" w:color="000000"/>
                          <w:left w:val="double" w:sz="5" w:space="0" w:color="000000"/>
                          <w:bottom w:val="double" w:sz="4" w:space="0" w:color="000000"/>
                          <w:right w:val="double" w:sz="5" w:space="0" w:color="000000"/>
                        </w:tcBorders>
                      </w:tcPr>
                      <w:p>
                        <w:pPr>
                          <w:pStyle w:val="TableParagraph"/>
                          <w:spacing w:line="202" w:lineRule="exact"/>
                          <w:ind w:left="38" w:right="129"/>
                          <w:jc w:val="center"/>
                          <w:rPr>
                            <w:sz w:val="18"/>
                          </w:rPr>
                        </w:pPr>
                        <w:r>
                          <w:rPr>
                            <w:sz w:val="18"/>
                          </w:rPr>
                          <w:t>0,84</w:t>
                        </w:r>
                      </w:p>
                    </w:tc>
                    <w:tc>
                      <w:tcPr>
                        <w:tcW w:w="638" w:type="dxa"/>
                        <w:tcBorders>
                          <w:top w:val="double" w:sz="4" w:space="0" w:color="000000"/>
                          <w:left w:val="double" w:sz="5" w:space="0" w:color="000000"/>
                          <w:bottom w:val="double" w:sz="4" w:space="0" w:color="000000"/>
                          <w:right w:val="double" w:sz="4" w:space="0" w:color="000000"/>
                        </w:tcBorders>
                      </w:tcPr>
                      <w:p>
                        <w:pPr>
                          <w:pStyle w:val="TableParagraph"/>
                          <w:spacing w:line="202" w:lineRule="exact"/>
                          <w:ind w:left="58"/>
                          <w:rPr>
                            <w:sz w:val="18"/>
                          </w:rPr>
                        </w:pPr>
                        <w:r>
                          <w:rPr>
                            <w:sz w:val="18"/>
                          </w:rPr>
                          <w:t>0,72</w:t>
                        </w:r>
                      </w:p>
                    </w:tc>
                    <w:tc>
                      <w:tcPr>
                        <w:tcW w:w="638" w:type="dxa"/>
                        <w:tcBorders>
                          <w:top w:val="double" w:sz="4" w:space="0" w:color="000000"/>
                          <w:left w:val="double" w:sz="4" w:space="0" w:color="000000"/>
                          <w:bottom w:val="double" w:sz="4" w:space="0" w:color="000000"/>
                          <w:right w:val="double" w:sz="4" w:space="0" w:color="000000"/>
                        </w:tcBorders>
                      </w:tcPr>
                      <w:p>
                        <w:pPr>
                          <w:pStyle w:val="TableParagraph"/>
                          <w:spacing w:line="202" w:lineRule="exact"/>
                          <w:ind w:left="59"/>
                          <w:rPr>
                            <w:sz w:val="18"/>
                          </w:rPr>
                        </w:pPr>
                        <w:r>
                          <w:rPr>
                            <w:sz w:val="18"/>
                          </w:rPr>
                          <w:t>0,72</w:t>
                        </w:r>
                      </w:p>
                    </w:tc>
                    <w:tc>
                      <w:tcPr>
                        <w:tcW w:w="564" w:type="dxa"/>
                        <w:tcBorders>
                          <w:top w:val="double" w:sz="4" w:space="0" w:color="000000"/>
                          <w:left w:val="double" w:sz="4" w:space="0" w:color="000000"/>
                          <w:bottom w:val="double" w:sz="4" w:space="0" w:color="000000"/>
                          <w:right w:val="double" w:sz="4" w:space="0" w:color="000000"/>
                        </w:tcBorders>
                      </w:tcPr>
                      <w:p>
                        <w:pPr>
                          <w:pStyle w:val="TableParagraph"/>
                          <w:spacing w:line="202" w:lineRule="exact"/>
                          <w:ind w:left="38" w:right="131"/>
                          <w:jc w:val="center"/>
                          <w:rPr>
                            <w:sz w:val="18"/>
                          </w:rPr>
                        </w:pPr>
                        <w:r>
                          <w:rPr>
                            <w:sz w:val="18"/>
                          </w:rPr>
                          <w:t>0,45</w:t>
                        </w:r>
                      </w:p>
                    </w:tc>
                    <w:tc>
                      <w:tcPr>
                        <w:tcW w:w="590" w:type="dxa"/>
                        <w:tcBorders>
                          <w:top w:val="double" w:sz="4" w:space="0" w:color="000000"/>
                          <w:left w:val="double" w:sz="4" w:space="0" w:color="000000"/>
                          <w:bottom w:val="double" w:sz="4" w:space="0" w:color="000000"/>
                          <w:right w:val="double" w:sz="4" w:space="0" w:color="000000"/>
                        </w:tcBorders>
                      </w:tcPr>
                      <w:p>
                        <w:pPr>
                          <w:pStyle w:val="TableParagraph"/>
                          <w:spacing w:line="202" w:lineRule="exact"/>
                          <w:ind w:left="59"/>
                          <w:rPr>
                            <w:sz w:val="18"/>
                          </w:rPr>
                        </w:pPr>
                        <w:r>
                          <w:rPr>
                            <w:sz w:val="18"/>
                          </w:rPr>
                          <w:t>0,45</w:t>
                        </w:r>
                      </w:p>
                    </w:tc>
                  </w:tr>
                  <w:tr>
                    <w:trPr>
                      <w:trHeight w:val="241" w:hRule="exact"/>
                    </w:trPr>
                    <w:tc>
                      <w:tcPr>
                        <w:tcW w:w="1375" w:type="dxa"/>
                        <w:tcBorders>
                          <w:top w:val="double" w:sz="4" w:space="0" w:color="000000"/>
                          <w:left w:val="double" w:sz="4" w:space="0" w:color="000000"/>
                          <w:bottom w:val="double" w:sz="4" w:space="0" w:color="000000"/>
                          <w:right w:val="double" w:sz="5" w:space="0" w:color="000000"/>
                        </w:tcBorders>
                      </w:tcPr>
                      <w:p>
                        <w:pPr>
                          <w:pStyle w:val="TableParagraph"/>
                          <w:spacing w:line="202" w:lineRule="exact"/>
                          <w:ind w:left="60"/>
                          <w:rPr>
                            <w:sz w:val="18"/>
                          </w:rPr>
                        </w:pPr>
                        <w:r>
                          <w:rPr>
                            <w:sz w:val="18"/>
                          </w:rPr>
                          <w:t>5</w:t>
                        </w:r>
                      </w:p>
                    </w:tc>
                    <w:tc>
                      <w:tcPr>
                        <w:tcW w:w="601" w:type="dxa"/>
                        <w:tcBorders>
                          <w:top w:val="double" w:sz="4" w:space="0" w:color="000000"/>
                          <w:left w:val="double" w:sz="5" w:space="0" w:color="000000"/>
                          <w:bottom w:val="double" w:sz="4" w:space="0" w:color="000000"/>
                          <w:right w:val="double" w:sz="5" w:space="0" w:color="000000"/>
                        </w:tcBorders>
                      </w:tcPr>
                      <w:p>
                        <w:pPr>
                          <w:pStyle w:val="TableParagraph"/>
                          <w:spacing w:line="202" w:lineRule="exact"/>
                          <w:ind w:left="60"/>
                          <w:rPr>
                            <w:sz w:val="18"/>
                          </w:rPr>
                        </w:pPr>
                        <w:r>
                          <w:rPr>
                            <w:sz w:val="18"/>
                          </w:rPr>
                          <w:t>0,80</w:t>
                        </w:r>
                      </w:p>
                    </w:tc>
                    <w:tc>
                      <w:tcPr>
                        <w:tcW w:w="564" w:type="dxa"/>
                        <w:tcBorders>
                          <w:top w:val="double" w:sz="4" w:space="0" w:color="000000"/>
                          <w:left w:val="double" w:sz="5" w:space="0" w:color="000000"/>
                          <w:bottom w:val="double" w:sz="4" w:space="0" w:color="000000"/>
                          <w:right w:val="double" w:sz="5" w:space="0" w:color="000000"/>
                        </w:tcBorders>
                      </w:tcPr>
                      <w:p>
                        <w:pPr>
                          <w:pStyle w:val="TableParagraph"/>
                          <w:spacing w:line="202" w:lineRule="exact"/>
                          <w:ind w:left="38" w:right="129"/>
                          <w:jc w:val="center"/>
                          <w:rPr>
                            <w:sz w:val="18"/>
                          </w:rPr>
                        </w:pPr>
                        <w:r>
                          <w:rPr>
                            <w:sz w:val="18"/>
                          </w:rPr>
                          <w:t>0,80</w:t>
                        </w:r>
                      </w:p>
                    </w:tc>
                    <w:tc>
                      <w:tcPr>
                        <w:tcW w:w="638" w:type="dxa"/>
                        <w:tcBorders>
                          <w:top w:val="double" w:sz="4" w:space="0" w:color="000000"/>
                          <w:left w:val="double" w:sz="5" w:space="0" w:color="000000"/>
                          <w:bottom w:val="double" w:sz="4" w:space="0" w:color="000000"/>
                          <w:right w:val="double" w:sz="4" w:space="0" w:color="000000"/>
                        </w:tcBorders>
                      </w:tcPr>
                      <w:p>
                        <w:pPr>
                          <w:pStyle w:val="TableParagraph"/>
                          <w:spacing w:line="202" w:lineRule="exact"/>
                          <w:ind w:left="58"/>
                          <w:rPr>
                            <w:sz w:val="18"/>
                          </w:rPr>
                        </w:pPr>
                        <w:r>
                          <w:rPr>
                            <w:sz w:val="18"/>
                          </w:rPr>
                          <w:t>0,60</w:t>
                        </w:r>
                      </w:p>
                    </w:tc>
                    <w:tc>
                      <w:tcPr>
                        <w:tcW w:w="638" w:type="dxa"/>
                        <w:tcBorders>
                          <w:top w:val="double" w:sz="4" w:space="0" w:color="000000"/>
                          <w:left w:val="double" w:sz="4" w:space="0" w:color="000000"/>
                          <w:bottom w:val="double" w:sz="4" w:space="0" w:color="000000"/>
                          <w:right w:val="double" w:sz="4" w:space="0" w:color="000000"/>
                        </w:tcBorders>
                      </w:tcPr>
                      <w:p>
                        <w:pPr>
                          <w:pStyle w:val="TableParagraph"/>
                          <w:spacing w:line="202" w:lineRule="exact"/>
                          <w:ind w:left="59"/>
                          <w:rPr>
                            <w:sz w:val="18"/>
                          </w:rPr>
                        </w:pPr>
                        <w:r>
                          <w:rPr>
                            <w:sz w:val="18"/>
                          </w:rPr>
                          <w:t>0,60</w:t>
                        </w:r>
                      </w:p>
                    </w:tc>
                    <w:tc>
                      <w:tcPr>
                        <w:tcW w:w="564" w:type="dxa"/>
                        <w:tcBorders>
                          <w:top w:val="double" w:sz="4" w:space="0" w:color="000000"/>
                          <w:left w:val="double" w:sz="4" w:space="0" w:color="000000"/>
                          <w:bottom w:val="double" w:sz="4" w:space="0" w:color="000000"/>
                          <w:right w:val="double" w:sz="4" w:space="0" w:color="000000"/>
                        </w:tcBorders>
                      </w:tcPr>
                      <w:p>
                        <w:pPr>
                          <w:pStyle w:val="TableParagraph"/>
                          <w:spacing w:line="202" w:lineRule="exact"/>
                          <w:ind w:left="38" w:right="131"/>
                          <w:jc w:val="center"/>
                          <w:rPr>
                            <w:sz w:val="18"/>
                          </w:rPr>
                        </w:pPr>
                        <w:r>
                          <w:rPr>
                            <w:sz w:val="18"/>
                          </w:rPr>
                          <w:t>0,35</w:t>
                        </w:r>
                      </w:p>
                    </w:tc>
                    <w:tc>
                      <w:tcPr>
                        <w:tcW w:w="590" w:type="dxa"/>
                        <w:tcBorders>
                          <w:top w:val="double" w:sz="4" w:space="0" w:color="000000"/>
                          <w:left w:val="double" w:sz="4" w:space="0" w:color="000000"/>
                          <w:bottom w:val="double" w:sz="4" w:space="0" w:color="000000"/>
                          <w:right w:val="double" w:sz="4" w:space="0" w:color="000000"/>
                        </w:tcBorders>
                      </w:tcPr>
                      <w:p>
                        <w:pPr>
                          <w:pStyle w:val="TableParagraph"/>
                          <w:spacing w:line="202" w:lineRule="exact"/>
                          <w:ind w:left="59"/>
                          <w:rPr>
                            <w:sz w:val="18"/>
                          </w:rPr>
                        </w:pPr>
                        <w:r>
                          <w:rPr>
                            <w:sz w:val="18"/>
                          </w:rPr>
                          <w:t>0,35</w:t>
                        </w:r>
                      </w:p>
                    </w:tc>
                  </w:tr>
                  <w:tr>
                    <w:trPr>
                      <w:trHeight w:val="241" w:hRule="exact"/>
                    </w:trPr>
                    <w:tc>
                      <w:tcPr>
                        <w:tcW w:w="1375" w:type="dxa"/>
                        <w:tcBorders>
                          <w:top w:val="double" w:sz="4" w:space="0" w:color="000000"/>
                          <w:left w:val="double" w:sz="4" w:space="0" w:color="000000"/>
                          <w:bottom w:val="double" w:sz="4" w:space="0" w:color="000000"/>
                          <w:right w:val="double" w:sz="5" w:space="0" w:color="000000"/>
                        </w:tcBorders>
                      </w:tcPr>
                      <w:p>
                        <w:pPr>
                          <w:pStyle w:val="TableParagraph"/>
                          <w:spacing w:line="202" w:lineRule="exact"/>
                          <w:ind w:left="60"/>
                          <w:rPr>
                            <w:sz w:val="18"/>
                          </w:rPr>
                        </w:pPr>
                        <w:r>
                          <w:rPr>
                            <w:sz w:val="18"/>
                          </w:rPr>
                          <w:t>6</w:t>
                        </w:r>
                      </w:p>
                    </w:tc>
                    <w:tc>
                      <w:tcPr>
                        <w:tcW w:w="601" w:type="dxa"/>
                        <w:tcBorders>
                          <w:top w:val="double" w:sz="4" w:space="0" w:color="000000"/>
                          <w:left w:val="double" w:sz="5" w:space="0" w:color="000000"/>
                          <w:bottom w:val="double" w:sz="4" w:space="0" w:color="000000"/>
                          <w:right w:val="double" w:sz="5" w:space="0" w:color="000000"/>
                        </w:tcBorders>
                      </w:tcPr>
                      <w:p>
                        <w:pPr>
                          <w:pStyle w:val="TableParagraph"/>
                          <w:spacing w:line="202" w:lineRule="exact"/>
                          <w:ind w:left="60"/>
                          <w:rPr>
                            <w:sz w:val="18"/>
                          </w:rPr>
                        </w:pPr>
                        <w:r>
                          <w:rPr>
                            <w:sz w:val="18"/>
                          </w:rPr>
                          <w:t>0,75</w:t>
                        </w:r>
                      </w:p>
                    </w:tc>
                    <w:tc>
                      <w:tcPr>
                        <w:tcW w:w="564" w:type="dxa"/>
                        <w:tcBorders>
                          <w:top w:val="double" w:sz="4" w:space="0" w:color="000000"/>
                          <w:left w:val="double" w:sz="5" w:space="0" w:color="000000"/>
                          <w:bottom w:val="double" w:sz="4" w:space="0" w:color="000000"/>
                          <w:right w:val="double" w:sz="5" w:space="0" w:color="000000"/>
                        </w:tcBorders>
                      </w:tcPr>
                      <w:p>
                        <w:pPr>
                          <w:pStyle w:val="TableParagraph"/>
                          <w:spacing w:line="202" w:lineRule="exact"/>
                          <w:ind w:left="38" w:right="129"/>
                          <w:jc w:val="center"/>
                          <w:rPr>
                            <w:sz w:val="18"/>
                          </w:rPr>
                        </w:pPr>
                        <w:r>
                          <w:rPr>
                            <w:sz w:val="18"/>
                          </w:rPr>
                          <w:t>0,75</w:t>
                        </w:r>
                      </w:p>
                    </w:tc>
                    <w:tc>
                      <w:tcPr>
                        <w:tcW w:w="638" w:type="dxa"/>
                        <w:tcBorders>
                          <w:top w:val="double" w:sz="4" w:space="0" w:color="000000"/>
                          <w:left w:val="double" w:sz="5" w:space="0" w:color="000000"/>
                          <w:bottom w:val="double" w:sz="4" w:space="0" w:color="000000"/>
                          <w:right w:val="double" w:sz="4" w:space="0" w:color="000000"/>
                        </w:tcBorders>
                      </w:tcPr>
                      <w:p>
                        <w:pPr>
                          <w:pStyle w:val="TableParagraph"/>
                          <w:spacing w:line="202" w:lineRule="exact"/>
                          <w:ind w:left="58"/>
                          <w:rPr>
                            <w:sz w:val="18"/>
                          </w:rPr>
                        </w:pPr>
                        <w:r>
                          <w:rPr>
                            <w:sz w:val="18"/>
                          </w:rPr>
                          <w:t>0,50</w:t>
                        </w:r>
                      </w:p>
                    </w:tc>
                    <w:tc>
                      <w:tcPr>
                        <w:tcW w:w="638" w:type="dxa"/>
                        <w:tcBorders>
                          <w:top w:val="double" w:sz="4" w:space="0" w:color="000000"/>
                          <w:left w:val="double" w:sz="4" w:space="0" w:color="000000"/>
                          <w:bottom w:val="double" w:sz="4" w:space="0" w:color="000000"/>
                          <w:right w:val="double" w:sz="4" w:space="0" w:color="000000"/>
                        </w:tcBorders>
                      </w:tcPr>
                      <w:p>
                        <w:pPr>
                          <w:pStyle w:val="TableParagraph"/>
                          <w:spacing w:line="202" w:lineRule="exact"/>
                          <w:ind w:left="59"/>
                          <w:rPr>
                            <w:sz w:val="18"/>
                          </w:rPr>
                        </w:pPr>
                        <w:r>
                          <w:rPr>
                            <w:sz w:val="18"/>
                          </w:rPr>
                          <w:t>0,50</w:t>
                        </w:r>
                      </w:p>
                    </w:tc>
                    <w:tc>
                      <w:tcPr>
                        <w:tcW w:w="564" w:type="dxa"/>
                        <w:tcBorders>
                          <w:top w:val="double" w:sz="4" w:space="0" w:color="000000"/>
                          <w:left w:val="double" w:sz="4" w:space="0" w:color="000000"/>
                          <w:bottom w:val="double" w:sz="4" w:space="0" w:color="000000"/>
                          <w:right w:val="double" w:sz="4" w:space="0" w:color="000000"/>
                        </w:tcBorders>
                      </w:tcPr>
                      <w:p>
                        <w:pPr>
                          <w:pStyle w:val="TableParagraph"/>
                          <w:spacing w:line="202" w:lineRule="exact"/>
                          <w:ind w:left="38" w:right="131"/>
                          <w:jc w:val="center"/>
                          <w:rPr>
                            <w:sz w:val="18"/>
                          </w:rPr>
                        </w:pPr>
                        <w:r>
                          <w:rPr>
                            <w:sz w:val="18"/>
                          </w:rPr>
                          <w:t>0,27</w:t>
                        </w:r>
                      </w:p>
                    </w:tc>
                    <w:tc>
                      <w:tcPr>
                        <w:tcW w:w="590" w:type="dxa"/>
                        <w:tcBorders>
                          <w:top w:val="double" w:sz="4" w:space="0" w:color="000000"/>
                          <w:left w:val="double" w:sz="4" w:space="0" w:color="000000"/>
                          <w:bottom w:val="double" w:sz="4" w:space="0" w:color="000000"/>
                          <w:right w:val="double" w:sz="4" w:space="0" w:color="000000"/>
                        </w:tcBorders>
                      </w:tcPr>
                      <w:p>
                        <w:pPr>
                          <w:pStyle w:val="TableParagraph"/>
                          <w:spacing w:line="202" w:lineRule="exact"/>
                          <w:ind w:left="59"/>
                          <w:rPr>
                            <w:sz w:val="18"/>
                          </w:rPr>
                        </w:pPr>
                        <w:r>
                          <w:rPr>
                            <w:sz w:val="18"/>
                          </w:rPr>
                          <w:t>0,27</w:t>
                        </w:r>
                      </w:p>
                    </w:tc>
                  </w:tr>
                  <w:tr>
                    <w:trPr>
                      <w:trHeight w:val="240" w:hRule="exact"/>
                    </w:trPr>
                    <w:tc>
                      <w:tcPr>
                        <w:tcW w:w="1375" w:type="dxa"/>
                        <w:tcBorders>
                          <w:top w:val="double" w:sz="4" w:space="0" w:color="000000"/>
                          <w:left w:val="double" w:sz="4" w:space="0" w:color="000000"/>
                          <w:bottom w:val="double" w:sz="4" w:space="0" w:color="000000"/>
                          <w:right w:val="double" w:sz="5" w:space="0" w:color="000000"/>
                        </w:tcBorders>
                      </w:tcPr>
                      <w:p>
                        <w:pPr>
                          <w:pStyle w:val="TableParagraph"/>
                          <w:spacing w:line="202" w:lineRule="exact"/>
                          <w:ind w:left="60"/>
                          <w:rPr>
                            <w:sz w:val="18"/>
                          </w:rPr>
                        </w:pPr>
                        <w:r>
                          <w:rPr>
                            <w:sz w:val="18"/>
                          </w:rPr>
                          <w:t>7</w:t>
                        </w:r>
                      </w:p>
                    </w:tc>
                    <w:tc>
                      <w:tcPr>
                        <w:tcW w:w="601" w:type="dxa"/>
                        <w:tcBorders>
                          <w:top w:val="double" w:sz="4" w:space="0" w:color="000000"/>
                          <w:left w:val="double" w:sz="5" w:space="0" w:color="000000"/>
                          <w:bottom w:val="double" w:sz="4" w:space="0" w:color="000000"/>
                          <w:right w:val="double" w:sz="5" w:space="0" w:color="000000"/>
                        </w:tcBorders>
                      </w:tcPr>
                      <w:p>
                        <w:pPr>
                          <w:pStyle w:val="TableParagraph"/>
                          <w:spacing w:line="202" w:lineRule="exact"/>
                          <w:ind w:left="60"/>
                          <w:rPr>
                            <w:sz w:val="18"/>
                          </w:rPr>
                        </w:pPr>
                        <w:r>
                          <w:rPr>
                            <w:sz w:val="18"/>
                          </w:rPr>
                          <w:t>0,70</w:t>
                        </w:r>
                      </w:p>
                    </w:tc>
                    <w:tc>
                      <w:tcPr>
                        <w:tcW w:w="564" w:type="dxa"/>
                        <w:tcBorders>
                          <w:top w:val="double" w:sz="4" w:space="0" w:color="000000"/>
                          <w:left w:val="double" w:sz="5" w:space="0" w:color="000000"/>
                          <w:bottom w:val="double" w:sz="4" w:space="0" w:color="000000"/>
                          <w:right w:val="double" w:sz="5" w:space="0" w:color="000000"/>
                        </w:tcBorders>
                      </w:tcPr>
                      <w:p>
                        <w:pPr>
                          <w:pStyle w:val="TableParagraph"/>
                          <w:spacing w:line="202" w:lineRule="exact"/>
                          <w:ind w:left="38" w:right="129"/>
                          <w:jc w:val="center"/>
                          <w:rPr>
                            <w:sz w:val="18"/>
                          </w:rPr>
                        </w:pPr>
                        <w:r>
                          <w:rPr>
                            <w:sz w:val="18"/>
                          </w:rPr>
                          <w:t>0,70</w:t>
                        </w:r>
                      </w:p>
                    </w:tc>
                    <w:tc>
                      <w:tcPr>
                        <w:tcW w:w="638" w:type="dxa"/>
                        <w:tcBorders>
                          <w:top w:val="double" w:sz="4" w:space="0" w:color="000000"/>
                          <w:left w:val="double" w:sz="5" w:space="0" w:color="000000"/>
                          <w:bottom w:val="double" w:sz="4" w:space="0" w:color="000000"/>
                          <w:right w:val="double" w:sz="4" w:space="0" w:color="000000"/>
                        </w:tcBorders>
                      </w:tcPr>
                      <w:p>
                        <w:pPr>
                          <w:pStyle w:val="TableParagraph"/>
                          <w:spacing w:line="202" w:lineRule="exact"/>
                          <w:ind w:left="58"/>
                          <w:rPr>
                            <w:sz w:val="18"/>
                          </w:rPr>
                        </w:pPr>
                        <w:r>
                          <w:rPr>
                            <w:sz w:val="18"/>
                          </w:rPr>
                          <w:t>0,42</w:t>
                        </w:r>
                      </w:p>
                    </w:tc>
                    <w:tc>
                      <w:tcPr>
                        <w:tcW w:w="638" w:type="dxa"/>
                        <w:tcBorders>
                          <w:top w:val="double" w:sz="4" w:space="0" w:color="000000"/>
                          <w:left w:val="double" w:sz="4" w:space="0" w:color="000000"/>
                          <w:bottom w:val="double" w:sz="4" w:space="0" w:color="000000"/>
                          <w:right w:val="double" w:sz="4" w:space="0" w:color="000000"/>
                        </w:tcBorders>
                      </w:tcPr>
                      <w:p>
                        <w:pPr>
                          <w:pStyle w:val="TableParagraph"/>
                          <w:spacing w:line="202" w:lineRule="exact"/>
                          <w:ind w:left="59"/>
                          <w:rPr>
                            <w:sz w:val="18"/>
                          </w:rPr>
                        </w:pPr>
                        <w:r>
                          <w:rPr>
                            <w:sz w:val="18"/>
                          </w:rPr>
                          <w:t>0,42</w:t>
                        </w:r>
                      </w:p>
                    </w:tc>
                    <w:tc>
                      <w:tcPr>
                        <w:tcW w:w="564" w:type="dxa"/>
                        <w:tcBorders>
                          <w:top w:val="double" w:sz="4" w:space="0" w:color="000000"/>
                          <w:left w:val="double" w:sz="4" w:space="0" w:color="000000"/>
                          <w:bottom w:val="double" w:sz="4" w:space="0" w:color="000000"/>
                          <w:right w:val="double" w:sz="4" w:space="0" w:color="000000"/>
                        </w:tcBorders>
                      </w:tcPr>
                      <w:p>
                        <w:pPr>
                          <w:pStyle w:val="TableParagraph"/>
                          <w:spacing w:line="202" w:lineRule="exact"/>
                          <w:ind w:left="38" w:right="131"/>
                          <w:jc w:val="center"/>
                          <w:rPr>
                            <w:sz w:val="18"/>
                          </w:rPr>
                        </w:pPr>
                        <w:r>
                          <w:rPr>
                            <w:sz w:val="18"/>
                          </w:rPr>
                          <w:t>0,22</w:t>
                        </w:r>
                      </w:p>
                    </w:tc>
                    <w:tc>
                      <w:tcPr>
                        <w:tcW w:w="590" w:type="dxa"/>
                        <w:tcBorders>
                          <w:top w:val="double" w:sz="4" w:space="0" w:color="000000"/>
                          <w:left w:val="double" w:sz="4" w:space="0" w:color="000000"/>
                          <w:bottom w:val="double" w:sz="4" w:space="0" w:color="000000"/>
                          <w:right w:val="double" w:sz="4" w:space="0" w:color="000000"/>
                        </w:tcBorders>
                      </w:tcPr>
                      <w:p>
                        <w:pPr>
                          <w:pStyle w:val="TableParagraph"/>
                          <w:spacing w:line="202" w:lineRule="exact"/>
                          <w:ind w:left="59"/>
                          <w:rPr>
                            <w:sz w:val="18"/>
                          </w:rPr>
                        </w:pPr>
                        <w:r>
                          <w:rPr>
                            <w:sz w:val="18"/>
                          </w:rPr>
                          <w:t>0,22</w:t>
                        </w:r>
                      </w:p>
                    </w:tc>
                  </w:tr>
                  <w:tr>
                    <w:trPr>
                      <w:trHeight w:val="241" w:hRule="exact"/>
                    </w:trPr>
                    <w:tc>
                      <w:tcPr>
                        <w:tcW w:w="1375" w:type="dxa"/>
                        <w:tcBorders>
                          <w:top w:val="double" w:sz="4" w:space="0" w:color="000000"/>
                          <w:left w:val="double" w:sz="4" w:space="0" w:color="000000"/>
                          <w:bottom w:val="double" w:sz="4" w:space="0" w:color="000000"/>
                          <w:right w:val="double" w:sz="5" w:space="0" w:color="000000"/>
                        </w:tcBorders>
                      </w:tcPr>
                      <w:p>
                        <w:pPr>
                          <w:pStyle w:val="TableParagraph"/>
                          <w:spacing w:line="203" w:lineRule="exact"/>
                          <w:ind w:left="60"/>
                          <w:rPr>
                            <w:sz w:val="18"/>
                          </w:rPr>
                        </w:pPr>
                        <w:r>
                          <w:rPr>
                            <w:sz w:val="18"/>
                          </w:rPr>
                          <w:t>8</w:t>
                        </w:r>
                      </w:p>
                    </w:tc>
                    <w:tc>
                      <w:tcPr>
                        <w:tcW w:w="601" w:type="dxa"/>
                        <w:tcBorders>
                          <w:top w:val="double" w:sz="4" w:space="0" w:color="000000"/>
                          <w:left w:val="double" w:sz="5" w:space="0" w:color="000000"/>
                          <w:bottom w:val="double" w:sz="4" w:space="0" w:color="000000"/>
                          <w:right w:val="double" w:sz="5" w:space="0" w:color="000000"/>
                        </w:tcBorders>
                      </w:tcPr>
                      <w:p>
                        <w:pPr>
                          <w:pStyle w:val="TableParagraph"/>
                          <w:spacing w:line="203" w:lineRule="exact"/>
                          <w:ind w:left="60"/>
                          <w:rPr>
                            <w:sz w:val="18"/>
                          </w:rPr>
                        </w:pPr>
                        <w:r>
                          <w:rPr>
                            <w:sz w:val="18"/>
                          </w:rPr>
                          <w:t>0,60</w:t>
                        </w:r>
                      </w:p>
                    </w:tc>
                    <w:tc>
                      <w:tcPr>
                        <w:tcW w:w="564" w:type="dxa"/>
                        <w:tcBorders>
                          <w:top w:val="double" w:sz="4" w:space="0" w:color="000000"/>
                          <w:left w:val="double" w:sz="5" w:space="0" w:color="000000"/>
                          <w:bottom w:val="double" w:sz="4" w:space="0" w:color="000000"/>
                          <w:right w:val="double" w:sz="5" w:space="0" w:color="000000"/>
                        </w:tcBorders>
                      </w:tcPr>
                      <w:p>
                        <w:pPr>
                          <w:pStyle w:val="TableParagraph"/>
                          <w:spacing w:line="203" w:lineRule="exact"/>
                          <w:ind w:left="38" w:right="129"/>
                          <w:jc w:val="center"/>
                          <w:rPr>
                            <w:sz w:val="18"/>
                          </w:rPr>
                        </w:pPr>
                        <w:r>
                          <w:rPr>
                            <w:sz w:val="18"/>
                          </w:rPr>
                          <w:t>0,60</w:t>
                        </w:r>
                      </w:p>
                    </w:tc>
                    <w:tc>
                      <w:tcPr>
                        <w:tcW w:w="638" w:type="dxa"/>
                        <w:tcBorders>
                          <w:top w:val="double" w:sz="4" w:space="0" w:color="000000"/>
                          <w:left w:val="double" w:sz="5" w:space="0" w:color="000000"/>
                          <w:bottom w:val="double" w:sz="4" w:space="0" w:color="000000"/>
                          <w:right w:val="double" w:sz="4" w:space="0" w:color="000000"/>
                        </w:tcBorders>
                      </w:tcPr>
                      <w:p>
                        <w:pPr>
                          <w:pStyle w:val="TableParagraph"/>
                          <w:spacing w:line="203" w:lineRule="exact"/>
                          <w:ind w:left="58"/>
                          <w:rPr>
                            <w:sz w:val="18"/>
                          </w:rPr>
                        </w:pPr>
                        <w:r>
                          <w:rPr>
                            <w:sz w:val="18"/>
                          </w:rPr>
                          <w:t>0,35</w:t>
                        </w:r>
                      </w:p>
                    </w:tc>
                    <w:tc>
                      <w:tcPr>
                        <w:tcW w:w="638" w:type="dxa"/>
                        <w:tcBorders>
                          <w:top w:val="double" w:sz="4" w:space="0" w:color="000000"/>
                          <w:left w:val="double" w:sz="4" w:space="0" w:color="000000"/>
                          <w:bottom w:val="double" w:sz="4" w:space="0" w:color="000000"/>
                          <w:right w:val="double" w:sz="4" w:space="0" w:color="000000"/>
                        </w:tcBorders>
                      </w:tcPr>
                      <w:p>
                        <w:pPr>
                          <w:pStyle w:val="TableParagraph"/>
                          <w:spacing w:line="203" w:lineRule="exact"/>
                          <w:ind w:left="59"/>
                          <w:rPr>
                            <w:sz w:val="18"/>
                          </w:rPr>
                        </w:pPr>
                        <w:r>
                          <w:rPr>
                            <w:sz w:val="18"/>
                          </w:rPr>
                          <w:t>0,35</w:t>
                        </w:r>
                      </w:p>
                    </w:tc>
                    <w:tc>
                      <w:tcPr>
                        <w:tcW w:w="564" w:type="dxa"/>
                        <w:tcBorders>
                          <w:top w:val="double" w:sz="4" w:space="0" w:color="000000"/>
                          <w:left w:val="double" w:sz="4" w:space="0" w:color="000000"/>
                          <w:bottom w:val="double" w:sz="4" w:space="0" w:color="000000"/>
                          <w:right w:val="double" w:sz="4" w:space="0" w:color="000000"/>
                        </w:tcBorders>
                      </w:tcPr>
                      <w:p>
                        <w:pPr>
                          <w:pStyle w:val="TableParagraph"/>
                          <w:spacing w:line="203" w:lineRule="exact"/>
                          <w:ind w:left="38" w:right="131"/>
                          <w:jc w:val="center"/>
                          <w:rPr>
                            <w:sz w:val="18"/>
                          </w:rPr>
                        </w:pPr>
                        <w:r>
                          <w:rPr>
                            <w:sz w:val="18"/>
                          </w:rPr>
                          <w:t>0,18</w:t>
                        </w:r>
                      </w:p>
                    </w:tc>
                    <w:tc>
                      <w:tcPr>
                        <w:tcW w:w="590" w:type="dxa"/>
                        <w:tcBorders>
                          <w:top w:val="double" w:sz="4" w:space="0" w:color="000000"/>
                          <w:left w:val="double" w:sz="4" w:space="0" w:color="000000"/>
                          <w:bottom w:val="double" w:sz="4" w:space="0" w:color="000000"/>
                          <w:right w:val="double" w:sz="4" w:space="0" w:color="000000"/>
                        </w:tcBorders>
                      </w:tcPr>
                      <w:p>
                        <w:pPr>
                          <w:pStyle w:val="TableParagraph"/>
                          <w:spacing w:line="203" w:lineRule="exact"/>
                          <w:ind w:left="59"/>
                          <w:rPr>
                            <w:sz w:val="18"/>
                          </w:rPr>
                        </w:pPr>
                        <w:r>
                          <w:rPr>
                            <w:sz w:val="18"/>
                          </w:rPr>
                          <w:t>0,18</w:t>
                        </w:r>
                      </w:p>
                    </w:tc>
                  </w:tr>
                  <w:tr>
                    <w:trPr>
                      <w:trHeight w:val="241" w:hRule="exact"/>
                    </w:trPr>
                    <w:tc>
                      <w:tcPr>
                        <w:tcW w:w="1375" w:type="dxa"/>
                        <w:tcBorders>
                          <w:top w:val="double" w:sz="4" w:space="0" w:color="000000"/>
                          <w:left w:val="double" w:sz="4" w:space="0" w:color="000000"/>
                          <w:bottom w:val="double" w:sz="4" w:space="0" w:color="000000"/>
                          <w:right w:val="double" w:sz="5" w:space="0" w:color="000000"/>
                        </w:tcBorders>
                      </w:tcPr>
                      <w:p>
                        <w:pPr>
                          <w:pStyle w:val="TableParagraph"/>
                          <w:spacing w:line="202" w:lineRule="exact"/>
                          <w:ind w:left="60"/>
                          <w:rPr>
                            <w:sz w:val="18"/>
                          </w:rPr>
                        </w:pPr>
                        <w:r>
                          <w:rPr>
                            <w:sz w:val="18"/>
                          </w:rPr>
                          <w:t>9</w:t>
                        </w:r>
                      </w:p>
                    </w:tc>
                    <w:tc>
                      <w:tcPr>
                        <w:tcW w:w="601" w:type="dxa"/>
                        <w:tcBorders>
                          <w:top w:val="double" w:sz="4" w:space="0" w:color="000000"/>
                          <w:left w:val="double" w:sz="5" w:space="0" w:color="000000"/>
                          <w:bottom w:val="double" w:sz="4" w:space="0" w:color="000000"/>
                          <w:right w:val="double" w:sz="5" w:space="0" w:color="000000"/>
                        </w:tcBorders>
                      </w:tcPr>
                      <w:p>
                        <w:pPr>
                          <w:pStyle w:val="TableParagraph"/>
                          <w:spacing w:line="202" w:lineRule="exact"/>
                          <w:ind w:left="60"/>
                          <w:rPr>
                            <w:sz w:val="18"/>
                          </w:rPr>
                        </w:pPr>
                        <w:r>
                          <w:rPr>
                            <w:sz w:val="18"/>
                          </w:rPr>
                          <w:t>0,52</w:t>
                        </w:r>
                      </w:p>
                    </w:tc>
                    <w:tc>
                      <w:tcPr>
                        <w:tcW w:w="564" w:type="dxa"/>
                        <w:tcBorders>
                          <w:top w:val="double" w:sz="4" w:space="0" w:color="000000"/>
                          <w:left w:val="double" w:sz="5" w:space="0" w:color="000000"/>
                          <w:bottom w:val="double" w:sz="4" w:space="0" w:color="000000"/>
                          <w:right w:val="double" w:sz="5" w:space="0" w:color="000000"/>
                        </w:tcBorders>
                      </w:tcPr>
                      <w:p>
                        <w:pPr>
                          <w:pStyle w:val="TableParagraph"/>
                          <w:spacing w:line="202" w:lineRule="exact"/>
                          <w:ind w:left="38" w:right="129"/>
                          <w:jc w:val="center"/>
                          <w:rPr>
                            <w:sz w:val="18"/>
                          </w:rPr>
                        </w:pPr>
                        <w:r>
                          <w:rPr>
                            <w:sz w:val="18"/>
                          </w:rPr>
                          <w:t>0,52</w:t>
                        </w:r>
                      </w:p>
                    </w:tc>
                    <w:tc>
                      <w:tcPr>
                        <w:tcW w:w="638" w:type="dxa"/>
                        <w:tcBorders>
                          <w:top w:val="double" w:sz="4" w:space="0" w:color="000000"/>
                          <w:left w:val="double" w:sz="5" w:space="0" w:color="000000"/>
                          <w:bottom w:val="double" w:sz="4" w:space="0" w:color="000000"/>
                          <w:right w:val="double" w:sz="4" w:space="0" w:color="000000"/>
                        </w:tcBorders>
                      </w:tcPr>
                      <w:p>
                        <w:pPr>
                          <w:pStyle w:val="TableParagraph"/>
                          <w:spacing w:line="202" w:lineRule="exact"/>
                          <w:ind w:left="58"/>
                          <w:rPr>
                            <w:sz w:val="18"/>
                          </w:rPr>
                        </w:pPr>
                        <w:r>
                          <w:rPr>
                            <w:sz w:val="18"/>
                          </w:rPr>
                          <w:t>0,30</w:t>
                        </w:r>
                      </w:p>
                    </w:tc>
                    <w:tc>
                      <w:tcPr>
                        <w:tcW w:w="638" w:type="dxa"/>
                        <w:tcBorders>
                          <w:top w:val="double" w:sz="4" w:space="0" w:color="000000"/>
                          <w:left w:val="double" w:sz="4" w:space="0" w:color="000000"/>
                          <w:bottom w:val="double" w:sz="4" w:space="0" w:color="000000"/>
                          <w:right w:val="double" w:sz="4" w:space="0" w:color="000000"/>
                        </w:tcBorders>
                      </w:tcPr>
                      <w:p>
                        <w:pPr>
                          <w:pStyle w:val="TableParagraph"/>
                          <w:spacing w:line="202" w:lineRule="exact"/>
                          <w:ind w:left="59"/>
                          <w:rPr>
                            <w:sz w:val="18"/>
                          </w:rPr>
                        </w:pPr>
                        <w:r>
                          <w:rPr>
                            <w:sz w:val="18"/>
                          </w:rPr>
                          <w:t>0,30</w:t>
                        </w:r>
                      </w:p>
                    </w:tc>
                    <w:tc>
                      <w:tcPr>
                        <w:tcW w:w="564" w:type="dxa"/>
                        <w:tcBorders>
                          <w:top w:val="double" w:sz="4" w:space="0" w:color="000000"/>
                          <w:left w:val="double" w:sz="4" w:space="0" w:color="000000"/>
                          <w:bottom w:val="double" w:sz="4" w:space="0" w:color="000000"/>
                          <w:right w:val="double" w:sz="4" w:space="0" w:color="000000"/>
                        </w:tcBorders>
                      </w:tcPr>
                      <w:p>
                        <w:pPr>
                          <w:pStyle w:val="TableParagraph"/>
                          <w:spacing w:line="202" w:lineRule="exact"/>
                          <w:ind w:left="38" w:right="131"/>
                          <w:jc w:val="center"/>
                          <w:rPr>
                            <w:sz w:val="18"/>
                          </w:rPr>
                        </w:pPr>
                        <w:r>
                          <w:rPr>
                            <w:sz w:val="18"/>
                          </w:rPr>
                          <w:t>0,00</w:t>
                        </w:r>
                      </w:p>
                    </w:tc>
                    <w:tc>
                      <w:tcPr>
                        <w:tcW w:w="590" w:type="dxa"/>
                        <w:tcBorders>
                          <w:top w:val="double" w:sz="4" w:space="0" w:color="000000"/>
                          <w:left w:val="double" w:sz="4" w:space="0" w:color="000000"/>
                          <w:bottom w:val="double" w:sz="4" w:space="0" w:color="000000"/>
                          <w:right w:val="double" w:sz="4" w:space="0" w:color="000000"/>
                        </w:tcBorders>
                      </w:tcPr>
                      <w:p>
                        <w:pPr>
                          <w:pStyle w:val="TableParagraph"/>
                          <w:spacing w:line="202" w:lineRule="exact"/>
                          <w:ind w:left="59"/>
                          <w:rPr>
                            <w:sz w:val="18"/>
                          </w:rPr>
                        </w:pPr>
                        <w:r>
                          <w:rPr>
                            <w:sz w:val="18"/>
                          </w:rPr>
                          <w:t>0,15</w:t>
                        </w:r>
                      </w:p>
                    </w:tc>
                  </w:tr>
                  <w:tr>
                    <w:trPr>
                      <w:trHeight w:val="241" w:hRule="exact"/>
                    </w:trPr>
                    <w:tc>
                      <w:tcPr>
                        <w:tcW w:w="1375" w:type="dxa"/>
                        <w:tcBorders>
                          <w:top w:val="double" w:sz="4" w:space="0" w:color="000000"/>
                          <w:left w:val="double" w:sz="4" w:space="0" w:color="000000"/>
                          <w:bottom w:val="double" w:sz="4" w:space="0" w:color="000000"/>
                          <w:right w:val="double" w:sz="5" w:space="0" w:color="000000"/>
                        </w:tcBorders>
                      </w:tcPr>
                      <w:p>
                        <w:pPr>
                          <w:pStyle w:val="TableParagraph"/>
                          <w:spacing w:line="202" w:lineRule="exact"/>
                          <w:ind w:left="60"/>
                          <w:rPr>
                            <w:sz w:val="18"/>
                          </w:rPr>
                        </w:pPr>
                        <w:r>
                          <w:rPr>
                            <w:sz w:val="18"/>
                          </w:rPr>
                          <w:t>10</w:t>
                        </w:r>
                      </w:p>
                    </w:tc>
                    <w:tc>
                      <w:tcPr>
                        <w:tcW w:w="601" w:type="dxa"/>
                        <w:tcBorders>
                          <w:top w:val="double" w:sz="4" w:space="0" w:color="000000"/>
                          <w:left w:val="double" w:sz="5" w:space="0" w:color="000000"/>
                          <w:bottom w:val="double" w:sz="4" w:space="0" w:color="000000"/>
                          <w:right w:val="double" w:sz="5" w:space="0" w:color="000000"/>
                        </w:tcBorders>
                      </w:tcPr>
                      <w:p>
                        <w:pPr>
                          <w:pStyle w:val="TableParagraph"/>
                          <w:spacing w:line="202" w:lineRule="exact"/>
                          <w:ind w:left="60"/>
                          <w:rPr>
                            <w:sz w:val="18"/>
                          </w:rPr>
                        </w:pPr>
                        <w:r>
                          <w:rPr>
                            <w:sz w:val="18"/>
                          </w:rPr>
                          <w:t>0,45</w:t>
                        </w:r>
                      </w:p>
                    </w:tc>
                    <w:tc>
                      <w:tcPr>
                        <w:tcW w:w="564" w:type="dxa"/>
                        <w:tcBorders>
                          <w:top w:val="double" w:sz="4" w:space="0" w:color="000000"/>
                          <w:left w:val="double" w:sz="5" w:space="0" w:color="000000"/>
                          <w:bottom w:val="double" w:sz="4" w:space="0" w:color="000000"/>
                          <w:right w:val="double" w:sz="5" w:space="0" w:color="000000"/>
                        </w:tcBorders>
                      </w:tcPr>
                      <w:p>
                        <w:pPr>
                          <w:pStyle w:val="TableParagraph"/>
                          <w:spacing w:line="202" w:lineRule="exact"/>
                          <w:ind w:left="38" w:right="129"/>
                          <w:jc w:val="center"/>
                          <w:rPr>
                            <w:sz w:val="18"/>
                          </w:rPr>
                        </w:pPr>
                        <w:r>
                          <w:rPr>
                            <w:sz w:val="18"/>
                          </w:rPr>
                          <w:t>0,45</w:t>
                        </w:r>
                      </w:p>
                    </w:tc>
                    <w:tc>
                      <w:tcPr>
                        <w:tcW w:w="638" w:type="dxa"/>
                        <w:tcBorders>
                          <w:top w:val="double" w:sz="4" w:space="0" w:color="000000"/>
                          <w:left w:val="double" w:sz="5" w:space="0" w:color="000000"/>
                          <w:bottom w:val="double" w:sz="4" w:space="0" w:color="000000"/>
                          <w:right w:val="double" w:sz="4" w:space="0" w:color="000000"/>
                        </w:tcBorders>
                      </w:tcPr>
                      <w:p>
                        <w:pPr>
                          <w:pStyle w:val="TableParagraph"/>
                          <w:spacing w:line="202" w:lineRule="exact"/>
                          <w:ind w:left="58"/>
                          <w:rPr>
                            <w:sz w:val="18"/>
                          </w:rPr>
                        </w:pPr>
                        <w:r>
                          <w:rPr>
                            <w:sz w:val="18"/>
                          </w:rPr>
                          <w:t>0,26</w:t>
                        </w:r>
                      </w:p>
                    </w:tc>
                    <w:tc>
                      <w:tcPr>
                        <w:tcW w:w="638" w:type="dxa"/>
                        <w:tcBorders>
                          <w:top w:val="double" w:sz="4" w:space="0" w:color="000000"/>
                          <w:left w:val="double" w:sz="4" w:space="0" w:color="000000"/>
                          <w:bottom w:val="double" w:sz="4" w:space="0" w:color="000000"/>
                          <w:right w:val="double" w:sz="4" w:space="0" w:color="000000"/>
                        </w:tcBorders>
                      </w:tcPr>
                      <w:p>
                        <w:pPr>
                          <w:pStyle w:val="TableParagraph"/>
                          <w:spacing w:line="202" w:lineRule="exact"/>
                          <w:ind w:left="59"/>
                          <w:rPr>
                            <w:sz w:val="18"/>
                          </w:rPr>
                        </w:pPr>
                        <w:r>
                          <w:rPr>
                            <w:sz w:val="18"/>
                          </w:rPr>
                          <w:t>0,26</w:t>
                        </w:r>
                      </w:p>
                    </w:tc>
                    <w:tc>
                      <w:tcPr>
                        <w:tcW w:w="564" w:type="dxa"/>
                        <w:tcBorders>
                          <w:top w:val="double" w:sz="4" w:space="0" w:color="000000"/>
                          <w:left w:val="double" w:sz="4" w:space="0" w:color="000000"/>
                          <w:bottom w:val="double" w:sz="4" w:space="0" w:color="000000"/>
                          <w:right w:val="double" w:sz="4" w:space="0" w:color="000000"/>
                        </w:tcBorders>
                      </w:tcPr>
                      <w:p>
                        <w:pPr>
                          <w:pStyle w:val="TableParagraph"/>
                          <w:spacing w:line="202" w:lineRule="exact"/>
                          <w:ind w:left="38" w:right="132"/>
                          <w:jc w:val="center"/>
                          <w:rPr>
                            <w:sz w:val="18"/>
                          </w:rPr>
                        </w:pPr>
                        <w:r>
                          <w:rPr>
                            <w:sz w:val="18"/>
                          </w:rPr>
                          <w:t>0,00</w:t>
                        </w:r>
                      </w:p>
                    </w:tc>
                    <w:tc>
                      <w:tcPr>
                        <w:tcW w:w="590" w:type="dxa"/>
                        <w:tcBorders>
                          <w:top w:val="double" w:sz="4" w:space="0" w:color="000000"/>
                          <w:left w:val="double" w:sz="4" w:space="0" w:color="000000"/>
                          <w:bottom w:val="double" w:sz="4" w:space="0" w:color="000000"/>
                          <w:right w:val="double" w:sz="4" w:space="0" w:color="000000"/>
                        </w:tcBorders>
                      </w:tcPr>
                      <w:p>
                        <w:pPr>
                          <w:pStyle w:val="TableParagraph"/>
                          <w:spacing w:line="202" w:lineRule="exact"/>
                          <w:ind w:left="59"/>
                          <w:rPr>
                            <w:sz w:val="18"/>
                          </w:rPr>
                        </w:pPr>
                        <w:r>
                          <w:rPr>
                            <w:sz w:val="18"/>
                          </w:rPr>
                          <w:t>0,13</w:t>
                        </w:r>
                      </w:p>
                    </w:tc>
                  </w:tr>
                  <w:tr>
                    <w:trPr>
                      <w:trHeight w:val="241" w:hRule="exact"/>
                    </w:trPr>
                    <w:tc>
                      <w:tcPr>
                        <w:tcW w:w="1375" w:type="dxa"/>
                        <w:tcBorders>
                          <w:top w:val="double" w:sz="4" w:space="0" w:color="000000"/>
                          <w:left w:val="double" w:sz="4" w:space="0" w:color="000000"/>
                          <w:bottom w:val="double" w:sz="4" w:space="0" w:color="000000"/>
                          <w:right w:val="double" w:sz="5" w:space="0" w:color="000000"/>
                        </w:tcBorders>
                      </w:tcPr>
                      <w:p>
                        <w:pPr>
                          <w:pStyle w:val="TableParagraph"/>
                          <w:spacing w:line="202" w:lineRule="exact"/>
                          <w:ind w:left="60"/>
                          <w:rPr>
                            <w:sz w:val="18"/>
                          </w:rPr>
                        </w:pPr>
                        <w:r>
                          <w:rPr>
                            <w:sz w:val="18"/>
                          </w:rPr>
                          <w:t>11</w:t>
                        </w:r>
                      </w:p>
                    </w:tc>
                    <w:tc>
                      <w:tcPr>
                        <w:tcW w:w="601" w:type="dxa"/>
                        <w:tcBorders>
                          <w:top w:val="double" w:sz="4" w:space="0" w:color="000000"/>
                          <w:left w:val="double" w:sz="5" w:space="0" w:color="000000"/>
                          <w:bottom w:val="double" w:sz="4" w:space="0" w:color="000000"/>
                          <w:right w:val="double" w:sz="5" w:space="0" w:color="000000"/>
                        </w:tcBorders>
                      </w:tcPr>
                      <w:p>
                        <w:pPr>
                          <w:pStyle w:val="TableParagraph"/>
                          <w:spacing w:line="202" w:lineRule="exact"/>
                          <w:ind w:left="60"/>
                          <w:rPr>
                            <w:sz w:val="18"/>
                          </w:rPr>
                        </w:pPr>
                        <w:r>
                          <w:rPr>
                            <w:sz w:val="18"/>
                          </w:rPr>
                          <w:t>0,41</w:t>
                        </w:r>
                      </w:p>
                    </w:tc>
                    <w:tc>
                      <w:tcPr>
                        <w:tcW w:w="564" w:type="dxa"/>
                        <w:tcBorders>
                          <w:top w:val="double" w:sz="4" w:space="0" w:color="000000"/>
                          <w:left w:val="double" w:sz="5" w:space="0" w:color="000000"/>
                          <w:bottom w:val="double" w:sz="4" w:space="0" w:color="000000"/>
                          <w:right w:val="double" w:sz="5" w:space="0" w:color="000000"/>
                        </w:tcBorders>
                      </w:tcPr>
                      <w:p>
                        <w:pPr>
                          <w:pStyle w:val="TableParagraph"/>
                          <w:spacing w:line="202" w:lineRule="exact"/>
                          <w:ind w:left="38" w:right="129"/>
                          <w:jc w:val="center"/>
                          <w:rPr>
                            <w:sz w:val="18"/>
                          </w:rPr>
                        </w:pPr>
                        <w:r>
                          <w:rPr>
                            <w:sz w:val="18"/>
                          </w:rPr>
                          <w:t>0,41</w:t>
                        </w:r>
                      </w:p>
                    </w:tc>
                    <w:tc>
                      <w:tcPr>
                        <w:tcW w:w="638" w:type="dxa"/>
                        <w:tcBorders>
                          <w:top w:val="double" w:sz="4" w:space="0" w:color="000000"/>
                          <w:left w:val="double" w:sz="5" w:space="0" w:color="000000"/>
                          <w:bottom w:val="double" w:sz="4" w:space="0" w:color="000000"/>
                          <w:right w:val="double" w:sz="4" w:space="0" w:color="000000"/>
                        </w:tcBorders>
                      </w:tcPr>
                      <w:p>
                        <w:pPr>
                          <w:pStyle w:val="TableParagraph"/>
                          <w:spacing w:line="202" w:lineRule="exact"/>
                          <w:ind w:left="58"/>
                          <w:rPr>
                            <w:sz w:val="18"/>
                          </w:rPr>
                        </w:pPr>
                        <w:r>
                          <w:rPr>
                            <w:sz w:val="18"/>
                          </w:rPr>
                          <w:t>0,00</w:t>
                        </w:r>
                      </w:p>
                    </w:tc>
                    <w:tc>
                      <w:tcPr>
                        <w:tcW w:w="638" w:type="dxa"/>
                        <w:tcBorders>
                          <w:top w:val="double" w:sz="4" w:space="0" w:color="000000"/>
                          <w:left w:val="double" w:sz="4" w:space="0" w:color="000000"/>
                          <w:bottom w:val="double" w:sz="4" w:space="0" w:color="000000"/>
                          <w:right w:val="double" w:sz="4" w:space="0" w:color="000000"/>
                        </w:tcBorders>
                      </w:tcPr>
                      <w:p>
                        <w:pPr>
                          <w:pStyle w:val="TableParagraph"/>
                          <w:spacing w:line="202" w:lineRule="exact"/>
                          <w:ind w:left="59"/>
                          <w:rPr>
                            <w:sz w:val="18"/>
                          </w:rPr>
                        </w:pPr>
                        <w:r>
                          <w:rPr>
                            <w:sz w:val="18"/>
                          </w:rPr>
                          <w:t>0,23</w:t>
                        </w:r>
                      </w:p>
                    </w:tc>
                    <w:tc>
                      <w:tcPr>
                        <w:tcW w:w="564" w:type="dxa"/>
                        <w:tcBorders>
                          <w:top w:val="double" w:sz="4" w:space="0" w:color="000000"/>
                          <w:left w:val="double" w:sz="4" w:space="0" w:color="000000"/>
                          <w:bottom w:val="double" w:sz="4" w:space="0" w:color="000000"/>
                          <w:right w:val="double" w:sz="4" w:space="0" w:color="000000"/>
                        </w:tcBorders>
                      </w:tcPr>
                      <w:p>
                        <w:pPr>
                          <w:pStyle w:val="TableParagraph"/>
                          <w:spacing w:line="202" w:lineRule="exact"/>
                          <w:ind w:left="38" w:right="132"/>
                          <w:jc w:val="center"/>
                          <w:rPr>
                            <w:sz w:val="18"/>
                          </w:rPr>
                        </w:pPr>
                        <w:r>
                          <w:rPr>
                            <w:sz w:val="18"/>
                          </w:rPr>
                          <w:t>0,00</w:t>
                        </w:r>
                      </w:p>
                    </w:tc>
                    <w:tc>
                      <w:tcPr>
                        <w:tcW w:w="590" w:type="dxa"/>
                        <w:tcBorders>
                          <w:top w:val="double" w:sz="4" w:space="0" w:color="000000"/>
                          <w:left w:val="double" w:sz="4" w:space="0" w:color="000000"/>
                          <w:bottom w:val="double" w:sz="4" w:space="0" w:color="000000"/>
                          <w:right w:val="double" w:sz="4" w:space="0" w:color="000000"/>
                        </w:tcBorders>
                      </w:tcPr>
                      <w:p>
                        <w:pPr>
                          <w:pStyle w:val="TableParagraph"/>
                          <w:spacing w:line="202" w:lineRule="exact"/>
                          <w:ind w:left="59"/>
                          <w:rPr>
                            <w:sz w:val="18"/>
                          </w:rPr>
                        </w:pPr>
                        <w:r>
                          <w:rPr>
                            <w:sz w:val="18"/>
                          </w:rPr>
                          <w:t>0,00</w:t>
                        </w:r>
                      </w:p>
                    </w:tc>
                  </w:tr>
                  <w:tr>
                    <w:trPr>
                      <w:trHeight w:val="241" w:hRule="exact"/>
                    </w:trPr>
                    <w:tc>
                      <w:tcPr>
                        <w:tcW w:w="1375" w:type="dxa"/>
                        <w:tcBorders>
                          <w:top w:val="double" w:sz="4" w:space="0" w:color="000000"/>
                          <w:left w:val="double" w:sz="4" w:space="0" w:color="000000"/>
                          <w:bottom w:val="double" w:sz="4" w:space="0" w:color="000000"/>
                          <w:right w:val="double" w:sz="5" w:space="0" w:color="000000"/>
                        </w:tcBorders>
                      </w:tcPr>
                      <w:p>
                        <w:pPr>
                          <w:pStyle w:val="TableParagraph"/>
                          <w:spacing w:line="202" w:lineRule="exact"/>
                          <w:ind w:left="60"/>
                          <w:rPr>
                            <w:sz w:val="18"/>
                          </w:rPr>
                        </w:pPr>
                        <w:r>
                          <w:rPr>
                            <w:sz w:val="18"/>
                          </w:rPr>
                          <w:t>12</w:t>
                        </w:r>
                      </w:p>
                    </w:tc>
                    <w:tc>
                      <w:tcPr>
                        <w:tcW w:w="601" w:type="dxa"/>
                        <w:tcBorders>
                          <w:top w:val="double" w:sz="4" w:space="0" w:color="000000"/>
                          <w:left w:val="double" w:sz="5" w:space="0" w:color="000000"/>
                          <w:bottom w:val="double" w:sz="4" w:space="0" w:color="000000"/>
                          <w:right w:val="double" w:sz="5" w:space="0" w:color="000000"/>
                        </w:tcBorders>
                      </w:tcPr>
                      <w:p>
                        <w:pPr>
                          <w:pStyle w:val="TableParagraph"/>
                          <w:spacing w:line="202" w:lineRule="exact"/>
                          <w:ind w:left="60"/>
                          <w:rPr>
                            <w:sz w:val="18"/>
                          </w:rPr>
                        </w:pPr>
                        <w:r>
                          <w:rPr>
                            <w:sz w:val="18"/>
                          </w:rPr>
                          <w:t>0,37</w:t>
                        </w:r>
                      </w:p>
                    </w:tc>
                    <w:tc>
                      <w:tcPr>
                        <w:tcW w:w="564" w:type="dxa"/>
                        <w:tcBorders>
                          <w:top w:val="double" w:sz="4" w:space="0" w:color="000000"/>
                          <w:left w:val="double" w:sz="5" w:space="0" w:color="000000"/>
                          <w:bottom w:val="double" w:sz="4" w:space="0" w:color="000000"/>
                          <w:right w:val="double" w:sz="5" w:space="0" w:color="000000"/>
                        </w:tcBorders>
                      </w:tcPr>
                      <w:p>
                        <w:pPr>
                          <w:pStyle w:val="TableParagraph"/>
                          <w:spacing w:line="202" w:lineRule="exact"/>
                          <w:ind w:left="38" w:right="129"/>
                          <w:jc w:val="center"/>
                          <w:rPr>
                            <w:sz w:val="18"/>
                          </w:rPr>
                        </w:pPr>
                        <w:r>
                          <w:rPr>
                            <w:sz w:val="18"/>
                          </w:rPr>
                          <w:t>0,37</w:t>
                        </w:r>
                      </w:p>
                    </w:tc>
                    <w:tc>
                      <w:tcPr>
                        <w:tcW w:w="638" w:type="dxa"/>
                        <w:tcBorders>
                          <w:top w:val="double" w:sz="4" w:space="0" w:color="000000"/>
                          <w:left w:val="double" w:sz="5" w:space="0" w:color="000000"/>
                          <w:bottom w:val="double" w:sz="4" w:space="0" w:color="000000"/>
                          <w:right w:val="double" w:sz="4" w:space="0" w:color="000000"/>
                        </w:tcBorders>
                      </w:tcPr>
                      <w:p>
                        <w:pPr>
                          <w:pStyle w:val="TableParagraph"/>
                          <w:spacing w:line="202" w:lineRule="exact"/>
                          <w:ind w:left="58"/>
                          <w:rPr>
                            <w:sz w:val="18"/>
                          </w:rPr>
                        </w:pPr>
                        <w:r>
                          <w:rPr>
                            <w:sz w:val="18"/>
                          </w:rPr>
                          <w:t>0,00</w:t>
                        </w:r>
                      </w:p>
                    </w:tc>
                    <w:tc>
                      <w:tcPr>
                        <w:tcW w:w="638" w:type="dxa"/>
                        <w:tcBorders>
                          <w:top w:val="double" w:sz="4" w:space="0" w:color="000000"/>
                          <w:left w:val="double" w:sz="4" w:space="0" w:color="000000"/>
                          <w:bottom w:val="double" w:sz="4" w:space="0" w:color="000000"/>
                          <w:right w:val="double" w:sz="4" w:space="0" w:color="000000"/>
                        </w:tcBorders>
                      </w:tcPr>
                      <w:p>
                        <w:pPr>
                          <w:pStyle w:val="TableParagraph"/>
                          <w:spacing w:line="202" w:lineRule="exact"/>
                          <w:ind w:left="59"/>
                          <w:rPr>
                            <w:sz w:val="18"/>
                          </w:rPr>
                        </w:pPr>
                        <w:r>
                          <w:rPr>
                            <w:sz w:val="18"/>
                          </w:rPr>
                          <w:t>0,21</w:t>
                        </w:r>
                      </w:p>
                    </w:tc>
                    <w:tc>
                      <w:tcPr>
                        <w:tcW w:w="564" w:type="dxa"/>
                        <w:tcBorders>
                          <w:top w:val="double" w:sz="4" w:space="0" w:color="000000"/>
                          <w:left w:val="double" w:sz="4" w:space="0" w:color="000000"/>
                          <w:bottom w:val="double" w:sz="4" w:space="0" w:color="000000"/>
                          <w:right w:val="double" w:sz="4" w:space="0" w:color="000000"/>
                        </w:tcBorders>
                      </w:tcPr>
                      <w:p>
                        <w:pPr>
                          <w:pStyle w:val="TableParagraph"/>
                          <w:spacing w:line="202" w:lineRule="exact"/>
                          <w:ind w:left="38" w:right="132"/>
                          <w:jc w:val="center"/>
                          <w:rPr>
                            <w:sz w:val="18"/>
                          </w:rPr>
                        </w:pPr>
                        <w:r>
                          <w:rPr>
                            <w:sz w:val="18"/>
                          </w:rPr>
                          <w:t>0,00</w:t>
                        </w:r>
                      </w:p>
                    </w:tc>
                    <w:tc>
                      <w:tcPr>
                        <w:tcW w:w="590" w:type="dxa"/>
                        <w:tcBorders>
                          <w:top w:val="double" w:sz="4" w:space="0" w:color="000000"/>
                          <w:left w:val="double" w:sz="4" w:space="0" w:color="000000"/>
                          <w:bottom w:val="double" w:sz="4" w:space="0" w:color="000000"/>
                          <w:right w:val="double" w:sz="4" w:space="0" w:color="000000"/>
                        </w:tcBorders>
                      </w:tcPr>
                      <w:p>
                        <w:pPr>
                          <w:pStyle w:val="TableParagraph"/>
                          <w:spacing w:line="202" w:lineRule="exact"/>
                          <w:ind w:left="59"/>
                          <w:rPr>
                            <w:sz w:val="18"/>
                          </w:rPr>
                        </w:pPr>
                        <w:r>
                          <w:rPr>
                            <w:sz w:val="18"/>
                          </w:rPr>
                          <w:t>0,00</w:t>
                        </w:r>
                      </w:p>
                    </w:tc>
                  </w:tr>
                  <w:tr>
                    <w:trPr>
                      <w:trHeight w:val="240" w:hRule="exact"/>
                    </w:trPr>
                    <w:tc>
                      <w:tcPr>
                        <w:tcW w:w="1375" w:type="dxa"/>
                        <w:tcBorders>
                          <w:top w:val="double" w:sz="4" w:space="0" w:color="000000"/>
                          <w:left w:val="double" w:sz="4" w:space="0" w:color="000000"/>
                          <w:bottom w:val="double" w:sz="4" w:space="0" w:color="000000"/>
                          <w:right w:val="double" w:sz="5" w:space="0" w:color="000000"/>
                        </w:tcBorders>
                      </w:tcPr>
                      <w:p>
                        <w:pPr>
                          <w:pStyle w:val="TableParagraph"/>
                          <w:spacing w:line="202" w:lineRule="exact"/>
                          <w:ind w:left="60"/>
                          <w:rPr>
                            <w:sz w:val="18"/>
                          </w:rPr>
                        </w:pPr>
                        <w:r>
                          <w:rPr>
                            <w:sz w:val="18"/>
                          </w:rPr>
                          <w:t>13</w:t>
                        </w:r>
                      </w:p>
                    </w:tc>
                    <w:tc>
                      <w:tcPr>
                        <w:tcW w:w="601" w:type="dxa"/>
                        <w:tcBorders>
                          <w:top w:val="double" w:sz="4" w:space="0" w:color="000000"/>
                          <w:left w:val="double" w:sz="5" w:space="0" w:color="000000"/>
                          <w:bottom w:val="double" w:sz="4" w:space="0" w:color="000000"/>
                          <w:right w:val="double" w:sz="5" w:space="0" w:color="000000"/>
                        </w:tcBorders>
                      </w:tcPr>
                      <w:p>
                        <w:pPr>
                          <w:pStyle w:val="TableParagraph"/>
                          <w:spacing w:line="202" w:lineRule="exact"/>
                          <w:ind w:left="60"/>
                          <w:rPr>
                            <w:sz w:val="18"/>
                          </w:rPr>
                        </w:pPr>
                        <w:r>
                          <w:rPr>
                            <w:sz w:val="18"/>
                          </w:rPr>
                          <w:t>0,00</w:t>
                        </w:r>
                      </w:p>
                    </w:tc>
                    <w:tc>
                      <w:tcPr>
                        <w:tcW w:w="564" w:type="dxa"/>
                        <w:tcBorders>
                          <w:top w:val="double" w:sz="4" w:space="0" w:color="000000"/>
                          <w:left w:val="double" w:sz="5" w:space="0" w:color="000000"/>
                          <w:bottom w:val="double" w:sz="4" w:space="0" w:color="000000"/>
                          <w:right w:val="double" w:sz="5" w:space="0" w:color="000000"/>
                        </w:tcBorders>
                      </w:tcPr>
                      <w:p>
                        <w:pPr>
                          <w:pStyle w:val="TableParagraph"/>
                          <w:spacing w:line="202" w:lineRule="exact"/>
                          <w:ind w:left="38" w:right="129"/>
                          <w:jc w:val="center"/>
                          <w:rPr>
                            <w:sz w:val="18"/>
                          </w:rPr>
                        </w:pPr>
                        <w:r>
                          <w:rPr>
                            <w:sz w:val="18"/>
                          </w:rPr>
                          <w:t>0,34</w:t>
                        </w:r>
                      </w:p>
                    </w:tc>
                    <w:tc>
                      <w:tcPr>
                        <w:tcW w:w="638" w:type="dxa"/>
                        <w:tcBorders>
                          <w:top w:val="double" w:sz="4" w:space="0" w:color="000000"/>
                          <w:left w:val="double" w:sz="5" w:space="0" w:color="000000"/>
                          <w:bottom w:val="double" w:sz="4" w:space="0" w:color="000000"/>
                          <w:right w:val="double" w:sz="4" w:space="0" w:color="000000"/>
                        </w:tcBorders>
                      </w:tcPr>
                      <w:p>
                        <w:pPr>
                          <w:pStyle w:val="TableParagraph"/>
                          <w:spacing w:line="202" w:lineRule="exact"/>
                          <w:ind w:left="58"/>
                          <w:rPr>
                            <w:sz w:val="18"/>
                          </w:rPr>
                        </w:pPr>
                        <w:r>
                          <w:rPr>
                            <w:sz w:val="18"/>
                          </w:rPr>
                          <w:t>0,00</w:t>
                        </w:r>
                      </w:p>
                    </w:tc>
                    <w:tc>
                      <w:tcPr>
                        <w:tcW w:w="638" w:type="dxa"/>
                        <w:tcBorders>
                          <w:top w:val="double" w:sz="4" w:space="0" w:color="000000"/>
                          <w:left w:val="double" w:sz="4" w:space="0" w:color="000000"/>
                          <w:bottom w:val="double" w:sz="4" w:space="0" w:color="000000"/>
                          <w:right w:val="double" w:sz="4" w:space="0" w:color="000000"/>
                        </w:tcBorders>
                      </w:tcPr>
                      <w:p>
                        <w:pPr>
                          <w:pStyle w:val="TableParagraph"/>
                          <w:spacing w:line="202" w:lineRule="exact"/>
                          <w:ind w:left="59"/>
                          <w:rPr>
                            <w:sz w:val="18"/>
                          </w:rPr>
                        </w:pPr>
                        <w:r>
                          <w:rPr>
                            <w:sz w:val="18"/>
                          </w:rPr>
                          <w:t>0,00</w:t>
                        </w:r>
                      </w:p>
                    </w:tc>
                    <w:tc>
                      <w:tcPr>
                        <w:tcW w:w="564" w:type="dxa"/>
                        <w:tcBorders>
                          <w:top w:val="double" w:sz="4" w:space="0" w:color="000000"/>
                          <w:left w:val="double" w:sz="4" w:space="0" w:color="000000"/>
                          <w:bottom w:val="double" w:sz="4" w:space="0" w:color="000000"/>
                          <w:right w:val="double" w:sz="4" w:space="0" w:color="000000"/>
                        </w:tcBorders>
                      </w:tcPr>
                      <w:p>
                        <w:pPr>
                          <w:pStyle w:val="TableParagraph"/>
                          <w:spacing w:line="202" w:lineRule="exact"/>
                          <w:ind w:left="38" w:right="132"/>
                          <w:jc w:val="center"/>
                          <w:rPr>
                            <w:sz w:val="18"/>
                          </w:rPr>
                        </w:pPr>
                        <w:r>
                          <w:rPr>
                            <w:sz w:val="18"/>
                          </w:rPr>
                          <w:t>0,00</w:t>
                        </w:r>
                      </w:p>
                    </w:tc>
                    <w:tc>
                      <w:tcPr>
                        <w:tcW w:w="590" w:type="dxa"/>
                        <w:tcBorders>
                          <w:top w:val="double" w:sz="4" w:space="0" w:color="000000"/>
                          <w:left w:val="double" w:sz="4" w:space="0" w:color="000000"/>
                          <w:bottom w:val="double" w:sz="4" w:space="0" w:color="000000"/>
                          <w:right w:val="double" w:sz="4" w:space="0" w:color="000000"/>
                        </w:tcBorders>
                      </w:tcPr>
                      <w:p>
                        <w:pPr>
                          <w:pStyle w:val="TableParagraph"/>
                          <w:spacing w:line="202" w:lineRule="exact"/>
                          <w:ind w:left="59"/>
                          <w:rPr>
                            <w:sz w:val="18"/>
                          </w:rPr>
                        </w:pPr>
                        <w:r>
                          <w:rPr>
                            <w:sz w:val="18"/>
                          </w:rPr>
                          <w:t>0,00</w:t>
                        </w:r>
                      </w:p>
                    </w:tc>
                  </w:tr>
                  <w:tr>
                    <w:trPr>
                      <w:trHeight w:val="241" w:hRule="exact"/>
                    </w:trPr>
                    <w:tc>
                      <w:tcPr>
                        <w:tcW w:w="1375" w:type="dxa"/>
                        <w:tcBorders>
                          <w:top w:val="double" w:sz="4" w:space="0" w:color="000000"/>
                          <w:left w:val="double" w:sz="4" w:space="0" w:color="000000"/>
                          <w:bottom w:val="double" w:sz="4" w:space="0" w:color="000000"/>
                          <w:right w:val="double" w:sz="5" w:space="0" w:color="000000"/>
                        </w:tcBorders>
                      </w:tcPr>
                      <w:p>
                        <w:pPr>
                          <w:pStyle w:val="TableParagraph"/>
                          <w:spacing w:line="202" w:lineRule="exact"/>
                          <w:ind w:left="60"/>
                          <w:rPr>
                            <w:sz w:val="18"/>
                          </w:rPr>
                        </w:pPr>
                        <w:r>
                          <w:rPr>
                            <w:sz w:val="18"/>
                          </w:rPr>
                          <w:t>14</w:t>
                        </w:r>
                      </w:p>
                    </w:tc>
                    <w:tc>
                      <w:tcPr>
                        <w:tcW w:w="601" w:type="dxa"/>
                        <w:tcBorders>
                          <w:top w:val="double" w:sz="4" w:space="0" w:color="000000"/>
                          <w:left w:val="double" w:sz="5" w:space="0" w:color="000000"/>
                          <w:bottom w:val="double" w:sz="4" w:space="0" w:color="000000"/>
                          <w:right w:val="double" w:sz="5" w:space="0" w:color="000000"/>
                        </w:tcBorders>
                      </w:tcPr>
                      <w:p>
                        <w:pPr>
                          <w:pStyle w:val="TableParagraph"/>
                          <w:spacing w:line="202" w:lineRule="exact"/>
                          <w:ind w:left="60"/>
                          <w:rPr>
                            <w:sz w:val="18"/>
                          </w:rPr>
                        </w:pPr>
                        <w:r>
                          <w:rPr>
                            <w:sz w:val="18"/>
                          </w:rPr>
                          <w:t>0,00</w:t>
                        </w:r>
                      </w:p>
                    </w:tc>
                    <w:tc>
                      <w:tcPr>
                        <w:tcW w:w="564" w:type="dxa"/>
                        <w:tcBorders>
                          <w:top w:val="double" w:sz="4" w:space="0" w:color="000000"/>
                          <w:left w:val="double" w:sz="5" w:space="0" w:color="000000"/>
                          <w:bottom w:val="double" w:sz="4" w:space="0" w:color="000000"/>
                          <w:right w:val="double" w:sz="5" w:space="0" w:color="000000"/>
                        </w:tcBorders>
                      </w:tcPr>
                      <w:p>
                        <w:pPr>
                          <w:pStyle w:val="TableParagraph"/>
                          <w:spacing w:line="202" w:lineRule="exact"/>
                          <w:ind w:left="38" w:right="129"/>
                          <w:jc w:val="center"/>
                          <w:rPr>
                            <w:sz w:val="18"/>
                          </w:rPr>
                        </w:pPr>
                        <w:r>
                          <w:rPr>
                            <w:sz w:val="18"/>
                          </w:rPr>
                          <w:t>0,31</w:t>
                        </w:r>
                      </w:p>
                    </w:tc>
                    <w:tc>
                      <w:tcPr>
                        <w:tcW w:w="638" w:type="dxa"/>
                        <w:tcBorders>
                          <w:top w:val="double" w:sz="4" w:space="0" w:color="000000"/>
                          <w:left w:val="double" w:sz="5" w:space="0" w:color="000000"/>
                          <w:bottom w:val="double" w:sz="4" w:space="0" w:color="000000"/>
                          <w:right w:val="double" w:sz="4" w:space="0" w:color="000000"/>
                        </w:tcBorders>
                      </w:tcPr>
                      <w:p>
                        <w:pPr>
                          <w:pStyle w:val="TableParagraph"/>
                          <w:spacing w:line="202" w:lineRule="exact"/>
                          <w:ind w:left="58"/>
                          <w:rPr>
                            <w:sz w:val="18"/>
                          </w:rPr>
                        </w:pPr>
                        <w:r>
                          <w:rPr>
                            <w:sz w:val="18"/>
                          </w:rPr>
                          <w:t>0,00</w:t>
                        </w:r>
                      </w:p>
                    </w:tc>
                    <w:tc>
                      <w:tcPr>
                        <w:tcW w:w="638" w:type="dxa"/>
                        <w:tcBorders>
                          <w:top w:val="double" w:sz="4" w:space="0" w:color="000000"/>
                          <w:left w:val="double" w:sz="4" w:space="0" w:color="000000"/>
                          <w:bottom w:val="double" w:sz="4" w:space="0" w:color="000000"/>
                          <w:right w:val="double" w:sz="4" w:space="0" w:color="000000"/>
                        </w:tcBorders>
                      </w:tcPr>
                      <w:p>
                        <w:pPr>
                          <w:pStyle w:val="TableParagraph"/>
                          <w:spacing w:line="202" w:lineRule="exact"/>
                          <w:ind w:left="59"/>
                          <w:rPr>
                            <w:sz w:val="18"/>
                          </w:rPr>
                        </w:pPr>
                        <w:r>
                          <w:rPr>
                            <w:sz w:val="18"/>
                          </w:rPr>
                          <w:t>0,00</w:t>
                        </w:r>
                      </w:p>
                    </w:tc>
                    <w:tc>
                      <w:tcPr>
                        <w:tcW w:w="564" w:type="dxa"/>
                        <w:tcBorders>
                          <w:top w:val="double" w:sz="4" w:space="0" w:color="000000"/>
                          <w:left w:val="double" w:sz="4" w:space="0" w:color="000000"/>
                          <w:bottom w:val="double" w:sz="4" w:space="0" w:color="000000"/>
                          <w:right w:val="double" w:sz="4" w:space="0" w:color="000000"/>
                        </w:tcBorders>
                      </w:tcPr>
                      <w:p>
                        <w:pPr>
                          <w:pStyle w:val="TableParagraph"/>
                          <w:spacing w:line="202" w:lineRule="exact"/>
                          <w:ind w:left="38" w:right="132"/>
                          <w:jc w:val="center"/>
                          <w:rPr>
                            <w:sz w:val="18"/>
                          </w:rPr>
                        </w:pPr>
                        <w:r>
                          <w:rPr>
                            <w:sz w:val="18"/>
                          </w:rPr>
                          <w:t>0,00</w:t>
                        </w:r>
                      </w:p>
                    </w:tc>
                    <w:tc>
                      <w:tcPr>
                        <w:tcW w:w="590" w:type="dxa"/>
                        <w:tcBorders>
                          <w:top w:val="double" w:sz="4" w:space="0" w:color="000000"/>
                          <w:left w:val="double" w:sz="4" w:space="0" w:color="000000"/>
                          <w:bottom w:val="double" w:sz="4" w:space="0" w:color="000000"/>
                          <w:right w:val="double" w:sz="4" w:space="0" w:color="000000"/>
                        </w:tcBorders>
                      </w:tcPr>
                      <w:p>
                        <w:pPr>
                          <w:pStyle w:val="TableParagraph"/>
                          <w:spacing w:line="202" w:lineRule="exact"/>
                          <w:ind w:left="59"/>
                          <w:rPr>
                            <w:sz w:val="18"/>
                          </w:rPr>
                        </w:pPr>
                        <w:r>
                          <w:rPr>
                            <w:sz w:val="18"/>
                          </w:rPr>
                          <w:t>0,00</w:t>
                        </w:r>
                      </w:p>
                    </w:tc>
                  </w:tr>
                  <w:tr>
                    <w:trPr>
                      <w:trHeight w:val="241" w:hRule="exact"/>
                    </w:trPr>
                    <w:tc>
                      <w:tcPr>
                        <w:tcW w:w="1375" w:type="dxa"/>
                        <w:tcBorders>
                          <w:top w:val="double" w:sz="4" w:space="0" w:color="000000"/>
                          <w:left w:val="double" w:sz="4" w:space="0" w:color="000000"/>
                          <w:bottom w:val="double" w:sz="4" w:space="0" w:color="000000"/>
                          <w:right w:val="double" w:sz="5" w:space="0" w:color="000000"/>
                        </w:tcBorders>
                      </w:tcPr>
                      <w:p>
                        <w:pPr>
                          <w:pStyle w:val="TableParagraph"/>
                          <w:spacing w:line="202" w:lineRule="exact"/>
                          <w:ind w:left="60"/>
                          <w:rPr>
                            <w:sz w:val="18"/>
                          </w:rPr>
                        </w:pPr>
                        <w:r>
                          <w:rPr>
                            <w:sz w:val="18"/>
                          </w:rPr>
                          <w:t>15</w:t>
                        </w:r>
                      </w:p>
                    </w:tc>
                    <w:tc>
                      <w:tcPr>
                        <w:tcW w:w="601" w:type="dxa"/>
                        <w:tcBorders>
                          <w:top w:val="double" w:sz="4" w:space="0" w:color="000000"/>
                          <w:left w:val="double" w:sz="5" w:space="0" w:color="000000"/>
                          <w:bottom w:val="double" w:sz="4" w:space="0" w:color="000000"/>
                          <w:right w:val="double" w:sz="5" w:space="0" w:color="000000"/>
                        </w:tcBorders>
                      </w:tcPr>
                      <w:p>
                        <w:pPr>
                          <w:pStyle w:val="TableParagraph"/>
                          <w:spacing w:line="202" w:lineRule="exact"/>
                          <w:ind w:left="60"/>
                          <w:rPr>
                            <w:sz w:val="18"/>
                          </w:rPr>
                        </w:pPr>
                        <w:r>
                          <w:rPr>
                            <w:sz w:val="18"/>
                          </w:rPr>
                          <w:t>0,00</w:t>
                        </w:r>
                      </w:p>
                    </w:tc>
                    <w:tc>
                      <w:tcPr>
                        <w:tcW w:w="564" w:type="dxa"/>
                        <w:tcBorders>
                          <w:top w:val="double" w:sz="4" w:space="0" w:color="000000"/>
                          <w:left w:val="double" w:sz="5" w:space="0" w:color="000000"/>
                          <w:bottom w:val="double" w:sz="4" w:space="0" w:color="000000"/>
                          <w:right w:val="double" w:sz="5" w:space="0" w:color="000000"/>
                        </w:tcBorders>
                      </w:tcPr>
                      <w:p>
                        <w:pPr>
                          <w:pStyle w:val="TableParagraph"/>
                          <w:spacing w:line="202" w:lineRule="exact"/>
                          <w:ind w:left="38" w:right="129"/>
                          <w:jc w:val="center"/>
                          <w:rPr>
                            <w:sz w:val="18"/>
                          </w:rPr>
                        </w:pPr>
                        <w:r>
                          <w:rPr>
                            <w:sz w:val="18"/>
                          </w:rPr>
                          <w:t>0,28</w:t>
                        </w:r>
                      </w:p>
                    </w:tc>
                    <w:tc>
                      <w:tcPr>
                        <w:tcW w:w="638" w:type="dxa"/>
                        <w:tcBorders>
                          <w:top w:val="double" w:sz="4" w:space="0" w:color="000000"/>
                          <w:left w:val="double" w:sz="5" w:space="0" w:color="000000"/>
                          <w:bottom w:val="double" w:sz="4" w:space="0" w:color="000000"/>
                          <w:right w:val="double" w:sz="4" w:space="0" w:color="000000"/>
                        </w:tcBorders>
                      </w:tcPr>
                      <w:p>
                        <w:pPr>
                          <w:pStyle w:val="TableParagraph"/>
                          <w:spacing w:line="202" w:lineRule="exact"/>
                          <w:ind w:left="58"/>
                          <w:rPr>
                            <w:sz w:val="18"/>
                          </w:rPr>
                        </w:pPr>
                        <w:r>
                          <w:rPr>
                            <w:sz w:val="18"/>
                          </w:rPr>
                          <w:t>0,00</w:t>
                        </w:r>
                      </w:p>
                    </w:tc>
                    <w:tc>
                      <w:tcPr>
                        <w:tcW w:w="638" w:type="dxa"/>
                        <w:tcBorders>
                          <w:top w:val="double" w:sz="4" w:space="0" w:color="000000"/>
                          <w:left w:val="double" w:sz="4" w:space="0" w:color="000000"/>
                          <w:bottom w:val="double" w:sz="4" w:space="0" w:color="000000"/>
                          <w:right w:val="double" w:sz="4" w:space="0" w:color="000000"/>
                        </w:tcBorders>
                      </w:tcPr>
                      <w:p>
                        <w:pPr>
                          <w:pStyle w:val="TableParagraph"/>
                          <w:spacing w:line="202" w:lineRule="exact"/>
                          <w:ind w:left="59"/>
                          <w:rPr>
                            <w:sz w:val="18"/>
                          </w:rPr>
                        </w:pPr>
                        <w:r>
                          <w:rPr>
                            <w:sz w:val="18"/>
                          </w:rPr>
                          <w:t>0,00</w:t>
                        </w:r>
                      </w:p>
                    </w:tc>
                    <w:tc>
                      <w:tcPr>
                        <w:tcW w:w="564" w:type="dxa"/>
                        <w:tcBorders>
                          <w:top w:val="double" w:sz="4" w:space="0" w:color="000000"/>
                          <w:left w:val="double" w:sz="4" w:space="0" w:color="000000"/>
                          <w:bottom w:val="double" w:sz="4" w:space="0" w:color="000000"/>
                          <w:right w:val="double" w:sz="4" w:space="0" w:color="000000"/>
                        </w:tcBorders>
                      </w:tcPr>
                      <w:p>
                        <w:pPr>
                          <w:pStyle w:val="TableParagraph"/>
                          <w:spacing w:line="202" w:lineRule="exact"/>
                          <w:ind w:left="38" w:right="132"/>
                          <w:jc w:val="center"/>
                          <w:rPr>
                            <w:sz w:val="18"/>
                          </w:rPr>
                        </w:pPr>
                        <w:r>
                          <w:rPr>
                            <w:sz w:val="18"/>
                          </w:rPr>
                          <w:t>0,00</w:t>
                        </w:r>
                      </w:p>
                    </w:tc>
                    <w:tc>
                      <w:tcPr>
                        <w:tcW w:w="590" w:type="dxa"/>
                        <w:tcBorders>
                          <w:top w:val="double" w:sz="4" w:space="0" w:color="000000"/>
                          <w:left w:val="double" w:sz="4" w:space="0" w:color="000000"/>
                          <w:bottom w:val="double" w:sz="4" w:space="0" w:color="000000"/>
                          <w:right w:val="double" w:sz="4" w:space="0" w:color="000000"/>
                        </w:tcBorders>
                      </w:tcPr>
                      <w:p>
                        <w:pPr>
                          <w:pStyle w:val="TableParagraph"/>
                          <w:spacing w:line="202" w:lineRule="exact"/>
                          <w:ind w:left="59"/>
                          <w:rPr>
                            <w:sz w:val="18"/>
                          </w:rPr>
                        </w:pPr>
                        <w:r>
                          <w:rPr>
                            <w:sz w:val="18"/>
                          </w:rPr>
                          <w:t>0,00</w:t>
                        </w:r>
                      </w:p>
                    </w:tc>
                  </w:tr>
                  <w:tr>
                    <w:trPr>
                      <w:trHeight w:val="241" w:hRule="exact"/>
                    </w:trPr>
                    <w:tc>
                      <w:tcPr>
                        <w:tcW w:w="1375" w:type="dxa"/>
                        <w:tcBorders>
                          <w:top w:val="double" w:sz="4" w:space="0" w:color="000000"/>
                          <w:left w:val="double" w:sz="4" w:space="0" w:color="000000"/>
                          <w:bottom w:val="double" w:sz="4" w:space="0" w:color="000000"/>
                          <w:right w:val="double" w:sz="5" w:space="0" w:color="000000"/>
                        </w:tcBorders>
                      </w:tcPr>
                      <w:p>
                        <w:pPr>
                          <w:pStyle w:val="TableParagraph"/>
                          <w:spacing w:line="202" w:lineRule="exact"/>
                          <w:ind w:left="60"/>
                          <w:rPr>
                            <w:sz w:val="18"/>
                          </w:rPr>
                        </w:pPr>
                        <w:r>
                          <w:rPr>
                            <w:sz w:val="18"/>
                          </w:rPr>
                          <w:t>&gt;15</w:t>
                        </w:r>
                      </w:p>
                    </w:tc>
                    <w:tc>
                      <w:tcPr>
                        <w:tcW w:w="601" w:type="dxa"/>
                        <w:tcBorders>
                          <w:top w:val="double" w:sz="4" w:space="0" w:color="000000"/>
                          <w:left w:val="double" w:sz="5" w:space="0" w:color="000000"/>
                          <w:bottom w:val="double" w:sz="4" w:space="0" w:color="000000"/>
                          <w:right w:val="double" w:sz="5" w:space="0" w:color="000000"/>
                        </w:tcBorders>
                      </w:tcPr>
                      <w:p>
                        <w:pPr>
                          <w:pStyle w:val="TableParagraph"/>
                          <w:spacing w:line="202" w:lineRule="exact"/>
                          <w:ind w:left="60"/>
                          <w:rPr>
                            <w:sz w:val="18"/>
                          </w:rPr>
                        </w:pPr>
                        <w:r>
                          <w:rPr>
                            <w:sz w:val="18"/>
                          </w:rPr>
                          <w:t>0,00</w:t>
                        </w:r>
                      </w:p>
                    </w:tc>
                    <w:tc>
                      <w:tcPr>
                        <w:tcW w:w="564" w:type="dxa"/>
                        <w:tcBorders>
                          <w:top w:val="double" w:sz="4" w:space="0" w:color="000000"/>
                          <w:left w:val="double" w:sz="5" w:space="0" w:color="000000"/>
                          <w:bottom w:val="double" w:sz="4" w:space="0" w:color="000000"/>
                          <w:right w:val="double" w:sz="5" w:space="0" w:color="000000"/>
                        </w:tcBorders>
                      </w:tcPr>
                      <w:p>
                        <w:pPr>
                          <w:pStyle w:val="TableParagraph"/>
                          <w:spacing w:line="202" w:lineRule="exact"/>
                          <w:ind w:left="38" w:right="130"/>
                          <w:jc w:val="center"/>
                          <w:rPr>
                            <w:sz w:val="18"/>
                          </w:rPr>
                        </w:pPr>
                        <w:r>
                          <w:rPr>
                            <w:sz w:val="18"/>
                          </w:rPr>
                          <w:t>0,00</w:t>
                        </w:r>
                      </w:p>
                    </w:tc>
                    <w:tc>
                      <w:tcPr>
                        <w:tcW w:w="638" w:type="dxa"/>
                        <w:tcBorders>
                          <w:top w:val="double" w:sz="4" w:space="0" w:color="000000"/>
                          <w:left w:val="double" w:sz="5" w:space="0" w:color="000000"/>
                          <w:bottom w:val="double" w:sz="4" w:space="0" w:color="000000"/>
                          <w:right w:val="double" w:sz="4" w:space="0" w:color="000000"/>
                        </w:tcBorders>
                      </w:tcPr>
                      <w:p>
                        <w:pPr>
                          <w:pStyle w:val="TableParagraph"/>
                          <w:spacing w:line="202" w:lineRule="exact"/>
                          <w:ind w:left="58"/>
                          <w:rPr>
                            <w:sz w:val="18"/>
                          </w:rPr>
                        </w:pPr>
                        <w:r>
                          <w:rPr>
                            <w:sz w:val="18"/>
                          </w:rPr>
                          <w:t>0,00</w:t>
                        </w:r>
                      </w:p>
                    </w:tc>
                    <w:tc>
                      <w:tcPr>
                        <w:tcW w:w="638" w:type="dxa"/>
                        <w:tcBorders>
                          <w:top w:val="double" w:sz="4" w:space="0" w:color="000000"/>
                          <w:left w:val="double" w:sz="4" w:space="0" w:color="000000"/>
                          <w:bottom w:val="double" w:sz="4" w:space="0" w:color="000000"/>
                          <w:right w:val="double" w:sz="4" w:space="0" w:color="000000"/>
                        </w:tcBorders>
                      </w:tcPr>
                      <w:p>
                        <w:pPr>
                          <w:pStyle w:val="TableParagraph"/>
                          <w:spacing w:line="202" w:lineRule="exact"/>
                          <w:ind w:left="59"/>
                          <w:rPr>
                            <w:sz w:val="18"/>
                          </w:rPr>
                        </w:pPr>
                        <w:r>
                          <w:rPr>
                            <w:sz w:val="18"/>
                          </w:rPr>
                          <w:t>0,00</w:t>
                        </w:r>
                      </w:p>
                    </w:tc>
                    <w:tc>
                      <w:tcPr>
                        <w:tcW w:w="564" w:type="dxa"/>
                        <w:tcBorders>
                          <w:top w:val="double" w:sz="4" w:space="0" w:color="000000"/>
                          <w:left w:val="double" w:sz="4" w:space="0" w:color="000000"/>
                          <w:bottom w:val="double" w:sz="4" w:space="0" w:color="000000"/>
                          <w:right w:val="double" w:sz="4" w:space="0" w:color="000000"/>
                        </w:tcBorders>
                      </w:tcPr>
                      <w:p>
                        <w:pPr>
                          <w:pStyle w:val="TableParagraph"/>
                          <w:spacing w:line="202" w:lineRule="exact"/>
                          <w:ind w:left="38" w:right="132"/>
                          <w:jc w:val="center"/>
                          <w:rPr>
                            <w:sz w:val="18"/>
                          </w:rPr>
                        </w:pPr>
                        <w:r>
                          <w:rPr>
                            <w:sz w:val="18"/>
                          </w:rPr>
                          <w:t>0,00</w:t>
                        </w:r>
                      </w:p>
                    </w:tc>
                    <w:tc>
                      <w:tcPr>
                        <w:tcW w:w="590" w:type="dxa"/>
                        <w:tcBorders>
                          <w:top w:val="double" w:sz="4" w:space="0" w:color="000000"/>
                          <w:left w:val="double" w:sz="4" w:space="0" w:color="000000"/>
                          <w:bottom w:val="double" w:sz="4" w:space="0" w:color="000000"/>
                          <w:right w:val="double" w:sz="4" w:space="0" w:color="000000"/>
                        </w:tcBorders>
                      </w:tcPr>
                      <w:p>
                        <w:pPr>
                          <w:pStyle w:val="TableParagraph"/>
                          <w:spacing w:line="202" w:lineRule="exact"/>
                          <w:ind w:left="59"/>
                          <w:rPr>
                            <w:sz w:val="18"/>
                          </w:rPr>
                        </w:pPr>
                        <w:r>
                          <w:rPr>
                            <w:sz w:val="18"/>
                          </w:rPr>
                          <w:t>0,00</w:t>
                        </w:r>
                      </w:p>
                    </w:tc>
                  </w:tr>
                </w:tbl>
                <w:p>
                  <w:pPr>
                    <w:pStyle w:val="BodyText"/>
                  </w:pPr>
                </w:p>
              </w:txbxContent>
            </v:textbox>
            <w10:wrap type="none"/>
          </v:shape>
        </w:pict>
      </w:r>
      <w:r>
        <w:rPr>
          <w:sz w:val="18"/>
        </w:rPr>
        <w:t>Where D is the difference, taken in absolute value between the height of the load at the start of the uprising (V at the origin) and at the end of the uprising (V destination). Thus DM decreases gradually with increasing slope of the uprising.</w:t>
      </w:r>
    </w:p>
    <w:p>
      <w:pPr>
        <w:pStyle w:val="BodyText"/>
        <w:spacing w:before="7"/>
        <w:rPr>
          <w:sz w:val="11"/>
        </w:rPr>
      </w:pPr>
    </w:p>
    <w:p>
      <w:pPr>
        <w:spacing w:after="0"/>
        <w:rPr>
          <w:sz w:val="11"/>
        </w:rPr>
        <w:sectPr>
          <w:type w:val="continuous"/>
          <w:pgSz w:w="12240" w:h="15840"/>
          <w:pgMar w:top="1500" w:bottom="280" w:left="580" w:right="220"/>
        </w:sectPr>
      </w:pPr>
    </w:p>
    <w:p>
      <w:pPr>
        <w:spacing w:before="77"/>
        <w:ind w:left="441" w:right="0" w:firstLine="0"/>
        <w:jc w:val="left"/>
        <w:rPr>
          <w:b/>
          <w:sz w:val="18"/>
        </w:rPr>
      </w:pPr>
      <w:r>
        <w:rPr>
          <w:b/>
          <w:sz w:val="18"/>
        </w:rPr>
        <w:t>D=|Vo-Vd|</w:t>
      </w:r>
    </w:p>
    <w:p>
      <w:pPr>
        <w:pStyle w:val="BodyText"/>
        <w:spacing w:before="7"/>
        <w:rPr>
          <w:b/>
          <w:sz w:val="17"/>
        </w:rPr>
      </w:pPr>
    </w:p>
    <w:p>
      <w:pPr>
        <w:spacing w:before="1"/>
        <w:ind w:left="441" w:right="0" w:firstLine="0"/>
        <w:jc w:val="left"/>
        <w:rPr>
          <w:sz w:val="18"/>
        </w:rPr>
      </w:pPr>
      <w:r>
        <w:rPr>
          <w:sz w:val="18"/>
        </w:rPr>
        <w:t>Take into account that:</w:t>
      </w:r>
    </w:p>
    <w:p>
      <w:pPr>
        <w:pStyle w:val="BodyText"/>
        <w:rPr>
          <w:sz w:val="18"/>
        </w:rPr>
      </w:pPr>
    </w:p>
    <w:p>
      <w:pPr>
        <w:spacing w:before="0"/>
        <w:ind w:left="441" w:right="2788" w:firstLine="0"/>
        <w:jc w:val="left"/>
        <w:rPr>
          <w:sz w:val="18"/>
        </w:rPr>
      </w:pPr>
      <w:r>
        <w:rPr>
          <w:sz w:val="18"/>
        </w:rPr>
        <w:t>If D&lt;25cm, DM is set to 1 D may not exceed 175 cm</w:t>
      </w:r>
    </w:p>
    <w:p>
      <w:pPr>
        <w:pStyle w:val="BodyText"/>
        <w:spacing w:before="3"/>
        <w:rPr>
          <w:sz w:val="18"/>
        </w:rPr>
      </w:pPr>
    </w:p>
    <w:p>
      <w:pPr>
        <w:spacing w:line="205" w:lineRule="exact" w:before="0"/>
        <w:ind w:left="270" w:right="0" w:firstLine="0"/>
        <w:jc w:val="both"/>
        <w:rPr>
          <w:b/>
          <w:sz w:val="18"/>
        </w:rPr>
      </w:pPr>
      <w:r>
        <w:rPr>
          <w:b/>
          <w:sz w:val="18"/>
        </w:rPr>
        <w:t>AM (Asymmetry multiplier) Asymmetry factor</w:t>
      </w:r>
    </w:p>
    <w:p>
      <w:pPr>
        <w:spacing w:before="0"/>
        <w:ind w:left="270" w:right="0" w:firstLine="0"/>
        <w:jc w:val="both"/>
        <w:rPr>
          <w:sz w:val="18"/>
        </w:rPr>
      </w:pPr>
      <w:r>
        <w:rPr/>
        <w:pict>
          <v:line style="position:absolute;mso-position-horizontal-relative:page;mso-position-vertical-relative:paragraph;z-index:-869296" from="116.639999pt,51.722038pt" to="116.639999pt,62.282038pt" stroked="true" strokeweight="3pt" strokecolor="#f4f4f4">
            <w10:wrap type="none"/>
          </v:line>
        </w:pict>
      </w:r>
      <w:r>
        <w:rPr>
          <w:sz w:val="18"/>
        </w:rPr>
        <w:t>Penalizes the uprisings that require twisting of the trunk. If the lifting of the load begins or ends its move outside the sagittal plane of the worker will be a asymmetric lifting. In general, asymmetric uprisings should be avoided. To calculate the asymmetry factor the following formula is used:</w:t>
      </w:r>
    </w:p>
    <w:p>
      <w:pPr>
        <w:spacing w:line="205" w:lineRule="exact" w:before="3"/>
        <w:ind w:left="441" w:right="0" w:firstLine="0"/>
        <w:jc w:val="left"/>
        <w:rPr>
          <w:b/>
          <w:sz w:val="18"/>
        </w:rPr>
      </w:pPr>
      <w:r>
        <w:rPr>
          <w:b/>
          <w:sz w:val="18"/>
        </w:rPr>
        <w:t>AM=1-(0,0032 A)</w:t>
      </w:r>
    </w:p>
    <w:p>
      <w:pPr>
        <w:spacing w:before="0"/>
        <w:ind w:left="270" w:right="0" w:firstLine="170"/>
        <w:jc w:val="both"/>
        <w:rPr>
          <w:sz w:val="18"/>
        </w:rPr>
      </w:pPr>
      <w:r>
        <w:rPr>
          <w:sz w:val="18"/>
        </w:rPr>
        <w:t>Where A is rotation angle (in sexagesimal degrees) to be measured as shown in Figure 3. AM takes the value 1 when there is asymmetry, and its value decreases with increasing angle of asymmetry. So it is considered:</w:t>
      </w:r>
    </w:p>
    <w:p>
      <w:pPr>
        <w:spacing w:line="205" w:lineRule="exact" w:before="4"/>
        <w:ind w:left="441" w:right="0" w:firstLine="0"/>
        <w:jc w:val="left"/>
        <w:rPr>
          <w:b/>
          <w:sz w:val="18"/>
        </w:rPr>
      </w:pPr>
      <w:r>
        <w:rPr>
          <w:b/>
          <w:sz w:val="18"/>
        </w:rPr>
        <w:t>If A &gt; 135°, AM is set to 0</w:t>
      </w:r>
    </w:p>
    <w:p>
      <w:pPr>
        <w:spacing w:line="240" w:lineRule="auto" w:before="0"/>
        <w:ind w:left="270" w:right="0" w:firstLine="170"/>
        <w:jc w:val="both"/>
        <w:rPr>
          <w:sz w:val="18"/>
        </w:rPr>
      </w:pPr>
      <w:r>
        <w:rPr>
          <w:sz w:val="18"/>
        </w:rPr>
        <w:t>If there is significant control of the load at the destination AM should be calculated with the value of A at the origin and the value of A at the destination.</w:t>
      </w:r>
    </w:p>
    <w:p>
      <w:pPr>
        <w:spacing w:line="205" w:lineRule="exact" w:before="4"/>
        <w:ind w:left="270" w:right="0" w:firstLine="0"/>
        <w:jc w:val="both"/>
        <w:rPr>
          <w:b/>
          <w:sz w:val="18"/>
        </w:rPr>
      </w:pPr>
      <w:r>
        <w:rPr>
          <w:b/>
          <w:sz w:val="18"/>
        </w:rPr>
        <w:t>FM (Frequency multiplier</w:t>
      </w:r>
      <w:r>
        <w:rPr>
          <w:b/>
          <w:sz w:val="18"/>
          <w:shd w:fill="F4F4F4" w:color="auto" w:val="clear"/>
        </w:rPr>
        <w:t>). </w:t>
      </w:r>
      <w:r>
        <w:rPr>
          <w:b/>
          <w:sz w:val="18"/>
        </w:rPr>
        <w:t>Frequency factor</w:t>
      </w:r>
    </w:p>
    <w:p>
      <w:pPr>
        <w:spacing w:line="240" w:lineRule="auto" w:before="0"/>
        <w:ind w:left="270" w:right="0" w:firstLine="0"/>
        <w:jc w:val="both"/>
        <w:rPr>
          <w:sz w:val="18"/>
        </w:rPr>
      </w:pPr>
      <w:r>
        <w:rPr>
          <w:sz w:val="18"/>
        </w:rPr>
        <w:t>Penalizes lifts made frequently for extended periods or no downtime. The frequency factor can be calculated from Table 2</w:t>
      </w:r>
    </w:p>
    <w:p>
      <w:pPr>
        <w:pStyle w:val="BodyText"/>
        <w:rPr>
          <w:sz w:val="18"/>
        </w:rPr>
      </w:pPr>
      <w:r>
        <w:rPr/>
        <w:br w:type="column"/>
      </w:r>
      <w:r>
        <w:rPr>
          <w:sz w:val="18"/>
        </w:rPr>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1"/>
        <w:rPr>
          <w:sz w:val="22"/>
        </w:rPr>
      </w:pPr>
    </w:p>
    <w:p>
      <w:pPr>
        <w:spacing w:before="0"/>
        <w:ind w:left="313" w:right="0" w:firstLine="0"/>
        <w:jc w:val="both"/>
        <w:rPr>
          <w:sz w:val="18"/>
        </w:rPr>
      </w:pPr>
      <w:r>
        <w:rPr>
          <w:sz w:val="18"/>
        </w:rPr>
        <w:t>Table 3. Calculating the duration of the task (Source. (Ergonautas.</w:t>
      </w:r>
    </w:p>
    <w:p>
      <w:pPr>
        <w:spacing w:before="0"/>
        <w:ind w:left="354" w:right="762" w:firstLine="0"/>
        <w:jc w:val="center"/>
        <w:rPr>
          <w:sz w:val="18"/>
        </w:rPr>
      </w:pPr>
      <w:r>
        <w:rPr>
          <w:sz w:val="18"/>
        </w:rPr>
        <w:t>Departamento de Proyectos de Ingeniería de la Universidad Politécnica de Valencia)</w:t>
      </w:r>
    </w:p>
    <w:p>
      <w:pPr>
        <w:pStyle w:val="BodyText"/>
        <w:rPr>
          <w:sz w:val="18"/>
        </w:rPr>
      </w:pPr>
    </w:p>
    <w:p>
      <w:pPr>
        <w:pStyle w:val="BodyText"/>
        <w:spacing w:before="4"/>
        <w:rPr>
          <w:sz w:val="18"/>
        </w:rPr>
      </w:pPr>
    </w:p>
    <w:p>
      <w:pPr>
        <w:spacing w:line="205" w:lineRule="exact" w:before="0"/>
        <w:ind w:left="270" w:right="0" w:firstLine="0"/>
        <w:jc w:val="both"/>
        <w:rPr>
          <w:b/>
          <w:sz w:val="18"/>
        </w:rPr>
      </w:pPr>
      <w:r>
        <w:rPr>
          <w:b/>
          <w:sz w:val="18"/>
        </w:rPr>
        <w:t>CM (Coupling multiplier). Grip Factor</w:t>
      </w:r>
    </w:p>
    <w:p>
      <w:pPr>
        <w:spacing w:line="240" w:lineRule="auto" w:before="0"/>
        <w:ind w:left="270" w:right="676" w:firstLine="0"/>
        <w:jc w:val="both"/>
        <w:rPr>
          <w:sz w:val="18"/>
        </w:rPr>
      </w:pPr>
      <w:r>
        <w:rPr>
          <w:sz w:val="18"/>
        </w:rPr>
        <w:t>This factor penalizes elevations when the gripping of the load is poor. Grip factor can be obtained in Table 3 from the type and height of the grip.</w:t>
      </w:r>
    </w:p>
    <w:p>
      <w:pPr>
        <w:spacing w:before="0"/>
        <w:ind w:left="556" w:right="916" w:firstLine="399"/>
        <w:jc w:val="left"/>
        <w:rPr>
          <w:sz w:val="18"/>
        </w:rPr>
      </w:pPr>
      <w:r>
        <w:rPr>
          <w:sz w:val="18"/>
        </w:rPr>
        <w:t>Table 4: Grip factor calculation.( Source. (Ergonautas. Departamento de Proyectos de Ingeniería de la Universidad</w:t>
      </w:r>
    </w:p>
    <w:p>
      <w:pPr>
        <w:spacing w:before="0"/>
        <w:ind w:left="354" w:right="759" w:firstLine="0"/>
        <w:jc w:val="center"/>
        <w:rPr>
          <w:sz w:val="18"/>
        </w:rPr>
      </w:pPr>
      <w:r>
        <w:rPr/>
        <w:pict>
          <v:shape style="position:absolute;margin-left:323.640015pt;margin-top:10.562331pt;width:243.8pt;height:71.4pt;mso-position-horizontal-relative:page;mso-position-vertical-relative:paragraph;z-index:9568"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15"/>
                    <w:gridCol w:w="1446"/>
                    <w:gridCol w:w="1500"/>
                  </w:tblGrid>
                  <w:tr>
                    <w:trPr>
                      <w:trHeight w:val="510" w:hRule="exact"/>
                    </w:trPr>
                    <w:tc>
                      <w:tcPr>
                        <w:tcW w:w="1915" w:type="dxa"/>
                        <w:vMerge w:val="restart"/>
                      </w:tcPr>
                      <w:p>
                        <w:pPr>
                          <w:pStyle w:val="TableParagraph"/>
                          <w:spacing w:before="5"/>
                          <w:rPr>
                            <w:sz w:val="23"/>
                          </w:rPr>
                        </w:pPr>
                      </w:p>
                      <w:p>
                        <w:pPr>
                          <w:pStyle w:val="TableParagraph"/>
                          <w:ind w:left="380"/>
                          <w:rPr>
                            <w:b/>
                            <w:sz w:val="18"/>
                          </w:rPr>
                        </w:pPr>
                        <w:r>
                          <w:rPr>
                            <w:b/>
                            <w:sz w:val="18"/>
                          </w:rPr>
                          <w:t>Gripping Type</w:t>
                        </w:r>
                      </w:p>
                    </w:tc>
                    <w:tc>
                      <w:tcPr>
                        <w:tcW w:w="2946" w:type="dxa"/>
                        <w:gridSpan w:val="2"/>
                      </w:tcPr>
                      <w:p>
                        <w:pPr>
                          <w:pStyle w:val="TableParagraph"/>
                          <w:spacing w:before="146"/>
                          <w:ind w:left="441"/>
                          <w:rPr>
                            <w:b/>
                            <w:sz w:val="18"/>
                          </w:rPr>
                        </w:pPr>
                        <w:r>
                          <w:rPr>
                            <w:b/>
                            <w:sz w:val="18"/>
                          </w:rPr>
                          <w:t>(CM) Grip Factor</w:t>
                        </w:r>
                      </w:p>
                    </w:tc>
                  </w:tr>
                  <w:tr>
                    <w:trPr>
                      <w:trHeight w:val="247" w:hRule="exact"/>
                    </w:trPr>
                    <w:tc>
                      <w:tcPr>
                        <w:tcW w:w="1915" w:type="dxa"/>
                        <w:vMerge/>
                      </w:tcPr>
                      <w:p>
                        <w:pPr/>
                      </w:p>
                    </w:tc>
                    <w:tc>
                      <w:tcPr>
                        <w:tcW w:w="1446" w:type="dxa"/>
                      </w:tcPr>
                      <w:p>
                        <w:pPr>
                          <w:pStyle w:val="TableParagraph"/>
                          <w:spacing w:before="14"/>
                          <w:ind w:left="422" w:right="555"/>
                          <w:jc w:val="center"/>
                          <w:rPr>
                            <w:b/>
                            <w:sz w:val="18"/>
                          </w:rPr>
                        </w:pPr>
                        <w:r>
                          <w:rPr>
                            <w:b/>
                            <w:sz w:val="18"/>
                          </w:rPr>
                          <w:t>v&lt; 75</w:t>
                        </w:r>
                      </w:p>
                    </w:tc>
                    <w:tc>
                      <w:tcPr>
                        <w:tcW w:w="1500" w:type="dxa"/>
                      </w:tcPr>
                      <w:p>
                        <w:pPr>
                          <w:pStyle w:val="TableParagraph"/>
                          <w:spacing w:before="14"/>
                          <w:ind w:left="440"/>
                          <w:rPr>
                            <w:b/>
                            <w:sz w:val="18"/>
                          </w:rPr>
                        </w:pPr>
                        <w:r>
                          <w:rPr>
                            <w:b/>
                            <w:sz w:val="18"/>
                          </w:rPr>
                          <w:t>v &gt;=75</w:t>
                        </w:r>
                      </w:p>
                    </w:tc>
                  </w:tr>
                  <w:tr>
                    <w:trPr>
                      <w:trHeight w:val="217" w:hRule="exact"/>
                    </w:trPr>
                    <w:tc>
                      <w:tcPr>
                        <w:tcW w:w="1915" w:type="dxa"/>
                      </w:tcPr>
                      <w:p>
                        <w:pPr>
                          <w:pStyle w:val="TableParagraph"/>
                          <w:spacing w:line="206" w:lineRule="exact"/>
                          <w:ind w:left="486"/>
                          <w:rPr>
                            <w:b/>
                            <w:sz w:val="18"/>
                          </w:rPr>
                        </w:pPr>
                        <w:r>
                          <w:rPr>
                            <w:b/>
                            <w:sz w:val="18"/>
                          </w:rPr>
                          <w:t>Good</w:t>
                        </w:r>
                      </w:p>
                    </w:tc>
                    <w:tc>
                      <w:tcPr>
                        <w:tcW w:w="1446" w:type="dxa"/>
                      </w:tcPr>
                      <w:p>
                        <w:pPr>
                          <w:pStyle w:val="TableParagraph"/>
                          <w:spacing w:line="206" w:lineRule="exact"/>
                          <w:ind w:left="409" w:right="555"/>
                          <w:jc w:val="center"/>
                          <w:rPr>
                            <w:b/>
                            <w:sz w:val="18"/>
                          </w:rPr>
                        </w:pPr>
                        <w:r>
                          <w:rPr>
                            <w:b/>
                            <w:sz w:val="18"/>
                          </w:rPr>
                          <w:t>1,00</w:t>
                        </w:r>
                      </w:p>
                    </w:tc>
                    <w:tc>
                      <w:tcPr>
                        <w:tcW w:w="1500" w:type="dxa"/>
                      </w:tcPr>
                      <w:p>
                        <w:pPr>
                          <w:pStyle w:val="TableParagraph"/>
                          <w:spacing w:line="206" w:lineRule="exact"/>
                          <w:ind w:left="484"/>
                          <w:rPr>
                            <w:b/>
                            <w:sz w:val="18"/>
                          </w:rPr>
                        </w:pPr>
                        <w:r>
                          <w:rPr>
                            <w:b/>
                            <w:sz w:val="18"/>
                          </w:rPr>
                          <w:t>1,00</w:t>
                        </w:r>
                      </w:p>
                    </w:tc>
                  </w:tr>
                  <w:tr>
                    <w:trPr>
                      <w:trHeight w:val="217" w:hRule="exact"/>
                    </w:trPr>
                    <w:tc>
                      <w:tcPr>
                        <w:tcW w:w="1915" w:type="dxa"/>
                      </w:tcPr>
                      <w:p>
                        <w:pPr>
                          <w:pStyle w:val="TableParagraph"/>
                          <w:spacing w:line="206" w:lineRule="exact"/>
                          <w:ind w:left="486"/>
                          <w:rPr>
                            <w:b/>
                            <w:sz w:val="18"/>
                          </w:rPr>
                        </w:pPr>
                        <w:r>
                          <w:rPr>
                            <w:b/>
                            <w:sz w:val="18"/>
                          </w:rPr>
                          <w:t>Regulate</w:t>
                        </w:r>
                      </w:p>
                    </w:tc>
                    <w:tc>
                      <w:tcPr>
                        <w:tcW w:w="1446" w:type="dxa"/>
                      </w:tcPr>
                      <w:p>
                        <w:pPr>
                          <w:pStyle w:val="TableParagraph"/>
                          <w:spacing w:line="206" w:lineRule="exact"/>
                          <w:ind w:left="409" w:right="555"/>
                          <w:jc w:val="center"/>
                          <w:rPr>
                            <w:b/>
                            <w:sz w:val="18"/>
                          </w:rPr>
                        </w:pPr>
                        <w:r>
                          <w:rPr>
                            <w:b/>
                            <w:sz w:val="18"/>
                          </w:rPr>
                          <w:t>0,95</w:t>
                        </w:r>
                      </w:p>
                    </w:tc>
                    <w:tc>
                      <w:tcPr>
                        <w:tcW w:w="1500" w:type="dxa"/>
                      </w:tcPr>
                      <w:p>
                        <w:pPr>
                          <w:pStyle w:val="TableParagraph"/>
                          <w:spacing w:line="206" w:lineRule="exact"/>
                          <w:ind w:left="484"/>
                          <w:rPr>
                            <w:b/>
                            <w:sz w:val="18"/>
                          </w:rPr>
                        </w:pPr>
                        <w:r>
                          <w:rPr>
                            <w:b/>
                            <w:sz w:val="18"/>
                          </w:rPr>
                          <w:t>1,00</w:t>
                        </w:r>
                      </w:p>
                    </w:tc>
                  </w:tr>
                  <w:tr>
                    <w:trPr>
                      <w:trHeight w:val="227" w:hRule="exact"/>
                    </w:trPr>
                    <w:tc>
                      <w:tcPr>
                        <w:tcW w:w="1915" w:type="dxa"/>
                      </w:tcPr>
                      <w:p>
                        <w:pPr>
                          <w:pStyle w:val="TableParagraph"/>
                          <w:spacing w:before="3"/>
                          <w:ind w:left="486"/>
                          <w:rPr>
                            <w:b/>
                            <w:sz w:val="18"/>
                          </w:rPr>
                        </w:pPr>
                        <w:r>
                          <w:rPr>
                            <w:b/>
                            <w:sz w:val="18"/>
                          </w:rPr>
                          <w:t>Bad</w:t>
                        </w:r>
                      </w:p>
                    </w:tc>
                    <w:tc>
                      <w:tcPr>
                        <w:tcW w:w="1446" w:type="dxa"/>
                      </w:tcPr>
                      <w:p>
                        <w:pPr>
                          <w:pStyle w:val="TableParagraph"/>
                          <w:spacing w:before="3"/>
                          <w:ind w:left="409" w:right="555"/>
                          <w:jc w:val="center"/>
                          <w:rPr>
                            <w:b/>
                            <w:sz w:val="18"/>
                          </w:rPr>
                        </w:pPr>
                        <w:r>
                          <w:rPr>
                            <w:b/>
                            <w:sz w:val="18"/>
                          </w:rPr>
                          <w:t>0,90</w:t>
                        </w:r>
                      </w:p>
                    </w:tc>
                    <w:tc>
                      <w:tcPr>
                        <w:tcW w:w="1500" w:type="dxa"/>
                      </w:tcPr>
                      <w:p>
                        <w:pPr>
                          <w:pStyle w:val="TableParagraph"/>
                          <w:spacing w:before="3"/>
                          <w:ind w:left="484"/>
                          <w:rPr>
                            <w:b/>
                            <w:sz w:val="18"/>
                          </w:rPr>
                        </w:pPr>
                        <w:r>
                          <w:rPr>
                            <w:b/>
                            <w:sz w:val="18"/>
                          </w:rPr>
                          <w:t>0,90</w:t>
                        </w:r>
                      </w:p>
                    </w:tc>
                  </w:tr>
                </w:tbl>
                <w:p>
                  <w:pPr>
                    <w:pStyle w:val="BodyText"/>
                  </w:pPr>
                </w:p>
              </w:txbxContent>
            </v:textbox>
            <w10:wrap type="none"/>
          </v:shape>
        </w:pict>
      </w:r>
      <w:r>
        <w:rPr>
          <w:sz w:val="18"/>
        </w:rPr>
        <w:t>Politécnica de Valencia)</w:t>
      </w:r>
    </w:p>
    <w:p>
      <w:pPr>
        <w:spacing w:after="0"/>
        <w:jc w:val="center"/>
        <w:rPr>
          <w:sz w:val="18"/>
        </w:rPr>
        <w:sectPr>
          <w:type w:val="continuous"/>
          <w:pgSz w:w="12240" w:h="15840"/>
          <w:pgMar w:top="1500" w:bottom="280" w:left="580" w:right="220"/>
          <w:cols w:num="2" w:equalWidth="0">
            <w:col w:w="5189" w:space="436"/>
            <w:col w:w="5815"/>
          </w:cols>
        </w:sectPr>
      </w:pPr>
    </w:p>
    <w:p>
      <w:pPr>
        <w:pStyle w:val="BodyText"/>
        <w:rPr>
          <w:sz w:val="11"/>
        </w:rPr>
      </w:pPr>
    </w:p>
    <w:p>
      <w:pPr>
        <w:spacing w:after="0"/>
        <w:rPr>
          <w:sz w:val="11"/>
        </w:rPr>
        <w:sectPr>
          <w:pgSz w:w="12240" w:h="15840"/>
          <w:pgMar w:header="545" w:footer="852" w:top="1060" w:bottom="1040" w:left="580" w:right="220"/>
        </w:sectPr>
      </w:pPr>
    </w:p>
    <w:p>
      <w:pPr>
        <w:spacing w:before="77"/>
        <w:ind w:left="270" w:right="1" w:firstLine="430"/>
        <w:jc w:val="both"/>
        <w:rPr>
          <w:sz w:val="18"/>
        </w:rPr>
      </w:pPr>
      <w:r>
        <w:rPr>
          <w:sz w:val="18"/>
        </w:rPr>
        <w:t>Good grips are those that are conducted with optimal design containers with handles or lugs, or those on objects without container that allow a good grip and the hands can be well accommodated around the object.</w:t>
      </w:r>
    </w:p>
    <w:p>
      <w:pPr>
        <w:spacing w:before="0"/>
        <w:ind w:left="270" w:right="0" w:firstLine="430"/>
        <w:jc w:val="both"/>
        <w:rPr>
          <w:sz w:val="18"/>
        </w:rPr>
      </w:pPr>
      <w:r>
        <w:rPr>
          <w:sz w:val="18"/>
        </w:rPr>
        <w:t>A regular grip is carried out on containers with handles or lugs not optimal for being inadequately sized, or made holding the object flexing the fingers</w:t>
      </w:r>
      <w:r>
        <w:rPr>
          <w:spacing w:val="-9"/>
          <w:sz w:val="18"/>
        </w:rPr>
        <w:t> </w:t>
      </w:r>
      <w:r>
        <w:rPr>
          <w:sz w:val="18"/>
        </w:rPr>
        <w:t>90º.</w:t>
      </w:r>
    </w:p>
    <w:p>
      <w:pPr>
        <w:spacing w:before="0"/>
        <w:ind w:left="270" w:right="1" w:firstLine="430"/>
        <w:jc w:val="both"/>
        <w:rPr>
          <w:sz w:val="18"/>
        </w:rPr>
      </w:pPr>
      <w:r>
        <w:rPr>
          <w:sz w:val="18"/>
        </w:rPr>
        <w:t>The poor grip is carried out on poorly designed containers, bulky items in bulk, or irregular edges, and performed without flexing the fingers holding the object pressing on its sides.</w:t>
      </w:r>
    </w:p>
    <w:p>
      <w:pPr>
        <w:spacing w:line="205" w:lineRule="exact" w:before="4"/>
        <w:ind w:left="270" w:right="0" w:firstLine="0"/>
        <w:jc w:val="left"/>
        <w:rPr>
          <w:b/>
          <w:sz w:val="18"/>
        </w:rPr>
      </w:pPr>
      <w:r>
        <w:rPr>
          <w:b/>
          <w:sz w:val="18"/>
        </w:rPr>
        <w:t>RULA METHOD (Rapid Upper Limb Assessment)</w:t>
      </w:r>
    </w:p>
    <w:p>
      <w:pPr>
        <w:spacing w:line="240" w:lineRule="auto" w:before="0"/>
        <w:ind w:left="270" w:right="1" w:firstLine="430"/>
        <w:jc w:val="both"/>
        <w:rPr>
          <w:sz w:val="18"/>
        </w:rPr>
      </w:pPr>
      <w:r>
        <w:rPr>
          <w:sz w:val="18"/>
        </w:rPr>
        <w:t>The Rula method was developed by McAtamney and Corlett at the University of Nottingham in 1993 (Institute for Occupational Ergonomics) to evaluate worker exposure to risk factors that can cause disorders in the upper limbs of the body, such as postures, repeatability movements, applied forces, and static activity of the musculoskeletal system.</w:t>
      </w:r>
    </w:p>
    <w:p>
      <w:pPr>
        <w:spacing w:before="0"/>
        <w:ind w:left="270" w:right="0" w:firstLine="430"/>
        <w:jc w:val="both"/>
        <w:rPr>
          <w:sz w:val="18"/>
        </w:rPr>
      </w:pPr>
      <w:r>
        <w:rPr>
          <w:sz w:val="18"/>
        </w:rPr>
        <w:t>According</w:t>
      </w:r>
      <w:r>
        <w:rPr>
          <w:b/>
          <w:sz w:val="18"/>
        </w:rPr>
        <w:t>Error! Reference source not found.</w:t>
      </w:r>
      <w:r>
        <w:rPr>
          <w:sz w:val="18"/>
        </w:rPr>
        <w:t>], RULA evaluates specific postures; it is important to evaluate those which involve a higher postural load. The application of the method  begins with the observation of the worker's activity during various cycles of work. As of this observation, it should select the most significant tasks and postures, either by their duration, or because they present, a priori, a greater postural</w:t>
      </w:r>
      <w:r>
        <w:rPr>
          <w:spacing w:val="-15"/>
          <w:sz w:val="18"/>
        </w:rPr>
        <w:t> </w:t>
      </w:r>
      <w:r>
        <w:rPr>
          <w:sz w:val="18"/>
        </w:rPr>
        <w:t>load.</w:t>
      </w:r>
    </w:p>
    <w:p>
      <w:pPr>
        <w:spacing w:before="0"/>
        <w:ind w:left="270" w:right="0" w:firstLine="430"/>
        <w:jc w:val="both"/>
        <w:rPr>
          <w:sz w:val="18"/>
        </w:rPr>
      </w:pPr>
      <w:r>
        <w:rPr>
          <w:sz w:val="18"/>
        </w:rPr>
        <w:t>The RULA divides the body into two groups: group A includes the upper limbs (arms, forearms and wrists) and, group B legs, trunk and neck. By means of tables associated to method, a score is assigned to each body part (legs, wrists, arms, trunk, etc.), according to these scores, assign global values to each of the groups</w:t>
      </w:r>
    </w:p>
    <w:p>
      <w:pPr>
        <w:pStyle w:val="BodyText"/>
        <w:rPr>
          <w:sz w:val="18"/>
        </w:rPr>
      </w:pPr>
      <w:r>
        <w:rPr/>
        <w:br w:type="column"/>
      </w:r>
      <w:r>
        <w:rPr>
          <w:sz w:val="18"/>
        </w:rPr>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spacing w:before="159"/>
        <w:ind w:left="270" w:right="-19" w:firstLine="0"/>
        <w:jc w:val="left"/>
        <w:rPr>
          <w:sz w:val="18"/>
        </w:rPr>
      </w:pPr>
      <w:r>
        <w:rPr>
          <w:sz w:val="18"/>
        </w:rPr>
        <w:t>Arm Score:</w:t>
      </w:r>
    </w:p>
    <w:p>
      <w:pPr>
        <w:pStyle w:val="BodyText"/>
        <w:rPr>
          <w:sz w:val="18"/>
        </w:rPr>
      </w:pPr>
      <w:r>
        <w:rPr/>
        <w:br w:type="column"/>
      </w:r>
      <w:r>
        <w:rPr>
          <w:sz w:val="18"/>
        </w:rPr>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spacing w:before="160"/>
        <w:ind w:left="563" w:right="1270" w:hanging="398"/>
        <w:jc w:val="left"/>
        <w:rPr>
          <w:sz w:val="18"/>
        </w:rPr>
      </w:pPr>
      <w:r>
        <w:rPr/>
        <w:drawing>
          <wp:anchor distT="0" distB="0" distL="0" distR="0" allowOverlap="1" layoutInCell="1" locked="0" behindDoc="1" simplePos="0" relativeHeight="267566231">
            <wp:simplePos x="0" y="0"/>
            <wp:positionH relativeFrom="page">
              <wp:posOffset>4412741</wp:posOffset>
            </wp:positionH>
            <wp:positionV relativeFrom="paragraph">
              <wp:posOffset>-3102583</wp:posOffset>
            </wp:positionV>
            <wp:extent cx="2760725" cy="3207257"/>
            <wp:effectExtent l="0" t="0" r="0" b="0"/>
            <wp:wrapNone/>
            <wp:docPr id="355" name="image213.jpeg" descr=""/>
            <wp:cNvGraphicFramePr>
              <a:graphicFrameLocks noChangeAspect="1"/>
            </wp:cNvGraphicFramePr>
            <a:graphic>
              <a:graphicData uri="http://schemas.openxmlformats.org/drawingml/2006/picture">
                <pic:pic>
                  <pic:nvPicPr>
                    <pic:cNvPr id="356" name="image213.jpeg"/>
                    <pic:cNvPicPr/>
                  </pic:nvPicPr>
                  <pic:blipFill>
                    <a:blip r:embed="rId349" cstate="print"/>
                    <a:stretch>
                      <a:fillRect/>
                    </a:stretch>
                  </pic:blipFill>
                  <pic:spPr>
                    <a:xfrm>
                      <a:off x="0" y="0"/>
                      <a:ext cx="2760725" cy="3207257"/>
                    </a:xfrm>
                    <a:prstGeom prst="rect">
                      <a:avLst/>
                    </a:prstGeom>
                  </pic:spPr>
                </pic:pic>
              </a:graphicData>
            </a:graphic>
          </wp:anchor>
        </w:drawing>
      </w:r>
      <w:r>
        <w:rPr>
          <w:sz w:val="18"/>
        </w:rPr>
        <w:t>Figure 5. Diagrams for the score of Group A (Fuente. Ergonomics Plus, 2011 )</w:t>
      </w:r>
    </w:p>
    <w:p>
      <w:pPr>
        <w:spacing w:after="0"/>
        <w:jc w:val="left"/>
        <w:rPr>
          <w:sz w:val="18"/>
        </w:rPr>
        <w:sectPr>
          <w:type w:val="continuous"/>
          <w:pgSz w:w="12240" w:h="15840"/>
          <w:pgMar w:top="1500" w:bottom="280" w:left="580" w:right="220"/>
          <w:cols w:num="3" w:equalWidth="0">
            <w:col w:w="5189" w:space="435"/>
            <w:col w:w="1106" w:space="40"/>
            <w:col w:w="4670"/>
          </w:cols>
        </w:sectPr>
      </w:pPr>
    </w:p>
    <w:p>
      <w:pPr>
        <w:spacing w:line="207" w:lineRule="exact" w:before="0"/>
        <w:ind w:left="270" w:right="0" w:firstLine="0"/>
        <w:jc w:val="left"/>
        <w:rPr>
          <w:sz w:val="18"/>
        </w:rPr>
      </w:pPr>
      <w:r>
        <w:rPr>
          <w:sz w:val="18"/>
        </w:rPr>
        <w:t>A and B.[ 13]</w:t>
      </w:r>
    </w:p>
    <w:p>
      <w:pPr>
        <w:spacing w:before="0"/>
        <w:ind w:left="270" w:right="0" w:firstLine="430"/>
        <w:jc w:val="both"/>
        <w:rPr>
          <w:sz w:val="18"/>
        </w:rPr>
      </w:pPr>
      <w:r>
        <w:rPr>
          <w:sz w:val="18"/>
        </w:rPr>
        <w:t>The key for assigning scores to the body parts is the measurement of the angles formed by the body parts of the  operator.</w:t>
      </w:r>
    </w:p>
    <w:p>
      <w:pPr>
        <w:spacing w:before="0"/>
        <w:ind w:left="270" w:right="0" w:firstLine="430"/>
        <w:jc w:val="both"/>
        <w:rPr>
          <w:sz w:val="18"/>
        </w:rPr>
      </w:pPr>
      <w:r>
        <w:rPr>
          <w:sz w:val="18"/>
        </w:rPr>
        <w:t>The final value provided by the RULA Method is  proportional to the risk involved in performing the task, so that higher values indicate a greater risk of skeletal muscle</w:t>
      </w:r>
      <w:r>
        <w:rPr>
          <w:spacing w:val="-23"/>
          <w:sz w:val="18"/>
        </w:rPr>
        <w:t> </w:t>
      </w:r>
      <w:r>
        <w:rPr>
          <w:sz w:val="18"/>
        </w:rPr>
        <w:t>injury.</w:t>
      </w:r>
    </w:p>
    <w:p>
      <w:pPr>
        <w:pStyle w:val="BodyText"/>
        <w:spacing w:before="3"/>
        <w:rPr>
          <w:sz w:val="18"/>
        </w:rPr>
      </w:pPr>
    </w:p>
    <w:p>
      <w:pPr>
        <w:spacing w:before="0"/>
        <w:ind w:left="270" w:right="0" w:firstLine="0"/>
        <w:jc w:val="left"/>
        <w:rPr>
          <w:b/>
          <w:sz w:val="18"/>
        </w:rPr>
      </w:pPr>
      <w:r>
        <w:rPr>
          <w:b/>
          <w:sz w:val="18"/>
        </w:rPr>
        <w:t>Group A: Score of the upper limbs.</w:t>
      </w:r>
    </w:p>
    <w:p>
      <w:pPr>
        <w:pStyle w:val="BodyText"/>
        <w:spacing w:before="7"/>
        <w:rPr>
          <w:b/>
          <w:sz w:val="17"/>
        </w:rPr>
      </w:pPr>
    </w:p>
    <w:p>
      <w:pPr>
        <w:spacing w:before="1"/>
        <w:ind w:left="270" w:right="1" w:firstLine="430"/>
        <w:jc w:val="both"/>
        <w:rPr>
          <w:sz w:val="18"/>
        </w:rPr>
      </w:pPr>
      <w:r>
        <w:rPr>
          <w:sz w:val="18"/>
        </w:rPr>
        <w:t>Figure 5 shows the diagrams for the score of Group A, consisting of the arm, forearm and wrist.</w:t>
      </w:r>
    </w:p>
    <w:p>
      <w:pPr>
        <w:spacing w:before="83"/>
        <w:ind w:left="270" w:right="683" w:firstLine="231"/>
        <w:jc w:val="left"/>
        <w:rPr>
          <w:sz w:val="18"/>
        </w:rPr>
      </w:pPr>
      <w:r>
        <w:rPr/>
        <w:br w:type="column"/>
      </w:r>
      <w:r>
        <w:rPr>
          <w:sz w:val="18"/>
        </w:rPr>
        <w:t>Table 5. Arm Score. (Source. (Ergonautas. Departamento de Proyectos de Ingeniería de la Universidad Politécnica de Valencia)</w:t>
      </w:r>
    </w:p>
    <w:p>
      <w:pPr>
        <w:spacing w:after="0"/>
        <w:jc w:val="left"/>
        <w:rPr>
          <w:sz w:val="18"/>
        </w:rPr>
        <w:sectPr>
          <w:type w:val="continuous"/>
          <w:pgSz w:w="12240" w:h="15840"/>
          <w:pgMar w:top="1500" w:bottom="280" w:left="580" w:right="220"/>
          <w:cols w:num="2" w:equalWidth="0">
            <w:col w:w="5189" w:space="459"/>
            <w:col w:w="5792"/>
          </w:cols>
        </w:sectPr>
      </w:pPr>
    </w:p>
    <w:p>
      <w:pPr>
        <w:pStyle w:val="BodyText"/>
      </w:pPr>
    </w:p>
    <w:p>
      <w:pPr>
        <w:pStyle w:val="BodyText"/>
      </w:pPr>
    </w:p>
    <w:p>
      <w:pPr>
        <w:pStyle w:val="BodyText"/>
        <w:spacing w:before="2"/>
        <w:rPr>
          <w:sz w:val="23"/>
        </w:rPr>
      </w:pPr>
    </w:p>
    <w:p>
      <w:pPr>
        <w:spacing w:before="77"/>
        <w:ind w:left="5895" w:right="676" w:firstLine="170"/>
        <w:jc w:val="both"/>
        <w:rPr>
          <w:sz w:val="18"/>
        </w:rPr>
      </w:pPr>
      <w:r>
        <w:rPr/>
        <w:pict>
          <v:shape style="position:absolute;margin-left:334.619995pt;margin-top:-125.027359pt;width:221.95pt;height:118.7pt;mso-position-horizontal-relative:page;mso-position-vertical-relative:paragraph;z-index:9616" type="#_x0000_t202" filled="false" stroked="false">
            <v:textbox inset="0,0,0,0">
              <w:txbxContent>
                <w:tbl>
                  <w:tblPr>
                    <w:tblW w:w="0" w:type="auto"/>
                    <w:jc w:val="lef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150"/>
                    <w:gridCol w:w="3260"/>
                  </w:tblGrid>
                  <w:tr>
                    <w:trPr>
                      <w:trHeight w:val="335" w:hRule="exact"/>
                    </w:trPr>
                    <w:tc>
                      <w:tcPr>
                        <w:tcW w:w="1150" w:type="dxa"/>
                      </w:tcPr>
                      <w:p>
                        <w:pPr>
                          <w:pStyle w:val="TableParagraph"/>
                          <w:spacing w:before="54"/>
                          <w:ind w:left="305" w:right="305"/>
                          <w:jc w:val="center"/>
                          <w:rPr>
                            <w:b/>
                            <w:sz w:val="18"/>
                          </w:rPr>
                        </w:pPr>
                        <w:r>
                          <w:rPr>
                            <w:b/>
                            <w:sz w:val="18"/>
                          </w:rPr>
                          <w:t>Points</w:t>
                        </w:r>
                      </w:p>
                    </w:tc>
                    <w:tc>
                      <w:tcPr>
                        <w:tcW w:w="3260" w:type="dxa"/>
                      </w:tcPr>
                      <w:p>
                        <w:pPr>
                          <w:pStyle w:val="TableParagraph"/>
                          <w:spacing w:before="54"/>
                          <w:ind w:left="1291" w:right="1290"/>
                          <w:jc w:val="center"/>
                          <w:rPr>
                            <w:b/>
                            <w:sz w:val="18"/>
                          </w:rPr>
                        </w:pPr>
                        <w:r>
                          <w:rPr>
                            <w:b/>
                            <w:sz w:val="18"/>
                          </w:rPr>
                          <w:t>Position</w:t>
                        </w:r>
                      </w:p>
                    </w:tc>
                  </w:tr>
                  <w:tr>
                    <w:trPr>
                      <w:trHeight w:val="588" w:hRule="exact"/>
                    </w:trPr>
                    <w:tc>
                      <w:tcPr>
                        <w:tcW w:w="1150" w:type="dxa"/>
                      </w:tcPr>
                      <w:p>
                        <w:pPr>
                          <w:pStyle w:val="TableParagraph"/>
                          <w:spacing w:before="3"/>
                          <w:rPr>
                            <w:sz w:val="15"/>
                          </w:rPr>
                        </w:pPr>
                      </w:p>
                      <w:p>
                        <w:pPr>
                          <w:pStyle w:val="TableParagraph"/>
                          <w:spacing w:before="1"/>
                          <w:ind w:right="1"/>
                          <w:jc w:val="center"/>
                          <w:rPr>
                            <w:sz w:val="18"/>
                          </w:rPr>
                        </w:pPr>
                        <w:r>
                          <w:rPr>
                            <w:sz w:val="18"/>
                          </w:rPr>
                          <w:t>1</w:t>
                        </w:r>
                      </w:p>
                    </w:tc>
                    <w:tc>
                      <w:tcPr>
                        <w:tcW w:w="3260" w:type="dxa"/>
                      </w:tcPr>
                      <w:p>
                        <w:pPr>
                          <w:pStyle w:val="TableParagraph"/>
                          <w:spacing w:line="203" w:lineRule="exact"/>
                          <w:ind w:left="59"/>
                          <w:rPr>
                            <w:sz w:val="18"/>
                          </w:rPr>
                        </w:pPr>
                        <w:r>
                          <w:rPr>
                            <w:sz w:val="18"/>
                          </w:rPr>
                          <w:t>From 20 ° of extension to 20 ° of flexion</w:t>
                        </w:r>
                      </w:p>
                    </w:tc>
                  </w:tr>
                  <w:tr>
                    <w:trPr>
                      <w:trHeight w:val="582" w:hRule="exact"/>
                    </w:trPr>
                    <w:tc>
                      <w:tcPr>
                        <w:tcW w:w="1150" w:type="dxa"/>
                      </w:tcPr>
                      <w:p>
                        <w:pPr>
                          <w:pStyle w:val="TableParagraph"/>
                          <w:spacing w:before="1"/>
                          <w:rPr>
                            <w:sz w:val="15"/>
                          </w:rPr>
                        </w:pPr>
                      </w:p>
                      <w:p>
                        <w:pPr>
                          <w:pStyle w:val="TableParagraph"/>
                          <w:ind w:right="1"/>
                          <w:jc w:val="center"/>
                          <w:rPr>
                            <w:sz w:val="18"/>
                          </w:rPr>
                        </w:pPr>
                        <w:r>
                          <w:rPr>
                            <w:sz w:val="18"/>
                          </w:rPr>
                          <w:t>2</w:t>
                        </w:r>
                      </w:p>
                    </w:tc>
                    <w:tc>
                      <w:tcPr>
                        <w:tcW w:w="3260" w:type="dxa"/>
                      </w:tcPr>
                      <w:p>
                        <w:pPr>
                          <w:pStyle w:val="TableParagraph"/>
                          <w:spacing w:line="203" w:lineRule="exact"/>
                          <w:ind w:left="59"/>
                          <w:rPr>
                            <w:sz w:val="18"/>
                          </w:rPr>
                        </w:pPr>
                        <w:r>
                          <w:rPr>
                            <w:sz w:val="18"/>
                          </w:rPr>
                          <w:t>Extension&gt; 20 ° or 20 ° flexion and  45 °</w:t>
                        </w:r>
                      </w:p>
                    </w:tc>
                  </w:tr>
                  <w:tr>
                    <w:trPr>
                      <w:trHeight w:val="515" w:hRule="exact"/>
                    </w:trPr>
                    <w:tc>
                      <w:tcPr>
                        <w:tcW w:w="1150" w:type="dxa"/>
                      </w:tcPr>
                      <w:p>
                        <w:pPr>
                          <w:pStyle w:val="TableParagraph"/>
                          <w:spacing w:before="140"/>
                          <w:ind w:right="1"/>
                          <w:jc w:val="center"/>
                          <w:rPr>
                            <w:sz w:val="18"/>
                          </w:rPr>
                        </w:pPr>
                        <w:r>
                          <w:rPr>
                            <w:sz w:val="18"/>
                          </w:rPr>
                          <w:t>3</w:t>
                        </w:r>
                      </w:p>
                    </w:tc>
                    <w:tc>
                      <w:tcPr>
                        <w:tcW w:w="3260" w:type="dxa"/>
                      </w:tcPr>
                      <w:p>
                        <w:pPr>
                          <w:pStyle w:val="TableParagraph"/>
                          <w:spacing w:line="203" w:lineRule="exact"/>
                          <w:ind w:left="59"/>
                          <w:rPr>
                            <w:sz w:val="18"/>
                          </w:rPr>
                        </w:pPr>
                        <w:r>
                          <w:rPr>
                            <w:sz w:val="18"/>
                          </w:rPr>
                          <w:t>Flexion between 45 ° and  90 °</w:t>
                        </w:r>
                      </w:p>
                    </w:tc>
                  </w:tr>
                  <w:tr>
                    <w:trPr>
                      <w:trHeight w:val="335" w:hRule="exact"/>
                    </w:trPr>
                    <w:tc>
                      <w:tcPr>
                        <w:tcW w:w="1150" w:type="dxa"/>
                      </w:tcPr>
                      <w:p>
                        <w:pPr>
                          <w:pStyle w:val="TableParagraph"/>
                          <w:spacing w:before="50"/>
                          <w:ind w:right="1"/>
                          <w:jc w:val="center"/>
                          <w:rPr>
                            <w:sz w:val="18"/>
                          </w:rPr>
                        </w:pPr>
                        <w:r>
                          <w:rPr>
                            <w:sz w:val="18"/>
                          </w:rPr>
                          <w:t>4</w:t>
                        </w:r>
                      </w:p>
                    </w:tc>
                    <w:tc>
                      <w:tcPr>
                        <w:tcW w:w="3260" w:type="dxa"/>
                      </w:tcPr>
                      <w:p>
                        <w:pPr>
                          <w:pStyle w:val="TableParagraph"/>
                          <w:spacing w:before="50"/>
                          <w:ind w:left="60"/>
                          <w:rPr>
                            <w:sz w:val="18"/>
                          </w:rPr>
                        </w:pPr>
                        <w:r>
                          <w:rPr>
                            <w:sz w:val="18"/>
                          </w:rPr>
                          <w:t>Flexion &gt;90°</w:t>
                        </w:r>
                      </w:p>
                    </w:tc>
                  </w:tr>
                </w:tbl>
                <w:p>
                  <w:pPr>
                    <w:pStyle w:val="BodyText"/>
                  </w:pPr>
                </w:p>
              </w:txbxContent>
            </v:textbox>
            <w10:wrap type="none"/>
          </v:shape>
        </w:pict>
      </w:r>
      <w:r>
        <w:rPr>
          <w:sz w:val="18"/>
        </w:rPr>
        <w:t>If the shoulder is raising the score is incremented by  1. If the  arm is abducted score is incremented by 1. If the operator is supported or weight of the arm is held then the score is reduced by 1.</w:t>
      </w:r>
    </w:p>
    <w:p>
      <w:pPr>
        <w:pStyle w:val="BodyText"/>
        <w:rPr>
          <w:sz w:val="18"/>
        </w:rPr>
      </w:pPr>
    </w:p>
    <w:p>
      <w:pPr>
        <w:spacing w:before="0"/>
        <w:ind w:left="5848" w:right="4041" w:firstLine="0"/>
        <w:jc w:val="center"/>
        <w:rPr>
          <w:sz w:val="18"/>
        </w:rPr>
      </w:pPr>
      <w:r>
        <w:rPr>
          <w:sz w:val="18"/>
        </w:rPr>
        <w:t>Forearm Score:</w:t>
      </w:r>
    </w:p>
    <w:p>
      <w:pPr>
        <w:pStyle w:val="BodyText"/>
        <w:rPr>
          <w:sz w:val="18"/>
        </w:rPr>
      </w:pPr>
    </w:p>
    <w:p>
      <w:pPr>
        <w:spacing w:before="0"/>
        <w:ind w:left="5919" w:right="700" w:firstLine="91"/>
        <w:jc w:val="both"/>
        <w:rPr>
          <w:sz w:val="18"/>
        </w:rPr>
      </w:pPr>
      <w:r>
        <w:rPr>
          <w:sz w:val="18"/>
        </w:rPr>
        <w:t>Table 6. Forearm Score. (Source. (Ergonautas. Departamento de Proyectos de Ingeniería de la Universidad Politécnica de Valencia)</w:t>
      </w:r>
    </w:p>
    <w:p>
      <w:pPr>
        <w:pStyle w:val="BodyText"/>
        <w:spacing w:before="7"/>
        <w:rPr>
          <w:sz w:val="27"/>
        </w:rPr>
      </w:pPr>
    </w:p>
    <w:tbl>
      <w:tblPr>
        <w:tblW w:w="0" w:type="auto"/>
        <w:jc w:val="left"/>
        <w:tblInd w:w="636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072"/>
        <w:gridCol w:w="2712"/>
      </w:tblGrid>
      <w:tr>
        <w:trPr>
          <w:trHeight w:val="352" w:hRule="exact"/>
        </w:trPr>
        <w:tc>
          <w:tcPr>
            <w:tcW w:w="1072" w:type="dxa"/>
          </w:tcPr>
          <w:p>
            <w:pPr>
              <w:pStyle w:val="TableParagraph"/>
              <w:spacing w:before="62"/>
              <w:ind w:left="265" w:right="266"/>
              <w:jc w:val="center"/>
              <w:rPr>
                <w:b/>
                <w:sz w:val="18"/>
              </w:rPr>
            </w:pPr>
            <w:r>
              <w:rPr>
                <w:b/>
                <w:sz w:val="18"/>
              </w:rPr>
              <w:t>Points</w:t>
            </w:r>
          </w:p>
        </w:tc>
        <w:tc>
          <w:tcPr>
            <w:tcW w:w="2712" w:type="dxa"/>
          </w:tcPr>
          <w:p>
            <w:pPr>
              <w:pStyle w:val="TableParagraph"/>
              <w:spacing w:before="62"/>
              <w:ind w:left="1017" w:right="1015"/>
              <w:jc w:val="center"/>
              <w:rPr>
                <w:b/>
                <w:sz w:val="18"/>
              </w:rPr>
            </w:pPr>
            <w:r>
              <w:rPr>
                <w:b/>
                <w:sz w:val="18"/>
              </w:rPr>
              <w:t>Position</w:t>
            </w:r>
          </w:p>
        </w:tc>
      </w:tr>
      <w:tr>
        <w:trPr>
          <w:trHeight w:val="239" w:hRule="exact"/>
        </w:trPr>
        <w:tc>
          <w:tcPr>
            <w:tcW w:w="1072" w:type="dxa"/>
          </w:tcPr>
          <w:p>
            <w:pPr>
              <w:pStyle w:val="TableParagraph"/>
              <w:spacing w:before="1"/>
              <w:jc w:val="center"/>
              <w:rPr>
                <w:sz w:val="18"/>
              </w:rPr>
            </w:pPr>
            <w:r>
              <w:rPr>
                <w:sz w:val="18"/>
              </w:rPr>
              <w:t>1</w:t>
            </w:r>
          </w:p>
        </w:tc>
        <w:tc>
          <w:tcPr>
            <w:tcW w:w="2712" w:type="dxa"/>
          </w:tcPr>
          <w:p>
            <w:pPr>
              <w:pStyle w:val="TableParagraph"/>
              <w:spacing w:line="203" w:lineRule="exact"/>
              <w:ind w:left="61"/>
              <w:rPr>
                <w:sz w:val="18"/>
              </w:rPr>
            </w:pPr>
            <w:r>
              <w:rPr>
                <w:sz w:val="18"/>
              </w:rPr>
              <w:t>Flexion between 60 ° and 100 °</w:t>
            </w:r>
          </w:p>
        </w:tc>
      </w:tr>
      <w:tr>
        <w:trPr>
          <w:trHeight w:val="226" w:hRule="exact"/>
        </w:trPr>
        <w:tc>
          <w:tcPr>
            <w:tcW w:w="1072" w:type="dxa"/>
          </w:tcPr>
          <w:p>
            <w:pPr>
              <w:pStyle w:val="TableParagraph"/>
              <w:spacing w:line="202" w:lineRule="exact"/>
              <w:jc w:val="center"/>
              <w:rPr>
                <w:sz w:val="18"/>
              </w:rPr>
            </w:pPr>
            <w:r>
              <w:rPr>
                <w:sz w:val="18"/>
              </w:rPr>
              <w:t>2</w:t>
            </w:r>
          </w:p>
        </w:tc>
        <w:tc>
          <w:tcPr>
            <w:tcW w:w="2712" w:type="dxa"/>
          </w:tcPr>
          <w:p>
            <w:pPr>
              <w:pStyle w:val="TableParagraph"/>
              <w:spacing w:line="202" w:lineRule="exact"/>
              <w:ind w:left="61"/>
              <w:rPr>
                <w:sz w:val="18"/>
              </w:rPr>
            </w:pPr>
            <w:r>
              <w:rPr>
                <w:sz w:val="18"/>
              </w:rPr>
              <w:t>Flexion &lt;60 ° or&gt; 100 °</w:t>
            </w:r>
          </w:p>
        </w:tc>
      </w:tr>
    </w:tbl>
    <w:p>
      <w:pPr>
        <w:spacing w:before="90"/>
        <w:ind w:left="5895" w:right="677" w:firstLine="170"/>
        <w:jc w:val="both"/>
        <w:rPr>
          <w:sz w:val="18"/>
        </w:rPr>
      </w:pPr>
      <w:r>
        <w:rPr>
          <w:sz w:val="18"/>
        </w:rPr>
        <w:t>If the forearm is working across the midline of the body or out of the side of the trunk then the score of posture is incremented to 1.</w:t>
      </w:r>
    </w:p>
    <w:p>
      <w:pPr>
        <w:pStyle w:val="BodyText"/>
        <w:rPr>
          <w:sz w:val="18"/>
        </w:rPr>
      </w:pPr>
    </w:p>
    <w:p>
      <w:pPr>
        <w:spacing w:before="0"/>
        <w:ind w:left="5638" w:right="4041" w:firstLine="0"/>
        <w:jc w:val="center"/>
        <w:rPr>
          <w:sz w:val="18"/>
        </w:rPr>
      </w:pPr>
      <w:r>
        <w:rPr>
          <w:sz w:val="18"/>
        </w:rPr>
        <w:t>Wrist Score:</w:t>
      </w:r>
    </w:p>
    <w:p>
      <w:pPr>
        <w:spacing w:after="0"/>
        <w:jc w:val="center"/>
        <w:rPr>
          <w:sz w:val="18"/>
        </w:rPr>
        <w:sectPr>
          <w:type w:val="continuous"/>
          <w:pgSz w:w="12240" w:h="15840"/>
          <w:pgMar w:top="1500" w:bottom="280" w:left="580" w:right="220"/>
        </w:sectPr>
      </w:pPr>
    </w:p>
    <w:p>
      <w:pPr>
        <w:pStyle w:val="BodyText"/>
        <w:rPr>
          <w:sz w:val="11"/>
        </w:rPr>
      </w:pPr>
    </w:p>
    <w:p>
      <w:pPr>
        <w:spacing w:before="77"/>
        <w:ind w:left="320" w:right="6265" w:firstLine="411"/>
        <w:jc w:val="left"/>
        <w:rPr>
          <w:sz w:val="18"/>
        </w:rPr>
      </w:pPr>
      <w:r>
        <w:rPr/>
        <w:pict>
          <v:shape style="position:absolute;margin-left:350.940002pt;margin-top:3.612344pt;width:191.95pt;height:50.65pt;mso-position-horizontal-relative:page;mso-position-vertical-relative:paragraph;z-index:966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75"/>
                    <w:gridCol w:w="3035"/>
                  </w:tblGrid>
                  <w:tr>
                    <w:trPr>
                      <w:trHeight w:val="324" w:hRule="exact"/>
                    </w:trPr>
                    <w:tc>
                      <w:tcPr>
                        <w:tcW w:w="775" w:type="dxa"/>
                        <w:tcBorders>
                          <w:left w:val="single" w:sz="8" w:space="0" w:color="000000"/>
                          <w:bottom w:val="single" w:sz="8" w:space="0" w:color="000000"/>
                          <w:right w:val="single" w:sz="8" w:space="0" w:color="000000"/>
                        </w:tcBorders>
                      </w:tcPr>
                      <w:p>
                        <w:pPr>
                          <w:pStyle w:val="TableParagraph"/>
                          <w:spacing w:before="49"/>
                          <w:ind w:left="332"/>
                          <w:rPr>
                            <w:sz w:val="18"/>
                          </w:rPr>
                        </w:pPr>
                        <w:r>
                          <w:rPr>
                            <w:sz w:val="18"/>
                          </w:rPr>
                          <w:t>2</w:t>
                        </w:r>
                      </w:p>
                    </w:tc>
                    <w:tc>
                      <w:tcPr>
                        <w:tcW w:w="3035" w:type="dxa"/>
                        <w:tcBorders>
                          <w:left w:val="single" w:sz="8" w:space="0" w:color="000000"/>
                          <w:bottom w:val="single" w:sz="8" w:space="0" w:color="000000"/>
                          <w:right w:val="single" w:sz="8" w:space="0" w:color="000000"/>
                        </w:tcBorders>
                      </w:tcPr>
                      <w:p>
                        <w:pPr>
                          <w:pStyle w:val="TableParagraph"/>
                          <w:spacing w:line="202" w:lineRule="exact"/>
                          <w:ind w:left="59"/>
                          <w:rPr>
                            <w:sz w:val="18"/>
                          </w:rPr>
                        </w:pPr>
                        <w:r>
                          <w:rPr>
                            <w:sz w:val="18"/>
                          </w:rPr>
                          <w:t>If it is bent between 0 and 20</w:t>
                        </w:r>
                      </w:p>
                    </w:tc>
                  </w:tr>
                  <w:tr>
                    <w:trPr>
                      <w:trHeight w:val="335" w:hRule="exact"/>
                    </w:trPr>
                    <w:tc>
                      <w:tcPr>
                        <w:tcW w:w="775" w:type="dxa"/>
                        <w:tcBorders>
                          <w:top w:val="single" w:sz="8" w:space="0" w:color="000000"/>
                          <w:left w:val="single" w:sz="8" w:space="0" w:color="000000"/>
                          <w:bottom w:val="single" w:sz="8" w:space="0" w:color="000000"/>
                          <w:right w:val="single" w:sz="8" w:space="0" w:color="000000"/>
                        </w:tcBorders>
                      </w:tcPr>
                      <w:p>
                        <w:pPr>
                          <w:pStyle w:val="TableParagraph"/>
                          <w:spacing w:before="50"/>
                          <w:ind w:left="332"/>
                          <w:rPr>
                            <w:sz w:val="18"/>
                          </w:rPr>
                        </w:pPr>
                        <w:r>
                          <w:rPr>
                            <w:sz w:val="18"/>
                          </w:rPr>
                          <w:t>3</w:t>
                        </w:r>
                      </w:p>
                    </w:tc>
                    <w:tc>
                      <w:tcPr>
                        <w:tcW w:w="3035" w:type="dxa"/>
                        <w:tcBorders>
                          <w:top w:val="single" w:sz="8" w:space="0" w:color="000000"/>
                          <w:left w:val="single" w:sz="8" w:space="0" w:color="000000"/>
                          <w:bottom w:val="single" w:sz="8" w:space="0" w:color="000000"/>
                          <w:right w:val="single" w:sz="8" w:space="0" w:color="000000"/>
                        </w:tcBorders>
                      </w:tcPr>
                      <w:p>
                        <w:pPr>
                          <w:pStyle w:val="TableParagraph"/>
                          <w:spacing w:line="203" w:lineRule="exact"/>
                          <w:ind w:left="59"/>
                          <w:rPr>
                            <w:sz w:val="18"/>
                          </w:rPr>
                        </w:pPr>
                        <w:r>
                          <w:rPr>
                            <w:sz w:val="18"/>
                          </w:rPr>
                          <w:t>If you are flexed between 20 ° and 60 °.</w:t>
                        </w:r>
                      </w:p>
                    </w:tc>
                  </w:tr>
                  <w:tr>
                    <w:trPr>
                      <w:trHeight w:val="335" w:hRule="exact"/>
                    </w:trPr>
                    <w:tc>
                      <w:tcPr>
                        <w:tcW w:w="775" w:type="dxa"/>
                        <w:tcBorders>
                          <w:top w:val="single" w:sz="8" w:space="0" w:color="000000"/>
                          <w:left w:val="single" w:sz="8" w:space="0" w:color="000000"/>
                          <w:bottom w:val="single" w:sz="8" w:space="0" w:color="000000"/>
                          <w:right w:val="single" w:sz="8" w:space="0" w:color="000000"/>
                        </w:tcBorders>
                      </w:tcPr>
                      <w:p>
                        <w:pPr>
                          <w:pStyle w:val="TableParagraph"/>
                          <w:spacing w:before="50"/>
                          <w:ind w:left="332"/>
                          <w:rPr>
                            <w:sz w:val="18"/>
                          </w:rPr>
                        </w:pPr>
                        <w:r>
                          <w:rPr>
                            <w:sz w:val="18"/>
                          </w:rPr>
                          <w:t>4</w:t>
                        </w:r>
                      </w:p>
                    </w:tc>
                    <w:tc>
                      <w:tcPr>
                        <w:tcW w:w="3035" w:type="dxa"/>
                        <w:tcBorders>
                          <w:top w:val="single" w:sz="8" w:space="0" w:color="000000"/>
                          <w:left w:val="single" w:sz="8" w:space="0" w:color="000000"/>
                          <w:bottom w:val="single" w:sz="8" w:space="0" w:color="000000"/>
                          <w:right w:val="single" w:sz="8" w:space="0" w:color="000000"/>
                        </w:tcBorders>
                      </w:tcPr>
                      <w:p>
                        <w:pPr>
                          <w:pStyle w:val="TableParagraph"/>
                          <w:spacing w:line="203" w:lineRule="exact"/>
                          <w:ind w:left="59"/>
                          <w:rPr>
                            <w:sz w:val="18"/>
                          </w:rPr>
                        </w:pPr>
                        <w:r>
                          <w:rPr>
                            <w:sz w:val="18"/>
                          </w:rPr>
                          <w:t>If it is bent more than 60 degrees.</w:t>
                        </w:r>
                      </w:p>
                    </w:tc>
                  </w:tr>
                </w:tbl>
                <w:p>
                  <w:pPr>
                    <w:pStyle w:val="BodyText"/>
                  </w:pPr>
                </w:p>
              </w:txbxContent>
            </v:textbox>
            <w10:wrap type="none"/>
          </v:shape>
        </w:pict>
      </w:r>
      <w:r>
        <w:rPr>
          <w:sz w:val="18"/>
        </w:rPr>
        <w:t>Table 7. Wrist Score. (Source. (Ergonautas. Departamento de Proyectos de Ingeniería de la Universidad Politécnica de Valencia)</w:t>
      </w:r>
    </w:p>
    <w:p>
      <w:pPr>
        <w:pStyle w:val="BodyText"/>
      </w:pPr>
    </w:p>
    <w:p>
      <w:pPr>
        <w:pStyle w:val="BodyText"/>
      </w:pPr>
    </w:p>
    <w:p>
      <w:pPr>
        <w:pStyle w:val="BodyText"/>
        <w:spacing w:before="8"/>
        <w:rPr>
          <w:sz w:val="22"/>
        </w:rPr>
      </w:pPr>
    </w:p>
    <w:p>
      <w:pPr>
        <w:spacing w:before="77"/>
        <w:ind w:left="5895" w:right="676" w:firstLine="0"/>
        <w:jc w:val="left"/>
        <w:rPr>
          <w:sz w:val="18"/>
        </w:rPr>
      </w:pPr>
      <w:r>
        <w:rPr/>
        <w:pict>
          <v:shape style="position:absolute;margin-left:51.18pt;margin-top:-25.487291pt;width:229pt;height:70.8pt;mso-position-horizontal-relative:page;mso-position-vertical-relative:paragraph;z-index:9688" type="#_x0000_t202" filled="false" stroked="false">
            <v:textbox inset="0,0,0,0">
              <w:txbxContent>
                <w:tbl>
                  <w:tblPr>
                    <w:tblW w:w="0" w:type="auto"/>
                    <w:jc w:val="lef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008"/>
                    <w:gridCol w:w="3542"/>
                  </w:tblGrid>
                  <w:tr>
                    <w:trPr>
                      <w:trHeight w:val="335" w:hRule="exact"/>
                    </w:trPr>
                    <w:tc>
                      <w:tcPr>
                        <w:tcW w:w="1008" w:type="dxa"/>
                      </w:tcPr>
                      <w:p>
                        <w:pPr>
                          <w:pStyle w:val="TableParagraph"/>
                          <w:spacing w:before="54"/>
                          <w:ind w:left="234" w:right="234"/>
                          <w:jc w:val="center"/>
                          <w:rPr>
                            <w:b/>
                            <w:sz w:val="18"/>
                          </w:rPr>
                        </w:pPr>
                        <w:r>
                          <w:rPr>
                            <w:b/>
                            <w:sz w:val="18"/>
                          </w:rPr>
                          <w:t>Points</w:t>
                        </w:r>
                      </w:p>
                    </w:tc>
                    <w:tc>
                      <w:tcPr>
                        <w:tcW w:w="3542" w:type="dxa"/>
                      </w:tcPr>
                      <w:p>
                        <w:pPr>
                          <w:pStyle w:val="TableParagraph"/>
                          <w:spacing w:before="54"/>
                          <w:ind w:left="1431" w:right="1431"/>
                          <w:jc w:val="center"/>
                          <w:rPr>
                            <w:b/>
                            <w:sz w:val="18"/>
                          </w:rPr>
                        </w:pPr>
                        <w:r>
                          <w:rPr>
                            <w:b/>
                            <w:sz w:val="18"/>
                          </w:rPr>
                          <w:t>Position</w:t>
                        </w:r>
                      </w:p>
                    </w:tc>
                  </w:tr>
                  <w:tr>
                    <w:trPr>
                      <w:trHeight w:val="359" w:hRule="exact"/>
                    </w:trPr>
                    <w:tc>
                      <w:tcPr>
                        <w:tcW w:w="1008" w:type="dxa"/>
                      </w:tcPr>
                      <w:p>
                        <w:pPr>
                          <w:pStyle w:val="TableParagraph"/>
                          <w:spacing w:before="62"/>
                          <w:ind w:right="1"/>
                          <w:jc w:val="center"/>
                          <w:rPr>
                            <w:sz w:val="18"/>
                          </w:rPr>
                        </w:pPr>
                        <w:r>
                          <w:rPr>
                            <w:sz w:val="18"/>
                          </w:rPr>
                          <w:t>1</w:t>
                        </w:r>
                      </w:p>
                    </w:tc>
                    <w:tc>
                      <w:tcPr>
                        <w:tcW w:w="3542" w:type="dxa"/>
                      </w:tcPr>
                      <w:p>
                        <w:pPr>
                          <w:pStyle w:val="TableParagraph"/>
                          <w:spacing w:line="203" w:lineRule="exact"/>
                          <w:ind w:left="59" w:right="219"/>
                          <w:rPr>
                            <w:sz w:val="18"/>
                          </w:rPr>
                        </w:pPr>
                        <w:r>
                          <w:rPr>
                            <w:sz w:val="18"/>
                          </w:rPr>
                          <w:t>If it is in neutral with respect to bending.</w:t>
                        </w:r>
                      </w:p>
                    </w:tc>
                  </w:tr>
                  <w:tr>
                    <w:trPr>
                      <w:trHeight w:val="434" w:hRule="exact"/>
                    </w:trPr>
                    <w:tc>
                      <w:tcPr>
                        <w:tcW w:w="1008" w:type="dxa"/>
                      </w:tcPr>
                      <w:p>
                        <w:pPr>
                          <w:pStyle w:val="TableParagraph"/>
                          <w:spacing w:before="99"/>
                          <w:ind w:right="1"/>
                          <w:jc w:val="center"/>
                          <w:rPr>
                            <w:sz w:val="18"/>
                          </w:rPr>
                        </w:pPr>
                        <w:r>
                          <w:rPr>
                            <w:sz w:val="18"/>
                          </w:rPr>
                          <w:t>2</w:t>
                        </w:r>
                      </w:p>
                    </w:tc>
                    <w:tc>
                      <w:tcPr>
                        <w:tcW w:w="3542" w:type="dxa"/>
                      </w:tcPr>
                      <w:p>
                        <w:pPr>
                          <w:pStyle w:val="TableParagraph"/>
                          <w:ind w:left="59" w:right="219"/>
                          <w:rPr>
                            <w:sz w:val="18"/>
                          </w:rPr>
                        </w:pPr>
                        <w:r>
                          <w:rPr>
                            <w:sz w:val="18"/>
                          </w:rPr>
                          <w:t>If you are flexed or extended between 0º and 15º.</w:t>
                        </w:r>
                      </w:p>
                    </w:tc>
                  </w:tr>
                  <w:tr>
                    <w:trPr>
                      <w:trHeight w:val="269" w:hRule="exact"/>
                    </w:trPr>
                    <w:tc>
                      <w:tcPr>
                        <w:tcW w:w="1008" w:type="dxa"/>
                      </w:tcPr>
                      <w:p>
                        <w:pPr>
                          <w:pStyle w:val="TableParagraph"/>
                          <w:spacing w:before="16"/>
                          <w:ind w:right="1"/>
                          <w:jc w:val="center"/>
                          <w:rPr>
                            <w:sz w:val="18"/>
                          </w:rPr>
                        </w:pPr>
                        <w:r>
                          <w:rPr>
                            <w:sz w:val="18"/>
                          </w:rPr>
                          <w:t>3</w:t>
                        </w:r>
                      </w:p>
                    </w:tc>
                    <w:tc>
                      <w:tcPr>
                        <w:tcW w:w="3542" w:type="dxa"/>
                      </w:tcPr>
                      <w:p>
                        <w:pPr>
                          <w:pStyle w:val="TableParagraph"/>
                          <w:spacing w:line="203" w:lineRule="exact"/>
                          <w:ind w:left="59" w:right="219"/>
                          <w:rPr>
                            <w:sz w:val="18"/>
                          </w:rPr>
                        </w:pPr>
                        <w:r>
                          <w:rPr>
                            <w:sz w:val="18"/>
                          </w:rPr>
                          <w:t>For bending or greater extension of 15 °.</w:t>
                        </w:r>
                      </w:p>
                    </w:tc>
                  </w:tr>
                </w:tbl>
                <w:p>
                  <w:pPr>
                    <w:pStyle w:val="BodyText"/>
                  </w:pPr>
                </w:p>
              </w:txbxContent>
            </v:textbox>
            <w10:wrap type="none"/>
          </v:shape>
        </w:pict>
      </w:r>
      <w:r>
        <w:rPr>
          <w:sz w:val="18"/>
        </w:rPr>
        <w:t>If the trunk is rotated, posture score increases by 1. If the trunk is inclined to one side (lateral inclination) the score is incremented by 1.</w:t>
      </w:r>
    </w:p>
    <w:p>
      <w:pPr>
        <w:pStyle w:val="BodyText"/>
        <w:spacing w:before="3"/>
        <w:rPr>
          <w:sz w:val="11"/>
        </w:rPr>
      </w:pPr>
    </w:p>
    <w:p>
      <w:pPr>
        <w:spacing w:after="0"/>
        <w:rPr>
          <w:sz w:val="11"/>
        </w:rPr>
        <w:sectPr>
          <w:pgSz w:w="12240" w:h="15840"/>
          <w:pgMar w:header="545" w:footer="852" w:top="1060" w:bottom="1040" w:left="580" w:right="220"/>
        </w:sectPr>
      </w:pPr>
    </w:p>
    <w:p>
      <w:pPr>
        <w:pStyle w:val="BodyText"/>
        <w:spacing w:before="5"/>
        <w:rPr>
          <w:sz w:val="24"/>
        </w:rPr>
      </w:pPr>
    </w:p>
    <w:p>
      <w:pPr>
        <w:spacing w:before="0"/>
        <w:ind w:left="270" w:right="0" w:firstLine="170"/>
        <w:jc w:val="left"/>
        <w:rPr>
          <w:sz w:val="18"/>
        </w:rPr>
      </w:pPr>
      <w:r>
        <w:rPr>
          <w:sz w:val="18"/>
        </w:rPr>
        <w:t>If the wrist is in radical or ulnar deviation, then the posture score is increased to 1.</w:t>
      </w:r>
    </w:p>
    <w:p>
      <w:pPr>
        <w:spacing w:line="205" w:lineRule="exact" w:before="3"/>
        <w:ind w:left="441" w:right="0" w:firstLine="0"/>
        <w:jc w:val="left"/>
        <w:rPr>
          <w:b/>
          <w:sz w:val="18"/>
        </w:rPr>
      </w:pPr>
      <w:r>
        <w:rPr>
          <w:b/>
          <w:sz w:val="18"/>
        </w:rPr>
        <w:t>Group B: Score for legs, trunk and neck.</w:t>
      </w:r>
    </w:p>
    <w:p>
      <w:pPr>
        <w:spacing w:before="0"/>
        <w:ind w:left="270" w:right="0" w:firstLine="0"/>
        <w:jc w:val="left"/>
        <w:rPr>
          <w:sz w:val="18"/>
        </w:rPr>
      </w:pPr>
      <w:r>
        <w:rPr>
          <w:sz w:val="18"/>
        </w:rPr>
        <w:t>Figure 6 shows the diagrams for the score of the group's position B, formed by the neck, trunk and legs.</w:t>
      </w:r>
    </w:p>
    <w:p>
      <w:pPr>
        <w:pStyle w:val="BodyText"/>
        <w:rPr>
          <w:sz w:val="15"/>
        </w:rPr>
      </w:pPr>
      <w:r>
        <w:rPr/>
        <w:drawing>
          <wp:anchor distT="0" distB="0" distL="0" distR="0" allowOverlap="1" layoutInCell="1" locked="0" behindDoc="0" simplePos="0" relativeHeight="9640">
            <wp:simplePos x="0" y="0"/>
            <wp:positionH relativeFrom="page">
              <wp:posOffset>845058</wp:posOffset>
            </wp:positionH>
            <wp:positionV relativeFrom="paragraph">
              <wp:posOffset>134530</wp:posOffset>
            </wp:positionV>
            <wp:extent cx="2509380" cy="2457640"/>
            <wp:effectExtent l="0" t="0" r="0" b="0"/>
            <wp:wrapTopAndBottom/>
            <wp:docPr id="357" name="image214.jpeg" descr=""/>
            <wp:cNvGraphicFramePr>
              <a:graphicFrameLocks noChangeAspect="1"/>
            </wp:cNvGraphicFramePr>
            <a:graphic>
              <a:graphicData uri="http://schemas.openxmlformats.org/drawingml/2006/picture">
                <pic:pic>
                  <pic:nvPicPr>
                    <pic:cNvPr id="358" name="image214.jpeg"/>
                    <pic:cNvPicPr/>
                  </pic:nvPicPr>
                  <pic:blipFill>
                    <a:blip r:embed="rId350" cstate="print"/>
                    <a:stretch>
                      <a:fillRect/>
                    </a:stretch>
                  </pic:blipFill>
                  <pic:spPr>
                    <a:xfrm>
                      <a:off x="0" y="0"/>
                      <a:ext cx="2509380" cy="2457640"/>
                    </a:xfrm>
                    <a:prstGeom prst="rect">
                      <a:avLst/>
                    </a:prstGeom>
                  </pic:spPr>
                </pic:pic>
              </a:graphicData>
            </a:graphic>
          </wp:anchor>
        </w:drawing>
      </w:r>
    </w:p>
    <w:p>
      <w:pPr>
        <w:spacing w:before="0"/>
        <w:ind w:left="1513" w:right="199" w:hanging="598"/>
        <w:jc w:val="left"/>
        <w:rPr>
          <w:sz w:val="18"/>
        </w:rPr>
      </w:pPr>
      <w:r>
        <w:rPr>
          <w:sz w:val="18"/>
        </w:rPr>
        <w:t>Figure 6. Diagrams for the score of the group position B (Source. Ergonomics Plus, 2011 )</w:t>
      </w:r>
    </w:p>
    <w:p>
      <w:pPr>
        <w:pStyle w:val="BodyText"/>
        <w:rPr>
          <w:sz w:val="18"/>
        </w:rPr>
      </w:pPr>
    </w:p>
    <w:p>
      <w:pPr>
        <w:spacing w:before="0"/>
        <w:ind w:left="701" w:right="0" w:firstLine="0"/>
        <w:jc w:val="left"/>
        <w:rPr>
          <w:sz w:val="18"/>
        </w:rPr>
      </w:pPr>
      <w:r>
        <w:rPr>
          <w:sz w:val="18"/>
        </w:rPr>
        <w:t>Neck Score:</w:t>
      </w:r>
    </w:p>
    <w:p>
      <w:pPr>
        <w:pStyle w:val="BodyText"/>
        <w:rPr>
          <w:sz w:val="18"/>
        </w:rPr>
      </w:pPr>
    </w:p>
    <w:p>
      <w:pPr>
        <w:spacing w:before="0"/>
        <w:ind w:left="320" w:right="30" w:firstLine="259"/>
        <w:jc w:val="left"/>
        <w:rPr>
          <w:sz w:val="18"/>
        </w:rPr>
      </w:pPr>
      <w:r>
        <w:rPr>
          <w:sz w:val="18"/>
        </w:rPr>
        <w:t>Table 8. Neck Score.Source. (Ergonautas. Departamento de Proyectos de Ingeniería de la Universidad Politécnica de Valencia)</w:t>
      </w:r>
    </w:p>
    <w:p>
      <w:pPr>
        <w:spacing w:before="77"/>
        <w:ind w:left="441" w:right="852" w:firstLine="0"/>
        <w:jc w:val="left"/>
        <w:rPr>
          <w:sz w:val="18"/>
        </w:rPr>
      </w:pPr>
      <w:r>
        <w:rPr/>
        <w:br w:type="column"/>
      </w:r>
      <w:r>
        <w:rPr>
          <w:sz w:val="18"/>
        </w:rPr>
        <w:t>Legs Score:</w:t>
      </w:r>
    </w:p>
    <w:p>
      <w:pPr>
        <w:pStyle w:val="BodyText"/>
        <w:rPr>
          <w:sz w:val="18"/>
        </w:rPr>
      </w:pPr>
    </w:p>
    <w:p>
      <w:pPr>
        <w:spacing w:before="0"/>
        <w:ind w:left="270" w:right="677" w:firstLine="230"/>
        <w:jc w:val="left"/>
        <w:rPr>
          <w:sz w:val="18"/>
        </w:rPr>
      </w:pPr>
      <w:r>
        <w:rPr>
          <w:sz w:val="18"/>
        </w:rPr>
        <w:t>Table 10. Legs Score. Source. (Ergonautas. Departamento de Proyectos de Ingeniería de la Universidad Politécnica de Valencia)</w:t>
      </w:r>
    </w:p>
    <w:p>
      <w:pPr>
        <w:pStyle w:val="BodyText"/>
        <w:spacing w:before="4" w:after="1"/>
        <w:rPr>
          <w:sz w:val="18"/>
        </w:rPr>
      </w:pPr>
    </w:p>
    <w:tbl>
      <w:tblPr>
        <w:tblW w:w="0" w:type="auto"/>
        <w:jc w:val="left"/>
        <w:tblInd w:w="56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742"/>
        <w:gridCol w:w="3510"/>
      </w:tblGrid>
      <w:tr>
        <w:trPr>
          <w:trHeight w:val="335" w:hRule="exact"/>
        </w:trPr>
        <w:tc>
          <w:tcPr>
            <w:tcW w:w="742" w:type="dxa"/>
          </w:tcPr>
          <w:p>
            <w:pPr>
              <w:pStyle w:val="TableParagraph"/>
              <w:spacing w:before="54"/>
              <w:ind w:left="136" w:right="136"/>
              <w:jc w:val="center"/>
              <w:rPr>
                <w:b/>
                <w:sz w:val="18"/>
              </w:rPr>
            </w:pPr>
            <w:r>
              <w:rPr>
                <w:b/>
                <w:sz w:val="18"/>
              </w:rPr>
              <w:t>Point</w:t>
            </w:r>
          </w:p>
        </w:tc>
        <w:tc>
          <w:tcPr>
            <w:tcW w:w="3510" w:type="dxa"/>
          </w:tcPr>
          <w:p>
            <w:pPr>
              <w:pStyle w:val="TableParagraph"/>
              <w:spacing w:before="54"/>
              <w:ind w:left="1415" w:right="1415"/>
              <w:jc w:val="center"/>
              <w:rPr>
                <w:b/>
                <w:sz w:val="18"/>
              </w:rPr>
            </w:pPr>
            <w:r>
              <w:rPr>
                <w:b/>
                <w:sz w:val="18"/>
              </w:rPr>
              <w:t>Position</w:t>
            </w:r>
          </w:p>
        </w:tc>
      </w:tr>
      <w:tr>
        <w:trPr>
          <w:trHeight w:val="385" w:hRule="exact"/>
        </w:trPr>
        <w:tc>
          <w:tcPr>
            <w:tcW w:w="742" w:type="dxa"/>
          </w:tcPr>
          <w:p>
            <w:pPr>
              <w:pStyle w:val="TableParagraph"/>
              <w:spacing w:before="75"/>
              <w:ind w:right="1"/>
              <w:jc w:val="center"/>
              <w:rPr>
                <w:sz w:val="18"/>
              </w:rPr>
            </w:pPr>
            <w:r>
              <w:rPr>
                <w:sz w:val="18"/>
              </w:rPr>
              <w:t>1</w:t>
            </w:r>
          </w:p>
        </w:tc>
        <w:tc>
          <w:tcPr>
            <w:tcW w:w="3510" w:type="dxa"/>
          </w:tcPr>
          <w:p>
            <w:pPr>
              <w:pStyle w:val="TableParagraph"/>
              <w:spacing w:line="203" w:lineRule="exact"/>
              <w:ind w:left="60" w:right="266"/>
              <w:rPr>
                <w:sz w:val="18"/>
              </w:rPr>
            </w:pPr>
            <w:r>
              <w:rPr>
                <w:sz w:val="18"/>
              </w:rPr>
              <w:t>Sitting with feet and legs well supported</w:t>
            </w:r>
          </w:p>
        </w:tc>
      </w:tr>
      <w:tr>
        <w:trPr>
          <w:trHeight w:val="562" w:hRule="exact"/>
        </w:trPr>
        <w:tc>
          <w:tcPr>
            <w:tcW w:w="742" w:type="dxa"/>
          </w:tcPr>
          <w:p>
            <w:pPr>
              <w:pStyle w:val="TableParagraph"/>
              <w:spacing w:before="2"/>
              <w:rPr>
                <w:sz w:val="14"/>
              </w:rPr>
            </w:pPr>
          </w:p>
          <w:p>
            <w:pPr>
              <w:pStyle w:val="TableParagraph"/>
              <w:ind w:right="1"/>
              <w:jc w:val="center"/>
              <w:rPr>
                <w:sz w:val="18"/>
              </w:rPr>
            </w:pPr>
            <w:r>
              <w:rPr>
                <w:sz w:val="18"/>
              </w:rPr>
              <w:t>1</w:t>
            </w:r>
          </w:p>
        </w:tc>
        <w:tc>
          <w:tcPr>
            <w:tcW w:w="3510" w:type="dxa"/>
          </w:tcPr>
          <w:p>
            <w:pPr>
              <w:pStyle w:val="TableParagraph"/>
              <w:ind w:left="60" w:right="266"/>
              <w:rPr>
                <w:sz w:val="18"/>
              </w:rPr>
            </w:pPr>
            <w:r>
              <w:rPr>
                <w:sz w:val="18"/>
              </w:rPr>
              <w:t>Standing with the weight distributed symmetrically and space to change position</w:t>
            </w:r>
          </w:p>
        </w:tc>
      </w:tr>
      <w:tr>
        <w:trPr>
          <w:trHeight w:val="710" w:hRule="exact"/>
        </w:trPr>
        <w:tc>
          <w:tcPr>
            <w:tcW w:w="742" w:type="dxa"/>
          </w:tcPr>
          <w:p>
            <w:pPr>
              <w:pStyle w:val="TableParagraph"/>
              <w:spacing w:before="7"/>
              <w:rPr>
                <w:sz w:val="20"/>
              </w:rPr>
            </w:pPr>
          </w:p>
          <w:p>
            <w:pPr>
              <w:pStyle w:val="TableParagraph"/>
              <w:ind w:right="1"/>
              <w:jc w:val="center"/>
              <w:rPr>
                <w:sz w:val="18"/>
              </w:rPr>
            </w:pPr>
            <w:r>
              <w:rPr>
                <w:sz w:val="18"/>
              </w:rPr>
              <w:t>2</w:t>
            </w:r>
          </w:p>
        </w:tc>
        <w:tc>
          <w:tcPr>
            <w:tcW w:w="3510" w:type="dxa"/>
          </w:tcPr>
          <w:p>
            <w:pPr>
              <w:pStyle w:val="TableParagraph"/>
              <w:ind w:left="60" w:right="111"/>
              <w:rPr>
                <w:sz w:val="18"/>
              </w:rPr>
            </w:pPr>
            <w:r>
              <w:rPr>
                <w:sz w:val="18"/>
              </w:rPr>
              <w:t>If your feet are not supported, or if the weight is not distributed symmetrically</w:t>
            </w:r>
          </w:p>
        </w:tc>
      </w:tr>
    </w:tbl>
    <w:p>
      <w:pPr>
        <w:pStyle w:val="BodyText"/>
        <w:spacing w:before="10"/>
        <w:rPr>
          <w:sz w:val="17"/>
        </w:rPr>
      </w:pPr>
    </w:p>
    <w:p>
      <w:pPr>
        <w:spacing w:line="205" w:lineRule="exact" w:before="1"/>
        <w:ind w:left="270" w:right="852" w:firstLine="0"/>
        <w:jc w:val="left"/>
        <w:rPr>
          <w:b/>
          <w:sz w:val="18"/>
        </w:rPr>
      </w:pPr>
      <w:r>
        <w:rPr>
          <w:b/>
          <w:sz w:val="18"/>
        </w:rPr>
        <w:t>Global Score</w:t>
      </w:r>
    </w:p>
    <w:p>
      <w:pPr>
        <w:spacing w:before="0"/>
        <w:ind w:left="270" w:right="665" w:firstLine="0"/>
        <w:jc w:val="left"/>
        <w:rPr>
          <w:sz w:val="18"/>
        </w:rPr>
      </w:pPr>
      <w:r>
        <w:rPr>
          <w:sz w:val="18"/>
        </w:rPr>
        <w:t>After obtaining the scores of the group A and group B individually, assign global score for both groups.</w:t>
      </w:r>
    </w:p>
    <w:p>
      <w:pPr>
        <w:spacing w:line="207" w:lineRule="exact" w:before="0"/>
        <w:ind w:left="270" w:right="852" w:firstLine="0"/>
        <w:jc w:val="left"/>
        <w:rPr>
          <w:sz w:val="18"/>
        </w:rPr>
      </w:pPr>
      <w:r>
        <w:rPr>
          <w:sz w:val="18"/>
          <w:u w:val="single"/>
        </w:rPr>
        <w:t>Global Score for Members of Group A .</w:t>
      </w:r>
    </w:p>
    <w:p>
      <w:pPr>
        <w:spacing w:before="0"/>
        <w:ind w:left="270" w:right="677" w:firstLine="0"/>
        <w:jc w:val="left"/>
        <w:rPr>
          <w:sz w:val="18"/>
        </w:rPr>
      </w:pPr>
      <w:r>
        <w:rPr>
          <w:sz w:val="18"/>
        </w:rPr>
        <w:t>With scores for arm, forearm, wrist and twist of the wrist, will be allocated by Table 11 an overall score for group A.</w:t>
      </w:r>
    </w:p>
    <w:p>
      <w:pPr>
        <w:spacing w:before="0"/>
        <w:ind w:left="538" w:right="943" w:hanging="3"/>
        <w:jc w:val="center"/>
        <w:rPr>
          <w:sz w:val="18"/>
        </w:rPr>
      </w:pPr>
      <w:r>
        <w:rPr>
          <w:sz w:val="18"/>
        </w:rPr>
        <w:t>Table 11. Global Score for Members of Group A. Source. (Ergonautas. Departamento de Proyectos de Ingeniería de la Universidad Politécnica de Valencia)</w:t>
      </w:r>
    </w:p>
    <w:p>
      <w:pPr>
        <w:spacing w:after="0"/>
        <w:jc w:val="center"/>
        <w:rPr>
          <w:sz w:val="18"/>
        </w:rPr>
        <w:sectPr>
          <w:type w:val="continuous"/>
          <w:pgSz w:w="12240" w:h="15840"/>
          <w:pgMar w:top="1500" w:bottom="280" w:left="580" w:right="220"/>
          <w:cols w:num="2" w:equalWidth="0">
            <w:col w:w="5189" w:space="436"/>
            <w:col w:w="5815"/>
          </w:cols>
        </w:sectPr>
      </w:pPr>
    </w:p>
    <w:p>
      <w:pPr>
        <w:pStyle w:val="BodyText"/>
        <w:spacing w:before="4" w:after="1"/>
        <w:rPr>
          <w:sz w:val="18"/>
        </w:rPr>
      </w:pPr>
    </w:p>
    <w:tbl>
      <w:tblPr>
        <w:tblW w:w="0" w:type="auto"/>
        <w:jc w:val="left"/>
        <w:tblInd w:w="68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039"/>
        <w:gridCol w:w="3020"/>
      </w:tblGrid>
      <w:tr>
        <w:trPr>
          <w:trHeight w:val="335" w:hRule="exact"/>
        </w:trPr>
        <w:tc>
          <w:tcPr>
            <w:tcW w:w="1039" w:type="dxa"/>
          </w:tcPr>
          <w:p>
            <w:pPr>
              <w:pStyle w:val="TableParagraph"/>
              <w:spacing w:before="54"/>
              <w:ind w:left="249" w:right="249"/>
              <w:jc w:val="center"/>
              <w:rPr>
                <w:b/>
                <w:sz w:val="18"/>
              </w:rPr>
            </w:pPr>
            <w:r>
              <w:rPr>
                <w:b/>
                <w:sz w:val="18"/>
              </w:rPr>
              <w:t>Points</w:t>
            </w:r>
          </w:p>
        </w:tc>
        <w:tc>
          <w:tcPr>
            <w:tcW w:w="3020" w:type="dxa"/>
          </w:tcPr>
          <w:p>
            <w:pPr>
              <w:pStyle w:val="TableParagraph"/>
              <w:spacing w:before="54"/>
              <w:ind w:left="1171" w:right="1170"/>
              <w:jc w:val="center"/>
              <w:rPr>
                <w:b/>
                <w:sz w:val="18"/>
              </w:rPr>
            </w:pPr>
            <w:r>
              <w:rPr>
                <w:b/>
                <w:sz w:val="18"/>
              </w:rPr>
              <w:t>Position</w:t>
            </w:r>
          </w:p>
        </w:tc>
      </w:tr>
      <w:tr>
        <w:trPr>
          <w:trHeight w:val="230" w:hRule="exact"/>
        </w:trPr>
        <w:tc>
          <w:tcPr>
            <w:tcW w:w="1039" w:type="dxa"/>
          </w:tcPr>
          <w:p>
            <w:pPr>
              <w:pStyle w:val="TableParagraph"/>
              <w:spacing w:line="205" w:lineRule="exact"/>
              <w:ind w:right="1"/>
              <w:jc w:val="center"/>
              <w:rPr>
                <w:sz w:val="18"/>
              </w:rPr>
            </w:pPr>
            <w:r>
              <w:rPr>
                <w:sz w:val="18"/>
              </w:rPr>
              <w:t>1</w:t>
            </w:r>
          </w:p>
        </w:tc>
        <w:tc>
          <w:tcPr>
            <w:tcW w:w="3020" w:type="dxa"/>
          </w:tcPr>
          <w:p>
            <w:pPr>
              <w:pStyle w:val="TableParagraph"/>
              <w:spacing w:line="203" w:lineRule="exact"/>
              <w:ind w:left="61"/>
              <w:rPr>
                <w:sz w:val="18"/>
              </w:rPr>
            </w:pPr>
            <w:r>
              <w:rPr>
                <w:sz w:val="18"/>
              </w:rPr>
              <w:t>If you are flexed between 0 ° and 10 °</w:t>
            </w:r>
          </w:p>
        </w:tc>
      </w:tr>
      <w:tr>
        <w:trPr>
          <w:trHeight w:val="289" w:hRule="exact"/>
        </w:trPr>
        <w:tc>
          <w:tcPr>
            <w:tcW w:w="1039" w:type="dxa"/>
          </w:tcPr>
          <w:p>
            <w:pPr>
              <w:pStyle w:val="TableParagraph"/>
              <w:spacing w:before="27"/>
              <w:ind w:right="1"/>
              <w:jc w:val="center"/>
              <w:rPr>
                <w:sz w:val="18"/>
              </w:rPr>
            </w:pPr>
            <w:r>
              <w:rPr>
                <w:sz w:val="18"/>
              </w:rPr>
              <w:t>2</w:t>
            </w:r>
          </w:p>
        </w:tc>
        <w:tc>
          <w:tcPr>
            <w:tcW w:w="3020" w:type="dxa"/>
          </w:tcPr>
          <w:p>
            <w:pPr>
              <w:pStyle w:val="TableParagraph"/>
              <w:spacing w:line="202" w:lineRule="exact"/>
              <w:ind w:left="61"/>
              <w:rPr>
                <w:sz w:val="18"/>
              </w:rPr>
            </w:pPr>
            <w:r>
              <w:rPr>
                <w:sz w:val="18"/>
              </w:rPr>
              <w:t>If you are flexed between 10 ° and 20 °.</w:t>
            </w:r>
          </w:p>
        </w:tc>
      </w:tr>
      <w:tr>
        <w:trPr>
          <w:trHeight w:val="281" w:hRule="exact"/>
        </w:trPr>
        <w:tc>
          <w:tcPr>
            <w:tcW w:w="1039" w:type="dxa"/>
          </w:tcPr>
          <w:p>
            <w:pPr>
              <w:pStyle w:val="TableParagraph"/>
              <w:spacing w:before="22"/>
              <w:ind w:right="1"/>
              <w:jc w:val="center"/>
              <w:rPr>
                <w:sz w:val="18"/>
              </w:rPr>
            </w:pPr>
            <w:r>
              <w:rPr>
                <w:sz w:val="18"/>
              </w:rPr>
              <w:t>3</w:t>
            </w:r>
          </w:p>
        </w:tc>
        <w:tc>
          <w:tcPr>
            <w:tcW w:w="3020" w:type="dxa"/>
          </w:tcPr>
          <w:p>
            <w:pPr>
              <w:pStyle w:val="TableParagraph"/>
              <w:spacing w:line="203" w:lineRule="exact"/>
              <w:ind w:left="61"/>
              <w:rPr>
                <w:sz w:val="18"/>
              </w:rPr>
            </w:pPr>
            <w:r>
              <w:rPr>
                <w:sz w:val="18"/>
              </w:rPr>
              <w:t>For more flexion of 20 °.</w:t>
            </w:r>
          </w:p>
        </w:tc>
      </w:tr>
      <w:tr>
        <w:trPr>
          <w:trHeight w:val="283" w:hRule="exact"/>
        </w:trPr>
        <w:tc>
          <w:tcPr>
            <w:tcW w:w="1039" w:type="dxa"/>
          </w:tcPr>
          <w:p>
            <w:pPr>
              <w:pStyle w:val="TableParagraph"/>
              <w:spacing w:before="24"/>
              <w:ind w:right="1"/>
              <w:jc w:val="center"/>
              <w:rPr>
                <w:sz w:val="18"/>
              </w:rPr>
            </w:pPr>
            <w:r>
              <w:rPr>
                <w:sz w:val="18"/>
              </w:rPr>
              <w:t>4</w:t>
            </w:r>
          </w:p>
        </w:tc>
        <w:tc>
          <w:tcPr>
            <w:tcW w:w="3020" w:type="dxa"/>
          </w:tcPr>
          <w:p>
            <w:pPr>
              <w:pStyle w:val="TableParagraph"/>
              <w:spacing w:line="202" w:lineRule="exact"/>
              <w:ind w:left="61"/>
              <w:rPr>
                <w:sz w:val="18"/>
              </w:rPr>
            </w:pPr>
            <w:r>
              <w:rPr>
                <w:sz w:val="18"/>
              </w:rPr>
              <w:t>If extended.</w:t>
            </w:r>
          </w:p>
        </w:tc>
      </w:tr>
    </w:tbl>
    <w:p>
      <w:pPr>
        <w:pStyle w:val="BodyText"/>
        <w:rPr>
          <w:sz w:val="11"/>
        </w:rPr>
      </w:pPr>
    </w:p>
    <w:p>
      <w:pPr>
        <w:spacing w:before="77"/>
        <w:ind w:left="270" w:right="6276" w:firstLine="170"/>
        <w:jc w:val="left"/>
        <w:rPr>
          <w:sz w:val="18"/>
        </w:rPr>
      </w:pPr>
      <w:r>
        <w:rPr/>
        <w:pict>
          <v:shape style="position:absolute;margin-left:318.119995pt;margin-top:-171.287369pt;width:254.8pt;height:307.2pt;mso-position-horizontal-relative:page;mso-position-vertical-relative:paragraph;z-index:9712"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94"/>
                    <w:gridCol w:w="910"/>
                    <w:gridCol w:w="481"/>
                    <w:gridCol w:w="418"/>
                    <w:gridCol w:w="469"/>
                    <w:gridCol w:w="425"/>
                    <w:gridCol w:w="463"/>
                    <w:gridCol w:w="424"/>
                    <w:gridCol w:w="478"/>
                    <w:gridCol w:w="420"/>
                  </w:tblGrid>
                  <w:tr>
                    <w:trPr>
                      <w:trHeight w:val="324" w:hRule="exact"/>
                    </w:trPr>
                    <w:tc>
                      <w:tcPr>
                        <w:tcW w:w="594" w:type="dxa"/>
                        <w:vMerge w:val="restart"/>
                      </w:tcPr>
                      <w:p>
                        <w:pPr>
                          <w:pStyle w:val="TableParagraph"/>
                          <w:rPr>
                            <w:sz w:val="18"/>
                          </w:rPr>
                        </w:pPr>
                      </w:p>
                      <w:p>
                        <w:pPr>
                          <w:pStyle w:val="TableParagraph"/>
                          <w:rPr>
                            <w:sz w:val="18"/>
                          </w:rPr>
                        </w:pPr>
                      </w:p>
                      <w:p>
                        <w:pPr>
                          <w:pStyle w:val="TableParagraph"/>
                          <w:rPr>
                            <w:sz w:val="18"/>
                          </w:rPr>
                        </w:pPr>
                      </w:p>
                      <w:p>
                        <w:pPr>
                          <w:pStyle w:val="TableParagraph"/>
                          <w:spacing w:before="4"/>
                          <w:rPr>
                            <w:sz w:val="20"/>
                          </w:rPr>
                        </w:pPr>
                      </w:p>
                      <w:p>
                        <w:pPr>
                          <w:pStyle w:val="TableParagraph"/>
                          <w:ind w:left="111"/>
                          <w:rPr>
                            <w:b/>
                            <w:sz w:val="18"/>
                          </w:rPr>
                        </w:pPr>
                        <w:r>
                          <w:rPr>
                            <w:b/>
                            <w:sz w:val="18"/>
                          </w:rPr>
                          <w:t>Arm</w:t>
                        </w:r>
                      </w:p>
                    </w:tc>
                    <w:tc>
                      <w:tcPr>
                        <w:tcW w:w="910" w:type="dxa"/>
                        <w:vMerge w:val="restart"/>
                      </w:tcPr>
                      <w:p>
                        <w:pPr>
                          <w:pStyle w:val="TableParagraph"/>
                          <w:rPr>
                            <w:sz w:val="18"/>
                          </w:rPr>
                        </w:pPr>
                      </w:p>
                      <w:p>
                        <w:pPr>
                          <w:pStyle w:val="TableParagraph"/>
                          <w:rPr>
                            <w:sz w:val="18"/>
                          </w:rPr>
                        </w:pPr>
                      </w:p>
                      <w:p>
                        <w:pPr>
                          <w:pStyle w:val="TableParagraph"/>
                          <w:rPr>
                            <w:sz w:val="18"/>
                          </w:rPr>
                        </w:pPr>
                      </w:p>
                      <w:p>
                        <w:pPr>
                          <w:pStyle w:val="TableParagraph"/>
                          <w:spacing w:before="4"/>
                          <w:rPr>
                            <w:sz w:val="20"/>
                          </w:rPr>
                        </w:pPr>
                      </w:p>
                      <w:p>
                        <w:pPr>
                          <w:pStyle w:val="TableParagraph"/>
                          <w:ind w:left="111"/>
                          <w:rPr>
                            <w:b/>
                            <w:sz w:val="18"/>
                          </w:rPr>
                        </w:pPr>
                        <w:r>
                          <w:rPr>
                            <w:b/>
                            <w:sz w:val="18"/>
                          </w:rPr>
                          <w:t>Forearm</w:t>
                        </w:r>
                      </w:p>
                    </w:tc>
                    <w:tc>
                      <w:tcPr>
                        <w:tcW w:w="3577" w:type="dxa"/>
                        <w:gridSpan w:val="8"/>
                      </w:tcPr>
                      <w:p>
                        <w:pPr>
                          <w:pStyle w:val="TableParagraph"/>
                          <w:spacing w:before="52"/>
                          <w:ind w:left="1543" w:right="1543"/>
                          <w:jc w:val="center"/>
                          <w:rPr>
                            <w:b/>
                            <w:sz w:val="18"/>
                          </w:rPr>
                        </w:pPr>
                        <w:r>
                          <w:rPr>
                            <w:b/>
                            <w:sz w:val="18"/>
                          </w:rPr>
                          <w:t>Wrist</w:t>
                        </w:r>
                      </w:p>
                    </w:tc>
                  </w:tr>
                  <w:tr>
                    <w:trPr>
                      <w:trHeight w:val="535" w:hRule="exact"/>
                    </w:trPr>
                    <w:tc>
                      <w:tcPr>
                        <w:tcW w:w="594" w:type="dxa"/>
                        <w:vMerge/>
                      </w:tcPr>
                      <w:p>
                        <w:pPr/>
                      </w:p>
                    </w:tc>
                    <w:tc>
                      <w:tcPr>
                        <w:tcW w:w="910" w:type="dxa"/>
                        <w:vMerge/>
                      </w:tcPr>
                      <w:p>
                        <w:pPr/>
                      </w:p>
                    </w:tc>
                    <w:tc>
                      <w:tcPr>
                        <w:tcW w:w="899" w:type="dxa"/>
                        <w:gridSpan w:val="2"/>
                      </w:tcPr>
                      <w:p>
                        <w:pPr>
                          <w:pStyle w:val="TableParagraph"/>
                          <w:spacing w:before="158"/>
                          <w:jc w:val="center"/>
                          <w:rPr>
                            <w:b/>
                            <w:sz w:val="18"/>
                          </w:rPr>
                        </w:pPr>
                        <w:r>
                          <w:rPr>
                            <w:b/>
                            <w:sz w:val="18"/>
                          </w:rPr>
                          <w:t>1</w:t>
                        </w:r>
                      </w:p>
                    </w:tc>
                    <w:tc>
                      <w:tcPr>
                        <w:tcW w:w="894" w:type="dxa"/>
                        <w:gridSpan w:val="2"/>
                      </w:tcPr>
                      <w:p>
                        <w:pPr>
                          <w:pStyle w:val="TableParagraph"/>
                          <w:spacing w:before="158"/>
                          <w:jc w:val="center"/>
                          <w:rPr>
                            <w:b/>
                            <w:sz w:val="18"/>
                          </w:rPr>
                        </w:pPr>
                        <w:r>
                          <w:rPr>
                            <w:b/>
                            <w:sz w:val="18"/>
                          </w:rPr>
                          <w:t>2</w:t>
                        </w:r>
                      </w:p>
                    </w:tc>
                    <w:tc>
                      <w:tcPr>
                        <w:tcW w:w="887" w:type="dxa"/>
                        <w:gridSpan w:val="2"/>
                      </w:tcPr>
                      <w:p>
                        <w:pPr>
                          <w:pStyle w:val="TableParagraph"/>
                          <w:spacing w:before="158"/>
                          <w:jc w:val="center"/>
                          <w:rPr>
                            <w:b/>
                            <w:sz w:val="18"/>
                          </w:rPr>
                        </w:pPr>
                        <w:r>
                          <w:rPr>
                            <w:b/>
                            <w:sz w:val="18"/>
                          </w:rPr>
                          <w:t>3</w:t>
                        </w:r>
                      </w:p>
                    </w:tc>
                    <w:tc>
                      <w:tcPr>
                        <w:tcW w:w="898" w:type="dxa"/>
                        <w:gridSpan w:val="2"/>
                      </w:tcPr>
                      <w:p>
                        <w:pPr>
                          <w:pStyle w:val="TableParagraph"/>
                          <w:spacing w:before="158"/>
                          <w:ind w:right="1"/>
                          <w:jc w:val="center"/>
                          <w:rPr>
                            <w:b/>
                            <w:sz w:val="18"/>
                          </w:rPr>
                        </w:pPr>
                        <w:r>
                          <w:rPr>
                            <w:b/>
                            <w:sz w:val="18"/>
                          </w:rPr>
                          <w:t>4</w:t>
                        </w:r>
                      </w:p>
                    </w:tc>
                  </w:tr>
                  <w:tr>
                    <w:trPr>
                      <w:trHeight w:val="535" w:hRule="exact"/>
                    </w:trPr>
                    <w:tc>
                      <w:tcPr>
                        <w:tcW w:w="594" w:type="dxa"/>
                        <w:vMerge/>
                      </w:tcPr>
                      <w:p>
                        <w:pPr/>
                      </w:p>
                    </w:tc>
                    <w:tc>
                      <w:tcPr>
                        <w:tcW w:w="910" w:type="dxa"/>
                        <w:vMerge/>
                      </w:tcPr>
                      <w:p>
                        <w:pPr/>
                      </w:p>
                    </w:tc>
                    <w:tc>
                      <w:tcPr>
                        <w:tcW w:w="899" w:type="dxa"/>
                        <w:gridSpan w:val="2"/>
                      </w:tcPr>
                      <w:p>
                        <w:pPr>
                          <w:pStyle w:val="TableParagraph"/>
                          <w:spacing w:before="55"/>
                          <w:ind w:left="133" w:right="116" w:firstLine="90"/>
                          <w:rPr>
                            <w:b/>
                            <w:sz w:val="18"/>
                          </w:rPr>
                        </w:pPr>
                        <w:r>
                          <w:rPr>
                            <w:b/>
                            <w:sz w:val="18"/>
                          </w:rPr>
                          <w:t>Wrist rotation</w:t>
                        </w:r>
                      </w:p>
                    </w:tc>
                    <w:tc>
                      <w:tcPr>
                        <w:tcW w:w="894" w:type="dxa"/>
                        <w:gridSpan w:val="2"/>
                      </w:tcPr>
                      <w:p>
                        <w:pPr>
                          <w:pStyle w:val="TableParagraph"/>
                          <w:ind w:left="130" w:right="114" w:firstLine="90"/>
                          <w:rPr>
                            <w:b/>
                            <w:sz w:val="18"/>
                          </w:rPr>
                        </w:pPr>
                        <w:r>
                          <w:rPr>
                            <w:b/>
                            <w:sz w:val="18"/>
                          </w:rPr>
                          <w:t>Wrist rotation</w:t>
                        </w:r>
                      </w:p>
                    </w:tc>
                    <w:tc>
                      <w:tcPr>
                        <w:tcW w:w="887" w:type="dxa"/>
                        <w:gridSpan w:val="2"/>
                      </w:tcPr>
                      <w:p>
                        <w:pPr>
                          <w:pStyle w:val="TableParagraph"/>
                          <w:ind w:left="127" w:right="110" w:firstLine="90"/>
                          <w:rPr>
                            <w:b/>
                            <w:sz w:val="18"/>
                          </w:rPr>
                        </w:pPr>
                        <w:r>
                          <w:rPr>
                            <w:b/>
                            <w:sz w:val="18"/>
                          </w:rPr>
                          <w:t>Wrist rotation</w:t>
                        </w:r>
                      </w:p>
                    </w:tc>
                    <w:tc>
                      <w:tcPr>
                        <w:tcW w:w="898" w:type="dxa"/>
                        <w:gridSpan w:val="2"/>
                      </w:tcPr>
                      <w:p>
                        <w:pPr>
                          <w:pStyle w:val="TableParagraph"/>
                          <w:ind w:left="133" w:right="115" w:firstLine="90"/>
                          <w:rPr>
                            <w:b/>
                            <w:sz w:val="18"/>
                          </w:rPr>
                        </w:pPr>
                        <w:r>
                          <w:rPr>
                            <w:b/>
                            <w:sz w:val="18"/>
                          </w:rPr>
                          <w:t>Wrist rotation</w:t>
                        </w:r>
                      </w:p>
                    </w:tc>
                  </w:tr>
                  <w:tr>
                    <w:trPr>
                      <w:trHeight w:val="535" w:hRule="exact"/>
                    </w:trPr>
                    <w:tc>
                      <w:tcPr>
                        <w:tcW w:w="594" w:type="dxa"/>
                        <w:vMerge/>
                      </w:tcPr>
                      <w:p>
                        <w:pPr/>
                      </w:p>
                    </w:tc>
                    <w:tc>
                      <w:tcPr>
                        <w:tcW w:w="910" w:type="dxa"/>
                        <w:vMerge/>
                      </w:tcPr>
                      <w:p>
                        <w:pPr/>
                      </w:p>
                    </w:tc>
                    <w:tc>
                      <w:tcPr>
                        <w:tcW w:w="481" w:type="dxa"/>
                      </w:tcPr>
                      <w:p>
                        <w:pPr>
                          <w:pStyle w:val="TableParagraph"/>
                          <w:spacing w:before="154"/>
                          <w:ind w:right="188"/>
                          <w:jc w:val="right"/>
                          <w:rPr>
                            <w:sz w:val="18"/>
                          </w:rPr>
                        </w:pPr>
                        <w:r>
                          <w:rPr>
                            <w:sz w:val="18"/>
                          </w:rPr>
                          <w:t>1</w:t>
                        </w:r>
                      </w:p>
                    </w:tc>
                    <w:tc>
                      <w:tcPr>
                        <w:tcW w:w="418" w:type="dxa"/>
                      </w:tcPr>
                      <w:p>
                        <w:pPr>
                          <w:pStyle w:val="TableParagraph"/>
                          <w:spacing w:before="154"/>
                          <w:ind w:right="1"/>
                          <w:jc w:val="center"/>
                          <w:rPr>
                            <w:sz w:val="18"/>
                          </w:rPr>
                        </w:pPr>
                        <w:r>
                          <w:rPr>
                            <w:sz w:val="18"/>
                          </w:rPr>
                          <w:t>2</w:t>
                        </w:r>
                      </w:p>
                    </w:tc>
                    <w:tc>
                      <w:tcPr>
                        <w:tcW w:w="469" w:type="dxa"/>
                      </w:tcPr>
                      <w:p>
                        <w:pPr>
                          <w:pStyle w:val="TableParagraph"/>
                          <w:spacing w:before="154"/>
                          <w:jc w:val="center"/>
                          <w:rPr>
                            <w:sz w:val="18"/>
                          </w:rPr>
                        </w:pPr>
                        <w:r>
                          <w:rPr>
                            <w:sz w:val="18"/>
                          </w:rPr>
                          <w:t>1</w:t>
                        </w:r>
                      </w:p>
                    </w:tc>
                    <w:tc>
                      <w:tcPr>
                        <w:tcW w:w="425" w:type="dxa"/>
                      </w:tcPr>
                      <w:p>
                        <w:pPr>
                          <w:pStyle w:val="TableParagraph"/>
                          <w:spacing w:before="154"/>
                          <w:ind w:right="162"/>
                          <w:jc w:val="right"/>
                          <w:rPr>
                            <w:sz w:val="18"/>
                          </w:rPr>
                        </w:pPr>
                        <w:r>
                          <w:rPr>
                            <w:sz w:val="18"/>
                          </w:rPr>
                          <w:t>2</w:t>
                        </w:r>
                      </w:p>
                    </w:tc>
                    <w:tc>
                      <w:tcPr>
                        <w:tcW w:w="463" w:type="dxa"/>
                      </w:tcPr>
                      <w:p>
                        <w:pPr>
                          <w:pStyle w:val="TableParagraph"/>
                          <w:spacing w:before="154"/>
                          <w:ind w:left="179"/>
                          <w:rPr>
                            <w:sz w:val="18"/>
                          </w:rPr>
                        </w:pPr>
                        <w:r>
                          <w:rPr>
                            <w:sz w:val="18"/>
                          </w:rPr>
                          <w:t>1</w:t>
                        </w:r>
                      </w:p>
                    </w:tc>
                    <w:tc>
                      <w:tcPr>
                        <w:tcW w:w="424" w:type="dxa"/>
                      </w:tcPr>
                      <w:p>
                        <w:pPr>
                          <w:pStyle w:val="TableParagraph"/>
                          <w:spacing w:before="154"/>
                          <w:jc w:val="center"/>
                          <w:rPr>
                            <w:sz w:val="18"/>
                          </w:rPr>
                        </w:pPr>
                        <w:r>
                          <w:rPr>
                            <w:sz w:val="18"/>
                          </w:rPr>
                          <w:t>2</w:t>
                        </w:r>
                      </w:p>
                    </w:tc>
                    <w:tc>
                      <w:tcPr>
                        <w:tcW w:w="478" w:type="dxa"/>
                      </w:tcPr>
                      <w:p>
                        <w:pPr>
                          <w:pStyle w:val="TableParagraph"/>
                          <w:spacing w:before="154"/>
                          <w:ind w:left="188"/>
                          <w:rPr>
                            <w:sz w:val="18"/>
                          </w:rPr>
                        </w:pPr>
                        <w:r>
                          <w:rPr>
                            <w:sz w:val="18"/>
                          </w:rPr>
                          <w:t>1</w:t>
                        </w:r>
                      </w:p>
                    </w:tc>
                    <w:tc>
                      <w:tcPr>
                        <w:tcW w:w="420" w:type="dxa"/>
                      </w:tcPr>
                      <w:p>
                        <w:pPr>
                          <w:pStyle w:val="TableParagraph"/>
                          <w:spacing w:before="154"/>
                          <w:ind w:right="1"/>
                          <w:jc w:val="center"/>
                          <w:rPr>
                            <w:sz w:val="18"/>
                          </w:rPr>
                        </w:pPr>
                        <w:r>
                          <w:rPr>
                            <w:sz w:val="18"/>
                          </w:rPr>
                          <w:t>2</w:t>
                        </w:r>
                      </w:p>
                    </w:tc>
                  </w:tr>
                  <w:tr>
                    <w:trPr>
                      <w:trHeight w:val="535" w:hRule="exact"/>
                    </w:trPr>
                    <w:tc>
                      <w:tcPr>
                        <w:tcW w:w="594" w:type="dxa"/>
                        <w:vMerge w:val="restart"/>
                      </w:tcPr>
                      <w:p>
                        <w:pPr>
                          <w:pStyle w:val="TableParagraph"/>
                          <w:rPr>
                            <w:sz w:val="18"/>
                          </w:rPr>
                        </w:pPr>
                      </w:p>
                      <w:p>
                        <w:pPr>
                          <w:pStyle w:val="TableParagraph"/>
                          <w:rPr>
                            <w:sz w:val="18"/>
                          </w:rPr>
                        </w:pPr>
                      </w:p>
                      <w:p>
                        <w:pPr>
                          <w:pStyle w:val="TableParagraph"/>
                          <w:rPr>
                            <w:sz w:val="24"/>
                          </w:rPr>
                        </w:pPr>
                      </w:p>
                      <w:p>
                        <w:pPr>
                          <w:pStyle w:val="TableParagraph"/>
                          <w:jc w:val="center"/>
                          <w:rPr>
                            <w:sz w:val="18"/>
                          </w:rPr>
                        </w:pPr>
                        <w:r>
                          <w:rPr>
                            <w:sz w:val="18"/>
                          </w:rPr>
                          <w:t>1</w:t>
                        </w:r>
                      </w:p>
                    </w:tc>
                    <w:tc>
                      <w:tcPr>
                        <w:tcW w:w="910" w:type="dxa"/>
                      </w:tcPr>
                      <w:p>
                        <w:pPr>
                          <w:pStyle w:val="TableParagraph"/>
                          <w:spacing w:before="154"/>
                          <w:ind w:right="1"/>
                          <w:jc w:val="center"/>
                          <w:rPr>
                            <w:sz w:val="18"/>
                          </w:rPr>
                        </w:pPr>
                        <w:r>
                          <w:rPr>
                            <w:sz w:val="18"/>
                          </w:rPr>
                          <w:t>1</w:t>
                        </w:r>
                      </w:p>
                    </w:tc>
                    <w:tc>
                      <w:tcPr>
                        <w:tcW w:w="481" w:type="dxa"/>
                      </w:tcPr>
                      <w:p>
                        <w:pPr>
                          <w:pStyle w:val="TableParagraph"/>
                          <w:spacing w:before="154"/>
                          <w:ind w:right="188"/>
                          <w:jc w:val="right"/>
                          <w:rPr>
                            <w:sz w:val="18"/>
                          </w:rPr>
                        </w:pPr>
                        <w:r>
                          <w:rPr>
                            <w:sz w:val="18"/>
                          </w:rPr>
                          <w:t>1</w:t>
                        </w:r>
                      </w:p>
                    </w:tc>
                    <w:tc>
                      <w:tcPr>
                        <w:tcW w:w="418" w:type="dxa"/>
                      </w:tcPr>
                      <w:p>
                        <w:pPr>
                          <w:pStyle w:val="TableParagraph"/>
                          <w:spacing w:before="154"/>
                          <w:ind w:right="1"/>
                          <w:jc w:val="center"/>
                          <w:rPr>
                            <w:sz w:val="18"/>
                          </w:rPr>
                        </w:pPr>
                        <w:r>
                          <w:rPr>
                            <w:sz w:val="18"/>
                          </w:rPr>
                          <w:t>2</w:t>
                        </w:r>
                      </w:p>
                    </w:tc>
                    <w:tc>
                      <w:tcPr>
                        <w:tcW w:w="469" w:type="dxa"/>
                      </w:tcPr>
                      <w:p>
                        <w:pPr>
                          <w:pStyle w:val="TableParagraph"/>
                          <w:spacing w:before="154"/>
                          <w:jc w:val="center"/>
                          <w:rPr>
                            <w:sz w:val="18"/>
                          </w:rPr>
                        </w:pPr>
                        <w:r>
                          <w:rPr>
                            <w:sz w:val="18"/>
                          </w:rPr>
                          <w:t>2</w:t>
                        </w:r>
                      </w:p>
                    </w:tc>
                    <w:tc>
                      <w:tcPr>
                        <w:tcW w:w="425" w:type="dxa"/>
                      </w:tcPr>
                      <w:p>
                        <w:pPr>
                          <w:pStyle w:val="TableParagraph"/>
                          <w:spacing w:before="154"/>
                          <w:ind w:right="162"/>
                          <w:jc w:val="right"/>
                          <w:rPr>
                            <w:sz w:val="18"/>
                          </w:rPr>
                        </w:pPr>
                        <w:r>
                          <w:rPr>
                            <w:sz w:val="18"/>
                          </w:rPr>
                          <w:t>2</w:t>
                        </w:r>
                      </w:p>
                    </w:tc>
                    <w:tc>
                      <w:tcPr>
                        <w:tcW w:w="463" w:type="dxa"/>
                      </w:tcPr>
                      <w:p>
                        <w:pPr>
                          <w:pStyle w:val="TableParagraph"/>
                          <w:spacing w:before="154"/>
                          <w:ind w:left="179"/>
                          <w:rPr>
                            <w:sz w:val="18"/>
                          </w:rPr>
                        </w:pPr>
                        <w:r>
                          <w:rPr>
                            <w:sz w:val="18"/>
                          </w:rPr>
                          <w:t>2</w:t>
                        </w:r>
                      </w:p>
                    </w:tc>
                    <w:tc>
                      <w:tcPr>
                        <w:tcW w:w="424" w:type="dxa"/>
                      </w:tcPr>
                      <w:p>
                        <w:pPr>
                          <w:pStyle w:val="TableParagraph"/>
                          <w:spacing w:before="154"/>
                          <w:jc w:val="center"/>
                          <w:rPr>
                            <w:sz w:val="18"/>
                          </w:rPr>
                        </w:pPr>
                        <w:r>
                          <w:rPr>
                            <w:sz w:val="18"/>
                          </w:rPr>
                          <w:t>3</w:t>
                        </w:r>
                      </w:p>
                    </w:tc>
                    <w:tc>
                      <w:tcPr>
                        <w:tcW w:w="478" w:type="dxa"/>
                      </w:tcPr>
                      <w:p>
                        <w:pPr>
                          <w:pStyle w:val="TableParagraph"/>
                          <w:spacing w:before="154"/>
                          <w:ind w:left="188"/>
                          <w:rPr>
                            <w:sz w:val="18"/>
                          </w:rPr>
                        </w:pPr>
                        <w:r>
                          <w:rPr>
                            <w:sz w:val="18"/>
                          </w:rPr>
                          <w:t>3</w:t>
                        </w:r>
                      </w:p>
                    </w:tc>
                    <w:tc>
                      <w:tcPr>
                        <w:tcW w:w="420" w:type="dxa"/>
                      </w:tcPr>
                      <w:p>
                        <w:pPr>
                          <w:pStyle w:val="TableParagraph"/>
                          <w:spacing w:before="154"/>
                          <w:ind w:right="1"/>
                          <w:jc w:val="center"/>
                          <w:rPr>
                            <w:sz w:val="18"/>
                          </w:rPr>
                        </w:pPr>
                        <w:r>
                          <w:rPr>
                            <w:sz w:val="18"/>
                          </w:rPr>
                          <w:t>3</w:t>
                        </w:r>
                      </w:p>
                    </w:tc>
                  </w:tr>
                  <w:tr>
                    <w:trPr>
                      <w:trHeight w:val="535" w:hRule="exact"/>
                    </w:trPr>
                    <w:tc>
                      <w:tcPr>
                        <w:tcW w:w="594" w:type="dxa"/>
                        <w:vMerge/>
                      </w:tcPr>
                      <w:p>
                        <w:pPr/>
                      </w:p>
                    </w:tc>
                    <w:tc>
                      <w:tcPr>
                        <w:tcW w:w="910" w:type="dxa"/>
                      </w:tcPr>
                      <w:p>
                        <w:pPr>
                          <w:pStyle w:val="TableParagraph"/>
                          <w:spacing w:before="154"/>
                          <w:ind w:right="1"/>
                          <w:jc w:val="center"/>
                          <w:rPr>
                            <w:sz w:val="18"/>
                          </w:rPr>
                        </w:pPr>
                        <w:r>
                          <w:rPr>
                            <w:sz w:val="18"/>
                          </w:rPr>
                          <w:t>2</w:t>
                        </w:r>
                      </w:p>
                    </w:tc>
                    <w:tc>
                      <w:tcPr>
                        <w:tcW w:w="481" w:type="dxa"/>
                      </w:tcPr>
                      <w:p>
                        <w:pPr>
                          <w:pStyle w:val="TableParagraph"/>
                          <w:spacing w:before="154"/>
                          <w:ind w:right="188"/>
                          <w:jc w:val="right"/>
                          <w:rPr>
                            <w:sz w:val="18"/>
                          </w:rPr>
                        </w:pPr>
                        <w:r>
                          <w:rPr>
                            <w:sz w:val="18"/>
                          </w:rPr>
                          <w:t>2</w:t>
                        </w:r>
                      </w:p>
                    </w:tc>
                    <w:tc>
                      <w:tcPr>
                        <w:tcW w:w="418" w:type="dxa"/>
                      </w:tcPr>
                      <w:p>
                        <w:pPr>
                          <w:pStyle w:val="TableParagraph"/>
                          <w:spacing w:before="154"/>
                          <w:ind w:right="1"/>
                          <w:jc w:val="center"/>
                          <w:rPr>
                            <w:sz w:val="18"/>
                          </w:rPr>
                        </w:pPr>
                        <w:r>
                          <w:rPr>
                            <w:sz w:val="18"/>
                          </w:rPr>
                          <w:t>2</w:t>
                        </w:r>
                      </w:p>
                    </w:tc>
                    <w:tc>
                      <w:tcPr>
                        <w:tcW w:w="469" w:type="dxa"/>
                      </w:tcPr>
                      <w:p>
                        <w:pPr>
                          <w:pStyle w:val="TableParagraph"/>
                          <w:spacing w:before="154"/>
                          <w:jc w:val="center"/>
                          <w:rPr>
                            <w:sz w:val="18"/>
                          </w:rPr>
                        </w:pPr>
                        <w:r>
                          <w:rPr>
                            <w:sz w:val="18"/>
                          </w:rPr>
                          <w:t>2</w:t>
                        </w:r>
                      </w:p>
                    </w:tc>
                    <w:tc>
                      <w:tcPr>
                        <w:tcW w:w="425" w:type="dxa"/>
                      </w:tcPr>
                      <w:p>
                        <w:pPr>
                          <w:pStyle w:val="TableParagraph"/>
                          <w:spacing w:before="154"/>
                          <w:ind w:right="162"/>
                          <w:jc w:val="right"/>
                          <w:rPr>
                            <w:sz w:val="18"/>
                          </w:rPr>
                        </w:pPr>
                        <w:r>
                          <w:rPr>
                            <w:sz w:val="18"/>
                          </w:rPr>
                          <w:t>2</w:t>
                        </w:r>
                      </w:p>
                    </w:tc>
                    <w:tc>
                      <w:tcPr>
                        <w:tcW w:w="463" w:type="dxa"/>
                      </w:tcPr>
                      <w:p>
                        <w:pPr>
                          <w:pStyle w:val="TableParagraph"/>
                          <w:spacing w:before="154"/>
                          <w:ind w:left="180"/>
                          <w:rPr>
                            <w:sz w:val="18"/>
                          </w:rPr>
                        </w:pPr>
                        <w:r>
                          <w:rPr>
                            <w:sz w:val="18"/>
                          </w:rPr>
                          <w:t>3</w:t>
                        </w:r>
                      </w:p>
                    </w:tc>
                    <w:tc>
                      <w:tcPr>
                        <w:tcW w:w="424" w:type="dxa"/>
                      </w:tcPr>
                      <w:p>
                        <w:pPr>
                          <w:pStyle w:val="TableParagraph"/>
                          <w:spacing w:before="154"/>
                          <w:jc w:val="center"/>
                          <w:rPr>
                            <w:sz w:val="18"/>
                          </w:rPr>
                        </w:pPr>
                        <w:r>
                          <w:rPr>
                            <w:sz w:val="18"/>
                          </w:rPr>
                          <w:t>3</w:t>
                        </w:r>
                      </w:p>
                    </w:tc>
                    <w:tc>
                      <w:tcPr>
                        <w:tcW w:w="478" w:type="dxa"/>
                      </w:tcPr>
                      <w:p>
                        <w:pPr>
                          <w:pStyle w:val="TableParagraph"/>
                          <w:spacing w:before="154"/>
                          <w:ind w:left="188"/>
                          <w:rPr>
                            <w:sz w:val="18"/>
                          </w:rPr>
                        </w:pPr>
                        <w:r>
                          <w:rPr>
                            <w:sz w:val="18"/>
                          </w:rPr>
                          <w:t>3</w:t>
                        </w:r>
                      </w:p>
                    </w:tc>
                    <w:tc>
                      <w:tcPr>
                        <w:tcW w:w="420" w:type="dxa"/>
                      </w:tcPr>
                      <w:p>
                        <w:pPr>
                          <w:pStyle w:val="TableParagraph"/>
                          <w:spacing w:before="154"/>
                          <w:ind w:right="1"/>
                          <w:jc w:val="center"/>
                          <w:rPr>
                            <w:sz w:val="18"/>
                          </w:rPr>
                        </w:pPr>
                        <w:r>
                          <w:rPr>
                            <w:sz w:val="18"/>
                          </w:rPr>
                          <w:t>3</w:t>
                        </w:r>
                      </w:p>
                    </w:tc>
                  </w:tr>
                  <w:tr>
                    <w:trPr>
                      <w:trHeight w:val="534" w:hRule="exact"/>
                    </w:trPr>
                    <w:tc>
                      <w:tcPr>
                        <w:tcW w:w="594" w:type="dxa"/>
                        <w:vMerge/>
                      </w:tcPr>
                      <w:p>
                        <w:pPr/>
                      </w:p>
                    </w:tc>
                    <w:tc>
                      <w:tcPr>
                        <w:tcW w:w="910" w:type="dxa"/>
                      </w:tcPr>
                      <w:p>
                        <w:pPr>
                          <w:pStyle w:val="TableParagraph"/>
                          <w:spacing w:before="153"/>
                          <w:ind w:right="1"/>
                          <w:jc w:val="center"/>
                          <w:rPr>
                            <w:sz w:val="18"/>
                          </w:rPr>
                        </w:pPr>
                        <w:r>
                          <w:rPr>
                            <w:sz w:val="18"/>
                          </w:rPr>
                          <w:t>3</w:t>
                        </w:r>
                      </w:p>
                    </w:tc>
                    <w:tc>
                      <w:tcPr>
                        <w:tcW w:w="481" w:type="dxa"/>
                      </w:tcPr>
                      <w:p>
                        <w:pPr>
                          <w:pStyle w:val="TableParagraph"/>
                          <w:spacing w:before="153"/>
                          <w:ind w:right="188"/>
                          <w:jc w:val="right"/>
                          <w:rPr>
                            <w:sz w:val="18"/>
                          </w:rPr>
                        </w:pPr>
                        <w:r>
                          <w:rPr>
                            <w:sz w:val="18"/>
                          </w:rPr>
                          <w:t>2</w:t>
                        </w:r>
                      </w:p>
                    </w:tc>
                    <w:tc>
                      <w:tcPr>
                        <w:tcW w:w="418" w:type="dxa"/>
                      </w:tcPr>
                      <w:p>
                        <w:pPr>
                          <w:pStyle w:val="TableParagraph"/>
                          <w:spacing w:before="153"/>
                          <w:ind w:right="1"/>
                          <w:jc w:val="center"/>
                          <w:rPr>
                            <w:sz w:val="18"/>
                          </w:rPr>
                        </w:pPr>
                        <w:r>
                          <w:rPr>
                            <w:sz w:val="18"/>
                          </w:rPr>
                          <w:t>3</w:t>
                        </w:r>
                      </w:p>
                    </w:tc>
                    <w:tc>
                      <w:tcPr>
                        <w:tcW w:w="469" w:type="dxa"/>
                      </w:tcPr>
                      <w:p>
                        <w:pPr>
                          <w:pStyle w:val="TableParagraph"/>
                          <w:spacing w:before="153"/>
                          <w:jc w:val="center"/>
                          <w:rPr>
                            <w:sz w:val="18"/>
                          </w:rPr>
                        </w:pPr>
                        <w:r>
                          <w:rPr>
                            <w:sz w:val="18"/>
                          </w:rPr>
                          <w:t>3</w:t>
                        </w:r>
                      </w:p>
                    </w:tc>
                    <w:tc>
                      <w:tcPr>
                        <w:tcW w:w="425" w:type="dxa"/>
                      </w:tcPr>
                      <w:p>
                        <w:pPr>
                          <w:pStyle w:val="TableParagraph"/>
                          <w:spacing w:before="153"/>
                          <w:ind w:right="162"/>
                          <w:jc w:val="right"/>
                          <w:rPr>
                            <w:sz w:val="18"/>
                          </w:rPr>
                        </w:pPr>
                        <w:r>
                          <w:rPr>
                            <w:sz w:val="18"/>
                          </w:rPr>
                          <w:t>3</w:t>
                        </w:r>
                      </w:p>
                    </w:tc>
                    <w:tc>
                      <w:tcPr>
                        <w:tcW w:w="463" w:type="dxa"/>
                      </w:tcPr>
                      <w:p>
                        <w:pPr>
                          <w:pStyle w:val="TableParagraph"/>
                          <w:spacing w:before="153"/>
                          <w:ind w:left="180"/>
                          <w:rPr>
                            <w:sz w:val="18"/>
                          </w:rPr>
                        </w:pPr>
                        <w:r>
                          <w:rPr>
                            <w:sz w:val="18"/>
                          </w:rPr>
                          <w:t>3</w:t>
                        </w:r>
                      </w:p>
                    </w:tc>
                    <w:tc>
                      <w:tcPr>
                        <w:tcW w:w="424" w:type="dxa"/>
                      </w:tcPr>
                      <w:p>
                        <w:pPr>
                          <w:pStyle w:val="TableParagraph"/>
                          <w:spacing w:before="153"/>
                          <w:jc w:val="center"/>
                          <w:rPr>
                            <w:sz w:val="18"/>
                          </w:rPr>
                        </w:pPr>
                        <w:r>
                          <w:rPr>
                            <w:sz w:val="18"/>
                          </w:rPr>
                          <w:t>3</w:t>
                        </w:r>
                      </w:p>
                    </w:tc>
                    <w:tc>
                      <w:tcPr>
                        <w:tcW w:w="478" w:type="dxa"/>
                      </w:tcPr>
                      <w:p>
                        <w:pPr>
                          <w:pStyle w:val="TableParagraph"/>
                          <w:spacing w:before="153"/>
                          <w:ind w:left="188"/>
                          <w:rPr>
                            <w:sz w:val="18"/>
                          </w:rPr>
                        </w:pPr>
                        <w:r>
                          <w:rPr>
                            <w:sz w:val="18"/>
                          </w:rPr>
                          <w:t>4</w:t>
                        </w:r>
                      </w:p>
                    </w:tc>
                    <w:tc>
                      <w:tcPr>
                        <w:tcW w:w="420" w:type="dxa"/>
                      </w:tcPr>
                      <w:p>
                        <w:pPr>
                          <w:pStyle w:val="TableParagraph"/>
                          <w:spacing w:before="153"/>
                          <w:ind w:right="1"/>
                          <w:jc w:val="center"/>
                          <w:rPr>
                            <w:sz w:val="18"/>
                          </w:rPr>
                        </w:pPr>
                        <w:r>
                          <w:rPr>
                            <w:sz w:val="18"/>
                          </w:rPr>
                          <w:t>4</w:t>
                        </w:r>
                      </w:p>
                    </w:tc>
                  </w:tr>
                  <w:tr>
                    <w:trPr>
                      <w:trHeight w:val="325" w:hRule="exact"/>
                    </w:trPr>
                    <w:tc>
                      <w:tcPr>
                        <w:tcW w:w="594" w:type="dxa"/>
                        <w:vMerge w:val="restart"/>
                      </w:tcPr>
                      <w:p>
                        <w:pPr>
                          <w:pStyle w:val="TableParagraph"/>
                          <w:rPr>
                            <w:sz w:val="18"/>
                          </w:rPr>
                        </w:pPr>
                      </w:p>
                      <w:p>
                        <w:pPr>
                          <w:pStyle w:val="TableParagraph"/>
                          <w:spacing w:before="7"/>
                          <w:rPr>
                            <w:sz w:val="14"/>
                          </w:rPr>
                        </w:pPr>
                      </w:p>
                      <w:p>
                        <w:pPr>
                          <w:pStyle w:val="TableParagraph"/>
                          <w:jc w:val="center"/>
                          <w:rPr>
                            <w:sz w:val="18"/>
                          </w:rPr>
                        </w:pPr>
                        <w:r>
                          <w:rPr>
                            <w:sz w:val="18"/>
                          </w:rPr>
                          <w:t>2</w:t>
                        </w:r>
                      </w:p>
                    </w:tc>
                    <w:tc>
                      <w:tcPr>
                        <w:tcW w:w="910" w:type="dxa"/>
                      </w:tcPr>
                      <w:p>
                        <w:pPr>
                          <w:pStyle w:val="TableParagraph"/>
                          <w:spacing w:before="50"/>
                          <w:ind w:right="1"/>
                          <w:jc w:val="center"/>
                          <w:rPr>
                            <w:sz w:val="18"/>
                          </w:rPr>
                        </w:pPr>
                        <w:r>
                          <w:rPr>
                            <w:sz w:val="18"/>
                          </w:rPr>
                          <w:t>1</w:t>
                        </w:r>
                      </w:p>
                    </w:tc>
                    <w:tc>
                      <w:tcPr>
                        <w:tcW w:w="481" w:type="dxa"/>
                      </w:tcPr>
                      <w:p>
                        <w:pPr>
                          <w:pStyle w:val="TableParagraph"/>
                          <w:spacing w:before="50"/>
                          <w:ind w:right="188"/>
                          <w:jc w:val="right"/>
                          <w:rPr>
                            <w:sz w:val="18"/>
                          </w:rPr>
                        </w:pPr>
                        <w:r>
                          <w:rPr>
                            <w:sz w:val="18"/>
                          </w:rPr>
                          <w:t>2</w:t>
                        </w:r>
                      </w:p>
                    </w:tc>
                    <w:tc>
                      <w:tcPr>
                        <w:tcW w:w="418" w:type="dxa"/>
                      </w:tcPr>
                      <w:p>
                        <w:pPr>
                          <w:pStyle w:val="TableParagraph"/>
                          <w:spacing w:before="50"/>
                          <w:ind w:right="1"/>
                          <w:jc w:val="center"/>
                          <w:rPr>
                            <w:sz w:val="18"/>
                          </w:rPr>
                        </w:pPr>
                        <w:r>
                          <w:rPr>
                            <w:sz w:val="18"/>
                          </w:rPr>
                          <w:t>3</w:t>
                        </w:r>
                      </w:p>
                    </w:tc>
                    <w:tc>
                      <w:tcPr>
                        <w:tcW w:w="469" w:type="dxa"/>
                      </w:tcPr>
                      <w:p>
                        <w:pPr>
                          <w:pStyle w:val="TableParagraph"/>
                          <w:spacing w:before="50"/>
                          <w:jc w:val="center"/>
                          <w:rPr>
                            <w:sz w:val="18"/>
                          </w:rPr>
                        </w:pPr>
                        <w:r>
                          <w:rPr>
                            <w:sz w:val="18"/>
                          </w:rPr>
                          <w:t>3</w:t>
                        </w:r>
                      </w:p>
                    </w:tc>
                    <w:tc>
                      <w:tcPr>
                        <w:tcW w:w="425" w:type="dxa"/>
                      </w:tcPr>
                      <w:p>
                        <w:pPr>
                          <w:pStyle w:val="TableParagraph"/>
                          <w:spacing w:before="50"/>
                          <w:ind w:right="162"/>
                          <w:jc w:val="right"/>
                          <w:rPr>
                            <w:sz w:val="18"/>
                          </w:rPr>
                        </w:pPr>
                        <w:r>
                          <w:rPr>
                            <w:sz w:val="18"/>
                          </w:rPr>
                          <w:t>3</w:t>
                        </w:r>
                      </w:p>
                    </w:tc>
                    <w:tc>
                      <w:tcPr>
                        <w:tcW w:w="463" w:type="dxa"/>
                      </w:tcPr>
                      <w:p>
                        <w:pPr>
                          <w:pStyle w:val="TableParagraph"/>
                          <w:spacing w:before="50"/>
                          <w:ind w:left="179"/>
                          <w:rPr>
                            <w:sz w:val="18"/>
                          </w:rPr>
                        </w:pPr>
                        <w:r>
                          <w:rPr>
                            <w:sz w:val="18"/>
                          </w:rPr>
                          <w:t>3</w:t>
                        </w:r>
                      </w:p>
                    </w:tc>
                    <w:tc>
                      <w:tcPr>
                        <w:tcW w:w="424" w:type="dxa"/>
                      </w:tcPr>
                      <w:p>
                        <w:pPr>
                          <w:pStyle w:val="TableParagraph"/>
                          <w:spacing w:before="50"/>
                          <w:jc w:val="center"/>
                          <w:rPr>
                            <w:sz w:val="18"/>
                          </w:rPr>
                        </w:pPr>
                        <w:r>
                          <w:rPr>
                            <w:sz w:val="18"/>
                          </w:rPr>
                          <w:t>4</w:t>
                        </w:r>
                      </w:p>
                    </w:tc>
                    <w:tc>
                      <w:tcPr>
                        <w:tcW w:w="478" w:type="dxa"/>
                      </w:tcPr>
                      <w:p>
                        <w:pPr>
                          <w:pStyle w:val="TableParagraph"/>
                          <w:spacing w:before="50"/>
                          <w:ind w:left="188"/>
                          <w:rPr>
                            <w:sz w:val="18"/>
                          </w:rPr>
                        </w:pPr>
                        <w:r>
                          <w:rPr>
                            <w:sz w:val="18"/>
                          </w:rPr>
                          <w:t>4</w:t>
                        </w:r>
                      </w:p>
                    </w:tc>
                    <w:tc>
                      <w:tcPr>
                        <w:tcW w:w="420" w:type="dxa"/>
                      </w:tcPr>
                      <w:p>
                        <w:pPr>
                          <w:pStyle w:val="TableParagraph"/>
                          <w:spacing w:before="50"/>
                          <w:ind w:right="1"/>
                          <w:jc w:val="center"/>
                          <w:rPr>
                            <w:sz w:val="18"/>
                          </w:rPr>
                        </w:pPr>
                        <w:r>
                          <w:rPr>
                            <w:sz w:val="18"/>
                          </w:rPr>
                          <w:t>4</w:t>
                        </w:r>
                      </w:p>
                    </w:tc>
                  </w:tr>
                  <w:tr>
                    <w:trPr>
                      <w:trHeight w:val="325" w:hRule="exact"/>
                    </w:trPr>
                    <w:tc>
                      <w:tcPr>
                        <w:tcW w:w="594" w:type="dxa"/>
                        <w:vMerge/>
                      </w:tcPr>
                      <w:p>
                        <w:pPr/>
                      </w:p>
                    </w:tc>
                    <w:tc>
                      <w:tcPr>
                        <w:tcW w:w="910" w:type="dxa"/>
                      </w:tcPr>
                      <w:p>
                        <w:pPr>
                          <w:pStyle w:val="TableParagraph"/>
                          <w:spacing w:before="50"/>
                          <w:ind w:right="1"/>
                          <w:jc w:val="center"/>
                          <w:rPr>
                            <w:sz w:val="18"/>
                          </w:rPr>
                        </w:pPr>
                        <w:r>
                          <w:rPr>
                            <w:sz w:val="18"/>
                          </w:rPr>
                          <w:t>2</w:t>
                        </w:r>
                      </w:p>
                    </w:tc>
                    <w:tc>
                      <w:tcPr>
                        <w:tcW w:w="481" w:type="dxa"/>
                      </w:tcPr>
                      <w:p>
                        <w:pPr>
                          <w:pStyle w:val="TableParagraph"/>
                          <w:spacing w:before="50"/>
                          <w:ind w:right="188"/>
                          <w:jc w:val="right"/>
                          <w:rPr>
                            <w:sz w:val="18"/>
                          </w:rPr>
                        </w:pPr>
                        <w:r>
                          <w:rPr>
                            <w:sz w:val="18"/>
                          </w:rPr>
                          <w:t>3</w:t>
                        </w:r>
                      </w:p>
                    </w:tc>
                    <w:tc>
                      <w:tcPr>
                        <w:tcW w:w="418" w:type="dxa"/>
                      </w:tcPr>
                      <w:p>
                        <w:pPr>
                          <w:pStyle w:val="TableParagraph"/>
                          <w:spacing w:before="50"/>
                          <w:ind w:right="1"/>
                          <w:jc w:val="center"/>
                          <w:rPr>
                            <w:sz w:val="18"/>
                          </w:rPr>
                        </w:pPr>
                        <w:r>
                          <w:rPr>
                            <w:sz w:val="18"/>
                          </w:rPr>
                          <w:t>3</w:t>
                        </w:r>
                      </w:p>
                    </w:tc>
                    <w:tc>
                      <w:tcPr>
                        <w:tcW w:w="469" w:type="dxa"/>
                      </w:tcPr>
                      <w:p>
                        <w:pPr>
                          <w:pStyle w:val="TableParagraph"/>
                          <w:spacing w:before="50"/>
                          <w:jc w:val="center"/>
                          <w:rPr>
                            <w:sz w:val="18"/>
                          </w:rPr>
                        </w:pPr>
                        <w:r>
                          <w:rPr>
                            <w:sz w:val="18"/>
                          </w:rPr>
                          <w:t>3</w:t>
                        </w:r>
                      </w:p>
                    </w:tc>
                    <w:tc>
                      <w:tcPr>
                        <w:tcW w:w="425" w:type="dxa"/>
                      </w:tcPr>
                      <w:p>
                        <w:pPr>
                          <w:pStyle w:val="TableParagraph"/>
                          <w:spacing w:before="50"/>
                          <w:ind w:right="162"/>
                          <w:jc w:val="right"/>
                          <w:rPr>
                            <w:sz w:val="18"/>
                          </w:rPr>
                        </w:pPr>
                        <w:r>
                          <w:rPr>
                            <w:sz w:val="18"/>
                          </w:rPr>
                          <w:t>3</w:t>
                        </w:r>
                      </w:p>
                    </w:tc>
                    <w:tc>
                      <w:tcPr>
                        <w:tcW w:w="463" w:type="dxa"/>
                      </w:tcPr>
                      <w:p>
                        <w:pPr>
                          <w:pStyle w:val="TableParagraph"/>
                          <w:spacing w:before="50"/>
                          <w:ind w:left="180"/>
                          <w:rPr>
                            <w:sz w:val="18"/>
                          </w:rPr>
                        </w:pPr>
                        <w:r>
                          <w:rPr>
                            <w:sz w:val="18"/>
                          </w:rPr>
                          <w:t>3</w:t>
                        </w:r>
                      </w:p>
                    </w:tc>
                    <w:tc>
                      <w:tcPr>
                        <w:tcW w:w="424" w:type="dxa"/>
                      </w:tcPr>
                      <w:p>
                        <w:pPr>
                          <w:pStyle w:val="TableParagraph"/>
                          <w:spacing w:before="50"/>
                          <w:jc w:val="center"/>
                          <w:rPr>
                            <w:sz w:val="18"/>
                          </w:rPr>
                        </w:pPr>
                        <w:r>
                          <w:rPr>
                            <w:sz w:val="18"/>
                          </w:rPr>
                          <w:t>4</w:t>
                        </w:r>
                      </w:p>
                    </w:tc>
                    <w:tc>
                      <w:tcPr>
                        <w:tcW w:w="478" w:type="dxa"/>
                      </w:tcPr>
                      <w:p>
                        <w:pPr>
                          <w:pStyle w:val="TableParagraph"/>
                          <w:spacing w:before="50"/>
                          <w:ind w:left="188"/>
                          <w:rPr>
                            <w:sz w:val="18"/>
                          </w:rPr>
                        </w:pPr>
                        <w:r>
                          <w:rPr>
                            <w:sz w:val="18"/>
                          </w:rPr>
                          <w:t>4</w:t>
                        </w:r>
                      </w:p>
                    </w:tc>
                    <w:tc>
                      <w:tcPr>
                        <w:tcW w:w="420" w:type="dxa"/>
                      </w:tcPr>
                      <w:p>
                        <w:pPr>
                          <w:pStyle w:val="TableParagraph"/>
                          <w:spacing w:before="50"/>
                          <w:ind w:right="1"/>
                          <w:jc w:val="center"/>
                          <w:rPr>
                            <w:sz w:val="18"/>
                          </w:rPr>
                        </w:pPr>
                        <w:r>
                          <w:rPr>
                            <w:sz w:val="18"/>
                          </w:rPr>
                          <w:t>4</w:t>
                        </w:r>
                      </w:p>
                    </w:tc>
                  </w:tr>
                  <w:tr>
                    <w:trPr>
                      <w:trHeight w:val="325" w:hRule="exact"/>
                    </w:trPr>
                    <w:tc>
                      <w:tcPr>
                        <w:tcW w:w="594" w:type="dxa"/>
                        <w:vMerge/>
                      </w:tcPr>
                      <w:p>
                        <w:pPr/>
                      </w:p>
                    </w:tc>
                    <w:tc>
                      <w:tcPr>
                        <w:tcW w:w="910" w:type="dxa"/>
                      </w:tcPr>
                      <w:p>
                        <w:pPr>
                          <w:pStyle w:val="TableParagraph"/>
                          <w:spacing w:before="49"/>
                          <w:ind w:right="1"/>
                          <w:jc w:val="center"/>
                          <w:rPr>
                            <w:sz w:val="18"/>
                          </w:rPr>
                        </w:pPr>
                        <w:r>
                          <w:rPr>
                            <w:sz w:val="18"/>
                          </w:rPr>
                          <w:t>3</w:t>
                        </w:r>
                      </w:p>
                    </w:tc>
                    <w:tc>
                      <w:tcPr>
                        <w:tcW w:w="481" w:type="dxa"/>
                      </w:tcPr>
                      <w:p>
                        <w:pPr>
                          <w:pStyle w:val="TableParagraph"/>
                          <w:spacing w:before="49"/>
                          <w:ind w:right="188"/>
                          <w:jc w:val="right"/>
                          <w:rPr>
                            <w:sz w:val="18"/>
                          </w:rPr>
                        </w:pPr>
                        <w:r>
                          <w:rPr>
                            <w:sz w:val="18"/>
                          </w:rPr>
                          <w:t>3</w:t>
                        </w:r>
                      </w:p>
                    </w:tc>
                    <w:tc>
                      <w:tcPr>
                        <w:tcW w:w="418" w:type="dxa"/>
                      </w:tcPr>
                      <w:p>
                        <w:pPr>
                          <w:pStyle w:val="TableParagraph"/>
                          <w:spacing w:before="49"/>
                          <w:ind w:right="1"/>
                          <w:jc w:val="center"/>
                          <w:rPr>
                            <w:sz w:val="18"/>
                          </w:rPr>
                        </w:pPr>
                        <w:r>
                          <w:rPr>
                            <w:sz w:val="18"/>
                          </w:rPr>
                          <w:t>4</w:t>
                        </w:r>
                      </w:p>
                    </w:tc>
                    <w:tc>
                      <w:tcPr>
                        <w:tcW w:w="469" w:type="dxa"/>
                      </w:tcPr>
                      <w:p>
                        <w:pPr>
                          <w:pStyle w:val="TableParagraph"/>
                          <w:spacing w:before="49"/>
                          <w:jc w:val="center"/>
                          <w:rPr>
                            <w:sz w:val="18"/>
                          </w:rPr>
                        </w:pPr>
                        <w:r>
                          <w:rPr>
                            <w:sz w:val="18"/>
                          </w:rPr>
                          <w:t>4</w:t>
                        </w:r>
                      </w:p>
                    </w:tc>
                    <w:tc>
                      <w:tcPr>
                        <w:tcW w:w="425" w:type="dxa"/>
                      </w:tcPr>
                      <w:p>
                        <w:pPr>
                          <w:pStyle w:val="TableParagraph"/>
                          <w:spacing w:before="49"/>
                          <w:ind w:right="162"/>
                          <w:jc w:val="right"/>
                          <w:rPr>
                            <w:sz w:val="18"/>
                          </w:rPr>
                        </w:pPr>
                        <w:r>
                          <w:rPr>
                            <w:sz w:val="18"/>
                          </w:rPr>
                          <w:t>4</w:t>
                        </w:r>
                      </w:p>
                    </w:tc>
                    <w:tc>
                      <w:tcPr>
                        <w:tcW w:w="463" w:type="dxa"/>
                      </w:tcPr>
                      <w:p>
                        <w:pPr>
                          <w:pStyle w:val="TableParagraph"/>
                          <w:spacing w:before="49"/>
                          <w:ind w:left="180"/>
                          <w:rPr>
                            <w:sz w:val="18"/>
                          </w:rPr>
                        </w:pPr>
                        <w:r>
                          <w:rPr>
                            <w:sz w:val="18"/>
                          </w:rPr>
                          <w:t>4</w:t>
                        </w:r>
                      </w:p>
                    </w:tc>
                    <w:tc>
                      <w:tcPr>
                        <w:tcW w:w="424" w:type="dxa"/>
                      </w:tcPr>
                      <w:p>
                        <w:pPr>
                          <w:pStyle w:val="TableParagraph"/>
                          <w:spacing w:before="49"/>
                          <w:jc w:val="center"/>
                          <w:rPr>
                            <w:sz w:val="18"/>
                          </w:rPr>
                        </w:pPr>
                        <w:r>
                          <w:rPr>
                            <w:sz w:val="18"/>
                          </w:rPr>
                          <w:t>4</w:t>
                        </w:r>
                      </w:p>
                    </w:tc>
                    <w:tc>
                      <w:tcPr>
                        <w:tcW w:w="478" w:type="dxa"/>
                      </w:tcPr>
                      <w:p>
                        <w:pPr>
                          <w:pStyle w:val="TableParagraph"/>
                          <w:spacing w:before="49"/>
                          <w:ind w:left="188"/>
                          <w:rPr>
                            <w:sz w:val="18"/>
                          </w:rPr>
                        </w:pPr>
                        <w:r>
                          <w:rPr>
                            <w:sz w:val="18"/>
                          </w:rPr>
                          <w:t>5</w:t>
                        </w:r>
                      </w:p>
                    </w:tc>
                    <w:tc>
                      <w:tcPr>
                        <w:tcW w:w="420" w:type="dxa"/>
                      </w:tcPr>
                      <w:p>
                        <w:pPr>
                          <w:pStyle w:val="TableParagraph"/>
                          <w:spacing w:before="49"/>
                          <w:ind w:right="1"/>
                          <w:jc w:val="center"/>
                          <w:rPr>
                            <w:sz w:val="18"/>
                          </w:rPr>
                        </w:pPr>
                        <w:r>
                          <w:rPr>
                            <w:sz w:val="18"/>
                          </w:rPr>
                          <w:t>5</w:t>
                        </w:r>
                      </w:p>
                    </w:tc>
                  </w:tr>
                  <w:tr>
                    <w:trPr>
                      <w:trHeight w:val="325" w:hRule="exact"/>
                    </w:trPr>
                    <w:tc>
                      <w:tcPr>
                        <w:tcW w:w="594" w:type="dxa"/>
                        <w:vMerge w:val="restart"/>
                      </w:tcPr>
                      <w:p>
                        <w:pPr>
                          <w:pStyle w:val="TableParagraph"/>
                          <w:rPr>
                            <w:sz w:val="18"/>
                          </w:rPr>
                        </w:pPr>
                      </w:p>
                      <w:p>
                        <w:pPr>
                          <w:pStyle w:val="TableParagraph"/>
                          <w:spacing w:before="6"/>
                          <w:rPr>
                            <w:sz w:val="14"/>
                          </w:rPr>
                        </w:pPr>
                      </w:p>
                      <w:p>
                        <w:pPr>
                          <w:pStyle w:val="TableParagraph"/>
                          <w:jc w:val="center"/>
                          <w:rPr>
                            <w:sz w:val="18"/>
                          </w:rPr>
                        </w:pPr>
                        <w:r>
                          <w:rPr>
                            <w:sz w:val="18"/>
                          </w:rPr>
                          <w:t>3</w:t>
                        </w:r>
                      </w:p>
                    </w:tc>
                    <w:tc>
                      <w:tcPr>
                        <w:tcW w:w="910" w:type="dxa"/>
                      </w:tcPr>
                      <w:p>
                        <w:pPr>
                          <w:pStyle w:val="TableParagraph"/>
                          <w:spacing w:before="49"/>
                          <w:ind w:right="1"/>
                          <w:jc w:val="center"/>
                          <w:rPr>
                            <w:sz w:val="18"/>
                          </w:rPr>
                        </w:pPr>
                        <w:r>
                          <w:rPr>
                            <w:sz w:val="18"/>
                          </w:rPr>
                          <w:t>1</w:t>
                        </w:r>
                      </w:p>
                    </w:tc>
                    <w:tc>
                      <w:tcPr>
                        <w:tcW w:w="481" w:type="dxa"/>
                      </w:tcPr>
                      <w:p>
                        <w:pPr>
                          <w:pStyle w:val="TableParagraph"/>
                          <w:spacing w:before="49"/>
                          <w:ind w:right="188"/>
                          <w:jc w:val="right"/>
                          <w:rPr>
                            <w:sz w:val="18"/>
                          </w:rPr>
                        </w:pPr>
                        <w:r>
                          <w:rPr>
                            <w:sz w:val="18"/>
                          </w:rPr>
                          <w:t>3</w:t>
                        </w:r>
                      </w:p>
                    </w:tc>
                    <w:tc>
                      <w:tcPr>
                        <w:tcW w:w="418" w:type="dxa"/>
                      </w:tcPr>
                      <w:p>
                        <w:pPr>
                          <w:pStyle w:val="TableParagraph"/>
                          <w:spacing w:before="49"/>
                          <w:ind w:right="1"/>
                          <w:jc w:val="center"/>
                          <w:rPr>
                            <w:sz w:val="18"/>
                          </w:rPr>
                        </w:pPr>
                        <w:r>
                          <w:rPr>
                            <w:sz w:val="18"/>
                          </w:rPr>
                          <w:t>3</w:t>
                        </w:r>
                      </w:p>
                    </w:tc>
                    <w:tc>
                      <w:tcPr>
                        <w:tcW w:w="469" w:type="dxa"/>
                      </w:tcPr>
                      <w:p>
                        <w:pPr>
                          <w:pStyle w:val="TableParagraph"/>
                          <w:spacing w:before="49"/>
                          <w:jc w:val="center"/>
                          <w:rPr>
                            <w:sz w:val="18"/>
                          </w:rPr>
                        </w:pPr>
                        <w:r>
                          <w:rPr>
                            <w:sz w:val="18"/>
                          </w:rPr>
                          <w:t>4</w:t>
                        </w:r>
                      </w:p>
                    </w:tc>
                    <w:tc>
                      <w:tcPr>
                        <w:tcW w:w="425" w:type="dxa"/>
                      </w:tcPr>
                      <w:p>
                        <w:pPr>
                          <w:pStyle w:val="TableParagraph"/>
                          <w:spacing w:before="49"/>
                          <w:ind w:right="162"/>
                          <w:jc w:val="right"/>
                          <w:rPr>
                            <w:sz w:val="18"/>
                          </w:rPr>
                        </w:pPr>
                        <w:r>
                          <w:rPr>
                            <w:sz w:val="18"/>
                          </w:rPr>
                          <w:t>4</w:t>
                        </w:r>
                      </w:p>
                    </w:tc>
                    <w:tc>
                      <w:tcPr>
                        <w:tcW w:w="463" w:type="dxa"/>
                      </w:tcPr>
                      <w:p>
                        <w:pPr>
                          <w:pStyle w:val="TableParagraph"/>
                          <w:spacing w:before="49"/>
                          <w:ind w:left="179"/>
                          <w:rPr>
                            <w:sz w:val="18"/>
                          </w:rPr>
                        </w:pPr>
                        <w:r>
                          <w:rPr>
                            <w:sz w:val="18"/>
                          </w:rPr>
                          <w:t>4</w:t>
                        </w:r>
                      </w:p>
                    </w:tc>
                    <w:tc>
                      <w:tcPr>
                        <w:tcW w:w="424" w:type="dxa"/>
                      </w:tcPr>
                      <w:p>
                        <w:pPr>
                          <w:pStyle w:val="TableParagraph"/>
                          <w:spacing w:before="49"/>
                          <w:jc w:val="center"/>
                          <w:rPr>
                            <w:sz w:val="18"/>
                          </w:rPr>
                        </w:pPr>
                        <w:r>
                          <w:rPr>
                            <w:sz w:val="18"/>
                          </w:rPr>
                          <w:t>4</w:t>
                        </w:r>
                      </w:p>
                    </w:tc>
                    <w:tc>
                      <w:tcPr>
                        <w:tcW w:w="478" w:type="dxa"/>
                      </w:tcPr>
                      <w:p>
                        <w:pPr>
                          <w:pStyle w:val="TableParagraph"/>
                          <w:spacing w:before="49"/>
                          <w:ind w:left="188"/>
                          <w:rPr>
                            <w:sz w:val="18"/>
                          </w:rPr>
                        </w:pPr>
                        <w:r>
                          <w:rPr>
                            <w:sz w:val="18"/>
                          </w:rPr>
                          <w:t>5</w:t>
                        </w:r>
                      </w:p>
                    </w:tc>
                    <w:tc>
                      <w:tcPr>
                        <w:tcW w:w="420" w:type="dxa"/>
                      </w:tcPr>
                      <w:p>
                        <w:pPr>
                          <w:pStyle w:val="TableParagraph"/>
                          <w:spacing w:before="49"/>
                          <w:ind w:right="1"/>
                          <w:jc w:val="center"/>
                          <w:rPr>
                            <w:sz w:val="18"/>
                          </w:rPr>
                        </w:pPr>
                        <w:r>
                          <w:rPr>
                            <w:sz w:val="18"/>
                          </w:rPr>
                          <w:t>5</w:t>
                        </w:r>
                      </w:p>
                    </w:tc>
                  </w:tr>
                  <w:tr>
                    <w:trPr>
                      <w:trHeight w:val="325" w:hRule="exact"/>
                    </w:trPr>
                    <w:tc>
                      <w:tcPr>
                        <w:tcW w:w="594" w:type="dxa"/>
                        <w:vMerge/>
                      </w:tcPr>
                      <w:p>
                        <w:pPr/>
                      </w:p>
                    </w:tc>
                    <w:tc>
                      <w:tcPr>
                        <w:tcW w:w="910" w:type="dxa"/>
                      </w:tcPr>
                      <w:p>
                        <w:pPr>
                          <w:pStyle w:val="TableParagraph"/>
                          <w:spacing w:before="49"/>
                          <w:ind w:right="1"/>
                          <w:jc w:val="center"/>
                          <w:rPr>
                            <w:sz w:val="18"/>
                          </w:rPr>
                        </w:pPr>
                        <w:r>
                          <w:rPr>
                            <w:sz w:val="18"/>
                          </w:rPr>
                          <w:t>2</w:t>
                        </w:r>
                      </w:p>
                    </w:tc>
                    <w:tc>
                      <w:tcPr>
                        <w:tcW w:w="481" w:type="dxa"/>
                      </w:tcPr>
                      <w:p>
                        <w:pPr>
                          <w:pStyle w:val="TableParagraph"/>
                          <w:spacing w:before="49"/>
                          <w:ind w:right="188"/>
                          <w:jc w:val="right"/>
                          <w:rPr>
                            <w:sz w:val="18"/>
                          </w:rPr>
                        </w:pPr>
                        <w:r>
                          <w:rPr>
                            <w:sz w:val="18"/>
                          </w:rPr>
                          <w:t>3</w:t>
                        </w:r>
                      </w:p>
                    </w:tc>
                    <w:tc>
                      <w:tcPr>
                        <w:tcW w:w="418" w:type="dxa"/>
                      </w:tcPr>
                      <w:p>
                        <w:pPr>
                          <w:pStyle w:val="TableParagraph"/>
                          <w:spacing w:before="49"/>
                          <w:ind w:right="1"/>
                          <w:jc w:val="center"/>
                          <w:rPr>
                            <w:sz w:val="18"/>
                          </w:rPr>
                        </w:pPr>
                        <w:r>
                          <w:rPr>
                            <w:sz w:val="18"/>
                          </w:rPr>
                          <w:t>4</w:t>
                        </w:r>
                      </w:p>
                    </w:tc>
                    <w:tc>
                      <w:tcPr>
                        <w:tcW w:w="469" w:type="dxa"/>
                      </w:tcPr>
                      <w:p>
                        <w:pPr>
                          <w:pStyle w:val="TableParagraph"/>
                          <w:spacing w:before="49"/>
                          <w:jc w:val="center"/>
                          <w:rPr>
                            <w:sz w:val="18"/>
                          </w:rPr>
                        </w:pPr>
                        <w:r>
                          <w:rPr>
                            <w:sz w:val="18"/>
                          </w:rPr>
                          <w:t>4</w:t>
                        </w:r>
                      </w:p>
                    </w:tc>
                    <w:tc>
                      <w:tcPr>
                        <w:tcW w:w="425" w:type="dxa"/>
                      </w:tcPr>
                      <w:p>
                        <w:pPr>
                          <w:pStyle w:val="TableParagraph"/>
                          <w:spacing w:before="49"/>
                          <w:ind w:right="162"/>
                          <w:jc w:val="right"/>
                          <w:rPr>
                            <w:sz w:val="18"/>
                          </w:rPr>
                        </w:pPr>
                        <w:r>
                          <w:rPr>
                            <w:sz w:val="18"/>
                          </w:rPr>
                          <w:t>4</w:t>
                        </w:r>
                      </w:p>
                    </w:tc>
                    <w:tc>
                      <w:tcPr>
                        <w:tcW w:w="463" w:type="dxa"/>
                      </w:tcPr>
                      <w:p>
                        <w:pPr>
                          <w:pStyle w:val="TableParagraph"/>
                          <w:spacing w:before="49"/>
                          <w:ind w:left="180"/>
                          <w:rPr>
                            <w:sz w:val="18"/>
                          </w:rPr>
                        </w:pPr>
                        <w:r>
                          <w:rPr>
                            <w:sz w:val="18"/>
                          </w:rPr>
                          <w:t>4</w:t>
                        </w:r>
                      </w:p>
                    </w:tc>
                    <w:tc>
                      <w:tcPr>
                        <w:tcW w:w="424" w:type="dxa"/>
                      </w:tcPr>
                      <w:p>
                        <w:pPr>
                          <w:pStyle w:val="TableParagraph"/>
                          <w:spacing w:before="49"/>
                          <w:jc w:val="center"/>
                          <w:rPr>
                            <w:sz w:val="18"/>
                          </w:rPr>
                        </w:pPr>
                        <w:r>
                          <w:rPr>
                            <w:sz w:val="18"/>
                          </w:rPr>
                          <w:t>4</w:t>
                        </w:r>
                      </w:p>
                    </w:tc>
                    <w:tc>
                      <w:tcPr>
                        <w:tcW w:w="478" w:type="dxa"/>
                      </w:tcPr>
                      <w:p>
                        <w:pPr>
                          <w:pStyle w:val="TableParagraph"/>
                          <w:spacing w:before="49"/>
                          <w:ind w:left="188"/>
                          <w:rPr>
                            <w:sz w:val="18"/>
                          </w:rPr>
                        </w:pPr>
                        <w:r>
                          <w:rPr>
                            <w:sz w:val="18"/>
                          </w:rPr>
                          <w:t>5</w:t>
                        </w:r>
                      </w:p>
                    </w:tc>
                    <w:tc>
                      <w:tcPr>
                        <w:tcW w:w="420" w:type="dxa"/>
                      </w:tcPr>
                      <w:p>
                        <w:pPr>
                          <w:pStyle w:val="TableParagraph"/>
                          <w:spacing w:before="49"/>
                          <w:ind w:right="1"/>
                          <w:jc w:val="center"/>
                          <w:rPr>
                            <w:sz w:val="18"/>
                          </w:rPr>
                        </w:pPr>
                        <w:r>
                          <w:rPr>
                            <w:sz w:val="18"/>
                          </w:rPr>
                          <w:t>5</w:t>
                        </w:r>
                      </w:p>
                    </w:tc>
                  </w:tr>
                  <w:tr>
                    <w:trPr>
                      <w:trHeight w:val="324" w:hRule="exact"/>
                    </w:trPr>
                    <w:tc>
                      <w:tcPr>
                        <w:tcW w:w="594" w:type="dxa"/>
                        <w:vMerge/>
                      </w:tcPr>
                      <w:p>
                        <w:pPr/>
                      </w:p>
                    </w:tc>
                    <w:tc>
                      <w:tcPr>
                        <w:tcW w:w="910" w:type="dxa"/>
                      </w:tcPr>
                      <w:p>
                        <w:pPr>
                          <w:pStyle w:val="TableParagraph"/>
                          <w:spacing w:before="49"/>
                          <w:ind w:right="1"/>
                          <w:jc w:val="center"/>
                          <w:rPr>
                            <w:sz w:val="18"/>
                          </w:rPr>
                        </w:pPr>
                        <w:r>
                          <w:rPr>
                            <w:sz w:val="18"/>
                          </w:rPr>
                          <w:t>3</w:t>
                        </w:r>
                      </w:p>
                    </w:tc>
                    <w:tc>
                      <w:tcPr>
                        <w:tcW w:w="481" w:type="dxa"/>
                      </w:tcPr>
                      <w:p>
                        <w:pPr>
                          <w:pStyle w:val="TableParagraph"/>
                          <w:spacing w:before="49"/>
                          <w:ind w:right="188"/>
                          <w:jc w:val="right"/>
                          <w:rPr>
                            <w:sz w:val="18"/>
                          </w:rPr>
                        </w:pPr>
                        <w:r>
                          <w:rPr>
                            <w:sz w:val="18"/>
                          </w:rPr>
                          <w:t>4</w:t>
                        </w:r>
                      </w:p>
                    </w:tc>
                    <w:tc>
                      <w:tcPr>
                        <w:tcW w:w="418" w:type="dxa"/>
                      </w:tcPr>
                      <w:p>
                        <w:pPr>
                          <w:pStyle w:val="TableParagraph"/>
                          <w:spacing w:before="49"/>
                          <w:ind w:right="1"/>
                          <w:jc w:val="center"/>
                          <w:rPr>
                            <w:sz w:val="18"/>
                          </w:rPr>
                        </w:pPr>
                        <w:r>
                          <w:rPr>
                            <w:sz w:val="18"/>
                          </w:rPr>
                          <w:t>4</w:t>
                        </w:r>
                      </w:p>
                    </w:tc>
                    <w:tc>
                      <w:tcPr>
                        <w:tcW w:w="469" w:type="dxa"/>
                      </w:tcPr>
                      <w:p>
                        <w:pPr>
                          <w:pStyle w:val="TableParagraph"/>
                          <w:spacing w:before="49"/>
                          <w:jc w:val="center"/>
                          <w:rPr>
                            <w:sz w:val="18"/>
                          </w:rPr>
                        </w:pPr>
                        <w:r>
                          <w:rPr>
                            <w:sz w:val="18"/>
                          </w:rPr>
                          <w:t>4</w:t>
                        </w:r>
                      </w:p>
                    </w:tc>
                    <w:tc>
                      <w:tcPr>
                        <w:tcW w:w="425" w:type="dxa"/>
                      </w:tcPr>
                      <w:p>
                        <w:pPr>
                          <w:pStyle w:val="TableParagraph"/>
                          <w:spacing w:before="49"/>
                          <w:ind w:right="162"/>
                          <w:jc w:val="right"/>
                          <w:rPr>
                            <w:sz w:val="18"/>
                          </w:rPr>
                        </w:pPr>
                        <w:r>
                          <w:rPr>
                            <w:sz w:val="18"/>
                          </w:rPr>
                          <w:t>4</w:t>
                        </w:r>
                      </w:p>
                    </w:tc>
                    <w:tc>
                      <w:tcPr>
                        <w:tcW w:w="463" w:type="dxa"/>
                      </w:tcPr>
                      <w:p>
                        <w:pPr>
                          <w:pStyle w:val="TableParagraph"/>
                          <w:spacing w:before="49"/>
                          <w:ind w:left="180"/>
                          <w:rPr>
                            <w:sz w:val="18"/>
                          </w:rPr>
                        </w:pPr>
                        <w:r>
                          <w:rPr>
                            <w:sz w:val="18"/>
                          </w:rPr>
                          <w:t>4</w:t>
                        </w:r>
                      </w:p>
                    </w:tc>
                    <w:tc>
                      <w:tcPr>
                        <w:tcW w:w="424" w:type="dxa"/>
                      </w:tcPr>
                      <w:p>
                        <w:pPr>
                          <w:pStyle w:val="TableParagraph"/>
                          <w:spacing w:before="49"/>
                          <w:jc w:val="center"/>
                          <w:rPr>
                            <w:sz w:val="18"/>
                          </w:rPr>
                        </w:pPr>
                        <w:r>
                          <w:rPr>
                            <w:sz w:val="18"/>
                          </w:rPr>
                          <w:t>5</w:t>
                        </w:r>
                      </w:p>
                    </w:tc>
                    <w:tc>
                      <w:tcPr>
                        <w:tcW w:w="478" w:type="dxa"/>
                      </w:tcPr>
                      <w:p>
                        <w:pPr>
                          <w:pStyle w:val="TableParagraph"/>
                          <w:spacing w:before="49"/>
                          <w:ind w:left="188"/>
                          <w:rPr>
                            <w:sz w:val="18"/>
                          </w:rPr>
                        </w:pPr>
                        <w:r>
                          <w:rPr>
                            <w:sz w:val="18"/>
                          </w:rPr>
                          <w:t>5</w:t>
                        </w:r>
                      </w:p>
                    </w:tc>
                    <w:tc>
                      <w:tcPr>
                        <w:tcW w:w="420" w:type="dxa"/>
                      </w:tcPr>
                      <w:p>
                        <w:pPr>
                          <w:pStyle w:val="TableParagraph"/>
                          <w:spacing w:before="49"/>
                          <w:ind w:right="1"/>
                          <w:jc w:val="center"/>
                          <w:rPr>
                            <w:sz w:val="18"/>
                          </w:rPr>
                        </w:pPr>
                        <w:r>
                          <w:rPr>
                            <w:sz w:val="18"/>
                          </w:rPr>
                          <w:t>5</w:t>
                        </w:r>
                      </w:p>
                    </w:tc>
                  </w:tr>
                  <w:tr>
                    <w:trPr>
                      <w:trHeight w:val="325" w:hRule="exact"/>
                    </w:trPr>
                    <w:tc>
                      <w:tcPr>
                        <w:tcW w:w="594" w:type="dxa"/>
                        <w:vMerge w:val="restart"/>
                      </w:tcPr>
                      <w:p>
                        <w:pPr>
                          <w:pStyle w:val="TableParagraph"/>
                          <w:spacing w:before="5"/>
                          <w:rPr>
                            <w:sz w:val="18"/>
                          </w:rPr>
                        </w:pPr>
                      </w:p>
                      <w:p>
                        <w:pPr>
                          <w:pStyle w:val="TableParagraph"/>
                          <w:jc w:val="center"/>
                          <w:rPr>
                            <w:sz w:val="18"/>
                          </w:rPr>
                        </w:pPr>
                        <w:r>
                          <w:rPr>
                            <w:sz w:val="18"/>
                          </w:rPr>
                          <w:t>4</w:t>
                        </w:r>
                      </w:p>
                    </w:tc>
                    <w:tc>
                      <w:tcPr>
                        <w:tcW w:w="910" w:type="dxa"/>
                      </w:tcPr>
                      <w:p>
                        <w:pPr>
                          <w:pStyle w:val="TableParagraph"/>
                          <w:spacing w:before="50"/>
                          <w:ind w:right="1"/>
                          <w:jc w:val="center"/>
                          <w:rPr>
                            <w:sz w:val="18"/>
                          </w:rPr>
                        </w:pPr>
                        <w:r>
                          <w:rPr>
                            <w:sz w:val="18"/>
                          </w:rPr>
                          <w:t>1</w:t>
                        </w:r>
                      </w:p>
                    </w:tc>
                    <w:tc>
                      <w:tcPr>
                        <w:tcW w:w="481" w:type="dxa"/>
                      </w:tcPr>
                      <w:p>
                        <w:pPr>
                          <w:pStyle w:val="TableParagraph"/>
                          <w:spacing w:before="50"/>
                          <w:ind w:right="188"/>
                          <w:jc w:val="right"/>
                          <w:rPr>
                            <w:sz w:val="18"/>
                          </w:rPr>
                        </w:pPr>
                        <w:r>
                          <w:rPr>
                            <w:sz w:val="18"/>
                          </w:rPr>
                          <w:t>4</w:t>
                        </w:r>
                      </w:p>
                    </w:tc>
                    <w:tc>
                      <w:tcPr>
                        <w:tcW w:w="418" w:type="dxa"/>
                      </w:tcPr>
                      <w:p>
                        <w:pPr>
                          <w:pStyle w:val="TableParagraph"/>
                          <w:spacing w:before="50"/>
                          <w:ind w:right="1"/>
                          <w:jc w:val="center"/>
                          <w:rPr>
                            <w:sz w:val="18"/>
                          </w:rPr>
                        </w:pPr>
                        <w:r>
                          <w:rPr>
                            <w:sz w:val="18"/>
                          </w:rPr>
                          <w:t>4</w:t>
                        </w:r>
                      </w:p>
                    </w:tc>
                    <w:tc>
                      <w:tcPr>
                        <w:tcW w:w="469" w:type="dxa"/>
                      </w:tcPr>
                      <w:p>
                        <w:pPr>
                          <w:pStyle w:val="TableParagraph"/>
                          <w:spacing w:before="50"/>
                          <w:jc w:val="center"/>
                          <w:rPr>
                            <w:sz w:val="18"/>
                          </w:rPr>
                        </w:pPr>
                        <w:r>
                          <w:rPr>
                            <w:sz w:val="18"/>
                          </w:rPr>
                          <w:t>4</w:t>
                        </w:r>
                      </w:p>
                    </w:tc>
                    <w:tc>
                      <w:tcPr>
                        <w:tcW w:w="425" w:type="dxa"/>
                      </w:tcPr>
                      <w:p>
                        <w:pPr>
                          <w:pStyle w:val="TableParagraph"/>
                          <w:spacing w:before="50"/>
                          <w:ind w:right="162"/>
                          <w:jc w:val="right"/>
                          <w:rPr>
                            <w:sz w:val="18"/>
                          </w:rPr>
                        </w:pPr>
                        <w:r>
                          <w:rPr>
                            <w:sz w:val="18"/>
                          </w:rPr>
                          <w:t>4</w:t>
                        </w:r>
                      </w:p>
                    </w:tc>
                    <w:tc>
                      <w:tcPr>
                        <w:tcW w:w="463" w:type="dxa"/>
                      </w:tcPr>
                      <w:p>
                        <w:pPr>
                          <w:pStyle w:val="TableParagraph"/>
                          <w:spacing w:before="50"/>
                          <w:ind w:left="179"/>
                          <w:rPr>
                            <w:sz w:val="18"/>
                          </w:rPr>
                        </w:pPr>
                        <w:r>
                          <w:rPr>
                            <w:sz w:val="18"/>
                          </w:rPr>
                          <w:t>4</w:t>
                        </w:r>
                      </w:p>
                    </w:tc>
                    <w:tc>
                      <w:tcPr>
                        <w:tcW w:w="424" w:type="dxa"/>
                      </w:tcPr>
                      <w:p>
                        <w:pPr>
                          <w:pStyle w:val="TableParagraph"/>
                          <w:spacing w:before="50"/>
                          <w:jc w:val="center"/>
                          <w:rPr>
                            <w:sz w:val="18"/>
                          </w:rPr>
                        </w:pPr>
                        <w:r>
                          <w:rPr>
                            <w:sz w:val="18"/>
                          </w:rPr>
                          <w:t>5</w:t>
                        </w:r>
                      </w:p>
                    </w:tc>
                    <w:tc>
                      <w:tcPr>
                        <w:tcW w:w="478" w:type="dxa"/>
                      </w:tcPr>
                      <w:p>
                        <w:pPr>
                          <w:pStyle w:val="TableParagraph"/>
                          <w:spacing w:before="50"/>
                          <w:ind w:left="188"/>
                          <w:rPr>
                            <w:sz w:val="18"/>
                          </w:rPr>
                        </w:pPr>
                        <w:r>
                          <w:rPr>
                            <w:sz w:val="18"/>
                          </w:rPr>
                          <w:t>5</w:t>
                        </w:r>
                      </w:p>
                    </w:tc>
                    <w:tc>
                      <w:tcPr>
                        <w:tcW w:w="420" w:type="dxa"/>
                      </w:tcPr>
                      <w:p>
                        <w:pPr>
                          <w:pStyle w:val="TableParagraph"/>
                          <w:spacing w:before="50"/>
                          <w:ind w:right="1"/>
                          <w:jc w:val="center"/>
                          <w:rPr>
                            <w:sz w:val="18"/>
                          </w:rPr>
                        </w:pPr>
                        <w:r>
                          <w:rPr>
                            <w:sz w:val="18"/>
                          </w:rPr>
                          <w:t>5</w:t>
                        </w:r>
                      </w:p>
                    </w:tc>
                  </w:tr>
                  <w:tr>
                    <w:trPr>
                      <w:trHeight w:val="325" w:hRule="exact"/>
                    </w:trPr>
                    <w:tc>
                      <w:tcPr>
                        <w:tcW w:w="594" w:type="dxa"/>
                        <w:vMerge/>
                      </w:tcPr>
                      <w:p>
                        <w:pPr/>
                      </w:p>
                    </w:tc>
                    <w:tc>
                      <w:tcPr>
                        <w:tcW w:w="910" w:type="dxa"/>
                      </w:tcPr>
                      <w:p>
                        <w:pPr>
                          <w:pStyle w:val="TableParagraph"/>
                          <w:spacing w:before="50"/>
                          <w:ind w:right="1"/>
                          <w:jc w:val="center"/>
                          <w:rPr>
                            <w:sz w:val="18"/>
                          </w:rPr>
                        </w:pPr>
                        <w:r>
                          <w:rPr>
                            <w:sz w:val="18"/>
                          </w:rPr>
                          <w:t>2</w:t>
                        </w:r>
                      </w:p>
                    </w:tc>
                    <w:tc>
                      <w:tcPr>
                        <w:tcW w:w="481" w:type="dxa"/>
                      </w:tcPr>
                      <w:p>
                        <w:pPr>
                          <w:pStyle w:val="TableParagraph"/>
                          <w:spacing w:before="50"/>
                          <w:ind w:right="188"/>
                          <w:jc w:val="right"/>
                          <w:rPr>
                            <w:sz w:val="18"/>
                          </w:rPr>
                        </w:pPr>
                        <w:r>
                          <w:rPr>
                            <w:sz w:val="18"/>
                          </w:rPr>
                          <w:t>4</w:t>
                        </w:r>
                      </w:p>
                    </w:tc>
                    <w:tc>
                      <w:tcPr>
                        <w:tcW w:w="418" w:type="dxa"/>
                      </w:tcPr>
                      <w:p>
                        <w:pPr>
                          <w:pStyle w:val="TableParagraph"/>
                          <w:spacing w:before="50"/>
                          <w:ind w:right="1"/>
                          <w:jc w:val="center"/>
                          <w:rPr>
                            <w:sz w:val="18"/>
                          </w:rPr>
                        </w:pPr>
                        <w:r>
                          <w:rPr>
                            <w:sz w:val="18"/>
                          </w:rPr>
                          <w:t>4</w:t>
                        </w:r>
                      </w:p>
                    </w:tc>
                    <w:tc>
                      <w:tcPr>
                        <w:tcW w:w="469" w:type="dxa"/>
                      </w:tcPr>
                      <w:p>
                        <w:pPr>
                          <w:pStyle w:val="TableParagraph"/>
                          <w:spacing w:before="50"/>
                          <w:jc w:val="center"/>
                          <w:rPr>
                            <w:sz w:val="18"/>
                          </w:rPr>
                        </w:pPr>
                        <w:r>
                          <w:rPr>
                            <w:sz w:val="18"/>
                          </w:rPr>
                          <w:t>4</w:t>
                        </w:r>
                      </w:p>
                    </w:tc>
                    <w:tc>
                      <w:tcPr>
                        <w:tcW w:w="425" w:type="dxa"/>
                      </w:tcPr>
                      <w:p>
                        <w:pPr>
                          <w:pStyle w:val="TableParagraph"/>
                          <w:spacing w:before="50"/>
                          <w:ind w:right="162"/>
                          <w:jc w:val="right"/>
                          <w:rPr>
                            <w:sz w:val="18"/>
                          </w:rPr>
                        </w:pPr>
                        <w:r>
                          <w:rPr>
                            <w:sz w:val="18"/>
                          </w:rPr>
                          <w:t>4</w:t>
                        </w:r>
                      </w:p>
                    </w:tc>
                    <w:tc>
                      <w:tcPr>
                        <w:tcW w:w="463" w:type="dxa"/>
                      </w:tcPr>
                      <w:p>
                        <w:pPr>
                          <w:pStyle w:val="TableParagraph"/>
                          <w:spacing w:before="50"/>
                          <w:ind w:left="180"/>
                          <w:rPr>
                            <w:sz w:val="18"/>
                          </w:rPr>
                        </w:pPr>
                        <w:r>
                          <w:rPr>
                            <w:sz w:val="18"/>
                          </w:rPr>
                          <w:t>4</w:t>
                        </w:r>
                      </w:p>
                    </w:tc>
                    <w:tc>
                      <w:tcPr>
                        <w:tcW w:w="424" w:type="dxa"/>
                      </w:tcPr>
                      <w:p>
                        <w:pPr>
                          <w:pStyle w:val="TableParagraph"/>
                          <w:spacing w:before="50"/>
                          <w:jc w:val="center"/>
                          <w:rPr>
                            <w:sz w:val="18"/>
                          </w:rPr>
                        </w:pPr>
                        <w:r>
                          <w:rPr>
                            <w:sz w:val="18"/>
                          </w:rPr>
                          <w:t>5</w:t>
                        </w:r>
                      </w:p>
                    </w:tc>
                    <w:tc>
                      <w:tcPr>
                        <w:tcW w:w="478" w:type="dxa"/>
                      </w:tcPr>
                      <w:p>
                        <w:pPr>
                          <w:pStyle w:val="TableParagraph"/>
                          <w:spacing w:before="50"/>
                          <w:ind w:left="188"/>
                          <w:rPr>
                            <w:sz w:val="18"/>
                          </w:rPr>
                        </w:pPr>
                        <w:r>
                          <w:rPr>
                            <w:sz w:val="18"/>
                          </w:rPr>
                          <w:t>5</w:t>
                        </w:r>
                      </w:p>
                    </w:tc>
                    <w:tc>
                      <w:tcPr>
                        <w:tcW w:w="420" w:type="dxa"/>
                      </w:tcPr>
                      <w:p>
                        <w:pPr>
                          <w:pStyle w:val="TableParagraph"/>
                          <w:spacing w:before="50"/>
                          <w:ind w:right="1"/>
                          <w:jc w:val="center"/>
                          <w:rPr>
                            <w:sz w:val="18"/>
                          </w:rPr>
                        </w:pPr>
                        <w:r>
                          <w:rPr>
                            <w:sz w:val="18"/>
                          </w:rPr>
                          <w:t>5</w:t>
                        </w:r>
                      </w:p>
                    </w:tc>
                  </w:tr>
                </w:tbl>
                <w:p>
                  <w:pPr>
                    <w:pStyle w:val="BodyText"/>
                  </w:pPr>
                </w:p>
              </w:txbxContent>
            </v:textbox>
            <w10:wrap type="none"/>
          </v:shape>
        </w:pict>
      </w:r>
      <w:r>
        <w:rPr>
          <w:sz w:val="18"/>
        </w:rPr>
        <w:t>If the neck is rotated posture scores are incremented by 1. If the neck is inclined laterally, the score is incremented by 1.</w:t>
      </w:r>
    </w:p>
    <w:p>
      <w:pPr>
        <w:pStyle w:val="BodyText"/>
        <w:rPr>
          <w:sz w:val="18"/>
        </w:rPr>
      </w:pPr>
    </w:p>
    <w:p>
      <w:pPr>
        <w:spacing w:before="0"/>
        <w:ind w:left="441" w:right="6276" w:firstLine="0"/>
        <w:jc w:val="left"/>
        <w:rPr>
          <w:sz w:val="18"/>
        </w:rPr>
      </w:pPr>
      <w:r>
        <w:rPr>
          <w:sz w:val="18"/>
        </w:rPr>
        <w:t>Trunk Score:</w:t>
      </w:r>
    </w:p>
    <w:p>
      <w:pPr>
        <w:pStyle w:val="BodyText"/>
        <w:rPr>
          <w:sz w:val="18"/>
        </w:rPr>
      </w:pPr>
    </w:p>
    <w:p>
      <w:pPr>
        <w:spacing w:before="0"/>
        <w:ind w:left="320" w:right="6281" w:firstLine="207"/>
        <w:jc w:val="left"/>
        <w:rPr>
          <w:sz w:val="18"/>
        </w:rPr>
      </w:pPr>
      <w:r>
        <w:rPr>
          <w:sz w:val="18"/>
        </w:rPr>
        <w:t>Table 9. Trunk Score. Source. (Ergonautas. Departamento de Proyectos de Ingeniería de la Universidad Politécnica de Valencia)</w:t>
      </w:r>
    </w:p>
    <w:p>
      <w:pPr>
        <w:pStyle w:val="BodyText"/>
        <w:spacing w:before="4" w:after="1"/>
        <w:rPr>
          <w:sz w:val="18"/>
        </w:rPr>
      </w:pPr>
    </w:p>
    <w:tbl>
      <w:tblPr>
        <w:tblW w:w="0" w:type="auto"/>
        <w:jc w:val="left"/>
        <w:tblInd w:w="81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775"/>
        <w:gridCol w:w="3035"/>
      </w:tblGrid>
      <w:tr>
        <w:trPr>
          <w:trHeight w:val="336" w:hRule="exact"/>
        </w:trPr>
        <w:tc>
          <w:tcPr>
            <w:tcW w:w="775" w:type="dxa"/>
          </w:tcPr>
          <w:p>
            <w:pPr>
              <w:pStyle w:val="TableParagraph"/>
              <w:spacing w:before="54"/>
              <w:ind w:left="117" w:right="117"/>
              <w:jc w:val="center"/>
              <w:rPr>
                <w:b/>
                <w:sz w:val="18"/>
              </w:rPr>
            </w:pPr>
            <w:r>
              <w:rPr>
                <w:b/>
                <w:sz w:val="18"/>
              </w:rPr>
              <w:t>Points</w:t>
            </w:r>
          </w:p>
        </w:tc>
        <w:tc>
          <w:tcPr>
            <w:tcW w:w="3035" w:type="dxa"/>
          </w:tcPr>
          <w:p>
            <w:pPr>
              <w:pStyle w:val="TableParagraph"/>
              <w:spacing w:before="54"/>
              <w:ind w:left="1178" w:right="1177"/>
              <w:jc w:val="center"/>
              <w:rPr>
                <w:b/>
                <w:sz w:val="18"/>
              </w:rPr>
            </w:pPr>
            <w:r>
              <w:rPr>
                <w:b/>
                <w:sz w:val="18"/>
              </w:rPr>
              <w:t>Position</w:t>
            </w:r>
          </w:p>
        </w:tc>
      </w:tr>
      <w:tr>
        <w:trPr>
          <w:trHeight w:val="508" w:hRule="exact"/>
        </w:trPr>
        <w:tc>
          <w:tcPr>
            <w:tcW w:w="775" w:type="dxa"/>
          </w:tcPr>
          <w:p>
            <w:pPr>
              <w:pStyle w:val="TableParagraph"/>
              <w:spacing w:before="136"/>
              <w:ind w:right="1"/>
              <w:jc w:val="center"/>
              <w:rPr>
                <w:sz w:val="18"/>
              </w:rPr>
            </w:pPr>
            <w:r>
              <w:rPr>
                <w:sz w:val="18"/>
              </w:rPr>
              <w:t>1</w:t>
            </w:r>
          </w:p>
        </w:tc>
        <w:tc>
          <w:tcPr>
            <w:tcW w:w="3035" w:type="dxa"/>
          </w:tcPr>
          <w:p>
            <w:pPr>
              <w:pStyle w:val="TableParagraph"/>
              <w:ind w:left="59" w:right="156"/>
              <w:rPr>
                <w:sz w:val="18"/>
              </w:rPr>
            </w:pPr>
            <w:r>
              <w:rPr>
                <w:sz w:val="18"/>
              </w:rPr>
              <w:t>Sitting, well supported and a trunk-hip angle&gt; 90 °</w:t>
            </w:r>
          </w:p>
        </w:tc>
      </w:tr>
    </w:tbl>
    <w:p>
      <w:pPr>
        <w:spacing w:after="0"/>
        <w:rPr>
          <w:sz w:val="18"/>
        </w:rPr>
        <w:sectPr>
          <w:type w:val="continuous"/>
          <w:pgSz w:w="12240" w:h="15840"/>
          <w:pgMar w:top="1500" w:bottom="280" w:left="580" w:right="220"/>
        </w:sectPr>
      </w:pPr>
    </w:p>
    <w:p>
      <w:pPr>
        <w:pStyle w:val="BodyText"/>
        <w:spacing w:before="3"/>
        <w:rPr>
          <w:sz w:val="17"/>
        </w:rPr>
      </w:pPr>
    </w:p>
    <w:p>
      <w:pPr>
        <w:pStyle w:val="BodyText"/>
        <w:tabs>
          <w:tab w:pos="5870" w:val="left" w:leader="none"/>
        </w:tabs>
        <w:ind w:left="158"/>
      </w:pPr>
      <w:r>
        <w:rPr>
          <w:position w:val="43"/>
        </w:rPr>
        <w:pict>
          <v:shape style="width:254.8pt;height:33pt;mso-position-horizontal-relative:char;mso-position-vertical-relative:line" type="#_x0000_t202" filled="false" stroked="false">
            <w10:anchorlock/>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94"/>
                    <w:gridCol w:w="910"/>
                    <w:gridCol w:w="481"/>
                    <w:gridCol w:w="418"/>
                    <w:gridCol w:w="469"/>
                    <w:gridCol w:w="425"/>
                    <w:gridCol w:w="463"/>
                    <w:gridCol w:w="424"/>
                    <w:gridCol w:w="478"/>
                    <w:gridCol w:w="420"/>
                  </w:tblGrid>
                  <w:tr>
                    <w:trPr>
                      <w:trHeight w:val="324" w:hRule="exact"/>
                    </w:trPr>
                    <w:tc>
                      <w:tcPr>
                        <w:tcW w:w="594" w:type="dxa"/>
                      </w:tcPr>
                      <w:p>
                        <w:pPr/>
                      </w:p>
                    </w:tc>
                    <w:tc>
                      <w:tcPr>
                        <w:tcW w:w="910" w:type="dxa"/>
                      </w:tcPr>
                      <w:p>
                        <w:pPr>
                          <w:pStyle w:val="TableParagraph"/>
                          <w:spacing w:before="49"/>
                          <w:ind w:right="1"/>
                          <w:jc w:val="center"/>
                          <w:rPr>
                            <w:sz w:val="18"/>
                          </w:rPr>
                        </w:pPr>
                        <w:r>
                          <w:rPr>
                            <w:sz w:val="18"/>
                          </w:rPr>
                          <w:t>3</w:t>
                        </w:r>
                      </w:p>
                    </w:tc>
                    <w:tc>
                      <w:tcPr>
                        <w:tcW w:w="481" w:type="dxa"/>
                      </w:tcPr>
                      <w:p>
                        <w:pPr>
                          <w:pStyle w:val="TableParagraph"/>
                          <w:spacing w:before="49"/>
                          <w:ind w:right="187"/>
                          <w:jc w:val="right"/>
                          <w:rPr>
                            <w:sz w:val="18"/>
                          </w:rPr>
                        </w:pPr>
                        <w:r>
                          <w:rPr>
                            <w:sz w:val="18"/>
                          </w:rPr>
                          <w:t>4</w:t>
                        </w:r>
                      </w:p>
                    </w:tc>
                    <w:tc>
                      <w:tcPr>
                        <w:tcW w:w="418" w:type="dxa"/>
                      </w:tcPr>
                      <w:p>
                        <w:pPr>
                          <w:pStyle w:val="TableParagraph"/>
                          <w:spacing w:before="49"/>
                          <w:ind w:right="1"/>
                          <w:jc w:val="center"/>
                          <w:rPr>
                            <w:sz w:val="18"/>
                          </w:rPr>
                        </w:pPr>
                        <w:r>
                          <w:rPr>
                            <w:sz w:val="18"/>
                          </w:rPr>
                          <w:t>4</w:t>
                        </w:r>
                      </w:p>
                    </w:tc>
                    <w:tc>
                      <w:tcPr>
                        <w:tcW w:w="469" w:type="dxa"/>
                      </w:tcPr>
                      <w:p>
                        <w:pPr>
                          <w:pStyle w:val="TableParagraph"/>
                          <w:spacing w:before="49"/>
                          <w:ind w:right="182"/>
                          <w:jc w:val="right"/>
                          <w:rPr>
                            <w:sz w:val="18"/>
                          </w:rPr>
                        </w:pPr>
                        <w:r>
                          <w:rPr>
                            <w:sz w:val="18"/>
                          </w:rPr>
                          <w:t>4</w:t>
                        </w:r>
                      </w:p>
                    </w:tc>
                    <w:tc>
                      <w:tcPr>
                        <w:tcW w:w="425" w:type="dxa"/>
                      </w:tcPr>
                      <w:p>
                        <w:pPr>
                          <w:pStyle w:val="TableParagraph"/>
                          <w:spacing w:before="49"/>
                          <w:ind w:right="1"/>
                          <w:jc w:val="center"/>
                          <w:rPr>
                            <w:sz w:val="18"/>
                          </w:rPr>
                        </w:pPr>
                        <w:r>
                          <w:rPr>
                            <w:sz w:val="18"/>
                          </w:rPr>
                          <w:t>5</w:t>
                        </w:r>
                      </w:p>
                    </w:tc>
                    <w:tc>
                      <w:tcPr>
                        <w:tcW w:w="463" w:type="dxa"/>
                      </w:tcPr>
                      <w:p>
                        <w:pPr>
                          <w:pStyle w:val="TableParagraph"/>
                          <w:spacing w:before="49"/>
                          <w:ind w:right="180"/>
                          <w:jc w:val="right"/>
                          <w:rPr>
                            <w:sz w:val="18"/>
                          </w:rPr>
                        </w:pPr>
                        <w:r>
                          <w:rPr>
                            <w:sz w:val="18"/>
                          </w:rPr>
                          <w:t>5</w:t>
                        </w:r>
                      </w:p>
                    </w:tc>
                    <w:tc>
                      <w:tcPr>
                        <w:tcW w:w="424" w:type="dxa"/>
                      </w:tcPr>
                      <w:p>
                        <w:pPr>
                          <w:pStyle w:val="TableParagraph"/>
                          <w:spacing w:before="49"/>
                          <w:ind w:left="162"/>
                          <w:rPr>
                            <w:sz w:val="18"/>
                          </w:rPr>
                        </w:pPr>
                        <w:r>
                          <w:rPr>
                            <w:sz w:val="18"/>
                          </w:rPr>
                          <w:t>5</w:t>
                        </w:r>
                      </w:p>
                    </w:tc>
                    <w:tc>
                      <w:tcPr>
                        <w:tcW w:w="478" w:type="dxa"/>
                      </w:tcPr>
                      <w:p>
                        <w:pPr>
                          <w:pStyle w:val="TableParagraph"/>
                          <w:spacing w:before="49"/>
                          <w:ind w:left="188"/>
                          <w:rPr>
                            <w:sz w:val="18"/>
                          </w:rPr>
                        </w:pPr>
                        <w:r>
                          <w:rPr>
                            <w:sz w:val="18"/>
                          </w:rPr>
                          <w:t>6</w:t>
                        </w:r>
                      </w:p>
                    </w:tc>
                    <w:tc>
                      <w:tcPr>
                        <w:tcW w:w="420" w:type="dxa"/>
                      </w:tcPr>
                      <w:p>
                        <w:pPr>
                          <w:pStyle w:val="TableParagraph"/>
                          <w:spacing w:before="49"/>
                          <w:ind w:right="1"/>
                          <w:jc w:val="center"/>
                          <w:rPr>
                            <w:sz w:val="18"/>
                          </w:rPr>
                        </w:pPr>
                        <w:r>
                          <w:rPr>
                            <w:sz w:val="18"/>
                          </w:rPr>
                          <w:t>6</w:t>
                        </w:r>
                      </w:p>
                    </w:tc>
                  </w:tr>
                  <w:tr>
                    <w:trPr>
                      <w:trHeight w:val="326" w:hRule="exact"/>
                    </w:trPr>
                    <w:tc>
                      <w:tcPr>
                        <w:tcW w:w="594" w:type="dxa"/>
                      </w:tcPr>
                      <w:p>
                        <w:pPr>
                          <w:pStyle w:val="TableParagraph"/>
                          <w:spacing w:before="55"/>
                          <w:jc w:val="center"/>
                          <w:rPr>
                            <w:sz w:val="18"/>
                          </w:rPr>
                        </w:pPr>
                        <w:r>
                          <w:rPr>
                            <w:sz w:val="18"/>
                          </w:rPr>
                          <w:t>5</w:t>
                        </w:r>
                      </w:p>
                    </w:tc>
                    <w:tc>
                      <w:tcPr>
                        <w:tcW w:w="910" w:type="dxa"/>
                      </w:tcPr>
                      <w:p>
                        <w:pPr>
                          <w:pStyle w:val="TableParagraph"/>
                          <w:spacing w:before="50"/>
                          <w:ind w:right="1"/>
                          <w:jc w:val="center"/>
                          <w:rPr>
                            <w:sz w:val="18"/>
                          </w:rPr>
                        </w:pPr>
                        <w:r>
                          <w:rPr>
                            <w:sz w:val="18"/>
                          </w:rPr>
                          <w:t>1</w:t>
                        </w:r>
                      </w:p>
                    </w:tc>
                    <w:tc>
                      <w:tcPr>
                        <w:tcW w:w="481" w:type="dxa"/>
                      </w:tcPr>
                      <w:p>
                        <w:pPr>
                          <w:pStyle w:val="TableParagraph"/>
                          <w:spacing w:before="50"/>
                          <w:ind w:right="187"/>
                          <w:jc w:val="right"/>
                          <w:rPr>
                            <w:sz w:val="18"/>
                          </w:rPr>
                        </w:pPr>
                        <w:r>
                          <w:rPr>
                            <w:sz w:val="18"/>
                          </w:rPr>
                          <w:t>5</w:t>
                        </w:r>
                      </w:p>
                    </w:tc>
                    <w:tc>
                      <w:tcPr>
                        <w:tcW w:w="418" w:type="dxa"/>
                      </w:tcPr>
                      <w:p>
                        <w:pPr>
                          <w:pStyle w:val="TableParagraph"/>
                          <w:spacing w:before="50"/>
                          <w:ind w:right="1"/>
                          <w:jc w:val="center"/>
                          <w:rPr>
                            <w:sz w:val="18"/>
                          </w:rPr>
                        </w:pPr>
                        <w:r>
                          <w:rPr>
                            <w:sz w:val="18"/>
                          </w:rPr>
                          <w:t>5</w:t>
                        </w:r>
                      </w:p>
                    </w:tc>
                    <w:tc>
                      <w:tcPr>
                        <w:tcW w:w="469" w:type="dxa"/>
                      </w:tcPr>
                      <w:p>
                        <w:pPr>
                          <w:pStyle w:val="TableParagraph"/>
                          <w:spacing w:before="50"/>
                          <w:ind w:right="182"/>
                          <w:jc w:val="right"/>
                          <w:rPr>
                            <w:sz w:val="18"/>
                          </w:rPr>
                        </w:pPr>
                        <w:r>
                          <w:rPr>
                            <w:sz w:val="18"/>
                          </w:rPr>
                          <w:t>5</w:t>
                        </w:r>
                      </w:p>
                    </w:tc>
                    <w:tc>
                      <w:tcPr>
                        <w:tcW w:w="425" w:type="dxa"/>
                      </w:tcPr>
                      <w:p>
                        <w:pPr>
                          <w:pStyle w:val="TableParagraph"/>
                          <w:spacing w:before="50"/>
                          <w:ind w:right="1"/>
                          <w:jc w:val="center"/>
                          <w:rPr>
                            <w:sz w:val="18"/>
                          </w:rPr>
                        </w:pPr>
                        <w:r>
                          <w:rPr>
                            <w:sz w:val="18"/>
                          </w:rPr>
                          <w:t>5</w:t>
                        </w:r>
                      </w:p>
                    </w:tc>
                    <w:tc>
                      <w:tcPr>
                        <w:tcW w:w="463" w:type="dxa"/>
                      </w:tcPr>
                      <w:p>
                        <w:pPr>
                          <w:pStyle w:val="TableParagraph"/>
                          <w:spacing w:before="50"/>
                          <w:ind w:right="180"/>
                          <w:jc w:val="right"/>
                          <w:rPr>
                            <w:sz w:val="18"/>
                          </w:rPr>
                        </w:pPr>
                        <w:r>
                          <w:rPr>
                            <w:sz w:val="18"/>
                          </w:rPr>
                          <w:t>5</w:t>
                        </w:r>
                      </w:p>
                    </w:tc>
                    <w:tc>
                      <w:tcPr>
                        <w:tcW w:w="424" w:type="dxa"/>
                      </w:tcPr>
                      <w:p>
                        <w:pPr>
                          <w:pStyle w:val="TableParagraph"/>
                          <w:spacing w:before="50"/>
                          <w:ind w:left="162"/>
                          <w:rPr>
                            <w:sz w:val="18"/>
                          </w:rPr>
                        </w:pPr>
                        <w:r>
                          <w:rPr>
                            <w:sz w:val="18"/>
                          </w:rPr>
                          <w:t>6</w:t>
                        </w:r>
                      </w:p>
                    </w:tc>
                    <w:tc>
                      <w:tcPr>
                        <w:tcW w:w="478" w:type="dxa"/>
                      </w:tcPr>
                      <w:p>
                        <w:pPr>
                          <w:pStyle w:val="TableParagraph"/>
                          <w:spacing w:before="50"/>
                          <w:ind w:left="188"/>
                          <w:rPr>
                            <w:sz w:val="18"/>
                          </w:rPr>
                        </w:pPr>
                        <w:r>
                          <w:rPr>
                            <w:sz w:val="18"/>
                          </w:rPr>
                          <w:t>6</w:t>
                        </w:r>
                      </w:p>
                    </w:tc>
                    <w:tc>
                      <w:tcPr>
                        <w:tcW w:w="420" w:type="dxa"/>
                      </w:tcPr>
                      <w:p>
                        <w:pPr>
                          <w:pStyle w:val="TableParagraph"/>
                          <w:spacing w:before="50"/>
                          <w:ind w:right="1"/>
                          <w:jc w:val="center"/>
                          <w:rPr>
                            <w:sz w:val="18"/>
                          </w:rPr>
                        </w:pPr>
                        <w:r>
                          <w:rPr>
                            <w:sz w:val="18"/>
                          </w:rPr>
                          <w:t>7</w:t>
                        </w:r>
                      </w:p>
                    </w:tc>
                  </w:tr>
                </w:tbl>
                <w:p>
                  <w:pPr>
                    <w:pStyle w:val="BodyText"/>
                  </w:pPr>
                </w:p>
              </w:txbxContent>
            </v:textbox>
          </v:shape>
        </w:pict>
      </w:r>
      <w:r>
        <w:rPr>
          <w:position w:val="43"/>
        </w:rPr>
      </w:r>
      <w:r>
        <w:rPr>
          <w:position w:val="43"/>
        </w:rPr>
        <w:tab/>
      </w:r>
      <w:r>
        <w:rPr/>
        <w:pict>
          <v:shape style="width:245.5pt;height:54.9pt;mso-position-horizontal-relative:char;mso-position-vertical-relative:line" type="#_x0000_t202" filled="false" stroked="false">
            <w10:anchorlock/>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61"/>
                    <w:gridCol w:w="3220"/>
                  </w:tblGrid>
                  <w:tr>
                    <w:trPr>
                      <w:trHeight w:val="534" w:hRule="exact"/>
                    </w:trPr>
                    <w:tc>
                      <w:tcPr>
                        <w:tcW w:w="1661" w:type="dxa"/>
                        <w:tcBorders>
                          <w:left w:val="single" w:sz="8" w:space="0" w:color="000000"/>
                          <w:bottom w:val="single" w:sz="8" w:space="0" w:color="000000"/>
                          <w:right w:val="single" w:sz="8" w:space="0" w:color="000000"/>
                        </w:tcBorders>
                      </w:tcPr>
                      <w:p>
                        <w:pPr>
                          <w:pStyle w:val="TableParagraph"/>
                          <w:spacing w:before="153"/>
                          <w:ind w:left="1"/>
                          <w:jc w:val="center"/>
                          <w:rPr>
                            <w:sz w:val="18"/>
                          </w:rPr>
                        </w:pPr>
                        <w:r>
                          <w:rPr>
                            <w:sz w:val="18"/>
                          </w:rPr>
                          <w:t>3</w:t>
                        </w:r>
                      </w:p>
                    </w:tc>
                    <w:tc>
                      <w:tcPr>
                        <w:tcW w:w="3220" w:type="dxa"/>
                        <w:tcBorders>
                          <w:left w:val="single" w:sz="8" w:space="0" w:color="000000"/>
                          <w:bottom w:val="single" w:sz="8" w:space="0" w:color="000000"/>
                          <w:right w:val="single" w:sz="8" w:space="0" w:color="000000"/>
                        </w:tcBorders>
                      </w:tcPr>
                      <w:p>
                        <w:pPr>
                          <w:pStyle w:val="TableParagraph"/>
                          <w:ind w:left="60" w:right="96"/>
                          <w:rPr>
                            <w:sz w:val="18"/>
                          </w:rPr>
                        </w:pPr>
                        <w:r>
                          <w:rPr>
                            <w:sz w:val="18"/>
                          </w:rPr>
                          <w:t>If the load or force exceeds 10 kg., And is static or repetitive.</w:t>
                        </w:r>
                      </w:p>
                    </w:tc>
                  </w:tr>
                  <w:tr>
                    <w:trPr>
                      <w:trHeight w:val="545" w:hRule="exact"/>
                    </w:trPr>
                    <w:tc>
                      <w:tcPr>
                        <w:tcW w:w="1661" w:type="dxa"/>
                        <w:tcBorders>
                          <w:top w:val="single" w:sz="8" w:space="0" w:color="000000"/>
                          <w:left w:val="single" w:sz="8" w:space="0" w:color="000000"/>
                          <w:bottom w:val="single" w:sz="8" w:space="0" w:color="000000"/>
                          <w:right w:val="single" w:sz="8" w:space="0" w:color="000000"/>
                        </w:tcBorders>
                      </w:tcPr>
                      <w:p>
                        <w:pPr>
                          <w:pStyle w:val="TableParagraph"/>
                          <w:spacing w:before="154"/>
                          <w:ind w:left="1"/>
                          <w:jc w:val="center"/>
                          <w:rPr>
                            <w:sz w:val="18"/>
                          </w:rPr>
                        </w:pPr>
                        <w:r>
                          <w:rPr>
                            <w:sz w:val="18"/>
                          </w:rPr>
                          <w:t>3</w:t>
                        </w:r>
                      </w:p>
                    </w:tc>
                    <w:tc>
                      <w:tcPr>
                        <w:tcW w:w="3220" w:type="dxa"/>
                        <w:tcBorders>
                          <w:top w:val="single" w:sz="8" w:space="0" w:color="000000"/>
                          <w:left w:val="single" w:sz="8" w:space="0" w:color="000000"/>
                          <w:bottom w:val="single" w:sz="8" w:space="0" w:color="000000"/>
                          <w:right w:val="single" w:sz="8" w:space="0" w:color="000000"/>
                        </w:tcBorders>
                      </w:tcPr>
                      <w:p>
                        <w:pPr>
                          <w:pStyle w:val="TableParagraph"/>
                          <w:spacing w:line="203" w:lineRule="exact"/>
                          <w:ind w:left="60"/>
                          <w:rPr>
                            <w:sz w:val="18"/>
                          </w:rPr>
                        </w:pPr>
                        <w:r>
                          <w:rPr>
                            <w:sz w:val="18"/>
                          </w:rPr>
                          <w:t>If abrupt or sudden shocks or forces occur.</w:t>
                        </w:r>
                      </w:p>
                    </w:tc>
                  </w:tr>
                </w:tbl>
                <w:p>
                  <w:pPr>
                    <w:pStyle w:val="BodyText"/>
                  </w:pPr>
                </w:p>
              </w:txbxContent>
            </v:textbox>
          </v:shape>
        </w:pict>
      </w:r>
      <w:r>
        <w:rPr/>
      </w:r>
    </w:p>
    <w:p>
      <w:pPr>
        <w:pStyle w:val="BodyText"/>
        <w:spacing w:before="3"/>
        <w:rPr>
          <w:sz w:val="11"/>
        </w:rPr>
      </w:pPr>
    </w:p>
    <w:p>
      <w:pPr>
        <w:spacing w:line="205" w:lineRule="exact" w:before="77"/>
        <w:ind w:left="5266" w:right="4041" w:firstLine="0"/>
        <w:jc w:val="center"/>
        <w:rPr>
          <w:b/>
          <w:sz w:val="18"/>
        </w:rPr>
      </w:pPr>
      <w:r>
        <w:rPr/>
        <w:pict>
          <v:shape style="position:absolute;margin-left:36.900002pt;margin-top:-15.107926pt;width:252.95pt;height:238.75pt;mso-position-horizontal-relative:page;mso-position-vertical-relative:paragraph;z-index:9736"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7"/>
                    <w:gridCol w:w="384"/>
                    <w:gridCol w:w="458"/>
                    <w:gridCol w:w="437"/>
                    <w:gridCol w:w="397"/>
                    <w:gridCol w:w="372"/>
                    <w:gridCol w:w="107"/>
                    <w:gridCol w:w="266"/>
                    <w:gridCol w:w="203"/>
                    <w:gridCol w:w="168"/>
                    <w:gridCol w:w="257"/>
                    <w:gridCol w:w="118"/>
                    <w:gridCol w:w="360"/>
                    <w:gridCol w:w="437"/>
                    <w:gridCol w:w="424"/>
                    <w:gridCol w:w="410"/>
                  </w:tblGrid>
                  <w:tr>
                    <w:trPr>
                      <w:trHeight w:val="371" w:hRule="exact"/>
                    </w:trPr>
                    <w:tc>
                      <w:tcPr>
                        <w:tcW w:w="247" w:type="dxa"/>
                        <w:vMerge w:val="restart"/>
                        <w:textDirection w:val="btLr"/>
                      </w:tcPr>
                      <w:p>
                        <w:pPr>
                          <w:pStyle w:val="TableParagraph"/>
                          <w:spacing w:before="15"/>
                          <w:ind w:left="521" w:right="522"/>
                          <w:jc w:val="center"/>
                          <w:rPr>
                            <w:b/>
                            <w:sz w:val="18"/>
                          </w:rPr>
                        </w:pPr>
                        <w:r>
                          <w:rPr>
                            <w:b/>
                            <w:sz w:val="18"/>
                          </w:rPr>
                          <w:t>Neck</w:t>
                        </w:r>
                      </w:p>
                    </w:tc>
                    <w:tc>
                      <w:tcPr>
                        <w:tcW w:w="4797" w:type="dxa"/>
                        <w:gridSpan w:val="15"/>
                      </w:tcPr>
                      <w:p>
                        <w:pPr>
                          <w:pStyle w:val="TableParagraph"/>
                          <w:spacing w:before="76"/>
                          <w:ind w:left="2106" w:right="2141"/>
                          <w:jc w:val="center"/>
                          <w:rPr>
                            <w:b/>
                            <w:sz w:val="18"/>
                          </w:rPr>
                        </w:pPr>
                        <w:r>
                          <w:rPr>
                            <w:b/>
                            <w:sz w:val="18"/>
                          </w:rPr>
                          <w:t>Trunk</w:t>
                        </w:r>
                      </w:p>
                    </w:tc>
                  </w:tr>
                  <w:tr>
                    <w:trPr>
                      <w:trHeight w:val="371" w:hRule="exact"/>
                    </w:trPr>
                    <w:tc>
                      <w:tcPr>
                        <w:tcW w:w="247" w:type="dxa"/>
                        <w:vMerge/>
                        <w:textDirection w:val="btLr"/>
                      </w:tcPr>
                      <w:p>
                        <w:pPr/>
                      </w:p>
                    </w:tc>
                    <w:tc>
                      <w:tcPr>
                        <w:tcW w:w="842" w:type="dxa"/>
                        <w:gridSpan w:val="2"/>
                      </w:tcPr>
                      <w:p>
                        <w:pPr>
                          <w:pStyle w:val="TableParagraph"/>
                          <w:spacing w:before="76"/>
                          <w:ind w:left="1"/>
                          <w:jc w:val="center"/>
                          <w:rPr>
                            <w:b/>
                            <w:sz w:val="18"/>
                          </w:rPr>
                        </w:pPr>
                        <w:r>
                          <w:rPr>
                            <w:b/>
                            <w:sz w:val="18"/>
                          </w:rPr>
                          <w:t>1</w:t>
                        </w:r>
                      </w:p>
                    </w:tc>
                    <w:tc>
                      <w:tcPr>
                        <w:tcW w:w="834" w:type="dxa"/>
                        <w:gridSpan w:val="2"/>
                      </w:tcPr>
                      <w:p>
                        <w:pPr>
                          <w:pStyle w:val="TableParagraph"/>
                          <w:spacing w:before="76"/>
                          <w:ind w:left="2"/>
                          <w:jc w:val="center"/>
                          <w:rPr>
                            <w:b/>
                            <w:sz w:val="18"/>
                          </w:rPr>
                        </w:pPr>
                        <w:r>
                          <w:rPr>
                            <w:b/>
                            <w:sz w:val="18"/>
                          </w:rPr>
                          <w:t>2</w:t>
                        </w:r>
                      </w:p>
                    </w:tc>
                    <w:tc>
                      <w:tcPr>
                        <w:tcW w:w="745" w:type="dxa"/>
                        <w:gridSpan w:val="3"/>
                      </w:tcPr>
                      <w:p>
                        <w:pPr>
                          <w:pStyle w:val="TableParagraph"/>
                          <w:spacing w:before="76"/>
                          <w:ind w:left="2"/>
                          <w:jc w:val="center"/>
                          <w:rPr>
                            <w:b/>
                            <w:sz w:val="18"/>
                          </w:rPr>
                        </w:pPr>
                        <w:r>
                          <w:rPr>
                            <w:b/>
                            <w:sz w:val="18"/>
                          </w:rPr>
                          <w:t>3</w:t>
                        </w:r>
                      </w:p>
                    </w:tc>
                    <w:tc>
                      <w:tcPr>
                        <w:tcW w:w="745" w:type="dxa"/>
                        <w:gridSpan w:val="4"/>
                      </w:tcPr>
                      <w:p>
                        <w:pPr>
                          <w:pStyle w:val="TableParagraph"/>
                          <w:spacing w:before="76"/>
                          <w:jc w:val="center"/>
                          <w:rPr>
                            <w:b/>
                            <w:sz w:val="18"/>
                          </w:rPr>
                        </w:pPr>
                        <w:r>
                          <w:rPr>
                            <w:b/>
                            <w:sz w:val="18"/>
                          </w:rPr>
                          <w:t>4</w:t>
                        </w:r>
                      </w:p>
                    </w:tc>
                    <w:tc>
                      <w:tcPr>
                        <w:tcW w:w="797" w:type="dxa"/>
                        <w:gridSpan w:val="2"/>
                      </w:tcPr>
                      <w:p>
                        <w:pPr>
                          <w:pStyle w:val="TableParagraph"/>
                          <w:spacing w:before="76"/>
                          <w:ind w:right="1"/>
                          <w:jc w:val="center"/>
                          <w:rPr>
                            <w:b/>
                            <w:sz w:val="18"/>
                          </w:rPr>
                        </w:pPr>
                        <w:r>
                          <w:rPr>
                            <w:b/>
                            <w:sz w:val="18"/>
                          </w:rPr>
                          <w:t>5</w:t>
                        </w:r>
                      </w:p>
                    </w:tc>
                    <w:tc>
                      <w:tcPr>
                        <w:tcW w:w="833" w:type="dxa"/>
                        <w:gridSpan w:val="2"/>
                      </w:tcPr>
                      <w:p>
                        <w:pPr>
                          <w:pStyle w:val="TableParagraph"/>
                          <w:spacing w:before="76"/>
                          <w:ind w:right="35"/>
                          <w:jc w:val="center"/>
                          <w:rPr>
                            <w:b/>
                            <w:sz w:val="18"/>
                          </w:rPr>
                        </w:pPr>
                        <w:r>
                          <w:rPr>
                            <w:b/>
                            <w:sz w:val="18"/>
                          </w:rPr>
                          <w:t>6</w:t>
                        </w:r>
                      </w:p>
                    </w:tc>
                  </w:tr>
                  <w:tr>
                    <w:trPr>
                      <w:trHeight w:val="372" w:hRule="exact"/>
                    </w:trPr>
                    <w:tc>
                      <w:tcPr>
                        <w:tcW w:w="247" w:type="dxa"/>
                        <w:vMerge/>
                        <w:textDirection w:val="btLr"/>
                      </w:tcPr>
                      <w:p>
                        <w:pPr/>
                      </w:p>
                    </w:tc>
                    <w:tc>
                      <w:tcPr>
                        <w:tcW w:w="842" w:type="dxa"/>
                        <w:gridSpan w:val="2"/>
                      </w:tcPr>
                      <w:p>
                        <w:pPr>
                          <w:pStyle w:val="TableParagraph"/>
                          <w:spacing w:before="76"/>
                          <w:ind w:left="236"/>
                          <w:rPr>
                            <w:b/>
                            <w:sz w:val="18"/>
                          </w:rPr>
                        </w:pPr>
                        <w:r>
                          <w:rPr>
                            <w:b/>
                            <w:sz w:val="18"/>
                          </w:rPr>
                          <w:t>Legs</w:t>
                        </w:r>
                      </w:p>
                    </w:tc>
                    <w:tc>
                      <w:tcPr>
                        <w:tcW w:w="834" w:type="dxa"/>
                        <w:gridSpan w:val="2"/>
                      </w:tcPr>
                      <w:p>
                        <w:pPr>
                          <w:pStyle w:val="TableParagraph"/>
                          <w:ind w:left="232"/>
                          <w:rPr>
                            <w:b/>
                            <w:sz w:val="18"/>
                          </w:rPr>
                        </w:pPr>
                        <w:r>
                          <w:rPr>
                            <w:b/>
                            <w:sz w:val="18"/>
                          </w:rPr>
                          <w:t>Legs</w:t>
                        </w:r>
                      </w:p>
                    </w:tc>
                    <w:tc>
                      <w:tcPr>
                        <w:tcW w:w="745" w:type="dxa"/>
                        <w:gridSpan w:val="3"/>
                      </w:tcPr>
                      <w:p>
                        <w:pPr>
                          <w:pStyle w:val="TableParagraph"/>
                          <w:ind w:left="188"/>
                          <w:rPr>
                            <w:b/>
                            <w:sz w:val="18"/>
                          </w:rPr>
                        </w:pPr>
                        <w:r>
                          <w:rPr>
                            <w:b/>
                            <w:sz w:val="18"/>
                          </w:rPr>
                          <w:t>Legs</w:t>
                        </w:r>
                      </w:p>
                    </w:tc>
                    <w:tc>
                      <w:tcPr>
                        <w:tcW w:w="745" w:type="dxa"/>
                        <w:gridSpan w:val="4"/>
                      </w:tcPr>
                      <w:p>
                        <w:pPr>
                          <w:pStyle w:val="TableParagraph"/>
                          <w:ind w:left="187"/>
                          <w:rPr>
                            <w:b/>
                            <w:sz w:val="18"/>
                          </w:rPr>
                        </w:pPr>
                        <w:r>
                          <w:rPr>
                            <w:b/>
                            <w:sz w:val="18"/>
                          </w:rPr>
                          <w:t>Legs</w:t>
                        </w:r>
                      </w:p>
                    </w:tc>
                    <w:tc>
                      <w:tcPr>
                        <w:tcW w:w="797" w:type="dxa"/>
                        <w:gridSpan w:val="2"/>
                      </w:tcPr>
                      <w:p>
                        <w:pPr>
                          <w:pStyle w:val="TableParagraph"/>
                          <w:ind w:left="213"/>
                          <w:rPr>
                            <w:b/>
                            <w:sz w:val="18"/>
                          </w:rPr>
                        </w:pPr>
                        <w:r>
                          <w:rPr>
                            <w:b/>
                            <w:sz w:val="18"/>
                          </w:rPr>
                          <w:t>Legs</w:t>
                        </w:r>
                      </w:p>
                    </w:tc>
                    <w:tc>
                      <w:tcPr>
                        <w:tcW w:w="833" w:type="dxa"/>
                        <w:gridSpan w:val="2"/>
                      </w:tcPr>
                      <w:p>
                        <w:pPr>
                          <w:pStyle w:val="TableParagraph"/>
                          <w:ind w:left="212"/>
                          <w:rPr>
                            <w:b/>
                            <w:sz w:val="18"/>
                          </w:rPr>
                        </w:pPr>
                        <w:r>
                          <w:rPr>
                            <w:b/>
                            <w:sz w:val="18"/>
                          </w:rPr>
                          <w:t>Legs</w:t>
                        </w:r>
                      </w:p>
                    </w:tc>
                  </w:tr>
                  <w:tr>
                    <w:trPr>
                      <w:trHeight w:val="371" w:hRule="exact"/>
                    </w:trPr>
                    <w:tc>
                      <w:tcPr>
                        <w:tcW w:w="247" w:type="dxa"/>
                        <w:vMerge/>
                        <w:textDirection w:val="btLr"/>
                      </w:tcPr>
                      <w:p>
                        <w:pPr/>
                      </w:p>
                    </w:tc>
                    <w:tc>
                      <w:tcPr>
                        <w:tcW w:w="384" w:type="dxa"/>
                      </w:tcPr>
                      <w:p>
                        <w:pPr>
                          <w:pStyle w:val="TableParagraph"/>
                          <w:spacing w:before="75"/>
                          <w:ind w:right="121"/>
                          <w:jc w:val="right"/>
                          <w:rPr>
                            <w:b/>
                            <w:sz w:val="18"/>
                          </w:rPr>
                        </w:pPr>
                        <w:r>
                          <w:rPr>
                            <w:b/>
                            <w:sz w:val="18"/>
                          </w:rPr>
                          <w:t>1</w:t>
                        </w:r>
                      </w:p>
                    </w:tc>
                    <w:tc>
                      <w:tcPr>
                        <w:tcW w:w="458" w:type="dxa"/>
                      </w:tcPr>
                      <w:p>
                        <w:pPr>
                          <w:pStyle w:val="TableParagraph"/>
                          <w:spacing w:before="75"/>
                          <w:ind w:right="158"/>
                          <w:jc w:val="right"/>
                          <w:rPr>
                            <w:b/>
                            <w:sz w:val="18"/>
                          </w:rPr>
                        </w:pPr>
                        <w:r>
                          <w:rPr>
                            <w:b/>
                            <w:sz w:val="18"/>
                          </w:rPr>
                          <w:t>2</w:t>
                        </w:r>
                      </w:p>
                    </w:tc>
                    <w:tc>
                      <w:tcPr>
                        <w:tcW w:w="437" w:type="dxa"/>
                      </w:tcPr>
                      <w:p>
                        <w:pPr>
                          <w:pStyle w:val="TableParagraph"/>
                          <w:spacing w:before="75"/>
                          <w:ind w:left="22"/>
                          <w:jc w:val="center"/>
                          <w:rPr>
                            <w:b/>
                            <w:sz w:val="18"/>
                          </w:rPr>
                        </w:pPr>
                        <w:r>
                          <w:rPr>
                            <w:b/>
                            <w:sz w:val="18"/>
                          </w:rPr>
                          <w:t>1</w:t>
                        </w:r>
                      </w:p>
                    </w:tc>
                    <w:tc>
                      <w:tcPr>
                        <w:tcW w:w="397" w:type="dxa"/>
                      </w:tcPr>
                      <w:p>
                        <w:pPr>
                          <w:pStyle w:val="TableParagraph"/>
                          <w:spacing w:before="75"/>
                          <w:ind w:right="137"/>
                          <w:jc w:val="right"/>
                          <w:rPr>
                            <w:b/>
                            <w:sz w:val="18"/>
                          </w:rPr>
                        </w:pPr>
                        <w:r>
                          <w:rPr>
                            <w:b/>
                            <w:sz w:val="18"/>
                          </w:rPr>
                          <w:t>2</w:t>
                        </w:r>
                      </w:p>
                    </w:tc>
                    <w:tc>
                      <w:tcPr>
                        <w:tcW w:w="372" w:type="dxa"/>
                      </w:tcPr>
                      <w:p>
                        <w:pPr>
                          <w:pStyle w:val="TableParagraph"/>
                          <w:spacing w:before="75"/>
                          <w:ind w:left="1"/>
                          <w:jc w:val="center"/>
                          <w:rPr>
                            <w:b/>
                            <w:sz w:val="18"/>
                          </w:rPr>
                        </w:pPr>
                        <w:r>
                          <w:rPr>
                            <w:b/>
                            <w:sz w:val="18"/>
                          </w:rPr>
                          <w:t>1</w:t>
                        </w:r>
                      </w:p>
                    </w:tc>
                    <w:tc>
                      <w:tcPr>
                        <w:tcW w:w="373" w:type="dxa"/>
                        <w:gridSpan w:val="2"/>
                      </w:tcPr>
                      <w:p>
                        <w:pPr>
                          <w:pStyle w:val="TableParagraph"/>
                          <w:spacing w:before="75"/>
                          <w:jc w:val="center"/>
                          <w:rPr>
                            <w:b/>
                            <w:sz w:val="18"/>
                          </w:rPr>
                        </w:pPr>
                        <w:r>
                          <w:rPr>
                            <w:b/>
                            <w:sz w:val="18"/>
                          </w:rPr>
                          <w:t>2</w:t>
                        </w:r>
                      </w:p>
                    </w:tc>
                    <w:tc>
                      <w:tcPr>
                        <w:tcW w:w="371" w:type="dxa"/>
                        <w:gridSpan w:val="2"/>
                      </w:tcPr>
                      <w:p>
                        <w:pPr>
                          <w:pStyle w:val="TableParagraph"/>
                          <w:spacing w:before="75"/>
                          <w:jc w:val="center"/>
                          <w:rPr>
                            <w:b/>
                            <w:sz w:val="18"/>
                          </w:rPr>
                        </w:pPr>
                        <w:r>
                          <w:rPr>
                            <w:b/>
                            <w:sz w:val="18"/>
                          </w:rPr>
                          <w:t>1</w:t>
                        </w:r>
                      </w:p>
                    </w:tc>
                    <w:tc>
                      <w:tcPr>
                        <w:tcW w:w="374" w:type="dxa"/>
                        <w:gridSpan w:val="2"/>
                      </w:tcPr>
                      <w:p>
                        <w:pPr>
                          <w:pStyle w:val="TableParagraph"/>
                          <w:spacing w:before="75"/>
                          <w:ind w:left="1"/>
                          <w:jc w:val="center"/>
                          <w:rPr>
                            <w:b/>
                            <w:sz w:val="18"/>
                          </w:rPr>
                        </w:pPr>
                        <w:r>
                          <w:rPr>
                            <w:b/>
                            <w:sz w:val="18"/>
                          </w:rPr>
                          <w:t>2</w:t>
                        </w:r>
                      </w:p>
                    </w:tc>
                    <w:tc>
                      <w:tcPr>
                        <w:tcW w:w="360" w:type="dxa"/>
                      </w:tcPr>
                      <w:p>
                        <w:pPr>
                          <w:pStyle w:val="TableParagraph"/>
                          <w:spacing w:before="75"/>
                          <w:ind w:right="128"/>
                          <w:jc w:val="right"/>
                          <w:rPr>
                            <w:b/>
                            <w:sz w:val="18"/>
                          </w:rPr>
                        </w:pPr>
                        <w:r>
                          <w:rPr>
                            <w:b/>
                            <w:sz w:val="18"/>
                          </w:rPr>
                          <w:t>1</w:t>
                        </w:r>
                      </w:p>
                    </w:tc>
                    <w:tc>
                      <w:tcPr>
                        <w:tcW w:w="437" w:type="dxa"/>
                      </w:tcPr>
                      <w:p>
                        <w:pPr>
                          <w:pStyle w:val="TableParagraph"/>
                          <w:spacing w:before="75"/>
                          <w:ind w:left="167"/>
                          <w:rPr>
                            <w:b/>
                            <w:sz w:val="18"/>
                          </w:rPr>
                        </w:pPr>
                        <w:r>
                          <w:rPr>
                            <w:b/>
                            <w:sz w:val="18"/>
                          </w:rPr>
                          <w:t>2</w:t>
                        </w:r>
                      </w:p>
                    </w:tc>
                    <w:tc>
                      <w:tcPr>
                        <w:tcW w:w="424" w:type="dxa"/>
                      </w:tcPr>
                      <w:p>
                        <w:pPr>
                          <w:pStyle w:val="TableParagraph"/>
                          <w:spacing w:before="75"/>
                          <w:ind w:right="24"/>
                          <w:jc w:val="center"/>
                          <w:rPr>
                            <w:b/>
                            <w:sz w:val="18"/>
                          </w:rPr>
                        </w:pPr>
                        <w:r>
                          <w:rPr>
                            <w:b/>
                            <w:sz w:val="18"/>
                          </w:rPr>
                          <w:t>1</w:t>
                        </w:r>
                      </w:p>
                    </w:tc>
                    <w:tc>
                      <w:tcPr>
                        <w:tcW w:w="410" w:type="dxa"/>
                      </w:tcPr>
                      <w:p>
                        <w:pPr>
                          <w:pStyle w:val="TableParagraph"/>
                          <w:spacing w:before="75"/>
                          <w:ind w:left="122"/>
                          <w:rPr>
                            <w:b/>
                            <w:sz w:val="18"/>
                          </w:rPr>
                        </w:pPr>
                        <w:r>
                          <w:rPr>
                            <w:b/>
                            <w:sz w:val="18"/>
                          </w:rPr>
                          <w:t>2</w:t>
                        </w:r>
                      </w:p>
                    </w:tc>
                  </w:tr>
                  <w:tr>
                    <w:trPr>
                      <w:trHeight w:val="371" w:hRule="exact"/>
                    </w:trPr>
                    <w:tc>
                      <w:tcPr>
                        <w:tcW w:w="247" w:type="dxa"/>
                      </w:tcPr>
                      <w:p>
                        <w:pPr>
                          <w:pStyle w:val="TableParagraph"/>
                          <w:spacing w:before="75"/>
                          <w:ind w:right="42"/>
                          <w:jc w:val="right"/>
                          <w:rPr>
                            <w:b/>
                            <w:sz w:val="18"/>
                          </w:rPr>
                        </w:pPr>
                        <w:r>
                          <w:rPr>
                            <w:b/>
                            <w:sz w:val="18"/>
                          </w:rPr>
                          <w:t>1</w:t>
                        </w:r>
                      </w:p>
                    </w:tc>
                    <w:tc>
                      <w:tcPr>
                        <w:tcW w:w="384" w:type="dxa"/>
                      </w:tcPr>
                      <w:p>
                        <w:pPr>
                          <w:pStyle w:val="TableParagraph"/>
                          <w:spacing w:before="75"/>
                          <w:ind w:right="121"/>
                          <w:jc w:val="right"/>
                          <w:rPr>
                            <w:b/>
                            <w:sz w:val="18"/>
                          </w:rPr>
                        </w:pPr>
                        <w:r>
                          <w:rPr>
                            <w:b/>
                            <w:sz w:val="18"/>
                          </w:rPr>
                          <w:t>1</w:t>
                        </w:r>
                      </w:p>
                    </w:tc>
                    <w:tc>
                      <w:tcPr>
                        <w:tcW w:w="458" w:type="dxa"/>
                      </w:tcPr>
                      <w:p>
                        <w:pPr>
                          <w:pStyle w:val="TableParagraph"/>
                          <w:spacing w:before="75"/>
                          <w:ind w:right="158"/>
                          <w:jc w:val="right"/>
                          <w:rPr>
                            <w:b/>
                            <w:sz w:val="18"/>
                          </w:rPr>
                        </w:pPr>
                        <w:r>
                          <w:rPr>
                            <w:b/>
                            <w:sz w:val="18"/>
                          </w:rPr>
                          <w:t>3</w:t>
                        </w:r>
                      </w:p>
                    </w:tc>
                    <w:tc>
                      <w:tcPr>
                        <w:tcW w:w="437" w:type="dxa"/>
                      </w:tcPr>
                      <w:p>
                        <w:pPr>
                          <w:pStyle w:val="TableParagraph"/>
                          <w:spacing w:before="75"/>
                          <w:ind w:left="22"/>
                          <w:jc w:val="center"/>
                          <w:rPr>
                            <w:b/>
                            <w:sz w:val="18"/>
                          </w:rPr>
                        </w:pPr>
                        <w:r>
                          <w:rPr>
                            <w:b/>
                            <w:sz w:val="18"/>
                          </w:rPr>
                          <w:t>2</w:t>
                        </w:r>
                      </w:p>
                    </w:tc>
                    <w:tc>
                      <w:tcPr>
                        <w:tcW w:w="397" w:type="dxa"/>
                      </w:tcPr>
                      <w:p>
                        <w:pPr>
                          <w:pStyle w:val="TableParagraph"/>
                          <w:spacing w:before="75"/>
                          <w:ind w:right="136"/>
                          <w:jc w:val="right"/>
                          <w:rPr>
                            <w:b/>
                            <w:sz w:val="18"/>
                          </w:rPr>
                        </w:pPr>
                        <w:r>
                          <w:rPr>
                            <w:b/>
                            <w:sz w:val="18"/>
                          </w:rPr>
                          <w:t>3</w:t>
                        </w:r>
                      </w:p>
                    </w:tc>
                    <w:tc>
                      <w:tcPr>
                        <w:tcW w:w="372" w:type="dxa"/>
                      </w:tcPr>
                      <w:p>
                        <w:pPr>
                          <w:pStyle w:val="TableParagraph"/>
                          <w:spacing w:before="75"/>
                          <w:ind w:left="1"/>
                          <w:jc w:val="center"/>
                          <w:rPr>
                            <w:b/>
                            <w:sz w:val="18"/>
                          </w:rPr>
                        </w:pPr>
                        <w:r>
                          <w:rPr>
                            <w:b/>
                            <w:sz w:val="18"/>
                          </w:rPr>
                          <w:t>3</w:t>
                        </w:r>
                      </w:p>
                    </w:tc>
                    <w:tc>
                      <w:tcPr>
                        <w:tcW w:w="373" w:type="dxa"/>
                        <w:gridSpan w:val="2"/>
                      </w:tcPr>
                      <w:p>
                        <w:pPr>
                          <w:pStyle w:val="TableParagraph"/>
                          <w:spacing w:before="75"/>
                          <w:jc w:val="center"/>
                          <w:rPr>
                            <w:b/>
                            <w:sz w:val="18"/>
                          </w:rPr>
                        </w:pPr>
                        <w:r>
                          <w:rPr>
                            <w:b/>
                            <w:sz w:val="18"/>
                          </w:rPr>
                          <w:t>4</w:t>
                        </w:r>
                      </w:p>
                    </w:tc>
                    <w:tc>
                      <w:tcPr>
                        <w:tcW w:w="371" w:type="dxa"/>
                        <w:gridSpan w:val="2"/>
                      </w:tcPr>
                      <w:p>
                        <w:pPr>
                          <w:pStyle w:val="TableParagraph"/>
                          <w:spacing w:before="75"/>
                          <w:jc w:val="center"/>
                          <w:rPr>
                            <w:b/>
                            <w:sz w:val="18"/>
                          </w:rPr>
                        </w:pPr>
                        <w:r>
                          <w:rPr>
                            <w:b/>
                            <w:sz w:val="18"/>
                          </w:rPr>
                          <w:t>5</w:t>
                        </w:r>
                      </w:p>
                    </w:tc>
                    <w:tc>
                      <w:tcPr>
                        <w:tcW w:w="374" w:type="dxa"/>
                        <w:gridSpan w:val="2"/>
                      </w:tcPr>
                      <w:p>
                        <w:pPr>
                          <w:pStyle w:val="TableParagraph"/>
                          <w:spacing w:before="75"/>
                          <w:ind w:left="1"/>
                          <w:jc w:val="center"/>
                          <w:rPr>
                            <w:b/>
                            <w:sz w:val="18"/>
                          </w:rPr>
                        </w:pPr>
                        <w:r>
                          <w:rPr>
                            <w:b/>
                            <w:sz w:val="18"/>
                          </w:rPr>
                          <w:t>5</w:t>
                        </w:r>
                      </w:p>
                    </w:tc>
                    <w:tc>
                      <w:tcPr>
                        <w:tcW w:w="360" w:type="dxa"/>
                      </w:tcPr>
                      <w:p>
                        <w:pPr>
                          <w:pStyle w:val="TableParagraph"/>
                          <w:spacing w:before="75"/>
                          <w:ind w:right="128"/>
                          <w:jc w:val="right"/>
                          <w:rPr>
                            <w:b/>
                            <w:sz w:val="18"/>
                          </w:rPr>
                        </w:pPr>
                        <w:r>
                          <w:rPr>
                            <w:b/>
                            <w:sz w:val="18"/>
                          </w:rPr>
                          <w:t>6</w:t>
                        </w:r>
                      </w:p>
                    </w:tc>
                    <w:tc>
                      <w:tcPr>
                        <w:tcW w:w="437" w:type="dxa"/>
                      </w:tcPr>
                      <w:p>
                        <w:pPr>
                          <w:pStyle w:val="TableParagraph"/>
                          <w:spacing w:before="75"/>
                          <w:ind w:left="167"/>
                          <w:rPr>
                            <w:b/>
                            <w:sz w:val="18"/>
                          </w:rPr>
                        </w:pPr>
                        <w:r>
                          <w:rPr>
                            <w:b/>
                            <w:sz w:val="18"/>
                          </w:rPr>
                          <w:t>6</w:t>
                        </w:r>
                      </w:p>
                    </w:tc>
                    <w:tc>
                      <w:tcPr>
                        <w:tcW w:w="424" w:type="dxa"/>
                      </w:tcPr>
                      <w:p>
                        <w:pPr>
                          <w:pStyle w:val="TableParagraph"/>
                          <w:spacing w:before="75"/>
                          <w:ind w:right="24"/>
                          <w:jc w:val="center"/>
                          <w:rPr>
                            <w:b/>
                            <w:sz w:val="18"/>
                          </w:rPr>
                        </w:pPr>
                        <w:r>
                          <w:rPr>
                            <w:b/>
                            <w:sz w:val="18"/>
                          </w:rPr>
                          <w:t>7</w:t>
                        </w:r>
                      </w:p>
                    </w:tc>
                    <w:tc>
                      <w:tcPr>
                        <w:tcW w:w="410" w:type="dxa"/>
                      </w:tcPr>
                      <w:p>
                        <w:pPr>
                          <w:pStyle w:val="TableParagraph"/>
                          <w:spacing w:before="75"/>
                          <w:ind w:left="122"/>
                          <w:rPr>
                            <w:b/>
                            <w:sz w:val="18"/>
                          </w:rPr>
                        </w:pPr>
                        <w:r>
                          <w:rPr>
                            <w:b/>
                            <w:sz w:val="18"/>
                          </w:rPr>
                          <w:t>7</w:t>
                        </w:r>
                      </w:p>
                    </w:tc>
                  </w:tr>
                  <w:tr>
                    <w:trPr>
                      <w:trHeight w:val="371" w:hRule="exact"/>
                    </w:trPr>
                    <w:tc>
                      <w:tcPr>
                        <w:tcW w:w="247" w:type="dxa"/>
                      </w:tcPr>
                      <w:p>
                        <w:pPr>
                          <w:pStyle w:val="TableParagraph"/>
                          <w:spacing w:before="75"/>
                          <w:ind w:right="42"/>
                          <w:jc w:val="right"/>
                          <w:rPr>
                            <w:b/>
                            <w:sz w:val="18"/>
                          </w:rPr>
                        </w:pPr>
                        <w:r>
                          <w:rPr>
                            <w:b/>
                            <w:sz w:val="18"/>
                          </w:rPr>
                          <w:t>2</w:t>
                        </w:r>
                      </w:p>
                    </w:tc>
                    <w:tc>
                      <w:tcPr>
                        <w:tcW w:w="384" w:type="dxa"/>
                      </w:tcPr>
                      <w:p>
                        <w:pPr>
                          <w:pStyle w:val="TableParagraph"/>
                          <w:spacing w:before="75"/>
                          <w:ind w:right="121"/>
                          <w:jc w:val="right"/>
                          <w:rPr>
                            <w:b/>
                            <w:sz w:val="18"/>
                          </w:rPr>
                        </w:pPr>
                        <w:r>
                          <w:rPr>
                            <w:b/>
                            <w:sz w:val="18"/>
                          </w:rPr>
                          <w:t>2</w:t>
                        </w:r>
                      </w:p>
                    </w:tc>
                    <w:tc>
                      <w:tcPr>
                        <w:tcW w:w="458" w:type="dxa"/>
                      </w:tcPr>
                      <w:p>
                        <w:pPr>
                          <w:pStyle w:val="TableParagraph"/>
                          <w:spacing w:before="75"/>
                          <w:ind w:right="158"/>
                          <w:jc w:val="right"/>
                          <w:rPr>
                            <w:b/>
                            <w:sz w:val="18"/>
                          </w:rPr>
                        </w:pPr>
                        <w:r>
                          <w:rPr>
                            <w:b/>
                            <w:sz w:val="18"/>
                          </w:rPr>
                          <w:t>3</w:t>
                        </w:r>
                      </w:p>
                    </w:tc>
                    <w:tc>
                      <w:tcPr>
                        <w:tcW w:w="437" w:type="dxa"/>
                      </w:tcPr>
                      <w:p>
                        <w:pPr>
                          <w:pStyle w:val="TableParagraph"/>
                          <w:spacing w:before="75"/>
                          <w:ind w:left="22"/>
                          <w:jc w:val="center"/>
                          <w:rPr>
                            <w:b/>
                            <w:sz w:val="18"/>
                          </w:rPr>
                        </w:pPr>
                        <w:r>
                          <w:rPr>
                            <w:b/>
                            <w:sz w:val="18"/>
                          </w:rPr>
                          <w:t>2</w:t>
                        </w:r>
                      </w:p>
                    </w:tc>
                    <w:tc>
                      <w:tcPr>
                        <w:tcW w:w="397" w:type="dxa"/>
                      </w:tcPr>
                      <w:p>
                        <w:pPr>
                          <w:pStyle w:val="TableParagraph"/>
                          <w:spacing w:before="75"/>
                          <w:ind w:right="136"/>
                          <w:jc w:val="right"/>
                          <w:rPr>
                            <w:b/>
                            <w:sz w:val="18"/>
                          </w:rPr>
                        </w:pPr>
                        <w:r>
                          <w:rPr>
                            <w:b/>
                            <w:sz w:val="18"/>
                          </w:rPr>
                          <w:t>3</w:t>
                        </w:r>
                      </w:p>
                    </w:tc>
                    <w:tc>
                      <w:tcPr>
                        <w:tcW w:w="372" w:type="dxa"/>
                      </w:tcPr>
                      <w:p>
                        <w:pPr>
                          <w:pStyle w:val="TableParagraph"/>
                          <w:spacing w:before="75"/>
                          <w:ind w:left="1"/>
                          <w:jc w:val="center"/>
                          <w:rPr>
                            <w:b/>
                            <w:sz w:val="18"/>
                          </w:rPr>
                        </w:pPr>
                        <w:r>
                          <w:rPr>
                            <w:b/>
                            <w:sz w:val="18"/>
                          </w:rPr>
                          <w:t>4</w:t>
                        </w:r>
                      </w:p>
                    </w:tc>
                    <w:tc>
                      <w:tcPr>
                        <w:tcW w:w="373" w:type="dxa"/>
                        <w:gridSpan w:val="2"/>
                      </w:tcPr>
                      <w:p>
                        <w:pPr>
                          <w:pStyle w:val="TableParagraph"/>
                          <w:spacing w:before="75"/>
                          <w:jc w:val="center"/>
                          <w:rPr>
                            <w:b/>
                            <w:sz w:val="18"/>
                          </w:rPr>
                        </w:pPr>
                        <w:r>
                          <w:rPr>
                            <w:b/>
                            <w:sz w:val="18"/>
                          </w:rPr>
                          <w:t>5</w:t>
                        </w:r>
                      </w:p>
                    </w:tc>
                    <w:tc>
                      <w:tcPr>
                        <w:tcW w:w="371" w:type="dxa"/>
                        <w:gridSpan w:val="2"/>
                      </w:tcPr>
                      <w:p>
                        <w:pPr>
                          <w:pStyle w:val="TableParagraph"/>
                          <w:spacing w:before="75"/>
                          <w:jc w:val="center"/>
                          <w:rPr>
                            <w:b/>
                            <w:sz w:val="18"/>
                          </w:rPr>
                        </w:pPr>
                        <w:r>
                          <w:rPr>
                            <w:b/>
                            <w:sz w:val="18"/>
                          </w:rPr>
                          <w:t>5</w:t>
                        </w:r>
                      </w:p>
                    </w:tc>
                    <w:tc>
                      <w:tcPr>
                        <w:tcW w:w="374" w:type="dxa"/>
                        <w:gridSpan w:val="2"/>
                      </w:tcPr>
                      <w:p>
                        <w:pPr>
                          <w:pStyle w:val="TableParagraph"/>
                          <w:spacing w:before="75"/>
                          <w:ind w:left="1"/>
                          <w:jc w:val="center"/>
                          <w:rPr>
                            <w:b/>
                            <w:sz w:val="18"/>
                          </w:rPr>
                        </w:pPr>
                        <w:r>
                          <w:rPr>
                            <w:b/>
                            <w:sz w:val="18"/>
                          </w:rPr>
                          <w:t>5</w:t>
                        </w:r>
                      </w:p>
                    </w:tc>
                    <w:tc>
                      <w:tcPr>
                        <w:tcW w:w="360" w:type="dxa"/>
                      </w:tcPr>
                      <w:p>
                        <w:pPr>
                          <w:pStyle w:val="TableParagraph"/>
                          <w:spacing w:before="75"/>
                          <w:ind w:right="128"/>
                          <w:jc w:val="right"/>
                          <w:rPr>
                            <w:b/>
                            <w:sz w:val="18"/>
                          </w:rPr>
                        </w:pPr>
                        <w:r>
                          <w:rPr>
                            <w:b/>
                            <w:sz w:val="18"/>
                          </w:rPr>
                          <w:t>6</w:t>
                        </w:r>
                      </w:p>
                    </w:tc>
                    <w:tc>
                      <w:tcPr>
                        <w:tcW w:w="437" w:type="dxa"/>
                      </w:tcPr>
                      <w:p>
                        <w:pPr>
                          <w:pStyle w:val="TableParagraph"/>
                          <w:spacing w:before="75"/>
                          <w:ind w:left="167"/>
                          <w:rPr>
                            <w:b/>
                            <w:sz w:val="18"/>
                          </w:rPr>
                        </w:pPr>
                        <w:r>
                          <w:rPr>
                            <w:b/>
                            <w:sz w:val="18"/>
                          </w:rPr>
                          <w:t>7</w:t>
                        </w:r>
                      </w:p>
                    </w:tc>
                    <w:tc>
                      <w:tcPr>
                        <w:tcW w:w="424" w:type="dxa"/>
                      </w:tcPr>
                      <w:p>
                        <w:pPr>
                          <w:pStyle w:val="TableParagraph"/>
                          <w:spacing w:before="75"/>
                          <w:ind w:right="24"/>
                          <w:jc w:val="center"/>
                          <w:rPr>
                            <w:b/>
                            <w:sz w:val="18"/>
                          </w:rPr>
                        </w:pPr>
                        <w:r>
                          <w:rPr>
                            <w:b/>
                            <w:sz w:val="18"/>
                          </w:rPr>
                          <w:t>7</w:t>
                        </w:r>
                      </w:p>
                    </w:tc>
                    <w:tc>
                      <w:tcPr>
                        <w:tcW w:w="410" w:type="dxa"/>
                      </w:tcPr>
                      <w:p>
                        <w:pPr>
                          <w:pStyle w:val="TableParagraph"/>
                          <w:spacing w:before="75"/>
                          <w:ind w:left="122"/>
                          <w:rPr>
                            <w:b/>
                            <w:sz w:val="18"/>
                          </w:rPr>
                        </w:pPr>
                        <w:r>
                          <w:rPr>
                            <w:b/>
                            <w:sz w:val="18"/>
                          </w:rPr>
                          <w:t>7</w:t>
                        </w:r>
                      </w:p>
                    </w:tc>
                  </w:tr>
                  <w:tr>
                    <w:trPr>
                      <w:trHeight w:val="226" w:hRule="exact"/>
                    </w:trPr>
                    <w:tc>
                      <w:tcPr>
                        <w:tcW w:w="247" w:type="dxa"/>
                      </w:tcPr>
                      <w:p>
                        <w:pPr>
                          <w:pStyle w:val="TableParagraph"/>
                          <w:spacing w:before="3"/>
                          <w:ind w:right="42"/>
                          <w:jc w:val="right"/>
                          <w:rPr>
                            <w:b/>
                            <w:sz w:val="18"/>
                          </w:rPr>
                        </w:pPr>
                        <w:r>
                          <w:rPr>
                            <w:b/>
                            <w:sz w:val="18"/>
                          </w:rPr>
                          <w:t>3</w:t>
                        </w:r>
                      </w:p>
                    </w:tc>
                    <w:tc>
                      <w:tcPr>
                        <w:tcW w:w="384" w:type="dxa"/>
                      </w:tcPr>
                      <w:p>
                        <w:pPr>
                          <w:pStyle w:val="TableParagraph"/>
                          <w:spacing w:before="3"/>
                          <w:ind w:right="121"/>
                          <w:jc w:val="right"/>
                          <w:rPr>
                            <w:b/>
                            <w:sz w:val="18"/>
                          </w:rPr>
                        </w:pPr>
                        <w:r>
                          <w:rPr>
                            <w:b/>
                            <w:sz w:val="18"/>
                          </w:rPr>
                          <w:t>3</w:t>
                        </w:r>
                      </w:p>
                    </w:tc>
                    <w:tc>
                      <w:tcPr>
                        <w:tcW w:w="458" w:type="dxa"/>
                      </w:tcPr>
                      <w:p>
                        <w:pPr>
                          <w:pStyle w:val="TableParagraph"/>
                          <w:spacing w:before="3"/>
                          <w:ind w:right="158"/>
                          <w:jc w:val="right"/>
                          <w:rPr>
                            <w:b/>
                            <w:sz w:val="18"/>
                          </w:rPr>
                        </w:pPr>
                        <w:r>
                          <w:rPr>
                            <w:b/>
                            <w:sz w:val="18"/>
                          </w:rPr>
                          <w:t>3</w:t>
                        </w:r>
                      </w:p>
                    </w:tc>
                    <w:tc>
                      <w:tcPr>
                        <w:tcW w:w="437" w:type="dxa"/>
                      </w:tcPr>
                      <w:p>
                        <w:pPr>
                          <w:pStyle w:val="TableParagraph"/>
                          <w:spacing w:before="3"/>
                          <w:ind w:left="22"/>
                          <w:jc w:val="center"/>
                          <w:rPr>
                            <w:b/>
                            <w:sz w:val="18"/>
                          </w:rPr>
                        </w:pPr>
                        <w:r>
                          <w:rPr>
                            <w:b/>
                            <w:sz w:val="18"/>
                          </w:rPr>
                          <w:t>3</w:t>
                        </w:r>
                      </w:p>
                    </w:tc>
                    <w:tc>
                      <w:tcPr>
                        <w:tcW w:w="397" w:type="dxa"/>
                      </w:tcPr>
                      <w:p>
                        <w:pPr>
                          <w:pStyle w:val="TableParagraph"/>
                          <w:spacing w:before="3"/>
                          <w:ind w:right="136"/>
                          <w:jc w:val="right"/>
                          <w:rPr>
                            <w:b/>
                            <w:sz w:val="18"/>
                          </w:rPr>
                        </w:pPr>
                        <w:r>
                          <w:rPr>
                            <w:b/>
                            <w:sz w:val="18"/>
                          </w:rPr>
                          <w:t>4</w:t>
                        </w:r>
                      </w:p>
                    </w:tc>
                    <w:tc>
                      <w:tcPr>
                        <w:tcW w:w="372" w:type="dxa"/>
                      </w:tcPr>
                      <w:p>
                        <w:pPr>
                          <w:pStyle w:val="TableParagraph"/>
                          <w:spacing w:before="3"/>
                          <w:ind w:left="1"/>
                          <w:jc w:val="center"/>
                          <w:rPr>
                            <w:b/>
                            <w:sz w:val="18"/>
                          </w:rPr>
                        </w:pPr>
                        <w:r>
                          <w:rPr>
                            <w:b/>
                            <w:sz w:val="18"/>
                          </w:rPr>
                          <w:t>4</w:t>
                        </w:r>
                      </w:p>
                    </w:tc>
                    <w:tc>
                      <w:tcPr>
                        <w:tcW w:w="373" w:type="dxa"/>
                        <w:gridSpan w:val="2"/>
                      </w:tcPr>
                      <w:p>
                        <w:pPr>
                          <w:pStyle w:val="TableParagraph"/>
                          <w:spacing w:before="3"/>
                          <w:jc w:val="center"/>
                          <w:rPr>
                            <w:b/>
                            <w:sz w:val="18"/>
                          </w:rPr>
                        </w:pPr>
                        <w:r>
                          <w:rPr>
                            <w:b/>
                            <w:sz w:val="18"/>
                          </w:rPr>
                          <w:t>5</w:t>
                        </w:r>
                      </w:p>
                    </w:tc>
                    <w:tc>
                      <w:tcPr>
                        <w:tcW w:w="371" w:type="dxa"/>
                        <w:gridSpan w:val="2"/>
                      </w:tcPr>
                      <w:p>
                        <w:pPr>
                          <w:pStyle w:val="TableParagraph"/>
                          <w:spacing w:before="3"/>
                          <w:jc w:val="center"/>
                          <w:rPr>
                            <w:b/>
                            <w:sz w:val="18"/>
                          </w:rPr>
                        </w:pPr>
                        <w:r>
                          <w:rPr>
                            <w:b/>
                            <w:sz w:val="18"/>
                          </w:rPr>
                          <w:t>5</w:t>
                        </w:r>
                      </w:p>
                    </w:tc>
                    <w:tc>
                      <w:tcPr>
                        <w:tcW w:w="374" w:type="dxa"/>
                        <w:gridSpan w:val="2"/>
                      </w:tcPr>
                      <w:p>
                        <w:pPr>
                          <w:pStyle w:val="TableParagraph"/>
                          <w:spacing w:before="3"/>
                          <w:ind w:left="1"/>
                          <w:jc w:val="center"/>
                          <w:rPr>
                            <w:b/>
                            <w:sz w:val="18"/>
                          </w:rPr>
                        </w:pPr>
                        <w:r>
                          <w:rPr>
                            <w:b/>
                            <w:sz w:val="18"/>
                          </w:rPr>
                          <w:t>6</w:t>
                        </w:r>
                      </w:p>
                    </w:tc>
                    <w:tc>
                      <w:tcPr>
                        <w:tcW w:w="360" w:type="dxa"/>
                      </w:tcPr>
                      <w:p>
                        <w:pPr>
                          <w:pStyle w:val="TableParagraph"/>
                          <w:spacing w:before="3"/>
                          <w:ind w:right="128"/>
                          <w:jc w:val="right"/>
                          <w:rPr>
                            <w:b/>
                            <w:sz w:val="18"/>
                          </w:rPr>
                        </w:pPr>
                        <w:r>
                          <w:rPr>
                            <w:b/>
                            <w:sz w:val="18"/>
                          </w:rPr>
                          <w:t>6</w:t>
                        </w:r>
                      </w:p>
                    </w:tc>
                    <w:tc>
                      <w:tcPr>
                        <w:tcW w:w="437" w:type="dxa"/>
                      </w:tcPr>
                      <w:p>
                        <w:pPr>
                          <w:pStyle w:val="TableParagraph"/>
                          <w:spacing w:before="3"/>
                          <w:ind w:left="167"/>
                          <w:rPr>
                            <w:b/>
                            <w:sz w:val="18"/>
                          </w:rPr>
                        </w:pPr>
                        <w:r>
                          <w:rPr>
                            <w:b/>
                            <w:sz w:val="18"/>
                          </w:rPr>
                          <w:t>7</w:t>
                        </w:r>
                      </w:p>
                    </w:tc>
                    <w:tc>
                      <w:tcPr>
                        <w:tcW w:w="424" w:type="dxa"/>
                      </w:tcPr>
                      <w:p>
                        <w:pPr>
                          <w:pStyle w:val="TableParagraph"/>
                          <w:spacing w:before="3"/>
                          <w:ind w:right="24"/>
                          <w:jc w:val="center"/>
                          <w:rPr>
                            <w:b/>
                            <w:sz w:val="18"/>
                          </w:rPr>
                        </w:pPr>
                        <w:r>
                          <w:rPr>
                            <w:b/>
                            <w:sz w:val="18"/>
                          </w:rPr>
                          <w:t>7</w:t>
                        </w:r>
                      </w:p>
                    </w:tc>
                    <w:tc>
                      <w:tcPr>
                        <w:tcW w:w="410" w:type="dxa"/>
                      </w:tcPr>
                      <w:p>
                        <w:pPr>
                          <w:pStyle w:val="TableParagraph"/>
                          <w:spacing w:before="3"/>
                          <w:ind w:left="122"/>
                          <w:rPr>
                            <w:b/>
                            <w:sz w:val="18"/>
                          </w:rPr>
                        </w:pPr>
                        <w:r>
                          <w:rPr>
                            <w:b/>
                            <w:sz w:val="18"/>
                          </w:rPr>
                          <w:t>7</w:t>
                        </w:r>
                      </w:p>
                    </w:tc>
                  </w:tr>
                  <w:tr>
                    <w:trPr>
                      <w:trHeight w:val="227" w:hRule="exact"/>
                    </w:trPr>
                    <w:tc>
                      <w:tcPr>
                        <w:tcW w:w="247" w:type="dxa"/>
                      </w:tcPr>
                      <w:p>
                        <w:pPr>
                          <w:pStyle w:val="TableParagraph"/>
                          <w:spacing w:before="3"/>
                          <w:ind w:right="42"/>
                          <w:jc w:val="right"/>
                          <w:rPr>
                            <w:b/>
                            <w:sz w:val="18"/>
                          </w:rPr>
                        </w:pPr>
                        <w:r>
                          <w:rPr>
                            <w:b/>
                            <w:sz w:val="18"/>
                          </w:rPr>
                          <w:t>4</w:t>
                        </w:r>
                      </w:p>
                    </w:tc>
                    <w:tc>
                      <w:tcPr>
                        <w:tcW w:w="384" w:type="dxa"/>
                      </w:tcPr>
                      <w:p>
                        <w:pPr>
                          <w:pStyle w:val="TableParagraph"/>
                          <w:spacing w:before="3"/>
                          <w:ind w:right="121"/>
                          <w:jc w:val="right"/>
                          <w:rPr>
                            <w:b/>
                            <w:sz w:val="18"/>
                          </w:rPr>
                        </w:pPr>
                        <w:r>
                          <w:rPr>
                            <w:b/>
                            <w:sz w:val="18"/>
                          </w:rPr>
                          <w:t>5</w:t>
                        </w:r>
                      </w:p>
                    </w:tc>
                    <w:tc>
                      <w:tcPr>
                        <w:tcW w:w="458" w:type="dxa"/>
                      </w:tcPr>
                      <w:p>
                        <w:pPr>
                          <w:pStyle w:val="TableParagraph"/>
                          <w:spacing w:before="3"/>
                          <w:ind w:right="158"/>
                          <w:jc w:val="right"/>
                          <w:rPr>
                            <w:b/>
                            <w:sz w:val="18"/>
                          </w:rPr>
                        </w:pPr>
                        <w:r>
                          <w:rPr>
                            <w:b/>
                            <w:sz w:val="18"/>
                          </w:rPr>
                          <w:t>5</w:t>
                        </w:r>
                      </w:p>
                    </w:tc>
                    <w:tc>
                      <w:tcPr>
                        <w:tcW w:w="437" w:type="dxa"/>
                      </w:tcPr>
                      <w:p>
                        <w:pPr>
                          <w:pStyle w:val="TableParagraph"/>
                          <w:spacing w:before="3"/>
                          <w:ind w:left="22"/>
                          <w:jc w:val="center"/>
                          <w:rPr>
                            <w:b/>
                            <w:sz w:val="18"/>
                          </w:rPr>
                        </w:pPr>
                        <w:r>
                          <w:rPr>
                            <w:b/>
                            <w:sz w:val="18"/>
                          </w:rPr>
                          <w:t>5</w:t>
                        </w:r>
                      </w:p>
                    </w:tc>
                    <w:tc>
                      <w:tcPr>
                        <w:tcW w:w="397" w:type="dxa"/>
                      </w:tcPr>
                      <w:p>
                        <w:pPr>
                          <w:pStyle w:val="TableParagraph"/>
                          <w:spacing w:before="3"/>
                          <w:ind w:right="136"/>
                          <w:jc w:val="right"/>
                          <w:rPr>
                            <w:b/>
                            <w:sz w:val="18"/>
                          </w:rPr>
                        </w:pPr>
                        <w:r>
                          <w:rPr>
                            <w:b/>
                            <w:sz w:val="18"/>
                          </w:rPr>
                          <w:t>6</w:t>
                        </w:r>
                      </w:p>
                    </w:tc>
                    <w:tc>
                      <w:tcPr>
                        <w:tcW w:w="372" w:type="dxa"/>
                      </w:tcPr>
                      <w:p>
                        <w:pPr>
                          <w:pStyle w:val="TableParagraph"/>
                          <w:spacing w:before="3"/>
                          <w:ind w:left="1"/>
                          <w:jc w:val="center"/>
                          <w:rPr>
                            <w:b/>
                            <w:sz w:val="18"/>
                          </w:rPr>
                        </w:pPr>
                        <w:r>
                          <w:rPr>
                            <w:b/>
                            <w:sz w:val="18"/>
                          </w:rPr>
                          <w:t>6</w:t>
                        </w:r>
                      </w:p>
                    </w:tc>
                    <w:tc>
                      <w:tcPr>
                        <w:tcW w:w="373" w:type="dxa"/>
                        <w:gridSpan w:val="2"/>
                      </w:tcPr>
                      <w:p>
                        <w:pPr>
                          <w:pStyle w:val="TableParagraph"/>
                          <w:spacing w:before="3"/>
                          <w:jc w:val="center"/>
                          <w:rPr>
                            <w:b/>
                            <w:sz w:val="18"/>
                          </w:rPr>
                        </w:pPr>
                        <w:r>
                          <w:rPr>
                            <w:b/>
                            <w:sz w:val="18"/>
                          </w:rPr>
                          <w:t>7</w:t>
                        </w:r>
                      </w:p>
                    </w:tc>
                    <w:tc>
                      <w:tcPr>
                        <w:tcW w:w="371" w:type="dxa"/>
                        <w:gridSpan w:val="2"/>
                      </w:tcPr>
                      <w:p>
                        <w:pPr>
                          <w:pStyle w:val="TableParagraph"/>
                          <w:spacing w:before="3"/>
                          <w:jc w:val="center"/>
                          <w:rPr>
                            <w:b/>
                            <w:sz w:val="18"/>
                          </w:rPr>
                        </w:pPr>
                        <w:r>
                          <w:rPr>
                            <w:b/>
                            <w:sz w:val="18"/>
                          </w:rPr>
                          <w:t>7</w:t>
                        </w:r>
                      </w:p>
                    </w:tc>
                    <w:tc>
                      <w:tcPr>
                        <w:tcW w:w="374" w:type="dxa"/>
                        <w:gridSpan w:val="2"/>
                      </w:tcPr>
                      <w:p>
                        <w:pPr>
                          <w:pStyle w:val="TableParagraph"/>
                          <w:spacing w:before="3"/>
                          <w:ind w:left="1"/>
                          <w:jc w:val="center"/>
                          <w:rPr>
                            <w:b/>
                            <w:sz w:val="18"/>
                          </w:rPr>
                        </w:pPr>
                        <w:r>
                          <w:rPr>
                            <w:b/>
                            <w:sz w:val="18"/>
                          </w:rPr>
                          <w:t>7</w:t>
                        </w:r>
                      </w:p>
                    </w:tc>
                    <w:tc>
                      <w:tcPr>
                        <w:tcW w:w="360" w:type="dxa"/>
                      </w:tcPr>
                      <w:p>
                        <w:pPr>
                          <w:pStyle w:val="TableParagraph"/>
                          <w:spacing w:before="3"/>
                          <w:ind w:right="128"/>
                          <w:jc w:val="right"/>
                          <w:rPr>
                            <w:b/>
                            <w:sz w:val="18"/>
                          </w:rPr>
                        </w:pPr>
                        <w:r>
                          <w:rPr>
                            <w:b/>
                            <w:sz w:val="18"/>
                          </w:rPr>
                          <w:t>7</w:t>
                        </w:r>
                      </w:p>
                    </w:tc>
                    <w:tc>
                      <w:tcPr>
                        <w:tcW w:w="437" w:type="dxa"/>
                      </w:tcPr>
                      <w:p>
                        <w:pPr>
                          <w:pStyle w:val="TableParagraph"/>
                          <w:spacing w:before="3"/>
                          <w:ind w:left="167"/>
                          <w:rPr>
                            <w:b/>
                            <w:sz w:val="18"/>
                          </w:rPr>
                        </w:pPr>
                        <w:r>
                          <w:rPr>
                            <w:b/>
                            <w:sz w:val="18"/>
                          </w:rPr>
                          <w:t>7</w:t>
                        </w:r>
                      </w:p>
                    </w:tc>
                    <w:tc>
                      <w:tcPr>
                        <w:tcW w:w="424" w:type="dxa"/>
                      </w:tcPr>
                      <w:p>
                        <w:pPr>
                          <w:pStyle w:val="TableParagraph"/>
                          <w:spacing w:before="3"/>
                          <w:ind w:right="24"/>
                          <w:jc w:val="center"/>
                          <w:rPr>
                            <w:b/>
                            <w:sz w:val="18"/>
                          </w:rPr>
                        </w:pPr>
                        <w:r>
                          <w:rPr>
                            <w:b/>
                            <w:sz w:val="18"/>
                          </w:rPr>
                          <w:t>8</w:t>
                        </w:r>
                      </w:p>
                    </w:tc>
                    <w:tc>
                      <w:tcPr>
                        <w:tcW w:w="410" w:type="dxa"/>
                      </w:tcPr>
                      <w:p>
                        <w:pPr>
                          <w:pStyle w:val="TableParagraph"/>
                          <w:spacing w:before="3"/>
                          <w:ind w:left="122"/>
                          <w:rPr>
                            <w:b/>
                            <w:sz w:val="18"/>
                          </w:rPr>
                        </w:pPr>
                        <w:r>
                          <w:rPr>
                            <w:b/>
                            <w:sz w:val="18"/>
                          </w:rPr>
                          <w:t>8</w:t>
                        </w:r>
                      </w:p>
                    </w:tc>
                  </w:tr>
                  <w:tr>
                    <w:trPr>
                      <w:trHeight w:val="226" w:hRule="exact"/>
                    </w:trPr>
                    <w:tc>
                      <w:tcPr>
                        <w:tcW w:w="247" w:type="dxa"/>
                      </w:tcPr>
                      <w:p>
                        <w:pPr>
                          <w:pStyle w:val="TableParagraph"/>
                          <w:spacing w:before="3"/>
                          <w:ind w:right="42"/>
                          <w:jc w:val="right"/>
                          <w:rPr>
                            <w:b/>
                            <w:sz w:val="18"/>
                          </w:rPr>
                        </w:pPr>
                        <w:r>
                          <w:rPr>
                            <w:b/>
                            <w:sz w:val="18"/>
                          </w:rPr>
                          <w:t>5</w:t>
                        </w:r>
                      </w:p>
                    </w:tc>
                    <w:tc>
                      <w:tcPr>
                        <w:tcW w:w="384" w:type="dxa"/>
                      </w:tcPr>
                      <w:p>
                        <w:pPr>
                          <w:pStyle w:val="TableParagraph"/>
                          <w:spacing w:before="3"/>
                          <w:ind w:right="121"/>
                          <w:jc w:val="right"/>
                          <w:rPr>
                            <w:b/>
                            <w:sz w:val="18"/>
                          </w:rPr>
                        </w:pPr>
                        <w:r>
                          <w:rPr>
                            <w:b/>
                            <w:sz w:val="18"/>
                          </w:rPr>
                          <w:t>7</w:t>
                        </w:r>
                      </w:p>
                    </w:tc>
                    <w:tc>
                      <w:tcPr>
                        <w:tcW w:w="458" w:type="dxa"/>
                      </w:tcPr>
                      <w:p>
                        <w:pPr>
                          <w:pStyle w:val="TableParagraph"/>
                          <w:spacing w:before="3"/>
                          <w:ind w:right="158"/>
                          <w:jc w:val="right"/>
                          <w:rPr>
                            <w:b/>
                            <w:sz w:val="18"/>
                          </w:rPr>
                        </w:pPr>
                        <w:r>
                          <w:rPr>
                            <w:b/>
                            <w:sz w:val="18"/>
                          </w:rPr>
                          <w:t>7</w:t>
                        </w:r>
                      </w:p>
                    </w:tc>
                    <w:tc>
                      <w:tcPr>
                        <w:tcW w:w="437" w:type="dxa"/>
                      </w:tcPr>
                      <w:p>
                        <w:pPr>
                          <w:pStyle w:val="TableParagraph"/>
                          <w:spacing w:before="3"/>
                          <w:ind w:left="22"/>
                          <w:jc w:val="center"/>
                          <w:rPr>
                            <w:b/>
                            <w:sz w:val="18"/>
                          </w:rPr>
                        </w:pPr>
                        <w:r>
                          <w:rPr>
                            <w:b/>
                            <w:sz w:val="18"/>
                          </w:rPr>
                          <w:t>7</w:t>
                        </w:r>
                      </w:p>
                    </w:tc>
                    <w:tc>
                      <w:tcPr>
                        <w:tcW w:w="397" w:type="dxa"/>
                      </w:tcPr>
                      <w:p>
                        <w:pPr>
                          <w:pStyle w:val="TableParagraph"/>
                          <w:spacing w:before="3"/>
                          <w:ind w:right="136"/>
                          <w:jc w:val="right"/>
                          <w:rPr>
                            <w:b/>
                            <w:sz w:val="18"/>
                          </w:rPr>
                        </w:pPr>
                        <w:r>
                          <w:rPr>
                            <w:b/>
                            <w:sz w:val="18"/>
                          </w:rPr>
                          <w:t>7</w:t>
                        </w:r>
                      </w:p>
                    </w:tc>
                    <w:tc>
                      <w:tcPr>
                        <w:tcW w:w="372" w:type="dxa"/>
                      </w:tcPr>
                      <w:p>
                        <w:pPr>
                          <w:pStyle w:val="TableParagraph"/>
                          <w:spacing w:before="3"/>
                          <w:ind w:left="1"/>
                          <w:jc w:val="center"/>
                          <w:rPr>
                            <w:b/>
                            <w:sz w:val="18"/>
                          </w:rPr>
                        </w:pPr>
                        <w:r>
                          <w:rPr>
                            <w:b/>
                            <w:sz w:val="18"/>
                          </w:rPr>
                          <w:t>7</w:t>
                        </w:r>
                      </w:p>
                    </w:tc>
                    <w:tc>
                      <w:tcPr>
                        <w:tcW w:w="373" w:type="dxa"/>
                        <w:gridSpan w:val="2"/>
                      </w:tcPr>
                      <w:p>
                        <w:pPr>
                          <w:pStyle w:val="TableParagraph"/>
                          <w:spacing w:before="3"/>
                          <w:jc w:val="center"/>
                          <w:rPr>
                            <w:b/>
                            <w:sz w:val="18"/>
                          </w:rPr>
                        </w:pPr>
                        <w:r>
                          <w:rPr>
                            <w:b/>
                            <w:sz w:val="18"/>
                          </w:rPr>
                          <w:t>8</w:t>
                        </w:r>
                      </w:p>
                    </w:tc>
                    <w:tc>
                      <w:tcPr>
                        <w:tcW w:w="371" w:type="dxa"/>
                        <w:gridSpan w:val="2"/>
                      </w:tcPr>
                      <w:p>
                        <w:pPr>
                          <w:pStyle w:val="TableParagraph"/>
                          <w:spacing w:before="3"/>
                          <w:jc w:val="center"/>
                          <w:rPr>
                            <w:b/>
                            <w:sz w:val="18"/>
                          </w:rPr>
                        </w:pPr>
                        <w:r>
                          <w:rPr>
                            <w:b/>
                            <w:sz w:val="18"/>
                          </w:rPr>
                          <w:t>8</w:t>
                        </w:r>
                      </w:p>
                    </w:tc>
                    <w:tc>
                      <w:tcPr>
                        <w:tcW w:w="374" w:type="dxa"/>
                        <w:gridSpan w:val="2"/>
                      </w:tcPr>
                      <w:p>
                        <w:pPr>
                          <w:pStyle w:val="TableParagraph"/>
                          <w:spacing w:before="3"/>
                          <w:ind w:left="1"/>
                          <w:jc w:val="center"/>
                          <w:rPr>
                            <w:b/>
                            <w:sz w:val="18"/>
                          </w:rPr>
                        </w:pPr>
                        <w:r>
                          <w:rPr>
                            <w:b/>
                            <w:sz w:val="18"/>
                          </w:rPr>
                          <w:t>8</w:t>
                        </w:r>
                      </w:p>
                    </w:tc>
                    <w:tc>
                      <w:tcPr>
                        <w:tcW w:w="360" w:type="dxa"/>
                      </w:tcPr>
                      <w:p>
                        <w:pPr>
                          <w:pStyle w:val="TableParagraph"/>
                          <w:spacing w:before="3"/>
                          <w:ind w:right="128"/>
                          <w:jc w:val="right"/>
                          <w:rPr>
                            <w:b/>
                            <w:sz w:val="18"/>
                          </w:rPr>
                        </w:pPr>
                        <w:r>
                          <w:rPr>
                            <w:b/>
                            <w:sz w:val="18"/>
                          </w:rPr>
                          <w:t>8</w:t>
                        </w:r>
                      </w:p>
                    </w:tc>
                    <w:tc>
                      <w:tcPr>
                        <w:tcW w:w="437" w:type="dxa"/>
                      </w:tcPr>
                      <w:p>
                        <w:pPr>
                          <w:pStyle w:val="TableParagraph"/>
                          <w:spacing w:before="3"/>
                          <w:ind w:left="167"/>
                          <w:rPr>
                            <w:b/>
                            <w:sz w:val="18"/>
                          </w:rPr>
                        </w:pPr>
                        <w:r>
                          <w:rPr>
                            <w:b/>
                            <w:sz w:val="18"/>
                          </w:rPr>
                          <w:t>8</w:t>
                        </w:r>
                      </w:p>
                    </w:tc>
                    <w:tc>
                      <w:tcPr>
                        <w:tcW w:w="424" w:type="dxa"/>
                      </w:tcPr>
                      <w:p>
                        <w:pPr>
                          <w:pStyle w:val="TableParagraph"/>
                          <w:spacing w:before="3"/>
                          <w:ind w:right="24"/>
                          <w:jc w:val="center"/>
                          <w:rPr>
                            <w:b/>
                            <w:sz w:val="18"/>
                          </w:rPr>
                        </w:pPr>
                        <w:r>
                          <w:rPr>
                            <w:b/>
                            <w:sz w:val="18"/>
                          </w:rPr>
                          <w:t>8</w:t>
                        </w:r>
                      </w:p>
                    </w:tc>
                    <w:tc>
                      <w:tcPr>
                        <w:tcW w:w="410" w:type="dxa"/>
                      </w:tcPr>
                      <w:p>
                        <w:pPr>
                          <w:pStyle w:val="TableParagraph"/>
                          <w:spacing w:before="3"/>
                          <w:ind w:left="122"/>
                          <w:rPr>
                            <w:b/>
                            <w:sz w:val="18"/>
                          </w:rPr>
                        </w:pPr>
                        <w:r>
                          <w:rPr>
                            <w:b/>
                            <w:sz w:val="18"/>
                          </w:rPr>
                          <w:t>8</w:t>
                        </w:r>
                      </w:p>
                    </w:tc>
                  </w:tr>
                  <w:tr>
                    <w:trPr>
                      <w:trHeight w:val="236" w:hRule="exact"/>
                    </w:trPr>
                    <w:tc>
                      <w:tcPr>
                        <w:tcW w:w="247" w:type="dxa"/>
                      </w:tcPr>
                      <w:p>
                        <w:pPr>
                          <w:pStyle w:val="TableParagraph"/>
                          <w:spacing w:before="3"/>
                          <w:ind w:right="42"/>
                          <w:jc w:val="right"/>
                          <w:rPr>
                            <w:b/>
                            <w:sz w:val="18"/>
                          </w:rPr>
                        </w:pPr>
                        <w:r>
                          <w:rPr>
                            <w:b/>
                            <w:sz w:val="18"/>
                          </w:rPr>
                          <w:t>6</w:t>
                        </w:r>
                      </w:p>
                    </w:tc>
                    <w:tc>
                      <w:tcPr>
                        <w:tcW w:w="384" w:type="dxa"/>
                      </w:tcPr>
                      <w:p>
                        <w:pPr>
                          <w:pStyle w:val="TableParagraph"/>
                          <w:spacing w:before="3"/>
                          <w:ind w:right="121"/>
                          <w:jc w:val="right"/>
                          <w:rPr>
                            <w:b/>
                            <w:sz w:val="18"/>
                          </w:rPr>
                        </w:pPr>
                        <w:r>
                          <w:rPr>
                            <w:b/>
                            <w:sz w:val="18"/>
                          </w:rPr>
                          <w:t>8</w:t>
                        </w:r>
                      </w:p>
                    </w:tc>
                    <w:tc>
                      <w:tcPr>
                        <w:tcW w:w="458" w:type="dxa"/>
                      </w:tcPr>
                      <w:p>
                        <w:pPr>
                          <w:pStyle w:val="TableParagraph"/>
                          <w:spacing w:before="3"/>
                          <w:ind w:right="158"/>
                          <w:jc w:val="right"/>
                          <w:rPr>
                            <w:b/>
                            <w:sz w:val="18"/>
                          </w:rPr>
                        </w:pPr>
                        <w:r>
                          <w:rPr>
                            <w:b/>
                            <w:sz w:val="18"/>
                          </w:rPr>
                          <w:t>8</w:t>
                        </w:r>
                      </w:p>
                    </w:tc>
                    <w:tc>
                      <w:tcPr>
                        <w:tcW w:w="437" w:type="dxa"/>
                      </w:tcPr>
                      <w:p>
                        <w:pPr>
                          <w:pStyle w:val="TableParagraph"/>
                          <w:spacing w:before="3"/>
                          <w:ind w:left="22"/>
                          <w:jc w:val="center"/>
                          <w:rPr>
                            <w:b/>
                            <w:sz w:val="18"/>
                          </w:rPr>
                        </w:pPr>
                        <w:r>
                          <w:rPr>
                            <w:b/>
                            <w:sz w:val="18"/>
                          </w:rPr>
                          <w:t>8</w:t>
                        </w:r>
                      </w:p>
                    </w:tc>
                    <w:tc>
                      <w:tcPr>
                        <w:tcW w:w="397" w:type="dxa"/>
                      </w:tcPr>
                      <w:p>
                        <w:pPr>
                          <w:pStyle w:val="TableParagraph"/>
                          <w:spacing w:before="3"/>
                          <w:ind w:right="136"/>
                          <w:jc w:val="right"/>
                          <w:rPr>
                            <w:b/>
                            <w:sz w:val="18"/>
                          </w:rPr>
                        </w:pPr>
                        <w:r>
                          <w:rPr>
                            <w:b/>
                            <w:sz w:val="18"/>
                          </w:rPr>
                          <w:t>8</w:t>
                        </w:r>
                      </w:p>
                    </w:tc>
                    <w:tc>
                      <w:tcPr>
                        <w:tcW w:w="372" w:type="dxa"/>
                      </w:tcPr>
                      <w:p>
                        <w:pPr>
                          <w:pStyle w:val="TableParagraph"/>
                          <w:spacing w:before="3"/>
                          <w:ind w:left="1"/>
                          <w:jc w:val="center"/>
                          <w:rPr>
                            <w:b/>
                            <w:sz w:val="18"/>
                          </w:rPr>
                        </w:pPr>
                        <w:r>
                          <w:rPr>
                            <w:b/>
                            <w:sz w:val="18"/>
                          </w:rPr>
                          <w:t>8</w:t>
                        </w:r>
                      </w:p>
                    </w:tc>
                    <w:tc>
                      <w:tcPr>
                        <w:tcW w:w="373" w:type="dxa"/>
                        <w:gridSpan w:val="2"/>
                      </w:tcPr>
                      <w:p>
                        <w:pPr>
                          <w:pStyle w:val="TableParagraph"/>
                          <w:spacing w:before="3"/>
                          <w:jc w:val="center"/>
                          <w:rPr>
                            <w:b/>
                            <w:sz w:val="18"/>
                          </w:rPr>
                        </w:pPr>
                        <w:r>
                          <w:rPr>
                            <w:b/>
                            <w:sz w:val="18"/>
                          </w:rPr>
                          <w:t>8</w:t>
                        </w:r>
                      </w:p>
                    </w:tc>
                    <w:tc>
                      <w:tcPr>
                        <w:tcW w:w="371" w:type="dxa"/>
                        <w:gridSpan w:val="2"/>
                      </w:tcPr>
                      <w:p>
                        <w:pPr>
                          <w:pStyle w:val="TableParagraph"/>
                          <w:spacing w:before="3"/>
                          <w:jc w:val="center"/>
                          <w:rPr>
                            <w:b/>
                            <w:sz w:val="18"/>
                          </w:rPr>
                        </w:pPr>
                        <w:r>
                          <w:rPr>
                            <w:b/>
                            <w:sz w:val="18"/>
                          </w:rPr>
                          <w:t>8</w:t>
                        </w:r>
                      </w:p>
                    </w:tc>
                    <w:tc>
                      <w:tcPr>
                        <w:tcW w:w="374" w:type="dxa"/>
                        <w:gridSpan w:val="2"/>
                      </w:tcPr>
                      <w:p>
                        <w:pPr>
                          <w:pStyle w:val="TableParagraph"/>
                          <w:spacing w:before="3"/>
                          <w:ind w:left="1"/>
                          <w:jc w:val="center"/>
                          <w:rPr>
                            <w:b/>
                            <w:sz w:val="18"/>
                          </w:rPr>
                        </w:pPr>
                        <w:r>
                          <w:rPr>
                            <w:b/>
                            <w:sz w:val="18"/>
                          </w:rPr>
                          <w:t>9</w:t>
                        </w:r>
                      </w:p>
                    </w:tc>
                    <w:tc>
                      <w:tcPr>
                        <w:tcW w:w="360" w:type="dxa"/>
                      </w:tcPr>
                      <w:p>
                        <w:pPr>
                          <w:pStyle w:val="TableParagraph"/>
                          <w:spacing w:before="3"/>
                          <w:ind w:right="128"/>
                          <w:jc w:val="right"/>
                          <w:rPr>
                            <w:b/>
                            <w:sz w:val="18"/>
                          </w:rPr>
                        </w:pPr>
                        <w:r>
                          <w:rPr>
                            <w:b/>
                            <w:sz w:val="18"/>
                          </w:rPr>
                          <w:t>9</w:t>
                        </w:r>
                      </w:p>
                    </w:tc>
                    <w:tc>
                      <w:tcPr>
                        <w:tcW w:w="437" w:type="dxa"/>
                      </w:tcPr>
                      <w:p>
                        <w:pPr>
                          <w:pStyle w:val="TableParagraph"/>
                          <w:spacing w:before="3"/>
                          <w:ind w:left="167"/>
                          <w:rPr>
                            <w:b/>
                            <w:sz w:val="18"/>
                          </w:rPr>
                        </w:pPr>
                        <w:r>
                          <w:rPr>
                            <w:b/>
                            <w:sz w:val="18"/>
                          </w:rPr>
                          <w:t>9</w:t>
                        </w:r>
                      </w:p>
                    </w:tc>
                    <w:tc>
                      <w:tcPr>
                        <w:tcW w:w="424" w:type="dxa"/>
                      </w:tcPr>
                      <w:p>
                        <w:pPr>
                          <w:pStyle w:val="TableParagraph"/>
                          <w:spacing w:before="3"/>
                          <w:ind w:right="24"/>
                          <w:jc w:val="center"/>
                          <w:rPr>
                            <w:b/>
                            <w:sz w:val="18"/>
                          </w:rPr>
                        </w:pPr>
                        <w:r>
                          <w:rPr>
                            <w:b/>
                            <w:sz w:val="18"/>
                          </w:rPr>
                          <w:t>9</w:t>
                        </w:r>
                      </w:p>
                    </w:tc>
                    <w:tc>
                      <w:tcPr>
                        <w:tcW w:w="410" w:type="dxa"/>
                      </w:tcPr>
                      <w:p>
                        <w:pPr>
                          <w:pStyle w:val="TableParagraph"/>
                          <w:spacing w:before="3"/>
                          <w:ind w:left="122"/>
                          <w:rPr>
                            <w:b/>
                            <w:sz w:val="18"/>
                          </w:rPr>
                        </w:pPr>
                        <w:r>
                          <w:rPr>
                            <w:b/>
                            <w:sz w:val="18"/>
                          </w:rPr>
                          <w:t>9</w:t>
                        </w:r>
                      </w:p>
                    </w:tc>
                  </w:tr>
                  <w:tr>
                    <w:trPr>
                      <w:trHeight w:val="325" w:hRule="exact"/>
                    </w:trPr>
                    <w:tc>
                      <w:tcPr>
                        <w:tcW w:w="631" w:type="dxa"/>
                        <w:gridSpan w:val="2"/>
                        <w:vMerge w:val="restart"/>
                      </w:tcPr>
                      <w:p>
                        <w:pPr/>
                      </w:p>
                    </w:tc>
                    <w:tc>
                      <w:tcPr>
                        <w:tcW w:w="895" w:type="dxa"/>
                        <w:gridSpan w:val="2"/>
                      </w:tcPr>
                      <w:p>
                        <w:pPr>
                          <w:pStyle w:val="TableParagraph"/>
                          <w:spacing w:before="49"/>
                          <w:ind w:right="59"/>
                          <w:jc w:val="center"/>
                          <w:rPr>
                            <w:sz w:val="18"/>
                          </w:rPr>
                        </w:pPr>
                        <w:r>
                          <w:rPr>
                            <w:sz w:val="18"/>
                          </w:rPr>
                          <w:t>2</w:t>
                        </w:r>
                      </w:p>
                    </w:tc>
                    <w:tc>
                      <w:tcPr>
                        <w:tcW w:w="397" w:type="dxa"/>
                      </w:tcPr>
                      <w:p>
                        <w:pPr>
                          <w:pStyle w:val="TableParagraph"/>
                          <w:spacing w:before="49"/>
                          <w:ind w:right="126"/>
                          <w:jc w:val="right"/>
                          <w:rPr>
                            <w:sz w:val="18"/>
                          </w:rPr>
                        </w:pPr>
                        <w:r>
                          <w:rPr>
                            <w:sz w:val="18"/>
                          </w:rPr>
                          <w:t>5</w:t>
                        </w:r>
                      </w:p>
                    </w:tc>
                    <w:tc>
                      <w:tcPr>
                        <w:tcW w:w="479" w:type="dxa"/>
                        <w:gridSpan w:val="2"/>
                      </w:tcPr>
                      <w:p>
                        <w:pPr>
                          <w:pStyle w:val="TableParagraph"/>
                          <w:spacing w:before="49"/>
                          <w:ind w:left="59"/>
                          <w:jc w:val="center"/>
                          <w:rPr>
                            <w:sz w:val="18"/>
                          </w:rPr>
                        </w:pPr>
                        <w:r>
                          <w:rPr>
                            <w:sz w:val="18"/>
                          </w:rPr>
                          <w:t>6</w:t>
                        </w:r>
                      </w:p>
                    </w:tc>
                    <w:tc>
                      <w:tcPr>
                        <w:tcW w:w="469" w:type="dxa"/>
                        <w:gridSpan w:val="2"/>
                      </w:tcPr>
                      <w:p>
                        <w:pPr>
                          <w:pStyle w:val="TableParagraph"/>
                          <w:spacing w:before="49"/>
                          <w:jc w:val="center"/>
                          <w:rPr>
                            <w:sz w:val="18"/>
                          </w:rPr>
                        </w:pPr>
                        <w:r>
                          <w:rPr>
                            <w:sz w:val="18"/>
                          </w:rPr>
                          <w:t>6</w:t>
                        </w:r>
                      </w:p>
                    </w:tc>
                    <w:tc>
                      <w:tcPr>
                        <w:tcW w:w="425" w:type="dxa"/>
                        <w:gridSpan w:val="2"/>
                      </w:tcPr>
                      <w:p>
                        <w:pPr>
                          <w:pStyle w:val="TableParagraph"/>
                          <w:spacing w:before="49"/>
                          <w:ind w:right="1"/>
                          <w:jc w:val="center"/>
                          <w:rPr>
                            <w:sz w:val="18"/>
                          </w:rPr>
                        </w:pPr>
                        <w:r>
                          <w:rPr>
                            <w:sz w:val="18"/>
                          </w:rPr>
                          <w:t>6</w:t>
                        </w:r>
                      </w:p>
                    </w:tc>
                    <w:tc>
                      <w:tcPr>
                        <w:tcW w:w="478" w:type="dxa"/>
                        <w:gridSpan w:val="2"/>
                      </w:tcPr>
                      <w:p>
                        <w:pPr>
                          <w:pStyle w:val="TableParagraph"/>
                          <w:spacing w:before="49"/>
                          <w:ind w:right="13"/>
                          <w:jc w:val="center"/>
                          <w:rPr>
                            <w:sz w:val="18"/>
                          </w:rPr>
                        </w:pPr>
                        <w:r>
                          <w:rPr>
                            <w:sz w:val="18"/>
                          </w:rPr>
                          <w:t>6</w:t>
                        </w:r>
                      </w:p>
                    </w:tc>
                    <w:tc>
                      <w:tcPr>
                        <w:tcW w:w="437" w:type="dxa"/>
                      </w:tcPr>
                      <w:p>
                        <w:pPr>
                          <w:pStyle w:val="TableParagraph"/>
                          <w:spacing w:before="49"/>
                          <w:ind w:left="147"/>
                          <w:rPr>
                            <w:sz w:val="18"/>
                          </w:rPr>
                        </w:pPr>
                        <w:r>
                          <w:rPr>
                            <w:sz w:val="18"/>
                          </w:rPr>
                          <w:t>7</w:t>
                        </w:r>
                      </w:p>
                    </w:tc>
                    <w:tc>
                      <w:tcPr>
                        <w:tcW w:w="424" w:type="dxa"/>
                      </w:tcPr>
                      <w:p>
                        <w:pPr>
                          <w:pStyle w:val="TableParagraph"/>
                          <w:spacing w:before="49"/>
                          <w:jc w:val="center"/>
                          <w:rPr>
                            <w:sz w:val="18"/>
                          </w:rPr>
                        </w:pPr>
                        <w:r>
                          <w:rPr>
                            <w:sz w:val="18"/>
                          </w:rPr>
                          <w:t>7</w:t>
                        </w:r>
                      </w:p>
                    </w:tc>
                    <w:tc>
                      <w:tcPr>
                        <w:tcW w:w="410" w:type="dxa"/>
                      </w:tcPr>
                      <w:p>
                        <w:pPr>
                          <w:pStyle w:val="TableParagraph"/>
                          <w:spacing w:before="49"/>
                          <w:ind w:right="122"/>
                          <w:jc w:val="right"/>
                          <w:rPr>
                            <w:sz w:val="18"/>
                          </w:rPr>
                        </w:pPr>
                        <w:r>
                          <w:rPr>
                            <w:sz w:val="18"/>
                          </w:rPr>
                          <w:t>7</w:t>
                        </w:r>
                      </w:p>
                    </w:tc>
                  </w:tr>
                  <w:tr>
                    <w:trPr>
                      <w:trHeight w:val="324" w:hRule="exact"/>
                    </w:trPr>
                    <w:tc>
                      <w:tcPr>
                        <w:tcW w:w="631" w:type="dxa"/>
                        <w:gridSpan w:val="2"/>
                        <w:vMerge/>
                      </w:tcPr>
                      <w:p>
                        <w:pPr/>
                      </w:p>
                    </w:tc>
                    <w:tc>
                      <w:tcPr>
                        <w:tcW w:w="895" w:type="dxa"/>
                        <w:gridSpan w:val="2"/>
                      </w:tcPr>
                      <w:p>
                        <w:pPr>
                          <w:pStyle w:val="TableParagraph"/>
                          <w:spacing w:before="49"/>
                          <w:ind w:right="59"/>
                          <w:jc w:val="center"/>
                          <w:rPr>
                            <w:sz w:val="18"/>
                          </w:rPr>
                        </w:pPr>
                        <w:r>
                          <w:rPr>
                            <w:sz w:val="18"/>
                          </w:rPr>
                          <w:t>3</w:t>
                        </w:r>
                      </w:p>
                    </w:tc>
                    <w:tc>
                      <w:tcPr>
                        <w:tcW w:w="397" w:type="dxa"/>
                      </w:tcPr>
                      <w:p>
                        <w:pPr>
                          <w:pStyle w:val="TableParagraph"/>
                          <w:spacing w:before="49"/>
                          <w:ind w:right="126"/>
                          <w:jc w:val="right"/>
                          <w:rPr>
                            <w:sz w:val="18"/>
                          </w:rPr>
                        </w:pPr>
                        <w:r>
                          <w:rPr>
                            <w:sz w:val="18"/>
                          </w:rPr>
                          <w:t>6</w:t>
                        </w:r>
                      </w:p>
                    </w:tc>
                    <w:tc>
                      <w:tcPr>
                        <w:tcW w:w="479" w:type="dxa"/>
                        <w:gridSpan w:val="2"/>
                      </w:tcPr>
                      <w:p>
                        <w:pPr>
                          <w:pStyle w:val="TableParagraph"/>
                          <w:spacing w:before="49"/>
                          <w:ind w:left="59"/>
                          <w:jc w:val="center"/>
                          <w:rPr>
                            <w:sz w:val="18"/>
                          </w:rPr>
                        </w:pPr>
                        <w:r>
                          <w:rPr>
                            <w:sz w:val="18"/>
                          </w:rPr>
                          <w:t>6</w:t>
                        </w:r>
                      </w:p>
                    </w:tc>
                    <w:tc>
                      <w:tcPr>
                        <w:tcW w:w="469" w:type="dxa"/>
                        <w:gridSpan w:val="2"/>
                      </w:tcPr>
                      <w:p>
                        <w:pPr>
                          <w:pStyle w:val="TableParagraph"/>
                          <w:spacing w:before="49"/>
                          <w:jc w:val="center"/>
                          <w:rPr>
                            <w:sz w:val="18"/>
                          </w:rPr>
                        </w:pPr>
                        <w:r>
                          <w:rPr>
                            <w:sz w:val="18"/>
                          </w:rPr>
                          <w:t>6</w:t>
                        </w:r>
                      </w:p>
                    </w:tc>
                    <w:tc>
                      <w:tcPr>
                        <w:tcW w:w="425" w:type="dxa"/>
                        <w:gridSpan w:val="2"/>
                      </w:tcPr>
                      <w:p>
                        <w:pPr>
                          <w:pStyle w:val="TableParagraph"/>
                          <w:spacing w:before="49"/>
                          <w:ind w:right="1"/>
                          <w:jc w:val="center"/>
                          <w:rPr>
                            <w:sz w:val="18"/>
                          </w:rPr>
                        </w:pPr>
                        <w:r>
                          <w:rPr>
                            <w:sz w:val="18"/>
                          </w:rPr>
                          <w:t>7</w:t>
                        </w:r>
                      </w:p>
                    </w:tc>
                    <w:tc>
                      <w:tcPr>
                        <w:tcW w:w="478" w:type="dxa"/>
                        <w:gridSpan w:val="2"/>
                      </w:tcPr>
                      <w:p>
                        <w:pPr>
                          <w:pStyle w:val="TableParagraph"/>
                          <w:spacing w:before="49"/>
                          <w:ind w:right="13"/>
                          <w:jc w:val="center"/>
                          <w:rPr>
                            <w:sz w:val="18"/>
                          </w:rPr>
                        </w:pPr>
                        <w:r>
                          <w:rPr>
                            <w:sz w:val="18"/>
                          </w:rPr>
                          <w:t>7</w:t>
                        </w:r>
                      </w:p>
                    </w:tc>
                    <w:tc>
                      <w:tcPr>
                        <w:tcW w:w="437" w:type="dxa"/>
                      </w:tcPr>
                      <w:p>
                        <w:pPr>
                          <w:pStyle w:val="TableParagraph"/>
                          <w:spacing w:before="49"/>
                          <w:ind w:left="147"/>
                          <w:rPr>
                            <w:sz w:val="18"/>
                          </w:rPr>
                        </w:pPr>
                        <w:r>
                          <w:rPr>
                            <w:sz w:val="18"/>
                          </w:rPr>
                          <w:t>7</w:t>
                        </w:r>
                      </w:p>
                    </w:tc>
                    <w:tc>
                      <w:tcPr>
                        <w:tcW w:w="424" w:type="dxa"/>
                      </w:tcPr>
                      <w:p>
                        <w:pPr>
                          <w:pStyle w:val="TableParagraph"/>
                          <w:spacing w:before="49"/>
                          <w:jc w:val="center"/>
                          <w:rPr>
                            <w:sz w:val="18"/>
                          </w:rPr>
                        </w:pPr>
                        <w:r>
                          <w:rPr>
                            <w:sz w:val="18"/>
                          </w:rPr>
                          <w:t>7</w:t>
                        </w:r>
                      </w:p>
                    </w:tc>
                    <w:tc>
                      <w:tcPr>
                        <w:tcW w:w="410" w:type="dxa"/>
                      </w:tcPr>
                      <w:p>
                        <w:pPr>
                          <w:pStyle w:val="TableParagraph"/>
                          <w:spacing w:before="49"/>
                          <w:ind w:right="122"/>
                          <w:jc w:val="right"/>
                          <w:rPr>
                            <w:sz w:val="18"/>
                          </w:rPr>
                        </w:pPr>
                        <w:r>
                          <w:rPr>
                            <w:sz w:val="18"/>
                          </w:rPr>
                          <w:t>8</w:t>
                        </w:r>
                      </w:p>
                    </w:tc>
                  </w:tr>
                  <w:tr>
                    <w:trPr>
                      <w:trHeight w:val="325" w:hRule="exact"/>
                    </w:trPr>
                    <w:tc>
                      <w:tcPr>
                        <w:tcW w:w="631" w:type="dxa"/>
                        <w:gridSpan w:val="2"/>
                        <w:vMerge w:val="restart"/>
                      </w:tcPr>
                      <w:p>
                        <w:pPr>
                          <w:pStyle w:val="TableParagraph"/>
                          <w:rPr>
                            <w:sz w:val="18"/>
                          </w:rPr>
                        </w:pPr>
                      </w:p>
                      <w:p>
                        <w:pPr>
                          <w:pStyle w:val="TableParagraph"/>
                          <w:spacing w:before="7"/>
                          <w:rPr>
                            <w:sz w:val="14"/>
                          </w:rPr>
                        </w:pPr>
                      </w:p>
                      <w:p>
                        <w:pPr>
                          <w:pStyle w:val="TableParagraph"/>
                          <w:ind w:right="35"/>
                          <w:jc w:val="center"/>
                          <w:rPr>
                            <w:sz w:val="18"/>
                          </w:rPr>
                        </w:pPr>
                        <w:r>
                          <w:rPr>
                            <w:sz w:val="18"/>
                          </w:rPr>
                          <w:t>6</w:t>
                        </w:r>
                      </w:p>
                    </w:tc>
                    <w:tc>
                      <w:tcPr>
                        <w:tcW w:w="895" w:type="dxa"/>
                        <w:gridSpan w:val="2"/>
                      </w:tcPr>
                      <w:p>
                        <w:pPr>
                          <w:pStyle w:val="TableParagraph"/>
                          <w:spacing w:before="50"/>
                          <w:ind w:right="59"/>
                          <w:jc w:val="center"/>
                          <w:rPr>
                            <w:sz w:val="18"/>
                          </w:rPr>
                        </w:pPr>
                        <w:r>
                          <w:rPr>
                            <w:sz w:val="18"/>
                          </w:rPr>
                          <w:t>1</w:t>
                        </w:r>
                      </w:p>
                    </w:tc>
                    <w:tc>
                      <w:tcPr>
                        <w:tcW w:w="397" w:type="dxa"/>
                      </w:tcPr>
                      <w:p>
                        <w:pPr>
                          <w:pStyle w:val="TableParagraph"/>
                          <w:spacing w:before="50"/>
                          <w:ind w:right="126"/>
                          <w:jc w:val="right"/>
                          <w:rPr>
                            <w:sz w:val="18"/>
                          </w:rPr>
                        </w:pPr>
                        <w:r>
                          <w:rPr>
                            <w:sz w:val="18"/>
                          </w:rPr>
                          <w:t>7</w:t>
                        </w:r>
                      </w:p>
                    </w:tc>
                    <w:tc>
                      <w:tcPr>
                        <w:tcW w:w="479" w:type="dxa"/>
                        <w:gridSpan w:val="2"/>
                      </w:tcPr>
                      <w:p>
                        <w:pPr>
                          <w:pStyle w:val="TableParagraph"/>
                          <w:spacing w:before="50"/>
                          <w:ind w:left="59"/>
                          <w:jc w:val="center"/>
                          <w:rPr>
                            <w:sz w:val="18"/>
                          </w:rPr>
                        </w:pPr>
                        <w:r>
                          <w:rPr>
                            <w:sz w:val="18"/>
                          </w:rPr>
                          <w:t>7</w:t>
                        </w:r>
                      </w:p>
                    </w:tc>
                    <w:tc>
                      <w:tcPr>
                        <w:tcW w:w="469" w:type="dxa"/>
                        <w:gridSpan w:val="2"/>
                      </w:tcPr>
                      <w:p>
                        <w:pPr>
                          <w:pStyle w:val="TableParagraph"/>
                          <w:spacing w:before="50"/>
                          <w:jc w:val="center"/>
                          <w:rPr>
                            <w:sz w:val="18"/>
                          </w:rPr>
                        </w:pPr>
                        <w:r>
                          <w:rPr>
                            <w:sz w:val="18"/>
                          </w:rPr>
                          <w:t>7</w:t>
                        </w:r>
                      </w:p>
                    </w:tc>
                    <w:tc>
                      <w:tcPr>
                        <w:tcW w:w="425" w:type="dxa"/>
                        <w:gridSpan w:val="2"/>
                      </w:tcPr>
                      <w:p>
                        <w:pPr>
                          <w:pStyle w:val="TableParagraph"/>
                          <w:spacing w:before="50"/>
                          <w:ind w:right="1"/>
                          <w:jc w:val="center"/>
                          <w:rPr>
                            <w:sz w:val="18"/>
                          </w:rPr>
                        </w:pPr>
                        <w:r>
                          <w:rPr>
                            <w:sz w:val="18"/>
                          </w:rPr>
                          <w:t>7</w:t>
                        </w:r>
                      </w:p>
                    </w:tc>
                    <w:tc>
                      <w:tcPr>
                        <w:tcW w:w="478" w:type="dxa"/>
                        <w:gridSpan w:val="2"/>
                      </w:tcPr>
                      <w:p>
                        <w:pPr>
                          <w:pStyle w:val="TableParagraph"/>
                          <w:spacing w:before="50"/>
                          <w:ind w:right="13"/>
                          <w:jc w:val="center"/>
                          <w:rPr>
                            <w:sz w:val="18"/>
                          </w:rPr>
                        </w:pPr>
                        <w:r>
                          <w:rPr>
                            <w:sz w:val="18"/>
                          </w:rPr>
                          <w:t>7</w:t>
                        </w:r>
                      </w:p>
                    </w:tc>
                    <w:tc>
                      <w:tcPr>
                        <w:tcW w:w="437" w:type="dxa"/>
                      </w:tcPr>
                      <w:p>
                        <w:pPr>
                          <w:pStyle w:val="TableParagraph"/>
                          <w:spacing w:before="50"/>
                          <w:ind w:left="147"/>
                          <w:rPr>
                            <w:sz w:val="18"/>
                          </w:rPr>
                        </w:pPr>
                        <w:r>
                          <w:rPr>
                            <w:sz w:val="18"/>
                          </w:rPr>
                          <w:t>8</w:t>
                        </w:r>
                      </w:p>
                    </w:tc>
                    <w:tc>
                      <w:tcPr>
                        <w:tcW w:w="424" w:type="dxa"/>
                      </w:tcPr>
                      <w:p>
                        <w:pPr>
                          <w:pStyle w:val="TableParagraph"/>
                          <w:spacing w:before="50"/>
                          <w:jc w:val="center"/>
                          <w:rPr>
                            <w:sz w:val="18"/>
                          </w:rPr>
                        </w:pPr>
                        <w:r>
                          <w:rPr>
                            <w:sz w:val="18"/>
                          </w:rPr>
                          <w:t>8</w:t>
                        </w:r>
                      </w:p>
                    </w:tc>
                    <w:tc>
                      <w:tcPr>
                        <w:tcW w:w="410" w:type="dxa"/>
                      </w:tcPr>
                      <w:p>
                        <w:pPr>
                          <w:pStyle w:val="TableParagraph"/>
                          <w:spacing w:before="50"/>
                          <w:ind w:right="122"/>
                          <w:jc w:val="right"/>
                          <w:rPr>
                            <w:sz w:val="18"/>
                          </w:rPr>
                        </w:pPr>
                        <w:r>
                          <w:rPr>
                            <w:sz w:val="18"/>
                          </w:rPr>
                          <w:t>9</w:t>
                        </w:r>
                      </w:p>
                    </w:tc>
                  </w:tr>
                  <w:tr>
                    <w:trPr>
                      <w:trHeight w:val="325" w:hRule="exact"/>
                    </w:trPr>
                    <w:tc>
                      <w:tcPr>
                        <w:tcW w:w="631" w:type="dxa"/>
                        <w:gridSpan w:val="2"/>
                        <w:vMerge/>
                      </w:tcPr>
                      <w:p>
                        <w:pPr/>
                      </w:p>
                    </w:tc>
                    <w:tc>
                      <w:tcPr>
                        <w:tcW w:w="895" w:type="dxa"/>
                        <w:gridSpan w:val="2"/>
                      </w:tcPr>
                      <w:p>
                        <w:pPr>
                          <w:pStyle w:val="TableParagraph"/>
                          <w:spacing w:before="50"/>
                          <w:ind w:right="59"/>
                          <w:jc w:val="center"/>
                          <w:rPr>
                            <w:sz w:val="18"/>
                          </w:rPr>
                        </w:pPr>
                        <w:r>
                          <w:rPr>
                            <w:sz w:val="18"/>
                          </w:rPr>
                          <w:t>2</w:t>
                        </w:r>
                      </w:p>
                    </w:tc>
                    <w:tc>
                      <w:tcPr>
                        <w:tcW w:w="397" w:type="dxa"/>
                      </w:tcPr>
                      <w:p>
                        <w:pPr>
                          <w:pStyle w:val="TableParagraph"/>
                          <w:spacing w:before="50"/>
                          <w:ind w:right="126"/>
                          <w:jc w:val="right"/>
                          <w:rPr>
                            <w:sz w:val="18"/>
                          </w:rPr>
                        </w:pPr>
                        <w:r>
                          <w:rPr>
                            <w:sz w:val="18"/>
                          </w:rPr>
                          <w:t>8</w:t>
                        </w:r>
                      </w:p>
                    </w:tc>
                    <w:tc>
                      <w:tcPr>
                        <w:tcW w:w="479" w:type="dxa"/>
                        <w:gridSpan w:val="2"/>
                      </w:tcPr>
                      <w:p>
                        <w:pPr>
                          <w:pStyle w:val="TableParagraph"/>
                          <w:spacing w:before="50"/>
                          <w:ind w:left="59"/>
                          <w:jc w:val="center"/>
                          <w:rPr>
                            <w:sz w:val="18"/>
                          </w:rPr>
                        </w:pPr>
                        <w:r>
                          <w:rPr>
                            <w:sz w:val="18"/>
                          </w:rPr>
                          <w:t>8</w:t>
                        </w:r>
                      </w:p>
                    </w:tc>
                    <w:tc>
                      <w:tcPr>
                        <w:tcW w:w="469" w:type="dxa"/>
                        <w:gridSpan w:val="2"/>
                      </w:tcPr>
                      <w:p>
                        <w:pPr>
                          <w:pStyle w:val="TableParagraph"/>
                          <w:spacing w:before="50"/>
                          <w:jc w:val="center"/>
                          <w:rPr>
                            <w:sz w:val="18"/>
                          </w:rPr>
                        </w:pPr>
                        <w:r>
                          <w:rPr>
                            <w:sz w:val="18"/>
                          </w:rPr>
                          <w:t>8</w:t>
                        </w:r>
                      </w:p>
                    </w:tc>
                    <w:tc>
                      <w:tcPr>
                        <w:tcW w:w="425" w:type="dxa"/>
                        <w:gridSpan w:val="2"/>
                      </w:tcPr>
                      <w:p>
                        <w:pPr>
                          <w:pStyle w:val="TableParagraph"/>
                          <w:spacing w:before="50"/>
                          <w:ind w:right="1"/>
                          <w:jc w:val="center"/>
                          <w:rPr>
                            <w:sz w:val="18"/>
                          </w:rPr>
                        </w:pPr>
                        <w:r>
                          <w:rPr>
                            <w:sz w:val="18"/>
                          </w:rPr>
                          <w:t>8</w:t>
                        </w:r>
                      </w:p>
                    </w:tc>
                    <w:tc>
                      <w:tcPr>
                        <w:tcW w:w="478" w:type="dxa"/>
                        <w:gridSpan w:val="2"/>
                      </w:tcPr>
                      <w:p>
                        <w:pPr>
                          <w:pStyle w:val="TableParagraph"/>
                          <w:spacing w:before="50"/>
                          <w:ind w:right="13"/>
                          <w:jc w:val="center"/>
                          <w:rPr>
                            <w:sz w:val="18"/>
                          </w:rPr>
                        </w:pPr>
                        <w:r>
                          <w:rPr>
                            <w:sz w:val="18"/>
                          </w:rPr>
                          <w:t>8</w:t>
                        </w:r>
                      </w:p>
                    </w:tc>
                    <w:tc>
                      <w:tcPr>
                        <w:tcW w:w="437" w:type="dxa"/>
                      </w:tcPr>
                      <w:p>
                        <w:pPr>
                          <w:pStyle w:val="TableParagraph"/>
                          <w:spacing w:before="50"/>
                          <w:ind w:left="147"/>
                          <w:rPr>
                            <w:sz w:val="18"/>
                          </w:rPr>
                        </w:pPr>
                        <w:r>
                          <w:rPr>
                            <w:sz w:val="18"/>
                          </w:rPr>
                          <w:t>9</w:t>
                        </w:r>
                      </w:p>
                    </w:tc>
                    <w:tc>
                      <w:tcPr>
                        <w:tcW w:w="424" w:type="dxa"/>
                      </w:tcPr>
                      <w:p>
                        <w:pPr>
                          <w:pStyle w:val="TableParagraph"/>
                          <w:spacing w:before="50"/>
                          <w:jc w:val="center"/>
                          <w:rPr>
                            <w:sz w:val="18"/>
                          </w:rPr>
                        </w:pPr>
                        <w:r>
                          <w:rPr>
                            <w:sz w:val="18"/>
                          </w:rPr>
                          <w:t>9</w:t>
                        </w:r>
                      </w:p>
                    </w:tc>
                    <w:tc>
                      <w:tcPr>
                        <w:tcW w:w="410" w:type="dxa"/>
                      </w:tcPr>
                      <w:p>
                        <w:pPr>
                          <w:pStyle w:val="TableParagraph"/>
                          <w:spacing w:before="50"/>
                          <w:ind w:right="122"/>
                          <w:jc w:val="right"/>
                          <w:rPr>
                            <w:sz w:val="18"/>
                          </w:rPr>
                        </w:pPr>
                        <w:r>
                          <w:rPr>
                            <w:sz w:val="18"/>
                          </w:rPr>
                          <w:t>9</w:t>
                        </w:r>
                      </w:p>
                    </w:tc>
                  </w:tr>
                  <w:tr>
                    <w:trPr>
                      <w:trHeight w:val="325" w:hRule="exact"/>
                    </w:trPr>
                    <w:tc>
                      <w:tcPr>
                        <w:tcW w:w="631" w:type="dxa"/>
                        <w:gridSpan w:val="2"/>
                        <w:vMerge/>
                      </w:tcPr>
                      <w:p>
                        <w:pPr/>
                      </w:p>
                    </w:tc>
                    <w:tc>
                      <w:tcPr>
                        <w:tcW w:w="895" w:type="dxa"/>
                        <w:gridSpan w:val="2"/>
                      </w:tcPr>
                      <w:p>
                        <w:pPr>
                          <w:pStyle w:val="TableParagraph"/>
                          <w:spacing w:before="49"/>
                          <w:ind w:right="59"/>
                          <w:jc w:val="center"/>
                          <w:rPr>
                            <w:sz w:val="18"/>
                          </w:rPr>
                        </w:pPr>
                        <w:r>
                          <w:rPr>
                            <w:sz w:val="18"/>
                          </w:rPr>
                          <w:t>3</w:t>
                        </w:r>
                      </w:p>
                    </w:tc>
                    <w:tc>
                      <w:tcPr>
                        <w:tcW w:w="397" w:type="dxa"/>
                      </w:tcPr>
                      <w:p>
                        <w:pPr>
                          <w:pStyle w:val="TableParagraph"/>
                          <w:spacing w:before="49"/>
                          <w:ind w:right="126"/>
                          <w:jc w:val="right"/>
                          <w:rPr>
                            <w:sz w:val="18"/>
                          </w:rPr>
                        </w:pPr>
                        <w:r>
                          <w:rPr>
                            <w:sz w:val="18"/>
                          </w:rPr>
                          <w:t>9</w:t>
                        </w:r>
                      </w:p>
                    </w:tc>
                    <w:tc>
                      <w:tcPr>
                        <w:tcW w:w="479" w:type="dxa"/>
                        <w:gridSpan w:val="2"/>
                      </w:tcPr>
                      <w:p>
                        <w:pPr>
                          <w:pStyle w:val="TableParagraph"/>
                          <w:spacing w:before="49"/>
                          <w:ind w:left="59"/>
                          <w:jc w:val="center"/>
                          <w:rPr>
                            <w:sz w:val="18"/>
                          </w:rPr>
                        </w:pPr>
                        <w:r>
                          <w:rPr>
                            <w:sz w:val="18"/>
                          </w:rPr>
                          <w:t>9</w:t>
                        </w:r>
                      </w:p>
                    </w:tc>
                    <w:tc>
                      <w:tcPr>
                        <w:tcW w:w="469" w:type="dxa"/>
                        <w:gridSpan w:val="2"/>
                      </w:tcPr>
                      <w:p>
                        <w:pPr>
                          <w:pStyle w:val="TableParagraph"/>
                          <w:spacing w:before="49"/>
                          <w:jc w:val="center"/>
                          <w:rPr>
                            <w:sz w:val="18"/>
                          </w:rPr>
                        </w:pPr>
                        <w:r>
                          <w:rPr>
                            <w:sz w:val="18"/>
                          </w:rPr>
                          <w:t>9</w:t>
                        </w:r>
                      </w:p>
                    </w:tc>
                    <w:tc>
                      <w:tcPr>
                        <w:tcW w:w="425" w:type="dxa"/>
                        <w:gridSpan w:val="2"/>
                      </w:tcPr>
                      <w:p>
                        <w:pPr>
                          <w:pStyle w:val="TableParagraph"/>
                          <w:spacing w:before="49"/>
                          <w:ind w:right="1"/>
                          <w:jc w:val="center"/>
                          <w:rPr>
                            <w:sz w:val="18"/>
                          </w:rPr>
                        </w:pPr>
                        <w:r>
                          <w:rPr>
                            <w:sz w:val="18"/>
                          </w:rPr>
                          <w:t>9</w:t>
                        </w:r>
                      </w:p>
                    </w:tc>
                    <w:tc>
                      <w:tcPr>
                        <w:tcW w:w="478" w:type="dxa"/>
                        <w:gridSpan w:val="2"/>
                      </w:tcPr>
                      <w:p>
                        <w:pPr>
                          <w:pStyle w:val="TableParagraph"/>
                          <w:spacing w:before="49"/>
                          <w:ind w:right="13"/>
                          <w:jc w:val="center"/>
                          <w:rPr>
                            <w:sz w:val="18"/>
                          </w:rPr>
                        </w:pPr>
                        <w:r>
                          <w:rPr>
                            <w:sz w:val="18"/>
                          </w:rPr>
                          <w:t>9</w:t>
                        </w:r>
                      </w:p>
                    </w:tc>
                    <w:tc>
                      <w:tcPr>
                        <w:tcW w:w="437" w:type="dxa"/>
                      </w:tcPr>
                      <w:p>
                        <w:pPr>
                          <w:pStyle w:val="TableParagraph"/>
                          <w:spacing w:before="49"/>
                          <w:ind w:left="147"/>
                          <w:rPr>
                            <w:sz w:val="18"/>
                          </w:rPr>
                        </w:pPr>
                        <w:r>
                          <w:rPr>
                            <w:sz w:val="18"/>
                          </w:rPr>
                          <w:t>9</w:t>
                        </w:r>
                      </w:p>
                    </w:tc>
                    <w:tc>
                      <w:tcPr>
                        <w:tcW w:w="424" w:type="dxa"/>
                      </w:tcPr>
                      <w:p>
                        <w:pPr>
                          <w:pStyle w:val="TableParagraph"/>
                          <w:spacing w:before="49"/>
                          <w:jc w:val="center"/>
                          <w:rPr>
                            <w:sz w:val="18"/>
                          </w:rPr>
                        </w:pPr>
                        <w:r>
                          <w:rPr>
                            <w:sz w:val="18"/>
                          </w:rPr>
                          <w:t>9</w:t>
                        </w:r>
                      </w:p>
                    </w:tc>
                    <w:tc>
                      <w:tcPr>
                        <w:tcW w:w="410" w:type="dxa"/>
                      </w:tcPr>
                      <w:p>
                        <w:pPr>
                          <w:pStyle w:val="TableParagraph"/>
                          <w:spacing w:before="49"/>
                          <w:ind w:right="122"/>
                          <w:jc w:val="right"/>
                          <w:rPr>
                            <w:sz w:val="18"/>
                          </w:rPr>
                        </w:pPr>
                        <w:r>
                          <w:rPr>
                            <w:sz w:val="18"/>
                          </w:rPr>
                          <w:t>9</w:t>
                        </w:r>
                      </w:p>
                    </w:tc>
                  </w:tr>
                </w:tbl>
                <w:p>
                  <w:pPr>
                    <w:pStyle w:val="BodyText"/>
                  </w:pPr>
                </w:p>
              </w:txbxContent>
            </v:textbox>
            <w10:wrap type="none"/>
          </v:shape>
        </w:pict>
      </w:r>
      <w:r>
        <w:rPr>
          <w:b/>
          <w:sz w:val="18"/>
        </w:rPr>
        <w:t>Final Score</w:t>
      </w:r>
    </w:p>
    <w:p>
      <w:pPr>
        <w:spacing w:before="0"/>
        <w:ind w:left="5895" w:right="676" w:firstLine="0"/>
        <w:jc w:val="both"/>
        <w:rPr>
          <w:sz w:val="18"/>
        </w:rPr>
      </w:pPr>
      <w:r>
        <w:rPr>
          <w:sz w:val="18"/>
        </w:rPr>
        <w:t>The score obtained from the sum of the group A, corresponding to muscle activity and the due to the forces applied will be renamed score C. In the same way, the score of the sum of the group B of muscle activity and the applied forces will be called score D. From the scores (C and D), an overall final score for the task is obtained, which range between 1 and 7. It increases how much more higher the risk of injury. The final Score will be obtained of Table 14.</w:t>
      </w:r>
    </w:p>
    <w:p>
      <w:pPr>
        <w:spacing w:before="0"/>
        <w:ind w:left="5919" w:right="682" w:firstLine="195"/>
        <w:jc w:val="left"/>
        <w:rPr>
          <w:sz w:val="18"/>
        </w:rPr>
      </w:pPr>
      <w:r>
        <w:rPr>
          <w:sz w:val="18"/>
        </w:rPr>
        <w:t>Table 14. Final Score. Source. (Ergonautas. Departamento de Proyectos de Ingeniería de la Universidad Politécnica de Valencia)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after="0"/>
        <w:sectPr>
          <w:pgSz w:w="12240" w:h="15840"/>
          <w:pgMar w:header="545" w:footer="852" w:top="1060" w:bottom="1040" w:left="580" w:right="220"/>
        </w:sectPr>
      </w:pPr>
    </w:p>
    <w:p>
      <w:pPr>
        <w:pStyle w:val="BodyText"/>
        <w:spacing w:before="1"/>
      </w:pPr>
    </w:p>
    <w:p>
      <w:pPr>
        <w:spacing w:line="207" w:lineRule="exact" w:before="0"/>
        <w:ind w:left="270" w:right="0" w:firstLine="0"/>
        <w:jc w:val="both"/>
        <w:rPr>
          <w:sz w:val="18"/>
        </w:rPr>
      </w:pPr>
      <w:r>
        <w:rPr>
          <w:sz w:val="18"/>
          <w:u w:val="single"/>
        </w:rPr>
        <w:t>Global Score for Members of Group B</w:t>
      </w:r>
    </w:p>
    <w:p>
      <w:pPr>
        <w:spacing w:before="0"/>
        <w:ind w:left="270" w:right="1" w:firstLine="0"/>
        <w:jc w:val="both"/>
        <w:rPr>
          <w:sz w:val="18"/>
        </w:rPr>
      </w:pPr>
      <w:r>
        <w:rPr>
          <w:sz w:val="18"/>
        </w:rPr>
        <w:t>Similarly, an overall score for group B is obtained from the score of the neck, trunk and legs (see Table 12)</w:t>
      </w:r>
    </w:p>
    <w:p>
      <w:pPr>
        <w:pStyle w:val="BodyText"/>
        <w:rPr>
          <w:sz w:val="18"/>
        </w:rPr>
      </w:pPr>
    </w:p>
    <w:p>
      <w:pPr>
        <w:spacing w:before="0"/>
        <w:ind w:left="359" w:right="89" w:firstLine="0"/>
        <w:jc w:val="center"/>
        <w:rPr>
          <w:sz w:val="18"/>
        </w:rPr>
      </w:pPr>
      <w:r>
        <w:rPr>
          <w:sz w:val="18"/>
        </w:rPr>
        <w:t>Table 12.Global Score for Menbers of Group B. Source (Ergonautas. Departamento de Proyectos de Ingeniería de la Universidad Politécnica de Valencia)</w:t>
      </w:r>
    </w:p>
    <w:p>
      <w:pPr>
        <w:pStyle w:val="BodyText"/>
        <w:rPr>
          <w:sz w:val="18"/>
        </w:rPr>
      </w:pPr>
    </w:p>
    <w:p>
      <w:pPr>
        <w:pStyle w:val="BodyText"/>
        <w:rPr>
          <w:sz w:val="18"/>
        </w:rPr>
      </w:pPr>
    </w:p>
    <w:p>
      <w:pPr>
        <w:pStyle w:val="BodyText"/>
        <w:spacing w:before="3"/>
        <w:rPr>
          <w:sz w:val="18"/>
        </w:rPr>
      </w:pPr>
    </w:p>
    <w:p>
      <w:pPr>
        <w:spacing w:before="0"/>
        <w:ind w:left="270" w:right="1" w:firstLine="44"/>
        <w:jc w:val="both"/>
        <w:rPr>
          <w:b/>
          <w:sz w:val="18"/>
        </w:rPr>
      </w:pPr>
      <w:r>
        <w:rPr>
          <w:b/>
          <w:sz w:val="18"/>
        </w:rPr>
        <w:t>Score of the type of muscular activity developed and applied force</w:t>
      </w:r>
    </w:p>
    <w:p>
      <w:pPr>
        <w:spacing w:line="240" w:lineRule="auto" w:before="0"/>
        <w:ind w:left="270" w:right="0" w:firstLine="0"/>
        <w:jc w:val="both"/>
        <w:rPr>
          <w:sz w:val="18"/>
        </w:rPr>
      </w:pPr>
      <w:r>
        <w:rPr>
          <w:sz w:val="18"/>
        </w:rPr>
        <w:t>The overall scores, will be modified depending on the type of muscular activity developed and applied force during the task. The score of groups A and B will be incremented in one point if the activity is mainly static (analyzed posture is maintained more than one minute) or if repeatable (is repeated more than 4 times every minute). If the task is occasional, infrequent and of short duration,  is considered dynamic activity, and the scores remain unchanged (see Table 13).[</w:t>
      </w:r>
      <w:r>
        <w:rPr>
          <w:spacing w:val="-3"/>
          <w:sz w:val="18"/>
        </w:rPr>
        <w:t> </w:t>
      </w:r>
      <w:r>
        <w:rPr>
          <w:sz w:val="18"/>
        </w:rPr>
        <w:t>13]</w:t>
      </w:r>
    </w:p>
    <w:p>
      <w:pPr>
        <w:spacing w:before="0"/>
        <w:ind w:left="359" w:right="89" w:firstLine="0"/>
        <w:jc w:val="center"/>
        <w:rPr>
          <w:sz w:val="18"/>
        </w:rPr>
      </w:pPr>
      <w:r>
        <w:rPr>
          <w:sz w:val="18"/>
        </w:rPr>
        <w:t>Table 13. Score for muscle activity and forces exerted. Source. (Ergonautas. Departamento de Proyectos de Ingeniería de la Universidad Politécnica de Valencia)</w:t>
      </w:r>
    </w:p>
    <w:p>
      <w:pPr>
        <w:pStyle w:val="BodyText"/>
        <w:rPr>
          <w:sz w:val="18"/>
        </w:rPr>
      </w:pPr>
      <w:r>
        <w:rPr/>
        <w:br w:type="column"/>
      </w:r>
      <w:r>
        <w:rPr>
          <w:sz w:val="18"/>
        </w:rPr>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8"/>
        <w:rPr>
          <w:sz w:val="23"/>
        </w:rPr>
      </w:pPr>
    </w:p>
    <w:p>
      <w:pPr>
        <w:spacing w:before="0"/>
        <w:ind w:left="270" w:right="675" w:firstLine="170"/>
        <w:jc w:val="both"/>
        <w:rPr>
          <w:sz w:val="18"/>
        </w:rPr>
      </w:pPr>
      <w:r>
        <w:rPr/>
        <w:pict>
          <v:shape style="position:absolute;margin-left:337.73999pt;margin-top:-190.497681pt;width:237.75pt;height:190.75pt;mso-position-horizontal-relative:page;mso-position-vertical-relative:paragraph;z-index:976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97"/>
                    <w:gridCol w:w="521"/>
                    <w:gridCol w:w="509"/>
                    <w:gridCol w:w="522"/>
                    <w:gridCol w:w="534"/>
                    <w:gridCol w:w="510"/>
                    <w:gridCol w:w="510"/>
                    <w:gridCol w:w="538"/>
                  </w:tblGrid>
                  <w:tr>
                    <w:trPr>
                      <w:trHeight w:val="535" w:hRule="exact"/>
                    </w:trPr>
                    <w:tc>
                      <w:tcPr>
                        <w:tcW w:w="1097" w:type="dxa"/>
                      </w:tcPr>
                      <w:p>
                        <w:pPr/>
                      </w:p>
                    </w:tc>
                    <w:tc>
                      <w:tcPr>
                        <w:tcW w:w="3643" w:type="dxa"/>
                        <w:gridSpan w:val="7"/>
                      </w:tcPr>
                      <w:p>
                        <w:pPr>
                          <w:pStyle w:val="TableParagraph"/>
                          <w:spacing w:before="158"/>
                          <w:ind w:left="1494" w:right="1493"/>
                          <w:jc w:val="center"/>
                          <w:rPr>
                            <w:b/>
                            <w:sz w:val="18"/>
                          </w:rPr>
                        </w:pPr>
                        <w:r>
                          <w:rPr>
                            <w:b/>
                            <w:sz w:val="18"/>
                          </w:rPr>
                          <w:t>Score D</w:t>
                        </w:r>
                      </w:p>
                    </w:tc>
                  </w:tr>
                  <w:tr>
                    <w:trPr>
                      <w:trHeight w:val="594" w:hRule="exact"/>
                    </w:trPr>
                    <w:tc>
                      <w:tcPr>
                        <w:tcW w:w="1097" w:type="dxa"/>
                      </w:tcPr>
                      <w:p>
                        <w:pPr>
                          <w:pStyle w:val="TableParagraph"/>
                          <w:spacing w:before="3"/>
                          <w:rPr>
                            <w:sz w:val="16"/>
                          </w:rPr>
                        </w:pPr>
                      </w:p>
                      <w:p>
                        <w:pPr>
                          <w:pStyle w:val="TableParagraph"/>
                          <w:ind w:left="221" w:right="221"/>
                          <w:jc w:val="center"/>
                          <w:rPr>
                            <w:b/>
                            <w:sz w:val="18"/>
                          </w:rPr>
                        </w:pPr>
                        <w:r>
                          <w:rPr>
                            <w:b/>
                            <w:sz w:val="18"/>
                          </w:rPr>
                          <w:t>Score C</w:t>
                        </w:r>
                      </w:p>
                    </w:tc>
                    <w:tc>
                      <w:tcPr>
                        <w:tcW w:w="521" w:type="dxa"/>
                      </w:tcPr>
                      <w:p>
                        <w:pPr>
                          <w:pStyle w:val="TableParagraph"/>
                          <w:spacing w:before="11"/>
                          <w:rPr>
                            <w:sz w:val="15"/>
                          </w:rPr>
                        </w:pPr>
                      </w:p>
                      <w:p>
                        <w:pPr>
                          <w:pStyle w:val="TableParagraph"/>
                          <w:ind w:right="1"/>
                          <w:jc w:val="center"/>
                          <w:rPr>
                            <w:sz w:val="18"/>
                          </w:rPr>
                        </w:pPr>
                        <w:r>
                          <w:rPr>
                            <w:sz w:val="18"/>
                          </w:rPr>
                          <w:t>1</w:t>
                        </w:r>
                      </w:p>
                    </w:tc>
                    <w:tc>
                      <w:tcPr>
                        <w:tcW w:w="509" w:type="dxa"/>
                      </w:tcPr>
                      <w:p>
                        <w:pPr>
                          <w:pStyle w:val="TableParagraph"/>
                          <w:spacing w:before="11"/>
                          <w:rPr>
                            <w:sz w:val="15"/>
                          </w:rPr>
                        </w:pPr>
                      </w:p>
                      <w:p>
                        <w:pPr>
                          <w:pStyle w:val="TableParagraph"/>
                          <w:ind w:left="204"/>
                          <w:rPr>
                            <w:sz w:val="18"/>
                          </w:rPr>
                        </w:pPr>
                        <w:r>
                          <w:rPr>
                            <w:sz w:val="18"/>
                          </w:rPr>
                          <w:t>2</w:t>
                        </w:r>
                      </w:p>
                    </w:tc>
                    <w:tc>
                      <w:tcPr>
                        <w:tcW w:w="522" w:type="dxa"/>
                      </w:tcPr>
                      <w:p>
                        <w:pPr>
                          <w:pStyle w:val="TableParagraph"/>
                          <w:spacing w:before="11"/>
                          <w:rPr>
                            <w:sz w:val="15"/>
                          </w:rPr>
                        </w:pPr>
                      </w:p>
                      <w:p>
                        <w:pPr>
                          <w:pStyle w:val="TableParagraph"/>
                          <w:jc w:val="center"/>
                          <w:rPr>
                            <w:sz w:val="18"/>
                          </w:rPr>
                        </w:pPr>
                        <w:r>
                          <w:rPr>
                            <w:sz w:val="18"/>
                          </w:rPr>
                          <w:t>3</w:t>
                        </w:r>
                      </w:p>
                    </w:tc>
                    <w:tc>
                      <w:tcPr>
                        <w:tcW w:w="534" w:type="dxa"/>
                      </w:tcPr>
                      <w:p>
                        <w:pPr>
                          <w:pStyle w:val="TableParagraph"/>
                          <w:spacing w:before="11"/>
                          <w:rPr>
                            <w:sz w:val="15"/>
                          </w:rPr>
                        </w:pPr>
                      </w:p>
                      <w:p>
                        <w:pPr>
                          <w:pStyle w:val="TableParagraph"/>
                          <w:jc w:val="center"/>
                          <w:rPr>
                            <w:sz w:val="18"/>
                          </w:rPr>
                        </w:pPr>
                        <w:r>
                          <w:rPr>
                            <w:sz w:val="18"/>
                          </w:rPr>
                          <w:t>4</w:t>
                        </w:r>
                      </w:p>
                    </w:tc>
                    <w:tc>
                      <w:tcPr>
                        <w:tcW w:w="510" w:type="dxa"/>
                      </w:tcPr>
                      <w:p>
                        <w:pPr>
                          <w:pStyle w:val="TableParagraph"/>
                          <w:spacing w:before="11"/>
                          <w:rPr>
                            <w:sz w:val="15"/>
                          </w:rPr>
                        </w:pPr>
                      </w:p>
                      <w:p>
                        <w:pPr>
                          <w:pStyle w:val="TableParagraph"/>
                          <w:jc w:val="center"/>
                          <w:rPr>
                            <w:sz w:val="18"/>
                          </w:rPr>
                        </w:pPr>
                        <w:r>
                          <w:rPr>
                            <w:sz w:val="18"/>
                          </w:rPr>
                          <w:t>5</w:t>
                        </w:r>
                      </w:p>
                    </w:tc>
                    <w:tc>
                      <w:tcPr>
                        <w:tcW w:w="510" w:type="dxa"/>
                      </w:tcPr>
                      <w:p>
                        <w:pPr>
                          <w:pStyle w:val="TableParagraph"/>
                          <w:spacing w:before="11"/>
                          <w:rPr>
                            <w:sz w:val="15"/>
                          </w:rPr>
                        </w:pPr>
                      </w:p>
                      <w:p>
                        <w:pPr>
                          <w:pStyle w:val="TableParagraph"/>
                          <w:ind w:left="205"/>
                          <w:rPr>
                            <w:sz w:val="18"/>
                          </w:rPr>
                        </w:pPr>
                        <w:r>
                          <w:rPr>
                            <w:sz w:val="18"/>
                          </w:rPr>
                          <w:t>6</w:t>
                        </w:r>
                      </w:p>
                    </w:tc>
                    <w:tc>
                      <w:tcPr>
                        <w:tcW w:w="538" w:type="dxa"/>
                      </w:tcPr>
                      <w:p>
                        <w:pPr>
                          <w:pStyle w:val="TableParagraph"/>
                          <w:spacing w:before="11"/>
                          <w:rPr>
                            <w:sz w:val="15"/>
                          </w:rPr>
                        </w:pPr>
                      </w:p>
                      <w:p>
                        <w:pPr>
                          <w:pStyle w:val="TableParagraph"/>
                          <w:ind w:left="148" w:right="148"/>
                          <w:jc w:val="center"/>
                          <w:rPr>
                            <w:sz w:val="18"/>
                          </w:rPr>
                        </w:pPr>
                        <w:r>
                          <w:rPr>
                            <w:sz w:val="18"/>
                          </w:rPr>
                          <w:t>7+</w:t>
                        </w:r>
                      </w:p>
                    </w:tc>
                  </w:tr>
                  <w:tr>
                    <w:trPr>
                      <w:trHeight w:val="325" w:hRule="exact"/>
                    </w:trPr>
                    <w:tc>
                      <w:tcPr>
                        <w:tcW w:w="1097" w:type="dxa"/>
                      </w:tcPr>
                      <w:p>
                        <w:pPr>
                          <w:pStyle w:val="TableParagraph"/>
                          <w:spacing w:before="50"/>
                          <w:ind w:right="1"/>
                          <w:jc w:val="center"/>
                          <w:rPr>
                            <w:sz w:val="18"/>
                          </w:rPr>
                        </w:pPr>
                        <w:r>
                          <w:rPr>
                            <w:sz w:val="18"/>
                          </w:rPr>
                          <w:t>1</w:t>
                        </w:r>
                      </w:p>
                    </w:tc>
                    <w:tc>
                      <w:tcPr>
                        <w:tcW w:w="521" w:type="dxa"/>
                      </w:tcPr>
                      <w:p>
                        <w:pPr>
                          <w:pStyle w:val="TableParagraph"/>
                          <w:spacing w:before="50"/>
                          <w:ind w:right="1"/>
                          <w:jc w:val="center"/>
                          <w:rPr>
                            <w:sz w:val="18"/>
                          </w:rPr>
                        </w:pPr>
                        <w:r>
                          <w:rPr>
                            <w:sz w:val="18"/>
                          </w:rPr>
                          <w:t>1</w:t>
                        </w:r>
                      </w:p>
                    </w:tc>
                    <w:tc>
                      <w:tcPr>
                        <w:tcW w:w="509" w:type="dxa"/>
                      </w:tcPr>
                      <w:p>
                        <w:pPr>
                          <w:pStyle w:val="TableParagraph"/>
                          <w:spacing w:before="50"/>
                          <w:ind w:left="203"/>
                          <w:rPr>
                            <w:sz w:val="18"/>
                          </w:rPr>
                        </w:pPr>
                        <w:r>
                          <w:rPr>
                            <w:sz w:val="18"/>
                          </w:rPr>
                          <w:t>2</w:t>
                        </w:r>
                      </w:p>
                    </w:tc>
                    <w:tc>
                      <w:tcPr>
                        <w:tcW w:w="522" w:type="dxa"/>
                      </w:tcPr>
                      <w:p>
                        <w:pPr>
                          <w:pStyle w:val="TableParagraph"/>
                          <w:spacing w:before="50"/>
                          <w:jc w:val="center"/>
                          <w:rPr>
                            <w:sz w:val="18"/>
                          </w:rPr>
                        </w:pPr>
                        <w:r>
                          <w:rPr>
                            <w:sz w:val="18"/>
                          </w:rPr>
                          <w:t>3</w:t>
                        </w:r>
                      </w:p>
                    </w:tc>
                    <w:tc>
                      <w:tcPr>
                        <w:tcW w:w="534" w:type="dxa"/>
                      </w:tcPr>
                      <w:p>
                        <w:pPr>
                          <w:pStyle w:val="TableParagraph"/>
                          <w:spacing w:before="50"/>
                          <w:jc w:val="center"/>
                          <w:rPr>
                            <w:sz w:val="18"/>
                          </w:rPr>
                        </w:pPr>
                        <w:r>
                          <w:rPr>
                            <w:sz w:val="18"/>
                          </w:rPr>
                          <w:t>3</w:t>
                        </w:r>
                      </w:p>
                    </w:tc>
                    <w:tc>
                      <w:tcPr>
                        <w:tcW w:w="510" w:type="dxa"/>
                      </w:tcPr>
                      <w:p>
                        <w:pPr>
                          <w:pStyle w:val="TableParagraph"/>
                          <w:spacing w:before="50"/>
                          <w:jc w:val="center"/>
                          <w:rPr>
                            <w:sz w:val="18"/>
                          </w:rPr>
                        </w:pPr>
                        <w:r>
                          <w:rPr>
                            <w:sz w:val="18"/>
                          </w:rPr>
                          <w:t>4</w:t>
                        </w:r>
                      </w:p>
                    </w:tc>
                    <w:tc>
                      <w:tcPr>
                        <w:tcW w:w="510" w:type="dxa"/>
                      </w:tcPr>
                      <w:p>
                        <w:pPr>
                          <w:pStyle w:val="TableParagraph"/>
                          <w:spacing w:before="50"/>
                          <w:ind w:left="205"/>
                          <w:rPr>
                            <w:sz w:val="18"/>
                          </w:rPr>
                        </w:pPr>
                        <w:r>
                          <w:rPr>
                            <w:sz w:val="18"/>
                          </w:rPr>
                          <w:t>5</w:t>
                        </w:r>
                      </w:p>
                    </w:tc>
                    <w:tc>
                      <w:tcPr>
                        <w:tcW w:w="538" w:type="dxa"/>
                      </w:tcPr>
                      <w:p>
                        <w:pPr>
                          <w:pStyle w:val="TableParagraph"/>
                          <w:spacing w:before="50"/>
                          <w:ind w:right="1"/>
                          <w:jc w:val="center"/>
                          <w:rPr>
                            <w:sz w:val="18"/>
                          </w:rPr>
                        </w:pPr>
                        <w:r>
                          <w:rPr>
                            <w:sz w:val="18"/>
                          </w:rPr>
                          <w:t>5</w:t>
                        </w:r>
                      </w:p>
                    </w:tc>
                  </w:tr>
                  <w:tr>
                    <w:trPr>
                      <w:trHeight w:val="325" w:hRule="exact"/>
                    </w:trPr>
                    <w:tc>
                      <w:tcPr>
                        <w:tcW w:w="1097" w:type="dxa"/>
                      </w:tcPr>
                      <w:p>
                        <w:pPr>
                          <w:pStyle w:val="TableParagraph"/>
                          <w:spacing w:before="50"/>
                          <w:ind w:right="1"/>
                          <w:jc w:val="center"/>
                          <w:rPr>
                            <w:sz w:val="18"/>
                          </w:rPr>
                        </w:pPr>
                        <w:r>
                          <w:rPr>
                            <w:sz w:val="18"/>
                          </w:rPr>
                          <w:t>2</w:t>
                        </w:r>
                      </w:p>
                    </w:tc>
                    <w:tc>
                      <w:tcPr>
                        <w:tcW w:w="521" w:type="dxa"/>
                      </w:tcPr>
                      <w:p>
                        <w:pPr>
                          <w:pStyle w:val="TableParagraph"/>
                          <w:spacing w:before="50"/>
                          <w:ind w:right="1"/>
                          <w:jc w:val="center"/>
                          <w:rPr>
                            <w:sz w:val="18"/>
                          </w:rPr>
                        </w:pPr>
                        <w:r>
                          <w:rPr>
                            <w:sz w:val="18"/>
                          </w:rPr>
                          <w:t>2</w:t>
                        </w:r>
                      </w:p>
                    </w:tc>
                    <w:tc>
                      <w:tcPr>
                        <w:tcW w:w="509" w:type="dxa"/>
                      </w:tcPr>
                      <w:p>
                        <w:pPr>
                          <w:pStyle w:val="TableParagraph"/>
                          <w:spacing w:before="50"/>
                          <w:ind w:left="203"/>
                          <w:rPr>
                            <w:sz w:val="18"/>
                          </w:rPr>
                        </w:pPr>
                        <w:r>
                          <w:rPr>
                            <w:sz w:val="18"/>
                          </w:rPr>
                          <w:t>2</w:t>
                        </w:r>
                      </w:p>
                    </w:tc>
                    <w:tc>
                      <w:tcPr>
                        <w:tcW w:w="522" w:type="dxa"/>
                      </w:tcPr>
                      <w:p>
                        <w:pPr>
                          <w:pStyle w:val="TableParagraph"/>
                          <w:spacing w:before="50"/>
                          <w:jc w:val="center"/>
                          <w:rPr>
                            <w:sz w:val="18"/>
                          </w:rPr>
                        </w:pPr>
                        <w:r>
                          <w:rPr>
                            <w:sz w:val="18"/>
                          </w:rPr>
                          <w:t>3</w:t>
                        </w:r>
                      </w:p>
                    </w:tc>
                    <w:tc>
                      <w:tcPr>
                        <w:tcW w:w="534" w:type="dxa"/>
                      </w:tcPr>
                      <w:p>
                        <w:pPr>
                          <w:pStyle w:val="TableParagraph"/>
                          <w:spacing w:before="50"/>
                          <w:jc w:val="center"/>
                          <w:rPr>
                            <w:sz w:val="18"/>
                          </w:rPr>
                        </w:pPr>
                        <w:r>
                          <w:rPr>
                            <w:sz w:val="18"/>
                          </w:rPr>
                          <w:t>4</w:t>
                        </w:r>
                      </w:p>
                    </w:tc>
                    <w:tc>
                      <w:tcPr>
                        <w:tcW w:w="510" w:type="dxa"/>
                      </w:tcPr>
                      <w:p>
                        <w:pPr>
                          <w:pStyle w:val="TableParagraph"/>
                          <w:spacing w:before="50"/>
                          <w:jc w:val="center"/>
                          <w:rPr>
                            <w:sz w:val="18"/>
                          </w:rPr>
                        </w:pPr>
                        <w:r>
                          <w:rPr>
                            <w:sz w:val="18"/>
                          </w:rPr>
                          <w:t>4</w:t>
                        </w:r>
                      </w:p>
                    </w:tc>
                    <w:tc>
                      <w:tcPr>
                        <w:tcW w:w="510" w:type="dxa"/>
                      </w:tcPr>
                      <w:p>
                        <w:pPr>
                          <w:pStyle w:val="TableParagraph"/>
                          <w:spacing w:before="50"/>
                          <w:ind w:left="205"/>
                          <w:rPr>
                            <w:sz w:val="18"/>
                          </w:rPr>
                        </w:pPr>
                        <w:r>
                          <w:rPr>
                            <w:sz w:val="18"/>
                          </w:rPr>
                          <w:t>5</w:t>
                        </w:r>
                      </w:p>
                    </w:tc>
                    <w:tc>
                      <w:tcPr>
                        <w:tcW w:w="538" w:type="dxa"/>
                      </w:tcPr>
                      <w:p>
                        <w:pPr>
                          <w:pStyle w:val="TableParagraph"/>
                          <w:spacing w:before="50"/>
                          <w:ind w:right="1"/>
                          <w:jc w:val="center"/>
                          <w:rPr>
                            <w:sz w:val="18"/>
                          </w:rPr>
                        </w:pPr>
                        <w:r>
                          <w:rPr>
                            <w:sz w:val="18"/>
                          </w:rPr>
                          <w:t>5</w:t>
                        </w:r>
                      </w:p>
                    </w:tc>
                  </w:tr>
                  <w:tr>
                    <w:trPr>
                      <w:trHeight w:val="325" w:hRule="exact"/>
                    </w:trPr>
                    <w:tc>
                      <w:tcPr>
                        <w:tcW w:w="1097" w:type="dxa"/>
                      </w:tcPr>
                      <w:p>
                        <w:pPr>
                          <w:pStyle w:val="TableParagraph"/>
                          <w:spacing w:before="49"/>
                          <w:ind w:right="1"/>
                          <w:jc w:val="center"/>
                          <w:rPr>
                            <w:sz w:val="18"/>
                          </w:rPr>
                        </w:pPr>
                        <w:r>
                          <w:rPr>
                            <w:sz w:val="18"/>
                          </w:rPr>
                          <w:t>3</w:t>
                        </w:r>
                      </w:p>
                    </w:tc>
                    <w:tc>
                      <w:tcPr>
                        <w:tcW w:w="521" w:type="dxa"/>
                      </w:tcPr>
                      <w:p>
                        <w:pPr>
                          <w:pStyle w:val="TableParagraph"/>
                          <w:spacing w:before="49"/>
                          <w:ind w:right="1"/>
                          <w:jc w:val="center"/>
                          <w:rPr>
                            <w:sz w:val="18"/>
                          </w:rPr>
                        </w:pPr>
                        <w:r>
                          <w:rPr>
                            <w:sz w:val="18"/>
                          </w:rPr>
                          <w:t>3</w:t>
                        </w:r>
                      </w:p>
                    </w:tc>
                    <w:tc>
                      <w:tcPr>
                        <w:tcW w:w="509" w:type="dxa"/>
                      </w:tcPr>
                      <w:p>
                        <w:pPr>
                          <w:pStyle w:val="TableParagraph"/>
                          <w:spacing w:before="49"/>
                          <w:ind w:left="203"/>
                          <w:rPr>
                            <w:sz w:val="18"/>
                          </w:rPr>
                        </w:pPr>
                        <w:r>
                          <w:rPr>
                            <w:sz w:val="18"/>
                          </w:rPr>
                          <w:t>3</w:t>
                        </w:r>
                      </w:p>
                    </w:tc>
                    <w:tc>
                      <w:tcPr>
                        <w:tcW w:w="522" w:type="dxa"/>
                      </w:tcPr>
                      <w:p>
                        <w:pPr>
                          <w:pStyle w:val="TableParagraph"/>
                          <w:spacing w:before="49"/>
                          <w:jc w:val="center"/>
                          <w:rPr>
                            <w:sz w:val="18"/>
                          </w:rPr>
                        </w:pPr>
                        <w:r>
                          <w:rPr>
                            <w:sz w:val="18"/>
                          </w:rPr>
                          <w:t>3</w:t>
                        </w:r>
                      </w:p>
                    </w:tc>
                    <w:tc>
                      <w:tcPr>
                        <w:tcW w:w="534" w:type="dxa"/>
                      </w:tcPr>
                      <w:p>
                        <w:pPr>
                          <w:pStyle w:val="TableParagraph"/>
                          <w:spacing w:before="49"/>
                          <w:jc w:val="center"/>
                          <w:rPr>
                            <w:sz w:val="18"/>
                          </w:rPr>
                        </w:pPr>
                        <w:r>
                          <w:rPr>
                            <w:sz w:val="18"/>
                          </w:rPr>
                          <w:t>4</w:t>
                        </w:r>
                      </w:p>
                    </w:tc>
                    <w:tc>
                      <w:tcPr>
                        <w:tcW w:w="510" w:type="dxa"/>
                      </w:tcPr>
                      <w:p>
                        <w:pPr>
                          <w:pStyle w:val="TableParagraph"/>
                          <w:spacing w:before="49"/>
                          <w:jc w:val="center"/>
                          <w:rPr>
                            <w:sz w:val="18"/>
                          </w:rPr>
                        </w:pPr>
                        <w:r>
                          <w:rPr>
                            <w:sz w:val="18"/>
                          </w:rPr>
                          <w:t>4</w:t>
                        </w:r>
                      </w:p>
                    </w:tc>
                    <w:tc>
                      <w:tcPr>
                        <w:tcW w:w="510" w:type="dxa"/>
                      </w:tcPr>
                      <w:p>
                        <w:pPr>
                          <w:pStyle w:val="TableParagraph"/>
                          <w:spacing w:before="49"/>
                          <w:ind w:left="205"/>
                          <w:rPr>
                            <w:sz w:val="18"/>
                          </w:rPr>
                        </w:pPr>
                        <w:r>
                          <w:rPr>
                            <w:sz w:val="18"/>
                          </w:rPr>
                          <w:t>5</w:t>
                        </w:r>
                      </w:p>
                    </w:tc>
                    <w:tc>
                      <w:tcPr>
                        <w:tcW w:w="538" w:type="dxa"/>
                      </w:tcPr>
                      <w:p>
                        <w:pPr>
                          <w:pStyle w:val="TableParagraph"/>
                          <w:spacing w:before="49"/>
                          <w:ind w:right="1"/>
                          <w:jc w:val="center"/>
                          <w:rPr>
                            <w:sz w:val="18"/>
                          </w:rPr>
                        </w:pPr>
                        <w:r>
                          <w:rPr>
                            <w:sz w:val="18"/>
                          </w:rPr>
                          <w:t>6</w:t>
                        </w:r>
                      </w:p>
                    </w:tc>
                  </w:tr>
                  <w:tr>
                    <w:trPr>
                      <w:trHeight w:val="325" w:hRule="exact"/>
                    </w:trPr>
                    <w:tc>
                      <w:tcPr>
                        <w:tcW w:w="1097" w:type="dxa"/>
                      </w:tcPr>
                      <w:p>
                        <w:pPr>
                          <w:pStyle w:val="TableParagraph"/>
                          <w:spacing w:before="49"/>
                          <w:ind w:right="1"/>
                          <w:jc w:val="center"/>
                          <w:rPr>
                            <w:sz w:val="18"/>
                          </w:rPr>
                        </w:pPr>
                        <w:r>
                          <w:rPr>
                            <w:sz w:val="18"/>
                          </w:rPr>
                          <w:t>4</w:t>
                        </w:r>
                      </w:p>
                    </w:tc>
                    <w:tc>
                      <w:tcPr>
                        <w:tcW w:w="521" w:type="dxa"/>
                      </w:tcPr>
                      <w:p>
                        <w:pPr>
                          <w:pStyle w:val="TableParagraph"/>
                          <w:spacing w:before="49"/>
                          <w:ind w:right="1"/>
                          <w:jc w:val="center"/>
                          <w:rPr>
                            <w:sz w:val="18"/>
                          </w:rPr>
                        </w:pPr>
                        <w:r>
                          <w:rPr>
                            <w:sz w:val="18"/>
                          </w:rPr>
                          <w:t>3</w:t>
                        </w:r>
                      </w:p>
                    </w:tc>
                    <w:tc>
                      <w:tcPr>
                        <w:tcW w:w="509" w:type="dxa"/>
                      </w:tcPr>
                      <w:p>
                        <w:pPr>
                          <w:pStyle w:val="TableParagraph"/>
                          <w:spacing w:before="49"/>
                          <w:ind w:left="203"/>
                          <w:rPr>
                            <w:sz w:val="18"/>
                          </w:rPr>
                        </w:pPr>
                        <w:r>
                          <w:rPr>
                            <w:sz w:val="18"/>
                          </w:rPr>
                          <w:t>3</w:t>
                        </w:r>
                      </w:p>
                    </w:tc>
                    <w:tc>
                      <w:tcPr>
                        <w:tcW w:w="522" w:type="dxa"/>
                      </w:tcPr>
                      <w:p>
                        <w:pPr>
                          <w:pStyle w:val="TableParagraph"/>
                          <w:spacing w:before="49"/>
                          <w:jc w:val="center"/>
                          <w:rPr>
                            <w:sz w:val="18"/>
                          </w:rPr>
                        </w:pPr>
                        <w:r>
                          <w:rPr>
                            <w:sz w:val="18"/>
                          </w:rPr>
                          <w:t>3</w:t>
                        </w:r>
                      </w:p>
                    </w:tc>
                    <w:tc>
                      <w:tcPr>
                        <w:tcW w:w="534" w:type="dxa"/>
                      </w:tcPr>
                      <w:p>
                        <w:pPr>
                          <w:pStyle w:val="TableParagraph"/>
                          <w:spacing w:before="49"/>
                          <w:jc w:val="center"/>
                          <w:rPr>
                            <w:sz w:val="18"/>
                          </w:rPr>
                        </w:pPr>
                        <w:r>
                          <w:rPr>
                            <w:sz w:val="18"/>
                          </w:rPr>
                          <w:t>4</w:t>
                        </w:r>
                      </w:p>
                    </w:tc>
                    <w:tc>
                      <w:tcPr>
                        <w:tcW w:w="510" w:type="dxa"/>
                      </w:tcPr>
                      <w:p>
                        <w:pPr>
                          <w:pStyle w:val="TableParagraph"/>
                          <w:spacing w:before="49"/>
                          <w:jc w:val="center"/>
                          <w:rPr>
                            <w:sz w:val="18"/>
                          </w:rPr>
                        </w:pPr>
                        <w:r>
                          <w:rPr>
                            <w:sz w:val="18"/>
                          </w:rPr>
                          <w:t>5</w:t>
                        </w:r>
                      </w:p>
                    </w:tc>
                    <w:tc>
                      <w:tcPr>
                        <w:tcW w:w="510" w:type="dxa"/>
                      </w:tcPr>
                      <w:p>
                        <w:pPr>
                          <w:pStyle w:val="TableParagraph"/>
                          <w:spacing w:before="49"/>
                          <w:ind w:left="205"/>
                          <w:rPr>
                            <w:sz w:val="18"/>
                          </w:rPr>
                        </w:pPr>
                        <w:r>
                          <w:rPr>
                            <w:sz w:val="18"/>
                          </w:rPr>
                          <w:t>6</w:t>
                        </w:r>
                      </w:p>
                    </w:tc>
                    <w:tc>
                      <w:tcPr>
                        <w:tcW w:w="538" w:type="dxa"/>
                      </w:tcPr>
                      <w:p>
                        <w:pPr>
                          <w:pStyle w:val="TableParagraph"/>
                          <w:spacing w:before="49"/>
                          <w:ind w:right="1"/>
                          <w:jc w:val="center"/>
                          <w:rPr>
                            <w:sz w:val="18"/>
                          </w:rPr>
                        </w:pPr>
                        <w:r>
                          <w:rPr>
                            <w:sz w:val="18"/>
                          </w:rPr>
                          <w:t>6</w:t>
                        </w:r>
                      </w:p>
                    </w:tc>
                  </w:tr>
                  <w:tr>
                    <w:trPr>
                      <w:trHeight w:val="325" w:hRule="exact"/>
                    </w:trPr>
                    <w:tc>
                      <w:tcPr>
                        <w:tcW w:w="1097" w:type="dxa"/>
                      </w:tcPr>
                      <w:p>
                        <w:pPr>
                          <w:pStyle w:val="TableParagraph"/>
                          <w:spacing w:before="49"/>
                          <w:ind w:right="1"/>
                          <w:jc w:val="center"/>
                          <w:rPr>
                            <w:sz w:val="18"/>
                          </w:rPr>
                        </w:pPr>
                        <w:r>
                          <w:rPr>
                            <w:sz w:val="18"/>
                          </w:rPr>
                          <w:t>5</w:t>
                        </w:r>
                      </w:p>
                    </w:tc>
                    <w:tc>
                      <w:tcPr>
                        <w:tcW w:w="521" w:type="dxa"/>
                      </w:tcPr>
                      <w:p>
                        <w:pPr>
                          <w:pStyle w:val="TableParagraph"/>
                          <w:spacing w:before="49"/>
                          <w:ind w:right="1"/>
                          <w:jc w:val="center"/>
                          <w:rPr>
                            <w:sz w:val="18"/>
                          </w:rPr>
                        </w:pPr>
                        <w:r>
                          <w:rPr>
                            <w:sz w:val="18"/>
                          </w:rPr>
                          <w:t>4</w:t>
                        </w:r>
                      </w:p>
                    </w:tc>
                    <w:tc>
                      <w:tcPr>
                        <w:tcW w:w="509" w:type="dxa"/>
                      </w:tcPr>
                      <w:p>
                        <w:pPr>
                          <w:pStyle w:val="TableParagraph"/>
                          <w:spacing w:before="49"/>
                          <w:ind w:left="203"/>
                          <w:rPr>
                            <w:sz w:val="18"/>
                          </w:rPr>
                        </w:pPr>
                        <w:r>
                          <w:rPr>
                            <w:sz w:val="18"/>
                          </w:rPr>
                          <w:t>4</w:t>
                        </w:r>
                      </w:p>
                    </w:tc>
                    <w:tc>
                      <w:tcPr>
                        <w:tcW w:w="522" w:type="dxa"/>
                      </w:tcPr>
                      <w:p>
                        <w:pPr>
                          <w:pStyle w:val="TableParagraph"/>
                          <w:spacing w:before="49"/>
                          <w:jc w:val="center"/>
                          <w:rPr>
                            <w:sz w:val="18"/>
                          </w:rPr>
                        </w:pPr>
                        <w:r>
                          <w:rPr>
                            <w:sz w:val="18"/>
                          </w:rPr>
                          <w:t>4</w:t>
                        </w:r>
                      </w:p>
                    </w:tc>
                    <w:tc>
                      <w:tcPr>
                        <w:tcW w:w="534" w:type="dxa"/>
                      </w:tcPr>
                      <w:p>
                        <w:pPr>
                          <w:pStyle w:val="TableParagraph"/>
                          <w:spacing w:before="49"/>
                          <w:jc w:val="center"/>
                          <w:rPr>
                            <w:sz w:val="18"/>
                          </w:rPr>
                        </w:pPr>
                        <w:r>
                          <w:rPr>
                            <w:sz w:val="18"/>
                          </w:rPr>
                          <w:t>5</w:t>
                        </w:r>
                      </w:p>
                    </w:tc>
                    <w:tc>
                      <w:tcPr>
                        <w:tcW w:w="510" w:type="dxa"/>
                      </w:tcPr>
                      <w:p>
                        <w:pPr>
                          <w:pStyle w:val="TableParagraph"/>
                          <w:spacing w:before="49"/>
                          <w:jc w:val="center"/>
                          <w:rPr>
                            <w:sz w:val="18"/>
                          </w:rPr>
                        </w:pPr>
                        <w:r>
                          <w:rPr>
                            <w:sz w:val="18"/>
                          </w:rPr>
                          <w:t>6</w:t>
                        </w:r>
                      </w:p>
                    </w:tc>
                    <w:tc>
                      <w:tcPr>
                        <w:tcW w:w="510" w:type="dxa"/>
                      </w:tcPr>
                      <w:p>
                        <w:pPr>
                          <w:pStyle w:val="TableParagraph"/>
                          <w:spacing w:before="49"/>
                          <w:ind w:left="205"/>
                          <w:rPr>
                            <w:sz w:val="18"/>
                          </w:rPr>
                        </w:pPr>
                        <w:r>
                          <w:rPr>
                            <w:sz w:val="18"/>
                          </w:rPr>
                          <w:t>7</w:t>
                        </w:r>
                      </w:p>
                    </w:tc>
                    <w:tc>
                      <w:tcPr>
                        <w:tcW w:w="538" w:type="dxa"/>
                      </w:tcPr>
                      <w:p>
                        <w:pPr>
                          <w:pStyle w:val="TableParagraph"/>
                          <w:spacing w:before="49"/>
                          <w:ind w:right="1"/>
                          <w:jc w:val="center"/>
                          <w:rPr>
                            <w:sz w:val="18"/>
                          </w:rPr>
                        </w:pPr>
                        <w:r>
                          <w:rPr>
                            <w:sz w:val="18"/>
                          </w:rPr>
                          <w:t>7</w:t>
                        </w:r>
                      </w:p>
                    </w:tc>
                  </w:tr>
                  <w:tr>
                    <w:trPr>
                      <w:trHeight w:val="324" w:hRule="exact"/>
                    </w:trPr>
                    <w:tc>
                      <w:tcPr>
                        <w:tcW w:w="1097" w:type="dxa"/>
                      </w:tcPr>
                      <w:p>
                        <w:pPr>
                          <w:pStyle w:val="TableParagraph"/>
                          <w:spacing w:before="49"/>
                          <w:ind w:right="1"/>
                          <w:jc w:val="center"/>
                          <w:rPr>
                            <w:sz w:val="18"/>
                          </w:rPr>
                        </w:pPr>
                        <w:r>
                          <w:rPr>
                            <w:sz w:val="18"/>
                          </w:rPr>
                          <w:t>6</w:t>
                        </w:r>
                      </w:p>
                    </w:tc>
                    <w:tc>
                      <w:tcPr>
                        <w:tcW w:w="521" w:type="dxa"/>
                      </w:tcPr>
                      <w:p>
                        <w:pPr>
                          <w:pStyle w:val="TableParagraph"/>
                          <w:spacing w:before="49"/>
                          <w:ind w:right="1"/>
                          <w:jc w:val="center"/>
                          <w:rPr>
                            <w:sz w:val="18"/>
                          </w:rPr>
                        </w:pPr>
                        <w:r>
                          <w:rPr>
                            <w:sz w:val="18"/>
                          </w:rPr>
                          <w:t>4</w:t>
                        </w:r>
                      </w:p>
                    </w:tc>
                    <w:tc>
                      <w:tcPr>
                        <w:tcW w:w="509" w:type="dxa"/>
                      </w:tcPr>
                      <w:p>
                        <w:pPr>
                          <w:pStyle w:val="TableParagraph"/>
                          <w:spacing w:before="49"/>
                          <w:ind w:left="203"/>
                          <w:rPr>
                            <w:sz w:val="18"/>
                          </w:rPr>
                        </w:pPr>
                        <w:r>
                          <w:rPr>
                            <w:sz w:val="18"/>
                          </w:rPr>
                          <w:t>4</w:t>
                        </w:r>
                      </w:p>
                    </w:tc>
                    <w:tc>
                      <w:tcPr>
                        <w:tcW w:w="522" w:type="dxa"/>
                      </w:tcPr>
                      <w:p>
                        <w:pPr>
                          <w:pStyle w:val="TableParagraph"/>
                          <w:spacing w:before="49"/>
                          <w:jc w:val="center"/>
                          <w:rPr>
                            <w:sz w:val="18"/>
                          </w:rPr>
                        </w:pPr>
                        <w:r>
                          <w:rPr>
                            <w:sz w:val="18"/>
                          </w:rPr>
                          <w:t>5</w:t>
                        </w:r>
                      </w:p>
                    </w:tc>
                    <w:tc>
                      <w:tcPr>
                        <w:tcW w:w="534" w:type="dxa"/>
                      </w:tcPr>
                      <w:p>
                        <w:pPr>
                          <w:pStyle w:val="TableParagraph"/>
                          <w:spacing w:before="49"/>
                          <w:jc w:val="center"/>
                          <w:rPr>
                            <w:sz w:val="18"/>
                          </w:rPr>
                        </w:pPr>
                        <w:r>
                          <w:rPr>
                            <w:sz w:val="18"/>
                          </w:rPr>
                          <w:t>6</w:t>
                        </w:r>
                      </w:p>
                    </w:tc>
                    <w:tc>
                      <w:tcPr>
                        <w:tcW w:w="510" w:type="dxa"/>
                      </w:tcPr>
                      <w:p>
                        <w:pPr>
                          <w:pStyle w:val="TableParagraph"/>
                          <w:spacing w:before="49"/>
                          <w:jc w:val="center"/>
                          <w:rPr>
                            <w:sz w:val="18"/>
                          </w:rPr>
                        </w:pPr>
                        <w:r>
                          <w:rPr>
                            <w:sz w:val="18"/>
                          </w:rPr>
                          <w:t>6</w:t>
                        </w:r>
                      </w:p>
                    </w:tc>
                    <w:tc>
                      <w:tcPr>
                        <w:tcW w:w="510" w:type="dxa"/>
                      </w:tcPr>
                      <w:p>
                        <w:pPr>
                          <w:pStyle w:val="TableParagraph"/>
                          <w:spacing w:before="49"/>
                          <w:ind w:left="205"/>
                          <w:rPr>
                            <w:sz w:val="18"/>
                          </w:rPr>
                        </w:pPr>
                        <w:r>
                          <w:rPr>
                            <w:sz w:val="18"/>
                          </w:rPr>
                          <w:t>7</w:t>
                        </w:r>
                      </w:p>
                    </w:tc>
                    <w:tc>
                      <w:tcPr>
                        <w:tcW w:w="538" w:type="dxa"/>
                      </w:tcPr>
                      <w:p>
                        <w:pPr>
                          <w:pStyle w:val="TableParagraph"/>
                          <w:spacing w:before="49"/>
                          <w:ind w:right="1"/>
                          <w:jc w:val="center"/>
                          <w:rPr>
                            <w:sz w:val="18"/>
                          </w:rPr>
                        </w:pPr>
                        <w:r>
                          <w:rPr>
                            <w:sz w:val="18"/>
                          </w:rPr>
                          <w:t>7</w:t>
                        </w:r>
                      </w:p>
                    </w:tc>
                  </w:tr>
                  <w:tr>
                    <w:trPr>
                      <w:trHeight w:val="325" w:hRule="exact"/>
                    </w:trPr>
                    <w:tc>
                      <w:tcPr>
                        <w:tcW w:w="1097" w:type="dxa"/>
                      </w:tcPr>
                      <w:p>
                        <w:pPr>
                          <w:pStyle w:val="TableParagraph"/>
                          <w:spacing w:before="50"/>
                          <w:ind w:right="1"/>
                          <w:jc w:val="center"/>
                          <w:rPr>
                            <w:sz w:val="18"/>
                          </w:rPr>
                        </w:pPr>
                        <w:r>
                          <w:rPr>
                            <w:sz w:val="18"/>
                          </w:rPr>
                          <w:t>7</w:t>
                        </w:r>
                      </w:p>
                    </w:tc>
                    <w:tc>
                      <w:tcPr>
                        <w:tcW w:w="521" w:type="dxa"/>
                      </w:tcPr>
                      <w:p>
                        <w:pPr>
                          <w:pStyle w:val="TableParagraph"/>
                          <w:spacing w:before="50"/>
                          <w:ind w:right="1"/>
                          <w:jc w:val="center"/>
                          <w:rPr>
                            <w:sz w:val="18"/>
                          </w:rPr>
                        </w:pPr>
                        <w:r>
                          <w:rPr>
                            <w:sz w:val="18"/>
                          </w:rPr>
                          <w:t>5</w:t>
                        </w:r>
                      </w:p>
                    </w:tc>
                    <w:tc>
                      <w:tcPr>
                        <w:tcW w:w="509" w:type="dxa"/>
                      </w:tcPr>
                      <w:p>
                        <w:pPr>
                          <w:pStyle w:val="TableParagraph"/>
                          <w:spacing w:before="50"/>
                          <w:ind w:left="203"/>
                          <w:rPr>
                            <w:sz w:val="18"/>
                          </w:rPr>
                        </w:pPr>
                        <w:r>
                          <w:rPr>
                            <w:sz w:val="18"/>
                          </w:rPr>
                          <w:t>5</w:t>
                        </w:r>
                      </w:p>
                    </w:tc>
                    <w:tc>
                      <w:tcPr>
                        <w:tcW w:w="522" w:type="dxa"/>
                      </w:tcPr>
                      <w:p>
                        <w:pPr>
                          <w:pStyle w:val="TableParagraph"/>
                          <w:spacing w:before="50"/>
                          <w:jc w:val="center"/>
                          <w:rPr>
                            <w:sz w:val="18"/>
                          </w:rPr>
                        </w:pPr>
                        <w:r>
                          <w:rPr>
                            <w:sz w:val="18"/>
                          </w:rPr>
                          <w:t>6</w:t>
                        </w:r>
                      </w:p>
                    </w:tc>
                    <w:tc>
                      <w:tcPr>
                        <w:tcW w:w="534" w:type="dxa"/>
                      </w:tcPr>
                      <w:p>
                        <w:pPr>
                          <w:pStyle w:val="TableParagraph"/>
                          <w:spacing w:before="50"/>
                          <w:jc w:val="center"/>
                          <w:rPr>
                            <w:sz w:val="18"/>
                          </w:rPr>
                        </w:pPr>
                        <w:r>
                          <w:rPr>
                            <w:sz w:val="18"/>
                          </w:rPr>
                          <w:t>6</w:t>
                        </w:r>
                      </w:p>
                    </w:tc>
                    <w:tc>
                      <w:tcPr>
                        <w:tcW w:w="510" w:type="dxa"/>
                      </w:tcPr>
                      <w:p>
                        <w:pPr>
                          <w:pStyle w:val="TableParagraph"/>
                          <w:spacing w:before="50"/>
                          <w:jc w:val="center"/>
                          <w:rPr>
                            <w:sz w:val="18"/>
                          </w:rPr>
                        </w:pPr>
                        <w:r>
                          <w:rPr>
                            <w:sz w:val="18"/>
                          </w:rPr>
                          <w:t>7</w:t>
                        </w:r>
                      </w:p>
                    </w:tc>
                    <w:tc>
                      <w:tcPr>
                        <w:tcW w:w="510" w:type="dxa"/>
                      </w:tcPr>
                      <w:p>
                        <w:pPr>
                          <w:pStyle w:val="TableParagraph"/>
                          <w:spacing w:before="50"/>
                          <w:ind w:left="205"/>
                          <w:rPr>
                            <w:sz w:val="18"/>
                          </w:rPr>
                        </w:pPr>
                        <w:r>
                          <w:rPr>
                            <w:sz w:val="18"/>
                          </w:rPr>
                          <w:t>7</w:t>
                        </w:r>
                      </w:p>
                    </w:tc>
                    <w:tc>
                      <w:tcPr>
                        <w:tcW w:w="538" w:type="dxa"/>
                      </w:tcPr>
                      <w:p>
                        <w:pPr>
                          <w:pStyle w:val="TableParagraph"/>
                          <w:spacing w:before="50"/>
                          <w:ind w:right="1"/>
                          <w:jc w:val="center"/>
                          <w:rPr>
                            <w:sz w:val="18"/>
                          </w:rPr>
                        </w:pPr>
                        <w:r>
                          <w:rPr>
                            <w:sz w:val="18"/>
                          </w:rPr>
                          <w:t>7</w:t>
                        </w:r>
                      </w:p>
                    </w:tc>
                  </w:tr>
                  <w:tr>
                    <w:trPr>
                      <w:trHeight w:val="401" w:hRule="exact"/>
                    </w:trPr>
                    <w:tc>
                      <w:tcPr>
                        <w:tcW w:w="1097" w:type="dxa"/>
                      </w:tcPr>
                      <w:p>
                        <w:pPr>
                          <w:pStyle w:val="TableParagraph"/>
                          <w:spacing w:before="87"/>
                          <w:ind w:right="1"/>
                          <w:jc w:val="center"/>
                          <w:rPr>
                            <w:sz w:val="18"/>
                          </w:rPr>
                        </w:pPr>
                        <w:r>
                          <w:rPr>
                            <w:sz w:val="18"/>
                          </w:rPr>
                          <w:t>8</w:t>
                        </w:r>
                      </w:p>
                    </w:tc>
                    <w:tc>
                      <w:tcPr>
                        <w:tcW w:w="521" w:type="dxa"/>
                      </w:tcPr>
                      <w:p>
                        <w:pPr>
                          <w:pStyle w:val="TableParagraph"/>
                          <w:spacing w:before="87"/>
                          <w:ind w:right="1"/>
                          <w:jc w:val="center"/>
                          <w:rPr>
                            <w:sz w:val="18"/>
                          </w:rPr>
                        </w:pPr>
                        <w:r>
                          <w:rPr>
                            <w:sz w:val="18"/>
                          </w:rPr>
                          <w:t>5</w:t>
                        </w:r>
                      </w:p>
                    </w:tc>
                    <w:tc>
                      <w:tcPr>
                        <w:tcW w:w="509" w:type="dxa"/>
                      </w:tcPr>
                      <w:p>
                        <w:pPr>
                          <w:pStyle w:val="TableParagraph"/>
                          <w:spacing w:before="87"/>
                          <w:ind w:left="203"/>
                          <w:rPr>
                            <w:sz w:val="18"/>
                          </w:rPr>
                        </w:pPr>
                        <w:r>
                          <w:rPr>
                            <w:sz w:val="18"/>
                          </w:rPr>
                          <w:t>5</w:t>
                        </w:r>
                      </w:p>
                    </w:tc>
                    <w:tc>
                      <w:tcPr>
                        <w:tcW w:w="522" w:type="dxa"/>
                      </w:tcPr>
                      <w:p>
                        <w:pPr>
                          <w:pStyle w:val="TableParagraph"/>
                          <w:spacing w:before="87"/>
                          <w:jc w:val="center"/>
                          <w:rPr>
                            <w:sz w:val="18"/>
                          </w:rPr>
                        </w:pPr>
                        <w:r>
                          <w:rPr>
                            <w:sz w:val="18"/>
                          </w:rPr>
                          <w:t>6</w:t>
                        </w:r>
                      </w:p>
                    </w:tc>
                    <w:tc>
                      <w:tcPr>
                        <w:tcW w:w="534" w:type="dxa"/>
                      </w:tcPr>
                      <w:p>
                        <w:pPr>
                          <w:pStyle w:val="TableParagraph"/>
                          <w:spacing w:before="87"/>
                          <w:jc w:val="center"/>
                          <w:rPr>
                            <w:sz w:val="18"/>
                          </w:rPr>
                        </w:pPr>
                        <w:r>
                          <w:rPr>
                            <w:sz w:val="18"/>
                          </w:rPr>
                          <w:t>7</w:t>
                        </w:r>
                      </w:p>
                    </w:tc>
                    <w:tc>
                      <w:tcPr>
                        <w:tcW w:w="510" w:type="dxa"/>
                      </w:tcPr>
                      <w:p>
                        <w:pPr>
                          <w:pStyle w:val="TableParagraph"/>
                          <w:spacing w:before="87"/>
                          <w:jc w:val="center"/>
                          <w:rPr>
                            <w:sz w:val="18"/>
                          </w:rPr>
                        </w:pPr>
                        <w:r>
                          <w:rPr>
                            <w:sz w:val="18"/>
                          </w:rPr>
                          <w:t>7</w:t>
                        </w:r>
                      </w:p>
                    </w:tc>
                    <w:tc>
                      <w:tcPr>
                        <w:tcW w:w="510" w:type="dxa"/>
                      </w:tcPr>
                      <w:p>
                        <w:pPr>
                          <w:pStyle w:val="TableParagraph"/>
                          <w:spacing w:before="87"/>
                          <w:ind w:left="205"/>
                          <w:rPr>
                            <w:sz w:val="18"/>
                          </w:rPr>
                        </w:pPr>
                        <w:r>
                          <w:rPr>
                            <w:sz w:val="18"/>
                          </w:rPr>
                          <w:t>7</w:t>
                        </w:r>
                      </w:p>
                    </w:tc>
                    <w:tc>
                      <w:tcPr>
                        <w:tcW w:w="538" w:type="dxa"/>
                      </w:tcPr>
                      <w:p>
                        <w:pPr>
                          <w:pStyle w:val="TableParagraph"/>
                          <w:spacing w:before="87"/>
                          <w:ind w:right="1"/>
                          <w:jc w:val="center"/>
                          <w:rPr>
                            <w:sz w:val="18"/>
                          </w:rPr>
                        </w:pPr>
                        <w:r>
                          <w:rPr>
                            <w:sz w:val="18"/>
                          </w:rPr>
                          <w:t>7</w:t>
                        </w:r>
                      </w:p>
                    </w:tc>
                  </w:tr>
                </w:tbl>
                <w:p>
                  <w:pPr>
                    <w:pStyle w:val="BodyText"/>
                  </w:pPr>
                </w:p>
              </w:txbxContent>
            </v:textbox>
            <w10:wrap type="none"/>
          </v:shape>
        </w:pict>
      </w:r>
      <w:r>
        <w:rPr>
          <w:sz w:val="18"/>
        </w:rPr>
        <w:t>Finally, knowing the final score, and by Table 15, the level of action proposed by the RULA be obtained. So the evaluator determines whether the task is acceptable just as is defined. The evaluator will be able to identify potential ergonomic problems and determine the needs of redesigning the task or job. Definitively, the use of RULA method will allow to prioritize the jobs that should be investigated.[</w:t>
      </w:r>
      <w:r>
        <w:rPr>
          <w:spacing w:val="-5"/>
          <w:sz w:val="18"/>
        </w:rPr>
        <w:t> </w:t>
      </w:r>
      <w:r>
        <w:rPr>
          <w:sz w:val="18"/>
        </w:rPr>
        <w:t>13]</w:t>
      </w:r>
    </w:p>
    <w:p>
      <w:pPr>
        <w:spacing w:before="0"/>
        <w:ind w:left="270" w:right="676" w:firstLine="170"/>
        <w:jc w:val="both"/>
        <w:rPr>
          <w:sz w:val="18"/>
        </w:rPr>
      </w:pPr>
      <w:r>
        <w:rPr>
          <w:sz w:val="18"/>
        </w:rPr>
        <w:t>The magnitude of postural score as well as the scores of strength and muscle activity, indicate the evaluator aspects where they can find the ergonomic problems of the job, and therefore make appropriate recommendations to improve it.</w:t>
      </w:r>
    </w:p>
    <w:p>
      <w:pPr>
        <w:spacing w:before="0"/>
        <w:ind w:left="294" w:right="700" w:firstLine="136"/>
        <w:jc w:val="both"/>
        <w:rPr>
          <w:sz w:val="18"/>
        </w:rPr>
      </w:pPr>
      <w:r>
        <w:rPr/>
        <w:pict>
          <v:shape style="position:absolute;margin-left:318.119995pt;margin-top:31.322044pt;width:232.75pt;height:146.65pt;mso-position-horizontal-relative:page;mso-position-vertical-relative:paragraph;z-index:9784"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00"/>
                    <w:gridCol w:w="3440"/>
                  </w:tblGrid>
                  <w:tr>
                    <w:trPr>
                      <w:trHeight w:val="535" w:hRule="exact"/>
                    </w:trPr>
                    <w:tc>
                      <w:tcPr>
                        <w:tcW w:w="1200" w:type="dxa"/>
                      </w:tcPr>
                      <w:p>
                        <w:pPr>
                          <w:pStyle w:val="TableParagraph"/>
                          <w:spacing w:line="206" w:lineRule="exact"/>
                          <w:ind w:left="254" w:right="254"/>
                          <w:jc w:val="center"/>
                          <w:rPr>
                            <w:b/>
                            <w:sz w:val="18"/>
                          </w:rPr>
                        </w:pPr>
                        <w:r>
                          <w:rPr>
                            <w:b/>
                            <w:sz w:val="18"/>
                          </w:rPr>
                          <w:t>Level</w:t>
                        </w:r>
                      </w:p>
                    </w:tc>
                    <w:tc>
                      <w:tcPr>
                        <w:tcW w:w="3440" w:type="dxa"/>
                      </w:tcPr>
                      <w:p>
                        <w:pPr>
                          <w:pStyle w:val="TableParagraph"/>
                          <w:spacing w:line="206" w:lineRule="exact"/>
                          <w:ind w:left="1439" w:right="1440"/>
                          <w:jc w:val="center"/>
                          <w:rPr>
                            <w:b/>
                            <w:sz w:val="18"/>
                          </w:rPr>
                        </w:pPr>
                        <w:r>
                          <w:rPr>
                            <w:b/>
                            <w:sz w:val="18"/>
                          </w:rPr>
                          <w:t>Action</w:t>
                        </w:r>
                      </w:p>
                    </w:tc>
                  </w:tr>
                  <w:tr>
                    <w:trPr>
                      <w:trHeight w:val="438" w:hRule="exact"/>
                    </w:trPr>
                    <w:tc>
                      <w:tcPr>
                        <w:tcW w:w="1200" w:type="dxa"/>
                      </w:tcPr>
                      <w:p>
                        <w:pPr>
                          <w:pStyle w:val="TableParagraph"/>
                          <w:spacing w:line="202" w:lineRule="exact"/>
                          <w:ind w:right="1"/>
                          <w:jc w:val="center"/>
                          <w:rPr>
                            <w:sz w:val="18"/>
                          </w:rPr>
                        </w:pPr>
                        <w:r>
                          <w:rPr>
                            <w:sz w:val="18"/>
                          </w:rPr>
                          <w:t>1</w:t>
                        </w:r>
                      </w:p>
                    </w:tc>
                    <w:tc>
                      <w:tcPr>
                        <w:tcW w:w="3440" w:type="dxa"/>
                      </w:tcPr>
                      <w:p>
                        <w:pPr>
                          <w:pStyle w:val="TableParagraph"/>
                          <w:ind w:left="103" w:right="393"/>
                          <w:rPr>
                            <w:sz w:val="18"/>
                          </w:rPr>
                        </w:pPr>
                        <w:r>
                          <w:rPr>
                            <w:sz w:val="18"/>
                          </w:rPr>
                          <w:t>When the final score is 1 or 2 position is acceptable.</w:t>
                        </w:r>
                      </w:p>
                    </w:tc>
                  </w:tr>
                  <w:tr>
                    <w:trPr>
                      <w:trHeight w:val="967" w:hRule="exact"/>
                    </w:trPr>
                    <w:tc>
                      <w:tcPr>
                        <w:tcW w:w="1200" w:type="dxa"/>
                      </w:tcPr>
                      <w:p>
                        <w:pPr>
                          <w:pStyle w:val="TableParagraph"/>
                          <w:spacing w:line="202" w:lineRule="exact"/>
                          <w:ind w:right="1"/>
                          <w:jc w:val="center"/>
                          <w:rPr>
                            <w:sz w:val="18"/>
                          </w:rPr>
                        </w:pPr>
                        <w:r>
                          <w:rPr>
                            <w:sz w:val="18"/>
                          </w:rPr>
                          <w:t>2</w:t>
                        </w:r>
                      </w:p>
                    </w:tc>
                    <w:tc>
                      <w:tcPr>
                        <w:tcW w:w="3440" w:type="dxa"/>
                      </w:tcPr>
                      <w:p>
                        <w:pPr>
                          <w:pStyle w:val="TableParagraph"/>
                          <w:ind w:left="103" w:right="478"/>
                          <w:rPr>
                            <w:sz w:val="18"/>
                          </w:rPr>
                        </w:pPr>
                        <w:r>
                          <w:rPr>
                            <w:sz w:val="18"/>
                          </w:rPr>
                          <w:t>When the final score is 3 or 4 may be required changes to the task; is suitable depth study</w:t>
                        </w:r>
                      </w:p>
                    </w:tc>
                  </w:tr>
                  <w:tr>
                    <w:trPr>
                      <w:trHeight w:val="983" w:hRule="exact"/>
                    </w:trPr>
                    <w:tc>
                      <w:tcPr>
                        <w:tcW w:w="1200" w:type="dxa"/>
                      </w:tcPr>
                      <w:p>
                        <w:pPr>
                          <w:pStyle w:val="TableParagraph"/>
                          <w:spacing w:line="203" w:lineRule="exact"/>
                          <w:ind w:right="1"/>
                          <w:jc w:val="center"/>
                          <w:rPr>
                            <w:sz w:val="18"/>
                          </w:rPr>
                        </w:pPr>
                        <w:r>
                          <w:rPr>
                            <w:sz w:val="18"/>
                          </w:rPr>
                          <w:t>3</w:t>
                        </w:r>
                      </w:p>
                    </w:tc>
                    <w:tc>
                      <w:tcPr>
                        <w:tcW w:w="3440" w:type="dxa"/>
                      </w:tcPr>
                      <w:p>
                        <w:pPr>
                          <w:pStyle w:val="TableParagraph"/>
                          <w:ind w:left="103" w:right="403"/>
                          <w:rPr>
                            <w:sz w:val="18"/>
                          </w:rPr>
                        </w:pPr>
                        <w:r>
                          <w:rPr>
                            <w:sz w:val="18"/>
                          </w:rPr>
                          <w:t>The final score is 5 or 6. redesigning the task required; is necessary to conduct research.</w:t>
                        </w:r>
                      </w:p>
                    </w:tc>
                  </w:tr>
                </w:tbl>
                <w:p>
                  <w:pPr>
                    <w:pStyle w:val="BodyText"/>
                  </w:pPr>
                </w:p>
              </w:txbxContent>
            </v:textbox>
            <w10:wrap type="none"/>
          </v:shape>
        </w:pict>
      </w:r>
      <w:r>
        <w:rPr>
          <w:sz w:val="18"/>
        </w:rPr>
        <w:t>Tabla 15. Action Level. Source. (Ergonautas. Departamento de Proyectos de Ingeniería de la Universidad Politécnica de Valencia)</w:t>
      </w:r>
    </w:p>
    <w:p>
      <w:pPr>
        <w:spacing w:after="0"/>
        <w:jc w:val="both"/>
        <w:rPr>
          <w:sz w:val="18"/>
        </w:rPr>
        <w:sectPr>
          <w:type w:val="continuous"/>
          <w:pgSz w:w="12240" w:h="15840"/>
          <w:pgMar w:top="1500" w:bottom="280" w:left="580" w:right="220"/>
          <w:cols w:num="2" w:equalWidth="0">
            <w:col w:w="5190" w:space="434"/>
            <w:col w:w="5816"/>
          </w:cols>
        </w:sectPr>
      </w:pPr>
    </w:p>
    <w:tbl>
      <w:tblPr>
        <w:tblW w:w="0" w:type="auto"/>
        <w:jc w:val="left"/>
        <w:tblInd w:w="2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661"/>
        <w:gridCol w:w="3220"/>
      </w:tblGrid>
      <w:tr>
        <w:trPr>
          <w:trHeight w:val="335" w:hRule="exact"/>
        </w:trPr>
        <w:tc>
          <w:tcPr>
            <w:tcW w:w="1661" w:type="dxa"/>
          </w:tcPr>
          <w:p>
            <w:pPr>
              <w:pStyle w:val="TableParagraph"/>
              <w:spacing w:before="52"/>
              <w:ind w:left="560" w:right="560"/>
              <w:jc w:val="center"/>
              <w:rPr>
                <w:b/>
                <w:sz w:val="18"/>
              </w:rPr>
            </w:pPr>
            <w:r>
              <w:rPr>
                <w:b/>
                <w:sz w:val="18"/>
              </w:rPr>
              <w:t>Points</w:t>
            </w:r>
          </w:p>
        </w:tc>
        <w:tc>
          <w:tcPr>
            <w:tcW w:w="3220" w:type="dxa"/>
          </w:tcPr>
          <w:p>
            <w:pPr>
              <w:pStyle w:val="TableParagraph"/>
              <w:spacing w:before="52"/>
              <w:ind w:left="1270" w:right="1269"/>
              <w:jc w:val="center"/>
              <w:rPr>
                <w:b/>
                <w:sz w:val="18"/>
              </w:rPr>
            </w:pPr>
            <w:r>
              <w:rPr>
                <w:b/>
                <w:sz w:val="18"/>
              </w:rPr>
              <w:t>Position</w:t>
            </w:r>
          </w:p>
        </w:tc>
      </w:tr>
      <w:tr>
        <w:trPr>
          <w:trHeight w:val="545" w:hRule="exact"/>
        </w:trPr>
        <w:tc>
          <w:tcPr>
            <w:tcW w:w="1661" w:type="dxa"/>
          </w:tcPr>
          <w:p>
            <w:pPr>
              <w:pStyle w:val="TableParagraph"/>
              <w:spacing w:before="154"/>
              <w:ind w:left="1"/>
              <w:jc w:val="center"/>
              <w:rPr>
                <w:sz w:val="18"/>
              </w:rPr>
            </w:pPr>
            <w:r>
              <w:rPr>
                <w:sz w:val="18"/>
              </w:rPr>
              <w:t>0</w:t>
            </w:r>
          </w:p>
        </w:tc>
        <w:tc>
          <w:tcPr>
            <w:tcW w:w="3220" w:type="dxa"/>
          </w:tcPr>
          <w:p>
            <w:pPr>
              <w:pStyle w:val="TableParagraph"/>
              <w:ind w:left="60" w:right="136"/>
              <w:rPr>
                <w:sz w:val="18"/>
              </w:rPr>
            </w:pPr>
            <w:r>
              <w:rPr>
                <w:sz w:val="18"/>
              </w:rPr>
              <w:t>If the load or force is less than 2 Kg. And is performed intermittently.</w:t>
            </w:r>
          </w:p>
        </w:tc>
      </w:tr>
      <w:tr>
        <w:trPr>
          <w:trHeight w:val="545" w:hRule="exact"/>
        </w:trPr>
        <w:tc>
          <w:tcPr>
            <w:tcW w:w="1661" w:type="dxa"/>
          </w:tcPr>
          <w:p>
            <w:pPr>
              <w:pStyle w:val="TableParagraph"/>
              <w:spacing w:before="154"/>
              <w:ind w:left="1"/>
              <w:jc w:val="center"/>
              <w:rPr>
                <w:sz w:val="18"/>
              </w:rPr>
            </w:pPr>
            <w:r>
              <w:rPr>
                <w:sz w:val="18"/>
              </w:rPr>
              <w:t>1</w:t>
            </w:r>
          </w:p>
        </w:tc>
        <w:tc>
          <w:tcPr>
            <w:tcW w:w="3220" w:type="dxa"/>
          </w:tcPr>
          <w:p>
            <w:pPr>
              <w:pStyle w:val="TableParagraph"/>
              <w:ind w:left="60" w:right="296"/>
              <w:rPr>
                <w:sz w:val="18"/>
              </w:rPr>
            </w:pPr>
            <w:r>
              <w:rPr>
                <w:sz w:val="18"/>
              </w:rPr>
              <w:t>If the load or force is between 2 and 10 Kg. And rises intermittently.</w:t>
            </w:r>
          </w:p>
        </w:tc>
      </w:tr>
      <w:tr>
        <w:trPr>
          <w:trHeight w:val="545" w:hRule="exact"/>
        </w:trPr>
        <w:tc>
          <w:tcPr>
            <w:tcW w:w="1661" w:type="dxa"/>
          </w:tcPr>
          <w:p>
            <w:pPr>
              <w:pStyle w:val="TableParagraph"/>
              <w:spacing w:before="154"/>
              <w:ind w:left="1"/>
              <w:jc w:val="center"/>
              <w:rPr>
                <w:sz w:val="18"/>
              </w:rPr>
            </w:pPr>
            <w:r>
              <w:rPr>
                <w:sz w:val="18"/>
              </w:rPr>
              <w:t>2</w:t>
            </w:r>
          </w:p>
        </w:tc>
        <w:tc>
          <w:tcPr>
            <w:tcW w:w="3220" w:type="dxa"/>
          </w:tcPr>
          <w:p>
            <w:pPr>
              <w:pStyle w:val="TableParagraph"/>
              <w:ind w:left="60" w:right="296"/>
              <w:rPr>
                <w:sz w:val="18"/>
              </w:rPr>
            </w:pPr>
            <w:r>
              <w:rPr>
                <w:sz w:val="18"/>
              </w:rPr>
              <w:t>If the load or force is between 2 and 10 kg. And is static or repetitive.</w:t>
            </w:r>
          </w:p>
        </w:tc>
      </w:tr>
      <w:tr>
        <w:trPr>
          <w:trHeight w:val="545" w:hRule="exact"/>
        </w:trPr>
        <w:tc>
          <w:tcPr>
            <w:tcW w:w="1661" w:type="dxa"/>
          </w:tcPr>
          <w:p>
            <w:pPr>
              <w:pStyle w:val="TableParagraph"/>
              <w:spacing w:before="156"/>
              <w:ind w:left="1"/>
              <w:jc w:val="center"/>
              <w:rPr>
                <w:sz w:val="18"/>
              </w:rPr>
            </w:pPr>
            <w:r>
              <w:rPr>
                <w:sz w:val="18"/>
              </w:rPr>
              <w:t>2</w:t>
            </w:r>
          </w:p>
        </w:tc>
        <w:tc>
          <w:tcPr>
            <w:tcW w:w="3220" w:type="dxa"/>
          </w:tcPr>
          <w:p>
            <w:pPr>
              <w:pStyle w:val="TableParagraph"/>
              <w:ind w:left="60" w:right="416"/>
              <w:rPr>
                <w:sz w:val="18"/>
              </w:rPr>
            </w:pPr>
            <w:r>
              <w:rPr>
                <w:sz w:val="18"/>
              </w:rPr>
              <w:t>If the load or force is intermittent and more than 10 Kg.</w:t>
            </w:r>
          </w:p>
        </w:tc>
      </w:tr>
    </w:tbl>
    <w:p>
      <w:pPr>
        <w:spacing w:after="0"/>
        <w:rPr>
          <w:sz w:val="18"/>
        </w:rPr>
        <w:sectPr>
          <w:type w:val="continuous"/>
          <w:pgSz w:w="12240" w:h="15840"/>
          <w:pgMar w:top="1500" w:bottom="280" w:left="580" w:right="220"/>
        </w:sectPr>
      </w:pPr>
    </w:p>
    <w:p>
      <w:pPr>
        <w:pStyle w:val="BodyText"/>
        <w:rPr>
          <w:sz w:val="11"/>
        </w:rPr>
      </w:pPr>
    </w:p>
    <w:p>
      <w:pPr>
        <w:spacing w:line="242" w:lineRule="auto" w:before="77"/>
        <w:ind w:left="6475" w:right="677" w:firstLine="170"/>
        <w:jc w:val="both"/>
        <w:rPr>
          <w:b/>
          <w:sz w:val="18"/>
        </w:rPr>
      </w:pPr>
      <w:r>
        <w:rPr/>
        <w:pict>
          <v:group style="position:absolute;margin-left:36.650002pt;margin-top:3.841748pt;width:233pt;height:30.2pt;mso-position-horizontal-relative:page;mso-position-vertical-relative:paragraph;z-index:9880" coordorigin="733,77" coordsize="4660,604">
            <v:line style="position:absolute" from="738,87" to="5388,87" stroked="true" strokeweight=".47998pt" strokecolor="#000000"/>
            <v:line style="position:absolute" from="743,82" to="743,676" stroked="true" strokeweight=".47998pt" strokecolor="#000000"/>
            <v:line style="position:absolute" from="738,671" to="1938,671" stroked="true" strokeweight=".47998pt" strokecolor="#000000"/>
            <v:line style="position:absolute" from="1943,91" to="1943,676" stroked="true" strokeweight=".48pt" strokecolor="#000000"/>
            <v:line style="position:absolute" from="1948,671" to="5378,671" stroked="true" strokeweight=".47998pt" strokecolor="#000000"/>
            <v:line style="position:absolute" from="5383,82" to="5383,676" stroked="true" strokeweight=".47998pt" strokecolor="#000000"/>
            <v:shape style="position:absolute;left:1297;top:110;width:90;height:180" type="#_x0000_t202" filled="false" stroked="false">
              <v:textbox inset="0,0,0,0">
                <w:txbxContent>
                  <w:p>
                    <w:pPr>
                      <w:spacing w:line="180" w:lineRule="exact" w:before="0"/>
                      <w:ind w:left="0" w:right="0" w:firstLine="0"/>
                      <w:jc w:val="left"/>
                      <w:rPr>
                        <w:sz w:val="18"/>
                      </w:rPr>
                    </w:pPr>
                    <w:r>
                      <w:rPr>
                        <w:sz w:val="18"/>
                      </w:rPr>
                      <w:t>4</w:t>
                    </w:r>
                  </w:p>
                </w:txbxContent>
              </v:textbox>
              <w10:wrap type="none"/>
            </v:shape>
            <v:shape style="position:absolute;left:1943;top:87;width:3441;height:585" type="#_x0000_t202" filled="false" stroked="false">
              <v:textbox inset="0,0,0,0">
                <w:txbxContent>
                  <w:p>
                    <w:pPr>
                      <w:spacing w:before="0"/>
                      <w:ind w:left="108" w:right="454" w:firstLine="0"/>
                      <w:jc w:val="left"/>
                      <w:rPr>
                        <w:sz w:val="18"/>
                      </w:rPr>
                    </w:pPr>
                    <w:r>
                      <w:rPr>
                        <w:sz w:val="18"/>
                      </w:rPr>
                      <w:t>The final score is 7. Urgent changes are required in the job or task.</w:t>
                    </w:r>
                  </w:p>
                </w:txbxContent>
              </v:textbox>
              <w10:wrap type="none"/>
            </v:shape>
            <w10:wrap type="none"/>
          </v:group>
        </w:pict>
      </w:r>
      <w:r>
        <w:rPr>
          <w:sz w:val="18"/>
        </w:rPr>
        <w:t>Table 18 presents the calculation of lifting index obtained with the Recommended Maximium Weights and actual load, which is  </w:t>
      </w:r>
      <w:r>
        <w:rPr>
          <w:b/>
          <w:sz w:val="18"/>
        </w:rPr>
        <w:t>25</w:t>
      </w:r>
      <w:r>
        <w:rPr>
          <w:b/>
          <w:spacing w:val="-4"/>
          <w:sz w:val="18"/>
        </w:rPr>
        <w:t> </w:t>
      </w:r>
      <w:r>
        <w:rPr>
          <w:b/>
          <w:sz w:val="18"/>
        </w:rPr>
        <w:t>kg.</w:t>
      </w:r>
    </w:p>
    <w:p>
      <w:pPr>
        <w:pStyle w:val="BodyText"/>
        <w:spacing w:before="9"/>
        <w:rPr>
          <w:b/>
          <w:sz w:val="26"/>
        </w:rPr>
      </w:pPr>
    </w:p>
    <w:p>
      <w:pPr>
        <w:spacing w:after="0"/>
        <w:rPr>
          <w:sz w:val="26"/>
        </w:rPr>
        <w:sectPr>
          <w:pgSz w:w="12240" w:h="15840"/>
          <w:pgMar w:header="545" w:footer="852" w:top="1060" w:bottom="1040" w:left="0" w:right="220"/>
        </w:sectPr>
      </w:pPr>
    </w:p>
    <w:p>
      <w:pPr>
        <w:pStyle w:val="ListParagraph"/>
        <w:numPr>
          <w:ilvl w:val="0"/>
          <w:numId w:val="81"/>
        </w:numPr>
        <w:tabs>
          <w:tab w:pos="1032" w:val="left" w:leader="none"/>
        </w:tabs>
        <w:spacing w:line="240" w:lineRule="auto" w:before="77" w:after="0"/>
        <w:ind w:left="1031" w:right="0" w:hanging="181"/>
        <w:jc w:val="both"/>
        <w:rPr>
          <w:b/>
          <w:sz w:val="18"/>
        </w:rPr>
      </w:pPr>
      <w:r>
        <w:rPr>
          <w:b/>
          <w:sz w:val="18"/>
        </w:rPr>
        <w:t>RESULTS</w:t>
      </w:r>
    </w:p>
    <w:p>
      <w:pPr>
        <w:pStyle w:val="BodyText"/>
        <w:rPr>
          <w:b/>
          <w:sz w:val="18"/>
        </w:rPr>
      </w:pPr>
    </w:p>
    <w:p>
      <w:pPr>
        <w:spacing w:line="205" w:lineRule="exact" w:before="0"/>
        <w:ind w:left="850" w:right="0" w:firstLine="0"/>
        <w:jc w:val="both"/>
        <w:rPr>
          <w:b/>
          <w:sz w:val="18"/>
        </w:rPr>
      </w:pPr>
      <w:r>
        <w:rPr>
          <w:b/>
          <w:sz w:val="18"/>
        </w:rPr>
        <w:t>NIOSH EQUATION</w:t>
      </w:r>
    </w:p>
    <w:p>
      <w:pPr>
        <w:spacing w:before="0"/>
        <w:ind w:left="850" w:right="0" w:firstLine="0"/>
        <w:jc w:val="both"/>
        <w:rPr>
          <w:sz w:val="18"/>
        </w:rPr>
      </w:pPr>
      <w:r>
        <w:rPr/>
        <w:drawing>
          <wp:anchor distT="0" distB="0" distL="0" distR="0" allowOverlap="1" layoutInCell="1" locked="0" behindDoc="1" simplePos="0" relativeHeight="267566543">
            <wp:simplePos x="0" y="0"/>
            <wp:positionH relativeFrom="page">
              <wp:posOffset>731519</wp:posOffset>
            </wp:positionH>
            <wp:positionV relativeFrom="paragraph">
              <wp:posOffset>664497</wp:posOffset>
            </wp:positionV>
            <wp:extent cx="2743200" cy="1764792"/>
            <wp:effectExtent l="0" t="0" r="0" b="0"/>
            <wp:wrapNone/>
            <wp:docPr id="359" name="image215.jpeg" descr=""/>
            <wp:cNvGraphicFramePr>
              <a:graphicFrameLocks noChangeAspect="1"/>
            </wp:cNvGraphicFramePr>
            <a:graphic>
              <a:graphicData uri="http://schemas.openxmlformats.org/drawingml/2006/picture">
                <pic:pic>
                  <pic:nvPicPr>
                    <pic:cNvPr id="360" name="image215.jpeg"/>
                    <pic:cNvPicPr/>
                  </pic:nvPicPr>
                  <pic:blipFill>
                    <a:blip r:embed="rId351" cstate="print"/>
                    <a:stretch>
                      <a:fillRect/>
                    </a:stretch>
                  </pic:blipFill>
                  <pic:spPr>
                    <a:xfrm>
                      <a:off x="0" y="0"/>
                      <a:ext cx="2743200" cy="1764792"/>
                    </a:xfrm>
                    <a:prstGeom prst="rect">
                      <a:avLst/>
                    </a:prstGeom>
                  </pic:spPr>
                </pic:pic>
              </a:graphicData>
            </a:graphic>
          </wp:anchor>
        </w:drawing>
      </w:r>
      <w:r>
        <w:rPr>
          <w:sz w:val="18"/>
        </w:rPr>
        <w:t>The measures necessary for the calculation of multipliers were determined (origin and destination). These were: horizontal distance, vertical distance, displacement, angle, frequency and type of grip (see Figure</w:t>
      </w:r>
      <w:r>
        <w:rPr>
          <w:spacing w:val="-6"/>
          <w:sz w:val="18"/>
        </w:rPr>
        <w:t> </w:t>
      </w:r>
      <w:r>
        <w:rPr>
          <w:sz w:val="18"/>
        </w:rPr>
        <w:t>7).</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spacing w:line="410" w:lineRule="atLeast" w:before="107"/>
        <w:ind w:left="1021" w:right="1" w:firstLine="235"/>
        <w:jc w:val="left"/>
        <w:rPr>
          <w:sz w:val="18"/>
        </w:rPr>
      </w:pPr>
      <w:r>
        <w:rPr>
          <w:sz w:val="18"/>
        </w:rPr>
        <w:t>Figure 7. Measures of factors (Source. Own Elaboration) Table 16 shows the grouped data obtained in the task of rectified,</w:t>
      </w:r>
    </w:p>
    <w:p>
      <w:pPr>
        <w:spacing w:line="206" w:lineRule="exact" w:before="0"/>
        <w:ind w:left="850" w:right="0" w:firstLine="0"/>
        <w:jc w:val="both"/>
        <w:rPr>
          <w:sz w:val="18"/>
        </w:rPr>
      </w:pPr>
      <w:r>
        <w:rPr>
          <w:sz w:val="18"/>
        </w:rPr>
        <w:t>dividing them into origin and destination.</w:t>
      </w:r>
    </w:p>
    <w:p>
      <w:pPr>
        <w:pStyle w:val="BodyText"/>
        <w:rPr>
          <w:sz w:val="18"/>
        </w:rPr>
      </w:pPr>
    </w:p>
    <w:p>
      <w:pPr>
        <w:pStyle w:val="BodyText"/>
        <w:spacing w:before="4"/>
        <w:rPr>
          <w:sz w:val="18"/>
        </w:rPr>
      </w:pPr>
    </w:p>
    <w:p>
      <w:pPr>
        <w:spacing w:line="205" w:lineRule="exact" w:before="0"/>
        <w:ind w:left="991" w:right="141" w:firstLine="0"/>
        <w:jc w:val="center"/>
        <w:rPr>
          <w:b/>
          <w:sz w:val="18"/>
        </w:rPr>
      </w:pPr>
      <w:r>
        <w:rPr>
          <w:b/>
          <w:sz w:val="18"/>
        </w:rPr>
        <w:t>Table 16. Origin and Destination Data for NIOSH Equation</w:t>
      </w:r>
    </w:p>
    <w:p>
      <w:pPr>
        <w:spacing w:line="205" w:lineRule="exact" w:before="0"/>
        <w:ind w:left="991" w:right="141" w:firstLine="0"/>
        <w:jc w:val="center"/>
        <w:rPr>
          <w:sz w:val="18"/>
        </w:rPr>
      </w:pPr>
      <w:r>
        <w:rPr>
          <w:sz w:val="18"/>
        </w:rPr>
        <w:t>(Source. Own Elaboration)</w:t>
      </w:r>
    </w:p>
    <w:p>
      <w:pPr>
        <w:spacing w:before="100"/>
        <w:ind w:left="996" w:right="0" w:firstLine="0"/>
        <w:jc w:val="left"/>
        <w:rPr>
          <w:sz w:val="18"/>
        </w:rPr>
      </w:pPr>
      <w:r>
        <w:rPr/>
        <w:br w:type="column"/>
      </w:r>
      <w:r>
        <w:rPr>
          <w:b/>
          <w:sz w:val="18"/>
        </w:rPr>
        <w:t>Table 18.  Lifting Index (IL). </w:t>
      </w:r>
      <w:r>
        <w:rPr>
          <w:sz w:val="18"/>
        </w:rPr>
        <w:t>(Source. Own Elaboration)</w:t>
      </w:r>
    </w:p>
    <w:p>
      <w:pPr>
        <w:pStyle w:val="BodyText"/>
        <w:spacing w:before="2"/>
        <w:rPr>
          <w:sz w:val="11"/>
        </w:rPr>
      </w:pPr>
    </w:p>
    <w:tbl>
      <w:tblPr>
        <w:tblW w:w="0" w:type="auto"/>
        <w:jc w:val="left"/>
        <w:tblInd w:w="53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351"/>
        <w:gridCol w:w="822"/>
        <w:gridCol w:w="780"/>
        <w:gridCol w:w="892"/>
        <w:gridCol w:w="1214"/>
      </w:tblGrid>
      <w:tr>
        <w:trPr>
          <w:trHeight w:val="641" w:hRule="exact"/>
        </w:trPr>
        <w:tc>
          <w:tcPr>
            <w:tcW w:w="1351" w:type="dxa"/>
          </w:tcPr>
          <w:p>
            <w:pPr>
              <w:pStyle w:val="TableParagraph"/>
              <w:spacing w:before="10"/>
              <w:rPr>
                <w:sz w:val="17"/>
              </w:rPr>
            </w:pPr>
          </w:p>
          <w:p>
            <w:pPr>
              <w:pStyle w:val="TableParagraph"/>
              <w:ind w:left="40" w:right="40"/>
              <w:jc w:val="center"/>
              <w:rPr>
                <w:rFonts w:ascii="Arial"/>
                <w:sz w:val="18"/>
              </w:rPr>
            </w:pPr>
            <w:r>
              <w:rPr>
                <w:rFonts w:ascii="Arial"/>
                <w:sz w:val="18"/>
              </w:rPr>
              <w:t>ORIGIN</w:t>
            </w:r>
          </w:p>
        </w:tc>
        <w:tc>
          <w:tcPr>
            <w:tcW w:w="822" w:type="dxa"/>
            <w:vMerge w:val="restart"/>
          </w:tcPr>
          <w:p>
            <w:pPr>
              <w:pStyle w:val="TableParagraph"/>
              <w:rPr>
                <w:sz w:val="18"/>
              </w:rPr>
            </w:pPr>
          </w:p>
          <w:p>
            <w:pPr>
              <w:pStyle w:val="TableParagraph"/>
              <w:spacing w:before="8"/>
              <w:rPr>
                <w:sz w:val="18"/>
              </w:rPr>
            </w:pPr>
          </w:p>
          <w:p>
            <w:pPr>
              <w:pStyle w:val="TableParagraph"/>
              <w:spacing w:before="1"/>
              <w:ind w:left="103" w:right="84" w:firstLine="57"/>
              <w:rPr>
                <w:rFonts w:ascii="Arial"/>
                <w:b/>
                <w:sz w:val="18"/>
              </w:rPr>
            </w:pPr>
            <w:r>
              <w:rPr>
                <w:rFonts w:ascii="Arial"/>
                <w:sz w:val="18"/>
              </w:rPr>
              <w:t>Lifting Index </w:t>
            </w:r>
            <w:r>
              <w:rPr>
                <w:rFonts w:ascii="Arial"/>
                <w:b/>
                <w:sz w:val="18"/>
              </w:rPr>
              <w:t>=</w:t>
            </w:r>
          </w:p>
        </w:tc>
        <w:tc>
          <w:tcPr>
            <w:tcW w:w="780" w:type="dxa"/>
            <w:vMerge w:val="restart"/>
          </w:tcPr>
          <w:p>
            <w:pPr>
              <w:pStyle w:val="TableParagraph"/>
              <w:rPr>
                <w:sz w:val="18"/>
              </w:rPr>
            </w:pPr>
          </w:p>
          <w:p>
            <w:pPr>
              <w:pStyle w:val="TableParagraph"/>
              <w:spacing w:before="112"/>
              <w:ind w:left="102" w:right="98" w:hanging="2"/>
              <w:jc w:val="both"/>
              <w:rPr>
                <w:rFonts w:ascii="Arial"/>
                <w:sz w:val="18"/>
              </w:rPr>
            </w:pPr>
            <w:r>
              <w:rPr>
                <w:rFonts w:ascii="Arial"/>
                <w:sz w:val="18"/>
              </w:rPr>
              <w:t>Weight object</w:t>
            </w:r>
            <w:r>
              <w:rPr>
                <w:rFonts w:ascii="Arial"/>
                <w:b/>
                <w:sz w:val="18"/>
              </w:rPr>
              <w:t>/ </w:t>
            </w:r>
            <w:r>
              <w:rPr>
                <w:rFonts w:ascii="Arial"/>
                <w:sz w:val="18"/>
              </w:rPr>
              <w:t>PMR =</w:t>
            </w:r>
          </w:p>
        </w:tc>
        <w:tc>
          <w:tcPr>
            <w:tcW w:w="892" w:type="dxa"/>
          </w:tcPr>
          <w:p>
            <w:pPr>
              <w:pStyle w:val="TableParagraph"/>
              <w:spacing w:before="10"/>
              <w:rPr>
                <w:sz w:val="17"/>
              </w:rPr>
            </w:pPr>
          </w:p>
          <w:p>
            <w:pPr>
              <w:pStyle w:val="TableParagraph"/>
              <w:ind w:right="58"/>
              <w:jc w:val="right"/>
              <w:rPr>
                <w:rFonts w:ascii="Arial"/>
                <w:sz w:val="18"/>
              </w:rPr>
            </w:pPr>
            <w:r>
              <w:rPr>
                <w:rFonts w:ascii="Arial"/>
                <w:sz w:val="18"/>
              </w:rPr>
              <w:t>3.754021</w:t>
            </w:r>
          </w:p>
        </w:tc>
        <w:tc>
          <w:tcPr>
            <w:tcW w:w="1214" w:type="dxa"/>
          </w:tcPr>
          <w:p>
            <w:pPr>
              <w:pStyle w:val="TableParagraph"/>
              <w:ind w:left="171" w:right="172" w:firstLine="3"/>
              <w:jc w:val="center"/>
              <w:rPr>
                <w:rFonts w:ascii="Arial"/>
                <w:sz w:val="18"/>
              </w:rPr>
            </w:pPr>
            <w:r>
              <w:rPr>
                <w:rFonts w:ascii="Arial"/>
                <w:color w:val="FF0000"/>
                <w:sz w:val="18"/>
              </w:rPr>
              <w:t>Increased risk dangerous</w:t>
            </w:r>
          </w:p>
        </w:tc>
      </w:tr>
      <w:tr>
        <w:trPr>
          <w:trHeight w:val="642" w:hRule="exact"/>
        </w:trPr>
        <w:tc>
          <w:tcPr>
            <w:tcW w:w="1351" w:type="dxa"/>
          </w:tcPr>
          <w:p>
            <w:pPr>
              <w:pStyle w:val="TableParagraph"/>
              <w:spacing w:before="10"/>
              <w:rPr>
                <w:sz w:val="17"/>
              </w:rPr>
            </w:pPr>
          </w:p>
          <w:p>
            <w:pPr>
              <w:pStyle w:val="TableParagraph"/>
              <w:ind w:left="40" w:right="40"/>
              <w:jc w:val="center"/>
              <w:rPr>
                <w:rFonts w:ascii="Arial"/>
                <w:sz w:val="18"/>
              </w:rPr>
            </w:pPr>
            <w:r>
              <w:rPr>
                <w:rFonts w:ascii="Arial"/>
                <w:sz w:val="18"/>
              </w:rPr>
              <w:t>DESTINATION</w:t>
            </w:r>
          </w:p>
        </w:tc>
        <w:tc>
          <w:tcPr>
            <w:tcW w:w="822" w:type="dxa"/>
            <w:vMerge/>
          </w:tcPr>
          <w:p>
            <w:pPr/>
          </w:p>
        </w:tc>
        <w:tc>
          <w:tcPr>
            <w:tcW w:w="780" w:type="dxa"/>
            <w:vMerge/>
          </w:tcPr>
          <w:p>
            <w:pPr/>
          </w:p>
        </w:tc>
        <w:tc>
          <w:tcPr>
            <w:tcW w:w="892" w:type="dxa"/>
          </w:tcPr>
          <w:p>
            <w:pPr>
              <w:pStyle w:val="TableParagraph"/>
              <w:spacing w:before="10"/>
              <w:rPr>
                <w:sz w:val="17"/>
              </w:rPr>
            </w:pPr>
          </w:p>
          <w:p>
            <w:pPr>
              <w:pStyle w:val="TableParagraph"/>
              <w:ind w:right="59"/>
              <w:jc w:val="right"/>
              <w:rPr>
                <w:rFonts w:ascii="Arial"/>
                <w:sz w:val="18"/>
              </w:rPr>
            </w:pPr>
            <w:r>
              <w:rPr>
                <w:rFonts w:ascii="Arial"/>
                <w:sz w:val="18"/>
              </w:rPr>
              <w:t>3.642117</w:t>
            </w:r>
          </w:p>
        </w:tc>
        <w:tc>
          <w:tcPr>
            <w:tcW w:w="1214" w:type="dxa"/>
          </w:tcPr>
          <w:p>
            <w:pPr>
              <w:pStyle w:val="TableParagraph"/>
              <w:ind w:left="171" w:right="172" w:firstLine="3"/>
              <w:jc w:val="center"/>
              <w:rPr>
                <w:rFonts w:ascii="Arial"/>
                <w:sz w:val="18"/>
              </w:rPr>
            </w:pPr>
            <w:r>
              <w:rPr>
                <w:rFonts w:ascii="Arial"/>
                <w:color w:val="FF0000"/>
                <w:sz w:val="18"/>
              </w:rPr>
              <w:t>Increased risk dangerous</w:t>
            </w:r>
          </w:p>
        </w:tc>
      </w:tr>
    </w:tbl>
    <w:p>
      <w:pPr>
        <w:pStyle w:val="BodyText"/>
        <w:rPr>
          <w:sz w:val="18"/>
        </w:rPr>
      </w:pPr>
    </w:p>
    <w:p>
      <w:pPr>
        <w:pStyle w:val="BodyText"/>
        <w:spacing w:before="10"/>
        <w:rPr>
          <w:sz w:val="17"/>
        </w:rPr>
      </w:pPr>
    </w:p>
    <w:p>
      <w:pPr>
        <w:spacing w:before="0"/>
        <w:ind w:left="666" w:right="0" w:firstLine="0"/>
        <w:jc w:val="left"/>
        <w:rPr>
          <w:b/>
          <w:sz w:val="18"/>
        </w:rPr>
      </w:pPr>
      <w:r>
        <w:rPr>
          <w:b/>
          <w:sz w:val="18"/>
        </w:rPr>
        <w:t>RULA METHOD</w:t>
      </w:r>
    </w:p>
    <w:p>
      <w:pPr>
        <w:pStyle w:val="BodyText"/>
        <w:rPr>
          <w:b/>
        </w:rPr>
      </w:pPr>
    </w:p>
    <w:p>
      <w:pPr>
        <w:pStyle w:val="BodyText"/>
        <w:spacing w:before="7"/>
        <w:rPr>
          <w:b/>
          <w:sz w:val="12"/>
        </w:rPr>
      </w:pPr>
      <w:r>
        <w:rPr/>
        <w:drawing>
          <wp:anchor distT="0" distB="0" distL="0" distR="0" allowOverlap="1" layoutInCell="1" locked="0" behindDoc="0" simplePos="0" relativeHeight="9808">
            <wp:simplePos x="0" y="0"/>
            <wp:positionH relativeFrom="page">
              <wp:posOffset>4342638</wp:posOffset>
            </wp:positionH>
            <wp:positionV relativeFrom="paragraph">
              <wp:posOffset>117266</wp:posOffset>
            </wp:positionV>
            <wp:extent cx="2609853" cy="2099691"/>
            <wp:effectExtent l="0" t="0" r="0" b="0"/>
            <wp:wrapTopAndBottom/>
            <wp:docPr id="361" name="image216.jpeg" descr=""/>
            <wp:cNvGraphicFramePr>
              <a:graphicFrameLocks noChangeAspect="1"/>
            </wp:cNvGraphicFramePr>
            <a:graphic>
              <a:graphicData uri="http://schemas.openxmlformats.org/drawingml/2006/picture">
                <pic:pic>
                  <pic:nvPicPr>
                    <pic:cNvPr id="362" name="image216.jpeg"/>
                    <pic:cNvPicPr/>
                  </pic:nvPicPr>
                  <pic:blipFill>
                    <a:blip r:embed="rId352" cstate="print"/>
                    <a:stretch>
                      <a:fillRect/>
                    </a:stretch>
                  </pic:blipFill>
                  <pic:spPr>
                    <a:xfrm>
                      <a:off x="0" y="0"/>
                      <a:ext cx="2609853" cy="2099691"/>
                    </a:xfrm>
                    <a:prstGeom prst="rect">
                      <a:avLst/>
                    </a:prstGeom>
                  </pic:spPr>
                </pic:pic>
              </a:graphicData>
            </a:graphic>
          </wp:anchor>
        </w:drawing>
      </w:r>
    </w:p>
    <w:p>
      <w:pPr>
        <w:spacing w:before="0"/>
        <w:ind w:left="1139" w:right="0" w:firstLine="0"/>
        <w:jc w:val="left"/>
        <w:rPr>
          <w:sz w:val="18"/>
        </w:rPr>
      </w:pPr>
      <w:r>
        <w:rPr>
          <w:sz w:val="18"/>
        </w:rPr>
        <w:t>Figure 8. Position operator (Source. Own Elaboration)</w:t>
      </w:r>
    </w:p>
    <w:p>
      <w:pPr>
        <w:spacing w:after="0"/>
        <w:jc w:val="left"/>
        <w:rPr>
          <w:sz w:val="18"/>
        </w:rPr>
        <w:sectPr>
          <w:type w:val="continuous"/>
          <w:pgSz w:w="12240" w:h="15840"/>
          <w:pgMar w:top="1500" w:bottom="280" w:left="0" w:right="220"/>
          <w:cols w:num="2" w:equalWidth="0">
            <w:col w:w="5769" w:space="40"/>
            <w:col w:w="6211"/>
          </w:cols>
        </w:sectPr>
      </w:pPr>
    </w:p>
    <w:p>
      <w:pPr>
        <w:pStyle w:val="BodyText"/>
        <w:rPr>
          <w:sz w:val="18"/>
        </w:rPr>
      </w:pPr>
    </w:p>
    <w:p>
      <w:pPr>
        <w:pStyle w:val="BodyText"/>
        <w:spacing w:before="10"/>
        <w:rPr>
          <w:sz w:val="18"/>
        </w:rPr>
      </w:pPr>
    </w:p>
    <w:p>
      <w:pPr>
        <w:spacing w:line="126" w:lineRule="exact" w:before="0"/>
        <w:ind w:left="631" w:right="-9" w:firstLine="0"/>
        <w:jc w:val="left"/>
        <w:rPr>
          <w:rFonts w:ascii="Arial"/>
          <w:sz w:val="18"/>
        </w:rPr>
      </w:pPr>
      <w:r>
        <w:rPr>
          <w:rFonts w:ascii="Arial"/>
          <w:sz w:val="18"/>
        </w:rPr>
        <w:t>Hands</w:t>
      </w:r>
      <w:r>
        <w:rPr>
          <w:rFonts w:ascii="Arial"/>
          <w:spacing w:val="-12"/>
          <w:sz w:val="18"/>
        </w:rPr>
        <w:t> </w:t>
      </w:r>
      <w:r>
        <w:rPr>
          <w:rFonts w:ascii="Arial"/>
          <w:sz w:val="18"/>
        </w:rPr>
        <w:t>distance</w:t>
      </w:r>
    </w:p>
    <w:p>
      <w:pPr>
        <w:spacing w:before="104"/>
        <w:ind w:left="241" w:right="-20" w:firstLine="36"/>
        <w:jc w:val="left"/>
        <w:rPr>
          <w:rFonts w:ascii="Arial"/>
          <w:sz w:val="18"/>
        </w:rPr>
      </w:pPr>
      <w:r>
        <w:rPr/>
        <w:br w:type="column"/>
      </w:r>
      <w:r>
        <w:rPr>
          <w:rFonts w:ascii="Arial"/>
          <w:sz w:val="18"/>
        </w:rPr>
        <w:t>Vertical distance</w:t>
      </w:r>
    </w:p>
    <w:p>
      <w:pPr>
        <w:spacing w:line="156" w:lineRule="exact" w:before="101"/>
        <w:ind w:left="723" w:right="909" w:firstLine="0"/>
        <w:jc w:val="center"/>
        <w:rPr>
          <w:sz w:val="18"/>
        </w:rPr>
      </w:pPr>
      <w:r>
        <w:rPr/>
        <w:br w:type="column"/>
      </w:r>
      <w:r>
        <w:rPr>
          <w:sz w:val="18"/>
        </w:rPr>
        <w:t>Lifting</w:t>
      </w:r>
    </w:p>
    <w:p>
      <w:pPr>
        <w:spacing w:line="257" w:lineRule="exact" w:before="0"/>
        <w:ind w:left="631" w:right="0" w:firstLine="0"/>
        <w:jc w:val="left"/>
        <w:rPr>
          <w:rFonts w:ascii="Arial"/>
          <w:sz w:val="18"/>
        </w:rPr>
      </w:pPr>
      <w:r>
        <w:rPr>
          <w:sz w:val="18"/>
        </w:rPr>
        <w:t>frequency  </w:t>
      </w:r>
      <w:r>
        <w:rPr>
          <w:rFonts w:ascii="Arial"/>
          <w:position w:val="10"/>
          <w:sz w:val="18"/>
        </w:rPr>
        <w:t>Duration</w:t>
      </w:r>
    </w:p>
    <w:p>
      <w:pPr>
        <w:pStyle w:val="BodyText"/>
        <w:rPr>
          <w:rFonts w:ascii="Arial"/>
          <w:sz w:val="18"/>
        </w:rPr>
      </w:pPr>
      <w:r>
        <w:rPr/>
        <w:br w:type="column"/>
      </w:r>
      <w:r>
        <w:rPr>
          <w:rFonts w:ascii="Arial"/>
          <w:sz w:val="18"/>
        </w:rPr>
      </w:r>
    </w:p>
    <w:p>
      <w:pPr>
        <w:spacing w:before="0"/>
        <w:ind w:left="269" w:right="916" w:firstLine="170"/>
        <w:jc w:val="left"/>
        <w:rPr>
          <w:sz w:val="18"/>
        </w:rPr>
      </w:pPr>
      <w:r>
        <w:rPr>
          <w:sz w:val="18"/>
        </w:rPr>
        <w:t>The measures of adopted postures (particularly angulars) of necessary areas as arm, forearm, wrist, neck, trunk and leg were</w:t>
      </w:r>
    </w:p>
    <w:p>
      <w:pPr>
        <w:spacing w:after="0"/>
        <w:jc w:val="left"/>
        <w:rPr>
          <w:sz w:val="18"/>
        </w:rPr>
        <w:sectPr>
          <w:type w:val="continuous"/>
          <w:pgSz w:w="12240" w:h="15840"/>
          <w:pgMar w:top="1500" w:bottom="280" w:left="0" w:right="220"/>
          <w:cols w:num="4" w:equalWidth="0">
            <w:col w:w="1871" w:space="40"/>
            <w:col w:w="912" w:space="1172"/>
            <w:col w:w="2172" w:space="40"/>
            <w:col w:w="5813"/>
          </w:cols>
        </w:sectPr>
      </w:pPr>
    </w:p>
    <w:p>
      <w:pPr>
        <w:spacing w:line="125" w:lineRule="exact" w:before="0"/>
        <w:ind w:left="-30" w:right="-16" w:firstLine="0"/>
        <w:jc w:val="left"/>
        <w:rPr>
          <w:rFonts w:ascii="Arial"/>
          <w:sz w:val="18"/>
        </w:rPr>
      </w:pPr>
      <w:r>
        <w:rPr>
          <w:rFonts w:ascii="Arial"/>
          <w:spacing w:val="-1"/>
          <w:sz w:val="18"/>
        </w:rPr>
        <w:t>bject</w:t>
      </w:r>
    </w:p>
    <w:p>
      <w:pPr>
        <w:spacing w:line="137" w:lineRule="exact" w:before="10"/>
        <w:ind w:left="-30" w:right="-20" w:firstLine="0"/>
        <w:jc w:val="left"/>
        <w:rPr>
          <w:rFonts w:ascii="Arial"/>
          <w:sz w:val="18"/>
        </w:rPr>
      </w:pPr>
      <w:r>
        <w:rPr/>
        <w:br w:type="column"/>
      </w:r>
      <w:r>
        <w:rPr>
          <w:rFonts w:ascii="Arial"/>
          <w:sz w:val="18"/>
        </w:rPr>
        <w:t>(cm)</w:t>
      </w:r>
    </w:p>
    <w:p>
      <w:pPr>
        <w:spacing w:line="114" w:lineRule="exact" w:before="0"/>
        <w:ind w:left="-30" w:right="-9" w:firstLine="0"/>
        <w:jc w:val="left"/>
        <w:rPr>
          <w:rFonts w:ascii="Arial"/>
          <w:sz w:val="18"/>
        </w:rPr>
      </w:pPr>
      <w:r>
        <w:rPr/>
        <w:br w:type="column"/>
      </w:r>
      <w:r>
        <w:rPr>
          <w:rFonts w:ascii="Arial"/>
          <w:sz w:val="18"/>
        </w:rPr>
        <w:t>Asymmetric</w:t>
      </w:r>
      <w:r>
        <w:rPr>
          <w:rFonts w:ascii="Arial"/>
          <w:spacing w:val="-12"/>
          <w:sz w:val="18"/>
        </w:rPr>
        <w:t> </w:t>
      </w:r>
      <w:r>
        <w:rPr>
          <w:rFonts w:ascii="Arial"/>
          <w:sz w:val="18"/>
        </w:rPr>
        <w:t>angle</w:t>
      </w:r>
    </w:p>
    <w:p>
      <w:pPr>
        <w:spacing w:line="148" w:lineRule="exact" w:before="0"/>
        <w:ind w:left="-30" w:right="0" w:firstLine="0"/>
        <w:jc w:val="left"/>
        <w:rPr>
          <w:sz w:val="18"/>
        </w:rPr>
      </w:pPr>
      <w:r>
        <w:rPr/>
        <w:br w:type="column"/>
      </w:r>
      <w:r>
        <w:rPr>
          <w:rFonts w:ascii="Arial"/>
          <w:spacing w:val="-43"/>
          <w:position w:val="8"/>
          <w:sz w:val="18"/>
        </w:rPr>
        <w:t>G</w:t>
      </w:r>
      <w:r>
        <w:rPr>
          <w:spacing w:val="-48"/>
          <w:sz w:val="18"/>
        </w:rPr>
        <w:t>d</w:t>
      </w:r>
      <w:r>
        <w:rPr>
          <w:rFonts w:ascii="Arial"/>
          <w:spacing w:val="-13"/>
          <w:position w:val="8"/>
          <w:sz w:val="18"/>
        </w:rPr>
        <w:t>r</w:t>
      </w:r>
      <w:r>
        <w:rPr>
          <w:spacing w:val="-68"/>
          <w:sz w:val="18"/>
        </w:rPr>
        <w:t>e</w:t>
      </w:r>
      <w:r>
        <w:rPr>
          <w:rFonts w:ascii="Arial"/>
          <w:spacing w:val="-1"/>
          <w:position w:val="8"/>
          <w:sz w:val="18"/>
        </w:rPr>
        <w:t>i</w:t>
      </w:r>
      <w:r>
        <w:rPr>
          <w:rFonts w:ascii="Arial"/>
          <w:spacing w:val="-73"/>
          <w:position w:val="8"/>
          <w:sz w:val="18"/>
        </w:rPr>
        <w:t>p</w:t>
      </w:r>
      <w:r>
        <w:rPr>
          <w:sz w:val="18"/>
        </w:rPr>
        <w:t>ter</w:t>
      </w:r>
      <w:r>
        <w:rPr>
          <w:spacing w:val="-1"/>
          <w:sz w:val="18"/>
        </w:rPr>
        <w:t>m</w:t>
      </w:r>
      <w:r>
        <w:rPr>
          <w:sz w:val="18"/>
        </w:rPr>
        <w:t>ine</w:t>
      </w:r>
      <w:r>
        <w:rPr>
          <w:spacing w:val="-2"/>
          <w:sz w:val="18"/>
        </w:rPr>
        <w:t>d</w:t>
      </w:r>
      <w:r>
        <w:rPr>
          <w:sz w:val="18"/>
        </w:rPr>
        <w:t>.</w:t>
      </w:r>
      <w:r>
        <w:rPr>
          <w:spacing w:val="-1"/>
          <w:sz w:val="18"/>
        </w:rPr>
        <w:t> </w:t>
      </w:r>
      <w:r>
        <w:rPr>
          <w:sz w:val="18"/>
        </w:rPr>
        <w:t>The</w:t>
      </w:r>
      <w:r>
        <w:rPr>
          <w:spacing w:val="-2"/>
          <w:sz w:val="18"/>
        </w:rPr>
        <w:t> </w:t>
      </w:r>
      <w:r>
        <w:rPr>
          <w:sz w:val="18"/>
        </w:rPr>
        <w:t>results of</w:t>
      </w:r>
      <w:r>
        <w:rPr>
          <w:spacing w:val="-1"/>
          <w:sz w:val="18"/>
        </w:rPr>
        <w:t> </w:t>
      </w:r>
      <w:r>
        <w:rPr>
          <w:sz w:val="18"/>
        </w:rPr>
        <w:t>an</w:t>
      </w:r>
      <w:r>
        <w:rPr>
          <w:spacing w:val="-1"/>
          <w:sz w:val="18"/>
        </w:rPr>
        <w:t>al</w:t>
      </w:r>
      <w:r>
        <w:rPr>
          <w:spacing w:val="2"/>
          <w:sz w:val="18"/>
        </w:rPr>
        <w:t>y</w:t>
      </w:r>
      <w:r>
        <w:rPr>
          <w:spacing w:val="-3"/>
          <w:sz w:val="18"/>
        </w:rPr>
        <w:t>s</w:t>
      </w:r>
      <w:r>
        <w:rPr>
          <w:sz w:val="18"/>
        </w:rPr>
        <w:t>is of RULA Met</w:t>
      </w:r>
      <w:r>
        <w:rPr>
          <w:spacing w:val="-2"/>
          <w:sz w:val="18"/>
        </w:rPr>
        <w:t>h</w:t>
      </w:r>
      <w:r>
        <w:rPr>
          <w:sz w:val="18"/>
        </w:rPr>
        <w:t>od gave as</w:t>
      </w:r>
      <w:r>
        <w:rPr>
          <w:spacing w:val="-1"/>
          <w:sz w:val="18"/>
        </w:rPr>
        <w:t> </w:t>
      </w:r>
      <w:r>
        <w:rPr>
          <w:sz w:val="18"/>
        </w:rPr>
        <w:t>a</w:t>
      </w:r>
    </w:p>
    <w:p>
      <w:pPr>
        <w:spacing w:after="0" w:line="148" w:lineRule="exact"/>
        <w:jc w:val="left"/>
        <w:rPr>
          <w:sz w:val="18"/>
        </w:rPr>
        <w:sectPr>
          <w:type w:val="continuous"/>
          <w:pgSz w:w="12240" w:h="15840"/>
          <w:pgMar w:top="1500" w:bottom="280" w:left="0" w:right="220"/>
          <w:cols w:num="4" w:equalWidth="0">
            <w:col w:w="350" w:space="752"/>
            <w:col w:w="330" w:space="1608"/>
            <w:col w:w="1400" w:space="1968"/>
            <w:col w:w="5612"/>
          </w:cols>
        </w:sectPr>
      </w:pPr>
    </w:p>
    <w:p>
      <w:pPr>
        <w:spacing w:line="184" w:lineRule="exact" w:before="0"/>
        <w:ind w:left="-42" w:right="-20" w:firstLine="0"/>
        <w:jc w:val="left"/>
        <w:rPr>
          <w:rFonts w:ascii="Arial"/>
          <w:sz w:val="18"/>
        </w:rPr>
      </w:pPr>
      <w:r>
        <w:rPr>
          <w:rFonts w:ascii="Arial"/>
          <w:sz w:val="18"/>
        </w:rPr>
        <w:t>eight</w:t>
      </w:r>
    </w:p>
    <w:p>
      <w:pPr>
        <w:tabs>
          <w:tab w:pos="3166" w:val="left" w:leader="none"/>
        </w:tabs>
        <w:spacing w:line="184" w:lineRule="exact" w:before="0"/>
        <w:ind w:left="-42" w:right="0" w:firstLine="0"/>
        <w:jc w:val="left"/>
        <w:rPr>
          <w:rFonts w:ascii="Arial"/>
          <w:sz w:val="18"/>
        </w:rPr>
      </w:pPr>
      <w:r>
        <w:rPr/>
        <w:br w:type="column"/>
      </w:r>
      <w:r>
        <w:rPr>
          <w:rFonts w:ascii="Arial"/>
          <w:sz w:val="18"/>
        </w:rPr>
        <w:t>(cm)</w:t>
        <w:tab/>
      </w:r>
      <w:r>
        <w:rPr>
          <w:rFonts w:ascii="Arial"/>
          <w:spacing w:val="-1"/>
          <w:sz w:val="18"/>
        </w:rPr>
        <w:t>(hours)</w:t>
      </w:r>
    </w:p>
    <w:p>
      <w:pPr>
        <w:spacing w:line="206" w:lineRule="exact" w:before="0"/>
        <w:ind w:left="-43" w:right="0" w:firstLine="0"/>
        <w:jc w:val="left"/>
        <w:rPr>
          <w:sz w:val="18"/>
        </w:rPr>
      </w:pPr>
      <w:r>
        <w:rPr/>
        <w:br w:type="column"/>
      </w:r>
      <w:r>
        <w:rPr>
          <w:rFonts w:ascii="Arial"/>
          <w:spacing w:val="-1"/>
          <w:position w:val="8"/>
          <w:sz w:val="18"/>
        </w:rPr>
        <w:t>o</w:t>
      </w:r>
      <w:r>
        <w:rPr>
          <w:rFonts w:ascii="Arial"/>
          <w:spacing w:val="2"/>
          <w:position w:val="8"/>
          <w:sz w:val="18"/>
        </w:rPr>
        <w:t>f</w:t>
      </w:r>
      <w:r>
        <w:rPr>
          <w:spacing w:val="-12"/>
          <w:sz w:val="18"/>
        </w:rPr>
        <w:t>r</w:t>
      </w:r>
      <w:r>
        <w:rPr>
          <w:rFonts w:ascii="Arial"/>
          <w:spacing w:val="-38"/>
          <w:position w:val="8"/>
          <w:sz w:val="18"/>
        </w:rPr>
        <w:t>t</w:t>
      </w:r>
      <w:r>
        <w:rPr>
          <w:spacing w:val="-43"/>
          <w:sz w:val="18"/>
        </w:rPr>
        <w:t>e</w:t>
      </w:r>
      <w:r>
        <w:rPr>
          <w:rFonts w:ascii="Arial"/>
          <w:spacing w:val="-58"/>
          <w:position w:val="8"/>
          <w:sz w:val="18"/>
        </w:rPr>
        <w:t>h</w:t>
      </w:r>
      <w:r>
        <w:rPr>
          <w:spacing w:val="-13"/>
          <w:sz w:val="18"/>
        </w:rPr>
        <w:t>s</w:t>
      </w:r>
      <w:r>
        <w:rPr>
          <w:rFonts w:ascii="Arial"/>
          <w:spacing w:val="-88"/>
          <w:position w:val="8"/>
          <w:sz w:val="18"/>
        </w:rPr>
        <w:t>e</w:t>
      </w:r>
      <w:r>
        <w:rPr>
          <w:sz w:val="18"/>
        </w:rPr>
        <w:t>ult</w:t>
      </w:r>
      <w:r>
        <w:rPr>
          <w:spacing w:val="-1"/>
          <w:sz w:val="18"/>
        </w:rPr>
        <w:t> </w:t>
      </w:r>
      <w:r>
        <w:rPr>
          <w:sz w:val="18"/>
        </w:rPr>
        <w:t>a </w:t>
      </w:r>
      <w:r>
        <w:rPr>
          <w:spacing w:val="-2"/>
          <w:sz w:val="18"/>
        </w:rPr>
        <w:t>h</w:t>
      </w:r>
      <w:r>
        <w:rPr>
          <w:sz w:val="18"/>
        </w:rPr>
        <w:t>igh i</w:t>
      </w:r>
      <w:r>
        <w:rPr>
          <w:spacing w:val="-2"/>
          <w:sz w:val="18"/>
        </w:rPr>
        <w:t>n</w:t>
      </w:r>
      <w:r>
        <w:rPr>
          <w:sz w:val="18"/>
        </w:rPr>
        <w:t>c</w:t>
      </w:r>
      <w:r>
        <w:rPr>
          <w:spacing w:val="-2"/>
          <w:sz w:val="18"/>
        </w:rPr>
        <w:t>r</w:t>
      </w:r>
      <w:r>
        <w:rPr>
          <w:sz w:val="18"/>
        </w:rPr>
        <w:t>ea</w:t>
      </w:r>
      <w:r>
        <w:rPr>
          <w:spacing w:val="-1"/>
          <w:sz w:val="18"/>
        </w:rPr>
        <w:t>s</w:t>
      </w:r>
      <w:r>
        <w:rPr>
          <w:sz w:val="18"/>
        </w:rPr>
        <w:t>e</w:t>
      </w:r>
      <w:r>
        <w:rPr>
          <w:spacing w:val="-1"/>
          <w:sz w:val="18"/>
        </w:rPr>
        <w:t> </w:t>
      </w:r>
      <w:r>
        <w:rPr>
          <w:sz w:val="18"/>
        </w:rPr>
        <w:t>in</w:t>
      </w:r>
      <w:r>
        <w:rPr>
          <w:spacing w:val="-1"/>
          <w:sz w:val="18"/>
        </w:rPr>
        <w:t> </w:t>
      </w:r>
      <w:r>
        <w:rPr>
          <w:sz w:val="18"/>
        </w:rPr>
        <w:t>ar</w:t>
      </w:r>
      <w:r>
        <w:rPr>
          <w:spacing w:val="-1"/>
          <w:sz w:val="18"/>
        </w:rPr>
        <w:t>m</w:t>
      </w:r>
      <w:r>
        <w:rPr>
          <w:sz w:val="18"/>
        </w:rPr>
        <w:t>,</w:t>
      </w:r>
      <w:r>
        <w:rPr>
          <w:spacing w:val="1"/>
          <w:sz w:val="18"/>
        </w:rPr>
        <w:t> </w:t>
      </w:r>
      <w:r>
        <w:rPr>
          <w:sz w:val="18"/>
        </w:rPr>
        <w:t>fo</w:t>
      </w:r>
      <w:r>
        <w:rPr>
          <w:spacing w:val="-2"/>
          <w:sz w:val="18"/>
        </w:rPr>
        <w:t>r</w:t>
      </w:r>
      <w:r>
        <w:rPr>
          <w:spacing w:val="-1"/>
          <w:sz w:val="18"/>
        </w:rPr>
        <w:t>e</w:t>
      </w:r>
      <w:r>
        <w:rPr>
          <w:sz w:val="18"/>
        </w:rPr>
        <w:t>arm</w:t>
      </w:r>
      <w:r>
        <w:rPr>
          <w:spacing w:val="-1"/>
          <w:sz w:val="18"/>
        </w:rPr>
        <w:t> </w:t>
      </w:r>
      <w:r>
        <w:rPr>
          <w:sz w:val="18"/>
        </w:rPr>
        <w:t>and wri</w:t>
      </w:r>
      <w:r>
        <w:rPr>
          <w:spacing w:val="-1"/>
          <w:sz w:val="18"/>
        </w:rPr>
        <w:t>s</w:t>
      </w:r>
      <w:r>
        <w:rPr>
          <w:sz w:val="18"/>
        </w:rPr>
        <w:t>t</w:t>
      </w:r>
      <w:r>
        <w:rPr>
          <w:spacing w:val="-1"/>
          <w:sz w:val="18"/>
        </w:rPr>
        <w:t> </w:t>
      </w:r>
      <w:r>
        <w:rPr>
          <w:sz w:val="18"/>
        </w:rPr>
        <w:t>(</w:t>
      </w:r>
      <w:r>
        <w:rPr>
          <w:spacing w:val="-2"/>
          <w:sz w:val="18"/>
        </w:rPr>
        <w:t>5</w:t>
      </w:r>
      <w:r>
        <w:rPr>
          <w:sz w:val="18"/>
        </w:rPr>
        <w:t>, 3</w:t>
      </w:r>
      <w:r>
        <w:rPr>
          <w:spacing w:val="-1"/>
          <w:sz w:val="18"/>
        </w:rPr>
        <w:t> </w:t>
      </w:r>
      <w:r>
        <w:rPr>
          <w:sz w:val="18"/>
        </w:rPr>
        <w:t>and 3</w:t>
      </w:r>
    </w:p>
    <w:p>
      <w:pPr>
        <w:spacing w:after="0" w:line="206" w:lineRule="exact"/>
        <w:jc w:val="left"/>
        <w:rPr>
          <w:sz w:val="18"/>
        </w:rPr>
        <w:sectPr>
          <w:type w:val="continuous"/>
          <w:pgSz w:w="12240" w:h="15840"/>
          <w:pgMar w:top="1500" w:bottom="280" w:left="0" w:right="220"/>
          <w:cols w:num="3" w:equalWidth="0">
            <w:col w:w="349" w:space="2025"/>
            <w:col w:w="3736" w:space="254"/>
            <w:col w:w="5656"/>
          </w:cols>
        </w:sectPr>
      </w:pPr>
    </w:p>
    <w:p>
      <w:pPr>
        <w:spacing w:line="184" w:lineRule="exact" w:before="0"/>
        <w:ind w:left="-21" w:right="-20" w:firstLine="0"/>
        <w:jc w:val="left"/>
        <w:rPr>
          <w:rFonts w:ascii="Arial"/>
          <w:sz w:val="18"/>
        </w:rPr>
      </w:pPr>
      <w:r>
        <w:rPr>
          <w:rFonts w:ascii="Arial"/>
          <w:sz w:val="18"/>
        </w:rPr>
        <w:t>Kg)</w:t>
      </w:r>
    </w:p>
    <w:p>
      <w:pPr>
        <w:spacing w:line="228" w:lineRule="exact" w:before="0"/>
        <w:ind w:left="-21" w:right="0" w:firstLine="0"/>
        <w:jc w:val="left"/>
        <w:rPr>
          <w:sz w:val="18"/>
        </w:rPr>
      </w:pPr>
      <w:r>
        <w:rPr/>
        <w:br w:type="column"/>
      </w:r>
      <w:r>
        <w:rPr>
          <w:rFonts w:ascii="Arial"/>
          <w:position w:val="8"/>
          <w:sz w:val="18"/>
        </w:rPr>
        <w:t>ob</w:t>
      </w:r>
      <w:r>
        <w:rPr>
          <w:sz w:val="18"/>
        </w:rPr>
        <w:t>r</w:t>
      </w:r>
      <w:r>
        <w:rPr>
          <w:rFonts w:ascii="Arial"/>
          <w:position w:val="8"/>
          <w:sz w:val="18"/>
        </w:rPr>
        <w:t>j</w:t>
      </w:r>
      <w:r>
        <w:rPr>
          <w:sz w:val="18"/>
        </w:rPr>
        <w:t>e</w:t>
      </w:r>
      <w:r>
        <w:rPr>
          <w:rFonts w:ascii="Arial"/>
          <w:position w:val="8"/>
          <w:sz w:val="18"/>
        </w:rPr>
        <w:t>e</w:t>
      </w:r>
      <w:r>
        <w:rPr>
          <w:sz w:val="18"/>
        </w:rPr>
        <w:t>s</w:t>
      </w:r>
      <w:r>
        <w:rPr>
          <w:rFonts w:ascii="Arial"/>
          <w:position w:val="8"/>
          <w:sz w:val="18"/>
        </w:rPr>
        <w:t>c</w:t>
      </w:r>
      <w:r>
        <w:rPr>
          <w:sz w:val="18"/>
        </w:rPr>
        <w:t>p</w:t>
      </w:r>
      <w:r>
        <w:rPr>
          <w:rFonts w:ascii="Arial"/>
          <w:position w:val="8"/>
          <w:sz w:val="18"/>
        </w:rPr>
        <w:t>t</w:t>
      </w:r>
      <w:r>
        <w:rPr>
          <w:sz w:val="18"/>
        </w:rPr>
        <w:t>ectively)  with postural value of 5. In neck, the value was 4, in</w:t>
      </w:r>
    </w:p>
    <w:p>
      <w:pPr>
        <w:spacing w:after="0" w:line="228" w:lineRule="exact"/>
        <w:jc w:val="left"/>
        <w:rPr>
          <w:sz w:val="18"/>
        </w:rPr>
        <w:sectPr>
          <w:type w:val="continuous"/>
          <w:pgSz w:w="12240" w:h="15840"/>
          <w:pgMar w:top="1500" w:bottom="280" w:left="0" w:right="220"/>
          <w:cols w:num="2" w:equalWidth="0">
            <w:col w:w="260" w:space="6068"/>
            <w:col w:w="5692"/>
          </w:cols>
        </w:sectPr>
      </w:pPr>
    </w:p>
    <w:p>
      <w:pPr>
        <w:tabs>
          <w:tab w:pos="2473" w:val="left" w:leader="none"/>
          <w:tab w:pos="4324" w:val="left" w:leader="none"/>
        </w:tabs>
        <w:spacing w:line="235" w:lineRule="exact" w:before="0"/>
        <w:ind w:left="0" w:right="23" w:firstLine="0"/>
        <w:jc w:val="right"/>
        <w:rPr>
          <w:rFonts w:ascii="Arial"/>
          <w:sz w:val="18"/>
        </w:rPr>
      </w:pPr>
      <w:r>
        <w:rPr>
          <w:rFonts w:ascii="Arial"/>
          <w:sz w:val="18"/>
        </w:rPr>
        <w:t>Origin </w:t>
      </w:r>
      <w:r>
        <w:rPr>
          <w:rFonts w:ascii="Arial"/>
          <w:spacing w:val="35"/>
          <w:sz w:val="18"/>
        </w:rPr>
        <w:t> </w:t>
      </w:r>
      <w:r>
        <w:rPr>
          <w:rFonts w:ascii="Arial"/>
          <w:sz w:val="18"/>
        </w:rPr>
        <w:t>Destination</w:t>
        <w:tab/>
        <w:t>Origin </w:t>
      </w:r>
      <w:r>
        <w:rPr>
          <w:rFonts w:ascii="Arial"/>
          <w:spacing w:val="35"/>
          <w:sz w:val="18"/>
        </w:rPr>
        <w:t> </w:t>
      </w:r>
      <w:r>
        <w:rPr>
          <w:rFonts w:ascii="Arial"/>
          <w:sz w:val="18"/>
        </w:rPr>
        <w:t>Destination</w:t>
        <w:tab/>
      </w:r>
      <w:r>
        <w:rPr>
          <w:rFonts w:ascii="Arial"/>
          <w:spacing w:val="-2"/>
          <w:position w:val="10"/>
          <w:sz w:val="18"/>
        </w:rPr>
        <w:t>Lev.</w:t>
      </w:r>
    </w:p>
    <w:p>
      <w:pPr>
        <w:spacing w:line="155" w:lineRule="exact" w:before="0"/>
        <w:ind w:left="0" w:right="0" w:firstLine="0"/>
        <w:jc w:val="right"/>
        <w:rPr>
          <w:rFonts w:ascii="Arial"/>
          <w:sz w:val="18"/>
        </w:rPr>
      </w:pPr>
      <w:r>
        <w:rPr>
          <w:rFonts w:ascii="Arial"/>
          <w:sz w:val="18"/>
        </w:rPr>
        <w:t>/min.</w:t>
      </w:r>
    </w:p>
    <w:p>
      <w:pPr>
        <w:spacing w:before="39"/>
        <w:ind w:left="490" w:right="932" w:firstLine="0"/>
        <w:jc w:val="left"/>
        <w:rPr>
          <w:sz w:val="18"/>
        </w:rPr>
      </w:pPr>
      <w:r>
        <w:rPr/>
        <w:br w:type="column"/>
      </w:r>
      <w:r>
        <w:rPr>
          <w:sz w:val="18"/>
        </w:rPr>
        <w:t>trunk 2 and legs 1. In neck analysis and trunk the postural value was 5.</w:t>
      </w:r>
    </w:p>
    <w:p>
      <w:pPr>
        <w:spacing w:after="0"/>
        <w:jc w:val="left"/>
        <w:rPr>
          <w:sz w:val="18"/>
        </w:rPr>
        <w:sectPr>
          <w:type w:val="continuous"/>
          <w:pgSz w:w="12240" w:h="15840"/>
          <w:pgMar w:top="1500" w:bottom="280" w:left="0" w:right="220"/>
          <w:cols w:num="2" w:equalWidth="0">
            <w:col w:w="5181" w:space="803"/>
            <w:col w:w="6036"/>
          </w:cols>
        </w:sectPr>
      </w:pPr>
    </w:p>
    <w:p>
      <w:pPr>
        <w:tabs>
          <w:tab w:pos="527" w:val="left" w:leader="none"/>
          <w:tab w:pos="1206" w:val="left" w:leader="none"/>
          <w:tab w:pos="1732" w:val="left" w:leader="none"/>
          <w:tab w:pos="2422" w:val="left" w:leader="none"/>
          <w:tab w:pos="3144" w:val="left" w:leader="none"/>
          <w:tab w:pos="3975" w:val="left" w:leader="none"/>
          <w:tab w:pos="4931" w:val="left" w:leader="none"/>
          <w:tab w:pos="6482" w:val="left" w:leader="none"/>
        </w:tabs>
        <w:spacing w:line="164" w:lineRule="exact" w:before="0"/>
        <w:ind w:left="-41" w:right="0" w:firstLine="0"/>
        <w:jc w:val="left"/>
        <w:rPr>
          <w:rFonts w:ascii="Arial"/>
          <w:sz w:val="18"/>
        </w:rPr>
      </w:pPr>
      <w:r>
        <w:rPr>
          <w:rFonts w:ascii="Arial"/>
          <w:sz w:val="18"/>
        </w:rPr>
        <w:t>CC</w:t>
        <w:tab/>
        <w:t>H  </w:t>
      </w:r>
      <w:r>
        <w:rPr>
          <w:rFonts w:ascii="Arial"/>
          <w:spacing w:val="35"/>
          <w:sz w:val="18"/>
        </w:rPr>
        <w:t> </w:t>
      </w:r>
      <w:r>
        <w:rPr>
          <w:rFonts w:ascii="Arial"/>
          <w:sz w:val="18"/>
        </w:rPr>
        <w:t>V</w:t>
        <w:tab/>
        <w:t>H</w:t>
        <w:tab/>
        <w:t>V</w:t>
        <w:tab/>
        <w:t>D</w:t>
        <w:tab/>
        <w:t>A</w:t>
        <w:tab/>
        <w:t>A</w:t>
        <w:tab/>
        <w:t>F</w:t>
        <w:tab/>
        <w:t>C</w:t>
      </w:r>
    </w:p>
    <w:p>
      <w:pPr>
        <w:spacing w:after="0" w:line="164" w:lineRule="exact"/>
        <w:jc w:val="left"/>
        <w:rPr>
          <w:rFonts w:ascii="Arial"/>
          <w:sz w:val="18"/>
        </w:rPr>
        <w:sectPr>
          <w:type w:val="continuous"/>
          <w:pgSz w:w="12240" w:h="15840"/>
          <w:pgMar w:top="1500" w:bottom="280" w:left="0" w:right="220"/>
        </w:sectPr>
      </w:pPr>
    </w:p>
    <w:p>
      <w:pPr>
        <w:tabs>
          <w:tab w:pos="493" w:val="left" w:leader="none"/>
          <w:tab w:pos="1172" w:val="left" w:leader="none"/>
          <w:tab w:pos="1643" w:val="left" w:leader="none"/>
          <w:tab w:pos="2338" w:val="left" w:leader="none"/>
          <w:tab w:pos="3105" w:val="left" w:leader="none"/>
          <w:tab w:pos="3987" w:val="left" w:leader="none"/>
          <w:tab w:pos="4811" w:val="left" w:leader="none"/>
          <w:tab w:pos="5617" w:val="left" w:leader="none"/>
        </w:tabs>
        <w:spacing w:before="20"/>
        <w:ind w:left="-11" w:right="0" w:firstLine="0"/>
        <w:jc w:val="left"/>
        <w:rPr>
          <w:rFonts w:ascii="Arial"/>
          <w:sz w:val="18"/>
        </w:rPr>
      </w:pPr>
      <w:r>
        <w:rPr>
          <w:rFonts w:ascii="Arial"/>
          <w:sz w:val="18"/>
        </w:rPr>
        <w:t>23</w:t>
        <w:tab/>
        <w:t>38  </w:t>
      </w:r>
      <w:r>
        <w:rPr>
          <w:rFonts w:ascii="Arial"/>
          <w:spacing w:val="10"/>
          <w:sz w:val="18"/>
        </w:rPr>
        <w:t> </w:t>
      </w:r>
      <w:r>
        <w:rPr>
          <w:rFonts w:ascii="Arial"/>
          <w:sz w:val="18"/>
        </w:rPr>
        <w:t>0</w:t>
        <w:tab/>
        <w:t>61</w:t>
        <w:tab/>
        <w:t>104</w:t>
        <w:tab/>
        <w:t>104</w:t>
        <w:tab/>
        <w:t>90</w:t>
        <w:tab/>
        <w:t>0</w:t>
        <w:tab/>
        <w:t>0.85</w:t>
        <w:tab/>
        <w:t>2-8</w:t>
      </w:r>
      <w:r>
        <w:rPr>
          <w:rFonts w:ascii="Arial"/>
          <w:spacing w:val="-4"/>
          <w:sz w:val="18"/>
        </w:rPr>
        <w:t> </w:t>
      </w:r>
      <w:r>
        <w:rPr>
          <w:rFonts w:ascii="Arial"/>
          <w:sz w:val="18"/>
        </w:rPr>
        <w:t>hr</w:t>
      </w:r>
    </w:p>
    <w:p>
      <w:pPr>
        <w:spacing w:before="21"/>
        <w:ind w:left="-11" w:right="0" w:firstLine="0"/>
        <w:jc w:val="left"/>
        <w:rPr>
          <w:sz w:val="18"/>
        </w:rPr>
      </w:pPr>
      <w:r>
        <w:rPr/>
        <w:br w:type="column"/>
      </w:r>
      <w:r>
        <w:rPr>
          <w:spacing w:val="-148"/>
          <w:sz w:val="18"/>
        </w:rPr>
        <w:t>W</w:t>
      </w:r>
      <w:r>
        <w:rPr>
          <w:rFonts w:ascii="Arial"/>
          <w:position w:val="2"/>
          <w:sz w:val="18"/>
        </w:rPr>
        <w:t>1</w:t>
      </w:r>
      <w:r>
        <w:rPr>
          <w:rFonts w:ascii="Arial"/>
          <w:spacing w:val="-4"/>
          <w:position w:val="2"/>
          <w:sz w:val="18"/>
        </w:rPr>
        <w:t> </w:t>
      </w:r>
      <w:r>
        <w:rPr>
          <w:sz w:val="18"/>
        </w:rPr>
        <w:t>ith</w:t>
      </w:r>
      <w:r>
        <w:rPr>
          <w:spacing w:val="10"/>
          <w:sz w:val="18"/>
        </w:rPr>
        <w:t> </w:t>
      </w:r>
      <w:r>
        <w:rPr>
          <w:sz w:val="18"/>
        </w:rPr>
        <w:t>the</w:t>
      </w:r>
      <w:r>
        <w:rPr>
          <w:spacing w:val="10"/>
          <w:sz w:val="18"/>
        </w:rPr>
        <w:t> </w:t>
      </w:r>
      <w:r>
        <w:rPr>
          <w:sz w:val="18"/>
        </w:rPr>
        <w:t>v</w:t>
      </w:r>
      <w:r>
        <w:rPr>
          <w:spacing w:val="-1"/>
          <w:sz w:val="18"/>
        </w:rPr>
        <w:t>a</w:t>
      </w:r>
      <w:r>
        <w:rPr>
          <w:sz w:val="18"/>
        </w:rPr>
        <w:t>lues</w:t>
      </w:r>
      <w:r>
        <w:rPr>
          <w:spacing w:val="9"/>
          <w:sz w:val="18"/>
        </w:rPr>
        <w:t> </w:t>
      </w:r>
      <w:r>
        <w:rPr>
          <w:sz w:val="18"/>
        </w:rPr>
        <w:t>obtai</w:t>
      </w:r>
      <w:r>
        <w:rPr>
          <w:spacing w:val="-2"/>
          <w:sz w:val="18"/>
        </w:rPr>
        <w:t>n</w:t>
      </w:r>
      <w:r>
        <w:rPr>
          <w:sz w:val="18"/>
        </w:rPr>
        <w:t>ed</w:t>
      </w:r>
      <w:r>
        <w:rPr>
          <w:spacing w:val="10"/>
          <w:sz w:val="18"/>
        </w:rPr>
        <w:t> </w:t>
      </w:r>
      <w:r>
        <w:rPr>
          <w:sz w:val="18"/>
        </w:rPr>
        <w:t>from</w:t>
      </w:r>
      <w:r>
        <w:rPr>
          <w:spacing w:val="9"/>
          <w:sz w:val="18"/>
        </w:rPr>
        <w:t> </w:t>
      </w:r>
      <w:r>
        <w:rPr>
          <w:sz w:val="18"/>
        </w:rPr>
        <w:t>the</w:t>
      </w:r>
      <w:r>
        <w:rPr>
          <w:spacing w:val="10"/>
          <w:sz w:val="18"/>
        </w:rPr>
        <w:t> </w:t>
      </w:r>
      <w:r>
        <w:rPr>
          <w:sz w:val="18"/>
        </w:rPr>
        <w:t>two</w:t>
      </w:r>
      <w:r>
        <w:rPr>
          <w:spacing w:val="10"/>
          <w:sz w:val="18"/>
        </w:rPr>
        <w:t> </w:t>
      </w:r>
      <w:r>
        <w:rPr>
          <w:sz w:val="18"/>
        </w:rPr>
        <w:t>ar</w:t>
      </w:r>
      <w:r>
        <w:rPr>
          <w:spacing w:val="-1"/>
          <w:sz w:val="18"/>
        </w:rPr>
        <w:t>e</w:t>
      </w:r>
      <w:r>
        <w:rPr>
          <w:sz w:val="18"/>
        </w:rPr>
        <w:t>as,</w:t>
      </w:r>
      <w:r>
        <w:rPr>
          <w:spacing w:val="10"/>
          <w:sz w:val="18"/>
        </w:rPr>
        <w:t> </w:t>
      </w:r>
      <w:r>
        <w:rPr>
          <w:sz w:val="18"/>
        </w:rPr>
        <w:t>t</w:t>
      </w:r>
      <w:r>
        <w:rPr>
          <w:spacing w:val="-2"/>
          <w:sz w:val="18"/>
        </w:rPr>
        <w:t>h</w:t>
      </w:r>
      <w:r>
        <w:rPr>
          <w:sz w:val="18"/>
        </w:rPr>
        <w:t>e</w:t>
      </w:r>
      <w:r>
        <w:rPr>
          <w:spacing w:val="9"/>
          <w:sz w:val="18"/>
        </w:rPr>
        <w:t> </w:t>
      </w:r>
      <w:r>
        <w:rPr>
          <w:sz w:val="18"/>
        </w:rPr>
        <w:t>final</w:t>
      </w:r>
      <w:r>
        <w:rPr>
          <w:spacing w:val="10"/>
          <w:sz w:val="18"/>
        </w:rPr>
        <w:t> </w:t>
      </w:r>
      <w:r>
        <w:rPr>
          <w:sz w:val="18"/>
        </w:rPr>
        <w:t>pu</w:t>
      </w:r>
      <w:r>
        <w:rPr>
          <w:spacing w:val="-2"/>
          <w:sz w:val="18"/>
        </w:rPr>
        <w:t>n</w:t>
      </w:r>
      <w:r>
        <w:rPr>
          <w:sz w:val="18"/>
        </w:rPr>
        <w:t>ctu</w:t>
      </w:r>
      <w:r>
        <w:rPr>
          <w:spacing w:val="-1"/>
          <w:sz w:val="18"/>
        </w:rPr>
        <w:t>a</w:t>
      </w:r>
      <w:r>
        <w:rPr>
          <w:sz w:val="18"/>
        </w:rPr>
        <w:t>ti</w:t>
      </w:r>
      <w:r>
        <w:rPr>
          <w:spacing w:val="-2"/>
          <w:sz w:val="18"/>
        </w:rPr>
        <w:t>o</w:t>
      </w:r>
      <w:r>
        <w:rPr>
          <w:sz w:val="18"/>
        </w:rPr>
        <w:t>n</w:t>
      </w:r>
    </w:p>
    <w:p>
      <w:pPr>
        <w:spacing w:after="0"/>
        <w:jc w:val="left"/>
        <w:rPr>
          <w:sz w:val="18"/>
        </w:rPr>
        <w:sectPr>
          <w:type w:val="continuous"/>
          <w:pgSz w:w="12240" w:h="15840"/>
          <w:pgMar w:top="1500" w:bottom="280" w:left="0" w:right="220"/>
          <w:cols w:num="2" w:equalWidth="0">
            <w:col w:w="6087" w:space="399"/>
            <w:col w:w="5534"/>
          </w:cols>
        </w:sectPr>
      </w:pPr>
    </w:p>
    <w:p>
      <w:pPr>
        <w:pStyle w:val="BodyText"/>
        <w:spacing w:before="6"/>
        <w:rPr>
          <w:sz w:val="17"/>
        </w:rPr>
      </w:pPr>
    </w:p>
    <w:p>
      <w:pPr>
        <w:spacing w:before="0"/>
        <w:ind w:left="850" w:right="0" w:firstLine="170"/>
        <w:jc w:val="both"/>
        <w:rPr>
          <w:sz w:val="18"/>
        </w:rPr>
      </w:pPr>
      <w:r>
        <w:rPr>
          <w:sz w:val="18"/>
        </w:rPr>
        <w:t>Table 17 shows multipliers factors obtained for NIOSH equation and the calculation with which the maximum weight recommended is obtained for the task of rectified.</w:t>
      </w:r>
    </w:p>
    <w:p>
      <w:pPr>
        <w:pStyle w:val="BodyText"/>
        <w:spacing w:before="10"/>
        <w:rPr>
          <w:sz w:val="18"/>
        </w:rPr>
      </w:pPr>
    </w:p>
    <w:p>
      <w:pPr>
        <w:spacing w:line="202" w:lineRule="exact" w:before="0"/>
        <w:ind w:left="1749" w:right="172" w:hanging="708"/>
        <w:jc w:val="left"/>
        <w:rPr>
          <w:sz w:val="18"/>
        </w:rPr>
      </w:pPr>
      <w:r>
        <w:rPr>
          <w:b/>
          <w:sz w:val="18"/>
        </w:rPr>
        <w:t>Table 17. Multipliers factors and recommended maximium weight (PMR). </w:t>
      </w:r>
      <w:r>
        <w:rPr>
          <w:sz w:val="18"/>
        </w:rPr>
        <w:t>(Source. Own Elaboration)</w:t>
      </w:r>
    </w:p>
    <w:p>
      <w:pPr>
        <w:spacing w:before="0"/>
        <w:ind w:left="667" w:right="677" w:firstLine="0"/>
        <w:jc w:val="both"/>
        <w:rPr>
          <w:sz w:val="18"/>
        </w:rPr>
      </w:pPr>
      <w:r>
        <w:rPr/>
        <w:br w:type="column"/>
      </w:r>
      <w:r>
        <w:rPr>
          <w:sz w:val="18"/>
        </w:rPr>
        <w:t>of analysis was obtained, and the result was 7. Therefore, study  and modify the postures in a inmediate way is ideal in order to prevent a risk of injury to workers. For that, it is recommended to increase the height of the machine for reducing the neck and arms scores. Consequently, the risk of injury is decreased to the operator.</w:t>
      </w:r>
    </w:p>
    <w:p>
      <w:pPr>
        <w:pStyle w:val="BodyText"/>
        <w:spacing w:before="3"/>
        <w:rPr>
          <w:sz w:val="18"/>
        </w:rPr>
      </w:pPr>
    </w:p>
    <w:p>
      <w:pPr>
        <w:pStyle w:val="ListParagraph"/>
        <w:numPr>
          <w:ilvl w:val="0"/>
          <w:numId w:val="81"/>
        </w:numPr>
        <w:tabs>
          <w:tab w:pos="849" w:val="left" w:leader="none"/>
        </w:tabs>
        <w:spacing w:line="240" w:lineRule="auto" w:before="0" w:after="0"/>
        <w:ind w:left="848" w:right="0" w:hanging="181"/>
        <w:jc w:val="both"/>
        <w:rPr>
          <w:b/>
          <w:sz w:val="18"/>
        </w:rPr>
      </w:pPr>
      <w:r>
        <w:rPr/>
        <w:pict>
          <v:group style="position:absolute;margin-left:-.5pt;margin-top:-172.277954pt;width:343.9pt;height:100.15pt;mso-position-horizontal-relative:page;mso-position-vertical-relative:paragraph;z-index:-868888" coordorigin="-10,-3446" coordsize="6878,2003">
            <v:shape style="position:absolute;left:0;top:-3426;width:6227;height:2" coordorigin="0,-3426" coordsize="6227,0" path="m0,-3426l412,-3426m431,-3426l2074,-3426m2093,-3426l2885,-3426m2904,-3426l4547,-3426m4566,-3426l5406,-3426m5425,-3426l6227,-3426e" filled="false" stroked="true" strokeweight=".95999pt" strokecolor="#000000">
              <v:path arrowok="t"/>
            </v:shape>
            <v:line style="position:absolute" from="6246,-3426" to="6848,-3426" stroked="true" strokeweight=".96pt" strokecolor="#000000"/>
            <v:shape style="position:absolute;left:0;top:-2351;width:6227;height:435" coordorigin="0,-2351" coordsize="6227,435" path="m431,-2351l1032,-2351m1051,-2351l2074,-2351m2093,-2351l2885,-2351m2904,-2351l3505,-2351m3524,-2351l4547,-2351m4566,-2351l5406,-2351m5425,-2351l6227,-2351m0,-1916l412,-1916m431,-1916l756,-1916m775,-1916l1032,-1916m1051,-1916l1493,-1916m1512,-1916l2074,-1916m2093,-1916l2885,-1916m2904,-1916l3505,-1916m3524,-1916l4547,-1916m4566,-1916l5406,-1916m5425,-1916l6227,-1916e" filled="false" stroked="true" strokeweight=".95999pt" strokecolor="#000000">
              <v:path arrowok="t"/>
            </v:shape>
            <v:line style="position:absolute" from="6246,-1916" to="6848,-1916" stroked="true" strokeweight=".96pt" strokecolor="#000000"/>
            <v:shape style="position:absolute;left:0;top:-1690;width:6227;height:2" coordorigin="0,-1690" coordsize="6227,0" path="m0,-1690l412,-1690m431,-1690l756,-1690m775,-1690l1032,-1690m1051,-1690l1493,-1690m1512,-1690l2074,-1690m2093,-1690l2885,-1690m2904,-1690l3505,-1690m3524,-1690l4547,-1690m4566,-1690l5406,-1690m5425,-1690l6227,-1690e" filled="false" stroked="true" strokeweight=".95999pt" strokecolor="#000000">
              <v:path arrowok="t"/>
            </v:shape>
            <v:line style="position:absolute" from="6246,-1690" to="6848,-1690" stroked="true" strokeweight=".96pt" strokecolor="#000000"/>
            <v:line style="position:absolute" from="0,-1463" to="412,-1463" stroked="true" strokeweight=".96002pt" strokecolor="#000000"/>
            <v:line style="position:absolute" from="421,-3436" to="421,-1453" stroked="true" strokeweight=".95999pt" strokecolor="#000000"/>
            <v:line style="position:absolute" from="431,-1463" to="756,-1463" stroked="true" strokeweight=".96002pt" strokecolor="#000000"/>
            <v:line style="position:absolute" from="766,-1926" to="766,-1453" stroked="true" strokeweight=".95999pt" strokecolor="#000000"/>
            <v:line style="position:absolute" from="775,-1463" to="1032,-1463" stroked="true" strokeweight=".96002pt" strokecolor="#000000"/>
            <v:line style="position:absolute" from="1042,-2360" to="1042,-1453" stroked="true" strokeweight=".96001pt" strokecolor="#000000"/>
            <v:line style="position:absolute" from="1051,-1463" to="1493,-1463" stroked="true" strokeweight=".96002pt" strokecolor="#000000"/>
            <v:line style="position:absolute" from="1502,-1926" to="1502,-1453" stroked="true" strokeweight=".96001pt" strokecolor="#000000"/>
            <v:line style="position:absolute" from="1512,-1463" to="2074,-1463" stroked="true" strokeweight=".96002pt" strokecolor="#000000"/>
            <v:line style="position:absolute" from="2083,-3436" to="2083,-1453" stroked="true" strokeweight=".96001pt" strokecolor="#000000"/>
            <v:line style="position:absolute" from="2093,-1463" to="2885,-1463" stroked="true" strokeweight=".96002pt" strokecolor="#000000"/>
            <v:line style="position:absolute" from="2894,-3436" to="2894,-1453" stroked="true" strokeweight=".96001pt" strokecolor="#000000"/>
            <v:line style="position:absolute" from="2904,-1463" to="3505,-1463" stroked="true" strokeweight=".96002pt" strokecolor="#000000"/>
            <v:line style="position:absolute" from="3515,-2360" to="3515,-1453" stroked="true" strokeweight=".96001pt" strokecolor="#000000"/>
            <v:line style="position:absolute" from="3524,-1463" to="4547,-1463" stroked="true" strokeweight=".96002pt" strokecolor="#000000"/>
            <v:line style="position:absolute" from="4556,-3436" to="4556,-1453" stroked="true" strokeweight=".96001pt" strokecolor="#000000"/>
            <v:shape style="position:absolute;left:4566;top:-3436;width:1661;height:1983" coordorigin="4566,-3436" coordsize="1661,1983" path="m4566,-1463l5406,-1463m5416,-3436l5416,-1453m5425,-1463l6227,-1463e" filled="false" stroked="true" strokeweight=".96002pt" strokecolor="#000000">
              <v:path arrowok="t"/>
            </v:shape>
            <v:line style="position:absolute" from="6236,-3436" to="6236,-1453" stroked="true" strokeweight=".95999pt" strokecolor="#000000"/>
            <v:line style="position:absolute" from="6246,-1463" to="6848,-1463" stroked="true" strokeweight=".96pt" strokecolor="#000000"/>
            <v:line style="position:absolute" from="6858,-3436" to="6858,-1453" stroked="true" strokeweight=".95999pt" strokecolor="#000000"/>
            <w10:wrap type="none"/>
          </v:group>
        </w:pict>
      </w:r>
      <w:r>
        <w:rPr/>
        <w:pict>
          <v:shape style="position:absolute;margin-left:39.779999pt;margin-top:10.142055pt;width:251.7pt;height:86.8pt;mso-position-horizontal-relative:page;mso-position-vertical-relative:paragraph;z-index:9952" type="#_x0000_t202" filled="false" stroked="false">
            <v:textbox inset="0,0,0,0">
              <w:txbxContent>
                <w:tbl>
                  <w:tblPr>
                    <w:tblW w:w="0" w:type="auto"/>
                    <w:jc w:val="lef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045"/>
                    <w:gridCol w:w="427"/>
                    <w:gridCol w:w="276"/>
                    <w:gridCol w:w="446"/>
                    <w:gridCol w:w="446"/>
                    <w:gridCol w:w="445"/>
                    <w:gridCol w:w="378"/>
                    <w:gridCol w:w="378"/>
                    <w:gridCol w:w="209"/>
                    <w:gridCol w:w="954"/>
                  </w:tblGrid>
                  <w:tr>
                    <w:trPr>
                      <w:trHeight w:val="848" w:hRule="exact"/>
                    </w:trPr>
                    <w:tc>
                      <w:tcPr>
                        <w:tcW w:w="1045" w:type="dxa"/>
                        <w:vMerge w:val="restart"/>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120"/>
                          <w:ind w:left="198" w:right="54"/>
                          <w:rPr>
                            <w:sz w:val="18"/>
                          </w:rPr>
                        </w:pPr>
                        <w:r>
                          <w:rPr>
                            <w:sz w:val="18"/>
                          </w:rPr>
                          <w:t>ORIGIN</w:t>
                        </w:r>
                      </w:p>
                    </w:tc>
                    <w:tc>
                      <w:tcPr>
                        <w:tcW w:w="3006" w:type="dxa"/>
                        <w:gridSpan w:val="8"/>
                      </w:tcPr>
                      <w:p>
                        <w:pPr>
                          <w:pStyle w:val="TableParagraph"/>
                          <w:spacing w:before="8"/>
                          <w:rPr>
                            <w:sz w:val="17"/>
                          </w:rPr>
                        </w:pPr>
                      </w:p>
                      <w:p>
                        <w:pPr>
                          <w:pStyle w:val="TableParagraph"/>
                          <w:ind w:left="639" w:right="124" w:hanging="504"/>
                          <w:rPr>
                            <w:sz w:val="18"/>
                          </w:rPr>
                        </w:pPr>
                        <w:r>
                          <w:rPr>
                            <w:sz w:val="18"/>
                          </w:rPr>
                          <w:t>PMR = CC x MH x MV x MD x MAS  x  MF  x   MC =</w:t>
                        </w:r>
                      </w:p>
                    </w:tc>
                    <w:tc>
                      <w:tcPr>
                        <w:tcW w:w="954" w:type="dxa"/>
                      </w:tcPr>
                      <w:p>
                        <w:pPr>
                          <w:pStyle w:val="TableParagraph"/>
                          <w:ind w:left="67" w:right="66" w:hanging="1"/>
                          <w:jc w:val="center"/>
                          <w:rPr>
                            <w:sz w:val="18"/>
                          </w:rPr>
                        </w:pPr>
                        <w:r>
                          <w:rPr>
                            <w:sz w:val="18"/>
                          </w:rPr>
                          <w:t>Recomme nded Maximium Weight</w:t>
                        </w:r>
                      </w:p>
                    </w:tc>
                  </w:tr>
                  <w:tr>
                    <w:trPr>
                      <w:trHeight w:val="434" w:hRule="exact"/>
                    </w:trPr>
                    <w:tc>
                      <w:tcPr>
                        <w:tcW w:w="1045" w:type="dxa"/>
                        <w:vMerge/>
                      </w:tcPr>
                      <w:p>
                        <w:pPr/>
                      </w:p>
                    </w:tc>
                    <w:tc>
                      <w:tcPr>
                        <w:tcW w:w="427" w:type="dxa"/>
                      </w:tcPr>
                      <w:p>
                        <w:pPr>
                          <w:pStyle w:val="TableParagraph"/>
                          <w:ind w:left="70" w:right="51" w:firstLine="3"/>
                          <w:rPr>
                            <w:sz w:val="18"/>
                          </w:rPr>
                        </w:pPr>
                        <w:r>
                          <w:rPr>
                            <w:sz w:val="18"/>
                          </w:rPr>
                          <w:t>PM R =</w:t>
                        </w:r>
                      </w:p>
                    </w:tc>
                    <w:tc>
                      <w:tcPr>
                        <w:tcW w:w="276" w:type="dxa"/>
                      </w:tcPr>
                      <w:p>
                        <w:pPr>
                          <w:pStyle w:val="TableParagraph"/>
                          <w:spacing w:line="203" w:lineRule="exact"/>
                          <w:ind w:left="84"/>
                          <w:rPr>
                            <w:sz w:val="18"/>
                          </w:rPr>
                        </w:pPr>
                        <w:r>
                          <w:rPr>
                            <w:sz w:val="18"/>
                          </w:rPr>
                          <w:t>2</w:t>
                        </w:r>
                      </w:p>
                      <w:p>
                        <w:pPr>
                          <w:pStyle w:val="TableParagraph"/>
                          <w:spacing w:line="207" w:lineRule="exact"/>
                          <w:ind w:left="84"/>
                          <w:rPr>
                            <w:sz w:val="18"/>
                          </w:rPr>
                        </w:pPr>
                        <w:r>
                          <w:rPr>
                            <w:sz w:val="18"/>
                          </w:rPr>
                          <w:t>3</w:t>
                        </w:r>
                      </w:p>
                    </w:tc>
                    <w:tc>
                      <w:tcPr>
                        <w:tcW w:w="446" w:type="dxa"/>
                      </w:tcPr>
                      <w:p>
                        <w:pPr>
                          <w:pStyle w:val="TableParagraph"/>
                          <w:spacing w:line="203" w:lineRule="exact"/>
                          <w:ind w:left="102"/>
                          <w:rPr>
                            <w:sz w:val="18"/>
                          </w:rPr>
                        </w:pPr>
                        <w:r>
                          <w:rPr>
                            <w:sz w:val="18"/>
                          </w:rPr>
                          <w:t>0.6</w:t>
                        </w:r>
                      </w:p>
                      <w:p>
                        <w:pPr>
                          <w:pStyle w:val="TableParagraph"/>
                          <w:spacing w:line="207" w:lineRule="exact"/>
                          <w:ind w:left="123"/>
                          <w:rPr>
                            <w:sz w:val="18"/>
                          </w:rPr>
                        </w:pPr>
                        <w:r>
                          <w:rPr>
                            <w:sz w:val="18"/>
                          </w:rPr>
                          <w:t>57</w:t>
                        </w:r>
                      </w:p>
                    </w:tc>
                    <w:tc>
                      <w:tcPr>
                        <w:tcW w:w="446" w:type="dxa"/>
                      </w:tcPr>
                      <w:p>
                        <w:pPr>
                          <w:pStyle w:val="TableParagraph"/>
                          <w:spacing w:line="203" w:lineRule="exact"/>
                          <w:ind w:left="100"/>
                          <w:rPr>
                            <w:sz w:val="18"/>
                          </w:rPr>
                        </w:pPr>
                        <w:r>
                          <w:rPr>
                            <w:sz w:val="18"/>
                          </w:rPr>
                          <w:t>0.7</w:t>
                        </w:r>
                      </w:p>
                      <w:p>
                        <w:pPr>
                          <w:pStyle w:val="TableParagraph"/>
                          <w:spacing w:line="207" w:lineRule="exact"/>
                          <w:ind w:left="122"/>
                          <w:rPr>
                            <w:sz w:val="18"/>
                          </w:rPr>
                        </w:pPr>
                        <w:r>
                          <w:rPr>
                            <w:sz w:val="18"/>
                          </w:rPr>
                          <w:t>75</w:t>
                        </w:r>
                      </w:p>
                    </w:tc>
                    <w:tc>
                      <w:tcPr>
                        <w:tcW w:w="445" w:type="dxa"/>
                      </w:tcPr>
                      <w:p>
                        <w:pPr>
                          <w:pStyle w:val="TableParagraph"/>
                          <w:spacing w:line="203" w:lineRule="exact"/>
                          <w:ind w:left="100"/>
                          <w:rPr>
                            <w:sz w:val="18"/>
                          </w:rPr>
                        </w:pPr>
                        <w:r>
                          <w:rPr>
                            <w:sz w:val="18"/>
                          </w:rPr>
                          <w:t>0.8</w:t>
                        </w:r>
                      </w:p>
                      <w:p>
                        <w:pPr>
                          <w:pStyle w:val="TableParagraph"/>
                          <w:spacing w:line="207" w:lineRule="exact"/>
                          <w:ind w:left="122"/>
                          <w:rPr>
                            <w:sz w:val="18"/>
                          </w:rPr>
                        </w:pPr>
                        <w:r>
                          <w:rPr>
                            <w:sz w:val="18"/>
                          </w:rPr>
                          <w:t>63</w:t>
                        </w:r>
                      </w:p>
                    </w:tc>
                    <w:tc>
                      <w:tcPr>
                        <w:tcW w:w="378" w:type="dxa"/>
                      </w:tcPr>
                      <w:p>
                        <w:pPr>
                          <w:pStyle w:val="TableParagraph"/>
                          <w:spacing w:line="203" w:lineRule="exact"/>
                          <w:ind w:left="61"/>
                          <w:rPr>
                            <w:sz w:val="18"/>
                          </w:rPr>
                        </w:pPr>
                        <w:r>
                          <w:rPr>
                            <w:sz w:val="18"/>
                          </w:rPr>
                          <w:t>0.7</w:t>
                        </w:r>
                      </w:p>
                      <w:p>
                        <w:pPr>
                          <w:pStyle w:val="TableParagraph"/>
                          <w:spacing w:line="207" w:lineRule="exact"/>
                          <w:ind w:left="61"/>
                          <w:rPr>
                            <w:sz w:val="18"/>
                          </w:rPr>
                        </w:pPr>
                        <w:r>
                          <w:rPr>
                            <w:sz w:val="18"/>
                          </w:rPr>
                          <w:t>1</w:t>
                        </w:r>
                      </w:p>
                    </w:tc>
                    <w:tc>
                      <w:tcPr>
                        <w:tcW w:w="378" w:type="dxa"/>
                      </w:tcPr>
                      <w:p>
                        <w:pPr>
                          <w:pStyle w:val="TableParagraph"/>
                          <w:spacing w:line="203" w:lineRule="exact"/>
                          <w:ind w:left="47" w:right="46"/>
                          <w:jc w:val="center"/>
                          <w:rPr>
                            <w:sz w:val="18"/>
                          </w:rPr>
                        </w:pPr>
                        <w:r>
                          <w:rPr>
                            <w:sz w:val="18"/>
                          </w:rPr>
                          <w:t>0.8</w:t>
                        </w:r>
                      </w:p>
                      <w:p>
                        <w:pPr>
                          <w:pStyle w:val="TableParagraph"/>
                          <w:spacing w:line="207" w:lineRule="exact"/>
                          <w:jc w:val="center"/>
                          <w:rPr>
                            <w:sz w:val="18"/>
                          </w:rPr>
                        </w:pPr>
                        <w:r>
                          <w:rPr>
                            <w:sz w:val="18"/>
                          </w:rPr>
                          <w:t>5</w:t>
                        </w:r>
                      </w:p>
                    </w:tc>
                    <w:tc>
                      <w:tcPr>
                        <w:tcW w:w="209" w:type="dxa"/>
                      </w:tcPr>
                      <w:p>
                        <w:pPr>
                          <w:pStyle w:val="TableParagraph"/>
                          <w:spacing w:before="99"/>
                          <w:ind w:left="22"/>
                          <w:jc w:val="center"/>
                          <w:rPr>
                            <w:sz w:val="18"/>
                          </w:rPr>
                        </w:pPr>
                        <w:r>
                          <w:rPr>
                            <w:sz w:val="18"/>
                          </w:rPr>
                          <w:t>1</w:t>
                        </w:r>
                      </w:p>
                    </w:tc>
                    <w:tc>
                      <w:tcPr>
                        <w:tcW w:w="954" w:type="dxa"/>
                        <w:shd w:val="clear" w:color="auto" w:fill="FFFF00"/>
                      </w:tcPr>
                      <w:p>
                        <w:pPr>
                          <w:pStyle w:val="TableParagraph"/>
                          <w:spacing w:before="103"/>
                          <w:ind w:left="199" w:right="199"/>
                          <w:jc w:val="center"/>
                          <w:rPr>
                            <w:b/>
                            <w:sz w:val="18"/>
                          </w:rPr>
                        </w:pPr>
                        <w:r>
                          <w:rPr>
                            <w:b/>
                            <w:sz w:val="18"/>
                          </w:rPr>
                          <w:t>6.1267</w:t>
                        </w:r>
                      </w:p>
                    </w:tc>
                  </w:tr>
                  <w:tr>
                    <w:trPr>
                      <w:trHeight w:val="433" w:hRule="exact"/>
                    </w:trPr>
                    <w:tc>
                      <w:tcPr>
                        <w:tcW w:w="1045" w:type="dxa"/>
                      </w:tcPr>
                      <w:p>
                        <w:pPr>
                          <w:pStyle w:val="TableParagraph"/>
                          <w:ind w:left="352" w:right="54" w:hanging="280"/>
                          <w:rPr>
                            <w:sz w:val="18"/>
                          </w:rPr>
                        </w:pPr>
                        <w:r>
                          <w:rPr>
                            <w:sz w:val="18"/>
                          </w:rPr>
                          <w:t>DESTINAT ION</w:t>
                        </w:r>
                      </w:p>
                    </w:tc>
                    <w:tc>
                      <w:tcPr>
                        <w:tcW w:w="427" w:type="dxa"/>
                      </w:tcPr>
                      <w:p>
                        <w:pPr>
                          <w:pStyle w:val="TableParagraph"/>
                          <w:ind w:left="70" w:right="51" w:firstLine="3"/>
                          <w:rPr>
                            <w:sz w:val="18"/>
                          </w:rPr>
                        </w:pPr>
                        <w:r>
                          <w:rPr>
                            <w:sz w:val="18"/>
                          </w:rPr>
                          <w:t>PM R =</w:t>
                        </w:r>
                      </w:p>
                    </w:tc>
                    <w:tc>
                      <w:tcPr>
                        <w:tcW w:w="276" w:type="dxa"/>
                      </w:tcPr>
                      <w:p>
                        <w:pPr>
                          <w:pStyle w:val="TableParagraph"/>
                          <w:spacing w:line="202" w:lineRule="exact"/>
                          <w:ind w:left="84"/>
                          <w:rPr>
                            <w:sz w:val="18"/>
                          </w:rPr>
                        </w:pPr>
                        <w:r>
                          <w:rPr>
                            <w:sz w:val="18"/>
                          </w:rPr>
                          <w:t>2</w:t>
                        </w:r>
                      </w:p>
                      <w:p>
                        <w:pPr>
                          <w:pStyle w:val="TableParagraph"/>
                          <w:ind w:left="84"/>
                          <w:rPr>
                            <w:sz w:val="18"/>
                          </w:rPr>
                        </w:pPr>
                        <w:r>
                          <w:rPr>
                            <w:sz w:val="18"/>
                          </w:rPr>
                          <w:t>3</w:t>
                        </w:r>
                      </w:p>
                    </w:tc>
                    <w:tc>
                      <w:tcPr>
                        <w:tcW w:w="446" w:type="dxa"/>
                      </w:tcPr>
                      <w:p>
                        <w:pPr>
                          <w:pStyle w:val="TableParagraph"/>
                          <w:spacing w:line="202" w:lineRule="exact"/>
                          <w:ind w:left="101"/>
                          <w:rPr>
                            <w:sz w:val="18"/>
                          </w:rPr>
                        </w:pPr>
                        <w:r>
                          <w:rPr>
                            <w:sz w:val="18"/>
                          </w:rPr>
                          <w:t>0.4</w:t>
                        </w:r>
                      </w:p>
                      <w:p>
                        <w:pPr>
                          <w:pStyle w:val="TableParagraph"/>
                          <w:ind w:left="123"/>
                          <w:rPr>
                            <w:sz w:val="18"/>
                          </w:rPr>
                        </w:pPr>
                        <w:r>
                          <w:rPr>
                            <w:sz w:val="18"/>
                          </w:rPr>
                          <w:t>09</w:t>
                        </w:r>
                      </w:p>
                    </w:tc>
                    <w:tc>
                      <w:tcPr>
                        <w:tcW w:w="446" w:type="dxa"/>
                      </w:tcPr>
                      <w:p>
                        <w:pPr>
                          <w:pStyle w:val="TableParagraph"/>
                          <w:spacing w:line="202" w:lineRule="exact"/>
                          <w:ind w:left="100"/>
                          <w:rPr>
                            <w:sz w:val="18"/>
                          </w:rPr>
                        </w:pPr>
                        <w:r>
                          <w:rPr>
                            <w:sz w:val="18"/>
                          </w:rPr>
                          <w:t>0.9</w:t>
                        </w:r>
                      </w:p>
                      <w:p>
                        <w:pPr>
                          <w:pStyle w:val="TableParagraph"/>
                          <w:ind w:left="122"/>
                          <w:rPr>
                            <w:sz w:val="18"/>
                          </w:rPr>
                        </w:pPr>
                        <w:r>
                          <w:rPr>
                            <w:sz w:val="18"/>
                          </w:rPr>
                          <w:t>13</w:t>
                        </w:r>
                      </w:p>
                    </w:tc>
                    <w:tc>
                      <w:tcPr>
                        <w:tcW w:w="445" w:type="dxa"/>
                      </w:tcPr>
                      <w:p>
                        <w:pPr>
                          <w:pStyle w:val="TableParagraph"/>
                          <w:spacing w:line="202" w:lineRule="exact"/>
                          <w:ind w:left="100"/>
                          <w:rPr>
                            <w:sz w:val="18"/>
                          </w:rPr>
                        </w:pPr>
                        <w:r>
                          <w:rPr>
                            <w:sz w:val="18"/>
                          </w:rPr>
                          <w:t>0.8</w:t>
                        </w:r>
                      </w:p>
                      <w:p>
                        <w:pPr>
                          <w:pStyle w:val="TableParagraph"/>
                          <w:ind w:left="122"/>
                          <w:rPr>
                            <w:sz w:val="18"/>
                          </w:rPr>
                        </w:pPr>
                        <w:r>
                          <w:rPr>
                            <w:sz w:val="18"/>
                          </w:rPr>
                          <w:t>63</w:t>
                        </w:r>
                      </w:p>
                    </w:tc>
                    <w:tc>
                      <w:tcPr>
                        <w:tcW w:w="378" w:type="dxa"/>
                      </w:tcPr>
                      <w:p>
                        <w:pPr>
                          <w:pStyle w:val="TableParagraph"/>
                          <w:spacing w:before="99"/>
                          <w:jc w:val="center"/>
                          <w:rPr>
                            <w:sz w:val="18"/>
                          </w:rPr>
                        </w:pPr>
                        <w:r>
                          <w:rPr>
                            <w:sz w:val="18"/>
                          </w:rPr>
                          <w:t>1</w:t>
                        </w:r>
                      </w:p>
                    </w:tc>
                    <w:tc>
                      <w:tcPr>
                        <w:tcW w:w="378" w:type="dxa"/>
                      </w:tcPr>
                      <w:p>
                        <w:pPr>
                          <w:pStyle w:val="TableParagraph"/>
                          <w:spacing w:line="202" w:lineRule="exact"/>
                          <w:ind w:left="47" w:right="46"/>
                          <w:jc w:val="center"/>
                          <w:rPr>
                            <w:sz w:val="18"/>
                          </w:rPr>
                        </w:pPr>
                        <w:r>
                          <w:rPr>
                            <w:sz w:val="18"/>
                          </w:rPr>
                          <w:t>0.8</w:t>
                        </w:r>
                      </w:p>
                      <w:p>
                        <w:pPr>
                          <w:pStyle w:val="TableParagraph"/>
                          <w:jc w:val="center"/>
                          <w:rPr>
                            <w:sz w:val="18"/>
                          </w:rPr>
                        </w:pPr>
                        <w:r>
                          <w:rPr>
                            <w:sz w:val="18"/>
                          </w:rPr>
                          <w:t>5</w:t>
                        </w:r>
                      </w:p>
                    </w:tc>
                    <w:tc>
                      <w:tcPr>
                        <w:tcW w:w="209" w:type="dxa"/>
                      </w:tcPr>
                      <w:p>
                        <w:pPr>
                          <w:pStyle w:val="TableParagraph"/>
                          <w:spacing w:before="99"/>
                          <w:ind w:left="22"/>
                          <w:jc w:val="center"/>
                          <w:rPr>
                            <w:sz w:val="18"/>
                          </w:rPr>
                        </w:pPr>
                        <w:r>
                          <w:rPr>
                            <w:sz w:val="18"/>
                          </w:rPr>
                          <w:t>1</w:t>
                        </w:r>
                      </w:p>
                    </w:tc>
                    <w:tc>
                      <w:tcPr>
                        <w:tcW w:w="954" w:type="dxa"/>
                        <w:shd w:val="clear" w:color="auto" w:fill="FFFF00"/>
                      </w:tcPr>
                      <w:p>
                        <w:pPr>
                          <w:pStyle w:val="TableParagraph"/>
                          <w:spacing w:before="103"/>
                          <w:ind w:left="199" w:right="199"/>
                          <w:jc w:val="center"/>
                          <w:rPr>
                            <w:b/>
                            <w:sz w:val="18"/>
                          </w:rPr>
                        </w:pPr>
                        <w:r>
                          <w:rPr>
                            <w:b/>
                            <w:sz w:val="18"/>
                          </w:rPr>
                          <w:t>6.3150</w:t>
                        </w:r>
                      </w:p>
                    </w:tc>
                  </w:tr>
                </w:tbl>
                <w:p>
                  <w:pPr>
                    <w:pStyle w:val="BodyText"/>
                  </w:pPr>
                </w:p>
              </w:txbxContent>
            </v:textbox>
            <w10:wrap type="none"/>
          </v:shape>
        </w:pict>
      </w:r>
      <w:r>
        <w:rPr>
          <w:b/>
          <w:sz w:val="18"/>
        </w:rPr>
        <w:t>CONCLUSIONS</w:t>
      </w:r>
    </w:p>
    <w:p>
      <w:pPr>
        <w:pStyle w:val="BodyText"/>
        <w:spacing w:before="7"/>
        <w:rPr>
          <w:b/>
          <w:sz w:val="17"/>
        </w:rPr>
      </w:pPr>
    </w:p>
    <w:p>
      <w:pPr>
        <w:spacing w:before="1"/>
        <w:ind w:left="667" w:right="677" w:firstLine="0"/>
        <w:jc w:val="both"/>
        <w:rPr>
          <w:sz w:val="18"/>
        </w:rPr>
      </w:pPr>
      <w:r>
        <w:rPr>
          <w:sz w:val="18"/>
        </w:rPr>
        <w:t>In the analysis using NIOSH equation, it was obtained that the Maximum Weight Recommended for the task is 6 kg both origin and destination. Currently the operator lifts 25 kg, so the IL gave a higher value of 3, which indicates the importance of taking measures such as mechanical assistance, reduction in degrees of rotation, or the reduction of vertical or horizontal distances. On the other hand, the analysis by the RULA, a degree of occupational hazard for repetitivity was 7, which indicates that urgent changes  in the job or task are</w:t>
      </w:r>
      <w:r>
        <w:rPr>
          <w:spacing w:val="-10"/>
          <w:sz w:val="18"/>
        </w:rPr>
        <w:t> </w:t>
      </w:r>
      <w:r>
        <w:rPr>
          <w:sz w:val="18"/>
        </w:rPr>
        <w:t>required.</w:t>
      </w:r>
    </w:p>
    <w:p>
      <w:pPr>
        <w:spacing w:after="0"/>
        <w:jc w:val="both"/>
        <w:rPr>
          <w:sz w:val="18"/>
        </w:rPr>
        <w:sectPr>
          <w:type w:val="continuous"/>
          <w:pgSz w:w="12240" w:h="15840"/>
          <w:pgMar w:top="1500" w:bottom="280" w:left="0" w:right="220"/>
          <w:cols w:num="2" w:equalWidth="0">
            <w:col w:w="5768" w:space="40"/>
            <w:col w:w="6212"/>
          </w:cols>
        </w:sectPr>
      </w:pPr>
    </w:p>
    <w:p>
      <w:pPr>
        <w:pStyle w:val="BodyText"/>
        <w:rPr>
          <w:sz w:val="11"/>
        </w:rPr>
      </w:pPr>
    </w:p>
    <w:p>
      <w:pPr>
        <w:spacing w:before="77"/>
        <w:ind w:left="270" w:right="6246" w:firstLine="0"/>
        <w:jc w:val="both"/>
        <w:rPr>
          <w:sz w:val="18"/>
        </w:rPr>
      </w:pPr>
      <w:r>
        <w:rPr>
          <w:sz w:val="18"/>
        </w:rPr>
        <w:t>On the other hand, the analysis by the RULA Mehtod gave a degree of occupational hazard for repetitivity of 7, which indicates that urgent changes in the job or task are required because the existence of high risk of appearance of injuries skeletal muscle. Therefore, it is recommended to increase the height of the machine to reduce the score neck and arms and minimize the risk of injury to the operator. The above recommendations may be useful to improve the health of the operator and the work area in a more optimal way, and thus increase company productivity and reduce the risk of injury to the worker.</w:t>
      </w:r>
    </w:p>
    <w:p>
      <w:pPr>
        <w:pStyle w:val="BodyText"/>
        <w:spacing w:before="3"/>
        <w:rPr>
          <w:sz w:val="18"/>
        </w:rPr>
      </w:pPr>
    </w:p>
    <w:p>
      <w:pPr>
        <w:spacing w:line="205" w:lineRule="exact" w:before="0"/>
        <w:ind w:left="270" w:right="0" w:firstLine="0"/>
        <w:jc w:val="both"/>
        <w:rPr>
          <w:b/>
          <w:sz w:val="18"/>
        </w:rPr>
      </w:pPr>
      <w:r>
        <w:rPr>
          <w:b/>
          <w:sz w:val="18"/>
        </w:rPr>
        <w:t>REFERENCES</w:t>
      </w:r>
    </w:p>
    <w:p>
      <w:pPr>
        <w:spacing w:line="240" w:lineRule="auto" w:before="0"/>
        <w:ind w:left="270" w:right="6248" w:firstLine="0"/>
        <w:jc w:val="both"/>
        <w:rPr>
          <w:i/>
          <w:sz w:val="18"/>
        </w:rPr>
      </w:pPr>
      <w:r>
        <w:rPr>
          <w:i/>
          <w:color w:val="445269"/>
          <w:sz w:val="18"/>
        </w:rPr>
        <w:t>[ 11] Melo, J. L. (2009). Guia para la evaluacion ergonomica de un </w:t>
      </w:r>
      <w:r>
        <w:rPr>
          <w:i/>
          <w:color w:val="445269"/>
          <w:sz w:val="18"/>
        </w:rPr>
        <w:t>puesto de trabajo. Buenos Aires: Fundacion MAPFRE.</w:t>
      </w:r>
    </w:p>
    <w:p>
      <w:pPr>
        <w:spacing w:before="0"/>
        <w:ind w:left="270" w:right="6252" w:firstLine="0"/>
        <w:jc w:val="both"/>
        <w:rPr>
          <w:i/>
          <w:sz w:val="18"/>
        </w:rPr>
      </w:pPr>
      <w:r>
        <w:rPr>
          <w:i/>
          <w:color w:val="445269"/>
          <w:sz w:val="18"/>
        </w:rPr>
        <w:t>[ 12] INSHT. 2007. VI Encuesta Nacional de Condiciones de </w:t>
      </w:r>
      <w:r>
        <w:rPr>
          <w:i/>
          <w:color w:val="445269"/>
          <w:sz w:val="18"/>
        </w:rPr>
        <w:t>Trabajo. España: Ministerio de Empleo y Seguridad Social. 2007.</w:t>
      </w:r>
    </w:p>
    <w:p>
      <w:pPr>
        <w:spacing w:before="0"/>
        <w:ind w:left="270" w:right="6251" w:firstLine="0"/>
        <w:jc w:val="both"/>
        <w:rPr>
          <w:i/>
          <w:sz w:val="18"/>
        </w:rPr>
      </w:pPr>
      <w:r>
        <w:rPr>
          <w:i/>
          <w:color w:val="445269"/>
          <w:sz w:val="18"/>
        </w:rPr>
        <w:t>[ 13] Cuesta, S. A., Ceca, M. J., &amp; Más, J. A. (2012). Evaluación </w:t>
      </w:r>
      <w:r>
        <w:rPr>
          <w:i/>
          <w:color w:val="445269"/>
          <w:sz w:val="18"/>
        </w:rPr>
        <w:t>Ergonómica de Puestos de Trabajo. Madrid: Paraninfo .</w:t>
      </w:r>
    </w:p>
    <w:p>
      <w:pPr>
        <w:spacing w:line="230" w:lineRule="auto" w:before="6"/>
        <w:ind w:left="270" w:right="6249" w:firstLine="0"/>
        <w:jc w:val="both"/>
        <w:rPr>
          <w:i/>
          <w:sz w:val="18"/>
        </w:rPr>
      </w:pPr>
      <w:r>
        <w:rPr>
          <w:i/>
          <w:color w:val="445269"/>
          <w:sz w:val="18"/>
        </w:rPr>
        <w:t>[ 14] Lifshitz, Y. and T. Armstrong. 1986. A Design Checklist for </w:t>
      </w:r>
      <w:r>
        <w:rPr>
          <w:i/>
          <w:color w:val="445269"/>
          <w:sz w:val="18"/>
        </w:rPr>
        <w:t>Control and Prediction of Cumulative Trauma Disorders in Hand Intensive Manual Jobs. Proceedings of the 30</w:t>
      </w:r>
      <w:r>
        <w:rPr>
          <w:i/>
          <w:color w:val="445269"/>
          <w:position w:val="8"/>
          <w:sz w:val="12"/>
        </w:rPr>
        <w:t>th </w:t>
      </w:r>
      <w:r>
        <w:rPr>
          <w:i/>
          <w:color w:val="445269"/>
          <w:sz w:val="18"/>
        </w:rPr>
        <w:t>Annual Meeting of Human Factor. 1986.</w:t>
      </w:r>
    </w:p>
    <w:p>
      <w:pPr>
        <w:spacing w:before="1"/>
        <w:ind w:left="270" w:right="6250" w:firstLine="0"/>
        <w:jc w:val="both"/>
        <w:rPr>
          <w:i/>
          <w:sz w:val="18"/>
        </w:rPr>
      </w:pPr>
      <w:r>
        <w:rPr>
          <w:i/>
          <w:color w:val="445269"/>
          <w:sz w:val="18"/>
        </w:rPr>
        <w:t>[ 15] Larson, N. 30 Years of Ergonomics at 3M: A Case Study. </w:t>
      </w:r>
      <w:r>
        <w:rPr>
          <w:i/>
          <w:color w:val="445269"/>
          <w:sz w:val="18"/>
        </w:rPr>
        <w:t>Work, (2012). 415091-5098.</w:t>
      </w:r>
    </w:p>
    <w:p>
      <w:pPr>
        <w:spacing w:before="0"/>
        <w:ind w:left="270" w:right="6250" w:firstLine="0"/>
        <w:jc w:val="both"/>
        <w:rPr>
          <w:i/>
          <w:sz w:val="18"/>
        </w:rPr>
      </w:pPr>
      <w:r>
        <w:rPr>
          <w:i/>
          <w:color w:val="445269"/>
          <w:sz w:val="18"/>
        </w:rPr>
        <w:t>[ 16] Niosh, 1981, Work practices guide for manual lifting. NIOSH </w:t>
      </w:r>
      <w:r>
        <w:rPr>
          <w:i/>
          <w:color w:val="445269"/>
          <w:sz w:val="18"/>
        </w:rPr>
        <w:t>Technical Report nº 81-122, National Institute for Occupational Safety and Health. Cincinnaty. Ohio.</w:t>
      </w:r>
    </w:p>
    <w:p>
      <w:pPr>
        <w:spacing w:before="0"/>
        <w:ind w:left="270" w:right="6244" w:firstLine="0"/>
        <w:jc w:val="both"/>
        <w:rPr>
          <w:i/>
          <w:sz w:val="18"/>
        </w:rPr>
      </w:pPr>
      <w:r>
        <w:rPr>
          <w:i/>
          <w:color w:val="445269"/>
          <w:sz w:val="18"/>
        </w:rPr>
        <w:t>[ 17] Castelló Mercé, P., Pagán Castaño, P., Oltra Pastor, A., &amp; </w:t>
      </w:r>
      <w:r>
        <w:rPr>
          <w:i/>
          <w:color w:val="445269"/>
          <w:sz w:val="18"/>
        </w:rPr>
        <w:t>Sendra Pérez, R. (2010). Ergometal. Manual de ergonomía para máquinas del sector metal. Valencia: IBV.</w:t>
      </w:r>
    </w:p>
    <w:p>
      <w:pPr>
        <w:spacing w:before="0"/>
        <w:ind w:left="270" w:right="6250" w:firstLine="0"/>
        <w:jc w:val="both"/>
        <w:rPr>
          <w:i/>
          <w:sz w:val="18"/>
        </w:rPr>
      </w:pPr>
      <w:r>
        <w:rPr>
          <w:i/>
          <w:color w:val="445269"/>
          <w:sz w:val="18"/>
        </w:rPr>
        <w:t>[ 18] Villar Fernández, M. F. (2011). Instituto Nacional de </w:t>
      </w:r>
      <w:r>
        <w:rPr>
          <w:i/>
          <w:color w:val="445269"/>
          <w:sz w:val="18"/>
        </w:rPr>
        <w:t>Seguridad e Higiene en el Trabajo. Recuperado el 2011, de </w:t>
      </w:r>
      <w:hyperlink r:id="rId257">
        <w:r>
          <w:rPr>
            <w:i/>
            <w:color w:val="0000FF"/>
            <w:sz w:val="18"/>
            <w:u w:val="single" w:color="0000FF"/>
          </w:rPr>
          <w:t>http://www.insht.es</w:t>
        </w:r>
      </w:hyperlink>
    </w:p>
    <w:p>
      <w:pPr>
        <w:spacing w:before="0"/>
        <w:ind w:left="270" w:right="6250" w:firstLine="0"/>
        <w:jc w:val="both"/>
        <w:rPr>
          <w:i/>
          <w:sz w:val="18"/>
        </w:rPr>
      </w:pPr>
      <w:r>
        <w:rPr>
          <w:i/>
          <w:color w:val="445269"/>
          <w:sz w:val="18"/>
        </w:rPr>
        <w:t>[ 19] STPS. (2013 de Enero de 2013). Autogestion en seguridad y </w:t>
      </w:r>
      <w:r>
        <w:rPr>
          <w:i/>
          <w:color w:val="445269"/>
          <w:sz w:val="18"/>
        </w:rPr>
        <w:t>salud en el trabajo. Recuperado el 19 de Octubre de 2013, de Secretaria del trabajo y prevención social: </w:t>
      </w:r>
      <w:r>
        <w:rPr>
          <w:i/>
          <w:color w:val="0000FF"/>
          <w:sz w:val="18"/>
          <w:u w:val="single" w:color="0000FF"/>
        </w:rPr>
        <w:t>http://autogestion.stps.gob.mx:8162/</w:t>
      </w:r>
    </w:p>
    <w:p>
      <w:pPr>
        <w:spacing w:before="0"/>
        <w:ind w:left="270" w:right="6250" w:firstLine="0"/>
        <w:jc w:val="both"/>
        <w:rPr>
          <w:i/>
          <w:sz w:val="18"/>
        </w:rPr>
      </w:pPr>
      <w:r>
        <w:rPr>
          <w:i/>
          <w:color w:val="445269"/>
          <w:sz w:val="18"/>
        </w:rPr>
        <w:t>[ 20] Departamento de Proyectos de Ingeniería de la Universidad </w:t>
      </w:r>
      <w:r>
        <w:rPr>
          <w:i/>
          <w:color w:val="445269"/>
          <w:sz w:val="18"/>
        </w:rPr>
        <w:t>Politécnica de Valencia. (s.f.). Ergonautas. Recuperado el 2015, de </w:t>
      </w:r>
      <w:hyperlink r:id="rId353">
        <w:r>
          <w:rPr>
            <w:i/>
            <w:color w:val="0000FF"/>
            <w:sz w:val="18"/>
            <w:u w:val="single" w:color="0000FF"/>
          </w:rPr>
          <w:t>http://www.ergonautas.upv.es/metodos/niosh/niosh-ayuda.php</w:t>
        </w:r>
      </w:hyperlink>
    </w:p>
    <w:p>
      <w:pPr>
        <w:spacing w:before="0"/>
        <w:ind w:left="270" w:right="6249" w:firstLine="0"/>
        <w:jc w:val="both"/>
        <w:rPr>
          <w:i/>
          <w:sz w:val="18"/>
        </w:rPr>
      </w:pPr>
      <w:r>
        <w:rPr>
          <w:i/>
          <w:color w:val="445269"/>
          <w:sz w:val="18"/>
        </w:rPr>
        <w:t>[ 21] Waters, T. R., Putz-Anderson, V., &amp; Garg, A. (1994). </w:t>
      </w:r>
      <w:r>
        <w:rPr>
          <w:i/>
          <w:color w:val="445269"/>
          <w:sz w:val="18"/>
        </w:rPr>
        <w:t>APPLICATIONS MANUAL FOR THE REVISED NIOSH LIFTING EQUATION.</w:t>
      </w:r>
    </w:p>
    <w:p>
      <w:pPr>
        <w:spacing w:line="207" w:lineRule="exact" w:before="0"/>
        <w:ind w:left="270" w:right="0" w:firstLine="0"/>
        <w:jc w:val="both"/>
        <w:rPr>
          <w:i/>
          <w:sz w:val="18"/>
        </w:rPr>
      </w:pPr>
      <w:r>
        <w:rPr>
          <w:i/>
          <w:color w:val="445269"/>
          <w:sz w:val="18"/>
        </w:rPr>
        <w:t>[    22]        Ergonomics    Plus.    (2011).    ERGONOMICS  PLUS.</w:t>
      </w:r>
    </w:p>
    <w:p>
      <w:pPr>
        <w:spacing w:line="207" w:lineRule="exact" w:before="0"/>
        <w:ind w:left="270" w:right="0" w:firstLine="0"/>
        <w:jc w:val="both"/>
        <w:rPr>
          <w:i/>
          <w:sz w:val="18"/>
        </w:rPr>
      </w:pPr>
      <w:r>
        <w:rPr>
          <w:i/>
          <w:color w:val="445269"/>
          <w:sz w:val="18"/>
        </w:rPr>
        <w:t>Recuperado el 2</w:t>
      </w:r>
      <w:hyperlink r:id="rId354">
        <w:r>
          <w:rPr>
            <w:i/>
            <w:color w:val="445269"/>
            <w:sz w:val="18"/>
          </w:rPr>
          <w:t>015, de http://ergo-plus.com/</w:t>
        </w:r>
      </w:hyperlink>
    </w:p>
    <w:p>
      <w:pPr>
        <w:spacing w:after="0" w:line="207" w:lineRule="exact"/>
        <w:jc w:val="both"/>
        <w:rPr>
          <w:sz w:val="18"/>
        </w:rPr>
        <w:sectPr>
          <w:pgSz w:w="12240" w:h="15840"/>
          <w:pgMar w:header="545" w:footer="852" w:top="1060" w:bottom="1040" w:left="580" w:right="220"/>
        </w:sectPr>
      </w:pPr>
    </w:p>
    <w:p>
      <w:pPr>
        <w:pStyle w:val="BodyText"/>
        <w:rPr>
          <w:i/>
          <w:sz w:val="12"/>
        </w:rPr>
      </w:pPr>
    </w:p>
    <w:p>
      <w:pPr>
        <w:spacing w:after="0"/>
        <w:rPr>
          <w:sz w:val="12"/>
        </w:rPr>
        <w:sectPr>
          <w:pgSz w:w="12240" w:h="15840"/>
          <w:pgMar w:header="545" w:footer="852" w:top="1060" w:bottom="1040" w:left="580" w:right="220"/>
        </w:sectPr>
      </w:pPr>
    </w:p>
    <w:p>
      <w:pPr>
        <w:pStyle w:val="Heading1"/>
        <w:spacing w:before="69"/>
        <w:ind w:right="58"/>
        <w:jc w:val="left"/>
      </w:pPr>
      <w:r>
        <w:rPr/>
        <w:t>Owas Application of the Method to Analyze the Assessments Charged to a Worker in a Cooler Company</w:t>
      </w:r>
    </w:p>
    <w:p>
      <w:pPr>
        <w:pStyle w:val="BodyText"/>
        <w:spacing w:before="11"/>
        <w:rPr>
          <w:b/>
          <w:sz w:val="19"/>
        </w:rPr>
      </w:pPr>
    </w:p>
    <w:p>
      <w:pPr>
        <w:tabs>
          <w:tab w:pos="4676" w:val="left" w:leader="none"/>
        </w:tabs>
        <w:spacing w:line="230" w:lineRule="exact" w:before="0"/>
        <w:ind w:left="270" w:right="18" w:firstLine="0"/>
        <w:jc w:val="left"/>
        <w:rPr>
          <w:i/>
          <w:sz w:val="13"/>
        </w:rPr>
      </w:pPr>
      <w:r>
        <w:rPr>
          <w:i/>
          <w:sz w:val="20"/>
        </w:rPr>
        <w:t>Aradith  Soto  Buitimea</w:t>
      </w:r>
      <w:r>
        <w:rPr>
          <w:i/>
          <w:position w:val="9"/>
          <w:sz w:val="13"/>
        </w:rPr>
        <w:t>a</w:t>
      </w:r>
      <w:r>
        <w:rPr>
          <w:i/>
          <w:sz w:val="20"/>
        </w:rPr>
        <w:t>,  Mauricio</w:t>
      </w:r>
      <w:r>
        <w:rPr>
          <w:i/>
          <w:spacing w:val="47"/>
          <w:sz w:val="20"/>
        </w:rPr>
        <w:t> </w:t>
      </w:r>
      <w:r>
        <w:rPr>
          <w:i/>
          <w:sz w:val="20"/>
        </w:rPr>
        <w:t>López</w:t>
      </w:r>
      <w:r>
        <w:rPr>
          <w:i/>
          <w:spacing w:val="49"/>
          <w:sz w:val="20"/>
        </w:rPr>
        <w:t> </w:t>
      </w:r>
      <w:r>
        <w:rPr>
          <w:i/>
          <w:sz w:val="20"/>
        </w:rPr>
        <w:t>Acosta</w:t>
      </w:r>
      <w:r>
        <w:rPr>
          <w:i/>
          <w:position w:val="9"/>
          <w:sz w:val="13"/>
        </w:rPr>
        <w:t>b</w:t>
      </w:r>
      <w:r>
        <w:rPr>
          <w:i/>
          <w:sz w:val="20"/>
        </w:rPr>
        <w:t>,</w:t>
        <w:tab/>
      </w:r>
      <w:r>
        <w:rPr>
          <w:i/>
          <w:spacing w:val="-1"/>
          <w:sz w:val="20"/>
        </w:rPr>
        <w:t>Rubén </w:t>
      </w:r>
      <w:r>
        <w:rPr>
          <w:i/>
          <w:sz w:val="20"/>
        </w:rPr>
        <w:t>Varela Campos</w:t>
      </w:r>
      <w:r>
        <w:rPr>
          <w:i/>
          <w:position w:val="9"/>
          <w:sz w:val="13"/>
        </w:rPr>
        <w:t>b</w:t>
      </w:r>
      <w:r>
        <w:rPr>
          <w:i/>
          <w:sz w:val="20"/>
        </w:rPr>
        <w:t>, Cecilia Aurora Murillo</w:t>
      </w:r>
      <w:r>
        <w:rPr>
          <w:i/>
          <w:spacing w:val="-24"/>
          <w:sz w:val="20"/>
        </w:rPr>
        <w:t> </w:t>
      </w:r>
      <w:r>
        <w:rPr>
          <w:i/>
          <w:sz w:val="20"/>
        </w:rPr>
        <w:t>Félix</w:t>
      </w:r>
      <w:r>
        <w:rPr>
          <w:i/>
          <w:position w:val="9"/>
          <w:sz w:val="13"/>
        </w:rPr>
        <w:t>b</w:t>
      </w:r>
    </w:p>
    <w:p>
      <w:pPr>
        <w:pStyle w:val="BodyText"/>
        <w:rPr>
          <w:i/>
          <w:sz w:val="22"/>
        </w:rPr>
      </w:pPr>
    </w:p>
    <w:p>
      <w:pPr>
        <w:spacing w:before="189"/>
        <w:ind w:left="270" w:right="58" w:firstLine="0"/>
        <w:jc w:val="left"/>
        <w:rPr>
          <w:sz w:val="16"/>
        </w:rPr>
      </w:pPr>
      <w:r>
        <w:rPr>
          <w:position w:val="7"/>
          <w:sz w:val="10"/>
        </w:rPr>
        <w:t>a </w:t>
      </w:r>
      <w:r>
        <w:rPr>
          <w:sz w:val="16"/>
        </w:rPr>
        <w:t>Instituto Tecnológico de Sonora, </w:t>
      </w:r>
      <w:hyperlink r:id="rId355">
        <w:r>
          <w:rPr>
            <w:sz w:val="16"/>
          </w:rPr>
          <w:t>aradith_5391@hotmail.com,</w:t>
        </w:r>
      </w:hyperlink>
      <w:r>
        <w:rPr>
          <w:sz w:val="16"/>
        </w:rPr>
        <w:t> Navojoa , Sonora, México.</w:t>
      </w:r>
    </w:p>
    <w:p>
      <w:pPr>
        <w:spacing w:line="184" w:lineRule="exact" w:before="0"/>
        <w:ind w:left="270" w:right="58" w:firstLine="0"/>
        <w:jc w:val="left"/>
        <w:rPr>
          <w:sz w:val="16"/>
        </w:rPr>
      </w:pPr>
      <w:r>
        <w:rPr>
          <w:position w:val="7"/>
          <w:sz w:val="10"/>
        </w:rPr>
        <w:t>b </w:t>
      </w:r>
      <w:r>
        <w:rPr>
          <w:sz w:val="16"/>
        </w:rPr>
        <w:t>Instituto Tecnológico de Sonora, Unidad Navojoa,</w:t>
      </w:r>
    </w:p>
    <w:p>
      <w:pPr>
        <w:pStyle w:val="BodyText"/>
        <w:spacing w:before="4"/>
      </w:pPr>
    </w:p>
    <w:p>
      <w:pPr>
        <w:pStyle w:val="Heading4"/>
        <w:ind w:right="58"/>
        <w:jc w:val="left"/>
      </w:pPr>
      <w:r>
        <w:rPr/>
        <w:pict>
          <v:line style="position:absolute;mso-position-horizontal-relative:page;mso-position-vertical-relative:paragraph;z-index:9976" from="41.040001pt,13.265918pt" to="289.860001pt,13.265918pt" stroked="true" strokeweight="1.5pt" strokecolor="#000000">
            <w10:wrap type="none"/>
          </v:line>
        </w:pict>
      </w:r>
      <w:r>
        <w:rPr/>
        <w:t>Resumen</w:t>
      </w:r>
    </w:p>
    <w:p>
      <w:pPr>
        <w:pStyle w:val="BodyText"/>
        <w:spacing w:before="47"/>
        <w:ind w:left="270" w:right="16" w:firstLine="430"/>
        <w:jc w:val="both"/>
      </w:pPr>
      <w:r>
        <w:rPr/>
        <w:t>El método OWAS basa sus resultados en  la  observación de las diferentes posturas adoptadas por el trabajador durante el desarrollo de la tarea, permitiendo identificar hasta 252 posiciones diferentes como resultado de las posibles combinaciones de la posición de la espalda (4 posiciones), brazos (3 posiciones), piernas (7 posiciones) y carga levantada (3</w:t>
      </w:r>
      <w:r>
        <w:rPr>
          <w:spacing w:val="-1"/>
        </w:rPr>
        <w:t> </w:t>
      </w:r>
      <w:r>
        <w:rPr/>
        <w:t>intervalos).</w:t>
      </w:r>
    </w:p>
    <w:p>
      <w:pPr>
        <w:pStyle w:val="BodyText"/>
        <w:ind w:left="270" w:right="16" w:firstLine="430"/>
        <w:jc w:val="both"/>
      </w:pPr>
      <w:r>
        <w:rPr/>
        <w:t>En función del riesgo o incomodidad que representa  una postura para el trabajador, el método OWAS distingue cuatro Niveles o "Categorías de riesgo" que enumera en orden ascendente, siendo, por tanto, la de valor 1 la de menor riesgo y la de valor 4 la de mayor riesgo. Para cada Categoría de riesgo el método establecerá una propuesta de acción, indicando en cada caso la necesidad o no de rediseño de la postura y su</w:t>
      </w:r>
      <w:r>
        <w:rPr>
          <w:spacing w:val="-7"/>
        </w:rPr>
        <w:t> </w:t>
      </w:r>
      <w:r>
        <w:rPr/>
        <w:t>urgencia.</w:t>
      </w:r>
    </w:p>
    <w:p>
      <w:pPr>
        <w:pStyle w:val="BodyText"/>
        <w:ind w:left="270" w:right="16" w:firstLine="430"/>
        <w:jc w:val="both"/>
      </w:pPr>
      <w:r>
        <w:rPr/>
        <w:t>Así pues, realizada la codificación, el método  determina la Categoría de riesgo de cada postura, reflejo de la incomodidad que supone para el trabajador. Posteriormente, evalúa el riesgo o incomodidad para cada parte del cuerpo asignando, en función de la frecuencia relativa de cada posición, una Categoría de riesgo de cada parte del</w:t>
      </w:r>
      <w:r>
        <w:rPr>
          <w:spacing w:val="-5"/>
        </w:rPr>
        <w:t> </w:t>
      </w:r>
      <w:r>
        <w:rPr/>
        <w:t>cuerpo.</w:t>
      </w:r>
    </w:p>
    <w:p>
      <w:pPr>
        <w:pStyle w:val="BodyText"/>
      </w:pPr>
    </w:p>
    <w:p>
      <w:pPr>
        <w:spacing w:before="1"/>
        <w:ind w:left="270" w:right="58" w:firstLine="0"/>
        <w:jc w:val="left"/>
        <w:rPr>
          <w:sz w:val="20"/>
        </w:rPr>
      </w:pPr>
      <w:r>
        <w:rPr>
          <w:b/>
          <w:sz w:val="20"/>
        </w:rPr>
        <w:t>Palabras clave</w:t>
      </w:r>
      <w:r>
        <w:rPr>
          <w:sz w:val="20"/>
        </w:rPr>
        <w:t>— Ergonomía, Método Owas</w:t>
      </w:r>
    </w:p>
    <w:p>
      <w:pPr>
        <w:pStyle w:val="BodyText"/>
        <w:spacing w:before="3"/>
      </w:pPr>
    </w:p>
    <w:p>
      <w:pPr>
        <w:pStyle w:val="Heading5"/>
        <w:ind w:right="58"/>
        <w:jc w:val="left"/>
        <w:rPr>
          <w:i/>
        </w:rPr>
      </w:pPr>
      <w:r>
        <w:rPr/>
        <w:pict>
          <v:line style="position:absolute;mso-position-horizontal-relative:page;mso-position-vertical-relative:paragraph;z-index:10000" from="41.040001pt,13.206803pt" to="289.860001pt,13.206803pt" stroked="true" strokeweight="1.5pt" strokecolor="#000000">
            <w10:wrap type="none"/>
          </v:line>
        </w:pict>
      </w:r>
      <w:r>
        <w:rPr>
          <w:i/>
        </w:rPr>
        <w:t>Abstract</w:t>
      </w:r>
    </w:p>
    <w:p>
      <w:pPr>
        <w:pStyle w:val="BodyText"/>
        <w:spacing w:before="46"/>
        <w:ind w:left="270" w:right="17"/>
        <w:jc w:val="both"/>
      </w:pPr>
      <w:r>
        <w:rPr/>
        <w:t>The OWAS method bases its results on the observation of  the various positions taken by the employee during the  course of the task, allowing to identify up to 252 different positions as a result of the possible combinations of the back position (4 positions), arms (3 positions), legs (7 positions) and lifted (three</w:t>
      </w:r>
      <w:r>
        <w:rPr>
          <w:spacing w:val="-17"/>
        </w:rPr>
        <w:t> </w:t>
      </w:r>
      <w:r>
        <w:rPr/>
        <w:t>intervals).</w:t>
      </w:r>
    </w:p>
    <w:p>
      <w:pPr>
        <w:pStyle w:val="BodyText"/>
        <w:ind w:left="270" w:right="15" w:firstLine="430"/>
        <w:jc w:val="both"/>
      </w:pPr>
      <w:r>
        <w:rPr/>
        <w:t>Depending on the risk or discomfort that represents a position for the worker, the OWAS method  distinguishes four levels or "risk categories" that list in ascending order, being, therefore, the value of 1 as the lowest risk and value 4 the greatest risk. For each risk category method will establish a proposed action, indicating in each case whether or not redesign of posture and its urgency.So, on the encoding, the method determines the category of risk for each position, reflecting the inconvenience of the employee. Subsequently, assesses the risk or discomfort to assigning each body part, depending on the relative frequency of each position a category of risk for each part of the body.</w:t>
      </w:r>
    </w:p>
    <w:p>
      <w:pPr>
        <w:pStyle w:val="BodyText"/>
        <w:spacing w:before="8"/>
        <w:rPr>
          <w:sz w:val="25"/>
        </w:rPr>
      </w:pPr>
      <w:r>
        <w:rPr/>
        <w:br w:type="column"/>
      </w:r>
      <w:r>
        <w:rPr>
          <w:sz w:val="25"/>
        </w:rPr>
      </w:r>
    </w:p>
    <w:p>
      <w:pPr>
        <w:pStyle w:val="BodyText"/>
        <w:spacing w:line="480" w:lineRule="auto"/>
        <w:ind w:left="270" w:right="1631"/>
      </w:pPr>
      <w:r>
        <w:rPr>
          <w:b/>
        </w:rPr>
        <w:t>Keywords </w:t>
      </w:r>
      <w:r>
        <w:rPr/>
        <w:t>— Ergonomics, OWAS method. Relevance to Ergonomics:</w:t>
      </w:r>
    </w:p>
    <w:p>
      <w:pPr>
        <w:pStyle w:val="Heading4"/>
        <w:numPr>
          <w:ilvl w:val="0"/>
          <w:numId w:val="85"/>
        </w:numPr>
        <w:tabs>
          <w:tab w:pos="473" w:val="left" w:leader="none"/>
        </w:tabs>
        <w:spacing w:line="240" w:lineRule="auto" w:before="10" w:after="0"/>
        <w:ind w:left="472" w:right="0" w:hanging="202"/>
        <w:jc w:val="both"/>
      </w:pPr>
      <w:r>
        <w:rPr/>
        <w:t>INTRODUCTION:</w:t>
      </w:r>
    </w:p>
    <w:p>
      <w:pPr>
        <w:pStyle w:val="BodyText"/>
        <w:spacing w:before="8"/>
        <w:rPr>
          <w:b/>
          <w:sz w:val="19"/>
        </w:rPr>
      </w:pPr>
    </w:p>
    <w:p>
      <w:pPr>
        <w:pStyle w:val="BodyText"/>
        <w:ind w:left="270" w:right="676"/>
        <w:jc w:val="both"/>
      </w:pPr>
      <w:r>
        <w:rPr/>
        <w:t>The principle of ergonomics is to design work and working conditions to suit the individual characteristics of each employee. The steady increase in the prevalence of back disorders and musculoskeletal diseases has focused efforts  to reduce harmful load. According to recent research results, reducing the load static caused by bad posture of labor is  one of the main measures to correct the</w:t>
      </w:r>
      <w:r>
        <w:rPr>
          <w:spacing w:val="-7"/>
        </w:rPr>
        <w:t> </w:t>
      </w:r>
      <w:r>
        <w:rPr/>
        <w:t>situation.</w:t>
      </w:r>
    </w:p>
    <w:p>
      <w:pPr>
        <w:pStyle w:val="BodyText"/>
        <w:ind w:left="270" w:right="676" w:firstLine="430"/>
        <w:jc w:val="both"/>
      </w:pPr>
      <w:r>
        <w:rPr/>
        <w:t>Osmos Karhu and Björn Trappe, who worked in the steel industry during the 70s, developed a method to  evaluate posture during work. The method is called OWAS. The reliability of the method has been tested in further research. The Centre for Occupational Safety</w:t>
      </w:r>
      <w:r>
        <w:rPr>
          <w:spacing w:val="-11"/>
        </w:rPr>
        <w:t> </w:t>
      </w:r>
      <w:r>
        <w:rPr/>
        <w:t>(Helsinki)</w:t>
      </w:r>
    </w:p>
    <w:p>
      <w:pPr>
        <w:pStyle w:val="BodyText"/>
        <w:ind w:left="270" w:right="678" w:firstLine="430"/>
        <w:jc w:val="both"/>
      </w:pPr>
      <w:r>
        <w:rPr/>
        <w:t>has provided training and has disseminated  information on the OWAS method since</w:t>
      </w:r>
      <w:r>
        <w:rPr>
          <w:spacing w:val="-20"/>
        </w:rPr>
        <w:t> </w:t>
      </w:r>
      <w:r>
        <w:rPr/>
        <w:t>1985.</w:t>
      </w:r>
    </w:p>
    <w:p>
      <w:pPr>
        <w:pStyle w:val="BodyText"/>
        <w:ind w:left="270" w:right="677" w:firstLine="430"/>
        <w:jc w:val="both"/>
      </w:pPr>
      <w:r>
        <w:rPr/>
        <w:t>The OWAS method is based on a simple and systematic working postures combined with observations on classification tasks. As will be seen along the way, it aims to evaluate the risk of postural load in terms of frequency gravity.</w:t>
      </w:r>
    </w:p>
    <w:p>
      <w:pPr>
        <w:pStyle w:val="BodyText"/>
        <w:ind w:left="270" w:right="676" w:firstLine="430"/>
        <w:jc w:val="both"/>
      </w:pPr>
      <w:r>
        <w:rPr/>
        <w:t>Working together specialists and workers, it can apply the method and find measures to reduce the detrimental burden caused by poor posture. Due to the practical nature  of the method, it provides a useful tool to improve jobs and increase productivity</w:t>
      </w:r>
      <w:r>
        <w:rPr>
          <w:spacing w:val="-14"/>
        </w:rPr>
        <w:t> </w:t>
      </w:r>
      <w:r>
        <w:rPr/>
        <w:t>tool.</w:t>
      </w:r>
    </w:p>
    <w:p>
      <w:pPr>
        <w:pStyle w:val="BodyText"/>
        <w:ind w:left="270" w:right="677" w:firstLine="430"/>
        <w:jc w:val="both"/>
      </w:pPr>
      <w:r>
        <w:rPr/>
        <w:t>The purpose of this study is to identify the different ergonomic postures having a charger in the workstation in the area of loading and unloading of Ice Company for that we will base the OWAS method that will help us to evaluate the different positions of the worker as are back position, leg position, arm position and load lifting, when working, once the risks of the positions identified, will present alternatives to reduce the risk that the worker suffers an accident and  you can perform such work in the best way possible. This study guides us to propose corrective actions to poor posture at work and may guide them on what are the correct postures.</w:t>
      </w:r>
    </w:p>
    <w:p>
      <w:pPr>
        <w:pStyle w:val="BodyText"/>
        <w:spacing w:before="2"/>
      </w:pPr>
    </w:p>
    <w:p>
      <w:pPr>
        <w:pStyle w:val="Heading4"/>
        <w:numPr>
          <w:ilvl w:val="0"/>
          <w:numId w:val="85"/>
        </w:numPr>
        <w:tabs>
          <w:tab w:pos="471" w:val="left" w:leader="none"/>
        </w:tabs>
        <w:spacing w:line="240" w:lineRule="auto" w:before="0" w:after="0"/>
        <w:ind w:left="470" w:right="0" w:hanging="200"/>
        <w:jc w:val="both"/>
      </w:pPr>
      <w:r>
        <w:rPr/>
        <w:t>OBJECTIVES</w:t>
      </w:r>
    </w:p>
    <w:p>
      <w:pPr>
        <w:pStyle w:val="BodyText"/>
        <w:spacing w:before="9"/>
        <w:rPr>
          <w:b/>
          <w:sz w:val="19"/>
        </w:rPr>
      </w:pPr>
    </w:p>
    <w:p>
      <w:pPr>
        <w:pStyle w:val="BodyText"/>
        <w:spacing w:before="1"/>
        <w:ind w:left="270" w:right="676"/>
        <w:jc w:val="both"/>
      </w:pPr>
      <w:r>
        <w:rPr/>
        <w:t>Studying the workstation in the loading and unloading area based on the positions of the worker by observing activity in the area of loading and unloading with OWAS method and thus elaborate an improvement.</w:t>
      </w:r>
    </w:p>
    <w:p>
      <w:pPr>
        <w:pStyle w:val="BodyText"/>
        <w:spacing w:before="2"/>
      </w:pPr>
    </w:p>
    <w:p>
      <w:pPr>
        <w:pStyle w:val="Heading4"/>
        <w:numPr>
          <w:ilvl w:val="0"/>
          <w:numId w:val="85"/>
        </w:numPr>
        <w:tabs>
          <w:tab w:pos="488" w:val="left" w:leader="none"/>
        </w:tabs>
        <w:spacing w:line="240" w:lineRule="auto" w:before="0" w:after="0"/>
        <w:ind w:left="488" w:right="0" w:hanging="218"/>
        <w:jc w:val="both"/>
      </w:pPr>
      <w:r>
        <w:rPr/>
        <w:t>DELIMITATION:</w:t>
      </w:r>
    </w:p>
    <w:p>
      <w:pPr>
        <w:pStyle w:val="BodyText"/>
        <w:spacing w:before="8"/>
        <w:rPr>
          <w:b/>
          <w:sz w:val="19"/>
        </w:rPr>
      </w:pPr>
    </w:p>
    <w:p>
      <w:pPr>
        <w:pStyle w:val="BodyText"/>
        <w:ind w:left="270"/>
        <w:jc w:val="both"/>
      </w:pPr>
      <w:r>
        <w:rPr/>
        <w:t>In this paper we identify up to 252 different positions.</w:t>
      </w:r>
    </w:p>
    <w:p>
      <w:pPr>
        <w:spacing w:after="0"/>
        <w:jc w:val="both"/>
        <w:sectPr>
          <w:type w:val="continuous"/>
          <w:pgSz w:w="12240" w:h="15840"/>
          <w:pgMar w:top="1500" w:bottom="280" w:left="580" w:right="220"/>
          <w:cols w:num="2" w:equalWidth="0">
            <w:col w:w="5208" w:space="417"/>
            <w:col w:w="5815"/>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Heading4"/>
        <w:numPr>
          <w:ilvl w:val="0"/>
          <w:numId w:val="85"/>
        </w:numPr>
        <w:tabs>
          <w:tab w:pos="471" w:val="left" w:leader="none"/>
        </w:tabs>
        <w:spacing w:line="240" w:lineRule="auto" w:before="77" w:after="0"/>
        <w:ind w:left="470" w:right="0" w:hanging="200"/>
        <w:jc w:val="both"/>
      </w:pPr>
      <w:r>
        <w:rPr/>
        <w:t>METHODOLOGY:</w:t>
      </w:r>
    </w:p>
    <w:p>
      <w:pPr>
        <w:pStyle w:val="BodyText"/>
        <w:spacing w:before="8"/>
        <w:rPr>
          <w:b/>
          <w:sz w:val="19"/>
        </w:rPr>
      </w:pPr>
    </w:p>
    <w:p>
      <w:pPr>
        <w:pStyle w:val="BodyText"/>
        <w:ind w:left="270" w:right="118"/>
      </w:pPr>
      <w:r>
        <w:rPr/>
        <w:t>Several authors have made different classifications of existing methods of postural assessment.</w:t>
      </w:r>
    </w:p>
    <w:p>
      <w:pPr>
        <w:pStyle w:val="BodyText"/>
        <w:ind w:left="270" w:firstLine="430"/>
        <w:jc w:val="both"/>
      </w:pPr>
      <w:r>
        <w:rPr/>
        <w:t>Depending on how to get the data for risk assessment can be divided into two groups: indirect and direct methods. Indirect methods assess risk exposure by subjective assessments of individual observation techniques or systems capable of predicting the valuation that an expert would. On the other hand, direct methods by evaluating the risk  of direct measurement risk factors.</w:t>
      </w:r>
    </w:p>
    <w:p>
      <w:pPr>
        <w:pStyle w:val="BodyText"/>
        <w:ind w:left="270"/>
      </w:pPr>
      <w:r>
        <w:rPr/>
        <w:pict>
          <v:group style="width:220.5pt;height:238pt;mso-position-horizontal-relative:char;mso-position-vertical-relative:line" coordorigin="0,0" coordsize="4410,4760">
            <v:shape style="position:absolute;left:0;top:0;width:4410;height:2317" type="#_x0000_t75" stroked="false">
              <v:imagedata r:id="rId356" o:title=""/>
            </v:shape>
            <v:shape style="position:absolute;left:550;top:2317;width:3818;height:2442" type="#_x0000_t75" stroked="false">
              <v:imagedata r:id="rId357" o:title=""/>
            </v:shape>
          </v:group>
        </w:pict>
      </w:r>
      <w:r>
        <w:rPr/>
      </w:r>
    </w:p>
    <w:p>
      <w:pPr>
        <w:pStyle w:val="BodyText"/>
        <w:ind w:left="357" w:right="89"/>
        <w:jc w:val="center"/>
      </w:pPr>
      <w:r>
        <w:rPr/>
        <w:t>Figure1. Lifting of loads</w:t>
      </w:r>
    </w:p>
    <w:p>
      <w:pPr>
        <w:pStyle w:val="BodyText"/>
        <w:spacing w:before="11"/>
        <w:rPr>
          <w:sz w:val="19"/>
        </w:rPr>
      </w:pPr>
    </w:p>
    <w:p>
      <w:pPr>
        <w:pStyle w:val="ListParagraph"/>
        <w:numPr>
          <w:ilvl w:val="1"/>
          <w:numId w:val="85"/>
        </w:numPr>
        <w:tabs>
          <w:tab w:pos="623" w:val="left" w:leader="none"/>
        </w:tabs>
        <w:spacing w:line="240" w:lineRule="auto" w:before="0" w:after="0"/>
        <w:ind w:left="622" w:right="0" w:hanging="352"/>
        <w:jc w:val="both"/>
        <w:rPr>
          <w:sz w:val="20"/>
        </w:rPr>
      </w:pPr>
      <w:r>
        <w:rPr>
          <w:sz w:val="20"/>
          <w:u w:val="single"/>
        </w:rPr>
        <w:t>Methods of</w:t>
      </w:r>
      <w:r>
        <w:rPr>
          <w:spacing w:val="-13"/>
          <w:sz w:val="20"/>
          <w:u w:val="single"/>
        </w:rPr>
        <w:t> </w:t>
      </w:r>
      <w:r>
        <w:rPr>
          <w:sz w:val="20"/>
          <w:u w:val="single"/>
        </w:rPr>
        <w:t>self-worth</w:t>
      </w:r>
    </w:p>
    <w:p>
      <w:pPr>
        <w:pStyle w:val="BodyText"/>
        <w:spacing w:before="11"/>
        <w:rPr>
          <w:sz w:val="19"/>
        </w:rPr>
      </w:pPr>
    </w:p>
    <w:p>
      <w:pPr>
        <w:pStyle w:val="BodyText"/>
        <w:ind w:left="270"/>
        <w:jc w:val="both"/>
      </w:pPr>
      <w:r>
        <w:rPr/>
        <w:t>Self-assessment by the operators can be used to collect data in the workplace on the exposure risk of physical and psychosocial factors. Interviews and questionnaires were used. The information collected includes demographics, symptoms, pain, awkward postures and subjective levels of use of force, among others.</w:t>
      </w:r>
    </w:p>
    <w:p>
      <w:pPr>
        <w:pStyle w:val="BodyText"/>
        <w:ind w:left="270" w:firstLine="430"/>
        <w:jc w:val="both"/>
      </w:pPr>
      <w:r>
        <w:rPr/>
        <w:t>These methods collect data directly from the people doing the work are applicable to a wide range of work situations, and a priori low cost. However, if you want to ensure the validity of the conclusions is required size high population studied and adequate knowledge to manage the data, so the cost may be higher than expected. The biggest problem is that the operator may be inaccurate and provide data that do not reflect reality. In any case, such methods risk identification and assessment is not clear and its validation and reliability are not very high.</w:t>
      </w:r>
    </w:p>
    <w:p>
      <w:pPr>
        <w:pStyle w:val="BodyText"/>
        <w:spacing w:before="11"/>
        <w:rPr>
          <w:sz w:val="19"/>
        </w:rPr>
      </w:pPr>
    </w:p>
    <w:p>
      <w:pPr>
        <w:pStyle w:val="ListParagraph"/>
        <w:numPr>
          <w:ilvl w:val="1"/>
          <w:numId w:val="85"/>
        </w:numPr>
        <w:tabs>
          <w:tab w:pos="622" w:val="left" w:leader="none"/>
        </w:tabs>
        <w:spacing w:line="240" w:lineRule="auto" w:before="0" w:after="0"/>
        <w:ind w:left="621" w:right="0" w:hanging="351"/>
        <w:jc w:val="both"/>
        <w:rPr>
          <w:sz w:val="20"/>
        </w:rPr>
      </w:pPr>
      <w:r>
        <w:rPr>
          <w:sz w:val="20"/>
          <w:u w:val="single"/>
        </w:rPr>
        <w:t>Observing</w:t>
      </w:r>
      <w:r>
        <w:rPr>
          <w:spacing w:val="-8"/>
          <w:sz w:val="20"/>
          <w:u w:val="single"/>
        </w:rPr>
        <w:t> </w:t>
      </w:r>
      <w:r>
        <w:rPr>
          <w:sz w:val="20"/>
          <w:u w:val="single"/>
        </w:rPr>
        <w:t>Methods</w:t>
      </w:r>
    </w:p>
    <w:p>
      <w:pPr>
        <w:pStyle w:val="BodyText"/>
      </w:pPr>
    </w:p>
    <w:p>
      <w:pPr>
        <w:pStyle w:val="BodyText"/>
        <w:spacing w:before="1"/>
        <w:ind w:left="270" w:right="-2"/>
      </w:pPr>
      <w:r>
        <w:rPr/>
        <w:t>Observational methods are based on the study and observation guides allow conclusions about the presence and</w:t>
      </w:r>
    </w:p>
    <w:p>
      <w:pPr>
        <w:pStyle w:val="BodyText"/>
        <w:ind w:left="270"/>
        <w:jc w:val="both"/>
      </w:pPr>
      <w:r>
        <w:rPr/>
        <w:t>/  or  level  of  risk.  In  general  they  are  more  suitable   for</w:t>
      </w:r>
    </w:p>
    <w:p>
      <w:pPr>
        <w:pStyle w:val="BodyText"/>
        <w:spacing w:before="74"/>
        <w:ind w:left="270" w:right="675"/>
        <w:jc w:val="both"/>
      </w:pPr>
      <w:r>
        <w:rPr/>
        <w:br w:type="column"/>
      </w:r>
      <w:r>
        <w:rPr/>
        <w:t>sustained postures and repetitive work. These methods have economic advantages because it does not require previous knowledge and can be used in different work environments without interrupting the work of the operator. On the other hand, its disadvantages include its lack of accuracy as well as the great variability and subjectivity in the observation applies[3].</w:t>
      </w:r>
    </w:p>
    <w:p>
      <w:pPr>
        <w:pStyle w:val="BodyText"/>
        <w:ind w:left="270" w:right="676" w:firstLine="430"/>
        <w:jc w:val="both"/>
      </w:pPr>
      <w:r>
        <w:rPr/>
        <w:t>The method according OWAS [1], the results are  based on the observation of the different positions taken by the employee during the course of the task, allowing to identify up to 252 different positions as a result of the possible combinations of the position of the back (4 positions), arms (3 positions), legs (7 positions) and load lifted (three intervals).</w:t>
      </w:r>
      <w:r>
        <w:rPr>
          <w:spacing w:val="-17"/>
        </w:rPr>
        <w:t> </w:t>
      </w:r>
      <w:r>
        <w:rPr/>
        <w:t>[1]</w:t>
      </w:r>
    </w:p>
    <w:p>
      <w:pPr>
        <w:pStyle w:val="BodyText"/>
        <w:ind w:left="270" w:right="677" w:firstLine="430"/>
        <w:jc w:val="both"/>
      </w:pPr>
      <w:r>
        <w:rPr/>
        <w:t>The method assigns four digits each posture observed depending on the position of the back, arms, legs and supported load, thus setting the identification code or "code position"</w:t>
      </w:r>
    </w:p>
    <w:p>
      <w:pPr>
        <w:pStyle w:val="BodyText"/>
        <w:ind w:left="270" w:right="676" w:firstLine="430"/>
        <w:jc w:val="both"/>
      </w:pPr>
      <w:r>
        <w:rPr/>
        <w:t>The OWAS method[6] has a limitation noted. The method allows the identification of a number of basic positions back, arms and legs, which encodes each "code position" if however, does not allow a detailed study of the severity of each position.</w:t>
      </w:r>
    </w:p>
    <w:p>
      <w:pPr>
        <w:pStyle w:val="BodyText"/>
        <w:ind w:left="270" w:right="675" w:firstLine="430"/>
        <w:jc w:val="both"/>
      </w:pPr>
      <w:r>
        <w:rPr/>
        <w:t>For example, the method identifies whether the worker performs his task with knees bent or not, does not distinguish between various degrees of flexion. Two positions with identical coding may vary in degree of  flexion of the legs, and consequently in the level of discomfort to the</w:t>
      </w:r>
      <w:r>
        <w:rPr>
          <w:spacing w:val="-8"/>
        </w:rPr>
        <w:t> </w:t>
      </w:r>
      <w:r>
        <w:rPr/>
        <w:t>worker.</w:t>
      </w:r>
    </w:p>
    <w:p>
      <w:pPr>
        <w:pStyle w:val="BodyText"/>
        <w:ind w:left="270" w:right="675" w:firstLine="430"/>
        <w:jc w:val="both"/>
      </w:pPr>
      <w:r>
        <w:rPr/>
        <w:t>Therefore, once identified critical positions by OWAS method, the complementary application of methods more specific, as to the classification of the severity of different positions, would help the evaluator to elaborate on the results[1].</w:t>
      </w:r>
    </w:p>
    <w:p>
      <w:pPr>
        <w:pStyle w:val="BodyText"/>
        <w:spacing w:before="9"/>
        <w:rPr>
          <w:sz w:val="16"/>
        </w:rPr>
      </w:pPr>
      <w:r>
        <w:rPr/>
        <w:drawing>
          <wp:anchor distT="0" distB="0" distL="0" distR="0" allowOverlap="1" layoutInCell="1" locked="0" behindDoc="0" simplePos="0" relativeHeight="10048">
            <wp:simplePos x="0" y="0"/>
            <wp:positionH relativeFrom="page">
              <wp:posOffset>4111752</wp:posOffset>
            </wp:positionH>
            <wp:positionV relativeFrom="paragraph">
              <wp:posOffset>147814</wp:posOffset>
            </wp:positionV>
            <wp:extent cx="2950226" cy="396049"/>
            <wp:effectExtent l="0" t="0" r="0" b="0"/>
            <wp:wrapTopAndBottom/>
            <wp:docPr id="363" name="image219.png" descr=""/>
            <wp:cNvGraphicFramePr>
              <a:graphicFrameLocks noChangeAspect="1"/>
            </wp:cNvGraphicFramePr>
            <a:graphic>
              <a:graphicData uri="http://schemas.openxmlformats.org/drawingml/2006/picture">
                <pic:pic>
                  <pic:nvPicPr>
                    <pic:cNvPr id="364" name="image219.png"/>
                    <pic:cNvPicPr/>
                  </pic:nvPicPr>
                  <pic:blipFill>
                    <a:blip r:embed="rId358" cstate="print"/>
                    <a:stretch>
                      <a:fillRect/>
                    </a:stretch>
                  </pic:blipFill>
                  <pic:spPr>
                    <a:xfrm>
                      <a:off x="0" y="0"/>
                      <a:ext cx="2950226" cy="396049"/>
                    </a:xfrm>
                    <a:prstGeom prst="rect">
                      <a:avLst/>
                    </a:prstGeom>
                  </pic:spPr>
                </pic:pic>
              </a:graphicData>
            </a:graphic>
          </wp:anchor>
        </w:drawing>
      </w:r>
    </w:p>
    <w:p>
      <w:pPr>
        <w:pStyle w:val="BodyText"/>
        <w:spacing w:before="4"/>
        <w:rPr>
          <w:sz w:val="17"/>
        </w:rPr>
      </w:pPr>
    </w:p>
    <w:p>
      <w:pPr>
        <w:pStyle w:val="ListParagraph"/>
        <w:numPr>
          <w:ilvl w:val="1"/>
          <w:numId w:val="86"/>
        </w:numPr>
        <w:tabs>
          <w:tab w:pos="584" w:val="left" w:leader="none"/>
        </w:tabs>
        <w:spacing w:line="240" w:lineRule="auto" w:before="0" w:after="0"/>
        <w:ind w:left="270" w:right="678" w:firstLine="0"/>
        <w:jc w:val="both"/>
        <w:rPr>
          <w:sz w:val="20"/>
        </w:rPr>
      </w:pPr>
      <w:r>
        <w:rPr>
          <w:sz w:val="20"/>
        </w:rPr>
        <w:t>T</w:t>
      </w:r>
      <w:r>
        <w:rPr>
          <w:sz w:val="20"/>
          <w:u w:val="single"/>
        </w:rPr>
        <w:t>he method of application of the method is, in short, as </w:t>
      </w:r>
      <w:r>
        <w:rPr>
          <w:sz w:val="20"/>
          <w:u w:val="single"/>
        </w:rPr>
        <w:t>follows</w:t>
      </w:r>
      <w:r>
        <w:rPr>
          <w:spacing w:val="-6"/>
          <w:sz w:val="20"/>
          <w:u w:val="single"/>
        </w:rPr>
        <w:t> </w:t>
      </w:r>
      <w:r>
        <w:rPr>
          <w:sz w:val="20"/>
          <w:u w:val="single"/>
        </w:rPr>
        <w:t>[1]:</w:t>
      </w:r>
    </w:p>
    <w:p>
      <w:pPr>
        <w:pStyle w:val="BodyText"/>
        <w:spacing w:before="11"/>
        <w:rPr>
          <w:sz w:val="19"/>
        </w:rPr>
      </w:pPr>
    </w:p>
    <w:p>
      <w:pPr>
        <w:pStyle w:val="ListParagraph"/>
        <w:numPr>
          <w:ilvl w:val="0"/>
          <w:numId w:val="87"/>
        </w:numPr>
        <w:tabs>
          <w:tab w:pos="487" w:val="left" w:leader="none"/>
        </w:tabs>
        <w:spacing w:line="240" w:lineRule="auto" w:before="0" w:after="0"/>
        <w:ind w:left="270" w:right="677" w:firstLine="0"/>
        <w:jc w:val="both"/>
        <w:rPr>
          <w:sz w:val="20"/>
        </w:rPr>
      </w:pPr>
      <w:r>
        <w:rPr>
          <w:sz w:val="20"/>
        </w:rPr>
        <w:t>Determine if the observation of the task must be divided into several phases or stages, in order to facilitate observation (Single or Multi-stage</w:t>
      </w:r>
      <w:r>
        <w:rPr>
          <w:spacing w:val="-26"/>
          <w:sz w:val="20"/>
        </w:rPr>
        <w:t> </w:t>
      </w:r>
      <w:r>
        <w:rPr>
          <w:sz w:val="20"/>
        </w:rPr>
        <w:t>evaluation).</w:t>
      </w:r>
    </w:p>
    <w:p>
      <w:pPr>
        <w:pStyle w:val="ListParagraph"/>
        <w:numPr>
          <w:ilvl w:val="0"/>
          <w:numId w:val="87"/>
        </w:numPr>
        <w:tabs>
          <w:tab w:pos="478" w:val="left" w:leader="none"/>
        </w:tabs>
        <w:spacing w:line="240" w:lineRule="auto" w:before="0" w:after="0"/>
        <w:ind w:left="270" w:right="677" w:firstLine="0"/>
        <w:jc w:val="both"/>
        <w:rPr>
          <w:sz w:val="20"/>
        </w:rPr>
      </w:pPr>
      <w:r>
        <w:rPr>
          <w:sz w:val="20"/>
        </w:rPr>
        <w:t>Set the total observation time of the task (between 20 and 40</w:t>
      </w:r>
      <w:r>
        <w:rPr>
          <w:spacing w:val="-5"/>
          <w:sz w:val="20"/>
        </w:rPr>
        <w:t> </w:t>
      </w:r>
      <w:r>
        <w:rPr>
          <w:sz w:val="20"/>
        </w:rPr>
        <w:t>minutes).</w:t>
      </w:r>
    </w:p>
    <w:p>
      <w:pPr>
        <w:pStyle w:val="ListParagraph"/>
        <w:numPr>
          <w:ilvl w:val="0"/>
          <w:numId w:val="87"/>
        </w:numPr>
        <w:tabs>
          <w:tab w:pos="491" w:val="left" w:leader="none"/>
        </w:tabs>
        <w:spacing w:line="240" w:lineRule="auto" w:before="0" w:after="0"/>
        <w:ind w:left="270" w:right="678" w:firstLine="0"/>
        <w:jc w:val="both"/>
        <w:rPr>
          <w:sz w:val="20"/>
        </w:rPr>
      </w:pPr>
      <w:r>
        <w:rPr>
          <w:sz w:val="20"/>
        </w:rPr>
        <w:t>To determine the duration of the time intervals in which the observation is divided (the method proposed time intervals between 30 and 60</w:t>
      </w:r>
      <w:r>
        <w:rPr>
          <w:spacing w:val="-14"/>
          <w:sz w:val="20"/>
        </w:rPr>
        <w:t> </w:t>
      </w:r>
      <w:r>
        <w:rPr>
          <w:sz w:val="20"/>
        </w:rPr>
        <w:t>seconds.)</w:t>
      </w:r>
    </w:p>
    <w:p>
      <w:pPr>
        <w:pStyle w:val="ListParagraph"/>
        <w:numPr>
          <w:ilvl w:val="0"/>
          <w:numId w:val="87"/>
        </w:numPr>
        <w:tabs>
          <w:tab w:pos="490" w:val="left" w:leader="none"/>
        </w:tabs>
        <w:spacing w:line="240" w:lineRule="auto" w:before="0" w:after="0"/>
        <w:ind w:left="270" w:right="676" w:firstLine="0"/>
        <w:jc w:val="both"/>
        <w:rPr>
          <w:sz w:val="20"/>
        </w:rPr>
      </w:pPr>
      <w:r>
        <w:rPr>
          <w:sz w:val="20"/>
        </w:rPr>
        <w:t>Identify, during the observation of the task or phase, the different positions taken by the worker. For each position, determine the position of the back, arms and legs as well as the load being</w:t>
      </w:r>
      <w:r>
        <w:rPr>
          <w:spacing w:val="-11"/>
          <w:sz w:val="20"/>
        </w:rPr>
        <w:t> </w:t>
      </w:r>
      <w:r>
        <w:rPr>
          <w:sz w:val="20"/>
        </w:rPr>
        <w:t>lifted.</w:t>
      </w:r>
    </w:p>
    <w:p>
      <w:pPr>
        <w:pStyle w:val="ListParagraph"/>
        <w:numPr>
          <w:ilvl w:val="0"/>
          <w:numId w:val="87"/>
        </w:numPr>
        <w:tabs>
          <w:tab w:pos="508" w:val="left" w:leader="none"/>
        </w:tabs>
        <w:spacing w:line="240" w:lineRule="auto" w:before="0" w:after="0"/>
        <w:ind w:left="270" w:right="678" w:firstLine="0"/>
        <w:jc w:val="both"/>
        <w:rPr>
          <w:sz w:val="20"/>
        </w:rPr>
      </w:pPr>
      <w:r>
        <w:rPr>
          <w:sz w:val="20"/>
        </w:rPr>
        <w:t>Encode the observed positions, assigning each position and load the values of the digits that make up its "code position"</w:t>
      </w:r>
      <w:r>
        <w:rPr>
          <w:spacing w:val="-12"/>
          <w:sz w:val="20"/>
        </w:rPr>
        <w:t> </w:t>
      </w:r>
      <w:r>
        <w:rPr>
          <w:sz w:val="20"/>
        </w:rPr>
        <w:t>identifier.</w:t>
      </w:r>
    </w:p>
    <w:p>
      <w:pPr>
        <w:spacing w:after="0" w:line="240" w:lineRule="auto"/>
        <w:jc w:val="both"/>
        <w:rPr>
          <w:sz w:val="20"/>
        </w:rPr>
        <w:sectPr>
          <w:type w:val="continuous"/>
          <w:pgSz w:w="12240" w:h="15840"/>
          <w:pgMar w:top="1500" w:bottom="280" w:left="580" w:right="220"/>
          <w:cols w:num="2" w:equalWidth="0">
            <w:col w:w="5190" w:space="435"/>
            <w:col w:w="5815"/>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ListParagraph"/>
        <w:numPr>
          <w:ilvl w:val="0"/>
          <w:numId w:val="87"/>
        </w:numPr>
        <w:tabs>
          <w:tab w:pos="487" w:val="left" w:leader="none"/>
        </w:tabs>
        <w:spacing w:line="240" w:lineRule="auto" w:before="74" w:after="0"/>
        <w:ind w:left="270" w:right="0" w:firstLine="0"/>
        <w:jc w:val="both"/>
        <w:rPr>
          <w:sz w:val="20"/>
        </w:rPr>
      </w:pPr>
      <w:r>
        <w:rPr>
          <w:sz w:val="20"/>
        </w:rPr>
        <w:t>Calculate for each "code position" risk category to which  it belongs, in order to identify those critical positions or higher level of risk to the worker. The calculation of the percentage of positions listed in each risk category, it may be useful for the determination of these critical</w:t>
      </w:r>
      <w:r>
        <w:rPr>
          <w:spacing w:val="-28"/>
          <w:sz w:val="20"/>
        </w:rPr>
        <w:t> </w:t>
      </w:r>
      <w:r>
        <w:rPr>
          <w:sz w:val="20"/>
        </w:rPr>
        <w:t>positions.</w:t>
      </w:r>
    </w:p>
    <w:p>
      <w:pPr>
        <w:pStyle w:val="ListParagraph"/>
        <w:numPr>
          <w:ilvl w:val="0"/>
          <w:numId w:val="87"/>
        </w:numPr>
        <w:tabs>
          <w:tab w:pos="583" w:val="left" w:leader="none"/>
        </w:tabs>
        <w:spacing w:line="240" w:lineRule="auto" w:before="0" w:after="0"/>
        <w:ind w:left="270" w:right="1" w:firstLine="0"/>
        <w:jc w:val="both"/>
        <w:rPr>
          <w:sz w:val="20"/>
        </w:rPr>
      </w:pPr>
      <w:r>
        <w:rPr>
          <w:sz w:val="20"/>
        </w:rPr>
        <w:t>Calculate the percentage of repetitions or relative frequency of each position of the back, arms and legs with respect to the other. (Note: OWAS method does not allow calculating the risk associated with the relative frequency of lifted loads, however, the calculation can guide the evaluator on the need for further study of lifting</w:t>
      </w:r>
      <w:r>
        <w:rPr>
          <w:spacing w:val="-28"/>
          <w:sz w:val="20"/>
        </w:rPr>
        <w:t> </w:t>
      </w:r>
      <w:r>
        <w:rPr>
          <w:sz w:val="20"/>
        </w:rPr>
        <w:t>loads).</w:t>
      </w:r>
    </w:p>
    <w:p>
      <w:pPr>
        <w:pStyle w:val="ListParagraph"/>
        <w:numPr>
          <w:ilvl w:val="0"/>
          <w:numId w:val="87"/>
        </w:numPr>
        <w:tabs>
          <w:tab w:pos="504" w:val="left" w:leader="none"/>
        </w:tabs>
        <w:spacing w:line="240" w:lineRule="auto" w:before="0" w:after="0"/>
        <w:ind w:left="270" w:right="1" w:firstLine="0"/>
        <w:jc w:val="both"/>
        <w:rPr>
          <w:sz w:val="20"/>
        </w:rPr>
      </w:pPr>
      <w:r>
        <w:rPr>
          <w:sz w:val="20"/>
        </w:rPr>
        <w:t>Determine, depending on the relative frequency of each position, risk category to which each position of the various parts of the body (back, arms and legs) belongs, in order to identify those that exhibit activity more critical</w:t>
      </w:r>
      <w:r>
        <w:rPr>
          <w:spacing w:val="-24"/>
          <w:sz w:val="20"/>
        </w:rPr>
        <w:t> </w:t>
      </w:r>
      <w:r>
        <w:rPr>
          <w:sz w:val="20"/>
        </w:rPr>
        <w:t>.</w:t>
      </w:r>
    </w:p>
    <w:p>
      <w:pPr>
        <w:pStyle w:val="ListParagraph"/>
        <w:numPr>
          <w:ilvl w:val="0"/>
          <w:numId w:val="87"/>
        </w:numPr>
        <w:tabs>
          <w:tab w:pos="548" w:val="left" w:leader="none"/>
        </w:tabs>
        <w:spacing w:line="240" w:lineRule="auto" w:before="0" w:after="0"/>
        <w:ind w:left="270" w:right="1" w:firstLine="0"/>
        <w:jc w:val="both"/>
        <w:rPr>
          <w:sz w:val="20"/>
        </w:rPr>
      </w:pPr>
      <w:r>
        <w:rPr>
          <w:sz w:val="20"/>
        </w:rPr>
        <w:t>Determine, based on calculated risks, and corrective actions required</w:t>
      </w:r>
      <w:r>
        <w:rPr>
          <w:spacing w:val="-8"/>
          <w:sz w:val="20"/>
        </w:rPr>
        <w:t> </w:t>
      </w:r>
      <w:r>
        <w:rPr>
          <w:sz w:val="20"/>
        </w:rPr>
        <w:t>redesign.</w:t>
      </w:r>
    </w:p>
    <w:p>
      <w:pPr>
        <w:pStyle w:val="ListParagraph"/>
        <w:numPr>
          <w:ilvl w:val="0"/>
          <w:numId w:val="87"/>
        </w:numPr>
        <w:tabs>
          <w:tab w:pos="613" w:val="left" w:leader="none"/>
        </w:tabs>
        <w:spacing w:line="240" w:lineRule="auto" w:before="0" w:after="0"/>
        <w:ind w:left="270" w:right="1" w:firstLine="0"/>
        <w:jc w:val="both"/>
        <w:rPr>
          <w:sz w:val="20"/>
        </w:rPr>
      </w:pPr>
      <w:r>
        <w:rPr>
          <w:sz w:val="20"/>
        </w:rPr>
        <w:t>If you have made changes, reassess the task with the OWAS method to check the effectiveness of the improvement.</w:t>
      </w:r>
    </w:p>
    <w:p>
      <w:pPr>
        <w:pStyle w:val="BodyText"/>
        <w:ind w:left="270" w:firstLine="430"/>
        <w:jc w:val="both"/>
      </w:pPr>
      <w:r>
        <w:rPr/>
        <w:t>The interaction between the observable data recording and processing by computer technology is an attractive mixture to achieve accurate results; however, should be considered a disadvantage in OWAS [5]. For example, the method identifies whether the worker performs his task with knees bent or not, does not distinguish between various degrees of flexion. Two positions with identical coding may vary in degree of flexion of the legs, and consequently, in the level of discomfort to the worker [2].</w:t>
      </w:r>
    </w:p>
    <w:p>
      <w:pPr>
        <w:pStyle w:val="BodyText"/>
        <w:ind w:left="270" w:right="1" w:firstLine="430"/>
        <w:jc w:val="both"/>
      </w:pPr>
      <w:r>
        <w:rPr/>
        <w:t>Therefore, once identified critical positions by OWAS method, the complementary application of methods more specific, as to the classification of the severity of different positions, would help the evaluator to elaborate on the  results. And, as mentioned above, there are complementary methods OWAS ergonomic evaluation and whose interaction will allow us to implement a system of precise and reliable evaluation. Consequently, whatever the disadvantage mentioned, the method OWAS remain, at least at present, one of the most effective and accurate for the ergonomic evaluation of</w:t>
      </w:r>
      <w:r>
        <w:rPr>
          <w:spacing w:val="-7"/>
        </w:rPr>
        <w:t> </w:t>
      </w:r>
      <w:r>
        <w:rPr/>
        <w:t>jobs.</w:t>
      </w:r>
    </w:p>
    <w:p>
      <w:pPr>
        <w:pStyle w:val="BodyText"/>
        <w:ind w:left="270" w:right="1" w:firstLine="430"/>
        <w:jc w:val="both"/>
      </w:pPr>
      <w:r>
        <w:rPr/>
        <w:t>Then the form of coding and classification of the positions given by the method is as follows:</w:t>
      </w:r>
    </w:p>
    <w:p>
      <w:pPr>
        <w:pStyle w:val="BodyText"/>
      </w:pPr>
    </w:p>
    <w:p>
      <w:pPr>
        <w:pStyle w:val="BodyText"/>
      </w:pPr>
    </w:p>
    <w:p>
      <w:pPr>
        <w:pStyle w:val="ListParagraph"/>
        <w:numPr>
          <w:ilvl w:val="1"/>
          <w:numId w:val="86"/>
        </w:numPr>
        <w:tabs>
          <w:tab w:pos="522" w:val="left" w:leader="none"/>
        </w:tabs>
        <w:spacing w:line="240" w:lineRule="auto" w:before="0" w:after="0"/>
        <w:ind w:left="522" w:right="0" w:hanging="252"/>
        <w:jc w:val="both"/>
        <w:rPr>
          <w:sz w:val="20"/>
        </w:rPr>
      </w:pPr>
      <w:r>
        <w:rPr>
          <w:w w:val="100"/>
          <w:sz w:val="20"/>
          <w:u w:val="single"/>
        </w:rPr>
        <w:t> </w:t>
      </w:r>
      <w:r>
        <w:rPr>
          <w:sz w:val="20"/>
          <w:u w:val="single"/>
        </w:rPr>
        <w:t>Positions of the back: First digit "code</w:t>
      </w:r>
      <w:r>
        <w:rPr>
          <w:spacing w:val="-26"/>
          <w:sz w:val="20"/>
          <w:u w:val="single"/>
        </w:rPr>
        <w:t> </w:t>
      </w:r>
      <w:r>
        <w:rPr>
          <w:sz w:val="20"/>
          <w:u w:val="single"/>
        </w:rPr>
        <w:t>position"</w:t>
      </w:r>
    </w:p>
    <w:p>
      <w:pPr>
        <w:pStyle w:val="BodyText"/>
      </w:pPr>
    </w:p>
    <w:p>
      <w:pPr>
        <w:pStyle w:val="BodyText"/>
        <w:spacing w:before="1"/>
        <w:ind w:left="270"/>
        <w:jc w:val="both"/>
      </w:pPr>
      <w:r>
        <w:rPr/>
        <w:t>The first member to codify be back. To set the value of the digit that represents it must be determined whether the position taken by the sword is right, bend, twist or bend with Rotate. The value of the first digit "code position" will get consulted the table 1.</w:t>
      </w:r>
    </w:p>
    <w:p>
      <w:pPr>
        <w:pStyle w:val="BodyText"/>
      </w:pPr>
      <w:r>
        <w:rPr/>
        <w:br w:type="column"/>
      </w:r>
      <w:r>
        <w:rPr/>
      </w:r>
    </w:p>
    <w:p>
      <w:pPr>
        <w:pStyle w:val="BodyText"/>
      </w:pPr>
    </w:p>
    <w:p>
      <w:pPr>
        <w:pStyle w:val="BodyText"/>
      </w:pPr>
    </w:p>
    <w:p>
      <w:pPr>
        <w:pStyle w:val="BodyText"/>
      </w:pPr>
    </w:p>
    <w:p>
      <w:pPr>
        <w:pStyle w:val="BodyText"/>
        <w:spacing w:before="5"/>
        <w:rPr>
          <w:sz w:val="26"/>
        </w:rPr>
      </w:pPr>
    </w:p>
    <w:p>
      <w:pPr>
        <w:pStyle w:val="BodyText"/>
        <w:ind w:left="1200" w:right="702"/>
      </w:pPr>
      <w:r>
        <w:rPr/>
        <w:t>Table 1. Coding of the back positions</w:t>
      </w:r>
    </w:p>
    <w:p>
      <w:pPr>
        <w:pStyle w:val="BodyText"/>
        <w:ind w:left="270"/>
      </w:pPr>
      <w:r>
        <w:rPr/>
        <w:drawing>
          <wp:inline distT="0" distB="0" distL="0" distR="0">
            <wp:extent cx="3034356" cy="2347722"/>
            <wp:effectExtent l="0" t="0" r="0" b="0"/>
            <wp:docPr id="365" name="image220.jpeg" descr=""/>
            <wp:cNvGraphicFramePr>
              <a:graphicFrameLocks noChangeAspect="1"/>
            </wp:cNvGraphicFramePr>
            <a:graphic>
              <a:graphicData uri="http://schemas.openxmlformats.org/drawingml/2006/picture">
                <pic:pic>
                  <pic:nvPicPr>
                    <pic:cNvPr id="366" name="image220.jpeg"/>
                    <pic:cNvPicPr/>
                  </pic:nvPicPr>
                  <pic:blipFill>
                    <a:blip r:embed="rId359" cstate="print"/>
                    <a:stretch>
                      <a:fillRect/>
                    </a:stretch>
                  </pic:blipFill>
                  <pic:spPr>
                    <a:xfrm>
                      <a:off x="0" y="0"/>
                      <a:ext cx="3034356" cy="2347722"/>
                    </a:xfrm>
                    <a:prstGeom prst="rect">
                      <a:avLst/>
                    </a:prstGeom>
                  </pic:spPr>
                </pic:pic>
              </a:graphicData>
            </a:graphic>
          </wp:inline>
        </w:drawing>
      </w:r>
      <w:r>
        <w:rPr/>
      </w:r>
    </w:p>
    <w:p>
      <w:pPr>
        <w:pStyle w:val="BodyText"/>
        <w:spacing w:before="5"/>
        <w:rPr>
          <w:sz w:val="18"/>
        </w:rPr>
      </w:pPr>
    </w:p>
    <w:p>
      <w:pPr>
        <w:pStyle w:val="ListParagraph"/>
        <w:numPr>
          <w:ilvl w:val="1"/>
          <w:numId w:val="86"/>
        </w:numPr>
        <w:tabs>
          <w:tab w:pos="522" w:val="left" w:leader="none"/>
        </w:tabs>
        <w:spacing w:line="240" w:lineRule="auto" w:before="0" w:after="0"/>
        <w:ind w:left="521" w:right="0" w:hanging="251"/>
        <w:jc w:val="both"/>
        <w:rPr>
          <w:sz w:val="20"/>
        </w:rPr>
      </w:pPr>
      <w:r>
        <w:rPr>
          <w:spacing w:val="-2"/>
          <w:w w:val="100"/>
          <w:sz w:val="20"/>
          <w:u w:val="single"/>
        </w:rPr>
        <w:t> </w:t>
      </w:r>
      <w:r>
        <w:rPr>
          <w:sz w:val="20"/>
          <w:u w:val="single"/>
        </w:rPr>
        <w:t>Arm positions: Second digit "code</w:t>
      </w:r>
      <w:r>
        <w:rPr>
          <w:spacing w:val="-15"/>
          <w:sz w:val="20"/>
          <w:u w:val="single"/>
        </w:rPr>
        <w:t> </w:t>
      </w:r>
      <w:r>
        <w:rPr>
          <w:sz w:val="20"/>
          <w:u w:val="single"/>
        </w:rPr>
        <w:t>position"</w:t>
      </w:r>
    </w:p>
    <w:p>
      <w:pPr>
        <w:pStyle w:val="BodyText"/>
        <w:spacing w:before="11"/>
        <w:rPr>
          <w:sz w:val="19"/>
        </w:rPr>
      </w:pPr>
    </w:p>
    <w:p>
      <w:pPr>
        <w:pStyle w:val="BodyText"/>
        <w:ind w:left="270" w:right="677"/>
        <w:jc w:val="both"/>
      </w:pPr>
      <w:r>
        <w:rPr/>
        <w:t>Next, will be analyzed the position of the arms. The value of the second digit of the "Code of posture" will be 1 if the two arms are low, 2 if one is low and one high, and finally 3 if both arms are raised, as shown in the following table 2.</w:t>
      </w:r>
    </w:p>
    <w:p>
      <w:pPr>
        <w:pStyle w:val="BodyText"/>
        <w:spacing w:before="11"/>
        <w:rPr>
          <w:sz w:val="19"/>
        </w:rPr>
      </w:pPr>
    </w:p>
    <w:p>
      <w:pPr>
        <w:pStyle w:val="BodyText"/>
        <w:ind w:left="1086" w:right="702"/>
      </w:pPr>
      <w:r>
        <w:rPr/>
        <w:t>Table 2. Coding of the positions of arms</w:t>
      </w:r>
    </w:p>
    <w:p>
      <w:pPr>
        <w:pStyle w:val="BodyText"/>
        <w:spacing w:before="10"/>
        <w:rPr>
          <w:sz w:val="16"/>
        </w:rPr>
      </w:pPr>
      <w:r>
        <w:rPr/>
        <w:drawing>
          <wp:anchor distT="0" distB="0" distL="0" distR="0" allowOverlap="1" layoutInCell="1" locked="0" behindDoc="0" simplePos="0" relativeHeight="10072">
            <wp:simplePos x="0" y="0"/>
            <wp:positionH relativeFrom="page">
              <wp:posOffset>4111752</wp:posOffset>
            </wp:positionH>
            <wp:positionV relativeFrom="paragraph">
              <wp:posOffset>148555</wp:posOffset>
            </wp:positionV>
            <wp:extent cx="3148868" cy="2160270"/>
            <wp:effectExtent l="0" t="0" r="0" b="0"/>
            <wp:wrapTopAndBottom/>
            <wp:docPr id="367" name="image221.jpeg" descr=""/>
            <wp:cNvGraphicFramePr>
              <a:graphicFrameLocks noChangeAspect="1"/>
            </wp:cNvGraphicFramePr>
            <a:graphic>
              <a:graphicData uri="http://schemas.openxmlformats.org/drawingml/2006/picture">
                <pic:pic>
                  <pic:nvPicPr>
                    <pic:cNvPr id="368" name="image221.jpeg"/>
                    <pic:cNvPicPr/>
                  </pic:nvPicPr>
                  <pic:blipFill>
                    <a:blip r:embed="rId360" cstate="print"/>
                    <a:stretch>
                      <a:fillRect/>
                    </a:stretch>
                  </pic:blipFill>
                  <pic:spPr>
                    <a:xfrm>
                      <a:off x="0" y="0"/>
                      <a:ext cx="3148868" cy="2160270"/>
                    </a:xfrm>
                    <a:prstGeom prst="rect">
                      <a:avLst/>
                    </a:prstGeom>
                  </pic:spPr>
                </pic:pic>
              </a:graphicData>
            </a:graphic>
          </wp:anchor>
        </w:drawing>
      </w:r>
    </w:p>
    <w:p>
      <w:pPr>
        <w:pStyle w:val="BodyText"/>
        <w:spacing w:before="9"/>
        <w:rPr>
          <w:sz w:val="16"/>
        </w:rPr>
      </w:pPr>
    </w:p>
    <w:p>
      <w:pPr>
        <w:pStyle w:val="ListParagraph"/>
        <w:numPr>
          <w:ilvl w:val="1"/>
          <w:numId w:val="86"/>
        </w:numPr>
        <w:tabs>
          <w:tab w:pos="522" w:val="left" w:leader="none"/>
        </w:tabs>
        <w:spacing w:line="240" w:lineRule="auto" w:before="0" w:after="0"/>
        <w:ind w:left="521" w:right="0" w:hanging="251"/>
        <w:jc w:val="both"/>
        <w:rPr>
          <w:sz w:val="20"/>
        </w:rPr>
      </w:pPr>
      <w:r>
        <w:rPr>
          <w:spacing w:val="-1"/>
          <w:w w:val="100"/>
          <w:sz w:val="20"/>
          <w:u w:val="single"/>
        </w:rPr>
        <w:t> </w:t>
      </w:r>
      <w:r>
        <w:rPr>
          <w:sz w:val="20"/>
          <w:u w:val="single"/>
        </w:rPr>
        <w:t>Leg positions: Third digit "code</w:t>
      </w:r>
      <w:r>
        <w:rPr>
          <w:spacing w:val="-18"/>
          <w:sz w:val="20"/>
          <w:u w:val="single"/>
        </w:rPr>
        <w:t> </w:t>
      </w:r>
      <w:r>
        <w:rPr>
          <w:sz w:val="20"/>
          <w:u w:val="single"/>
        </w:rPr>
        <w:t>position"</w:t>
      </w:r>
    </w:p>
    <w:p>
      <w:pPr>
        <w:pStyle w:val="BodyText"/>
        <w:spacing w:before="11"/>
        <w:rPr>
          <w:sz w:val="19"/>
        </w:rPr>
      </w:pPr>
    </w:p>
    <w:p>
      <w:pPr>
        <w:pStyle w:val="BodyText"/>
        <w:ind w:left="270" w:right="676"/>
        <w:jc w:val="both"/>
      </w:pPr>
      <w:r>
        <w:rPr/>
        <w:t>With the coding of the position of the legs, the first three digits of the "Code of posture" that identify body parts analyzed by the method is complete. Table 3 provides the digit value associated with the legs, considering as relevant 7 different</w:t>
      </w:r>
      <w:r>
        <w:rPr>
          <w:spacing w:val="-9"/>
        </w:rPr>
        <w:t> </w:t>
      </w:r>
      <w:r>
        <w:rPr/>
        <w:t>positions.</w:t>
      </w:r>
    </w:p>
    <w:p>
      <w:pPr>
        <w:spacing w:after="0"/>
        <w:jc w:val="both"/>
        <w:sectPr>
          <w:type w:val="continuous"/>
          <w:pgSz w:w="12240" w:h="15840"/>
          <w:pgMar w:top="1500" w:bottom="280" w:left="580" w:right="220"/>
          <w:cols w:num="2" w:equalWidth="0">
            <w:col w:w="5191" w:space="433"/>
            <w:col w:w="5816"/>
          </w:cols>
        </w:sectPr>
      </w:pPr>
    </w:p>
    <w:p>
      <w:pPr>
        <w:pStyle w:val="BodyText"/>
      </w:pPr>
    </w:p>
    <w:p>
      <w:pPr>
        <w:spacing w:after="0"/>
        <w:sectPr>
          <w:pgSz w:w="12240" w:h="15840"/>
          <w:pgMar w:header="545" w:footer="852" w:top="1060" w:bottom="1040" w:left="580" w:right="220"/>
        </w:sectPr>
      </w:pPr>
    </w:p>
    <w:p>
      <w:pPr>
        <w:pStyle w:val="BodyText"/>
        <w:spacing w:before="8"/>
        <w:rPr>
          <w:sz w:val="17"/>
        </w:rPr>
      </w:pPr>
    </w:p>
    <w:p>
      <w:pPr>
        <w:pStyle w:val="BodyText"/>
        <w:spacing w:before="1"/>
        <w:ind w:left="879" w:right="1199"/>
        <w:jc w:val="center"/>
      </w:pPr>
      <w:r>
        <w:rPr/>
        <w:drawing>
          <wp:anchor distT="0" distB="0" distL="0" distR="0" allowOverlap="1" layoutInCell="1" locked="0" behindDoc="0" simplePos="0" relativeHeight="10096">
            <wp:simplePos x="0" y="0"/>
            <wp:positionH relativeFrom="page">
              <wp:posOffset>540258</wp:posOffset>
            </wp:positionH>
            <wp:positionV relativeFrom="paragraph">
              <wp:posOffset>295229</wp:posOffset>
            </wp:positionV>
            <wp:extent cx="3501646" cy="3934777"/>
            <wp:effectExtent l="0" t="0" r="0" b="0"/>
            <wp:wrapNone/>
            <wp:docPr id="369" name="image222.jpeg" descr=""/>
            <wp:cNvGraphicFramePr>
              <a:graphicFrameLocks noChangeAspect="1"/>
            </wp:cNvGraphicFramePr>
            <a:graphic>
              <a:graphicData uri="http://schemas.openxmlformats.org/drawingml/2006/picture">
                <pic:pic>
                  <pic:nvPicPr>
                    <pic:cNvPr id="370" name="image222.jpeg"/>
                    <pic:cNvPicPr/>
                  </pic:nvPicPr>
                  <pic:blipFill>
                    <a:blip r:embed="rId361" cstate="print"/>
                    <a:stretch>
                      <a:fillRect/>
                    </a:stretch>
                  </pic:blipFill>
                  <pic:spPr>
                    <a:xfrm>
                      <a:off x="0" y="0"/>
                      <a:ext cx="3501646" cy="3934777"/>
                    </a:xfrm>
                    <a:prstGeom prst="rect">
                      <a:avLst/>
                    </a:prstGeom>
                  </pic:spPr>
                </pic:pic>
              </a:graphicData>
            </a:graphic>
          </wp:anchor>
        </w:drawing>
      </w:r>
      <w:r>
        <w:rPr/>
        <w:t>Table 3. Coding of the positions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5"/>
        <w:rPr>
          <w:sz w:val="18"/>
        </w:rPr>
      </w:pPr>
    </w:p>
    <w:p>
      <w:pPr>
        <w:pStyle w:val="BodyText"/>
        <w:ind w:left="270"/>
        <w:jc w:val="both"/>
      </w:pPr>
      <w:r>
        <w:rPr/>
        <w:t>4.8 </w:t>
      </w:r>
      <w:r>
        <w:rPr>
          <w:u w:val="single"/>
        </w:rPr>
        <w:t>Loads and forces supported: Fourth digit "code position"</w:t>
      </w:r>
    </w:p>
    <w:p>
      <w:pPr>
        <w:pStyle w:val="BodyText"/>
      </w:pPr>
    </w:p>
    <w:p>
      <w:pPr>
        <w:pStyle w:val="BodyText"/>
        <w:spacing w:before="1"/>
        <w:ind w:left="270" w:right="591"/>
        <w:jc w:val="both"/>
      </w:pPr>
      <w:r>
        <w:rPr/>
        <w:t>Finally, it must determine what range of loads, among the three proposed by the method belongs to the worker rises when it adopts the posture. The query in Table 4 allow the assessor to assign the fourth digit of the code in configuration, ending at this point coding posture for studies of a single task (single evaluation).</w:t>
      </w:r>
    </w:p>
    <w:p>
      <w:pPr>
        <w:pStyle w:val="BodyText"/>
      </w:pPr>
    </w:p>
    <w:p>
      <w:pPr>
        <w:pStyle w:val="BodyText"/>
      </w:pPr>
    </w:p>
    <w:p>
      <w:pPr>
        <w:pStyle w:val="BodyText"/>
        <w:ind w:left="879" w:right="1201"/>
        <w:jc w:val="center"/>
      </w:pPr>
      <w:r>
        <w:rPr/>
        <w:t>Table 4. Coding loading and supported forces</w:t>
      </w:r>
    </w:p>
    <w:p>
      <w:pPr>
        <w:pStyle w:val="BodyText"/>
        <w:spacing w:before="8"/>
        <w:rPr>
          <w:sz w:val="17"/>
        </w:rPr>
      </w:pPr>
      <w:r>
        <w:rPr/>
        <w:br w:type="column"/>
      </w:r>
      <w:r>
        <w:rPr>
          <w:sz w:val="17"/>
        </w:rPr>
      </w:r>
    </w:p>
    <w:p>
      <w:pPr>
        <w:pStyle w:val="ListParagraph"/>
        <w:numPr>
          <w:ilvl w:val="1"/>
          <w:numId w:val="86"/>
        </w:numPr>
        <w:tabs>
          <w:tab w:pos="326" w:val="left" w:leader="none"/>
        </w:tabs>
        <w:spacing w:line="240" w:lineRule="auto" w:before="1" w:after="0"/>
        <w:ind w:left="325" w:right="0" w:hanging="251"/>
        <w:jc w:val="both"/>
        <w:rPr>
          <w:sz w:val="20"/>
        </w:rPr>
      </w:pPr>
      <w:r>
        <w:rPr>
          <w:w w:val="100"/>
          <w:sz w:val="20"/>
          <w:u w:val="single"/>
        </w:rPr>
        <w:t> </w:t>
      </w:r>
      <w:r>
        <w:rPr>
          <w:sz w:val="20"/>
          <w:u w:val="single"/>
        </w:rPr>
        <w:t>Phase encoding: Fifth digit "code</w:t>
      </w:r>
      <w:r>
        <w:rPr>
          <w:spacing w:val="-23"/>
          <w:sz w:val="20"/>
          <w:u w:val="single"/>
        </w:rPr>
        <w:t> </w:t>
      </w:r>
      <w:r>
        <w:rPr>
          <w:sz w:val="20"/>
          <w:u w:val="single"/>
        </w:rPr>
        <w:t>position"</w:t>
      </w:r>
    </w:p>
    <w:p>
      <w:pPr>
        <w:pStyle w:val="BodyText"/>
      </w:pPr>
    </w:p>
    <w:p>
      <w:pPr>
        <w:pStyle w:val="BodyText"/>
        <w:spacing w:before="1"/>
        <w:ind w:left="74" w:right="676"/>
        <w:jc w:val="both"/>
      </w:pPr>
      <w:r>
        <w:rPr/>
        <w:t>The fifth digit of the "Code of posture," identifies the phase has been observed posture, therefore, this value will only make sense to those observations in which the evaluator, usually for reasons of clarity and simplification, decides to divide task studied in more than one phase, ie for assessments type "Multi-stage".</w:t>
      </w:r>
    </w:p>
    <w:p>
      <w:pPr>
        <w:pStyle w:val="BodyText"/>
        <w:ind w:left="74" w:right="676" w:firstLine="430"/>
        <w:jc w:val="both"/>
      </w:pPr>
      <w:r>
        <w:rPr/>
        <w:t>The original method does not set specific values for  the digit of phase, so, the evaluator will be the criterion which determines those values. Loads and forces supported: Fourth digit of the "Code of</w:t>
      </w:r>
      <w:r>
        <w:rPr>
          <w:spacing w:val="-13"/>
        </w:rPr>
        <w:t> </w:t>
      </w:r>
      <w:r>
        <w:rPr/>
        <w:t>position"</w:t>
      </w:r>
    </w:p>
    <w:p>
      <w:pPr>
        <w:pStyle w:val="BodyText"/>
        <w:ind w:left="74" w:right="676" w:firstLine="430"/>
        <w:jc w:val="both"/>
      </w:pPr>
      <w:r>
        <w:rPr/>
        <w:t>For each risk category is assigned a color code in order to facilitate their identification tables.</w:t>
      </w:r>
    </w:p>
    <w:p>
      <w:pPr>
        <w:pStyle w:val="BodyText"/>
        <w:spacing w:before="11"/>
        <w:rPr>
          <w:sz w:val="19"/>
        </w:rPr>
      </w:pPr>
    </w:p>
    <w:p>
      <w:pPr>
        <w:pStyle w:val="BodyText"/>
        <w:ind w:left="186" w:hanging="62"/>
      </w:pPr>
      <w:r>
        <w:rPr/>
        <w:t>Table 5. Table of  categories of risk and Corrective Actions</w:t>
      </w:r>
    </w:p>
    <w:p>
      <w:pPr>
        <w:pStyle w:val="BodyText"/>
        <w:ind w:left="74"/>
      </w:pPr>
      <w:r>
        <w:rPr/>
        <w:drawing>
          <wp:inline distT="0" distB="0" distL="0" distR="0">
            <wp:extent cx="3214794" cy="2684049"/>
            <wp:effectExtent l="0" t="0" r="0" b="0"/>
            <wp:docPr id="371" name="image223.jpeg" descr=""/>
            <wp:cNvGraphicFramePr>
              <a:graphicFrameLocks noChangeAspect="1"/>
            </wp:cNvGraphicFramePr>
            <a:graphic>
              <a:graphicData uri="http://schemas.openxmlformats.org/drawingml/2006/picture">
                <pic:pic>
                  <pic:nvPicPr>
                    <pic:cNvPr id="372" name="image223.jpeg"/>
                    <pic:cNvPicPr/>
                  </pic:nvPicPr>
                  <pic:blipFill>
                    <a:blip r:embed="rId362" cstate="print"/>
                    <a:stretch>
                      <a:fillRect/>
                    </a:stretch>
                  </pic:blipFill>
                  <pic:spPr>
                    <a:xfrm>
                      <a:off x="0" y="0"/>
                      <a:ext cx="3214794" cy="2684049"/>
                    </a:xfrm>
                    <a:prstGeom prst="rect">
                      <a:avLst/>
                    </a:prstGeom>
                  </pic:spPr>
                </pic:pic>
              </a:graphicData>
            </a:graphic>
          </wp:inline>
        </w:drawing>
      </w:r>
      <w:r>
        <w:rPr/>
      </w:r>
    </w:p>
    <w:p>
      <w:pPr>
        <w:pStyle w:val="BodyText"/>
        <w:spacing w:before="9"/>
        <w:rPr>
          <w:sz w:val="21"/>
        </w:rPr>
      </w:pPr>
    </w:p>
    <w:p>
      <w:pPr>
        <w:pStyle w:val="BodyText"/>
        <w:ind w:left="1650" w:right="774" w:hanging="1464"/>
      </w:pPr>
      <w:r>
        <w:rPr/>
        <w:t>Table 6. Table of classification of the categories of risk of the codes of position.</w:t>
      </w:r>
    </w:p>
    <w:p>
      <w:pPr>
        <w:spacing w:after="0"/>
        <w:sectPr>
          <w:type w:val="continuous"/>
          <w:pgSz w:w="12240" w:h="15840"/>
          <w:pgMar w:top="1500" w:bottom="280" w:left="580" w:right="220"/>
          <w:cols w:num="2" w:equalWidth="0">
            <w:col w:w="5782" w:space="40"/>
            <w:col w:w="5618"/>
          </w:cols>
        </w:sectPr>
      </w:pPr>
    </w:p>
    <w:tbl>
      <w:tblPr>
        <w:tblW w:w="0" w:type="auto"/>
        <w:jc w:val="left"/>
        <w:tblInd w:w="125"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2639"/>
        <w:gridCol w:w="2562"/>
      </w:tblGrid>
      <w:tr>
        <w:trPr>
          <w:trHeight w:val="835" w:hRule="exact"/>
        </w:trPr>
        <w:tc>
          <w:tcPr>
            <w:tcW w:w="2639" w:type="dxa"/>
            <w:shd w:val="clear" w:color="auto" w:fill="656565"/>
          </w:tcPr>
          <w:p>
            <w:pPr>
              <w:pStyle w:val="TableParagraph"/>
              <w:ind w:left="111" w:right="110"/>
              <w:jc w:val="center"/>
              <w:rPr>
                <w:b/>
                <w:sz w:val="20"/>
              </w:rPr>
            </w:pPr>
            <w:r>
              <w:rPr>
                <w:b/>
                <w:sz w:val="20"/>
              </w:rPr>
              <w:t>Loads and forces supported</w:t>
            </w:r>
          </w:p>
        </w:tc>
        <w:tc>
          <w:tcPr>
            <w:tcW w:w="2562" w:type="dxa"/>
            <w:shd w:val="clear" w:color="auto" w:fill="656565"/>
          </w:tcPr>
          <w:p>
            <w:pPr>
              <w:pStyle w:val="TableParagraph"/>
              <w:ind w:left="103" w:right="103"/>
              <w:jc w:val="center"/>
              <w:rPr>
                <w:b/>
                <w:sz w:val="20"/>
              </w:rPr>
            </w:pPr>
            <w:r>
              <w:rPr>
                <w:b/>
                <w:sz w:val="20"/>
              </w:rPr>
              <w:t>Fourth Digit Code posture.</w:t>
            </w:r>
          </w:p>
        </w:tc>
      </w:tr>
      <w:tr>
        <w:trPr>
          <w:trHeight w:val="472" w:hRule="exact"/>
        </w:trPr>
        <w:tc>
          <w:tcPr>
            <w:tcW w:w="2639" w:type="dxa"/>
          </w:tcPr>
          <w:p>
            <w:pPr>
              <w:pStyle w:val="TableParagraph"/>
              <w:spacing w:line="227" w:lineRule="exact"/>
              <w:ind w:left="109" w:right="110"/>
              <w:jc w:val="center"/>
              <w:rPr>
                <w:sz w:val="20"/>
              </w:rPr>
            </w:pPr>
            <w:r>
              <w:rPr>
                <w:sz w:val="20"/>
              </w:rPr>
              <w:t>Less than 10 kilograms.</w:t>
            </w:r>
          </w:p>
        </w:tc>
        <w:tc>
          <w:tcPr>
            <w:tcW w:w="2562" w:type="dxa"/>
          </w:tcPr>
          <w:p>
            <w:pPr>
              <w:pStyle w:val="TableParagraph"/>
              <w:spacing w:line="227" w:lineRule="exact"/>
              <w:ind w:right="1"/>
              <w:jc w:val="center"/>
              <w:rPr>
                <w:sz w:val="20"/>
              </w:rPr>
            </w:pPr>
            <w:r>
              <w:rPr>
                <w:w w:val="100"/>
                <w:sz w:val="20"/>
              </w:rPr>
              <w:t>1</w:t>
            </w:r>
          </w:p>
        </w:tc>
      </w:tr>
      <w:tr>
        <w:trPr>
          <w:trHeight w:val="925" w:hRule="exact"/>
        </w:trPr>
        <w:tc>
          <w:tcPr>
            <w:tcW w:w="2639" w:type="dxa"/>
          </w:tcPr>
          <w:p>
            <w:pPr>
              <w:pStyle w:val="TableParagraph"/>
              <w:spacing w:line="480" w:lineRule="auto"/>
              <w:ind w:left="893" w:right="529" w:hanging="347"/>
              <w:rPr>
                <w:sz w:val="20"/>
              </w:rPr>
            </w:pPr>
            <w:r>
              <w:rPr>
                <w:sz w:val="20"/>
              </w:rPr>
              <w:t>Between 10 and 20 Kilograms</w:t>
            </w:r>
          </w:p>
        </w:tc>
        <w:tc>
          <w:tcPr>
            <w:tcW w:w="2562" w:type="dxa"/>
          </w:tcPr>
          <w:p>
            <w:pPr>
              <w:pStyle w:val="TableParagraph"/>
              <w:spacing w:line="227" w:lineRule="exact"/>
              <w:jc w:val="center"/>
              <w:rPr>
                <w:sz w:val="20"/>
              </w:rPr>
            </w:pPr>
            <w:r>
              <w:rPr>
                <w:w w:val="100"/>
                <w:sz w:val="20"/>
              </w:rPr>
              <w:t>2</w:t>
            </w:r>
          </w:p>
        </w:tc>
      </w:tr>
      <w:tr>
        <w:trPr>
          <w:trHeight w:val="626" w:hRule="exact"/>
        </w:trPr>
        <w:tc>
          <w:tcPr>
            <w:tcW w:w="2639" w:type="dxa"/>
          </w:tcPr>
          <w:p>
            <w:pPr>
              <w:pStyle w:val="TableParagraph"/>
              <w:spacing w:line="227" w:lineRule="exact"/>
              <w:ind w:left="110" w:right="110"/>
              <w:jc w:val="center"/>
              <w:rPr>
                <w:sz w:val="20"/>
              </w:rPr>
            </w:pPr>
            <w:r>
              <w:rPr>
                <w:sz w:val="20"/>
              </w:rPr>
              <w:t>More than 20 kilograms</w:t>
            </w:r>
          </w:p>
        </w:tc>
        <w:tc>
          <w:tcPr>
            <w:tcW w:w="2562" w:type="dxa"/>
          </w:tcPr>
          <w:p>
            <w:pPr>
              <w:pStyle w:val="TableParagraph"/>
              <w:spacing w:line="227" w:lineRule="exact"/>
              <w:ind w:left="1"/>
              <w:jc w:val="center"/>
              <w:rPr>
                <w:sz w:val="20"/>
              </w:rPr>
            </w:pPr>
            <w:r>
              <w:rPr>
                <w:w w:val="100"/>
                <w:sz w:val="20"/>
              </w:rPr>
              <w:t>3</w:t>
            </w:r>
          </w:p>
        </w:tc>
      </w:tr>
    </w:tbl>
    <w:p>
      <w:pPr>
        <w:spacing w:after="0" w:line="227" w:lineRule="exact"/>
        <w:jc w:val="center"/>
        <w:rPr>
          <w:sz w:val="20"/>
        </w:rPr>
        <w:sectPr>
          <w:type w:val="continuous"/>
          <w:pgSz w:w="12240" w:h="15840"/>
          <w:pgMar w:top="1500" w:bottom="280" w:left="580" w:right="22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23"/>
        </w:rPr>
      </w:pPr>
    </w:p>
    <w:p>
      <w:pPr>
        <w:pStyle w:val="Heading4"/>
        <w:numPr>
          <w:ilvl w:val="0"/>
          <w:numId w:val="88"/>
        </w:numPr>
        <w:tabs>
          <w:tab w:pos="472" w:val="left" w:leader="none"/>
        </w:tabs>
        <w:spacing w:line="240" w:lineRule="auto" w:before="0" w:after="0"/>
        <w:ind w:left="471" w:right="0" w:hanging="201"/>
        <w:jc w:val="both"/>
      </w:pPr>
      <w:r>
        <w:rPr/>
        <w:drawing>
          <wp:anchor distT="0" distB="0" distL="0" distR="0" allowOverlap="1" layoutInCell="1" locked="0" behindDoc="0" simplePos="0" relativeHeight="10144">
            <wp:simplePos x="0" y="0"/>
            <wp:positionH relativeFrom="page">
              <wp:posOffset>540258</wp:posOffset>
            </wp:positionH>
            <wp:positionV relativeFrom="paragraph">
              <wp:posOffset>-2961430</wp:posOffset>
            </wp:positionV>
            <wp:extent cx="3364816" cy="2827210"/>
            <wp:effectExtent l="0" t="0" r="0" b="0"/>
            <wp:wrapNone/>
            <wp:docPr id="373" name="image224.jpeg" descr=""/>
            <wp:cNvGraphicFramePr>
              <a:graphicFrameLocks noChangeAspect="1"/>
            </wp:cNvGraphicFramePr>
            <a:graphic>
              <a:graphicData uri="http://schemas.openxmlformats.org/drawingml/2006/picture">
                <pic:pic>
                  <pic:nvPicPr>
                    <pic:cNvPr id="374" name="image224.jpeg"/>
                    <pic:cNvPicPr/>
                  </pic:nvPicPr>
                  <pic:blipFill>
                    <a:blip r:embed="rId363" cstate="print"/>
                    <a:stretch>
                      <a:fillRect/>
                    </a:stretch>
                  </pic:blipFill>
                  <pic:spPr>
                    <a:xfrm>
                      <a:off x="0" y="0"/>
                      <a:ext cx="3364816" cy="2827210"/>
                    </a:xfrm>
                    <a:prstGeom prst="rect">
                      <a:avLst/>
                    </a:prstGeom>
                  </pic:spPr>
                </pic:pic>
              </a:graphicData>
            </a:graphic>
          </wp:anchor>
        </w:drawing>
      </w:r>
      <w:r>
        <w:rPr/>
        <w:t>RESULTS</w:t>
      </w:r>
    </w:p>
    <w:p>
      <w:pPr>
        <w:pStyle w:val="BodyText"/>
        <w:spacing w:before="9"/>
        <w:rPr>
          <w:b/>
          <w:sz w:val="19"/>
        </w:rPr>
      </w:pPr>
    </w:p>
    <w:p>
      <w:pPr>
        <w:pStyle w:val="BodyText"/>
        <w:spacing w:before="1"/>
        <w:ind w:left="270" w:right="360"/>
        <w:jc w:val="both"/>
      </w:pPr>
      <w:r>
        <w:rPr/>
        <w:t>OWAS analysis method was performed by shooting the operator, which were obtained every 30 seconds to determine the analysis of the positions taken by throwing the following:</w:t>
      </w:r>
    </w:p>
    <w:p>
      <w:pPr>
        <w:pStyle w:val="BodyText"/>
        <w:spacing w:before="11"/>
        <w:rPr>
          <w:sz w:val="19"/>
        </w:rPr>
      </w:pPr>
    </w:p>
    <w:p>
      <w:pPr>
        <w:pStyle w:val="BodyText"/>
        <w:ind w:left="270" w:right="360"/>
        <w:jc w:val="both"/>
      </w:pPr>
      <w:r>
        <w:rPr/>
        <w:t>Step 1. Determine if the observation of the task must be divided into several phases or stages. In this step the  positions taken by the operator to lift the ice which provided an inappropriate activity was</w:t>
      </w:r>
      <w:r>
        <w:rPr>
          <w:spacing w:val="-18"/>
        </w:rPr>
        <w:t> </w:t>
      </w:r>
      <w:r>
        <w:rPr/>
        <w:t>analyzed.</w:t>
      </w:r>
    </w:p>
    <w:p>
      <w:pPr>
        <w:pStyle w:val="BodyText"/>
        <w:spacing w:before="8"/>
        <w:rPr>
          <w:sz w:val="16"/>
        </w:rPr>
      </w:pPr>
      <w:r>
        <w:rPr/>
        <w:drawing>
          <wp:anchor distT="0" distB="0" distL="0" distR="0" allowOverlap="1" layoutInCell="1" locked="0" behindDoc="0" simplePos="0" relativeHeight="10120">
            <wp:simplePos x="0" y="0"/>
            <wp:positionH relativeFrom="page">
              <wp:posOffset>1178813</wp:posOffset>
            </wp:positionH>
            <wp:positionV relativeFrom="paragraph">
              <wp:posOffset>147042</wp:posOffset>
            </wp:positionV>
            <wp:extent cx="1837914" cy="1228820"/>
            <wp:effectExtent l="0" t="0" r="0" b="0"/>
            <wp:wrapTopAndBottom/>
            <wp:docPr id="375" name="image225.jpeg" descr=""/>
            <wp:cNvGraphicFramePr>
              <a:graphicFrameLocks noChangeAspect="1"/>
            </wp:cNvGraphicFramePr>
            <a:graphic>
              <a:graphicData uri="http://schemas.openxmlformats.org/drawingml/2006/picture">
                <pic:pic>
                  <pic:nvPicPr>
                    <pic:cNvPr id="376" name="image225.jpeg"/>
                    <pic:cNvPicPr/>
                  </pic:nvPicPr>
                  <pic:blipFill>
                    <a:blip r:embed="rId364" cstate="print"/>
                    <a:stretch>
                      <a:fillRect/>
                    </a:stretch>
                  </pic:blipFill>
                  <pic:spPr>
                    <a:xfrm>
                      <a:off x="0" y="0"/>
                      <a:ext cx="1837914" cy="1228820"/>
                    </a:xfrm>
                    <a:prstGeom prst="rect">
                      <a:avLst/>
                    </a:prstGeom>
                  </pic:spPr>
                </pic:pic>
              </a:graphicData>
            </a:graphic>
          </wp:anchor>
        </w:drawing>
      </w:r>
    </w:p>
    <w:p>
      <w:pPr>
        <w:pStyle w:val="BodyText"/>
        <w:ind w:left="1521"/>
      </w:pPr>
      <w:r>
        <w:rPr/>
        <w:t>Figure 2. Operator lifting load</w:t>
      </w:r>
    </w:p>
    <w:p>
      <w:pPr>
        <w:pStyle w:val="BodyText"/>
      </w:pPr>
    </w:p>
    <w:p>
      <w:pPr>
        <w:pStyle w:val="BodyText"/>
        <w:spacing w:before="1"/>
        <w:ind w:left="270" w:right="360"/>
        <w:jc w:val="both"/>
      </w:pPr>
      <w:r>
        <w:rPr/>
        <w:t>Step 2. In this step you analyze the operator for a few minutes, and so was able to obtain the information necessary to carry out the owas method.</w:t>
      </w:r>
    </w:p>
    <w:p>
      <w:pPr>
        <w:pStyle w:val="BodyText"/>
        <w:spacing w:before="11"/>
        <w:rPr>
          <w:sz w:val="19"/>
        </w:rPr>
      </w:pPr>
    </w:p>
    <w:p>
      <w:pPr>
        <w:pStyle w:val="BodyText"/>
        <w:ind w:left="270" w:right="359"/>
        <w:jc w:val="both"/>
      </w:pPr>
      <w:r>
        <w:rPr/>
        <w:t>Step 3. To determine the duration of the intervals of this activity took just a time and motion takes 60 seconds, yielding a sample of 100 data, which are presented in the following table. (With 10 observations 100).</w:t>
      </w:r>
    </w:p>
    <w:p>
      <w:pPr>
        <w:pStyle w:val="BodyText"/>
      </w:pPr>
    </w:p>
    <w:p>
      <w:pPr>
        <w:pStyle w:val="BodyText"/>
        <w:spacing w:before="1"/>
        <w:ind w:left="270"/>
        <w:jc w:val="both"/>
      </w:pPr>
      <w:r>
        <w:rPr/>
        <w:pict>
          <v:shape style="position:absolute;margin-left:39.119999pt;margin-top:11.66604pt;width:253.6pt;height:75.9pt;mso-position-horizontal-relative:page;mso-position-vertical-relative:paragraph;z-index:10168" type="#_x0000_t202" filled="false" stroked="false">
            <v:textbox inset="0,0,0,0">
              <w:txbxContent>
                <w:tbl>
                  <w:tblPr>
                    <w:tblW w:w="0" w:type="auto"/>
                    <w:jc w:val="left"/>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1252"/>
                    <w:gridCol w:w="1180"/>
                    <w:gridCol w:w="852"/>
                    <w:gridCol w:w="852"/>
                    <w:gridCol w:w="870"/>
                  </w:tblGrid>
                  <w:tr>
                    <w:trPr>
                      <w:trHeight w:val="359" w:hRule="exact"/>
                    </w:trPr>
                    <w:tc>
                      <w:tcPr>
                        <w:tcW w:w="1252" w:type="dxa"/>
                      </w:tcPr>
                      <w:p>
                        <w:pPr>
                          <w:pStyle w:val="TableParagraph"/>
                          <w:spacing w:before="83"/>
                          <w:ind w:left="29" w:right="26"/>
                          <w:jc w:val="center"/>
                          <w:rPr>
                            <w:b/>
                            <w:sz w:val="20"/>
                          </w:rPr>
                        </w:pPr>
                        <w:r>
                          <w:rPr>
                            <w:b/>
                            <w:sz w:val="20"/>
                          </w:rPr>
                          <w:t>Movimientos</w:t>
                        </w:r>
                      </w:p>
                    </w:tc>
                    <w:tc>
                      <w:tcPr>
                        <w:tcW w:w="1180" w:type="dxa"/>
                      </w:tcPr>
                      <w:p>
                        <w:pPr>
                          <w:pStyle w:val="TableParagraph"/>
                          <w:spacing w:before="83"/>
                          <w:ind w:left="204" w:right="201"/>
                          <w:jc w:val="center"/>
                          <w:rPr>
                            <w:b/>
                            <w:sz w:val="20"/>
                          </w:rPr>
                        </w:pPr>
                        <w:r>
                          <w:rPr>
                            <w:b/>
                            <w:sz w:val="20"/>
                          </w:rPr>
                          <w:t>Espalda</w:t>
                        </w:r>
                      </w:p>
                    </w:tc>
                    <w:tc>
                      <w:tcPr>
                        <w:tcW w:w="852" w:type="dxa"/>
                      </w:tcPr>
                      <w:p>
                        <w:pPr>
                          <w:pStyle w:val="TableParagraph"/>
                          <w:spacing w:before="83"/>
                          <w:ind w:left="60" w:right="60"/>
                          <w:jc w:val="center"/>
                          <w:rPr>
                            <w:b/>
                            <w:sz w:val="20"/>
                          </w:rPr>
                        </w:pPr>
                        <w:r>
                          <w:rPr>
                            <w:b/>
                            <w:sz w:val="20"/>
                          </w:rPr>
                          <w:t>Brazos</w:t>
                        </w:r>
                      </w:p>
                    </w:tc>
                    <w:tc>
                      <w:tcPr>
                        <w:tcW w:w="852" w:type="dxa"/>
                      </w:tcPr>
                      <w:p>
                        <w:pPr>
                          <w:pStyle w:val="TableParagraph"/>
                          <w:spacing w:before="83"/>
                          <w:ind w:left="62" w:right="60"/>
                          <w:jc w:val="center"/>
                          <w:rPr>
                            <w:b/>
                            <w:sz w:val="20"/>
                          </w:rPr>
                        </w:pPr>
                        <w:r>
                          <w:rPr>
                            <w:b/>
                            <w:sz w:val="20"/>
                          </w:rPr>
                          <w:t>Piernas</w:t>
                        </w:r>
                      </w:p>
                    </w:tc>
                    <w:tc>
                      <w:tcPr>
                        <w:tcW w:w="870" w:type="dxa"/>
                      </w:tcPr>
                      <w:p>
                        <w:pPr>
                          <w:pStyle w:val="TableParagraph"/>
                          <w:spacing w:before="83"/>
                          <w:ind w:left="126" w:right="125"/>
                          <w:jc w:val="center"/>
                          <w:rPr>
                            <w:b/>
                            <w:sz w:val="20"/>
                          </w:rPr>
                        </w:pPr>
                        <w:r>
                          <w:rPr>
                            <w:b/>
                            <w:sz w:val="20"/>
                          </w:rPr>
                          <w:t>Carga</w:t>
                        </w:r>
                      </w:p>
                    </w:tc>
                  </w:tr>
                  <w:tr>
                    <w:trPr>
                      <w:trHeight w:val="358" w:hRule="exact"/>
                    </w:trPr>
                    <w:tc>
                      <w:tcPr>
                        <w:tcW w:w="1252" w:type="dxa"/>
                      </w:tcPr>
                      <w:p>
                        <w:pPr>
                          <w:pStyle w:val="TableParagraph"/>
                          <w:spacing w:before="79"/>
                          <w:ind w:left="1"/>
                          <w:jc w:val="center"/>
                          <w:rPr>
                            <w:sz w:val="20"/>
                          </w:rPr>
                        </w:pPr>
                        <w:r>
                          <w:rPr>
                            <w:w w:val="100"/>
                            <w:sz w:val="20"/>
                          </w:rPr>
                          <w:t>1</w:t>
                        </w:r>
                      </w:p>
                    </w:tc>
                    <w:tc>
                      <w:tcPr>
                        <w:tcW w:w="1180" w:type="dxa"/>
                      </w:tcPr>
                      <w:p>
                        <w:pPr>
                          <w:pStyle w:val="TableParagraph"/>
                          <w:spacing w:before="79"/>
                          <w:ind w:left="1"/>
                          <w:jc w:val="center"/>
                          <w:rPr>
                            <w:sz w:val="20"/>
                          </w:rPr>
                        </w:pPr>
                        <w:r>
                          <w:rPr>
                            <w:w w:val="100"/>
                            <w:sz w:val="20"/>
                          </w:rPr>
                          <w:t>2</w:t>
                        </w:r>
                      </w:p>
                    </w:tc>
                    <w:tc>
                      <w:tcPr>
                        <w:tcW w:w="852" w:type="dxa"/>
                      </w:tcPr>
                      <w:p>
                        <w:pPr>
                          <w:pStyle w:val="TableParagraph"/>
                          <w:spacing w:before="79"/>
                          <w:jc w:val="center"/>
                          <w:rPr>
                            <w:sz w:val="20"/>
                          </w:rPr>
                        </w:pPr>
                        <w:r>
                          <w:rPr>
                            <w:w w:val="100"/>
                            <w:sz w:val="20"/>
                          </w:rPr>
                          <w:t>1</w:t>
                        </w:r>
                      </w:p>
                    </w:tc>
                    <w:tc>
                      <w:tcPr>
                        <w:tcW w:w="852" w:type="dxa"/>
                      </w:tcPr>
                      <w:p>
                        <w:pPr>
                          <w:pStyle w:val="TableParagraph"/>
                          <w:spacing w:before="79"/>
                          <w:jc w:val="center"/>
                          <w:rPr>
                            <w:sz w:val="20"/>
                          </w:rPr>
                        </w:pPr>
                        <w:r>
                          <w:rPr>
                            <w:w w:val="100"/>
                            <w:sz w:val="20"/>
                          </w:rPr>
                          <w:t>4</w:t>
                        </w:r>
                      </w:p>
                    </w:tc>
                    <w:tc>
                      <w:tcPr>
                        <w:tcW w:w="870" w:type="dxa"/>
                      </w:tcPr>
                      <w:p>
                        <w:pPr>
                          <w:pStyle w:val="TableParagraph"/>
                          <w:spacing w:before="79"/>
                          <w:ind w:left="1"/>
                          <w:jc w:val="center"/>
                          <w:rPr>
                            <w:sz w:val="20"/>
                          </w:rPr>
                        </w:pPr>
                        <w:r>
                          <w:rPr>
                            <w:w w:val="100"/>
                            <w:sz w:val="20"/>
                          </w:rPr>
                          <w:t>3</w:t>
                        </w:r>
                      </w:p>
                    </w:tc>
                  </w:tr>
                  <w:tr>
                    <w:trPr>
                      <w:trHeight w:val="358" w:hRule="exact"/>
                    </w:trPr>
                    <w:tc>
                      <w:tcPr>
                        <w:tcW w:w="1252" w:type="dxa"/>
                      </w:tcPr>
                      <w:p>
                        <w:pPr>
                          <w:pStyle w:val="TableParagraph"/>
                          <w:spacing w:before="81"/>
                          <w:ind w:left="1"/>
                          <w:jc w:val="center"/>
                          <w:rPr>
                            <w:sz w:val="20"/>
                          </w:rPr>
                        </w:pPr>
                        <w:r>
                          <w:rPr>
                            <w:w w:val="100"/>
                            <w:sz w:val="20"/>
                          </w:rPr>
                          <w:t>2</w:t>
                        </w:r>
                      </w:p>
                    </w:tc>
                    <w:tc>
                      <w:tcPr>
                        <w:tcW w:w="1180" w:type="dxa"/>
                      </w:tcPr>
                      <w:p>
                        <w:pPr>
                          <w:pStyle w:val="TableParagraph"/>
                          <w:spacing w:before="81"/>
                          <w:ind w:left="1"/>
                          <w:jc w:val="center"/>
                          <w:rPr>
                            <w:sz w:val="20"/>
                          </w:rPr>
                        </w:pPr>
                        <w:r>
                          <w:rPr>
                            <w:w w:val="100"/>
                            <w:sz w:val="20"/>
                          </w:rPr>
                          <w:t>4</w:t>
                        </w:r>
                      </w:p>
                    </w:tc>
                    <w:tc>
                      <w:tcPr>
                        <w:tcW w:w="852" w:type="dxa"/>
                      </w:tcPr>
                      <w:p>
                        <w:pPr>
                          <w:pStyle w:val="TableParagraph"/>
                          <w:spacing w:before="81"/>
                          <w:jc w:val="center"/>
                          <w:rPr>
                            <w:sz w:val="20"/>
                          </w:rPr>
                        </w:pPr>
                        <w:r>
                          <w:rPr>
                            <w:w w:val="100"/>
                            <w:sz w:val="20"/>
                          </w:rPr>
                          <w:t>1</w:t>
                        </w:r>
                      </w:p>
                    </w:tc>
                    <w:tc>
                      <w:tcPr>
                        <w:tcW w:w="852" w:type="dxa"/>
                      </w:tcPr>
                      <w:p>
                        <w:pPr>
                          <w:pStyle w:val="TableParagraph"/>
                          <w:spacing w:before="81"/>
                          <w:jc w:val="center"/>
                          <w:rPr>
                            <w:sz w:val="20"/>
                          </w:rPr>
                        </w:pPr>
                        <w:r>
                          <w:rPr>
                            <w:w w:val="100"/>
                            <w:sz w:val="20"/>
                          </w:rPr>
                          <w:t>5</w:t>
                        </w:r>
                      </w:p>
                    </w:tc>
                    <w:tc>
                      <w:tcPr>
                        <w:tcW w:w="870" w:type="dxa"/>
                      </w:tcPr>
                      <w:p>
                        <w:pPr>
                          <w:pStyle w:val="TableParagraph"/>
                          <w:spacing w:before="81"/>
                          <w:ind w:left="1"/>
                          <w:jc w:val="center"/>
                          <w:rPr>
                            <w:sz w:val="20"/>
                          </w:rPr>
                        </w:pPr>
                        <w:r>
                          <w:rPr>
                            <w:w w:val="100"/>
                            <w:sz w:val="20"/>
                          </w:rPr>
                          <w:t>3</w:t>
                        </w:r>
                      </w:p>
                    </w:tc>
                  </w:tr>
                  <w:tr>
                    <w:trPr>
                      <w:trHeight w:val="400" w:hRule="exact"/>
                    </w:trPr>
                    <w:tc>
                      <w:tcPr>
                        <w:tcW w:w="1252" w:type="dxa"/>
                      </w:tcPr>
                      <w:p>
                        <w:pPr>
                          <w:pStyle w:val="TableParagraph"/>
                          <w:spacing w:before="81"/>
                          <w:ind w:left="1"/>
                          <w:jc w:val="center"/>
                          <w:rPr>
                            <w:sz w:val="20"/>
                          </w:rPr>
                        </w:pPr>
                        <w:r>
                          <w:rPr>
                            <w:w w:val="100"/>
                            <w:sz w:val="20"/>
                          </w:rPr>
                          <w:t>3</w:t>
                        </w:r>
                      </w:p>
                    </w:tc>
                    <w:tc>
                      <w:tcPr>
                        <w:tcW w:w="1180" w:type="dxa"/>
                      </w:tcPr>
                      <w:p>
                        <w:pPr>
                          <w:pStyle w:val="TableParagraph"/>
                          <w:spacing w:before="81"/>
                          <w:ind w:left="1"/>
                          <w:jc w:val="center"/>
                          <w:rPr>
                            <w:sz w:val="20"/>
                          </w:rPr>
                        </w:pPr>
                        <w:r>
                          <w:rPr>
                            <w:w w:val="100"/>
                            <w:sz w:val="20"/>
                          </w:rPr>
                          <w:t>2</w:t>
                        </w:r>
                      </w:p>
                    </w:tc>
                    <w:tc>
                      <w:tcPr>
                        <w:tcW w:w="852" w:type="dxa"/>
                      </w:tcPr>
                      <w:p>
                        <w:pPr>
                          <w:pStyle w:val="TableParagraph"/>
                          <w:spacing w:before="81"/>
                          <w:jc w:val="center"/>
                          <w:rPr>
                            <w:sz w:val="20"/>
                          </w:rPr>
                        </w:pPr>
                        <w:r>
                          <w:rPr>
                            <w:w w:val="100"/>
                            <w:sz w:val="20"/>
                          </w:rPr>
                          <w:t>1</w:t>
                        </w:r>
                      </w:p>
                    </w:tc>
                    <w:tc>
                      <w:tcPr>
                        <w:tcW w:w="852" w:type="dxa"/>
                      </w:tcPr>
                      <w:p>
                        <w:pPr>
                          <w:pStyle w:val="TableParagraph"/>
                          <w:spacing w:before="81"/>
                          <w:jc w:val="center"/>
                          <w:rPr>
                            <w:sz w:val="20"/>
                          </w:rPr>
                        </w:pPr>
                        <w:r>
                          <w:rPr>
                            <w:w w:val="100"/>
                            <w:sz w:val="20"/>
                          </w:rPr>
                          <w:t>2</w:t>
                        </w:r>
                      </w:p>
                    </w:tc>
                    <w:tc>
                      <w:tcPr>
                        <w:tcW w:w="870" w:type="dxa"/>
                      </w:tcPr>
                      <w:p>
                        <w:pPr>
                          <w:pStyle w:val="TableParagraph"/>
                          <w:spacing w:before="81"/>
                          <w:ind w:left="1"/>
                          <w:jc w:val="center"/>
                          <w:rPr>
                            <w:sz w:val="20"/>
                          </w:rPr>
                        </w:pPr>
                        <w:r>
                          <w:rPr>
                            <w:w w:val="100"/>
                            <w:sz w:val="20"/>
                          </w:rPr>
                          <w:t>3</w:t>
                        </w:r>
                      </w:p>
                    </w:tc>
                  </w:tr>
                </w:tbl>
                <w:p>
                  <w:pPr>
                    <w:pStyle w:val="BodyText"/>
                  </w:pPr>
                </w:p>
              </w:txbxContent>
            </v:textbox>
            <w10:wrap type="none"/>
          </v:shape>
        </w:pict>
      </w:r>
      <w:r>
        <w:rPr/>
        <w:t>Table 7. Results of samples taken from the operator.</w:t>
      </w:r>
    </w:p>
    <w:p>
      <w:pPr>
        <w:pStyle w:val="BodyText"/>
        <w:spacing w:before="1"/>
        <w:rPr>
          <w:sz w:val="18"/>
        </w:rPr>
      </w:pPr>
      <w:r>
        <w:rPr/>
        <w:br w:type="column"/>
      </w:r>
      <w:r>
        <w:rPr>
          <w:sz w:val="18"/>
        </w:rPr>
      </w:r>
    </w:p>
    <w:tbl>
      <w:tblPr>
        <w:tblW w:w="0" w:type="auto"/>
        <w:jc w:val="left"/>
        <w:tblInd w:w="20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1252"/>
        <w:gridCol w:w="1180"/>
        <w:gridCol w:w="852"/>
        <w:gridCol w:w="852"/>
        <w:gridCol w:w="870"/>
      </w:tblGrid>
      <w:tr>
        <w:trPr>
          <w:trHeight w:val="358" w:hRule="exact"/>
        </w:trPr>
        <w:tc>
          <w:tcPr>
            <w:tcW w:w="1252" w:type="dxa"/>
          </w:tcPr>
          <w:p>
            <w:pPr>
              <w:pStyle w:val="TableParagraph"/>
              <w:spacing w:before="79"/>
              <w:ind w:left="1"/>
              <w:jc w:val="center"/>
              <w:rPr>
                <w:sz w:val="20"/>
              </w:rPr>
            </w:pPr>
            <w:r>
              <w:rPr>
                <w:w w:val="100"/>
                <w:sz w:val="20"/>
              </w:rPr>
              <w:t>4</w:t>
            </w:r>
          </w:p>
        </w:tc>
        <w:tc>
          <w:tcPr>
            <w:tcW w:w="1180" w:type="dxa"/>
          </w:tcPr>
          <w:p>
            <w:pPr>
              <w:pStyle w:val="TableParagraph"/>
              <w:spacing w:before="79"/>
              <w:jc w:val="center"/>
              <w:rPr>
                <w:sz w:val="20"/>
              </w:rPr>
            </w:pPr>
            <w:r>
              <w:rPr>
                <w:w w:val="100"/>
                <w:sz w:val="20"/>
              </w:rPr>
              <w:t>4</w:t>
            </w:r>
          </w:p>
        </w:tc>
        <w:tc>
          <w:tcPr>
            <w:tcW w:w="852" w:type="dxa"/>
          </w:tcPr>
          <w:p>
            <w:pPr>
              <w:pStyle w:val="TableParagraph"/>
              <w:spacing w:before="79"/>
              <w:jc w:val="center"/>
              <w:rPr>
                <w:sz w:val="20"/>
              </w:rPr>
            </w:pPr>
            <w:r>
              <w:rPr>
                <w:w w:val="100"/>
                <w:sz w:val="20"/>
              </w:rPr>
              <w:t>1</w:t>
            </w:r>
          </w:p>
        </w:tc>
        <w:tc>
          <w:tcPr>
            <w:tcW w:w="852" w:type="dxa"/>
          </w:tcPr>
          <w:p>
            <w:pPr>
              <w:pStyle w:val="TableParagraph"/>
              <w:spacing w:before="79"/>
              <w:jc w:val="center"/>
              <w:rPr>
                <w:sz w:val="20"/>
              </w:rPr>
            </w:pPr>
            <w:r>
              <w:rPr>
                <w:w w:val="100"/>
                <w:sz w:val="20"/>
              </w:rPr>
              <w:t>5</w:t>
            </w:r>
          </w:p>
        </w:tc>
        <w:tc>
          <w:tcPr>
            <w:tcW w:w="870" w:type="dxa"/>
          </w:tcPr>
          <w:p>
            <w:pPr>
              <w:pStyle w:val="TableParagraph"/>
              <w:spacing w:before="79"/>
              <w:ind w:left="1"/>
              <w:jc w:val="center"/>
              <w:rPr>
                <w:sz w:val="20"/>
              </w:rPr>
            </w:pPr>
            <w:r>
              <w:rPr>
                <w:w w:val="100"/>
                <w:sz w:val="20"/>
              </w:rPr>
              <w:t>3</w:t>
            </w:r>
          </w:p>
        </w:tc>
      </w:tr>
      <w:tr>
        <w:trPr>
          <w:trHeight w:val="358" w:hRule="exact"/>
        </w:trPr>
        <w:tc>
          <w:tcPr>
            <w:tcW w:w="1252" w:type="dxa"/>
          </w:tcPr>
          <w:p>
            <w:pPr>
              <w:pStyle w:val="TableParagraph"/>
              <w:spacing w:before="81"/>
              <w:ind w:left="1"/>
              <w:jc w:val="center"/>
              <w:rPr>
                <w:sz w:val="20"/>
              </w:rPr>
            </w:pPr>
            <w:r>
              <w:rPr>
                <w:w w:val="100"/>
                <w:sz w:val="20"/>
              </w:rPr>
              <w:t>5</w:t>
            </w:r>
          </w:p>
        </w:tc>
        <w:tc>
          <w:tcPr>
            <w:tcW w:w="1180" w:type="dxa"/>
          </w:tcPr>
          <w:p>
            <w:pPr>
              <w:pStyle w:val="TableParagraph"/>
              <w:spacing w:before="81"/>
              <w:jc w:val="center"/>
              <w:rPr>
                <w:sz w:val="20"/>
              </w:rPr>
            </w:pPr>
            <w:r>
              <w:rPr>
                <w:w w:val="100"/>
                <w:sz w:val="20"/>
              </w:rPr>
              <w:t>3</w:t>
            </w:r>
          </w:p>
        </w:tc>
        <w:tc>
          <w:tcPr>
            <w:tcW w:w="852" w:type="dxa"/>
          </w:tcPr>
          <w:p>
            <w:pPr>
              <w:pStyle w:val="TableParagraph"/>
              <w:spacing w:before="81"/>
              <w:jc w:val="center"/>
              <w:rPr>
                <w:sz w:val="20"/>
              </w:rPr>
            </w:pPr>
            <w:r>
              <w:rPr>
                <w:w w:val="100"/>
                <w:sz w:val="20"/>
              </w:rPr>
              <w:t>1</w:t>
            </w:r>
          </w:p>
        </w:tc>
        <w:tc>
          <w:tcPr>
            <w:tcW w:w="852" w:type="dxa"/>
          </w:tcPr>
          <w:p>
            <w:pPr>
              <w:pStyle w:val="TableParagraph"/>
              <w:spacing w:before="81"/>
              <w:jc w:val="center"/>
              <w:rPr>
                <w:sz w:val="20"/>
              </w:rPr>
            </w:pPr>
            <w:r>
              <w:rPr>
                <w:w w:val="100"/>
                <w:sz w:val="20"/>
              </w:rPr>
              <w:t>4</w:t>
            </w:r>
          </w:p>
        </w:tc>
        <w:tc>
          <w:tcPr>
            <w:tcW w:w="870" w:type="dxa"/>
          </w:tcPr>
          <w:p>
            <w:pPr>
              <w:pStyle w:val="TableParagraph"/>
              <w:spacing w:before="81"/>
              <w:ind w:left="1"/>
              <w:jc w:val="center"/>
              <w:rPr>
                <w:sz w:val="20"/>
              </w:rPr>
            </w:pPr>
            <w:r>
              <w:rPr>
                <w:w w:val="100"/>
                <w:sz w:val="20"/>
              </w:rPr>
              <w:t>3</w:t>
            </w:r>
          </w:p>
        </w:tc>
      </w:tr>
      <w:tr>
        <w:trPr>
          <w:trHeight w:val="359" w:hRule="exact"/>
        </w:trPr>
        <w:tc>
          <w:tcPr>
            <w:tcW w:w="1252" w:type="dxa"/>
          </w:tcPr>
          <w:p>
            <w:pPr>
              <w:pStyle w:val="TableParagraph"/>
              <w:spacing w:before="81"/>
              <w:ind w:left="1"/>
              <w:jc w:val="center"/>
              <w:rPr>
                <w:sz w:val="20"/>
              </w:rPr>
            </w:pPr>
            <w:r>
              <w:rPr>
                <w:w w:val="100"/>
                <w:sz w:val="20"/>
              </w:rPr>
              <w:t>6</w:t>
            </w:r>
          </w:p>
        </w:tc>
        <w:tc>
          <w:tcPr>
            <w:tcW w:w="1180" w:type="dxa"/>
          </w:tcPr>
          <w:p>
            <w:pPr>
              <w:pStyle w:val="TableParagraph"/>
              <w:spacing w:before="81"/>
              <w:jc w:val="center"/>
              <w:rPr>
                <w:sz w:val="20"/>
              </w:rPr>
            </w:pPr>
            <w:r>
              <w:rPr>
                <w:w w:val="100"/>
                <w:sz w:val="20"/>
              </w:rPr>
              <w:t>2</w:t>
            </w:r>
          </w:p>
        </w:tc>
        <w:tc>
          <w:tcPr>
            <w:tcW w:w="852" w:type="dxa"/>
          </w:tcPr>
          <w:p>
            <w:pPr>
              <w:pStyle w:val="TableParagraph"/>
              <w:spacing w:before="81"/>
              <w:jc w:val="center"/>
              <w:rPr>
                <w:sz w:val="20"/>
              </w:rPr>
            </w:pPr>
            <w:r>
              <w:rPr>
                <w:w w:val="100"/>
                <w:sz w:val="20"/>
              </w:rPr>
              <w:t>1</w:t>
            </w:r>
          </w:p>
        </w:tc>
        <w:tc>
          <w:tcPr>
            <w:tcW w:w="852" w:type="dxa"/>
          </w:tcPr>
          <w:p>
            <w:pPr>
              <w:pStyle w:val="TableParagraph"/>
              <w:spacing w:before="81"/>
              <w:jc w:val="center"/>
              <w:rPr>
                <w:sz w:val="20"/>
              </w:rPr>
            </w:pPr>
            <w:r>
              <w:rPr>
                <w:w w:val="100"/>
                <w:sz w:val="20"/>
              </w:rPr>
              <w:t>3</w:t>
            </w:r>
          </w:p>
        </w:tc>
        <w:tc>
          <w:tcPr>
            <w:tcW w:w="870" w:type="dxa"/>
          </w:tcPr>
          <w:p>
            <w:pPr>
              <w:pStyle w:val="TableParagraph"/>
              <w:spacing w:before="81"/>
              <w:ind w:left="1"/>
              <w:jc w:val="center"/>
              <w:rPr>
                <w:sz w:val="20"/>
              </w:rPr>
            </w:pPr>
            <w:r>
              <w:rPr>
                <w:w w:val="100"/>
                <w:sz w:val="20"/>
              </w:rPr>
              <w:t>3</w:t>
            </w:r>
          </w:p>
        </w:tc>
      </w:tr>
      <w:tr>
        <w:trPr>
          <w:trHeight w:val="358" w:hRule="exact"/>
        </w:trPr>
        <w:tc>
          <w:tcPr>
            <w:tcW w:w="1252" w:type="dxa"/>
          </w:tcPr>
          <w:p>
            <w:pPr>
              <w:pStyle w:val="TableParagraph"/>
              <w:spacing w:before="79"/>
              <w:ind w:left="1"/>
              <w:jc w:val="center"/>
              <w:rPr>
                <w:sz w:val="20"/>
              </w:rPr>
            </w:pPr>
            <w:r>
              <w:rPr>
                <w:w w:val="100"/>
                <w:sz w:val="20"/>
              </w:rPr>
              <w:t>7</w:t>
            </w:r>
          </w:p>
        </w:tc>
        <w:tc>
          <w:tcPr>
            <w:tcW w:w="1180" w:type="dxa"/>
          </w:tcPr>
          <w:p>
            <w:pPr>
              <w:pStyle w:val="TableParagraph"/>
              <w:spacing w:before="79"/>
              <w:jc w:val="center"/>
              <w:rPr>
                <w:sz w:val="20"/>
              </w:rPr>
            </w:pPr>
            <w:r>
              <w:rPr>
                <w:w w:val="100"/>
                <w:sz w:val="20"/>
              </w:rPr>
              <w:t>4</w:t>
            </w:r>
          </w:p>
        </w:tc>
        <w:tc>
          <w:tcPr>
            <w:tcW w:w="852" w:type="dxa"/>
          </w:tcPr>
          <w:p>
            <w:pPr>
              <w:pStyle w:val="TableParagraph"/>
              <w:spacing w:before="79"/>
              <w:jc w:val="center"/>
              <w:rPr>
                <w:sz w:val="20"/>
              </w:rPr>
            </w:pPr>
            <w:r>
              <w:rPr>
                <w:w w:val="100"/>
                <w:sz w:val="20"/>
              </w:rPr>
              <w:t>1</w:t>
            </w:r>
          </w:p>
        </w:tc>
        <w:tc>
          <w:tcPr>
            <w:tcW w:w="852" w:type="dxa"/>
          </w:tcPr>
          <w:p>
            <w:pPr>
              <w:pStyle w:val="TableParagraph"/>
              <w:spacing w:before="79"/>
              <w:jc w:val="center"/>
              <w:rPr>
                <w:sz w:val="20"/>
              </w:rPr>
            </w:pPr>
            <w:r>
              <w:rPr>
                <w:w w:val="100"/>
                <w:sz w:val="20"/>
              </w:rPr>
              <w:t>5</w:t>
            </w:r>
          </w:p>
        </w:tc>
        <w:tc>
          <w:tcPr>
            <w:tcW w:w="870" w:type="dxa"/>
          </w:tcPr>
          <w:p>
            <w:pPr>
              <w:pStyle w:val="TableParagraph"/>
              <w:spacing w:before="79"/>
              <w:ind w:left="1"/>
              <w:jc w:val="center"/>
              <w:rPr>
                <w:sz w:val="20"/>
              </w:rPr>
            </w:pPr>
            <w:r>
              <w:rPr>
                <w:w w:val="100"/>
                <w:sz w:val="20"/>
              </w:rPr>
              <w:t>3</w:t>
            </w:r>
          </w:p>
        </w:tc>
      </w:tr>
      <w:tr>
        <w:trPr>
          <w:trHeight w:val="358" w:hRule="exact"/>
        </w:trPr>
        <w:tc>
          <w:tcPr>
            <w:tcW w:w="1252" w:type="dxa"/>
          </w:tcPr>
          <w:p>
            <w:pPr>
              <w:pStyle w:val="TableParagraph"/>
              <w:spacing w:before="81"/>
              <w:ind w:left="1"/>
              <w:jc w:val="center"/>
              <w:rPr>
                <w:sz w:val="20"/>
              </w:rPr>
            </w:pPr>
            <w:r>
              <w:rPr>
                <w:w w:val="100"/>
                <w:sz w:val="20"/>
              </w:rPr>
              <w:t>8</w:t>
            </w:r>
          </w:p>
        </w:tc>
        <w:tc>
          <w:tcPr>
            <w:tcW w:w="1180" w:type="dxa"/>
          </w:tcPr>
          <w:p>
            <w:pPr>
              <w:pStyle w:val="TableParagraph"/>
              <w:spacing w:before="81"/>
              <w:jc w:val="center"/>
              <w:rPr>
                <w:sz w:val="20"/>
              </w:rPr>
            </w:pPr>
            <w:r>
              <w:rPr>
                <w:w w:val="100"/>
                <w:sz w:val="20"/>
              </w:rPr>
              <w:t>1</w:t>
            </w:r>
          </w:p>
        </w:tc>
        <w:tc>
          <w:tcPr>
            <w:tcW w:w="852" w:type="dxa"/>
          </w:tcPr>
          <w:p>
            <w:pPr>
              <w:pStyle w:val="TableParagraph"/>
              <w:spacing w:before="81"/>
              <w:jc w:val="center"/>
              <w:rPr>
                <w:sz w:val="20"/>
              </w:rPr>
            </w:pPr>
            <w:r>
              <w:rPr>
                <w:w w:val="100"/>
                <w:sz w:val="20"/>
              </w:rPr>
              <w:t>1</w:t>
            </w:r>
          </w:p>
        </w:tc>
        <w:tc>
          <w:tcPr>
            <w:tcW w:w="852" w:type="dxa"/>
          </w:tcPr>
          <w:p>
            <w:pPr>
              <w:pStyle w:val="TableParagraph"/>
              <w:spacing w:before="81"/>
              <w:jc w:val="center"/>
              <w:rPr>
                <w:sz w:val="20"/>
              </w:rPr>
            </w:pPr>
            <w:r>
              <w:rPr>
                <w:w w:val="100"/>
                <w:sz w:val="20"/>
              </w:rPr>
              <w:t>3</w:t>
            </w:r>
          </w:p>
        </w:tc>
        <w:tc>
          <w:tcPr>
            <w:tcW w:w="870" w:type="dxa"/>
          </w:tcPr>
          <w:p>
            <w:pPr>
              <w:pStyle w:val="TableParagraph"/>
              <w:spacing w:before="81"/>
              <w:ind w:left="1"/>
              <w:jc w:val="center"/>
              <w:rPr>
                <w:sz w:val="20"/>
              </w:rPr>
            </w:pPr>
            <w:r>
              <w:rPr>
                <w:w w:val="100"/>
                <w:sz w:val="20"/>
              </w:rPr>
              <w:t>3</w:t>
            </w:r>
          </w:p>
        </w:tc>
      </w:tr>
      <w:tr>
        <w:trPr>
          <w:trHeight w:val="359" w:hRule="exact"/>
        </w:trPr>
        <w:tc>
          <w:tcPr>
            <w:tcW w:w="1252" w:type="dxa"/>
          </w:tcPr>
          <w:p>
            <w:pPr>
              <w:pStyle w:val="TableParagraph"/>
              <w:spacing w:before="81"/>
              <w:ind w:left="1"/>
              <w:jc w:val="center"/>
              <w:rPr>
                <w:sz w:val="20"/>
              </w:rPr>
            </w:pPr>
            <w:r>
              <w:rPr>
                <w:w w:val="100"/>
                <w:sz w:val="20"/>
              </w:rPr>
              <w:t>9</w:t>
            </w:r>
          </w:p>
        </w:tc>
        <w:tc>
          <w:tcPr>
            <w:tcW w:w="1180" w:type="dxa"/>
          </w:tcPr>
          <w:p>
            <w:pPr>
              <w:pStyle w:val="TableParagraph"/>
              <w:spacing w:before="81"/>
              <w:jc w:val="center"/>
              <w:rPr>
                <w:sz w:val="20"/>
              </w:rPr>
            </w:pPr>
            <w:r>
              <w:rPr>
                <w:w w:val="100"/>
                <w:sz w:val="20"/>
              </w:rPr>
              <w:t>2</w:t>
            </w:r>
          </w:p>
        </w:tc>
        <w:tc>
          <w:tcPr>
            <w:tcW w:w="852" w:type="dxa"/>
          </w:tcPr>
          <w:p>
            <w:pPr>
              <w:pStyle w:val="TableParagraph"/>
              <w:spacing w:before="81"/>
              <w:jc w:val="center"/>
              <w:rPr>
                <w:sz w:val="20"/>
              </w:rPr>
            </w:pPr>
            <w:r>
              <w:rPr>
                <w:w w:val="100"/>
                <w:sz w:val="20"/>
              </w:rPr>
              <w:t>1</w:t>
            </w:r>
          </w:p>
        </w:tc>
        <w:tc>
          <w:tcPr>
            <w:tcW w:w="852" w:type="dxa"/>
          </w:tcPr>
          <w:p>
            <w:pPr>
              <w:pStyle w:val="TableParagraph"/>
              <w:spacing w:before="81"/>
              <w:jc w:val="center"/>
              <w:rPr>
                <w:sz w:val="20"/>
              </w:rPr>
            </w:pPr>
            <w:r>
              <w:rPr>
                <w:w w:val="100"/>
                <w:sz w:val="20"/>
              </w:rPr>
              <w:t>5</w:t>
            </w:r>
          </w:p>
        </w:tc>
        <w:tc>
          <w:tcPr>
            <w:tcW w:w="870" w:type="dxa"/>
          </w:tcPr>
          <w:p>
            <w:pPr>
              <w:pStyle w:val="TableParagraph"/>
              <w:spacing w:before="81"/>
              <w:ind w:left="1"/>
              <w:jc w:val="center"/>
              <w:rPr>
                <w:sz w:val="20"/>
              </w:rPr>
            </w:pPr>
            <w:r>
              <w:rPr>
                <w:w w:val="100"/>
                <w:sz w:val="20"/>
              </w:rPr>
              <w:t>3</w:t>
            </w:r>
          </w:p>
        </w:tc>
      </w:tr>
      <w:tr>
        <w:trPr>
          <w:trHeight w:val="358" w:hRule="exact"/>
        </w:trPr>
        <w:tc>
          <w:tcPr>
            <w:tcW w:w="1252" w:type="dxa"/>
          </w:tcPr>
          <w:p>
            <w:pPr>
              <w:pStyle w:val="TableParagraph"/>
              <w:spacing w:before="79"/>
              <w:ind w:left="27" w:right="26"/>
              <w:jc w:val="center"/>
              <w:rPr>
                <w:sz w:val="20"/>
              </w:rPr>
            </w:pPr>
            <w:r>
              <w:rPr>
                <w:sz w:val="20"/>
              </w:rPr>
              <w:t>10</w:t>
            </w:r>
          </w:p>
        </w:tc>
        <w:tc>
          <w:tcPr>
            <w:tcW w:w="1180" w:type="dxa"/>
          </w:tcPr>
          <w:p>
            <w:pPr>
              <w:pStyle w:val="TableParagraph"/>
              <w:spacing w:before="79"/>
              <w:jc w:val="center"/>
              <w:rPr>
                <w:sz w:val="20"/>
              </w:rPr>
            </w:pPr>
            <w:r>
              <w:rPr>
                <w:w w:val="100"/>
                <w:sz w:val="20"/>
              </w:rPr>
              <w:t>3</w:t>
            </w:r>
          </w:p>
        </w:tc>
        <w:tc>
          <w:tcPr>
            <w:tcW w:w="852" w:type="dxa"/>
          </w:tcPr>
          <w:p>
            <w:pPr>
              <w:pStyle w:val="TableParagraph"/>
              <w:spacing w:before="79"/>
              <w:jc w:val="center"/>
              <w:rPr>
                <w:sz w:val="20"/>
              </w:rPr>
            </w:pPr>
            <w:r>
              <w:rPr>
                <w:w w:val="100"/>
                <w:sz w:val="20"/>
              </w:rPr>
              <w:t>1</w:t>
            </w:r>
          </w:p>
        </w:tc>
        <w:tc>
          <w:tcPr>
            <w:tcW w:w="852" w:type="dxa"/>
          </w:tcPr>
          <w:p>
            <w:pPr>
              <w:pStyle w:val="TableParagraph"/>
              <w:spacing w:before="79"/>
              <w:jc w:val="center"/>
              <w:rPr>
                <w:sz w:val="20"/>
              </w:rPr>
            </w:pPr>
            <w:r>
              <w:rPr>
                <w:w w:val="100"/>
                <w:sz w:val="20"/>
              </w:rPr>
              <w:t>4</w:t>
            </w:r>
          </w:p>
        </w:tc>
        <w:tc>
          <w:tcPr>
            <w:tcW w:w="870" w:type="dxa"/>
          </w:tcPr>
          <w:p>
            <w:pPr>
              <w:pStyle w:val="TableParagraph"/>
              <w:spacing w:before="79"/>
              <w:ind w:left="1"/>
              <w:jc w:val="center"/>
              <w:rPr>
                <w:sz w:val="20"/>
              </w:rPr>
            </w:pPr>
            <w:r>
              <w:rPr>
                <w:w w:val="100"/>
                <w:sz w:val="20"/>
              </w:rPr>
              <w:t>3</w:t>
            </w:r>
          </w:p>
        </w:tc>
      </w:tr>
    </w:tbl>
    <w:p>
      <w:pPr>
        <w:pStyle w:val="BodyText"/>
        <w:spacing w:before="8"/>
        <w:rPr>
          <w:sz w:val="19"/>
        </w:rPr>
      </w:pPr>
    </w:p>
    <w:p>
      <w:pPr>
        <w:pStyle w:val="BodyText"/>
        <w:ind w:left="270" w:right="675"/>
        <w:jc w:val="both"/>
      </w:pPr>
      <w:r>
        <w:rPr/>
        <w:t>Step 4. This step was the analysis was identified during the observation of the activity of the different positions taken by the worker.</w:t>
      </w:r>
    </w:p>
    <w:p>
      <w:pPr>
        <w:pStyle w:val="BodyText"/>
      </w:pPr>
    </w:p>
    <w:p>
      <w:pPr>
        <w:pStyle w:val="BodyText"/>
        <w:spacing w:before="1"/>
        <w:ind w:left="270" w:right="677"/>
        <w:jc w:val="both"/>
      </w:pPr>
      <w:r>
        <w:rPr/>
        <w:t>Step 5. Encode the observed positions showing the worker ice load, assigning each position and load the values of the digits that make up its "code position" identifying the result of that table throw us a Risk Category 4 requires take corrective action immediately, as it is very risky to perform activities employing charger ice.</w:t>
      </w:r>
    </w:p>
    <w:p>
      <w:pPr>
        <w:pStyle w:val="BodyText"/>
        <w:spacing w:before="11"/>
        <w:rPr>
          <w:sz w:val="19"/>
        </w:rPr>
      </w:pPr>
    </w:p>
    <w:p>
      <w:pPr>
        <w:pStyle w:val="BodyText"/>
        <w:ind w:left="1245" w:right="702"/>
      </w:pPr>
      <w:r>
        <w:rPr/>
        <w:t>Table 8. operator positions observed</w:t>
      </w:r>
    </w:p>
    <w:tbl>
      <w:tblPr>
        <w:tblW w:w="0" w:type="auto"/>
        <w:jc w:val="left"/>
        <w:tblInd w:w="19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1252"/>
        <w:gridCol w:w="830"/>
        <w:gridCol w:w="728"/>
        <w:gridCol w:w="785"/>
        <w:gridCol w:w="674"/>
        <w:gridCol w:w="707"/>
      </w:tblGrid>
      <w:tr>
        <w:trPr>
          <w:trHeight w:val="348" w:hRule="exact"/>
        </w:trPr>
        <w:tc>
          <w:tcPr>
            <w:tcW w:w="1252" w:type="dxa"/>
          </w:tcPr>
          <w:p>
            <w:pPr>
              <w:pStyle w:val="TableParagraph"/>
              <w:spacing w:before="72"/>
              <w:ind w:left="48"/>
              <w:rPr>
                <w:b/>
                <w:sz w:val="20"/>
              </w:rPr>
            </w:pPr>
            <w:r>
              <w:rPr>
                <w:b/>
                <w:sz w:val="20"/>
              </w:rPr>
              <w:t>Movimientos</w:t>
            </w:r>
          </w:p>
        </w:tc>
        <w:tc>
          <w:tcPr>
            <w:tcW w:w="830" w:type="dxa"/>
          </w:tcPr>
          <w:p>
            <w:pPr>
              <w:pStyle w:val="TableParagraph"/>
              <w:spacing w:before="72"/>
              <w:ind w:left="48"/>
              <w:rPr>
                <w:b/>
                <w:sz w:val="20"/>
              </w:rPr>
            </w:pPr>
            <w:r>
              <w:rPr>
                <w:b/>
                <w:sz w:val="20"/>
              </w:rPr>
              <w:t>Espalda</w:t>
            </w:r>
          </w:p>
        </w:tc>
        <w:tc>
          <w:tcPr>
            <w:tcW w:w="728" w:type="dxa"/>
          </w:tcPr>
          <w:p>
            <w:pPr>
              <w:pStyle w:val="TableParagraph"/>
              <w:spacing w:before="72"/>
              <w:ind w:left="48"/>
              <w:rPr>
                <w:b/>
                <w:sz w:val="20"/>
              </w:rPr>
            </w:pPr>
            <w:r>
              <w:rPr>
                <w:b/>
                <w:sz w:val="20"/>
              </w:rPr>
              <w:t>Brazos</w:t>
            </w:r>
          </w:p>
        </w:tc>
        <w:tc>
          <w:tcPr>
            <w:tcW w:w="785" w:type="dxa"/>
          </w:tcPr>
          <w:p>
            <w:pPr>
              <w:pStyle w:val="TableParagraph"/>
              <w:spacing w:before="72"/>
              <w:ind w:left="47"/>
              <w:rPr>
                <w:b/>
                <w:sz w:val="20"/>
              </w:rPr>
            </w:pPr>
            <w:r>
              <w:rPr>
                <w:b/>
                <w:sz w:val="20"/>
              </w:rPr>
              <w:t>Piernas</w:t>
            </w:r>
          </w:p>
        </w:tc>
        <w:tc>
          <w:tcPr>
            <w:tcW w:w="674" w:type="dxa"/>
          </w:tcPr>
          <w:p>
            <w:pPr>
              <w:pStyle w:val="TableParagraph"/>
              <w:spacing w:before="72"/>
              <w:ind w:left="48"/>
              <w:rPr>
                <w:b/>
                <w:sz w:val="20"/>
              </w:rPr>
            </w:pPr>
            <w:r>
              <w:rPr>
                <w:b/>
                <w:sz w:val="20"/>
              </w:rPr>
              <w:t>Carga</w:t>
            </w:r>
          </w:p>
        </w:tc>
        <w:tc>
          <w:tcPr>
            <w:tcW w:w="707" w:type="dxa"/>
          </w:tcPr>
          <w:p>
            <w:pPr>
              <w:pStyle w:val="TableParagraph"/>
              <w:spacing w:before="72"/>
              <w:ind w:left="48"/>
              <w:rPr>
                <w:b/>
                <w:sz w:val="20"/>
              </w:rPr>
            </w:pPr>
            <w:r>
              <w:rPr>
                <w:b/>
                <w:sz w:val="20"/>
              </w:rPr>
              <w:t>Riesgo</w:t>
            </w:r>
          </w:p>
        </w:tc>
      </w:tr>
      <w:tr>
        <w:trPr>
          <w:trHeight w:val="348" w:hRule="exact"/>
        </w:trPr>
        <w:tc>
          <w:tcPr>
            <w:tcW w:w="1252" w:type="dxa"/>
          </w:tcPr>
          <w:p>
            <w:pPr>
              <w:pStyle w:val="TableParagraph"/>
              <w:spacing w:before="70"/>
              <w:ind w:left="47"/>
              <w:rPr>
                <w:sz w:val="20"/>
              </w:rPr>
            </w:pPr>
            <w:r>
              <w:rPr>
                <w:w w:val="100"/>
                <w:sz w:val="20"/>
              </w:rPr>
              <w:t>1</w:t>
            </w:r>
          </w:p>
        </w:tc>
        <w:tc>
          <w:tcPr>
            <w:tcW w:w="830" w:type="dxa"/>
          </w:tcPr>
          <w:p>
            <w:pPr>
              <w:pStyle w:val="TableParagraph"/>
              <w:spacing w:before="70"/>
              <w:ind w:left="47"/>
              <w:rPr>
                <w:sz w:val="20"/>
              </w:rPr>
            </w:pPr>
            <w:r>
              <w:rPr>
                <w:w w:val="100"/>
                <w:sz w:val="20"/>
              </w:rPr>
              <w:t>2</w:t>
            </w:r>
          </w:p>
        </w:tc>
        <w:tc>
          <w:tcPr>
            <w:tcW w:w="728" w:type="dxa"/>
          </w:tcPr>
          <w:p>
            <w:pPr>
              <w:pStyle w:val="TableParagraph"/>
              <w:spacing w:before="70"/>
              <w:ind w:left="47"/>
              <w:rPr>
                <w:sz w:val="20"/>
              </w:rPr>
            </w:pPr>
            <w:r>
              <w:rPr>
                <w:w w:val="100"/>
                <w:sz w:val="20"/>
              </w:rPr>
              <w:t>1</w:t>
            </w:r>
          </w:p>
        </w:tc>
        <w:tc>
          <w:tcPr>
            <w:tcW w:w="785" w:type="dxa"/>
          </w:tcPr>
          <w:p>
            <w:pPr>
              <w:pStyle w:val="TableParagraph"/>
              <w:spacing w:before="70"/>
              <w:ind w:left="47"/>
              <w:rPr>
                <w:sz w:val="20"/>
              </w:rPr>
            </w:pPr>
            <w:r>
              <w:rPr>
                <w:w w:val="100"/>
                <w:sz w:val="20"/>
              </w:rPr>
              <w:t>4</w:t>
            </w:r>
          </w:p>
        </w:tc>
        <w:tc>
          <w:tcPr>
            <w:tcW w:w="674" w:type="dxa"/>
          </w:tcPr>
          <w:p>
            <w:pPr>
              <w:pStyle w:val="TableParagraph"/>
              <w:spacing w:before="70"/>
              <w:ind w:left="47"/>
              <w:rPr>
                <w:sz w:val="20"/>
              </w:rPr>
            </w:pPr>
            <w:r>
              <w:rPr>
                <w:w w:val="100"/>
                <w:sz w:val="20"/>
              </w:rPr>
              <w:t>3</w:t>
            </w:r>
          </w:p>
        </w:tc>
        <w:tc>
          <w:tcPr>
            <w:tcW w:w="707" w:type="dxa"/>
          </w:tcPr>
          <w:p>
            <w:pPr>
              <w:pStyle w:val="TableParagraph"/>
              <w:spacing w:before="70"/>
              <w:ind w:left="48"/>
              <w:rPr>
                <w:sz w:val="20"/>
              </w:rPr>
            </w:pPr>
            <w:r>
              <w:rPr>
                <w:w w:val="100"/>
                <w:sz w:val="20"/>
              </w:rPr>
              <w:t>3</w:t>
            </w:r>
          </w:p>
        </w:tc>
      </w:tr>
      <w:tr>
        <w:trPr>
          <w:trHeight w:val="348" w:hRule="exact"/>
        </w:trPr>
        <w:tc>
          <w:tcPr>
            <w:tcW w:w="1252" w:type="dxa"/>
          </w:tcPr>
          <w:p>
            <w:pPr>
              <w:pStyle w:val="TableParagraph"/>
              <w:spacing w:before="70"/>
              <w:ind w:left="47"/>
              <w:rPr>
                <w:sz w:val="20"/>
              </w:rPr>
            </w:pPr>
            <w:r>
              <w:rPr>
                <w:w w:val="100"/>
                <w:sz w:val="20"/>
              </w:rPr>
              <w:t>2</w:t>
            </w:r>
          </w:p>
        </w:tc>
        <w:tc>
          <w:tcPr>
            <w:tcW w:w="830" w:type="dxa"/>
          </w:tcPr>
          <w:p>
            <w:pPr>
              <w:pStyle w:val="TableParagraph"/>
              <w:spacing w:before="70"/>
              <w:ind w:left="47"/>
              <w:rPr>
                <w:sz w:val="20"/>
              </w:rPr>
            </w:pPr>
            <w:r>
              <w:rPr>
                <w:w w:val="100"/>
                <w:sz w:val="20"/>
              </w:rPr>
              <w:t>4</w:t>
            </w:r>
          </w:p>
        </w:tc>
        <w:tc>
          <w:tcPr>
            <w:tcW w:w="728" w:type="dxa"/>
          </w:tcPr>
          <w:p>
            <w:pPr>
              <w:pStyle w:val="TableParagraph"/>
              <w:spacing w:before="70"/>
              <w:ind w:left="47"/>
              <w:rPr>
                <w:sz w:val="20"/>
              </w:rPr>
            </w:pPr>
            <w:r>
              <w:rPr>
                <w:w w:val="100"/>
                <w:sz w:val="20"/>
              </w:rPr>
              <w:t>1</w:t>
            </w:r>
          </w:p>
        </w:tc>
        <w:tc>
          <w:tcPr>
            <w:tcW w:w="785" w:type="dxa"/>
          </w:tcPr>
          <w:p>
            <w:pPr>
              <w:pStyle w:val="TableParagraph"/>
              <w:spacing w:before="70"/>
              <w:ind w:left="47"/>
              <w:rPr>
                <w:sz w:val="20"/>
              </w:rPr>
            </w:pPr>
            <w:r>
              <w:rPr>
                <w:w w:val="100"/>
                <w:sz w:val="20"/>
              </w:rPr>
              <w:t>5</w:t>
            </w:r>
          </w:p>
        </w:tc>
        <w:tc>
          <w:tcPr>
            <w:tcW w:w="674" w:type="dxa"/>
          </w:tcPr>
          <w:p>
            <w:pPr>
              <w:pStyle w:val="TableParagraph"/>
              <w:spacing w:before="70"/>
              <w:ind w:left="47"/>
              <w:rPr>
                <w:sz w:val="20"/>
              </w:rPr>
            </w:pPr>
            <w:r>
              <w:rPr>
                <w:w w:val="100"/>
                <w:sz w:val="20"/>
              </w:rPr>
              <w:t>3</w:t>
            </w:r>
          </w:p>
        </w:tc>
        <w:tc>
          <w:tcPr>
            <w:tcW w:w="707" w:type="dxa"/>
          </w:tcPr>
          <w:p>
            <w:pPr>
              <w:pStyle w:val="TableParagraph"/>
              <w:spacing w:before="70"/>
              <w:ind w:left="48"/>
              <w:rPr>
                <w:sz w:val="20"/>
              </w:rPr>
            </w:pPr>
            <w:r>
              <w:rPr>
                <w:w w:val="100"/>
                <w:sz w:val="20"/>
              </w:rPr>
              <w:t>4</w:t>
            </w:r>
          </w:p>
        </w:tc>
      </w:tr>
      <w:tr>
        <w:trPr>
          <w:trHeight w:val="348" w:hRule="exact"/>
        </w:trPr>
        <w:tc>
          <w:tcPr>
            <w:tcW w:w="1252" w:type="dxa"/>
          </w:tcPr>
          <w:p>
            <w:pPr>
              <w:pStyle w:val="TableParagraph"/>
              <w:spacing w:before="70"/>
              <w:ind w:left="47"/>
              <w:rPr>
                <w:sz w:val="20"/>
              </w:rPr>
            </w:pPr>
            <w:r>
              <w:rPr>
                <w:w w:val="100"/>
                <w:sz w:val="20"/>
              </w:rPr>
              <w:t>3</w:t>
            </w:r>
          </w:p>
        </w:tc>
        <w:tc>
          <w:tcPr>
            <w:tcW w:w="830" w:type="dxa"/>
          </w:tcPr>
          <w:p>
            <w:pPr>
              <w:pStyle w:val="TableParagraph"/>
              <w:spacing w:before="70"/>
              <w:ind w:left="47"/>
              <w:rPr>
                <w:sz w:val="20"/>
              </w:rPr>
            </w:pPr>
            <w:r>
              <w:rPr>
                <w:w w:val="100"/>
                <w:sz w:val="20"/>
              </w:rPr>
              <w:t>2</w:t>
            </w:r>
          </w:p>
        </w:tc>
        <w:tc>
          <w:tcPr>
            <w:tcW w:w="728" w:type="dxa"/>
          </w:tcPr>
          <w:p>
            <w:pPr>
              <w:pStyle w:val="TableParagraph"/>
              <w:spacing w:before="70"/>
              <w:ind w:left="47"/>
              <w:rPr>
                <w:sz w:val="20"/>
              </w:rPr>
            </w:pPr>
            <w:r>
              <w:rPr>
                <w:w w:val="100"/>
                <w:sz w:val="20"/>
              </w:rPr>
              <w:t>1</w:t>
            </w:r>
          </w:p>
        </w:tc>
        <w:tc>
          <w:tcPr>
            <w:tcW w:w="785" w:type="dxa"/>
          </w:tcPr>
          <w:p>
            <w:pPr>
              <w:pStyle w:val="TableParagraph"/>
              <w:spacing w:before="70"/>
              <w:ind w:left="47"/>
              <w:rPr>
                <w:sz w:val="20"/>
              </w:rPr>
            </w:pPr>
            <w:r>
              <w:rPr>
                <w:w w:val="100"/>
                <w:sz w:val="20"/>
              </w:rPr>
              <w:t>2</w:t>
            </w:r>
          </w:p>
        </w:tc>
        <w:tc>
          <w:tcPr>
            <w:tcW w:w="674" w:type="dxa"/>
          </w:tcPr>
          <w:p>
            <w:pPr>
              <w:pStyle w:val="TableParagraph"/>
              <w:spacing w:before="70"/>
              <w:ind w:left="47"/>
              <w:rPr>
                <w:sz w:val="20"/>
              </w:rPr>
            </w:pPr>
            <w:r>
              <w:rPr>
                <w:w w:val="100"/>
                <w:sz w:val="20"/>
              </w:rPr>
              <w:t>3</w:t>
            </w:r>
          </w:p>
        </w:tc>
        <w:tc>
          <w:tcPr>
            <w:tcW w:w="707" w:type="dxa"/>
          </w:tcPr>
          <w:p>
            <w:pPr>
              <w:pStyle w:val="TableParagraph"/>
              <w:spacing w:before="70"/>
              <w:ind w:left="48"/>
              <w:rPr>
                <w:sz w:val="20"/>
              </w:rPr>
            </w:pPr>
            <w:r>
              <w:rPr>
                <w:w w:val="100"/>
                <w:sz w:val="20"/>
              </w:rPr>
              <w:t>3</w:t>
            </w:r>
          </w:p>
        </w:tc>
      </w:tr>
      <w:tr>
        <w:trPr>
          <w:trHeight w:val="348" w:hRule="exact"/>
        </w:trPr>
        <w:tc>
          <w:tcPr>
            <w:tcW w:w="1252" w:type="dxa"/>
          </w:tcPr>
          <w:p>
            <w:pPr>
              <w:pStyle w:val="TableParagraph"/>
              <w:spacing w:before="70"/>
              <w:ind w:left="47"/>
              <w:rPr>
                <w:sz w:val="20"/>
              </w:rPr>
            </w:pPr>
            <w:r>
              <w:rPr>
                <w:w w:val="100"/>
                <w:sz w:val="20"/>
              </w:rPr>
              <w:t>4</w:t>
            </w:r>
          </w:p>
        </w:tc>
        <w:tc>
          <w:tcPr>
            <w:tcW w:w="830" w:type="dxa"/>
          </w:tcPr>
          <w:p>
            <w:pPr>
              <w:pStyle w:val="TableParagraph"/>
              <w:spacing w:before="70"/>
              <w:ind w:left="47"/>
              <w:rPr>
                <w:sz w:val="20"/>
              </w:rPr>
            </w:pPr>
            <w:r>
              <w:rPr>
                <w:w w:val="100"/>
                <w:sz w:val="20"/>
              </w:rPr>
              <w:t>4</w:t>
            </w:r>
          </w:p>
        </w:tc>
        <w:tc>
          <w:tcPr>
            <w:tcW w:w="728" w:type="dxa"/>
          </w:tcPr>
          <w:p>
            <w:pPr>
              <w:pStyle w:val="TableParagraph"/>
              <w:spacing w:before="70"/>
              <w:ind w:left="47"/>
              <w:rPr>
                <w:sz w:val="20"/>
              </w:rPr>
            </w:pPr>
            <w:r>
              <w:rPr>
                <w:w w:val="100"/>
                <w:sz w:val="20"/>
              </w:rPr>
              <w:t>1</w:t>
            </w:r>
          </w:p>
        </w:tc>
        <w:tc>
          <w:tcPr>
            <w:tcW w:w="785" w:type="dxa"/>
          </w:tcPr>
          <w:p>
            <w:pPr>
              <w:pStyle w:val="TableParagraph"/>
              <w:spacing w:before="70"/>
              <w:ind w:left="47"/>
              <w:rPr>
                <w:sz w:val="20"/>
              </w:rPr>
            </w:pPr>
            <w:r>
              <w:rPr>
                <w:w w:val="100"/>
                <w:sz w:val="20"/>
              </w:rPr>
              <w:t>5</w:t>
            </w:r>
          </w:p>
        </w:tc>
        <w:tc>
          <w:tcPr>
            <w:tcW w:w="674" w:type="dxa"/>
          </w:tcPr>
          <w:p>
            <w:pPr>
              <w:pStyle w:val="TableParagraph"/>
              <w:spacing w:before="70"/>
              <w:ind w:left="47"/>
              <w:rPr>
                <w:sz w:val="20"/>
              </w:rPr>
            </w:pPr>
            <w:r>
              <w:rPr>
                <w:w w:val="100"/>
                <w:sz w:val="20"/>
              </w:rPr>
              <w:t>3</w:t>
            </w:r>
          </w:p>
        </w:tc>
        <w:tc>
          <w:tcPr>
            <w:tcW w:w="707" w:type="dxa"/>
          </w:tcPr>
          <w:p>
            <w:pPr>
              <w:pStyle w:val="TableParagraph"/>
              <w:spacing w:before="70"/>
              <w:ind w:left="48"/>
              <w:rPr>
                <w:sz w:val="20"/>
              </w:rPr>
            </w:pPr>
            <w:r>
              <w:rPr>
                <w:w w:val="100"/>
                <w:sz w:val="20"/>
              </w:rPr>
              <w:t>4</w:t>
            </w:r>
          </w:p>
        </w:tc>
      </w:tr>
      <w:tr>
        <w:trPr>
          <w:trHeight w:val="348" w:hRule="exact"/>
        </w:trPr>
        <w:tc>
          <w:tcPr>
            <w:tcW w:w="1252" w:type="dxa"/>
          </w:tcPr>
          <w:p>
            <w:pPr>
              <w:pStyle w:val="TableParagraph"/>
              <w:spacing w:before="70"/>
              <w:ind w:left="47"/>
              <w:rPr>
                <w:sz w:val="20"/>
              </w:rPr>
            </w:pPr>
            <w:r>
              <w:rPr>
                <w:w w:val="100"/>
                <w:sz w:val="20"/>
              </w:rPr>
              <w:t>5</w:t>
            </w:r>
          </w:p>
        </w:tc>
        <w:tc>
          <w:tcPr>
            <w:tcW w:w="830" w:type="dxa"/>
          </w:tcPr>
          <w:p>
            <w:pPr>
              <w:pStyle w:val="TableParagraph"/>
              <w:spacing w:before="70"/>
              <w:ind w:left="47"/>
              <w:rPr>
                <w:sz w:val="20"/>
              </w:rPr>
            </w:pPr>
            <w:r>
              <w:rPr>
                <w:w w:val="100"/>
                <w:sz w:val="20"/>
              </w:rPr>
              <w:t>3</w:t>
            </w:r>
          </w:p>
        </w:tc>
        <w:tc>
          <w:tcPr>
            <w:tcW w:w="728" w:type="dxa"/>
          </w:tcPr>
          <w:p>
            <w:pPr>
              <w:pStyle w:val="TableParagraph"/>
              <w:spacing w:before="70"/>
              <w:ind w:left="47"/>
              <w:rPr>
                <w:sz w:val="20"/>
              </w:rPr>
            </w:pPr>
            <w:r>
              <w:rPr>
                <w:w w:val="100"/>
                <w:sz w:val="20"/>
              </w:rPr>
              <w:t>2</w:t>
            </w:r>
          </w:p>
        </w:tc>
        <w:tc>
          <w:tcPr>
            <w:tcW w:w="785" w:type="dxa"/>
          </w:tcPr>
          <w:p>
            <w:pPr>
              <w:pStyle w:val="TableParagraph"/>
              <w:spacing w:before="70"/>
              <w:ind w:left="47"/>
              <w:rPr>
                <w:sz w:val="20"/>
              </w:rPr>
            </w:pPr>
            <w:r>
              <w:rPr>
                <w:w w:val="100"/>
                <w:sz w:val="20"/>
              </w:rPr>
              <w:t>4</w:t>
            </w:r>
          </w:p>
        </w:tc>
        <w:tc>
          <w:tcPr>
            <w:tcW w:w="674" w:type="dxa"/>
          </w:tcPr>
          <w:p>
            <w:pPr>
              <w:pStyle w:val="TableParagraph"/>
              <w:spacing w:before="70"/>
              <w:ind w:left="47"/>
              <w:rPr>
                <w:sz w:val="20"/>
              </w:rPr>
            </w:pPr>
            <w:r>
              <w:rPr>
                <w:w w:val="100"/>
                <w:sz w:val="20"/>
              </w:rPr>
              <w:t>3</w:t>
            </w:r>
          </w:p>
        </w:tc>
        <w:tc>
          <w:tcPr>
            <w:tcW w:w="707" w:type="dxa"/>
          </w:tcPr>
          <w:p>
            <w:pPr>
              <w:pStyle w:val="TableParagraph"/>
              <w:spacing w:before="70"/>
              <w:ind w:left="48"/>
              <w:rPr>
                <w:sz w:val="20"/>
              </w:rPr>
            </w:pPr>
            <w:r>
              <w:rPr>
                <w:w w:val="100"/>
                <w:sz w:val="20"/>
              </w:rPr>
              <w:t>4</w:t>
            </w:r>
          </w:p>
        </w:tc>
      </w:tr>
      <w:tr>
        <w:trPr>
          <w:trHeight w:val="348" w:hRule="exact"/>
        </w:trPr>
        <w:tc>
          <w:tcPr>
            <w:tcW w:w="1252" w:type="dxa"/>
          </w:tcPr>
          <w:p>
            <w:pPr>
              <w:pStyle w:val="TableParagraph"/>
              <w:spacing w:before="70"/>
              <w:ind w:left="47"/>
              <w:rPr>
                <w:sz w:val="20"/>
              </w:rPr>
            </w:pPr>
            <w:r>
              <w:rPr>
                <w:w w:val="100"/>
                <w:sz w:val="20"/>
              </w:rPr>
              <w:t>6</w:t>
            </w:r>
          </w:p>
        </w:tc>
        <w:tc>
          <w:tcPr>
            <w:tcW w:w="830" w:type="dxa"/>
          </w:tcPr>
          <w:p>
            <w:pPr>
              <w:pStyle w:val="TableParagraph"/>
              <w:spacing w:before="70"/>
              <w:ind w:left="47"/>
              <w:rPr>
                <w:sz w:val="20"/>
              </w:rPr>
            </w:pPr>
            <w:r>
              <w:rPr>
                <w:w w:val="100"/>
                <w:sz w:val="20"/>
              </w:rPr>
              <w:t>2</w:t>
            </w:r>
          </w:p>
        </w:tc>
        <w:tc>
          <w:tcPr>
            <w:tcW w:w="728" w:type="dxa"/>
          </w:tcPr>
          <w:p>
            <w:pPr>
              <w:pStyle w:val="TableParagraph"/>
              <w:spacing w:before="70"/>
              <w:ind w:left="47"/>
              <w:rPr>
                <w:sz w:val="20"/>
              </w:rPr>
            </w:pPr>
            <w:r>
              <w:rPr>
                <w:w w:val="100"/>
                <w:sz w:val="20"/>
              </w:rPr>
              <w:t>1</w:t>
            </w:r>
          </w:p>
        </w:tc>
        <w:tc>
          <w:tcPr>
            <w:tcW w:w="785" w:type="dxa"/>
          </w:tcPr>
          <w:p>
            <w:pPr>
              <w:pStyle w:val="TableParagraph"/>
              <w:spacing w:before="70"/>
              <w:ind w:left="47"/>
              <w:rPr>
                <w:sz w:val="20"/>
              </w:rPr>
            </w:pPr>
            <w:r>
              <w:rPr>
                <w:w w:val="100"/>
                <w:sz w:val="20"/>
              </w:rPr>
              <w:t>3</w:t>
            </w:r>
          </w:p>
        </w:tc>
        <w:tc>
          <w:tcPr>
            <w:tcW w:w="674" w:type="dxa"/>
          </w:tcPr>
          <w:p>
            <w:pPr>
              <w:pStyle w:val="TableParagraph"/>
              <w:spacing w:before="70"/>
              <w:ind w:left="47"/>
              <w:rPr>
                <w:sz w:val="20"/>
              </w:rPr>
            </w:pPr>
            <w:r>
              <w:rPr>
                <w:w w:val="100"/>
                <w:sz w:val="20"/>
              </w:rPr>
              <w:t>3</w:t>
            </w:r>
          </w:p>
        </w:tc>
        <w:tc>
          <w:tcPr>
            <w:tcW w:w="707" w:type="dxa"/>
          </w:tcPr>
          <w:p>
            <w:pPr>
              <w:pStyle w:val="TableParagraph"/>
              <w:spacing w:before="70"/>
              <w:ind w:left="48"/>
              <w:rPr>
                <w:sz w:val="20"/>
              </w:rPr>
            </w:pPr>
            <w:r>
              <w:rPr>
                <w:w w:val="100"/>
                <w:sz w:val="20"/>
              </w:rPr>
              <w:t>3</w:t>
            </w:r>
          </w:p>
        </w:tc>
      </w:tr>
      <w:tr>
        <w:trPr>
          <w:trHeight w:val="348" w:hRule="exact"/>
        </w:trPr>
        <w:tc>
          <w:tcPr>
            <w:tcW w:w="1252" w:type="dxa"/>
          </w:tcPr>
          <w:p>
            <w:pPr>
              <w:pStyle w:val="TableParagraph"/>
              <w:spacing w:before="70"/>
              <w:ind w:left="47"/>
              <w:rPr>
                <w:sz w:val="20"/>
              </w:rPr>
            </w:pPr>
            <w:r>
              <w:rPr>
                <w:w w:val="100"/>
                <w:sz w:val="20"/>
              </w:rPr>
              <w:t>7</w:t>
            </w:r>
          </w:p>
        </w:tc>
        <w:tc>
          <w:tcPr>
            <w:tcW w:w="830" w:type="dxa"/>
          </w:tcPr>
          <w:p>
            <w:pPr>
              <w:pStyle w:val="TableParagraph"/>
              <w:spacing w:before="70"/>
              <w:ind w:left="47"/>
              <w:rPr>
                <w:sz w:val="20"/>
              </w:rPr>
            </w:pPr>
            <w:r>
              <w:rPr>
                <w:w w:val="100"/>
                <w:sz w:val="20"/>
              </w:rPr>
              <w:t>4</w:t>
            </w:r>
          </w:p>
        </w:tc>
        <w:tc>
          <w:tcPr>
            <w:tcW w:w="728" w:type="dxa"/>
          </w:tcPr>
          <w:p>
            <w:pPr>
              <w:pStyle w:val="TableParagraph"/>
              <w:spacing w:before="70"/>
              <w:ind w:left="47"/>
              <w:rPr>
                <w:sz w:val="20"/>
              </w:rPr>
            </w:pPr>
            <w:r>
              <w:rPr>
                <w:w w:val="100"/>
                <w:sz w:val="20"/>
              </w:rPr>
              <w:t>1</w:t>
            </w:r>
          </w:p>
        </w:tc>
        <w:tc>
          <w:tcPr>
            <w:tcW w:w="785" w:type="dxa"/>
          </w:tcPr>
          <w:p>
            <w:pPr>
              <w:pStyle w:val="TableParagraph"/>
              <w:spacing w:before="70"/>
              <w:ind w:left="47"/>
              <w:rPr>
                <w:sz w:val="20"/>
              </w:rPr>
            </w:pPr>
            <w:r>
              <w:rPr>
                <w:w w:val="100"/>
                <w:sz w:val="20"/>
              </w:rPr>
              <w:t>5</w:t>
            </w:r>
          </w:p>
        </w:tc>
        <w:tc>
          <w:tcPr>
            <w:tcW w:w="674" w:type="dxa"/>
          </w:tcPr>
          <w:p>
            <w:pPr>
              <w:pStyle w:val="TableParagraph"/>
              <w:spacing w:before="70"/>
              <w:ind w:left="47"/>
              <w:rPr>
                <w:sz w:val="20"/>
              </w:rPr>
            </w:pPr>
            <w:r>
              <w:rPr>
                <w:w w:val="100"/>
                <w:sz w:val="20"/>
              </w:rPr>
              <w:t>3</w:t>
            </w:r>
          </w:p>
        </w:tc>
        <w:tc>
          <w:tcPr>
            <w:tcW w:w="707" w:type="dxa"/>
          </w:tcPr>
          <w:p>
            <w:pPr>
              <w:pStyle w:val="TableParagraph"/>
              <w:spacing w:before="70"/>
              <w:ind w:left="48"/>
              <w:rPr>
                <w:sz w:val="20"/>
              </w:rPr>
            </w:pPr>
            <w:r>
              <w:rPr>
                <w:w w:val="100"/>
                <w:sz w:val="20"/>
              </w:rPr>
              <w:t>4</w:t>
            </w:r>
          </w:p>
        </w:tc>
      </w:tr>
      <w:tr>
        <w:trPr>
          <w:trHeight w:val="348" w:hRule="exact"/>
        </w:trPr>
        <w:tc>
          <w:tcPr>
            <w:tcW w:w="1252" w:type="dxa"/>
          </w:tcPr>
          <w:p>
            <w:pPr>
              <w:pStyle w:val="TableParagraph"/>
              <w:spacing w:before="70"/>
              <w:ind w:left="47"/>
              <w:rPr>
                <w:sz w:val="20"/>
              </w:rPr>
            </w:pPr>
            <w:r>
              <w:rPr>
                <w:w w:val="100"/>
                <w:sz w:val="20"/>
              </w:rPr>
              <w:t>8</w:t>
            </w:r>
          </w:p>
        </w:tc>
        <w:tc>
          <w:tcPr>
            <w:tcW w:w="830" w:type="dxa"/>
          </w:tcPr>
          <w:p>
            <w:pPr>
              <w:pStyle w:val="TableParagraph"/>
              <w:spacing w:before="70"/>
              <w:ind w:left="47"/>
              <w:rPr>
                <w:sz w:val="20"/>
              </w:rPr>
            </w:pPr>
            <w:r>
              <w:rPr>
                <w:w w:val="100"/>
                <w:sz w:val="20"/>
              </w:rPr>
              <w:t>1</w:t>
            </w:r>
          </w:p>
        </w:tc>
        <w:tc>
          <w:tcPr>
            <w:tcW w:w="728" w:type="dxa"/>
          </w:tcPr>
          <w:p>
            <w:pPr>
              <w:pStyle w:val="TableParagraph"/>
              <w:spacing w:before="70"/>
              <w:ind w:left="47"/>
              <w:rPr>
                <w:sz w:val="20"/>
              </w:rPr>
            </w:pPr>
            <w:r>
              <w:rPr>
                <w:w w:val="100"/>
                <w:sz w:val="20"/>
              </w:rPr>
              <w:t>1</w:t>
            </w:r>
          </w:p>
        </w:tc>
        <w:tc>
          <w:tcPr>
            <w:tcW w:w="785" w:type="dxa"/>
          </w:tcPr>
          <w:p>
            <w:pPr>
              <w:pStyle w:val="TableParagraph"/>
              <w:spacing w:before="70"/>
              <w:ind w:left="47"/>
              <w:rPr>
                <w:sz w:val="20"/>
              </w:rPr>
            </w:pPr>
            <w:r>
              <w:rPr>
                <w:w w:val="100"/>
                <w:sz w:val="20"/>
              </w:rPr>
              <w:t>3</w:t>
            </w:r>
          </w:p>
        </w:tc>
        <w:tc>
          <w:tcPr>
            <w:tcW w:w="674" w:type="dxa"/>
          </w:tcPr>
          <w:p>
            <w:pPr>
              <w:pStyle w:val="TableParagraph"/>
              <w:spacing w:before="70"/>
              <w:ind w:left="47"/>
              <w:rPr>
                <w:sz w:val="20"/>
              </w:rPr>
            </w:pPr>
            <w:r>
              <w:rPr>
                <w:w w:val="100"/>
                <w:sz w:val="20"/>
              </w:rPr>
              <w:t>3</w:t>
            </w:r>
          </w:p>
        </w:tc>
        <w:tc>
          <w:tcPr>
            <w:tcW w:w="707" w:type="dxa"/>
          </w:tcPr>
          <w:p>
            <w:pPr>
              <w:pStyle w:val="TableParagraph"/>
              <w:spacing w:before="70"/>
              <w:ind w:left="48"/>
              <w:rPr>
                <w:sz w:val="20"/>
              </w:rPr>
            </w:pPr>
            <w:r>
              <w:rPr>
                <w:w w:val="100"/>
                <w:sz w:val="20"/>
              </w:rPr>
              <w:t>1</w:t>
            </w:r>
          </w:p>
        </w:tc>
      </w:tr>
      <w:tr>
        <w:trPr>
          <w:trHeight w:val="348" w:hRule="exact"/>
        </w:trPr>
        <w:tc>
          <w:tcPr>
            <w:tcW w:w="1252" w:type="dxa"/>
          </w:tcPr>
          <w:p>
            <w:pPr>
              <w:pStyle w:val="TableParagraph"/>
              <w:spacing w:before="70"/>
              <w:ind w:left="47"/>
              <w:rPr>
                <w:sz w:val="20"/>
              </w:rPr>
            </w:pPr>
            <w:r>
              <w:rPr>
                <w:w w:val="100"/>
                <w:sz w:val="20"/>
              </w:rPr>
              <w:t>9</w:t>
            </w:r>
          </w:p>
        </w:tc>
        <w:tc>
          <w:tcPr>
            <w:tcW w:w="830" w:type="dxa"/>
          </w:tcPr>
          <w:p>
            <w:pPr>
              <w:pStyle w:val="TableParagraph"/>
              <w:spacing w:before="70"/>
              <w:ind w:left="47"/>
              <w:rPr>
                <w:sz w:val="20"/>
              </w:rPr>
            </w:pPr>
            <w:r>
              <w:rPr>
                <w:w w:val="100"/>
                <w:sz w:val="20"/>
              </w:rPr>
              <w:t>2</w:t>
            </w:r>
          </w:p>
        </w:tc>
        <w:tc>
          <w:tcPr>
            <w:tcW w:w="728" w:type="dxa"/>
          </w:tcPr>
          <w:p>
            <w:pPr>
              <w:pStyle w:val="TableParagraph"/>
              <w:spacing w:before="70"/>
              <w:ind w:left="47"/>
              <w:rPr>
                <w:sz w:val="20"/>
              </w:rPr>
            </w:pPr>
            <w:r>
              <w:rPr>
                <w:w w:val="100"/>
                <w:sz w:val="20"/>
              </w:rPr>
              <w:t>2</w:t>
            </w:r>
          </w:p>
        </w:tc>
        <w:tc>
          <w:tcPr>
            <w:tcW w:w="785" w:type="dxa"/>
          </w:tcPr>
          <w:p>
            <w:pPr>
              <w:pStyle w:val="TableParagraph"/>
              <w:spacing w:before="70"/>
              <w:ind w:left="47"/>
              <w:rPr>
                <w:sz w:val="20"/>
              </w:rPr>
            </w:pPr>
            <w:r>
              <w:rPr>
                <w:w w:val="100"/>
                <w:sz w:val="20"/>
              </w:rPr>
              <w:t>5</w:t>
            </w:r>
          </w:p>
        </w:tc>
        <w:tc>
          <w:tcPr>
            <w:tcW w:w="674" w:type="dxa"/>
          </w:tcPr>
          <w:p>
            <w:pPr>
              <w:pStyle w:val="TableParagraph"/>
              <w:spacing w:before="70"/>
              <w:ind w:left="47"/>
              <w:rPr>
                <w:sz w:val="20"/>
              </w:rPr>
            </w:pPr>
            <w:r>
              <w:rPr>
                <w:w w:val="100"/>
                <w:sz w:val="20"/>
              </w:rPr>
              <w:t>3</w:t>
            </w:r>
          </w:p>
        </w:tc>
        <w:tc>
          <w:tcPr>
            <w:tcW w:w="707" w:type="dxa"/>
          </w:tcPr>
          <w:p>
            <w:pPr>
              <w:pStyle w:val="TableParagraph"/>
              <w:spacing w:before="70"/>
              <w:ind w:left="48"/>
              <w:rPr>
                <w:sz w:val="20"/>
              </w:rPr>
            </w:pPr>
            <w:r>
              <w:rPr>
                <w:w w:val="100"/>
                <w:sz w:val="20"/>
              </w:rPr>
              <w:t>3</w:t>
            </w:r>
          </w:p>
        </w:tc>
      </w:tr>
      <w:tr>
        <w:trPr>
          <w:trHeight w:val="347" w:hRule="exact"/>
        </w:trPr>
        <w:tc>
          <w:tcPr>
            <w:tcW w:w="1252" w:type="dxa"/>
          </w:tcPr>
          <w:p>
            <w:pPr>
              <w:pStyle w:val="TableParagraph"/>
              <w:spacing w:before="70"/>
              <w:ind w:left="47"/>
              <w:rPr>
                <w:sz w:val="20"/>
              </w:rPr>
            </w:pPr>
            <w:r>
              <w:rPr>
                <w:sz w:val="20"/>
              </w:rPr>
              <w:t>10</w:t>
            </w:r>
          </w:p>
        </w:tc>
        <w:tc>
          <w:tcPr>
            <w:tcW w:w="830" w:type="dxa"/>
          </w:tcPr>
          <w:p>
            <w:pPr>
              <w:pStyle w:val="TableParagraph"/>
              <w:spacing w:before="70"/>
              <w:ind w:left="47"/>
              <w:rPr>
                <w:sz w:val="20"/>
              </w:rPr>
            </w:pPr>
            <w:r>
              <w:rPr>
                <w:w w:val="100"/>
                <w:sz w:val="20"/>
              </w:rPr>
              <w:t>3</w:t>
            </w:r>
          </w:p>
        </w:tc>
        <w:tc>
          <w:tcPr>
            <w:tcW w:w="728" w:type="dxa"/>
          </w:tcPr>
          <w:p>
            <w:pPr>
              <w:pStyle w:val="TableParagraph"/>
              <w:spacing w:before="70"/>
              <w:ind w:left="47"/>
              <w:rPr>
                <w:sz w:val="20"/>
              </w:rPr>
            </w:pPr>
            <w:r>
              <w:rPr>
                <w:w w:val="100"/>
                <w:sz w:val="20"/>
              </w:rPr>
              <w:t>1</w:t>
            </w:r>
          </w:p>
        </w:tc>
        <w:tc>
          <w:tcPr>
            <w:tcW w:w="785" w:type="dxa"/>
          </w:tcPr>
          <w:p>
            <w:pPr>
              <w:pStyle w:val="TableParagraph"/>
              <w:spacing w:before="70"/>
              <w:ind w:left="47"/>
              <w:rPr>
                <w:sz w:val="20"/>
              </w:rPr>
            </w:pPr>
            <w:r>
              <w:rPr>
                <w:w w:val="100"/>
                <w:sz w:val="20"/>
              </w:rPr>
              <w:t>5</w:t>
            </w:r>
          </w:p>
        </w:tc>
        <w:tc>
          <w:tcPr>
            <w:tcW w:w="674" w:type="dxa"/>
          </w:tcPr>
          <w:p>
            <w:pPr>
              <w:pStyle w:val="TableParagraph"/>
              <w:spacing w:before="70"/>
              <w:ind w:left="47"/>
              <w:rPr>
                <w:sz w:val="20"/>
              </w:rPr>
            </w:pPr>
            <w:r>
              <w:rPr>
                <w:w w:val="100"/>
                <w:sz w:val="20"/>
              </w:rPr>
              <w:t>3</w:t>
            </w:r>
          </w:p>
        </w:tc>
        <w:tc>
          <w:tcPr>
            <w:tcW w:w="707" w:type="dxa"/>
          </w:tcPr>
          <w:p>
            <w:pPr>
              <w:pStyle w:val="TableParagraph"/>
              <w:spacing w:before="70"/>
              <w:ind w:left="48"/>
              <w:rPr>
                <w:sz w:val="20"/>
              </w:rPr>
            </w:pPr>
            <w:r>
              <w:rPr>
                <w:w w:val="100"/>
                <w:sz w:val="20"/>
              </w:rPr>
              <w:t>4</w:t>
            </w:r>
          </w:p>
        </w:tc>
      </w:tr>
    </w:tbl>
    <w:p>
      <w:pPr>
        <w:pStyle w:val="BodyText"/>
        <w:spacing w:before="2"/>
      </w:pPr>
    </w:p>
    <w:p>
      <w:pPr>
        <w:pStyle w:val="BodyText"/>
        <w:ind w:left="270" w:right="678"/>
        <w:jc w:val="both"/>
      </w:pPr>
      <w:r>
        <w:rPr/>
        <w:t>Step 6. was calculated for each "code position" risk category to which it belongs, in order to identify those critical positions or higher level of risk to the worker. ....</w:t>
      </w:r>
    </w:p>
    <w:p>
      <w:pPr>
        <w:pStyle w:val="BodyText"/>
      </w:pPr>
    </w:p>
    <w:p>
      <w:pPr>
        <w:pStyle w:val="BodyText"/>
        <w:spacing w:before="1"/>
        <w:ind w:left="270" w:right="675"/>
        <w:jc w:val="both"/>
      </w:pPr>
      <w:r>
        <w:rPr/>
        <w:t>Step 7. The percentage of repetitions or relative frequency activities that present the worker ice load each position of the back, arms and legs with respect to the others was calculated.</w:t>
      </w:r>
    </w:p>
    <w:p>
      <w:pPr>
        <w:pStyle w:val="BodyText"/>
        <w:spacing w:before="11"/>
        <w:rPr>
          <w:sz w:val="19"/>
        </w:rPr>
      </w:pPr>
    </w:p>
    <w:p>
      <w:pPr>
        <w:pStyle w:val="BodyText"/>
        <w:ind w:left="270" w:right="677"/>
        <w:jc w:val="both"/>
      </w:pPr>
      <w:r>
        <w:rPr/>
        <w:t>Step 8. This step was determined, based on calculated risks, and corrective actions required redesign.</w:t>
      </w:r>
    </w:p>
    <w:p>
      <w:pPr>
        <w:pStyle w:val="BodyText"/>
        <w:ind w:left="270" w:right="677"/>
        <w:jc w:val="both"/>
      </w:pPr>
      <w:r>
        <w:rPr/>
        <w:t>There Swivel back bent trunk flexion and rotation (or angle) simultaneously. The punctuation is 4.</w:t>
      </w:r>
    </w:p>
    <w:p>
      <w:pPr>
        <w:pStyle w:val="BodyText"/>
        <w:ind w:left="270" w:right="702" w:firstLine="430"/>
      </w:pPr>
      <w:r>
        <w:rPr/>
        <w:t>The two lower arms both arms of the worker are located under the shoulder level. The punctuation is 1.</w:t>
      </w:r>
    </w:p>
    <w:p>
      <w:pPr>
        <w:spacing w:after="0"/>
        <w:sectPr>
          <w:pgSz w:w="12240" w:h="15840"/>
          <w:pgMar w:header="545" w:footer="852" w:top="1060" w:bottom="1040" w:left="580" w:right="220"/>
          <w:cols w:num="2" w:equalWidth="0">
            <w:col w:w="5551" w:space="73"/>
            <w:col w:w="5816"/>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4"/>
        <w:ind w:left="270" w:firstLine="430"/>
        <w:jc w:val="both"/>
      </w:pPr>
      <w:r>
        <w:rPr/>
        <w:t>Both standing and squatting with legs bent and the weight balance between the two. The score at is 5</w:t>
      </w:r>
    </w:p>
    <w:p>
      <w:pPr>
        <w:pStyle w:val="BodyText"/>
        <w:spacing w:line="480" w:lineRule="auto"/>
        <w:ind w:left="791" w:right="500" w:hanging="90"/>
      </w:pPr>
      <w:r>
        <w:rPr/>
        <w:t>More than 20 kilograms the punctuation is 3. Table 9. Example of how to take risk categories.</w:t>
      </w:r>
    </w:p>
    <w:p>
      <w:pPr>
        <w:pStyle w:val="BodyText"/>
        <w:ind w:left="270"/>
      </w:pPr>
      <w:r>
        <w:rPr/>
        <w:drawing>
          <wp:inline distT="0" distB="0" distL="0" distR="0">
            <wp:extent cx="3080060" cy="2218372"/>
            <wp:effectExtent l="0" t="0" r="0" b="0"/>
            <wp:docPr id="377" name="image226.jpeg" descr=""/>
            <wp:cNvGraphicFramePr>
              <a:graphicFrameLocks noChangeAspect="1"/>
            </wp:cNvGraphicFramePr>
            <a:graphic>
              <a:graphicData uri="http://schemas.openxmlformats.org/drawingml/2006/picture">
                <pic:pic>
                  <pic:nvPicPr>
                    <pic:cNvPr id="378" name="image226.jpeg"/>
                    <pic:cNvPicPr/>
                  </pic:nvPicPr>
                  <pic:blipFill>
                    <a:blip r:embed="rId365" cstate="print"/>
                    <a:stretch>
                      <a:fillRect/>
                    </a:stretch>
                  </pic:blipFill>
                  <pic:spPr>
                    <a:xfrm>
                      <a:off x="0" y="0"/>
                      <a:ext cx="3080060" cy="2218372"/>
                    </a:xfrm>
                    <a:prstGeom prst="rect">
                      <a:avLst/>
                    </a:prstGeom>
                  </pic:spPr>
                </pic:pic>
              </a:graphicData>
            </a:graphic>
          </wp:inline>
        </w:drawing>
      </w:r>
      <w:r>
        <w:rPr/>
      </w:r>
    </w:p>
    <w:p>
      <w:pPr>
        <w:pStyle w:val="BodyText"/>
        <w:spacing w:before="21"/>
        <w:ind w:left="270"/>
        <w:jc w:val="both"/>
      </w:pPr>
      <w:r>
        <w:rPr>
          <w:u w:val="single"/>
        </w:rPr>
        <w:t>Final Result: 4</w:t>
      </w:r>
    </w:p>
    <w:p>
      <w:pPr>
        <w:pStyle w:val="BodyText"/>
        <w:spacing w:before="11"/>
        <w:rPr>
          <w:sz w:val="19"/>
        </w:rPr>
      </w:pPr>
    </w:p>
    <w:p>
      <w:pPr>
        <w:pStyle w:val="BodyText"/>
        <w:ind w:left="270"/>
        <w:jc w:val="both"/>
      </w:pPr>
      <w:r>
        <w:rPr/>
        <w:t>It is the highest score that exists in the table so it is necessary that the most before possible corrective actions are taken. One proposal is to use girdles, devils to load the ice.</w:t>
      </w:r>
    </w:p>
    <w:p>
      <w:pPr>
        <w:pStyle w:val="BodyText"/>
      </w:pPr>
    </w:p>
    <w:p>
      <w:pPr>
        <w:pStyle w:val="BodyText"/>
        <w:spacing w:before="1"/>
        <w:ind w:left="270"/>
        <w:jc w:val="both"/>
      </w:pPr>
      <w:r>
        <w:rPr/>
        <w:t>With Evaluation resulted cargo has the worker as THEREFORE cooler has extremely harmful effects on the musculo-skeletal system. For that reason it is necessary to take corrective action immediately. It is the highest  risk score tale.</w:t>
      </w:r>
    </w:p>
    <w:p>
      <w:pPr>
        <w:pStyle w:val="BodyText"/>
      </w:pPr>
    </w:p>
    <w:p>
      <w:pPr>
        <w:pStyle w:val="BodyText"/>
        <w:spacing w:before="1"/>
        <w:ind w:left="1872" w:right="500"/>
      </w:pPr>
      <w:r>
        <w:rPr/>
        <w:t>Table 10. Final result</w:t>
      </w:r>
    </w:p>
    <w:p>
      <w:pPr>
        <w:pStyle w:val="BodyText"/>
        <w:ind w:left="270"/>
      </w:pPr>
      <w:r>
        <w:rPr/>
        <w:drawing>
          <wp:inline distT="0" distB="0" distL="0" distR="0">
            <wp:extent cx="2740548" cy="2446782"/>
            <wp:effectExtent l="0" t="0" r="0" b="0"/>
            <wp:docPr id="379" name="image227.jpeg" descr=""/>
            <wp:cNvGraphicFramePr>
              <a:graphicFrameLocks noChangeAspect="1"/>
            </wp:cNvGraphicFramePr>
            <a:graphic>
              <a:graphicData uri="http://schemas.openxmlformats.org/drawingml/2006/picture">
                <pic:pic>
                  <pic:nvPicPr>
                    <pic:cNvPr id="380" name="image227.jpeg"/>
                    <pic:cNvPicPr/>
                  </pic:nvPicPr>
                  <pic:blipFill>
                    <a:blip r:embed="rId366" cstate="print"/>
                    <a:stretch>
                      <a:fillRect/>
                    </a:stretch>
                  </pic:blipFill>
                  <pic:spPr>
                    <a:xfrm>
                      <a:off x="0" y="0"/>
                      <a:ext cx="2740548" cy="2446782"/>
                    </a:xfrm>
                    <a:prstGeom prst="rect">
                      <a:avLst/>
                    </a:prstGeom>
                  </pic:spPr>
                </pic:pic>
              </a:graphicData>
            </a:graphic>
          </wp:inline>
        </w:drawing>
      </w:r>
      <w:r>
        <w:rPr/>
      </w:r>
    </w:p>
    <w:p>
      <w:pPr>
        <w:pStyle w:val="BodyText"/>
      </w:pPr>
    </w:p>
    <w:p>
      <w:pPr>
        <w:pStyle w:val="BodyText"/>
        <w:spacing w:before="5"/>
      </w:pPr>
    </w:p>
    <w:p>
      <w:pPr>
        <w:pStyle w:val="Heading4"/>
        <w:numPr>
          <w:ilvl w:val="0"/>
          <w:numId w:val="88"/>
        </w:numPr>
        <w:tabs>
          <w:tab w:pos="472" w:val="left" w:leader="none"/>
        </w:tabs>
        <w:spacing w:line="240" w:lineRule="auto" w:before="0" w:after="0"/>
        <w:ind w:left="471" w:right="0" w:hanging="201"/>
        <w:jc w:val="both"/>
      </w:pPr>
      <w:r>
        <w:rPr/>
        <w:t>CONCLUSIONS</w:t>
      </w:r>
    </w:p>
    <w:p>
      <w:pPr>
        <w:pStyle w:val="BodyText"/>
        <w:spacing w:before="9"/>
        <w:rPr>
          <w:b/>
          <w:sz w:val="19"/>
        </w:rPr>
      </w:pPr>
    </w:p>
    <w:p>
      <w:pPr>
        <w:pStyle w:val="BodyText"/>
        <w:spacing w:before="1"/>
        <w:ind w:left="270" w:firstLine="430"/>
        <w:jc w:val="both"/>
      </w:pPr>
      <w:r>
        <w:rPr/>
        <w:t>With the results obtained by the method in the evaluation OWAS is detected that the worker a cooler company has a high level of risk so it is recommended that it</w:t>
      </w:r>
    </w:p>
    <w:p>
      <w:pPr>
        <w:pStyle w:val="BodyText"/>
        <w:spacing w:before="74"/>
        <w:ind w:left="270" w:right="675"/>
        <w:jc w:val="both"/>
      </w:pPr>
      <w:r>
        <w:rPr/>
        <w:br w:type="column"/>
      </w:r>
      <w:r>
        <w:rPr/>
        <w:t>acts immediately as it can have very harmful consequences for the health of muscle- skeletal.</w:t>
      </w:r>
    </w:p>
    <w:p>
      <w:pPr>
        <w:pStyle w:val="BodyText"/>
        <w:ind w:left="270" w:right="675" w:firstLine="430"/>
        <w:jc w:val="both"/>
      </w:pPr>
      <w:r>
        <w:rPr/>
        <w:t>To evaluate the postural overload worker loads ice cubes, methods of ergonomic evaluation that were created to be applied by staff with some knowledge of the area, which have special characteristics, according to the variables assessed, but complementary each other, so generally apply more than two methods to get complete results and objectives, why it is considered that there is so far a method of comprehensive evaluation, easy to apply, and more comprehensive results, covering more number of variables  to assess the presence of postural overload, giving results that generaren short, medium and long term improvement proposals to maintain or, where necessary, improve the working conditions of workers from the opening ergonomic perspective, moreover, possibility of new research. On the other hand, it is observed that the validation of tools for ergonomic evaluation is a complex process that requires several applications, and is a good option to generate a proposal.</w:t>
      </w:r>
    </w:p>
    <w:p>
      <w:pPr>
        <w:pStyle w:val="BodyText"/>
      </w:pPr>
    </w:p>
    <w:p>
      <w:pPr>
        <w:pStyle w:val="BodyText"/>
        <w:spacing w:before="2"/>
      </w:pPr>
    </w:p>
    <w:p>
      <w:pPr>
        <w:pStyle w:val="Heading4"/>
        <w:numPr>
          <w:ilvl w:val="0"/>
          <w:numId w:val="88"/>
        </w:numPr>
        <w:tabs>
          <w:tab w:pos="471" w:val="left" w:leader="none"/>
        </w:tabs>
        <w:spacing w:line="240" w:lineRule="auto" w:before="0" w:after="0"/>
        <w:ind w:left="470" w:right="0" w:hanging="200"/>
        <w:jc w:val="both"/>
      </w:pPr>
      <w:r>
        <w:rPr/>
        <w:t>RECOMENDED</w:t>
      </w:r>
    </w:p>
    <w:p>
      <w:pPr>
        <w:pStyle w:val="BodyText"/>
        <w:spacing w:before="8"/>
        <w:rPr>
          <w:b/>
          <w:sz w:val="19"/>
        </w:rPr>
      </w:pPr>
    </w:p>
    <w:p>
      <w:pPr>
        <w:pStyle w:val="BodyText"/>
        <w:ind w:left="270" w:right="674"/>
        <w:jc w:val="both"/>
      </w:pPr>
      <w:r>
        <w:rPr/>
        <w:t>Recommendations should be charged as ice cubes in the company Cooler to prevent ergonomic risks in the future.</w:t>
      </w:r>
    </w:p>
    <w:p>
      <w:pPr>
        <w:pStyle w:val="BodyText"/>
        <w:spacing w:before="11"/>
        <w:rPr>
          <w:sz w:val="19"/>
        </w:rPr>
      </w:pPr>
    </w:p>
    <w:p>
      <w:pPr>
        <w:pStyle w:val="BodyText"/>
        <w:ind w:left="270" w:right="677"/>
        <w:jc w:val="both"/>
      </w:pPr>
      <w:r>
        <w:rPr/>
        <w:t>-When lift or move a load, stretch forward more than 10 inches.</w:t>
      </w:r>
    </w:p>
    <w:p>
      <w:pPr>
        <w:pStyle w:val="BodyText"/>
        <w:spacing w:line="230" w:lineRule="exact"/>
        <w:ind w:left="270"/>
        <w:jc w:val="both"/>
      </w:pPr>
      <w:r>
        <w:rPr/>
        <w:t>Not twist your body.</w:t>
      </w:r>
    </w:p>
    <w:p>
      <w:pPr>
        <w:pStyle w:val="BodyText"/>
        <w:ind w:left="270" w:right="680"/>
        <w:jc w:val="both"/>
      </w:pPr>
      <w:r>
        <w:rPr/>
        <w:t>-To Lift loads lift with your legs and not your back. Keep your back as straight as possible.</w:t>
      </w:r>
    </w:p>
    <w:p>
      <w:pPr>
        <w:pStyle w:val="BodyText"/>
        <w:spacing w:line="229" w:lineRule="exact"/>
        <w:ind w:left="270"/>
        <w:jc w:val="both"/>
      </w:pPr>
      <w:r>
        <w:rPr/>
        <w:t>-Raise your load holding her tightly with both hands.</w:t>
      </w:r>
    </w:p>
    <w:p>
      <w:pPr>
        <w:pStyle w:val="BodyText"/>
        <w:spacing w:before="3"/>
      </w:pPr>
    </w:p>
    <w:p>
      <w:pPr>
        <w:pStyle w:val="Heading4"/>
        <w:numPr>
          <w:ilvl w:val="0"/>
          <w:numId w:val="88"/>
        </w:numPr>
        <w:tabs>
          <w:tab w:pos="473" w:val="left" w:leader="none"/>
        </w:tabs>
        <w:spacing w:line="240" w:lineRule="auto" w:before="0" w:after="0"/>
        <w:ind w:left="472" w:right="0" w:hanging="202"/>
        <w:jc w:val="both"/>
      </w:pPr>
      <w:r>
        <w:rPr/>
        <w:t>IMPROVEMENT</w:t>
      </w:r>
      <w:r>
        <w:rPr>
          <w:spacing w:val="-14"/>
        </w:rPr>
        <w:t> </w:t>
      </w:r>
      <w:r>
        <w:rPr/>
        <w:t>PROPOSAL</w:t>
      </w:r>
    </w:p>
    <w:p>
      <w:pPr>
        <w:pStyle w:val="BodyText"/>
        <w:spacing w:before="8"/>
        <w:rPr>
          <w:b/>
          <w:sz w:val="19"/>
        </w:rPr>
      </w:pPr>
    </w:p>
    <w:p>
      <w:pPr>
        <w:pStyle w:val="BodyText"/>
        <w:ind w:left="270" w:right="676"/>
        <w:jc w:val="both"/>
      </w:pPr>
      <w:r>
        <w:rPr/>
        <w:t>To the main problems encountered in the workplace solutions that improve the positions that the operator has to take in performing their tasks are proposed. Then these proposals will be shown and the results are analyzed in the same cases studied above. The Ones main changes proposed are: Use of back belts.</w:t>
      </w:r>
    </w:p>
    <w:p>
      <w:pPr>
        <w:pStyle w:val="BodyText"/>
        <w:ind w:left="270" w:right="678" w:firstLine="430"/>
        <w:jc w:val="both"/>
      </w:pPr>
      <w:r>
        <w:rPr/>
        <w:t>Lifting the ice machines up to the ground. Using loading carts or forklift for unloading the final product, moving from the current situation to the final place of discharge.</w:t>
      </w:r>
    </w:p>
    <w:p>
      <w:pPr>
        <w:pStyle w:val="BodyText"/>
        <w:ind w:left="270" w:right="676" w:firstLine="430"/>
        <w:jc w:val="both"/>
      </w:pPr>
      <w:r>
        <w:rPr/>
        <w:t>Use of a container for the finished product, based on a system of interchangeable hangers according to the geometry and</w:t>
      </w:r>
      <w:r>
        <w:rPr>
          <w:spacing w:val="-9"/>
        </w:rPr>
        <w:t> </w:t>
      </w:r>
      <w:r>
        <w:rPr/>
        <w:t>dimensions.</w:t>
      </w:r>
    </w:p>
    <w:p>
      <w:pPr>
        <w:pStyle w:val="BodyText"/>
        <w:spacing w:before="2"/>
      </w:pPr>
    </w:p>
    <w:p>
      <w:pPr>
        <w:pStyle w:val="Heading4"/>
      </w:pPr>
      <w:r>
        <w:rPr/>
        <w:t>REFERENCES</w:t>
      </w:r>
    </w:p>
    <w:p>
      <w:pPr>
        <w:pStyle w:val="BodyText"/>
        <w:spacing w:before="8"/>
        <w:rPr>
          <w:b/>
          <w:sz w:val="19"/>
        </w:rPr>
      </w:pPr>
    </w:p>
    <w:p>
      <w:pPr>
        <w:pStyle w:val="BodyText"/>
        <w:ind w:left="270" w:right="676"/>
        <w:jc w:val="both"/>
      </w:pPr>
      <w:r>
        <w:rPr/>
        <w:t>[1]Karhu, O., Kansi, P., and Kuorinka, L., 1977, Correcting working postures in industry: A practical method for analysis. Applied Ergonomics, 8, pp. 199-201.</w:t>
      </w:r>
    </w:p>
    <w:p>
      <w:pPr>
        <w:pStyle w:val="BodyText"/>
        <w:ind w:left="270" w:right="677"/>
        <w:jc w:val="both"/>
      </w:pPr>
      <w:r>
        <w:rPr/>
        <w:t>[2]Nogareda, S., and I. Dalmau, 2006. Evaluation of  working conditions: postural load. 452. NTP National Institute for Health and Safety at</w:t>
      </w:r>
      <w:r>
        <w:rPr>
          <w:spacing w:val="-20"/>
        </w:rPr>
        <w:t> </w:t>
      </w:r>
      <w:r>
        <w:rPr/>
        <w:t>work.</w:t>
      </w:r>
    </w:p>
    <w:p>
      <w:pPr>
        <w:spacing w:after="0"/>
        <w:jc w:val="both"/>
        <w:sectPr>
          <w:type w:val="continuous"/>
          <w:pgSz w:w="12240" w:h="15840"/>
          <w:pgMar w:top="1500" w:bottom="280" w:left="580" w:right="220"/>
          <w:cols w:num="2" w:equalWidth="0">
            <w:col w:w="5188" w:space="437"/>
            <w:col w:w="5815"/>
          </w:cols>
        </w:sectPr>
      </w:pPr>
    </w:p>
    <w:p>
      <w:pPr>
        <w:pStyle w:val="BodyText"/>
        <w:spacing w:before="4"/>
        <w:rPr>
          <w:sz w:val="11"/>
        </w:rPr>
      </w:pPr>
    </w:p>
    <w:p>
      <w:pPr>
        <w:pStyle w:val="BodyText"/>
        <w:spacing w:before="74"/>
        <w:ind w:left="270" w:right="6250"/>
      </w:pPr>
      <w:r>
        <w:rPr/>
        <w:t>[3]Kivi, P. Mattila, M., 1991, Analysis and improvement of work postures in the building industry: application of the computerized OWAS method. Appl Ergon, 22, pp. 43-48. [4]Mattila, M. and Vilkki, P., 1999, OWAS methods. In:  W.</w:t>
      </w:r>
    </w:p>
    <w:p>
      <w:pPr>
        <w:pStyle w:val="BodyText"/>
        <w:ind w:left="270" w:right="6251"/>
        <w:jc w:val="both"/>
      </w:pPr>
      <w:r>
        <w:rPr/>
        <w:t>W. Karwowski and Marras, Editors, The Occupational Ergonomics Handbook, CRC Press, Boca Raton, pp. 447- 459.</w:t>
      </w:r>
    </w:p>
    <w:p>
      <w:pPr>
        <w:pStyle w:val="BodyText"/>
        <w:ind w:left="270" w:right="6276"/>
      </w:pPr>
      <w:r>
        <w:rPr/>
        <w:t>[5]"Methods of assessing physical workload" by Yolanda Fernandez Gallego.</w:t>
      </w:r>
    </w:p>
    <w:p>
      <w:pPr>
        <w:pStyle w:val="BodyText"/>
        <w:ind w:left="270" w:right="6276"/>
      </w:pPr>
      <w:r>
        <w:rPr/>
        <w:t>Published by the Mutual CYCLOPS (Barcelona, Spain,  2001)</w:t>
      </w:r>
    </w:p>
    <w:p>
      <w:pPr>
        <w:pStyle w:val="BodyText"/>
        <w:ind w:left="270" w:right="6276"/>
      </w:pPr>
      <w:r>
        <w:rPr/>
        <w:t>[6]"Ergonomics and occupational low back pain" by Lilia Prado Roselia León. Published by</w:t>
      </w:r>
    </w:p>
    <w:p>
      <w:pPr>
        <w:pStyle w:val="BodyText"/>
        <w:ind w:left="270" w:right="6276"/>
      </w:pPr>
      <w:r>
        <w:rPr/>
        <w:t>Research Center for Ergonomics, University of Guadalajara (Mexico, 2001)</w:t>
      </w:r>
    </w:p>
    <w:p>
      <w:pPr>
        <w:pStyle w:val="BodyText"/>
        <w:ind w:left="270" w:right="6304"/>
      </w:pPr>
      <w:r>
        <w:rPr/>
        <w:t>[7]"OWAS: Evaluation of the bids for the job" by Peter R. Mondelo, Eva Bargalló Novers and Achilles Hernandez  Soto. Seminar given at the School of Industrial Engineers Polytechnic University of Catalunia (Barcelona, Spain, November</w:t>
      </w:r>
      <w:r>
        <w:rPr>
          <w:spacing w:val="-6"/>
        </w:rPr>
        <w:t> </w:t>
      </w:r>
      <w:r>
        <w:rPr/>
        <w:t>2001).</w:t>
      </w:r>
    </w:p>
    <w:p>
      <w:pPr>
        <w:spacing w:after="0"/>
        <w:sectPr>
          <w:pgSz w:w="12240" w:h="15840"/>
          <w:pgMar w:header="545" w:footer="852" w:top="1060" w:bottom="1040" w:left="580" w:right="220"/>
        </w:sectPr>
      </w:pPr>
    </w:p>
    <w:p>
      <w:pPr>
        <w:pStyle w:val="BodyText"/>
        <w:spacing w:before="4"/>
        <w:rPr>
          <w:sz w:val="11"/>
        </w:rPr>
      </w:pPr>
    </w:p>
    <w:p>
      <w:pPr>
        <w:spacing w:after="0"/>
        <w:rPr>
          <w:sz w:val="11"/>
        </w:rPr>
        <w:sectPr>
          <w:pgSz w:w="12240" w:h="15840"/>
          <w:pgMar w:header="545" w:footer="852" w:top="1060" w:bottom="1040" w:left="580" w:right="220"/>
        </w:sectPr>
      </w:pPr>
    </w:p>
    <w:p>
      <w:pPr>
        <w:pStyle w:val="Heading1"/>
        <w:spacing w:before="77"/>
        <w:ind w:right="131"/>
      </w:pPr>
      <w:r>
        <w:rPr/>
        <w:t>Pilot study for the evaluation of ergonomics risks factors and presence of musculoskeletal symptoms in doctors and residents with specialization in echography</w:t>
      </w:r>
    </w:p>
    <w:p>
      <w:pPr>
        <w:pStyle w:val="BodyText"/>
        <w:spacing w:before="8"/>
        <w:rPr>
          <w:b/>
          <w:sz w:val="19"/>
        </w:rPr>
      </w:pPr>
    </w:p>
    <w:p>
      <w:pPr>
        <w:spacing w:before="0"/>
        <w:ind w:left="270" w:right="18" w:firstLine="0"/>
        <w:jc w:val="both"/>
        <w:rPr>
          <w:i/>
          <w:sz w:val="20"/>
        </w:rPr>
      </w:pPr>
      <w:r>
        <w:rPr>
          <w:i/>
          <w:sz w:val="20"/>
        </w:rPr>
        <w:t>Elena Margarita Ochoa Chaidez</w:t>
      </w:r>
      <w:r>
        <w:rPr>
          <w:position w:val="7"/>
          <w:sz w:val="10"/>
        </w:rPr>
        <w:t>a</w:t>
      </w:r>
      <w:r>
        <w:rPr>
          <w:i/>
          <w:sz w:val="20"/>
        </w:rPr>
        <w:t>, Elvia Luz González  </w:t>
      </w:r>
      <w:r>
        <w:rPr>
          <w:i/>
          <w:sz w:val="20"/>
        </w:rPr>
        <w:t>Muñoz</w:t>
      </w:r>
      <w:r>
        <w:rPr>
          <w:i/>
          <w:spacing w:val="-26"/>
          <w:sz w:val="20"/>
        </w:rPr>
        <w:t> </w:t>
      </w:r>
      <w:r>
        <w:rPr>
          <w:position w:val="7"/>
          <w:sz w:val="10"/>
        </w:rPr>
        <w:t>b</w:t>
      </w:r>
      <w:r>
        <w:rPr>
          <w:i/>
          <w:sz w:val="20"/>
        </w:rPr>
        <w:t>.</w:t>
      </w:r>
    </w:p>
    <w:p>
      <w:pPr>
        <w:pStyle w:val="BodyText"/>
        <w:spacing w:before="7"/>
        <w:rPr>
          <w:i/>
          <w:sz w:val="18"/>
        </w:rPr>
      </w:pPr>
    </w:p>
    <w:p>
      <w:pPr>
        <w:spacing w:before="0"/>
        <w:ind w:left="270" w:right="1" w:firstLine="0"/>
        <w:jc w:val="both"/>
        <w:rPr>
          <w:sz w:val="16"/>
        </w:rPr>
      </w:pPr>
      <w:r>
        <w:rPr>
          <w:position w:val="7"/>
          <w:sz w:val="10"/>
        </w:rPr>
        <w:t>a </w:t>
      </w:r>
      <w:r>
        <w:rPr>
          <w:sz w:val="16"/>
        </w:rPr>
        <w:t>Universidad de Guadalajara, C.P. 44100, </w:t>
      </w:r>
      <w:hyperlink r:id="rId31">
        <w:r>
          <w:rPr>
            <w:sz w:val="16"/>
          </w:rPr>
          <w:t>elenaochoa88@hotmail.com,</w:t>
        </w:r>
      </w:hyperlink>
      <w:r>
        <w:rPr>
          <w:sz w:val="16"/>
        </w:rPr>
        <w:t> Guadalajara, Jalisco, México.</w:t>
      </w:r>
    </w:p>
    <w:p>
      <w:pPr>
        <w:spacing w:line="184" w:lineRule="exact" w:before="3"/>
        <w:ind w:left="270" w:right="0" w:firstLine="39"/>
        <w:jc w:val="both"/>
        <w:rPr>
          <w:sz w:val="16"/>
        </w:rPr>
      </w:pPr>
      <w:r>
        <w:rPr>
          <w:position w:val="7"/>
          <w:sz w:val="10"/>
        </w:rPr>
        <w:t>b </w:t>
      </w:r>
      <w:r>
        <w:rPr>
          <w:sz w:val="16"/>
        </w:rPr>
        <w:t>Universidad de Guadalajara, C.P. 44100, </w:t>
      </w:r>
      <w:hyperlink r:id="rId367">
        <w:r>
          <w:rPr>
            <w:sz w:val="16"/>
          </w:rPr>
          <w:t>elvia.gonzalez@cuaad.udg.mx,</w:t>
        </w:r>
      </w:hyperlink>
      <w:r>
        <w:rPr>
          <w:sz w:val="16"/>
        </w:rPr>
        <w:t> Guadalajara, Jalisco, México.</w:t>
      </w:r>
    </w:p>
    <w:p>
      <w:pPr>
        <w:pStyle w:val="BodyText"/>
        <w:spacing w:before="2"/>
      </w:pPr>
    </w:p>
    <w:p>
      <w:pPr>
        <w:pStyle w:val="Heading4"/>
      </w:pPr>
      <w:r>
        <w:rPr/>
        <w:pict>
          <v:line style="position:absolute;mso-position-horizontal-relative:page;mso-position-vertical-relative:paragraph;z-index:10192" from="41.040001pt,13.20541pt" to="289.860001pt,13.20541pt" stroked="true" strokeweight="1.5pt" strokecolor="#000000">
            <w10:wrap type="none"/>
          </v:line>
        </w:pict>
      </w:r>
      <w:r>
        <w:rPr/>
        <w:t>Resumen</w:t>
      </w:r>
    </w:p>
    <w:p>
      <w:pPr>
        <w:pStyle w:val="BodyText"/>
        <w:spacing w:before="46"/>
        <w:ind w:left="270" w:right="17"/>
        <w:jc w:val="both"/>
      </w:pPr>
      <w:r>
        <w:rPr/>
        <w:t>Se realizó un estudio con seis participantes los cuales eran residentes y médicos del departamento de ecografía de un hospital. El objetivo era evaluar los factores de riesgo ergonómicos relacionados con la presencia de síntomas musculo esqueléticos laborales en los participantes. Para la obtención de datos se aplicó el cuestionario nórdico para detectar las molestias musculo esqueléticas en los participantes. Se video-grabó a cada participante realizando un estudio de ecografía abdominal y se analizaron las posturas más riesgosas con método RULA, por último se aplicó la escala de Borg para saber cómo los participantes evaluaban el esfuerzo realizado con el uso del transductor.  Se encontraron síntomas musculo esqueléticos en los participantes y posturas riesgosas al realizar la actividad de ecografía.</w:t>
      </w:r>
    </w:p>
    <w:p>
      <w:pPr>
        <w:pStyle w:val="BodyText"/>
        <w:spacing w:before="11"/>
        <w:rPr>
          <w:sz w:val="19"/>
        </w:rPr>
      </w:pPr>
    </w:p>
    <w:p>
      <w:pPr>
        <w:pStyle w:val="BodyText"/>
        <w:ind w:left="270" w:right="17"/>
        <w:jc w:val="both"/>
      </w:pPr>
      <w:r>
        <w:rPr>
          <w:b/>
        </w:rPr>
        <w:t>Palabras clave</w:t>
      </w:r>
      <w:r>
        <w:rPr/>
        <w:t>— ergonomía ocupacional, síntomas musculo esqueléticos, ecografía.</w:t>
      </w:r>
    </w:p>
    <w:p>
      <w:pPr>
        <w:pStyle w:val="BodyText"/>
        <w:spacing w:before="4"/>
      </w:pPr>
    </w:p>
    <w:p>
      <w:pPr>
        <w:pStyle w:val="Heading5"/>
        <w:rPr>
          <w:i/>
        </w:rPr>
      </w:pPr>
      <w:r>
        <w:rPr/>
        <w:pict>
          <v:line style="position:absolute;mso-position-horizontal-relative:page;mso-position-vertical-relative:paragraph;z-index:10216" from="41.040001pt,13.206417pt" to="289.860001pt,13.206417pt" stroked="true" strokeweight="1.5pt" strokecolor="#000000">
            <w10:wrap type="none"/>
          </v:line>
        </w:pict>
      </w:r>
      <w:r>
        <w:rPr>
          <w:i/>
        </w:rPr>
        <w:t>Abstract</w:t>
      </w:r>
    </w:p>
    <w:p>
      <w:pPr>
        <w:spacing w:before="46"/>
        <w:ind w:left="270" w:right="16" w:firstLine="0"/>
        <w:jc w:val="both"/>
        <w:rPr>
          <w:i/>
          <w:sz w:val="20"/>
        </w:rPr>
      </w:pPr>
      <w:r>
        <w:rPr>
          <w:i/>
          <w:sz w:val="20"/>
        </w:rPr>
        <w:t>A study was performed of six participants who were  </w:t>
      </w:r>
      <w:r>
        <w:rPr>
          <w:i/>
          <w:sz w:val="20"/>
        </w:rPr>
        <w:t>residents and doctor in echography department of a hospital. The objective was to assess the ergonomic risk factors associated with the presence of musculoskeletal symptoms labor in participants. For data collection Nordic questionnaire was used to detect musculoskeletal symptoms symptoms in participants. Participants were video-recorded each participant during a study of abdominal echography and riskier positions were analyzed with RULA, finally the Borg scale was applied for how participants evaluated the effort with the use of the transducer. Musculoskeletal symptoms in participants and risks postures were found to undertake the activity of</w:t>
      </w:r>
      <w:r>
        <w:rPr>
          <w:i/>
          <w:spacing w:val="-12"/>
          <w:sz w:val="20"/>
        </w:rPr>
        <w:t> </w:t>
      </w:r>
      <w:r>
        <w:rPr>
          <w:i/>
          <w:sz w:val="20"/>
        </w:rPr>
        <w:t>echography.</w:t>
      </w:r>
    </w:p>
    <w:p>
      <w:pPr>
        <w:pStyle w:val="BodyText"/>
        <w:spacing w:before="11"/>
        <w:rPr>
          <w:i/>
          <w:sz w:val="19"/>
        </w:rPr>
      </w:pPr>
    </w:p>
    <w:p>
      <w:pPr>
        <w:spacing w:before="0"/>
        <w:ind w:left="270" w:right="19" w:firstLine="0"/>
        <w:jc w:val="both"/>
        <w:rPr>
          <w:i/>
          <w:sz w:val="20"/>
        </w:rPr>
      </w:pPr>
      <w:r>
        <w:rPr>
          <w:b/>
          <w:i/>
          <w:sz w:val="20"/>
        </w:rPr>
        <w:t>Keywords</w:t>
      </w:r>
      <w:r>
        <w:rPr>
          <w:i/>
          <w:sz w:val="20"/>
        </w:rPr>
        <w:t>— Occupational Ergonomics, Musculoskeletal </w:t>
      </w:r>
      <w:r>
        <w:rPr>
          <w:i/>
          <w:sz w:val="20"/>
        </w:rPr>
        <w:t>Symptoms, Echography.</w:t>
      </w:r>
    </w:p>
    <w:p>
      <w:pPr>
        <w:pStyle w:val="BodyText"/>
        <w:spacing w:before="11"/>
        <w:rPr>
          <w:i/>
          <w:sz w:val="19"/>
        </w:rPr>
      </w:pPr>
    </w:p>
    <w:p>
      <w:pPr>
        <w:pStyle w:val="BodyText"/>
        <w:ind w:left="270" w:right="19"/>
        <w:jc w:val="both"/>
      </w:pPr>
      <w:r>
        <w:rPr/>
        <w:t>Relevance to Ergonomics: within the literature review, a research study of this topic is found concerning the Mexican population of doctor specializing in echography due to this work could have relevance. This study may make recommendations or ergonomic modifications so that the relevant authorities take action in the future to safeguard  the</w:t>
      </w:r>
    </w:p>
    <w:p>
      <w:pPr>
        <w:pStyle w:val="BodyText"/>
        <w:spacing w:before="74"/>
        <w:ind w:left="270" w:right="678"/>
        <w:jc w:val="both"/>
      </w:pPr>
      <w:r>
        <w:rPr/>
        <w:br w:type="column"/>
      </w:r>
      <w:r>
        <w:rPr/>
        <w:t>health and physical integrity of doctors and residents in echography.</w:t>
      </w:r>
    </w:p>
    <w:p>
      <w:pPr>
        <w:pStyle w:val="BodyText"/>
        <w:spacing w:before="3"/>
      </w:pPr>
    </w:p>
    <w:p>
      <w:pPr>
        <w:pStyle w:val="Heading4"/>
        <w:numPr>
          <w:ilvl w:val="0"/>
          <w:numId w:val="89"/>
        </w:numPr>
        <w:tabs>
          <w:tab w:pos="473" w:val="left" w:leader="none"/>
        </w:tabs>
        <w:spacing w:line="240" w:lineRule="auto" w:before="0" w:after="0"/>
        <w:ind w:left="472" w:right="0" w:hanging="202"/>
        <w:jc w:val="both"/>
      </w:pPr>
      <w:r>
        <w:rPr/>
        <w:t>Introduction</w:t>
      </w:r>
    </w:p>
    <w:p>
      <w:pPr>
        <w:pStyle w:val="BodyText"/>
        <w:spacing w:before="8"/>
        <w:rPr>
          <w:b/>
          <w:sz w:val="19"/>
        </w:rPr>
      </w:pPr>
    </w:p>
    <w:p>
      <w:pPr>
        <w:pStyle w:val="BodyText"/>
        <w:ind w:left="270" w:right="677"/>
        <w:jc w:val="both"/>
      </w:pPr>
      <w:r>
        <w:rPr/>
        <w:t>Historically there has been the presence of musculoskeletal symptoms in doctors specializing in echography and this began to be investigated previously because of the high prevalence in these professionals.</w:t>
      </w:r>
    </w:p>
    <w:p>
      <w:pPr>
        <w:pStyle w:val="BodyText"/>
        <w:ind w:left="270" w:right="677" w:firstLine="708"/>
        <w:jc w:val="both"/>
      </w:pPr>
      <w:r>
        <w:rPr/>
        <w:t>According to Pike, Russo, Berkowitz, Baker, &amp; Lessoway (1997) [1], 81% of sonographers have conducted their echography activities having pain or discomfort during their career. The excessive efforts, bad posture that generate mechanical stress, excessive repetition, and the excessive duration of the task are risk factors that contribute to the presence of musculoskeletal symptoms.</w:t>
      </w:r>
    </w:p>
    <w:p>
      <w:pPr>
        <w:pStyle w:val="BodyText"/>
        <w:ind w:left="270" w:right="675" w:firstLine="708"/>
        <w:jc w:val="both"/>
      </w:pPr>
      <w:r>
        <w:rPr/>
        <w:t>According to a study by NIOSH (2006) [2], It mentions that doctor specialist in echography have a high risk of musculoskeletal symptoms related to their job.</w:t>
      </w:r>
    </w:p>
    <w:p>
      <w:pPr>
        <w:pStyle w:val="BodyText"/>
      </w:pPr>
    </w:p>
    <w:p>
      <w:pPr>
        <w:pStyle w:val="BodyText"/>
        <w:spacing w:line="230" w:lineRule="exact" w:before="1"/>
        <w:ind w:left="978" w:right="702"/>
      </w:pPr>
      <w:r>
        <w:rPr/>
        <w:t>The objectives of the study were:</w:t>
      </w:r>
    </w:p>
    <w:p>
      <w:pPr>
        <w:pStyle w:val="BodyText"/>
        <w:ind w:left="270" w:right="677" w:firstLine="50"/>
        <w:jc w:val="both"/>
      </w:pPr>
      <w:r>
        <w:rPr/>
        <w:t>1.- Assess what ergonomic risk factors (poor posture, overexertion, repetition repetition and task duration) related to the presence of musculoskeletal symptoms in doctors and residents in echography.</w:t>
      </w:r>
    </w:p>
    <w:p>
      <w:pPr>
        <w:pStyle w:val="BodyText"/>
        <w:ind w:left="270" w:right="677"/>
        <w:jc w:val="both"/>
      </w:pPr>
      <w:r>
        <w:rPr/>
        <w:t>2.- Identify the frequency of working musculoskeletal symptoms place in doctors and residents in echography.</w:t>
      </w:r>
    </w:p>
    <w:p>
      <w:pPr>
        <w:pStyle w:val="BodyText"/>
        <w:ind w:left="270" w:right="676"/>
        <w:jc w:val="both"/>
      </w:pPr>
      <w:r>
        <w:rPr/>
        <w:t>3.- Analyze the relationship between ergonomic risk factors with musculoskeletal symptoms present in the participants.</w:t>
      </w:r>
    </w:p>
    <w:p>
      <w:pPr>
        <w:pStyle w:val="BodyText"/>
        <w:spacing w:before="2"/>
      </w:pPr>
    </w:p>
    <w:p>
      <w:pPr>
        <w:pStyle w:val="Heading4"/>
        <w:numPr>
          <w:ilvl w:val="0"/>
          <w:numId w:val="89"/>
        </w:numPr>
        <w:tabs>
          <w:tab w:pos="472" w:val="left" w:leader="none"/>
        </w:tabs>
        <w:spacing w:line="240" w:lineRule="auto" w:before="0" w:after="0"/>
        <w:ind w:left="471" w:right="0" w:hanging="201"/>
        <w:jc w:val="both"/>
      </w:pPr>
      <w:r>
        <w:rPr/>
        <w:t>Methodology</w:t>
      </w:r>
    </w:p>
    <w:p>
      <w:pPr>
        <w:pStyle w:val="BodyText"/>
        <w:spacing w:before="11"/>
        <w:rPr>
          <w:b/>
          <w:sz w:val="19"/>
        </w:rPr>
      </w:pPr>
    </w:p>
    <w:p>
      <w:pPr>
        <w:pStyle w:val="ListParagraph"/>
        <w:numPr>
          <w:ilvl w:val="1"/>
          <w:numId w:val="89"/>
        </w:numPr>
        <w:tabs>
          <w:tab w:pos="572" w:val="left" w:leader="none"/>
        </w:tabs>
        <w:spacing w:line="240" w:lineRule="auto" w:before="0" w:after="0"/>
        <w:ind w:left="571" w:right="0" w:hanging="301"/>
        <w:jc w:val="both"/>
        <w:rPr>
          <w:b/>
          <w:sz w:val="20"/>
        </w:rPr>
      </w:pPr>
      <w:r>
        <w:rPr>
          <w:b/>
          <w:sz w:val="20"/>
        </w:rPr>
        <w:t>Participants</w:t>
      </w:r>
    </w:p>
    <w:p>
      <w:pPr>
        <w:pStyle w:val="BodyText"/>
        <w:spacing w:before="9"/>
        <w:rPr>
          <w:b/>
          <w:sz w:val="19"/>
        </w:rPr>
      </w:pPr>
    </w:p>
    <w:p>
      <w:pPr>
        <w:pStyle w:val="BodyText"/>
        <w:spacing w:before="1"/>
        <w:ind w:left="270" w:right="677"/>
        <w:jc w:val="both"/>
      </w:pPr>
      <w:r>
        <w:rPr/>
        <w:t>In this study there were six participants, three medics and three resident specializing in echography</w:t>
      </w:r>
      <w:r>
        <w:rPr>
          <w:rFonts w:ascii="Arial"/>
          <w:sz w:val="24"/>
        </w:rPr>
        <w:t>. </w:t>
      </w:r>
      <w:r>
        <w:rPr/>
        <w:t>In total there</w:t>
      </w:r>
      <w:r>
        <w:rPr>
          <w:spacing w:val="-33"/>
        </w:rPr>
        <w:t> </w:t>
      </w:r>
      <w:r>
        <w:rPr/>
        <w:t>were six participants, of whom five were male and one female. The range age of participants were from 29 to 62 age, most in the range of the</w:t>
      </w:r>
      <w:r>
        <w:rPr>
          <w:spacing w:val="-15"/>
        </w:rPr>
        <w:t> </w:t>
      </w:r>
      <w:r>
        <w:rPr/>
        <w:t>thirties.</w:t>
      </w:r>
    </w:p>
    <w:p>
      <w:pPr>
        <w:pStyle w:val="BodyText"/>
        <w:spacing w:before="2"/>
      </w:pPr>
    </w:p>
    <w:p>
      <w:pPr>
        <w:pStyle w:val="Heading4"/>
        <w:numPr>
          <w:ilvl w:val="1"/>
          <w:numId w:val="89"/>
        </w:numPr>
        <w:tabs>
          <w:tab w:pos="572" w:val="left" w:leader="none"/>
        </w:tabs>
        <w:spacing w:line="240" w:lineRule="auto" w:before="0" w:after="0"/>
        <w:ind w:left="571" w:right="0" w:hanging="301"/>
        <w:jc w:val="both"/>
      </w:pPr>
      <w:r>
        <w:rPr/>
        <w:t>General and Occupational</w:t>
      </w:r>
      <w:r>
        <w:rPr>
          <w:spacing w:val="-30"/>
        </w:rPr>
        <w:t> </w:t>
      </w:r>
      <w:r>
        <w:rPr/>
        <w:t>Questionnaries</w:t>
      </w:r>
    </w:p>
    <w:p>
      <w:pPr>
        <w:pStyle w:val="BodyText"/>
        <w:spacing w:before="8"/>
        <w:rPr>
          <w:b/>
          <w:sz w:val="19"/>
        </w:rPr>
      </w:pPr>
    </w:p>
    <w:p>
      <w:pPr>
        <w:pStyle w:val="BodyText"/>
        <w:ind w:left="270" w:right="676"/>
        <w:jc w:val="both"/>
      </w:pPr>
      <w:r>
        <w:rPr/>
        <w:t>Participants answer a questionnaire about general and labor activities, followed by the Nordic questionnaire from musculoskeletal symptoms.</w:t>
      </w:r>
    </w:p>
    <w:p>
      <w:pPr>
        <w:pStyle w:val="BodyText"/>
      </w:pPr>
    </w:p>
    <w:p>
      <w:pPr>
        <w:pStyle w:val="BodyText"/>
        <w:spacing w:before="2"/>
      </w:pPr>
    </w:p>
    <w:p>
      <w:pPr>
        <w:pStyle w:val="Heading4"/>
        <w:numPr>
          <w:ilvl w:val="1"/>
          <w:numId w:val="89"/>
        </w:numPr>
        <w:tabs>
          <w:tab w:pos="571" w:val="left" w:leader="none"/>
        </w:tabs>
        <w:spacing w:line="240" w:lineRule="auto" w:before="0" w:after="0"/>
        <w:ind w:left="570" w:right="0" w:hanging="300"/>
        <w:jc w:val="both"/>
      </w:pPr>
      <w:r>
        <w:rPr/>
        <w:t>RULA</w:t>
      </w:r>
    </w:p>
    <w:p>
      <w:pPr>
        <w:pStyle w:val="BodyText"/>
        <w:spacing w:before="8"/>
        <w:rPr>
          <w:b/>
          <w:sz w:val="19"/>
        </w:rPr>
      </w:pPr>
    </w:p>
    <w:p>
      <w:pPr>
        <w:pStyle w:val="BodyText"/>
        <w:ind w:left="270" w:right="676"/>
        <w:jc w:val="both"/>
      </w:pPr>
      <w:r>
        <w:rPr/>
        <w:t>Each participant was video-recorded during a study of abdominal echography lasting approximately 15 minutes, taking the left side and front view. Each video were  analyzed using the method RULA [3], as a tool to evaluate the positions taken on the</w:t>
      </w:r>
      <w:r>
        <w:rPr>
          <w:spacing w:val="-11"/>
        </w:rPr>
        <w:t> </w:t>
      </w:r>
      <w:r>
        <w:rPr/>
        <w:t>job.</w:t>
      </w:r>
    </w:p>
    <w:p>
      <w:pPr>
        <w:spacing w:after="0"/>
        <w:jc w:val="both"/>
        <w:sectPr>
          <w:type w:val="continuous"/>
          <w:pgSz w:w="12240" w:h="15840"/>
          <w:pgMar w:top="1500" w:bottom="280" w:left="580" w:right="220"/>
          <w:cols w:num="2" w:equalWidth="0">
            <w:col w:w="5208" w:space="416"/>
            <w:col w:w="5816"/>
          </w:cols>
        </w:sectPr>
      </w:pPr>
    </w:p>
    <w:p>
      <w:pPr>
        <w:pStyle w:val="BodyText"/>
        <w:spacing w:before="6"/>
        <w:rPr>
          <w:sz w:val="11"/>
        </w:rPr>
      </w:pPr>
    </w:p>
    <w:p>
      <w:pPr>
        <w:pStyle w:val="Heading4"/>
        <w:numPr>
          <w:ilvl w:val="1"/>
          <w:numId w:val="89"/>
        </w:numPr>
        <w:tabs>
          <w:tab w:pos="572" w:val="left" w:leader="none"/>
        </w:tabs>
        <w:spacing w:line="228" w:lineRule="exact" w:before="75" w:after="0"/>
        <w:ind w:left="571" w:right="0" w:hanging="301"/>
        <w:jc w:val="left"/>
      </w:pPr>
      <w:r>
        <w:rPr/>
        <w:t>Borg scale Assessment of</w:t>
      </w:r>
      <w:r>
        <w:rPr>
          <w:spacing w:val="-20"/>
        </w:rPr>
        <w:t> </w:t>
      </w:r>
      <w:r>
        <w:rPr/>
        <w:t>effort</w:t>
      </w:r>
    </w:p>
    <w:p>
      <w:pPr>
        <w:spacing w:line="228" w:lineRule="exact" w:before="0"/>
        <w:ind w:left="7149" w:right="1218" w:firstLine="0"/>
        <w:jc w:val="left"/>
        <w:rPr>
          <w:i/>
          <w:sz w:val="20"/>
        </w:rPr>
      </w:pPr>
      <w:r>
        <w:rPr>
          <w:sz w:val="20"/>
        </w:rPr>
        <w:t>Table 2. </w:t>
      </w:r>
      <w:r>
        <w:rPr>
          <w:i/>
          <w:sz w:val="20"/>
        </w:rPr>
        <w:t>Description of the activity</w:t>
      </w:r>
    </w:p>
    <w:p>
      <w:pPr>
        <w:pStyle w:val="BodyText"/>
        <w:tabs>
          <w:tab w:pos="6915" w:val="left" w:leader="none"/>
          <w:tab w:pos="9738" w:val="left" w:leader="none"/>
        </w:tabs>
        <w:ind w:left="270" w:right="1218"/>
      </w:pPr>
      <w:r>
        <w:rPr/>
        <w:t>Participants to answer the Borg scale to determine the </w:t>
      </w:r>
      <w:r>
        <w:rPr>
          <w:spacing w:val="40"/>
        </w:rPr>
        <w:t> </w:t>
      </w:r>
      <w:r>
        <w:rPr/>
        <w:t>effort</w:t>
        <w:tab/>
      </w:r>
      <w:r>
        <w:rPr>
          <w:w w:val="100"/>
          <w:u w:val="single"/>
        </w:rPr>
        <w:t> </w:t>
      </w:r>
      <w:r>
        <w:rPr>
          <w:u w:val="single"/>
        </w:rPr>
        <w:tab/>
      </w:r>
    </w:p>
    <w:p>
      <w:pPr>
        <w:spacing w:after="0"/>
        <w:sectPr>
          <w:pgSz w:w="12240" w:h="15840"/>
          <w:pgMar w:header="545" w:footer="852" w:top="1060" w:bottom="1040" w:left="580" w:right="220"/>
        </w:sectPr>
      </w:pPr>
    </w:p>
    <w:p>
      <w:pPr>
        <w:pStyle w:val="BodyText"/>
        <w:ind w:left="270"/>
      </w:pPr>
      <w:r>
        <w:rPr/>
        <w:t>was requested with the use of the transducer.</w:t>
      </w:r>
    </w:p>
    <w:p>
      <w:pPr>
        <w:pStyle w:val="BodyText"/>
        <w:spacing w:before="2"/>
      </w:pPr>
    </w:p>
    <w:p>
      <w:pPr>
        <w:pStyle w:val="Heading4"/>
        <w:numPr>
          <w:ilvl w:val="0"/>
          <w:numId w:val="89"/>
        </w:numPr>
        <w:tabs>
          <w:tab w:pos="471" w:val="left" w:leader="none"/>
        </w:tabs>
        <w:spacing w:line="240" w:lineRule="auto" w:before="0" w:after="0"/>
        <w:ind w:left="470" w:right="0" w:hanging="200"/>
        <w:jc w:val="left"/>
      </w:pPr>
      <w:r>
        <w:rPr/>
        <w:t>Results</w:t>
      </w:r>
    </w:p>
    <w:p>
      <w:pPr>
        <w:pStyle w:val="BodyText"/>
        <w:spacing w:before="11"/>
        <w:rPr>
          <w:b/>
          <w:sz w:val="19"/>
        </w:rPr>
      </w:pPr>
    </w:p>
    <w:p>
      <w:pPr>
        <w:pStyle w:val="ListParagraph"/>
        <w:numPr>
          <w:ilvl w:val="1"/>
          <w:numId w:val="89"/>
        </w:numPr>
        <w:tabs>
          <w:tab w:pos="572" w:val="left" w:leader="none"/>
        </w:tabs>
        <w:spacing w:line="240" w:lineRule="auto" w:before="0" w:after="0"/>
        <w:ind w:left="571" w:right="0" w:hanging="301"/>
        <w:jc w:val="left"/>
        <w:rPr>
          <w:b/>
          <w:sz w:val="20"/>
        </w:rPr>
      </w:pPr>
      <w:r>
        <w:rPr>
          <w:b/>
          <w:sz w:val="20"/>
        </w:rPr>
        <w:t>General and occupational</w:t>
      </w:r>
      <w:r>
        <w:rPr>
          <w:b/>
          <w:spacing w:val="-15"/>
          <w:sz w:val="20"/>
        </w:rPr>
        <w:t> </w:t>
      </w:r>
      <w:r>
        <w:rPr>
          <w:b/>
          <w:sz w:val="20"/>
        </w:rPr>
        <w:t>Questionnaire</w:t>
      </w:r>
    </w:p>
    <w:p>
      <w:pPr>
        <w:pStyle w:val="BodyText"/>
        <w:spacing w:before="9"/>
        <w:rPr>
          <w:b/>
          <w:sz w:val="19"/>
        </w:rPr>
      </w:pPr>
    </w:p>
    <w:p>
      <w:pPr>
        <w:pStyle w:val="BodyText"/>
        <w:spacing w:before="1"/>
        <w:ind w:left="270"/>
      </w:pPr>
      <w:r>
        <w:rPr/>
        <w:t>Three participants workday were less than 8 hours per    day,</w:t>
      </w:r>
    </w:p>
    <w:p>
      <w:pPr>
        <w:tabs>
          <w:tab w:pos="1894" w:val="left" w:leader="none"/>
          <w:tab w:pos="2244" w:val="left" w:leader="none"/>
        </w:tabs>
        <w:spacing w:before="10"/>
        <w:ind w:left="513" w:right="1873" w:firstLine="2"/>
        <w:jc w:val="left"/>
        <w:rPr>
          <w:sz w:val="22"/>
        </w:rPr>
      </w:pPr>
      <w:r>
        <w:rPr/>
        <w:br w:type="column"/>
      </w:r>
      <w:r>
        <w:rPr>
          <w:sz w:val="22"/>
        </w:rPr>
        <w:t>Number</w:t>
      </w:r>
      <w:r>
        <w:rPr>
          <w:spacing w:val="-1"/>
          <w:sz w:val="22"/>
        </w:rPr>
        <w:t> </w:t>
      </w:r>
      <w:r>
        <w:rPr>
          <w:sz w:val="22"/>
        </w:rPr>
        <w:t>of</w:t>
        <w:tab/>
        <w:tab/>
        <w:t>No. procedures</w:t>
        <w:tab/>
        <w:t>participants</w:t>
      </w:r>
    </w:p>
    <w:p>
      <w:pPr>
        <w:tabs>
          <w:tab w:pos="667" w:val="left" w:leader="none"/>
          <w:tab w:pos="2408" w:val="left" w:leader="none"/>
          <w:tab w:pos="3094" w:val="left" w:leader="none"/>
        </w:tabs>
        <w:spacing w:line="249" w:lineRule="auto" w:before="0"/>
        <w:ind w:left="801" w:right="1699" w:hanging="531"/>
        <w:jc w:val="left"/>
        <w:rPr>
          <w:sz w:val="22"/>
        </w:rPr>
      </w:pPr>
      <w:r>
        <w:rPr>
          <w:w w:val="99"/>
          <w:sz w:val="22"/>
          <w:u w:val="single"/>
        </w:rPr>
        <w:t> </w:t>
      </w:r>
      <w:r>
        <w:rPr>
          <w:sz w:val="22"/>
          <w:u w:val="single"/>
        </w:rPr>
        <w:tab/>
        <w:t>per</w:t>
      </w:r>
      <w:r>
        <w:rPr>
          <w:spacing w:val="-2"/>
          <w:sz w:val="22"/>
          <w:u w:val="single"/>
        </w:rPr>
        <w:t> </w:t>
      </w:r>
      <w:r>
        <w:rPr>
          <w:sz w:val="22"/>
          <w:u w:val="single"/>
        </w:rPr>
        <w:t>day</w:t>
        <w:tab/>
        <w:tab/>
      </w:r>
      <w:r>
        <w:rPr>
          <w:sz w:val="22"/>
        </w:rPr>
        <w:t> 1</w:t>
      </w:r>
      <w:r>
        <w:rPr>
          <w:spacing w:val="-1"/>
          <w:sz w:val="22"/>
        </w:rPr>
        <w:t> </w:t>
      </w:r>
      <w:r>
        <w:rPr>
          <w:sz w:val="22"/>
        </w:rPr>
        <w:t>to</w:t>
      </w:r>
      <w:r>
        <w:rPr>
          <w:spacing w:val="-1"/>
          <w:sz w:val="22"/>
        </w:rPr>
        <w:t> </w:t>
      </w:r>
      <w:r>
        <w:rPr>
          <w:sz w:val="22"/>
        </w:rPr>
        <w:t>8</w:t>
        <w:tab/>
        <w:t>1</w:t>
      </w:r>
    </w:p>
    <w:p>
      <w:pPr>
        <w:tabs>
          <w:tab w:pos="2408" w:val="left" w:leader="none"/>
        </w:tabs>
        <w:spacing w:line="243" w:lineRule="exact" w:before="0"/>
        <w:ind w:left="747" w:right="1873" w:firstLine="0"/>
        <w:jc w:val="left"/>
        <w:rPr>
          <w:sz w:val="22"/>
        </w:rPr>
      </w:pPr>
      <w:r>
        <w:rPr>
          <w:sz w:val="22"/>
        </w:rPr>
        <w:t>9</w:t>
      </w:r>
      <w:r>
        <w:rPr>
          <w:spacing w:val="-1"/>
          <w:sz w:val="22"/>
        </w:rPr>
        <w:t> </w:t>
      </w:r>
      <w:r>
        <w:rPr>
          <w:sz w:val="22"/>
        </w:rPr>
        <w:t>to</w:t>
      </w:r>
      <w:r>
        <w:rPr>
          <w:spacing w:val="-1"/>
          <w:sz w:val="22"/>
        </w:rPr>
        <w:t> </w:t>
      </w:r>
      <w:r>
        <w:rPr>
          <w:sz w:val="22"/>
        </w:rPr>
        <w:t>18</w:t>
        <w:tab/>
        <w:t>3</w:t>
      </w:r>
    </w:p>
    <w:p>
      <w:pPr>
        <w:tabs>
          <w:tab w:pos="421" w:val="left" w:leader="none"/>
          <w:tab w:pos="2137" w:val="left" w:leader="none"/>
          <w:tab w:pos="2823" w:val="left" w:leader="none"/>
        </w:tabs>
        <w:spacing w:line="252" w:lineRule="exact" w:before="0"/>
        <w:ind w:left="0" w:right="1428" w:firstLine="0"/>
        <w:jc w:val="center"/>
        <w:rPr>
          <w:sz w:val="22"/>
        </w:rPr>
      </w:pPr>
      <w:r>
        <w:rPr>
          <w:w w:val="99"/>
          <w:sz w:val="22"/>
          <w:u w:val="single"/>
        </w:rPr>
        <w:t> </w:t>
      </w:r>
      <w:r>
        <w:rPr>
          <w:sz w:val="22"/>
          <w:u w:val="single"/>
        </w:rPr>
        <w:tab/>
        <w:t>30</w:t>
      </w:r>
      <w:r>
        <w:rPr>
          <w:spacing w:val="-1"/>
          <w:sz w:val="22"/>
          <w:u w:val="single"/>
        </w:rPr>
        <w:t> </w:t>
      </w:r>
      <w:r>
        <w:rPr>
          <w:sz w:val="22"/>
          <w:u w:val="single"/>
        </w:rPr>
        <w:t>to</w:t>
      </w:r>
      <w:r>
        <w:rPr>
          <w:spacing w:val="-2"/>
          <w:sz w:val="22"/>
          <w:u w:val="single"/>
        </w:rPr>
        <w:t> </w:t>
      </w:r>
      <w:r>
        <w:rPr>
          <w:sz w:val="22"/>
          <w:u w:val="single"/>
        </w:rPr>
        <w:t>45</w:t>
        <w:tab/>
        <w:t>2</w:t>
        <w:tab/>
      </w:r>
    </w:p>
    <w:p>
      <w:pPr>
        <w:spacing w:after="0" w:line="252" w:lineRule="exact"/>
        <w:jc w:val="center"/>
        <w:rPr>
          <w:sz w:val="22"/>
        </w:rPr>
        <w:sectPr>
          <w:type w:val="continuous"/>
          <w:pgSz w:w="12240" w:h="15840"/>
          <w:pgMar w:top="1500" w:bottom="280" w:left="580" w:right="220"/>
          <w:cols w:num="2" w:equalWidth="0">
            <w:col w:w="5185" w:space="1459"/>
            <w:col w:w="4796"/>
          </w:cols>
        </w:sectPr>
      </w:pPr>
    </w:p>
    <w:p>
      <w:pPr>
        <w:pStyle w:val="BodyText"/>
        <w:tabs>
          <w:tab w:pos="6915" w:val="left" w:leader="none"/>
          <w:tab w:pos="9738" w:val="left" w:leader="none"/>
        </w:tabs>
        <w:spacing w:line="229" w:lineRule="exact"/>
        <w:ind w:left="270" w:right="1218"/>
      </w:pPr>
      <w:r>
        <w:rPr/>
        <w:t>two   participants   worked   eight   hours   a   day,   only</w:t>
      </w:r>
      <w:r>
        <w:rPr>
          <w:spacing w:val="47"/>
        </w:rPr>
        <w:t> </w:t>
      </w:r>
      <w:r>
        <w:rPr/>
        <w:t>one</w:t>
        <w:tab/>
      </w:r>
      <w:r>
        <w:rPr>
          <w:w w:val="100"/>
          <w:u w:val="single"/>
        </w:rPr>
        <w:t> </w:t>
      </w:r>
      <w:r>
        <w:rPr>
          <w:u w:val="single"/>
        </w:rPr>
        <w:tab/>
      </w:r>
    </w:p>
    <w:p>
      <w:pPr>
        <w:spacing w:after="0" w:line="229" w:lineRule="exact"/>
        <w:sectPr>
          <w:type w:val="continuous"/>
          <w:pgSz w:w="12240" w:h="15840"/>
          <w:pgMar w:top="1500" w:bottom="280" w:left="580" w:right="220"/>
        </w:sectPr>
      </w:pPr>
    </w:p>
    <w:p>
      <w:pPr>
        <w:pStyle w:val="BodyText"/>
        <w:ind w:left="270"/>
        <w:jc w:val="both"/>
      </w:pPr>
      <w:r>
        <w:rPr/>
        <w:t>participant was working more than 8 hours a day.  Total hours of the day a week of all six participants, three worked a week from less than 40 hours, two participants worked forty hours a week and one participant more than 40 hours a week. The work experience of workers varies, two participants have less than one year of experience, three participants aged 1-5 years and one participant with 25 years experience.</w:t>
      </w:r>
    </w:p>
    <w:p>
      <w:pPr>
        <w:pStyle w:val="BodyText"/>
      </w:pPr>
    </w:p>
    <w:p>
      <w:pPr>
        <w:spacing w:before="1"/>
        <w:ind w:left="1972" w:right="0" w:firstLine="0"/>
        <w:jc w:val="left"/>
        <w:rPr>
          <w:i/>
          <w:sz w:val="20"/>
        </w:rPr>
      </w:pPr>
      <w:r>
        <w:rPr>
          <w:sz w:val="20"/>
        </w:rPr>
        <w:t>Table 1. </w:t>
      </w:r>
      <w:r>
        <w:rPr>
          <w:i/>
          <w:sz w:val="20"/>
        </w:rPr>
        <w:t>Job description</w:t>
      </w:r>
    </w:p>
    <w:p>
      <w:pPr>
        <w:pStyle w:val="BodyText"/>
        <w:spacing w:before="9"/>
        <w:rPr>
          <w:i/>
          <w:sz w:val="16"/>
        </w:rPr>
      </w:pPr>
      <w:r>
        <w:rPr/>
        <w:pict>
          <v:line style="position:absolute;mso-position-horizontal-relative:page;mso-position-vertical-relative:paragraph;z-index:10240;mso-wrap-distance-left:0;mso-wrap-distance-right:0" from="106.620003pt,11.878247pt" to="224.220003pt,11.878247pt" stroked="true" strokeweight=".48001pt" strokecolor="#000000">
            <w10:wrap type="topAndBottom"/>
          </v:line>
        </w:pict>
      </w:r>
    </w:p>
    <w:p>
      <w:pPr>
        <w:pStyle w:val="Heading3"/>
        <w:ind w:left="271" w:right="1"/>
        <w:jc w:val="center"/>
      </w:pPr>
      <w:r>
        <w:rPr/>
        <w:t>Job position</w:t>
      </w:r>
    </w:p>
    <w:p>
      <w:pPr>
        <w:tabs>
          <w:tab w:pos="2227" w:val="left" w:leader="none"/>
        </w:tabs>
        <w:spacing w:line="225" w:lineRule="exact" w:before="0"/>
        <w:ind w:left="417" w:right="1873" w:firstLine="0"/>
        <w:jc w:val="left"/>
        <w:rPr>
          <w:sz w:val="22"/>
        </w:rPr>
      </w:pPr>
      <w:r>
        <w:rPr/>
        <w:br w:type="column"/>
      </w:r>
      <w:r>
        <w:rPr>
          <w:sz w:val="22"/>
        </w:rPr>
        <w:t>Process</w:t>
      </w:r>
      <w:r>
        <w:rPr>
          <w:spacing w:val="-1"/>
          <w:sz w:val="22"/>
        </w:rPr>
        <w:t> </w:t>
      </w:r>
      <w:r>
        <w:rPr>
          <w:sz w:val="22"/>
        </w:rPr>
        <w:t>time</w:t>
        <w:tab/>
        <w:t>No.</w:t>
      </w:r>
    </w:p>
    <w:p>
      <w:pPr>
        <w:tabs>
          <w:tab w:pos="1876" w:val="left" w:leader="none"/>
        </w:tabs>
        <w:spacing w:line="252" w:lineRule="exact" w:before="0"/>
        <w:ind w:left="270" w:right="1699" w:firstLine="0"/>
        <w:jc w:val="left"/>
        <w:rPr>
          <w:sz w:val="22"/>
        </w:rPr>
      </w:pPr>
      <w:r>
        <w:rPr>
          <w:w w:val="99"/>
          <w:sz w:val="22"/>
          <w:u w:val="single"/>
        </w:rPr>
        <w:t> </w:t>
      </w:r>
      <w:r>
        <w:rPr>
          <w:sz w:val="22"/>
          <w:u w:val="single"/>
        </w:rPr>
        <w:tab/>
        <w:t>participants</w:t>
      </w:r>
      <w:r>
        <w:rPr>
          <w:spacing w:val="27"/>
          <w:sz w:val="22"/>
          <w:u w:val="single"/>
        </w:rPr>
        <w:t> </w:t>
      </w:r>
    </w:p>
    <w:p>
      <w:pPr>
        <w:pStyle w:val="BodyText"/>
        <w:spacing w:before="5"/>
        <w:rPr>
          <w:sz w:val="3"/>
        </w:rPr>
      </w:pPr>
    </w:p>
    <w:tbl>
      <w:tblPr>
        <w:tblW w:w="0" w:type="auto"/>
        <w:jc w:val="left"/>
        <w:tblInd w:w="45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52"/>
        <w:gridCol w:w="544"/>
      </w:tblGrid>
      <w:tr>
        <w:trPr>
          <w:trHeight w:val="236" w:hRule="exact"/>
        </w:trPr>
        <w:tc>
          <w:tcPr>
            <w:tcW w:w="1552" w:type="dxa"/>
          </w:tcPr>
          <w:p>
            <w:pPr>
              <w:pStyle w:val="TableParagraph"/>
              <w:spacing w:line="224" w:lineRule="exact"/>
              <w:ind w:left="90"/>
              <w:rPr>
                <w:sz w:val="22"/>
              </w:rPr>
            </w:pPr>
            <w:r>
              <w:rPr>
                <w:sz w:val="22"/>
              </w:rPr>
              <w:t>5 to 10 min</w:t>
            </w:r>
          </w:p>
        </w:tc>
        <w:tc>
          <w:tcPr>
            <w:tcW w:w="544" w:type="dxa"/>
          </w:tcPr>
          <w:p>
            <w:pPr>
              <w:pStyle w:val="TableParagraph"/>
              <w:spacing w:line="224" w:lineRule="exact"/>
              <w:ind w:right="33"/>
              <w:jc w:val="right"/>
              <w:rPr>
                <w:sz w:val="22"/>
              </w:rPr>
            </w:pPr>
            <w:r>
              <w:rPr>
                <w:w w:val="99"/>
                <w:sz w:val="22"/>
              </w:rPr>
              <w:t>2</w:t>
            </w:r>
          </w:p>
        </w:tc>
      </w:tr>
      <w:tr>
        <w:trPr>
          <w:trHeight w:val="253" w:hRule="exact"/>
        </w:trPr>
        <w:tc>
          <w:tcPr>
            <w:tcW w:w="1552" w:type="dxa"/>
          </w:tcPr>
          <w:p>
            <w:pPr>
              <w:pStyle w:val="TableParagraph"/>
              <w:spacing w:line="240" w:lineRule="exact"/>
              <w:ind w:left="35"/>
              <w:rPr>
                <w:sz w:val="22"/>
              </w:rPr>
            </w:pPr>
            <w:r>
              <w:rPr>
                <w:sz w:val="22"/>
              </w:rPr>
              <w:t>11 to 14 min</w:t>
            </w:r>
          </w:p>
        </w:tc>
        <w:tc>
          <w:tcPr>
            <w:tcW w:w="544" w:type="dxa"/>
          </w:tcPr>
          <w:p>
            <w:pPr>
              <w:pStyle w:val="TableParagraph"/>
              <w:spacing w:line="240" w:lineRule="exact"/>
              <w:ind w:right="33"/>
              <w:jc w:val="right"/>
              <w:rPr>
                <w:sz w:val="22"/>
              </w:rPr>
            </w:pPr>
            <w:r>
              <w:rPr>
                <w:w w:val="99"/>
                <w:sz w:val="22"/>
              </w:rPr>
              <w:t>0</w:t>
            </w:r>
          </w:p>
        </w:tc>
      </w:tr>
      <w:tr>
        <w:trPr>
          <w:trHeight w:val="253" w:hRule="exact"/>
        </w:trPr>
        <w:tc>
          <w:tcPr>
            <w:tcW w:w="1552" w:type="dxa"/>
          </w:tcPr>
          <w:p>
            <w:pPr>
              <w:pStyle w:val="TableParagraph"/>
              <w:spacing w:line="241" w:lineRule="exact"/>
              <w:ind w:left="35"/>
              <w:rPr>
                <w:sz w:val="22"/>
              </w:rPr>
            </w:pPr>
            <w:r>
              <w:rPr>
                <w:sz w:val="22"/>
              </w:rPr>
              <w:t>15 to 20 min</w:t>
            </w:r>
          </w:p>
        </w:tc>
        <w:tc>
          <w:tcPr>
            <w:tcW w:w="544" w:type="dxa"/>
          </w:tcPr>
          <w:p>
            <w:pPr>
              <w:pStyle w:val="TableParagraph"/>
              <w:spacing w:line="241" w:lineRule="exact"/>
              <w:ind w:right="33"/>
              <w:jc w:val="right"/>
              <w:rPr>
                <w:sz w:val="22"/>
              </w:rPr>
            </w:pPr>
            <w:r>
              <w:rPr>
                <w:w w:val="99"/>
                <w:sz w:val="22"/>
              </w:rPr>
              <w:t>3</w:t>
            </w:r>
          </w:p>
        </w:tc>
      </w:tr>
      <w:tr>
        <w:trPr>
          <w:trHeight w:val="308" w:hRule="exact"/>
        </w:trPr>
        <w:tc>
          <w:tcPr>
            <w:tcW w:w="1552" w:type="dxa"/>
          </w:tcPr>
          <w:p>
            <w:pPr>
              <w:pStyle w:val="TableParagraph"/>
              <w:spacing w:line="241" w:lineRule="exact"/>
              <w:ind w:left="35"/>
              <w:rPr>
                <w:sz w:val="22"/>
              </w:rPr>
            </w:pPr>
            <w:r>
              <w:rPr>
                <w:sz w:val="22"/>
              </w:rPr>
              <w:t>21 to 30 min</w:t>
            </w:r>
          </w:p>
        </w:tc>
        <w:tc>
          <w:tcPr>
            <w:tcW w:w="544" w:type="dxa"/>
          </w:tcPr>
          <w:p>
            <w:pPr>
              <w:pStyle w:val="TableParagraph"/>
              <w:spacing w:line="241" w:lineRule="exact"/>
              <w:ind w:right="33"/>
              <w:jc w:val="right"/>
              <w:rPr>
                <w:sz w:val="22"/>
              </w:rPr>
            </w:pPr>
            <w:r>
              <w:rPr>
                <w:w w:val="99"/>
                <w:sz w:val="22"/>
              </w:rPr>
              <w:t>1</w:t>
            </w:r>
          </w:p>
        </w:tc>
      </w:tr>
    </w:tbl>
    <w:p>
      <w:pPr>
        <w:pStyle w:val="BodyText"/>
        <w:rPr>
          <w:sz w:val="13"/>
        </w:rPr>
      </w:pPr>
      <w:r>
        <w:rPr/>
        <w:pict>
          <v:line style="position:absolute;mso-position-horizontal-relative:page;mso-position-vertical-relative:paragraph;z-index:10264;mso-wrap-distance-left:0;mso-wrap-distance-right:0" from="374.76001pt,9.714897pt" to="515.94001pt,9.714897pt" stroked="true" strokeweight=".47998pt" strokecolor="#000000">
            <w10:wrap type="topAndBottom"/>
          </v:line>
        </w:pict>
      </w:r>
    </w:p>
    <w:p>
      <w:pPr>
        <w:pStyle w:val="Heading3"/>
        <w:tabs>
          <w:tab w:pos="869" w:val="left" w:leader="none"/>
          <w:tab w:pos="2408" w:val="left" w:leader="none"/>
          <w:tab w:pos="3094" w:val="left" w:leader="none"/>
        </w:tabs>
        <w:spacing w:line="249" w:lineRule="auto"/>
        <w:ind w:left="441" w:right="1699" w:hanging="171"/>
      </w:pPr>
      <w:r>
        <w:rPr>
          <w:w w:val="99"/>
          <w:u w:val="single"/>
        </w:rPr>
        <w:t> </w:t>
      </w:r>
      <w:r>
        <w:rPr>
          <w:u w:val="single"/>
        </w:rPr>
        <w:tab/>
        <w:tab/>
        <w:t>Type</w:t>
      </w:r>
      <w:r>
        <w:rPr>
          <w:spacing w:val="-2"/>
          <w:u w:val="single"/>
        </w:rPr>
        <w:t> </w:t>
      </w:r>
      <w:r>
        <w:rPr>
          <w:u w:val="single"/>
        </w:rPr>
        <w:t>of procedure</w:t>
        <w:tab/>
      </w:r>
      <w:r>
        <w:rPr/>
        <w:t> Convencional</w:t>
        <w:tab/>
        <w:t>4</w:t>
      </w:r>
    </w:p>
    <w:p>
      <w:pPr>
        <w:pStyle w:val="Heading3"/>
        <w:tabs>
          <w:tab w:pos="2408" w:val="left" w:leader="none"/>
        </w:tabs>
        <w:spacing w:line="243" w:lineRule="exact"/>
        <w:ind w:left="691" w:right="1873"/>
      </w:pPr>
      <w:r>
        <w:rPr/>
        <w:t>Doppler</w:t>
        <w:tab/>
        <w:t>2</w:t>
      </w:r>
    </w:p>
    <w:p>
      <w:pPr>
        <w:pStyle w:val="Heading3"/>
        <w:tabs>
          <w:tab w:pos="2408" w:val="left" w:leader="none"/>
        </w:tabs>
        <w:ind w:left="856" w:right="1873"/>
      </w:pPr>
      <w:r>
        <w:rPr/>
        <w:t>both</w:t>
        <w:tab/>
        <w:t>2</w:t>
      </w:r>
    </w:p>
    <w:p>
      <w:pPr>
        <w:spacing w:after="0"/>
        <w:sectPr>
          <w:type w:val="continuous"/>
          <w:pgSz w:w="12240" w:h="15840"/>
          <w:pgMar w:top="1500" w:bottom="280" w:left="580" w:right="220"/>
          <w:cols w:num="2" w:equalWidth="0">
            <w:col w:w="5189" w:space="1455"/>
            <w:col w:w="4796"/>
          </w:cols>
        </w:sectPr>
      </w:pPr>
    </w:p>
    <w:p>
      <w:pPr>
        <w:pStyle w:val="Heading3"/>
        <w:tabs>
          <w:tab w:pos="3037" w:val="left" w:leader="none"/>
          <w:tab w:pos="3904" w:val="left" w:leader="none"/>
          <w:tab w:pos="6900" w:val="left" w:leader="none"/>
          <w:tab w:pos="9738" w:val="left" w:leader="none"/>
        </w:tabs>
        <w:ind w:left="1552" w:right="1218"/>
      </w:pPr>
      <w:r>
        <w:rPr>
          <w:w w:val="99"/>
          <w:u w:val="single"/>
        </w:rPr>
        <w:t> </w:t>
      </w:r>
      <w:r>
        <w:rPr>
          <w:u w:val="single"/>
        </w:rPr>
        <w:t>  </w:t>
      </w:r>
      <w:r>
        <w:rPr>
          <w:spacing w:val="10"/>
          <w:u w:val="single"/>
        </w:rPr>
        <w:t> </w:t>
      </w:r>
      <w:r>
        <w:rPr>
          <w:u w:val="single"/>
        </w:rPr>
        <w:t>Resident</w:t>
        <w:tab/>
        <w:t>Doctor</w:t>
        <w:tab/>
      </w:r>
      <w:r>
        <w:rPr/>
        <w:tab/>
      </w:r>
      <w:r>
        <w:rPr>
          <w:w w:val="99"/>
          <w:u w:val="single"/>
        </w:rPr>
        <w:t> </w:t>
      </w:r>
      <w:r>
        <w:rPr>
          <w:u w:val="single"/>
        </w:rPr>
        <w:tab/>
      </w:r>
    </w:p>
    <w:p>
      <w:pPr>
        <w:spacing w:after="0"/>
        <w:sectPr>
          <w:type w:val="continuous"/>
          <w:pgSz w:w="12240" w:h="15840"/>
          <w:pgMar w:top="1500" w:bottom="280" w:left="580" w:right="220"/>
        </w:sectPr>
      </w:pPr>
    </w:p>
    <w:p>
      <w:pPr>
        <w:pStyle w:val="Heading3"/>
        <w:tabs>
          <w:tab w:pos="2986" w:val="left" w:leader="none"/>
        </w:tabs>
        <w:spacing w:before="10"/>
        <w:ind w:left="1810"/>
      </w:pPr>
      <w:r>
        <w:rPr/>
        <w:t>3</w:t>
      </w:r>
      <w:r>
        <w:rPr>
          <w:spacing w:val="-1"/>
        </w:rPr>
        <w:t> </w:t>
      </w:r>
      <w:r>
        <w:rPr/>
        <w:t>(50%)</w:t>
        <w:tab/>
        <w:t>3</w:t>
      </w:r>
      <w:r>
        <w:rPr>
          <w:spacing w:val="-3"/>
        </w:rPr>
        <w:t> </w:t>
      </w:r>
      <w:r>
        <w:rPr/>
        <w:t>(50%)</w:t>
      </w:r>
    </w:p>
    <w:p>
      <w:pPr>
        <w:pStyle w:val="Heading3"/>
        <w:tabs>
          <w:tab w:pos="2105" w:val="left" w:leader="none"/>
          <w:tab w:pos="3904" w:val="left" w:leader="none"/>
        </w:tabs>
        <w:spacing w:before="263"/>
        <w:ind w:left="1552"/>
        <w:jc w:val="center"/>
      </w:pPr>
      <w:r>
        <w:rPr/>
        <w:pict>
          <v:line style="position:absolute;mso-position-horizontal-relative:page;mso-position-vertical-relative:paragraph;z-index:10312" from="106.620003pt,13.039746pt" to="224.220003pt,13.039746pt" stroked="true" strokeweight=".48001pt" strokecolor="#000000">
            <w10:wrap type="none"/>
          </v:line>
        </w:pict>
      </w:r>
      <w:r>
        <w:rPr>
          <w:w w:val="99"/>
          <w:u w:val="single"/>
        </w:rPr>
        <w:t> </w:t>
      </w:r>
      <w:r>
        <w:rPr>
          <w:u w:val="single"/>
        </w:rPr>
        <w:tab/>
        <w:t>Hours per</w:t>
      </w:r>
      <w:r>
        <w:rPr>
          <w:spacing w:val="-3"/>
          <w:u w:val="single"/>
        </w:rPr>
        <w:t> </w:t>
      </w:r>
      <w:r>
        <w:rPr>
          <w:u w:val="single"/>
        </w:rPr>
        <w:t>day</w:t>
        <w:tab/>
      </w:r>
    </w:p>
    <w:p>
      <w:pPr>
        <w:pStyle w:val="Heading3"/>
        <w:tabs>
          <w:tab w:pos="3288" w:val="left" w:leader="none"/>
        </w:tabs>
        <w:spacing w:before="10"/>
        <w:ind w:left="1751"/>
      </w:pPr>
      <w:r>
        <w:rPr/>
        <w:t>&lt;</w:t>
      </w:r>
      <w:r>
        <w:rPr>
          <w:spacing w:val="-1"/>
        </w:rPr>
        <w:t> </w:t>
      </w:r>
      <w:r>
        <w:rPr/>
        <w:t>8</w:t>
      </w:r>
      <w:r>
        <w:rPr>
          <w:spacing w:val="-1"/>
        </w:rPr>
        <w:t> </w:t>
      </w:r>
      <w:r>
        <w:rPr/>
        <w:t>hours</w:t>
        <w:tab/>
        <w:t>3</w:t>
      </w:r>
    </w:p>
    <w:p>
      <w:pPr>
        <w:pStyle w:val="Heading3"/>
        <w:tabs>
          <w:tab w:pos="3288" w:val="left" w:leader="none"/>
        </w:tabs>
        <w:ind w:left="1841"/>
      </w:pPr>
      <w:r>
        <w:rPr/>
        <w:t>8</w:t>
      </w:r>
      <w:r>
        <w:rPr>
          <w:spacing w:val="-1"/>
        </w:rPr>
        <w:t> </w:t>
      </w:r>
      <w:r>
        <w:rPr/>
        <w:t>hours</w:t>
        <w:tab/>
        <w:t>2</w:t>
      </w:r>
    </w:p>
    <w:p>
      <w:pPr>
        <w:pStyle w:val="Heading3"/>
        <w:tabs>
          <w:tab w:pos="3288" w:val="left" w:leader="none"/>
        </w:tabs>
        <w:ind w:left="1751"/>
      </w:pPr>
      <w:r>
        <w:rPr/>
        <w:t>&gt;</w:t>
      </w:r>
      <w:r>
        <w:rPr>
          <w:spacing w:val="-1"/>
        </w:rPr>
        <w:t> </w:t>
      </w:r>
      <w:r>
        <w:rPr/>
        <w:t>8</w:t>
      </w:r>
      <w:r>
        <w:rPr>
          <w:spacing w:val="-1"/>
        </w:rPr>
        <w:t> </w:t>
      </w:r>
      <w:r>
        <w:rPr/>
        <w:t>hours</w:t>
        <w:tab/>
        <w:t>1</w:t>
      </w:r>
    </w:p>
    <w:p>
      <w:pPr>
        <w:pStyle w:val="BodyText"/>
        <w:tabs>
          <w:tab w:pos="3904" w:val="left" w:leader="none"/>
        </w:tabs>
        <w:spacing w:line="215" w:lineRule="exact" w:before="62"/>
        <w:ind w:left="1552"/>
        <w:jc w:val="center"/>
      </w:pPr>
      <w:r>
        <w:rPr>
          <w:w w:val="100"/>
          <w:u w:val="single"/>
        </w:rPr>
        <w:t> </w:t>
      </w:r>
      <w:r>
        <w:rPr>
          <w:u w:val="single"/>
        </w:rPr>
        <w:tab/>
      </w:r>
    </w:p>
    <w:p>
      <w:pPr>
        <w:pStyle w:val="Heading3"/>
        <w:tabs>
          <w:tab w:pos="2032" w:val="left" w:leader="none"/>
          <w:tab w:pos="3904" w:val="left" w:leader="none"/>
        </w:tabs>
        <w:spacing w:line="238" w:lineRule="exact"/>
        <w:ind w:left="1552"/>
        <w:jc w:val="center"/>
      </w:pPr>
      <w:r>
        <w:rPr>
          <w:w w:val="99"/>
          <w:u w:val="single"/>
        </w:rPr>
        <w:t> </w:t>
      </w:r>
      <w:r>
        <w:rPr>
          <w:u w:val="single"/>
        </w:rPr>
        <w:tab/>
        <w:t>Hours per</w:t>
      </w:r>
      <w:r>
        <w:rPr>
          <w:spacing w:val="-3"/>
          <w:u w:val="single"/>
        </w:rPr>
        <w:t> </w:t>
      </w:r>
      <w:r>
        <w:rPr>
          <w:u w:val="single"/>
        </w:rPr>
        <w:t>week</w:t>
        <w:tab/>
      </w:r>
    </w:p>
    <w:p>
      <w:pPr>
        <w:pStyle w:val="Heading3"/>
        <w:tabs>
          <w:tab w:pos="3398" w:val="right" w:leader="none"/>
        </w:tabs>
        <w:spacing w:before="10"/>
        <w:ind w:left="1696"/>
      </w:pPr>
      <w:r>
        <w:rPr/>
        <w:t>&lt;</w:t>
      </w:r>
      <w:r>
        <w:rPr>
          <w:spacing w:val="-1"/>
        </w:rPr>
        <w:t> </w:t>
      </w:r>
      <w:r>
        <w:rPr/>
        <w:t>40</w:t>
      </w:r>
      <w:r>
        <w:rPr>
          <w:spacing w:val="-1"/>
        </w:rPr>
        <w:t> </w:t>
      </w:r>
      <w:r>
        <w:rPr/>
        <w:t>hours</w:t>
        <w:tab/>
        <w:t>3</w:t>
      </w:r>
    </w:p>
    <w:p>
      <w:pPr>
        <w:tabs>
          <w:tab w:pos="3288" w:val="left" w:leader="none"/>
        </w:tabs>
        <w:spacing w:before="0"/>
        <w:ind w:left="1786" w:right="0" w:firstLine="0"/>
        <w:jc w:val="left"/>
        <w:rPr>
          <w:sz w:val="22"/>
        </w:rPr>
      </w:pPr>
      <w:r>
        <w:rPr>
          <w:sz w:val="22"/>
        </w:rPr>
        <w:t>40</w:t>
      </w:r>
      <w:r>
        <w:rPr>
          <w:spacing w:val="-1"/>
          <w:sz w:val="22"/>
        </w:rPr>
        <w:t> </w:t>
      </w:r>
      <w:r>
        <w:rPr>
          <w:sz w:val="22"/>
        </w:rPr>
        <w:t>hours</w:t>
        <w:tab/>
        <w:t>2</w:t>
      </w:r>
    </w:p>
    <w:p>
      <w:pPr>
        <w:tabs>
          <w:tab w:pos="3288" w:val="left" w:leader="none"/>
          <w:tab w:pos="3904" w:val="left" w:leader="none"/>
        </w:tabs>
        <w:spacing w:before="0"/>
        <w:ind w:left="1552" w:right="0" w:firstLine="0"/>
        <w:jc w:val="center"/>
        <w:rPr>
          <w:sz w:val="22"/>
        </w:rPr>
      </w:pPr>
      <w:r>
        <w:rPr>
          <w:w w:val="99"/>
          <w:sz w:val="22"/>
          <w:u w:val="single"/>
        </w:rPr>
        <w:t> </w:t>
      </w:r>
      <w:r>
        <w:rPr>
          <w:sz w:val="22"/>
          <w:u w:val="single"/>
        </w:rPr>
        <w:t> </w:t>
      </w:r>
      <w:r>
        <w:rPr>
          <w:spacing w:val="-21"/>
          <w:sz w:val="22"/>
          <w:u w:val="single"/>
        </w:rPr>
        <w:t> </w:t>
      </w:r>
      <w:r>
        <w:rPr>
          <w:sz w:val="22"/>
          <w:u w:val="single"/>
        </w:rPr>
        <w:t>&gt;</w:t>
      </w:r>
      <w:r>
        <w:rPr>
          <w:spacing w:val="-1"/>
          <w:sz w:val="22"/>
          <w:u w:val="single"/>
        </w:rPr>
        <w:t> </w:t>
      </w:r>
      <w:r>
        <w:rPr>
          <w:sz w:val="22"/>
          <w:u w:val="single"/>
        </w:rPr>
        <w:t>40</w:t>
      </w:r>
      <w:r>
        <w:rPr>
          <w:spacing w:val="-1"/>
          <w:sz w:val="22"/>
          <w:u w:val="single"/>
        </w:rPr>
        <w:t> </w:t>
      </w:r>
      <w:r>
        <w:rPr>
          <w:sz w:val="22"/>
          <w:u w:val="single"/>
        </w:rPr>
        <w:t>hours</w:t>
        <w:tab/>
        <w:t>1</w:t>
        <w:tab/>
      </w:r>
    </w:p>
    <w:p>
      <w:pPr>
        <w:tabs>
          <w:tab w:pos="1848" w:val="left" w:leader="none"/>
          <w:tab w:pos="3904" w:val="left" w:leader="none"/>
        </w:tabs>
        <w:spacing w:before="10"/>
        <w:ind w:left="1552" w:right="0" w:firstLine="0"/>
        <w:jc w:val="center"/>
        <w:rPr>
          <w:sz w:val="22"/>
        </w:rPr>
      </w:pPr>
      <w:r>
        <w:rPr>
          <w:w w:val="99"/>
          <w:sz w:val="22"/>
          <w:u w:val="single"/>
        </w:rPr>
        <w:t> </w:t>
      </w:r>
      <w:r>
        <w:rPr>
          <w:sz w:val="22"/>
          <w:u w:val="single"/>
        </w:rPr>
        <w:tab/>
        <w:t>Years or</w:t>
      </w:r>
      <w:r>
        <w:rPr>
          <w:spacing w:val="-2"/>
          <w:sz w:val="22"/>
          <w:u w:val="single"/>
        </w:rPr>
        <w:t> </w:t>
      </w:r>
      <w:r>
        <w:rPr>
          <w:sz w:val="22"/>
          <w:u w:val="single"/>
        </w:rPr>
        <w:t>experience</w:t>
        <w:tab/>
      </w:r>
    </w:p>
    <w:p>
      <w:pPr>
        <w:tabs>
          <w:tab w:pos="3288" w:val="left" w:leader="none"/>
        </w:tabs>
        <w:spacing w:before="10"/>
        <w:ind w:left="1806" w:right="0" w:firstLine="0"/>
        <w:jc w:val="left"/>
        <w:rPr>
          <w:sz w:val="22"/>
        </w:rPr>
      </w:pPr>
      <w:r>
        <w:rPr>
          <w:sz w:val="22"/>
        </w:rPr>
        <w:t>&lt;</w:t>
      </w:r>
      <w:r>
        <w:rPr>
          <w:spacing w:val="-1"/>
          <w:sz w:val="22"/>
        </w:rPr>
        <w:t> </w:t>
      </w:r>
      <w:r>
        <w:rPr>
          <w:sz w:val="22"/>
        </w:rPr>
        <w:t>than</w:t>
      </w:r>
      <w:r>
        <w:rPr>
          <w:spacing w:val="-1"/>
          <w:sz w:val="22"/>
        </w:rPr>
        <w:t> </w:t>
      </w:r>
      <w:r>
        <w:rPr>
          <w:sz w:val="22"/>
        </w:rPr>
        <w:t>1</w:t>
        <w:tab/>
        <w:t>2</w:t>
      </w:r>
    </w:p>
    <w:p>
      <w:pPr>
        <w:tabs>
          <w:tab w:pos="2783" w:val="left" w:leader="none"/>
        </w:tabs>
        <w:spacing w:before="0"/>
        <w:ind w:left="1714" w:right="0" w:firstLine="0"/>
        <w:jc w:val="center"/>
        <w:rPr>
          <w:sz w:val="22"/>
        </w:rPr>
      </w:pPr>
      <w:r>
        <w:rPr>
          <w:sz w:val="22"/>
        </w:rPr>
        <w:t>1</w:t>
      </w:r>
      <w:r>
        <w:rPr>
          <w:spacing w:val="-1"/>
          <w:sz w:val="22"/>
        </w:rPr>
        <w:t> </w:t>
      </w:r>
      <w:r>
        <w:rPr>
          <w:sz w:val="22"/>
        </w:rPr>
        <w:t>to</w:t>
      </w:r>
      <w:r>
        <w:rPr>
          <w:spacing w:val="-1"/>
          <w:sz w:val="22"/>
        </w:rPr>
        <w:t> </w:t>
      </w:r>
      <w:r>
        <w:rPr>
          <w:sz w:val="22"/>
        </w:rPr>
        <w:t>5</w:t>
        <w:tab/>
        <w:t>3</w:t>
      </w:r>
      <w:r>
        <w:rPr>
          <w:spacing w:val="-3"/>
          <w:sz w:val="22"/>
        </w:rPr>
        <w:t> </w:t>
      </w:r>
      <w:r>
        <w:rPr>
          <w:sz w:val="22"/>
        </w:rPr>
        <w:t>(50%)</w:t>
      </w:r>
    </w:p>
    <w:p>
      <w:pPr>
        <w:tabs>
          <w:tab w:pos="2783" w:val="left" w:leader="none"/>
        </w:tabs>
        <w:spacing w:before="0"/>
        <w:ind w:left="1357" w:right="0" w:firstLine="0"/>
        <w:jc w:val="center"/>
        <w:rPr>
          <w:sz w:val="22"/>
        </w:rPr>
      </w:pPr>
      <w:r>
        <w:rPr>
          <w:sz w:val="22"/>
        </w:rPr>
        <w:t>6</w:t>
      </w:r>
      <w:r>
        <w:rPr>
          <w:spacing w:val="-1"/>
          <w:sz w:val="22"/>
        </w:rPr>
        <w:t> </w:t>
      </w:r>
      <w:r>
        <w:rPr>
          <w:sz w:val="22"/>
        </w:rPr>
        <w:t>to</w:t>
      </w:r>
      <w:r>
        <w:rPr>
          <w:spacing w:val="-1"/>
          <w:sz w:val="22"/>
        </w:rPr>
        <w:t> </w:t>
      </w:r>
      <w:r>
        <w:rPr>
          <w:sz w:val="22"/>
        </w:rPr>
        <w:t>10</w:t>
        <w:tab/>
        <w:t>0</w:t>
      </w:r>
    </w:p>
    <w:p>
      <w:pPr>
        <w:pStyle w:val="BodyText"/>
        <w:spacing w:before="1"/>
        <w:ind w:left="1984"/>
      </w:pPr>
      <w:r>
        <w:rPr/>
        <w:br w:type="column"/>
      </w:r>
      <w:r>
        <w:rPr/>
        <w:t>Description of the characteristics of the activity</w:t>
      </w:r>
    </w:p>
    <w:p>
      <w:pPr>
        <w:pStyle w:val="BodyText"/>
        <w:spacing w:before="2"/>
      </w:pPr>
    </w:p>
    <w:p>
      <w:pPr>
        <w:pStyle w:val="Heading4"/>
        <w:numPr>
          <w:ilvl w:val="1"/>
          <w:numId w:val="89"/>
        </w:numPr>
        <w:tabs>
          <w:tab w:pos="1852" w:val="left" w:leader="none"/>
        </w:tabs>
        <w:spacing w:line="240" w:lineRule="auto" w:before="0" w:after="0"/>
        <w:ind w:left="1851" w:right="0" w:hanging="299"/>
        <w:jc w:val="both"/>
      </w:pPr>
      <w:r>
        <w:rPr/>
        <w:t>Nordic Questionnaire Musculoskeletal</w:t>
      </w:r>
      <w:r>
        <w:rPr>
          <w:spacing w:val="-13"/>
        </w:rPr>
        <w:t> </w:t>
      </w:r>
      <w:r>
        <w:rPr/>
        <w:t>Symptoms</w:t>
      </w:r>
    </w:p>
    <w:p>
      <w:pPr>
        <w:pStyle w:val="BodyText"/>
        <w:spacing w:before="8"/>
        <w:rPr>
          <w:b/>
          <w:sz w:val="19"/>
        </w:rPr>
      </w:pPr>
    </w:p>
    <w:p>
      <w:pPr>
        <w:pStyle w:val="BodyText"/>
        <w:ind w:left="1552" w:right="676"/>
        <w:jc w:val="both"/>
      </w:pPr>
      <w:r>
        <w:rPr/>
        <w:t>As a result of the implementation of the Nordic questionnaire to determine the symptoms present in the participants, found that five of the six participants had discomfort in the neck, the lower and upper back four said  to have discomfort. Only one participant had discomfort in the hip / thigh, two participants had symptoms in knees, three participants also had discomfort ankles / feet. Three participants said had discomfort in his right shoulder and one participant in both shoulders. Only one participant had elbow discomfort, half of the participants presented discomfort in right side wrist /</w:t>
      </w:r>
      <w:r>
        <w:rPr>
          <w:spacing w:val="-12"/>
        </w:rPr>
        <w:t> </w:t>
      </w:r>
      <w:r>
        <w:rPr/>
        <w:t>hand.</w:t>
      </w:r>
    </w:p>
    <w:p>
      <w:pPr>
        <w:pStyle w:val="BodyText"/>
        <w:spacing w:before="11"/>
        <w:rPr>
          <w:sz w:val="19"/>
        </w:rPr>
      </w:pPr>
    </w:p>
    <w:p>
      <w:pPr>
        <w:spacing w:line="213" w:lineRule="exact" w:before="0"/>
        <w:ind w:left="2442" w:right="0" w:firstLine="0"/>
        <w:jc w:val="left"/>
        <w:rPr>
          <w:i/>
          <w:sz w:val="20"/>
        </w:rPr>
      </w:pPr>
      <w:r>
        <w:rPr>
          <w:sz w:val="20"/>
        </w:rPr>
        <w:t>Table 3. </w:t>
      </w:r>
      <w:r>
        <w:rPr>
          <w:i/>
          <w:sz w:val="20"/>
        </w:rPr>
        <w:t>Nordic Questionnaire Results</w:t>
      </w:r>
    </w:p>
    <w:p>
      <w:pPr>
        <w:spacing w:after="0" w:line="213" w:lineRule="exact"/>
        <w:jc w:val="left"/>
        <w:rPr>
          <w:sz w:val="20"/>
        </w:rPr>
        <w:sectPr>
          <w:type w:val="continuous"/>
          <w:pgSz w:w="12240" w:h="15840"/>
          <w:pgMar w:top="1500" w:bottom="280" w:left="580" w:right="220"/>
          <w:cols w:num="2" w:equalWidth="0">
            <w:col w:w="3905" w:space="438"/>
            <w:col w:w="7097"/>
          </w:cols>
        </w:sectPr>
      </w:pPr>
    </w:p>
    <w:p>
      <w:pPr>
        <w:pStyle w:val="Heading3"/>
        <w:tabs>
          <w:tab w:pos="3288" w:val="left" w:leader="none"/>
          <w:tab w:pos="5787" w:val="left" w:leader="none"/>
          <w:tab w:pos="10867" w:val="left" w:leader="none"/>
        </w:tabs>
        <w:spacing w:line="198" w:lineRule="exact"/>
        <w:ind w:left="1807" w:right="314"/>
      </w:pPr>
      <w:r>
        <w:rPr/>
        <w:t>11</w:t>
      </w:r>
      <w:r>
        <w:rPr>
          <w:spacing w:val="-1"/>
        </w:rPr>
        <w:t> </w:t>
      </w:r>
      <w:r>
        <w:rPr/>
        <w:t>to</w:t>
      </w:r>
      <w:r>
        <w:rPr>
          <w:spacing w:val="-2"/>
        </w:rPr>
        <w:t> </w:t>
      </w:r>
      <w:r>
        <w:rPr/>
        <w:t>20</w:t>
        <w:tab/>
        <w:t>0</w:t>
        <w:tab/>
      </w:r>
      <w:r>
        <w:rPr>
          <w:w w:val="99"/>
          <w:u w:val="single"/>
        </w:rPr>
        <w:t> </w:t>
      </w:r>
      <w:r>
        <w:rPr>
          <w:u w:val="single"/>
        </w:rPr>
        <w:tab/>
      </w:r>
    </w:p>
    <w:p>
      <w:pPr>
        <w:spacing w:after="0" w:line="198" w:lineRule="exact"/>
        <w:sectPr>
          <w:type w:val="continuous"/>
          <w:pgSz w:w="12240" w:h="15840"/>
          <w:pgMar w:top="1500" w:bottom="280" w:left="580" w:right="220"/>
        </w:sectPr>
      </w:pPr>
    </w:p>
    <w:p>
      <w:pPr>
        <w:tabs>
          <w:tab w:pos="1807" w:val="left" w:leader="none"/>
          <w:tab w:pos="3288" w:val="left" w:leader="none"/>
          <w:tab w:pos="3904" w:val="left" w:leader="none"/>
        </w:tabs>
        <w:spacing w:line="237" w:lineRule="exact" w:before="26"/>
        <w:ind w:left="1538" w:right="0" w:firstLine="0"/>
        <w:jc w:val="left"/>
        <w:rPr>
          <w:sz w:val="22"/>
        </w:rPr>
      </w:pPr>
      <w:r>
        <w:rPr>
          <w:w w:val="99"/>
          <w:sz w:val="22"/>
          <w:u w:val="single"/>
        </w:rPr>
        <w:t> </w:t>
      </w:r>
      <w:r>
        <w:rPr>
          <w:sz w:val="22"/>
          <w:u w:val="single"/>
        </w:rPr>
        <w:tab/>
        <w:t>21</w:t>
      </w:r>
      <w:r>
        <w:rPr>
          <w:spacing w:val="-1"/>
          <w:sz w:val="22"/>
          <w:u w:val="single"/>
        </w:rPr>
        <w:t> </w:t>
      </w:r>
      <w:r>
        <w:rPr>
          <w:sz w:val="22"/>
          <w:u w:val="single"/>
        </w:rPr>
        <w:t>to</w:t>
      </w:r>
      <w:r>
        <w:rPr>
          <w:spacing w:val="-2"/>
          <w:sz w:val="22"/>
          <w:u w:val="single"/>
        </w:rPr>
        <w:t> </w:t>
      </w:r>
      <w:r>
        <w:rPr>
          <w:sz w:val="22"/>
          <w:u w:val="single"/>
        </w:rPr>
        <w:t>30</w:t>
        <w:tab/>
        <w:t>1</w:t>
        <w:tab/>
      </w:r>
    </w:p>
    <w:p>
      <w:pPr>
        <w:tabs>
          <w:tab w:pos="1995" w:val="left" w:leader="none"/>
          <w:tab w:pos="4260" w:val="left" w:leader="none"/>
          <w:tab w:pos="6618" w:val="left" w:leader="none"/>
        </w:tabs>
        <w:spacing w:line="224" w:lineRule="exact" w:before="0"/>
        <w:ind w:left="1538" w:right="0" w:firstLine="0"/>
        <w:jc w:val="left"/>
        <w:rPr>
          <w:sz w:val="22"/>
        </w:rPr>
      </w:pPr>
      <w:r>
        <w:rPr/>
        <w:br w:type="column"/>
      </w:r>
      <w:r>
        <w:rPr>
          <w:w w:val="99"/>
          <w:sz w:val="22"/>
          <w:u w:val="single"/>
        </w:rPr>
        <w:t> </w:t>
      </w:r>
      <w:r>
        <w:rPr>
          <w:sz w:val="22"/>
          <w:u w:val="single"/>
        </w:rPr>
        <w:tab/>
        <w:t>Zone</w:t>
        <w:tab/>
        <w:t>Discomfort</w:t>
        <w:tab/>
      </w:r>
    </w:p>
    <w:p>
      <w:pPr>
        <w:spacing w:after="0" w:line="224" w:lineRule="exact"/>
        <w:jc w:val="left"/>
        <w:rPr>
          <w:sz w:val="22"/>
        </w:rPr>
        <w:sectPr>
          <w:type w:val="continuous"/>
          <w:pgSz w:w="12240" w:h="15840"/>
          <w:pgMar w:top="1500" w:bottom="280" w:left="580" w:right="220"/>
          <w:cols w:num="2" w:equalWidth="0">
            <w:col w:w="3905" w:space="344"/>
            <w:col w:w="7191"/>
          </w:cols>
        </w:sectPr>
      </w:pPr>
    </w:p>
    <w:p>
      <w:pPr>
        <w:spacing w:before="23"/>
        <w:ind w:left="1390" w:right="-18" w:firstLine="0"/>
        <w:jc w:val="left"/>
        <w:rPr>
          <w:sz w:val="18"/>
        </w:rPr>
      </w:pPr>
      <w:r>
        <w:rPr/>
        <w:pict>
          <v:shape style="position:absolute;margin-left:322.010010pt;margin-top:38.397026pt;width:236.9pt;height:117.2pt;mso-position-horizontal-relative:page;mso-position-vertical-relative:paragraph;z-index:1033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46"/>
                    <w:gridCol w:w="583"/>
                    <w:gridCol w:w="817"/>
                    <w:gridCol w:w="1615"/>
                    <w:gridCol w:w="376"/>
                  </w:tblGrid>
                  <w:tr>
                    <w:trPr>
                      <w:trHeight w:val="236" w:hRule="exact"/>
                    </w:trPr>
                    <w:tc>
                      <w:tcPr>
                        <w:tcW w:w="1346" w:type="dxa"/>
                      </w:tcPr>
                      <w:p>
                        <w:pPr>
                          <w:pStyle w:val="TableParagraph"/>
                          <w:spacing w:line="224" w:lineRule="exact"/>
                          <w:ind w:left="35"/>
                          <w:rPr>
                            <w:sz w:val="22"/>
                          </w:rPr>
                        </w:pPr>
                        <w:r>
                          <w:rPr>
                            <w:sz w:val="22"/>
                          </w:rPr>
                          <w:t>Neck</w:t>
                        </w:r>
                      </w:p>
                    </w:tc>
                    <w:tc>
                      <w:tcPr>
                        <w:tcW w:w="583" w:type="dxa"/>
                      </w:tcPr>
                      <w:p>
                        <w:pPr>
                          <w:pStyle w:val="TableParagraph"/>
                          <w:spacing w:line="224" w:lineRule="exact"/>
                          <w:ind w:left="174"/>
                          <w:rPr>
                            <w:sz w:val="22"/>
                          </w:rPr>
                        </w:pPr>
                        <w:r>
                          <w:rPr>
                            <w:w w:val="99"/>
                            <w:sz w:val="22"/>
                          </w:rPr>
                          <w:t>5</w:t>
                        </w:r>
                      </w:p>
                    </w:tc>
                    <w:tc>
                      <w:tcPr>
                        <w:tcW w:w="817" w:type="dxa"/>
                      </w:tcPr>
                      <w:p>
                        <w:pPr>
                          <w:pStyle w:val="TableParagraph"/>
                          <w:spacing w:line="224" w:lineRule="exact"/>
                          <w:ind w:left="316"/>
                          <w:rPr>
                            <w:sz w:val="22"/>
                          </w:rPr>
                        </w:pPr>
                        <w:r>
                          <w:rPr>
                            <w:w w:val="99"/>
                            <w:sz w:val="22"/>
                          </w:rPr>
                          <w:t>-</w:t>
                        </w:r>
                      </w:p>
                    </w:tc>
                    <w:tc>
                      <w:tcPr>
                        <w:tcW w:w="1615" w:type="dxa"/>
                      </w:tcPr>
                      <w:p>
                        <w:pPr>
                          <w:pStyle w:val="TableParagraph"/>
                          <w:tabs>
                            <w:tab w:pos="885" w:val="left" w:leader="none"/>
                          </w:tabs>
                          <w:spacing w:line="224" w:lineRule="exact"/>
                          <w:ind w:right="246"/>
                          <w:jc w:val="right"/>
                          <w:rPr>
                            <w:sz w:val="22"/>
                          </w:rPr>
                        </w:pPr>
                        <w:r>
                          <w:rPr>
                            <w:sz w:val="22"/>
                          </w:rPr>
                          <w:t>-</w:t>
                          <w:tab/>
                        </w:r>
                        <w:r>
                          <w:rPr>
                            <w:spacing w:val="-1"/>
                            <w:sz w:val="22"/>
                          </w:rPr>
                          <w:t>-</w:t>
                        </w:r>
                      </w:p>
                    </w:tc>
                    <w:tc>
                      <w:tcPr>
                        <w:tcW w:w="376" w:type="dxa"/>
                      </w:tcPr>
                      <w:p>
                        <w:pPr>
                          <w:pStyle w:val="TableParagraph"/>
                          <w:spacing w:line="224" w:lineRule="exact"/>
                          <w:ind w:right="33"/>
                          <w:jc w:val="right"/>
                          <w:rPr>
                            <w:sz w:val="22"/>
                          </w:rPr>
                        </w:pPr>
                        <w:r>
                          <w:rPr>
                            <w:w w:val="99"/>
                            <w:sz w:val="22"/>
                          </w:rPr>
                          <w:t>1</w:t>
                        </w:r>
                      </w:p>
                    </w:tc>
                  </w:tr>
                  <w:tr>
                    <w:trPr>
                      <w:trHeight w:val="253" w:hRule="exact"/>
                    </w:trPr>
                    <w:tc>
                      <w:tcPr>
                        <w:tcW w:w="1346" w:type="dxa"/>
                      </w:tcPr>
                      <w:p>
                        <w:pPr>
                          <w:pStyle w:val="TableParagraph"/>
                          <w:spacing w:line="241" w:lineRule="exact"/>
                          <w:ind w:left="35"/>
                          <w:rPr>
                            <w:sz w:val="22"/>
                          </w:rPr>
                        </w:pPr>
                        <w:r>
                          <w:rPr>
                            <w:sz w:val="22"/>
                          </w:rPr>
                          <w:t>High back</w:t>
                        </w:r>
                      </w:p>
                    </w:tc>
                    <w:tc>
                      <w:tcPr>
                        <w:tcW w:w="583" w:type="dxa"/>
                      </w:tcPr>
                      <w:p>
                        <w:pPr>
                          <w:pStyle w:val="TableParagraph"/>
                          <w:spacing w:line="241" w:lineRule="exact"/>
                          <w:ind w:left="173"/>
                          <w:rPr>
                            <w:sz w:val="22"/>
                          </w:rPr>
                        </w:pPr>
                        <w:r>
                          <w:rPr>
                            <w:w w:val="99"/>
                            <w:sz w:val="22"/>
                          </w:rPr>
                          <w:t>4</w:t>
                        </w:r>
                      </w:p>
                    </w:tc>
                    <w:tc>
                      <w:tcPr>
                        <w:tcW w:w="817" w:type="dxa"/>
                      </w:tcPr>
                      <w:p>
                        <w:pPr>
                          <w:pStyle w:val="TableParagraph"/>
                          <w:spacing w:line="241" w:lineRule="exact"/>
                          <w:ind w:left="316"/>
                          <w:rPr>
                            <w:sz w:val="22"/>
                          </w:rPr>
                        </w:pPr>
                        <w:r>
                          <w:rPr>
                            <w:w w:val="99"/>
                            <w:sz w:val="22"/>
                          </w:rPr>
                          <w:t>-</w:t>
                        </w:r>
                      </w:p>
                    </w:tc>
                    <w:tc>
                      <w:tcPr>
                        <w:tcW w:w="1615" w:type="dxa"/>
                      </w:tcPr>
                      <w:p>
                        <w:pPr>
                          <w:pStyle w:val="TableParagraph"/>
                          <w:tabs>
                            <w:tab w:pos="885" w:val="left" w:leader="none"/>
                          </w:tabs>
                          <w:spacing w:line="241" w:lineRule="exact"/>
                          <w:ind w:right="246"/>
                          <w:jc w:val="right"/>
                          <w:rPr>
                            <w:sz w:val="22"/>
                          </w:rPr>
                        </w:pPr>
                        <w:r>
                          <w:rPr>
                            <w:sz w:val="22"/>
                          </w:rPr>
                          <w:t>-</w:t>
                          <w:tab/>
                        </w:r>
                        <w:r>
                          <w:rPr>
                            <w:spacing w:val="-1"/>
                            <w:sz w:val="22"/>
                          </w:rPr>
                          <w:t>-</w:t>
                        </w:r>
                      </w:p>
                    </w:tc>
                    <w:tc>
                      <w:tcPr>
                        <w:tcW w:w="376" w:type="dxa"/>
                      </w:tcPr>
                      <w:p>
                        <w:pPr>
                          <w:pStyle w:val="TableParagraph"/>
                          <w:spacing w:line="241" w:lineRule="exact"/>
                          <w:ind w:right="34"/>
                          <w:jc w:val="right"/>
                          <w:rPr>
                            <w:sz w:val="22"/>
                          </w:rPr>
                        </w:pPr>
                        <w:r>
                          <w:rPr>
                            <w:w w:val="99"/>
                            <w:sz w:val="22"/>
                          </w:rPr>
                          <w:t>2</w:t>
                        </w:r>
                      </w:p>
                    </w:tc>
                  </w:tr>
                  <w:tr>
                    <w:trPr>
                      <w:trHeight w:val="253" w:hRule="exact"/>
                    </w:trPr>
                    <w:tc>
                      <w:tcPr>
                        <w:tcW w:w="1346" w:type="dxa"/>
                      </w:tcPr>
                      <w:p>
                        <w:pPr>
                          <w:pStyle w:val="TableParagraph"/>
                          <w:spacing w:line="241" w:lineRule="exact"/>
                          <w:ind w:left="35"/>
                          <w:rPr>
                            <w:sz w:val="22"/>
                          </w:rPr>
                        </w:pPr>
                        <w:r>
                          <w:rPr>
                            <w:sz w:val="22"/>
                          </w:rPr>
                          <w:t>Lower back</w:t>
                        </w:r>
                      </w:p>
                    </w:tc>
                    <w:tc>
                      <w:tcPr>
                        <w:tcW w:w="583" w:type="dxa"/>
                      </w:tcPr>
                      <w:p>
                        <w:pPr>
                          <w:pStyle w:val="TableParagraph"/>
                          <w:spacing w:line="241" w:lineRule="exact"/>
                          <w:ind w:left="173"/>
                          <w:rPr>
                            <w:sz w:val="22"/>
                          </w:rPr>
                        </w:pPr>
                        <w:r>
                          <w:rPr>
                            <w:w w:val="99"/>
                            <w:sz w:val="22"/>
                          </w:rPr>
                          <w:t>4</w:t>
                        </w:r>
                      </w:p>
                    </w:tc>
                    <w:tc>
                      <w:tcPr>
                        <w:tcW w:w="817" w:type="dxa"/>
                      </w:tcPr>
                      <w:p>
                        <w:pPr>
                          <w:pStyle w:val="TableParagraph"/>
                          <w:spacing w:line="241" w:lineRule="exact"/>
                          <w:ind w:left="316"/>
                          <w:rPr>
                            <w:sz w:val="22"/>
                          </w:rPr>
                        </w:pPr>
                        <w:r>
                          <w:rPr>
                            <w:w w:val="99"/>
                            <w:sz w:val="22"/>
                          </w:rPr>
                          <w:t>-</w:t>
                        </w:r>
                      </w:p>
                    </w:tc>
                    <w:tc>
                      <w:tcPr>
                        <w:tcW w:w="1615" w:type="dxa"/>
                      </w:tcPr>
                      <w:p>
                        <w:pPr>
                          <w:pStyle w:val="TableParagraph"/>
                          <w:tabs>
                            <w:tab w:pos="885" w:val="left" w:leader="none"/>
                          </w:tabs>
                          <w:spacing w:line="241" w:lineRule="exact"/>
                          <w:ind w:right="246"/>
                          <w:jc w:val="right"/>
                          <w:rPr>
                            <w:sz w:val="22"/>
                          </w:rPr>
                        </w:pPr>
                        <w:r>
                          <w:rPr>
                            <w:sz w:val="22"/>
                          </w:rPr>
                          <w:t>-</w:t>
                          <w:tab/>
                        </w:r>
                        <w:r>
                          <w:rPr>
                            <w:spacing w:val="-1"/>
                            <w:sz w:val="22"/>
                          </w:rPr>
                          <w:t>-</w:t>
                        </w:r>
                      </w:p>
                    </w:tc>
                    <w:tc>
                      <w:tcPr>
                        <w:tcW w:w="376" w:type="dxa"/>
                      </w:tcPr>
                      <w:p>
                        <w:pPr>
                          <w:pStyle w:val="TableParagraph"/>
                          <w:spacing w:line="241" w:lineRule="exact"/>
                          <w:ind w:right="33"/>
                          <w:jc w:val="right"/>
                          <w:rPr>
                            <w:sz w:val="22"/>
                          </w:rPr>
                        </w:pPr>
                        <w:r>
                          <w:rPr>
                            <w:w w:val="99"/>
                            <w:sz w:val="22"/>
                          </w:rPr>
                          <w:t>2</w:t>
                        </w:r>
                      </w:p>
                    </w:tc>
                  </w:tr>
                  <w:tr>
                    <w:trPr>
                      <w:trHeight w:val="253" w:hRule="exact"/>
                    </w:trPr>
                    <w:tc>
                      <w:tcPr>
                        <w:tcW w:w="1346" w:type="dxa"/>
                      </w:tcPr>
                      <w:p>
                        <w:pPr>
                          <w:pStyle w:val="TableParagraph"/>
                          <w:spacing w:line="241" w:lineRule="exact"/>
                          <w:ind w:left="35"/>
                          <w:rPr>
                            <w:sz w:val="22"/>
                          </w:rPr>
                        </w:pPr>
                        <w:r>
                          <w:rPr>
                            <w:sz w:val="22"/>
                          </w:rPr>
                          <w:t>Hip / thigh</w:t>
                        </w:r>
                      </w:p>
                    </w:tc>
                    <w:tc>
                      <w:tcPr>
                        <w:tcW w:w="583" w:type="dxa"/>
                      </w:tcPr>
                      <w:p>
                        <w:pPr>
                          <w:pStyle w:val="TableParagraph"/>
                          <w:spacing w:line="241" w:lineRule="exact"/>
                          <w:ind w:left="173"/>
                          <w:rPr>
                            <w:sz w:val="22"/>
                          </w:rPr>
                        </w:pPr>
                        <w:r>
                          <w:rPr>
                            <w:w w:val="99"/>
                            <w:sz w:val="22"/>
                          </w:rPr>
                          <w:t>1</w:t>
                        </w:r>
                      </w:p>
                    </w:tc>
                    <w:tc>
                      <w:tcPr>
                        <w:tcW w:w="817" w:type="dxa"/>
                      </w:tcPr>
                      <w:p>
                        <w:pPr>
                          <w:pStyle w:val="TableParagraph"/>
                          <w:spacing w:line="241" w:lineRule="exact"/>
                          <w:ind w:left="316"/>
                          <w:rPr>
                            <w:sz w:val="22"/>
                          </w:rPr>
                        </w:pPr>
                        <w:r>
                          <w:rPr>
                            <w:w w:val="99"/>
                            <w:sz w:val="22"/>
                          </w:rPr>
                          <w:t>-</w:t>
                        </w:r>
                      </w:p>
                    </w:tc>
                    <w:tc>
                      <w:tcPr>
                        <w:tcW w:w="1615" w:type="dxa"/>
                      </w:tcPr>
                      <w:p>
                        <w:pPr>
                          <w:pStyle w:val="TableParagraph"/>
                          <w:tabs>
                            <w:tab w:pos="885" w:val="left" w:leader="none"/>
                          </w:tabs>
                          <w:spacing w:line="241" w:lineRule="exact"/>
                          <w:ind w:right="246"/>
                          <w:jc w:val="right"/>
                          <w:rPr>
                            <w:sz w:val="22"/>
                          </w:rPr>
                        </w:pPr>
                        <w:r>
                          <w:rPr>
                            <w:sz w:val="22"/>
                          </w:rPr>
                          <w:t>-</w:t>
                          <w:tab/>
                        </w:r>
                        <w:r>
                          <w:rPr>
                            <w:spacing w:val="-1"/>
                            <w:sz w:val="22"/>
                          </w:rPr>
                          <w:t>-</w:t>
                        </w:r>
                      </w:p>
                    </w:tc>
                    <w:tc>
                      <w:tcPr>
                        <w:tcW w:w="376" w:type="dxa"/>
                      </w:tcPr>
                      <w:p>
                        <w:pPr>
                          <w:pStyle w:val="TableParagraph"/>
                          <w:spacing w:line="241" w:lineRule="exact"/>
                          <w:ind w:right="33"/>
                          <w:jc w:val="right"/>
                          <w:rPr>
                            <w:sz w:val="22"/>
                          </w:rPr>
                        </w:pPr>
                        <w:r>
                          <w:rPr>
                            <w:w w:val="99"/>
                            <w:sz w:val="22"/>
                          </w:rPr>
                          <w:t>5</w:t>
                        </w:r>
                      </w:p>
                    </w:tc>
                  </w:tr>
                  <w:tr>
                    <w:trPr>
                      <w:trHeight w:val="253" w:hRule="exact"/>
                    </w:trPr>
                    <w:tc>
                      <w:tcPr>
                        <w:tcW w:w="1346" w:type="dxa"/>
                      </w:tcPr>
                      <w:p>
                        <w:pPr>
                          <w:pStyle w:val="TableParagraph"/>
                          <w:spacing w:line="241" w:lineRule="exact"/>
                          <w:ind w:left="35"/>
                          <w:rPr>
                            <w:sz w:val="22"/>
                          </w:rPr>
                        </w:pPr>
                        <w:r>
                          <w:rPr>
                            <w:sz w:val="22"/>
                          </w:rPr>
                          <w:t>knee</w:t>
                        </w:r>
                      </w:p>
                    </w:tc>
                    <w:tc>
                      <w:tcPr>
                        <w:tcW w:w="583" w:type="dxa"/>
                      </w:tcPr>
                      <w:p>
                        <w:pPr>
                          <w:pStyle w:val="TableParagraph"/>
                          <w:spacing w:line="241" w:lineRule="exact"/>
                          <w:ind w:left="173"/>
                          <w:rPr>
                            <w:sz w:val="22"/>
                          </w:rPr>
                        </w:pPr>
                        <w:r>
                          <w:rPr>
                            <w:w w:val="99"/>
                            <w:sz w:val="22"/>
                          </w:rPr>
                          <w:t>2</w:t>
                        </w:r>
                      </w:p>
                    </w:tc>
                    <w:tc>
                      <w:tcPr>
                        <w:tcW w:w="817" w:type="dxa"/>
                      </w:tcPr>
                      <w:p>
                        <w:pPr>
                          <w:pStyle w:val="TableParagraph"/>
                          <w:spacing w:line="241" w:lineRule="exact"/>
                          <w:ind w:left="316"/>
                          <w:rPr>
                            <w:sz w:val="22"/>
                          </w:rPr>
                        </w:pPr>
                        <w:r>
                          <w:rPr>
                            <w:w w:val="99"/>
                            <w:sz w:val="22"/>
                          </w:rPr>
                          <w:t>-</w:t>
                        </w:r>
                      </w:p>
                    </w:tc>
                    <w:tc>
                      <w:tcPr>
                        <w:tcW w:w="1615" w:type="dxa"/>
                      </w:tcPr>
                      <w:p>
                        <w:pPr>
                          <w:pStyle w:val="TableParagraph"/>
                          <w:tabs>
                            <w:tab w:pos="885" w:val="left" w:leader="none"/>
                          </w:tabs>
                          <w:spacing w:line="241" w:lineRule="exact"/>
                          <w:ind w:right="247"/>
                          <w:jc w:val="right"/>
                          <w:rPr>
                            <w:sz w:val="22"/>
                          </w:rPr>
                        </w:pPr>
                        <w:r>
                          <w:rPr>
                            <w:sz w:val="22"/>
                          </w:rPr>
                          <w:t>-</w:t>
                          <w:tab/>
                        </w:r>
                        <w:r>
                          <w:rPr>
                            <w:w w:val="95"/>
                            <w:sz w:val="22"/>
                          </w:rPr>
                          <w:t>-</w:t>
                        </w:r>
                      </w:p>
                    </w:tc>
                    <w:tc>
                      <w:tcPr>
                        <w:tcW w:w="376" w:type="dxa"/>
                      </w:tcPr>
                      <w:p>
                        <w:pPr>
                          <w:pStyle w:val="TableParagraph"/>
                          <w:spacing w:line="241" w:lineRule="exact"/>
                          <w:ind w:right="34"/>
                          <w:jc w:val="right"/>
                          <w:rPr>
                            <w:sz w:val="22"/>
                          </w:rPr>
                        </w:pPr>
                        <w:r>
                          <w:rPr>
                            <w:w w:val="99"/>
                            <w:sz w:val="22"/>
                          </w:rPr>
                          <w:t>4</w:t>
                        </w:r>
                      </w:p>
                    </w:tc>
                  </w:tr>
                  <w:tr>
                    <w:trPr>
                      <w:trHeight w:val="253" w:hRule="exact"/>
                    </w:trPr>
                    <w:tc>
                      <w:tcPr>
                        <w:tcW w:w="1346" w:type="dxa"/>
                      </w:tcPr>
                      <w:p>
                        <w:pPr>
                          <w:pStyle w:val="TableParagraph"/>
                          <w:spacing w:line="240" w:lineRule="exact"/>
                          <w:ind w:left="35"/>
                          <w:rPr>
                            <w:sz w:val="22"/>
                          </w:rPr>
                        </w:pPr>
                        <w:r>
                          <w:rPr>
                            <w:sz w:val="22"/>
                          </w:rPr>
                          <w:t>Ankles / feet</w:t>
                        </w:r>
                      </w:p>
                    </w:tc>
                    <w:tc>
                      <w:tcPr>
                        <w:tcW w:w="583" w:type="dxa"/>
                      </w:tcPr>
                      <w:p>
                        <w:pPr>
                          <w:pStyle w:val="TableParagraph"/>
                          <w:spacing w:line="240" w:lineRule="exact"/>
                          <w:ind w:left="173"/>
                          <w:rPr>
                            <w:sz w:val="22"/>
                          </w:rPr>
                        </w:pPr>
                        <w:r>
                          <w:rPr>
                            <w:w w:val="99"/>
                            <w:sz w:val="22"/>
                          </w:rPr>
                          <w:t>3</w:t>
                        </w:r>
                      </w:p>
                    </w:tc>
                    <w:tc>
                      <w:tcPr>
                        <w:tcW w:w="817" w:type="dxa"/>
                      </w:tcPr>
                      <w:p>
                        <w:pPr>
                          <w:pStyle w:val="TableParagraph"/>
                          <w:spacing w:line="240" w:lineRule="exact"/>
                          <w:ind w:left="316"/>
                          <w:rPr>
                            <w:sz w:val="22"/>
                          </w:rPr>
                        </w:pPr>
                        <w:r>
                          <w:rPr>
                            <w:w w:val="99"/>
                            <w:sz w:val="22"/>
                          </w:rPr>
                          <w:t>-</w:t>
                        </w:r>
                      </w:p>
                    </w:tc>
                    <w:tc>
                      <w:tcPr>
                        <w:tcW w:w="1615" w:type="dxa"/>
                      </w:tcPr>
                      <w:p>
                        <w:pPr>
                          <w:pStyle w:val="TableParagraph"/>
                          <w:tabs>
                            <w:tab w:pos="885" w:val="left" w:leader="none"/>
                          </w:tabs>
                          <w:spacing w:line="240" w:lineRule="exact"/>
                          <w:ind w:right="246"/>
                          <w:jc w:val="right"/>
                          <w:rPr>
                            <w:sz w:val="22"/>
                          </w:rPr>
                        </w:pPr>
                        <w:r>
                          <w:rPr>
                            <w:sz w:val="22"/>
                          </w:rPr>
                          <w:t>-</w:t>
                          <w:tab/>
                        </w:r>
                        <w:r>
                          <w:rPr>
                            <w:spacing w:val="-1"/>
                            <w:sz w:val="22"/>
                          </w:rPr>
                          <w:t>-</w:t>
                        </w:r>
                      </w:p>
                    </w:tc>
                    <w:tc>
                      <w:tcPr>
                        <w:tcW w:w="376" w:type="dxa"/>
                      </w:tcPr>
                      <w:p>
                        <w:pPr>
                          <w:pStyle w:val="TableParagraph"/>
                          <w:spacing w:line="240" w:lineRule="exact"/>
                          <w:ind w:right="33"/>
                          <w:jc w:val="right"/>
                          <w:rPr>
                            <w:sz w:val="22"/>
                          </w:rPr>
                        </w:pPr>
                        <w:r>
                          <w:rPr>
                            <w:w w:val="99"/>
                            <w:sz w:val="22"/>
                          </w:rPr>
                          <w:t>3</w:t>
                        </w:r>
                      </w:p>
                    </w:tc>
                  </w:tr>
                  <w:tr>
                    <w:trPr>
                      <w:trHeight w:val="253" w:hRule="exact"/>
                    </w:trPr>
                    <w:tc>
                      <w:tcPr>
                        <w:tcW w:w="1346" w:type="dxa"/>
                      </w:tcPr>
                      <w:p>
                        <w:pPr>
                          <w:pStyle w:val="TableParagraph"/>
                          <w:spacing w:line="241" w:lineRule="exact"/>
                          <w:ind w:left="35"/>
                          <w:rPr>
                            <w:sz w:val="22"/>
                          </w:rPr>
                        </w:pPr>
                        <w:r>
                          <w:rPr>
                            <w:sz w:val="22"/>
                          </w:rPr>
                          <w:t>Shoulders</w:t>
                        </w:r>
                      </w:p>
                    </w:tc>
                    <w:tc>
                      <w:tcPr>
                        <w:tcW w:w="583" w:type="dxa"/>
                      </w:tcPr>
                      <w:p>
                        <w:pPr/>
                      </w:p>
                    </w:tc>
                    <w:tc>
                      <w:tcPr>
                        <w:tcW w:w="817" w:type="dxa"/>
                      </w:tcPr>
                      <w:p>
                        <w:pPr>
                          <w:pStyle w:val="TableParagraph"/>
                          <w:spacing w:line="241" w:lineRule="exact"/>
                          <w:ind w:left="298"/>
                          <w:rPr>
                            <w:sz w:val="22"/>
                          </w:rPr>
                        </w:pPr>
                        <w:r>
                          <w:rPr>
                            <w:w w:val="99"/>
                            <w:sz w:val="22"/>
                          </w:rPr>
                          <w:t>3</w:t>
                        </w:r>
                      </w:p>
                    </w:tc>
                    <w:tc>
                      <w:tcPr>
                        <w:tcW w:w="1615" w:type="dxa"/>
                      </w:tcPr>
                      <w:p>
                        <w:pPr>
                          <w:pStyle w:val="TableParagraph"/>
                          <w:spacing w:line="241" w:lineRule="exact"/>
                          <w:ind w:right="229"/>
                          <w:jc w:val="right"/>
                          <w:rPr>
                            <w:sz w:val="22"/>
                          </w:rPr>
                        </w:pPr>
                        <w:r>
                          <w:rPr>
                            <w:w w:val="99"/>
                            <w:sz w:val="22"/>
                          </w:rPr>
                          <w:t>1</w:t>
                        </w:r>
                      </w:p>
                    </w:tc>
                    <w:tc>
                      <w:tcPr>
                        <w:tcW w:w="376" w:type="dxa"/>
                      </w:tcPr>
                      <w:p>
                        <w:pPr>
                          <w:pStyle w:val="TableParagraph"/>
                          <w:spacing w:line="241" w:lineRule="exact"/>
                          <w:ind w:right="34"/>
                          <w:jc w:val="right"/>
                          <w:rPr>
                            <w:sz w:val="22"/>
                          </w:rPr>
                        </w:pPr>
                        <w:r>
                          <w:rPr>
                            <w:w w:val="99"/>
                            <w:sz w:val="22"/>
                          </w:rPr>
                          <w:t>2</w:t>
                        </w:r>
                      </w:p>
                    </w:tc>
                  </w:tr>
                  <w:tr>
                    <w:trPr>
                      <w:trHeight w:val="253" w:hRule="exact"/>
                    </w:trPr>
                    <w:tc>
                      <w:tcPr>
                        <w:tcW w:w="1346" w:type="dxa"/>
                      </w:tcPr>
                      <w:p>
                        <w:pPr>
                          <w:pStyle w:val="TableParagraph"/>
                          <w:spacing w:line="241" w:lineRule="exact"/>
                          <w:ind w:left="35"/>
                          <w:rPr>
                            <w:sz w:val="22"/>
                          </w:rPr>
                        </w:pPr>
                        <w:r>
                          <w:rPr>
                            <w:sz w:val="22"/>
                          </w:rPr>
                          <w:t>Elbows</w:t>
                        </w:r>
                      </w:p>
                    </w:tc>
                    <w:tc>
                      <w:tcPr>
                        <w:tcW w:w="583" w:type="dxa"/>
                      </w:tcPr>
                      <w:p>
                        <w:pPr/>
                      </w:p>
                    </w:tc>
                    <w:tc>
                      <w:tcPr>
                        <w:tcW w:w="817" w:type="dxa"/>
                      </w:tcPr>
                      <w:p>
                        <w:pPr>
                          <w:pStyle w:val="TableParagraph"/>
                          <w:spacing w:line="241" w:lineRule="exact"/>
                          <w:ind w:left="298"/>
                          <w:rPr>
                            <w:sz w:val="22"/>
                          </w:rPr>
                        </w:pPr>
                        <w:r>
                          <w:rPr>
                            <w:w w:val="99"/>
                            <w:sz w:val="22"/>
                          </w:rPr>
                          <w:t>1</w:t>
                        </w:r>
                      </w:p>
                    </w:tc>
                    <w:tc>
                      <w:tcPr>
                        <w:tcW w:w="1615" w:type="dxa"/>
                      </w:tcPr>
                      <w:p>
                        <w:pPr/>
                      </w:p>
                    </w:tc>
                    <w:tc>
                      <w:tcPr>
                        <w:tcW w:w="376" w:type="dxa"/>
                      </w:tcPr>
                      <w:p>
                        <w:pPr>
                          <w:pStyle w:val="TableParagraph"/>
                          <w:spacing w:line="241" w:lineRule="exact"/>
                          <w:ind w:right="34"/>
                          <w:jc w:val="right"/>
                          <w:rPr>
                            <w:sz w:val="22"/>
                          </w:rPr>
                        </w:pPr>
                        <w:r>
                          <w:rPr>
                            <w:w w:val="99"/>
                            <w:sz w:val="22"/>
                          </w:rPr>
                          <w:t>5</w:t>
                        </w:r>
                      </w:p>
                    </w:tc>
                  </w:tr>
                  <w:tr>
                    <w:trPr>
                      <w:trHeight w:val="336" w:hRule="exact"/>
                    </w:trPr>
                    <w:tc>
                      <w:tcPr>
                        <w:tcW w:w="1346" w:type="dxa"/>
                      </w:tcPr>
                      <w:p>
                        <w:pPr>
                          <w:pStyle w:val="TableParagraph"/>
                          <w:spacing w:line="241" w:lineRule="exact"/>
                          <w:ind w:left="35"/>
                          <w:rPr>
                            <w:sz w:val="22"/>
                          </w:rPr>
                        </w:pPr>
                        <w:r>
                          <w:rPr>
                            <w:sz w:val="22"/>
                          </w:rPr>
                          <w:t>Wrist / Hand</w:t>
                        </w:r>
                      </w:p>
                    </w:tc>
                    <w:tc>
                      <w:tcPr>
                        <w:tcW w:w="583" w:type="dxa"/>
                      </w:tcPr>
                      <w:p>
                        <w:pPr/>
                      </w:p>
                    </w:tc>
                    <w:tc>
                      <w:tcPr>
                        <w:tcW w:w="817" w:type="dxa"/>
                      </w:tcPr>
                      <w:p>
                        <w:pPr>
                          <w:pStyle w:val="TableParagraph"/>
                          <w:spacing w:line="241" w:lineRule="exact"/>
                          <w:ind w:left="299"/>
                          <w:rPr>
                            <w:sz w:val="22"/>
                          </w:rPr>
                        </w:pPr>
                        <w:r>
                          <w:rPr>
                            <w:w w:val="99"/>
                            <w:sz w:val="22"/>
                          </w:rPr>
                          <w:t>3</w:t>
                        </w:r>
                      </w:p>
                    </w:tc>
                    <w:tc>
                      <w:tcPr>
                        <w:tcW w:w="1615" w:type="dxa"/>
                      </w:tcPr>
                      <w:p>
                        <w:pPr/>
                      </w:p>
                    </w:tc>
                    <w:tc>
                      <w:tcPr>
                        <w:tcW w:w="376" w:type="dxa"/>
                      </w:tcPr>
                      <w:p>
                        <w:pPr>
                          <w:pStyle w:val="TableParagraph"/>
                          <w:spacing w:line="241" w:lineRule="exact"/>
                          <w:ind w:right="33"/>
                          <w:jc w:val="right"/>
                          <w:rPr>
                            <w:sz w:val="22"/>
                          </w:rPr>
                        </w:pPr>
                        <w:r>
                          <w:rPr>
                            <w:w w:val="99"/>
                            <w:sz w:val="22"/>
                          </w:rPr>
                          <w:t>3</w:t>
                        </w:r>
                      </w:p>
                    </w:tc>
                  </w:tr>
                </w:tbl>
                <w:p>
                  <w:pPr>
                    <w:pStyle w:val="BodyText"/>
                  </w:pPr>
                </w:p>
              </w:txbxContent>
            </v:textbox>
            <w10:wrap type="none"/>
          </v:shape>
        </w:pict>
      </w:r>
      <w:r>
        <w:rPr>
          <w:sz w:val="18"/>
        </w:rPr>
        <w:t>Description of the characteristics of the job</w:t>
      </w:r>
    </w:p>
    <w:p>
      <w:pPr>
        <w:pStyle w:val="Heading3"/>
        <w:tabs>
          <w:tab w:pos="2072" w:val="left" w:leader="none"/>
        </w:tabs>
        <w:spacing w:line="224" w:lineRule="exact"/>
        <w:ind w:left="1390"/>
      </w:pPr>
      <w:r>
        <w:rPr/>
        <w:br w:type="column"/>
      </w:r>
      <w:r>
        <w:rPr/>
        <w:t>Yes</w:t>
        <w:tab/>
      </w:r>
      <w:r>
        <w:rPr>
          <w:spacing w:val="-1"/>
        </w:rPr>
        <w:t>Yes,</w:t>
      </w:r>
    </w:p>
    <w:p>
      <w:pPr>
        <w:spacing w:line="252" w:lineRule="exact" w:before="0"/>
        <w:ind w:left="0" w:right="61" w:firstLine="0"/>
        <w:jc w:val="right"/>
        <w:rPr>
          <w:sz w:val="22"/>
        </w:rPr>
      </w:pPr>
      <w:r>
        <w:rPr>
          <w:sz w:val="22"/>
        </w:rPr>
        <w:t>the</w:t>
      </w:r>
    </w:p>
    <w:p>
      <w:pPr>
        <w:spacing w:line="224" w:lineRule="exact" w:before="0"/>
        <w:ind w:left="309" w:right="0" w:firstLine="0"/>
        <w:jc w:val="center"/>
        <w:rPr>
          <w:sz w:val="22"/>
        </w:rPr>
      </w:pPr>
      <w:r>
        <w:rPr/>
        <w:br w:type="column"/>
      </w:r>
      <w:r>
        <w:rPr>
          <w:sz w:val="22"/>
        </w:rPr>
        <w:t>Yes, the</w:t>
      </w:r>
    </w:p>
    <w:p>
      <w:pPr>
        <w:spacing w:line="252" w:lineRule="exact" w:before="0"/>
        <w:ind w:left="309" w:right="0" w:firstLine="0"/>
        <w:jc w:val="center"/>
        <w:rPr>
          <w:sz w:val="22"/>
        </w:rPr>
      </w:pPr>
      <w:r>
        <w:rPr>
          <w:sz w:val="22"/>
        </w:rPr>
        <w:t>left</w:t>
      </w:r>
    </w:p>
    <w:p>
      <w:pPr>
        <w:tabs>
          <w:tab w:pos="1001" w:val="left" w:leader="none"/>
        </w:tabs>
        <w:spacing w:line="224" w:lineRule="exact" w:before="0"/>
        <w:ind w:left="271" w:right="0" w:firstLine="0"/>
        <w:jc w:val="left"/>
        <w:rPr>
          <w:sz w:val="22"/>
        </w:rPr>
      </w:pPr>
      <w:r>
        <w:rPr/>
        <w:br w:type="column"/>
      </w:r>
      <w:r>
        <w:rPr>
          <w:sz w:val="22"/>
        </w:rPr>
        <w:t>Both</w:t>
        <w:tab/>
        <w:t>No</w:t>
      </w:r>
    </w:p>
    <w:p>
      <w:pPr>
        <w:spacing w:after="0" w:line="224" w:lineRule="exact"/>
        <w:jc w:val="left"/>
        <w:rPr>
          <w:sz w:val="22"/>
        </w:rPr>
        <w:sectPr>
          <w:type w:val="continuous"/>
          <w:pgSz w:w="12240" w:h="15840"/>
          <w:pgMar w:top="1500" w:bottom="280" w:left="580" w:right="220"/>
          <w:cols w:num="4" w:equalWidth="0">
            <w:col w:w="4501" w:space="1372"/>
            <w:col w:w="2469" w:space="40"/>
            <w:col w:w="1030" w:space="40"/>
            <w:col w:w="1988"/>
          </w:cols>
        </w:sectPr>
      </w:pPr>
    </w:p>
    <w:p>
      <w:pPr>
        <w:pStyle w:val="BodyText"/>
        <w:spacing w:line="216" w:lineRule="exact"/>
        <w:ind w:left="270" w:firstLine="432"/>
      </w:pPr>
      <w:r>
        <w:rPr/>
        <w:t>As  part  of  the  activity  of  participants  is performing</w:t>
      </w:r>
    </w:p>
    <w:p>
      <w:pPr>
        <w:pStyle w:val="BodyText"/>
        <w:ind w:left="270"/>
        <w:jc w:val="both"/>
      </w:pPr>
      <w:r>
        <w:rPr/>
        <w:t>echography procedures. Of the six participants one does between 1-8 procedures a day, three performed 9-18 procedures a day and two participants from 30-45 procedures. The time used to perform the procedures on average for performing each procedure were two participants from 5-10 minutes, three participants from 15-20 minutes and one participant of 21-30 minutes. The types of procedures performed were only four participants conventional procedures performed and two procedures performed Doppler and two had both procedures. In total six participants performed conventional</w:t>
      </w:r>
      <w:r>
        <w:rPr>
          <w:spacing w:val="-27"/>
        </w:rPr>
        <w:t> </w:t>
      </w:r>
      <w:r>
        <w:rPr/>
        <w:t>methods.</w:t>
      </w:r>
    </w:p>
    <w:p>
      <w:pPr>
        <w:pStyle w:val="Heading3"/>
        <w:tabs>
          <w:tab w:pos="2418" w:val="left" w:leader="none"/>
          <w:tab w:pos="5351" w:val="left" w:leader="none"/>
        </w:tabs>
        <w:ind w:left="270"/>
      </w:pPr>
      <w:r>
        <w:rPr/>
        <w:br w:type="column"/>
      </w:r>
      <w:r>
        <w:rPr>
          <w:w w:val="99"/>
          <w:u w:val="single"/>
        </w:rPr>
        <w:t> </w:t>
      </w:r>
      <w:r>
        <w:rPr>
          <w:u w:val="single"/>
        </w:rPr>
        <w:tab/>
        <w:t>right</w:t>
        <w:tab/>
      </w:r>
    </w:p>
    <w:p>
      <w:pPr>
        <w:spacing w:after="0"/>
        <w:sectPr>
          <w:type w:val="continuous"/>
          <w:pgSz w:w="12240" w:h="15840"/>
          <w:pgMar w:top="1500" w:bottom="280" w:left="580" w:right="220"/>
          <w:cols w:num="2" w:equalWidth="0">
            <w:col w:w="5189" w:space="327"/>
            <w:col w:w="5924"/>
          </w:cols>
        </w:sectPr>
      </w:pPr>
    </w:p>
    <w:p>
      <w:pPr>
        <w:pStyle w:val="BodyText"/>
        <w:spacing w:before="4"/>
        <w:rPr>
          <w:sz w:val="4"/>
        </w:rPr>
      </w:pPr>
    </w:p>
    <w:p>
      <w:pPr>
        <w:pStyle w:val="BodyText"/>
        <w:spacing w:line="20" w:lineRule="exact"/>
        <w:ind w:left="5767"/>
        <w:rPr>
          <w:sz w:val="2"/>
        </w:rPr>
      </w:pPr>
      <w:r>
        <w:rPr>
          <w:sz w:val="2"/>
        </w:rPr>
        <w:pict>
          <v:group style="width:255.3pt;height:.5pt;mso-position-horizontal-relative:char;mso-position-vertical-relative:line" coordorigin="0,0" coordsize="5106,10">
            <v:line style="position:absolute" from="5,5" to="1387,5" stroked="true" strokeweight=".48001pt" strokecolor="#000000"/>
            <v:line style="position:absolute" from="1373,5" to="1947,5" stroked="true" strokeweight=".48001pt" strokecolor="#000000"/>
            <v:line style="position:absolute" from="1932,5" to="2803,5" stroked="true" strokeweight=".48001pt" strokecolor="#000000"/>
            <v:line style="position:absolute" from="2789,5" to="3762,5" stroked="true" strokeweight=".48001pt" strokecolor="#000000"/>
            <v:line style="position:absolute" from="3748,5" to="4577,5" stroked="true" strokeweight=".48001pt" strokecolor="#000000"/>
            <v:line style="position:absolute" from="4563,5" to="5100,5" stroked="true" strokeweight=".48001pt" strokecolor="#000000"/>
          </v:group>
        </w:pict>
      </w:r>
      <w:r>
        <w:rPr>
          <w:sz w:val="2"/>
        </w:rPr>
      </w:r>
    </w:p>
    <w:p>
      <w:pPr>
        <w:spacing w:after="0" w:line="20" w:lineRule="exact"/>
        <w:rPr>
          <w:sz w:val="2"/>
        </w:rPr>
        <w:sectPr>
          <w:type w:val="continuous"/>
          <w:pgSz w:w="12240" w:h="15840"/>
          <w:pgMar w:top="1500" w:bottom="280" w:left="580" w:right="220"/>
        </w:sectPr>
      </w:pPr>
    </w:p>
    <w:p>
      <w:pPr>
        <w:pStyle w:val="BodyText"/>
        <w:spacing w:before="6"/>
        <w:rPr>
          <w:sz w:val="11"/>
        </w:rPr>
      </w:pPr>
    </w:p>
    <w:p>
      <w:pPr>
        <w:spacing w:after="0"/>
        <w:rPr>
          <w:sz w:val="11"/>
        </w:rPr>
        <w:sectPr>
          <w:pgSz w:w="12240" w:h="15840"/>
          <w:pgMar w:header="545" w:footer="852" w:top="1060" w:bottom="1040" w:left="580" w:right="220"/>
        </w:sectPr>
      </w:pPr>
    </w:p>
    <w:p>
      <w:pPr>
        <w:pStyle w:val="Heading4"/>
        <w:numPr>
          <w:ilvl w:val="1"/>
          <w:numId w:val="89"/>
        </w:numPr>
        <w:tabs>
          <w:tab w:pos="631" w:val="left" w:leader="none"/>
        </w:tabs>
        <w:spacing w:line="240" w:lineRule="auto" w:before="75" w:after="0"/>
        <w:ind w:left="630" w:right="0" w:hanging="360"/>
        <w:jc w:val="both"/>
      </w:pPr>
      <w:r>
        <w:rPr/>
        <w:t>RULA</w:t>
      </w:r>
    </w:p>
    <w:p>
      <w:pPr>
        <w:pStyle w:val="BodyText"/>
        <w:spacing w:before="8"/>
        <w:rPr>
          <w:b/>
          <w:sz w:val="19"/>
        </w:rPr>
      </w:pPr>
    </w:p>
    <w:p>
      <w:pPr>
        <w:pStyle w:val="BodyText"/>
        <w:ind w:left="270"/>
        <w:jc w:val="both"/>
      </w:pPr>
      <w:r>
        <w:rPr/>
        <w:t>In RULA analysis left side and right side were analyzed. In the table 3 above scores. Score A which corresponds to of evaluation of the upper extremities, score B corresponds to lower extremities and score C corresponds to the level of risk of the activity. The entry for the upper extremities for the score to the right assessment five participants had a score  of</w:t>
      </w:r>
    </w:p>
    <w:p>
      <w:pPr>
        <w:pStyle w:val="BodyText"/>
        <w:spacing w:before="2"/>
        <w:rPr>
          <w:sz w:val="26"/>
        </w:rPr>
      </w:pPr>
      <w:r>
        <w:rPr/>
        <w:br w:type="column"/>
      </w:r>
      <w:r>
        <w:rPr>
          <w:sz w:val="26"/>
        </w:rPr>
      </w:r>
    </w:p>
    <w:p>
      <w:pPr>
        <w:spacing w:before="1"/>
        <w:ind w:left="1915" w:right="0" w:firstLine="0"/>
        <w:jc w:val="left"/>
        <w:rPr>
          <w:i/>
          <w:sz w:val="20"/>
        </w:rPr>
      </w:pPr>
      <w:r>
        <w:rPr>
          <w:sz w:val="20"/>
        </w:rPr>
        <w:t>Table 5. </w:t>
      </w:r>
      <w:r>
        <w:rPr>
          <w:i/>
          <w:sz w:val="20"/>
        </w:rPr>
        <w:t>Borg scale results</w:t>
      </w:r>
    </w:p>
    <w:p>
      <w:pPr>
        <w:pStyle w:val="BodyText"/>
        <w:spacing w:line="20" w:lineRule="exact"/>
        <w:ind w:left="265"/>
        <w:rPr>
          <w:sz w:val="2"/>
        </w:rPr>
      </w:pPr>
      <w:r>
        <w:rPr>
          <w:sz w:val="2"/>
        </w:rPr>
        <w:pict>
          <v:group style="width:257.1500pt;height:.5pt;mso-position-horizontal-relative:char;mso-position-vertical-relative:line" coordorigin="0,0" coordsize="5143,10">
            <v:line style="position:absolute" from="5,5" to="5137,5" stroked="true" strokeweight=".48004pt" strokecolor="#000000"/>
          </v:group>
        </w:pict>
      </w:r>
      <w:r>
        <w:rPr>
          <w:sz w:val="2"/>
        </w:rPr>
      </w:r>
    </w:p>
    <w:p>
      <w:pPr>
        <w:pStyle w:val="Heading3"/>
        <w:ind w:right="248"/>
        <w:jc w:val="center"/>
      </w:pPr>
      <w:r>
        <w:rPr/>
        <w:t>Borg scale</w:t>
      </w:r>
    </w:p>
    <w:p>
      <w:pPr>
        <w:pStyle w:val="BodyText"/>
        <w:spacing w:line="20" w:lineRule="exact"/>
        <w:ind w:left="265"/>
        <w:rPr>
          <w:sz w:val="2"/>
        </w:rPr>
      </w:pPr>
      <w:r>
        <w:rPr>
          <w:sz w:val="2"/>
        </w:rPr>
        <w:pict>
          <v:group style="width:257.1500pt;height:.5pt;mso-position-horizontal-relative:char;mso-position-vertical-relative:line" coordorigin="0,0" coordsize="5143,10">
            <v:line style="position:absolute" from="5,5" to="589,5" stroked="true" strokeweight=".47998pt" strokecolor="#000000"/>
            <v:line style="position:absolute" from="589,5" to="1711,5" stroked="true" strokeweight=".48pt" strokecolor="#000000"/>
            <v:line style="position:absolute" from="1711,5" to="5137,5" stroked="true" strokeweight=".47998pt" strokecolor="#000000"/>
          </v:group>
        </w:pict>
      </w:r>
      <w:r>
        <w:rPr>
          <w:sz w:val="2"/>
        </w:rPr>
      </w:r>
    </w:p>
    <w:p>
      <w:pPr>
        <w:tabs>
          <w:tab w:pos="790" w:val="left" w:leader="none"/>
          <w:tab w:pos="1811" w:val="left" w:leader="none"/>
          <w:tab w:pos="2382" w:val="left" w:leader="none"/>
          <w:tab w:pos="2954" w:val="left" w:leader="none"/>
          <w:tab w:pos="3525" w:val="left" w:leader="none"/>
          <w:tab w:pos="4096" w:val="left" w:leader="none"/>
          <w:tab w:pos="4667" w:val="left" w:leader="none"/>
        </w:tabs>
        <w:spacing w:before="0"/>
        <w:ind w:left="0" w:right="247" w:firstLine="0"/>
        <w:jc w:val="center"/>
        <w:rPr>
          <w:sz w:val="15"/>
        </w:rPr>
      </w:pPr>
      <w:r>
        <w:rPr>
          <w:sz w:val="15"/>
          <w:u w:val="single"/>
        </w:rPr>
        <w:t>  </w:t>
      </w:r>
      <w:r>
        <w:rPr>
          <w:spacing w:val="-5"/>
          <w:sz w:val="15"/>
          <w:u w:val="single"/>
        </w:rPr>
        <w:t> </w:t>
      </w:r>
      <w:r>
        <w:rPr>
          <w:sz w:val="15"/>
          <w:u w:val="single"/>
        </w:rPr>
        <w:t>Value</w:t>
        <w:tab/>
        <w:t>Description</w:t>
        <w:tab/>
        <w:t>Part.1</w:t>
        <w:tab/>
        <w:t>Part.2</w:t>
        <w:tab/>
        <w:t>Part.3</w:t>
        <w:tab/>
        <w:t>Part.4</w:t>
        <w:tab/>
        <w:t>Part.5</w:t>
        <w:tab/>
        <w:t>Part.6</w:t>
      </w:r>
      <w:r>
        <w:rPr>
          <w:spacing w:val="-3"/>
          <w:sz w:val="15"/>
          <w:u w:val="single"/>
        </w:rPr>
        <w:t> </w:t>
      </w:r>
    </w:p>
    <w:p>
      <w:pPr>
        <w:pStyle w:val="Heading3"/>
        <w:tabs>
          <w:tab w:pos="953" w:val="left" w:leader="none"/>
        </w:tabs>
        <w:spacing w:line="254" w:lineRule="exact" w:before="9"/>
        <w:ind w:left="517"/>
      </w:pPr>
      <w:r>
        <w:rPr>
          <w:position w:val="6"/>
          <w:sz w:val="16"/>
        </w:rPr>
        <w:t>0</w:t>
        <w:tab/>
      </w:r>
      <w:r>
        <w:rPr/>
        <w:t>Rest</w:t>
      </w:r>
      <w:r>
        <w:rPr>
          <w:spacing w:val="-2"/>
        </w:rPr>
        <w:t> </w:t>
      </w:r>
      <w:r>
        <w:rPr/>
        <w:t>total</w:t>
      </w:r>
    </w:p>
    <w:p>
      <w:pPr>
        <w:pStyle w:val="ListParagraph"/>
        <w:numPr>
          <w:ilvl w:val="0"/>
          <w:numId w:val="90"/>
        </w:numPr>
        <w:tabs>
          <w:tab w:pos="953" w:val="left" w:leader="none"/>
          <w:tab w:pos="954" w:val="left" w:leader="none"/>
        </w:tabs>
        <w:spacing w:line="240" w:lineRule="auto" w:before="0" w:after="0"/>
        <w:ind w:left="953" w:right="4142" w:hanging="435"/>
        <w:jc w:val="left"/>
        <w:rPr>
          <w:sz w:val="22"/>
        </w:rPr>
      </w:pPr>
      <w:r>
        <w:rPr>
          <w:sz w:val="22"/>
        </w:rPr>
        <w:t>Very soft effort</w:t>
      </w:r>
    </w:p>
    <w:p>
      <w:pPr>
        <w:pStyle w:val="ListParagraph"/>
        <w:numPr>
          <w:ilvl w:val="0"/>
          <w:numId w:val="90"/>
        </w:numPr>
        <w:tabs>
          <w:tab w:pos="953" w:val="left" w:leader="none"/>
          <w:tab w:pos="954" w:val="left" w:leader="none"/>
          <w:tab w:pos="3363" w:val="left" w:leader="none"/>
        </w:tabs>
        <w:spacing w:line="191" w:lineRule="exact" w:before="0" w:after="0"/>
        <w:ind w:left="953" w:right="0" w:hanging="435"/>
        <w:jc w:val="left"/>
        <w:rPr>
          <w:sz w:val="16"/>
        </w:rPr>
      </w:pPr>
      <w:r>
        <w:rPr>
          <w:sz w:val="22"/>
        </w:rPr>
        <w:t>Soft</w:t>
      </w:r>
      <w:r>
        <w:rPr>
          <w:position w:val="6"/>
          <w:sz w:val="16"/>
        </w:rPr>
        <w:tab/>
        <w:t>x</w:t>
      </w:r>
    </w:p>
    <w:p>
      <w:pPr>
        <w:spacing w:after="0" w:line="191" w:lineRule="exact"/>
        <w:jc w:val="left"/>
        <w:rPr>
          <w:sz w:val="16"/>
        </w:rPr>
        <w:sectPr>
          <w:type w:val="continuous"/>
          <w:pgSz w:w="12240" w:h="15840"/>
          <w:pgMar w:top="1500" w:bottom="280" w:left="580" w:right="220"/>
          <w:cols w:num="2" w:equalWidth="0">
            <w:col w:w="5188" w:space="329"/>
            <w:col w:w="5923"/>
          </w:cols>
        </w:sectPr>
      </w:pPr>
    </w:p>
    <w:p>
      <w:pPr>
        <w:pStyle w:val="BodyText"/>
        <w:spacing w:line="205" w:lineRule="exact"/>
        <w:ind w:left="270"/>
      </w:pPr>
      <w:r>
        <w:rPr/>
        <w:t>3, which means that most of the participants adopt the   same</w:t>
      </w:r>
    </w:p>
    <w:p>
      <w:pPr>
        <w:pStyle w:val="BodyText"/>
        <w:ind w:left="270"/>
      </w:pPr>
      <w:r>
        <w:rPr/>
        <w:t>position referring to the abduction of the right arm which generates scores high rating.</w:t>
      </w:r>
    </w:p>
    <w:p>
      <w:pPr>
        <w:pStyle w:val="BodyText"/>
        <w:spacing w:before="11"/>
        <w:rPr>
          <w:sz w:val="19"/>
        </w:rPr>
      </w:pPr>
    </w:p>
    <w:p>
      <w:pPr>
        <w:pStyle w:val="BodyText"/>
        <w:ind w:left="270" w:firstLine="708"/>
        <w:jc w:val="both"/>
      </w:pPr>
      <w:r>
        <w:rPr/>
        <w:t>For the score for the right side B the highest value was 6 corresponding to one participant, two participants with value 5, a one participant a value of 4, and two participants value of 2. The main problem observed in these scores is the position of the trunk of the degrees of flexion and trunk tilted</w:t>
      </w:r>
    </w:p>
    <w:p>
      <w:pPr>
        <w:pStyle w:val="Heading3"/>
        <w:numPr>
          <w:ilvl w:val="0"/>
          <w:numId w:val="90"/>
        </w:numPr>
        <w:tabs>
          <w:tab w:pos="821" w:val="left" w:leader="none"/>
          <w:tab w:pos="822" w:val="left" w:leader="none"/>
        </w:tabs>
        <w:spacing w:line="240" w:lineRule="auto" w:before="58" w:after="0"/>
        <w:ind w:left="821" w:right="17" w:hanging="435"/>
        <w:jc w:val="left"/>
      </w:pPr>
      <w:r>
        <w:rPr>
          <w:spacing w:val="-2"/>
          <w:w w:val="99"/>
        </w:rPr>
        <w:br w:type="column"/>
      </w:r>
      <w:r>
        <w:rPr/>
        <w:t>moderate effort</w:t>
      </w:r>
    </w:p>
    <w:p>
      <w:pPr>
        <w:pStyle w:val="ListParagraph"/>
        <w:numPr>
          <w:ilvl w:val="0"/>
          <w:numId w:val="90"/>
        </w:numPr>
        <w:tabs>
          <w:tab w:pos="821" w:val="left" w:leader="none"/>
          <w:tab w:pos="822" w:val="left" w:leader="none"/>
        </w:tabs>
        <w:spacing w:line="240" w:lineRule="auto" w:before="0" w:after="0"/>
        <w:ind w:left="821" w:right="218" w:hanging="435"/>
        <w:jc w:val="left"/>
        <w:rPr>
          <w:sz w:val="22"/>
        </w:rPr>
      </w:pPr>
      <w:r>
        <w:rPr>
          <w:sz w:val="22"/>
        </w:rPr>
        <w:t>A little hard</w:t>
      </w:r>
    </w:p>
    <w:p>
      <w:pPr>
        <w:pStyle w:val="ListParagraph"/>
        <w:numPr>
          <w:ilvl w:val="0"/>
          <w:numId w:val="90"/>
        </w:numPr>
        <w:tabs>
          <w:tab w:pos="391" w:val="left" w:leader="none"/>
          <w:tab w:pos="821" w:val="left" w:leader="none"/>
        </w:tabs>
        <w:spacing w:line="251" w:lineRule="exact" w:before="0" w:after="0"/>
        <w:ind w:left="390" w:right="0" w:hanging="120"/>
        <w:jc w:val="left"/>
        <w:rPr>
          <w:sz w:val="22"/>
        </w:rPr>
      </w:pPr>
      <w:r>
        <w:rPr>
          <w:position w:val="6"/>
          <w:sz w:val="16"/>
        </w:rPr>
        <w:t>a</w:t>
      </w:r>
      <w:r>
        <w:rPr>
          <w:spacing w:val="-1"/>
          <w:position w:val="6"/>
          <w:sz w:val="16"/>
        </w:rPr>
        <w:t> </w:t>
      </w:r>
      <w:r>
        <w:rPr>
          <w:position w:val="6"/>
          <w:sz w:val="16"/>
        </w:rPr>
        <w:t>6</w:t>
        <w:tab/>
      </w:r>
      <w:r>
        <w:rPr>
          <w:sz w:val="22"/>
        </w:rPr>
        <w:t>Hard</w:t>
      </w:r>
    </w:p>
    <w:p>
      <w:pPr>
        <w:tabs>
          <w:tab w:pos="821" w:val="left" w:leader="none"/>
        </w:tabs>
        <w:spacing w:line="255" w:lineRule="exact" w:before="0"/>
        <w:ind w:left="270" w:right="0" w:firstLine="0"/>
        <w:jc w:val="left"/>
        <w:rPr>
          <w:sz w:val="22"/>
        </w:rPr>
      </w:pPr>
      <w:r>
        <w:rPr>
          <w:position w:val="6"/>
          <w:sz w:val="16"/>
        </w:rPr>
        <w:t>7</w:t>
      </w:r>
      <w:r>
        <w:rPr>
          <w:spacing w:val="-1"/>
          <w:position w:val="6"/>
          <w:sz w:val="16"/>
        </w:rPr>
        <w:t> </w:t>
      </w:r>
      <w:r>
        <w:rPr>
          <w:position w:val="6"/>
          <w:sz w:val="16"/>
        </w:rPr>
        <w:t>a</w:t>
      </w:r>
      <w:r>
        <w:rPr>
          <w:spacing w:val="-1"/>
          <w:position w:val="6"/>
          <w:sz w:val="16"/>
        </w:rPr>
        <w:t> </w:t>
      </w:r>
      <w:r>
        <w:rPr>
          <w:position w:val="6"/>
          <w:sz w:val="16"/>
        </w:rPr>
        <w:t>9</w:t>
        <w:tab/>
      </w:r>
      <w:r>
        <w:rPr>
          <w:sz w:val="22"/>
        </w:rPr>
        <w:t>very</w:t>
      </w:r>
      <w:r>
        <w:rPr>
          <w:spacing w:val="-2"/>
          <w:sz w:val="22"/>
        </w:rPr>
        <w:t> </w:t>
      </w:r>
      <w:r>
        <w:rPr>
          <w:sz w:val="22"/>
        </w:rPr>
        <w:t>hard</w:t>
      </w:r>
    </w:p>
    <w:p>
      <w:pPr>
        <w:tabs>
          <w:tab w:pos="2103" w:val="left" w:leader="none"/>
          <w:tab w:pos="2674" w:val="left" w:leader="none"/>
        </w:tabs>
        <w:spacing w:before="61"/>
        <w:ind w:left="961" w:right="0" w:firstLine="0"/>
        <w:jc w:val="left"/>
        <w:rPr>
          <w:sz w:val="16"/>
        </w:rPr>
      </w:pPr>
      <w:r>
        <w:rPr/>
        <w:br w:type="column"/>
      </w:r>
      <w:r>
        <w:rPr>
          <w:sz w:val="16"/>
        </w:rPr>
        <w:t>x</w:t>
        <w:tab/>
        <w:t>x</w:t>
        <w:tab/>
        <w:t>x</w:t>
      </w:r>
    </w:p>
    <w:p>
      <w:pPr>
        <w:pStyle w:val="BodyText"/>
        <w:rPr>
          <w:sz w:val="16"/>
        </w:rPr>
      </w:pPr>
    </w:p>
    <w:p>
      <w:pPr>
        <w:tabs>
          <w:tab w:pos="2855" w:val="left" w:leader="none"/>
        </w:tabs>
        <w:spacing w:before="137"/>
        <w:ind w:left="0" w:right="374" w:firstLine="0"/>
        <w:jc w:val="center"/>
        <w:rPr>
          <w:sz w:val="16"/>
        </w:rPr>
      </w:pPr>
      <w:r>
        <w:rPr>
          <w:sz w:val="16"/>
        </w:rPr>
        <w:t>x</w:t>
        <w:tab/>
        <w:t>x</w:t>
      </w: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103"/>
        <w:ind w:right="2130"/>
        <w:jc w:val="center"/>
      </w:pPr>
      <w:r>
        <w:rPr/>
        <w:pict>
          <v:shape style="position:absolute;margin-left:317.640015pt;margin-top:5.065933pt;width:257.3500pt;height:.1pt;mso-position-horizontal-relative:page;mso-position-vertical-relative:paragraph;z-index:10600" coordorigin="6353,101" coordsize="5147,0" path="m6353,101l6942,101m6928,101l8074,101m8059,101l8645,101m8630,101l9215,101m9200,101l9786,101m9772,101l10357,101m10343,101l10928,101m10914,101l11500,101e" filled="false" stroked="true" strokeweight=".47998pt" strokecolor="#000000">
            <v:path arrowok="t"/>
            <w10:wrap type="none"/>
          </v:shape>
        </w:pict>
      </w:r>
      <w:r>
        <w:rPr/>
        <w:t>Results of Borg scale</w:t>
      </w:r>
    </w:p>
    <w:p>
      <w:pPr>
        <w:pStyle w:val="BodyText"/>
        <w:ind w:left="955"/>
      </w:pPr>
      <w:r>
        <w:rPr>
          <w:w w:val="100"/>
        </w:rPr>
        <w:t>.</w:t>
      </w:r>
    </w:p>
    <w:p>
      <w:pPr>
        <w:spacing w:after="0"/>
        <w:sectPr>
          <w:type w:val="continuous"/>
          <w:pgSz w:w="12240" w:h="15840"/>
          <w:pgMar w:top="1500" w:bottom="280" w:left="580" w:right="220"/>
          <w:cols w:num="3" w:equalWidth="0">
            <w:col w:w="5189" w:space="460"/>
            <w:col w:w="1659" w:space="40"/>
            <w:col w:w="4092"/>
          </w:cols>
        </w:sectPr>
      </w:pPr>
    </w:p>
    <w:p>
      <w:pPr>
        <w:pStyle w:val="BodyText"/>
        <w:ind w:left="270" w:right="105"/>
        <w:jc w:val="both"/>
      </w:pPr>
      <w:r>
        <w:rPr/>
        <w:t>to the side. The value for score C is reference level of risk found was three participant with a score 6 which refers to the need for more research and requires change soon, the rest of the participants stay at the level where there is a risk and should be changed.</w:t>
      </w:r>
    </w:p>
    <w:p>
      <w:pPr>
        <w:pStyle w:val="BodyText"/>
        <w:ind w:left="270" w:right="105" w:firstLine="708"/>
        <w:jc w:val="both"/>
      </w:pPr>
      <w:r>
        <w:rPr/>
        <w:t>For assessments for the left side score A is found that two participants obtained a score of 4 and two participants score 2 corresponding to the upper extremities.  In the score B to the left side the same results as mentioned above the right side is obtained. To score C is found that three participants were in qualifying that change is needed soon, and the other three in that the change would be necessary.</w:t>
      </w:r>
    </w:p>
    <w:p>
      <w:pPr>
        <w:pStyle w:val="BodyText"/>
      </w:pPr>
    </w:p>
    <w:p>
      <w:pPr>
        <w:pStyle w:val="BodyText"/>
        <w:spacing w:before="10"/>
        <w:rPr>
          <w:sz w:val="19"/>
        </w:rPr>
      </w:pPr>
    </w:p>
    <w:p>
      <w:pPr>
        <w:tabs>
          <w:tab w:pos="1812" w:val="left" w:leader="none"/>
          <w:tab w:pos="5295" w:val="left" w:leader="none"/>
        </w:tabs>
        <w:spacing w:before="0"/>
        <w:ind w:left="162" w:right="0" w:firstLine="0"/>
        <w:jc w:val="center"/>
        <w:rPr>
          <w:i/>
          <w:sz w:val="20"/>
        </w:rPr>
      </w:pPr>
      <w:r>
        <w:rPr>
          <w:w w:val="100"/>
          <w:sz w:val="20"/>
          <w:u w:val="single"/>
        </w:rPr>
        <w:t> </w:t>
      </w:r>
      <w:r>
        <w:rPr>
          <w:sz w:val="20"/>
          <w:u w:val="single"/>
        </w:rPr>
        <w:tab/>
        <w:t>Table 4. </w:t>
      </w:r>
      <w:r>
        <w:rPr>
          <w:i/>
          <w:sz w:val="20"/>
          <w:u w:val="single"/>
        </w:rPr>
        <w:t>Results</w:t>
      </w:r>
      <w:r>
        <w:rPr>
          <w:i/>
          <w:spacing w:val="-10"/>
          <w:sz w:val="20"/>
          <w:u w:val="single"/>
        </w:rPr>
        <w:t> </w:t>
      </w:r>
      <w:r>
        <w:rPr>
          <w:i/>
          <w:sz w:val="20"/>
          <w:u w:val="single"/>
        </w:rPr>
        <w:t>RULA</w:t>
        <w:tab/>
      </w:r>
    </w:p>
    <w:p>
      <w:pPr>
        <w:tabs>
          <w:tab w:pos="1998" w:val="left" w:leader="none"/>
          <w:tab w:pos="4107" w:val="left" w:leader="none"/>
          <w:tab w:pos="5295" w:val="left" w:leader="none"/>
        </w:tabs>
        <w:spacing w:before="8"/>
        <w:ind w:left="162" w:right="0" w:firstLine="0"/>
        <w:jc w:val="center"/>
        <w:rPr>
          <w:sz w:val="18"/>
        </w:rPr>
      </w:pPr>
      <w:r>
        <w:rPr/>
        <w:pict>
          <v:line style="position:absolute;mso-position-horizontal-relative:page;mso-position-vertical-relative:paragraph;z-index:-868408" from="105.029999pt,22.362356pt" to="105.029999pt,32.742356pt" stroked="true" strokeweight="4.5pt" strokecolor="#bfbfbf">
            <w10:wrap type="none"/>
          </v:line>
        </w:pict>
      </w:r>
      <w:r>
        <w:rPr/>
        <w:pict>
          <v:line style="position:absolute;mso-position-horizontal-relative:page;mso-position-vertical-relative:paragraph;z-index:-868384" from="173.009995pt,22.362356pt" to="173.009995pt,32.742356pt" stroked="true" strokeweight="4.5pt" strokecolor="#bfbfbf">
            <w10:wrap type="none"/>
          </v:line>
        </w:pict>
      </w:r>
      <w:r>
        <w:rPr/>
        <w:pict>
          <v:shape style="position:absolute;margin-left:105.029999pt;margin-top:43.062355pt;width:.1pt;height:41.4pt;mso-position-horizontal-relative:page;mso-position-vertical-relative:paragraph;z-index:-868360" coordorigin="2101,861" coordsize="0,828" path="m2101,861l2101,1069m2101,1069l2101,1275m2101,1275l2101,1483m2101,1483l2101,1689e" filled="false" stroked="true" strokeweight="4.5pt" strokecolor="#bfbfbf">
            <v:path arrowok="t"/>
            <w10:wrap type="none"/>
          </v:shape>
        </w:pict>
      </w:r>
      <w:r>
        <w:rPr/>
        <w:pict>
          <v:shape style="position:absolute;margin-left:173.009995pt;margin-top:43.062355pt;width:.1pt;height:20.7pt;mso-position-horizontal-relative:page;mso-position-vertical-relative:paragraph;z-index:-868336" coordorigin="3460,861" coordsize="0,414" path="m3460,861l3460,1069m3460,1069l3460,1275e" filled="false" stroked="true" strokeweight="4.5pt" strokecolor="#bfbfbf">
            <v:path arrowok="t"/>
            <w10:wrap type="none"/>
          </v:shape>
        </w:pict>
      </w:r>
      <w:r>
        <w:rPr>
          <w:sz w:val="18"/>
          <w:u w:val="single"/>
        </w:rPr>
        <w:t> </w:t>
      </w:r>
      <w:r>
        <w:rPr>
          <w:spacing w:val="18"/>
          <w:sz w:val="18"/>
          <w:u w:val="single"/>
        </w:rPr>
        <w:t> </w:t>
      </w:r>
      <w:r>
        <w:rPr>
          <w:sz w:val="18"/>
          <w:u w:val="single"/>
        </w:rPr>
        <w:t>Participant</w:t>
        <w:tab/>
        <w:t>Right</w:t>
        <w:tab/>
        <w:t>Left</w:t>
        <w:tab/>
      </w:r>
    </w:p>
    <w:tbl>
      <w:tblPr>
        <w:tblW w:w="0" w:type="auto"/>
        <w:jc w:val="left"/>
        <w:tblInd w:w="16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41"/>
        <w:gridCol w:w="860"/>
        <w:gridCol w:w="678"/>
        <w:gridCol w:w="678"/>
        <w:gridCol w:w="685"/>
        <w:gridCol w:w="712"/>
        <w:gridCol w:w="678"/>
      </w:tblGrid>
      <w:tr>
        <w:trPr>
          <w:trHeight w:val="198" w:hRule="exact"/>
        </w:trPr>
        <w:tc>
          <w:tcPr>
            <w:tcW w:w="841" w:type="dxa"/>
            <w:tcBorders>
              <w:bottom w:val="single" w:sz="4" w:space="0" w:color="000000"/>
            </w:tcBorders>
          </w:tcPr>
          <w:p>
            <w:pPr/>
          </w:p>
        </w:tc>
        <w:tc>
          <w:tcPr>
            <w:tcW w:w="860" w:type="dxa"/>
            <w:tcBorders>
              <w:bottom w:val="single" w:sz="4" w:space="0" w:color="000000"/>
            </w:tcBorders>
          </w:tcPr>
          <w:p>
            <w:pPr>
              <w:pStyle w:val="TableParagraph"/>
              <w:spacing w:line="153" w:lineRule="exact"/>
              <w:ind w:left="269" w:right="95"/>
              <w:jc w:val="center"/>
              <w:rPr>
                <w:sz w:val="14"/>
              </w:rPr>
            </w:pPr>
            <w:r>
              <w:rPr>
                <w:sz w:val="14"/>
              </w:rPr>
              <w:t>Score A</w:t>
            </w:r>
          </w:p>
        </w:tc>
        <w:tc>
          <w:tcPr>
            <w:tcW w:w="678" w:type="dxa"/>
            <w:tcBorders>
              <w:bottom w:val="single" w:sz="4" w:space="0" w:color="000000"/>
            </w:tcBorders>
          </w:tcPr>
          <w:p>
            <w:pPr>
              <w:pStyle w:val="TableParagraph"/>
              <w:spacing w:line="153" w:lineRule="exact"/>
              <w:ind w:left="95" w:right="95"/>
              <w:jc w:val="center"/>
              <w:rPr>
                <w:sz w:val="14"/>
              </w:rPr>
            </w:pPr>
            <w:r>
              <w:rPr>
                <w:sz w:val="14"/>
              </w:rPr>
              <w:t>Score B</w:t>
            </w:r>
          </w:p>
        </w:tc>
        <w:tc>
          <w:tcPr>
            <w:tcW w:w="678" w:type="dxa"/>
            <w:tcBorders>
              <w:bottom w:val="single" w:sz="4" w:space="0" w:color="000000"/>
            </w:tcBorders>
          </w:tcPr>
          <w:p>
            <w:pPr>
              <w:pStyle w:val="TableParagraph"/>
              <w:spacing w:line="153" w:lineRule="exact"/>
              <w:ind w:left="95" w:right="95"/>
              <w:jc w:val="center"/>
              <w:rPr>
                <w:sz w:val="14"/>
              </w:rPr>
            </w:pPr>
            <w:r>
              <w:rPr>
                <w:sz w:val="14"/>
              </w:rPr>
              <w:t>Score C</w:t>
            </w:r>
          </w:p>
        </w:tc>
        <w:tc>
          <w:tcPr>
            <w:tcW w:w="685" w:type="dxa"/>
            <w:tcBorders>
              <w:bottom w:val="single" w:sz="4" w:space="0" w:color="000000"/>
            </w:tcBorders>
          </w:tcPr>
          <w:p>
            <w:pPr>
              <w:pStyle w:val="TableParagraph"/>
              <w:spacing w:line="153" w:lineRule="exact"/>
              <w:ind w:left="95" w:right="95"/>
              <w:jc w:val="center"/>
              <w:rPr>
                <w:sz w:val="14"/>
              </w:rPr>
            </w:pPr>
            <w:r>
              <w:rPr>
                <w:sz w:val="14"/>
              </w:rPr>
              <w:t>Score A</w:t>
            </w:r>
          </w:p>
        </w:tc>
        <w:tc>
          <w:tcPr>
            <w:tcW w:w="712" w:type="dxa"/>
            <w:tcBorders>
              <w:bottom w:val="single" w:sz="4" w:space="0" w:color="000000"/>
            </w:tcBorders>
          </w:tcPr>
          <w:p>
            <w:pPr>
              <w:pStyle w:val="TableParagraph"/>
              <w:spacing w:line="153" w:lineRule="exact"/>
              <w:ind w:left="95" w:right="95"/>
              <w:jc w:val="center"/>
              <w:rPr>
                <w:sz w:val="14"/>
              </w:rPr>
            </w:pPr>
            <w:r>
              <w:rPr>
                <w:sz w:val="14"/>
              </w:rPr>
              <w:t>Score  B</w:t>
            </w:r>
          </w:p>
        </w:tc>
        <w:tc>
          <w:tcPr>
            <w:tcW w:w="678" w:type="dxa"/>
            <w:tcBorders>
              <w:bottom w:val="single" w:sz="4" w:space="0" w:color="000000"/>
            </w:tcBorders>
          </w:tcPr>
          <w:p>
            <w:pPr>
              <w:pStyle w:val="TableParagraph"/>
              <w:spacing w:line="153" w:lineRule="exact"/>
              <w:ind w:left="95" w:right="95"/>
              <w:jc w:val="center"/>
              <w:rPr>
                <w:sz w:val="14"/>
              </w:rPr>
            </w:pPr>
            <w:r>
              <w:rPr>
                <w:sz w:val="14"/>
              </w:rPr>
              <w:t>Score C</w:t>
            </w:r>
          </w:p>
        </w:tc>
      </w:tr>
      <w:tr>
        <w:trPr>
          <w:trHeight w:val="217" w:hRule="exact"/>
        </w:trPr>
        <w:tc>
          <w:tcPr>
            <w:tcW w:w="841" w:type="dxa"/>
            <w:tcBorders>
              <w:top w:val="single" w:sz="4" w:space="0" w:color="000000"/>
            </w:tcBorders>
          </w:tcPr>
          <w:p>
            <w:pPr>
              <w:pStyle w:val="TableParagraph"/>
              <w:spacing w:before="4"/>
              <w:ind w:right="287"/>
              <w:jc w:val="right"/>
              <w:rPr>
                <w:sz w:val="18"/>
              </w:rPr>
            </w:pPr>
            <w:r>
              <w:rPr>
                <w:sz w:val="18"/>
              </w:rPr>
              <w:t>1</w:t>
            </w:r>
          </w:p>
        </w:tc>
        <w:tc>
          <w:tcPr>
            <w:tcW w:w="860" w:type="dxa"/>
            <w:tcBorders>
              <w:top w:val="single" w:sz="4" w:space="0" w:color="000000"/>
            </w:tcBorders>
          </w:tcPr>
          <w:p>
            <w:pPr>
              <w:pStyle w:val="TableParagraph"/>
              <w:spacing w:before="4"/>
              <w:ind w:left="173"/>
              <w:jc w:val="center"/>
              <w:rPr>
                <w:sz w:val="18"/>
              </w:rPr>
            </w:pPr>
            <w:r>
              <w:rPr>
                <w:sz w:val="18"/>
              </w:rPr>
              <w:t>3</w:t>
            </w:r>
          </w:p>
        </w:tc>
        <w:tc>
          <w:tcPr>
            <w:tcW w:w="678" w:type="dxa"/>
            <w:tcBorders>
              <w:top w:val="single" w:sz="4" w:space="0" w:color="000000"/>
            </w:tcBorders>
          </w:tcPr>
          <w:p>
            <w:pPr>
              <w:pStyle w:val="TableParagraph"/>
              <w:spacing w:before="4"/>
              <w:ind w:right="1"/>
              <w:jc w:val="center"/>
              <w:rPr>
                <w:sz w:val="18"/>
              </w:rPr>
            </w:pPr>
            <w:r>
              <w:rPr>
                <w:sz w:val="18"/>
              </w:rPr>
              <w:t>5</w:t>
            </w:r>
          </w:p>
        </w:tc>
        <w:tc>
          <w:tcPr>
            <w:tcW w:w="678" w:type="dxa"/>
            <w:tcBorders>
              <w:top w:val="single" w:sz="4" w:space="0" w:color="000000"/>
            </w:tcBorders>
          </w:tcPr>
          <w:p>
            <w:pPr>
              <w:pStyle w:val="TableParagraph"/>
              <w:spacing w:before="4"/>
              <w:jc w:val="center"/>
              <w:rPr>
                <w:sz w:val="18"/>
              </w:rPr>
            </w:pPr>
            <w:r>
              <w:rPr>
                <w:sz w:val="18"/>
              </w:rPr>
              <w:t>6</w:t>
            </w:r>
          </w:p>
        </w:tc>
        <w:tc>
          <w:tcPr>
            <w:tcW w:w="685" w:type="dxa"/>
            <w:tcBorders>
              <w:top w:val="single" w:sz="4" w:space="0" w:color="000000"/>
            </w:tcBorders>
          </w:tcPr>
          <w:p>
            <w:pPr>
              <w:pStyle w:val="TableParagraph"/>
              <w:spacing w:before="4"/>
              <w:jc w:val="center"/>
              <w:rPr>
                <w:sz w:val="18"/>
              </w:rPr>
            </w:pPr>
            <w:r>
              <w:rPr>
                <w:sz w:val="18"/>
              </w:rPr>
              <w:t>2</w:t>
            </w:r>
          </w:p>
        </w:tc>
        <w:tc>
          <w:tcPr>
            <w:tcW w:w="712" w:type="dxa"/>
            <w:tcBorders>
              <w:top w:val="single" w:sz="4" w:space="0" w:color="000000"/>
            </w:tcBorders>
          </w:tcPr>
          <w:p>
            <w:pPr>
              <w:pStyle w:val="TableParagraph"/>
              <w:spacing w:before="4"/>
              <w:ind w:right="1"/>
              <w:jc w:val="center"/>
              <w:rPr>
                <w:sz w:val="18"/>
              </w:rPr>
            </w:pPr>
            <w:r>
              <w:rPr>
                <w:sz w:val="18"/>
              </w:rPr>
              <w:t>5</w:t>
            </w:r>
          </w:p>
        </w:tc>
        <w:tc>
          <w:tcPr>
            <w:tcW w:w="678" w:type="dxa"/>
            <w:tcBorders>
              <w:top w:val="single" w:sz="4" w:space="0" w:color="000000"/>
            </w:tcBorders>
          </w:tcPr>
          <w:p>
            <w:pPr>
              <w:pStyle w:val="TableParagraph"/>
              <w:spacing w:before="4"/>
              <w:jc w:val="center"/>
              <w:rPr>
                <w:sz w:val="18"/>
              </w:rPr>
            </w:pPr>
            <w:r>
              <w:rPr>
                <w:sz w:val="18"/>
              </w:rPr>
              <w:t>5</w:t>
            </w:r>
          </w:p>
        </w:tc>
      </w:tr>
      <w:tr>
        <w:trPr>
          <w:trHeight w:val="207" w:hRule="exact"/>
        </w:trPr>
        <w:tc>
          <w:tcPr>
            <w:tcW w:w="841" w:type="dxa"/>
          </w:tcPr>
          <w:p>
            <w:pPr>
              <w:pStyle w:val="TableParagraph"/>
              <w:ind w:right="287"/>
              <w:jc w:val="right"/>
              <w:rPr>
                <w:sz w:val="18"/>
              </w:rPr>
            </w:pPr>
            <w:r>
              <w:rPr>
                <w:sz w:val="18"/>
              </w:rPr>
              <w:t>2</w:t>
            </w:r>
          </w:p>
        </w:tc>
        <w:tc>
          <w:tcPr>
            <w:tcW w:w="860" w:type="dxa"/>
          </w:tcPr>
          <w:p>
            <w:pPr>
              <w:pStyle w:val="TableParagraph"/>
              <w:ind w:left="173"/>
              <w:jc w:val="center"/>
              <w:rPr>
                <w:sz w:val="18"/>
              </w:rPr>
            </w:pPr>
            <w:r>
              <w:rPr>
                <w:sz w:val="18"/>
              </w:rPr>
              <w:t>2</w:t>
            </w:r>
          </w:p>
        </w:tc>
        <w:tc>
          <w:tcPr>
            <w:tcW w:w="678" w:type="dxa"/>
          </w:tcPr>
          <w:p>
            <w:pPr>
              <w:pStyle w:val="TableParagraph"/>
              <w:ind w:right="1"/>
              <w:jc w:val="center"/>
              <w:rPr>
                <w:sz w:val="18"/>
              </w:rPr>
            </w:pPr>
            <w:r>
              <w:rPr>
                <w:sz w:val="18"/>
              </w:rPr>
              <w:t>4</w:t>
            </w:r>
          </w:p>
        </w:tc>
        <w:tc>
          <w:tcPr>
            <w:tcW w:w="678" w:type="dxa"/>
          </w:tcPr>
          <w:p>
            <w:pPr>
              <w:pStyle w:val="TableParagraph"/>
              <w:jc w:val="center"/>
              <w:rPr>
                <w:sz w:val="18"/>
              </w:rPr>
            </w:pPr>
            <w:r>
              <w:rPr>
                <w:sz w:val="18"/>
              </w:rPr>
              <w:t>4</w:t>
            </w:r>
          </w:p>
        </w:tc>
        <w:tc>
          <w:tcPr>
            <w:tcW w:w="685" w:type="dxa"/>
          </w:tcPr>
          <w:p>
            <w:pPr>
              <w:pStyle w:val="TableParagraph"/>
              <w:jc w:val="center"/>
              <w:rPr>
                <w:sz w:val="18"/>
              </w:rPr>
            </w:pPr>
            <w:r>
              <w:rPr>
                <w:sz w:val="18"/>
              </w:rPr>
              <w:t>2</w:t>
            </w:r>
          </w:p>
        </w:tc>
        <w:tc>
          <w:tcPr>
            <w:tcW w:w="712" w:type="dxa"/>
          </w:tcPr>
          <w:p>
            <w:pPr>
              <w:pStyle w:val="TableParagraph"/>
              <w:ind w:right="1"/>
              <w:jc w:val="center"/>
              <w:rPr>
                <w:sz w:val="18"/>
              </w:rPr>
            </w:pPr>
            <w:r>
              <w:rPr>
                <w:sz w:val="18"/>
              </w:rPr>
              <w:t>4</w:t>
            </w:r>
          </w:p>
        </w:tc>
        <w:tc>
          <w:tcPr>
            <w:tcW w:w="678" w:type="dxa"/>
          </w:tcPr>
          <w:p>
            <w:pPr>
              <w:pStyle w:val="TableParagraph"/>
              <w:jc w:val="center"/>
              <w:rPr>
                <w:sz w:val="18"/>
              </w:rPr>
            </w:pPr>
            <w:r>
              <w:rPr>
                <w:sz w:val="18"/>
              </w:rPr>
              <w:t>4</w:t>
            </w:r>
          </w:p>
        </w:tc>
      </w:tr>
      <w:tr>
        <w:trPr>
          <w:trHeight w:val="207" w:hRule="exact"/>
        </w:trPr>
        <w:tc>
          <w:tcPr>
            <w:tcW w:w="841" w:type="dxa"/>
          </w:tcPr>
          <w:p>
            <w:pPr>
              <w:pStyle w:val="TableParagraph"/>
              <w:spacing w:line="207" w:lineRule="exact"/>
              <w:ind w:right="287"/>
              <w:jc w:val="right"/>
              <w:rPr>
                <w:sz w:val="18"/>
              </w:rPr>
            </w:pPr>
            <w:r>
              <w:rPr>
                <w:sz w:val="18"/>
              </w:rPr>
              <w:t>3</w:t>
            </w:r>
          </w:p>
        </w:tc>
        <w:tc>
          <w:tcPr>
            <w:tcW w:w="860" w:type="dxa"/>
          </w:tcPr>
          <w:p>
            <w:pPr>
              <w:pStyle w:val="TableParagraph"/>
              <w:spacing w:line="207" w:lineRule="exact"/>
              <w:ind w:left="173"/>
              <w:jc w:val="center"/>
              <w:rPr>
                <w:sz w:val="18"/>
              </w:rPr>
            </w:pPr>
            <w:r>
              <w:rPr>
                <w:sz w:val="18"/>
              </w:rPr>
              <w:t>3</w:t>
            </w:r>
          </w:p>
        </w:tc>
        <w:tc>
          <w:tcPr>
            <w:tcW w:w="678" w:type="dxa"/>
          </w:tcPr>
          <w:p>
            <w:pPr>
              <w:pStyle w:val="TableParagraph"/>
              <w:spacing w:line="207" w:lineRule="exact"/>
              <w:ind w:right="1"/>
              <w:jc w:val="center"/>
              <w:rPr>
                <w:sz w:val="18"/>
              </w:rPr>
            </w:pPr>
            <w:r>
              <w:rPr>
                <w:sz w:val="18"/>
              </w:rPr>
              <w:t>5</w:t>
            </w:r>
          </w:p>
        </w:tc>
        <w:tc>
          <w:tcPr>
            <w:tcW w:w="678" w:type="dxa"/>
          </w:tcPr>
          <w:p>
            <w:pPr>
              <w:pStyle w:val="TableParagraph"/>
              <w:spacing w:line="207" w:lineRule="exact"/>
              <w:jc w:val="center"/>
              <w:rPr>
                <w:sz w:val="18"/>
              </w:rPr>
            </w:pPr>
            <w:r>
              <w:rPr>
                <w:sz w:val="18"/>
              </w:rPr>
              <w:t>6</w:t>
            </w:r>
          </w:p>
        </w:tc>
        <w:tc>
          <w:tcPr>
            <w:tcW w:w="685" w:type="dxa"/>
          </w:tcPr>
          <w:p>
            <w:pPr>
              <w:pStyle w:val="TableParagraph"/>
              <w:spacing w:line="207" w:lineRule="exact"/>
              <w:jc w:val="center"/>
              <w:rPr>
                <w:sz w:val="18"/>
              </w:rPr>
            </w:pPr>
            <w:r>
              <w:rPr>
                <w:sz w:val="18"/>
              </w:rPr>
              <w:t>2</w:t>
            </w:r>
          </w:p>
        </w:tc>
        <w:tc>
          <w:tcPr>
            <w:tcW w:w="712" w:type="dxa"/>
          </w:tcPr>
          <w:p>
            <w:pPr>
              <w:pStyle w:val="TableParagraph"/>
              <w:spacing w:line="207" w:lineRule="exact"/>
              <w:ind w:right="1"/>
              <w:jc w:val="center"/>
              <w:rPr>
                <w:sz w:val="18"/>
              </w:rPr>
            </w:pPr>
            <w:r>
              <w:rPr>
                <w:sz w:val="18"/>
              </w:rPr>
              <w:t>5</w:t>
            </w:r>
          </w:p>
        </w:tc>
        <w:tc>
          <w:tcPr>
            <w:tcW w:w="678" w:type="dxa"/>
          </w:tcPr>
          <w:p>
            <w:pPr>
              <w:pStyle w:val="TableParagraph"/>
              <w:spacing w:line="207" w:lineRule="exact"/>
              <w:jc w:val="center"/>
              <w:rPr>
                <w:sz w:val="18"/>
              </w:rPr>
            </w:pPr>
            <w:r>
              <w:rPr>
                <w:sz w:val="18"/>
              </w:rPr>
              <w:t>5</w:t>
            </w:r>
          </w:p>
        </w:tc>
      </w:tr>
      <w:tr>
        <w:trPr>
          <w:trHeight w:val="207" w:hRule="exact"/>
        </w:trPr>
        <w:tc>
          <w:tcPr>
            <w:tcW w:w="841" w:type="dxa"/>
          </w:tcPr>
          <w:p>
            <w:pPr>
              <w:pStyle w:val="TableParagraph"/>
              <w:ind w:right="287"/>
              <w:jc w:val="right"/>
              <w:rPr>
                <w:sz w:val="18"/>
              </w:rPr>
            </w:pPr>
            <w:r>
              <w:rPr>
                <w:sz w:val="18"/>
              </w:rPr>
              <w:t>4</w:t>
            </w:r>
          </w:p>
        </w:tc>
        <w:tc>
          <w:tcPr>
            <w:tcW w:w="860" w:type="dxa"/>
          </w:tcPr>
          <w:p>
            <w:pPr>
              <w:pStyle w:val="TableParagraph"/>
              <w:ind w:left="173"/>
              <w:jc w:val="center"/>
              <w:rPr>
                <w:sz w:val="18"/>
              </w:rPr>
            </w:pPr>
            <w:r>
              <w:rPr>
                <w:sz w:val="18"/>
              </w:rPr>
              <w:t>3</w:t>
            </w:r>
          </w:p>
        </w:tc>
        <w:tc>
          <w:tcPr>
            <w:tcW w:w="678" w:type="dxa"/>
          </w:tcPr>
          <w:p>
            <w:pPr>
              <w:pStyle w:val="TableParagraph"/>
              <w:ind w:right="1"/>
              <w:jc w:val="center"/>
              <w:rPr>
                <w:sz w:val="18"/>
              </w:rPr>
            </w:pPr>
            <w:r>
              <w:rPr>
                <w:sz w:val="18"/>
              </w:rPr>
              <w:t>6</w:t>
            </w:r>
          </w:p>
        </w:tc>
        <w:tc>
          <w:tcPr>
            <w:tcW w:w="678" w:type="dxa"/>
          </w:tcPr>
          <w:p>
            <w:pPr>
              <w:pStyle w:val="TableParagraph"/>
              <w:jc w:val="center"/>
              <w:rPr>
                <w:sz w:val="18"/>
              </w:rPr>
            </w:pPr>
            <w:r>
              <w:rPr>
                <w:sz w:val="18"/>
              </w:rPr>
              <w:t>6</w:t>
            </w:r>
          </w:p>
        </w:tc>
        <w:tc>
          <w:tcPr>
            <w:tcW w:w="685" w:type="dxa"/>
          </w:tcPr>
          <w:p>
            <w:pPr>
              <w:pStyle w:val="TableParagraph"/>
              <w:jc w:val="center"/>
              <w:rPr>
                <w:sz w:val="18"/>
              </w:rPr>
            </w:pPr>
            <w:r>
              <w:rPr>
                <w:sz w:val="18"/>
              </w:rPr>
              <w:t>2</w:t>
            </w:r>
          </w:p>
        </w:tc>
        <w:tc>
          <w:tcPr>
            <w:tcW w:w="712" w:type="dxa"/>
          </w:tcPr>
          <w:p>
            <w:pPr>
              <w:pStyle w:val="TableParagraph"/>
              <w:ind w:right="1"/>
              <w:jc w:val="center"/>
              <w:rPr>
                <w:sz w:val="18"/>
              </w:rPr>
            </w:pPr>
            <w:r>
              <w:rPr>
                <w:sz w:val="18"/>
              </w:rPr>
              <w:t>6</w:t>
            </w:r>
          </w:p>
        </w:tc>
        <w:tc>
          <w:tcPr>
            <w:tcW w:w="678" w:type="dxa"/>
          </w:tcPr>
          <w:p>
            <w:pPr>
              <w:pStyle w:val="TableParagraph"/>
              <w:jc w:val="center"/>
              <w:rPr>
                <w:sz w:val="18"/>
              </w:rPr>
            </w:pPr>
            <w:r>
              <w:rPr>
                <w:sz w:val="18"/>
              </w:rPr>
              <w:t>6</w:t>
            </w:r>
          </w:p>
        </w:tc>
      </w:tr>
      <w:tr>
        <w:trPr>
          <w:trHeight w:val="207" w:hRule="exact"/>
        </w:trPr>
        <w:tc>
          <w:tcPr>
            <w:tcW w:w="841" w:type="dxa"/>
          </w:tcPr>
          <w:p>
            <w:pPr>
              <w:pStyle w:val="TableParagraph"/>
              <w:spacing w:line="207" w:lineRule="exact"/>
              <w:ind w:right="287"/>
              <w:jc w:val="right"/>
              <w:rPr>
                <w:sz w:val="18"/>
              </w:rPr>
            </w:pPr>
            <w:r>
              <w:rPr>
                <w:sz w:val="18"/>
              </w:rPr>
              <w:t>5</w:t>
            </w:r>
          </w:p>
        </w:tc>
        <w:tc>
          <w:tcPr>
            <w:tcW w:w="860" w:type="dxa"/>
          </w:tcPr>
          <w:p>
            <w:pPr>
              <w:pStyle w:val="TableParagraph"/>
              <w:spacing w:line="207" w:lineRule="exact"/>
              <w:ind w:left="173"/>
              <w:jc w:val="center"/>
              <w:rPr>
                <w:sz w:val="18"/>
              </w:rPr>
            </w:pPr>
            <w:r>
              <w:rPr>
                <w:sz w:val="18"/>
              </w:rPr>
              <w:t>3</w:t>
            </w:r>
          </w:p>
        </w:tc>
        <w:tc>
          <w:tcPr>
            <w:tcW w:w="678" w:type="dxa"/>
          </w:tcPr>
          <w:p>
            <w:pPr>
              <w:pStyle w:val="TableParagraph"/>
              <w:spacing w:line="207" w:lineRule="exact"/>
              <w:ind w:right="1"/>
              <w:jc w:val="center"/>
              <w:rPr>
                <w:sz w:val="18"/>
              </w:rPr>
            </w:pPr>
            <w:r>
              <w:rPr>
                <w:sz w:val="18"/>
              </w:rPr>
              <w:t>2</w:t>
            </w:r>
          </w:p>
        </w:tc>
        <w:tc>
          <w:tcPr>
            <w:tcW w:w="678" w:type="dxa"/>
          </w:tcPr>
          <w:p>
            <w:pPr>
              <w:pStyle w:val="TableParagraph"/>
              <w:spacing w:line="207" w:lineRule="exact"/>
              <w:jc w:val="center"/>
              <w:rPr>
                <w:sz w:val="18"/>
              </w:rPr>
            </w:pPr>
            <w:r>
              <w:rPr>
                <w:sz w:val="18"/>
              </w:rPr>
              <w:t>3</w:t>
            </w:r>
          </w:p>
        </w:tc>
        <w:tc>
          <w:tcPr>
            <w:tcW w:w="685" w:type="dxa"/>
          </w:tcPr>
          <w:p>
            <w:pPr>
              <w:pStyle w:val="TableParagraph"/>
              <w:spacing w:line="207" w:lineRule="exact"/>
              <w:jc w:val="center"/>
              <w:rPr>
                <w:sz w:val="18"/>
              </w:rPr>
            </w:pPr>
            <w:r>
              <w:rPr>
                <w:sz w:val="18"/>
              </w:rPr>
              <w:t>4</w:t>
            </w:r>
          </w:p>
        </w:tc>
        <w:tc>
          <w:tcPr>
            <w:tcW w:w="712" w:type="dxa"/>
          </w:tcPr>
          <w:p>
            <w:pPr>
              <w:pStyle w:val="TableParagraph"/>
              <w:spacing w:line="207" w:lineRule="exact"/>
              <w:ind w:right="1"/>
              <w:jc w:val="center"/>
              <w:rPr>
                <w:sz w:val="18"/>
              </w:rPr>
            </w:pPr>
            <w:r>
              <w:rPr>
                <w:sz w:val="18"/>
              </w:rPr>
              <w:t>2</w:t>
            </w:r>
          </w:p>
        </w:tc>
        <w:tc>
          <w:tcPr>
            <w:tcW w:w="678" w:type="dxa"/>
          </w:tcPr>
          <w:p>
            <w:pPr>
              <w:pStyle w:val="TableParagraph"/>
              <w:spacing w:line="207" w:lineRule="exact"/>
              <w:jc w:val="center"/>
              <w:rPr>
                <w:sz w:val="18"/>
              </w:rPr>
            </w:pPr>
            <w:r>
              <w:rPr>
                <w:sz w:val="18"/>
              </w:rPr>
              <w:t>4</w:t>
            </w:r>
          </w:p>
        </w:tc>
      </w:tr>
      <w:tr>
        <w:trPr>
          <w:trHeight w:val="207" w:hRule="exact"/>
        </w:trPr>
        <w:tc>
          <w:tcPr>
            <w:tcW w:w="841" w:type="dxa"/>
            <w:tcBorders>
              <w:bottom w:val="single" w:sz="4" w:space="0" w:color="000000"/>
            </w:tcBorders>
          </w:tcPr>
          <w:p>
            <w:pPr>
              <w:pStyle w:val="TableParagraph"/>
              <w:ind w:right="287"/>
              <w:jc w:val="right"/>
              <w:rPr>
                <w:sz w:val="18"/>
              </w:rPr>
            </w:pPr>
            <w:r>
              <w:rPr>
                <w:sz w:val="18"/>
              </w:rPr>
              <w:t>6</w:t>
            </w:r>
          </w:p>
        </w:tc>
        <w:tc>
          <w:tcPr>
            <w:tcW w:w="860" w:type="dxa"/>
            <w:tcBorders>
              <w:bottom w:val="single" w:sz="4" w:space="0" w:color="000000"/>
            </w:tcBorders>
          </w:tcPr>
          <w:p>
            <w:pPr>
              <w:pStyle w:val="TableParagraph"/>
              <w:ind w:left="173"/>
              <w:jc w:val="center"/>
              <w:rPr>
                <w:sz w:val="18"/>
              </w:rPr>
            </w:pPr>
            <w:r>
              <w:rPr>
                <w:sz w:val="18"/>
              </w:rPr>
              <w:t>3</w:t>
            </w:r>
          </w:p>
        </w:tc>
        <w:tc>
          <w:tcPr>
            <w:tcW w:w="678" w:type="dxa"/>
            <w:tcBorders>
              <w:bottom w:val="single" w:sz="4" w:space="0" w:color="000000"/>
            </w:tcBorders>
          </w:tcPr>
          <w:p>
            <w:pPr>
              <w:pStyle w:val="TableParagraph"/>
              <w:ind w:right="1"/>
              <w:jc w:val="center"/>
              <w:rPr>
                <w:sz w:val="18"/>
              </w:rPr>
            </w:pPr>
            <w:r>
              <w:rPr>
                <w:sz w:val="18"/>
              </w:rPr>
              <w:t>2</w:t>
            </w:r>
          </w:p>
        </w:tc>
        <w:tc>
          <w:tcPr>
            <w:tcW w:w="678" w:type="dxa"/>
            <w:tcBorders>
              <w:bottom w:val="single" w:sz="4" w:space="0" w:color="000000"/>
            </w:tcBorders>
          </w:tcPr>
          <w:p>
            <w:pPr>
              <w:pStyle w:val="TableParagraph"/>
              <w:jc w:val="center"/>
              <w:rPr>
                <w:sz w:val="18"/>
              </w:rPr>
            </w:pPr>
            <w:r>
              <w:rPr>
                <w:sz w:val="18"/>
              </w:rPr>
              <w:t>3</w:t>
            </w:r>
          </w:p>
        </w:tc>
        <w:tc>
          <w:tcPr>
            <w:tcW w:w="685" w:type="dxa"/>
            <w:tcBorders>
              <w:bottom w:val="single" w:sz="4" w:space="0" w:color="000000"/>
            </w:tcBorders>
          </w:tcPr>
          <w:p>
            <w:pPr>
              <w:pStyle w:val="TableParagraph"/>
              <w:jc w:val="center"/>
              <w:rPr>
                <w:sz w:val="18"/>
              </w:rPr>
            </w:pPr>
            <w:r>
              <w:rPr>
                <w:sz w:val="18"/>
              </w:rPr>
              <w:t>4</w:t>
            </w:r>
          </w:p>
        </w:tc>
        <w:tc>
          <w:tcPr>
            <w:tcW w:w="712" w:type="dxa"/>
            <w:tcBorders>
              <w:bottom w:val="single" w:sz="4" w:space="0" w:color="000000"/>
            </w:tcBorders>
          </w:tcPr>
          <w:p>
            <w:pPr>
              <w:pStyle w:val="TableParagraph"/>
              <w:ind w:right="1"/>
              <w:jc w:val="center"/>
              <w:rPr>
                <w:sz w:val="18"/>
              </w:rPr>
            </w:pPr>
            <w:r>
              <w:rPr>
                <w:sz w:val="18"/>
              </w:rPr>
              <w:t>2</w:t>
            </w:r>
          </w:p>
        </w:tc>
        <w:tc>
          <w:tcPr>
            <w:tcW w:w="678" w:type="dxa"/>
            <w:tcBorders>
              <w:bottom w:val="single" w:sz="4" w:space="0" w:color="000000"/>
            </w:tcBorders>
          </w:tcPr>
          <w:p>
            <w:pPr>
              <w:pStyle w:val="TableParagraph"/>
              <w:jc w:val="center"/>
              <w:rPr>
                <w:sz w:val="18"/>
              </w:rPr>
            </w:pPr>
            <w:r>
              <w:rPr>
                <w:sz w:val="18"/>
              </w:rPr>
              <w:t>4</w:t>
            </w:r>
          </w:p>
        </w:tc>
      </w:tr>
    </w:tbl>
    <w:p>
      <w:pPr>
        <w:spacing w:before="19"/>
        <w:ind w:left="162" w:right="0" w:firstLine="0"/>
        <w:jc w:val="center"/>
        <w:rPr>
          <w:sz w:val="18"/>
        </w:rPr>
      </w:pPr>
      <w:r>
        <w:rPr/>
        <w:pict>
          <v:line style="position:absolute;mso-position-horizontal-relative:page;mso-position-vertical-relative:paragraph;z-index:-868312" from="139.110001pt,-30.307663pt" to="139.110001pt,-19.987663pt" stroked="true" strokeweight="4.5pt" strokecolor="#bfbfbf">
            <w10:wrap type="none"/>
          </v:line>
        </w:pict>
      </w:r>
      <w:r>
        <w:rPr/>
        <w:pict>
          <v:line style="position:absolute;mso-position-horizontal-relative:page;mso-position-vertical-relative:paragraph;z-index:-868288" from="242.009995pt,-30.307663pt" to="242.009995pt,-19.987663pt" stroked="true" strokeweight="4.5pt" strokecolor="#bfbfbf">
            <w10:wrap type="none"/>
          </v:line>
        </w:pict>
      </w:r>
      <w:r>
        <w:rPr/>
        <w:pict>
          <v:line style="position:absolute;mso-position-horizontal-relative:page;mso-position-vertical-relative:paragraph;z-index:-868264" from="276.809998pt,-30.307663pt" to="276.809998pt,-19.987663pt" stroked="true" strokeweight="4.5pt" strokecolor="#bfbfbf">
            <w10:wrap type="none"/>
          </v:line>
        </w:pict>
      </w:r>
      <w:r>
        <w:rPr/>
        <w:pict>
          <v:shape style="position:absolute;margin-left:207.089996pt;margin-top:-19.987663pt;width:.1pt;height:20.7pt;mso-position-horizontal-relative:page;mso-position-vertical-relative:paragraph;z-index:-868240" coordorigin="4142,-400" coordsize="0,414" path="m4142,-400l4142,-192m4142,-192l4142,14e" filled="false" stroked="true" strokeweight="4.5pt" strokecolor="#bfbfbf">
            <v:path arrowok="t"/>
            <w10:wrap type="none"/>
          </v:shape>
        </w:pict>
      </w:r>
      <w:r>
        <w:rPr>
          <w:sz w:val="18"/>
        </w:rPr>
        <w:t>Results of the application of RULA method riskier positions.</w:t>
      </w:r>
    </w:p>
    <w:p>
      <w:pPr>
        <w:pStyle w:val="BodyText"/>
        <w:spacing w:before="3"/>
      </w:pPr>
    </w:p>
    <w:p>
      <w:pPr>
        <w:pStyle w:val="Heading4"/>
        <w:numPr>
          <w:ilvl w:val="1"/>
          <w:numId w:val="89"/>
        </w:numPr>
        <w:tabs>
          <w:tab w:pos="631" w:val="left" w:leader="none"/>
        </w:tabs>
        <w:spacing w:line="240" w:lineRule="auto" w:before="1" w:after="0"/>
        <w:ind w:left="630" w:right="0" w:hanging="360"/>
        <w:jc w:val="both"/>
      </w:pPr>
      <w:r>
        <w:rPr/>
        <w:t>Borg scale Assessment of</w:t>
      </w:r>
      <w:r>
        <w:rPr>
          <w:spacing w:val="-4"/>
        </w:rPr>
        <w:t> </w:t>
      </w:r>
      <w:r>
        <w:rPr/>
        <w:t>effort</w:t>
      </w:r>
    </w:p>
    <w:p>
      <w:pPr>
        <w:pStyle w:val="BodyText"/>
        <w:spacing w:before="9"/>
        <w:rPr>
          <w:b/>
          <w:sz w:val="19"/>
        </w:rPr>
      </w:pPr>
    </w:p>
    <w:p>
      <w:pPr>
        <w:pStyle w:val="BodyText"/>
        <w:spacing w:before="1"/>
        <w:ind w:left="270" w:right="106"/>
        <w:jc w:val="both"/>
      </w:pPr>
      <w:r>
        <w:rPr/>
        <w:t>Participants answered the Borg scale to determine their perception of the effort made with the right hand which manipulates the transducer.</w:t>
      </w:r>
    </w:p>
    <w:p>
      <w:pPr>
        <w:pStyle w:val="BodyText"/>
        <w:ind w:left="270" w:right="106" w:firstLine="360"/>
        <w:jc w:val="both"/>
      </w:pPr>
      <w:r>
        <w:rPr/>
        <w:t>As shown in Table 5, three of the six participants perceived a moderate effort, two participants a little harder and a participant as smooth.</w:t>
      </w:r>
    </w:p>
    <w:p>
      <w:pPr>
        <w:pStyle w:val="Heading4"/>
        <w:numPr>
          <w:ilvl w:val="1"/>
          <w:numId w:val="89"/>
        </w:numPr>
        <w:tabs>
          <w:tab w:pos="1064" w:val="left" w:leader="none"/>
        </w:tabs>
        <w:spacing w:line="240" w:lineRule="auto" w:before="1" w:after="0"/>
        <w:ind w:left="1064" w:right="0" w:hanging="360"/>
        <w:jc w:val="left"/>
      </w:pPr>
      <w:r>
        <w:rPr>
          <w:w w:val="100"/>
        </w:rPr>
        <w:br w:type="column"/>
      </w:r>
      <w:r>
        <w:rPr/>
        <w:t>Relation between the variables</w:t>
      </w:r>
      <w:r>
        <w:rPr>
          <w:spacing w:val="-12"/>
        </w:rPr>
        <w:t> </w:t>
      </w:r>
      <w:r>
        <w:rPr/>
        <w:t>analyzed</w:t>
      </w:r>
    </w:p>
    <w:p>
      <w:pPr>
        <w:pStyle w:val="BodyText"/>
        <w:spacing w:before="9"/>
        <w:rPr>
          <w:b/>
          <w:sz w:val="19"/>
        </w:rPr>
      </w:pPr>
    </w:p>
    <w:p>
      <w:pPr>
        <w:pStyle w:val="BodyText"/>
        <w:spacing w:before="1"/>
        <w:ind w:left="162" w:right="677"/>
        <w:jc w:val="both"/>
      </w:pPr>
      <w:r>
        <w:rPr/>
        <w:t>Analyzing the variables that were obtained proceeded to perform a description thereof and the possible relationship that might exist.</w:t>
      </w:r>
    </w:p>
    <w:p>
      <w:pPr>
        <w:pStyle w:val="BodyText"/>
        <w:ind w:left="162" w:right="677" w:firstLine="708"/>
        <w:jc w:val="both"/>
      </w:pPr>
      <w:r>
        <w:rPr/>
        <w:t>Table 6 shows the results of each of the instruments and methods listed above are samples.</w:t>
      </w:r>
    </w:p>
    <w:p>
      <w:pPr>
        <w:pStyle w:val="BodyText"/>
        <w:ind w:left="162" w:right="676" w:firstLine="708"/>
        <w:jc w:val="both"/>
      </w:pPr>
      <w:r>
        <w:rPr/>
        <w:t>The results of the Nordic questionnaire discomfort were present in most of the participants was neck, upper back, lower back, shoulders and wrist / hand, relating to the results of RULA score A high, which corresponds was obtained extremities above where 83.33% of participants obtained a high value, like the score C is the value that determines which more research is needed and a change is needed soon, this could be related to the symptoms present in the participants. In connection with the score A right which is which participants used the transducer although his effort was perceived as moderate by 50% of participants could be related also 50% of the participants presented discomfort wrist / hand that though the effort is perceived as relatively moderate, physically could be making more effort but the participant does not feel it as</w:t>
      </w:r>
      <w:r>
        <w:rPr>
          <w:spacing w:val="-21"/>
        </w:rPr>
        <w:t> </w:t>
      </w:r>
      <w:r>
        <w:rPr/>
        <w:t>well.</w:t>
      </w:r>
    </w:p>
    <w:p>
      <w:pPr>
        <w:pStyle w:val="BodyText"/>
        <w:spacing w:before="11"/>
        <w:rPr>
          <w:sz w:val="19"/>
        </w:rPr>
      </w:pPr>
    </w:p>
    <w:p>
      <w:pPr>
        <w:spacing w:before="0"/>
        <w:ind w:left="1012" w:right="0" w:firstLine="0"/>
        <w:jc w:val="left"/>
        <w:rPr>
          <w:i/>
          <w:sz w:val="20"/>
        </w:rPr>
      </w:pPr>
      <w:r>
        <w:rPr>
          <w:sz w:val="20"/>
        </w:rPr>
        <w:t>Table 6. </w:t>
      </w:r>
      <w:r>
        <w:rPr>
          <w:i/>
          <w:sz w:val="20"/>
        </w:rPr>
        <w:t>Variables with most frequently</w:t>
      </w:r>
    </w:p>
    <w:tbl>
      <w:tblPr>
        <w:tblW w:w="0" w:type="auto"/>
        <w:jc w:val="left"/>
        <w:tblInd w:w="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75"/>
        <w:gridCol w:w="1055"/>
        <w:gridCol w:w="1031"/>
        <w:gridCol w:w="736"/>
        <w:gridCol w:w="1150"/>
      </w:tblGrid>
      <w:tr>
        <w:trPr>
          <w:trHeight w:val="217" w:hRule="exact"/>
        </w:trPr>
        <w:tc>
          <w:tcPr>
            <w:tcW w:w="2230" w:type="dxa"/>
            <w:gridSpan w:val="2"/>
            <w:tcBorders>
              <w:left w:val="nil"/>
            </w:tcBorders>
          </w:tcPr>
          <w:p>
            <w:pPr>
              <w:pStyle w:val="TableParagraph"/>
              <w:spacing w:line="205" w:lineRule="exact"/>
              <w:ind w:left="851" w:right="834"/>
              <w:jc w:val="center"/>
              <w:rPr>
                <w:sz w:val="18"/>
              </w:rPr>
            </w:pPr>
            <w:r>
              <w:rPr>
                <w:sz w:val="18"/>
              </w:rPr>
              <w:t>Nordic</w:t>
            </w:r>
          </w:p>
        </w:tc>
        <w:tc>
          <w:tcPr>
            <w:tcW w:w="1768" w:type="dxa"/>
            <w:gridSpan w:val="2"/>
          </w:tcPr>
          <w:p>
            <w:pPr>
              <w:pStyle w:val="TableParagraph"/>
              <w:spacing w:line="205" w:lineRule="exact"/>
              <w:ind w:left="613" w:right="614"/>
              <w:jc w:val="center"/>
              <w:rPr>
                <w:sz w:val="18"/>
              </w:rPr>
            </w:pPr>
            <w:r>
              <w:rPr>
                <w:sz w:val="18"/>
              </w:rPr>
              <w:t>RULA</w:t>
            </w:r>
          </w:p>
        </w:tc>
        <w:tc>
          <w:tcPr>
            <w:tcW w:w="1150" w:type="dxa"/>
            <w:tcBorders>
              <w:right w:val="nil"/>
            </w:tcBorders>
          </w:tcPr>
          <w:p>
            <w:pPr>
              <w:pStyle w:val="TableParagraph"/>
              <w:spacing w:line="205" w:lineRule="exact"/>
              <w:ind w:left="369" w:right="374"/>
              <w:jc w:val="center"/>
              <w:rPr>
                <w:sz w:val="18"/>
              </w:rPr>
            </w:pPr>
            <w:r>
              <w:rPr>
                <w:sz w:val="18"/>
              </w:rPr>
              <w:t>Borg</w:t>
            </w:r>
          </w:p>
        </w:tc>
      </w:tr>
      <w:tr>
        <w:trPr>
          <w:trHeight w:val="424" w:hRule="exact"/>
        </w:trPr>
        <w:tc>
          <w:tcPr>
            <w:tcW w:w="1175" w:type="dxa"/>
            <w:tcBorders>
              <w:left w:val="nil"/>
              <w:right w:val="nil"/>
            </w:tcBorders>
          </w:tcPr>
          <w:p>
            <w:pPr>
              <w:pStyle w:val="TableParagraph"/>
              <w:ind w:left="122" w:right="213"/>
              <w:rPr>
                <w:sz w:val="18"/>
              </w:rPr>
            </w:pPr>
            <w:r>
              <w:rPr>
                <w:sz w:val="18"/>
              </w:rPr>
              <w:t>Discomfort zone:</w:t>
            </w:r>
          </w:p>
        </w:tc>
        <w:tc>
          <w:tcPr>
            <w:tcW w:w="1055" w:type="dxa"/>
            <w:tcBorders>
              <w:left w:val="nil"/>
            </w:tcBorders>
          </w:tcPr>
          <w:p>
            <w:pPr>
              <w:pStyle w:val="TableParagraph"/>
              <w:spacing w:line="205" w:lineRule="exact"/>
              <w:ind w:left="176" w:right="84"/>
              <w:jc w:val="center"/>
              <w:rPr>
                <w:sz w:val="18"/>
              </w:rPr>
            </w:pPr>
            <w:r>
              <w:rPr>
                <w:sz w:val="18"/>
              </w:rPr>
              <w:t>Frecuency</w:t>
            </w:r>
          </w:p>
        </w:tc>
        <w:tc>
          <w:tcPr>
            <w:tcW w:w="1031" w:type="dxa"/>
            <w:tcBorders>
              <w:right w:val="nil"/>
            </w:tcBorders>
          </w:tcPr>
          <w:p>
            <w:pPr>
              <w:pStyle w:val="TableParagraph"/>
              <w:ind w:left="103" w:right="319" w:hanging="1"/>
              <w:rPr>
                <w:sz w:val="18"/>
              </w:rPr>
            </w:pPr>
            <w:r>
              <w:rPr>
                <w:sz w:val="18"/>
              </w:rPr>
              <w:t>Score A right</w:t>
            </w:r>
          </w:p>
        </w:tc>
        <w:tc>
          <w:tcPr>
            <w:tcW w:w="736" w:type="dxa"/>
            <w:tcBorders>
              <w:left w:val="nil"/>
            </w:tcBorders>
          </w:tcPr>
          <w:p>
            <w:pPr>
              <w:pStyle w:val="TableParagraph"/>
              <w:ind w:left="112" w:right="189"/>
              <w:rPr>
                <w:sz w:val="18"/>
              </w:rPr>
            </w:pPr>
            <w:r>
              <w:rPr>
                <w:sz w:val="18"/>
              </w:rPr>
              <w:t>Score C</w:t>
            </w:r>
          </w:p>
        </w:tc>
        <w:tc>
          <w:tcPr>
            <w:tcW w:w="1150" w:type="dxa"/>
            <w:tcBorders>
              <w:right w:val="nil"/>
            </w:tcBorders>
          </w:tcPr>
          <w:p>
            <w:pPr>
              <w:pStyle w:val="TableParagraph"/>
              <w:spacing w:line="205" w:lineRule="exact"/>
              <w:ind w:left="103"/>
              <w:rPr>
                <w:sz w:val="18"/>
              </w:rPr>
            </w:pPr>
            <w:r>
              <w:rPr>
                <w:sz w:val="18"/>
              </w:rPr>
              <w:t>Effort</w:t>
            </w:r>
          </w:p>
        </w:tc>
      </w:tr>
      <w:tr>
        <w:trPr>
          <w:trHeight w:val="217" w:hRule="exact"/>
        </w:trPr>
        <w:tc>
          <w:tcPr>
            <w:tcW w:w="1175" w:type="dxa"/>
            <w:tcBorders>
              <w:left w:val="nil"/>
              <w:bottom w:val="nil"/>
              <w:right w:val="nil"/>
            </w:tcBorders>
          </w:tcPr>
          <w:p>
            <w:pPr>
              <w:pStyle w:val="TableParagraph"/>
              <w:spacing w:line="205" w:lineRule="exact"/>
              <w:ind w:left="122" w:right="213"/>
              <w:rPr>
                <w:sz w:val="18"/>
              </w:rPr>
            </w:pPr>
            <w:r>
              <w:rPr>
                <w:sz w:val="18"/>
              </w:rPr>
              <w:t>Neck</w:t>
            </w:r>
          </w:p>
        </w:tc>
        <w:tc>
          <w:tcPr>
            <w:tcW w:w="1055" w:type="dxa"/>
            <w:tcBorders>
              <w:left w:val="nil"/>
              <w:bottom w:val="nil"/>
            </w:tcBorders>
          </w:tcPr>
          <w:p>
            <w:pPr>
              <w:pStyle w:val="TableParagraph"/>
              <w:spacing w:line="205" w:lineRule="exact"/>
              <w:ind w:left="92"/>
              <w:jc w:val="center"/>
              <w:rPr>
                <w:sz w:val="18"/>
              </w:rPr>
            </w:pPr>
            <w:r>
              <w:rPr>
                <w:sz w:val="18"/>
              </w:rPr>
              <w:t>5</w:t>
            </w:r>
          </w:p>
        </w:tc>
        <w:tc>
          <w:tcPr>
            <w:tcW w:w="1031" w:type="dxa"/>
            <w:tcBorders>
              <w:bottom w:val="nil"/>
              <w:right w:val="nil"/>
            </w:tcBorders>
          </w:tcPr>
          <w:p>
            <w:pPr>
              <w:pStyle w:val="TableParagraph"/>
              <w:spacing w:line="205" w:lineRule="exact"/>
              <w:ind w:left="103"/>
              <w:rPr>
                <w:sz w:val="18"/>
              </w:rPr>
            </w:pPr>
            <w:r>
              <w:rPr>
                <w:sz w:val="18"/>
              </w:rPr>
              <w:t>3 (83.33%)</w:t>
            </w:r>
          </w:p>
        </w:tc>
        <w:tc>
          <w:tcPr>
            <w:tcW w:w="736" w:type="dxa"/>
            <w:tcBorders>
              <w:left w:val="nil"/>
              <w:bottom w:val="nil"/>
            </w:tcBorders>
          </w:tcPr>
          <w:p>
            <w:pPr>
              <w:pStyle w:val="TableParagraph"/>
              <w:spacing w:line="205" w:lineRule="exact"/>
              <w:ind w:left="112"/>
              <w:rPr>
                <w:sz w:val="18"/>
              </w:rPr>
            </w:pPr>
            <w:r>
              <w:rPr>
                <w:sz w:val="18"/>
              </w:rPr>
              <w:t>6</w:t>
            </w:r>
          </w:p>
        </w:tc>
        <w:tc>
          <w:tcPr>
            <w:tcW w:w="1150" w:type="dxa"/>
            <w:tcBorders>
              <w:bottom w:val="nil"/>
              <w:right w:val="nil"/>
            </w:tcBorders>
          </w:tcPr>
          <w:p>
            <w:pPr>
              <w:pStyle w:val="TableParagraph"/>
              <w:spacing w:line="205" w:lineRule="exact"/>
              <w:ind w:left="103"/>
              <w:rPr>
                <w:sz w:val="18"/>
              </w:rPr>
            </w:pPr>
            <w:r>
              <w:rPr>
                <w:sz w:val="18"/>
              </w:rPr>
              <w:t>Moderate</w:t>
            </w:r>
          </w:p>
        </w:tc>
      </w:tr>
      <w:tr>
        <w:trPr>
          <w:trHeight w:val="207" w:hRule="exact"/>
        </w:trPr>
        <w:tc>
          <w:tcPr>
            <w:tcW w:w="1175" w:type="dxa"/>
            <w:tcBorders>
              <w:top w:val="nil"/>
              <w:left w:val="nil"/>
              <w:bottom w:val="nil"/>
              <w:right w:val="nil"/>
            </w:tcBorders>
          </w:tcPr>
          <w:p>
            <w:pPr/>
          </w:p>
        </w:tc>
        <w:tc>
          <w:tcPr>
            <w:tcW w:w="1055" w:type="dxa"/>
            <w:tcBorders>
              <w:top w:val="nil"/>
              <w:left w:val="nil"/>
              <w:bottom w:val="nil"/>
            </w:tcBorders>
          </w:tcPr>
          <w:p>
            <w:pPr/>
          </w:p>
        </w:tc>
        <w:tc>
          <w:tcPr>
            <w:tcW w:w="1031" w:type="dxa"/>
            <w:tcBorders>
              <w:top w:val="nil"/>
              <w:bottom w:val="nil"/>
              <w:right w:val="nil"/>
            </w:tcBorders>
          </w:tcPr>
          <w:p>
            <w:pPr/>
          </w:p>
        </w:tc>
        <w:tc>
          <w:tcPr>
            <w:tcW w:w="736" w:type="dxa"/>
            <w:tcBorders>
              <w:top w:val="nil"/>
              <w:left w:val="nil"/>
              <w:bottom w:val="nil"/>
            </w:tcBorders>
          </w:tcPr>
          <w:p>
            <w:pPr>
              <w:pStyle w:val="TableParagraph"/>
              <w:spacing w:line="201" w:lineRule="exact"/>
              <w:ind w:left="112"/>
              <w:rPr>
                <w:sz w:val="18"/>
              </w:rPr>
            </w:pPr>
            <w:r>
              <w:rPr>
                <w:sz w:val="18"/>
              </w:rPr>
              <w:t>(50%)</w:t>
            </w:r>
          </w:p>
        </w:tc>
        <w:tc>
          <w:tcPr>
            <w:tcW w:w="1150" w:type="dxa"/>
            <w:tcBorders>
              <w:top w:val="nil"/>
              <w:bottom w:val="nil"/>
              <w:right w:val="nil"/>
            </w:tcBorders>
          </w:tcPr>
          <w:p>
            <w:pPr>
              <w:pStyle w:val="TableParagraph"/>
              <w:spacing w:line="201" w:lineRule="exact"/>
              <w:ind w:left="103"/>
              <w:rPr>
                <w:sz w:val="18"/>
              </w:rPr>
            </w:pPr>
            <w:r>
              <w:rPr>
                <w:sz w:val="18"/>
              </w:rPr>
              <w:t>(50%)</w:t>
            </w:r>
          </w:p>
        </w:tc>
      </w:tr>
      <w:tr>
        <w:trPr>
          <w:trHeight w:val="207" w:hRule="exact"/>
        </w:trPr>
        <w:tc>
          <w:tcPr>
            <w:tcW w:w="1175" w:type="dxa"/>
            <w:tcBorders>
              <w:top w:val="nil"/>
              <w:left w:val="nil"/>
              <w:bottom w:val="nil"/>
              <w:right w:val="nil"/>
            </w:tcBorders>
          </w:tcPr>
          <w:p>
            <w:pPr>
              <w:pStyle w:val="TableParagraph"/>
              <w:spacing w:line="200" w:lineRule="exact"/>
              <w:ind w:left="122" w:right="213"/>
              <w:rPr>
                <w:sz w:val="18"/>
              </w:rPr>
            </w:pPr>
            <w:r>
              <w:rPr>
                <w:sz w:val="18"/>
              </w:rPr>
              <w:t>High back</w:t>
            </w:r>
          </w:p>
        </w:tc>
        <w:tc>
          <w:tcPr>
            <w:tcW w:w="1055" w:type="dxa"/>
            <w:tcBorders>
              <w:top w:val="nil"/>
              <w:left w:val="nil"/>
              <w:bottom w:val="nil"/>
            </w:tcBorders>
          </w:tcPr>
          <w:p>
            <w:pPr>
              <w:pStyle w:val="TableParagraph"/>
              <w:spacing w:line="200" w:lineRule="exact"/>
              <w:ind w:left="93"/>
              <w:jc w:val="center"/>
              <w:rPr>
                <w:sz w:val="18"/>
              </w:rPr>
            </w:pPr>
            <w:r>
              <w:rPr>
                <w:sz w:val="18"/>
              </w:rPr>
              <w:t>4</w:t>
            </w:r>
          </w:p>
        </w:tc>
        <w:tc>
          <w:tcPr>
            <w:tcW w:w="1031" w:type="dxa"/>
            <w:tcBorders>
              <w:top w:val="nil"/>
              <w:bottom w:val="nil"/>
              <w:right w:val="nil"/>
            </w:tcBorders>
          </w:tcPr>
          <w:p>
            <w:pPr/>
          </w:p>
        </w:tc>
        <w:tc>
          <w:tcPr>
            <w:tcW w:w="736" w:type="dxa"/>
            <w:tcBorders>
              <w:top w:val="nil"/>
              <w:left w:val="nil"/>
              <w:bottom w:val="nil"/>
            </w:tcBorders>
          </w:tcPr>
          <w:p>
            <w:pPr/>
          </w:p>
        </w:tc>
        <w:tc>
          <w:tcPr>
            <w:tcW w:w="1150" w:type="dxa"/>
            <w:tcBorders>
              <w:top w:val="nil"/>
              <w:bottom w:val="nil"/>
              <w:right w:val="nil"/>
            </w:tcBorders>
          </w:tcPr>
          <w:p>
            <w:pPr/>
          </w:p>
        </w:tc>
      </w:tr>
      <w:tr>
        <w:trPr>
          <w:trHeight w:val="207" w:hRule="exact"/>
        </w:trPr>
        <w:tc>
          <w:tcPr>
            <w:tcW w:w="1175" w:type="dxa"/>
            <w:tcBorders>
              <w:top w:val="nil"/>
              <w:left w:val="nil"/>
              <w:bottom w:val="nil"/>
              <w:right w:val="nil"/>
            </w:tcBorders>
          </w:tcPr>
          <w:p>
            <w:pPr>
              <w:pStyle w:val="TableParagraph"/>
              <w:spacing w:line="201" w:lineRule="exact"/>
              <w:ind w:left="122"/>
              <w:rPr>
                <w:sz w:val="18"/>
              </w:rPr>
            </w:pPr>
            <w:r>
              <w:rPr>
                <w:sz w:val="18"/>
              </w:rPr>
              <w:t>Lower back</w:t>
            </w:r>
          </w:p>
        </w:tc>
        <w:tc>
          <w:tcPr>
            <w:tcW w:w="1055" w:type="dxa"/>
            <w:tcBorders>
              <w:top w:val="nil"/>
              <w:left w:val="nil"/>
              <w:bottom w:val="nil"/>
            </w:tcBorders>
          </w:tcPr>
          <w:p>
            <w:pPr>
              <w:pStyle w:val="TableParagraph"/>
              <w:spacing w:line="201" w:lineRule="exact"/>
              <w:ind w:left="94"/>
              <w:jc w:val="center"/>
              <w:rPr>
                <w:sz w:val="18"/>
              </w:rPr>
            </w:pPr>
            <w:r>
              <w:rPr>
                <w:sz w:val="18"/>
              </w:rPr>
              <w:t>4</w:t>
            </w:r>
          </w:p>
        </w:tc>
        <w:tc>
          <w:tcPr>
            <w:tcW w:w="1031" w:type="dxa"/>
            <w:tcBorders>
              <w:top w:val="nil"/>
              <w:bottom w:val="nil"/>
              <w:right w:val="nil"/>
            </w:tcBorders>
          </w:tcPr>
          <w:p>
            <w:pPr/>
          </w:p>
        </w:tc>
        <w:tc>
          <w:tcPr>
            <w:tcW w:w="736" w:type="dxa"/>
            <w:tcBorders>
              <w:top w:val="nil"/>
              <w:left w:val="nil"/>
              <w:bottom w:val="nil"/>
            </w:tcBorders>
          </w:tcPr>
          <w:p>
            <w:pPr/>
          </w:p>
        </w:tc>
        <w:tc>
          <w:tcPr>
            <w:tcW w:w="1150" w:type="dxa"/>
            <w:tcBorders>
              <w:top w:val="nil"/>
              <w:bottom w:val="nil"/>
              <w:right w:val="nil"/>
            </w:tcBorders>
          </w:tcPr>
          <w:p>
            <w:pPr/>
          </w:p>
        </w:tc>
      </w:tr>
      <w:tr>
        <w:trPr>
          <w:trHeight w:val="207" w:hRule="exact"/>
        </w:trPr>
        <w:tc>
          <w:tcPr>
            <w:tcW w:w="1175" w:type="dxa"/>
            <w:tcBorders>
              <w:top w:val="nil"/>
              <w:left w:val="nil"/>
              <w:bottom w:val="nil"/>
              <w:right w:val="nil"/>
            </w:tcBorders>
          </w:tcPr>
          <w:p>
            <w:pPr>
              <w:pStyle w:val="TableParagraph"/>
              <w:spacing w:line="200" w:lineRule="exact"/>
              <w:ind w:left="122" w:right="213"/>
              <w:rPr>
                <w:sz w:val="18"/>
              </w:rPr>
            </w:pPr>
            <w:r>
              <w:rPr>
                <w:sz w:val="18"/>
              </w:rPr>
              <w:t>Shoulders</w:t>
            </w:r>
          </w:p>
        </w:tc>
        <w:tc>
          <w:tcPr>
            <w:tcW w:w="1055" w:type="dxa"/>
            <w:tcBorders>
              <w:top w:val="nil"/>
              <w:left w:val="nil"/>
              <w:bottom w:val="nil"/>
            </w:tcBorders>
          </w:tcPr>
          <w:p>
            <w:pPr>
              <w:pStyle w:val="TableParagraph"/>
              <w:spacing w:line="200" w:lineRule="exact"/>
              <w:ind w:left="93"/>
              <w:jc w:val="center"/>
              <w:rPr>
                <w:sz w:val="18"/>
              </w:rPr>
            </w:pPr>
            <w:r>
              <w:rPr>
                <w:sz w:val="18"/>
              </w:rPr>
              <w:t>4</w:t>
            </w:r>
          </w:p>
        </w:tc>
        <w:tc>
          <w:tcPr>
            <w:tcW w:w="1031" w:type="dxa"/>
            <w:tcBorders>
              <w:top w:val="nil"/>
              <w:bottom w:val="nil"/>
              <w:right w:val="nil"/>
            </w:tcBorders>
          </w:tcPr>
          <w:p>
            <w:pPr/>
          </w:p>
        </w:tc>
        <w:tc>
          <w:tcPr>
            <w:tcW w:w="736" w:type="dxa"/>
            <w:tcBorders>
              <w:top w:val="nil"/>
              <w:left w:val="nil"/>
              <w:bottom w:val="nil"/>
            </w:tcBorders>
          </w:tcPr>
          <w:p>
            <w:pPr/>
          </w:p>
        </w:tc>
        <w:tc>
          <w:tcPr>
            <w:tcW w:w="1150" w:type="dxa"/>
            <w:tcBorders>
              <w:top w:val="nil"/>
              <w:bottom w:val="nil"/>
              <w:right w:val="nil"/>
            </w:tcBorders>
          </w:tcPr>
          <w:p>
            <w:pPr/>
          </w:p>
        </w:tc>
      </w:tr>
      <w:tr>
        <w:trPr>
          <w:trHeight w:val="208" w:hRule="exact"/>
        </w:trPr>
        <w:tc>
          <w:tcPr>
            <w:tcW w:w="1175" w:type="dxa"/>
            <w:tcBorders>
              <w:top w:val="nil"/>
              <w:left w:val="nil"/>
              <w:right w:val="nil"/>
            </w:tcBorders>
          </w:tcPr>
          <w:p>
            <w:pPr>
              <w:pStyle w:val="TableParagraph"/>
              <w:spacing w:line="201" w:lineRule="exact"/>
              <w:ind w:left="122" w:right="213"/>
              <w:rPr>
                <w:sz w:val="18"/>
              </w:rPr>
            </w:pPr>
            <w:r>
              <w:rPr>
                <w:sz w:val="18"/>
              </w:rPr>
              <w:t>Wrist/hand</w:t>
            </w:r>
          </w:p>
        </w:tc>
        <w:tc>
          <w:tcPr>
            <w:tcW w:w="1055" w:type="dxa"/>
            <w:tcBorders>
              <w:top w:val="nil"/>
              <w:left w:val="nil"/>
            </w:tcBorders>
          </w:tcPr>
          <w:p>
            <w:pPr>
              <w:pStyle w:val="TableParagraph"/>
              <w:spacing w:line="201" w:lineRule="exact"/>
              <w:ind w:left="93"/>
              <w:jc w:val="center"/>
              <w:rPr>
                <w:sz w:val="18"/>
              </w:rPr>
            </w:pPr>
            <w:r>
              <w:rPr>
                <w:sz w:val="18"/>
              </w:rPr>
              <w:t>3</w:t>
            </w:r>
          </w:p>
        </w:tc>
        <w:tc>
          <w:tcPr>
            <w:tcW w:w="1031" w:type="dxa"/>
            <w:tcBorders>
              <w:top w:val="nil"/>
              <w:right w:val="nil"/>
            </w:tcBorders>
          </w:tcPr>
          <w:p>
            <w:pPr/>
          </w:p>
        </w:tc>
        <w:tc>
          <w:tcPr>
            <w:tcW w:w="736" w:type="dxa"/>
            <w:tcBorders>
              <w:top w:val="nil"/>
              <w:left w:val="nil"/>
            </w:tcBorders>
          </w:tcPr>
          <w:p>
            <w:pPr/>
          </w:p>
        </w:tc>
        <w:tc>
          <w:tcPr>
            <w:tcW w:w="1150" w:type="dxa"/>
            <w:tcBorders>
              <w:top w:val="nil"/>
              <w:right w:val="nil"/>
            </w:tcBorders>
          </w:tcPr>
          <w:p>
            <w:pPr/>
          </w:p>
        </w:tc>
      </w:tr>
    </w:tbl>
    <w:p>
      <w:pPr>
        <w:pStyle w:val="BodyText"/>
        <w:ind w:left="162" w:right="677"/>
        <w:jc w:val="both"/>
      </w:pPr>
      <w:r>
        <w:rPr/>
        <w:t>Analysis of the combination of variables most often obtained.</w:t>
      </w:r>
    </w:p>
    <w:p>
      <w:pPr>
        <w:pStyle w:val="BodyText"/>
        <w:spacing w:before="3"/>
      </w:pPr>
    </w:p>
    <w:p>
      <w:pPr>
        <w:pStyle w:val="Heading4"/>
        <w:numPr>
          <w:ilvl w:val="1"/>
          <w:numId w:val="89"/>
        </w:numPr>
        <w:tabs>
          <w:tab w:pos="523" w:val="left" w:leader="none"/>
        </w:tabs>
        <w:spacing w:line="240" w:lineRule="auto" w:before="0" w:after="0"/>
        <w:ind w:left="522" w:right="0" w:hanging="360"/>
        <w:jc w:val="both"/>
      </w:pPr>
      <w:r>
        <w:rPr/>
        <w:t>Conclusions</w:t>
      </w:r>
    </w:p>
    <w:p>
      <w:pPr>
        <w:pStyle w:val="BodyText"/>
        <w:spacing w:before="8"/>
        <w:rPr>
          <w:b/>
          <w:sz w:val="19"/>
        </w:rPr>
      </w:pPr>
    </w:p>
    <w:p>
      <w:pPr>
        <w:pStyle w:val="BodyText"/>
        <w:ind w:left="162" w:right="678"/>
        <w:jc w:val="both"/>
      </w:pPr>
      <w:r>
        <w:rPr/>
        <w:t>We found that most participants had some musculoskeletal discomfort and the score was mostly overlooked in the analysis of the riskiest to do their job positions.</w:t>
      </w:r>
    </w:p>
    <w:p>
      <w:pPr>
        <w:spacing w:after="0"/>
        <w:jc w:val="both"/>
        <w:sectPr>
          <w:type w:val="continuous"/>
          <w:pgSz w:w="12240" w:h="15840"/>
          <w:pgMar w:top="1500" w:bottom="280" w:left="580" w:right="220"/>
          <w:cols w:num="2" w:equalWidth="0">
            <w:col w:w="5296" w:space="437"/>
            <w:col w:w="5707"/>
          </w:cols>
        </w:sectPr>
      </w:pPr>
    </w:p>
    <w:p>
      <w:pPr>
        <w:pStyle w:val="BodyText"/>
        <w:spacing w:before="4"/>
        <w:rPr>
          <w:sz w:val="11"/>
        </w:rPr>
      </w:pPr>
    </w:p>
    <w:p>
      <w:pPr>
        <w:pStyle w:val="BodyText"/>
        <w:spacing w:before="74"/>
        <w:ind w:left="270" w:right="6250" w:firstLine="708"/>
        <w:jc w:val="both"/>
      </w:pPr>
      <w:r>
        <w:rPr/>
        <w:t>Although being a pilot study the number of participants was too small to make inferences about the relationship of symptoms with the results of RULA and the Borg scale, it can be concluded that there are ergonomic risk factors in echography workstation, which over time can cause more discomfort or impact on workers in this</w:t>
      </w:r>
      <w:r>
        <w:rPr>
          <w:spacing w:val="-10"/>
        </w:rPr>
        <w:t> </w:t>
      </w:r>
      <w:r>
        <w:rPr/>
        <w:t>area.</w:t>
      </w:r>
    </w:p>
    <w:p>
      <w:pPr>
        <w:pStyle w:val="BodyText"/>
        <w:ind w:left="270" w:right="6250" w:firstLine="708"/>
        <w:jc w:val="both"/>
      </w:pPr>
      <w:r>
        <w:rPr/>
        <w:t>It is important and necessary to implement ergonomics in the field of echography. An important factor that was found is the design of furniture and equipment used in this area which generates the adoption of poor posture in workers. Repetition was also a factor in the  activity performed by doctors and residents in echography.</w:t>
      </w:r>
    </w:p>
    <w:p>
      <w:pPr>
        <w:pStyle w:val="BodyText"/>
        <w:spacing w:before="2"/>
      </w:pPr>
    </w:p>
    <w:p>
      <w:pPr>
        <w:pStyle w:val="Heading4"/>
        <w:numPr>
          <w:ilvl w:val="1"/>
          <w:numId w:val="89"/>
        </w:numPr>
        <w:tabs>
          <w:tab w:pos="571" w:val="left" w:leader="none"/>
        </w:tabs>
        <w:spacing w:line="240" w:lineRule="auto" w:before="0" w:after="0"/>
        <w:ind w:left="570" w:right="0" w:hanging="300"/>
        <w:jc w:val="both"/>
      </w:pPr>
      <w:r>
        <w:rPr/>
        <w:t>References</w:t>
      </w:r>
    </w:p>
    <w:p>
      <w:pPr>
        <w:pStyle w:val="BodyText"/>
        <w:spacing w:before="8"/>
        <w:rPr>
          <w:b/>
          <w:sz w:val="19"/>
        </w:rPr>
      </w:pPr>
    </w:p>
    <w:p>
      <w:pPr>
        <w:pStyle w:val="BodyText"/>
        <w:ind w:left="270" w:right="6250"/>
        <w:jc w:val="both"/>
      </w:pPr>
      <w:r>
        <w:rPr/>
        <w:t>[1] Pike, I., Russo, A., Berkowitz, J., Baker, J., Lessoway, V.. The prevalence of musculoskeletal disorders and related work and personal factors among diagnostic medical sonographers. Journal   of    diagnostic    medical sonography, 13(5), p.p. 219-227.</w:t>
      </w:r>
      <w:r>
        <w:rPr>
          <w:spacing w:val="-19"/>
        </w:rPr>
        <w:t> </w:t>
      </w:r>
      <w:r>
        <w:rPr/>
        <w:t>(1997).</w:t>
      </w:r>
    </w:p>
    <w:p>
      <w:pPr>
        <w:pStyle w:val="BodyText"/>
        <w:spacing w:before="11"/>
        <w:rPr>
          <w:sz w:val="19"/>
        </w:rPr>
      </w:pPr>
    </w:p>
    <w:p>
      <w:pPr>
        <w:pStyle w:val="BodyText"/>
        <w:ind w:left="270" w:right="6251"/>
        <w:jc w:val="both"/>
      </w:pPr>
      <w:r>
        <w:rPr/>
        <w:t>[2] NIOSH. Preventing work-related musculoskeletal disorders in sonography. USA:Workplace solutions. (2006).</w:t>
      </w:r>
    </w:p>
    <w:p>
      <w:pPr>
        <w:pStyle w:val="BodyText"/>
        <w:spacing w:before="11"/>
        <w:rPr>
          <w:sz w:val="19"/>
        </w:rPr>
      </w:pPr>
    </w:p>
    <w:p>
      <w:pPr>
        <w:spacing w:before="0"/>
        <w:ind w:left="270" w:right="6251" w:firstLine="0"/>
        <w:jc w:val="both"/>
        <w:rPr>
          <w:sz w:val="18"/>
        </w:rPr>
      </w:pPr>
      <w:r>
        <w:rPr>
          <w:sz w:val="20"/>
        </w:rPr>
        <w:t>[3] </w:t>
      </w:r>
      <w:r>
        <w:rPr>
          <w:sz w:val="18"/>
        </w:rPr>
        <w:t>Atamney, Corlett. “RULA: A Survey Method for the investigation of Work- Related Upper Limb Disorders. Applied Ergonomics. Vol. No. 2, pp. 91-99, 1993.</w:t>
      </w:r>
    </w:p>
    <w:p>
      <w:pPr>
        <w:spacing w:after="0"/>
        <w:jc w:val="both"/>
        <w:rPr>
          <w:sz w:val="18"/>
        </w:rPr>
        <w:sectPr>
          <w:pgSz w:w="12240" w:h="15840"/>
          <w:pgMar w:header="545" w:footer="852" w:top="1060" w:bottom="1040" w:left="580" w:right="220"/>
        </w:sectPr>
      </w:pPr>
    </w:p>
    <w:p>
      <w:pPr>
        <w:pStyle w:val="BodyText"/>
        <w:spacing w:before="4"/>
        <w:rPr>
          <w:sz w:val="11"/>
        </w:rPr>
      </w:pPr>
    </w:p>
    <w:p>
      <w:pPr>
        <w:spacing w:after="0"/>
        <w:rPr>
          <w:sz w:val="11"/>
        </w:rPr>
        <w:sectPr>
          <w:pgSz w:w="12240" w:h="15840"/>
          <w:pgMar w:header="545" w:footer="852" w:top="1060" w:bottom="1040" w:left="560" w:right="220"/>
        </w:sectPr>
      </w:pPr>
    </w:p>
    <w:p>
      <w:pPr>
        <w:pStyle w:val="Heading1"/>
        <w:spacing w:before="77"/>
        <w:ind w:left="290" w:right="498"/>
        <w:jc w:val="left"/>
      </w:pPr>
      <w:r>
        <w:rPr/>
        <w:t>Ergonomic risk factors present at the workstation of laparoscopic surgeons. Case Study.</w:t>
      </w:r>
    </w:p>
    <w:p>
      <w:pPr>
        <w:pStyle w:val="BodyText"/>
        <w:spacing w:before="11"/>
        <w:rPr>
          <w:b/>
          <w:sz w:val="19"/>
        </w:rPr>
      </w:pPr>
    </w:p>
    <w:p>
      <w:pPr>
        <w:spacing w:line="230" w:lineRule="exact" w:before="0"/>
        <w:ind w:left="290" w:right="18" w:firstLine="0"/>
        <w:jc w:val="both"/>
        <w:rPr>
          <w:i/>
          <w:sz w:val="20"/>
        </w:rPr>
      </w:pPr>
      <w:r>
        <w:rPr>
          <w:i/>
          <w:sz w:val="20"/>
        </w:rPr>
        <w:t>Lilian del Carmen Jurado Vázquez</w:t>
      </w:r>
      <w:r>
        <w:rPr>
          <w:i/>
          <w:position w:val="9"/>
          <w:sz w:val="13"/>
        </w:rPr>
        <w:t>a</w:t>
      </w:r>
      <w:r>
        <w:rPr>
          <w:i/>
          <w:sz w:val="20"/>
        </w:rPr>
        <w:t>, Elvia Luz González </w:t>
      </w:r>
      <w:r>
        <w:rPr>
          <w:i/>
          <w:sz w:val="20"/>
        </w:rPr>
        <w:t>Muñoz</w:t>
      </w:r>
      <w:r>
        <w:rPr>
          <w:i/>
          <w:position w:val="9"/>
          <w:sz w:val="13"/>
        </w:rPr>
        <w:t>b</w:t>
      </w:r>
      <w:r>
        <w:rPr>
          <w:i/>
          <w:sz w:val="20"/>
        </w:rPr>
        <w:t>.</w:t>
      </w:r>
    </w:p>
    <w:p>
      <w:pPr>
        <w:pStyle w:val="BodyText"/>
        <w:spacing w:before="4"/>
        <w:rPr>
          <w:i/>
          <w:sz w:val="18"/>
        </w:rPr>
      </w:pPr>
    </w:p>
    <w:p>
      <w:pPr>
        <w:spacing w:before="1"/>
        <w:ind w:left="290" w:right="0" w:firstLine="0"/>
        <w:jc w:val="both"/>
        <w:rPr>
          <w:sz w:val="16"/>
        </w:rPr>
      </w:pPr>
      <w:r>
        <w:rPr>
          <w:position w:val="7"/>
          <w:sz w:val="10"/>
        </w:rPr>
        <w:t>a </w:t>
      </w:r>
      <w:r>
        <w:rPr>
          <w:sz w:val="16"/>
        </w:rPr>
        <w:t>Universidad de Guadalajara, C.P. 44100, </w:t>
      </w:r>
      <w:hyperlink r:id="rId368">
        <w:r>
          <w:rPr>
            <w:sz w:val="16"/>
          </w:rPr>
          <w:t>lft.jurado@gmail.com,</w:t>
        </w:r>
      </w:hyperlink>
      <w:r>
        <w:rPr>
          <w:sz w:val="16"/>
        </w:rPr>
        <w:t> Guadalajara, Jalisco, México.</w:t>
      </w:r>
    </w:p>
    <w:p>
      <w:pPr>
        <w:spacing w:line="184" w:lineRule="exact" w:before="1"/>
        <w:ind w:left="290" w:right="0" w:firstLine="39"/>
        <w:jc w:val="both"/>
        <w:rPr>
          <w:sz w:val="16"/>
        </w:rPr>
      </w:pPr>
      <w:r>
        <w:rPr>
          <w:position w:val="7"/>
          <w:sz w:val="10"/>
        </w:rPr>
        <w:t>b </w:t>
      </w:r>
      <w:r>
        <w:rPr>
          <w:sz w:val="16"/>
        </w:rPr>
        <w:t>Universidad de Guadalajara, C.P. 44100, </w:t>
      </w:r>
      <w:hyperlink r:id="rId367">
        <w:r>
          <w:rPr>
            <w:sz w:val="16"/>
          </w:rPr>
          <w:t>elvia.gonzalez@cuaad.udg.mx,</w:t>
        </w:r>
      </w:hyperlink>
      <w:r>
        <w:rPr>
          <w:sz w:val="16"/>
        </w:rPr>
        <w:t> Guadalajara, Jalisco, México.</w:t>
      </w:r>
    </w:p>
    <w:p>
      <w:pPr>
        <w:pStyle w:val="BodyText"/>
        <w:spacing w:before="2"/>
      </w:pPr>
    </w:p>
    <w:p>
      <w:pPr>
        <w:pStyle w:val="Heading4"/>
        <w:ind w:left="290"/>
      </w:pPr>
      <w:r>
        <w:rPr/>
        <w:pict>
          <v:line style="position:absolute;mso-position-horizontal-relative:page;mso-position-vertical-relative:paragraph;z-index:10624" from="41.040001pt,13.205398pt" to="289.860001pt,13.205398pt" stroked="true" strokeweight="1.5pt" strokecolor="#000000">
            <w10:wrap type="none"/>
          </v:line>
        </w:pict>
      </w:r>
      <w:r>
        <w:rPr/>
        <w:t>Resumen</w:t>
      </w:r>
    </w:p>
    <w:p>
      <w:pPr>
        <w:pStyle w:val="BodyText"/>
        <w:spacing w:before="46"/>
        <w:ind w:left="290" w:right="15"/>
        <w:jc w:val="both"/>
      </w:pPr>
      <w:r>
        <w:rPr/>
        <w:t>El uso cada vez más extenso de la cirugía laparoscópica en diversas disciplinas médicas ha puesto en evidencia lesiones específicas relacionadas con el uso de los instrumentos y las técnicas especiales que se han desarrollado para estos procedimientos. El trabajo de los cirujanos puede implicar altos niveles de carga mental y física al tener que realizar movimientos muy precisos, en un espacio reducido y con instrumentos que realizan la actividad de manera indirecta con el paciente. Aumentando la interacción entre diversos factores de riesgo ergonómico durante las tareas principales en un procedimiento laparoscópico, aumenta la demanda en los miembros superiores por lo que existe mayor riesgo de presentar trastornos musculo-esqueléticos. Este es un estudio de caso de un cirujano que realiza procedimientos laparoscópicos, se recogen datos de la videograbación de un procedimiento en tiempo real en el que se identifican los principales factores de riesgo ergonómico en relación a postura, movimientos repetitivos y su disposición con la estación de trabajo, a su vez, por medio de cuestionarios se obtuvo información sobre los síntomas que presenta el cirujano. El objetivo de este estudio es describir los factores de riesgo ergonómico y los principales síntomas musculo- esqueléticos presentes en un caso de cirujano que realiza procedimientos laparoscópicos.</w:t>
      </w:r>
    </w:p>
    <w:p>
      <w:pPr>
        <w:pStyle w:val="BodyText"/>
      </w:pPr>
    </w:p>
    <w:p>
      <w:pPr>
        <w:pStyle w:val="BodyText"/>
        <w:spacing w:before="1"/>
        <w:ind w:left="290" w:right="17"/>
        <w:jc w:val="both"/>
      </w:pPr>
      <w:r>
        <w:rPr>
          <w:b/>
        </w:rPr>
        <w:t>Palabras clave</w:t>
      </w:r>
      <w:r>
        <w:rPr/>
        <w:t>: Riesgo ergonómico, laparoscopia, síntomas musculo esqueléticos</w:t>
      </w:r>
    </w:p>
    <w:p>
      <w:pPr>
        <w:pStyle w:val="BodyText"/>
        <w:spacing w:before="4"/>
      </w:pPr>
    </w:p>
    <w:p>
      <w:pPr>
        <w:pStyle w:val="Heading5"/>
        <w:ind w:left="290"/>
        <w:rPr>
          <w:i/>
        </w:rPr>
      </w:pPr>
      <w:r>
        <w:rPr/>
        <w:pict>
          <v:line style="position:absolute;mso-position-horizontal-relative:page;mso-position-vertical-relative:paragraph;z-index:10648" from="41.040001pt,13.206832pt" to="289.860001pt,13.206832pt" stroked="true" strokeweight="1.5pt" strokecolor="#000000">
            <w10:wrap type="none"/>
          </v:line>
        </w:pict>
      </w:r>
      <w:r>
        <w:rPr>
          <w:i/>
        </w:rPr>
        <w:t>Abstract</w:t>
      </w:r>
    </w:p>
    <w:p>
      <w:pPr>
        <w:spacing w:before="46"/>
        <w:ind w:left="290" w:right="16" w:firstLine="0"/>
        <w:jc w:val="both"/>
        <w:rPr>
          <w:i/>
          <w:sz w:val="20"/>
        </w:rPr>
      </w:pPr>
      <w:r>
        <w:rPr/>
        <w:pict>
          <v:line style="position:absolute;mso-position-horizontal-relative:page;mso-position-vertical-relative:paragraph;z-index:10672" from="33.900002pt,103.255943pt" to="33.900002pt,114.715943pt" stroked="true" strokeweight=".72pt" strokecolor="#000000">
            <w10:wrap type="none"/>
          </v:line>
        </w:pict>
      </w:r>
      <w:r>
        <w:rPr>
          <w:i/>
          <w:sz w:val="20"/>
        </w:rPr>
        <w:t>The increasingly widespread of laparoscopic surgery in </w:t>
      </w:r>
      <w:r>
        <w:rPr>
          <w:i/>
          <w:sz w:val="20"/>
        </w:rPr>
        <w:t>various medical disciplines use has highlighted specific injuries related to the use of special tools and techniques  that have been developed for these procedures. The work of surgeons may involve high levels of mental and  physical load, because have to make very precise movements in a small space and with instruments that perform the activity indirectly with the patient. Increasing interaction between different ergonomic risk factors for major tasks in a laparoscopic procedure increases the demand on upper limbs so there is increased risk of musculoskeletal disorders. This is a case study of a surgeon performing laparoscopic procedures, data videotaping of a procedure are shown in real time when major ergonomic risk factors are identified in relation to posture, repetitive movements and their arrangement   with   the   station   work,   in   turn,   </w:t>
      </w:r>
      <w:r>
        <w:rPr>
          <w:i/>
          <w:spacing w:val="3"/>
          <w:sz w:val="20"/>
        </w:rPr>
        <w:t> </w:t>
      </w:r>
      <w:r>
        <w:rPr>
          <w:i/>
          <w:sz w:val="20"/>
        </w:rPr>
        <w:t>through</w:t>
      </w:r>
    </w:p>
    <w:p>
      <w:pPr>
        <w:spacing w:before="74"/>
        <w:ind w:left="290" w:right="677" w:firstLine="0"/>
        <w:jc w:val="both"/>
        <w:rPr>
          <w:i/>
          <w:sz w:val="20"/>
        </w:rPr>
      </w:pPr>
      <w:r>
        <w:rPr/>
        <w:br w:type="column"/>
      </w:r>
      <w:r>
        <w:rPr>
          <w:i/>
          <w:sz w:val="20"/>
        </w:rPr>
        <w:t>questionnaires about symptoms presented by the surgeon </w:t>
      </w:r>
      <w:r>
        <w:rPr>
          <w:i/>
          <w:sz w:val="20"/>
        </w:rPr>
        <w:t>was obtained. The objective of this study is to describe the ergonomic risk factors and major musculoskeletal symptoms present in a case of the surgeon performing laparoscopic procedures.</w:t>
      </w:r>
    </w:p>
    <w:p>
      <w:pPr>
        <w:spacing w:before="0"/>
        <w:ind w:left="290" w:right="677" w:firstLine="0"/>
        <w:jc w:val="both"/>
        <w:rPr>
          <w:i/>
          <w:sz w:val="20"/>
        </w:rPr>
      </w:pPr>
      <w:r>
        <w:rPr>
          <w:b/>
          <w:i/>
          <w:sz w:val="20"/>
        </w:rPr>
        <w:t>Keywords</w:t>
      </w:r>
      <w:r>
        <w:rPr>
          <w:i/>
          <w:sz w:val="20"/>
        </w:rPr>
        <w:t>— Ergonomic risk, laparoscopy, musculoskeletal </w:t>
      </w:r>
      <w:r>
        <w:rPr>
          <w:i/>
          <w:sz w:val="20"/>
        </w:rPr>
        <w:t>symptoms.</w:t>
      </w:r>
    </w:p>
    <w:p>
      <w:pPr>
        <w:pStyle w:val="BodyText"/>
        <w:spacing w:before="11"/>
        <w:rPr>
          <w:i/>
          <w:sz w:val="19"/>
        </w:rPr>
      </w:pPr>
    </w:p>
    <w:p>
      <w:pPr>
        <w:pStyle w:val="BodyText"/>
        <w:ind w:left="290"/>
        <w:jc w:val="both"/>
      </w:pPr>
      <w:r>
        <w:rPr/>
        <w:t>Relevance to Ergonomics:</w:t>
      </w:r>
    </w:p>
    <w:p>
      <w:pPr>
        <w:pStyle w:val="BodyText"/>
        <w:ind w:left="290" w:right="677"/>
        <w:jc w:val="both"/>
      </w:pPr>
      <w:r>
        <w:rPr/>
        <w:t>The ergonomic integration into the environment of the operating room for laparoscopic procedures is essential to improve efficiency, safety and comfort for the operating unit. Understanding ergonomics with all interacting factors can assimilate better the origin and behavior of symptoms in order to integrally involved and reduce physical fatigue and improve working</w:t>
      </w:r>
      <w:r>
        <w:rPr>
          <w:spacing w:val="-14"/>
        </w:rPr>
        <w:t> </w:t>
      </w:r>
      <w:r>
        <w:rPr/>
        <w:t>conditions.</w:t>
      </w:r>
    </w:p>
    <w:p>
      <w:pPr>
        <w:pStyle w:val="BodyText"/>
        <w:spacing w:before="3"/>
      </w:pPr>
    </w:p>
    <w:p>
      <w:pPr>
        <w:pStyle w:val="Heading4"/>
        <w:numPr>
          <w:ilvl w:val="0"/>
          <w:numId w:val="91"/>
        </w:numPr>
        <w:tabs>
          <w:tab w:pos="493" w:val="left" w:leader="none"/>
        </w:tabs>
        <w:spacing w:line="240" w:lineRule="auto" w:before="0" w:after="0"/>
        <w:ind w:left="492" w:right="0" w:hanging="202"/>
        <w:jc w:val="both"/>
      </w:pPr>
      <w:r>
        <w:rPr/>
        <w:t>INTRODUCTION.</w:t>
      </w:r>
    </w:p>
    <w:p>
      <w:pPr>
        <w:pStyle w:val="BodyText"/>
        <w:spacing w:before="8"/>
        <w:rPr>
          <w:b/>
          <w:sz w:val="19"/>
        </w:rPr>
      </w:pPr>
    </w:p>
    <w:p>
      <w:pPr>
        <w:pStyle w:val="BodyText"/>
        <w:ind w:left="290" w:right="676"/>
        <w:jc w:val="both"/>
      </w:pPr>
      <w:r>
        <w:rPr/>
        <w:t>At present the laparoscopic procedure or also known as minimally invasive intervention is increasingly used as intended to cause the least damage to the tissues of the abdomen of the patient, encouraging faster recovery, which does not happen with conventional open surgery . With the advancement of technology and technique for this type of procedure has become more complex, the length of proceedings has been extended and, correspondingly, so too have levels of mental stress and physical taxes surgical  team.</w:t>
      </w:r>
      <w:r>
        <w:rPr>
          <w:spacing w:val="-4"/>
        </w:rPr>
        <w:t> </w:t>
      </w:r>
      <w:r>
        <w:rPr/>
        <w:t>[1]</w:t>
      </w:r>
    </w:p>
    <w:p>
      <w:pPr>
        <w:pStyle w:val="BodyText"/>
        <w:ind w:left="290" w:right="676"/>
        <w:jc w:val="both"/>
      </w:pPr>
      <w:r>
        <w:rPr/>
        <w:t>The main problem of the surgeon during the procedure is  the loss of tactile feedback due to indirect intervention, ie there is a substitution of hands and direct eye contact to the body of patients with specific instruments and monitors. To carry out the procedure the surgeon must one have a high degree of precision and coordination to manipulate the instrumental intracorporeally so you can get into uncomfortable positions and adding other ergonomic risk factors such as poor layout of the workstation and repetitive motions can come to favor the onset of symptoms skeletal muscle. [2] The combination of elements such as static postures, the design of the grips of the instrument, and monitor the position of the pedals to control use of diathermy systems lead to a reduction in the performance and accuracy of surgeons , while increasing muscle fatigue. [3]</w:t>
      </w:r>
    </w:p>
    <w:p>
      <w:pPr>
        <w:pStyle w:val="BodyText"/>
        <w:ind w:left="290" w:right="677"/>
        <w:jc w:val="both"/>
      </w:pPr>
      <w:r>
        <w:rPr/>
        <w:t>Laparoscopy, surgical skill being performed by human dexterity and coordination, can certainly be assessed by methods of occupational ergonomics.</w:t>
      </w:r>
    </w:p>
    <w:p>
      <w:pPr>
        <w:pStyle w:val="BodyText"/>
        <w:ind w:left="290" w:right="677"/>
        <w:jc w:val="both"/>
      </w:pPr>
      <w:r>
        <w:rPr/>
        <w:t>The aim of describing the ergonomic risk factors and major musculoskeletal symptoms present in a case of surgeon performing laparoscopic procedures.</w:t>
      </w:r>
    </w:p>
    <w:p>
      <w:pPr>
        <w:pStyle w:val="BodyText"/>
        <w:spacing w:before="2"/>
      </w:pPr>
    </w:p>
    <w:p>
      <w:pPr>
        <w:pStyle w:val="Heading4"/>
        <w:numPr>
          <w:ilvl w:val="0"/>
          <w:numId w:val="91"/>
        </w:numPr>
        <w:tabs>
          <w:tab w:pos="491" w:val="left" w:leader="none"/>
        </w:tabs>
        <w:spacing w:line="240" w:lineRule="auto" w:before="0" w:after="0"/>
        <w:ind w:left="490" w:right="0" w:hanging="200"/>
        <w:jc w:val="both"/>
      </w:pPr>
      <w:r>
        <w:rPr/>
        <w:t>METHODOLOGY</w:t>
      </w:r>
    </w:p>
    <w:p>
      <w:pPr>
        <w:pStyle w:val="BodyText"/>
        <w:rPr>
          <w:b/>
        </w:rPr>
      </w:pPr>
    </w:p>
    <w:p>
      <w:pPr>
        <w:pStyle w:val="ListParagraph"/>
        <w:numPr>
          <w:ilvl w:val="1"/>
          <w:numId w:val="91"/>
        </w:numPr>
        <w:tabs>
          <w:tab w:pos="592" w:val="left" w:leader="none"/>
        </w:tabs>
        <w:spacing w:line="240" w:lineRule="auto" w:before="1" w:after="0"/>
        <w:ind w:left="591" w:right="0" w:hanging="301"/>
        <w:jc w:val="both"/>
        <w:rPr>
          <w:b/>
          <w:sz w:val="20"/>
        </w:rPr>
      </w:pPr>
      <w:r>
        <w:rPr>
          <w:b/>
          <w:sz w:val="20"/>
        </w:rPr>
        <w:t>Participant.</w:t>
      </w:r>
    </w:p>
    <w:p>
      <w:pPr>
        <w:pStyle w:val="BodyText"/>
        <w:spacing w:before="8"/>
        <w:rPr>
          <w:b/>
          <w:sz w:val="19"/>
        </w:rPr>
      </w:pPr>
    </w:p>
    <w:p>
      <w:pPr>
        <w:pStyle w:val="BodyText"/>
        <w:ind w:left="290" w:right="678"/>
        <w:jc w:val="both"/>
      </w:pPr>
      <w:r>
        <w:rPr/>
        <w:t>Doctor specializing in general surgery and laparoscopic surgery practice.</w:t>
      </w:r>
    </w:p>
    <w:p>
      <w:pPr>
        <w:spacing w:after="0"/>
        <w:jc w:val="both"/>
        <w:sectPr>
          <w:type w:val="continuous"/>
          <w:pgSz w:w="12240" w:h="15840"/>
          <w:pgMar w:top="1500" w:bottom="280" w:left="560" w:right="220"/>
          <w:cols w:num="2" w:equalWidth="0">
            <w:col w:w="5228" w:space="397"/>
            <w:col w:w="5835"/>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pPr>
    </w:p>
    <w:p>
      <w:pPr>
        <w:pStyle w:val="BodyText"/>
        <w:spacing w:before="7"/>
        <w:rPr>
          <w:sz w:val="26"/>
        </w:rPr>
      </w:pPr>
    </w:p>
    <w:p>
      <w:pPr>
        <w:pStyle w:val="Heading4"/>
        <w:numPr>
          <w:ilvl w:val="1"/>
          <w:numId w:val="91"/>
        </w:numPr>
        <w:tabs>
          <w:tab w:pos="572" w:val="left" w:leader="none"/>
        </w:tabs>
        <w:spacing w:line="240" w:lineRule="auto" w:before="0" w:after="0"/>
        <w:ind w:left="571" w:right="0" w:hanging="301"/>
        <w:jc w:val="both"/>
      </w:pPr>
      <w:r>
        <w:rPr/>
        <w:t>Scene.</w:t>
      </w:r>
    </w:p>
    <w:p>
      <w:pPr>
        <w:pStyle w:val="BodyText"/>
        <w:spacing w:before="8"/>
        <w:rPr>
          <w:b/>
          <w:sz w:val="19"/>
        </w:rPr>
      </w:pPr>
    </w:p>
    <w:p>
      <w:pPr>
        <w:pStyle w:val="BodyText"/>
        <w:ind w:left="270" w:right="1"/>
        <w:jc w:val="both"/>
      </w:pPr>
      <w:r>
        <w:rPr/>
        <w:t>A laparoscopic procedure takes place in an operating room, this is an enclosed space completely independent from the rest of the hospital. The operating room permits individualized care for invasive intervention by a multidisciplinary team. The ecosystem of the operating room is kept at a minimum level of pollution so only has the necessary equipment and furniture for performing surgery.</w:t>
      </w:r>
    </w:p>
    <w:p>
      <w:pPr>
        <w:pStyle w:val="BodyText"/>
        <w:spacing w:before="2"/>
      </w:pPr>
    </w:p>
    <w:p>
      <w:pPr>
        <w:pStyle w:val="Heading4"/>
        <w:numPr>
          <w:ilvl w:val="1"/>
          <w:numId w:val="91"/>
        </w:numPr>
        <w:tabs>
          <w:tab w:pos="571" w:val="left" w:leader="none"/>
        </w:tabs>
        <w:spacing w:line="240" w:lineRule="auto" w:before="0" w:after="0"/>
        <w:ind w:left="570" w:right="0" w:hanging="300"/>
        <w:jc w:val="both"/>
      </w:pPr>
      <w:r>
        <w:rPr/>
        <w:t>Data</w:t>
      </w:r>
      <w:r>
        <w:rPr>
          <w:spacing w:val="-5"/>
        </w:rPr>
        <w:t> </w:t>
      </w:r>
      <w:r>
        <w:rPr/>
        <w:t>collection</w:t>
      </w:r>
    </w:p>
    <w:p>
      <w:pPr>
        <w:pStyle w:val="BodyText"/>
        <w:spacing w:before="9"/>
        <w:rPr>
          <w:b/>
          <w:sz w:val="19"/>
        </w:rPr>
      </w:pPr>
    </w:p>
    <w:p>
      <w:pPr>
        <w:pStyle w:val="ListParagraph"/>
        <w:numPr>
          <w:ilvl w:val="2"/>
          <w:numId w:val="91"/>
        </w:numPr>
        <w:tabs>
          <w:tab w:pos="722" w:val="left" w:leader="none"/>
        </w:tabs>
        <w:spacing w:line="240" w:lineRule="auto" w:before="1" w:after="0"/>
        <w:ind w:left="270" w:right="0" w:firstLine="0"/>
        <w:jc w:val="both"/>
        <w:rPr>
          <w:sz w:val="20"/>
        </w:rPr>
      </w:pPr>
      <w:r>
        <w:rPr>
          <w:sz w:val="20"/>
          <w:u w:val="single"/>
        </w:rPr>
        <w:t>Rapid Entire Body</w:t>
      </w:r>
      <w:r>
        <w:rPr>
          <w:spacing w:val="-14"/>
          <w:sz w:val="20"/>
          <w:u w:val="single"/>
        </w:rPr>
        <w:t> </w:t>
      </w:r>
      <w:r>
        <w:rPr>
          <w:sz w:val="20"/>
          <w:u w:val="single"/>
        </w:rPr>
        <w:t>Assessment.</w:t>
      </w:r>
    </w:p>
    <w:p>
      <w:pPr>
        <w:pStyle w:val="BodyText"/>
        <w:spacing w:before="11"/>
        <w:rPr>
          <w:sz w:val="19"/>
        </w:rPr>
      </w:pPr>
    </w:p>
    <w:p>
      <w:pPr>
        <w:pStyle w:val="BodyText"/>
        <w:ind w:left="270"/>
        <w:jc w:val="both"/>
      </w:pPr>
      <w:r>
        <w:rPr/>
        <w:t>For short REBA is a method developed by Dr. Sue Hignett and Dr. Lynn McAtamney, ergonomists from the University of Nottingham in England and published by the journal Applied Ergonomics in 2000.</w:t>
      </w:r>
    </w:p>
    <w:p>
      <w:pPr>
        <w:pStyle w:val="BodyText"/>
        <w:ind w:left="270" w:right="1"/>
        <w:jc w:val="both"/>
      </w:pPr>
      <w:r>
        <w:rPr/>
        <w:t>This method is used by the postural guidance for estimating the risks of muscle skeletal disorders related to body work.</w:t>
      </w:r>
    </w:p>
    <w:p>
      <w:pPr>
        <w:pStyle w:val="BodyText"/>
        <w:ind w:left="270"/>
        <w:jc w:val="both"/>
      </w:pPr>
      <w:r>
        <w:rPr/>
        <w:t>This method allows the surgeon's assessment standing with both feet as much as one foot to use the pedal for diathermy system also allows assessment of segments of the body including head, body, legs, shoulder, elbow , hand and wrist while performing the task.</w:t>
      </w:r>
    </w:p>
    <w:p>
      <w:pPr>
        <w:pStyle w:val="BodyText"/>
        <w:spacing w:before="11"/>
        <w:rPr>
          <w:sz w:val="19"/>
        </w:rPr>
      </w:pPr>
    </w:p>
    <w:p>
      <w:pPr>
        <w:pStyle w:val="ListParagraph"/>
        <w:numPr>
          <w:ilvl w:val="2"/>
          <w:numId w:val="91"/>
        </w:numPr>
        <w:tabs>
          <w:tab w:pos="722" w:val="left" w:leader="none"/>
        </w:tabs>
        <w:spacing w:line="240" w:lineRule="auto" w:before="0" w:after="0"/>
        <w:ind w:left="721" w:right="0" w:hanging="451"/>
        <w:jc w:val="both"/>
        <w:rPr>
          <w:sz w:val="20"/>
        </w:rPr>
      </w:pPr>
      <w:r>
        <w:rPr>
          <w:sz w:val="20"/>
        </w:rPr>
        <w:t>Job Strain</w:t>
      </w:r>
      <w:r>
        <w:rPr>
          <w:spacing w:val="-8"/>
          <w:sz w:val="20"/>
        </w:rPr>
        <w:t> </w:t>
      </w:r>
      <w:r>
        <w:rPr>
          <w:sz w:val="20"/>
        </w:rPr>
        <w:t>Index.</w:t>
      </w:r>
    </w:p>
    <w:p>
      <w:pPr>
        <w:pStyle w:val="BodyText"/>
        <w:spacing w:before="11"/>
        <w:rPr>
          <w:sz w:val="19"/>
        </w:rPr>
      </w:pPr>
    </w:p>
    <w:p>
      <w:pPr>
        <w:pStyle w:val="BodyText"/>
        <w:ind w:left="270"/>
        <w:jc w:val="both"/>
      </w:pPr>
      <w:r>
        <w:rPr/>
        <w:t>For its acronym is known as JSI and was developed by Dr.  JS Moore and Dr. A. Garg. Posted in American Industrial Hygiene Association Journal in 1995. This method allows surgeons to assess who are exposed to cumulative trauma disorders develop in the distal part of the upper limbs due to repetitive movements. Based on the criterion of Silverstein et al. (1987) has considered repetitive movements when a cycle defined work lasts 30 or less and / or duty cycles undefined more than 50% of the task involves a similar pattern of movement, which was performed per minute duty cycle for the</w:t>
      </w:r>
      <w:r>
        <w:rPr>
          <w:spacing w:val="-4"/>
        </w:rPr>
        <w:t> </w:t>
      </w:r>
      <w:r>
        <w:rPr/>
        <w:t>fetch.</w:t>
      </w:r>
    </w:p>
    <w:p>
      <w:pPr>
        <w:pStyle w:val="BodyText"/>
        <w:spacing w:before="11"/>
        <w:rPr>
          <w:sz w:val="19"/>
        </w:rPr>
      </w:pPr>
    </w:p>
    <w:p>
      <w:pPr>
        <w:pStyle w:val="ListParagraph"/>
        <w:numPr>
          <w:ilvl w:val="2"/>
          <w:numId w:val="91"/>
        </w:numPr>
        <w:tabs>
          <w:tab w:pos="748" w:val="left" w:leader="none"/>
        </w:tabs>
        <w:spacing w:line="240" w:lineRule="auto" w:before="0" w:after="0"/>
        <w:ind w:left="270" w:right="1" w:firstLine="0"/>
        <w:jc w:val="both"/>
        <w:rPr>
          <w:sz w:val="20"/>
        </w:rPr>
      </w:pPr>
      <w:r>
        <w:rPr>
          <w:sz w:val="20"/>
        </w:rPr>
        <w:t>Check list for interaction with the workstation by the surgeon.</w:t>
      </w:r>
    </w:p>
    <w:p>
      <w:pPr>
        <w:pStyle w:val="BodyText"/>
        <w:spacing w:before="11"/>
        <w:rPr>
          <w:sz w:val="19"/>
        </w:rPr>
      </w:pPr>
    </w:p>
    <w:p>
      <w:pPr>
        <w:pStyle w:val="BodyText"/>
        <w:ind w:left="270" w:right="1"/>
        <w:jc w:val="both"/>
      </w:pPr>
      <w:r>
        <w:rPr/>
        <w:t>The design of the workplace determines the content of this one, skills and training requires the surgeon to do the work and the degree of specialization appropriate for it.</w:t>
      </w:r>
    </w:p>
    <w:p>
      <w:pPr>
        <w:pStyle w:val="BodyText"/>
        <w:ind w:left="270"/>
        <w:jc w:val="both"/>
      </w:pPr>
      <w:r>
        <w:rPr/>
        <w:t>Having the same terms to perform surgeries with particular computer the way in which the surgeon interacts with its environment in order to determine the efficiency of use of  the environment is</w:t>
      </w:r>
      <w:r>
        <w:rPr>
          <w:spacing w:val="-16"/>
        </w:rPr>
        <w:t> </w:t>
      </w:r>
      <w:r>
        <w:rPr/>
        <w:t>evaluated.</w:t>
      </w:r>
    </w:p>
    <w:p>
      <w:pPr>
        <w:pStyle w:val="BodyText"/>
        <w:spacing w:before="11"/>
        <w:rPr>
          <w:sz w:val="19"/>
        </w:rPr>
      </w:pPr>
    </w:p>
    <w:p>
      <w:pPr>
        <w:pStyle w:val="ListParagraph"/>
        <w:numPr>
          <w:ilvl w:val="2"/>
          <w:numId w:val="91"/>
        </w:numPr>
        <w:tabs>
          <w:tab w:pos="743" w:val="left" w:leader="none"/>
        </w:tabs>
        <w:spacing w:line="240" w:lineRule="auto" w:before="0" w:after="0"/>
        <w:ind w:left="270" w:right="0" w:firstLine="0"/>
        <w:jc w:val="both"/>
        <w:rPr>
          <w:sz w:val="20"/>
        </w:rPr>
      </w:pPr>
      <w:r>
        <w:rPr>
          <w:sz w:val="20"/>
          <w:u w:val="single"/>
        </w:rPr>
        <w:t>Standardized Nordic Questionnaire for the analysis of </w:t>
      </w:r>
      <w:r>
        <w:rPr>
          <w:sz w:val="20"/>
          <w:u w:val="single"/>
        </w:rPr>
        <w:t>musculoskeletal</w:t>
      </w:r>
      <w:r>
        <w:rPr>
          <w:spacing w:val="-13"/>
          <w:sz w:val="20"/>
          <w:u w:val="single"/>
        </w:rPr>
        <w:t> </w:t>
      </w:r>
      <w:r>
        <w:rPr>
          <w:sz w:val="20"/>
          <w:u w:val="single"/>
        </w:rPr>
        <w:t>symptoms.</w:t>
      </w:r>
    </w:p>
    <w:p>
      <w:pPr>
        <w:pStyle w:val="BodyText"/>
        <w:spacing w:before="11"/>
        <w:rPr>
          <w:sz w:val="19"/>
        </w:rPr>
      </w:pPr>
    </w:p>
    <w:p>
      <w:pPr>
        <w:pStyle w:val="BodyText"/>
        <w:ind w:left="270" w:right="1"/>
        <w:jc w:val="both"/>
      </w:pPr>
      <w:r>
        <w:rPr/>
        <w:t>Developed by Ilkka Kuorinka in the Department of Physiology   of   the   Institute   of   Occupational   Health  in</w:t>
      </w:r>
    </w:p>
    <w:p>
      <w:pPr>
        <w:pStyle w:val="BodyText"/>
        <w:spacing w:before="74"/>
        <w:ind w:left="378" w:right="678"/>
        <w:jc w:val="both"/>
      </w:pPr>
      <w:r>
        <w:rPr/>
        <w:br w:type="column"/>
      </w:r>
      <w:r>
        <w:rPr/>
        <w:t>Helsinki, Finland, published in the journal Applied Ergonomics in 1987.</w:t>
      </w:r>
    </w:p>
    <w:p>
      <w:pPr>
        <w:pStyle w:val="BodyText"/>
        <w:ind w:left="378" w:right="677"/>
        <w:jc w:val="both"/>
      </w:pPr>
      <w:r>
        <w:rPr/>
        <w:t>The questionnaire was applied for the detection and analysis of musculoskeletal symptoms for reliability in the context of ergonomic studies to detect the existence of initial symptoms, which have not yet been established disease or have not led to consult a doctor.</w:t>
      </w:r>
    </w:p>
    <w:p>
      <w:pPr>
        <w:pStyle w:val="BodyText"/>
        <w:spacing w:before="11"/>
        <w:rPr>
          <w:sz w:val="19"/>
        </w:rPr>
      </w:pPr>
    </w:p>
    <w:p>
      <w:pPr>
        <w:pStyle w:val="ListParagraph"/>
        <w:numPr>
          <w:ilvl w:val="2"/>
          <w:numId w:val="91"/>
        </w:numPr>
        <w:tabs>
          <w:tab w:pos="829" w:val="left" w:leader="none"/>
        </w:tabs>
        <w:spacing w:line="240" w:lineRule="auto" w:before="0" w:after="0"/>
        <w:ind w:left="828" w:right="0" w:hanging="450"/>
        <w:jc w:val="both"/>
        <w:rPr>
          <w:sz w:val="20"/>
        </w:rPr>
      </w:pPr>
      <w:r>
        <w:rPr>
          <w:sz w:val="20"/>
          <w:u w:val="single"/>
        </w:rPr>
        <w:t>Occupational</w:t>
      </w:r>
      <w:r>
        <w:rPr>
          <w:spacing w:val="-6"/>
          <w:sz w:val="20"/>
          <w:u w:val="single"/>
        </w:rPr>
        <w:t> </w:t>
      </w:r>
      <w:r>
        <w:rPr>
          <w:sz w:val="20"/>
          <w:u w:val="single"/>
        </w:rPr>
        <w:t>background</w:t>
      </w:r>
    </w:p>
    <w:p>
      <w:pPr>
        <w:pStyle w:val="BodyText"/>
        <w:spacing w:before="11"/>
        <w:rPr>
          <w:sz w:val="19"/>
        </w:rPr>
      </w:pPr>
    </w:p>
    <w:p>
      <w:pPr>
        <w:pStyle w:val="BodyText"/>
        <w:ind w:left="378" w:right="679"/>
        <w:jc w:val="both"/>
      </w:pPr>
      <w:r>
        <w:rPr/>
        <w:t>It is important to consider the background of the surgeon to exclude any possibility of discomfort are presented by a traumatic or cumulative origin for other activities.</w:t>
      </w:r>
    </w:p>
    <w:p>
      <w:pPr>
        <w:pStyle w:val="BodyText"/>
        <w:ind w:left="378" w:right="676"/>
        <w:jc w:val="both"/>
      </w:pPr>
      <w:r>
        <w:rPr/>
        <w:t>The questionnaire consists of sections that include: individual general information, occupational information, current working conditions, work done previously, additional work time and individual health</w:t>
      </w:r>
      <w:r>
        <w:rPr>
          <w:spacing w:val="-28"/>
        </w:rPr>
        <w:t> </w:t>
      </w:r>
      <w:r>
        <w:rPr/>
        <w:t>conditions.</w:t>
      </w:r>
    </w:p>
    <w:p>
      <w:pPr>
        <w:pStyle w:val="BodyText"/>
        <w:spacing w:before="2"/>
      </w:pPr>
    </w:p>
    <w:p>
      <w:pPr>
        <w:pStyle w:val="Heading4"/>
        <w:numPr>
          <w:ilvl w:val="0"/>
          <w:numId w:val="91"/>
        </w:numPr>
        <w:tabs>
          <w:tab w:pos="580" w:val="left" w:leader="none"/>
        </w:tabs>
        <w:spacing w:line="240" w:lineRule="auto" w:before="0" w:after="0"/>
        <w:ind w:left="579" w:right="0" w:hanging="201"/>
        <w:jc w:val="both"/>
      </w:pPr>
      <w:r>
        <w:rPr/>
        <w:t>RESULTS.</w:t>
      </w:r>
    </w:p>
    <w:p>
      <w:pPr>
        <w:pStyle w:val="BodyText"/>
        <w:spacing w:before="9"/>
        <w:rPr>
          <w:b/>
          <w:sz w:val="19"/>
        </w:rPr>
      </w:pPr>
    </w:p>
    <w:p>
      <w:pPr>
        <w:pStyle w:val="BodyText"/>
        <w:spacing w:before="1"/>
        <w:ind w:left="378" w:right="677"/>
        <w:jc w:val="both"/>
      </w:pPr>
      <w:r>
        <w:rPr/>
        <w:t>The case study was performed with a male doctor 52 years working in independently exercised with a schedule full working day of 8 hours per day, devoted to consultation and surgery, performing laparoscopic procedures 3-4 week with time of 40 to 60 minutes each.</w:t>
      </w:r>
    </w:p>
    <w:p>
      <w:pPr>
        <w:pStyle w:val="BodyText"/>
        <w:ind w:left="378" w:right="678"/>
        <w:jc w:val="both"/>
      </w:pPr>
      <w:r>
        <w:rPr/>
        <w:t>The participant represents the average for the size of a Mexican man with height 1.73 meters with ectomorph somatotype.</w:t>
      </w:r>
    </w:p>
    <w:p>
      <w:pPr>
        <w:pStyle w:val="BodyText"/>
        <w:ind w:left="378" w:right="676"/>
        <w:jc w:val="both"/>
      </w:pPr>
      <w:r>
        <w:rPr/>
        <w:t>The procedure was recorded laparoscopic cholecystectomy with a mean duration of 30 minutes a basic technique in which there was no intracorporeal suturing, stapling but counting from introduction to the withdrawal of trocars are used.</w:t>
      </w:r>
    </w:p>
    <w:p>
      <w:pPr>
        <w:pStyle w:val="BodyText"/>
        <w:ind w:left="378" w:right="676"/>
        <w:jc w:val="both"/>
      </w:pPr>
      <w:r>
        <w:rPr/>
        <w:t>Cutting tasks / cauterization and stapling to be the most representative of its duration and frequency were evaluated. (Table 1)</w:t>
      </w:r>
    </w:p>
    <w:p>
      <w:pPr>
        <w:pStyle w:val="BodyText"/>
      </w:pPr>
    </w:p>
    <w:p>
      <w:pPr>
        <w:tabs>
          <w:tab w:pos="4830" w:val="left" w:leader="none"/>
        </w:tabs>
        <w:spacing w:before="1"/>
        <w:ind w:left="791" w:right="0" w:firstLine="0"/>
        <w:jc w:val="left"/>
        <w:rPr>
          <w:i/>
          <w:sz w:val="20"/>
        </w:rPr>
      </w:pPr>
      <w:r>
        <w:rPr>
          <w:w w:val="100"/>
          <w:sz w:val="20"/>
          <w:u w:val="single"/>
        </w:rPr>
        <w:t> </w:t>
      </w:r>
      <w:r>
        <w:rPr>
          <w:spacing w:val="7"/>
          <w:sz w:val="20"/>
          <w:u w:val="single"/>
        </w:rPr>
        <w:t> </w:t>
      </w:r>
      <w:r>
        <w:rPr>
          <w:sz w:val="20"/>
          <w:u w:val="single"/>
        </w:rPr>
        <w:t>Table 1. </w:t>
      </w:r>
      <w:r>
        <w:rPr>
          <w:i/>
          <w:sz w:val="20"/>
          <w:u w:val="single"/>
        </w:rPr>
        <w:t>frequency of</w:t>
      </w:r>
      <w:r>
        <w:rPr>
          <w:i/>
          <w:spacing w:val="-8"/>
          <w:sz w:val="20"/>
          <w:u w:val="single"/>
        </w:rPr>
        <w:t> </w:t>
      </w:r>
      <w:r>
        <w:rPr>
          <w:i/>
          <w:sz w:val="20"/>
          <w:u w:val="single"/>
        </w:rPr>
        <w:t>tasks</w:t>
        <w:tab/>
      </w:r>
    </w:p>
    <w:p>
      <w:pPr>
        <w:pStyle w:val="BodyText"/>
        <w:tabs>
          <w:tab w:pos="1786" w:val="left" w:leader="none"/>
          <w:tab w:pos="3700" w:val="left" w:leader="none"/>
          <w:tab w:pos="3865" w:val="left" w:leader="none"/>
          <w:tab w:pos="4830" w:val="left" w:leader="none"/>
        </w:tabs>
        <w:spacing w:line="333" w:lineRule="auto" w:before="10"/>
        <w:ind w:left="899" w:right="1090" w:hanging="108"/>
      </w:pPr>
      <w:r>
        <w:rPr>
          <w:w w:val="100"/>
          <w:u w:val="single"/>
        </w:rPr>
        <w:t> </w:t>
      </w:r>
      <w:r>
        <w:rPr>
          <w:u w:val="single"/>
        </w:rPr>
        <w:tab/>
        <w:tab/>
        <w:t>Task</w:t>
        <w:tab/>
        <w:t> Percent</w:t>
        <w:tab/>
      </w:r>
      <w:r>
        <w:rPr/>
        <w:t>Preparation /</w:t>
      </w:r>
      <w:r>
        <w:rPr>
          <w:spacing w:val="-4"/>
        </w:rPr>
        <w:t> </w:t>
      </w:r>
      <w:r>
        <w:rPr/>
        <w:t>Enter</w:t>
      </w:r>
      <w:r>
        <w:rPr>
          <w:spacing w:val="-3"/>
        </w:rPr>
        <w:t> </w:t>
      </w:r>
      <w:r>
        <w:rPr/>
        <w:t>trocars</w:t>
        <w:tab/>
        <w:tab/>
        <w:t> 5%</w:t>
      </w:r>
    </w:p>
    <w:p>
      <w:pPr>
        <w:pStyle w:val="BodyText"/>
        <w:spacing w:before="10"/>
        <w:rPr>
          <w:sz w:val="6"/>
        </w:rPr>
      </w:pPr>
    </w:p>
    <w:tbl>
      <w:tblPr>
        <w:tblW w:w="0" w:type="auto"/>
        <w:jc w:val="left"/>
        <w:tblInd w:w="77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18"/>
        <w:gridCol w:w="1735"/>
      </w:tblGrid>
      <w:tr>
        <w:trPr>
          <w:trHeight w:val="316" w:hRule="exact"/>
        </w:trPr>
        <w:tc>
          <w:tcPr>
            <w:tcW w:w="2318" w:type="dxa"/>
          </w:tcPr>
          <w:p>
            <w:pPr>
              <w:pStyle w:val="TableParagraph"/>
              <w:spacing w:line="226" w:lineRule="exact"/>
              <w:ind w:left="122"/>
              <w:rPr>
                <w:sz w:val="20"/>
              </w:rPr>
            </w:pPr>
            <w:r>
              <w:rPr>
                <w:sz w:val="20"/>
              </w:rPr>
              <w:t>Cut / cauterization</w:t>
            </w:r>
          </w:p>
        </w:tc>
        <w:tc>
          <w:tcPr>
            <w:tcW w:w="1735" w:type="dxa"/>
          </w:tcPr>
          <w:p>
            <w:pPr>
              <w:pStyle w:val="TableParagraph"/>
              <w:spacing w:line="226" w:lineRule="exact"/>
              <w:ind w:left="697" w:right="626"/>
              <w:jc w:val="center"/>
              <w:rPr>
                <w:sz w:val="20"/>
              </w:rPr>
            </w:pPr>
            <w:r>
              <w:rPr>
                <w:sz w:val="20"/>
              </w:rPr>
              <w:t>65%</w:t>
            </w:r>
          </w:p>
        </w:tc>
      </w:tr>
      <w:tr>
        <w:trPr>
          <w:trHeight w:val="391" w:hRule="exact"/>
        </w:trPr>
        <w:tc>
          <w:tcPr>
            <w:tcW w:w="2318" w:type="dxa"/>
          </w:tcPr>
          <w:p>
            <w:pPr>
              <w:pStyle w:val="TableParagraph"/>
              <w:spacing w:before="69"/>
              <w:ind w:left="122"/>
              <w:rPr>
                <w:sz w:val="20"/>
              </w:rPr>
            </w:pPr>
            <w:r>
              <w:rPr>
                <w:sz w:val="20"/>
              </w:rPr>
              <w:t>Stapling</w:t>
            </w:r>
          </w:p>
        </w:tc>
        <w:tc>
          <w:tcPr>
            <w:tcW w:w="1735" w:type="dxa"/>
          </w:tcPr>
          <w:p>
            <w:pPr>
              <w:pStyle w:val="TableParagraph"/>
              <w:spacing w:before="69"/>
              <w:ind w:left="698" w:right="626"/>
              <w:jc w:val="center"/>
              <w:rPr>
                <w:sz w:val="20"/>
              </w:rPr>
            </w:pPr>
            <w:r>
              <w:rPr>
                <w:sz w:val="20"/>
              </w:rPr>
              <w:t>15%</w:t>
            </w:r>
          </w:p>
        </w:tc>
      </w:tr>
      <w:tr>
        <w:trPr>
          <w:trHeight w:val="391" w:hRule="exact"/>
        </w:trPr>
        <w:tc>
          <w:tcPr>
            <w:tcW w:w="2318" w:type="dxa"/>
          </w:tcPr>
          <w:p>
            <w:pPr>
              <w:pStyle w:val="TableParagraph"/>
              <w:spacing w:before="70"/>
              <w:ind w:left="122"/>
              <w:rPr>
                <w:sz w:val="20"/>
              </w:rPr>
            </w:pPr>
            <w:r>
              <w:rPr>
                <w:sz w:val="20"/>
              </w:rPr>
              <w:t>Remove organ</w:t>
            </w:r>
          </w:p>
        </w:tc>
        <w:tc>
          <w:tcPr>
            <w:tcW w:w="1735" w:type="dxa"/>
          </w:tcPr>
          <w:p>
            <w:pPr>
              <w:pStyle w:val="TableParagraph"/>
              <w:spacing w:before="70"/>
              <w:ind w:left="699" w:right="624"/>
              <w:jc w:val="center"/>
              <w:rPr>
                <w:sz w:val="20"/>
              </w:rPr>
            </w:pPr>
            <w:r>
              <w:rPr>
                <w:sz w:val="20"/>
              </w:rPr>
              <w:t>10%</w:t>
            </w:r>
          </w:p>
        </w:tc>
      </w:tr>
      <w:tr>
        <w:trPr>
          <w:trHeight w:val="389" w:hRule="exact"/>
        </w:trPr>
        <w:tc>
          <w:tcPr>
            <w:tcW w:w="2318" w:type="dxa"/>
            <w:tcBorders>
              <w:bottom w:val="single" w:sz="4" w:space="0" w:color="000000"/>
            </w:tcBorders>
          </w:tcPr>
          <w:p>
            <w:pPr>
              <w:pStyle w:val="TableParagraph"/>
              <w:spacing w:before="70"/>
              <w:ind w:left="122"/>
              <w:rPr>
                <w:sz w:val="20"/>
              </w:rPr>
            </w:pPr>
            <w:r>
              <w:rPr>
                <w:sz w:val="20"/>
              </w:rPr>
              <w:t>Suture</w:t>
            </w:r>
          </w:p>
        </w:tc>
        <w:tc>
          <w:tcPr>
            <w:tcW w:w="1735" w:type="dxa"/>
            <w:tcBorders>
              <w:bottom w:val="single" w:sz="4" w:space="0" w:color="000000"/>
            </w:tcBorders>
          </w:tcPr>
          <w:p>
            <w:pPr>
              <w:pStyle w:val="TableParagraph"/>
              <w:spacing w:before="70"/>
              <w:ind w:left="699" w:right="622"/>
              <w:jc w:val="center"/>
              <w:rPr>
                <w:sz w:val="20"/>
              </w:rPr>
            </w:pPr>
            <w:r>
              <w:rPr>
                <w:sz w:val="20"/>
              </w:rPr>
              <w:t>5%</w:t>
            </w:r>
          </w:p>
        </w:tc>
      </w:tr>
    </w:tbl>
    <w:p>
      <w:pPr>
        <w:pStyle w:val="BodyText"/>
        <w:spacing w:before="4"/>
        <w:rPr>
          <w:sz w:val="19"/>
        </w:rPr>
      </w:pPr>
    </w:p>
    <w:p>
      <w:pPr>
        <w:pStyle w:val="BodyText"/>
        <w:ind w:left="378" w:right="676"/>
        <w:jc w:val="both"/>
      </w:pPr>
      <w:r>
        <w:rPr/>
        <w:t>In relation to the general position, REBA detects the risk of musculoskeletal disorders; predominates in both tasks increased risk in the right upper limb (Table 2).</w:t>
      </w:r>
    </w:p>
    <w:p>
      <w:pPr>
        <w:pStyle w:val="BodyText"/>
        <w:spacing w:before="11"/>
        <w:rPr>
          <w:sz w:val="19"/>
        </w:rPr>
      </w:pPr>
    </w:p>
    <w:p>
      <w:pPr>
        <w:pStyle w:val="BodyText"/>
        <w:ind w:left="378"/>
        <w:jc w:val="both"/>
      </w:pPr>
      <w:r>
        <w:rPr/>
        <w:t>Table 2</w:t>
      </w:r>
    </w:p>
    <w:p>
      <w:pPr>
        <w:tabs>
          <w:tab w:pos="5095" w:val="left" w:leader="none"/>
        </w:tabs>
        <w:spacing w:before="0"/>
        <w:ind w:left="270" w:right="0" w:firstLine="0"/>
        <w:jc w:val="left"/>
        <w:rPr>
          <w:i/>
          <w:sz w:val="20"/>
        </w:rPr>
      </w:pPr>
      <w:r>
        <w:rPr>
          <w:i/>
          <w:w w:val="100"/>
          <w:sz w:val="20"/>
          <w:u w:val="single"/>
        </w:rPr>
        <w:t> </w:t>
      </w:r>
      <w:r>
        <w:rPr>
          <w:i/>
          <w:spacing w:val="7"/>
          <w:sz w:val="20"/>
          <w:u w:val="single"/>
        </w:rPr>
        <w:t> </w:t>
      </w:r>
      <w:r>
        <w:rPr>
          <w:i/>
          <w:sz w:val="20"/>
          <w:u w:val="single"/>
        </w:rPr>
        <w:t>Scores Rapid Entire Body Assessment</w:t>
      </w:r>
      <w:r>
        <w:rPr>
          <w:i/>
          <w:spacing w:val="-15"/>
          <w:sz w:val="20"/>
          <w:u w:val="single"/>
        </w:rPr>
        <w:t> </w:t>
      </w:r>
      <w:r>
        <w:rPr>
          <w:i/>
          <w:sz w:val="20"/>
          <w:u w:val="single"/>
        </w:rPr>
        <w:t>Instrument</w:t>
        <w:tab/>
      </w:r>
    </w:p>
    <w:p>
      <w:pPr>
        <w:tabs>
          <w:tab w:pos="4025" w:val="left" w:leader="none"/>
        </w:tabs>
        <w:spacing w:before="128"/>
        <w:ind w:left="388" w:right="0" w:firstLine="0"/>
        <w:jc w:val="both"/>
        <w:rPr>
          <w:sz w:val="18"/>
        </w:rPr>
      </w:pPr>
      <w:r>
        <w:rPr/>
        <w:pict>
          <v:group style="position:absolute;margin-left:318.109985pt;margin-top:17.012346pt;width:241.8pt;height:.5pt;mso-position-horizontal-relative:page;mso-position-vertical-relative:paragraph;z-index:10696" coordorigin="6362,340" coordsize="4836,10">
            <v:line style="position:absolute" from="6367,345" to="6934,345" stroked="true" strokeweight=".47998pt" strokecolor="#000000"/>
            <v:line style="position:absolute" from="6934,345" to="8010,345" stroked="true" strokeweight=".48pt" strokecolor="#000000"/>
            <v:line style="position:absolute" from="8010,345" to="11192,345" stroked="true" strokeweight=".47998pt" strokecolor="#000000"/>
            <w10:wrap type="none"/>
          </v:group>
        </w:pict>
      </w:r>
      <w:r>
        <w:rPr>
          <w:sz w:val="18"/>
        </w:rPr>
        <w:t>Step     Description      Cut</w:t>
      </w:r>
      <w:r>
        <w:rPr>
          <w:spacing w:val="18"/>
          <w:sz w:val="18"/>
        </w:rPr>
        <w:t> </w:t>
      </w:r>
      <w:r>
        <w:rPr>
          <w:sz w:val="18"/>
        </w:rPr>
        <w:t>/</w:t>
      </w:r>
      <w:r>
        <w:rPr>
          <w:spacing w:val="-2"/>
          <w:sz w:val="18"/>
        </w:rPr>
        <w:t> </w:t>
      </w:r>
      <w:r>
        <w:rPr>
          <w:sz w:val="18"/>
        </w:rPr>
        <w:t>cauterization</w:t>
        <w:tab/>
        <w:t>Stapling</w:t>
      </w:r>
    </w:p>
    <w:p>
      <w:pPr>
        <w:tabs>
          <w:tab w:pos="935" w:val="left" w:leader="none"/>
          <w:tab w:pos="2687" w:val="left" w:leader="none"/>
          <w:tab w:pos="4368" w:val="right" w:leader="none"/>
        </w:tabs>
        <w:spacing w:before="130"/>
        <w:ind w:left="503" w:right="0" w:firstLine="0"/>
        <w:jc w:val="left"/>
        <w:rPr>
          <w:sz w:val="18"/>
        </w:rPr>
      </w:pPr>
      <w:r>
        <w:rPr>
          <w:sz w:val="18"/>
        </w:rPr>
        <w:t>1</w:t>
        <w:tab/>
        <w:t>Neck</w:t>
        <w:tab/>
        <w:t>2</w:t>
        <w:tab/>
        <w:t>3</w:t>
      </w:r>
    </w:p>
    <w:p>
      <w:pPr>
        <w:spacing w:after="0"/>
        <w:jc w:val="left"/>
        <w:rPr>
          <w:sz w:val="18"/>
        </w:rPr>
        <w:sectPr>
          <w:type w:val="continuous"/>
          <w:pgSz w:w="12240" w:h="15840"/>
          <w:pgMar w:top="1500" w:bottom="280" w:left="580" w:right="220"/>
          <w:cols w:num="2" w:equalWidth="0">
            <w:col w:w="5189" w:space="327"/>
            <w:col w:w="5924"/>
          </w:cols>
        </w:sectPr>
      </w:pPr>
    </w:p>
    <w:p>
      <w:pPr>
        <w:spacing w:line="320" w:lineRule="atLeast" w:before="100"/>
        <w:ind w:left="867" w:right="2833" w:firstLine="0"/>
        <w:jc w:val="left"/>
        <w:rPr>
          <w:sz w:val="18"/>
        </w:rPr>
      </w:pPr>
      <w:r>
        <w:rPr/>
        <w:pict>
          <v:line style="position:absolute;mso-position-horizontal-relative:page;mso-position-vertical-relative:paragraph;z-index:-868096" from="37.139999pt,10.653247pt" to="278.399999pt,10.653247pt" stroked="true" strokeweight=".47998pt" strokecolor="#000000">
            <w10:wrap type="none"/>
          </v:line>
        </w:pict>
      </w:r>
      <w:r>
        <w:rPr/>
        <w:pict>
          <v:shape style="position:absolute;margin-left:48.779999pt;margin-top:33.351173pt;width:4.5pt;height:9pt;mso-position-horizontal-relative:page;mso-position-vertical-relative:paragraph;z-index:10768" type="#_x0000_t202" filled="false" stroked="false">
            <v:textbox inset="0,0,0,0">
              <w:txbxContent>
                <w:p>
                  <w:pPr>
                    <w:spacing w:line="180" w:lineRule="exact" w:before="0"/>
                    <w:ind w:left="0" w:right="0" w:firstLine="0"/>
                    <w:jc w:val="left"/>
                    <w:rPr>
                      <w:sz w:val="18"/>
                    </w:rPr>
                  </w:pPr>
                  <w:r>
                    <w:rPr>
                      <w:sz w:val="18"/>
                    </w:rPr>
                    <w:t>2</w:t>
                  </w:r>
                </w:p>
              </w:txbxContent>
            </v:textbox>
            <w10:wrap type="none"/>
          </v:shape>
        </w:pict>
      </w:r>
      <w:r>
        <w:rPr>
          <w:sz w:val="18"/>
        </w:rPr>
        <w:t>position Trunk</w:t>
      </w:r>
    </w:p>
    <w:p>
      <w:pPr>
        <w:tabs>
          <w:tab w:pos="2619" w:val="left" w:leader="none"/>
          <w:tab w:pos="4210" w:val="left" w:leader="none"/>
        </w:tabs>
        <w:spacing w:line="208" w:lineRule="exact" w:before="0"/>
        <w:ind w:left="867" w:right="0" w:firstLine="0"/>
        <w:jc w:val="left"/>
        <w:rPr>
          <w:sz w:val="18"/>
        </w:rPr>
      </w:pPr>
      <w:r>
        <w:rPr>
          <w:sz w:val="18"/>
        </w:rPr>
        <w:t>position</w:t>
        <w:tab/>
      </w:r>
      <w:r>
        <w:rPr>
          <w:position w:val="10"/>
          <w:sz w:val="18"/>
        </w:rPr>
        <w:t>3</w:t>
        <w:tab/>
        <w:t>3</w:t>
      </w:r>
    </w:p>
    <w:p>
      <w:pPr>
        <w:tabs>
          <w:tab w:pos="867" w:val="left" w:leader="none"/>
          <w:tab w:pos="2619" w:val="left" w:leader="none"/>
          <w:tab w:pos="4210" w:val="left" w:leader="none"/>
        </w:tabs>
        <w:spacing w:before="119"/>
        <w:ind w:left="435" w:right="0" w:firstLine="0"/>
        <w:jc w:val="left"/>
        <w:rPr>
          <w:sz w:val="18"/>
        </w:rPr>
      </w:pPr>
      <w:r>
        <w:rPr>
          <w:sz w:val="18"/>
        </w:rPr>
        <w:t>3</w:t>
        <w:tab/>
        <w:t>Legs</w:t>
        <w:tab/>
        <w:t>2</w:t>
        <w:tab/>
        <w:t>1</w:t>
      </w:r>
    </w:p>
    <w:p>
      <w:pPr>
        <w:spacing w:line="157" w:lineRule="exact" w:before="120"/>
        <w:ind w:left="867" w:right="2833" w:firstLine="0"/>
        <w:jc w:val="left"/>
        <w:rPr>
          <w:sz w:val="18"/>
        </w:rPr>
      </w:pPr>
      <w:r>
        <w:rPr/>
        <w:pict>
          <v:shape style="position:absolute;margin-left:48.779999pt;margin-top:12.319965pt;width:4.5pt;height:9pt;mso-position-horizontal-relative:page;mso-position-vertical-relative:paragraph;z-index:10792" type="#_x0000_t202" filled="false" stroked="false">
            <v:textbox inset="0,0,0,0">
              <w:txbxContent>
                <w:p>
                  <w:pPr>
                    <w:spacing w:line="180" w:lineRule="exact" w:before="0"/>
                    <w:ind w:left="0" w:right="0" w:firstLine="0"/>
                    <w:jc w:val="left"/>
                    <w:rPr>
                      <w:sz w:val="18"/>
                    </w:rPr>
                  </w:pPr>
                  <w:r>
                    <w:rPr>
                      <w:sz w:val="18"/>
                    </w:rPr>
                    <w:t>4</w:t>
                  </w:r>
                </w:p>
              </w:txbxContent>
            </v:textbox>
            <w10:wrap type="none"/>
          </v:shape>
        </w:pict>
      </w:r>
      <w:r>
        <w:rPr>
          <w:sz w:val="18"/>
        </w:rPr>
        <w:t>Score</w:t>
      </w:r>
    </w:p>
    <w:p>
      <w:pPr>
        <w:tabs>
          <w:tab w:pos="2619" w:val="left" w:leader="none"/>
          <w:tab w:pos="4210" w:val="left" w:leader="none"/>
        </w:tabs>
        <w:spacing w:line="257" w:lineRule="exact" w:before="0"/>
        <w:ind w:left="867" w:right="0" w:firstLine="0"/>
        <w:jc w:val="left"/>
        <w:rPr>
          <w:sz w:val="18"/>
        </w:rPr>
      </w:pPr>
      <w:r>
        <w:rPr>
          <w:sz w:val="18"/>
        </w:rPr>
        <w:t>Table</w:t>
      </w:r>
      <w:r>
        <w:rPr>
          <w:spacing w:val="-1"/>
          <w:sz w:val="18"/>
        </w:rPr>
        <w:t> </w:t>
      </w:r>
      <w:r>
        <w:rPr>
          <w:sz w:val="18"/>
        </w:rPr>
        <w:t>A</w:t>
        <w:tab/>
      </w:r>
      <w:r>
        <w:rPr>
          <w:position w:val="10"/>
          <w:sz w:val="18"/>
        </w:rPr>
        <w:t>5</w:t>
        <w:tab/>
        <w:t>5</w:t>
      </w:r>
    </w:p>
    <w:p>
      <w:pPr>
        <w:pStyle w:val="ListParagraph"/>
        <w:numPr>
          <w:ilvl w:val="0"/>
          <w:numId w:val="92"/>
        </w:numPr>
        <w:tabs>
          <w:tab w:pos="867" w:val="left" w:leader="none"/>
          <w:tab w:pos="868" w:val="left" w:leader="none"/>
          <w:tab w:pos="2619" w:val="left" w:leader="none"/>
          <w:tab w:pos="4210" w:val="left" w:leader="none"/>
        </w:tabs>
        <w:spacing w:line="240" w:lineRule="auto" w:before="120" w:after="0"/>
        <w:ind w:left="867" w:right="0" w:hanging="432"/>
        <w:jc w:val="left"/>
        <w:rPr>
          <w:sz w:val="18"/>
        </w:rPr>
      </w:pPr>
      <w:r>
        <w:rPr>
          <w:sz w:val="18"/>
        </w:rPr>
        <w:t>Force</w:t>
        <w:tab/>
        <w:t>0</w:t>
        <w:tab/>
        <w:t>0</w:t>
      </w:r>
    </w:p>
    <w:p>
      <w:pPr>
        <w:spacing w:before="119"/>
        <w:ind w:left="867" w:right="2833" w:firstLine="0"/>
        <w:jc w:val="left"/>
        <w:rPr>
          <w:sz w:val="18"/>
        </w:rPr>
      </w:pPr>
      <w:r>
        <w:rPr>
          <w:sz w:val="18"/>
        </w:rPr>
        <w:t>Score</w:t>
      </w:r>
    </w:p>
    <w:p>
      <w:pPr>
        <w:pStyle w:val="BodyText"/>
        <w:rPr>
          <w:sz w:val="18"/>
        </w:rPr>
      </w:pPr>
      <w:r>
        <w:rPr/>
        <w:br w:type="column"/>
      </w:r>
      <w:r>
        <w:rPr>
          <w:sz w:val="18"/>
        </w:rPr>
      </w:r>
    </w:p>
    <w:p>
      <w:pPr>
        <w:spacing w:before="116"/>
        <w:ind w:left="435" w:right="4783" w:firstLine="0"/>
        <w:jc w:val="left"/>
        <w:rPr>
          <w:sz w:val="18"/>
        </w:rPr>
      </w:pPr>
      <w:r>
        <w:rPr>
          <w:sz w:val="18"/>
        </w:rPr>
        <w:t>Efforts Per Minute</w:t>
      </w:r>
    </w:p>
    <w:p>
      <w:pPr>
        <w:spacing w:before="120"/>
        <w:ind w:left="435" w:right="4783" w:firstLine="0"/>
        <w:jc w:val="left"/>
        <w:rPr>
          <w:sz w:val="18"/>
        </w:rPr>
      </w:pPr>
      <w:r>
        <w:rPr/>
        <w:pict>
          <v:shape style="position:absolute;margin-left:387.470001pt;margin-top:-19.379391pt;width:179pt;height:131.15pt;mso-position-horizontal-relative:page;mso-position-vertical-relative:paragraph;z-index:1096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22"/>
                    <w:gridCol w:w="1058"/>
                    <w:gridCol w:w="1023"/>
                    <w:gridCol w:w="777"/>
                  </w:tblGrid>
                  <w:tr>
                    <w:trPr>
                      <w:trHeight w:val="457" w:hRule="exact"/>
                    </w:trPr>
                    <w:tc>
                      <w:tcPr>
                        <w:tcW w:w="722" w:type="dxa"/>
                      </w:tcPr>
                      <w:p>
                        <w:pPr>
                          <w:pStyle w:val="TableParagraph"/>
                          <w:spacing w:before="76"/>
                          <w:ind w:left="79"/>
                          <w:rPr>
                            <w:sz w:val="18"/>
                          </w:rPr>
                        </w:pPr>
                        <w:r>
                          <w:rPr>
                            <w:sz w:val="18"/>
                          </w:rPr>
                          <w:t>0.5</w:t>
                        </w:r>
                      </w:p>
                    </w:tc>
                    <w:tc>
                      <w:tcPr>
                        <w:tcW w:w="1058" w:type="dxa"/>
                      </w:tcPr>
                      <w:p>
                        <w:pPr>
                          <w:pStyle w:val="TableParagraph"/>
                          <w:spacing w:before="76"/>
                          <w:ind w:left="351" w:right="351"/>
                          <w:jc w:val="center"/>
                          <w:rPr>
                            <w:sz w:val="18"/>
                          </w:rPr>
                        </w:pPr>
                        <w:r>
                          <w:rPr>
                            <w:sz w:val="18"/>
                          </w:rPr>
                          <w:t>1.5</w:t>
                        </w:r>
                      </w:p>
                    </w:tc>
                    <w:tc>
                      <w:tcPr>
                        <w:tcW w:w="1023" w:type="dxa"/>
                      </w:tcPr>
                      <w:p>
                        <w:pPr>
                          <w:pStyle w:val="TableParagraph"/>
                          <w:spacing w:before="76"/>
                          <w:ind w:left="351" w:right="316"/>
                          <w:jc w:val="center"/>
                          <w:rPr>
                            <w:sz w:val="18"/>
                          </w:rPr>
                        </w:pPr>
                        <w:r>
                          <w:rPr>
                            <w:sz w:val="18"/>
                          </w:rPr>
                          <w:t>0.5</w:t>
                        </w:r>
                      </w:p>
                    </w:tc>
                    <w:tc>
                      <w:tcPr>
                        <w:tcW w:w="777" w:type="dxa"/>
                      </w:tcPr>
                      <w:p>
                        <w:pPr>
                          <w:pStyle w:val="TableParagraph"/>
                          <w:spacing w:before="76"/>
                          <w:ind w:left="315" w:right="13"/>
                          <w:jc w:val="center"/>
                          <w:rPr>
                            <w:sz w:val="18"/>
                          </w:rPr>
                        </w:pPr>
                        <w:r>
                          <w:rPr>
                            <w:sz w:val="18"/>
                          </w:rPr>
                          <w:t>0.5</w:t>
                        </w:r>
                      </w:p>
                    </w:tc>
                  </w:tr>
                  <w:tr>
                    <w:trPr>
                      <w:trHeight w:val="534" w:hRule="exact"/>
                    </w:trPr>
                    <w:tc>
                      <w:tcPr>
                        <w:tcW w:w="722" w:type="dxa"/>
                      </w:tcPr>
                      <w:p>
                        <w:pPr>
                          <w:pStyle w:val="TableParagraph"/>
                          <w:spacing w:before="153"/>
                          <w:ind w:left="79"/>
                          <w:rPr>
                            <w:sz w:val="18"/>
                          </w:rPr>
                        </w:pPr>
                        <w:r>
                          <w:rPr>
                            <w:sz w:val="18"/>
                          </w:rPr>
                          <w:t>1.5</w:t>
                        </w:r>
                      </w:p>
                    </w:tc>
                    <w:tc>
                      <w:tcPr>
                        <w:tcW w:w="1058" w:type="dxa"/>
                      </w:tcPr>
                      <w:p>
                        <w:pPr>
                          <w:pStyle w:val="TableParagraph"/>
                          <w:spacing w:before="153"/>
                          <w:ind w:left="351" w:right="351"/>
                          <w:jc w:val="center"/>
                          <w:rPr>
                            <w:sz w:val="18"/>
                          </w:rPr>
                        </w:pPr>
                        <w:r>
                          <w:rPr>
                            <w:sz w:val="18"/>
                          </w:rPr>
                          <w:t>3.0</w:t>
                        </w:r>
                      </w:p>
                    </w:tc>
                    <w:tc>
                      <w:tcPr>
                        <w:tcW w:w="1023" w:type="dxa"/>
                      </w:tcPr>
                      <w:p>
                        <w:pPr>
                          <w:pStyle w:val="TableParagraph"/>
                          <w:spacing w:before="153"/>
                          <w:ind w:left="351" w:right="316"/>
                          <w:jc w:val="center"/>
                          <w:rPr>
                            <w:sz w:val="18"/>
                          </w:rPr>
                        </w:pPr>
                        <w:r>
                          <w:rPr>
                            <w:sz w:val="18"/>
                          </w:rPr>
                          <w:t>1.5</w:t>
                        </w:r>
                      </w:p>
                    </w:tc>
                    <w:tc>
                      <w:tcPr>
                        <w:tcW w:w="777" w:type="dxa"/>
                      </w:tcPr>
                      <w:p>
                        <w:pPr>
                          <w:pStyle w:val="TableParagraph"/>
                          <w:spacing w:before="153"/>
                          <w:ind w:left="315" w:right="13"/>
                          <w:jc w:val="center"/>
                          <w:rPr>
                            <w:sz w:val="18"/>
                          </w:rPr>
                        </w:pPr>
                        <w:r>
                          <w:rPr>
                            <w:sz w:val="18"/>
                          </w:rPr>
                          <w:t>3.0</w:t>
                        </w:r>
                      </w:p>
                    </w:tc>
                  </w:tr>
                  <w:tr>
                    <w:trPr>
                      <w:trHeight w:val="586" w:hRule="exact"/>
                    </w:trPr>
                    <w:tc>
                      <w:tcPr>
                        <w:tcW w:w="722" w:type="dxa"/>
                      </w:tcPr>
                      <w:p>
                        <w:pPr>
                          <w:pStyle w:val="TableParagraph"/>
                          <w:spacing w:before="153"/>
                          <w:ind w:left="79"/>
                          <w:rPr>
                            <w:sz w:val="18"/>
                          </w:rPr>
                        </w:pPr>
                        <w:r>
                          <w:rPr>
                            <w:sz w:val="18"/>
                          </w:rPr>
                          <w:t>1.0</w:t>
                        </w:r>
                      </w:p>
                    </w:tc>
                    <w:tc>
                      <w:tcPr>
                        <w:tcW w:w="1058" w:type="dxa"/>
                      </w:tcPr>
                      <w:p>
                        <w:pPr>
                          <w:pStyle w:val="TableParagraph"/>
                          <w:spacing w:before="153"/>
                          <w:ind w:left="351" w:right="351"/>
                          <w:jc w:val="center"/>
                          <w:rPr>
                            <w:sz w:val="18"/>
                          </w:rPr>
                        </w:pPr>
                        <w:r>
                          <w:rPr>
                            <w:sz w:val="18"/>
                          </w:rPr>
                          <w:t>1.0</w:t>
                        </w:r>
                      </w:p>
                    </w:tc>
                    <w:tc>
                      <w:tcPr>
                        <w:tcW w:w="1023" w:type="dxa"/>
                      </w:tcPr>
                      <w:p>
                        <w:pPr>
                          <w:pStyle w:val="TableParagraph"/>
                          <w:spacing w:before="153"/>
                          <w:ind w:left="351" w:right="316"/>
                          <w:jc w:val="center"/>
                          <w:rPr>
                            <w:sz w:val="18"/>
                          </w:rPr>
                        </w:pPr>
                        <w:r>
                          <w:rPr>
                            <w:sz w:val="18"/>
                          </w:rPr>
                          <w:t>1.0</w:t>
                        </w:r>
                      </w:p>
                    </w:tc>
                    <w:tc>
                      <w:tcPr>
                        <w:tcW w:w="777" w:type="dxa"/>
                      </w:tcPr>
                      <w:p>
                        <w:pPr>
                          <w:pStyle w:val="TableParagraph"/>
                          <w:spacing w:before="153"/>
                          <w:ind w:left="315" w:right="13"/>
                          <w:jc w:val="center"/>
                          <w:rPr>
                            <w:sz w:val="18"/>
                          </w:rPr>
                        </w:pPr>
                        <w:r>
                          <w:rPr>
                            <w:sz w:val="18"/>
                          </w:rPr>
                          <w:t>1.0</w:t>
                        </w:r>
                      </w:p>
                    </w:tc>
                  </w:tr>
                  <w:tr>
                    <w:trPr>
                      <w:trHeight w:val="637" w:hRule="exact"/>
                    </w:trPr>
                    <w:tc>
                      <w:tcPr>
                        <w:tcW w:w="722" w:type="dxa"/>
                      </w:tcPr>
                      <w:p>
                        <w:pPr>
                          <w:pStyle w:val="TableParagraph"/>
                          <w:spacing w:before="9"/>
                          <w:rPr>
                            <w:sz w:val="17"/>
                          </w:rPr>
                        </w:pPr>
                      </w:p>
                      <w:p>
                        <w:pPr>
                          <w:pStyle w:val="TableParagraph"/>
                          <w:spacing w:before="1"/>
                          <w:ind w:left="35"/>
                          <w:rPr>
                            <w:sz w:val="18"/>
                          </w:rPr>
                        </w:pPr>
                        <w:r>
                          <w:rPr>
                            <w:sz w:val="18"/>
                          </w:rPr>
                          <w:t>0.25</w:t>
                        </w:r>
                      </w:p>
                    </w:tc>
                    <w:tc>
                      <w:tcPr>
                        <w:tcW w:w="1058" w:type="dxa"/>
                      </w:tcPr>
                      <w:p>
                        <w:pPr>
                          <w:pStyle w:val="TableParagraph"/>
                          <w:spacing w:before="9"/>
                          <w:rPr>
                            <w:sz w:val="17"/>
                          </w:rPr>
                        </w:pPr>
                      </w:p>
                      <w:p>
                        <w:pPr>
                          <w:pStyle w:val="TableParagraph"/>
                          <w:spacing w:before="1"/>
                          <w:ind w:left="351" w:right="351"/>
                          <w:jc w:val="center"/>
                          <w:rPr>
                            <w:sz w:val="18"/>
                          </w:rPr>
                        </w:pPr>
                        <w:r>
                          <w:rPr>
                            <w:sz w:val="18"/>
                          </w:rPr>
                          <w:t>0.25</w:t>
                        </w:r>
                      </w:p>
                    </w:tc>
                    <w:tc>
                      <w:tcPr>
                        <w:tcW w:w="1023" w:type="dxa"/>
                      </w:tcPr>
                      <w:p>
                        <w:pPr>
                          <w:pStyle w:val="TableParagraph"/>
                          <w:spacing w:before="9"/>
                          <w:rPr>
                            <w:sz w:val="17"/>
                          </w:rPr>
                        </w:pPr>
                      </w:p>
                      <w:p>
                        <w:pPr>
                          <w:pStyle w:val="TableParagraph"/>
                          <w:spacing w:before="1"/>
                          <w:ind w:left="351" w:right="316"/>
                          <w:jc w:val="center"/>
                          <w:rPr>
                            <w:sz w:val="18"/>
                          </w:rPr>
                        </w:pPr>
                        <w:r>
                          <w:rPr>
                            <w:sz w:val="18"/>
                          </w:rPr>
                          <w:t>0.25</w:t>
                        </w:r>
                      </w:p>
                    </w:tc>
                    <w:tc>
                      <w:tcPr>
                        <w:tcW w:w="777" w:type="dxa"/>
                      </w:tcPr>
                      <w:p>
                        <w:pPr>
                          <w:pStyle w:val="TableParagraph"/>
                          <w:spacing w:before="9"/>
                          <w:rPr>
                            <w:sz w:val="17"/>
                          </w:rPr>
                        </w:pPr>
                      </w:p>
                      <w:p>
                        <w:pPr>
                          <w:pStyle w:val="TableParagraph"/>
                          <w:spacing w:before="1"/>
                          <w:ind w:left="315" w:right="14"/>
                          <w:jc w:val="center"/>
                          <w:rPr>
                            <w:sz w:val="18"/>
                          </w:rPr>
                        </w:pPr>
                        <w:r>
                          <w:rPr>
                            <w:sz w:val="18"/>
                          </w:rPr>
                          <w:t>0.25</w:t>
                        </w:r>
                      </w:p>
                    </w:tc>
                  </w:tr>
                  <w:tr>
                    <w:trPr>
                      <w:trHeight w:val="409" w:hRule="exact"/>
                    </w:trPr>
                    <w:tc>
                      <w:tcPr>
                        <w:tcW w:w="722" w:type="dxa"/>
                      </w:tcPr>
                      <w:p>
                        <w:pPr>
                          <w:pStyle w:val="TableParagraph"/>
                          <w:spacing w:before="9"/>
                          <w:rPr>
                            <w:sz w:val="17"/>
                          </w:rPr>
                        </w:pPr>
                      </w:p>
                      <w:p>
                        <w:pPr>
                          <w:pStyle w:val="TableParagraph"/>
                          <w:spacing w:before="1"/>
                          <w:ind w:left="35"/>
                          <w:rPr>
                            <w:sz w:val="18"/>
                          </w:rPr>
                        </w:pPr>
                        <w:r>
                          <w:rPr>
                            <w:sz w:val="18"/>
                          </w:rPr>
                          <w:t>6.25</w:t>
                        </w:r>
                      </w:p>
                    </w:tc>
                    <w:tc>
                      <w:tcPr>
                        <w:tcW w:w="1058" w:type="dxa"/>
                      </w:tcPr>
                      <w:p>
                        <w:pPr>
                          <w:pStyle w:val="TableParagraph"/>
                          <w:spacing w:before="9"/>
                          <w:rPr>
                            <w:sz w:val="17"/>
                          </w:rPr>
                        </w:pPr>
                      </w:p>
                      <w:p>
                        <w:pPr>
                          <w:pStyle w:val="TableParagraph"/>
                          <w:spacing w:before="1"/>
                          <w:ind w:left="351" w:right="351"/>
                          <w:jc w:val="center"/>
                          <w:rPr>
                            <w:sz w:val="18"/>
                          </w:rPr>
                        </w:pPr>
                        <w:r>
                          <w:rPr>
                            <w:sz w:val="18"/>
                          </w:rPr>
                          <w:t>8.75</w:t>
                        </w:r>
                      </w:p>
                    </w:tc>
                    <w:tc>
                      <w:tcPr>
                        <w:tcW w:w="1023" w:type="dxa"/>
                      </w:tcPr>
                      <w:p>
                        <w:pPr>
                          <w:pStyle w:val="TableParagraph"/>
                          <w:spacing w:before="9"/>
                          <w:rPr>
                            <w:sz w:val="17"/>
                          </w:rPr>
                        </w:pPr>
                      </w:p>
                      <w:p>
                        <w:pPr>
                          <w:pStyle w:val="TableParagraph"/>
                          <w:spacing w:before="1"/>
                          <w:ind w:left="351" w:right="316"/>
                          <w:jc w:val="center"/>
                          <w:rPr>
                            <w:sz w:val="18"/>
                          </w:rPr>
                        </w:pPr>
                        <w:r>
                          <w:rPr>
                            <w:sz w:val="18"/>
                          </w:rPr>
                          <w:t>6.25</w:t>
                        </w:r>
                      </w:p>
                    </w:tc>
                    <w:tc>
                      <w:tcPr>
                        <w:tcW w:w="777" w:type="dxa"/>
                      </w:tcPr>
                      <w:p>
                        <w:pPr>
                          <w:pStyle w:val="TableParagraph"/>
                          <w:spacing w:before="9"/>
                          <w:rPr>
                            <w:sz w:val="17"/>
                          </w:rPr>
                        </w:pPr>
                      </w:p>
                      <w:p>
                        <w:pPr>
                          <w:pStyle w:val="TableParagraph"/>
                          <w:spacing w:before="1"/>
                          <w:ind w:left="315" w:right="15"/>
                          <w:jc w:val="center"/>
                          <w:rPr>
                            <w:sz w:val="18"/>
                          </w:rPr>
                        </w:pPr>
                        <w:r>
                          <w:rPr>
                            <w:sz w:val="18"/>
                          </w:rPr>
                          <w:t>14.75</w:t>
                        </w:r>
                      </w:p>
                    </w:tc>
                  </w:tr>
                </w:tbl>
                <w:p>
                  <w:pPr>
                    <w:pStyle w:val="BodyText"/>
                  </w:pPr>
                </w:p>
              </w:txbxContent>
            </v:textbox>
            <w10:wrap type="none"/>
          </v:shape>
        </w:pict>
      </w:r>
      <w:r>
        <w:rPr>
          <w:sz w:val="18"/>
        </w:rPr>
        <w:t>Hand/Wrist Posture</w:t>
      </w:r>
    </w:p>
    <w:p>
      <w:pPr>
        <w:spacing w:before="120"/>
        <w:ind w:left="435" w:right="4783" w:firstLine="0"/>
        <w:jc w:val="left"/>
        <w:rPr>
          <w:sz w:val="18"/>
        </w:rPr>
      </w:pPr>
      <w:r>
        <w:rPr>
          <w:sz w:val="18"/>
        </w:rPr>
        <w:t>Speed of Work</w:t>
      </w:r>
    </w:p>
    <w:p>
      <w:pPr>
        <w:spacing w:before="120"/>
        <w:ind w:left="435" w:right="4788" w:firstLine="0"/>
        <w:jc w:val="left"/>
        <w:rPr>
          <w:sz w:val="18"/>
        </w:rPr>
      </w:pPr>
      <w:r>
        <w:rPr>
          <w:sz w:val="18"/>
        </w:rPr>
        <w:t>Duration of Task Per Day</w:t>
      </w:r>
    </w:p>
    <w:p>
      <w:pPr>
        <w:spacing w:after="0"/>
        <w:jc w:val="left"/>
        <w:rPr>
          <w:sz w:val="18"/>
        </w:rPr>
        <w:sectPr>
          <w:pgSz w:w="12240" w:h="15840"/>
          <w:pgMar w:header="545" w:footer="852" w:top="1060" w:bottom="1040" w:left="540" w:right="220"/>
          <w:cols w:num="2" w:equalWidth="0">
            <w:col w:w="4301" w:space="1101"/>
            <w:col w:w="6078"/>
          </w:cols>
        </w:sectPr>
      </w:pPr>
    </w:p>
    <w:p>
      <w:pPr>
        <w:pStyle w:val="ListParagraph"/>
        <w:numPr>
          <w:ilvl w:val="0"/>
          <w:numId w:val="92"/>
        </w:numPr>
        <w:tabs>
          <w:tab w:pos="867" w:val="left" w:leader="none"/>
          <w:tab w:pos="868" w:val="left" w:leader="none"/>
          <w:tab w:pos="2619" w:val="left" w:leader="none"/>
          <w:tab w:pos="4300" w:val="right" w:leader="none"/>
        </w:tabs>
        <w:spacing w:line="129" w:lineRule="exact" w:before="0" w:after="0"/>
        <w:ind w:left="867" w:right="0" w:hanging="432"/>
        <w:jc w:val="left"/>
        <w:rPr>
          <w:sz w:val="18"/>
        </w:rPr>
      </w:pPr>
      <w:r>
        <w:rPr>
          <w:sz w:val="18"/>
        </w:rPr>
        <w:t>(Table A</w:t>
      </w:r>
      <w:r>
        <w:rPr>
          <w:spacing w:val="-1"/>
          <w:sz w:val="18"/>
        </w:rPr>
        <w:t> </w:t>
      </w:r>
      <w:r>
        <w:rPr>
          <w:sz w:val="18"/>
        </w:rPr>
        <w:t>+</w:t>
        <w:tab/>
        <w:t>5</w:t>
        <w:tab/>
        <w:t>5</w:t>
      </w:r>
    </w:p>
    <w:p>
      <w:pPr>
        <w:spacing w:line="207" w:lineRule="exact" w:before="0"/>
        <w:ind w:left="867" w:right="0" w:firstLine="0"/>
        <w:jc w:val="left"/>
        <w:rPr>
          <w:sz w:val="18"/>
        </w:rPr>
      </w:pPr>
      <w:r>
        <w:rPr>
          <w:sz w:val="18"/>
        </w:rPr>
        <w:t>Force)</w:t>
      </w:r>
    </w:p>
    <w:p>
      <w:pPr>
        <w:tabs>
          <w:tab w:pos="2108" w:val="left" w:leader="none"/>
          <w:tab w:pos="2878" w:val="left" w:leader="none"/>
          <w:tab w:pos="3747" w:val="left" w:leader="none"/>
          <w:tab w:pos="4468" w:val="left" w:leader="none"/>
        </w:tabs>
        <w:spacing w:before="120"/>
        <w:ind w:left="1845" w:right="0" w:firstLine="0"/>
        <w:jc w:val="left"/>
        <w:rPr>
          <w:sz w:val="18"/>
        </w:rPr>
      </w:pPr>
      <w:r>
        <w:rPr>
          <w:sz w:val="18"/>
          <w:u w:val="single"/>
        </w:rPr>
        <w:t> </w:t>
        <w:tab/>
        <w:t>Left</w:t>
        <w:tab/>
        <w:t>Right</w:t>
        <w:tab/>
        <w:t>Left</w:t>
        <w:tab/>
        <w:t>Right</w:t>
      </w:r>
      <w:r>
        <w:rPr>
          <w:spacing w:val="-21"/>
          <w:sz w:val="18"/>
          <w:u w:val="single"/>
        </w:rPr>
        <w:t> </w:t>
      </w:r>
    </w:p>
    <w:p>
      <w:pPr>
        <w:spacing w:before="119"/>
        <w:ind w:left="435" w:right="-14" w:firstLine="0"/>
        <w:jc w:val="left"/>
        <w:rPr>
          <w:sz w:val="18"/>
        </w:rPr>
      </w:pPr>
      <w:r>
        <w:rPr/>
        <w:br w:type="column"/>
      </w:r>
      <w:r>
        <w:rPr>
          <w:sz w:val="18"/>
        </w:rPr>
        <w:t>FINAL</w:t>
      </w:r>
      <w:r>
        <w:rPr>
          <w:spacing w:val="-7"/>
          <w:sz w:val="18"/>
        </w:rPr>
        <w:t> </w:t>
      </w:r>
      <w:r>
        <w:rPr>
          <w:sz w:val="18"/>
        </w:rPr>
        <w:t>JSI SCORE</w:t>
      </w:r>
    </w:p>
    <w:p>
      <w:pPr>
        <w:spacing w:line="126" w:lineRule="exact" w:before="653"/>
        <w:ind w:left="373" w:right="-17" w:firstLine="0"/>
        <w:jc w:val="left"/>
        <w:rPr>
          <w:sz w:val="18"/>
        </w:rPr>
      </w:pPr>
      <w:r>
        <w:rPr/>
        <w:br w:type="column"/>
      </w:r>
      <w:r>
        <w:rPr>
          <w:sz w:val="18"/>
        </w:rPr>
        <w:t>Increased</w:t>
      </w:r>
    </w:p>
    <w:p>
      <w:pPr>
        <w:spacing w:line="126" w:lineRule="exact" w:before="653"/>
        <w:ind w:left="435" w:right="0" w:firstLine="0"/>
        <w:jc w:val="left"/>
        <w:rPr>
          <w:sz w:val="18"/>
        </w:rPr>
      </w:pPr>
      <w:r>
        <w:rPr/>
        <w:br w:type="column"/>
      </w:r>
      <w:r>
        <w:rPr>
          <w:sz w:val="18"/>
        </w:rPr>
        <w:t>Increased</w:t>
      </w:r>
    </w:p>
    <w:p>
      <w:pPr>
        <w:spacing w:after="0" w:line="126" w:lineRule="exact"/>
        <w:jc w:val="left"/>
        <w:rPr>
          <w:sz w:val="18"/>
        </w:rPr>
        <w:sectPr>
          <w:type w:val="continuous"/>
          <w:pgSz w:w="12240" w:h="15840"/>
          <w:pgMar w:top="1500" w:bottom="280" w:left="540" w:right="220"/>
          <w:cols w:num="4" w:equalWidth="0">
            <w:col w:w="5028" w:space="374"/>
            <w:col w:w="1240" w:space="40"/>
            <w:col w:w="1066" w:space="989"/>
            <w:col w:w="2743"/>
          </w:cols>
        </w:sectPr>
      </w:pPr>
    </w:p>
    <w:p>
      <w:pPr>
        <w:spacing w:line="157" w:lineRule="exact" w:before="14"/>
        <w:ind w:left="867" w:right="0" w:firstLine="0"/>
        <w:jc w:val="left"/>
        <w:rPr>
          <w:sz w:val="18"/>
        </w:rPr>
      </w:pPr>
      <w:r>
        <w:rPr/>
        <w:pict>
          <v:shape style="position:absolute;margin-left:48.779999pt;margin-top:7.019979pt;width:4.5pt;height:9pt;mso-position-horizontal-relative:page;mso-position-vertical-relative:paragraph;z-index:10816" type="#_x0000_t202" filled="false" stroked="false">
            <v:textbox inset="0,0,0,0">
              <w:txbxContent>
                <w:p>
                  <w:pPr>
                    <w:spacing w:line="180" w:lineRule="exact" w:before="0"/>
                    <w:ind w:left="0" w:right="0" w:firstLine="0"/>
                    <w:jc w:val="left"/>
                    <w:rPr>
                      <w:sz w:val="18"/>
                    </w:rPr>
                  </w:pPr>
                  <w:r>
                    <w:rPr>
                      <w:sz w:val="18"/>
                    </w:rPr>
                    <w:t>7</w:t>
                  </w:r>
                </w:p>
              </w:txbxContent>
            </v:textbox>
            <w10:wrap type="none"/>
          </v:shape>
        </w:pict>
      </w:r>
      <w:r>
        <w:rPr>
          <w:sz w:val="18"/>
        </w:rPr>
        <w:t>Upper Arm</w:t>
      </w:r>
    </w:p>
    <w:p>
      <w:pPr>
        <w:tabs>
          <w:tab w:pos="2212" w:val="left" w:leader="none"/>
          <w:tab w:pos="3033" w:val="left" w:leader="none"/>
          <w:tab w:pos="3851" w:val="left" w:leader="none"/>
          <w:tab w:pos="4713" w:val="right" w:leader="none"/>
        </w:tabs>
        <w:spacing w:line="257" w:lineRule="exact" w:before="0"/>
        <w:ind w:left="867" w:right="0" w:firstLine="0"/>
        <w:jc w:val="left"/>
        <w:rPr>
          <w:sz w:val="18"/>
        </w:rPr>
      </w:pPr>
      <w:r>
        <w:rPr>
          <w:sz w:val="18"/>
        </w:rPr>
        <w:t>Position</w:t>
        <w:tab/>
      </w:r>
      <w:r>
        <w:rPr>
          <w:position w:val="10"/>
          <w:sz w:val="18"/>
        </w:rPr>
        <w:t>2</w:t>
        <w:tab/>
        <w:t>3</w:t>
        <w:tab/>
        <w:t>2</w:t>
        <w:tab/>
        <w:t>3</w:t>
      </w:r>
    </w:p>
    <w:p>
      <w:pPr>
        <w:tabs>
          <w:tab w:pos="867" w:val="left" w:leader="none"/>
        </w:tabs>
        <w:spacing w:line="126" w:lineRule="exact" w:before="120"/>
        <w:ind w:left="435" w:right="0" w:firstLine="0"/>
        <w:jc w:val="left"/>
        <w:rPr>
          <w:sz w:val="18"/>
        </w:rPr>
      </w:pPr>
      <w:r>
        <w:rPr/>
        <w:pict>
          <v:line style="position:absolute;mso-position-horizontal-relative:page;mso-position-vertical-relative:paragraph;z-index:10744" from="313.5pt,-6.537934pt" to="579.78pt,-6.537934pt" stroked="true" strokeweight=".47998pt" strokecolor="#000000">
            <w10:wrap type="none"/>
          </v:line>
        </w:pict>
      </w:r>
      <w:r>
        <w:rPr>
          <w:position w:val="-9"/>
          <w:sz w:val="18"/>
        </w:rPr>
        <w:t>8</w:t>
        <w:tab/>
      </w:r>
      <w:r>
        <w:rPr>
          <w:sz w:val="18"/>
        </w:rPr>
        <w:t>Lower</w:t>
      </w:r>
      <w:r>
        <w:rPr>
          <w:spacing w:val="-7"/>
          <w:sz w:val="18"/>
        </w:rPr>
        <w:t> </w:t>
      </w:r>
      <w:r>
        <w:rPr>
          <w:sz w:val="18"/>
        </w:rPr>
        <w:t>Arm</w:t>
      </w:r>
    </w:p>
    <w:p>
      <w:pPr>
        <w:spacing w:line="184" w:lineRule="exact" w:before="0"/>
        <w:ind w:left="435" w:right="-19" w:firstLine="0"/>
        <w:jc w:val="left"/>
        <w:rPr>
          <w:sz w:val="18"/>
        </w:rPr>
      </w:pPr>
      <w:r>
        <w:rPr/>
        <w:br w:type="column"/>
      </w:r>
      <w:r>
        <w:rPr>
          <w:sz w:val="18"/>
        </w:rPr>
        <w:t>Scoring</w:t>
      </w:r>
    </w:p>
    <w:p>
      <w:pPr>
        <w:tabs>
          <w:tab w:pos="1274" w:val="left" w:leader="none"/>
        </w:tabs>
        <w:spacing w:line="284" w:lineRule="exact" w:before="0"/>
        <w:ind w:left="435" w:right="0" w:firstLine="0"/>
        <w:jc w:val="left"/>
        <w:rPr>
          <w:sz w:val="18"/>
        </w:rPr>
      </w:pPr>
      <w:r>
        <w:rPr/>
        <w:br w:type="column"/>
      </w:r>
      <w:r>
        <w:rPr>
          <w:position w:val="-9"/>
          <w:sz w:val="18"/>
        </w:rPr>
        <w:t>Risk</w:t>
        <w:tab/>
      </w:r>
      <w:r>
        <w:rPr>
          <w:sz w:val="18"/>
        </w:rPr>
        <w:t>Hazardous</w:t>
      </w:r>
    </w:p>
    <w:p>
      <w:pPr>
        <w:tabs>
          <w:tab w:pos="1249" w:val="left" w:leader="none"/>
        </w:tabs>
        <w:spacing w:line="284" w:lineRule="exact" w:before="0"/>
        <w:ind w:left="435" w:right="0" w:firstLine="0"/>
        <w:jc w:val="left"/>
        <w:rPr>
          <w:sz w:val="18"/>
        </w:rPr>
      </w:pPr>
      <w:r>
        <w:rPr/>
        <w:br w:type="column"/>
      </w:r>
      <w:r>
        <w:rPr>
          <w:position w:val="-9"/>
          <w:sz w:val="18"/>
        </w:rPr>
        <w:t>Risk</w:t>
        <w:tab/>
      </w:r>
      <w:r>
        <w:rPr>
          <w:sz w:val="18"/>
        </w:rPr>
        <w:t>Hazardous</w:t>
      </w:r>
    </w:p>
    <w:p>
      <w:pPr>
        <w:spacing w:after="0" w:line="284" w:lineRule="exact"/>
        <w:jc w:val="left"/>
        <w:rPr>
          <w:sz w:val="18"/>
        </w:rPr>
        <w:sectPr>
          <w:type w:val="continuous"/>
          <w:pgSz w:w="12240" w:h="15840"/>
          <w:pgMar w:top="1500" w:bottom="280" w:left="540" w:right="220"/>
          <w:cols w:num="4" w:equalWidth="0">
            <w:col w:w="4714" w:space="688"/>
            <w:col w:w="996" w:space="402"/>
            <w:col w:w="2046" w:space="71"/>
            <w:col w:w="2563"/>
          </w:cols>
        </w:sectPr>
      </w:pPr>
    </w:p>
    <w:p>
      <w:pPr>
        <w:tabs>
          <w:tab w:pos="2212" w:val="left" w:leader="none"/>
          <w:tab w:pos="3033" w:val="left" w:leader="none"/>
          <w:tab w:pos="3851" w:val="left" w:leader="none"/>
          <w:tab w:pos="4713" w:val="right" w:leader="none"/>
        </w:tabs>
        <w:spacing w:line="287" w:lineRule="exact" w:before="0"/>
        <w:ind w:left="867" w:right="0" w:firstLine="0"/>
        <w:jc w:val="left"/>
        <w:rPr>
          <w:sz w:val="18"/>
        </w:rPr>
      </w:pPr>
      <w:r>
        <w:rPr>
          <w:sz w:val="18"/>
        </w:rPr>
        <w:t>Position</w:t>
        <w:tab/>
      </w:r>
      <w:r>
        <w:rPr>
          <w:position w:val="10"/>
          <w:sz w:val="18"/>
        </w:rPr>
        <w:t>2</w:t>
        <w:tab/>
        <w:t>2</w:t>
        <w:tab/>
        <w:t>2</w:t>
        <w:tab/>
        <w:t>2</w:t>
      </w:r>
    </w:p>
    <w:p>
      <w:pPr>
        <w:spacing w:line="157" w:lineRule="exact" w:before="120"/>
        <w:ind w:left="867" w:right="0" w:firstLine="0"/>
        <w:jc w:val="left"/>
        <w:rPr>
          <w:sz w:val="18"/>
        </w:rPr>
      </w:pPr>
      <w:r>
        <w:rPr/>
        <w:pict>
          <v:shape style="position:absolute;margin-left:48.779999pt;margin-top:12.31999pt;width:4.5pt;height:9pt;mso-position-horizontal-relative:page;mso-position-vertical-relative:paragraph;z-index:10840" type="#_x0000_t202" filled="false" stroked="false">
            <v:textbox inset="0,0,0,0">
              <w:txbxContent>
                <w:p>
                  <w:pPr>
                    <w:spacing w:line="180" w:lineRule="exact" w:before="0"/>
                    <w:ind w:left="0" w:right="0" w:firstLine="0"/>
                    <w:jc w:val="left"/>
                    <w:rPr>
                      <w:sz w:val="18"/>
                    </w:rPr>
                  </w:pPr>
                  <w:r>
                    <w:rPr>
                      <w:sz w:val="18"/>
                    </w:rPr>
                    <w:t>9</w:t>
                  </w:r>
                </w:p>
              </w:txbxContent>
            </v:textbox>
            <w10:wrap type="none"/>
          </v:shape>
        </w:pict>
      </w:r>
      <w:r>
        <w:rPr>
          <w:sz w:val="18"/>
        </w:rPr>
        <w:t>Wrist</w:t>
      </w:r>
    </w:p>
    <w:p>
      <w:pPr>
        <w:tabs>
          <w:tab w:pos="2212" w:val="left" w:leader="none"/>
          <w:tab w:pos="3033" w:val="left" w:leader="none"/>
          <w:tab w:pos="3851" w:val="left" w:leader="none"/>
          <w:tab w:pos="4713" w:val="right" w:leader="none"/>
        </w:tabs>
        <w:spacing w:line="257" w:lineRule="exact" w:before="0"/>
        <w:ind w:left="867" w:right="0" w:firstLine="0"/>
        <w:jc w:val="left"/>
        <w:rPr>
          <w:sz w:val="18"/>
        </w:rPr>
      </w:pPr>
      <w:r>
        <w:rPr>
          <w:sz w:val="18"/>
        </w:rPr>
        <w:t>Position</w:t>
        <w:tab/>
      </w:r>
      <w:r>
        <w:rPr>
          <w:position w:val="10"/>
          <w:sz w:val="18"/>
        </w:rPr>
        <w:t>1</w:t>
        <w:tab/>
        <w:t>3</w:t>
        <w:tab/>
        <w:t>1</w:t>
        <w:tab/>
        <w:t>2</w:t>
      </w:r>
    </w:p>
    <w:p>
      <w:pPr>
        <w:spacing w:line="157" w:lineRule="exact" w:before="120"/>
        <w:ind w:left="867" w:right="0" w:firstLine="0"/>
        <w:jc w:val="left"/>
        <w:rPr>
          <w:sz w:val="18"/>
        </w:rPr>
      </w:pPr>
      <w:r>
        <w:rPr/>
        <w:pict>
          <v:shape style="position:absolute;margin-left:46.5597pt;margin-top:12.319987pt;width:9pt;height:9pt;mso-position-horizontal-relative:page;mso-position-vertical-relative:paragraph;z-index:10864" type="#_x0000_t202" filled="false" stroked="false">
            <v:textbox inset="0,0,0,0">
              <w:txbxContent>
                <w:p>
                  <w:pPr>
                    <w:spacing w:line="180" w:lineRule="exact" w:before="0"/>
                    <w:ind w:left="0" w:right="-20" w:firstLine="0"/>
                    <w:jc w:val="left"/>
                    <w:rPr>
                      <w:sz w:val="18"/>
                    </w:rPr>
                  </w:pPr>
                  <w:r>
                    <w:rPr>
                      <w:sz w:val="18"/>
                    </w:rPr>
                    <w:t>10</w:t>
                  </w:r>
                </w:p>
              </w:txbxContent>
            </v:textbox>
            <w10:wrap type="none"/>
          </v:shape>
        </w:pict>
      </w:r>
      <w:r>
        <w:rPr>
          <w:sz w:val="18"/>
        </w:rPr>
        <w:t>Score</w:t>
      </w:r>
    </w:p>
    <w:p>
      <w:pPr>
        <w:tabs>
          <w:tab w:pos="2212" w:val="left" w:leader="none"/>
          <w:tab w:pos="3033" w:val="left" w:leader="none"/>
          <w:tab w:pos="3851" w:val="left" w:leader="none"/>
          <w:tab w:pos="4713" w:val="right" w:leader="none"/>
        </w:tabs>
        <w:spacing w:line="257" w:lineRule="exact" w:before="0"/>
        <w:ind w:left="867" w:right="0" w:firstLine="0"/>
        <w:jc w:val="left"/>
        <w:rPr>
          <w:sz w:val="18"/>
        </w:rPr>
      </w:pPr>
      <w:r>
        <w:rPr>
          <w:sz w:val="18"/>
        </w:rPr>
        <w:t>Table</w:t>
      </w:r>
      <w:r>
        <w:rPr>
          <w:spacing w:val="-1"/>
          <w:sz w:val="18"/>
        </w:rPr>
        <w:t> </w:t>
      </w:r>
      <w:r>
        <w:rPr>
          <w:sz w:val="18"/>
        </w:rPr>
        <w:t>B</w:t>
        <w:tab/>
      </w:r>
      <w:r>
        <w:rPr>
          <w:position w:val="10"/>
          <w:sz w:val="18"/>
        </w:rPr>
        <w:t>2</w:t>
        <w:tab/>
        <w:t>5</w:t>
        <w:tab/>
        <w:t>2</w:t>
        <w:tab/>
        <w:t>5</w:t>
      </w:r>
    </w:p>
    <w:p>
      <w:pPr>
        <w:spacing w:line="157" w:lineRule="exact" w:before="120"/>
        <w:ind w:left="867" w:right="0" w:firstLine="0"/>
        <w:jc w:val="left"/>
        <w:rPr>
          <w:sz w:val="18"/>
        </w:rPr>
      </w:pPr>
      <w:r>
        <w:rPr/>
        <w:pict>
          <v:shape style="position:absolute;margin-left:46.5597pt;margin-top:12.319985pt;width:9pt;height:9pt;mso-position-horizontal-relative:page;mso-position-vertical-relative:paragraph;z-index:10888" type="#_x0000_t202" filled="false" stroked="false">
            <v:textbox inset="0,0,0,0">
              <w:txbxContent>
                <w:p>
                  <w:pPr>
                    <w:spacing w:line="180" w:lineRule="exact" w:before="0"/>
                    <w:ind w:left="0" w:right="-20" w:firstLine="0"/>
                    <w:jc w:val="left"/>
                    <w:rPr>
                      <w:sz w:val="18"/>
                    </w:rPr>
                  </w:pPr>
                  <w:r>
                    <w:rPr>
                      <w:sz w:val="18"/>
                    </w:rPr>
                    <w:t>11</w:t>
                  </w:r>
                </w:p>
              </w:txbxContent>
            </v:textbox>
            <w10:wrap type="none"/>
          </v:shape>
        </w:pict>
      </w:r>
      <w:r>
        <w:rPr>
          <w:sz w:val="18"/>
        </w:rPr>
        <w:t>Coupling</w:t>
      </w:r>
    </w:p>
    <w:p>
      <w:pPr>
        <w:tabs>
          <w:tab w:pos="2212" w:val="left" w:leader="none"/>
          <w:tab w:pos="3033" w:val="left" w:leader="none"/>
          <w:tab w:pos="3851" w:val="left" w:leader="none"/>
          <w:tab w:pos="4713" w:val="right" w:leader="none"/>
        </w:tabs>
        <w:spacing w:line="257" w:lineRule="exact" w:before="0"/>
        <w:ind w:left="867" w:right="0" w:firstLine="0"/>
        <w:jc w:val="left"/>
        <w:rPr>
          <w:sz w:val="18"/>
        </w:rPr>
      </w:pPr>
      <w:r>
        <w:rPr>
          <w:position w:val="-9"/>
          <w:sz w:val="18"/>
        </w:rPr>
        <w:t>Score</w:t>
        <w:tab/>
      </w:r>
      <w:r>
        <w:rPr>
          <w:sz w:val="18"/>
        </w:rPr>
        <w:t>1</w:t>
        <w:tab/>
        <w:t>3</w:t>
        <w:tab/>
        <w:t>1</w:t>
        <w:tab/>
        <w:t>2</w:t>
      </w:r>
    </w:p>
    <w:p>
      <w:pPr>
        <w:spacing w:before="120"/>
        <w:ind w:left="867" w:right="0" w:firstLine="0"/>
        <w:jc w:val="left"/>
        <w:rPr>
          <w:sz w:val="18"/>
        </w:rPr>
      </w:pPr>
      <w:r>
        <w:rPr>
          <w:sz w:val="18"/>
        </w:rPr>
        <w:t>Score</w:t>
      </w:r>
    </w:p>
    <w:p>
      <w:pPr>
        <w:pStyle w:val="BodyText"/>
        <w:spacing w:line="205" w:lineRule="exact"/>
        <w:ind w:left="391"/>
        <w:jc w:val="both"/>
      </w:pPr>
      <w:r>
        <w:rPr/>
        <w:br w:type="column"/>
      </w:r>
      <w:r>
        <w:rPr/>
        <w:t>The  evaluation  in  the  arrangement  of  the  workstation  is</w:t>
      </w:r>
    </w:p>
    <w:p>
      <w:pPr>
        <w:pStyle w:val="BodyText"/>
        <w:ind w:left="391" w:right="676"/>
        <w:jc w:val="both"/>
      </w:pPr>
      <w:r>
        <w:rPr/>
        <w:t>determined that the provision is inadequate, since the surgeon does not have a proper interaction with the elements in your workstation during the procedure. The most representative elements found were: improper adjustment of the table that prevents work at the height of elbow flexed, the top edge of the monitor is not at eye level and is located perpendicular to the head in neutral. The use of pedal determines the surgeon to decrease its base of support and work on one foot while the pedal perpendicularly are.   </w:t>
      </w:r>
      <w:r>
        <w:rPr>
          <w:spacing w:val="24"/>
        </w:rPr>
        <w:t> </w:t>
      </w:r>
      <w:r>
        <w:rPr/>
        <w:t>The</w:t>
      </w:r>
    </w:p>
    <w:p>
      <w:pPr>
        <w:spacing w:after="0"/>
        <w:jc w:val="both"/>
        <w:sectPr>
          <w:type w:val="continuous"/>
          <w:pgSz w:w="12240" w:h="15840"/>
          <w:pgMar w:top="1500" w:bottom="280" w:left="540" w:right="220"/>
          <w:cols w:num="2" w:equalWidth="0">
            <w:col w:w="4714" w:space="830"/>
            <w:col w:w="5936"/>
          </w:cols>
        </w:sectPr>
      </w:pPr>
    </w:p>
    <w:p>
      <w:pPr>
        <w:tabs>
          <w:tab w:pos="867" w:val="left" w:leader="none"/>
        </w:tabs>
        <w:spacing w:line="148" w:lineRule="exact" w:before="0"/>
        <w:ind w:left="391" w:right="0" w:firstLine="0"/>
        <w:jc w:val="left"/>
        <w:rPr>
          <w:sz w:val="18"/>
        </w:rPr>
      </w:pPr>
      <w:r>
        <w:rPr>
          <w:sz w:val="18"/>
        </w:rPr>
        <w:t>12</w:t>
        <w:tab/>
        <w:t>(Table B</w:t>
      </w:r>
      <w:r>
        <w:rPr>
          <w:spacing w:val="-1"/>
          <w:sz w:val="18"/>
        </w:rPr>
        <w:t> </w:t>
      </w:r>
      <w:r>
        <w:rPr>
          <w:sz w:val="18"/>
        </w:rPr>
        <w:t>+</w:t>
      </w:r>
    </w:p>
    <w:p>
      <w:pPr>
        <w:spacing w:line="207" w:lineRule="exact" w:before="0"/>
        <w:ind w:left="867" w:right="0" w:firstLine="0"/>
        <w:jc w:val="left"/>
        <w:rPr>
          <w:sz w:val="18"/>
        </w:rPr>
      </w:pPr>
      <w:r>
        <w:rPr>
          <w:sz w:val="18"/>
        </w:rPr>
        <w:t>Coupling)</w:t>
      </w:r>
    </w:p>
    <w:p>
      <w:pPr>
        <w:tabs>
          <w:tab w:pos="1211" w:val="left" w:leader="none"/>
          <w:tab w:pos="2030" w:val="left" w:leader="none"/>
          <w:tab w:pos="2801" w:val="left" w:leader="none"/>
        </w:tabs>
        <w:spacing w:line="148" w:lineRule="exact" w:before="0"/>
        <w:ind w:left="391" w:right="0" w:firstLine="0"/>
        <w:jc w:val="left"/>
        <w:rPr>
          <w:sz w:val="18"/>
        </w:rPr>
      </w:pPr>
      <w:r>
        <w:rPr/>
        <w:br w:type="column"/>
      </w:r>
      <w:r>
        <w:rPr>
          <w:sz w:val="18"/>
        </w:rPr>
        <w:t>3</w:t>
        <w:tab/>
        <w:t>8</w:t>
        <w:tab/>
        <w:t>3</w:t>
        <w:tab/>
        <w:t>7</w:t>
      </w:r>
    </w:p>
    <w:p>
      <w:pPr>
        <w:pStyle w:val="BodyText"/>
        <w:ind w:left="391" w:right="674"/>
      </w:pPr>
      <w:r>
        <w:rPr/>
        <w:br w:type="column"/>
      </w:r>
      <w:r>
        <w:rPr/>
        <w:t>results of the application of RULA indicate that this position has a score of 9 in the right limb, in both tasks, for which</w:t>
      </w:r>
    </w:p>
    <w:p>
      <w:pPr>
        <w:spacing w:after="0"/>
        <w:sectPr>
          <w:type w:val="continuous"/>
          <w:pgSz w:w="12240" w:h="15840"/>
          <w:pgMar w:top="1500" w:bottom="280" w:left="540" w:right="220"/>
          <w:cols w:num="3" w:equalWidth="0">
            <w:col w:w="1651" w:space="171"/>
            <w:col w:w="2893" w:space="830"/>
            <w:col w:w="5935"/>
          </w:cols>
        </w:sectPr>
      </w:pPr>
    </w:p>
    <w:p>
      <w:pPr>
        <w:spacing w:line="157" w:lineRule="exact" w:before="15"/>
        <w:ind w:left="867" w:right="0" w:firstLine="0"/>
        <w:jc w:val="left"/>
        <w:rPr>
          <w:sz w:val="18"/>
        </w:rPr>
      </w:pPr>
      <w:r>
        <w:rPr/>
        <w:pict>
          <v:shape style="position:absolute;margin-left:46.5597pt;margin-top:7.069968pt;width:9pt;height:9pt;mso-position-horizontal-relative:page;mso-position-vertical-relative:paragraph;z-index:10912" type="#_x0000_t202" filled="false" stroked="false">
            <v:textbox inset="0,0,0,0">
              <w:txbxContent>
                <w:p>
                  <w:pPr>
                    <w:spacing w:line="180" w:lineRule="exact" w:before="0"/>
                    <w:ind w:left="0" w:right="-20" w:firstLine="0"/>
                    <w:jc w:val="left"/>
                    <w:rPr>
                      <w:sz w:val="18"/>
                    </w:rPr>
                  </w:pPr>
                  <w:r>
                    <w:rPr>
                      <w:sz w:val="18"/>
                    </w:rPr>
                    <w:t>13</w:t>
                  </w:r>
                </w:p>
              </w:txbxContent>
            </v:textbox>
            <w10:wrap type="none"/>
          </v:shape>
        </w:pict>
      </w:r>
      <w:r>
        <w:rPr>
          <w:sz w:val="18"/>
        </w:rPr>
        <w:t>Activity</w:t>
      </w:r>
    </w:p>
    <w:p>
      <w:pPr>
        <w:tabs>
          <w:tab w:pos="2212" w:val="left" w:leader="none"/>
          <w:tab w:pos="3033" w:val="left" w:leader="none"/>
          <w:tab w:pos="3851" w:val="left" w:leader="none"/>
          <w:tab w:pos="4623" w:val="left" w:leader="none"/>
        </w:tabs>
        <w:spacing w:line="257" w:lineRule="exact" w:before="0"/>
        <w:ind w:left="867" w:right="0" w:firstLine="0"/>
        <w:jc w:val="left"/>
        <w:rPr>
          <w:sz w:val="18"/>
        </w:rPr>
      </w:pPr>
      <w:r>
        <w:rPr>
          <w:position w:val="-9"/>
          <w:sz w:val="18"/>
        </w:rPr>
        <w:t>Score</w:t>
        <w:tab/>
      </w:r>
      <w:r>
        <w:rPr>
          <w:sz w:val="18"/>
        </w:rPr>
        <w:t>1</w:t>
        <w:tab/>
        <w:t>1</w:t>
        <w:tab/>
        <w:t>1</w:t>
        <w:tab/>
        <w:t>1</w:t>
      </w:r>
    </w:p>
    <w:p>
      <w:pPr>
        <w:spacing w:line="157" w:lineRule="exact" w:before="120"/>
        <w:ind w:left="867" w:right="0" w:firstLine="0"/>
        <w:jc w:val="left"/>
        <w:rPr>
          <w:sz w:val="18"/>
        </w:rPr>
      </w:pPr>
      <w:r>
        <w:rPr/>
        <w:pict>
          <v:shape style="position:absolute;margin-left:46.5597pt;margin-top:12.319966pt;width:9pt;height:9pt;mso-position-horizontal-relative:page;mso-position-vertical-relative:paragraph;z-index:10936" type="#_x0000_t202" filled="false" stroked="false">
            <v:textbox inset="0,0,0,0">
              <w:txbxContent>
                <w:p>
                  <w:pPr>
                    <w:spacing w:line="180" w:lineRule="exact" w:before="0"/>
                    <w:ind w:left="0" w:right="-20" w:firstLine="0"/>
                    <w:jc w:val="left"/>
                    <w:rPr>
                      <w:sz w:val="18"/>
                    </w:rPr>
                  </w:pPr>
                  <w:r>
                    <w:rPr>
                      <w:sz w:val="18"/>
                    </w:rPr>
                    <w:t>14</w:t>
                  </w:r>
                </w:p>
              </w:txbxContent>
            </v:textbox>
            <w10:wrap type="none"/>
          </v:shape>
        </w:pict>
      </w:r>
      <w:r>
        <w:rPr>
          <w:sz w:val="18"/>
        </w:rPr>
        <w:t>Score</w:t>
      </w:r>
    </w:p>
    <w:p>
      <w:pPr>
        <w:tabs>
          <w:tab w:pos="2212" w:val="left" w:leader="none"/>
          <w:tab w:pos="3033" w:val="left" w:leader="none"/>
          <w:tab w:pos="3851" w:val="left" w:leader="none"/>
          <w:tab w:pos="4623" w:val="left" w:leader="none"/>
        </w:tabs>
        <w:spacing w:line="257" w:lineRule="exact" w:before="0"/>
        <w:ind w:left="867" w:right="0" w:firstLine="0"/>
        <w:jc w:val="left"/>
        <w:rPr>
          <w:sz w:val="18"/>
        </w:rPr>
      </w:pPr>
      <w:r>
        <w:rPr>
          <w:sz w:val="18"/>
        </w:rPr>
        <w:t>Table</w:t>
      </w:r>
      <w:r>
        <w:rPr>
          <w:spacing w:val="-1"/>
          <w:sz w:val="18"/>
        </w:rPr>
        <w:t> </w:t>
      </w:r>
      <w:r>
        <w:rPr>
          <w:sz w:val="18"/>
        </w:rPr>
        <w:t>C</w:t>
        <w:tab/>
      </w:r>
      <w:r>
        <w:rPr>
          <w:position w:val="10"/>
          <w:sz w:val="18"/>
        </w:rPr>
        <w:t>4</w:t>
        <w:tab/>
        <w:t>8</w:t>
        <w:tab/>
        <w:t>4</w:t>
        <w:tab/>
        <w:t>8</w:t>
      </w:r>
    </w:p>
    <w:p>
      <w:pPr>
        <w:spacing w:before="120"/>
        <w:ind w:left="867" w:right="3030" w:firstLine="0"/>
        <w:jc w:val="left"/>
        <w:rPr>
          <w:sz w:val="18"/>
        </w:rPr>
      </w:pPr>
      <w:r>
        <w:rPr>
          <w:sz w:val="18"/>
        </w:rPr>
        <w:t>Score (Activity + Score</w:t>
      </w:r>
    </w:p>
    <w:p>
      <w:pPr>
        <w:pStyle w:val="BodyText"/>
        <w:ind w:left="391" w:right="678"/>
        <w:jc w:val="both"/>
      </w:pPr>
      <w:r>
        <w:rPr/>
        <w:br w:type="column"/>
      </w:r>
      <w:r>
        <w:rPr/>
        <w:t>the position is at high risk, and JSI indicates that the job involves an effort high risk produced by repetition.</w:t>
      </w:r>
    </w:p>
    <w:p>
      <w:pPr>
        <w:pStyle w:val="BodyText"/>
        <w:ind w:left="391" w:right="674"/>
        <w:jc w:val="both"/>
      </w:pPr>
      <w:r>
        <w:rPr/>
        <w:t>The standardized Nordic questionnaire for the analysis of musculoskeletal symptoms reflects the presence of discomfort in neck, shoulders, upper and lower back, as well as hands and wrists dominate right hand, these annoyances occur   intermittently   for   days   during   the   year without</w:t>
      </w:r>
    </w:p>
    <w:p>
      <w:pPr>
        <w:spacing w:after="0"/>
        <w:jc w:val="both"/>
        <w:sectPr>
          <w:type w:val="continuous"/>
          <w:pgSz w:w="12240" w:h="15840"/>
          <w:pgMar w:top="1500" w:bottom="280" w:left="540" w:right="220"/>
          <w:cols w:num="2" w:equalWidth="0">
            <w:col w:w="4714" w:space="830"/>
            <w:col w:w="5936"/>
          </w:cols>
        </w:sectPr>
      </w:pPr>
    </w:p>
    <w:p>
      <w:pPr>
        <w:spacing w:line="206" w:lineRule="exact" w:before="0"/>
        <w:ind w:left="867" w:right="0" w:firstLine="0"/>
        <w:jc w:val="both"/>
        <w:rPr>
          <w:sz w:val="18"/>
        </w:rPr>
      </w:pPr>
      <w:r>
        <w:rPr>
          <w:sz w:val="18"/>
        </w:rPr>
        <w:t>Table C)</w:t>
      </w:r>
    </w:p>
    <w:p>
      <w:pPr>
        <w:spacing w:before="120"/>
        <w:ind w:left="867" w:right="55" w:firstLine="0"/>
        <w:jc w:val="both"/>
        <w:rPr>
          <w:sz w:val="18"/>
        </w:rPr>
      </w:pPr>
      <w:r>
        <w:rPr>
          <w:sz w:val="18"/>
        </w:rPr>
        <w:t>FINAL REBA SCORE</w:t>
      </w:r>
    </w:p>
    <w:p>
      <w:pPr>
        <w:tabs>
          <w:tab w:pos="1489" w:val="left" w:leader="none"/>
          <w:tab w:pos="2308" w:val="left" w:leader="none"/>
          <w:tab w:pos="3079" w:val="left" w:leader="none"/>
        </w:tabs>
        <w:spacing w:before="59"/>
        <w:ind w:left="668" w:right="0" w:firstLine="0"/>
        <w:jc w:val="left"/>
        <w:rPr>
          <w:sz w:val="18"/>
        </w:rPr>
      </w:pPr>
      <w:r>
        <w:rPr/>
        <w:br w:type="column"/>
      </w:r>
      <w:r>
        <w:rPr>
          <w:sz w:val="18"/>
        </w:rPr>
        <w:t>5</w:t>
        <w:tab/>
        <w:t>9</w:t>
        <w:tab/>
        <w:t>5</w:t>
        <w:tab/>
        <w:t>9</w:t>
      </w:r>
    </w:p>
    <w:p>
      <w:pPr>
        <w:pStyle w:val="BodyText"/>
        <w:spacing w:line="135" w:lineRule="exact"/>
        <w:ind w:left="867"/>
      </w:pPr>
      <w:r>
        <w:rPr/>
        <w:br w:type="column"/>
      </w:r>
      <w:r>
        <w:rPr/>
        <w:t>affecting  the  professional  activity,  entertainment  and  / or</w:t>
      </w:r>
    </w:p>
    <w:p>
      <w:pPr>
        <w:pStyle w:val="BodyText"/>
        <w:ind w:left="867"/>
      </w:pPr>
      <w:r>
        <w:rPr/>
        <w:t>recreation.</w:t>
      </w:r>
    </w:p>
    <w:p>
      <w:pPr>
        <w:pStyle w:val="BodyText"/>
        <w:spacing w:before="2"/>
      </w:pPr>
    </w:p>
    <w:p>
      <w:pPr>
        <w:pStyle w:val="Heading4"/>
        <w:numPr>
          <w:ilvl w:val="0"/>
          <w:numId w:val="91"/>
        </w:numPr>
        <w:tabs>
          <w:tab w:pos="1068" w:val="left" w:leader="none"/>
        </w:tabs>
        <w:spacing w:line="240" w:lineRule="auto" w:before="0" w:after="0"/>
        <w:ind w:left="1068" w:right="0" w:hanging="201"/>
        <w:jc w:val="left"/>
      </w:pPr>
      <w:r>
        <w:rPr/>
        <w:t>CONCLUSIONS</w:t>
      </w:r>
    </w:p>
    <w:p>
      <w:pPr>
        <w:spacing w:after="0" w:line="240" w:lineRule="auto"/>
        <w:jc w:val="left"/>
        <w:sectPr>
          <w:type w:val="continuous"/>
          <w:pgSz w:w="12240" w:h="15840"/>
          <w:pgMar w:top="1500" w:bottom="280" w:left="540" w:right="220"/>
          <w:cols w:num="3" w:equalWidth="0">
            <w:col w:w="1504" w:space="40"/>
            <w:col w:w="3170" w:space="353"/>
            <w:col w:w="6413"/>
          </w:cols>
        </w:sectPr>
      </w:pPr>
    </w:p>
    <w:p>
      <w:pPr>
        <w:tabs>
          <w:tab w:pos="1953" w:val="left" w:leader="none"/>
        </w:tabs>
        <w:spacing w:line="226" w:lineRule="exact" w:before="124"/>
        <w:ind w:left="867" w:right="0" w:firstLine="0"/>
        <w:jc w:val="left"/>
        <w:rPr>
          <w:sz w:val="18"/>
        </w:rPr>
      </w:pPr>
      <w:r>
        <w:rPr>
          <w:sz w:val="18"/>
        </w:rPr>
        <w:t>Scoring</w:t>
        <w:tab/>
      </w:r>
      <w:r>
        <w:rPr>
          <w:spacing w:val="-1"/>
          <w:position w:val="10"/>
          <w:sz w:val="18"/>
        </w:rPr>
        <w:t>Medium</w:t>
      </w:r>
    </w:p>
    <w:p>
      <w:pPr>
        <w:spacing w:before="119"/>
        <w:ind w:left="295" w:right="-19" w:firstLine="0"/>
        <w:jc w:val="left"/>
        <w:rPr>
          <w:sz w:val="18"/>
        </w:rPr>
      </w:pPr>
      <w:r>
        <w:rPr/>
        <w:br w:type="column"/>
      </w:r>
      <w:r>
        <w:rPr>
          <w:sz w:val="18"/>
        </w:rPr>
        <w:t>High</w:t>
      </w:r>
    </w:p>
    <w:p>
      <w:pPr>
        <w:spacing w:before="119"/>
        <w:ind w:left="293" w:right="-19" w:firstLine="0"/>
        <w:jc w:val="left"/>
        <w:rPr>
          <w:sz w:val="18"/>
        </w:rPr>
      </w:pPr>
      <w:r>
        <w:rPr/>
        <w:br w:type="column"/>
      </w:r>
      <w:r>
        <w:rPr>
          <w:sz w:val="18"/>
        </w:rPr>
        <w:t>Medium</w:t>
      </w:r>
    </w:p>
    <w:p>
      <w:pPr>
        <w:spacing w:before="119"/>
        <w:ind w:left="246" w:right="-19" w:firstLine="0"/>
        <w:jc w:val="left"/>
        <w:rPr>
          <w:sz w:val="18"/>
        </w:rPr>
      </w:pPr>
      <w:r>
        <w:rPr/>
        <w:br w:type="column"/>
      </w:r>
      <w:r>
        <w:rPr>
          <w:sz w:val="18"/>
        </w:rPr>
        <w:t>High</w:t>
      </w:r>
    </w:p>
    <w:p>
      <w:pPr>
        <w:pStyle w:val="BodyText"/>
        <w:spacing w:before="107"/>
        <w:ind w:left="867"/>
      </w:pPr>
      <w:r>
        <w:rPr/>
        <w:br w:type="column"/>
      </w:r>
      <w:r>
        <w:rPr/>
        <w:t>The  interaction  occurs  between  different  ergonomic  risk</w:t>
      </w:r>
    </w:p>
    <w:p>
      <w:pPr>
        <w:spacing w:after="0"/>
        <w:sectPr>
          <w:type w:val="continuous"/>
          <w:pgSz w:w="12240" w:h="15840"/>
          <w:pgMar w:top="1500" w:bottom="280" w:left="540" w:right="220"/>
          <w:cols w:num="5" w:equalWidth="0">
            <w:col w:w="2564" w:space="40"/>
            <w:col w:w="656" w:space="40"/>
            <w:col w:w="904" w:space="40"/>
            <w:col w:w="607" w:space="218"/>
            <w:col w:w="6411"/>
          </w:cols>
        </w:sectPr>
      </w:pPr>
    </w:p>
    <w:p>
      <w:pPr>
        <w:tabs>
          <w:tab w:pos="2092" w:val="left" w:leader="none"/>
          <w:tab w:pos="2913" w:val="left" w:leader="none"/>
          <w:tab w:pos="3731" w:val="left" w:leader="none"/>
          <w:tab w:pos="4503" w:val="left" w:leader="none"/>
        </w:tabs>
        <w:spacing w:line="184" w:lineRule="exact" w:before="0"/>
        <w:ind w:left="202" w:right="0" w:firstLine="0"/>
        <w:jc w:val="left"/>
        <w:rPr>
          <w:sz w:val="18"/>
        </w:rPr>
      </w:pPr>
      <w:r>
        <w:rPr>
          <w:sz w:val="18"/>
          <w:u w:val="single"/>
        </w:rPr>
        <w:t> </w:t>
        <w:tab/>
        <w:t>Risk</w:t>
        <w:tab/>
        <w:t>Risk</w:t>
        <w:tab/>
        <w:t>Risk</w:t>
        <w:tab/>
        <w:t>Risk</w:t>
      </w:r>
      <w:r>
        <w:rPr>
          <w:spacing w:val="14"/>
          <w:sz w:val="18"/>
          <w:u w:val="single"/>
        </w:rPr>
        <w:t> </w:t>
      </w:r>
    </w:p>
    <w:p>
      <w:pPr>
        <w:pStyle w:val="BodyText"/>
        <w:rPr>
          <w:sz w:val="18"/>
        </w:rPr>
      </w:pPr>
    </w:p>
    <w:p>
      <w:pPr>
        <w:pStyle w:val="BodyText"/>
        <w:spacing w:before="131"/>
        <w:ind w:left="310" w:right="201"/>
        <w:jc w:val="both"/>
      </w:pPr>
      <w:r>
        <w:rPr/>
        <w:t>Job Strain Index indicates an increased risk predominates in his right hand during both tasks, but the task is set stapling is at increased risk for the existing element with greater intensity effort (Table 3).</w:t>
      </w:r>
    </w:p>
    <w:p>
      <w:pPr>
        <w:pStyle w:val="BodyText"/>
        <w:tabs>
          <w:tab w:pos="5431" w:val="left" w:leader="none"/>
        </w:tabs>
        <w:spacing w:before="120"/>
        <w:ind w:left="105"/>
      </w:pPr>
      <w:r>
        <w:rPr>
          <w:w w:val="100"/>
          <w:u w:val="single"/>
        </w:rPr>
        <w:t> </w:t>
      </w:r>
      <w:r>
        <w:rPr>
          <w:spacing w:val="7"/>
          <w:u w:val="single"/>
        </w:rPr>
        <w:t> </w:t>
      </w:r>
      <w:r>
        <w:rPr>
          <w:u w:val="single"/>
        </w:rPr>
        <w:t>Table 3, Scores  Job Strain</w:t>
      </w:r>
      <w:r>
        <w:rPr>
          <w:spacing w:val="-9"/>
          <w:u w:val="single"/>
        </w:rPr>
        <w:t> </w:t>
      </w:r>
      <w:r>
        <w:rPr>
          <w:u w:val="single"/>
        </w:rPr>
        <w:t>Index</w:t>
        <w:tab/>
      </w:r>
    </w:p>
    <w:p>
      <w:pPr>
        <w:pStyle w:val="BodyText"/>
        <w:spacing w:line="217" w:lineRule="exact"/>
        <w:ind w:left="105"/>
        <w:jc w:val="both"/>
      </w:pPr>
      <w:r>
        <w:rPr/>
        <w:br w:type="column"/>
      </w:r>
      <w:r>
        <w:rPr/>
        <w:t>factors  in  different  tasks  with  increasing  demand  in  the</w:t>
      </w:r>
    </w:p>
    <w:p>
      <w:pPr>
        <w:pStyle w:val="BodyText"/>
        <w:ind w:left="105" w:right="676"/>
        <w:jc w:val="both"/>
      </w:pPr>
      <w:r>
        <w:rPr/>
        <w:t>upper right limb by repeated action, a posture alteration and application of effort is determined to be the most vulnerable to present musculoskeletal disorders segment.</w:t>
      </w:r>
    </w:p>
    <w:p>
      <w:pPr>
        <w:pStyle w:val="BodyText"/>
        <w:ind w:left="105" w:right="676"/>
        <w:jc w:val="both"/>
      </w:pPr>
      <w:r>
        <w:rPr/>
        <w:t>The results indicate that the workstation surgeon has elements that are not adapted to the characteristics and activities of the surgeon, making it convenient to work redesigning it. Also better training in the area of ergonomics</w:t>
      </w:r>
    </w:p>
    <w:p>
      <w:pPr>
        <w:spacing w:after="0"/>
        <w:jc w:val="both"/>
        <w:sectPr>
          <w:type w:val="continuous"/>
          <w:pgSz w:w="12240" w:h="15840"/>
          <w:pgMar w:top="1500" w:bottom="280" w:left="540" w:right="220"/>
          <w:cols w:num="2" w:equalWidth="0">
            <w:col w:w="5432" w:space="398"/>
            <w:col w:w="5650"/>
          </w:cols>
        </w:sectPr>
      </w:pPr>
    </w:p>
    <w:p>
      <w:pPr>
        <w:pStyle w:val="BodyText"/>
        <w:spacing w:line="160" w:lineRule="exact" w:before="95"/>
        <w:ind w:left="493" w:right="-20"/>
      </w:pPr>
      <w:r>
        <w:rPr/>
        <w:t>Risk</w:t>
      </w:r>
    </w:p>
    <w:p>
      <w:pPr>
        <w:pStyle w:val="BodyText"/>
        <w:tabs>
          <w:tab w:pos="2989" w:val="left" w:leader="none"/>
        </w:tabs>
        <w:spacing w:line="105" w:lineRule="exact" w:before="150"/>
        <w:ind w:left="493"/>
      </w:pPr>
      <w:r>
        <w:rPr/>
        <w:br w:type="column"/>
      </w:r>
      <w:r>
        <w:rPr/>
        <w:t>Cut</w:t>
      </w:r>
      <w:r>
        <w:rPr>
          <w:spacing w:val="-2"/>
        </w:rPr>
        <w:t> </w:t>
      </w:r>
      <w:r>
        <w:rPr/>
        <w:t>/</w:t>
      </w:r>
      <w:r>
        <w:rPr>
          <w:spacing w:val="-2"/>
        </w:rPr>
        <w:t> </w:t>
      </w:r>
      <w:r>
        <w:rPr/>
        <w:t>cauterization</w:t>
        <w:tab/>
      </w:r>
      <w:r>
        <w:rPr>
          <w:spacing w:val="-1"/>
        </w:rPr>
        <w:t>Stapling</w:t>
      </w:r>
    </w:p>
    <w:p>
      <w:pPr>
        <w:pStyle w:val="BodyText"/>
        <w:spacing w:line="229" w:lineRule="exact"/>
        <w:ind w:left="493"/>
      </w:pPr>
      <w:r>
        <w:rPr/>
        <w:br w:type="column"/>
      </w:r>
      <w:r>
        <w:rPr/>
        <w:t>for surgeons performing laparoscopic procedures to  address</w:t>
      </w:r>
    </w:p>
    <w:p>
      <w:pPr>
        <w:spacing w:after="0" w:line="229" w:lineRule="exact"/>
        <w:sectPr>
          <w:type w:val="continuous"/>
          <w:pgSz w:w="12240" w:h="15840"/>
          <w:pgMar w:top="1500" w:bottom="280" w:left="540" w:right="220"/>
          <w:cols w:num="3" w:equalWidth="0">
            <w:col w:w="860" w:space="215"/>
            <w:col w:w="3657" w:space="710"/>
            <w:col w:w="6038"/>
          </w:cols>
        </w:sectPr>
      </w:pPr>
    </w:p>
    <w:p>
      <w:pPr>
        <w:pStyle w:val="BodyText"/>
        <w:tabs>
          <w:tab w:pos="421" w:val="left" w:leader="none"/>
          <w:tab w:pos="5431" w:val="left" w:leader="none"/>
        </w:tabs>
        <w:spacing w:before="69"/>
        <w:ind w:left="105"/>
      </w:pPr>
      <w:r>
        <w:rPr>
          <w:w w:val="100"/>
          <w:u w:val="single"/>
        </w:rPr>
        <w:t> </w:t>
      </w:r>
      <w:r>
        <w:rPr>
          <w:u w:val="single"/>
        </w:rPr>
        <w:tab/>
        <w:t>Factor</w:t>
        <w:tab/>
      </w:r>
    </w:p>
    <w:p>
      <w:pPr>
        <w:tabs>
          <w:tab w:pos="2635" w:val="left" w:leader="none"/>
          <w:tab w:pos="3743" w:val="left" w:leader="none"/>
          <w:tab w:pos="4726" w:val="left" w:leader="none"/>
        </w:tabs>
        <w:spacing w:before="128"/>
        <w:ind w:left="1628" w:right="0" w:firstLine="0"/>
        <w:jc w:val="left"/>
        <w:rPr>
          <w:sz w:val="18"/>
        </w:rPr>
      </w:pPr>
      <w:r>
        <w:rPr>
          <w:sz w:val="18"/>
        </w:rPr>
        <w:t>Left</w:t>
        <w:tab/>
        <w:t>Right</w:t>
        <w:tab/>
        <w:t>Left</w:t>
        <w:tab/>
        <w:t>Right</w:t>
      </w:r>
    </w:p>
    <w:p>
      <w:pPr>
        <w:spacing w:line="155" w:lineRule="exact" w:before="120"/>
        <w:ind w:left="213" w:right="0" w:firstLine="0"/>
        <w:jc w:val="left"/>
        <w:rPr>
          <w:sz w:val="18"/>
        </w:rPr>
      </w:pPr>
      <w:r>
        <w:rPr>
          <w:sz w:val="18"/>
        </w:rPr>
        <w:t>Intensity of</w:t>
      </w:r>
    </w:p>
    <w:p>
      <w:pPr>
        <w:tabs>
          <w:tab w:pos="1665" w:val="left" w:leader="none"/>
          <w:tab w:pos="2723" w:val="left" w:leader="none"/>
          <w:tab w:pos="3781" w:val="left" w:leader="none"/>
          <w:tab w:pos="4814" w:val="left" w:leader="none"/>
        </w:tabs>
        <w:spacing w:line="255" w:lineRule="exact" w:before="0"/>
        <w:ind w:left="213" w:right="0" w:firstLine="0"/>
        <w:jc w:val="left"/>
        <w:rPr>
          <w:sz w:val="18"/>
        </w:rPr>
      </w:pPr>
      <w:r>
        <w:rPr>
          <w:position w:val="-9"/>
          <w:sz w:val="18"/>
        </w:rPr>
        <w:t>Exertion</w:t>
        <w:tab/>
      </w:r>
      <w:r>
        <w:rPr>
          <w:sz w:val="18"/>
        </w:rPr>
        <w:t>1.0</w:t>
        <w:tab/>
        <w:t>1.0</w:t>
        <w:tab/>
        <w:t>1.0</w:t>
        <w:tab/>
        <w:t>9.0</w:t>
      </w:r>
    </w:p>
    <w:p>
      <w:pPr>
        <w:spacing w:line="155" w:lineRule="exact" w:before="124"/>
        <w:ind w:left="213" w:right="0" w:firstLine="0"/>
        <w:jc w:val="left"/>
        <w:rPr>
          <w:sz w:val="18"/>
        </w:rPr>
      </w:pPr>
      <w:r>
        <w:rPr>
          <w:sz w:val="18"/>
        </w:rPr>
        <w:t>Duration of</w:t>
      </w:r>
    </w:p>
    <w:p>
      <w:pPr>
        <w:tabs>
          <w:tab w:pos="1665" w:val="left" w:leader="none"/>
          <w:tab w:pos="2723" w:val="left" w:leader="none"/>
          <w:tab w:pos="3781" w:val="left" w:leader="none"/>
          <w:tab w:pos="4814" w:val="left" w:leader="none"/>
        </w:tabs>
        <w:spacing w:line="255" w:lineRule="exact" w:before="0"/>
        <w:ind w:left="213" w:right="0" w:firstLine="0"/>
        <w:jc w:val="left"/>
        <w:rPr>
          <w:sz w:val="18"/>
        </w:rPr>
      </w:pPr>
      <w:r>
        <w:rPr>
          <w:position w:val="-9"/>
          <w:sz w:val="18"/>
        </w:rPr>
        <w:t>Exertion</w:t>
        <w:tab/>
      </w:r>
      <w:r>
        <w:rPr>
          <w:sz w:val="18"/>
        </w:rPr>
        <w:t>2.0</w:t>
        <w:tab/>
        <w:t>2.0</w:t>
        <w:tab/>
        <w:t>2.0</w:t>
        <w:tab/>
        <w:t>1.0</w:t>
      </w:r>
    </w:p>
    <w:p>
      <w:pPr>
        <w:pStyle w:val="BodyText"/>
        <w:spacing w:line="205" w:lineRule="exact"/>
        <w:ind w:left="105"/>
        <w:jc w:val="both"/>
      </w:pPr>
      <w:r>
        <w:rPr/>
        <w:br w:type="column"/>
      </w:r>
      <w:r>
        <w:rPr/>
        <w:t>the  high  workload   and   learn  how  to  achieve     optimal</w:t>
      </w:r>
    </w:p>
    <w:p>
      <w:pPr>
        <w:pStyle w:val="BodyText"/>
        <w:ind w:left="105" w:right="677"/>
        <w:jc w:val="both"/>
      </w:pPr>
      <w:r>
        <w:rPr/>
        <w:t>positions during task performance, minimizing the possibility of presenting symptoms or discomfort is recommended that reduce their long-term performance.</w:t>
      </w:r>
    </w:p>
    <w:p>
      <w:pPr>
        <w:spacing w:after="0"/>
        <w:jc w:val="both"/>
        <w:sectPr>
          <w:type w:val="continuous"/>
          <w:pgSz w:w="12240" w:h="15840"/>
          <w:pgMar w:top="1500" w:bottom="280" w:left="540" w:right="220"/>
          <w:cols w:num="2" w:equalWidth="0">
            <w:col w:w="5432" w:space="398"/>
            <w:col w:w="5650"/>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Heading4"/>
        <w:spacing w:before="77"/>
      </w:pPr>
      <w:r>
        <w:rPr/>
        <w:t>REFERENCES</w:t>
      </w:r>
    </w:p>
    <w:p>
      <w:pPr>
        <w:pStyle w:val="BodyText"/>
        <w:spacing w:before="8"/>
        <w:rPr>
          <w:b/>
          <w:sz w:val="19"/>
        </w:rPr>
      </w:pPr>
    </w:p>
    <w:p>
      <w:pPr>
        <w:pStyle w:val="BodyText"/>
        <w:ind w:left="270"/>
        <w:jc w:val="both"/>
      </w:pPr>
      <w:r>
        <w:rPr/>
        <w:t>[1] A. Vereczkei, H. Feussner, T. Negele, F. Fritzsche, T. Seitz, H. Bubb, O. P. Horváth , “Ergonomic assessment of the static stress confronted by surgeons during laparoscopic cholecystectomy”. Surgical Endoscopy, 18, pp. </w:t>
      </w:r>
      <w:r>
        <w:rPr>
          <w:spacing w:val="49"/>
        </w:rPr>
        <w:t> </w:t>
      </w:r>
      <w:r>
        <w:rPr/>
        <w:t>1118–1122,</w:t>
      </w:r>
    </w:p>
    <w:p>
      <w:pPr>
        <w:pStyle w:val="BodyText"/>
        <w:ind w:left="270"/>
        <w:jc w:val="both"/>
      </w:pPr>
      <w:r>
        <w:rPr/>
        <w:t>2004.</w:t>
      </w:r>
    </w:p>
    <w:p>
      <w:pPr>
        <w:pStyle w:val="BodyText"/>
        <w:spacing w:before="11"/>
        <w:rPr>
          <w:sz w:val="19"/>
        </w:rPr>
      </w:pPr>
    </w:p>
    <w:p>
      <w:pPr>
        <w:pStyle w:val="BodyText"/>
        <w:ind w:left="270"/>
        <w:jc w:val="both"/>
      </w:pPr>
      <w:r>
        <w:rPr/>
        <w:t>[2] M. W. Stomberg, S. E. Tronstad, K. Hedberg, J. Bengtsson, P. Jonsson, &amp; L. Johansen, “Work-related musculoskeletal disorders when performing laparoscopic surgery. Surgical Laparoscopy”, Endoscopy &amp; Percutaneous Techniques, 20(1), pp. 49–53, 2010.</w:t>
      </w:r>
    </w:p>
    <w:p>
      <w:pPr>
        <w:pStyle w:val="BodyText"/>
      </w:pPr>
    </w:p>
    <w:p>
      <w:pPr>
        <w:pStyle w:val="BodyText"/>
        <w:spacing w:line="230" w:lineRule="exact" w:before="1"/>
        <w:ind w:left="270"/>
        <w:jc w:val="both"/>
      </w:pPr>
      <w:r>
        <w:rPr/>
        <w:t>[3] F. J. Pérez, F. M. Sánchez, I. Díaz-Güemes, M.  Sánchez,</w:t>
      </w:r>
    </w:p>
    <w:p>
      <w:pPr>
        <w:pStyle w:val="BodyText"/>
        <w:ind w:left="270"/>
        <w:jc w:val="both"/>
      </w:pPr>
      <w:r>
        <w:rPr/>
        <w:t>M. L. Hernández, &amp; J. Sánchez, “Ergonomic Analysis of Muscle Activity in the Forearm and Back Muscles during laparoscopic Surgery: Influence of Previous Experience and Performed Task”. Surgical Laparoscopy Endoscopy &amp; Percutaneous Techniques, 23, pp. 203–207, 2013.</w:t>
      </w:r>
    </w:p>
    <w:p>
      <w:pPr>
        <w:pStyle w:val="BodyText"/>
        <w:spacing w:before="11"/>
        <w:rPr>
          <w:sz w:val="19"/>
        </w:rPr>
      </w:pPr>
    </w:p>
    <w:p>
      <w:pPr>
        <w:pStyle w:val="BodyText"/>
        <w:ind w:left="270" w:right="1"/>
        <w:jc w:val="both"/>
      </w:pPr>
      <w:r>
        <w:rPr/>
        <w:t>[4] A. Albayrak, M. A. Van Veelen, J. F. Prins, C. J.  Snijders, H. Ridder. &amp; G. Kazemier, “A newly designed ergonomic body support for surgeons”. Surgery Endoscopic, 21, pp. 1835–1840,</w:t>
      </w:r>
      <w:r>
        <w:rPr>
          <w:spacing w:val="-13"/>
        </w:rPr>
        <w:t> </w:t>
      </w:r>
      <w:r>
        <w:rPr/>
        <w:t>2007.</w:t>
      </w:r>
    </w:p>
    <w:p>
      <w:pPr>
        <w:pStyle w:val="BodyText"/>
      </w:pPr>
    </w:p>
    <w:p>
      <w:pPr>
        <w:pStyle w:val="BodyText"/>
        <w:spacing w:before="1"/>
        <w:ind w:left="270"/>
        <w:jc w:val="both"/>
      </w:pPr>
      <w:r>
        <w:rPr/>
        <w:t>[5] E.N. Gofrit, A.A. Mikahail, K.C. Zorn, G.P. Zagaja, G.D. Steinberg &amp; A.L. Shalhav, “Surgeons' perceptions and injuries during and after urologic laparoscopic surgery”. Urology, 71, pp. 404 – 407, 2008.</w:t>
      </w:r>
    </w:p>
    <w:p>
      <w:pPr>
        <w:pStyle w:val="BodyText"/>
        <w:spacing w:before="11"/>
        <w:rPr>
          <w:sz w:val="19"/>
        </w:rPr>
      </w:pPr>
    </w:p>
    <w:p>
      <w:pPr>
        <w:pStyle w:val="BodyText"/>
        <w:ind w:left="270"/>
        <w:jc w:val="both"/>
      </w:pPr>
      <w:r>
        <w:rPr/>
        <w:t>[6] Matern U. &amp; Koneczny S. (2007). Safety, hazards and ergonomics in the operating room. Surgical Endoscopy, 21, 1965–1969</w:t>
      </w:r>
    </w:p>
    <w:p>
      <w:pPr>
        <w:pStyle w:val="BodyText"/>
        <w:spacing w:before="11"/>
        <w:rPr>
          <w:sz w:val="19"/>
        </w:rPr>
      </w:pPr>
    </w:p>
    <w:p>
      <w:pPr>
        <w:pStyle w:val="BodyText"/>
        <w:ind w:left="270"/>
        <w:jc w:val="both"/>
      </w:pPr>
      <w:r>
        <w:rPr/>
        <w:t>[7] F.J. Pérez, F.M.Sánchez, I. Díaz-Güemes,     M. Sánchez,</w:t>
      </w:r>
    </w:p>
    <w:p>
      <w:pPr>
        <w:pStyle w:val="ListParagraph"/>
        <w:numPr>
          <w:ilvl w:val="1"/>
          <w:numId w:val="93"/>
        </w:numPr>
        <w:tabs>
          <w:tab w:pos="837" w:val="left" w:leader="none"/>
        </w:tabs>
        <w:spacing w:line="240" w:lineRule="auto" w:before="0" w:after="0"/>
        <w:ind w:left="270" w:right="0" w:firstLine="0"/>
        <w:jc w:val="both"/>
        <w:rPr>
          <w:sz w:val="20"/>
        </w:rPr>
      </w:pPr>
      <w:r>
        <w:rPr>
          <w:sz w:val="20"/>
        </w:rPr>
        <w:t>Hernández &amp; J. Usón, “Ergonomía en cirugía laparoscópica y su importancia en la formación quirúrgica”. Cirugía Española, 90 (5), pp. 284–291,</w:t>
      </w:r>
      <w:r>
        <w:rPr>
          <w:spacing w:val="-26"/>
          <w:sz w:val="20"/>
        </w:rPr>
        <w:t> </w:t>
      </w:r>
      <w:r>
        <w:rPr>
          <w:sz w:val="20"/>
        </w:rPr>
        <w:t>2011.</w:t>
      </w:r>
    </w:p>
    <w:p>
      <w:pPr>
        <w:pStyle w:val="BodyText"/>
      </w:pPr>
    </w:p>
    <w:p>
      <w:pPr>
        <w:pStyle w:val="BodyText"/>
        <w:spacing w:before="1"/>
        <w:ind w:left="270" w:right="1"/>
        <w:jc w:val="both"/>
      </w:pPr>
      <w:r>
        <w:rPr/>
        <w:t>[8] G. Szeto,  S. Cheng, J. Poon, A. Ting, R. Tsang &amp; Ho  Pei, “Surgeons’ Static Posture and Movement Repetitions in Open and Laparoscopic Surgery”. Journal of Surgical Research, 172, pp. 19–31,</w:t>
      </w:r>
      <w:r>
        <w:rPr>
          <w:spacing w:val="-19"/>
        </w:rPr>
        <w:t> </w:t>
      </w:r>
      <w:r>
        <w:rPr/>
        <w:t>2012.</w:t>
      </w:r>
    </w:p>
    <w:p>
      <w:pPr>
        <w:pStyle w:val="BodyText"/>
        <w:spacing w:before="11"/>
        <w:rPr>
          <w:sz w:val="19"/>
        </w:rPr>
      </w:pPr>
    </w:p>
    <w:p>
      <w:pPr>
        <w:pStyle w:val="BodyText"/>
        <w:ind w:left="270" w:right="1"/>
        <w:jc w:val="both"/>
      </w:pPr>
      <w:r>
        <w:rPr/>
        <w:t>[9] M. Van Veelen, E.A. Nederlof, R.H. Goossens, C.J.  Schot &amp; J.J. Jakimowicz, “Ergonomic problems encountered by the medical team related to products used for minimally invasive surgery”. Surgery Endoscopic, 17, pp. 1077–1081, 2003.</w:t>
      </w:r>
    </w:p>
    <w:p>
      <w:pPr>
        <w:pStyle w:val="BodyText"/>
        <w:spacing w:before="11"/>
        <w:rPr>
          <w:sz w:val="19"/>
        </w:rPr>
      </w:pPr>
    </w:p>
    <w:p>
      <w:pPr>
        <w:pStyle w:val="BodyText"/>
        <w:ind w:left="270"/>
        <w:jc w:val="both"/>
      </w:pPr>
      <w:r>
        <w:rPr/>
        <w:t>[10] M. Van Veelen, C. J. Snijders, E. Van Leeuwen, R.H. Goossens &amp; G. Kazemier. “Improvement of foot pedals used during surgery based on new ergonomic guidelines”. Surgery Endoscopic 17, pp. 1086–1091, 2003.</w:t>
      </w:r>
    </w:p>
    <w:p>
      <w:pPr>
        <w:pStyle w:val="BodyText"/>
        <w:spacing w:before="11"/>
        <w:rPr>
          <w:sz w:val="19"/>
        </w:rPr>
      </w:pPr>
    </w:p>
    <w:p>
      <w:pPr>
        <w:pStyle w:val="BodyText"/>
        <w:ind w:left="270"/>
        <w:jc w:val="both"/>
      </w:pPr>
      <w:r>
        <w:rPr/>
        <w:t>[11] M. J. Van Det, W. J. H. Meijerink, C. Hoff, M. Van Veelen A. &amp; J. P. Pierie. “.Ergonomic assessment of neck</w:t>
      </w:r>
    </w:p>
    <w:p>
      <w:pPr>
        <w:pStyle w:val="BodyText"/>
        <w:spacing w:before="74"/>
        <w:ind w:left="270" w:right="675"/>
        <w:jc w:val="both"/>
      </w:pPr>
      <w:r>
        <w:rPr/>
        <w:br w:type="column"/>
      </w:r>
      <w:r>
        <w:rPr/>
        <w:t>posture in the minimally invasive surgery suite during laparoscopic cholecystectomy”. Surgery Endoscopic, 22, pp. 2421–2427, 2008.</w:t>
      </w:r>
    </w:p>
    <w:p>
      <w:pPr>
        <w:spacing w:after="0"/>
        <w:jc w:val="both"/>
        <w:sectPr>
          <w:type w:val="continuous"/>
          <w:pgSz w:w="12240" w:h="15840"/>
          <w:pgMar w:top="1500" w:bottom="280" w:left="580" w:right="220"/>
          <w:cols w:num="2" w:equalWidth="0">
            <w:col w:w="5189" w:space="435"/>
            <w:col w:w="5816"/>
          </w:cols>
        </w:sectPr>
      </w:pPr>
    </w:p>
    <w:p>
      <w:pPr>
        <w:pStyle w:val="BodyText"/>
        <w:rPr>
          <w:sz w:val="12"/>
        </w:rPr>
      </w:pPr>
    </w:p>
    <w:p>
      <w:pPr>
        <w:spacing w:after="0"/>
        <w:rPr>
          <w:sz w:val="12"/>
        </w:rPr>
        <w:sectPr>
          <w:pgSz w:w="12240" w:h="15840"/>
          <w:pgMar w:header="545" w:footer="852" w:top="1060" w:bottom="1040" w:left="580" w:right="220"/>
        </w:sectPr>
      </w:pPr>
    </w:p>
    <w:p>
      <w:pPr>
        <w:pStyle w:val="Heading1"/>
        <w:spacing w:before="69"/>
        <w:ind w:right="153"/>
        <w:jc w:val="left"/>
      </w:pPr>
      <w:r>
        <w:rPr/>
        <w:t>Identification of cervical musculoskeletal disorders associated with dental practice of teachers and students of the Clinic of a Higher Education Institution, Bogotá, DC 2014</w:t>
      </w:r>
    </w:p>
    <w:p>
      <w:pPr>
        <w:pStyle w:val="BodyText"/>
        <w:spacing w:before="9"/>
        <w:rPr>
          <w:b/>
          <w:sz w:val="23"/>
        </w:rPr>
      </w:pPr>
    </w:p>
    <w:p>
      <w:pPr>
        <w:pStyle w:val="BodyText"/>
        <w:ind w:left="270"/>
        <w:jc w:val="both"/>
      </w:pPr>
      <w:r>
        <w:rPr/>
        <w:t>Luz Ángela Téllez Chavarro, Brigitte Arévalo Tovar, María Lucila Cubillos Mariño, Patricia Velásquez Uribe.</w:t>
      </w:r>
    </w:p>
    <w:p>
      <w:pPr>
        <w:pStyle w:val="BodyText"/>
        <w:ind w:left="270"/>
        <w:jc w:val="both"/>
      </w:pPr>
      <w:r>
        <w:rPr/>
        <w:t>Universidad Manuela Beltrán. </w:t>
      </w:r>
      <w:hyperlink r:id="rId369">
        <w:r>
          <w:rPr>
            <w:color w:val="0000FF"/>
            <w:u w:val="single" w:color="0000FF"/>
          </w:rPr>
          <w:t>umb.ftangelat@gmail.com</w:t>
        </w:r>
      </w:hyperlink>
      <w:r>
        <w:rPr>
          <w:color w:val="0000FF"/>
          <w:u w:val="single" w:color="0000FF"/>
        </w:rPr>
        <w:t> </w:t>
      </w:r>
      <w:r>
        <w:rPr/>
        <w:t>Bogotá, Colombia</w:t>
      </w:r>
    </w:p>
    <w:p>
      <w:pPr>
        <w:pStyle w:val="BodyText"/>
        <w:spacing w:before="2"/>
      </w:pPr>
    </w:p>
    <w:p>
      <w:pPr>
        <w:pStyle w:val="Heading4"/>
      </w:pPr>
      <w:r>
        <w:rPr/>
        <w:t>Resumen</w:t>
      </w:r>
    </w:p>
    <w:p>
      <w:pPr>
        <w:pStyle w:val="BodyText"/>
        <w:spacing w:before="4"/>
        <w:rPr>
          <w:b/>
          <w:sz w:val="15"/>
        </w:rPr>
      </w:pPr>
      <w:r>
        <w:rPr/>
        <w:pict>
          <v:line style="position:absolute;mso-position-horizontal-relative:page;mso-position-vertical-relative:paragraph;z-index:10984;mso-wrap-distance-left:0;mso-wrap-distance-right:0" from="42.54034pt,11.145443pt" to="232.58969pt,11.145443pt" stroked="true" strokeweight=".631260pt" strokecolor="#000000">
            <w10:wrap type="topAndBottom"/>
          </v:line>
        </w:pict>
      </w:r>
    </w:p>
    <w:p>
      <w:pPr>
        <w:pStyle w:val="BodyText"/>
        <w:ind w:left="270" w:right="1"/>
        <w:jc w:val="both"/>
      </w:pPr>
      <w:r>
        <w:rPr/>
        <w:t>Los odontólogos, desde su formación, están expuestos a una gran variedad de condiciones de trabajo, físicos, organizacionales, psicológicos, entre otros que, sumados con las actividades extra-laborales desarrolladas pueden contribuir con la aparición de desórdenes músculo esqueléticos (DME). La postura que el odontólogo adopta durante su práctica clínica es, un elemento importante a considerar: habitualmente su posición estática, adaptada por largos periodos, fuera de los ángulos de confort y oponiéndose a la gravedad, y altas exigencias de gasto energético.</w:t>
      </w:r>
    </w:p>
    <w:p>
      <w:pPr>
        <w:pStyle w:val="BodyText"/>
        <w:spacing w:before="11"/>
        <w:rPr>
          <w:sz w:val="19"/>
        </w:rPr>
      </w:pPr>
    </w:p>
    <w:p>
      <w:pPr>
        <w:pStyle w:val="BodyText"/>
        <w:ind w:left="270"/>
        <w:jc w:val="both"/>
      </w:pPr>
      <w:r>
        <w:rPr/>
        <w:t>Para el desarrollo de esta investigación se plantearon como objetivos específicos: Establecer las características sociodemográficas, de los estudiantes y docentes asignados a la clínica de una institución de educación superior; Identificar la presencia de desórdenes músculo esquelético a nivel cervical presentado por los estudiantes y docentes; Evaluar el riesgo ergonómico al que se encuentran expuestos odontólogos en la práctica y Proponer recomendaciones a las directivas de la Institución de Educación Superior, con el fin de establecer lineamientos que fortalezcan el entorno y la práctica</w:t>
      </w:r>
      <w:r>
        <w:rPr>
          <w:spacing w:val="-7"/>
        </w:rPr>
        <w:t> </w:t>
      </w:r>
      <w:r>
        <w:rPr/>
        <w:t>profesional.</w:t>
      </w:r>
    </w:p>
    <w:p>
      <w:pPr>
        <w:pStyle w:val="BodyText"/>
      </w:pPr>
    </w:p>
    <w:p>
      <w:pPr>
        <w:pStyle w:val="BodyText"/>
        <w:spacing w:before="1"/>
        <w:ind w:left="270"/>
        <w:jc w:val="both"/>
      </w:pPr>
      <w:r>
        <w:rPr/>
        <w:t>Esta investigación se realizó en una clínica odontológica de una institución de educación superior, donde se realizan prácticas formativas ubicadas en la localidad de Chapinero, de la ciudad de Bogotá, Colombia. Durante el segundo semestre del 2014.</w:t>
      </w:r>
    </w:p>
    <w:p>
      <w:pPr>
        <w:pStyle w:val="BodyText"/>
      </w:pPr>
    </w:p>
    <w:p>
      <w:pPr>
        <w:pStyle w:val="BodyText"/>
        <w:spacing w:before="1"/>
        <w:ind w:left="270"/>
        <w:jc w:val="both"/>
      </w:pPr>
      <w:r>
        <w:rPr>
          <w:b/>
        </w:rPr>
        <w:t>Palabras Claves</w:t>
      </w:r>
      <w:r>
        <w:rPr/>
        <w:t>: Desórdenes músculo esqueléticos cervicales, ergonomía, Equilibrio humano Posición de funcionamiento (BHOP).</w:t>
      </w:r>
    </w:p>
    <w:p>
      <w:pPr>
        <w:pStyle w:val="BodyText"/>
        <w:spacing w:before="2"/>
      </w:pPr>
    </w:p>
    <w:p>
      <w:pPr>
        <w:pStyle w:val="Heading5"/>
        <w:rPr>
          <w:i/>
        </w:rPr>
      </w:pPr>
      <w:r>
        <w:rPr>
          <w:i/>
        </w:rPr>
        <w:t>Summary</w:t>
      </w:r>
    </w:p>
    <w:p>
      <w:pPr>
        <w:pStyle w:val="BodyText"/>
        <w:spacing w:before="6"/>
        <w:rPr>
          <w:b/>
          <w:i/>
          <w:sz w:val="15"/>
        </w:rPr>
      </w:pPr>
      <w:r>
        <w:rPr/>
        <w:pict>
          <v:line style="position:absolute;mso-position-horizontal-relative:page;mso-position-vertical-relative:paragraph;z-index:11008;mso-wrap-distance-left:0;mso-wrap-distance-right:0" from="42.540001pt,11.205593pt" to="237.539231pt,11.205593pt" stroked="true" strokeweight=".631260pt" strokecolor="#000000">
            <w10:wrap type="topAndBottom"/>
          </v:line>
        </w:pict>
      </w:r>
    </w:p>
    <w:p>
      <w:pPr>
        <w:spacing w:before="0"/>
        <w:ind w:left="270" w:right="1" w:firstLine="0"/>
        <w:jc w:val="both"/>
        <w:rPr>
          <w:i/>
          <w:sz w:val="20"/>
        </w:rPr>
      </w:pPr>
      <w:r>
        <w:rPr>
          <w:i/>
          <w:sz w:val="20"/>
        </w:rPr>
        <w:t>Dentists, since its formation, are exposed to a variety of </w:t>
      </w:r>
      <w:r>
        <w:rPr>
          <w:i/>
          <w:sz w:val="20"/>
        </w:rPr>
        <w:t>working conditions, physical, organizational, psychological, among others, that combined with extra-work activities can contribute to the occurrence of musculoskeletal disorders (MED). The position adopted by the dentists during their clinical practice is an important element to consider:  Usually its static position suited for long periods, outside comfort angles, and against gravity and high demands of energy</w:t>
      </w:r>
      <w:r>
        <w:rPr>
          <w:i/>
          <w:spacing w:val="-4"/>
          <w:sz w:val="20"/>
        </w:rPr>
        <w:t> </w:t>
      </w:r>
      <w:r>
        <w:rPr>
          <w:i/>
          <w:sz w:val="20"/>
        </w:rPr>
        <w:t>expenditure.</w:t>
      </w:r>
    </w:p>
    <w:p>
      <w:pPr>
        <w:pStyle w:val="BodyText"/>
        <w:spacing w:before="8"/>
        <w:rPr>
          <w:i/>
          <w:sz w:val="25"/>
        </w:rPr>
      </w:pPr>
      <w:r>
        <w:rPr/>
        <w:br w:type="column"/>
      </w:r>
      <w:r>
        <w:rPr>
          <w:i/>
          <w:sz w:val="25"/>
        </w:rPr>
      </w:r>
    </w:p>
    <w:p>
      <w:pPr>
        <w:spacing w:before="0"/>
        <w:ind w:left="270" w:right="675" w:firstLine="0"/>
        <w:jc w:val="both"/>
        <w:rPr>
          <w:i/>
          <w:sz w:val="20"/>
        </w:rPr>
      </w:pPr>
      <w:r>
        <w:rPr>
          <w:i/>
          <w:sz w:val="20"/>
        </w:rPr>
        <w:t>For the development of this research were defined as </w:t>
      </w:r>
      <w:r>
        <w:rPr>
          <w:i/>
          <w:sz w:val="20"/>
        </w:rPr>
        <w:t>specific objectives: To establish the sociodemographic characteristics of students and teachers assigned to the clinic for an institution of higher education; Identify the presence of musculoskeletal disorders at the cervical level presented by students and teachers; Evaluate the ergonomic risk the dentists are exposed in practice and propose recommendations to the directives of the Institution of Higher Education to establish guidelines to strengthen the environment and professional</w:t>
      </w:r>
      <w:r>
        <w:rPr>
          <w:i/>
          <w:spacing w:val="-22"/>
          <w:sz w:val="20"/>
        </w:rPr>
        <w:t> </w:t>
      </w:r>
      <w:r>
        <w:rPr>
          <w:i/>
          <w:sz w:val="20"/>
        </w:rPr>
        <w:t>practice.</w:t>
      </w:r>
    </w:p>
    <w:p>
      <w:pPr>
        <w:pStyle w:val="BodyText"/>
        <w:spacing w:before="11"/>
        <w:rPr>
          <w:i/>
          <w:sz w:val="19"/>
        </w:rPr>
      </w:pPr>
    </w:p>
    <w:p>
      <w:pPr>
        <w:spacing w:before="0"/>
        <w:ind w:left="270" w:right="675" w:firstLine="0"/>
        <w:jc w:val="both"/>
        <w:rPr>
          <w:i/>
          <w:sz w:val="20"/>
        </w:rPr>
      </w:pPr>
      <w:r>
        <w:rPr>
          <w:i/>
          <w:sz w:val="20"/>
        </w:rPr>
        <w:t>This research was performed in a dental clinic of a higher </w:t>
      </w:r>
      <w:r>
        <w:rPr>
          <w:i/>
          <w:sz w:val="20"/>
        </w:rPr>
        <w:t>education institution where training practices are performed; located in Chapinero neighborhood in Bogotá, Colombia. During the second half of 2014.</w:t>
      </w:r>
    </w:p>
    <w:p>
      <w:pPr>
        <w:pStyle w:val="BodyText"/>
        <w:rPr>
          <w:i/>
        </w:rPr>
      </w:pPr>
    </w:p>
    <w:p>
      <w:pPr>
        <w:spacing w:before="1"/>
        <w:ind w:left="270" w:right="677" w:firstLine="0"/>
        <w:jc w:val="both"/>
        <w:rPr>
          <w:i/>
          <w:sz w:val="20"/>
        </w:rPr>
      </w:pPr>
      <w:r>
        <w:rPr>
          <w:b/>
          <w:i/>
          <w:sz w:val="20"/>
        </w:rPr>
        <w:t>Keywords</w:t>
      </w:r>
      <w:r>
        <w:rPr>
          <w:i/>
          <w:sz w:val="20"/>
        </w:rPr>
        <w:t>: cervical musculoskeletal disorders, ergonomics, </w:t>
      </w:r>
      <w:r>
        <w:rPr>
          <w:i/>
          <w:sz w:val="20"/>
        </w:rPr>
        <w:t>Balance Human Operating Position (BHOP).</w:t>
      </w:r>
    </w:p>
    <w:p>
      <w:pPr>
        <w:pStyle w:val="BodyText"/>
        <w:rPr>
          <w:i/>
        </w:rPr>
      </w:pPr>
    </w:p>
    <w:p>
      <w:pPr>
        <w:pStyle w:val="BodyText"/>
        <w:spacing w:before="1"/>
        <w:ind w:left="270" w:right="676"/>
        <w:jc w:val="both"/>
      </w:pPr>
      <w:r>
        <w:rPr/>
        <w:t>Relevance to Ergonomics: It´s important to study the ergonomic risk factors that may cause the MED in dentists and subsequently propose strategies that prevent it from the beginning of the formation of these professionals.</w:t>
      </w:r>
    </w:p>
    <w:p>
      <w:pPr>
        <w:pStyle w:val="BodyText"/>
        <w:spacing w:before="2"/>
      </w:pPr>
    </w:p>
    <w:p>
      <w:pPr>
        <w:pStyle w:val="Heading4"/>
        <w:numPr>
          <w:ilvl w:val="2"/>
          <w:numId w:val="93"/>
        </w:numPr>
        <w:tabs>
          <w:tab w:pos="1186" w:val="left" w:leader="none"/>
          <w:tab w:pos="1187" w:val="left" w:leader="none"/>
        </w:tabs>
        <w:spacing w:line="240" w:lineRule="auto" w:before="0" w:after="0"/>
        <w:ind w:left="1186" w:right="0" w:hanging="556"/>
        <w:jc w:val="left"/>
      </w:pPr>
      <w:r>
        <w:rPr/>
        <w:t>INTRODUCTION</w:t>
      </w:r>
    </w:p>
    <w:p>
      <w:pPr>
        <w:pStyle w:val="BodyText"/>
        <w:spacing w:before="8"/>
        <w:rPr>
          <w:b/>
          <w:sz w:val="19"/>
        </w:rPr>
      </w:pPr>
    </w:p>
    <w:p>
      <w:pPr>
        <w:pStyle w:val="BodyText"/>
        <w:ind w:left="270" w:right="677"/>
        <w:jc w:val="both"/>
      </w:pPr>
      <w:r>
        <w:rPr/>
        <w:t>Musculoskeletal Disorders are one of the most common medical problems of consultation, and nowadays, they are an occupational health problem; its etiology is multiple and can cause painful symptoms, loss of functional capacity, work disability and its treatment generates high</w:t>
      </w:r>
      <w:r>
        <w:rPr>
          <w:spacing w:val="-29"/>
        </w:rPr>
        <w:t> </w:t>
      </w:r>
      <w:r>
        <w:rPr/>
        <w:t>costs.</w:t>
      </w:r>
    </w:p>
    <w:p>
      <w:pPr>
        <w:pStyle w:val="BodyText"/>
        <w:spacing w:before="11"/>
        <w:rPr>
          <w:sz w:val="19"/>
        </w:rPr>
      </w:pPr>
    </w:p>
    <w:p>
      <w:pPr>
        <w:pStyle w:val="BodyText"/>
        <w:ind w:left="270" w:right="675"/>
        <w:jc w:val="both"/>
      </w:pPr>
      <w:r>
        <w:rPr/>
        <w:t>The occupational disease report in Colombia for the years 2001-2002 and 2003-2004 reported as major diseases diagnosed carpal tunnel syndrome and back pain, which along with other related musculoskeletal system correspond to 74% of total diseases. In the period 2009-2012 an  increase was observed in the recognition of occupational illnesses of 42% with a main component derived from musculoskeletal disorders with 88%. (Ministry of Social Protection of Colombia,</w:t>
      </w:r>
      <w:r>
        <w:rPr>
          <w:spacing w:val="-18"/>
        </w:rPr>
        <w:t> </w:t>
      </w:r>
      <w:r>
        <w:rPr/>
        <w:t>2006)</w:t>
      </w:r>
    </w:p>
    <w:p>
      <w:pPr>
        <w:pStyle w:val="BodyText"/>
      </w:pPr>
    </w:p>
    <w:p>
      <w:pPr>
        <w:pStyle w:val="BodyText"/>
        <w:spacing w:before="1"/>
        <w:ind w:left="270" w:right="675"/>
        <w:jc w:val="both"/>
      </w:pPr>
      <w:r>
        <w:rPr/>
        <w:t>The second national survey of safety and health at work, in the General System of Occupational Hazards, published in 2013, reported that repetitive movements of hands and /or arms made most of the time have 18.69% and made all the time with 31.40%, while the positions that can cause fatigue or pain in any body part most of the time have 17.24% and are made all the time 25.48%. According to the report, working conditions reported as critical are conducted most of the time or all the time. (Ministry of Labor,</w:t>
      </w:r>
      <w:r>
        <w:rPr>
          <w:spacing w:val="-24"/>
        </w:rPr>
        <w:t> </w:t>
      </w:r>
      <w:r>
        <w:rPr/>
        <w:t>2013)</w:t>
      </w:r>
    </w:p>
    <w:p>
      <w:pPr>
        <w:pStyle w:val="BodyText"/>
        <w:spacing w:before="11"/>
        <w:rPr>
          <w:sz w:val="19"/>
        </w:rPr>
      </w:pPr>
    </w:p>
    <w:p>
      <w:pPr>
        <w:pStyle w:val="BodyText"/>
        <w:ind w:left="270" w:right="675"/>
        <w:jc w:val="both"/>
      </w:pPr>
      <w:r>
        <w:rPr/>
        <w:t>Dentistry is one of the professions which have higher risk of developing MED and even occupational diseases, due to the adoption of inappropriate postures during practice.</w:t>
      </w:r>
    </w:p>
    <w:p>
      <w:pPr>
        <w:spacing w:after="0"/>
        <w:jc w:val="both"/>
        <w:sectPr>
          <w:type w:val="continuous"/>
          <w:pgSz w:w="12240" w:h="15840"/>
          <w:pgMar w:top="1500" w:bottom="280" w:left="580" w:right="220"/>
          <w:cols w:num="2" w:equalWidth="0">
            <w:col w:w="5190" w:space="434"/>
            <w:col w:w="5816"/>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4"/>
        <w:ind w:left="270" w:right="1"/>
        <w:jc w:val="both"/>
      </w:pPr>
      <w:r>
        <w:rPr/>
        <w:t>This research aims to identify factors associated with  cervical MED dental practice of students and teachers in an institution of higher education in the city of Bogotá, in 2014, from which directives could establish guidelines and strategies for the appropriation of favorable practices in the practice</w:t>
      </w:r>
      <w:r>
        <w:rPr>
          <w:spacing w:val="-8"/>
        </w:rPr>
        <w:t> </w:t>
      </w:r>
      <w:r>
        <w:rPr/>
        <w:t>environment.</w:t>
      </w:r>
    </w:p>
    <w:p>
      <w:pPr>
        <w:pStyle w:val="BodyText"/>
        <w:spacing w:before="11"/>
        <w:rPr>
          <w:sz w:val="19"/>
        </w:rPr>
      </w:pPr>
    </w:p>
    <w:p>
      <w:pPr>
        <w:pStyle w:val="BodyText"/>
        <w:ind w:left="270" w:right="1"/>
        <w:jc w:val="both"/>
      </w:pPr>
      <w:r>
        <w:rPr/>
        <w:t>This research have a quantitative approach, is a descriptive investigation, cross-section. The population consists of 83 students and teachers, and the sample consisted of 26 dentists, 21 students and five teachers; selected by simple random sampling, with a 95% of confidence. They were considered as inclusion criteria: Students of the Faculty of Dentistry at an institution of higher education, located in Chapineros´ town, Bogotá, enrolled in academic semesters VI to X, inscribed in the second half of 2014, adult students; and teachers hired by the Faculty of Dentistry in a Higher Education Institution located in Bogotá, in the second half of 2014.</w:t>
      </w:r>
    </w:p>
    <w:p>
      <w:pPr>
        <w:pStyle w:val="BodyText"/>
      </w:pPr>
    </w:p>
    <w:p>
      <w:pPr>
        <w:pStyle w:val="BodyText"/>
        <w:spacing w:before="1"/>
        <w:ind w:left="270"/>
        <w:jc w:val="both"/>
      </w:pPr>
      <w:r>
        <w:rPr/>
        <w:pict>
          <v:shape style="position:absolute;margin-left:113.279999pt;margin-top:117.597267pt;width:385.75pt;height:93.95pt;mso-position-horizontal-relative:page;mso-position-vertical-relative:paragraph;z-index:11032"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09"/>
                    <w:gridCol w:w="850"/>
                    <w:gridCol w:w="494"/>
                    <w:gridCol w:w="648"/>
                    <w:gridCol w:w="893"/>
                    <w:gridCol w:w="721"/>
                    <w:gridCol w:w="992"/>
                    <w:gridCol w:w="1134"/>
                    <w:gridCol w:w="1559"/>
                  </w:tblGrid>
                  <w:tr>
                    <w:trPr>
                      <w:trHeight w:val="628" w:hRule="exact"/>
                    </w:trPr>
                    <w:tc>
                      <w:tcPr>
                        <w:tcW w:w="1259" w:type="dxa"/>
                        <w:gridSpan w:val="2"/>
                        <w:shd w:val="clear" w:color="auto" w:fill="F2F2F2"/>
                      </w:tcPr>
                      <w:p>
                        <w:pPr/>
                      </w:p>
                    </w:tc>
                    <w:tc>
                      <w:tcPr>
                        <w:tcW w:w="494" w:type="dxa"/>
                        <w:shd w:val="clear" w:color="auto" w:fill="F2F2F2"/>
                      </w:tcPr>
                      <w:p>
                        <w:pPr>
                          <w:pStyle w:val="TableParagraph"/>
                          <w:rPr>
                            <w:sz w:val="16"/>
                          </w:rPr>
                        </w:pPr>
                      </w:p>
                      <w:p>
                        <w:pPr>
                          <w:pStyle w:val="TableParagraph"/>
                          <w:spacing w:before="5"/>
                          <w:rPr>
                            <w:sz w:val="21"/>
                          </w:rPr>
                        </w:pPr>
                      </w:p>
                      <w:p>
                        <w:pPr>
                          <w:pStyle w:val="TableParagraph"/>
                          <w:ind w:right="115"/>
                          <w:jc w:val="right"/>
                          <w:rPr>
                            <w:sz w:val="16"/>
                          </w:rPr>
                        </w:pPr>
                        <w:r>
                          <w:rPr>
                            <w:sz w:val="16"/>
                          </w:rPr>
                          <w:t>Age</w:t>
                        </w:r>
                      </w:p>
                    </w:tc>
                    <w:tc>
                      <w:tcPr>
                        <w:tcW w:w="648" w:type="dxa"/>
                        <w:shd w:val="clear" w:color="auto" w:fill="F2F2F2"/>
                      </w:tcPr>
                      <w:p>
                        <w:pPr>
                          <w:pStyle w:val="TableParagraph"/>
                          <w:rPr>
                            <w:sz w:val="16"/>
                          </w:rPr>
                        </w:pPr>
                      </w:p>
                      <w:p>
                        <w:pPr>
                          <w:pStyle w:val="TableParagraph"/>
                          <w:spacing w:before="5"/>
                          <w:rPr>
                            <w:sz w:val="21"/>
                          </w:rPr>
                        </w:pPr>
                      </w:p>
                      <w:p>
                        <w:pPr>
                          <w:pStyle w:val="TableParagraph"/>
                          <w:ind w:left="63" w:right="63"/>
                          <w:jc w:val="center"/>
                          <w:rPr>
                            <w:sz w:val="16"/>
                          </w:rPr>
                        </w:pPr>
                        <w:r>
                          <w:rPr>
                            <w:sz w:val="16"/>
                          </w:rPr>
                          <w:t>Gender</w:t>
                        </w:r>
                      </w:p>
                    </w:tc>
                    <w:tc>
                      <w:tcPr>
                        <w:tcW w:w="893" w:type="dxa"/>
                        <w:shd w:val="clear" w:color="auto" w:fill="F2F2F2"/>
                      </w:tcPr>
                      <w:p>
                        <w:pPr>
                          <w:pStyle w:val="TableParagraph"/>
                          <w:rPr>
                            <w:sz w:val="16"/>
                          </w:rPr>
                        </w:pPr>
                      </w:p>
                      <w:p>
                        <w:pPr>
                          <w:pStyle w:val="TableParagraph"/>
                          <w:spacing w:before="5"/>
                          <w:rPr>
                            <w:sz w:val="21"/>
                          </w:rPr>
                        </w:pPr>
                      </w:p>
                      <w:p>
                        <w:pPr>
                          <w:pStyle w:val="TableParagraph"/>
                          <w:ind w:left="53" w:right="52"/>
                          <w:jc w:val="center"/>
                          <w:rPr>
                            <w:sz w:val="16"/>
                          </w:rPr>
                        </w:pPr>
                        <w:r>
                          <w:rPr>
                            <w:sz w:val="16"/>
                          </w:rPr>
                          <w:t>Occupation</w:t>
                        </w:r>
                      </w:p>
                    </w:tc>
                    <w:tc>
                      <w:tcPr>
                        <w:tcW w:w="721" w:type="dxa"/>
                        <w:shd w:val="clear" w:color="auto" w:fill="F2F2F2"/>
                      </w:tcPr>
                      <w:p>
                        <w:pPr>
                          <w:pStyle w:val="TableParagraph"/>
                          <w:rPr>
                            <w:sz w:val="16"/>
                          </w:rPr>
                        </w:pPr>
                      </w:p>
                      <w:p>
                        <w:pPr>
                          <w:pStyle w:val="TableParagraph"/>
                          <w:spacing w:before="5"/>
                          <w:rPr>
                            <w:sz w:val="21"/>
                          </w:rPr>
                        </w:pPr>
                      </w:p>
                      <w:p>
                        <w:pPr>
                          <w:pStyle w:val="TableParagraph"/>
                          <w:ind w:left="78" w:right="78"/>
                          <w:jc w:val="center"/>
                          <w:rPr>
                            <w:sz w:val="16"/>
                          </w:rPr>
                        </w:pPr>
                        <w:r>
                          <w:rPr>
                            <w:sz w:val="16"/>
                          </w:rPr>
                          <w:t>Antique</w:t>
                        </w:r>
                      </w:p>
                    </w:tc>
                    <w:tc>
                      <w:tcPr>
                        <w:tcW w:w="992" w:type="dxa"/>
                        <w:shd w:val="clear" w:color="auto" w:fill="F2F2F2"/>
                      </w:tcPr>
                      <w:p>
                        <w:pPr>
                          <w:pStyle w:val="TableParagraph"/>
                          <w:spacing w:before="5"/>
                          <w:rPr>
                            <w:sz w:val="21"/>
                          </w:rPr>
                        </w:pPr>
                      </w:p>
                      <w:p>
                        <w:pPr>
                          <w:pStyle w:val="TableParagraph"/>
                          <w:ind w:left="379" w:right="70" w:hanging="224"/>
                          <w:rPr>
                            <w:sz w:val="16"/>
                          </w:rPr>
                        </w:pPr>
                        <w:r>
                          <w:rPr>
                            <w:sz w:val="16"/>
                          </w:rPr>
                          <w:t>Time in the unit</w:t>
                        </w:r>
                      </w:p>
                    </w:tc>
                    <w:tc>
                      <w:tcPr>
                        <w:tcW w:w="1134" w:type="dxa"/>
                        <w:shd w:val="clear" w:color="auto" w:fill="F2F2F2"/>
                      </w:tcPr>
                      <w:p>
                        <w:pPr>
                          <w:pStyle w:val="TableParagraph"/>
                          <w:spacing w:before="5"/>
                          <w:rPr>
                            <w:sz w:val="21"/>
                          </w:rPr>
                        </w:pPr>
                      </w:p>
                      <w:p>
                        <w:pPr>
                          <w:pStyle w:val="TableParagraph"/>
                          <w:ind w:left="295" w:right="55" w:hanging="148"/>
                          <w:rPr>
                            <w:sz w:val="16"/>
                          </w:rPr>
                        </w:pPr>
                        <w:r>
                          <w:rPr>
                            <w:sz w:val="16"/>
                          </w:rPr>
                          <w:t>Working days per week</w:t>
                        </w:r>
                      </w:p>
                    </w:tc>
                    <w:tc>
                      <w:tcPr>
                        <w:tcW w:w="1559" w:type="dxa"/>
                        <w:shd w:val="clear" w:color="auto" w:fill="F2F2F2"/>
                      </w:tcPr>
                      <w:p>
                        <w:pPr>
                          <w:pStyle w:val="TableParagraph"/>
                          <w:spacing w:before="5"/>
                          <w:rPr>
                            <w:sz w:val="21"/>
                          </w:rPr>
                        </w:pPr>
                      </w:p>
                      <w:p>
                        <w:pPr>
                          <w:pStyle w:val="TableParagraph"/>
                          <w:ind w:left="549" w:hanging="400"/>
                          <w:rPr>
                            <w:sz w:val="16"/>
                          </w:rPr>
                        </w:pPr>
                        <w:r>
                          <w:rPr>
                            <w:spacing w:val="-5"/>
                            <w:sz w:val="16"/>
                          </w:rPr>
                          <w:t>Rest </w:t>
                        </w:r>
                        <w:r>
                          <w:rPr>
                            <w:spacing w:val="-6"/>
                            <w:sz w:val="16"/>
                          </w:rPr>
                          <w:t>periods between patients</w:t>
                        </w:r>
                      </w:p>
                    </w:tc>
                  </w:tr>
                  <w:tr>
                    <w:trPr>
                      <w:trHeight w:val="311" w:hRule="exact"/>
                    </w:trPr>
                    <w:tc>
                      <w:tcPr>
                        <w:tcW w:w="409" w:type="dxa"/>
                        <w:shd w:val="clear" w:color="auto" w:fill="F2F2F2"/>
                      </w:tcPr>
                      <w:p>
                        <w:pPr>
                          <w:pStyle w:val="TableParagraph"/>
                          <w:spacing w:before="54"/>
                          <w:ind w:left="64"/>
                          <w:rPr>
                            <w:sz w:val="16"/>
                          </w:rPr>
                        </w:pPr>
                        <w:r>
                          <w:rPr>
                            <w:sz w:val="16"/>
                          </w:rPr>
                          <w:t>No</w:t>
                        </w:r>
                      </w:p>
                    </w:tc>
                    <w:tc>
                      <w:tcPr>
                        <w:tcW w:w="850" w:type="dxa"/>
                        <w:shd w:val="clear" w:color="auto" w:fill="F2F2F2"/>
                      </w:tcPr>
                      <w:p>
                        <w:pPr>
                          <w:pStyle w:val="TableParagraph"/>
                          <w:spacing w:before="54"/>
                          <w:ind w:left="65" w:right="102"/>
                          <w:rPr>
                            <w:sz w:val="16"/>
                          </w:rPr>
                        </w:pPr>
                        <w:r>
                          <w:rPr>
                            <w:sz w:val="16"/>
                          </w:rPr>
                          <w:t>Valid</w:t>
                        </w:r>
                      </w:p>
                    </w:tc>
                    <w:tc>
                      <w:tcPr>
                        <w:tcW w:w="494" w:type="dxa"/>
                      </w:tcPr>
                      <w:p>
                        <w:pPr>
                          <w:pStyle w:val="TableParagraph"/>
                          <w:spacing w:before="54"/>
                          <w:ind w:right="158"/>
                          <w:jc w:val="right"/>
                          <w:rPr>
                            <w:sz w:val="16"/>
                          </w:rPr>
                        </w:pPr>
                        <w:r>
                          <w:rPr>
                            <w:w w:val="95"/>
                            <w:sz w:val="16"/>
                          </w:rPr>
                          <w:t>26</w:t>
                        </w:r>
                      </w:p>
                    </w:tc>
                    <w:tc>
                      <w:tcPr>
                        <w:tcW w:w="648" w:type="dxa"/>
                      </w:tcPr>
                      <w:p>
                        <w:pPr>
                          <w:pStyle w:val="TableParagraph"/>
                          <w:spacing w:before="54"/>
                          <w:ind w:left="63" w:right="63"/>
                          <w:jc w:val="center"/>
                          <w:rPr>
                            <w:sz w:val="16"/>
                          </w:rPr>
                        </w:pPr>
                        <w:r>
                          <w:rPr>
                            <w:sz w:val="16"/>
                          </w:rPr>
                          <w:t>26</w:t>
                        </w:r>
                      </w:p>
                    </w:tc>
                    <w:tc>
                      <w:tcPr>
                        <w:tcW w:w="893" w:type="dxa"/>
                      </w:tcPr>
                      <w:p>
                        <w:pPr>
                          <w:pStyle w:val="TableParagraph"/>
                          <w:spacing w:before="54"/>
                          <w:ind w:left="53" w:right="51"/>
                          <w:jc w:val="center"/>
                          <w:rPr>
                            <w:sz w:val="16"/>
                          </w:rPr>
                        </w:pPr>
                        <w:r>
                          <w:rPr>
                            <w:sz w:val="16"/>
                          </w:rPr>
                          <w:t>26</w:t>
                        </w:r>
                      </w:p>
                    </w:tc>
                    <w:tc>
                      <w:tcPr>
                        <w:tcW w:w="721" w:type="dxa"/>
                      </w:tcPr>
                      <w:p>
                        <w:pPr>
                          <w:pStyle w:val="TableParagraph"/>
                          <w:spacing w:before="54"/>
                          <w:ind w:left="78" w:right="77"/>
                          <w:jc w:val="center"/>
                          <w:rPr>
                            <w:sz w:val="16"/>
                          </w:rPr>
                        </w:pPr>
                        <w:r>
                          <w:rPr>
                            <w:sz w:val="16"/>
                          </w:rPr>
                          <w:t>26</w:t>
                        </w:r>
                      </w:p>
                    </w:tc>
                    <w:tc>
                      <w:tcPr>
                        <w:tcW w:w="992" w:type="dxa"/>
                      </w:tcPr>
                      <w:p>
                        <w:pPr>
                          <w:pStyle w:val="TableParagraph"/>
                          <w:spacing w:before="54"/>
                          <w:ind w:left="157" w:right="156"/>
                          <w:jc w:val="center"/>
                          <w:rPr>
                            <w:sz w:val="16"/>
                          </w:rPr>
                        </w:pPr>
                        <w:r>
                          <w:rPr>
                            <w:sz w:val="16"/>
                          </w:rPr>
                          <w:t>26</w:t>
                        </w:r>
                      </w:p>
                    </w:tc>
                    <w:tc>
                      <w:tcPr>
                        <w:tcW w:w="1134" w:type="dxa"/>
                      </w:tcPr>
                      <w:p>
                        <w:pPr>
                          <w:pStyle w:val="TableParagraph"/>
                          <w:spacing w:before="54"/>
                          <w:ind w:right="479"/>
                          <w:jc w:val="right"/>
                          <w:rPr>
                            <w:sz w:val="16"/>
                          </w:rPr>
                        </w:pPr>
                        <w:r>
                          <w:rPr>
                            <w:w w:val="95"/>
                            <w:sz w:val="16"/>
                          </w:rPr>
                          <w:t>26</w:t>
                        </w:r>
                      </w:p>
                    </w:tc>
                    <w:tc>
                      <w:tcPr>
                        <w:tcW w:w="1559" w:type="dxa"/>
                      </w:tcPr>
                      <w:p>
                        <w:pPr>
                          <w:pStyle w:val="TableParagraph"/>
                          <w:spacing w:before="54"/>
                          <w:ind w:left="203" w:right="202"/>
                          <w:jc w:val="center"/>
                          <w:rPr>
                            <w:sz w:val="16"/>
                          </w:rPr>
                        </w:pPr>
                        <w:r>
                          <w:rPr>
                            <w:sz w:val="16"/>
                          </w:rPr>
                          <w:t>26</w:t>
                        </w:r>
                      </w:p>
                    </w:tc>
                  </w:tr>
                  <w:tr>
                    <w:trPr>
                      <w:trHeight w:val="310" w:hRule="exact"/>
                    </w:trPr>
                    <w:tc>
                      <w:tcPr>
                        <w:tcW w:w="1259" w:type="dxa"/>
                        <w:gridSpan w:val="2"/>
                        <w:shd w:val="clear" w:color="auto" w:fill="F2F2F2"/>
                      </w:tcPr>
                      <w:p>
                        <w:pPr>
                          <w:pStyle w:val="TableParagraph"/>
                          <w:spacing w:before="53"/>
                          <w:ind w:left="64"/>
                          <w:rPr>
                            <w:sz w:val="16"/>
                          </w:rPr>
                        </w:pPr>
                        <w:r>
                          <w:rPr>
                            <w:sz w:val="16"/>
                          </w:rPr>
                          <w:t>Average</w:t>
                        </w:r>
                      </w:p>
                    </w:tc>
                    <w:tc>
                      <w:tcPr>
                        <w:tcW w:w="494" w:type="dxa"/>
                      </w:tcPr>
                      <w:p>
                        <w:pPr>
                          <w:pStyle w:val="TableParagraph"/>
                          <w:spacing w:before="53"/>
                          <w:ind w:right="98"/>
                          <w:jc w:val="right"/>
                          <w:rPr>
                            <w:sz w:val="16"/>
                          </w:rPr>
                        </w:pPr>
                        <w:r>
                          <w:rPr>
                            <w:sz w:val="16"/>
                          </w:rPr>
                          <w:t>2,23</w:t>
                        </w:r>
                      </w:p>
                    </w:tc>
                    <w:tc>
                      <w:tcPr>
                        <w:tcW w:w="648" w:type="dxa"/>
                      </w:tcPr>
                      <w:p>
                        <w:pPr>
                          <w:pStyle w:val="TableParagraph"/>
                          <w:spacing w:before="53"/>
                          <w:ind w:left="63" w:right="63"/>
                          <w:jc w:val="center"/>
                          <w:rPr>
                            <w:sz w:val="16"/>
                          </w:rPr>
                        </w:pPr>
                        <w:r>
                          <w:rPr>
                            <w:sz w:val="16"/>
                          </w:rPr>
                          <w:t>1,12</w:t>
                        </w:r>
                      </w:p>
                    </w:tc>
                    <w:tc>
                      <w:tcPr>
                        <w:tcW w:w="893" w:type="dxa"/>
                      </w:tcPr>
                      <w:p>
                        <w:pPr>
                          <w:pStyle w:val="TableParagraph"/>
                          <w:spacing w:before="53"/>
                          <w:ind w:left="53" w:right="51"/>
                          <w:jc w:val="center"/>
                          <w:rPr>
                            <w:sz w:val="16"/>
                          </w:rPr>
                        </w:pPr>
                        <w:r>
                          <w:rPr>
                            <w:sz w:val="16"/>
                          </w:rPr>
                          <w:t>1,81</w:t>
                        </w:r>
                      </w:p>
                    </w:tc>
                    <w:tc>
                      <w:tcPr>
                        <w:tcW w:w="721" w:type="dxa"/>
                      </w:tcPr>
                      <w:p>
                        <w:pPr>
                          <w:pStyle w:val="TableParagraph"/>
                          <w:spacing w:before="53"/>
                          <w:ind w:left="78" w:right="77"/>
                          <w:jc w:val="center"/>
                          <w:rPr>
                            <w:sz w:val="16"/>
                          </w:rPr>
                        </w:pPr>
                        <w:r>
                          <w:rPr>
                            <w:sz w:val="16"/>
                          </w:rPr>
                          <w:t>3,00</w:t>
                        </w:r>
                      </w:p>
                    </w:tc>
                    <w:tc>
                      <w:tcPr>
                        <w:tcW w:w="992" w:type="dxa"/>
                      </w:tcPr>
                      <w:p>
                        <w:pPr>
                          <w:pStyle w:val="TableParagraph"/>
                          <w:spacing w:before="53"/>
                          <w:ind w:left="157" w:right="156"/>
                          <w:jc w:val="center"/>
                          <w:rPr>
                            <w:sz w:val="16"/>
                          </w:rPr>
                        </w:pPr>
                        <w:r>
                          <w:rPr>
                            <w:sz w:val="16"/>
                          </w:rPr>
                          <w:t>1,81</w:t>
                        </w:r>
                      </w:p>
                    </w:tc>
                    <w:tc>
                      <w:tcPr>
                        <w:tcW w:w="1134" w:type="dxa"/>
                      </w:tcPr>
                      <w:p>
                        <w:pPr>
                          <w:pStyle w:val="TableParagraph"/>
                          <w:spacing w:before="53"/>
                          <w:ind w:right="419"/>
                          <w:jc w:val="right"/>
                          <w:rPr>
                            <w:sz w:val="16"/>
                          </w:rPr>
                        </w:pPr>
                        <w:r>
                          <w:rPr>
                            <w:sz w:val="16"/>
                          </w:rPr>
                          <w:t>2,08</w:t>
                        </w:r>
                      </w:p>
                    </w:tc>
                    <w:tc>
                      <w:tcPr>
                        <w:tcW w:w="1559" w:type="dxa"/>
                      </w:tcPr>
                      <w:p>
                        <w:pPr>
                          <w:pStyle w:val="TableParagraph"/>
                          <w:spacing w:before="53"/>
                          <w:ind w:left="203" w:right="202"/>
                          <w:jc w:val="center"/>
                          <w:rPr>
                            <w:sz w:val="16"/>
                          </w:rPr>
                        </w:pPr>
                        <w:r>
                          <w:rPr>
                            <w:sz w:val="16"/>
                          </w:rPr>
                          <w:t>2,15</w:t>
                        </w:r>
                      </w:p>
                    </w:tc>
                  </w:tr>
                  <w:tr>
                    <w:trPr>
                      <w:trHeight w:val="310" w:hRule="exact"/>
                    </w:trPr>
                    <w:tc>
                      <w:tcPr>
                        <w:tcW w:w="1259" w:type="dxa"/>
                        <w:gridSpan w:val="2"/>
                        <w:shd w:val="clear" w:color="auto" w:fill="F2F2F2"/>
                      </w:tcPr>
                      <w:p>
                        <w:pPr>
                          <w:pStyle w:val="TableParagraph"/>
                          <w:spacing w:before="54"/>
                          <w:ind w:left="64"/>
                          <w:rPr>
                            <w:sz w:val="16"/>
                          </w:rPr>
                        </w:pPr>
                        <w:r>
                          <w:rPr>
                            <w:sz w:val="16"/>
                          </w:rPr>
                          <w:t>Median</w:t>
                        </w:r>
                      </w:p>
                    </w:tc>
                    <w:tc>
                      <w:tcPr>
                        <w:tcW w:w="494" w:type="dxa"/>
                      </w:tcPr>
                      <w:p>
                        <w:pPr>
                          <w:pStyle w:val="TableParagraph"/>
                          <w:spacing w:before="54"/>
                          <w:ind w:right="98"/>
                          <w:jc w:val="right"/>
                          <w:rPr>
                            <w:sz w:val="16"/>
                          </w:rPr>
                        </w:pPr>
                        <w:r>
                          <w:rPr>
                            <w:sz w:val="16"/>
                          </w:rPr>
                          <w:t>2,00</w:t>
                        </w:r>
                      </w:p>
                    </w:tc>
                    <w:tc>
                      <w:tcPr>
                        <w:tcW w:w="648" w:type="dxa"/>
                      </w:tcPr>
                      <w:p>
                        <w:pPr>
                          <w:pStyle w:val="TableParagraph"/>
                          <w:spacing w:before="54"/>
                          <w:ind w:left="63" w:right="63"/>
                          <w:jc w:val="center"/>
                          <w:rPr>
                            <w:sz w:val="16"/>
                          </w:rPr>
                        </w:pPr>
                        <w:r>
                          <w:rPr>
                            <w:sz w:val="16"/>
                          </w:rPr>
                          <w:t>1,00</w:t>
                        </w:r>
                      </w:p>
                    </w:tc>
                    <w:tc>
                      <w:tcPr>
                        <w:tcW w:w="893" w:type="dxa"/>
                      </w:tcPr>
                      <w:p>
                        <w:pPr>
                          <w:pStyle w:val="TableParagraph"/>
                          <w:spacing w:before="54"/>
                          <w:ind w:left="53" w:right="51"/>
                          <w:jc w:val="center"/>
                          <w:rPr>
                            <w:sz w:val="16"/>
                          </w:rPr>
                        </w:pPr>
                        <w:r>
                          <w:rPr>
                            <w:sz w:val="16"/>
                          </w:rPr>
                          <w:t>2,00</w:t>
                        </w:r>
                      </w:p>
                    </w:tc>
                    <w:tc>
                      <w:tcPr>
                        <w:tcW w:w="721" w:type="dxa"/>
                      </w:tcPr>
                      <w:p>
                        <w:pPr>
                          <w:pStyle w:val="TableParagraph"/>
                          <w:spacing w:before="54"/>
                          <w:ind w:left="78" w:right="77"/>
                          <w:jc w:val="center"/>
                          <w:rPr>
                            <w:sz w:val="16"/>
                          </w:rPr>
                        </w:pPr>
                        <w:r>
                          <w:rPr>
                            <w:sz w:val="16"/>
                          </w:rPr>
                          <w:t>3,00</w:t>
                        </w:r>
                      </w:p>
                    </w:tc>
                    <w:tc>
                      <w:tcPr>
                        <w:tcW w:w="992" w:type="dxa"/>
                      </w:tcPr>
                      <w:p>
                        <w:pPr>
                          <w:pStyle w:val="TableParagraph"/>
                          <w:spacing w:before="54"/>
                          <w:ind w:left="157" w:right="156"/>
                          <w:jc w:val="center"/>
                          <w:rPr>
                            <w:sz w:val="16"/>
                          </w:rPr>
                        </w:pPr>
                        <w:r>
                          <w:rPr>
                            <w:sz w:val="16"/>
                          </w:rPr>
                          <w:t>2,00</w:t>
                        </w:r>
                      </w:p>
                    </w:tc>
                    <w:tc>
                      <w:tcPr>
                        <w:tcW w:w="1134" w:type="dxa"/>
                      </w:tcPr>
                      <w:p>
                        <w:pPr>
                          <w:pStyle w:val="TableParagraph"/>
                          <w:spacing w:before="54"/>
                          <w:ind w:right="419"/>
                          <w:jc w:val="right"/>
                          <w:rPr>
                            <w:sz w:val="16"/>
                          </w:rPr>
                        </w:pPr>
                        <w:r>
                          <w:rPr>
                            <w:sz w:val="16"/>
                          </w:rPr>
                          <w:t>2,00</w:t>
                        </w:r>
                      </w:p>
                    </w:tc>
                    <w:tc>
                      <w:tcPr>
                        <w:tcW w:w="1559" w:type="dxa"/>
                      </w:tcPr>
                      <w:p>
                        <w:pPr>
                          <w:pStyle w:val="TableParagraph"/>
                          <w:spacing w:before="54"/>
                          <w:ind w:left="203" w:right="202"/>
                          <w:jc w:val="center"/>
                          <w:rPr>
                            <w:sz w:val="16"/>
                          </w:rPr>
                        </w:pPr>
                        <w:r>
                          <w:rPr>
                            <w:sz w:val="16"/>
                          </w:rPr>
                          <w:t>2,00</w:t>
                        </w:r>
                      </w:p>
                    </w:tc>
                  </w:tr>
                  <w:tr>
                    <w:trPr>
                      <w:trHeight w:val="311" w:hRule="exact"/>
                    </w:trPr>
                    <w:tc>
                      <w:tcPr>
                        <w:tcW w:w="1259" w:type="dxa"/>
                        <w:gridSpan w:val="2"/>
                        <w:shd w:val="clear" w:color="auto" w:fill="F2F2F2"/>
                      </w:tcPr>
                      <w:p>
                        <w:pPr>
                          <w:pStyle w:val="TableParagraph"/>
                          <w:spacing w:before="54"/>
                          <w:ind w:left="64"/>
                          <w:rPr>
                            <w:sz w:val="16"/>
                          </w:rPr>
                        </w:pPr>
                        <w:r>
                          <w:rPr>
                            <w:sz w:val="16"/>
                          </w:rPr>
                          <w:t>Statistical Mode</w:t>
                        </w:r>
                      </w:p>
                    </w:tc>
                    <w:tc>
                      <w:tcPr>
                        <w:tcW w:w="494" w:type="dxa"/>
                      </w:tcPr>
                      <w:p>
                        <w:pPr>
                          <w:pStyle w:val="TableParagraph"/>
                          <w:spacing w:before="54"/>
                          <w:ind w:right="200"/>
                          <w:jc w:val="right"/>
                          <w:rPr>
                            <w:sz w:val="16"/>
                          </w:rPr>
                        </w:pPr>
                        <w:r>
                          <w:rPr>
                            <w:w w:val="99"/>
                            <w:sz w:val="16"/>
                          </w:rPr>
                          <w:t>2</w:t>
                        </w:r>
                      </w:p>
                    </w:tc>
                    <w:tc>
                      <w:tcPr>
                        <w:tcW w:w="648" w:type="dxa"/>
                      </w:tcPr>
                      <w:p>
                        <w:pPr>
                          <w:pStyle w:val="TableParagraph"/>
                          <w:spacing w:before="54"/>
                          <w:ind w:right="1"/>
                          <w:jc w:val="center"/>
                          <w:rPr>
                            <w:sz w:val="16"/>
                          </w:rPr>
                        </w:pPr>
                        <w:r>
                          <w:rPr>
                            <w:w w:val="99"/>
                            <w:sz w:val="16"/>
                          </w:rPr>
                          <w:t>1</w:t>
                        </w:r>
                      </w:p>
                    </w:tc>
                    <w:tc>
                      <w:tcPr>
                        <w:tcW w:w="893" w:type="dxa"/>
                      </w:tcPr>
                      <w:p>
                        <w:pPr>
                          <w:pStyle w:val="TableParagraph"/>
                          <w:spacing w:before="54"/>
                          <w:jc w:val="center"/>
                          <w:rPr>
                            <w:sz w:val="16"/>
                          </w:rPr>
                        </w:pPr>
                        <w:r>
                          <w:rPr>
                            <w:w w:val="99"/>
                            <w:sz w:val="16"/>
                          </w:rPr>
                          <w:t>2</w:t>
                        </w:r>
                      </w:p>
                    </w:tc>
                    <w:tc>
                      <w:tcPr>
                        <w:tcW w:w="721" w:type="dxa"/>
                      </w:tcPr>
                      <w:p>
                        <w:pPr>
                          <w:pStyle w:val="TableParagraph"/>
                          <w:spacing w:before="54"/>
                          <w:jc w:val="center"/>
                          <w:rPr>
                            <w:sz w:val="16"/>
                          </w:rPr>
                        </w:pPr>
                        <w:r>
                          <w:rPr>
                            <w:w w:val="99"/>
                            <w:sz w:val="16"/>
                          </w:rPr>
                          <w:t>4</w:t>
                        </w:r>
                      </w:p>
                    </w:tc>
                    <w:tc>
                      <w:tcPr>
                        <w:tcW w:w="992" w:type="dxa"/>
                      </w:tcPr>
                      <w:p>
                        <w:pPr>
                          <w:pStyle w:val="TableParagraph"/>
                          <w:spacing w:before="54"/>
                          <w:jc w:val="center"/>
                          <w:rPr>
                            <w:sz w:val="16"/>
                          </w:rPr>
                        </w:pPr>
                        <w:r>
                          <w:rPr>
                            <w:w w:val="99"/>
                            <w:sz w:val="16"/>
                          </w:rPr>
                          <w:t>2</w:t>
                        </w:r>
                      </w:p>
                    </w:tc>
                    <w:tc>
                      <w:tcPr>
                        <w:tcW w:w="1134" w:type="dxa"/>
                      </w:tcPr>
                      <w:p>
                        <w:pPr>
                          <w:pStyle w:val="TableParagraph"/>
                          <w:spacing w:before="54"/>
                          <w:ind w:right="520"/>
                          <w:jc w:val="right"/>
                          <w:rPr>
                            <w:sz w:val="16"/>
                          </w:rPr>
                        </w:pPr>
                        <w:r>
                          <w:rPr>
                            <w:w w:val="99"/>
                            <w:sz w:val="16"/>
                          </w:rPr>
                          <w:t>2</w:t>
                        </w:r>
                      </w:p>
                    </w:tc>
                    <w:tc>
                      <w:tcPr>
                        <w:tcW w:w="1559" w:type="dxa"/>
                      </w:tcPr>
                      <w:p>
                        <w:pPr>
                          <w:pStyle w:val="TableParagraph"/>
                          <w:spacing w:before="54"/>
                          <w:jc w:val="center"/>
                          <w:rPr>
                            <w:sz w:val="16"/>
                          </w:rPr>
                        </w:pPr>
                        <w:r>
                          <w:rPr>
                            <w:w w:val="99"/>
                            <w:sz w:val="16"/>
                          </w:rPr>
                          <w:t>2</w:t>
                        </w:r>
                      </w:p>
                    </w:tc>
                  </w:tr>
                </w:tbl>
                <w:p>
                  <w:pPr>
                    <w:pStyle w:val="BodyText"/>
                  </w:pPr>
                </w:p>
              </w:txbxContent>
            </v:textbox>
            <w10:wrap type="none"/>
          </v:shape>
        </w:pict>
      </w:r>
      <w:r>
        <w:rPr/>
        <w:t>An informed consent was developed, based on resolution 8430 of 1993, where the participant expressed his intention  to be part of the investigation, and after, the document was submitted to the Committee for Bioethics at the University. Then, a poll questionnaire type, based on the Nordic Questionnaire, was applied, (known as Kuorinka Questionnaire, standardized for detection and analysis of muscle symptoms); subsequently, a checklist of postural verification was made (known as Balance Human Operating Position BHOP), maximum equilibrium position of Beach, for</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1"/>
        <w:rPr>
          <w:sz w:val="19"/>
        </w:rPr>
      </w:pPr>
    </w:p>
    <w:p>
      <w:pPr>
        <w:pStyle w:val="BodyText"/>
        <w:ind w:left="270"/>
        <w:jc w:val="both"/>
      </w:pPr>
      <w:r>
        <w:rPr/>
        <w:t>musculoskeletal cervical issues, this process allowed to evaluate the level of ergonomic injuries risk. Both instruments modified and validated by three expert judges (professionals in health specialists with experience in health and safety at work). Finally, a pilot test was conducted, to include drafting changes.</w:t>
      </w:r>
    </w:p>
    <w:p>
      <w:pPr>
        <w:pStyle w:val="BodyText"/>
        <w:spacing w:before="11"/>
        <w:rPr>
          <w:sz w:val="19"/>
        </w:rPr>
      </w:pPr>
    </w:p>
    <w:p>
      <w:pPr>
        <w:pStyle w:val="BodyText"/>
        <w:ind w:left="270"/>
        <w:jc w:val="both"/>
      </w:pPr>
      <w:r>
        <w:rPr/>
        <w:t>The collected information suffered a mathematical and statistical processing of qualitative and  quantitative variables, with frequency distribution, percentage distributions and measures of central tendency. They were processed in a spreadsheet in Microsoft Office Excel 2010 and SPSS statistical program from which the tables and charts for analysis were generated.</w:t>
      </w:r>
    </w:p>
    <w:p>
      <w:pPr>
        <w:pStyle w:val="BodyText"/>
        <w:spacing w:before="2"/>
      </w:pPr>
    </w:p>
    <w:p>
      <w:pPr>
        <w:pStyle w:val="Heading4"/>
        <w:numPr>
          <w:ilvl w:val="2"/>
          <w:numId w:val="93"/>
        </w:numPr>
        <w:tabs>
          <w:tab w:pos="1029" w:val="left" w:leader="none"/>
          <w:tab w:pos="1030" w:val="left" w:leader="none"/>
        </w:tabs>
        <w:spacing w:line="240" w:lineRule="auto" w:before="0" w:after="0"/>
        <w:ind w:left="1029" w:right="0" w:hanging="399"/>
        <w:jc w:val="left"/>
      </w:pPr>
      <w:r>
        <w:rPr/>
        <w:t>RESULTS</w:t>
      </w:r>
    </w:p>
    <w:p>
      <w:pPr>
        <w:pStyle w:val="BodyText"/>
        <w:spacing w:before="74"/>
        <w:ind w:left="270" w:right="676"/>
        <w:jc w:val="both"/>
      </w:pPr>
      <w:r>
        <w:rPr/>
        <w:br w:type="column"/>
      </w:r>
      <w:r>
        <w:rPr/>
        <w:t>It was found within the sociodemographic characteristics, that 15% of participants are in the range of 18-20 years,  65% of participants are in the age range of 21-30 years, 8% from 31 to 40 years and between 51 to 60 years and 4% respectively from 41 to 50 years</w:t>
      </w:r>
      <w:r>
        <w:rPr>
          <w:spacing w:val="-10"/>
        </w:rPr>
        <w:t> </w:t>
      </w:r>
      <w:r>
        <w:rPr/>
        <w:t>old.</w:t>
      </w:r>
    </w:p>
    <w:p>
      <w:pPr>
        <w:pStyle w:val="BodyText"/>
      </w:pPr>
    </w:p>
    <w:p>
      <w:pPr>
        <w:pStyle w:val="BodyText"/>
      </w:pPr>
    </w:p>
    <w:p>
      <w:pPr>
        <w:pStyle w:val="BodyText"/>
      </w:pPr>
    </w:p>
    <w:p>
      <w:pPr>
        <w:pStyle w:val="BodyText"/>
        <w:ind w:left="270"/>
        <w:jc w:val="both"/>
      </w:pPr>
      <w:r>
        <w:rPr/>
        <w:t>Figure 1. Percentage distribution by age of respondent staff.</w:t>
      </w:r>
    </w:p>
    <w:p>
      <w:pPr>
        <w:pStyle w:val="BodyText"/>
        <w:ind w:left="616"/>
      </w:pPr>
      <w:r>
        <w:rPr/>
        <w:drawing>
          <wp:inline distT="0" distB="0" distL="0" distR="0">
            <wp:extent cx="2650236" cy="1257300"/>
            <wp:effectExtent l="0" t="0" r="0" b="0"/>
            <wp:docPr id="381" name="image228.png" descr=""/>
            <wp:cNvGraphicFramePr>
              <a:graphicFrameLocks noChangeAspect="1"/>
            </wp:cNvGraphicFramePr>
            <a:graphic>
              <a:graphicData uri="http://schemas.openxmlformats.org/drawingml/2006/picture">
                <pic:pic>
                  <pic:nvPicPr>
                    <pic:cNvPr id="382" name="image228.png"/>
                    <pic:cNvPicPr/>
                  </pic:nvPicPr>
                  <pic:blipFill>
                    <a:blip r:embed="rId370" cstate="print"/>
                    <a:stretch>
                      <a:fillRect/>
                    </a:stretch>
                  </pic:blipFill>
                  <pic:spPr>
                    <a:xfrm>
                      <a:off x="0" y="0"/>
                      <a:ext cx="2650236" cy="1257300"/>
                    </a:xfrm>
                    <a:prstGeom prst="rect">
                      <a:avLst/>
                    </a:prstGeom>
                  </pic:spPr>
                </pic:pic>
              </a:graphicData>
            </a:graphic>
          </wp:inline>
        </w:drawing>
      </w:r>
      <w:r>
        <w:rPr/>
      </w:r>
    </w:p>
    <w:p>
      <w:pPr>
        <w:pStyle w:val="BodyText"/>
        <w:ind w:left="270"/>
        <w:jc w:val="both"/>
      </w:pPr>
      <w:r>
        <w:rPr/>
        <w:t>Source: Authors. 2014</w:t>
      </w:r>
    </w:p>
    <w:p>
      <w:pPr>
        <w:pStyle w:val="BodyText"/>
        <w:spacing w:before="11"/>
        <w:rPr>
          <w:sz w:val="19"/>
        </w:rPr>
      </w:pPr>
    </w:p>
    <w:p>
      <w:pPr>
        <w:pStyle w:val="BodyText"/>
        <w:ind w:left="270" w:right="673"/>
        <w:jc w:val="both"/>
      </w:pPr>
      <w:r>
        <w:rPr/>
        <w:t>88% were female and 11% male. 81% were students and 19% teachers. 38% lead playing their dental work for more than 48 months, 31% of 25-48 months, 23% of 12-24 months and 8% less than 12 months. 50% working in the dental unit 6 hours a day, 3 hours 35% 15% 9 hours. 85% working in the dental unit 3 to 5 days per week, 11% over 6 days and 4% of 1 to 2 days. The rest 38% take between 6-10 minutes between each patient care, 38% between 11-15 minutes and the 23% take between 1-5</w:t>
      </w:r>
      <w:r>
        <w:rPr>
          <w:spacing w:val="-15"/>
        </w:rPr>
        <w:t> </w:t>
      </w:r>
      <w:r>
        <w:rPr/>
        <w:t>minutes.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ind w:left="270" w:right="676"/>
        <w:jc w:val="both"/>
      </w:pPr>
      <w:r>
        <w:rPr/>
        <w:t>Table 1. Measures of center frequency distribution of age, gender, occupation, age, time in the dental unit, week working days and rest periods between patients.</w:t>
      </w:r>
    </w:p>
    <w:p>
      <w:pPr>
        <w:pStyle w:val="BodyText"/>
        <w:tabs>
          <w:tab w:pos="2127" w:val="left" w:leader="none"/>
          <w:tab w:pos="3540" w:val="left" w:leader="none"/>
          <w:tab w:pos="4831" w:val="left" w:leader="none"/>
        </w:tabs>
        <w:ind w:left="270" w:right="675"/>
        <w:jc w:val="both"/>
      </w:pPr>
      <w:r>
        <w:rPr/>
        <w:t>58% takes a lateral posture while sleeping, 31% prone or face down and the remaining 11% supine or face up. All respondents sleep in beds. 65% sleep on orthopedic type mattress, 15% on mat, 12% in other types of mattress and 8% in speck mattress. 65% claim to be sedentary, while the remaining</w:t>
        <w:tab/>
        <w:t>35%</w:t>
        <w:tab/>
        <w:t>are</w:t>
        <w:tab/>
        <w:t>not.</w:t>
      </w:r>
    </w:p>
    <w:p>
      <w:pPr>
        <w:pStyle w:val="BodyText"/>
        <w:spacing w:before="11"/>
        <w:rPr>
          <w:sz w:val="19"/>
        </w:rPr>
      </w:pPr>
    </w:p>
    <w:p>
      <w:pPr>
        <w:pStyle w:val="BodyText"/>
        <w:ind w:left="270" w:right="679"/>
        <w:jc w:val="both"/>
      </w:pPr>
      <w:r>
        <w:rPr/>
        <w:t>Figure 2. Percentage distribution of inactivity in surveyed staff.</w:t>
      </w:r>
    </w:p>
    <w:p>
      <w:pPr>
        <w:spacing w:after="0"/>
        <w:jc w:val="both"/>
        <w:sectPr>
          <w:type w:val="continuous"/>
          <w:pgSz w:w="12240" w:h="15840"/>
          <w:pgMar w:top="1500" w:bottom="280" w:left="580" w:right="220"/>
          <w:cols w:num="2" w:equalWidth="0">
            <w:col w:w="5190" w:space="434"/>
            <w:col w:w="5816"/>
          </w:cols>
        </w:sectPr>
      </w:pPr>
    </w:p>
    <w:p>
      <w:pPr>
        <w:pStyle w:val="BodyText"/>
        <w:spacing w:before="3"/>
        <w:rPr>
          <w:sz w:val="18"/>
        </w:rPr>
      </w:pPr>
    </w:p>
    <w:p>
      <w:pPr>
        <w:pStyle w:val="BodyText"/>
        <w:ind w:left="840"/>
      </w:pPr>
      <w:r>
        <w:rPr/>
        <w:drawing>
          <wp:inline distT="0" distB="0" distL="0" distR="0">
            <wp:extent cx="2400299" cy="1255014"/>
            <wp:effectExtent l="0" t="0" r="0" b="0"/>
            <wp:docPr id="383" name="image229.png" descr=""/>
            <wp:cNvGraphicFramePr>
              <a:graphicFrameLocks noChangeAspect="1"/>
            </wp:cNvGraphicFramePr>
            <a:graphic>
              <a:graphicData uri="http://schemas.openxmlformats.org/drawingml/2006/picture">
                <pic:pic>
                  <pic:nvPicPr>
                    <pic:cNvPr id="384" name="image229.png"/>
                    <pic:cNvPicPr/>
                  </pic:nvPicPr>
                  <pic:blipFill>
                    <a:blip r:embed="rId371" cstate="print"/>
                    <a:stretch>
                      <a:fillRect/>
                    </a:stretch>
                  </pic:blipFill>
                  <pic:spPr>
                    <a:xfrm>
                      <a:off x="0" y="0"/>
                      <a:ext cx="2400299" cy="1255014"/>
                    </a:xfrm>
                    <a:prstGeom prst="rect">
                      <a:avLst/>
                    </a:prstGeom>
                  </pic:spPr>
                </pic:pic>
              </a:graphicData>
            </a:graphic>
          </wp:inline>
        </w:drawing>
      </w:r>
      <w:r>
        <w:rPr/>
      </w:r>
    </w:p>
    <w:p>
      <w:pPr>
        <w:pStyle w:val="BodyText"/>
        <w:ind w:left="270"/>
        <w:jc w:val="both"/>
      </w:pPr>
      <w:r>
        <w:rPr/>
        <w:t>Source: Authors. 2014.</w:t>
      </w:r>
    </w:p>
    <w:p>
      <w:pPr>
        <w:pStyle w:val="BodyText"/>
        <w:spacing w:before="11"/>
        <w:rPr>
          <w:sz w:val="19"/>
        </w:rPr>
      </w:pPr>
    </w:p>
    <w:p>
      <w:pPr>
        <w:pStyle w:val="BodyText"/>
        <w:ind w:left="270" w:right="1"/>
        <w:jc w:val="both"/>
      </w:pPr>
      <w:r>
        <w:rPr/>
        <w:t>58% reported performing some type of scheduled physical activity, while the remaining 42% do not. 38% reported practicing some kind of sport with a frequency of once a week, 38% twice and 23% three or more times. 65% study in bed and 35% on a table.</w:t>
      </w:r>
    </w:p>
    <w:p>
      <w:pPr>
        <w:pStyle w:val="BodyText"/>
        <w:spacing w:before="11"/>
        <w:rPr>
          <w:sz w:val="19"/>
        </w:rPr>
      </w:pPr>
    </w:p>
    <w:p>
      <w:pPr>
        <w:pStyle w:val="BodyText"/>
        <w:ind w:left="270" w:right="2"/>
        <w:jc w:val="both"/>
      </w:pPr>
      <w:r>
        <w:rPr/>
        <w:t>Figure 3. Percentage distribution of respondent's location to study</w:t>
      </w:r>
    </w:p>
    <w:p>
      <w:pPr>
        <w:pStyle w:val="BodyText"/>
        <w:ind w:left="965"/>
      </w:pPr>
      <w:r>
        <w:rPr/>
        <w:drawing>
          <wp:inline distT="0" distB="0" distL="0" distR="0">
            <wp:extent cx="2240279" cy="1255014"/>
            <wp:effectExtent l="0" t="0" r="0" b="0"/>
            <wp:docPr id="385" name="image230.png" descr=""/>
            <wp:cNvGraphicFramePr>
              <a:graphicFrameLocks noChangeAspect="1"/>
            </wp:cNvGraphicFramePr>
            <a:graphic>
              <a:graphicData uri="http://schemas.openxmlformats.org/drawingml/2006/picture">
                <pic:pic>
                  <pic:nvPicPr>
                    <pic:cNvPr id="386" name="image230.png"/>
                    <pic:cNvPicPr/>
                  </pic:nvPicPr>
                  <pic:blipFill>
                    <a:blip r:embed="rId372" cstate="print"/>
                    <a:stretch>
                      <a:fillRect/>
                    </a:stretch>
                  </pic:blipFill>
                  <pic:spPr>
                    <a:xfrm>
                      <a:off x="0" y="0"/>
                      <a:ext cx="2240279" cy="1255014"/>
                    </a:xfrm>
                    <a:prstGeom prst="rect">
                      <a:avLst/>
                    </a:prstGeom>
                  </pic:spPr>
                </pic:pic>
              </a:graphicData>
            </a:graphic>
          </wp:inline>
        </w:drawing>
      </w:r>
      <w:r>
        <w:rPr/>
      </w:r>
    </w:p>
    <w:p>
      <w:pPr>
        <w:pStyle w:val="BodyText"/>
        <w:spacing w:before="1"/>
        <w:ind w:left="270"/>
        <w:jc w:val="both"/>
      </w:pPr>
      <w:r>
        <w:rPr/>
        <w:t>Source: Authors. 2014.</w:t>
      </w:r>
    </w:p>
    <w:p>
      <w:pPr>
        <w:pStyle w:val="BodyText"/>
        <w:spacing w:before="11"/>
        <w:rPr>
          <w:sz w:val="19"/>
        </w:rPr>
      </w:pPr>
    </w:p>
    <w:p>
      <w:pPr>
        <w:pStyle w:val="BodyText"/>
        <w:ind w:left="270"/>
        <w:jc w:val="both"/>
      </w:pPr>
      <w:r>
        <w:rPr/>
        <w:t>65% use computers 3 hours maximum per day and 35% use  it 4 to 6 hours. 50% of respondents are in front of a table to use the computer and the remaining 50% in bed. 85% reported using laptop type equipment, 11% used table computer and 4% Tablet. 69% at working take a seated or lying position and the remaining 31% in mixed position (seated or sitting or</w:t>
      </w:r>
      <w:r>
        <w:rPr>
          <w:spacing w:val="-18"/>
        </w:rPr>
        <w:t> </w:t>
      </w:r>
      <w:r>
        <w:rPr/>
        <w:t>standing).</w:t>
      </w:r>
    </w:p>
    <w:p>
      <w:pPr>
        <w:pStyle w:val="BodyText"/>
        <w:spacing w:before="11"/>
        <w:rPr>
          <w:sz w:val="19"/>
        </w:rPr>
      </w:pPr>
    </w:p>
    <w:p>
      <w:pPr>
        <w:pStyle w:val="BodyText"/>
        <w:ind w:left="270"/>
        <w:jc w:val="both"/>
      </w:pPr>
      <w:r>
        <w:rPr/>
        <w:pict>
          <v:shape style="position:absolute;margin-left:97.260002pt;margin-top:39.876465pt;width:415.35pt;height:112.75pt;mso-position-horizontal-relative:page;mso-position-vertical-relative:paragraph;z-index:11056"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9"/>
                    <w:gridCol w:w="571"/>
                    <w:gridCol w:w="893"/>
                    <w:gridCol w:w="851"/>
                    <w:gridCol w:w="850"/>
                    <w:gridCol w:w="852"/>
                    <w:gridCol w:w="991"/>
                    <w:gridCol w:w="1277"/>
                    <w:gridCol w:w="1559"/>
                  </w:tblGrid>
                  <w:tr>
                    <w:trPr>
                      <w:trHeight w:val="566" w:hRule="exact"/>
                    </w:trPr>
                    <w:tc>
                      <w:tcPr>
                        <w:tcW w:w="1020" w:type="dxa"/>
                        <w:gridSpan w:val="2"/>
                        <w:shd w:val="clear" w:color="auto" w:fill="F2F2F2"/>
                      </w:tcPr>
                      <w:p>
                        <w:pPr/>
                      </w:p>
                    </w:tc>
                    <w:tc>
                      <w:tcPr>
                        <w:tcW w:w="893" w:type="dxa"/>
                        <w:shd w:val="clear" w:color="auto" w:fill="F2F2F2"/>
                      </w:tcPr>
                      <w:p>
                        <w:pPr>
                          <w:pStyle w:val="TableParagraph"/>
                          <w:spacing w:before="94"/>
                          <w:ind w:left="71" w:right="54" w:firstLine="195"/>
                          <w:rPr>
                            <w:b/>
                            <w:sz w:val="16"/>
                          </w:rPr>
                        </w:pPr>
                        <w:r>
                          <w:rPr>
                            <w:b/>
                            <w:sz w:val="16"/>
                          </w:rPr>
                          <w:t>Neck discomfort</w:t>
                        </w:r>
                      </w:p>
                    </w:tc>
                    <w:tc>
                      <w:tcPr>
                        <w:tcW w:w="851" w:type="dxa"/>
                        <w:shd w:val="clear" w:color="auto" w:fill="F2F2F2"/>
                      </w:tcPr>
                      <w:p>
                        <w:pPr>
                          <w:pStyle w:val="TableParagraph"/>
                          <w:spacing w:before="94"/>
                          <w:ind w:left="88" w:right="70" w:firstLine="98"/>
                          <w:rPr>
                            <w:b/>
                            <w:sz w:val="16"/>
                          </w:rPr>
                        </w:pPr>
                        <w:r>
                          <w:rPr>
                            <w:b/>
                            <w:sz w:val="16"/>
                          </w:rPr>
                          <w:t>type of neck pain</w:t>
                        </w:r>
                      </w:p>
                    </w:tc>
                    <w:tc>
                      <w:tcPr>
                        <w:tcW w:w="850" w:type="dxa"/>
                        <w:shd w:val="clear" w:color="auto" w:fill="F2F2F2"/>
                      </w:tcPr>
                      <w:p>
                        <w:pPr>
                          <w:pStyle w:val="TableParagraph"/>
                          <w:spacing w:before="94"/>
                          <w:ind w:left="188" w:right="102" w:hanging="66"/>
                          <w:rPr>
                            <w:b/>
                            <w:sz w:val="16"/>
                          </w:rPr>
                        </w:pPr>
                        <w:r>
                          <w:rPr>
                            <w:b/>
                            <w:sz w:val="16"/>
                          </w:rPr>
                          <w:t>shoulder strains</w:t>
                        </w:r>
                      </w:p>
                    </w:tc>
                    <w:tc>
                      <w:tcPr>
                        <w:tcW w:w="852" w:type="dxa"/>
                        <w:shd w:val="clear" w:color="auto" w:fill="F2F2F2"/>
                      </w:tcPr>
                      <w:p>
                        <w:pPr>
                          <w:pStyle w:val="TableParagraph"/>
                          <w:spacing w:before="2"/>
                          <w:ind w:left="123" w:right="121"/>
                          <w:jc w:val="center"/>
                          <w:rPr>
                            <w:b/>
                            <w:sz w:val="16"/>
                          </w:rPr>
                        </w:pPr>
                        <w:r>
                          <w:rPr>
                            <w:b/>
                            <w:sz w:val="16"/>
                          </w:rPr>
                          <w:t>type of </w:t>
                        </w:r>
                        <w:r>
                          <w:rPr>
                            <w:b/>
                            <w:w w:val="95"/>
                            <w:sz w:val="16"/>
                          </w:rPr>
                          <w:t>shoulder </w:t>
                        </w:r>
                        <w:r>
                          <w:rPr>
                            <w:b/>
                            <w:sz w:val="16"/>
                          </w:rPr>
                          <w:t>pain</w:t>
                        </w:r>
                      </w:p>
                    </w:tc>
                    <w:tc>
                      <w:tcPr>
                        <w:tcW w:w="991" w:type="dxa"/>
                        <w:shd w:val="clear" w:color="auto" w:fill="F2F2F2"/>
                      </w:tcPr>
                      <w:p>
                        <w:pPr>
                          <w:pStyle w:val="TableParagraph"/>
                          <w:spacing w:before="94"/>
                          <w:ind w:left="81" w:right="62" w:firstLine="253"/>
                          <w:rPr>
                            <w:b/>
                            <w:sz w:val="16"/>
                          </w:rPr>
                        </w:pPr>
                        <w:r>
                          <w:rPr>
                            <w:b/>
                            <w:sz w:val="16"/>
                          </w:rPr>
                          <w:t>Pain clasification</w:t>
                        </w:r>
                      </w:p>
                    </w:tc>
                    <w:tc>
                      <w:tcPr>
                        <w:tcW w:w="1277" w:type="dxa"/>
                        <w:shd w:val="clear" w:color="auto" w:fill="F2F2F2"/>
                      </w:tcPr>
                      <w:p>
                        <w:pPr>
                          <w:pStyle w:val="TableParagraph"/>
                          <w:spacing w:before="2"/>
                          <w:ind w:left="128" w:right="130"/>
                          <w:jc w:val="center"/>
                          <w:rPr>
                            <w:b/>
                            <w:sz w:val="16"/>
                          </w:rPr>
                        </w:pPr>
                        <w:r>
                          <w:rPr>
                            <w:b/>
                            <w:sz w:val="16"/>
                          </w:rPr>
                          <w:t>MED presence</w:t>
                        </w:r>
                        <w:r>
                          <w:rPr>
                            <w:b/>
                            <w:w w:val="99"/>
                            <w:sz w:val="16"/>
                          </w:rPr>
                          <w:t> </w:t>
                        </w:r>
                        <w:r>
                          <w:rPr>
                            <w:b/>
                            <w:sz w:val="16"/>
                          </w:rPr>
                          <w:t>in the last 12 months</w:t>
                        </w:r>
                      </w:p>
                    </w:tc>
                    <w:tc>
                      <w:tcPr>
                        <w:tcW w:w="1559" w:type="dxa"/>
                        <w:shd w:val="clear" w:color="auto" w:fill="F2F2F2"/>
                      </w:tcPr>
                      <w:p>
                        <w:pPr>
                          <w:pStyle w:val="TableParagraph"/>
                          <w:spacing w:before="2"/>
                          <w:ind w:left="201" w:right="202"/>
                          <w:jc w:val="center"/>
                          <w:rPr>
                            <w:b/>
                            <w:sz w:val="16"/>
                          </w:rPr>
                        </w:pPr>
                        <w:r>
                          <w:rPr>
                            <w:b/>
                            <w:sz w:val="16"/>
                          </w:rPr>
                          <w:t>Suspension of activity because</w:t>
                        </w:r>
                        <w:r>
                          <w:rPr>
                            <w:b/>
                            <w:w w:val="99"/>
                            <w:sz w:val="16"/>
                          </w:rPr>
                          <w:t> </w:t>
                        </w:r>
                        <w:r>
                          <w:rPr>
                            <w:b/>
                            <w:sz w:val="16"/>
                          </w:rPr>
                          <w:t>discomfort</w:t>
                        </w:r>
                      </w:p>
                    </w:tc>
                  </w:tr>
                  <w:tr>
                    <w:trPr>
                      <w:trHeight w:val="325" w:hRule="exact"/>
                    </w:trPr>
                    <w:tc>
                      <w:tcPr>
                        <w:tcW w:w="449" w:type="dxa"/>
                        <w:vMerge w:val="restart"/>
                        <w:shd w:val="clear" w:color="auto" w:fill="F2F2F2"/>
                      </w:tcPr>
                      <w:p>
                        <w:pPr>
                          <w:pStyle w:val="TableParagraph"/>
                          <w:spacing w:before="6"/>
                          <w:rPr>
                            <w:sz w:val="19"/>
                          </w:rPr>
                        </w:pPr>
                      </w:p>
                      <w:p>
                        <w:pPr>
                          <w:pStyle w:val="TableParagraph"/>
                          <w:ind w:left="64"/>
                          <w:rPr>
                            <w:sz w:val="16"/>
                          </w:rPr>
                        </w:pPr>
                        <w:r>
                          <w:rPr>
                            <w:sz w:val="16"/>
                          </w:rPr>
                          <w:t>No.</w:t>
                        </w:r>
                      </w:p>
                    </w:tc>
                    <w:tc>
                      <w:tcPr>
                        <w:tcW w:w="571" w:type="dxa"/>
                        <w:shd w:val="clear" w:color="auto" w:fill="F2F2F2"/>
                      </w:tcPr>
                      <w:p>
                        <w:pPr>
                          <w:pStyle w:val="TableParagraph"/>
                          <w:spacing w:before="62"/>
                          <w:ind w:left="65"/>
                          <w:rPr>
                            <w:sz w:val="16"/>
                          </w:rPr>
                        </w:pPr>
                        <w:r>
                          <w:rPr>
                            <w:sz w:val="16"/>
                          </w:rPr>
                          <w:t>Valid</w:t>
                        </w:r>
                      </w:p>
                    </w:tc>
                    <w:tc>
                      <w:tcPr>
                        <w:tcW w:w="893" w:type="dxa"/>
                      </w:tcPr>
                      <w:p>
                        <w:pPr>
                          <w:pStyle w:val="TableParagraph"/>
                          <w:spacing w:before="62"/>
                          <w:ind w:left="53" w:right="51"/>
                          <w:jc w:val="center"/>
                          <w:rPr>
                            <w:sz w:val="16"/>
                          </w:rPr>
                        </w:pPr>
                        <w:r>
                          <w:rPr>
                            <w:sz w:val="16"/>
                          </w:rPr>
                          <w:t>11</w:t>
                        </w:r>
                      </w:p>
                    </w:tc>
                    <w:tc>
                      <w:tcPr>
                        <w:tcW w:w="851" w:type="dxa"/>
                      </w:tcPr>
                      <w:p>
                        <w:pPr>
                          <w:pStyle w:val="TableParagraph"/>
                          <w:spacing w:before="62"/>
                          <w:ind w:left="1"/>
                          <w:jc w:val="center"/>
                          <w:rPr>
                            <w:sz w:val="16"/>
                          </w:rPr>
                        </w:pPr>
                        <w:r>
                          <w:rPr>
                            <w:w w:val="99"/>
                            <w:sz w:val="16"/>
                          </w:rPr>
                          <w:t>9</w:t>
                        </w:r>
                      </w:p>
                    </w:tc>
                    <w:tc>
                      <w:tcPr>
                        <w:tcW w:w="850" w:type="dxa"/>
                      </w:tcPr>
                      <w:p>
                        <w:pPr>
                          <w:pStyle w:val="TableParagraph"/>
                          <w:spacing w:before="62"/>
                          <w:ind w:right="336"/>
                          <w:jc w:val="right"/>
                          <w:rPr>
                            <w:sz w:val="16"/>
                          </w:rPr>
                        </w:pPr>
                        <w:r>
                          <w:rPr>
                            <w:w w:val="95"/>
                            <w:sz w:val="16"/>
                          </w:rPr>
                          <w:t>10</w:t>
                        </w:r>
                      </w:p>
                    </w:tc>
                    <w:tc>
                      <w:tcPr>
                        <w:tcW w:w="852" w:type="dxa"/>
                      </w:tcPr>
                      <w:p>
                        <w:pPr>
                          <w:pStyle w:val="TableParagraph"/>
                          <w:spacing w:before="62"/>
                          <w:ind w:left="2"/>
                          <w:jc w:val="center"/>
                          <w:rPr>
                            <w:sz w:val="16"/>
                          </w:rPr>
                        </w:pPr>
                        <w:r>
                          <w:rPr>
                            <w:w w:val="99"/>
                            <w:sz w:val="16"/>
                          </w:rPr>
                          <w:t>9</w:t>
                        </w:r>
                      </w:p>
                    </w:tc>
                    <w:tc>
                      <w:tcPr>
                        <w:tcW w:w="991" w:type="dxa"/>
                      </w:tcPr>
                      <w:p>
                        <w:pPr>
                          <w:pStyle w:val="TableParagraph"/>
                          <w:spacing w:before="62"/>
                          <w:ind w:left="330" w:right="330"/>
                          <w:jc w:val="center"/>
                          <w:rPr>
                            <w:sz w:val="16"/>
                          </w:rPr>
                        </w:pPr>
                        <w:r>
                          <w:rPr>
                            <w:sz w:val="16"/>
                          </w:rPr>
                          <w:t>10</w:t>
                        </w:r>
                      </w:p>
                    </w:tc>
                    <w:tc>
                      <w:tcPr>
                        <w:tcW w:w="1277" w:type="dxa"/>
                      </w:tcPr>
                      <w:p>
                        <w:pPr>
                          <w:pStyle w:val="TableParagraph"/>
                          <w:spacing w:before="62"/>
                          <w:ind w:right="551"/>
                          <w:jc w:val="right"/>
                          <w:rPr>
                            <w:sz w:val="16"/>
                          </w:rPr>
                        </w:pPr>
                        <w:r>
                          <w:rPr>
                            <w:w w:val="95"/>
                            <w:sz w:val="16"/>
                          </w:rPr>
                          <w:t>21</w:t>
                        </w:r>
                      </w:p>
                    </w:tc>
                    <w:tc>
                      <w:tcPr>
                        <w:tcW w:w="1559" w:type="dxa"/>
                      </w:tcPr>
                      <w:p>
                        <w:pPr>
                          <w:pStyle w:val="TableParagraph"/>
                          <w:spacing w:before="62"/>
                          <w:ind w:left="201" w:right="202"/>
                          <w:jc w:val="center"/>
                          <w:rPr>
                            <w:sz w:val="16"/>
                          </w:rPr>
                        </w:pPr>
                        <w:r>
                          <w:rPr>
                            <w:sz w:val="16"/>
                          </w:rPr>
                          <w:t>21</w:t>
                        </w:r>
                      </w:p>
                    </w:tc>
                  </w:tr>
                  <w:tr>
                    <w:trPr>
                      <w:trHeight w:val="325" w:hRule="exact"/>
                    </w:trPr>
                    <w:tc>
                      <w:tcPr>
                        <w:tcW w:w="449" w:type="dxa"/>
                        <w:vMerge/>
                        <w:shd w:val="clear" w:color="auto" w:fill="F2F2F2"/>
                      </w:tcPr>
                      <w:p>
                        <w:pPr/>
                      </w:p>
                    </w:tc>
                    <w:tc>
                      <w:tcPr>
                        <w:tcW w:w="571" w:type="dxa"/>
                        <w:shd w:val="clear" w:color="auto" w:fill="F2F2F2"/>
                      </w:tcPr>
                      <w:p>
                        <w:pPr>
                          <w:pStyle w:val="TableParagraph"/>
                          <w:spacing w:before="62"/>
                          <w:ind w:left="65"/>
                          <w:rPr>
                            <w:sz w:val="16"/>
                          </w:rPr>
                        </w:pPr>
                        <w:r>
                          <w:rPr>
                            <w:sz w:val="16"/>
                          </w:rPr>
                          <w:t>Lost</w:t>
                        </w:r>
                      </w:p>
                    </w:tc>
                    <w:tc>
                      <w:tcPr>
                        <w:tcW w:w="893" w:type="dxa"/>
                      </w:tcPr>
                      <w:p>
                        <w:pPr>
                          <w:pStyle w:val="TableParagraph"/>
                          <w:spacing w:before="62"/>
                          <w:jc w:val="center"/>
                          <w:rPr>
                            <w:sz w:val="16"/>
                          </w:rPr>
                        </w:pPr>
                        <w:r>
                          <w:rPr>
                            <w:w w:val="99"/>
                            <w:sz w:val="16"/>
                          </w:rPr>
                          <w:t>1</w:t>
                        </w:r>
                      </w:p>
                    </w:tc>
                    <w:tc>
                      <w:tcPr>
                        <w:tcW w:w="851" w:type="dxa"/>
                      </w:tcPr>
                      <w:p>
                        <w:pPr>
                          <w:pStyle w:val="TableParagraph"/>
                          <w:spacing w:before="62"/>
                          <w:jc w:val="center"/>
                          <w:rPr>
                            <w:sz w:val="16"/>
                          </w:rPr>
                        </w:pPr>
                        <w:r>
                          <w:rPr>
                            <w:w w:val="99"/>
                            <w:sz w:val="16"/>
                          </w:rPr>
                          <w:t>3</w:t>
                        </w:r>
                      </w:p>
                    </w:tc>
                    <w:tc>
                      <w:tcPr>
                        <w:tcW w:w="850" w:type="dxa"/>
                      </w:tcPr>
                      <w:p>
                        <w:pPr>
                          <w:pStyle w:val="TableParagraph"/>
                          <w:spacing w:before="62"/>
                          <w:ind w:right="378"/>
                          <w:jc w:val="right"/>
                          <w:rPr>
                            <w:sz w:val="16"/>
                          </w:rPr>
                        </w:pPr>
                        <w:r>
                          <w:rPr>
                            <w:w w:val="99"/>
                            <w:sz w:val="16"/>
                          </w:rPr>
                          <w:t>2</w:t>
                        </w:r>
                      </w:p>
                    </w:tc>
                    <w:tc>
                      <w:tcPr>
                        <w:tcW w:w="852" w:type="dxa"/>
                      </w:tcPr>
                      <w:p>
                        <w:pPr>
                          <w:pStyle w:val="TableParagraph"/>
                          <w:spacing w:before="62"/>
                          <w:ind w:left="1"/>
                          <w:jc w:val="center"/>
                          <w:rPr>
                            <w:sz w:val="16"/>
                          </w:rPr>
                        </w:pPr>
                        <w:r>
                          <w:rPr>
                            <w:w w:val="99"/>
                            <w:sz w:val="16"/>
                          </w:rPr>
                          <w:t>3</w:t>
                        </w:r>
                      </w:p>
                    </w:tc>
                    <w:tc>
                      <w:tcPr>
                        <w:tcW w:w="991" w:type="dxa"/>
                      </w:tcPr>
                      <w:p>
                        <w:pPr>
                          <w:pStyle w:val="TableParagraph"/>
                          <w:spacing w:before="62"/>
                          <w:ind w:right="1"/>
                          <w:jc w:val="center"/>
                          <w:rPr>
                            <w:sz w:val="16"/>
                          </w:rPr>
                        </w:pPr>
                        <w:r>
                          <w:rPr>
                            <w:w w:val="99"/>
                            <w:sz w:val="16"/>
                          </w:rPr>
                          <w:t>2</w:t>
                        </w:r>
                      </w:p>
                    </w:tc>
                    <w:tc>
                      <w:tcPr>
                        <w:tcW w:w="1277" w:type="dxa"/>
                      </w:tcPr>
                      <w:p>
                        <w:pPr>
                          <w:pStyle w:val="TableParagraph"/>
                          <w:spacing w:before="62"/>
                          <w:ind w:right="1"/>
                          <w:jc w:val="center"/>
                          <w:rPr>
                            <w:sz w:val="16"/>
                          </w:rPr>
                        </w:pPr>
                        <w:r>
                          <w:rPr>
                            <w:w w:val="99"/>
                            <w:sz w:val="16"/>
                          </w:rPr>
                          <w:t>5</w:t>
                        </w:r>
                      </w:p>
                    </w:tc>
                    <w:tc>
                      <w:tcPr>
                        <w:tcW w:w="1559" w:type="dxa"/>
                      </w:tcPr>
                      <w:p>
                        <w:pPr>
                          <w:pStyle w:val="TableParagraph"/>
                          <w:spacing w:before="62"/>
                          <w:ind w:right="2"/>
                          <w:jc w:val="center"/>
                          <w:rPr>
                            <w:sz w:val="16"/>
                          </w:rPr>
                        </w:pPr>
                        <w:r>
                          <w:rPr>
                            <w:w w:val="99"/>
                            <w:sz w:val="16"/>
                          </w:rPr>
                          <w:t>5</w:t>
                        </w:r>
                      </w:p>
                    </w:tc>
                  </w:tr>
                  <w:tr>
                    <w:trPr>
                      <w:trHeight w:val="325" w:hRule="exact"/>
                    </w:trPr>
                    <w:tc>
                      <w:tcPr>
                        <w:tcW w:w="1020" w:type="dxa"/>
                        <w:gridSpan w:val="2"/>
                        <w:shd w:val="clear" w:color="auto" w:fill="F2F2F2"/>
                      </w:tcPr>
                      <w:p>
                        <w:pPr>
                          <w:pStyle w:val="TableParagraph"/>
                          <w:spacing w:before="62"/>
                          <w:ind w:left="64" w:right="295"/>
                          <w:rPr>
                            <w:sz w:val="16"/>
                          </w:rPr>
                        </w:pPr>
                        <w:r>
                          <w:rPr>
                            <w:sz w:val="16"/>
                          </w:rPr>
                          <w:t>Average</w:t>
                        </w:r>
                      </w:p>
                    </w:tc>
                    <w:tc>
                      <w:tcPr>
                        <w:tcW w:w="893" w:type="dxa"/>
                      </w:tcPr>
                      <w:p>
                        <w:pPr>
                          <w:pStyle w:val="TableParagraph"/>
                          <w:spacing w:before="62"/>
                          <w:ind w:left="53" w:right="52"/>
                          <w:jc w:val="center"/>
                          <w:rPr>
                            <w:sz w:val="16"/>
                          </w:rPr>
                        </w:pPr>
                        <w:r>
                          <w:rPr>
                            <w:sz w:val="16"/>
                          </w:rPr>
                          <w:t>1,60</w:t>
                        </w:r>
                      </w:p>
                    </w:tc>
                    <w:tc>
                      <w:tcPr>
                        <w:tcW w:w="851" w:type="dxa"/>
                      </w:tcPr>
                      <w:p>
                        <w:pPr>
                          <w:pStyle w:val="TableParagraph"/>
                          <w:spacing w:before="62"/>
                          <w:ind w:left="176" w:right="174"/>
                          <w:jc w:val="center"/>
                          <w:rPr>
                            <w:sz w:val="16"/>
                          </w:rPr>
                        </w:pPr>
                        <w:r>
                          <w:rPr>
                            <w:sz w:val="16"/>
                          </w:rPr>
                          <w:t>1,11</w:t>
                        </w:r>
                      </w:p>
                    </w:tc>
                    <w:tc>
                      <w:tcPr>
                        <w:tcW w:w="850" w:type="dxa"/>
                      </w:tcPr>
                      <w:p>
                        <w:pPr>
                          <w:pStyle w:val="TableParagraph"/>
                          <w:spacing w:before="62"/>
                          <w:ind w:right="278"/>
                          <w:jc w:val="right"/>
                          <w:rPr>
                            <w:sz w:val="16"/>
                          </w:rPr>
                        </w:pPr>
                        <w:r>
                          <w:rPr>
                            <w:sz w:val="16"/>
                          </w:rPr>
                          <w:t>1,42</w:t>
                        </w:r>
                      </w:p>
                    </w:tc>
                    <w:tc>
                      <w:tcPr>
                        <w:tcW w:w="852" w:type="dxa"/>
                      </w:tcPr>
                      <w:p>
                        <w:pPr>
                          <w:pStyle w:val="TableParagraph"/>
                          <w:spacing w:before="62"/>
                          <w:ind w:left="123" w:right="120"/>
                          <w:jc w:val="center"/>
                          <w:rPr>
                            <w:sz w:val="16"/>
                          </w:rPr>
                        </w:pPr>
                        <w:r>
                          <w:rPr>
                            <w:sz w:val="16"/>
                          </w:rPr>
                          <w:t>1,00</w:t>
                        </w:r>
                      </w:p>
                    </w:tc>
                    <w:tc>
                      <w:tcPr>
                        <w:tcW w:w="991" w:type="dxa"/>
                      </w:tcPr>
                      <w:p>
                        <w:pPr>
                          <w:pStyle w:val="TableParagraph"/>
                          <w:spacing w:before="62"/>
                          <w:ind w:left="330" w:right="330"/>
                          <w:jc w:val="center"/>
                          <w:rPr>
                            <w:sz w:val="16"/>
                          </w:rPr>
                        </w:pPr>
                        <w:r>
                          <w:rPr>
                            <w:sz w:val="16"/>
                          </w:rPr>
                          <w:t>1,83</w:t>
                        </w:r>
                      </w:p>
                    </w:tc>
                    <w:tc>
                      <w:tcPr>
                        <w:tcW w:w="1277" w:type="dxa"/>
                      </w:tcPr>
                      <w:p>
                        <w:pPr>
                          <w:pStyle w:val="TableParagraph"/>
                          <w:spacing w:before="62"/>
                          <w:ind w:right="491"/>
                          <w:jc w:val="right"/>
                          <w:rPr>
                            <w:sz w:val="16"/>
                          </w:rPr>
                        </w:pPr>
                        <w:r>
                          <w:rPr>
                            <w:sz w:val="16"/>
                          </w:rPr>
                          <w:t>1,57</w:t>
                        </w:r>
                      </w:p>
                    </w:tc>
                    <w:tc>
                      <w:tcPr>
                        <w:tcW w:w="1559" w:type="dxa"/>
                      </w:tcPr>
                      <w:p>
                        <w:pPr>
                          <w:pStyle w:val="TableParagraph"/>
                          <w:spacing w:before="62"/>
                          <w:ind w:left="201" w:right="202"/>
                          <w:jc w:val="center"/>
                          <w:rPr>
                            <w:sz w:val="16"/>
                          </w:rPr>
                        </w:pPr>
                        <w:r>
                          <w:rPr>
                            <w:sz w:val="16"/>
                          </w:rPr>
                          <w:t>1,10</w:t>
                        </w:r>
                      </w:p>
                    </w:tc>
                  </w:tr>
                  <w:tr>
                    <w:trPr>
                      <w:trHeight w:val="325" w:hRule="exact"/>
                    </w:trPr>
                    <w:tc>
                      <w:tcPr>
                        <w:tcW w:w="1020" w:type="dxa"/>
                        <w:gridSpan w:val="2"/>
                        <w:shd w:val="clear" w:color="auto" w:fill="F2F2F2"/>
                      </w:tcPr>
                      <w:p>
                        <w:pPr>
                          <w:pStyle w:val="TableParagraph"/>
                          <w:spacing w:before="62"/>
                          <w:ind w:left="64" w:right="295"/>
                          <w:rPr>
                            <w:sz w:val="16"/>
                          </w:rPr>
                        </w:pPr>
                        <w:r>
                          <w:rPr>
                            <w:sz w:val="16"/>
                          </w:rPr>
                          <w:t>Median</w:t>
                        </w:r>
                      </w:p>
                    </w:tc>
                    <w:tc>
                      <w:tcPr>
                        <w:tcW w:w="893" w:type="dxa"/>
                      </w:tcPr>
                      <w:p>
                        <w:pPr>
                          <w:pStyle w:val="TableParagraph"/>
                          <w:spacing w:before="62"/>
                          <w:ind w:left="53" w:right="52"/>
                          <w:jc w:val="center"/>
                          <w:rPr>
                            <w:sz w:val="16"/>
                          </w:rPr>
                        </w:pPr>
                        <w:r>
                          <w:rPr>
                            <w:sz w:val="16"/>
                          </w:rPr>
                          <w:t>2,00</w:t>
                        </w:r>
                      </w:p>
                    </w:tc>
                    <w:tc>
                      <w:tcPr>
                        <w:tcW w:w="851" w:type="dxa"/>
                      </w:tcPr>
                      <w:p>
                        <w:pPr>
                          <w:pStyle w:val="TableParagraph"/>
                          <w:spacing w:before="62"/>
                          <w:ind w:left="176" w:right="174"/>
                          <w:jc w:val="center"/>
                          <w:rPr>
                            <w:sz w:val="16"/>
                          </w:rPr>
                        </w:pPr>
                        <w:r>
                          <w:rPr>
                            <w:sz w:val="16"/>
                          </w:rPr>
                          <w:t>1,00</w:t>
                        </w:r>
                      </w:p>
                    </w:tc>
                    <w:tc>
                      <w:tcPr>
                        <w:tcW w:w="850" w:type="dxa"/>
                      </w:tcPr>
                      <w:p>
                        <w:pPr>
                          <w:pStyle w:val="TableParagraph"/>
                          <w:spacing w:before="62"/>
                          <w:ind w:right="277"/>
                          <w:jc w:val="right"/>
                          <w:rPr>
                            <w:sz w:val="16"/>
                          </w:rPr>
                        </w:pPr>
                        <w:r>
                          <w:rPr>
                            <w:sz w:val="16"/>
                          </w:rPr>
                          <w:t>1,00</w:t>
                        </w:r>
                      </w:p>
                    </w:tc>
                    <w:tc>
                      <w:tcPr>
                        <w:tcW w:w="852" w:type="dxa"/>
                      </w:tcPr>
                      <w:p>
                        <w:pPr>
                          <w:pStyle w:val="TableParagraph"/>
                          <w:spacing w:before="62"/>
                          <w:ind w:left="123" w:right="120"/>
                          <w:jc w:val="center"/>
                          <w:rPr>
                            <w:sz w:val="16"/>
                          </w:rPr>
                        </w:pPr>
                        <w:r>
                          <w:rPr>
                            <w:sz w:val="16"/>
                          </w:rPr>
                          <w:t>1,00</w:t>
                        </w:r>
                      </w:p>
                    </w:tc>
                    <w:tc>
                      <w:tcPr>
                        <w:tcW w:w="991" w:type="dxa"/>
                      </w:tcPr>
                      <w:p>
                        <w:pPr>
                          <w:pStyle w:val="TableParagraph"/>
                          <w:spacing w:before="62"/>
                          <w:ind w:left="330" w:right="330"/>
                          <w:jc w:val="center"/>
                          <w:rPr>
                            <w:sz w:val="16"/>
                          </w:rPr>
                        </w:pPr>
                        <w:r>
                          <w:rPr>
                            <w:sz w:val="16"/>
                          </w:rPr>
                          <w:t>2,00</w:t>
                        </w:r>
                      </w:p>
                    </w:tc>
                    <w:tc>
                      <w:tcPr>
                        <w:tcW w:w="1277" w:type="dxa"/>
                      </w:tcPr>
                      <w:p>
                        <w:pPr>
                          <w:pStyle w:val="TableParagraph"/>
                          <w:spacing w:before="62"/>
                          <w:ind w:right="491"/>
                          <w:jc w:val="right"/>
                          <w:rPr>
                            <w:sz w:val="16"/>
                          </w:rPr>
                        </w:pPr>
                        <w:r>
                          <w:rPr>
                            <w:sz w:val="16"/>
                          </w:rPr>
                          <w:t>2,00</w:t>
                        </w:r>
                      </w:p>
                    </w:tc>
                    <w:tc>
                      <w:tcPr>
                        <w:tcW w:w="1559" w:type="dxa"/>
                      </w:tcPr>
                      <w:p>
                        <w:pPr>
                          <w:pStyle w:val="TableParagraph"/>
                          <w:spacing w:before="62"/>
                          <w:ind w:left="201" w:right="202"/>
                          <w:jc w:val="center"/>
                          <w:rPr>
                            <w:sz w:val="16"/>
                          </w:rPr>
                        </w:pPr>
                        <w:r>
                          <w:rPr>
                            <w:sz w:val="16"/>
                          </w:rPr>
                          <w:t>1,00</w:t>
                        </w:r>
                      </w:p>
                    </w:tc>
                  </w:tr>
                  <w:tr>
                    <w:trPr>
                      <w:trHeight w:val="378" w:hRule="exact"/>
                    </w:trPr>
                    <w:tc>
                      <w:tcPr>
                        <w:tcW w:w="1020" w:type="dxa"/>
                        <w:gridSpan w:val="2"/>
                        <w:shd w:val="clear" w:color="auto" w:fill="F2F2F2"/>
                      </w:tcPr>
                      <w:p>
                        <w:pPr>
                          <w:pStyle w:val="TableParagraph"/>
                          <w:ind w:left="64" w:right="295"/>
                          <w:rPr>
                            <w:sz w:val="16"/>
                          </w:rPr>
                        </w:pPr>
                        <w:r>
                          <w:rPr>
                            <w:sz w:val="16"/>
                          </w:rPr>
                          <w:t>Statistical Mode</w:t>
                        </w:r>
                      </w:p>
                    </w:tc>
                    <w:tc>
                      <w:tcPr>
                        <w:tcW w:w="893" w:type="dxa"/>
                      </w:tcPr>
                      <w:p>
                        <w:pPr>
                          <w:pStyle w:val="TableParagraph"/>
                          <w:spacing w:before="88"/>
                          <w:ind w:right="1"/>
                          <w:jc w:val="center"/>
                          <w:rPr>
                            <w:sz w:val="16"/>
                          </w:rPr>
                        </w:pPr>
                        <w:r>
                          <w:rPr>
                            <w:w w:val="99"/>
                            <w:sz w:val="16"/>
                          </w:rPr>
                          <w:t>2</w:t>
                        </w:r>
                      </w:p>
                    </w:tc>
                    <w:tc>
                      <w:tcPr>
                        <w:tcW w:w="851" w:type="dxa"/>
                      </w:tcPr>
                      <w:p>
                        <w:pPr>
                          <w:pStyle w:val="TableParagraph"/>
                          <w:spacing w:before="88"/>
                          <w:jc w:val="center"/>
                          <w:rPr>
                            <w:sz w:val="16"/>
                          </w:rPr>
                        </w:pPr>
                        <w:r>
                          <w:rPr>
                            <w:w w:val="99"/>
                            <w:sz w:val="16"/>
                          </w:rPr>
                          <w:t>1</w:t>
                        </w:r>
                      </w:p>
                    </w:tc>
                    <w:tc>
                      <w:tcPr>
                        <w:tcW w:w="850" w:type="dxa"/>
                      </w:tcPr>
                      <w:p>
                        <w:pPr>
                          <w:pStyle w:val="TableParagraph"/>
                          <w:spacing w:before="88"/>
                          <w:ind w:right="379"/>
                          <w:jc w:val="right"/>
                          <w:rPr>
                            <w:sz w:val="16"/>
                          </w:rPr>
                        </w:pPr>
                        <w:r>
                          <w:rPr>
                            <w:w w:val="99"/>
                            <w:sz w:val="16"/>
                          </w:rPr>
                          <w:t>1</w:t>
                        </w:r>
                      </w:p>
                    </w:tc>
                    <w:tc>
                      <w:tcPr>
                        <w:tcW w:w="852" w:type="dxa"/>
                      </w:tcPr>
                      <w:p>
                        <w:pPr>
                          <w:pStyle w:val="TableParagraph"/>
                          <w:spacing w:before="88"/>
                          <w:jc w:val="center"/>
                          <w:rPr>
                            <w:sz w:val="16"/>
                          </w:rPr>
                        </w:pPr>
                        <w:r>
                          <w:rPr>
                            <w:w w:val="99"/>
                            <w:sz w:val="16"/>
                          </w:rPr>
                          <w:t>1</w:t>
                        </w:r>
                      </w:p>
                    </w:tc>
                    <w:tc>
                      <w:tcPr>
                        <w:tcW w:w="991" w:type="dxa"/>
                      </w:tcPr>
                      <w:p>
                        <w:pPr>
                          <w:pStyle w:val="TableParagraph"/>
                          <w:spacing w:before="88"/>
                          <w:ind w:right="1"/>
                          <w:jc w:val="center"/>
                          <w:rPr>
                            <w:sz w:val="16"/>
                          </w:rPr>
                        </w:pPr>
                        <w:r>
                          <w:rPr>
                            <w:w w:val="99"/>
                            <w:sz w:val="16"/>
                          </w:rPr>
                          <w:t>2</w:t>
                        </w:r>
                      </w:p>
                    </w:tc>
                    <w:tc>
                      <w:tcPr>
                        <w:tcW w:w="1277" w:type="dxa"/>
                      </w:tcPr>
                      <w:p>
                        <w:pPr>
                          <w:pStyle w:val="TableParagraph"/>
                          <w:spacing w:before="88"/>
                          <w:ind w:right="1"/>
                          <w:jc w:val="center"/>
                          <w:rPr>
                            <w:sz w:val="16"/>
                          </w:rPr>
                        </w:pPr>
                        <w:r>
                          <w:rPr>
                            <w:w w:val="99"/>
                            <w:sz w:val="16"/>
                          </w:rPr>
                          <w:t>2</w:t>
                        </w:r>
                      </w:p>
                    </w:tc>
                    <w:tc>
                      <w:tcPr>
                        <w:tcW w:w="1559" w:type="dxa"/>
                      </w:tcPr>
                      <w:p>
                        <w:pPr>
                          <w:pStyle w:val="TableParagraph"/>
                          <w:spacing w:before="88"/>
                          <w:ind w:right="2"/>
                          <w:jc w:val="center"/>
                          <w:rPr>
                            <w:sz w:val="16"/>
                          </w:rPr>
                        </w:pPr>
                        <w:r>
                          <w:rPr>
                            <w:w w:val="99"/>
                            <w:sz w:val="16"/>
                          </w:rPr>
                          <w:t>1</w:t>
                        </w:r>
                      </w:p>
                    </w:tc>
                  </w:tr>
                </w:tbl>
                <w:p>
                  <w:pPr>
                    <w:pStyle w:val="BodyText"/>
                  </w:pPr>
                </w:p>
              </w:txbxContent>
            </v:textbox>
            <w10:wrap type="none"/>
          </v:shape>
        </w:pict>
      </w:r>
      <w:r>
        <w:rPr/>
        <w:t>When asked the staff respondent if they are in a medical treatment for any disease present 92% said no, while 8%</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0"/>
        <w:rPr>
          <w:sz w:val="19"/>
        </w:rPr>
      </w:pPr>
    </w:p>
    <w:p>
      <w:pPr>
        <w:pStyle w:val="BodyText"/>
        <w:spacing w:before="1"/>
        <w:ind w:left="270" w:right="3"/>
        <w:jc w:val="both"/>
      </w:pPr>
      <w:r>
        <w:rPr/>
        <w:t>answered yes; none reported having required rehabilitation treatment.</w:t>
      </w:r>
    </w:p>
    <w:p>
      <w:pPr>
        <w:pStyle w:val="BodyText"/>
        <w:spacing w:before="11"/>
        <w:rPr>
          <w:sz w:val="19"/>
        </w:rPr>
      </w:pPr>
    </w:p>
    <w:p>
      <w:pPr>
        <w:pStyle w:val="BodyText"/>
        <w:ind w:left="270"/>
        <w:jc w:val="both"/>
      </w:pPr>
      <w:r>
        <w:rPr/>
        <w:t>When asked if they have had previous trauma or pathology  in the cervical region or shoulders, 92% answered no and 8% answered    yes.    54%    reported    having    presented </w:t>
      </w:r>
      <w:r>
        <w:rPr>
          <w:spacing w:val="15"/>
        </w:rPr>
        <w:t> </w:t>
      </w:r>
      <w:r>
        <w:rPr/>
        <w:t>neck</w:t>
      </w:r>
    </w:p>
    <w:p>
      <w:pPr>
        <w:pStyle w:val="BodyText"/>
        <w:spacing w:before="9"/>
        <w:rPr>
          <w:sz w:val="17"/>
        </w:rPr>
      </w:pPr>
      <w:r>
        <w:rPr/>
        <w:br w:type="column"/>
      </w:r>
      <w:r>
        <w:rPr>
          <w:sz w:val="17"/>
        </w:rPr>
      </w:r>
    </w:p>
    <w:p>
      <w:pPr>
        <w:pStyle w:val="BodyText"/>
        <w:ind w:left="270" w:right="676"/>
        <w:jc w:val="both"/>
      </w:pPr>
      <w:r>
        <w:rPr/>
        <w:t>discomfort, 42% presented shoulder discomfort and 4% did not answer.</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ind w:left="270" w:right="998"/>
      </w:pPr>
      <w:r>
        <w:rPr/>
        <w:t>Figure 4. Percentage distribution of the presence of neck and shoulder discomfort in the respondent staff.</w:t>
      </w:r>
    </w:p>
    <w:p>
      <w:pPr>
        <w:pStyle w:val="BodyText"/>
        <w:ind w:left="746"/>
      </w:pPr>
      <w:r>
        <w:rPr/>
        <w:drawing>
          <wp:inline distT="0" distB="0" distL="0" distR="0">
            <wp:extent cx="2487168" cy="1252727"/>
            <wp:effectExtent l="0" t="0" r="0" b="0"/>
            <wp:docPr id="387" name="image231.png" descr=""/>
            <wp:cNvGraphicFramePr>
              <a:graphicFrameLocks noChangeAspect="1"/>
            </wp:cNvGraphicFramePr>
            <a:graphic>
              <a:graphicData uri="http://schemas.openxmlformats.org/drawingml/2006/picture">
                <pic:pic>
                  <pic:nvPicPr>
                    <pic:cNvPr id="388" name="image231.png"/>
                    <pic:cNvPicPr/>
                  </pic:nvPicPr>
                  <pic:blipFill>
                    <a:blip r:embed="rId373" cstate="print"/>
                    <a:stretch>
                      <a:fillRect/>
                    </a:stretch>
                  </pic:blipFill>
                  <pic:spPr>
                    <a:xfrm>
                      <a:off x="0" y="0"/>
                      <a:ext cx="2487168" cy="1252727"/>
                    </a:xfrm>
                    <a:prstGeom prst="rect">
                      <a:avLst/>
                    </a:prstGeom>
                  </pic:spPr>
                </pic:pic>
              </a:graphicData>
            </a:graphic>
          </wp:inline>
        </w:drawing>
      </w:r>
      <w:r>
        <w:rPr/>
      </w:r>
    </w:p>
    <w:p>
      <w:pPr>
        <w:pStyle w:val="BodyText"/>
        <w:spacing w:before="6"/>
        <w:ind w:left="270"/>
        <w:jc w:val="both"/>
      </w:pPr>
      <w:r>
        <w:rPr/>
        <w:t>Source: Authors. 2014.</w:t>
      </w:r>
    </w:p>
    <w:p>
      <w:pPr>
        <w:pStyle w:val="BodyText"/>
        <w:spacing w:before="11"/>
        <w:rPr>
          <w:sz w:val="19"/>
        </w:rPr>
      </w:pPr>
    </w:p>
    <w:p>
      <w:pPr>
        <w:pStyle w:val="BodyText"/>
        <w:ind w:left="270" w:right="676"/>
        <w:jc w:val="both"/>
      </w:pPr>
      <w:r>
        <w:rPr/>
        <w:t>73% of dentists not been stopped working with patients because of painful symptoms in neck or shoulders, 8% yes and 19% no answer. During the past 12 months, 46% relates they had pain in the neck or shoulders, 35% no and 19% did not answer.</w:t>
      </w:r>
    </w:p>
    <w:p>
      <w:pPr>
        <w:pStyle w:val="BodyText"/>
      </w:pPr>
    </w:p>
    <w:p>
      <w:pPr>
        <w:pStyle w:val="BodyText"/>
        <w:spacing w:before="1"/>
        <w:ind w:left="270" w:right="673"/>
        <w:jc w:val="both"/>
      </w:pPr>
      <w:r>
        <w:rPr/>
        <w:t>46% of those who reported the presence of neck or shoulder discomfort and / or symptoms in the last twelve months, report that the pain lasts less than an hour by 50%, another 42% say the episode of pain lasts from 1 to 24 hours and 4% reported pain lasting between 1-7 days; 8% answered that these complaints have kept them from doing its work in 1-7 days during the last twelve months, 8% answered that the impediment has been 1-4 weeks and the remaining 83% have not had to suspend its work . 92% over the past seven days has presented discomfort in neck or shoulder, and 8% did</w:t>
      </w:r>
      <w:r>
        <w:rPr>
          <w:spacing w:val="-3"/>
        </w:rPr>
        <w:t> </w:t>
      </w:r>
      <w:r>
        <w:rPr/>
        <w:t>not.</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ind w:left="270" w:right="675"/>
        <w:jc w:val="both"/>
      </w:pPr>
      <w:r>
        <w:rPr/>
        <w:t>Of total respondent who reported feeling any pain,  50% rated their pain as moderate, 33% rated the pain as mild and 17% rated their pain as severe. 67% said the pain is located in   the   neck,   8%   refered.   In   shoulder,   68%   located.</w:t>
      </w:r>
    </w:p>
    <w:p>
      <w:pPr>
        <w:spacing w:after="0"/>
        <w:jc w:val="both"/>
        <w:sectPr>
          <w:pgSz w:w="12240" w:h="15840"/>
          <w:pgMar w:header="545" w:footer="852" w:top="1060" w:bottom="1040" w:left="580" w:right="220"/>
          <w:cols w:num="2" w:equalWidth="0">
            <w:col w:w="5192" w:space="433"/>
            <w:col w:w="5815"/>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4"/>
        <w:ind w:left="270"/>
        <w:jc w:val="both"/>
      </w:pPr>
      <w:r>
        <w:rPr/>
        <w:t>Regarding the inflammation in the neck 50% didn’t had, and 25% yes, and in shoulder 58% didn’t had and 8% yes. For stiff in neck 42% showed and 33% didn´t; on shoulder 25% yes showed and 42% didn´t.</w:t>
      </w:r>
    </w:p>
    <w:p>
      <w:pPr>
        <w:pStyle w:val="BodyText"/>
        <w:spacing w:before="11"/>
        <w:rPr>
          <w:sz w:val="19"/>
        </w:rPr>
      </w:pPr>
    </w:p>
    <w:p>
      <w:pPr>
        <w:pStyle w:val="BodyText"/>
        <w:ind w:left="270" w:right="1"/>
        <w:jc w:val="both"/>
      </w:pPr>
      <w:r>
        <w:rPr/>
        <w:pict>
          <v:shape style="position:absolute;margin-left:104.339996pt;margin-top:72.546616pt;width:401.1pt;height:116.85pt;mso-position-horizontal-relative:page;mso-position-vertical-relative:paragraph;z-index:11128"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0"/>
                    <w:gridCol w:w="570"/>
                    <w:gridCol w:w="893"/>
                    <w:gridCol w:w="1134"/>
                    <w:gridCol w:w="1418"/>
                    <w:gridCol w:w="850"/>
                    <w:gridCol w:w="1276"/>
                    <w:gridCol w:w="1417"/>
                  </w:tblGrid>
                  <w:tr>
                    <w:trPr>
                      <w:trHeight w:val="704" w:hRule="exact"/>
                    </w:trPr>
                    <w:tc>
                      <w:tcPr>
                        <w:tcW w:w="1020" w:type="dxa"/>
                        <w:gridSpan w:val="2"/>
                        <w:shd w:val="clear" w:color="auto" w:fill="F2F2F2"/>
                      </w:tcPr>
                      <w:p>
                        <w:pPr/>
                      </w:p>
                    </w:tc>
                    <w:tc>
                      <w:tcPr>
                        <w:tcW w:w="893" w:type="dxa"/>
                        <w:shd w:val="clear" w:color="auto" w:fill="F2F2F2"/>
                      </w:tcPr>
                      <w:p>
                        <w:pPr>
                          <w:pStyle w:val="TableParagraph"/>
                          <w:spacing w:before="1"/>
                          <w:rPr>
                            <w:sz w:val="14"/>
                          </w:rPr>
                        </w:pPr>
                      </w:p>
                      <w:p>
                        <w:pPr>
                          <w:pStyle w:val="TableParagraph"/>
                          <w:ind w:left="213" w:right="152" w:hanging="44"/>
                          <w:rPr>
                            <w:sz w:val="16"/>
                          </w:rPr>
                        </w:pPr>
                        <w:r>
                          <w:rPr>
                            <w:sz w:val="16"/>
                          </w:rPr>
                          <w:t>Cervical flexion</w:t>
                        </w:r>
                      </w:p>
                    </w:tc>
                    <w:tc>
                      <w:tcPr>
                        <w:tcW w:w="1134" w:type="dxa"/>
                        <w:shd w:val="clear" w:color="auto" w:fill="F2F2F2"/>
                      </w:tcPr>
                      <w:p>
                        <w:pPr>
                          <w:pStyle w:val="TableParagraph"/>
                          <w:spacing w:before="69"/>
                          <w:ind w:left="254" w:right="253" w:firstLine="2"/>
                          <w:jc w:val="both"/>
                          <w:rPr>
                            <w:sz w:val="16"/>
                          </w:rPr>
                        </w:pPr>
                        <w:r>
                          <w:rPr>
                            <w:sz w:val="16"/>
                          </w:rPr>
                          <w:t>Neck and shoulders rotation</w:t>
                        </w:r>
                      </w:p>
                    </w:tc>
                    <w:tc>
                      <w:tcPr>
                        <w:tcW w:w="1418" w:type="dxa"/>
                        <w:shd w:val="clear" w:color="auto" w:fill="F2F2F2"/>
                      </w:tcPr>
                      <w:p>
                        <w:pPr>
                          <w:pStyle w:val="TableParagraph"/>
                          <w:spacing w:before="69"/>
                          <w:ind w:left="139" w:right="138" w:hanging="2"/>
                          <w:jc w:val="center"/>
                          <w:rPr>
                            <w:sz w:val="16"/>
                          </w:rPr>
                        </w:pPr>
                        <w:r>
                          <w:rPr>
                            <w:sz w:val="16"/>
                          </w:rPr>
                          <w:t>Straigt back and 90° angle relative to the femur</w:t>
                        </w:r>
                      </w:p>
                    </w:tc>
                    <w:tc>
                      <w:tcPr>
                        <w:tcW w:w="850" w:type="dxa"/>
                        <w:shd w:val="clear" w:color="auto" w:fill="F2F2F2"/>
                      </w:tcPr>
                      <w:p>
                        <w:pPr>
                          <w:pStyle w:val="TableParagraph"/>
                          <w:spacing w:before="1"/>
                          <w:rPr>
                            <w:sz w:val="14"/>
                          </w:rPr>
                        </w:pPr>
                      </w:p>
                      <w:p>
                        <w:pPr>
                          <w:pStyle w:val="TableParagraph"/>
                          <w:ind w:left="177" w:right="52" w:hanging="107"/>
                          <w:rPr>
                            <w:sz w:val="16"/>
                          </w:rPr>
                        </w:pPr>
                        <w:r>
                          <w:rPr>
                            <w:sz w:val="16"/>
                          </w:rPr>
                          <w:t>Toehold in the arm</w:t>
                        </w:r>
                      </w:p>
                    </w:tc>
                    <w:tc>
                      <w:tcPr>
                        <w:tcW w:w="1276" w:type="dxa"/>
                        <w:shd w:val="clear" w:color="auto" w:fill="F2F2F2"/>
                      </w:tcPr>
                      <w:p>
                        <w:pPr>
                          <w:pStyle w:val="TableParagraph"/>
                          <w:spacing w:before="1"/>
                          <w:rPr>
                            <w:sz w:val="14"/>
                          </w:rPr>
                        </w:pPr>
                      </w:p>
                      <w:p>
                        <w:pPr>
                          <w:pStyle w:val="TableParagraph"/>
                          <w:ind w:left="287" w:right="77" w:hanging="194"/>
                          <w:rPr>
                            <w:sz w:val="16"/>
                          </w:rPr>
                        </w:pPr>
                        <w:r>
                          <w:rPr>
                            <w:sz w:val="16"/>
                          </w:rPr>
                          <w:t>thighs parallel to the ground</w:t>
                        </w:r>
                      </w:p>
                    </w:tc>
                    <w:tc>
                      <w:tcPr>
                        <w:tcW w:w="1417" w:type="dxa"/>
                        <w:shd w:val="clear" w:color="auto" w:fill="F2F2F2"/>
                      </w:tcPr>
                      <w:p>
                        <w:pPr>
                          <w:pStyle w:val="TableParagraph"/>
                          <w:spacing w:before="69"/>
                          <w:ind w:left="165" w:right="163"/>
                          <w:jc w:val="center"/>
                          <w:rPr>
                            <w:sz w:val="16"/>
                          </w:rPr>
                        </w:pPr>
                        <w:r>
                          <w:rPr>
                            <w:sz w:val="16"/>
                          </w:rPr>
                          <w:t>Foots support on the floor in 90° angle</w:t>
                        </w:r>
                      </w:p>
                    </w:tc>
                  </w:tr>
                  <w:tr>
                    <w:trPr>
                      <w:trHeight w:val="316" w:hRule="exact"/>
                    </w:trPr>
                    <w:tc>
                      <w:tcPr>
                        <w:tcW w:w="450" w:type="dxa"/>
                        <w:vMerge w:val="restart"/>
                        <w:shd w:val="clear" w:color="auto" w:fill="F2F2F2"/>
                      </w:tcPr>
                      <w:p>
                        <w:pPr>
                          <w:pStyle w:val="TableParagraph"/>
                          <w:spacing w:before="7"/>
                          <w:rPr>
                            <w:sz w:val="18"/>
                          </w:rPr>
                        </w:pPr>
                      </w:p>
                      <w:p>
                        <w:pPr>
                          <w:pStyle w:val="TableParagraph"/>
                          <w:ind w:left="64"/>
                          <w:rPr>
                            <w:sz w:val="16"/>
                          </w:rPr>
                        </w:pPr>
                        <w:r>
                          <w:rPr>
                            <w:sz w:val="16"/>
                          </w:rPr>
                          <w:t>No.</w:t>
                        </w:r>
                      </w:p>
                    </w:tc>
                    <w:tc>
                      <w:tcPr>
                        <w:tcW w:w="570" w:type="dxa"/>
                        <w:shd w:val="clear" w:color="auto" w:fill="F2F2F2"/>
                      </w:tcPr>
                      <w:p>
                        <w:pPr>
                          <w:pStyle w:val="TableParagraph"/>
                          <w:spacing w:before="59"/>
                          <w:ind w:left="64"/>
                          <w:rPr>
                            <w:sz w:val="16"/>
                          </w:rPr>
                        </w:pPr>
                        <w:r>
                          <w:rPr>
                            <w:sz w:val="16"/>
                          </w:rPr>
                          <w:t>Valid</w:t>
                        </w:r>
                      </w:p>
                    </w:tc>
                    <w:tc>
                      <w:tcPr>
                        <w:tcW w:w="893" w:type="dxa"/>
                      </w:tcPr>
                      <w:p>
                        <w:pPr>
                          <w:pStyle w:val="TableParagraph"/>
                          <w:spacing w:before="59"/>
                          <w:ind w:left="52" w:right="52"/>
                          <w:jc w:val="center"/>
                          <w:rPr>
                            <w:sz w:val="16"/>
                          </w:rPr>
                        </w:pPr>
                        <w:r>
                          <w:rPr>
                            <w:sz w:val="16"/>
                          </w:rPr>
                          <w:t>26</w:t>
                        </w:r>
                      </w:p>
                    </w:tc>
                    <w:tc>
                      <w:tcPr>
                        <w:tcW w:w="1134" w:type="dxa"/>
                      </w:tcPr>
                      <w:p>
                        <w:pPr>
                          <w:pStyle w:val="TableParagraph"/>
                          <w:spacing w:before="59"/>
                          <w:ind w:right="480"/>
                          <w:jc w:val="right"/>
                          <w:rPr>
                            <w:sz w:val="16"/>
                          </w:rPr>
                        </w:pPr>
                        <w:r>
                          <w:rPr>
                            <w:w w:val="95"/>
                            <w:sz w:val="16"/>
                          </w:rPr>
                          <w:t>26</w:t>
                        </w:r>
                      </w:p>
                    </w:tc>
                    <w:tc>
                      <w:tcPr>
                        <w:tcW w:w="1418" w:type="dxa"/>
                      </w:tcPr>
                      <w:p>
                        <w:pPr>
                          <w:pStyle w:val="TableParagraph"/>
                          <w:spacing w:before="59"/>
                          <w:ind w:right="623"/>
                          <w:jc w:val="right"/>
                          <w:rPr>
                            <w:sz w:val="16"/>
                          </w:rPr>
                        </w:pPr>
                        <w:r>
                          <w:rPr>
                            <w:w w:val="95"/>
                            <w:sz w:val="16"/>
                          </w:rPr>
                          <w:t>26</w:t>
                        </w:r>
                      </w:p>
                    </w:tc>
                    <w:tc>
                      <w:tcPr>
                        <w:tcW w:w="850" w:type="dxa"/>
                      </w:tcPr>
                      <w:p>
                        <w:pPr>
                          <w:pStyle w:val="TableParagraph"/>
                          <w:spacing w:before="59"/>
                          <w:ind w:left="155" w:right="154"/>
                          <w:jc w:val="center"/>
                          <w:rPr>
                            <w:sz w:val="16"/>
                          </w:rPr>
                        </w:pPr>
                        <w:r>
                          <w:rPr>
                            <w:sz w:val="16"/>
                          </w:rPr>
                          <w:t>No.</w:t>
                        </w:r>
                      </w:p>
                    </w:tc>
                    <w:tc>
                      <w:tcPr>
                        <w:tcW w:w="1276" w:type="dxa"/>
                      </w:tcPr>
                      <w:p>
                        <w:pPr>
                          <w:pStyle w:val="TableParagraph"/>
                          <w:spacing w:before="59"/>
                          <w:ind w:right="549"/>
                          <w:jc w:val="right"/>
                          <w:rPr>
                            <w:sz w:val="16"/>
                          </w:rPr>
                        </w:pPr>
                        <w:r>
                          <w:rPr>
                            <w:w w:val="95"/>
                            <w:sz w:val="16"/>
                          </w:rPr>
                          <w:t>26</w:t>
                        </w:r>
                      </w:p>
                    </w:tc>
                    <w:tc>
                      <w:tcPr>
                        <w:tcW w:w="1417" w:type="dxa"/>
                      </w:tcPr>
                      <w:p>
                        <w:pPr>
                          <w:pStyle w:val="TableParagraph"/>
                          <w:spacing w:before="59"/>
                          <w:ind w:left="164" w:right="163"/>
                          <w:jc w:val="center"/>
                          <w:rPr>
                            <w:sz w:val="16"/>
                          </w:rPr>
                        </w:pPr>
                        <w:r>
                          <w:rPr>
                            <w:sz w:val="16"/>
                          </w:rPr>
                          <w:t>26</w:t>
                        </w:r>
                      </w:p>
                    </w:tc>
                  </w:tr>
                  <w:tr>
                    <w:trPr>
                      <w:trHeight w:val="310" w:hRule="exact"/>
                    </w:trPr>
                    <w:tc>
                      <w:tcPr>
                        <w:tcW w:w="450" w:type="dxa"/>
                        <w:vMerge/>
                        <w:shd w:val="clear" w:color="auto" w:fill="F2F2F2"/>
                      </w:tcPr>
                      <w:p>
                        <w:pPr/>
                      </w:p>
                    </w:tc>
                    <w:tc>
                      <w:tcPr>
                        <w:tcW w:w="570" w:type="dxa"/>
                        <w:shd w:val="clear" w:color="auto" w:fill="F2F2F2"/>
                      </w:tcPr>
                      <w:p>
                        <w:pPr>
                          <w:pStyle w:val="TableParagraph"/>
                          <w:spacing w:before="53"/>
                          <w:ind w:left="64"/>
                          <w:rPr>
                            <w:sz w:val="16"/>
                          </w:rPr>
                        </w:pPr>
                        <w:r>
                          <w:rPr>
                            <w:sz w:val="16"/>
                          </w:rPr>
                          <w:t>Lost</w:t>
                        </w:r>
                      </w:p>
                    </w:tc>
                    <w:tc>
                      <w:tcPr>
                        <w:tcW w:w="893" w:type="dxa"/>
                      </w:tcPr>
                      <w:p>
                        <w:pPr>
                          <w:pStyle w:val="TableParagraph"/>
                          <w:spacing w:before="53"/>
                          <w:ind w:right="1"/>
                          <w:jc w:val="center"/>
                          <w:rPr>
                            <w:sz w:val="16"/>
                          </w:rPr>
                        </w:pPr>
                        <w:r>
                          <w:rPr>
                            <w:w w:val="99"/>
                            <w:sz w:val="16"/>
                          </w:rPr>
                          <w:t>0</w:t>
                        </w:r>
                      </w:p>
                    </w:tc>
                    <w:tc>
                      <w:tcPr>
                        <w:tcW w:w="1134" w:type="dxa"/>
                      </w:tcPr>
                      <w:p>
                        <w:pPr>
                          <w:pStyle w:val="TableParagraph"/>
                          <w:spacing w:before="53"/>
                          <w:ind w:right="521"/>
                          <w:jc w:val="right"/>
                          <w:rPr>
                            <w:sz w:val="16"/>
                          </w:rPr>
                        </w:pPr>
                        <w:r>
                          <w:rPr>
                            <w:w w:val="99"/>
                            <w:sz w:val="16"/>
                          </w:rPr>
                          <w:t>0</w:t>
                        </w:r>
                      </w:p>
                    </w:tc>
                    <w:tc>
                      <w:tcPr>
                        <w:tcW w:w="1418" w:type="dxa"/>
                      </w:tcPr>
                      <w:p>
                        <w:pPr>
                          <w:pStyle w:val="TableParagraph"/>
                          <w:spacing w:before="53"/>
                          <w:ind w:right="663"/>
                          <w:jc w:val="right"/>
                          <w:rPr>
                            <w:sz w:val="16"/>
                          </w:rPr>
                        </w:pPr>
                        <w:r>
                          <w:rPr>
                            <w:w w:val="99"/>
                            <w:sz w:val="16"/>
                          </w:rPr>
                          <w:t>0</w:t>
                        </w:r>
                      </w:p>
                    </w:tc>
                    <w:tc>
                      <w:tcPr>
                        <w:tcW w:w="850" w:type="dxa"/>
                      </w:tcPr>
                      <w:p>
                        <w:pPr/>
                      </w:p>
                    </w:tc>
                    <w:tc>
                      <w:tcPr>
                        <w:tcW w:w="1276" w:type="dxa"/>
                      </w:tcPr>
                      <w:p>
                        <w:pPr>
                          <w:pStyle w:val="TableParagraph"/>
                          <w:spacing w:before="53"/>
                          <w:jc w:val="center"/>
                          <w:rPr>
                            <w:sz w:val="16"/>
                          </w:rPr>
                        </w:pPr>
                        <w:r>
                          <w:rPr>
                            <w:w w:val="99"/>
                            <w:sz w:val="16"/>
                          </w:rPr>
                          <w:t>0</w:t>
                        </w:r>
                      </w:p>
                    </w:tc>
                    <w:tc>
                      <w:tcPr>
                        <w:tcW w:w="1417" w:type="dxa"/>
                      </w:tcPr>
                      <w:p>
                        <w:pPr>
                          <w:pStyle w:val="TableParagraph"/>
                          <w:spacing w:before="53"/>
                          <w:jc w:val="center"/>
                          <w:rPr>
                            <w:sz w:val="16"/>
                          </w:rPr>
                        </w:pPr>
                        <w:r>
                          <w:rPr>
                            <w:w w:val="99"/>
                            <w:sz w:val="16"/>
                          </w:rPr>
                          <w:t>0</w:t>
                        </w:r>
                      </w:p>
                    </w:tc>
                  </w:tr>
                  <w:tr>
                    <w:trPr>
                      <w:trHeight w:val="310" w:hRule="exact"/>
                    </w:trPr>
                    <w:tc>
                      <w:tcPr>
                        <w:tcW w:w="1020" w:type="dxa"/>
                        <w:gridSpan w:val="2"/>
                        <w:shd w:val="clear" w:color="auto" w:fill="F2F2F2"/>
                      </w:tcPr>
                      <w:p>
                        <w:pPr>
                          <w:pStyle w:val="TableParagraph"/>
                          <w:spacing w:before="54"/>
                          <w:ind w:left="64" w:right="295"/>
                          <w:rPr>
                            <w:sz w:val="16"/>
                          </w:rPr>
                        </w:pPr>
                        <w:r>
                          <w:rPr>
                            <w:sz w:val="16"/>
                          </w:rPr>
                          <w:t>Average</w:t>
                        </w:r>
                      </w:p>
                    </w:tc>
                    <w:tc>
                      <w:tcPr>
                        <w:tcW w:w="893" w:type="dxa"/>
                      </w:tcPr>
                      <w:p>
                        <w:pPr>
                          <w:pStyle w:val="TableParagraph"/>
                          <w:spacing w:before="54"/>
                          <w:ind w:left="52" w:right="52"/>
                          <w:jc w:val="center"/>
                          <w:rPr>
                            <w:sz w:val="16"/>
                          </w:rPr>
                        </w:pPr>
                        <w:r>
                          <w:rPr>
                            <w:sz w:val="16"/>
                          </w:rPr>
                          <w:t>1,58</w:t>
                        </w:r>
                      </w:p>
                    </w:tc>
                    <w:tc>
                      <w:tcPr>
                        <w:tcW w:w="1134" w:type="dxa"/>
                      </w:tcPr>
                      <w:p>
                        <w:pPr>
                          <w:pStyle w:val="TableParagraph"/>
                          <w:spacing w:before="54"/>
                          <w:ind w:right="420"/>
                          <w:jc w:val="right"/>
                          <w:rPr>
                            <w:sz w:val="16"/>
                          </w:rPr>
                        </w:pPr>
                        <w:r>
                          <w:rPr>
                            <w:sz w:val="16"/>
                          </w:rPr>
                          <w:t>1,77</w:t>
                        </w:r>
                      </w:p>
                    </w:tc>
                    <w:tc>
                      <w:tcPr>
                        <w:tcW w:w="1418" w:type="dxa"/>
                      </w:tcPr>
                      <w:p>
                        <w:pPr>
                          <w:pStyle w:val="TableParagraph"/>
                          <w:spacing w:before="54"/>
                          <w:ind w:right="563"/>
                          <w:jc w:val="right"/>
                          <w:rPr>
                            <w:sz w:val="16"/>
                          </w:rPr>
                        </w:pPr>
                        <w:r>
                          <w:rPr>
                            <w:sz w:val="16"/>
                          </w:rPr>
                          <w:t>1,31</w:t>
                        </w:r>
                      </w:p>
                    </w:tc>
                    <w:tc>
                      <w:tcPr>
                        <w:tcW w:w="850" w:type="dxa"/>
                      </w:tcPr>
                      <w:p>
                        <w:pPr>
                          <w:pStyle w:val="TableParagraph"/>
                          <w:spacing w:before="54"/>
                          <w:ind w:left="154" w:right="154"/>
                          <w:jc w:val="center"/>
                          <w:rPr>
                            <w:sz w:val="16"/>
                          </w:rPr>
                        </w:pPr>
                        <w:r>
                          <w:rPr>
                            <w:sz w:val="16"/>
                          </w:rPr>
                          <w:t>1,88</w:t>
                        </w:r>
                      </w:p>
                    </w:tc>
                    <w:tc>
                      <w:tcPr>
                        <w:tcW w:w="1276" w:type="dxa"/>
                      </w:tcPr>
                      <w:p>
                        <w:pPr>
                          <w:pStyle w:val="TableParagraph"/>
                          <w:spacing w:before="54"/>
                          <w:ind w:right="489"/>
                          <w:jc w:val="right"/>
                          <w:rPr>
                            <w:sz w:val="16"/>
                          </w:rPr>
                        </w:pPr>
                        <w:r>
                          <w:rPr>
                            <w:sz w:val="16"/>
                          </w:rPr>
                          <w:t>1,27</w:t>
                        </w:r>
                      </w:p>
                    </w:tc>
                    <w:tc>
                      <w:tcPr>
                        <w:tcW w:w="1417" w:type="dxa"/>
                      </w:tcPr>
                      <w:p>
                        <w:pPr>
                          <w:pStyle w:val="TableParagraph"/>
                          <w:spacing w:before="54"/>
                          <w:ind w:left="164" w:right="163"/>
                          <w:jc w:val="center"/>
                          <w:rPr>
                            <w:sz w:val="16"/>
                          </w:rPr>
                        </w:pPr>
                        <w:r>
                          <w:rPr>
                            <w:sz w:val="16"/>
                          </w:rPr>
                          <w:t>1,12</w:t>
                        </w:r>
                      </w:p>
                    </w:tc>
                  </w:tr>
                  <w:tr>
                    <w:trPr>
                      <w:trHeight w:val="311" w:hRule="exact"/>
                    </w:trPr>
                    <w:tc>
                      <w:tcPr>
                        <w:tcW w:w="1020" w:type="dxa"/>
                        <w:gridSpan w:val="2"/>
                        <w:shd w:val="clear" w:color="auto" w:fill="F2F2F2"/>
                      </w:tcPr>
                      <w:p>
                        <w:pPr>
                          <w:pStyle w:val="TableParagraph"/>
                          <w:spacing w:before="54"/>
                          <w:ind w:left="64" w:right="295"/>
                          <w:rPr>
                            <w:sz w:val="16"/>
                          </w:rPr>
                        </w:pPr>
                        <w:r>
                          <w:rPr>
                            <w:sz w:val="16"/>
                          </w:rPr>
                          <w:t>Media</w:t>
                        </w:r>
                      </w:p>
                    </w:tc>
                    <w:tc>
                      <w:tcPr>
                        <w:tcW w:w="893" w:type="dxa"/>
                      </w:tcPr>
                      <w:p>
                        <w:pPr>
                          <w:pStyle w:val="TableParagraph"/>
                          <w:spacing w:before="54"/>
                          <w:ind w:left="52" w:right="52"/>
                          <w:jc w:val="center"/>
                          <w:rPr>
                            <w:sz w:val="16"/>
                          </w:rPr>
                        </w:pPr>
                        <w:r>
                          <w:rPr>
                            <w:sz w:val="16"/>
                          </w:rPr>
                          <w:t>2,00</w:t>
                        </w:r>
                      </w:p>
                    </w:tc>
                    <w:tc>
                      <w:tcPr>
                        <w:tcW w:w="1134" w:type="dxa"/>
                      </w:tcPr>
                      <w:p>
                        <w:pPr>
                          <w:pStyle w:val="TableParagraph"/>
                          <w:spacing w:before="54"/>
                          <w:ind w:right="420"/>
                          <w:jc w:val="right"/>
                          <w:rPr>
                            <w:sz w:val="16"/>
                          </w:rPr>
                        </w:pPr>
                        <w:r>
                          <w:rPr>
                            <w:sz w:val="16"/>
                          </w:rPr>
                          <w:t>2,00</w:t>
                        </w:r>
                      </w:p>
                    </w:tc>
                    <w:tc>
                      <w:tcPr>
                        <w:tcW w:w="1418" w:type="dxa"/>
                      </w:tcPr>
                      <w:p>
                        <w:pPr>
                          <w:pStyle w:val="TableParagraph"/>
                          <w:spacing w:before="54"/>
                          <w:ind w:right="563"/>
                          <w:jc w:val="right"/>
                          <w:rPr>
                            <w:sz w:val="16"/>
                          </w:rPr>
                        </w:pPr>
                        <w:r>
                          <w:rPr>
                            <w:sz w:val="16"/>
                          </w:rPr>
                          <w:t>1,00</w:t>
                        </w:r>
                      </w:p>
                    </w:tc>
                    <w:tc>
                      <w:tcPr>
                        <w:tcW w:w="850" w:type="dxa"/>
                      </w:tcPr>
                      <w:p>
                        <w:pPr>
                          <w:pStyle w:val="TableParagraph"/>
                          <w:spacing w:before="54"/>
                          <w:ind w:left="154" w:right="154"/>
                          <w:jc w:val="center"/>
                          <w:rPr>
                            <w:sz w:val="16"/>
                          </w:rPr>
                        </w:pPr>
                        <w:r>
                          <w:rPr>
                            <w:sz w:val="16"/>
                          </w:rPr>
                          <w:t>2,00</w:t>
                        </w:r>
                      </w:p>
                    </w:tc>
                    <w:tc>
                      <w:tcPr>
                        <w:tcW w:w="1276" w:type="dxa"/>
                      </w:tcPr>
                      <w:p>
                        <w:pPr>
                          <w:pStyle w:val="TableParagraph"/>
                          <w:spacing w:before="54"/>
                          <w:ind w:right="489"/>
                          <w:jc w:val="right"/>
                          <w:rPr>
                            <w:sz w:val="16"/>
                          </w:rPr>
                        </w:pPr>
                        <w:r>
                          <w:rPr>
                            <w:sz w:val="16"/>
                          </w:rPr>
                          <w:t>1,00</w:t>
                        </w:r>
                      </w:p>
                    </w:tc>
                    <w:tc>
                      <w:tcPr>
                        <w:tcW w:w="1417" w:type="dxa"/>
                      </w:tcPr>
                      <w:p>
                        <w:pPr>
                          <w:pStyle w:val="TableParagraph"/>
                          <w:spacing w:before="54"/>
                          <w:ind w:left="164" w:right="163"/>
                          <w:jc w:val="center"/>
                          <w:rPr>
                            <w:sz w:val="16"/>
                          </w:rPr>
                        </w:pPr>
                        <w:r>
                          <w:rPr>
                            <w:sz w:val="16"/>
                          </w:rPr>
                          <w:t>1,00</w:t>
                        </w:r>
                      </w:p>
                    </w:tc>
                  </w:tr>
                  <w:tr>
                    <w:trPr>
                      <w:trHeight w:val="378" w:hRule="exact"/>
                    </w:trPr>
                    <w:tc>
                      <w:tcPr>
                        <w:tcW w:w="1020" w:type="dxa"/>
                        <w:gridSpan w:val="2"/>
                        <w:shd w:val="clear" w:color="auto" w:fill="F2F2F2"/>
                      </w:tcPr>
                      <w:p>
                        <w:pPr>
                          <w:pStyle w:val="TableParagraph"/>
                          <w:ind w:left="64" w:right="295"/>
                          <w:rPr>
                            <w:sz w:val="16"/>
                          </w:rPr>
                        </w:pPr>
                        <w:r>
                          <w:rPr>
                            <w:sz w:val="16"/>
                          </w:rPr>
                          <w:t>Statistical Mode</w:t>
                        </w:r>
                      </w:p>
                    </w:tc>
                    <w:tc>
                      <w:tcPr>
                        <w:tcW w:w="893" w:type="dxa"/>
                      </w:tcPr>
                      <w:p>
                        <w:pPr>
                          <w:pStyle w:val="TableParagraph"/>
                          <w:spacing w:before="88"/>
                          <w:ind w:right="1"/>
                          <w:jc w:val="center"/>
                          <w:rPr>
                            <w:sz w:val="16"/>
                          </w:rPr>
                        </w:pPr>
                        <w:r>
                          <w:rPr>
                            <w:w w:val="99"/>
                            <w:sz w:val="16"/>
                          </w:rPr>
                          <w:t>2</w:t>
                        </w:r>
                      </w:p>
                    </w:tc>
                    <w:tc>
                      <w:tcPr>
                        <w:tcW w:w="1134" w:type="dxa"/>
                      </w:tcPr>
                      <w:p>
                        <w:pPr>
                          <w:pStyle w:val="TableParagraph"/>
                          <w:spacing w:before="88"/>
                          <w:ind w:right="521"/>
                          <w:jc w:val="right"/>
                          <w:rPr>
                            <w:sz w:val="16"/>
                          </w:rPr>
                        </w:pPr>
                        <w:r>
                          <w:rPr>
                            <w:w w:val="99"/>
                            <w:sz w:val="16"/>
                          </w:rPr>
                          <w:t>2</w:t>
                        </w:r>
                      </w:p>
                    </w:tc>
                    <w:tc>
                      <w:tcPr>
                        <w:tcW w:w="1418" w:type="dxa"/>
                      </w:tcPr>
                      <w:p>
                        <w:pPr>
                          <w:pStyle w:val="TableParagraph"/>
                          <w:spacing w:before="88"/>
                          <w:ind w:right="663"/>
                          <w:jc w:val="right"/>
                          <w:rPr>
                            <w:sz w:val="16"/>
                          </w:rPr>
                        </w:pPr>
                        <w:r>
                          <w:rPr>
                            <w:w w:val="99"/>
                            <w:sz w:val="16"/>
                          </w:rPr>
                          <w:t>1</w:t>
                        </w:r>
                      </w:p>
                    </w:tc>
                    <w:tc>
                      <w:tcPr>
                        <w:tcW w:w="850" w:type="dxa"/>
                      </w:tcPr>
                      <w:p>
                        <w:pPr>
                          <w:pStyle w:val="TableParagraph"/>
                          <w:spacing w:before="88"/>
                          <w:ind w:right="1"/>
                          <w:jc w:val="center"/>
                          <w:rPr>
                            <w:sz w:val="16"/>
                          </w:rPr>
                        </w:pPr>
                        <w:r>
                          <w:rPr>
                            <w:w w:val="99"/>
                            <w:sz w:val="16"/>
                          </w:rPr>
                          <w:t>2</w:t>
                        </w:r>
                      </w:p>
                    </w:tc>
                    <w:tc>
                      <w:tcPr>
                        <w:tcW w:w="1276" w:type="dxa"/>
                      </w:tcPr>
                      <w:p>
                        <w:pPr>
                          <w:pStyle w:val="TableParagraph"/>
                          <w:spacing w:before="88"/>
                          <w:jc w:val="center"/>
                          <w:rPr>
                            <w:sz w:val="16"/>
                          </w:rPr>
                        </w:pPr>
                        <w:r>
                          <w:rPr>
                            <w:w w:val="99"/>
                            <w:sz w:val="16"/>
                          </w:rPr>
                          <w:t>1</w:t>
                        </w:r>
                      </w:p>
                    </w:tc>
                    <w:tc>
                      <w:tcPr>
                        <w:tcW w:w="1417" w:type="dxa"/>
                      </w:tcPr>
                      <w:p>
                        <w:pPr>
                          <w:pStyle w:val="TableParagraph"/>
                          <w:spacing w:before="88"/>
                          <w:jc w:val="center"/>
                          <w:rPr>
                            <w:sz w:val="16"/>
                          </w:rPr>
                        </w:pPr>
                        <w:r>
                          <w:rPr>
                            <w:w w:val="99"/>
                            <w:sz w:val="16"/>
                          </w:rPr>
                          <w:t>1</w:t>
                        </w:r>
                      </w:p>
                    </w:tc>
                  </w:tr>
                </w:tbl>
                <w:p>
                  <w:pPr>
                    <w:pStyle w:val="BodyText"/>
                  </w:pPr>
                </w:p>
              </w:txbxContent>
            </v:textbox>
            <w10:wrap type="none"/>
          </v:shape>
        </w:pict>
      </w:r>
      <w:r>
        <w:rPr/>
        <w:t>The last question of the survey should be filled out by the researcher (refers to the appreciation of the respondent on the etiology of their symptoms), where 73% believe it is because of work, 15% attributed the discomfort to the study habits especially.</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1"/>
        <w:rPr>
          <w:sz w:val="19"/>
        </w:rPr>
      </w:pPr>
    </w:p>
    <w:p>
      <w:pPr>
        <w:pStyle w:val="BodyText"/>
        <w:ind w:left="270"/>
        <w:jc w:val="both"/>
      </w:pPr>
      <w:r>
        <w:rPr/>
        <w:t>Table 2. Measures of distribution of central frequency discomfort of neck, type of neck pain, shoulder strains, type of shoulder pain, pain rating scale in neck or shoulder, MED presence in the last 12 months, suspension of activity because neck or shoulder</w:t>
      </w:r>
      <w:r>
        <w:rPr>
          <w:spacing w:val="-29"/>
        </w:rPr>
        <w:t> </w:t>
      </w:r>
      <w:r>
        <w:rPr/>
        <w:t>discomfort.</w:t>
      </w:r>
    </w:p>
    <w:p>
      <w:pPr>
        <w:pStyle w:val="BodyText"/>
        <w:ind w:left="270"/>
        <w:jc w:val="both"/>
      </w:pPr>
      <w:r>
        <w:rPr/>
        <w:t>Source: Authors. 2014.</w:t>
      </w:r>
    </w:p>
    <w:p>
      <w:pPr>
        <w:pStyle w:val="BodyText"/>
        <w:spacing w:before="11"/>
        <w:rPr>
          <w:sz w:val="19"/>
        </w:rPr>
      </w:pPr>
    </w:p>
    <w:p>
      <w:pPr>
        <w:pStyle w:val="BodyText"/>
        <w:ind w:left="270" w:right="1"/>
        <w:jc w:val="both"/>
      </w:pPr>
      <w:r>
        <w:rPr/>
        <w:t>During patient care 57% of dentists have minimal cervical flexion with head slightly tilted with an angle from 0 ° to  15</w:t>
      </w:r>
    </w:p>
    <w:p>
      <w:pPr>
        <w:pStyle w:val="BodyText"/>
        <w:ind w:left="270" w:right="1"/>
        <w:jc w:val="both"/>
      </w:pPr>
      <w:r>
        <w:rPr/>
        <w:t>° of flexion, while 42% of dentists have cervical flexion angle out from 0 ° to 15 °. 100% of dentists change position every three minutes. 77% of dentists performs neck and shoulders rotation while performing dental procedures, while 23% do not. 54% of dentists didn’t locate parallel shoulders to the horizontal plane, while 46% of dentists keep shoulders parallel to the horizontal</w:t>
      </w:r>
      <w:r>
        <w:rPr>
          <w:spacing w:val="-12"/>
        </w:rPr>
        <w:t> </w:t>
      </w:r>
      <w:r>
        <w:rPr/>
        <w:t>plane.</w:t>
      </w:r>
    </w:p>
    <w:p>
      <w:pPr>
        <w:pStyle w:val="BodyText"/>
      </w:pPr>
    </w:p>
    <w:p>
      <w:pPr>
        <w:pStyle w:val="BodyText"/>
        <w:spacing w:before="1"/>
        <w:ind w:left="270" w:right="1"/>
        <w:jc w:val="both"/>
      </w:pPr>
      <w:r>
        <w:rPr/>
        <w:t>Figure 5. Percentage distribution of the presence of parallel shoulders to the horizontal plane during patient care by respondent staff.</w:t>
      </w:r>
    </w:p>
    <w:p>
      <w:pPr>
        <w:pStyle w:val="BodyText"/>
        <w:rPr>
          <w:sz w:val="17"/>
        </w:rPr>
      </w:pPr>
      <w:r>
        <w:rPr/>
        <w:drawing>
          <wp:anchor distT="0" distB="0" distL="0" distR="0" allowOverlap="1" layoutInCell="1" locked="0" behindDoc="0" simplePos="0" relativeHeight="11080">
            <wp:simplePos x="0" y="0"/>
            <wp:positionH relativeFrom="page">
              <wp:posOffset>811530</wp:posOffset>
            </wp:positionH>
            <wp:positionV relativeFrom="paragraph">
              <wp:posOffset>149343</wp:posOffset>
            </wp:positionV>
            <wp:extent cx="2582418" cy="1255014"/>
            <wp:effectExtent l="0" t="0" r="0" b="0"/>
            <wp:wrapTopAndBottom/>
            <wp:docPr id="389" name="image232.png" descr=""/>
            <wp:cNvGraphicFramePr>
              <a:graphicFrameLocks noChangeAspect="1"/>
            </wp:cNvGraphicFramePr>
            <a:graphic>
              <a:graphicData uri="http://schemas.openxmlformats.org/drawingml/2006/picture">
                <pic:pic>
                  <pic:nvPicPr>
                    <pic:cNvPr id="390" name="image232.png"/>
                    <pic:cNvPicPr/>
                  </pic:nvPicPr>
                  <pic:blipFill>
                    <a:blip r:embed="rId374" cstate="print"/>
                    <a:stretch>
                      <a:fillRect/>
                    </a:stretch>
                  </pic:blipFill>
                  <pic:spPr>
                    <a:xfrm>
                      <a:off x="0" y="0"/>
                      <a:ext cx="2582418" cy="1255014"/>
                    </a:xfrm>
                    <a:prstGeom prst="rect">
                      <a:avLst/>
                    </a:prstGeom>
                  </pic:spPr>
                </pic:pic>
              </a:graphicData>
            </a:graphic>
          </wp:anchor>
        </w:drawing>
      </w:r>
    </w:p>
    <w:p>
      <w:pPr>
        <w:pStyle w:val="BodyText"/>
        <w:ind w:left="270"/>
        <w:jc w:val="both"/>
      </w:pPr>
      <w:r>
        <w:rPr/>
        <w:t>Source: Authors. 2014.</w:t>
      </w:r>
    </w:p>
    <w:p>
      <w:pPr>
        <w:pStyle w:val="BodyText"/>
      </w:pPr>
    </w:p>
    <w:p>
      <w:pPr>
        <w:pStyle w:val="BodyText"/>
        <w:spacing w:before="1"/>
        <w:ind w:left="270" w:right="1"/>
        <w:jc w:val="both"/>
      </w:pPr>
      <w:r>
        <w:rPr/>
        <w:t>69% of dentists do not keep their back straight (angle of 90 ° relative to the femur and supported), while 31% of dentists if maintained. 85% of dentists have elbows bent at an angle</w:t>
      </w:r>
    </w:p>
    <w:p>
      <w:pPr>
        <w:pStyle w:val="BodyText"/>
        <w:spacing w:before="74"/>
        <w:ind w:left="270" w:right="674"/>
        <w:jc w:val="both"/>
      </w:pPr>
      <w:r>
        <w:rPr/>
        <w:br w:type="column"/>
      </w:r>
      <w:r>
        <w:rPr/>
        <w:t>between 90 ° and 110 ° between arms and forearms, while 15% of dentists no. Only 50% of dentists working keep their elbows close to the body. 88% of dentists have foothold in the arm, while 11% of dentists no. 96% of dentists keep  their hands at midline sagittal sternum, 4% of dentists no. 96% of dentists have the foothold in hand, while 4% of dentists</w:t>
      </w:r>
      <w:r>
        <w:rPr>
          <w:spacing w:val="-7"/>
        </w:rPr>
        <w:t> </w:t>
      </w:r>
      <w:r>
        <w:rPr/>
        <w:t>no.</w:t>
      </w:r>
    </w:p>
    <w:p>
      <w:pPr>
        <w:pStyle w:val="BodyText"/>
        <w:spacing w:before="10"/>
        <w:rPr>
          <w:sz w:val="23"/>
        </w:rPr>
      </w:pPr>
    </w:p>
    <w:p>
      <w:pPr>
        <w:pStyle w:val="BodyText"/>
        <w:ind w:left="270" w:right="676"/>
        <w:jc w:val="both"/>
      </w:pPr>
      <w:r>
        <w:rPr/>
        <w:t>Table 3. Measures of central frequency distribution presents cervical flexion, neck and shoulders rotation during activity, straight back and 90 ° relative to the femur, toehold in the</w:t>
      </w:r>
    </w:p>
    <w:p>
      <w:pPr>
        <w:pStyle w:val="BodyText"/>
        <w:ind w:left="318" w:right="1412"/>
        <w:jc w:val="right"/>
      </w:pPr>
      <w:r>
        <w:rPr/>
        <w:t>arm,</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1"/>
        <w:rPr>
          <w:sz w:val="19"/>
        </w:rPr>
      </w:pPr>
    </w:p>
    <w:p>
      <w:pPr>
        <w:pStyle w:val="BodyText"/>
        <w:ind w:left="270"/>
        <w:jc w:val="both"/>
      </w:pPr>
      <w:r>
        <w:rPr/>
        <w:t>thighs parallel to the ground support foot floor is angled   90</w:t>
      </w:r>
    </w:p>
    <w:p>
      <w:pPr>
        <w:pStyle w:val="BodyText"/>
        <w:ind w:left="270"/>
        <w:jc w:val="both"/>
      </w:pPr>
      <w:r>
        <w:rPr/>
        <w:t>°.</w:t>
      </w:r>
    </w:p>
    <w:p>
      <w:pPr>
        <w:pStyle w:val="BodyText"/>
        <w:ind w:left="270" w:right="676"/>
        <w:jc w:val="both"/>
      </w:pPr>
      <w:r>
        <w:rPr/>
        <w:t>96% of dentists maneuvers and hold the instrumental resting his hand on the ring and little fingers, while 4% do not. 92% of dentists perform the twist of the wrist when there’s supination or pronation on mid-range, while 8% did not perform this twist of the wrist in these circumstances. 73% of dentists do not keep their thighs parallel to the ground plane creating an angle of 90 ° between thighs and legs, while 27%</w:t>
      </w:r>
      <w:r>
        <w:rPr>
          <w:spacing w:val="-5"/>
        </w:rPr>
        <w:t> </w:t>
      </w:r>
      <w:r>
        <w:rPr/>
        <w:t>does.</w:t>
      </w:r>
    </w:p>
    <w:p>
      <w:pPr>
        <w:pStyle w:val="BodyText"/>
        <w:spacing w:before="11"/>
        <w:rPr>
          <w:sz w:val="19"/>
        </w:rPr>
      </w:pPr>
    </w:p>
    <w:p>
      <w:pPr>
        <w:pStyle w:val="BodyText"/>
        <w:ind w:left="270" w:right="678"/>
        <w:jc w:val="both"/>
      </w:pPr>
      <w:r>
        <w:rPr/>
        <w:t>Illustration 1. Ideal Posture BHOP (Balance Human Operating Position).</w:t>
      </w:r>
    </w:p>
    <w:p>
      <w:pPr>
        <w:pStyle w:val="BodyText"/>
        <w:spacing w:before="9"/>
        <w:rPr>
          <w:sz w:val="16"/>
        </w:rPr>
      </w:pPr>
      <w:r>
        <w:rPr/>
        <w:drawing>
          <wp:anchor distT="0" distB="0" distL="0" distR="0" allowOverlap="1" layoutInCell="1" locked="0" behindDoc="0" simplePos="0" relativeHeight="11104">
            <wp:simplePos x="0" y="0"/>
            <wp:positionH relativeFrom="page">
              <wp:posOffset>4998720</wp:posOffset>
            </wp:positionH>
            <wp:positionV relativeFrom="paragraph">
              <wp:posOffset>147806</wp:posOffset>
            </wp:positionV>
            <wp:extent cx="1312674" cy="1760886"/>
            <wp:effectExtent l="0" t="0" r="0" b="0"/>
            <wp:wrapTopAndBottom/>
            <wp:docPr id="391" name="image233.jpeg" descr=""/>
            <wp:cNvGraphicFramePr>
              <a:graphicFrameLocks noChangeAspect="1"/>
            </wp:cNvGraphicFramePr>
            <a:graphic>
              <a:graphicData uri="http://schemas.openxmlformats.org/drawingml/2006/picture">
                <pic:pic>
                  <pic:nvPicPr>
                    <pic:cNvPr id="392" name="image233.jpeg"/>
                    <pic:cNvPicPr/>
                  </pic:nvPicPr>
                  <pic:blipFill>
                    <a:blip r:embed="rId375" cstate="print"/>
                    <a:stretch>
                      <a:fillRect/>
                    </a:stretch>
                  </pic:blipFill>
                  <pic:spPr>
                    <a:xfrm>
                      <a:off x="0" y="0"/>
                      <a:ext cx="1312674" cy="1760886"/>
                    </a:xfrm>
                    <a:prstGeom prst="rect">
                      <a:avLst/>
                    </a:prstGeom>
                  </pic:spPr>
                </pic:pic>
              </a:graphicData>
            </a:graphic>
          </wp:anchor>
        </w:drawing>
      </w:r>
    </w:p>
    <w:p>
      <w:pPr>
        <w:pStyle w:val="BodyText"/>
        <w:ind w:left="270" w:right="678"/>
        <w:jc w:val="both"/>
      </w:pPr>
      <w:r>
        <w:rPr/>
        <w:t>Source: Universidad Rey Juan Carlos. (2012). Ergonomic working positions. Introduction to Dental Clinic.</w:t>
      </w:r>
    </w:p>
    <w:p>
      <w:pPr>
        <w:pStyle w:val="BodyText"/>
        <w:spacing w:before="11"/>
        <w:rPr>
          <w:sz w:val="19"/>
        </w:rPr>
      </w:pPr>
    </w:p>
    <w:p>
      <w:pPr>
        <w:pStyle w:val="BodyText"/>
        <w:ind w:left="270" w:right="677"/>
        <w:jc w:val="both"/>
      </w:pPr>
      <w:r>
        <w:rPr/>
        <w:t>During clinical practice only 11% of dentists put their feet on the ground at an angle of 90 ° with the legs, while the remaining 88% do not form the angle. 50% of dentists </w:t>
      </w:r>
      <w:r>
        <w:rPr>
          <w:spacing w:val="25"/>
        </w:rPr>
        <w:t> </w:t>
      </w:r>
      <w:r>
        <w:rPr/>
        <w:t>keep</w:t>
      </w:r>
    </w:p>
    <w:p>
      <w:pPr>
        <w:spacing w:after="0"/>
        <w:jc w:val="both"/>
        <w:sectPr>
          <w:type w:val="continuous"/>
          <w:pgSz w:w="12240" w:h="15840"/>
          <w:pgMar w:top="1500" w:bottom="280" w:left="580" w:right="220"/>
          <w:cols w:num="2" w:equalWidth="0">
            <w:col w:w="5190" w:space="434"/>
            <w:col w:w="5816"/>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4"/>
        <w:ind w:left="270"/>
        <w:jc w:val="both"/>
      </w:pPr>
      <w:r>
        <w:rPr/>
        <w:t>their feet flat on the floor most of the time of patient care, while the other 50% remain unsupported feet on the floor.</w:t>
      </w:r>
    </w:p>
    <w:p>
      <w:pPr>
        <w:pStyle w:val="BodyText"/>
      </w:pPr>
    </w:p>
    <w:p>
      <w:pPr>
        <w:pStyle w:val="BodyText"/>
        <w:spacing w:before="1"/>
        <w:ind w:left="270" w:right="1"/>
        <w:jc w:val="both"/>
      </w:pPr>
      <w:r>
        <w:rPr/>
        <w:t>Of all respondents, 77% of dentists responded that their handling charges and 23% do not; 50% of people report that the weight they handled is a dental box, 46% reported that the weight they handled is a suitcase and 4% handled a lunchbox; about the objects that manipulate the respondents: 54% say the weight is between 4-6 kilograms, 31% say the weight is between 1-3 kg and 15% say that the weight of the objects handled is higher than 7 kg; 46% load these objects for more than 4 days per week, 27% load the objects 3 to 4 days and 27% load the objects 1 to 2</w:t>
      </w:r>
      <w:r>
        <w:rPr>
          <w:spacing w:val="-21"/>
        </w:rPr>
        <w:t> </w:t>
      </w:r>
      <w:r>
        <w:rPr/>
        <w:t>days.</w:t>
      </w:r>
    </w:p>
    <w:p>
      <w:pPr>
        <w:pStyle w:val="BodyText"/>
      </w:pPr>
    </w:p>
    <w:p>
      <w:pPr>
        <w:pStyle w:val="BodyText"/>
        <w:spacing w:before="1"/>
        <w:ind w:left="270"/>
        <w:jc w:val="both"/>
      </w:pPr>
      <w:r>
        <w:rPr/>
        <w:t>69% of dentists consider their work requires moderate effort, 11% believe that their work requires a soft and maximum effort respectively, while 4% requires hard and very hard for each effort.</w:t>
      </w:r>
    </w:p>
    <w:p>
      <w:pPr>
        <w:pStyle w:val="BodyText"/>
        <w:spacing w:before="2"/>
      </w:pPr>
    </w:p>
    <w:p>
      <w:pPr>
        <w:pStyle w:val="Heading4"/>
        <w:numPr>
          <w:ilvl w:val="2"/>
          <w:numId w:val="93"/>
        </w:numPr>
        <w:tabs>
          <w:tab w:pos="979" w:val="left" w:leader="none"/>
        </w:tabs>
        <w:spacing w:line="240" w:lineRule="auto" w:before="0" w:after="0"/>
        <w:ind w:left="978" w:right="0" w:hanging="348"/>
        <w:jc w:val="left"/>
      </w:pPr>
      <w:r>
        <w:rPr/>
        <w:t>CONCLUSIONS</w:t>
      </w:r>
    </w:p>
    <w:p>
      <w:pPr>
        <w:pStyle w:val="BodyText"/>
        <w:spacing w:before="8"/>
        <w:rPr>
          <w:b/>
          <w:sz w:val="19"/>
        </w:rPr>
      </w:pPr>
    </w:p>
    <w:p>
      <w:pPr>
        <w:pStyle w:val="BodyText"/>
        <w:ind w:left="270"/>
        <w:jc w:val="both"/>
      </w:pPr>
      <w:r>
        <w:rPr/>
        <w:t>As aggravating factor were observed that more than half of respondents refer to be sedentary and although all respondents agree that the systematic practice of physical exercise is beneficial to their health, only half practice some physical activity or sport. Occasionally, factors attached to other intrinsic or extrinsic type, such as taking a side  sleeping position, using 2 to 3 pillows on the bed and study a minimum of three hours per day with a laptop, facilitate the appearance of muscular symptoms and counterweight provided by rest periods of compulsory forced positions to  be adopted in clinical practice, it is not</w:t>
      </w:r>
      <w:r>
        <w:rPr>
          <w:spacing w:val="-26"/>
        </w:rPr>
        <w:t> </w:t>
      </w:r>
      <w:r>
        <w:rPr/>
        <w:t>enough.</w:t>
      </w:r>
    </w:p>
    <w:p>
      <w:pPr>
        <w:pStyle w:val="BodyText"/>
        <w:spacing w:before="11"/>
        <w:rPr>
          <w:sz w:val="19"/>
        </w:rPr>
      </w:pPr>
    </w:p>
    <w:p>
      <w:pPr>
        <w:pStyle w:val="BodyText"/>
        <w:ind w:left="270" w:right="1"/>
        <w:jc w:val="both"/>
      </w:pPr>
      <w:r>
        <w:rPr/>
        <w:t>Both, students and teachers, reported the presence of muscle discomfort, attributing it to work, which reflects that this is a problem that occurs in the professional practice, indicating the need of create a culture of selfcare from the  student scope, intervention necessary to prevent the development of diseases that affect the health and quality of life of professional in dentistry.</w:t>
      </w:r>
    </w:p>
    <w:p>
      <w:pPr>
        <w:pStyle w:val="BodyText"/>
        <w:spacing w:before="11"/>
        <w:rPr>
          <w:sz w:val="19"/>
        </w:rPr>
      </w:pPr>
    </w:p>
    <w:p>
      <w:pPr>
        <w:pStyle w:val="BodyText"/>
        <w:ind w:left="270"/>
        <w:jc w:val="both"/>
      </w:pPr>
      <w:r>
        <w:rPr/>
        <w:t>In evaluating the ergonomic risks which  are  exposed dentists, the study showed that a high percentage of these professionals perform neck rotation with minimal cervical flexion and slightly bowed head; the shoulders are not parallel to the ground. The student tends to lean more on the work plane and rotate the neck in excess, especially early in their clinical practice, increasing the sustained muscle contraction, causing an imbalance and triggering fatigue and muscle pain.</w:t>
      </w:r>
    </w:p>
    <w:p>
      <w:pPr>
        <w:pStyle w:val="BodyText"/>
        <w:spacing w:before="11"/>
        <w:rPr>
          <w:sz w:val="19"/>
        </w:rPr>
      </w:pPr>
    </w:p>
    <w:p>
      <w:pPr>
        <w:pStyle w:val="BodyText"/>
        <w:ind w:left="270"/>
        <w:jc w:val="both"/>
      </w:pPr>
      <w:r>
        <w:rPr/>
        <w:t>Looking for a better view and/or access to the oral cavity of the patient, it was observed that is not maintained the back straight, or arms are located close to the body, pushups and exaggerated twists are performed. Are unusual performing stretches or breaks because time pressure.</w:t>
      </w:r>
    </w:p>
    <w:p>
      <w:pPr>
        <w:pStyle w:val="BodyText"/>
        <w:spacing w:before="74"/>
        <w:ind w:left="270" w:right="676"/>
        <w:jc w:val="both"/>
      </w:pPr>
      <w:r>
        <w:rPr/>
        <w:br w:type="column"/>
      </w:r>
      <w:r>
        <w:rPr/>
        <w:t>The percentage of dentists who support the foot at a right angle is very low, most dentists performed footing on the heel or the tip of it, and on the basis of the chair; there is no support in the lumbar region.</w:t>
      </w:r>
    </w:p>
    <w:p>
      <w:pPr>
        <w:pStyle w:val="BodyText"/>
        <w:spacing w:before="11"/>
        <w:rPr>
          <w:sz w:val="19"/>
        </w:rPr>
      </w:pPr>
    </w:p>
    <w:p>
      <w:pPr>
        <w:pStyle w:val="BodyText"/>
        <w:ind w:left="270" w:right="676"/>
        <w:jc w:val="both"/>
      </w:pPr>
      <w:r>
        <w:rPr/>
        <w:t>It is necessary that dentists are aware of the risks they are exposed, their effects and protective measures and/or prevention, which should be applied to prevent the generation of muscleskeletical disorders and also future illnesses, adopting appropriate ergonomic habits counteract the harmful positions during patient care.</w:t>
      </w:r>
    </w:p>
    <w:p>
      <w:pPr>
        <w:pStyle w:val="BodyText"/>
        <w:spacing w:before="11"/>
        <w:rPr>
          <w:sz w:val="19"/>
        </w:rPr>
      </w:pPr>
    </w:p>
    <w:p>
      <w:pPr>
        <w:pStyle w:val="BodyText"/>
        <w:ind w:left="270"/>
        <w:jc w:val="both"/>
      </w:pPr>
      <w:r>
        <w:rPr>
          <w:color w:val="233F5E"/>
        </w:rPr>
        <w:t>REFERENCES</w:t>
      </w:r>
    </w:p>
    <w:p>
      <w:pPr>
        <w:pStyle w:val="BodyText"/>
      </w:pPr>
    </w:p>
    <w:p>
      <w:pPr>
        <w:pStyle w:val="ListParagraph"/>
        <w:numPr>
          <w:ilvl w:val="0"/>
          <w:numId w:val="94"/>
        </w:numPr>
        <w:tabs>
          <w:tab w:pos="979" w:val="left" w:leader="none"/>
          <w:tab w:pos="1907" w:val="left" w:leader="none"/>
          <w:tab w:pos="3373" w:val="left" w:leader="none"/>
          <w:tab w:pos="4945" w:val="left" w:leader="none"/>
        </w:tabs>
        <w:spacing w:line="240" w:lineRule="auto" w:before="1" w:after="0"/>
        <w:ind w:left="990" w:right="677" w:hanging="360"/>
        <w:jc w:val="both"/>
        <w:rPr>
          <w:sz w:val="20"/>
        </w:rPr>
      </w:pPr>
      <w:r>
        <w:rPr>
          <w:sz w:val="20"/>
        </w:rPr>
        <w:t>Ministerio de la Protección Social de Colombia. (2006). </w:t>
      </w:r>
      <w:r>
        <w:rPr>
          <w:i/>
          <w:sz w:val="20"/>
        </w:rPr>
        <w:t>Encuesta nacional de condiciones de salud </w:t>
      </w:r>
      <w:r>
        <w:rPr>
          <w:i/>
          <w:sz w:val="20"/>
        </w:rPr>
        <w:t>y</w:t>
        <w:tab/>
        <w:t>trabajo</w:t>
      </w:r>
      <w:r>
        <w:rPr>
          <w:sz w:val="20"/>
        </w:rPr>
        <w:t>.</w:t>
        <w:tab/>
        <w:t>Obtenido</w:t>
        <w:tab/>
        <w:t>de </w:t>
      </w:r>
      <w:hyperlink r:id="rId376">
        <w:r>
          <w:rPr>
            <w:color w:val="0000FF"/>
            <w:sz w:val="20"/>
            <w:u w:val="single" w:color="0000FF"/>
          </w:rPr>
          <w:t>http://www.laseguridad.ws/consejo/consejo/html/m </w:t>
        </w:r>
      </w:hyperlink>
      <w:r>
        <w:rPr>
          <w:color w:val="0000FF"/>
          <w:sz w:val="20"/>
          <w:u w:val="single" w:color="0000FF"/>
        </w:rPr>
        <w:t>emorias/memorias_complementarias_congreso_41/ </w:t>
      </w:r>
      <w:r>
        <w:rPr>
          <w:color w:val="0000FF"/>
          <w:sz w:val="20"/>
          <w:u w:val="single" w:color="0000FF"/>
        </w:rPr>
        <w:t>archivos/trabajos/1.8.pdf</w:t>
      </w:r>
    </w:p>
    <w:p>
      <w:pPr>
        <w:pStyle w:val="ListParagraph"/>
        <w:numPr>
          <w:ilvl w:val="0"/>
          <w:numId w:val="94"/>
        </w:numPr>
        <w:tabs>
          <w:tab w:pos="979" w:val="left" w:leader="none"/>
        </w:tabs>
        <w:spacing w:line="240" w:lineRule="auto" w:before="0" w:after="0"/>
        <w:ind w:left="990" w:right="676" w:hanging="360"/>
        <w:jc w:val="both"/>
        <w:rPr>
          <w:sz w:val="20"/>
        </w:rPr>
      </w:pPr>
      <w:r>
        <w:rPr>
          <w:sz w:val="20"/>
        </w:rPr>
        <w:t>Ministerio del Trabajo, </w:t>
      </w:r>
      <w:r>
        <w:rPr>
          <w:i/>
          <w:sz w:val="20"/>
        </w:rPr>
        <w:t>Informe Ejecutivo, II </w:t>
      </w:r>
      <w:r>
        <w:rPr>
          <w:i/>
          <w:sz w:val="20"/>
        </w:rPr>
        <w:t>Encuesta Nacional De Condiciones De Seguridad  Y Salud En El Trabajo En El Sistema General De Riesgos Laborales, </w:t>
      </w:r>
      <w:r>
        <w:rPr>
          <w:sz w:val="20"/>
        </w:rPr>
        <w:t>Bogotá, 2013 Obtenido de </w:t>
      </w:r>
      <w:hyperlink r:id="rId377">
        <w:r>
          <w:rPr>
            <w:color w:val="0000FF"/>
            <w:spacing w:val="-1"/>
            <w:sz w:val="20"/>
            <w:u w:val="single" w:color="0000FF"/>
          </w:rPr>
          <w:t>http://ccs.org.co/salaprensa/images/Documentos/IN </w:t>
        </w:r>
      </w:hyperlink>
      <w:r>
        <w:rPr>
          <w:color w:val="0000FF"/>
          <w:sz w:val="20"/>
          <w:u w:val="single" w:color="0000FF"/>
        </w:rPr>
        <w:t>FORME_EJECUTIVO_II%20ENCSST.pdf</w:t>
      </w:r>
    </w:p>
    <w:p>
      <w:pPr>
        <w:pStyle w:val="BodyText"/>
        <w:spacing w:before="11"/>
        <w:rPr>
          <w:sz w:val="19"/>
        </w:rPr>
      </w:pPr>
    </w:p>
    <w:p>
      <w:pPr>
        <w:spacing w:before="0"/>
        <w:ind w:left="630" w:right="702" w:firstLine="0"/>
        <w:jc w:val="left"/>
        <w:rPr>
          <w:sz w:val="20"/>
        </w:rPr>
      </w:pPr>
      <w:r>
        <w:rPr>
          <w:b/>
          <w:color w:val="233F5E"/>
          <w:sz w:val="20"/>
        </w:rPr>
        <w:t>4.   </w:t>
      </w:r>
      <w:r>
        <w:rPr>
          <w:color w:val="233F5E"/>
          <w:sz w:val="20"/>
        </w:rPr>
        <w:t>REFERENCES</w:t>
      </w:r>
    </w:p>
    <w:p>
      <w:pPr>
        <w:pStyle w:val="BodyText"/>
      </w:pPr>
    </w:p>
    <w:p>
      <w:pPr>
        <w:pStyle w:val="ListParagraph"/>
        <w:numPr>
          <w:ilvl w:val="0"/>
          <w:numId w:val="95"/>
        </w:numPr>
        <w:tabs>
          <w:tab w:pos="979" w:val="left" w:leader="none"/>
          <w:tab w:pos="4947" w:val="left" w:leader="none"/>
        </w:tabs>
        <w:spacing w:line="240" w:lineRule="auto" w:before="1" w:after="0"/>
        <w:ind w:left="990" w:right="675" w:hanging="360"/>
        <w:jc w:val="both"/>
        <w:rPr>
          <w:sz w:val="20"/>
        </w:rPr>
      </w:pPr>
      <w:r>
        <w:rPr>
          <w:sz w:val="20"/>
        </w:rPr>
        <w:t>Acevedo, P.; Soto, V.; Segura, C. &amp; Sotomayor, C. (2013). Prevalencia de síntomas asociados a trastornos músculo-esqueléticos en estudiantes de odontología. </w:t>
      </w:r>
      <w:r>
        <w:rPr>
          <w:i/>
          <w:sz w:val="20"/>
        </w:rPr>
        <w:t>Int. J. Odontostomat., 7</w:t>
      </w:r>
      <w:r>
        <w:rPr>
          <w:sz w:val="20"/>
        </w:rPr>
        <w:t>(1), 11-16. Obtenido</w:t>
        <w:tab/>
        <w:t>de</w:t>
      </w:r>
    </w:p>
    <w:p>
      <w:pPr>
        <w:pStyle w:val="BodyText"/>
        <w:ind w:left="990" w:right="739"/>
      </w:pPr>
      <w:hyperlink r:id="rId378">
        <w:r>
          <w:rPr>
            <w:color w:val="0000FF"/>
            <w:u w:val="single" w:color="0000FF"/>
          </w:rPr>
          <w:t>http://www.ijodontostomat.com/2013_v7n1/2013_</w:t>
        </w:r>
      </w:hyperlink>
      <w:r>
        <w:rPr>
          <w:color w:val="0000FF"/>
          <w:u w:val="single" w:color="0000FF"/>
        </w:rPr>
        <w:t> v7n1_002.pdf</w:t>
      </w:r>
    </w:p>
    <w:p>
      <w:pPr>
        <w:pStyle w:val="ListParagraph"/>
        <w:numPr>
          <w:ilvl w:val="0"/>
          <w:numId w:val="95"/>
        </w:numPr>
        <w:tabs>
          <w:tab w:pos="979" w:val="left" w:leader="none"/>
          <w:tab w:pos="1988" w:val="left" w:leader="none"/>
          <w:tab w:pos="2792" w:val="left" w:leader="none"/>
          <w:tab w:pos="3217" w:val="left" w:leader="none"/>
          <w:tab w:pos="4133" w:val="left" w:leader="none"/>
          <w:tab w:pos="4948" w:val="left" w:leader="none"/>
        </w:tabs>
        <w:spacing w:line="240" w:lineRule="auto" w:before="0" w:after="0"/>
        <w:ind w:left="990" w:right="675" w:hanging="360"/>
        <w:jc w:val="left"/>
        <w:rPr>
          <w:sz w:val="20"/>
        </w:rPr>
      </w:pPr>
      <w:r>
        <w:rPr>
          <w:sz w:val="20"/>
        </w:rPr>
        <w:t>Bendezu, N.; Valenoia, E.; Aguilar, L. &amp; Vélez, C. (2006). Correlación entre nivel de conocimientos sobre posturas odontológicas ergonómics, posturas de trabajo y dolor postural según zonas de respuesta,</w:t>
        <w:tab/>
        <w:t>durante</w:t>
        <w:tab/>
        <w:t>las</w:t>
        <w:tab/>
        <w:t>prácticas</w:t>
        <w:tab/>
        <w:t>clínicas</w:t>
        <w:tab/>
        <w:t>de estudiantes en una Facultad de Estomatología. </w:t>
      </w:r>
      <w:r>
        <w:rPr>
          <w:i/>
          <w:sz w:val="20"/>
        </w:rPr>
        <w:t>Rev. </w:t>
      </w:r>
      <w:r>
        <w:rPr>
          <w:i/>
          <w:sz w:val="20"/>
        </w:rPr>
        <w:t>Estomatol. Herediana, 16</w:t>
      </w:r>
      <w:r>
        <w:rPr>
          <w:sz w:val="20"/>
        </w:rPr>
        <w:t>(1), 26-32. Obtenido de </w:t>
      </w:r>
      <w:hyperlink r:id="rId379">
        <w:r>
          <w:rPr>
            <w:color w:val="0000FF"/>
            <w:sz w:val="20"/>
            <w:u w:val="single" w:color="0000FF"/>
          </w:rPr>
          <w:t>http://www.upch.edu.pe/vrinve/dugic/revistas/inde </w:t>
        </w:r>
      </w:hyperlink>
      <w:r>
        <w:rPr>
          <w:color w:val="0000FF"/>
          <w:sz w:val="20"/>
          <w:u w:val="single" w:color="0000FF"/>
        </w:rPr>
        <w:t>x.php/REH/article/view/1928/1935</w:t>
      </w:r>
    </w:p>
    <w:p>
      <w:pPr>
        <w:pStyle w:val="ListParagraph"/>
        <w:numPr>
          <w:ilvl w:val="0"/>
          <w:numId w:val="95"/>
        </w:numPr>
        <w:tabs>
          <w:tab w:pos="979" w:val="left" w:leader="none"/>
          <w:tab w:pos="1852" w:val="left" w:leader="none"/>
          <w:tab w:pos="3530" w:val="left" w:leader="none"/>
          <w:tab w:pos="4947" w:val="left" w:leader="none"/>
        </w:tabs>
        <w:spacing w:line="240" w:lineRule="auto" w:before="0" w:after="0"/>
        <w:ind w:left="990" w:right="676" w:hanging="360"/>
        <w:jc w:val="both"/>
        <w:rPr>
          <w:sz w:val="20"/>
        </w:rPr>
      </w:pPr>
      <w:r>
        <w:rPr>
          <w:sz w:val="20"/>
        </w:rPr>
        <w:t>Briones, A. (2014). </w:t>
      </w:r>
      <w:r>
        <w:rPr>
          <w:i/>
          <w:sz w:val="20"/>
        </w:rPr>
        <w:t>Posturas odontológicas </w:t>
      </w:r>
      <w:r>
        <w:rPr>
          <w:i/>
          <w:sz w:val="20"/>
        </w:rPr>
        <w:t>ergonómicas y dolor muscular, durante las prácticas clínicas del estudiante del 5to año de la facultad de odontología periodo 2013. </w:t>
      </w:r>
      <w:r>
        <w:rPr>
          <w:sz w:val="20"/>
        </w:rPr>
        <w:t>Trabajo de Grado. Universidad de Guayaquil.: Facultad piloto de</w:t>
        <w:tab/>
        <w:t>odontología.</w:t>
        <w:tab/>
        <w:t>Obtenido</w:t>
        <w:tab/>
        <w:t>de </w:t>
      </w:r>
      <w:hyperlink r:id="rId380">
        <w:r>
          <w:rPr>
            <w:color w:val="0000FF"/>
            <w:spacing w:val="-1"/>
            <w:sz w:val="20"/>
            <w:u w:val="single" w:color="0000FF"/>
          </w:rPr>
          <w:t>http://repositorio.ug.edu.ec/bitstream/redug/5675/1/ </w:t>
        </w:r>
      </w:hyperlink>
      <w:r>
        <w:rPr>
          <w:color w:val="0000FF"/>
          <w:sz w:val="20"/>
          <w:u w:val="single" w:color="0000FF"/>
        </w:rPr>
        <w:t>BRIONESandrea.pdf</w:t>
      </w:r>
    </w:p>
    <w:p>
      <w:pPr>
        <w:pStyle w:val="ListParagraph"/>
        <w:numPr>
          <w:ilvl w:val="0"/>
          <w:numId w:val="95"/>
        </w:numPr>
        <w:tabs>
          <w:tab w:pos="979" w:val="left" w:leader="none"/>
        </w:tabs>
        <w:spacing w:line="240" w:lineRule="auto" w:before="0" w:after="0"/>
        <w:ind w:left="990" w:right="677" w:hanging="360"/>
        <w:jc w:val="both"/>
        <w:rPr>
          <w:sz w:val="20"/>
        </w:rPr>
      </w:pPr>
      <w:r>
        <w:rPr>
          <w:sz w:val="20"/>
        </w:rPr>
        <w:t>Caraballo, Y. (2013). </w:t>
      </w:r>
      <w:r>
        <w:rPr>
          <w:i/>
          <w:sz w:val="20"/>
        </w:rPr>
        <w:t>Epidemiología de los </w:t>
      </w:r>
      <w:r>
        <w:rPr>
          <w:i/>
          <w:sz w:val="20"/>
        </w:rPr>
        <w:t>trastornos músculo-esqueléticos de origen ocupacional. Temas de epidemiología y salud pública. </w:t>
      </w:r>
      <w:r>
        <w:rPr>
          <w:sz w:val="20"/>
        </w:rPr>
        <w:t>Venezuela:</w:t>
      </w:r>
      <w:r>
        <w:rPr>
          <w:spacing w:val="-5"/>
          <w:sz w:val="20"/>
        </w:rPr>
        <w:t> </w:t>
      </w:r>
      <w:r>
        <w:rPr>
          <w:sz w:val="20"/>
        </w:rPr>
        <w:t>EBUD.</w:t>
      </w:r>
    </w:p>
    <w:p>
      <w:pPr>
        <w:spacing w:after="0" w:line="240" w:lineRule="auto"/>
        <w:jc w:val="both"/>
        <w:rPr>
          <w:sz w:val="20"/>
        </w:rPr>
        <w:sectPr>
          <w:type w:val="continuous"/>
          <w:pgSz w:w="12240" w:h="15840"/>
          <w:pgMar w:top="1500" w:bottom="280" w:left="580" w:right="220"/>
          <w:cols w:num="2" w:equalWidth="0">
            <w:col w:w="5189" w:space="435"/>
            <w:col w:w="5816"/>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ListParagraph"/>
        <w:numPr>
          <w:ilvl w:val="0"/>
          <w:numId w:val="95"/>
        </w:numPr>
        <w:tabs>
          <w:tab w:pos="979" w:val="left" w:leader="none"/>
        </w:tabs>
        <w:spacing w:line="240" w:lineRule="auto" w:before="74" w:after="0"/>
        <w:ind w:left="990" w:right="0" w:hanging="360"/>
        <w:jc w:val="both"/>
        <w:rPr>
          <w:sz w:val="20"/>
        </w:rPr>
      </w:pPr>
      <w:r>
        <w:rPr>
          <w:sz w:val="20"/>
        </w:rPr>
        <w:t>Carrillo, P. &amp; Casado, I. (28 de Abril de 2009). </w:t>
      </w:r>
      <w:r>
        <w:rPr>
          <w:i/>
          <w:sz w:val="20"/>
        </w:rPr>
        <w:t>Posiciones y posturas de trabajo del odontólogo y </w:t>
      </w:r>
      <w:r>
        <w:rPr>
          <w:i/>
          <w:sz w:val="20"/>
        </w:rPr>
        <w:t>del auxiliar. </w:t>
      </w:r>
      <w:r>
        <w:rPr>
          <w:sz w:val="20"/>
        </w:rPr>
        <w:t>Obtenido de Gaceta Dental : </w:t>
      </w:r>
      <w:hyperlink r:id="rId381">
        <w:r>
          <w:rPr>
            <w:color w:val="0000FF"/>
            <w:sz w:val="20"/>
            <w:u w:val="single" w:color="0000FF"/>
          </w:rPr>
          <w:t>http://www.gacetadental.com/2009/04/posiciones-</w:t>
        </w:r>
      </w:hyperlink>
    </w:p>
    <w:p>
      <w:pPr>
        <w:pStyle w:val="BodyText"/>
        <w:ind w:left="990" w:right="59"/>
      </w:pPr>
      <w:r>
        <w:rPr>
          <w:color w:val="0000FF"/>
          <w:u w:val="single" w:color="0000FF"/>
        </w:rPr>
        <w:t>y-posturas-de-trabajo-del-odontlogo-y-del-auxiliar- 31008/</w:t>
      </w:r>
    </w:p>
    <w:p>
      <w:pPr>
        <w:pStyle w:val="ListParagraph"/>
        <w:numPr>
          <w:ilvl w:val="0"/>
          <w:numId w:val="24"/>
        </w:numPr>
        <w:tabs>
          <w:tab w:pos="979" w:val="left" w:leader="none"/>
        </w:tabs>
        <w:spacing w:line="240" w:lineRule="auto" w:before="0" w:after="0"/>
        <w:ind w:left="990" w:right="1" w:hanging="360"/>
        <w:jc w:val="both"/>
        <w:rPr>
          <w:sz w:val="20"/>
        </w:rPr>
      </w:pPr>
      <w:r>
        <w:rPr>
          <w:sz w:val="20"/>
        </w:rPr>
        <w:t>Carrión, J.; Martín, A. &amp; Selva, K. (2012). Posturas de trabajo y dolor de espalda en el dentista. </w:t>
      </w:r>
      <w:r>
        <w:rPr>
          <w:i/>
          <w:sz w:val="20"/>
        </w:rPr>
        <w:t>Gaceta </w:t>
      </w:r>
      <w:r>
        <w:rPr>
          <w:i/>
          <w:sz w:val="20"/>
        </w:rPr>
        <w:t>Dental. Industria y profesiones, 1</w:t>
      </w:r>
      <w:r>
        <w:rPr>
          <w:sz w:val="20"/>
        </w:rPr>
        <w:t>(240),</w:t>
      </w:r>
      <w:r>
        <w:rPr>
          <w:spacing w:val="-21"/>
          <w:sz w:val="20"/>
        </w:rPr>
        <w:t> </w:t>
      </w:r>
      <w:r>
        <w:rPr>
          <w:sz w:val="20"/>
        </w:rPr>
        <w:t>190-200.</w:t>
      </w:r>
    </w:p>
    <w:p>
      <w:pPr>
        <w:pStyle w:val="ListParagraph"/>
        <w:numPr>
          <w:ilvl w:val="0"/>
          <w:numId w:val="24"/>
        </w:numPr>
        <w:tabs>
          <w:tab w:pos="979" w:val="left" w:leader="none"/>
        </w:tabs>
        <w:spacing w:line="240" w:lineRule="auto" w:before="0" w:after="0"/>
        <w:ind w:left="990" w:right="0" w:hanging="360"/>
        <w:jc w:val="both"/>
        <w:rPr>
          <w:sz w:val="20"/>
        </w:rPr>
      </w:pPr>
      <w:r>
        <w:rPr>
          <w:sz w:val="20"/>
        </w:rPr>
        <w:t>Chávez, R; Gonzalez, E; Mendoza, P; Preciado, M. &amp; Villavicencio, E. (octubre/diciembre de 2011). Factores de riesgo ergonómico que ocasionan molestias musculoesqueléticas según unidad de trabajo en odontólogos de los municipios de Guadalajara y Zapopan, Jalisco, analizados a través del cuestionario nórdico estandarizado de Kuorinka métodos OWAS-RULA. </w:t>
      </w:r>
      <w:r>
        <w:rPr>
          <w:i/>
          <w:sz w:val="20"/>
        </w:rPr>
        <w:t>Ciencia y Trabajo,</w:t>
      </w:r>
      <w:r>
        <w:rPr>
          <w:i/>
          <w:spacing w:val="-24"/>
          <w:sz w:val="20"/>
        </w:rPr>
        <w:t> </w:t>
      </w:r>
      <w:r>
        <w:rPr>
          <w:i/>
          <w:sz w:val="20"/>
        </w:rPr>
        <w:t>13</w:t>
      </w:r>
      <w:r>
        <w:rPr>
          <w:sz w:val="20"/>
        </w:rPr>
        <w:t>(42).</w:t>
      </w:r>
    </w:p>
    <w:p>
      <w:pPr>
        <w:pStyle w:val="ListParagraph"/>
        <w:numPr>
          <w:ilvl w:val="0"/>
          <w:numId w:val="24"/>
        </w:numPr>
        <w:tabs>
          <w:tab w:pos="979" w:val="left" w:leader="none"/>
          <w:tab w:pos="3130" w:val="left" w:leader="none"/>
          <w:tab w:pos="4997" w:val="left" w:leader="none"/>
        </w:tabs>
        <w:spacing w:line="240" w:lineRule="auto" w:before="0" w:after="0"/>
        <w:ind w:left="990" w:right="1" w:hanging="360"/>
        <w:jc w:val="both"/>
        <w:rPr>
          <w:sz w:val="20"/>
        </w:rPr>
      </w:pPr>
      <w:r>
        <w:rPr>
          <w:sz w:val="20"/>
        </w:rPr>
        <w:t>Clínicas Propdental. (2013). </w:t>
      </w:r>
      <w:r>
        <w:rPr>
          <w:i/>
          <w:sz w:val="20"/>
        </w:rPr>
        <w:t>Posturas en </w:t>
      </w:r>
      <w:r>
        <w:rPr>
          <w:i/>
          <w:sz w:val="20"/>
        </w:rPr>
        <w:t>odontología</w:t>
      </w:r>
      <w:r>
        <w:rPr>
          <w:sz w:val="20"/>
        </w:rPr>
        <w:t>.</w:t>
        <w:tab/>
        <w:t>Obtenido</w:t>
        <w:tab/>
        <w:t>de </w:t>
      </w:r>
      <w:r>
        <w:rPr>
          <w:color w:val="0000FF"/>
          <w:spacing w:val="-1"/>
          <w:sz w:val="20"/>
          <w:u w:val="single" w:color="0000FF"/>
        </w:rPr>
        <w:t>http</w:t>
      </w:r>
      <w:hyperlink r:id="rId382">
        <w:r>
          <w:rPr>
            <w:color w:val="0000FF"/>
            <w:spacing w:val="-1"/>
            <w:sz w:val="20"/>
            <w:u w:val="single" w:color="0000FF"/>
          </w:rPr>
          <w:t>s://www.p</w:t>
        </w:r>
      </w:hyperlink>
      <w:r>
        <w:rPr>
          <w:color w:val="0000FF"/>
          <w:spacing w:val="-1"/>
          <w:sz w:val="20"/>
          <w:u w:val="single" w:color="0000FF"/>
        </w:rPr>
        <w:t>ropd</w:t>
      </w:r>
      <w:hyperlink r:id="rId382">
        <w:r>
          <w:rPr>
            <w:color w:val="0000FF"/>
            <w:spacing w:val="-1"/>
            <w:sz w:val="20"/>
            <w:u w:val="single" w:color="0000FF"/>
          </w:rPr>
          <w:t>ental.es/blog/actualidad/posturas- </w:t>
        </w:r>
      </w:hyperlink>
      <w:r>
        <w:rPr>
          <w:color w:val="0000FF"/>
          <w:sz w:val="20"/>
          <w:u w:val="single" w:color="0000FF"/>
        </w:rPr>
        <w:t>en-odontologia/</w:t>
      </w:r>
    </w:p>
    <w:p>
      <w:pPr>
        <w:pStyle w:val="ListParagraph"/>
        <w:numPr>
          <w:ilvl w:val="0"/>
          <w:numId w:val="24"/>
        </w:numPr>
        <w:tabs>
          <w:tab w:pos="979" w:val="left" w:leader="none"/>
        </w:tabs>
        <w:spacing w:line="240" w:lineRule="auto" w:before="0" w:after="0"/>
        <w:ind w:left="990" w:right="0" w:hanging="360"/>
        <w:jc w:val="both"/>
        <w:rPr>
          <w:sz w:val="20"/>
        </w:rPr>
      </w:pPr>
      <w:r>
        <w:rPr>
          <w:sz w:val="20"/>
        </w:rPr>
        <w:t>Congreso de Colombia. (1979). </w:t>
      </w:r>
      <w:r>
        <w:rPr>
          <w:i/>
          <w:sz w:val="20"/>
        </w:rPr>
        <w:t>Ley 9 del 24 de </w:t>
      </w:r>
      <w:r>
        <w:rPr>
          <w:i/>
          <w:sz w:val="20"/>
        </w:rPr>
        <w:t>enero. Por la cual se dictan medidas sanitarias. </w:t>
      </w:r>
      <w:r>
        <w:rPr>
          <w:sz w:val="20"/>
        </w:rPr>
        <w:t>Bogotá, D. C.: Diario Oficial 35308. Obtenido de </w:t>
      </w:r>
      <w:hyperlink r:id="rId383">
        <w:r>
          <w:rPr>
            <w:color w:val="0000FF"/>
            <w:spacing w:val="-1"/>
            <w:sz w:val="20"/>
            <w:u w:val="single" w:color="0000FF"/>
          </w:rPr>
          <w:t>http://www.secretariasenado.gov.co/senado/basedoc</w:t>
        </w:r>
      </w:hyperlink>
    </w:p>
    <w:p>
      <w:pPr>
        <w:pStyle w:val="BodyText"/>
        <w:ind w:left="990" w:right="118"/>
      </w:pPr>
      <w:r>
        <w:rPr>
          <w:color w:val="0000FF"/>
          <w:u w:val="single" w:color="0000FF"/>
        </w:rPr>
        <w:t>/ley_0009_1979.html</w:t>
      </w:r>
    </w:p>
    <w:p>
      <w:pPr>
        <w:pStyle w:val="ListParagraph"/>
        <w:numPr>
          <w:ilvl w:val="0"/>
          <w:numId w:val="24"/>
        </w:numPr>
        <w:tabs>
          <w:tab w:pos="979" w:val="left" w:leader="none"/>
          <w:tab w:pos="4997" w:val="left" w:leader="none"/>
        </w:tabs>
        <w:spacing w:line="240" w:lineRule="auto" w:before="0" w:after="0"/>
        <w:ind w:left="990" w:right="1" w:hanging="360"/>
        <w:jc w:val="both"/>
        <w:rPr>
          <w:sz w:val="20"/>
        </w:rPr>
      </w:pPr>
      <w:r>
        <w:rPr>
          <w:sz w:val="20"/>
        </w:rPr>
        <w:t>Congreso de Colombia. (2012). </w:t>
      </w:r>
      <w:r>
        <w:rPr>
          <w:i/>
          <w:sz w:val="20"/>
        </w:rPr>
        <w:t>Ley 1562 del 11 de </w:t>
      </w:r>
      <w:r>
        <w:rPr>
          <w:i/>
          <w:sz w:val="20"/>
        </w:rPr>
        <w:t>Julio. Por la cual se modifica el sistema de riesgos laborales y se dictan otras disposiciones en materia de salud ocupacional. </w:t>
      </w:r>
      <w:r>
        <w:rPr>
          <w:sz w:val="20"/>
        </w:rPr>
        <w:t>Bogotá, D. C.: El Congreso. Obtenido</w:t>
        <w:tab/>
        <w:t>de</w:t>
      </w:r>
    </w:p>
    <w:p>
      <w:pPr>
        <w:pStyle w:val="BodyText"/>
        <w:ind w:left="990" w:right="-2" w:hanging="1"/>
      </w:pPr>
      <w:hyperlink r:id="rId384">
        <w:r>
          <w:rPr>
            <w:color w:val="0000FF"/>
            <w:u w:val="single" w:color="0000FF"/>
          </w:rPr>
          <w:t>http://wsp.presidencia.gov.co/Normativa/Leyes/Doc</w:t>
        </w:r>
      </w:hyperlink>
      <w:r>
        <w:rPr>
          <w:color w:val="0000FF"/>
          <w:u w:val="single" w:color="0000FF"/>
        </w:rPr>
        <w:t> uments/ley156211072012.pdf</w:t>
      </w:r>
    </w:p>
    <w:p>
      <w:pPr>
        <w:pStyle w:val="ListParagraph"/>
        <w:numPr>
          <w:ilvl w:val="0"/>
          <w:numId w:val="24"/>
        </w:numPr>
        <w:tabs>
          <w:tab w:pos="979" w:val="left" w:leader="none"/>
          <w:tab w:pos="1978" w:val="left" w:leader="none"/>
          <w:tab w:pos="2631" w:val="left" w:leader="none"/>
          <w:tab w:pos="3668" w:val="left" w:leader="none"/>
          <w:tab w:pos="4998" w:val="left" w:leader="none"/>
        </w:tabs>
        <w:spacing w:line="240" w:lineRule="auto" w:before="0" w:after="0"/>
        <w:ind w:left="990" w:right="1" w:hanging="360"/>
        <w:jc w:val="both"/>
        <w:rPr>
          <w:sz w:val="20"/>
        </w:rPr>
      </w:pPr>
      <w:r>
        <w:rPr>
          <w:sz w:val="20"/>
        </w:rPr>
        <w:t>Coureaux, L.; Navarro, J.; Limonta, E.; Pérez, N. &amp; Turcáz, I. (2013). Afecciones del raquis cervical y lumbar en estomatólogos de la Clínica Estomatológica Provincial, Cuba. </w:t>
      </w:r>
      <w:r>
        <w:rPr>
          <w:i/>
          <w:sz w:val="20"/>
        </w:rPr>
        <w:t>MEDISAN, 17</w:t>
      </w:r>
      <w:r>
        <w:rPr>
          <w:sz w:val="20"/>
        </w:rPr>
        <w:t>(9), 4081</w:t>
        <w:tab/>
        <w:t>-</w:t>
        <w:tab/>
        <w:t>4088.</w:t>
        <w:tab/>
        <w:t>Obtenido</w:t>
        <w:tab/>
        <w:t>de</w:t>
      </w:r>
      <w:r>
        <w:rPr>
          <w:w w:val="100"/>
          <w:sz w:val="20"/>
        </w:rPr>
        <w:t> </w:t>
      </w:r>
      <w:hyperlink r:id="rId385">
        <w:r>
          <w:rPr>
            <w:color w:val="0000FF"/>
            <w:sz w:val="20"/>
            <w:u w:val="single" w:color="0000FF"/>
          </w:rPr>
          <w:t>http://scielo.sld.cu/pdf/san/v17n9/san04179.pdf</w:t>
        </w:r>
      </w:hyperlink>
    </w:p>
    <w:p>
      <w:pPr>
        <w:pStyle w:val="ListParagraph"/>
        <w:numPr>
          <w:ilvl w:val="0"/>
          <w:numId w:val="24"/>
        </w:numPr>
        <w:tabs>
          <w:tab w:pos="979" w:val="left" w:leader="none"/>
        </w:tabs>
        <w:spacing w:line="240" w:lineRule="auto" w:before="0" w:after="0"/>
        <w:ind w:left="990" w:right="0" w:hanging="360"/>
        <w:jc w:val="both"/>
        <w:rPr>
          <w:sz w:val="20"/>
        </w:rPr>
      </w:pPr>
      <w:r>
        <w:rPr>
          <w:sz w:val="20"/>
        </w:rPr>
        <w:t>Díaz, C.; González, G.; Espinosa, N.; Díaz, R. &amp; Espinosa, I. (Enero-Abril de 2013). Trastornos músculo esquelético y ergonomía en estomatólogos del municipio Sancti Spíritus. 2011. </w:t>
      </w:r>
      <w:r>
        <w:rPr>
          <w:i/>
          <w:sz w:val="20"/>
        </w:rPr>
        <w:t>Gac Méd </w:t>
      </w:r>
      <w:r>
        <w:rPr>
          <w:i/>
          <w:sz w:val="20"/>
        </w:rPr>
        <w:t>Espirit, 15</w:t>
      </w:r>
      <w:r>
        <w:rPr>
          <w:sz w:val="20"/>
        </w:rPr>
        <w:t>(1), 75-82. Obtenido de </w:t>
      </w:r>
      <w:hyperlink r:id="rId386">
        <w:r>
          <w:rPr>
            <w:color w:val="0000FF"/>
            <w:sz w:val="20"/>
            <w:u w:val="single" w:color="0000FF"/>
          </w:rPr>
          <w:t>http://scielo.sld.cu/pdf/gme/v15n1/gme10113.pdf</w:t>
        </w:r>
      </w:hyperlink>
    </w:p>
    <w:p>
      <w:pPr>
        <w:pStyle w:val="ListParagraph"/>
        <w:numPr>
          <w:ilvl w:val="0"/>
          <w:numId w:val="24"/>
        </w:numPr>
        <w:tabs>
          <w:tab w:pos="979" w:val="left" w:leader="none"/>
          <w:tab w:pos="2161" w:val="left" w:leader="none"/>
          <w:tab w:pos="3565" w:val="left" w:leader="none"/>
          <w:tab w:pos="4997" w:val="left" w:leader="none"/>
        </w:tabs>
        <w:spacing w:line="240" w:lineRule="auto" w:before="0" w:after="0"/>
        <w:ind w:left="990" w:right="0" w:hanging="360"/>
        <w:jc w:val="both"/>
        <w:rPr>
          <w:sz w:val="20"/>
        </w:rPr>
      </w:pPr>
      <w:r>
        <w:rPr>
          <w:sz w:val="20"/>
        </w:rPr>
        <w:t>Fals, J.; González, F.; Orozco, J.; Correal, S. &amp; Pernett, C. (2012). Alteraciones osteomusculares asociadas a factores físicos y ambientales en estudiantes de odontología. </w:t>
      </w:r>
      <w:r>
        <w:rPr>
          <w:i/>
          <w:sz w:val="20"/>
        </w:rPr>
        <w:t>Rev Bras Epidemiol, </w:t>
      </w:r>
      <w:r>
        <w:rPr>
          <w:i/>
          <w:sz w:val="20"/>
        </w:rPr>
        <w:t>15</w:t>
      </w:r>
      <w:r>
        <w:rPr>
          <w:sz w:val="20"/>
        </w:rPr>
        <w:t>(4),</w:t>
        <w:tab/>
        <w:t>884-895.</w:t>
        <w:tab/>
        <w:t>Obtenido</w:t>
        <w:tab/>
        <w:t>de </w:t>
      </w:r>
      <w:hyperlink r:id="rId387">
        <w:r>
          <w:rPr>
            <w:color w:val="0000FF"/>
            <w:sz w:val="20"/>
            <w:u w:val="single" w:color="0000FF"/>
          </w:rPr>
          <w:t>http://www.scielosp.org/pdf/rbepid/v15n4/18.pdf</w:t>
        </w:r>
      </w:hyperlink>
    </w:p>
    <w:p>
      <w:pPr>
        <w:pStyle w:val="ListParagraph"/>
        <w:numPr>
          <w:ilvl w:val="0"/>
          <w:numId w:val="24"/>
        </w:numPr>
        <w:tabs>
          <w:tab w:pos="979" w:val="left" w:leader="none"/>
          <w:tab w:pos="2091" w:val="left" w:leader="none"/>
          <w:tab w:pos="2504" w:val="left" w:leader="none"/>
          <w:tab w:pos="3829" w:val="left" w:leader="none"/>
          <w:tab w:pos="5120" w:val="left" w:leader="none"/>
        </w:tabs>
        <w:spacing w:line="240" w:lineRule="auto" w:before="0" w:after="0"/>
        <w:ind w:left="990" w:right="1" w:hanging="360"/>
        <w:jc w:val="left"/>
        <w:rPr>
          <w:sz w:val="20"/>
        </w:rPr>
      </w:pPr>
      <w:r>
        <w:rPr>
          <w:sz w:val="20"/>
        </w:rPr>
        <w:t>Federación</w:t>
        <w:tab/>
        <w:t>de</w:t>
        <w:tab/>
        <w:t>Aseguradores</w:t>
        <w:tab/>
        <w:t>Colombianos</w:t>
        <w:tab/>
        <w:t>-</w:t>
      </w:r>
      <w:r>
        <w:rPr>
          <w:w w:val="100"/>
          <w:sz w:val="20"/>
        </w:rPr>
        <w:t> </w:t>
      </w:r>
      <w:r>
        <w:rPr>
          <w:sz w:val="20"/>
        </w:rPr>
        <w:t>FASECOLDA. (Junio de 2008). </w:t>
      </w:r>
      <w:r>
        <w:rPr>
          <w:i/>
          <w:sz w:val="20"/>
        </w:rPr>
        <w:t>Enfermedad </w:t>
      </w:r>
      <w:r>
        <w:rPr>
          <w:i/>
          <w:sz w:val="20"/>
        </w:rPr>
        <w:t>profesional y su impacto social</w:t>
      </w:r>
      <w:r>
        <w:rPr>
          <w:sz w:val="20"/>
        </w:rPr>
        <w:t>. Obtenido de </w:t>
      </w:r>
      <w:hyperlink r:id="rId376">
        <w:r>
          <w:rPr>
            <w:color w:val="0000FF"/>
            <w:sz w:val="20"/>
            <w:u w:val="single" w:color="0000FF"/>
          </w:rPr>
          <w:t>http://www.laseguridad.ws/consejo/consejo/html/m </w:t>
        </w:r>
      </w:hyperlink>
      <w:r>
        <w:rPr>
          <w:color w:val="0000FF"/>
          <w:sz w:val="20"/>
          <w:u w:val="single" w:color="0000FF"/>
        </w:rPr>
        <w:t>emorias/memorias_complementarias_congreso_41/ </w:t>
      </w:r>
      <w:r>
        <w:rPr>
          <w:color w:val="0000FF"/>
          <w:sz w:val="20"/>
          <w:u w:val="single" w:color="0000FF"/>
        </w:rPr>
        <w:t>archivos/otros/1.2.pdf</w:t>
      </w:r>
    </w:p>
    <w:p>
      <w:pPr>
        <w:pStyle w:val="ListParagraph"/>
        <w:numPr>
          <w:ilvl w:val="0"/>
          <w:numId w:val="24"/>
        </w:numPr>
        <w:tabs>
          <w:tab w:pos="979" w:val="left" w:leader="none"/>
        </w:tabs>
        <w:spacing w:line="240" w:lineRule="auto" w:before="74" w:after="0"/>
        <w:ind w:left="990" w:right="677" w:hanging="360"/>
        <w:jc w:val="both"/>
        <w:rPr>
          <w:sz w:val="20"/>
        </w:rPr>
      </w:pPr>
      <w:r>
        <w:rPr>
          <w:spacing w:val="-1"/>
          <w:w w:val="100"/>
          <w:sz w:val="20"/>
        </w:rPr>
        <w:br w:type="column"/>
      </w:r>
      <w:r>
        <w:rPr>
          <w:sz w:val="20"/>
        </w:rPr>
        <w:t>Fernandez, C.; Cleland, J. &amp; Huijbregts, P. (2013). </w:t>
      </w:r>
      <w:r>
        <w:rPr>
          <w:i/>
          <w:sz w:val="20"/>
        </w:rPr>
        <w:t>Síndromes dolorosos en el cuello y en el miembro </w:t>
      </w:r>
      <w:r>
        <w:rPr>
          <w:i/>
          <w:sz w:val="20"/>
        </w:rPr>
        <w:t>superior. </w:t>
      </w:r>
      <w:r>
        <w:rPr>
          <w:sz w:val="20"/>
        </w:rPr>
        <w:t>Madrid, España:</w:t>
      </w:r>
      <w:r>
        <w:rPr>
          <w:spacing w:val="-11"/>
          <w:sz w:val="20"/>
        </w:rPr>
        <w:t> </w:t>
      </w:r>
      <w:r>
        <w:rPr>
          <w:sz w:val="20"/>
        </w:rPr>
        <w:t>Elsevier.</w:t>
      </w:r>
    </w:p>
    <w:p>
      <w:pPr>
        <w:pStyle w:val="ListParagraph"/>
        <w:numPr>
          <w:ilvl w:val="0"/>
          <w:numId w:val="24"/>
        </w:numPr>
        <w:tabs>
          <w:tab w:pos="979" w:val="left" w:leader="none"/>
          <w:tab w:pos="4947" w:val="left" w:leader="none"/>
        </w:tabs>
        <w:spacing w:line="240" w:lineRule="auto" w:before="0" w:after="0"/>
        <w:ind w:left="990" w:right="675" w:hanging="360"/>
        <w:jc w:val="both"/>
        <w:rPr>
          <w:sz w:val="20"/>
        </w:rPr>
      </w:pPr>
      <w:r>
        <w:rPr>
          <w:sz w:val="20"/>
        </w:rPr>
        <w:t>Fortich, N.; De Oro, K.; Gómez, K. &amp; Valencia, J. (Diciembre de 2009). Prevalencia de alteraciones músculo-esqueléticas relacionadas con la no aplicación de las normas ergonómitcas por partes de los estudiantes que asistentes a las clínicas odontológicas de la corporación universitaria  Rafael Núñez. </w:t>
      </w:r>
      <w:r>
        <w:rPr>
          <w:i/>
          <w:sz w:val="20"/>
        </w:rPr>
        <w:t>Ciencia y Salud Virtual, 1</w:t>
      </w:r>
      <w:r>
        <w:rPr>
          <w:sz w:val="20"/>
        </w:rPr>
        <w:t>(1), 52-61. Obtenido</w:t>
        <w:tab/>
        <w:t>de</w:t>
      </w:r>
    </w:p>
    <w:p>
      <w:pPr>
        <w:pStyle w:val="BodyText"/>
        <w:spacing w:line="230" w:lineRule="exact"/>
        <w:ind w:left="990"/>
      </w:pPr>
      <w:hyperlink r:id="rId388">
        <w:r>
          <w:rPr>
            <w:color w:val="0000FF"/>
            <w:u w:val="single" w:color="0000FF"/>
          </w:rPr>
          <w:t>http://revistas.curnvirtual.edu.co/journals/index.php</w:t>
        </w:r>
      </w:hyperlink>
    </w:p>
    <w:p>
      <w:pPr>
        <w:pStyle w:val="BodyText"/>
        <w:spacing w:line="230" w:lineRule="exact"/>
        <w:ind w:left="990" w:right="852"/>
      </w:pPr>
      <w:r>
        <w:rPr>
          <w:color w:val="0000FF"/>
          <w:u w:val="single" w:color="0000FF"/>
        </w:rPr>
        <w:t>/cienciaysalud/article/view/31/27</w:t>
      </w:r>
    </w:p>
    <w:p>
      <w:pPr>
        <w:pStyle w:val="ListParagraph"/>
        <w:numPr>
          <w:ilvl w:val="0"/>
          <w:numId w:val="24"/>
        </w:numPr>
        <w:tabs>
          <w:tab w:pos="979" w:val="left" w:leader="none"/>
          <w:tab w:pos="1729" w:val="left" w:leader="none"/>
          <w:tab w:pos="2432" w:val="left" w:leader="none"/>
          <w:tab w:pos="3652" w:val="left" w:leader="none"/>
          <w:tab w:pos="4945" w:val="left" w:leader="none"/>
        </w:tabs>
        <w:spacing w:line="240" w:lineRule="auto" w:before="0" w:after="0"/>
        <w:ind w:left="990" w:right="677" w:hanging="360"/>
        <w:jc w:val="left"/>
        <w:rPr>
          <w:sz w:val="20"/>
        </w:rPr>
      </w:pPr>
      <w:r>
        <w:rPr>
          <w:sz w:val="20"/>
        </w:rPr>
        <w:t>Fundación Kovacs. (18 de Marzo de 2014). </w:t>
      </w:r>
      <w:r>
        <w:rPr>
          <w:i/>
          <w:sz w:val="20"/>
        </w:rPr>
        <w:t>El Web </w:t>
      </w:r>
      <w:r>
        <w:rPr>
          <w:i/>
          <w:sz w:val="20"/>
        </w:rPr>
        <w:t>de</w:t>
        <w:tab/>
        <w:t>la</w:t>
        <w:tab/>
        <w:t>espalda</w:t>
      </w:r>
      <w:r>
        <w:rPr>
          <w:sz w:val="20"/>
        </w:rPr>
        <w:t>.</w:t>
        <w:tab/>
        <w:t>Obtenido</w:t>
        <w:tab/>
        <w:t>de </w:t>
      </w:r>
      <w:hyperlink r:id="rId389">
        <w:r>
          <w:rPr>
            <w:color w:val="0000FF"/>
            <w:sz w:val="20"/>
            <w:u w:val="single" w:color="0000FF"/>
          </w:rPr>
          <w:t>http://espalda.org/divulgativa/como_es_funciona/c </w:t>
        </w:r>
      </w:hyperlink>
      <w:r>
        <w:rPr>
          <w:color w:val="0000FF"/>
          <w:sz w:val="20"/>
          <w:u w:val="single" w:color="0000FF"/>
        </w:rPr>
        <w:t>omoes.asp</w:t>
      </w:r>
    </w:p>
    <w:p>
      <w:pPr>
        <w:pStyle w:val="ListParagraph"/>
        <w:numPr>
          <w:ilvl w:val="0"/>
          <w:numId w:val="24"/>
        </w:numPr>
        <w:tabs>
          <w:tab w:pos="979" w:val="left" w:leader="none"/>
          <w:tab w:pos="4947" w:val="left" w:leader="none"/>
        </w:tabs>
        <w:spacing w:line="240" w:lineRule="auto" w:before="0" w:after="0"/>
        <w:ind w:left="990" w:right="676" w:hanging="360"/>
        <w:jc w:val="both"/>
        <w:rPr>
          <w:sz w:val="20"/>
        </w:rPr>
      </w:pPr>
      <w:r>
        <w:rPr>
          <w:sz w:val="20"/>
        </w:rPr>
        <w:t>García, L.; Valdéz, M. &amp; Laffita, A. (Abril de 2008). Enfermedades profesionales en estomatólogos. Propuesta de ejercicios físicos para su prevención. </w:t>
      </w:r>
      <w:r>
        <w:rPr>
          <w:i/>
          <w:sz w:val="20"/>
        </w:rPr>
        <w:t>Revista de ciencias médicas</w:t>
      </w:r>
      <w:r>
        <w:rPr>
          <w:sz w:val="20"/>
        </w:rPr>
        <w:t>. Obtenido</w:t>
        <w:tab/>
        <w:t>de</w:t>
      </w:r>
    </w:p>
    <w:p>
      <w:pPr>
        <w:pStyle w:val="BodyText"/>
        <w:ind w:left="990" w:right="683"/>
      </w:pPr>
      <w:hyperlink r:id="rId390">
        <w:r>
          <w:rPr>
            <w:color w:val="0000FF"/>
            <w:u w:val="single" w:color="0000FF"/>
          </w:rPr>
          <w:t>http://www.revistaciencias.com/publicaciones/Ekpl</w:t>
        </w:r>
      </w:hyperlink>
      <w:r>
        <w:rPr>
          <w:color w:val="0000FF"/>
          <w:u w:val="single" w:color="0000FF"/>
        </w:rPr>
        <w:t> VykkVZGygRkPJQ.php</w:t>
      </w:r>
    </w:p>
    <w:p>
      <w:pPr>
        <w:pStyle w:val="ListParagraph"/>
        <w:numPr>
          <w:ilvl w:val="0"/>
          <w:numId w:val="24"/>
        </w:numPr>
        <w:tabs>
          <w:tab w:pos="979" w:val="left" w:leader="none"/>
        </w:tabs>
        <w:spacing w:line="240" w:lineRule="auto" w:before="0" w:after="0"/>
        <w:ind w:left="990" w:right="675" w:hanging="360"/>
        <w:jc w:val="both"/>
        <w:rPr>
          <w:sz w:val="20"/>
        </w:rPr>
      </w:pPr>
      <w:r>
        <w:rPr>
          <w:sz w:val="20"/>
        </w:rPr>
        <w:t>Guerra, R. (2012). </w:t>
      </w:r>
      <w:r>
        <w:rPr>
          <w:i/>
          <w:sz w:val="20"/>
        </w:rPr>
        <w:t>Las lesiones músculo- </w:t>
      </w:r>
      <w:r>
        <w:rPr>
          <w:i/>
          <w:sz w:val="20"/>
        </w:rPr>
        <w:t>esqueléticas en el área ocupacional de Odontología. Caso: odontólogos docentes de la Facultad de Odontología de la Uniersidad Antonio Páez</w:t>
      </w:r>
      <w:r>
        <w:rPr>
          <w:sz w:val="20"/>
        </w:rPr>
        <w:t>. Recuperado el 10 de Junio de 2014, de </w:t>
      </w:r>
      <w:hyperlink r:id="rId391">
        <w:r>
          <w:rPr>
            <w:color w:val="0000FF"/>
            <w:sz w:val="20"/>
            <w:u w:val="single" w:color="0000FF"/>
          </w:rPr>
          <w:t>http://www.ujap.edu.ve/pasion/index2.php?option= </w:t>
        </w:r>
      </w:hyperlink>
      <w:r>
        <w:rPr>
          <w:color w:val="0000FF"/>
          <w:sz w:val="20"/>
          <w:u w:val="single" w:color="0000FF"/>
        </w:rPr>
        <w:t>com_content&amp;do_pdf=1&amp;id=99</w:t>
      </w:r>
    </w:p>
    <w:p>
      <w:pPr>
        <w:pStyle w:val="ListParagraph"/>
        <w:numPr>
          <w:ilvl w:val="0"/>
          <w:numId w:val="24"/>
        </w:numPr>
        <w:tabs>
          <w:tab w:pos="979" w:val="left" w:leader="none"/>
        </w:tabs>
        <w:spacing w:line="240" w:lineRule="auto" w:before="0" w:after="0"/>
        <w:ind w:left="990" w:right="676" w:hanging="360"/>
        <w:jc w:val="both"/>
        <w:rPr>
          <w:sz w:val="20"/>
        </w:rPr>
      </w:pPr>
      <w:r>
        <w:rPr>
          <w:sz w:val="20"/>
        </w:rPr>
        <w:t>Hernández Sampieri, R.; Collado, C. &amp; Baptista, P. (1991). </w:t>
      </w:r>
      <w:r>
        <w:rPr>
          <w:i/>
          <w:sz w:val="20"/>
        </w:rPr>
        <w:t>Metodología de la investigación. 78-90 </w:t>
      </w:r>
      <w:r>
        <w:rPr>
          <w:sz w:val="20"/>
        </w:rPr>
        <w:t>(Primera ed.). México, D. F.:</w:t>
      </w:r>
      <w:r>
        <w:rPr>
          <w:spacing w:val="-28"/>
          <w:sz w:val="20"/>
        </w:rPr>
        <w:t> </w:t>
      </w:r>
      <w:r>
        <w:rPr>
          <w:sz w:val="20"/>
        </w:rPr>
        <w:t>McGraw-Hill.</w:t>
      </w:r>
    </w:p>
    <w:p>
      <w:pPr>
        <w:pStyle w:val="ListParagraph"/>
        <w:numPr>
          <w:ilvl w:val="0"/>
          <w:numId w:val="24"/>
        </w:numPr>
        <w:tabs>
          <w:tab w:pos="979" w:val="left" w:leader="none"/>
        </w:tabs>
        <w:spacing w:line="240" w:lineRule="auto" w:before="0" w:after="0"/>
        <w:ind w:left="990" w:right="677" w:hanging="360"/>
        <w:jc w:val="both"/>
        <w:rPr>
          <w:sz w:val="20"/>
        </w:rPr>
      </w:pPr>
      <w:r>
        <w:rPr>
          <w:sz w:val="20"/>
        </w:rPr>
        <w:t>Hernández, R.; Fernández, C. &amp; Baptista,  P. (1991). </w:t>
      </w:r>
      <w:r>
        <w:rPr>
          <w:i/>
          <w:sz w:val="20"/>
        </w:rPr>
        <w:t>Metodología  de  la  investigación. </w:t>
      </w:r>
      <w:r>
        <w:rPr>
          <w:sz w:val="20"/>
        </w:rPr>
        <w:t>México,</w:t>
      </w:r>
    </w:p>
    <w:p>
      <w:pPr>
        <w:pStyle w:val="BodyText"/>
        <w:ind w:left="990" w:right="852"/>
      </w:pPr>
      <w:r>
        <w:rPr/>
        <w:t>D. F.: McGraw-Hill.</w:t>
      </w:r>
    </w:p>
    <w:p>
      <w:pPr>
        <w:pStyle w:val="ListParagraph"/>
        <w:numPr>
          <w:ilvl w:val="0"/>
          <w:numId w:val="24"/>
        </w:numPr>
        <w:tabs>
          <w:tab w:pos="979" w:val="left" w:leader="none"/>
        </w:tabs>
        <w:spacing w:line="240" w:lineRule="auto" w:before="0" w:after="0"/>
        <w:ind w:left="990" w:right="676" w:hanging="360"/>
        <w:jc w:val="both"/>
        <w:rPr>
          <w:sz w:val="20"/>
        </w:rPr>
      </w:pPr>
      <w:r>
        <w:rPr>
          <w:sz w:val="20"/>
        </w:rPr>
        <w:t>INSTITUTO COLOMBIANO DE NORMAS TÉCNICA Y CERTIFICACIÓN (ICONTEC). (2011). </w:t>
      </w:r>
      <w:r>
        <w:rPr>
          <w:i/>
          <w:sz w:val="20"/>
        </w:rPr>
        <w:t>GTC 45 Guía Técnica Colombiana. </w:t>
      </w:r>
      <w:r>
        <w:rPr>
          <w:sz w:val="20"/>
        </w:rPr>
        <w:t>Bogotá, D. C. :</w:t>
      </w:r>
      <w:r>
        <w:rPr>
          <w:spacing w:val="-4"/>
          <w:sz w:val="20"/>
        </w:rPr>
        <w:t> </w:t>
      </w:r>
      <w:r>
        <w:rPr>
          <w:sz w:val="20"/>
        </w:rPr>
        <w:t>ICONTEC.</w:t>
      </w:r>
    </w:p>
    <w:p>
      <w:pPr>
        <w:pStyle w:val="ListParagraph"/>
        <w:numPr>
          <w:ilvl w:val="0"/>
          <w:numId w:val="24"/>
        </w:numPr>
        <w:tabs>
          <w:tab w:pos="979" w:val="left" w:leader="none"/>
        </w:tabs>
        <w:spacing w:line="240" w:lineRule="auto" w:before="0" w:after="0"/>
        <w:ind w:left="990" w:right="676" w:hanging="360"/>
        <w:jc w:val="left"/>
        <w:rPr>
          <w:sz w:val="20"/>
        </w:rPr>
      </w:pPr>
      <w:r>
        <w:rPr>
          <w:sz w:val="20"/>
        </w:rPr>
        <w:t>Instituto Nacional de Seguridad e Higiene en el Trabajo. (2000). </w:t>
      </w:r>
      <w:r>
        <w:rPr>
          <w:i/>
          <w:sz w:val="20"/>
        </w:rPr>
        <w:t>¿Qué es Ergonomía? </w:t>
      </w:r>
      <w:r>
        <w:rPr>
          <w:sz w:val="20"/>
        </w:rPr>
        <w:t>Obtenido de </w:t>
      </w:r>
      <w:hyperlink r:id="rId392">
        <w:r>
          <w:rPr>
            <w:color w:val="0000FF"/>
            <w:sz w:val="20"/>
            <w:u w:val="single" w:color="0000FF"/>
          </w:rPr>
          <w:t>http://www.insht.es/Ergonomia2/Contenidos/Prom </w:t>
        </w:r>
      </w:hyperlink>
      <w:r>
        <w:rPr>
          <w:color w:val="0000FF"/>
          <w:sz w:val="20"/>
          <w:u w:val="single" w:color="0000FF"/>
        </w:rPr>
        <w:t>ocionales/Generalidades/Qu%C3%A9%20es%20E </w:t>
      </w:r>
      <w:r>
        <w:rPr>
          <w:color w:val="0000FF"/>
          <w:sz w:val="20"/>
          <w:u w:val="single" w:color="0000FF"/>
        </w:rPr>
        <w:t>rgonom%C3%ADa.pdf</w:t>
      </w:r>
    </w:p>
    <w:p>
      <w:pPr>
        <w:pStyle w:val="ListParagraph"/>
        <w:numPr>
          <w:ilvl w:val="0"/>
          <w:numId w:val="24"/>
        </w:numPr>
        <w:tabs>
          <w:tab w:pos="979" w:val="left" w:leader="none"/>
          <w:tab w:pos="1408" w:val="left" w:leader="none"/>
          <w:tab w:pos="2635" w:val="left" w:leader="none"/>
          <w:tab w:pos="3053" w:val="left" w:leader="none"/>
          <w:tab w:pos="3973" w:val="left" w:leader="none"/>
          <w:tab w:pos="4947" w:val="left" w:leader="none"/>
        </w:tabs>
        <w:spacing w:line="240" w:lineRule="auto" w:before="0" w:after="0"/>
        <w:ind w:left="990" w:right="675" w:hanging="360"/>
        <w:jc w:val="left"/>
        <w:rPr>
          <w:sz w:val="20"/>
        </w:rPr>
      </w:pPr>
      <w:r>
        <w:rPr>
          <w:sz w:val="20"/>
        </w:rPr>
        <w:t>Instituto Nacional de Seguridad e Higiene en el Trabajo de España. (2011). </w:t>
      </w:r>
      <w:r>
        <w:rPr>
          <w:i/>
          <w:sz w:val="20"/>
        </w:rPr>
        <w:t>VII Encuesta Nacional </w:t>
      </w:r>
      <w:r>
        <w:rPr>
          <w:i/>
          <w:sz w:val="20"/>
        </w:rPr>
        <w:t>de</w:t>
        <w:tab/>
        <w:t>Condiciones</w:t>
        <w:tab/>
        <w:t>de</w:t>
        <w:tab/>
        <w:t>Trabajo.</w:t>
        <w:tab/>
      </w:r>
      <w:r>
        <w:rPr>
          <w:sz w:val="20"/>
        </w:rPr>
        <w:t>Obtenido</w:t>
        <w:tab/>
        <w:t>de </w:t>
      </w:r>
      <w:hyperlink r:id="rId393">
        <w:r>
          <w:rPr>
            <w:color w:val="0000FF"/>
            <w:spacing w:val="-1"/>
            <w:sz w:val="20"/>
            <w:u w:val="single" w:color="0000FF"/>
          </w:rPr>
          <w:t>http://www.oect.es/InshtWeb/Contenidos/Documen </w:t>
        </w:r>
      </w:hyperlink>
      <w:r>
        <w:rPr>
          <w:color w:val="0000FF"/>
          <w:sz w:val="20"/>
          <w:u w:val="single" w:color="0000FF"/>
        </w:rPr>
        <w:t>tacion/FICHAS%20DE%20PUBLICACIONES/E </w:t>
      </w:r>
      <w:r>
        <w:rPr>
          <w:color w:val="0000FF"/>
          <w:sz w:val="20"/>
          <w:u w:val="single" w:color="0000FF"/>
        </w:rPr>
        <w:t>N%20CATALOGO/OBSERVATORIO/Informe% </w:t>
      </w:r>
      <w:r>
        <w:rPr>
          <w:color w:val="0000FF"/>
          <w:sz w:val="20"/>
          <w:u w:val="single" w:color="0000FF"/>
        </w:rPr>
        <w:t>20%28VII%20ENCT%29.pdf</w:t>
      </w:r>
    </w:p>
    <w:p>
      <w:pPr>
        <w:pStyle w:val="ListParagraph"/>
        <w:numPr>
          <w:ilvl w:val="0"/>
          <w:numId w:val="24"/>
        </w:numPr>
        <w:tabs>
          <w:tab w:pos="979" w:val="left" w:leader="none"/>
          <w:tab w:pos="2244" w:val="left" w:leader="none"/>
          <w:tab w:pos="3431" w:val="left" w:leader="none"/>
          <w:tab w:pos="4947" w:val="left" w:leader="none"/>
        </w:tabs>
        <w:spacing w:line="240" w:lineRule="auto" w:before="0" w:after="0"/>
        <w:ind w:left="990" w:right="676" w:hanging="360"/>
        <w:jc w:val="both"/>
        <w:rPr>
          <w:sz w:val="20"/>
        </w:rPr>
      </w:pPr>
      <w:r>
        <w:rPr>
          <w:sz w:val="20"/>
        </w:rPr>
        <w:t>Isper, A.; Antoniuk, A.; Saliba, C.; Saliba, O. &amp; Coehlo, D. (2009). Prevalencia de sintomatología dolorosa recurrente del ejercicio profesional en cirujanos dentistas. </w:t>
      </w:r>
      <w:r>
        <w:rPr>
          <w:i/>
          <w:sz w:val="20"/>
        </w:rPr>
        <w:t>Acta Odontológica Venezolana, </w:t>
      </w:r>
      <w:r>
        <w:rPr>
          <w:i/>
          <w:sz w:val="20"/>
        </w:rPr>
        <w:t>47</w:t>
      </w:r>
      <w:r>
        <w:rPr>
          <w:sz w:val="20"/>
        </w:rPr>
        <w:t>(1),</w:t>
        <w:tab/>
        <w:t>1-10.</w:t>
        <w:tab/>
        <w:t>Obtenido</w:t>
        <w:tab/>
        <w:t>de</w:t>
      </w:r>
    </w:p>
    <w:p>
      <w:pPr>
        <w:spacing w:after="0" w:line="240" w:lineRule="auto"/>
        <w:jc w:val="both"/>
        <w:rPr>
          <w:sz w:val="20"/>
        </w:rPr>
        <w:sectPr>
          <w:type w:val="continuous"/>
          <w:pgSz w:w="12240" w:h="15840"/>
          <w:pgMar w:top="1500" w:bottom="280" w:left="580" w:right="220"/>
          <w:cols w:num="2" w:equalWidth="0">
            <w:col w:w="5190" w:space="435"/>
            <w:col w:w="5815"/>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line="230" w:lineRule="exact" w:before="74"/>
        <w:ind w:left="990" w:right="-2"/>
      </w:pPr>
      <w:hyperlink r:id="rId394">
        <w:r>
          <w:rPr>
            <w:color w:val="0000FF"/>
            <w:u w:val="single" w:color="0000FF"/>
          </w:rPr>
          <w:t>http://www.actaodontologica.com/ediciones/2009/1</w:t>
        </w:r>
      </w:hyperlink>
    </w:p>
    <w:p>
      <w:pPr>
        <w:pStyle w:val="BodyText"/>
        <w:ind w:left="990" w:right="37"/>
      </w:pPr>
      <w:r>
        <w:rPr>
          <w:color w:val="0000FF"/>
          <w:u w:val="single" w:color="0000FF"/>
        </w:rPr>
        <w:t>/pdf/prevalencia_sintomatologia_dolorosa_recurren te_cirujanos_dentistas.pdf</w:t>
      </w:r>
    </w:p>
    <w:p>
      <w:pPr>
        <w:pStyle w:val="ListParagraph"/>
        <w:numPr>
          <w:ilvl w:val="0"/>
          <w:numId w:val="24"/>
        </w:numPr>
        <w:tabs>
          <w:tab w:pos="979" w:val="left" w:leader="none"/>
        </w:tabs>
        <w:spacing w:line="240" w:lineRule="auto" w:before="0" w:after="0"/>
        <w:ind w:left="990" w:right="0" w:hanging="360"/>
        <w:jc w:val="both"/>
        <w:rPr>
          <w:sz w:val="20"/>
        </w:rPr>
      </w:pPr>
      <w:r>
        <w:rPr>
          <w:sz w:val="20"/>
        </w:rPr>
        <w:t>León, N. &amp; López, A. (2006). Lesiones músculo- esqueléticas en el personal odontológico. </w:t>
      </w:r>
      <w:r>
        <w:rPr>
          <w:i/>
          <w:sz w:val="20"/>
        </w:rPr>
        <w:t>Acta </w:t>
      </w:r>
      <w:r>
        <w:rPr>
          <w:i/>
          <w:sz w:val="20"/>
        </w:rPr>
        <w:t>odontológica de Venezuela,</w:t>
      </w:r>
      <w:r>
        <w:rPr>
          <w:i/>
          <w:spacing w:val="-18"/>
          <w:sz w:val="20"/>
        </w:rPr>
        <w:t> </w:t>
      </w:r>
      <w:r>
        <w:rPr>
          <w:i/>
          <w:sz w:val="20"/>
        </w:rPr>
        <w:t>44</w:t>
      </w:r>
      <w:r>
        <w:rPr>
          <w:sz w:val="20"/>
        </w:rPr>
        <w:t>(3).</w:t>
      </w:r>
    </w:p>
    <w:p>
      <w:pPr>
        <w:pStyle w:val="ListParagraph"/>
        <w:numPr>
          <w:ilvl w:val="0"/>
          <w:numId w:val="24"/>
        </w:numPr>
        <w:tabs>
          <w:tab w:pos="979" w:val="left" w:leader="none"/>
        </w:tabs>
        <w:spacing w:line="240" w:lineRule="auto" w:before="0" w:after="0"/>
        <w:ind w:left="990" w:right="0" w:hanging="360"/>
        <w:jc w:val="left"/>
        <w:rPr>
          <w:sz w:val="20"/>
        </w:rPr>
      </w:pPr>
      <w:r>
        <w:rPr>
          <w:sz w:val="20"/>
        </w:rPr>
        <w:t>López, M. &amp; Lojo, J. (Marzo de 2009). </w:t>
      </w:r>
      <w:r>
        <w:rPr>
          <w:i/>
          <w:sz w:val="20"/>
        </w:rPr>
        <w:t>Desórdenes </w:t>
      </w:r>
      <w:r>
        <w:rPr>
          <w:i/>
          <w:sz w:val="20"/>
        </w:rPr>
        <w:t>musculoesqueléticos y su relación con el ejercicio profesional en Odontología</w:t>
      </w:r>
      <w:r>
        <w:rPr>
          <w:sz w:val="20"/>
        </w:rPr>
        <w:t>. Obtenido de Gaceta Dental: </w:t>
      </w:r>
      <w:hyperlink r:id="rId395">
        <w:r>
          <w:rPr>
            <w:color w:val="0000FF"/>
            <w:sz w:val="20"/>
            <w:u w:val="single" w:color="0000FF"/>
          </w:rPr>
          <w:t>http://www.gacetadental.com/2009/03/desrdenes- </w:t>
        </w:r>
      </w:hyperlink>
      <w:r>
        <w:rPr>
          <w:color w:val="0000FF"/>
          <w:sz w:val="20"/>
          <w:u w:val="single" w:color="0000FF"/>
        </w:rPr>
        <w:t>musculoesquelticos-y-su-relacin-con-el-ejercicio- </w:t>
      </w:r>
      <w:r>
        <w:rPr>
          <w:color w:val="0000FF"/>
          <w:sz w:val="20"/>
          <w:u w:val="single" w:color="0000FF"/>
        </w:rPr>
        <w:t>profesional-en-odontologa-31350/</w:t>
      </w:r>
    </w:p>
    <w:p>
      <w:pPr>
        <w:pStyle w:val="ListParagraph"/>
        <w:numPr>
          <w:ilvl w:val="0"/>
          <w:numId w:val="24"/>
        </w:numPr>
        <w:tabs>
          <w:tab w:pos="979" w:val="left" w:leader="none"/>
        </w:tabs>
        <w:spacing w:line="240" w:lineRule="auto" w:before="0" w:after="0"/>
        <w:ind w:left="990" w:right="0" w:hanging="360"/>
        <w:jc w:val="both"/>
        <w:rPr>
          <w:sz w:val="20"/>
        </w:rPr>
      </w:pPr>
      <w:r>
        <w:rPr>
          <w:sz w:val="20"/>
        </w:rPr>
        <w:t>López, M. &amp; Lojo, J. (Junio de 2011). </w:t>
      </w:r>
      <w:r>
        <w:rPr>
          <w:i/>
          <w:sz w:val="20"/>
        </w:rPr>
        <w:t>Posturas </w:t>
      </w:r>
      <w:r>
        <w:rPr>
          <w:i/>
          <w:sz w:val="20"/>
        </w:rPr>
        <w:t>Inadecuadas del odontólogo. </w:t>
      </w:r>
      <w:r>
        <w:rPr>
          <w:sz w:val="20"/>
        </w:rPr>
        <w:t>. Obtenido de Desórdenes músculoesqueléticos y su relación con el ejercicio profesional en odontología: </w:t>
      </w:r>
      <w:hyperlink r:id="rId396">
        <w:r>
          <w:rPr>
            <w:color w:val="0000FF"/>
            <w:sz w:val="20"/>
            <w:u w:val="single" w:color="0000FF"/>
          </w:rPr>
          <w:t>http://practicasodontologicas.blogspot.com/2011/06</w:t>
        </w:r>
      </w:hyperlink>
    </w:p>
    <w:p>
      <w:pPr>
        <w:pStyle w:val="BodyText"/>
        <w:spacing w:line="229" w:lineRule="exact"/>
        <w:ind w:left="990" w:right="118"/>
      </w:pPr>
      <w:r>
        <w:rPr>
          <w:color w:val="0000FF"/>
          <w:u w:val="single" w:color="0000FF"/>
        </w:rPr>
        <w:t>/desordenes-musculoesqueleticos-y-su.html</w:t>
      </w:r>
    </w:p>
    <w:p>
      <w:pPr>
        <w:pStyle w:val="ListParagraph"/>
        <w:numPr>
          <w:ilvl w:val="0"/>
          <w:numId w:val="24"/>
        </w:numPr>
        <w:tabs>
          <w:tab w:pos="979" w:val="left" w:leader="none"/>
          <w:tab w:pos="2831" w:val="left" w:leader="none"/>
          <w:tab w:pos="4997" w:val="left" w:leader="none"/>
        </w:tabs>
        <w:spacing w:line="240" w:lineRule="auto" w:before="0" w:after="0"/>
        <w:ind w:left="990" w:right="0" w:hanging="360"/>
        <w:jc w:val="both"/>
        <w:rPr>
          <w:sz w:val="20"/>
        </w:rPr>
      </w:pPr>
      <w:r>
        <w:rPr>
          <w:sz w:val="20"/>
        </w:rPr>
        <w:t>Maco, M. (2009). </w:t>
      </w:r>
      <w:r>
        <w:rPr>
          <w:i/>
          <w:sz w:val="20"/>
        </w:rPr>
        <w:t>Dolor musculoesquelético </w:t>
      </w:r>
      <w:r>
        <w:rPr>
          <w:i/>
          <w:sz w:val="20"/>
        </w:rPr>
        <w:t>ocupacional en alumnos de postgrado de la Facultad de Odontología de la Universidad Nacional Mayor de San Marcos. </w:t>
      </w:r>
      <w:r>
        <w:rPr>
          <w:sz w:val="20"/>
        </w:rPr>
        <w:t>Tesis de grado: Universidad Nacional Mayor de San Marcos. Lima, Perú.</w:t>
        <w:tab/>
        <w:t>Obtenido</w:t>
        <w:tab/>
        <w:t>de </w:t>
      </w:r>
      <w:hyperlink r:id="rId397">
        <w:r>
          <w:rPr>
            <w:color w:val="0000FF"/>
            <w:sz w:val="20"/>
            <w:u w:val="single" w:color="0000FF"/>
          </w:rPr>
          <w:t>http://cybertesis.unmsm.edu.pe/bitstream/cybertesis</w:t>
        </w:r>
      </w:hyperlink>
    </w:p>
    <w:p>
      <w:pPr>
        <w:pStyle w:val="BodyText"/>
        <w:spacing w:line="230" w:lineRule="exact"/>
        <w:ind w:left="990" w:right="118"/>
      </w:pPr>
      <w:r>
        <w:rPr>
          <w:color w:val="0000FF"/>
          <w:u w:val="single" w:color="0000FF"/>
        </w:rPr>
        <w:t>/2213/1/maco_rm.pdf</w:t>
      </w:r>
    </w:p>
    <w:p>
      <w:pPr>
        <w:pStyle w:val="ListParagraph"/>
        <w:numPr>
          <w:ilvl w:val="0"/>
          <w:numId w:val="24"/>
        </w:numPr>
        <w:tabs>
          <w:tab w:pos="979" w:val="left" w:leader="none"/>
          <w:tab w:pos="2136" w:val="left" w:leader="none"/>
          <w:tab w:pos="2925" w:val="left" w:leader="none"/>
          <w:tab w:pos="3947" w:val="left" w:leader="none"/>
          <w:tab w:pos="4997" w:val="left" w:leader="none"/>
        </w:tabs>
        <w:spacing w:line="240" w:lineRule="auto" w:before="0" w:after="0"/>
        <w:ind w:left="990" w:right="0" w:hanging="360"/>
        <w:jc w:val="left"/>
        <w:rPr>
          <w:sz w:val="20"/>
        </w:rPr>
      </w:pPr>
      <w:r>
        <w:rPr>
          <w:sz w:val="20"/>
        </w:rPr>
        <w:t>Martínez, F.; Hernández, L.; García, J. &amp; Dufoo, M. (Julio-Agosto de 2003). Espasmo muscular del cuello en el esguince cervical y su correlación con la severidad de la lesión. </w:t>
      </w:r>
      <w:r>
        <w:rPr>
          <w:i/>
          <w:sz w:val="20"/>
        </w:rPr>
        <w:t>Acta Ortopédica </w:t>
      </w:r>
      <w:r>
        <w:rPr>
          <w:i/>
          <w:sz w:val="20"/>
        </w:rPr>
        <w:t>Mexicana,</w:t>
        <w:tab/>
        <w:t>17</w:t>
      </w:r>
      <w:r>
        <w:rPr>
          <w:sz w:val="20"/>
        </w:rPr>
        <w:t>(4),</w:t>
        <w:tab/>
        <w:t>173-178.</w:t>
        <w:tab/>
        <w:t>Obtenido</w:t>
        <w:tab/>
        <w:t>de </w:t>
      </w:r>
      <w:hyperlink r:id="rId398">
        <w:r>
          <w:rPr>
            <w:color w:val="0000FF"/>
            <w:sz w:val="20"/>
            <w:u w:val="single" w:color="0000FF"/>
          </w:rPr>
          <w:t>http://www.medigraphic.com/pdfs/ortope/or- </w:t>
        </w:r>
      </w:hyperlink>
      <w:r>
        <w:rPr>
          <w:color w:val="0000FF"/>
          <w:sz w:val="20"/>
          <w:u w:val="single" w:color="0000FF"/>
        </w:rPr>
        <w:t>2003/or034d.pdf</w:t>
      </w:r>
    </w:p>
    <w:p>
      <w:pPr>
        <w:pStyle w:val="ListParagraph"/>
        <w:numPr>
          <w:ilvl w:val="0"/>
          <w:numId w:val="24"/>
        </w:numPr>
        <w:tabs>
          <w:tab w:pos="979" w:val="left" w:leader="none"/>
        </w:tabs>
        <w:spacing w:line="240" w:lineRule="auto" w:before="0" w:after="0"/>
        <w:ind w:left="990" w:right="0" w:hanging="360"/>
        <w:jc w:val="both"/>
        <w:rPr>
          <w:sz w:val="20"/>
        </w:rPr>
      </w:pPr>
      <w:r>
        <w:rPr>
          <w:sz w:val="20"/>
        </w:rPr>
        <w:t>Martínez, J. et al. (Abril de 2012). Alteraciones osteo-musculares asociadas a factores físicos y ambientales en estudiantes de odontología. </w:t>
      </w:r>
      <w:r>
        <w:rPr>
          <w:i/>
          <w:sz w:val="20"/>
        </w:rPr>
        <w:t>Rev. </w:t>
      </w:r>
      <w:r>
        <w:rPr>
          <w:i/>
          <w:sz w:val="20"/>
        </w:rPr>
        <w:t>Bras. Epidemiol., 15</w:t>
      </w:r>
      <w:r>
        <w:rPr>
          <w:sz w:val="20"/>
        </w:rPr>
        <w:t>(4),</w:t>
      </w:r>
      <w:r>
        <w:rPr>
          <w:spacing w:val="-15"/>
          <w:sz w:val="20"/>
        </w:rPr>
        <w:t> </w:t>
      </w:r>
      <w:r>
        <w:rPr>
          <w:sz w:val="20"/>
        </w:rPr>
        <w:t>884-95.</w:t>
      </w:r>
    </w:p>
    <w:p>
      <w:pPr>
        <w:pStyle w:val="ListParagraph"/>
        <w:numPr>
          <w:ilvl w:val="0"/>
          <w:numId w:val="24"/>
        </w:numPr>
        <w:tabs>
          <w:tab w:pos="979" w:val="left" w:leader="none"/>
        </w:tabs>
        <w:spacing w:line="240" w:lineRule="auto" w:before="0" w:after="0"/>
        <w:ind w:left="990" w:right="0" w:hanging="360"/>
        <w:jc w:val="both"/>
        <w:rPr>
          <w:sz w:val="20"/>
        </w:rPr>
      </w:pPr>
      <w:r>
        <w:rPr>
          <w:sz w:val="20"/>
        </w:rPr>
        <w:t>Ministerio de Gobierno de Colombia. (1994). </w:t>
      </w:r>
      <w:r>
        <w:rPr>
          <w:i/>
          <w:sz w:val="20"/>
        </w:rPr>
        <w:t>Decreto 1295 de Junio 22. Por el cual se determina </w:t>
      </w:r>
      <w:r>
        <w:rPr>
          <w:i/>
          <w:sz w:val="20"/>
        </w:rPr>
        <w:t>la organización y administración del Sistema General de Riesgos Profesionales. </w:t>
      </w:r>
      <w:r>
        <w:rPr>
          <w:sz w:val="20"/>
        </w:rPr>
        <w:t>Bogotá, D. C.: Diario Oficial 41405. Obtenido de </w:t>
      </w:r>
      <w:hyperlink r:id="rId399">
        <w:r>
          <w:rPr>
            <w:color w:val="0000FF"/>
            <w:sz w:val="20"/>
            <w:u w:val="single" w:color="0000FF"/>
          </w:rPr>
          <w:t>http://www.alcaldiabogota.gov.co/sisjur/normas/No </w:t>
        </w:r>
      </w:hyperlink>
      <w:r>
        <w:rPr>
          <w:color w:val="0000FF"/>
          <w:sz w:val="20"/>
          <w:u w:val="single" w:color="0000FF"/>
        </w:rPr>
        <w:t>rma1.jsp?i=2629</w:t>
      </w:r>
    </w:p>
    <w:p>
      <w:pPr>
        <w:pStyle w:val="ListParagraph"/>
        <w:numPr>
          <w:ilvl w:val="0"/>
          <w:numId w:val="24"/>
        </w:numPr>
        <w:tabs>
          <w:tab w:pos="979" w:val="left" w:leader="none"/>
          <w:tab w:pos="4997" w:val="left" w:leader="none"/>
        </w:tabs>
        <w:spacing w:line="240" w:lineRule="auto" w:before="0" w:after="0"/>
        <w:ind w:left="990" w:right="1" w:hanging="360"/>
        <w:jc w:val="both"/>
        <w:rPr>
          <w:sz w:val="20"/>
        </w:rPr>
      </w:pPr>
      <w:r>
        <w:rPr>
          <w:sz w:val="20"/>
        </w:rPr>
        <w:t>Ministerio de la Protección Social de Colombia. (Diciembre de 2006). </w:t>
      </w:r>
      <w:r>
        <w:rPr>
          <w:i/>
          <w:sz w:val="20"/>
        </w:rPr>
        <w:t>Guía de Atención Integral </w:t>
      </w:r>
      <w:r>
        <w:rPr>
          <w:i/>
          <w:sz w:val="20"/>
        </w:rPr>
        <w:t>Basada en la Evidencia para Dolor lumbar inespecífico y enfermedad discal relacionados con la manipulación manual de cargas y otros factores de riesgo en el lugar de trabajo (GATI-DLI-ED)</w:t>
      </w:r>
      <w:r>
        <w:rPr>
          <w:sz w:val="20"/>
        </w:rPr>
        <w:t>. Obtenido</w:t>
        <w:tab/>
        <w:t>de</w:t>
      </w:r>
    </w:p>
    <w:p>
      <w:pPr>
        <w:pStyle w:val="BodyText"/>
        <w:spacing w:line="229" w:lineRule="exact"/>
        <w:ind w:left="990" w:right="118"/>
      </w:pPr>
      <w:hyperlink r:id="rId400">
        <w:r>
          <w:rPr>
            <w:color w:val="0000FF"/>
            <w:u w:val="single" w:color="0000FF"/>
          </w:rPr>
          <w:t>http://www.susalud.com/guias/dolor_lumbar.pdf</w:t>
        </w:r>
      </w:hyperlink>
    </w:p>
    <w:p>
      <w:pPr>
        <w:pStyle w:val="ListParagraph"/>
        <w:numPr>
          <w:ilvl w:val="0"/>
          <w:numId w:val="24"/>
        </w:numPr>
        <w:tabs>
          <w:tab w:pos="979" w:val="left" w:leader="none"/>
        </w:tabs>
        <w:spacing w:line="240" w:lineRule="auto" w:before="0" w:after="0"/>
        <w:ind w:left="990" w:right="0" w:hanging="360"/>
        <w:jc w:val="both"/>
        <w:rPr>
          <w:sz w:val="20"/>
        </w:rPr>
      </w:pPr>
      <w:r>
        <w:rPr>
          <w:sz w:val="20"/>
        </w:rPr>
        <w:t>Ministerio de la Protección Social de Colombia. (2007). </w:t>
      </w:r>
      <w:r>
        <w:rPr>
          <w:i/>
          <w:sz w:val="20"/>
        </w:rPr>
        <w:t>Guía de Atención Integral de Salud </w:t>
      </w:r>
      <w:r>
        <w:rPr>
          <w:i/>
          <w:sz w:val="20"/>
        </w:rPr>
        <w:t>Ocupacional Basada en la Evidencia para Hombro Doloroso Relacionado con Factores de Riesgo en el Trabajo.    </w:t>
      </w:r>
      <w:r>
        <w:rPr>
          <w:sz w:val="20"/>
        </w:rPr>
        <w:t>Bogotá,    D.    C.:    Imprenta </w:t>
      </w:r>
      <w:r>
        <w:rPr>
          <w:spacing w:val="39"/>
          <w:sz w:val="20"/>
        </w:rPr>
        <w:t> </w:t>
      </w:r>
      <w:r>
        <w:rPr>
          <w:sz w:val="20"/>
        </w:rPr>
        <w:t>Nacional.</w:t>
      </w:r>
    </w:p>
    <w:p>
      <w:pPr>
        <w:pStyle w:val="BodyText"/>
        <w:tabs>
          <w:tab w:pos="4947" w:val="left" w:leader="none"/>
        </w:tabs>
        <w:spacing w:line="230" w:lineRule="exact" w:before="74"/>
        <w:ind w:left="990"/>
        <w:jc w:val="both"/>
      </w:pPr>
      <w:r>
        <w:rPr/>
        <w:br w:type="column"/>
      </w:r>
      <w:r>
        <w:rPr/>
        <w:t>Obtenido</w:t>
        <w:tab/>
        <w:t>de</w:t>
      </w:r>
    </w:p>
    <w:p>
      <w:pPr>
        <w:pStyle w:val="BodyText"/>
        <w:ind w:left="990" w:right="748"/>
        <w:jc w:val="both"/>
      </w:pPr>
      <w:hyperlink r:id="rId401">
        <w:r>
          <w:rPr>
            <w:color w:val="0000FF"/>
            <w:u w:val="single" w:color="0000FF"/>
          </w:rPr>
          <w:t>http://www.oiss.org/estrategia/IMG/pdf/100327_G</w:t>
        </w:r>
      </w:hyperlink>
      <w:r>
        <w:rPr>
          <w:color w:val="0000FF"/>
          <w:u w:val="single" w:color="0000FF"/>
        </w:rPr>
        <w:t> atiso1_Hombro.pdf</w:t>
      </w:r>
    </w:p>
    <w:p>
      <w:pPr>
        <w:pStyle w:val="ListParagraph"/>
        <w:numPr>
          <w:ilvl w:val="0"/>
          <w:numId w:val="24"/>
        </w:numPr>
        <w:tabs>
          <w:tab w:pos="979" w:val="left" w:leader="none"/>
        </w:tabs>
        <w:spacing w:line="240" w:lineRule="auto" w:before="0" w:after="0"/>
        <w:ind w:left="990" w:right="677" w:hanging="360"/>
        <w:jc w:val="both"/>
        <w:rPr>
          <w:sz w:val="20"/>
        </w:rPr>
      </w:pPr>
      <w:r>
        <w:rPr>
          <w:sz w:val="20"/>
        </w:rPr>
        <w:t>Ministerio de la Protección Social de Colombia. (2011). </w:t>
      </w:r>
      <w:r>
        <w:rPr>
          <w:i/>
          <w:sz w:val="20"/>
        </w:rPr>
        <w:t>Guía técnica para el análisis de exposición </w:t>
      </w:r>
      <w:r>
        <w:rPr>
          <w:i/>
          <w:sz w:val="20"/>
        </w:rPr>
        <w:t>a factores de riesgo ocupacional para el  proceso de evalaución en la calificación de origen de enfermedad. </w:t>
      </w:r>
      <w:r>
        <w:rPr>
          <w:sz w:val="20"/>
        </w:rPr>
        <w:t>Bogotá, D.</w:t>
      </w:r>
      <w:r>
        <w:rPr>
          <w:spacing w:val="-3"/>
          <w:sz w:val="20"/>
        </w:rPr>
        <w:t> </w:t>
      </w:r>
      <w:r>
        <w:rPr>
          <w:sz w:val="20"/>
        </w:rPr>
        <w:t>C.:</w:t>
      </w:r>
    </w:p>
    <w:p>
      <w:pPr>
        <w:pStyle w:val="ListParagraph"/>
        <w:numPr>
          <w:ilvl w:val="0"/>
          <w:numId w:val="24"/>
        </w:numPr>
        <w:tabs>
          <w:tab w:pos="979" w:val="left" w:leader="none"/>
          <w:tab w:pos="3038" w:val="left" w:leader="none"/>
          <w:tab w:pos="4945" w:val="left" w:leader="none"/>
        </w:tabs>
        <w:spacing w:line="240" w:lineRule="auto" w:before="0" w:after="0"/>
        <w:ind w:left="990" w:right="675" w:hanging="360"/>
        <w:jc w:val="both"/>
        <w:rPr>
          <w:sz w:val="20"/>
        </w:rPr>
      </w:pPr>
      <w:r>
        <w:rPr>
          <w:sz w:val="20"/>
        </w:rPr>
        <w:t>Ministerio de Protección Social. (2007). </w:t>
      </w:r>
      <w:r>
        <w:rPr>
          <w:i/>
          <w:sz w:val="20"/>
        </w:rPr>
        <w:t>Resolución </w:t>
      </w:r>
      <w:r>
        <w:rPr>
          <w:i/>
          <w:sz w:val="20"/>
        </w:rPr>
        <w:t>2844 de Agosto 16. Por la cual se adoptan las Guías de Atención integral de salud ocupacional basadas en la evidencia. </w:t>
      </w:r>
      <w:r>
        <w:rPr>
          <w:sz w:val="20"/>
        </w:rPr>
        <w:t>Bogotá, D. C.: El Ministerio.</w:t>
        <w:tab/>
        <w:t>Obtenido</w:t>
        <w:tab/>
        <w:t>de </w:t>
      </w:r>
      <w:hyperlink r:id="rId402">
        <w:r>
          <w:rPr>
            <w:color w:val="0000FF"/>
            <w:sz w:val="20"/>
            <w:u w:val="single" w:color="0000FF"/>
          </w:rPr>
          <w:t>http://copaso.upbbga.edu.co/legislacion/resolucion</w:t>
        </w:r>
      </w:hyperlink>
    </w:p>
    <w:p>
      <w:pPr>
        <w:pStyle w:val="BodyText"/>
        <w:spacing w:line="230" w:lineRule="exact"/>
        <w:ind w:left="990"/>
        <w:jc w:val="both"/>
      </w:pPr>
      <w:r>
        <w:rPr>
          <w:color w:val="0000FF"/>
          <w:u w:val="single" w:color="0000FF"/>
        </w:rPr>
        <w:t>_2844_colombia.pdf</w:t>
      </w:r>
    </w:p>
    <w:p>
      <w:pPr>
        <w:pStyle w:val="ListParagraph"/>
        <w:numPr>
          <w:ilvl w:val="0"/>
          <w:numId w:val="24"/>
        </w:numPr>
        <w:tabs>
          <w:tab w:pos="979" w:val="left" w:leader="none"/>
        </w:tabs>
        <w:spacing w:line="240" w:lineRule="auto" w:before="0" w:after="0"/>
        <w:ind w:left="990" w:right="675" w:hanging="360"/>
        <w:jc w:val="both"/>
        <w:rPr>
          <w:sz w:val="20"/>
        </w:rPr>
      </w:pPr>
      <w:r>
        <w:rPr>
          <w:sz w:val="20"/>
        </w:rPr>
        <w:t>Ministerio de Salud. (1993). </w:t>
      </w:r>
      <w:r>
        <w:rPr>
          <w:i/>
          <w:sz w:val="20"/>
        </w:rPr>
        <w:t>Resolución 8430 de </w:t>
      </w:r>
      <w:r>
        <w:rPr>
          <w:i/>
          <w:sz w:val="20"/>
        </w:rPr>
        <w:t>Octubre 4. Por la cual se establecen las normas científicas, técnicas y administrativas para la investigación en salud. </w:t>
      </w:r>
      <w:r>
        <w:rPr>
          <w:sz w:val="20"/>
        </w:rPr>
        <w:t>Bogotá, D. C. Obtenido de </w:t>
      </w:r>
      <w:hyperlink r:id="rId403">
        <w:r>
          <w:rPr>
            <w:color w:val="0000FF"/>
            <w:sz w:val="20"/>
            <w:u w:val="single" w:color="0000FF"/>
          </w:rPr>
          <w:t>http://www.urosario.edu.co/urosario_files/a2/a24fb </w:t>
        </w:r>
      </w:hyperlink>
      <w:r>
        <w:rPr>
          <w:color w:val="0000FF"/>
          <w:sz w:val="20"/>
          <w:u w:val="single" w:color="0000FF"/>
        </w:rPr>
        <w:t>07a-f561-4fcc-b611-affff4374bb7.pdf</w:t>
      </w:r>
    </w:p>
    <w:p>
      <w:pPr>
        <w:pStyle w:val="ListParagraph"/>
        <w:numPr>
          <w:ilvl w:val="0"/>
          <w:numId w:val="24"/>
        </w:numPr>
        <w:tabs>
          <w:tab w:pos="979" w:val="left" w:leader="none"/>
          <w:tab w:pos="4947" w:val="left" w:leader="none"/>
        </w:tabs>
        <w:spacing w:line="240" w:lineRule="auto" w:before="0" w:after="0"/>
        <w:ind w:left="990" w:right="676" w:hanging="360"/>
        <w:jc w:val="both"/>
        <w:rPr>
          <w:sz w:val="20"/>
        </w:rPr>
      </w:pPr>
      <w:r>
        <w:rPr>
          <w:sz w:val="20"/>
        </w:rPr>
        <w:t>Ministerio de Salud Gobierno de Chile. (2012). </w:t>
      </w:r>
      <w:r>
        <w:rPr>
          <w:i/>
          <w:sz w:val="20"/>
        </w:rPr>
        <w:t>Protocolo de vigilancia para trabajadores </w:t>
      </w:r>
      <w:r>
        <w:rPr>
          <w:i/>
          <w:sz w:val="20"/>
        </w:rPr>
        <w:t>expuestos a factores de riesgo de trastornos musculoesqueléticos de extremidades superiores relacionados con el trabajo. </w:t>
      </w:r>
      <w:r>
        <w:rPr>
          <w:sz w:val="20"/>
        </w:rPr>
        <w:t>Santiago de Chile. Obtenido</w:t>
        <w:tab/>
        <w:t>de</w:t>
      </w:r>
    </w:p>
    <w:p>
      <w:pPr>
        <w:pStyle w:val="BodyText"/>
        <w:ind w:left="990" w:right="689"/>
        <w:jc w:val="both"/>
      </w:pPr>
      <w:hyperlink r:id="rId404">
        <w:r>
          <w:rPr>
            <w:color w:val="0000FF"/>
            <w:u w:val="single" w:color="0000FF"/>
          </w:rPr>
          <w:t>http://web.minsal.cl/portal/url/item/dbd6275dd3c8a</w:t>
        </w:r>
      </w:hyperlink>
      <w:r>
        <w:rPr>
          <w:color w:val="0000FF"/>
          <w:u w:val="single" w:color="0000FF"/>
        </w:rPr>
        <w:t> 29de040010164011886.pdf</w:t>
      </w:r>
    </w:p>
    <w:p>
      <w:pPr>
        <w:pStyle w:val="ListParagraph"/>
        <w:numPr>
          <w:ilvl w:val="0"/>
          <w:numId w:val="24"/>
        </w:numPr>
        <w:tabs>
          <w:tab w:pos="979" w:val="left" w:leader="none"/>
          <w:tab w:pos="4947" w:val="left" w:leader="none"/>
        </w:tabs>
        <w:spacing w:line="240" w:lineRule="auto" w:before="0" w:after="0"/>
        <w:ind w:left="990" w:right="675" w:hanging="360"/>
        <w:jc w:val="both"/>
        <w:rPr>
          <w:sz w:val="20"/>
        </w:rPr>
      </w:pPr>
      <w:r>
        <w:rPr>
          <w:sz w:val="20"/>
        </w:rPr>
        <w:t>Ministerio de Trabajo y Seguridad Social de Colombia. (1979). </w:t>
      </w:r>
      <w:r>
        <w:rPr>
          <w:i/>
          <w:sz w:val="20"/>
        </w:rPr>
        <w:t>Resolución 2400 de mayo 22. </w:t>
      </w:r>
      <w:r>
        <w:rPr>
          <w:i/>
          <w:sz w:val="20"/>
        </w:rPr>
        <w:t>Por la cual se establecen algunas disposiciones sobre vivienda, higiene y seguridad en los establecimientos de trabajo. </w:t>
      </w:r>
      <w:r>
        <w:rPr>
          <w:sz w:val="20"/>
        </w:rPr>
        <w:t>Bogotá, D. C. Obtenido</w:t>
        <w:tab/>
        <w:t>de</w:t>
      </w:r>
    </w:p>
    <w:p>
      <w:pPr>
        <w:pStyle w:val="BodyText"/>
        <w:spacing w:line="229" w:lineRule="exact"/>
        <w:ind w:left="990"/>
        <w:jc w:val="both"/>
      </w:pPr>
      <w:hyperlink r:id="rId405">
        <w:r>
          <w:rPr>
            <w:color w:val="0000FF"/>
            <w:u w:val="single" w:color="0000FF"/>
          </w:rPr>
          <w:t>http://www.ilo.org/dyn/travail/docs/1509/industrial</w:t>
        </w:r>
      </w:hyperlink>
    </w:p>
    <w:p>
      <w:pPr>
        <w:pStyle w:val="BodyText"/>
        <w:ind w:left="990"/>
        <w:jc w:val="both"/>
      </w:pPr>
      <w:r>
        <w:rPr>
          <w:color w:val="0000FF"/>
          <w:u w:val="single" w:color="0000FF"/>
        </w:rPr>
        <w:t>%20safety%20statute.pdf</w:t>
      </w:r>
    </w:p>
    <w:p>
      <w:pPr>
        <w:pStyle w:val="ListParagraph"/>
        <w:numPr>
          <w:ilvl w:val="0"/>
          <w:numId w:val="24"/>
        </w:numPr>
        <w:tabs>
          <w:tab w:pos="979" w:val="left" w:leader="none"/>
          <w:tab w:pos="1408" w:val="left" w:leader="none"/>
          <w:tab w:pos="2013" w:val="left" w:leader="none"/>
          <w:tab w:pos="2441" w:val="left" w:leader="none"/>
          <w:tab w:pos="3612" w:val="left" w:leader="none"/>
          <w:tab w:pos="4029" w:val="left" w:leader="none"/>
        </w:tabs>
        <w:spacing w:line="240" w:lineRule="auto" w:before="0" w:after="0"/>
        <w:ind w:left="990" w:right="675" w:hanging="360"/>
        <w:jc w:val="left"/>
        <w:rPr>
          <w:sz w:val="20"/>
        </w:rPr>
      </w:pPr>
      <w:r>
        <w:rPr>
          <w:sz w:val="20"/>
        </w:rPr>
        <w:t>Ministerios de Trabajo y de Seguridad Social y de Salud. (1989). </w:t>
      </w:r>
      <w:r>
        <w:rPr>
          <w:i/>
          <w:sz w:val="20"/>
        </w:rPr>
        <w:t>Resolución 1016 de Marzo 31. Por </w:t>
      </w:r>
      <w:r>
        <w:rPr>
          <w:i/>
          <w:sz w:val="20"/>
        </w:rPr>
        <w:t>la</w:t>
        <w:tab/>
        <w:t>cual</w:t>
        <w:tab/>
        <w:t>se</w:t>
        <w:tab/>
        <w:t>reglamenta</w:t>
        <w:tab/>
        <w:t>la</w:t>
        <w:tab/>
      </w:r>
      <w:r>
        <w:rPr>
          <w:i/>
          <w:spacing w:val="-1"/>
          <w:sz w:val="20"/>
        </w:rPr>
        <w:t>organización, </w:t>
      </w:r>
      <w:r>
        <w:rPr>
          <w:i/>
          <w:sz w:val="20"/>
        </w:rPr>
        <w:t>funcionamiento y forma de los Programas de Salud Ocupacional que deben desarrollar los patronos o empleadores en el pais. </w:t>
      </w:r>
      <w:r>
        <w:rPr>
          <w:sz w:val="20"/>
        </w:rPr>
        <w:t>Bogotá, D. C. Obtenido de </w:t>
      </w:r>
      <w:hyperlink r:id="rId406">
        <w:r>
          <w:rPr>
            <w:color w:val="0000FF"/>
            <w:sz w:val="20"/>
            <w:u w:val="single" w:color="0000FF"/>
          </w:rPr>
          <w:t>http://www.alcaldiabogota.gov.co/sisjur/normas/N </w:t>
        </w:r>
      </w:hyperlink>
      <w:r>
        <w:rPr>
          <w:color w:val="0000FF"/>
          <w:sz w:val="20"/>
          <w:u w:val="single" w:color="0000FF"/>
        </w:rPr>
        <w:t>orma1.jsp?i=5412</w:t>
      </w:r>
    </w:p>
    <w:p>
      <w:pPr>
        <w:pStyle w:val="ListParagraph"/>
        <w:numPr>
          <w:ilvl w:val="0"/>
          <w:numId w:val="24"/>
        </w:numPr>
        <w:tabs>
          <w:tab w:pos="979" w:val="left" w:leader="none"/>
        </w:tabs>
        <w:spacing w:line="240" w:lineRule="auto" w:before="0" w:after="0"/>
        <w:ind w:left="990" w:right="677" w:hanging="360"/>
        <w:jc w:val="both"/>
        <w:rPr>
          <w:sz w:val="20"/>
        </w:rPr>
      </w:pPr>
      <w:r>
        <w:rPr>
          <w:sz w:val="20"/>
        </w:rPr>
        <w:t>Moore, K. &amp; Dalley, A. (2008). </w:t>
      </w:r>
      <w:r>
        <w:rPr>
          <w:i/>
          <w:sz w:val="20"/>
        </w:rPr>
        <w:t>Anatomía con </w:t>
      </w:r>
      <w:r>
        <w:rPr>
          <w:i/>
          <w:sz w:val="20"/>
        </w:rPr>
        <w:t>orientación clínica </w:t>
      </w:r>
      <w:r>
        <w:rPr>
          <w:sz w:val="20"/>
        </w:rPr>
        <w:t>(Quinta ed.). Bogotá, D. C.: Médica</w:t>
      </w:r>
      <w:r>
        <w:rPr>
          <w:spacing w:val="-16"/>
          <w:sz w:val="20"/>
        </w:rPr>
        <w:t> </w:t>
      </w:r>
      <w:r>
        <w:rPr>
          <w:sz w:val="20"/>
        </w:rPr>
        <w:t>Panamericana.</w:t>
      </w:r>
    </w:p>
    <w:p>
      <w:pPr>
        <w:pStyle w:val="ListParagraph"/>
        <w:numPr>
          <w:ilvl w:val="0"/>
          <w:numId w:val="24"/>
        </w:numPr>
        <w:tabs>
          <w:tab w:pos="979" w:val="left" w:leader="none"/>
        </w:tabs>
        <w:spacing w:line="240" w:lineRule="auto" w:before="0" w:after="0"/>
        <w:ind w:left="990" w:right="674" w:hanging="360"/>
        <w:jc w:val="both"/>
        <w:rPr>
          <w:sz w:val="20"/>
        </w:rPr>
      </w:pPr>
      <w:r>
        <w:rPr>
          <w:sz w:val="20"/>
        </w:rPr>
        <w:t>Mora, L. (2014). </w:t>
      </w:r>
      <w:r>
        <w:rPr>
          <w:i/>
          <w:sz w:val="20"/>
        </w:rPr>
        <w:t>Caracterización de los factores de </w:t>
      </w:r>
      <w:r>
        <w:rPr>
          <w:i/>
          <w:sz w:val="20"/>
        </w:rPr>
        <w:t>riesgo de desorden musculoesquelético asociados a las condiciones de la tarea. Caso: clínica odontológica adulto I. </w:t>
      </w:r>
      <w:r>
        <w:rPr>
          <w:sz w:val="20"/>
        </w:rPr>
        <w:t>Tesis de  Maestría. </w:t>
      </w:r>
      <w:r>
        <w:rPr>
          <w:spacing w:val="45"/>
          <w:sz w:val="20"/>
        </w:rPr>
        <w:t> </w:t>
      </w:r>
      <w:r>
        <w:rPr>
          <w:sz w:val="20"/>
        </w:rPr>
        <w:t>Bogotá,</w:t>
      </w:r>
    </w:p>
    <w:p>
      <w:pPr>
        <w:pStyle w:val="BodyText"/>
        <w:ind w:left="990" w:right="676"/>
        <w:jc w:val="both"/>
      </w:pPr>
      <w:r>
        <w:rPr/>
        <w:t>D. C.: Universidad Nacional de Colombia.  Facultad de Enfermería. Obtenido de </w:t>
      </w:r>
      <w:hyperlink r:id="rId407">
        <w:r>
          <w:rPr>
            <w:color w:val="0000FF"/>
            <w:u w:val="single" w:color="0000FF"/>
          </w:rPr>
          <w:t>http://www.bdigital.unal.edu.co/40222/1/51934127</w:t>
        </w:r>
      </w:hyperlink>
    </w:p>
    <w:p>
      <w:pPr>
        <w:pStyle w:val="BodyText"/>
        <w:spacing w:line="229" w:lineRule="exact"/>
        <w:ind w:left="990"/>
        <w:jc w:val="both"/>
      </w:pPr>
      <w:r>
        <w:rPr>
          <w:color w:val="0000FF"/>
          <w:u w:val="single" w:color="0000FF"/>
        </w:rPr>
        <w:t>.2014.pdf</w:t>
      </w:r>
    </w:p>
    <w:p>
      <w:pPr>
        <w:pStyle w:val="ListParagraph"/>
        <w:numPr>
          <w:ilvl w:val="0"/>
          <w:numId w:val="24"/>
        </w:numPr>
        <w:tabs>
          <w:tab w:pos="979" w:val="left" w:leader="none"/>
        </w:tabs>
        <w:spacing w:line="240" w:lineRule="auto" w:before="0" w:after="0"/>
        <w:ind w:left="990" w:right="675" w:hanging="360"/>
        <w:jc w:val="both"/>
        <w:rPr>
          <w:i/>
          <w:sz w:val="20"/>
        </w:rPr>
      </w:pPr>
      <w:r>
        <w:rPr>
          <w:sz w:val="20"/>
        </w:rPr>
        <w:t>Ocampo, N. (2012). </w:t>
      </w:r>
      <w:r>
        <w:rPr>
          <w:i/>
          <w:sz w:val="20"/>
        </w:rPr>
        <w:t>Riesgo ergonómico en </w:t>
      </w:r>
      <w:r>
        <w:rPr>
          <w:i/>
          <w:sz w:val="20"/>
        </w:rPr>
        <w:t>estudiantes  de  odontología  de  la  Universidad</w:t>
      </w:r>
      <w:r>
        <w:rPr>
          <w:i/>
          <w:spacing w:val="5"/>
          <w:sz w:val="20"/>
        </w:rPr>
        <w:t> </w:t>
      </w:r>
      <w:r>
        <w:rPr>
          <w:i/>
          <w:sz w:val="20"/>
        </w:rPr>
        <w:t>de</w:t>
      </w:r>
    </w:p>
    <w:p>
      <w:pPr>
        <w:spacing w:after="0" w:line="240" w:lineRule="auto"/>
        <w:jc w:val="both"/>
        <w:rPr>
          <w:sz w:val="20"/>
        </w:rPr>
        <w:sectPr>
          <w:type w:val="continuous"/>
          <w:pgSz w:w="12240" w:h="15840"/>
          <w:pgMar w:top="1500" w:bottom="280" w:left="580" w:right="220"/>
          <w:cols w:num="2" w:equalWidth="0">
            <w:col w:w="5190" w:space="434"/>
            <w:col w:w="5816"/>
          </w:cols>
        </w:sectPr>
      </w:pPr>
    </w:p>
    <w:p>
      <w:pPr>
        <w:pStyle w:val="BodyText"/>
        <w:spacing w:before="4"/>
        <w:rPr>
          <w:i/>
          <w:sz w:val="11"/>
        </w:rPr>
      </w:pPr>
    </w:p>
    <w:p>
      <w:pPr>
        <w:spacing w:after="0"/>
        <w:rPr>
          <w:sz w:val="11"/>
        </w:rPr>
        <w:sectPr>
          <w:pgSz w:w="12240" w:h="15840"/>
          <w:pgMar w:header="545" w:footer="852" w:top="1060" w:bottom="1040" w:left="580" w:right="220"/>
        </w:sectPr>
      </w:pPr>
    </w:p>
    <w:p>
      <w:pPr>
        <w:pStyle w:val="BodyText"/>
        <w:spacing w:before="74"/>
        <w:ind w:left="990" w:right="-2"/>
      </w:pPr>
      <w:r>
        <w:rPr>
          <w:i/>
        </w:rPr>
        <w:t>Antioquia, Colombia. </w:t>
      </w:r>
      <w:r>
        <w:rPr/>
        <w:t>Máster en Salud Laboral. Antioquia: Universidad Pompeu Fabra. Obtenido de </w:t>
      </w:r>
      <w:hyperlink r:id="rId408">
        <w:r>
          <w:rPr>
            <w:color w:val="0000FF"/>
            <w:u w:val="single" w:color="0000FF"/>
          </w:rPr>
          <w:t>http://www.upf.edu/cisal/_pdf/TFM_Nathalia_Oca</w:t>
        </w:r>
      </w:hyperlink>
      <w:r>
        <w:rPr>
          <w:color w:val="0000FF"/>
          <w:u w:val="single" w:color="0000FF"/>
        </w:rPr>
        <w:t> mpo.pdf</w:t>
      </w:r>
    </w:p>
    <w:p>
      <w:pPr>
        <w:pStyle w:val="ListParagraph"/>
        <w:numPr>
          <w:ilvl w:val="0"/>
          <w:numId w:val="24"/>
        </w:numPr>
        <w:tabs>
          <w:tab w:pos="979" w:val="left" w:leader="none"/>
          <w:tab w:pos="2863" w:val="left" w:leader="none"/>
          <w:tab w:pos="4997" w:val="left" w:leader="none"/>
        </w:tabs>
        <w:spacing w:line="240" w:lineRule="auto" w:before="0" w:after="0"/>
        <w:ind w:left="990" w:right="1" w:hanging="360"/>
        <w:jc w:val="both"/>
        <w:rPr>
          <w:sz w:val="20"/>
        </w:rPr>
      </w:pPr>
      <w:r>
        <w:rPr>
          <w:sz w:val="20"/>
        </w:rPr>
        <w:t>OdontoDesign. (Julio de 2012). </w:t>
      </w:r>
      <w:r>
        <w:rPr>
          <w:i/>
          <w:sz w:val="20"/>
        </w:rPr>
        <w:t>Cuando el diseño es </w:t>
      </w:r>
      <w:r>
        <w:rPr>
          <w:i/>
          <w:sz w:val="20"/>
        </w:rPr>
        <w:t>salud</w:t>
      </w:r>
      <w:r>
        <w:rPr>
          <w:sz w:val="20"/>
        </w:rPr>
        <w:t>.</w:t>
        <w:tab/>
        <w:t>Obtenido</w:t>
        <w:tab/>
        <w:t>de </w:t>
      </w:r>
      <w:hyperlink r:id="rId409">
        <w:r>
          <w:rPr>
            <w:color w:val="0000FF"/>
            <w:sz w:val="20"/>
            <w:u w:val="single" w:color="0000FF"/>
          </w:rPr>
          <w:t>http://designdental.wordpress.com/1079-2/</w:t>
        </w:r>
      </w:hyperlink>
    </w:p>
    <w:p>
      <w:pPr>
        <w:pStyle w:val="ListParagraph"/>
        <w:numPr>
          <w:ilvl w:val="0"/>
          <w:numId w:val="24"/>
        </w:numPr>
        <w:tabs>
          <w:tab w:pos="979" w:val="left" w:leader="none"/>
        </w:tabs>
        <w:spacing w:line="240" w:lineRule="auto" w:before="0" w:after="0"/>
        <w:ind w:left="990" w:right="0" w:hanging="360"/>
        <w:jc w:val="both"/>
        <w:rPr>
          <w:sz w:val="20"/>
        </w:rPr>
      </w:pPr>
      <w:r>
        <w:rPr>
          <w:sz w:val="20"/>
        </w:rPr>
        <w:t>Palma, A. &amp; Sánchez, F. (2007). </w:t>
      </w:r>
      <w:r>
        <w:rPr>
          <w:i/>
          <w:sz w:val="20"/>
        </w:rPr>
        <w:t>Técnicas de ayuda </w:t>
      </w:r>
      <w:r>
        <w:rPr>
          <w:i/>
          <w:sz w:val="20"/>
        </w:rPr>
        <w:t>odontológica y estomatológica. </w:t>
      </w:r>
      <w:r>
        <w:rPr>
          <w:sz w:val="20"/>
        </w:rPr>
        <w:t>Madrid, España: Paraninfo S.</w:t>
      </w:r>
      <w:r>
        <w:rPr>
          <w:spacing w:val="-5"/>
          <w:sz w:val="20"/>
        </w:rPr>
        <w:t> </w:t>
      </w:r>
      <w:r>
        <w:rPr>
          <w:sz w:val="20"/>
        </w:rPr>
        <w:t>A.</w:t>
      </w:r>
    </w:p>
    <w:p>
      <w:pPr>
        <w:pStyle w:val="ListParagraph"/>
        <w:numPr>
          <w:ilvl w:val="0"/>
          <w:numId w:val="24"/>
        </w:numPr>
        <w:tabs>
          <w:tab w:pos="979" w:val="left" w:leader="none"/>
        </w:tabs>
        <w:spacing w:line="240" w:lineRule="auto" w:before="0" w:after="0"/>
        <w:ind w:left="990" w:right="0" w:hanging="360"/>
        <w:jc w:val="both"/>
        <w:rPr>
          <w:sz w:val="20"/>
        </w:rPr>
      </w:pPr>
      <w:r>
        <w:rPr>
          <w:sz w:val="20"/>
        </w:rPr>
        <w:t>Presidencia de la República de Colombia. (1984). </w:t>
      </w:r>
      <w:r>
        <w:rPr>
          <w:i/>
          <w:sz w:val="20"/>
        </w:rPr>
        <w:t>Decreto 614 de Marzo 14. Por el cual se </w:t>
      </w:r>
      <w:r>
        <w:rPr>
          <w:i/>
          <w:sz w:val="20"/>
        </w:rPr>
        <w:t>determinan las bases para la organización y administración de Salud Ocupacional en el país. </w:t>
      </w:r>
      <w:r>
        <w:rPr>
          <w:sz w:val="20"/>
        </w:rPr>
        <w:t>Bogotá, D. C.: Diario Oficial 36561. Obtenido de </w:t>
      </w:r>
      <w:hyperlink r:id="rId399">
        <w:r>
          <w:rPr>
            <w:color w:val="0000FF"/>
            <w:sz w:val="20"/>
            <w:u w:val="single" w:color="0000FF"/>
          </w:rPr>
          <w:t>http://www.alcaldiabogota.gov.co/sisjur/normas/No </w:t>
        </w:r>
      </w:hyperlink>
      <w:r>
        <w:rPr>
          <w:color w:val="0000FF"/>
          <w:sz w:val="20"/>
          <w:u w:val="single" w:color="0000FF"/>
        </w:rPr>
        <w:t>rma1.jsp?i=1357</w:t>
      </w:r>
    </w:p>
    <w:p>
      <w:pPr>
        <w:pStyle w:val="ListParagraph"/>
        <w:numPr>
          <w:ilvl w:val="0"/>
          <w:numId w:val="24"/>
        </w:numPr>
        <w:tabs>
          <w:tab w:pos="979" w:val="left" w:leader="none"/>
        </w:tabs>
        <w:spacing w:line="240" w:lineRule="auto" w:before="0" w:after="0"/>
        <w:ind w:left="990" w:right="0" w:hanging="360"/>
        <w:jc w:val="both"/>
        <w:rPr>
          <w:sz w:val="20"/>
        </w:rPr>
      </w:pPr>
      <w:r>
        <w:rPr>
          <w:sz w:val="20"/>
        </w:rPr>
        <w:t>Presidencia de la República de Colombia. (1994). </w:t>
      </w:r>
      <w:r>
        <w:rPr>
          <w:i/>
          <w:sz w:val="20"/>
        </w:rPr>
        <w:t>Decreto 1832 de Agosto 3. Por el cual se adopta la </w:t>
      </w:r>
      <w:r>
        <w:rPr>
          <w:i/>
          <w:sz w:val="20"/>
        </w:rPr>
        <w:t>Tabla de Enfermedades Profesionales. </w:t>
      </w:r>
      <w:r>
        <w:rPr>
          <w:sz w:val="20"/>
        </w:rPr>
        <w:t>Bogotá, D. C.: Diario Oficial 41473. Obtenido de </w:t>
      </w:r>
      <w:hyperlink r:id="rId399">
        <w:r>
          <w:rPr>
            <w:color w:val="0000FF"/>
            <w:sz w:val="20"/>
            <w:u w:val="single" w:color="0000FF"/>
          </w:rPr>
          <w:t>http://www.alcaldiabogota.gov.co/sisjur/normas/No </w:t>
        </w:r>
      </w:hyperlink>
      <w:r>
        <w:rPr>
          <w:color w:val="0000FF"/>
          <w:sz w:val="20"/>
          <w:u w:val="single" w:color="0000FF"/>
        </w:rPr>
        <w:t>rma1.jsp?i=8802</w:t>
      </w:r>
    </w:p>
    <w:p>
      <w:pPr>
        <w:pStyle w:val="ListParagraph"/>
        <w:numPr>
          <w:ilvl w:val="0"/>
          <w:numId w:val="24"/>
        </w:numPr>
        <w:tabs>
          <w:tab w:pos="979" w:val="left" w:leader="none"/>
        </w:tabs>
        <w:spacing w:line="240" w:lineRule="auto" w:before="0" w:after="0"/>
        <w:ind w:left="990" w:right="1" w:hanging="360"/>
        <w:jc w:val="both"/>
        <w:rPr>
          <w:sz w:val="20"/>
        </w:rPr>
      </w:pPr>
      <w:r>
        <w:rPr>
          <w:sz w:val="20"/>
        </w:rPr>
        <w:t>Presidencia de la República de Colombia. (2009.). </w:t>
      </w:r>
      <w:r>
        <w:rPr>
          <w:i/>
          <w:sz w:val="20"/>
        </w:rPr>
        <w:t>Decreto 2566 de Julio 07. Por el cual se adopta la </w:t>
      </w:r>
      <w:r>
        <w:rPr>
          <w:i/>
          <w:sz w:val="20"/>
        </w:rPr>
        <w:t>Tabla de Enfermedades Profesionales. </w:t>
      </w:r>
      <w:r>
        <w:rPr>
          <w:sz w:val="20"/>
        </w:rPr>
        <w:t>Bogotá, D. C.: Diario Oficial 47404. Obtenido de </w:t>
      </w:r>
      <w:hyperlink r:id="rId399">
        <w:r>
          <w:rPr>
            <w:color w:val="0000FF"/>
            <w:sz w:val="20"/>
            <w:u w:val="single" w:color="0000FF"/>
          </w:rPr>
          <w:t>http://www.alcaldiabogota.gov.co/sisjur/normas/No </w:t>
        </w:r>
      </w:hyperlink>
      <w:r>
        <w:rPr>
          <w:color w:val="0000FF"/>
          <w:sz w:val="20"/>
          <w:u w:val="single" w:color="0000FF"/>
        </w:rPr>
        <w:t>rma1.jsp?i=36783</w:t>
      </w:r>
    </w:p>
    <w:p>
      <w:pPr>
        <w:pStyle w:val="ListParagraph"/>
        <w:numPr>
          <w:ilvl w:val="0"/>
          <w:numId w:val="24"/>
        </w:numPr>
        <w:tabs>
          <w:tab w:pos="979" w:val="left" w:leader="none"/>
          <w:tab w:pos="4997" w:val="left" w:leader="none"/>
        </w:tabs>
        <w:spacing w:line="240" w:lineRule="auto" w:before="0" w:after="0"/>
        <w:ind w:left="990" w:right="0" w:hanging="360"/>
        <w:jc w:val="both"/>
        <w:rPr>
          <w:sz w:val="20"/>
        </w:rPr>
      </w:pPr>
      <w:r>
        <w:rPr>
          <w:sz w:val="20"/>
        </w:rPr>
        <w:t>Rodríguez, C. (2011). </w:t>
      </w:r>
      <w:r>
        <w:rPr>
          <w:i/>
          <w:sz w:val="20"/>
        </w:rPr>
        <w:t>Prevalencia de lesiones </w:t>
      </w:r>
      <w:r>
        <w:rPr>
          <w:i/>
          <w:sz w:val="20"/>
        </w:rPr>
        <w:t>músculo esqueléticas relacionadas con el trabajo  en fisioterapeutcas. </w:t>
      </w:r>
      <w:r>
        <w:rPr>
          <w:sz w:val="20"/>
        </w:rPr>
        <w:t>Alcalá de Henares, Trabajo de Grado Fisioterapia: Universidad de Alcalá.  Obtenido</w:t>
        <w:tab/>
        <w:t>de</w:t>
      </w:r>
    </w:p>
    <w:p>
      <w:pPr>
        <w:pStyle w:val="BodyText"/>
        <w:ind w:left="990" w:right="17"/>
        <w:jc w:val="both"/>
      </w:pPr>
      <w:hyperlink r:id="rId410">
        <w:r>
          <w:rPr>
            <w:color w:val="0000FF"/>
            <w:u w:val="single" w:color="0000FF"/>
          </w:rPr>
          <w:t>http://dspace.uah.es/dspace/bitstream/handle/10017/</w:t>
        </w:r>
      </w:hyperlink>
      <w:r>
        <w:rPr>
          <w:color w:val="0000FF"/>
          <w:u w:val="single" w:color="0000FF"/>
        </w:rPr>
        <w:t> 9202/TFG_Rodr%C3%ADguez_Barbas_2011.pdf? sequence=1</w:t>
      </w:r>
    </w:p>
    <w:p>
      <w:pPr>
        <w:pStyle w:val="ListParagraph"/>
        <w:numPr>
          <w:ilvl w:val="0"/>
          <w:numId w:val="24"/>
        </w:numPr>
        <w:tabs>
          <w:tab w:pos="979" w:val="left" w:leader="none"/>
          <w:tab w:pos="2294" w:val="left" w:leader="none"/>
          <w:tab w:pos="3589" w:val="left" w:leader="none"/>
          <w:tab w:pos="4997" w:val="left" w:leader="none"/>
        </w:tabs>
        <w:spacing w:line="240" w:lineRule="auto" w:before="0" w:after="0"/>
        <w:ind w:left="990" w:right="0" w:hanging="360"/>
        <w:jc w:val="both"/>
        <w:rPr>
          <w:sz w:val="20"/>
        </w:rPr>
      </w:pPr>
      <w:r>
        <w:rPr>
          <w:sz w:val="20"/>
        </w:rPr>
        <w:t>Saavedra, M. (2012). </w:t>
      </w:r>
      <w:r>
        <w:rPr>
          <w:i/>
          <w:sz w:val="20"/>
        </w:rPr>
        <w:t>Fisioterapia en la cervicalgia </w:t>
      </w:r>
      <w:r>
        <w:rPr>
          <w:i/>
          <w:sz w:val="20"/>
        </w:rPr>
        <w:t>crónica. </w:t>
      </w:r>
      <w:r>
        <w:rPr>
          <w:sz w:val="20"/>
        </w:rPr>
        <w:t>Tesis Doctoral. Universidad de Granada: Madrid,</w:t>
        <w:tab/>
        <w:t>España.</w:t>
        <w:tab/>
        <w:t>Obtenido</w:t>
        <w:tab/>
        <w:t>de </w:t>
      </w:r>
      <w:hyperlink r:id="rId411">
        <w:r>
          <w:rPr>
            <w:color w:val="0000FF"/>
            <w:sz w:val="20"/>
            <w:u w:val="single" w:color="0000FF"/>
          </w:rPr>
          <w:t>http://digibug.ugr.es/bitstream/10481/22259/1/2100 </w:t>
        </w:r>
      </w:hyperlink>
      <w:r>
        <w:rPr>
          <w:color w:val="0000FF"/>
          <w:sz w:val="20"/>
          <w:u w:val="single" w:color="0000FF"/>
        </w:rPr>
        <w:t>5862.pdf</w:t>
      </w:r>
    </w:p>
    <w:p>
      <w:pPr>
        <w:pStyle w:val="ListParagraph"/>
        <w:numPr>
          <w:ilvl w:val="0"/>
          <w:numId w:val="24"/>
        </w:numPr>
        <w:tabs>
          <w:tab w:pos="979" w:val="left" w:leader="none"/>
        </w:tabs>
        <w:spacing w:line="240" w:lineRule="auto" w:before="0" w:after="0"/>
        <w:ind w:left="978" w:right="0" w:hanging="348"/>
        <w:jc w:val="left"/>
        <w:rPr>
          <w:i/>
          <w:sz w:val="20"/>
        </w:rPr>
      </w:pPr>
      <w:r>
        <w:rPr>
          <w:sz w:val="20"/>
        </w:rPr>
        <w:t>Sabino,  C.  (1996).  </w:t>
      </w:r>
      <w:r>
        <w:rPr>
          <w:i/>
          <w:sz w:val="20"/>
        </w:rPr>
        <w:t>El  proceso  de   </w:t>
      </w:r>
      <w:r>
        <w:rPr>
          <w:i/>
          <w:spacing w:val="2"/>
          <w:sz w:val="20"/>
        </w:rPr>
        <w:t> </w:t>
      </w:r>
      <w:r>
        <w:rPr>
          <w:i/>
          <w:sz w:val="20"/>
        </w:rPr>
        <w:t>investigación.</w:t>
      </w:r>
    </w:p>
    <w:p>
      <w:pPr>
        <w:pStyle w:val="BodyText"/>
        <w:spacing w:line="230" w:lineRule="exact"/>
        <w:ind w:left="990" w:right="118"/>
      </w:pPr>
      <w:r>
        <w:rPr/>
        <w:t>Buenos Aires, Argentina: Lumen / Humanitas.</w:t>
      </w:r>
    </w:p>
    <w:p>
      <w:pPr>
        <w:pStyle w:val="ListParagraph"/>
        <w:numPr>
          <w:ilvl w:val="0"/>
          <w:numId w:val="24"/>
        </w:numPr>
        <w:tabs>
          <w:tab w:pos="979" w:val="left" w:leader="none"/>
        </w:tabs>
        <w:spacing w:line="240" w:lineRule="auto" w:before="0" w:after="0"/>
        <w:ind w:left="990" w:right="0" w:hanging="360"/>
        <w:jc w:val="both"/>
        <w:rPr>
          <w:sz w:val="20"/>
        </w:rPr>
      </w:pPr>
      <w:r>
        <w:rPr>
          <w:sz w:val="20"/>
        </w:rPr>
        <w:t>Torrealba, J. (13 de Julio de 2011). Como determinar el tamaño de una muestra, conocida una poblacion. </w:t>
      </w:r>
      <w:r>
        <w:rPr>
          <w:i/>
          <w:sz w:val="20"/>
        </w:rPr>
        <w:t>Revista electrónica de  pedagogía </w:t>
      </w:r>
      <w:r>
        <w:rPr>
          <w:i/>
          <w:sz w:val="20"/>
        </w:rPr>
        <w:t>Odiseo</w:t>
      </w:r>
      <w:r>
        <w:rPr>
          <w:sz w:val="20"/>
        </w:rPr>
        <w:t>. Obtenido de </w:t>
      </w:r>
      <w:hyperlink r:id="rId412">
        <w:r>
          <w:rPr>
            <w:color w:val="0000FF"/>
            <w:sz w:val="20"/>
            <w:u w:val="single" w:color="0000FF"/>
          </w:rPr>
          <w:t>http://odiseo.com.mx/libros- </w:t>
        </w:r>
      </w:hyperlink>
      <w:r>
        <w:rPr>
          <w:color w:val="0000FF"/>
          <w:sz w:val="20"/>
          <w:u w:val="single" w:color="0000FF"/>
        </w:rPr>
        <w:t>resenas/2011/07/como-determinar-tamano-muestra- </w:t>
      </w:r>
      <w:r>
        <w:rPr>
          <w:color w:val="0000FF"/>
          <w:sz w:val="20"/>
          <w:u w:val="single" w:color="0000FF"/>
        </w:rPr>
        <w:t>conocida-poblacion</w:t>
      </w:r>
    </w:p>
    <w:p>
      <w:pPr>
        <w:pStyle w:val="ListParagraph"/>
        <w:numPr>
          <w:ilvl w:val="0"/>
          <w:numId w:val="24"/>
        </w:numPr>
        <w:tabs>
          <w:tab w:pos="979" w:val="left" w:leader="none"/>
        </w:tabs>
        <w:spacing w:line="240" w:lineRule="auto" w:before="0" w:after="0"/>
        <w:ind w:left="990" w:right="0" w:hanging="360"/>
        <w:jc w:val="both"/>
        <w:rPr>
          <w:sz w:val="20"/>
        </w:rPr>
      </w:pPr>
      <w:r>
        <w:rPr>
          <w:sz w:val="20"/>
        </w:rPr>
        <w:t>Torres, R. (2008). </w:t>
      </w:r>
      <w:r>
        <w:rPr>
          <w:i/>
          <w:sz w:val="20"/>
        </w:rPr>
        <w:t>Columna Cervical. Evaluación </w:t>
      </w:r>
      <w:r>
        <w:rPr>
          <w:i/>
          <w:sz w:val="20"/>
        </w:rPr>
        <w:t>Clínica y Aproximaciones Terapeúticas </w:t>
      </w:r>
      <w:r>
        <w:rPr>
          <w:sz w:val="20"/>
        </w:rPr>
        <w:t>(Vol. 1). Bogotá, D. C.:</w:t>
      </w:r>
      <w:r>
        <w:rPr>
          <w:spacing w:val="-22"/>
          <w:sz w:val="20"/>
        </w:rPr>
        <w:t> </w:t>
      </w:r>
      <w:r>
        <w:rPr>
          <w:sz w:val="20"/>
        </w:rPr>
        <w:t>Panamericana.</w:t>
      </w:r>
    </w:p>
    <w:p>
      <w:pPr>
        <w:pStyle w:val="ListParagraph"/>
        <w:numPr>
          <w:ilvl w:val="0"/>
          <w:numId w:val="24"/>
        </w:numPr>
        <w:tabs>
          <w:tab w:pos="979" w:val="left" w:leader="none"/>
        </w:tabs>
        <w:spacing w:line="240" w:lineRule="auto" w:before="0" w:after="0"/>
        <w:ind w:left="990" w:right="1" w:hanging="360"/>
        <w:jc w:val="both"/>
        <w:rPr>
          <w:sz w:val="20"/>
        </w:rPr>
      </w:pPr>
      <w:r>
        <w:rPr>
          <w:sz w:val="20"/>
        </w:rPr>
        <w:t>Tortora, G. &amp; Derrickson, B. (2006). </w:t>
      </w:r>
      <w:r>
        <w:rPr>
          <w:i/>
          <w:sz w:val="20"/>
        </w:rPr>
        <w:t>Principios de </w:t>
      </w:r>
      <w:r>
        <w:rPr>
          <w:i/>
          <w:sz w:val="20"/>
        </w:rPr>
        <w:t>anatomía y fisiología. </w:t>
      </w:r>
      <w:r>
        <w:rPr>
          <w:sz w:val="20"/>
        </w:rPr>
        <w:t>Bogotá, D. C.: Médica Panamericana.</w:t>
      </w:r>
    </w:p>
    <w:p>
      <w:pPr>
        <w:pStyle w:val="ListParagraph"/>
        <w:numPr>
          <w:ilvl w:val="0"/>
          <w:numId w:val="24"/>
        </w:numPr>
        <w:tabs>
          <w:tab w:pos="979" w:val="left" w:leader="none"/>
        </w:tabs>
        <w:spacing w:line="240" w:lineRule="auto" w:before="0" w:after="0"/>
        <w:ind w:left="990" w:right="0" w:hanging="360"/>
        <w:jc w:val="both"/>
        <w:rPr>
          <w:sz w:val="20"/>
        </w:rPr>
      </w:pPr>
      <w:r>
        <w:rPr>
          <w:sz w:val="20"/>
        </w:rPr>
        <w:t>Universidad Rey Juan Carlos. (2012). </w:t>
      </w:r>
      <w:r>
        <w:rPr>
          <w:i/>
          <w:sz w:val="20"/>
        </w:rPr>
        <w:t>Posiciones </w:t>
      </w:r>
      <w:r>
        <w:rPr>
          <w:i/>
          <w:sz w:val="20"/>
        </w:rPr>
        <w:t>Ergonómicas de trabajo</w:t>
      </w:r>
      <w:r>
        <w:rPr>
          <w:sz w:val="20"/>
        </w:rPr>
        <w:t>. Obtenido de </w:t>
      </w:r>
      <w:r>
        <w:rPr>
          <w:spacing w:val="27"/>
          <w:sz w:val="20"/>
        </w:rPr>
        <w:t> </w:t>
      </w:r>
      <w:r>
        <w:rPr>
          <w:sz w:val="20"/>
        </w:rPr>
        <w:t>Introducción</w:t>
      </w:r>
    </w:p>
    <w:p>
      <w:pPr>
        <w:pStyle w:val="BodyText"/>
        <w:tabs>
          <w:tab w:pos="1987" w:val="left" w:leader="none"/>
          <w:tab w:pos="2678" w:val="left" w:leader="none"/>
          <w:tab w:pos="3803" w:val="left" w:leader="none"/>
          <w:tab w:pos="5441" w:val="left" w:leader="none"/>
        </w:tabs>
        <w:spacing w:before="74"/>
        <w:ind w:left="1350" w:right="676"/>
      </w:pPr>
      <w:r>
        <w:rPr/>
        <w:br w:type="column"/>
      </w:r>
      <w:r>
        <w:rPr/>
        <w:t>a</w:t>
        <w:tab/>
        <w:t>la</w:t>
        <w:tab/>
        <w:t>Clínica</w:t>
        <w:tab/>
        <w:t>Odontológica</w:t>
        <w:tab/>
        <w:t>: </w:t>
      </w:r>
      <w:hyperlink r:id="rId413">
        <w:r>
          <w:rPr>
            <w:color w:val="0000FF"/>
            <w:u w:val="single" w:color="0000FF"/>
          </w:rPr>
          <w:t>http://www.cs.urjc.es/biblioteca/Archivos/introduc </w:t>
        </w:r>
      </w:hyperlink>
      <w:r>
        <w:rPr>
          <w:color w:val="0000FF"/>
          <w:u w:val="single" w:color="0000FF"/>
        </w:rPr>
        <w:t>cionodontologia/Introduccionalaclinica/Presentacio </w:t>
      </w:r>
      <w:r>
        <w:rPr>
          <w:color w:val="0000FF"/>
          <w:u w:val="single" w:color="0000FF"/>
        </w:rPr>
        <w:t>n2posiciones.pdf</w:t>
      </w:r>
    </w:p>
    <w:p>
      <w:pPr>
        <w:pStyle w:val="ListParagraph"/>
        <w:numPr>
          <w:ilvl w:val="0"/>
          <w:numId w:val="24"/>
        </w:numPr>
        <w:tabs>
          <w:tab w:pos="1339" w:val="left" w:leader="none"/>
        </w:tabs>
        <w:spacing w:line="240" w:lineRule="auto" w:before="0" w:after="0"/>
        <w:ind w:left="1350" w:right="677" w:hanging="360"/>
        <w:jc w:val="left"/>
        <w:rPr>
          <w:sz w:val="20"/>
        </w:rPr>
      </w:pPr>
      <w:r>
        <w:rPr>
          <w:sz w:val="20"/>
        </w:rPr>
        <w:t>Valero, L. (2011). </w:t>
      </w:r>
      <w:r>
        <w:rPr>
          <w:i/>
          <w:sz w:val="20"/>
        </w:rPr>
        <w:t>Epidemografía general y </w:t>
      </w:r>
      <w:r>
        <w:rPr>
          <w:i/>
          <w:sz w:val="20"/>
        </w:rPr>
        <w:t>demografía sanitaria</w:t>
      </w:r>
      <w:r>
        <w:rPr>
          <w:sz w:val="20"/>
        </w:rPr>
        <w:t>. Recuperado el 18 de Agosto de 2014, de Estudios epidemiológicos descriptivos: </w:t>
      </w:r>
      <w:hyperlink r:id="rId414">
        <w:r>
          <w:rPr>
            <w:color w:val="0000FF"/>
            <w:sz w:val="20"/>
            <w:u w:val="single" w:color="0000FF"/>
          </w:rPr>
          <w:t>http://ocw.usal.es/ciencias- </w:t>
        </w:r>
      </w:hyperlink>
      <w:r>
        <w:rPr>
          <w:color w:val="0000FF"/>
          <w:sz w:val="20"/>
          <w:u w:val="single" w:color="0000FF"/>
        </w:rPr>
        <w:t>biosanitarias/epidemiologia-general-y- </w:t>
      </w:r>
      <w:r>
        <w:rPr>
          <w:color w:val="0000FF"/>
          <w:sz w:val="20"/>
          <w:u w:val="single" w:color="0000FF"/>
        </w:rPr>
        <w:t>demografiasanitaria/contenidos/01%20PROGRAM </w:t>
      </w:r>
      <w:r>
        <w:rPr>
          <w:color w:val="0000FF"/>
          <w:sz w:val="20"/>
          <w:u w:val="single" w:color="0000FF"/>
        </w:rPr>
        <w:t>A%20TE0RICO/01%20EPIDEMIOLOGIA%20en</w:t>
      </w:r>
    </w:p>
    <w:p>
      <w:pPr>
        <w:pStyle w:val="BodyText"/>
        <w:spacing w:line="230" w:lineRule="exact"/>
        <w:ind w:left="1350"/>
      </w:pPr>
      <w:r>
        <w:rPr>
          <w:color w:val="0000FF"/>
          <w:u w:val="single" w:color="0000FF"/>
        </w:rPr>
        <w:t>%20PDF%20/Tema%2008%20en%20PDF/08%20</w:t>
      </w:r>
    </w:p>
    <w:p>
      <w:pPr>
        <w:pStyle w:val="BodyText"/>
        <w:ind w:left="1350" w:right="739"/>
      </w:pPr>
      <w:r>
        <w:rPr>
          <w:color w:val="0000FF"/>
          <w:u w:val="single" w:color="0000FF"/>
        </w:rPr>
        <w:t>Tema%208%20Estudios%20Epidemiologicos%20 Descriptivos.pdf</w:t>
      </w:r>
    </w:p>
    <w:p>
      <w:pPr>
        <w:pStyle w:val="ListParagraph"/>
        <w:numPr>
          <w:ilvl w:val="0"/>
          <w:numId w:val="24"/>
        </w:numPr>
        <w:tabs>
          <w:tab w:pos="1339" w:val="left" w:leader="none"/>
          <w:tab w:pos="2467" w:val="left" w:leader="none"/>
          <w:tab w:pos="2773" w:val="left" w:leader="none"/>
          <w:tab w:pos="4007" w:val="left" w:leader="none"/>
          <w:tab w:pos="4861" w:val="left" w:leader="none"/>
        </w:tabs>
        <w:spacing w:line="240" w:lineRule="auto" w:before="0" w:after="0"/>
        <w:ind w:left="1350" w:right="676" w:hanging="360"/>
        <w:jc w:val="left"/>
        <w:rPr>
          <w:sz w:val="20"/>
        </w:rPr>
      </w:pPr>
      <w:r>
        <w:rPr>
          <w:sz w:val="20"/>
        </w:rPr>
        <w:t>Vega, J.; Hidalgo, J. &amp; Carrillo, P. (2010). </w:t>
      </w:r>
      <w:r>
        <w:rPr>
          <w:i/>
          <w:sz w:val="20"/>
        </w:rPr>
        <w:t>Ergonomía</w:t>
        <w:tab/>
        <w:t>y</w:t>
        <w:tab/>
        <w:t>odontología.</w:t>
        <w:tab/>
      </w:r>
      <w:r>
        <w:rPr>
          <w:sz w:val="20"/>
        </w:rPr>
        <w:t>Madrid,</w:t>
        <w:tab/>
        <w:t>España: Universidad Complutense de Madrid. Obtenido de </w:t>
      </w:r>
      <w:hyperlink r:id="rId415">
        <w:r>
          <w:rPr>
            <w:color w:val="0000FF"/>
            <w:sz w:val="20"/>
            <w:u w:val="single" w:color="0000FF"/>
          </w:rPr>
          <w:t>http://eprints.ucm.es/11822/1/ERGONOM%C3%8 </w:t>
        </w:r>
      </w:hyperlink>
      <w:r>
        <w:rPr>
          <w:color w:val="0000FF"/>
          <w:sz w:val="20"/>
          <w:u w:val="single" w:color="0000FF"/>
        </w:rPr>
        <w:t>DA.pdf</w:t>
      </w:r>
    </w:p>
    <w:p>
      <w:pPr>
        <w:pStyle w:val="BodyText"/>
      </w:pPr>
    </w:p>
    <w:p>
      <w:pPr>
        <w:spacing w:before="137"/>
        <w:ind w:left="630" w:right="675" w:firstLine="0"/>
        <w:jc w:val="both"/>
        <w:rPr>
          <w:sz w:val="16"/>
        </w:rPr>
      </w:pPr>
      <w:r>
        <w:rPr>
          <w:b/>
          <w:sz w:val="16"/>
        </w:rPr>
        <w:t>Luz Angela Téllez Chavarro: </w:t>
      </w:r>
      <w:r>
        <w:rPr>
          <w:sz w:val="16"/>
        </w:rPr>
        <w:t>Is physiotherapist specializing in occupational health at the University Manuela Beltrán and expertise in ergonomics of El Bosque university. Undergraduate university teaching for six years and posgraduate for five years, mainly in research and ergonomics.She is a member in the Colombian Society of Ergonomics and Ergonomics Committee 20 ICONTEC. Speaker at national and  international</w:t>
      </w:r>
      <w:r>
        <w:rPr>
          <w:spacing w:val="-9"/>
          <w:sz w:val="16"/>
        </w:rPr>
        <w:t> </w:t>
      </w:r>
      <w:r>
        <w:rPr>
          <w:sz w:val="16"/>
        </w:rPr>
        <w:t>conferences.</w:t>
      </w:r>
    </w:p>
    <w:p>
      <w:pPr>
        <w:pStyle w:val="BodyText"/>
        <w:spacing w:before="10"/>
        <w:rPr>
          <w:sz w:val="15"/>
        </w:rPr>
      </w:pPr>
    </w:p>
    <w:p>
      <w:pPr>
        <w:spacing w:before="0"/>
        <w:ind w:left="630" w:right="676" w:firstLine="0"/>
        <w:jc w:val="both"/>
        <w:rPr>
          <w:sz w:val="16"/>
        </w:rPr>
      </w:pPr>
      <w:r>
        <w:rPr>
          <w:b/>
          <w:sz w:val="16"/>
        </w:rPr>
        <w:t>Brigette Jaydibe Arevalo Tovar</w:t>
      </w:r>
      <w:r>
        <w:rPr>
          <w:sz w:val="16"/>
        </w:rPr>
        <w:t>: Is bacteriologist of Mayor De Cundinamarca University College, majoring in Health Services Management at Sergio Arboleda university and specialist in Occupational Health and Safety at Work Manuela Beltrán university; She has seventeen years of clinical experience in public and private health sector entities.</w:t>
      </w:r>
    </w:p>
    <w:p>
      <w:pPr>
        <w:pStyle w:val="BodyText"/>
        <w:rPr>
          <w:sz w:val="16"/>
        </w:rPr>
      </w:pPr>
    </w:p>
    <w:p>
      <w:pPr>
        <w:spacing w:before="0"/>
        <w:ind w:left="630" w:right="675" w:firstLine="0"/>
        <w:jc w:val="both"/>
        <w:rPr>
          <w:sz w:val="16"/>
        </w:rPr>
      </w:pPr>
      <w:r>
        <w:rPr>
          <w:b/>
          <w:sz w:val="16"/>
        </w:rPr>
        <w:t>Patricia Velasquez Uribe</w:t>
      </w:r>
      <w:r>
        <w:rPr>
          <w:sz w:val="16"/>
        </w:rPr>
        <w:t>: Ia a dentist of San Martin university, a specialist in Occupational Health and Safety at Manuela Beltrán university; member of the Board of the Colombian Dental Federation of Cundinamarca branch and an active member in the same, currently advises on Safety and Health at Work, the Administrative Vice-FUSM It has twenty-four years of professional experience in clinical and administrative areas of dental services for public and private</w:t>
      </w:r>
      <w:r>
        <w:rPr>
          <w:spacing w:val="-11"/>
          <w:sz w:val="16"/>
        </w:rPr>
        <w:t> </w:t>
      </w:r>
      <w:r>
        <w:rPr>
          <w:sz w:val="16"/>
        </w:rPr>
        <w:t>entities.</w:t>
      </w:r>
    </w:p>
    <w:p>
      <w:pPr>
        <w:pStyle w:val="BodyText"/>
        <w:rPr>
          <w:sz w:val="16"/>
        </w:rPr>
      </w:pPr>
    </w:p>
    <w:p>
      <w:pPr>
        <w:spacing w:before="0"/>
        <w:ind w:left="630" w:right="993" w:firstLine="0"/>
        <w:jc w:val="left"/>
        <w:rPr>
          <w:sz w:val="16"/>
        </w:rPr>
      </w:pPr>
      <w:r>
        <w:rPr>
          <w:b/>
          <w:sz w:val="16"/>
        </w:rPr>
        <w:t>Maria Lucila Cubillos Marino</w:t>
      </w:r>
      <w:r>
        <w:rPr>
          <w:sz w:val="16"/>
        </w:rPr>
        <w:t>: Is matron of </w:t>
      </w:r>
      <w:r>
        <w:rPr>
          <w:color w:val="202020"/>
          <w:sz w:val="16"/>
        </w:rPr>
        <w:t>Pontifical University Javeriana, member of the National Association of Nurses, has 29 years experience in Occupational Health, Nurse in developing prevention programs and promotion.</w:t>
      </w:r>
    </w:p>
    <w:p>
      <w:pPr>
        <w:spacing w:after="0"/>
        <w:jc w:val="left"/>
        <w:rPr>
          <w:sz w:val="16"/>
        </w:rPr>
        <w:sectPr>
          <w:type w:val="continuous"/>
          <w:pgSz w:w="12240" w:h="15840"/>
          <w:pgMar w:top="1500" w:bottom="280" w:left="580" w:right="220"/>
          <w:cols w:num="2" w:equalWidth="0">
            <w:col w:w="5190" w:space="75"/>
            <w:col w:w="6175"/>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Heading1"/>
        <w:spacing w:before="77"/>
        <w:ind w:right="52"/>
      </w:pPr>
      <w:r>
        <w:rPr/>
        <w:t>Ergonomic Evaluation, by Rula-Method for the Optimization of a Workstation.</w:t>
      </w:r>
    </w:p>
    <w:p>
      <w:pPr>
        <w:pStyle w:val="BodyText"/>
        <w:spacing w:before="2"/>
        <w:rPr>
          <w:b/>
        </w:rPr>
      </w:pPr>
    </w:p>
    <w:p>
      <w:pPr>
        <w:pStyle w:val="Heading4"/>
        <w:spacing w:line="230" w:lineRule="exact"/>
        <w:ind w:left="276" w:right="8"/>
        <w:jc w:val="center"/>
        <w:rPr>
          <w:sz w:val="13"/>
        </w:rPr>
      </w:pPr>
      <w:r>
        <w:rPr/>
        <w:t>Jaime Guadalupe Pérez Muñoz</w:t>
      </w:r>
      <w:r>
        <w:rPr>
          <w:position w:val="9"/>
          <w:sz w:val="13"/>
        </w:rPr>
        <w:t>1</w:t>
      </w:r>
      <w:r>
        <w:rPr/>
        <w:t>, María Eugenia Lazcano Herrero</w:t>
      </w:r>
      <w:r>
        <w:rPr>
          <w:position w:val="9"/>
          <w:sz w:val="13"/>
        </w:rPr>
        <w:t>2</w:t>
      </w:r>
      <w:r>
        <w:rPr/>
        <w:t>, Marbella Muñiz Sánchez</w:t>
      </w:r>
      <w:r>
        <w:rPr>
          <w:position w:val="9"/>
          <w:sz w:val="13"/>
        </w:rPr>
        <w:t>3</w:t>
      </w:r>
      <w:r>
        <w:rPr/>
        <w:t>, Felipe Martínez Vargas</w:t>
      </w:r>
      <w:r>
        <w:rPr>
          <w:position w:val="9"/>
          <w:sz w:val="13"/>
        </w:rPr>
        <w:t>4</w:t>
      </w:r>
      <w:r>
        <w:rPr/>
        <w:t>, Mayra Islas Galicia.</w:t>
      </w:r>
      <w:r>
        <w:rPr>
          <w:position w:val="9"/>
          <w:sz w:val="13"/>
        </w:rPr>
        <w:t>5</w:t>
      </w:r>
    </w:p>
    <w:p>
      <w:pPr>
        <w:pStyle w:val="BodyText"/>
        <w:spacing w:before="4"/>
        <w:rPr>
          <w:b/>
          <w:sz w:val="17"/>
        </w:rPr>
      </w:pPr>
    </w:p>
    <w:p>
      <w:pPr>
        <w:pStyle w:val="BodyText"/>
        <w:ind w:left="276" w:right="8"/>
        <w:jc w:val="center"/>
      </w:pPr>
      <w:r>
        <w:rPr/>
        <w:pict>
          <v:rect style="position:absolute;margin-left:77.760002pt;margin-top:1.148379pt;width:8.1pt;height:11.7pt;mso-position-horizontal-relative:page;mso-position-vertical-relative:paragraph;z-index:-867664" filled="true" fillcolor="#f9f9f9" stroked="false">
            <v:fill type="solid"/>
            <w10:wrap type="none"/>
          </v:rect>
        </w:pict>
      </w:r>
      <w:r>
        <w:rPr>
          <w:position w:val="9"/>
          <w:sz w:val="13"/>
        </w:rPr>
        <w:t>12345 </w:t>
      </w:r>
      <w:r>
        <w:rPr/>
        <w:t>F</w:t>
      </w:r>
      <w:r>
        <w:rPr>
          <w:color w:val="212121"/>
        </w:rPr>
        <w:t>aculty members "Technologies for ergonomic evaluation of environmental factors in the working environment"</w:t>
      </w:r>
    </w:p>
    <w:p>
      <w:pPr>
        <w:pStyle w:val="BodyText"/>
        <w:ind w:left="1881" w:right="1178" w:hanging="428"/>
      </w:pPr>
      <w:r>
        <w:rPr/>
        <w:t>Instituto Tecnológico de Puebla Av. Tecnológico 420 Colonia Maravillas Puebla, Pue., 72420</w:t>
      </w:r>
    </w:p>
    <w:p>
      <w:pPr>
        <w:pStyle w:val="BodyText"/>
        <w:spacing w:before="11"/>
        <w:rPr>
          <w:sz w:val="19"/>
        </w:rPr>
      </w:pPr>
    </w:p>
    <w:p>
      <w:pPr>
        <w:pStyle w:val="BodyText"/>
        <w:ind w:left="320"/>
        <w:jc w:val="both"/>
      </w:pPr>
      <w:r>
        <w:rPr>
          <w:color w:val="0000FF"/>
          <w:u w:val="single" w:color="0000FF"/>
        </w:rPr>
        <w:t>jpm104@yahoo.com.mx</w:t>
      </w:r>
      <w:r>
        <w:rPr/>
        <w:t>,</w:t>
      </w:r>
      <w:r>
        <w:rPr>
          <w:color w:val="0000FF"/>
          <w:u w:val="single" w:color="0000FF"/>
        </w:rPr>
        <w:t>maru40@hotmail.com</w:t>
      </w:r>
      <w:r>
        <w:rPr/>
        <w:t>,</w:t>
      </w:r>
      <w:r>
        <w:rPr>
          <w:color w:val="0000FF"/>
          <w:u w:val="single" w:color="0000FF"/>
        </w:rPr>
        <w:t>marbellams</w:t>
      </w:r>
    </w:p>
    <w:p>
      <w:pPr>
        <w:pStyle w:val="BodyText"/>
        <w:ind w:left="525" w:right="258" w:hanging="3"/>
        <w:jc w:val="center"/>
      </w:pPr>
      <w:r>
        <w:rPr>
          <w:color w:val="0000FF"/>
          <w:u w:val="single" w:color="0000FF"/>
        </w:rPr>
        <w:t>@prodigy.net.mx</w:t>
      </w:r>
      <w:r>
        <w:rPr/>
        <w:t>, </w:t>
      </w:r>
      <w:r>
        <w:rPr>
          <w:color w:val="0000FF"/>
          <w:u w:val="single" w:color="0000FF"/>
        </w:rPr>
        <w:t>fmtzvargas@yahoo.com.mx,mayisgal@yahoo.com.mx</w:t>
      </w:r>
    </w:p>
    <w:p>
      <w:pPr>
        <w:pStyle w:val="BodyText"/>
        <w:spacing w:before="3"/>
      </w:pPr>
    </w:p>
    <w:p>
      <w:pPr>
        <w:pStyle w:val="Heading4"/>
        <w:spacing w:line="228" w:lineRule="exact"/>
      </w:pPr>
      <w:r>
        <w:rPr/>
        <w:t>RESUMEN</w:t>
      </w:r>
    </w:p>
    <w:p>
      <w:pPr>
        <w:pStyle w:val="BodyText"/>
        <w:ind w:left="270"/>
        <w:jc w:val="both"/>
      </w:pPr>
      <w:r>
        <w:rPr/>
        <w:t>En el presente trabajo se realiza una evaluación ergonómica  a la estación de trabajo denominada “empacado de celofanes” de una empresa de confitería y gomas, donde se muestra a trabajadoras que tienen alto riesgo de desarrollar Desórdenes Traumáticos Acumulativos por tareas de alta intensidad o repetitivas causando estrés en las extremidades superiores del cuerpo, principalmente. Para poder evaluarlos se utiliza el método RULA, con el cual se analizan las posturas del cuerpo, señalando los niveles de actuación a través de una puntuación en las extremidades superiores e inferiores, adicionados a los valores de la carga muscular. Este método permitió valorar el nivel de riesgo en la estación de trabajo, proponiendo su rediseño que involucró la modificación de la mesa de trabajo disminuyendo el ángulo de inclinación, provocando el cambio de postura, lo cual  hace que las cajas queden niveladas, reduciendo la flexión y desviación cubital de las muñecas de las operadoras, mejorando la producción y su desempeño además de agilizar el método de empacado, reduciendo con ello enfermedades profesionales, ausentismo e</w:t>
      </w:r>
      <w:r>
        <w:rPr>
          <w:spacing w:val="-13"/>
        </w:rPr>
        <w:t> </w:t>
      </w:r>
      <w:r>
        <w:rPr/>
        <w:t>incapacidades.</w:t>
      </w:r>
    </w:p>
    <w:p>
      <w:pPr>
        <w:pStyle w:val="BodyText"/>
        <w:spacing w:before="11"/>
        <w:rPr>
          <w:sz w:val="19"/>
        </w:rPr>
      </w:pPr>
    </w:p>
    <w:p>
      <w:pPr>
        <w:spacing w:before="0"/>
        <w:ind w:left="270" w:right="974" w:firstLine="0"/>
        <w:jc w:val="left"/>
        <w:rPr>
          <w:sz w:val="20"/>
        </w:rPr>
      </w:pPr>
      <w:r>
        <w:rPr>
          <w:b/>
          <w:sz w:val="20"/>
        </w:rPr>
        <w:t>PALABRAS CLAVE: </w:t>
      </w:r>
      <w:r>
        <w:rPr>
          <w:sz w:val="20"/>
        </w:rPr>
        <w:t>Desórdenes Traumáticos Acumulativos, Evaluación, Método RULA</w:t>
      </w:r>
    </w:p>
    <w:p>
      <w:pPr>
        <w:pStyle w:val="BodyText"/>
        <w:spacing w:before="2"/>
      </w:pPr>
    </w:p>
    <w:p>
      <w:pPr>
        <w:pStyle w:val="Heading4"/>
        <w:spacing w:line="229" w:lineRule="exact"/>
      </w:pPr>
      <w:r>
        <w:rPr/>
        <w:t>SUMMARY</w:t>
      </w:r>
    </w:p>
    <w:p>
      <w:pPr>
        <w:pStyle w:val="BodyText"/>
        <w:ind w:left="270"/>
        <w:jc w:val="both"/>
      </w:pPr>
      <w:r>
        <w:rPr/>
        <w:t>In the present paper, an ergonomic assessment of workers from the "cellophane packaging" workstation in a confectionery and gum company, who are at high risk of developing Cumulative Traumatic Disorders due to high- intensity or repetitive tasks causing stress mainly in their upper limbs of the body, was carried out. To evaluate them the RULA method was used, analyzing body postures, pinpointing performance levels through a score system of the upper and lower limbs, added to the values of the muscular load. This method allowed the assessment of the level of risk in the workstation, proposing its redesign involving the modification of the worktable decreasing the angle of inclination, causing  a change of posture, which makes     the</w:t>
      </w:r>
    </w:p>
    <w:p>
      <w:pPr>
        <w:pStyle w:val="BodyText"/>
        <w:spacing w:before="74"/>
        <w:ind w:left="270" w:right="677"/>
        <w:jc w:val="both"/>
      </w:pPr>
      <w:r>
        <w:rPr/>
        <w:br w:type="column"/>
      </w:r>
      <w:r>
        <w:rPr/>
        <w:t>boxes be at a more proper level, reducing flexion and ulnar deviation of the wrist of the operators, showing a production and performance improvement in addition to making the method of packaging more dynamic, therefore reducing occupational diseases, absenteeism and disability.</w:t>
      </w:r>
    </w:p>
    <w:p>
      <w:pPr>
        <w:pStyle w:val="BodyText"/>
      </w:pPr>
    </w:p>
    <w:p>
      <w:pPr>
        <w:pStyle w:val="BodyText"/>
        <w:spacing w:before="1"/>
        <w:ind w:left="270" w:right="709"/>
        <w:jc w:val="both"/>
      </w:pPr>
      <w:r>
        <w:rPr>
          <w:b/>
        </w:rPr>
        <w:t>KEYWORDS: </w:t>
      </w:r>
      <w:r>
        <w:rPr/>
        <w:t>Cumulative Trauma Disorders, Assessment, RULA method.</w:t>
      </w:r>
    </w:p>
    <w:p>
      <w:pPr>
        <w:pStyle w:val="BodyText"/>
        <w:spacing w:before="3"/>
      </w:pPr>
    </w:p>
    <w:p>
      <w:pPr>
        <w:pStyle w:val="Heading4"/>
        <w:numPr>
          <w:ilvl w:val="0"/>
          <w:numId w:val="96"/>
        </w:numPr>
        <w:tabs>
          <w:tab w:pos="979" w:val="left" w:leader="none"/>
        </w:tabs>
        <w:spacing w:line="228" w:lineRule="exact" w:before="0" w:after="0"/>
        <w:ind w:left="978" w:right="0" w:hanging="348"/>
        <w:jc w:val="left"/>
      </w:pPr>
      <w:r>
        <w:rPr/>
        <w:t>INTRODUCTION</w:t>
      </w:r>
    </w:p>
    <w:p>
      <w:pPr>
        <w:pStyle w:val="BodyText"/>
        <w:ind w:left="270" w:right="832"/>
      </w:pPr>
      <w:r>
        <w:rPr/>
        <w:t>In the present days, most employees complain of muscle pain, and almost in the same proportion pain in the upper limbs (shoulders, arms, wrists and fingers) and the lower limbs (trunk and legs) is stated, including a series pathologies, all directly associated with excessive physical load, greatly because a number of tasks exceed the capabilities of workers, leading to the appearance of physical fatigue, discomfort or pain, as immediate consequences of the demands of their work triggering Cumulative Trauma Disorders (CTDs), [1].</w:t>
      </w:r>
    </w:p>
    <w:p>
      <w:pPr>
        <w:pStyle w:val="BodyText"/>
        <w:ind w:left="270" w:right="675" w:firstLine="708"/>
        <w:jc w:val="both"/>
      </w:pPr>
      <w:r>
        <w:rPr/>
        <w:t>CTDs are health problems of locomotor system: tendons, skeleton, cartilage, ligaments and nerves. These include all kinds of ailments, from mild and transient discomforts up to irreversible and disabling injuries,  induced or aggravated by work activity and the circumstances in which they are developed. Even when it is considered that these disorders are caused or intensified by work, they are also associated with domestic activities or sports practices,</w:t>
      </w:r>
      <w:r>
        <w:rPr>
          <w:spacing w:val="-13"/>
        </w:rPr>
        <w:t> </w:t>
      </w:r>
      <w:r>
        <w:rPr/>
        <w:t>[2].</w:t>
      </w:r>
    </w:p>
    <w:p>
      <w:pPr>
        <w:pStyle w:val="BodyText"/>
        <w:ind w:left="270" w:right="676" w:firstLine="708"/>
        <w:jc w:val="both"/>
      </w:pPr>
      <w:r>
        <w:rPr/>
        <w:t>In order to demonstrate the growing problem of CTDs in the workplace and to overcome the lack of knowledge among workers regarding work-related diseases, so that all those CTDs, which origin at work, are not treated as common diseases but being attacked them by root, the following analysis is performed using one of the several existing methods of assessment, the RULA method, which purpose is to demonstrate the severity of these disorders arising from repetitive operation movements involved in the areas of packaging. Also, the developed analysis will demonstrate ergonomic risk levels of different CTDs derivative of the cellophane packaging operation area and the obtained results will allow proposing actions which will help to prevent occupational injuries to the packaging area operators caused for their</w:t>
      </w:r>
      <w:r>
        <w:rPr>
          <w:spacing w:val="-10"/>
        </w:rPr>
        <w:t> </w:t>
      </w:r>
      <w:r>
        <w:rPr/>
        <w:t>work.</w:t>
      </w:r>
    </w:p>
    <w:p>
      <w:pPr>
        <w:pStyle w:val="Heading4"/>
        <w:numPr>
          <w:ilvl w:val="0"/>
          <w:numId w:val="96"/>
        </w:numPr>
        <w:tabs>
          <w:tab w:pos="979" w:val="left" w:leader="none"/>
        </w:tabs>
        <w:spacing w:line="229" w:lineRule="exact" w:before="1" w:after="0"/>
        <w:ind w:left="978" w:right="0" w:hanging="348"/>
        <w:jc w:val="left"/>
      </w:pPr>
      <w:r>
        <w:rPr/>
        <w:t>OBJECTIVE</w:t>
      </w:r>
    </w:p>
    <w:p>
      <w:pPr>
        <w:pStyle w:val="BodyText"/>
        <w:ind w:left="270" w:right="677"/>
        <w:jc w:val="both"/>
      </w:pPr>
      <w:r>
        <w:rPr/>
        <w:t>To identify and improve inadequate movements performed by employees of the "cellophane packaging" area of a confectionery and chewing gum company through the RULA method , in order to reduce injuries, illnesses, absenteeism and disability, and to increase and make the packaging method more</w:t>
      </w:r>
      <w:r>
        <w:rPr>
          <w:spacing w:val="-14"/>
        </w:rPr>
        <w:t> </w:t>
      </w:r>
      <w:r>
        <w:rPr/>
        <w:t>dynamic.</w:t>
      </w:r>
    </w:p>
    <w:p>
      <w:pPr>
        <w:pStyle w:val="BodyText"/>
        <w:spacing w:before="2"/>
      </w:pPr>
    </w:p>
    <w:p>
      <w:pPr>
        <w:pStyle w:val="Heading4"/>
        <w:numPr>
          <w:ilvl w:val="0"/>
          <w:numId w:val="96"/>
        </w:numPr>
        <w:tabs>
          <w:tab w:pos="979" w:val="left" w:leader="none"/>
        </w:tabs>
        <w:spacing w:line="229" w:lineRule="exact" w:before="0" w:after="0"/>
        <w:ind w:left="978" w:right="0" w:hanging="348"/>
        <w:jc w:val="left"/>
      </w:pPr>
      <w:r>
        <w:rPr/>
        <w:t>METHODOLOGY</w:t>
      </w:r>
    </w:p>
    <w:p>
      <w:pPr>
        <w:pStyle w:val="BodyText"/>
        <w:ind w:left="270" w:right="677"/>
        <w:jc w:val="both"/>
      </w:pPr>
      <w:r>
        <w:rPr/>
        <w:t>This research was carried out in a well-known transnational company in the city of Puebla marketing products such as snacks, candies, gums, biscuits, cheese and powdered beverages. Being the largest in the field of confectionery  and</w:t>
      </w:r>
      <w:r>
        <w:rPr>
          <w:spacing w:val="23"/>
        </w:rPr>
        <w:t> </w:t>
      </w:r>
      <w:r>
        <w:rPr/>
        <w:t>chewing</w:t>
      </w:r>
      <w:r>
        <w:rPr>
          <w:spacing w:val="22"/>
        </w:rPr>
        <w:t> </w:t>
      </w:r>
      <w:r>
        <w:rPr/>
        <w:t>gum</w:t>
      </w:r>
      <w:r>
        <w:rPr>
          <w:spacing w:val="22"/>
        </w:rPr>
        <w:t> </w:t>
      </w:r>
      <w:r>
        <w:rPr/>
        <w:t>in</w:t>
      </w:r>
      <w:r>
        <w:rPr>
          <w:spacing w:val="24"/>
        </w:rPr>
        <w:t> </w:t>
      </w:r>
      <w:r>
        <w:rPr/>
        <w:t>the</w:t>
      </w:r>
      <w:r>
        <w:rPr>
          <w:spacing w:val="23"/>
        </w:rPr>
        <w:t> </w:t>
      </w:r>
      <w:r>
        <w:rPr/>
        <w:t>group</w:t>
      </w:r>
      <w:r>
        <w:rPr>
          <w:spacing w:val="23"/>
        </w:rPr>
        <w:t> </w:t>
      </w:r>
      <w:r>
        <w:rPr/>
        <w:t>it</w:t>
      </w:r>
      <w:r>
        <w:rPr>
          <w:spacing w:val="23"/>
        </w:rPr>
        <w:t> </w:t>
      </w:r>
      <w:r>
        <w:rPr/>
        <w:t>belongs</w:t>
      </w:r>
      <w:r>
        <w:rPr>
          <w:spacing w:val="23"/>
        </w:rPr>
        <w:t> </w:t>
      </w:r>
      <w:r>
        <w:rPr/>
        <w:t>to,</w:t>
      </w:r>
      <w:r>
        <w:rPr>
          <w:spacing w:val="23"/>
        </w:rPr>
        <w:t> </w:t>
      </w:r>
      <w:r>
        <w:rPr/>
        <w:t>the</w:t>
      </w:r>
      <w:r>
        <w:rPr>
          <w:spacing w:val="23"/>
        </w:rPr>
        <w:t> </w:t>
      </w:r>
      <w:r>
        <w:rPr/>
        <w:t>company</w:t>
      </w:r>
    </w:p>
    <w:p>
      <w:pPr>
        <w:spacing w:after="0"/>
        <w:jc w:val="both"/>
        <w:sectPr>
          <w:type w:val="continuous"/>
          <w:pgSz w:w="12240" w:h="15840"/>
          <w:pgMar w:top="1500" w:bottom="280" w:left="580" w:right="220"/>
          <w:cols w:num="2" w:equalWidth="0">
            <w:col w:w="5192" w:space="432"/>
            <w:col w:w="5816"/>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4"/>
        <w:ind w:left="142"/>
        <w:jc w:val="right"/>
      </w:pPr>
      <w:r>
        <w:rPr/>
        <w:t>uses cutting-edge technology. The subject of study was</w:t>
      </w:r>
      <w:r>
        <w:rPr>
          <w:w w:val="100"/>
        </w:rPr>
        <w:t> </w:t>
      </w:r>
      <w:r>
        <w:rPr/>
        <w:t>selected according to the processes which take place in the</w:t>
      </w:r>
      <w:r>
        <w:rPr>
          <w:w w:val="100"/>
        </w:rPr>
        <w:t> </w:t>
      </w:r>
      <w:r>
        <w:rPr/>
        <w:t>area, being the 4-pellet chewing gum packaging the main</w:t>
      </w:r>
      <w:r>
        <w:rPr>
          <w:w w:val="100"/>
        </w:rPr>
        <w:t> </w:t>
      </w:r>
      <w:r>
        <w:rPr/>
        <w:t>process carried out. The area is called Cellophane Packaging.</w:t>
      </w:r>
    </w:p>
    <w:p>
      <w:pPr>
        <w:pStyle w:val="BodyText"/>
        <w:ind w:left="270" w:firstLine="708"/>
        <w:jc w:val="both"/>
      </w:pPr>
      <w:r>
        <w:rPr/>
        <w:t>The operator packs 4 to 5 boxes in 60 seconds, 300 in 1 hour for a total of about 2100 boxes during a seven-  hour working shift. See Table No. 5. Filling these boxes involves repetitive movements of the arms, forearms, wrists and fingers, being the last two the most affected as, within a minute 16 forced movements, wrist and fingers flexion and extension are performed to place the finished product into boxes resulting in a total of 960 repetitions in 1 hour of  work.</w:t>
      </w:r>
    </w:p>
    <w:p>
      <w:pPr>
        <w:pStyle w:val="BodyText"/>
        <w:spacing w:before="3"/>
      </w:pPr>
    </w:p>
    <w:p>
      <w:pPr>
        <w:pStyle w:val="Heading4"/>
        <w:numPr>
          <w:ilvl w:val="1"/>
          <w:numId w:val="97"/>
        </w:numPr>
        <w:tabs>
          <w:tab w:pos="571" w:val="left" w:leader="none"/>
        </w:tabs>
        <w:spacing w:line="228" w:lineRule="exact" w:before="0" w:after="0"/>
        <w:ind w:left="570" w:right="0" w:hanging="300"/>
        <w:jc w:val="both"/>
      </w:pPr>
      <w:r>
        <w:rPr/>
        <w:t>RULA</w:t>
      </w:r>
    </w:p>
    <w:p>
      <w:pPr>
        <w:pStyle w:val="BodyText"/>
        <w:ind w:left="270"/>
        <w:jc w:val="both"/>
      </w:pPr>
      <w:r>
        <w:rPr/>
        <w:t>The RULA method (Rapid Upper Limb Assessment) [3] was developed by the Dr. McAtamney and Dr. Corlett from the University of Nottingham in 1993, to assess the exposure of workers to risk factors that can cause disorders in the upper limbs of the body: postures, repeatability of movements, applied forces and static activity of the musculoskeletal system.</w:t>
      </w:r>
    </w:p>
    <w:p>
      <w:pPr>
        <w:pStyle w:val="BodyText"/>
        <w:spacing w:before="4"/>
        <w:rPr>
          <w:sz w:val="26"/>
        </w:rPr>
      </w:pPr>
      <w:r>
        <w:rPr/>
        <w:br w:type="column"/>
      </w:r>
      <w:r>
        <w:rPr>
          <w:sz w:val="26"/>
        </w:rPr>
      </w:r>
    </w:p>
    <w:p>
      <w:pPr>
        <w:pStyle w:val="BodyText"/>
        <w:ind w:left="270" w:right="702"/>
      </w:pPr>
      <w:r>
        <w:rPr/>
        <w:t>Figure No. 1 Group A analysis</w:t>
      </w:r>
    </w:p>
    <w:p>
      <w:pPr>
        <w:spacing w:after="0"/>
        <w:sectPr>
          <w:type w:val="continuous"/>
          <w:pgSz w:w="12240" w:h="15840"/>
          <w:pgMar w:top="1500" w:bottom="280" w:left="580" w:right="220"/>
          <w:cols w:num="2" w:equalWidth="0">
            <w:col w:w="5188" w:space="436"/>
            <w:col w:w="5816"/>
          </w:cols>
        </w:sectPr>
      </w:pPr>
    </w:p>
    <w:p>
      <w:pPr>
        <w:pStyle w:val="BodyText"/>
        <w:ind w:left="270" w:right="6248" w:firstLine="708"/>
        <w:jc w:val="both"/>
      </w:pPr>
      <w:r>
        <w:rPr/>
        <w:pict>
          <v:shape style="position:absolute;margin-left:324.119995pt;margin-top:-111.562614pt;width:216.55pt;height:125.95pt;mso-position-horizontal-relative:page;mso-position-vertical-relative:paragraph;z-index:-867640" type="#_x0000_t202" filled="false" stroked="false">
            <v:textbox inset="0,0,0,0">
              <w:txbxContent>
                <w:p>
                  <w:pPr>
                    <w:spacing w:before="282"/>
                    <w:ind w:left="176" w:right="0" w:firstLine="0"/>
                    <w:jc w:val="left"/>
                    <w:rPr>
                      <w:rFonts w:ascii="Calibri"/>
                      <w:sz w:val="48"/>
                    </w:rPr>
                  </w:pPr>
                  <w:r>
                    <w:rPr>
                      <w:rFonts w:ascii="Calibri"/>
                      <w:color w:val="FFFF00"/>
                      <w:sz w:val="48"/>
                    </w:rPr>
                    <w:t>b</w:t>
                  </w:r>
                </w:p>
                <w:p>
                  <w:pPr>
                    <w:pStyle w:val="BodyText"/>
                    <w:spacing w:before="5"/>
                    <w:rPr>
                      <w:sz w:val="41"/>
                    </w:rPr>
                  </w:pPr>
                </w:p>
                <w:p>
                  <w:pPr>
                    <w:spacing w:before="1"/>
                    <w:ind w:left="2828" w:right="0" w:firstLine="0"/>
                    <w:jc w:val="left"/>
                    <w:rPr>
                      <w:rFonts w:ascii="Calibri" w:hAnsi="Calibri"/>
                      <w:sz w:val="48"/>
                    </w:rPr>
                  </w:pPr>
                  <w:r>
                    <w:rPr>
                      <w:rFonts w:ascii="Calibri" w:hAnsi="Calibri"/>
                      <w:color w:val="FFFF00"/>
                      <w:sz w:val="48"/>
                    </w:rPr>
                    <w:t>45°</w:t>
                  </w:r>
                </w:p>
              </w:txbxContent>
            </v:textbox>
            <w10:wrap type="none"/>
          </v:shape>
        </w:pict>
      </w:r>
      <w:r>
        <w:rPr/>
        <w:pict>
          <v:shape style="position:absolute;margin-left:325.440002pt;margin-top:24.577387pt;width:211.75pt;height:125.55pt;mso-position-horizontal-relative:page;mso-position-vertical-relative:paragraph;z-index:-867616" type="#_x0000_t202" filled="false" stroked="false">
            <v:textbox inset="0,0,0,0">
              <w:txbxContent>
                <w:p>
                  <w:pPr>
                    <w:spacing w:before="109"/>
                    <w:ind w:left="249" w:right="0" w:firstLine="0"/>
                    <w:jc w:val="left"/>
                    <w:rPr>
                      <w:rFonts w:ascii="Calibri"/>
                      <w:sz w:val="48"/>
                    </w:rPr>
                  </w:pPr>
                  <w:r>
                    <w:rPr>
                      <w:rFonts w:ascii="Calibri"/>
                      <w:color w:val="FFFF00"/>
                      <w:sz w:val="48"/>
                    </w:rPr>
                    <w:t>c</w:t>
                  </w:r>
                </w:p>
              </w:txbxContent>
            </v:textbox>
            <w10:wrap type="none"/>
          </v:shape>
        </w:pict>
      </w:r>
      <w:r>
        <w:rPr/>
        <w:pict>
          <v:shape style="position:absolute;margin-left:325.260010pt;margin-top:37.177387pt;width:214.7pt;height:146.3pt;mso-position-horizontal-relative:page;mso-position-vertical-relative:paragraph;z-index:-867592" type="#_x0000_t202" filled="false" stroked="false">
            <v:textbox inset="0,0,0,0">
              <w:txbxContent>
                <w:p>
                  <w:pPr>
                    <w:pStyle w:val="BodyText"/>
                    <w:rPr>
                      <w:sz w:val="48"/>
                    </w:rPr>
                  </w:pPr>
                </w:p>
                <w:p>
                  <w:pPr>
                    <w:pStyle w:val="BodyText"/>
                    <w:rPr>
                      <w:sz w:val="48"/>
                    </w:rPr>
                  </w:pPr>
                </w:p>
                <w:p>
                  <w:pPr>
                    <w:pStyle w:val="BodyText"/>
                    <w:spacing w:before="5"/>
                    <w:rPr>
                      <w:sz w:val="48"/>
                    </w:rPr>
                  </w:pPr>
                </w:p>
                <w:p>
                  <w:pPr>
                    <w:spacing w:before="0"/>
                    <w:ind w:left="255" w:right="0" w:firstLine="0"/>
                    <w:jc w:val="left"/>
                    <w:rPr>
                      <w:rFonts w:ascii="Calibri"/>
                      <w:sz w:val="48"/>
                    </w:rPr>
                  </w:pPr>
                  <w:r>
                    <w:rPr>
                      <w:rFonts w:ascii="Calibri"/>
                      <w:color w:val="FFFF00"/>
                      <w:sz w:val="48"/>
                    </w:rPr>
                    <w:t>e</w:t>
                  </w:r>
                </w:p>
              </w:txbxContent>
            </v:textbox>
            <w10:wrap type="none"/>
          </v:shape>
        </w:pict>
      </w:r>
      <w:r>
        <w:rPr/>
        <w:pict>
          <v:shape style="position:absolute;margin-left:325.559998pt;margin-top:-122.602615pt;width:210.4pt;height:147.1pt;mso-position-horizontal-relative:page;mso-position-vertical-relative:paragraph;z-index:-867568" type="#_x0000_t202" filled="false" stroked="false">
            <v:textbox inset="0,0,0,0">
              <w:txbxContent>
                <w:p>
                  <w:pPr>
                    <w:spacing w:before="384"/>
                    <w:ind w:left="219" w:right="0" w:firstLine="0"/>
                    <w:jc w:val="left"/>
                    <w:rPr>
                      <w:rFonts w:ascii="Calibri"/>
                      <w:sz w:val="48"/>
                    </w:rPr>
                  </w:pPr>
                  <w:r>
                    <w:rPr>
                      <w:rFonts w:ascii="Calibri"/>
                      <w:color w:val="FFFF00"/>
                      <w:sz w:val="48"/>
                    </w:rPr>
                    <w:t>d</w:t>
                  </w:r>
                </w:p>
                <w:p>
                  <w:pPr>
                    <w:pStyle w:val="BodyText"/>
                    <w:rPr>
                      <w:sz w:val="48"/>
                    </w:rPr>
                  </w:pPr>
                </w:p>
                <w:p>
                  <w:pPr>
                    <w:pStyle w:val="BodyText"/>
                    <w:spacing w:before="1"/>
                    <w:rPr>
                      <w:sz w:val="58"/>
                    </w:rPr>
                  </w:pPr>
                </w:p>
                <w:p>
                  <w:pPr>
                    <w:spacing w:before="0"/>
                    <w:ind w:left="2600" w:right="0" w:firstLine="0"/>
                    <w:jc w:val="left"/>
                    <w:rPr>
                      <w:rFonts w:ascii="Calibri" w:hAnsi="Calibri"/>
                      <w:sz w:val="48"/>
                    </w:rPr>
                  </w:pPr>
                  <w:r>
                    <w:rPr>
                      <w:rFonts w:ascii="Calibri" w:hAnsi="Calibri"/>
                      <w:color w:val="FFFF00"/>
                      <w:sz w:val="48"/>
                    </w:rPr>
                    <w:t>90 °</w:t>
                  </w:r>
                </w:p>
              </w:txbxContent>
            </v:textbox>
            <w10:wrap type="none"/>
          </v:shape>
        </w:pict>
      </w:r>
      <w:r>
        <w:rPr/>
        <w:pict>
          <v:group style="position:absolute;margin-left:317.114990pt;margin-top:-223.342621pt;width:224.45pt;height:406.8pt;mso-position-horizontal-relative:page;mso-position-vertical-relative:paragraph;z-index:11344" coordorigin="6342,-4467" coordsize="4489,8136">
            <v:shape style="position:absolute;left:6515;top:-4467;width:4240;height:2354" type="#_x0000_t75" stroked="false">
              <v:imagedata r:id="rId416" o:title=""/>
            </v:shape>
            <v:shape style="position:absolute;left:6515;top:-1977;width:4252;height:2347" type="#_x0000_t75" stroked="false">
              <v:imagedata r:id="rId417" o:title=""/>
            </v:shape>
            <v:shape style="position:absolute;left:6515;top:-1977;width:4244;height:2348" coordorigin="6515,-1977" coordsize="4244,2348" path="m8641,-1977l8641,370m6515,-378l10758,-378e" filled="false" stroked="true" strokeweight="2.25pt" strokecolor="#ffff00">
              <v:path arrowok="t"/>
              <v:stroke dashstyle="longDash"/>
            </v:shape>
            <v:line style="position:absolute" from="8636,-378" to="9908,-1474" stroked="true" strokeweight="2.25pt" strokecolor="#ffff00"/>
            <v:shape style="position:absolute;left:6482;top:-2231;width:4330;height:2519" type="#_x0000_t75" stroked="false">
              <v:imagedata r:id="rId418" o:title=""/>
            </v:shape>
            <v:shape style="position:absolute;left:7345;top:-2224;width:3464;height:2512" coordorigin="7345,-2224" coordsize="3464,2512" path="m9076,-2224l9076,288m9076,-466l7345,-466m10808,-466l9076,-466e" filled="false" stroked="true" strokeweight="2.25pt" strokecolor="#ffff00">
              <v:path arrowok="t"/>
            </v:shape>
            <v:shape style="position:absolute;left:8752;top:-718;width:650;height:504" coordorigin="8752,-718" coordsize="650,504" path="m9077,-718l8990,-709,8912,-684,8847,-644,8796,-593,8763,-533,8752,-466,8763,-399,8796,-339,8847,-288,8912,-248,8990,-223,9077,-214,9163,-223,9240,-248,9306,-288,9357,-339,9389,-399,9401,-466,9389,-533,9357,-593,9306,-644,9240,-684,9163,-709,9077,-718xe" filled="false" stroked="true" strokeweight="2.0pt" strokecolor="#ffff00">
              <v:path arrowok="t"/>
            </v:shape>
            <v:shape style="position:absolute;left:6530;top:529;width:4220;height:2268" type="#_x0000_t75" stroked="false">
              <v:imagedata r:id="rId419" o:title=""/>
            </v:shape>
            <v:line style="position:absolute" from="8840,529" to="8840,2797" stroked="true" strokeweight="2.25pt" strokecolor="#ffff00">
              <v:stroke dashstyle="longDash"/>
            </v:line>
            <v:shape style="position:absolute;left:7675;top:1675;width:2439;height:209" coordorigin="7675,1675" coordsize="2439,209" path="m10114,1779l10077,1758,9946,1681,9935,1675,9920,1678,9908,1700,9912,1714,9923,1720,9987,1758,8840,1758,7802,1758,7866,1720,7877,1714,7880,1700,7868,1678,7854,1675,7843,1681,7675,1779,7843,1878,7854,1884,7868,1880,7880,1858,7877,1845,7866,1839,7803,1802,8840,1802,9986,1802,9923,1839,9912,1845,9908,1858,9920,1880,9935,1884,9946,1878,10075,1802,10114,1779e" filled="true" fillcolor="#ffff00" stroked="false">
              <v:path arrowok="t"/>
              <v:fill type="solid"/>
            </v:shape>
            <v:shape style="position:absolute;left:6509;top:492;width:4235;height:2510" type="#_x0000_t75" stroked="false">
              <v:imagedata r:id="rId420" o:title=""/>
            </v:shape>
            <v:line style="position:absolute" from="8890,576" to="8890,3002" stroked="true" strokeweight="2.25pt" strokecolor="#ffff00"/>
            <v:shape style="position:absolute;left:6505;top:744;width:4293;height:2926" type="#_x0000_t75" stroked="false">
              <v:imagedata r:id="rId421" o:title=""/>
            </v:shape>
            <v:shape style="position:absolute;left:7256;top:1813;width:3506;height:776" coordorigin="7256,1813" coordsize="3506,776" path="m7735,1887l7726,1973,7708,2056,7683,2134,7650,2206,7610,2273,7563,2333,7511,2386,7454,2430,7392,2466,7326,2492,7256,2508m10762,2588l10700,2525,10645,2460,10598,2393,10558,2324,10525,2255,10500,2186,10482,2118,10473,2051,10473,1986,10480,1925,10497,1866,10523,1813e" filled="false" stroked="true" strokeweight="3pt" strokecolor="#ffff00">
              <v:path arrowok="t"/>
            </v:shape>
            <v:shape style="position:absolute;left:6511;top:-2452;width:4207;height:2941" type="#_x0000_t75" stroked="false">
              <v:imagedata r:id="rId422" o:title=""/>
            </v:shape>
            <v:shape style="position:absolute;left:6365;top:-2452;width:4354;height:2940" coordorigin="6365,-2452" coordsize="4354,2940" path="m8174,-2452l8076,488m6365,-760l10718,-760e" filled="false" stroked="true" strokeweight="2.25pt" strokecolor="#ffff00">
              <v:path arrowok="t"/>
              <v:stroke dashstyle="longDash"/>
            </v:shape>
            <v:shape style="position:absolute;left:7588;top:-776;width:602;height:551" coordorigin="7588,-776" coordsize="602,551" path="m7662,-429l7649,-423,7645,-411,7588,-225,7649,-238,7636,-238,7606,-272,7666,-327,7688,-398,7692,-410,7686,-422,7662,-429xm7666,-327l7606,-272,7636,-238,7646,-248,7642,-248,7615,-276,7653,-285,7666,-327xm7781,-312l7769,-310,7697,-294,7636,-238,7649,-238,7777,-266,7790,-268,7798,-280,7793,-304,7781,-312xm7653,-285l7615,-276,7642,-248,7653,-285xm7697,-294l7653,-285,7642,-248,7646,-248,7697,-294xm8159,-776l7666,-327,7653,-285,7697,-294,8189,-743,8159,-776xe" filled="true" fillcolor="#ffff00" stroked="false">
              <v:path arrowok="t"/>
              <v:fill type="solid"/>
            </v:shape>
            <v:shape style="position:absolute;left:6659;top:-4212;width:230;height:480" type="#_x0000_t202" filled="false" stroked="false">
              <v:textbox inset="0,0,0,0">
                <w:txbxContent>
                  <w:p>
                    <w:pPr>
                      <w:spacing w:line="480" w:lineRule="exact" w:before="0"/>
                      <w:ind w:left="0" w:right="0" w:firstLine="0"/>
                      <w:jc w:val="left"/>
                      <w:rPr>
                        <w:rFonts w:ascii="Calibri"/>
                        <w:sz w:val="48"/>
                      </w:rPr>
                    </w:pPr>
                    <w:r>
                      <w:rPr>
                        <w:rFonts w:ascii="Calibri"/>
                        <w:color w:val="FFFF00"/>
                        <w:sz w:val="48"/>
                      </w:rPr>
                      <w:t>a</w:t>
                    </w:r>
                  </w:p>
                </w:txbxContent>
              </v:textbox>
              <w10:wrap type="none"/>
            </v:shape>
            <v:shape style="position:absolute;left:6752;top:-2195;width:147;height:480" type="#_x0000_t202" filled="false" stroked="false">
              <v:textbox inset="0,0,0,0">
                <w:txbxContent>
                  <w:p>
                    <w:pPr>
                      <w:spacing w:line="480" w:lineRule="exact" w:before="0"/>
                      <w:ind w:left="0" w:right="0" w:firstLine="0"/>
                      <w:jc w:val="left"/>
                      <w:rPr>
                        <w:rFonts w:ascii="Calibri"/>
                        <w:sz w:val="48"/>
                      </w:rPr>
                    </w:pPr>
                    <w:r>
                      <w:rPr>
                        <w:rFonts w:ascii="Calibri"/>
                        <w:color w:val="FFFF00"/>
                        <w:sz w:val="48"/>
                      </w:rPr>
                      <w:t>f</w:t>
                    </w:r>
                  </w:p>
                </w:txbxContent>
              </v:textbox>
              <w10:wrap type="none"/>
            </v:shape>
            <v:shape style="position:absolute;left:6698;top:3177;width:226;height:480" type="#_x0000_t202" filled="false" stroked="false">
              <v:textbox inset="0,0,0,0">
                <w:txbxContent>
                  <w:p>
                    <w:pPr>
                      <w:spacing w:line="480" w:lineRule="exact" w:before="0"/>
                      <w:ind w:left="0" w:right="0" w:firstLine="0"/>
                      <w:jc w:val="left"/>
                      <w:rPr>
                        <w:rFonts w:ascii="Calibri"/>
                        <w:sz w:val="48"/>
                      </w:rPr>
                    </w:pPr>
                    <w:r>
                      <w:rPr>
                        <w:rFonts w:ascii="Calibri"/>
                        <w:color w:val="FFFF00"/>
                        <w:sz w:val="48"/>
                      </w:rPr>
                      <w:t>g</w:t>
                    </w:r>
                  </w:p>
                </w:txbxContent>
              </v:textbox>
              <w10:wrap type="none"/>
            </v:shape>
            <w10:wrap type="none"/>
          </v:group>
        </w:pict>
      </w:r>
      <w:r>
        <w:rPr/>
        <w:t>RULA [4] evaluates specific postures involving a higher level of postural load. The application of the method begins with the observation of the employees’ activity over several cycles. From this observation the most significant tasks and postures should be selected, either for the length of time spent on that posture or for assuming a greater postural loading. These postures are to be evaluated. If the duty cycle is long, the assessments can be made in regular intervals. In this case the time spent by the worker in each posture will be considered.</w:t>
      </w:r>
    </w:p>
    <w:p>
      <w:pPr>
        <w:pStyle w:val="BodyText"/>
        <w:ind w:left="270" w:right="6249" w:firstLine="708"/>
        <w:jc w:val="both"/>
      </w:pPr>
      <w:r>
        <w:rPr/>
        <w:t>The key for assigning scores to each part is the measurement of the angles of the different parts of the operator’s body in respect of certain references in the analyzed body posture. The method determines for each part the angle measurement. This is carried out by taking photographs of the worker’s posture and measuring the angles on them.</w:t>
      </w:r>
    </w:p>
    <w:p>
      <w:pPr>
        <w:pStyle w:val="BodyText"/>
        <w:spacing w:before="3"/>
      </w:pPr>
    </w:p>
    <w:p>
      <w:pPr>
        <w:pStyle w:val="Heading4"/>
        <w:spacing w:line="228" w:lineRule="exact"/>
      </w:pPr>
      <w:r>
        <w:rPr/>
        <w:t>Application of the RULA method</w:t>
      </w:r>
    </w:p>
    <w:p>
      <w:pPr>
        <w:pStyle w:val="BodyText"/>
        <w:ind w:left="270" w:right="6250"/>
        <w:jc w:val="both"/>
      </w:pPr>
      <w:r>
        <w:rPr/>
        <w:t>The evaluation of the workstation of the cellophane packaging operator, using the RULA method, is carrying out a division of the body into two groups, group A that includes the upper limbs (arms, forearms and wrists) and group B, comprising the legs, trunk and neck. Through the tables associated to the method, a score is assigned to each of these parts and depending on these scores, overall values are assigned to each of the groups A and B. See Figures 1 and 2.</w:t>
      </w:r>
    </w:p>
    <w:p>
      <w:pPr>
        <w:spacing w:after="0"/>
        <w:jc w:val="both"/>
        <w:sectPr>
          <w:type w:val="continuous"/>
          <w:pgSz w:w="12240" w:h="15840"/>
          <w:pgMar w:top="1500" w:bottom="280" w:left="580" w:right="220"/>
        </w:sectPr>
      </w:pPr>
    </w:p>
    <w:p>
      <w:pPr>
        <w:pStyle w:val="BodyText"/>
        <w:spacing w:before="4"/>
        <w:rPr>
          <w:sz w:val="11"/>
        </w:rPr>
      </w:pPr>
    </w:p>
    <w:p>
      <w:pPr>
        <w:spacing w:after="0"/>
        <w:rPr>
          <w:sz w:val="11"/>
        </w:rPr>
        <w:sectPr>
          <w:footerReference w:type="default" r:id="rId423"/>
          <w:pgSz w:w="12240" w:h="15840"/>
          <w:pgMar w:footer="838" w:header="545" w:top="1060" w:bottom="1020" w:left="580" w:right="220"/>
          <w:pgNumType w:start="153"/>
        </w:sectPr>
      </w:pPr>
    </w:p>
    <w:p>
      <w:pPr>
        <w:pStyle w:val="BodyText"/>
        <w:spacing w:before="4"/>
        <w:rPr>
          <w:sz w:val="26"/>
        </w:rPr>
      </w:pPr>
    </w:p>
    <w:p>
      <w:pPr>
        <w:pStyle w:val="BodyText"/>
        <w:spacing w:before="1"/>
        <w:ind w:left="270"/>
        <w:jc w:val="both"/>
      </w:pPr>
      <w:r>
        <w:rPr/>
        <w:pict>
          <v:shape style="position:absolute;margin-left:39.540001pt;margin-top:19.586441pt;width:210.95pt;height:146.15pt;mso-position-horizontal-relative:page;mso-position-vertical-relative:paragraph;z-index:-867304" type="#_x0000_t202" filled="false" stroked="false">
            <v:textbox inset="0,0,0,0">
              <w:txbxContent>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spacing w:line="226" w:lineRule="exact" w:before="167"/>
                    <w:ind w:left="59" w:right="0" w:firstLine="0"/>
                    <w:jc w:val="left"/>
                    <w:rPr>
                      <w:b/>
                      <w:sz w:val="20"/>
                    </w:rPr>
                  </w:pPr>
                  <w:r>
                    <w:rPr>
                      <w:b/>
                      <w:sz w:val="20"/>
                    </w:rPr>
                    <w:t>Legs Analysis</w:t>
                  </w:r>
                </w:p>
              </w:txbxContent>
            </v:textbox>
            <w10:wrap type="none"/>
          </v:shape>
        </w:pict>
      </w:r>
      <w:r>
        <w:rPr/>
        <w:t>Figure No. 2 Group B Analysis</w:t>
      </w:r>
    </w:p>
    <w:p>
      <w:pPr>
        <w:pStyle w:val="BodyText"/>
        <w:rPr>
          <w:sz w:val="12"/>
        </w:rPr>
      </w:pPr>
    </w:p>
    <w:p>
      <w:pPr>
        <w:pStyle w:val="BodyText"/>
        <w:ind w:left="188"/>
      </w:pPr>
      <w:r>
        <w:rPr/>
        <w:pict>
          <v:group style="width:213.3pt;height:147.75pt;mso-position-horizontal-relative:char;mso-position-vertical-relative:line" coordorigin="0,0" coordsize="4266,2955">
            <v:shape style="position:absolute;left:96;top:1040;width:2678;height:504" type="#_x0000_t75" stroked="false">
              <v:imagedata r:id="rId424" o:title=""/>
            </v:shape>
            <v:shape style="position:absolute;left:23;top:23;width:4218;height:2910" type="#_x0000_t75" stroked="false">
              <v:imagedata r:id="rId425" o:title=""/>
            </v:shape>
            <v:line style="position:absolute" from="3135,23" to="3135,2933" stroked="true" strokeweight="2.25pt" strokecolor="#ffff00">
              <v:stroke dashstyle="longDash"/>
            </v:line>
            <v:line style="position:absolute" from="4243,1034" to="23,1034" stroked="true" strokeweight="2.25pt" strokecolor="#ffff00">
              <v:stroke dashstyle="longDash"/>
            </v:line>
            <v:shape style="position:absolute;left:2444;top:212;width:710;height:837" coordorigin="2444,212" coordsize="710,837" path="m2501,280l2509,326,3119,1048,3153,1020,2543,295,2501,280xm2444,212l2478,404,2479,417,2491,424,2503,423,2515,421,2523,409,2522,397,2509,326,2455,261,2490,232,2501,232,2444,212xm2490,232l2455,261,2509,326,2501,280,2465,267,2495,243,2499,243,2490,232xm2501,232l2490,232,2543,295,2612,320,2624,325,2637,319,2641,307,2646,295,2639,282,2628,278,2501,232xm2499,243l2495,243,2501,280,2543,295,2499,243xm2495,243l2465,267,2501,280,2495,243xe" filled="true" fillcolor="#ffff00" stroked="false">
              <v:path arrowok="t"/>
              <v:fill type="solid"/>
            </v:shape>
            <v:shape style="position:absolute;left:305;top:254;width:253;height:480" type="#_x0000_t202" filled="false" stroked="false">
              <v:textbox inset="0,0,0,0">
                <w:txbxContent>
                  <w:p>
                    <w:pPr>
                      <w:spacing w:line="480" w:lineRule="exact" w:before="0"/>
                      <w:ind w:left="0" w:right="0" w:firstLine="0"/>
                      <w:jc w:val="left"/>
                      <w:rPr>
                        <w:rFonts w:ascii="Calibri"/>
                        <w:sz w:val="48"/>
                      </w:rPr>
                    </w:pPr>
                    <w:r>
                      <w:rPr>
                        <w:rFonts w:ascii="Calibri"/>
                        <w:color w:val="FFFF00"/>
                        <w:sz w:val="48"/>
                      </w:rPr>
                      <w:t>h</w:t>
                    </w:r>
                  </w:p>
                </w:txbxContent>
              </v:textbox>
              <w10:wrap type="none"/>
            </v:shape>
            <v:shape style="position:absolute;left:1827;top:647;width:203;height:888" type="#_x0000_t202" filled="false" stroked="false">
              <v:textbox inset="0,0,0,0">
                <w:txbxContent>
                  <w:p>
                    <w:pPr>
                      <w:spacing w:line="407" w:lineRule="exact" w:before="0"/>
                      <w:ind w:left="0" w:right="0" w:firstLine="0"/>
                      <w:jc w:val="left"/>
                      <w:rPr>
                        <w:rFonts w:ascii="Calibri"/>
                        <w:sz w:val="40"/>
                      </w:rPr>
                    </w:pPr>
                    <w:r>
                      <w:rPr>
                        <w:rFonts w:ascii="Calibri"/>
                        <w:color w:val="FFFF00"/>
                        <w:w w:val="99"/>
                        <w:sz w:val="40"/>
                      </w:rPr>
                      <w:t>2</w:t>
                    </w:r>
                  </w:p>
                  <w:p>
                    <w:pPr>
                      <w:spacing w:line="481" w:lineRule="exact" w:before="0"/>
                      <w:ind w:left="0" w:right="0" w:firstLine="0"/>
                      <w:jc w:val="left"/>
                      <w:rPr>
                        <w:rFonts w:ascii="Calibri"/>
                        <w:sz w:val="40"/>
                      </w:rPr>
                    </w:pPr>
                    <w:r>
                      <w:rPr>
                        <w:rFonts w:ascii="Calibri"/>
                        <w:color w:val="FFFF00"/>
                        <w:w w:val="99"/>
                        <w:sz w:val="40"/>
                      </w:rPr>
                      <w:t>3</w:t>
                    </w:r>
                  </w:p>
                </w:txbxContent>
              </v:textbox>
              <w10:wrap type="none"/>
            </v:shape>
          </v:group>
        </w:pict>
      </w:r>
      <w:r>
        <w:rPr/>
      </w:r>
    </w:p>
    <w:p>
      <w:pPr>
        <w:pStyle w:val="BodyText"/>
        <w:spacing w:before="1"/>
        <w:rPr>
          <w:sz w:val="12"/>
        </w:rPr>
      </w:pPr>
      <w:r>
        <w:rPr/>
        <w:pict>
          <v:group style="position:absolute;margin-left:43.395pt;margin-top:8.943003pt;width:212.4pt;height:127.25pt;mso-position-horizontal-relative:page;mso-position-vertical-relative:paragraph;z-index:11464;mso-wrap-distance-left:0;mso-wrap-distance-right:0" coordorigin="868,179" coordsize="4248,2545">
            <v:shape style="position:absolute;left:892;top:201;width:4207;height:2498" type="#_x0000_t75" stroked="false">
              <v:imagedata r:id="rId426" o:title=""/>
            </v:shape>
            <v:line style="position:absolute" from="4472,201" to="4472,2701" stroked="true" strokeweight="2.25pt" strokecolor="#ffff00">
              <v:stroke dashstyle="longDash"/>
            </v:line>
            <v:line style="position:absolute" from="5093,2048" to="890,2048" stroked="true" strokeweight="2.25pt" strokecolor="#ffff00">
              <v:stroke dashstyle="longDash"/>
            </v:line>
            <v:shape style="position:absolute;left:3505;top:311;width:988;height:1749" coordorigin="3505,311" coordsize="988,1749" path="m3552,389l3551,433,4453,2059,4493,2037,3591,411,3552,389xm3509,311l3505,506,3505,518,3515,528,3527,529,3539,529,3550,519,3550,506,3551,433,3511,361,3551,339,3557,339,3509,311xm3557,339l3551,339,3591,411,3654,449,3665,456,3678,452,3684,441,3691,431,3688,416,3677,410,3557,339xm3551,339l3511,361,3551,433,3552,389,3520,369,3553,350,3557,350,3551,339xm3557,350l3553,350,3552,389,3591,411,3557,350xm3553,350l3520,369,3552,389,3553,350xe" filled="true" fillcolor="#ffff00" stroked="false">
              <v:path arrowok="t"/>
              <v:fill type="solid"/>
            </v:shape>
            <v:shape style="position:absolute;left:1172;top:408;width:92;height:400" type="#_x0000_t202" filled="false" stroked="false">
              <v:textbox inset="0,0,0,0">
                <w:txbxContent>
                  <w:p>
                    <w:pPr>
                      <w:spacing w:line="400" w:lineRule="exact" w:before="0"/>
                      <w:ind w:left="0" w:right="0" w:firstLine="0"/>
                      <w:jc w:val="left"/>
                      <w:rPr>
                        <w:rFonts w:ascii="Calibri"/>
                        <w:sz w:val="40"/>
                      </w:rPr>
                    </w:pPr>
                    <w:r>
                      <w:rPr>
                        <w:rFonts w:ascii="Calibri"/>
                        <w:color w:val="FFFF00"/>
                        <w:w w:val="99"/>
                        <w:sz w:val="40"/>
                      </w:rPr>
                      <w:t>i</w:t>
                    </w:r>
                  </w:p>
                </w:txbxContent>
              </v:textbox>
              <w10:wrap type="none"/>
            </v:shape>
            <w10:wrap type="topAndBottom"/>
          </v:group>
        </w:pict>
      </w:r>
    </w:p>
    <w:p>
      <w:pPr>
        <w:pStyle w:val="BodyText"/>
        <w:spacing w:before="2"/>
        <w:rPr>
          <w:sz w:val="18"/>
        </w:rPr>
      </w:pPr>
    </w:p>
    <w:p>
      <w:pPr>
        <w:pStyle w:val="BodyText"/>
        <w:ind w:left="270"/>
        <w:jc w:val="both"/>
      </w:pPr>
      <w:r>
        <w:rPr/>
        <w:t>The operator is sat during the whole task with her legs on the seat and her feet on the foot rest of the stool or, at any given moment, on the foot rest adapted on the Workstation.</w:t>
      </w:r>
    </w:p>
    <w:p>
      <w:pPr>
        <w:pStyle w:val="BodyText"/>
        <w:ind w:left="270"/>
        <w:jc w:val="both"/>
      </w:pPr>
      <w:r>
        <w:rPr/>
        <w:t>Her weight is symmetrically distributed and there is enough room to change posture, there this is scored with 1 point.</w:t>
      </w:r>
    </w:p>
    <w:p>
      <w:pPr>
        <w:pStyle w:val="BodyText"/>
        <w:ind w:left="270"/>
        <w:jc w:val="both"/>
      </w:pPr>
      <w:r>
        <w:rPr/>
        <w:t>Table 1 shows the Group A Global Score equal to 5 points, corresponding to the upper limbs of the operator.</w:t>
      </w:r>
    </w:p>
    <w:p>
      <w:pPr>
        <w:pStyle w:val="BodyText"/>
        <w:spacing w:line="230" w:lineRule="exact"/>
        <w:ind w:left="270"/>
        <w:jc w:val="both"/>
      </w:pPr>
      <w:r>
        <w:rPr/>
        <w:t>Group A Individual Results:</w:t>
      </w:r>
    </w:p>
    <w:p>
      <w:pPr>
        <w:pStyle w:val="ListParagraph"/>
        <w:numPr>
          <w:ilvl w:val="2"/>
          <w:numId w:val="97"/>
        </w:numPr>
        <w:tabs>
          <w:tab w:pos="990" w:val="left" w:leader="none"/>
          <w:tab w:pos="991" w:val="left" w:leader="none"/>
        </w:tabs>
        <w:spacing w:line="231" w:lineRule="exact" w:before="0" w:after="0"/>
        <w:ind w:left="270" w:right="0" w:firstLine="360"/>
        <w:jc w:val="left"/>
        <w:rPr>
          <w:sz w:val="20"/>
        </w:rPr>
      </w:pPr>
      <w:r>
        <w:rPr>
          <w:sz w:val="20"/>
        </w:rPr>
        <w:t>Arm:</w:t>
      </w:r>
      <w:r>
        <w:rPr>
          <w:spacing w:val="-3"/>
          <w:sz w:val="20"/>
        </w:rPr>
        <w:t> </w:t>
      </w:r>
      <w:r>
        <w:rPr>
          <w:sz w:val="20"/>
        </w:rPr>
        <w:t>3</w:t>
      </w:r>
    </w:p>
    <w:p>
      <w:pPr>
        <w:pStyle w:val="ListParagraph"/>
        <w:numPr>
          <w:ilvl w:val="2"/>
          <w:numId w:val="97"/>
        </w:numPr>
        <w:tabs>
          <w:tab w:pos="990" w:val="left" w:leader="none"/>
          <w:tab w:pos="991" w:val="left" w:leader="none"/>
        </w:tabs>
        <w:spacing w:line="231" w:lineRule="exact" w:before="0" w:after="0"/>
        <w:ind w:left="990" w:right="0" w:hanging="360"/>
        <w:jc w:val="left"/>
        <w:rPr>
          <w:sz w:val="20"/>
        </w:rPr>
      </w:pPr>
      <w:r>
        <w:rPr>
          <w:sz w:val="20"/>
        </w:rPr>
        <w:t>Forearm:</w:t>
      </w:r>
      <w:r>
        <w:rPr>
          <w:spacing w:val="-3"/>
          <w:sz w:val="20"/>
        </w:rPr>
        <w:t> </w:t>
      </w:r>
      <w:r>
        <w:rPr>
          <w:sz w:val="20"/>
        </w:rPr>
        <w:t>1</w:t>
      </w:r>
    </w:p>
    <w:p>
      <w:pPr>
        <w:pStyle w:val="ListParagraph"/>
        <w:numPr>
          <w:ilvl w:val="2"/>
          <w:numId w:val="97"/>
        </w:numPr>
        <w:tabs>
          <w:tab w:pos="990" w:val="left" w:leader="none"/>
          <w:tab w:pos="991" w:val="left" w:leader="none"/>
        </w:tabs>
        <w:spacing w:line="230" w:lineRule="exact" w:before="0" w:after="0"/>
        <w:ind w:left="990" w:right="0" w:hanging="360"/>
        <w:jc w:val="left"/>
        <w:rPr>
          <w:sz w:val="20"/>
        </w:rPr>
      </w:pPr>
      <w:r>
        <w:rPr>
          <w:sz w:val="20"/>
        </w:rPr>
        <w:t>Wrist:</w:t>
      </w:r>
      <w:r>
        <w:rPr>
          <w:spacing w:val="-4"/>
          <w:sz w:val="20"/>
        </w:rPr>
        <w:t> </w:t>
      </w:r>
      <w:r>
        <w:rPr>
          <w:sz w:val="20"/>
        </w:rPr>
        <w:t>4</w:t>
      </w:r>
    </w:p>
    <w:p>
      <w:pPr>
        <w:pStyle w:val="ListParagraph"/>
        <w:numPr>
          <w:ilvl w:val="2"/>
          <w:numId w:val="97"/>
        </w:numPr>
        <w:tabs>
          <w:tab w:pos="990" w:val="left" w:leader="none"/>
          <w:tab w:pos="991" w:val="left" w:leader="none"/>
        </w:tabs>
        <w:spacing w:line="240" w:lineRule="auto" w:before="0" w:after="0"/>
        <w:ind w:left="270" w:right="3106" w:firstLine="360"/>
        <w:jc w:val="left"/>
        <w:rPr>
          <w:sz w:val="20"/>
        </w:rPr>
      </w:pPr>
      <w:r>
        <w:rPr>
          <w:sz w:val="20"/>
        </w:rPr>
        <w:t>Wrist twist: 1 Therefore:</w:t>
      </w:r>
    </w:p>
    <w:p>
      <w:pPr>
        <w:pStyle w:val="BodyText"/>
        <w:spacing w:line="229" w:lineRule="exact"/>
        <w:ind w:left="270"/>
        <w:jc w:val="both"/>
      </w:pPr>
      <w:r>
        <w:rPr/>
        <w:t>Table 1. Group A Global Score</w:t>
      </w:r>
    </w:p>
    <w:p>
      <w:pPr>
        <w:pStyle w:val="BodyText"/>
        <w:spacing w:before="74"/>
        <w:ind w:left="270" w:right="677"/>
        <w:jc w:val="both"/>
      </w:pPr>
      <w:r>
        <w:rPr/>
        <w:br w:type="column"/>
      </w:r>
      <w:r>
        <w:rPr/>
        <w:t>Once the individual values of the lower limbs were obtained the Group B global score is calculated similarly to 3 points. As show no Table 2.</w:t>
      </w:r>
    </w:p>
    <w:p>
      <w:pPr>
        <w:pStyle w:val="BodyText"/>
        <w:spacing w:line="230" w:lineRule="exact"/>
        <w:ind w:left="270"/>
        <w:jc w:val="both"/>
      </w:pPr>
      <w:r>
        <w:rPr/>
        <w:t>Group B Individual Results:</w:t>
      </w:r>
    </w:p>
    <w:p>
      <w:pPr>
        <w:pStyle w:val="ListParagraph"/>
        <w:numPr>
          <w:ilvl w:val="2"/>
          <w:numId w:val="97"/>
        </w:numPr>
        <w:tabs>
          <w:tab w:pos="990" w:val="left" w:leader="none"/>
          <w:tab w:pos="991" w:val="left" w:leader="none"/>
        </w:tabs>
        <w:spacing w:line="231" w:lineRule="exact" w:before="0" w:after="0"/>
        <w:ind w:left="990" w:right="0" w:hanging="360"/>
        <w:jc w:val="left"/>
        <w:rPr>
          <w:sz w:val="20"/>
        </w:rPr>
      </w:pPr>
      <w:r>
        <w:rPr>
          <w:sz w:val="20"/>
        </w:rPr>
        <w:t>Neck:  </w:t>
      </w:r>
      <w:r>
        <w:rPr>
          <w:spacing w:val="46"/>
          <w:sz w:val="20"/>
        </w:rPr>
        <w:t> </w:t>
      </w:r>
      <w:r>
        <w:rPr>
          <w:sz w:val="20"/>
        </w:rPr>
        <w:t>3</w:t>
      </w:r>
    </w:p>
    <w:p>
      <w:pPr>
        <w:pStyle w:val="ListParagraph"/>
        <w:numPr>
          <w:ilvl w:val="2"/>
          <w:numId w:val="97"/>
        </w:numPr>
        <w:tabs>
          <w:tab w:pos="990" w:val="left" w:leader="none"/>
          <w:tab w:pos="991" w:val="left" w:leader="none"/>
        </w:tabs>
        <w:spacing w:line="231" w:lineRule="exact" w:before="0" w:after="0"/>
        <w:ind w:left="990" w:right="0" w:hanging="360"/>
        <w:jc w:val="left"/>
        <w:rPr>
          <w:sz w:val="20"/>
        </w:rPr>
      </w:pPr>
      <w:r>
        <w:rPr>
          <w:sz w:val="20"/>
        </w:rPr>
        <w:t>Trunk: </w:t>
      </w:r>
      <w:r>
        <w:rPr>
          <w:spacing w:val="47"/>
          <w:sz w:val="20"/>
        </w:rPr>
        <w:t> </w:t>
      </w:r>
      <w:r>
        <w:rPr>
          <w:sz w:val="20"/>
        </w:rPr>
        <w:t>2</w:t>
      </w:r>
    </w:p>
    <w:p>
      <w:pPr>
        <w:pStyle w:val="ListParagraph"/>
        <w:numPr>
          <w:ilvl w:val="2"/>
          <w:numId w:val="97"/>
        </w:numPr>
        <w:tabs>
          <w:tab w:pos="990" w:val="left" w:leader="none"/>
          <w:tab w:pos="991" w:val="left" w:leader="none"/>
        </w:tabs>
        <w:spacing w:line="240" w:lineRule="auto" w:before="0" w:after="0"/>
        <w:ind w:left="270" w:right="4179" w:firstLine="360"/>
        <w:jc w:val="left"/>
        <w:rPr>
          <w:sz w:val="20"/>
        </w:rPr>
      </w:pPr>
      <w:r>
        <w:rPr>
          <w:sz w:val="20"/>
        </w:rPr>
        <w:t>Legs: 1 Therefore:</w:t>
      </w:r>
    </w:p>
    <w:p>
      <w:pPr>
        <w:pStyle w:val="BodyText"/>
      </w:pPr>
    </w:p>
    <w:p>
      <w:pPr>
        <w:pStyle w:val="BodyText"/>
        <w:spacing w:before="1"/>
        <w:ind w:left="1492" w:right="852"/>
      </w:pPr>
      <w:r>
        <w:rPr/>
        <w:t>Table 2. Group B global score</w:t>
      </w:r>
    </w:p>
    <w:p>
      <w:pPr>
        <w:pStyle w:val="BodyText"/>
        <w:spacing w:before="5"/>
        <w:rPr>
          <w:sz w:val="15"/>
        </w:rPr>
      </w:pPr>
      <w:r>
        <w:rPr/>
        <w:pict>
          <v:group style="position:absolute;margin-left:406.230011pt;margin-top:10.828773pt;width:66.7pt;height:262.95pt;mso-position-horizontal-relative:page;mso-position-vertical-relative:paragraph;z-index:11488;mso-wrap-distance-left:0;mso-wrap-distance-right:0" coordorigin="8125,217" coordsize="1334,5259">
            <v:rect style="position:absolute;left:8508;top:4536;width:164;height:452" filled="false" stroked="true" strokeweight="3pt" strokecolor="#ff0000"/>
            <v:shape style="position:absolute;left:8125;top:217;width:1333;height:5258" type="#_x0000_t75" stroked="false">
              <v:imagedata r:id="rId427" o:title=""/>
            </v:shape>
            <w10:wrap type="topAndBottom"/>
          </v:group>
        </w:pict>
      </w:r>
    </w:p>
    <w:p>
      <w:pPr>
        <w:pStyle w:val="BodyText"/>
      </w:pPr>
    </w:p>
    <w:p>
      <w:pPr>
        <w:pStyle w:val="BodyText"/>
        <w:spacing w:before="3"/>
        <w:rPr>
          <w:sz w:val="21"/>
        </w:rPr>
      </w:pPr>
    </w:p>
    <w:p>
      <w:pPr>
        <w:pStyle w:val="BodyText"/>
        <w:ind w:left="270" w:right="676"/>
        <w:jc w:val="both"/>
      </w:pPr>
      <w:r>
        <w:rPr/>
        <w:t>Then, global scores of groups A and B are modified according to the type of muscular activity and on the force applied during the task performance using the corresponding scoring tables. Scores obtained from Groups A and B will  be added to obtain the results from Groups C and D accordingly.</w:t>
      </w:r>
    </w:p>
    <w:p>
      <w:pPr>
        <w:pStyle w:val="Heading4"/>
        <w:spacing w:before="1"/>
      </w:pPr>
      <w:r>
        <w:rPr/>
        <w:pict>
          <v:group style="position:absolute;margin-left:39.540001pt;margin-top:12.722855pt;width:556.4pt;height:180pt;mso-position-horizontal-relative:page;mso-position-vertical-relative:paragraph;z-index:11584" coordorigin="791,254" coordsize="11128,3600">
            <v:line style="position:absolute" from="821,3824" to="11888,3824" stroked="true" strokeweight="3pt" strokecolor="#602321"/>
            <v:shape style="position:absolute;left:1032;top:291;width:4618;height:3546" type="#_x0000_t75" stroked="false">
              <v:imagedata r:id="rId428" o:title=""/>
            </v:shape>
            <v:shape style="position:absolute;left:1100;top:506;width:4408;height:1935" coordorigin="1100,506" coordsize="4408,1935" path="m1526,2011l1100,2011,1100,2440,1526,2440,1526,2011xm2237,2011l1526,2011,1526,2119,2237,2119,2237,2011xm5508,506l4796,506,4796,667,5508,667,5508,506xm5222,883l4796,883,4796,1043,5222,1043,5222,883xe" filled="false" stroked="true" strokeweight="3pt" strokecolor="#ff0000">
              <v:path arrowok="t"/>
            </v:shape>
            <v:shape style="position:absolute;left:2237;top:1042;width:2882;height:1132" coordorigin="2237,1042" coordsize="2882,1132" path="m4726,2037l4675,2008,4500,1909,4489,1905,4477,1905,4467,1910,4459,1919,4455,1931,4456,1943,4461,1953,4470,1961,4555,2009,2237,2035,2237,2095,4554,2069,4471,2119,4463,2127,4458,2137,4458,2149,4462,2161,4469,2169,4480,2173,4491,2174,4502,2170,4726,2037m5118,1726l5118,1715,5114,1704,5105,1696,5094,1692,5083,1692,5072,1697,5064,1706,5012,1788,5040,1045,4980,1042,4952,1786,4906,1700,4898,1690,4888,1685,4876,1683,4865,1687,4856,1694,4850,1705,4849,1716,4853,1727,4975,1957,5012,1898,5114,1737,5118,1726e" filled="true" fillcolor="#ff0000" stroked="false">
              <v:path arrowok="t"/>
              <v:fill type="solid"/>
            </v:shape>
            <v:shape style="position:absolute;left:4726;top:1903;width:497;height:269" coordorigin="4726,1903" coordsize="497,269" path="m4974,1903l4877,1913,4799,1942,4745,1985,4726,2037,4745,2089,4799,2132,4877,2161,4974,2171,5071,2161,5150,2132,5203,2089,5222,2037,5203,1985,5150,1942,5071,1913,4974,1903xe" filled="false" stroked="true" strokeweight="3pt" strokecolor="#ff0000">
              <v:path arrowok="t"/>
            </v:shape>
            <v:shape style="position:absolute;left:791;top:254;width:11128;height:3600" type="#_x0000_t202" filled="false" stroked="false">
              <v:textbox inset="0,0,0,0">
                <w:txbxContent>
                  <w:p>
                    <w:pPr>
                      <w:spacing w:line="204" w:lineRule="exact" w:before="0"/>
                      <w:ind w:left="5684" w:right="0" w:firstLine="0"/>
                      <w:jc w:val="both"/>
                      <w:rPr>
                        <w:sz w:val="20"/>
                      </w:rPr>
                    </w:pPr>
                    <w:r>
                      <w:rPr>
                        <w:sz w:val="20"/>
                      </w:rPr>
                      <w:t>The packaging activity is a repetitive task as the operator</w:t>
                    </w:r>
                  </w:p>
                  <w:p>
                    <w:pPr>
                      <w:spacing w:before="0"/>
                      <w:ind w:left="5684" w:right="577" w:firstLine="0"/>
                      <w:jc w:val="both"/>
                      <w:rPr>
                        <w:sz w:val="20"/>
                      </w:rPr>
                    </w:pPr>
                    <w:r>
                      <w:rPr>
                        <w:sz w:val="20"/>
                      </w:rPr>
                      <w:t>carries out the movement 16 times in a minute and 960 times within an hour, therefore, according to the table, 1 point is</w:t>
                    </w:r>
                    <w:r>
                      <w:rPr>
                        <w:spacing w:val="-6"/>
                        <w:sz w:val="20"/>
                      </w:rPr>
                      <w:t> </w:t>
                    </w:r>
                    <w:r>
                      <w:rPr>
                        <w:sz w:val="20"/>
                      </w:rPr>
                      <w:t>scored</w:t>
                    </w:r>
                  </w:p>
                  <w:p>
                    <w:pPr>
                      <w:spacing w:before="0"/>
                      <w:ind w:left="5684" w:right="576" w:firstLine="0"/>
                      <w:jc w:val="both"/>
                      <w:rPr>
                        <w:sz w:val="20"/>
                      </w:rPr>
                    </w:pPr>
                    <w:r>
                      <w:rPr>
                        <w:sz w:val="20"/>
                      </w:rPr>
                      <w:t>The load is lower than 2 kg, and no resistance stops the operator’s movements, then the score is 0.</w:t>
                    </w:r>
                  </w:p>
                  <w:p>
                    <w:pPr>
                      <w:spacing w:line="240" w:lineRule="auto" w:before="11"/>
                      <w:rPr>
                        <w:b/>
                        <w:sz w:val="19"/>
                      </w:rPr>
                    </w:pPr>
                  </w:p>
                  <w:p>
                    <w:pPr>
                      <w:numPr>
                        <w:ilvl w:val="0"/>
                        <w:numId w:val="98"/>
                      </w:numPr>
                      <w:tabs>
                        <w:tab w:pos="6404" w:val="left" w:leader="none"/>
                        <w:tab w:pos="6405" w:val="left" w:leader="none"/>
                      </w:tabs>
                      <w:spacing w:before="0"/>
                      <w:ind w:left="6404" w:right="0" w:hanging="360"/>
                      <w:jc w:val="left"/>
                      <w:rPr>
                        <w:sz w:val="20"/>
                      </w:rPr>
                    </w:pPr>
                    <w:r>
                      <w:rPr>
                        <w:sz w:val="20"/>
                      </w:rPr>
                      <w:t>Grouo A muscular activity:</w:t>
                    </w:r>
                    <w:r>
                      <w:rPr>
                        <w:spacing w:val="-14"/>
                        <w:sz w:val="20"/>
                      </w:rPr>
                      <w:t> </w:t>
                    </w:r>
                    <w:r>
                      <w:rPr>
                        <w:sz w:val="20"/>
                      </w:rPr>
                      <w:t>1</w:t>
                    </w:r>
                  </w:p>
                  <w:p>
                    <w:pPr>
                      <w:numPr>
                        <w:ilvl w:val="0"/>
                        <w:numId w:val="98"/>
                      </w:numPr>
                      <w:tabs>
                        <w:tab w:pos="6404" w:val="left" w:leader="none"/>
                        <w:tab w:pos="6405" w:val="left" w:leader="none"/>
                      </w:tabs>
                      <w:spacing w:before="0"/>
                      <w:ind w:left="6404" w:right="0" w:hanging="360"/>
                      <w:jc w:val="left"/>
                      <w:rPr>
                        <w:sz w:val="20"/>
                      </w:rPr>
                    </w:pPr>
                    <w:r>
                      <w:rPr>
                        <w:sz w:val="20"/>
                      </w:rPr>
                      <w:t>Group A load/force:</w:t>
                    </w:r>
                    <w:r>
                      <w:rPr>
                        <w:spacing w:val="-8"/>
                        <w:sz w:val="20"/>
                      </w:rPr>
                      <w:t> </w:t>
                    </w:r>
                    <w:r>
                      <w:rPr>
                        <w:sz w:val="20"/>
                      </w:rPr>
                      <w:t>0</w:t>
                    </w:r>
                  </w:p>
                </w:txbxContent>
              </v:textbox>
              <w10:wrap type="none"/>
            </v:shape>
            <v:shape style="position:absolute;left:6490;top:2515;width:4007;height:1161" type="#_x0000_t202" filled="false" stroked="true" strokeweight=".75pt" strokecolor="#000000">
              <v:textbox inset="0,0,0,0">
                <w:txbxContent>
                  <w:p>
                    <w:pPr>
                      <w:spacing w:before="70"/>
                      <w:ind w:left="144" w:right="0" w:firstLine="0"/>
                      <w:jc w:val="left"/>
                      <w:rPr>
                        <w:rFonts w:ascii="Arial"/>
                        <w:b/>
                        <w:sz w:val="20"/>
                      </w:rPr>
                    </w:pPr>
                    <w:r>
                      <w:rPr>
                        <w:rFonts w:ascii="Arial"/>
                        <w:b/>
                        <w:sz w:val="20"/>
                      </w:rPr>
                      <w:t>Group A global score = 5 + 1</w:t>
                    </w:r>
                  </w:p>
                  <w:p>
                    <w:pPr>
                      <w:spacing w:before="0"/>
                      <w:ind w:left="144" w:right="0" w:firstLine="0"/>
                      <w:jc w:val="left"/>
                      <w:rPr>
                        <w:rFonts w:ascii="Arial"/>
                        <w:b/>
                        <w:sz w:val="24"/>
                      </w:rPr>
                    </w:pPr>
                    <w:r>
                      <w:rPr>
                        <w:rFonts w:ascii="Arial"/>
                        <w:b/>
                        <w:sz w:val="24"/>
                      </w:rPr>
                      <w:t>Therefore:</w:t>
                    </w:r>
                  </w:p>
                  <w:p>
                    <w:pPr>
                      <w:spacing w:before="6"/>
                      <w:ind w:left="144" w:right="0" w:firstLine="0"/>
                      <w:jc w:val="left"/>
                      <w:rPr>
                        <w:rFonts w:ascii="Arial"/>
                        <w:b/>
                        <w:sz w:val="24"/>
                      </w:rPr>
                    </w:pPr>
                    <w:r>
                      <w:rPr>
                        <w:rFonts w:ascii="Arial"/>
                        <w:b/>
                        <w:sz w:val="24"/>
                      </w:rPr>
                      <w:t>Group C Score = 6</w:t>
                    </w:r>
                  </w:p>
                </w:txbxContent>
              </v:textbox>
              <w10:wrap type="none"/>
            </v:shape>
            <w10:wrap type="none"/>
          </v:group>
        </w:pict>
      </w:r>
      <w:r>
        <w:rPr/>
        <w:t>Group A muscular activity</w:t>
      </w:r>
    </w:p>
    <w:p>
      <w:pPr>
        <w:spacing w:after="0"/>
        <w:sectPr>
          <w:type w:val="continuous"/>
          <w:pgSz w:w="12240" w:h="15840"/>
          <w:pgMar w:top="1500" w:bottom="280" w:left="580" w:right="220"/>
          <w:cols w:num="2" w:equalWidth="0">
            <w:col w:w="5188" w:space="437"/>
            <w:col w:w="5815"/>
          </w:cols>
        </w:sectPr>
      </w:pPr>
    </w:p>
    <w:p>
      <w:pPr>
        <w:spacing w:after="0"/>
        <w:sectPr>
          <w:type w:val="continuous"/>
          <w:pgSz w:w="12240" w:h="15840"/>
          <w:pgMar w:top="1500" w:bottom="280" w:left="580" w:right="220"/>
        </w:sectPr>
      </w:pPr>
    </w:p>
    <w:p>
      <w:pPr>
        <w:pStyle w:val="BodyText"/>
        <w:rPr>
          <w:b/>
        </w:rPr>
      </w:pPr>
    </w:p>
    <w:p>
      <w:pPr>
        <w:spacing w:after="0"/>
        <w:sectPr>
          <w:footerReference w:type="default" r:id="rId429"/>
          <w:pgSz w:w="12240" w:h="15840"/>
          <w:pgMar w:footer="852" w:header="545" w:top="1060" w:bottom="1040" w:left="580" w:right="220"/>
          <w:pgNumType w:start="154"/>
        </w:sectPr>
      </w:pPr>
    </w:p>
    <w:p>
      <w:pPr>
        <w:pStyle w:val="BodyText"/>
        <w:spacing w:before="11"/>
        <w:rPr>
          <w:b/>
          <w:sz w:val="17"/>
        </w:rPr>
      </w:pPr>
    </w:p>
    <w:p>
      <w:pPr>
        <w:pStyle w:val="Heading4"/>
        <w:spacing w:line="229" w:lineRule="exact"/>
      </w:pPr>
      <w:r>
        <w:rPr/>
        <w:t>Group B muscular activity</w:t>
      </w:r>
    </w:p>
    <w:p>
      <w:pPr>
        <w:pStyle w:val="BodyText"/>
        <w:ind w:left="270" w:right="1"/>
        <w:jc w:val="both"/>
      </w:pPr>
      <w:r>
        <w:rPr/>
        <w:t>The packaging activity is a repetitive task involving only the upper part of the body therefore it is scored with 1 point as the operator remains sat during the whole task, but with her legs resting on the foot rest of the stool or the foot rest adapted on the workstation and her weight distributed along the stool.</w:t>
      </w:r>
    </w:p>
    <w:p>
      <w:pPr>
        <w:pStyle w:val="BodyText"/>
        <w:ind w:left="270"/>
        <w:jc w:val="both"/>
      </w:pPr>
      <w:r>
        <w:rPr/>
        <w:t>The load is lower than 2 kg, and no resistance stops the operator’s movements, then the score is 0.</w:t>
      </w:r>
    </w:p>
    <w:p>
      <w:pPr>
        <w:pStyle w:val="BodyText"/>
        <w:spacing w:before="11"/>
        <w:rPr>
          <w:sz w:val="19"/>
        </w:rPr>
      </w:pPr>
    </w:p>
    <w:p>
      <w:pPr>
        <w:pStyle w:val="ListParagraph"/>
        <w:numPr>
          <w:ilvl w:val="2"/>
          <w:numId w:val="97"/>
        </w:numPr>
        <w:tabs>
          <w:tab w:pos="990" w:val="left" w:leader="none"/>
          <w:tab w:pos="991" w:val="left" w:leader="none"/>
        </w:tabs>
        <w:spacing w:line="231" w:lineRule="exact" w:before="0" w:after="0"/>
        <w:ind w:left="990" w:right="0" w:hanging="360"/>
        <w:jc w:val="left"/>
        <w:rPr>
          <w:sz w:val="20"/>
        </w:rPr>
      </w:pPr>
      <w:r>
        <w:rPr>
          <w:sz w:val="20"/>
        </w:rPr>
        <w:t>Group B muscular activity:</w:t>
      </w:r>
      <w:r>
        <w:rPr>
          <w:spacing w:val="-14"/>
          <w:sz w:val="20"/>
        </w:rPr>
        <w:t> </w:t>
      </w:r>
      <w:r>
        <w:rPr>
          <w:sz w:val="20"/>
        </w:rPr>
        <w:t>1</w:t>
      </w:r>
    </w:p>
    <w:p>
      <w:pPr>
        <w:pStyle w:val="ListParagraph"/>
        <w:numPr>
          <w:ilvl w:val="2"/>
          <w:numId w:val="97"/>
        </w:numPr>
        <w:tabs>
          <w:tab w:pos="990" w:val="left" w:leader="none"/>
          <w:tab w:pos="991" w:val="left" w:leader="none"/>
        </w:tabs>
        <w:spacing w:line="231" w:lineRule="exact" w:before="0" w:after="0"/>
        <w:ind w:left="990" w:right="0" w:hanging="360"/>
        <w:jc w:val="left"/>
        <w:rPr>
          <w:sz w:val="20"/>
        </w:rPr>
      </w:pPr>
      <w:r>
        <w:rPr>
          <w:sz w:val="20"/>
        </w:rPr>
        <w:t>Group B load/force:</w:t>
      </w:r>
      <w:r>
        <w:rPr>
          <w:spacing w:val="-8"/>
          <w:sz w:val="20"/>
        </w:rPr>
        <w:t> </w:t>
      </w:r>
      <w:r>
        <w:rPr>
          <w:sz w:val="20"/>
        </w:rPr>
        <w:t>0</w:t>
      </w:r>
    </w:p>
    <w:p>
      <w:pPr>
        <w:pStyle w:val="BodyText"/>
      </w:pPr>
    </w:p>
    <w:p>
      <w:pPr>
        <w:pStyle w:val="BodyText"/>
        <w:spacing w:before="8"/>
        <w:rPr>
          <w:sz w:val="19"/>
        </w:rPr>
      </w:pPr>
      <w:r>
        <w:rPr/>
        <w:pict>
          <v:shape style="position:absolute;margin-left:44.040001pt;margin-top:13.698723pt;width:200.35pt;height:58.05pt;mso-position-horizontal-relative:page;mso-position-vertical-relative:paragraph;z-index:11608;mso-wrap-distance-left:0;mso-wrap-distance-right:0" type="#_x0000_t202" filled="false" stroked="true" strokeweight=".75pt" strokecolor="#000000">
            <v:textbox inset="0,0,0,0">
              <w:txbxContent>
                <w:p>
                  <w:pPr>
                    <w:spacing w:before="70"/>
                    <w:ind w:left="144" w:right="0" w:firstLine="0"/>
                    <w:jc w:val="left"/>
                    <w:rPr>
                      <w:rFonts w:ascii="Arial"/>
                      <w:b/>
                      <w:sz w:val="20"/>
                    </w:rPr>
                  </w:pPr>
                  <w:r>
                    <w:rPr>
                      <w:rFonts w:ascii="Arial"/>
                      <w:b/>
                      <w:sz w:val="20"/>
                    </w:rPr>
                    <w:t>Group B global score = 3 + 1</w:t>
                  </w:r>
                </w:p>
                <w:p>
                  <w:pPr>
                    <w:spacing w:before="0"/>
                    <w:ind w:left="144" w:right="0" w:firstLine="0"/>
                    <w:jc w:val="left"/>
                    <w:rPr>
                      <w:rFonts w:ascii="Arial"/>
                      <w:b/>
                      <w:sz w:val="24"/>
                    </w:rPr>
                  </w:pPr>
                  <w:r>
                    <w:rPr>
                      <w:rFonts w:ascii="Arial"/>
                      <w:b/>
                      <w:sz w:val="24"/>
                    </w:rPr>
                    <w:t>Therefore:</w:t>
                  </w:r>
                </w:p>
                <w:p>
                  <w:pPr>
                    <w:spacing w:before="0"/>
                    <w:ind w:left="144" w:right="0" w:firstLine="0"/>
                    <w:jc w:val="left"/>
                    <w:rPr>
                      <w:rFonts w:ascii="Arial"/>
                      <w:b/>
                      <w:sz w:val="24"/>
                    </w:rPr>
                  </w:pPr>
                  <w:r>
                    <w:rPr>
                      <w:rFonts w:ascii="Arial"/>
                      <w:b/>
                      <w:sz w:val="24"/>
                    </w:rPr>
                    <w:t>Group D Score = 4</w:t>
                  </w:r>
                </w:p>
              </w:txbxContent>
            </v:textbox>
            <w10:wrap type="topAndBottom"/>
          </v:shape>
        </w:pict>
      </w:r>
    </w:p>
    <w:p>
      <w:pPr>
        <w:pStyle w:val="BodyText"/>
      </w:pPr>
    </w:p>
    <w:p>
      <w:pPr>
        <w:pStyle w:val="BodyText"/>
        <w:spacing w:before="138"/>
        <w:ind w:left="270" w:right="1"/>
        <w:jc w:val="both"/>
      </w:pPr>
      <w:r>
        <w:rPr/>
        <w:t>Having the Groups C and D scores accordingly, the final RULA score is calculated and it is obtained with the C and D global score table. See Table 3</w:t>
      </w:r>
    </w:p>
    <w:p>
      <w:pPr>
        <w:pStyle w:val="Heading4"/>
        <w:spacing w:line="229" w:lineRule="exact" w:before="1"/>
      </w:pPr>
      <w:r>
        <w:rPr/>
        <w:t>Group C Score = 6     Group D Score = 4</w:t>
      </w:r>
    </w:p>
    <w:p>
      <w:pPr>
        <w:pStyle w:val="BodyText"/>
        <w:spacing w:line="229" w:lineRule="exact"/>
        <w:ind w:left="270"/>
        <w:jc w:val="both"/>
      </w:pPr>
      <w:r>
        <w:rPr/>
        <w:t>Table 3. Groups C and D Scores</w:t>
      </w:r>
    </w:p>
    <w:p>
      <w:pPr>
        <w:pStyle w:val="BodyText"/>
        <w:spacing w:before="11"/>
        <w:rPr>
          <w:sz w:val="19"/>
        </w:rPr>
      </w:pPr>
    </w:p>
    <w:p>
      <w:pPr>
        <w:pStyle w:val="BodyText"/>
        <w:ind w:left="270" w:right="1"/>
        <w:jc w:val="both"/>
      </w:pPr>
      <w:r>
        <w:rPr/>
        <w:t>Lastly the final score is obtained through such global modified values. The final value obtained through the RULA method is proportional to the risk involved in the performance of the task, in a way that, high values indicate a higher probability of musculoskeletal injuries. As shown on Table 4.</w:t>
      </w:r>
    </w:p>
    <w:p>
      <w:pPr>
        <w:spacing w:before="0"/>
        <w:ind w:left="270" w:right="0" w:firstLine="0"/>
        <w:jc w:val="both"/>
        <w:rPr>
          <w:b/>
          <w:sz w:val="20"/>
        </w:rPr>
      </w:pPr>
      <w:r>
        <w:rPr>
          <w:sz w:val="20"/>
        </w:rPr>
        <w:t>The </w:t>
      </w:r>
      <w:r>
        <w:rPr>
          <w:b/>
          <w:sz w:val="20"/>
        </w:rPr>
        <w:t>Final RULA Score is 6 </w:t>
      </w:r>
      <w:r>
        <w:rPr>
          <w:sz w:val="20"/>
        </w:rPr>
        <w:t>and using this value in the ergonomic risk table the </w:t>
      </w:r>
      <w:r>
        <w:rPr>
          <w:b/>
          <w:sz w:val="20"/>
        </w:rPr>
        <w:t>score granted is 3, </w:t>
      </w:r>
      <w:r>
        <w:rPr>
          <w:sz w:val="20"/>
        </w:rPr>
        <w:t>which means redesigning of the task, the workstation and carrying out research activities</w:t>
      </w:r>
      <w:r>
        <w:rPr>
          <w:b/>
          <w:sz w:val="20"/>
        </w:rPr>
        <w:t>.</w:t>
      </w:r>
    </w:p>
    <w:p>
      <w:pPr>
        <w:pStyle w:val="BodyText"/>
        <w:ind w:left="270"/>
        <w:jc w:val="both"/>
      </w:pPr>
      <w:r>
        <w:rPr/>
        <w:pict>
          <v:shape style="position:absolute;margin-left:36.029999pt;margin-top:23.16798pt;width:207.2pt;height:206.65pt;mso-position-horizontal-relative:page;mso-position-vertical-relative:paragraph;z-index:11632" type="#_x0000_t202" filled="false" stroked="false">
            <v:textbox inset="0,0,0,0">
              <w:txbxContent>
                <w:tbl>
                  <w:tblPr>
                    <w:tblW w:w="0" w:type="auto"/>
                    <w:jc w:val="left"/>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1242"/>
                    <w:gridCol w:w="2835"/>
                  </w:tblGrid>
                  <w:tr>
                    <w:trPr>
                      <w:trHeight w:val="856" w:hRule="exact"/>
                    </w:trPr>
                    <w:tc>
                      <w:tcPr>
                        <w:tcW w:w="4077" w:type="dxa"/>
                        <w:gridSpan w:val="2"/>
                        <w:tcBorders>
                          <w:left w:val="nil"/>
                          <w:right w:val="nil"/>
                        </w:tcBorders>
                        <w:shd w:val="clear" w:color="auto" w:fill="7E64A1"/>
                      </w:tcPr>
                      <w:p>
                        <w:pPr>
                          <w:pStyle w:val="TableParagraph"/>
                          <w:spacing w:before="2"/>
                          <w:rPr>
                            <w:sz w:val="25"/>
                          </w:rPr>
                        </w:pPr>
                      </w:p>
                      <w:p>
                        <w:pPr>
                          <w:pStyle w:val="TableParagraph"/>
                          <w:tabs>
                            <w:tab w:pos="2069" w:val="left" w:leader="none"/>
                          </w:tabs>
                          <w:spacing w:before="1"/>
                          <w:ind w:left="387"/>
                          <w:rPr>
                            <w:b/>
                            <w:sz w:val="20"/>
                          </w:rPr>
                        </w:pPr>
                        <w:r>
                          <w:rPr>
                            <w:b/>
                            <w:color w:val="FFFFFF"/>
                            <w:sz w:val="20"/>
                          </w:rPr>
                          <w:t>Level</w:t>
                          <w:tab/>
                          <w:t>Performance:</w:t>
                        </w:r>
                      </w:p>
                    </w:tc>
                  </w:tr>
                  <w:tr>
                    <w:trPr>
                      <w:trHeight w:val="589" w:hRule="exact"/>
                    </w:trPr>
                    <w:tc>
                      <w:tcPr>
                        <w:tcW w:w="1242" w:type="dxa"/>
                        <w:vMerge w:val="restart"/>
                        <w:tcBorders>
                          <w:left w:val="nil"/>
                          <w:right w:val="nil"/>
                        </w:tcBorders>
                        <w:shd w:val="clear" w:color="auto" w:fill="7E64A1"/>
                      </w:tcPr>
                      <w:p>
                        <w:pPr>
                          <w:pStyle w:val="TableParagraph"/>
                          <w:spacing w:before="168"/>
                          <w:jc w:val="center"/>
                          <w:rPr>
                            <w:b/>
                            <w:sz w:val="20"/>
                          </w:rPr>
                        </w:pPr>
                        <w:r>
                          <w:rPr>
                            <w:b/>
                            <w:color w:val="FFFFFF"/>
                            <w:w w:val="100"/>
                            <w:sz w:val="20"/>
                          </w:rPr>
                          <w:t>1</w:t>
                        </w:r>
                      </w:p>
                      <w:p>
                        <w:pPr>
                          <w:pStyle w:val="TableParagraph"/>
                          <w:rPr>
                            <w:sz w:val="20"/>
                          </w:rPr>
                        </w:pPr>
                      </w:p>
                      <w:p>
                        <w:pPr>
                          <w:pStyle w:val="TableParagraph"/>
                          <w:spacing w:before="8"/>
                          <w:rPr>
                            <w:sz w:val="24"/>
                          </w:rPr>
                        </w:pPr>
                      </w:p>
                      <w:p>
                        <w:pPr>
                          <w:pStyle w:val="TableParagraph"/>
                          <w:jc w:val="center"/>
                          <w:rPr>
                            <w:b/>
                            <w:sz w:val="20"/>
                          </w:rPr>
                        </w:pPr>
                        <w:r>
                          <w:rPr>
                            <w:b/>
                            <w:color w:val="FFFFFF"/>
                            <w:w w:val="100"/>
                            <w:sz w:val="20"/>
                          </w:rPr>
                          <w:t>2</w:t>
                        </w:r>
                      </w:p>
                      <w:p>
                        <w:pPr>
                          <w:pStyle w:val="TableParagraph"/>
                          <w:rPr>
                            <w:sz w:val="20"/>
                          </w:rPr>
                        </w:pPr>
                      </w:p>
                      <w:p>
                        <w:pPr>
                          <w:pStyle w:val="TableParagraph"/>
                          <w:rPr>
                            <w:sz w:val="20"/>
                          </w:rPr>
                        </w:pPr>
                      </w:p>
                      <w:p>
                        <w:pPr>
                          <w:pStyle w:val="TableParagraph"/>
                          <w:spacing w:before="10"/>
                          <w:rPr>
                            <w:sz w:val="23"/>
                          </w:rPr>
                        </w:pPr>
                      </w:p>
                      <w:p>
                        <w:pPr>
                          <w:pStyle w:val="TableParagraph"/>
                          <w:jc w:val="center"/>
                          <w:rPr>
                            <w:b/>
                            <w:sz w:val="20"/>
                          </w:rPr>
                        </w:pPr>
                        <w:r>
                          <w:rPr>
                            <w:b/>
                            <w:color w:val="FFFFFF"/>
                            <w:w w:val="100"/>
                            <w:sz w:val="20"/>
                          </w:rPr>
                          <w:t>3</w:t>
                        </w:r>
                      </w:p>
                      <w:p>
                        <w:pPr>
                          <w:pStyle w:val="TableParagraph"/>
                          <w:rPr>
                            <w:sz w:val="20"/>
                          </w:rPr>
                        </w:pPr>
                      </w:p>
                      <w:p>
                        <w:pPr>
                          <w:pStyle w:val="TableParagraph"/>
                          <w:rPr>
                            <w:sz w:val="20"/>
                          </w:rPr>
                        </w:pPr>
                      </w:p>
                      <w:p>
                        <w:pPr>
                          <w:pStyle w:val="TableParagraph"/>
                          <w:spacing w:before="159"/>
                          <w:jc w:val="center"/>
                          <w:rPr>
                            <w:b/>
                            <w:sz w:val="20"/>
                          </w:rPr>
                        </w:pPr>
                        <w:r>
                          <w:rPr>
                            <w:b/>
                            <w:color w:val="FFFFFF"/>
                            <w:w w:val="100"/>
                            <w:sz w:val="20"/>
                          </w:rPr>
                          <w:t>4</w:t>
                        </w:r>
                      </w:p>
                    </w:tc>
                    <w:tc>
                      <w:tcPr>
                        <w:tcW w:w="2835" w:type="dxa"/>
                        <w:tcBorders>
                          <w:left w:val="nil"/>
                          <w:bottom w:val="nil"/>
                          <w:right w:val="nil"/>
                        </w:tcBorders>
                        <w:shd w:val="clear" w:color="auto" w:fill="D8D8D8"/>
                      </w:tcPr>
                      <w:p>
                        <w:pPr>
                          <w:pStyle w:val="TableParagraph"/>
                          <w:spacing w:before="51"/>
                          <w:ind w:left="107" w:right="297"/>
                          <w:rPr>
                            <w:sz w:val="20"/>
                          </w:rPr>
                        </w:pPr>
                        <w:r>
                          <w:rPr>
                            <w:sz w:val="20"/>
                          </w:rPr>
                          <w:t>When the final score is 1 or 2, posture is acceptable.</w:t>
                        </w:r>
                      </w:p>
                    </w:tc>
                  </w:tr>
                  <w:tr>
                    <w:trPr>
                      <w:trHeight w:val="943" w:hRule="exact"/>
                    </w:trPr>
                    <w:tc>
                      <w:tcPr>
                        <w:tcW w:w="1242" w:type="dxa"/>
                        <w:vMerge/>
                        <w:tcBorders>
                          <w:left w:val="nil"/>
                          <w:right w:val="nil"/>
                        </w:tcBorders>
                        <w:shd w:val="clear" w:color="auto" w:fill="7E64A1"/>
                      </w:tcPr>
                      <w:p>
                        <w:pPr/>
                      </w:p>
                    </w:tc>
                    <w:tc>
                      <w:tcPr>
                        <w:tcW w:w="2835" w:type="dxa"/>
                        <w:tcBorders>
                          <w:top w:val="nil"/>
                          <w:left w:val="nil"/>
                          <w:bottom w:val="single" w:sz="18" w:space="0" w:color="FF0000"/>
                          <w:right w:val="nil"/>
                        </w:tcBorders>
                      </w:tcPr>
                      <w:p>
                        <w:pPr>
                          <w:pStyle w:val="TableParagraph"/>
                          <w:ind w:left="107" w:right="214"/>
                          <w:rPr>
                            <w:sz w:val="20"/>
                          </w:rPr>
                        </w:pPr>
                        <w:r>
                          <w:rPr>
                            <w:sz w:val="20"/>
                          </w:rPr>
                          <w:t>When the final score is 3 or 4, may be required changes to the task; is advisable go further on the study.</w:t>
                        </w:r>
                      </w:p>
                    </w:tc>
                  </w:tr>
                  <w:tr>
                    <w:trPr>
                      <w:trHeight w:val="964" w:hRule="exact"/>
                    </w:trPr>
                    <w:tc>
                      <w:tcPr>
                        <w:tcW w:w="1242" w:type="dxa"/>
                        <w:vMerge/>
                        <w:tcBorders>
                          <w:left w:val="nil"/>
                          <w:right w:val="nil"/>
                        </w:tcBorders>
                        <w:shd w:val="clear" w:color="auto" w:fill="7E64A1"/>
                      </w:tcPr>
                      <w:p>
                        <w:pPr/>
                      </w:p>
                    </w:tc>
                    <w:tc>
                      <w:tcPr>
                        <w:tcW w:w="2835" w:type="dxa"/>
                        <w:tcBorders>
                          <w:top w:val="single" w:sz="18" w:space="0" w:color="FF0000"/>
                          <w:left w:val="single" w:sz="18" w:space="0" w:color="FF0000"/>
                          <w:bottom w:val="single" w:sz="18" w:space="0" w:color="FF0000"/>
                          <w:right w:val="single" w:sz="18" w:space="0" w:color="FF0000"/>
                        </w:tcBorders>
                        <w:shd w:val="clear" w:color="auto" w:fill="D8D8D8"/>
                      </w:tcPr>
                      <w:p>
                        <w:pPr>
                          <w:pStyle w:val="TableParagraph"/>
                          <w:ind w:left="85" w:right="231"/>
                          <w:rPr>
                            <w:sz w:val="20"/>
                          </w:rPr>
                        </w:pPr>
                        <w:r>
                          <w:rPr>
                            <w:sz w:val="20"/>
                          </w:rPr>
                          <w:t>The final score is 5 or 6, is required the redesigning of the tasks; is necessary to conduct research.</w:t>
                        </w:r>
                      </w:p>
                    </w:tc>
                  </w:tr>
                  <w:tr>
                    <w:trPr>
                      <w:trHeight w:val="736" w:hRule="exact"/>
                    </w:trPr>
                    <w:tc>
                      <w:tcPr>
                        <w:tcW w:w="1242" w:type="dxa"/>
                        <w:vMerge/>
                        <w:tcBorders>
                          <w:left w:val="nil"/>
                          <w:right w:val="nil"/>
                        </w:tcBorders>
                        <w:shd w:val="clear" w:color="auto" w:fill="7E64A1"/>
                      </w:tcPr>
                      <w:p>
                        <w:pPr/>
                      </w:p>
                    </w:tc>
                    <w:tc>
                      <w:tcPr>
                        <w:tcW w:w="2835" w:type="dxa"/>
                        <w:tcBorders>
                          <w:top w:val="single" w:sz="18" w:space="0" w:color="FF0000"/>
                          <w:left w:val="nil"/>
                          <w:right w:val="nil"/>
                        </w:tcBorders>
                      </w:tcPr>
                      <w:p>
                        <w:pPr>
                          <w:pStyle w:val="TableParagraph"/>
                          <w:ind w:left="107" w:right="248"/>
                          <w:rPr>
                            <w:sz w:val="20"/>
                          </w:rPr>
                        </w:pPr>
                        <w:r>
                          <w:rPr>
                            <w:sz w:val="20"/>
                          </w:rPr>
                          <w:t>The final score is 7. Urgent changes are required in the job or task.</w:t>
                        </w:r>
                      </w:p>
                    </w:tc>
                  </w:tr>
                </w:tbl>
                <w:p>
                  <w:pPr>
                    <w:pStyle w:val="BodyText"/>
                  </w:pPr>
                </w:p>
              </w:txbxContent>
            </v:textbox>
            <w10:wrap type="none"/>
          </v:shape>
        </w:pict>
      </w:r>
      <w:r>
        <w:rPr/>
        <w:t>Table 4. Final Ergonomic Risk Score</w:t>
      </w:r>
    </w:p>
    <w:p>
      <w:pPr>
        <w:pStyle w:val="BodyText"/>
        <w:spacing w:before="11"/>
        <w:rPr>
          <w:sz w:val="17"/>
        </w:rPr>
      </w:pPr>
      <w:r>
        <w:rPr/>
        <w:br w:type="column"/>
      </w:r>
      <w:r>
        <w:rPr>
          <w:sz w:val="17"/>
        </w:rPr>
      </w:r>
    </w:p>
    <w:p>
      <w:pPr>
        <w:pStyle w:val="Heading4"/>
        <w:numPr>
          <w:ilvl w:val="0"/>
          <w:numId w:val="96"/>
        </w:numPr>
        <w:tabs>
          <w:tab w:pos="979" w:val="left" w:leader="none"/>
        </w:tabs>
        <w:spacing w:line="229" w:lineRule="exact" w:before="0" w:after="0"/>
        <w:ind w:left="978" w:right="0" w:hanging="348"/>
        <w:jc w:val="left"/>
      </w:pPr>
      <w:r>
        <w:rPr/>
        <w:t>RESULTS</w:t>
      </w:r>
    </w:p>
    <w:p>
      <w:pPr>
        <w:pStyle w:val="BodyText"/>
        <w:ind w:left="270" w:right="674"/>
        <w:jc w:val="both"/>
      </w:pPr>
      <w:r>
        <w:rPr/>
        <w:t>According to the analysis and the result obtained for this study, the final score RULA is 6 and ergonomic risk score is 3, which indicates that they should make immediate changes to the workplace to minimize the effects of CTDs.</w:t>
      </w:r>
    </w:p>
    <w:p>
      <w:pPr>
        <w:pStyle w:val="BodyText"/>
        <w:ind w:left="270" w:right="675" w:firstLine="708"/>
        <w:jc w:val="both"/>
      </w:pPr>
      <w:r>
        <w:rPr/>
        <w:t>Changes were made on the structure of the workstation; it was redesigned in order to eliminate repetitive and forced movements that workers had on the wrists, as it was one of the aspects with the highest score during the analysis,</w:t>
      </w:r>
      <w:r>
        <w:rPr>
          <w:spacing w:val="-16"/>
        </w:rPr>
        <w:t> </w:t>
      </w:r>
      <w:r>
        <w:rPr/>
        <w:t>[5].</w:t>
      </w:r>
    </w:p>
    <w:p>
      <w:pPr>
        <w:pStyle w:val="BodyText"/>
        <w:ind w:left="270" w:right="676" w:firstLine="708"/>
        <w:jc w:val="both"/>
      </w:pPr>
      <w:r>
        <w:rPr/>
        <w:t>The modification was performed on the worktable represented on Figure 3, showing the current workstation and the change in the posture of the wrist, which place the boxes in more proper position reducing flexion and ulnar deviation in the wrists of the</w:t>
      </w:r>
      <w:r>
        <w:rPr>
          <w:spacing w:val="-21"/>
        </w:rPr>
        <w:t> </w:t>
      </w:r>
      <w:r>
        <w:rPr/>
        <w:t>operators.</w:t>
      </w:r>
    </w:p>
    <w:p>
      <w:pPr>
        <w:pStyle w:val="BodyText"/>
      </w:pPr>
    </w:p>
    <w:p>
      <w:pPr>
        <w:pStyle w:val="BodyText"/>
        <w:spacing w:before="1"/>
        <w:ind w:left="270" w:right="766"/>
      </w:pPr>
      <w:r>
        <w:rPr/>
        <w:t>Now, there has achieved a total of about 2520 boxes during a working day of seven hours. This shows that are making better use of resources, resulting in increased productivity. See Table 5.</w:t>
      </w:r>
    </w:p>
    <w:p>
      <w:pPr>
        <w:pStyle w:val="BodyText"/>
        <w:spacing w:before="11"/>
        <w:rPr>
          <w:sz w:val="19"/>
        </w:rPr>
      </w:pPr>
    </w:p>
    <w:p>
      <w:pPr>
        <w:pStyle w:val="BodyText"/>
        <w:ind w:left="270"/>
        <w:jc w:val="both"/>
      </w:pPr>
      <w:r>
        <w:rPr/>
        <w:t>Table 5. Score boxes before and after of method application</w:t>
      </w:r>
    </w:p>
    <w:tbl>
      <w:tblPr>
        <w:tblW w:w="0" w:type="auto"/>
        <w:jc w:val="left"/>
        <w:tblInd w:w="14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1092"/>
        <w:gridCol w:w="1441"/>
        <w:gridCol w:w="1305"/>
        <w:gridCol w:w="1243"/>
      </w:tblGrid>
      <w:tr>
        <w:trPr>
          <w:trHeight w:val="1195" w:hRule="exact"/>
        </w:trPr>
        <w:tc>
          <w:tcPr>
            <w:tcW w:w="1092" w:type="dxa"/>
            <w:tcBorders>
              <w:left w:val="nil"/>
              <w:right w:val="nil"/>
            </w:tcBorders>
            <w:shd w:val="clear" w:color="auto" w:fill="7E64A1"/>
          </w:tcPr>
          <w:p>
            <w:pPr>
              <w:pStyle w:val="TableParagraph"/>
              <w:spacing w:before="11"/>
              <w:rPr>
                <w:sz w:val="29"/>
              </w:rPr>
            </w:pPr>
          </w:p>
          <w:p>
            <w:pPr>
              <w:pStyle w:val="TableParagraph"/>
              <w:spacing w:line="230" w:lineRule="exact"/>
              <w:ind w:left="261"/>
              <w:rPr>
                <w:b/>
                <w:sz w:val="20"/>
              </w:rPr>
            </w:pPr>
            <w:r>
              <w:rPr>
                <w:b/>
                <w:color w:val="FFFFFF"/>
                <w:sz w:val="20"/>
              </w:rPr>
              <w:t>RULA</w:t>
            </w:r>
          </w:p>
          <w:p>
            <w:pPr>
              <w:pStyle w:val="TableParagraph"/>
              <w:spacing w:line="230" w:lineRule="exact"/>
              <w:ind w:left="223"/>
              <w:rPr>
                <w:b/>
                <w:sz w:val="20"/>
              </w:rPr>
            </w:pPr>
            <w:r>
              <w:rPr>
                <w:b/>
                <w:color w:val="FFFFFF"/>
                <w:sz w:val="20"/>
              </w:rPr>
              <w:t>method</w:t>
            </w:r>
          </w:p>
        </w:tc>
        <w:tc>
          <w:tcPr>
            <w:tcW w:w="1441" w:type="dxa"/>
            <w:tcBorders>
              <w:left w:val="nil"/>
              <w:bottom w:val="single" w:sz="18" w:space="0" w:color="000000"/>
              <w:right w:val="nil"/>
            </w:tcBorders>
            <w:shd w:val="clear" w:color="auto" w:fill="7E64A1"/>
          </w:tcPr>
          <w:p>
            <w:pPr>
              <w:pStyle w:val="TableParagraph"/>
              <w:spacing w:before="11"/>
              <w:rPr>
                <w:sz w:val="29"/>
              </w:rPr>
            </w:pPr>
          </w:p>
          <w:p>
            <w:pPr>
              <w:pStyle w:val="TableParagraph"/>
              <w:ind w:left="218" w:right="183" w:hanging="20"/>
              <w:rPr>
                <w:b/>
                <w:sz w:val="20"/>
              </w:rPr>
            </w:pPr>
            <w:r>
              <w:rPr>
                <w:b/>
                <w:color w:val="FFFFFF"/>
                <w:sz w:val="20"/>
              </w:rPr>
              <w:t>No. of boxes packed/min</w:t>
            </w:r>
          </w:p>
        </w:tc>
        <w:tc>
          <w:tcPr>
            <w:tcW w:w="1305" w:type="dxa"/>
            <w:tcBorders>
              <w:left w:val="nil"/>
              <w:bottom w:val="single" w:sz="18" w:space="0" w:color="000000"/>
              <w:right w:val="nil"/>
            </w:tcBorders>
            <w:shd w:val="clear" w:color="auto" w:fill="7E64A1"/>
          </w:tcPr>
          <w:p>
            <w:pPr>
              <w:pStyle w:val="TableParagraph"/>
              <w:spacing w:before="11"/>
              <w:rPr>
                <w:sz w:val="29"/>
              </w:rPr>
            </w:pPr>
          </w:p>
          <w:p>
            <w:pPr>
              <w:pStyle w:val="TableParagraph"/>
              <w:ind w:left="201" w:right="139" w:firstLine="135"/>
              <w:rPr>
                <w:b/>
                <w:sz w:val="20"/>
              </w:rPr>
            </w:pPr>
            <w:r>
              <w:rPr>
                <w:b/>
                <w:color w:val="FFFFFF"/>
                <w:sz w:val="20"/>
              </w:rPr>
              <w:t>Total of boxes/hour</w:t>
            </w:r>
          </w:p>
        </w:tc>
        <w:tc>
          <w:tcPr>
            <w:tcW w:w="1243" w:type="dxa"/>
            <w:tcBorders>
              <w:left w:val="nil"/>
              <w:bottom w:val="single" w:sz="18" w:space="0" w:color="000000"/>
              <w:right w:val="nil"/>
            </w:tcBorders>
            <w:shd w:val="clear" w:color="auto" w:fill="7E64A1"/>
          </w:tcPr>
          <w:p>
            <w:pPr>
              <w:pStyle w:val="TableParagraph"/>
              <w:ind w:left="158" w:right="109" w:hanging="1"/>
              <w:jc w:val="center"/>
              <w:rPr>
                <w:b/>
                <w:sz w:val="20"/>
              </w:rPr>
            </w:pPr>
            <w:r>
              <w:rPr>
                <w:b/>
                <w:color w:val="FFFFFF"/>
                <w:sz w:val="20"/>
              </w:rPr>
              <w:t>Total of boxes work day of aprox. /7 hrs</w:t>
            </w:r>
          </w:p>
        </w:tc>
      </w:tr>
      <w:tr>
        <w:trPr>
          <w:trHeight w:val="253" w:hRule="exact"/>
        </w:trPr>
        <w:tc>
          <w:tcPr>
            <w:tcW w:w="1092" w:type="dxa"/>
            <w:vMerge w:val="restart"/>
            <w:tcBorders>
              <w:left w:val="nil"/>
              <w:right w:val="nil"/>
            </w:tcBorders>
            <w:shd w:val="clear" w:color="auto" w:fill="7E64A1"/>
          </w:tcPr>
          <w:p>
            <w:pPr>
              <w:pStyle w:val="TableParagraph"/>
              <w:ind w:left="317" w:right="244" w:hanging="56"/>
              <w:rPr>
                <w:b/>
                <w:sz w:val="20"/>
              </w:rPr>
            </w:pPr>
            <w:r>
              <w:rPr>
                <w:b/>
                <w:color w:val="FFFFFF"/>
                <w:sz w:val="20"/>
              </w:rPr>
              <w:t>Before After</w:t>
            </w:r>
          </w:p>
        </w:tc>
        <w:tc>
          <w:tcPr>
            <w:tcW w:w="1441" w:type="dxa"/>
            <w:tcBorders>
              <w:left w:val="single" w:sz="43" w:space="0" w:color="7E64A1"/>
              <w:bottom w:val="nil"/>
              <w:right w:val="nil"/>
            </w:tcBorders>
            <w:shd w:val="clear" w:color="auto" w:fill="D8D8D8"/>
          </w:tcPr>
          <w:p>
            <w:pPr>
              <w:pStyle w:val="TableParagraph"/>
              <w:spacing w:line="227" w:lineRule="exact"/>
              <w:ind w:left="254" w:right="308"/>
              <w:jc w:val="center"/>
              <w:rPr>
                <w:sz w:val="20"/>
              </w:rPr>
            </w:pPr>
            <w:r>
              <w:rPr>
                <w:sz w:val="20"/>
              </w:rPr>
              <w:t>4-5 boxes</w:t>
            </w:r>
          </w:p>
        </w:tc>
        <w:tc>
          <w:tcPr>
            <w:tcW w:w="1305" w:type="dxa"/>
            <w:tcBorders>
              <w:left w:val="nil"/>
              <w:bottom w:val="nil"/>
              <w:right w:val="nil"/>
            </w:tcBorders>
            <w:shd w:val="clear" w:color="auto" w:fill="D8D8D8"/>
          </w:tcPr>
          <w:p>
            <w:pPr>
              <w:pStyle w:val="TableParagraph"/>
              <w:spacing w:line="227" w:lineRule="exact"/>
              <w:ind w:right="220"/>
              <w:jc w:val="right"/>
              <w:rPr>
                <w:sz w:val="20"/>
              </w:rPr>
            </w:pPr>
            <w:r>
              <w:rPr>
                <w:sz w:val="20"/>
              </w:rPr>
              <w:t>300 boxes</w:t>
            </w:r>
          </w:p>
        </w:tc>
        <w:tc>
          <w:tcPr>
            <w:tcW w:w="1243" w:type="dxa"/>
            <w:tcBorders>
              <w:left w:val="nil"/>
              <w:bottom w:val="nil"/>
              <w:right w:val="nil"/>
            </w:tcBorders>
            <w:shd w:val="clear" w:color="auto" w:fill="D8D8D8"/>
          </w:tcPr>
          <w:p>
            <w:pPr>
              <w:pStyle w:val="TableParagraph"/>
              <w:spacing w:line="227" w:lineRule="exact"/>
              <w:ind w:right="112"/>
              <w:jc w:val="right"/>
              <w:rPr>
                <w:sz w:val="20"/>
              </w:rPr>
            </w:pPr>
            <w:r>
              <w:rPr>
                <w:sz w:val="20"/>
              </w:rPr>
              <w:t>2 100 boxes</w:t>
            </w:r>
          </w:p>
        </w:tc>
      </w:tr>
      <w:tr>
        <w:trPr>
          <w:trHeight w:val="253" w:hRule="exact"/>
        </w:trPr>
        <w:tc>
          <w:tcPr>
            <w:tcW w:w="1092" w:type="dxa"/>
            <w:vMerge/>
            <w:tcBorders>
              <w:left w:val="nil"/>
              <w:right w:val="nil"/>
            </w:tcBorders>
            <w:shd w:val="clear" w:color="auto" w:fill="7E64A1"/>
          </w:tcPr>
          <w:p>
            <w:pPr/>
          </w:p>
        </w:tc>
        <w:tc>
          <w:tcPr>
            <w:tcW w:w="1441" w:type="dxa"/>
            <w:tcBorders>
              <w:top w:val="nil"/>
              <w:left w:val="single" w:sz="43" w:space="0" w:color="7E64A1"/>
              <w:right w:val="nil"/>
            </w:tcBorders>
          </w:tcPr>
          <w:p>
            <w:pPr>
              <w:pStyle w:val="TableParagraph"/>
              <w:spacing w:line="227" w:lineRule="exact"/>
              <w:ind w:left="254" w:right="306"/>
              <w:jc w:val="center"/>
              <w:rPr>
                <w:sz w:val="20"/>
              </w:rPr>
            </w:pPr>
            <w:r>
              <w:rPr>
                <w:sz w:val="20"/>
              </w:rPr>
              <w:t>6 boxes</w:t>
            </w:r>
          </w:p>
        </w:tc>
        <w:tc>
          <w:tcPr>
            <w:tcW w:w="1305" w:type="dxa"/>
            <w:tcBorders>
              <w:top w:val="nil"/>
              <w:left w:val="nil"/>
              <w:right w:val="nil"/>
            </w:tcBorders>
          </w:tcPr>
          <w:p>
            <w:pPr>
              <w:pStyle w:val="TableParagraph"/>
              <w:spacing w:line="227" w:lineRule="exact"/>
              <w:ind w:right="219"/>
              <w:jc w:val="right"/>
              <w:rPr>
                <w:sz w:val="20"/>
              </w:rPr>
            </w:pPr>
            <w:r>
              <w:rPr>
                <w:sz w:val="20"/>
              </w:rPr>
              <w:t>360 boxes</w:t>
            </w:r>
          </w:p>
        </w:tc>
        <w:tc>
          <w:tcPr>
            <w:tcW w:w="1243" w:type="dxa"/>
            <w:tcBorders>
              <w:top w:val="nil"/>
              <w:left w:val="nil"/>
              <w:right w:val="nil"/>
            </w:tcBorders>
          </w:tcPr>
          <w:p>
            <w:pPr>
              <w:pStyle w:val="TableParagraph"/>
              <w:spacing w:line="227" w:lineRule="exact"/>
              <w:ind w:right="111"/>
              <w:jc w:val="right"/>
              <w:rPr>
                <w:sz w:val="20"/>
              </w:rPr>
            </w:pPr>
            <w:r>
              <w:rPr>
                <w:sz w:val="20"/>
              </w:rPr>
              <w:t>2 520 boxes</w:t>
            </w:r>
          </w:p>
        </w:tc>
      </w:tr>
    </w:tbl>
    <w:p>
      <w:pPr>
        <w:pStyle w:val="BodyText"/>
      </w:pPr>
    </w:p>
    <w:p>
      <w:pPr>
        <w:pStyle w:val="BodyText"/>
        <w:spacing w:before="2"/>
      </w:pPr>
    </w:p>
    <w:p>
      <w:pPr>
        <w:pStyle w:val="Heading4"/>
        <w:numPr>
          <w:ilvl w:val="0"/>
          <w:numId w:val="96"/>
        </w:numPr>
        <w:tabs>
          <w:tab w:pos="979" w:val="left" w:leader="none"/>
        </w:tabs>
        <w:spacing w:line="229" w:lineRule="exact" w:before="0" w:after="0"/>
        <w:ind w:left="978" w:right="0" w:hanging="348"/>
        <w:jc w:val="left"/>
      </w:pPr>
      <w:r>
        <w:rPr/>
        <w:t>CONCLUSIONS</w:t>
      </w:r>
    </w:p>
    <w:p>
      <w:pPr>
        <w:pStyle w:val="BodyText"/>
        <w:ind w:left="270" w:right="677"/>
        <w:jc w:val="both"/>
      </w:pPr>
      <w:r>
        <w:rPr/>
        <w:t>According to the analysis of the activities performed by applying the RULA method, changes to the cellophane packing area workstations are made so the aim of this work was reached by 80%.</w:t>
      </w:r>
    </w:p>
    <w:p>
      <w:pPr>
        <w:pStyle w:val="BodyText"/>
        <w:ind w:left="270" w:right="676" w:firstLine="708"/>
        <w:jc w:val="both"/>
      </w:pPr>
      <w:r>
        <w:rPr/>
        <w:t>The application of RULA method allowed the identification of inadequate movements that produce  injuries among workers and, in turn, establish proper conditions to labor, however, a new assessment needs to be carried out to ensure the workstation, because according to the score of 4 leading to Level 2, the suggestion is "changes are required to the station and this requires deeper research activities", according to this, it allows the application of a different method to have a different perspective, and, since the activity is completely manual and the operator cannot  use equipment that allows her to make this task automatically or mechanically, because the cellophane will probably be</w:t>
      </w:r>
      <w:r>
        <w:rPr>
          <w:spacing w:val="-8"/>
        </w:rPr>
        <w:t> </w:t>
      </w:r>
      <w:r>
        <w:rPr/>
        <w:t>damaged.</w:t>
      </w:r>
    </w:p>
    <w:p>
      <w:pPr>
        <w:spacing w:after="0"/>
        <w:jc w:val="both"/>
        <w:sectPr>
          <w:type w:val="continuous"/>
          <w:pgSz w:w="12240" w:h="15840"/>
          <w:pgMar w:top="1500" w:bottom="280" w:left="580" w:right="220"/>
          <w:cols w:num="2" w:equalWidth="0">
            <w:col w:w="5190" w:space="434"/>
            <w:col w:w="5816"/>
          </w:cols>
        </w:sectPr>
      </w:pPr>
    </w:p>
    <w:p>
      <w:pPr>
        <w:pStyle w:val="BodyText"/>
        <w:spacing w:before="6"/>
        <w:rPr>
          <w:sz w:val="15"/>
        </w:rPr>
      </w:pPr>
    </w:p>
    <w:p>
      <w:pPr>
        <w:spacing w:after="0"/>
        <w:rPr>
          <w:sz w:val="15"/>
        </w:rPr>
        <w:sectPr>
          <w:pgSz w:w="12240" w:h="15840"/>
          <w:pgMar w:header="545" w:footer="852" w:top="1060" w:bottom="1040" w:left="580" w:right="220"/>
        </w:sectPr>
      </w:pPr>
    </w:p>
    <w:p>
      <w:pPr>
        <w:pStyle w:val="BodyText"/>
        <w:spacing w:before="2"/>
        <w:rPr>
          <w:sz w:val="27"/>
        </w:rPr>
      </w:pPr>
    </w:p>
    <w:p>
      <w:pPr>
        <w:pStyle w:val="BodyText"/>
        <w:ind w:left="2246" w:right="-19"/>
        <w:rPr>
          <w:rFonts w:ascii="Arial"/>
        </w:rPr>
      </w:pPr>
      <w:r>
        <w:rPr>
          <w:rFonts w:ascii="Arial"/>
        </w:rPr>
        <w:t>Current workstation</w:t>
      </w:r>
    </w:p>
    <w:p>
      <w:pPr>
        <w:pStyle w:val="BodyText"/>
        <w:spacing w:before="75"/>
        <w:ind w:left="3102" w:right="2221" w:hanging="857"/>
        <w:rPr>
          <w:rFonts w:ascii="Arial"/>
        </w:rPr>
      </w:pPr>
      <w:r>
        <w:rPr/>
        <w:br w:type="column"/>
      </w:r>
      <w:r>
        <w:rPr>
          <w:rFonts w:ascii="Arial"/>
        </w:rPr>
        <w:t>Recommended changes to the workstation</w:t>
      </w:r>
    </w:p>
    <w:p>
      <w:pPr>
        <w:pStyle w:val="BodyText"/>
        <w:spacing w:before="1"/>
        <w:rPr>
          <w:rFonts w:ascii="Arial"/>
          <w:sz w:val="22"/>
        </w:rPr>
      </w:pPr>
    </w:p>
    <w:p>
      <w:pPr>
        <w:pStyle w:val="BodyText"/>
        <w:spacing w:before="1"/>
        <w:ind w:left="2273" w:right="3471"/>
        <w:rPr>
          <w:rFonts w:ascii="Arial"/>
        </w:rPr>
      </w:pPr>
      <w:r>
        <w:rPr/>
        <w:pict>
          <v:group style="position:absolute;margin-left:93.199997pt;margin-top:6.170534pt;width:199.9pt;height:76.6pt;mso-position-horizontal-relative:page;mso-position-vertical-relative:paragraph;z-index:-867112" coordorigin="1864,123" coordsize="3998,1532">
            <v:shape style="position:absolute;left:2924;top:237;width:2938;height:1128" type="#_x0000_t75" stroked="false">
              <v:imagedata r:id="rId430" o:title=""/>
            </v:shape>
            <v:shape style="position:absolute;left:2549;top:1083;width:2182;height:564" coordorigin="2549,1083" coordsize="2182,564" path="m2549,1083l3452,1083,4730,1647e" filled="false" stroked="true" strokeweight=".787pt" strokecolor="#2ba1bf">
              <v:path arrowok="t"/>
            </v:shape>
            <v:shape style="position:absolute;left:1872;top:180;width:2633;height:1354" coordorigin="1872,180" coordsize="2633,1354" path="m2549,180l2549,1534m1872,1083l4505,1083e" filled="false" stroked="true" strokeweight=".787pt" strokecolor="#2ba1bf">
              <v:path arrowok="t"/>
              <v:stroke dashstyle="longDash"/>
            </v:shape>
            <v:shape style="position:absolute;left:3598;top:934;width:1155;height:687" coordorigin="3598,934" coordsize="1155,687" path="m3673,934l3598,1085,4676,1620,4752,1468,3673,934xe" filled="true" fillcolor="#2ba1bf" stroked="false">
              <v:path arrowok="t"/>
              <v:fill type="solid"/>
            </v:shape>
            <v:shape style="position:absolute;left:3598;top:934;width:1155;height:687" coordorigin="3598,934" coordsize="1155,687" path="m3673,934l3598,1085,4676,1620,4752,1468,3673,934xe" filled="false" stroked="true" strokeweight="1.5pt" strokecolor="#1d758c">
              <v:path arrowok="t"/>
            </v:shape>
            <v:shape style="position:absolute;left:2795;top:123;width:1714;height:660" type="#_x0000_t202" filled="false" stroked="false">
              <v:textbox inset="0,0,0,0">
                <w:txbxContent>
                  <w:p>
                    <w:pPr>
                      <w:spacing w:line="205" w:lineRule="exact" w:before="0"/>
                      <w:ind w:left="0" w:right="-19" w:firstLine="0"/>
                      <w:jc w:val="left"/>
                      <w:rPr>
                        <w:rFonts w:ascii="Arial"/>
                        <w:sz w:val="20"/>
                      </w:rPr>
                    </w:pPr>
                    <w:r>
                      <w:rPr>
                        <w:rFonts w:ascii="Arial"/>
                        <w:sz w:val="20"/>
                      </w:rPr>
                      <w:t>Hand presenting a</w:t>
                    </w:r>
                  </w:p>
                  <w:p>
                    <w:pPr>
                      <w:spacing w:before="0"/>
                      <w:ind w:left="0" w:right="-19" w:firstLine="0"/>
                      <w:jc w:val="left"/>
                      <w:rPr>
                        <w:rFonts w:ascii="Arial" w:hAnsi="Arial"/>
                        <w:sz w:val="20"/>
                      </w:rPr>
                    </w:pPr>
                    <w:r>
                      <w:rPr>
                        <w:rFonts w:ascii="Arial" w:hAnsi="Arial"/>
                        <w:sz w:val="20"/>
                      </w:rPr>
                      <w:t>flexion greater than 15 °</w:t>
                    </w:r>
                  </w:p>
                </w:txbxContent>
              </v:textbox>
              <w10:wrap type="none"/>
            </v:shape>
            <v:shape style="position:absolute;left:4675;top:1105;width:456;height:240" type="#_x0000_t202" filled="false" stroked="false">
              <v:textbox inset="0,0,0,0">
                <w:txbxContent>
                  <w:p>
                    <w:pPr>
                      <w:spacing w:line="240" w:lineRule="exact" w:before="0"/>
                      <w:ind w:left="0" w:right="-20" w:firstLine="0"/>
                      <w:jc w:val="left"/>
                      <w:rPr>
                        <w:sz w:val="24"/>
                      </w:rPr>
                    </w:pPr>
                    <w:r>
                      <w:rPr>
                        <w:sz w:val="24"/>
                      </w:rPr>
                      <w:t>110°</w:t>
                    </w:r>
                  </w:p>
                </w:txbxContent>
              </v:textbox>
              <w10:wrap type="none"/>
            </v:shape>
            <w10:wrap type="none"/>
          </v:group>
        </w:pict>
      </w:r>
      <w:r>
        <w:rPr/>
        <w:pict>
          <v:group style="position:absolute;margin-left:337.76001pt;margin-top:.149521pt;width:139.65pt;height:184.9pt;mso-position-horizontal-relative:page;mso-position-vertical-relative:paragraph;z-index:-867064" coordorigin="6755,3" coordsize="2793,3698">
            <v:shape style="position:absolute;left:7129;top:350;width:2419;height:1193" type="#_x0000_t75" stroked="false">
              <v:imagedata r:id="rId431" o:title=""/>
            </v:shape>
            <v:line style="position:absolute" from="7742,1139" to="9172,1139" stroked="true" strokeweight=".787pt" strokecolor="#2ba1bf"/>
            <v:rect style="position:absolute;left:7892;top:915;width:1204;height:169" filled="true" fillcolor="#2ba1bf" stroked="false">
              <v:fill type="solid"/>
            </v:rect>
            <v:rect style="position:absolute;left:7892;top:915;width:1204;height:168" filled="false" stroked="true" strokeweight="1.5pt" strokecolor="#1d758c"/>
            <v:line style="position:absolute" from="6914,11" to="6914,1647" stroked="true" strokeweight=".787pt" strokecolor="#2ba1bf">
              <v:stroke dashstyle="longDash"/>
            </v:line>
            <v:shape style="position:absolute;left:6763;top:857;width:980;height:282" coordorigin="6763,857" coordsize="980,282" path="m7742,1139l7742,857,6763,857e" filled="false" stroked="true" strokeweight=".787pt" strokecolor="#2ba1bf">
              <v:path arrowok="t"/>
            </v:shape>
            <v:shape style="position:absolute;left:9247;top:857;width:226;height:282" coordorigin="9247,857" coordsize="226,282" path="m9322,857l9322,1139m9247,1139l9473,1139m9247,857l9473,857e" filled="false" stroked="true" strokeweight=".787pt" strokecolor="#2ba1bf">
              <v:path arrowok="t"/>
              <v:stroke dashstyle="longDash"/>
            </v:shape>
            <v:shape style="position:absolute;left:7817;top:1816;width:1430;height:1638" type="#_x0000_t75" stroked="false">
              <v:imagedata r:id="rId432" o:title=""/>
            </v:shape>
            <v:line style="position:absolute" from="8494,1703" to="8494,3678" stroked="true" strokeweight="2.25pt" strokecolor="#2ba1bf">
              <v:stroke dashstyle="longDash"/>
            </v:line>
            <v:shape style="position:absolute;left:7742;top:1197;width:1430;height:168" coordorigin="7742,1197" coordsize="1430,168" path="m7742,1309l9172,1309m9172,1197l9172,1365m7742,1197l7742,1365e" filled="false" stroked="true" strokeweight=".787pt" strokecolor="#2ba1bf">
              <v:path arrowok="t"/>
              <v:stroke dashstyle="longDash"/>
            </v:shape>
            <w10:wrap type="none"/>
          </v:group>
        </w:pict>
      </w:r>
      <w:r>
        <w:rPr>
          <w:rFonts w:ascii="Arial"/>
        </w:rPr>
        <w:t>No flexion of the wrist</w:t>
      </w:r>
    </w:p>
    <w:p>
      <w:pPr>
        <w:spacing w:after="0"/>
        <w:rPr>
          <w:rFonts w:ascii="Arial"/>
        </w:rPr>
        <w:sectPr>
          <w:type w:val="continuous"/>
          <w:pgSz w:w="12240" w:h="15840"/>
          <w:pgMar w:top="1500" w:bottom="280" w:left="580" w:right="220"/>
          <w:cols w:num="2" w:equalWidth="0">
            <w:col w:w="3981" w:space="249"/>
            <w:col w:w="7210"/>
          </w:cols>
        </w:sectPr>
      </w:pPr>
    </w:p>
    <w:p>
      <w:pPr>
        <w:pStyle w:val="BodyText"/>
        <w:rPr>
          <w:rFonts w:ascii="Arial"/>
        </w:rPr>
      </w:pPr>
    </w:p>
    <w:p>
      <w:pPr>
        <w:spacing w:before="214"/>
        <w:ind w:left="0" w:right="1871" w:firstLine="0"/>
        <w:jc w:val="right"/>
        <w:rPr>
          <w:sz w:val="24"/>
        </w:rPr>
      </w:pPr>
      <w:r>
        <w:rPr>
          <w:sz w:val="24"/>
        </w:rPr>
        <w:t>4.5 cm</w:t>
      </w:r>
    </w:p>
    <w:p>
      <w:pPr>
        <w:pStyle w:val="BodyText"/>
        <w:spacing w:before="3"/>
        <w:rPr>
          <w:sz w:val="14"/>
        </w:rPr>
      </w:pPr>
    </w:p>
    <w:p>
      <w:pPr>
        <w:spacing w:after="0"/>
        <w:rPr>
          <w:sz w:val="14"/>
        </w:rPr>
        <w:sectPr>
          <w:type w:val="continuous"/>
          <w:pgSz w:w="12240" w:h="15840"/>
          <w:pgMar w:top="1500" w:bottom="280" w:left="580" w:right="220"/>
        </w:sectPr>
      </w:pPr>
    </w:p>
    <w:p>
      <w:pPr>
        <w:pStyle w:val="BodyText"/>
        <w:spacing w:before="7"/>
        <w:rPr>
          <w:sz w:val="23"/>
        </w:rPr>
      </w:pPr>
    </w:p>
    <w:p>
      <w:pPr>
        <w:pStyle w:val="BodyText"/>
        <w:ind w:left="1509"/>
        <w:jc w:val="both"/>
        <w:rPr>
          <w:rFonts w:ascii="Arial"/>
        </w:rPr>
      </w:pPr>
      <w:r>
        <w:rPr/>
        <w:pict>
          <v:group style="position:absolute;margin-left:150pt;margin-top:22.95488pt;width:79.05pt;height:69.55pt;mso-position-horizontal-relative:page;mso-position-vertical-relative:paragraph;z-index:-867088" coordorigin="3000,459" coordsize="1581,1391">
            <v:shape style="position:absolute;left:3000;top:538;width:1580;height:1250" type="#_x0000_t75" stroked="false">
              <v:imagedata r:id="rId433" o:title=""/>
            </v:shape>
            <v:shape style="position:absolute;left:3602;top:1385;width:393;height:465" coordorigin="3602,1385" coordsize="393,465" path="m3764,1545l3730,1574,3961,1850,3995,1821,3764,1545xm3602,1385l3635,1577,3637,1589,3648,1598,3660,1595,3673,1594,3680,1582,3679,1570,3662,1470,3643,1470,3614,1436,3649,1407,3662,1407,3602,1385xm3662,1407l3649,1407,3678,1442,3662,1455,3770,1493,3781,1498,3794,1492,3799,1480,3803,1468,3797,1456,3785,1451,3662,1407xm3649,1407l3614,1436,3643,1470,3660,1457,3659,1453,3623,1440,3653,1415,3656,1415,3649,1407xm3660,1457l3643,1470,3662,1470,3660,1457xm3659,1453l3660,1457,3662,1455,3659,1453xm3656,1415l3653,1415,3659,1453,3662,1455,3678,1442,3656,1415xm3653,1415l3623,1440,3659,1453,3653,1415xe" filled="true" fillcolor="#2ba1bf" stroked="false">
              <v:path arrowok="t"/>
              <v:fill type="solid"/>
            </v:shape>
            <v:line style="position:absolute" from="3602,1385" to="4204,482" stroked="true" strokeweight="2.25pt" strokecolor="#2ba1bf">
              <v:stroke dashstyle="longDash"/>
            </v:line>
            <w10:wrap type="none"/>
          </v:group>
        </w:pict>
      </w:r>
      <w:r>
        <w:rPr>
          <w:rFonts w:ascii="Arial"/>
        </w:rPr>
        <w:t>The wrist presents a ulnar deviation and a light twist.</w:t>
      </w:r>
    </w:p>
    <w:p>
      <w:pPr>
        <w:pStyle w:val="Heading2"/>
        <w:spacing w:before="70"/>
        <w:ind w:left="3090" w:right="0"/>
        <w:rPr>
          <w:rFonts w:ascii="Times New Roman"/>
        </w:rPr>
      </w:pPr>
      <w:r>
        <w:rPr/>
        <w:br w:type="column"/>
      </w:r>
      <w:r>
        <w:rPr>
          <w:rFonts w:ascii="Times New Roman"/>
        </w:rPr>
        <w:t>19 cm</w:t>
      </w:r>
    </w:p>
    <w:p>
      <w:pPr>
        <w:pStyle w:val="BodyText"/>
        <w:spacing w:line="244" w:lineRule="auto" w:before="169"/>
        <w:ind w:left="1509" w:right="3726"/>
      </w:pPr>
      <w:r>
        <w:rPr/>
        <w:t>No ulnar deviation or twist of the wrist.</w:t>
      </w:r>
    </w:p>
    <w:p>
      <w:pPr>
        <w:spacing w:after="0" w:line="244" w:lineRule="auto"/>
        <w:sectPr>
          <w:type w:val="continuous"/>
          <w:pgSz w:w="12240" w:h="15840"/>
          <w:pgMar w:top="1500" w:bottom="280" w:left="580" w:right="220"/>
          <w:cols w:num="2" w:equalWidth="0">
            <w:col w:w="3367" w:space="1101"/>
            <w:col w:w="6972"/>
          </w:cols>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after="0"/>
        <w:sectPr>
          <w:type w:val="continuous"/>
          <w:pgSz w:w="12240" w:h="15840"/>
          <w:pgMar w:top="1500" w:bottom="280" w:left="580" w:right="220"/>
        </w:sectPr>
      </w:pPr>
    </w:p>
    <w:p>
      <w:pPr>
        <w:pStyle w:val="BodyText"/>
        <w:spacing w:before="9"/>
      </w:pPr>
    </w:p>
    <w:p>
      <w:pPr>
        <w:pStyle w:val="BodyText"/>
        <w:ind w:left="270" w:right="1" w:firstLine="708"/>
        <w:jc w:val="both"/>
      </w:pPr>
      <w:r>
        <w:rPr/>
        <w:t>On the other hand periodic breaks and staff turnovers were established; these activities foster the decrease of fatigue in certain muscles, joints and tendons [6], as well as the decrease of their workload, and last, labor gymnastics [7], which allows to exercise the upper limb before, during and after the activities which will facilitate the reduction of injury, occupational diseases, disability and absenteeism among workers</w:t>
      </w:r>
      <w:r>
        <w:rPr>
          <w:spacing w:val="-16"/>
        </w:rPr>
        <w:t> </w:t>
      </w:r>
      <w:r>
        <w:rPr/>
        <w:t>department.</w:t>
      </w:r>
    </w:p>
    <w:p>
      <w:pPr>
        <w:pStyle w:val="BodyText"/>
      </w:pPr>
    </w:p>
    <w:p>
      <w:pPr>
        <w:pStyle w:val="BodyText"/>
      </w:pPr>
    </w:p>
    <w:p>
      <w:pPr>
        <w:pStyle w:val="BodyText"/>
        <w:spacing w:before="2"/>
      </w:pPr>
    </w:p>
    <w:p>
      <w:pPr>
        <w:pStyle w:val="Heading4"/>
        <w:spacing w:before="1"/>
      </w:pPr>
      <w:r>
        <w:rPr/>
        <w:t>REFERENCES</w:t>
      </w:r>
    </w:p>
    <w:p>
      <w:pPr>
        <w:pStyle w:val="BodyText"/>
        <w:spacing w:before="8"/>
        <w:rPr>
          <w:b/>
          <w:sz w:val="19"/>
        </w:rPr>
      </w:pPr>
    </w:p>
    <w:p>
      <w:pPr>
        <w:spacing w:before="0"/>
        <w:ind w:left="270" w:right="1" w:firstLine="0"/>
        <w:jc w:val="both"/>
        <w:rPr>
          <w:sz w:val="20"/>
        </w:rPr>
      </w:pPr>
      <w:r>
        <w:rPr>
          <w:sz w:val="20"/>
        </w:rPr>
        <w:t>[1] Niebel Benjamín, Freivalds A. </w:t>
      </w:r>
      <w:r>
        <w:rPr>
          <w:i/>
          <w:sz w:val="20"/>
        </w:rPr>
        <w:t>Industrial Engineering, </w:t>
      </w:r>
      <w:r>
        <w:rPr>
          <w:i/>
          <w:sz w:val="20"/>
        </w:rPr>
        <w:t>methods, standards and design work</w:t>
      </w:r>
      <w:r>
        <w:rPr>
          <w:sz w:val="20"/>
        </w:rPr>
        <w:t>. Mexico. Alfaomega. 2000.</w:t>
      </w:r>
    </w:p>
    <w:p>
      <w:pPr>
        <w:spacing w:before="0"/>
        <w:ind w:left="979" w:right="1" w:hanging="710"/>
        <w:jc w:val="both"/>
        <w:rPr>
          <w:sz w:val="20"/>
        </w:rPr>
      </w:pPr>
      <w:r>
        <w:rPr>
          <w:sz w:val="20"/>
        </w:rPr>
        <w:t>[2] Luttmann, A. (2004). </w:t>
      </w:r>
      <w:r>
        <w:rPr>
          <w:i/>
          <w:sz w:val="20"/>
        </w:rPr>
        <w:t>Preventing musculoskeletal </w:t>
      </w:r>
      <w:r>
        <w:rPr>
          <w:i/>
          <w:sz w:val="20"/>
        </w:rPr>
        <w:t>disorders in the workplace</w:t>
      </w:r>
      <w:r>
        <w:rPr>
          <w:sz w:val="20"/>
        </w:rPr>
        <w:t>. Berlín,  Germany:  World Health</w:t>
      </w:r>
      <w:r>
        <w:rPr>
          <w:spacing w:val="-9"/>
          <w:sz w:val="20"/>
        </w:rPr>
        <w:t> </w:t>
      </w:r>
      <w:r>
        <w:rPr>
          <w:sz w:val="20"/>
        </w:rPr>
        <w:t>Organization.</w:t>
      </w:r>
    </w:p>
    <w:p>
      <w:pPr>
        <w:spacing w:before="0"/>
        <w:ind w:left="979" w:right="0" w:hanging="710"/>
        <w:jc w:val="both"/>
        <w:rPr>
          <w:sz w:val="20"/>
        </w:rPr>
      </w:pPr>
      <w:r>
        <w:rPr>
          <w:sz w:val="20"/>
        </w:rPr>
        <w:t>[3] McAtamney L. y Corlett E. N. (1993). </w:t>
      </w:r>
      <w:r>
        <w:rPr>
          <w:i/>
          <w:sz w:val="20"/>
        </w:rPr>
        <w:t>RULA: a survey </w:t>
      </w:r>
      <w:r>
        <w:rPr>
          <w:i/>
          <w:sz w:val="20"/>
        </w:rPr>
        <w:t>method for the investigation of work-related upper limb disorders</w:t>
      </w:r>
      <w:r>
        <w:rPr>
          <w:sz w:val="20"/>
        </w:rPr>
        <w:t>, Applie Ergonomics, 24, pp: 91-99</w:t>
      </w:r>
    </w:p>
    <w:p>
      <w:pPr>
        <w:pStyle w:val="BodyText"/>
        <w:ind w:left="270"/>
        <w:jc w:val="both"/>
      </w:pPr>
      <w:r>
        <w:rPr/>
        <w:t>[4] Asencio-Cuesta, S., Bastante-Ceca M. J. y Diego-Más  J.</w:t>
      </w:r>
    </w:p>
    <w:p>
      <w:pPr>
        <w:pStyle w:val="ListParagraph"/>
        <w:numPr>
          <w:ilvl w:val="1"/>
          <w:numId w:val="96"/>
        </w:numPr>
        <w:tabs>
          <w:tab w:pos="1253" w:val="left" w:leader="none"/>
        </w:tabs>
        <w:spacing w:line="240" w:lineRule="auto" w:before="0" w:after="0"/>
        <w:ind w:left="980" w:right="1" w:firstLine="0"/>
        <w:jc w:val="left"/>
        <w:rPr>
          <w:sz w:val="20"/>
        </w:rPr>
      </w:pPr>
      <w:r>
        <w:rPr>
          <w:sz w:val="20"/>
        </w:rPr>
        <w:t>(2012). Ergonomic Evaluation of Jobs. Madrid, Spain: Editions</w:t>
      </w:r>
      <w:r>
        <w:rPr>
          <w:spacing w:val="-14"/>
          <w:sz w:val="20"/>
        </w:rPr>
        <w:t> </w:t>
      </w:r>
      <w:r>
        <w:rPr>
          <w:sz w:val="20"/>
        </w:rPr>
        <w:t>Paranifo.</w:t>
      </w:r>
    </w:p>
    <w:p>
      <w:pPr>
        <w:spacing w:before="0"/>
        <w:ind w:left="980" w:right="0" w:hanging="710"/>
        <w:jc w:val="both"/>
        <w:rPr>
          <w:sz w:val="20"/>
        </w:rPr>
      </w:pPr>
      <w:r>
        <w:rPr>
          <w:sz w:val="20"/>
        </w:rPr>
        <w:t>[5] Pérez Muñoz, J. (2006). </w:t>
      </w:r>
      <w:r>
        <w:rPr>
          <w:i/>
          <w:sz w:val="20"/>
        </w:rPr>
        <w:t>Proposed Procedure for </w:t>
      </w:r>
      <w:r>
        <w:rPr>
          <w:i/>
          <w:sz w:val="20"/>
        </w:rPr>
        <w:t>Ergonomic Assessment of Cumulative Trauma Disorders in Workstations</w:t>
      </w:r>
      <w:r>
        <w:rPr>
          <w:sz w:val="20"/>
        </w:rPr>
        <w:t>. Master's thesis. Interdisciplinary Professional Unit of Engineering and Social and Administrative Sciences. National Polytechnic Institute. Mexico.</w:t>
      </w:r>
    </w:p>
    <w:p>
      <w:pPr>
        <w:pStyle w:val="BodyText"/>
        <w:spacing w:before="9"/>
      </w:pPr>
      <w:r>
        <w:rPr/>
        <w:br w:type="column"/>
      </w:r>
      <w:r>
        <w:rPr/>
      </w:r>
    </w:p>
    <w:p>
      <w:pPr>
        <w:spacing w:before="0"/>
        <w:ind w:left="979" w:right="676" w:hanging="710"/>
        <w:jc w:val="both"/>
        <w:rPr>
          <w:sz w:val="20"/>
        </w:rPr>
      </w:pPr>
      <w:r>
        <w:rPr>
          <w:sz w:val="20"/>
        </w:rPr>
        <w:t>[6] Kroemer Karl, Kroemer Henrike, Kroemer-Elbert  Katrin. (1994). </w:t>
      </w:r>
      <w:r>
        <w:rPr>
          <w:i/>
          <w:sz w:val="20"/>
        </w:rPr>
        <w:t>Ergnomics, How to Design for Ease </w:t>
      </w:r>
      <w:r>
        <w:rPr>
          <w:i/>
          <w:sz w:val="20"/>
        </w:rPr>
        <w:t>&amp; Efficiency</w:t>
      </w:r>
      <w:r>
        <w:rPr>
          <w:sz w:val="20"/>
        </w:rPr>
        <w:t>. USA. Prentice Hall International Series in Industrial &amp; Systems</w:t>
      </w:r>
      <w:r>
        <w:rPr>
          <w:spacing w:val="-22"/>
          <w:sz w:val="20"/>
        </w:rPr>
        <w:t> </w:t>
      </w:r>
      <w:r>
        <w:rPr>
          <w:sz w:val="20"/>
        </w:rPr>
        <w:t>Engineering.</w:t>
      </w:r>
    </w:p>
    <w:p>
      <w:pPr>
        <w:spacing w:line="229" w:lineRule="exact" w:before="0"/>
        <w:ind w:left="270" w:right="0" w:firstLine="0"/>
        <w:jc w:val="both"/>
        <w:rPr>
          <w:sz w:val="20"/>
        </w:rPr>
      </w:pPr>
      <w:r>
        <w:rPr>
          <w:sz w:val="20"/>
        </w:rPr>
        <w:t>[7]  González,   D.   (2007).  </w:t>
      </w:r>
      <w:r>
        <w:rPr>
          <w:i/>
          <w:sz w:val="20"/>
        </w:rPr>
        <w:t>Ergonomics  and   Psychology</w:t>
      </w:r>
      <w:r>
        <w:rPr>
          <w:sz w:val="20"/>
        </w:rPr>
        <w:t>.</w:t>
      </w:r>
    </w:p>
    <w:p>
      <w:pPr>
        <w:pStyle w:val="BodyText"/>
        <w:ind w:left="980" w:right="852"/>
      </w:pPr>
      <w:r>
        <w:rPr/>
        <w:t>Madrid, Spain: Foundation Confemetal.</w:t>
      </w:r>
    </w:p>
    <w:p>
      <w:pPr>
        <w:pStyle w:val="BodyText"/>
      </w:pPr>
    </w:p>
    <w:p>
      <w:pPr>
        <w:pStyle w:val="BodyText"/>
      </w:pPr>
    </w:p>
    <w:p>
      <w:pPr>
        <w:pStyle w:val="BodyText"/>
      </w:pPr>
    </w:p>
    <w:p>
      <w:pPr>
        <w:pStyle w:val="BodyText"/>
        <w:ind w:left="270" w:right="675"/>
        <w:jc w:val="both"/>
      </w:pPr>
      <w:r>
        <w:rPr>
          <w:b/>
        </w:rPr>
        <w:t>Principal author's name: </w:t>
      </w:r>
      <w:r>
        <w:rPr/>
        <w:t>He is an mechanical engineer by the Technological Institute of Orizaba with master degree in science in industrial engineering from the Interdisciplinary Professional Unit of Engineering and Social and Administrative Sciences. National Polytechnic Institute. Mexico. He is an auditor for the norm: ISO 9001:2008. He has taught for over 15 years in the institution, teaching courses mainly Ergonomics, Work Study and similar areas. Member of the faculty "Technologies for ergonomic evaluation of environmental factors in the work environment" is Technological Institute of Puebla. He has been a speaker in different congresses domestically.</w:t>
      </w:r>
    </w:p>
    <w:p>
      <w:pPr>
        <w:pStyle w:val="BodyText"/>
        <w:ind w:left="270" w:right="677"/>
        <w:jc w:val="both"/>
      </w:pPr>
      <w:r>
        <w:rPr>
          <w:b/>
        </w:rPr>
        <w:t>Second author's name: </w:t>
      </w:r>
      <w:r>
        <w:rPr/>
        <w:t>She is QFB by the National Autonomous University of Mexico with a degree of Master of Science in Toxicology at the National Autonomous University of Mexico. She has taught for over 20 years in the institution, teaching courses mainly Statistics,  toxicology and environmental care. Member of the faculty "Technologies for ergonomic evaluation of environmental factors in the work environment" is Technological Institute of Puebla. She has been a speaker in different congresses domestically.</w:t>
      </w:r>
    </w:p>
    <w:p>
      <w:pPr>
        <w:spacing w:after="0"/>
        <w:jc w:val="both"/>
        <w:sectPr>
          <w:type w:val="continuous"/>
          <w:pgSz w:w="12240" w:h="15840"/>
          <w:pgMar w:top="1500" w:bottom="280" w:left="580" w:right="220"/>
          <w:cols w:num="2" w:equalWidth="0">
            <w:col w:w="5190" w:space="435"/>
            <w:col w:w="5815"/>
          </w:cols>
        </w:sectPr>
      </w:pPr>
    </w:p>
    <w:p>
      <w:pPr>
        <w:pStyle w:val="BodyText"/>
        <w:spacing w:before="4"/>
        <w:rPr>
          <w:sz w:val="11"/>
        </w:rPr>
      </w:pPr>
    </w:p>
    <w:p>
      <w:pPr>
        <w:pStyle w:val="BodyText"/>
        <w:spacing w:before="74"/>
        <w:ind w:left="270" w:right="6249"/>
        <w:jc w:val="both"/>
      </w:pPr>
      <w:r>
        <w:rPr>
          <w:b/>
        </w:rPr>
        <w:t>Name of the third author: </w:t>
      </w:r>
      <w:r>
        <w:rPr/>
        <w:t>She's Industrial electronics engineer by the Technological Institute of Puebla and master's degree in industrial engineering from the Interdisciplinary Professional Unit of Engineering and Social and Administrative Sciences. National Polytechnic Institute. Mexico. He has taught for over 15 years in the institution, teaching courses mainly experimental design, quality engineering, formulation and evaluation of projects and similar areas. Leader of the faculty "Technologies for ergonomic evaluation of environmental factors in the work environment" is Technological Institute of Puebla. She has been a speaker in different congresses both domestically and internationally.</w:t>
      </w:r>
    </w:p>
    <w:p>
      <w:pPr>
        <w:pStyle w:val="BodyText"/>
        <w:ind w:left="270" w:right="6249"/>
        <w:jc w:val="both"/>
      </w:pPr>
      <w:r>
        <w:rPr>
          <w:b/>
        </w:rPr>
        <w:t>fourth author name: </w:t>
      </w:r>
      <w:r>
        <w:rPr/>
        <w:t>He is an Industrial electronic engineer by the Technological Institute of Puebla with master degree in science in industrial engineering from the Interdisciplinary Professional Unit of Engineering and Social and Administrative Sciences. National Polytechnic Institute. Mexico. He is an auditor for the norm: ISO 9001:2008. He has collaborated in different academic and administrative functions for over 10 years in the system institutions of higher education, depending on the Secretary of Public Education. He has taught for over 8 years in the institution, teaching courses mainly Project Management, Quality and productivity and quality engineering. Member of the faculty "Technologies for ergonomic evaluation of environmental factors in the work environment" is Technological Institute  of</w:t>
      </w:r>
      <w:r>
        <w:rPr>
          <w:spacing w:val="-3"/>
        </w:rPr>
        <w:t> </w:t>
      </w:r>
      <w:r>
        <w:rPr/>
        <w:t>Puebla.</w:t>
      </w:r>
    </w:p>
    <w:p>
      <w:pPr>
        <w:pStyle w:val="BodyText"/>
        <w:ind w:left="270" w:right="6249"/>
        <w:jc w:val="both"/>
      </w:pPr>
      <w:r>
        <w:rPr>
          <w:b/>
        </w:rPr>
        <w:t>name of the fifth autor: </w:t>
      </w:r>
      <w:r>
        <w:rPr/>
        <w:t>she is an industrial engineer with a master's degree in engineering from the Technological Institute of Puebla. Teaching the subjects of Research Workshop, Simulation and Ergonomics and similar areas. Member of the faculty "Technologies for ergonomic evaluation of environmental factors in the work environment" is Technological Institute of Puebla. He has been a speaker in different congresses</w:t>
      </w:r>
      <w:r>
        <w:rPr>
          <w:spacing w:val="-17"/>
        </w:rPr>
        <w:t> </w:t>
      </w:r>
      <w:r>
        <w:rPr/>
        <w:t>domestically.</w:t>
      </w:r>
    </w:p>
    <w:p>
      <w:pPr>
        <w:spacing w:after="0"/>
        <w:jc w:val="both"/>
        <w:sectPr>
          <w:pgSz w:w="12240" w:h="15840"/>
          <w:pgMar w:header="545" w:footer="852" w:top="1060" w:bottom="1040" w:left="580" w:right="220"/>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
        <w:rPr>
          <w:sz w:val="26"/>
        </w:rPr>
      </w:pPr>
    </w:p>
    <w:p>
      <w:pPr>
        <w:pStyle w:val="Heading1"/>
        <w:ind w:right="119"/>
        <w:jc w:val="left"/>
      </w:pPr>
      <w:r>
        <w:rPr/>
        <w:t>Musculoskeletal Risk Evaluation in Plastic Art Tasks: Painters, Sculptors and Engravers</w:t>
      </w:r>
    </w:p>
    <w:p>
      <w:pPr>
        <w:pStyle w:val="BodyText"/>
        <w:spacing w:before="3"/>
        <w:rPr>
          <w:b/>
        </w:rPr>
      </w:pPr>
    </w:p>
    <w:p>
      <w:pPr>
        <w:pStyle w:val="BodyText"/>
        <w:spacing w:line="232" w:lineRule="auto"/>
        <w:ind w:left="270" w:right="359"/>
        <w:rPr>
          <w:sz w:val="13"/>
        </w:rPr>
      </w:pPr>
      <w:r>
        <w:rPr/>
        <w:t>M.C. Patricia Eugenia Sortillón González</w:t>
      </w:r>
      <w:r>
        <w:rPr>
          <w:sz w:val="12"/>
        </w:rPr>
        <w:t>A</w:t>
      </w:r>
      <w:r>
        <w:rPr/>
        <w:t>, Dra. María Guadalupe Alpuche Cruz</w:t>
      </w:r>
      <w:r>
        <w:rPr>
          <w:position w:val="-2"/>
          <w:sz w:val="13"/>
        </w:rPr>
        <w:t>B</w:t>
      </w:r>
      <w:r>
        <w:rPr/>
        <w:t>, Dr. José Manuel Ochoa de la Torre</w:t>
      </w:r>
      <w:r>
        <w:rPr>
          <w:position w:val="-2"/>
          <w:sz w:val="13"/>
        </w:rPr>
        <w:t>C</w:t>
      </w:r>
      <w:r>
        <w:rPr/>
        <w:t>, Dra. Irene Marincic Lovriha</w:t>
      </w:r>
      <w:r>
        <w:rPr>
          <w:position w:val="-2"/>
          <w:sz w:val="13"/>
        </w:rPr>
        <w:t>D</w:t>
      </w:r>
    </w:p>
    <w:p>
      <w:pPr>
        <w:pStyle w:val="BodyText"/>
        <w:rPr>
          <w:sz w:val="22"/>
        </w:rPr>
      </w:pPr>
    </w:p>
    <w:p>
      <w:pPr>
        <w:pStyle w:val="BodyText"/>
        <w:spacing w:before="193"/>
        <w:ind w:left="270" w:right="118"/>
      </w:pPr>
      <w:r>
        <w:rPr/>
        <w:t>A Departamento de Bellas Artes y Humanidades, Universidad de Sonora, Rosales S/N, Colonia Centro, CP 83000, </w:t>
      </w:r>
      <w:hyperlink r:id="rId434">
        <w:r>
          <w:rPr/>
          <w:t>psortillon@industrial.uson.mx,</w:t>
        </w:r>
      </w:hyperlink>
      <w:r>
        <w:rPr/>
        <w:t> Tel. 59 21 41 Hermosillo, Sonora, México</w:t>
      </w:r>
    </w:p>
    <w:p>
      <w:pPr>
        <w:pStyle w:val="ListParagraph"/>
        <w:numPr>
          <w:ilvl w:val="0"/>
          <w:numId w:val="99"/>
        </w:numPr>
        <w:tabs>
          <w:tab w:pos="505" w:val="left" w:leader="none"/>
        </w:tabs>
        <w:spacing w:line="240" w:lineRule="auto" w:before="0" w:after="0"/>
        <w:ind w:left="270" w:right="210" w:firstLine="0"/>
        <w:jc w:val="left"/>
        <w:rPr>
          <w:sz w:val="20"/>
        </w:rPr>
      </w:pPr>
      <w:r>
        <w:rPr>
          <w:sz w:val="20"/>
        </w:rPr>
        <w:t>Departamento de Arquitectura, Universidad de Sonora, Rosales S/N, Colonia Centro, CP 83000, </w:t>
      </w:r>
      <w:hyperlink r:id="rId435">
        <w:r>
          <w:rPr>
            <w:color w:val="0000FF"/>
            <w:sz w:val="20"/>
            <w:u w:val="single" w:color="0000FF"/>
          </w:rPr>
          <w:t>magalpuche@arq.uson.mx</w:t>
        </w:r>
        <w:r>
          <w:rPr>
            <w:sz w:val="20"/>
          </w:rPr>
          <w:t>,</w:t>
        </w:r>
      </w:hyperlink>
      <w:r>
        <w:rPr>
          <w:sz w:val="20"/>
        </w:rPr>
        <w:t> Tel. 59 21 41, Extensión 4815, Hermosillo,</w:t>
      </w:r>
      <w:r>
        <w:rPr>
          <w:spacing w:val="-11"/>
          <w:sz w:val="20"/>
        </w:rPr>
        <w:t> </w:t>
      </w:r>
      <w:r>
        <w:rPr>
          <w:sz w:val="20"/>
        </w:rPr>
        <w:t>Sonora</w:t>
      </w:r>
    </w:p>
    <w:p>
      <w:pPr>
        <w:pStyle w:val="ListParagraph"/>
        <w:numPr>
          <w:ilvl w:val="0"/>
          <w:numId w:val="99"/>
        </w:numPr>
        <w:tabs>
          <w:tab w:pos="505" w:val="left" w:leader="none"/>
        </w:tabs>
        <w:spacing w:line="240" w:lineRule="auto" w:before="0" w:after="0"/>
        <w:ind w:left="270" w:right="266" w:firstLine="0"/>
        <w:jc w:val="left"/>
        <w:rPr>
          <w:sz w:val="20"/>
        </w:rPr>
      </w:pPr>
      <w:r>
        <w:rPr>
          <w:sz w:val="20"/>
        </w:rPr>
        <w:t>Departamento de Arquitectura, Universidad de Sonora, Rosales S/N, Colonia Centro, CP 83000, </w:t>
      </w:r>
      <w:r>
        <w:rPr>
          <w:color w:val="0000FF"/>
          <w:sz w:val="20"/>
          <w:u w:val="single" w:color="0000FF"/>
        </w:rPr>
        <w:t>jomocha@arq.uson.mx</w:t>
      </w:r>
      <w:r>
        <w:rPr>
          <w:sz w:val="20"/>
        </w:rPr>
        <w:t>,Tel. 59 21 41, Extensión 4818 Hermosillo,</w:t>
      </w:r>
      <w:r>
        <w:rPr>
          <w:spacing w:val="-11"/>
          <w:sz w:val="20"/>
        </w:rPr>
        <w:t> </w:t>
      </w:r>
      <w:r>
        <w:rPr>
          <w:sz w:val="20"/>
        </w:rPr>
        <w:t>Sonora</w:t>
      </w:r>
    </w:p>
    <w:p>
      <w:pPr>
        <w:pStyle w:val="BodyText"/>
        <w:ind w:left="270" w:right="118"/>
      </w:pPr>
      <w:r>
        <w:rPr/>
        <w:t>D Departamento de Arquitectura, Universidad de Sonora, Rosales S/N, Colonia, Centro, CP 83000, </w:t>
      </w:r>
      <w:hyperlink r:id="rId436">
        <w:r>
          <w:rPr>
            <w:color w:val="0000FF"/>
            <w:u w:val="single" w:color="0000FF"/>
          </w:rPr>
          <w:t>imarincic@arq.uson.mx </w:t>
        </w:r>
      </w:hyperlink>
      <w:r>
        <w:rPr/>
        <w:t>Tel. 59 21 41 Extensión 4817 Hermosillo, Sonora</w:t>
      </w:r>
    </w:p>
    <w:p>
      <w:pPr>
        <w:pStyle w:val="BodyText"/>
      </w:pPr>
    </w:p>
    <w:p>
      <w:pPr>
        <w:pStyle w:val="BodyText"/>
      </w:pPr>
    </w:p>
    <w:p>
      <w:pPr>
        <w:pStyle w:val="BodyText"/>
        <w:ind w:left="270" w:right="118"/>
      </w:pPr>
      <w:r>
        <w:rPr>
          <w:u w:val="single"/>
        </w:rPr>
        <w:t>Resumen</w:t>
      </w:r>
    </w:p>
    <w:p>
      <w:pPr>
        <w:pStyle w:val="BodyText"/>
        <w:spacing w:before="11"/>
        <w:rPr>
          <w:sz w:val="19"/>
        </w:rPr>
      </w:pPr>
    </w:p>
    <w:p>
      <w:pPr>
        <w:pStyle w:val="BodyText"/>
        <w:ind w:left="270" w:right="1"/>
        <w:jc w:val="both"/>
      </w:pPr>
      <w:r>
        <w:rPr/>
        <w:t>La buena salud y la calidad de vida con frecuencia está limitada para una gran parte de la población, esto debido a la presencia de desordenes músculo esqueléticos, tales como el dolor de espalda baja, de cuello, hombres y espalda alta, todos los cuales están asociados a ciertos factores de riesgo, los cuales están asociados a la repetición de movimientos, a las cargas soportadas y a las posturas del cuerpo.</w:t>
      </w:r>
    </w:p>
    <w:p>
      <w:pPr>
        <w:pStyle w:val="BodyText"/>
        <w:ind w:left="270" w:firstLine="426"/>
        <w:jc w:val="both"/>
      </w:pPr>
      <w:r>
        <w:rPr/>
        <w:t>Las actividades de arte desarrolladas por pintores, escultores y grabadores tienen usualmente demandas físicas, tales como de levantamiento de cargas, adquisición de posturas no naturales, extensiones manuales y repetición de movimientos, todas las cuales son premisas que pueden conducir al desarrollo de trastornos músculo esqueléticos.</w:t>
      </w:r>
    </w:p>
    <w:p>
      <w:pPr>
        <w:pStyle w:val="BodyText"/>
        <w:ind w:left="270" w:firstLine="451"/>
        <w:jc w:val="both"/>
      </w:pPr>
      <w:r>
        <w:rPr/>
        <w:t>Por éstas razones, es necesario realizar una evaluación del riesgo de desordenes músculo esqueléticos, y por ello se ha usado en esta investigación el método de evaluación rápida de miembros superiores, para aquellas actividades del quehacer del arte en donde se presentan posturas sostenidas por largos periodos de tiempo y para aquellas que resultan en malas posturas. Por otra parte, debido a que la mayor parte de las tareas desarrolladas por los artistas demandan el uso del lado derecho del cuerpo, la evaluación realizada se ha desarrollado para un solo</w:t>
      </w:r>
      <w:r>
        <w:rPr>
          <w:spacing w:val="-11"/>
        </w:rPr>
        <w:t> </w:t>
      </w:r>
      <w:r>
        <w:rPr/>
        <w:t>lado.</w:t>
      </w:r>
    </w:p>
    <w:p>
      <w:pPr>
        <w:pStyle w:val="BodyText"/>
        <w:ind w:left="270" w:firstLine="400"/>
        <w:jc w:val="both"/>
      </w:pPr>
      <w:r>
        <w:rPr/>
        <w:t>La evaluación realizada en esta investigación se llevó a cabo con 186 estudiantes de la licenciatura en artes plásticas de la Universidad de Sonora, por un periodo de 16 semanas.</w:t>
      </w:r>
    </w:p>
    <w:p>
      <w:pPr>
        <w:pStyle w:val="BodyText"/>
        <w:ind w:left="270" w:firstLine="426"/>
        <w:jc w:val="both"/>
      </w:pPr>
      <w:r>
        <w:rPr/>
        <w:t>Los resultados de la investigación revelan que el 48.9% de las evaluaciones presentan una calificación de 7 según la escala  del  método  RULA,  lo  cual  significa  que  existe un</w:t>
      </w:r>
    </w:p>
    <w:p>
      <w:pPr>
        <w:pStyle w:val="BodyText"/>
        <w:spacing w:before="74"/>
        <w:ind w:left="270" w:right="676"/>
        <w:jc w:val="both"/>
      </w:pPr>
      <w:r>
        <w:rPr/>
        <w:br w:type="column"/>
      </w:r>
      <w:r>
        <w:rPr/>
        <w:t>riesgo de trastornos músculo esqueléticos para todas las actividades evaluadas en pintores, escultores y grabadores. Se obtuvo una valoración de 6 para el 18.4% de las evaluaciones, y un 5 para el 31.4% de las actividades evaluadas, lo cual demanda la realización de un estudio más profundo, así como la modificación de posturas; por otra parte 9.18% de las evaluaciones mostraron una valoración de 4. Las tareas desarrolladas con los escultores están asociadas a un alto riesgo de desordenes musculo esqueléticos.</w:t>
      </w:r>
    </w:p>
    <w:p>
      <w:pPr>
        <w:pStyle w:val="BodyText"/>
        <w:spacing w:before="4"/>
        <w:rPr>
          <w:sz w:val="17"/>
        </w:rPr>
      </w:pPr>
    </w:p>
    <w:p>
      <w:pPr>
        <w:spacing w:before="0"/>
        <w:ind w:left="270" w:right="0" w:firstLine="0"/>
        <w:jc w:val="both"/>
        <w:rPr>
          <w:i/>
          <w:sz w:val="20"/>
        </w:rPr>
      </w:pPr>
      <w:r>
        <w:rPr>
          <w:i/>
          <w:sz w:val="20"/>
          <w:u w:val="single"/>
        </w:rPr>
        <w:t>Abstract</w:t>
      </w:r>
    </w:p>
    <w:p>
      <w:pPr>
        <w:pStyle w:val="BodyText"/>
        <w:spacing w:before="11"/>
        <w:rPr>
          <w:i/>
          <w:sz w:val="19"/>
        </w:rPr>
      </w:pPr>
    </w:p>
    <w:p>
      <w:pPr>
        <w:spacing w:before="0"/>
        <w:ind w:left="270" w:right="676" w:firstLine="0"/>
        <w:jc w:val="both"/>
        <w:rPr>
          <w:i/>
          <w:sz w:val="20"/>
        </w:rPr>
      </w:pPr>
      <w:r>
        <w:rPr>
          <w:i/>
          <w:sz w:val="20"/>
        </w:rPr>
        <w:t>Art activity, mostly developed by painters, sculptors and </w:t>
      </w:r>
      <w:r>
        <w:rPr>
          <w:i/>
          <w:sz w:val="20"/>
        </w:rPr>
        <w:t>engravers, has physical demands such load lifting, work in unnatural postures, forceful manual exertions and repetitive movements which are premises that could lead to musculoskeletal disorders.</w:t>
      </w:r>
    </w:p>
    <w:p>
      <w:pPr>
        <w:spacing w:before="0"/>
        <w:ind w:left="270" w:right="676" w:firstLine="451"/>
        <w:jc w:val="both"/>
        <w:rPr>
          <w:i/>
          <w:sz w:val="20"/>
        </w:rPr>
      </w:pPr>
      <w:r>
        <w:rPr>
          <w:i/>
          <w:sz w:val="20"/>
        </w:rPr>
        <w:t>For these reasons it has become necessary to evaluate </w:t>
      </w:r>
      <w:r>
        <w:rPr>
          <w:i/>
          <w:sz w:val="20"/>
        </w:rPr>
        <w:t>the risk of musculoskeletal disorders and for doing such evaluation it has been used the Rapid Upper Limb Assessment (RULA) for those art activities that have the longest held posture, the worst posture adopted and due that most of art activities demand the use of right hand, arm and upper arm, the assessment was performed for right side.</w:t>
      </w:r>
    </w:p>
    <w:p>
      <w:pPr>
        <w:spacing w:before="0"/>
        <w:ind w:left="270" w:right="676" w:firstLine="476"/>
        <w:jc w:val="both"/>
        <w:rPr>
          <w:i/>
          <w:sz w:val="20"/>
        </w:rPr>
      </w:pPr>
      <w:r>
        <w:rPr>
          <w:i/>
          <w:sz w:val="20"/>
        </w:rPr>
        <w:t>The musculoskeletal disorder risk assessment was </w:t>
      </w:r>
      <w:r>
        <w:rPr>
          <w:i/>
          <w:sz w:val="20"/>
        </w:rPr>
        <w:t>performed with 186 art students from Plastic Art School at Sonora University during an observation period of sixteen weeks.</w:t>
      </w:r>
    </w:p>
    <w:p>
      <w:pPr>
        <w:spacing w:before="0"/>
        <w:ind w:left="270" w:right="674" w:firstLine="426"/>
        <w:jc w:val="both"/>
        <w:rPr>
          <w:i/>
          <w:sz w:val="20"/>
        </w:rPr>
      </w:pPr>
      <w:r>
        <w:rPr>
          <w:i/>
          <w:sz w:val="20"/>
        </w:rPr>
        <w:t>The results showed that 48.9% of assessments  deal </w:t>
      </w:r>
      <w:r>
        <w:rPr>
          <w:i/>
          <w:sz w:val="20"/>
        </w:rPr>
        <w:t>with a score of 7, which means that there is a risk of musculoskeletal disorders for all activities assessed in painters, sculptors and engravers.  A score of 6 was found  in 18.4% of assessments and for punctuation 5 was found in 31.4% of activities evaluated, which demands to extend  study and modify postures, and 9.18% of assessments had a score of 4. Sculptor tasks are related with high risk of musculoskeletal</w:t>
      </w:r>
      <w:r>
        <w:rPr>
          <w:i/>
          <w:spacing w:val="-4"/>
          <w:sz w:val="20"/>
        </w:rPr>
        <w:t> </w:t>
      </w:r>
      <w:r>
        <w:rPr>
          <w:i/>
          <w:sz w:val="20"/>
        </w:rPr>
        <w:t>disorders.</w:t>
      </w:r>
    </w:p>
    <w:p>
      <w:pPr>
        <w:pStyle w:val="BodyText"/>
        <w:rPr>
          <w:i/>
        </w:rPr>
      </w:pPr>
    </w:p>
    <w:p>
      <w:pPr>
        <w:pStyle w:val="BodyText"/>
        <w:spacing w:before="4"/>
        <w:rPr>
          <w:i/>
          <w:sz w:val="17"/>
        </w:rPr>
      </w:pPr>
    </w:p>
    <w:p>
      <w:pPr>
        <w:spacing w:before="0"/>
        <w:ind w:left="270" w:right="0" w:firstLine="0"/>
        <w:jc w:val="both"/>
        <w:rPr>
          <w:i/>
          <w:sz w:val="20"/>
        </w:rPr>
      </w:pPr>
      <w:r>
        <w:rPr>
          <w:b/>
          <w:i/>
          <w:sz w:val="20"/>
        </w:rPr>
        <w:t>Keywords</w:t>
      </w:r>
      <w:r>
        <w:rPr>
          <w:i/>
          <w:sz w:val="20"/>
        </w:rPr>
        <w:t>— arts, disorder, musculoskeletal.</w:t>
      </w:r>
    </w:p>
    <w:p>
      <w:pPr>
        <w:pStyle w:val="BodyText"/>
        <w:rPr>
          <w:i/>
        </w:rPr>
      </w:pPr>
    </w:p>
    <w:p>
      <w:pPr>
        <w:pStyle w:val="BodyText"/>
        <w:spacing w:before="4"/>
        <w:rPr>
          <w:i/>
          <w:sz w:val="17"/>
        </w:rPr>
      </w:pPr>
    </w:p>
    <w:p>
      <w:pPr>
        <w:pStyle w:val="BodyText"/>
        <w:ind w:left="270"/>
        <w:jc w:val="both"/>
      </w:pPr>
      <w:r>
        <w:rPr/>
        <w:t>Relevance to Ergonomics:</w:t>
      </w:r>
    </w:p>
    <w:p>
      <w:pPr>
        <w:pStyle w:val="BodyText"/>
        <w:spacing w:before="11"/>
        <w:rPr>
          <w:sz w:val="19"/>
        </w:rPr>
      </w:pPr>
    </w:p>
    <w:p>
      <w:pPr>
        <w:pStyle w:val="BodyText"/>
        <w:ind w:left="270" w:right="678"/>
        <w:jc w:val="both"/>
      </w:pPr>
      <w:r>
        <w:rPr/>
        <w:t>Contribute and provide technical data related to art tasks, which are not deeply explored in ergonomic assessments, and expand possibilities for using ergonomic evaluation methods usually devoted to industrial tasks, in other areas like those related to art field.</w:t>
      </w:r>
    </w:p>
    <w:p>
      <w:pPr>
        <w:pStyle w:val="BodyText"/>
      </w:pPr>
    </w:p>
    <w:p>
      <w:pPr>
        <w:pStyle w:val="BodyText"/>
        <w:spacing w:before="2"/>
      </w:pPr>
    </w:p>
    <w:p>
      <w:pPr>
        <w:pStyle w:val="Heading4"/>
        <w:numPr>
          <w:ilvl w:val="0"/>
          <w:numId w:val="100"/>
        </w:numPr>
        <w:tabs>
          <w:tab w:pos="473" w:val="left" w:leader="none"/>
        </w:tabs>
        <w:spacing w:line="240" w:lineRule="auto" w:before="0" w:after="0"/>
        <w:ind w:left="472" w:right="0" w:hanging="202"/>
        <w:jc w:val="both"/>
      </w:pPr>
      <w:r>
        <w:rPr/>
        <w:t>INTRODUCTION</w:t>
      </w:r>
    </w:p>
    <w:p>
      <w:pPr>
        <w:pStyle w:val="BodyText"/>
        <w:spacing w:before="8"/>
        <w:rPr>
          <w:b/>
          <w:sz w:val="19"/>
        </w:rPr>
      </w:pPr>
    </w:p>
    <w:p>
      <w:pPr>
        <w:pStyle w:val="BodyText"/>
        <w:ind w:left="270" w:right="676"/>
        <w:jc w:val="both"/>
      </w:pPr>
      <w:r>
        <w:rPr/>
        <w:t>Health and quality of life sometimes is reduced for a large proportion of population because of chronic musculoskeletal disorders (low back pain, pain in the neck, shoulder and upper back) which are associated to certain risk factors,  that</w:t>
      </w:r>
    </w:p>
    <w:p>
      <w:pPr>
        <w:spacing w:after="0"/>
        <w:jc w:val="both"/>
        <w:sectPr>
          <w:type w:val="continuous"/>
          <w:pgSz w:w="12240" w:h="15840"/>
          <w:pgMar w:top="1500" w:bottom="280" w:left="580" w:right="220"/>
          <w:cols w:num="2" w:equalWidth="0">
            <w:col w:w="5190" w:space="434"/>
            <w:col w:w="5816"/>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4"/>
        <w:ind w:left="270"/>
        <w:jc w:val="both"/>
      </w:pPr>
      <w:r>
        <w:rPr/>
        <w:t>can be detected during labor tasks, and most of them are related to repetitive movements, work load and body postures.</w:t>
      </w:r>
    </w:p>
    <w:p>
      <w:pPr>
        <w:pStyle w:val="BodyText"/>
        <w:ind w:left="270" w:right="1" w:firstLine="426"/>
        <w:jc w:val="both"/>
      </w:pPr>
      <w:r>
        <w:rPr/>
        <w:t>The occupational etiology for musculoskeletal  disorders was first assigned at the beginning of XVIII century[1], however they were examined using epidemiological methods until the sixties. Musculoskeletal disorders are highly associated to certain risk factors that can be detected at work labor[2] among these factors are the repetitive movements, loads and  postures,  unnatural postures and vibration, however there is controversy in regards to non occupational causes. The prevalence of musculoskeletal disorders is associated with industrial tasks[3], the higher risk sectors include the nursery activity, space transportation, food processing industry and manufacturing.</w:t>
      </w:r>
    </w:p>
    <w:p>
      <w:pPr>
        <w:pStyle w:val="BodyText"/>
        <w:spacing w:before="4"/>
        <w:rPr>
          <w:sz w:val="24"/>
        </w:rPr>
      </w:pPr>
    </w:p>
    <w:p>
      <w:pPr>
        <w:pStyle w:val="BodyText"/>
        <w:ind w:left="270" w:right="1" w:firstLine="424"/>
        <w:jc w:val="both"/>
      </w:pPr>
      <w:r>
        <w:rPr/>
        <w:t>Upper extremity disorders are related to intense manual tasks like the ones developed in office work, cleaning, industrial inspection and package. Low extremity disorders are associated with postal service tasks, warehouse and health</w:t>
      </w:r>
      <w:r>
        <w:rPr>
          <w:spacing w:val="-15"/>
        </w:rPr>
        <w:t> </w:t>
      </w:r>
      <w:r>
        <w:rPr/>
        <w:t>workers[4].</w:t>
      </w:r>
    </w:p>
    <w:p>
      <w:pPr>
        <w:pStyle w:val="BodyText"/>
        <w:spacing w:before="4"/>
        <w:rPr>
          <w:sz w:val="24"/>
        </w:rPr>
      </w:pPr>
    </w:p>
    <w:p>
      <w:pPr>
        <w:pStyle w:val="BodyText"/>
        <w:ind w:left="270" w:right="1" w:firstLine="424"/>
        <w:jc w:val="both"/>
      </w:pPr>
      <w:r>
        <w:rPr/>
        <w:t>The musculoskeletal disorders are catalogued as occupational diseases, these appear around the risk factor associated with them; nevertheless a lack of coordination exists, in the appearance of a disorder and its method of detection, usually they are detected as soon as the disease becomes manifest and presents a symptom, and in other occasions across questionnaires, which results are subjective and therefore they do not throw an objective valuation of the musculoskeletal disorders, because of that, the use of a not subjective method, guarantees a detection of them, with minor bias and less mistake.</w:t>
      </w:r>
    </w:p>
    <w:p>
      <w:pPr>
        <w:pStyle w:val="BodyText"/>
        <w:spacing w:before="4"/>
        <w:rPr>
          <w:sz w:val="24"/>
        </w:rPr>
      </w:pPr>
    </w:p>
    <w:p>
      <w:pPr>
        <w:pStyle w:val="BodyText"/>
        <w:ind w:left="270" w:right="1" w:firstLine="424"/>
        <w:jc w:val="both"/>
      </w:pPr>
      <w:r>
        <w:rPr/>
        <w:t>It is important for the development of this research, to establish the conditions and generals elements relative to movements and positions that the performer of the plastic art develops during his painting, sculpting and engraving activity. A general description of movements and postures will be done, as follows:</w:t>
      </w:r>
    </w:p>
    <w:p>
      <w:pPr>
        <w:pStyle w:val="BodyText"/>
        <w:spacing w:before="4"/>
        <w:rPr>
          <w:sz w:val="24"/>
        </w:rPr>
      </w:pPr>
    </w:p>
    <w:p>
      <w:pPr>
        <w:pStyle w:val="BodyText"/>
        <w:ind w:left="270" w:firstLine="424"/>
        <w:jc w:val="both"/>
      </w:pPr>
      <w:r>
        <w:rPr/>
        <w:t>Material Handling: It is one of the conditions of major frequency in the tasks of the sculptor, from material lifting,  to push and pull it, variables associated to this activities include the weight of the object, the initial and final heights where the object settle, the angles of rotation, the symmetry of the body on having raised the object. Under this activity there are three main postures: humbled, stand and sitting, in the first posture, the position of the feet and the hands is critical, in the second one, the position implies placing the foot behind of the center of corporal mass. The sculptor, also handles static weights, that is to say, support elements, which supported with the hands generate a force of torque due the fact that the support of the body is in the vertebral column. Another repetitive task in the work of the sculptor, is the transportation of heavy objects, which is a task that </w:t>
      </w:r>
      <w:r>
        <w:rPr>
          <w:spacing w:val="48"/>
        </w:rPr>
        <w:t> </w:t>
      </w:r>
      <w:r>
        <w:rPr/>
        <w:t>realized</w:t>
      </w:r>
    </w:p>
    <w:p>
      <w:pPr>
        <w:pStyle w:val="BodyText"/>
        <w:spacing w:before="74"/>
        <w:ind w:left="270" w:right="676"/>
        <w:jc w:val="both"/>
      </w:pPr>
      <w:r>
        <w:rPr/>
        <w:br w:type="column"/>
      </w:r>
      <w:r>
        <w:rPr/>
        <w:t>in long distances, is linked to problems in  shoulder  and back, and for short distances, is related to problems in  hands. One of the tasks that generates stress on the cardiovascular system is the load lifting</w:t>
      </w:r>
      <w:r>
        <w:rPr>
          <w:spacing w:val="-23"/>
        </w:rPr>
        <w:t> </w:t>
      </w:r>
      <w:r>
        <w:rPr/>
        <w:t>[6].</w:t>
      </w:r>
    </w:p>
    <w:p>
      <w:pPr>
        <w:pStyle w:val="BodyText"/>
        <w:spacing w:before="4"/>
        <w:rPr>
          <w:sz w:val="24"/>
        </w:rPr>
      </w:pPr>
    </w:p>
    <w:p>
      <w:pPr>
        <w:pStyle w:val="BodyText"/>
        <w:ind w:left="270" w:right="676" w:firstLine="424"/>
        <w:jc w:val="both"/>
      </w:pPr>
      <w:r>
        <w:rPr/>
        <w:t>In the case of painters and engravers, there does not exist evidence of which we can say they handle materials that involve loads, pushes, or material pulling, since the materials used usually are low in weight.</w:t>
      </w:r>
    </w:p>
    <w:p>
      <w:pPr>
        <w:pStyle w:val="BodyText"/>
        <w:spacing w:before="4"/>
        <w:rPr>
          <w:sz w:val="24"/>
        </w:rPr>
      </w:pPr>
    </w:p>
    <w:p>
      <w:pPr>
        <w:pStyle w:val="BodyText"/>
        <w:ind w:left="270" w:right="676"/>
        <w:jc w:val="both"/>
      </w:pPr>
      <w:r>
        <w:rPr/>
        <w:t>Sedentary postures: The plastic artist, especially the painter and the engraver, are subject to sedentary positions with  high visual demands of work and a need of stabilization of the system neck-shoulder, due to the work that is realized by the widespread arm. On the other hand, both activities demand high concentration level, quality and quantity of work, that often can cause stress in the muscles of the neck, besides which, the joints of the neck and the discs are often subject to degenerative changes relative to the age, with which there diminishes the aptitude to support long loads of work. The work developed by painters and engravers, requires to work constant periods, ranging from two o four continuous hours by day. The work of the painter and the engraver, demands the execution of repetitive movements of hand, which increase the need of stabilization of the region of the neck and shoulders, which is translated into cervical problems, especially when it is necessary to perform precise movements at certain speeds, due to the type of art  materials used in their</w:t>
      </w:r>
      <w:r>
        <w:rPr>
          <w:spacing w:val="-15"/>
        </w:rPr>
        <w:t> </w:t>
      </w:r>
      <w:r>
        <w:rPr/>
        <w:t>works.</w:t>
      </w:r>
    </w:p>
    <w:p>
      <w:pPr>
        <w:pStyle w:val="BodyText"/>
        <w:spacing w:before="4"/>
        <w:rPr>
          <w:sz w:val="24"/>
        </w:rPr>
      </w:pPr>
    </w:p>
    <w:p>
      <w:pPr>
        <w:pStyle w:val="BodyText"/>
        <w:ind w:left="270" w:right="677"/>
        <w:jc w:val="both"/>
      </w:pPr>
      <w:r>
        <w:rPr/>
        <w:t>Flexion of the neck: the human head weights about 7.3% of corporal weight [6], this weight is supported by the neck, and the stress suffered in this body part depends on the position of the mass center of the head with regards to the back bone, for what, if the neck is very long and the head is inclined towards the front or backwards, the load will be major.</w:t>
      </w:r>
    </w:p>
    <w:p>
      <w:pPr>
        <w:pStyle w:val="BodyText"/>
        <w:spacing w:before="4"/>
        <w:rPr>
          <w:sz w:val="24"/>
        </w:rPr>
      </w:pPr>
    </w:p>
    <w:p>
      <w:pPr>
        <w:pStyle w:val="BodyText"/>
        <w:ind w:left="270" w:right="677"/>
        <w:jc w:val="both"/>
      </w:pPr>
      <w:r>
        <w:rPr/>
        <w:t>The angle of inclination of the head, will depend on the type of realized task and the visual requirements. In the case of the engraver, the head is inclined towards for supporting the eyes more near the object of work, due to the fact that his tasks demands to realize drawing and removal of material from engraving plates.</w:t>
      </w:r>
    </w:p>
    <w:p>
      <w:pPr>
        <w:pStyle w:val="BodyText"/>
        <w:spacing w:before="4"/>
        <w:rPr>
          <w:sz w:val="24"/>
        </w:rPr>
      </w:pPr>
    </w:p>
    <w:p>
      <w:pPr>
        <w:pStyle w:val="BodyText"/>
        <w:ind w:left="270" w:right="676"/>
        <w:jc w:val="both"/>
      </w:pPr>
      <w:r>
        <w:rPr/>
        <w:t>Tool handling: the tools are devices that extend the capacities of the hands, the plastic artist uses many tools: paintbrushes, punches, beaters, drills, triggers, hammers, tweezers, which requires supports that includes certain angular hand position and the force that it is need to operate them,</w:t>
      </w:r>
    </w:p>
    <w:p>
      <w:pPr>
        <w:pStyle w:val="BodyText"/>
        <w:spacing w:before="4"/>
        <w:rPr>
          <w:sz w:val="24"/>
        </w:rPr>
      </w:pPr>
    </w:p>
    <w:p>
      <w:pPr>
        <w:pStyle w:val="BodyText"/>
        <w:ind w:left="270" w:right="676"/>
        <w:jc w:val="both"/>
      </w:pPr>
      <w:r>
        <w:rPr/>
        <w:t>In the use of tools, the artist experiences efforts in the muscles of the forearm, along his axis; usually the tool operates perpendicularly to the axis of the forearm, then, the forces exercised on the muscle are torques, which with the time can triggers musculoskeletal disorders.</w:t>
      </w:r>
    </w:p>
    <w:p>
      <w:pPr>
        <w:spacing w:after="0"/>
        <w:jc w:val="both"/>
        <w:sectPr>
          <w:type w:val="continuous"/>
          <w:pgSz w:w="12240" w:h="15840"/>
          <w:pgMar w:top="1500" w:bottom="280" w:left="580" w:right="220"/>
          <w:cols w:num="2" w:equalWidth="0">
            <w:col w:w="5190" w:space="434"/>
            <w:col w:w="5816"/>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Heading4"/>
        <w:numPr>
          <w:ilvl w:val="0"/>
          <w:numId w:val="100"/>
        </w:numPr>
        <w:tabs>
          <w:tab w:pos="471" w:val="left" w:leader="none"/>
        </w:tabs>
        <w:spacing w:line="240" w:lineRule="auto" w:before="77" w:after="0"/>
        <w:ind w:left="470" w:right="0" w:hanging="200"/>
        <w:jc w:val="both"/>
      </w:pPr>
      <w:r>
        <w:rPr/>
        <w:t>OBJECTIVES</w:t>
      </w:r>
    </w:p>
    <w:p>
      <w:pPr>
        <w:pStyle w:val="BodyText"/>
        <w:spacing w:before="1"/>
        <w:rPr>
          <w:b/>
          <w:sz w:val="24"/>
        </w:rPr>
      </w:pPr>
    </w:p>
    <w:p>
      <w:pPr>
        <w:pStyle w:val="BodyText"/>
        <w:ind w:left="270" w:right="1"/>
        <w:jc w:val="both"/>
      </w:pPr>
      <w:r>
        <w:rPr/>
        <w:t>Plastic Art tasks such sculpting, painting and engraving demands intensive manual work, postures and movements like lifting, neck and low back postures for long and continuous periods ranging from two to four hours for four consecutive days a week, these assignments are strongly similar to construction, health and warehouse worker tasks, which are precedents to certain risk factors in musculoskeletal disorders, because of that this study was carried out in order assess the risk of musculoskeletal disorders in art tasks, developed by painters, sculptors and engravers and also identify the specific art tasks which can lead to a musculoskeletal disorder.</w:t>
      </w:r>
    </w:p>
    <w:p>
      <w:pPr>
        <w:pStyle w:val="BodyText"/>
        <w:spacing w:before="5"/>
        <w:rPr>
          <w:sz w:val="17"/>
        </w:rPr>
      </w:pPr>
    </w:p>
    <w:p>
      <w:pPr>
        <w:pStyle w:val="Heading4"/>
        <w:numPr>
          <w:ilvl w:val="0"/>
          <w:numId w:val="100"/>
        </w:numPr>
        <w:tabs>
          <w:tab w:pos="471" w:val="left" w:leader="none"/>
        </w:tabs>
        <w:spacing w:line="240" w:lineRule="auto" w:before="0" w:after="0"/>
        <w:ind w:left="470" w:right="0" w:hanging="200"/>
        <w:jc w:val="both"/>
      </w:pPr>
      <w:r>
        <w:rPr/>
        <w:t>METHODOLOGY</w:t>
      </w:r>
    </w:p>
    <w:p>
      <w:pPr>
        <w:pStyle w:val="BodyText"/>
        <w:spacing w:before="2"/>
        <w:rPr>
          <w:b/>
          <w:sz w:val="17"/>
        </w:rPr>
      </w:pPr>
    </w:p>
    <w:p>
      <w:pPr>
        <w:pStyle w:val="BodyText"/>
        <w:spacing w:before="1"/>
        <w:ind w:left="270" w:right="1"/>
        <w:jc w:val="both"/>
      </w:pPr>
      <w:r>
        <w:rPr/>
        <w:t>As a result of stated objectives, this study was conducted at Plastic Art School from University of Sonora during a period of sixteen weeks for both female and male students from  first, third, fifth and seventh period. It was assessed the risk of musculoskeletal disorders for the painting, sculpting and engraving tasks using the Rapid Upper Limb</w:t>
      </w:r>
      <w:r>
        <w:rPr>
          <w:spacing w:val="-21"/>
        </w:rPr>
        <w:t> </w:t>
      </w:r>
      <w:r>
        <w:rPr/>
        <w:t>Assessment[5].</w:t>
      </w:r>
    </w:p>
    <w:p>
      <w:pPr>
        <w:pStyle w:val="BodyText"/>
        <w:spacing w:before="2"/>
      </w:pPr>
    </w:p>
    <w:p>
      <w:pPr>
        <w:pStyle w:val="Heading4"/>
        <w:numPr>
          <w:ilvl w:val="1"/>
          <w:numId w:val="100"/>
        </w:numPr>
        <w:tabs>
          <w:tab w:pos="572" w:val="left" w:leader="none"/>
        </w:tabs>
        <w:spacing w:line="240" w:lineRule="auto" w:before="0" w:after="0"/>
        <w:ind w:left="571" w:right="0" w:hanging="301"/>
        <w:jc w:val="both"/>
      </w:pPr>
      <w:r>
        <w:rPr/>
        <w:t>Subjects</w:t>
      </w:r>
    </w:p>
    <w:p>
      <w:pPr>
        <w:pStyle w:val="BodyText"/>
        <w:spacing w:before="8"/>
        <w:rPr>
          <w:b/>
          <w:sz w:val="19"/>
        </w:rPr>
      </w:pPr>
    </w:p>
    <w:p>
      <w:pPr>
        <w:pStyle w:val="BodyText"/>
        <w:ind w:left="270"/>
        <w:jc w:val="both"/>
      </w:pPr>
      <w:r>
        <w:rPr/>
        <w:t>They were 186 students aged between nineteen to twenty three years in good health condition. They were distributed  in eleven groups, sixty seven students from painting area, sixty four from sculpting area and the rest from engraving area. They were four painting groups from first, third, fifth and seventh period; four sculpting groups from same periods and three engraving groups from first, third and fifth period from art bachelor school at the Departamento de Bellas Artes in the Universidad de</w:t>
      </w:r>
      <w:r>
        <w:rPr>
          <w:spacing w:val="-13"/>
        </w:rPr>
        <w:t> </w:t>
      </w:r>
      <w:r>
        <w:rPr/>
        <w:t>Sonora.</w:t>
      </w:r>
    </w:p>
    <w:p>
      <w:pPr>
        <w:pStyle w:val="BodyText"/>
        <w:spacing w:before="3"/>
      </w:pPr>
    </w:p>
    <w:p>
      <w:pPr>
        <w:pStyle w:val="Heading4"/>
        <w:numPr>
          <w:ilvl w:val="1"/>
          <w:numId w:val="100"/>
        </w:numPr>
        <w:tabs>
          <w:tab w:pos="573" w:val="left" w:leader="none"/>
        </w:tabs>
        <w:spacing w:line="240" w:lineRule="auto" w:before="0" w:after="0"/>
        <w:ind w:left="572" w:right="0" w:hanging="302"/>
        <w:jc w:val="both"/>
      </w:pPr>
      <w:r>
        <w:rPr/>
        <w:t>Experimental</w:t>
      </w:r>
      <w:r>
        <w:rPr>
          <w:spacing w:val="-6"/>
        </w:rPr>
        <w:t> </w:t>
      </w:r>
      <w:r>
        <w:rPr/>
        <w:t>procedure</w:t>
      </w:r>
    </w:p>
    <w:p>
      <w:pPr>
        <w:pStyle w:val="BodyText"/>
        <w:spacing w:before="8"/>
        <w:rPr>
          <w:b/>
          <w:sz w:val="19"/>
        </w:rPr>
      </w:pPr>
    </w:p>
    <w:p>
      <w:pPr>
        <w:pStyle w:val="BodyText"/>
        <w:ind w:left="270" w:right="1"/>
        <w:jc w:val="both"/>
      </w:pPr>
      <w:r>
        <w:rPr/>
        <w:t>Static prolonged postures during work tasks are premises to fatigue and risk of musculoskeletal disorders, when assessing labour conditions, it is necessary to take into account the static loads and postures, there are several procedures to evaluate them; for this study it was selected the Rapid Upper Limb Assessment due that art tasks involve repetitive movements, load lifting, and static postures.</w:t>
      </w:r>
    </w:p>
    <w:p>
      <w:pPr>
        <w:pStyle w:val="BodyText"/>
        <w:spacing w:before="11"/>
        <w:rPr>
          <w:sz w:val="19"/>
        </w:rPr>
      </w:pPr>
    </w:p>
    <w:p>
      <w:pPr>
        <w:pStyle w:val="BodyText"/>
        <w:ind w:left="270" w:right="2" w:firstLine="426"/>
        <w:jc w:val="both"/>
      </w:pPr>
      <w:r>
        <w:rPr/>
        <w:t>The RULA[7] assessment was applied for those significant postures that includes long periods and loads, for a total of sixteen weeks.  The evaluation was done just to   the right body side, due that most activities are performed on that side of the</w:t>
      </w:r>
      <w:r>
        <w:rPr>
          <w:spacing w:val="-6"/>
        </w:rPr>
        <w:t> </w:t>
      </w:r>
      <w:r>
        <w:rPr/>
        <w:t>body.</w:t>
      </w:r>
    </w:p>
    <w:p>
      <w:pPr>
        <w:pStyle w:val="BodyText"/>
        <w:ind w:left="270" w:right="2" w:firstLine="426"/>
        <w:jc w:val="both"/>
      </w:pPr>
      <w:r>
        <w:rPr/>
        <w:t>General assessment procedure includes the following steps:</w:t>
      </w:r>
    </w:p>
    <w:p>
      <w:pPr>
        <w:pStyle w:val="ListParagraph"/>
        <w:numPr>
          <w:ilvl w:val="0"/>
          <w:numId w:val="101"/>
        </w:numPr>
        <w:tabs>
          <w:tab w:pos="558" w:val="left" w:leader="none"/>
        </w:tabs>
        <w:spacing w:line="240" w:lineRule="auto" w:before="0" w:after="0"/>
        <w:ind w:left="270" w:right="2" w:firstLine="0"/>
        <w:jc w:val="both"/>
        <w:rPr>
          <w:sz w:val="20"/>
        </w:rPr>
      </w:pPr>
      <w:r>
        <w:rPr>
          <w:sz w:val="20"/>
        </w:rPr>
        <w:t>Selection of tasks to be assessed, which comprises painting, sculpting and engraving for periods first, third, fifth and seventh from art bachelor program, a total of eleven groups: painting  for periods first, third, fifth  and    </w:t>
      </w:r>
      <w:r>
        <w:rPr>
          <w:spacing w:val="22"/>
          <w:sz w:val="20"/>
        </w:rPr>
        <w:t> </w:t>
      </w:r>
      <w:r>
        <w:rPr>
          <w:sz w:val="20"/>
        </w:rPr>
        <w:t>seventh,</w:t>
      </w:r>
    </w:p>
    <w:p>
      <w:pPr>
        <w:pStyle w:val="BodyText"/>
        <w:spacing w:before="74"/>
        <w:ind w:left="270" w:right="676"/>
        <w:jc w:val="both"/>
      </w:pPr>
      <w:r>
        <w:rPr/>
        <w:br w:type="column"/>
      </w:r>
      <w:r>
        <w:rPr/>
        <w:t>sculpting for same as painting, and engraving for periods first, third and fifth.</w:t>
      </w:r>
    </w:p>
    <w:p>
      <w:pPr>
        <w:pStyle w:val="ListParagraph"/>
        <w:numPr>
          <w:ilvl w:val="0"/>
          <w:numId w:val="101"/>
        </w:numPr>
        <w:tabs>
          <w:tab w:pos="551" w:val="left" w:leader="none"/>
        </w:tabs>
        <w:spacing w:line="240" w:lineRule="auto" w:before="0" w:after="0"/>
        <w:ind w:left="270" w:right="677" w:firstLine="0"/>
        <w:jc w:val="both"/>
        <w:rPr>
          <w:sz w:val="20"/>
        </w:rPr>
      </w:pPr>
      <w:r>
        <w:rPr>
          <w:sz w:val="20"/>
        </w:rPr>
        <w:t>Observation of working patterns in order to obtain working</w:t>
      </w:r>
      <w:r>
        <w:rPr>
          <w:spacing w:val="-11"/>
          <w:sz w:val="20"/>
        </w:rPr>
        <w:t> </w:t>
      </w:r>
      <w:r>
        <w:rPr>
          <w:sz w:val="20"/>
        </w:rPr>
        <w:t>cycle.</w:t>
      </w:r>
    </w:p>
    <w:p>
      <w:pPr>
        <w:pStyle w:val="ListParagraph"/>
        <w:numPr>
          <w:ilvl w:val="0"/>
          <w:numId w:val="101"/>
        </w:numPr>
        <w:tabs>
          <w:tab w:pos="556" w:val="left" w:leader="none"/>
        </w:tabs>
        <w:spacing w:line="240" w:lineRule="auto" w:before="0" w:after="0"/>
        <w:ind w:left="270" w:right="676" w:firstLine="0"/>
        <w:jc w:val="both"/>
        <w:rPr>
          <w:sz w:val="20"/>
        </w:rPr>
      </w:pPr>
      <w:r>
        <w:rPr>
          <w:sz w:val="20"/>
        </w:rPr>
        <w:t>Selection of working cycles to be assessed, which includes the most difficult postures and work tasks (based  on worker interview and initial observation), the posture sustained for the longest period of time, and the posture where the highest  loads</w:t>
      </w:r>
      <w:r>
        <w:rPr>
          <w:spacing w:val="-20"/>
          <w:sz w:val="20"/>
        </w:rPr>
        <w:t> </w:t>
      </w:r>
      <w:r>
        <w:rPr>
          <w:sz w:val="20"/>
        </w:rPr>
        <w:t>occur.</w:t>
      </w:r>
    </w:p>
    <w:p>
      <w:pPr>
        <w:pStyle w:val="ListParagraph"/>
        <w:numPr>
          <w:ilvl w:val="0"/>
          <w:numId w:val="101"/>
        </w:numPr>
        <w:tabs>
          <w:tab w:pos="479" w:val="left" w:leader="none"/>
        </w:tabs>
        <w:spacing w:line="240" w:lineRule="auto" w:before="0" w:after="0"/>
        <w:ind w:left="270" w:right="678" w:firstLine="0"/>
        <w:jc w:val="both"/>
        <w:rPr>
          <w:sz w:val="20"/>
        </w:rPr>
      </w:pPr>
      <w:r>
        <w:rPr>
          <w:sz w:val="20"/>
        </w:rPr>
        <w:t>Determination of appropriate posture side to be evaluated (if required, both right and left postures will be</w:t>
      </w:r>
      <w:r>
        <w:rPr>
          <w:spacing w:val="-33"/>
          <w:sz w:val="20"/>
        </w:rPr>
        <w:t> </w:t>
      </w:r>
      <w:r>
        <w:rPr>
          <w:sz w:val="20"/>
        </w:rPr>
        <w:t>assessed).</w:t>
      </w:r>
    </w:p>
    <w:p>
      <w:pPr>
        <w:pStyle w:val="ListParagraph"/>
        <w:numPr>
          <w:ilvl w:val="0"/>
          <w:numId w:val="101"/>
        </w:numPr>
        <w:tabs>
          <w:tab w:pos="471" w:val="left" w:leader="none"/>
        </w:tabs>
        <w:spacing w:line="230" w:lineRule="exact" w:before="0" w:after="0"/>
        <w:ind w:left="470" w:right="0" w:hanging="200"/>
        <w:jc w:val="both"/>
        <w:rPr>
          <w:sz w:val="20"/>
        </w:rPr>
      </w:pPr>
      <w:r>
        <w:rPr>
          <w:sz w:val="20"/>
        </w:rPr>
        <w:t>Determination of punctuations reached in</w:t>
      </w:r>
      <w:r>
        <w:rPr>
          <w:spacing w:val="-19"/>
          <w:sz w:val="20"/>
        </w:rPr>
        <w:t> </w:t>
      </w:r>
      <w:r>
        <w:rPr>
          <w:sz w:val="20"/>
        </w:rPr>
        <w:t>evaluation.</w:t>
      </w:r>
    </w:p>
    <w:p>
      <w:pPr>
        <w:pStyle w:val="ListParagraph"/>
        <w:numPr>
          <w:ilvl w:val="0"/>
          <w:numId w:val="101"/>
        </w:numPr>
        <w:tabs>
          <w:tab w:pos="496" w:val="left" w:leader="none"/>
        </w:tabs>
        <w:spacing w:line="240" w:lineRule="auto" w:before="0" w:after="0"/>
        <w:ind w:left="270" w:right="677" w:firstLine="0"/>
        <w:jc w:val="both"/>
        <w:rPr>
          <w:sz w:val="20"/>
        </w:rPr>
      </w:pPr>
      <w:r>
        <w:rPr>
          <w:sz w:val="20"/>
        </w:rPr>
        <w:t>Obtaining of final punctuation and performance level in order to define the risk of musculoskeletal disorders in art tasks.</w:t>
      </w:r>
    </w:p>
    <w:p>
      <w:pPr>
        <w:pStyle w:val="BodyText"/>
        <w:spacing w:before="2"/>
      </w:pPr>
    </w:p>
    <w:p>
      <w:pPr>
        <w:pStyle w:val="Heading4"/>
        <w:numPr>
          <w:ilvl w:val="1"/>
          <w:numId w:val="100"/>
        </w:numPr>
        <w:tabs>
          <w:tab w:pos="572" w:val="left" w:leader="none"/>
        </w:tabs>
        <w:spacing w:line="240" w:lineRule="auto" w:before="0" w:after="0"/>
        <w:ind w:left="571" w:right="0" w:hanging="301"/>
        <w:jc w:val="both"/>
      </w:pPr>
      <w:r>
        <w:rPr/>
        <w:t>Instruments</w:t>
      </w:r>
    </w:p>
    <w:p>
      <w:pPr>
        <w:pStyle w:val="BodyText"/>
        <w:spacing w:before="8"/>
        <w:rPr>
          <w:b/>
          <w:sz w:val="19"/>
        </w:rPr>
      </w:pPr>
    </w:p>
    <w:p>
      <w:pPr>
        <w:pStyle w:val="BodyText"/>
        <w:ind w:left="270" w:right="675"/>
        <w:jc w:val="both"/>
      </w:pPr>
      <w:r>
        <w:rPr/>
        <w:t>In order to perform the evaluation, it was used a calibrated goniometer for measuring angles, a 20X digital Camera and a white flat panel screen as reference plane.</w:t>
      </w:r>
    </w:p>
    <w:p>
      <w:pPr>
        <w:pStyle w:val="BodyText"/>
        <w:ind w:left="270" w:right="675" w:firstLine="426"/>
        <w:jc w:val="both"/>
      </w:pPr>
      <w:r>
        <w:rPr/>
        <w:t>White flat panel screen was situated behind evaluated subject, and digital camera was located in the floor support in order to take photographs, when postures required it for better angle measuring with a traditional angle measuring device and directly with goniometer for other postures that allow  use it.</w:t>
      </w:r>
    </w:p>
    <w:p>
      <w:pPr>
        <w:pStyle w:val="BodyText"/>
        <w:ind w:left="270" w:right="676" w:firstLine="426"/>
        <w:jc w:val="both"/>
      </w:pPr>
      <w:r>
        <w:rPr/>
        <w:t>They were assessed six posture conditions: upper arm position, lower arm position, wrist position, neck position, trunk position, and legs position for painting, sculpting and engraving tasks just for right side.</w:t>
      </w:r>
    </w:p>
    <w:p>
      <w:pPr>
        <w:pStyle w:val="BodyText"/>
        <w:ind w:left="270" w:right="676" w:firstLine="426"/>
        <w:jc w:val="both"/>
      </w:pPr>
      <w:r>
        <w:rPr/>
        <w:t>Once the data were collected and scored, according to tables on RULA form, it was compiled the risk factor variable for the purpose of obtaining a single score which represents the level of musculoskeletal disorder risk following the outlines below (table 1)</w:t>
      </w:r>
    </w:p>
    <w:p>
      <w:pPr>
        <w:pStyle w:val="BodyText"/>
      </w:pPr>
    </w:p>
    <w:p>
      <w:pPr>
        <w:pStyle w:val="BodyText"/>
      </w:pPr>
    </w:p>
    <w:p>
      <w:pPr>
        <w:pStyle w:val="BodyText"/>
        <w:ind w:left="270" w:right="677" w:firstLine="100"/>
      </w:pPr>
      <w:r>
        <w:rPr/>
        <w:t>Table 1.  RULA final scores (http://www.ergo-plus.com)</w:t>
      </w:r>
    </w:p>
    <w:p>
      <w:pPr>
        <w:pStyle w:val="BodyText"/>
        <w:spacing w:before="4"/>
      </w:pPr>
    </w:p>
    <w:tbl>
      <w:tblPr>
        <w:tblW w:w="0" w:type="auto"/>
        <w:jc w:val="left"/>
        <w:tblInd w:w="1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9"/>
        <w:gridCol w:w="3970"/>
      </w:tblGrid>
      <w:tr>
        <w:trPr>
          <w:trHeight w:val="469" w:hRule="exact"/>
        </w:trPr>
        <w:tc>
          <w:tcPr>
            <w:tcW w:w="959" w:type="dxa"/>
          </w:tcPr>
          <w:p>
            <w:pPr>
              <w:pStyle w:val="TableParagraph"/>
              <w:ind w:left="152" w:right="100" w:hanging="34"/>
              <w:rPr>
                <w:sz w:val="20"/>
              </w:rPr>
            </w:pPr>
            <w:r>
              <w:rPr>
                <w:sz w:val="20"/>
              </w:rPr>
              <w:t>SINGLE SCORE</w:t>
            </w:r>
          </w:p>
        </w:tc>
        <w:tc>
          <w:tcPr>
            <w:tcW w:w="3970" w:type="dxa"/>
          </w:tcPr>
          <w:p>
            <w:pPr>
              <w:pStyle w:val="TableParagraph"/>
              <w:spacing w:line="227" w:lineRule="exact"/>
              <w:ind w:left="1015" w:right="416"/>
              <w:rPr>
                <w:sz w:val="20"/>
              </w:rPr>
            </w:pPr>
            <w:r>
              <w:rPr>
                <w:sz w:val="20"/>
              </w:rPr>
              <w:t>LEVEL OF MSD RISK</w:t>
            </w:r>
          </w:p>
        </w:tc>
      </w:tr>
      <w:tr>
        <w:trPr>
          <w:trHeight w:val="240" w:hRule="exact"/>
        </w:trPr>
        <w:tc>
          <w:tcPr>
            <w:tcW w:w="959" w:type="dxa"/>
          </w:tcPr>
          <w:p>
            <w:pPr>
              <w:pStyle w:val="TableParagraph"/>
              <w:spacing w:line="228" w:lineRule="exact"/>
              <w:ind w:left="340" w:right="100"/>
              <w:rPr>
                <w:sz w:val="20"/>
              </w:rPr>
            </w:pPr>
            <w:r>
              <w:rPr>
                <w:sz w:val="20"/>
              </w:rPr>
              <w:t>1-2</w:t>
            </w:r>
          </w:p>
        </w:tc>
        <w:tc>
          <w:tcPr>
            <w:tcW w:w="3970" w:type="dxa"/>
          </w:tcPr>
          <w:p>
            <w:pPr>
              <w:pStyle w:val="TableParagraph"/>
              <w:spacing w:line="228" w:lineRule="exact"/>
              <w:ind w:left="103" w:right="416"/>
              <w:rPr>
                <w:sz w:val="20"/>
              </w:rPr>
            </w:pPr>
            <w:r>
              <w:rPr>
                <w:sz w:val="20"/>
              </w:rPr>
              <w:t>Negligible risk, no action required</w:t>
            </w:r>
          </w:p>
        </w:tc>
      </w:tr>
      <w:tr>
        <w:trPr>
          <w:trHeight w:val="240" w:hRule="exact"/>
        </w:trPr>
        <w:tc>
          <w:tcPr>
            <w:tcW w:w="959" w:type="dxa"/>
          </w:tcPr>
          <w:p>
            <w:pPr>
              <w:pStyle w:val="TableParagraph"/>
              <w:spacing w:line="228" w:lineRule="exact"/>
              <w:ind w:left="340" w:right="100"/>
              <w:rPr>
                <w:sz w:val="20"/>
              </w:rPr>
            </w:pPr>
            <w:r>
              <w:rPr>
                <w:sz w:val="20"/>
              </w:rPr>
              <w:t>3-4</w:t>
            </w:r>
          </w:p>
        </w:tc>
        <w:tc>
          <w:tcPr>
            <w:tcW w:w="3970" w:type="dxa"/>
          </w:tcPr>
          <w:p>
            <w:pPr>
              <w:pStyle w:val="TableParagraph"/>
              <w:spacing w:line="228" w:lineRule="exact"/>
              <w:ind w:left="102" w:right="416"/>
              <w:rPr>
                <w:sz w:val="20"/>
              </w:rPr>
            </w:pPr>
            <w:r>
              <w:rPr>
                <w:sz w:val="20"/>
              </w:rPr>
              <w:t>Low risk, change may be needed</w:t>
            </w:r>
          </w:p>
        </w:tc>
      </w:tr>
      <w:tr>
        <w:trPr>
          <w:trHeight w:val="470" w:hRule="exact"/>
        </w:trPr>
        <w:tc>
          <w:tcPr>
            <w:tcW w:w="959" w:type="dxa"/>
          </w:tcPr>
          <w:p>
            <w:pPr>
              <w:pStyle w:val="TableParagraph"/>
              <w:spacing w:line="228" w:lineRule="exact"/>
              <w:ind w:left="340" w:right="100"/>
              <w:rPr>
                <w:sz w:val="20"/>
              </w:rPr>
            </w:pPr>
            <w:r>
              <w:rPr>
                <w:sz w:val="20"/>
              </w:rPr>
              <w:t>5-6</w:t>
            </w:r>
          </w:p>
        </w:tc>
        <w:tc>
          <w:tcPr>
            <w:tcW w:w="3970" w:type="dxa"/>
          </w:tcPr>
          <w:p>
            <w:pPr>
              <w:pStyle w:val="TableParagraph"/>
              <w:ind w:left="103" w:right="416" w:hanging="1"/>
              <w:rPr>
                <w:sz w:val="20"/>
              </w:rPr>
            </w:pPr>
            <w:r>
              <w:rPr>
                <w:sz w:val="20"/>
              </w:rPr>
              <w:t>Medium risk, further investigation, change soon</w:t>
            </w:r>
          </w:p>
        </w:tc>
      </w:tr>
      <w:tr>
        <w:trPr>
          <w:trHeight w:val="240" w:hRule="exact"/>
        </w:trPr>
        <w:tc>
          <w:tcPr>
            <w:tcW w:w="959" w:type="dxa"/>
          </w:tcPr>
          <w:p>
            <w:pPr>
              <w:pStyle w:val="TableParagraph"/>
              <w:spacing w:line="227" w:lineRule="exact"/>
              <w:ind w:left="368" w:right="100"/>
              <w:rPr>
                <w:sz w:val="20"/>
              </w:rPr>
            </w:pPr>
            <w:r>
              <w:rPr>
                <w:sz w:val="20"/>
              </w:rPr>
              <w:t>6+</w:t>
            </w:r>
          </w:p>
        </w:tc>
        <w:tc>
          <w:tcPr>
            <w:tcW w:w="3970" w:type="dxa"/>
          </w:tcPr>
          <w:p>
            <w:pPr>
              <w:pStyle w:val="TableParagraph"/>
              <w:spacing w:line="227" w:lineRule="exact"/>
              <w:ind w:left="102" w:right="416"/>
              <w:rPr>
                <w:sz w:val="20"/>
              </w:rPr>
            </w:pPr>
            <w:r>
              <w:rPr>
                <w:sz w:val="20"/>
              </w:rPr>
              <w:t>Very high risk, change now</w:t>
            </w:r>
          </w:p>
        </w:tc>
      </w:tr>
    </w:tbl>
    <w:p>
      <w:pPr>
        <w:pStyle w:val="BodyText"/>
      </w:pPr>
    </w:p>
    <w:p>
      <w:pPr>
        <w:pStyle w:val="BodyText"/>
        <w:rPr>
          <w:sz w:val="24"/>
        </w:rPr>
      </w:pPr>
    </w:p>
    <w:p>
      <w:pPr>
        <w:pStyle w:val="BodyText"/>
        <w:spacing w:before="1"/>
        <w:ind w:left="270" w:right="676"/>
        <w:jc w:val="both"/>
      </w:pPr>
      <w:r>
        <w:rPr/>
        <w:t>There was also, applied a body symptoms discomfort survey for one time, at the beginning of study[8]. This survey is a subjective symptom evaluation tool, that evaluates the workers experience in regards to </w:t>
      </w:r>
      <w:r>
        <w:rPr>
          <w:color w:val="000026"/>
        </w:rPr>
        <w:t>body part discomfort, which is a subjective symptom scale survey tool that evaluates the respondent’s direct experience of discomfort at differentbodyparts[9]</w:t>
      </w:r>
    </w:p>
    <w:p>
      <w:pPr>
        <w:spacing w:after="0"/>
        <w:jc w:val="both"/>
        <w:sectPr>
          <w:type w:val="continuous"/>
          <w:pgSz w:w="12240" w:h="15840"/>
          <w:pgMar w:top="1500" w:bottom="280" w:left="580" w:right="220"/>
          <w:cols w:num="2" w:equalWidth="0">
            <w:col w:w="5193" w:space="432"/>
            <w:col w:w="5815"/>
          </w:cols>
        </w:sectPr>
      </w:pPr>
    </w:p>
    <w:p>
      <w:pPr>
        <w:pStyle w:val="BodyText"/>
        <w:spacing w:before="1"/>
        <w:rPr>
          <w:sz w:val="12"/>
        </w:rPr>
      </w:pPr>
    </w:p>
    <w:p>
      <w:pPr>
        <w:pStyle w:val="Heading1"/>
        <w:numPr>
          <w:ilvl w:val="0"/>
          <w:numId w:val="100"/>
        </w:numPr>
        <w:tabs>
          <w:tab w:pos="511" w:val="left" w:leader="none"/>
        </w:tabs>
        <w:spacing w:line="240" w:lineRule="auto" w:before="69" w:after="0"/>
        <w:ind w:left="510" w:right="0" w:hanging="240"/>
        <w:jc w:val="left"/>
      </w:pPr>
      <w:r>
        <w:rPr/>
        <w:pict>
          <v:shape style="position:absolute;margin-left:318.119995pt;margin-top:14.893143pt;width:254pt;height:91.15pt;mso-position-horizontal-relative:page;mso-position-vertical-relative:paragraph;z-index:11992"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12"/>
                    <w:gridCol w:w="1250"/>
                    <w:gridCol w:w="1252"/>
                    <w:gridCol w:w="1252"/>
                  </w:tblGrid>
                  <w:tr>
                    <w:trPr>
                      <w:trHeight w:val="263" w:hRule="exact"/>
                    </w:trPr>
                    <w:tc>
                      <w:tcPr>
                        <w:tcW w:w="5065" w:type="dxa"/>
                        <w:gridSpan w:val="4"/>
                      </w:tcPr>
                      <w:p>
                        <w:pPr>
                          <w:pStyle w:val="TableParagraph"/>
                          <w:spacing w:line="252" w:lineRule="exact"/>
                          <w:ind w:left="1808" w:right="1808"/>
                          <w:jc w:val="center"/>
                          <w:rPr>
                            <w:sz w:val="22"/>
                          </w:rPr>
                        </w:pPr>
                        <w:r>
                          <w:rPr>
                            <w:sz w:val="22"/>
                          </w:rPr>
                          <w:t>Trunk Positions</w:t>
                        </w:r>
                      </w:p>
                    </w:tc>
                  </w:tr>
                  <w:tr>
                    <w:trPr>
                      <w:trHeight w:val="1288" w:hRule="exact"/>
                    </w:trPr>
                    <w:tc>
                      <w:tcPr>
                        <w:tcW w:w="1312" w:type="dxa"/>
                      </w:tcPr>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tc>
                    <w:tc>
                      <w:tcPr>
                        <w:tcW w:w="1250" w:type="dxa"/>
                      </w:tcPr>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tc>
                    <w:tc>
                      <w:tcPr>
                        <w:tcW w:w="1252" w:type="dxa"/>
                      </w:tcPr>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tc>
                    <w:tc>
                      <w:tcPr>
                        <w:tcW w:w="1252" w:type="dxa"/>
                      </w:tcPr>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tc>
                  </w:tr>
                  <w:tr>
                    <w:trPr>
                      <w:trHeight w:val="263" w:hRule="exact"/>
                    </w:trPr>
                    <w:tc>
                      <w:tcPr>
                        <w:tcW w:w="1312" w:type="dxa"/>
                      </w:tcPr>
                      <w:p>
                        <w:pPr>
                          <w:pStyle w:val="TableParagraph"/>
                          <w:spacing w:line="250" w:lineRule="exact"/>
                          <w:ind w:left="365"/>
                          <w:rPr>
                            <w:sz w:val="22"/>
                          </w:rPr>
                        </w:pPr>
                        <w:r>
                          <w:rPr>
                            <w:sz w:val="22"/>
                          </w:rPr>
                          <w:t>39.8%</w:t>
                        </w:r>
                      </w:p>
                    </w:tc>
                    <w:tc>
                      <w:tcPr>
                        <w:tcW w:w="1250" w:type="dxa"/>
                      </w:tcPr>
                      <w:p>
                        <w:pPr>
                          <w:pStyle w:val="TableParagraph"/>
                          <w:spacing w:line="250" w:lineRule="exact"/>
                          <w:ind w:left="334"/>
                          <w:rPr>
                            <w:sz w:val="22"/>
                          </w:rPr>
                        </w:pPr>
                        <w:r>
                          <w:rPr>
                            <w:sz w:val="22"/>
                          </w:rPr>
                          <w:t>10.8%</w:t>
                        </w:r>
                      </w:p>
                    </w:tc>
                    <w:tc>
                      <w:tcPr>
                        <w:tcW w:w="1252" w:type="dxa"/>
                      </w:tcPr>
                      <w:p>
                        <w:pPr>
                          <w:pStyle w:val="TableParagraph"/>
                          <w:spacing w:line="250" w:lineRule="exact"/>
                          <w:ind w:left="336"/>
                          <w:rPr>
                            <w:sz w:val="22"/>
                          </w:rPr>
                        </w:pPr>
                        <w:r>
                          <w:rPr>
                            <w:sz w:val="22"/>
                          </w:rPr>
                          <w:t>40.9%</w:t>
                        </w:r>
                      </w:p>
                    </w:tc>
                    <w:tc>
                      <w:tcPr>
                        <w:tcW w:w="1252" w:type="dxa"/>
                      </w:tcPr>
                      <w:p>
                        <w:pPr>
                          <w:pStyle w:val="TableParagraph"/>
                          <w:spacing w:line="250" w:lineRule="exact"/>
                          <w:ind w:left="390"/>
                          <w:rPr>
                            <w:sz w:val="22"/>
                          </w:rPr>
                        </w:pPr>
                        <w:r>
                          <w:rPr>
                            <w:sz w:val="22"/>
                          </w:rPr>
                          <w:t>8.5%</w:t>
                        </w:r>
                      </w:p>
                    </w:tc>
                  </w:tr>
                </w:tbl>
                <w:p>
                  <w:pPr>
                    <w:pStyle w:val="BodyText"/>
                  </w:pPr>
                </w:p>
              </w:txbxContent>
            </v:textbox>
            <w10:wrap type="none"/>
          </v:shape>
        </w:pict>
      </w:r>
      <w:r>
        <w:rPr/>
        <w:t>RESULTS</w:t>
      </w:r>
    </w:p>
    <w:p>
      <w:pPr>
        <w:pStyle w:val="BodyText"/>
        <w:spacing w:before="6"/>
        <w:rPr>
          <w:b/>
          <w:sz w:val="17"/>
        </w:rPr>
      </w:pPr>
    </w:p>
    <w:p>
      <w:pPr>
        <w:spacing w:after="0"/>
        <w:rPr>
          <w:sz w:val="17"/>
        </w:rPr>
        <w:sectPr>
          <w:pgSz w:w="12240" w:h="15840"/>
          <w:pgMar w:header="545" w:footer="852" w:top="1060" w:bottom="1040" w:left="580" w:right="220"/>
        </w:sectPr>
      </w:pPr>
    </w:p>
    <w:p>
      <w:pPr>
        <w:pStyle w:val="BodyText"/>
        <w:spacing w:before="74"/>
        <w:ind w:left="270"/>
        <w:jc w:val="both"/>
      </w:pPr>
      <w:r>
        <w:rPr/>
        <w:t>After assess selected postures, it was found the following summary of results that shows the percentage distribution of observed postures for arm, upper arm, wrist, neck, trunk and legs, for areas of painting, sculpting, and engraving, as well as first, third, fifth and seventh periods for painting and sculpting and first, third and fifth periods for engraving  tasks.</w:t>
      </w:r>
    </w:p>
    <w:p>
      <w:pPr>
        <w:pStyle w:val="BodyText"/>
        <w:spacing w:before="11"/>
        <w:rPr>
          <w:sz w:val="19"/>
        </w:rPr>
      </w:pPr>
    </w:p>
    <w:p>
      <w:pPr>
        <w:pStyle w:val="BodyText"/>
        <w:ind w:left="521"/>
      </w:pPr>
      <w:r>
        <w:rPr/>
        <w:t>Table  2.  Summary  of results for the arm position</w:t>
      </w:r>
    </w:p>
    <w:p>
      <w:pPr>
        <w:pStyle w:val="BodyText"/>
        <w:spacing w:before="2"/>
        <w:rPr>
          <w:sz w:val="2"/>
        </w:rPr>
      </w:pPr>
      <w:r>
        <w:rPr/>
        <w:br w:type="column"/>
      </w:r>
      <w:r>
        <w:rPr>
          <w:sz w:val="2"/>
        </w:rPr>
      </w:r>
    </w:p>
    <w:p>
      <w:pPr>
        <w:pStyle w:val="BodyText"/>
        <w:tabs>
          <w:tab w:pos="1745" w:val="left" w:leader="none"/>
          <w:tab w:pos="2997" w:val="left" w:leader="none"/>
          <w:tab w:pos="4247" w:val="left" w:leader="none"/>
        </w:tabs>
        <w:ind w:left="270"/>
      </w:pPr>
      <w:r>
        <w:rPr/>
        <w:drawing>
          <wp:inline distT="0" distB="0" distL="0" distR="0">
            <wp:extent cx="470043" cy="810577"/>
            <wp:effectExtent l="0" t="0" r="0" b="0"/>
            <wp:docPr id="393" name="image250.png" descr=""/>
            <wp:cNvGraphicFramePr>
              <a:graphicFrameLocks noChangeAspect="1"/>
            </wp:cNvGraphicFramePr>
            <a:graphic>
              <a:graphicData uri="http://schemas.openxmlformats.org/drawingml/2006/picture">
                <pic:pic>
                  <pic:nvPicPr>
                    <pic:cNvPr id="394" name="image250.png"/>
                    <pic:cNvPicPr/>
                  </pic:nvPicPr>
                  <pic:blipFill>
                    <a:blip r:embed="rId437" cstate="print"/>
                    <a:stretch>
                      <a:fillRect/>
                    </a:stretch>
                  </pic:blipFill>
                  <pic:spPr>
                    <a:xfrm>
                      <a:off x="0" y="0"/>
                      <a:ext cx="470043" cy="810577"/>
                    </a:xfrm>
                    <a:prstGeom prst="rect">
                      <a:avLst/>
                    </a:prstGeom>
                  </pic:spPr>
                </pic:pic>
              </a:graphicData>
            </a:graphic>
          </wp:inline>
        </w:drawing>
      </w:r>
      <w:r>
        <w:rPr/>
      </w:r>
      <w:r>
        <w:rPr/>
        <w:tab/>
      </w:r>
      <w:r>
        <w:rPr>
          <w:position w:val="1"/>
        </w:rPr>
        <w:drawing>
          <wp:inline distT="0" distB="0" distL="0" distR="0">
            <wp:extent cx="467851" cy="801814"/>
            <wp:effectExtent l="0" t="0" r="0" b="0"/>
            <wp:docPr id="395" name="image251.png" descr=""/>
            <wp:cNvGraphicFramePr>
              <a:graphicFrameLocks noChangeAspect="1"/>
            </wp:cNvGraphicFramePr>
            <a:graphic>
              <a:graphicData uri="http://schemas.openxmlformats.org/drawingml/2006/picture">
                <pic:pic>
                  <pic:nvPicPr>
                    <pic:cNvPr id="396" name="image251.png"/>
                    <pic:cNvPicPr/>
                  </pic:nvPicPr>
                  <pic:blipFill>
                    <a:blip r:embed="rId438" cstate="print"/>
                    <a:stretch>
                      <a:fillRect/>
                    </a:stretch>
                  </pic:blipFill>
                  <pic:spPr>
                    <a:xfrm>
                      <a:off x="0" y="0"/>
                      <a:ext cx="467851" cy="801814"/>
                    </a:xfrm>
                    <a:prstGeom prst="rect">
                      <a:avLst/>
                    </a:prstGeom>
                  </pic:spPr>
                </pic:pic>
              </a:graphicData>
            </a:graphic>
          </wp:inline>
        </w:drawing>
      </w:r>
      <w:r>
        <w:rPr>
          <w:position w:val="1"/>
        </w:rPr>
      </w:r>
      <w:r>
        <w:rPr>
          <w:position w:val="1"/>
        </w:rPr>
        <w:tab/>
      </w:r>
      <w:r>
        <w:rPr>
          <w:position w:val="10"/>
        </w:rPr>
        <w:drawing>
          <wp:inline distT="0" distB="0" distL="0" distR="0">
            <wp:extent cx="455471" cy="750189"/>
            <wp:effectExtent l="0" t="0" r="0" b="0"/>
            <wp:docPr id="397" name="image252.png" descr=""/>
            <wp:cNvGraphicFramePr>
              <a:graphicFrameLocks noChangeAspect="1"/>
            </wp:cNvGraphicFramePr>
            <a:graphic>
              <a:graphicData uri="http://schemas.openxmlformats.org/drawingml/2006/picture">
                <pic:pic>
                  <pic:nvPicPr>
                    <pic:cNvPr id="398" name="image252.png"/>
                    <pic:cNvPicPr/>
                  </pic:nvPicPr>
                  <pic:blipFill>
                    <a:blip r:embed="rId439" cstate="print"/>
                    <a:stretch>
                      <a:fillRect/>
                    </a:stretch>
                  </pic:blipFill>
                  <pic:spPr>
                    <a:xfrm>
                      <a:off x="0" y="0"/>
                      <a:ext cx="455471" cy="750189"/>
                    </a:xfrm>
                    <a:prstGeom prst="rect">
                      <a:avLst/>
                    </a:prstGeom>
                  </pic:spPr>
                </pic:pic>
              </a:graphicData>
            </a:graphic>
          </wp:inline>
        </w:drawing>
      </w:r>
      <w:r>
        <w:rPr>
          <w:position w:val="10"/>
        </w:rPr>
      </w:r>
      <w:r>
        <w:rPr>
          <w:position w:val="10"/>
        </w:rPr>
        <w:tab/>
      </w:r>
      <w:r>
        <w:rPr/>
        <w:drawing>
          <wp:inline distT="0" distB="0" distL="0" distR="0">
            <wp:extent cx="381672" cy="810577"/>
            <wp:effectExtent l="0" t="0" r="0" b="0"/>
            <wp:docPr id="399" name="image253.png" descr=""/>
            <wp:cNvGraphicFramePr>
              <a:graphicFrameLocks noChangeAspect="1"/>
            </wp:cNvGraphicFramePr>
            <a:graphic>
              <a:graphicData uri="http://schemas.openxmlformats.org/drawingml/2006/picture">
                <pic:pic>
                  <pic:nvPicPr>
                    <pic:cNvPr id="400" name="image253.png"/>
                    <pic:cNvPicPr/>
                  </pic:nvPicPr>
                  <pic:blipFill>
                    <a:blip r:embed="rId440" cstate="print"/>
                    <a:stretch>
                      <a:fillRect/>
                    </a:stretch>
                  </pic:blipFill>
                  <pic:spPr>
                    <a:xfrm>
                      <a:off x="0" y="0"/>
                      <a:ext cx="381672" cy="810577"/>
                    </a:xfrm>
                    <a:prstGeom prst="rect">
                      <a:avLst/>
                    </a:prstGeom>
                  </pic:spPr>
                </pic:pic>
              </a:graphicData>
            </a:graphic>
          </wp:inline>
        </w:drawing>
      </w:r>
      <w:r>
        <w:rPr/>
      </w:r>
    </w:p>
    <w:p>
      <w:pPr>
        <w:pStyle w:val="BodyText"/>
      </w:pPr>
    </w:p>
    <w:p>
      <w:pPr>
        <w:pStyle w:val="BodyText"/>
        <w:spacing w:before="5"/>
        <w:rPr>
          <w:sz w:val="23"/>
        </w:rPr>
      </w:pPr>
    </w:p>
    <w:p>
      <w:pPr>
        <w:pStyle w:val="BodyText"/>
        <w:ind w:left="1176"/>
      </w:pPr>
      <w:r>
        <w:rPr/>
        <w:t>Table 7 Summary of results for Legs</w:t>
      </w:r>
    </w:p>
    <w:p>
      <w:pPr>
        <w:spacing w:after="0"/>
        <w:sectPr>
          <w:type w:val="continuous"/>
          <w:pgSz w:w="12240" w:h="15840"/>
          <w:pgMar w:top="1500" w:bottom="280" w:left="580" w:right="220"/>
          <w:cols w:num="2" w:equalWidth="0">
            <w:col w:w="5189" w:space="491"/>
            <w:col w:w="5760"/>
          </w:cols>
        </w:sectPr>
      </w:pPr>
    </w:p>
    <w:p>
      <w:pPr>
        <w:pStyle w:val="BodyText"/>
        <w:spacing w:before="4" w:after="1"/>
        <w:rPr>
          <w:sz w:val="10"/>
        </w:rPr>
      </w:pPr>
    </w:p>
    <w:tbl>
      <w:tblPr>
        <w:tblW w:w="0" w:type="auto"/>
        <w:jc w:val="left"/>
        <w:tblInd w:w="57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02"/>
        <w:gridCol w:w="2503"/>
      </w:tblGrid>
      <w:tr>
        <w:trPr>
          <w:trHeight w:val="263" w:hRule="exact"/>
        </w:trPr>
        <w:tc>
          <w:tcPr>
            <w:tcW w:w="2502" w:type="dxa"/>
          </w:tcPr>
          <w:p>
            <w:pPr>
              <w:pStyle w:val="TableParagraph"/>
              <w:spacing w:line="250" w:lineRule="exact"/>
              <w:ind w:left="569" w:right="569"/>
              <w:jc w:val="center"/>
              <w:rPr>
                <w:sz w:val="22"/>
              </w:rPr>
            </w:pPr>
            <w:r>
              <w:rPr>
                <w:sz w:val="22"/>
              </w:rPr>
              <w:t>Supported legs</w:t>
            </w:r>
          </w:p>
        </w:tc>
        <w:tc>
          <w:tcPr>
            <w:tcW w:w="2503" w:type="dxa"/>
          </w:tcPr>
          <w:p>
            <w:pPr>
              <w:pStyle w:val="TableParagraph"/>
              <w:spacing w:line="250" w:lineRule="exact"/>
              <w:ind w:left="395" w:right="395"/>
              <w:jc w:val="center"/>
              <w:rPr>
                <w:sz w:val="22"/>
              </w:rPr>
            </w:pPr>
            <w:r>
              <w:rPr>
                <w:sz w:val="22"/>
              </w:rPr>
              <w:t>Not supported legs</w:t>
            </w:r>
          </w:p>
        </w:tc>
      </w:tr>
      <w:tr>
        <w:trPr>
          <w:trHeight w:val="264" w:hRule="exact"/>
        </w:trPr>
        <w:tc>
          <w:tcPr>
            <w:tcW w:w="2502" w:type="dxa"/>
          </w:tcPr>
          <w:p>
            <w:pPr>
              <w:pStyle w:val="TableParagraph"/>
              <w:spacing w:line="250" w:lineRule="exact"/>
              <w:ind w:left="569" w:right="569"/>
              <w:jc w:val="center"/>
              <w:rPr>
                <w:sz w:val="22"/>
              </w:rPr>
            </w:pPr>
            <w:r>
              <w:rPr>
                <w:sz w:val="22"/>
              </w:rPr>
              <w:t>83.10%</w:t>
            </w:r>
          </w:p>
        </w:tc>
        <w:tc>
          <w:tcPr>
            <w:tcW w:w="2503" w:type="dxa"/>
          </w:tcPr>
          <w:p>
            <w:pPr>
              <w:pStyle w:val="TableParagraph"/>
              <w:spacing w:line="250" w:lineRule="exact"/>
              <w:ind w:left="395" w:right="394"/>
              <w:jc w:val="center"/>
              <w:rPr>
                <w:sz w:val="22"/>
              </w:rPr>
            </w:pPr>
            <w:r>
              <w:rPr>
                <w:sz w:val="22"/>
              </w:rPr>
              <w:t>16.9%</w:t>
            </w:r>
          </w:p>
        </w:tc>
      </w:tr>
    </w:tbl>
    <w:p>
      <w:pPr>
        <w:pStyle w:val="BodyText"/>
      </w:pPr>
    </w:p>
    <w:p>
      <w:pPr>
        <w:pStyle w:val="BodyText"/>
        <w:spacing w:before="8"/>
        <w:rPr>
          <w:sz w:val="19"/>
        </w:rPr>
      </w:pPr>
    </w:p>
    <w:p>
      <w:pPr>
        <w:pStyle w:val="BodyText"/>
        <w:ind w:left="5895" w:right="937"/>
      </w:pPr>
      <w:r>
        <w:rPr/>
        <w:drawing>
          <wp:anchor distT="0" distB="0" distL="0" distR="0" allowOverlap="1" layoutInCell="1" locked="0" behindDoc="0" simplePos="0" relativeHeight="11872">
            <wp:simplePos x="0" y="0"/>
            <wp:positionH relativeFrom="page">
              <wp:posOffset>608837</wp:posOffset>
            </wp:positionH>
            <wp:positionV relativeFrom="paragraph">
              <wp:posOffset>-238809</wp:posOffset>
            </wp:positionV>
            <wp:extent cx="451079" cy="604266"/>
            <wp:effectExtent l="0" t="0" r="0" b="0"/>
            <wp:wrapNone/>
            <wp:docPr id="401" name="image254.jpeg" descr=""/>
            <wp:cNvGraphicFramePr>
              <a:graphicFrameLocks noChangeAspect="1"/>
            </wp:cNvGraphicFramePr>
            <a:graphic>
              <a:graphicData uri="http://schemas.openxmlformats.org/drawingml/2006/picture">
                <pic:pic>
                  <pic:nvPicPr>
                    <pic:cNvPr id="402" name="image254.jpeg"/>
                    <pic:cNvPicPr/>
                  </pic:nvPicPr>
                  <pic:blipFill>
                    <a:blip r:embed="rId441" cstate="print"/>
                    <a:stretch>
                      <a:fillRect/>
                    </a:stretch>
                  </pic:blipFill>
                  <pic:spPr>
                    <a:xfrm>
                      <a:off x="0" y="0"/>
                      <a:ext cx="451079" cy="604266"/>
                    </a:xfrm>
                    <a:prstGeom prst="rect">
                      <a:avLst/>
                    </a:prstGeom>
                  </pic:spPr>
                </pic:pic>
              </a:graphicData>
            </a:graphic>
          </wp:anchor>
        </w:drawing>
      </w:r>
      <w:r>
        <w:rPr/>
        <w:drawing>
          <wp:anchor distT="0" distB="0" distL="0" distR="0" allowOverlap="1" layoutInCell="1" locked="0" behindDoc="0" simplePos="0" relativeHeight="11896">
            <wp:simplePos x="0" y="0"/>
            <wp:positionH relativeFrom="page">
              <wp:posOffset>1195577</wp:posOffset>
            </wp:positionH>
            <wp:positionV relativeFrom="paragraph">
              <wp:posOffset>-238809</wp:posOffset>
            </wp:positionV>
            <wp:extent cx="405384" cy="659129"/>
            <wp:effectExtent l="0" t="0" r="0" b="0"/>
            <wp:wrapNone/>
            <wp:docPr id="403" name="image255.jpeg" descr=""/>
            <wp:cNvGraphicFramePr>
              <a:graphicFrameLocks noChangeAspect="1"/>
            </wp:cNvGraphicFramePr>
            <a:graphic>
              <a:graphicData uri="http://schemas.openxmlformats.org/drawingml/2006/picture">
                <pic:pic>
                  <pic:nvPicPr>
                    <pic:cNvPr id="404" name="image255.jpeg"/>
                    <pic:cNvPicPr/>
                  </pic:nvPicPr>
                  <pic:blipFill>
                    <a:blip r:embed="rId442" cstate="print"/>
                    <a:stretch>
                      <a:fillRect/>
                    </a:stretch>
                  </pic:blipFill>
                  <pic:spPr>
                    <a:xfrm>
                      <a:off x="0" y="0"/>
                      <a:ext cx="405384" cy="659129"/>
                    </a:xfrm>
                    <a:prstGeom prst="rect">
                      <a:avLst/>
                    </a:prstGeom>
                  </pic:spPr>
                </pic:pic>
              </a:graphicData>
            </a:graphic>
          </wp:anchor>
        </w:drawing>
      </w:r>
      <w:r>
        <w:rPr/>
        <w:drawing>
          <wp:anchor distT="0" distB="0" distL="0" distR="0" allowOverlap="1" layoutInCell="1" locked="0" behindDoc="0" simplePos="0" relativeHeight="11920">
            <wp:simplePos x="0" y="0"/>
            <wp:positionH relativeFrom="page">
              <wp:posOffset>1780794</wp:posOffset>
            </wp:positionH>
            <wp:positionV relativeFrom="paragraph">
              <wp:posOffset>-238809</wp:posOffset>
            </wp:positionV>
            <wp:extent cx="468630" cy="722376"/>
            <wp:effectExtent l="0" t="0" r="0" b="0"/>
            <wp:wrapNone/>
            <wp:docPr id="405" name="image256.jpeg" descr=""/>
            <wp:cNvGraphicFramePr>
              <a:graphicFrameLocks noChangeAspect="1"/>
            </wp:cNvGraphicFramePr>
            <a:graphic>
              <a:graphicData uri="http://schemas.openxmlformats.org/drawingml/2006/picture">
                <pic:pic>
                  <pic:nvPicPr>
                    <pic:cNvPr id="406" name="image256.jpeg"/>
                    <pic:cNvPicPr/>
                  </pic:nvPicPr>
                  <pic:blipFill>
                    <a:blip r:embed="rId443" cstate="print"/>
                    <a:stretch>
                      <a:fillRect/>
                    </a:stretch>
                  </pic:blipFill>
                  <pic:spPr>
                    <a:xfrm>
                      <a:off x="0" y="0"/>
                      <a:ext cx="468630" cy="722376"/>
                    </a:xfrm>
                    <a:prstGeom prst="rect">
                      <a:avLst/>
                    </a:prstGeom>
                  </pic:spPr>
                </pic:pic>
              </a:graphicData>
            </a:graphic>
          </wp:anchor>
        </w:drawing>
      </w:r>
      <w:r>
        <w:rPr/>
        <w:drawing>
          <wp:anchor distT="0" distB="0" distL="0" distR="0" allowOverlap="1" layoutInCell="1" locked="0" behindDoc="0" simplePos="0" relativeHeight="11944">
            <wp:simplePos x="0" y="0"/>
            <wp:positionH relativeFrom="page">
              <wp:posOffset>2388107</wp:posOffset>
            </wp:positionH>
            <wp:positionV relativeFrom="paragraph">
              <wp:posOffset>-238809</wp:posOffset>
            </wp:positionV>
            <wp:extent cx="469295" cy="722376"/>
            <wp:effectExtent l="0" t="0" r="0" b="0"/>
            <wp:wrapNone/>
            <wp:docPr id="407" name="image257.jpeg" descr=""/>
            <wp:cNvGraphicFramePr>
              <a:graphicFrameLocks noChangeAspect="1"/>
            </wp:cNvGraphicFramePr>
            <a:graphic>
              <a:graphicData uri="http://schemas.openxmlformats.org/drawingml/2006/picture">
                <pic:pic>
                  <pic:nvPicPr>
                    <pic:cNvPr id="408" name="image257.jpeg"/>
                    <pic:cNvPicPr/>
                  </pic:nvPicPr>
                  <pic:blipFill>
                    <a:blip r:embed="rId444" cstate="print"/>
                    <a:stretch>
                      <a:fillRect/>
                    </a:stretch>
                  </pic:blipFill>
                  <pic:spPr>
                    <a:xfrm>
                      <a:off x="0" y="0"/>
                      <a:ext cx="469295" cy="722376"/>
                    </a:xfrm>
                    <a:prstGeom prst="rect">
                      <a:avLst/>
                    </a:prstGeom>
                  </pic:spPr>
                </pic:pic>
              </a:graphicData>
            </a:graphic>
          </wp:anchor>
        </w:drawing>
      </w:r>
      <w:r>
        <w:rPr/>
        <w:drawing>
          <wp:anchor distT="0" distB="0" distL="0" distR="0" allowOverlap="1" layoutInCell="1" locked="0" behindDoc="0" simplePos="0" relativeHeight="11968">
            <wp:simplePos x="0" y="0"/>
            <wp:positionH relativeFrom="page">
              <wp:posOffset>2994660</wp:posOffset>
            </wp:positionH>
            <wp:positionV relativeFrom="paragraph">
              <wp:posOffset>-238809</wp:posOffset>
            </wp:positionV>
            <wp:extent cx="429006" cy="746760"/>
            <wp:effectExtent l="0" t="0" r="0" b="0"/>
            <wp:wrapNone/>
            <wp:docPr id="409" name="image258.jpeg" descr=""/>
            <wp:cNvGraphicFramePr>
              <a:graphicFrameLocks noChangeAspect="1"/>
            </wp:cNvGraphicFramePr>
            <a:graphic>
              <a:graphicData uri="http://schemas.openxmlformats.org/drawingml/2006/picture">
                <pic:pic>
                  <pic:nvPicPr>
                    <pic:cNvPr id="410" name="image258.jpeg"/>
                    <pic:cNvPicPr/>
                  </pic:nvPicPr>
                  <pic:blipFill>
                    <a:blip r:embed="rId445" cstate="print"/>
                    <a:stretch>
                      <a:fillRect/>
                    </a:stretch>
                  </pic:blipFill>
                  <pic:spPr>
                    <a:xfrm>
                      <a:off x="0" y="0"/>
                      <a:ext cx="429006" cy="746760"/>
                    </a:xfrm>
                    <a:prstGeom prst="rect">
                      <a:avLst/>
                    </a:prstGeom>
                  </pic:spPr>
                </pic:pic>
              </a:graphicData>
            </a:graphic>
          </wp:anchor>
        </w:drawing>
      </w:r>
      <w:r>
        <w:rPr/>
        <w:pict>
          <v:shape style="position:absolute;margin-left:42.299999pt;margin-top:-32.48391pt;width:233.25pt;height:87.55pt;mso-position-horizontal-relative:page;mso-position-vertical-relative:paragraph;z-index:12016"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23"/>
                    <w:gridCol w:w="923"/>
                    <w:gridCol w:w="956"/>
                    <w:gridCol w:w="955"/>
                    <w:gridCol w:w="893"/>
                  </w:tblGrid>
                  <w:tr>
                    <w:trPr>
                      <w:trHeight w:val="263" w:hRule="exact"/>
                    </w:trPr>
                    <w:tc>
                      <w:tcPr>
                        <w:tcW w:w="4650" w:type="dxa"/>
                        <w:gridSpan w:val="5"/>
                      </w:tcPr>
                      <w:p>
                        <w:pPr>
                          <w:pStyle w:val="TableParagraph"/>
                          <w:spacing w:line="250" w:lineRule="exact"/>
                          <w:ind w:left="1673" w:right="1674"/>
                          <w:jc w:val="center"/>
                          <w:rPr>
                            <w:sz w:val="22"/>
                          </w:rPr>
                        </w:pPr>
                        <w:r>
                          <w:rPr>
                            <w:sz w:val="22"/>
                          </w:rPr>
                          <w:t>Arm positions</w:t>
                        </w:r>
                      </w:p>
                    </w:tc>
                  </w:tr>
                  <w:tr>
                    <w:trPr>
                      <w:trHeight w:val="1216" w:hRule="exact"/>
                    </w:trPr>
                    <w:tc>
                      <w:tcPr>
                        <w:tcW w:w="923" w:type="dxa"/>
                      </w:tcPr>
                      <w:p>
                        <w:pPr>
                          <w:pStyle w:val="TableParagraph"/>
                          <w:ind w:left="103"/>
                          <w:rPr>
                            <w:sz w:val="20"/>
                          </w:rPr>
                        </w:pPr>
                        <w:r>
                          <w:rPr>
                            <w:sz w:val="20"/>
                          </w:rPr>
                          <w:drawing>
                            <wp:inline distT="0" distB="0" distL="0" distR="0">
                              <wp:extent cx="450511" cy="603503"/>
                              <wp:effectExtent l="0" t="0" r="0" b="0"/>
                              <wp:docPr id="411" name="image254.jpeg" descr=""/>
                              <wp:cNvGraphicFramePr>
                                <a:graphicFrameLocks noChangeAspect="1"/>
                              </wp:cNvGraphicFramePr>
                              <a:graphic>
                                <a:graphicData uri="http://schemas.openxmlformats.org/drawingml/2006/picture">
                                  <pic:pic>
                                    <pic:nvPicPr>
                                      <pic:cNvPr id="412" name="image254.jpeg"/>
                                      <pic:cNvPicPr/>
                                    </pic:nvPicPr>
                                    <pic:blipFill>
                                      <a:blip r:embed="rId441" cstate="print"/>
                                      <a:stretch>
                                        <a:fillRect/>
                                      </a:stretch>
                                    </pic:blipFill>
                                    <pic:spPr>
                                      <a:xfrm>
                                        <a:off x="0" y="0"/>
                                        <a:ext cx="450511" cy="603503"/>
                                      </a:xfrm>
                                      <a:prstGeom prst="rect">
                                        <a:avLst/>
                                      </a:prstGeom>
                                    </pic:spPr>
                                  </pic:pic>
                                </a:graphicData>
                              </a:graphic>
                            </wp:inline>
                          </w:drawing>
                        </w:r>
                        <w:r>
                          <w:rPr>
                            <w:sz w:val="20"/>
                          </w:rPr>
                        </w:r>
                      </w:p>
                      <w:p>
                        <w:pPr>
                          <w:pStyle w:val="TableParagraph"/>
                          <w:rPr>
                            <w:sz w:val="22"/>
                          </w:rPr>
                        </w:pPr>
                      </w:p>
                    </w:tc>
                    <w:tc>
                      <w:tcPr>
                        <w:tcW w:w="923" w:type="dxa"/>
                      </w:tcPr>
                      <w:p>
                        <w:pPr>
                          <w:pStyle w:val="TableParagraph"/>
                          <w:ind w:left="104"/>
                          <w:rPr>
                            <w:sz w:val="20"/>
                          </w:rPr>
                        </w:pPr>
                        <w:r>
                          <w:rPr>
                            <w:sz w:val="20"/>
                          </w:rPr>
                          <w:drawing>
                            <wp:inline distT="0" distB="0" distL="0" distR="0">
                              <wp:extent cx="404915" cy="658368"/>
                              <wp:effectExtent l="0" t="0" r="0" b="0"/>
                              <wp:docPr id="413" name="image255.jpeg" descr=""/>
                              <wp:cNvGraphicFramePr>
                                <a:graphicFrameLocks noChangeAspect="1"/>
                              </wp:cNvGraphicFramePr>
                              <a:graphic>
                                <a:graphicData uri="http://schemas.openxmlformats.org/drawingml/2006/picture">
                                  <pic:pic>
                                    <pic:nvPicPr>
                                      <pic:cNvPr id="414" name="image255.jpeg"/>
                                      <pic:cNvPicPr/>
                                    </pic:nvPicPr>
                                    <pic:blipFill>
                                      <a:blip r:embed="rId442" cstate="print"/>
                                      <a:stretch>
                                        <a:fillRect/>
                                      </a:stretch>
                                    </pic:blipFill>
                                    <pic:spPr>
                                      <a:xfrm>
                                        <a:off x="0" y="0"/>
                                        <a:ext cx="404915" cy="658368"/>
                                      </a:xfrm>
                                      <a:prstGeom prst="rect">
                                        <a:avLst/>
                                      </a:prstGeom>
                                    </pic:spPr>
                                  </pic:pic>
                                </a:graphicData>
                              </a:graphic>
                            </wp:inline>
                          </w:drawing>
                        </w:r>
                        <w:r>
                          <w:rPr>
                            <w:sz w:val="20"/>
                          </w:rPr>
                        </w:r>
                      </w:p>
                    </w:tc>
                    <w:tc>
                      <w:tcPr>
                        <w:tcW w:w="956" w:type="dxa"/>
                      </w:tcPr>
                      <w:p>
                        <w:pPr>
                          <w:pStyle w:val="TableParagraph"/>
                          <w:ind w:left="103"/>
                          <w:rPr>
                            <w:sz w:val="20"/>
                          </w:rPr>
                        </w:pPr>
                        <w:r>
                          <w:rPr>
                            <w:sz w:val="20"/>
                          </w:rPr>
                          <w:drawing>
                            <wp:inline distT="0" distB="0" distL="0" distR="0">
                              <wp:extent cx="468444" cy="722090"/>
                              <wp:effectExtent l="0" t="0" r="0" b="0"/>
                              <wp:docPr id="415" name="image256.jpeg" descr=""/>
                              <wp:cNvGraphicFramePr>
                                <a:graphicFrameLocks noChangeAspect="1"/>
                              </wp:cNvGraphicFramePr>
                              <a:graphic>
                                <a:graphicData uri="http://schemas.openxmlformats.org/drawingml/2006/picture">
                                  <pic:pic>
                                    <pic:nvPicPr>
                                      <pic:cNvPr id="416" name="image256.jpeg"/>
                                      <pic:cNvPicPr/>
                                    </pic:nvPicPr>
                                    <pic:blipFill>
                                      <a:blip r:embed="rId443" cstate="print"/>
                                      <a:stretch>
                                        <a:fillRect/>
                                      </a:stretch>
                                    </pic:blipFill>
                                    <pic:spPr>
                                      <a:xfrm>
                                        <a:off x="0" y="0"/>
                                        <a:ext cx="468444" cy="722090"/>
                                      </a:xfrm>
                                      <a:prstGeom prst="rect">
                                        <a:avLst/>
                                      </a:prstGeom>
                                    </pic:spPr>
                                  </pic:pic>
                                </a:graphicData>
                              </a:graphic>
                            </wp:inline>
                          </w:drawing>
                        </w:r>
                        <w:r>
                          <w:rPr>
                            <w:sz w:val="20"/>
                          </w:rPr>
                        </w:r>
                      </w:p>
                    </w:tc>
                    <w:tc>
                      <w:tcPr>
                        <w:tcW w:w="955" w:type="dxa"/>
                      </w:tcPr>
                      <w:p>
                        <w:pPr>
                          <w:pStyle w:val="TableParagraph"/>
                          <w:ind w:left="103"/>
                          <w:rPr>
                            <w:sz w:val="20"/>
                          </w:rPr>
                        </w:pPr>
                        <w:r>
                          <w:rPr>
                            <w:sz w:val="20"/>
                          </w:rPr>
                          <w:drawing>
                            <wp:inline distT="0" distB="0" distL="0" distR="0">
                              <wp:extent cx="469109" cy="722090"/>
                              <wp:effectExtent l="0" t="0" r="0" b="0"/>
                              <wp:docPr id="417" name="image257.jpeg" descr=""/>
                              <wp:cNvGraphicFramePr>
                                <a:graphicFrameLocks noChangeAspect="1"/>
                              </wp:cNvGraphicFramePr>
                              <a:graphic>
                                <a:graphicData uri="http://schemas.openxmlformats.org/drawingml/2006/picture">
                                  <pic:pic>
                                    <pic:nvPicPr>
                                      <pic:cNvPr id="418" name="image257.jpeg"/>
                                      <pic:cNvPicPr/>
                                    </pic:nvPicPr>
                                    <pic:blipFill>
                                      <a:blip r:embed="rId444" cstate="print"/>
                                      <a:stretch>
                                        <a:fillRect/>
                                      </a:stretch>
                                    </pic:blipFill>
                                    <pic:spPr>
                                      <a:xfrm>
                                        <a:off x="0" y="0"/>
                                        <a:ext cx="469109" cy="722090"/>
                                      </a:xfrm>
                                      <a:prstGeom prst="rect">
                                        <a:avLst/>
                                      </a:prstGeom>
                                    </pic:spPr>
                                  </pic:pic>
                                </a:graphicData>
                              </a:graphic>
                            </wp:inline>
                          </w:drawing>
                        </w:r>
                        <w:r>
                          <w:rPr>
                            <w:sz w:val="20"/>
                          </w:rPr>
                        </w:r>
                      </w:p>
                    </w:tc>
                    <w:tc>
                      <w:tcPr>
                        <w:tcW w:w="893" w:type="dxa"/>
                      </w:tcPr>
                      <w:p>
                        <w:pPr>
                          <w:pStyle w:val="TableParagraph"/>
                          <w:ind w:left="103"/>
                          <w:rPr>
                            <w:sz w:val="20"/>
                          </w:rPr>
                        </w:pPr>
                        <w:r>
                          <w:rPr>
                            <w:sz w:val="20"/>
                          </w:rPr>
                          <w:drawing>
                            <wp:inline distT="0" distB="0" distL="0" distR="0">
                              <wp:extent cx="429389" cy="747426"/>
                              <wp:effectExtent l="0" t="0" r="0" b="0"/>
                              <wp:docPr id="419" name="image258.jpeg" descr=""/>
                              <wp:cNvGraphicFramePr>
                                <a:graphicFrameLocks noChangeAspect="1"/>
                              </wp:cNvGraphicFramePr>
                              <a:graphic>
                                <a:graphicData uri="http://schemas.openxmlformats.org/drawingml/2006/picture">
                                  <pic:pic>
                                    <pic:nvPicPr>
                                      <pic:cNvPr id="420" name="image258.jpeg"/>
                                      <pic:cNvPicPr/>
                                    </pic:nvPicPr>
                                    <pic:blipFill>
                                      <a:blip r:embed="rId445" cstate="print"/>
                                      <a:stretch>
                                        <a:fillRect/>
                                      </a:stretch>
                                    </pic:blipFill>
                                    <pic:spPr>
                                      <a:xfrm>
                                        <a:off x="0" y="0"/>
                                        <a:ext cx="429389" cy="747426"/>
                                      </a:xfrm>
                                      <a:prstGeom prst="rect">
                                        <a:avLst/>
                                      </a:prstGeom>
                                    </pic:spPr>
                                  </pic:pic>
                                </a:graphicData>
                              </a:graphic>
                            </wp:inline>
                          </w:drawing>
                        </w:r>
                        <w:r>
                          <w:rPr>
                            <w:sz w:val="20"/>
                          </w:rPr>
                        </w:r>
                      </w:p>
                    </w:tc>
                  </w:tr>
                  <w:tr>
                    <w:trPr>
                      <w:trHeight w:val="263" w:hRule="exact"/>
                    </w:trPr>
                    <w:tc>
                      <w:tcPr>
                        <w:tcW w:w="923" w:type="dxa"/>
                      </w:tcPr>
                      <w:p>
                        <w:pPr>
                          <w:pStyle w:val="TableParagraph"/>
                          <w:spacing w:line="250" w:lineRule="exact"/>
                          <w:ind w:left="289" w:right="289"/>
                          <w:jc w:val="center"/>
                          <w:rPr>
                            <w:sz w:val="22"/>
                          </w:rPr>
                        </w:pPr>
                        <w:r>
                          <w:rPr>
                            <w:sz w:val="22"/>
                          </w:rPr>
                          <w:t>0%</w:t>
                        </w:r>
                      </w:p>
                    </w:tc>
                    <w:tc>
                      <w:tcPr>
                        <w:tcW w:w="923" w:type="dxa"/>
                      </w:tcPr>
                      <w:p>
                        <w:pPr>
                          <w:pStyle w:val="TableParagraph"/>
                          <w:spacing w:line="250" w:lineRule="exact"/>
                          <w:ind w:left="289" w:right="289"/>
                          <w:jc w:val="center"/>
                          <w:rPr>
                            <w:sz w:val="22"/>
                          </w:rPr>
                        </w:pPr>
                        <w:r>
                          <w:rPr>
                            <w:sz w:val="22"/>
                          </w:rPr>
                          <w:t>0%</w:t>
                        </w:r>
                      </w:p>
                    </w:tc>
                    <w:tc>
                      <w:tcPr>
                        <w:tcW w:w="956" w:type="dxa"/>
                      </w:tcPr>
                      <w:p>
                        <w:pPr>
                          <w:pStyle w:val="TableParagraph"/>
                          <w:spacing w:line="250" w:lineRule="exact"/>
                          <w:ind w:left="189"/>
                          <w:rPr>
                            <w:sz w:val="22"/>
                          </w:rPr>
                        </w:pPr>
                        <w:r>
                          <w:rPr>
                            <w:sz w:val="22"/>
                          </w:rPr>
                          <w:t>48.4%</w:t>
                        </w:r>
                      </w:p>
                    </w:tc>
                    <w:tc>
                      <w:tcPr>
                        <w:tcW w:w="955" w:type="dxa"/>
                      </w:tcPr>
                      <w:p>
                        <w:pPr>
                          <w:pStyle w:val="TableParagraph"/>
                          <w:spacing w:line="250" w:lineRule="exact"/>
                          <w:ind w:left="188" w:right="-5"/>
                          <w:rPr>
                            <w:sz w:val="22"/>
                          </w:rPr>
                        </w:pPr>
                        <w:r>
                          <w:rPr>
                            <w:sz w:val="22"/>
                          </w:rPr>
                          <w:t>41.9%</w:t>
                        </w:r>
                      </w:p>
                    </w:tc>
                    <w:tc>
                      <w:tcPr>
                        <w:tcW w:w="893" w:type="dxa"/>
                      </w:tcPr>
                      <w:p>
                        <w:pPr>
                          <w:pStyle w:val="TableParagraph"/>
                          <w:spacing w:line="250" w:lineRule="exact"/>
                          <w:ind w:left="212" w:right="54"/>
                          <w:rPr>
                            <w:sz w:val="22"/>
                          </w:rPr>
                        </w:pPr>
                        <w:r>
                          <w:rPr>
                            <w:sz w:val="22"/>
                          </w:rPr>
                          <w:t>9.7%</w:t>
                        </w:r>
                      </w:p>
                    </w:tc>
                  </w:tr>
                </w:tbl>
                <w:p>
                  <w:pPr>
                    <w:pStyle w:val="BodyText"/>
                  </w:pPr>
                </w:p>
              </w:txbxContent>
            </v:textbox>
            <w10:wrap type="none"/>
          </v:shape>
        </w:pict>
      </w:r>
      <w:r>
        <w:rPr/>
        <w:t>According to table 1, the levels of MSD risks found after obtaining the final scores are as follows:</w:t>
      </w:r>
    </w:p>
    <w:p>
      <w:pPr>
        <w:pStyle w:val="BodyText"/>
        <w:spacing w:before="5"/>
        <w:rPr>
          <w:sz w:val="13"/>
        </w:rPr>
      </w:pPr>
    </w:p>
    <w:p>
      <w:pPr>
        <w:spacing w:after="0"/>
        <w:rPr>
          <w:sz w:val="13"/>
        </w:rPr>
        <w:sectPr>
          <w:type w:val="continuous"/>
          <w:pgSz w:w="12240" w:h="15840"/>
          <w:pgMar w:top="1500" w:bottom="280" w:left="580" w:right="220"/>
        </w:sectPr>
      </w:pPr>
    </w:p>
    <w:p>
      <w:pPr>
        <w:pStyle w:val="BodyText"/>
      </w:pPr>
    </w:p>
    <w:p>
      <w:pPr>
        <w:pStyle w:val="BodyText"/>
      </w:pPr>
    </w:p>
    <w:p>
      <w:pPr>
        <w:pStyle w:val="BodyText"/>
      </w:pPr>
    </w:p>
    <w:p>
      <w:pPr>
        <w:pStyle w:val="BodyText"/>
        <w:spacing w:before="11"/>
        <w:rPr>
          <w:sz w:val="21"/>
        </w:rPr>
      </w:pPr>
    </w:p>
    <w:p>
      <w:pPr>
        <w:pStyle w:val="BodyText"/>
        <w:ind w:left="993"/>
      </w:pPr>
      <w:r>
        <w:rPr/>
        <w:t>Table 3 Summary of results for Upper Arm</w:t>
      </w:r>
    </w:p>
    <w:p>
      <w:pPr>
        <w:pStyle w:val="BodyText"/>
        <w:spacing w:before="3" w:after="1"/>
      </w:pPr>
    </w:p>
    <w:tbl>
      <w:tblPr>
        <w:tblW w:w="0" w:type="auto"/>
        <w:jc w:val="left"/>
        <w:tblInd w:w="2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02"/>
        <w:gridCol w:w="1560"/>
        <w:gridCol w:w="1559"/>
      </w:tblGrid>
      <w:tr>
        <w:trPr>
          <w:trHeight w:val="263" w:hRule="exact"/>
        </w:trPr>
        <w:tc>
          <w:tcPr>
            <w:tcW w:w="4820" w:type="dxa"/>
            <w:gridSpan w:val="3"/>
          </w:tcPr>
          <w:p>
            <w:pPr>
              <w:pStyle w:val="TableParagraph"/>
              <w:spacing w:line="250" w:lineRule="exact"/>
              <w:ind w:left="1475"/>
              <w:rPr>
                <w:sz w:val="22"/>
              </w:rPr>
            </w:pPr>
            <w:r>
              <w:rPr>
                <w:sz w:val="22"/>
              </w:rPr>
              <w:t>Upper Arm positions</w:t>
            </w:r>
          </w:p>
        </w:tc>
      </w:tr>
      <w:tr>
        <w:trPr>
          <w:trHeight w:val="1049" w:hRule="exact"/>
        </w:trPr>
        <w:tc>
          <w:tcPr>
            <w:tcW w:w="1702" w:type="dxa"/>
          </w:tcPr>
          <w:p>
            <w:pPr>
              <w:pStyle w:val="TableParagraph"/>
              <w:ind w:left="488"/>
              <w:rPr>
                <w:sz w:val="20"/>
              </w:rPr>
            </w:pPr>
            <w:r>
              <w:rPr>
                <w:sz w:val="20"/>
              </w:rPr>
              <w:drawing>
                <wp:inline distT="0" distB="0" distL="0" distR="0">
                  <wp:extent cx="505592" cy="595407"/>
                  <wp:effectExtent l="0" t="0" r="0" b="0"/>
                  <wp:docPr id="421" name="image259.jpeg" descr=""/>
                  <wp:cNvGraphicFramePr>
                    <a:graphicFrameLocks noChangeAspect="1"/>
                  </wp:cNvGraphicFramePr>
                  <a:graphic>
                    <a:graphicData uri="http://schemas.openxmlformats.org/drawingml/2006/picture">
                      <pic:pic>
                        <pic:nvPicPr>
                          <pic:cNvPr id="422" name="image259.jpeg"/>
                          <pic:cNvPicPr/>
                        </pic:nvPicPr>
                        <pic:blipFill>
                          <a:blip r:embed="rId446" cstate="print"/>
                          <a:stretch>
                            <a:fillRect/>
                          </a:stretch>
                        </pic:blipFill>
                        <pic:spPr>
                          <a:xfrm>
                            <a:off x="0" y="0"/>
                            <a:ext cx="505592" cy="595407"/>
                          </a:xfrm>
                          <a:prstGeom prst="rect">
                            <a:avLst/>
                          </a:prstGeom>
                        </pic:spPr>
                      </pic:pic>
                    </a:graphicData>
                  </a:graphic>
                </wp:inline>
              </w:drawing>
            </w:r>
            <w:r>
              <w:rPr>
                <w:sz w:val="20"/>
              </w:rPr>
            </w:r>
          </w:p>
        </w:tc>
        <w:tc>
          <w:tcPr>
            <w:tcW w:w="1560" w:type="dxa"/>
          </w:tcPr>
          <w:p>
            <w:pPr>
              <w:pStyle w:val="TableParagraph"/>
              <w:ind w:left="378"/>
              <w:rPr>
                <w:sz w:val="20"/>
              </w:rPr>
            </w:pPr>
            <w:r>
              <w:rPr>
                <w:sz w:val="20"/>
              </w:rPr>
              <w:drawing>
                <wp:inline distT="0" distB="0" distL="0" distR="0">
                  <wp:extent cx="425524" cy="658749"/>
                  <wp:effectExtent l="0" t="0" r="0" b="0"/>
                  <wp:docPr id="423" name="image260.jpeg" descr=""/>
                  <wp:cNvGraphicFramePr>
                    <a:graphicFrameLocks noChangeAspect="1"/>
                  </wp:cNvGraphicFramePr>
                  <a:graphic>
                    <a:graphicData uri="http://schemas.openxmlformats.org/drawingml/2006/picture">
                      <pic:pic>
                        <pic:nvPicPr>
                          <pic:cNvPr id="424" name="image260.jpeg"/>
                          <pic:cNvPicPr/>
                        </pic:nvPicPr>
                        <pic:blipFill>
                          <a:blip r:embed="rId447" cstate="print"/>
                          <a:stretch>
                            <a:fillRect/>
                          </a:stretch>
                        </pic:blipFill>
                        <pic:spPr>
                          <a:xfrm>
                            <a:off x="0" y="0"/>
                            <a:ext cx="425524" cy="658749"/>
                          </a:xfrm>
                          <a:prstGeom prst="rect">
                            <a:avLst/>
                          </a:prstGeom>
                        </pic:spPr>
                      </pic:pic>
                    </a:graphicData>
                  </a:graphic>
                </wp:inline>
              </w:drawing>
            </w:r>
            <w:r>
              <w:rPr>
                <w:sz w:val="20"/>
              </w:rPr>
            </w:r>
          </w:p>
        </w:tc>
        <w:tc>
          <w:tcPr>
            <w:tcW w:w="1559" w:type="dxa"/>
          </w:tcPr>
          <w:p>
            <w:pPr>
              <w:pStyle w:val="TableParagraph"/>
              <w:ind w:left="322"/>
              <w:rPr>
                <w:sz w:val="20"/>
              </w:rPr>
            </w:pPr>
            <w:r>
              <w:rPr>
                <w:sz w:val="20"/>
              </w:rPr>
              <w:drawing>
                <wp:inline distT="0" distB="0" distL="0" distR="0">
                  <wp:extent cx="456505" cy="658367"/>
                  <wp:effectExtent l="0" t="0" r="0" b="0"/>
                  <wp:docPr id="425" name="image261.jpeg" descr=""/>
                  <wp:cNvGraphicFramePr>
                    <a:graphicFrameLocks noChangeAspect="1"/>
                  </wp:cNvGraphicFramePr>
                  <a:graphic>
                    <a:graphicData uri="http://schemas.openxmlformats.org/drawingml/2006/picture">
                      <pic:pic>
                        <pic:nvPicPr>
                          <pic:cNvPr id="426" name="image261.jpeg"/>
                          <pic:cNvPicPr/>
                        </pic:nvPicPr>
                        <pic:blipFill>
                          <a:blip r:embed="rId448" cstate="print"/>
                          <a:stretch>
                            <a:fillRect/>
                          </a:stretch>
                        </pic:blipFill>
                        <pic:spPr>
                          <a:xfrm>
                            <a:off x="0" y="0"/>
                            <a:ext cx="456505" cy="658367"/>
                          </a:xfrm>
                          <a:prstGeom prst="rect">
                            <a:avLst/>
                          </a:prstGeom>
                        </pic:spPr>
                      </pic:pic>
                    </a:graphicData>
                  </a:graphic>
                </wp:inline>
              </w:drawing>
            </w:r>
            <w:r>
              <w:rPr>
                <w:sz w:val="20"/>
              </w:rPr>
            </w:r>
          </w:p>
        </w:tc>
      </w:tr>
      <w:tr>
        <w:trPr>
          <w:trHeight w:val="264" w:hRule="exact"/>
        </w:trPr>
        <w:tc>
          <w:tcPr>
            <w:tcW w:w="1702" w:type="dxa"/>
          </w:tcPr>
          <w:p>
            <w:pPr>
              <w:pStyle w:val="TableParagraph"/>
              <w:spacing w:line="252" w:lineRule="exact"/>
              <w:ind w:left="92" w:right="36"/>
              <w:jc w:val="center"/>
              <w:rPr>
                <w:sz w:val="22"/>
              </w:rPr>
            </w:pPr>
            <w:r>
              <w:rPr>
                <w:sz w:val="22"/>
              </w:rPr>
              <w:t>0%</w:t>
            </w:r>
          </w:p>
        </w:tc>
        <w:tc>
          <w:tcPr>
            <w:tcW w:w="1560" w:type="dxa"/>
          </w:tcPr>
          <w:p>
            <w:pPr>
              <w:pStyle w:val="TableParagraph"/>
              <w:spacing w:line="252" w:lineRule="exact"/>
              <w:ind w:left="165" w:right="165"/>
              <w:jc w:val="center"/>
              <w:rPr>
                <w:sz w:val="22"/>
              </w:rPr>
            </w:pPr>
            <w:r>
              <w:rPr>
                <w:sz w:val="22"/>
              </w:rPr>
              <w:t>100%</w:t>
            </w:r>
          </w:p>
        </w:tc>
        <w:tc>
          <w:tcPr>
            <w:tcW w:w="1559" w:type="dxa"/>
          </w:tcPr>
          <w:p>
            <w:pPr>
              <w:pStyle w:val="TableParagraph"/>
              <w:spacing w:line="252" w:lineRule="exact"/>
              <w:ind w:left="489"/>
              <w:rPr>
                <w:sz w:val="22"/>
              </w:rPr>
            </w:pPr>
            <w:r>
              <w:rPr>
                <w:sz w:val="22"/>
              </w:rPr>
              <w:t>97.8%</w:t>
            </w:r>
          </w:p>
        </w:tc>
      </w:tr>
    </w:tbl>
    <w:p>
      <w:pPr>
        <w:pStyle w:val="BodyText"/>
      </w:pPr>
    </w:p>
    <w:p>
      <w:pPr>
        <w:pStyle w:val="BodyText"/>
        <w:spacing w:before="8"/>
        <w:rPr>
          <w:sz w:val="19"/>
        </w:rPr>
      </w:pPr>
    </w:p>
    <w:p>
      <w:pPr>
        <w:pStyle w:val="BodyText"/>
        <w:ind w:left="1071"/>
      </w:pPr>
      <w:r>
        <w:rPr/>
        <w:t>Table 4  Summary of results for wrist</w:t>
      </w:r>
    </w:p>
    <w:p>
      <w:pPr>
        <w:pStyle w:val="BodyText"/>
        <w:spacing w:before="3" w:after="1"/>
      </w:pPr>
    </w:p>
    <w:tbl>
      <w:tblPr>
        <w:tblW w:w="0" w:type="auto"/>
        <w:jc w:val="left"/>
        <w:tblInd w:w="1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52"/>
        <w:gridCol w:w="1250"/>
        <w:gridCol w:w="1252"/>
        <w:gridCol w:w="1252"/>
      </w:tblGrid>
      <w:tr>
        <w:trPr>
          <w:trHeight w:val="263" w:hRule="exact"/>
        </w:trPr>
        <w:tc>
          <w:tcPr>
            <w:tcW w:w="5005" w:type="dxa"/>
            <w:gridSpan w:val="4"/>
          </w:tcPr>
          <w:p>
            <w:pPr>
              <w:pStyle w:val="TableParagraph"/>
              <w:spacing w:line="250" w:lineRule="exact"/>
              <w:ind w:left="1802" w:right="1804"/>
              <w:jc w:val="center"/>
              <w:rPr>
                <w:sz w:val="22"/>
              </w:rPr>
            </w:pPr>
            <w:r>
              <w:rPr>
                <w:sz w:val="22"/>
              </w:rPr>
              <w:t>Wrist</w:t>
            </w:r>
            <w:r>
              <w:rPr>
                <w:spacing w:val="-3"/>
                <w:sz w:val="22"/>
              </w:rPr>
              <w:t> </w:t>
            </w:r>
            <w:r>
              <w:rPr>
                <w:sz w:val="22"/>
              </w:rPr>
              <w:t>Positions</w:t>
            </w:r>
          </w:p>
        </w:tc>
      </w:tr>
      <w:tr>
        <w:trPr>
          <w:trHeight w:val="998" w:hRule="exact"/>
        </w:trPr>
        <w:tc>
          <w:tcPr>
            <w:tcW w:w="1252" w:type="dxa"/>
          </w:tcPr>
          <w:p>
            <w:pPr>
              <w:pStyle w:val="TableParagraph"/>
              <w:ind w:left="267"/>
              <w:rPr>
                <w:sz w:val="20"/>
              </w:rPr>
            </w:pPr>
            <w:r>
              <w:rPr>
                <w:sz w:val="20"/>
              </w:rPr>
              <w:drawing>
                <wp:inline distT="0" distB="0" distL="0" distR="0">
                  <wp:extent cx="455492" cy="495300"/>
                  <wp:effectExtent l="0" t="0" r="0" b="0"/>
                  <wp:docPr id="427" name="image262.png" descr=""/>
                  <wp:cNvGraphicFramePr>
                    <a:graphicFrameLocks noChangeAspect="1"/>
                  </wp:cNvGraphicFramePr>
                  <a:graphic>
                    <a:graphicData uri="http://schemas.openxmlformats.org/drawingml/2006/picture">
                      <pic:pic>
                        <pic:nvPicPr>
                          <pic:cNvPr id="428" name="image262.png"/>
                          <pic:cNvPicPr/>
                        </pic:nvPicPr>
                        <pic:blipFill>
                          <a:blip r:embed="rId449" cstate="print"/>
                          <a:stretch>
                            <a:fillRect/>
                          </a:stretch>
                        </pic:blipFill>
                        <pic:spPr>
                          <a:xfrm>
                            <a:off x="0" y="0"/>
                            <a:ext cx="455492" cy="495300"/>
                          </a:xfrm>
                          <a:prstGeom prst="rect">
                            <a:avLst/>
                          </a:prstGeom>
                        </pic:spPr>
                      </pic:pic>
                    </a:graphicData>
                  </a:graphic>
                </wp:inline>
              </w:drawing>
            </w:r>
            <w:r>
              <w:rPr>
                <w:sz w:val="20"/>
              </w:rPr>
            </w:r>
          </w:p>
          <w:p>
            <w:pPr>
              <w:pStyle w:val="TableParagraph"/>
              <w:spacing w:before="1"/>
              <w:rPr>
                <w:sz w:val="18"/>
              </w:rPr>
            </w:pPr>
          </w:p>
        </w:tc>
        <w:tc>
          <w:tcPr>
            <w:tcW w:w="1250" w:type="dxa"/>
          </w:tcPr>
          <w:p>
            <w:pPr>
              <w:pStyle w:val="TableParagraph"/>
              <w:ind w:left="267"/>
              <w:rPr>
                <w:sz w:val="20"/>
              </w:rPr>
            </w:pPr>
            <w:r>
              <w:rPr>
                <w:sz w:val="20"/>
              </w:rPr>
              <w:drawing>
                <wp:inline distT="0" distB="0" distL="0" distR="0">
                  <wp:extent cx="452628" cy="485394"/>
                  <wp:effectExtent l="0" t="0" r="0" b="0"/>
                  <wp:docPr id="429" name="image263.png" descr=""/>
                  <wp:cNvGraphicFramePr>
                    <a:graphicFrameLocks noChangeAspect="1"/>
                  </wp:cNvGraphicFramePr>
                  <a:graphic>
                    <a:graphicData uri="http://schemas.openxmlformats.org/drawingml/2006/picture">
                      <pic:pic>
                        <pic:nvPicPr>
                          <pic:cNvPr id="430" name="image263.png"/>
                          <pic:cNvPicPr/>
                        </pic:nvPicPr>
                        <pic:blipFill>
                          <a:blip r:embed="rId450" cstate="print"/>
                          <a:stretch>
                            <a:fillRect/>
                          </a:stretch>
                        </pic:blipFill>
                        <pic:spPr>
                          <a:xfrm>
                            <a:off x="0" y="0"/>
                            <a:ext cx="452628" cy="485394"/>
                          </a:xfrm>
                          <a:prstGeom prst="rect">
                            <a:avLst/>
                          </a:prstGeom>
                        </pic:spPr>
                      </pic:pic>
                    </a:graphicData>
                  </a:graphic>
                </wp:inline>
              </w:drawing>
            </w:r>
            <w:r>
              <w:rPr>
                <w:sz w:val="20"/>
              </w:rPr>
            </w:r>
          </w:p>
          <w:p>
            <w:pPr>
              <w:pStyle w:val="TableParagraph"/>
              <w:spacing w:before="5"/>
              <w:rPr>
                <w:sz w:val="19"/>
              </w:rPr>
            </w:pPr>
          </w:p>
        </w:tc>
        <w:tc>
          <w:tcPr>
            <w:tcW w:w="1252" w:type="dxa"/>
          </w:tcPr>
          <w:p>
            <w:pPr>
              <w:pStyle w:val="TableParagraph"/>
              <w:ind w:left="322"/>
              <w:rPr>
                <w:sz w:val="20"/>
              </w:rPr>
            </w:pPr>
            <w:r>
              <w:rPr>
                <w:sz w:val="20"/>
              </w:rPr>
              <w:drawing>
                <wp:inline distT="0" distB="0" distL="0" distR="0">
                  <wp:extent cx="471953" cy="432815"/>
                  <wp:effectExtent l="0" t="0" r="0" b="0"/>
                  <wp:docPr id="431" name="image264.png" descr=""/>
                  <wp:cNvGraphicFramePr>
                    <a:graphicFrameLocks noChangeAspect="1"/>
                  </wp:cNvGraphicFramePr>
                  <a:graphic>
                    <a:graphicData uri="http://schemas.openxmlformats.org/drawingml/2006/picture">
                      <pic:pic>
                        <pic:nvPicPr>
                          <pic:cNvPr id="432" name="image264.png"/>
                          <pic:cNvPicPr/>
                        </pic:nvPicPr>
                        <pic:blipFill>
                          <a:blip r:embed="rId451" cstate="print"/>
                          <a:stretch>
                            <a:fillRect/>
                          </a:stretch>
                        </pic:blipFill>
                        <pic:spPr>
                          <a:xfrm>
                            <a:off x="0" y="0"/>
                            <a:ext cx="471953" cy="432815"/>
                          </a:xfrm>
                          <a:prstGeom prst="rect">
                            <a:avLst/>
                          </a:prstGeom>
                        </pic:spPr>
                      </pic:pic>
                    </a:graphicData>
                  </a:graphic>
                </wp:inline>
              </w:drawing>
            </w:r>
            <w:r>
              <w:rPr>
                <w:sz w:val="20"/>
              </w:rPr>
            </w:r>
          </w:p>
          <w:p>
            <w:pPr>
              <w:pStyle w:val="TableParagraph"/>
              <w:spacing w:before="7"/>
              <w:rPr>
                <w:sz w:val="26"/>
              </w:rPr>
            </w:pPr>
          </w:p>
        </w:tc>
        <w:tc>
          <w:tcPr>
            <w:tcW w:w="1252" w:type="dxa"/>
          </w:tcPr>
          <w:p>
            <w:pPr>
              <w:pStyle w:val="TableParagraph"/>
              <w:ind w:left="267"/>
              <w:rPr>
                <w:sz w:val="20"/>
              </w:rPr>
            </w:pPr>
            <w:r>
              <w:rPr>
                <w:sz w:val="20"/>
              </w:rPr>
              <w:drawing>
                <wp:inline distT="0" distB="0" distL="0" distR="0">
                  <wp:extent cx="413003" cy="627888"/>
                  <wp:effectExtent l="0" t="0" r="0" b="0"/>
                  <wp:docPr id="433" name="image265.png" descr=""/>
                  <wp:cNvGraphicFramePr>
                    <a:graphicFrameLocks noChangeAspect="1"/>
                  </wp:cNvGraphicFramePr>
                  <a:graphic>
                    <a:graphicData uri="http://schemas.openxmlformats.org/drawingml/2006/picture">
                      <pic:pic>
                        <pic:nvPicPr>
                          <pic:cNvPr id="434" name="image265.png"/>
                          <pic:cNvPicPr/>
                        </pic:nvPicPr>
                        <pic:blipFill>
                          <a:blip r:embed="rId452" cstate="print"/>
                          <a:stretch>
                            <a:fillRect/>
                          </a:stretch>
                        </pic:blipFill>
                        <pic:spPr>
                          <a:xfrm>
                            <a:off x="0" y="0"/>
                            <a:ext cx="413003" cy="627888"/>
                          </a:xfrm>
                          <a:prstGeom prst="rect">
                            <a:avLst/>
                          </a:prstGeom>
                        </pic:spPr>
                      </pic:pic>
                    </a:graphicData>
                  </a:graphic>
                </wp:inline>
              </w:drawing>
            </w:r>
            <w:r>
              <w:rPr>
                <w:sz w:val="20"/>
              </w:rPr>
            </w:r>
          </w:p>
        </w:tc>
      </w:tr>
      <w:tr>
        <w:trPr>
          <w:trHeight w:val="263" w:hRule="exact"/>
        </w:trPr>
        <w:tc>
          <w:tcPr>
            <w:tcW w:w="1252" w:type="dxa"/>
          </w:tcPr>
          <w:p>
            <w:pPr>
              <w:pStyle w:val="TableParagraph"/>
              <w:spacing w:line="250" w:lineRule="exact"/>
              <w:ind w:left="336"/>
              <w:rPr>
                <w:sz w:val="22"/>
              </w:rPr>
            </w:pPr>
            <w:r>
              <w:rPr>
                <w:sz w:val="22"/>
              </w:rPr>
              <w:t>44.6%</w:t>
            </w:r>
          </w:p>
        </w:tc>
        <w:tc>
          <w:tcPr>
            <w:tcW w:w="1250" w:type="dxa"/>
          </w:tcPr>
          <w:p>
            <w:pPr>
              <w:pStyle w:val="TableParagraph"/>
              <w:spacing w:line="250" w:lineRule="exact"/>
              <w:ind w:left="336"/>
              <w:rPr>
                <w:sz w:val="22"/>
              </w:rPr>
            </w:pPr>
            <w:r>
              <w:rPr>
                <w:sz w:val="22"/>
              </w:rPr>
              <w:t>51.6%</w:t>
            </w:r>
          </w:p>
        </w:tc>
        <w:tc>
          <w:tcPr>
            <w:tcW w:w="1252" w:type="dxa"/>
          </w:tcPr>
          <w:p>
            <w:pPr>
              <w:pStyle w:val="TableParagraph"/>
              <w:spacing w:line="250" w:lineRule="exact"/>
              <w:ind w:left="391"/>
              <w:rPr>
                <w:sz w:val="22"/>
              </w:rPr>
            </w:pPr>
            <w:r>
              <w:rPr>
                <w:sz w:val="22"/>
              </w:rPr>
              <w:t>3.8%</w:t>
            </w:r>
          </w:p>
        </w:tc>
        <w:tc>
          <w:tcPr>
            <w:tcW w:w="1252" w:type="dxa"/>
          </w:tcPr>
          <w:p>
            <w:pPr>
              <w:pStyle w:val="TableParagraph"/>
              <w:spacing w:line="250" w:lineRule="exact"/>
              <w:ind w:left="336"/>
              <w:rPr>
                <w:sz w:val="22"/>
              </w:rPr>
            </w:pPr>
            <w:r>
              <w:rPr>
                <w:sz w:val="22"/>
              </w:rPr>
              <w:t>97.8%</w:t>
            </w:r>
          </w:p>
        </w:tc>
      </w:tr>
    </w:tbl>
    <w:p>
      <w:pPr>
        <w:pStyle w:val="BodyText"/>
      </w:pPr>
    </w:p>
    <w:p>
      <w:pPr>
        <w:pStyle w:val="BodyText"/>
      </w:pPr>
    </w:p>
    <w:p>
      <w:pPr>
        <w:pStyle w:val="BodyText"/>
        <w:spacing w:before="8"/>
        <w:rPr>
          <w:sz w:val="19"/>
        </w:rPr>
      </w:pPr>
    </w:p>
    <w:p>
      <w:pPr>
        <w:pStyle w:val="BodyText"/>
        <w:ind w:left="859" w:firstLine="55"/>
      </w:pPr>
      <w:r>
        <w:rPr/>
        <w:pict>
          <v:shape style="position:absolute;margin-left:36.900002pt;margin-top:23.196083pt;width:254pt;height:78.7pt;mso-position-horizontal-relative:page;mso-position-vertical-relative:paragraph;z-index:1204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12"/>
                    <w:gridCol w:w="1250"/>
                    <w:gridCol w:w="1252"/>
                    <w:gridCol w:w="1252"/>
                  </w:tblGrid>
                  <w:tr>
                    <w:trPr>
                      <w:trHeight w:val="263" w:hRule="exact"/>
                    </w:trPr>
                    <w:tc>
                      <w:tcPr>
                        <w:tcW w:w="5065" w:type="dxa"/>
                        <w:gridSpan w:val="4"/>
                      </w:tcPr>
                      <w:p>
                        <w:pPr>
                          <w:pStyle w:val="TableParagraph"/>
                          <w:spacing w:line="250" w:lineRule="exact"/>
                          <w:ind w:left="1808" w:right="1808"/>
                          <w:jc w:val="center"/>
                          <w:rPr>
                            <w:sz w:val="22"/>
                          </w:rPr>
                        </w:pPr>
                        <w:r>
                          <w:rPr>
                            <w:sz w:val="22"/>
                          </w:rPr>
                          <w:t>Neck Positions</w:t>
                        </w:r>
                      </w:p>
                    </w:tc>
                  </w:tr>
                  <w:tr>
                    <w:trPr>
                      <w:trHeight w:val="1038" w:hRule="exact"/>
                    </w:trPr>
                    <w:tc>
                      <w:tcPr>
                        <w:tcW w:w="1312" w:type="dxa"/>
                      </w:tcPr>
                      <w:p>
                        <w:pPr>
                          <w:pStyle w:val="TableParagraph"/>
                          <w:rPr>
                            <w:sz w:val="20"/>
                          </w:rPr>
                        </w:pPr>
                      </w:p>
                      <w:p>
                        <w:pPr>
                          <w:pStyle w:val="TableParagraph"/>
                          <w:rPr>
                            <w:sz w:val="20"/>
                          </w:rPr>
                        </w:pPr>
                      </w:p>
                      <w:p>
                        <w:pPr>
                          <w:pStyle w:val="TableParagraph"/>
                          <w:rPr>
                            <w:sz w:val="20"/>
                          </w:rPr>
                        </w:pPr>
                      </w:p>
                      <w:p>
                        <w:pPr>
                          <w:pStyle w:val="TableParagraph"/>
                          <w:spacing w:before="5"/>
                          <w:rPr>
                            <w:sz w:val="29"/>
                          </w:rPr>
                        </w:pPr>
                      </w:p>
                    </w:tc>
                    <w:tc>
                      <w:tcPr>
                        <w:tcW w:w="1250" w:type="dxa"/>
                      </w:tcPr>
                      <w:p>
                        <w:pPr>
                          <w:pStyle w:val="TableParagraph"/>
                          <w:rPr>
                            <w:sz w:val="20"/>
                          </w:rPr>
                        </w:pPr>
                      </w:p>
                      <w:p>
                        <w:pPr>
                          <w:pStyle w:val="TableParagraph"/>
                          <w:rPr>
                            <w:sz w:val="20"/>
                          </w:rPr>
                        </w:pPr>
                      </w:p>
                      <w:p>
                        <w:pPr>
                          <w:pStyle w:val="TableParagraph"/>
                          <w:rPr>
                            <w:sz w:val="20"/>
                          </w:rPr>
                        </w:pPr>
                      </w:p>
                      <w:p>
                        <w:pPr>
                          <w:pStyle w:val="TableParagraph"/>
                          <w:spacing w:before="5"/>
                          <w:rPr>
                            <w:sz w:val="29"/>
                          </w:rPr>
                        </w:pPr>
                      </w:p>
                    </w:tc>
                    <w:tc>
                      <w:tcPr>
                        <w:tcW w:w="1252" w:type="dxa"/>
                      </w:tcPr>
                      <w:p>
                        <w:pPr>
                          <w:pStyle w:val="TableParagraph"/>
                          <w:rPr>
                            <w:sz w:val="20"/>
                          </w:rPr>
                        </w:pPr>
                      </w:p>
                      <w:p>
                        <w:pPr>
                          <w:pStyle w:val="TableParagraph"/>
                          <w:rPr>
                            <w:sz w:val="20"/>
                          </w:rPr>
                        </w:pPr>
                      </w:p>
                      <w:p>
                        <w:pPr>
                          <w:pStyle w:val="TableParagraph"/>
                          <w:rPr>
                            <w:sz w:val="20"/>
                          </w:rPr>
                        </w:pPr>
                      </w:p>
                      <w:p>
                        <w:pPr>
                          <w:pStyle w:val="TableParagraph"/>
                          <w:spacing w:before="5"/>
                          <w:rPr>
                            <w:sz w:val="29"/>
                          </w:rPr>
                        </w:pPr>
                      </w:p>
                    </w:tc>
                    <w:tc>
                      <w:tcPr>
                        <w:tcW w:w="1252" w:type="dxa"/>
                      </w:tcPr>
                      <w:p>
                        <w:pPr>
                          <w:pStyle w:val="TableParagraph"/>
                          <w:rPr>
                            <w:sz w:val="20"/>
                          </w:rPr>
                        </w:pPr>
                      </w:p>
                      <w:p>
                        <w:pPr>
                          <w:pStyle w:val="TableParagraph"/>
                          <w:rPr>
                            <w:sz w:val="20"/>
                          </w:rPr>
                        </w:pPr>
                      </w:p>
                      <w:p>
                        <w:pPr>
                          <w:pStyle w:val="TableParagraph"/>
                          <w:rPr>
                            <w:sz w:val="20"/>
                          </w:rPr>
                        </w:pPr>
                      </w:p>
                      <w:p>
                        <w:pPr>
                          <w:pStyle w:val="TableParagraph"/>
                          <w:spacing w:before="5"/>
                          <w:rPr>
                            <w:sz w:val="29"/>
                          </w:rPr>
                        </w:pPr>
                      </w:p>
                    </w:tc>
                  </w:tr>
                  <w:tr>
                    <w:trPr>
                      <w:trHeight w:val="263" w:hRule="exact"/>
                    </w:trPr>
                    <w:tc>
                      <w:tcPr>
                        <w:tcW w:w="1312" w:type="dxa"/>
                      </w:tcPr>
                      <w:p>
                        <w:pPr>
                          <w:pStyle w:val="TableParagraph"/>
                          <w:spacing w:line="250" w:lineRule="exact"/>
                          <w:ind w:left="484" w:right="484"/>
                          <w:jc w:val="center"/>
                          <w:rPr>
                            <w:sz w:val="22"/>
                          </w:rPr>
                        </w:pPr>
                        <w:r>
                          <w:rPr>
                            <w:sz w:val="22"/>
                          </w:rPr>
                          <w:t>8%</w:t>
                        </w:r>
                      </w:p>
                    </w:tc>
                    <w:tc>
                      <w:tcPr>
                        <w:tcW w:w="1250" w:type="dxa"/>
                      </w:tcPr>
                      <w:p>
                        <w:pPr>
                          <w:pStyle w:val="TableParagraph"/>
                          <w:spacing w:line="250" w:lineRule="exact"/>
                          <w:ind w:left="335"/>
                          <w:rPr>
                            <w:sz w:val="22"/>
                          </w:rPr>
                        </w:pPr>
                        <w:r>
                          <w:rPr>
                            <w:sz w:val="22"/>
                          </w:rPr>
                          <w:t>11.8%</w:t>
                        </w:r>
                      </w:p>
                    </w:tc>
                    <w:tc>
                      <w:tcPr>
                        <w:tcW w:w="1252" w:type="dxa"/>
                      </w:tcPr>
                      <w:p>
                        <w:pPr>
                          <w:pStyle w:val="TableParagraph"/>
                          <w:spacing w:line="250" w:lineRule="exact"/>
                          <w:ind w:left="336"/>
                          <w:rPr>
                            <w:sz w:val="22"/>
                          </w:rPr>
                        </w:pPr>
                        <w:r>
                          <w:rPr>
                            <w:sz w:val="22"/>
                          </w:rPr>
                          <w:t>51.6%</w:t>
                        </w:r>
                      </w:p>
                    </w:tc>
                    <w:tc>
                      <w:tcPr>
                        <w:tcW w:w="1252" w:type="dxa"/>
                      </w:tcPr>
                      <w:p>
                        <w:pPr>
                          <w:pStyle w:val="TableParagraph"/>
                          <w:spacing w:line="250" w:lineRule="exact"/>
                          <w:ind w:left="336"/>
                          <w:rPr>
                            <w:sz w:val="22"/>
                          </w:rPr>
                        </w:pPr>
                        <w:r>
                          <w:rPr>
                            <w:sz w:val="22"/>
                          </w:rPr>
                          <w:t>28.5%</w:t>
                        </w:r>
                      </w:p>
                    </w:tc>
                  </w:tr>
                </w:tbl>
                <w:p>
                  <w:pPr>
                    <w:pStyle w:val="BodyText"/>
                  </w:pPr>
                </w:p>
              </w:txbxContent>
            </v:textbox>
            <w10:wrap type="none"/>
          </v:shape>
        </w:pict>
      </w:r>
      <w:r>
        <w:rPr/>
        <w:t>Table 5 Summary of results for neck position</w:t>
      </w:r>
    </w:p>
    <w:p>
      <w:pPr>
        <w:pStyle w:val="BodyText"/>
      </w:pPr>
    </w:p>
    <w:p>
      <w:pPr>
        <w:pStyle w:val="BodyText"/>
        <w:spacing w:before="7"/>
      </w:pPr>
      <w:r>
        <w:rPr/>
        <w:drawing>
          <wp:anchor distT="0" distB="0" distL="0" distR="0" allowOverlap="1" layoutInCell="1" locked="0" behindDoc="0" simplePos="0" relativeHeight="11776">
            <wp:simplePos x="0" y="0"/>
            <wp:positionH relativeFrom="page">
              <wp:posOffset>679704</wp:posOffset>
            </wp:positionH>
            <wp:positionV relativeFrom="paragraph">
              <wp:posOffset>175489</wp:posOffset>
            </wp:positionV>
            <wp:extent cx="466373" cy="646271"/>
            <wp:effectExtent l="0" t="0" r="0" b="0"/>
            <wp:wrapTopAndBottom/>
            <wp:docPr id="435" name="image266.png" descr=""/>
            <wp:cNvGraphicFramePr>
              <a:graphicFrameLocks noChangeAspect="1"/>
            </wp:cNvGraphicFramePr>
            <a:graphic>
              <a:graphicData uri="http://schemas.openxmlformats.org/drawingml/2006/picture">
                <pic:pic>
                  <pic:nvPicPr>
                    <pic:cNvPr id="436" name="image266.png"/>
                    <pic:cNvPicPr/>
                  </pic:nvPicPr>
                  <pic:blipFill>
                    <a:blip r:embed="rId453" cstate="print"/>
                    <a:stretch>
                      <a:fillRect/>
                    </a:stretch>
                  </pic:blipFill>
                  <pic:spPr>
                    <a:xfrm>
                      <a:off x="0" y="0"/>
                      <a:ext cx="466373" cy="646271"/>
                    </a:xfrm>
                    <a:prstGeom prst="rect">
                      <a:avLst/>
                    </a:prstGeom>
                  </pic:spPr>
                </pic:pic>
              </a:graphicData>
            </a:graphic>
          </wp:anchor>
        </w:drawing>
      </w:r>
      <w:r>
        <w:rPr/>
        <w:drawing>
          <wp:anchor distT="0" distB="0" distL="0" distR="0" allowOverlap="1" layoutInCell="1" locked="0" behindDoc="0" simplePos="0" relativeHeight="11800">
            <wp:simplePos x="0" y="0"/>
            <wp:positionH relativeFrom="page">
              <wp:posOffset>1512569</wp:posOffset>
            </wp:positionH>
            <wp:positionV relativeFrom="paragraph">
              <wp:posOffset>175489</wp:posOffset>
            </wp:positionV>
            <wp:extent cx="412040" cy="651510"/>
            <wp:effectExtent l="0" t="0" r="0" b="0"/>
            <wp:wrapTopAndBottom/>
            <wp:docPr id="437" name="image267.png" descr=""/>
            <wp:cNvGraphicFramePr>
              <a:graphicFrameLocks noChangeAspect="1"/>
            </wp:cNvGraphicFramePr>
            <a:graphic>
              <a:graphicData uri="http://schemas.openxmlformats.org/drawingml/2006/picture">
                <pic:pic>
                  <pic:nvPicPr>
                    <pic:cNvPr id="438" name="image267.png"/>
                    <pic:cNvPicPr/>
                  </pic:nvPicPr>
                  <pic:blipFill>
                    <a:blip r:embed="rId454" cstate="print"/>
                    <a:stretch>
                      <a:fillRect/>
                    </a:stretch>
                  </pic:blipFill>
                  <pic:spPr>
                    <a:xfrm>
                      <a:off x="0" y="0"/>
                      <a:ext cx="412040" cy="651510"/>
                    </a:xfrm>
                    <a:prstGeom prst="rect">
                      <a:avLst/>
                    </a:prstGeom>
                  </pic:spPr>
                </pic:pic>
              </a:graphicData>
            </a:graphic>
          </wp:anchor>
        </w:drawing>
      </w:r>
      <w:r>
        <w:rPr/>
        <w:drawing>
          <wp:anchor distT="0" distB="0" distL="0" distR="0" allowOverlap="1" layoutInCell="1" locked="0" behindDoc="0" simplePos="0" relativeHeight="11824">
            <wp:simplePos x="0" y="0"/>
            <wp:positionH relativeFrom="page">
              <wp:posOffset>2306573</wp:posOffset>
            </wp:positionH>
            <wp:positionV relativeFrom="paragraph">
              <wp:posOffset>175489</wp:posOffset>
            </wp:positionV>
            <wp:extent cx="412521" cy="651510"/>
            <wp:effectExtent l="0" t="0" r="0" b="0"/>
            <wp:wrapTopAndBottom/>
            <wp:docPr id="439" name="image268.png" descr=""/>
            <wp:cNvGraphicFramePr>
              <a:graphicFrameLocks noChangeAspect="1"/>
            </wp:cNvGraphicFramePr>
            <a:graphic>
              <a:graphicData uri="http://schemas.openxmlformats.org/drawingml/2006/picture">
                <pic:pic>
                  <pic:nvPicPr>
                    <pic:cNvPr id="440" name="image268.png"/>
                    <pic:cNvPicPr/>
                  </pic:nvPicPr>
                  <pic:blipFill>
                    <a:blip r:embed="rId455" cstate="print"/>
                    <a:stretch>
                      <a:fillRect/>
                    </a:stretch>
                  </pic:blipFill>
                  <pic:spPr>
                    <a:xfrm>
                      <a:off x="0" y="0"/>
                      <a:ext cx="412521" cy="651510"/>
                    </a:xfrm>
                    <a:prstGeom prst="rect">
                      <a:avLst/>
                    </a:prstGeom>
                  </pic:spPr>
                </pic:pic>
              </a:graphicData>
            </a:graphic>
          </wp:anchor>
        </w:drawing>
      </w:r>
      <w:r>
        <w:rPr/>
        <w:drawing>
          <wp:anchor distT="0" distB="0" distL="0" distR="0" allowOverlap="1" layoutInCell="1" locked="0" behindDoc="0" simplePos="0" relativeHeight="11848">
            <wp:simplePos x="0" y="0"/>
            <wp:positionH relativeFrom="page">
              <wp:posOffset>3101339</wp:posOffset>
            </wp:positionH>
            <wp:positionV relativeFrom="paragraph">
              <wp:posOffset>175489</wp:posOffset>
            </wp:positionV>
            <wp:extent cx="341323" cy="620934"/>
            <wp:effectExtent l="0" t="0" r="0" b="0"/>
            <wp:wrapTopAndBottom/>
            <wp:docPr id="441" name="image269.png" descr=""/>
            <wp:cNvGraphicFramePr>
              <a:graphicFrameLocks noChangeAspect="1"/>
            </wp:cNvGraphicFramePr>
            <a:graphic>
              <a:graphicData uri="http://schemas.openxmlformats.org/drawingml/2006/picture">
                <pic:pic>
                  <pic:nvPicPr>
                    <pic:cNvPr id="442" name="image269.png"/>
                    <pic:cNvPicPr/>
                  </pic:nvPicPr>
                  <pic:blipFill>
                    <a:blip r:embed="rId456" cstate="print"/>
                    <a:stretch>
                      <a:fillRect/>
                    </a:stretch>
                  </pic:blipFill>
                  <pic:spPr>
                    <a:xfrm>
                      <a:off x="0" y="0"/>
                      <a:ext cx="341323" cy="620934"/>
                    </a:xfrm>
                    <a:prstGeom prst="rect">
                      <a:avLst/>
                    </a:prstGeom>
                  </pic:spPr>
                </pic:pic>
              </a:graphicData>
            </a:graphic>
          </wp:anchor>
        </w:drawing>
      </w:r>
    </w:p>
    <w:p>
      <w:pPr>
        <w:pStyle w:val="BodyText"/>
      </w:pPr>
    </w:p>
    <w:p>
      <w:pPr>
        <w:pStyle w:val="BodyText"/>
      </w:pPr>
    </w:p>
    <w:p>
      <w:pPr>
        <w:pStyle w:val="BodyText"/>
        <w:rPr>
          <w:sz w:val="21"/>
        </w:rPr>
      </w:pPr>
    </w:p>
    <w:p>
      <w:pPr>
        <w:pStyle w:val="BodyText"/>
        <w:spacing w:before="1"/>
        <w:ind w:left="859"/>
      </w:pPr>
      <w:r>
        <w:rPr/>
        <w:t>Table 6 Summary of results for Trunk position</w:t>
      </w:r>
    </w:p>
    <w:p>
      <w:pPr>
        <w:pStyle w:val="BodyText"/>
        <w:spacing w:before="75"/>
        <w:ind w:left="378" w:right="732" w:firstLine="426"/>
      </w:pPr>
      <w:r>
        <w:rPr/>
        <w:br w:type="column"/>
      </w:r>
      <w:r>
        <w:rPr/>
        <w:t>For combined painting, sculpting and engraving tasks, it was found a final score of seven to 48.9% of assessments, which implies to study and modify immediate all postures. There is a high risk of musculoskeletal disorders in plastic art tasks performed by students from art bachelor at the Universidad de Sonora.</w:t>
      </w:r>
    </w:p>
    <w:p>
      <w:pPr>
        <w:pStyle w:val="BodyText"/>
        <w:ind w:left="378" w:right="676" w:firstLine="426"/>
        <w:jc w:val="both"/>
      </w:pPr>
      <w:r>
        <w:rPr/>
        <w:t>Final score of six was found in 18.4% of assessments, which means postures requires further investigation and  soon change. A 23% of evaluations register a level of five which requires same</w:t>
      </w:r>
      <w:r>
        <w:rPr>
          <w:spacing w:val="-15"/>
        </w:rPr>
        <w:t> </w:t>
      </w:r>
      <w:r>
        <w:rPr/>
        <w:t>actions.</w:t>
      </w:r>
    </w:p>
    <w:p>
      <w:pPr>
        <w:pStyle w:val="BodyText"/>
        <w:ind w:left="378" w:right="1090" w:firstLine="426"/>
      </w:pPr>
      <w:r>
        <w:rPr/>
        <w:t>9.7% of assessments reveals a final score of four, which demands a need for a</w:t>
      </w:r>
      <w:r>
        <w:rPr>
          <w:spacing w:val="-10"/>
        </w:rPr>
        <w:t> </w:t>
      </w:r>
      <w:r>
        <w:rPr/>
        <w:t>change.</w:t>
      </w:r>
    </w:p>
    <w:p>
      <w:pPr>
        <w:pStyle w:val="BodyText"/>
        <w:ind w:left="378" w:right="732" w:firstLine="426"/>
      </w:pPr>
      <w:r>
        <w:rPr/>
        <w:t>It was not found levels of one, two and three, that are related to low risks of MSD and not changes.</w:t>
      </w:r>
    </w:p>
    <w:p>
      <w:pPr>
        <w:pStyle w:val="BodyText"/>
      </w:pPr>
    </w:p>
    <w:p>
      <w:pPr>
        <w:pStyle w:val="BodyText"/>
        <w:spacing w:before="1"/>
        <w:ind w:left="378" w:right="676"/>
        <w:jc w:val="both"/>
      </w:pPr>
      <w:r>
        <w:rPr/>
        <w:t>From statistics of data  of body part symptoms survey, it  was found that 1.8% of artists had discomfort  in  feet, 13.6% presented discomfort in shoulders, 2.10% had discomfort in legs, 25.54% had discomfort in neck, 20.9% had discomfort in back,5.5% had discomfort in head, 5.4% had discomfort in medium back, 20.5% had discomfort in low back, 4.66% had discomfort in hands and wrist and the rest presented discomfort in upper arm and knees. The  artists in general, experiment discomfort in back, low back, neck and</w:t>
      </w:r>
      <w:r>
        <w:rPr>
          <w:spacing w:val="-1"/>
        </w:rPr>
        <w:t> </w:t>
      </w:r>
      <w:r>
        <w:rPr/>
        <w:t>shoulders.</w:t>
      </w:r>
    </w:p>
    <w:p>
      <w:pPr>
        <w:pStyle w:val="BodyText"/>
      </w:pPr>
    </w:p>
    <w:p>
      <w:pPr>
        <w:pStyle w:val="BodyText"/>
        <w:spacing w:before="2"/>
      </w:pPr>
    </w:p>
    <w:p>
      <w:pPr>
        <w:pStyle w:val="Heading4"/>
        <w:ind w:left="378"/>
        <w:jc w:val="left"/>
      </w:pPr>
      <w:r>
        <w:rPr/>
        <w:t>4. REFERENCES</w:t>
      </w:r>
    </w:p>
    <w:p>
      <w:pPr>
        <w:pStyle w:val="BodyText"/>
        <w:rPr>
          <w:b/>
        </w:rPr>
      </w:pPr>
    </w:p>
    <w:p>
      <w:pPr>
        <w:pStyle w:val="BodyText"/>
        <w:spacing w:before="9"/>
        <w:rPr>
          <w:b/>
          <w:sz w:val="27"/>
        </w:rPr>
      </w:pPr>
    </w:p>
    <w:p>
      <w:pPr>
        <w:pStyle w:val="BodyText"/>
        <w:ind w:left="378" w:right="683" w:firstLine="50"/>
      </w:pPr>
      <w:r>
        <w:rPr/>
        <w:t>[1]Bruce P. Bernard; Musculoskeletal Disorders and Workplace Factors: A Critical Review of Epidemiologic Evidence for Work Related Musculoskeletal Disorders of the Neck, Upper Extremity, and Low Back; Department of Health and Human Services, National Institute for Occupational Safety and Health, Cincinnati, OH, 1997 [2]Punnet, Laura, Wegman, H. David, Work-related musculoskeletal disorders: the  epidemiologic  evidence</w:t>
      </w:r>
      <w:r>
        <w:rPr>
          <w:spacing w:val="27"/>
        </w:rPr>
        <w:t> </w:t>
      </w:r>
      <w:r>
        <w:rPr/>
        <w:t>and</w:t>
      </w:r>
    </w:p>
    <w:p>
      <w:pPr>
        <w:spacing w:after="0"/>
        <w:sectPr>
          <w:type w:val="continuous"/>
          <w:pgSz w:w="12240" w:h="15840"/>
          <w:pgMar w:top="1500" w:bottom="280" w:left="580" w:right="220"/>
          <w:cols w:num="2" w:equalWidth="0">
            <w:col w:w="4842" w:space="674"/>
            <w:col w:w="5924"/>
          </w:cols>
        </w:sectPr>
      </w:pPr>
    </w:p>
    <w:p>
      <w:pPr>
        <w:pStyle w:val="BodyText"/>
        <w:spacing w:before="4"/>
        <w:rPr>
          <w:sz w:val="11"/>
        </w:rPr>
      </w:pPr>
    </w:p>
    <w:p>
      <w:pPr>
        <w:pStyle w:val="BodyText"/>
        <w:spacing w:before="74"/>
        <w:ind w:left="270" w:right="6249"/>
        <w:jc w:val="both"/>
      </w:pPr>
      <w:r>
        <w:rPr/>
        <w:t>the debate; Journal of Electromyography and Kinesiology 14 (2004) 13–23</w:t>
      </w:r>
    </w:p>
    <w:p>
      <w:pPr>
        <w:pStyle w:val="BodyText"/>
        <w:ind w:left="270" w:right="6304"/>
      </w:pPr>
      <w:r>
        <w:rPr/>
        <w:t>[3]Marley, Robert J., Kumar, Nirmal; An improved musculoskeletal discomfort assessment tool; International Journal of Industrial Ergonomics 17, pag 21-27; 1996. [4]D.M. Rempel, L. Punnett, Epidemiology of wrist and hand disorders, in: M. Nordin, G.B. Andersson, M.H. Pope (Eds.), Mosby-Year Book, Inc, Philadelphia, PA, 1997, pp. 421–430.</w:t>
      </w:r>
    </w:p>
    <w:p>
      <w:pPr>
        <w:pStyle w:val="BodyText"/>
        <w:ind w:left="270" w:right="6250"/>
        <w:jc w:val="both"/>
      </w:pPr>
      <w:r>
        <w:rPr/>
        <w:t>[5]McAtamney, L. &amp; Corlett, E.N. Applied RULA: a survey method for the investigation of work-related upper limb disorders, Applied Ergonomics, 24, 91-99, 1993.</w:t>
      </w:r>
    </w:p>
    <w:p>
      <w:pPr>
        <w:pStyle w:val="BodyText"/>
        <w:ind w:left="270" w:right="6250"/>
        <w:jc w:val="both"/>
      </w:pPr>
      <w:r>
        <w:rPr/>
        <w:t>[6]Kölsch, M., Beall, A. and Turk, M. An Objective Measure for Postural Comfort. In Proc. HFES 47 th Annual Meeting (this publication), 2003.</w:t>
      </w:r>
    </w:p>
    <w:p>
      <w:pPr>
        <w:pStyle w:val="BodyText"/>
        <w:ind w:left="270" w:right="6252" w:firstLine="50"/>
        <w:jc w:val="both"/>
      </w:pPr>
      <w:r>
        <w:rPr/>
        <w:t>[7]McAtamney, L. &amp; Corlett, E.N. Applied RULA: a survey method for the investigation of work-related upper limb disorders, Applied Ergonomics, 24, 91-99, 1993.</w:t>
      </w:r>
    </w:p>
    <w:p>
      <w:pPr>
        <w:pStyle w:val="BodyText"/>
        <w:ind w:left="270" w:right="6252"/>
        <w:jc w:val="both"/>
      </w:pPr>
      <w:r>
        <w:rPr/>
        <w:t>[8]Corlett, E.N., Bishop R.P., A technique for measuring postural discomfort,Ergonomics Vol 9; pp 175-182, 1976.</w:t>
      </w:r>
    </w:p>
    <w:p>
      <w:pPr>
        <w:pStyle w:val="BodyText"/>
        <w:spacing w:before="120"/>
        <w:ind w:left="270" w:right="6250"/>
        <w:jc w:val="both"/>
      </w:pPr>
      <w:r>
        <w:rPr/>
        <w:t>[9]De Looze P. Michiel, Kuijt-Evers, Lottie, Van Dieen  Jaap; Sitting comfort and discomfort and the relationships with objective measures; ERGONOMICS, August, 2003, VOL. 46, NO. 10, 985 –</w:t>
      </w:r>
      <w:r>
        <w:rPr>
          <w:spacing w:val="-10"/>
        </w:rPr>
        <w:t> </w:t>
      </w:r>
      <w:r>
        <w:rPr/>
        <w:t>997.</w:t>
      </w:r>
    </w:p>
    <w:p>
      <w:pPr>
        <w:pStyle w:val="BodyText"/>
        <w:spacing w:before="10"/>
        <w:rPr>
          <w:sz w:val="19"/>
        </w:rPr>
      </w:pPr>
    </w:p>
    <w:p>
      <w:pPr>
        <w:spacing w:before="0"/>
        <w:ind w:left="270" w:right="6250" w:firstLine="0"/>
        <w:jc w:val="both"/>
        <w:rPr>
          <w:sz w:val="16"/>
        </w:rPr>
      </w:pPr>
      <w:r>
        <w:rPr>
          <w:b/>
          <w:sz w:val="16"/>
        </w:rPr>
        <w:t>Patricia Eugenia Sortillón González. </w:t>
      </w:r>
      <w:r>
        <w:rPr>
          <w:sz w:val="16"/>
        </w:rPr>
        <w:t>She is a Mechanical industrial engineer with a Masters degree in Science of Industrial Engineering by the Instituto Tecnológico de Hermosillo. She has been a lecturer for more than a eight years at the Universidad de Sonora, teaching courses of mainly Statistics, Industrial Planning, manufacturing processes, quality auditing, quality improving. She has a professional experience of nineteen years in manufacturing and quality.</w:t>
      </w:r>
    </w:p>
    <w:p>
      <w:pPr>
        <w:pStyle w:val="BodyText"/>
        <w:spacing w:before="10"/>
        <w:rPr>
          <w:sz w:val="15"/>
        </w:rPr>
      </w:pPr>
    </w:p>
    <w:p>
      <w:pPr>
        <w:spacing w:before="0"/>
        <w:ind w:left="270" w:right="6249" w:firstLine="0"/>
        <w:jc w:val="both"/>
        <w:rPr>
          <w:sz w:val="16"/>
        </w:rPr>
      </w:pPr>
      <w:r>
        <w:rPr>
          <w:b/>
          <w:sz w:val="16"/>
        </w:rPr>
        <w:t>Irene Marincic Lovriha. </w:t>
      </w:r>
      <w:r>
        <w:rPr>
          <w:sz w:val="16"/>
        </w:rPr>
        <w:t>She is a civil engineer by the Technological National University of Buenos Aires, Argentina. She has  a  Doctorate degree in Engineering in Ways, Channels and Ports for the Technical University of Cataluña, Spain. She is a full time teacher and investigator in the Department of Architecture and Design of the University of Sonora, co- responsible for the laboratory of Energy, Enviroment and Architecture, and teacher in the Master and Doctorate degree program. She specializes in topics of research related to energy efficiency in buildings, monitoring of  the thermal and light behavior and thermal comfort. She has numerous publications related to energy in buildings, she is under National Investigators</w:t>
      </w:r>
      <w:r>
        <w:rPr>
          <w:spacing w:val="-10"/>
          <w:sz w:val="16"/>
        </w:rPr>
        <w:t> </w:t>
      </w:r>
      <w:r>
        <w:rPr>
          <w:sz w:val="16"/>
        </w:rPr>
        <w:t>System.</w:t>
      </w:r>
    </w:p>
    <w:p>
      <w:pPr>
        <w:spacing w:after="0"/>
        <w:jc w:val="both"/>
        <w:rPr>
          <w:sz w:val="16"/>
        </w:rPr>
        <w:sectPr>
          <w:pgSz w:w="12240" w:h="15840"/>
          <w:pgMar w:header="545" w:footer="852" w:top="1060" w:bottom="1040" w:left="580" w:right="220"/>
        </w:sectPr>
      </w:pPr>
    </w:p>
    <w:p>
      <w:pPr>
        <w:pStyle w:val="BodyText"/>
        <w:spacing w:before="4"/>
        <w:rPr>
          <w:sz w:val="11"/>
        </w:rPr>
      </w:pPr>
    </w:p>
    <w:p>
      <w:pPr>
        <w:spacing w:after="0"/>
        <w:rPr>
          <w:sz w:val="11"/>
        </w:rPr>
        <w:sectPr>
          <w:pgSz w:w="12240" w:h="15840"/>
          <w:pgMar w:header="545" w:footer="852" w:top="1060" w:bottom="1040" w:left="580" w:right="220"/>
        </w:sectPr>
      </w:pPr>
    </w:p>
    <w:p>
      <w:pPr>
        <w:pStyle w:val="Heading1"/>
        <w:spacing w:before="77"/>
        <w:ind w:right="461"/>
        <w:jc w:val="left"/>
      </w:pPr>
      <w:r>
        <w:rPr/>
        <w:t>Occupational risk in the area of production tapped.</w:t>
      </w:r>
    </w:p>
    <w:p>
      <w:pPr>
        <w:pStyle w:val="BodyText"/>
        <w:spacing w:before="7"/>
        <w:rPr>
          <w:b/>
          <w:sz w:val="21"/>
        </w:rPr>
      </w:pPr>
    </w:p>
    <w:p>
      <w:pPr>
        <w:spacing w:line="242" w:lineRule="exact" w:before="0"/>
        <w:ind w:left="270" w:right="0" w:firstLine="0"/>
        <w:jc w:val="both"/>
        <w:rPr>
          <w:i/>
          <w:sz w:val="20"/>
        </w:rPr>
      </w:pPr>
      <w:r>
        <w:rPr>
          <w:i/>
          <w:position w:val="9"/>
          <w:sz w:val="13"/>
        </w:rPr>
        <w:t>a   </w:t>
      </w:r>
      <w:r>
        <w:rPr>
          <w:i/>
          <w:sz w:val="20"/>
        </w:rPr>
        <w:t>Martin Gabriel López López, </w:t>
      </w:r>
      <w:r>
        <w:rPr>
          <w:i/>
          <w:position w:val="9"/>
          <w:sz w:val="13"/>
        </w:rPr>
        <w:t>b </w:t>
      </w:r>
      <w:r>
        <w:rPr>
          <w:i/>
          <w:sz w:val="20"/>
        </w:rPr>
        <w:t>Adolfo Santana Martínez,</w:t>
      </w:r>
    </w:p>
    <w:p>
      <w:pPr>
        <w:spacing w:line="242" w:lineRule="exact" w:before="0"/>
        <w:ind w:left="321" w:right="0" w:firstLine="0"/>
        <w:jc w:val="both"/>
        <w:rPr>
          <w:i/>
          <w:sz w:val="20"/>
        </w:rPr>
      </w:pPr>
      <w:r>
        <w:rPr>
          <w:i/>
          <w:position w:val="9"/>
          <w:sz w:val="13"/>
        </w:rPr>
        <w:t>c </w:t>
      </w:r>
      <w:r>
        <w:rPr>
          <w:i/>
          <w:sz w:val="20"/>
        </w:rPr>
        <w:t>M. en C. Raquel Muñoz Hernández.</w:t>
      </w:r>
    </w:p>
    <w:p>
      <w:pPr>
        <w:pStyle w:val="BodyText"/>
        <w:spacing w:before="3"/>
        <w:rPr>
          <w:i/>
          <w:sz w:val="26"/>
        </w:rPr>
      </w:pPr>
    </w:p>
    <w:p>
      <w:pPr>
        <w:tabs>
          <w:tab w:pos="1128" w:val="left" w:leader="none"/>
          <w:tab w:pos="1701" w:val="left" w:leader="none"/>
          <w:tab w:pos="2651" w:val="left" w:leader="none"/>
          <w:tab w:pos="3602" w:val="left" w:leader="none"/>
        </w:tabs>
        <w:spacing w:before="0"/>
        <w:ind w:left="270" w:right="0" w:firstLine="0"/>
        <w:jc w:val="both"/>
        <w:rPr>
          <w:sz w:val="16"/>
        </w:rPr>
      </w:pPr>
      <w:r>
        <w:rPr>
          <w:position w:val="7"/>
          <w:sz w:val="10"/>
        </w:rPr>
        <w:t>a.b.c </w:t>
      </w:r>
      <w:r>
        <w:rPr>
          <w:sz w:val="16"/>
        </w:rPr>
        <w:t>Universidad Politécnica del </w:t>
      </w:r>
      <w:r>
        <w:rPr>
          <w:spacing w:val="-4"/>
          <w:sz w:val="16"/>
        </w:rPr>
        <w:t>Valle </w:t>
      </w:r>
      <w:r>
        <w:rPr>
          <w:sz w:val="16"/>
        </w:rPr>
        <w:t>de México, División de Ingeniería Industrial, </w:t>
      </w:r>
      <w:r>
        <w:rPr>
          <w:spacing w:val="-8"/>
          <w:sz w:val="16"/>
        </w:rPr>
        <w:t>Av. </w:t>
      </w:r>
      <w:r>
        <w:rPr>
          <w:sz w:val="16"/>
        </w:rPr>
        <w:t>Mexiquense s/n, Col. Villa Esmeralda, </w:t>
      </w:r>
      <w:r>
        <w:rPr>
          <w:spacing w:val="-5"/>
          <w:sz w:val="16"/>
        </w:rPr>
        <w:t>C.P. </w:t>
      </w:r>
      <w:r>
        <w:rPr>
          <w:sz w:val="16"/>
        </w:rPr>
        <w:t>54910, Tultitlán, Estado</w:t>
        <w:tab/>
        <w:t>de</w:t>
        <w:tab/>
        <w:t>México,</w:t>
        <w:tab/>
        <w:t>Mèxico.</w:t>
        <w:tab/>
      </w:r>
      <w:hyperlink r:id="rId457">
        <w:r>
          <w:rPr>
            <w:spacing w:val="-1"/>
            <w:sz w:val="16"/>
          </w:rPr>
          <w:t>gaboll117@hotmail.com</w:t>
        </w:r>
      </w:hyperlink>
      <w:r>
        <w:rPr>
          <w:spacing w:val="-1"/>
          <w:sz w:val="16"/>
        </w:rPr>
        <w:t> </w:t>
      </w:r>
      <w:hyperlink r:id="rId458">
        <w:r>
          <w:rPr>
            <w:sz w:val="16"/>
          </w:rPr>
          <w:t>adolfo_sama1@hotmail.com,</w:t>
        </w:r>
      </w:hyperlink>
      <w:r>
        <w:rPr>
          <w:spacing w:val="-21"/>
          <w:sz w:val="16"/>
        </w:rPr>
        <w:t> </w:t>
      </w:r>
      <w:hyperlink r:id="rId115">
        <w:r>
          <w:rPr>
            <w:sz w:val="16"/>
          </w:rPr>
          <w:t>jael2222@hotmail.com.</w:t>
        </w:r>
      </w:hyperlink>
    </w:p>
    <w:p>
      <w:pPr>
        <w:pStyle w:val="BodyText"/>
        <w:spacing w:before="5"/>
        <w:rPr>
          <w:sz w:val="16"/>
        </w:rPr>
      </w:pPr>
    </w:p>
    <w:p>
      <w:pPr>
        <w:pStyle w:val="Heading4"/>
      </w:pPr>
      <w:r>
        <w:rPr/>
        <w:pict>
          <v:line style="position:absolute;mso-position-horizontal-relative:page;mso-position-vertical-relative:paragraph;z-index:12064" from="41.040001pt,13.20593pt" to="289.860001pt,13.20593pt" stroked="true" strokeweight="1.5pt" strokecolor="#000000">
            <w10:wrap type="none"/>
          </v:line>
        </w:pict>
      </w:r>
      <w:r>
        <w:rPr/>
        <w:t>Resumen</w:t>
      </w:r>
    </w:p>
    <w:p>
      <w:pPr>
        <w:pStyle w:val="BodyText"/>
        <w:spacing w:before="46"/>
        <w:ind w:left="270" w:firstLine="1"/>
        <w:jc w:val="both"/>
      </w:pPr>
      <w:r>
        <w:rPr/>
        <w:t>La necesidad de las organizaciones de mantener un alto nivel de competitividad y calidad, ha generado descuido en las condiciones de trabajo en los  diversos  procesos  productivos; siendo éstas factores muy importantes que afectan la eficiencia desde la operación. La investigación es tipo Transversal por lo que los resultados se basan en un diagnóstico y evaluación del estado actual del área, y de aplicación básica, en el proceso de tamborileado; con el objetivo de Identificar si las condiciones ambientales y el procedimiento, favorecen la presencia enfermedades profesionales y estudiar el comportamiento de factores de riesgo asociadas a las posturas en el área de producción de tamborileado. Para realizar este estudio se utilizaron los métodos de evaluación de puestos, de GASTO METABOLICO, FCD y RULA. Asimismo las condiciones ambientales (iluminación, temperatura y ruido). Los resultados muestran que En ejecución de la actividad el trabajador sufre lesiones con un riesgo medio, en manejos de materiales siendo su principal actividad levantar cargas pesadas, que se confirma con el estudio FCD, el cual muestra que se están excediendo los límites establecidos por la Norma Niosh. Las actividades realizadas en su estación de trabajo presentan riesgos que pueden llegar a ocasionar un daño irreversible por las diversas posiciones y movimientos repetitivos.</w:t>
      </w:r>
    </w:p>
    <w:p>
      <w:pPr>
        <w:pStyle w:val="BodyText"/>
        <w:spacing w:before="11"/>
        <w:rPr>
          <w:sz w:val="19"/>
        </w:rPr>
      </w:pPr>
    </w:p>
    <w:p>
      <w:pPr>
        <w:spacing w:before="0"/>
        <w:ind w:left="270" w:right="0" w:firstLine="0"/>
        <w:jc w:val="both"/>
        <w:rPr>
          <w:sz w:val="20"/>
        </w:rPr>
      </w:pPr>
      <w:r>
        <w:rPr>
          <w:b/>
          <w:sz w:val="20"/>
        </w:rPr>
        <w:t>Palabras clave</w:t>
      </w:r>
      <w:r>
        <w:rPr>
          <w:sz w:val="20"/>
        </w:rPr>
        <w:t>— Lesión, riesgo, puesto de trabajo.</w:t>
      </w:r>
    </w:p>
    <w:p>
      <w:pPr>
        <w:pStyle w:val="BodyText"/>
        <w:spacing w:before="4"/>
      </w:pPr>
    </w:p>
    <w:p>
      <w:pPr>
        <w:pStyle w:val="Heading5"/>
        <w:rPr>
          <w:i/>
        </w:rPr>
      </w:pPr>
      <w:r>
        <w:rPr/>
        <w:pict>
          <v:line style="position:absolute;mso-position-horizontal-relative:page;mso-position-vertical-relative:paragraph;z-index:12088" from="41.040001pt,13.206815pt" to="289.860001pt,13.206815pt" stroked="true" strokeweight="1.5pt" strokecolor="#000000">
            <w10:wrap type="none"/>
          </v:line>
        </w:pict>
      </w:r>
      <w:r>
        <w:rPr>
          <w:i/>
        </w:rPr>
        <w:t>Abstract</w:t>
      </w:r>
    </w:p>
    <w:p>
      <w:pPr>
        <w:pStyle w:val="BodyText"/>
        <w:spacing w:before="10"/>
        <w:rPr>
          <w:b/>
          <w:i/>
          <w:sz w:val="23"/>
        </w:rPr>
      </w:pPr>
    </w:p>
    <w:p>
      <w:pPr>
        <w:spacing w:before="0"/>
        <w:ind w:left="270" w:right="2" w:firstLine="0"/>
        <w:jc w:val="both"/>
        <w:rPr>
          <w:sz w:val="20"/>
        </w:rPr>
      </w:pPr>
      <w:r>
        <w:rPr>
          <w:i/>
          <w:sz w:val="20"/>
        </w:rPr>
        <w:t>This is a descriptive study on the ergonomic assessment in a </w:t>
      </w:r>
      <w:r>
        <w:rPr>
          <w:i/>
          <w:sz w:val="20"/>
        </w:rPr>
        <w:t>workstation dedicated to purified water, washing and filling jugs served by three operators to identify risk of cumulative trauma disorders (DTA's). Ergonomic working methods and environmental conditions: the following factors were taken into account. The methods used were (FCD) Compression force to drive the RULA And ERGOTEC method. The results show the existence of risk of musculoskeletal injury, predominantly muscle tension, back pain, back pain, disc degeneration, vibration syndrome, bursitis, tendonitis and rotator cuff. The paper also presents proposals to  reduce risk and improve productivity, suggesting changes in the short and medium term</w:t>
      </w:r>
      <w:r>
        <w:rPr>
          <w:sz w:val="20"/>
        </w:rPr>
        <w:t>.</w:t>
      </w:r>
    </w:p>
    <w:p>
      <w:pPr>
        <w:spacing w:before="0"/>
        <w:ind w:left="270" w:right="0" w:firstLine="0"/>
        <w:jc w:val="both"/>
        <w:rPr>
          <w:i/>
          <w:sz w:val="20"/>
        </w:rPr>
      </w:pPr>
      <w:r>
        <w:rPr>
          <w:rFonts w:ascii="Arial"/>
          <w:color w:val="212121"/>
          <w:sz w:val="20"/>
        </w:rPr>
        <w:t>T</w:t>
      </w:r>
      <w:r>
        <w:rPr>
          <w:i/>
          <w:sz w:val="20"/>
        </w:rPr>
        <w:t>he need for organizations to maintain a high level of </w:t>
      </w:r>
      <w:r>
        <w:rPr>
          <w:i/>
          <w:sz w:val="20"/>
        </w:rPr>
        <w:t>competitiveness and quality, has generated neglect   working</w:t>
      </w:r>
    </w:p>
    <w:p>
      <w:pPr>
        <w:spacing w:before="74"/>
        <w:ind w:left="270" w:right="675" w:firstLine="0"/>
        <w:jc w:val="both"/>
        <w:rPr>
          <w:i/>
          <w:sz w:val="20"/>
        </w:rPr>
      </w:pPr>
      <w:r>
        <w:rPr/>
        <w:br w:type="column"/>
      </w:r>
      <w:r>
        <w:rPr>
          <w:i/>
          <w:sz w:val="20"/>
        </w:rPr>
        <w:t>conditions in the various production processes; and these </w:t>
      </w:r>
      <w:r>
        <w:rPr>
          <w:i/>
          <w:sz w:val="20"/>
        </w:rPr>
        <w:t>are very important factors affecting the efficiency since the operation. Research is Transversal type so that the results are based on an analysis and evaluation of the current state of the area, and basic application, drummed process; in order to identify whether environmental conditions and procedure, favor the presence occupational diseases and study the behavior of risk factors associated with the positions in the production area drummed. For this study  the methods of job evaluation, of SPENDING METABOLIC, FCD and RULA were used. Also environmental conditions (light, temperature and noise). The results show that in execution of the activity the employee is injured at average risk in handling of materials and its main activity lifting heavy loads, which is confirmed by the CDF study, which shows that you are exceeding the limits set by the NIOSH Standard. activities in your workstation present hazards which can potentially cause irreversible damage by the various positions and repetitive</w:t>
      </w:r>
      <w:r>
        <w:rPr>
          <w:i/>
          <w:spacing w:val="-25"/>
          <w:sz w:val="20"/>
        </w:rPr>
        <w:t> </w:t>
      </w:r>
      <w:r>
        <w:rPr>
          <w:i/>
          <w:sz w:val="20"/>
        </w:rPr>
        <w:t>movements.</w:t>
      </w:r>
    </w:p>
    <w:p>
      <w:pPr>
        <w:pStyle w:val="BodyText"/>
        <w:spacing w:line="460" w:lineRule="atLeast" w:before="1"/>
        <w:ind w:left="270" w:right="3048"/>
      </w:pPr>
      <w:r>
        <w:rPr>
          <w:b/>
          <w:i/>
        </w:rPr>
        <w:t>Keywords</w:t>
      </w:r>
      <w:r>
        <w:rPr>
          <w:i/>
        </w:rPr>
        <w:t>— </w:t>
      </w:r>
      <w:r>
        <w:rPr/>
        <w:t>Injury, risk, work. Relevance to Ergonomics:</w:t>
      </w:r>
    </w:p>
    <w:p>
      <w:pPr>
        <w:pStyle w:val="BodyText"/>
        <w:ind w:left="270" w:right="676"/>
        <w:jc w:val="both"/>
        <w:rPr>
          <w:rFonts w:ascii="Arial"/>
        </w:rPr>
      </w:pPr>
      <w:r>
        <w:rPr>
          <w:color w:val="212121"/>
        </w:rPr>
        <w:t>The study contributes to the dissemination of knowledge  and awareness of the importance of ergonomics in the  design of workstations and production processes, highlighting the most important thing is the health and lives of the workers without neglecting functional and productive part of the</w:t>
      </w:r>
      <w:r>
        <w:rPr>
          <w:color w:val="212121"/>
          <w:spacing w:val="-6"/>
        </w:rPr>
        <w:t> </w:t>
      </w:r>
      <w:r>
        <w:rPr>
          <w:color w:val="212121"/>
        </w:rPr>
        <w:t>company</w:t>
      </w:r>
      <w:r>
        <w:rPr>
          <w:rFonts w:ascii="Arial"/>
          <w:color w:val="212121"/>
        </w:rPr>
        <w:t>.</w:t>
      </w:r>
    </w:p>
    <w:p>
      <w:pPr>
        <w:pStyle w:val="BodyText"/>
        <w:spacing w:before="2"/>
        <w:rPr>
          <w:rFonts w:ascii="Arial"/>
        </w:rPr>
      </w:pPr>
    </w:p>
    <w:p>
      <w:pPr>
        <w:pStyle w:val="Heading4"/>
        <w:numPr>
          <w:ilvl w:val="0"/>
          <w:numId w:val="102"/>
        </w:numPr>
        <w:tabs>
          <w:tab w:pos="473" w:val="left" w:leader="none"/>
        </w:tabs>
        <w:spacing w:line="240" w:lineRule="auto" w:before="0" w:after="0"/>
        <w:ind w:left="472" w:right="0" w:hanging="202"/>
        <w:jc w:val="both"/>
      </w:pPr>
      <w:r>
        <w:rPr/>
        <w:t>INTRODUCTION.</w:t>
      </w:r>
    </w:p>
    <w:p>
      <w:pPr>
        <w:pStyle w:val="BodyText"/>
        <w:spacing w:before="8"/>
        <w:rPr>
          <w:b/>
          <w:sz w:val="19"/>
        </w:rPr>
      </w:pPr>
    </w:p>
    <w:p>
      <w:pPr>
        <w:pStyle w:val="BodyText"/>
        <w:ind w:left="270" w:right="676"/>
        <w:jc w:val="both"/>
      </w:pPr>
      <w:r>
        <w:rPr>
          <w:color w:val="212121"/>
        </w:rPr>
        <w:t>A work of manual lifting of one task is defined as the work of manual lifting in which the task variables do not vary from one task to another or one task is of interest. Moreover, the work of multitasking manual lifting are defined as jobs in which there are significant differences in the variables of tasks between tasks.</w:t>
      </w:r>
      <w:r>
        <w:rPr>
          <w:color w:val="212121"/>
          <w:spacing w:val="-4"/>
        </w:rPr>
        <w:t> </w:t>
      </w:r>
      <w:r>
        <w:rPr/>
        <w:t>[1]</w:t>
      </w:r>
    </w:p>
    <w:p>
      <w:pPr>
        <w:pStyle w:val="BodyText"/>
        <w:ind w:left="270" w:right="676"/>
        <w:jc w:val="both"/>
      </w:pPr>
      <w:r>
        <w:rPr>
          <w:color w:val="212121"/>
        </w:rPr>
        <w:t>The ergonomic study was conducted in the area  of drummed</w:t>
      </w:r>
      <w:r>
        <w:rPr/>
        <w:t>. </w:t>
      </w:r>
      <w:r>
        <w:rPr>
          <w:color w:val="212121"/>
        </w:rPr>
        <w:t>During the part is poured into raffles</w:t>
      </w:r>
      <w:r>
        <w:rPr/>
        <w:t>, workers </w:t>
      </w:r>
      <w:r>
        <w:rPr>
          <w:color w:val="212121"/>
        </w:rPr>
        <w:t>perform various activities with physical demands load  varies</w:t>
      </w:r>
      <w:r>
        <w:rPr/>
        <w:t>. </w:t>
      </w:r>
      <w:r>
        <w:rPr>
          <w:color w:val="212121"/>
        </w:rPr>
        <w:t>Performing a detailed analysis of the risks associated with physical load ergonomic study was raised. In addition, major risk factors in each of the activities necessary changes to improve ergonomics offered were determined. </w:t>
      </w:r>
      <w:r>
        <w:rPr/>
        <w:t>[2] </w:t>
      </w:r>
      <w:r>
        <w:rPr>
          <w:color w:val="212121"/>
        </w:rPr>
        <w:t>Applying ergonomic principles and methodologies in the workplace to analyze the tasks</w:t>
      </w:r>
      <w:r>
        <w:rPr/>
        <w:t>, equipment and </w:t>
      </w:r>
      <w:r>
        <w:rPr>
          <w:color w:val="212121"/>
        </w:rPr>
        <w:t>production methods in order to avoid accidents</w:t>
      </w:r>
      <w:r>
        <w:rPr/>
        <w:t>, reduce </w:t>
      </w:r>
      <w:r>
        <w:rPr>
          <w:color w:val="212121"/>
        </w:rPr>
        <w:t>mental and physical fatigue</w:t>
      </w:r>
      <w:r>
        <w:rPr/>
        <w:t>, and </w:t>
      </w:r>
      <w:r>
        <w:rPr>
          <w:color w:val="212121"/>
        </w:rPr>
        <w:t>increase the level of employee satisfaction</w:t>
      </w:r>
      <w:r>
        <w:rPr/>
        <w:t>.</w:t>
      </w:r>
    </w:p>
    <w:p>
      <w:pPr>
        <w:pStyle w:val="BodyText"/>
        <w:spacing w:before="3"/>
      </w:pPr>
    </w:p>
    <w:p>
      <w:pPr>
        <w:pStyle w:val="Heading4"/>
      </w:pPr>
      <w:r>
        <w:rPr/>
        <w:t>1.2  Justification</w:t>
      </w:r>
    </w:p>
    <w:p>
      <w:pPr>
        <w:pStyle w:val="BodyText"/>
        <w:spacing w:before="8"/>
        <w:rPr>
          <w:b/>
          <w:sz w:val="19"/>
        </w:rPr>
      </w:pPr>
    </w:p>
    <w:p>
      <w:pPr>
        <w:pStyle w:val="BodyText"/>
        <w:ind w:left="270" w:right="675"/>
        <w:jc w:val="both"/>
      </w:pPr>
      <w:r>
        <w:rPr/>
        <w:t>The workers were suffering physical ailments</w:t>
      </w:r>
      <w:r>
        <w:rPr>
          <w:color w:val="212121"/>
        </w:rPr>
        <w:t>, </w:t>
      </w:r>
      <w:r>
        <w:rPr/>
        <w:t>specifically</w:t>
      </w:r>
      <w:r>
        <w:rPr>
          <w:color w:val="212121"/>
        </w:rPr>
        <w:t>, discomfort </w:t>
      </w:r>
      <w:r>
        <w:rPr/>
        <w:t>in the arms</w:t>
      </w:r>
      <w:r>
        <w:rPr>
          <w:color w:val="212121"/>
        </w:rPr>
        <w:t>, neck and back </w:t>
      </w:r>
      <w:r>
        <w:rPr/>
        <w:t>after a working day  of 8 hours from Monday to Saturday</w:t>
      </w:r>
      <w:r>
        <w:rPr>
          <w:color w:val="212121"/>
        </w:rPr>
        <w:t>, arguing that  </w:t>
      </w:r>
      <w:r>
        <w:rPr/>
        <w:t>their aches and discomforts were caused by repetitive manual lifting  of  parts.  Based  on  the  above,  we  proceeded    </w:t>
      </w:r>
      <w:r>
        <w:rPr>
          <w:spacing w:val="24"/>
        </w:rPr>
        <w:t> </w:t>
      </w:r>
      <w:r>
        <w:rPr/>
        <w:t>to</w:t>
      </w:r>
    </w:p>
    <w:p>
      <w:pPr>
        <w:spacing w:after="0"/>
        <w:jc w:val="both"/>
        <w:sectPr>
          <w:type w:val="continuous"/>
          <w:pgSz w:w="12240" w:h="15840"/>
          <w:pgMar w:top="1500" w:bottom="280" w:left="580" w:right="220"/>
          <w:cols w:num="2" w:equalWidth="0">
            <w:col w:w="5192" w:space="432"/>
            <w:col w:w="5816"/>
          </w:cols>
        </w:sectPr>
      </w:pPr>
    </w:p>
    <w:p>
      <w:pPr>
        <w:pStyle w:val="BodyText"/>
        <w:spacing w:before="9"/>
        <w:rPr>
          <w:sz w:val="17"/>
        </w:rPr>
      </w:pPr>
    </w:p>
    <w:p>
      <w:pPr>
        <w:pStyle w:val="BodyText"/>
        <w:ind w:left="270"/>
        <w:jc w:val="both"/>
        <w:rPr>
          <w:sz w:val="18"/>
        </w:rPr>
      </w:pPr>
      <w:r>
        <w:rPr/>
        <w:t>conduct this study to identify whether there was a risk of Cumulative Trauma Disorders acquire</w:t>
      </w:r>
      <w:r>
        <w:rPr>
          <w:color w:val="212121"/>
        </w:rPr>
        <w:t>, hereinafter referred  to </w:t>
      </w:r>
      <w:r>
        <w:rPr/>
        <w:t>as DTA</w:t>
      </w:r>
      <w:r>
        <w:rPr>
          <w:color w:val="212121"/>
        </w:rPr>
        <w:t>'s </w:t>
      </w:r>
      <w:r>
        <w:rPr/>
        <w:t>in the performance of their work. [3]. </w:t>
      </w:r>
      <w:r>
        <w:rPr>
          <w:sz w:val="18"/>
        </w:rPr>
        <w:t>Figure 1, Figure 2 and Figure</w:t>
      </w:r>
      <w:r>
        <w:rPr>
          <w:spacing w:val="-3"/>
          <w:sz w:val="18"/>
        </w:rPr>
        <w:t> </w:t>
      </w:r>
      <w:r>
        <w:rPr>
          <w:sz w:val="18"/>
        </w:rPr>
        <w:t>3.</w:t>
      </w:r>
    </w:p>
    <w:p>
      <w:pPr>
        <w:pStyle w:val="BodyText"/>
        <w:spacing w:before="10"/>
        <w:rPr>
          <w:sz w:val="16"/>
        </w:rPr>
      </w:pPr>
      <w:r>
        <w:rPr/>
        <w:drawing>
          <wp:anchor distT="0" distB="0" distL="0" distR="0" allowOverlap="1" layoutInCell="1" locked="0" behindDoc="0" simplePos="0" relativeHeight="12112">
            <wp:simplePos x="0" y="0"/>
            <wp:positionH relativeFrom="page">
              <wp:posOffset>540258</wp:posOffset>
            </wp:positionH>
            <wp:positionV relativeFrom="paragraph">
              <wp:posOffset>148245</wp:posOffset>
            </wp:positionV>
            <wp:extent cx="3088566" cy="2021967"/>
            <wp:effectExtent l="0" t="0" r="0" b="0"/>
            <wp:wrapTopAndBottom/>
            <wp:docPr id="443" name="image270.jpeg" descr=""/>
            <wp:cNvGraphicFramePr>
              <a:graphicFrameLocks noChangeAspect="1"/>
            </wp:cNvGraphicFramePr>
            <a:graphic>
              <a:graphicData uri="http://schemas.openxmlformats.org/drawingml/2006/picture">
                <pic:pic>
                  <pic:nvPicPr>
                    <pic:cNvPr id="444" name="image270.jpeg"/>
                    <pic:cNvPicPr/>
                  </pic:nvPicPr>
                  <pic:blipFill>
                    <a:blip r:embed="rId459" cstate="print"/>
                    <a:stretch>
                      <a:fillRect/>
                    </a:stretch>
                  </pic:blipFill>
                  <pic:spPr>
                    <a:xfrm>
                      <a:off x="0" y="0"/>
                      <a:ext cx="3088566" cy="2021967"/>
                    </a:xfrm>
                    <a:prstGeom prst="rect">
                      <a:avLst/>
                    </a:prstGeom>
                  </pic:spPr>
                </pic:pic>
              </a:graphicData>
            </a:graphic>
          </wp:anchor>
        </w:drawing>
      </w:r>
    </w:p>
    <w:p>
      <w:pPr>
        <w:pStyle w:val="BodyText"/>
        <w:spacing w:before="1"/>
        <w:rPr>
          <w:sz w:val="17"/>
        </w:rPr>
      </w:pPr>
    </w:p>
    <w:p>
      <w:pPr>
        <w:spacing w:before="0"/>
        <w:ind w:left="1381" w:right="1111" w:firstLine="0"/>
        <w:jc w:val="center"/>
        <w:rPr>
          <w:sz w:val="18"/>
        </w:rPr>
      </w:pPr>
      <w:r>
        <w:rPr>
          <w:sz w:val="18"/>
        </w:rPr>
        <w:t>Figure 1 Postural conditions.</w:t>
      </w:r>
    </w:p>
    <w:p>
      <w:pPr>
        <w:pStyle w:val="BodyText"/>
        <w:spacing w:before="2"/>
        <w:ind w:left="270"/>
        <w:jc w:val="both"/>
      </w:pPr>
      <w:r>
        <w:rPr>
          <w:color w:val="212121"/>
        </w:rPr>
        <w:t>. </w:t>
      </w:r>
      <w:r>
        <w:rPr>
          <w:color w:val="212121"/>
          <w:spacing w:val="-1"/>
        </w:rPr>
        <w:drawing>
          <wp:inline distT="0" distB="0" distL="0" distR="0">
            <wp:extent cx="2978658" cy="2170176"/>
            <wp:effectExtent l="0" t="0" r="0" b="0"/>
            <wp:docPr id="445" name="image271.jpeg" descr=""/>
            <wp:cNvGraphicFramePr>
              <a:graphicFrameLocks noChangeAspect="1"/>
            </wp:cNvGraphicFramePr>
            <a:graphic>
              <a:graphicData uri="http://schemas.openxmlformats.org/drawingml/2006/picture">
                <pic:pic>
                  <pic:nvPicPr>
                    <pic:cNvPr id="446" name="image271.jpeg"/>
                    <pic:cNvPicPr/>
                  </pic:nvPicPr>
                  <pic:blipFill>
                    <a:blip r:embed="rId460" cstate="print"/>
                    <a:stretch>
                      <a:fillRect/>
                    </a:stretch>
                  </pic:blipFill>
                  <pic:spPr>
                    <a:xfrm>
                      <a:off x="0" y="0"/>
                      <a:ext cx="2978658" cy="2170176"/>
                    </a:xfrm>
                    <a:prstGeom prst="rect">
                      <a:avLst/>
                    </a:prstGeom>
                  </pic:spPr>
                </pic:pic>
              </a:graphicData>
            </a:graphic>
          </wp:inline>
        </w:drawing>
      </w:r>
      <w:r>
        <w:rPr>
          <w:color w:val="212121"/>
          <w:spacing w:val="-1"/>
        </w:rPr>
      </w:r>
    </w:p>
    <w:p>
      <w:pPr>
        <w:spacing w:before="663"/>
        <w:ind w:left="1381" w:right="1112" w:firstLine="0"/>
        <w:jc w:val="center"/>
        <w:rPr>
          <w:sz w:val="18"/>
        </w:rPr>
      </w:pPr>
      <w:r>
        <w:rPr>
          <w:sz w:val="18"/>
        </w:rPr>
        <w:t>Figure 2 Tilt and strength.</w:t>
      </w:r>
    </w:p>
    <w:p>
      <w:pPr>
        <w:pStyle w:val="BodyText"/>
        <w:spacing w:before="8" w:after="39"/>
        <w:rPr>
          <w:sz w:val="14"/>
        </w:rPr>
      </w:pPr>
      <w:r>
        <w:rPr/>
        <w:br w:type="column"/>
      </w:r>
      <w:r>
        <w:rPr>
          <w:sz w:val="14"/>
        </w:rPr>
      </w:r>
    </w:p>
    <w:p>
      <w:pPr>
        <w:pStyle w:val="BodyText"/>
        <w:ind w:left="270"/>
      </w:pPr>
      <w:r>
        <w:rPr/>
        <w:drawing>
          <wp:inline distT="0" distB="0" distL="0" distR="0">
            <wp:extent cx="3016348" cy="2370581"/>
            <wp:effectExtent l="0" t="0" r="0" b="0"/>
            <wp:docPr id="447" name="image272.jpeg" descr=""/>
            <wp:cNvGraphicFramePr>
              <a:graphicFrameLocks noChangeAspect="1"/>
            </wp:cNvGraphicFramePr>
            <a:graphic>
              <a:graphicData uri="http://schemas.openxmlformats.org/drawingml/2006/picture">
                <pic:pic>
                  <pic:nvPicPr>
                    <pic:cNvPr id="448" name="image272.jpeg"/>
                    <pic:cNvPicPr/>
                  </pic:nvPicPr>
                  <pic:blipFill>
                    <a:blip r:embed="rId461" cstate="print"/>
                    <a:stretch>
                      <a:fillRect/>
                    </a:stretch>
                  </pic:blipFill>
                  <pic:spPr>
                    <a:xfrm>
                      <a:off x="0" y="0"/>
                      <a:ext cx="3016348" cy="2370581"/>
                    </a:xfrm>
                    <a:prstGeom prst="rect">
                      <a:avLst/>
                    </a:prstGeom>
                  </pic:spPr>
                </pic:pic>
              </a:graphicData>
            </a:graphic>
          </wp:inline>
        </w:drawing>
      </w:r>
      <w:r>
        <w:rPr/>
      </w:r>
    </w:p>
    <w:p>
      <w:pPr>
        <w:spacing w:before="23"/>
        <w:ind w:left="1733" w:right="852" w:firstLine="0"/>
        <w:jc w:val="left"/>
        <w:rPr>
          <w:sz w:val="18"/>
        </w:rPr>
      </w:pPr>
      <w:r>
        <w:rPr>
          <w:sz w:val="18"/>
        </w:rPr>
        <w:t>Figure 3 Physical exertion.</w:t>
      </w:r>
    </w:p>
    <w:p>
      <w:pPr>
        <w:pStyle w:val="BodyText"/>
        <w:rPr>
          <w:sz w:val="18"/>
        </w:rPr>
      </w:pPr>
    </w:p>
    <w:p>
      <w:pPr>
        <w:pStyle w:val="BodyText"/>
        <w:spacing w:before="4"/>
        <w:rPr>
          <w:sz w:val="18"/>
        </w:rPr>
      </w:pPr>
    </w:p>
    <w:p>
      <w:pPr>
        <w:pStyle w:val="Heading4"/>
        <w:ind w:right="852"/>
        <w:jc w:val="left"/>
      </w:pPr>
      <w:r>
        <w:rPr/>
        <w:t>1.2 Objetive.</w:t>
      </w:r>
    </w:p>
    <w:p>
      <w:pPr>
        <w:pStyle w:val="BodyText"/>
        <w:spacing w:before="11"/>
        <w:rPr>
          <w:b/>
          <w:sz w:val="19"/>
        </w:rPr>
      </w:pPr>
    </w:p>
    <w:p>
      <w:pPr>
        <w:pStyle w:val="ListParagraph"/>
        <w:numPr>
          <w:ilvl w:val="0"/>
          <w:numId w:val="103"/>
        </w:numPr>
        <w:tabs>
          <w:tab w:pos="696" w:val="left" w:leader="none"/>
          <w:tab w:pos="697" w:val="left" w:leader="none"/>
          <w:tab w:pos="1551" w:val="left" w:leader="none"/>
          <w:tab w:pos="2416" w:val="left" w:leader="none"/>
          <w:tab w:pos="3790" w:val="left" w:leader="none"/>
          <w:tab w:pos="4845" w:val="left" w:leader="none"/>
        </w:tabs>
        <w:spacing w:line="230" w:lineRule="exact" w:before="0" w:after="0"/>
        <w:ind w:left="696" w:right="678" w:hanging="360"/>
        <w:jc w:val="left"/>
        <w:rPr>
          <w:sz w:val="20"/>
        </w:rPr>
      </w:pPr>
      <w:r>
        <w:rPr>
          <w:sz w:val="20"/>
        </w:rPr>
        <w:t>Identify</w:t>
        <w:tab/>
        <w:t>whether</w:t>
        <w:tab/>
        <w:t>environmental</w:t>
        <w:tab/>
        <w:t>conditions</w:t>
        <w:tab/>
        <w:t>and procedure</w:t>
      </w:r>
      <w:r>
        <w:rPr>
          <w:color w:val="212121"/>
          <w:sz w:val="20"/>
        </w:rPr>
        <w:t>, </w:t>
      </w:r>
      <w:r>
        <w:rPr>
          <w:sz w:val="20"/>
        </w:rPr>
        <w:t>favor the presence</w:t>
      </w:r>
      <w:r>
        <w:rPr>
          <w:spacing w:val="-16"/>
          <w:sz w:val="20"/>
        </w:rPr>
        <w:t> </w:t>
      </w:r>
      <w:r>
        <w:rPr>
          <w:sz w:val="20"/>
        </w:rPr>
        <w:t>diseases.</w:t>
      </w:r>
    </w:p>
    <w:p>
      <w:pPr>
        <w:pStyle w:val="ListParagraph"/>
        <w:numPr>
          <w:ilvl w:val="0"/>
          <w:numId w:val="103"/>
        </w:numPr>
        <w:tabs>
          <w:tab w:pos="696" w:val="left" w:leader="none"/>
          <w:tab w:pos="697" w:val="left" w:leader="none"/>
        </w:tabs>
        <w:spacing w:line="230" w:lineRule="exact" w:before="0" w:after="0"/>
        <w:ind w:left="696" w:right="679" w:hanging="360"/>
        <w:jc w:val="left"/>
        <w:rPr>
          <w:sz w:val="20"/>
        </w:rPr>
      </w:pPr>
      <w:r>
        <w:rPr>
          <w:sz w:val="20"/>
        </w:rPr>
        <w:t>To study the behavior of risk factors associated with the</w:t>
      </w:r>
      <w:r>
        <w:rPr>
          <w:spacing w:val="-6"/>
          <w:sz w:val="20"/>
        </w:rPr>
        <w:t> </w:t>
      </w:r>
      <w:r>
        <w:rPr>
          <w:sz w:val="20"/>
        </w:rPr>
        <w:t>positions.</w:t>
      </w:r>
    </w:p>
    <w:p>
      <w:pPr>
        <w:pStyle w:val="BodyText"/>
        <w:spacing w:before="10"/>
        <w:rPr>
          <w:sz w:val="19"/>
        </w:rPr>
      </w:pPr>
    </w:p>
    <w:p>
      <w:pPr>
        <w:pStyle w:val="Heading4"/>
        <w:numPr>
          <w:ilvl w:val="0"/>
          <w:numId w:val="102"/>
        </w:numPr>
        <w:tabs>
          <w:tab w:pos="471" w:val="left" w:leader="none"/>
        </w:tabs>
        <w:spacing w:line="240" w:lineRule="auto" w:before="1" w:after="0"/>
        <w:ind w:left="470" w:right="0" w:hanging="200"/>
        <w:jc w:val="left"/>
      </w:pPr>
      <w:r>
        <w:rPr/>
        <w:t>METHODOLOGY.</w:t>
      </w:r>
    </w:p>
    <w:p>
      <w:pPr>
        <w:pStyle w:val="BodyText"/>
        <w:spacing w:before="8"/>
        <w:rPr>
          <w:b/>
          <w:sz w:val="19"/>
        </w:rPr>
      </w:pPr>
    </w:p>
    <w:p>
      <w:pPr>
        <w:pStyle w:val="BodyText"/>
        <w:ind w:left="412" w:right="698"/>
      </w:pPr>
      <w:r>
        <w:rPr>
          <w:color w:val="212121"/>
        </w:rPr>
        <w:t>To obtain information on working conditions A field</w:t>
      </w:r>
      <w:r>
        <w:rPr>
          <w:color w:val="212121"/>
          <w:spacing w:val="-26"/>
        </w:rPr>
        <w:t> </w:t>
      </w:r>
      <w:r>
        <w:rPr>
          <w:color w:val="212121"/>
        </w:rPr>
        <w:t>study was conducted. Through video recording of the activity for a characteristic time and a specific sample of workers. </w:t>
      </w:r>
      <w:r>
        <w:rPr/>
        <w:t>[3]. </w:t>
      </w:r>
      <w:r>
        <w:rPr>
          <w:color w:val="212121"/>
        </w:rPr>
        <w:t>The investigation gained in this first phase served as a starting point to have a clear idea of the jobs that are intended to improve from an ergonomic point of</w:t>
      </w:r>
      <w:r>
        <w:rPr>
          <w:color w:val="212121"/>
          <w:spacing w:val="-20"/>
        </w:rPr>
        <w:t> </w:t>
      </w:r>
      <w:r>
        <w:rPr>
          <w:color w:val="212121"/>
        </w:rPr>
        <w:t>view.</w:t>
      </w:r>
    </w:p>
    <w:p>
      <w:pPr>
        <w:pStyle w:val="BodyText"/>
        <w:spacing w:before="11"/>
        <w:rPr>
          <w:sz w:val="19"/>
        </w:rPr>
      </w:pPr>
    </w:p>
    <w:p>
      <w:pPr>
        <w:pStyle w:val="BodyText"/>
        <w:ind w:left="412" w:right="973"/>
      </w:pPr>
      <w:r>
        <w:rPr>
          <w:color w:val="212121"/>
        </w:rPr>
        <w:t>In addition, data on work teams were taken for further evaluation after considering the current organization of workers.</w:t>
      </w:r>
    </w:p>
    <w:p>
      <w:pPr>
        <w:pStyle w:val="BodyText"/>
      </w:pPr>
    </w:p>
    <w:p>
      <w:pPr>
        <w:pStyle w:val="BodyText"/>
        <w:spacing w:line="230" w:lineRule="exact" w:before="1"/>
        <w:ind w:left="412" w:right="852"/>
      </w:pPr>
      <w:r>
        <w:rPr>
          <w:color w:val="212121"/>
        </w:rPr>
        <w:t>2.1 </w:t>
      </w:r>
      <w:r>
        <w:rPr>
          <w:u w:val="single"/>
        </w:rPr>
        <w:t>Delimitation</w:t>
      </w:r>
    </w:p>
    <w:p>
      <w:pPr>
        <w:pStyle w:val="BodyText"/>
        <w:ind w:left="412" w:right="746"/>
      </w:pPr>
      <w:r>
        <w:rPr>
          <w:color w:val="212121"/>
        </w:rPr>
        <w:t>Research is Transversal type so that the results are based on an analysis and evaluation of the current state of the area, and basic application, drummed process and analyze risk factors that exist within the area of punching and develops a proposal gets better.</w:t>
      </w:r>
    </w:p>
    <w:p>
      <w:pPr>
        <w:pStyle w:val="BodyText"/>
      </w:pPr>
    </w:p>
    <w:p>
      <w:pPr>
        <w:pStyle w:val="BodyText"/>
      </w:pPr>
    </w:p>
    <w:p>
      <w:pPr>
        <w:pStyle w:val="BodyText"/>
        <w:ind w:left="412" w:right="852"/>
      </w:pPr>
      <w:r>
        <w:rPr>
          <w:color w:val="212121"/>
        </w:rPr>
        <w:t>2.2</w:t>
      </w:r>
      <w:r>
        <w:rPr>
          <w:u w:val="single"/>
        </w:rPr>
        <w:t>.Evaluation</w:t>
      </w:r>
    </w:p>
    <w:p>
      <w:pPr>
        <w:spacing w:after="0"/>
        <w:sectPr>
          <w:pgSz w:w="12240" w:h="15840"/>
          <w:pgMar w:header="545" w:footer="852" w:top="1060" w:bottom="1040" w:left="580" w:right="220"/>
          <w:cols w:num="2" w:equalWidth="0">
            <w:col w:w="5188" w:space="437"/>
            <w:col w:w="5815"/>
          </w:cols>
        </w:sectPr>
      </w:pPr>
    </w:p>
    <w:p>
      <w:pPr>
        <w:pStyle w:val="BodyText"/>
        <w:spacing w:before="5"/>
        <w:rPr>
          <w:sz w:val="13"/>
        </w:rPr>
      </w:pPr>
    </w:p>
    <w:p>
      <w:pPr>
        <w:pStyle w:val="BodyText"/>
        <w:spacing w:before="75"/>
        <w:ind w:left="6036" w:right="675"/>
        <w:jc w:val="both"/>
      </w:pPr>
      <w:r>
        <w:rPr>
          <w:color w:val="212121"/>
        </w:rPr>
        <w:t>With the extracted information and using ergonomic evaluation methodologies, they were valued and defined the main related tasks and jobs being studied risk factors. </w:t>
      </w:r>
      <w:r>
        <w:rPr/>
        <w:t>[4].</w:t>
      </w:r>
    </w:p>
    <w:p>
      <w:pPr>
        <w:pStyle w:val="BodyText"/>
        <w:spacing w:before="11"/>
        <w:rPr>
          <w:sz w:val="19"/>
        </w:rPr>
      </w:pPr>
    </w:p>
    <w:p>
      <w:pPr>
        <w:pStyle w:val="BodyText"/>
        <w:ind w:left="6036" w:right="677"/>
        <w:jc w:val="both"/>
      </w:pPr>
      <w:r>
        <w:rPr>
          <w:color w:val="212121"/>
        </w:rPr>
        <w:t>Due to the uniqueness and complexity of some of the posts under consideration, in many cases it was necessary to conduct a preliminary analysis of the data and   references</w:t>
      </w:r>
    </w:p>
    <w:p>
      <w:pPr>
        <w:spacing w:after="0"/>
        <w:jc w:val="both"/>
        <w:sectPr>
          <w:type w:val="continuous"/>
          <w:pgSz w:w="12240" w:h="15840"/>
          <w:pgMar w:top="1500" w:bottom="280" w:left="580" w:right="220"/>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4"/>
        <w:ind w:left="412"/>
        <w:jc w:val="both"/>
      </w:pPr>
      <w:r>
        <w:rPr>
          <w:color w:val="212121"/>
        </w:rPr>
        <w:t>managed to later use the methods most appropriate in each case under analysis assessment.</w:t>
      </w:r>
    </w:p>
    <w:p>
      <w:pPr>
        <w:pStyle w:val="BodyText"/>
        <w:spacing w:before="3"/>
      </w:pPr>
    </w:p>
    <w:p>
      <w:pPr>
        <w:pStyle w:val="Heading4"/>
        <w:numPr>
          <w:ilvl w:val="0"/>
          <w:numId w:val="102"/>
        </w:numPr>
        <w:tabs>
          <w:tab w:pos="472" w:val="left" w:leader="none"/>
        </w:tabs>
        <w:spacing w:line="240" w:lineRule="auto" w:before="0" w:after="0"/>
        <w:ind w:left="471" w:right="0" w:hanging="201"/>
        <w:jc w:val="left"/>
      </w:pPr>
      <w:r>
        <w:rPr/>
        <w:t>METHODS</w:t>
      </w:r>
    </w:p>
    <w:p>
      <w:pPr>
        <w:pStyle w:val="BodyText"/>
        <w:rPr>
          <w:b/>
        </w:rPr>
      </w:pPr>
    </w:p>
    <w:p>
      <w:pPr>
        <w:pStyle w:val="BodyText"/>
        <w:spacing w:before="9"/>
        <w:rPr>
          <w:b/>
          <w:sz w:val="19"/>
        </w:rPr>
      </w:pPr>
    </w:p>
    <w:p>
      <w:pPr>
        <w:pStyle w:val="BodyText"/>
        <w:ind w:left="412"/>
        <w:jc w:val="both"/>
      </w:pPr>
      <w:r>
        <w:rPr>
          <w:color w:val="212121"/>
        </w:rPr>
        <w:t>RULA (McAtamney and Corlett, 1993), assesses the risk associated with inappropriate postures and / or prolonged work in time to repetitive movements and excessive force. </w:t>
      </w:r>
      <w:r>
        <w:rPr/>
        <w:t>[5].</w:t>
      </w:r>
    </w:p>
    <w:p>
      <w:pPr>
        <w:pStyle w:val="BodyText"/>
        <w:spacing w:before="11"/>
        <w:rPr>
          <w:sz w:val="19"/>
        </w:rPr>
      </w:pPr>
    </w:p>
    <w:p>
      <w:pPr>
        <w:pStyle w:val="BodyText"/>
        <w:ind w:left="412" w:hanging="1"/>
        <w:jc w:val="both"/>
      </w:pPr>
      <w:r>
        <w:rPr/>
        <w:t>NIOSH</w:t>
      </w:r>
      <w:r>
        <w:rPr>
          <w:color w:val="212121"/>
        </w:rPr>
        <w:t>'s mission </w:t>
      </w:r>
      <w:r>
        <w:rPr/>
        <w:t>is to generate new knowledge in the field of occupational health and safety and adapt that knowledge into practice to improve the situation of workers. To fulfill this mission</w:t>
      </w:r>
      <w:r>
        <w:rPr>
          <w:color w:val="212121"/>
        </w:rPr>
        <w:t>, NIOSH </w:t>
      </w:r>
      <w:r>
        <w:rPr/>
        <w:t>conducts scientific research and recommendations mandatory</w:t>
      </w:r>
      <w:r>
        <w:rPr>
          <w:color w:val="212121"/>
        </w:rPr>
        <w:t>, </w:t>
      </w:r>
      <w:r>
        <w:rPr/>
        <w:t>disseminates  information and responds to requests for conducting health risk assessment in the workplace.</w:t>
      </w:r>
    </w:p>
    <w:p>
      <w:pPr>
        <w:pStyle w:val="BodyText"/>
        <w:ind w:left="412"/>
        <w:jc w:val="both"/>
        <w:rPr>
          <w:sz w:val="18"/>
        </w:rPr>
      </w:pPr>
      <w:r>
        <w:rPr>
          <w:color w:val="212121"/>
        </w:rPr>
        <w:t>The NIOSH equation evaluates tasks that load surveys are conducted, offering as a result the maximum recommended weight (RWL: Recommended Weight Limit) it is possible to lift in place conditions to prevent the onset of back pain and back problems. </w:t>
      </w:r>
      <w:r>
        <w:rPr>
          <w:sz w:val="18"/>
        </w:rPr>
        <w:t>Figure 4.</w:t>
      </w:r>
    </w:p>
    <w:p>
      <w:pPr>
        <w:pStyle w:val="BodyText"/>
      </w:pPr>
    </w:p>
    <w:p>
      <w:pPr>
        <w:pStyle w:val="BodyText"/>
        <w:spacing w:before="10"/>
        <w:rPr>
          <w:sz w:val="16"/>
        </w:rPr>
      </w:pPr>
      <w:r>
        <w:rPr/>
        <w:drawing>
          <wp:anchor distT="0" distB="0" distL="0" distR="0" allowOverlap="1" layoutInCell="1" locked="0" behindDoc="0" simplePos="0" relativeHeight="12136">
            <wp:simplePos x="0" y="0"/>
            <wp:positionH relativeFrom="page">
              <wp:posOffset>557783</wp:posOffset>
            </wp:positionH>
            <wp:positionV relativeFrom="paragraph">
              <wp:posOffset>148073</wp:posOffset>
            </wp:positionV>
            <wp:extent cx="3098519" cy="2437828"/>
            <wp:effectExtent l="0" t="0" r="0" b="0"/>
            <wp:wrapTopAndBottom/>
            <wp:docPr id="449" name="image273.jpeg" descr=""/>
            <wp:cNvGraphicFramePr>
              <a:graphicFrameLocks noChangeAspect="1"/>
            </wp:cNvGraphicFramePr>
            <a:graphic>
              <a:graphicData uri="http://schemas.openxmlformats.org/drawingml/2006/picture">
                <pic:pic>
                  <pic:nvPicPr>
                    <pic:cNvPr id="450" name="image273.jpeg"/>
                    <pic:cNvPicPr/>
                  </pic:nvPicPr>
                  <pic:blipFill>
                    <a:blip r:embed="rId462" cstate="print"/>
                    <a:stretch>
                      <a:fillRect/>
                    </a:stretch>
                  </pic:blipFill>
                  <pic:spPr>
                    <a:xfrm>
                      <a:off x="0" y="0"/>
                      <a:ext cx="3098519" cy="2437828"/>
                    </a:xfrm>
                    <a:prstGeom prst="rect">
                      <a:avLst/>
                    </a:prstGeom>
                  </pic:spPr>
                </pic:pic>
              </a:graphicData>
            </a:graphic>
          </wp:anchor>
        </w:drawing>
      </w:r>
    </w:p>
    <w:p>
      <w:pPr>
        <w:spacing w:before="160"/>
        <w:ind w:left="1973" w:right="0" w:firstLine="0"/>
        <w:jc w:val="left"/>
        <w:rPr>
          <w:sz w:val="18"/>
        </w:rPr>
      </w:pPr>
      <w:r>
        <w:rPr>
          <w:sz w:val="18"/>
        </w:rPr>
        <w:t>Figure 4 Risk points.</w:t>
      </w:r>
    </w:p>
    <w:p>
      <w:pPr>
        <w:pStyle w:val="BodyText"/>
        <w:spacing w:before="1"/>
        <w:rPr>
          <w:sz w:val="18"/>
        </w:rPr>
      </w:pPr>
    </w:p>
    <w:p>
      <w:pPr>
        <w:pStyle w:val="BodyText"/>
        <w:ind w:left="412"/>
        <w:jc w:val="both"/>
      </w:pPr>
      <w:r>
        <w:rPr>
          <w:color w:val="212121"/>
        </w:rPr>
        <w:t>Software for NIOSH evaluation to assess the handling of loads at work and identify risks appear low back pain associated with physical load and recommend a  weight limit for the person and thus can perform the task without the risk of injury the package is asking questions about the object data being evaluated, which are:</w:t>
      </w:r>
    </w:p>
    <w:p>
      <w:pPr>
        <w:pStyle w:val="BodyText"/>
        <w:spacing w:before="11"/>
        <w:rPr>
          <w:sz w:val="19"/>
        </w:rPr>
      </w:pPr>
    </w:p>
    <w:p>
      <w:pPr>
        <w:pStyle w:val="ListParagraph"/>
        <w:numPr>
          <w:ilvl w:val="1"/>
          <w:numId w:val="102"/>
        </w:numPr>
        <w:tabs>
          <w:tab w:pos="613" w:val="left" w:leader="none"/>
        </w:tabs>
        <w:spacing w:line="240" w:lineRule="auto" w:before="0" w:after="0"/>
        <w:ind w:left="612" w:right="0" w:hanging="200"/>
        <w:jc w:val="both"/>
        <w:rPr>
          <w:sz w:val="20"/>
        </w:rPr>
      </w:pPr>
      <w:r>
        <w:rPr>
          <w:color w:val="212121"/>
          <w:sz w:val="20"/>
        </w:rPr>
        <w:t>Weight of the object (Average and</w:t>
      </w:r>
      <w:r>
        <w:rPr>
          <w:color w:val="212121"/>
          <w:spacing w:val="-20"/>
          <w:sz w:val="20"/>
        </w:rPr>
        <w:t> </w:t>
      </w:r>
      <w:r>
        <w:rPr>
          <w:color w:val="212121"/>
          <w:sz w:val="20"/>
        </w:rPr>
        <w:t>Maximum).</w:t>
      </w:r>
    </w:p>
    <w:p>
      <w:pPr>
        <w:pStyle w:val="ListParagraph"/>
        <w:numPr>
          <w:ilvl w:val="1"/>
          <w:numId w:val="102"/>
        </w:numPr>
        <w:tabs>
          <w:tab w:pos="613" w:val="left" w:leader="none"/>
        </w:tabs>
        <w:spacing w:line="240" w:lineRule="auto" w:before="0" w:after="0"/>
        <w:ind w:left="612" w:right="0" w:hanging="200"/>
        <w:jc w:val="both"/>
        <w:rPr>
          <w:sz w:val="20"/>
        </w:rPr>
      </w:pPr>
      <w:r>
        <w:rPr>
          <w:color w:val="212121"/>
          <w:sz w:val="20"/>
        </w:rPr>
        <w:t>Data source dimensions horizontal and</w:t>
      </w:r>
      <w:r>
        <w:rPr>
          <w:color w:val="212121"/>
          <w:spacing w:val="-19"/>
          <w:sz w:val="20"/>
        </w:rPr>
        <w:t> </w:t>
      </w:r>
      <w:r>
        <w:rPr>
          <w:color w:val="212121"/>
          <w:sz w:val="20"/>
        </w:rPr>
        <w:t>vertical.</w:t>
      </w:r>
    </w:p>
    <w:p>
      <w:pPr>
        <w:pStyle w:val="ListParagraph"/>
        <w:numPr>
          <w:ilvl w:val="1"/>
          <w:numId w:val="102"/>
        </w:numPr>
        <w:tabs>
          <w:tab w:pos="613" w:val="left" w:leader="none"/>
        </w:tabs>
        <w:spacing w:line="240" w:lineRule="auto" w:before="0" w:after="0"/>
        <w:ind w:left="612" w:right="0" w:hanging="200"/>
        <w:jc w:val="both"/>
        <w:rPr>
          <w:sz w:val="20"/>
        </w:rPr>
      </w:pPr>
      <w:r>
        <w:rPr>
          <w:color w:val="212121"/>
          <w:sz w:val="20"/>
        </w:rPr>
        <w:t>Data on target dimensions horizontal and</w:t>
      </w:r>
      <w:r>
        <w:rPr>
          <w:color w:val="212121"/>
          <w:spacing w:val="-18"/>
          <w:sz w:val="20"/>
        </w:rPr>
        <w:t> </w:t>
      </w:r>
      <w:r>
        <w:rPr>
          <w:color w:val="212121"/>
          <w:sz w:val="20"/>
        </w:rPr>
        <w:t>vertical.</w:t>
      </w:r>
    </w:p>
    <w:p>
      <w:pPr>
        <w:pStyle w:val="BodyText"/>
        <w:spacing w:before="11"/>
        <w:rPr>
          <w:sz w:val="19"/>
        </w:rPr>
      </w:pPr>
    </w:p>
    <w:p>
      <w:pPr>
        <w:pStyle w:val="ListParagraph"/>
        <w:numPr>
          <w:ilvl w:val="1"/>
          <w:numId w:val="102"/>
        </w:numPr>
        <w:tabs>
          <w:tab w:pos="613" w:val="left" w:leader="none"/>
        </w:tabs>
        <w:spacing w:line="240" w:lineRule="auto" w:before="0" w:after="0"/>
        <w:ind w:left="612" w:right="0" w:hanging="200"/>
        <w:jc w:val="both"/>
        <w:rPr>
          <w:sz w:val="20"/>
        </w:rPr>
      </w:pPr>
      <w:r>
        <w:rPr>
          <w:color w:val="212121"/>
          <w:sz w:val="20"/>
        </w:rPr>
        <w:t>Data on the angle of origin and</w:t>
      </w:r>
      <w:r>
        <w:rPr>
          <w:color w:val="212121"/>
          <w:spacing w:val="-25"/>
          <w:sz w:val="20"/>
        </w:rPr>
        <w:t> </w:t>
      </w:r>
      <w:r>
        <w:rPr>
          <w:color w:val="212121"/>
          <w:sz w:val="20"/>
        </w:rPr>
        <w:t>destination.</w:t>
      </w:r>
    </w:p>
    <w:p>
      <w:pPr>
        <w:pStyle w:val="ListParagraph"/>
        <w:numPr>
          <w:ilvl w:val="1"/>
          <w:numId w:val="102"/>
        </w:numPr>
        <w:tabs>
          <w:tab w:pos="613" w:val="left" w:leader="none"/>
        </w:tabs>
        <w:spacing w:line="230" w:lineRule="exact" w:before="0" w:after="0"/>
        <w:ind w:left="612" w:right="0" w:hanging="200"/>
        <w:jc w:val="both"/>
        <w:rPr>
          <w:sz w:val="20"/>
        </w:rPr>
      </w:pPr>
      <w:r>
        <w:rPr>
          <w:color w:val="212121"/>
          <w:sz w:val="20"/>
        </w:rPr>
        <w:t>Frequency at which the task is</w:t>
      </w:r>
      <w:r>
        <w:rPr>
          <w:color w:val="212121"/>
          <w:spacing w:val="-16"/>
          <w:sz w:val="20"/>
        </w:rPr>
        <w:t> </w:t>
      </w:r>
      <w:r>
        <w:rPr>
          <w:color w:val="212121"/>
          <w:sz w:val="20"/>
        </w:rPr>
        <w:t>performed.</w:t>
      </w:r>
    </w:p>
    <w:p>
      <w:pPr>
        <w:pStyle w:val="ListParagraph"/>
        <w:numPr>
          <w:ilvl w:val="1"/>
          <w:numId w:val="102"/>
        </w:numPr>
        <w:tabs>
          <w:tab w:pos="613" w:val="left" w:leader="none"/>
        </w:tabs>
        <w:spacing w:line="230" w:lineRule="exact" w:before="0" w:after="0"/>
        <w:ind w:left="612" w:right="0" w:hanging="200"/>
        <w:jc w:val="both"/>
        <w:rPr>
          <w:sz w:val="20"/>
        </w:rPr>
      </w:pPr>
      <w:r>
        <w:rPr>
          <w:color w:val="212121"/>
          <w:sz w:val="20"/>
        </w:rPr>
        <w:t>Duration of the</w:t>
      </w:r>
      <w:r>
        <w:rPr>
          <w:color w:val="212121"/>
          <w:spacing w:val="-13"/>
          <w:sz w:val="20"/>
        </w:rPr>
        <w:t> </w:t>
      </w:r>
      <w:r>
        <w:rPr>
          <w:color w:val="212121"/>
          <w:sz w:val="20"/>
        </w:rPr>
        <w:t>task.</w:t>
      </w:r>
    </w:p>
    <w:p>
      <w:pPr>
        <w:pStyle w:val="ListParagraph"/>
        <w:numPr>
          <w:ilvl w:val="1"/>
          <w:numId w:val="102"/>
        </w:numPr>
        <w:tabs>
          <w:tab w:pos="613" w:val="left" w:leader="none"/>
        </w:tabs>
        <w:spacing w:line="240" w:lineRule="auto" w:before="74" w:after="0"/>
        <w:ind w:left="612" w:right="0" w:hanging="200"/>
        <w:jc w:val="both"/>
        <w:rPr>
          <w:sz w:val="20"/>
        </w:rPr>
      </w:pPr>
      <w:r>
        <w:rPr>
          <w:color w:val="212121"/>
          <w:spacing w:val="-1"/>
          <w:w w:val="100"/>
          <w:sz w:val="20"/>
        </w:rPr>
        <w:br w:type="column"/>
      </w:r>
      <w:r>
        <w:rPr>
          <w:color w:val="212121"/>
          <w:sz w:val="20"/>
        </w:rPr>
        <w:t>Grasp</w:t>
      </w:r>
      <w:r>
        <w:rPr>
          <w:color w:val="212121"/>
          <w:spacing w:val="-9"/>
          <w:sz w:val="20"/>
        </w:rPr>
        <w:t> </w:t>
      </w:r>
      <w:r>
        <w:rPr>
          <w:color w:val="212121"/>
          <w:sz w:val="20"/>
        </w:rPr>
        <w:t>Quality.</w:t>
      </w:r>
    </w:p>
    <w:p>
      <w:pPr>
        <w:pStyle w:val="BodyText"/>
        <w:spacing w:before="11"/>
        <w:rPr>
          <w:sz w:val="19"/>
        </w:rPr>
      </w:pPr>
    </w:p>
    <w:p>
      <w:pPr>
        <w:pStyle w:val="BodyText"/>
        <w:ind w:left="412" w:right="676"/>
        <w:jc w:val="both"/>
      </w:pPr>
      <w:r>
        <w:rPr>
          <w:color w:val="212121"/>
        </w:rPr>
        <w:t>Understanding Force Method Disks (FCD) is mechanical to estimate the compressive force exerted on the intervertebral discs, in order to assess the risk posed lifting load analysis.</w:t>
      </w:r>
    </w:p>
    <w:p>
      <w:pPr>
        <w:pStyle w:val="BodyText"/>
        <w:spacing w:before="11"/>
        <w:rPr>
          <w:sz w:val="19"/>
        </w:rPr>
      </w:pPr>
    </w:p>
    <w:p>
      <w:pPr>
        <w:pStyle w:val="BodyText"/>
        <w:ind w:left="412" w:right="677"/>
        <w:jc w:val="both"/>
      </w:pPr>
      <w:r>
        <w:rPr>
          <w:color w:val="212121"/>
        </w:rPr>
        <w:t>Software for ergonomic assessment Disk Compression Force (CDF) to estimate the compressive force exerted on the intervertebral discs, in order to assess the potential  risks of uprisings loads, this is asking questions about the details of the person and the object in question, which are </w:t>
      </w:r>
      <w:r>
        <w:rPr/>
        <w:t>[6]</w:t>
      </w:r>
      <w:r>
        <w:rPr>
          <w:color w:val="212121"/>
        </w:rPr>
        <w:t>:</w:t>
      </w:r>
    </w:p>
    <w:p>
      <w:pPr>
        <w:pStyle w:val="BodyText"/>
      </w:pPr>
    </w:p>
    <w:p>
      <w:pPr>
        <w:pStyle w:val="ListParagraph"/>
        <w:numPr>
          <w:ilvl w:val="0"/>
          <w:numId w:val="104"/>
        </w:numPr>
        <w:tabs>
          <w:tab w:pos="613" w:val="left" w:leader="none"/>
        </w:tabs>
        <w:spacing w:line="230" w:lineRule="exact" w:before="1" w:after="0"/>
        <w:ind w:left="612" w:right="0" w:hanging="200"/>
        <w:jc w:val="both"/>
        <w:rPr>
          <w:sz w:val="20"/>
        </w:rPr>
      </w:pPr>
      <w:r>
        <w:rPr>
          <w:color w:val="212121"/>
          <w:sz w:val="20"/>
        </w:rPr>
        <w:t>Weight of the</w:t>
      </w:r>
      <w:r>
        <w:rPr>
          <w:color w:val="212121"/>
          <w:spacing w:val="-7"/>
          <w:sz w:val="20"/>
        </w:rPr>
        <w:t> </w:t>
      </w:r>
      <w:r>
        <w:rPr>
          <w:color w:val="212121"/>
          <w:sz w:val="20"/>
        </w:rPr>
        <w:t>person.</w:t>
      </w:r>
    </w:p>
    <w:p>
      <w:pPr>
        <w:pStyle w:val="ListParagraph"/>
        <w:numPr>
          <w:ilvl w:val="0"/>
          <w:numId w:val="104"/>
        </w:numPr>
        <w:tabs>
          <w:tab w:pos="613" w:val="left" w:leader="none"/>
        </w:tabs>
        <w:spacing w:line="230" w:lineRule="exact" w:before="0" w:after="0"/>
        <w:ind w:left="612" w:right="0" w:hanging="200"/>
        <w:jc w:val="both"/>
        <w:rPr>
          <w:sz w:val="20"/>
        </w:rPr>
      </w:pPr>
      <w:r>
        <w:rPr>
          <w:color w:val="212121"/>
          <w:sz w:val="20"/>
        </w:rPr>
        <w:t>Height of</w:t>
      </w:r>
      <w:r>
        <w:rPr>
          <w:color w:val="212121"/>
          <w:spacing w:val="-6"/>
          <w:sz w:val="20"/>
        </w:rPr>
        <w:t> </w:t>
      </w:r>
      <w:r>
        <w:rPr>
          <w:color w:val="212121"/>
          <w:sz w:val="20"/>
        </w:rPr>
        <w:t>person.</w:t>
      </w:r>
    </w:p>
    <w:p>
      <w:pPr>
        <w:pStyle w:val="ListParagraph"/>
        <w:numPr>
          <w:ilvl w:val="0"/>
          <w:numId w:val="104"/>
        </w:numPr>
        <w:tabs>
          <w:tab w:pos="613" w:val="left" w:leader="none"/>
        </w:tabs>
        <w:spacing w:line="240" w:lineRule="auto" w:before="0" w:after="0"/>
        <w:ind w:left="612" w:right="0" w:hanging="200"/>
        <w:jc w:val="both"/>
        <w:rPr>
          <w:sz w:val="20"/>
        </w:rPr>
      </w:pPr>
      <w:r>
        <w:rPr>
          <w:color w:val="212121"/>
          <w:sz w:val="20"/>
        </w:rPr>
        <w:t>Weight of the</w:t>
      </w:r>
      <w:r>
        <w:rPr>
          <w:color w:val="212121"/>
          <w:spacing w:val="-6"/>
          <w:sz w:val="20"/>
        </w:rPr>
        <w:t> </w:t>
      </w:r>
      <w:r>
        <w:rPr>
          <w:color w:val="212121"/>
          <w:sz w:val="20"/>
        </w:rPr>
        <w:t>object.</w:t>
      </w:r>
    </w:p>
    <w:p>
      <w:pPr>
        <w:pStyle w:val="ListParagraph"/>
        <w:numPr>
          <w:ilvl w:val="0"/>
          <w:numId w:val="104"/>
        </w:numPr>
        <w:tabs>
          <w:tab w:pos="612" w:val="left" w:leader="none"/>
        </w:tabs>
        <w:spacing w:line="230" w:lineRule="exact" w:before="0" w:after="0"/>
        <w:ind w:left="611" w:right="0" w:hanging="199"/>
        <w:jc w:val="both"/>
        <w:rPr>
          <w:sz w:val="20"/>
        </w:rPr>
      </w:pPr>
      <w:r>
        <w:rPr>
          <w:color w:val="212121"/>
          <w:sz w:val="20"/>
        </w:rPr>
        <w:t>Vertical Angle of</w:t>
      </w:r>
      <w:r>
        <w:rPr>
          <w:color w:val="212121"/>
          <w:spacing w:val="-16"/>
          <w:sz w:val="20"/>
        </w:rPr>
        <w:t> </w:t>
      </w:r>
      <w:r>
        <w:rPr>
          <w:color w:val="212121"/>
          <w:sz w:val="20"/>
        </w:rPr>
        <w:t>Trunk</w:t>
      </w:r>
    </w:p>
    <w:p>
      <w:pPr>
        <w:pStyle w:val="ListParagraph"/>
        <w:numPr>
          <w:ilvl w:val="0"/>
          <w:numId w:val="104"/>
        </w:numPr>
        <w:tabs>
          <w:tab w:pos="612" w:val="left" w:leader="none"/>
        </w:tabs>
        <w:spacing w:line="230" w:lineRule="exact" w:before="0" w:after="0"/>
        <w:ind w:left="611" w:right="0" w:hanging="199"/>
        <w:jc w:val="both"/>
        <w:rPr>
          <w:sz w:val="20"/>
        </w:rPr>
      </w:pPr>
      <w:r>
        <w:rPr>
          <w:color w:val="212121"/>
          <w:sz w:val="20"/>
        </w:rPr>
        <w:t>Vertical Angle</w:t>
      </w:r>
      <w:r>
        <w:rPr>
          <w:color w:val="212121"/>
          <w:spacing w:val="-14"/>
          <w:sz w:val="20"/>
        </w:rPr>
        <w:t> </w:t>
      </w:r>
      <w:r>
        <w:rPr>
          <w:color w:val="212121"/>
          <w:sz w:val="20"/>
        </w:rPr>
        <w:t>Arm.</w:t>
      </w:r>
    </w:p>
    <w:p>
      <w:pPr>
        <w:pStyle w:val="ListParagraph"/>
        <w:numPr>
          <w:ilvl w:val="0"/>
          <w:numId w:val="104"/>
        </w:numPr>
        <w:tabs>
          <w:tab w:pos="612" w:val="left" w:leader="none"/>
        </w:tabs>
        <w:spacing w:line="240" w:lineRule="auto" w:before="0" w:after="0"/>
        <w:ind w:left="611" w:right="0" w:hanging="199"/>
        <w:jc w:val="both"/>
        <w:rPr>
          <w:sz w:val="20"/>
        </w:rPr>
      </w:pPr>
      <w:r>
        <w:rPr>
          <w:color w:val="212121"/>
          <w:sz w:val="20"/>
        </w:rPr>
        <w:t>Angle Vertical</w:t>
      </w:r>
      <w:r>
        <w:rPr>
          <w:color w:val="212121"/>
          <w:spacing w:val="-17"/>
          <w:sz w:val="20"/>
        </w:rPr>
        <w:t> </w:t>
      </w:r>
      <w:r>
        <w:rPr>
          <w:color w:val="212121"/>
          <w:sz w:val="20"/>
        </w:rPr>
        <w:t>Forearm</w:t>
      </w:r>
    </w:p>
    <w:p>
      <w:pPr>
        <w:pStyle w:val="BodyText"/>
        <w:spacing w:before="11"/>
        <w:rPr>
          <w:sz w:val="19"/>
        </w:rPr>
      </w:pPr>
    </w:p>
    <w:p>
      <w:pPr>
        <w:pStyle w:val="BodyText"/>
        <w:ind w:left="270"/>
        <w:jc w:val="both"/>
      </w:pPr>
      <w:r>
        <w:rPr>
          <w:color w:val="212121"/>
        </w:rPr>
        <w:t>3.1.4 </w:t>
      </w:r>
      <w:r>
        <w:rPr>
          <w:u w:val="single"/>
        </w:rPr>
        <w:t>Compression force discol5 / s1 (fcd).</w:t>
      </w:r>
    </w:p>
    <w:p>
      <w:pPr>
        <w:pStyle w:val="BodyText"/>
      </w:pPr>
    </w:p>
    <w:p>
      <w:pPr>
        <w:pStyle w:val="BodyText"/>
        <w:spacing w:before="1"/>
        <w:ind w:left="270" w:right="676"/>
        <w:jc w:val="both"/>
      </w:pPr>
      <w:r>
        <w:rPr>
          <w:color w:val="212121"/>
        </w:rPr>
        <w:t>The biomechanical model presented by Chaffin and Anderson (1984) may be used only to determine the compressive strength of disc L5 / S1 during a lifting task, but does not predict the force during a survey to pan or tilt. Metabolic energy expenditure.</w:t>
      </w:r>
      <w:r>
        <w:rPr>
          <w:color w:val="212121"/>
          <w:spacing w:val="-15"/>
        </w:rPr>
        <w:t> </w:t>
      </w:r>
      <w:r>
        <w:rPr/>
        <w:t>[7].</w:t>
      </w:r>
    </w:p>
    <w:p>
      <w:pPr>
        <w:pStyle w:val="BodyText"/>
      </w:pPr>
    </w:p>
    <w:p>
      <w:pPr>
        <w:pStyle w:val="BodyText"/>
        <w:spacing w:before="2"/>
      </w:pPr>
    </w:p>
    <w:p>
      <w:pPr>
        <w:pStyle w:val="Heading4"/>
      </w:pPr>
      <w:r>
        <w:rPr/>
        <w:t>4. RESULTS.</w:t>
      </w:r>
    </w:p>
    <w:p>
      <w:pPr>
        <w:pStyle w:val="BodyText"/>
        <w:spacing w:before="8"/>
        <w:rPr>
          <w:b/>
          <w:sz w:val="19"/>
        </w:rPr>
      </w:pPr>
    </w:p>
    <w:p>
      <w:pPr>
        <w:pStyle w:val="BodyText"/>
        <w:ind w:left="270" w:right="677"/>
        <w:jc w:val="both"/>
      </w:pPr>
      <w:r>
        <w:rPr/>
        <w:drawing>
          <wp:anchor distT="0" distB="0" distL="0" distR="0" allowOverlap="1" layoutInCell="1" locked="0" behindDoc="0" simplePos="0" relativeHeight="12160">
            <wp:simplePos x="0" y="0"/>
            <wp:positionH relativeFrom="page">
              <wp:posOffset>4111752</wp:posOffset>
            </wp:positionH>
            <wp:positionV relativeFrom="paragraph">
              <wp:posOffset>878287</wp:posOffset>
            </wp:positionV>
            <wp:extent cx="3195586" cy="2520696"/>
            <wp:effectExtent l="0" t="0" r="0" b="0"/>
            <wp:wrapNone/>
            <wp:docPr id="451" name="image274.jpeg" descr=""/>
            <wp:cNvGraphicFramePr>
              <a:graphicFrameLocks noChangeAspect="1"/>
            </wp:cNvGraphicFramePr>
            <a:graphic>
              <a:graphicData uri="http://schemas.openxmlformats.org/drawingml/2006/picture">
                <pic:pic>
                  <pic:nvPicPr>
                    <pic:cNvPr id="452" name="image274.jpeg"/>
                    <pic:cNvPicPr/>
                  </pic:nvPicPr>
                  <pic:blipFill>
                    <a:blip r:embed="rId463" cstate="print"/>
                    <a:stretch>
                      <a:fillRect/>
                    </a:stretch>
                  </pic:blipFill>
                  <pic:spPr>
                    <a:xfrm>
                      <a:off x="0" y="0"/>
                      <a:ext cx="3195586" cy="2520696"/>
                    </a:xfrm>
                    <a:prstGeom prst="rect">
                      <a:avLst/>
                    </a:prstGeom>
                  </pic:spPr>
                </pic:pic>
              </a:graphicData>
            </a:graphic>
          </wp:anchor>
        </w:drawing>
      </w:r>
      <w:r>
        <w:rPr>
          <w:color w:val="212121"/>
        </w:rPr>
        <w:t>In execution of the activity of the worker injuries with an average risk, material handling its main activity lifting  heavy loads, which is confirmed by the CDF study, which shows that they are exceeding the limits set by the Standard NIOSH.</w:t>
      </w:r>
    </w:p>
    <w:p>
      <w:pPr>
        <w:spacing w:after="0"/>
        <w:jc w:val="both"/>
        <w:sectPr>
          <w:type w:val="continuous"/>
          <w:pgSz w:w="12240" w:h="15840"/>
          <w:pgMar w:top="1500" w:bottom="280" w:left="580" w:right="220"/>
          <w:cols w:num="2" w:equalWidth="0">
            <w:col w:w="5189" w:space="436"/>
            <w:col w:w="5815"/>
          </w:cols>
        </w:sectPr>
      </w:pPr>
    </w:p>
    <w:p>
      <w:pPr>
        <w:pStyle w:val="BodyText"/>
        <w:spacing w:before="10"/>
        <w:rPr>
          <w:sz w:val="10"/>
        </w:rPr>
      </w:pPr>
    </w:p>
    <w:p>
      <w:pPr>
        <w:spacing w:before="85"/>
        <w:ind w:left="456" w:right="6276" w:firstLine="0"/>
        <w:jc w:val="left"/>
        <w:rPr>
          <w:rFonts w:ascii="Arial"/>
          <w:b/>
          <w:sz w:val="15"/>
        </w:rPr>
      </w:pPr>
      <w:r>
        <w:rPr>
          <w:rFonts w:ascii="Arial"/>
          <w:b/>
          <w:w w:val="160"/>
          <w:sz w:val="15"/>
        </w:rPr>
        <w:t>NIOSH</w:t>
      </w:r>
    </w:p>
    <w:p>
      <w:pPr>
        <w:spacing w:before="94"/>
        <w:ind w:left="426" w:right="6276" w:firstLine="0"/>
        <w:jc w:val="left"/>
        <w:rPr>
          <w:rFonts w:ascii="Arial"/>
          <w:sz w:val="7"/>
        </w:rPr>
      </w:pPr>
      <w:r>
        <w:rPr/>
        <w:drawing>
          <wp:anchor distT="0" distB="0" distL="0" distR="0" allowOverlap="1" layoutInCell="1" locked="0" behindDoc="1" simplePos="0" relativeHeight="267568895">
            <wp:simplePos x="0" y="0"/>
            <wp:positionH relativeFrom="page">
              <wp:posOffset>4111752</wp:posOffset>
            </wp:positionH>
            <wp:positionV relativeFrom="paragraph">
              <wp:posOffset>34327</wp:posOffset>
            </wp:positionV>
            <wp:extent cx="2932938" cy="2100072"/>
            <wp:effectExtent l="0" t="0" r="0" b="0"/>
            <wp:wrapNone/>
            <wp:docPr id="453" name="image275.png" descr=""/>
            <wp:cNvGraphicFramePr>
              <a:graphicFrameLocks noChangeAspect="1"/>
            </wp:cNvGraphicFramePr>
            <a:graphic>
              <a:graphicData uri="http://schemas.openxmlformats.org/drawingml/2006/picture">
                <pic:pic>
                  <pic:nvPicPr>
                    <pic:cNvPr id="454" name="image275.png"/>
                    <pic:cNvPicPr/>
                  </pic:nvPicPr>
                  <pic:blipFill>
                    <a:blip r:embed="rId464" cstate="print"/>
                    <a:stretch>
                      <a:fillRect/>
                    </a:stretch>
                  </pic:blipFill>
                  <pic:spPr>
                    <a:xfrm>
                      <a:off x="0" y="0"/>
                      <a:ext cx="2932938" cy="2100072"/>
                    </a:xfrm>
                    <a:prstGeom prst="rect">
                      <a:avLst/>
                    </a:prstGeom>
                  </pic:spPr>
                </pic:pic>
              </a:graphicData>
            </a:graphic>
          </wp:anchor>
        </w:drawing>
      </w:r>
      <w:r>
        <w:rPr/>
        <w:pict>
          <v:shape style="position:absolute;margin-left:48.240002pt;margin-top:4.562837pt;width:229.95pt;height:131.2pt;mso-position-horizontal-relative:page;mso-position-vertical-relative:paragraph;z-index:1228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630"/>
                    <w:gridCol w:w="954"/>
                  </w:tblGrid>
                  <w:tr>
                    <w:trPr>
                      <w:trHeight w:val="183" w:hRule="exact"/>
                    </w:trPr>
                    <w:tc>
                      <w:tcPr>
                        <w:tcW w:w="3630" w:type="dxa"/>
                        <w:tcBorders>
                          <w:top w:val="single" w:sz="53" w:space="0" w:color="0070BF"/>
                          <w:left w:val="single" w:sz="4" w:space="0" w:color="7F7F7F"/>
                          <w:right w:val="single" w:sz="4" w:space="0" w:color="7F7F7F"/>
                        </w:tcBorders>
                      </w:tcPr>
                      <w:p>
                        <w:pPr>
                          <w:pStyle w:val="TableParagraph"/>
                          <w:spacing w:line="91" w:lineRule="exact"/>
                          <w:ind w:left="32" w:right="73"/>
                          <w:rPr>
                            <w:rFonts w:ascii="Arial"/>
                            <w:sz w:val="8"/>
                          </w:rPr>
                        </w:pPr>
                        <w:r>
                          <w:rPr>
                            <w:rFonts w:ascii="Arial"/>
                            <w:w w:val="155"/>
                            <w:sz w:val="8"/>
                          </w:rPr>
                          <w:t>Peso medio del objeto:</w:t>
                        </w:r>
                      </w:p>
                    </w:tc>
                    <w:tc>
                      <w:tcPr>
                        <w:tcW w:w="954" w:type="dxa"/>
                        <w:tcBorders>
                          <w:top w:val="single" w:sz="3" w:space="0" w:color="7F7F7F"/>
                          <w:left w:val="single" w:sz="4" w:space="0" w:color="7F7F7F"/>
                          <w:right w:val="single" w:sz="4" w:space="0" w:color="7F7F7F"/>
                        </w:tcBorders>
                      </w:tcPr>
                      <w:p>
                        <w:pPr>
                          <w:pStyle w:val="TableParagraph"/>
                          <w:spacing w:before="59"/>
                          <w:ind w:left="32"/>
                          <w:rPr>
                            <w:rFonts w:ascii="Arial"/>
                            <w:b/>
                            <w:sz w:val="8"/>
                          </w:rPr>
                        </w:pPr>
                        <w:r>
                          <w:rPr>
                            <w:rFonts w:ascii="Arial"/>
                            <w:b/>
                            <w:w w:val="155"/>
                            <w:sz w:val="8"/>
                          </w:rPr>
                          <w:t>20.5Kg</w:t>
                        </w:r>
                      </w:p>
                    </w:tc>
                  </w:tr>
                  <w:tr>
                    <w:trPr>
                      <w:trHeight w:val="136" w:hRule="exact"/>
                    </w:trPr>
                    <w:tc>
                      <w:tcPr>
                        <w:tcW w:w="3630" w:type="dxa"/>
                        <w:tcBorders>
                          <w:left w:val="single" w:sz="4" w:space="0" w:color="7F7F7F"/>
                          <w:right w:val="single" w:sz="4" w:space="0" w:color="7F7F7F"/>
                        </w:tcBorders>
                      </w:tcPr>
                      <w:p>
                        <w:pPr>
                          <w:pStyle w:val="TableParagraph"/>
                          <w:spacing w:before="18"/>
                          <w:ind w:left="32" w:right="73"/>
                          <w:rPr>
                            <w:rFonts w:ascii="Arial" w:hAnsi="Arial"/>
                            <w:sz w:val="8"/>
                          </w:rPr>
                        </w:pPr>
                        <w:r>
                          <w:rPr>
                            <w:rFonts w:ascii="Arial" w:hAnsi="Arial"/>
                            <w:w w:val="155"/>
                            <w:sz w:val="8"/>
                          </w:rPr>
                          <w:t>Peso máximo del objeto:</w:t>
                        </w:r>
                      </w:p>
                    </w:tc>
                    <w:tc>
                      <w:tcPr>
                        <w:tcW w:w="954" w:type="dxa"/>
                        <w:tcBorders>
                          <w:left w:val="single" w:sz="4" w:space="0" w:color="7F7F7F"/>
                          <w:right w:val="single" w:sz="4" w:space="0" w:color="7F7F7F"/>
                        </w:tcBorders>
                      </w:tcPr>
                      <w:p>
                        <w:pPr>
                          <w:pStyle w:val="TableParagraph"/>
                          <w:spacing w:before="16"/>
                          <w:ind w:left="32"/>
                          <w:rPr>
                            <w:rFonts w:ascii="Arial"/>
                            <w:b/>
                            <w:sz w:val="8"/>
                          </w:rPr>
                        </w:pPr>
                        <w:r>
                          <w:rPr>
                            <w:rFonts w:ascii="Arial"/>
                            <w:b/>
                            <w:w w:val="155"/>
                            <w:sz w:val="8"/>
                          </w:rPr>
                          <w:t>21Kg</w:t>
                        </w:r>
                      </w:p>
                    </w:tc>
                  </w:tr>
                  <w:tr>
                    <w:trPr>
                      <w:trHeight w:val="272" w:hRule="exact"/>
                    </w:trPr>
                    <w:tc>
                      <w:tcPr>
                        <w:tcW w:w="3630" w:type="dxa"/>
                        <w:tcBorders>
                          <w:left w:val="single" w:sz="4" w:space="0" w:color="7F7F7F"/>
                          <w:right w:val="single" w:sz="4" w:space="0" w:color="7F7F7F"/>
                        </w:tcBorders>
                      </w:tcPr>
                      <w:p>
                        <w:pPr>
                          <w:pStyle w:val="TableParagraph"/>
                          <w:spacing w:line="352" w:lineRule="auto" w:before="17"/>
                          <w:ind w:left="32" w:right="73"/>
                          <w:rPr>
                            <w:rFonts w:ascii="Arial" w:hAnsi="Arial"/>
                            <w:sz w:val="8"/>
                          </w:rPr>
                        </w:pPr>
                        <w:r>
                          <w:rPr>
                            <w:rFonts w:ascii="Arial" w:hAnsi="Arial"/>
                            <w:w w:val="155"/>
                            <w:sz w:val="8"/>
                          </w:rPr>
                          <w:t>Localización de las manos origen, donde mediremos la  distancia</w:t>
                        </w:r>
                        <w:r>
                          <w:rPr>
                            <w:rFonts w:ascii="Arial" w:hAnsi="Arial"/>
                            <w:spacing w:val="-6"/>
                            <w:w w:val="155"/>
                            <w:sz w:val="8"/>
                          </w:rPr>
                          <w:t> </w:t>
                        </w:r>
                        <w:r>
                          <w:rPr>
                            <w:rFonts w:ascii="Arial" w:hAnsi="Arial"/>
                            <w:w w:val="155"/>
                            <w:sz w:val="8"/>
                          </w:rPr>
                          <w:t>horizontal</w:t>
                        </w:r>
                      </w:p>
                    </w:tc>
                    <w:tc>
                      <w:tcPr>
                        <w:tcW w:w="954" w:type="dxa"/>
                        <w:tcBorders>
                          <w:left w:val="single" w:sz="4" w:space="0" w:color="7F7F7F"/>
                          <w:right w:val="single" w:sz="4" w:space="0" w:color="7F7F7F"/>
                        </w:tcBorders>
                      </w:tcPr>
                      <w:p>
                        <w:pPr>
                          <w:pStyle w:val="TableParagraph"/>
                          <w:spacing w:before="2"/>
                          <w:rPr>
                            <w:sz w:val="7"/>
                          </w:rPr>
                        </w:pPr>
                      </w:p>
                      <w:p>
                        <w:pPr>
                          <w:pStyle w:val="TableParagraph"/>
                          <w:ind w:left="32"/>
                          <w:rPr>
                            <w:rFonts w:ascii="Arial"/>
                            <w:b/>
                            <w:sz w:val="8"/>
                          </w:rPr>
                        </w:pPr>
                        <w:r>
                          <w:rPr>
                            <w:rFonts w:ascii="Arial"/>
                            <w:b/>
                            <w:w w:val="155"/>
                            <w:sz w:val="8"/>
                          </w:rPr>
                          <w:t>30 cm</w:t>
                        </w:r>
                      </w:p>
                    </w:tc>
                  </w:tr>
                  <w:tr>
                    <w:trPr>
                      <w:trHeight w:val="272" w:hRule="exact"/>
                    </w:trPr>
                    <w:tc>
                      <w:tcPr>
                        <w:tcW w:w="3630" w:type="dxa"/>
                        <w:tcBorders>
                          <w:left w:val="single" w:sz="4" w:space="0" w:color="7F7F7F"/>
                          <w:right w:val="single" w:sz="4" w:space="0" w:color="7F7F7F"/>
                        </w:tcBorders>
                      </w:tcPr>
                      <w:p>
                        <w:pPr>
                          <w:pStyle w:val="TableParagraph"/>
                          <w:spacing w:line="352" w:lineRule="auto" w:before="18"/>
                          <w:ind w:left="32" w:right="73"/>
                          <w:rPr>
                            <w:rFonts w:ascii="Arial" w:hAnsi="Arial"/>
                            <w:sz w:val="8"/>
                          </w:rPr>
                        </w:pPr>
                        <w:r>
                          <w:rPr>
                            <w:rFonts w:ascii="Arial" w:hAnsi="Arial"/>
                            <w:w w:val="155"/>
                            <w:sz w:val="8"/>
                          </w:rPr>
                          <w:t>Localización de las manos origen, donde mediremos la  distancia</w:t>
                        </w:r>
                        <w:r>
                          <w:rPr>
                            <w:rFonts w:ascii="Arial" w:hAnsi="Arial"/>
                            <w:spacing w:val="30"/>
                            <w:w w:val="155"/>
                            <w:sz w:val="8"/>
                          </w:rPr>
                          <w:t> </w:t>
                        </w:r>
                        <w:r>
                          <w:rPr>
                            <w:rFonts w:ascii="Arial" w:hAnsi="Arial"/>
                            <w:w w:val="155"/>
                            <w:sz w:val="8"/>
                          </w:rPr>
                          <w:t>vertical:</w:t>
                        </w:r>
                      </w:p>
                    </w:tc>
                    <w:tc>
                      <w:tcPr>
                        <w:tcW w:w="954" w:type="dxa"/>
                        <w:tcBorders>
                          <w:left w:val="single" w:sz="4" w:space="0" w:color="7F7F7F"/>
                          <w:right w:val="single" w:sz="4" w:space="0" w:color="7F7F7F"/>
                        </w:tcBorders>
                      </w:tcPr>
                      <w:p>
                        <w:pPr>
                          <w:pStyle w:val="TableParagraph"/>
                          <w:spacing w:before="3"/>
                          <w:rPr>
                            <w:sz w:val="7"/>
                          </w:rPr>
                        </w:pPr>
                      </w:p>
                      <w:p>
                        <w:pPr>
                          <w:pStyle w:val="TableParagraph"/>
                          <w:spacing w:before="1"/>
                          <w:ind w:left="32"/>
                          <w:rPr>
                            <w:rFonts w:ascii="Arial"/>
                            <w:b/>
                            <w:sz w:val="8"/>
                          </w:rPr>
                        </w:pPr>
                        <w:r>
                          <w:rPr>
                            <w:rFonts w:ascii="Arial"/>
                            <w:b/>
                            <w:w w:val="155"/>
                            <w:sz w:val="8"/>
                          </w:rPr>
                          <w:t>120 cm</w:t>
                        </w:r>
                      </w:p>
                    </w:tc>
                  </w:tr>
                  <w:tr>
                    <w:trPr>
                      <w:trHeight w:val="272" w:hRule="exact"/>
                    </w:trPr>
                    <w:tc>
                      <w:tcPr>
                        <w:tcW w:w="3630" w:type="dxa"/>
                        <w:tcBorders>
                          <w:left w:val="single" w:sz="4" w:space="0" w:color="7F7F7F"/>
                          <w:right w:val="single" w:sz="4" w:space="0" w:color="7F7F7F"/>
                        </w:tcBorders>
                      </w:tcPr>
                      <w:p>
                        <w:pPr>
                          <w:pStyle w:val="TableParagraph"/>
                          <w:spacing w:line="352" w:lineRule="auto" w:before="17"/>
                          <w:ind w:left="32" w:right="73"/>
                          <w:rPr>
                            <w:rFonts w:ascii="Arial" w:hAnsi="Arial"/>
                            <w:sz w:val="8"/>
                          </w:rPr>
                        </w:pPr>
                        <w:r>
                          <w:rPr>
                            <w:rFonts w:ascii="Arial" w:hAnsi="Arial"/>
                            <w:w w:val="155"/>
                            <w:sz w:val="8"/>
                          </w:rPr>
                          <w:t>Localización de las manos destino, donde mediremos la distancia horizontal</w:t>
                        </w:r>
                      </w:p>
                    </w:tc>
                    <w:tc>
                      <w:tcPr>
                        <w:tcW w:w="954" w:type="dxa"/>
                        <w:tcBorders>
                          <w:left w:val="single" w:sz="4" w:space="0" w:color="7F7F7F"/>
                          <w:right w:val="single" w:sz="4" w:space="0" w:color="7F7F7F"/>
                        </w:tcBorders>
                      </w:tcPr>
                      <w:p>
                        <w:pPr>
                          <w:pStyle w:val="TableParagraph"/>
                          <w:spacing w:before="2"/>
                          <w:rPr>
                            <w:sz w:val="7"/>
                          </w:rPr>
                        </w:pPr>
                      </w:p>
                      <w:p>
                        <w:pPr>
                          <w:pStyle w:val="TableParagraph"/>
                          <w:ind w:left="32"/>
                          <w:rPr>
                            <w:rFonts w:ascii="Arial"/>
                            <w:b/>
                            <w:sz w:val="8"/>
                          </w:rPr>
                        </w:pPr>
                        <w:r>
                          <w:rPr>
                            <w:rFonts w:ascii="Arial"/>
                            <w:b/>
                            <w:w w:val="155"/>
                            <w:sz w:val="8"/>
                          </w:rPr>
                          <w:t>28 cm</w:t>
                        </w:r>
                      </w:p>
                    </w:tc>
                  </w:tr>
                  <w:tr>
                    <w:trPr>
                      <w:trHeight w:val="280" w:hRule="exact"/>
                    </w:trPr>
                    <w:tc>
                      <w:tcPr>
                        <w:tcW w:w="3630" w:type="dxa"/>
                        <w:tcBorders>
                          <w:left w:val="single" w:sz="4" w:space="0" w:color="7F7F7F"/>
                          <w:right w:val="single" w:sz="4" w:space="0" w:color="7F7F7F"/>
                        </w:tcBorders>
                      </w:tcPr>
                      <w:p>
                        <w:pPr>
                          <w:pStyle w:val="TableParagraph"/>
                          <w:spacing w:line="357" w:lineRule="auto" w:before="18"/>
                          <w:ind w:left="32" w:right="73"/>
                          <w:rPr>
                            <w:rFonts w:ascii="Arial" w:hAnsi="Arial"/>
                            <w:sz w:val="8"/>
                          </w:rPr>
                        </w:pPr>
                        <w:r>
                          <w:rPr>
                            <w:rFonts w:ascii="Arial" w:hAnsi="Arial"/>
                            <w:w w:val="155"/>
                            <w:sz w:val="8"/>
                          </w:rPr>
                          <w:t>Localización de las manos destino, donde mediremos la distancia vertical:</w:t>
                        </w:r>
                      </w:p>
                    </w:tc>
                    <w:tc>
                      <w:tcPr>
                        <w:tcW w:w="954" w:type="dxa"/>
                        <w:tcBorders>
                          <w:left w:val="single" w:sz="4" w:space="0" w:color="7F7F7F"/>
                          <w:right w:val="single" w:sz="4" w:space="0" w:color="7F7F7F"/>
                        </w:tcBorders>
                      </w:tcPr>
                      <w:p>
                        <w:pPr>
                          <w:pStyle w:val="TableParagraph"/>
                          <w:spacing w:before="4"/>
                          <w:rPr>
                            <w:sz w:val="7"/>
                          </w:rPr>
                        </w:pPr>
                      </w:p>
                      <w:p>
                        <w:pPr>
                          <w:pStyle w:val="TableParagraph"/>
                          <w:ind w:left="32"/>
                          <w:rPr>
                            <w:rFonts w:ascii="Arial"/>
                            <w:b/>
                            <w:sz w:val="8"/>
                          </w:rPr>
                        </w:pPr>
                        <w:r>
                          <w:rPr>
                            <w:rFonts w:ascii="Arial"/>
                            <w:b/>
                            <w:w w:val="155"/>
                            <w:sz w:val="8"/>
                          </w:rPr>
                          <w:t>112 cm</w:t>
                        </w:r>
                      </w:p>
                    </w:tc>
                  </w:tr>
                  <w:tr>
                    <w:trPr>
                      <w:trHeight w:val="160" w:hRule="exact"/>
                    </w:trPr>
                    <w:tc>
                      <w:tcPr>
                        <w:tcW w:w="3630" w:type="dxa"/>
                        <w:tcBorders>
                          <w:left w:val="single" w:sz="4" w:space="0" w:color="7F7F7F"/>
                          <w:right w:val="single" w:sz="4" w:space="0" w:color="7F7F7F"/>
                        </w:tcBorders>
                      </w:tcPr>
                      <w:p>
                        <w:pPr>
                          <w:pStyle w:val="TableParagraph"/>
                          <w:spacing w:before="42"/>
                          <w:ind w:left="32" w:right="73"/>
                          <w:rPr>
                            <w:rFonts w:ascii="Arial"/>
                            <w:sz w:val="8"/>
                          </w:rPr>
                        </w:pPr>
                        <w:r>
                          <w:rPr>
                            <w:rFonts w:ascii="Arial"/>
                            <w:w w:val="155"/>
                            <w:sz w:val="8"/>
                          </w:rPr>
                          <w:t>Distancia  del trayecto vertical (D):</w:t>
                        </w:r>
                      </w:p>
                    </w:tc>
                    <w:tc>
                      <w:tcPr>
                        <w:tcW w:w="954" w:type="dxa"/>
                        <w:tcBorders>
                          <w:left w:val="single" w:sz="4" w:space="0" w:color="7F7F7F"/>
                          <w:right w:val="single" w:sz="4" w:space="0" w:color="7F7F7F"/>
                        </w:tcBorders>
                      </w:tcPr>
                      <w:p>
                        <w:pPr>
                          <w:pStyle w:val="TableParagraph"/>
                          <w:spacing w:before="24"/>
                          <w:ind w:left="32"/>
                          <w:rPr>
                            <w:rFonts w:ascii="Arial"/>
                            <w:b/>
                            <w:sz w:val="8"/>
                          </w:rPr>
                        </w:pPr>
                        <w:r>
                          <w:rPr>
                            <w:rFonts w:ascii="Arial"/>
                            <w:b/>
                            <w:w w:val="155"/>
                            <w:sz w:val="8"/>
                          </w:rPr>
                          <w:t>8 cm</w:t>
                        </w:r>
                      </w:p>
                    </w:tc>
                  </w:tr>
                  <w:tr>
                    <w:trPr>
                      <w:trHeight w:val="136" w:hRule="exact"/>
                    </w:trPr>
                    <w:tc>
                      <w:tcPr>
                        <w:tcW w:w="3630" w:type="dxa"/>
                        <w:tcBorders>
                          <w:left w:val="single" w:sz="4" w:space="0" w:color="7F7F7F"/>
                          <w:right w:val="single" w:sz="4" w:space="0" w:color="7F7F7F"/>
                        </w:tcBorders>
                      </w:tcPr>
                      <w:p>
                        <w:pPr>
                          <w:pStyle w:val="TableParagraph"/>
                          <w:spacing w:before="18"/>
                          <w:ind w:left="32" w:right="73"/>
                          <w:rPr>
                            <w:rFonts w:ascii="Arial" w:hAnsi="Arial"/>
                            <w:sz w:val="8"/>
                          </w:rPr>
                        </w:pPr>
                        <w:r>
                          <w:rPr>
                            <w:rFonts w:ascii="Arial" w:hAnsi="Arial"/>
                            <w:w w:val="155"/>
                            <w:sz w:val="8"/>
                          </w:rPr>
                          <w:t>Angulo de asimetría origen:</w:t>
                        </w:r>
                      </w:p>
                    </w:tc>
                    <w:tc>
                      <w:tcPr>
                        <w:tcW w:w="954" w:type="dxa"/>
                        <w:tcBorders>
                          <w:left w:val="single" w:sz="4" w:space="0" w:color="7F7F7F"/>
                          <w:right w:val="single" w:sz="4" w:space="0" w:color="7F7F7F"/>
                        </w:tcBorders>
                      </w:tcPr>
                      <w:p>
                        <w:pPr>
                          <w:pStyle w:val="TableParagraph"/>
                          <w:spacing w:before="16"/>
                          <w:ind w:left="32"/>
                          <w:rPr>
                            <w:rFonts w:ascii="Arial" w:hAnsi="Arial"/>
                            <w:b/>
                            <w:sz w:val="8"/>
                          </w:rPr>
                        </w:pPr>
                        <w:r>
                          <w:rPr>
                            <w:rFonts w:ascii="Arial" w:hAnsi="Arial"/>
                            <w:b/>
                            <w:w w:val="155"/>
                            <w:sz w:val="8"/>
                          </w:rPr>
                          <w:t>105°</w:t>
                        </w:r>
                      </w:p>
                    </w:tc>
                  </w:tr>
                  <w:tr>
                    <w:trPr>
                      <w:trHeight w:val="136" w:hRule="exact"/>
                    </w:trPr>
                    <w:tc>
                      <w:tcPr>
                        <w:tcW w:w="3630" w:type="dxa"/>
                        <w:tcBorders>
                          <w:left w:val="single" w:sz="4" w:space="0" w:color="7F7F7F"/>
                          <w:right w:val="single" w:sz="4" w:space="0" w:color="7F7F7F"/>
                        </w:tcBorders>
                      </w:tcPr>
                      <w:p>
                        <w:pPr>
                          <w:pStyle w:val="TableParagraph"/>
                          <w:spacing w:before="18"/>
                          <w:ind w:left="32" w:right="73"/>
                          <w:rPr>
                            <w:rFonts w:ascii="Arial" w:hAnsi="Arial"/>
                            <w:sz w:val="8"/>
                          </w:rPr>
                        </w:pPr>
                        <w:r>
                          <w:rPr>
                            <w:rFonts w:ascii="Arial" w:hAnsi="Arial"/>
                            <w:w w:val="155"/>
                            <w:sz w:val="8"/>
                          </w:rPr>
                          <w:t>Angulo de asimetría destino:</w:t>
                        </w:r>
                      </w:p>
                    </w:tc>
                    <w:tc>
                      <w:tcPr>
                        <w:tcW w:w="954" w:type="dxa"/>
                        <w:tcBorders>
                          <w:left w:val="single" w:sz="4" w:space="0" w:color="7F7F7F"/>
                          <w:right w:val="single" w:sz="4" w:space="0" w:color="7F7F7F"/>
                        </w:tcBorders>
                      </w:tcPr>
                      <w:p>
                        <w:pPr>
                          <w:pStyle w:val="TableParagraph"/>
                          <w:spacing w:before="16"/>
                          <w:ind w:left="32"/>
                          <w:rPr>
                            <w:rFonts w:ascii="Arial" w:hAnsi="Arial"/>
                            <w:b/>
                            <w:sz w:val="8"/>
                          </w:rPr>
                        </w:pPr>
                        <w:r>
                          <w:rPr>
                            <w:rFonts w:ascii="Arial" w:hAnsi="Arial"/>
                            <w:b/>
                            <w:w w:val="155"/>
                            <w:sz w:val="8"/>
                          </w:rPr>
                          <w:t>96°</w:t>
                        </w:r>
                      </w:p>
                    </w:tc>
                  </w:tr>
                  <w:tr>
                    <w:trPr>
                      <w:trHeight w:val="137" w:hRule="exact"/>
                    </w:trPr>
                    <w:tc>
                      <w:tcPr>
                        <w:tcW w:w="3630" w:type="dxa"/>
                        <w:tcBorders>
                          <w:left w:val="single" w:sz="4" w:space="0" w:color="7F7F7F"/>
                          <w:right w:val="single" w:sz="4" w:space="0" w:color="7F7F7F"/>
                        </w:tcBorders>
                      </w:tcPr>
                      <w:p>
                        <w:pPr>
                          <w:pStyle w:val="TableParagraph"/>
                          <w:spacing w:before="19"/>
                          <w:ind w:left="32" w:right="73"/>
                          <w:rPr>
                            <w:rFonts w:ascii="Arial"/>
                            <w:sz w:val="8"/>
                          </w:rPr>
                        </w:pPr>
                        <w:r>
                          <w:rPr>
                            <w:rFonts w:ascii="Arial"/>
                            <w:w w:val="155"/>
                            <w:sz w:val="8"/>
                          </w:rPr>
                          <w:t>Frecuencia de Levantamiento:</w:t>
                        </w:r>
                      </w:p>
                    </w:tc>
                    <w:tc>
                      <w:tcPr>
                        <w:tcW w:w="954" w:type="dxa"/>
                        <w:tcBorders>
                          <w:left w:val="single" w:sz="4" w:space="0" w:color="7F7F7F"/>
                          <w:right w:val="single" w:sz="4" w:space="0" w:color="7F7F7F"/>
                        </w:tcBorders>
                      </w:tcPr>
                      <w:p>
                        <w:pPr>
                          <w:pStyle w:val="TableParagraph"/>
                          <w:spacing w:before="17"/>
                          <w:ind w:left="32"/>
                          <w:rPr>
                            <w:rFonts w:ascii="Arial"/>
                            <w:b/>
                            <w:sz w:val="8"/>
                          </w:rPr>
                        </w:pPr>
                        <w:r>
                          <w:rPr>
                            <w:rFonts w:ascii="Arial"/>
                            <w:b/>
                            <w:w w:val="155"/>
                            <w:sz w:val="8"/>
                          </w:rPr>
                          <w:t>0.33 min</w:t>
                        </w:r>
                      </w:p>
                    </w:tc>
                  </w:tr>
                  <w:tr>
                    <w:trPr>
                      <w:trHeight w:val="136" w:hRule="exact"/>
                    </w:trPr>
                    <w:tc>
                      <w:tcPr>
                        <w:tcW w:w="3630" w:type="dxa"/>
                        <w:tcBorders>
                          <w:left w:val="single" w:sz="4" w:space="0" w:color="7F7F7F"/>
                          <w:right w:val="single" w:sz="4" w:space="0" w:color="7F7F7F"/>
                        </w:tcBorders>
                      </w:tcPr>
                      <w:p>
                        <w:pPr>
                          <w:pStyle w:val="TableParagraph"/>
                          <w:spacing w:before="18"/>
                          <w:ind w:left="32" w:right="73"/>
                          <w:rPr>
                            <w:rFonts w:ascii="Arial" w:hAnsi="Arial"/>
                            <w:sz w:val="8"/>
                          </w:rPr>
                        </w:pPr>
                        <w:r>
                          <w:rPr>
                            <w:rFonts w:ascii="Arial" w:hAnsi="Arial"/>
                            <w:w w:val="155"/>
                            <w:sz w:val="8"/>
                          </w:rPr>
                          <w:t>Duración del levantamiento:</w:t>
                        </w:r>
                      </w:p>
                    </w:tc>
                    <w:tc>
                      <w:tcPr>
                        <w:tcW w:w="954" w:type="dxa"/>
                        <w:tcBorders>
                          <w:left w:val="single" w:sz="4" w:space="0" w:color="7F7F7F"/>
                          <w:right w:val="single" w:sz="4" w:space="0" w:color="7F7F7F"/>
                        </w:tcBorders>
                      </w:tcPr>
                      <w:p>
                        <w:pPr>
                          <w:pStyle w:val="TableParagraph"/>
                          <w:spacing w:before="16"/>
                          <w:ind w:left="32"/>
                          <w:rPr>
                            <w:rFonts w:ascii="Arial"/>
                            <w:b/>
                            <w:sz w:val="8"/>
                          </w:rPr>
                        </w:pPr>
                        <w:r>
                          <w:rPr>
                            <w:rFonts w:ascii="Arial"/>
                            <w:b/>
                            <w:w w:val="155"/>
                            <w:sz w:val="8"/>
                          </w:rPr>
                          <w:t>CORTA</w:t>
                        </w:r>
                      </w:p>
                    </w:tc>
                  </w:tr>
                  <w:tr>
                    <w:trPr>
                      <w:trHeight w:val="136" w:hRule="exact"/>
                    </w:trPr>
                    <w:tc>
                      <w:tcPr>
                        <w:tcW w:w="3630" w:type="dxa"/>
                        <w:tcBorders>
                          <w:left w:val="single" w:sz="4" w:space="0" w:color="7F7F7F"/>
                          <w:right w:val="single" w:sz="4" w:space="0" w:color="7F7F7F"/>
                        </w:tcBorders>
                      </w:tcPr>
                      <w:p>
                        <w:pPr>
                          <w:pStyle w:val="TableParagraph"/>
                          <w:spacing w:before="18"/>
                          <w:ind w:left="32" w:right="73"/>
                          <w:rPr>
                            <w:rFonts w:ascii="Arial"/>
                            <w:sz w:val="8"/>
                          </w:rPr>
                        </w:pPr>
                        <w:r>
                          <w:rPr>
                            <w:rFonts w:ascii="Arial"/>
                            <w:w w:val="155"/>
                            <w:sz w:val="8"/>
                          </w:rPr>
                          <w:t>Tipo de Agarre:</w:t>
                        </w:r>
                      </w:p>
                    </w:tc>
                    <w:tc>
                      <w:tcPr>
                        <w:tcW w:w="954" w:type="dxa"/>
                        <w:tcBorders>
                          <w:left w:val="single" w:sz="4" w:space="0" w:color="7F7F7F"/>
                          <w:right w:val="single" w:sz="4" w:space="0" w:color="7F7F7F"/>
                        </w:tcBorders>
                      </w:tcPr>
                      <w:p>
                        <w:pPr>
                          <w:pStyle w:val="TableParagraph"/>
                          <w:spacing w:before="16"/>
                          <w:ind w:left="32"/>
                          <w:rPr>
                            <w:rFonts w:ascii="Arial"/>
                            <w:b/>
                            <w:sz w:val="8"/>
                          </w:rPr>
                        </w:pPr>
                        <w:r>
                          <w:rPr>
                            <w:rFonts w:ascii="Arial"/>
                            <w:b/>
                            <w:w w:val="155"/>
                            <w:sz w:val="8"/>
                          </w:rPr>
                          <w:t>MEDIANO</w:t>
                        </w:r>
                      </w:p>
                    </w:tc>
                  </w:tr>
                  <w:tr>
                    <w:trPr>
                      <w:trHeight w:val="136" w:hRule="exact"/>
                    </w:trPr>
                    <w:tc>
                      <w:tcPr>
                        <w:tcW w:w="3630" w:type="dxa"/>
                        <w:tcBorders>
                          <w:left w:val="single" w:sz="4" w:space="0" w:color="7F7F7F"/>
                          <w:right w:val="single" w:sz="4" w:space="0" w:color="7F7F7F"/>
                        </w:tcBorders>
                      </w:tcPr>
                      <w:p>
                        <w:pPr/>
                      </w:p>
                    </w:tc>
                    <w:tc>
                      <w:tcPr>
                        <w:tcW w:w="954" w:type="dxa"/>
                        <w:tcBorders>
                          <w:left w:val="single" w:sz="4" w:space="0" w:color="7F7F7F"/>
                          <w:right w:val="single" w:sz="4" w:space="0" w:color="7F7F7F"/>
                        </w:tcBorders>
                      </w:tcPr>
                      <w:p>
                        <w:pPr>
                          <w:pStyle w:val="TableParagraph"/>
                          <w:spacing w:before="16"/>
                          <w:ind w:left="32"/>
                          <w:rPr>
                            <w:rFonts w:ascii="Arial"/>
                            <w:b/>
                            <w:sz w:val="8"/>
                          </w:rPr>
                        </w:pPr>
                        <w:r>
                          <w:rPr>
                            <w:rFonts w:ascii="Arial"/>
                            <w:b/>
                            <w:w w:val="155"/>
                            <w:sz w:val="8"/>
                          </w:rPr>
                          <w:t>SIGNIFICATIV</w:t>
                        </w:r>
                      </w:p>
                    </w:tc>
                  </w:tr>
                  <w:tr>
                    <w:trPr>
                      <w:trHeight w:val="161" w:hRule="exact"/>
                    </w:trPr>
                    <w:tc>
                      <w:tcPr>
                        <w:tcW w:w="3630" w:type="dxa"/>
                        <w:tcBorders>
                          <w:left w:val="single" w:sz="4" w:space="0" w:color="7F7F7F"/>
                          <w:bottom w:val="single" w:sz="3" w:space="0" w:color="7F7F7F"/>
                          <w:right w:val="single" w:sz="4" w:space="0" w:color="7F7F7F"/>
                        </w:tcBorders>
                      </w:tcPr>
                      <w:p>
                        <w:pPr>
                          <w:pStyle w:val="TableParagraph"/>
                          <w:spacing w:before="20"/>
                          <w:ind w:left="32" w:right="73"/>
                          <w:rPr>
                            <w:rFonts w:ascii="Arial"/>
                            <w:sz w:val="8"/>
                          </w:rPr>
                        </w:pPr>
                        <w:r>
                          <w:rPr>
                            <w:rFonts w:ascii="Arial"/>
                            <w:w w:val="155"/>
                            <w:sz w:val="8"/>
                          </w:rPr>
                          <w:t>Control Significativo:</w:t>
                        </w:r>
                      </w:p>
                    </w:tc>
                    <w:tc>
                      <w:tcPr>
                        <w:tcW w:w="954" w:type="dxa"/>
                        <w:tcBorders>
                          <w:left w:val="single" w:sz="4" w:space="0" w:color="7F7F7F"/>
                          <w:bottom w:val="single" w:sz="3" w:space="0" w:color="7F7F7F"/>
                          <w:right w:val="single" w:sz="4" w:space="0" w:color="7F7F7F"/>
                        </w:tcBorders>
                      </w:tcPr>
                      <w:p>
                        <w:pPr>
                          <w:pStyle w:val="TableParagraph"/>
                          <w:spacing w:before="18"/>
                          <w:ind w:left="32"/>
                          <w:rPr>
                            <w:rFonts w:ascii="Arial"/>
                            <w:b/>
                            <w:sz w:val="8"/>
                          </w:rPr>
                        </w:pPr>
                        <w:r>
                          <w:rPr>
                            <w:rFonts w:ascii="Arial"/>
                            <w:b/>
                            <w:w w:val="155"/>
                            <w:sz w:val="8"/>
                          </w:rPr>
                          <w:t>O</w:t>
                        </w:r>
                      </w:p>
                    </w:tc>
                  </w:tr>
                </w:tbl>
                <w:p>
                  <w:pPr>
                    <w:pStyle w:val="BodyText"/>
                  </w:pPr>
                </w:p>
              </w:txbxContent>
            </v:textbox>
            <w10:wrap type="none"/>
          </v:shape>
        </w:pict>
      </w:r>
      <w:r>
        <w:rPr>
          <w:rFonts w:ascii="Arial"/>
          <w:w w:val="165"/>
          <w:sz w:val="7"/>
        </w:rPr>
        <w:t>Variables</w:t>
      </w:r>
    </w:p>
    <w:p>
      <w:pPr>
        <w:pStyle w:val="BodyText"/>
        <w:rPr>
          <w:rFonts w:ascii="Arial"/>
          <w:sz w:val="6"/>
        </w:rPr>
      </w:pPr>
    </w:p>
    <w:p>
      <w:pPr>
        <w:pStyle w:val="BodyText"/>
        <w:rPr>
          <w:rFonts w:ascii="Arial"/>
          <w:sz w:val="6"/>
        </w:rPr>
      </w:pPr>
    </w:p>
    <w:p>
      <w:pPr>
        <w:pStyle w:val="BodyText"/>
        <w:rPr>
          <w:rFonts w:ascii="Arial"/>
          <w:sz w:val="6"/>
        </w:rPr>
      </w:pPr>
    </w:p>
    <w:p>
      <w:pPr>
        <w:pStyle w:val="BodyText"/>
        <w:rPr>
          <w:rFonts w:ascii="Arial"/>
          <w:sz w:val="6"/>
        </w:rPr>
      </w:pPr>
    </w:p>
    <w:p>
      <w:pPr>
        <w:pStyle w:val="BodyText"/>
        <w:rPr>
          <w:rFonts w:ascii="Arial"/>
          <w:sz w:val="6"/>
        </w:rPr>
      </w:pPr>
    </w:p>
    <w:p>
      <w:pPr>
        <w:pStyle w:val="BodyText"/>
        <w:rPr>
          <w:rFonts w:ascii="Arial"/>
          <w:sz w:val="6"/>
        </w:rPr>
      </w:pPr>
    </w:p>
    <w:p>
      <w:pPr>
        <w:pStyle w:val="BodyText"/>
        <w:rPr>
          <w:rFonts w:ascii="Arial"/>
          <w:sz w:val="6"/>
        </w:rPr>
      </w:pPr>
    </w:p>
    <w:p>
      <w:pPr>
        <w:pStyle w:val="BodyText"/>
        <w:rPr>
          <w:rFonts w:ascii="Arial"/>
          <w:sz w:val="6"/>
        </w:rPr>
      </w:pPr>
    </w:p>
    <w:p>
      <w:pPr>
        <w:pStyle w:val="BodyText"/>
        <w:rPr>
          <w:rFonts w:ascii="Arial"/>
          <w:sz w:val="6"/>
        </w:rPr>
      </w:pPr>
    </w:p>
    <w:p>
      <w:pPr>
        <w:pStyle w:val="BodyText"/>
        <w:rPr>
          <w:rFonts w:ascii="Arial"/>
          <w:sz w:val="6"/>
        </w:rPr>
      </w:pPr>
    </w:p>
    <w:p>
      <w:pPr>
        <w:pStyle w:val="BodyText"/>
        <w:rPr>
          <w:rFonts w:ascii="Arial"/>
          <w:sz w:val="6"/>
        </w:rPr>
      </w:pPr>
    </w:p>
    <w:p>
      <w:pPr>
        <w:pStyle w:val="BodyText"/>
        <w:rPr>
          <w:rFonts w:ascii="Arial"/>
          <w:sz w:val="6"/>
        </w:rPr>
      </w:pPr>
    </w:p>
    <w:p>
      <w:pPr>
        <w:pStyle w:val="BodyText"/>
        <w:rPr>
          <w:rFonts w:ascii="Arial"/>
          <w:sz w:val="6"/>
        </w:rPr>
      </w:pPr>
    </w:p>
    <w:p>
      <w:pPr>
        <w:pStyle w:val="BodyText"/>
        <w:rPr>
          <w:rFonts w:ascii="Arial"/>
          <w:sz w:val="6"/>
        </w:rPr>
      </w:pPr>
    </w:p>
    <w:p>
      <w:pPr>
        <w:pStyle w:val="BodyText"/>
        <w:rPr>
          <w:rFonts w:ascii="Arial"/>
          <w:sz w:val="6"/>
        </w:rPr>
      </w:pPr>
    </w:p>
    <w:p>
      <w:pPr>
        <w:pStyle w:val="BodyText"/>
        <w:rPr>
          <w:rFonts w:ascii="Arial"/>
          <w:sz w:val="6"/>
        </w:rPr>
      </w:pPr>
    </w:p>
    <w:p>
      <w:pPr>
        <w:pStyle w:val="BodyText"/>
        <w:rPr>
          <w:rFonts w:ascii="Arial"/>
          <w:sz w:val="6"/>
        </w:rPr>
      </w:pPr>
    </w:p>
    <w:p>
      <w:pPr>
        <w:pStyle w:val="BodyText"/>
        <w:rPr>
          <w:rFonts w:ascii="Arial"/>
          <w:sz w:val="6"/>
        </w:rPr>
      </w:pPr>
    </w:p>
    <w:p>
      <w:pPr>
        <w:pStyle w:val="BodyText"/>
        <w:rPr>
          <w:rFonts w:ascii="Arial"/>
          <w:sz w:val="6"/>
        </w:rPr>
      </w:pPr>
    </w:p>
    <w:p>
      <w:pPr>
        <w:pStyle w:val="BodyText"/>
        <w:rPr>
          <w:rFonts w:ascii="Arial"/>
          <w:sz w:val="6"/>
        </w:rPr>
      </w:pPr>
    </w:p>
    <w:p>
      <w:pPr>
        <w:pStyle w:val="BodyText"/>
        <w:rPr>
          <w:rFonts w:ascii="Arial"/>
          <w:sz w:val="6"/>
        </w:rPr>
      </w:pPr>
    </w:p>
    <w:p>
      <w:pPr>
        <w:pStyle w:val="BodyText"/>
        <w:rPr>
          <w:rFonts w:ascii="Arial"/>
          <w:sz w:val="6"/>
        </w:rPr>
      </w:pPr>
    </w:p>
    <w:p>
      <w:pPr>
        <w:pStyle w:val="BodyText"/>
        <w:rPr>
          <w:rFonts w:ascii="Arial"/>
          <w:sz w:val="6"/>
        </w:rPr>
      </w:pPr>
    </w:p>
    <w:p>
      <w:pPr>
        <w:pStyle w:val="BodyText"/>
        <w:rPr>
          <w:rFonts w:ascii="Arial"/>
          <w:sz w:val="6"/>
        </w:rPr>
      </w:pPr>
    </w:p>
    <w:p>
      <w:pPr>
        <w:pStyle w:val="BodyText"/>
        <w:rPr>
          <w:rFonts w:ascii="Arial"/>
          <w:sz w:val="6"/>
        </w:rPr>
      </w:pPr>
    </w:p>
    <w:p>
      <w:pPr>
        <w:pStyle w:val="BodyText"/>
        <w:rPr>
          <w:rFonts w:ascii="Arial"/>
          <w:sz w:val="6"/>
        </w:rPr>
      </w:pPr>
    </w:p>
    <w:p>
      <w:pPr>
        <w:pStyle w:val="BodyText"/>
        <w:rPr>
          <w:rFonts w:ascii="Arial"/>
          <w:sz w:val="6"/>
        </w:rPr>
      </w:pPr>
    </w:p>
    <w:p>
      <w:pPr>
        <w:pStyle w:val="BodyText"/>
        <w:rPr>
          <w:rFonts w:ascii="Arial"/>
          <w:sz w:val="6"/>
        </w:rPr>
      </w:pPr>
    </w:p>
    <w:p>
      <w:pPr>
        <w:pStyle w:val="BodyText"/>
        <w:rPr>
          <w:rFonts w:ascii="Arial"/>
          <w:sz w:val="6"/>
        </w:rPr>
      </w:pPr>
    </w:p>
    <w:p>
      <w:pPr>
        <w:pStyle w:val="BodyText"/>
        <w:rPr>
          <w:rFonts w:ascii="Arial"/>
          <w:sz w:val="6"/>
        </w:rPr>
      </w:pPr>
    </w:p>
    <w:p>
      <w:pPr>
        <w:pStyle w:val="BodyText"/>
        <w:rPr>
          <w:rFonts w:ascii="Arial"/>
          <w:sz w:val="6"/>
        </w:rPr>
      </w:pPr>
    </w:p>
    <w:p>
      <w:pPr>
        <w:pStyle w:val="BodyText"/>
        <w:rPr>
          <w:rFonts w:ascii="Arial"/>
          <w:sz w:val="6"/>
        </w:rPr>
      </w:pPr>
    </w:p>
    <w:p>
      <w:pPr>
        <w:pStyle w:val="BodyText"/>
        <w:rPr>
          <w:rFonts w:ascii="Arial"/>
          <w:sz w:val="6"/>
        </w:rPr>
      </w:pPr>
    </w:p>
    <w:p>
      <w:pPr>
        <w:pStyle w:val="BodyText"/>
        <w:rPr>
          <w:rFonts w:ascii="Arial"/>
          <w:sz w:val="6"/>
        </w:rPr>
      </w:pPr>
    </w:p>
    <w:p>
      <w:pPr>
        <w:pStyle w:val="BodyText"/>
        <w:rPr>
          <w:rFonts w:ascii="Arial"/>
          <w:sz w:val="6"/>
        </w:rPr>
      </w:pPr>
    </w:p>
    <w:p>
      <w:pPr>
        <w:pStyle w:val="BodyText"/>
        <w:rPr>
          <w:rFonts w:ascii="Arial"/>
          <w:sz w:val="6"/>
        </w:rPr>
      </w:pPr>
    </w:p>
    <w:p>
      <w:pPr>
        <w:pStyle w:val="BodyText"/>
        <w:rPr>
          <w:rFonts w:ascii="Arial"/>
          <w:sz w:val="6"/>
        </w:rPr>
      </w:pPr>
    </w:p>
    <w:p>
      <w:pPr>
        <w:pStyle w:val="BodyText"/>
        <w:rPr>
          <w:rFonts w:ascii="Arial"/>
          <w:sz w:val="6"/>
        </w:rPr>
      </w:pPr>
    </w:p>
    <w:p>
      <w:pPr>
        <w:spacing w:before="50"/>
        <w:ind w:left="389" w:right="6276" w:firstLine="0"/>
        <w:jc w:val="left"/>
        <w:rPr>
          <w:rFonts w:ascii="Arial" w:hAnsi="Arial"/>
          <w:sz w:val="8"/>
        </w:rPr>
      </w:pPr>
      <w:r>
        <w:rPr/>
        <w:pict>
          <v:group style="position:absolute;margin-left:48.119999pt;margin-top:9.491836pt;width:236.35pt;height:12.5pt;mso-position-horizontal-relative:page;mso-position-vertical-relative:paragraph;z-index:12208;mso-wrap-distance-left:0;mso-wrap-distance-right:0" coordorigin="962,190" coordsize="4727,250">
            <v:rect style="position:absolute;left:962;top:190;width:594;height:250" filled="true" fillcolor="#a5a5a5" stroked="false">
              <v:fill type="solid"/>
            </v:rect>
            <v:rect style="position:absolute;left:997;top:315;width:522;height:125" filled="true" fillcolor="#a5a5a5" stroked="false">
              <v:fill type="solid"/>
            </v:rect>
            <v:rect style="position:absolute;left:1556;top:190;width:4133;height:250" filled="true" fillcolor="#a5a5a5" stroked="false">
              <v:fill type="solid"/>
            </v:rect>
            <v:rect style="position:absolute;left:1594;top:190;width:4084;height:125" filled="true" fillcolor="#a5a5a5" stroked="false">
              <v:fill type="solid"/>
            </v:rect>
            <v:rect style="position:absolute;left:1594;top:315;width:4084;height:125" filled="true" fillcolor="#a5a5a5" stroked="false">
              <v:fill type="solid"/>
            </v:rect>
            <v:shape style="position:absolute;left:962;top:190;width:4727;height:250" type="#_x0000_t202" filled="false" stroked="false">
              <v:textbox inset="0,0,0,0">
                <w:txbxContent>
                  <w:p>
                    <w:pPr>
                      <w:spacing w:line="372" w:lineRule="auto" w:before="2"/>
                      <w:ind w:left="34" w:right="78" w:firstLine="596"/>
                      <w:jc w:val="left"/>
                      <w:rPr>
                        <w:rFonts w:ascii="Arial" w:hAnsi="Arial"/>
                        <w:sz w:val="7"/>
                      </w:rPr>
                    </w:pPr>
                    <w:r>
                      <w:rPr>
                        <w:rFonts w:ascii="Arial" w:hAnsi="Arial"/>
                        <w:w w:val="165"/>
                        <w:sz w:val="7"/>
                      </w:rPr>
                      <w:t>Conclusión: Estudiar el  puesto  de  trabajo  y  realizar  las  modificaciones </w:t>
                    </w:r>
                    <w:r>
                      <w:rPr>
                        <w:rFonts w:ascii="Arial" w:hAnsi="Arial"/>
                        <w:spacing w:val="32"/>
                        <w:w w:val="165"/>
                        <w:sz w:val="7"/>
                      </w:rPr>
                      <w:t> </w:t>
                    </w:r>
                    <w:r>
                      <w:rPr>
                        <w:rFonts w:ascii="Arial" w:hAnsi="Arial"/>
                        <w:w w:val="165"/>
                        <w:sz w:val="7"/>
                      </w:rPr>
                      <w:t>ILC: 1.67  </w:t>
                    </w:r>
                    <w:r>
                      <w:rPr>
                        <w:rFonts w:ascii="Arial" w:hAnsi="Arial"/>
                        <w:spacing w:val="18"/>
                        <w:w w:val="165"/>
                        <w:sz w:val="7"/>
                      </w:rPr>
                      <w:t> </w:t>
                    </w:r>
                    <w:r>
                      <w:rPr>
                        <w:rFonts w:ascii="Arial" w:hAnsi="Arial"/>
                        <w:w w:val="165"/>
                        <w:sz w:val="7"/>
                      </w:rPr>
                      <w:t>pertinentes</w:t>
                    </w:r>
                  </w:p>
                </w:txbxContent>
              </v:textbox>
              <w10:wrap type="none"/>
            </v:shape>
            <w10:wrap type="topAndBottom"/>
          </v:group>
        </w:pict>
      </w:r>
      <w:r>
        <w:rPr>
          <w:rFonts w:ascii="Arial" w:hAnsi="Arial"/>
          <w:w w:val="155"/>
          <w:sz w:val="8"/>
        </w:rPr>
        <w:t>Dándonos como resultado:</w:t>
      </w:r>
    </w:p>
    <w:p>
      <w:pPr>
        <w:pStyle w:val="BodyText"/>
        <w:spacing w:before="1"/>
        <w:rPr>
          <w:rFonts w:ascii="Arial"/>
          <w:sz w:val="6"/>
        </w:rPr>
      </w:pPr>
    </w:p>
    <w:p>
      <w:pPr>
        <w:spacing w:after="0"/>
        <w:rPr>
          <w:rFonts w:ascii="Arial"/>
          <w:sz w:val="6"/>
        </w:rPr>
        <w:sectPr>
          <w:pgSz w:w="12240" w:h="15840"/>
          <w:pgMar w:header="545" w:footer="852" w:top="1060" w:bottom="1040" w:left="580" w:right="220"/>
        </w:sectPr>
      </w:pPr>
    </w:p>
    <w:p>
      <w:pPr>
        <w:spacing w:before="61"/>
        <w:ind w:left="269" w:right="1" w:firstLine="0"/>
        <w:jc w:val="center"/>
        <w:rPr>
          <w:sz w:val="18"/>
        </w:rPr>
      </w:pPr>
      <w:r>
        <w:rPr>
          <w:sz w:val="18"/>
        </w:rPr>
        <w:t>Figure 6. Results of NIOSH = 76%&gt; High-Risk method.</w:t>
      </w:r>
    </w:p>
    <w:p>
      <w:pPr>
        <w:pStyle w:val="BodyText"/>
        <w:spacing w:before="1"/>
      </w:pPr>
    </w:p>
    <w:p>
      <w:pPr>
        <w:pStyle w:val="BodyText"/>
        <w:ind w:left="270"/>
        <w:jc w:val="both"/>
      </w:pPr>
      <w:r>
        <w:rPr>
          <w:color w:val="212121"/>
        </w:rPr>
        <w:t>NIOSH assessment evaluation by the order in which the task, first evaluated from taking the container until the low to the floor and result in an equation result NIOSH obtained was performed was performed in conclusion is considered  that the task has a health risk, so they have to take appropriate measures to reduce this risk. </w:t>
      </w:r>
      <w:r>
        <w:rPr/>
        <w:t>[8].</w:t>
      </w:r>
    </w:p>
    <w:p>
      <w:pPr>
        <w:pStyle w:val="BodyText"/>
        <w:spacing w:before="11"/>
        <w:rPr>
          <w:sz w:val="19"/>
        </w:rPr>
      </w:pPr>
    </w:p>
    <w:p>
      <w:pPr>
        <w:pStyle w:val="BodyText"/>
        <w:ind w:left="270"/>
        <w:jc w:val="both"/>
        <w:rPr>
          <w:sz w:val="18"/>
        </w:rPr>
      </w:pPr>
      <w:r>
        <w:rPr>
          <w:color w:val="212121"/>
        </w:rPr>
        <w:t>Results Force Evaluation Compression Disks (FCD) assessment by the order in which the task, firstly evaluated from taking the container until it low to the floor and results in a result obtained was performed was performed the hard disk compression is 856.76Kilogramos (if more than 648 kilograms represents a high risk of injury for the perpetrator, so that this task needs to be redesigned) lifting is dangerous. </w:t>
      </w:r>
      <w:r>
        <w:rPr>
          <w:sz w:val="18"/>
        </w:rPr>
        <w:t>Figure 5.</w:t>
      </w:r>
    </w:p>
    <w:p>
      <w:pPr>
        <w:pStyle w:val="BodyText"/>
        <w:rPr>
          <w:sz w:val="17"/>
        </w:rPr>
      </w:pPr>
      <w:r>
        <w:rPr/>
        <w:drawing>
          <wp:anchor distT="0" distB="0" distL="0" distR="0" allowOverlap="1" layoutInCell="1" locked="0" behindDoc="0" simplePos="0" relativeHeight="12232">
            <wp:simplePos x="0" y="0"/>
            <wp:positionH relativeFrom="page">
              <wp:posOffset>540258</wp:posOffset>
            </wp:positionH>
            <wp:positionV relativeFrom="paragraph">
              <wp:posOffset>149011</wp:posOffset>
            </wp:positionV>
            <wp:extent cx="2947199" cy="2090261"/>
            <wp:effectExtent l="0" t="0" r="0" b="0"/>
            <wp:wrapTopAndBottom/>
            <wp:docPr id="455" name="image276.jpeg" descr=""/>
            <wp:cNvGraphicFramePr>
              <a:graphicFrameLocks noChangeAspect="1"/>
            </wp:cNvGraphicFramePr>
            <a:graphic>
              <a:graphicData uri="http://schemas.openxmlformats.org/drawingml/2006/picture">
                <pic:pic>
                  <pic:nvPicPr>
                    <pic:cNvPr id="456" name="image276.jpeg"/>
                    <pic:cNvPicPr/>
                  </pic:nvPicPr>
                  <pic:blipFill>
                    <a:blip r:embed="rId465" cstate="print"/>
                    <a:stretch>
                      <a:fillRect/>
                    </a:stretch>
                  </pic:blipFill>
                  <pic:spPr>
                    <a:xfrm>
                      <a:off x="0" y="0"/>
                      <a:ext cx="2947199" cy="2090261"/>
                    </a:xfrm>
                    <a:prstGeom prst="rect">
                      <a:avLst/>
                    </a:prstGeom>
                  </pic:spPr>
                </pic:pic>
              </a:graphicData>
            </a:graphic>
          </wp:anchor>
        </w:drawing>
      </w:r>
    </w:p>
    <w:p>
      <w:pPr>
        <w:spacing w:before="0"/>
        <w:ind w:left="269" w:right="1" w:firstLine="0"/>
        <w:jc w:val="center"/>
        <w:rPr>
          <w:sz w:val="18"/>
        </w:rPr>
      </w:pPr>
      <w:r>
        <w:rPr>
          <w:sz w:val="18"/>
        </w:rPr>
        <w:t>Figure 7 Risk points.</w:t>
      </w:r>
    </w:p>
    <w:p>
      <w:pPr>
        <w:spacing w:before="21"/>
        <w:ind w:left="869" w:right="702" w:firstLine="0"/>
        <w:jc w:val="left"/>
        <w:rPr>
          <w:sz w:val="18"/>
        </w:rPr>
      </w:pPr>
      <w:r>
        <w:rPr/>
        <w:br w:type="column"/>
      </w:r>
      <w:r>
        <w:rPr>
          <w:sz w:val="18"/>
        </w:rPr>
        <w:t>Figure 8. Results FCD = 89%&gt; High-Risk method.</w:t>
      </w:r>
    </w:p>
    <w:p>
      <w:pPr>
        <w:pStyle w:val="BodyText"/>
        <w:spacing w:before="1"/>
        <w:rPr>
          <w:sz w:val="18"/>
        </w:rPr>
      </w:pPr>
    </w:p>
    <w:p>
      <w:pPr>
        <w:pStyle w:val="BodyText"/>
        <w:ind w:left="270" w:right="678"/>
        <w:jc w:val="both"/>
      </w:pPr>
      <w:r>
        <w:rPr>
          <w:color w:val="212121"/>
        </w:rPr>
        <w:t>The immediate workplace operator, their machines, their arrangement with the environment, their interaction with other operators and how to operate your system were considered to demonstrate how significantly affect their performance and their feelings of comfort.</w:t>
      </w:r>
    </w:p>
    <w:p>
      <w:pPr>
        <w:pStyle w:val="BodyText"/>
      </w:pPr>
    </w:p>
    <w:p>
      <w:pPr>
        <w:pStyle w:val="BodyText"/>
        <w:spacing w:before="1"/>
        <w:ind w:left="270" w:right="676"/>
        <w:jc w:val="both"/>
      </w:pPr>
      <w:r>
        <w:rPr>
          <w:color w:val="212121"/>
        </w:rPr>
        <w:t>However, these environmental conditions are "visible", the operator can see and affect it in terms that limit their actions, their judgment and their immediate perceptions. But there are less tangible aspects (perhaps the "invisible") environment, the ubiquitous sensation to which it is exposed from the various pieces of machinery or components of your workplace. Thus, in addition to other factors, these pollutants include lighting, noise and</w:t>
      </w:r>
      <w:r>
        <w:rPr>
          <w:color w:val="212121"/>
          <w:spacing w:val="-26"/>
        </w:rPr>
        <w:t> </w:t>
      </w:r>
      <w:r>
        <w:rPr>
          <w:color w:val="212121"/>
        </w:rPr>
        <w:t>temperature.</w:t>
      </w:r>
    </w:p>
    <w:p>
      <w:pPr>
        <w:pStyle w:val="BodyText"/>
      </w:pPr>
    </w:p>
    <w:p>
      <w:pPr>
        <w:pStyle w:val="BodyText"/>
        <w:spacing w:before="1"/>
        <w:ind w:left="270" w:right="676"/>
        <w:jc w:val="both"/>
      </w:pPr>
      <w:r>
        <w:rPr>
          <w:color w:val="212121"/>
        </w:rPr>
        <w:t>The sound level throughout the day is variable, starting the analysis with the physical environment or the environment as a section of noise, we can see that the intensity at which operators are subject beyond the limits. Despite using earplugs and noise to which workers are exposed is harmful to your</w:t>
      </w:r>
      <w:r>
        <w:rPr>
          <w:color w:val="212121"/>
          <w:spacing w:val="-7"/>
        </w:rPr>
        <w:t> </w:t>
      </w:r>
      <w:r>
        <w:rPr>
          <w:color w:val="212121"/>
        </w:rPr>
        <w:t>health.</w:t>
      </w:r>
    </w:p>
    <w:p>
      <w:pPr>
        <w:spacing w:after="0"/>
        <w:jc w:val="both"/>
        <w:sectPr>
          <w:type w:val="continuous"/>
          <w:pgSz w:w="12240" w:h="15840"/>
          <w:pgMar w:top="1500" w:bottom="280" w:left="580" w:right="220"/>
          <w:cols w:num="2" w:equalWidth="0">
            <w:col w:w="5189" w:space="435"/>
            <w:col w:w="5816"/>
          </w:cols>
        </w:sectPr>
      </w:pPr>
    </w:p>
    <w:p>
      <w:pPr>
        <w:pStyle w:val="BodyText"/>
        <w:spacing w:before="1"/>
        <w:rPr>
          <w:sz w:val="18"/>
        </w:rPr>
      </w:pPr>
    </w:p>
    <w:p>
      <w:pPr>
        <w:pStyle w:val="BodyText"/>
        <w:ind w:left="270"/>
      </w:pPr>
      <w:r>
        <w:rPr/>
        <w:drawing>
          <wp:inline distT="0" distB="0" distL="0" distR="0">
            <wp:extent cx="2184200" cy="2724150"/>
            <wp:effectExtent l="0" t="0" r="0" b="0"/>
            <wp:docPr id="457" name="image277.jpeg" descr=""/>
            <wp:cNvGraphicFramePr>
              <a:graphicFrameLocks noChangeAspect="1"/>
            </wp:cNvGraphicFramePr>
            <a:graphic>
              <a:graphicData uri="http://schemas.openxmlformats.org/drawingml/2006/picture">
                <pic:pic>
                  <pic:nvPicPr>
                    <pic:cNvPr id="458" name="image277.jpeg"/>
                    <pic:cNvPicPr/>
                  </pic:nvPicPr>
                  <pic:blipFill>
                    <a:blip r:embed="rId466" cstate="print"/>
                    <a:stretch>
                      <a:fillRect/>
                    </a:stretch>
                  </pic:blipFill>
                  <pic:spPr>
                    <a:xfrm>
                      <a:off x="0" y="0"/>
                      <a:ext cx="2184200" cy="2724150"/>
                    </a:xfrm>
                    <a:prstGeom prst="rect">
                      <a:avLst/>
                    </a:prstGeom>
                  </pic:spPr>
                </pic:pic>
              </a:graphicData>
            </a:graphic>
          </wp:inline>
        </w:drawing>
      </w:r>
      <w:r>
        <w:rPr/>
      </w:r>
    </w:p>
    <w:p>
      <w:pPr>
        <w:pStyle w:val="BodyText"/>
        <w:spacing w:before="6"/>
        <w:rPr>
          <w:sz w:val="23"/>
        </w:rPr>
      </w:pPr>
    </w:p>
    <w:p>
      <w:pPr>
        <w:spacing w:before="0"/>
        <w:ind w:left="1391" w:right="0" w:hanging="17"/>
        <w:jc w:val="left"/>
        <w:rPr>
          <w:sz w:val="18"/>
        </w:rPr>
      </w:pPr>
      <w:r>
        <w:rPr>
          <w:sz w:val="18"/>
        </w:rPr>
        <w:t>Figure 6a. Proposal for improvement.</w:t>
      </w:r>
    </w:p>
    <w:p>
      <w:pPr>
        <w:pStyle w:val="BodyText"/>
      </w:pPr>
    </w:p>
    <w:p>
      <w:pPr>
        <w:pStyle w:val="BodyText"/>
        <w:spacing w:before="10"/>
        <w:rPr>
          <w:sz w:val="25"/>
        </w:rPr>
      </w:pPr>
      <w:r>
        <w:rPr/>
        <w:drawing>
          <wp:anchor distT="0" distB="0" distL="0" distR="0" allowOverlap="1" layoutInCell="1" locked="0" behindDoc="0" simplePos="0" relativeHeight="12304">
            <wp:simplePos x="0" y="0"/>
            <wp:positionH relativeFrom="page">
              <wp:posOffset>540258</wp:posOffset>
            </wp:positionH>
            <wp:positionV relativeFrom="paragraph">
              <wp:posOffset>214048</wp:posOffset>
            </wp:positionV>
            <wp:extent cx="2977789" cy="1824227"/>
            <wp:effectExtent l="0" t="0" r="0" b="0"/>
            <wp:wrapTopAndBottom/>
            <wp:docPr id="459" name="image278.png" descr=""/>
            <wp:cNvGraphicFramePr>
              <a:graphicFrameLocks noChangeAspect="1"/>
            </wp:cNvGraphicFramePr>
            <a:graphic>
              <a:graphicData uri="http://schemas.openxmlformats.org/drawingml/2006/picture">
                <pic:pic>
                  <pic:nvPicPr>
                    <pic:cNvPr id="460" name="image278.png"/>
                    <pic:cNvPicPr/>
                  </pic:nvPicPr>
                  <pic:blipFill>
                    <a:blip r:embed="rId467" cstate="print"/>
                    <a:stretch>
                      <a:fillRect/>
                    </a:stretch>
                  </pic:blipFill>
                  <pic:spPr>
                    <a:xfrm>
                      <a:off x="0" y="0"/>
                      <a:ext cx="2977789" cy="1824227"/>
                    </a:xfrm>
                    <a:prstGeom prst="rect">
                      <a:avLst/>
                    </a:prstGeom>
                  </pic:spPr>
                </pic:pic>
              </a:graphicData>
            </a:graphic>
          </wp:anchor>
        </w:drawing>
      </w:r>
    </w:p>
    <w:p>
      <w:pPr>
        <w:pStyle w:val="BodyText"/>
        <w:spacing w:before="4"/>
        <w:rPr>
          <w:sz w:val="16"/>
        </w:rPr>
      </w:pPr>
    </w:p>
    <w:p>
      <w:pPr>
        <w:spacing w:before="0"/>
        <w:ind w:left="1391" w:right="0" w:firstLine="0"/>
        <w:jc w:val="left"/>
        <w:rPr>
          <w:sz w:val="18"/>
        </w:rPr>
      </w:pPr>
      <w:r>
        <w:rPr>
          <w:sz w:val="18"/>
        </w:rPr>
        <w:t>Figure 6b Proposal for improvement.</w:t>
      </w:r>
    </w:p>
    <w:p>
      <w:pPr>
        <w:pStyle w:val="BodyText"/>
        <w:spacing w:before="3"/>
      </w:pPr>
    </w:p>
    <w:p>
      <w:pPr>
        <w:pStyle w:val="Heading4"/>
        <w:spacing w:before="1"/>
      </w:pPr>
      <w:r>
        <w:rPr/>
        <w:t>5- CONCLUSIONS.</w:t>
      </w:r>
    </w:p>
    <w:p>
      <w:pPr>
        <w:pStyle w:val="BodyText"/>
        <w:spacing w:before="8"/>
        <w:rPr>
          <w:b/>
          <w:sz w:val="19"/>
        </w:rPr>
      </w:pPr>
    </w:p>
    <w:p>
      <w:pPr>
        <w:pStyle w:val="BodyText"/>
        <w:ind w:left="270" w:right="1"/>
        <w:jc w:val="both"/>
      </w:pPr>
      <w:r>
        <w:rPr>
          <w:color w:val="212121"/>
        </w:rPr>
        <w:t>It is very important to the development of new procedures, restructuring jobs and training for operators prevent further damage and to introduce the company's awareness of the importance of health care and in this way also meet the requirements of the TS-16949 [9].</w:t>
      </w:r>
    </w:p>
    <w:p>
      <w:pPr>
        <w:pStyle w:val="BodyText"/>
        <w:spacing w:before="11"/>
        <w:rPr>
          <w:sz w:val="19"/>
        </w:rPr>
      </w:pPr>
    </w:p>
    <w:p>
      <w:pPr>
        <w:pStyle w:val="BodyText"/>
        <w:ind w:left="270"/>
        <w:jc w:val="both"/>
      </w:pPr>
      <w:r>
        <w:rPr>
          <w:color w:val="212121"/>
        </w:rPr>
        <w:t>The worker is exposed to 88.5 dBA for a period of 5-6 hours at 100 dBA for 2 hours (Data provided by the Department of Safety and Health). Note: The value of 0.75 was obtained by linear interpolation of the data table shows Permitted Noise.</w:t>
      </w:r>
    </w:p>
    <w:p>
      <w:pPr>
        <w:pStyle w:val="BodyText"/>
      </w:pPr>
    </w:p>
    <w:p>
      <w:pPr>
        <w:pStyle w:val="BodyText"/>
        <w:spacing w:before="1"/>
        <w:ind w:left="270"/>
        <w:jc w:val="both"/>
      </w:pPr>
      <w:r>
        <w:rPr>
          <w:color w:val="212121"/>
        </w:rPr>
        <w:t>Exposure to impulsive or impact noise should not exceed the peak level of 140 dBA sound pressure, and as you can see, the noise dose that was obtained is 166.67, indicating that the worker is prone to injury by this condition, which derives from the shock caused by the same presses and the sound emitted by the exhaust of compressed air at low press.</w:t>
      </w:r>
    </w:p>
    <w:p>
      <w:pPr>
        <w:pStyle w:val="BodyText"/>
      </w:pPr>
      <w:r>
        <w:rPr/>
        <w:br w:type="column"/>
      </w:r>
      <w:r>
        <w:rPr/>
      </w:r>
    </w:p>
    <w:p>
      <w:pPr>
        <w:pStyle w:val="BodyText"/>
        <w:spacing w:before="11"/>
        <w:rPr>
          <w:sz w:val="17"/>
        </w:rPr>
      </w:pPr>
    </w:p>
    <w:p>
      <w:pPr>
        <w:pStyle w:val="Heading4"/>
        <w:ind w:left="281"/>
      </w:pPr>
      <w:r>
        <w:rPr>
          <w:color w:val="233F5E"/>
        </w:rPr>
        <w:t>6. REFERENCES</w:t>
      </w:r>
    </w:p>
    <w:p>
      <w:pPr>
        <w:pStyle w:val="BodyText"/>
        <w:spacing w:before="9"/>
        <w:rPr>
          <w:b/>
          <w:sz w:val="19"/>
        </w:rPr>
      </w:pPr>
    </w:p>
    <w:p>
      <w:pPr>
        <w:pStyle w:val="BodyText"/>
        <w:spacing w:before="1"/>
        <w:ind w:left="281" w:right="674"/>
        <w:jc w:val="both"/>
      </w:pPr>
      <w:r>
        <w:rPr/>
        <w:t>[1] Ramirez Cesar Ergonomía y Productividad]. - México : LIMUSA, 2009.</w:t>
      </w:r>
    </w:p>
    <w:p>
      <w:pPr>
        <w:pStyle w:val="BodyText"/>
        <w:ind w:left="281" w:right="677"/>
        <w:jc w:val="both"/>
      </w:pPr>
      <w:r>
        <w:rPr/>
        <w:t>[2] Mondelo Pedro R, Torada Enrique Gregori y Barrau Bombardó - Cataluña, España. : UPC, 2005.</w:t>
      </w:r>
    </w:p>
    <w:p>
      <w:pPr>
        <w:pStyle w:val="BodyText"/>
        <w:spacing w:before="1"/>
        <w:ind w:left="281" w:right="797" w:hanging="11"/>
        <w:rPr>
          <w:rFonts w:ascii="Calibri" w:hAnsi="Calibri"/>
        </w:rPr>
      </w:pPr>
      <w:r>
        <w:rPr>
          <w:rFonts w:ascii="Calibri" w:hAnsi="Calibri"/>
        </w:rPr>
        <w:t>[3] Bonilla Rodríguez, E. (2008). La técnica Antropométrica aplicada al diseño Industrial. México: UAM.</w:t>
      </w:r>
    </w:p>
    <w:p>
      <w:pPr>
        <w:pStyle w:val="BodyText"/>
        <w:ind w:left="281" w:right="677"/>
        <w:jc w:val="both"/>
      </w:pPr>
      <w:r>
        <w:rPr/>
        <w:t>[4] Melo José Luis Ergonomía práctica - Granada, España : Mapfre, 2009.</w:t>
      </w:r>
    </w:p>
    <w:p>
      <w:pPr>
        <w:pStyle w:val="BodyText"/>
        <w:ind w:left="281" w:right="676" w:firstLine="50"/>
        <w:jc w:val="both"/>
      </w:pPr>
      <w:r>
        <w:rPr/>
        <w:t>[5] Martin, P. J. (s.f.). Las Dimensiones Humanas en los espacios interiores. Ediciones G. Gilli S.A.</w:t>
      </w:r>
    </w:p>
    <w:p>
      <w:pPr>
        <w:pStyle w:val="BodyText"/>
        <w:ind w:left="281" w:right="677"/>
        <w:jc w:val="both"/>
      </w:pPr>
      <w:r>
        <w:rPr/>
        <w:t>[6] Oborne David Ergonomía en acción: la adaptación del medio de trabajo al hombre [Libro]. - México : TRILLAS, 2005.</w:t>
      </w:r>
    </w:p>
    <w:p>
      <w:pPr>
        <w:pStyle w:val="BodyText"/>
        <w:ind w:left="281" w:right="677"/>
        <w:jc w:val="both"/>
      </w:pPr>
      <w:r>
        <w:rPr/>
        <w:t>[7] Mora Caudrad, S. (2011). Seguridad e higiene industrial para la empresa HOLY WATER</w:t>
      </w:r>
    </w:p>
    <w:p>
      <w:pPr>
        <w:pStyle w:val="BodyText"/>
        <w:ind w:left="281" w:right="676"/>
        <w:jc w:val="both"/>
      </w:pPr>
      <w:r>
        <w:rPr/>
        <w:t>[8] Saavedra Francisco Javier, Hernández Carmen y Mascato Adrian Maestro Saavedra, Francisco Javier (1). - Coruña, España : Fisterra, 2009. - I : Vol.</w:t>
      </w:r>
      <w:r>
        <w:rPr>
          <w:spacing w:val="-17"/>
        </w:rPr>
        <w:t> </w:t>
      </w:r>
      <w:r>
        <w:rPr/>
        <w:t>I.</w:t>
      </w:r>
    </w:p>
    <w:p>
      <w:pPr>
        <w:pStyle w:val="BodyText"/>
        <w:ind w:left="281"/>
        <w:jc w:val="both"/>
      </w:pPr>
      <w:r>
        <w:rPr/>
        <w:t>[9]     </w:t>
      </w:r>
      <w:r>
        <w:rPr>
          <w:color w:val="212121"/>
        </w:rPr>
        <w:t>TS-16949</w:t>
      </w:r>
      <w:r>
        <w:rPr/>
        <w:t>,  Condiciones  en  los  centros  de    trabajo.</w:t>
      </w:r>
    </w:p>
    <w:p>
      <w:pPr>
        <w:pStyle w:val="BodyText"/>
        <w:ind w:left="281"/>
        <w:jc w:val="both"/>
      </w:pPr>
      <w:r>
        <w:rPr/>
        <w:t>D.O.F. 20-XII-2008</w:t>
      </w:r>
    </w:p>
    <w:p>
      <w:pPr>
        <w:pStyle w:val="BodyText"/>
      </w:pPr>
    </w:p>
    <w:p>
      <w:pPr>
        <w:pStyle w:val="BodyText"/>
        <w:spacing w:before="9"/>
        <w:rPr>
          <w:sz w:val="15"/>
        </w:rPr>
      </w:pPr>
    </w:p>
    <w:p>
      <w:pPr>
        <w:spacing w:before="0"/>
        <w:ind w:left="281" w:right="677" w:firstLine="0"/>
        <w:jc w:val="both"/>
        <w:rPr>
          <w:sz w:val="16"/>
        </w:rPr>
      </w:pPr>
      <w:r>
        <w:rPr>
          <w:b/>
          <w:sz w:val="16"/>
        </w:rPr>
        <w:t>Martin Gabriel López López: </w:t>
      </w:r>
      <w:r>
        <w:rPr>
          <w:sz w:val="16"/>
        </w:rPr>
        <w:t>Industrial Engineering at the Polytechnic University of the Valley of Mexico.</w:t>
      </w:r>
    </w:p>
    <w:p>
      <w:pPr>
        <w:pStyle w:val="BodyText"/>
        <w:spacing w:before="3"/>
        <w:rPr>
          <w:sz w:val="17"/>
        </w:rPr>
      </w:pPr>
    </w:p>
    <w:p>
      <w:pPr>
        <w:spacing w:before="0"/>
        <w:ind w:left="281" w:right="677" w:firstLine="0"/>
        <w:jc w:val="both"/>
        <w:rPr>
          <w:sz w:val="16"/>
        </w:rPr>
      </w:pPr>
      <w:r>
        <w:rPr>
          <w:b/>
          <w:sz w:val="16"/>
        </w:rPr>
        <w:t>Adolfo Santana Martínez</w:t>
      </w:r>
      <w:r>
        <w:rPr>
          <w:sz w:val="16"/>
        </w:rPr>
        <w:t>: Students Plan Industrial Engineering at the Polytechnic University of the Valley of Mexico.</w:t>
      </w:r>
    </w:p>
    <w:p>
      <w:pPr>
        <w:pStyle w:val="BodyText"/>
        <w:spacing w:before="10"/>
        <w:rPr>
          <w:sz w:val="15"/>
        </w:rPr>
      </w:pPr>
    </w:p>
    <w:p>
      <w:pPr>
        <w:spacing w:before="0"/>
        <w:ind w:left="281" w:right="677" w:firstLine="0"/>
        <w:jc w:val="both"/>
        <w:rPr>
          <w:sz w:val="16"/>
        </w:rPr>
      </w:pPr>
      <w:r>
        <w:rPr>
          <w:b/>
          <w:sz w:val="16"/>
        </w:rPr>
        <w:t>Raquel Muñoz Hernández.</w:t>
      </w:r>
      <w:r>
        <w:rPr>
          <w:sz w:val="16"/>
        </w:rPr>
        <w:t>: Industrial Engineer and Master of Science from the Metropolitan Autonomous University, PhD in Organizational Development from the University of Mexico City. PTC of the Division of Industrial Engineering and has been a speaker at national and international conferences.</w:t>
      </w:r>
    </w:p>
    <w:p>
      <w:pPr>
        <w:spacing w:after="0"/>
        <w:jc w:val="both"/>
        <w:rPr>
          <w:sz w:val="16"/>
        </w:rPr>
        <w:sectPr>
          <w:pgSz w:w="12240" w:h="15840"/>
          <w:pgMar w:header="545" w:footer="852" w:top="1060" w:bottom="1040" w:left="580" w:right="220"/>
          <w:cols w:num="2" w:equalWidth="0">
            <w:col w:w="5189" w:space="424"/>
            <w:col w:w="5827"/>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Heading1"/>
        <w:spacing w:before="75"/>
        <w:ind w:right="19"/>
        <w:rPr>
          <w:rFonts w:ascii="Arial" w:hAnsi="Arial"/>
        </w:rPr>
      </w:pPr>
      <w:r>
        <w:rPr>
          <w:rFonts w:ascii="Arial" w:hAnsi="Arial"/>
        </w:rPr>
        <w:t>Ergonomic research about possible CDT’s in barbers of Los Mochis, Sinaloa City</w:t>
      </w:r>
    </w:p>
    <w:p>
      <w:pPr>
        <w:pStyle w:val="BodyText"/>
        <w:rPr>
          <w:rFonts w:ascii="Arial"/>
          <w:b/>
        </w:rPr>
      </w:pPr>
    </w:p>
    <w:p>
      <w:pPr>
        <w:spacing w:line="230" w:lineRule="exact" w:before="0"/>
        <w:ind w:left="270" w:right="16" w:firstLine="0"/>
        <w:jc w:val="both"/>
        <w:rPr>
          <w:i/>
          <w:sz w:val="20"/>
        </w:rPr>
      </w:pPr>
      <w:r>
        <w:rPr>
          <w:i/>
          <w:sz w:val="20"/>
        </w:rPr>
        <w:t>Alberto Ramírez Leyva </w:t>
      </w:r>
      <w:r>
        <w:rPr>
          <w:i/>
          <w:position w:val="9"/>
          <w:sz w:val="13"/>
        </w:rPr>
        <w:t>a</w:t>
      </w:r>
      <w:r>
        <w:rPr>
          <w:i/>
          <w:sz w:val="20"/>
        </w:rPr>
        <w:t>, Jorge Alan Hinogiante Castillo </w:t>
      </w:r>
      <w:r>
        <w:rPr>
          <w:i/>
          <w:position w:val="9"/>
          <w:sz w:val="13"/>
        </w:rPr>
        <w:t>b</w:t>
      </w:r>
      <w:r>
        <w:rPr>
          <w:i/>
          <w:sz w:val="20"/>
        </w:rPr>
        <w:t>, </w:t>
      </w:r>
      <w:r>
        <w:rPr>
          <w:i/>
          <w:sz w:val="20"/>
        </w:rPr>
        <w:t>Elizabeth Guadalupe Robles Rojo </w:t>
      </w:r>
      <w:r>
        <w:rPr>
          <w:i/>
          <w:position w:val="9"/>
          <w:sz w:val="13"/>
        </w:rPr>
        <w:t>c</w:t>
      </w:r>
      <w:r>
        <w:rPr>
          <w:i/>
          <w:sz w:val="20"/>
        </w:rPr>
        <w:t>, Reyna Isabel Camacho Chávez </w:t>
      </w:r>
      <w:r>
        <w:rPr>
          <w:i/>
          <w:position w:val="9"/>
          <w:sz w:val="13"/>
        </w:rPr>
        <w:t>d</w:t>
      </w:r>
      <w:r>
        <w:rPr>
          <w:i/>
          <w:sz w:val="20"/>
        </w:rPr>
        <w:t>.</w:t>
      </w:r>
    </w:p>
    <w:p>
      <w:pPr>
        <w:pStyle w:val="BodyText"/>
        <w:spacing w:before="4"/>
        <w:rPr>
          <w:i/>
          <w:sz w:val="18"/>
        </w:rPr>
      </w:pPr>
    </w:p>
    <w:p>
      <w:pPr>
        <w:spacing w:before="1"/>
        <w:ind w:left="270" w:right="1" w:firstLine="0"/>
        <w:jc w:val="both"/>
        <w:rPr>
          <w:sz w:val="16"/>
        </w:rPr>
      </w:pPr>
      <w:r>
        <w:rPr>
          <w:position w:val="7"/>
          <w:sz w:val="10"/>
        </w:rPr>
        <w:t>a </w:t>
      </w:r>
      <w:r>
        <w:rPr>
          <w:sz w:val="16"/>
        </w:rPr>
        <w:t>Instituto Tecnológico de Los Mochis, Juan de Dios Batiz y 20 de  noviembre s/n código postal 81259, alberto_ramirez_leyva@yahoo,com,  Los Mochis, Sinaloa,</w:t>
      </w:r>
      <w:r>
        <w:rPr>
          <w:spacing w:val="-19"/>
          <w:sz w:val="16"/>
        </w:rPr>
        <w:t> </w:t>
      </w:r>
      <w:r>
        <w:rPr>
          <w:sz w:val="16"/>
        </w:rPr>
        <w:t>México.</w:t>
      </w:r>
    </w:p>
    <w:p>
      <w:pPr>
        <w:spacing w:line="184" w:lineRule="exact" w:before="1"/>
        <w:ind w:left="270" w:right="0" w:firstLine="0"/>
        <w:jc w:val="both"/>
        <w:rPr>
          <w:sz w:val="16"/>
        </w:rPr>
      </w:pPr>
      <w:r>
        <w:rPr>
          <w:position w:val="7"/>
          <w:sz w:val="10"/>
        </w:rPr>
        <w:t>b </w:t>
      </w:r>
      <w:r>
        <w:rPr>
          <w:sz w:val="16"/>
        </w:rPr>
        <w:t>Estudiante del Instituto Tecnológico de Los Mochis, Juan de Dios Batiz y 20 de noviembre s/n código postal 81259, alanh0504@hotmail, Los Mochis, Sinaloa, México.</w:t>
      </w:r>
    </w:p>
    <w:p>
      <w:pPr>
        <w:spacing w:line="184" w:lineRule="exact" w:before="0"/>
        <w:ind w:left="270" w:right="0" w:firstLine="0"/>
        <w:jc w:val="both"/>
        <w:rPr>
          <w:sz w:val="16"/>
        </w:rPr>
      </w:pPr>
      <w:r>
        <w:rPr>
          <w:position w:val="7"/>
          <w:sz w:val="10"/>
        </w:rPr>
        <w:t>c </w:t>
      </w:r>
      <w:r>
        <w:rPr>
          <w:sz w:val="16"/>
        </w:rPr>
        <w:t>Estudiante del Instituto Tecnológico de Los Mochis, Juan de Dios Batiz y 20 de noviembre s/n código postal 81259, </w:t>
      </w:r>
      <w:hyperlink r:id="rId468">
        <w:r>
          <w:rPr>
            <w:sz w:val="16"/>
          </w:rPr>
          <w:t>elizabethroblesr@live.com,</w:t>
        </w:r>
      </w:hyperlink>
      <w:r>
        <w:rPr>
          <w:sz w:val="16"/>
        </w:rPr>
        <w:t> Los Mochis, Sinaloa, México.</w:t>
      </w:r>
    </w:p>
    <w:p>
      <w:pPr>
        <w:spacing w:line="184" w:lineRule="exact" w:before="0"/>
        <w:ind w:left="270" w:right="0" w:firstLine="0"/>
        <w:jc w:val="both"/>
        <w:rPr>
          <w:sz w:val="16"/>
        </w:rPr>
      </w:pPr>
      <w:r>
        <w:rPr>
          <w:position w:val="7"/>
          <w:sz w:val="10"/>
        </w:rPr>
        <w:t>d </w:t>
      </w:r>
      <w:r>
        <w:rPr>
          <w:sz w:val="16"/>
        </w:rPr>
        <w:t>Estudiante del Instituto Tecnológico de Los Mochis, Juan de Dios Batiz y 20 de noviembre s/n código postal 81259, reynaisabelca@hotmail,com, Los Mochis, Sinaloa, México.</w:t>
      </w:r>
    </w:p>
    <w:p>
      <w:pPr>
        <w:pStyle w:val="BodyText"/>
        <w:spacing w:before="2"/>
      </w:pPr>
    </w:p>
    <w:p>
      <w:pPr>
        <w:pStyle w:val="Heading4"/>
      </w:pPr>
      <w:r>
        <w:rPr/>
        <w:pict>
          <v:line style="position:absolute;mso-position-horizontal-relative:page;mso-position-vertical-relative:paragraph;z-index:12328" from="41.040001pt,13.265948pt" to="289.860001pt,13.265948pt" stroked="true" strokeweight="1.5pt" strokecolor="#000000">
            <w10:wrap type="none"/>
          </v:line>
        </w:pict>
      </w:r>
      <w:r>
        <w:rPr/>
        <w:t>Resumen</w:t>
      </w:r>
    </w:p>
    <w:p>
      <w:pPr>
        <w:pStyle w:val="BodyText"/>
        <w:spacing w:before="47"/>
        <w:ind w:left="270" w:right="14"/>
        <w:jc w:val="both"/>
      </w:pPr>
      <w:r>
        <w:rPr/>
        <w:t>Este documento presenta resultados obtenidos de dos métodos subjetivos para determinar posibles desórdenes musculo-esqueléticos aplicados durante tres semanas comprendidas entre los meses de Junio y Agosto de 2014.   El primer método es el mapeo de Corlett y Bishop (Corlett, 1976), el cual contiene un mapa del cuerpo utilizado para facilitar la detección de las zonas de posibles desórdenes de trauma acumulativos. El segundo método subjetivo es el de detección de fatiga Yoshitake, para la proyección de daño físico el cual consta de 3 grupos de preguntas. El primer grupo hace referencia a síntomas de somnolencia y monotonía, el segundo, a  la dificultad de concentración y  por último, a síntomas corporales o proyección de daño físico. Tales métodos presentados en formato de encuestas, fueron aplicados en peluqueros de la ciudad de Los Mochis Sinaloa México. Con un total de 34 encuestados, los resultados obtenidos permiten identificar las principales partes del cuerpo que presentan daño físico (Yoshitake) y posibles desórdenes de trauma acumulativos (Corlett &amp; Bishop). Esto a su vez, nos permite facilitar recomendaciones ergonómicas para mejorar la calidad de vida de los peluqueros aportando datos a la salud  ocupacional de este segmento a la población económicamente</w:t>
      </w:r>
      <w:r>
        <w:rPr>
          <w:spacing w:val="-17"/>
        </w:rPr>
        <w:t> </w:t>
      </w:r>
      <w:r>
        <w:rPr/>
        <w:t>activa.</w:t>
      </w:r>
    </w:p>
    <w:p>
      <w:pPr>
        <w:pStyle w:val="BodyText"/>
        <w:ind w:left="270" w:right="17"/>
        <w:jc w:val="both"/>
      </w:pPr>
      <w:r>
        <w:rPr>
          <w:b/>
        </w:rPr>
        <w:t>Palabras clave</w:t>
      </w:r>
      <w:r>
        <w:rPr/>
        <w:t>— Lesiones musculo-esqueléticas, trabajo repetitivo, fígaros.</w:t>
      </w:r>
    </w:p>
    <w:p>
      <w:pPr>
        <w:pStyle w:val="BodyText"/>
        <w:spacing w:before="3"/>
      </w:pPr>
    </w:p>
    <w:p>
      <w:pPr>
        <w:pStyle w:val="Heading5"/>
        <w:rPr>
          <w:i/>
        </w:rPr>
      </w:pPr>
      <w:r>
        <w:rPr/>
        <w:pict>
          <v:line style="position:absolute;mso-position-horizontal-relative:page;mso-position-vertical-relative:paragraph;z-index:12352" from="41.040001pt,13.266945pt" to="289.860001pt,13.266945pt" stroked="true" strokeweight="1.5pt" strokecolor="#000000">
            <w10:wrap type="none"/>
          </v:line>
        </w:pict>
      </w:r>
      <w:r>
        <w:rPr>
          <w:i/>
        </w:rPr>
        <w:t>Abstract</w:t>
      </w:r>
    </w:p>
    <w:p>
      <w:pPr>
        <w:spacing w:before="47"/>
        <w:ind w:left="270" w:right="16" w:firstLine="0"/>
        <w:jc w:val="both"/>
        <w:rPr>
          <w:i/>
          <w:sz w:val="20"/>
        </w:rPr>
      </w:pPr>
      <w:r>
        <w:rPr>
          <w:i/>
          <w:sz w:val="20"/>
        </w:rPr>
        <w:t>This paper presents results of two subjective methods to </w:t>
      </w:r>
      <w:r>
        <w:rPr>
          <w:i/>
          <w:sz w:val="20"/>
        </w:rPr>
        <w:t>determine possible muscle-skeletal disorders applied for three weeks between the months of June and August 2014. The first method is mapping Corlett and Bishop (Corlett, 1976), which contains Body map used to facilitate detection of possible areas of cumulative trauma disorders. The  second method is subjective fatigue detection Yoshitake, for the projection of physical injury which consists of 3 groups  of questions. The first group refers to symptoms of sleepness and   monotony,   the   second   one   is   about</w:t>
      </w:r>
      <w:r>
        <w:rPr>
          <w:i/>
          <w:spacing w:val="17"/>
          <w:sz w:val="20"/>
        </w:rPr>
        <w:t> </w:t>
      </w:r>
      <w:r>
        <w:rPr>
          <w:i/>
          <w:sz w:val="20"/>
        </w:rPr>
        <w:t>concentration</w:t>
      </w:r>
    </w:p>
    <w:p>
      <w:pPr>
        <w:spacing w:before="74"/>
        <w:ind w:left="270" w:right="676" w:firstLine="0"/>
        <w:jc w:val="both"/>
        <w:rPr>
          <w:i/>
          <w:sz w:val="20"/>
        </w:rPr>
      </w:pPr>
      <w:r>
        <w:rPr/>
        <w:br w:type="column"/>
      </w:r>
      <w:r>
        <w:rPr>
          <w:i/>
          <w:sz w:val="20"/>
        </w:rPr>
        <w:t>difficulty and finally to bodily symptoms or projection of </w:t>
      </w:r>
      <w:r>
        <w:rPr>
          <w:i/>
          <w:sz w:val="20"/>
        </w:rPr>
        <w:t>physical damage. Such methods presented in the form of surveys, were applied with barbers from Los Mochis  Sinaloa Mexico. With a total of 34 respondents, the results allow us to identify the main parts of the body that have physical damage (Yoshitake) and possible cumulative trauma disorders (Corlett &amp; Bishop). This allows us to provide ergonomic recommendations for improving the quality in the life of barbers providing information to the occupational health of this segment of the economically active</w:t>
      </w:r>
      <w:r>
        <w:rPr>
          <w:i/>
          <w:spacing w:val="-11"/>
          <w:sz w:val="20"/>
        </w:rPr>
        <w:t> </w:t>
      </w:r>
      <w:r>
        <w:rPr>
          <w:i/>
          <w:sz w:val="20"/>
        </w:rPr>
        <w:t>population.</w:t>
      </w:r>
    </w:p>
    <w:p>
      <w:pPr>
        <w:pStyle w:val="BodyText"/>
        <w:spacing w:before="11"/>
        <w:rPr>
          <w:i/>
          <w:sz w:val="19"/>
        </w:rPr>
      </w:pPr>
    </w:p>
    <w:p>
      <w:pPr>
        <w:spacing w:before="0"/>
        <w:ind w:left="270" w:right="680" w:firstLine="0"/>
        <w:jc w:val="both"/>
        <w:rPr>
          <w:i/>
          <w:sz w:val="20"/>
        </w:rPr>
      </w:pPr>
      <w:r>
        <w:rPr>
          <w:b/>
          <w:i/>
          <w:sz w:val="20"/>
        </w:rPr>
        <w:t>Keywords</w:t>
      </w:r>
      <w:r>
        <w:rPr>
          <w:i/>
          <w:sz w:val="20"/>
        </w:rPr>
        <w:t>— Muscle-skeletal injuries, repetitive work, </w:t>
      </w:r>
      <w:r>
        <w:rPr>
          <w:i/>
          <w:sz w:val="20"/>
        </w:rPr>
        <w:t>figaros.</w:t>
      </w:r>
    </w:p>
    <w:p>
      <w:pPr>
        <w:pStyle w:val="BodyText"/>
        <w:spacing w:before="11"/>
        <w:rPr>
          <w:i/>
          <w:sz w:val="19"/>
        </w:rPr>
      </w:pPr>
    </w:p>
    <w:p>
      <w:pPr>
        <w:pStyle w:val="BodyText"/>
        <w:ind w:left="270" w:right="676"/>
        <w:jc w:val="both"/>
      </w:pPr>
      <w:r>
        <w:rPr/>
        <w:t>Relevance to Ergonomics: The present research aims to generate databases for the design of tools and solutions for this part of the economically active population. This  research serves as precedent in the country for further research in the same field for</w:t>
      </w:r>
      <w:r>
        <w:rPr>
          <w:spacing w:val="-4"/>
        </w:rPr>
        <w:t> </w:t>
      </w:r>
      <w:r>
        <w:rPr/>
        <w:t>barbers.</w:t>
      </w:r>
    </w:p>
    <w:p>
      <w:pPr>
        <w:pStyle w:val="BodyText"/>
        <w:spacing w:before="2"/>
      </w:pPr>
    </w:p>
    <w:p>
      <w:pPr>
        <w:pStyle w:val="Heading4"/>
        <w:numPr>
          <w:ilvl w:val="0"/>
          <w:numId w:val="105"/>
        </w:numPr>
        <w:tabs>
          <w:tab w:pos="473" w:val="left" w:leader="none"/>
        </w:tabs>
        <w:spacing w:line="240" w:lineRule="auto" w:before="0" w:after="0"/>
        <w:ind w:left="472" w:right="0" w:hanging="202"/>
        <w:jc w:val="both"/>
      </w:pPr>
      <w:r>
        <w:rPr/>
        <w:t>Introduction</w:t>
      </w:r>
    </w:p>
    <w:p>
      <w:pPr>
        <w:pStyle w:val="BodyText"/>
        <w:spacing w:before="9"/>
        <w:rPr>
          <w:b/>
          <w:sz w:val="19"/>
        </w:rPr>
      </w:pPr>
    </w:p>
    <w:p>
      <w:pPr>
        <w:pStyle w:val="BodyText"/>
        <w:spacing w:before="1"/>
        <w:ind w:left="270" w:right="676"/>
        <w:jc w:val="both"/>
      </w:pPr>
      <w:r>
        <w:rPr/>
        <w:t>According to Maynard's Industrial Engineering Handbook fifth edition, conditions and muscle-skeletal disorders represent a significant problem in the workplace worldwide. These disturbances not only cause human suffering but also lead to loss of economic nature. It is considered that labor fraction of muscle-skeletal disorders (i.e., one that  could have been avoided using a risk free work) amounts to 40%. Thus, health has become an issue which is a very important consideration when designing systems of products. The jobs that include manual lifting operation involving mainly the risk of generating disorders in the lower back; while repetitive work (for example, material handling / light components) results, usually to conditions in the regions of neck and shoulder and arm and wrist. The origin of muscle- skeletal disorders related to work, due to numerous reasons, is complex and involves both physical and psychosocial factors and the ability of each worker.</w:t>
      </w:r>
    </w:p>
    <w:p>
      <w:pPr>
        <w:pStyle w:val="BodyText"/>
        <w:spacing w:before="11"/>
        <w:rPr>
          <w:sz w:val="19"/>
        </w:rPr>
      </w:pPr>
    </w:p>
    <w:p>
      <w:pPr>
        <w:pStyle w:val="BodyText"/>
        <w:ind w:left="270" w:right="676" w:firstLine="432"/>
        <w:jc w:val="both"/>
      </w:pPr>
      <w:r>
        <w:rPr/>
        <w:t>This article projects the result of a study in the City of Los Mochis Sinaloa in July and August 2014, which aims to identify through mapping Corlett &amp; Bishop, the existence of possible CDT's on barbers, who according to the Royal Spanish Academy, are those who have the job of combing, cutting hair or make and sell wigs, curls, etc. “Thousands of men and women work long shifts to support their family, consequently resulting physical problems as well as various discomforts that affect their job performance." Leyva A, Estrada B, Ramirez L. 2009.</w:t>
      </w:r>
    </w:p>
    <w:p>
      <w:pPr>
        <w:pStyle w:val="BodyText"/>
        <w:spacing w:before="11"/>
        <w:rPr>
          <w:sz w:val="19"/>
        </w:rPr>
      </w:pPr>
    </w:p>
    <w:p>
      <w:pPr>
        <w:pStyle w:val="BodyText"/>
        <w:ind w:left="270" w:right="675" w:firstLine="432"/>
        <w:jc w:val="both"/>
      </w:pPr>
      <w:r>
        <w:rPr/>
        <w:t>Both men and women who work in these places (barbers), they may suffer muscle-skeletal disorders due to overwork or lack of rest that prevents recuperate. However, cumulative trauma disorders, can also be caused by the adoption of poor posture while working, to perform routine tasks that require effort and similar     movements continued</w:t>
      </w:r>
    </w:p>
    <w:p>
      <w:pPr>
        <w:spacing w:after="0"/>
        <w:jc w:val="both"/>
        <w:sectPr>
          <w:type w:val="continuous"/>
          <w:pgSz w:w="12240" w:h="15840"/>
          <w:pgMar w:top="1500" w:bottom="280" w:left="580" w:right="220"/>
          <w:cols w:num="2" w:equalWidth="0">
            <w:col w:w="5207" w:space="417"/>
            <w:col w:w="5816"/>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4"/>
        <w:ind w:left="270" w:right="1"/>
        <w:jc w:val="both"/>
      </w:pPr>
      <w:r>
        <w:rPr/>
        <w:t>by excessive physical exertion. The CDT's can cause various physical ailments such pains in neck and shoulder as well as diseases such as tendinitis, bursitis epicondylitis among others.</w:t>
      </w:r>
    </w:p>
    <w:p>
      <w:pPr>
        <w:pStyle w:val="BodyText"/>
        <w:spacing w:before="2"/>
      </w:pPr>
    </w:p>
    <w:p>
      <w:pPr>
        <w:pStyle w:val="Heading4"/>
        <w:numPr>
          <w:ilvl w:val="0"/>
          <w:numId w:val="105"/>
        </w:numPr>
        <w:tabs>
          <w:tab w:pos="472" w:val="left" w:leader="none"/>
        </w:tabs>
        <w:spacing w:line="240" w:lineRule="auto" w:before="0" w:after="0"/>
        <w:ind w:left="471" w:right="0" w:hanging="201"/>
        <w:jc w:val="both"/>
      </w:pPr>
      <w:r>
        <w:rPr/>
        <w:t>Methodology</w:t>
      </w:r>
    </w:p>
    <w:p>
      <w:pPr>
        <w:pStyle w:val="BodyText"/>
        <w:spacing w:before="8"/>
        <w:rPr>
          <w:b/>
          <w:sz w:val="19"/>
        </w:rPr>
      </w:pPr>
    </w:p>
    <w:p>
      <w:pPr>
        <w:pStyle w:val="BodyText"/>
        <w:ind w:left="270" w:right="1"/>
        <w:jc w:val="both"/>
      </w:pPr>
      <w:r>
        <w:rPr/>
        <w:t>The results obtained in this study were statistically analyzed. A minimum sample of 34 workers of the different existing popular hair salons in the city of Los Mochis, Sinaloa was taken. The goal that we wanted to use was higher than 30 people, due to the ease of analyzing the data statistically, using a normal distribution. Considering the number of people who agreed to complete the survey day, ended up being the 34 respondents. To carry out sampling of 34 workers, we use the technique Corlett &amp; Bishop.</w:t>
      </w:r>
    </w:p>
    <w:p>
      <w:pPr>
        <w:pStyle w:val="BodyText"/>
      </w:pPr>
    </w:p>
    <w:p>
      <w:pPr>
        <w:pStyle w:val="BodyText"/>
        <w:spacing w:before="1"/>
        <w:ind w:left="270" w:right="1" w:firstLine="432"/>
        <w:jc w:val="both"/>
      </w:pPr>
      <w:r>
        <w:rPr/>
        <w:t>First, we locate on a map of the city, leading barbershops, estimating the number of people who could work on each of them. After completing the 34 respondents tentative, we took to the streets of downtown Los Mochis, starting from the second week of June 2014. First we introduce ourselves as students of the Technological Institute of Los Mochis and the reason for our visit. Later, asked permission to apply the survey, and explain why and the time it would took. Once the person agreed, he was asked to answer as realistic as possible. The surveys were applied daily to the 34 workers for three weeks, at the beginning and end of the workday.</w:t>
      </w:r>
    </w:p>
    <w:p>
      <w:pPr>
        <w:pStyle w:val="BodyText"/>
        <w:spacing w:before="11"/>
        <w:rPr>
          <w:sz w:val="19"/>
        </w:rPr>
      </w:pPr>
    </w:p>
    <w:p>
      <w:pPr>
        <w:pStyle w:val="BodyText"/>
        <w:ind w:left="702" w:right="9"/>
      </w:pPr>
      <w:r>
        <w:rPr/>
        <w:t>CDT's possible detection</w:t>
      </w:r>
    </w:p>
    <w:p>
      <w:pPr>
        <w:pStyle w:val="BodyText"/>
        <w:spacing w:before="11"/>
        <w:rPr>
          <w:sz w:val="19"/>
        </w:rPr>
      </w:pPr>
    </w:p>
    <w:p>
      <w:pPr>
        <w:pStyle w:val="BodyText"/>
        <w:ind w:left="270" w:right="1" w:firstLine="432"/>
        <w:jc w:val="both"/>
      </w:pPr>
      <w:r>
        <w:rPr/>
        <w:t>To detect the body part that may present a possible CDT, we use the technique of mapping Corlett &amp; Bishop as mentioned above.</w:t>
      </w:r>
    </w:p>
    <w:p>
      <w:pPr>
        <w:pStyle w:val="BodyText"/>
        <w:spacing w:before="11"/>
        <w:rPr>
          <w:sz w:val="19"/>
        </w:rPr>
      </w:pPr>
    </w:p>
    <w:p>
      <w:pPr>
        <w:pStyle w:val="BodyText"/>
        <w:ind w:left="270" w:firstLine="432"/>
        <w:jc w:val="both"/>
      </w:pPr>
      <w:r>
        <w:rPr/>
        <w:t>Mapping Corlett and Bishop (Corlett, 1976) consist on the map of a human body and its parts. Each body part has a code (letter) for better identification.</w:t>
      </w:r>
    </w:p>
    <w:p>
      <w:pPr>
        <w:pStyle w:val="BodyText"/>
      </w:pPr>
    </w:p>
    <w:p>
      <w:pPr>
        <w:pStyle w:val="BodyText"/>
        <w:spacing w:before="1"/>
        <w:ind w:left="270" w:firstLine="432"/>
        <w:jc w:val="both"/>
      </w:pPr>
      <w:r>
        <w:rPr/>
        <w:t>This technique involves filling a chart that is segmented for weeks, and indicates the begging or ending of the workday, each day of the week is disaggregated  starting from Monday to</w:t>
      </w:r>
      <w:r>
        <w:rPr>
          <w:spacing w:val="-7"/>
        </w:rPr>
        <w:t> </w:t>
      </w:r>
      <w:r>
        <w:rPr/>
        <w:t>Sunday.</w:t>
      </w:r>
    </w:p>
    <w:p>
      <w:pPr>
        <w:pStyle w:val="BodyText"/>
        <w:spacing w:before="11"/>
        <w:rPr>
          <w:sz w:val="19"/>
        </w:rPr>
      </w:pPr>
    </w:p>
    <w:p>
      <w:pPr>
        <w:pStyle w:val="BodyText"/>
        <w:ind w:left="270" w:right="1" w:firstLine="432"/>
        <w:jc w:val="both"/>
      </w:pPr>
      <w:r>
        <w:rPr/>
        <w:t>In turn, the same chart to one side, contains the different parts of the human body, from head to toe, according to the area where the trouble arises, and according to the code (letter) corresponding to that part, the body is marked with an "M" if what you feel is discomfort, or "D" if what you feel is pain, Section input or output, the corresponding day as appropriate. For filling of the chart, they were asked questions such as: What is the body part according to the map that bothers you or hurts?, What is the body part according to the map that you feel any  discomfort?, what he says, is pain or discomfort? And so</w:t>
      </w:r>
      <w:r>
        <w:rPr>
          <w:spacing w:val="-20"/>
        </w:rPr>
        <w:t> </w:t>
      </w:r>
      <w:r>
        <w:rPr/>
        <w:t>on.</w:t>
      </w:r>
    </w:p>
    <w:p>
      <w:pPr>
        <w:pStyle w:val="BodyText"/>
        <w:spacing w:before="3"/>
      </w:pPr>
    </w:p>
    <w:p>
      <w:pPr>
        <w:pStyle w:val="Heading4"/>
        <w:numPr>
          <w:ilvl w:val="1"/>
          <w:numId w:val="105"/>
        </w:numPr>
        <w:tabs>
          <w:tab w:pos="572" w:val="left" w:leader="none"/>
        </w:tabs>
        <w:spacing w:line="240" w:lineRule="auto" w:before="0" w:after="0"/>
        <w:ind w:left="571" w:right="0" w:hanging="301"/>
        <w:jc w:val="both"/>
      </w:pPr>
      <w:r>
        <w:rPr/>
        <w:t>Participants</w:t>
      </w:r>
    </w:p>
    <w:p>
      <w:pPr>
        <w:pStyle w:val="BodyText"/>
        <w:spacing w:before="4"/>
        <w:rPr>
          <w:b/>
          <w:sz w:val="26"/>
        </w:rPr>
      </w:pPr>
      <w:r>
        <w:rPr/>
        <w:br w:type="column"/>
      </w:r>
      <w:r>
        <w:rPr>
          <w:b/>
          <w:sz w:val="26"/>
        </w:rPr>
      </w:r>
    </w:p>
    <w:p>
      <w:pPr>
        <w:pStyle w:val="BodyText"/>
        <w:ind w:left="270" w:right="676"/>
        <w:jc w:val="both"/>
      </w:pPr>
      <w:r>
        <w:rPr/>
        <w:t>The article on "Determination of physical fatigue on  workers in popular markets of the city of Los Mochis Sinaloa," published in 2009 by José Alfredo Leyva Astorga, José Alberto Estrada and Alberto Ramirez Beltran Leyva, tells us</w:t>
      </w:r>
      <w:r>
        <w:rPr>
          <w:spacing w:val="-7"/>
        </w:rPr>
        <w:t> </w:t>
      </w:r>
      <w:r>
        <w:rPr/>
        <w:t>that:</w:t>
      </w:r>
    </w:p>
    <w:p>
      <w:pPr>
        <w:pStyle w:val="BodyText"/>
        <w:ind w:left="270" w:right="677" w:firstLine="432"/>
        <w:jc w:val="both"/>
      </w:pPr>
      <w:r>
        <w:rPr/>
        <w:t>"The work is one of the most valuable sources for human psychological and social well-being and provides most of the meaning and structure of your life. However, it can also have negative effects, one being the muscle-skeletal cumulative trauma disorder or better known as DTA. "</w:t>
      </w:r>
    </w:p>
    <w:p>
      <w:pPr>
        <w:pStyle w:val="BodyText"/>
        <w:spacing w:before="11"/>
        <w:rPr>
          <w:sz w:val="19"/>
        </w:rPr>
      </w:pPr>
    </w:p>
    <w:p>
      <w:pPr>
        <w:pStyle w:val="BodyText"/>
        <w:ind w:left="270" w:right="676" w:firstLine="432"/>
        <w:jc w:val="both"/>
      </w:pPr>
      <w:r>
        <w:rPr/>
        <w:t>The CDT are microscopic lesions (micro traumas) that accumulate by the repeated use of muscles, tendons or joints in the body of the worker (Oliva, 2009). Can manifest as a local well defined syndrome in which inflammation is observed as in the case of tenosynovitis (Olive, 2009). The CDT are very frequent in workers performing repetitive movements and have greater impact on upper limb, where affecting the shoulder joint, elbow and wrist.</w:t>
      </w:r>
    </w:p>
    <w:p>
      <w:pPr>
        <w:pStyle w:val="BodyText"/>
        <w:spacing w:before="11"/>
        <w:rPr>
          <w:sz w:val="19"/>
        </w:rPr>
      </w:pPr>
    </w:p>
    <w:p>
      <w:pPr>
        <w:pStyle w:val="BodyText"/>
        <w:ind w:left="270" w:right="675" w:firstLine="432"/>
        <w:jc w:val="both"/>
      </w:pPr>
      <w:r>
        <w:rPr/>
        <w:t>Researching the subject, found that in 2013 the IMSS statistics memory, Chapter VI (Occupational Health), the number of people reported in "Risk Delegation work" are 542,373 people across Mexico, and 15 116 people were only from the state of Sinaloa. As we were entering in health issues at work, barbers, cumulative trauma disorders, found  a study, conducted in Taiwan, on muscle-skeletal disorders stylists in 2007 (Hsiao-Lin</w:t>
      </w:r>
      <w:r>
        <w:rPr>
          <w:spacing w:val="-15"/>
        </w:rPr>
        <w:t> </w:t>
      </w:r>
      <w:r>
        <w:rPr/>
        <w:t>Fang).</w:t>
      </w:r>
    </w:p>
    <w:p>
      <w:pPr>
        <w:pStyle w:val="BodyText"/>
        <w:spacing w:before="11"/>
        <w:rPr>
          <w:sz w:val="19"/>
        </w:rPr>
      </w:pPr>
    </w:p>
    <w:p>
      <w:pPr>
        <w:pStyle w:val="BodyText"/>
        <w:ind w:left="270" w:right="677" w:firstLine="432"/>
        <w:jc w:val="both"/>
      </w:pPr>
      <w:r>
        <w:rPr/>
        <w:t>In connection with this, we were able to notice that in Mexico, there is no article that tell us about muscle-skeletal disorders specifically barbers. These data, together with the fact that the father and grandfather of Jeorge Hinogiante (part of this article) are barbers, were those who incite us to investigate possible occupational diseases specifically barbers CDT's in our city.</w:t>
      </w:r>
    </w:p>
    <w:p>
      <w:pPr>
        <w:pStyle w:val="BodyText"/>
        <w:spacing w:before="11"/>
        <w:rPr>
          <w:sz w:val="19"/>
        </w:rPr>
      </w:pPr>
    </w:p>
    <w:p>
      <w:pPr>
        <w:pStyle w:val="BodyText"/>
        <w:ind w:left="270" w:right="677" w:firstLine="432"/>
        <w:jc w:val="both"/>
      </w:pPr>
      <w:r>
        <w:rPr/>
        <w:t>This study was realized by analyzing the barbers work at the city of Los Mochis, Sinaloa.</w:t>
      </w:r>
    </w:p>
    <w:p>
      <w:pPr>
        <w:pStyle w:val="BodyText"/>
        <w:spacing w:before="2"/>
      </w:pPr>
    </w:p>
    <w:p>
      <w:pPr>
        <w:pStyle w:val="Heading4"/>
        <w:numPr>
          <w:ilvl w:val="1"/>
          <w:numId w:val="105"/>
        </w:numPr>
        <w:tabs>
          <w:tab w:pos="571" w:val="left" w:leader="none"/>
        </w:tabs>
        <w:spacing w:line="240" w:lineRule="auto" w:before="0" w:after="0"/>
        <w:ind w:left="570" w:right="0" w:hanging="300"/>
        <w:jc w:val="both"/>
      </w:pPr>
      <w:r>
        <w:rPr/>
        <w:t>Corlett &amp;</w:t>
      </w:r>
      <w:r>
        <w:rPr>
          <w:spacing w:val="-5"/>
        </w:rPr>
        <w:t> </w:t>
      </w:r>
      <w:r>
        <w:rPr/>
        <w:t>Bishop</w:t>
      </w:r>
    </w:p>
    <w:p>
      <w:pPr>
        <w:pStyle w:val="BodyText"/>
        <w:spacing w:before="10"/>
        <w:rPr>
          <w:b/>
          <w:sz w:val="19"/>
        </w:rPr>
      </w:pPr>
    </w:p>
    <w:p>
      <w:pPr>
        <w:pStyle w:val="BodyText"/>
        <w:ind w:left="270" w:right="675"/>
        <w:jc w:val="both"/>
      </w:pPr>
      <w:r>
        <w:rPr/>
        <w:t>The scale map of discomfort or body segments (Corlett &amp; Bishop, 1976) is a measurement technique that can be used to determine the degree of comfort experienced by a person using technical assistance. The technique was developed for evaluating designs of chairs, but the principles could easily be applied to other products as well. The development of such scales require expert knowledge, but are meant to be applied by the end user: it also requires some skills and technical expertise in analysis. This allows us to obtain information on perceived discomfort.</w:t>
      </w:r>
    </w:p>
    <w:p>
      <w:pPr>
        <w:pStyle w:val="BodyText"/>
      </w:pPr>
    </w:p>
    <w:p>
      <w:pPr>
        <w:pStyle w:val="BodyText"/>
        <w:spacing w:before="1"/>
        <w:ind w:left="270" w:right="677" w:firstLine="567"/>
        <w:jc w:val="both"/>
      </w:pPr>
      <w:r>
        <w:rPr/>
        <w:t>Also, the discomfort of a person can be determined by the degree of change in position to use a product, the amount of time available to use their preferences and other similar</w:t>
      </w:r>
      <w:r>
        <w:rPr>
          <w:spacing w:val="-1"/>
        </w:rPr>
        <w:t> </w:t>
      </w:r>
      <w:r>
        <w:rPr/>
        <w:t>products.</w:t>
      </w:r>
    </w:p>
    <w:p>
      <w:pPr>
        <w:spacing w:after="0"/>
        <w:jc w:val="both"/>
        <w:sectPr>
          <w:type w:val="continuous"/>
          <w:pgSz w:w="12240" w:h="15840"/>
          <w:pgMar w:top="1500" w:bottom="280" w:left="580" w:right="220"/>
          <w:cols w:num="2" w:equalWidth="0">
            <w:col w:w="5191" w:space="434"/>
            <w:col w:w="5815"/>
          </w:cols>
        </w:sectPr>
      </w:pPr>
    </w:p>
    <w:p>
      <w:pPr>
        <w:pStyle w:val="BodyText"/>
      </w:pPr>
    </w:p>
    <w:p>
      <w:pPr>
        <w:pStyle w:val="BodyText"/>
        <w:spacing w:before="8"/>
        <w:rPr>
          <w:sz w:val="17"/>
        </w:rPr>
      </w:pPr>
    </w:p>
    <w:p>
      <w:pPr>
        <w:pStyle w:val="BodyText"/>
        <w:spacing w:before="1"/>
        <w:ind w:left="270" w:firstLine="567"/>
        <w:jc w:val="both"/>
      </w:pPr>
      <w:r>
        <w:rPr/>
        <w:t>The test of pain in body parts (Corlett &amp; Bishop) is another proof of comfort in which he wonders about the rate of discomfort or pain in any part of the body, time intervals. To help pain location, the test is accompanied by a map of the body, with small variations in the areas in which it is divided, according to authors. Responses were weighted by the level of discomfort and temporary pain assessment is obtained in each area of the</w:t>
      </w:r>
      <w:r>
        <w:rPr>
          <w:spacing w:val="-11"/>
        </w:rPr>
        <w:t> </w:t>
      </w:r>
      <w:r>
        <w:rPr/>
        <w:t>body.</w:t>
      </w:r>
    </w:p>
    <w:p>
      <w:pPr>
        <w:pStyle w:val="BodyText"/>
      </w:pPr>
    </w:p>
    <w:p>
      <w:pPr>
        <w:pStyle w:val="BodyText"/>
        <w:spacing w:before="5"/>
        <w:rPr>
          <w:sz w:val="25"/>
        </w:rPr>
      </w:pPr>
      <w:r>
        <w:rPr/>
        <w:drawing>
          <wp:anchor distT="0" distB="0" distL="0" distR="0" allowOverlap="1" layoutInCell="1" locked="0" behindDoc="0" simplePos="0" relativeHeight="12376">
            <wp:simplePos x="0" y="0"/>
            <wp:positionH relativeFrom="page">
              <wp:posOffset>727709</wp:posOffset>
            </wp:positionH>
            <wp:positionV relativeFrom="paragraph">
              <wp:posOffset>210549</wp:posOffset>
            </wp:positionV>
            <wp:extent cx="2514834" cy="3853338"/>
            <wp:effectExtent l="0" t="0" r="0" b="0"/>
            <wp:wrapTopAndBottom/>
            <wp:docPr id="461" name="image279.png" descr=""/>
            <wp:cNvGraphicFramePr>
              <a:graphicFrameLocks noChangeAspect="1"/>
            </wp:cNvGraphicFramePr>
            <a:graphic>
              <a:graphicData uri="http://schemas.openxmlformats.org/drawingml/2006/picture">
                <pic:pic>
                  <pic:nvPicPr>
                    <pic:cNvPr id="462" name="image279.png"/>
                    <pic:cNvPicPr/>
                  </pic:nvPicPr>
                  <pic:blipFill>
                    <a:blip r:embed="rId469" cstate="print"/>
                    <a:stretch>
                      <a:fillRect/>
                    </a:stretch>
                  </pic:blipFill>
                  <pic:spPr>
                    <a:xfrm>
                      <a:off x="0" y="0"/>
                      <a:ext cx="2514834" cy="3853338"/>
                    </a:xfrm>
                    <a:prstGeom prst="rect">
                      <a:avLst/>
                    </a:prstGeom>
                  </pic:spPr>
                </pic:pic>
              </a:graphicData>
            </a:graphic>
          </wp:anchor>
        </w:drawing>
      </w:r>
    </w:p>
    <w:p>
      <w:pPr>
        <w:pStyle w:val="BodyText"/>
        <w:spacing w:before="10"/>
      </w:pPr>
    </w:p>
    <w:p>
      <w:pPr>
        <w:pStyle w:val="BodyText"/>
        <w:ind w:left="528" w:right="118"/>
      </w:pPr>
      <w:r>
        <w:rPr/>
        <w:t>Figure 1. Map of Body Aches Corlett &amp; Bishop (1976)</w:t>
      </w:r>
    </w:p>
    <w:p>
      <w:pPr>
        <w:pStyle w:val="BodyText"/>
        <w:spacing w:before="2"/>
      </w:pPr>
    </w:p>
    <w:p>
      <w:pPr>
        <w:pStyle w:val="Heading4"/>
        <w:numPr>
          <w:ilvl w:val="0"/>
          <w:numId w:val="105"/>
        </w:numPr>
        <w:tabs>
          <w:tab w:pos="471" w:val="left" w:leader="none"/>
        </w:tabs>
        <w:spacing w:line="240" w:lineRule="auto" w:before="0" w:after="0"/>
        <w:ind w:left="470" w:right="0" w:hanging="200"/>
        <w:jc w:val="left"/>
      </w:pPr>
      <w:r>
        <w:rPr/>
        <w:t>Results</w:t>
      </w:r>
    </w:p>
    <w:p>
      <w:pPr>
        <w:pStyle w:val="BodyText"/>
        <w:spacing w:before="9"/>
        <w:rPr>
          <w:b/>
          <w:sz w:val="19"/>
        </w:rPr>
      </w:pPr>
    </w:p>
    <w:p>
      <w:pPr>
        <w:pStyle w:val="BodyText"/>
        <w:spacing w:before="1"/>
        <w:ind w:left="270" w:right="118"/>
      </w:pPr>
      <w:r>
        <w:rPr/>
        <w:t>The following graphs show the results of the method of Yoshitake project.</w:t>
      </w:r>
    </w:p>
    <w:p>
      <w:pPr>
        <w:pStyle w:val="BodyText"/>
        <w:spacing w:before="3"/>
      </w:pPr>
    </w:p>
    <w:p>
      <w:pPr>
        <w:pStyle w:val="Heading4"/>
        <w:numPr>
          <w:ilvl w:val="1"/>
          <w:numId w:val="105"/>
        </w:numPr>
        <w:tabs>
          <w:tab w:pos="571" w:val="left" w:leader="none"/>
        </w:tabs>
        <w:spacing w:line="240" w:lineRule="auto" w:before="0" w:after="0"/>
        <w:ind w:left="570" w:right="0" w:hanging="300"/>
        <w:jc w:val="left"/>
      </w:pPr>
      <w:r>
        <w:rPr/>
        <w:t>Yoshitake</w:t>
      </w:r>
    </w:p>
    <w:p>
      <w:pPr>
        <w:pStyle w:val="BodyText"/>
        <w:spacing w:before="7" w:after="39"/>
        <w:rPr>
          <w:b/>
          <w:sz w:val="14"/>
        </w:rPr>
      </w:pPr>
      <w:r>
        <w:rPr/>
        <w:br w:type="column"/>
      </w:r>
      <w:r>
        <w:rPr>
          <w:b/>
          <w:sz w:val="14"/>
        </w:rPr>
      </w:r>
    </w:p>
    <w:p>
      <w:pPr>
        <w:pStyle w:val="BodyText"/>
        <w:ind w:left="674"/>
      </w:pPr>
      <w:r>
        <w:rPr/>
        <w:drawing>
          <wp:inline distT="0" distB="0" distL="0" distR="0">
            <wp:extent cx="2557585" cy="1872233"/>
            <wp:effectExtent l="0" t="0" r="0" b="0"/>
            <wp:docPr id="463" name="image280.jpeg" descr=""/>
            <wp:cNvGraphicFramePr>
              <a:graphicFrameLocks noChangeAspect="1"/>
            </wp:cNvGraphicFramePr>
            <a:graphic>
              <a:graphicData uri="http://schemas.openxmlformats.org/drawingml/2006/picture">
                <pic:pic>
                  <pic:nvPicPr>
                    <pic:cNvPr id="464" name="image280.jpeg"/>
                    <pic:cNvPicPr/>
                  </pic:nvPicPr>
                  <pic:blipFill>
                    <a:blip r:embed="rId470" cstate="print"/>
                    <a:stretch>
                      <a:fillRect/>
                    </a:stretch>
                  </pic:blipFill>
                  <pic:spPr>
                    <a:xfrm>
                      <a:off x="0" y="0"/>
                      <a:ext cx="2557585" cy="1872233"/>
                    </a:xfrm>
                    <a:prstGeom prst="rect">
                      <a:avLst/>
                    </a:prstGeom>
                  </pic:spPr>
                </pic:pic>
              </a:graphicData>
            </a:graphic>
          </wp:inline>
        </w:drawing>
      </w:r>
      <w:r>
        <w:rPr/>
      </w:r>
    </w:p>
    <w:p>
      <w:pPr>
        <w:pStyle w:val="BodyText"/>
        <w:spacing w:before="18"/>
        <w:ind w:left="700" w:right="702"/>
      </w:pPr>
      <w:r>
        <w:rPr/>
        <w:t>Figure 1. Total of symptoms presented (check in).</w:t>
      </w:r>
    </w:p>
    <w:p>
      <w:pPr>
        <w:pStyle w:val="BodyText"/>
      </w:pPr>
    </w:p>
    <w:p>
      <w:pPr>
        <w:pStyle w:val="BodyText"/>
        <w:spacing w:before="10"/>
        <w:rPr>
          <w:sz w:val="16"/>
        </w:rPr>
      </w:pPr>
      <w:r>
        <w:rPr/>
        <w:drawing>
          <wp:anchor distT="0" distB="0" distL="0" distR="0" allowOverlap="1" layoutInCell="1" locked="0" behindDoc="0" simplePos="0" relativeHeight="12400">
            <wp:simplePos x="0" y="0"/>
            <wp:positionH relativeFrom="page">
              <wp:posOffset>4386071</wp:posOffset>
            </wp:positionH>
            <wp:positionV relativeFrom="paragraph">
              <wp:posOffset>148050</wp:posOffset>
            </wp:positionV>
            <wp:extent cx="2569924" cy="1568862"/>
            <wp:effectExtent l="0" t="0" r="0" b="0"/>
            <wp:wrapTopAndBottom/>
            <wp:docPr id="465" name="image281.jpeg" descr=""/>
            <wp:cNvGraphicFramePr>
              <a:graphicFrameLocks noChangeAspect="1"/>
            </wp:cNvGraphicFramePr>
            <a:graphic>
              <a:graphicData uri="http://schemas.openxmlformats.org/drawingml/2006/picture">
                <pic:pic>
                  <pic:nvPicPr>
                    <pic:cNvPr id="466" name="image281.jpeg"/>
                    <pic:cNvPicPr/>
                  </pic:nvPicPr>
                  <pic:blipFill>
                    <a:blip r:embed="rId471" cstate="print"/>
                    <a:stretch>
                      <a:fillRect/>
                    </a:stretch>
                  </pic:blipFill>
                  <pic:spPr>
                    <a:xfrm>
                      <a:off x="0" y="0"/>
                      <a:ext cx="2569924" cy="1568862"/>
                    </a:xfrm>
                    <a:prstGeom prst="rect">
                      <a:avLst/>
                    </a:prstGeom>
                  </pic:spPr>
                </pic:pic>
              </a:graphicData>
            </a:graphic>
          </wp:anchor>
        </w:drawing>
      </w:r>
    </w:p>
    <w:p>
      <w:pPr>
        <w:pStyle w:val="BodyText"/>
        <w:ind w:left="892" w:right="702"/>
      </w:pPr>
      <w:r>
        <w:rPr/>
        <w:t>Figure 2. Total of symptoms presented (check out)</w:t>
      </w:r>
    </w:p>
    <w:p>
      <w:pPr>
        <w:pStyle w:val="BodyText"/>
        <w:spacing w:before="11"/>
        <w:rPr>
          <w:sz w:val="19"/>
        </w:rPr>
      </w:pPr>
    </w:p>
    <w:p>
      <w:pPr>
        <w:pStyle w:val="BodyText"/>
        <w:ind w:left="270" w:right="675" w:firstLine="432"/>
        <w:jc w:val="both"/>
      </w:pPr>
      <w:r>
        <w:rPr/>
        <w:t>As shown in the figures 1 and 2, there is a percentage of physical damage in respondent barbers.</w:t>
      </w:r>
    </w:p>
    <w:p>
      <w:pPr>
        <w:pStyle w:val="BodyText"/>
        <w:spacing w:before="11"/>
        <w:rPr>
          <w:sz w:val="19"/>
        </w:rPr>
      </w:pPr>
    </w:p>
    <w:p>
      <w:pPr>
        <w:pStyle w:val="BodyText"/>
        <w:ind w:left="270" w:right="676" w:firstLine="432"/>
        <w:jc w:val="both"/>
      </w:pPr>
      <w:r>
        <w:rPr/>
        <w:t>We can see that in the time of departure, there is an increase in the percentage of physical damage regarding the time of entry.</w:t>
      </w:r>
    </w:p>
    <w:p>
      <w:pPr>
        <w:pStyle w:val="BodyText"/>
        <w:spacing w:before="9"/>
        <w:rPr>
          <w:sz w:val="16"/>
        </w:rPr>
      </w:pPr>
      <w:r>
        <w:rPr/>
        <w:drawing>
          <wp:anchor distT="0" distB="0" distL="0" distR="0" allowOverlap="1" layoutInCell="1" locked="0" behindDoc="0" simplePos="0" relativeHeight="12424">
            <wp:simplePos x="0" y="0"/>
            <wp:positionH relativeFrom="page">
              <wp:posOffset>4325111</wp:posOffset>
            </wp:positionH>
            <wp:positionV relativeFrom="paragraph">
              <wp:posOffset>147788</wp:posOffset>
            </wp:positionV>
            <wp:extent cx="2641708" cy="2137410"/>
            <wp:effectExtent l="0" t="0" r="0" b="0"/>
            <wp:wrapTopAndBottom/>
            <wp:docPr id="467" name="image282.png" descr=""/>
            <wp:cNvGraphicFramePr>
              <a:graphicFrameLocks noChangeAspect="1"/>
            </wp:cNvGraphicFramePr>
            <a:graphic>
              <a:graphicData uri="http://schemas.openxmlformats.org/drawingml/2006/picture">
                <pic:pic>
                  <pic:nvPicPr>
                    <pic:cNvPr id="468" name="image282.png"/>
                    <pic:cNvPicPr/>
                  </pic:nvPicPr>
                  <pic:blipFill>
                    <a:blip r:embed="rId472" cstate="print"/>
                    <a:stretch>
                      <a:fillRect/>
                    </a:stretch>
                  </pic:blipFill>
                  <pic:spPr>
                    <a:xfrm>
                      <a:off x="0" y="0"/>
                      <a:ext cx="2641708" cy="2137410"/>
                    </a:xfrm>
                    <a:prstGeom prst="rect">
                      <a:avLst/>
                    </a:prstGeom>
                  </pic:spPr>
                </pic:pic>
              </a:graphicData>
            </a:graphic>
          </wp:anchor>
        </w:drawing>
      </w:r>
    </w:p>
    <w:p>
      <w:pPr>
        <w:pStyle w:val="BodyText"/>
        <w:ind w:left="1634" w:right="702"/>
      </w:pPr>
      <w:r>
        <w:rPr/>
        <w:t>Figure 2. Main damage suffered</w:t>
      </w:r>
    </w:p>
    <w:p>
      <w:pPr>
        <w:pStyle w:val="BodyText"/>
        <w:spacing w:before="11"/>
        <w:rPr>
          <w:sz w:val="19"/>
        </w:rPr>
      </w:pPr>
    </w:p>
    <w:p>
      <w:pPr>
        <w:pStyle w:val="BodyText"/>
        <w:ind w:left="270" w:right="676"/>
        <w:jc w:val="both"/>
      </w:pPr>
      <w:r>
        <w:rPr/>
        <w:t>In Figure 3, the main damage suffered by respondents, where headaches, thirst, tension in the shoulders and back pain are the major physical damages</w:t>
      </w:r>
      <w:r>
        <w:rPr>
          <w:spacing w:val="-29"/>
        </w:rPr>
        <w:t> </w:t>
      </w:r>
      <w:r>
        <w:rPr/>
        <w:t>presented.</w:t>
      </w:r>
    </w:p>
    <w:p>
      <w:pPr>
        <w:spacing w:after="0"/>
        <w:jc w:val="both"/>
        <w:sectPr>
          <w:pgSz w:w="12240" w:h="15840"/>
          <w:pgMar w:header="545" w:footer="852" w:top="1060" w:bottom="1040" w:left="580" w:right="220"/>
          <w:cols w:num="2" w:equalWidth="0">
            <w:col w:w="5190" w:space="434"/>
            <w:col w:w="5816"/>
          </w:cols>
        </w:sectPr>
      </w:pPr>
    </w:p>
    <w:p>
      <w:pPr>
        <w:pStyle w:val="BodyText"/>
        <w:rPr>
          <w:sz w:val="18"/>
        </w:rPr>
      </w:pPr>
    </w:p>
    <w:p>
      <w:pPr>
        <w:pStyle w:val="BodyText"/>
        <w:ind w:left="699"/>
      </w:pPr>
      <w:r>
        <w:rPr/>
        <w:drawing>
          <wp:inline distT="0" distB="0" distL="0" distR="0">
            <wp:extent cx="2558760" cy="2407443"/>
            <wp:effectExtent l="0" t="0" r="0" b="0"/>
            <wp:docPr id="469" name="image283.jpeg" descr=""/>
            <wp:cNvGraphicFramePr>
              <a:graphicFrameLocks noChangeAspect="1"/>
            </wp:cNvGraphicFramePr>
            <a:graphic>
              <a:graphicData uri="http://schemas.openxmlformats.org/drawingml/2006/picture">
                <pic:pic>
                  <pic:nvPicPr>
                    <pic:cNvPr id="470" name="image283.jpeg"/>
                    <pic:cNvPicPr/>
                  </pic:nvPicPr>
                  <pic:blipFill>
                    <a:blip r:embed="rId475" cstate="print"/>
                    <a:stretch>
                      <a:fillRect/>
                    </a:stretch>
                  </pic:blipFill>
                  <pic:spPr>
                    <a:xfrm>
                      <a:off x="0" y="0"/>
                      <a:ext cx="2558760" cy="2407443"/>
                    </a:xfrm>
                    <a:prstGeom prst="rect">
                      <a:avLst/>
                    </a:prstGeom>
                  </pic:spPr>
                </pic:pic>
              </a:graphicData>
            </a:graphic>
          </wp:inline>
        </w:drawing>
      </w:r>
      <w:r>
        <w:rPr/>
      </w:r>
    </w:p>
    <w:p>
      <w:pPr>
        <w:pStyle w:val="BodyText"/>
        <w:spacing w:before="23"/>
        <w:ind w:left="1345" w:right="9"/>
      </w:pPr>
      <w:r>
        <w:rPr/>
        <w:t>Figure 3. Physical damage per day</w:t>
      </w:r>
    </w:p>
    <w:p>
      <w:pPr>
        <w:pStyle w:val="BodyText"/>
        <w:spacing w:before="115"/>
        <w:ind w:left="270" w:firstLine="567"/>
        <w:jc w:val="both"/>
      </w:pPr>
      <w:r>
        <w:rPr/>
        <w:t>The graph above (Figure 4), presents physical damage according to the days in which they were presented with greater occurrence.</w:t>
      </w:r>
    </w:p>
    <w:p>
      <w:pPr>
        <w:pStyle w:val="BodyText"/>
        <w:spacing w:before="2"/>
      </w:pPr>
    </w:p>
    <w:p>
      <w:pPr>
        <w:pStyle w:val="Heading4"/>
        <w:numPr>
          <w:ilvl w:val="1"/>
          <w:numId w:val="105"/>
        </w:numPr>
        <w:tabs>
          <w:tab w:pos="571" w:val="left" w:leader="none"/>
        </w:tabs>
        <w:spacing w:line="240" w:lineRule="auto" w:before="0" w:after="0"/>
        <w:ind w:left="570" w:right="0" w:hanging="300"/>
        <w:jc w:val="left"/>
      </w:pPr>
      <w:r>
        <w:rPr/>
        <w:pict>
          <v:group style="position:absolute;margin-left:39.540001pt;margin-top:21.875149pt;width:556.4pt;height:452.35pt;mso-position-horizontal-relative:page;mso-position-vertical-relative:paragraph;z-index:-866320" coordorigin="791,438" coordsize="11128,9047">
            <v:line style="position:absolute" from="821,8402" to="11888,8402" stroked="true" strokeweight="3pt" strokecolor="#602321"/>
            <v:line style="position:absolute" from="821,8454" to="11888,8454" stroked="true" strokeweight=".72pt" strokecolor="#602321"/>
            <v:shape style="position:absolute;left:1176;top:5271;width:4399;height:4213" type="#_x0000_t75" stroked="false">
              <v:imagedata r:id="rId476" o:title=""/>
            </v:shape>
            <v:shape style="position:absolute;left:6878;top:438;width:4058;height:6713" type="#_x0000_t75" stroked="false">
              <v:imagedata r:id="rId477" o:title=""/>
            </v:shape>
            <w10:wrap type="none"/>
          </v:group>
        </w:pict>
      </w:r>
      <w:r>
        <w:rPr/>
        <w:t>Corlett &amp;</w:t>
      </w:r>
      <w:r>
        <w:rPr>
          <w:spacing w:val="-5"/>
        </w:rPr>
        <w:t> </w:t>
      </w:r>
      <w:r>
        <w:rPr/>
        <w:t>Bishop</w:t>
      </w:r>
    </w:p>
    <w:p>
      <w:pPr>
        <w:pStyle w:val="BodyText"/>
        <w:spacing w:before="8"/>
        <w:rPr>
          <w:b/>
          <w:sz w:val="16"/>
        </w:rPr>
      </w:pPr>
      <w:r>
        <w:rPr/>
        <w:drawing>
          <wp:anchor distT="0" distB="0" distL="0" distR="0" allowOverlap="1" layoutInCell="1" locked="0" behindDoc="0" simplePos="0" relativeHeight="12448">
            <wp:simplePos x="0" y="0"/>
            <wp:positionH relativeFrom="page">
              <wp:posOffset>757427</wp:posOffset>
            </wp:positionH>
            <wp:positionV relativeFrom="paragraph">
              <wp:posOffset>147016</wp:posOffset>
            </wp:positionV>
            <wp:extent cx="2669722" cy="2678049"/>
            <wp:effectExtent l="0" t="0" r="0" b="0"/>
            <wp:wrapTopAndBottom/>
            <wp:docPr id="471" name="image286.jpeg" descr=""/>
            <wp:cNvGraphicFramePr>
              <a:graphicFrameLocks noChangeAspect="1"/>
            </wp:cNvGraphicFramePr>
            <a:graphic>
              <a:graphicData uri="http://schemas.openxmlformats.org/drawingml/2006/picture">
                <pic:pic>
                  <pic:nvPicPr>
                    <pic:cNvPr id="472" name="image286.jpeg"/>
                    <pic:cNvPicPr/>
                  </pic:nvPicPr>
                  <pic:blipFill>
                    <a:blip r:embed="rId478" cstate="print"/>
                    <a:stretch>
                      <a:fillRect/>
                    </a:stretch>
                  </pic:blipFill>
                  <pic:spPr>
                    <a:xfrm>
                      <a:off x="0" y="0"/>
                      <a:ext cx="2669722" cy="2678049"/>
                    </a:xfrm>
                    <a:prstGeom prst="rect">
                      <a:avLst/>
                    </a:prstGeom>
                  </pic:spPr>
                </pic:pic>
              </a:graphicData>
            </a:graphic>
          </wp:anchor>
        </w:drawing>
      </w:r>
    </w:p>
    <w:p>
      <w:pPr>
        <w:pStyle w:val="BodyText"/>
        <w:ind w:left="883" w:right="9"/>
      </w:pPr>
      <w:r>
        <w:rPr/>
        <w:t>Figure 4. Frequency of general complaints check in</w:t>
      </w:r>
    </w:p>
    <w:p>
      <w:pPr>
        <w:pStyle w:val="BodyText"/>
      </w:pPr>
      <w:r>
        <w:rPr/>
        <w:br w:type="column"/>
      </w:r>
      <w:r>
        <w:rPr/>
      </w:r>
    </w:p>
    <w:p>
      <w:pPr>
        <w:pStyle w:val="BodyText"/>
      </w:pPr>
    </w:p>
    <w:p>
      <w:pPr>
        <w:pStyle w:val="BodyText"/>
        <w:spacing w:before="9"/>
        <w:rPr>
          <w:sz w:val="17"/>
        </w:rPr>
      </w:pPr>
    </w:p>
    <w:p>
      <w:pPr>
        <w:pStyle w:val="BodyText"/>
        <w:ind w:left="270" w:right="677" w:firstLine="567"/>
        <w:jc w:val="both"/>
      </w:pPr>
      <w:r>
        <w:rPr/>
        <w:t>According to the graphs above, you can see the number of complaints in different parts of</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1"/>
        <w:rPr>
          <w:sz w:val="19"/>
        </w:rPr>
      </w:pPr>
    </w:p>
    <w:p>
      <w:pPr>
        <w:pStyle w:val="BodyText"/>
        <w:ind w:left="270" w:right="677" w:firstLine="567"/>
        <w:jc w:val="both"/>
      </w:pPr>
      <w:r>
        <w:rPr/>
        <w:t>the body. Which affected mainly in the head, shoulder, upper back, legs and feet at the time of departure, an increase of complaints regarding the time of entry.</w:t>
      </w:r>
    </w:p>
    <w:p>
      <w:pPr>
        <w:spacing w:after="0"/>
        <w:jc w:val="both"/>
        <w:sectPr>
          <w:headerReference w:type="default" r:id="rId473"/>
          <w:footerReference w:type="default" r:id="rId474"/>
          <w:pgSz w:w="12240" w:h="15840"/>
          <w:pgMar w:header="545" w:footer="0" w:top="1060" w:bottom="0" w:left="580" w:right="220"/>
          <w:cols w:num="2" w:equalWidth="0">
            <w:col w:w="5191" w:space="433"/>
            <w:col w:w="5816"/>
          </w:cols>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1"/>
        <w:rPr>
          <w:sz w:val="25"/>
        </w:rPr>
      </w:pPr>
    </w:p>
    <w:p>
      <w:pPr>
        <w:pStyle w:val="BodyText"/>
        <w:spacing w:before="75"/>
        <w:ind w:left="6466" w:right="314"/>
      </w:pPr>
      <w:r>
        <w:rPr/>
        <w:pict>
          <v:shape style="position:absolute;margin-left:54.008884pt;margin-top:-90.05439pt;width:224.8pt;height:210.65pt;mso-position-horizontal-relative:page;mso-position-vertical-relative:paragraph;z-index:-866344" type="#_x0000_t202" filled="false" stroked="false">
            <v:textbox inset="0,0,0,0">
              <w:txbxContent>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9"/>
                    <w:rPr>
                      <w:sz w:val="26"/>
                    </w:rPr>
                  </w:pPr>
                </w:p>
                <w:p>
                  <w:pPr>
                    <w:spacing w:before="0"/>
                    <w:ind w:left="0" w:right="0" w:firstLine="0"/>
                    <w:jc w:val="left"/>
                    <w:rPr>
                      <w:sz w:val="18"/>
                    </w:rPr>
                  </w:pPr>
                  <w:r>
                    <w:rPr>
                      <w:sz w:val="18"/>
                    </w:rPr>
                    <w:t>CIEDAD DE ERGONOMISTAS DE MEXICO, A.C.</w:t>
                  </w:r>
                </w:p>
              </w:txbxContent>
            </v:textbox>
            <w10:wrap type="none"/>
          </v:shape>
        </w:pict>
      </w:r>
      <w:r>
        <w:rPr/>
        <w:t>Figure 6. Overall percentage of complaints check in</w:t>
      </w:r>
    </w:p>
    <w:p>
      <w:pPr>
        <w:pStyle w:val="BodyText"/>
        <w:spacing w:before="11"/>
        <w:rPr>
          <w:sz w:val="19"/>
        </w:rPr>
      </w:pPr>
    </w:p>
    <w:p>
      <w:pPr>
        <w:pStyle w:val="BodyText"/>
        <w:ind w:left="5895" w:right="676" w:firstLine="567"/>
        <w:jc w:val="both"/>
      </w:pPr>
      <w:r>
        <w:rPr/>
        <w:t>Considering figures 6 and 7 body parts with their respective percentage of complaints are shown; which the head, shoulder, upper back and legs are the most affected</w:t>
      </w:r>
    </w:p>
    <w:p>
      <w:pPr>
        <w:pStyle w:val="BodyText"/>
        <w:rPr>
          <w:sz w:val="9"/>
        </w:rPr>
      </w:pPr>
    </w:p>
    <w:p>
      <w:pPr>
        <w:tabs>
          <w:tab w:pos="10014" w:val="left" w:leader="none"/>
        </w:tabs>
        <w:spacing w:before="77"/>
        <w:ind w:left="270" w:right="314" w:firstLine="0"/>
        <w:jc w:val="left"/>
        <w:rPr>
          <w:sz w:val="18"/>
        </w:rPr>
      </w:pPr>
      <w:r>
        <w:rPr>
          <w:sz w:val="18"/>
        </w:rPr>
        <w:t>SO</w:t>
        <w:tab/>
        <w:t>Página</w:t>
      </w:r>
      <w:r>
        <w:rPr>
          <w:spacing w:val="-6"/>
          <w:sz w:val="18"/>
        </w:rPr>
        <w:t> </w:t>
      </w:r>
      <w:r>
        <w:rPr>
          <w:sz w:val="18"/>
        </w:rPr>
        <w:t>170</w:t>
      </w:r>
    </w:p>
    <w:p>
      <w:pPr>
        <w:spacing w:after="0"/>
        <w:jc w:val="left"/>
        <w:rPr>
          <w:sz w:val="18"/>
        </w:rPr>
        <w:sectPr>
          <w:type w:val="continuous"/>
          <w:pgSz w:w="12240" w:h="15840"/>
          <w:pgMar w:top="1500" w:bottom="280" w:left="580" w:right="220"/>
        </w:sectPr>
      </w:pPr>
    </w:p>
    <w:p>
      <w:pPr>
        <w:pStyle w:val="BodyText"/>
        <w:spacing w:before="4"/>
        <w:rPr>
          <w:sz w:val="11"/>
        </w:rPr>
      </w:pPr>
    </w:p>
    <w:p>
      <w:pPr>
        <w:spacing w:after="0"/>
        <w:rPr>
          <w:sz w:val="11"/>
        </w:rPr>
        <w:sectPr>
          <w:footerReference w:type="default" r:id="rId479"/>
          <w:pgSz w:w="12240" w:h="15840"/>
          <w:pgMar w:footer="852" w:header="545" w:top="1060" w:bottom="1040" w:left="580" w:right="220"/>
          <w:pgNumType w:start="171"/>
        </w:sectPr>
      </w:pPr>
    </w:p>
    <w:p>
      <w:pPr>
        <w:pStyle w:val="BodyText"/>
        <w:spacing w:before="74"/>
        <w:ind w:left="270" w:right="1"/>
        <w:jc w:val="both"/>
      </w:pPr>
      <w:r>
        <w:rPr/>
        <w:drawing>
          <wp:anchor distT="0" distB="0" distL="0" distR="0" allowOverlap="1" layoutInCell="1" locked="0" behindDoc="1" simplePos="0" relativeHeight="267569183">
            <wp:simplePos x="0" y="0"/>
            <wp:positionH relativeFrom="page">
              <wp:posOffset>725423</wp:posOffset>
            </wp:positionH>
            <wp:positionV relativeFrom="paragraph">
              <wp:posOffset>487124</wp:posOffset>
            </wp:positionV>
            <wp:extent cx="2752343" cy="4245864"/>
            <wp:effectExtent l="0" t="0" r="0" b="0"/>
            <wp:wrapNone/>
            <wp:docPr id="473" name="image287.jpeg" descr=""/>
            <wp:cNvGraphicFramePr>
              <a:graphicFrameLocks noChangeAspect="1"/>
            </wp:cNvGraphicFramePr>
            <a:graphic>
              <a:graphicData uri="http://schemas.openxmlformats.org/drawingml/2006/picture">
                <pic:pic>
                  <pic:nvPicPr>
                    <pic:cNvPr id="474" name="image287.jpeg"/>
                    <pic:cNvPicPr/>
                  </pic:nvPicPr>
                  <pic:blipFill>
                    <a:blip r:embed="rId480" cstate="print"/>
                    <a:stretch>
                      <a:fillRect/>
                    </a:stretch>
                  </pic:blipFill>
                  <pic:spPr>
                    <a:xfrm>
                      <a:off x="0" y="0"/>
                      <a:ext cx="2752343" cy="4245864"/>
                    </a:xfrm>
                    <a:prstGeom prst="rect">
                      <a:avLst/>
                    </a:prstGeom>
                  </pic:spPr>
                </pic:pic>
              </a:graphicData>
            </a:graphic>
          </wp:anchor>
        </w:drawing>
      </w:r>
      <w:r>
        <w:rPr/>
        <w:t>presenting a higher percentage in the departure time than in the time of entry.</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5"/>
        <w:rPr>
          <w:sz w:val="21"/>
        </w:rPr>
      </w:pPr>
    </w:p>
    <w:p>
      <w:pPr>
        <w:pStyle w:val="BodyText"/>
        <w:spacing w:line="460" w:lineRule="atLeast"/>
        <w:ind w:left="838" w:hanging="21"/>
      </w:pPr>
      <w:r>
        <w:rPr/>
        <w:t>Figure 7. Overall percentage of complaints check out According to Figure 8, 92% of respondents  presented</w:t>
      </w:r>
    </w:p>
    <w:p>
      <w:pPr>
        <w:pStyle w:val="BodyText"/>
        <w:ind w:left="270" w:right="1"/>
        <w:jc w:val="both"/>
      </w:pPr>
      <w:r>
        <w:rPr/>
        <w:t>discomfort and only a small part of them (8%) have pain in the above areas.</w:t>
      </w:r>
    </w:p>
    <w:p>
      <w:pPr>
        <w:pStyle w:val="BodyText"/>
        <w:rPr>
          <w:sz w:val="17"/>
        </w:rPr>
      </w:pPr>
      <w:r>
        <w:rPr/>
        <w:drawing>
          <wp:anchor distT="0" distB="0" distL="0" distR="0" allowOverlap="1" layoutInCell="1" locked="0" behindDoc="0" simplePos="0" relativeHeight="12520">
            <wp:simplePos x="0" y="0"/>
            <wp:positionH relativeFrom="page">
              <wp:posOffset>709422</wp:posOffset>
            </wp:positionH>
            <wp:positionV relativeFrom="paragraph">
              <wp:posOffset>149312</wp:posOffset>
            </wp:positionV>
            <wp:extent cx="2760883" cy="1702784"/>
            <wp:effectExtent l="0" t="0" r="0" b="0"/>
            <wp:wrapTopAndBottom/>
            <wp:docPr id="475" name="image288.jpeg" descr=""/>
            <wp:cNvGraphicFramePr>
              <a:graphicFrameLocks noChangeAspect="1"/>
            </wp:cNvGraphicFramePr>
            <a:graphic>
              <a:graphicData uri="http://schemas.openxmlformats.org/drawingml/2006/picture">
                <pic:pic>
                  <pic:nvPicPr>
                    <pic:cNvPr id="476" name="image288.jpeg"/>
                    <pic:cNvPicPr/>
                  </pic:nvPicPr>
                  <pic:blipFill>
                    <a:blip r:embed="rId481" cstate="print"/>
                    <a:stretch>
                      <a:fillRect/>
                    </a:stretch>
                  </pic:blipFill>
                  <pic:spPr>
                    <a:xfrm>
                      <a:off x="0" y="0"/>
                      <a:ext cx="2760883" cy="1702784"/>
                    </a:xfrm>
                    <a:prstGeom prst="rect">
                      <a:avLst/>
                    </a:prstGeom>
                  </pic:spPr>
                </pic:pic>
              </a:graphicData>
            </a:graphic>
          </wp:anchor>
        </w:drawing>
      </w:r>
    </w:p>
    <w:p>
      <w:pPr>
        <w:pStyle w:val="BodyText"/>
        <w:ind w:left="739"/>
      </w:pPr>
      <w:r>
        <w:rPr/>
        <w:t>Figure 8. Corlett &amp; Bishop (% general of 3 week)</w:t>
      </w:r>
    </w:p>
    <w:p>
      <w:pPr>
        <w:pStyle w:val="BodyText"/>
      </w:pPr>
    </w:p>
    <w:p>
      <w:pPr>
        <w:pStyle w:val="BodyText"/>
        <w:spacing w:before="2"/>
      </w:pPr>
    </w:p>
    <w:p>
      <w:pPr>
        <w:pStyle w:val="Heading4"/>
        <w:numPr>
          <w:ilvl w:val="1"/>
          <w:numId w:val="105"/>
        </w:numPr>
        <w:tabs>
          <w:tab w:pos="571" w:val="left" w:leader="none"/>
        </w:tabs>
        <w:spacing w:line="240" w:lineRule="auto" w:before="0" w:after="0"/>
        <w:ind w:left="570" w:right="0" w:hanging="300"/>
        <w:jc w:val="both"/>
      </w:pPr>
      <w:r>
        <w:rPr/>
        <w:t>Conclusions</w:t>
      </w:r>
    </w:p>
    <w:p>
      <w:pPr>
        <w:pStyle w:val="BodyText"/>
        <w:spacing w:before="8"/>
        <w:rPr>
          <w:b/>
          <w:sz w:val="19"/>
        </w:rPr>
      </w:pPr>
    </w:p>
    <w:p>
      <w:pPr>
        <w:pStyle w:val="BodyText"/>
        <w:ind w:left="270"/>
        <w:jc w:val="both"/>
      </w:pPr>
      <w:r>
        <w:rPr/>
        <w:t>There is enough statistical evidence gathered during the 3 weeks to say that according to the method of Yoshitake, physical damage present in the surveyed barbers. Within  the</w:t>
      </w:r>
    </w:p>
    <w:p>
      <w:pPr>
        <w:pStyle w:val="BodyText"/>
        <w:spacing w:before="74"/>
        <w:ind w:left="270" w:right="676"/>
        <w:jc w:val="both"/>
      </w:pPr>
      <w:r>
        <w:rPr/>
        <w:br w:type="column"/>
      </w:r>
      <w:r>
        <w:rPr/>
        <w:t>physical damage, in relation to the method of Corlett &amp; Bishop, the main parts of the body prone to develop possible DTA's are the head, shoulders, upper back, legs and feet in the barbers from the city of Los Mochis Sinaloa, data of people who participated in the survey.</w:t>
      </w:r>
    </w:p>
    <w:p>
      <w:pPr>
        <w:pStyle w:val="BodyText"/>
        <w:spacing w:before="3"/>
      </w:pPr>
    </w:p>
    <w:p>
      <w:pPr>
        <w:pStyle w:val="Heading4"/>
        <w:numPr>
          <w:ilvl w:val="1"/>
          <w:numId w:val="105"/>
        </w:numPr>
        <w:tabs>
          <w:tab w:pos="571" w:val="left" w:leader="none"/>
        </w:tabs>
        <w:spacing w:line="240" w:lineRule="auto" w:before="0" w:after="0"/>
        <w:ind w:left="570" w:right="0" w:hanging="300"/>
        <w:jc w:val="both"/>
      </w:pPr>
      <w:r>
        <w:rPr/>
        <w:t>References</w:t>
      </w:r>
    </w:p>
    <w:p>
      <w:pPr>
        <w:pStyle w:val="BodyText"/>
        <w:spacing w:before="8"/>
        <w:rPr>
          <w:b/>
          <w:sz w:val="19"/>
        </w:rPr>
      </w:pPr>
    </w:p>
    <w:p>
      <w:pPr>
        <w:pStyle w:val="BodyText"/>
        <w:ind w:left="270" w:right="677"/>
        <w:jc w:val="both"/>
      </w:pPr>
      <w:r>
        <w:rPr/>
        <w:t>[1]Maynard. Manual del Ingeniero Industrial. 5 edición. Editorial McGraw-Hill. Tomo I. Kjell B. Zandin. Sección 6.</w:t>
      </w:r>
    </w:p>
    <w:p>
      <w:pPr>
        <w:pStyle w:val="BodyText"/>
        <w:spacing w:line="229" w:lineRule="exact"/>
        <w:ind w:left="270"/>
        <w:jc w:val="both"/>
      </w:pPr>
      <w:r>
        <w:rPr/>
        <w:t>Capítulo 6.6. pp 6.104</w:t>
      </w:r>
    </w:p>
    <w:p>
      <w:pPr>
        <w:pStyle w:val="BodyText"/>
        <w:spacing w:before="11"/>
        <w:rPr>
          <w:sz w:val="19"/>
        </w:rPr>
      </w:pPr>
    </w:p>
    <w:p>
      <w:pPr>
        <w:pStyle w:val="BodyText"/>
        <w:ind w:left="270" w:right="677"/>
        <w:jc w:val="both"/>
      </w:pPr>
      <w:r>
        <w:rPr/>
        <w:t>[2]Wu C.Y, Yao C.C, Lu C.W, Chang K.F, Chang C.H (2004) Evaluating the musculoskeletal disorders in the employee working in the beauty salon, Health and Safety Conference, Taiwan</w:t>
      </w:r>
    </w:p>
    <w:p>
      <w:pPr>
        <w:pStyle w:val="BodyText"/>
      </w:pPr>
    </w:p>
    <w:p>
      <w:pPr>
        <w:pStyle w:val="BodyText"/>
        <w:spacing w:before="1"/>
        <w:ind w:left="270" w:right="678"/>
        <w:jc w:val="both"/>
      </w:pPr>
      <w:r>
        <w:rPr/>
        <w:t>[3]Real Academia Española (RAE). Link: </w:t>
      </w:r>
      <w:hyperlink r:id="rId482">
        <w:r>
          <w:rPr>
            <w:u w:val="single"/>
          </w:rPr>
          <w:t>http://buscon.rae.es/drae/srv/search?val=peluquero</w:t>
        </w:r>
        <w:r>
          <w:rPr/>
          <w:t>.</w:t>
        </w:r>
      </w:hyperlink>
      <w:r>
        <w:rPr/>
        <w:t> Rescued the day 23-02-15.</w:t>
      </w:r>
    </w:p>
    <w:p>
      <w:pPr>
        <w:pStyle w:val="BodyText"/>
        <w:spacing w:before="11"/>
        <w:rPr>
          <w:sz w:val="19"/>
        </w:rPr>
      </w:pPr>
    </w:p>
    <w:p>
      <w:pPr>
        <w:pStyle w:val="BodyText"/>
        <w:ind w:left="270" w:right="677"/>
        <w:jc w:val="both"/>
      </w:pPr>
      <w:r>
        <w:rPr/>
        <w:t>[4] </w:t>
      </w:r>
      <w:r>
        <w:rPr>
          <w:color w:val="121721"/>
        </w:rPr>
        <w:t>Instituto Mexicano del Seguro Social. "Memoria Estadística 2013”. </w:t>
      </w:r>
      <w:hyperlink r:id="rId483">
        <w:r>
          <w:rPr>
            <w:u w:val="single"/>
          </w:rPr>
          <w:t>http://www.imss.gob.mx/conoce-al-</w:t>
        </w:r>
      </w:hyperlink>
      <w:r>
        <w:rPr>
          <w:u w:val="single"/>
        </w:rPr>
        <w:t> imss/memoria-estadistica-2013.</w:t>
      </w:r>
    </w:p>
    <w:p>
      <w:pPr>
        <w:pStyle w:val="BodyText"/>
        <w:spacing w:line="229" w:lineRule="exact"/>
        <w:ind w:left="270"/>
        <w:jc w:val="both"/>
      </w:pPr>
      <w:r>
        <w:rPr>
          <w:u w:val="single"/>
        </w:rPr>
        <w:t>Rescued the day 23/03/15</w:t>
      </w:r>
    </w:p>
    <w:p>
      <w:pPr>
        <w:pStyle w:val="BodyText"/>
        <w:spacing w:before="1"/>
      </w:pPr>
    </w:p>
    <w:p>
      <w:pPr>
        <w:pStyle w:val="BodyText"/>
        <w:tabs>
          <w:tab w:pos="1103" w:val="left" w:leader="none"/>
          <w:tab w:pos="2034" w:val="left" w:leader="none"/>
          <w:tab w:pos="3277" w:val="left" w:leader="none"/>
          <w:tab w:pos="4686" w:val="left" w:leader="none"/>
        </w:tabs>
        <w:ind w:left="270" w:right="676"/>
      </w:pPr>
      <w:r>
        <w:rPr/>
        <w:t>[5]Ramirez, A., Leyva, J., Estrada, J., “</w:t>
      </w:r>
      <w:r>
        <w:rPr>
          <w:rFonts w:ascii="Arial" w:hAnsi="Arial"/>
          <w:color w:val="121721"/>
        </w:rPr>
        <w:t>Determinación de fatiga física en trabajadores De mercados populares de</w:t>
        <w:tab/>
        <w:t>Los</w:t>
        <w:tab/>
        <w:t>Mochis</w:t>
        <w:tab/>
        <w:t>Sinaloa</w:t>
      </w:r>
      <w:r>
        <w:rPr/>
        <w:t>”.</w:t>
        <w:tab/>
        <w:t>2009. </w:t>
      </w:r>
      <w:hyperlink r:id="rId484">
        <w:r>
          <w:rPr>
            <w:u w:val="single"/>
          </w:rPr>
          <w:t>http://www.semac.org.mx/archivos/congreso11/fatiga1.pdf</w:t>
        </w:r>
      </w:hyperlink>
      <w:r>
        <w:rPr>
          <w:u w:val="single"/>
        </w:rPr>
        <w:t> </w:t>
      </w:r>
      <w:r>
        <w:rPr>
          <w:u w:val="single"/>
        </w:rPr>
        <w:t>Rescued the day</w:t>
      </w:r>
      <w:r>
        <w:rPr>
          <w:spacing w:val="-9"/>
          <w:u w:val="single"/>
        </w:rPr>
        <w:t> </w:t>
      </w:r>
      <w:r>
        <w:rPr>
          <w:u w:val="single"/>
        </w:rPr>
        <w:t>5/02/15</w:t>
      </w:r>
    </w:p>
    <w:p>
      <w:pPr>
        <w:pStyle w:val="BodyText"/>
        <w:spacing w:before="11"/>
        <w:rPr>
          <w:sz w:val="19"/>
        </w:rPr>
      </w:pPr>
    </w:p>
    <w:p>
      <w:pPr>
        <w:pStyle w:val="BodyText"/>
        <w:ind w:left="270" w:right="675"/>
        <w:jc w:val="both"/>
      </w:pPr>
      <w:r>
        <w:rPr/>
        <w:t>[6] Información sobre Accidentes y Enfermedades de Trabajo Sinaloa 2004-2013. Memorias IMSS 2004-2013. </w:t>
      </w:r>
      <w:hyperlink r:id="rId485">
        <w:r>
          <w:rPr>
            <w:u w:val="single"/>
          </w:rPr>
          <w:t>http://www.stps.gob.mx/bp/secciones/dgsst/estadisticas/Sina</w:t>
        </w:r>
      </w:hyperlink>
      <w:r>
        <w:rPr>
          <w:u w:val="single"/>
        </w:rPr>
        <w:t> loa%202004-2013.pdf </w:t>
      </w:r>
      <w:r>
        <w:rPr/>
        <w:t>Rescued the day 21/03/15</w:t>
      </w:r>
    </w:p>
    <w:p>
      <w:pPr>
        <w:spacing w:after="0"/>
        <w:jc w:val="both"/>
        <w:sectPr>
          <w:type w:val="continuous"/>
          <w:pgSz w:w="12240" w:h="15840"/>
          <w:pgMar w:top="1500" w:bottom="280" w:left="580" w:right="220"/>
          <w:cols w:num="2" w:equalWidth="0">
            <w:col w:w="5189" w:space="436"/>
            <w:col w:w="5815"/>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Heading1"/>
        <w:spacing w:before="77"/>
      </w:pPr>
      <w:r>
        <w:rPr/>
        <w:t>Occupational risk assesment at MIPYMES.</w:t>
      </w:r>
    </w:p>
    <w:p>
      <w:pPr>
        <w:pStyle w:val="BodyText"/>
        <w:spacing w:before="7"/>
        <w:rPr>
          <w:b/>
          <w:sz w:val="21"/>
        </w:rPr>
      </w:pPr>
    </w:p>
    <w:p>
      <w:pPr>
        <w:spacing w:before="0"/>
        <w:ind w:left="270" w:right="0" w:firstLine="0"/>
        <w:jc w:val="both"/>
        <w:rPr>
          <w:i/>
          <w:sz w:val="20"/>
        </w:rPr>
      </w:pPr>
      <w:r>
        <w:rPr>
          <w:i/>
          <w:position w:val="9"/>
          <w:sz w:val="13"/>
        </w:rPr>
        <w:t>a </w:t>
      </w:r>
      <w:r>
        <w:rPr>
          <w:i/>
          <w:sz w:val="20"/>
        </w:rPr>
        <w:t>Ing. Javier Nava García, </w:t>
      </w:r>
      <w:r>
        <w:rPr>
          <w:i/>
          <w:position w:val="9"/>
          <w:sz w:val="13"/>
        </w:rPr>
        <w:t>b </w:t>
      </w:r>
      <w:r>
        <w:rPr>
          <w:i/>
          <w:sz w:val="20"/>
        </w:rPr>
        <w:t>M. en C. Raquel Muñoz </w:t>
      </w:r>
      <w:r>
        <w:rPr>
          <w:i/>
          <w:sz w:val="20"/>
        </w:rPr>
        <w:t>Hernández.</w:t>
      </w:r>
    </w:p>
    <w:p>
      <w:pPr>
        <w:pStyle w:val="BodyText"/>
        <w:spacing w:before="4"/>
        <w:rPr>
          <w:i/>
          <w:sz w:val="25"/>
        </w:rPr>
      </w:pPr>
    </w:p>
    <w:p>
      <w:pPr>
        <w:spacing w:before="0"/>
        <w:ind w:left="270" w:right="0" w:firstLine="0"/>
        <w:jc w:val="both"/>
        <w:rPr>
          <w:sz w:val="16"/>
        </w:rPr>
      </w:pPr>
      <w:r>
        <w:rPr>
          <w:rFonts w:ascii="Arial" w:hAnsi="Arial"/>
          <w:position w:val="8"/>
          <w:sz w:val="10"/>
        </w:rPr>
        <w:t>a </w:t>
      </w:r>
      <w:r>
        <w:rPr>
          <w:sz w:val="16"/>
        </w:rPr>
        <w:t>División de Ingeniería Industrial, Tecnológico de Estudios Superiores de Coacalco, Avenida 16 de Septiembre 54, Cabecera Municipal, Coacalco de Berriozábal, México, C.P. 55700. </w:t>
      </w:r>
      <w:hyperlink r:id="rId486">
        <w:r>
          <w:rPr>
            <w:sz w:val="16"/>
          </w:rPr>
          <w:t>javinavag@hotmail.com.</w:t>
        </w:r>
      </w:hyperlink>
    </w:p>
    <w:p>
      <w:pPr>
        <w:pStyle w:val="BodyText"/>
        <w:spacing w:before="8"/>
        <w:rPr>
          <w:sz w:val="14"/>
        </w:rPr>
      </w:pPr>
    </w:p>
    <w:p>
      <w:pPr>
        <w:spacing w:before="0"/>
        <w:ind w:left="270" w:right="0" w:firstLine="0"/>
        <w:jc w:val="both"/>
        <w:rPr>
          <w:sz w:val="16"/>
        </w:rPr>
      </w:pPr>
      <w:r>
        <w:rPr>
          <w:position w:val="7"/>
          <w:sz w:val="10"/>
        </w:rPr>
        <w:t>.b. </w:t>
      </w:r>
      <w:r>
        <w:rPr>
          <w:sz w:val="16"/>
        </w:rPr>
        <w:t>Universidad Politécnica del Valle de México, División de Ingeniería Industrial, Av. Mexiquense s/n, Col. Villa Esmeralda, C.P. 54910, Tultitlán, Estado de México, México, </w:t>
      </w:r>
      <w:hyperlink r:id="rId115">
        <w:r>
          <w:rPr>
            <w:sz w:val="16"/>
          </w:rPr>
          <w:t>jael2222@hotmail.com.</w:t>
        </w:r>
      </w:hyperlink>
    </w:p>
    <w:p>
      <w:pPr>
        <w:pStyle w:val="BodyText"/>
        <w:spacing w:before="5"/>
        <w:rPr>
          <w:sz w:val="16"/>
        </w:rPr>
      </w:pPr>
    </w:p>
    <w:p>
      <w:pPr>
        <w:pStyle w:val="Heading4"/>
      </w:pPr>
      <w:r>
        <w:rPr/>
        <w:pict>
          <v:line style="position:absolute;mso-position-horizontal-relative:page;mso-position-vertical-relative:paragraph;z-index:12568" from="41.040001pt,13.205945pt" to="289.860001pt,13.205945pt" stroked="true" strokeweight="1.5pt" strokecolor="#000000">
            <w10:wrap type="none"/>
          </v:line>
        </w:pict>
      </w:r>
      <w:r>
        <w:rPr/>
        <w:t>Resumen</w:t>
      </w:r>
    </w:p>
    <w:p>
      <w:pPr>
        <w:pStyle w:val="BodyText"/>
        <w:spacing w:before="46"/>
        <w:ind w:left="270"/>
        <w:jc w:val="both"/>
      </w:pPr>
      <w:r>
        <w:rPr/>
        <w:t>Dado que en México existen infinidad de micro empresas metalmecánico y la mayoría no tiene aplicada ni seguridad  ni ergonomía en sus procesos se presentan accidentes y lesiones de trabajo pues se manejan metales pesados y maquinaria compleja, en muchas de estas micro empresas no se manejan ni siquiera los equipos de protección personal básicos ni mucho menos capacitación necesaria para largas jornadas de trabajos</w:t>
      </w:r>
      <w:r>
        <w:rPr>
          <w:spacing w:val="-3"/>
        </w:rPr>
        <w:t> </w:t>
      </w:r>
      <w:r>
        <w:rPr/>
        <w:t>pesados.</w:t>
      </w:r>
    </w:p>
    <w:p>
      <w:pPr>
        <w:pStyle w:val="BodyText"/>
        <w:ind w:left="270" w:right="1" w:firstLine="50"/>
        <w:jc w:val="both"/>
      </w:pPr>
      <w:r>
        <w:rPr/>
        <w:t>El proyecto consistió en realizar un estudio en una estación de trabajo del proceso de troquelado una microempresa metalmecánica, debido al alto nivel de ruido que genera la máquina y muscular por las diversas posiciones y movimientos repetitivos en su estación de trabajo. Se aplicaron método Ergonómicos y se rediseño la estación de trabajo, con dichas medidas se vieron grandes mejoras en la salud de los trabajadores</w:t>
      </w:r>
      <w:r>
        <w:rPr>
          <w:b/>
        </w:rPr>
        <w:t>, </w:t>
      </w:r>
      <w:r>
        <w:rPr/>
        <w:t>con el objetivo de Identificar si las condiciones ambientales y el procedimiento, favorecen la presencia enfermedades profesionales y estudiar el comportamiento de factores de riesgo asociadas a las posturas. Para realizar este estudio se utilizaron los métodos de evaluación de puestos, de PLIBEL, GASTO METABOLICO, FCD y RULA. Asimismo las condiciones ambientales (iluminación, temperatura y ruido). Los resultados muestran que en ejecución de la actividad las trabajadoras sufren lesiones.</w:t>
      </w:r>
    </w:p>
    <w:p>
      <w:pPr>
        <w:pStyle w:val="BodyText"/>
      </w:pPr>
    </w:p>
    <w:p>
      <w:pPr>
        <w:spacing w:before="1"/>
        <w:ind w:left="270" w:right="0" w:firstLine="0"/>
        <w:jc w:val="both"/>
        <w:rPr>
          <w:sz w:val="20"/>
        </w:rPr>
      </w:pPr>
      <w:r>
        <w:rPr>
          <w:b/>
          <w:sz w:val="20"/>
        </w:rPr>
        <w:t>Palabras clave</w:t>
      </w:r>
      <w:r>
        <w:rPr>
          <w:sz w:val="20"/>
        </w:rPr>
        <w:t>— Lesión, riesgo, puesto de trabajo.</w:t>
      </w:r>
    </w:p>
    <w:p>
      <w:pPr>
        <w:pStyle w:val="BodyText"/>
        <w:spacing w:before="3"/>
      </w:pPr>
    </w:p>
    <w:p>
      <w:pPr>
        <w:pStyle w:val="Heading5"/>
        <w:rPr>
          <w:i/>
        </w:rPr>
      </w:pPr>
      <w:r>
        <w:rPr/>
        <w:pict>
          <v:line style="position:absolute;mso-position-horizontal-relative:page;mso-position-vertical-relative:paragraph;z-index:12592" from="41.040001pt,13.206949pt" to="289.860001pt,13.206949pt" stroked="true" strokeweight="1.5pt" strokecolor="#000000">
            <w10:wrap type="none"/>
          </v:line>
        </w:pict>
      </w:r>
      <w:r>
        <w:rPr>
          <w:i/>
        </w:rPr>
        <w:t>Abstract</w:t>
      </w:r>
    </w:p>
    <w:p>
      <w:pPr>
        <w:pStyle w:val="BodyText"/>
        <w:rPr>
          <w:b/>
          <w:i/>
          <w:sz w:val="24"/>
        </w:rPr>
      </w:pPr>
    </w:p>
    <w:p>
      <w:pPr>
        <w:spacing w:before="0"/>
        <w:ind w:left="270" w:right="0" w:firstLine="0"/>
        <w:jc w:val="both"/>
        <w:rPr>
          <w:i/>
          <w:sz w:val="20"/>
        </w:rPr>
      </w:pPr>
      <w:r>
        <w:rPr>
          <w:i/>
          <w:sz w:val="20"/>
        </w:rPr>
        <w:t>Since there are plenty of metalworking microenterprises in </w:t>
      </w:r>
      <w:r>
        <w:rPr>
          <w:i/>
          <w:sz w:val="20"/>
        </w:rPr>
        <w:t>Mexico and most have not applied ergonomics neither security nor its processes accidents and work injuries as heavy metals and complex machinery are handled, in many  of these micro enterprises have not managed even  those basic personal protective equipment, much less training required for long days of hard work. The project was to conduct a study on a workstation punching process an engineering microenterprise due to the high level of noise generated by the machine and muscle by the various positions and repetitive movements on your workstation. Ergonomic method was applied and workstation redesign, those measures vast improvements in the health of workers found themselves, in order to identify whether</w:t>
      </w:r>
      <w:r>
        <w:rPr>
          <w:i/>
          <w:spacing w:val="5"/>
          <w:sz w:val="20"/>
        </w:rPr>
        <w:t> </w:t>
      </w:r>
      <w:r>
        <w:rPr>
          <w:i/>
          <w:sz w:val="20"/>
        </w:rPr>
        <w:t>environmental</w:t>
      </w:r>
    </w:p>
    <w:p>
      <w:pPr>
        <w:spacing w:before="74"/>
        <w:ind w:left="270" w:right="675" w:firstLine="0"/>
        <w:jc w:val="both"/>
        <w:rPr>
          <w:i/>
          <w:sz w:val="20"/>
        </w:rPr>
      </w:pPr>
      <w:r>
        <w:rPr/>
        <w:br w:type="column"/>
      </w:r>
      <w:r>
        <w:rPr>
          <w:i/>
          <w:sz w:val="20"/>
        </w:rPr>
        <w:t>conditions and procedure, favor the presence occupational </w:t>
      </w:r>
      <w:r>
        <w:rPr>
          <w:i/>
          <w:sz w:val="20"/>
        </w:rPr>
        <w:t>diseases and study the behavior of factors risk associated with the positions. For this study the methods of job evaluation, of PLIBEL, EXPENSES METABOLIC, FCD and RULA were used. Also environmental conditions (light, temperature and noise). The results show that implementation of activity workers are injured.</w:t>
      </w:r>
    </w:p>
    <w:p>
      <w:pPr>
        <w:pStyle w:val="BodyText"/>
        <w:spacing w:line="460" w:lineRule="atLeast"/>
        <w:ind w:left="270" w:right="3048"/>
      </w:pPr>
      <w:r>
        <w:rPr>
          <w:b/>
          <w:i/>
        </w:rPr>
        <w:t>Keywords</w:t>
      </w:r>
      <w:r>
        <w:rPr>
          <w:i/>
        </w:rPr>
        <w:t>— </w:t>
      </w:r>
      <w:r>
        <w:rPr/>
        <w:t>Injury, risk, work. Relevance to Ergonomics:</w:t>
      </w:r>
    </w:p>
    <w:p>
      <w:pPr>
        <w:pStyle w:val="BodyText"/>
        <w:ind w:left="270" w:right="676"/>
        <w:jc w:val="both"/>
      </w:pPr>
      <w:r>
        <w:rPr/>
        <w:t>El estudio contribuye a la difusión del conocimiento y concientización de la importancia de la Ergonomía en el diseño de estaciones de trabajo y los procesos productivos, destacando lo más importante que es la salud y la vida de  los operarios sin descuidar la parte productiva y funcional  de la</w:t>
      </w:r>
      <w:r>
        <w:rPr>
          <w:spacing w:val="-1"/>
        </w:rPr>
        <w:t> </w:t>
      </w:r>
      <w:r>
        <w:rPr/>
        <w:t>empresa.</w:t>
      </w:r>
    </w:p>
    <w:p>
      <w:pPr>
        <w:pStyle w:val="BodyText"/>
        <w:spacing w:before="2"/>
      </w:pPr>
    </w:p>
    <w:p>
      <w:pPr>
        <w:pStyle w:val="Heading4"/>
        <w:numPr>
          <w:ilvl w:val="0"/>
          <w:numId w:val="106"/>
        </w:numPr>
        <w:tabs>
          <w:tab w:pos="473" w:val="left" w:leader="none"/>
        </w:tabs>
        <w:spacing w:line="229" w:lineRule="exact" w:before="0" w:after="0"/>
        <w:ind w:left="472" w:right="0" w:hanging="202"/>
        <w:jc w:val="both"/>
      </w:pPr>
      <w:r>
        <w:rPr/>
        <w:t>INTRODUCTION.</w:t>
      </w:r>
    </w:p>
    <w:p>
      <w:pPr>
        <w:pStyle w:val="BodyText"/>
        <w:ind w:left="270" w:right="675"/>
        <w:jc w:val="both"/>
      </w:pPr>
      <w:r>
        <w:rPr/>
        <w:t>Ergonomics is currently a topic that deserves special attention in companies, mainly management level  operatives, where not only the worker should be given the tools necessary for the development of their activities, but also analyze the conditions under which he works , interaction with machinery and tools; environment, comprising factors such as temperature, noise, vibration,</w:t>
      </w:r>
      <w:r>
        <w:rPr>
          <w:spacing w:val="-7"/>
        </w:rPr>
        <w:t> </w:t>
      </w:r>
      <w:r>
        <w:rPr/>
        <w:t>etc.</w:t>
      </w:r>
    </w:p>
    <w:p>
      <w:pPr>
        <w:pStyle w:val="BodyText"/>
        <w:ind w:left="270" w:right="676"/>
        <w:jc w:val="both"/>
      </w:pPr>
      <w:r>
        <w:rPr/>
        <w:t>; their ability to perform a task; postures and movements performed; labor relations; mental workload, as well as their emotional  and  economic  situation;   among   others.   [1] To date even been developed methods that allow a thorough analysis of postures and repetitive movements like JSI, RULA, OWAS, EPR, OCRA and REBA; general aspects affecting mental fatigue or physical environment, LEST; for lifting loads, NIOSH and GINSHT; for thermal  environment, FANGER.</w:t>
      </w:r>
      <w:r>
        <w:rPr>
          <w:spacing w:val="-10"/>
        </w:rPr>
        <w:t> </w:t>
      </w:r>
      <w:r>
        <w:rPr/>
        <w:t>[2].</w:t>
      </w:r>
    </w:p>
    <w:p>
      <w:pPr>
        <w:pStyle w:val="BodyText"/>
        <w:spacing w:before="11"/>
        <w:rPr>
          <w:sz w:val="19"/>
        </w:rPr>
      </w:pPr>
    </w:p>
    <w:p>
      <w:pPr>
        <w:pStyle w:val="BodyText"/>
        <w:ind w:left="270" w:right="676"/>
        <w:jc w:val="both"/>
      </w:pPr>
      <w:r>
        <w:rPr/>
        <w:t>Note that for the development of study skills mentioned in the previous paragraph the contribution of various disciplines and analysis of issues such as the relationship Person is required - Machine design work systems, tools, dashboards, display, information management, and those aspects closely related to the development of the employee's duties.[3].</w:t>
      </w:r>
    </w:p>
    <w:p>
      <w:pPr>
        <w:pStyle w:val="BodyText"/>
      </w:pPr>
    </w:p>
    <w:p>
      <w:pPr>
        <w:pStyle w:val="BodyText"/>
        <w:spacing w:before="2"/>
      </w:pPr>
    </w:p>
    <w:p>
      <w:pPr>
        <w:pStyle w:val="Heading4"/>
        <w:numPr>
          <w:ilvl w:val="1"/>
          <w:numId w:val="106"/>
        </w:numPr>
        <w:tabs>
          <w:tab w:pos="571" w:val="left" w:leader="none"/>
        </w:tabs>
        <w:spacing w:line="240" w:lineRule="auto" w:before="0" w:after="0"/>
        <w:ind w:left="570" w:right="0" w:hanging="300"/>
        <w:jc w:val="both"/>
      </w:pPr>
      <w:r>
        <w:rPr/>
        <w:t>Definition of</w:t>
      </w:r>
      <w:r>
        <w:rPr>
          <w:spacing w:val="-9"/>
        </w:rPr>
        <w:t> </w:t>
      </w:r>
      <w:r>
        <w:rPr/>
        <w:t>ergonomics.</w:t>
      </w:r>
    </w:p>
    <w:p>
      <w:pPr>
        <w:pStyle w:val="BodyText"/>
        <w:spacing w:before="8"/>
        <w:rPr>
          <w:b/>
          <w:sz w:val="19"/>
        </w:rPr>
      </w:pPr>
    </w:p>
    <w:p>
      <w:pPr>
        <w:pStyle w:val="BodyText"/>
        <w:ind w:left="270" w:right="677"/>
        <w:jc w:val="both"/>
      </w:pPr>
      <w:r>
        <w:rPr/>
        <w:t>Ergonomics is the study of human beings in their  workplace. It can be understood as a science that aims to configure, plan and adapt work to man, answering questions related to poor working conditions.</w:t>
      </w:r>
      <w:r>
        <w:rPr>
          <w:spacing w:val="-20"/>
        </w:rPr>
        <w:t> </w:t>
      </w:r>
      <w:r>
        <w:rPr/>
        <w:t>[4].</w:t>
      </w:r>
    </w:p>
    <w:p>
      <w:pPr>
        <w:pStyle w:val="BodyText"/>
        <w:spacing w:before="2"/>
      </w:pPr>
    </w:p>
    <w:p>
      <w:pPr>
        <w:pStyle w:val="Heading4"/>
        <w:numPr>
          <w:ilvl w:val="1"/>
          <w:numId w:val="106"/>
        </w:numPr>
        <w:tabs>
          <w:tab w:pos="572" w:val="left" w:leader="none"/>
        </w:tabs>
        <w:spacing w:line="240" w:lineRule="auto" w:before="0" w:after="0"/>
        <w:ind w:left="571" w:right="0" w:hanging="301"/>
        <w:jc w:val="both"/>
      </w:pPr>
      <w:r>
        <w:rPr/>
        <w:t>Scope and importance of</w:t>
      </w:r>
      <w:r>
        <w:rPr>
          <w:spacing w:val="-10"/>
        </w:rPr>
        <w:t> </w:t>
      </w:r>
      <w:r>
        <w:rPr/>
        <w:t>ergonomics.</w:t>
      </w:r>
    </w:p>
    <w:p>
      <w:pPr>
        <w:pStyle w:val="BodyText"/>
        <w:spacing w:before="9"/>
        <w:rPr>
          <w:b/>
          <w:sz w:val="19"/>
        </w:rPr>
      </w:pPr>
    </w:p>
    <w:p>
      <w:pPr>
        <w:pStyle w:val="BodyText"/>
        <w:spacing w:before="1"/>
        <w:ind w:left="270" w:right="676"/>
        <w:jc w:val="both"/>
      </w:pPr>
      <w:r>
        <w:rPr/>
        <w:t>Previously thought to ergonomics catered only physical link between the person and the machine aside factors such as usability, psychological conditions, the  working environment and fatigue.</w:t>
      </w:r>
    </w:p>
    <w:p>
      <w:pPr>
        <w:spacing w:after="0"/>
        <w:jc w:val="both"/>
        <w:sectPr>
          <w:type w:val="continuous"/>
          <w:pgSz w:w="12240" w:h="15840"/>
          <w:pgMar w:top="1500" w:bottom="280" w:left="580" w:right="220"/>
          <w:cols w:num="2" w:equalWidth="0">
            <w:col w:w="5190" w:space="434"/>
            <w:col w:w="5816"/>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4"/>
        <w:rPr>
          <w:sz w:val="26"/>
        </w:rPr>
      </w:pPr>
    </w:p>
    <w:p>
      <w:pPr>
        <w:pStyle w:val="BodyText"/>
        <w:spacing w:before="1"/>
        <w:ind w:left="270" w:right="1"/>
        <w:jc w:val="both"/>
      </w:pPr>
      <w:r>
        <w:rPr/>
        <w:t>The application of ergonomics has been corrected and reduce workplace hazards once they have detected harmful consequences for the operator is to take ergonomics to a  level capable of preventing damage and continuously improve working</w:t>
      </w:r>
      <w:r>
        <w:rPr>
          <w:spacing w:val="-13"/>
        </w:rPr>
        <w:t> </w:t>
      </w:r>
      <w:r>
        <w:rPr/>
        <w:t>conditions.</w:t>
      </w:r>
    </w:p>
    <w:p>
      <w:pPr>
        <w:pStyle w:val="BodyText"/>
        <w:spacing w:before="11"/>
        <w:rPr>
          <w:sz w:val="19"/>
        </w:rPr>
      </w:pPr>
    </w:p>
    <w:p>
      <w:pPr>
        <w:pStyle w:val="BodyText"/>
        <w:ind w:left="270" w:firstLine="50"/>
        <w:jc w:val="both"/>
      </w:pPr>
      <w:r>
        <w:rPr/>
        <w:t>In a study, researchers examined ergonomic work systems based on divergent approaches (mechanistic, biological, perceptual / motor, motivational) with corresponding individual and organizational results. [5].</w:t>
      </w:r>
    </w:p>
    <w:p>
      <w:pPr>
        <w:pStyle w:val="BodyText"/>
        <w:spacing w:before="11"/>
        <w:rPr>
          <w:sz w:val="19"/>
        </w:rPr>
      </w:pPr>
    </w:p>
    <w:p>
      <w:pPr>
        <w:pStyle w:val="BodyText"/>
        <w:ind w:left="270" w:firstLine="50"/>
        <w:jc w:val="both"/>
      </w:pPr>
      <w:r>
        <w:rPr/>
        <w:t>The selection of techniques to develop the analysis of jobs depends on several factors, among which is the work environment, the characteristics of the job functions, the man-machine relationship, technology, context, etc.</w:t>
      </w:r>
    </w:p>
    <w:p>
      <w:pPr>
        <w:pStyle w:val="BodyText"/>
      </w:pPr>
    </w:p>
    <w:p>
      <w:pPr>
        <w:pStyle w:val="BodyText"/>
        <w:spacing w:before="1"/>
        <w:ind w:left="270"/>
        <w:jc w:val="both"/>
      </w:pPr>
      <w:r>
        <w:rPr/>
        <w:t>Within these techniques usually questionnaires and  checklists for managing health and safety, the design of man- machine system design or restructuring of labor are. But they are also used by those responsible for  organizational planning to develop databases used in the action plans in the areas of selection and assignment of personnel and compensation performance.</w:t>
      </w:r>
      <w:r>
        <w:rPr>
          <w:spacing w:val="-20"/>
        </w:rPr>
        <w:t> </w:t>
      </w:r>
      <w:r>
        <w:rPr/>
        <w:t>[6].</w:t>
      </w:r>
    </w:p>
    <w:p>
      <w:pPr>
        <w:pStyle w:val="BodyText"/>
        <w:spacing w:before="2"/>
      </w:pPr>
    </w:p>
    <w:p>
      <w:pPr>
        <w:pStyle w:val="Heading4"/>
        <w:numPr>
          <w:ilvl w:val="1"/>
          <w:numId w:val="106"/>
        </w:numPr>
        <w:tabs>
          <w:tab w:pos="571" w:val="left" w:leader="none"/>
        </w:tabs>
        <w:spacing w:line="240" w:lineRule="auto" w:before="0" w:after="0"/>
        <w:ind w:left="570" w:right="0" w:hanging="300"/>
        <w:jc w:val="both"/>
      </w:pPr>
      <w:r>
        <w:rPr/>
        <w:t>Review of section 6.4 of the standard</w:t>
      </w:r>
      <w:r>
        <w:rPr>
          <w:spacing w:val="-25"/>
        </w:rPr>
        <w:t> </w:t>
      </w:r>
      <w:r>
        <w:rPr/>
        <w:t>ts-16949.</w:t>
      </w:r>
    </w:p>
    <w:p>
      <w:pPr>
        <w:pStyle w:val="BodyText"/>
        <w:spacing w:before="8"/>
        <w:rPr>
          <w:b/>
          <w:sz w:val="19"/>
        </w:rPr>
      </w:pPr>
    </w:p>
    <w:p>
      <w:pPr>
        <w:pStyle w:val="BodyText"/>
        <w:ind w:left="270"/>
        <w:jc w:val="both"/>
      </w:pPr>
      <w:r>
        <w:rPr/>
        <w:t>The company received comments regarding the ergonomic conditions in the area of presses, it is recommended to perform an ergonomic assessment in the workplace with higher incidence of risk, in order to comply with the relevant section in the TS-16949.</w:t>
      </w:r>
    </w:p>
    <w:p>
      <w:pPr>
        <w:pStyle w:val="BodyText"/>
        <w:spacing w:before="11"/>
        <w:rPr>
          <w:sz w:val="19"/>
        </w:rPr>
      </w:pPr>
    </w:p>
    <w:p>
      <w:pPr>
        <w:pStyle w:val="BodyText"/>
        <w:ind w:left="270" w:right="1"/>
        <w:jc w:val="both"/>
      </w:pPr>
      <w:r>
        <w:rPr/>
        <w:t>ISO / TS-16949 is an internationally recognized standard developed by the automotive industry through the International Working Group on the Automotive Sector (IATF, for its acronym in English), whose system is based  on the principles of Management Quality: Customer Focus, Leadership, Involvement of people, process approach,  system approach to management, Continuous improvement, decision making based on facts and supplier relationships. [7].</w:t>
      </w:r>
    </w:p>
    <w:p>
      <w:pPr>
        <w:pStyle w:val="BodyText"/>
        <w:ind w:left="270"/>
        <w:jc w:val="both"/>
      </w:pPr>
      <w:r>
        <w:rPr/>
        <w:t>The organization shall determine and manage the work environment needed to achieve conformity to product requirements.</w:t>
      </w:r>
    </w:p>
    <w:p>
      <w:pPr>
        <w:pStyle w:val="BodyText"/>
        <w:ind w:left="270" w:right="1"/>
        <w:jc w:val="both"/>
      </w:pPr>
      <w:r>
        <w:rPr/>
        <w:t>Paragraph 6.4 of this standard dictates special attention to those working conditions without which customer expectations could not be reached. Probably the framed statement does not fully explain the point, however, you may find more information by reviewing other issues such as the ISO 9004: 2000, which states a Work Environment in the manner presented below:</w:t>
      </w:r>
    </w:p>
    <w:p>
      <w:pPr>
        <w:pStyle w:val="BodyText"/>
        <w:spacing w:before="11"/>
        <w:rPr>
          <w:sz w:val="19"/>
        </w:rPr>
      </w:pPr>
    </w:p>
    <w:p>
      <w:pPr>
        <w:pStyle w:val="BodyText"/>
        <w:ind w:left="270" w:right="1"/>
        <w:jc w:val="both"/>
      </w:pPr>
      <w:r>
        <w:rPr/>
        <w:t>Management should ensure that the work environment has a positive influence on motivation, satisfaction and performance of staff in order to improve organizational performance. The creation of a suitable work    environment,</w:t>
      </w:r>
    </w:p>
    <w:p>
      <w:pPr>
        <w:pStyle w:val="BodyText"/>
        <w:spacing w:before="74"/>
        <w:ind w:left="270" w:right="675"/>
        <w:jc w:val="both"/>
      </w:pPr>
      <w:r>
        <w:rPr/>
        <w:br w:type="column"/>
      </w:r>
      <w:r>
        <w:rPr/>
        <w:t>as a combination of human and physical factors, should consider the following:</w:t>
      </w:r>
    </w:p>
    <w:p>
      <w:pPr>
        <w:pStyle w:val="BodyText"/>
      </w:pPr>
    </w:p>
    <w:p>
      <w:pPr>
        <w:pStyle w:val="BodyText"/>
        <w:spacing w:before="1"/>
        <w:ind w:left="270" w:right="675"/>
        <w:jc w:val="both"/>
      </w:pPr>
      <w:r>
        <w:rPr/>
        <w:t>Methodologies for creative work and opportunities to increase active participation is evident that the potential of staff, rules and safety guidelines, including the use of protective equipment, ergonomics, the location of the workplace, social interaction, facilities staff in the organization, heat, humidity, light, airflow, hygiene, cleanliness, noise, vibration and pollution.</w:t>
      </w:r>
    </w:p>
    <w:p>
      <w:pPr>
        <w:pStyle w:val="BodyText"/>
        <w:spacing w:before="11"/>
        <w:rPr>
          <w:sz w:val="19"/>
        </w:rPr>
      </w:pPr>
    </w:p>
    <w:p>
      <w:pPr>
        <w:pStyle w:val="BodyText"/>
        <w:ind w:left="270" w:right="676"/>
        <w:jc w:val="both"/>
      </w:pPr>
      <w:r>
        <w:rPr/>
        <w:t>Product safety and means to minimize potential risks to employees shall be considered by the organization, especially in the design and development process and in manufacturing process activities.</w:t>
      </w:r>
    </w:p>
    <w:p>
      <w:pPr>
        <w:pStyle w:val="BodyText"/>
        <w:spacing w:before="11"/>
        <w:rPr>
          <w:sz w:val="19"/>
        </w:rPr>
      </w:pPr>
    </w:p>
    <w:p>
      <w:pPr>
        <w:pStyle w:val="BodyText"/>
        <w:ind w:left="270" w:right="677"/>
        <w:jc w:val="both"/>
      </w:pPr>
      <w:r>
        <w:rPr/>
        <w:t>This first section establishes the priority should be on products that have a direct relationship with employees. [8].</w:t>
      </w:r>
    </w:p>
    <w:p>
      <w:pPr>
        <w:pStyle w:val="BodyText"/>
        <w:spacing w:before="11"/>
        <w:rPr>
          <w:sz w:val="19"/>
        </w:rPr>
      </w:pPr>
    </w:p>
    <w:p>
      <w:pPr>
        <w:pStyle w:val="ListParagraph"/>
        <w:numPr>
          <w:ilvl w:val="2"/>
          <w:numId w:val="106"/>
        </w:numPr>
        <w:tabs>
          <w:tab w:pos="722" w:val="left" w:leader="none"/>
        </w:tabs>
        <w:spacing w:line="240" w:lineRule="auto" w:before="0" w:after="0"/>
        <w:ind w:left="722" w:right="0" w:hanging="452"/>
        <w:jc w:val="both"/>
        <w:rPr>
          <w:sz w:val="20"/>
        </w:rPr>
      </w:pPr>
      <w:r>
        <w:rPr>
          <w:sz w:val="20"/>
          <w:u w:val="single"/>
        </w:rPr>
        <w:t>Cleaning of</w:t>
      </w:r>
      <w:r>
        <w:rPr>
          <w:spacing w:val="-17"/>
          <w:sz w:val="20"/>
          <w:u w:val="single"/>
        </w:rPr>
        <w:t> </w:t>
      </w:r>
      <w:r>
        <w:rPr>
          <w:sz w:val="20"/>
          <w:u w:val="single"/>
        </w:rPr>
        <w:t>facilities.</w:t>
      </w:r>
    </w:p>
    <w:p>
      <w:pPr>
        <w:pStyle w:val="BodyText"/>
        <w:spacing w:before="11"/>
        <w:rPr>
          <w:sz w:val="19"/>
        </w:rPr>
      </w:pPr>
    </w:p>
    <w:p>
      <w:pPr>
        <w:pStyle w:val="BodyText"/>
        <w:ind w:left="270" w:right="678"/>
        <w:jc w:val="both"/>
      </w:pPr>
      <w:r>
        <w:rPr/>
        <w:t>The organization shall maintain its premises in a state of order, cleanliness and repair consistent with the product and manufacturing process needs.</w:t>
      </w:r>
    </w:p>
    <w:p>
      <w:pPr>
        <w:pStyle w:val="BodyText"/>
        <w:ind w:left="270" w:right="676"/>
        <w:jc w:val="both"/>
      </w:pPr>
      <w:r>
        <w:rPr/>
        <w:t>This requirement is fully covered as the company practices the 9's and conducts monthly audits of compliance with them. [9].</w:t>
      </w:r>
    </w:p>
    <w:p>
      <w:pPr>
        <w:pStyle w:val="BodyText"/>
        <w:spacing w:before="11"/>
        <w:rPr>
          <w:sz w:val="19"/>
        </w:rPr>
      </w:pPr>
    </w:p>
    <w:p>
      <w:pPr>
        <w:pStyle w:val="Heading4"/>
        <w:numPr>
          <w:ilvl w:val="1"/>
          <w:numId w:val="106"/>
        </w:numPr>
        <w:tabs>
          <w:tab w:pos="572" w:val="left" w:leader="none"/>
        </w:tabs>
        <w:spacing w:line="240" w:lineRule="auto" w:before="0" w:after="0"/>
        <w:ind w:left="571" w:right="0" w:hanging="301"/>
        <w:jc w:val="both"/>
        <w:rPr>
          <w:b w:val="0"/>
        </w:rPr>
      </w:pPr>
      <w:r>
        <w:rPr/>
        <w:t>Legal part of</w:t>
      </w:r>
      <w:r>
        <w:rPr>
          <w:spacing w:val="-11"/>
        </w:rPr>
        <w:t> </w:t>
      </w:r>
      <w:r>
        <w:rPr/>
        <w:t>ergonomics</w:t>
      </w:r>
      <w:r>
        <w:rPr>
          <w:b w:val="0"/>
        </w:rPr>
        <w:t>.</w:t>
      </w:r>
    </w:p>
    <w:p>
      <w:pPr>
        <w:pStyle w:val="BodyText"/>
        <w:spacing w:before="11"/>
        <w:rPr>
          <w:sz w:val="19"/>
        </w:rPr>
      </w:pPr>
    </w:p>
    <w:p>
      <w:pPr>
        <w:pStyle w:val="BodyText"/>
        <w:ind w:left="270" w:right="677"/>
        <w:jc w:val="both"/>
      </w:pPr>
      <w:r>
        <w:rPr/>
        <w:t>Note that this project is based by legal means that ergonomics plays the worker's obligation through the Political Constitution of the Mexican United States, title sixth of labor and social security and is applied by different Mexican standards and through different systems implementing Federal ISO.Legislación (Valid until June 25, 2012). [10].</w:t>
      </w:r>
    </w:p>
    <w:p>
      <w:pPr>
        <w:pStyle w:val="BodyText"/>
        <w:spacing w:before="11"/>
        <w:rPr>
          <w:sz w:val="19"/>
        </w:rPr>
      </w:pPr>
    </w:p>
    <w:p>
      <w:pPr>
        <w:pStyle w:val="ListParagraph"/>
        <w:numPr>
          <w:ilvl w:val="2"/>
          <w:numId w:val="106"/>
        </w:numPr>
        <w:tabs>
          <w:tab w:pos="722" w:val="left" w:leader="none"/>
        </w:tabs>
        <w:spacing w:line="240" w:lineRule="auto" w:before="0" w:after="0"/>
        <w:ind w:left="270" w:right="0" w:firstLine="0"/>
        <w:jc w:val="both"/>
        <w:rPr>
          <w:sz w:val="20"/>
        </w:rPr>
      </w:pPr>
      <w:r>
        <w:rPr>
          <w:sz w:val="20"/>
          <w:u w:val="single"/>
        </w:rPr>
        <w:t>Federal labor</w:t>
      </w:r>
      <w:r>
        <w:rPr>
          <w:spacing w:val="-9"/>
          <w:sz w:val="20"/>
          <w:u w:val="single"/>
        </w:rPr>
        <w:t> </w:t>
      </w:r>
      <w:r>
        <w:rPr>
          <w:sz w:val="20"/>
          <w:u w:val="single"/>
        </w:rPr>
        <w:t>law.</w:t>
      </w:r>
    </w:p>
    <w:p>
      <w:pPr>
        <w:pStyle w:val="BodyText"/>
      </w:pPr>
    </w:p>
    <w:p>
      <w:pPr>
        <w:pStyle w:val="BodyText"/>
        <w:spacing w:before="1"/>
        <w:ind w:left="270" w:right="677"/>
        <w:jc w:val="both"/>
      </w:pPr>
      <w:r>
        <w:rPr/>
        <w:t>Article 123. everyone is entitled to decent and socially useful; the effect, creating jobs and social organization for work    shall    be    promoted    in    accordance    with  law.</w:t>
      </w:r>
    </w:p>
    <w:p>
      <w:pPr>
        <w:pStyle w:val="BodyText"/>
        <w:spacing w:before="11"/>
        <w:rPr>
          <w:sz w:val="19"/>
        </w:rPr>
      </w:pPr>
    </w:p>
    <w:p>
      <w:pPr>
        <w:pStyle w:val="ListParagraph"/>
        <w:numPr>
          <w:ilvl w:val="2"/>
          <w:numId w:val="106"/>
        </w:numPr>
        <w:tabs>
          <w:tab w:pos="734" w:val="left" w:leader="none"/>
        </w:tabs>
        <w:spacing w:line="240" w:lineRule="auto" w:before="0" w:after="0"/>
        <w:ind w:left="270" w:right="677" w:firstLine="0"/>
        <w:jc w:val="both"/>
        <w:rPr>
          <w:sz w:val="20"/>
        </w:rPr>
      </w:pPr>
      <w:r>
        <w:rPr>
          <w:sz w:val="20"/>
          <w:u w:val="single"/>
        </w:rPr>
        <w:t>Mexican official standard nom-004-stps-1999 systems </w:t>
      </w:r>
      <w:r>
        <w:rPr>
          <w:sz w:val="20"/>
          <w:u w:val="single"/>
        </w:rPr>
        <w:t>protection and safety devices in the machinery and </w:t>
      </w:r>
      <w:r>
        <w:rPr>
          <w:sz w:val="20"/>
          <w:u w:val="single"/>
        </w:rPr>
        <w:t>equipment used in the</w:t>
      </w:r>
      <w:r>
        <w:rPr>
          <w:spacing w:val="-11"/>
          <w:sz w:val="20"/>
          <w:u w:val="single"/>
        </w:rPr>
        <w:t> </w:t>
      </w:r>
      <w:r>
        <w:rPr>
          <w:sz w:val="20"/>
          <w:u w:val="single"/>
        </w:rPr>
        <w:t>workplace</w:t>
      </w:r>
      <w:r>
        <w:rPr>
          <w:sz w:val="20"/>
        </w:rPr>
        <w:t>.</w:t>
      </w:r>
    </w:p>
    <w:p>
      <w:pPr>
        <w:pStyle w:val="BodyText"/>
        <w:spacing w:before="11"/>
        <w:rPr>
          <w:sz w:val="19"/>
        </w:rPr>
      </w:pPr>
    </w:p>
    <w:p>
      <w:pPr>
        <w:pStyle w:val="BodyText"/>
        <w:ind w:left="270" w:right="675"/>
        <w:jc w:val="both"/>
      </w:pPr>
      <w:r>
        <w:rPr/>
        <w:t>The aim is to establish the safety and protection systems and devices to prevent and protect workers against occupational hazards generated by the operation and maintenance of machinery and equipment.</w:t>
      </w:r>
    </w:p>
    <w:p>
      <w:pPr>
        <w:pStyle w:val="BodyText"/>
        <w:spacing w:before="11"/>
        <w:rPr>
          <w:sz w:val="19"/>
        </w:rPr>
      </w:pPr>
    </w:p>
    <w:p>
      <w:pPr>
        <w:pStyle w:val="BodyText"/>
        <w:tabs>
          <w:tab w:pos="1786" w:val="left" w:leader="none"/>
          <w:tab w:pos="3294" w:val="left" w:leader="none"/>
          <w:tab w:pos="4243" w:val="left" w:leader="none"/>
        </w:tabs>
        <w:ind w:left="270" w:right="676"/>
        <w:jc w:val="both"/>
      </w:pPr>
      <w:r>
        <w:rPr/>
        <w:t>This Standard applies throughout the national territory and applies in all work centers by the nature of their processes employing</w:t>
        <w:tab/>
        <w:t>machinery</w:t>
        <w:tab/>
        <w:t>and</w:t>
        <w:tab/>
      </w:r>
      <w:r>
        <w:rPr>
          <w:spacing w:val="-1"/>
        </w:rPr>
        <w:t>equipment. </w:t>
      </w:r>
      <w:r>
        <w:rPr/>
        <w:t>NOM-001-STPS-1999,  NOM-002-STPS-2000,</w:t>
      </w:r>
      <w:r>
        <w:rPr>
          <w:spacing w:val="48"/>
        </w:rPr>
        <w:t> </w:t>
      </w:r>
      <w:r>
        <w:rPr/>
        <w:t>NOM-004-</w:t>
      </w:r>
    </w:p>
    <w:p>
      <w:pPr>
        <w:pStyle w:val="BodyText"/>
        <w:ind w:left="270"/>
        <w:jc w:val="both"/>
      </w:pPr>
      <w:r>
        <w:rPr/>
        <w:t>STPS-1999: For the correct interpretation of this   Standard,</w:t>
      </w:r>
    </w:p>
    <w:p>
      <w:pPr>
        <w:spacing w:after="0"/>
        <w:jc w:val="both"/>
        <w:sectPr>
          <w:type w:val="continuous"/>
          <w:pgSz w:w="12240" w:h="15840"/>
          <w:pgMar w:top="1500" w:bottom="280" w:left="580" w:right="220"/>
          <w:cols w:num="2" w:equalWidth="0">
            <w:col w:w="5190" w:space="435"/>
            <w:col w:w="5815"/>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4"/>
        <w:ind w:left="270" w:right="118"/>
      </w:pPr>
      <w:r>
        <w:rPr/>
        <w:t>the following Official Mexican Standards and current Mexican standards should be consulted.</w:t>
      </w:r>
    </w:p>
    <w:p>
      <w:pPr>
        <w:pStyle w:val="BodyText"/>
      </w:pPr>
    </w:p>
    <w:p>
      <w:pPr>
        <w:pStyle w:val="BodyText"/>
      </w:pPr>
    </w:p>
    <w:p>
      <w:pPr>
        <w:pStyle w:val="BodyText"/>
        <w:spacing w:before="2"/>
      </w:pPr>
    </w:p>
    <w:p>
      <w:pPr>
        <w:pStyle w:val="Heading4"/>
        <w:numPr>
          <w:ilvl w:val="1"/>
          <w:numId w:val="107"/>
        </w:numPr>
        <w:tabs>
          <w:tab w:pos="571" w:val="left" w:leader="none"/>
        </w:tabs>
        <w:spacing w:line="240" w:lineRule="auto" w:before="1" w:after="0"/>
        <w:ind w:left="570" w:right="0" w:hanging="300"/>
        <w:jc w:val="both"/>
      </w:pPr>
      <w:r>
        <w:rPr/>
        <w:t>Justification</w:t>
      </w:r>
    </w:p>
    <w:p>
      <w:pPr>
        <w:pStyle w:val="BodyText"/>
        <w:spacing w:before="8"/>
        <w:rPr>
          <w:b/>
          <w:sz w:val="19"/>
        </w:rPr>
      </w:pPr>
    </w:p>
    <w:p>
      <w:pPr>
        <w:pStyle w:val="BodyText"/>
        <w:ind w:left="270"/>
        <w:jc w:val="both"/>
      </w:pPr>
      <w:r>
        <w:rPr/>
        <w:t>Have been identified within the company in different workspaces physical demands on workers, surrounding environment and work organization as operators during working hours suffer from fatigue since their function are standing all the time and perform repetitive movements.</w:t>
      </w:r>
    </w:p>
    <w:p>
      <w:pPr>
        <w:pStyle w:val="BodyText"/>
        <w:spacing w:before="11"/>
        <w:rPr>
          <w:sz w:val="19"/>
        </w:rPr>
      </w:pPr>
    </w:p>
    <w:p>
      <w:pPr>
        <w:pStyle w:val="BodyText"/>
        <w:ind w:left="270"/>
        <w:jc w:val="both"/>
      </w:pPr>
      <w:r>
        <w:rPr/>
        <w:t>The worker is not fully motivated.</w:t>
      </w:r>
    </w:p>
    <w:p>
      <w:pPr>
        <w:pStyle w:val="BodyText"/>
        <w:spacing w:before="11"/>
        <w:rPr>
          <w:sz w:val="19"/>
        </w:rPr>
      </w:pPr>
    </w:p>
    <w:p>
      <w:pPr>
        <w:pStyle w:val="ListParagraph"/>
        <w:numPr>
          <w:ilvl w:val="1"/>
          <w:numId w:val="29"/>
        </w:numPr>
        <w:tabs>
          <w:tab w:pos="392" w:val="left" w:leader="none"/>
        </w:tabs>
        <w:spacing w:line="240" w:lineRule="auto" w:before="0" w:after="0"/>
        <w:ind w:left="270" w:right="130" w:firstLine="0"/>
        <w:jc w:val="left"/>
        <w:rPr>
          <w:sz w:val="20"/>
        </w:rPr>
      </w:pPr>
      <w:r>
        <w:rPr>
          <w:sz w:val="20"/>
        </w:rPr>
        <w:t>It is necessary to evaluate noise levels to determine if they are within the allowable</w:t>
      </w:r>
      <w:r>
        <w:rPr>
          <w:spacing w:val="-3"/>
          <w:sz w:val="20"/>
        </w:rPr>
        <w:t> </w:t>
      </w:r>
      <w:r>
        <w:rPr>
          <w:sz w:val="20"/>
        </w:rPr>
        <w:t>range.</w:t>
      </w:r>
    </w:p>
    <w:p>
      <w:pPr>
        <w:pStyle w:val="ListParagraph"/>
        <w:numPr>
          <w:ilvl w:val="1"/>
          <w:numId w:val="29"/>
        </w:numPr>
        <w:tabs>
          <w:tab w:pos="391" w:val="left" w:leader="none"/>
        </w:tabs>
        <w:spacing w:line="240" w:lineRule="auto" w:before="0" w:after="0"/>
        <w:ind w:left="270" w:right="276" w:firstLine="0"/>
        <w:jc w:val="left"/>
        <w:rPr>
          <w:sz w:val="20"/>
        </w:rPr>
      </w:pPr>
      <w:r>
        <w:rPr>
          <w:sz w:val="20"/>
        </w:rPr>
        <w:t>Too repetitive hands and wrist movements in addition to the positions of the trunk and</w:t>
      </w:r>
      <w:r>
        <w:rPr>
          <w:spacing w:val="-18"/>
          <w:sz w:val="20"/>
        </w:rPr>
        <w:t> </w:t>
      </w:r>
      <w:r>
        <w:rPr>
          <w:sz w:val="20"/>
        </w:rPr>
        <w:t>neck.</w:t>
      </w:r>
    </w:p>
    <w:p>
      <w:pPr>
        <w:pStyle w:val="ListParagraph"/>
        <w:numPr>
          <w:ilvl w:val="1"/>
          <w:numId w:val="29"/>
        </w:numPr>
        <w:tabs>
          <w:tab w:pos="390" w:val="left" w:leader="none"/>
        </w:tabs>
        <w:spacing w:line="240" w:lineRule="auto" w:before="0" w:after="0"/>
        <w:ind w:left="389" w:right="0" w:hanging="119"/>
        <w:jc w:val="both"/>
        <w:rPr>
          <w:sz w:val="20"/>
        </w:rPr>
      </w:pPr>
      <w:r>
        <w:rPr>
          <w:sz w:val="20"/>
        </w:rPr>
        <w:t>Worker fatigue is</w:t>
      </w:r>
      <w:r>
        <w:rPr>
          <w:spacing w:val="-18"/>
          <w:sz w:val="20"/>
        </w:rPr>
        <w:t> </w:t>
      </w:r>
      <w:r>
        <w:rPr>
          <w:sz w:val="20"/>
        </w:rPr>
        <w:t>remarkable.</w:t>
      </w:r>
    </w:p>
    <w:p>
      <w:pPr>
        <w:pStyle w:val="BodyText"/>
        <w:spacing w:before="2"/>
      </w:pPr>
    </w:p>
    <w:p>
      <w:pPr>
        <w:pStyle w:val="Heading4"/>
        <w:numPr>
          <w:ilvl w:val="1"/>
          <w:numId w:val="107"/>
        </w:numPr>
        <w:tabs>
          <w:tab w:pos="572" w:val="left" w:leader="none"/>
        </w:tabs>
        <w:spacing w:line="240" w:lineRule="auto" w:before="0" w:after="0"/>
        <w:ind w:left="571" w:right="0" w:hanging="301"/>
        <w:jc w:val="both"/>
      </w:pPr>
      <w:r>
        <w:rPr/>
        <w:t>Objetive.</w:t>
      </w:r>
    </w:p>
    <w:p>
      <w:pPr>
        <w:pStyle w:val="BodyText"/>
        <w:spacing w:before="10"/>
        <w:rPr>
          <w:b/>
          <w:sz w:val="19"/>
        </w:rPr>
      </w:pPr>
    </w:p>
    <w:p>
      <w:pPr>
        <w:pStyle w:val="ListParagraph"/>
        <w:numPr>
          <w:ilvl w:val="0"/>
          <w:numId w:val="29"/>
        </w:numPr>
        <w:tabs>
          <w:tab w:pos="556" w:val="left" w:leader="none"/>
        </w:tabs>
        <w:spacing w:line="240" w:lineRule="auto" w:before="0" w:after="0"/>
        <w:ind w:left="555" w:right="0" w:hanging="360"/>
        <w:jc w:val="both"/>
        <w:rPr>
          <w:rFonts w:ascii="Symbol"/>
          <w:sz w:val="20"/>
        </w:rPr>
      </w:pPr>
      <w:r>
        <w:rPr>
          <w:sz w:val="20"/>
        </w:rPr>
        <w:t>Identify whether environmental conditions and  procedure, favor the presence illnesses DTA'S (cumulative trauma disorder) in the</w:t>
      </w:r>
      <w:r>
        <w:rPr>
          <w:spacing w:val="-19"/>
          <w:sz w:val="20"/>
        </w:rPr>
        <w:t> </w:t>
      </w:r>
      <w:r>
        <w:rPr>
          <w:sz w:val="20"/>
        </w:rPr>
        <w:t>operators.</w:t>
      </w:r>
    </w:p>
    <w:p>
      <w:pPr>
        <w:pStyle w:val="BodyText"/>
      </w:pPr>
      <w:r>
        <w:rPr/>
        <w:br w:type="column"/>
      </w:r>
      <w:r>
        <w:rPr/>
      </w:r>
    </w:p>
    <w:p>
      <w:pPr>
        <w:pStyle w:val="BodyText"/>
        <w:spacing w:before="7"/>
        <w:rPr>
          <w:sz w:val="26"/>
        </w:rPr>
      </w:pPr>
    </w:p>
    <w:p>
      <w:pPr>
        <w:pStyle w:val="Heading4"/>
        <w:ind w:left="195"/>
        <w:jc w:val="left"/>
      </w:pPr>
      <w:r>
        <w:rPr/>
        <w:t>2.2. Productive process</w:t>
      </w:r>
    </w:p>
    <w:p>
      <w:pPr>
        <w:pStyle w:val="BodyText"/>
        <w:spacing w:before="8"/>
        <w:rPr>
          <w:b/>
          <w:sz w:val="19"/>
        </w:rPr>
      </w:pPr>
    </w:p>
    <w:p>
      <w:pPr>
        <w:pStyle w:val="BodyText"/>
        <w:ind w:left="336" w:right="676"/>
        <w:jc w:val="both"/>
      </w:pPr>
      <w:r>
        <w:rPr/>
        <w:t>To accomplish this first phase was necessary travel to the workplace, in this way could be observed the tasks the operator performs the work environment surrounding, details such as safety equipment used, as well as their behavior and ways of i work. for this a cause and effect diagram of the problem in presses was performed.</w:t>
      </w:r>
    </w:p>
    <w:p>
      <w:pPr>
        <w:pStyle w:val="BodyText"/>
        <w:spacing w:before="9"/>
        <w:rPr>
          <w:sz w:val="16"/>
        </w:rPr>
      </w:pPr>
      <w:r>
        <w:rPr/>
        <w:drawing>
          <wp:anchor distT="0" distB="0" distL="0" distR="0" allowOverlap="1" layoutInCell="1" locked="0" behindDoc="0" simplePos="0" relativeHeight="12616">
            <wp:simplePos x="0" y="0"/>
            <wp:positionH relativeFrom="page">
              <wp:posOffset>4201667</wp:posOffset>
            </wp:positionH>
            <wp:positionV relativeFrom="paragraph">
              <wp:posOffset>147811</wp:posOffset>
            </wp:positionV>
            <wp:extent cx="2946027" cy="1517903"/>
            <wp:effectExtent l="0" t="0" r="0" b="0"/>
            <wp:wrapTopAndBottom/>
            <wp:docPr id="477" name="image289.jpeg" descr=""/>
            <wp:cNvGraphicFramePr>
              <a:graphicFrameLocks noChangeAspect="1"/>
            </wp:cNvGraphicFramePr>
            <a:graphic>
              <a:graphicData uri="http://schemas.openxmlformats.org/drawingml/2006/picture">
                <pic:pic>
                  <pic:nvPicPr>
                    <pic:cNvPr id="478" name="image289.jpeg"/>
                    <pic:cNvPicPr/>
                  </pic:nvPicPr>
                  <pic:blipFill>
                    <a:blip r:embed="rId487" cstate="print"/>
                    <a:stretch>
                      <a:fillRect/>
                    </a:stretch>
                  </pic:blipFill>
                  <pic:spPr>
                    <a:xfrm>
                      <a:off x="0" y="0"/>
                      <a:ext cx="2946027" cy="1517903"/>
                    </a:xfrm>
                    <a:prstGeom prst="rect">
                      <a:avLst/>
                    </a:prstGeom>
                  </pic:spPr>
                </pic:pic>
              </a:graphicData>
            </a:graphic>
          </wp:anchor>
        </w:drawing>
      </w:r>
    </w:p>
    <w:p>
      <w:pPr>
        <w:pStyle w:val="BodyText"/>
        <w:spacing w:before="6"/>
        <w:rPr>
          <w:sz w:val="17"/>
        </w:rPr>
      </w:pPr>
    </w:p>
    <w:p>
      <w:pPr>
        <w:pStyle w:val="BodyText"/>
        <w:ind w:left="644"/>
      </w:pPr>
      <w:r>
        <w:rPr>
          <w:sz w:val="18"/>
        </w:rPr>
        <w:t>Figure 1 </w:t>
      </w:r>
      <w:r>
        <w:rPr/>
        <w:t>Cause and effect diagram of the problem.</w:t>
      </w:r>
    </w:p>
    <w:p>
      <w:pPr>
        <w:spacing w:after="0"/>
        <w:sectPr>
          <w:type w:val="continuous"/>
          <w:pgSz w:w="12240" w:h="15840"/>
          <w:pgMar w:top="1500" w:bottom="280" w:left="580" w:right="220"/>
          <w:cols w:num="2" w:equalWidth="0">
            <w:col w:w="5190" w:space="510"/>
            <w:col w:w="5740"/>
          </w:cols>
        </w:sectPr>
      </w:pPr>
    </w:p>
    <w:p>
      <w:pPr>
        <w:pStyle w:val="BodyText"/>
        <w:spacing w:line="244" w:lineRule="exact"/>
        <w:ind w:left="195"/>
        <w:rPr>
          <w:rFonts w:ascii="Symbol" w:hAnsi="Symbol"/>
        </w:rPr>
      </w:pPr>
      <w:r>
        <w:rPr/>
        <w:drawing>
          <wp:anchor distT="0" distB="0" distL="0" distR="0" allowOverlap="1" layoutInCell="1" locked="0" behindDoc="0" simplePos="0" relativeHeight="12640">
            <wp:simplePos x="0" y="0"/>
            <wp:positionH relativeFrom="page">
              <wp:posOffset>4111752</wp:posOffset>
            </wp:positionH>
            <wp:positionV relativeFrom="paragraph">
              <wp:posOffset>-93288</wp:posOffset>
            </wp:positionV>
            <wp:extent cx="2973324" cy="1678686"/>
            <wp:effectExtent l="0" t="0" r="0" b="0"/>
            <wp:wrapNone/>
            <wp:docPr id="479" name="image290.jpeg" descr=""/>
            <wp:cNvGraphicFramePr>
              <a:graphicFrameLocks noChangeAspect="1"/>
            </wp:cNvGraphicFramePr>
            <a:graphic>
              <a:graphicData uri="http://schemas.openxmlformats.org/drawingml/2006/picture">
                <pic:pic>
                  <pic:nvPicPr>
                    <pic:cNvPr id="480" name="image290.jpeg"/>
                    <pic:cNvPicPr/>
                  </pic:nvPicPr>
                  <pic:blipFill>
                    <a:blip r:embed="rId488" cstate="print"/>
                    <a:stretch>
                      <a:fillRect/>
                    </a:stretch>
                  </pic:blipFill>
                  <pic:spPr>
                    <a:xfrm>
                      <a:off x="0" y="0"/>
                      <a:ext cx="2973324" cy="1678686"/>
                    </a:xfrm>
                    <a:prstGeom prst="rect">
                      <a:avLst/>
                    </a:prstGeom>
                  </pic:spPr>
                </pic:pic>
              </a:graphicData>
            </a:graphic>
          </wp:anchor>
        </w:drawing>
      </w:r>
      <w:r>
        <w:rPr>
          <w:rFonts w:ascii="Symbol" w:hAnsi="Symbol"/>
          <w:w w:val="99"/>
        </w:rPr>
        <w:t></w:t>
      </w:r>
    </w:p>
    <w:p>
      <w:pPr>
        <w:pStyle w:val="ListParagraph"/>
        <w:numPr>
          <w:ilvl w:val="0"/>
          <w:numId w:val="29"/>
        </w:numPr>
        <w:tabs>
          <w:tab w:pos="555" w:val="left" w:leader="none"/>
          <w:tab w:pos="556" w:val="left" w:leader="none"/>
        </w:tabs>
        <w:spacing w:line="240" w:lineRule="auto" w:before="0" w:after="0"/>
        <w:ind w:left="555" w:right="6260" w:hanging="360"/>
        <w:jc w:val="left"/>
        <w:rPr>
          <w:rFonts w:ascii="Symbol"/>
          <w:sz w:val="20"/>
        </w:rPr>
      </w:pPr>
      <w:r>
        <w:rPr>
          <w:sz w:val="20"/>
        </w:rPr>
        <w:t>Studying the behavior of risk factors associated with poor posture, cargo handling and its interface to determine the effect of these environmental conditions in workers exposed.</w:t>
      </w:r>
    </w:p>
    <w:p>
      <w:pPr>
        <w:pStyle w:val="BodyText"/>
        <w:spacing w:before="2"/>
      </w:pPr>
    </w:p>
    <w:p>
      <w:pPr>
        <w:pStyle w:val="Heading4"/>
        <w:numPr>
          <w:ilvl w:val="0"/>
          <w:numId w:val="106"/>
        </w:numPr>
        <w:tabs>
          <w:tab w:pos="471" w:val="left" w:leader="none"/>
        </w:tabs>
        <w:spacing w:line="240" w:lineRule="auto" w:before="0" w:after="0"/>
        <w:ind w:left="470" w:right="0" w:hanging="200"/>
        <w:jc w:val="left"/>
      </w:pPr>
      <w:r>
        <w:rPr/>
        <w:t>METHODOLOGY.</w:t>
      </w:r>
    </w:p>
    <w:p>
      <w:pPr>
        <w:pStyle w:val="BodyText"/>
        <w:spacing w:before="6"/>
        <w:rPr>
          <w:b/>
          <w:sz w:val="13"/>
        </w:rPr>
      </w:pPr>
    </w:p>
    <w:p>
      <w:pPr>
        <w:spacing w:after="0"/>
        <w:rPr>
          <w:sz w:val="13"/>
        </w:rPr>
        <w:sectPr>
          <w:type w:val="continuous"/>
          <w:pgSz w:w="12240" w:h="15840"/>
          <w:pgMar w:top="1500" w:bottom="280" w:left="580" w:right="220"/>
        </w:sectPr>
      </w:pPr>
    </w:p>
    <w:p>
      <w:pPr>
        <w:pStyle w:val="ListParagraph"/>
        <w:numPr>
          <w:ilvl w:val="1"/>
          <w:numId w:val="106"/>
        </w:numPr>
        <w:tabs>
          <w:tab w:pos="571" w:val="left" w:leader="none"/>
        </w:tabs>
        <w:spacing w:line="240" w:lineRule="auto" w:before="75" w:after="0"/>
        <w:ind w:left="270" w:right="591" w:firstLine="0"/>
        <w:jc w:val="left"/>
        <w:rPr>
          <w:b/>
          <w:sz w:val="20"/>
        </w:rPr>
      </w:pPr>
      <w:r>
        <w:rPr>
          <w:b/>
          <w:sz w:val="20"/>
        </w:rPr>
        <w:t>Methods to analyze the working conditions in a season.</w:t>
      </w:r>
    </w:p>
    <w:p>
      <w:pPr>
        <w:pStyle w:val="BodyText"/>
        <w:ind w:left="270" w:right="1"/>
        <w:jc w:val="both"/>
      </w:pPr>
      <w:r>
        <w:rPr/>
        <w:t>DTAS: cumulative traumatic disorders combining the meaning of each of the words that compose it: "cumulative indicates that the lesion has developed gradually over a period of time (weeks, months or years), as a result of repeated stress on . somewhere in the body, this concept is based on the theory that each repetition of an activity produces a micro-trauma result of the deterioration of the body; Traumatic means bodily injury caused by mechanical stress and disorder refers to abnormal physical conditions ".</w:t>
      </w:r>
    </w:p>
    <w:p>
      <w:pPr>
        <w:pStyle w:val="BodyText"/>
        <w:spacing w:before="11"/>
        <w:rPr>
          <w:sz w:val="19"/>
        </w:rPr>
      </w:pPr>
    </w:p>
    <w:p>
      <w:pPr>
        <w:pStyle w:val="BodyText"/>
        <w:ind w:left="270"/>
        <w:jc w:val="both"/>
      </w:pPr>
      <w:r>
        <w:rPr/>
        <w:t>Therefore, integrating these concepts can be concluded that cumulative trauma disorder is a physical injury that develops gradually over a period of time; as a result of repeated efforts at a specific part of the muscle - skeletal system.</w:t>
      </w:r>
    </w:p>
    <w:p>
      <w:pPr>
        <w:pStyle w:val="BodyText"/>
      </w:pPr>
    </w:p>
    <w:p>
      <w:pPr>
        <w:pStyle w:val="BodyText"/>
        <w:spacing w:before="1"/>
        <w:ind w:left="270" w:right="2"/>
        <w:jc w:val="both"/>
      </w:pPr>
      <w:r>
        <w:rPr/>
        <w:t>There are several methods developed for the ergonomic study of postures and repetitive movements, thermal conditions, lifting of loads and mental fatigue. will be described in this section some of the most used for the purpose of understanding the scope and approach to which they are directed, subsequently facilitate the selection of one that best fits your workstation</w:t>
      </w:r>
      <w:r>
        <w:rPr>
          <w:spacing w:val="-16"/>
        </w:rPr>
        <w:t> </w:t>
      </w:r>
      <w:r>
        <w:rPr/>
        <w:t>.</w:t>
      </w:r>
    </w:p>
    <w:p>
      <w:pPr>
        <w:pStyle w:val="BodyText"/>
      </w:pPr>
      <w:r>
        <w:rPr/>
        <w:br w:type="column"/>
      </w:r>
      <w:r>
        <w:rPr/>
      </w:r>
    </w:p>
    <w:p>
      <w:pPr>
        <w:pStyle w:val="BodyText"/>
      </w:pPr>
    </w:p>
    <w:p>
      <w:pPr>
        <w:pStyle w:val="BodyText"/>
      </w:pPr>
    </w:p>
    <w:p>
      <w:pPr>
        <w:pStyle w:val="BodyText"/>
        <w:spacing w:before="8"/>
      </w:pPr>
    </w:p>
    <w:p>
      <w:pPr>
        <w:pStyle w:val="BodyText"/>
        <w:ind w:left="270" w:right="676"/>
        <w:jc w:val="both"/>
      </w:pPr>
      <w:r>
        <w:rPr>
          <w:sz w:val="18"/>
        </w:rPr>
        <w:t>Figure 2 </w:t>
      </w:r>
      <w:r>
        <w:rPr/>
        <w:t>Holding objects unsupported weighing two or more pounds per hand</w:t>
      </w:r>
    </w:p>
    <w:p>
      <w:pPr>
        <w:pStyle w:val="BodyText"/>
        <w:spacing w:before="11"/>
        <w:rPr>
          <w:sz w:val="19"/>
        </w:rPr>
      </w:pPr>
    </w:p>
    <w:p>
      <w:pPr>
        <w:pStyle w:val="BodyText"/>
        <w:ind w:left="270" w:right="675"/>
        <w:jc w:val="both"/>
      </w:pPr>
      <w:r>
        <w:rPr/>
        <w:drawing>
          <wp:anchor distT="0" distB="0" distL="0" distR="0" allowOverlap="1" layoutInCell="1" locked="0" behindDoc="0" simplePos="0" relativeHeight="12664">
            <wp:simplePos x="0" y="0"/>
            <wp:positionH relativeFrom="page">
              <wp:posOffset>4111752</wp:posOffset>
            </wp:positionH>
            <wp:positionV relativeFrom="paragraph">
              <wp:posOffset>732738</wp:posOffset>
            </wp:positionV>
            <wp:extent cx="2958083" cy="1613916"/>
            <wp:effectExtent l="0" t="0" r="0" b="0"/>
            <wp:wrapNone/>
            <wp:docPr id="481" name="image291.jpeg" descr=""/>
            <wp:cNvGraphicFramePr>
              <a:graphicFrameLocks noChangeAspect="1"/>
            </wp:cNvGraphicFramePr>
            <a:graphic>
              <a:graphicData uri="http://schemas.openxmlformats.org/drawingml/2006/picture">
                <pic:pic>
                  <pic:nvPicPr>
                    <pic:cNvPr id="482" name="image291.jpeg"/>
                    <pic:cNvPicPr/>
                  </pic:nvPicPr>
                  <pic:blipFill>
                    <a:blip r:embed="rId489" cstate="print"/>
                    <a:stretch>
                      <a:fillRect/>
                    </a:stretch>
                  </pic:blipFill>
                  <pic:spPr>
                    <a:xfrm>
                      <a:off x="0" y="0"/>
                      <a:ext cx="2958083" cy="1613916"/>
                    </a:xfrm>
                    <a:prstGeom prst="rect">
                      <a:avLst/>
                    </a:prstGeom>
                  </pic:spPr>
                </pic:pic>
              </a:graphicData>
            </a:graphic>
          </wp:anchor>
        </w:drawing>
      </w:r>
      <w:r>
        <w:rPr/>
        <w:t>Holding an object with the hand shaped clamp with a force of 4 or more pounds, more than 2 hours total per day (the latter, is comparable to holding a pack of 250 sheets of  paper with</w:t>
      </w:r>
      <w:r>
        <w:rPr>
          <w:spacing w:val="-8"/>
        </w:rPr>
        <w:t> </w:t>
      </w:r>
      <w:r>
        <w:rPr/>
        <w:t>hand).</w:t>
      </w:r>
    </w:p>
    <w:p>
      <w:pPr>
        <w:spacing w:after="0"/>
        <w:jc w:val="both"/>
        <w:sectPr>
          <w:type w:val="continuous"/>
          <w:pgSz w:w="12240" w:h="15840"/>
          <w:pgMar w:top="1500" w:bottom="280" w:left="580" w:right="220"/>
          <w:cols w:num="2" w:equalWidth="0">
            <w:col w:w="5193" w:space="432"/>
            <w:col w:w="5815"/>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4"/>
        <w:ind w:left="270" w:right="1"/>
        <w:jc w:val="both"/>
      </w:pPr>
      <w:r>
        <w:rPr>
          <w:sz w:val="18"/>
        </w:rPr>
        <w:t>Figure 3 </w:t>
      </w:r>
      <w:r>
        <w:rPr/>
        <w:t>Holding an object with the hand shaped clamp with a force.</w:t>
      </w:r>
    </w:p>
    <w:p>
      <w:pPr>
        <w:pStyle w:val="BodyText"/>
        <w:ind w:left="270" w:right="1"/>
        <w:jc w:val="both"/>
      </w:pPr>
      <w:r>
        <w:rPr/>
        <w:t>Repeating the same motion with the neck, shoulders, elbows, wrists or hands (except typing) with little or no change every few    seconds,    more    than    2    hours    total    per     day.</w:t>
      </w:r>
    </w:p>
    <w:p>
      <w:pPr>
        <w:pStyle w:val="BodyText"/>
      </w:pPr>
    </w:p>
    <w:p>
      <w:pPr>
        <w:pStyle w:val="BodyText"/>
        <w:spacing w:before="1"/>
        <w:ind w:left="270" w:right="2"/>
        <w:jc w:val="both"/>
      </w:pPr>
      <w:r>
        <w:rPr/>
        <w:t>Typing intensively for more than 4 hours total per day. Repeated Impact Comments / Remarks.</w:t>
      </w:r>
    </w:p>
    <w:p>
      <w:pPr>
        <w:pStyle w:val="BodyText"/>
      </w:pPr>
    </w:p>
    <w:p>
      <w:pPr>
        <w:pStyle w:val="BodyText"/>
        <w:spacing w:before="11"/>
        <w:rPr>
          <w:sz w:val="16"/>
        </w:rPr>
      </w:pPr>
      <w:r>
        <w:rPr/>
        <w:drawing>
          <wp:anchor distT="0" distB="0" distL="0" distR="0" allowOverlap="1" layoutInCell="1" locked="0" behindDoc="0" simplePos="0" relativeHeight="12688">
            <wp:simplePos x="0" y="0"/>
            <wp:positionH relativeFrom="page">
              <wp:posOffset>540258</wp:posOffset>
            </wp:positionH>
            <wp:positionV relativeFrom="paragraph">
              <wp:posOffset>148822</wp:posOffset>
            </wp:positionV>
            <wp:extent cx="2987370" cy="1151858"/>
            <wp:effectExtent l="0" t="0" r="0" b="0"/>
            <wp:wrapTopAndBottom/>
            <wp:docPr id="483" name="image292.jpeg" descr=""/>
            <wp:cNvGraphicFramePr>
              <a:graphicFrameLocks noChangeAspect="1"/>
            </wp:cNvGraphicFramePr>
            <a:graphic>
              <a:graphicData uri="http://schemas.openxmlformats.org/drawingml/2006/picture">
                <pic:pic>
                  <pic:nvPicPr>
                    <pic:cNvPr id="484" name="image292.jpeg"/>
                    <pic:cNvPicPr/>
                  </pic:nvPicPr>
                  <pic:blipFill>
                    <a:blip r:embed="rId490" cstate="print"/>
                    <a:stretch>
                      <a:fillRect/>
                    </a:stretch>
                  </pic:blipFill>
                  <pic:spPr>
                    <a:xfrm>
                      <a:off x="0" y="0"/>
                      <a:ext cx="2987370" cy="1151858"/>
                    </a:xfrm>
                    <a:prstGeom prst="rect">
                      <a:avLst/>
                    </a:prstGeom>
                  </pic:spPr>
                </pic:pic>
              </a:graphicData>
            </a:graphic>
          </wp:anchor>
        </w:drawing>
      </w:r>
    </w:p>
    <w:p>
      <w:pPr>
        <w:pStyle w:val="BodyText"/>
        <w:ind w:left="270" w:right="1"/>
        <w:jc w:val="both"/>
      </w:pPr>
      <w:r>
        <w:rPr>
          <w:sz w:val="18"/>
        </w:rPr>
        <w:t>Figure 3 </w:t>
      </w:r>
      <w:r>
        <w:rPr/>
        <w:t>Holding an object with the hand shaped clamp with a force.</w:t>
      </w:r>
    </w:p>
    <w:p>
      <w:pPr>
        <w:pStyle w:val="BodyText"/>
        <w:spacing w:before="9"/>
        <w:rPr>
          <w:sz w:val="16"/>
        </w:rPr>
      </w:pPr>
      <w:r>
        <w:rPr/>
        <w:drawing>
          <wp:anchor distT="0" distB="0" distL="0" distR="0" allowOverlap="1" layoutInCell="1" locked="0" behindDoc="0" simplePos="0" relativeHeight="12712">
            <wp:simplePos x="0" y="0"/>
            <wp:positionH relativeFrom="page">
              <wp:posOffset>540258</wp:posOffset>
            </wp:positionH>
            <wp:positionV relativeFrom="paragraph">
              <wp:posOffset>147788</wp:posOffset>
            </wp:positionV>
            <wp:extent cx="2927376" cy="2046351"/>
            <wp:effectExtent l="0" t="0" r="0" b="0"/>
            <wp:wrapTopAndBottom/>
            <wp:docPr id="485" name="image293.jpeg" descr=""/>
            <wp:cNvGraphicFramePr>
              <a:graphicFrameLocks noChangeAspect="1"/>
            </wp:cNvGraphicFramePr>
            <a:graphic>
              <a:graphicData uri="http://schemas.openxmlformats.org/drawingml/2006/picture">
                <pic:pic>
                  <pic:nvPicPr>
                    <pic:cNvPr id="486" name="image293.jpeg"/>
                    <pic:cNvPicPr/>
                  </pic:nvPicPr>
                  <pic:blipFill>
                    <a:blip r:embed="rId491" cstate="print"/>
                    <a:stretch>
                      <a:fillRect/>
                    </a:stretch>
                  </pic:blipFill>
                  <pic:spPr>
                    <a:xfrm>
                      <a:off x="0" y="0"/>
                      <a:ext cx="2927376" cy="2046351"/>
                    </a:xfrm>
                    <a:prstGeom prst="rect">
                      <a:avLst/>
                    </a:prstGeom>
                  </pic:spPr>
                </pic:pic>
              </a:graphicData>
            </a:graphic>
          </wp:anchor>
        </w:drawing>
      </w:r>
    </w:p>
    <w:p>
      <w:pPr>
        <w:pStyle w:val="BodyText"/>
        <w:spacing w:before="9"/>
        <w:rPr>
          <w:sz w:val="17"/>
        </w:rPr>
      </w:pPr>
    </w:p>
    <w:p>
      <w:pPr>
        <w:pStyle w:val="BodyText"/>
        <w:ind w:left="270"/>
        <w:jc w:val="both"/>
      </w:pPr>
      <w:r>
        <w:rPr>
          <w:sz w:val="18"/>
        </w:rPr>
        <w:t>Figure 4 </w:t>
      </w:r>
      <w:r>
        <w:rPr/>
        <w:t>A common scale can be used to determine the  weight of</w:t>
      </w:r>
      <w:r>
        <w:rPr>
          <w:spacing w:val="-13"/>
        </w:rPr>
        <w:t> </w:t>
      </w:r>
      <w:r>
        <w:rPr/>
        <w:t>materials.</w:t>
      </w:r>
    </w:p>
    <w:p>
      <w:pPr>
        <w:pStyle w:val="BodyText"/>
        <w:spacing w:before="11"/>
        <w:rPr>
          <w:sz w:val="19"/>
        </w:rPr>
      </w:pPr>
    </w:p>
    <w:p>
      <w:pPr>
        <w:pStyle w:val="BodyText"/>
        <w:ind w:left="270" w:right="1"/>
        <w:jc w:val="both"/>
      </w:pPr>
      <w:r>
        <w:rPr/>
        <w:t>Lifting objects weighing more than 10 pounds, more than twice per minute, more than 2 hours total per day.</w:t>
      </w:r>
    </w:p>
    <w:p>
      <w:pPr>
        <w:pStyle w:val="BodyText"/>
        <w:spacing w:before="9"/>
        <w:rPr>
          <w:sz w:val="16"/>
        </w:rPr>
      </w:pPr>
      <w:r>
        <w:rPr/>
        <w:drawing>
          <wp:anchor distT="0" distB="0" distL="0" distR="0" allowOverlap="1" layoutInCell="1" locked="0" behindDoc="0" simplePos="0" relativeHeight="12736">
            <wp:simplePos x="0" y="0"/>
            <wp:positionH relativeFrom="page">
              <wp:posOffset>540258</wp:posOffset>
            </wp:positionH>
            <wp:positionV relativeFrom="paragraph">
              <wp:posOffset>147790</wp:posOffset>
            </wp:positionV>
            <wp:extent cx="2977867" cy="1849564"/>
            <wp:effectExtent l="0" t="0" r="0" b="0"/>
            <wp:wrapTopAndBottom/>
            <wp:docPr id="487" name="image294.jpeg" descr=""/>
            <wp:cNvGraphicFramePr>
              <a:graphicFrameLocks noChangeAspect="1"/>
            </wp:cNvGraphicFramePr>
            <a:graphic>
              <a:graphicData uri="http://schemas.openxmlformats.org/drawingml/2006/picture">
                <pic:pic>
                  <pic:nvPicPr>
                    <pic:cNvPr id="488" name="image294.jpeg"/>
                    <pic:cNvPicPr/>
                  </pic:nvPicPr>
                  <pic:blipFill>
                    <a:blip r:embed="rId492" cstate="print"/>
                    <a:stretch>
                      <a:fillRect/>
                    </a:stretch>
                  </pic:blipFill>
                  <pic:spPr>
                    <a:xfrm>
                      <a:off x="0" y="0"/>
                      <a:ext cx="2977867" cy="1849564"/>
                    </a:xfrm>
                    <a:prstGeom prst="rect">
                      <a:avLst/>
                    </a:prstGeom>
                  </pic:spPr>
                </pic:pic>
              </a:graphicData>
            </a:graphic>
          </wp:anchor>
        </w:drawing>
      </w:r>
    </w:p>
    <w:p>
      <w:pPr>
        <w:pStyle w:val="BodyText"/>
        <w:spacing w:before="7"/>
        <w:rPr>
          <w:sz w:val="17"/>
        </w:rPr>
      </w:pPr>
    </w:p>
    <w:p>
      <w:pPr>
        <w:pStyle w:val="BodyText"/>
        <w:ind w:left="270"/>
        <w:jc w:val="both"/>
      </w:pPr>
      <w:r>
        <w:rPr>
          <w:sz w:val="18"/>
        </w:rPr>
        <w:t>Figure 5 </w:t>
      </w:r>
      <w:r>
        <w:rPr/>
        <w:t>Lifting objects weighing more than 10 pounds</w:t>
      </w:r>
    </w:p>
    <w:p>
      <w:pPr>
        <w:pStyle w:val="BodyText"/>
        <w:spacing w:before="74"/>
        <w:ind w:left="270" w:right="678"/>
        <w:jc w:val="both"/>
      </w:pPr>
      <w:r>
        <w:rPr/>
        <w:br w:type="column"/>
      </w:r>
      <w:r>
        <w:rPr/>
        <w:t>Above the shoulders or below the knees at arms length,  more than 25 times per</w:t>
      </w:r>
      <w:r>
        <w:rPr>
          <w:spacing w:val="-13"/>
        </w:rPr>
        <w:t> </w:t>
      </w:r>
      <w:r>
        <w:rPr/>
        <w:t>day.</w:t>
      </w:r>
    </w:p>
    <w:p>
      <w:pPr>
        <w:pStyle w:val="BodyText"/>
        <w:ind w:left="270" w:right="677"/>
        <w:jc w:val="both"/>
      </w:pPr>
      <w:r>
        <w:rPr/>
        <w:t>Hand Arm Vibration-Moderate to Extreme (Estimate or obtain the level of  vibration  of  the  tool  in  use)  Comments /</w:t>
      </w:r>
      <w:r>
        <w:rPr>
          <w:spacing w:val="-2"/>
        </w:rPr>
        <w:t> </w:t>
      </w:r>
      <w:r>
        <w:rPr/>
        <w:t>Remarks.</w:t>
      </w:r>
    </w:p>
    <w:p>
      <w:pPr>
        <w:pStyle w:val="BodyText"/>
      </w:pPr>
    </w:p>
    <w:p>
      <w:pPr>
        <w:pStyle w:val="BodyText"/>
        <w:spacing w:before="10"/>
        <w:rPr>
          <w:sz w:val="16"/>
        </w:rPr>
      </w:pPr>
      <w:r>
        <w:rPr/>
        <w:drawing>
          <wp:anchor distT="0" distB="0" distL="0" distR="0" allowOverlap="1" layoutInCell="1" locked="0" behindDoc="0" simplePos="0" relativeHeight="12760">
            <wp:simplePos x="0" y="0"/>
            <wp:positionH relativeFrom="page">
              <wp:posOffset>4328921</wp:posOffset>
            </wp:positionH>
            <wp:positionV relativeFrom="paragraph">
              <wp:posOffset>148055</wp:posOffset>
            </wp:positionV>
            <wp:extent cx="2643496" cy="1780794"/>
            <wp:effectExtent l="0" t="0" r="0" b="0"/>
            <wp:wrapTopAndBottom/>
            <wp:docPr id="489" name="image295.jpeg" descr=""/>
            <wp:cNvGraphicFramePr>
              <a:graphicFrameLocks noChangeAspect="1"/>
            </wp:cNvGraphicFramePr>
            <a:graphic>
              <a:graphicData uri="http://schemas.openxmlformats.org/drawingml/2006/picture">
                <pic:pic>
                  <pic:nvPicPr>
                    <pic:cNvPr id="490" name="image295.jpeg"/>
                    <pic:cNvPicPr/>
                  </pic:nvPicPr>
                  <pic:blipFill>
                    <a:blip r:embed="rId493" cstate="print"/>
                    <a:stretch>
                      <a:fillRect/>
                    </a:stretch>
                  </pic:blipFill>
                  <pic:spPr>
                    <a:xfrm>
                      <a:off x="0" y="0"/>
                      <a:ext cx="2643496" cy="1780794"/>
                    </a:xfrm>
                    <a:prstGeom prst="rect">
                      <a:avLst/>
                    </a:prstGeom>
                  </pic:spPr>
                </pic:pic>
              </a:graphicData>
            </a:graphic>
          </wp:anchor>
        </w:drawing>
      </w:r>
    </w:p>
    <w:p>
      <w:pPr>
        <w:pStyle w:val="BodyText"/>
        <w:spacing w:before="3"/>
        <w:rPr>
          <w:sz w:val="18"/>
        </w:rPr>
      </w:pPr>
    </w:p>
    <w:p>
      <w:pPr>
        <w:pStyle w:val="BodyText"/>
        <w:ind w:left="270"/>
        <w:jc w:val="both"/>
      </w:pPr>
      <w:r>
        <w:rPr>
          <w:sz w:val="18"/>
        </w:rPr>
        <w:t>Figure 6 </w:t>
      </w:r>
      <w:r>
        <w:rPr/>
        <w:t>Lifting objects weighing more than 25 pounds</w:t>
      </w:r>
    </w:p>
    <w:p>
      <w:pPr>
        <w:pStyle w:val="BodyText"/>
        <w:spacing w:before="11"/>
        <w:rPr>
          <w:sz w:val="19"/>
        </w:rPr>
      </w:pPr>
    </w:p>
    <w:p>
      <w:pPr>
        <w:pStyle w:val="BodyText"/>
        <w:ind w:left="270" w:right="677"/>
        <w:jc w:val="both"/>
      </w:pPr>
      <w:r>
        <w:rPr/>
        <w:t>ERGOTEC: A method for evaluating ergonomic workstations, which aims to eliminate or minimize the causes of DTA'S work-related.</w:t>
      </w:r>
    </w:p>
    <w:p>
      <w:pPr>
        <w:pStyle w:val="BodyText"/>
        <w:ind w:left="270" w:right="677"/>
        <w:jc w:val="both"/>
      </w:pPr>
      <w:r>
        <w:rPr/>
        <w:t>The method allows to identify the jobs that have or are susceptible to such problems and determine the risk associated with them to take action to solve them.</w:t>
      </w:r>
    </w:p>
    <w:p>
      <w:pPr>
        <w:pStyle w:val="BodyText"/>
        <w:spacing w:before="11"/>
        <w:rPr>
          <w:sz w:val="19"/>
        </w:rPr>
      </w:pPr>
    </w:p>
    <w:p>
      <w:pPr>
        <w:pStyle w:val="BodyText"/>
        <w:ind w:left="270" w:right="676"/>
        <w:jc w:val="both"/>
      </w:pPr>
      <w:r>
        <w:rPr/>
        <w:t>Risk estimation is done with the checklist for data collection and evaluation, the possible results of this estimation are jobs classified as low, medium or high risk, which facilitates the prioritization of</w:t>
      </w:r>
      <w:r>
        <w:rPr>
          <w:spacing w:val="-17"/>
        </w:rPr>
        <w:t> </w:t>
      </w:r>
      <w:r>
        <w:rPr/>
        <w:t>problems.</w:t>
      </w:r>
    </w:p>
    <w:p>
      <w:pPr>
        <w:pStyle w:val="BodyText"/>
        <w:spacing w:before="11"/>
        <w:rPr>
          <w:sz w:val="19"/>
        </w:rPr>
      </w:pPr>
    </w:p>
    <w:p>
      <w:pPr>
        <w:pStyle w:val="BodyText"/>
        <w:ind w:left="270" w:right="676"/>
        <w:jc w:val="both"/>
      </w:pPr>
      <w:r>
        <w:rPr/>
        <w:t>RULA: This method was developed to investigate the risk factors associated with upper extremity disorders. . [11] PLIBEL: Although it is called a method actually PLIBEL is a checklist approach to identify ergonomic hazards. PLIBEL was initially used in a study of musculoskeletal - Skeletal</w:t>
      </w:r>
    </w:p>
    <w:p>
      <w:pPr>
        <w:pStyle w:val="BodyText"/>
        <w:ind w:left="270" w:right="677"/>
        <w:jc w:val="both"/>
      </w:pPr>
      <w:r>
        <w:rPr/>
        <w:t>200 jobs evaluating ergonomic conditions and possible changes that were made. [12]</w:t>
      </w:r>
    </w:p>
    <w:p>
      <w:pPr>
        <w:pStyle w:val="BodyText"/>
        <w:spacing w:before="11"/>
        <w:rPr>
          <w:sz w:val="19"/>
        </w:rPr>
      </w:pPr>
    </w:p>
    <w:p>
      <w:pPr>
        <w:pStyle w:val="BodyText"/>
        <w:ind w:left="270" w:right="676"/>
        <w:jc w:val="both"/>
      </w:pPr>
      <w:r>
        <w:rPr/>
        <w:t>NIOSH: Work for Removal and analytical procedures and lifting equation to calculate a recommended tasks specified symmetric two-handed lifting weight Manual; and a proposal to control the risk of back injury for manual</w:t>
      </w:r>
      <w:r>
        <w:rPr>
          <w:spacing w:val="-28"/>
        </w:rPr>
        <w:t> </w:t>
      </w:r>
      <w:r>
        <w:rPr/>
        <w:t>lifting.</w:t>
      </w:r>
    </w:p>
    <w:p>
      <w:pPr>
        <w:pStyle w:val="BodyText"/>
      </w:pPr>
    </w:p>
    <w:p>
      <w:pPr>
        <w:pStyle w:val="BodyText"/>
        <w:spacing w:before="1"/>
        <w:ind w:left="270" w:right="678"/>
        <w:jc w:val="both"/>
      </w:pPr>
      <w:r>
        <w:rPr/>
        <w:t>Compression Strength of Disco: The biomechanical model can be used only to determine the compressive force disk during a lifting task, but does not predict the force during a survey to pan or tilt.</w:t>
      </w:r>
    </w:p>
    <w:p>
      <w:pPr>
        <w:pStyle w:val="BodyText"/>
        <w:spacing w:before="11"/>
        <w:rPr>
          <w:sz w:val="19"/>
        </w:rPr>
      </w:pPr>
    </w:p>
    <w:p>
      <w:pPr>
        <w:pStyle w:val="BodyText"/>
        <w:ind w:left="270" w:right="676"/>
        <w:jc w:val="both"/>
      </w:pPr>
      <w:r>
        <w:rPr/>
        <w:t>Metabolic Spending Power: In the works, the body converts food and uses oxygen to give the muscles the chemical energy needed to produce movement.</w:t>
      </w:r>
    </w:p>
    <w:p>
      <w:pPr>
        <w:pStyle w:val="BodyText"/>
      </w:pPr>
    </w:p>
    <w:p>
      <w:pPr>
        <w:pStyle w:val="BodyText"/>
        <w:spacing w:before="1"/>
        <w:ind w:left="270" w:right="677"/>
        <w:jc w:val="both"/>
      </w:pPr>
      <w:r>
        <w:rPr/>
        <w:t>When physical activity increases, the muscular energy demand  of  this  chemical  also  increases  and  the       body</w:t>
      </w:r>
    </w:p>
    <w:p>
      <w:pPr>
        <w:spacing w:after="0"/>
        <w:jc w:val="both"/>
        <w:sectPr>
          <w:type w:val="continuous"/>
          <w:pgSz w:w="12240" w:h="15840"/>
          <w:pgMar w:top="1500" w:bottom="280" w:left="580" w:right="220"/>
          <w:cols w:num="2" w:equalWidth="0">
            <w:col w:w="5189" w:space="435"/>
            <w:col w:w="5816"/>
          </w:cols>
        </w:sectPr>
      </w:pPr>
    </w:p>
    <w:p>
      <w:pPr>
        <w:pStyle w:val="BodyText"/>
        <w:spacing w:before="9"/>
        <w:rPr>
          <w:sz w:val="17"/>
        </w:rPr>
      </w:pPr>
    </w:p>
    <w:p>
      <w:pPr>
        <w:pStyle w:val="BodyText"/>
        <w:ind w:left="270" w:right="35"/>
      </w:pPr>
      <w:r>
        <w:rPr/>
        <w:t>responds by increasing cardiac and breathing rate, muscle when requirements are not met (the metabolic energy expenditure exceeds the body's ability to produce energy: this Maximum capacity is called Aerobic Power), physical fatigue occurs and can develop a stroke. Physical fatigue compromises the accuracy, productivity and worker</w:t>
      </w:r>
      <w:r>
        <w:rPr>
          <w:spacing w:val="-20"/>
        </w:rPr>
        <w:t> </w:t>
      </w:r>
      <w:r>
        <w:rPr/>
        <w:t>safety.</w:t>
      </w:r>
    </w:p>
    <w:p>
      <w:pPr>
        <w:pStyle w:val="BodyText"/>
        <w:spacing w:before="11"/>
        <w:rPr>
          <w:sz w:val="19"/>
        </w:rPr>
      </w:pPr>
    </w:p>
    <w:p>
      <w:pPr>
        <w:pStyle w:val="BodyText"/>
        <w:ind w:left="270" w:right="1"/>
        <w:jc w:val="both"/>
      </w:pPr>
      <w:r>
        <w:rPr/>
        <w:t>Anthropometry: Anthropometry and biomechanics fields related to her attempt to measure the physical characteristics and body functions, including linear dimensions, weight, volume, types of movement.</w:t>
      </w:r>
    </w:p>
    <w:p>
      <w:pPr>
        <w:pStyle w:val="BodyText"/>
        <w:spacing w:before="11"/>
        <w:rPr>
          <w:sz w:val="19"/>
        </w:rPr>
      </w:pPr>
    </w:p>
    <w:p>
      <w:pPr>
        <w:pStyle w:val="BodyText"/>
        <w:ind w:left="270" w:right="1"/>
        <w:jc w:val="both"/>
      </w:pPr>
      <w:r>
        <w:rPr/>
        <w:t>Environmental Conditions: immediate workplace of the operator, their machines, available with the environment, their interaction with other operators and how  to  operate your system were considered to show how significantly affect</w:t>
      </w:r>
      <w:r>
        <w:rPr>
          <w:spacing w:val="-6"/>
        </w:rPr>
        <w:t> </w:t>
      </w:r>
      <w:r>
        <w:rPr/>
        <w:t>its</w:t>
      </w:r>
      <w:r>
        <w:rPr>
          <w:spacing w:val="-7"/>
        </w:rPr>
        <w:t> </w:t>
      </w:r>
      <w:r>
        <w:rPr/>
        <w:t>performance</w:t>
      </w:r>
      <w:r>
        <w:rPr>
          <w:spacing w:val="-6"/>
        </w:rPr>
        <w:t> </w:t>
      </w:r>
      <w:r>
        <w:rPr/>
        <w:t>and</w:t>
      </w:r>
      <w:r>
        <w:rPr>
          <w:spacing w:val="-6"/>
        </w:rPr>
        <w:t> </w:t>
      </w:r>
      <w:r>
        <w:rPr/>
        <w:t>sensations</w:t>
      </w:r>
      <w:r>
        <w:rPr>
          <w:spacing w:val="-7"/>
        </w:rPr>
        <w:t> </w:t>
      </w:r>
      <w:r>
        <w:rPr/>
        <w:t>of</w:t>
      </w:r>
      <w:r>
        <w:rPr>
          <w:spacing w:val="-6"/>
        </w:rPr>
        <w:t> </w:t>
      </w:r>
      <w:r>
        <w:rPr/>
        <w:t>comfort.</w:t>
      </w:r>
    </w:p>
    <w:p>
      <w:pPr>
        <w:pStyle w:val="BodyText"/>
      </w:pPr>
    </w:p>
    <w:p>
      <w:pPr>
        <w:pStyle w:val="BodyText"/>
        <w:spacing w:before="2"/>
      </w:pPr>
    </w:p>
    <w:p>
      <w:pPr>
        <w:pStyle w:val="Heading4"/>
      </w:pPr>
      <w:r>
        <w:rPr/>
        <w:t>4. RESULTS.</w:t>
      </w:r>
    </w:p>
    <w:p>
      <w:pPr>
        <w:pStyle w:val="BodyText"/>
        <w:spacing w:before="8"/>
        <w:rPr>
          <w:b/>
          <w:sz w:val="19"/>
        </w:rPr>
      </w:pPr>
    </w:p>
    <w:p>
      <w:pPr>
        <w:pStyle w:val="BodyText"/>
        <w:ind w:left="270"/>
        <w:jc w:val="both"/>
      </w:pPr>
      <w:r>
        <w:rPr/>
        <w:t>Based on the resultsthe PT-0780 station generates, according to comments from operators, increased fatigue and discomfort, as the design of controls (buttons and control box), is more complicated. These are cylinder shaped and are metal, cause every time the buttons are activated, the force to press to focus on the thumbs, while the rest of the hand fits around the cylinder.</w:t>
      </w:r>
    </w:p>
    <w:p>
      <w:pPr>
        <w:pStyle w:val="BodyText"/>
      </w:pPr>
    </w:p>
    <w:p>
      <w:pPr>
        <w:pStyle w:val="BodyText"/>
        <w:spacing w:before="1"/>
        <w:ind w:left="270"/>
        <w:jc w:val="both"/>
      </w:pPr>
      <w:r>
        <w:rPr/>
        <w:t>The trunk is between 0 and 20 degrees of flexion and torsion also exists.</w:t>
      </w:r>
    </w:p>
    <w:p>
      <w:pPr>
        <w:pStyle w:val="BodyText"/>
        <w:ind w:left="270"/>
        <w:jc w:val="both"/>
      </w:pPr>
      <w:r>
        <w:rPr/>
        <w:t>The main cause of trunk flexion is due  whenever  the operator is about to take the part that has already been punched and later transported to the ramp to your left and continue to the next process. Then the horizontal distance (h) is what causes this condition. However the design of the press is fixed and does not allow modifications according to company</w:t>
      </w:r>
      <w:r>
        <w:rPr>
          <w:spacing w:val="-16"/>
        </w:rPr>
        <w:t> </w:t>
      </w:r>
      <w:r>
        <w:rPr/>
        <w:t>executives.</w:t>
      </w:r>
    </w:p>
    <w:p>
      <w:pPr>
        <w:pStyle w:val="BodyText"/>
        <w:spacing w:before="11"/>
        <w:rPr>
          <w:sz w:val="19"/>
        </w:rPr>
      </w:pPr>
    </w:p>
    <w:p>
      <w:pPr>
        <w:pStyle w:val="BodyText"/>
        <w:ind w:left="270" w:right="1"/>
        <w:jc w:val="both"/>
      </w:pPr>
      <w:r>
        <w:rPr/>
        <w:t>The twisting of the trunk is a variable situation happens whenever the operator of the press does not have the support of an auxiliary partner to help move the pieces of container  to the</w:t>
      </w:r>
      <w:r>
        <w:rPr>
          <w:spacing w:val="-6"/>
        </w:rPr>
        <w:t> </w:t>
      </w:r>
      <w:r>
        <w:rPr/>
        <w:t>table.</w:t>
      </w:r>
    </w:p>
    <w:p>
      <w:pPr>
        <w:pStyle w:val="BodyText"/>
        <w:ind w:left="270"/>
        <w:jc w:val="both"/>
      </w:pPr>
      <w:r>
        <w:rPr/>
        <w:t>In the next picture change that causes the presence of the auxiliary is observed; the operator of the press in addition to reducing these awkward postures when assisted by a companion, streamlines the process, as the companion at his side is dedicated to putting on the pieces on the table so that only take and continue its activities with fewer delays. Otherwise waiting times are generated in the rest of the operators.</w:t>
      </w:r>
    </w:p>
    <w:p>
      <w:pPr>
        <w:pStyle w:val="BodyText"/>
        <w:spacing w:before="8" w:after="39"/>
        <w:rPr>
          <w:sz w:val="14"/>
        </w:rPr>
      </w:pPr>
      <w:r>
        <w:rPr/>
        <w:br w:type="column"/>
      </w:r>
      <w:r>
        <w:rPr>
          <w:sz w:val="14"/>
        </w:rPr>
      </w:r>
    </w:p>
    <w:p>
      <w:pPr>
        <w:pStyle w:val="BodyText"/>
        <w:ind w:left="270"/>
      </w:pPr>
      <w:r>
        <w:rPr/>
        <w:drawing>
          <wp:inline distT="0" distB="0" distL="0" distR="0">
            <wp:extent cx="2995337" cy="1684877"/>
            <wp:effectExtent l="0" t="0" r="0" b="0"/>
            <wp:docPr id="491" name="image296.jpeg" descr=""/>
            <wp:cNvGraphicFramePr>
              <a:graphicFrameLocks noChangeAspect="1"/>
            </wp:cNvGraphicFramePr>
            <a:graphic>
              <a:graphicData uri="http://schemas.openxmlformats.org/drawingml/2006/picture">
                <pic:pic>
                  <pic:nvPicPr>
                    <pic:cNvPr id="492" name="image296.jpeg"/>
                    <pic:cNvPicPr/>
                  </pic:nvPicPr>
                  <pic:blipFill>
                    <a:blip r:embed="rId494" cstate="print"/>
                    <a:stretch>
                      <a:fillRect/>
                    </a:stretch>
                  </pic:blipFill>
                  <pic:spPr>
                    <a:xfrm>
                      <a:off x="0" y="0"/>
                      <a:ext cx="2995337" cy="1684877"/>
                    </a:xfrm>
                    <a:prstGeom prst="rect">
                      <a:avLst/>
                    </a:prstGeom>
                  </pic:spPr>
                </pic:pic>
              </a:graphicData>
            </a:graphic>
          </wp:inline>
        </w:drawing>
      </w:r>
      <w:r>
        <w:rPr/>
      </w:r>
    </w:p>
    <w:p>
      <w:pPr>
        <w:spacing w:before="0"/>
        <w:ind w:left="295" w:right="700" w:firstLine="0"/>
        <w:jc w:val="center"/>
        <w:rPr>
          <w:sz w:val="18"/>
        </w:rPr>
      </w:pPr>
      <w:r>
        <w:rPr>
          <w:sz w:val="18"/>
        </w:rPr>
        <w:t>Figure 7. Results of ergonomic method.</w:t>
      </w:r>
    </w:p>
    <w:p>
      <w:pPr>
        <w:pStyle w:val="BodyText"/>
        <w:ind w:left="275"/>
      </w:pPr>
      <w:r>
        <w:rPr/>
        <w:drawing>
          <wp:inline distT="0" distB="0" distL="0" distR="0">
            <wp:extent cx="3083813" cy="1476755"/>
            <wp:effectExtent l="0" t="0" r="0" b="0"/>
            <wp:docPr id="493" name="image297.png" descr=""/>
            <wp:cNvGraphicFramePr>
              <a:graphicFrameLocks noChangeAspect="1"/>
            </wp:cNvGraphicFramePr>
            <a:graphic>
              <a:graphicData uri="http://schemas.openxmlformats.org/drawingml/2006/picture">
                <pic:pic>
                  <pic:nvPicPr>
                    <pic:cNvPr id="494" name="image297.png"/>
                    <pic:cNvPicPr/>
                  </pic:nvPicPr>
                  <pic:blipFill>
                    <a:blip r:embed="rId495" cstate="print"/>
                    <a:stretch>
                      <a:fillRect/>
                    </a:stretch>
                  </pic:blipFill>
                  <pic:spPr>
                    <a:xfrm>
                      <a:off x="0" y="0"/>
                      <a:ext cx="3083813" cy="1476755"/>
                    </a:xfrm>
                    <a:prstGeom prst="rect">
                      <a:avLst/>
                    </a:prstGeom>
                  </pic:spPr>
                </pic:pic>
              </a:graphicData>
            </a:graphic>
          </wp:inline>
        </w:drawing>
      </w:r>
      <w:r>
        <w:rPr/>
      </w:r>
    </w:p>
    <w:p>
      <w:pPr>
        <w:pStyle w:val="BodyText"/>
        <w:spacing w:before="3"/>
      </w:pPr>
    </w:p>
    <w:p>
      <w:pPr>
        <w:spacing w:before="0"/>
        <w:ind w:left="294" w:right="701" w:firstLine="0"/>
        <w:jc w:val="center"/>
        <w:rPr>
          <w:sz w:val="18"/>
        </w:rPr>
      </w:pPr>
      <w:r>
        <w:rPr>
          <w:sz w:val="18"/>
        </w:rPr>
        <w:t>Figure 7. Results of  Plibel method.</w:t>
      </w:r>
    </w:p>
    <w:p>
      <w:pPr>
        <w:pStyle w:val="BodyText"/>
        <w:spacing w:before="1"/>
        <w:rPr>
          <w:sz w:val="18"/>
        </w:rPr>
      </w:pPr>
    </w:p>
    <w:p>
      <w:pPr>
        <w:pStyle w:val="BodyText"/>
        <w:ind w:left="270" w:right="676"/>
        <w:jc w:val="both"/>
      </w:pPr>
      <w:r>
        <w:rPr/>
        <w:t>The sound level throughout the day is variable, starting the analysis with the Physical Environment and Environment in its section of noise, we can see that the intensity to which carriers are subject exceeds the limits. Despite using earplugs and noise they are exposed to is harmful to your health. Number of impulsive noise to which the worker is subject: impulsive noises are those of less than 1 second duration and greater than or equal to 85 dB (hammering, explosions ...) less than 15 a day</w:t>
      </w:r>
      <w:r>
        <w:rPr>
          <w:spacing w:val="-16"/>
        </w:rPr>
        <w:t> </w:t>
      </w:r>
      <w:r>
        <w:rPr/>
        <w:t>loudness.</w:t>
      </w:r>
    </w:p>
    <w:p>
      <w:pPr>
        <w:pStyle w:val="BodyText"/>
      </w:pPr>
    </w:p>
    <w:p>
      <w:pPr>
        <w:pStyle w:val="BodyText"/>
        <w:spacing w:before="1"/>
        <w:ind w:left="270" w:right="677"/>
        <w:jc w:val="both"/>
      </w:pPr>
      <w:r>
        <w:rPr/>
        <w:t>The climate in the area is at a temperature of 22 ° C with a humidity of 45 based on overall heating and current temperature of 0.5 m / s wind chill is warm, devices, vents, air conditioning are inadequate, not have implemented measures regulating exposure limits, workers do not use garments         for         protection         from         heat.</w:t>
      </w:r>
    </w:p>
    <w:p>
      <w:pPr>
        <w:pStyle w:val="BodyText"/>
        <w:ind w:left="270" w:right="676"/>
        <w:jc w:val="both"/>
      </w:pPr>
      <w:r>
        <w:rPr/>
        <w:t>The following table shows cumulative trauma disorders of which can lead to workers to suffer from general health under the conditions and technical work and the risk according.</w:t>
      </w:r>
    </w:p>
    <w:p>
      <w:pPr>
        <w:pStyle w:val="BodyText"/>
        <w:spacing w:before="11"/>
        <w:rPr>
          <w:sz w:val="19"/>
        </w:rPr>
      </w:pPr>
    </w:p>
    <w:p>
      <w:pPr>
        <w:pStyle w:val="BodyText"/>
        <w:ind w:left="295" w:right="701"/>
        <w:jc w:val="center"/>
      </w:pPr>
      <w:r>
        <w:rPr/>
        <w:pict>
          <v:shape style="position:absolute;margin-left:320.279999pt;margin-top:23.165922pt;width:250.7pt;height:111.75pt;mso-position-horizontal-relative:page;mso-position-vertical-relative:paragraph;z-index:12784" type="#_x0000_t202" filled="false" stroked="false">
            <v:textbox inset="0,0,0,0">
              <w:txbxContent>
                <w:tbl>
                  <w:tblPr>
                    <w:tblW w:w="0" w:type="auto"/>
                    <w:jc w:val="left"/>
                    <w:tblBorders>
                      <w:top w:val="single" w:sz="8" w:space="0" w:color="9ABA59"/>
                      <w:left w:val="single" w:sz="8" w:space="0" w:color="9ABA59"/>
                      <w:bottom w:val="single" w:sz="8" w:space="0" w:color="9ABA59"/>
                      <w:right w:val="single" w:sz="8" w:space="0" w:color="9ABA59"/>
                      <w:insideH w:val="single" w:sz="8" w:space="0" w:color="9ABA59"/>
                      <w:insideV w:val="single" w:sz="8" w:space="0" w:color="9ABA59"/>
                    </w:tblBorders>
                    <w:tblLayout w:type="fixed"/>
                    <w:tblCellMar>
                      <w:top w:w="0" w:type="dxa"/>
                      <w:left w:w="0" w:type="dxa"/>
                      <w:bottom w:w="0" w:type="dxa"/>
                      <w:right w:w="0" w:type="dxa"/>
                    </w:tblCellMar>
                    <w:tblLook w:val="01E0"/>
                  </w:tblPr>
                  <w:tblGrid>
                    <w:gridCol w:w="1154"/>
                    <w:gridCol w:w="980"/>
                    <w:gridCol w:w="785"/>
                    <w:gridCol w:w="2065"/>
                  </w:tblGrid>
                  <w:tr>
                    <w:trPr>
                      <w:trHeight w:val="525" w:hRule="exact"/>
                    </w:trPr>
                    <w:tc>
                      <w:tcPr>
                        <w:tcW w:w="1154" w:type="dxa"/>
                        <w:shd w:val="clear" w:color="auto" w:fill="E9F0DD"/>
                      </w:tcPr>
                      <w:p>
                        <w:pPr>
                          <w:pStyle w:val="TableParagraph"/>
                          <w:ind w:left="118" w:right="99" w:firstLine="30"/>
                          <w:rPr>
                            <w:b/>
                            <w:sz w:val="14"/>
                          </w:rPr>
                        </w:pPr>
                        <w:r>
                          <w:rPr>
                            <w:b/>
                            <w:sz w:val="14"/>
                          </w:rPr>
                          <w:t>Condiciones y trabajo técnico</w:t>
                        </w:r>
                      </w:p>
                    </w:tc>
                    <w:tc>
                      <w:tcPr>
                        <w:tcW w:w="980" w:type="dxa"/>
                        <w:shd w:val="clear" w:color="auto" w:fill="E9F0DD"/>
                      </w:tcPr>
                      <w:p>
                        <w:pPr>
                          <w:pStyle w:val="TableParagraph"/>
                          <w:spacing w:line="160" w:lineRule="exact"/>
                          <w:ind w:left="126" w:right="126"/>
                          <w:jc w:val="center"/>
                          <w:rPr>
                            <w:b/>
                            <w:sz w:val="14"/>
                          </w:rPr>
                        </w:pPr>
                        <w:r>
                          <w:rPr>
                            <w:b/>
                            <w:sz w:val="14"/>
                          </w:rPr>
                          <w:t>Evaluación</w:t>
                        </w:r>
                      </w:p>
                    </w:tc>
                    <w:tc>
                      <w:tcPr>
                        <w:tcW w:w="785" w:type="dxa"/>
                        <w:shd w:val="clear" w:color="auto" w:fill="E9F0DD"/>
                      </w:tcPr>
                      <w:p>
                        <w:pPr>
                          <w:pStyle w:val="TableParagraph"/>
                          <w:spacing w:line="160" w:lineRule="exact"/>
                          <w:ind w:left="113" w:right="113"/>
                          <w:jc w:val="center"/>
                          <w:rPr>
                            <w:b/>
                            <w:sz w:val="14"/>
                          </w:rPr>
                        </w:pPr>
                        <w:r>
                          <w:rPr>
                            <w:b/>
                            <w:sz w:val="14"/>
                          </w:rPr>
                          <w:t>Riesgo</w:t>
                        </w:r>
                      </w:p>
                    </w:tc>
                    <w:tc>
                      <w:tcPr>
                        <w:tcW w:w="2065" w:type="dxa"/>
                        <w:shd w:val="clear" w:color="auto" w:fill="E9F0DD"/>
                      </w:tcPr>
                      <w:p>
                        <w:pPr>
                          <w:pStyle w:val="TableParagraph"/>
                          <w:spacing w:line="160" w:lineRule="exact"/>
                          <w:ind w:left="356"/>
                          <w:rPr>
                            <w:b/>
                            <w:sz w:val="14"/>
                          </w:rPr>
                        </w:pPr>
                        <w:r>
                          <w:rPr>
                            <w:b/>
                            <w:sz w:val="14"/>
                          </w:rPr>
                          <w:t>Tipo de DTA asociado</w:t>
                        </w:r>
                      </w:p>
                    </w:tc>
                  </w:tr>
                  <w:tr>
                    <w:trPr>
                      <w:trHeight w:val="342" w:hRule="exact"/>
                    </w:trPr>
                    <w:tc>
                      <w:tcPr>
                        <w:tcW w:w="1154" w:type="dxa"/>
                      </w:tcPr>
                      <w:p>
                        <w:pPr>
                          <w:pStyle w:val="TableParagraph"/>
                          <w:spacing w:line="242" w:lineRule="auto"/>
                          <w:ind w:left="256" w:right="184" w:hanging="56"/>
                          <w:rPr>
                            <w:sz w:val="14"/>
                          </w:rPr>
                        </w:pPr>
                        <w:r>
                          <w:rPr>
                            <w:sz w:val="14"/>
                          </w:rPr>
                          <w:t>Agotamiento metabólico</w:t>
                        </w:r>
                      </w:p>
                    </w:tc>
                    <w:tc>
                      <w:tcPr>
                        <w:tcW w:w="980" w:type="dxa"/>
                      </w:tcPr>
                      <w:p>
                        <w:pPr>
                          <w:pStyle w:val="TableParagraph"/>
                          <w:spacing w:line="157" w:lineRule="exact"/>
                          <w:ind w:left="126" w:right="126"/>
                          <w:jc w:val="center"/>
                          <w:rPr>
                            <w:sz w:val="14"/>
                          </w:rPr>
                        </w:pPr>
                        <w:r>
                          <w:rPr>
                            <w:sz w:val="14"/>
                          </w:rPr>
                          <w:t>45%</w:t>
                        </w:r>
                      </w:p>
                    </w:tc>
                    <w:tc>
                      <w:tcPr>
                        <w:tcW w:w="785" w:type="dxa"/>
                      </w:tcPr>
                      <w:p>
                        <w:pPr>
                          <w:pStyle w:val="TableParagraph"/>
                          <w:spacing w:line="157" w:lineRule="exact"/>
                          <w:ind w:left="113" w:right="113"/>
                          <w:jc w:val="center"/>
                          <w:rPr>
                            <w:sz w:val="14"/>
                          </w:rPr>
                        </w:pPr>
                        <w:r>
                          <w:rPr>
                            <w:sz w:val="14"/>
                          </w:rPr>
                          <w:t>Mediano</w:t>
                        </w:r>
                      </w:p>
                    </w:tc>
                    <w:tc>
                      <w:tcPr>
                        <w:tcW w:w="2065" w:type="dxa"/>
                      </w:tcPr>
                      <w:p>
                        <w:pPr>
                          <w:pStyle w:val="TableParagraph"/>
                          <w:spacing w:line="157" w:lineRule="exact"/>
                          <w:ind w:left="99"/>
                          <w:rPr>
                            <w:sz w:val="14"/>
                          </w:rPr>
                        </w:pPr>
                        <w:r>
                          <w:rPr>
                            <w:sz w:val="14"/>
                          </w:rPr>
                          <w:t>Debilidad general.</w:t>
                        </w:r>
                      </w:p>
                    </w:tc>
                  </w:tr>
                  <w:tr>
                    <w:trPr>
                      <w:trHeight w:val="503" w:hRule="exact"/>
                    </w:trPr>
                    <w:tc>
                      <w:tcPr>
                        <w:tcW w:w="1154" w:type="dxa"/>
                        <w:shd w:val="clear" w:color="auto" w:fill="E4EDD4"/>
                      </w:tcPr>
                      <w:p>
                        <w:pPr>
                          <w:pStyle w:val="TableParagraph"/>
                          <w:spacing w:line="242" w:lineRule="auto"/>
                          <w:ind w:left="252" w:right="181" w:hanging="53"/>
                          <w:rPr>
                            <w:sz w:val="14"/>
                          </w:rPr>
                        </w:pPr>
                        <w:r>
                          <w:rPr>
                            <w:sz w:val="14"/>
                          </w:rPr>
                          <w:t>La superficie del trabajo.</w:t>
                        </w:r>
                      </w:p>
                    </w:tc>
                    <w:tc>
                      <w:tcPr>
                        <w:tcW w:w="980" w:type="dxa"/>
                        <w:shd w:val="clear" w:color="auto" w:fill="E4EDD4"/>
                      </w:tcPr>
                      <w:p>
                        <w:pPr>
                          <w:pStyle w:val="TableParagraph"/>
                          <w:spacing w:line="157" w:lineRule="exact"/>
                          <w:ind w:left="126" w:right="125"/>
                          <w:jc w:val="center"/>
                          <w:rPr>
                            <w:sz w:val="14"/>
                          </w:rPr>
                        </w:pPr>
                        <w:r>
                          <w:rPr>
                            <w:sz w:val="14"/>
                          </w:rPr>
                          <w:t>52%</w:t>
                        </w:r>
                      </w:p>
                    </w:tc>
                    <w:tc>
                      <w:tcPr>
                        <w:tcW w:w="785" w:type="dxa"/>
                        <w:shd w:val="clear" w:color="auto" w:fill="E4EDD4"/>
                      </w:tcPr>
                      <w:p>
                        <w:pPr>
                          <w:pStyle w:val="TableParagraph"/>
                          <w:spacing w:line="157" w:lineRule="exact"/>
                          <w:ind w:left="112" w:right="113"/>
                          <w:jc w:val="center"/>
                          <w:rPr>
                            <w:sz w:val="14"/>
                          </w:rPr>
                        </w:pPr>
                        <w:r>
                          <w:rPr>
                            <w:sz w:val="14"/>
                          </w:rPr>
                          <w:t>Mediano</w:t>
                        </w:r>
                      </w:p>
                    </w:tc>
                    <w:tc>
                      <w:tcPr>
                        <w:tcW w:w="2065" w:type="dxa"/>
                        <w:shd w:val="clear" w:color="auto" w:fill="E4EDD4"/>
                      </w:tcPr>
                      <w:p>
                        <w:pPr>
                          <w:pStyle w:val="TableParagraph"/>
                          <w:ind w:left="98" w:right="439"/>
                          <w:rPr>
                            <w:sz w:val="14"/>
                          </w:rPr>
                        </w:pPr>
                        <w:r>
                          <w:rPr>
                            <w:sz w:val="14"/>
                          </w:rPr>
                          <w:t>Tendinitis, Enfermedad de Quervain, Síndrome de vibración.</w:t>
                        </w:r>
                      </w:p>
                    </w:tc>
                  </w:tr>
                  <w:tr>
                    <w:trPr>
                      <w:trHeight w:val="503" w:hRule="exact"/>
                    </w:trPr>
                    <w:tc>
                      <w:tcPr>
                        <w:tcW w:w="1154" w:type="dxa"/>
                      </w:tcPr>
                      <w:p>
                        <w:pPr>
                          <w:pStyle w:val="TableParagraph"/>
                          <w:spacing w:line="159" w:lineRule="exact"/>
                          <w:ind w:left="112"/>
                          <w:rPr>
                            <w:sz w:val="14"/>
                          </w:rPr>
                        </w:pPr>
                        <w:r>
                          <w:rPr>
                            <w:sz w:val="14"/>
                          </w:rPr>
                          <w:t>Área de Trabajo</w:t>
                        </w:r>
                      </w:p>
                    </w:tc>
                    <w:tc>
                      <w:tcPr>
                        <w:tcW w:w="980" w:type="dxa"/>
                      </w:tcPr>
                      <w:p>
                        <w:pPr>
                          <w:pStyle w:val="TableParagraph"/>
                          <w:spacing w:line="159" w:lineRule="exact"/>
                          <w:ind w:left="126" w:right="126"/>
                          <w:jc w:val="center"/>
                          <w:rPr>
                            <w:sz w:val="14"/>
                          </w:rPr>
                        </w:pPr>
                        <w:r>
                          <w:rPr>
                            <w:sz w:val="14"/>
                          </w:rPr>
                          <w:t>89%</w:t>
                        </w:r>
                      </w:p>
                    </w:tc>
                    <w:tc>
                      <w:tcPr>
                        <w:tcW w:w="785" w:type="dxa"/>
                      </w:tcPr>
                      <w:p>
                        <w:pPr>
                          <w:pStyle w:val="TableParagraph"/>
                          <w:spacing w:line="159" w:lineRule="exact"/>
                          <w:ind w:left="112" w:right="113"/>
                          <w:jc w:val="center"/>
                          <w:rPr>
                            <w:sz w:val="14"/>
                          </w:rPr>
                        </w:pPr>
                        <w:r>
                          <w:rPr>
                            <w:sz w:val="14"/>
                          </w:rPr>
                          <w:t>Alto</w:t>
                        </w:r>
                      </w:p>
                    </w:tc>
                    <w:tc>
                      <w:tcPr>
                        <w:tcW w:w="2065" w:type="dxa"/>
                      </w:tcPr>
                      <w:p>
                        <w:pPr>
                          <w:pStyle w:val="TableParagraph"/>
                          <w:ind w:left="98" w:right="147"/>
                          <w:rPr>
                            <w:sz w:val="14"/>
                          </w:rPr>
                        </w:pPr>
                        <w:r>
                          <w:rPr>
                            <w:sz w:val="14"/>
                          </w:rPr>
                          <w:t>Enfermedad de Quervain, Dedo en gatillo, Síndrome de vibración.</w:t>
                        </w:r>
                      </w:p>
                    </w:tc>
                  </w:tr>
                  <w:tr>
                    <w:trPr>
                      <w:trHeight w:val="342" w:hRule="exact"/>
                    </w:trPr>
                    <w:tc>
                      <w:tcPr>
                        <w:tcW w:w="1154" w:type="dxa"/>
                        <w:shd w:val="clear" w:color="auto" w:fill="E4EDD4"/>
                      </w:tcPr>
                      <w:p>
                        <w:pPr>
                          <w:pStyle w:val="TableParagraph"/>
                          <w:ind w:left="272" w:right="99" w:hanging="120"/>
                          <w:rPr>
                            <w:sz w:val="14"/>
                          </w:rPr>
                        </w:pPr>
                        <w:r>
                          <w:rPr>
                            <w:sz w:val="14"/>
                          </w:rPr>
                          <w:t>Sillas y mesas de trabajo.</w:t>
                        </w:r>
                      </w:p>
                    </w:tc>
                    <w:tc>
                      <w:tcPr>
                        <w:tcW w:w="980" w:type="dxa"/>
                        <w:shd w:val="clear" w:color="auto" w:fill="E4EDD4"/>
                      </w:tcPr>
                      <w:p>
                        <w:pPr>
                          <w:pStyle w:val="TableParagraph"/>
                          <w:spacing w:line="158" w:lineRule="exact"/>
                          <w:ind w:left="126" w:right="125"/>
                          <w:jc w:val="center"/>
                          <w:rPr>
                            <w:sz w:val="14"/>
                          </w:rPr>
                        </w:pPr>
                        <w:r>
                          <w:rPr>
                            <w:sz w:val="14"/>
                          </w:rPr>
                          <w:t>75%</w:t>
                        </w:r>
                      </w:p>
                    </w:tc>
                    <w:tc>
                      <w:tcPr>
                        <w:tcW w:w="785" w:type="dxa"/>
                        <w:shd w:val="clear" w:color="auto" w:fill="E4EDD4"/>
                      </w:tcPr>
                      <w:p>
                        <w:pPr>
                          <w:pStyle w:val="TableParagraph"/>
                          <w:spacing w:line="158" w:lineRule="exact"/>
                          <w:ind w:left="112" w:right="113"/>
                          <w:jc w:val="center"/>
                          <w:rPr>
                            <w:sz w:val="14"/>
                          </w:rPr>
                        </w:pPr>
                        <w:r>
                          <w:rPr>
                            <w:sz w:val="14"/>
                          </w:rPr>
                          <w:t>Alto</w:t>
                        </w:r>
                      </w:p>
                    </w:tc>
                    <w:tc>
                      <w:tcPr>
                        <w:tcW w:w="2065" w:type="dxa"/>
                        <w:shd w:val="clear" w:color="auto" w:fill="E4EDD4"/>
                      </w:tcPr>
                      <w:p>
                        <w:pPr>
                          <w:pStyle w:val="TableParagraph"/>
                          <w:ind w:left="98" w:right="314"/>
                          <w:rPr>
                            <w:sz w:val="14"/>
                          </w:rPr>
                        </w:pPr>
                        <w:r>
                          <w:rPr>
                            <w:sz w:val="14"/>
                          </w:rPr>
                          <w:t>Tendosivitis, Enfermedad de Quervain, Dedo en gatillo,</w:t>
                        </w:r>
                      </w:p>
                    </w:tc>
                  </w:tr>
                </w:tbl>
                <w:p>
                  <w:pPr>
                    <w:pStyle w:val="BodyText"/>
                  </w:pPr>
                </w:p>
              </w:txbxContent>
            </v:textbox>
            <w10:wrap type="none"/>
          </v:shape>
        </w:pict>
      </w:r>
      <w:r>
        <w:rPr>
          <w:sz w:val="18"/>
        </w:rPr>
        <w:t>Table 1. </w:t>
      </w:r>
      <w:r>
        <w:rPr/>
        <w:t>The magnitude associated with the DTA.</w:t>
      </w:r>
    </w:p>
    <w:p>
      <w:pPr>
        <w:spacing w:after="0"/>
        <w:jc w:val="center"/>
        <w:sectPr>
          <w:pgSz w:w="12240" w:h="15840"/>
          <w:pgMar w:header="545" w:footer="852" w:top="1060" w:bottom="1040" w:left="580" w:right="220"/>
          <w:cols w:num="2" w:equalWidth="0">
            <w:col w:w="5189" w:space="435"/>
            <w:col w:w="5816"/>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8"/>
        <w:rPr>
          <w:sz w:val="6"/>
        </w:rPr>
      </w:pPr>
    </w:p>
    <w:tbl>
      <w:tblPr>
        <w:tblW w:w="0" w:type="auto"/>
        <w:jc w:val="left"/>
        <w:tblInd w:w="201" w:type="dxa"/>
        <w:tblBorders>
          <w:top w:val="single" w:sz="8" w:space="0" w:color="9ABA59"/>
          <w:left w:val="single" w:sz="8" w:space="0" w:color="9ABA59"/>
          <w:bottom w:val="single" w:sz="8" w:space="0" w:color="9ABA59"/>
          <w:right w:val="single" w:sz="8" w:space="0" w:color="9ABA59"/>
          <w:insideH w:val="single" w:sz="8" w:space="0" w:color="9ABA59"/>
          <w:insideV w:val="single" w:sz="8" w:space="0" w:color="9ABA59"/>
        </w:tblBorders>
        <w:tblLayout w:type="fixed"/>
        <w:tblCellMar>
          <w:top w:w="0" w:type="dxa"/>
          <w:left w:w="0" w:type="dxa"/>
          <w:bottom w:w="0" w:type="dxa"/>
          <w:right w:w="0" w:type="dxa"/>
        </w:tblCellMar>
        <w:tblLook w:val="01E0"/>
      </w:tblPr>
      <w:tblGrid>
        <w:gridCol w:w="1154"/>
        <w:gridCol w:w="980"/>
        <w:gridCol w:w="785"/>
        <w:gridCol w:w="2065"/>
      </w:tblGrid>
      <w:tr>
        <w:trPr>
          <w:trHeight w:val="188" w:hRule="exact"/>
        </w:trPr>
        <w:tc>
          <w:tcPr>
            <w:tcW w:w="1154" w:type="dxa"/>
            <w:shd w:val="clear" w:color="auto" w:fill="E4EDD4"/>
          </w:tcPr>
          <w:p>
            <w:pPr/>
          </w:p>
        </w:tc>
        <w:tc>
          <w:tcPr>
            <w:tcW w:w="980" w:type="dxa"/>
            <w:shd w:val="clear" w:color="auto" w:fill="E4EDD4"/>
          </w:tcPr>
          <w:p>
            <w:pPr/>
          </w:p>
        </w:tc>
        <w:tc>
          <w:tcPr>
            <w:tcW w:w="785" w:type="dxa"/>
            <w:shd w:val="clear" w:color="auto" w:fill="E4EDD4"/>
          </w:tcPr>
          <w:p>
            <w:pPr/>
          </w:p>
        </w:tc>
        <w:tc>
          <w:tcPr>
            <w:tcW w:w="2065" w:type="dxa"/>
            <w:shd w:val="clear" w:color="auto" w:fill="E4EDD4"/>
          </w:tcPr>
          <w:p>
            <w:pPr>
              <w:pStyle w:val="TableParagraph"/>
              <w:spacing w:line="157" w:lineRule="exact"/>
              <w:ind w:left="98"/>
              <w:rPr>
                <w:sz w:val="14"/>
              </w:rPr>
            </w:pPr>
            <w:r>
              <w:rPr>
                <w:sz w:val="14"/>
              </w:rPr>
              <w:t>Síndrome de vibración.</w:t>
            </w:r>
          </w:p>
        </w:tc>
      </w:tr>
      <w:tr>
        <w:trPr>
          <w:trHeight w:val="664" w:hRule="exact"/>
        </w:trPr>
        <w:tc>
          <w:tcPr>
            <w:tcW w:w="1154" w:type="dxa"/>
          </w:tcPr>
          <w:p>
            <w:pPr>
              <w:pStyle w:val="TableParagraph"/>
              <w:ind w:left="272" w:right="252" w:hanging="4"/>
              <w:rPr>
                <w:sz w:val="14"/>
              </w:rPr>
            </w:pPr>
            <w:r>
              <w:rPr>
                <w:sz w:val="14"/>
              </w:rPr>
              <w:t>Manejo de Materiales</w:t>
            </w:r>
          </w:p>
        </w:tc>
        <w:tc>
          <w:tcPr>
            <w:tcW w:w="980" w:type="dxa"/>
          </w:tcPr>
          <w:p>
            <w:pPr>
              <w:pStyle w:val="TableParagraph"/>
              <w:spacing w:line="159" w:lineRule="exact"/>
              <w:ind w:left="126" w:right="124"/>
              <w:jc w:val="center"/>
              <w:rPr>
                <w:sz w:val="14"/>
              </w:rPr>
            </w:pPr>
            <w:r>
              <w:rPr>
                <w:sz w:val="14"/>
              </w:rPr>
              <w:t>14%</w:t>
            </w:r>
          </w:p>
        </w:tc>
        <w:tc>
          <w:tcPr>
            <w:tcW w:w="785" w:type="dxa"/>
          </w:tcPr>
          <w:p>
            <w:pPr>
              <w:pStyle w:val="TableParagraph"/>
              <w:spacing w:line="159" w:lineRule="exact"/>
              <w:ind w:left="113" w:right="113"/>
              <w:jc w:val="center"/>
              <w:rPr>
                <w:sz w:val="14"/>
              </w:rPr>
            </w:pPr>
            <w:r>
              <w:rPr>
                <w:sz w:val="14"/>
              </w:rPr>
              <w:t>Bajo</w:t>
            </w:r>
          </w:p>
        </w:tc>
        <w:tc>
          <w:tcPr>
            <w:tcW w:w="2065" w:type="dxa"/>
          </w:tcPr>
          <w:p>
            <w:pPr>
              <w:pStyle w:val="TableParagraph"/>
              <w:ind w:left="98" w:right="314" w:hanging="1"/>
              <w:rPr>
                <w:sz w:val="14"/>
              </w:rPr>
            </w:pPr>
            <w:r>
              <w:rPr>
                <w:sz w:val="14"/>
              </w:rPr>
              <w:t>Síndrome del túnel de carpo, Tendosivitis, Enfermedad de Quervain, Dedo en gatillo, Síndrome de vibración.</w:t>
            </w:r>
          </w:p>
        </w:tc>
      </w:tr>
      <w:tr>
        <w:trPr>
          <w:trHeight w:val="503" w:hRule="exact"/>
        </w:trPr>
        <w:tc>
          <w:tcPr>
            <w:tcW w:w="1154" w:type="dxa"/>
            <w:shd w:val="clear" w:color="auto" w:fill="E4EDD4"/>
          </w:tcPr>
          <w:p>
            <w:pPr>
              <w:pStyle w:val="TableParagraph"/>
              <w:ind w:left="260" w:right="237" w:hanging="8"/>
              <w:rPr>
                <w:sz w:val="14"/>
              </w:rPr>
            </w:pPr>
            <w:r>
              <w:rPr>
                <w:sz w:val="14"/>
              </w:rPr>
              <w:t>Postura del Trabajador</w:t>
            </w:r>
          </w:p>
        </w:tc>
        <w:tc>
          <w:tcPr>
            <w:tcW w:w="980" w:type="dxa"/>
            <w:shd w:val="clear" w:color="auto" w:fill="E4EDD4"/>
          </w:tcPr>
          <w:p>
            <w:pPr>
              <w:pStyle w:val="TableParagraph"/>
              <w:spacing w:line="158" w:lineRule="exact"/>
              <w:ind w:left="126" w:right="123"/>
              <w:jc w:val="center"/>
              <w:rPr>
                <w:sz w:val="14"/>
              </w:rPr>
            </w:pPr>
            <w:r>
              <w:rPr>
                <w:sz w:val="14"/>
              </w:rPr>
              <w:t>90%</w:t>
            </w:r>
          </w:p>
        </w:tc>
        <w:tc>
          <w:tcPr>
            <w:tcW w:w="785" w:type="dxa"/>
            <w:shd w:val="clear" w:color="auto" w:fill="E4EDD4"/>
          </w:tcPr>
          <w:p>
            <w:pPr>
              <w:pStyle w:val="TableParagraph"/>
              <w:spacing w:line="158" w:lineRule="exact"/>
              <w:ind w:left="112" w:right="113"/>
              <w:jc w:val="center"/>
              <w:rPr>
                <w:sz w:val="14"/>
              </w:rPr>
            </w:pPr>
            <w:r>
              <w:rPr>
                <w:sz w:val="14"/>
              </w:rPr>
              <w:t>Alto</w:t>
            </w:r>
          </w:p>
        </w:tc>
        <w:tc>
          <w:tcPr>
            <w:tcW w:w="2065" w:type="dxa"/>
            <w:shd w:val="clear" w:color="auto" w:fill="E4EDD4"/>
          </w:tcPr>
          <w:p>
            <w:pPr>
              <w:pStyle w:val="TableParagraph"/>
              <w:ind w:left="98" w:right="224"/>
              <w:rPr>
                <w:sz w:val="14"/>
              </w:rPr>
            </w:pPr>
            <w:r>
              <w:rPr>
                <w:sz w:val="14"/>
              </w:rPr>
              <w:t>Tendinitis, Síndrome del túnel de carpo, Tendosivitis, Síndrome de vibración.</w:t>
            </w:r>
          </w:p>
        </w:tc>
      </w:tr>
      <w:tr>
        <w:trPr>
          <w:trHeight w:val="515" w:hRule="exact"/>
        </w:trPr>
        <w:tc>
          <w:tcPr>
            <w:tcW w:w="1154" w:type="dxa"/>
            <w:tcBorders>
              <w:bottom w:val="double" w:sz="6" w:space="0" w:color="9ABA59"/>
            </w:tcBorders>
          </w:tcPr>
          <w:p>
            <w:pPr>
              <w:pStyle w:val="TableParagraph"/>
              <w:ind w:left="394" w:right="90" w:hanging="290"/>
              <w:rPr>
                <w:sz w:val="14"/>
              </w:rPr>
            </w:pPr>
            <w:r>
              <w:rPr>
                <w:sz w:val="14"/>
              </w:rPr>
              <w:t>Herramientas de mano.</w:t>
            </w:r>
          </w:p>
        </w:tc>
        <w:tc>
          <w:tcPr>
            <w:tcW w:w="980" w:type="dxa"/>
            <w:tcBorders>
              <w:bottom w:val="double" w:sz="6" w:space="0" w:color="9ABA59"/>
            </w:tcBorders>
          </w:tcPr>
          <w:p>
            <w:pPr>
              <w:pStyle w:val="TableParagraph"/>
              <w:spacing w:line="157" w:lineRule="exact"/>
              <w:ind w:left="126" w:right="124"/>
              <w:jc w:val="center"/>
              <w:rPr>
                <w:sz w:val="14"/>
              </w:rPr>
            </w:pPr>
            <w:r>
              <w:rPr>
                <w:sz w:val="14"/>
              </w:rPr>
              <w:t>32%</w:t>
            </w:r>
          </w:p>
        </w:tc>
        <w:tc>
          <w:tcPr>
            <w:tcW w:w="785" w:type="dxa"/>
            <w:tcBorders>
              <w:bottom w:val="double" w:sz="6" w:space="0" w:color="9ABA59"/>
            </w:tcBorders>
          </w:tcPr>
          <w:p>
            <w:pPr>
              <w:pStyle w:val="TableParagraph"/>
              <w:spacing w:line="157" w:lineRule="exact"/>
              <w:ind w:left="113" w:right="113"/>
              <w:jc w:val="center"/>
              <w:rPr>
                <w:sz w:val="14"/>
              </w:rPr>
            </w:pPr>
            <w:r>
              <w:rPr>
                <w:sz w:val="14"/>
              </w:rPr>
              <w:t>Mediano</w:t>
            </w:r>
          </w:p>
        </w:tc>
        <w:tc>
          <w:tcPr>
            <w:tcW w:w="2065" w:type="dxa"/>
            <w:tcBorders>
              <w:bottom w:val="double" w:sz="6" w:space="0" w:color="9ABA59"/>
            </w:tcBorders>
          </w:tcPr>
          <w:p>
            <w:pPr>
              <w:pStyle w:val="TableParagraph"/>
              <w:ind w:left="98" w:right="147"/>
              <w:rPr>
                <w:sz w:val="14"/>
              </w:rPr>
            </w:pPr>
            <w:r>
              <w:rPr>
                <w:sz w:val="14"/>
              </w:rPr>
              <w:t>Enfermedad de Quervain, Dedo en gatillo, Quiste de ganglio, Síndrome de vibración.</w:t>
            </w:r>
          </w:p>
        </w:tc>
      </w:tr>
      <w:tr>
        <w:trPr>
          <w:trHeight w:val="979" w:hRule="exact"/>
        </w:trPr>
        <w:tc>
          <w:tcPr>
            <w:tcW w:w="1154" w:type="dxa"/>
            <w:tcBorders>
              <w:top w:val="double" w:sz="6" w:space="0" w:color="9ABA59"/>
            </w:tcBorders>
            <w:shd w:val="clear" w:color="auto" w:fill="E9F0DD"/>
          </w:tcPr>
          <w:p>
            <w:pPr>
              <w:pStyle w:val="TableParagraph"/>
              <w:ind w:left="122" w:right="102" w:firstLine="243"/>
              <w:rPr>
                <w:b/>
                <w:sz w:val="14"/>
              </w:rPr>
            </w:pPr>
            <w:r>
              <w:rPr>
                <w:b/>
                <w:sz w:val="14"/>
              </w:rPr>
              <w:t>Uso de computadoras.</w:t>
            </w:r>
          </w:p>
        </w:tc>
        <w:tc>
          <w:tcPr>
            <w:tcW w:w="980" w:type="dxa"/>
            <w:tcBorders>
              <w:top w:val="double" w:sz="6" w:space="0" w:color="9ABA59"/>
            </w:tcBorders>
            <w:shd w:val="clear" w:color="auto" w:fill="E9F0DD"/>
          </w:tcPr>
          <w:p>
            <w:pPr>
              <w:pStyle w:val="TableParagraph"/>
              <w:spacing w:line="160" w:lineRule="exact"/>
              <w:ind w:left="126" w:right="123"/>
              <w:jc w:val="center"/>
              <w:rPr>
                <w:b/>
                <w:sz w:val="14"/>
              </w:rPr>
            </w:pPr>
            <w:r>
              <w:rPr>
                <w:b/>
                <w:sz w:val="14"/>
              </w:rPr>
              <w:t>97%</w:t>
            </w:r>
          </w:p>
        </w:tc>
        <w:tc>
          <w:tcPr>
            <w:tcW w:w="785" w:type="dxa"/>
            <w:tcBorders>
              <w:top w:val="double" w:sz="6" w:space="0" w:color="9ABA59"/>
            </w:tcBorders>
            <w:shd w:val="clear" w:color="auto" w:fill="E9F0DD"/>
          </w:tcPr>
          <w:p>
            <w:pPr>
              <w:pStyle w:val="TableParagraph"/>
              <w:spacing w:line="160" w:lineRule="exact"/>
              <w:ind w:left="113" w:right="113"/>
              <w:jc w:val="center"/>
              <w:rPr>
                <w:b/>
                <w:sz w:val="14"/>
              </w:rPr>
            </w:pPr>
            <w:r>
              <w:rPr>
                <w:b/>
                <w:sz w:val="14"/>
              </w:rPr>
              <w:t>Alto</w:t>
            </w:r>
          </w:p>
        </w:tc>
        <w:tc>
          <w:tcPr>
            <w:tcW w:w="2065" w:type="dxa"/>
            <w:tcBorders>
              <w:top w:val="double" w:sz="6" w:space="0" w:color="9ABA59"/>
            </w:tcBorders>
            <w:shd w:val="clear" w:color="auto" w:fill="E9F0DD"/>
          </w:tcPr>
          <w:p>
            <w:pPr>
              <w:pStyle w:val="TableParagraph"/>
              <w:ind w:left="98" w:right="115"/>
              <w:rPr>
                <w:b/>
                <w:sz w:val="14"/>
              </w:rPr>
            </w:pPr>
            <w:r>
              <w:rPr>
                <w:b/>
                <w:sz w:val="14"/>
              </w:rPr>
              <w:t>Tendinitis, Síndrome del túnel de carpo, Tendosivitis, Enfermedad de Quervain, Dedo en gatillo, Síndrome de vibración, Quiste en ganglio.</w:t>
            </w:r>
          </w:p>
        </w:tc>
      </w:tr>
    </w:tbl>
    <w:p>
      <w:pPr>
        <w:pStyle w:val="BodyText"/>
        <w:spacing w:before="1"/>
      </w:pPr>
    </w:p>
    <w:p>
      <w:pPr>
        <w:pStyle w:val="Heading4"/>
      </w:pPr>
      <w:r>
        <w:rPr/>
        <w:t>5- CONCLUSIONS.</w:t>
      </w:r>
    </w:p>
    <w:p>
      <w:pPr>
        <w:pStyle w:val="BodyText"/>
        <w:spacing w:before="8"/>
        <w:rPr>
          <w:b/>
          <w:sz w:val="19"/>
        </w:rPr>
      </w:pPr>
    </w:p>
    <w:p>
      <w:pPr>
        <w:pStyle w:val="BodyText"/>
        <w:ind w:left="270"/>
        <w:jc w:val="both"/>
      </w:pPr>
      <w:r>
        <w:rPr/>
        <w:t>One of the busiest nuisance staff fatigue foot work, although two ten minute breaks are granted, you do not have a space designed to meet the objective. Therefore, it should provide sufficient recovery to allow the body recovers from fatigue and ensures comfort and rehabilitation of workers to return  to their</w:t>
      </w:r>
      <w:r>
        <w:rPr>
          <w:spacing w:val="-11"/>
        </w:rPr>
        <w:t> </w:t>
      </w:r>
      <w:r>
        <w:rPr/>
        <w:t>activities.</w:t>
      </w:r>
    </w:p>
    <w:p>
      <w:pPr>
        <w:pStyle w:val="BodyText"/>
      </w:pPr>
    </w:p>
    <w:p>
      <w:pPr>
        <w:pStyle w:val="BodyText"/>
        <w:spacing w:before="1"/>
        <w:ind w:left="270" w:right="1"/>
        <w:jc w:val="both"/>
      </w:pPr>
      <w:r>
        <w:rPr/>
        <w:t>Allow rotation of the operating staff during the work day because the work is very hairs being more viable first, by the reduction in cost, management says it has been necessary provided the assistance of an extra person, as previously the lack of it has generated quality problems.</w:t>
      </w:r>
    </w:p>
    <w:p>
      <w:pPr>
        <w:pStyle w:val="BodyText"/>
        <w:spacing w:before="11"/>
        <w:rPr>
          <w:sz w:val="19"/>
        </w:rPr>
      </w:pPr>
    </w:p>
    <w:p>
      <w:pPr>
        <w:pStyle w:val="ListParagraph"/>
        <w:numPr>
          <w:ilvl w:val="0"/>
          <w:numId w:val="108"/>
        </w:numPr>
        <w:tabs>
          <w:tab w:pos="391" w:val="left" w:leader="none"/>
        </w:tabs>
        <w:spacing w:line="240" w:lineRule="auto" w:before="0" w:after="0"/>
        <w:ind w:left="270" w:right="0" w:firstLine="0"/>
        <w:jc w:val="both"/>
        <w:rPr>
          <w:sz w:val="20"/>
        </w:rPr>
      </w:pPr>
      <w:r>
        <w:rPr>
          <w:sz w:val="20"/>
        </w:rPr>
        <w:t>Redesign the tooling operation step</w:t>
      </w:r>
      <w:r>
        <w:rPr>
          <w:spacing w:val="-15"/>
          <w:sz w:val="20"/>
        </w:rPr>
        <w:t> </w:t>
      </w:r>
      <w:r>
        <w:rPr>
          <w:sz w:val="20"/>
        </w:rPr>
        <w:t>1.</w:t>
      </w:r>
    </w:p>
    <w:p>
      <w:pPr>
        <w:pStyle w:val="ListParagraph"/>
        <w:numPr>
          <w:ilvl w:val="0"/>
          <w:numId w:val="108"/>
        </w:numPr>
        <w:tabs>
          <w:tab w:pos="392" w:val="left" w:leader="none"/>
        </w:tabs>
        <w:spacing w:line="240" w:lineRule="auto" w:before="0" w:after="0"/>
        <w:ind w:left="391" w:right="0" w:hanging="121"/>
        <w:jc w:val="both"/>
        <w:rPr>
          <w:sz w:val="20"/>
        </w:rPr>
      </w:pPr>
      <w:r>
        <w:rPr>
          <w:sz w:val="20"/>
        </w:rPr>
        <w:t>Conduct a reengineering process parts</w:t>
      </w:r>
      <w:r>
        <w:rPr>
          <w:spacing w:val="-33"/>
          <w:sz w:val="20"/>
        </w:rPr>
        <w:t> </w:t>
      </w:r>
      <w:r>
        <w:rPr>
          <w:sz w:val="20"/>
        </w:rPr>
        <w:t>storage.</w:t>
      </w:r>
    </w:p>
    <w:p>
      <w:pPr>
        <w:pStyle w:val="BodyText"/>
        <w:spacing w:before="11"/>
        <w:rPr>
          <w:sz w:val="19"/>
        </w:rPr>
      </w:pPr>
    </w:p>
    <w:p>
      <w:pPr>
        <w:pStyle w:val="BodyText"/>
        <w:ind w:left="270"/>
        <w:jc w:val="both"/>
      </w:pPr>
      <w:r>
        <w:rPr/>
        <w:t>Improve the functions of the auxiliary. This suggestion yielded good results. The operator says that not only  prevents twisting of the trunk, but the time it did to that activity was</w:t>
      </w:r>
      <w:r>
        <w:rPr>
          <w:spacing w:val="-13"/>
        </w:rPr>
        <w:t> </w:t>
      </w:r>
      <w:r>
        <w:rPr/>
        <w:t>eliminated.</w:t>
      </w:r>
    </w:p>
    <w:p>
      <w:pPr>
        <w:pStyle w:val="BodyText"/>
      </w:pPr>
    </w:p>
    <w:p>
      <w:pPr>
        <w:pStyle w:val="BodyText"/>
        <w:spacing w:before="1"/>
        <w:ind w:left="270"/>
        <w:jc w:val="both"/>
      </w:pPr>
      <w:r>
        <w:rPr>
          <w:color w:val="212121"/>
        </w:rPr>
        <w:t>It is very important to the development of new procedures, restructuring jobs and training for operators prevent further damage and to introduce the company's awareness of the importance of health care and in this way also meet the requirements of the TS-16949 [15].</w:t>
      </w:r>
    </w:p>
    <w:p>
      <w:pPr>
        <w:pStyle w:val="BodyText"/>
        <w:spacing w:before="11"/>
        <w:rPr>
          <w:sz w:val="16"/>
        </w:rPr>
      </w:pPr>
      <w:r>
        <w:rPr/>
        <w:drawing>
          <wp:anchor distT="0" distB="0" distL="0" distR="0" allowOverlap="1" layoutInCell="1" locked="0" behindDoc="0" simplePos="0" relativeHeight="12808">
            <wp:simplePos x="0" y="0"/>
            <wp:positionH relativeFrom="page">
              <wp:posOffset>694181</wp:posOffset>
            </wp:positionH>
            <wp:positionV relativeFrom="paragraph">
              <wp:posOffset>148571</wp:posOffset>
            </wp:positionV>
            <wp:extent cx="2799801" cy="1645158"/>
            <wp:effectExtent l="0" t="0" r="0" b="0"/>
            <wp:wrapTopAndBottom/>
            <wp:docPr id="495" name="image298.jpeg" descr=""/>
            <wp:cNvGraphicFramePr>
              <a:graphicFrameLocks noChangeAspect="1"/>
            </wp:cNvGraphicFramePr>
            <a:graphic>
              <a:graphicData uri="http://schemas.openxmlformats.org/drawingml/2006/picture">
                <pic:pic>
                  <pic:nvPicPr>
                    <pic:cNvPr id="496" name="image298.jpeg"/>
                    <pic:cNvPicPr/>
                  </pic:nvPicPr>
                  <pic:blipFill>
                    <a:blip r:embed="rId496" cstate="print"/>
                    <a:stretch>
                      <a:fillRect/>
                    </a:stretch>
                  </pic:blipFill>
                  <pic:spPr>
                    <a:xfrm>
                      <a:off x="0" y="0"/>
                      <a:ext cx="2799801" cy="1645158"/>
                    </a:xfrm>
                    <a:prstGeom prst="rect">
                      <a:avLst/>
                    </a:prstGeom>
                  </pic:spPr>
                </pic:pic>
              </a:graphicData>
            </a:graphic>
          </wp:anchor>
        </w:drawing>
      </w:r>
    </w:p>
    <w:p>
      <w:pPr>
        <w:spacing w:before="0"/>
        <w:ind w:left="837" w:right="118" w:firstLine="0"/>
        <w:jc w:val="left"/>
        <w:rPr>
          <w:sz w:val="20"/>
        </w:rPr>
      </w:pPr>
      <w:r>
        <w:rPr>
          <w:sz w:val="18"/>
        </w:rPr>
        <w:t>Figure 8. </w:t>
      </w:r>
      <w:r>
        <w:rPr>
          <w:sz w:val="20"/>
        </w:rPr>
        <w:t>Improve the functions of the auxiliary.</w:t>
      </w:r>
    </w:p>
    <w:p>
      <w:pPr>
        <w:pStyle w:val="BodyText"/>
        <w:spacing w:before="74"/>
        <w:ind w:left="270" w:right="676"/>
        <w:jc w:val="both"/>
      </w:pPr>
      <w:r>
        <w:rPr/>
        <w:br w:type="column"/>
      </w:r>
      <w:r>
        <w:rPr>
          <w:color w:val="212121"/>
        </w:rPr>
        <w:t>The worker is exposed to 88.5 dBA for a period of 5-6 hours at 100 dBA for 2 hours (Data provided by the Department of Safety and Health).</w:t>
      </w:r>
    </w:p>
    <w:p>
      <w:pPr>
        <w:pStyle w:val="BodyText"/>
        <w:spacing w:before="10"/>
        <w:rPr>
          <w:sz w:val="16"/>
        </w:rPr>
      </w:pPr>
      <w:r>
        <w:rPr/>
        <w:drawing>
          <wp:anchor distT="0" distB="0" distL="0" distR="0" allowOverlap="1" layoutInCell="1" locked="0" behindDoc="0" simplePos="0" relativeHeight="12832">
            <wp:simplePos x="0" y="0"/>
            <wp:positionH relativeFrom="page">
              <wp:posOffset>4427220</wp:posOffset>
            </wp:positionH>
            <wp:positionV relativeFrom="paragraph">
              <wp:posOffset>148552</wp:posOffset>
            </wp:positionV>
            <wp:extent cx="2450018" cy="1695640"/>
            <wp:effectExtent l="0" t="0" r="0" b="0"/>
            <wp:wrapTopAndBottom/>
            <wp:docPr id="497" name="image299.jpeg" descr=""/>
            <wp:cNvGraphicFramePr>
              <a:graphicFrameLocks noChangeAspect="1"/>
            </wp:cNvGraphicFramePr>
            <a:graphic>
              <a:graphicData uri="http://schemas.openxmlformats.org/drawingml/2006/picture">
                <pic:pic>
                  <pic:nvPicPr>
                    <pic:cNvPr id="498" name="image299.jpeg"/>
                    <pic:cNvPicPr/>
                  </pic:nvPicPr>
                  <pic:blipFill>
                    <a:blip r:embed="rId497" cstate="print"/>
                    <a:stretch>
                      <a:fillRect/>
                    </a:stretch>
                  </pic:blipFill>
                  <pic:spPr>
                    <a:xfrm>
                      <a:off x="0" y="0"/>
                      <a:ext cx="2450018" cy="1695640"/>
                    </a:xfrm>
                    <a:prstGeom prst="rect">
                      <a:avLst/>
                    </a:prstGeom>
                  </pic:spPr>
                </pic:pic>
              </a:graphicData>
            </a:graphic>
          </wp:anchor>
        </w:drawing>
      </w:r>
    </w:p>
    <w:p>
      <w:pPr>
        <w:pStyle w:val="BodyText"/>
        <w:spacing w:line="207" w:lineRule="exact"/>
        <w:ind w:left="294" w:right="701"/>
        <w:jc w:val="center"/>
      </w:pPr>
      <w:r>
        <w:rPr/>
        <w:t>Figure 9 </w:t>
      </w:r>
      <w:r>
        <w:rPr>
          <w:color w:val="212121"/>
        </w:rPr>
        <w:t>Exposure to impulsive or impact noise.</w:t>
      </w:r>
    </w:p>
    <w:p>
      <w:pPr>
        <w:pStyle w:val="BodyText"/>
        <w:ind w:left="270" w:right="676"/>
        <w:jc w:val="both"/>
      </w:pPr>
      <w:r>
        <w:rPr>
          <w:color w:val="212121"/>
        </w:rPr>
        <w:t>Exposure to impulsive or impact noise should not exceed  the peak level of 140 dBA sound pressure, and as you can see, the noise dose that was obtained is 166.67, indicating that the worker is prone to injury by this condition, which derives from the shock caused by the same presses and the sound emitted by the exhaust of compressed air at low</w:t>
      </w:r>
      <w:r>
        <w:rPr>
          <w:color w:val="212121"/>
          <w:spacing w:val="-32"/>
        </w:rPr>
        <w:t> </w:t>
      </w:r>
      <w:r>
        <w:rPr>
          <w:color w:val="212121"/>
        </w:rPr>
        <w:t>press.</w:t>
      </w:r>
    </w:p>
    <w:p>
      <w:pPr>
        <w:pStyle w:val="BodyText"/>
        <w:spacing w:before="2"/>
      </w:pPr>
    </w:p>
    <w:p>
      <w:pPr>
        <w:pStyle w:val="Heading4"/>
      </w:pPr>
      <w:r>
        <w:rPr>
          <w:color w:val="233F5E"/>
        </w:rPr>
        <w:t>6. REFERENCES</w:t>
      </w:r>
    </w:p>
    <w:p>
      <w:pPr>
        <w:pStyle w:val="BodyText"/>
        <w:spacing w:before="8"/>
        <w:rPr>
          <w:b/>
          <w:sz w:val="19"/>
        </w:rPr>
      </w:pPr>
    </w:p>
    <w:p>
      <w:pPr>
        <w:pStyle w:val="BodyText"/>
        <w:tabs>
          <w:tab w:pos="4612" w:val="left" w:leader="none"/>
        </w:tabs>
        <w:ind w:left="270" w:right="676" w:firstLine="50"/>
        <w:jc w:val="both"/>
      </w:pPr>
      <w:r>
        <w:rPr/>
        <w:t>[1] (Mondelo, R. P., Gregori, E., &amp;Barrau, P. (1999). Ergonomía  I</w:t>
      </w:r>
      <w:r>
        <w:rPr>
          <w:spacing w:val="9"/>
        </w:rPr>
        <w:t> </w:t>
      </w:r>
      <w:r>
        <w:rPr/>
        <w:t>Fundamentos.</w:t>
      </w:r>
      <w:r>
        <w:rPr>
          <w:spacing w:val="27"/>
        </w:rPr>
        <w:t> </w:t>
      </w:r>
      <w:r>
        <w:rPr/>
        <w:t>Barcelona:</w:t>
        <w:tab/>
        <w:t>Mutua Universal, pp. 3,</w:t>
      </w:r>
      <w:r>
        <w:rPr>
          <w:spacing w:val="-6"/>
        </w:rPr>
        <w:t> </w:t>
      </w:r>
      <w:r>
        <w:rPr/>
        <w:t>7.</w:t>
      </w:r>
    </w:p>
    <w:p>
      <w:pPr>
        <w:pStyle w:val="BodyText"/>
        <w:ind w:left="270" w:right="675" w:firstLine="50"/>
        <w:jc w:val="both"/>
      </w:pPr>
      <w:r>
        <w:rPr/>
        <w:t>[2] Diego-Mas, J. A., &amp; Asensio, C. S. (s.f.). Métodos de evaluación Ergonómica. Ergonomía  ocupacional. Prevención de riesgos laborales. Salud laboral. (E. Universidad Politécnica de Valencia, Productor)  Recuperado el 10 de Marzo de 2010, de </w:t>
      </w:r>
      <w:hyperlink r:id="rId498">
        <w:r>
          <w:rPr/>
          <w:t>http://www.ergonautas.upv.es,</w:t>
        </w:r>
      </w:hyperlink>
      <w:r>
        <w:rPr>
          <w:spacing w:val="-20"/>
        </w:rPr>
        <w:t> </w:t>
      </w:r>
      <w:r>
        <w:rPr/>
        <w:t>pp.4.</w:t>
      </w:r>
    </w:p>
    <w:p>
      <w:pPr>
        <w:pStyle w:val="BodyText"/>
        <w:ind w:left="270"/>
        <w:jc w:val="both"/>
      </w:pPr>
      <w:r>
        <w:rPr/>
        <w:t>[2] Jastrzebowski, W. (1857). Varsovia, pp.4.</w:t>
      </w:r>
    </w:p>
    <w:p>
      <w:pPr>
        <w:pStyle w:val="BodyText"/>
        <w:ind w:left="270" w:right="1017"/>
      </w:pPr>
      <w:r>
        <w:rPr/>
        <w:t>[3] Corlett, E., &amp; Bishop, R. P. (1976). A technique for assessing postural Discomfort.Ergonomics, pp.4. permanente. México: Coordinación de Comunicación  Social, pp.7, 8.</w:t>
      </w:r>
    </w:p>
    <w:p>
      <w:pPr>
        <w:pStyle w:val="BodyText"/>
        <w:ind w:left="270" w:right="678"/>
        <w:jc w:val="both"/>
      </w:pPr>
      <w:r>
        <w:rPr/>
        <w:t>[4] Campion, M., &amp; Thayer, P. (1985). Development and field evaluation of an Inter-disciplinary measure of job design.En W. Laurig, &amp; J. Vedder.J. Appl Psychol, pp.8.</w:t>
      </w:r>
    </w:p>
    <w:p>
      <w:pPr>
        <w:pStyle w:val="BodyText"/>
        <w:spacing w:line="229" w:lineRule="exact"/>
        <w:ind w:left="270"/>
        <w:jc w:val="both"/>
      </w:pPr>
      <w:r>
        <w:rPr/>
        <w:t>[5] Nag, P. K. (1998). LISTAS DE COMPROBACION.  En</w:t>
      </w:r>
    </w:p>
    <w:p>
      <w:pPr>
        <w:pStyle w:val="BodyText"/>
        <w:ind w:left="270" w:right="677"/>
        <w:jc w:val="both"/>
      </w:pPr>
      <w:r>
        <w:rPr/>
        <w:t>Enciclopedia de Salud y seguridad en el trabajo. España: Chantal Dufresne, BA, pp.9.</w:t>
      </w:r>
    </w:p>
    <w:p>
      <w:pPr>
        <w:pStyle w:val="BodyText"/>
        <w:tabs>
          <w:tab w:pos="1378" w:val="left" w:leader="none"/>
          <w:tab w:pos="2005" w:val="left" w:leader="none"/>
          <w:tab w:pos="3700" w:val="left" w:leader="none"/>
          <w:tab w:pos="4418" w:val="left" w:leader="none"/>
        </w:tabs>
        <w:ind w:left="270" w:right="677"/>
        <w:jc w:val="both"/>
      </w:pPr>
      <w:r>
        <w:rPr/>
        <w:t>[6] ISO/TS 16949:2002 International Automotive Task Force (IATF).JAMA (japan Automobile Manufactures Association) y representantes del ISO/TC176 “Gestión de calidad</w:t>
        <w:tab/>
        <w:t>y</w:t>
        <w:tab/>
        <w:t>aseguramiento</w:t>
        <w:tab/>
        <w:t>de</w:t>
        <w:tab/>
      </w:r>
      <w:r>
        <w:rPr>
          <w:spacing w:val="-1"/>
        </w:rPr>
        <w:t>calidad”, </w:t>
      </w:r>
      <w:hyperlink r:id="rId499">
        <w:r>
          <w:rPr/>
          <w:t>http://www.slideshare.net/jcfdezmxcal/iso-ts-16949,</w:t>
        </w:r>
      </w:hyperlink>
      <w:r>
        <w:rPr/>
        <w:t> pp.9, 10.</w:t>
      </w:r>
    </w:p>
    <w:p>
      <w:pPr>
        <w:pStyle w:val="BodyText"/>
        <w:ind w:left="270" w:right="675"/>
        <w:jc w:val="both"/>
      </w:pPr>
      <w:r>
        <w:rPr/>
        <w:t>[7] Grupo de Investigación en Diseño, Dirección de Proyectos y Decisión en Ingeniería del Departamento de Proyectos de Ingeniería de la Universidad Politécnica de Valencia, en su línea de investigación Diseño orientado al usuario     y     ergonomía     (Diego-Mas     et     al.,       s.f.)</w:t>
      </w:r>
    </w:p>
    <w:p>
      <w:pPr>
        <w:spacing w:after="0"/>
        <w:jc w:val="both"/>
        <w:sectPr>
          <w:type w:val="continuous"/>
          <w:pgSz w:w="12240" w:h="15840"/>
          <w:pgMar w:top="1500" w:bottom="280" w:left="580" w:right="220"/>
          <w:cols w:num="2" w:equalWidth="0">
            <w:col w:w="5190" w:space="434"/>
            <w:col w:w="5816"/>
          </w:cols>
        </w:sectPr>
      </w:pPr>
    </w:p>
    <w:p>
      <w:pPr>
        <w:pStyle w:val="BodyText"/>
        <w:spacing w:before="4"/>
        <w:rPr>
          <w:sz w:val="11"/>
        </w:rPr>
      </w:pPr>
    </w:p>
    <w:p>
      <w:pPr>
        <w:pStyle w:val="BodyText"/>
        <w:spacing w:before="74"/>
        <w:ind w:left="270" w:right="6411"/>
      </w:pPr>
      <w:hyperlink r:id="rId500">
        <w:r>
          <w:rPr/>
          <w:t>http://www.ergonautas.upv.es/metodos/lest/lest-ayuda.php,</w:t>
        </w:r>
      </w:hyperlink>
      <w:r>
        <w:rPr/>
        <w:t> pp.10.</w:t>
      </w:r>
    </w:p>
    <w:p>
      <w:pPr>
        <w:pStyle w:val="BodyText"/>
        <w:ind w:left="270" w:right="6249" w:firstLine="50"/>
        <w:jc w:val="both"/>
      </w:pPr>
      <w:r>
        <w:rPr/>
        <w:t>[8] National Institute for Occupational Safety and Health (1994), Revised NIOSH Lifting Equation, Ohio, USA pp.15. [9] Mc Atamney, L y Corlett. E. (1993), RULA: A Survey method for the investigation of Work- Related Upper Limb Disorders. Applied Ergonomics. Vol. 24 No. 2, p. 91- 99.pp.15.</w:t>
      </w:r>
    </w:p>
    <w:p>
      <w:pPr>
        <w:pStyle w:val="BodyText"/>
        <w:ind w:left="270" w:right="6250"/>
        <w:jc w:val="both"/>
      </w:pPr>
      <w:r>
        <w:rPr/>
        <w:t>[10] Chaffin, D. B. (1966), The prediction of physical  fatigue during manual labor, Journal of Methods-Time Measurement, 11(5), 25-32,</w:t>
      </w:r>
      <w:r>
        <w:rPr>
          <w:spacing w:val="-18"/>
        </w:rPr>
        <w:t> </w:t>
      </w:r>
      <w:r>
        <w:rPr/>
        <w:t>pp.15.</w:t>
      </w:r>
    </w:p>
    <w:p>
      <w:pPr>
        <w:pStyle w:val="BodyText"/>
        <w:ind w:left="270" w:right="6250" w:firstLine="50"/>
        <w:jc w:val="both"/>
      </w:pPr>
      <w:r>
        <w:rPr/>
        <w:t>[11] Bridger, R. S. (1995), Introduction to Ergonomics. McGraw Hill, United States of America, pp.16.</w:t>
      </w:r>
    </w:p>
    <w:p>
      <w:pPr>
        <w:pStyle w:val="BodyText"/>
        <w:ind w:left="270" w:right="6249"/>
        <w:jc w:val="both"/>
      </w:pPr>
      <w:r>
        <w:rPr/>
        <w:t>[12] Sanz, J. A., Sebastian, O. (2002). Evaluation and preparation of Environmental Conditions on jobs. Collection questionnaires. National Institute of Safety and Health at Work. Madrid, pp.18.</w:t>
      </w:r>
    </w:p>
    <w:p>
      <w:pPr>
        <w:pStyle w:val="BodyText"/>
      </w:pPr>
    </w:p>
    <w:p>
      <w:pPr>
        <w:pStyle w:val="BodyText"/>
        <w:spacing w:before="10"/>
        <w:rPr>
          <w:sz w:val="15"/>
        </w:rPr>
      </w:pPr>
    </w:p>
    <w:p>
      <w:pPr>
        <w:spacing w:before="1"/>
        <w:ind w:left="270" w:right="6250" w:firstLine="0"/>
        <w:jc w:val="both"/>
        <w:rPr>
          <w:sz w:val="16"/>
        </w:rPr>
      </w:pPr>
      <w:r>
        <w:rPr>
          <w:b/>
          <w:sz w:val="16"/>
        </w:rPr>
        <w:t>Javier García Nava: </w:t>
      </w:r>
      <w:r>
        <w:rPr>
          <w:sz w:val="16"/>
        </w:rPr>
        <w:t>Industrial Engineer from the Interdisciplinary Professional Unit of Engineering and Social and Administrative Sciences, Master of Science from the School of Business and Management of IPN. Head of the Division of Ing. Industrial of the Tesco and has been a speaker at national and international</w:t>
      </w:r>
      <w:r>
        <w:rPr>
          <w:spacing w:val="-13"/>
          <w:sz w:val="16"/>
        </w:rPr>
        <w:t> </w:t>
      </w:r>
      <w:r>
        <w:rPr>
          <w:sz w:val="16"/>
        </w:rPr>
        <w:t>conferences.</w:t>
      </w:r>
    </w:p>
    <w:p>
      <w:pPr>
        <w:pStyle w:val="BodyText"/>
        <w:rPr>
          <w:sz w:val="16"/>
        </w:rPr>
      </w:pPr>
    </w:p>
    <w:p>
      <w:pPr>
        <w:pStyle w:val="BodyText"/>
        <w:rPr>
          <w:sz w:val="16"/>
        </w:rPr>
      </w:pPr>
    </w:p>
    <w:p>
      <w:pPr>
        <w:spacing w:before="0"/>
        <w:ind w:left="270" w:right="6250" w:firstLine="0"/>
        <w:jc w:val="both"/>
        <w:rPr>
          <w:sz w:val="16"/>
        </w:rPr>
      </w:pPr>
      <w:r>
        <w:rPr>
          <w:b/>
          <w:sz w:val="16"/>
        </w:rPr>
        <w:t>Raquel Muñoz Hernández.</w:t>
      </w:r>
      <w:r>
        <w:rPr>
          <w:sz w:val="16"/>
        </w:rPr>
        <w:t>: Industrial Engineer and Master of Science from the Metropolitan Autonomous University, PhD in Organizational Development from the University of Mexico City. PTC of the Division of Industrial Engineering and has been a speaker at national and international conferences.</w:t>
      </w:r>
    </w:p>
    <w:p>
      <w:pPr>
        <w:spacing w:after="0"/>
        <w:jc w:val="both"/>
        <w:rPr>
          <w:sz w:val="16"/>
        </w:rPr>
        <w:sectPr>
          <w:pgSz w:w="12240" w:h="15840"/>
          <w:pgMar w:header="545" w:footer="852" w:top="1060" w:bottom="1040" w:left="580" w:right="220"/>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
        <w:rPr>
          <w:sz w:val="24"/>
        </w:rPr>
      </w:pPr>
    </w:p>
    <w:p>
      <w:pPr>
        <w:pStyle w:val="Heading4"/>
      </w:pPr>
      <w:r>
        <w:rPr/>
        <w:t>Application of Cox Regression Analysis to Determine the Decline of Force Manual In Time.</w:t>
      </w:r>
    </w:p>
    <w:p>
      <w:pPr>
        <w:pStyle w:val="BodyText"/>
        <w:spacing w:before="4"/>
        <w:rPr>
          <w:b/>
          <w:sz w:val="19"/>
        </w:rPr>
      </w:pPr>
    </w:p>
    <w:p>
      <w:pPr>
        <w:spacing w:line="213" w:lineRule="auto" w:before="0"/>
        <w:ind w:left="270" w:right="1" w:firstLine="0"/>
        <w:jc w:val="both"/>
        <w:rPr>
          <w:i/>
          <w:sz w:val="20"/>
        </w:rPr>
      </w:pPr>
      <w:r>
        <w:rPr>
          <w:i/>
          <w:sz w:val="20"/>
        </w:rPr>
        <w:t>Gerardo Meza Partida</w:t>
      </w:r>
      <w:r>
        <w:rPr>
          <w:i/>
          <w:position w:val="9"/>
          <w:sz w:val="13"/>
        </w:rPr>
        <w:t>1</w:t>
      </w:r>
      <w:r>
        <w:rPr>
          <w:i/>
          <w:sz w:val="20"/>
        </w:rPr>
        <w:t>, Enrique Javier de la Vega </w:t>
      </w:r>
      <w:r>
        <w:rPr>
          <w:i/>
          <w:sz w:val="20"/>
        </w:rPr>
        <w:t>Bustillos</w:t>
      </w:r>
      <w:r>
        <w:rPr>
          <w:i/>
          <w:position w:val="9"/>
          <w:sz w:val="13"/>
        </w:rPr>
        <w:t>1</w:t>
      </w:r>
      <w:r>
        <w:rPr>
          <w:i/>
          <w:sz w:val="20"/>
        </w:rPr>
        <w:t>, Francisco Octavio López Millan</w:t>
      </w:r>
      <w:r>
        <w:rPr>
          <w:i/>
          <w:position w:val="9"/>
          <w:sz w:val="13"/>
        </w:rPr>
        <w:t>1</w:t>
      </w:r>
      <w:r>
        <w:rPr>
          <w:i/>
          <w:sz w:val="20"/>
        </w:rPr>
        <w:t>, Jaime Sánchez Leal</w:t>
      </w:r>
      <w:r>
        <w:rPr>
          <w:i/>
          <w:position w:val="9"/>
          <w:sz w:val="13"/>
        </w:rPr>
        <w:t>2</w:t>
      </w:r>
      <w:r>
        <w:rPr>
          <w:i/>
          <w:sz w:val="20"/>
        </w:rPr>
        <w:t>.</w:t>
      </w:r>
    </w:p>
    <w:p>
      <w:pPr>
        <w:pStyle w:val="BodyText"/>
        <w:spacing w:before="5"/>
        <w:rPr>
          <w:i/>
          <w:sz w:val="18"/>
        </w:rPr>
      </w:pPr>
    </w:p>
    <w:p>
      <w:pPr>
        <w:spacing w:before="0"/>
        <w:ind w:left="270" w:right="1" w:firstLine="0"/>
        <w:jc w:val="both"/>
        <w:rPr>
          <w:rFonts w:ascii="Arial" w:hAnsi="Arial"/>
          <w:sz w:val="16"/>
        </w:rPr>
      </w:pPr>
      <w:r>
        <w:rPr>
          <w:rFonts w:ascii="Arial" w:hAnsi="Arial"/>
          <w:position w:val="8"/>
          <w:sz w:val="10"/>
        </w:rPr>
        <w:t>1</w:t>
      </w:r>
      <w:r>
        <w:rPr>
          <w:rFonts w:ascii="Arial" w:hAnsi="Arial"/>
          <w:sz w:val="16"/>
        </w:rPr>
        <w:t>Instituto Tecnológico de Hermosillo, Ave. Tecnológico s/n Hermosillo, Sonora, México. 83170 Email del autor:  </w:t>
      </w:r>
      <w:hyperlink r:id="rId501">
        <w:r>
          <w:rPr>
            <w:rFonts w:ascii="Arial" w:hAnsi="Arial"/>
            <w:sz w:val="16"/>
          </w:rPr>
          <w:t>ge_meza@ith.mx</w:t>
        </w:r>
      </w:hyperlink>
    </w:p>
    <w:p>
      <w:pPr>
        <w:pStyle w:val="BodyText"/>
        <w:spacing w:before="11"/>
        <w:rPr>
          <w:rFonts w:ascii="Arial"/>
          <w:sz w:val="13"/>
        </w:rPr>
      </w:pPr>
    </w:p>
    <w:p>
      <w:pPr>
        <w:spacing w:before="0"/>
        <w:ind w:left="270" w:right="1" w:firstLine="0"/>
        <w:jc w:val="both"/>
        <w:rPr>
          <w:rFonts w:ascii="Arial" w:hAnsi="Arial"/>
          <w:sz w:val="16"/>
        </w:rPr>
      </w:pPr>
      <w:r>
        <w:rPr>
          <w:rFonts w:ascii="Arial" w:hAnsi="Arial"/>
          <w:position w:val="8"/>
          <w:sz w:val="10"/>
        </w:rPr>
        <w:t>2</w:t>
      </w:r>
      <w:r>
        <w:rPr>
          <w:rFonts w:ascii="Arial" w:hAnsi="Arial"/>
          <w:sz w:val="16"/>
        </w:rPr>
        <w:t>Instituto Tecnológico de Ciudad Juárez. Ave. Tecnológico #1340. Ciudad Juárez, Chihuahua, México. 32500</w:t>
      </w:r>
    </w:p>
    <w:p>
      <w:pPr>
        <w:pStyle w:val="BodyText"/>
        <w:spacing w:before="1"/>
        <w:rPr>
          <w:rFonts w:ascii="Arial"/>
        </w:rPr>
      </w:pPr>
    </w:p>
    <w:p>
      <w:pPr>
        <w:pStyle w:val="BodyText"/>
        <w:tabs>
          <w:tab w:pos="1239" w:val="left" w:leader="none"/>
          <w:tab w:pos="2208" w:val="left" w:leader="none"/>
          <w:tab w:pos="3486" w:val="left" w:leader="none"/>
          <w:tab w:pos="3930" w:val="left" w:leader="none"/>
          <w:tab w:pos="4776" w:val="left" w:leader="none"/>
          <w:tab w:pos="4940" w:val="left" w:leader="none"/>
        </w:tabs>
        <w:ind w:left="270"/>
      </w:pPr>
      <w:r>
        <w:rPr>
          <w:b/>
          <w:u w:val="thick"/>
        </w:rPr>
        <w:t>Resumen</w:t>
        <w:tab/>
        <w:tab/>
        <w:tab/>
        <w:tab/>
        <w:tab/>
        <w:tab/>
      </w:r>
      <w:r>
        <w:rPr>
          <w:b/>
        </w:rPr>
        <w:t> </w:t>
      </w:r>
      <w:r>
        <w:rPr/>
        <w:t>Las actividades manuales de alta </w:t>
      </w:r>
      <w:r>
        <w:rPr>
          <w:spacing w:val="49"/>
        </w:rPr>
        <w:t> </w:t>
      </w:r>
      <w:r>
        <w:rPr/>
        <w:t>repetitividad</w:t>
      </w:r>
      <w:r>
        <w:rPr>
          <w:spacing w:val="20"/>
        </w:rPr>
        <w:t> </w:t>
      </w:r>
      <w:r>
        <w:rPr/>
        <w:t>comúnmente</w:t>
      </w:r>
      <w:r>
        <w:rPr>
          <w:spacing w:val="-1"/>
          <w:w w:val="100"/>
        </w:rPr>
        <w:t> </w:t>
      </w:r>
      <w:r>
        <w:rPr/>
        <w:t>son desarrolladas en la industria manufacturera. El desempeño realizado por estos esfuerzos puede ser definido por un modelo de regresión donde se puede observar el desarrollo de dichos esfuerzos en el tiempo. Factores como  la edad, estatura y ancho de la mano, son determinantes en el ámbito laboral y en el ejercicio físico de los trabajadores. Con el apoyo de un análisis de regresión de Cox, se puede hacer una representación mediante un modelo de dichos esfuerzos</w:t>
        <w:tab/>
        <w:t>manuales</w:t>
        <w:tab/>
        <w:t>considerando</w:t>
        <w:tab/>
        <w:t>los</w:t>
        <w:tab/>
        <w:t>factores</w:t>
        <w:tab/>
        <w:t>antes expuestos.</w:t>
      </w:r>
    </w:p>
    <w:p>
      <w:pPr>
        <w:pStyle w:val="BodyText"/>
      </w:pPr>
    </w:p>
    <w:p>
      <w:pPr>
        <w:spacing w:before="1"/>
        <w:ind w:left="270" w:right="2" w:firstLine="0"/>
        <w:jc w:val="both"/>
        <w:rPr>
          <w:sz w:val="20"/>
        </w:rPr>
      </w:pPr>
      <w:r>
        <w:rPr>
          <w:b/>
          <w:sz w:val="20"/>
        </w:rPr>
        <w:t>Palabras claves: </w:t>
      </w:r>
      <w:r>
        <w:rPr>
          <w:sz w:val="20"/>
        </w:rPr>
        <w:t>Alta repetitividad; Esfuerzo físico; Regresión de Cox.</w:t>
      </w:r>
    </w:p>
    <w:p>
      <w:pPr>
        <w:pStyle w:val="BodyText"/>
      </w:pPr>
    </w:p>
    <w:p>
      <w:pPr>
        <w:pStyle w:val="BodyText"/>
      </w:pPr>
    </w:p>
    <w:p>
      <w:pPr>
        <w:pStyle w:val="BodyText"/>
        <w:spacing w:before="2"/>
      </w:pPr>
    </w:p>
    <w:p>
      <w:pPr>
        <w:pStyle w:val="Heading5"/>
        <w:spacing w:line="229" w:lineRule="exact" w:before="1"/>
        <w:rPr>
          <w:i/>
        </w:rPr>
      </w:pPr>
      <w:r>
        <w:rPr/>
        <w:pict>
          <v:line style="position:absolute;mso-position-horizontal-relative:page;mso-position-vertical-relative:paragraph;z-index:-865960" from="42.84pt,12.206773pt" to="275.280pt,10.586773pt" stroked="true" strokeweight="1.5pt" strokecolor="#000000">
            <w10:wrap type="none"/>
          </v:line>
        </w:pict>
      </w:r>
      <w:r>
        <w:rPr>
          <w:i/>
        </w:rPr>
        <w:t>Abstract</w:t>
      </w:r>
    </w:p>
    <w:p>
      <w:pPr>
        <w:spacing w:before="0"/>
        <w:ind w:left="270" w:right="0" w:firstLine="50"/>
        <w:jc w:val="both"/>
        <w:rPr>
          <w:i/>
          <w:sz w:val="20"/>
        </w:rPr>
      </w:pPr>
      <w:r>
        <w:rPr>
          <w:i/>
          <w:sz w:val="20"/>
        </w:rPr>
        <w:t>The high repeatability manual activities are commonly </w:t>
      </w:r>
      <w:r>
        <w:rPr>
          <w:i/>
          <w:sz w:val="20"/>
        </w:rPr>
        <w:t>developed in the manufacturing industry. The performance made by these efforts can be defined by a regression model where you can observe the development of such efforts over time. Factors such as age, height and width of the hand, are decisive in the workplace and in the exercise of workers. With the support of a Cox regression analysis, you can make a representation through a model of such manual effort considering the foregoing</w:t>
      </w:r>
      <w:r>
        <w:rPr>
          <w:i/>
          <w:spacing w:val="-17"/>
          <w:sz w:val="20"/>
        </w:rPr>
        <w:t> </w:t>
      </w:r>
      <w:r>
        <w:rPr>
          <w:i/>
          <w:sz w:val="20"/>
        </w:rPr>
        <w:t>factors.</w:t>
      </w:r>
    </w:p>
    <w:p>
      <w:pPr>
        <w:pStyle w:val="BodyText"/>
        <w:spacing w:before="11"/>
        <w:rPr>
          <w:i/>
          <w:sz w:val="19"/>
        </w:rPr>
      </w:pPr>
    </w:p>
    <w:p>
      <w:pPr>
        <w:spacing w:before="0"/>
        <w:ind w:left="270" w:right="0" w:firstLine="0"/>
        <w:jc w:val="both"/>
        <w:rPr>
          <w:i/>
          <w:sz w:val="20"/>
        </w:rPr>
      </w:pPr>
      <w:r>
        <w:rPr>
          <w:b/>
          <w:i/>
          <w:sz w:val="20"/>
        </w:rPr>
        <w:t>Keywords: </w:t>
      </w:r>
      <w:r>
        <w:rPr>
          <w:i/>
          <w:sz w:val="20"/>
        </w:rPr>
        <w:t>High repeatability; Physical exertion; Cox </w:t>
      </w:r>
      <w:r>
        <w:rPr>
          <w:i/>
          <w:sz w:val="20"/>
        </w:rPr>
        <w:t>regression.</w:t>
      </w:r>
    </w:p>
    <w:p>
      <w:pPr>
        <w:pStyle w:val="BodyText"/>
        <w:spacing w:before="11"/>
        <w:rPr>
          <w:i/>
          <w:sz w:val="19"/>
        </w:rPr>
      </w:pPr>
    </w:p>
    <w:p>
      <w:pPr>
        <w:pStyle w:val="BodyText"/>
        <w:ind w:left="270"/>
        <w:jc w:val="both"/>
      </w:pPr>
      <w:r>
        <w:rPr/>
        <w:t>Relevance to Ergonomics:</w:t>
      </w:r>
    </w:p>
    <w:p>
      <w:pPr>
        <w:pStyle w:val="BodyText"/>
        <w:ind w:left="270"/>
        <w:jc w:val="both"/>
      </w:pPr>
      <w:r>
        <w:rPr/>
        <w:t>The study of repetitive stress in the workplace can be very useful for diagnosing activities at risk of causing an accident. In a study such as this, I could help us determine, according to their characteristics, the moment in time where an  operator has a high probability of</w:t>
      </w:r>
      <w:r>
        <w:rPr>
          <w:spacing w:val="-22"/>
        </w:rPr>
        <w:t> </w:t>
      </w:r>
      <w:r>
        <w:rPr/>
        <w:t>injury.</w:t>
      </w:r>
    </w:p>
    <w:p>
      <w:pPr>
        <w:pStyle w:val="BodyText"/>
      </w:pPr>
    </w:p>
    <w:p>
      <w:pPr>
        <w:pStyle w:val="BodyText"/>
        <w:spacing w:before="2"/>
      </w:pPr>
    </w:p>
    <w:p>
      <w:pPr>
        <w:pStyle w:val="Heading4"/>
        <w:numPr>
          <w:ilvl w:val="0"/>
          <w:numId w:val="109"/>
        </w:numPr>
        <w:tabs>
          <w:tab w:pos="473" w:val="left" w:leader="none"/>
        </w:tabs>
        <w:spacing w:line="240" w:lineRule="auto" w:before="0" w:after="0"/>
        <w:ind w:left="472" w:right="0" w:hanging="202"/>
        <w:jc w:val="both"/>
      </w:pPr>
      <w:r>
        <w:rPr/>
        <w:t>INTRODUCTION.</w:t>
      </w:r>
    </w:p>
    <w:p>
      <w:pPr>
        <w:pStyle w:val="BodyText"/>
        <w:spacing w:before="9"/>
        <w:rPr>
          <w:b/>
          <w:sz w:val="19"/>
        </w:rPr>
      </w:pPr>
    </w:p>
    <w:p>
      <w:pPr>
        <w:pStyle w:val="BodyText"/>
        <w:spacing w:before="1"/>
        <w:ind w:left="270" w:right="1"/>
        <w:jc w:val="both"/>
      </w:pPr>
      <w:r>
        <w:rPr/>
        <w:t>Numerous activities required routinely performed in industry require   the   application   of   various   physical   effort; and</w:t>
      </w:r>
    </w:p>
    <w:p>
      <w:pPr>
        <w:pStyle w:val="BodyText"/>
        <w:spacing w:before="74"/>
        <w:ind w:left="270" w:right="676"/>
        <w:jc w:val="both"/>
      </w:pPr>
      <w:r>
        <w:rPr/>
        <w:br w:type="column"/>
      </w:r>
      <w:r>
        <w:rPr/>
        <w:t>therefore involves some types of physical exercises. This includes a variety of activities such as the application of hand or finger pressure, loading and unloading of boxes, moving supplies conveyors, the arrangement of objects in a warehouse, etc .; and not all people are able to perform in the same way as</w:t>
      </w:r>
      <w:r>
        <w:rPr>
          <w:spacing w:val="-4"/>
        </w:rPr>
        <w:t> </w:t>
      </w:r>
      <w:r>
        <w:rPr/>
        <w:t>others.</w:t>
      </w:r>
    </w:p>
    <w:p>
      <w:pPr>
        <w:pStyle w:val="BodyText"/>
        <w:ind w:left="270" w:right="678" w:firstLine="432"/>
        <w:jc w:val="both"/>
      </w:pPr>
      <w:r>
        <w:rPr/>
        <w:t>One study focused on the performance of manual physical effort, it is essential to know the strength development over time, and determine based on the study of certain factors, the time that a person, given their physical characteristics, is at risk of injury.</w:t>
      </w:r>
    </w:p>
    <w:p>
      <w:pPr>
        <w:pStyle w:val="BodyText"/>
      </w:pPr>
    </w:p>
    <w:p>
      <w:pPr>
        <w:pStyle w:val="BodyText"/>
        <w:spacing w:before="2"/>
      </w:pPr>
    </w:p>
    <w:p>
      <w:pPr>
        <w:pStyle w:val="Heading4"/>
        <w:numPr>
          <w:ilvl w:val="0"/>
          <w:numId w:val="109"/>
        </w:numPr>
        <w:tabs>
          <w:tab w:pos="471" w:val="left" w:leader="none"/>
        </w:tabs>
        <w:spacing w:line="240" w:lineRule="auto" w:before="0" w:after="0"/>
        <w:ind w:left="470" w:right="0" w:hanging="200"/>
        <w:jc w:val="both"/>
      </w:pPr>
      <w:r>
        <w:rPr/>
        <w:t>OBJECTIVES.</w:t>
      </w:r>
    </w:p>
    <w:p>
      <w:pPr>
        <w:pStyle w:val="BodyText"/>
        <w:spacing w:before="8"/>
        <w:rPr>
          <w:b/>
          <w:sz w:val="19"/>
        </w:rPr>
      </w:pPr>
    </w:p>
    <w:p>
      <w:pPr>
        <w:pStyle w:val="BodyText"/>
        <w:ind w:left="270" w:right="677"/>
        <w:jc w:val="both"/>
      </w:pPr>
      <w:r>
        <w:rPr/>
        <w:t>General: Conduct a study on the behavior of the gripping force of workers in the manufacturing industry by applying Cox regression.</w:t>
      </w:r>
    </w:p>
    <w:p>
      <w:pPr>
        <w:pStyle w:val="BodyText"/>
        <w:spacing w:line="229" w:lineRule="exact"/>
        <w:ind w:left="702" w:right="702"/>
      </w:pPr>
      <w:r>
        <w:rPr/>
        <w:t>Specifics:</w:t>
      </w:r>
    </w:p>
    <w:p>
      <w:pPr>
        <w:pStyle w:val="ListParagraph"/>
        <w:numPr>
          <w:ilvl w:val="0"/>
          <w:numId w:val="108"/>
        </w:numPr>
        <w:tabs>
          <w:tab w:pos="413" w:val="left" w:leader="none"/>
        </w:tabs>
        <w:spacing w:line="240" w:lineRule="auto" w:before="0" w:after="0"/>
        <w:ind w:left="270" w:right="677" w:firstLine="0"/>
        <w:jc w:val="both"/>
        <w:rPr>
          <w:sz w:val="20"/>
        </w:rPr>
      </w:pPr>
      <w:r>
        <w:rPr>
          <w:sz w:val="20"/>
        </w:rPr>
        <w:t>Get a regression model that represents the gripping force that can make working in manufacturing factors based on age, height and width of the</w:t>
      </w:r>
      <w:r>
        <w:rPr>
          <w:spacing w:val="-14"/>
          <w:sz w:val="20"/>
        </w:rPr>
        <w:t> </w:t>
      </w:r>
      <w:r>
        <w:rPr>
          <w:sz w:val="20"/>
        </w:rPr>
        <w:t>hand.</w:t>
      </w:r>
    </w:p>
    <w:p>
      <w:pPr>
        <w:pStyle w:val="ListParagraph"/>
        <w:numPr>
          <w:ilvl w:val="0"/>
          <w:numId w:val="108"/>
        </w:numPr>
        <w:tabs>
          <w:tab w:pos="406" w:val="left" w:leader="none"/>
        </w:tabs>
        <w:spacing w:line="240" w:lineRule="auto" w:before="0" w:after="0"/>
        <w:ind w:left="270" w:right="678" w:firstLine="0"/>
        <w:jc w:val="both"/>
        <w:rPr>
          <w:sz w:val="20"/>
        </w:rPr>
      </w:pPr>
      <w:r>
        <w:rPr>
          <w:sz w:val="20"/>
        </w:rPr>
        <w:t>Determine the maximum grip force acceptable to workers according to the factors age, height and width of the</w:t>
      </w:r>
      <w:r>
        <w:rPr>
          <w:spacing w:val="-25"/>
          <w:sz w:val="20"/>
        </w:rPr>
        <w:t> </w:t>
      </w:r>
      <w:r>
        <w:rPr>
          <w:sz w:val="20"/>
        </w:rPr>
        <w:t>hand.</w:t>
      </w:r>
    </w:p>
    <w:p>
      <w:pPr>
        <w:pStyle w:val="ListParagraph"/>
        <w:numPr>
          <w:ilvl w:val="0"/>
          <w:numId w:val="108"/>
        </w:numPr>
        <w:tabs>
          <w:tab w:pos="391" w:val="left" w:leader="none"/>
        </w:tabs>
        <w:spacing w:line="229" w:lineRule="exact" w:before="0" w:after="0"/>
        <w:ind w:left="390" w:right="0" w:hanging="120"/>
        <w:jc w:val="both"/>
        <w:rPr>
          <w:sz w:val="20"/>
        </w:rPr>
      </w:pPr>
      <w:r>
        <w:rPr>
          <w:sz w:val="20"/>
        </w:rPr>
        <w:t>Using statistical tools for data</w:t>
      </w:r>
      <w:r>
        <w:rPr>
          <w:spacing w:val="-14"/>
          <w:sz w:val="20"/>
        </w:rPr>
        <w:t> </w:t>
      </w:r>
      <w:r>
        <w:rPr>
          <w:sz w:val="20"/>
        </w:rPr>
        <w:t>processing.</w:t>
      </w:r>
    </w:p>
    <w:p>
      <w:pPr>
        <w:pStyle w:val="ListParagraph"/>
        <w:numPr>
          <w:ilvl w:val="0"/>
          <w:numId w:val="108"/>
        </w:numPr>
        <w:tabs>
          <w:tab w:pos="395" w:val="left" w:leader="none"/>
        </w:tabs>
        <w:spacing w:line="240" w:lineRule="auto" w:before="0" w:after="0"/>
        <w:ind w:left="270" w:right="677" w:firstLine="0"/>
        <w:jc w:val="both"/>
        <w:rPr>
          <w:sz w:val="20"/>
        </w:rPr>
      </w:pPr>
      <w:r>
        <w:rPr>
          <w:sz w:val="20"/>
        </w:rPr>
        <w:t>Describe the manual force that can generate workers based on the factors described above over</w:t>
      </w:r>
      <w:r>
        <w:rPr>
          <w:spacing w:val="-21"/>
          <w:sz w:val="20"/>
        </w:rPr>
        <w:t> </w:t>
      </w:r>
      <w:r>
        <w:rPr>
          <w:sz w:val="20"/>
        </w:rPr>
        <w:t>time.</w:t>
      </w:r>
    </w:p>
    <w:p>
      <w:pPr>
        <w:pStyle w:val="BodyText"/>
        <w:ind w:left="270" w:right="678" w:firstLine="432"/>
        <w:jc w:val="both"/>
      </w:pPr>
      <w:r>
        <w:rPr/>
        <w:t>The study considers only the female working age that performs manufacturing activities with high repetition rate in the city of Hermosillo and focus on the anatomy of the hand.</w:t>
      </w:r>
    </w:p>
    <w:p>
      <w:pPr>
        <w:pStyle w:val="BodyText"/>
      </w:pPr>
    </w:p>
    <w:p>
      <w:pPr>
        <w:pStyle w:val="BodyText"/>
        <w:spacing w:before="2"/>
      </w:pPr>
    </w:p>
    <w:p>
      <w:pPr>
        <w:pStyle w:val="Heading4"/>
        <w:numPr>
          <w:ilvl w:val="0"/>
          <w:numId w:val="109"/>
        </w:numPr>
        <w:tabs>
          <w:tab w:pos="471" w:val="left" w:leader="none"/>
        </w:tabs>
        <w:spacing w:line="240" w:lineRule="auto" w:before="0" w:after="0"/>
        <w:ind w:left="470" w:right="0" w:hanging="200"/>
        <w:jc w:val="both"/>
      </w:pPr>
      <w:r>
        <w:rPr/>
        <w:t>METHODOLOGY.</w:t>
      </w:r>
    </w:p>
    <w:p>
      <w:pPr>
        <w:pStyle w:val="BodyText"/>
        <w:spacing w:before="8"/>
        <w:rPr>
          <w:b/>
          <w:sz w:val="19"/>
        </w:rPr>
      </w:pPr>
    </w:p>
    <w:p>
      <w:pPr>
        <w:pStyle w:val="BodyText"/>
        <w:ind w:left="270" w:right="676" w:firstLine="432"/>
        <w:jc w:val="right"/>
      </w:pPr>
      <w:r>
        <w:rPr/>
        <w:t>For this study, we asked participants to</w:t>
      </w:r>
      <w:r>
        <w:rPr>
          <w:spacing w:val="31"/>
        </w:rPr>
        <w:t> </w:t>
      </w:r>
      <w:r>
        <w:rPr/>
        <w:t>apply</w:t>
      </w:r>
      <w:r>
        <w:rPr>
          <w:spacing w:val="11"/>
        </w:rPr>
        <w:t> </w:t>
      </w:r>
      <w:r>
        <w:rPr/>
        <w:t>the</w:t>
      </w:r>
      <w:r>
        <w:rPr>
          <w:w w:val="100"/>
        </w:rPr>
        <w:t> </w:t>
      </w:r>
      <w:r>
        <w:rPr/>
        <w:t>maximum grip strength they consider acceptable for</w:t>
      </w:r>
      <w:r>
        <w:rPr>
          <w:spacing w:val="15"/>
        </w:rPr>
        <w:t> </w:t>
      </w:r>
      <w:r>
        <w:rPr/>
        <w:t>a</w:t>
      </w:r>
      <w:r>
        <w:rPr>
          <w:spacing w:val="23"/>
        </w:rPr>
        <w:t> </w:t>
      </w:r>
      <w:r>
        <w:rPr/>
        <w:t>day</w:t>
      </w:r>
      <w:r>
        <w:rPr>
          <w:w w:val="100"/>
        </w:rPr>
        <w:t> </w:t>
      </w:r>
      <w:r>
        <w:rPr/>
        <w:t>of 8 hours, taking into account the nature of</w:t>
      </w:r>
      <w:r>
        <w:rPr>
          <w:spacing w:val="2"/>
        </w:rPr>
        <w:t> </w:t>
      </w:r>
      <w:r>
        <w:rPr/>
        <w:t>the</w:t>
      </w:r>
      <w:r>
        <w:rPr>
          <w:spacing w:val="5"/>
        </w:rPr>
        <w:t> </w:t>
      </w:r>
      <w:r>
        <w:rPr/>
        <w:t>transaction,</w:t>
      </w:r>
      <w:r>
        <w:rPr>
          <w:w w:val="100"/>
        </w:rPr>
        <w:t> </w:t>
      </w:r>
      <w:r>
        <w:rPr/>
        <w:t>is required to be applying the force</w:t>
      </w:r>
      <w:r>
        <w:rPr>
          <w:spacing w:val="34"/>
        </w:rPr>
        <w:t> </w:t>
      </w:r>
      <w:r>
        <w:rPr/>
        <w:t>repeatedly,</w:t>
      </w:r>
      <w:r>
        <w:rPr>
          <w:spacing w:val="40"/>
        </w:rPr>
        <w:t> </w:t>
      </w:r>
      <w:r>
        <w:rPr/>
        <w:t>thus</w:t>
      </w:r>
      <w:r>
        <w:rPr>
          <w:w w:val="100"/>
        </w:rPr>
        <w:t> </w:t>
      </w:r>
      <w:r>
        <w:rPr/>
        <w:t>simulating a workstation where it requires the</w:t>
      </w:r>
      <w:r>
        <w:rPr>
          <w:spacing w:val="6"/>
        </w:rPr>
        <w:t> </w:t>
      </w:r>
      <w:r>
        <w:rPr/>
        <w:t>application of</w:t>
      </w:r>
      <w:r>
        <w:rPr>
          <w:w w:val="100"/>
        </w:rPr>
        <w:t> </w:t>
      </w:r>
      <w:r>
        <w:rPr/>
        <w:t>gripping force for the development of</w:t>
      </w:r>
      <w:r>
        <w:rPr>
          <w:spacing w:val="-20"/>
        </w:rPr>
        <w:t> </w:t>
      </w:r>
      <w:r>
        <w:rPr/>
        <w:t>electrical</w:t>
      </w:r>
      <w:r>
        <w:rPr>
          <w:spacing w:val="-4"/>
        </w:rPr>
        <w:t> </w:t>
      </w:r>
      <w:r>
        <w:rPr/>
        <w:t>components.</w:t>
      </w:r>
      <w:r>
        <w:rPr>
          <w:w w:val="100"/>
        </w:rPr>
        <w:t> </w:t>
      </w:r>
      <w:r>
        <w:rPr/>
        <w:t>For</w:t>
      </w:r>
      <w:r>
        <w:rPr>
          <w:spacing w:val="25"/>
        </w:rPr>
        <w:t> </w:t>
      </w:r>
      <w:r>
        <w:rPr/>
        <w:t>this</w:t>
      </w:r>
      <w:r>
        <w:rPr>
          <w:spacing w:val="25"/>
        </w:rPr>
        <w:t> </w:t>
      </w:r>
      <w:r>
        <w:rPr/>
        <w:t>research,</w:t>
      </w:r>
      <w:r>
        <w:rPr>
          <w:spacing w:val="25"/>
        </w:rPr>
        <w:t> </w:t>
      </w:r>
      <w:r>
        <w:rPr/>
        <w:t>were</w:t>
      </w:r>
      <w:r>
        <w:rPr>
          <w:spacing w:val="24"/>
        </w:rPr>
        <w:t> </w:t>
      </w:r>
      <w:r>
        <w:rPr/>
        <w:t>randomly</w:t>
      </w:r>
      <w:r>
        <w:rPr>
          <w:spacing w:val="25"/>
        </w:rPr>
        <w:t> </w:t>
      </w:r>
      <w:r>
        <w:rPr/>
        <w:t>selected</w:t>
      </w:r>
      <w:r>
        <w:rPr>
          <w:spacing w:val="25"/>
        </w:rPr>
        <w:t> </w:t>
      </w:r>
      <w:r>
        <w:rPr/>
        <w:t>a</w:t>
      </w:r>
      <w:r>
        <w:rPr>
          <w:spacing w:val="25"/>
        </w:rPr>
        <w:t> </w:t>
      </w:r>
      <w:r>
        <w:rPr/>
        <w:t>group</w:t>
      </w:r>
      <w:r>
        <w:rPr>
          <w:spacing w:val="25"/>
        </w:rPr>
        <w:t> </w:t>
      </w:r>
      <w:r>
        <w:rPr/>
        <w:t>of</w:t>
      </w:r>
    </w:p>
    <w:p>
      <w:pPr>
        <w:pStyle w:val="BodyText"/>
        <w:ind w:left="270" w:right="675"/>
        <w:jc w:val="both"/>
      </w:pPr>
      <w:r>
        <w:rPr/>
        <w:t>45 women, work experience and performing daily activities in manufacturing, in the community of Hermosillo. Test subjects underwent medical examination to prevent injury. Anthropometry a study to test subjects was made, in order to obtain physical measures based and able to characterize them. Laterality of the participants to give preference to the same during the study of grip strength was considered. The age range of the group of women is between 18 and 40  years, their average age, height and width of the hand is obtained.</w:t>
      </w:r>
    </w:p>
    <w:p>
      <w:pPr>
        <w:pStyle w:val="BodyText"/>
        <w:spacing w:before="2"/>
      </w:pPr>
    </w:p>
    <w:p>
      <w:pPr>
        <w:pStyle w:val="Heading4"/>
        <w:numPr>
          <w:ilvl w:val="1"/>
          <w:numId w:val="110"/>
        </w:numPr>
        <w:tabs>
          <w:tab w:pos="571" w:val="left" w:leader="none"/>
        </w:tabs>
        <w:spacing w:line="240" w:lineRule="auto" w:before="0" w:after="0"/>
        <w:ind w:left="570" w:right="0" w:hanging="300"/>
        <w:jc w:val="both"/>
      </w:pPr>
      <w:r>
        <w:rPr/>
        <w:t>Data</w:t>
      </w:r>
      <w:r>
        <w:rPr>
          <w:spacing w:val="-7"/>
        </w:rPr>
        <w:t> </w:t>
      </w:r>
      <w:r>
        <w:rPr/>
        <w:t>collection.</w:t>
      </w:r>
    </w:p>
    <w:p>
      <w:pPr>
        <w:pStyle w:val="BodyText"/>
        <w:spacing w:before="8"/>
        <w:rPr>
          <w:b/>
          <w:sz w:val="19"/>
        </w:rPr>
      </w:pPr>
    </w:p>
    <w:p>
      <w:pPr>
        <w:pStyle w:val="BodyText"/>
        <w:spacing w:before="1"/>
        <w:ind w:left="270" w:right="676"/>
        <w:jc w:val="both"/>
      </w:pPr>
      <w:r>
        <w:rPr/>
        <w:t>Dynamometers were prepared to measure the strength of hand grip. Test subjects were instructed to stand in front of a structure holding the dynamometer at a height that forms   a</w:t>
      </w:r>
    </w:p>
    <w:p>
      <w:pPr>
        <w:spacing w:after="0"/>
        <w:jc w:val="both"/>
        <w:sectPr>
          <w:type w:val="continuous"/>
          <w:pgSz w:w="12240" w:h="15840"/>
          <w:pgMar w:top="1500" w:bottom="280" w:left="580" w:right="220"/>
          <w:cols w:num="2" w:equalWidth="0">
            <w:col w:w="5191" w:space="433"/>
            <w:col w:w="5816"/>
          </w:cols>
        </w:sectPr>
      </w:pPr>
    </w:p>
    <w:p>
      <w:pPr>
        <w:pStyle w:val="BodyText"/>
        <w:spacing w:before="4"/>
        <w:rPr>
          <w:sz w:val="11"/>
        </w:rPr>
      </w:pPr>
    </w:p>
    <w:p>
      <w:pPr>
        <w:spacing w:after="0"/>
        <w:rPr>
          <w:sz w:val="11"/>
        </w:rPr>
        <w:sectPr>
          <w:pgSz w:w="12240" w:h="15840"/>
          <w:pgMar w:header="545" w:footer="852" w:top="1060" w:bottom="1040" w:left="440" w:right="220"/>
        </w:sectPr>
      </w:pPr>
    </w:p>
    <w:p>
      <w:pPr>
        <w:pStyle w:val="BodyText"/>
        <w:spacing w:before="74"/>
        <w:ind w:left="410" w:right="1"/>
        <w:jc w:val="both"/>
      </w:pPr>
      <w:r>
        <w:rPr/>
        <w:t>right angle with your elbow. Wrist was kept in a neutral position with the hand resting on the dynamometer. Test subjects were instructed to perform a force of handgrip on  the dynamometer. 3 doses hand grip strength were performed at the beginning, middle and end of the working day for five weeks. Test subjects were instructed to apply the maximum acceptable force, assuming that the grip level that can be sustained repeatedly</w:t>
      </w:r>
      <w:r>
        <w:rPr>
          <w:spacing w:val="-25"/>
        </w:rPr>
        <w:t> </w:t>
      </w:r>
      <w:r>
        <w:rPr/>
        <w:t>selected.</w:t>
      </w:r>
    </w:p>
    <w:p>
      <w:pPr>
        <w:pStyle w:val="BodyText"/>
        <w:spacing w:before="3"/>
      </w:pPr>
    </w:p>
    <w:p>
      <w:pPr>
        <w:pStyle w:val="Heading4"/>
        <w:numPr>
          <w:ilvl w:val="1"/>
          <w:numId w:val="110"/>
        </w:numPr>
        <w:tabs>
          <w:tab w:pos="711" w:val="left" w:leader="none"/>
        </w:tabs>
        <w:spacing w:line="240" w:lineRule="auto" w:before="0" w:after="0"/>
        <w:ind w:left="710" w:right="0" w:hanging="300"/>
        <w:jc w:val="both"/>
      </w:pPr>
      <w:r>
        <w:rPr/>
        <w:t>Data</w:t>
      </w:r>
      <w:r>
        <w:rPr>
          <w:spacing w:val="-5"/>
        </w:rPr>
        <w:t> </w:t>
      </w:r>
      <w:r>
        <w:rPr/>
        <w:t>processing.</w:t>
      </w:r>
    </w:p>
    <w:p>
      <w:pPr>
        <w:pStyle w:val="BodyText"/>
        <w:spacing w:before="8"/>
        <w:rPr>
          <w:b/>
          <w:sz w:val="19"/>
        </w:rPr>
      </w:pPr>
    </w:p>
    <w:p>
      <w:pPr>
        <w:pStyle w:val="BodyText"/>
        <w:ind w:left="410" w:right="1"/>
        <w:jc w:val="both"/>
      </w:pPr>
      <w:r>
        <w:rPr/>
        <w:t>Data were recorded in a spreadsheet for easier handling. The peak force was recorded for each insert with dynamometers.</w:t>
      </w:r>
    </w:p>
    <w:p>
      <w:pPr>
        <w:pStyle w:val="BodyText"/>
        <w:ind w:left="410" w:right="1" w:firstLine="432"/>
        <w:jc w:val="both"/>
      </w:pPr>
      <w:r>
        <w:rPr/>
        <w:t>The data relating to age, height and width of the hand were recorded for each test subject.</w:t>
      </w:r>
    </w:p>
    <w:p>
      <w:pPr>
        <w:pStyle w:val="BodyText"/>
        <w:spacing w:before="2"/>
      </w:pPr>
    </w:p>
    <w:p>
      <w:pPr>
        <w:pStyle w:val="Heading4"/>
        <w:numPr>
          <w:ilvl w:val="1"/>
          <w:numId w:val="110"/>
        </w:numPr>
        <w:tabs>
          <w:tab w:pos="712" w:val="left" w:leader="none"/>
        </w:tabs>
        <w:spacing w:line="240" w:lineRule="auto" w:before="0" w:after="0"/>
        <w:ind w:left="711" w:right="0" w:hanging="301"/>
        <w:jc w:val="both"/>
      </w:pPr>
      <w:r>
        <w:rPr/>
        <w:t>Statistical</w:t>
      </w:r>
      <w:r>
        <w:rPr>
          <w:spacing w:val="-10"/>
        </w:rPr>
        <w:t> </w:t>
      </w:r>
      <w:r>
        <w:rPr/>
        <w:t>analysis.</w:t>
      </w:r>
    </w:p>
    <w:p>
      <w:pPr>
        <w:pStyle w:val="BodyText"/>
        <w:spacing w:before="8"/>
        <w:rPr>
          <w:b/>
          <w:sz w:val="19"/>
        </w:rPr>
      </w:pPr>
    </w:p>
    <w:p>
      <w:pPr>
        <w:pStyle w:val="BodyText"/>
        <w:ind w:left="410" w:right="1"/>
        <w:jc w:val="both"/>
      </w:pPr>
      <w:r>
        <w:rPr/>
        <w:t>Use of Minitab 16 software was used to analyze the main effects of the data and make comparisons about their behavior and fitness for a Cox regression model.</w:t>
      </w:r>
    </w:p>
    <w:p>
      <w:pPr>
        <w:pStyle w:val="BodyText"/>
        <w:ind w:left="410" w:firstLine="432"/>
        <w:jc w:val="both"/>
      </w:pPr>
      <w:r>
        <w:rPr/>
        <w:t>Considering the force as a response variable and age, height and width of the hand as predictors, the corresponding regression analysis gives the results shown in Table 1</w:t>
      </w:r>
    </w:p>
    <w:p>
      <w:pPr>
        <w:pStyle w:val="BodyText"/>
      </w:pPr>
    </w:p>
    <w:p>
      <w:pPr>
        <w:pStyle w:val="BodyText"/>
      </w:pPr>
    </w:p>
    <w:p>
      <w:pPr>
        <w:pStyle w:val="BodyText"/>
        <w:spacing w:before="9"/>
        <w:rPr>
          <w:sz w:val="19"/>
        </w:rPr>
      </w:pPr>
    </w:p>
    <w:p>
      <w:pPr>
        <w:spacing w:before="0"/>
        <w:ind w:left="1116" w:right="0" w:firstLine="0"/>
        <w:jc w:val="left"/>
        <w:rPr>
          <w:sz w:val="18"/>
        </w:rPr>
      </w:pPr>
      <w:r>
        <w:rPr/>
        <w:pict>
          <v:group style="position:absolute;margin-left:27.344999pt;margin-top:22.487337pt;width:259.75pt;height:129.15pt;mso-position-horizontal-relative:page;mso-position-vertical-relative:paragraph;z-index:-865288" coordorigin="547,450" coordsize="5195,2583">
            <v:rect style="position:absolute;left:554;top:457;width:5179;height:2568" filled="false" stroked="true" strokeweight=".75pt" strokecolor="#000000"/>
            <v:shape style="position:absolute;left:851;top:490;width:4718;height:1070" type="#_x0000_t202" filled="false" stroked="false">
              <v:textbox inset="0,0,0,0">
                <w:txbxContent>
                  <w:p>
                    <w:pPr>
                      <w:spacing w:line="204" w:lineRule="exact" w:before="0"/>
                      <w:ind w:left="0" w:right="-5" w:firstLine="0"/>
                      <w:jc w:val="left"/>
                      <w:rPr>
                        <w:b/>
                        <w:sz w:val="20"/>
                      </w:rPr>
                    </w:pPr>
                    <w:r>
                      <w:rPr>
                        <w:b/>
                        <w:sz w:val="20"/>
                      </w:rPr>
                      <w:t>Regression analysis: Hand-Strength vs. Age, height,</w:t>
                    </w:r>
                  </w:p>
                  <w:p>
                    <w:pPr>
                      <w:spacing w:line="230" w:lineRule="exact" w:before="0"/>
                      <w:ind w:left="0" w:right="-5" w:firstLine="0"/>
                      <w:jc w:val="left"/>
                      <w:rPr>
                        <w:b/>
                        <w:sz w:val="20"/>
                      </w:rPr>
                    </w:pPr>
                    <w:r>
                      <w:rPr>
                        <w:b/>
                        <w:sz w:val="20"/>
                      </w:rPr>
                      <w:t>Width of the hand</w:t>
                    </w:r>
                  </w:p>
                  <w:p>
                    <w:pPr>
                      <w:spacing w:line="240" w:lineRule="auto" w:before="7"/>
                      <w:rPr>
                        <w:sz w:val="19"/>
                      </w:rPr>
                    </w:pPr>
                  </w:p>
                  <w:p>
                    <w:pPr>
                      <w:spacing w:before="0"/>
                      <w:ind w:left="0" w:right="-5" w:firstLine="0"/>
                      <w:jc w:val="left"/>
                      <w:rPr>
                        <w:sz w:val="18"/>
                      </w:rPr>
                    </w:pPr>
                    <w:r>
                      <w:rPr>
                        <w:sz w:val="18"/>
                      </w:rPr>
                      <w:t>Regression equation Hand-Strength = - 60.5 + 0.148 Age +</w:t>
                    </w:r>
                    <w:r>
                      <w:rPr>
                        <w:spacing w:val="-16"/>
                        <w:sz w:val="18"/>
                      </w:rPr>
                      <w:t> </w:t>
                    </w:r>
                    <w:r>
                      <w:rPr>
                        <w:sz w:val="18"/>
                      </w:rPr>
                      <w:t>0.124 Height + 11.4 Width of the</w:t>
                    </w:r>
                    <w:r>
                      <w:rPr>
                        <w:spacing w:val="-6"/>
                        <w:sz w:val="18"/>
                      </w:rPr>
                      <w:t> </w:t>
                    </w:r>
                    <w:r>
                      <w:rPr>
                        <w:sz w:val="18"/>
                      </w:rPr>
                      <w:t>hand</w:t>
                    </w:r>
                  </w:p>
                </w:txbxContent>
              </v:textbox>
              <w10:wrap type="none"/>
            </v:shape>
            <v:shape style="position:absolute;left:851;top:2814;width:1836;height:180" type="#_x0000_t202" filled="false" stroked="false">
              <v:textbox inset="0,0,0,0">
                <w:txbxContent>
                  <w:p>
                    <w:pPr>
                      <w:tabs>
                        <w:tab w:pos="1079" w:val="left" w:leader="none"/>
                      </w:tabs>
                      <w:spacing w:line="180" w:lineRule="exact" w:before="0"/>
                      <w:ind w:left="0" w:right="0" w:firstLine="0"/>
                      <w:jc w:val="left"/>
                      <w:rPr>
                        <w:rFonts w:ascii="Courier New"/>
                        <w:sz w:val="18"/>
                      </w:rPr>
                    </w:pPr>
                    <w:r>
                      <w:rPr>
                        <w:rFonts w:ascii="Courier New"/>
                        <w:sz w:val="18"/>
                      </w:rPr>
                      <w:t>the</w:t>
                    </w:r>
                    <w:r>
                      <w:rPr>
                        <w:rFonts w:ascii="Courier New"/>
                        <w:spacing w:val="-1"/>
                        <w:sz w:val="18"/>
                      </w:rPr>
                      <w:t> </w:t>
                    </w:r>
                    <w:r>
                      <w:rPr>
                        <w:rFonts w:ascii="Courier New"/>
                        <w:sz w:val="18"/>
                      </w:rPr>
                      <w:t>hand</w:t>
                      <w:tab/>
                      <w:t>11.4464</w:t>
                    </w:r>
                  </w:p>
                </w:txbxContent>
              </v:textbox>
              <w10:wrap type="none"/>
            </v:shape>
            <v:shape style="position:absolute;left:3119;top:2814;width:2268;height:180" type="#_x0000_t202" filled="false" stroked="false">
              <v:textbox inset="0,0,0,0">
                <w:txbxContent>
                  <w:p>
                    <w:pPr>
                      <w:tabs>
                        <w:tab w:pos="971" w:val="left" w:leader="none"/>
                        <w:tab w:pos="1727" w:val="left" w:leader="none"/>
                      </w:tabs>
                      <w:spacing w:line="180" w:lineRule="exact" w:before="0"/>
                      <w:ind w:left="0" w:right="0" w:firstLine="0"/>
                      <w:jc w:val="left"/>
                      <w:rPr>
                        <w:rFonts w:ascii="Courier New"/>
                        <w:sz w:val="18"/>
                      </w:rPr>
                    </w:pPr>
                    <w:r>
                      <w:rPr>
                        <w:rFonts w:ascii="Courier New"/>
                        <w:sz w:val="18"/>
                      </w:rPr>
                      <w:t>0.5646</w:t>
                      <w:tab/>
                      <w:t>20.28</w:t>
                      <w:tab/>
                      <w:t>0.000</w:t>
                    </w:r>
                  </w:p>
                </w:txbxContent>
              </v:textbox>
              <w10:wrap type="none"/>
            </v:shape>
            <w10:wrap type="none"/>
          </v:group>
        </w:pict>
      </w:r>
      <w:r>
        <w:rPr>
          <w:sz w:val="18"/>
        </w:rPr>
        <w:t>Table 1 Regression Analysis.</w:t>
      </w:r>
    </w:p>
    <w:p>
      <w:pPr>
        <w:pStyle w:val="BodyText"/>
        <w:spacing w:before="74"/>
        <w:ind w:left="410" w:right="604"/>
      </w:pPr>
      <w:r>
        <w:rPr/>
        <w:br w:type="column"/>
      </w:r>
      <w:r>
        <w:rPr/>
        <w:t>Considering equation 1 obtained in the regression analysis and substituting in equation 2, we obtain Equation 3</w:t>
      </w:r>
    </w:p>
    <w:p>
      <w:pPr>
        <w:pStyle w:val="BodyText"/>
        <w:spacing w:before="10"/>
        <w:rPr>
          <w:sz w:val="18"/>
        </w:rPr>
      </w:pPr>
      <w:r>
        <w:rPr/>
        <w:drawing>
          <wp:anchor distT="0" distB="0" distL="0" distR="0" allowOverlap="1" layoutInCell="1" locked="0" behindDoc="0" simplePos="0" relativeHeight="12880">
            <wp:simplePos x="0" y="0"/>
            <wp:positionH relativeFrom="page">
              <wp:posOffset>4224528</wp:posOffset>
            </wp:positionH>
            <wp:positionV relativeFrom="paragraph">
              <wp:posOffset>291040</wp:posOffset>
            </wp:positionV>
            <wp:extent cx="219455" cy="182879"/>
            <wp:effectExtent l="0" t="0" r="0" b="0"/>
            <wp:wrapTopAndBottom/>
            <wp:docPr id="499" name="image300.png" descr=""/>
            <wp:cNvGraphicFramePr>
              <a:graphicFrameLocks noChangeAspect="1"/>
            </wp:cNvGraphicFramePr>
            <a:graphic>
              <a:graphicData uri="http://schemas.openxmlformats.org/drawingml/2006/picture">
                <pic:pic>
                  <pic:nvPicPr>
                    <pic:cNvPr id="500" name="image300.png"/>
                    <pic:cNvPicPr/>
                  </pic:nvPicPr>
                  <pic:blipFill>
                    <a:blip r:embed="rId502" cstate="print"/>
                    <a:stretch>
                      <a:fillRect/>
                    </a:stretch>
                  </pic:blipFill>
                  <pic:spPr>
                    <a:xfrm>
                      <a:off x="0" y="0"/>
                      <a:ext cx="219455" cy="182879"/>
                    </a:xfrm>
                    <a:prstGeom prst="rect">
                      <a:avLst/>
                    </a:prstGeom>
                  </pic:spPr>
                </pic:pic>
              </a:graphicData>
            </a:graphic>
          </wp:anchor>
        </w:drawing>
      </w:r>
      <w:r>
        <w:rPr/>
        <w:drawing>
          <wp:anchor distT="0" distB="0" distL="0" distR="0" allowOverlap="1" layoutInCell="1" locked="0" behindDoc="0" simplePos="0" relativeHeight="12904">
            <wp:simplePos x="0" y="0"/>
            <wp:positionH relativeFrom="page">
              <wp:posOffset>4491990</wp:posOffset>
            </wp:positionH>
            <wp:positionV relativeFrom="paragraph">
              <wp:posOffset>163024</wp:posOffset>
            </wp:positionV>
            <wp:extent cx="2702051" cy="310896"/>
            <wp:effectExtent l="0" t="0" r="0" b="0"/>
            <wp:wrapTopAndBottom/>
            <wp:docPr id="501" name="image301.png" descr=""/>
            <wp:cNvGraphicFramePr>
              <a:graphicFrameLocks noChangeAspect="1"/>
            </wp:cNvGraphicFramePr>
            <a:graphic>
              <a:graphicData uri="http://schemas.openxmlformats.org/drawingml/2006/picture">
                <pic:pic>
                  <pic:nvPicPr>
                    <pic:cNvPr id="502" name="image301.png"/>
                    <pic:cNvPicPr/>
                  </pic:nvPicPr>
                  <pic:blipFill>
                    <a:blip r:embed="rId503" cstate="print"/>
                    <a:stretch>
                      <a:fillRect/>
                    </a:stretch>
                  </pic:blipFill>
                  <pic:spPr>
                    <a:xfrm>
                      <a:off x="0" y="0"/>
                      <a:ext cx="2702051" cy="310896"/>
                    </a:xfrm>
                    <a:prstGeom prst="rect">
                      <a:avLst/>
                    </a:prstGeom>
                  </pic:spPr>
                </pic:pic>
              </a:graphicData>
            </a:graphic>
          </wp:anchor>
        </w:drawing>
      </w:r>
    </w:p>
    <w:p>
      <w:pPr>
        <w:pStyle w:val="BodyText"/>
        <w:spacing w:before="94"/>
        <w:ind w:right="676"/>
        <w:jc w:val="right"/>
      </w:pPr>
      <w:r>
        <w:rPr/>
        <w:t>(3)</w:t>
      </w:r>
    </w:p>
    <w:p>
      <w:pPr>
        <w:pStyle w:val="BodyText"/>
        <w:spacing w:before="5"/>
        <w:rPr>
          <w:sz w:val="17"/>
        </w:rPr>
      </w:pPr>
    </w:p>
    <w:p>
      <w:pPr>
        <w:pStyle w:val="BodyText"/>
        <w:spacing w:line="249" w:lineRule="auto"/>
        <w:ind w:left="410" w:right="604"/>
      </w:pPr>
      <w:r>
        <w:rPr/>
        <w:t>If we consider the multiplication </w:t>
      </w:r>
      <w:r>
        <w:rPr>
          <w:rFonts w:ascii="Verdana" w:hAnsi="Verdana"/>
        </w:rPr>
        <w:t></w:t>
      </w:r>
      <w:r>
        <w:rPr>
          <w:rFonts w:ascii="MS Mincho" w:hAnsi="MS Mincho"/>
        </w:rPr>
        <w:t>*</w:t>
      </w:r>
      <w:r>
        <w:rPr/>
        <w:t>t and equate to Z (t), we have equation 4</w:t>
      </w:r>
    </w:p>
    <w:p>
      <w:pPr>
        <w:pStyle w:val="BodyText"/>
        <w:spacing w:before="9"/>
        <w:rPr>
          <w:sz w:val="16"/>
        </w:rPr>
      </w:pPr>
    </w:p>
    <w:p>
      <w:pPr>
        <w:pStyle w:val="BodyText"/>
        <w:tabs>
          <w:tab w:pos="4413" w:val="left" w:leader="none"/>
        </w:tabs>
        <w:ind w:right="676"/>
        <w:jc w:val="right"/>
      </w:pPr>
      <w:r>
        <w:rPr>
          <w:rFonts w:ascii="Verdana" w:hAnsi="Verdana"/>
        </w:rPr>
        <w:t></w:t>
      </w:r>
      <w:r>
        <w:rPr>
          <w:rFonts w:ascii="MS Mincho" w:hAnsi="MS Mincho"/>
        </w:rPr>
        <w:t>*</w:t>
      </w:r>
      <w:r>
        <w:rPr/>
        <w:t>t</w:t>
      </w:r>
      <w:r>
        <w:rPr>
          <w:spacing w:val="-18"/>
        </w:rPr>
        <w:t> </w:t>
      </w:r>
      <w:r>
        <w:rPr/>
        <w:t>=</w:t>
      </w:r>
      <w:r>
        <w:rPr>
          <w:spacing w:val="-19"/>
        </w:rPr>
        <w:t> </w:t>
      </w:r>
      <w:r>
        <w:rPr/>
        <w:t>Z(t)</w:t>
        <w:tab/>
        <w:t>(4)</w:t>
      </w:r>
    </w:p>
    <w:p>
      <w:pPr>
        <w:pStyle w:val="BodyText"/>
        <w:rPr>
          <w:sz w:val="21"/>
        </w:rPr>
      </w:pPr>
    </w:p>
    <w:p>
      <w:pPr>
        <w:pStyle w:val="BodyText"/>
        <w:ind w:left="410" w:right="604"/>
      </w:pPr>
      <w:r>
        <w:rPr/>
        <w:t>Substituting equation 4 in equation 2, we obtain Equation 5</w:t>
      </w:r>
    </w:p>
    <w:p>
      <w:pPr>
        <w:pStyle w:val="BodyText"/>
        <w:spacing w:before="9"/>
        <w:rPr>
          <w:sz w:val="21"/>
        </w:rPr>
      </w:pPr>
      <w:r>
        <w:rPr/>
        <w:drawing>
          <wp:anchor distT="0" distB="0" distL="0" distR="0" allowOverlap="1" layoutInCell="1" locked="0" behindDoc="0" simplePos="0" relativeHeight="12928">
            <wp:simplePos x="0" y="0"/>
            <wp:positionH relativeFrom="page">
              <wp:posOffset>4507991</wp:posOffset>
            </wp:positionH>
            <wp:positionV relativeFrom="paragraph">
              <wp:posOffset>204177</wp:posOffset>
            </wp:positionV>
            <wp:extent cx="329184" cy="158496"/>
            <wp:effectExtent l="0" t="0" r="0" b="0"/>
            <wp:wrapTopAndBottom/>
            <wp:docPr id="503" name="image302.png" descr=""/>
            <wp:cNvGraphicFramePr>
              <a:graphicFrameLocks noChangeAspect="1"/>
            </wp:cNvGraphicFramePr>
            <a:graphic>
              <a:graphicData uri="http://schemas.openxmlformats.org/drawingml/2006/picture">
                <pic:pic>
                  <pic:nvPicPr>
                    <pic:cNvPr id="504" name="image302.png"/>
                    <pic:cNvPicPr/>
                  </pic:nvPicPr>
                  <pic:blipFill>
                    <a:blip r:embed="rId504" cstate="print"/>
                    <a:stretch>
                      <a:fillRect/>
                    </a:stretch>
                  </pic:blipFill>
                  <pic:spPr>
                    <a:xfrm>
                      <a:off x="0" y="0"/>
                      <a:ext cx="329184" cy="158496"/>
                    </a:xfrm>
                    <a:prstGeom prst="rect">
                      <a:avLst/>
                    </a:prstGeom>
                  </pic:spPr>
                </pic:pic>
              </a:graphicData>
            </a:graphic>
          </wp:anchor>
        </w:drawing>
      </w:r>
      <w:r>
        <w:rPr/>
        <w:drawing>
          <wp:anchor distT="0" distB="0" distL="0" distR="0" allowOverlap="1" layoutInCell="1" locked="0" behindDoc="0" simplePos="0" relativeHeight="12952">
            <wp:simplePos x="0" y="0"/>
            <wp:positionH relativeFrom="page">
              <wp:posOffset>4910328</wp:posOffset>
            </wp:positionH>
            <wp:positionV relativeFrom="paragraph">
              <wp:posOffset>263613</wp:posOffset>
            </wp:positionV>
            <wp:extent cx="118872" cy="39624"/>
            <wp:effectExtent l="0" t="0" r="0" b="0"/>
            <wp:wrapTopAndBottom/>
            <wp:docPr id="505" name="image303.png" descr=""/>
            <wp:cNvGraphicFramePr>
              <a:graphicFrameLocks noChangeAspect="1"/>
            </wp:cNvGraphicFramePr>
            <a:graphic>
              <a:graphicData uri="http://schemas.openxmlformats.org/drawingml/2006/picture">
                <pic:pic>
                  <pic:nvPicPr>
                    <pic:cNvPr id="506" name="image303.png"/>
                    <pic:cNvPicPr/>
                  </pic:nvPicPr>
                  <pic:blipFill>
                    <a:blip r:embed="rId505" cstate="print"/>
                    <a:stretch>
                      <a:fillRect/>
                    </a:stretch>
                  </pic:blipFill>
                  <pic:spPr>
                    <a:xfrm>
                      <a:off x="0" y="0"/>
                      <a:ext cx="118872" cy="39624"/>
                    </a:xfrm>
                    <a:prstGeom prst="rect">
                      <a:avLst/>
                    </a:prstGeom>
                  </pic:spPr>
                </pic:pic>
              </a:graphicData>
            </a:graphic>
          </wp:anchor>
        </w:drawing>
      </w:r>
      <w:r>
        <w:rPr/>
        <w:drawing>
          <wp:anchor distT="0" distB="0" distL="0" distR="0" allowOverlap="1" layoutInCell="1" locked="0" behindDoc="0" simplePos="0" relativeHeight="12976">
            <wp:simplePos x="0" y="0"/>
            <wp:positionH relativeFrom="page">
              <wp:posOffset>5111496</wp:posOffset>
            </wp:positionH>
            <wp:positionV relativeFrom="paragraph">
              <wp:posOffset>253707</wp:posOffset>
            </wp:positionV>
            <wp:extent cx="118872" cy="79248"/>
            <wp:effectExtent l="0" t="0" r="0" b="0"/>
            <wp:wrapTopAndBottom/>
            <wp:docPr id="507" name="image304.png" descr=""/>
            <wp:cNvGraphicFramePr>
              <a:graphicFrameLocks noChangeAspect="1"/>
            </wp:cNvGraphicFramePr>
            <a:graphic>
              <a:graphicData uri="http://schemas.openxmlformats.org/drawingml/2006/picture">
                <pic:pic>
                  <pic:nvPicPr>
                    <pic:cNvPr id="508" name="image304.png"/>
                    <pic:cNvPicPr/>
                  </pic:nvPicPr>
                  <pic:blipFill>
                    <a:blip r:embed="rId506" cstate="print"/>
                    <a:stretch>
                      <a:fillRect/>
                    </a:stretch>
                  </pic:blipFill>
                  <pic:spPr>
                    <a:xfrm>
                      <a:off x="0" y="0"/>
                      <a:ext cx="118872" cy="79248"/>
                    </a:xfrm>
                    <a:prstGeom prst="rect">
                      <a:avLst/>
                    </a:prstGeom>
                  </pic:spPr>
                </pic:pic>
              </a:graphicData>
            </a:graphic>
          </wp:anchor>
        </w:drawing>
      </w:r>
      <w:r>
        <w:rPr/>
        <w:drawing>
          <wp:anchor distT="0" distB="0" distL="0" distR="0" allowOverlap="1" layoutInCell="1" locked="0" behindDoc="0" simplePos="0" relativeHeight="13000">
            <wp:simplePos x="0" y="0"/>
            <wp:positionH relativeFrom="page">
              <wp:posOffset>5276088</wp:posOffset>
            </wp:positionH>
            <wp:positionV relativeFrom="paragraph">
              <wp:posOffset>253707</wp:posOffset>
            </wp:positionV>
            <wp:extent cx="73152" cy="49529"/>
            <wp:effectExtent l="0" t="0" r="0" b="0"/>
            <wp:wrapTopAndBottom/>
            <wp:docPr id="509" name="image305.png" descr=""/>
            <wp:cNvGraphicFramePr>
              <a:graphicFrameLocks noChangeAspect="1"/>
            </wp:cNvGraphicFramePr>
            <a:graphic>
              <a:graphicData uri="http://schemas.openxmlformats.org/drawingml/2006/picture">
                <pic:pic>
                  <pic:nvPicPr>
                    <pic:cNvPr id="510" name="image305.png"/>
                    <pic:cNvPicPr/>
                  </pic:nvPicPr>
                  <pic:blipFill>
                    <a:blip r:embed="rId507" cstate="print"/>
                    <a:stretch>
                      <a:fillRect/>
                    </a:stretch>
                  </pic:blipFill>
                  <pic:spPr>
                    <a:xfrm>
                      <a:off x="0" y="0"/>
                      <a:ext cx="73152" cy="49529"/>
                    </a:xfrm>
                    <a:prstGeom prst="rect">
                      <a:avLst/>
                    </a:prstGeom>
                  </pic:spPr>
                </pic:pic>
              </a:graphicData>
            </a:graphic>
          </wp:anchor>
        </w:drawing>
      </w:r>
      <w:r>
        <w:rPr/>
        <w:drawing>
          <wp:anchor distT="0" distB="0" distL="0" distR="0" allowOverlap="1" layoutInCell="1" locked="0" behindDoc="0" simplePos="0" relativeHeight="13024">
            <wp:simplePos x="0" y="0"/>
            <wp:positionH relativeFrom="page">
              <wp:posOffset>5431535</wp:posOffset>
            </wp:positionH>
            <wp:positionV relativeFrom="paragraph">
              <wp:posOffset>184365</wp:posOffset>
            </wp:positionV>
            <wp:extent cx="566928" cy="148590"/>
            <wp:effectExtent l="0" t="0" r="0" b="0"/>
            <wp:wrapTopAndBottom/>
            <wp:docPr id="511" name="image306.png" descr=""/>
            <wp:cNvGraphicFramePr>
              <a:graphicFrameLocks noChangeAspect="1"/>
            </wp:cNvGraphicFramePr>
            <a:graphic>
              <a:graphicData uri="http://schemas.openxmlformats.org/drawingml/2006/picture">
                <pic:pic>
                  <pic:nvPicPr>
                    <pic:cNvPr id="512" name="image306.png"/>
                    <pic:cNvPicPr/>
                  </pic:nvPicPr>
                  <pic:blipFill>
                    <a:blip r:embed="rId508" cstate="print"/>
                    <a:stretch>
                      <a:fillRect/>
                    </a:stretch>
                  </pic:blipFill>
                  <pic:spPr>
                    <a:xfrm>
                      <a:off x="0" y="0"/>
                      <a:ext cx="566928" cy="148590"/>
                    </a:xfrm>
                    <a:prstGeom prst="rect">
                      <a:avLst/>
                    </a:prstGeom>
                  </pic:spPr>
                </pic:pic>
              </a:graphicData>
            </a:graphic>
          </wp:anchor>
        </w:drawing>
      </w:r>
    </w:p>
    <w:p>
      <w:pPr>
        <w:pStyle w:val="BodyText"/>
        <w:ind w:right="677"/>
        <w:jc w:val="right"/>
      </w:pPr>
      <w:r>
        <w:rPr/>
        <w:t>(5)</w:t>
      </w:r>
    </w:p>
    <w:p>
      <w:pPr>
        <w:pStyle w:val="BodyText"/>
      </w:pPr>
    </w:p>
    <w:p>
      <w:pPr>
        <w:pStyle w:val="BodyText"/>
        <w:spacing w:before="1"/>
        <w:ind w:left="410" w:right="604"/>
      </w:pPr>
      <w:r>
        <w:rPr/>
        <w:t>Applying natural logarithm function in equation 5, the result is Equation 6</w:t>
      </w:r>
    </w:p>
    <w:p>
      <w:pPr>
        <w:pStyle w:val="BodyText"/>
        <w:spacing w:before="11"/>
        <w:rPr>
          <w:sz w:val="19"/>
        </w:rPr>
      </w:pPr>
    </w:p>
    <w:p>
      <w:pPr>
        <w:spacing w:before="0"/>
        <w:ind w:left="1027" w:right="604" w:firstLine="0"/>
        <w:jc w:val="left"/>
        <w:rPr>
          <w:i/>
          <w:sz w:val="20"/>
        </w:rPr>
      </w:pPr>
      <w:r>
        <w:rPr>
          <w:i/>
          <w:sz w:val="20"/>
        </w:rPr>
        <w:t>Ln F(t) = Ln α + (–β*Z(t))</w:t>
      </w:r>
    </w:p>
    <w:p>
      <w:pPr>
        <w:pStyle w:val="BodyText"/>
        <w:ind w:right="677"/>
        <w:jc w:val="right"/>
      </w:pPr>
      <w:r>
        <w:rPr/>
        <w:t>(6)</w:t>
      </w:r>
    </w:p>
    <w:p>
      <w:pPr>
        <w:pStyle w:val="BodyText"/>
        <w:spacing w:before="11"/>
        <w:rPr>
          <w:sz w:val="19"/>
        </w:rPr>
      </w:pPr>
    </w:p>
    <w:p>
      <w:pPr>
        <w:pStyle w:val="BodyText"/>
        <w:ind w:left="410" w:right="604"/>
      </w:pPr>
      <w:r>
        <w:rPr/>
        <w:t>Developing a regression analysis with the data obtained and applying equation 6, we have the results shown in Table 2:</w:t>
      </w:r>
    </w:p>
    <w:p>
      <w:pPr>
        <w:pStyle w:val="BodyText"/>
      </w:pPr>
    </w:p>
    <w:p>
      <w:pPr>
        <w:pStyle w:val="BodyText"/>
        <w:spacing w:before="9"/>
        <w:rPr>
          <w:sz w:val="19"/>
        </w:rPr>
      </w:pPr>
    </w:p>
    <w:p>
      <w:pPr>
        <w:spacing w:before="1"/>
        <w:ind w:left="1346" w:right="604" w:firstLine="0"/>
        <w:jc w:val="left"/>
        <w:rPr>
          <w:sz w:val="18"/>
        </w:rPr>
      </w:pPr>
      <w:r>
        <w:rPr>
          <w:sz w:val="18"/>
        </w:rPr>
        <w:t>Table 2 Regression analysis with natural logarithm.</w:t>
      </w:r>
    </w:p>
    <w:p>
      <w:pPr>
        <w:spacing w:after="0"/>
        <w:jc w:val="left"/>
        <w:rPr>
          <w:sz w:val="18"/>
        </w:rPr>
        <w:sectPr>
          <w:type w:val="continuous"/>
          <w:pgSz w:w="12240" w:h="15840"/>
          <w:pgMar w:top="1500" w:bottom="280" w:left="440" w:right="220"/>
          <w:cols w:num="2" w:equalWidth="0">
            <w:col w:w="5331" w:space="294"/>
            <w:col w:w="5955"/>
          </w:cols>
        </w:sectPr>
      </w:pPr>
    </w:p>
    <w:p>
      <w:pPr>
        <w:pStyle w:val="BodyText"/>
        <w:spacing w:before="4"/>
        <w:rPr>
          <w:sz w:val="16"/>
        </w:rPr>
      </w:pPr>
    </w:p>
    <w:p>
      <w:pPr>
        <w:pStyle w:val="BodyText"/>
        <w:tabs>
          <w:tab w:pos="5955" w:val="left" w:leader="none"/>
        </w:tabs>
        <w:ind w:left="375"/>
      </w:pPr>
      <w:r>
        <w:rPr>
          <w:position w:val="51"/>
        </w:rPr>
        <w:pict>
          <v:shape style="width:230.3pt;height:49.8pt;mso-position-horizontal-relative:char;mso-position-vertical-relative:line" type="#_x0000_t202" filled="false" stroked="false">
            <w10:anchorlock/>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61"/>
                    <w:gridCol w:w="1026"/>
                    <w:gridCol w:w="1080"/>
                    <w:gridCol w:w="732"/>
                    <w:gridCol w:w="707"/>
                  </w:tblGrid>
                  <w:tr>
                    <w:trPr>
                      <w:trHeight w:val="192" w:hRule="exact"/>
                    </w:trPr>
                    <w:tc>
                      <w:tcPr>
                        <w:tcW w:w="1061" w:type="dxa"/>
                      </w:tcPr>
                      <w:p>
                        <w:pPr>
                          <w:pStyle w:val="TableParagraph"/>
                          <w:spacing w:line="186" w:lineRule="exact"/>
                          <w:ind w:left="35"/>
                          <w:rPr>
                            <w:rFonts w:ascii="Courier New"/>
                            <w:sz w:val="18"/>
                          </w:rPr>
                        </w:pPr>
                        <w:r>
                          <w:rPr>
                            <w:rFonts w:ascii="Courier New"/>
                            <w:sz w:val="18"/>
                          </w:rPr>
                          <w:t>Predictor</w:t>
                        </w:r>
                      </w:p>
                    </w:tc>
                    <w:tc>
                      <w:tcPr>
                        <w:tcW w:w="1026" w:type="dxa"/>
                      </w:tcPr>
                      <w:p>
                        <w:pPr>
                          <w:pStyle w:val="TableParagraph"/>
                          <w:spacing w:line="186" w:lineRule="exact"/>
                          <w:ind w:right="215"/>
                          <w:jc w:val="right"/>
                          <w:rPr>
                            <w:rFonts w:ascii="Courier New"/>
                            <w:sz w:val="18"/>
                          </w:rPr>
                        </w:pPr>
                        <w:r>
                          <w:rPr>
                            <w:rFonts w:ascii="Courier New"/>
                            <w:sz w:val="18"/>
                          </w:rPr>
                          <w:t>Coef</w:t>
                        </w:r>
                      </w:p>
                    </w:tc>
                    <w:tc>
                      <w:tcPr>
                        <w:tcW w:w="1080" w:type="dxa"/>
                      </w:tcPr>
                      <w:p>
                        <w:pPr>
                          <w:pStyle w:val="TableParagraph"/>
                          <w:spacing w:line="186" w:lineRule="exact"/>
                          <w:ind w:left="107" w:right="-11"/>
                          <w:rPr>
                            <w:rFonts w:ascii="Courier New"/>
                            <w:sz w:val="18"/>
                          </w:rPr>
                        </w:pPr>
                        <w:r>
                          <w:rPr>
                            <w:rFonts w:ascii="Courier New"/>
                            <w:sz w:val="18"/>
                          </w:rPr>
                          <w:t>SE Coef</w:t>
                        </w:r>
                      </w:p>
                    </w:tc>
                    <w:tc>
                      <w:tcPr>
                        <w:tcW w:w="732" w:type="dxa"/>
                      </w:tcPr>
                      <w:p>
                        <w:pPr>
                          <w:pStyle w:val="TableParagraph"/>
                          <w:spacing w:line="186" w:lineRule="exact"/>
                          <w:ind w:right="189"/>
                          <w:jc w:val="right"/>
                          <w:rPr>
                            <w:rFonts w:ascii="Courier New"/>
                            <w:sz w:val="18"/>
                          </w:rPr>
                        </w:pPr>
                        <w:r>
                          <w:rPr>
                            <w:rFonts w:ascii="Courier New"/>
                            <w:sz w:val="18"/>
                          </w:rPr>
                          <w:t>T</w:t>
                        </w:r>
                      </w:p>
                    </w:tc>
                    <w:tc>
                      <w:tcPr>
                        <w:tcW w:w="707" w:type="dxa"/>
                      </w:tcPr>
                      <w:p>
                        <w:pPr>
                          <w:pStyle w:val="TableParagraph"/>
                          <w:spacing w:line="186" w:lineRule="exact"/>
                          <w:ind w:right="142"/>
                          <w:jc w:val="right"/>
                          <w:rPr>
                            <w:rFonts w:ascii="Courier New"/>
                            <w:sz w:val="18"/>
                          </w:rPr>
                        </w:pPr>
                        <w:r>
                          <w:rPr>
                            <w:rFonts w:ascii="Courier New"/>
                            <w:sz w:val="18"/>
                          </w:rPr>
                          <w:t>P</w:t>
                        </w:r>
                      </w:p>
                    </w:tc>
                  </w:tr>
                  <w:tr>
                    <w:trPr>
                      <w:trHeight w:val="204" w:hRule="exact"/>
                    </w:trPr>
                    <w:tc>
                      <w:tcPr>
                        <w:tcW w:w="1061" w:type="dxa"/>
                      </w:tcPr>
                      <w:p>
                        <w:pPr>
                          <w:pStyle w:val="TableParagraph"/>
                          <w:spacing w:line="198" w:lineRule="exact"/>
                          <w:ind w:left="35"/>
                          <w:rPr>
                            <w:rFonts w:ascii="Courier New"/>
                            <w:sz w:val="18"/>
                          </w:rPr>
                        </w:pPr>
                        <w:r>
                          <w:rPr>
                            <w:rFonts w:ascii="Courier New"/>
                            <w:sz w:val="18"/>
                          </w:rPr>
                          <w:t>Constant</w:t>
                        </w:r>
                      </w:p>
                    </w:tc>
                    <w:tc>
                      <w:tcPr>
                        <w:tcW w:w="1026" w:type="dxa"/>
                      </w:tcPr>
                      <w:p>
                        <w:pPr>
                          <w:pStyle w:val="TableParagraph"/>
                          <w:spacing w:line="198" w:lineRule="exact"/>
                          <w:ind w:right="215"/>
                          <w:jc w:val="right"/>
                          <w:rPr>
                            <w:rFonts w:ascii="Courier New"/>
                            <w:sz w:val="18"/>
                          </w:rPr>
                        </w:pPr>
                        <w:r>
                          <w:rPr>
                            <w:rFonts w:ascii="Courier New"/>
                            <w:sz w:val="18"/>
                          </w:rPr>
                          <w:t>-60.471</w:t>
                        </w:r>
                      </w:p>
                    </w:tc>
                    <w:tc>
                      <w:tcPr>
                        <w:tcW w:w="1080" w:type="dxa"/>
                      </w:tcPr>
                      <w:p>
                        <w:pPr>
                          <w:pStyle w:val="TableParagraph"/>
                          <w:spacing w:line="198" w:lineRule="exact"/>
                          <w:ind w:left="215" w:right="-11"/>
                          <w:rPr>
                            <w:rFonts w:ascii="Courier New"/>
                            <w:sz w:val="18"/>
                          </w:rPr>
                        </w:pPr>
                        <w:r>
                          <w:rPr>
                            <w:rFonts w:ascii="Courier New"/>
                            <w:sz w:val="18"/>
                          </w:rPr>
                          <w:t>7.626</w:t>
                        </w:r>
                      </w:p>
                    </w:tc>
                    <w:tc>
                      <w:tcPr>
                        <w:tcW w:w="732" w:type="dxa"/>
                      </w:tcPr>
                      <w:p>
                        <w:pPr>
                          <w:pStyle w:val="TableParagraph"/>
                          <w:spacing w:line="198" w:lineRule="exact"/>
                          <w:ind w:right="83"/>
                          <w:jc w:val="right"/>
                          <w:rPr>
                            <w:rFonts w:ascii="Courier New"/>
                            <w:sz w:val="18"/>
                          </w:rPr>
                        </w:pPr>
                        <w:r>
                          <w:rPr>
                            <w:rFonts w:ascii="Courier New"/>
                            <w:sz w:val="18"/>
                          </w:rPr>
                          <w:t>-7.93</w:t>
                        </w:r>
                      </w:p>
                    </w:tc>
                    <w:tc>
                      <w:tcPr>
                        <w:tcW w:w="707" w:type="dxa"/>
                      </w:tcPr>
                      <w:p>
                        <w:pPr>
                          <w:pStyle w:val="TableParagraph"/>
                          <w:spacing w:line="198" w:lineRule="exact"/>
                          <w:ind w:right="33"/>
                          <w:jc w:val="right"/>
                          <w:rPr>
                            <w:rFonts w:ascii="Courier New"/>
                            <w:sz w:val="18"/>
                          </w:rPr>
                        </w:pPr>
                        <w:r>
                          <w:rPr>
                            <w:rFonts w:ascii="Courier New"/>
                            <w:sz w:val="18"/>
                          </w:rPr>
                          <w:t>0.000</w:t>
                        </w:r>
                      </w:p>
                    </w:tc>
                  </w:tr>
                  <w:tr>
                    <w:trPr>
                      <w:trHeight w:val="204" w:hRule="exact"/>
                    </w:trPr>
                    <w:tc>
                      <w:tcPr>
                        <w:tcW w:w="1061" w:type="dxa"/>
                      </w:tcPr>
                      <w:p>
                        <w:pPr>
                          <w:pStyle w:val="TableParagraph"/>
                          <w:spacing w:line="186" w:lineRule="exact"/>
                          <w:ind w:left="35"/>
                          <w:rPr>
                            <w:rFonts w:ascii="Courier New"/>
                            <w:sz w:val="18"/>
                          </w:rPr>
                        </w:pPr>
                        <w:r>
                          <w:rPr>
                            <w:rFonts w:ascii="Courier New"/>
                            <w:sz w:val="18"/>
                          </w:rPr>
                          <w:t>Age</w:t>
                        </w:r>
                      </w:p>
                    </w:tc>
                    <w:tc>
                      <w:tcPr>
                        <w:tcW w:w="1026" w:type="dxa"/>
                      </w:tcPr>
                      <w:p>
                        <w:pPr>
                          <w:pStyle w:val="TableParagraph"/>
                          <w:spacing w:line="186" w:lineRule="exact"/>
                          <w:ind w:right="107"/>
                          <w:jc w:val="right"/>
                          <w:rPr>
                            <w:rFonts w:ascii="Courier New"/>
                            <w:sz w:val="18"/>
                          </w:rPr>
                        </w:pPr>
                        <w:r>
                          <w:rPr>
                            <w:rFonts w:ascii="Courier New"/>
                            <w:sz w:val="18"/>
                          </w:rPr>
                          <w:t>0.14798</w:t>
                        </w:r>
                      </w:p>
                    </w:tc>
                    <w:tc>
                      <w:tcPr>
                        <w:tcW w:w="1080" w:type="dxa"/>
                      </w:tcPr>
                      <w:p>
                        <w:pPr>
                          <w:pStyle w:val="TableParagraph"/>
                          <w:spacing w:line="186" w:lineRule="exact"/>
                          <w:ind w:left="215" w:right="-11"/>
                          <w:rPr>
                            <w:rFonts w:ascii="Courier New"/>
                            <w:sz w:val="18"/>
                          </w:rPr>
                        </w:pPr>
                        <w:r>
                          <w:rPr>
                            <w:rFonts w:ascii="Courier New"/>
                            <w:sz w:val="18"/>
                          </w:rPr>
                          <w:t>0.06697</w:t>
                        </w:r>
                      </w:p>
                    </w:tc>
                    <w:tc>
                      <w:tcPr>
                        <w:tcW w:w="732" w:type="dxa"/>
                      </w:tcPr>
                      <w:p>
                        <w:pPr>
                          <w:pStyle w:val="TableParagraph"/>
                          <w:spacing w:line="186" w:lineRule="exact"/>
                          <w:ind w:right="83"/>
                          <w:jc w:val="right"/>
                          <w:rPr>
                            <w:rFonts w:ascii="Courier New"/>
                            <w:sz w:val="18"/>
                          </w:rPr>
                        </w:pPr>
                        <w:r>
                          <w:rPr>
                            <w:rFonts w:ascii="Courier New"/>
                            <w:sz w:val="18"/>
                          </w:rPr>
                          <w:t>2.21</w:t>
                        </w:r>
                      </w:p>
                    </w:tc>
                    <w:tc>
                      <w:tcPr>
                        <w:tcW w:w="707" w:type="dxa"/>
                      </w:tcPr>
                      <w:p>
                        <w:pPr>
                          <w:pStyle w:val="TableParagraph"/>
                          <w:spacing w:line="186" w:lineRule="exact"/>
                          <w:ind w:right="33"/>
                          <w:jc w:val="right"/>
                          <w:rPr>
                            <w:rFonts w:ascii="Courier New"/>
                            <w:sz w:val="18"/>
                          </w:rPr>
                        </w:pPr>
                        <w:r>
                          <w:rPr>
                            <w:rFonts w:ascii="Courier New"/>
                            <w:sz w:val="18"/>
                          </w:rPr>
                          <w:t>0.028</w:t>
                        </w:r>
                      </w:p>
                    </w:tc>
                  </w:tr>
                  <w:tr>
                    <w:trPr>
                      <w:trHeight w:val="204" w:hRule="exact"/>
                    </w:trPr>
                    <w:tc>
                      <w:tcPr>
                        <w:tcW w:w="1061" w:type="dxa"/>
                      </w:tcPr>
                      <w:p>
                        <w:pPr>
                          <w:pStyle w:val="TableParagraph"/>
                          <w:spacing w:line="198" w:lineRule="exact"/>
                          <w:ind w:left="35"/>
                          <w:rPr>
                            <w:rFonts w:ascii="Courier New"/>
                            <w:sz w:val="18"/>
                          </w:rPr>
                        </w:pPr>
                        <w:r>
                          <w:rPr>
                            <w:rFonts w:ascii="Courier New"/>
                            <w:sz w:val="18"/>
                          </w:rPr>
                          <w:t>Height</w:t>
                        </w:r>
                      </w:p>
                    </w:tc>
                    <w:tc>
                      <w:tcPr>
                        <w:tcW w:w="1026" w:type="dxa"/>
                      </w:tcPr>
                      <w:p>
                        <w:pPr>
                          <w:pStyle w:val="TableParagraph"/>
                          <w:spacing w:line="198" w:lineRule="exact"/>
                          <w:ind w:right="154"/>
                          <w:jc w:val="right"/>
                          <w:rPr>
                            <w:rFonts w:ascii="Courier New"/>
                            <w:sz w:val="18"/>
                          </w:rPr>
                        </w:pPr>
                        <w:r>
                          <w:rPr>
                            <w:rFonts w:ascii="Courier New"/>
                            <w:sz w:val="18"/>
                          </w:rPr>
                          <w:t>0.12419</w:t>
                        </w:r>
                      </w:p>
                    </w:tc>
                    <w:tc>
                      <w:tcPr>
                        <w:tcW w:w="1080" w:type="dxa"/>
                      </w:tcPr>
                      <w:p>
                        <w:pPr>
                          <w:pStyle w:val="TableParagraph"/>
                          <w:spacing w:line="198" w:lineRule="exact"/>
                          <w:ind w:left="167" w:right="-11"/>
                          <w:rPr>
                            <w:rFonts w:ascii="Courier New"/>
                            <w:sz w:val="18"/>
                          </w:rPr>
                        </w:pPr>
                        <w:r>
                          <w:rPr>
                            <w:rFonts w:ascii="Courier New"/>
                            <w:sz w:val="18"/>
                          </w:rPr>
                          <w:t>0.04953</w:t>
                        </w:r>
                      </w:p>
                    </w:tc>
                    <w:tc>
                      <w:tcPr>
                        <w:tcW w:w="732" w:type="dxa"/>
                      </w:tcPr>
                      <w:p>
                        <w:pPr>
                          <w:pStyle w:val="TableParagraph"/>
                          <w:spacing w:line="198" w:lineRule="exact"/>
                          <w:ind w:right="130"/>
                          <w:jc w:val="right"/>
                          <w:rPr>
                            <w:rFonts w:ascii="Courier New"/>
                            <w:sz w:val="18"/>
                          </w:rPr>
                        </w:pPr>
                        <w:r>
                          <w:rPr>
                            <w:rFonts w:ascii="Courier New"/>
                            <w:sz w:val="18"/>
                          </w:rPr>
                          <w:t>2.51</w:t>
                        </w:r>
                      </w:p>
                    </w:tc>
                    <w:tc>
                      <w:tcPr>
                        <w:tcW w:w="707" w:type="dxa"/>
                      </w:tcPr>
                      <w:p>
                        <w:pPr>
                          <w:pStyle w:val="TableParagraph"/>
                          <w:spacing w:line="198" w:lineRule="exact"/>
                          <w:ind w:right="81"/>
                          <w:jc w:val="right"/>
                          <w:rPr>
                            <w:rFonts w:ascii="Courier New"/>
                            <w:sz w:val="18"/>
                          </w:rPr>
                        </w:pPr>
                        <w:r>
                          <w:rPr>
                            <w:rFonts w:ascii="Courier New"/>
                            <w:sz w:val="18"/>
                          </w:rPr>
                          <w:t>0.012</w:t>
                        </w:r>
                      </w:p>
                    </w:tc>
                  </w:tr>
                  <w:tr>
                    <w:trPr>
                      <w:trHeight w:val="192" w:hRule="exact"/>
                    </w:trPr>
                    <w:tc>
                      <w:tcPr>
                        <w:tcW w:w="1061" w:type="dxa"/>
                      </w:tcPr>
                      <w:p>
                        <w:pPr>
                          <w:pStyle w:val="TableParagraph"/>
                          <w:spacing w:line="198" w:lineRule="exact"/>
                          <w:ind w:left="35"/>
                          <w:rPr>
                            <w:rFonts w:ascii="Courier New"/>
                            <w:sz w:val="18"/>
                          </w:rPr>
                        </w:pPr>
                        <w:r>
                          <w:rPr>
                            <w:rFonts w:ascii="Courier New"/>
                            <w:sz w:val="18"/>
                          </w:rPr>
                          <w:t>Width of</w:t>
                        </w:r>
                      </w:p>
                    </w:tc>
                    <w:tc>
                      <w:tcPr>
                        <w:tcW w:w="1026" w:type="dxa"/>
                      </w:tcPr>
                      <w:p>
                        <w:pPr/>
                      </w:p>
                    </w:tc>
                    <w:tc>
                      <w:tcPr>
                        <w:tcW w:w="1080" w:type="dxa"/>
                      </w:tcPr>
                      <w:p>
                        <w:pPr/>
                      </w:p>
                    </w:tc>
                    <w:tc>
                      <w:tcPr>
                        <w:tcW w:w="732" w:type="dxa"/>
                      </w:tcPr>
                      <w:p>
                        <w:pPr/>
                      </w:p>
                    </w:tc>
                    <w:tc>
                      <w:tcPr>
                        <w:tcW w:w="707" w:type="dxa"/>
                      </w:tcPr>
                      <w:p>
                        <w:pPr/>
                      </w:p>
                    </w:tc>
                  </w:tr>
                </w:tbl>
                <w:p>
                  <w:pPr>
                    <w:pStyle w:val="BodyText"/>
                  </w:pPr>
                </w:p>
              </w:txbxContent>
            </v:textbox>
          </v:shape>
        </w:pict>
      </w:r>
      <w:r>
        <w:rPr>
          <w:position w:val="51"/>
        </w:rPr>
      </w:r>
      <w:r>
        <w:rPr>
          <w:position w:val="51"/>
        </w:rPr>
        <w:tab/>
      </w:r>
      <w:r>
        <w:rPr/>
        <w:pict>
          <v:group style="width:237.1pt;height:127.35pt;mso-position-horizontal-relative:char;mso-position-vertical-relative:line" coordorigin="0,0" coordsize="4742,2547">
            <v:rect style="position:absolute;left:8;top:8;width:4727;height:2532" filled="false" stroked="true" strokeweight=".75pt" strokecolor="#000000"/>
            <v:shape style="position:absolute;left:79;top:71;width:4644;height:1045" type="#_x0000_t202" filled="false" stroked="false">
              <v:textbox inset="0,0,0,0">
                <w:txbxContent>
                  <w:p>
                    <w:pPr>
                      <w:spacing w:line="205" w:lineRule="exact" w:before="0"/>
                      <w:ind w:left="0" w:right="-14" w:firstLine="0"/>
                      <w:jc w:val="left"/>
                      <w:rPr>
                        <w:b/>
                        <w:sz w:val="20"/>
                      </w:rPr>
                    </w:pPr>
                    <w:r>
                      <w:rPr>
                        <w:b/>
                        <w:sz w:val="20"/>
                      </w:rPr>
                      <w:t>Regression analysis: NL OF STRENGTH vs.</w:t>
                    </w:r>
                  </w:p>
                  <w:p>
                    <w:pPr>
                      <w:spacing w:before="0"/>
                      <w:ind w:left="0" w:right="-14" w:firstLine="0"/>
                      <w:jc w:val="left"/>
                      <w:rPr>
                        <w:b/>
                        <w:sz w:val="20"/>
                      </w:rPr>
                    </w:pPr>
                    <w:r>
                      <w:rPr>
                        <w:b/>
                        <w:sz w:val="20"/>
                      </w:rPr>
                      <w:t>STRENGTH*TIME</w:t>
                    </w:r>
                  </w:p>
                  <w:p>
                    <w:pPr>
                      <w:spacing w:line="240" w:lineRule="auto" w:before="0"/>
                      <w:rPr>
                        <w:sz w:val="18"/>
                      </w:rPr>
                    </w:pPr>
                  </w:p>
                  <w:p>
                    <w:pPr>
                      <w:spacing w:before="0"/>
                      <w:ind w:left="0" w:right="-14" w:firstLine="0"/>
                      <w:jc w:val="left"/>
                      <w:rPr>
                        <w:rFonts w:ascii="Courier New"/>
                        <w:sz w:val="18"/>
                      </w:rPr>
                    </w:pPr>
                    <w:r>
                      <w:rPr>
                        <w:rFonts w:ascii="Courier New"/>
                        <w:sz w:val="18"/>
                      </w:rPr>
                      <w:t>Regression equation NL OF STRENGTH = 3.97</w:t>
                    </w:r>
                    <w:r>
                      <w:rPr>
                        <w:rFonts w:ascii="Courier New"/>
                        <w:spacing w:val="-7"/>
                        <w:sz w:val="18"/>
                      </w:rPr>
                      <w:t> </w:t>
                    </w:r>
                    <w:r>
                      <w:rPr>
                        <w:rFonts w:ascii="Courier New"/>
                        <w:sz w:val="18"/>
                      </w:rPr>
                      <w:t>- 0.000238</w:t>
                    </w:r>
                    <w:r>
                      <w:rPr>
                        <w:rFonts w:ascii="Courier New"/>
                        <w:spacing w:val="-1"/>
                        <w:sz w:val="18"/>
                      </w:rPr>
                      <w:t> </w:t>
                    </w:r>
                    <w:r>
                      <w:rPr>
                        <w:rFonts w:ascii="Courier New"/>
                        <w:sz w:val="18"/>
                      </w:rPr>
                      <w:t>STRENGTH*TIME</w:t>
                    </w:r>
                  </w:p>
                </w:txbxContent>
              </v:textbox>
              <w10:wrap type="none"/>
            </v:shape>
            <v:shape style="position:absolute;left:79;top:1547;width:1836;height:792" type="#_x0000_t202" filled="false" stroked="false">
              <v:textbox inset="0,0,0,0">
                <w:txbxContent>
                  <w:p>
                    <w:pPr>
                      <w:tabs>
                        <w:tab w:pos="1187" w:val="left" w:leader="none"/>
                      </w:tabs>
                      <w:spacing w:line="186" w:lineRule="exact" w:before="0"/>
                      <w:ind w:left="0" w:right="0" w:firstLine="0"/>
                      <w:jc w:val="left"/>
                      <w:rPr>
                        <w:rFonts w:ascii="Courier New"/>
                        <w:sz w:val="18"/>
                      </w:rPr>
                    </w:pPr>
                    <w:r>
                      <w:rPr>
                        <w:rFonts w:ascii="Courier New"/>
                        <w:sz w:val="18"/>
                      </w:rPr>
                      <w:t>Predictor</w:t>
                      <w:tab/>
                      <w:t>Coef</w:t>
                    </w:r>
                  </w:p>
                  <w:p>
                    <w:pPr>
                      <w:spacing w:before="0"/>
                      <w:ind w:left="0" w:right="87" w:firstLine="0"/>
                      <w:jc w:val="left"/>
                      <w:rPr>
                        <w:rFonts w:ascii="Courier New"/>
                        <w:sz w:val="18"/>
                      </w:rPr>
                    </w:pPr>
                    <w:r>
                      <w:rPr>
                        <w:rFonts w:ascii="Courier New"/>
                        <w:sz w:val="18"/>
                      </w:rPr>
                      <w:t>Constant 3.96792 STRENGTH*</w:t>
                    </w:r>
                  </w:p>
                  <w:p>
                    <w:pPr>
                      <w:tabs>
                        <w:tab w:pos="647" w:val="left" w:leader="none"/>
                      </w:tabs>
                      <w:spacing w:line="198" w:lineRule="exact" w:before="0"/>
                      <w:ind w:left="0" w:right="0" w:firstLine="0"/>
                      <w:jc w:val="left"/>
                      <w:rPr>
                        <w:rFonts w:ascii="Courier New"/>
                        <w:sz w:val="18"/>
                      </w:rPr>
                    </w:pPr>
                    <w:r>
                      <w:rPr>
                        <w:rFonts w:ascii="Courier New"/>
                        <w:sz w:val="18"/>
                      </w:rPr>
                      <w:t>TIME</w:t>
                      <w:tab/>
                      <w:t>-0.00023792</w:t>
                    </w:r>
                  </w:p>
                </w:txbxContent>
              </v:textbox>
              <w10:wrap type="none"/>
            </v:shape>
            <v:shape style="position:absolute;left:2239;top:1547;width:864;height:384" type="#_x0000_t202" filled="false" stroked="false">
              <v:textbox inset="0,0,0,0">
                <w:txbxContent>
                  <w:p>
                    <w:pPr>
                      <w:spacing w:line="186" w:lineRule="exact" w:before="0"/>
                      <w:ind w:left="0" w:right="-20" w:firstLine="0"/>
                      <w:jc w:val="left"/>
                      <w:rPr>
                        <w:rFonts w:ascii="Courier New"/>
                        <w:sz w:val="18"/>
                      </w:rPr>
                    </w:pPr>
                    <w:r>
                      <w:rPr>
                        <w:rFonts w:ascii="Courier New"/>
                        <w:sz w:val="18"/>
                      </w:rPr>
                      <w:t>SE Coef</w:t>
                    </w:r>
                  </w:p>
                  <w:p>
                    <w:pPr>
                      <w:spacing w:line="198" w:lineRule="exact" w:before="0"/>
                      <w:ind w:left="107" w:right="-20" w:firstLine="0"/>
                      <w:jc w:val="left"/>
                      <w:rPr>
                        <w:rFonts w:ascii="Courier New"/>
                        <w:sz w:val="18"/>
                      </w:rPr>
                    </w:pPr>
                    <w:r>
                      <w:rPr>
                        <w:rFonts w:ascii="Courier New"/>
                        <w:sz w:val="18"/>
                      </w:rPr>
                      <w:t>0.01377</w:t>
                    </w:r>
                  </w:p>
                </w:txbxContent>
              </v:textbox>
              <w10:wrap type="none"/>
            </v:shape>
            <v:shape style="position:absolute;left:3319;top:1547;width:1296;height:384" type="#_x0000_t202" filled="false" stroked="false">
              <v:textbox inset="0,0,0,0">
                <w:txbxContent>
                  <w:p>
                    <w:pPr>
                      <w:tabs>
                        <w:tab w:pos="1187" w:val="left" w:leader="none"/>
                      </w:tabs>
                      <w:spacing w:line="186" w:lineRule="exact" w:before="0"/>
                      <w:ind w:left="431" w:right="0" w:firstLine="0"/>
                      <w:jc w:val="left"/>
                      <w:rPr>
                        <w:rFonts w:ascii="Courier New"/>
                        <w:sz w:val="18"/>
                      </w:rPr>
                    </w:pPr>
                    <w:r>
                      <w:rPr>
                        <w:rFonts w:ascii="Courier New"/>
                        <w:sz w:val="18"/>
                      </w:rPr>
                      <w:t>T</w:t>
                      <w:tab/>
                      <w:t>P</w:t>
                    </w:r>
                  </w:p>
                  <w:p>
                    <w:pPr>
                      <w:tabs>
                        <w:tab w:pos="863" w:val="left" w:leader="none"/>
                      </w:tabs>
                      <w:spacing w:line="198" w:lineRule="exact" w:before="0"/>
                      <w:ind w:left="0" w:right="0" w:firstLine="0"/>
                      <w:jc w:val="left"/>
                      <w:rPr>
                        <w:rFonts w:ascii="Courier New"/>
                        <w:sz w:val="18"/>
                      </w:rPr>
                    </w:pPr>
                    <w:r>
                      <w:rPr>
                        <w:rFonts w:ascii="Courier New"/>
                        <w:sz w:val="18"/>
                      </w:rPr>
                      <w:t>288.19</w:t>
                      <w:tab/>
                      <w:t>0.00</w:t>
                    </w:r>
                  </w:p>
                </w:txbxContent>
              </v:textbox>
              <w10:wrap type="none"/>
            </v:shape>
            <v:shape style="position:absolute;left:2131;top:2159;width:1080;height:180" type="#_x0000_t202" filled="false" stroked="false">
              <v:textbox inset="0,0,0,0">
                <w:txbxContent>
                  <w:p>
                    <w:pPr>
                      <w:spacing w:line="180" w:lineRule="exact" w:before="0"/>
                      <w:ind w:left="0" w:right="-11" w:firstLine="0"/>
                      <w:jc w:val="left"/>
                      <w:rPr>
                        <w:rFonts w:ascii="Courier New"/>
                        <w:sz w:val="18"/>
                      </w:rPr>
                    </w:pPr>
                    <w:r>
                      <w:rPr>
                        <w:rFonts w:ascii="Courier New"/>
                        <w:spacing w:val="-1"/>
                        <w:sz w:val="18"/>
                      </w:rPr>
                      <w:t>0.00006185</w:t>
                    </w:r>
                  </w:p>
                </w:txbxContent>
              </v:textbox>
              <w10:wrap type="none"/>
            </v:shape>
            <v:shape style="position:absolute;left:3427;top:2159;width:540;height:180" type="#_x0000_t202" filled="false" stroked="false">
              <v:textbox inset="0,0,0,0">
                <w:txbxContent>
                  <w:p>
                    <w:pPr>
                      <w:spacing w:line="180" w:lineRule="exact" w:before="0"/>
                      <w:ind w:left="0" w:right="-16" w:firstLine="0"/>
                      <w:jc w:val="left"/>
                      <w:rPr>
                        <w:rFonts w:ascii="Courier New"/>
                        <w:sz w:val="18"/>
                      </w:rPr>
                    </w:pPr>
                    <w:r>
                      <w:rPr>
                        <w:rFonts w:ascii="Courier New"/>
                        <w:spacing w:val="-1"/>
                        <w:sz w:val="18"/>
                      </w:rPr>
                      <w:t>-3.85</w:t>
                    </w:r>
                  </w:p>
                </w:txbxContent>
              </v:textbox>
              <w10:wrap type="none"/>
            </v:shape>
            <v:shape style="position:absolute;left:4183;top:2159;width:432;height:180" type="#_x0000_t202" filled="false" stroked="false">
              <v:textbox inset="0,0,0,0">
                <w:txbxContent>
                  <w:p>
                    <w:pPr>
                      <w:spacing w:line="180" w:lineRule="exact" w:before="0"/>
                      <w:ind w:left="0" w:right="-17" w:firstLine="0"/>
                      <w:jc w:val="left"/>
                      <w:rPr>
                        <w:rFonts w:ascii="Courier New"/>
                        <w:sz w:val="18"/>
                      </w:rPr>
                    </w:pPr>
                    <w:r>
                      <w:rPr>
                        <w:rFonts w:ascii="Courier New"/>
                        <w:spacing w:val="-1"/>
                        <w:sz w:val="18"/>
                      </w:rPr>
                      <w:t>0.00</w:t>
                    </w:r>
                  </w:p>
                </w:txbxContent>
              </v:textbox>
              <w10:wrap type="none"/>
            </v:shape>
          </v:group>
        </w:pict>
      </w:r>
      <w:r>
        <w:rPr/>
      </w:r>
    </w:p>
    <w:p>
      <w:pPr>
        <w:pStyle w:val="BodyText"/>
        <w:spacing w:before="1"/>
        <w:rPr>
          <w:sz w:val="6"/>
        </w:rPr>
      </w:pPr>
    </w:p>
    <w:p>
      <w:pPr>
        <w:spacing w:after="0"/>
        <w:rPr>
          <w:sz w:val="6"/>
        </w:rPr>
        <w:sectPr>
          <w:type w:val="continuous"/>
          <w:pgSz w:w="12240" w:h="15840"/>
          <w:pgMar w:top="1500" w:bottom="280" w:left="440" w:right="220"/>
        </w:sectPr>
      </w:pPr>
    </w:p>
    <w:p>
      <w:pPr>
        <w:pStyle w:val="BodyText"/>
        <w:spacing w:before="58"/>
        <w:ind w:left="410"/>
        <w:jc w:val="both"/>
      </w:pPr>
      <w:r>
        <w:rPr/>
        <w:t>From this analysis we obtain the corresponding regression equation:</w:t>
      </w:r>
    </w:p>
    <w:p>
      <w:pPr>
        <w:pStyle w:val="BodyText"/>
        <w:spacing w:before="11"/>
        <w:rPr>
          <w:sz w:val="19"/>
        </w:rPr>
      </w:pPr>
    </w:p>
    <w:p>
      <w:pPr>
        <w:pStyle w:val="BodyText"/>
        <w:ind w:left="552" w:right="-1"/>
        <w:rPr>
          <w:rFonts w:ascii="Arial" w:hAnsi="Arial"/>
        </w:rPr>
      </w:pPr>
      <w:r>
        <w:rPr>
          <w:rFonts w:ascii="Verdana" w:hAnsi="Verdana"/>
        </w:rPr>
        <w:t></w:t>
      </w:r>
      <w:r>
        <w:rPr>
          <w:rFonts w:ascii="Verdana" w:hAnsi="Verdana"/>
          <w:spacing w:val="-24"/>
        </w:rPr>
        <w:t> </w:t>
      </w:r>
      <w:r>
        <w:rPr>
          <w:rFonts w:ascii="Arial" w:hAnsi="Arial"/>
        </w:rPr>
        <w:t>=</w:t>
      </w:r>
      <w:r>
        <w:rPr>
          <w:rFonts w:ascii="Arial" w:hAnsi="Arial"/>
          <w:spacing w:val="-9"/>
        </w:rPr>
        <w:t> </w:t>
      </w:r>
      <w:r>
        <w:rPr>
          <w:rFonts w:ascii="Arial" w:hAnsi="Arial"/>
        </w:rPr>
        <w:t>-</w:t>
      </w:r>
      <w:r>
        <w:rPr>
          <w:rFonts w:ascii="Arial" w:hAnsi="Arial"/>
          <w:spacing w:val="-9"/>
        </w:rPr>
        <w:t> </w:t>
      </w:r>
      <w:r>
        <w:rPr>
          <w:rFonts w:ascii="Arial" w:hAnsi="Arial"/>
        </w:rPr>
        <w:t>60.5</w:t>
      </w:r>
      <w:r>
        <w:rPr>
          <w:rFonts w:ascii="Arial" w:hAnsi="Arial"/>
          <w:spacing w:val="-9"/>
        </w:rPr>
        <w:t> </w:t>
      </w:r>
      <w:r>
        <w:rPr>
          <w:rFonts w:ascii="Arial" w:hAnsi="Arial"/>
        </w:rPr>
        <w:t>+</w:t>
      </w:r>
      <w:r>
        <w:rPr>
          <w:rFonts w:ascii="Arial" w:hAnsi="Arial"/>
          <w:spacing w:val="-9"/>
        </w:rPr>
        <w:t> </w:t>
      </w:r>
      <w:r>
        <w:rPr>
          <w:rFonts w:ascii="Arial" w:hAnsi="Arial"/>
        </w:rPr>
        <w:t>0.148(Age)</w:t>
      </w:r>
      <w:r>
        <w:rPr>
          <w:rFonts w:ascii="Arial" w:hAnsi="Arial"/>
          <w:spacing w:val="-10"/>
        </w:rPr>
        <w:t> </w:t>
      </w:r>
      <w:r>
        <w:rPr>
          <w:rFonts w:ascii="Arial" w:hAnsi="Arial"/>
        </w:rPr>
        <w:t>+</w:t>
      </w:r>
      <w:r>
        <w:rPr>
          <w:rFonts w:ascii="Arial" w:hAnsi="Arial"/>
          <w:spacing w:val="-9"/>
        </w:rPr>
        <w:t> </w:t>
      </w:r>
      <w:r>
        <w:rPr>
          <w:rFonts w:ascii="Arial" w:hAnsi="Arial"/>
        </w:rPr>
        <w:t>0.124(Height)</w:t>
      </w:r>
      <w:r>
        <w:rPr>
          <w:rFonts w:ascii="Arial" w:hAnsi="Arial"/>
          <w:spacing w:val="-9"/>
        </w:rPr>
        <w:t> </w:t>
      </w:r>
      <w:r>
        <w:rPr>
          <w:rFonts w:ascii="Arial" w:hAnsi="Arial"/>
        </w:rPr>
        <w:t>+</w:t>
      </w:r>
      <w:r>
        <w:rPr>
          <w:rFonts w:ascii="Arial" w:hAnsi="Arial"/>
          <w:spacing w:val="-9"/>
        </w:rPr>
        <w:t> </w:t>
      </w:r>
      <w:r>
        <w:rPr>
          <w:rFonts w:ascii="Arial" w:hAnsi="Arial"/>
        </w:rPr>
        <w:t>11.4</w:t>
      </w:r>
      <w:r>
        <w:rPr>
          <w:rFonts w:ascii="Arial" w:hAnsi="Arial"/>
          <w:spacing w:val="-9"/>
        </w:rPr>
        <w:t> </w:t>
      </w:r>
      <w:r>
        <w:rPr>
          <w:rFonts w:ascii="Arial" w:hAnsi="Arial"/>
        </w:rPr>
        <w:t>(Width</w:t>
      </w:r>
    </w:p>
    <w:p>
      <w:pPr>
        <w:pStyle w:val="BodyText"/>
        <w:ind w:left="410"/>
        <w:jc w:val="both"/>
        <w:rPr>
          <w:rFonts w:ascii="Arial"/>
        </w:rPr>
      </w:pPr>
      <w:r>
        <w:rPr>
          <w:rFonts w:ascii="Arial"/>
        </w:rPr>
        <w:t>of the hand)</w:t>
      </w:r>
    </w:p>
    <w:p>
      <w:pPr>
        <w:pStyle w:val="BodyText"/>
        <w:ind w:right="330"/>
        <w:jc w:val="right"/>
      </w:pPr>
      <w:r>
        <w:rPr/>
        <w:t>(1)</w:t>
      </w:r>
    </w:p>
    <w:p>
      <w:pPr>
        <w:pStyle w:val="BodyText"/>
        <w:spacing w:before="11"/>
        <w:rPr>
          <w:sz w:val="19"/>
        </w:rPr>
      </w:pPr>
    </w:p>
    <w:p>
      <w:pPr>
        <w:pStyle w:val="BodyText"/>
        <w:ind w:left="410"/>
        <w:jc w:val="both"/>
      </w:pPr>
      <w:r>
        <w:rPr/>
        <w:t>We can support a Cox regression analysis to determine the force behavior over time, considering the predictors age, height and width of the hand. General Cox regression model shown in equation 2</w:t>
      </w:r>
    </w:p>
    <w:p>
      <w:pPr>
        <w:pStyle w:val="BodyText"/>
        <w:spacing w:before="3"/>
        <w:rPr>
          <w:sz w:val="21"/>
        </w:rPr>
      </w:pPr>
      <w:r>
        <w:rPr/>
        <w:drawing>
          <wp:anchor distT="0" distB="0" distL="0" distR="0" allowOverlap="1" layoutInCell="1" locked="0" behindDoc="0" simplePos="0" relativeHeight="13240">
            <wp:simplePos x="0" y="0"/>
            <wp:positionH relativeFrom="page">
              <wp:posOffset>1353311</wp:posOffset>
            </wp:positionH>
            <wp:positionV relativeFrom="paragraph">
              <wp:posOffset>200372</wp:posOffset>
            </wp:positionV>
            <wp:extent cx="329183" cy="168402"/>
            <wp:effectExtent l="0" t="0" r="0" b="0"/>
            <wp:wrapTopAndBottom/>
            <wp:docPr id="513" name="image307.png" descr=""/>
            <wp:cNvGraphicFramePr>
              <a:graphicFrameLocks noChangeAspect="1"/>
            </wp:cNvGraphicFramePr>
            <a:graphic>
              <a:graphicData uri="http://schemas.openxmlformats.org/drawingml/2006/picture">
                <pic:pic>
                  <pic:nvPicPr>
                    <pic:cNvPr id="514" name="image307.png"/>
                    <pic:cNvPicPr/>
                  </pic:nvPicPr>
                  <pic:blipFill>
                    <a:blip r:embed="rId509" cstate="print"/>
                    <a:stretch>
                      <a:fillRect/>
                    </a:stretch>
                  </pic:blipFill>
                  <pic:spPr>
                    <a:xfrm>
                      <a:off x="0" y="0"/>
                      <a:ext cx="329183" cy="168402"/>
                    </a:xfrm>
                    <a:prstGeom prst="rect">
                      <a:avLst/>
                    </a:prstGeom>
                  </pic:spPr>
                </pic:pic>
              </a:graphicData>
            </a:graphic>
          </wp:anchor>
        </w:drawing>
      </w:r>
      <w:r>
        <w:rPr/>
        <w:drawing>
          <wp:anchor distT="0" distB="0" distL="0" distR="0" allowOverlap="1" layoutInCell="1" locked="0" behindDoc="0" simplePos="0" relativeHeight="13264">
            <wp:simplePos x="0" y="0"/>
            <wp:positionH relativeFrom="page">
              <wp:posOffset>1755648</wp:posOffset>
            </wp:positionH>
            <wp:positionV relativeFrom="paragraph">
              <wp:posOffset>269713</wp:posOffset>
            </wp:positionV>
            <wp:extent cx="118868" cy="39624"/>
            <wp:effectExtent l="0" t="0" r="0" b="0"/>
            <wp:wrapTopAndBottom/>
            <wp:docPr id="515" name="image303.png" descr=""/>
            <wp:cNvGraphicFramePr>
              <a:graphicFrameLocks noChangeAspect="1"/>
            </wp:cNvGraphicFramePr>
            <a:graphic>
              <a:graphicData uri="http://schemas.openxmlformats.org/drawingml/2006/picture">
                <pic:pic>
                  <pic:nvPicPr>
                    <pic:cNvPr id="516" name="image303.png"/>
                    <pic:cNvPicPr/>
                  </pic:nvPicPr>
                  <pic:blipFill>
                    <a:blip r:embed="rId505" cstate="print"/>
                    <a:stretch>
                      <a:fillRect/>
                    </a:stretch>
                  </pic:blipFill>
                  <pic:spPr>
                    <a:xfrm>
                      <a:off x="0" y="0"/>
                      <a:ext cx="118868" cy="39624"/>
                    </a:xfrm>
                    <a:prstGeom prst="rect">
                      <a:avLst/>
                    </a:prstGeom>
                  </pic:spPr>
                </pic:pic>
              </a:graphicData>
            </a:graphic>
          </wp:anchor>
        </w:drawing>
      </w:r>
      <w:r>
        <w:rPr/>
        <w:drawing>
          <wp:anchor distT="0" distB="0" distL="0" distR="0" allowOverlap="1" layoutInCell="1" locked="0" behindDoc="0" simplePos="0" relativeHeight="13288">
            <wp:simplePos x="0" y="0"/>
            <wp:positionH relativeFrom="page">
              <wp:posOffset>1965960</wp:posOffset>
            </wp:positionH>
            <wp:positionV relativeFrom="paragraph">
              <wp:posOffset>249902</wp:posOffset>
            </wp:positionV>
            <wp:extent cx="109729" cy="89153"/>
            <wp:effectExtent l="0" t="0" r="0" b="0"/>
            <wp:wrapTopAndBottom/>
            <wp:docPr id="517" name="image308.png" descr=""/>
            <wp:cNvGraphicFramePr>
              <a:graphicFrameLocks noChangeAspect="1"/>
            </wp:cNvGraphicFramePr>
            <a:graphic>
              <a:graphicData uri="http://schemas.openxmlformats.org/drawingml/2006/picture">
                <pic:pic>
                  <pic:nvPicPr>
                    <pic:cNvPr id="518" name="image308.png"/>
                    <pic:cNvPicPr/>
                  </pic:nvPicPr>
                  <pic:blipFill>
                    <a:blip r:embed="rId510" cstate="print"/>
                    <a:stretch>
                      <a:fillRect/>
                    </a:stretch>
                  </pic:blipFill>
                  <pic:spPr>
                    <a:xfrm>
                      <a:off x="0" y="0"/>
                      <a:ext cx="109729" cy="89153"/>
                    </a:xfrm>
                    <a:prstGeom prst="rect">
                      <a:avLst/>
                    </a:prstGeom>
                  </pic:spPr>
                </pic:pic>
              </a:graphicData>
            </a:graphic>
          </wp:anchor>
        </w:drawing>
      </w:r>
      <w:r>
        <w:rPr/>
        <w:drawing>
          <wp:anchor distT="0" distB="0" distL="0" distR="0" allowOverlap="1" layoutInCell="1" locked="0" behindDoc="0" simplePos="0" relativeHeight="13312">
            <wp:simplePos x="0" y="0"/>
            <wp:positionH relativeFrom="page">
              <wp:posOffset>2121407</wp:posOffset>
            </wp:positionH>
            <wp:positionV relativeFrom="paragraph">
              <wp:posOffset>249902</wp:posOffset>
            </wp:positionV>
            <wp:extent cx="82295" cy="59435"/>
            <wp:effectExtent l="0" t="0" r="0" b="0"/>
            <wp:wrapTopAndBottom/>
            <wp:docPr id="519" name="image309.png" descr=""/>
            <wp:cNvGraphicFramePr>
              <a:graphicFrameLocks noChangeAspect="1"/>
            </wp:cNvGraphicFramePr>
            <a:graphic>
              <a:graphicData uri="http://schemas.openxmlformats.org/drawingml/2006/picture">
                <pic:pic>
                  <pic:nvPicPr>
                    <pic:cNvPr id="520" name="image309.png"/>
                    <pic:cNvPicPr/>
                  </pic:nvPicPr>
                  <pic:blipFill>
                    <a:blip r:embed="rId511" cstate="print"/>
                    <a:stretch>
                      <a:fillRect/>
                    </a:stretch>
                  </pic:blipFill>
                  <pic:spPr>
                    <a:xfrm>
                      <a:off x="0" y="0"/>
                      <a:ext cx="82295" cy="59435"/>
                    </a:xfrm>
                    <a:prstGeom prst="rect">
                      <a:avLst/>
                    </a:prstGeom>
                  </pic:spPr>
                </pic:pic>
              </a:graphicData>
            </a:graphic>
          </wp:anchor>
        </w:drawing>
      </w:r>
      <w:r>
        <w:rPr/>
        <w:drawing>
          <wp:anchor distT="0" distB="0" distL="0" distR="0" allowOverlap="1" layoutInCell="1" locked="0" behindDoc="0" simplePos="0" relativeHeight="13336">
            <wp:simplePos x="0" y="0"/>
            <wp:positionH relativeFrom="page">
              <wp:posOffset>2276855</wp:posOffset>
            </wp:positionH>
            <wp:positionV relativeFrom="paragraph">
              <wp:posOffset>180560</wp:posOffset>
            </wp:positionV>
            <wp:extent cx="566932" cy="158496"/>
            <wp:effectExtent l="0" t="0" r="0" b="0"/>
            <wp:wrapTopAndBottom/>
            <wp:docPr id="521" name="image310.png" descr=""/>
            <wp:cNvGraphicFramePr>
              <a:graphicFrameLocks noChangeAspect="1"/>
            </wp:cNvGraphicFramePr>
            <a:graphic>
              <a:graphicData uri="http://schemas.openxmlformats.org/drawingml/2006/picture">
                <pic:pic>
                  <pic:nvPicPr>
                    <pic:cNvPr id="522" name="image310.png"/>
                    <pic:cNvPicPr/>
                  </pic:nvPicPr>
                  <pic:blipFill>
                    <a:blip r:embed="rId512" cstate="print"/>
                    <a:stretch>
                      <a:fillRect/>
                    </a:stretch>
                  </pic:blipFill>
                  <pic:spPr>
                    <a:xfrm>
                      <a:off x="0" y="0"/>
                      <a:ext cx="566932" cy="158496"/>
                    </a:xfrm>
                    <a:prstGeom prst="rect">
                      <a:avLst/>
                    </a:prstGeom>
                  </pic:spPr>
                </pic:pic>
              </a:graphicData>
            </a:graphic>
          </wp:anchor>
        </w:drawing>
      </w:r>
    </w:p>
    <w:p>
      <w:pPr>
        <w:pStyle w:val="BodyText"/>
        <w:ind w:right="390"/>
        <w:jc w:val="right"/>
      </w:pPr>
      <w:r>
        <w:rPr/>
        <w:t>(2)</w:t>
      </w:r>
    </w:p>
    <w:p>
      <w:pPr>
        <w:pStyle w:val="BodyText"/>
      </w:pPr>
      <w:r>
        <w:rPr/>
        <w:br w:type="column"/>
      </w:r>
      <w:r>
        <w:rPr/>
      </w:r>
    </w:p>
    <w:p>
      <w:pPr>
        <w:pStyle w:val="Heading4"/>
        <w:numPr>
          <w:ilvl w:val="1"/>
          <w:numId w:val="64"/>
        </w:numPr>
        <w:tabs>
          <w:tab w:pos="612" w:val="left" w:leader="none"/>
        </w:tabs>
        <w:spacing w:line="240" w:lineRule="auto" w:before="134" w:after="0"/>
        <w:ind w:left="611" w:right="0" w:hanging="201"/>
        <w:jc w:val="both"/>
      </w:pPr>
      <w:r>
        <w:rPr/>
        <w:t>RESULTS.</w:t>
      </w:r>
    </w:p>
    <w:p>
      <w:pPr>
        <w:pStyle w:val="BodyText"/>
        <w:spacing w:before="8"/>
        <w:rPr>
          <w:b/>
          <w:sz w:val="19"/>
        </w:rPr>
      </w:pPr>
    </w:p>
    <w:p>
      <w:pPr>
        <w:pStyle w:val="BodyText"/>
        <w:spacing w:line="218" w:lineRule="exact"/>
        <w:ind w:left="410"/>
        <w:jc w:val="both"/>
        <w:rPr>
          <w:i/>
        </w:rPr>
      </w:pPr>
      <w:r>
        <w:rPr/>
        <w:t>With the results in Table 2, we have </w:t>
      </w:r>
      <w:r>
        <w:rPr>
          <w:i/>
        </w:rPr>
        <w:t>β </w:t>
      </w:r>
      <w:r>
        <w:rPr/>
        <w:t>= –0.00023792 and  </w:t>
      </w:r>
      <w:r>
        <w:rPr>
          <w:i/>
        </w:rPr>
        <w:t>α</w:t>
      </w:r>
    </w:p>
    <w:p>
      <w:pPr>
        <w:pStyle w:val="BodyText"/>
        <w:ind w:left="410" w:right="677"/>
        <w:jc w:val="both"/>
      </w:pPr>
      <w:r>
        <w:rPr/>
        <w:t>= e</w:t>
      </w:r>
      <w:r>
        <w:rPr>
          <w:position w:val="9"/>
          <w:sz w:val="13"/>
        </w:rPr>
        <w:t>3.96792 </w:t>
      </w:r>
      <w:r>
        <w:rPr/>
        <w:t>= 52.8744, substituting these values in equation 5 we have:</w:t>
      </w:r>
    </w:p>
    <w:p>
      <w:pPr>
        <w:pStyle w:val="BodyText"/>
        <w:spacing w:before="1"/>
        <w:rPr>
          <w:sz w:val="21"/>
        </w:rPr>
      </w:pPr>
      <w:r>
        <w:rPr/>
        <w:drawing>
          <wp:anchor distT="0" distB="0" distL="0" distR="0" allowOverlap="1" layoutInCell="1" locked="0" behindDoc="0" simplePos="0" relativeHeight="13360">
            <wp:simplePos x="0" y="0"/>
            <wp:positionH relativeFrom="page">
              <wp:posOffset>4626102</wp:posOffset>
            </wp:positionH>
            <wp:positionV relativeFrom="paragraph">
              <wp:posOffset>198842</wp:posOffset>
            </wp:positionV>
            <wp:extent cx="326897" cy="168401"/>
            <wp:effectExtent l="0" t="0" r="0" b="0"/>
            <wp:wrapTopAndBottom/>
            <wp:docPr id="523" name="image311.png" descr=""/>
            <wp:cNvGraphicFramePr>
              <a:graphicFrameLocks noChangeAspect="1"/>
            </wp:cNvGraphicFramePr>
            <a:graphic>
              <a:graphicData uri="http://schemas.openxmlformats.org/drawingml/2006/picture">
                <pic:pic>
                  <pic:nvPicPr>
                    <pic:cNvPr id="524" name="image311.png"/>
                    <pic:cNvPicPr/>
                  </pic:nvPicPr>
                  <pic:blipFill>
                    <a:blip r:embed="rId513" cstate="print"/>
                    <a:stretch>
                      <a:fillRect/>
                    </a:stretch>
                  </pic:blipFill>
                  <pic:spPr>
                    <a:xfrm>
                      <a:off x="0" y="0"/>
                      <a:ext cx="326897" cy="168401"/>
                    </a:xfrm>
                    <a:prstGeom prst="rect">
                      <a:avLst/>
                    </a:prstGeom>
                  </pic:spPr>
                </pic:pic>
              </a:graphicData>
            </a:graphic>
          </wp:anchor>
        </w:drawing>
      </w:r>
      <w:r>
        <w:rPr/>
        <w:drawing>
          <wp:anchor distT="0" distB="0" distL="0" distR="0" allowOverlap="1" layoutInCell="1" locked="0" behindDoc="0" simplePos="0" relativeHeight="13384">
            <wp:simplePos x="0" y="0"/>
            <wp:positionH relativeFrom="page">
              <wp:posOffset>5022341</wp:posOffset>
            </wp:positionH>
            <wp:positionV relativeFrom="paragraph">
              <wp:posOffset>268184</wp:posOffset>
            </wp:positionV>
            <wp:extent cx="128777" cy="39624"/>
            <wp:effectExtent l="0" t="0" r="0" b="0"/>
            <wp:wrapTopAndBottom/>
            <wp:docPr id="525" name="image303.png" descr=""/>
            <wp:cNvGraphicFramePr>
              <a:graphicFrameLocks noChangeAspect="1"/>
            </wp:cNvGraphicFramePr>
            <a:graphic>
              <a:graphicData uri="http://schemas.openxmlformats.org/drawingml/2006/picture">
                <pic:pic>
                  <pic:nvPicPr>
                    <pic:cNvPr id="526" name="image303.png"/>
                    <pic:cNvPicPr/>
                  </pic:nvPicPr>
                  <pic:blipFill>
                    <a:blip r:embed="rId505" cstate="print"/>
                    <a:stretch>
                      <a:fillRect/>
                    </a:stretch>
                  </pic:blipFill>
                  <pic:spPr>
                    <a:xfrm>
                      <a:off x="0" y="0"/>
                      <a:ext cx="128777" cy="39624"/>
                    </a:xfrm>
                    <a:prstGeom prst="rect">
                      <a:avLst/>
                    </a:prstGeom>
                  </pic:spPr>
                </pic:pic>
              </a:graphicData>
            </a:graphic>
          </wp:anchor>
        </w:drawing>
      </w:r>
      <w:r>
        <w:rPr/>
        <w:pict>
          <v:group style="position:absolute;margin-left:409.5pt;margin-top:15.656923pt;width:58.5pt;height:10.95pt;mso-position-horizontal-relative:page;mso-position-vertical-relative:paragraph;z-index:13408;mso-wrap-distance-left:0;mso-wrap-distance-right:0" coordorigin="8190,313" coordsize="1170,219">
            <v:shape style="position:absolute;left:9251;top:391;width:109;height:94" type="#_x0000_t75" stroked="false">
              <v:imagedata r:id="rId514" o:title=""/>
            </v:shape>
            <v:shape style="position:absolute;left:8190;top:313;width:998;height:218" type="#_x0000_t75" stroked="false">
              <v:imagedata r:id="rId515" o:title=""/>
            </v:shape>
            <w10:wrap type="topAndBottom"/>
          </v:group>
        </w:pict>
      </w:r>
      <w:r>
        <w:rPr/>
        <w:drawing>
          <wp:anchor distT="0" distB="0" distL="0" distR="0" allowOverlap="1" layoutInCell="1" locked="0" behindDoc="0" simplePos="0" relativeHeight="13432">
            <wp:simplePos x="0" y="0"/>
            <wp:positionH relativeFrom="page">
              <wp:posOffset>6022847</wp:posOffset>
            </wp:positionH>
            <wp:positionV relativeFrom="paragraph">
              <wp:posOffset>179030</wp:posOffset>
            </wp:positionV>
            <wp:extent cx="1168907" cy="158495"/>
            <wp:effectExtent l="0" t="0" r="0" b="0"/>
            <wp:wrapTopAndBottom/>
            <wp:docPr id="527" name="image314.png" descr=""/>
            <wp:cNvGraphicFramePr>
              <a:graphicFrameLocks noChangeAspect="1"/>
            </wp:cNvGraphicFramePr>
            <a:graphic>
              <a:graphicData uri="http://schemas.openxmlformats.org/drawingml/2006/picture">
                <pic:pic>
                  <pic:nvPicPr>
                    <pic:cNvPr id="528" name="image314.png"/>
                    <pic:cNvPicPr/>
                  </pic:nvPicPr>
                  <pic:blipFill>
                    <a:blip r:embed="rId516" cstate="print"/>
                    <a:stretch>
                      <a:fillRect/>
                    </a:stretch>
                  </pic:blipFill>
                  <pic:spPr>
                    <a:xfrm>
                      <a:off x="0" y="0"/>
                      <a:ext cx="1168907" cy="158495"/>
                    </a:xfrm>
                    <a:prstGeom prst="rect">
                      <a:avLst/>
                    </a:prstGeom>
                  </pic:spPr>
                </pic:pic>
              </a:graphicData>
            </a:graphic>
          </wp:anchor>
        </w:drawing>
      </w:r>
    </w:p>
    <w:p>
      <w:pPr>
        <w:pStyle w:val="ListParagraph"/>
        <w:numPr>
          <w:ilvl w:val="0"/>
          <w:numId w:val="65"/>
        </w:numPr>
        <w:tabs>
          <w:tab w:pos="5278" w:val="left" w:leader="none"/>
        </w:tabs>
        <w:spacing w:line="240" w:lineRule="auto" w:before="0" w:after="0"/>
        <w:ind w:left="5277" w:right="677" w:hanging="235"/>
        <w:jc w:val="right"/>
        <w:rPr>
          <w:sz w:val="20"/>
        </w:rPr>
      </w:pPr>
    </w:p>
    <w:p>
      <w:pPr>
        <w:pStyle w:val="BodyText"/>
      </w:pPr>
    </w:p>
    <w:p>
      <w:pPr>
        <w:pStyle w:val="BodyText"/>
        <w:spacing w:before="1"/>
        <w:ind w:left="410" w:right="677"/>
        <w:jc w:val="both"/>
      </w:pPr>
      <w:r>
        <w:rPr/>
        <w:t>Equation 7 shows the model that represents the force that is exercised over time considering the factors age, height and width of the hand. Consider the example of a person 19  years of age, height 160 cms. and a width of 7.2 cms hand, the force that would be held for hours as shown in Table</w:t>
      </w:r>
      <w:r>
        <w:rPr>
          <w:spacing w:val="-18"/>
        </w:rPr>
        <w:t> </w:t>
      </w:r>
      <w:r>
        <w:rPr/>
        <w:t>3:</w:t>
      </w:r>
    </w:p>
    <w:p>
      <w:pPr>
        <w:spacing w:after="0"/>
        <w:jc w:val="both"/>
        <w:sectPr>
          <w:type w:val="continuous"/>
          <w:pgSz w:w="12240" w:h="15840"/>
          <w:pgMar w:top="1500" w:bottom="280" w:left="440" w:right="220"/>
          <w:cols w:num="2" w:equalWidth="0">
            <w:col w:w="5328" w:space="296"/>
            <w:col w:w="5956"/>
          </w:cols>
        </w:sectPr>
      </w:pPr>
    </w:p>
    <w:p>
      <w:pPr>
        <w:pStyle w:val="BodyText"/>
        <w:spacing w:before="6"/>
        <w:rPr>
          <w:sz w:val="11"/>
        </w:rPr>
      </w:pPr>
    </w:p>
    <w:p>
      <w:pPr>
        <w:pStyle w:val="Heading4"/>
        <w:numPr>
          <w:ilvl w:val="1"/>
          <w:numId w:val="64"/>
        </w:numPr>
        <w:tabs>
          <w:tab w:pos="6396" w:val="left" w:leader="none"/>
        </w:tabs>
        <w:spacing w:line="240" w:lineRule="auto" w:before="75" w:after="0"/>
        <w:ind w:left="6395" w:right="0" w:hanging="200"/>
        <w:jc w:val="left"/>
      </w:pPr>
      <w:r>
        <w:rPr/>
        <w:t>CONCLUSIONS.</w:t>
      </w:r>
    </w:p>
    <w:p>
      <w:pPr>
        <w:pStyle w:val="BodyText"/>
        <w:spacing w:before="3"/>
        <w:rPr>
          <w:b/>
          <w:sz w:val="13"/>
        </w:rPr>
      </w:pPr>
    </w:p>
    <w:p>
      <w:pPr>
        <w:spacing w:after="0"/>
        <w:rPr>
          <w:sz w:val="13"/>
        </w:rPr>
        <w:sectPr>
          <w:pgSz w:w="12240" w:h="15840"/>
          <w:pgMar w:header="545" w:footer="852" w:top="1060" w:bottom="1040" w:left="280" w:right="220"/>
        </w:sectPr>
      </w:pPr>
    </w:p>
    <w:p>
      <w:pPr>
        <w:pStyle w:val="BodyText"/>
        <w:rPr>
          <w:b/>
        </w:rPr>
      </w:pPr>
    </w:p>
    <w:p>
      <w:pPr>
        <w:pStyle w:val="BodyText"/>
        <w:spacing w:before="5"/>
        <w:rPr>
          <w:b/>
          <w:sz w:val="26"/>
        </w:rPr>
      </w:pPr>
    </w:p>
    <w:p>
      <w:pPr>
        <w:pStyle w:val="BodyText"/>
        <w:ind w:left="1569"/>
      </w:pPr>
      <w:r>
        <w:rPr/>
        <w:t>Table 3 force to be exerted per hour.</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19"/>
        </w:rPr>
      </w:pPr>
    </w:p>
    <w:p>
      <w:pPr>
        <w:pStyle w:val="BodyText"/>
        <w:ind w:left="570" w:right="295"/>
        <w:jc w:val="both"/>
      </w:pPr>
      <w:r>
        <w:rPr/>
        <w:t>The information obtained in Table 3 shows that a person of 19 years, height 160 cms. and hand width 7.2 cms., manual force shall initially be 52.8744 lbs., 8 an hour for manual force which shall be 48.5742196 lbs.</w:t>
      </w:r>
    </w:p>
    <w:p>
      <w:pPr>
        <w:pStyle w:val="BodyText"/>
      </w:pPr>
    </w:p>
    <w:p>
      <w:pPr>
        <w:pStyle w:val="BodyText"/>
        <w:spacing w:before="1"/>
        <w:ind w:left="552" w:right="911"/>
        <w:jc w:val="center"/>
      </w:pPr>
      <w:r>
        <w:rPr/>
        <w:drawing>
          <wp:anchor distT="0" distB="0" distL="0" distR="0" allowOverlap="1" layoutInCell="1" locked="0" behindDoc="0" simplePos="0" relativeHeight="13552">
            <wp:simplePos x="0" y="0"/>
            <wp:positionH relativeFrom="page">
              <wp:posOffset>988313</wp:posOffset>
            </wp:positionH>
            <wp:positionV relativeFrom="paragraph">
              <wp:posOffset>295228</wp:posOffset>
            </wp:positionV>
            <wp:extent cx="2864543" cy="2304288"/>
            <wp:effectExtent l="0" t="0" r="0" b="0"/>
            <wp:wrapNone/>
            <wp:docPr id="529" name="image315.png" descr=""/>
            <wp:cNvGraphicFramePr>
              <a:graphicFrameLocks noChangeAspect="1"/>
            </wp:cNvGraphicFramePr>
            <a:graphic>
              <a:graphicData uri="http://schemas.openxmlformats.org/drawingml/2006/picture">
                <pic:pic>
                  <pic:nvPicPr>
                    <pic:cNvPr id="530" name="image315.png"/>
                    <pic:cNvPicPr/>
                  </pic:nvPicPr>
                  <pic:blipFill>
                    <a:blip r:embed="rId517" cstate="print"/>
                    <a:stretch>
                      <a:fillRect/>
                    </a:stretch>
                  </pic:blipFill>
                  <pic:spPr>
                    <a:xfrm>
                      <a:off x="0" y="0"/>
                      <a:ext cx="2864543" cy="2304288"/>
                    </a:xfrm>
                    <a:prstGeom prst="rect">
                      <a:avLst/>
                    </a:prstGeom>
                  </pic:spPr>
                </pic:pic>
              </a:graphicData>
            </a:graphic>
          </wp:anchor>
        </w:drawing>
      </w:r>
      <w:r>
        <w:rPr/>
        <w:t>This information is displayed graphically in Figure 1:</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79"/>
        <w:ind w:left="484" w:right="911"/>
        <w:jc w:val="center"/>
        <w:rPr>
          <w:rFonts w:ascii="Arial"/>
        </w:rPr>
      </w:pPr>
      <w:r>
        <w:rPr>
          <w:rFonts w:ascii="Arial"/>
        </w:rPr>
        <w:t>Figure 1 Manual force per hour.</w:t>
      </w:r>
    </w:p>
    <w:p>
      <w:pPr>
        <w:pStyle w:val="BodyText"/>
        <w:spacing w:before="74"/>
        <w:ind w:left="369" w:right="677"/>
        <w:jc w:val="both"/>
      </w:pPr>
      <w:r>
        <w:rPr/>
        <w:br w:type="column"/>
      </w:r>
      <w:r>
        <w:rPr/>
        <w:t>The Cox regression model, we represent the behavior of the manual force a person can exert over a certain time, considering the three factors described above.</w:t>
      </w:r>
    </w:p>
    <w:p>
      <w:pPr>
        <w:pStyle w:val="BodyText"/>
      </w:pPr>
    </w:p>
    <w:p>
      <w:pPr>
        <w:pStyle w:val="BodyText"/>
        <w:spacing w:before="1"/>
        <w:ind w:left="369" w:right="676"/>
        <w:jc w:val="both"/>
      </w:pPr>
      <w:r>
        <w:rPr/>
        <w:pict>
          <v:shape style="position:absolute;margin-left:19.799999pt;margin-top:1.166462pt;width:291.3pt;height:204.55pt;mso-position-horizontal-relative:page;mso-position-vertical-relative:paragraph;z-index:13576" type="#_x0000_t202" filled="false" stroked="false">
            <v:textbox inset="0,0,0,0">
              <w:txbxContent>
                <w:tbl>
                  <w:tblPr>
                    <w:tblCellSpacing w:w="10" w:type="dxa"/>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913"/>
                    <w:gridCol w:w="2913"/>
                  </w:tblGrid>
                  <w:tr>
                    <w:trPr>
                      <w:trHeight w:val="397" w:hRule="exact"/>
                    </w:trPr>
                    <w:tc>
                      <w:tcPr>
                        <w:tcW w:w="2913" w:type="dxa"/>
                        <w:tcBorders>
                          <w:bottom w:val="nil"/>
                          <w:right w:val="nil"/>
                        </w:tcBorders>
                        <w:shd w:val="clear" w:color="auto" w:fill="A18E69"/>
                      </w:tcPr>
                      <w:p>
                        <w:pPr>
                          <w:pStyle w:val="TableParagraph"/>
                          <w:spacing w:before="155"/>
                          <w:ind w:left="908" w:right="907"/>
                          <w:jc w:val="center"/>
                          <w:rPr>
                            <w:rFonts w:ascii="Arial"/>
                            <w:b/>
                            <w:sz w:val="20"/>
                          </w:rPr>
                        </w:pPr>
                        <w:r>
                          <w:rPr>
                            <w:rFonts w:ascii="Arial"/>
                            <w:b/>
                            <w:sz w:val="20"/>
                          </w:rPr>
                          <w:t>HOUR</w:t>
                        </w:r>
                      </w:p>
                    </w:tc>
                    <w:tc>
                      <w:tcPr>
                        <w:tcW w:w="2913" w:type="dxa"/>
                        <w:tcBorders>
                          <w:left w:val="nil"/>
                          <w:bottom w:val="nil"/>
                        </w:tcBorders>
                        <w:shd w:val="clear" w:color="auto" w:fill="A18E69"/>
                      </w:tcPr>
                      <w:p>
                        <w:pPr>
                          <w:pStyle w:val="TableParagraph"/>
                          <w:spacing w:before="155"/>
                          <w:ind w:left="908" w:right="907"/>
                          <w:jc w:val="center"/>
                          <w:rPr>
                            <w:rFonts w:ascii="Arial"/>
                            <w:b/>
                            <w:sz w:val="20"/>
                          </w:rPr>
                        </w:pPr>
                        <w:r>
                          <w:rPr>
                            <w:rFonts w:ascii="Arial"/>
                            <w:b/>
                            <w:sz w:val="20"/>
                          </w:rPr>
                          <w:t>FORCE</w:t>
                        </w:r>
                      </w:p>
                    </w:tc>
                  </w:tr>
                  <w:tr>
                    <w:trPr>
                      <w:trHeight w:val="406" w:hRule="exact"/>
                    </w:trPr>
                    <w:tc>
                      <w:tcPr>
                        <w:tcW w:w="2913" w:type="dxa"/>
                        <w:tcBorders>
                          <w:top w:val="nil"/>
                          <w:bottom w:val="nil"/>
                          <w:right w:val="nil"/>
                        </w:tcBorders>
                        <w:shd w:val="clear" w:color="auto" w:fill="DFDAD3"/>
                      </w:tcPr>
                      <w:p>
                        <w:pPr>
                          <w:pStyle w:val="TableParagraph"/>
                          <w:spacing w:before="155"/>
                          <w:ind w:left="-1"/>
                          <w:jc w:val="center"/>
                          <w:rPr>
                            <w:rFonts w:ascii="Arial"/>
                            <w:sz w:val="20"/>
                          </w:rPr>
                        </w:pPr>
                        <w:r>
                          <w:rPr>
                            <w:rFonts w:ascii="Arial"/>
                            <w:w w:val="100"/>
                            <w:sz w:val="20"/>
                          </w:rPr>
                          <w:t>0</w:t>
                        </w:r>
                      </w:p>
                    </w:tc>
                    <w:tc>
                      <w:tcPr>
                        <w:tcW w:w="2913" w:type="dxa"/>
                        <w:tcBorders>
                          <w:top w:val="nil"/>
                          <w:left w:val="nil"/>
                          <w:bottom w:val="nil"/>
                        </w:tcBorders>
                        <w:shd w:val="clear" w:color="auto" w:fill="DFDAD3"/>
                      </w:tcPr>
                      <w:p>
                        <w:pPr>
                          <w:pStyle w:val="TableParagraph"/>
                          <w:spacing w:before="155"/>
                          <w:ind w:left="908" w:right="908"/>
                          <w:jc w:val="center"/>
                          <w:rPr>
                            <w:rFonts w:ascii="Arial"/>
                            <w:sz w:val="20"/>
                          </w:rPr>
                        </w:pPr>
                        <w:r>
                          <w:rPr>
                            <w:rFonts w:ascii="Arial"/>
                            <w:sz w:val="20"/>
                          </w:rPr>
                          <w:t>52.8744</w:t>
                        </w:r>
                      </w:p>
                    </w:tc>
                  </w:tr>
                  <w:tr>
                    <w:trPr>
                      <w:trHeight w:val="387" w:hRule="exact"/>
                    </w:trPr>
                    <w:tc>
                      <w:tcPr>
                        <w:tcW w:w="2913" w:type="dxa"/>
                        <w:tcBorders>
                          <w:top w:val="nil"/>
                          <w:bottom w:val="nil"/>
                          <w:right w:val="nil"/>
                        </w:tcBorders>
                        <w:shd w:val="clear" w:color="auto" w:fill="EFEDEB"/>
                      </w:tcPr>
                      <w:p>
                        <w:pPr>
                          <w:pStyle w:val="TableParagraph"/>
                          <w:spacing w:before="155"/>
                          <w:ind w:left="-1"/>
                          <w:jc w:val="center"/>
                          <w:rPr>
                            <w:rFonts w:ascii="Arial"/>
                            <w:sz w:val="20"/>
                          </w:rPr>
                        </w:pPr>
                        <w:r>
                          <w:rPr>
                            <w:rFonts w:ascii="Arial"/>
                            <w:w w:val="100"/>
                            <w:sz w:val="20"/>
                          </w:rPr>
                          <w:t>1</w:t>
                        </w:r>
                      </w:p>
                    </w:tc>
                    <w:tc>
                      <w:tcPr>
                        <w:tcW w:w="2913" w:type="dxa"/>
                        <w:tcBorders>
                          <w:top w:val="nil"/>
                          <w:left w:val="nil"/>
                          <w:bottom w:val="nil"/>
                        </w:tcBorders>
                        <w:shd w:val="clear" w:color="auto" w:fill="EFEDEB"/>
                      </w:tcPr>
                      <w:p>
                        <w:pPr>
                          <w:pStyle w:val="TableParagraph"/>
                          <w:spacing w:before="155"/>
                          <w:ind w:left="908" w:right="908"/>
                          <w:jc w:val="center"/>
                          <w:rPr>
                            <w:rFonts w:ascii="Arial"/>
                            <w:sz w:val="20"/>
                          </w:rPr>
                        </w:pPr>
                        <w:r>
                          <w:rPr>
                            <w:rFonts w:ascii="Arial"/>
                            <w:sz w:val="20"/>
                          </w:rPr>
                          <w:t>52.316719</w:t>
                        </w:r>
                      </w:p>
                    </w:tc>
                  </w:tr>
                  <w:tr>
                    <w:trPr>
                      <w:trHeight w:val="387" w:hRule="exact"/>
                    </w:trPr>
                    <w:tc>
                      <w:tcPr>
                        <w:tcW w:w="2913" w:type="dxa"/>
                        <w:tcBorders>
                          <w:top w:val="nil"/>
                          <w:bottom w:val="nil"/>
                          <w:right w:val="nil"/>
                        </w:tcBorders>
                        <w:shd w:val="clear" w:color="auto" w:fill="DFDAD3"/>
                      </w:tcPr>
                      <w:p>
                        <w:pPr>
                          <w:pStyle w:val="TableParagraph"/>
                          <w:spacing w:before="154"/>
                          <w:ind w:left="-1"/>
                          <w:jc w:val="center"/>
                          <w:rPr>
                            <w:rFonts w:ascii="Arial"/>
                            <w:sz w:val="20"/>
                          </w:rPr>
                        </w:pPr>
                        <w:r>
                          <w:rPr>
                            <w:rFonts w:ascii="Arial"/>
                            <w:w w:val="100"/>
                            <w:sz w:val="20"/>
                          </w:rPr>
                          <w:t>2</w:t>
                        </w:r>
                      </w:p>
                    </w:tc>
                    <w:tc>
                      <w:tcPr>
                        <w:tcW w:w="2913" w:type="dxa"/>
                        <w:tcBorders>
                          <w:top w:val="nil"/>
                          <w:left w:val="nil"/>
                          <w:bottom w:val="nil"/>
                        </w:tcBorders>
                        <w:shd w:val="clear" w:color="auto" w:fill="DFDAD3"/>
                      </w:tcPr>
                      <w:p>
                        <w:pPr>
                          <w:pStyle w:val="TableParagraph"/>
                          <w:spacing w:before="154"/>
                          <w:ind w:left="908" w:right="907"/>
                          <w:jc w:val="center"/>
                          <w:rPr>
                            <w:rFonts w:ascii="Arial"/>
                            <w:sz w:val="20"/>
                          </w:rPr>
                        </w:pPr>
                        <w:r>
                          <w:rPr>
                            <w:rFonts w:ascii="Arial"/>
                            <w:sz w:val="20"/>
                          </w:rPr>
                          <w:t>51.76492</w:t>
                        </w:r>
                      </w:p>
                    </w:tc>
                  </w:tr>
                  <w:tr>
                    <w:trPr>
                      <w:trHeight w:val="386" w:hRule="exact"/>
                    </w:trPr>
                    <w:tc>
                      <w:tcPr>
                        <w:tcW w:w="2913" w:type="dxa"/>
                        <w:tcBorders>
                          <w:top w:val="nil"/>
                          <w:bottom w:val="nil"/>
                          <w:right w:val="nil"/>
                        </w:tcBorders>
                        <w:shd w:val="clear" w:color="auto" w:fill="EFEDEB"/>
                      </w:tcPr>
                      <w:p>
                        <w:pPr>
                          <w:pStyle w:val="TableParagraph"/>
                          <w:spacing w:before="154"/>
                          <w:ind w:left="-1"/>
                          <w:jc w:val="center"/>
                          <w:rPr>
                            <w:rFonts w:ascii="Arial"/>
                            <w:sz w:val="20"/>
                          </w:rPr>
                        </w:pPr>
                        <w:r>
                          <w:rPr>
                            <w:rFonts w:ascii="Arial"/>
                            <w:w w:val="100"/>
                            <w:sz w:val="20"/>
                          </w:rPr>
                          <w:t>3</w:t>
                        </w:r>
                      </w:p>
                    </w:tc>
                    <w:tc>
                      <w:tcPr>
                        <w:tcW w:w="2913" w:type="dxa"/>
                        <w:tcBorders>
                          <w:top w:val="nil"/>
                          <w:left w:val="nil"/>
                          <w:bottom w:val="nil"/>
                        </w:tcBorders>
                        <w:shd w:val="clear" w:color="auto" w:fill="EFEDEB"/>
                      </w:tcPr>
                      <w:p>
                        <w:pPr>
                          <w:pStyle w:val="TableParagraph"/>
                          <w:spacing w:before="154"/>
                          <w:ind w:left="908" w:right="908"/>
                          <w:jc w:val="center"/>
                          <w:rPr>
                            <w:rFonts w:ascii="Arial"/>
                            <w:sz w:val="20"/>
                          </w:rPr>
                        </w:pPr>
                        <w:r>
                          <w:rPr>
                            <w:rFonts w:ascii="Arial"/>
                            <w:sz w:val="20"/>
                          </w:rPr>
                          <w:t>51.218941</w:t>
                        </w:r>
                      </w:p>
                    </w:tc>
                  </w:tr>
                  <w:tr>
                    <w:trPr>
                      <w:trHeight w:val="386" w:hRule="exact"/>
                    </w:trPr>
                    <w:tc>
                      <w:tcPr>
                        <w:tcW w:w="2913" w:type="dxa"/>
                        <w:tcBorders>
                          <w:top w:val="nil"/>
                          <w:bottom w:val="nil"/>
                          <w:right w:val="nil"/>
                        </w:tcBorders>
                        <w:shd w:val="clear" w:color="auto" w:fill="DFDAD3"/>
                      </w:tcPr>
                      <w:p>
                        <w:pPr>
                          <w:pStyle w:val="TableParagraph"/>
                          <w:spacing w:before="154"/>
                          <w:ind w:left="-1"/>
                          <w:jc w:val="center"/>
                          <w:rPr>
                            <w:rFonts w:ascii="Arial"/>
                            <w:sz w:val="20"/>
                          </w:rPr>
                        </w:pPr>
                        <w:r>
                          <w:rPr>
                            <w:rFonts w:ascii="Arial"/>
                            <w:w w:val="100"/>
                            <w:sz w:val="20"/>
                          </w:rPr>
                          <w:t>4</w:t>
                        </w:r>
                      </w:p>
                    </w:tc>
                    <w:tc>
                      <w:tcPr>
                        <w:tcW w:w="2913" w:type="dxa"/>
                        <w:tcBorders>
                          <w:top w:val="nil"/>
                          <w:left w:val="nil"/>
                          <w:bottom w:val="nil"/>
                        </w:tcBorders>
                        <w:shd w:val="clear" w:color="auto" w:fill="DFDAD3"/>
                      </w:tcPr>
                      <w:p>
                        <w:pPr>
                          <w:pStyle w:val="TableParagraph"/>
                          <w:spacing w:before="154"/>
                          <w:ind w:left="908" w:right="908"/>
                          <w:jc w:val="center"/>
                          <w:rPr>
                            <w:rFonts w:ascii="Arial"/>
                            <w:sz w:val="20"/>
                          </w:rPr>
                        </w:pPr>
                        <w:r>
                          <w:rPr>
                            <w:rFonts w:ascii="Arial"/>
                            <w:sz w:val="20"/>
                          </w:rPr>
                          <w:t>50.6787206</w:t>
                        </w:r>
                      </w:p>
                    </w:tc>
                  </w:tr>
                  <w:tr>
                    <w:trPr>
                      <w:trHeight w:val="386" w:hRule="exact"/>
                    </w:trPr>
                    <w:tc>
                      <w:tcPr>
                        <w:tcW w:w="2913" w:type="dxa"/>
                        <w:tcBorders>
                          <w:top w:val="nil"/>
                          <w:bottom w:val="nil"/>
                          <w:right w:val="nil"/>
                        </w:tcBorders>
                        <w:shd w:val="clear" w:color="auto" w:fill="EFEDEB"/>
                      </w:tcPr>
                      <w:p>
                        <w:pPr>
                          <w:pStyle w:val="TableParagraph"/>
                          <w:spacing w:before="154"/>
                          <w:ind w:left="-1"/>
                          <w:jc w:val="center"/>
                          <w:rPr>
                            <w:rFonts w:ascii="Arial"/>
                            <w:sz w:val="20"/>
                          </w:rPr>
                        </w:pPr>
                        <w:r>
                          <w:rPr>
                            <w:rFonts w:ascii="Arial"/>
                            <w:w w:val="100"/>
                            <w:sz w:val="20"/>
                          </w:rPr>
                          <w:t>5</w:t>
                        </w:r>
                      </w:p>
                    </w:tc>
                    <w:tc>
                      <w:tcPr>
                        <w:tcW w:w="2913" w:type="dxa"/>
                        <w:tcBorders>
                          <w:top w:val="nil"/>
                          <w:left w:val="nil"/>
                          <w:bottom w:val="nil"/>
                        </w:tcBorders>
                        <w:shd w:val="clear" w:color="auto" w:fill="EFEDEB"/>
                      </w:tcPr>
                      <w:p>
                        <w:pPr>
                          <w:pStyle w:val="TableParagraph"/>
                          <w:spacing w:before="154"/>
                          <w:ind w:left="908" w:right="908"/>
                          <w:jc w:val="center"/>
                          <w:rPr>
                            <w:rFonts w:ascii="Arial"/>
                            <w:sz w:val="20"/>
                          </w:rPr>
                        </w:pPr>
                        <w:r>
                          <w:rPr>
                            <w:rFonts w:ascii="Arial"/>
                            <w:sz w:val="20"/>
                          </w:rPr>
                          <w:t>50.144198</w:t>
                        </w:r>
                      </w:p>
                    </w:tc>
                  </w:tr>
                  <w:tr>
                    <w:trPr>
                      <w:trHeight w:val="386" w:hRule="exact"/>
                    </w:trPr>
                    <w:tc>
                      <w:tcPr>
                        <w:tcW w:w="2913" w:type="dxa"/>
                        <w:tcBorders>
                          <w:top w:val="nil"/>
                          <w:bottom w:val="nil"/>
                          <w:right w:val="nil"/>
                        </w:tcBorders>
                        <w:shd w:val="clear" w:color="auto" w:fill="DFDAD3"/>
                      </w:tcPr>
                      <w:p>
                        <w:pPr>
                          <w:pStyle w:val="TableParagraph"/>
                          <w:spacing w:before="155"/>
                          <w:ind w:left="-1"/>
                          <w:jc w:val="center"/>
                          <w:rPr>
                            <w:rFonts w:ascii="Arial"/>
                            <w:sz w:val="20"/>
                          </w:rPr>
                        </w:pPr>
                        <w:r>
                          <w:rPr>
                            <w:rFonts w:ascii="Arial"/>
                            <w:w w:val="100"/>
                            <w:sz w:val="20"/>
                          </w:rPr>
                          <w:t>6</w:t>
                        </w:r>
                      </w:p>
                    </w:tc>
                    <w:tc>
                      <w:tcPr>
                        <w:tcW w:w="2913" w:type="dxa"/>
                        <w:tcBorders>
                          <w:top w:val="nil"/>
                          <w:left w:val="nil"/>
                          <w:bottom w:val="nil"/>
                        </w:tcBorders>
                        <w:shd w:val="clear" w:color="auto" w:fill="DFDAD3"/>
                      </w:tcPr>
                      <w:p>
                        <w:pPr>
                          <w:pStyle w:val="TableParagraph"/>
                          <w:spacing w:before="155"/>
                          <w:ind w:left="908" w:right="908"/>
                          <w:jc w:val="center"/>
                          <w:rPr>
                            <w:rFonts w:ascii="Arial"/>
                            <w:sz w:val="20"/>
                          </w:rPr>
                        </w:pPr>
                        <w:r>
                          <w:rPr>
                            <w:rFonts w:ascii="Arial"/>
                            <w:sz w:val="20"/>
                          </w:rPr>
                          <w:t>49.6153132</w:t>
                        </w:r>
                      </w:p>
                    </w:tc>
                  </w:tr>
                  <w:tr>
                    <w:trPr>
                      <w:trHeight w:val="387" w:hRule="exact"/>
                    </w:trPr>
                    <w:tc>
                      <w:tcPr>
                        <w:tcW w:w="2913" w:type="dxa"/>
                        <w:tcBorders>
                          <w:top w:val="nil"/>
                          <w:bottom w:val="nil"/>
                          <w:right w:val="nil"/>
                        </w:tcBorders>
                        <w:shd w:val="clear" w:color="auto" w:fill="EFEDEB"/>
                      </w:tcPr>
                      <w:p>
                        <w:pPr>
                          <w:pStyle w:val="TableParagraph"/>
                          <w:spacing w:before="155"/>
                          <w:ind w:left="-1"/>
                          <w:jc w:val="center"/>
                          <w:rPr>
                            <w:rFonts w:ascii="Arial"/>
                            <w:sz w:val="20"/>
                          </w:rPr>
                        </w:pPr>
                        <w:r>
                          <w:rPr>
                            <w:rFonts w:ascii="Arial"/>
                            <w:w w:val="100"/>
                            <w:sz w:val="20"/>
                          </w:rPr>
                          <w:t>7</w:t>
                        </w:r>
                      </w:p>
                    </w:tc>
                    <w:tc>
                      <w:tcPr>
                        <w:tcW w:w="2913" w:type="dxa"/>
                        <w:tcBorders>
                          <w:top w:val="nil"/>
                          <w:left w:val="nil"/>
                          <w:bottom w:val="nil"/>
                        </w:tcBorders>
                        <w:shd w:val="clear" w:color="auto" w:fill="EFEDEB"/>
                      </w:tcPr>
                      <w:p>
                        <w:pPr>
                          <w:pStyle w:val="TableParagraph"/>
                          <w:spacing w:before="155"/>
                          <w:ind w:left="908" w:right="908"/>
                          <w:jc w:val="center"/>
                          <w:rPr>
                            <w:rFonts w:ascii="Arial"/>
                            <w:sz w:val="20"/>
                          </w:rPr>
                        </w:pPr>
                        <w:r>
                          <w:rPr>
                            <w:rFonts w:ascii="Arial"/>
                            <w:sz w:val="20"/>
                          </w:rPr>
                          <w:t>49.0920067</w:t>
                        </w:r>
                      </w:p>
                    </w:tc>
                  </w:tr>
                  <w:tr>
                    <w:trPr>
                      <w:trHeight w:val="377" w:hRule="exact"/>
                    </w:trPr>
                    <w:tc>
                      <w:tcPr>
                        <w:tcW w:w="2913" w:type="dxa"/>
                        <w:tcBorders>
                          <w:top w:val="nil"/>
                          <w:right w:val="nil"/>
                        </w:tcBorders>
                        <w:shd w:val="clear" w:color="auto" w:fill="DFDAD3"/>
                      </w:tcPr>
                      <w:p>
                        <w:pPr>
                          <w:pStyle w:val="TableParagraph"/>
                          <w:spacing w:before="154"/>
                          <w:ind w:left="-1"/>
                          <w:jc w:val="center"/>
                          <w:rPr>
                            <w:rFonts w:ascii="Arial"/>
                            <w:sz w:val="20"/>
                          </w:rPr>
                        </w:pPr>
                        <w:r>
                          <w:rPr>
                            <w:rFonts w:ascii="Arial"/>
                            <w:w w:val="100"/>
                            <w:sz w:val="20"/>
                          </w:rPr>
                          <w:t>8</w:t>
                        </w:r>
                      </w:p>
                    </w:tc>
                    <w:tc>
                      <w:tcPr>
                        <w:tcW w:w="2913" w:type="dxa"/>
                        <w:tcBorders>
                          <w:top w:val="nil"/>
                          <w:left w:val="nil"/>
                        </w:tcBorders>
                        <w:shd w:val="clear" w:color="auto" w:fill="DFDAD3"/>
                      </w:tcPr>
                      <w:p>
                        <w:pPr>
                          <w:pStyle w:val="TableParagraph"/>
                          <w:spacing w:before="154"/>
                          <w:ind w:left="908" w:right="908"/>
                          <w:jc w:val="center"/>
                          <w:rPr>
                            <w:rFonts w:ascii="Arial"/>
                            <w:sz w:val="20"/>
                          </w:rPr>
                        </w:pPr>
                        <w:r>
                          <w:rPr>
                            <w:rFonts w:ascii="Arial"/>
                            <w:sz w:val="20"/>
                          </w:rPr>
                          <w:t>48.5742196</w:t>
                        </w:r>
                      </w:p>
                    </w:tc>
                  </w:tr>
                </w:tbl>
                <w:p>
                  <w:pPr>
                    <w:pStyle w:val="BodyText"/>
                  </w:pPr>
                </w:p>
              </w:txbxContent>
            </v:textbox>
            <w10:wrap type="none"/>
          </v:shape>
        </w:pict>
      </w:r>
      <w:r>
        <w:rPr/>
        <w:t>With this model could be found in a very successful way,  the manual force which will hold the person based on  height, weight and width of the hand at a certain time factors. This information can help us to determine the level of stress or fatigue that has accumulated this person and thereby contribute to the prevention of injury or</w:t>
      </w:r>
      <w:r>
        <w:rPr>
          <w:spacing w:val="-24"/>
        </w:rPr>
        <w:t> </w:t>
      </w:r>
      <w:r>
        <w:rPr/>
        <w:t>accident.</w:t>
      </w:r>
    </w:p>
    <w:p>
      <w:pPr>
        <w:pStyle w:val="BodyText"/>
      </w:pPr>
    </w:p>
    <w:p>
      <w:pPr>
        <w:pStyle w:val="BodyText"/>
        <w:spacing w:before="2"/>
      </w:pPr>
    </w:p>
    <w:p>
      <w:pPr>
        <w:pStyle w:val="Heading4"/>
        <w:numPr>
          <w:ilvl w:val="1"/>
          <w:numId w:val="64"/>
        </w:numPr>
        <w:tabs>
          <w:tab w:pos="569" w:val="left" w:leader="none"/>
        </w:tabs>
        <w:spacing w:line="240" w:lineRule="auto" w:before="0" w:after="0"/>
        <w:ind w:left="568" w:right="0" w:hanging="199"/>
        <w:jc w:val="both"/>
      </w:pPr>
      <w:r>
        <w:rPr/>
        <w:t>REFERENCES.</w:t>
      </w:r>
    </w:p>
    <w:p>
      <w:pPr>
        <w:pStyle w:val="BodyText"/>
        <w:spacing w:before="8"/>
        <w:rPr>
          <w:b/>
          <w:sz w:val="19"/>
        </w:rPr>
      </w:pPr>
    </w:p>
    <w:p>
      <w:pPr>
        <w:pStyle w:val="BodyText"/>
        <w:ind w:left="369" w:right="678"/>
        <w:jc w:val="both"/>
      </w:pPr>
      <w:r>
        <w:rPr/>
        <w:t>[1] Instituto Mexicano del Seguro Social (IMSS). </w:t>
      </w:r>
      <w:hyperlink r:id="rId518">
        <w:r>
          <w:rPr>
            <w:color w:val="0000FF"/>
            <w:u w:val="single" w:color="0000FF"/>
          </w:rPr>
          <w:t>www.imss.gob.mx/estadisticas/financieras/memoria_est.htm</w:t>
        </w:r>
      </w:hyperlink>
    </w:p>
    <w:p>
      <w:pPr>
        <w:pStyle w:val="BodyText"/>
        <w:spacing w:line="229" w:lineRule="exact"/>
        <w:ind w:left="369"/>
        <w:jc w:val="both"/>
      </w:pPr>
      <w:r>
        <w:rPr/>
        <w:t>. Consultado el 10 de noviembre del 2014.</w:t>
      </w:r>
    </w:p>
    <w:p>
      <w:pPr>
        <w:pStyle w:val="BodyText"/>
        <w:spacing w:before="120"/>
        <w:ind w:left="369" w:right="676"/>
        <w:jc w:val="both"/>
      </w:pPr>
      <w:r>
        <w:rPr/>
        <w:t>[2] A. Luttmann, K. Schmidt, M. Jäger (2010). “Working conditions, muscular activity and complaints of office workers”. International Journal of Industrial Ergonomics 40 549-559.</w:t>
      </w:r>
    </w:p>
    <w:p>
      <w:pPr>
        <w:pStyle w:val="BodyText"/>
        <w:spacing w:before="120"/>
        <w:ind w:left="369" w:right="676"/>
        <w:jc w:val="both"/>
      </w:pPr>
      <w:r>
        <w:rPr/>
        <w:t>[3] Marulanda, I. C. (2007), “Estrés laboral enemigo silencioso de la salud mental y la satisfacción con la vida”. Ed. Uniandes.</w:t>
      </w:r>
    </w:p>
    <w:p>
      <w:pPr>
        <w:pStyle w:val="BodyText"/>
        <w:spacing w:before="120"/>
        <w:ind w:left="369" w:right="677"/>
        <w:jc w:val="both"/>
      </w:pPr>
      <w:r>
        <w:rPr/>
        <w:t>[4] Montgomery, D. et al (2004), “Introducción al análisis de</w:t>
      </w:r>
      <w:r>
        <w:rPr>
          <w:spacing w:val="-7"/>
        </w:rPr>
        <w:t> </w:t>
      </w:r>
      <w:r>
        <w:rPr/>
        <w:t>regression</w:t>
      </w:r>
      <w:r>
        <w:rPr>
          <w:spacing w:val="-6"/>
        </w:rPr>
        <w:t> </w:t>
      </w:r>
      <w:r>
        <w:rPr/>
        <w:t>lineal”.</w:t>
      </w:r>
      <w:r>
        <w:rPr>
          <w:spacing w:val="-6"/>
        </w:rPr>
        <w:t> </w:t>
      </w:r>
      <w:r>
        <w:rPr/>
        <w:t>Tercera</w:t>
      </w:r>
      <w:r>
        <w:rPr>
          <w:spacing w:val="-9"/>
        </w:rPr>
        <w:t> </w:t>
      </w:r>
      <w:r>
        <w:rPr/>
        <w:t>edición.</w:t>
      </w:r>
      <w:r>
        <w:rPr>
          <w:spacing w:val="-6"/>
        </w:rPr>
        <w:t> </w:t>
      </w:r>
      <w:r>
        <w:rPr/>
        <w:t>Ed.</w:t>
      </w:r>
      <w:r>
        <w:rPr>
          <w:spacing w:val="-6"/>
        </w:rPr>
        <w:t> </w:t>
      </w:r>
      <w:r>
        <w:rPr/>
        <w:t>Cecsa.</w:t>
      </w:r>
    </w:p>
    <w:p>
      <w:pPr>
        <w:pStyle w:val="BodyText"/>
        <w:spacing w:before="120"/>
        <w:ind w:left="369" w:right="677"/>
        <w:jc w:val="both"/>
      </w:pPr>
      <w:r>
        <w:rPr/>
        <w:t>[5] Wackerly, D. et al. (2008). “Estadística matemática con aplicaciones”. Séptima edición. Ed. Cengage learning.</w:t>
      </w:r>
    </w:p>
    <w:p>
      <w:pPr>
        <w:pStyle w:val="BodyText"/>
        <w:spacing w:before="11"/>
        <w:rPr>
          <w:sz w:val="19"/>
        </w:rPr>
      </w:pPr>
    </w:p>
    <w:p>
      <w:pPr>
        <w:pStyle w:val="BodyText"/>
        <w:ind w:left="369" w:right="677"/>
        <w:jc w:val="both"/>
      </w:pPr>
      <w:r>
        <w:rPr/>
        <w:t>[6] L. Ma, D. Chablat, F. Bennis, W. Zhang, B. Hu, F. Guillaume (2011), “A novel approach for determining fatigue resistances of different muscle groups in statics cases”. International Journal of Industrial Ergonomics 41 10-18.</w:t>
      </w:r>
    </w:p>
    <w:p>
      <w:pPr>
        <w:spacing w:after="0"/>
        <w:jc w:val="both"/>
        <w:sectPr>
          <w:type w:val="continuous"/>
          <w:pgSz w:w="12240" w:h="15840"/>
          <w:pgMar w:top="1500" w:bottom="280" w:left="280" w:right="220"/>
          <w:cols w:num="2" w:equalWidth="0">
            <w:col w:w="5786" w:space="40"/>
            <w:col w:w="5914"/>
          </w:cols>
        </w:sectPr>
      </w:pPr>
    </w:p>
    <w:p>
      <w:pPr>
        <w:pStyle w:val="BodyText"/>
        <w:spacing w:before="4"/>
        <w:rPr>
          <w:sz w:val="11"/>
        </w:rPr>
      </w:pPr>
    </w:p>
    <w:p>
      <w:pPr>
        <w:spacing w:after="0"/>
        <w:rPr>
          <w:sz w:val="11"/>
        </w:rPr>
        <w:sectPr>
          <w:footerReference w:type="default" r:id="rId519"/>
          <w:pgSz w:w="12240" w:h="15840"/>
          <w:pgMar w:footer="553" w:header="545" w:top="1060" w:bottom="740" w:left="580" w:right="220"/>
        </w:sectPr>
      </w:pPr>
    </w:p>
    <w:p>
      <w:pPr>
        <w:pStyle w:val="Heading1"/>
        <w:spacing w:before="77"/>
        <w:ind w:left="265" w:right="1"/>
        <w:jc w:val="center"/>
      </w:pPr>
      <w:r>
        <w:rPr/>
        <w:t>Ergonomic Analysis of Inspection Process</w:t>
      </w:r>
    </w:p>
    <w:p>
      <w:pPr>
        <w:pStyle w:val="BodyText"/>
        <w:spacing w:before="7"/>
        <w:rPr>
          <w:b/>
          <w:sz w:val="27"/>
        </w:rPr>
      </w:pPr>
    </w:p>
    <w:p>
      <w:pPr>
        <w:pStyle w:val="Heading5"/>
        <w:spacing w:line="213" w:lineRule="auto"/>
        <w:ind w:left="271" w:right="1"/>
        <w:jc w:val="center"/>
      </w:pPr>
      <w:r>
        <w:rPr>
          <w:i/>
        </w:rPr>
        <w:t>Adriana Ramírez Mexia</w:t>
      </w:r>
      <w:r>
        <w:rPr>
          <w:i/>
          <w:position w:val="9"/>
          <w:sz w:val="13"/>
        </w:rPr>
        <w:t>1</w:t>
      </w:r>
      <w:r>
        <w:rPr>
          <w:i/>
        </w:rPr>
        <w:t>; Ernesto Ramírez Cárdenas</w:t>
      </w:r>
      <w:r>
        <w:rPr>
          <w:i/>
          <w:position w:val="9"/>
          <w:sz w:val="13"/>
        </w:rPr>
        <w:t>2</w:t>
      </w:r>
      <w:r>
        <w:rPr>
          <w:i/>
        </w:rPr>
        <w:t>; </w:t>
      </w:r>
      <w:r>
        <w:rPr/>
        <w:t>María Luisa García Muela</w:t>
      </w:r>
      <w:r>
        <w:rPr>
          <w:position w:val="9"/>
          <w:sz w:val="13"/>
        </w:rPr>
        <w:t>3</w:t>
      </w:r>
      <w:r>
        <w:rPr/>
        <w:t>; Denisse Alejandra Pérez Arellanes</w:t>
      </w:r>
      <w:r>
        <w:rPr>
          <w:position w:val="9"/>
          <w:sz w:val="13"/>
        </w:rPr>
        <w:t>4</w:t>
      </w:r>
      <w:r>
        <w:rPr/>
        <w:t>.</w:t>
      </w:r>
    </w:p>
    <w:p>
      <w:pPr>
        <w:pStyle w:val="BodyText"/>
        <w:spacing w:before="1"/>
        <w:rPr>
          <w:b/>
          <w:i/>
          <w:sz w:val="18"/>
        </w:rPr>
      </w:pPr>
    </w:p>
    <w:p>
      <w:pPr>
        <w:spacing w:before="0"/>
        <w:ind w:left="1014" w:right="742" w:firstLine="0"/>
        <w:jc w:val="center"/>
        <w:rPr>
          <w:i/>
          <w:sz w:val="20"/>
        </w:rPr>
      </w:pPr>
      <w:r>
        <w:rPr>
          <w:i/>
          <w:position w:val="9"/>
          <w:sz w:val="13"/>
        </w:rPr>
        <w:t>1,2,3,4 </w:t>
      </w:r>
      <w:r>
        <w:rPr>
          <w:i/>
          <w:sz w:val="20"/>
        </w:rPr>
        <w:t>Department of Industrial Engineering </w:t>
      </w:r>
      <w:r>
        <w:rPr>
          <w:i/>
          <w:sz w:val="20"/>
        </w:rPr>
        <w:t>Instituto Tecnológico de Sonora</w:t>
      </w:r>
    </w:p>
    <w:p>
      <w:pPr>
        <w:spacing w:before="0"/>
        <w:ind w:left="1728" w:right="1456" w:firstLine="0"/>
        <w:jc w:val="center"/>
        <w:rPr>
          <w:i/>
          <w:sz w:val="20"/>
        </w:rPr>
      </w:pPr>
      <w:r>
        <w:rPr>
          <w:i/>
          <w:sz w:val="20"/>
        </w:rPr>
        <w:t>Highway to Airport km 3 </w:t>
      </w:r>
      <w:r>
        <w:rPr>
          <w:i/>
          <w:sz w:val="20"/>
        </w:rPr>
        <w:t>Guaymas, Sonora</w:t>
      </w:r>
    </w:p>
    <w:p>
      <w:pPr>
        <w:pStyle w:val="BodyText"/>
        <w:spacing w:before="2"/>
        <w:rPr>
          <w:i/>
          <w:sz w:val="24"/>
        </w:rPr>
      </w:pPr>
    </w:p>
    <w:p>
      <w:pPr>
        <w:spacing w:before="1"/>
        <w:ind w:left="270" w:right="0" w:firstLine="0"/>
        <w:jc w:val="both"/>
        <w:rPr>
          <w:b/>
          <w:sz w:val="20"/>
        </w:rPr>
      </w:pPr>
      <w:r>
        <w:rPr>
          <w:b/>
          <w:sz w:val="20"/>
        </w:rPr>
        <w:t>Resumen</w:t>
      </w:r>
    </w:p>
    <w:p>
      <w:pPr>
        <w:pStyle w:val="BodyText"/>
        <w:spacing w:before="8"/>
        <w:rPr>
          <w:b/>
          <w:sz w:val="19"/>
        </w:rPr>
      </w:pPr>
    </w:p>
    <w:p>
      <w:pPr>
        <w:pStyle w:val="BodyText"/>
        <w:ind w:left="270"/>
        <w:jc w:val="both"/>
      </w:pPr>
      <w:r>
        <w:rPr/>
        <w:t>La ergonomía es la ciencia que encuentra la óptima relación entre las características físicas de las máquinas-herramientas con las de las personas que las manejan y el ambiente en el que se desempeñan, siendo los análisis ergonómicos vitales en el estudio de las actividades que se realizan en las organizaciones pretendiendo siempre, a través de la ciencia, buscar el bienestar del trabajador y de la empresa. En este sentido en el presente trabajo se evalúan las condiciones ergonómicas desde la perspectiva hombre- máquina- ambiente de un proceso de inspección. Para ello se siguieron los pasos sugeridos por González para la evaluación del puesto de trabajo, el método REBA para la evaluación postural, método Fanger para la evaluación de la sensación térmica y NASA TLX para el análisis de la carga mental.  Con base a estos resultados se determinó el nivel de riesgo con el fin de disminuirlos y/o eliminarlos, logrando como resultado tener un plan de acción que permitirá el aumento del nivel de satisfacción personal y al mismo tiempo mejorar el sistema</w:t>
      </w:r>
      <w:r>
        <w:rPr>
          <w:spacing w:val="-15"/>
        </w:rPr>
        <w:t> </w:t>
      </w:r>
      <w:r>
        <w:rPr/>
        <w:t>productivo.</w:t>
      </w:r>
    </w:p>
    <w:p>
      <w:pPr>
        <w:pStyle w:val="BodyText"/>
      </w:pPr>
    </w:p>
    <w:p>
      <w:pPr>
        <w:pStyle w:val="BodyText"/>
      </w:pPr>
    </w:p>
    <w:p>
      <w:pPr>
        <w:spacing w:before="0"/>
        <w:ind w:left="270" w:right="0" w:firstLine="0"/>
        <w:jc w:val="both"/>
        <w:rPr>
          <w:sz w:val="20"/>
        </w:rPr>
      </w:pPr>
      <w:r>
        <w:rPr>
          <w:b/>
          <w:sz w:val="20"/>
        </w:rPr>
        <w:t>Palabras Clave: </w:t>
      </w:r>
      <w:r>
        <w:rPr>
          <w:sz w:val="20"/>
        </w:rPr>
        <w:t>Análisis, Ergonomía, Inspección.</w:t>
      </w:r>
    </w:p>
    <w:p>
      <w:pPr>
        <w:pStyle w:val="BodyText"/>
        <w:spacing w:before="2"/>
      </w:pPr>
    </w:p>
    <w:p>
      <w:pPr>
        <w:pStyle w:val="Heading5"/>
        <w:rPr>
          <w:i/>
        </w:rPr>
      </w:pPr>
      <w:r>
        <w:rPr>
          <w:i/>
        </w:rPr>
        <w:t>Abstract</w:t>
      </w:r>
    </w:p>
    <w:p>
      <w:pPr>
        <w:pStyle w:val="BodyText"/>
        <w:spacing w:before="9"/>
        <w:rPr>
          <w:b/>
          <w:i/>
          <w:sz w:val="19"/>
        </w:rPr>
      </w:pPr>
    </w:p>
    <w:p>
      <w:pPr>
        <w:spacing w:before="1"/>
        <w:ind w:left="270" w:right="0" w:firstLine="0"/>
        <w:jc w:val="both"/>
        <w:rPr>
          <w:i/>
          <w:sz w:val="20"/>
        </w:rPr>
      </w:pPr>
      <w:r>
        <w:rPr>
          <w:i/>
          <w:sz w:val="20"/>
        </w:rPr>
        <w:t>Ergonomics is the science that finds the optimal relationship </w:t>
      </w:r>
      <w:r>
        <w:rPr>
          <w:i/>
          <w:sz w:val="20"/>
        </w:rPr>
        <w:t>between the physical characteristics of the machine  and tools with people that handle them and the environment in which they perform, being vital ergonomic analysis to study of the activities performed in organizations always pretending, through science, seeking the welfare of the worker and the company. In this sense in this paper ergonomic conditions are evaluated from the perspective of  a man-machine-environment inspection process. To this was followed Gonzalez suggested steps for assessing job, REBA postural evaluation method, Fanger method for evaluating thermal sensation and NASA TLX for the analysis  of the mind load. Based on these results the risk level was determined to diminish and / or eliminate them, obtaining as a result have a plan of action that will increase the level of personal satisfaction while improving the productive system. </w:t>
      </w:r>
      <w:r>
        <w:rPr>
          <w:b/>
          <w:i/>
          <w:sz w:val="20"/>
        </w:rPr>
        <w:t>Keywords: </w:t>
      </w:r>
      <w:r>
        <w:rPr>
          <w:i/>
          <w:sz w:val="20"/>
        </w:rPr>
        <w:t>Analysis, Ergonomics,</w:t>
      </w:r>
      <w:r>
        <w:rPr>
          <w:i/>
          <w:spacing w:val="-23"/>
          <w:sz w:val="20"/>
        </w:rPr>
        <w:t> </w:t>
      </w:r>
      <w:r>
        <w:rPr>
          <w:i/>
          <w:sz w:val="20"/>
        </w:rPr>
        <w:t>Inspection.</w:t>
      </w:r>
    </w:p>
    <w:p>
      <w:pPr>
        <w:pStyle w:val="BodyText"/>
        <w:spacing w:before="74"/>
        <w:ind w:left="270" w:right="702"/>
      </w:pPr>
      <w:r>
        <w:rPr/>
        <w:br w:type="column"/>
      </w:r>
      <w:r>
        <w:rPr/>
        <w:t>Aportación a la ergonomía: Comprobar la importancia de la disciplina en el bienestar de la empresa y del trabajador.</w:t>
      </w:r>
    </w:p>
    <w:p>
      <w:pPr>
        <w:pStyle w:val="BodyText"/>
      </w:pPr>
    </w:p>
    <w:p>
      <w:pPr>
        <w:pStyle w:val="BodyText"/>
        <w:spacing w:before="1"/>
        <w:rPr>
          <w:sz w:val="21"/>
        </w:rPr>
      </w:pPr>
    </w:p>
    <w:p>
      <w:pPr>
        <w:pStyle w:val="Heading4"/>
        <w:numPr>
          <w:ilvl w:val="2"/>
          <w:numId w:val="64"/>
        </w:numPr>
        <w:tabs>
          <w:tab w:pos="1350" w:val="left" w:leader="none"/>
          <w:tab w:pos="1351" w:val="left" w:leader="none"/>
        </w:tabs>
        <w:spacing w:line="240" w:lineRule="auto" w:before="0" w:after="0"/>
        <w:ind w:left="1350" w:right="0" w:hanging="360"/>
        <w:jc w:val="left"/>
      </w:pPr>
      <w:r>
        <w:rPr/>
        <w:t>Introduction</w:t>
      </w:r>
    </w:p>
    <w:p>
      <w:pPr>
        <w:pStyle w:val="BodyText"/>
        <w:spacing w:before="1"/>
        <w:rPr>
          <w:b/>
          <w:sz w:val="17"/>
        </w:rPr>
      </w:pPr>
    </w:p>
    <w:p>
      <w:pPr>
        <w:pStyle w:val="BodyText"/>
        <w:ind w:left="270" w:right="675" w:firstLine="430"/>
        <w:jc w:val="both"/>
      </w:pPr>
      <w:r>
        <w:rPr/>
        <w:t>Ergonomics studies different working conditions that may influence the comfort and health of the worker, including factors such as lighting, noise, temperature, vibration, design of tools, machines and workstation, including elements such breaks and mealtimes [1].</w:t>
      </w:r>
    </w:p>
    <w:p>
      <w:pPr>
        <w:pStyle w:val="BodyText"/>
        <w:ind w:left="270" w:right="675" w:firstLine="430"/>
        <w:jc w:val="both"/>
      </w:pPr>
      <w:r>
        <w:rPr/>
        <w:t>Production systems are directly related to the  employee, and its efficiency is a function of the environment, when this interaction is structured in repetition of activities with high physical demanding, monotony, awkward postures and mechanical stress that involved to a risk, is why the analysis of jobs, has been established as an important tool of industrial engineering</w:t>
      </w:r>
      <w:r>
        <w:rPr>
          <w:spacing w:val="-20"/>
        </w:rPr>
        <w:t> </w:t>
      </w:r>
      <w:r>
        <w:rPr/>
        <w:t>[2].</w:t>
      </w:r>
    </w:p>
    <w:p>
      <w:pPr>
        <w:pStyle w:val="BodyText"/>
        <w:spacing w:before="11"/>
        <w:rPr>
          <w:sz w:val="19"/>
        </w:rPr>
      </w:pPr>
    </w:p>
    <w:p>
      <w:pPr>
        <w:pStyle w:val="BodyText"/>
        <w:ind w:left="270" w:right="676" w:firstLine="430"/>
        <w:jc w:val="both"/>
      </w:pPr>
      <w:r>
        <w:rPr/>
        <w:t>According to the Mexican Social Security Institute (IMSS) in Sonora, were presented occupational diseases in at least 108 men and 227 women, the main are the enthesopathies, carpal tunnel syndrome, shoulder injuries and other tenosynovitis [3]; on the other hand is that 90 percent of the musculo-skeletal injuries require timely rehabilitation treatment to prevent or reduce sequelae, which affect worker earning capacity [4]. This has the consequence of working days lost, permanent disability and even death, enough reasons to give importance to the ergonomic analysis in workstations and especially when the benefits to the employer can become nine times greater than the costs  to implement a modification to the job</w:t>
      </w:r>
      <w:r>
        <w:rPr>
          <w:spacing w:val="-18"/>
        </w:rPr>
        <w:t> </w:t>
      </w:r>
      <w:r>
        <w:rPr/>
        <w:t>[5].</w:t>
      </w:r>
    </w:p>
    <w:p>
      <w:pPr>
        <w:pStyle w:val="BodyText"/>
        <w:ind w:left="270" w:right="676" w:firstLine="430"/>
        <w:jc w:val="both"/>
      </w:pPr>
      <w:r>
        <w:rPr/>
        <w:t>It has been observed that the situation described above occurs in companies whose work activity involves very repetitive activities such as the company under study and whose inspection process aims to show surface discontinuities on materials by light, activities that people perform during 11 hours in a seated position. The process is done in a work area isolated from the production process, implying that the operator undergoes changes temperature,  it is also observed that the inspector adopts anti ergonomic postures to do their</w:t>
      </w:r>
      <w:r>
        <w:rPr>
          <w:spacing w:val="-10"/>
        </w:rPr>
        <w:t> </w:t>
      </w:r>
      <w:r>
        <w:rPr/>
        <w:t>jobs.</w:t>
      </w:r>
    </w:p>
    <w:p>
      <w:pPr>
        <w:pStyle w:val="BodyText"/>
        <w:spacing w:before="11"/>
        <w:rPr>
          <w:sz w:val="19"/>
        </w:rPr>
      </w:pPr>
    </w:p>
    <w:p>
      <w:pPr>
        <w:pStyle w:val="BodyText"/>
        <w:ind w:left="270" w:right="676" w:firstLine="430"/>
        <w:jc w:val="both"/>
      </w:pPr>
      <w:r>
        <w:rPr/>
        <w:t>In this situation the following approach arises: How could determine if the relationship man - machine - environment, involved in the inspection process offers the ergonomic conditions for staff to perform its operation comfortably and efficiently ?.</w:t>
      </w:r>
    </w:p>
    <w:p>
      <w:pPr>
        <w:pStyle w:val="BodyText"/>
      </w:pPr>
    </w:p>
    <w:p>
      <w:pPr>
        <w:pStyle w:val="BodyText"/>
        <w:spacing w:before="2"/>
      </w:pPr>
    </w:p>
    <w:p>
      <w:pPr>
        <w:pStyle w:val="Heading4"/>
        <w:numPr>
          <w:ilvl w:val="2"/>
          <w:numId w:val="64"/>
        </w:numPr>
        <w:tabs>
          <w:tab w:pos="1350" w:val="left" w:leader="none"/>
          <w:tab w:pos="1351" w:val="left" w:leader="none"/>
        </w:tabs>
        <w:spacing w:line="240" w:lineRule="auto" w:before="0" w:after="0"/>
        <w:ind w:left="1350" w:right="0" w:hanging="360"/>
        <w:jc w:val="left"/>
      </w:pPr>
      <w:r>
        <w:rPr/>
        <w:t>PURPOSE</w:t>
      </w:r>
    </w:p>
    <w:p>
      <w:pPr>
        <w:pStyle w:val="BodyText"/>
        <w:rPr>
          <w:b/>
        </w:rPr>
      </w:pPr>
    </w:p>
    <w:p>
      <w:pPr>
        <w:pStyle w:val="BodyText"/>
        <w:rPr>
          <w:b/>
        </w:rPr>
      </w:pPr>
    </w:p>
    <w:p>
      <w:pPr>
        <w:pStyle w:val="BodyText"/>
        <w:rPr>
          <w:b/>
        </w:rPr>
      </w:pPr>
    </w:p>
    <w:p>
      <w:pPr>
        <w:pStyle w:val="BodyText"/>
        <w:spacing w:before="6"/>
        <w:rPr>
          <w:b/>
        </w:rPr>
      </w:pPr>
    </w:p>
    <w:p>
      <w:pPr>
        <w:pStyle w:val="BodyText"/>
        <w:spacing w:before="1"/>
        <w:ind w:left="270" w:right="678" w:firstLine="430"/>
        <w:jc w:val="both"/>
      </w:pPr>
      <w:r>
        <w:rPr/>
        <w:t>Assess the ergonomics system current integrated by man - machine - environment in the inspection process, in</w:t>
      </w:r>
    </w:p>
    <w:p>
      <w:pPr>
        <w:spacing w:after="0"/>
        <w:jc w:val="both"/>
        <w:sectPr>
          <w:type w:val="continuous"/>
          <w:pgSz w:w="12240" w:h="15840"/>
          <w:pgMar w:top="1500" w:bottom="280" w:left="580" w:right="220"/>
          <w:cols w:num="2" w:equalWidth="0">
            <w:col w:w="5189" w:space="435"/>
            <w:col w:w="5816"/>
          </w:cols>
        </w:sectPr>
      </w:pPr>
    </w:p>
    <w:p>
      <w:pPr>
        <w:pStyle w:val="BodyText"/>
      </w:pPr>
    </w:p>
    <w:p>
      <w:pPr>
        <w:pStyle w:val="BodyText"/>
      </w:pPr>
    </w:p>
    <w:p>
      <w:pPr>
        <w:pStyle w:val="BodyText"/>
        <w:spacing w:before="1"/>
        <w:rPr>
          <w:sz w:val="11"/>
        </w:rPr>
      </w:pPr>
    </w:p>
    <w:p>
      <w:pPr>
        <w:pStyle w:val="BodyText"/>
        <w:spacing w:line="89" w:lineRule="exact"/>
        <w:ind w:left="210"/>
        <w:rPr>
          <w:sz w:val="8"/>
        </w:rPr>
      </w:pPr>
      <w:r>
        <w:rPr>
          <w:position w:val="-1"/>
          <w:sz w:val="8"/>
        </w:rPr>
        <w:pict>
          <v:group style="width:556.4pt;height:4.5pt;mso-position-horizontal-relative:char;mso-position-vertical-relative:line" coordorigin="0,0" coordsize="11128,90">
            <v:line style="position:absolute" from="30,30" to="11098,30" stroked="true" strokeweight="3pt" strokecolor="#602321"/>
            <v:line style="position:absolute" from="30,82" to="11098,82" stroked="true" strokeweight=".72pt" strokecolor="#602321"/>
          </v:group>
        </w:pict>
      </w:r>
      <w:r>
        <w:rPr>
          <w:position w:val="-1"/>
          <w:sz w:val="8"/>
        </w:rPr>
      </w:r>
    </w:p>
    <w:p>
      <w:pPr>
        <w:spacing w:after="0" w:line="89" w:lineRule="exact"/>
        <w:rPr>
          <w:sz w:val="8"/>
        </w:rPr>
        <w:sectPr>
          <w:type w:val="continuous"/>
          <w:pgSz w:w="12240" w:h="15840"/>
          <w:pgMar w:top="1500" w:bottom="280" w:left="580" w:right="220"/>
        </w:sectPr>
      </w:pPr>
    </w:p>
    <w:p>
      <w:pPr>
        <w:pStyle w:val="BodyText"/>
        <w:spacing w:before="4"/>
        <w:rPr>
          <w:sz w:val="11"/>
        </w:rPr>
      </w:pPr>
    </w:p>
    <w:p>
      <w:pPr>
        <w:spacing w:after="0"/>
        <w:rPr>
          <w:sz w:val="11"/>
        </w:rPr>
        <w:sectPr>
          <w:footerReference w:type="default" r:id="rId520"/>
          <w:pgSz w:w="12240" w:h="15840"/>
          <w:pgMar w:footer="852" w:header="545" w:top="1060" w:bottom="1040" w:left="580" w:right="220"/>
          <w:pgNumType w:start="187"/>
        </w:sectPr>
      </w:pPr>
    </w:p>
    <w:p>
      <w:pPr>
        <w:pStyle w:val="BodyText"/>
        <w:spacing w:before="74"/>
        <w:ind w:left="270"/>
      </w:pPr>
      <w:r>
        <w:rPr/>
        <w:t>order to determine whether the person carries on business as an ergonomic and efficient way.</w:t>
      </w:r>
    </w:p>
    <w:p>
      <w:pPr>
        <w:pStyle w:val="BodyText"/>
      </w:pPr>
    </w:p>
    <w:p>
      <w:pPr>
        <w:pStyle w:val="BodyText"/>
      </w:pPr>
    </w:p>
    <w:p>
      <w:pPr>
        <w:pStyle w:val="BodyText"/>
        <w:spacing w:before="1"/>
        <w:rPr>
          <w:sz w:val="21"/>
        </w:rPr>
      </w:pPr>
    </w:p>
    <w:p>
      <w:pPr>
        <w:pStyle w:val="Heading4"/>
        <w:numPr>
          <w:ilvl w:val="2"/>
          <w:numId w:val="64"/>
        </w:numPr>
        <w:tabs>
          <w:tab w:pos="1350" w:val="left" w:leader="none"/>
          <w:tab w:pos="1351" w:val="left" w:leader="none"/>
        </w:tabs>
        <w:spacing w:line="240" w:lineRule="auto" w:before="0" w:after="0"/>
        <w:ind w:left="1350" w:right="0" w:hanging="360"/>
        <w:jc w:val="left"/>
      </w:pPr>
      <w:r>
        <w:rPr/>
        <w:t>METHODOLOGY</w:t>
      </w:r>
    </w:p>
    <w:p>
      <w:pPr>
        <w:pStyle w:val="BodyText"/>
        <w:spacing w:before="9"/>
        <w:rPr>
          <w:b/>
          <w:sz w:val="19"/>
        </w:rPr>
      </w:pPr>
    </w:p>
    <w:p>
      <w:pPr>
        <w:pStyle w:val="BodyText"/>
        <w:spacing w:before="1"/>
        <w:ind w:left="270" w:firstLine="430"/>
        <w:jc w:val="both"/>
      </w:pPr>
      <w:r>
        <w:rPr/>
        <w:t>For purposes of this study an adaptation of the suggested steps by González were followed (2007) [6], and the application of methods REBA by Hignett y McAtamney (2000) [7], Evaluation of thermal sensation by Fanger (1973) using the online software of Universidad Politécnica de Valencia [8] y NASA TLX (Ames Research Center (AMC), 1988) [9]. The steps used are: 1) Analyze the tasks by applying five basic technical issues by González (2007), applying the method REBA; 2) Analyze personal skills of  the worker; 3) Analyze thermal working conditions 4) Evaluate the workload by NASA TLX method y 5) Propose corrective</w:t>
      </w:r>
      <w:r>
        <w:rPr>
          <w:spacing w:val="-17"/>
        </w:rPr>
        <w:t> </w:t>
      </w:r>
      <w:r>
        <w:rPr/>
        <w:t>measures.</w:t>
      </w:r>
    </w:p>
    <w:p>
      <w:pPr>
        <w:pStyle w:val="BodyText"/>
        <w:spacing w:before="2"/>
      </w:pPr>
    </w:p>
    <w:p>
      <w:pPr>
        <w:pStyle w:val="Heading4"/>
        <w:numPr>
          <w:ilvl w:val="2"/>
          <w:numId w:val="64"/>
        </w:numPr>
        <w:tabs>
          <w:tab w:pos="1350" w:val="left" w:leader="none"/>
          <w:tab w:pos="1351" w:val="left" w:leader="none"/>
        </w:tabs>
        <w:spacing w:line="240" w:lineRule="auto" w:before="0" w:after="0"/>
        <w:ind w:left="1350" w:right="0" w:hanging="360"/>
        <w:jc w:val="left"/>
      </w:pPr>
      <w:r>
        <w:rPr/>
        <w:t>RESULTS</w:t>
      </w:r>
    </w:p>
    <w:p>
      <w:pPr>
        <w:pStyle w:val="BodyText"/>
        <w:spacing w:before="8"/>
        <w:rPr>
          <w:b/>
          <w:sz w:val="19"/>
        </w:rPr>
      </w:pPr>
    </w:p>
    <w:p>
      <w:pPr>
        <w:pStyle w:val="BodyText"/>
        <w:ind w:left="270" w:right="1" w:firstLine="430"/>
        <w:jc w:val="both"/>
      </w:pPr>
      <w:r>
        <w:rPr>
          <w:i/>
        </w:rPr>
        <w:t>As part of task analysis </w:t>
      </w:r>
      <w:r>
        <w:rPr/>
        <w:t>has identified the area to develop the study are the operations conducted in inspecting parts of shift 1, which is a task that requires great concentration, as it is to detect imperfections in workpiece surfaces. To do this, people or inspectors must place a lamp to 15 inches away from the piece, for review by adopting forced postures during working hours. The operator performs the task of inspection, running eight movements with the left hand and right hand nine.</w:t>
      </w:r>
    </w:p>
    <w:p>
      <w:pPr>
        <w:pStyle w:val="BodyText"/>
        <w:spacing w:before="11"/>
        <w:rPr>
          <w:sz w:val="19"/>
        </w:rPr>
      </w:pPr>
    </w:p>
    <w:p>
      <w:pPr>
        <w:spacing w:before="0"/>
        <w:ind w:left="270" w:right="1" w:firstLine="430"/>
        <w:jc w:val="both"/>
        <w:rPr>
          <w:sz w:val="20"/>
        </w:rPr>
      </w:pPr>
      <w:r>
        <w:rPr>
          <w:sz w:val="20"/>
        </w:rPr>
        <w:t>The next step was to </w:t>
      </w:r>
      <w:r>
        <w:rPr>
          <w:i/>
          <w:sz w:val="20"/>
        </w:rPr>
        <w:t>apply the method REBA </w:t>
      </w:r>
      <w:r>
        <w:rPr>
          <w:sz w:val="20"/>
        </w:rPr>
        <w:t>the result being shown in Figure 1.</w:t>
      </w:r>
    </w:p>
    <w:p>
      <w:pPr>
        <w:pStyle w:val="BodyText"/>
        <w:spacing w:before="1"/>
        <w:rPr>
          <w:sz w:val="17"/>
        </w:rPr>
      </w:pPr>
      <w:r>
        <w:rPr/>
        <w:drawing>
          <wp:anchor distT="0" distB="0" distL="0" distR="0" allowOverlap="1" layoutInCell="1" locked="0" behindDoc="0" simplePos="0" relativeHeight="13624">
            <wp:simplePos x="0" y="0"/>
            <wp:positionH relativeFrom="page">
              <wp:posOffset>661034</wp:posOffset>
            </wp:positionH>
            <wp:positionV relativeFrom="paragraph">
              <wp:posOffset>150087</wp:posOffset>
            </wp:positionV>
            <wp:extent cx="2877220" cy="2247900"/>
            <wp:effectExtent l="0" t="0" r="0" b="0"/>
            <wp:wrapTopAndBottom/>
            <wp:docPr id="531" name="image316.png" descr=""/>
            <wp:cNvGraphicFramePr>
              <a:graphicFrameLocks noChangeAspect="1"/>
            </wp:cNvGraphicFramePr>
            <a:graphic>
              <a:graphicData uri="http://schemas.openxmlformats.org/drawingml/2006/picture">
                <pic:pic>
                  <pic:nvPicPr>
                    <pic:cNvPr id="532" name="image316.png"/>
                    <pic:cNvPicPr/>
                  </pic:nvPicPr>
                  <pic:blipFill>
                    <a:blip r:embed="rId521" cstate="print"/>
                    <a:stretch>
                      <a:fillRect/>
                    </a:stretch>
                  </pic:blipFill>
                  <pic:spPr>
                    <a:xfrm>
                      <a:off x="0" y="0"/>
                      <a:ext cx="2877220" cy="2247900"/>
                    </a:xfrm>
                    <a:prstGeom prst="rect">
                      <a:avLst/>
                    </a:prstGeom>
                  </pic:spPr>
                </pic:pic>
              </a:graphicData>
            </a:graphic>
          </wp:anchor>
        </w:drawing>
      </w:r>
    </w:p>
    <w:p>
      <w:pPr>
        <w:pStyle w:val="BodyText"/>
        <w:spacing w:before="8"/>
        <w:rPr>
          <w:sz w:val="17"/>
        </w:rPr>
      </w:pPr>
    </w:p>
    <w:p>
      <w:pPr>
        <w:pStyle w:val="BodyText"/>
        <w:spacing w:before="1"/>
        <w:ind w:left="271" w:right="1"/>
        <w:jc w:val="center"/>
      </w:pPr>
      <w:r>
        <w:rPr/>
        <w:t>Figure 1. REBA posture assessment of the piece taken for inspection. (Source: Formato tomado de Hignett &amp; Mcatamney (2000), 2015).</w:t>
      </w:r>
    </w:p>
    <w:p>
      <w:pPr>
        <w:pStyle w:val="BodyText"/>
        <w:spacing w:before="74"/>
        <w:ind w:left="270" w:right="676" w:firstLine="430"/>
        <w:jc w:val="both"/>
      </w:pPr>
      <w:r>
        <w:rPr/>
        <w:br w:type="column"/>
      </w:r>
      <w:r>
        <w:rPr/>
        <w:t>Taking as reference the right side of the operator, it  was found that the neck has a greater lateral inclination 20°; trunk position is between 20° and 60°; no load factor and work sitting. The group A, obtained a final score of 5. The forearm has a voltage between 60° and 100°, wrist has a greater bending 15° and the position of the arms when inspecting pieces is between 20° and 45°; Group B had a final score of 4. From the above, a score of 5 is obtained, adding a 1 by the type of activity, generating a total of 6, which means medium risk with upcoming</w:t>
      </w:r>
      <w:r>
        <w:rPr>
          <w:spacing w:val="-19"/>
        </w:rPr>
        <w:t> </w:t>
      </w:r>
      <w:r>
        <w:rPr/>
        <w:t>changes.</w:t>
      </w:r>
    </w:p>
    <w:p>
      <w:pPr>
        <w:pStyle w:val="BodyText"/>
        <w:spacing w:before="11"/>
        <w:rPr>
          <w:sz w:val="19"/>
        </w:rPr>
      </w:pPr>
    </w:p>
    <w:p>
      <w:pPr>
        <w:pStyle w:val="BodyText"/>
        <w:ind w:left="270" w:right="677" w:firstLine="430"/>
        <w:jc w:val="both"/>
      </w:pPr>
      <w:r>
        <w:rPr>
          <w:i/>
        </w:rPr>
        <w:t>In analyzing the personal skills and working </w:t>
      </w:r>
      <w:r>
        <w:rPr>
          <w:i/>
        </w:rPr>
        <w:t>conditions</w:t>
      </w:r>
      <w:r>
        <w:rPr/>
        <w:t>, must be the age of the workers are between 20 and 45 years, and since you can play both men and women. For this study specifically and according to the shift in which the investigation is being conducted, the operator is female and 41 years of age; a training two weeks to  complete this process is received. The activity is listed as a task that requires high concentration acute and vision. With regard to the </w:t>
      </w:r>
      <w:r>
        <w:rPr>
          <w:i/>
        </w:rPr>
        <w:t>evaluation of the thermal conditions</w:t>
      </w:r>
      <w:r>
        <w:rPr/>
        <w:t>, it was found that the average estimated vote (PVM) is equal to 0.42, according to the scale which is at a satisfactory level; however, it is very close tolerances this level (-0.5 and +  0.5) above according to the valuation table thrown by the software online from the Universidad Politécnica de Valencia, in applying this</w:t>
      </w:r>
      <w:r>
        <w:rPr>
          <w:spacing w:val="-14"/>
        </w:rPr>
        <w:t> </w:t>
      </w:r>
      <w:r>
        <w:rPr/>
        <w:t>method.</w:t>
      </w:r>
    </w:p>
    <w:p>
      <w:pPr>
        <w:pStyle w:val="BodyText"/>
        <w:spacing w:before="11"/>
        <w:rPr>
          <w:sz w:val="19"/>
        </w:rPr>
      </w:pPr>
    </w:p>
    <w:p>
      <w:pPr>
        <w:spacing w:before="0"/>
        <w:ind w:left="270" w:right="677" w:firstLine="430"/>
        <w:jc w:val="both"/>
        <w:rPr>
          <w:sz w:val="20"/>
        </w:rPr>
      </w:pPr>
      <w:r>
        <w:rPr>
          <w:sz w:val="20"/>
        </w:rPr>
        <w:t>Subsequently </w:t>
      </w:r>
      <w:r>
        <w:rPr>
          <w:i/>
          <w:sz w:val="20"/>
        </w:rPr>
        <w:t>mental burden analysis was performed</w:t>
      </w:r>
      <w:r>
        <w:rPr>
          <w:sz w:val="20"/>
        </w:rPr>
        <w:t>, the results are shown in Table 1.</w:t>
      </w:r>
    </w:p>
    <w:p>
      <w:pPr>
        <w:pStyle w:val="BodyText"/>
        <w:spacing w:before="11"/>
        <w:rPr>
          <w:sz w:val="19"/>
        </w:rPr>
      </w:pPr>
    </w:p>
    <w:p>
      <w:pPr>
        <w:pStyle w:val="BodyText"/>
        <w:ind w:left="1664" w:right="782" w:hanging="1271"/>
      </w:pPr>
      <w:r>
        <w:rPr/>
        <w:t>Table 1. Ratings by category for the calculation of mental load (Source: Own, 2015)</w:t>
      </w:r>
    </w:p>
    <w:p>
      <w:pPr>
        <w:pStyle w:val="BodyText"/>
        <w:spacing w:before="8"/>
        <w:rPr>
          <w:sz w:val="16"/>
        </w:rPr>
      </w:pPr>
      <w:r>
        <w:rPr/>
        <w:drawing>
          <wp:anchor distT="0" distB="0" distL="0" distR="0" allowOverlap="1" layoutInCell="1" locked="0" behindDoc="0" simplePos="0" relativeHeight="13648">
            <wp:simplePos x="0" y="0"/>
            <wp:positionH relativeFrom="page">
              <wp:posOffset>4557521</wp:posOffset>
            </wp:positionH>
            <wp:positionV relativeFrom="paragraph">
              <wp:posOffset>147028</wp:posOffset>
            </wp:positionV>
            <wp:extent cx="2192577" cy="880681"/>
            <wp:effectExtent l="0" t="0" r="0" b="0"/>
            <wp:wrapTopAndBottom/>
            <wp:docPr id="533" name="image317.jpeg" descr=""/>
            <wp:cNvGraphicFramePr>
              <a:graphicFrameLocks noChangeAspect="1"/>
            </wp:cNvGraphicFramePr>
            <a:graphic>
              <a:graphicData uri="http://schemas.openxmlformats.org/drawingml/2006/picture">
                <pic:pic>
                  <pic:nvPicPr>
                    <pic:cNvPr id="534" name="image317.jpeg"/>
                    <pic:cNvPicPr/>
                  </pic:nvPicPr>
                  <pic:blipFill>
                    <a:blip r:embed="rId522" cstate="print"/>
                    <a:stretch>
                      <a:fillRect/>
                    </a:stretch>
                  </pic:blipFill>
                  <pic:spPr>
                    <a:xfrm>
                      <a:off x="0" y="0"/>
                      <a:ext cx="2192577" cy="880681"/>
                    </a:xfrm>
                    <a:prstGeom prst="rect">
                      <a:avLst/>
                    </a:prstGeom>
                  </pic:spPr>
                </pic:pic>
              </a:graphicData>
            </a:graphic>
          </wp:anchor>
        </w:drawing>
      </w:r>
    </w:p>
    <w:p>
      <w:pPr>
        <w:pStyle w:val="BodyText"/>
        <w:spacing w:before="5"/>
        <w:rPr>
          <w:sz w:val="27"/>
        </w:rPr>
      </w:pPr>
    </w:p>
    <w:p>
      <w:pPr>
        <w:pStyle w:val="BodyText"/>
        <w:ind w:left="270" w:right="677" w:firstLine="430"/>
        <w:jc w:val="both"/>
      </w:pPr>
      <w:r>
        <w:rPr/>
        <w:t>As shown was obtained a 82.66 percent of mental workload, with highest score category of level of  frustration, that because the respondent of the inspection  area says it is tiring and unpleasant stay all day working in a small space and isolated from other</w:t>
      </w:r>
      <w:r>
        <w:rPr>
          <w:spacing w:val="-29"/>
        </w:rPr>
        <w:t> </w:t>
      </w:r>
      <w:r>
        <w:rPr/>
        <w:t>people.</w:t>
      </w:r>
    </w:p>
    <w:p>
      <w:pPr>
        <w:pStyle w:val="BodyText"/>
        <w:spacing w:before="11"/>
        <w:rPr>
          <w:sz w:val="19"/>
        </w:rPr>
      </w:pPr>
    </w:p>
    <w:p>
      <w:pPr>
        <w:pStyle w:val="BodyText"/>
        <w:ind w:left="270" w:right="675" w:firstLine="430"/>
        <w:jc w:val="both"/>
      </w:pPr>
      <w:r>
        <w:rPr/>
        <w:t>Followed a comparison with the results obtained from different ergonomic methods used in the development of the study is shown (see Table 2).</w:t>
      </w:r>
    </w:p>
    <w:p>
      <w:pPr>
        <w:spacing w:after="0"/>
        <w:jc w:val="both"/>
        <w:sectPr>
          <w:type w:val="continuous"/>
          <w:pgSz w:w="12240" w:h="15840"/>
          <w:pgMar w:top="1500" w:bottom="280" w:left="580" w:right="220"/>
          <w:cols w:num="2" w:equalWidth="0">
            <w:col w:w="5189" w:space="435"/>
            <w:col w:w="5816"/>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4"/>
        <w:ind w:left="1523" w:right="139" w:hanging="1097"/>
      </w:pPr>
      <w:r>
        <w:rPr/>
        <w:t>Table 2. Results of the application of different ergonomic methods (Source: Own, 2015)</w:t>
      </w:r>
    </w:p>
    <w:p>
      <w:pPr>
        <w:pStyle w:val="BodyText"/>
      </w:pPr>
    </w:p>
    <w:p>
      <w:pPr>
        <w:pStyle w:val="BodyText"/>
        <w:spacing w:before="10"/>
        <w:rPr>
          <w:sz w:val="16"/>
        </w:rPr>
      </w:pPr>
      <w:r>
        <w:rPr/>
        <w:drawing>
          <wp:anchor distT="0" distB="0" distL="0" distR="0" allowOverlap="1" layoutInCell="1" locked="0" behindDoc="0" simplePos="0" relativeHeight="13672">
            <wp:simplePos x="0" y="0"/>
            <wp:positionH relativeFrom="page">
              <wp:posOffset>1107947</wp:posOffset>
            </wp:positionH>
            <wp:positionV relativeFrom="paragraph">
              <wp:posOffset>148055</wp:posOffset>
            </wp:positionV>
            <wp:extent cx="2267562" cy="944499"/>
            <wp:effectExtent l="0" t="0" r="0" b="0"/>
            <wp:wrapTopAndBottom/>
            <wp:docPr id="535" name="image318.jpeg" descr=""/>
            <wp:cNvGraphicFramePr>
              <a:graphicFrameLocks noChangeAspect="1"/>
            </wp:cNvGraphicFramePr>
            <a:graphic>
              <a:graphicData uri="http://schemas.openxmlformats.org/drawingml/2006/picture">
                <pic:pic>
                  <pic:nvPicPr>
                    <pic:cNvPr id="536" name="image318.jpeg"/>
                    <pic:cNvPicPr/>
                  </pic:nvPicPr>
                  <pic:blipFill>
                    <a:blip r:embed="rId523" cstate="print"/>
                    <a:stretch>
                      <a:fillRect/>
                    </a:stretch>
                  </pic:blipFill>
                  <pic:spPr>
                    <a:xfrm>
                      <a:off x="0" y="0"/>
                      <a:ext cx="2267562" cy="944499"/>
                    </a:xfrm>
                    <a:prstGeom prst="rect">
                      <a:avLst/>
                    </a:prstGeom>
                  </pic:spPr>
                </pic:pic>
              </a:graphicData>
            </a:graphic>
          </wp:anchor>
        </w:drawing>
      </w:r>
    </w:p>
    <w:p>
      <w:pPr>
        <w:pStyle w:val="BodyText"/>
        <w:spacing w:before="8"/>
        <w:rPr>
          <w:sz w:val="16"/>
        </w:rPr>
      </w:pPr>
    </w:p>
    <w:p>
      <w:pPr>
        <w:pStyle w:val="BodyText"/>
        <w:spacing w:before="1"/>
        <w:ind w:left="270" w:firstLine="430"/>
        <w:jc w:val="both"/>
      </w:pPr>
      <w:r>
        <w:rPr/>
        <w:t>As shown in the above table, changes must be made in the workstation to lower positions non ergonomic neck,  trunk and arm of the inspector. It is need to take action to reduce the level of frustration of who performs the inspection process, this to reduce the percentage of mental</w:t>
      </w:r>
      <w:r>
        <w:rPr>
          <w:spacing w:val="-20"/>
        </w:rPr>
        <w:t> </w:t>
      </w:r>
      <w:r>
        <w:rPr/>
        <w:t>load.</w:t>
      </w:r>
    </w:p>
    <w:p>
      <w:pPr>
        <w:pStyle w:val="BodyText"/>
        <w:ind w:left="270" w:firstLine="430"/>
        <w:jc w:val="both"/>
      </w:pPr>
      <w:r>
        <w:rPr/>
        <w:t>Building on the results, </w:t>
      </w:r>
      <w:r>
        <w:rPr>
          <w:i/>
        </w:rPr>
        <w:t>it was proposed as a corrective </w:t>
      </w:r>
      <w:r>
        <w:rPr>
          <w:i/>
        </w:rPr>
        <w:t>plan</w:t>
      </w:r>
      <w:r>
        <w:rPr/>
        <w:t>, adjust the distance of manipulation between the piece and the lamp through the use of an aluminum drawer or support allowing properly inspect the piece, without  adopting non ergonomic postures and unattended to nonconformity</w:t>
      </w:r>
      <w:r>
        <w:rPr>
          <w:spacing w:val="-13"/>
        </w:rPr>
        <w:t> </w:t>
      </w:r>
      <w:r>
        <w:rPr/>
        <w:t>quality.</w:t>
      </w:r>
    </w:p>
    <w:p>
      <w:pPr>
        <w:pStyle w:val="BodyText"/>
        <w:ind w:left="270" w:firstLine="430"/>
        <w:jc w:val="both"/>
      </w:pPr>
      <w:r>
        <w:rPr/>
        <w:t>Regarding the thermal environment, it is recommended to implement a separate ventilation system inside the work area to help maintain a satisfactory thermal environment and make such studies on a regular basis to validate that the score does not rise above tolerances.</w:t>
      </w:r>
    </w:p>
    <w:p>
      <w:pPr>
        <w:pStyle w:val="BodyText"/>
        <w:ind w:left="270" w:firstLine="430"/>
        <w:jc w:val="both"/>
      </w:pPr>
      <w:r>
        <w:rPr/>
        <w:t>On the other hand, to decrease the percentage of mental workload higher staff turnover is recommended every week at the inspection station, it is noteworthy that all people working in the area are certified by the company to perform this task, so no quality inspection process is affected.</w:t>
      </w:r>
    </w:p>
    <w:p>
      <w:pPr>
        <w:pStyle w:val="BodyText"/>
        <w:spacing w:before="2"/>
      </w:pPr>
    </w:p>
    <w:p>
      <w:pPr>
        <w:pStyle w:val="Heading4"/>
        <w:numPr>
          <w:ilvl w:val="2"/>
          <w:numId w:val="64"/>
        </w:numPr>
        <w:tabs>
          <w:tab w:pos="2449" w:val="left" w:leader="none"/>
        </w:tabs>
        <w:spacing w:line="240" w:lineRule="auto" w:before="0" w:after="0"/>
        <w:ind w:left="2448" w:right="0" w:hanging="200"/>
        <w:jc w:val="left"/>
      </w:pPr>
      <w:r>
        <w:rPr/>
        <w:t>CONCLUSIONS</w:t>
      </w:r>
    </w:p>
    <w:p>
      <w:pPr>
        <w:pStyle w:val="BodyText"/>
        <w:spacing w:before="8"/>
        <w:rPr>
          <w:b/>
          <w:sz w:val="19"/>
        </w:rPr>
      </w:pPr>
    </w:p>
    <w:p>
      <w:pPr>
        <w:pStyle w:val="BodyText"/>
        <w:ind w:left="270" w:right="1" w:firstLine="430"/>
        <w:jc w:val="both"/>
      </w:pPr>
      <w:r>
        <w:rPr/>
        <w:t>In developing this study concludes that some aspects of the inspection process need improvement because it could affect the physical integrity of the worker. Adopting the proposals suggested improvement, decrease disagreements in ergonomic issue in the area, plus employee performance will be higher. It is recommended that once implemented, will again apply the methods used to verify that the risk has decreased or has been removed; postures and movements made in the process, should be monitored for a period of four months to determine the percentage of effectiveness.</w:t>
      </w:r>
    </w:p>
    <w:p>
      <w:pPr>
        <w:pStyle w:val="BodyText"/>
        <w:ind w:left="270" w:right="1" w:firstLine="430"/>
        <w:jc w:val="both"/>
      </w:pPr>
      <w:r>
        <w:rPr/>
        <w:t>Conducting such studies demonstrated concrete and sustainable manner the risks to which the operator is exposed. The analysis of the man machine-environment systems are of paramount importance because necessary information is obtained to maintain a balance in the needs of people and business, creating a</w:t>
      </w:r>
      <w:r>
        <w:rPr>
          <w:spacing w:val="-19"/>
        </w:rPr>
        <w:t> </w:t>
      </w:r>
      <w:r>
        <w:rPr/>
        <w:t>win-win.</w:t>
      </w:r>
    </w:p>
    <w:p>
      <w:pPr>
        <w:pStyle w:val="Heading4"/>
        <w:spacing w:before="77"/>
        <w:ind w:right="702"/>
        <w:jc w:val="left"/>
      </w:pPr>
      <w:r>
        <w:rPr>
          <w:b w:val="0"/>
        </w:rPr>
        <w:br w:type="column"/>
      </w:r>
      <w:r>
        <w:rPr/>
        <w:t>REFERENCES</w:t>
      </w:r>
    </w:p>
    <w:p>
      <w:pPr>
        <w:pStyle w:val="BodyText"/>
        <w:spacing w:before="8"/>
        <w:rPr>
          <w:b/>
          <w:sz w:val="19"/>
        </w:rPr>
      </w:pPr>
    </w:p>
    <w:p>
      <w:pPr>
        <w:pStyle w:val="BodyText"/>
        <w:tabs>
          <w:tab w:pos="2531" w:val="left" w:leader="none"/>
          <w:tab w:pos="4947" w:val="left" w:leader="none"/>
        </w:tabs>
        <w:ind w:left="270" w:right="676"/>
        <w:jc w:val="both"/>
      </w:pPr>
      <w:r>
        <w:rPr/>
        <w:t>[1] Alfaro, K. 2005. La ergonomía: productividad y la prevención de riesgos a la salud. Recuperado el 30 de Enero del</w:t>
        <w:tab/>
        <w:t>2015</w:t>
        <w:tab/>
        <w:t>de </w:t>
      </w:r>
      <w:hyperlink r:id="rId524">
        <w:r>
          <w:rPr/>
          <w:t>http://www.mantenimientomundial.com/sites/mm/notas/Erg</w:t>
        </w:r>
      </w:hyperlink>
      <w:r>
        <w:rPr/>
        <w:t> onomia.pdf</w:t>
      </w:r>
    </w:p>
    <w:p>
      <w:pPr>
        <w:pStyle w:val="BodyText"/>
        <w:ind w:left="270" w:right="676" w:firstLine="50"/>
        <w:jc w:val="both"/>
      </w:pPr>
      <w:r>
        <w:rPr/>
        <w:t>[2] Escárcega, J. Medina, A. Vázquez, L. 2009. Sistema de evaluación ergonómica, para estaciones de trabajo con ensamble manual, en los procesos de producción, en la industria maquiladora del Noreste del Estado de Sonora.</w:t>
      </w:r>
    </w:p>
    <w:p>
      <w:pPr>
        <w:pStyle w:val="BodyText"/>
        <w:ind w:left="270" w:right="678"/>
      </w:pPr>
      <w:r>
        <w:rPr/>
        <w:t>[3] Instituto Mexicano del Seguro Social. 2013. Memoria estadística 2013. Recuperado el 28 de Enero del 2015 de </w:t>
      </w:r>
      <w:hyperlink r:id="rId525">
        <w:r>
          <w:rPr/>
          <w:t>http://www.imss.gob.mx/conoce-al-imss/memoria-</w:t>
        </w:r>
      </w:hyperlink>
      <w:r>
        <w:rPr/>
        <w:t> estadistica-2013</w:t>
      </w:r>
    </w:p>
    <w:p>
      <w:pPr>
        <w:pStyle w:val="BodyText"/>
        <w:ind w:left="270" w:right="676"/>
      </w:pPr>
      <w:r>
        <w:rPr/>
        <w:t>[4] Milenio Digital. 2014. IMSS busca que lesiones músculo esqueléticas tengan rehabilitación. Recuperado el 20 de Enero del 2015 de </w:t>
      </w:r>
      <w:hyperlink r:id="rId526">
        <w:r>
          <w:rPr/>
          <w:t>http://www.milenio.com/hidalgo/IMSS-</w:t>
        </w:r>
      </w:hyperlink>
      <w:r>
        <w:rPr/>
        <w:t> busca-lesiones-musculo-esqueleticas- rehabilitacion_0_279572304.html</w:t>
      </w:r>
    </w:p>
    <w:p>
      <w:pPr>
        <w:pStyle w:val="BodyText"/>
        <w:ind w:left="270" w:right="676"/>
      </w:pPr>
      <w:r>
        <w:rPr/>
        <w:t>[5] Vega, E. 2014. Por qué la ergonomía hace empresas más productivas. Extraído en Septiembre 10 del 2014 de </w:t>
      </w:r>
      <w:hyperlink r:id="rId527">
        <w:r>
          <w:rPr/>
          <w:t>http://blog.lanacion.cl/2014/04/24/por-que-la-ergonomia-</w:t>
        </w:r>
      </w:hyperlink>
      <w:r>
        <w:rPr/>
        <w:t> hace-empresas-mas-productivas/</w:t>
      </w:r>
    </w:p>
    <w:p>
      <w:pPr>
        <w:pStyle w:val="BodyText"/>
        <w:ind w:left="270" w:right="702"/>
      </w:pPr>
      <w:r>
        <w:rPr/>
        <w:t>[6] González, D. 2007. Ergonomía y Psicosociología. 4ta. Edición. Editorial Fundación Confemetal. España.</w:t>
      </w:r>
    </w:p>
    <w:p>
      <w:pPr>
        <w:pStyle w:val="BodyText"/>
        <w:tabs>
          <w:tab w:pos="1259" w:val="left" w:leader="none"/>
          <w:tab w:pos="2703" w:val="left" w:leader="none"/>
          <w:tab w:pos="3747" w:val="left" w:leader="none"/>
          <w:tab w:pos="4947" w:val="left" w:leader="none"/>
        </w:tabs>
        <w:ind w:left="270" w:right="676"/>
      </w:pPr>
      <w:r>
        <w:rPr/>
        <w:t>[7] Hignett, S., Mc Atamney, L. 2000. Technical Note. Rapid Entire Body Assessment (REBA). Recuperado el 15 de</w:t>
        <w:tab/>
        <w:t>Octubre</w:t>
        <w:tab/>
        <w:t>del</w:t>
        <w:tab/>
        <w:t>2014</w:t>
        <w:tab/>
        <w:t>de </w:t>
      </w:r>
      <w:hyperlink r:id="rId528">
        <w:r>
          <w:rPr/>
          <w:t>http://www.ssu.ac.ir/cms/fileadmin/user_upload/Moavenath</w:t>
        </w:r>
      </w:hyperlink>
      <w:r>
        <w:rPr/>
        <w:t> a/MBehdashti/TebKar/PDFs/REBA  </w:t>
      </w:r>
      <w:r>
        <w:rPr>
          <w:spacing w:val="24"/>
        </w:rPr>
        <w:t> </w:t>
      </w:r>
      <w:r>
        <w:rPr/>
        <w:t>2_.pdf</w:t>
      </w:r>
    </w:p>
    <w:p>
      <w:pPr>
        <w:pStyle w:val="BodyText"/>
        <w:tabs>
          <w:tab w:pos="1259" w:val="left" w:leader="none"/>
          <w:tab w:pos="2702" w:val="left" w:leader="none"/>
          <w:tab w:pos="3746" w:val="left" w:leader="none"/>
          <w:tab w:pos="4947" w:val="left" w:leader="none"/>
        </w:tabs>
        <w:ind w:left="270" w:right="678" w:firstLine="50"/>
      </w:pPr>
      <w:r>
        <w:rPr/>
        <w:t>[8] Universidad Politécnica de Valencia. Evaluación de la sensación térmica de P.O Fanger (1973). Recuperado el 20 de</w:t>
        <w:tab/>
        <w:t>Octubre</w:t>
        <w:tab/>
        <w:t>del</w:t>
        <w:tab/>
        <w:t>2014</w:t>
        <w:tab/>
        <w:t>de </w:t>
      </w:r>
      <w:hyperlink r:id="rId529">
        <w:r>
          <w:rPr/>
          <w:t>http://www.ergonautas.upv.es/metodos/fanger/fanger-</w:t>
        </w:r>
      </w:hyperlink>
      <w:r>
        <w:rPr/>
        <w:t> ayuda.php</w:t>
      </w:r>
    </w:p>
    <w:p>
      <w:pPr>
        <w:pStyle w:val="BodyText"/>
        <w:ind w:left="270" w:right="676" w:firstLine="50"/>
        <w:jc w:val="both"/>
      </w:pPr>
      <w:r>
        <w:rPr/>
        <w:t>[9] Ames Research Center. 1988. Evalúa tu carga mental…con el método NASA. Recuperado el 25 de Octubre del 2014 de </w:t>
      </w:r>
      <w:hyperlink r:id="rId530">
        <w:r>
          <w:rPr/>
          <w:t>http://naukas.com/2011/03/28/evalua-</w:t>
        </w:r>
      </w:hyperlink>
      <w:r>
        <w:rPr/>
        <w:t> tu-carga-mental-con-el-metodo-de-la-nasa/</w:t>
      </w:r>
    </w:p>
    <w:p>
      <w:pPr>
        <w:spacing w:after="0"/>
        <w:jc w:val="both"/>
        <w:sectPr>
          <w:type w:val="continuous"/>
          <w:pgSz w:w="12240" w:h="15840"/>
          <w:pgMar w:top="1500" w:bottom="280" w:left="580" w:right="220"/>
          <w:cols w:num="2" w:equalWidth="0">
            <w:col w:w="5190" w:space="434"/>
            <w:col w:w="5816"/>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
        <w:rPr>
          <w:sz w:val="26"/>
        </w:rPr>
      </w:pPr>
    </w:p>
    <w:p>
      <w:pPr>
        <w:pStyle w:val="Heading1"/>
        <w:ind w:right="132"/>
        <w:rPr>
          <w:rFonts w:ascii="Arial"/>
        </w:rPr>
      </w:pPr>
      <w:r>
        <w:rPr/>
        <w:t>Woman workers that develop handmade flour tortilla in Los Mochis, Sinaloa. Fatigue analysis</w:t>
      </w:r>
      <w:r>
        <w:rPr>
          <w:rFonts w:ascii="Arial"/>
        </w:rPr>
        <w:t>.</w:t>
      </w:r>
    </w:p>
    <w:p>
      <w:pPr>
        <w:pStyle w:val="BodyText"/>
        <w:spacing w:before="5"/>
        <w:rPr>
          <w:rFonts w:ascii="Arial"/>
          <w:b/>
          <w:sz w:val="19"/>
        </w:rPr>
      </w:pPr>
    </w:p>
    <w:p>
      <w:pPr>
        <w:spacing w:line="213" w:lineRule="auto" w:before="0"/>
        <w:ind w:left="270" w:right="20" w:firstLine="0"/>
        <w:jc w:val="both"/>
        <w:rPr>
          <w:i/>
          <w:sz w:val="20"/>
        </w:rPr>
      </w:pPr>
      <w:r>
        <w:rPr>
          <w:i/>
          <w:sz w:val="20"/>
        </w:rPr>
        <w:t>Alberto Ramírez Leyva </w:t>
      </w:r>
      <w:r>
        <w:rPr>
          <w:i/>
          <w:position w:val="9"/>
          <w:sz w:val="13"/>
        </w:rPr>
        <w:t>a</w:t>
      </w:r>
      <w:r>
        <w:rPr>
          <w:i/>
          <w:sz w:val="20"/>
        </w:rPr>
        <w:t>, Dalia María Pacheco Gastelum </w:t>
      </w:r>
      <w:r>
        <w:rPr>
          <w:i/>
          <w:position w:val="9"/>
          <w:sz w:val="13"/>
        </w:rPr>
        <w:t>b</w:t>
      </w:r>
      <w:r>
        <w:rPr>
          <w:i/>
          <w:sz w:val="20"/>
        </w:rPr>
        <w:t>, </w:t>
      </w:r>
      <w:r>
        <w:rPr>
          <w:i/>
          <w:sz w:val="20"/>
        </w:rPr>
        <w:t>Alma Gisela Romero Cárdenas </w:t>
      </w:r>
      <w:r>
        <w:rPr>
          <w:i/>
          <w:position w:val="9"/>
          <w:sz w:val="13"/>
        </w:rPr>
        <w:t>c</w:t>
      </w:r>
      <w:r>
        <w:rPr>
          <w:i/>
          <w:sz w:val="20"/>
        </w:rPr>
        <w:t>, Ixcel Anay Zamarrón Acosta </w:t>
      </w:r>
      <w:r>
        <w:rPr>
          <w:i/>
          <w:position w:val="9"/>
          <w:sz w:val="13"/>
        </w:rPr>
        <w:t>d</w:t>
      </w:r>
      <w:r>
        <w:rPr>
          <w:i/>
          <w:sz w:val="20"/>
        </w:rPr>
        <w:t>.</w:t>
      </w:r>
    </w:p>
    <w:p>
      <w:pPr>
        <w:pStyle w:val="BodyText"/>
        <w:rPr>
          <w:i/>
          <w:sz w:val="19"/>
        </w:rPr>
      </w:pPr>
    </w:p>
    <w:p>
      <w:pPr>
        <w:spacing w:before="1"/>
        <w:ind w:left="270" w:right="2" w:firstLine="0"/>
        <w:jc w:val="both"/>
        <w:rPr>
          <w:sz w:val="16"/>
        </w:rPr>
      </w:pPr>
      <w:r>
        <w:rPr>
          <w:position w:val="7"/>
          <w:sz w:val="10"/>
        </w:rPr>
        <w:t>a </w:t>
      </w:r>
      <w:r>
        <w:rPr>
          <w:sz w:val="16"/>
        </w:rPr>
        <w:t>Instituto Tecnológico de Los Mochis, Juan de Dios Batiz y 20 de  noviembre s/n código postal 81259, alberto_ramirez_leyva@yahoo,com,  Los Mochis, Sinaloa,</w:t>
      </w:r>
      <w:r>
        <w:rPr>
          <w:spacing w:val="-19"/>
          <w:sz w:val="16"/>
        </w:rPr>
        <w:t> </w:t>
      </w:r>
      <w:r>
        <w:rPr>
          <w:sz w:val="16"/>
        </w:rPr>
        <w:t>México.</w:t>
      </w:r>
    </w:p>
    <w:p>
      <w:pPr>
        <w:spacing w:line="184" w:lineRule="exact" w:before="0"/>
        <w:ind w:left="270" w:right="0" w:firstLine="0"/>
        <w:jc w:val="both"/>
        <w:rPr>
          <w:sz w:val="16"/>
        </w:rPr>
      </w:pPr>
      <w:r>
        <w:rPr>
          <w:position w:val="7"/>
          <w:sz w:val="10"/>
        </w:rPr>
        <w:t>e   </w:t>
      </w:r>
      <w:r>
        <w:rPr>
          <w:sz w:val="16"/>
        </w:rPr>
        <w:t>Estudiante  de  Ingeniería  Industrial  del  Instituto  Tecnológico  de     Los</w:t>
      </w:r>
    </w:p>
    <w:p>
      <w:pPr>
        <w:spacing w:before="1"/>
        <w:ind w:left="270" w:right="0" w:firstLine="0"/>
        <w:jc w:val="both"/>
        <w:rPr>
          <w:sz w:val="16"/>
        </w:rPr>
      </w:pPr>
      <w:r>
        <w:rPr>
          <w:sz w:val="16"/>
        </w:rPr>
        <w:t>Mochis, Juan de Dios Batiz y 20 de noviembre s/n código postal 81259, dalia.pacheco944@hotmail,com, Los Mochis, Sinaloa, México.</w:t>
      </w:r>
    </w:p>
    <w:p>
      <w:pPr>
        <w:spacing w:line="184" w:lineRule="exact" w:before="0"/>
        <w:ind w:left="270" w:right="0" w:firstLine="0"/>
        <w:jc w:val="both"/>
        <w:rPr>
          <w:sz w:val="16"/>
        </w:rPr>
      </w:pPr>
      <w:r>
        <w:rPr>
          <w:position w:val="7"/>
          <w:sz w:val="10"/>
        </w:rPr>
        <w:t>c    </w:t>
      </w:r>
      <w:r>
        <w:rPr>
          <w:sz w:val="16"/>
        </w:rPr>
        <w:t>Estudiante  de  Ingeniería  Industrial  del  Instituto  Tecnológico  de     Los</w:t>
      </w:r>
    </w:p>
    <w:p>
      <w:pPr>
        <w:spacing w:before="1"/>
        <w:ind w:left="270" w:right="0" w:firstLine="0"/>
        <w:jc w:val="both"/>
        <w:rPr>
          <w:sz w:val="16"/>
        </w:rPr>
      </w:pPr>
      <w:r>
        <w:rPr>
          <w:sz w:val="16"/>
        </w:rPr>
        <w:t>Mochis, Juan de Dios Batiz y 20 de noviembre s/n código postal 81259, alma_gisela_2008@hotmail,com, Los Mochis, Sinaloa, México.</w:t>
      </w:r>
    </w:p>
    <w:p>
      <w:pPr>
        <w:spacing w:line="184" w:lineRule="exact" w:before="0"/>
        <w:ind w:left="270" w:right="0" w:firstLine="0"/>
        <w:jc w:val="both"/>
        <w:rPr>
          <w:sz w:val="16"/>
        </w:rPr>
      </w:pPr>
      <w:r>
        <w:rPr>
          <w:position w:val="7"/>
          <w:sz w:val="10"/>
        </w:rPr>
        <w:t>d   </w:t>
      </w:r>
      <w:r>
        <w:rPr>
          <w:sz w:val="16"/>
        </w:rPr>
        <w:t>Estudiante  de  Ingeniería  Industrial  del  Instituto  Tecnológico  de     Los</w:t>
      </w:r>
    </w:p>
    <w:p>
      <w:pPr>
        <w:spacing w:before="1"/>
        <w:ind w:left="270" w:right="0" w:firstLine="0"/>
        <w:jc w:val="both"/>
        <w:rPr>
          <w:sz w:val="16"/>
        </w:rPr>
      </w:pPr>
      <w:r>
        <w:rPr>
          <w:sz w:val="16"/>
        </w:rPr>
        <w:t>Mochis, Juan de Dios Batiz y 20 de noviembre s/n código postal 81259, ing.zamarron93@hotmail,com, Los Mochis, Sinaloa, México.</w:t>
      </w:r>
    </w:p>
    <w:p>
      <w:pPr>
        <w:pStyle w:val="BodyText"/>
        <w:spacing w:before="5"/>
        <w:rPr>
          <w:sz w:val="16"/>
        </w:rPr>
      </w:pPr>
    </w:p>
    <w:p>
      <w:pPr>
        <w:pStyle w:val="Heading4"/>
      </w:pPr>
      <w:r>
        <w:rPr/>
        <w:pict>
          <v:line style="position:absolute;mso-position-horizontal-relative:page;mso-position-vertical-relative:paragraph;z-index:13696" from="41.040001pt,13.205942pt" to="289.860001pt,13.205942pt" stroked="true" strokeweight="1.5pt" strokecolor="#000000">
            <w10:wrap type="none"/>
          </v:line>
        </w:pict>
      </w:r>
      <w:r>
        <w:rPr/>
        <w:t>Resumen</w:t>
      </w:r>
    </w:p>
    <w:p>
      <w:pPr>
        <w:pStyle w:val="BodyText"/>
        <w:spacing w:before="46"/>
        <w:ind w:left="270" w:right="18"/>
        <w:jc w:val="both"/>
      </w:pPr>
      <w:r>
        <w:rPr/>
        <w:t>Introducción: En la presente investigación se dará a conocer los aspectos que generan la fatiga en las personas que hace tortillas de harina a mano utilizando herramientas de evaluación de fatiga mental y física. El objetivo es  determinar las causas que generan la fatiga en personas que hacen tortillas de harina a mano. La investigación se llevó a cabo en las personas que hacen tortillas de harina a mano en Los Mochis Sinaloa. Se tomó una muestra poblacional de 13 personas que hacen tortillas de harina a mano a quienes le aplicamos la escala de cuatro puntos de Luke y el cuestionario subjetivo de fatiga de Yoshitake; sección A y B, donde analizaremos los datos obtenidos para  determinar  si las personas presentan fatiga. Se encontró que la edad  es  uno de los factores que influye en gran manera a que se presente fatiga en las personas que realizan dicha actividad dado que las personas que tienen más de 40 años son quienes la presentan con mayor frecuencia. Otro aspecto determinado es que además de presentar fatiga física presentan también fatiga mental. Po lo cual podemos concluir que las personas mayores de 40 años presentan fatiga después de realizar el trabajo por lo tanto es recomendable que se implemente una rutina de ejercicios para descansar los músculos después de cierta cantidad de tiempo de exposición, así se reduciría la fatiga.</w:t>
      </w:r>
    </w:p>
    <w:p>
      <w:pPr>
        <w:pStyle w:val="BodyText"/>
        <w:spacing w:before="11"/>
        <w:rPr>
          <w:sz w:val="19"/>
        </w:rPr>
      </w:pPr>
    </w:p>
    <w:p>
      <w:pPr>
        <w:pStyle w:val="BodyText"/>
        <w:ind w:left="270" w:right="20"/>
        <w:jc w:val="both"/>
      </w:pPr>
      <w:r>
        <w:rPr>
          <w:b/>
        </w:rPr>
        <w:t>Palabras clave</w:t>
      </w:r>
      <w:r>
        <w:rPr/>
        <w:t>— Cansancio, Yoshitake, escala de cuatro puntos de Luke.</w:t>
      </w:r>
    </w:p>
    <w:p>
      <w:pPr>
        <w:pStyle w:val="BodyText"/>
        <w:spacing w:before="3"/>
      </w:pPr>
    </w:p>
    <w:p>
      <w:pPr>
        <w:pStyle w:val="Heading5"/>
        <w:rPr>
          <w:i/>
        </w:rPr>
      </w:pPr>
      <w:r>
        <w:rPr/>
        <w:pict>
          <v:line style="position:absolute;mso-position-horizontal-relative:page;mso-position-vertical-relative:paragraph;z-index:13720" from="41.040001pt,13.206947pt" to="289.860001pt,13.206947pt" stroked="true" strokeweight="1.5pt" strokecolor="#000000">
            <w10:wrap type="none"/>
          </v:line>
        </w:pict>
      </w:r>
      <w:r>
        <w:rPr>
          <w:i/>
        </w:rPr>
        <w:t>Abstract</w:t>
      </w:r>
    </w:p>
    <w:p>
      <w:pPr>
        <w:spacing w:before="46"/>
        <w:ind w:left="270" w:right="19" w:firstLine="0"/>
        <w:jc w:val="both"/>
        <w:rPr>
          <w:i/>
          <w:sz w:val="20"/>
        </w:rPr>
      </w:pPr>
      <w:r>
        <w:rPr>
          <w:i/>
          <w:sz w:val="20"/>
        </w:rPr>
        <w:t>In the present investigation it will be revealed aspects that </w:t>
      </w:r>
      <w:r>
        <w:rPr>
          <w:i/>
          <w:sz w:val="20"/>
        </w:rPr>
        <w:t>generate fatigue in people making handmade tortillas using mental and physical fatigue assessment tools. The objective is determine the causes of fatigue in people making tortillas with their hand. The research was conducted on people who make handmade tortillas in Los Mochis Sinaloa. A population   sample   was   taken   of   13   people   that</w:t>
      </w:r>
      <w:r>
        <w:rPr>
          <w:i/>
          <w:spacing w:val="-4"/>
          <w:sz w:val="20"/>
        </w:rPr>
        <w:t> </w:t>
      </w:r>
      <w:r>
        <w:rPr>
          <w:i/>
          <w:sz w:val="20"/>
        </w:rPr>
        <w:t>make</w:t>
      </w:r>
    </w:p>
    <w:p>
      <w:pPr>
        <w:spacing w:before="74"/>
        <w:ind w:left="270" w:right="676" w:firstLine="0"/>
        <w:jc w:val="both"/>
        <w:rPr>
          <w:i/>
          <w:sz w:val="20"/>
        </w:rPr>
      </w:pPr>
      <w:r>
        <w:rPr/>
        <w:br w:type="column"/>
      </w:r>
      <w:r>
        <w:rPr>
          <w:i/>
          <w:sz w:val="20"/>
        </w:rPr>
        <w:t>handmade tortillas who we applied the four-point scale of </w:t>
      </w:r>
      <w:r>
        <w:rPr>
          <w:i/>
          <w:sz w:val="20"/>
        </w:rPr>
        <w:t>Luke and subjective fatigue questionnaire Yoshitake was taken; Section A and B, where we will analyze the data to determine if people have fatigue. We found that age is a factor that greatly influences to which this fatigue in people who perform this activity because people who are over 40 are those who present more frequently. Another particular aspect is that in addition to presenting physical fatigue also have mental fatigue. So we can conclude that the people over age 40 have fatigue after the job is therefore recommended that an exercise routine is implemented to relax the muscles after a certain amount of exposure time and reduce</w:t>
      </w:r>
      <w:r>
        <w:rPr>
          <w:i/>
          <w:spacing w:val="-9"/>
          <w:sz w:val="20"/>
        </w:rPr>
        <w:t> </w:t>
      </w:r>
      <w:r>
        <w:rPr>
          <w:i/>
          <w:sz w:val="20"/>
        </w:rPr>
        <w:t>fatigue.</w:t>
      </w:r>
    </w:p>
    <w:p>
      <w:pPr>
        <w:pStyle w:val="BodyText"/>
        <w:rPr>
          <w:i/>
        </w:rPr>
      </w:pPr>
    </w:p>
    <w:p>
      <w:pPr>
        <w:spacing w:before="1"/>
        <w:ind w:left="270" w:right="0" w:firstLine="0"/>
        <w:jc w:val="both"/>
        <w:rPr>
          <w:i/>
          <w:sz w:val="20"/>
        </w:rPr>
      </w:pPr>
      <w:r>
        <w:rPr>
          <w:b/>
          <w:i/>
          <w:sz w:val="20"/>
        </w:rPr>
        <w:t>Keywords</w:t>
      </w:r>
      <w:r>
        <w:rPr>
          <w:i/>
          <w:sz w:val="20"/>
        </w:rPr>
        <w:t>— Fatigue, Yoshitake, four-point scale of Luke</w:t>
      </w:r>
    </w:p>
    <w:p>
      <w:pPr>
        <w:pStyle w:val="BodyText"/>
        <w:spacing w:before="11"/>
        <w:rPr>
          <w:i/>
          <w:sz w:val="19"/>
        </w:rPr>
      </w:pPr>
    </w:p>
    <w:p>
      <w:pPr>
        <w:pStyle w:val="BodyText"/>
        <w:ind w:left="270" w:right="676"/>
        <w:jc w:val="both"/>
      </w:pPr>
      <w:r>
        <w:rPr/>
        <w:t>Relevance to Ergonomics: to investigate the relevant information about fatigue brought on working we realized that no previous research in this article we present, giving us the conclusion that this article will pioneer this workplace, and that research we reveals that workers have fatigue, this due to the position in which they work and the age of the workers usually women, since fatigue occurs in women between 40 and 60 years.</w:t>
      </w:r>
    </w:p>
    <w:p>
      <w:pPr>
        <w:pStyle w:val="BodyText"/>
        <w:spacing w:before="2"/>
      </w:pPr>
    </w:p>
    <w:p>
      <w:pPr>
        <w:pStyle w:val="Heading4"/>
      </w:pPr>
      <w:r>
        <w:rPr/>
        <w:t>1. Introduction</w:t>
      </w:r>
    </w:p>
    <w:p>
      <w:pPr>
        <w:pStyle w:val="BodyText"/>
        <w:spacing w:before="8"/>
        <w:rPr>
          <w:b/>
          <w:sz w:val="19"/>
        </w:rPr>
      </w:pPr>
    </w:p>
    <w:p>
      <w:pPr>
        <w:pStyle w:val="BodyText"/>
        <w:ind w:left="270" w:right="677"/>
        <w:jc w:val="both"/>
      </w:pPr>
      <w:r>
        <w:rPr/>
        <w:t>Any job that arises from an idea without planning properly and without any previous research is more exposed to submit risk factors for the health of the occupants of the seats or even the</w:t>
      </w:r>
      <w:r>
        <w:rPr>
          <w:spacing w:val="-20"/>
        </w:rPr>
        <w:t> </w:t>
      </w:r>
      <w:r>
        <w:rPr/>
        <w:t>establishment.</w:t>
      </w:r>
    </w:p>
    <w:p>
      <w:pPr>
        <w:pStyle w:val="BodyText"/>
        <w:spacing w:before="11"/>
        <w:rPr>
          <w:sz w:val="19"/>
        </w:rPr>
      </w:pPr>
    </w:p>
    <w:p>
      <w:pPr>
        <w:pStyle w:val="BodyText"/>
        <w:ind w:left="270" w:right="676" w:firstLine="567"/>
        <w:jc w:val="both"/>
      </w:pPr>
      <w:r>
        <w:rPr/>
        <w:t>In specific in the city of Los Mochis Sinaloa, there is a boom in the business of handmade flour tortillas, where three people involved in minimally to serve customers, the first position is the person who runs the dumplings and converts them into a tortilla, the second is the stitching tortillas on a comal and the third is that dispatches   tortillas,</w:t>
      </w:r>
    </w:p>
    <w:p>
      <w:pPr>
        <w:pStyle w:val="BodyText"/>
        <w:ind w:left="270" w:right="677"/>
        <w:jc w:val="both"/>
      </w:pPr>
      <w:r>
        <w:rPr/>
        <w:t>i.e. the packaging and delivery to the customer according to their order.</w:t>
      </w:r>
    </w:p>
    <w:p>
      <w:pPr>
        <w:pStyle w:val="BodyText"/>
        <w:spacing w:before="11"/>
        <w:rPr>
          <w:sz w:val="19"/>
        </w:rPr>
      </w:pPr>
    </w:p>
    <w:p>
      <w:pPr>
        <w:pStyle w:val="BodyText"/>
        <w:ind w:left="270" w:right="677" w:firstLine="567"/>
        <w:jc w:val="both"/>
      </w:pPr>
      <w:r>
        <w:rPr/>
        <w:t>The position of the body at work to stay long in one position (standing, sitting, kneeling ...) and awkward postures (arms above the shoulders, bending or forced extensions) can be factors in generating specified time- musco fatigue and skeletal disorders.</w:t>
      </w:r>
    </w:p>
    <w:p>
      <w:pPr>
        <w:pStyle w:val="BodyText"/>
        <w:spacing w:before="11"/>
        <w:rPr>
          <w:sz w:val="19"/>
        </w:rPr>
      </w:pPr>
    </w:p>
    <w:p>
      <w:pPr>
        <w:pStyle w:val="BodyText"/>
        <w:ind w:left="270" w:right="675" w:firstLine="567"/>
        <w:jc w:val="both"/>
      </w:pPr>
      <w:r>
        <w:rPr/>
        <w:t>In this paper we focus on the person who runs the tortillas because it is the one that is more prone to develop  an injury or have fatigue. Fatigue appears first tan an injury but how do realize that fatigue is being different? Well, when a person is tired after labor day but comes home, eats well and sleeps eight hours needed, in the morning he will get up with the same enthusiastic desire like the previous day, but if the person has difficulty sleeping, if there are enough eight hours to rest your body, then you are making an</w:t>
      </w:r>
      <w:r>
        <w:rPr>
          <w:spacing w:val="37"/>
        </w:rPr>
        <w:t> </w:t>
      </w:r>
      <w:r>
        <w:rPr/>
        <w:t>extra</w:t>
      </w:r>
      <w:r>
        <w:rPr>
          <w:spacing w:val="36"/>
        </w:rPr>
        <w:t> </w:t>
      </w:r>
      <w:r>
        <w:rPr/>
        <w:t>fatigue</w:t>
      </w:r>
      <w:r>
        <w:rPr>
          <w:spacing w:val="36"/>
        </w:rPr>
        <w:t> </w:t>
      </w:r>
      <w:r>
        <w:rPr/>
        <w:t>that</w:t>
      </w:r>
      <w:r>
        <w:rPr>
          <w:spacing w:val="36"/>
        </w:rPr>
        <w:t> </w:t>
      </w:r>
      <w:r>
        <w:rPr/>
        <w:t>can</w:t>
      </w:r>
      <w:r>
        <w:rPr>
          <w:spacing w:val="36"/>
        </w:rPr>
        <w:t> </w:t>
      </w:r>
      <w:r>
        <w:rPr/>
        <w:t>be</w:t>
      </w:r>
      <w:r>
        <w:rPr>
          <w:spacing w:val="35"/>
        </w:rPr>
        <w:t> </w:t>
      </w:r>
      <w:r>
        <w:rPr/>
        <w:t>quickly</w:t>
      </w:r>
      <w:r>
        <w:rPr>
          <w:spacing w:val="36"/>
        </w:rPr>
        <w:t> </w:t>
      </w:r>
      <w:r>
        <w:rPr/>
        <w:t>fatigue</w:t>
      </w:r>
      <w:r>
        <w:rPr>
          <w:spacing w:val="36"/>
        </w:rPr>
        <w:t> </w:t>
      </w:r>
      <w:r>
        <w:rPr/>
        <w:t>which</w:t>
      </w:r>
      <w:r>
        <w:rPr>
          <w:spacing w:val="36"/>
        </w:rPr>
        <w:t> </w:t>
      </w:r>
      <w:r>
        <w:rPr/>
        <w:t>would</w:t>
      </w:r>
    </w:p>
    <w:p>
      <w:pPr>
        <w:spacing w:after="0"/>
        <w:jc w:val="both"/>
        <w:sectPr>
          <w:type w:val="continuous"/>
          <w:pgSz w:w="12240" w:h="15840"/>
          <w:pgMar w:top="1500" w:bottom="280" w:left="580" w:right="220"/>
          <w:cols w:num="2" w:equalWidth="0">
            <w:col w:w="5211" w:space="414"/>
            <w:col w:w="5815"/>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4"/>
        <w:ind w:left="270" w:right="1"/>
        <w:jc w:val="both"/>
      </w:pPr>
      <w:r>
        <w:rPr/>
        <w:t>cause their work activities become monotonous, tired and more difficult, affecting your work or daily life.</w:t>
      </w:r>
    </w:p>
    <w:p>
      <w:pPr>
        <w:pStyle w:val="BodyText"/>
      </w:pPr>
    </w:p>
    <w:p>
      <w:pPr>
        <w:pStyle w:val="BodyText"/>
        <w:spacing w:before="2"/>
      </w:pPr>
    </w:p>
    <w:p>
      <w:pPr>
        <w:pStyle w:val="Heading4"/>
        <w:numPr>
          <w:ilvl w:val="1"/>
          <w:numId w:val="111"/>
        </w:numPr>
        <w:tabs>
          <w:tab w:pos="572" w:val="left" w:leader="none"/>
        </w:tabs>
        <w:spacing w:line="240" w:lineRule="auto" w:before="0" w:after="0"/>
        <w:ind w:left="571" w:right="0" w:hanging="301"/>
        <w:jc w:val="both"/>
      </w:pPr>
      <w:r>
        <w:rPr/>
        <w:t>Background</w:t>
      </w:r>
    </w:p>
    <w:p>
      <w:pPr>
        <w:pStyle w:val="BodyText"/>
        <w:spacing w:before="9"/>
        <w:rPr>
          <w:b/>
          <w:sz w:val="19"/>
        </w:rPr>
      </w:pPr>
    </w:p>
    <w:p>
      <w:pPr>
        <w:pStyle w:val="BodyText"/>
        <w:spacing w:before="1"/>
        <w:ind w:left="270"/>
        <w:jc w:val="both"/>
      </w:pPr>
      <w:r>
        <w:rPr/>
        <w:t>The flour tortilla is typical in the north of Mexico, where it was born during the early colonial era. Most likely arising from the combination of two factors, availability of wheat flour and the presence of groups of westernized Mesoamerican colonists, as the Tlaxcalans, who since pre colonial time they had the tortilla as part of their culinary cultural background.</w:t>
      </w:r>
    </w:p>
    <w:p>
      <w:pPr>
        <w:pStyle w:val="BodyText"/>
      </w:pPr>
    </w:p>
    <w:p>
      <w:pPr>
        <w:pStyle w:val="BodyText"/>
        <w:spacing w:before="1"/>
        <w:ind w:left="270" w:firstLine="567"/>
        <w:jc w:val="both"/>
      </w:pPr>
      <w:r>
        <w:rPr/>
        <w:t>The flour tortilla is made from mixing the following ingredients: White wheat flour, water, fat (vegetable), baking powder and salt.</w:t>
      </w:r>
    </w:p>
    <w:p>
      <w:pPr>
        <w:pStyle w:val="BodyText"/>
        <w:spacing w:before="11"/>
        <w:rPr>
          <w:sz w:val="19"/>
        </w:rPr>
      </w:pPr>
    </w:p>
    <w:p>
      <w:pPr>
        <w:pStyle w:val="BodyText"/>
        <w:ind w:left="270" w:right="1" w:firstLine="567"/>
        <w:jc w:val="both"/>
      </w:pPr>
      <w:r>
        <w:rPr/>
        <w:t>The process for making flour tortillas, specifically the fact of extend is as follows; palms are placed down on a  roller or "bread roll" rotating the wrist and applying a force, sliding forward and backward, by this the tortilla will get  thin and round so that later it is heated on a</w:t>
      </w:r>
      <w:r>
        <w:rPr>
          <w:spacing w:val="-23"/>
        </w:rPr>
        <w:t> </w:t>
      </w:r>
      <w:r>
        <w:rPr/>
        <w:t>griddle.</w:t>
      </w:r>
    </w:p>
    <w:p>
      <w:pPr>
        <w:pStyle w:val="BodyText"/>
        <w:spacing w:before="11"/>
        <w:rPr>
          <w:sz w:val="19"/>
        </w:rPr>
      </w:pPr>
    </w:p>
    <w:p>
      <w:pPr>
        <w:pStyle w:val="BodyText"/>
        <w:ind w:left="270" w:firstLine="567"/>
        <w:jc w:val="both"/>
      </w:pPr>
      <w:r>
        <w:rPr/>
        <w:t>The fact of rotating the wrists and applying a force is an unnatural movement and by repeating this process you can cause skeletal injuries in your wrists, elbows, shoulders, upper back and</w:t>
      </w:r>
      <w:r>
        <w:rPr>
          <w:spacing w:val="-6"/>
        </w:rPr>
        <w:t> </w:t>
      </w:r>
      <w:r>
        <w:rPr/>
        <w:t>neck.</w:t>
      </w:r>
    </w:p>
    <w:p>
      <w:pPr>
        <w:pStyle w:val="BodyText"/>
      </w:pPr>
    </w:p>
    <w:p>
      <w:pPr>
        <w:pStyle w:val="BodyText"/>
        <w:spacing w:before="1"/>
        <w:ind w:left="270" w:firstLine="567"/>
        <w:jc w:val="both"/>
      </w:pPr>
      <w:r>
        <w:rPr/>
        <w:t>The National Polytechnic School in the area of mechanical engineering development designed a machine that can performs the activity of extending the balls of flour and turn it into a tortilla, in order of, this thing is made to reduce the time investment in a restaurant that sold burritos, tacos and quesadillas, but also counteracts worker fatigue and that take away the activity that eventually could cause fatigue or in extreme cases</w:t>
      </w:r>
      <w:r>
        <w:rPr>
          <w:spacing w:val="-19"/>
        </w:rPr>
        <w:t> </w:t>
      </w:r>
      <w:r>
        <w:rPr/>
        <w:t>injury.</w:t>
      </w:r>
    </w:p>
    <w:p>
      <w:pPr>
        <w:pStyle w:val="BodyText"/>
        <w:spacing w:before="2"/>
      </w:pPr>
    </w:p>
    <w:p>
      <w:pPr>
        <w:pStyle w:val="Heading4"/>
        <w:numPr>
          <w:ilvl w:val="1"/>
          <w:numId w:val="111"/>
        </w:numPr>
        <w:tabs>
          <w:tab w:pos="572" w:val="left" w:leader="none"/>
        </w:tabs>
        <w:spacing w:line="240" w:lineRule="auto" w:before="0" w:after="0"/>
        <w:ind w:left="571" w:right="0" w:hanging="301"/>
        <w:jc w:val="both"/>
      </w:pPr>
      <w:r>
        <w:rPr/>
        <w:t>Problem</w:t>
      </w:r>
      <w:r>
        <w:rPr>
          <w:spacing w:val="-4"/>
        </w:rPr>
        <w:t> </w:t>
      </w:r>
      <w:r>
        <w:rPr/>
        <w:t>statement</w:t>
      </w:r>
    </w:p>
    <w:p>
      <w:pPr>
        <w:pStyle w:val="BodyText"/>
        <w:spacing w:before="9"/>
        <w:rPr>
          <w:b/>
          <w:sz w:val="19"/>
        </w:rPr>
      </w:pPr>
    </w:p>
    <w:p>
      <w:pPr>
        <w:pStyle w:val="BodyText"/>
        <w:spacing w:before="1"/>
        <w:ind w:left="270"/>
        <w:jc w:val="both"/>
      </w:pPr>
      <w:r>
        <w:rPr/>
        <w:t>In sight that in  the city of Los Mochis there are lots of  places of handmade flour tortillas and many taco restaurants they use these tortillas as a plus in their dishes, watching the work that is done we realized that people working in these places have the same position and unnatural postures for our body, even with mothers who make these tortillas at home say it's very tiring them from the preparing of the dough, to serving them at the table is this we have proposed an analysis of fatigue with ergonomic tools to determine whether people who have this activity as sustenance for his family really are at risk of physical or mental fatigue even</w:t>
      </w:r>
      <w:r>
        <w:rPr>
          <w:spacing w:val="-19"/>
        </w:rPr>
        <w:t> </w:t>
      </w:r>
      <w:r>
        <w:rPr/>
        <w:t>injury.</w:t>
      </w:r>
    </w:p>
    <w:p>
      <w:pPr>
        <w:pStyle w:val="BodyText"/>
        <w:spacing w:before="2"/>
      </w:pPr>
    </w:p>
    <w:p>
      <w:pPr>
        <w:pStyle w:val="Heading4"/>
        <w:numPr>
          <w:ilvl w:val="1"/>
          <w:numId w:val="111"/>
        </w:numPr>
        <w:tabs>
          <w:tab w:pos="572" w:val="left" w:leader="none"/>
        </w:tabs>
        <w:spacing w:line="240" w:lineRule="auto" w:before="0" w:after="0"/>
        <w:ind w:left="571" w:right="0" w:hanging="301"/>
        <w:jc w:val="both"/>
      </w:pPr>
      <w:r>
        <w:rPr/>
        <w:t>General</w:t>
      </w:r>
      <w:r>
        <w:rPr>
          <w:spacing w:val="-2"/>
        </w:rPr>
        <w:t> </w:t>
      </w:r>
      <w:r>
        <w:rPr/>
        <w:t>objective:</w:t>
      </w:r>
    </w:p>
    <w:p>
      <w:pPr>
        <w:pStyle w:val="BodyText"/>
        <w:spacing w:before="9"/>
        <w:rPr>
          <w:b/>
          <w:sz w:val="19"/>
        </w:rPr>
      </w:pPr>
    </w:p>
    <w:p>
      <w:pPr>
        <w:pStyle w:val="BodyText"/>
        <w:spacing w:before="1"/>
        <w:ind w:left="270"/>
        <w:jc w:val="both"/>
      </w:pPr>
      <w:r>
        <w:rPr/>
        <w:t>Identify if women workers of posts that extend handmade wheat flour tortillas in the city of Los Mochis present  fatigue.</w:t>
      </w:r>
    </w:p>
    <w:p>
      <w:pPr>
        <w:pStyle w:val="Heading4"/>
        <w:spacing w:before="77"/>
        <w:ind w:left="346"/>
      </w:pPr>
      <w:r>
        <w:rPr>
          <w:b w:val="0"/>
        </w:rPr>
        <w:br w:type="column"/>
      </w:r>
      <w:r>
        <w:rPr/>
        <w:t>1.3.1 Specific objectives</w:t>
      </w:r>
    </w:p>
    <w:p>
      <w:pPr>
        <w:pStyle w:val="BodyText"/>
        <w:spacing w:before="8"/>
        <w:rPr>
          <w:b/>
          <w:sz w:val="19"/>
        </w:rPr>
      </w:pPr>
    </w:p>
    <w:p>
      <w:pPr>
        <w:pStyle w:val="BodyText"/>
        <w:ind w:left="630" w:right="676" w:hanging="360"/>
        <w:jc w:val="both"/>
      </w:pPr>
      <w:r>
        <w:rPr>
          <w:rFonts w:ascii="Symbol" w:hAnsi="Symbol"/>
        </w:rPr>
        <w:t></w:t>
      </w:r>
      <w:r>
        <w:rPr/>
        <w:t> Identify the factors that can cause fatigue in people who work extending wheat flour tortillas in the places of the City.</w:t>
      </w:r>
    </w:p>
    <w:p>
      <w:pPr>
        <w:pStyle w:val="BodyText"/>
        <w:tabs>
          <w:tab w:pos="630" w:val="left" w:leader="none"/>
        </w:tabs>
        <w:ind w:left="630" w:right="677" w:hanging="360"/>
      </w:pPr>
      <w:r>
        <w:rPr>
          <w:rFonts w:ascii="Symbol" w:hAnsi="Symbol"/>
        </w:rPr>
        <w:t></w:t>
      </w:r>
      <w:r>
        <w:rPr/>
        <w:tab/>
        <w:t>Identify  anti  ergonomic  postures  that  may</w:t>
      </w:r>
      <w:r>
        <w:rPr>
          <w:spacing w:val="37"/>
        </w:rPr>
        <w:t> </w:t>
      </w:r>
      <w:r>
        <w:rPr/>
        <w:t>be</w:t>
      </w:r>
      <w:r>
        <w:rPr>
          <w:spacing w:val="47"/>
        </w:rPr>
        <w:t> </w:t>
      </w:r>
      <w:r>
        <w:rPr/>
        <w:t>present</w:t>
      </w:r>
      <w:r>
        <w:rPr>
          <w:spacing w:val="-1"/>
          <w:w w:val="100"/>
        </w:rPr>
        <w:t> </w:t>
      </w:r>
      <w:r>
        <w:rPr/>
        <w:t>fatigue</w:t>
      </w:r>
      <w:r>
        <w:rPr>
          <w:spacing w:val="-3"/>
        </w:rPr>
        <w:t> </w:t>
      </w:r>
      <w:r>
        <w:rPr/>
        <w:t>factor.</w:t>
      </w:r>
    </w:p>
    <w:p>
      <w:pPr>
        <w:pStyle w:val="BodyText"/>
        <w:spacing w:before="3"/>
      </w:pPr>
    </w:p>
    <w:p>
      <w:pPr>
        <w:pStyle w:val="Heading4"/>
        <w:numPr>
          <w:ilvl w:val="1"/>
          <w:numId w:val="111"/>
        </w:numPr>
        <w:tabs>
          <w:tab w:pos="648" w:val="left" w:leader="none"/>
        </w:tabs>
        <w:spacing w:line="240" w:lineRule="auto" w:before="0" w:after="0"/>
        <w:ind w:left="647" w:right="0" w:hanging="301"/>
        <w:jc w:val="both"/>
      </w:pPr>
      <w:r>
        <w:rPr/>
        <w:t>Hypothesis</w:t>
      </w:r>
    </w:p>
    <w:p>
      <w:pPr>
        <w:pStyle w:val="BodyText"/>
        <w:spacing w:before="8"/>
        <w:rPr>
          <w:b/>
          <w:sz w:val="19"/>
        </w:rPr>
      </w:pPr>
    </w:p>
    <w:p>
      <w:pPr>
        <w:pStyle w:val="ListParagraph"/>
        <w:numPr>
          <w:ilvl w:val="0"/>
          <w:numId w:val="112"/>
        </w:numPr>
        <w:tabs>
          <w:tab w:pos="547" w:val="left" w:leader="none"/>
        </w:tabs>
        <w:spacing w:line="240" w:lineRule="auto" w:before="0" w:after="0"/>
        <w:ind w:left="346" w:right="677" w:firstLine="0"/>
        <w:jc w:val="both"/>
        <w:rPr>
          <w:sz w:val="20"/>
        </w:rPr>
      </w:pPr>
      <w:r>
        <w:rPr>
          <w:sz w:val="20"/>
        </w:rPr>
        <w:t>Workers who make handmade flour tortillas suffer fatigue from positions in which they</w:t>
      </w:r>
      <w:r>
        <w:rPr>
          <w:spacing w:val="-17"/>
          <w:sz w:val="20"/>
        </w:rPr>
        <w:t> </w:t>
      </w:r>
      <w:r>
        <w:rPr>
          <w:sz w:val="20"/>
        </w:rPr>
        <w:t>works.</w:t>
      </w:r>
    </w:p>
    <w:p>
      <w:pPr>
        <w:pStyle w:val="BodyText"/>
        <w:spacing w:before="11"/>
        <w:rPr>
          <w:sz w:val="19"/>
        </w:rPr>
      </w:pPr>
    </w:p>
    <w:p>
      <w:pPr>
        <w:pStyle w:val="ListParagraph"/>
        <w:numPr>
          <w:ilvl w:val="0"/>
          <w:numId w:val="112"/>
        </w:numPr>
        <w:tabs>
          <w:tab w:pos="562" w:val="left" w:leader="none"/>
        </w:tabs>
        <w:spacing w:line="240" w:lineRule="auto" w:before="0" w:after="0"/>
        <w:ind w:left="346" w:right="678" w:firstLine="0"/>
        <w:jc w:val="both"/>
        <w:rPr>
          <w:sz w:val="20"/>
        </w:rPr>
      </w:pPr>
      <w:r>
        <w:rPr>
          <w:sz w:val="20"/>
        </w:rPr>
        <w:t>Workers who make handmade flour tortillas can develop with the positions they are performing their</w:t>
      </w:r>
      <w:r>
        <w:rPr>
          <w:spacing w:val="-26"/>
          <w:sz w:val="20"/>
        </w:rPr>
        <w:t> </w:t>
      </w:r>
      <w:r>
        <w:rPr>
          <w:sz w:val="20"/>
        </w:rPr>
        <w:t>work.</w:t>
      </w:r>
    </w:p>
    <w:p>
      <w:pPr>
        <w:pStyle w:val="BodyText"/>
        <w:spacing w:before="2"/>
      </w:pPr>
    </w:p>
    <w:p>
      <w:pPr>
        <w:pStyle w:val="Heading4"/>
        <w:numPr>
          <w:ilvl w:val="1"/>
          <w:numId w:val="111"/>
        </w:numPr>
        <w:tabs>
          <w:tab w:pos="647" w:val="left" w:leader="none"/>
        </w:tabs>
        <w:spacing w:line="240" w:lineRule="auto" w:before="0" w:after="0"/>
        <w:ind w:left="646" w:right="0" w:hanging="300"/>
        <w:jc w:val="both"/>
      </w:pPr>
      <w:r>
        <w:rPr/>
        <w:t>Justification</w:t>
      </w:r>
    </w:p>
    <w:p>
      <w:pPr>
        <w:pStyle w:val="BodyText"/>
        <w:spacing w:before="8"/>
        <w:rPr>
          <w:b/>
          <w:sz w:val="19"/>
        </w:rPr>
      </w:pPr>
    </w:p>
    <w:p>
      <w:pPr>
        <w:pStyle w:val="BodyText"/>
        <w:ind w:left="346" w:right="677"/>
        <w:jc w:val="both"/>
      </w:pPr>
      <w:r>
        <w:rPr/>
        <w:t>After an exhaustive search for information about information of fatigue in people who make tortillas, and we are of wheat and corn, we realized that there are no specific records of any studies about these problems (mental and physical fatigue) to which these workers are exposed and if in such case the positions are not designed in a right way, can be harmful to the physical and mental health of the occupants of these</w:t>
      </w:r>
      <w:r>
        <w:rPr>
          <w:spacing w:val="-17"/>
        </w:rPr>
        <w:t> </w:t>
      </w:r>
      <w:r>
        <w:rPr/>
        <w:t>positions.</w:t>
      </w:r>
    </w:p>
    <w:p>
      <w:pPr>
        <w:pStyle w:val="BodyText"/>
        <w:spacing w:before="11"/>
        <w:rPr>
          <w:sz w:val="19"/>
        </w:rPr>
      </w:pPr>
    </w:p>
    <w:p>
      <w:pPr>
        <w:pStyle w:val="BodyText"/>
        <w:ind w:left="1353" w:right="873" w:hanging="797"/>
      </w:pPr>
      <w:r>
        <w:rPr/>
        <w:drawing>
          <wp:anchor distT="0" distB="0" distL="0" distR="0" allowOverlap="1" layoutInCell="1" locked="0" behindDoc="1" simplePos="0" relativeHeight="267570383">
            <wp:simplePos x="0" y="0"/>
            <wp:positionH relativeFrom="page">
              <wp:posOffset>4111752</wp:posOffset>
            </wp:positionH>
            <wp:positionV relativeFrom="paragraph">
              <wp:posOffset>293875</wp:posOffset>
            </wp:positionV>
            <wp:extent cx="3089909" cy="1484376"/>
            <wp:effectExtent l="0" t="0" r="0" b="0"/>
            <wp:wrapNone/>
            <wp:docPr id="537" name="image319.jpeg" descr=""/>
            <wp:cNvGraphicFramePr>
              <a:graphicFrameLocks noChangeAspect="1"/>
            </wp:cNvGraphicFramePr>
            <a:graphic>
              <a:graphicData uri="http://schemas.openxmlformats.org/drawingml/2006/picture">
                <pic:pic>
                  <pic:nvPicPr>
                    <pic:cNvPr id="538" name="image319.jpeg"/>
                    <pic:cNvPicPr/>
                  </pic:nvPicPr>
                  <pic:blipFill>
                    <a:blip r:embed="rId531" cstate="print"/>
                    <a:stretch>
                      <a:fillRect/>
                    </a:stretch>
                  </pic:blipFill>
                  <pic:spPr>
                    <a:xfrm>
                      <a:off x="0" y="0"/>
                      <a:ext cx="3089909" cy="1484376"/>
                    </a:xfrm>
                    <a:prstGeom prst="rect">
                      <a:avLst/>
                    </a:prstGeom>
                  </pic:spPr>
                </pic:pic>
              </a:graphicData>
            </a:graphic>
          </wp:anchor>
        </w:drawing>
      </w:r>
      <w:r>
        <w:rPr/>
        <w:t>Table 1 - Occupational diseases according nature of the injury and sex, 2011 - 2013 Sinaloa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23"/>
        </w:rPr>
      </w:pPr>
    </w:p>
    <w:p>
      <w:pPr>
        <w:pStyle w:val="BodyText"/>
        <w:spacing w:line="460" w:lineRule="atLeast"/>
        <w:ind w:left="913" w:right="513" w:firstLine="86"/>
      </w:pPr>
      <w:r>
        <w:rPr/>
        <w:t>Source: Reports statistics IMSS, 2011- 2013 According  to  statistics of  IMSS regarding  working</w:t>
      </w:r>
    </w:p>
    <w:p>
      <w:pPr>
        <w:pStyle w:val="BodyText"/>
        <w:ind w:left="346" w:right="677"/>
        <w:jc w:val="both"/>
      </w:pPr>
      <w:r>
        <w:rPr/>
        <w:t>conditions according to Table 1 the injury rate has increased year by year because of not controling the fatigue of workers.</w:t>
      </w:r>
    </w:p>
    <w:p>
      <w:pPr>
        <w:pStyle w:val="BodyText"/>
      </w:pPr>
    </w:p>
    <w:p>
      <w:pPr>
        <w:pStyle w:val="BodyText"/>
        <w:spacing w:before="1"/>
        <w:ind w:left="346" w:right="675" w:firstLine="567"/>
        <w:jc w:val="both"/>
      </w:pPr>
      <w:r>
        <w:rPr/>
        <w:t>3.37% of men have shoulder injuries, respiratory diseases 1.12%, 2.24% pneumoconiosis and 65% of other diseases in the course of 2013.</w:t>
      </w:r>
    </w:p>
    <w:p>
      <w:pPr>
        <w:pStyle w:val="BodyText"/>
        <w:spacing w:before="2"/>
      </w:pPr>
    </w:p>
    <w:p>
      <w:pPr>
        <w:pStyle w:val="Heading4"/>
        <w:ind w:left="346"/>
      </w:pPr>
      <w:r>
        <w:rPr/>
        <w:t>1.5 Reference framework</w:t>
      </w:r>
    </w:p>
    <w:p>
      <w:pPr>
        <w:pStyle w:val="BodyText"/>
        <w:spacing w:before="8"/>
        <w:rPr>
          <w:b/>
          <w:sz w:val="19"/>
        </w:rPr>
      </w:pPr>
    </w:p>
    <w:p>
      <w:pPr>
        <w:pStyle w:val="BodyText"/>
        <w:ind w:left="346" w:right="676"/>
        <w:jc w:val="both"/>
      </w:pPr>
      <w:r>
        <w:rPr/>
        <w:t>This research is regarding to fatigue to be treated. For this, a series of studies where the way of how these concepts were used specifying develops, all important as points of reference for the study could be completed</w:t>
      </w:r>
      <w:r>
        <w:rPr>
          <w:spacing w:val="-8"/>
        </w:rPr>
        <w:t> </w:t>
      </w:r>
      <w:r>
        <w:rPr/>
        <w:t>successfully.</w:t>
      </w:r>
    </w:p>
    <w:p>
      <w:pPr>
        <w:pStyle w:val="BodyText"/>
        <w:spacing w:before="3"/>
      </w:pPr>
    </w:p>
    <w:p>
      <w:pPr>
        <w:pStyle w:val="Heading4"/>
        <w:ind w:left="346"/>
      </w:pPr>
      <w:r>
        <w:rPr/>
        <w:t>1.5 Theoretical framework</w:t>
      </w:r>
    </w:p>
    <w:p>
      <w:pPr>
        <w:spacing w:after="0"/>
        <w:sectPr>
          <w:type w:val="continuous"/>
          <w:pgSz w:w="12240" w:h="15840"/>
          <w:pgMar w:top="1500" w:bottom="280" w:left="580" w:right="220"/>
          <w:cols w:num="2" w:equalWidth="0">
            <w:col w:w="5189" w:space="359"/>
            <w:col w:w="5892"/>
          </w:cols>
        </w:sectPr>
      </w:pPr>
    </w:p>
    <w:p>
      <w:pPr>
        <w:pStyle w:val="BodyText"/>
        <w:spacing w:before="4"/>
        <w:rPr>
          <w:b/>
          <w:sz w:val="11"/>
        </w:rPr>
      </w:pPr>
    </w:p>
    <w:p>
      <w:pPr>
        <w:spacing w:after="0"/>
        <w:rPr>
          <w:sz w:val="11"/>
        </w:rPr>
        <w:sectPr>
          <w:pgSz w:w="12240" w:h="15840"/>
          <w:pgMar w:header="545" w:footer="852" w:top="1060" w:bottom="1040" w:left="580" w:right="220"/>
        </w:sectPr>
      </w:pPr>
    </w:p>
    <w:p>
      <w:pPr>
        <w:pStyle w:val="BodyText"/>
        <w:spacing w:before="4"/>
        <w:rPr>
          <w:b/>
          <w:sz w:val="26"/>
        </w:rPr>
      </w:pPr>
    </w:p>
    <w:p>
      <w:pPr>
        <w:pStyle w:val="BodyText"/>
        <w:spacing w:before="1"/>
        <w:ind w:left="270" w:right="1"/>
        <w:jc w:val="both"/>
      </w:pPr>
      <w:r>
        <w:rPr/>
        <w:t>Production of occupational diseases can trigger or worsen common diseases by the use of new technologies (computer, machine automation, robotics, etc.,) and the lack of ergonomic conditions in jobs. It is now recognized that fatigue can occur in different parts of the body presenting general body muscular and mental way, affecting various body parts such as cardiovascular system, skeletal muscle and the brain. (Masuad et al,</w:t>
      </w:r>
      <w:r>
        <w:rPr>
          <w:spacing w:val="-21"/>
        </w:rPr>
        <w:t> </w:t>
      </w:r>
      <w:r>
        <w:rPr/>
        <w:t>1990).</w:t>
      </w:r>
    </w:p>
    <w:p>
      <w:pPr>
        <w:pStyle w:val="BodyText"/>
        <w:spacing w:before="11"/>
        <w:rPr>
          <w:sz w:val="19"/>
        </w:rPr>
      </w:pPr>
    </w:p>
    <w:p>
      <w:pPr>
        <w:pStyle w:val="BodyText"/>
        <w:ind w:left="270" w:right="1" w:firstLine="567"/>
        <w:jc w:val="both"/>
      </w:pPr>
      <w:r>
        <w:rPr/>
        <w:t>The development of extending the dumplings to turn them into a tortilla is considered a static work because the person who develops remains in one position for a specified period.</w:t>
      </w:r>
    </w:p>
    <w:p>
      <w:pPr>
        <w:pStyle w:val="BodyText"/>
        <w:spacing w:before="11"/>
        <w:rPr>
          <w:sz w:val="19"/>
        </w:rPr>
      </w:pPr>
    </w:p>
    <w:p>
      <w:pPr>
        <w:pStyle w:val="BodyText"/>
        <w:ind w:left="270" w:firstLine="567"/>
        <w:jc w:val="both"/>
      </w:pPr>
      <w:r>
        <w:rPr/>
        <w:t>According to the document "</w:t>
      </w:r>
      <w:r>
        <w:rPr>
          <w:i/>
        </w:rPr>
        <w:t>Posturas de trabajo: </w:t>
      </w:r>
      <w:r>
        <w:rPr>
          <w:i/>
        </w:rPr>
        <w:t>evaluación de riesgo” from </w:t>
      </w:r>
      <w:r>
        <w:rPr/>
        <w:t>Centro Nacional de nuevas Tecnologías and Instituto Nacional de Higiene y Seguridad en el trabajo, says: "... During the static work, prolonged muscle contraction compresses blood vessels causing  reduced blood supply to the contracted muscle (and bones and joints in the area), so full fewer nutrients and oxygen needed for muscular work. This causes the onset of muscle fatigue, maintaining limiting shrinkage.</w:t>
      </w:r>
      <w:r>
        <w:rPr>
          <w:spacing w:val="-20"/>
        </w:rPr>
        <w:t> </w:t>
      </w:r>
      <w:r>
        <w:rPr/>
        <w:t>"</w:t>
      </w:r>
    </w:p>
    <w:p>
      <w:pPr>
        <w:pStyle w:val="BodyText"/>
        <w:spacing w:before="11"/>
        <w:rPr>
          <w:sz w:val="19"/>
        </w:rPr>
      </w:pPr>
    </w:p>
    <w:p>
      <w:pPr>
        <w:pStyle w:val="BodyText"/>
        <w:ind w:left="270" w:right="1" w:firstLine="567"/>
        <w:jc w:val="both"/>
      </w:pPr>
      <w:r>
        <w:rPr/>
        <w:t>Muscle fatigue manifests with signs such as warmth  in the area of muscles, muscle tremors, tingling or even muscle</w:t>
      </w:r>
      <w:r>
        <w:rPr>
          <w:spacing w:val="-7"/>
        </w:rPr>
        <w:t> </w:t>
      </w:r>
      <w:r>
        <w:rPr/>
        <w:t>pain.</w:t>
      </w:r>
    </w:p>
    <w:p>
      <w:pPr>
        <w:pStyle w:val="BodyText"/>
      </w:pPr>
    </w:p>
    <w:p>
      <w:pPr>
        <w:pStyle w:val="BodyText"/>
        <w:spacing w:before="1"/>
        <w:ind w:left="270" w:right="1" w:firstLine="567"/>
        <w:jc w:val="both"/>
      </w:pPr>
      <w:r>
        <w:rPr/>
        <w:t>Numbness: subjective feeling of heaviness, numbness or tingling, of a body part.</w:t>
      </w:r>
    </w:p>
    <w:p>
      <w:pPr>
        <w:pStyle w:val="BodyText"/>
        <w:spacing w:before="11"/>
        <w:rPr>
          <w:sz w:val="19"/>
        </w:rPr>
      </w:pPr>
    </w:p>
    <w:p>
      <w:pPr>
        <w:pStyle w:val="BodyText"/>
        <w:ind w:left="270" w:firstLine="567"/>
        <w:jc w:val="both"/>
      </w:pPr>
      <w:r>
        <w:rPr/>
        <w:t>According to Benjamin W. Nievel fatigue can be defined as a physical or mental exhaustion that occurs as a result of work or effort, and is characterized by the inability to perform tasks with the pace or the regular force, and for greater slowness of rational processes that can cause a memory leak.</w:t>
      </w:r>
    </w:p>
    <w:p>
      <w:pPr>
        <w:pStyle w:val="BodyText"/>
        <w:spacing w:before="11"/>
        <w:rPr>
          <w:sz w:val="19"/>
        </w:rPr>
      </w:pPr>
    </w:p>
    <w:p>
      <w:pPr>
        <w:pStyle w:val="BodyText"/>
        <w:ind w:left="270" w:right="1" w:firstLine="567"/>
        <w:jc w:val="both"/>
      </w:pPr>
      <w:r>
        <w:rPr/>
        <w:t>Yoshitake subjective questionnaire is a questionnaire that measures the types and magnitudes of fatigue presented on workers, covers three dimensions of self-perceived  fatigue Labor carrying 10 questions for mental demands at work, 10 for the physical manifestations of fatigue and 10 to investigate the mixed</w:t>
      </w:r>
      <w:r>
        <w:rPr>
          <w:spacing w:val="-13"/>
        </w:rPr>
        <w:t> </w:t>
      </w:r>
      <w:r>
        <w:rPr/>
        <w:t>symptoms.</w:t>
      </w:r>
    </w:p>
    <w:p>
      <w:pPr>
        <w:pStyle w:val="BodyText"/>
      </w:pPr>
    </w:p>
    <w:p>
      <w:pPr>
        <w:pStyle w:val="BodyText"/>
        <w:spacing w:before="1"/>
        <w:ind w:left="270" w:firstLine="567"/>
        <w:jc w:val="both"/>
      </w:pPr>
      <w:r>
        <w:rPr/>
        <w:t>Four-point method Luke Questionnaire shows the level of fatigue of a worker.</w:t>
      </w:r>
    </w:p>
    <w:p>
      <w:pPr>
        <w:pStyle w:val="BodyText"/>
      </w:pPr>
    </w:p>
    <w:p>
      <w:pPr>
        <w:pStyle w:val="BodyText"/>
        <w:spacing w:before="1"/>
        <w:ind w:left="270" w:firstLine="567"/>
        <w:jc w:val="both"/>
      </w:pPr>
      <w:r>
        <w:rPr/>
        <w:t>Flour tortillas: food made of wheat flour, round and flattened. The idea is originated in America, but the flour tortilla is mostly consumed in European countries. (Requerimientos técnicos de Acceso al Mercado de EE UU).</w:t>
      </w:r>
    </w:p>
    <w:p>
      <w:pPr>
        <w:pStyle w:val="BodyText"/>
        <w:spacing w:before="3"/>
      </w:pPr>
    </w:p>
    <w:p>
      <w:pPr>
        <w:pStyle w:val="Heading4"/>
        <w:numPr>
          <w:ilvl w:val="0"/>
          <w:numId w:val="113"/>
        </w:numPr>
        <w:tabs>
          <w:tab w:pos="472" w:val="left" w:leader="none"/>
        </w:tabs>
        <w:spacing w:line="240" w:lineRule="auto" w:before="0" w:after="0"/>
        <w:ind w:left="471" w:right="0" w:hanging="201"/>
        <w:jc w:val="both"/>
      </w:pPr>
      <w:r>
        <w:rPr/>
        <w:t>Methodology</w:t>
      </w:r>
    </w:p>
    <w:p>
      <w:pPr>
        <w:pStyle w:val="BodyText"/>
        <w:spacing w:before="8"/>
        <w:rPr>
          <w:b/>
          <w:sz w:val="19"/>
        </w:rPr>
      </w:pPr>
    </w:p>
    <w:p>
      <w:pPr>
        <w:pStyle w:val="BodyText"/>
        <w:ind w:left="270" w:right="1"/>
        <w:jc w:val="both"/>
      </w:pPr>
      <w:r>
        <w:rPr/>
        <w:t>To develop the study of fatigue in the workplace was necessary to perform different processes ranging from the</w:t>
      </w:r>
    </w:p>
    <w:p>
      <w:pPr>
        <w:pStyle w:val="BodyText"/>
        <w:spacing w:before="74"/>
        <w:ind w:left="270" w:right="702"/>
      </w:pPr>
      <w:r>
        <w:rPr/>
        <w:br w:type="column"/>
      </w:r>
      <w:r>
        <w:rPr/>
        <w:t>explanation of the purpose of the research participants to apply methods to draw conclusions.</w:t>
      </w:r>
    </w:p>
    <w:p>
      <w:pPr>
        <w:pStyle w:val="BodyText"/>
      </w:pPr>
    </w:p>
    <w:p>
      <w:pPr>
        <w:pStyle w:val="BodyText"/>
        <w:spacing w:before="1"/>
        <w:ind w:left="270" w:right="678" w:firstLine="567"/>
        <w:jc w:val="both"/>
      </w:pPr>
      <w:r>
        <w:rPr/>
        <w:t>13 workers that extend flour tortillas where selected in 10 different establishments located throughout the city of Los Mochis.</w:t>
      </w:r>
    </w:p>
    <w:p>
      <w:pPr>
        <w:pStyle w:val="BodyText"/>
        <w:spacing w:before="2"/>
      </w:pPr>
    </w:p>
    <w:p>
      <w:pPr>
        <w:pStyle w:val="Heading4"/>
        <w:numPr>
          <w:ilvl w:val="1"/>
          <w:numId w:val="113"/>
        </w:numPr>
        <w:tabs>
          <w:tab w:pos="571" w:val="left" w:leader="none"/>
        </w:tabs>
        <w:spacing w:line="240" w:lineRule="auto" w:before="0" w:after="0"/>
        <w:ind w:left="570" w:right="0" w:hanging="300"/>
        <w:jc w:val="both"/>
      </w:pPr>
      <w:r>
        <w:rPr/>
        <w:t>Material resources</w:t>
      </w:r>
    </w:p>
    <w:p>
      <w:pPr>
        <w:pStyle w:val="BodyText"/>
        <w:spacing w:before="9"/>
        <w:rPr>
          <w:b/>
          <w:sz w:val="19"/>
        </w:rPr>
      </w:pPr>
    </w:p>
    <w:p>
      <w:pPr>
        <w:pStyle w:val="BodyText"/>
        <w:spacing w:before="1"/>
        <w:ind w:left="270"/>
        <w:jc w:val="both"/>
      </w:pPr>
      <w:r>
        <w:rPr/>
        <w:t>The materials needed to conduct the study are the following.</w:t>
      </w:r>
    </w:p>
    <w:p>
      <w:pPr>
        <w:pStyle w:val="BodyText"/>
        <w:spacing w:before="11"/>
        <w:rPr>
          <w:sz w:val="19"/>
        </w:rPr>
      </w:pPr>
    </w:p>
    <w:p>
      <w:pPr>
        <w:pStyle w:val="ListParagraph"/>
        <w:numPr>
          <w:ilvl w:val="0"/>
          <w:numId w:val="114"/>
        </w:numPr>
        <w:tabs>
          <w:tab w:pos="697" w:val="left" w:leader="none"/>
        </w:tabs>
        <w:spacing w:line="244" w:lineRule="exact" w:before="0" w:after="0"/>
        <w:ind w:left="696" w:right="0" w:hanging="360"/>
        <w:jc w:val="both"/>
        <w:rPr>
          <w:sz w:val="20"/>
        </w:rPr>
      </w:pPr>
      <w:r>
        <w:rPr>
          <w:sz w:val="20"/>
        </w:rPr>
        <w:t>Subjective Fatigue Questionnaire of</w:t>
      </w:r>
      <w:r>
        <w:rPr>
          <w:spacing w:val="-25"/>
          <w:sz w:val="20"/>
        </w:rPr>
        <w:t> </w:t>
      </w:r>
      <w:r>
        <w:rPr>
          <w:sz w:val="20"/>
        </w:rPr>
        <w:t>Yoshitake.</w:t>
      </w:r>
    </w:p>
    <w:p>
      <w:pPr>
        <w:pStyle w:val="ListParagraph"/>
        <w:numPr>
          <w:ilvl w:val="0"/>
          <w:numId w:val="114"/>
        </w:numPr>
        <w:tabs>
          <w:tab w:pos="697" w:val="left" w:leader="none"/>
        </w:tabs>
        <w:spacing w:line="244" w:lineRule="exact" w:before="0" w:after="0"/>
        <w:ind w:left="696" w:right="0" w:hanging="360"/>
        <w:jc w:val="both"/>
        <w:rPr>
          <w:sz w:val="20"/>
        </w:rPr>
      </w:pPr>
      <w:r>
        <w:rPr>
          <w:sz w:val="20"/>
        </w:rPr>
        <w:t>Fatigue Questionnaire of four points of</w:t>
      </w:r>
      <w:r>
        <w:rPr>
          <w:spacing w:val="-16"/>
          <w:sz w:val="20"/>
        </w:rPr>
        <w:t> </w:t>
      </w:r>
      <w:r>
        <w:rPr>
          <w:sz w:val="20"/>
        </w:rPr>
        <w:t>Luke.</w:t>
      </w:r>
    </w:p>
    <w:p>
      <w:pPr>
        <w:pStyle w:val="ListParagraph"/>
        <w:numPr>
          <w:ilvl w:val="0"/>
          <w:numId w:val="114"/>
        </w:numPr>
        <w:tabs>
          <w:tab w:pos="697" w:val="left" w:leader="none"/>
        </w:tabs>
        <w:spacing w:line="245" w:lineRule="exact" w:before="0" w:after="0"/>
        <w:ind w:left="696" w:right="0" w:hanging="360"/>
        <w:jc w:val="both"/>
        <w:rPr>
          <w:sz w:val="20"/>
        </w:rPr>
      </w:pPr>
      <w:r>
        <w:rPr>
          <w:sz w:val="20"/>
        </w:rPr>
        <w:t>Microsoft office</w:t>
      </w:r>
      <w:r>
        <w:rPr>
          <w:spacing w:val="-9"/>
          <w:sz w:val="20"/>
        </w:rPr>
        <w:t> </w:t>
      </w:r>
      <w:r>
        <w:rPr>
          <w:sz w:val="20"/>
        </w:rPr>
        <w:t>program.</w:t>
      </w:r>
    </w:p>
    <w:p>
      <w:pPr>
        <w:pStyle w:val="ListParagraph"/>
        <w:numPr>
          <w:ilvl w:val="0"/>
          <w:numId w:val="114"/>
        </w:numPr>
        <w:tabs>
          <w:tab w:pos="697" w:val="left" w:leader="none"/>
        </w:tabs>
        <w:spacing w:line="244" w:lineRule="exact" w:before="0" w:after="0"/>
        <w:ind w:left="696" w:right="0" w:hanging="360"/>
        <w:jc w:val="both"/>
        <w:rPr>
          <w:sz w:val="20"/>
        </w:rPr>
      </w:pPr>
      <w:r>
        <w:rPr>
          <w:sz w:val="20"/>
        </w:rPr>
        <w:t>Pencils.</w:t>
      </w:r>
    </w:p>
    <w:p>
      <w:pPr>
        <w:pStyle w:val="ListParagraph"/>
        <w:numPr>
          <w:ilvl w:val="0"/>
          <w:numId w:val="114"/>
        </w:numPr>
        <w:tabs>
          <w:tab w:pos="697" w:val="left" w:leader="none"/>
        </w:tabs>
        <w:spacing w:line="244" w:lineRule="exact" w:before="0" w:after="0"/>
        <w:ind w:left="696" w:right="0" w:hanging="360"/>
        <w:jc w:val="both"/>
        <w:rPr>
          <w:sz w:val="20"/>
        </w:rPr>
      </w:pPr>
      <w:r>
        <w:rPr>
          <w:sz w:val="20"/>
        </w:rPr>
        <w:t>Calculator.</w:t>
      </w:r>
    </w:p>
    <w:p>
      <w:pPr>
        <w:pStyle w:val="ListParagraph"/>
        <w:numPr>
          <w:ilvl w:val="0"/>
          <w:numId w:val="114"/>
        </w:numPr>
        <w:tabs>
          <w:tab w:pos="697" w:val="left" w:leader="none"/>
        </w:tabs>
        <w:spacing w:line="244" w:lineRule="exact" w:before="0" w:after="0"/>
        <w:ind w:left="696" w:right="0" w:hanging="360"/>
        <w:jc w:val="both"/>
        <w:rPr>
          <w:sz w:val="20"/>
        </w:rPr>
      </w:pPr>
      <w:r>
        <w:rPr>
          <w:sz w:val="20"/>
        </w:rPr>
        <w:t>Pens.</w:t>
      </w:r>
    </w:p>
    <w:p>
      <w:pPr>
        <w:pStyle w:val="ListParagraph"/>
        <w:numPr>
          <w:ilvl w:val="0"/>
          <w:numId w:val="114"/>
        </w:numPr>
        <w:tabs>
          <w:tab w:pos="697" w:val="left" w:leader="none"/>
        </w:tabs>
        <w:spacing w:line="244" w:lineRule="exact" w:before="0" w:after="0"/>
        <w:ind w:left="696" w:right="0" w:hanging="360"/>
        <w:jc w:val="both"/>
        <w:rPr>
          <w:sz w:val="20"/>
        </w:rPr>
      </w:pPr>
      <w:r>
        <w:rPr>
          <w:sz w:val="20"/>
        </w:rPr>
        <w:t>Computer</w:t>
      </w:r>
    </w:p>
    <w:p>
      <w:pPr>
        <w:pStyle w:val="BodyText"/>
        <w:spacing w:before="2"/>
      </w:pPr>
    </w:p>
    <w:p>
      <w:pPr>
        <w:pStyle w:val="Heading4"/>
        <w:numPr>
          <w:ilvl w:val="1"/>
          <w:numId w:val="113"/>
        </w:numPr>
        <w:tabs>
          <w:tab w:pos="572" w:val="left" w:leader="none"/>
        </w:tabs>
        <w:spacing w:line="240" w:lineRule="auto" w:before="0" w:after="0"/>
        <w:ind w:left="571" w:right="0" w:hanging="301"/>
        <w:jc w:val="both"/>
      </w:pPr>
      <w:r>
        <w:rPr/>
        <w:t>Process</w:t>
      </w:r>
    </w:p>
    <w:p>
      <w:pPr>
        <w:pStyle w:val="BodyText"/>
        <w:spacing w:before="8"/>
        <w:rPr>
          <w:b/>
          <w:sz w:val="19"/>
        </w:rPr>
      </w:pPr>
    </w:p>
    <w:p>
      <w:pPr>
        <w:pStyle w:val="BodyText"/>
        <w:ind w:left="270" w:right="702"/>
      </w:pPr>
      <w:r>
        <w:rPr/>
        <w:t>To begin the develop research we performed the following series of activities:</w:t>
      </w:r>
    </w:p>
    <w:p>
      <w:pPr>
        <w:pStyle w:val="ListParagraph"/>
        <w:numPr>
          <w:ilvl w:val="0"/>
          <w:numId w:val="115"/>
        </w:numPr>
        <w:tabs>
          <w:tab w:pos="697" w:val="left" w:leader="none"/>
        </w:tabs>
        <w:spacing w:line="240" w:lineRule="auto" w:before="0" w:after="0"/>
        <w:ind w:left="696" w:right="676" w:hanging="360"/>
        <w:jc w:val="both"/>
        <w:rPr>
          <w:sz w:val="20"/>
        </w:rPr>
      </w:pPr>
      <w:r>
        <w:rPr>
          <w:sz w:val="20"/>
        </w:rPr>
        <w:t>We explained the occupants of these positions the purpose of research and the importance of their contributions, true and real to the</w:t>
      </w:r>
      <w:r>
        <w:rPr>
          <w:spacing w:val="-16"/>
          <w:sz w:val="20"/>
        </w:rPr>
        <w:t> </w:t>
      </w:r>
      <w:r>
        <w:rPr>
          <w:sz w:val="20"/>
        </w:rPr>
        <w:t>polls.</w:t>
      </w:r>
    </w:p>
    <w:p>
      <w:pPr>
        <w:pStyle w:val="ListParagraph"/>
        <w:numPr>
          <w:ilvl w:val="0"/>
          <w:numId w:val="115"/>
        </w:numPr>
        <w:tabs>
          <w:tab w:pos="697" w:val="left" w:leader="none"/>
        </w:tabs>
        <w:spacing w:line="240" w:lineRule="auto" w:before="0" w:after="0"/>
        <w:ind w:left="696" w:right="676" w:hanging="360"/>
        <w:jc w:val="both"/>
        <w:rPr>
          <w:sz w:val="20"/>
        </w:rPr>
      </w:pPr>
      <w:r>
        <w:rPr>
          <w:sz w:val="20"/>
        </w:rPr>
        <w:t>We applied questionnaires Yoshitake and the four points of Luke for three weeks, at the entrance of turn and</w:t>
      </w:r>
      <w:r>
        <w:rPr>
          <w:spacing w:val="-6"/>
          <w:sz w:val="20"/>
        </w:rPr>
        <w:t> </w:t>
      </w:r>
      <w:r>
        <w:rPr>
          <w:sz w:val="20"/>
        </w:rPr>
        <w:t>exit.</w:t>
      </w:r>
    </w:p>
    <w:p>
      <w:pPr>
        <w:pStyle w:val="ListParagraph"/>
        <w:numPr>
          <w:ilvl w:val="0"/>
          <w:numId w:val="115"/>
        </w:numPr>
        <w:tabs>
          <w:tab w:pos="697" w:val="left" w:leader="none"/>
        </w:tabs>
        <w:spacing w:line="240" w:lineRule="auto" w:before="0" w:after="0"/>
        <w:ind w:left="696" w:right="676" w:hanging="360"/>
        <w:jc w:val="both"/>
        <w:rPr>
          <w:sz w:val="20"/>
        </w:rPr>
      </w:pPr>
      <w:r>
        <w:rPr>
          <w:sz w:val="20"/>
        </w:rPr>
        <w:t>After conducting surveys, we emptied in some formats in Excel to make the necessary charts and evaluate the results.</w:t>
      </w:r>
    </w:p>
    <w:p>
      <w:pPr>
        <w:pStyle w:val="ListParagraph"/>
        <w:numPr>
          <w:ilvl w:val="0"/>
          <w:numId w:val="115"/>
        </w:numPr>
        <w:tabs>
          <w:tab w:pos="696" w:val="left" w:leader="none"/>
          <w:tab w:pos="697" w:val="left" w:leader="none"/>
        </w:tabs>
        <w:spacing w:line="240" w:lineRule="auto" w:before="0" w:after="0"/>
        <w:ind w:left="696" w:right="676" w:hanging="360"/>
        <w:jc w:val="left"/>
        <w:rPr>
          <w:sz w:val="20"/>
        </w:rPr>
      </w:pPr>
      <w:r>
        <w:rPr>
          <w:sz w:val="20"/>
        </w:rPr>
        <w:t>We draw conclusions with the data obtained in the graphs.</w:t>
      </w:r>
    </w:p>
    <w:p>
      <w:pPr>
        <w:pStyle w:val="BodyText"/>
        <w:spacing w:before="2"/>
      </w:pPr>
    </w:p>
    <w:p>
      <w:pPr>
        <w:pStyle w:val="Heading4"/>
      </w:pPr>
      <w:r>
        <w:rPr/>
        <w:t>2.2 Measurement of fatigue</w:t>
      </w:r>
    </w:p>
    <w:p>
      <w:pPr>
        <w:pStyle w:val="BodyText"/>
        <w:spacing w:before="8"/>
        <w:rPr>
          <w:b/>
          <w:sz w:val="19"/>
        </w:rPr>
      </w:pPr>
    </w:p>
    <w:p>
      <w:pPr>
        <w:pStyle w:val="BodyText"/>
        <w:ind w:left="270" w:right="678"/>
        <w:jc w:val="both"/>
      </w:pPr>
      <w:r>
        <w:rPr/>
        <w:t>To obtain the results we measured fatigue by two tools, the subjective Yoshitake questionnaire, section A and B and fatigue questionnaire of the four points of Luke.</w:t>
      </w:r>
    </w:p>
    <w:p>
      <w:pPr>
        <w:pStyle w:val="BodyText"/>
        <w:spacing w:before="11"/>
        <w:rPr>
          <w:sz w:val="19"/>
        </w:rPr>
      </w:pPr>
    </w:p>
    <w:p>
      <w:pPr>
        <w:pStyle w:val="BodyText"/>
        <w:ind w:left="270" w:right="677" w:firstLine="567"/>
        <w:jc w:val="both"/>
      </w:pPr>
      <w:r>
        <w:rPr/>
        <w:t>The Yoshitake questionnaire consists of 30 questions that describe fatigue where participants respond yes or no at the time of the interview, after which the frequency of complaints or fatigue is calculated, presented as a percentage, where the number of splits if answered between the total number of questions and multiplied by 100 (Yoshitake, 1978).</w:t>
      </w:r>
    </w:p>
    <w:p>
      <w:pPr>
        <w:pStyle w:val="BodyText"/>
        <w:spacing w:before="11"/>
        <w:rPr>
          <w:sz w:val="19"/>
        </w:rPr>
      </w:pPr>
    </w:p>
    <w:p>
      <w:pPr>
        <w:pStyle w:val="BodyText"/>
        <w:ind w:left="270" w:right="676" w:firstLine="567"/>
        <w:jc w:val="both"/>
      </w:pPr>
      <w:r>
        <w:rPr/>
        <w:t>And the questionnaire of the four points of Luke operates as follows; fatigue levels are entered after normal working day "bit tired" 1 point "tired" 2 points "very tired" 3 points, and "extremely tired" 4 points. Responses to "very tired" and "extremely tired" were grouped into fatigue.</w:t>
      </w:r>
    </w:p>
    <w:p>
      <w:pPr>
        <w:pStyle w:val="BodyText"/>
        <w:spacing w:before="2"/>
      </w:pPr>
    </w:p>
    <w:p>
      <w:pPr>
        <w:pStyle w:val="Heading4"/>
        <w:numPr>
          <w:ilvl w:val="0"/>
          <w:numId w:val="113"/>
        </w:numPr>
        <w:tabs>
          <w:tab w:pos="471" w:val="left" w:leader="none"/>
        </w:tabs>
        <w:spacing w:line="240" w:lineRule="auto" w:before="0" w:after="0"/>
        <w:ind w:left="470" w:right="0" w:hanging="200"/>
        <w:jc w:val="both"/>
      </w:pPr>
      <w:r>
        <w:rPr/>
        <w:t>Results</w:t>
      </w:r>
    </w:p>
    <w:p>
      <w:pPr>
        <w:spacing w:after="0" w:line="240" w:lineRule="auto"/>
        <w:jc w:val="both"/>
        <w:sectPr>
          <w:type w:val="continuous"/>
          <w:pgSz w:w="12240" w:h="15840"/>
          <w:pgMar w:top="1500" w:bottom="280" w:left="580" w:right="220"/>
          <w:cols w:num="2" w:equalWidth="0">
            <w:col w:w="5190" w:space="434"/>
            <w:col w:w="5816"/>
          </w:cols>
        </w:sectPr>
      </w:pPr>
    </w:p>
    <w:p>
      <w:pPr>
        <w:pStyle w:val="BodyText"/>
        <w:spacing w:before="4"/>
        <w:rPr>
          <w:b/>
          <w:sz w:val="11"/>
        </w:rPr>
      </w:pPr>
    </w:p>
    <w:p>
      <w:pPr>
        <w:pStyle w:val="BodyText"/>
        <w:spacing w:before="74"/>
        <w:ind w:left="270" w:right="6250"/>
        <w:jc w:val="both"/>
      </w:pPr>
      <w:r>
        <w:rPr/>
        <w:pict>
          <v:group style="position:absolute;margin-left:326.385010pt;margin-top:31.68128pt;width:228.4pt;height:182.4pt;mso-position-horizontal-relative:page;mso-position-vertical-relative:paragraph;z-index:13912" coordorigin="6528,634" coordsize="4568,3648">
            <v:shape style="position:absolute;left:6970;top:2063;width:2016;height:452" type="#_x0000_t75" stroked="false">
              <v:imagedata r:id="rId532" o:title=""/>
            </v:shape>
            <v:shape style="position:absolute;left:6955;top:2516;width:2045;height:796" type="#_x0000_t75" stroked="false">
              <v:imagedata r:id="rId533" o:title=""/>
            </v:shape>
            <v:line style="position:absolute" from="9509,2165" to="9598,2165" stroked="true" strokeweight="4.5pt" strokecolor="#799144"/>
            <v:line style="position:absolute" from="9553,2450" to="9553,2555" stroked="true" strokeweight="4.440pt" strokecolor="#90ae52"/>
            <v:line style="position:absolute" from="9553,2795" to="9553,2901" stroked="true" strokeweight="4.440pt" strokecolor="#acc482"/>
            <v:line style="position:absolute" from="9509,3186" to="9598,3186" stroked="true" strokeweight="4.5pt" strokecolor="#ccdab8"/>
            <v:rect style="position:absolute;left:6535;top:641;width:4553;height:3632" filled="false" stroked="true" strokeweight=".75pt" strokecolor="#858585"/>
            <v:shape style="position:absolute;left:8120;top:820;width:1412;height:227" type="#_x0000_t202" filled="false" stroked="false">
              <v:textbox inset="0,0,0,0">
                <w:txbxContent>
                  <w:p>
                    <w:pPr>
                      <w:spacing w:line="226" w:lineRule="exact" w:before="0"/>
                      <w:ind w:left="0" w:right="0" w:firstLine="0"/>
                      <w:jc w:val="left"/>
                      <w:rPr>
                        <w:sz w:val="22"/>
                      </w:rPr>
                    </w:pPr>
                    <w:r>
                      <w:rPr>
                        <w:spacing w:val="-6"/>
                        <w:sz w:val="22"/>
                      </w:rPr>
                      <w:t>Fatigue  </w:t>
                    </w:r>
                    <w:r>
                      <w:rPr>
                        <w:spacing w:val="-5"/>
                        <w:sz w:val="22"/>
                      </w:rPr>
                      <w:t>(output)</w:t>
                    </w:r>
                  </w:p>
                </w:txbxContent>
              </v:textbox>
              <w10:wrap type="none"/>
            </v:shape>
            <v:shape style="position:absolute;left:7553;top:1855;width:937;height:1116" type="#_x0000_t202" filled="false" stroked="false">
              <v:textbox inset="0,0,0,0">
                <w:txbxContent>
                  <w:p>
                    <w:pPr>
                      <w:spacing w:line="199" w:lineRule="exact" w:before="0"/>
                      <w:ind w:left="266" w:right="364" w:firstLine="0"/>
                      <w:jc w:val="center"/>
                      <w:rPr>
                        <w:sz w:val="19"/>
                      </w:rPr>
                    </w:pPr>
                    <w:r>
                      <w:rPr>
                        <w:w w:val="105"/>
                        <w:sz w:val="19"/>
                      </w:rPr>
                      <w:t>0%</w:t>
                    </w:r>
                  </w:p>
                  <w:p>
                    <w:pPr>
                      <w:tabs>
                        <w:tab w:pos="601" w:val="left" w:leader="none"/>
                      </w:tabs>
                      <w:spacing w:before="142"/>
                      <w:ind w:left="14" w:right="0" w:firstLine="0"/>
                      <w:jc w:val="left"/>
                      <w:rPr>
                        <w:sz w:val="19"/>
                      </w:rPr>
                    </w:pPr>
                    <w:r>
                      <w:rPr>
                        <w:spacing w:val="-6"/>
                        <w:w w:val="105"/>
                        <w:sz w:val="19"/>
                      </w:rPr>
                      <w:t>15%</w:t>
                      <w:tab/>
                    </w:r>
                    <w:r>
                      <w:rPr>
                        <w:spacing w:val="-8"/>
                        <w:position w:val="-2"/>
                        <w:sz w:val="19"/>
                      </w:rPr>
                      <w:t>21%</w:t>
                    </w:r>
                  </w:p>
                  <w:p>
                    <w:pPr>
                      <w:spacing w:line="240" w:lineRule="auto" w:before="10"/>
                      <w:rPr>
                        <w:sz w:val="26"/>
                      </w:rPr>
                    </w:pPr>
                  </w:p>
                  <w:p>
                    <w:pPr>
                      <w:spacing w:line="216" w:lineRule="exact" w:before="0"/>
                      <w:ind w:left="0" w:right="0" w:firstLine="0"/>
                      <w:jc w:val="left"/>
                      <w:rPr>
                        <w:sz w:val="19"/>
                      </w:rPr>
                    </w:pPr>
                    <w:r>
                      <w:rPr>
                        <w:w w:val="105"/>
                        <w:sz w:val="19"/>
                      </w:rPr>
                      <w:t>64%</w:t>
                    </w:r>
                  </w:p>
                </w:txbxContent>
              </v:textbox>
              <w10:wrap type="none"/>
            </v:shape>
            <v:shape style="position:absolute;left:9664;top:2084;width:1255;height:1220" type="#_x0000_t202" filled="false" stroked="false">
              <v:textbox inset="0,0,0,0">
                <w:txbxContent>
                  <w:p>
                    <w:pPr>
                      <w:spacing w:line="199" w:lineRule="exact" w:before="0"/>
                      <w:ind w:left="0" w:right="-12" w:firstLine="0"/>
                      <w:jc w:val="left"/>
                      <w:rPr>
                        <w:sz w:val="19"/>
                      </w:rPr>
                    </w:pPr>
                    <w:r>
                      <w:rPr>
                        <w:w w:val="105"/>
                        <w:sz w:val="19"/>
                      </w:rPr>
                      <w:t>Nothing tired</w:t>
                    </w:r>
                  </w:p>
                  <w:p>
                    <w:pPr>
                      <w:spacing w:before="122"/>
                      <w:ind w:left="0" w:right="-12" w:firstLine="0"/>
                      <w:jc w:val="left"/>
                      <w:rPr>
                        <w:sz w:val="19"/>
                      </w:rPr>
                    </w:pPr>
                    <w:r>
                      <w:rPr>
                        <w:w w:val="105"/>
                        <w:sz w:val="19"/>
                      </w:rPr>
                      <w:t>Tired</w:t>
                    </w:r>
                  </w:p>
                  <w:p>
                    <w:pPr>
                      <w:spacing w:line="342" w:lineRule="exact" w:before="26"/>
                      <w:ind w:left="0" w:right="-12" w:firstLine="0"/>
                      <w:jc w:val="left"/>
                      <w:rPr>
                        <w:sz w:val="19"/>
                      </w:rPr>
                    </w:pPr>
                    <w:r>
                      <w:rPr>
                        <w:w w:val="105"/>
                        <w:sz w:val="19"/>
                      </w:rPr>
                      <w:t>Very tired Extremely tired</w:t>
                    </w:r>
                  </w:p>
                </w:txbxContent>
              </v:textbox>
              <w10:wrap type="none"/>
            </v:shape>
            <w10:wrap type="none"/>
          </v:group>
        </w:pict>
      </w:r>
      <w:r>
        <w:rPr/>
        <w:t>As shown in Figure 1, obtained from the results of the four- point scale of Luke, 93% of the sample which was applied in the study expressed fatigue, with a minimum rate of 7% who do not have such condition.</w:t>
      </w:r>
    </w:p>
    <w:p>
      <w:pPr>
        <w:pStyle w:val="BodyText"/>
        <w:spacing w:before="7" w:after="1"/>
        <w:rPr>
          <w:sz w:val="19"/>
        </w:rPr>
      </w:pPr>
    </w:p>
    <w:p>
      <w:pPr>
        <w:pStyle w:val="BodyText"/>
        <w:ind w:left="524"/>
      </w:pPr>
      <w:r>
        <w:rPr/>
        <w:pict>
          <v:group style="width:220.45pt;height:145.35pt;mso-position-horizontal-relative:char;mso-position-vertical-relative:line" coordorigin="0,0" coordsize="4409,2907">
            <v:shape style="position:absolute;left:22;top:22;width:4364;height:2863" type="#_x0000_t75" stroked="false">
              <v:imagedata r:id="rId534" o:title=""/>
            </v:shape>
            <v:line style="position:absolute" from="8,15" to="4401,15" stroked="true" strokeweight=".71997pt" strokecolor="#000000"/>
            <v:line style="position:absolute" from="15,8" to="15,2899" stroked="true" strokeweight=".72pt" strokecolor="#000000"/>
            <v:line style="position:absolute" from="4394,8" to="4394,2899" stroked="true" strokeweight=".72pt" strokecolor="#000000"/>
            <v:line style="position:absolute" from="8,2892" to="4401,2892" stroked="true" strokeweight=".72003pt" strokecolor="#000000"/>
          </v:group>
        </w:pict>
      </w:r>
      <w:r>
        <w:rPr/>
      </w:r>
    </w:p>
    <w:p>
      <w:pPr>
        <w:spacing w:after="0"/>
        <w:sectPr>
          <w:pgSz w:w="12240" w:h="15840"/>
          <w:pgMar w:header="545" w:footer="852" w:top="1060" w:bottom="1040" w:left="580" w:right="220"/>
        </w:sectPr>
      </w:pPr>
    </w:p>
    <w:p>
      <w:pPr>
        <w:pStyle w:val="BodyText"/>
        <w:spacing w:line="196" w:lineRule="exact"/>
        <w:ind w:left="272" w:right="1"/>
        <w:jc w:val="center"/>
      </w:pPr>
      <w:r>
        <w:rPr/>
        <w:t>Figure 1. General fatigue</w:t>
      </w:r>
    </w:p>
    <w:p>
      <w:pPr>
        <w:pStyle w:val="BodyText"/>
      </w:pPr>
    </w:p>
    <w:p>
      <w:pPr>
        <w:pStyle w:val="BodyText"/>
      </w:pPr>
    </w:p>
    <w:p>
      <w:pPr>
        <w:pStyle w:val="BodyText"/>
        <w:ind w:left="270" w:firstLine="567"/>
        <w:jc w:val="both"/>
      </w:pPr>
      <w:r>
        <w:rPr/>
        <w:t>In Figure 2, is seen that most of the workers when starting their journey come rested, and a minimum  percentage which accompanies people already come to work tired.</w:t>
      </w:r>
    </w:p>
    <w:p>
      <w:pPr>
        <w:pStyle w:val="BodyText"/>
        <w:spacing w:before="3"/>
        <w:rPr>
          <w:sz w:val="17"/>
        </w:rPr>
      </w:pPr>
      <w:r>
        <w:rPr/>
        <w:drawing>
          <wp:anchor distT="0" distB="0" distL="0" distR="0" allowOverlap="1" layoutInCell="1" locked="0" behindDoc="0" simplePos="0" relativeHeight="13792">
            <wp:simplePos x="0" y="0"/>
            <wp:positionH relativeFrom="page">
              <wp:posOffset>762000</wp:posOffset>
            </wp:positionH>
            <wp:positionV relativeFrom="paragraph">
              <wp:posOffset>150836</wp:posOffset>
            </wp:positionV>
            <wp:extent cx="2668886" cy="1797939"/>
            <wp:effectExtent l="0" t="0" r="0" b="0"/>
            <wp:wrapTopAndBottom/>
            <wp:docPr id="539" name="image323.jpeg" descr=""/>
            <wp:cNvGraphicFramePr>
              <a:graphicFrameLocks noChangeAspect="1"/>
            </wp:cNvGraphicFramePr>
            <a:graphic>
              <a:graphicData uri="http://schemas.openxmlformats.org/drawingml/2006/picture">
                <pic:pic>
                  <pic:nvPicPr>
                    <pic:cNvPr id="540" name="image323.jpeg"/>
                    <pic:cNvPicPr/>
                  </pic:nvPicPr>
                  <pic:blipFill>
                    <a:blip r:embed="rId535" cstate="print"/>
                    <a:stretch>
                      <a:fillRect/>
                    </a:stretch>
                  </pic:blipFill>
                  <pic:spPr>
                    <a:xfrm>
                      <a:off x="0" y="0"/>
                      <a:ext cx="2668886" cy="1797939"/>
                    </a:xfrm>
                    <a:prstGeom prst="rect">
                      <a:avLst/>
                    </a:prstGeom>
                  </pic:spPr>
                </pic:pic>
              </a:graphicData>
            </a:graphic>
          </wp:anchor>
        </w:drawing>
      </w:r>
    </w:p>
    <w:p>
      <w:pPr>
        <w:pStyle w:val="BodyText"/>
        <w:ind w:left="271" w:right="1"/>
        <w:jc w:val="center"/>
      </w:pPr>
      <w:r>
        <w:rPr/>
        <w:t>Figure 2. Fatigue perceived at start of the workday</w:t>
      </w:r>
    </w:p>
    <w:p>
      <w:pPr>
        <w:pStyle w:val="BodyText"/>
        <w:spacing w:before="11"/>
        <w:rPr>
          <w:sz w:val="19"/>
        </w:rPr>
      </w:pPr>
    </w:p>
    <w:p>
      <w:pPr>
        <w:pStyle w:val="BodyText"/>
        <w:ind w:left="270" w:firstLine="567"/>
        <w:jc w:val="both"/>
      </w:pPr>
      <w:r>
        <w:rPr/>
        <w:t>At the end of the day (Figure 3) in the four-point scale of Luke shown that the rate of people tired to increase to  64% which assures us that the job of flour tortillas handmade is presented</w:t>
      </w:r>
      <w:r>
        <w:rPr>
          <w:spacing w:val="-6"/>
        </w:rPr>
        <w:t> </w:t>
      </w:r>
      <w:r>
        <w:rPr/>
        <w:t>fatigue.</w:t>
      </w:r>
    </w:p>
    <w:p>
      <w:pPr>
        <w:pStyle w:val="BodyText"/>
        <w:spacing w:before="8"/>
        <w:rPr>
          <w:sz w:val="18"/>
        </w:rPr>
      </w:pPr>
      <w:r>
        <w:rPr/>
        <w:br w:type="column"/>
      </w:r>
      <w:r>
        <w:rPr>
          <w:sz w:val="18"/>
        </w:rPr>
      </w:r>
    </w:p>
    <w:p>
      <w:pPr>
        <w:pStyle w:val="BodyText"/>
        <w:ind w:left="270" w:right="702"/>
      </w:pPr>
      <w:r>
        <w:rPr/>
        <w:t>Figure 3. Perceived fatigue at the end of the workday</w:t>
      </w:r>
    </w:p>
    <w:p>
      <w:pPr>
        <w:pStyle w:val="BodyText"/>
      </w:pPr>
    </w:p>
    <w:p>
      <w:pPr>
        <w:pStyle w:val="BodyText"/>
      </w:pPr>
    </w:p>
    <w:p>
      <w:pPr>
        <w:pStyle w:val="BodyText"/>
        <w:ind w:left="270" w:right="676" w:firstLine="567"/>
        <w:jc w:val="both"/>
      </w:pPr>
      <w:r>
        <w:rPr/>
        <w:pict>
          <v:group style="position:absolute;margin-left:327.704987pt;margin-top:57.322231pt;width:235.35pt;height:135.65pt;mso-position-horizontal-relative:page;mso-position-vertical-relative:paragraph;z-index:-865000" coordorigin="6554,1146" coordsize="4707,2713">
            <v:shape style="position:absolute;left:6569;top:1168;width:4678;height:2669" type="#_x0000_t75" stroked="false">
              <v:imagedata r:id="rId536" o:title=""/>
            </v:shape>
            <v:shape style="position:absolute;left:6562;top:1154;width:4685;height:2698" coordorigin="6562,1154" coordsize="4685,2698" path="m6569,1161l11246,1161m6562,1154l6562,3852e" filled="false" stroked="true" strokeweight=".72pt" strokecolor="#000000">
              <v:path arrowok="t"/>
            </v:shape>
            <v:line style="position:absolute" from="11254,1154" to="11254,3852" stroked="true" strokeweight=".71997pt" strokecolor="#000000"/>
            <v:line style="position:absolute" from="6569,3844" to="11246,3844" stroked="true" strokeweight=".72pt" strokecolor="#000000"/>
            <w10:wrap type="none"/>
          </v:group>
        </w:pict>
      </w:r>
      <w:r>
        <w:rPr/>
        <w:t>In Figure 4 the results of symptoms difficulty concentrating (section B, Yoshitake questionnaire) which shows which are generally the most common ailments in people who make handmade tortillas.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line="460" w:lineRule="atLeast" w:before="170"/>
        <w:ind w:left="838" w:right="687" w:hanging="360"/>
      </w:pPr>
      <w:r>
        <w:rPr/>
        <w:t>Figure 4. Fatigue symptoms presented by concentration The greater-mentioned problem is to straighten  your</w:t>
      </w:r>
    </w:p>
    <w:p>
      <w:pPr>
        <w:pStyle w:val="BodyText"/>
        <w:ind w:left="270" w:right="702"/>
      </w:pPr>
      <w:r>
        <w:rPr/>
        <w:t>posture after completing its task.</w:t>
      </w:r>
    </w:p>
    <w:p>
      <w:pPr>
        <w:pStyle w:val="BodyText"/>
        <w:spacing w:before="11"/>
        <w:rPr>
          <w:sz w:val="19"/>
        </w:rPr>
      </w:pPr>
    </w:p>
    <w:p>
      <w:pPr>
        <w:pStyle w:val="BodyText"/>
        <w:ind w:left="270" w:right="675" w:firstLine="567"/>
        <w:jc w:val="both"/>
      </w:pPr>
      <w:r>
        <w:rPr/>
        <w:t>Below is the Figure 5, of symptoms monotony (Section A questionnaire Yoshitake) which shows which are generally the most common ailments in people who make handmade tortillas.</w:t>
      </w:r>
    </w:p>
    <w:p>
      <w:pPr>
        <w:spacing w:after="0"/>
        <w:jc w:val="both"/>
        <w:sectPr>
          <w:type w:val="continuous"/>
          <w:pgSz w:w="12240" w:h="15840"/>
          <w:pgMar w:top="1500" w:bottom="280" w:left="580" w:right="220"/>
          <w:cols w:num="2" w:equalWidth="0">
            <w:col w:w="5189" w:space="435"/>
            <w:col w:w="5816"/>
          </w:cols>
        </w:sectPr>
      </w:pPr>
    </w:p>
    <w:p>
      <w:pPr>
        <w:pStyle w:val="BodyText"/>
        <w:spacing w:before="1"/>
        <w:rPr>
          <w:sz w:val="18"/>
        </w:rPr>
      </w:pPr>
    </w:p>
    <w:p>
      <w:pPr>
        <w:pStyle w:val="BodyText"/>
        <w:ind w:left="270"/>
      </w:pPr>
      <w:r>
        <w:rPr/>
        <w:drawing>
          <wp:inline distT="0" distB="0" distL="0" distR="0">
            <wp:extent cx="2938610" cy="2009203"/>
            <wp:effectExtent l="0" t="0" r="0" b="0"/>
            <wp:docPr id="541" name="image325.png" descr=""/>
            <wp:cNvGraphicFramePr>
              <a:graphicFrameLocks noChangeAspect="1"/>
            </wp:cNvGraphicFramePr>
            <a:graphic>
              <a:graphicData uri="http://schemas.openxmlformats.org/drawingml/2006/picture">
                <pic:pic>
                  <pic:nvPicPr>
                    <pic:cNvPr id="542" name="image325.png"/>
                    <pic:cNvPicPr/>
                  </pic:nvPicPr>
                  <pic:blipFill>
                    <a:blip r:embed="rId537" cstate="print"/>
                    <a:stretch>
                      <a:fillRect/>
                    </a:stretch>
                  </pic:blipFill>
                  <pic:spPr>
                    <a:xfrm>
                      <a:off x="0" y="0"/>
                      <a:ext cx="2938610" cy="2009203"/>
                    </a:xfrm>
                    <a:prstGeom prst="rect">
                      <a:avLst/>
                    </a:prstGeom>
                  </pic:spPr>
                </pic:pic>
              </a:graphicData>
            </a:graphic>
          </wp:inline>
        </w:drawing>
      </w:r>
      <w:r>
        <w:rPr/>
      </w:r>
    </w:p>
    <w:p>
      <w:pPr>
        <w:pStyle w:val="BodyText"/>
        <w:spacing w:before="37"/>
        <w:ind w:left="360" w:right="89"/>
        <w:jc w:val="center"/>
      </w:pPr>
      <w:r>
        <w:rPr/>
        <w:t>Figure 5.Fatigue presented monotony</w:t>
      </w:r>
    </w:p>
    <w:p>
      <w:pPr>
        <w:pStyle w:val="BodyText"/>
        <w:spacing w:before="11"/>
        <w:rPr>
          <w:sz w:val="19"/>
        </w:rPr>
      </w:pPr>
    </w:p>
    <w:p>
      <w:pPr>
        <w:pStyle w:val="BodyText"/>
        <w:ind w:left="270" w:right="1" w:firstLine="567"/>
        <w:jc w:val="both"/>
      </w:pPr>
      <w:r>
        <w:rPr/>
        <w:t>We realize that there are many variables involved in fatigue monotony since both light-headedness, fatigue in the legs feel like stretching jurisdiction one of the factors more references for people who make handmade tortillas.</w:t>
      </w:r>
    </w:p>
    <w:p>
      <w:pPr>
        <w:pStyle w:val="BodyText"/>
        <w:spacing w:before="11"/>
        <w:rPr>
          <w:sz w:val="19"/>
        </w:rPr>
      </w:pPr>
    </w:p>
    <w:p>
      <w:pPr>
        <w:pStyle w:val="BodyText"/>
        <w:ind w:left="270" w:firstLine="567"/>
        <w:jc w:val="both"/>
      </w:pPr>
      <w:r>
        <w:rPr/>
        <w:t>In Figure 6 a conclusion of the symptoms  of monotony and difficulty concentrating shown by comparing the results to analyze which of the two occurs more in  women</w:t>
      </w:r>
      <w:r>
        <w:rPr>
          <w:spacing w:val="-7"/>
        </w:rPr>
        <w:t> </w:t>
      </w:r>
      <w:r>
        <w:rPr/>
        <w:t>workers.</w:t>
      </w:r>
    </w:p>
    <w:p>
      <w:pPr>
        <w:pStyle w:val="BodyText"/>
        <w:spacing w:before="3"/>
        <w:rPr>
          <w:sz w:val="16"/>
        </w:rPr>
      </w:pPr>
      <w:r>
        <w:rPr/>
        <w:pict>
          <v:group style="position:absolute;margin-left:42.165001pt;margin-top:11.322132pt;width:236.25pt;height:140.85pt;mso-position-horizontal-relative:page;mso-position-vertical-relative:paragraph;z-index:13936;mso-wrap-distance-left:0;mso-wrap-distance-right:0" coordorigin="843,226" coordsize="4725,2817">
            <v:shape style="position:absolute;left:865;top:248;width:4681;height:2773" type="#_x0000_t75" stroked="false">
              <v:imagedata r:id="rId538" o:title=""/>
            </v:shape>
            <v:line style="position:absolute" from="851,241" to="5561,241" stroked="true" strokeweight=".72pt" strokecolor="#000000"/>
            <v:line style="position:absolute" from="858,234" to="858,3036" stroked="true" strokeweight=".72pt" strokecolor="#000000"/>
            <v:line style="position:absolute" from="5554,234" to="5554,3036" stroked="true" strokeweight=".72pt" strokecolor="#000000"/>
            <v:line style="position:absolute" from="851,3029" to="5561,3029" stroked="true" strokeweight=".72pt" strokecolor="#000000"/>
            <w10:wrap type="topAndBottom"/>
          </v:group>
        </w:pict>
      </w:r>
    </w:p>
    <w:p>
      <w:pPr>
        <w:pStyle w:val="BodyText"/>
        <w:ind w:left="361" w:right="89"/>
        <w:jc w:val="center"/>
      </w:pPr>
      <w:r>
        <w:rPr/>
        <w:t>Figure 6.Comparison of results of fatigue, monotony symptoms vs difficulty concentrating.</w:t>
      </w:r>
    </w:p>
    <w:p>
      <w:pPr>
        <w:pStyle w:val="BodyText"/>
        <w:spacing w:before="2"/>
      </w:pPr>
    </w:p>
    <w:p>
      <w:pPr>
        <w:pStyle w:val="Heading4"/>
        <w:numPr>
          <w:ilvl w:val="1"/>
          <w:numId w:val="113"/>
        </w:numPr>
        <w:tabs>
          <w:tab w:pos="571" w:val="left" w:leader="none"/>
        </w:tabs>
        <w:spacing w:line="240" w:lineRule="auto" w:before="0" w:after="0"/>
        <w:ind w:left="570" w:right="0" w:hanging="300"/>
        <w:jc w:val="both"/>
      </w:pPr>
      <w:r>
        <w:rPr/>
        <w:t>Conclutions</w:t>
      </w:r>
    </w:p>
    <w:p>
      <w:pPr>
        <w:pStyle w:val="BodyText"/>
        <w:spacing w:before="8"/>
        <w:rPr>
          <w:b/>
          <w:sz w:val="19"/>
        </w:rPr>
      </w:pPr>
    </w:p>
    <w:p>
      <w:pPr>
        <w:pStyle w:val="BodyText"/>
        <w:ind w:left="270"/>
        <w:jc w:val="both"/>
      </w:pPr>
      <w:r>
        <w:rPr/>
        <w:t>It can be concluded that the factors that influence the people who make flour tortillas handmade present fatigue are external factors or concerns outside the workplace, as the same positions to develop the activity.</w:t>
      </w:r>
    </w:p>
    <w:p>
      <w:pPr>
        <w:pStyle w:val="BodyText"/>
        <w:spacing w:before="3"/>
      </w:pPr>
    </w:p>
    <w:p>
      <w:pPr>
        <w:pStyle w:val="Heading4"/>
        <w:numPr>
          <w:ilvl w:val="1"/>
          <w:numId w:val="113"/>
        </w:numPr>
        <w:tabs>
          <w:tab w:pos="571" w:val="left" w:leader="none"/>
        </w:tabs>
        <w:spacing w:line="240" w:lineRule="auto" w:before="0" w:after="0"/>
        <w:ind w:left="570" w:right="0" w:hanging="300"/>
        <w:jc w:val="both"/>
      </w:pPr>
      <w:r>
        <w:rPr/>
        <w:t>Recomendations</w:t>
      </w:r>
    </w:p>
    <w:p>
      <w:pPr>
        <w:pStyle w:val="BodyText"/>
        <w:spacing w:before="8"/>
        <w:rPr>
          <w:b/>
          <w:sz w:val="19"/>
        </w:rPr>
      </w:pPr>
    </w:p>
    <w:p>
      <w:pPr>
        <w:pStyle w:val="BodyText"/>
        <w:ind w:left="270" w:right="1"/>
        <w:jc w:val="both"/>
      </w:pPr>
      <w:r>
        <w:rPr/>
        <w:t>We recommend setting exercise routines to relax muscles and achieve decrease fatigue scale and greater efficiency at work.</w:t>
      </w:r>
    </w:p>
    <w:p>
      <w:pPr>
        <w:pStyle w:val="BodyText"/>
      </w:pPr>
      <w:r>
        <w:rPr/>
        <w:br w:type="column"/>
      </w:r>
      <w:r>
        <w:rPr/>
      </w:r>
    </w:p>
    <w:p>
      <w:pPr>
        <w:pStyle w:val="BodyText"/>
      </w:pPr>
    </w:p>
    <w:p>
      <w:pPr>
        <w:pStyle w:val="BodyText"/>
      </w:pPr>
    </w:p>
    <w:p>
      <w:pPr>
        <w:pStyle w:val="BodyText"/>
        <w:rPr>
          <w:sz w:val="18"/>
        </w:rPr>
      </w:pPr>
    </w:p>
    <w:p>
      <w:pPr>
        <w:pStyle w:val="Heading4"/>
        <w:numPr>
          <w:ilvl w:val="1"/>
          <w:numId w:val="113"/>
        </w:numPr>
        <w:tabs>
          <w:tab w:pos="571" w:val="left" w:leader="none"/>
        </w:tabs>
        <w:spacing w:line="240" w:lineRule="auto" w:before="0" w:after="0"/>
        <w:ind w:left="570" w:right="0" w:hanging="300"/>
        <w:jc w:val="left"/>
      </w:pPr>
      <w:r>
        <w:rPr/>
        <w:t>References</w:t>
      </w:r>
    </w:p>
    <w:p>
      <w:pPr>
        <w:pStyle w:val="BodyText"/>
        <w:spacing w:before="8"/>
        <w:rPr>
          <w:b/>
          <w:sz w:val="19"/>
        </w:rPr>
      </w:pPr>
    </w:p>
    <w:p>
      <w:pPr>
        <w:pStyle w:val="BodyText"/>
        <w:ind w:left="270" w:right="678"/>
        <w:jc w:val="both"/>
      </w:pPr>
      <w:r>
        <w:rPr/>
        <w:t>Niebel, Benjamín W., Ingeniería Industrial: Métodos, tiempos y movimientos. Tercera Edición. Editorial Alfaomega, 1990.</w:t>
      </w:r>
    </w:p>
    <w:p>
      <w:pPr>
        <w:pStyle w:val="BodyText"/>
      </w:pPr>
    </w:p>
    <w:p>
      <w:pPr>
        <w:pStyle w:val="BodyText"/>
        <w:spacing w:before="1"/>
        <w:ind w:left="270" w:right="677"/>
      </w:pPr>
      <w:r>
        <w:rPr/>
        <w:t>Información sobre Accidentes y Enfermedades de Trabajo Sinaloa   2004-2013.   Memorias   estadísticas   IMSS 2004-</w:t>
      </w:r>
    </w:p>
    <w:p>
      <w:pPr>
        <w:pStyle w:val="BodyText"/>
        <w:ind w:left="270" w:right="852"/>
      </w:pPr>
      <w:r>
        <w:rPr/>
        <w:t>2013.</w:t>
      </w:r>
    </w:p>
    <w:p>
      <w:pPr>
        <w:pStyle w:val="BodyText"/>
        <w:spacing w:before="11"/>
        <w:rPr>
          <w:sz w:val="19"/>
        </w:rPr>
      </w:pPr>
    </w:p>
    <w:p>
      <w:pPr>
        <w:pStyle w:val="BodyText"/>
        <w:ind w:left="270" w:right="677"/>
        <w:jc w:val="both"/>
      </w:pPr>
      <w:r>
        <w:rPr/>
        <w:t>STPS. (2004-2013). Información sobre Accidentes y Enfermedades de trabajo en Sinaloa. IMSS. 24 pp. recuperado (26/03/2015 11:05 p.m). En línea disponible: </w:t>
      </w:r>
      <w:hyperlink r:id="rId485">
        <w:r>
          <w:rPr>
            <w:u w:val="single"/>
          </w:rPr>
          <w:t>http://www.stps.gob.mx/bp/secciones/dgsst/estadisticas/Sina</w:t>
        </w:r>
      </w:hyperlink>
      <w:r>
        <w:rPr>
          <w:u w:val="single"/>
        </w:rPr>
        <w:t> loa%202004-2013.pdf</w:t>
      </w:r>
    </w:p>
    <w:p>
      <w:pPr>
        <w:pStyle w:val="BodyText"/>
        <w:spacing w:before="11"/>
        <w:rPr>
          <w:sz w:val="19"/>
        </w:rPr>
      </w:pPr>
    </w:p>
    <w:p>
      <w:pPr>
        <w:pStyle w:val="BodyText"/>
        <w:ind w:left="270" w:right="676"/>
      </w:pPr>
      <w:r>
        <w:rPr/>
        <w:t>SRT. (2014.) Prueba de síntomas subjetivos de fatiga. Yoshitake. Súperintendencia de Registros de Trabajo. Recuperado (26/03/2015 09:40 p.m.). En línea disponible: </w:t>
      </w:r>
      <w:hyperlink r:id="rId539">
        <w:r>
          <w:rPr>
            <w:u w:val="single"/>
          </w:rPr>
          <w:t>www.srt.gob.ar/index.php/prueba-de-sintomas-subjetivos-</w:t>
        </w:r>
      </w:hyperlink>
      <w:r>
        <w:rPr>
          <w:u w:val="single"/>
        </w:rPr>
        <w:t> de-fatiga-yoshitake</w:t>
      </w:r>
    </w:p>
    <w:p>
      <w:pPr>
        <w:pStyle w:val="BodyText"/>
        <w:spacing w:before="11"/>
        <w:rPr>
          <w:sz w:val="19"/>
        </w:rPr>
      </w:pPr>
    </w:p>
    <w:p>
      <w:pPr>
        <w:pStyle w:val="BodyText"/>
        <w:ind w:left="270" w:right="671"/>
      </w:pPr>
      <w:hyperlink r:id="rId540">
        <w:r>
          <w:rPr>
            <w:u w:val="single"/>
          </w:rPr>
          <w:t>www.ias.org.ar/down/asociados/reporter_ia/tecnicas/fatiga.h</w:t>
        </w:r>
      </w:hyperlink>
      <w:r>
        <w:rPr>
          <w:u w:val="single"/>
        </w:rPr>
        <w:t> tm </w:t>
      </w:r>
      <w:r>
        <w:rPr/>
        <w:t>recuperado (26/03/2015 10:00 p.m.)</w:t>
      </w:r>
    </w:p>
    <w:p>
      <w:pPr>
        <w:pStyle w:val="BodyText"/>
        <w:spacing w:before="11"/>
        <w:rPr>
          <w:sz w:val="19"/>
        </w:rPr>
      </w:pPr>
    </w:p>
    <w:p>
      <w:pPr>
        <w:pStyle w:val="BodyText"/>
        <w:tabs>
          <w:tab w:pos="4248" w:val="left" w:leader="none"/>
        </w:tabs>
        <w:ind w:left="270" w:right="677"/>
      </w:pPr>
      <w:hyperlink r:id="rId541">
        <w:r>
          <w:rPr>
            <w:u w:val="single"/>
          </w:rPr>
          <w:t>http://biddigital.epn.edu.ec/handle/15000/4008</w:t>
        </w:r>
      </w:hyperlink>
      <w:r>
        <w:rPr/>
        <w:tab/>
      </w:r>
      <w:r>
        <w:rPr>
          <w:spacing w:val="-1"/>
        </w:rPr>
        <w:t>recuperado </w:t>
      </w:r>
      <w:r>
        <w:rPr/>
        <w:t>(26/03/2015 11:05</w:t>
      </w:r>
      <w:r>
        <w:rPr>
          <w:spacing w:val="-11"/>
        </w:rPr>
        <w:t> </w:t>
      </w:r>
      <w:r>
        <w:rPr/>
        <w:t>p.m)</w:t>
      </w:r>
    </w:p>
    <w:p>
      <w:pPr>
        <w:pStyle w:val="BodyText"/>
        <w:spacing w:before="11"/>
        <w:rPr>
          <w:sz w:val="19"/>
        </w:rPr>
      </w:pPr>
    </w:p>
    <w:p>
      <w:pPr>
        <w:pStyle w:val="BodyText"/>
        <w:tabs>
          <w:tab w:pos="4494" w:val="left" w:leader="none"/>
        </w:tabs>
        <w:ind w:left="270" w:right="676"/>
      </w:pPr>
      <w:r>
        <w:rPr/>
        <w:t>Villas Fernández, M. (Sin fecha). Posturas de Trabajo: Evaluación del Riesgo. Instituto Nacional de Seguridad e Higiene en el Trabajo. Ministerio de Trabajo e inmigración. Centro    Nacional    de  </w:t>
      </w:r>
      <w:r>
        <w:rPr>
          <w:spacing w:val="2"/>
        </w:rPr>
        <w:t> </w:t>
      </w:r>
      <w:r>
        <w:rPr/>
        <w:t>Nuevas  </w:t>
      </w:r>
      <w:r>
        <w:rPr>
          <w:spacing w:val="34"/>
        </w:rPr>
        <w:t> </w:t>
      </w:r>
      <w:r>
        <w:rPr/>
        <w:t>Tecnologías.</w:t>
        <w:tab/>
        <w:t>57  </w:t>
      </w:r>
      <w:r>
        <w:rPr>
          <w:spacing w:val="36"/>
        </w:rPr>
        <w:t> </w:t>
      </w:r>
      <w:r>
        <w:rPr/>
        <w:t>pp.</w:t>
      </w:r>
      <w:r>
        <w:rPr>
          <w:spacing w:val="-1"/>
          <w:w w:val="100"/>
        </w:rPr>
        <w:t> </w:t>
      </w:r>
      <w:r>
        <w:rPr/>
        <w:t>Recuperado (24/03/2015, 10:00 a.m.). En línea disponible: </w:t>
      </w:r>
      <w:hyperlink r:id="rId542">
        <w:r>
          <w:rPr>
            <w:u w:val="single"/>
          </w:rPr>
          <w:t>http://www.insht.es/MusculoEsqueleticos/Contenidos/Form</w:t>
        </w:r>
      </w:hyperlink>
      <w:r>
        <w:rPr>
          <w:u w:val="single"/>
        </w:rPr>
        <w:t> </w:t>
      </w:r>
      <w:r>
        <w:rPr>
          <w:u w:val="single"/>
        </w:rPr>
        <w:t>acion%20divulgacion/material%20didactico/Posturas%20tr </w:t>
      </w:r>
      <w:r>
        <w:rPr>
          <w:u w:val="single"/>
        </w:rPr>
        <w:t>abajo.pdf</w:t>
      </w:r>
    </w:p>
    <w:p>
      <w:pPr>
        <w:pStyle w:val="BodyText"/>
      </w:pPr>
    </w:p>
    <w:p>
      <w:pPr>
        <w:pStyle w:val="BodyText"/>
        <w:spacing w:before="1"/>
        <w:ind w:left="270" w:right="677"/>
      </w:pPr>
      <w:r>
        <w:rPr/>
        <w:t>GENCAT. (2012). Trastornos músculos esqueléticos de origen laboral. A la feina cas risc. Departamento de Treball. Barcelona. 12 pp. Recuperado (24/03/2015, 10:00 a.m.). En línea disponible: </w:t>
      </w:r>
      <w:hyperlink r:id="rId543">
        <w:r>
          <w:rPr>
            <w:u w:val="single"/>
          </w:rPr>
          <w:t>http://www.gencat.cat/treball/doc/doc_15522120_2.pdf</w:t>
        </w:r>
      </w:hyperlink>
    </w:p>
    <w:p>
      <w:pPr>
        <w:pStyle w:val="BodyText"/>
      </w:pPr>
    </w:p>
    <w:p>
      <w:pPr>
        <w:pStyle w:val="BodyText"/>
        <w:tabs>
          <w:tab w:pos="4247" w:val="left" w:leader="none"/>
        </w:tabs>
        <w:spacing w:before="1"/>
        <w:ind w:left="270" w:right="678"/>
      </w:pPr>
      <w:r>
        <w:rPr>
          <w:u w:val="single"/>
        </w:rPr>
        <w:t>https://scholar.google.es/scholar?hl=es&amp;as_sdt=0,5&amp;q=lesi </w:t>
      </w:r>
      <w:r>
        <w:rPr>
          <w:u w:val="single"/>
        </w:rPr>
        <w:t>ones,+trabajadoras+abuelas+tortilleras</w:t>
      </w:r>
      <w:r>
        <w:rPr/>
        <w:tab/>
      </w:r>
      <w:r>
        <w:rPr>
          <w:spacing w:val="-1"/>
        </w:rPr>
        <w:t>recuperado </w:t>
      </w:r>
      <w:r>
        <w:rPr/>
        <w:t>(24/03/2015, 10:30</w:t>
      </w:r>
      <w:r>
        <w:rPr>
          <w:spacing w:val="-13"/>
        </w:rPr>
        <w:t> </w:t>
      </w:r>
      <w:r>
        <w:rPr/>
        <w:t>a.m)</w:t>
      </w:r>
    </w:p>
    <w:p>
      <w:pPr>
        <w:spacing w:after="0"/>
        <w:sectPr>
          <w:pgSz w:w="12240" w:h="15840"/>
          <w:pgMar w:header="545" w:footer="852" w:top="1060" w:bottom="1040" w:left="580" w:right="220"/>
          <w:cols w:num="2" w:equalWidth="0">
            <w:col w:w="5190" w:space="435"/>
            <w:col w:w="5815"/>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
        <w:rPr>
          <w:sz w:val="26"/>
        </w:rPr>
      </w:pPr>
    </w:p>
    <w:p>
      <w:pPr>
        <w:pStyle w:val="Heading1"/>
      </w:pPr>
      <w:r>
        <w:rPr/>
        <w:t>12 Hrs  Night  and  Day  Shifts  Fatigue  Study</w:t>
      </w:r>
    </w:p>
    <w:p>
      <w:pPr>
        <w:pStyle w:val="BodyText"/>
        <w:rPr>
          <w:b/>
          <w:sz w:val="24"/>
        </w:rPr>
      </w:pPr>
    </w:p>
    <w:p>
      <w:pPr>
        <w:pStyle w:val="BodyText"/>
        <w:rPr>
          <w:b/>
          <w:sz w:val="24"/>
        </w:rPr>
      </w:pPr>
    </w:p>
    <w:p>
      <w:pPr>
        <w:pStyle w:val="BodyText"/>
        <w:spacing w:line="230" w:lineRule="exact"/>
        <w:ind w:left="270"/>
        <w:jc w:val="both"/>
        <w:rPr>
          <w:sz w:val="13"/>
        </w:rPr>
      </w:pPr>
      <w:r>
        <w:rPr>
          <w:b/>
        </w:rPr>
        <w:t>Autor(es): </w:t>
      </w:r>
      <w:r>
        <w:rPr/>
        <w:t>M.C. Patricia Eugenia Sortillón González</w:t>
      </w:r>
      <w:r>
        <w:rPr>
          <w:position w:val="-2"/>
          <w:sz w:val="13"/>
        </w:rPr>
        <w:t>1</w:t>
      </w:r>
      <w:r>
        <w:rPr/>
        <w:t>, Dr. Enrique Javier de la Vega Bustillos</w:t>
      </w:r>
      <w:r>
        <w:rPr>
          <w:position w:val="-2"/>
          <w:sz w:val="13"/>
        </w:rPr>
        <w:t>2</w:t>
      </w:r>
      <w:r>
        <w:rPr/>
        <w:t>, Dr. Francisco Octavio López Millán</w:t>
      </w:r>
      <w:r>
        <w:rPr>
          <w:position w:val="-2"/>
          <w:sz w:val="13"/>
        </w:rPr>
        <w:t>3</w:t>
      </w:r>
    </w:p>
    <w:p>
      <w:pPr>
        <w:pStyle w:val="BodyText"/>
        <w:rPr>
          <w:sz w:val="22"/>
        </w:rPr>
      </w:pPr>
    </w:p>
    <w:p>
      <w:pPr>
        <w:pStyle w:val="BodyText"/>
        <w:spacing w:before="7"/>
        <w:rPr>
          <w:sz w:val="17"/>
        </w:rPr>
      </w:pPr>
    </w:p>
    <w:p>
      <w:pPr>
        <w:pStyle w:val="ListParagraph"/>
        <w:numPr>
          <w:ilvl w:val="0"/>
          <w:numId w:val="116"/>
        </w:numPr>
        <w:tabs>
          <w:tab w:pos="588" w:val="left" w:leader="none"/>
        </w:tabs>
        <w:spacing w:line="240" w:lineRule="auto" w:before="0" w:after="0"/>
        <w:ind w:left="270" w:right="2" w:firstLine="0"/>
        <w:jc w:val="both"/>
        <w:rPr>
          <w:sz w:val="20"/>
        </w:rPr>
      </w:pPr>
      <w:r>
        <w:rPr>
          <w:sz w:val="20"/>
        </w:rPr>
        <w:t>Instituto Tecnológico de Hermosillo, Ave. Tecnológico, CP 83170,  Apartado postal 518. Hermosillo,</w:t>
      </w:r>
      <w:r>
        <w:rPr>
          <w:spacing w:val="-26"/>
          <w:sz w:val="20"/>
        </w:rPr>
        <w:t> </w:t>
      </w:r>
      <w:r>
        <w:rPr>
          <w:sz w:val="20"/>
        </w:rPr>
        <w:t>Sonora.</w:t>
      </w:r>
    </w:p>
    <w:p>
      <w:pPr>
        <w:pStyle w:val="ListParagraph"/>
        <w:numPr>
          <w:ilvl w:val="0"/>
          <w:numId w:val="116"/>
        </w:numPr>
        <w:tabs>
          <w:tab w:pos="588" w:val="left" w:leader="none"/>
        </w:tabs>
        <w:spacing w:line="240" w:lineRule="auto" w:before="0" w:after="0"/>
        <w:ind w:left="270" w:right="2" w:firstLine="0"/>
        <w:jc w:val="both"/>
        <w:rPr>
          <w:sz w:val="20"/>
        </w:rPr>
      </w:pPr>
      <w:r>
        <w:rPr>
          <w:sz w:val="20"/>
        </w:rPr>
        <w:t>Instituto Tecnológico de Hermosillo, Ave. Tecnológico, CP 83170,  Apartado postal 518. Hermosillo,</w:t>
      </w:r>
      <w:r>
        <w:rPr>
          <w:spacing w:val="-27"/>
          <w:sz w:val="20"/>
        </w:rPr>
        <w:t> </w:t>
      </w:r>
      <w:r>
        <w:rPr>
          <w:sz w:val="20"/>
        </w:rPr>
        <w:t>Sonora.</w:t>
      </w:r>
    </w:p>
    <w:p>
      <w:pPr>
        <w:pStyle w:val="ListParagraph"/>
        <w:numPr>
          <w:ilvl w:val="0"/>
          <w:numId w:val="116"/>
        </w:numPr>
        <w:tabs>
          <w:tab w:pos="536" w:val="left" w:leader="none"/>
        </w:tabs>
        <w:spacing w:line="240" w:lineRule="auto" w:before="0" w:after="0"/>
        <w:ind w:left="270" w:right="2" w:firstLine="0"/>
        <w:jc w:val="both"/>
        <w:rPr>
          <w:sz w:val="20"/>
        </w:rPr>
      </w:pPr>
      <w:r>
        <w:rPr>
          <w:sz w:val="20"/>
        </w:rPr>
        <w:t>Instituto Tecnológico de Hermosillo, Ave. Tecnológico, CP 83170,  Apartado postal 518. Hermosillo,</w:t>
      </w:r>
      <w:r>
        <w:rPr>
          <w:spacing w:val="-27"/>
          <w:sz w:val="20"/>
        </w:rPr>
        <w:t> </w:t>
      </w:r>
      <w:r>
        <w:rPr>
          <w:sz w:val="20"/>
        </w:rPr>
        <w:t>Sonora.</w:t>
      </w:r>
    </w:p>
    <w:p>
      <w:pPr>
        <w:pStyle w:val="BodyText"/>
        <w:spacing w:before="11"/>
        <w:rPr>
          <w:sz w:val="19"/>
        </w:rPr>
      </w:pPr>
    </w:p>
    <w:p>
      <w:pPr>
        <w:spacing w:before="0"/>
        <w:ind w:left="270" w:right="4" w:firstLine="0"/>
        <w:jc w:val="both"/>
        <w:rPr>
          <w:sz w:val="20"/>
        </w:rPr>
      </w:pPr>
      <w:r>
        <w:rPr>
          <w:b/>
          <w:sz w:val="20"/>
        </w:rPr>
        <w:t>Correo(s) electrónico(s): </w:t>
      </w:r>
      <w:hyperlink r:id="rId434">
        <w:r>
          <w:rPr>
            <w:sz w:val="20"/>
          </w:rPr>
          <w:t>psortillon@industrial.uson.mx,</w:t>
        </w:r>
      </w:hyperlink>
      <w:r>
        <w:rPr>
          <w:sz w:val="20"/>
        </w:rPr>
        <w:t> </w:t>
      </w:r>
      <w:hyperlink r:id="rId544">
        <w:r>
          <w:rPr>
            <w:sz w:val="20"/>
          </w:rPr>
          <w:t>edelavega@ith.mx,</w:t>
        </w:r>
      </w:hyperlink>
      <w:r>
        <w:rPr>
          <w:sz w:val="20"/>
        </w:rPr>
        <w:t> </w:t>
      </w:r>
      <w:hyperlink r:id="rId545">
        <w:r>
          <w:rPr>
            <w:sz w:val="20"/>
          </w:rPr>
          <w:t>lopezoctavio@yahoo.com.mx</w:t>
        </w:r>
      </w:hyperlink>
    </w:p>
    <w:p>
      <w:pPr>
        <w:pStyle w:val="BodyText"/>
      </w:pPr>
    </w:p>
    <w:p>
      <w:pPr>
        <w:pStyle w:val="BodyText"/>
      </w:pPr>
    </w:p>
    <w:p>
      <w:pPr>
        <w:pStyle w:val="BodyText"/>
        <w:ind w:left="270"/>
        <w:jc w:val="both"/>
      </w:pPr>
      <w:r>
        <w:rPr/>
        <w:t>Resumen</w:t>
      </w:r>
    </w:p>
    <w:p>
      <w:pPr>
        <w:pStyle w:val="BodyText"/>
      </w:pPr>
    </w:p>
    <w:p>
      <w:pPr>
        <w:pStyle w:val="BodyText"/>
      </w:pPr>
    </w:p>
    <w:p>
      <w:pPr>
        <w:pStyle w:val="BodyText"/>
        <w:ind w:left="270"/>
        <w:jc w:val="both"/>
      </w:pPr>
      <w:r>
        <w:rPr/>
        <w:t>Los trabajos de horas prolongadas, son con frecuencia una necesidad; su propósito es solventar las demandas tanto de los procesos de producción como de los productos elaborados; y en nuestro tiempo, son resultado del mercadeo global que por razones del tiempo rompe con todos los esquemas</w:t>
      </w:r>
      <w:r>
        <w:rPr>
          <w:spacing w:val="-5"/>
        </w:rPr>
        <w:t> </w:t>
      </w:r>
      <w:r>
        <w:rPr/>
        <w:t>clásicos</w:t>
      </w:r>
      <w:r>
        <w:rPr>
          <w:spacing w:val="-6"/>
        </w:rPr>
        <w:t> </w:t>
      </w:r>
      <w:r>
        <w:rPr/>
        <w:t>de</w:t>
      </w:r>
      <w:r>
        <w:rPr>
          <w:spacing w:val="-5"/>
        </w:rPr>
        <w:t> </w:t>
      </w:r>
      <w:r>
        <w:rPr/>
        <w:t>las</w:t>
      </w:r>
      <w:r>
        <w:rPr>
          <w:spacing w:val="-6"/>
        </w:rPr>
        <w:t> </w:t>
      </w:r>
      <w:r>
        <w:rPr/>
        <w:t>jornadas</w:t>
      </w:r>
      <w:r>
        <w:rPr>
          <w:spacing w:val="-5"/>
        </w:rPr>
        <w:t> </w:t>
      </w:r>
      <w:r>
        <w:rPr/>
        <w:t>laborales</w:t>
      </w:r>
      <w:r>
        <w:rPr>
          <w:spacing w:val="-6"/>
        </w:rPr>
        <w:t> </w:t>
      </w:r>
      <w:r>
        <w:rPr/>
        <w:t>de</w:t>
      </w:r>
      <w:r>
        <w:rPr>
          <w:spacing w:val="-6"/>
        </w:rPr>
        <w:t> </w:t>
      </w:r>
      <w:r>
        <w:rPr/>
        <w:t>ocho</w:t>
      </w:r>
      <w:r>
        <w:rPr>
          <w:spacing w:val="-6"/>
        </w:rPr>
        <w:t> </w:t>
      </w:r>
      <w:r>
        <w:rPr/>
        <w:t>horas.</w:t>
      </w:r>
    </w:p>
    <w:p>
      <w:pPr>
        <w:pStyle w:val="BodyText"/>
        <w:ind w:left="270" w:firstLine="426"/>
        <w:jc w:val="both"/>
      </w:pPr>
      <w:r>
        <w:rPr/>
        <w:t>La fatiga es una condición laboral fuertemente relacionada con las jornadas largas de trabajo, por esta razón, se propone un estudio de fatiga en mujeres que laboran en jornadas de trabajo de 12 horas tanto diurnas como nocturnas en la operación de moldeo de una planta de manufactura. Se proponen las siguientes hipótesis:</w:t>
      </w:r>
    </w:p>
    <w:p>
      <w:pPr>
        <w:pStyle w:val="BodyText"/>
        <w:ind w:left="270" w:right="1" w:firstLine="426"/>
        <w:jc w:val="both"/>
      </w:pPr>
      <w:r>
        <w:rPr/>
        <w:t>La fatiga experimentada durante la jornada laboral incrementa de acuerdo a la cantidad de horas laboradas.</w:t>
      </w:r>
    </w:p>
    <w:p>
      <w:pPr>
        <w:pStyle w:val="BodyText"/>
        <w:ind w:left="270" w:right="2"/>
        <w:jc w:val="both"/>
      </w:pPr>
      <w:r>
        <w:rPr/>
        <w:t>Las mujeres que trabajan en jornadas de 12 horas nocturnas experimentan mayor fatiga que las que trabajan en turnos de 12 horas diurnos.</w:t>
      </w:r>
    </w:p>
    <w:p>
      <w:pPr>
        <w:pStyle w:val="BodyText"/>
        <w:ind w:left="270" w:firstLine="426"/>
        <w:jc w:val="both"/>
      </w:pPr>
      <w:r>
        <w:rPr/>
        <w:t>Los resultados de esta investigación proveen de una base para recomendar periodos de descanso durante y después de las jornadas laborales. Este estudio se llevó a cabo con 54 mujeres, 27 de las cuales trabajaba en jornada  de 12 horas diurna y el resto en jornada de 12 horas  nocturna.  Se aplicó un cuestionario durante 56 días en  cuatro lapsos de tiempo por cada turno y los resultados de los mismos fueron tratados estadísticamente utilizando  un  diseño de</w:t>
      </w:r>
      <w:r>
        <w:rPr>
          <w:spacing w:val="-7"/>
        </w:rPr>
        <w:t> </w:t>
      </w:r>
      <w:r>
        <w:rPr/>
        <w:t>factorial.</w:t>
      </w:r>
    </w:p>
    <w:p>
      <w:pPr>
        <w:pStyle w:val="BodyText"/>
      </w:pPr>
    </w:p>
    <w:p>
      <w:pPr>
        <w:pStyle w:val="BodyText"/>
      </w:pPr>
    </w:p>
    <w:p>
      <w:pPr>
        <w:spacing w:before="0"/>
        <w:ind w:left="270" w:right="0" w:firstLine="0"/>
        <w:jc w:val="both"/>
        <w:rPr>
          <w:sz w:val="20"/>
        </w:rPr>
      </w:pPr>
      <w:r>
        <w:rPr>
          <w:b/>
          <w:sz w:val="20"/>
        </w:rPr>
        <w:t>Palabras clave: </w:t>
      </w:r>
      <w:r>
        <w:rPr>
          <w:sz w:val="20"/>
        </w:rPr>
        <w:t>Fatiga, turnos, mujeres</w:t>
      </w:r>
    </w:p>
    <w:p>
      <w:pPr>
        <w:pStyle w:val="BodyText"/>
      </w:pPr>
    </w:p>
    <w:p>
      <w:pPr>
        <w:pStyle w:val="BodyText"/>
      </w:pPr>
    </w:p>
    <w:p>
      <w:pPr>
        <w:pStyle w:val="BodyText"/>
      </w:pPr>
    </w:p>
    <w:p>
      <w:pPr>
        <w:pStyle w:val="BodyText"/>
      </w:pPr>
    </w:p>
    <w:p>
      <w:pPr>
        <w:spacing w:before="170"/>
        <w:ind w:left="270" w:right="0" w:firstLine="0"/>
        <w:jc w:val="both"/>
        <w:rPr>
          <w:i/>
          <w:sz w:val="20"/>
        </w:rPr>
      </w:pPr>
      <w:r>
        <w:rPr>
          <w:i/>
          <w:sz w:val="20"/>
        </w:rPr>
        <w:t>Abstract</w:t>
      </w:r>
    </w:p>
    <w:p>
      <w:pPr>
        <w:spacing w:before="74"/>
        <w:ind w:left="270" w:right="675" w:firstLine="0"/>
        <w:jc w:val="both"/>
        <w:rPr>
          <w:i/>
          <w:sz w:val="20"/>
        </w:rPr>
      </w:pPr>
      <w:r>
        <w:rPr/>
        <w:br w:type="column"/>
      </w:r>
      <w:r>
        <w:rPr>
          <w:i/>
          <w:sz w:val="20"/>
        </w:rPr>
        <w:t>Today, long working day jobs are a need, its purpose is to </w:t>
      </w:r>
      <w:r>
        <w:rPr>
          <w:i/>
          <w:sz w:val="20"/>
        </w:rPr>
        <w:t>solve the production process demands as well as the final products required by customers as a result of the growing global market, that nowadays is collapsing the traditional eight hours working day and giving way to twelve nights  and day</w:t>
      </w:r>
      <w:r>
        <w:rPr>
          <w:i/>
          <w:spacing w:val="-7"/>
          <w:sz w:val="20"/>
        </w:rPr>
        <w:t> </w:t>
      </w:r>
      <w:r>
        <w:rPr>
          <w:i/>
          <w:sz w:val="20"/>
        </w:rPr>
        <w:t>shifts.</w:t>
      </w:r>
    </w:p>
    <w:p>
      <w:pPr>
        <w:spacing w:before="0"/>
        <w:ind w:left="270" w:right="676" w:firstLine="426"/>
        <w:jc w:val="both"/>
        <w:rPr>
          <w:i/>
          <w:sz w:val="20"/>
        </w:rPr>
      </w:pPr>
      <w:r>
        <w:rPr>
          <w:i/>
          <w:sz w:val="20"/>
        </w:rPr>
        <w:t>Fatigue is a work condition strongly related to long </w:t>
      </w:r>
      <w:r>
        <w:rPr>
          <w:i/>
          <w:sz w:val="20"/>
        </w:rPr>
        <w:t>working days, because of that, a fatigue study has been performed in women working 12 hours night and day shifts in the molding operation of a manufacturing plant. It has been posed the following hypothesis:</w:t>
      </w:r>
    </w:p>
    <w:p>
      <w:pPr>
        <w:spacing w:before="0"/>
        <w:ind w:left="270" w:right="675" w:firstLine="0"/>
        <w:jc w:val="both"/>
        <w:rPr>
          <w:i/>
          <w:sz w:val="20"/>
        </w:rPr>
      </w:pPr>
      <w:r>
        <w:rPr>
          <w:i/>
          <w:sz w:val="20"/>
        </w:rPr>
        <w:t>The fatigue experienced during workday, increase </w:t>
      </w:r>
      <w:r>
        <w:rPr>
          <w:i/>
          <w:sz w:val="20"/>
        </w:rPr>
        <w:t>according to the quantity of labor</w:t>
      </w:r>
      <w:r>
        <w:rPr>
          <w:i/>
          <w:spacing w:val="-19"/>
          <w:sz w:val="20"/>
        </w:rPr>
        <w:t> </w:t>
      </w:r>
      <w:r>
        <w:rPr>
          <w:i/>
          <w:sz w:val="20"/>
        </w:rPr>
        <w:t>hours.</w:t>
      </w:r>
    </w:p>
    <w:p>
      <w:pPr>
        <w:spacing w:before="0"/>
        <w:ind w:left="270" w:right="676" w:firstLine="0"/>
        <w:jc w:val="both"/>
        <w:rPr>
          <w:i/>
          <w:sz w:val="20"/>
        </w:rPr>
      </w:pPr>
      <w:r>
        <w:rPr>
          <w:i/>
          <w:sz w:val="20"/>
        </w:rPr>
        <w:t>Women working in 12 hour shifts have more fatigue than the </w:t>
      </w:r>
      <w:r>
        <w:rPr>
          <w:i/>
          <w:sz w:val="20"/>
        </w:rPr>
        <w:t>women working in 12 hour day shifts.</w:t>
      </w:r>
    </w:p>
    <w:p>
      <w:pPr>
        <w:spacing w:before="0"/>
        <w:ind w:left="270" w:right="752" w:firstLine="426"/>
        <w:jc w:val="both"/>
        <w:rPr>
          <w:i/>
          <w:sz w:val="20"/>
        </w:rPr>
      </w:pPr>
      <w:r>
        <w:rPr>
          <w:i/>
          <w:sz w:val="20"/>
        </w:rPr>
        <w:t>The aim of this study was to assess fatigue in women </w:t>
      </w:r>
      <w:r>
        <w:rPr>
          <w:i/>
          <w:sz w:val="20"/>
        </w:rPr>
        <w:t>working in a molding operation during 12 hours night and day shifts.</w:t>
      </w:r>
    </w:p>
    <w:p>
      <w:pPr>
        <w:spacing w:before="0"/>
        <w:ind w:left="270" w:right="675" w:firstLine="426"/>
        <w:jc w:val="both"/>
        <w:rPr>
          <w:i/>
          <w:sz w:val="20"/>
        </w:rPr>
      </w:pPr>
      <w:r>
        <w:rPr>
          <w:i/>
          <w:sz w:val="20"/>
        </w:rPr>
        <w:t>This study was done in 54 women, 27 working in 12 </w:t>
      </w:r>
      <w:r>
        <w:rPr>
          <w:i/>
          <w:sz w:val="20"/>
        </w:rPr>
        <w:t>hours night shift and 27 working in 12 hours day shift. A fatigue survey was applied during 56 days and the results were statistically treated. The results of this investigation provide a basis to recommend rest periods during and after the workday.</w:t>
      </w:r>
    </w:p>
    <w:p>
      <w:pPr>
        <w:spacing w:before="0"/>
        <w:ind w:left="270" w:right="675" w:firstLine="426"/>
        <w:jc w:val="both"/>
        <w:rPr>
          <w:i/>
          <w:sz w:val="20"/>
        </w:rPr>
      </w:pPr>
      <w:r>
        <w:rPr>
          <w:i/>
          <w:sz w:val="20"/>
        </w:rPr>
        <w:t>Results comprise both descriptive statistic and  </w:t>
      </w:r>
      <w:r>
        <w:rPr>
          <w:i/>
          <w:sz w:val="20"/>
        </w:rPr>
        <w:t>factorial design for the population studied. According to factorial design results, it was found fatigue is equal during weeks 1,2, 6 and 7, fatigue is equal for days 1,2 and 3 and for day four is different, and it is the higher, fatigue mean is different for lapses 1,2,3 and four, that is the higher.  Fatigue is equal for shifts A,B,C and different for shift D  that is the</w:t>
      </w:r>
      <w:r>
        <w:rPr>
          <w:i/>
          <w:spacing w:val="-8"/>
          <w:sz w:val="20"/>
        </w:rPr>
        <w:t> </w:t>
      </w:r>
      <w:r>
        <w:rPr>
          <w:i/>
          <w:sz w:val="20"/>
        </w:rPr>
        <w:t>higher.</w:t>
      </w:r>
    </w:p>
    <w:p>
      <w:pPr>
        <w:pStyle w:val="BodyText"/>
        <w:rPr>
          <w:i/>
        </w:rPr>
      </w:pPr>
    </w:p>
    <w:p>
      <w:pPr>
        <w:pStyle w:val="BodyText"/>
        <w:rPr>
          <w:i/>
        </w:rPr>
      </w:pPr>
    </w:p>
    <w:p>
      <w:pPr>
        <w:spacing w:before="0"/>
        <w:ind w:left="270" w:right="0" w:firstLine="0"/>
        <w:jc w:val="both"/>
        <w:rPr>
          <w:i/>
          <w:sz w:val="20"/>
        </w:rPr>
      </w:pPr>
      <w:r>
        <w:rPr>
          <w:b/>
          <w:i/>
          <w:sz w:val="20"/>
        </w:rPr>
        <w:t>Keywords</w:t>
      </w:r>
      <w:r>
        <w:rPr>
          <w:i/>
          <w:sz w:val="20"/>
        </w:rPr>
        <w:t>— Fatigue, shift, women</w:t>
      </w:r>
    </w:p>
    <w:p>
      <w:pPr>
        <w:pStyle w:val="BodyText"/>
        <w:rPr>
          <w:i/>
        </w:rPr>
      </w:pPr>
    </w:p>
    <w:p>
      <w:pPr>
        <w:pStyle w:val="BodyText"/>
        <w:rPr>
          <w:i/>
        </w:rPr>
      </w:pPr>
    </w:p>
    <w:p>
      <w:pPr>
        <w:pStyle w:val="BodyText"/>
        <w:ind w:left="270"/>
        <w:jc w:val="both"/>
      </w:pPr>
      <w:r>
        <w:rPr/>
        <w:t>Relevance to Ergonomics:</w:t>
      </w:r>
    </w:p>
    <w:p>
      <w:pPr>
        <w:pStyle w:val="BodyText"/>
        <w:spacing w:before="11"/>
        <w:rPr>
          <w:sz w:val="19"/>
        </w:rPr>
      </w:pPr>
    </w:p>
    <w:p>
      <w:pPr>
        <w:pStyle w:val="BodyText"/>
        <w:ind w:left="270" w:right="677"/>
        <w:jc w:val="both"/>
      </w:pPr>
      <w:r>
        <w:rPr/>
        <w:t>Contribute and provide standards and recommendations for resting periods during workdays.</w:t>
      </w:r>
    </w:p>
    <w:p>
      <w:pPr>
        <w:pStyle w:val="BodyText"/>
      </w:pPr>
    </w:p>
    <w:p>
      <w:pPr>
        <w:pStyle w:val="BodyText"/>
        <w:spacing w:before="2"/>
      </w:pPr>
    </w:p>
    <w:p>
      <w:pPr>
        <w:pStyle w:val="Heading4"/>
        <w:numPr>
          <w:ilvl w:val="0"/>
          <w:numId w:val="117"/>
        </w:numPr>
        <w:tabs>
          <w:tab w:pos="473" w:val="left" w:leader="none"/>
        </w:tabs>
        <w:spacing w:line="240" w:lineRule="auto" w:before="0" w:after="0"/>
        <w:ind w:left="472" w:right="0" w:hanging="202"/>
        <w:jc w:val="both"/>
      </w:pPr>
      <w:r>
        <w:rPr/>
        <w:t>INTRODUCTION</w:t>
      </w:r>
    </w:p>
    <w:p>
      <w:pPr>
        <w:pStyle w:val="BodyText"/>
        <w:spacing w:before="8"/>
        <w:rPr>
          <w:b/>
          <w:sz w:val="19"/>
        </w:rPr>
      </w:pPr>
    </w:p>
    <w:p>
      <w:pPr>
        <w:pStyle w:val="BodyText"/>
        <w:ind w:left="270" w:right="676"/>
        <w:jc w:val="both"/>
      </w:pPr>
      <w:r>
        <w:rPr/>
        <w:t>From the industrial revolution up to the invention of the bulb, the society has penetrated of increasing into the works of 24 hours[1], including activities of the care of the health, the safety, transport, military and manufacturing industry.</w:t>
      </w:r>
    </w:p>
    <w:p>
      <w:pPr>
        <w:pStyle w:val="BodyText"/>
        <w:ind w:left="270" w:right="676"/>
        <w:jc w:val="both"/>
      </w:pPr>
      <w:r>
        <w:rPr/>
        <w:t>In the present, there is trend towards alternative work schedules, in which there is an increase in the duration of  the labor days, whereas there is reduction in the number of days worked in the week, that is to say the night working shifts exist major number, also the irregular days programs, which they include from the rotation of shifts, up to programs of work known as compressed weeks[2]. In the programs of compressed week operators work certain number of days (less than the stipulated ones, in the   </w:t>
      </w:r>
      <w:r>
        <w:rPr>
          <w:spacing w:val="4"/>
        </w:rPr>
        <w:t> </w:t>
      </w:r>
      <w:r>
        <w:rPr/>
        <w:t>weeks</w:t>
      </w:r>
    </w:p>
    <w:p>
      <w:pPr>
        <w:spacing w:after="0"/>
        <w:jc w:val="both"/>
        <w:sectPr>
          <w:type w:val="continuous"/>
          <w:pgSz w:w="12240" w:h="15840"/>
          <w:pgMar w:top="1500" w:bottom="280" w:left="580" w:right="220"/>
          <w:cols w:num="2" w:equalWidth="0">
            <w:col w:w="5192" w:space="432"/>
            <w:col w:w="5816"/>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4"/>
        <w:ind w:left="270" w:right="1"/>
        <w:jc w:val="both"/>
      </w:pPr>
      <w:r>
        <w:rPr/>
        <w:t>from 5 to 6 days) and some other days they rest (3 or 4 days), generally across the expansion of the schedule from 8 to 12 hours. Regardless the variants in the work days schedules, it is necessary to consider the preferences and interests of the company administration, but also the  health and safety[3].</w:t>
      </w:r>
    </w:p>
    <w:p>
      <w:pPr>
        <w:pStyle w:val="BodyText"/>
        <w:ind w:left="270" w:right="1" w:firstLine="426"/>
        <w:jc w:val="both"/>
      </w:pPr>
      <w:r>
        <w:rPr/>
        <w:t>According to Office of Technology Assessment and Bureau of labor statistics[4] in the United States, one of five workers is a shift worker, which means is someone who works during night shifts, turnover works, twelve hours shifts,  that are related to compressed weeks shifts.</w:t>
      </w:r>
    </w:p>
    <w:p>
      <w:pPr>
        <w:pStyle w:val="BodyText"/>
        <w:ind w:left="270" w:firstLine="426"/>
        <w:jc w:val="both"/>
      </w:pPr>
      <w:r>
        <w:rPr/>
        <w:t>The compressed week shifts, especially those of twelve hours produce fatigue and a level of sleep and psychomotor activity low, that a shift of eight hours.  In previous studies,  it has been concluded that shift workers and those who work in night shifts, reduce sleep, that it is associated with  warning reduction and a high risk of accidents and injuries[6].</w:t>
      </w:r>
      <w:r>
        <w:rPr>
          <w:rFonts w:ascii="Arial"/>
          <w:sz w:val="11"/>
        </w:rPr>
        <w:t>. </w:t>
      </w:r>
      <w:r>
        <w:rPr/>
        <w:t>On the other hand, it is said that shift workers have autonomy and best satisfaction, due to reduction  of work stress and flexibility, besides this, workers have more time for spending with family and doing personal</w:t>
      </w:r>
      <w:r>
        <w:rPr>
          <w:spacing w:val="-29"/>
        </w:rPr>
        <w:t> </w:t>
      </w:r>
      <w:r>
        <w:rPr/>
        <w:t>issues[6].</w:t>
      </w:r>
    </w:p>
    <w:p>
      <w:pPr>
        <w:pStyle w:val="BodyText"/>
        <w:ind w:left="270" w:firstLine="426"/>
        <w:jc w:val="both"/>
      </w:pPr>
      <w:r>
        <w:rPr/>
        <w:t>In the programs of compressed week, workers labor certain number of days and in the others they rest, across the expansion of the typical schedule from 8 hours to 12 hours workday[7]. The typical labor day in México, is 40 working hours during light hours, in agreement with the established in the federal working law in the Estados Unidos Mexicanos, nevertheless at present, there is a wide variety of schedules  of work, between that, one finds the shift work or compressed week, which is defined as the system in which the workers take programs of work that need them working for more than eight hours in a period of five days a</w:t>
      </w:r>
      <w:r>
        <w:rPr>
          <w:spacing w:val="-20"/>
        </w:rPr>
        <w:t> </w:t>
      </w:r>
      <w:r>
        <w:rPr/>
        <w:t>week[8]</w:t>
      </w:r>
    </w:p>
    <w:p>
      <w:pPr>
        <w:pStyle w:val="BodyText"/>
        <w:ind w:left="270" w:right="1" w:firstLine="426"/>
        <w:jc w:val="both"/>
      </w:pPr>
      <w:r>
        <w:rPr/>
        <w:t>There is a large amount of studies that establish the fatigue is one of the most important consequences of  working in shift workdays, known as compressed weeks, because of that this study has as a purpose to evaluate the fatigue in feminine shift workers with a workday of twelve hours during the night and day hours for four continuous working days after of them there is a rest period of four</w:t>
      </w:r>
      <w:r>
        <w:rPr>
          <w:spacing w:val="-21"/>
        </w:rPr>
        <w:t> </w:t>
      </w:r>
      <w:r>
        <w:rPr/>
        <w:t>days.</w:t>
      </w:r>
    </w:p>
    <w:p>
      <w:pPr>
        <w:pStyle w:val="BodyText"/>
      </w:pPr>
    </w:p>
    <w:p>
      <w:pPr>
        <w:pStyle w:val="BodyText"/>
      </w:pPr>
    </w:p>
    <w:p>
      <w:pPr>
        <w:pStyle w:val="BodyText"/>
        <w:spacing w:before="7"/>
        <w:rPr>
          <w:sz w:val="24"/>
        </w:rPr>
      </w:pPr>
    </w:p>
    <w:p>
      <w:pPr>
        <w:pStyle w:val="Heading4"/>
        <w:numPr>
          <w:ilvl w:val="0"/>
          <w:numId w:val="117"/>
        </w:numPr>
        <w:tabs>
          <w:tab w:pos="471" w:val="left" w:leader="none"/>
        </w:tabs>
        <w:spacing w:line="240" w:lineRule="auto" w:before="0" w:after="0"/>
        <w:ind w:left="470" w:right="0" w:hanging="200"/>
        <w:jc w:val="both"/>
      </w:pPr>
      <w:r>
        <w:rPr/>
        <w:t>OBJECTIVES.</w:t>
      </w:r>
    </w:p>
    <w:p>
      <w:pPr>
        <w:pStyle w:val="BodyText"/>
        <w:rPr>
          <w:b/>
        </w:rPr>
      </w:pPr>
    </w:p>
    <w:p>
      <w:pPr>
        <w:pStyle w:val="BodyText"/>
        <w:rPr>
          <w:b/>
          <w:sz w:val="24"/>
        </w:rPr>
      </w:pPr>
    </w:p>
    <w:p>
      <w:pPr>
        <w:pStyle w:val="BodyText"/>
        <w:spacing w:before="1"/>
        <w:ind w:left="270" w:right="1"/>
        <w:jc w:val="both"/>
      </w:pPr>
      <w:r>
        <w:rPr/>
        <w:t>This investigation was carried out in order to assess the fatigue in women working in a molding operation during compressed week, in another way: 12 hours night and day working shifts.</w:t>
      </w:r>
    </w:p>
    <w:p>
      <w:pPr>
        <w:pStyle w:val="BodyText"/>
      </w:pPr>
    </w:p>
    <w:p>
      <w:pPr>
        <w:pStyle w:val="BodyText"/>
        <w:spacing w:before="5"/>
        <w:rPr>
          <w:sz w:val="17"/>
        </w:rPr>
      </w:pPr>
    </w:p>
    <w:p>
      <w:pPr>
        <w:pStyle w:val="Heading4"/>
        <w:numPr>
          <w:ilvl w:val="0"/>
          <w:numId w:val="117"/>
        </w:numPr>
        <w:tabs>
          <w:tab w:pos="471" w:val="left" w:leader="none"/>
        </w:tabs>
        <w:spacing w:line="240" w:lineRule="auto" w:before="0" w:after="0"/>
        <w:ind w:left="470" w:right="0" w:hanging="200"/>
        <w:jc w:val="both"/>
      </w:pPr>
      <w:r>
        <w:rPr/>
        <w:t>METHODOLOGY</w:t>
      </w:r>
    </w:p>
    <w:p>
      <w:pPr>
        <w:pStyle w:val="BodyText"/>
        <w:rPr>
          <w:b/>
        </w:rPr>
      </w:pPr>
    </w:p>
    <w:p>
      <w:pPr>
        <w:pStyle w:val="BodyText"/>
        <w:rPr>
          <w:b/>
        </w:rPr>
      </w:pPr>
    </w:p>
    <w:p>
      <w:pPr>
        <w:pStyle w:val="BodyText"/>
        <w:spacing w:before="168"/>
        <w:ind w:left="270" w:right="1"/>
        <w:jc w:val="both"/>
      </w:pPr>
      <w:r>
        <w:rPr/>
        <w:t>In this study, they were selected fifty five workers (women) from molding area at AMP AMERMEX, S.A. de C.V., all of them distributed in four shifts, which are named A,B,C,D.</w:t>
      </w:r>
    </w:p>
    <w:p>
      <w:pPr>
        <w:pStyle w:val="BodyText"/>
        <w:spacing w:before="74"/>
        <w:ind w:left="270" w:right="675"/>
        <w:jc w:val="both"/>
      </w:pPr>
      <w:r>
        <w:rPr/>
        <w:br w:type="column"/>
      </w:r>
      <w:r>
        <w:rPr/>
        <w:t>Groups A and C are for day shift and the rest are for night shift.</w:t>
      </w:r>
    </w:p>
    <w:p>
      <w:pPr>
        <w:pStyle w:val="BodyText"/>
        <w:ind w:left="270" w:right="676" w:firstLine="426"/>
        <w:jc w:val="both"/>
      </w:pPr>
      <w:r>
        <w:rPr/>
        <w:t>Workday for day and night shift comprises twelve hours each one, day shift start at seven o´clock in the morning and ends at seven forty five in the afternoon, and night shift starts at seven forty five in the afternoons, ending at seven o´clock in the morning. Each group work for four consecutive days and rest for another consecutive four days, following the schedule that is shown in table 1.</w:t>
      </w:r>
    </w:p>
    <w:p>
      <w:pPr>
        <w:pStyle w:val="BodyText"/>
      </w:pPr>
    </w:p>
    <w:p>
      <w:pPr>
        <w:pStyle w:val="BodyText"/>
        <w:spacing w:before="3"/>
        <w:rPr>
          <w:sz w:val="17"/>
        </w:rPr>
      </w:pPr>
    </w:p>
    <w:p>
      <w:pPr>
        <w:pStyle w:val="BodyText"/>
        <w:ind w:left="456" w:right="702"/>
      </w:pPr>
      <w:r>
        <w:rPr/>
        <w:t>Table 1  Working and rest days  schedule for two weeks</w:t>
      </w:r>
    </w:p>
    <w:p>
      <w:pPr>
        <w:pStyle w:val="BodyText"/>
        <w:spacing w:before="8"/>
        <w:rPr>
          <w:sz w:val="17"/>
        </w:rPr>
      </w:pPr>
    </w:p>
    <w:tbl>
      <w:tblPr>
        <w:tblW w:w="0" w:type="auto"/>
        <w:jc w:val="left"/>
        <w:tblInd w:w="1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1"/>
        <w:gridCol w:w="332"/>
        <w:gridCol w:w="332"/>
        <w:gridCol w:w="311"/>
        <w:gridCol w:w="311"/>
        <w:gridCol w:w="311"/>
        <w:gridCol w:w="311"/>
        <w:gridCol w:w="311"/>
        <w:gridCol w:w="332"/>
        <w:gridCol w:w="332"/>
        <w:gridCol w:w="311"/>
        <w:gridCol w:w="311"/>
        <w:gridCol w:w="311"/>
        <w:gridCol w:w="311"/>
        <w:gridCol w:w="312"/>
        <w:gridCol w:w="331"/>
      </w:tblGrid>
      <w:tr>
        <w:trPr>
          <w:trHeight w:val="240" w:hRule="exact"/>
        </w:trPr>
        <w:tc>
          <w:tcPr>
            <w:tcW w:w="311" w:type="dxa"/>
          </w:tcPr>
          <w:p>
            <w:pPr>
              <w:pStyle w:val="TableParagraph"/>
              <w:spacing w:line="227" w:lineRule="exact"/>
              <w:ind w:left="27"/>
              <w:jc w:val="center"/>
              <w:rPr>
                <w:sz w:val="20"/>
              </w:rPr>
            </w:pPr>
            <w:r>
              <w:rPr>
                <w:w w:val="100"/>
                <w:sz w:val="20"/>
              </w:rPr>
              <w:t>L</w:t>
            </w:r>
          </w:p>
        </w:tc>
        <w:tc>
          <w:tcPr>
            <w:tcW w:w="332" w:type="dxa"/>
          </w:tcPr>
          <w:p>
            <w:pPr>
              <w:pStyle w:val="TableParagraph"/>
              <w:spacing w:line="227" w:lineRule="exact"/>
              <w:ind w:left="103"/>
              <w:rPr>
                <w:sz w:val="20"/>
              </w:rPr>
            </w:pPr>
            <w:r>
              <w:rPr>
                <w:w w:val="100"/>
                <w:sz w:val="20"/>
              </w:rPr>
              <w:t>M</w:t>
            </w:r>
          </w:p>
        </w:tc>
        <w:tc>
          <w:tcPr>
            <w:tcW w:w="332" w:type="dxa"/>
          </w:tcPr>
          <w:p>
            <w:pPr>
              <w:pStyle w:val="TableParagraph"/>
              <w:spacing w:line="227" w:lineRule="exact"/>
              <w:ind w:left="61"/>
              <w:jc w:val="center"/>
              <w:rPr>
                <w:sz w:val="20"/>
              </w:rPr>
            </w:pPr>
            <w:r>
              <w:rPr>
                <w:w w:val="100"/>
                <w:sz w:val="20"/>
              </w:rPr>
              <w:t>M</w:t>
            </w:r>
          </w:p>
        </w:tc>
        <w:tc>
          <w:tcPr>
            <w:tcW w:w="311" w:type="dxa"/>
          </w:tcPr>
          <w:p>
            <w:pPr>
              <w:pStyle w:val="TableParagraph"/>
              <w:spacing w:line="227" w:lineRule="exact"/>
              <w:ind w:left="101"/>
              <w:rPr>
                <w:sz w:val="20"/>
              </w:rPr>
            </w:pPr>
            <w:r>
              <w:rPr>
                <w:w w:val="100"/>
                <w:sz w:val="20"/>
              </w:rPr>
              <w:t>J</w:t>
            </w:r>
          </w:p>
        </w:tc>
        <w:tc>
          <w:tcPr>
            <w:tcW w:w="311" w:type="dxa"/>
          </w:tcPr>
          <w:p>
            <w:pPr>
              <w:pStyle w:val="TableParagraph"/>
              <w:spacing w:line="227" w:lineRule="exact"/>
              <w:ind w:left="47"/>
              <w:jc w:val="center"/>
              <w:rPr>
                <w:sz w:val="20"/>
              </w:rPr>
            </w:pPr>
            <w:r>
              <w:rPr>
                <w:w w:val="100"/>
                <w:sz w:val="20"/>
              </w:rPr>
              <w:t>V</w:t>
            </w:r>
          </w:p>
        </w:tc>
        <w:tc>
          <w:tcPr>
            <w:tcW w:w="311" w:type="dxa"/>
          </w:tcPr>
          <w:p>
            <w:pPr>
              <w:pStyle w:val="TableParagraph"/>
              <w:spacing w:line="227" w:lineRule="exact"/>
              <w:ind w:left="16"/>
              <w:jc w:val="center"/>
              <w:rPr>
                <w:sz w:val="20"/>
              </w:rPr>
            </w:pPr>
            <w:r>
              <w:rPr>
                <w:w w:val="100"/>
                <w:sz w:val="20"/>
              </w:rPr>
              <w:t>S</w:t>
            </w:r>
          </w:p>
        </w:tc>
        <w:tc>
          <w:tcPr>
            <w:tcW w:w="311" w:type="dxa"/>
          </w:tcPr>
          <w:p>
            <w:pPr>
              <w:pStyle w:val="TableParagraph"/>
              <w:spacing w:line="227" w:lineRule="exact"/>
              <w:ind w:right="51"/>
              <w:jc w:val="right"/>
              <w:rPr>
                <w:sz w:val="20"/>
              </w:rPr>
            </w:pPr>
            <w:r>
              <w:rPr>
                <w:w w:val="100"/>
                <w:sz w:val="20"/>
              </w:rPr>
              <w:t>D</w:t>
            </w:r>
          </w:p>
        </w:tc>
        <w:tc>
          <w:tcPr>
            <w:tcW w:w="311" w:type="dxa"/>
          </w:tcPr>
          <w:p>
            <w:pPr>
              <w:pStyle w:val="TableParagraph"/>
              <w:spacing w:line="227" w:lineRule="exact"/>
              <w:ind w:right="73"/>
              <w:jc w:val="right"/>
              <w:rPr>
                <w:sz w:val="20"/>
              </w:rPr>
            </w:pPr>
            <w:r>
              <w:rPr>
                <w:w w:val="100"/>
                <w:sz w:val="20"/>
              </w:rPr>
              <w:t>L</w:t>
            </w:r>
          </w:p>
        </w:tc>
        <w:tc>
          <w:tcPr>
            <w:tcW w:w="332" w:type="dxa"/>
          </w:tcPr>
          <w:p>
            <w:pPr>
              <w:pStyle w:val="TableParagraph"/>
              <w:spacing w:line="227" w:lineRule="exact"/>
              <w:ind w:right="39"/>
              <w:jc w:val="right"/>
              <w:rPr>
                <w:sz w:val="20"/>
              </w:rPr>
            </w:pPr>
            <w:r>
              <w:rPr>
                <w:w w:val="100"/>
                <w:sz w:val="20"/>
              </w:rPr>
              <w:t>M</w:t>
            </w:r>
          </w:p>
        </w:tc>
        <w:tc>
          <w:tcPr>
            <w:tcW w:w="332" w:type="dxa"/>
          </w:tcPr>
          <w:p>
            <w:pPr>
              <w:pStyle w:val="TableParagraph"/>
              <w:spacing w:line="227" w:lineRule="exact"/>
              <w:ind w:left="61"/>
              <w:jc w:val="center"/>
              <w:rPr>
                <w:sz w:val="20"/>
              </w:rPr>
            </w:pPr>
            <w:r>
              <w:rPr>
                <w:w w:val="100"/>
                <w:sz w:val="20"/>
              </w:rPr>
              <w:t>M</w:t>
            </w:r>
          </w:p>
        </w:tc>
        <w:tc>
          <w:tcPr>
            <w:tcW w:w="311" w:type="dxa"/>
          </w:tcPr>
          <w:p>
            <w:pPr>
              <w:pStyle w:val="TableParagraph"/>
              <w:spacing w:line="227" w:lineRule="exact"/>
              <w:ind w:left="102"/>
              <w:rPr>
                <w:sz w:val="20"/>
              </w:rPr>
            </w:pPr>
            <w:r>
              <w:rPr>
                <w:w w:val="100"/>
                <w:sz w:val="20"/>
              </w:rPr>
              <w:t>J</w:t>
            </w:r>
          </w:p>
        </w:tc>
        <w:tc>
          <w:tcPr>
            <w:tcW w:w="311" w:type="dxa"/>
          </w:tcPr>
          <w:p>
            <w:pPr>
              <w:pStyle w:val="TableParagraph"/>
              <w:spacing w:line="227" w:lineRule="exact"/>
              <w:ind w:right="51"/>
              <w:jc w:val="right"/>
              <w:rPr>
                <w:sz w:val="20"/>
              </w:rPr>
            </w:pPr>
            <w:r>
              <w:rPr>
                <w:w w:val="100"/>
                <w:sz w:val="20"/>
              </w:rPr>
              <w:t>V</w:t>
            </w:r>
          </w:p>
        </w:tc>
        <w:tc>
          <w:tcPr>
            <w:tcW w:w="311" w:type="dxa"/>
          </w:tcPr>
          <w:p>
            <w:pPr>
              <w:pStyle w:val="TableParagraph"/>
              <w:spacing w:line="227" w:lineRule="exact"/>
              <w:ind w:right="84"/>
              <w:jc w:val="right"/>
              <w:rPr>
                <w:sz w:val="20"/>
              </w:rPr>
            </w:pPr>
            <w:r>
              <w:rPr>
                <w:w w:val="100"/>
                <w:sz w:val="20"/>
              </w:rPr>
              <w:t>S</w:t>
            </w:r>
          </w:p>
        </w:tc>
        <w:tc>
          <w:tcPr>
            <w:tcW w:w="311" w:type="dxa"/>
          </w:tcPr>
          <w:p>
            <w:pPr>
              <w:pStyle w:val="TableParagraph"/>
              <w:spacing w:line="227" w:lineRule="exact"/>
              <w:ind w:right="51"/>
              <w:jc w:val="right"/>
              <w:rPr>
                <w:sz w:val="20"/>
              </w:rPr>
            </w:pPr>
            <w:r>
              <w:rPr>
                <w:w w:val="100"/>
                <w:sz w:val="20"/>
              </w:rPr>
              <w:t>D</w:t>
            </w:r>
          </w:p>
        </w:tc>
        <w:tc>
          <w:tcPr>
            <w:tcW w:w="312" w:type="dxa"/>
          </w:tcPr>
          <w:p>
            <w:pPr>
              <w:pStyle w:val="TableParagraph"/>
              <w:spacing w:line="227" w:lineRule="exact"/>
              <w:ind w:left="26"/>
              <w:jc w:val="center"/>
              <w:rPr>
                <w:sz w:val="20"/>
              </w:rPr>
            </w:pPr>
            <w:r>
              <w:rPr>
                <w:w w:val="100"/>
                <w:sz w:val="20"/>
              </w:rPr>
              <w:t>L</w:t>
            </w:r>
          </w:p>
        </w:tc>
        <w:tc>
          <w:tcPr>
            <w:tcW w:w="331" w:type="dxa"/>
          </w:tcPr>
          <w:p>
            <w:pPr>
              <w:pStyle w:val="TableParagraph"/>
              <w:spacing w:line="227" w:lineRule="exact"/>
              <w:ind w:left="60"/>
              <w:jc w:val="center"/>
              <w:rPr>
                <w:sz w:val="20"/>
              </w:rPr>
            </w:pPr>
            <w:r>
              <w:rPr>
                <w:w w:val="100"/>
                <w:sz w:val="20"/>
              </w:rPr>
              <w:t>M</w:t>
            </w:r>
          </w:p>
        </w:tc>
      </w:tr>
      <w:tr>
        <w:trPr>
          <w:trHeight w:val="240" w:hRule="exact"/>
        </w:trPr>
        <w:tc>
          <w:tcPr>
            <w:tcW w:w="311" w:type="dxa"/>
            <w:shd w:val="clear" w:color="auto" w:fill="8CB1E1"/>
          </w:tcPr>
          <w:p>
            <w:pPr>
              <w:pStyle w:val="TableParagraph"/>
              <w:spacing w:line="227" w:lineRule="exact"/>
              <w:ind w:left="49"/>
              <w:jc w:val="center"/>
              <w:rPr>
                <w:sz w:val="20"/>
              </w:rPr>
            </w:pPr>
            <w:r>
              <w:rPr>
                <w:w w:val="100"/>
                <w:sz w:val="20"/>
              </w:rPr>
              <w:t>A</w:t>
            </w:r>
          </w:p>
        </w:tc>
        <w:tc>
          <w:tcPr>
            <w:tcW w:w="332" w:type="dxa"/>
            <w:shd w:val="clear" w:color="auto" w:fill="8CB1E1"/>
          </w:tcPr>
          <w:p>
            <w:pPr>
              <w:pStyle w:val="TableParagraph"/>
              <w:spacing w:line="227" w:lineRule="exact"/>
              <w:ind w:left="103"/>
              <w:rPr>
                <w:sz w:val="20"/>
              </w:rPr>
            </w:pPr>
            <w:r>
              <w:rPr>
                <w:w w:val="100"/>
                <w:sz w:val="20"/>
              </w:rPr>
              <w:t>A</w:t>
            </w:r>
          </w:p>
        </w:tc>
        <w:tc>
          <w:tcPr>
            <w:tcW w:w="332" w:type="dxa"/>
            <w:shd w:val="clear" w:color="auto" w:fill="8CB1E1"/>
          </w:tcPr>
          <w:p>
            <w:pPr>
              <w:pStyle w:val="TableParagraph"/>
              <w:spacing w:line="227" w:lineRule="exact"/>
              <w:ind w:left="28"/>
              <w:jc w:val="center"/>
              <w:rPr>
                <w:sz w:val="20"/>
              </w:rPr>
            </w:pPr>
            <w:r>
              <w:rPr>
                <w:w w:val="100"/>
                <w:sz w:val="20"/>
              </w:rPr>
              <w:t>A</w:t>
            </w:r>
          </w:p>
        </w:tc>
        <w:tc>
          <w:tcPr>
            <w:tcW w:w="311" w:type="dxa"/>
            <w:shd w:val="clear" w:color="auto" w:fill="8CB1E1"/>
          </w:tcPr>
          <w:p>
            <w:pPr>
              <w:pStyle w:val="TableParagraph"/>
              <w:spacing w:line="227" w:lineRule="exact"/>
              <w:ind w:left="101"/>
              <w:rPr>
                <w:sz w:val="20"/>
              </w:rPr>
            </w:pPr>
            <w:r>
              <w:rPr>
                <w:w w:val="100"/>
                <w:sz w:val="20"/>
              </w:rPr>
              <w:t>A</w:t>
            </w:r>
          </w:p>
        </w:tc>
        <w:tc>
          <w:tcPr>
            <w:tcW w:w="311" w:type="dxa"/>
          </w:tcPr>
          <w:p>
            <w:pPr/>
          </w:p>
        </w:tc>
        <w:tc>
          <w:tcPr>
            <w:tcW w:w="311" w:type="dxa"/>
          </w:tcPr>
          <w:p>
            <w:pPr/>
          </w:p>
        </w:tc>
        <w:tc>
          <w:tcPr>
            <w:tcW w:w="311" w:type="dxa"/>
          </w:tcPr>
          <w:p>
            <w:pPr/>
          </w:p>
        </w:tc>
        <w:tc>
          <w:tcPr>
            <w:tcW w:w="311" w:type="dxa"/>
          </w:tcPr>
          <w:p>
            <w:pPr/>
          </w:p>
        </w:tc>
        <w:tc>
          <w:tcPr>
            <w:tcW w:w="332" w:type="dxa"/>
            <w:shd w:val="clear" w:color="auto" w:fill="8CB1E1"/>
          </w:tcPr>
          <w:p>
            <w:pPr>
              <w:pStyle w:val="TableParagraph"/>
              <w:spacing w:line="227" w:lineRule="exact"/>
              <w:ind w:right="72"/>
              <w:jc w:val="right"/>
              <w:rPr>
                <w:sz w:val="20"/>
              </w:rPr>
            </w:pPr>
            <w:r>
              <w:rPr>
                <w:w w:val="100"/>
                <w:sz w:val="20"/>
              </w:rPr>
              <w:t>A</w:t>
            </w:r>
          </w:p>
        </w:tc>
        <w:tc>
          <w:tcPr>
            <w:tcW w:w="332" w:type="dxa"/>
            <w:shd w:val="clear" w:color="auto" w:fill="8CB1E1"/>
          </w:tcPr>
          <w:p>
            <w:pPr>
              <w:pStyle w:val="TableParagraph"/>
              <w:spacing w:line="227" w:lineRule="exact"/>
              <w:ind w:left="28"/>
              <w:jc w:val="center"/>
              <w:rPr>
                <w:sz w:val="20"/>
              </w:rPr>
            </w:pPr>
            <w:r>
              <w:rPr>
                <w:w w:val="100"/>
                <w:sz w:val="20"/>
              </w:rPr>
              <w:t>A</w:t>
            </w:r>
          </w:p>
        </w:tc>
        <w:tc>
          <w:tcPr>
            <w:tcW w:w="311" w:type="dxa"/>
            <w:shd w:val="clear" w:color="auto" w:fill="8CB1E1"/>
          </w:tcPr>
          <w:p>
            <w:pPr>
              <w:pStyle w:val="TableParagraph"/>
              <w:spacing w:line="227" w:lineRule="exact"/>
              <w:ind w:left="101"/>
              <w:rPr>
                <w:sz w:val="20"/>
              </w:rPr>
            </w:pPr>
            <w:r>
              <w:rPr>
                <w:w w:val="100"/>
                <w:sz w:val="20"/>
              </w:rPr>
              <w:t>A</w:t>
            </w:r>
          </w:p>
        </w:tc>
        <w:tc>
          <w:tcPr>
            <w:tcW w:w="311" w:type="dxa"/>
            <w:shd w:val="clear" w:color="auto" w:fill="8CB1E1"/>
          </w:tcPr>
          <w:p>
            <w:pPr>
              <w:pStyle w:val="TableParagraph"/>
              <w:spacing w:line="227" w:lineRule="exact"/>
              <w:ind w:right="51"/>
              <w:jc w:val="right"/>
              <w:rPr>
                <w:sz w:val="20"/>
              </w:rPr>
            </w:pPr>
            <w:r>
              <w:rPr>
                <w:w w:val="100"/>
                <w:sz w:val="20"/>
              </w:rPr>
              <w:t>A</w:t>
            </w:r>
          </w:p>
        </w:tc>
        <w:tc>
          <w:tcPr>
            <w:tcW w:w="311" w:type="dxa"/>
          </w:tcPr>
          <w:p>
            <w:pPr/>
          </w:p>
        </w:tc>
        <w:tc>
          <w:tcPr>
            <w:tcW w:w="311" w:type="dxa"/>
          </w:tcPr>
          <w:p>
            <w:pPr/>
          </w:p>
        </w:tc>
        <w:tc>
          <w:tcPr>
            <w:tcW w:w="312" w:type="dxa"/>
          </w:tcPr>
          <w:p>
            <w:pPr/>
          </w:p>
        </w:tc>
        <w:tc>
          <w:tcPr>
            <w:tcW w:w="331" w:type="dxa"/>
          </w:tcPr>
          <w:p>
            <w:pPr/>
          </w:p>
        </w:tc>
      </w:tr>
      <w:tr>
        <w:trPr>
          <w:trHeight w:val="240" w:hRule="exact"/>
        </w:trPr>
        <w:tc>
          <w:tcPr>
            <w:tcW w:w="311" w:type="dxa"/>
          </w:tcPr>
          <w:p>
            <w:pPr/>
          </w:p>
        </w:tc>
        <w:tc>
          <w:tcPr>
            <w:tcW w:w="332" w:type="dxa"/>
          </w:tcPr>
          <w:p>
            <w:pPr/>
          </w:p>
        </w:tc>
        <w:tc>
          <w:tcPr>
            <w:tcW w:w="332" w:type="dxa"/>
          </w:tcPr>
          <w:p>
            <w:pPr/>
          </w:p>
        </w:tc>
        <w:tc>
          <w:tcPr>
            <w:tcW w:w="311" w:type="dxa"/>
          </w:tcPr>
          <w:p>
            <w:pPr/>
          </w:p>
        </w:tc>
        <w:tc>
          <w:tcPr>
            <w:tcW w:w="311" w:type="dxa"/>
            <w:shd w:val="clear" w:color="auto" w:fill="8CB1E1"/>
          </w:tcPr>
          <w:p>
            <w:pPr>
              <w:pStyle w:val="TableParagraph"/>
              <w:spacing w:line="227" w:lineRule="exact"/>
              <w:ind w:left="36"/>
              <w:jc w:val="center"/>
              <w:rPr>
                <w:sz w:val="20"/>
              </w:rPr>
            </w:pPr>
            <w:r>
              <w:rPr>
                <w:w w:val="100"/>
                <w:sz w:val="20"/>
              </w:rPr>
              <w:t>B</w:t>
            </w:r>
          </w:p>
        </w:tc>
        <w:tc>
          <w:tcPr>
            <w:tcW w:w="311" w:type="dxa"/>
            <w:shd w:val="clear" w:color="auto" w:fill="8CB1E1"/>
          </w:tcPr>
          <w:p>
            <w:pPr>
              <w:pStyle w:val="TableParagraph"/>
              <w:spacing w:line="227" w:lineRule="exact"/>
              <w:ind w:left="38"/>
              <w:jc w:val="center"/>
              <w:rPr>
                <w:sz w:val="20"/>
              </w:rPr>
            </w:pPr>
            <w:r>
              <w:rPr>
                <w:w w:val="100"/>
                <w:sz w:val="20"/>
              </w:rPr>
              <w:t>B</w:t>
            </w:r>
          </w:p>
        </w:tc>
        <w:tc>
          <w:tcPr>
            <w:tcW w:w="311" w:type="dxa"/>
            <w:shd w:val="clear" w:color="auto" w:fill="8CB1E1"/>
          </w:tcPr>
          <w:p>
            <w:pPr>
              <w:pStyle w:val="TableParagraph"/>
              <w:spacing w:line="227" w:lineRule="exact"/>
              <w:ind w:right="62"/>
              <w:jc w:val="right"/>
              <w:rPr>
                <w:sz w:val="20"/>
              </w:rPr>
            </w:pPr>
            <w:r>
              <w:rPr>
                <w:w w:val="100"/>
                <w:sz w:val="20"/>
              </w:rPr>
              <w:t>B</w:t>
            </w:r>
          </w:p>
        </w:tc>
        <w:tc>
          <w:tcPr>
            <w:tcW w:w="311" w:type="dxa"/>
            <w:shd w:val="clear" w:color="auto" w:fill="8CB1E1"/>
          </w:tcPr>
          <w:p>
            <w:pPr>
              <w:pStyle w:val="TableParagraph"/>
              <w:spacing w:line="227" w:lineRule="exact"/>
              <w:ind w:right="62"/>
              <w:jc w:val="right"/>
              <w:rPr>
                <w:sz w:val="20"/>
              </w:rPr>
            </w:pPr>
            <w:r>
              <w:rPr>
                <w:w w:val="100"/>
                <w:sz w:val="20"/>
              </w:rPr>
              <w:t>B</w:t>
            </w:r>
          </w:p>
        </w:tc>
        <w:tc>
          <w:tcPr>
            <w:tcW w:w="332" w:type="dxa"/>
          </w:tcPr>
          <w:p>
            <w:pPr/>
          </w:p>
        </w:tc>
        <w:tc>
          <w:tcPr>
            <w:tcW w:w="332" w:type="dxa"/>
          </w:tcPr>
          <w:p>
            <w:pPr/>
          </w:p>
        </w:tc>
        <w:tc>
          <w:tcPr>
            <w:tcW w:w="311" w:type="dxa"/>
          </w:tcPr>
          <w:p>
            <w:pPr/>
          </w:p>
        </w:tc>
        <w:tc>
          <w:tcPr>
            <w:tcW w:w="311" w:type="dxa"/>
          </w:tcPr>
          <w:p>
            <w:pPr/>
          </w:p>
        </w:tc>
        <w:tc>
          <w:tcPr>
            <w:tcW w:w="311" w:type="dxa"/>
            <w:shd w:val="clear" w:color="auto" w:fill="8CB1E1"/>
          </w:tcPr>
          <w:p>
            <w:pPr>
              <w:pStyle w:val="TableParagraph"/>
              <w:spacing w:line="227" w:lineRule="exact"/>
              <w:ind w:right="62"/>
              <w:jc w:val="right"/>
              <w:rPr>
                <w:sz w:val="20"/>
              </w:rPr>
            </w:pPr>
            <w:r>
              <w:rPr>
                <w:w w:val="100"/>
                <w:sz w:val="20"/>
              </w:rPr>
              <w:t>B</w:t>
            </w:r>
          </w:p>
        </w:tc>
        <w:tc>
          <w:tcPr>
            <w:tcW w:w="311" w:type="dxa"/>
            <w:shd w:val="clear" w:color="auto" w:fill="8CB1E1"/>
          </w:tcPr>
          <w:p>
            <w:pPr>
              <w:pStyle w:val="TableParagraph"/>
              <w:spacing w:line="227" w:lineRule="exact"/>
              <w:ind w:right="62"/>
              <w:jc w:val="right"/>
              <w:rPr>
                <w:sz w:val="20"/>
              </w:rPr>
            </w:pPr>
            <w:r>
              <w:rPr>
                <w:w w:val="100"/>
                <w:sz w:val="20"/>
              </w:rPr>
              <w:t>B</w:t>
            </w:r>
          </w:p>
        </w:tc>
        <w:tc>
          <w:tcPr>
            <w:tcW w:w="312" w:type="dxa"/>
            <w:shd w:val="clear" w:color="auto" w:fill="8CB1E1"/>
          </w:tcPr>
          <w:p>
            <w:pPr>
              <w:pStyle w:val="TableParagraph"/>
              <w:spacing w:line="227" w:lineRule="exact"/>
              <w:ind w:left="37"/>
              <w:jc w:val="center"/>
              <w:rPr>
                <w:sz w:val="20"/>
              </w:rPr>
            </w:pPr>
            <w:r>
              <w:rPr>
                <w:w w:val="100"/>
                <w:sz w:val="20"/>
              </w:rPr>
              <w:t>B</w:t>
            </w:r>
          </w:p>
        </w:tc>
        <w:tc>
          <w:tcPr>
            <w:tcW w:w="331" w:type="dxa"/>
            <w:shd w:val="clear" w:color="auto" w:fill="8CB1E1"/>
          </w:tcPr>
          <w:p>
            <w:pPr>
              <w:pStyle w:val="TableParagraph"/>
              <w:spacing w:line="227" w:lineRule="exact"/>
              <w:ind w:left="16"/>
              <w:jc w:val="center"/>
              <w:rPr>
                <w:sz w:val="20"/>
              </w:rPr>
            </w:pPr>
            <w:r>
              <w:rPr>
                <w:w w:val="100"/>
                <w:sz w:val="20"/>
              </w:rPr>
              <w:t>B</w:t>
            </w:r>
          </w:p>
        </w:tc>
      </w:tr>
      <w:tr>
        <w:trPr>
          <w:trHeight w:val="240" w:hRule="exact"/>
        </w:trPr>
        <w:tc>
          <w:tcPr>
            <w:tcW w:w="311" w:type="dxa"/>
            <w:shd w:val="clear" w:color="auto" w:fill="8CB1E1"/>
          </w:tcPr>
          <w:p>
            <w:pPr>
              <w:pStyle w:val="TableParagraph"/>
              <w:spacing w:line="227" w:lineRule="exact"/>
              <w:ind w:left="38"/>
              <w:jc w:val="center"/>
              <w:rPr>
                <w:sz w:val="20"/>
              </w:rPr>
            </w:pPr>
            <w:r>
              <w:rPr>
                <w:w w:val="100"/>
                <w:sz w:val="20"/>
              </w:rPr>
              <w:t>C</w:t>
            </w:r>
          </w:p>
        </w:tc>
        <w:tc>
          <w:tcPr>
            <w:tcW w:w="332" w:type="dxa"/>
            <w:shd w:val="clear" w:color="auto" w:fill="8CB1E1"/>
          </w:tcPr>
          <w:p>
            <w:pPr>
              <w:pStyle w:val="TableParagraph"/>
              <w:spacing w:line="227" w:lineRule="exact"/>
              <w:ind w:left="103"/>
              <w:rPr>
                <w:sz w:val="20"/>
              </w:rPr>
            </w:pPr>
            <w:r>
              <w:rPr>
                <w:w w:val="100"/>
                <w:sz w:val="20"/>
              </w:rPr>
              <w:t>C</w:t>
            </w:r>
          </w:p>
        </w:tc>
        <w:tc>
          <w:tcPr>
            <w:tcW w:w="332" w:type="dxa"/>
            <w:shd w:val="clear" w:color="auto" w:fill="8CB1E1"/>
          </w:tcPr>
          <w:p>
            <w:pPr>
              <w:pStyle w:val="TableParagraph"/>
              <w:spacing w:line="227" w:lineRule="exact"/>
              <w:ind w:left="17"/>
              <w:jc w:val="center"/>
              <w:rPr>
                <w:sz w:val="20"/>
              </w:rPr>
            </w:pPr>
            <w:r>
              <w:rPr>
                <w:w w:val="100"/>
                <w:sz w:val="20"/>
              </w:rPr>
              <w:t>C</w:t>
            </w:r>
          </w:p>
        </w:tc>
        <w:tc>
          <w:tcPr>
            <w:tcW w:w="311" w:type="dxa"/>
            <w:shd w:val="clear" w:color="auto" w:fill="8CB1E1"/>
          </w:tcPr>
          <w:p>
            <w:pPr>
              <w:pStyle w:val="TableParagraph"/>
              <w:spacing w:line="227" w:lineRule="exact"/>
              <w:ind w:left="101"/>
              <w:rPr>
                <w:sz w:val="20"/>
              </w:rPr>
            </w:pPr>
            <w:r>
              <w:rPr>
                <w:w w:val="100"/>
                <w:sz w:val="20"/>
              </w:rPr>
              <w:t>C</w:t>
            </w:r>
          </w:p>
        </w:tc>
        <w:tc>
          <w:tcPr>
            <w:tcW w:w="311" w:type="dxa"/>
          </w:tcPr>
          <w:p>
            <w:pPr/>
          </w:p>
        </w:tc>
        <w:tc>
          <w:tcPr>
            <w:tcW w:w="311" w:type="dxa"/>
          </w:tcPr>
          <w:p>
            <w:pPr/>
          </w:p>
        </w:tc>
        <w:tc>
          <w:tcPr>
            <w:tcW w:w="311" w:type="dxa"/>
          </w:tcPr>
          <w:p>
            <w:pPr/>
          </w:p>
        </w:tc>
        <w:tc>
          <w:tcPr>
            <w:tcW w:w="311" w:type="dxa"/>
          </w:tcPr>
          <w:p>
            <w:pPr/>
          </w:p>
        </w:tc>
        <w:tc>
          <w:tcPr>
            <w:tcW w:w="332" w:type="dxa"/>
            <w:shd w:val="clear" w:color="auto" w:fill="8CB1E1"/>
          </w:tcPr>
          <w:p>
            <w:pPr>
              <w:pStyle w:val="TableParagraph"/>
              <w:spacing w:line="227" w:lineRule="exact"/>
              <w:ind w:right="83"/>
              <w:jc w:val="right"/>
              <w:rPr>
                <w:sz w:val="20"/>
              </w:rPr>
            </w:pPr>
            <w:r>
              <w:rPr>
                <w:w w:val="100"/>
                <w:sz w:val="20"/>
              </w:rPr>
              <w:t>C</w:t>
            </w:r>
          </w:p>
        </w:tc>
        <w:tc>
          <w:tcPr>
            <w:tcW w:w="332" w:type="dxa"/>
            <w:shd w:val="clear" w:color="auto" w:fill="8CB1E1"/>
          </w:tcPr>
          <w:p>
            <w:pPr>
              <w:pStyle w:val="TableParagraph"/>
              <w:spacing w:line="227" w:lineRule="exact"/>
              <w:ind w:left="17"/>
              <w:jc w:val="center"/>
              <w:rPr>
                <w:sz w:val="20"/>
              </w:rPr>
            </w:pPr>
            <w:r>
              <w:rPr>
                <w:w w:val="100"/>
                <w:sz w:val="20"/>
              </w:rPr>
              <w:t>C</w:t>
            </w:r>
          </w:p>
        </w:tc>
        <w:tc>
          <w:tcPr>
            <w:tcW w:w="311" w:type="dxa"/>
            <w:shd w:val="clear" w:color="auto" w:fill="8CB1E1"/>
          </w:tcPr>
          <w:p>
            <w:pPr>
              <w:pStyle w:val="TableParagraph"/>
              <w:spacing w:line="227" w:lineRule="exact"/>
              <w:ind w:left="101"/>
              <w:rPr>
                <w:sz w:val="20"/>
              </w:rPr>
            </w:pPr>
            <w:r>
              <w:rPr>
                <w:w w:val="100"/>
                <w:sz w:val="20"/>
              </w:rPr>
              <w:t>C</w:t>
            </w:r>
          </w:p>
        </w:tc>
        <w:tc>
          <w:tcPr>
            <w:tcW w:w="311" w:type="dxa"/>
            <w:shd w:val="clear" w:color="auto" w:fill="8CB1E1"/>
          </w:tcPr>
          <w:p>
            <w:pPr>
              <w:pStyle w:val="TableParagraph"/>
              <w:spacing w:line="227" w:lineRule="exact"/>
              <w:ind w:right="62"/>
              <w:jc w:val="right"/>
              <w:rPr>
                <w:sz w:val="20"/>
              </w:rPr>
            </w:pPr>
            <w:r>
              <w:rPr>
                <w:w w:val="100"/>
                <w:sz w:val="20"/>
              </w:rPr>
              <w:t>C</w:t>
            </w:r>
          </w:p>
        </w:tc>
        <w:tc>
          <w:tcPr>
            <w:tcW w:w="311" w:type="dxa"/>
          </w:tcPr>
          <w:p>
            <w:pPr/>
          </w:p>
        </w:tc>
        <w:tc>
          <w:tcPr>
            <w:tcW w:w="311" w:type="dxa"/>
          </w:tcPr>
          <w:p>
            <w:pPr/>
          </w:p>
        </w:tc>
        <w:tc>
          <w:tcPr>
            <w:tcW w:w="312" w:type="dxa"/>
          </w:tcPr>
          <w:p>
            <w:pPr/>
          </w:p>
        </w:tc>
        <w:tc>
          <w:tcPr>
            <w:tcW w:w="331" w:type="dxa"/>
          </w:tcPr>
          <w:p>
            <w:pPr/>
          </w:p>
        </w:tc>
      </w:tr>
      <w:tr>
        <w:trPr>
          <w:trHeight w:val="240" w:hRule="exact"/>
        </w:trPr>
        <w:tc>
          <w:tcPr>
            <w:tcW w:w="311" w:type="dxa"/>
          </w:tcPr>
          <w:p>
            <w:pPr/>
          </w:p>
        </w:tc>
        <w:tc>
          <w:tcPr>
            <w:tcW w:w="332" w:type="dxa"/>
          </w:tcPr>
          <w:p>
            <w:pPr/>
          </w:p>
        </w:tc>
        <w:tc>
          <w:tcPr>
            <w:tcW w:w="332" w:type="dxa"/>
          </w:tcPr>
          <w:p>
            <w:pPr/>
          </w:p>
        </w:tc>
        <w:tc>
          <w:tcPr>
            <w:tcW w:w="311" w:type="dxa"/>
          </w:tcPr>
          <w:p>
            <w:pPr/>
          </w:p>
        </w:tc>
        <w:tc>
          <w:tcPr>
            <w:tcW w:w="311" w:type="dxa"/>
            <w:shd w:val="clear" w:color="auto" w:fill="8CB1E1"/>
          </w:tcPr>
          <w:p>
            <w:pPr>
              <w:pStyle w:val="TableParagraph"/>
              <w:spacing w:line="227" w:lineRule="exact"/>
              <w:ind w:left="47"/>
              <w:jc w:val="center"/>
              <w:rPr>
                <w:sz w:val="20"/>
              </w:rPr>
            </w:pPr>
            <w:r>
              <w:rPr>
                <w:w w:val="100"/>
                <w:sz w:val="20"/>
              </w:rPr>
              <w:t>D</w:t>
            </w:r>
          </w:p>
        </w:tc>
        <w:tc>
          <w:tcPr>
            <w:tcW w:w="311" w:type="dxa"/>
            <w:shd w:val="clear" w:color="auto" w:fill="8CB1E1"/>
          </w:tcPr>
          <w:p>
            <w:pPr>
              <w:pStyle w:val="TableParagraph"/>
              <w:spacing w:line="227" w:lineRule="exact"/>
              <w:ind w:left="49"/>
              <w:jc w:val="center"/>
              <w:rPr>
                <w:sz w:val="20"/>
              </w:rPr>
            </w:pPr>
            <w:r>
              <w:rPr>
                <w:w w:val="100"/>
                <w:sz w:val="20"/>
              </w:rPr>
              <w:t>D</w:t>
            </w:r>
          </w:p>
        </w:tc>
        <w:tc>
          <w:tcPr>
            <w:tcW w:w="311" w:type="dxa"/>
            <w:shd w:val="clear" w:color="auto" w:fill="8CB1E1"/>
          </w:tcPr>
          <w:p>
            <w:pPr>
              <w:pStyle w:val="TableParagraph"/>
              <w:spacing w:line="227" w:lineRule="exact"/>
              <w:ind w:right="51"/>
              <w:jc w:val="right"/>
              <w:rPr>
                <w:sz w:val="20"/>
              </w:rPr>
            </w:pPr>
            <w:r>
              <w:rPr>
                <w:w w:val="100"/>
                <w:sz w:val="20"/>
              </w:rPr>
              <w:t>D</w:t>
            </w:r>
          </w:p>
        </w:tc>
        <w:tc>
          <w:tcPr>
            <w:tcW w:w="311" w:type="dxa"/>
            <w:shd w:val="clear" w:color="auto" w:fill="8CB1E1"/>
          </w:tcPr>
          <w:p>
            <w:pPr>
              <w:pStyle w:val="TableParagraph"/>
              <w:spacing w:line="227" w:lineRule="exact"/>
              <w:ind w:right="51"/>
              <w:jc w:val="right"/>
              <w:rPr>
                <w:sz w:val="20"/>
              </w:rPr>
            </w:pPr>
            <w:r>
              <w:rPr>
                <w:w w:val="100"/>
                <w:sz w:val="20"/>
              </w:rPr>
              <w:t>D</w:t>
            </w:r>
          </w:p>
        </w:tc>
        <w:tc>
          <w:tcPr>
            <w:tcW w:w="332" w:type="dxa"/>
          </w:tcPr>
          <w:p>
            <w:pPr/>
          </w:p>
        </w:tc>
        <w:tc>
          <w:tcPr>
            <w:tcW w:w="332" w:type="dxa"/>
          </w:tcPr>
          <w:p>
            <w:pPr/>
          </w:p>
        </w:tc>
        <w:tc>
          <w:tcPr>
            <w:tcW w:w="311" w:type="dxa"/>
          </w:tcPr>
          <w:p>
            <w:pPr/>
          </w:p>
        </w:tc>
        <w:tc>
          <w:tcPr>
            <w:tcW w:w="311" w:type="dxa"/>
          </w:tcPr>
          <w:p>
            <w:pPr/>
          </w:p>
        </w:tc>
        <w:tc>
          <w:tcPr>
            <w:tcW w:w="311" w:type="dxa"/>
            <w:shd w:val="clear" w:color="auto" w:fill="8CB1E1"/>
          </w:tcPr>
          <w:p>
            <w:pPr>
              <w:pStyle w:val="TableParagraph"/>
              <w:spacing w:line="227" w:lineRule="exact"/>
              <w:ind w:right="51"/>
              <w:jc w:val="right"/>
              <w:rPr>
                <w:sz w:val="20"/>
              </w:rPr>
            </w:pPr>
            <w:r>
              <w:rPr>
                <w:w w:val="100"/>
                <w:sz w:val="20"/>
              </w:rPr>
              <w:t>D</w:t>
            </w:r>
          </w:p>
        </w:tc>
        <w:tc>
          <w:tcPr>
            <w:tcW w:w="311" w:type="dxa"/>
            <w:shd w:val="clear" w:color="auto" w:fill="8CB1E1"/>
          </w:tcPr>
          <w:p>
            <w:pPr>
              <w:pStyle w:val="TableParagraph"/>
              <w:spacing w:line="227" w:lineRule="exact"/>
              <w:ind w:right="51"/>
              <w:jc w:val="right"/>
              <w:rPr>
                <w:sz w:val="20"/>
              </w:rPr>
            </w:pPr>
            <w:r>
              <w:rPr>
                <w:w w:val="100"/>
                <w:sz w:val="20"/>
              </w:rPr>
              <w:t>D</w:t>
            </w:r>
          </w:p>
        </w:tc>
        <w:tc>
          <w:tcPr>
            <w:tcW w:w="312" w:type="dxa"/>
            <w:shd w:val="clear" w:color="auto" w:fill="8CB1E1"/>
          </w:tcPr>
          <w:p>
            <w:pPr>
              <w:pStyle w:val="TableParagraph"/>
              <w:spacing w:line="227" w:lineRule="exact"/>
              <w:ind w:left="48"/>
              <w:jc w:val="center"/>
              <w:rPr>
                <w:sz w:val="20"/>
              </w:rPr>
            </w:pPr>
            <w:r>
              <w:rPr>
                <w:w w:val="100"/>
                <w:sz w:val="20"/>
              </w:rPr>
              <w:t>D</w:t>
            </w:r>
          </w:p>
        </w:tc>
        <w:tc>
          <w:tcPr>
            <w:tcW w:w="331" w:type="dxa"/>
            <w:shd w:val="clear" w:color="auto" w:fill="8CB1E1"/>
          </w:tcPr>
          <w:p>
            <w:pPr>
              <w:pStyle w:val="TableParagraph"/>
              <w:spacing w:line="227" w:lineRule="exact"/>
              <w:ind w:left="27"/>
              <w:jc w:val="center"/>
              <w:rPr>
                <w:sz w:val="20"/>
              </w:rPr>
            </w:pPr>
            <w:r>
              <w:rPr>
                <w:w w:val="100"/>
                <w:sz w:val="20"/>
              </w:rPr>
              <w:t>D</w:t>
            </w:r>
          </w:p>
        </w:tc>
      </w:tr>
      <w:tr>
        <w:trPr>
          <w:trHeight w:val="130" w:hRule="exact"/>
        </w:trPr>
        <w:tc>
          <w:tcPr>
            <w:tcW w:w="5081" w:type="dxa"/>
            <w:gridSpan w:val="16"/>
          </w:tcPr>
          <w:p>
            <w:pPr/>
          </w:p>
        </w:tc>
      </w:tr>
      <w:tr>
        <w:trPr>
          <w:trHeight w:val="241" w:hRule="exact"/>
        </w:trPr>
        <w:tc>
          <w:tcPr>
            <w:tcW w:w="311" w:type="dxa"/>
            <w:shd w:val="clear" w:color="auto" w:fill="8CB1E1"/>
          </w:tcPr>
          <w:p>
            <w:pPr/>
          </w:p>
        </w:tc>
        <w:tc>
          <w:tcPr>
            <w:tcW w:w="2219" w:type="dxa"/>
            <w:gridSpan w:val="7"/>
          </w:tcPr>
          <w:p>
            <w:pPr>
              <w:pStyle w:val="TableParagraph"/>
              <w:spacing w:line="228" w:lineRule="exact"/>
              <w:ind w:left="103"/>
              <w:rPr>
                <w:sz w:val="20"/>
              </w:rPr>
            </w:pPr>
            <w:r>
              <w:rPr>
                <w:sz w:val="20"/>
              </w:rPr>
              <w:t>Working days</w:t>
            </w:r>
          </w:p>
        </w:tc>
        <w:tc>
          <w:tcPr>
            <w:tcW w:w="332" w:type="dxa"/>
          </w:tcPr>
          <w:p>
            <w:pPr/>
          </w:p>
        </w:tc>
        <w:tc>
          <w:tcPr>
            <w:tcW w:w="2219" w:type="dxa"/>
            <w:gridSpan w:val="7"/>
          </w:tcPr>
          <w:p>
            <w:pPr>
              <w:pStyle w:val="TableParagraph"/>
              <w:spacing w:line="228" w:lineRule="exact"/>
              <w:ind w:left="103"/>
              <w:rPr>
                <w:sz w:val="20"/>
              </w:rPr>
            </w:pPr>
            <w:r>
              <w:rPr>
                <w:sz w:val="20"/>
              </w:rPr>
              <w:t>Rest days</w:t>
            </w:r>
          </w:p>
        </w:tc>
      </w:tr>
    </w:tbl>
    <w:p>
      <w:pPr>
        <w:pStyle w:val="BodyText"/>
      </w:pPr>
    </w:p>
    <w:p>
      <w:pPr>
        <w:pStyle w:val="BodyText"/>
      </w:pPr>
    </w:p>
    <w:p>
      <w:pPr>
        <w:pStyle w:val="BodyText"/>
        <w:spacing w:before="4"/>
        <w:rPr>
          <w:sz w:val="28"/>
        </w:rPr>
      </w:pPr>
    </w:p>
    <w:p>
      <w:pPr>
        <w:pStyle w:val="BodyText"/>
        <w:ind w:left="270" w:right="676" w:firstLine="426"/>
        <w:jc w:val="both"/>
      </w:pPr>
      <w:r>
        <w:rPr/>
        <w:t>They were applied one survey for fifty six consecutive days and a total of six cycles of work were assessed for groups C and D and seven cycles of work for groups A   and</w:t>
      </w:r>
    </w:p>
    <w:p>
      <w:pPr>
        <w:pStyle w:val="BodyText"/>
        <w:ind w:left="270" w:right="675"/>
        <w:jc w:val="both"/>
      </w:pPr>
      <w:r>
        <w:rPr/>
        <w:t>B. First part of the  survey was to evaluate subjective  fatigue symptoms[9], second part to evaluate the level of the fatigue (four point scale)[10], third part to assess body part symptoms discomfort [11] and four part to evaluate extra labor activity. First and second and third part of the survey were applied in four lapses during the workday for both night and day shifts, first lapse at the beginning of workday, second and third lapses after rest periods and four lapse at the end of the workday. Third and four part of the survey were applied during first day of study as shown in table</w:t>
      </w:r>
      <w:r>
        <w:rPr>
          <w:spacing w:val="-23"/>
        </w:rPr>
        <w:t> </w:t>
      </w:r>
      <w:r>
        <w:rPr/>
        <w:t>2.</w:t>
      </w:r>
    </w:p>
    <w:p>
      <w:pPr>
        <w:pStyle w:val="BodyText"/>
        <w:spacing w:before="4"/>
        <w:rPr>
          <w:sz w:val="24"/>
        </w:rPr>
      </w:pPr>
    </w:p>
    <w:p>
      <w:pPr>
        <w:pStyle w:val="BodyText"/>
        <w:ind w:left="1222" w:right="702"/>
      </w:pPr>
      <w:r>
        <w:rPr/>
        <w:pict>
          <v:shape style="position:absolute;margin-left:318.119995pt;margin-top:51.156807pt;width:261.3pt;height:182.5pt;mso-position-horizontal-relative:page;mso-position-vertical-relative:paragraph;z-index:1396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02"/>
                    <w:gridCol w:w="708"/>
                    <w:gridCol w:w="566"/>
                    <w:gridCol w:w="709"/>
                    <w:gridCol w:w="709"/>
                    <w:gridCol w:w="709"/>
                    <w:gridCol w:w="708"/>
                  </w:tblGrid>
                  <w:tr>
                    <w:trPr>
                      <w:trHeight w:val="930" w:hRule="exact"/>
                    </w:trPr>
                    <w:tc>
                      <w:tcPr>
                        <w:tcW w:w="1102" w:type="dxa"/>
                      </w:tcPr>
                      <w:p>
                        <w:pPr>
                          <w:pStyle w:val="TableParagraph"/>
                          <w:spacing w:line="227" w:lineRule="exact"/>
                          <w:ind w:left="290"/>
                          <w:rPr>
                            <w:sz w:val="20"/>
                          </w:rPr>
                        </w:pPr>
                        <w:r>
                          <w:rPr>
                            <w:sz w:val="20"/>
                          </w:rPr>
                          <w:t>PART</w:t>
                        </w:r>
                      </w:p>
                    </w:tc>
                    <w:tc>
                      <w:tcPr>
                        <w:tcW w:w="708" w:type="dxa"/>
                      </w:tcPr>
                      <w:p>
                        <w:pPr>
                          <w:pStyle w:val="TableParagraph"/>
                          <w:ind w:left="130" w:right="130" w:hanging="3"/>
                          <w:jc w:val="center"/>
                          <w:rPr>
                            <w:sz w:val="20"/>
                          </w:rPr>
                        </w:pPr>
                        <w:r>
                          <w:rPr>
                            <w:sz w:val="20"/>
                          </w:rPr>
                          <w:t>First day of study</w:t>
                        </w:r>
                      </w:p>
                    </w:tc>
                    <w:tc>
                      <w:tcPr>
                        <w:tcW w:w="566" w:type="dxa"/>
                      </w:tcPr>
                      <w:p>
                        <w:pPr>
                          <w:pStyle w:val="TableParagraph"/>
                          <w:ind w:left="133" w:right="131" w:firstLine="16"/>
                          <w:jc w:val="both"/>
                          <w:rPr>
                            <w:sz w:val="20"/>
                          </w:rPr>
                        </w:pPr>
                        <w:r>
                          <w:rPr>
                            <w:sz w:val="20"/>
                          </w:rPr>
                          <w:t>All day s</w:t>
                        </w:r>
                      </w:p>
                    </w:tc>
                    <w:tc>
                      <w:tcPr>
                        <w:tcW w:w="709" w:type="dxa"/>
                      </w:tcPr>
                      <w:p>
                        <w:pPr>
                          <w:pStyle w:val="TableParagraph"/>
                          <w:spacing w:line="227" w:lineRule="exact"/>
                          <w:ind w:left="82" w:right="82"/>
                          <w:jc w:val="center"/>
                          <w:rPr>
                            <w:sz w:val="20"/>
                          </w:rPr>
                        </w:pPr>
                        <w:r>
                          <w:rPr>
                            <w:sz w:val="20"/>
                          </w:rPr>
                          <w:t>Lapse</w:t>
                        </w:r>
                      </w:p>
                      <w:p>
                        <w:pPr>
                          <w:pStyle w:val="TableParagraph"/>
                          <w:spacing w:before="4"/>
                          <w:rPr>
                            <w:sz w:val="24"/>
                          </w:rPr>
                        </w:pPr>
                      </w:p>
                      <w:p>
                        <w:pPr>
                          <w:pStyle w:val="TableParagraph"/>
                          <w:jc w:val="center"/>
                          <w:rPr>
                            <w:sz w:val="20"/>
                          </w:rPr>
                        </w:pPr>
                        <w:r>
                          <w:rPr>
                            <w:w w:val="100"/>
                            <w:sz w:val="20"/>
                          </w:rPr>
                          <w:t>1</w:t>
                        </w:r>
                      </w:p>
                    </w:tc>
                    <w:tc>
                      <w:tcPr>
                        <w:tcW w:w="709" w:type="dxa"/>
                      </w:tcPr>
                      <w:p>
                        <w:pPr>
                          <w:pStyle w:val="TableParagraph"/>
                          <w:spacing w:line="227" w:lineRule="exact"/>
                          <w:ind w:left="82" w:right="82"/>
                          <w:jc w:val="center"/>
                          <w:rPr>
                            <w:sz w:val="20"/>
                          </w:rPr>
                        </w:pPr>
                        <w:r>
                          <w:rPr>
                            <w:sz w:val="20"/>
                          </w:rPr>
                          <w:t>Lapse</w:t>
                        </w:r>
                      </w:p>
                      <w:p>
                        <w:pPr>
                          <w:pStyle w:val="TableParagraph"/>
                          <w:spacing w:before="4"/>
                          <w:rPr>
                            <w:sz w:val="24"/>
                          </w:rPr>
                        </w:pPr>
                      </w:p>
                      <w:p>
                        <w:pPr>
                          <w:pStyle w:val="TableParagraph"/>
                          <w:jc w:val="center"/>
                          <w:rPr>
                            <w:sz w:val="20"/>
                          </w:rPr>
                        </w:pPr>
                        <w:r>
                          <w:rPr>
                            <w:w w:val="100"/>
                            <w:sz w:val="20"/>
                          </w:rPr>
                          <w:t>2</w:t>
                        </w:r>
                      </w:p>
                    </w:tc>
                    <w:tc>
                      <w:tcPr>
                        <w:tcW w:w="709" w:type="dxa"/>
                      </w:tcPr>
                      <w:p>
                        <w:pPr>
                          <w:pStyle w:val="TableParagraph"/>
                          <w:spacing w:line="227" w:lineRule="exact"/>
                          <w:ind w:left="82" w:right="82"/>
                          <w:jc w:val="center"/>
                          <w:rPr>
                            <w:sz w:val="20"/>
                          </w:rPr>
                        </w:pPr>
                        <w:r>
                          <w:rPr>
                            <w:sz w:val="20"/>
                          </w:rPr>
                          <w:t>Lapse</w:t>
                        </w:r>
                      </w:p>
                      <w:p>
                        <w:pPr>
                          <w:pStyle w:val="TableParagraph"/>
                          <w:spacing w:before="4"/>
                          <w:rPr>
                            <w:sz w:val="24"/>
                          </w:rPr>
                        </w:pPr>
                      </w:p>
                      <w:p>
                        <w:pPr>
                          <w:pStyle w:val="TableParagraph"/>
                          <w:ind w:right="1"/>
                          <w:jc w:val="center"/>
                          <w:rPr>
                            <w:sz w:val="20"/>
                          </w:rPr>
                        </w:pPr>
                        <w:r>
                          <w:rPr>
                            <w:w w:val="100"/>
                            <w:sz w:val="20"/>
                          </w:rPr>
                          <w:t>3</w:t>
                        </w:r>
                      </w:p>
                    </w:tc>
                    <w:tc>
                      <w:tcPr>
                        <w:tcW w:w="708" w:type="dxa"/>
                      </w:tcPr>
                      <w:p>
                        <w:pPr>
                          <w:pStyle w:val="TableParagraph"/>
                          <w:spacing w:line="227" w:lineRule="exact"/>
                          <w:ind w:left="90" w:right="90"/>
                          <w:jc w:val="center"/>
                          <w:rPr>
                            <w:sz w:val="20"/>
                          </w:rPr>
                        </w:pPr>
                        <w:r>
                          <w:rPr>
                            <w:sz w:val="20"/>
                          </w:rPr>
                          <w:t>Lapse</w:t>
                        </w:r>
                      </w:p>
                      <w:p>
                        <w:pPr>
                          <w:pStyle w:val="TableParagraph"/>
                          <w:spacing w:before="4"/>
                          <w:rPr>
                            <w:sz w:val="24"/>
                          </w:rPr>
                        </w:pPr>
                      </w:p>
                      <w:p>
                        <w:pPr>
                          <w:pStyle w:val="TableParagraph"/>
                          <w:ind w:right="1"/>
                          <w:jc w:val="center"/>
                          <w:rPr>
                            <w:sz w:val="20"/>
                          </w:rPr>
                        </w:pPr>
                        <w:r>
                          <w:rPr>
                            <w:w w:val="100"/>
                            <w:sz w:val="20"/>
                          </w:rPr>
                          <w:t>4</w:t>
                        </w:r>
                      </w:p>
                    </w:tc>
                  </w:tr>
                  <w:tr>
                    <w:trPr>
                      <w:trHeight w:val="750" w:hRule="exact"/>
                    </w:trPr>
                    <w:tc>
                      <w:tcPr>
                        <w:tcW w:w="1102" w:type="dxa"/>
                      </w:tcPr>
                      <w:p>
                        <w:pPr>
                          <w:pStyle w:val="TableParagraph"/>
                          <w:spacing w:line="227" w:lineRule="exact"/>
                          <w:jc w:val="center"/>
                          <w:rPr>
                            <w:sz w:val="20"/>
                          </w:rPr>
                        </w:pPr>
                        <w:r>
                          <w:rPr>
                            <w:w w:val="100"/>
                            <w:sz w:val="20"/>
                          </w:rPr>
                          <w:t>I</w:t>
                        </w:r>
                      </w:p>
                      <w:p>
                        <w:pPr>
                          <w:pStyle w:val="TableParagraph"/>
                          <w:spacing w:before="4"/>
                          <w:rPr>
                            <w:sz w:val="24"/>
                          </w:rPr>
                        </w:pPr>
                      </w:p>
                      <w:p>
                        <w:pPr>
                          <w:pStyle w:val="TableParagraph"/>
                          <w:ind w:left="129" w:right="78"/>
                          <w:jc w:val="center"/>
                          <w:rPr>
                            <w:sz w:val="20"/>
                          </w:rPr>
                        </w:pPr>
                        <w:r>
                          <w:rPr>
                            <w:sz w:val="20"/>
                          </w:rPr>
                          <w:t>Yoshitake</w:t>
                        </w:r>
                      </w:p>
                    </w:tc>
                    <w:tc>
                      <w:tcPr>
                        <w:tcW w:w="708" w:type="dxa"/>
                      </w:tcPr>
                      <w:p>
                        <w:pPr>
                          <w:pStyle w:val="TableParagraph"/>
                          <w:spacing w:line="227" w:lineRule="exact"/>
                          <w:jc w:val="center"/>
                          <w:rPr>
                            <w:sz w:val="20"/>
                          </w:rPr>
                        </w:pPr>
                        <w:r>
                          <w:rPr>
                            <w:w w:val="100"/>
                            <w:sz w:val="20"/>
                          </w:rPr>
                          <w:t>x</w:t>
                        </w:r>
                      </w:p>
                    </w:tc>
                    <w:tc>
                      <w:tcPr>
                        <w:tcW w:w="566" w:type="dxa"/>
                      </w:tcPr>
                      <w:p>
                        <w:pPr>
                          <w:pStyle w:val="TableParagraph"/>
                          <w:spacing w:line="227" w:lineRule="exact"/>
                          <w:jc w:val="center"/>
                          <w:rPr>
                            <w:sz w:val="20"/>
                          </w:rPr>
                        </w:pPr>
                        <w:r>
                          <w:rPr>
                            <w:w w:val="100"/>
                            <w:sz w:val="20"/>
                          </w:rPr>
                          <w:t>x</w:t>
                        </w:r>
                      </w:p>
                    </w:tc>
                    <w:tc>
                      <w:tcPr>
                        <w:tcW w:w="709" w:type="dxa"/>
                      </w:tcPr>
                      <w:p>
                        <w:pPr>
                          <w:pStyle w:val="TableParagraph"/>
                          <w:spacing w:line="227" w:lineRule="exact"/>
                          <w:jc w:val="center"/>
                          <w:rPr>
                            <w:sz w:val="20"/>
                          </w:rPr>
                        </w:pPr>
                        <w:r>
                          <w:rPr>
                            <w:w w:val="100"/>
                            <w:sz w:val="20"/>
                          </w:rPr>
                          <w:t>x</w:t>
                        </w:r>
                      </w:p>
                    </w:tc>
                    <w:tc>
                      <w:tcPr>
                        <w:tcW w:w="709" w:type="dxa"/>
                      </w:tcPr>
                      <w:p>
                        <w:pPr>
                          <w:pStyle w:val="TableParagraph"/>
                          <w:spacing w:line="227" w:lineRule="exact"/>
                          <w:jc w:val="center"/>
                          <w:rPr>
                            <w:sz w:val="20"/>
                          </w:rPr>
                        </w:pPr>
                        <w:r>
                          <w:rPr>
                            <w:w w:val="100"/>
                            <w:sz w:val="20"/>
                          </w:rPr>
                          <w:t>x</w:t>
                        </w:r>
                      </w:p>
                    </w:tc>
                    <w:tc>
                      <w:tcPr>
                        <w:tcW w:w="709" w:type="dxa"/>
                      </w:tcPr>
                      <w:p>
                        <w:pPr>
                          <w:pStyle w:val="TableParagraph"/>
                          <w:spacing w:line="227" w:lineRule="exact"/>
                          <w:ind w:right="1"/>
                          <w:jc w:val="center"/>
                          <w:rPr>
                            <w:sz w:val="20"/>
                          </w:rPr>
                        </w:pPr>
                        <w:r>
                          <w:rPr>
                            <w:w w:val="100"/>
                            <w:sz w:val="20"/>
                          </w:rPr>
                          <w:t>x</w:t>
                        </w:r>
                      </w:p>
                    </w:tc>
                    <w:tc>
                      <w:tcPr>
                        <w:tcW w:w="708" w:type="dxa"/>
                      </w:tcPr>
                      <w:p>
                        <w:pPr>
                          <w:pStyle w:val="TableParagraph"/>
                          <w:spacing w:line="227" w:lineRule="exact"/>
                          <w:ind w:right="1"/>
                          <w:jc w:val="center"/>
                          <w:rPr>
                            <w:sz w:val="20"/>
                          </w:rPr>
                        </w:pPr>
                        <w:r>
                          <w:rPr>
                            <w:w w:val="100"/>
                            <w:sz w:val="20"/>
                          </w:rPr>
                          <w:t>x</w:t>
                        </w:r>
                      </w:p>
                    </w:tc>
                  </w:tr>
                  <w:tr>
                    <w:trPr>
                      <w:trHeight w:val="1210" w:hRule="exact"/>
                    </w:trPr>
                    <w:tc>
                      <w:tcPr>
                        <w:tcW w:w="1102" w:type="dxa"/>
                      </w:tcPr>
                      <w:p>
                        <w:pPr>
                          <w:pStyle w:val="TableParagraph"/>
                          <w:spacing w:line="227" w:lineRule="exact"/>
                          <w:ind w:left="95" w:right="95"/>
                          <w:jc w:val="center"/>
                          <w:rPr>
                            <w:sz w:val="20"/>
                          </w:rPr>
                        </w:pPr>
                        <w:r>
                          <w:rPr>
                            <w:sz w:val="20"/>
                          </w:rPr>
                          <w:t>II</w:t>
                        </w:r>
                      </w:p>
                      <w:p>
                        <w:pPr>
                          <w:pStyle w:val="TableParagraph"/>
                          <w:spacing w:before="4"/>
                          <w:rPr>
                            <w:sz w:val="24"/>
                          </w:rPr>
                        </w:pPr>
                      </w:p>
                      <w:p>
                        <w:pPr>
                          <w:pStyle w:val="TableParagraph"/>
                          <w:ind w:left="129" w:right="128"/>
                          <w:jc w:val="center"/>
                          <w:rPr>
                            <w:sz w:val="20"/>
                          </w:rPr>
                        </w:pPr>
                        <w:r>
                          <w:rPr>
                            <w:sz w:val="20"/>
                          </w:rPr>
                          <w:t>Corlett &amp; Bishop Map</w:t>
                        </w:r>
                      </w:p>
                    </w:tc>
                    <w:tc>
                      <w:tcPr>
                        <w:tcW w:w="708" w:type="dxa"/>
                      </w:tcPr>
                      <w:p>
                        <w:pPr>
                          <w:pStyle w:val="TableParagraph"/>
                          <w:spacing w:line="227" w:lineRule="exact"/>
                          <w:ind w:right="1"/>
                          <w:jc w:val="center"/>
                          <w:rPr>
                            <w:sz w:val="20"/>
                          </w:rPr>
                        </w:pPr>
                        <w:r>
                          <w:rPr>
                            <w:w w:val="100"/>
                            <w:sz w:val="20"/>
                          </w:rPr>
                          <w:t>x</w:t>
                        </w:r>
                      </w:p>
                    </w:tc>
                    <w:tc>
                      <w:tcPr>
                        <w:tcW w:w="566" w:type="dxa"/>
                      </w:tcPr>
                      <w:p>
                        <w:pPr>
                          <w:pStyle w:val="TableParagraph"/>
                          <w:spacing w:line="227" w:lineRule="exact"/>
                          <w:jc w:val="center"/>
                          <w:rPr>
                            <w:sz w:val="20"/>
                          </w:rPr>
                        </w:pPr>
                        <w:r>
                          <w:rPr>
                            <w:w w:val="100"/>
                            <w:sz w:val="20"/>
                          </w:rPr>
                          <w:t>x</w:t>
                        </w:r>
                      </w:p>
                    </w:tc>
                    <w:tc>
                      <w:tcPr>
                        <w:tcW w:w="709" w:type="dxa"/>
                      </w:tcPr>
                      <w:p>
                        <w:pPr>
                          <w:pStyle w:val="TableParagraph"/>
                          <w:spacing w:line="227" w:lineRule="exact"/>
                          <w:jc w:val="center"/>
                          <w:rPr>
                            <w:sz w:val="20"/>
                          </w:rPr>
                        </w:pPr>
                        <w:r>
                          <w:rPr>
                            <w:w w:val="100"/>
                            <w:sz w:val="20"/>
                          </w:rPr>
                          <w:t>x</w:t>
                        </w:r>
                      </w:p>
                    </w:tc>
                    <w:tc>
                      <w:tcPr>
                        <w:tcW w:w="709" w:type="dxa"/>
                      </w:tcPr>
                      <w:p>
                        <w:pPr>
                          <w:pStyle w:val="TableParagraph"/>
                          <w:spacing w:line="227" w:lineRule="exact"/>
                          <w:jc w:val="center"/>
                          <w:rPr>
                            <w:sz w:val="20"/>
                          </w:rPr>
                        </w:pPr>
                        <w:r>
                          <w:rPr>
                            <w:w w:val="100"/>
                            <w:sz w:val="20"/>
                          </w:rPr>
                          <w:t>x</w:t>
                        </w:r>
                      </w:p>
                    </w:tc>
                    <w:tc>
                      <w:tcPr>
                        <w:tcW w:w="709" w:type="dxa"/>
                      </w:tcPr>
                      <w:p>
                        <w:pPr>
                          <w:pStyle w:val="TableParagraph"/>
                          <w:spacing w:line="227" w:lineRule="exact"/>
                          <w:ind w:right="1"/>
                          <w:jc w:val="center"/>
                          <w:rPr>
                            <w:sz w:val="20"/>
                          </w:rPr>
                        </w:pPr>
                        <w:r>
                          <w:rPr>
                            <w:w w:val="100"/>
                            <w:sz w:val="20"/>
                          </w:rPr>
                          <w:t>x</w:t>
                        </w:r>
                      </w:p>
                    </w:tc>
                    <w:tc>
                      <w:tcPr>
                        <w:tcW w:w="708" w:type="dxa"/>
                      </w:tcPr>
                      <w:p>
                        <w:pPr>
                          <w:pStyle w:val="TableParagraph"/>
                          <w:spacing w:line="227" w:lineRule="exact"/>
                          <w:ind w:right="1"/>
                          <w:jc w:val="center"/>
                          <w:rPr>
                            <w:sz w:val="20"/>
                          </w:rPr>
                        </w:pPr>
                        <w:r>
                          <w:rPr>
                            <w:w w:val="100"/>
                            <w:sz w:val="20"/>
                          </w:rPr>
                          <w:t>x</w:t>
                        </w:r>
                      </w:p>
                    </w:tc>
                  </w:tr>
                  <w:tr>
                    <w:trPr>
                      <w:trHeight w:val="750" w:hRule="exact"/>
                    </w:trPr>
                    <w:tc>
                      <w:tcPr>
                        <w:tcW w:w="1102" w:type="dxa"/>
                      </w:tcPr>
                      <w:p>
                        <w:pPr>
                          <w:pStyle w:val="TableParagraph"/>
                          <w:spacing w:line="227" w:lineRule="exact"/>
                          <w:ind w:left="95" w:right="95"/>
                          <w:jc w:val="center"/>
                          <w:rPr>
                            <w:sz w:val="20"/>
                          </w:rPr>
                        </w:pPr>
                        <w:r>
                          <w:rPr>
                            <w:sz w:val="20"/>
                          </w:rPr>
                          <w:t>III</w:t>
                        </w:r>
                      </w:p>
                      <w:p>
                        <w:pPr>
                          <w:pStyle w:val="TableParagraph"/>
                          <w:spacing w:before="4"/>
                          <w:rPr>
                            <w:sz w:val="24"/>
                          </w:rPr>
                        </w:pPr>
                      </w:p>
                      <w:p>
                        <w:pPr>
                          <w:pStyle w:val="TableParagraph"/>
                          <w:ind w:left="96" w:right="95"/>
                          <w:jc w:val="center"/>
                          <w:rPr>
                            <w:sz w:val="20"/>
                          </w:rPr>
                        </w:pPr>
                        <w:r>
                          <w:rPr>
                            <w:sz w:val="20"/>
                          </w:rPr>
                          <w:t>Luke four</w:t>
                        </w:r>
                      </w:p>
                    </w:tc>
                    <w:tc>
                      <w:tcPr>
                        <w:tcW w:w="708" w:type="dxa"/>
                      </w:tcPr>
                      <w:p>
                        <w:pPr>
                          <w:pStyle w:val="TableParagraph"/>
                          <w:spacing w:line="227" w:lineRule="exact"/>
                          <w:ind w:right="2"/>
                          <w:jc w:val="center"/>
                          <w:rPr>
                            <w:sz w:val="20"/>
                          </w:rPr>
                        </w:pPr>
                        <w:r>
                          <w:rPr>
                            <w:w w:val="100"/>
                            <w:sz w:val="20"/>
                          </w:rPr>
                          <w:t>x</w:t>
                        </w:r>
                      </w:p>
                    </w:tc>
                    <w:tc>
                      <w:tcPr>
                        <w:tcW w:w="566" w:type="dxa"/>
                      </w:tcPr>
                      <w:p>
                        <w:pPr/>
                      </w:p>
                    </w:tc>
                    <w:tc>
                      <w:tcPr>
                        <w:tcW w:w="709" w:type="dxa"/>
                      </w:tcPr>
                      <w:p>
                        <w:pPr/>
                      </w:p>
                    </w:tc>
                    <w:tc>
                      <w:tcPr>
                        <w:tcW w:w="709" w:type="dxa"/>
                      </w:tcPr>
                      <w:p>
                        <w:pPr/>
                      </w:p>
                    </w:tc>
                    <w:tc>
                      <w:tcPr>
                        <w:tcW w:w="709" w:type="dxa"/>
                      </w:tcPr>
                      <w:p>
                        <w:pPr/>
                      </w:p>
                    </w:tc>
                    <w:tc>
                      <w:tcPr>
                        <w:tcW w:w="708" w:type="dxa"/>
                      </w:tcPr>
                      <w:p>
                        <w:pPr/>
                      </w:p>
                    </w:tc>
                  </w:tr>
                </w:tbl>
                <w:p>
                  <w:pPr>
                    <w:pStyle w:val="BodyText"/>
                  </w:pPr>
                </w:p>
              </w:txbxContent>
            </v:textbox>
            <w10:wrap type="none"/>
          </v:shape>
        </w:pict>
      </w:r>
      <w:r>
        <w:rPr/>
        <w:t>Table 2  Survey application schedule</w:t>
      </w:r>
    </w:p>
    <w:p>
      <w:pPr>
        <w:spacing w:after="0"/>
        <w:sectPr>
          <w:type w:val="continuous"/>
          <w:pgSz w:w="12240" w:h="15840"/>
          <w:pgMar w:top="1500" w:bottom="280" w:left="580" w:right="220"/>
          <w:cols w:num="2" w:equalWidth="0">
            <w:col w:w="5191" w:space="433"/>
            <w:col w:w="5816"/>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8"/>
        <w:rPr>
          <w:sz w:val="6"/>
        </w:rPr>
      </w:pPr>
    </w:p>
    <w:tbl>
      <w:tblPr>
        <w:tblW w:w="0" w:type="auto"/>
        <w:jc w:val="left"/>
        <w:tblInd w:w="1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02"/>
        <w:gridCol w:w="708"/>
        <w:gridCol w:w="566"/>
        <w:gridCol w:w="709"/>
        <w:gridCol w:w="709"/>
        <w:gridCol w:w="709"/>
        <w:gridCol w:w="708"/>
      </w:tblGrid>
      <w:tr>
        <w:trPr>
          <w:trHeight w:val="240" w:hRule="exact"/>
        </w:trPr>
        <w:tc>
          <w:tcPr>
            <w:tcW w:w="1102" w:type="dxa"/>
          </w:tcPr>
          <w:p>
            <w:pPr>
              <w:pStyle w:val="TableParagraph"/>
              <w:spacing w:line="227" w:lineRule="exact"/>
              <w:ind w:left="115"/>
              <w:rPr>
                <w:sz w:val="20"/>
              </w:rPr>
            </w:pPr>
            <w:r>
              <w:rPr>
                <w:sz w:val="20"/>
              </w:rPr>
              <w:t>point scale</w:t>
            </w:r>
          </w:p>
        </w:tc>
        <w:tc>
          <w:tcPr>
            <w:tcW w:w="708" w:type="dxa"/>
          </w:tcPr>
          <w:p>
            <w:pPr/>
          </w:p>
        </w:tc>
        <w:tc>
          <w:tcPr>
            <w:tcW w:w="566" w:type="dxa"/>
          </w:tcPr>
          <w:p>
            <w:pPr/>
          </w:p>
        </w:tc>
        <w:tc>
          <w:tcPr>
            <w:tcW w:w="709" w:type="dxa"/>
          </w:tcPr>
          <w:p>
            <w:pPr/>
          </w:p>
        </w:tc>
        <w:tc>
          <w:tcPr>
            <w:tcW w:w="709" w:type="dxa"/>
          </w:tcPr>
          <w:p>
            <w:pPr/>
          </w:p>
        </w:tc>
        <w:tc>
          <w:tcPr>
            <w:tcW w:w="709" w:type="dxa"/>
          </w:tcPr>
          <w:p>
            <w:pPr/>
          </w:p>
        </w:tc>
        <w:tc>
          <w:tcPr>
            <w:tcW w:w="708" w:type="dxa"/>
          </w:tcPr>
          <w:p>
            <w:pPr/>
          </w:p>
        </w:tc>
      </w:tr>
      <w:tr>
        <w:trPr>
          <w:trHeight w:val="1210" w:hRule="exact"/>
        </w:trPr>
        <w:tc>
          <w:tcPr>
            <w:tcW w:w="1102" w:type="dxa"/>
          </w:tcPr>
          <w:p>
            <w:pPr>
              <w:pStyle w:val="TableParagraph"/>
              <w:spacing w:line="227" w:lineRule="exact"/>
              <w:ind w:left="96" w:right="95"/>
              <w:jc w:val="center"/>
              <w:rPr>
                <w:sz w:val="20"/>
              </w:rPr>
            </w:pPr>
            <w:r>
              <w:rPr>
                <w:sz w:val="20"/>
              </w:rPr>
              <w:t>IV</w:t>
            </w:r>
          </w:p>
          <w:p>
            <w:pPr>
              <w:pStyle w:val="TableParagraph"/>
              <w:spacing w:before="4"/>
              <w:rPr>
                <w:sz w:val="24"/>
              </w:rPr>
            </w:pPr>
          </w:p>
          <w:p>
            <w:pPr>
              <w:pStyle w:val="TableParagraph"/>
              <w:ind w:left="245" w:right="245" w:firstLine="82"/>
              <w:jc w:val="both"/>
              <w:rPr>
                <w:sz w:val="20"/>
              </w:rPr>
            </w:pPr>
            <w:r>
              <w:rPr>
                <w:sz w:val="20"/>
              </w:rPr>
              <w:t>Extra labor activity</w:t>
            </w:r>
          </w:p>
        </w:tc>
        <w:tc>
          <w:tcPr>
            <w:tcW w:w="708" w:type="dxa"/>
          </w:tcPr>
          <w:p>
            <w:pPr>
              <w:pStyle w:val="TableParagraph"/>
              <w:spacing w:line="227" w:lineRule="exact"/>
              <w:jc w:val="center"/>
              <w:rPr>
                <w:sz w:val="20"/>
              </w:rPr>
            </w:pPr>
            <w:r>
              <w:rPr>
                <w:w w:val="100"/>
                <w:sz w:val="20"/>
              </w:rPr>
              <w:t>x</w:t>
            </w:r>
          </w:p>
        </w:tc>
        <w:tc>
          <w:tcPr>
            <w:tcW w:w="566" w:type="dxa"/>
          </w:tcPr>
          <w:p>
            <w:pPr/>
          </w:p>
        </w:tc>
        <w:tc>
          <w:tcPr>
            <w:tcW w:w="709" w:type="dxa"/>
          </w:tcPr>
          <w:p>
            <w:pPr/>
          </w:p>
        </w:tc>
        <w:tc>
          <w:tcPr>
            <w:tcW w:w="709" w:type="dxa"/>
          </w:tcPr>
          <w:p>
            <w:pPr/>
          </w:p>
        </w:tc>
        <w:tc>
          <w:tcPr>
            <w:tcW w:w="709" w:type="dxa"/>
          </w:tcPr>
          <w:p>
            <w:pPr/>
          </w:p>
        </w:tc>
        <w:tc>
          <w:tcPr>
            <w:tcW w:w="708" w:type="dxa"/>
          </w:tcPr>
          <w:p>
            <w:pPr/>
          </w:p>
        </w:tc>
      </w:tr>
    </w:tbl>
    <w:p>
      <w:pPr>
        <w:pStyle w:val="BodyText"/>
        <w:spacing w:before="1"/>
        <w:rPr>
          <w:sz w:val="24"/>
        </w:rPr>
      </w:pPr>
    </w:p>
    <w:p>
      <w:pPr>
        <w:pStyle w:val="BodyText"/>
        <w:ind w:left="270" w:firstLine="426"/>
        <w:jc w:val="both"/>
      </w:pPr>
      <w:r>
        <w:rPr/>
        <w:t>In this investigation it is studied the fatigue behavior in twelve hour shift workers for night and day workdays between weeks, lapses and days. A statistical treatment has been applied in order to obtain objective conclusion in regards to fatigue.</w:t>
      </w:r>
    </w:p>
    <w:p>
      <w:pPr>
        <w:pStyle w:val="BodyText"/>
      </w:pPr>
    </w:p>
    <w:p>
      <w:pPr>
        <w:pStyle w:val="BodyText"/>
      </w:pPr>
    </w:p>
    <w:p>
      <w:pPr>
        <w:pStyle w:val="BodyText"/>
        <w:spacing w:before="6"/>
        <w:rPr>
          <w:sz w:val="24"/>
        </w:rPr>
      </w:pPr>
    </w:p>
    <w:p>
      <w:pPr>
        <w:pStyle w:val="Heading4"/>
        <w:numPr>
          <w:ilvl w:val="1"/>
          <w:numId w:val="118"/>
        </w:numPr>
        <w:tabs>
          <w:tab w:pos="572" w:val="left" w:leader="none"/>
        </w:tabs>
        <w:spacing w:line="240" w:lineRule="auto" w:before="0" w:after="0"/>
        <w:ind w:left="571" w:right="0" w:hanging="301"/>
        <w:jc w:val="both"/>
      </w:pPr>
      <w:r>
        <w:rPr/>
        <w:t>Subjects</w:t>
      </w:r>
    </w:p>
    <w:p>
      <w:pPr>
        <w:pStyle w:val="BodyText"/>
        <w:rPr>
          <w:b/>
        </w:rPr>
      </w:pPr>
    </w:p>
    <w:p>
      <w:pPr>
        <w:pStyle w:val="BodyText"/>
        <w:spacing w:before="9"/>
        <w:rPr>
          <w:b/>
          <w:sz w:val="19"/>
        </w:rPr>
      </w:pPr>
    </w:p>
    <w:p>
      <w:pPr>
        <w:pStyle w:val="BodyText"/>
        <w:ind w:left="270"/>
        <w:jc w:val="both"/>
      </w:pPr>
      <w:r>
        <w:rPr/>
        <w:t>They were fifty four workers, of which twenty seven belong to day shift and the rest of the night shift. The schedule of diurnal work consists of twelve hours from seven o’clock in the morning until seven forty five afternoons. The schedule for night shift starts at seven forty five in the afternoon and finish until seven o’clock in the morning. The operators  work in the molding area, developing activities of inspection, milling, sieving and mixed of plastic components. The workers were selected by intentional sampling and said to be healthy, took part of voluntary</w:t>
      </w:r>
      <w:r>
        <w:rPr>
          <w:spacing w:val="-20"/>
        </w:rPr>
        <w:t> </w:t>
      </w:r>
      <w:r>
        <w:rPr/>
        <w:t>form.</w:t>
      </w:r>
    </w:p>
    <w:p>
      <w:pPr>
        <w:pStyle w:val="BodyText"/>
      </w:pPr>
    </w:p>
    <w:p>
      <w:pPr>
        <w:pStyle w:val="BodyText"/>
        <w:spacing w:before="2"/>
      </w:pPr>
    </w:p>
    <w:p>
      <w:pPr>
        <w:pStyle w:val="Heading4"/>
        <w:numPr>
          <w:ilvl w:val="1"/>
          <w:numId w:val="118"/>
        </w:numPr>
        <w:tabs>
          <w:tab w:pos="573" w:val="left" w:leader="none"/>
        </w:tabs>
        <w:spacing w:line="240" w:lineRule="auto" w:before="0" w:after="0"/>
        <w:ind w:left="572" w:right="0" w:hanging="302"/>
        <w:jc w:val="both"/>
      </w:pPr>
      <w:r>
        <w:rPr/>
        <w:t>Experimental</w:t>
      </w:r>
      <w:r>
        <w:rPr>
          <w:spacing w:val="-6"/>
        </w:rPr>
        <w:t> </w:t>
      </w:r>
      <w:r>
        <w:rPr/>
        <w:t>procedure</w:t>
      </w:r>
    </w:p>
    <w:p>
      <w:pPr>
        <w:pStyle w:val="BodyText"/>
        <w:spacing w:before="9"/>
        <w:rPr>
          <w:b/>
          <w:sz w:val="19"/>
        </w:rPr>
      </w:pPr>
    </w:p>
    <w:p>
      <w:pPr>
        <w:pStyle w:val="BodyText"/>
        <w:spacing w:before="1"/>
        <w:ind w:left="270"/>
        <w:jc w:val="both"/>
      </w:pPr>
      <w:r>
        <w:rPr/>
        <w:t>Experimentation has been applied in all field of knowledge  in order to discover something about a process or  system[12], in this investigation, it has been studied the fatigue behavior in twelve hour shift workers during night and day shifts at weekly, daily and lapse</w:t>
      </w:r>
      <w:r>
        <w:rPr>
          <w:spacing w:val="-27"/>
        </w:rPr>
        <w:t> </w:t>
      </w:r>
      <w:r>
        <w:rPr/>
        <w:t>intervals.</w:t>
      </w:r>
    </w:p>
    <w:p>
      <w:pPr>
        <w:pStyle w:val="BodyText"/>
        <w:ind w:left="270" w:right="1" w:firstLine="426"/>
        <w:jc w:val="both"/>
      </w:pPr>
      <w:r>
        <w:rPr/>
        <w:t>The analysis of variance is the most useful technique in the field of the statistical inference, to prove the equality of several averages. It has been used an experiment with a single factor in the completely randomized design with n levels of treatments. For average comparison it has been  used the Duncan’s multiple range test. It has been a confidence level of 5% in all test</w:t>
      </w:r>
      <w:r>
        <w:rPr>
          <w:spacing w:val="-22"/>
        </w:rPr>
        <w:t> </w:t>
      </w:r>
      <w:r>
        <w:rPr/>
        <w:t>performed.</w:t>
      </w:r>
    </w:p>
    <w:p>
      <w:pPr>
        <w:pStyle w:val="BodyText"/>
      </w:pPr>
    </w:p>
    <w:p>
      <w:pPr>
        <w:pStyle w:val="BodyText"/>
        <w:spacing w:before="2"/>
      </w:pPr>
    </w:p>
    <w:p>
      <w:pPr>
        <w:pStyle w:val="Heading4"/>
        <w:numPr>
          <w:ilvl w:val="0"/>
          <w:numId w:val="117"/>
        </w:numPr>
        <w:tabs>
          <w:tab w:pos="472" w:val="left" w:leader="none"/>
        </w:tabs>
        <w:spacing w:line="240" w:lineRule="auto" w:before="0" w:after="0"/>
        <w:ind w:left="471" w:right="0" w:hanging="201"/>
        <w:jc w:val="both"/>
      </w:pPr>
      <w:r>
        <w:rPr/>
        <w:t>RESULTS</w:t>
      </w:r>
    </w:p>
    <w:p>
      <w:pPr>
        <w:pStyle w:val="BodyText"/>
        <w:rPr>
          <w:b/>
        </w:rPr>
      </w:pPr>
    </w:p>
    <w:p>
      <w:pPr>
        <w:pStyle w:val="BodyText"/>
        <w:spacing w:before="9"/>
        <w:rPr>
          <w:b/>
          <w:sz w:val="19"/>
        </w:rPr>
      </w:pPr>
    </w:p>
    <w:p>
      <w:pPr>
        <w:pStyle w:val="BodyText"/>
        <w:ind w:left="270" w:right="246"/>
      </w:pPr>
      <w:r>
        <w:rPr/>
        <w:t>Results comprise both descriptive statistics and inferential statistics applied to data obtained from the survey. It has been used a confidence interval of 5% for all F tests.</w:t>
      </w:r>
    </w:p>
    <w:p>
      <w:pPr>
        <w:pStyle w:val="BodyText"/>
        <w:spacing w:before="2"/>
      </w:pPr>
    </w:p>
    <w:p>
      <w:pPr>
        <w:pStyle w:val="Heading4"/>
        <w:numPr>
          <w:ilvl w:val="1"/>
          <w:numId w:val="117"/>
        </w:numPr>
        <w:tabs>
          <w:tab w:pos="621" w:val="left" w:leader="none"/>
        </w:tabs>
        <w:spacing w:line="240" w:lineRule="auto" w:before="0" w:after="0"/>
        <w:ind w:left="620" w:right="0" w:hanging="350"/>
        <w:jc w:val="both"/>
      </w:pPr>
      <w:r>
        <w:rPr/>
        <w:t>Descriptive</w:t>
      </w:r>
      <w:r>
        <w:rPr>
          <w:spacing w:val="-18"/>
        </w:rPr>
        <w:t> </w:t>
      </w:r>
      <w:r>
        <w:rPr/>
        <w:t>Statistics</w:t>
      </w:r>
    </w:p>
    <w:p>
      <w:pPr>
        <w:pStyle w:val="BodyText"/>
        <w:spacing w:before="8"/>
        <w:rPr>
          <w:b/>
          <w:sz w:val="19"/>
        </w:rPr>
      </w:pPr>
    </w:p>
    <w:p>
      <w:pPr>
        <w:pStyle w:val="BodyText"/>
        <w:ind w:left="270"/>
        <w:jc w:val="both"/>
      </w:pPr>
      <w:r>
        <w:rPr/>
        <w:t>Section 1 of survey</w:t>
      </w:r>
    </w:p>
    <w:p>
      <w:pPr>
        <w:pStyle w:val="BodyText"/>
        <w:spacing w:before="74"/>
        <w:ind w:left="270" w:right="677"/>
        <w:jc w:val="both"/>
      </w:pPr>
      <w:r>
        <w:rPr/>
        <w:br w:type="column"/>
      </w:r>
      <w:r>
        <w:rPr/>
        <w:t>Results presented in this section correspond to section I of survey. One hundred of workers were women, which 50% works in night shift and 50% works for day shift, 56 % of the workers has between 30 and 39 years, 26 % between </w:t>
      </w:r>
      <w:r>
        <w:rPr>
          <w:spacing w:val="33"/>
        </w:rPr>
        <w:t> </w:t>
      </w:r>
      <w:r>
        <w:rPr/>
        <w:t>20</w:t>
      </w:r>
    </w:p>
    <w:p>
      <w:pPr>
        <w:pStyle w:val="BodyText"/>
        <w:ind w:left="270" w:right="1631"/>
      </w:pPr>
      <w:r>
        <w:rPr/>
        <w:t>and 29 years and 19 % between 40 and 49 years. Section 2 of survey</w:t>
      </w:r>
    </w:p>
    <w:p>
      <w:pPr>
        <w:pStyle w:val="BodyText"/>
        <w:ind w:left="270" w:right="675"/>
        <w:jc w:val="both"/>
      </w:pPr>
      <w:r>
        <w:rPr/>
        <w:t>From statistics of data for section 3 of survey, it was found that 15.49% of workers had discomfort in feet, 13.7% had discomfort in back, 12.32% presented discomfort in shoulders, 12.03% had discomfort in legs, 9.54% had discomfort in neck, 8.4% had discomfort in head, 6.7% had discomfort in medium back, 5.48% had discomfort in low back, 1.46% had discomfort in hands and wrist and the rest presented discomfort in upper arm and knees.</w:t>
      </w:r>
    </w:p>
    <w:p>
      <w:pPr>
        <w:pStyle w:val="BodyText"/>
        <w:spacing w:before="2"/>
      </w:pPr>
    </w:p>
    <w:p>
      <w:pPr>
        <w:pStyle w:val="Heading4"/>
        <w:numPr>
          <w:ilvl w:val="1"/>
          <w:numId w:val="117"/>
        </w:numPr>
        <w:tabs>
          <w:tab w:pos="572" w:val="left" w:leader="none"/>
        </w:tabs>
        <w:spacing w:line="240" w:lineRule="auto" w:before="0" w:after="0"/>
        <w:ind w:left="571" w:right="0" w:hanging="301"/>
        <w:jc w:val="both"/>
      </w:pPr>
      <w:r>
        <w:rPr/>
        <w:t>Inferential</w:t>
      </w:r>
      <w:r>
        <w:rPr>
          <w:spacing w:val="-11"/>
        </w:rPr>
        <w:t> </w:t>
      </w:r>
      <w:r>
        <w:rPr/>
        <w:t>Statistics</w:t>
      </w:r>
    </w:p>
    <w:p>
      <w:pPr>
        <w:pStyle w:val="BodyText"/>
        <w:rPr>
          <w:b/>
        </w:rPr>
      </w:pPr>
    </w:p>
    <w:p>
      <w:pPr>
        <w:pStyle w:val="BodyText"/>
        <w:rPr>
          <w:b/>
        </w:rPr>
      </w:pPr>
    </w:p>
    <w:p>
      <w:pPr>
        <w:pStyle w:val="BodyText"/>
        <w:spacing w:before="9"/>
        <w:rPr>
          <w:b/>
          <w:sz w:val="19"/>
        </w:rPr>
      </w:pPr>
    </w:p>
    <w:p>
      <w:pPr>
        <w:pStyle w:val="BodyText"/>
        <w:ind w:left="270"/>
        <w:jc w:val="both"/>
      </w:pPr>
      <w:r>
        <w:rPr/>
        <w:t>Fatigue between weeks</w:t>
      </w:r>
    </w:p>
    <w:p>
      <w:pPr>
        <w:pStyle w:val="BodyText"/>
        <w:ind w:left="270" w:right="677"/>
        <w:jc w:val="both"/>
      </w:pPr>
      <w:r>
        <w:rPr/>
        <w:t>For a F test using a confidence interval of 0.05, it was found that fatigue between weeks is different; a Duncan’s test was done. Furthermore, there was no sufficient statistical evidence to suggest that having worked thru the  weeks, there was a difference in fatigue between weeks 1,2,6 and 7.</w:t>
      </w:r>
    </w:p>
    <w:p>
      <w:pPr>
        <w:pStyle w:val="BodyText"/>
      </w:pPr>
    </w:p>
    <w:p>
      <w:pPr>
        <w:pStyle w:val="BodyText"/>
        <w:spacing w:line="230" w:lineRule="exact" w:before="1"/>
        <w:ind w:left="270"/>
        <w:jc w:val="both"/>
      </w:pPr>
      <w:r>
        <w:rPr/>
        <w:t>Fatigue between days of the week</w:t>
      </w:r>
    </w:p>
    <w:p>
      <w:pPr>
        <w:pStyle w:val="BodyText"/>
        <w:ind w:left="270" w:right="677" w:firstLine="426"/>
        <w:jc w:val="both"/>
      </w:pPr>
      <w:r>
        <w:rPr/>
        <w:t>For a F test using a confidence interval of 0.05, it was found that fatigue between days is different; a Duncan’s test was done and the results are as follows: there is statistical evidence to say that fatigue is equal between days 1, 2, 3 and for day four is different and it is greater than the fatigue for days</w:t>
      </w:r>
      <w:r>
        <w:rPr>
          <w:spacing w:val="-4"/>
        </w:rPr>
        <w:t> </w:t>
      </w:r>
      <w:r>
        <w:rPr/>
        <w:t>1,2,3.</w:t>
      </w:r>
    </w:p>
    <w:p>
      <w:pPr>
        <w:pStyle w:val="BodyText"/>
      </w:pPr>
    </w:p>
    <w:p>
      <w:pPr>
        <w:pStyle w:val="BodyText"/>
        <w:spacing w:line="230" w:lineRule="exact" w:before="1"/>
        <w:ind w:left="270"/>
        <w:jc w:val="both"/>
      </w:pPr>
      <w:r>
        <w:rPr/>
        <w:t>Fatigue between lapses of the day</w:t>
      </w:r>
    </w:p>
    <w:p>
      <w:pPr>
        <w:pStyle w:val="BodyText"/>
        <w:ind w:left="270" w:right="676" w:firstLine="426"/>
        <w:jc w:val="both"/>
      </w:pPr>
      <w:r>
        <w:rPr/>
        <w:t>For a F test using a confidence interval of 0.05, it was found that fatigue between lapses is different; a Duncan’s test was done and the results are as follows: there is statistical evidence to say fatigue is different between lapses 1, 2, 3, 4, the fatigue mean is greatest.</w:t>
      </w:r>
    </w:p>
    <w:p>
      <w:pPr>
        <w:pStyle w:val="BodyText"/>
        <w:spacing w:before="2"/>
      </w:pPr>
    </w:p>
    <w:p>
      <w:pPr>
        <w:pStyle w:val="Heading4"/>
        <w:numPr>
          <w:ilvl w:val="0"/>
          <w:numId w:val="117"/>
        </w:numPr>
        <w:tabs>
          <w:tab w:pos="472" w:val="left" w:leader="none"/>
        </w:tabs>
        <w:spacing w:line="240" w:lineRule="auto" w:before="0" w:after="0"/>
        <w:ind w:left="471" w:right="0" w:hanging="201"/>
        <w:jc w:val="both"/>
      </w:pPr>
      <w:r>
        <w:rPr/>
        <w:t>CONCLUSIONS</w:t>
      </w:r>
    </w:p>
    <w:p>
      <w:pPr>
        <w:pStyle w:val="BodyText"/>
        <w:spacing w:before="9"/>
        <w:rPr>
          <w:b/>
          <w:sz w:val="19"/>
        </w:rPr>
      </w:pPr>
    </w:p>
    <w:p>
      <w:pPr>
        <w:pStyle w:val="BodyText"/>
        <w:spacing w:before="1"/>
        <w:ind w:left="270" w:right="676"/>
        <w:jc w:val="both"/>
      </w:pPr>
      <w:r>
        <w:rPr/>
        <w:t>According to results, fatigue is not accumulative between weeks. Fatigue is affected as they pass the days, because of that fatigue is accumulative between days. Fatigue is affected as they pass the lapses, because of that, fatigue is accumulative between</w:t>
      </w:r>
      <w:r>
        <w:rPr>
          <w:spacing w:val="-22"/>
        </w:rPr>
        <w:t> </w:t>
      </w:r>
      <w:r>
        <w:rPr/>
        <w:t>lapses.</w:t>
      </w:r>
    </w:p>
    <w:p>
      <w:pPr>
        <w:pStyle w:val="BodyText"/>
        <w:ind w:left="270" w:right="676" w:firstLine="426"/>
        <w:jc w:val="both"/>
      </w:pPr>
      <w:r>
        <w:rPr/>
        <w:t>In agreement to evaluation of fatigue symptoms, there is a high percentage of symptoms related to drowsiness and monotony and difficulty of concentration. Workers in night shift experiment more fatigue symptoms than workers in day shift. Workers experiment more fatigue symptoms in lapse</w:t>
      </w:r>
      <w:r>
        <w:rPr>
          <w:spacing w:val="-4"/>
        </w:rPr>
        <w:t> </w:t>
      </w:r>
      <w:r>
        <w:rPr/>
        <w:t>four.</w:t>
      </w:r>
    </w:p>
    <w:p>
      <w:pPr>
        <w:pStyle w:val="BodyText"/>
        <w:ind w:left="270" w:right="675" w:firstLine="426"/>
        <w:jc w:val="both"/>
      </w:pPr>
      <w:r>
        <w:rPr/>
        <w:t>According to Discomfort map, there is evidence that workers experiment more discomfort in feet, back, shoulders, neck and legs.</w:t>
      </w:r>
    </w:p>
    <w:p>
      <w:pPr>
        <w:spacing w:after="0"/>
        <w:jc w:val="both"/>
        <w:sectPr>
          <w:type w:val="continuous"/>
          <w:pgSz w:w="12240" w:h="15840"/>
          <w:pgMar w:top="1500" w:bottom="280" w:left="580" w:right="220"/>
          <w:cols w:num="2" w:equalWidth="0">
            <w:col w:w="5191" w:space="434"/>
            <w:col w:w="5815"/>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4"/>
        <w:ind w:left="270" w:right="3" w:firstLine="426"/>
        <w:jc w:val="both"/>
      </w:pPr>
      <w:r>
        <w:rPr/>
        <w:t>According to four fatigue questionnaire, workers finish tired the labor day.</w:t>
      </w:r>
    </w:p>
    <w:p>
      <w:pPr>
        <w:pStyle w:val="BodyText"/>
        <w:ind w:left="270" w:right="1" w:firstLine="424"/>
        <w:jc w:val="both"/>
      </w:pPr>
      <w:r>
        <w:rPr/>
        <w:t>There does not exist a simple and universal solution to relieve the labor fatigue, on one hand, because every process operation possesses different demands and on the other hand for that the workers react in a very varied  way.  Nevertheless, in an attempt  of  establishing recommendations, we can say that they can qualify in two types: some for before initiating the work and the periods of rest and other applicable during the labor day. Ther firsts  will have the purpose to avoid the lack of sleep and the circadian cycle dysfunctions to help workers  realize  his labor in a sure and efficient</w:t>
      </w:r>
      <w:r>
        <w:rPr>
          <w:spacing w:val="-22"/>
        </w:rPr>
        <w:t> </w:t>
      </w:r>
      <w:r>
        <w:rPr/>
        <w:t>way.</w:t>
      </w:r>
    </w:p>
    <w:p>
      <w:pPr>
        <w:pStyle w:val="BodyText"/>
        <w:ind w:left="270" w:right="2" w:firstLine="424"/>
        <w:jc w:val="both"/>
      </w:pPr>
      <w:r>
        <w:rPr/>
        <w:t>The lack of sleep during shift works is very common, and it is associated with drowsiness that is a symptom of fatigue [13], and due to that lack of sleep is accumulative, it is important not to initiate a day if a lack of sleep exists.</w:t>
      </w:r>
    </w:p>
    <w:p>
      <w:pPr>
        <w:pStyle w:val="BodyText"/>
        <w:ind w:left="270" w:firstLine="424"/>
        <w:jc w:val="both"/>
      </w:pPr>
      <w:r>
        <w:rPr/>
        <w:t>About recovering the sleep, a worker, needs two nights of sleep without interruption to recover it, or if it is possible to take a short sleep for about 45 minutes in order to improve the state of alert[14].</w:t>
      </w:r>
    </w:p>
    <w:p>
      <w:pPr>
        <w:pStyle w:val="BodyText"/>
        <w:ind w:left="270" w:right="1" w:firstLine="424"/>
        <w:jc w:val="both"/>
      </w:pPr>
      <w:r>
        <w:rPr/>
        <w:t>The rests can be seen as ways of achieving a recovery, similar to the one that is obtained from sleeping.  The level  of alert increment after the rests[15], and the drowsiness diminishes.  In the company, where the study was carried  out, there are three rests, in spaces of 10, 15 and 10 minutes, during the whole labor day; the first one of them, just before the second study lapse, the second, just having initiated the third lapse, and the third rest, happens an hour before initiating the four</w:t>
      </w:r>
      <w:r>
        <w:rPr>
          <w:spacing w:val="-13"/>
        </w:rPr>
        <w:t> </w:t>
      </w:r>
      <w:r>
        <w:rPr/>
        <w:t>lapse.</w:t>
      </w:r>
    </w:p>
    <w:p>
      <w:pPr>
        <w:pStyle w:val="BodyText"/>
        <w:ind w:left="270" w:right="1" w:firstLine="424"/>
        <w:jc w:val="both"/>
      </w:pPr>
      <w:r>
        <w:rPr/>
        <w:t>There has been demonstrated that the noise can be a mitigating factor of the fatigue. In laboratory studies there has been demonstrated that the noise of low frequency and the monotonous noise can cause weariness, whereas  the noise of hight frequency can cause an effect of alert. In the company where the field study was carried out, the workers listen to constant music during the whole labor day,  however, the level of noise and stimulation has been not determined, for this reason, this is an opportunity area of study.</w:t>
      </w:r>
    </w:p>
    <w:p>
      <w:pPr>
        <w:pStyle w:val="BodyText"/>
      </w:pPr>
    </w:p>
    <w:p>
      <w:pPr>
        <w:pStyle w:val="BodyText"/>
      </w:pPr>
    </w:p>
    <w:p>
      <w:pPr>
        <w:pStyle w:val="BodyText"/>
        <w:ind w:left="270" w:right="1" w:firstLine="424"/>
        <w:jc w:val="both"/>
      </w:pPr>
      <w:r>
        <w:rPr/>
        <w:t>The lack of a suitable ventilation is a reason of drowsiness[16], in the area where the study was carried out, there are diverse situations in which the lack of ventilation is notable, it happens when the moulding machines are purged, because of that, this situation could be treated in order to improve ventilation and diminish drowsiness.</w:t>
      </w:r>
    </w:p>
    <w:p>
      <w:pPr>
        <w:pStyle w:val="BodyText"/>
      </w:pPr>
    </w:p>
    <w:p>
      <w:pPr>
        <w:pStyle w:val="BodyText"/>
        <w:spacing w:before="2"/>
        <w:rPr>
          <w:sz w:val="21"/>
        </w:rPr>
      </w:pPr>
    </w:p>
    <w:p>
      <w:pPr>
        <w:pStyle w:val="Heading4"/>
        <w:spacing w:before="1"/>
        <w:ind w:right="1178"/>
        <w:jc w:val="left"/>
      </w:pPr>
      <w:r>
        <w:rPr/>
        <w:t>4. REFERENCES</w:t>
      </w:r>
    </w:p>
    <w:p>
      <w:pPr>
        <w:pStyle w:val="BodyText"/>
        <w:rPr>
          <w:b/>
        </w:rPr>
      </w:pPr>
    </w:p>
    <w:p>
      <w:pPr>
        <w:pStyle w:val="BodyText"/>
        <w:spacing w:before="8"/>
        <w:rPr>
          <w:b/>
          <w:sz w:val="27"/>
        </w:rPr>
      </w:pPr>
    </w:p>
    <w:p>
      <w:pPr>
        <w:pStyle w:val="BodyText"/>
        <w:ind w:left="270" w:right="41"/>
      </w:pPr>
      <w:r>
        <w:rPr/>
        <w:t>[1] Rosekind, Mark R., Gander, Philippa H., Gregory, Kevin B.,et al; Behavioral Medicine Vol 21; Managing Fatigue in Operational Settings 1: Physiological considerations and Countermeasures;1996</w:t>
      </w:r>
    </w:p>
    <w:p>
      <w:pPr>
        <w:pStyle w:val="BodyText"/>
        <w:spacing w:before="74"/>
        <w:ind w:left="270" w:right="738"/>
      </w:pPr>
      <w:r>
        <w:rPr/>
        <w:br w:type="column"/>
      </w:r>
      <w:r>
        <w:rPr/>
        <w:t>[2]Paley, M.J., Price, J.M., Tepas, D.I.;Interational Journal of Industrial Ergonomics Vol 21, Issue 3-4, The impact of a change in rotating shift schedules: A comparison of the effects of 8, 10 and 14 hours work Shifts;pp 293-305, 1998.</w:t>
      </w:r>
    </w:p>
    <w:p>
      <w:pPr>
        <w:pStyle w:val="BodyText"/>
        <w:spacing w:before="119"/>
        <w:ind w:left="270" w:right="687"/>
      </w:pPr>
      <w:r>
        <w:rPr/>
        <w:t>[3]Jepessen, Hans J., Participatory Approaches to strategy and research in shift work intervention: Theroretical Issues in Ergonomy, SCI, July-December 2003; Vol 4 No. 3-4 pag. 290; 2003.</w:t>
      </w:r>
    </w:p>
    <w:p>
      <w:pPr>
        <w:pStyle w:val="BodyText"/>
        <w:spacing w:before="120"/>
        <w:ind w:left="270" w:right="899"/>
      </w:pPr>
      <w:r>
        <w:rPr/>
        <w:t>[4]Office of Technology Assessment; Biological Rhytms: Implications for the worker; 1991.</w:t>
      </w:r>
    </w:p>
    <w:p>
      <w:pPr>
        <w:pStyle w:val="BodyText"/>
        <w:spacing w:before="119"/>
        <w:ind w:left="270" w:right="688"/>
      </w:pPr>
      <w:r>
        <w:rPr/>
        <w:t>[5]Dawson, Dew, Fletcher, Adam; Ergonomics, Vol 44 No. 2; A quantitative model of work-related fatigue: background and definition:pp 144-163;2001.</w:t>
      </w:r>
    </w:p>
    <w:p>
      <w:pPr>
        <w:pStyle w:val="BodyText"/>
        <w:spacing w:before="120"/>
        <w:ind w:left="270" w:right="710"/>
      </w:pPr>
      <w:r>
        <w:rPr/>
        <w:t>[6]Maiwald, C. et al; Worforce, Vol 76 issue 7, Workin’8p.m. to 8 a.m and lovin’ every minute of it!:pp 30- 36; 1997.</w:t>
      </w:r>
    </w:p>
    <w:p>
      <w:pPr>
        <w:pStyle w:val="BodyText"/>
        <w:spacing w:before="120"/>
        <w:ind w:left="270" w:right="721"/>
      </w:pPr>
      <w:r>
        <w:rPr/>
        <w:t>[7]Paley, M.J., Price, J.M., Tepas, D.I, International Journal of industrial ergonomics Vol 21, Issue 3-4, The impact of a change in rotating shift schedules: A comparison of the effects of 8, 10 and 14 hours work shifts; pp 293-305; 1998.</w:t>
      </w:r>
    </w:p>
    <w:p>
      <w:pPr>
        <w:pStyle w:val="BodyText"/>
        <w:spacing w:before="120"/>
        <w:ind w:left="270" w:right="904"/>
      </w:pPr>
      <w:r>
        <w:rPr/>
        <w:t>[8]Monk T, Hours of work, Chistester, Willey &amp; Sons, pp 227-237, 1985.</w:t>
      </w:r>
    </w:p>
    <w:p>
      <w:pPr>
        <w:pStyle w:val="BodyText"/>
        <w:spacing w:before="120"/>
        <w:ind w:left="270" w:right="838"/>
      </w:pPr>
      <w:r>
        <w:rPr/>
        <w:t>[9]Yoshitake, H. Tree Characteristic Patterns of subjective Fatigue Symptomps; Ergonomics Vol 21 No. 3, pp. 231-</w:t>
      </w:r>
    </w:p>
    <w:p>
      <w:pPr>
        <w:pStyle w:val="BodyText"/>
        <w:spacing w:line="229" w:lineRule="exact"/>
        <w:ind w:left="270" w:right="702"/>
      </w:pPr>
      <w:r>
        <w:rPr/>
        <w:t>233; 1978.</w:t>
      </w:r>
    </w:p>
    <w:p>
      <w:pPr>
        <w:pStyle w:val="BodyText"/>
        <w:spacing w:before="120"/>
        <w:ind w:left="270" w:right="709"/>
      </w:pPr>
      <w:r>
        <w:rPr/>
        <w:t>[10]1Luke, B. Avni, M. Min L and Misiunas, R. ; Work and pregnancy: The role of fatigue and the second shift on antenatal morbidity; American Journal of Obstetrics &amp; Ginecology, Vol 18 (5 part 1), pp 1172-1179; 1969.</w:t>
      </w:r>
    </w:p>
    <w:p>
      <w:pPr>
        <w:pStyle w:val="BodyText"/>
        <w:spacing w:before="120"/>
        <w:ind w:left="270" w:right="871"/>
      </w:pPr>
      <w:r>
        <w:rPr/>
        <w:t>[11]Corlett, E.N., Bishop R.P., A technique for measuring postural discomfort,Ergonomics Vol 9; pp 175-182, 1976</w:t>
      </w:r>
    </w:p>
    <w:p>
      <w:pPr>
        <w:pStyle w:val="BodyText"/>
        <w:spacing w:before="120"/>
        <w:ind w:left="270" w:right="849"/>
      </w:pPr>
      <w:r>
        <w:rPr>
          <w:color w:val="000026"/>
        </w:rPr>
        <w:t>[12] Montgomery, Douglas; Diseño y Análisis de experimentos; 3ra. Edición, Grupo Editorial Iberoamerica, S.A., 1991.</w:t>
      </w:r>
    </w:p>
    <w:p>
      <w:pPr>
        <w:pStyle w:val="BodyText"/>
        <w:spacing w:before="120"/>
        <w:ind w:left="270" w:right="754"/>
        <w:jc w:val="both"/>
      </w:pPr>
      <w:r>
        <w:rPr>
          <w:color w:val="000026"/>
        </w:rPr>
        <w:t>[13]Akerdstedt, T. Torsval L., Gillberg, M.;Chronobiology Intern: Sleepiness in shift work A review with emphasis on continuous monitoring of EEG and EOG, pp 129-140,1987.</w:t>
      </w:r>
    </w:p>
    <w:p>
      <w:pPr>
        <w:pStyle w:val="BodyText"/>
        <w:spacing w:before="120"/>
        <w:ind w:left="270" w:right="1115"/>
      </w:pPr>
      <w:r>
        <w:rPr>
          <w:color w:val="000026"/>
        </w:rPr>
        <w:t>[14]Rosekind, Mark R., Gander, Philippa H., Gregory, Kevin B. et al; Behavioral Medicine Vo. 21; Managing Fatigue in Operational Settings 1: Physiological considerations and Countermeasures; 1996.</w:t>
      </w:r>
    </w:p>
    <w:p>
      <w:pPr>
        <w:pStyle w:val="BodyText"/>
        <w:spacing w:before="119"/>
        <w:ind w:left="270" w:right="960"/>
      </w:pPr>
      <w:r>
        <w:rPr>
          <w:color w:val="000026"/>
        </w:rPr>
        <w:t>[15]Torbjorn, Akerstedt, Landstrom, Ulf; Industrial Ergonomics Vol. 2, Workplace countermeasures of night shift fatigue;pp 167-178; 1996.</w:t>
      </w:r>
    </w:p>
    <w:p>
      <w:pPr>
        <w:pStyle w:val="BodyText"/>
        <w:spacing w:before="119"/>
        <w:ind w:left="270" w:right="976"/>
      </w:pPr>
      <w:r>
        <w:rPr>
          <w:color w:val="000026"/>
        </w:rPr>
        <w:t>[16]Prokop, O, Prokop L; Ermunding und Eischlafen am Steur, Verkehrsmed1; pp 19-30;1955.</w:t>
      </w:r>
    </w:p>
    <w:p>
      <w:pPr>
        <w:pStyle w:val="BodyText"/>
      </w:pPr>
    </w:p>
    <w:p>
      <w:pPr>
        <w:pStyle w:val="BodyText"/>
      </w:pPr>
    </w:p>
    <w:p>
      <w:pPr>
        <w:spacing w:before="119"/>
        <w:ind w:left="270" w:right="676" w:firstLine="0"/>
        <w:jc w:val="both"/>
        <w:rPr>
          <w:sz w:val="16"/>
        </w:rPr>
      </w:pPr>
      <w:r>
        <w:rPr>
          <w:b/>
          <w:sz w:val="16"/>
        </w:rPr>
        <w:t>Patricia Eugenia Sortillón González: </w:t>
      </w:r>
      <w:r>
        <w:rPr>
          <w:sz w:val="16"/>
        </w:rPr>
        <w:t>She is a Mechanical industrial engineer with a Master degree in Science of Industrial Engineering by the Instituto Tecnológico de Hermosillo. She has been a lecturer for more  than</w:t>
      </w:r>
    </w:p>
    <w:p>
      <w:pPr>
        <w:spacing w:after="0"/>
        <w:jc w:val="both"/>
        <w:rPr>
          <w:sz w:val="16"/>
        </w:rPr>
        <w:sectPr>
          <w:type w:val="continuous"/>
          <w:pgSz w:w="12240" w:h="15840"/>
          <w:pgMar w:top="1500" w:bottom="280" w:left="580" w:right="220"/>
          <w:cols w:num="2" w:equalWidth="0">
            <w:col w:w="5192" w:space="432"/>
            <w:col w:w="5816"/>
          </w:cols>
        </w:sectPr>
      </w:pPr>
    </w:p>
    <w:p>
      <w:pPr>
        <w:pStyle w:val="BodyText"/>
        <w:spacing w:before="10"/>
        <w:rPr>
          <w:sz w:val="10"/>
        </w:rPr>
      </w:pPr>
    </w:p>
    <w:p>
      <w:pPr>
        <w:spacing w:before="79"/>
        <w:ind w:left="270" w:right="6249" w:firstLine="0"/>
        <w:jc w:val="both"/>
        <w:rPr>
          <w:sz w:val="16"/>
        </w:rPr>
      </w:pPr>
      <w:r>
        <w:rPr>
          <w:sz w:val="16"/>
        </w:rPr>
        <w:t>eight years at the Universidad de Sonora, teaching courses of mainly Statistics, Manufacturing process, Industrial planning, quality auditing and similar areas. She has a professional experience of nineteen years in manufacturing and quality areas at industrial sector of electronic and electric components  for aerospace, military and telecommunications uses.</w:t>
      </w:r>
    </w:p>
    <w:p>
      <w:pPr>
        <w:pStyle w:val="BodyText"/>
        <w:rPr>
          <w:sz w:val="16"/>
        </w:rPr>
      </w:pPr>
    </w:p>
    <w:p>
      <w:pPr>
        <w:spacing w:before="0"/>
        <w:ind w:left="270" w:right="6249" w:firstLine="0"/>
        <w:jc w:val="both"/>
        <w:rPr>
          <w:sz w:val="16"/>
        </w:rPr>
      </w:pPr>
      <w:r>
        <w:rPr>
          <w:b/>
          <w:sz w:val="16"/>
        </w:rPr>
        <w:t>Enrique Javier de la Vega Bustillos: </w:t>
      </w:r>
      <w:r>
        <w:rPr>
          <w:sz w:val="16"/>
        </w:rPr>
        <w:t>He is a lecturer at Instituto tecnológico de Hermosillo, president of the National College of Ergonomics in México. He si a Certified professional in Ergonomics, he has been president of SEMAC and he is a director of services of Engineering and Applied Ergonomics, S.C. in Hermosillo, México. He has a doctorate degree in Engineering Sciences.</w:t>
      </w:r>
    </w:p>
    <w:p>
      <w:pPr>
        <w:spacing w:after="0"/>
        <w:jc w:val="both"/>
        <w:rPr>
          <w:sz w:val="16"/>
        </w:rPr>
        <w:sectPr>
          <w:pgSz w:w="12240" w:h="15840"/>
          <w:pgMar w:header="545" w:footer="852" w:top="1060" w:bottom="1040" w:left="580" w:right="220"/>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6"/>
        <w:rPr>
          <w:sz w:val="26"/>
        </w:rPr>
      </w:pPr>
    </w:p>
    <w:p>
      <w:pPr>
        <w:pStyle w:val="Heading1"/>
        <w:ind w:right="20"/>
        <w:rPr>
          <w:rFonts w:ascii="Arial"/>
        </w:rPr>
      </w:pPr>
      <w:r>
        <w:rPr>
          <w:rFonts w:ascii="Arial"/>
        </w:rPr>
        <w:t>Barbers of Los Mochis Sinaloa. Study on labor fatigue.</w:t>
      </w:r>
    </w:p>
    <w:p>
      <w:pPr>
        <w:pStyle w:val="BodyText"/>
        <w:spacing w:before="6"/>
        <w:rPr>
          <w:rFonts w:ascii="Arial"/>
          <w:b/>
          <w:sz w:val="19"/>
        </w:rPr>
      </w:pPr>
    </w:p>
    <w:p>
      <w:pPr>
        <w:spacing w:line="213" w:lineRule="auto" w:before="0"/>
        <w:ind w:left="270" w:right="20" w:firstLine="0"/>
        <w:jc w:val="both"/>
        <w:rPr>
          <w:i/>
          <w:sz w:val="20"/>
        </w:rPr>
      </w:pPr>
      <w:r>
        <w:rPr>
          <w:i/>
          <w:sz w:val="20"/>
        </w:rPr>
        <w:t>Alberto Ramírez Leyva </w:t>
      </w:r>
      <w:r>
        <w:rPr>
          <w:i/>
          <w:position w:val="9"/>
          <w:sz w:val="13"/>
        </w:rPr>
        <w:t>a</w:t>
      </w:r>
      <w:r>
        <w:rPr>
          <w:i/>
          <w:sz w:val="20"/>
        </w:rPr>
        <w:t>, Jorge Alan Hinogiante Castillo </w:t>
      </w:r>
      <w:r>
        <w:rPr>
          <w:i/>
          <w:position w:val="9"/>
          <w:sz w:val="13"/>
        </w:rPr>
        <w:t>b</w:t>
      </w:r>
      <w:r>
        <w:rPr>
          <w:i/>
          <w:sz w:val="20"/>
        </w:rPr>
        <w:t>, </w:t>
      </w:r>
      <w:r>
        <w:rPr>
          <w:i/>
          <w:sz w:val="20"/>
        </w:rPr>
        <w:t>Elizabeth Guadalupe Robles Rojo </w:t>
      </w:r>
      <w:r>
        <w:rPr>
          <w:i/>
          <w:position w:val="9"/>
          <w:sz w:val="13"/>
        </w:rPr>
        <w:t>c </w:t>
      </w:r>
      <w:r>
        <w:rPr>
          <w:i/>
          <w:sz w:val="20"/>
        </w:rPr>
        <w:t>Michell Aleyda Parra Rivera </w:t>
      </w:r>
      <w:r>
        <w:rPr>
          <w:i/>
          <w:position w:val="9"/>
          <w:sz w:val="13"/>
        </w:rPr>
        <w:t>d</w:t>
      </w:r>
      <w:r>
        <w:rPr>
          <w:i/>
          <w:sz w:val="20"/>
        </w:rPr>
        <w:t>, Silvia Luna Umezawa </w:t>
      </w:r>
      <w:r>
        <w:rPr>
          <w:i/>
          <w:position w:val="9"/>
          <w:sz w:val="13"/>
        </w:rPr>
        <w:t>e</w:t>
      </w:r>
      <w:r>
        <w:rPr>
          <w:i/>
          <w:sz w:val="20"/>
        </w:rPr>
        <w:t>.</w:t>
      </w:r>
    </w:p>
    <w:p>
      <w:pPr>
        <w:pStyle w:val="BodyText"/>
        <w:spacing w:before="2"/>
        <w:rPr>
          <w:i/>
          <w:sz w:val="19"/>
        </w:rPr>
      </w:pPr>
    </w:p>
    <w:p>
      <w:pPr>
        <w:spacing w:before="0"/>
        <w:ind w:left="270" w:right="2" w:firstLine="0"/>
        <w:jc w:val="both"/>
        <w:rPr>
          <w:sz w:val="16"/>
        </w:rPr>
      </w:pPr>
      <w:r>
        <w:rPr>
          <w:position w:val="7"/>
          <w:sz w:val="10"/>
        </w:rPr>
        <w:t>a </w:t>
      </w:r>
      <w:r>
        <w:rPr>
          <w:sz w:val="16"/>
        </w:rPr>
        <w:t>Instituto Tecnológico de Los Mochis, Juan de Dios Batiz y 20 de  noviembre s/n código postal 81259, alberto_ramirez_leyva@yahoo,com,  Los Mochis, Sinaloa,</w:t>
      </w:r>
      <w:r>
        <w:rPr>
          <w:spacing w:val="-19"/>
          <w:sz w:val="16"/>
        </w:rPr>
        <w:t> </w:t>
      </w:r>
      <w:r>
        <w:rPr>
          <w:sz w:val="16"/>
        </w:rPr>
        <w:t>México.</w:t>
      </w:r>
    </w:p>
    <w:p>
      <w:pPr>
        <w:spacing w:line="184" w:lineRule="exact" w:before="0"/>
        <w:ind w:left="270" w:right="0" w:firstLine="0"/>
        <w:jc w:val="both"/>
        <w:rPr>
          <w:sz w:val="16"/>
        </w:rPr>
      </w:pPr>
      <w:r>
        <w:rPr>
          <w:position w:val="7"/>
          <w:sz w:val="10"/>
        </w:rPr>
        <w:t>b </w:t>
      </w:r>
      <w:r>
        <w:rPr>
          <w:sz w:val="16"/>
        </w:rPr>
        <w:t>Estudiante del Instituto Tecnológico de Los Mochis, Juan de Dios Batiz    y</w:t>
      </w:r>
    </w:p>
    <w:p>
      <w:pPr>
        <w:spacing w:before="1"/>
        <w:ind w:left="270" w:right="1" w:firstLine="0"/>
        <w:jc w:val="both"/>
        <w:rPr>
          <w:sz w:val="16"/>
        </w:rPr>
      </w:pPr>
      <w:r>
        <w:rPr>
          <w:sz w:val="16"/>
        </w:rPr>
        <w:t>20 de noviembre s/n código postal 81259, alanh0504@hotmail, Los Mochis, Sinaloa, México.</w:t>
      </w:r>
    </w:p>
    <w:p>
      <w:pPr>
        <w:spacing w:line="184" w:lineRule="exact" w:before="0"/>
        <w:ind w:left="270" w:right="0" w:firstLine="0"/>
        <w:jc w:val="both"/>
        <w:rPr>
          <w:sz w:val="16"/>
        </w:rPr>
      </w:pPr>
      <w:r>
        <w:rPr>
          <w:position w:val="7"/>
          <w:sz w:val="10"/>
        </w:rPr>
        <w:t>c </w:t>
      </w:r>
      <w:r>
        <w:rPr>
          <w:sz w:val="16"/>
        </w:rPr>
        <w:t>Estudiante del Instituto Tecnológico    de Los Mochis, Juan de Dios Batiz y</w:t>
      </w:r>
    </w:p>
    <w:p>
      <w:pPr>
        <w:spacing w:before="1"/>
        <w:ind w:left="270" w:right="1" w:firstLine="0"/>
        <w:jc w:val="both"/>
        <w:rPr>
          <w:sz w:val="16"/>
        </w:rPr>
      </w:pPr>
      <w:r>
        <w:rPr>
          <w:sz w:val="16"/>
        </w:rPr>
        <w:t>20 de noviembre s/n código postal 81259, </w:t>
      </w:r>
      <w:hyperlink r:id="rId468">
        <w:r>
          <w:rPr>
            <w:sz w:val="16"/>
          </w:rPr>
          <w:t>elizabethroblesr@live.com,</w:t>
        </w:r>
      </w:hyperlink>
      <w:r>
        <w:rPr>
          <w:sz w:val="16"/>
        </w:rPr>
        <w:t> Los Mochis, Sinaloa, México.</w:t>
      </w:r>
    </w:p>
    <w:p>
      <w:pPr>
        <w:spacing w:line="184" w:lineRule="exact" w:before="0"/>
        <w:ind w:left="270" w:right="0" w:firstLine="0"/>
        <w:jc w:val="both"/>
        <w:rPr>
          <w:sz w:val="16"/>
        </w:rPr>
      </w:pPr>
      <w:r>
        <w:rPr>
          <w:position w:val="7"/>
          <w:sz w:val="10"/>
        </w:rPr>
        <w:t>d </w:t>
      </w:r>
      <w:r>
        <w:rPr>
          <w:sz w:val="16"/>
        </w:rPr>
        <w:t>Estudiante del Instituto Tecnológico de Los Mochis, Juan de Dios Batiz    y</w:t>
      </w:r>
    </w:p>
    <w:p>
      <w:pPr>
        <w:spacing w:before="1"/>
        <w:ind w:left="270" w:right="1" w:firstLine="0"/>
        <w:jc w:val="both"/>
        <w:rPr>
          <w:sz w:val="16"/>
        </w:rPr>
      </w:pPr>
      <w:r>
        <w:rPr>
          <w:sz w:val="16"/>
        </w:rPr>
        <w:t>20 de noviembre s/n código postal 81259, </w:t>
      </w:r>
      <w:hyperlink r:id="rId546">
        <w:r>
          <w:rPr>
            <w:sz w:val="16"/>
          </w:rPr>
          <w:t>maleydapr@gmail.com,</w:t>
        </w:r>
      </w:hyperlink>
      <w:r>
        <w:rPr>
          <w:sz w:val="16"/>
        </w:rPr>
        <w:t> Los Mochis, Sinaloa, México.</w:t>
      </w:r>
    </w:p>
    <w:p>
      <w:pPr>
        <w:spacing w:line="184" w:lineRule="exact" w:before="0"/>
        <w:ind w:left="270" w:right="0" w:firstLine="0"/>
        <w:jc w:val="both"/>
        <w:rPr>
          <w:sz w:val="16"/>
        </w:rPr>
      </w:pPr>
      <w:r>
        <w:rPr>
          <w:position w:val="7"/>
          <w:sz w:val="10"/>
        </w:rPr>
        <w:t>e    </w:t>
      </w:r>
      <w:r>
        <w:rPr>
          <w:sz w:val="16"/>
        </w:rPr>
        <w:t>Estudiante  de  Ingeniería  Industrial  del  Instituto  Tecnológico  de     Los</w:t>
      </w:r>
    </w:p>
    <w:p>
      <w:pPr>
        <w:spacing w:before="1"/>
        <w:ind w:left="270" w:right="0" w:firstLine="0"/>
        <w:jc w:val="both"/>
        <w:rPr>
          <w:sz w:val="16"/>
        </w:rPr>
      </w:pPr>
      <w:r>
        <w:rPr>
          <w:sz w:val="16"/>
        </w:rPr>
        <w:t>Mochis, Juan de Dios Batiz y 20 de noviembre s/n código postal 81259, </w:t>
      </w:r>
      <w:hyperlink r:id="rId547">
        <w:r>
          <w:rPr>
            <w:sz w:val="16"/>
          </w:rPr>
          <w:t>umezawasilvia@gmail.com,</w:t>
        </w:r>
      </w:hyperlink>
      <w:r>
        <w:rPr>
          <w:sz w:val="16"/>
        </w:rPr>
        <w:t> Los Mochis, Sinaloa, México.</w:t>
      </w:r>
    </w:p>
    <w:p>
      <w:pPr>
        <w:pStyle w:val="BodyText"/>
        <w:rPr>
          <w:sz w:val="16"/>
        </w:rPr>
      </w:pPr>
    </w:p>
    <w:p>
      <w:pPr>
        <w:pStyle w:val="BodyText"/>
        <w:spacing w:before="4"/>
      </w:pPr>
    </w:p>
    <w:p>
      <w:pPr>
        <w:pStyle w:val="Heading4"/>
      </w:pPr>
      <w:r>
        <w:rPr/>
        <w:pict>
          <v:line style="position:absolute;mso-position-horizontal-relative:page;mso-position-vertical-relative:paragraph;z-index:13984" from="41.040001pt,13.26593pt" to="289.860001pt,13.26593pt" stroked="true" strokeweight="1.5pt" strokecolor="#000000">
            <w10:wrap type="none"/>
          </v:line>
        </w:pict>
      </w:r>
      <w:r>
        <w:rPr/>
        <w:t>Resumen</w:t>
      </w:r>
    </w:p>
    <w:p>
      <w:pPr>
        <w:pStyle w:val="BodyText"/>
        <w:spacing w:before="47"/>
        <w:ind w:left="270" w:right="18"/>
        <w:jc w:val="both"/>
      </w:pPr>
      <w:r>
        <w:rPr/>
        <w:t>El presente trabajo muestra los resultados de una investigación ergonómica realizada a 34 peluqueros de la ciudad de Los Mochis Sinaloa durante el periodo de Julio y Agosto de 2014 con una duración de tres semanas, apoyado en dos métodos de evaluación subjetiva como Yoshitake el cual se divide en tres grupos de preguntas relacionadas con síntomas de somnolencia y monotonía, dificultad de concentración y síntomas corporales o proyección de daño físico. Del mismo modo se utilizó la escala de 4 puntos de Luke, en la cual se catalogan los niveles de fatiga durante un día normal de trabajo de 1 a 4, siendo el 1 el nivel de cansancio nulo y el 4 cansancio extremo. Debido a que no existe ningún antecedente de otra investigación acerca del tema de estudio, buscamos determinar la existencia de fatiga laboral en los peluqueros que accedieron a realizar esta investigación. Los resultados obtenidos en esta investigación fueron analizados estadísticamente, los cuales mostraron que existe suficiente evidencia estadística recabada durante las tres semanas para decir que si se presenta fatiga laboral de tipo física y mental en los barberos de la ciudad de Los Mochis Sinaloa.</w:t>
      </w:r>
    </w:p>
    <w:p>
      <w:pPr>
        <w:spacing w:before="0"/>
        <w:ind w:left="270" w:right="19" w:firstLine="0"/>
        <w:jc w:val="both"/>
        <w:rPr>
          <w:sz w:val="20"/>
        </w:rPr>
      </w:pPr>
      <w:r>
        <w:rPr>
          <w:b/>
          <w:sz w:val="20"/>
        </w:rPr>
        <w:t>Palabras clave</w:t>
      </w:r>
      <w:r>
        <w:rPr>
          <w:sz w:val="20"/>
        </w:rPr>
        <w:t>— barbero, Yoshitake, 4 puntos de Luke, cansancio.</w:t>
      </w:r>
    </w:p>
    <w:p>
      <w:pPr>
        <w:pStyle w:val="BodyText"/>
        <w:spacing w:before="3"/>
      </w:pPr>
    </w:p>
    <w:p>
      <w:pPr>
        <w:pStyle w:val="Heading5"/>
        <w:rPr>
          <w:i/>
        </w:rPr>
      </w:pPr>
      <w:r>
        <w:rPr/>
        <w:pict>
          <v:line style="position:absolute;mso-position-horizontal-relative:page;mso-position-vertical-relative:paragraph;z-index:14008" from="41.040001pt,13.266804pt" to="289.860001pt,13.266804pt" stroked="true" strokeweight="1.5pt" strokecolor="#000000">
            <w10:wrap type="none"/>
          </v:line>
        </w:pict>
      </w:r>
      <w:r>
        <w:rPr>
          <w:i/>
        </w:rPr>
        <w:t>Abstract</w:t>
      </w:r>
    </w:p>
    <w:p>
      <w:pPr>
        <w:spacing w:before="47"/>
        <w:ind w:left="270" w:right="19" w:firstLine="0"/>
        <w:jc w:val="both"/>
        <w:rPr>
          <w:i/>
          <w:sz w:val="20"/>
        </w:rPr>
      </w:pPr>
      <w:r>
        <w:rPr>
          <w:i/>
          <w:sz w:val="20"/>
        </w:rPr>
        <w:t>This paper presents the results of an ergonomic research </w:t>
      </w:r>
      <w:r>
        <w:rPr>
          <w:i/>
          <w:sz w:val="20"/>
        </w:rPr>
        <w:t>conducted at 34 hairdressers Los Mochis Sinaloa during the July and August 2014 with a duration of three weeks, based on two subjective assessment methods as Yoshitake which is divided in three groups of questions related to symptoms of drowsiness and monotony, difficulty concentrating, and physical symptoms or projection of physical damage. Similarly the 4-point scale of Luke, in which fatigue levels are</w:t>
      </w:r>
      <w:r>
        <w:rPr>
          <w:i/>
          <w:spacing w:val="23"/>
          <w:sz w:val="20"/>
        </w:rPr>
        <w:t> </w:t>
      </w:r>
      <w:r>
        <w:rPr>
          <w:i/>
          <w:sz w:val="20"/>
        </w:rPr>
        <w:t>cataloged</w:t>
      </w:r>
      <w:r>
        <w:rPr>
          <w:i/>
          <w:spacing w:val="22"/>
          <w:sz w:val="20"/>
        </w:rPr>
        <w:t> </w:t>
      </w:r>
      <w:r>
        <w:rPr>
          <w:i/>
          <w:sz w:val="20"/>
        </w:rPr>
        <w:t>during</w:t>
      </w:r>
      <w:r>
        <w:rPr>
          <w:i/>
          <w:spacing w:val="23"/>
          <w:sz w:val="20"/>
        </w:rPr>
        <w:t> </w:t>
      </w:r>
      <w:r>
        <w:rPr>
          <w:i/>
          <w:sz w:val="20"/>
        </w:rPr>
        <w:t>a</w:t>
      </w:r>
      <w:r>
        <w:rPr>
          <w:i/>
          <w:spacing w:val="22"/>
          <w:sz w:val="20"/>
        </w:rPr>
        <w:t> </w:t>
      </w:r>
      <w:r>
        <w:rPr>
          <w:i/>
          <w:sz w:val="20"/>
        </w:rPr>
        <w:t>normal</w:t>
      </w:r>
      <w:r>
        <w:rPr>
          <w:i/>
          <w:spacing w:val="23"/>
          <w:sz w:val="20"/>
        </w:rPr>
        <w:t> </w:t>
      </w:r>
      <w:r>
        <w:rPr>
          <w:i/>
          <w:sz w:val="20"/>
        </w:rPr>
        <w:t>work</w:t>
      </w:r>
      <w:r>
        <w:rPr>
          <w:i/>
          <w:spacing w:val="22"/>
          <w:sz w:val="20"/>
        </w:rPr>
        <w:t> </w:t>
      </w:r>
      <w:r>
        <w:rPr>
          <w:i/>
          <w:sz w:val="20"/>
        </w:rPr>
        <w:t>day</w:t>
      </w:r>
      <w:r>
        <w:rPr>
          <w:i/>
          <w:spacing w:val="23"/>
          <w:sz w:val="20"/>
        </w:rPr>
        <w:t> </w:t>
      </w:r>
      <w:r>
        <w:rPr>
          <w:i/>
          <w:sz w:val="20"/>
        </w:rPr>
        <w:t>1-4,</w:t>
      </w:r>
      <w:r>
        <w:rPr>
          <w:i/>
          <w:spacing w:val="23"/>
          <w:sz w:val="20"/>
        </w:rPr>
        <w:t> </w:t>
      </w:r>
      <w:r>
        <w:rPr>
          <w:i/>
          <w:sz w:val="20"/>
        </w:rPr>
        <w:t>with</w:t>
      </w:r>
      <w:r>
        <w:rPr>
          <w:i/>
          <w:spacing w:val="24"/>
          <w:sz w:val="20"/>
        </w:rPr>
        <w:t> </w:t>
      </w:r>
      <w:r>
        <w:rPr>
          <w:i/>
          <w:sz w:val="20"/>
        </w:rPr>
        <w:t>1</w:t>
      </w:r>
      <w:r>
        <w:rPr>
          <w:i/>
          <w:spacing w:val="22"/>
          <w:sz w:val="20"/>
        </w:rPr>
        <w:t> </w:t>
      </w:r>
      <w:r>
        <w:rPr>
          <w:i/>
          <w:sz w:val="20"/>
        </w:rPr>
        <w:t>being</w:t>
      </w:r>
    </w:p>
    <w:p>
      <w:pPr>
        <w:spacing w:before="74"/>
        <w:ind w:left="270" w:right="675" w:firstLine="0"/>
        <w:jc w:val="both"/>
        <w:rPr>
          <w:i/>
          <w:sz w:val="20"/>
        </w:rPr>
      </w:pPr>
      <w:r>
        <w:rPr/>
        <w:br w:type="column"/>
      </w:r>
      <w:r>
        <w:rPr>
          <w:i/>
          <w:sz w:val="20"/>
        </w:rPr>
        <w:t>the zero level of fatigue and exhaustion 4 was used. Because </w:t>
      </w:r>
      <w:r>
        <w:rPr>
          <w:i/>
          <w:sz w:val="20"/>
        </w:rPr>
        <w:t>there is no precedent for other research on the subject of study, we sought to determine the existence of fatigue  among hairdressers who agreed to conduct this research. The results obtained in this study were statistically  analyzed, which showed that there is enough statistical evidence collected during the three weeks that if  employment physical and mental fatigue type occurs in the barbers of the city of Los Mochis</w:t>
      </w:r>
      <w:r>
        <w:rPr>
          <w:i/>
          <w:spacing w:val="-15"/>
          <w:sz w:val="20"/>
        </w:rPr>
        <w:t> </w:t>
      </w:r>
      <w:r>
        <w:rPr>
          <w:i/>
          <w:sz w:val="20"/>
        </w:rPr>
        <w:t>Sinaloa.</w:t>
      </w:r>
    </w:p>
    <w:p>
      <w:pPr>
        <w:pStyle w:val="BodyText"/>
        <w:spacing w:before="11"/>
        <w:rPr>
          <w:i/>
          <w:sz w:val="19"/>
        </w:rPr>
      </w:pPr>
    </w:p>
    <w:p>
      <w:pPr>
        <w:spacing w:before="0"/>
        <w:ind w:left="270" w:right="0" w:firstLine="0"/>
        <w:jc w:val="both"/>
        <w:rPr>
          <w:i/>
          <w:sz w:val="20"/>
        </w:rPr>
      </w:pPr>
      <w:r>
        <w:rPr>
          <w:b/>
          <w:i/>
          <w:sz w:val="20"/>
        </w:rPr>
        <w:t>Keywords</w:t>
      </w:r>
      <w:r>
        <w:rPr>
          <w:i/>
          <w:sz w:val="20"/>
        </w:rPr>
        <w:t>— barber, Yoshitake, 4 points Luke, tiredness.</w:t>
      </w:r>
    </w:p>
    <w:p>
      <w:pPr>
        <w:pStyle w:val="BodyText"/>
        <w:spacing w:before="11"/>
        <w:rPr>
          <w:i/>
          <w:sz w:val="19"/>
        </w:rPr>
      </w:pPr>
    </w:p>
    <w:p>
      <w:pPr>
        <w:pStyle w:val="BodyText"/>
        <w:ind w:left="270" w:right="676"/>
        <w:jc w:val="both"/>
      </w:pPr>
      <w:r>
        <w:rPr/>
        <w:t>Relevance to Ergonomics: The present research aims to generate databases for the design of tools and solutions for this part of the economically active population. This  research serves as precedent in the country for further research in the same field for</w:t>
      </w:r>
      <w:r>
        <w:rPr>
          <w:spacing w:val="-4"/>
        </w:rPr>
        <w:t> </w:t>
      </w:r>
      <w:r>
        <w:rPr/>
        <w:t>barbers.</w:t>
      </w:r>
    </w:p>
    <w:p>
      <w:pPr>
        <w:pStyle w:val="BodyText"/>
        <w:spacing w:before="2"/>
      </w:pPr>
    </w:p>
    <w:p>
      <w:pPr>
        <w:pStyle w:val="Heading4"/>
        <w:numPr>
          <w:ilvl w:val="0"/>
          <w:numId w:val="119"/>
        </w:numPr>
        <w:tabs>
          <w:tab w:pos="473" w:val="left" w:leader="none"/>
        </w:tabs>
        <w:spacing w:line="240" w:lineRule="auto" w:before="0" w:after="0"/>
        <w:ind w:left="472" w:right="0" w:hanging="202"/>
        <w:jc w:val="both"/>
      </w:pPr>
      <w:r>
        <w:rPr/>
        <w:t>Introduction</w:t>
      </w:r>
    </w:p>
    <w:p>
      <w:pPr>
        <w:pStyle w:val="BodyText"/>
        <w:spacing w:before="9"/>
        <w:rPr>
          <w:b/>
          <w:sz w:val="19"/>
        </w:rPr>
      </w:pPr>
    </w:p>
    <w:p>
      <w:pPr>
        <w:pStyle w:val="BodyText"/>
        <w:spacing w:before="1"/>
        <w:ind w:left="270" w:right="675" w:firstLine="432"/>
        <w:jc w:val="both"/>
      </w:pPr>
      <w:r>
        <w:rPr/>
        <w:t>The youth educational Larousse dictionary defines the hairdresser as a "Person whose job is to comb or cut hair".</w:t>
      </w:r>
    </w:p>
    <w:p>
      <w:pPr>
        <w:pStyle w:val="BodyText"/>
        <w:ind w:left="270" w:right="676" w:firstLine="432"/>
        <w:jc w:val="both"/>
      </w:pPr>
      <w:r>
        <w:rPr/>
        <w:t>In this study, the main interest is to know whether or not physical fatigue occurs in workers at Los Mochis  Sinaloa barbershops. This research is supported by different assessment methods of work, such as the subjective questionnaire of physical fatigue, YOSHITAKE (1978), and the scale of the 4 points of</w:t>
      </w:r>
      <w:r>
        <w:rPr>
          <w:spacing w:val="-21"/>
        </w:rPr>
        <w:t> </w:t>
      </w:r>
      <w:r>
        <w:rPr/>
        <w:t>LUKE.</w:t>
      </w:r>
    </w:p>
    <w:p>
      <w:pPr>
        <w:pStyle w:val="BodyText"/>
        <w:ind w:left="270" w:right="677" w:firstLine="432"/>
        <w:jc w:val="both"/>
      </w:pPr>
      <w:r>
        <w:rPr/>
        <w:t>"In this city, as well as in other parts of Mexico, thousands of men and women work long shifts to support their family, resulting in physical and mental problems and various discomforts that affect their performance at work. Both men and women who work in these places may experience fatigue due to overwork or lack of rest that prevents regain strength. However, labor fatigue can also be caused by the adoption of poor posture while working, to perform routine tasks that require effort and similar movements continued by excessive mental effort. The labor fatigue can cause various physical ailments and can even affect mental health, causing depression, loss of appetite, headaches and decreased attention span, among others." A. Leyva, Estrada B., L. Ramirez. 2009.</w:t>
      </w:r>
    </w:p>
    <w:p>
      <w:pPr>
        <w:pStyle w:val="BodyText"/>
        <w:spacing w:before="3"/>
      </w:pPr>
    </w:p>
    <w:p>
      <w:pPr>
        <w:pStyle w:val="Heading4"/>
        <w:numPr>
          <w:ilvl w:val="0"/>
          <w:numId w:val="119"/>
        </w:numPr>
        <w:tabs>
          <w:tab w:pos="472" w:val="left" w:leader="none"/>
        </w:tabs>
        <w:spacing w:line="240" w:lineRule="auto" w:before="0" w:after="0"/>
        <w:ind w:left="471" w:right="0" w:hanging="201"/>
        <w:jc w:val="both"/>
      </w:pPr>
      <w:r>
        <w:rPr/>
        <w:t>Methodology.</w:t>
      </w:r>
    </w:p>
    <w:p>
      <w:pPr>
        <w:pStyle w:val="BodyText"/>
        <w:spacing w:before="8"/>
        <w:rPr>
          <w:b/>
          <w:sz w:val="19"/>
        </w:rPr>
      </w:pPr>
    </w:p>
    <w:p>
      <w:pPr>
        <w:pStyle w:val="BodyText"/>
        <w:ind w:left="270" w:right="675"/>
        <w:jc w:val="both"/>
      </w:pPr>
      <w:r>
        <w:rPr/>
        <w:t>The results obtained in this study were statistically analyzed. A minimum sample of 34 workers of the different existing popular hair salons in the city of Los Mochis Sinaloa, due to the ease to analyze the data statistically using a normal distribution and taking into account the number of people who agreed to complete the survey daily. In order to carry out the sampling of 34 workers, surveyed techniques such as Yoshitake and 4 points of Luke were chosen as the main tools.</w:t>
      </w:r>
    </w:p>
    <w:p>
      <w:pPr>
        <w:pStyle w:val="BodyText"/>
        <w:spacing w:before="2"/>
      </w:pPr>
    </w:p>
    <w:p>
      <w:pPr>
        <w:pStyle w:val="Heading4"/>
        <w:numPr>
          <w:ilvl w:val="1"/>
          <w:numId w:val="119"/>
        </w:numPr>
        <w:tabs>
          <w:tab w:pos="572" w:val="left" w:leader="none"/>
        </w:tabs>
        <w:spacing w:line="240" w:lineRule="auto" w:before="0" w:after="0"/>
        <w:ind w:left="571" w:right="0" w:hanging="301"/>
        <w:jc w:val="both"/>
      </w:pPr>
      <w:r>
        <w:rPr/>
        <w:t>Fatigue</w:t>
      </w:r>
      <w:r>
        <w:rPr>
          <w:spacing w:val="-7"/>
        </w:rPr>
        <w:t> </w:t>
      </w:r>
      <w:r>
        <w:rPr/>
        <w:t>measurement.</w:t>
      </w:r>
    </w:p>
    <w:p>
      <w:pPr>
        <w:spacing w:after="0" w:line="240" w:lineRule="auto"/>
        <w:jc w:val="both"/>
        <w:sectPr>
          <w:type w:val="continuous"/>
          <w:pgSz w:w="12240" w:h="15840"/>
          <w:pgMar w:top="1500" w:bottom="280" w:left="580" w:right="220"/>
          <w:cols w:num="2" w:equalWidth="0">
            <w:col w:w="5211" w:space="414"/>
            <w:col w:w="5815"/>
          </w:cols>
        </w:sectPr>
      </w:pPr>
    </w:p>
    <w:p>
      <w:pPr>
        <w:pStyle w:val="BodyText"/>
        <w:spacing w:before="4"/>
        <w:rPr>
          <w:b/>
          <w:sz w:val="11"/>
        </w:rPr>
      </w:pPr>
    </w:p>
    <w:p>
      <w:pPr>
        <w:spacing w:after="0"/>
        <w:rPr>
          <w:sz w:val="11"/>
        </w:rPr>
        <w:sectPr>
          <w:footerReference w:type="default" r:id="rId548"/>
          <w:pgSz w:w="12240" w:h="15840"/>
          <w:pgMar w:footer="852" w:header="545" w:top="1060" w:bottom="1040" w:left="580" w:right="220"/>
        </w:sectPr>
      </w:pPr>
    </w:p>
    <w:p>
      <w:pPr>
        <w:pStyle w:val="BodyText"/>
        <w:spacing w:before="74"/>
        <w:ind w:left="270" w:right="1"/>
        <w:jc w:val="both"/>
      </w:pPr>
      <w:r>
        <w:rPr/>
        <w:t>To measure occupational fatigue there are various tools and methods that help us capture qualitatively and quantitatively the level of worker fatigue. For this study, the use of the Yoshitake questionnaire was validated, since it was employed by Ramírez Leyva Leyva and Astorga (2009) in an investigation of determining physical fatigue in workers in popular markets. The questionnaire is divided into 3 groups of questions, the first consisting of 10 related symptoms of drowsiness and monotony, the second part has 10 questions related to the difficulty of concentration and the third part are 10 questions related to physical symptoms or projection of physical damage</w:t>
      </w:r>
      <w:r>
        <w:rPr>
          <w:spacing w:val="-4"/>
        </w:rPr>
        <w:t> </w:t>
      </w:r>
      <w:r>
        <w:rPr/>
        <w:t>.</w:t>
      </w:r>
    </w:p>
    <w:p>
      <w:pPr>
        <w:pStyle w:val="BodyText"/>
        <w:spacing w:before="11"/>
        <w:rPr>
          <w:sz w:val="19"/>
        </w:rPr>
      </w:pPr>
    </w:p>
    <w:p>
      <w:pPr>
        <w:pStyle w:val="BodyText"/>
        <w:ind w:left="270" w:firstLine="567"/>
        <w:jc w:val="both"/>
      </w:pPr>
      <w:r>
        <w:rPr/>
        <w:t>Similarly, a scale was used to determine the level of fatigue. On this scale, called the 4 points of Luke, fatigue levels are entered after a normal workday, where the measurement scale is as follows: "not tired" 1 point, "tired" 2 points, "very tired "3 points, and" extremely tired "4 points.</w:t>
      </w:r>
    </w:p>
    <w:p>
      <w:pPr>
        <w:pStyle w:val="BodyText"/>
        <w:spacing w:before="2"/>
      </w:pPr>
    </w:p>
    <w:p>
      <w:pPr>
        <w:pStyle w:val="Heading4"/>
        <w:numPr>
          <w:ilvl w:val="1"/>
          <w:numId w:val="119"/>
        </w:numPr>
        <w:tabs>
          <w:tab w:pos="571" w:val="left" w:leader="none"/>
        </w:tabs>
        <w:spacing w:line="240" w:lineRule="auto" w:before="0" w:after="0"/>
        <w:ind w:left="570" w:right="0" w:hanging="300"/>
        <w:jc w:val="both"/>
      </w:pPr>
      <w:r>
        <w:rPr/>
        <w:t>Method of fatigue</w:t>
      </w:r>
      <w:r>
        <w:rPr>
          <w:spacing w:val="-10"/>
        </w:rPr>
        <w:t> </w:t>
      </w:r>
      <w:r>
        <w:rPr/>
        <w:t>determination.</w:t>
      </w:r>
    </w:p>
    <w:p>
      <w:pPr>
        <w:pStyle w:val="BodyText"/>
        <w:spacing w:before="8"/>
        <w:rPr>
          <w:b/>
          <w:sz w:val="19"/>
        </w:rPr>
      </w:pPr>
    </w:p>
    <w:p>
      <w:pPr>
        <w:pStyle w:val="BodyText"/>
        <w:ind w:left="270"/>
        <w:jc w:val="both"/>
      </w:pPr>
      <w:r>
        <w:rPr/>
        <w:t>The study began by selecting workers to be surveyed, communicating them with anticipation that the study was to ask for their cooperation in this study. Those who agreed to participate underwent a daily assessment for three weeks, filling formats for determining fatigue with Yoshitake and 4 points of Luke. The information gathered during the research period was captured later in Excel. The study ended with the interpretation of the answers in order to suggest recommendations if needed.</w:t>
      </w:r>
    </w:p>
    <w:p>
      <w:pPr>
        <w:pStyle w:val="BodyText"/>
        <w:spacing w:before="2"/>
      </w:pPr>
    </w:p>
    <w:p>
      <w:pPr>
        <w:pStyle w:val="Heading4"/>
        <w:numPr>
          <w:ilvl w:val="1"/>
          <w:numId w:val="119"/>
        </w:numPr>
        <w:tabs>
          <w:tab w:pos="572" w:val="left" w:leader="none"/>
        </w:tabs>
        <w:spacing w:line="240" w:lineRule="auto" w:before="0" w:after="0"/>
        <w:ind w:left="571" w:right="0" w:hanging="301"/>
        <w:jc w:val="both"/>
      </w:pPr>
      <w:r>
        <w:rPr/>
        <w:t>Participants</w:t>
      </w:r>
    </w:p>
    <w:p>
      <w:pPr>
        <w:pStyle w:val="BodyText"/>
        <w:spacing w:before="8"/>
        <w:rPr>
          <w:b/>
          <w:sz w:val="19"/>
        </w:rPr>
      </w:pPr>
    </w:p>
    <w:p>
      <w:pPr>
        <w:pStyle w:val="BodyText"/>
        <w:ind w:left="270"/>
        <w:jc w:val="both"/>
      </w:pPr>
      <w:r>
        <w:rPr/>
        <w:t>The labor physical fatigue has been a problem present in many countries around the world, which has been increasing in recent years. According to statistics compiled by the IMSS and published by the STPS, demonstrating the existence of physical fatigue and illnesses in Sinaloa, we took on the task of inquiring whether hairdressers are within the occupations having fatigue.</w:t>
      </w:r>
    </w:p>
    <w:p>
      <w:pPr>
        <w:pStyle w:val="BodyText"/>
        <w:spacing w:before="11"/>
        <w:rPr>
          <w:sz w:val="19"/>
        </w:rPr>
      </w:pPr>
    </w:p>
    <w:p>
      <w:pPr>
        <w:pStyle w:val="BodyText"/>
        <w:ind w:left="270" w:right="1" w:firstLine="432"/>
        <w:jc w:val="both"/>
      </w:pPr>
      <w:r>
        <w:rPr/>
        <w:t>Given that there is no precedent in any other research related to the topic of study of labor fatigue on hairdressers  in our country; we provoked the interest of getting to know the issues causing fatigue on the barbers; from overwork, environment and lack of</w:t>
      </w:r>
      <w:r>
        <w:rPr>
          <w:spacing w:val="-22"/>
        </w:rPr>
        <w:t> </w:t>
      </w:r>
      <w:r>
        <w:rPr/>
        <w:t>rest.</w:t>
      </w:r>
    </w:p>
    <w:p>
      <w:pPr>
        <w:pStyle w:val="BodyText"/>
        <w:spacing w:before="2"/>
      </w:pPr>
    </w:p>
    <w:p>
      <w:pPr>
        <w:pStyle w:val="Heading4"/>
        <w:numPr>
          <w:ilvl w:val="1"/>
          <w:numId w:val="119"/>
        </w:numPr>
        <w:tabs>
          <w:tab w:pos="572" w:val="left" w:leader="none"/>
        </w:tabs>
        <w:spacing w:line="240" w:lineRule="auto" w:before="0" w:after="0"/>
        <w:ind w:left="571" w:right="0" w:hanging="301"/>
        <w:jc w:val="both"/>
      </w:pPr>
      <w:r>
        <w:rPr/>
        <w:t>Luke 4 points</w:t>
      </w:r>
      <w:r>
        <w:rPr>
          <w:spacing w:val="-8"/>
        </w:rPr>
        <w:t> </w:t>
      </w:r>
      <w:r>
        <w:rPr/>
        <w:t>scale</w:t>
      </w:r>
    </w:p>
    <w:p>
      <w:pPr>
        <w:pStyle w:val="BodyText"/>
        <w:spacing w:before="9"/>
        <w:rPr>
          <w:b/>
          <w:sz w:val="19"/>
        </w:rPr>
      </w:pPr>
    </w:p>
    <w:p>
      <w:pPr>
        <w:pStyle w:val="BodyText"/>
        <w:spacing w:before="1"/>
        <w:ind w:left="270"/>
        <w:jc w:val="both"/>
      </w:pPr>
      <w:r>
        <w:rPr/>
        <w:t>Luke and Col. (1999) used a scale to determine the level of fatigue called Luke 4 points, fatigue levels fall after a normal workday, the measurement scale is as follows: "non tired" 1 point, "tired" 2 points "very tired" 3 points and "extremely tired" 4 points. The responses are grouped into fatigue that said "very tired" and "extremely tired".</w:t>
      </w:r>
    </w:p>
    <w:p>
      <w:pPr>
        <w:pStyle w:val="BodyText"/>
        <w:spacing w:before="2"/>
      </w:pPr>
    </w:p>
    <w:p>
      <w:pPr>
        <w:pStyle w:val="Heading4"/>
        <w:numPr>
          <w:ilvl w:val="0"/>
          <w:numId w:val="119"/>
        </w:numPr>
        <w:tabs>
          <w:tab w:pos="471" w:val="left" w:leader="none"/>
        </w:tabs>
        <w:spacing w:line="240" w:lineRule="auto" w:before="0" w:after="0"/>
        <w:ind w:left="470" w:right="0" w:hanging="200"/>
        <w:jc w:val="both"/>
      </w:pPr>
      <w:r>
        <w:rPr/>
        <w:t>Results</w:t>
      </w:r>
    </w:p>
    <w:p>
      <w:pPr>
        <w:pStyle w:val="ListParagraph"/>
        <w:numPr>
          <w:ilvl w:val="1"/>
          <w:numId w:val="119"/>
        </w:numPr>
        <w:tabs>
          <w:tab w:pos="571" w:val="left" w:leader="none"/>
        </w:tabs>
        <w:spacing w:line="240" w:lineRule="auto" w:before="77" w:after="0"/>
        <w:ind w:left="570" w:right="0" w:hanging="300"/>
        <w:jc w:val="left"/>
        <w:rPr>
          <w:b/>
          <w:sz w:val="20"/>
        </w:rPr>
      </w:pPr>
      <w:r>
        <w:rPr>
          <w:b/>
          <w:w w:val="100"/>
          <w:sz w:val="20"/>
        </w:rPr>
        <w:br w:type="column"/>
      </w:r>
      <w:r>
        <w:rPr>
          <w:b/>
          <w:sz w:val="20"/>
        </w:rPr>
        <w:t>Yoshitake</w:t>
      </w:r>
    </w:p>
    <w:p>
      <w:pPr>
        <w:pStyle w:val="BodyText"/>
        <w:spacing w:before="11"/>
        <w:rPr>
          <w:b/>
          <w:sz w:val="16"/>
        </w:rPr>
      </w:pPr>
      <w:r>
        <w:rPr/>
        <w:drawing>
          <wp:anchor distT="0" distB="0" distL="0" distR="0" allowOverlap="1" layoutInCell="1" locked="0" behindDoc="0" simplePos="0" relativeHeight="14032">
            <wp:simplePos x="0" y="0"/>
            <wp:positionH relativeFrom="page">
              <wp:posOffset>4157471</wp:posOffset>
            </wp:positionH>
            <wp:positionV relativeFrom="paragraph">
              <wp:posOffset>148590</wp:posOffset>
            </wp:positionV>
            <wp:extent cx="2987594" cy="1532858"/>
            <wp:effectExtent l="0" t="0" r="0" b="0"/>
            <wp:wrapTopAndBottom/>
            <wp:docPr id="543" name="image327.jpeg" descr=""/>
            <wp:cNvGraphicFramePr>
              <a:graphicFrameLocks noChangeAspect="1"/>
            </wp:cNvGraphicFramePr>
            <a:graphic>
              <a:graphicData uri="http://schemas.openxmlformats.org/drawingml/2006/picture">
                <pic:pic>
                  <pic:nvPicPr>
                    <pic:cNvPr id="544" name="image327.jpeg"/>
                    <pic:cNvPicPr/>
                  </pic:nvPicPr>
                  <pic:blipFill>
                    <a:blip r:embed="rId549" cstate="print"/>
                    <a:stretch>
                      <a:fillRect/>
                    </a:stretch>
                  </pic:blipFill>
                  <pic:spPr>
                    <a:xfrm>
                      <a:off x="0" y="0"/>
                      <a:ext cx="2987594" cy="1532858"/>
                    </a:xfrm>
                    <a:prstGeom prst="rect">
                      <a:avLst/>
                    </a:prstGeom>
                  </pic:spPr>
                </pic:pic>
              </a:graphicData>
            </a:graphic>
          </wp:anchor>
        </w:drawing>
      </w:r>
    </w:p>
    <w:p>
      <w:pPr>
        <w:pStyle w:val="BodyText"/>
        <w:ind w:left="786" w:right="702" w:hanging="36"/>
      </w:pPr>
      <w:r>
        <w:rPr/>
        <w:t>Figure 1 Total of presented symptoms (check in)</w:t>
      </w:r>
    </w:p>
    <w:p>
      <w:pPr>
        <w:pStyle w:val="BodyText"/>
        <w:spacing w:before="3"/>
        <w:rPr>
          <w:sz w:val="17"/>
        </w:rPr>
      </w:pPr>
      <w:r>
        <w:rPr/>
        <w:drawing>
          <wp:anchor distT="0" distB="0" distL="0" distR="0" allowOverlap="1" layoutInCell="1" locked="0" behindDoc="0" simplePos="0" relativeHeight="14056">
            <wp:simplePos x="0" y="0"/>
            <wp:positionH relativeFrom="page">
              <wp:posOffset>4187952</wp:posOffset>
            </wp:positionH>
            <wp:positionV relativeFrom="paragraph">
              <wp:posOffset>150832</wp:posOffset>
            </wp:positionV>
            <wp:extent cx="2926861" cy="1570863"/>
            <wp:effectExtent l="0" t="0" r="0" b="0"/>
            <wp:wrapTopAndBottom/>
            <wp:docPr id="545" name="image328.jpeg" descr=""/>
            <wp:cNvGraphicFramePr>
              <a:graphicFrameLocks noChangeAspect="1"/>
            </wp:cNvGraphicFramePr>
            <a:graphic>
              <a:graphicData uri="http://schemas.openxmlformats.org/drawingml/2006/picture">
                <pic:pic>
                  <pic:nvPicPr>
                    <pic:cNvPr id="546" name="image328.jpeg"/>
                    <pic:cNvPicPr/>
                  </pic:nvPicPr>
                  <pic:blipFill>
                    <a:blip r:embed="rId550" cstate="print"/>
                    <a:stretch>
                      <a:fillRect/>
                    </a:stretch>
                  </pic:blipFill>
                  <pic:spPr>
                    <a:xfrm>
                      <a:off x="0" y="0"/>
                      <a:ext cx="2926861" cy="1570863"/>
                    </a:xfrm>
                    <a:prstGeom prst="rect">
                      <a:avLst/>
                    </a:prstGeom>
                  </pic:spPr>
                </pic:pic>
              </a:graphicData>
            </a:graphic>
          </wp:anchor>
        </w:drawing>
      </w:r>
    </w:p>
    <w:p>
      <w:pPr>
        <w:pStyle w:val="BodyText"/>
        <w:ind w:left="786" w:right="702"/>
      </w:pPr>
      <w:r>
        <w:rPr/>
        <w:t>Figure 2 Total presented symptoms (Check out)</w:t>
      </w:r>
    </w:p>
    <w:p>
      <w:pPr>
        <w:pStyle w:val="BodyText"/>
        <w:spacing w:before="11"/>
        <w:rPr>
          <w:sz w:val="19"/>
        </w:rPr>
      </w:pPr>
    </w:p>
    <w:p>
      <w:pPr>
        <w:pStyle w:val="BodyText"/>
        <w:ind w:left="270" w:right="676" w:firstLine="567"/>
        <w:jc w:val="both"/>
      </w:pPr>
      <w:r>
        <w:rPr/>
        <w:t>Figures 1 and 2 show overall percentages of the three weeks, in which the research was conducted. It is observed that at the beginning of the day 68% of the sample have symptoms of monotony. While at the end of the day, the symptoms of monotony decrease to 50%, while the symptoms of concentration and increases physical damage.</w:t>
      </w:r>
    </w:p>
    <w:p>
      <w:pPr>
        <w:pStyle w:val="BodyText"/>
        <w:spacing w:before="6"/>
        <w:rPr>
          <w:sz w:val="17"/>
        </w:rPr>
      </w:pPr>
      <w:r>
        <w:rPr/>
        <w:drawing>
          <wp:anchor distT="0" distB="0" distL="0" distR="0" allowOverlap="1" layoutInCell="1" locked="0" behindDoc="0" simplePos="0" relativeHeight="14080">
            <wp:simplePos x="0" y="0"/>
            <wp:positionH relativeFrom="page">
              <wp:posOffset>4285488</wp:posOffset>
            </wp:positionH>
            <wp:positionV relativeFrom="paragraph">
              <wp:posOffset>153123</wp:posOffset>
            </wp:positionV>
            <wp:extent cx="2726912" cy="2074545"/>
            <wp:effectExtent l="0" t="0" r="0" b="0"/>
            <wp:wrapTopAndBottom/>
            <wp:docPr id="547" name="image329.jpeg" descr=""/>
            <wp:cNvGraphicFramePr>
              <a:graphicFrameLocks noChangeAspect="1"/>
            </wp:cNvGraphicFramePr>
            <a:graphic>
              <a:graphicData uri="http://schemas.openxmlformats.org/drawingml/2006/picture">
                <pic:pic>
                  <pic:nvPicPr>
                    <pic:cNvPr id="548" name="image329.jpeg"/>
                    <pic:cNvPicPr/>
                  </pic:nvPicPr>
                  <pic:blipFill>
                    <a:blip r:embed="rId551" cstate="print"/>
                    <a:stretch>
                      <a:fillRect/>
                    </a:stretch>
                  </pic:blipFill>
                  <pic:spPr>
                    <a:xfrm>
                      <a:off x="0" y="0"/>
                      <a:ext cx="2726912" cy="2074545"/>
                    </a:xfrm>
                    <a:prstGeom prst="rect">
                      <a:avLst/>
                    </a:prstGeom>
                  </pic:spPr>
                </pic:pic>
              </a:graphicData>
            </a:graphic>
          </wp:anchor>
        </w:drawing>
      </w:r>
    </w:p>
    <w:p>
      <w:pPr>
        <w:pStyle w:val="BodyText"/>
        <w:ind w:left="786" w:right="702"/>
      </w:pPr>
      <w:r>
        <w:rPr/>
        <w:t>Figure 3. Week 1: Symptoms shown (Check In)</w:t>
      </w:r>
    </w:p>
    <w:p>
      <w:pPr>
        <w:spacing w:after="0"/>
        <w:sectPr>
          <w:type w:val="continuous"/>
          <w:pgSz w:w="12240" w:h="15840"/>
          <w:pgMar w:top="1500" w:bottom="280" w:left="580" w:right="220"/>
          <w:cols w:num="2" w:equalWidth="0">
            <w:col w:w="5191" w:space="433"/>
            <w:col w:w="5816"/>
          </w:cols>
        </w:sectPr>
      </w:pPr>
    </w:p>
    <w:p>
      <w:pPr>
        <w:pStyle w:val="BodyText"/>
        <w:spacing w:before="3"/>
        <w:rPr>
          <w:sz w:val="18"/>
        </w:rPr>
      </w:pPr>
    </w:p>
    <w:p>
      <w:pPr>
        <w:pStyle w:val="BodyText"/>
        <w:tabs>
          <w:tab w:pos="6303" w:val="left" w:leader="none"/>
        </w:tabs>
        <w:ind w:left="572"/>
      </w:pPr>
      <w:r>
        <w:rPr>
          <w:position w:val="2"/>
        </w:rPr>
        <w:drawing>
          <wp:inline distT="0" distB="0" distL="0" distR="0">
            <wp:extent cx="2734061" cy="1786223"/>
            <wp:effectExtent l="0" t="0" r="0" b="0"/>
            <wp:docPr id="549" name="image330.jpeg" descr=""/>
            <wp:cNvGraphicFramePr>
              <a:graphicFrameLocks noChangeAspect="1"/>
            </wp:cNvGraphicFramePr>
            <a:graphic>
              <a:graphicData uri="http://schemas.openxmlformats.org/drawingml/2006/picture">
                <pic:pic>
                  <pic:nvPicPr>
                    <pic:cNvPr id="550" name="image330.jpeg"/>
                    <pic:cNvPicPr/>
                  </pic:nvPicPr>
                  <pic:blipFill>
                    <a:blip r:embed="rId553" cstate="print"/>
                    <a:stretch>
                      <a:fillRect/>
                    </a:stretch>
                  </pic:blipFill>
                  <pic:spPr>
                    <a:xfrm>
                      <a:off x="0" y="0"/>
                      <a:ext cx="2734061" cy="1786223"/>
                    </a:xfrm>
                    <a:prstGeom prst="rect">
                      <a:avLst/>
                    </a:prstGeom>
                  </pic:spPr>
                </pic:pic>
              </a:graphicData>
            </a:graphic>
          </wp:inline>
        </w:drawing>
      </w:r>
      <w:r>
        <w:rPr>
          <w:position w:val="2"/>
        </w:rPr>
      </w:r>
      <w:r>
        <w:rPr>
          <w:position w:val="2"/>
        </w:rPr>
        <w:tab/>
      </w:r>
      <w:r>
        <w:rPr/>
        <w:drawing>
          <wp:inline distT="0" distB="0" distL="0" distR="0">
            <wp:extent cx="2574749" cy="1798891"/>
            <wp:effectExtent l="0" t="0" r="0" b="0"/>
            <wp:docPr id="551" name="image331.jpeg" descr=""/>
            <wp:cNvGraphicFramePr>
              <a:graphicFrameLocks noChangeAspect="1"/>
            </wp:cNvGraphicFramePr>
            <a:graphic>
              <a:graphicData uri="http://schemas.openxmlformats.org/drawingml/2006/picture">
                <pic:pic>
                  <pic:nvPicPr>
                    <pic:cNvPr id="552" name="image331.jpeg"/>
                    <pic:cNvPicPr/>
                  </pic:nvPicPr>
                  <pic:blipFill>
                    <a:blip r:embed="rId554" cstate="print"/>
                    <a:stretch>
                      <a:fillRect/>
                    </a:stretch>
                  </pic:blipFill>
                  <pic:spPr>
                    <a:xfrm>
                      <a:off x="0" y="0"/>
                      <a:ext cx="2574749" cy="1798891"/>
                    </a:xfrm>
                    <a:prstGeom prst="rect">
                      <a:avLst/>
                    </a:prstGeom>
                  </pic:spPr>
                </pic:pic>
              </a:graphicData>
            </a:graphic>
          </wp:inline>
        </w:drawing>
      </w:r>
      <w:r>
        <w:rPr/>
      </w:r>
    </w:p>
    <w:p>
      <w:pPr>
        <w:spacing w:after="0"/>
        <w:sectPr>
          <w:footerReference w:type="default" r:id="rId552"/>
          <w:pgSz w:w="12240" w:h="15840"/>
          <w:pgMar w:footer="852" w:header="545" w:top="1060" w:bottom="1040" w:left="580" w:right="220"/>
          <w:pgNumType w:start="201"/>
        </w:sectPr>
      </w:pPr>
    </w:p>
    <w:p>
      <w:pPr>
        <w:pStyle w:val="BodyText"/>
        <w:spacing w:line="214" w:lineRule="exact"/>
        <w:ind w:left="767" w:right="118"/>
      </w:pPr>
      <w:r>
        <w:rPr/>
        <w:t>Figure 4. Week 1: Symptoms shown (Check out)</w:t>
      </w:r>
    </w:p>
    <w:p>
      <w:pPr>
        <w:pStyle w:val="BodyText"/>
        <w:spacing w:before="11"/>
        <w:rPr>
          <w:sz w:val="19"/>
        </w:rPr>
      </w:pPr>
    </w:p>
    <w:p>
      <w:pPr>
        <w:pStyle w:val="BodyText"/>
        <w:ind w:left="270" w:firstLine="567"/>
        <w:jc w:val="both"/>
      </w:pPr>
      <w:r>
        <w:rPr/>
        <w:t>As can be seen in figures 3 and 4 there was an  increase in concentration and physical damage at the end of the work</w:t>
      </w:r>
      <w:r>
        <w:rPr>
          <w:spacing w:val="-5"/>
        </w:rPr>
        <w:t> </w:t>
      </w:r>
      <w:r>
        <w:rPr/>
        <w:t>day.</w:t>
      </w:r>
    </w:p>
    <w:p>
      <w:pPr>
        <w:pStyle w:val="BodyText"/>
        <w:spacing w:before="3"/>
        <w:rPr>
          <w:sz w:val="17"/>
        </w:rPr>
      </w:pPr>
      <w:r>
        <w:rPr/>
        <w:drawing>
          <wp:anchor distT="0" distB="0" distL="0" distR="0" allowOverlap="1" layoutInCell="1" locked="0" behindDoc="0" simplePos="0" relativeHeight="14104">
            <wp:simplePos x="0" y="0"/>
            <wp:positionH relativeFrom="page">
              <wp:posOffset>737616</wp:posOffset>
            </wp:positionH>
            <wp:positionV relativeFrom="paragraph">
              <wp:posOffset>150834</wp:posOffset>
            </wp:positionV>
            <wp:extent cx="2726422" cy="1912905"/>
            <wp:effectExtent l="0" t="0" r="0" b="0"/>
            <wp:wrapTopAndBottom/>
            <wp:docPr id="553" name="image332.jpeg" descr=""/>
            <wp:cNvGraphicFramePr>
              <a:graphicFrameLocks noChangeAspect="1"/>
            </wp:cNvGraphicFramePr>
            <a:graphic>
              <a:graphicData uri="http://schemas.openxmlformats.org/drawingml/2006/picture">
                <pic:pic>
                  <pic:nvPicPr>
                    <pic:cNvPr id="554" name="image332.jpeg"/>
                    <pic:cNvPicPr/>
                  </pic:nvPicPr>
                  <pic:blipFill>
                    <a:blip r:embed="rId555" cstate="print"/>
                    <a:stretch>
                      <a:fillRect/>
                    </a:stretch>
                  </pic:blipFill>
                  <pic:spPr>
                    <a:xfrm>
                      <a:off x="0" y="0"/>
                      <a:ext cx="2726422" cy="1912905"/>
                    </a:xfrm>
                    <a:prstGeom prst="rect">
                      <a:avLst/>
                    </a:prstGeom>
                  </pic:spPr>
                </pic:pic>
              </a:graphicData>
            </a:graphic>
          </wp:anchor>
        </w:drawing>
      </w:r>
    </w:p>
    <w:p>
      <w:pPr>
        <w:pStyle w:val="BodyText"/>
        <w:ind w:left="767" w:right="118" w:firstLine="50"/>
      </w:pPr>
      <w:r>
        <w:rPr/>
        <w:t>Figure 5. Week 2: Symptoms shown (Check in)</w:t>
      </w:r>
    </w:p>
    <w:p>
      <w:pPr>
        <w:pStyle w:val="BodyText"/>
        <w:spacing w:before="4"/>
        <w:rPr>
          <w:sz w:val="17"/>
        </w:rPr>
      </w:pPr>
      <w:r>
        <w:rPr/>
        <w:drawing>
          <wp:anchor distT="0" distB="0" distL="0" distR="0" allowOverlap="1" layoutInCell="1" locked="0" behindDoc="0" simplePos="0" relativeHeight="14128">
            <wp:simplePos x="0" y="0"/>
            <wp:positionH relativeFrom="page">
              <wp:posOffset>731519</wp:posOffset>
            </wp:positionH>
            <wp:positionV relativeFrom="paragraph">
              <wp:posOffset>151594</wp:posOffset>
            </wp:positionV>
            <wp:extent cx="2736390" cy="1786223"/>
            <wp:effectExtent l="0" t="0" r="0" b="0"/>
            <wp:wrapTopAndBottom/>
            <wp:docPr id="555" name="image333.jpeg" descr=""/>
            <wp:cNvGraphicFramePr>
              <a:graphicFrameLocks noChangeAspect="1"/>
            </wp:cNvGraphicFramePr>
            <a:graphic>
              <a:graphicData uri="http://schemas.openxmlformats.org/drawingml/2006/picture">
                <pic:pic>
                  <pic:nvPicPr>
                    <pic:cNvPr id="556" name="image333.jpeg"/>
                    <pic:cNvPicPr/>
                  </pic:nvPicPr>
                  <pic:blipFill>
                    <a:blip r:embed="rId556" cstate="print"/>
                    <a:stretch>
                      <a:fillRect/>
                    </a:stretch>
                  </pic:blipFill>
                  <pic:spPr>
                    <a:xfrm>
                      <a:off x="0" y="0"/>
                      <a:ext cx="2736390" cy="1786223"/>
                    </a:xfrm>
                    <a:prstGeom prst="rect">
                      <a:avLst/>
                    </a:prstGeom>
                  </pic:spPr>
                </pic:pic>
              </a:graphicData>
            </a:graphic>
          </wp:anchor>
        </w:drawing>
      </w:r>
    </w:p>
    <w:p>
      <w:pPr>
        <w:pStyle w:val="BodyText"/>
        <w:ind w:left="767" w:right="118"/>
      </w:pPr>
      <w:r>
        <w:rPr/>
        <w:t>Figure 6. Week 2: Symptoms shown (Check out)</w:t>
      </w:r>
    </w:p>
    <w:p>
      <w:pPr>
        <w:pStyle w:val="BodyText"/>
        <w:spacing w:before="11"/>
        <w:rPr>
          <w:sz w:val="19"/>
        </w:rPr>
      </w:pPr>
    </w:p>
    <w:p>
      <w:pPr>
        <w:pStyle w:val="BodyText"/>
        <w:ind w:left="270" w:firstLine="567"/>
        <w:jc w:val="both"/>
      </w:pPr>
      <w:r>
        <w:rPr/>
        <w:t>Figures 5 and 6 show, likewise, an increased concentration and physical injury at the time of the end of  the workday, however, in the second week, the percentage of barbers having trouble concentrating and physical damage increases, compared to week</w:t>
      </w:r>
      <w:r>
        <w:rPr>
          <w:spacing w:val="-23"/>
        </w:rPr>
        <w:t> </w:t>
      </w:r>
      <w:r>
        <w:rPr/>
        <w:t>one.</w:t>
      </w:r>
    </w:p>
    <w:p>
      <w:pPr>
        <w:pStyle w:val="BodyText"/>
        <w:spacing w:line="223" w:lineRule="exact"/>
        <w:ind w:left="767" w:right="852" w:firstLine="49"/>
      </w:pPr>
      <w:r>
        <w:rPr/>
        <w:br w:type="column"/>
      </w:r>
      <w:r>
        <w:rPr/>
        <w:t>Figure 7 Week 3: Symptoms shown (Check in)</w:t>
      </w:r>
    </w:p>
    <w:p>
      <w:pPr>
        <w:pStyle w:val="BodyText"/>
      </w:pPr>
    </w:p>
    <w:p>
      <w:pPr>
        <w:pStyle w:val="BodyText"/>
      </w:pPr>
    </w:p>
    <w:p>
      <w:pPr>
        <w:pStyle w:val="BodyText"/>
      </w:pPr>
    </w:p>
    <w:p>
      <w:pPr>
        <w:pStyle w:val="BodyText"/>
        <w:spacing w:before="3"/>
        <w:rPr>
          <w:sz w:val="17"/>
        </w:rPr>
      </w:pPr>
      <w:r>
        <w:rPr/>
        <w:drawing>
          <wp:anchor distT="0" distB="0" distL="0" distR="0" allowOverlap="1" layoutInCell="1" locked="0" behindDoc="0" simplePos="0" relativeHeight="14152">
            <wp:simplePos x="0" y="0"/>
            <wp:positionH relativeFrom="page">
              <wp:posOffset>4370832</wp:posOffset>
            </wp:positionH>
            <wp:positionV relativeFrom="paragraph">
              <wp:posOffset>150870</wp:posOffset>
            </wp:positionV>
            <wp:extent cx="2571643" cy="1786223"/>
            <wp:effectExtent l="0" t="0" r="0" b="0"/>
            <wp:wrapTopAndBottom/>
            <wp:docPr id="557" name="image334.jpeg" descr=""/>
            <wp:cNvGraphicFramePr>
              <a:graphicFrameLocks noChangeAspect="1"/>
            </wp:cNvGraphicFramePr>
            <a:graphic>
              <a:graphicData uri="http://schemas.openxmlformats.org/drawingml/2006/picture">
                <pic:pic>
                  <pic:nvPicPr>
                    <pic:cNvPr id="558" name="image334.jpeg"/>
                    <pic:cNvPicPr/>
                  </pic:nvPicPr>
                  <pic:blipFill>
                    <a:blip r:embed="rId557" cstate="print"/>
                    <a:stretch>
                      <a:fillRect/>
                    </a:stretch>
                  </pic:blipFill>
                  <pic:spPr>
                    <a:xfrm>
                      <a:off x="0" y="0"/>
                      <a:ext cx="2571643" cy="1786223"/>
                    </a:xfrm>
                    <a:prstGeom prst="rect">
                      <a:avLst/>
                    </a:prstGeom>
                  </pic:spPr>
                </pic:pic>
              </a:graphicData>
            </a:graphic>
          </wp:anchor>
        </w:drawing>
      </w:r>
    </w:p>
    <w:p>
      <w:pPr>
        <w:pStyle w:val="BodyText"/>
        <w:ind w:left="767" w:right="852"/>
      </w:pPr>
      <w:r>
        <w:rPr/>
        <w:t>Figure 8 Week 3: Symptoms shown (Check out)</w:t>
      </w:r>
    </w:p>
    <w:p>
      <w:pPr>
        <w:pStyle w:val="BodyText"/>
      </w:pPr>
    </w:p>
    <w:p>
      <w:pPr>
        <w:pStyle w:val="BodyText"/>
        <w:spacing w:before="1"/>
        <w:ind w:left="270" w:right="677" w:firstLine="567"/>
      </w:pPr>
      <w:r>
        <w:rPr/>
        <w:pict>
          <v:group style="position:absolute;margin-left:337.440002pt;margin-top:35.005619pt;width:215.95pt;height:128.35pt;mso-position-horizontal-relative:page;mso-position-vertical-relative:paragraph;z-index:-864592" coordorigin="6749,700" coordsize="4319,2567">
            <v:shape style="position:absolute;left:6749;top:700;width:4319;height:2567" type="#_x0000_t75" stroked="false">
              <v:imagedata r:id="rId558" o:title=""/>
            </v:shape>
            <v:rect style="position:absolute;left:6893;top:2433;width:2658;height:772" filled="true" fillcolor="#ffffff" stroked="false">
              <v:fill type="solid"/>
            </v:rect>
            <v:rect style="position:absolute;left:9796;top:1633;width:1000;height:836" filled="true" fillcolor="#ffffff" stroked="false">
              <v:fill type="solid"/>
            </v:rect>
            <v:shape style="position:absolute;left:9796;top:1631;width:1000;height:838" type="#_x0000_t202" filled="true" fillcolor="#ffffff" stroked="true" strokeweight=".75pt" strokecolor="#000000">
              <v:textbox inset="0,0,0,0">
                <w:txbxContent>
                  <w:p>
                    <w:pPr>
                      <w:spacing w:before="68"/>
                      <w:ind w:left="144" w:right="0" w:firstLine="0"/>
                      <w:jc w:val="left"/>
                      <w:rPr>
                        <w:sz w:val="16"/>
                      </w:rPr>
                    </w:pPr>
                    <w:r>
                      <w:rPr>
                        <w:sz w:val="16"/>
                      </w:rPr>
                      <w:t>Check In</w:t>
                    </w:r>
                  </w:p>
                  <w:p>
                    <w:pPr>
                      <w:spacing w:line="240" w:lineRule="auto" w:before="0"/>
                      <w:rPr>
                        <w:sz w:val="16"/>
                      </w:rPr>
                    </w:pPr>
                  </w:p>
                  <w:p>
                    <w:pPr>
                      <w:spacing w:before="0"/>
                      <w:ind w:left="144" w:right="427" w:firstLine="0"/>
                      <w:jc w:val="left"/>
                      <w:rPr>
                        <w:sz w:val="16"/>
                      </w:rPr>
                    </w:pPr>
                    <w:r>
                      <w:rPr>
                        <w:sz w:val="16"/>
                      </w:rPr>
                      <w:t>Check Out</w:t>
                    </w:r>
                  </w:p>
                </w:txbxContent>
              </v:textbox>
              <v:fill type="solid"/>
              <w10:wrap type="none"/>
            </v:shape>
            <v:shape style="position:absolute;left:6893;top:2433;width:2658;height:771" type="#_x0000_t202" filled="true" fillcolor="#ffffff" stroked="true" strokeweight=".75pt" strokecolor="#000000">
              <v:textbox inset="0,0,0,0">
                <w:txbxContent>
                  <w:p>
                    <w:pPr>
                      <w:tabs>
                        <w:tab w:pos="624" w:val="left" w:leader="none"/>
                        <w:tab w:pos="995" w:val="left" w:leader="none"/>
                        <w:tab w:pos="1535" w:val="left" w:leader="none"/>
                        <w:tab w:pos="1957" w:val="left" w:leader="none"/>
                        <w:tab w:pos="2369" w:val="left" w:leader="none"/>
                      </w:tabs>
                      <w:spacing w:before="74"/>
                      <w:ind w:left="195" w:right="0" w:firstLine="0"/>
                      <w:jc w:val="left"/>
                      <w:rPr>
                        <w:sz w:val="20"/>
                      </w:rPr>
                    </w:pPr>
                    <w:r>
                      <w:rPr>
                        <w:sz w:val="20"/>
                      </w:rPr>
                      <w:t>M</w:t>
                      <w:tab/>
                      <w:t>T</w:t>
                      <w:tab/>
                      <w:t>W</w:t>
                      <w:tab/>
                      <w:t>T</w:t>
                      <w:tab/>
                      <w:t>F</w:t>
                      <w:tab/>
                      <w:t>S</w:t>
                    </w:r>
                  </w:p>
                </w:txbxContent>
              </v:textbox>
              <v:fill type="solid"/>
              <w10:wrap type="none"/>
            </v:shape>
            <w10:wrap type="none"/>
          </v:group>
        </w:pict>
      </w:r>
      <w:r>
        <w:rPr/>
        <w:t>In week three there remains an increase in physical damage, but has a decreased concentration.</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23"/>
        </w:rPr>
      </w:pPr>
    </w:p>
    <w:p>
      <w:pPr>
        <w:pStyle w:val="BodyText"/>
        <w:spacing w:line="460" w:lineRule="atLeast"/>
        <w:ind w:left="838" w:right="665" w:hanging="165"/>
      </w:pPr>
      <w:r>
        <w:rPr/>
        <w:t>Figure 9 Total of frequencies by days of the weeks Figure 9 shows generally the existence of fatigue that</w:t>
      </w:r>
    </w:p>
    <w:p>
      <w:pPr>
        <w:pStyle w:val="BodyText"/>
        <w:ind w:left="270" w:right="676"/>
        <w:jc w:val="both"/>
      </w:pPr>
      <w:r>
        <w:rPr/>
        <w:t>occurs during the days of the week for the period of three weeks in which the research was conducted. It is observed that from Wednesday to Saturday, the total of the observed frequency remains above the 50 frequencies at the end of the day.</w:t>
      </w:r>
    </w:p>
    <w:p>
      <w:pPr>
        <w:spacing w:after="0"/>
        <w:jc w:val="both"/>
        <w:sectPr>
          <w:type w:val="continuous"/>
          <w:pgSz w:w="12240" w:h="15840"/>
          <w:pgMar w:top="1500" w:bottom="280" w:left="580" w:right="220"/>
          <w:cols w:num="2" w:equalWidth="0">
            <w:col w:w="5190" w:space="435"/>
            <w:col w:w="5815"/>
          </w:cols>
        </w:sectPr>
      </w:pPr>
    </w:p>
    <w:p>
      <w:pPr>
        <w:pStyle w:val="BodyText"/>
      </w:pPr>
    </w:p>
    <w:p>
      <w:pPr>
        <w:pStyle w:val="BodyText"/>
        <w:spacing w:before="11"/>
        <w:rPr>
          <w:sz w:val="17"/>
        </w:rPr>
      </w:pPr>
    </w:p>
    <w:p>
      <w:pPr>
        <w:pStyle w:val="Heading4"/>
        <w:numPr>
          <w:ilvl w:val="1"/>
          <w:numId w:val="119"/>
        </w:numPr>
        <w:tabs>
          <w:tab w:pos="572" w:val="left" w:leader="none"/>
        </w:tabs>
        <w:spacing w:line="240" w:lineRule="auto" w:before="0" w:after="0"/>
        <w:ind w:left="571" w:right="0" w:hanging="301"/>
        <w:jc w:val="left"/>
      </w:pPr>
      <w:r>
        <w:rPr/>
        <w:t>Point scale of</w:t>
      </w:r>
      <w:r>
        <w:rPr>
          <w:spacing w:val="-7"/>
        </w:rPr>
        <w:t> </w:t>
      </w:r>
      <w:r>
        <w:rPr/>
        <w:t>Luke</w:t>
      </w:r>
    </w:p>
    <w:p>
      <w:pPr>
        <w:pStyle w:val="BodyText"/>
        <w:spacing w:before="7"/>
        <w:rPr>
          <w:b/>
          <w:sz w:val="16"/>
        </w:rPr>
      </w:pPr>
      <w:r>
        <w:rPr/>
        <w:pict>
          <v:group style="position:absolute;margin-left:42.540001pt;margin-top:11.517178pt;width:216pt;height:147.4pt;mso-position-horizontal-relative:page;mso-position-vertical-relative:paragraph;z-index:14272;mso-wrap-distance-left:0;mso-wrap-distance-right:0" coordorigin="851,230" coordsize="4320,2948">
            <v:shape style="position:absolute;left:851;top:230;width:4320;height:2947" type="#_x0000_t75" stroked="false">
              <v:imagedata r:id="rId559" o:title=""/>
            </v:shape>
            <v:rect style="position:absolute;left:3610;top:1078;width:1441;height:2029" filled="true" fillcolor="#ffffff" stroked="false">
              <v:fill type="solid"/>
            </v:rect>
            <v:shape style="position:absolute;left:3608;top:1078;width:1443;height:2030" type="#_x0000_t202" filled="true" fillcolor="#ffffff" stroked="true" strokeweight=".75pt" strokecolor="#000000">
              <v:textbox inset="0,0,0,0">
                <w:txbxContent>
                  <w:p>
                    <w:pPr>
                      <w:spacing w:line="240" w:lineRule="auto" w:before="68"/>
                      <w:ind w:left="144" w:right="449" w:firstLine="0"/>
                      <w:jc w:val="left"/>
                      <w:rPr>
                        <w:sz w:val="20"/>
                      </w:rPr>
                    </w:pPr>
                    <w:r>
                      <w:rPr>
                        <w:sz w:val="20"/>
                      </w:rPr>
                      <w:t>Not tired Tired Very tired Extremely tired</w:t>
                    </w:r>
                  </w:p>
                </w:txbxContent>
              </v:textbox>
              <v:fill type="solid"/>
              <w10:wrap type="none"/>
            </v:shape>
            <w10:wrap type="topAndBottom"/>
          </v:group>
        </w:pict>
      </w:r>
    </w:p>
    <w:p>
      <w:pPr>
        <w:pStyle w:val="BodyText"/>
        <w:ind w:left="788" w:right="9" w:firstLine="49"/>
      </w:pPr>
      <w:r>
        <w:rPr/>
        <w:t>Figure 10. General 4 Points of Luke (Check in)</w:t>
      </w:r>
    </w:p>
    <w:p>
      <w:pPr>
        <w:pStyle w:val="BodyText"/>
        <w:spacing w:before="10"/>
        <w:rPr>
          <w:sz w:val="16"/>
        </w:rPr>
      </w:pPr>
      <w:r>
        <w:rPr/>
        <w:drawing>
          <wp:anchor distT="0" distB="0" distL="0" distR="0" allowOverlap="1" layoutInCell="1" locked="0" behindDoc="0" simplePos="0" relativeHeight="14296">
            <wp:simplePos x="0" y="0"/>
            <wp:positionH relativeFrom="page">
              <wp:posOffset>540258</wp:posOffset>
            </wp:positionH>
            <wp:positionV relativeFrom="paragraph">
              <wp:posOffset>148546</wp:posOffset>
            </wp:positionV>
            <wp:extent cx="2736341" cy="1824227"/>
            <wp:effectExtent l="0" t="0" r="0" b="0"/>
            <wp:wrapTopAndBottom/>
            <wp:docPr id="559" name="image337.jpeg" descr=""/>
            <wp:cNvGraphicFramePr>
              <a:graphicFrameLocks noChangeAspect="1"/>
            </wp:cNvGraphicFramePr>
            <a:graphic>
              <a:graphicData uri="http://schemas.openxmlformats.org/drawingml/2006/picture">
                <pic:pic>
                  <pic:nvPicPr>
                    <pic:cNvPr id="560" name="image337.jpeg"/>
                    <pic:cNvPicPr/>
                  </pic:nvPicPr>
                  <pic:blipFill>
                    <a:blip r:embed="rId560" cstate="print"/>
                    <a:stretch>
                      <a:fillRect/>
                    </a:stretch>
                  </pic:blipFill>
                  <pic:spPr>
                    <a:xfrm>
                      <a:off x="0" y="0"/>
                      <a:ext cx="2736341" cy="1824227"/>
                    </a:xfrm>
                    <a:prstGeom prst="rect">
                      <a:avLst/>
                    </a:prstGeom>
                  </pic:spPr>
                </pic:pic>
              </a:graphicData>
            </a:graphic>
          </wp:anchor>
        </w:drawing>
      </w:r>
    </w:p>
    <w:p>
      <w:pPr>
        <w:pStyle w:val="BodyText"/>
        <w:ind w:left="788" w:right="9"/>
      </w:pPr>
      <w:r>
        <w:rPr/>
        <w:t>Figure 11. General 4 Points of Luke (Check out)</w:t>
      </w:r>
    </w:p>
    <w:p>
      <w:pPr>
        <w:pStyle w:val="BodyText"/>
        <w:spacing w:before="11"/>
        <w:rPr>
          <w:sz w:val="19"/>
        </w:rPr>
      </w:pPr>
    </w:p>
    <w:p>
      <w:pPr>
        <w:pStyle w:val="BodyText"/>
        <w:ind w:left="270" w:firstLine="567"/>
        <w:jc w:val="both"/>
      </w:pPr>
      <w:r>
        <w:rPr/>
        <w:t>Charts 10 and 11 show overall percentages of three weeks studied. It is observed that at the beginning of the day, 96% of the sample is not tired, while the remaining 4% are tired. At the end of the day, it increased to 30% hairdressers who are tired; likewise increases 1% who are very tired and decrease to 69% which are all tired.</w:t>
      </w:r>
    </w:p>
    <w:p>
      <w:pPr>
        <w:pStyle w:val="BodyText"/>
        <w:spacing w:before="9"/>
        <w:rPr>
          <w:sz w:val="16"/>
        </w:rPr>
      </w:pPr>
      <w:r>
        <w:rPr/>
        <w:drawing>
          <wp:anchor distT="0" distB="0" distL="0" distR="0" allowOverlap="1" layoutInCell="1" locked="0" behindDoc="0" simplePos="0" relativeHeight="14320">
            <wp:simplePos x="0" y="0"/>
            <wp:positionH relativeFrom="page">
              <wp:posOffset>731519</wp:posOffset>
            </wp:positionH>
            <wp:positionV relativeFrom="paragraph">
              <wp:posOffset>147789</wp:posOffset>
            </wp:positionV>
            <wp:extent cx="2738395" cy="1760886"/>
            <wp:effectExtent l="0" t="0" r="0" b="0"/>
            <wp:wrapTopAndBottom/>
            <wp:docPr id="561" name="image338.jpeg" descr=""/>
            <wp:cNvGraphicFramePr>
              <a:graphicFrameLocks noChangeAspect="1"/>
            </wp:cNvGraphicFramePr>
            <a:graphic>
              <a:graphicData uri="http://schemas.openxmlformats.org/drawingml/2006/picture">
                <pic:pic>
                  <pic:nvPicPr>
                    <pic:cNvPr id="562" name="image338.jpeg"/>
                    <pic:cNvPicPr/>
                  </pic:nvPicPr>
                  <pic:blipFill>
                    <a:blip r:embed="rId561" cstate="print"/>
                    <a:stretch>
                      <a:fillRect/>
                    </a:stretch>
                  </pic:blipFill>
                  <pic:spPr>
                    <a:xfrm>
                      <a:off x="0" y="0"/>
                      <a:ext cx="2738395" cy="1760886"/>
                    </a:xfrm>
                    <a:prstGeom prst="rect">
                      <a:avLst/>
                    </a:prstGeom>
                  </pic:spPr>
                </pic:pic>
              </a:graphicData>
            </a:graphic>
          </wp:anchor>
        </w:drawing>
      </w:r>
    </w:p>
    <w:p>
      <w:pPr>
        <w:pStyle w:val="BodyText"/>
        <w:ind w:left="817" w:right="9"/>
      </w:pPr>
      <w:r>
        <w:rPr/>
        <w:t>Figure 12. Week 1: 4 Points of Luke (Check in)</w:t>
      </w:r>
    </w:p>
    <w:p>
      <w:pPr>
        <w:pStyle w:val="BodyText"/>
        <w:spacing w:before="10" w:after="40"/>
        <w:rPr>
          <w:sz w:val="14"/>
        </w:rPr>
      </w:pPr>
      <w:r>
        <w:rPr/>
        <w:br w:type="column"/>
      </w:r>
      <w:r>
        <w:rPr>
          <w:sz w:val="14"/>
        </w:rPr>
      </w:r>
    </w:p>
    <w:p>
      <w:pPr>
        <w:pStyle w:val="BodyText"/>
        <w:ind w:left="544"/>
      </w:pPr>
      <w:r>
        <w:rPr/>
        <w:drawing>
          <wp:inline distT="0" distB="0" distL="0" distR="0">
            <wp:extent cx="2730017" cy="1988915"/>
            <wp:effectExtent l="0" t="0" r="0" b="0"/>
            <wp:docPr id="563" name="image339.jpeg" descr=""/>
            <wp:cNvGraphicFramePr>
              <a:graphicFrameLocks noChangeAspect="1"/>
            </wp:cNvGraphicFramePr>
            <a:graphic>
              <a:graphicData uri="http://schemas.openxmlformats.org/drawingml/2006/picture">
                <pic:pic>
                  <pic:nvPicPr>
                    <pic:cNvPr id="564" name="image339.jpeg"/>
                    <pic:cNvPicPr/>
                  </pic:nvPicPr>
                  <pic:blipFill>
                    <a:blip r:embed="rId562" cstate="print"/>
                    <a:stretch>
                      <a:fillRect/>
                    </a:stretch>
                  </pic:blipFill>
                  <pic:spPr>
                    <a:xfrm>
                      <a:off x="0" y="0"/>
                      <a:ext cx="2730017" cy="1988915"/>
                    </a:xfrm>
                    <a:prstGeom prst="rect">
                      <a:avLst/>
                    </a:prstGeom>
                  </pic:spPr>
                </pic:pic>
              </a:graphicData>
            </a:graphic>
          </wp:inline>
        </w:drawing>
      </w:r>
      <w:r>
        <w:rPr/>
      </w:r>
    </w:p>
    <w:p>
      <w:pPr>
        <w:pStyle w:val="BodyText"/>
        <w:spacing w:before="10"/>
        <w:ind w:left="767" w:right="852"/>
      </w:pPr>
      <w:r>
        <w:rPr/>
        <w:t>Figure 13 Week 1: 4 Points of Luke (Check out)</w:t>
      </w:r>
    </w:p>
    <w:p>
      <w:pPr>
        <w:pStyle w:val="BodyText"/>
        <w:spacing w:before="11"/>
        <w:rPr>
          <w:sz w:val="19"/>
        </w:rPr>
      </w:pPr>
    </w:p>
    <w:p>
      <w:pPr>
        <w:pStyle w:val="BodyText"/>
        <w:ind w:left="270" w:right="677" w:firstLine="567"/>
        <w:jc w:val="both"/>
      </w:pPr>
      <w:r>
        <w:rPr/>
        <w:t>Figures 12 and 13 show an increase in the number of barbers who have tiredness and exhaustion once they are out of their workday.</w:t>
      </w:r>
    </w:p>
    <w:p>
      <w:pPr>
        <w:pStyle w:val="BodyText"/>
        <w:spacing w:before="4"/>
        <w:rPr>
          <w:sz w:val="17"/>
        </w:rPr>
      </w:pPr>
      <w:r>
        <w:rPr/>
        <w:drawing>
          <wp:anchor distT="0" distB="0" distL="0" distR="0" allowOverlap="1" layoutInCell="1" locked="0" behindDoc="0" simplePos="0" relativeHeight="14344">
            <wp:simplePos x="0" y="0"/>
            <wp:positionH relativeFrom="page">
              <wp:posOffset>4285488</wp:posOffset>
            </wp:positionH>
            <wp:positionV relativeFrom="paragraph">
              <wp:posOffset>151598</wp:posOffset>
            </wp:positionV>
            <wp:extent cx="2733973" cy="1722882"/>
            <wp:effectExtent l="0" t="0" r="0" b="0"/>
            <wp:wrapTopAndBottom/>
            <wp:docPr id="565" name="image340.jpeg" descr=""/>
            <wp:cNvGraphicFramePr>
              <a:graphicFrameLocks noChangeAspect="1"/>
            </wp:cNvGraphicFramePr>
            <a:graphic>
              <a:graphicData uri="http://schemas.openxmlformats.org/drawingml/2006/picture">
                <pic:pic>
                  <pic:nvPicPr>
                    <pic:cNvPr id="566" name="image340.jpeg"/>
                    <pic:cNvPicPr/>
                  </pic:nvPicPr>
                  <pic:blipFill>
                    <a:blip r:embed="rId563" cstate="print"/>
                    <a:stretch>
                      <a:fillRect/>
                    </a:stretch>
                  </pic:blipFill>
                  <pic:spPr>
                    <a:xfrm>
                      <a:off x="0" y="0"/>
                      <a:ext cx="2733973" cy="1722882"/>
                    </a:xfrm>
                    <a:prstGeom prst="rect">
                      <a:avLst/>
                    </a:prstGeom>
                  </pic:spPr>
                </pic:pic>
              </a:graphicData>
            </a:graphic>
          </wp:anchor>
        </w:drawing>
      </w:r>
    </w:p>
    <w:p>
      <w:pPr>
        <w:pStyle w:val="BodyText"/>
        <w:ind w:left="767" w:right="852" w:firstLine="49"/>
      </w:pPr>
      <w:r>
        <w:rPr/>
        <w:t>Figure 14 Week 2: 4 Points of Luke (Check in)</w:t>
      </w:r>
    </w:p>
    <w:p>
      <w:pPr>
        <w:pStyle w:val="BodyText"/>
        <w:spacing w:before="9"/>
        <w:rPr>
          <w:sz w:val="16"/>
        </w:rPr>
      </w:pPr>
      <w:r>
        <w:rPr/>
        <w:drawing>
          <wp:anchor distT="0" distB="0" distL="0" distR="0" allowOverlap="1" layoutInCell="1" locked="0" behindDoc="0" simplePos="0" relativeHeight="14368">
            <wp:simplePos x="0" y="0"/>
            <wp:positionH relativeFrom="page">
              <wp:posOffset>4284726</wp:posOffset>
            </wp:positionH>
            <wp:positionV relativeFrom="paragraph">
              <wp:posOffset>147784</wp:posOffset>
            </wp:positionV>
            <wp:extent cx="2736716" cy="1849564"/>
            <wp:effectExtent l="0" t="0" r="0" b="0"/>
            <wp:wrapTopAndBottom/>
            <wp:docPr id="567" name="image341.jpeg" descr=""/>
            <wp:cNvGraphicFramePr>
              <a:graphicFrameLocks noChangeAspect="1"/>
            </wp:cNvGraphicFramePr>
            <a:graphic>
              <a:graphicData uri="http://schemas.openxmlformats.org/drawingml/2006/picture">
                <pic:pic>
                  <pic:nvPicPr>
                    <pic:cNvPr id="568" name="image341.jpeg"/>
                    <pic:cNvPicPr/>
                  </pic:nvPicPr>
                  <pic:blipFill>
                    <a:blip r:embed="rId564" cstate="print"/>
                    <a:stretch>
                      <a:fillRect/>
                    </a:stretch>
                  </pic:blipFill>
                  <pic:spPr>
                    <a:xfrm>
                      <a:off x="0" y="0"/>
                      <a:ext cx="2736716" cy="1849564"/>
                    </a:xfrm>
                    <a:prstGeom prst="rect">
                      <a:avLst/>
                    </a:prstGeom>
                  </pic:spPr>
                </pic:pic>
              </a:graphicData>
            </a:graphic>
          </wp:anchor>
        </w:drawing>
      </w:r>
    </w:p>
    <w:p>
      <w:pPr>
        <w:pStyle w:val="BodyText"/>
        <w:ind w:left="767" w:right="852"/>
      </w:pPr>
      <w:r>
        <w:rPr/>
        <w:t>Figure 15 Week 2: 4 Points of Luke (Check out)</w:t>
      </w:r>
    </w:p>
    <w:p>
      <w:pPr>
        <w:pStyle w:val="BodyText"/>
        <w:spacing w:before="11"/>
        <w:rPr>
          <w:sz w:val="19"/>
        </w:rPr>
      </w:pPr>
    </w:p>
    <w:p>
      <w:pPr>
        <w:pStyle w:val="BodyText"/>
        <w:ind w:left="270" w:right="678" w:firstLine="567"/>
        <w:jc w:val="both"/>
      </w:pPr>
      <w:r>
        <w:rPr/>
        <w:t>Figures 14 and 15 show similarly, an increase in the number of barbers who at the end of the day are tired and very tired in the second week.</w:t>
      </w:r>
    </w:p>
    <w:p>
      <w:pPr>
        <w:spacing w:after="0"/>
        <w:jc w:val="both"/>
        <w:sectPr>
          <w:pgSz w:w="12240" w:h="15840"/>
          <w:pgMar w:header="545" w:footer="852" w:top="1060" w:bottom="1040" w:left="580" w:right="220"/>
          <w:cols w:num="2" w:equalWidth="0">
            <w:col w:w="5191" w:space="434"/>
            <w:col w:w="5815"/>
          </w:cols>
        </w:sectPr>
      </w:pPr>
    </w:p>
    <w:p>
      <w:pPr>
        <w:pStyle w:val="BodyText"/>
        <w:spacing w:before="3"/>
        <w:rPr>
          <w:sz w:val="18"/>
        </w:rPr>
      </w:pPr>
    </w:p>
    <w:p>
      <w:pPr>
        <w:pStyle w:val="BodyText"/>
        <w:ind w:left="572"/>
      </w:pPr>
      <w:r>
        <w:rPr/>
        <w:drawing>
          <wp:inline distT="0" distB="0" distL="0" distR="0">
            <wp:extent cx="2724858" cy="1810512"/>
            <wp:effectExtent l="0" t="0" r="0" b="0"/>
            <wp:docPr id="569" name="image342.jpeg" descr=""/>
            <wp:cNvGraphicFramePr>
              <a:graphicFrameLocks noChangeAspect="1"/>
            </wp:cNvGraphicFramePr>
            <a:graphic>
              <a:graphicData uri="http://schemas.openxmlformats.org/drawingml/2006/picture">
                <pic:pic>
                  <pic:nvPicPr>
                    <pic:cNvPr id="570" name="image342.jpeg"/>
                    <pic:cNvPicPr/>
                  </pic:nvPicPr>
                  <pic:blipFill>
                    <a:blip r:embed="rId565" cstate="print"/>
                    <a:stretch>
                      <a:fillRect/>
                    </a:stretch>
                  </pic:blipFill>
                  <pic:spPr>
                    <a:xfrm>
                      <a:off x="0" y="0"/>
                      <a:ext cx="2724858" cy="1810512"/>
                    </a:xfrm>
                    <a:prstGeom prst="rect">
                      <a:avLst/>
                    </a:prstGeom>
                  </pic:spPr>
                </pic:pic>
              </a:graphicData>
            </a:graphic>
          </wp:inline>
        </w:drawing>
      </w:r>
      <w:r>
        <w:rPr/>
      </w:r>
    </w:p>
    <w:p>
      <w:pPr>
        <w:pStyle w:val="BodyText"/>
        <w:spacing w:before="13"/>
        <w:ind w:left="357" w:right="89"/>
        <w:jc w:val="center"/>
      </w:pPr>
      <w:r>
        <w:rPr/>
        <w:t>Figure 15 Week 3: 4 Points of Luke (Check in)</w:t>
      </w:r>
    </w:p>
    <w:p>
      <w:pPr>
        <w:pStyle w:val="BodyText"/>
        <w:spacing w:before="9"/>
        <w:rPr>
          <w:sz w:val="16"/>
        </w:rPr>
      </w:pPr>
      <w:r>
        <w:rPr/>
        <w:drawing>
          <wp:anchor distT="0" distB="0" distL="0" distR="0" allowOverlap="1" layoutInCell="1" locked="0" behindDoc="0" simplePos="0" relativeHeight="14392">
            <wp:simplePos x="0" y="0"/>
            <wp:positionH relativeFrom="page">
              <wp:posOffset>729233</wp:posOffset>
            </wp:positionH>
            <wp:positionV relativeFrom="paragraph">
              <wp:posOffset>147784</wp:posOffset>
            </wp:positionV>
            <wp:extent cx="2727251" cy="1824227"/>
            <wp:effectExtent l="0" t="0" r="0" b="0"/>
            <wp:wrapTopAndBottom/>
            <wp:docPr id="571" name="image343.jpeg" descr=""/>
            <wp:cNvGraphicFramePr>
              <a:graphicFrameLocks noChangeAspect="1"/>
            </wp:cNvGraphicFramePr>
            <a:graphic>
              <a:graphicData uri="http://schemas.openxmlformats.org/drawingml/2006/picture">
                <pic:pic>
                  <pic:nvPicPr>
                    <pic:cNvPr id="572" name="image343.jpeg"/>
                    <pic:cNvPicPr/>
                  </pic:nvPicPr>
                  <pic:blipFill>
                    <a:blip r:embed="rId566" cstate="print"/>
                    <a:stretch>
                      <a:fillRect/>
                    </a:stretch>
                  </pic:blipFill>
                  <pic:spPr>
                    <a:xfrm>
                      <a:off x="0" y="0"/>
                      <a:ext cx="2727251" cy="1824227"/>
                    </a:xfrm>
                    <a:prstGeom prst="rect">
                      <a:avLst/>
                    </a:prstGeom>
                  </pic:spPr>
                </pic:pic>
              </a:graphicData>
            </a:graphic>
          </wp:anchor>
        </w:drawing>
      </w:r>
    </w:p>
    <w:p>
      <w:pPr>
        <w:pStyle w:val="BodyText"/>
        <w:ind w:left="357" w:right="89"/>
        <w:jc w:val="center"/>
      </w:pPr>
      <w:r>
        <w:rPr/>
        <w:t>Figure 16 Week 3: 4 Points of Luke (Check out)</w:t>
      </w:r>
    </w:p>
    <w:p>
      <w:pPr>
        <w:pStyle w:val="BodyText"/>
        <w:spacing w:before="11"/>
        <w:rPr>
          <w:sz w:val="19"/>
        </w:rPr>
      </w:pPr>
    </w:p>
    <w:p>
      <w:pPr>
        <w:pStyle w:val="BodyText"/>
        <w:ind w:left="270" w:right="1" w:firstLine="567"/>
        <w:jc w:val="both"/>
      </w:pPr>
      <w:r>
        <w:rPr/>
        <w:t>As shown in figures 15 and 16, there is an increasing of barbers who are tired, very tired and extremely tired at the end of the day.</w:t>
      </w:r>
    </w:p>
    <w:p>
      <w:pPr>
        <w:pStyle w:val="BodyText"/>
        <w:spacing w:before="3"/>
      </w:pPr>
    </w:p>
    <w:p>
      <w:pPr>
        <w:pStyle w:val="Heading4"/>
        <w:numPr>
          <w:ilvl w:val="1"/>
          <w:numId w:val="119"/>
        </w:numPr>
        <w:tabs>
          <w:tab w:pos="571" w:val="left" w:leader="none"/>
        </w:tabs>
        <w:spacing w:line="240" w:lineRule="auto" w:before="0" w:after="0"/>
        <w:ind w:left="570" w:right="0" w:hanging="300"/>
        <w:jc w:val="both"/>
      </w:pPr>
      <w:r>
        <w:rPr/>
        <w:t>Conclusions</w:t>
      </w:r>
    </w:p>
    <w:p>
      <w:pPr>
        <w:pStyle w:val="BodyText"/>
        <w:spacing w:before="8"/>
        <w:rPr>
          <w:b/>
          <w:sz w:val="19"/>
        </w:rPr>
      </w:pPr>
    </w:p>
    <w:p>
      <w:pPr>
        <w:pStyle w:val="BodyText"/>
        <w:ind w:left="270"/>
        <w:jc w:val="both"/>
      </w:pPr>
      <w:r>
        <w:rPr/>
        <w:t>Based on the results of 4 points of Luke, we can conclude that there is tiredness mainly at the end of the workday. In this sense, Yoshitake reveals the days where fatigue occurs more often are Wednesday through Saturday at the end of  the workday as 4 points of Luke</w:t>
      </w:r>
      <w:r>
        <w:rPr>
          <w:spacing w:val="-14"/>
        </w:rPr>
        <w:t> </w:t>
      </w:r>
      <w:r>
        <w:rPr/>
        <w:t>marks.</w:t>
      </w:r>
    </w:p>
    <w:p>
      <w:pPr>
        <w:pStyle w:val="BodyText"/>
        <w:spacing w:before="11"/>
        <w:rPr>
          <w:sz w:val="19"/>
        </w:rPr>
      </w:pPr>
    </w:p>
    <w:p>
      <w:pPr>
        <w:pStyle w:val="BodyText"/>
        <w:ind w:left="270" w:right="1" w:firstLine="567"/>
        <w:jc w:val="both"/>
      </w:pPr>
      <w:r>
        <w:rPr/>
        <w:t>In regard to the results of Yoshitake, the main symptom that barbers present is drowsiness and monotony, followed by physical damage and  concentration, respectively.</w:t>
      </w:r>
    </w:p>
    <w:p>
      <w:pPr>
        <w:pStyle w:val="BodyText"/>
        <w:spacing w:before="11"/>
        <w:rPr>
          <w:sz w:val="19"/>
        </w:rPr>
      </w:pPr>
    </w:p>
    <w:p>
      <w:pPr>
        <w:pStyle w:val="BodyText"/>
        <w:ind w:left="270" w:right="1" w:firstLine="567"/>
        <w:jc w:val="both"/>
      </w:pPr>
      <w:r>
        <w:rPr/>
        <w:t>There is enough statistical evidence gathered during the 3 weeks to prove the existence of physical and mental fatigue in the barbers of the city of Los Mochis Sinaloa from those who participated in the survey.</w:t>
      </w:r>
    </w:p>
    <w:p>
      <w:pPr>
        <w:pStyle w:val="BodyText"/>
      </w:pPr>
    </w:p>
    <w:p>
      <w:pPr>
        <w:pStyle w:val="BodyText"/>
        <w:spacing w:before="2"/>
      </w:pPr>
    </w:p>
    <w:p>
      <w:pPr>
        <w:pStyle w:val="Heading4"/>
        <w:numPr>
          <w:ilvl w:val="1"/>
          <w:numId w:val="119"/>
        </w:numPr>
        <w:tabs>
          <w:tab w:pos="571" w:val="left" w:leader="none"/>
        </w:tabs>
        <w:spacing w:line="240" w:lineRule="auto" w:before="0" w:after="0"/>
        <w:ind w:left="570" w:right="0" w:hanging="300"/>
        <w:jc w:val="both"/>
      </w:pPr>
      <w:r>
        <w:rPr/>
        <w:t>References</w:t>
      </w:r>
    </w:p>
    <w:p>
      <w:pPr>
        <w:pStyle w:val="BodyText"/>
        <w:spacing w:before="8"/>
        <w:rPr>
          <w:b/>
          <w:sz w:val="19"/>
        </w:rPr>
      </w:pPr>
    </w:p>
    <w:p>
      <w:pPr>
        <w:pStyle w:val="BodyText"/>
        <w:ind w:left="270"/>
        <w:jc w:val="both"/>
      </w:pPr>
      <w:r>
        <w:rPr/>
        <w:t>Información sobre Accidentes y Enfermedades de Trabajo Sinaloa  2004-2013.  Memorias      IMSS  2004-2013.   Web.</w:t>
      </w:r>
    </w:p>
    <w:p>
      <w:pPr>
        <w:pStyle w:val="BodyText"/>
        <w:ind w:left="270"/>
        <w:jc w:val="both"/>
      </w:pPr>
      <w:r>
        <w:rPr/>
        <w:t>Acquired          on          March          15,          2015       from</w:t>
      </w:r>
    </w:p>
    <w:p>
      <w:pPr>
        <w:pStyle w:val="BodyText"/>
        <w:spacing w:before="9"/>
        <w:rPr>
          <w:sz w:val="17"/>
        </w:rPr>
      </w:pPr>
      <w:r>
        <w:rPr/>
        <w:br w:type="column"/>
      </w:r>
      <w:r>
        <w:rPr>
          <w:sz w:val="17"/>
        </w:rPr>
      </w:r>
    </w:p>
    <w:p>
      <w:pPr>
        <w:pStyle w:val="BodyText"/>
        <w:ind w:left="270" w:right="693"/>
      </w:pPr>
      <w:hyperlink r:id="rId485">
        <w:r>
          <w:rPr/>
          <w:t>http://www.stps.gob.mx/bp/secciones/dgsst/estadisticas/Sina</w:t>
        </w:r>
      </w:hyperlink>
      <w:r>
        <w:rPr/>
        <w:t> loa%202004-2013.pdf</w:t>
      </w:r>
    </w:p>
    <w:p>
      <w:pPr>
        <w:pStyle w:val="BodyText"/>
      </w:pPr>
    </w:p>
    <w:p>
      <w:pPr>
        <w:pStyle w:val="BodyText"/>
        <w:spacing w:before="1"/>
        <w:ind w:left="270" w:right="676"/>
        <w:jc w:val="both"/>
      </w:pPr>
      <w:r>
        <w:rPr/>
        <w:t>Determinación de fatiga física en trabajadores de mercados populares de Los Mochis Sinaloa. Leyva Astorga José Alfredo, Estrada Beltrán José Alberto y Ramírez Leyva Alberto. 2009. Web. Acquired on March 15, 2015 from </w:t>
      </w:r>
      <w:hyperlink r:id="rId484">
        <w:r>
          <w:rPr/>
          <w:t>http://www.semac.org.mx/archivos/congreso11/fatiga1.pdf</w:t>
        </w:r>
      </w:hyperlink>
    </w:p>
    <w:p>
      <w:pPr>
        <w:pStyle w:val="BodyText"/>
      </w:pPr>
    </w:p>
    <w:p>
      <w:pPr>
        <w:pStyle w:val="BodyText"/>
        <w:spacing w:line="230" w:lineRule="exact" w:before="1"/>
        <w:ind w:left="270" w:right="677"/>
      </w:pPr>
      <w:r>
        <w:rPr/>
        <w:t>Wu C.Y, Yao C.C, Lu C.W, Chang K.F, Chang C.H  (2004)</w:t>
      </w:r>
    </w:p>
    <w:p>
      <w:pPr>
        <w:pStyle w:val="BodyText"/>
        <w:ind w:left="270" w:right="677"/>
      </w:pPr>
      <w:r>
        <w:rPr/>
        <w:t>Evaluating the musculoskeletal disorders in the employee working in the beauty salon, Health and Safety Conference, Taiwan. Web. Acquired on March 15, 2015 from </w:t>
      </w:r>
      <w:hyperlink r:id="rId567">
        <w:r>
          <w:rPr/>
          <w:t>http://www.sd.polyu.edu.hk/iasdr/proceeding/papers/AN%2</w:t>
        </w:r>
      </w:hyperlink>
      <w:r>
        <w:rPr/>
        <w:t> 0ERGONOMIC%20APPROACH%20TO%20AN%20INV ESTIGATION%20INTO%20THE%20RISK%20FACTOR</w:t>
      </w:r>
    </w:p>
    <w:p>
      <w:pPr>
        <w:pStyle w:val="BodyText"/>
        <w:ind w:left="270" w:right="852"/>
      </w:pPr>
      <w:r>
        <w:rPr/>
        <w:t>S.pdf</w:t>
      </w:r>
    </w:p>
    <w:p>
      <w:pPr>
        <w:pStyle w:val="BodyText"/>
        <w:spacing w:before="11"/>
        <w:rPr>
          <w:sz w:val="19"/>
        </w:rPr>
      </w:pPr>
    </w:p>
    <w:p>
      <w:pPr>
        <w:pStyle w:val="BodyText"/>
        <w:ind w:left="270" w:right="852"/>
      </w:pPr>
      <w:r>
        <w:rPr/>
        <w:t>El pequeño Larousse ilustrado, Séptima edición, segunda reimpresión, Agrupación editorial, S.A. página 775.</w:t>
      </w:r>
    </w:p>
    <w:p>
      <w:pPr>
        <w:spacing w:after="0"/>
        <w:sectPr>
          <w:pgSz w:w="12240" w:h="15840"/>
          <w:pgMar w:header="545" w:footer="852" w:top="1060" w:bottom="1040" w:left="580" w:right="220"/>
          <w:cols w:num="2" w:equalWidth="0">
            <w:col w:w="5190" w:space="435"/>
            <w:col w:w="5815"/>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6"/>
        <w:rPr>
          <w:sz w:val="26"/>
        </w:rPr>
      </w:pPr>
    </w:p>
    <w:p>
      <w:pPr>
        <w:pStyle w:val="Heading1"/>
        <w:ind w:right="18"/>
        <w:rPr>
          <w:rFonts w:ascii="Arial"/>
        </w:rPr>
      </w:pPr>
      <w:r>
        <w:rPr>
          <w:rFonts w:ascii="Arial"/>
          <w:color w:val="121721"/>
        </w:rPr>
        <w:t>The study of fatigue caused by physical damage to fisherman in the bay of port Topolobampo.</w:t>
      </w:r>
    </w:p>
    <w:p>
      <w:pPr>
        <w:pStyle w:val="BodyText"/>
        <w:spacing w:before="6"/>
        <w:rPr>
          <w:rFonts w:ascii="Arial"/>
          <w:b/>
          <w:sz w:val="19"/>
        </w:rPr>
      </w:pPr>
    </w:p>
    <w:p>
      <w:pPr>
        <w:spacing w:line="213" w:lineRule="auto" w:before="0"/>
        <w:ind w:left="270" w:right="17" w:firstLine="0"/>
        <w:jc w:val="both"/>
        <w:rPr>
          <w:i/>
          <w:sz w:val="20"/>
        </w:rPr>
      </w:pPr>
      <w:r>
        <w:rPr>
          <w:i/>
          <w:sz w:val="20"/>
        </w:rPr>
        <w:t>Alberto Ramírez Leyva </w:t>
      </w:r>
      <w:r>
        <w:rPr>
          <w:i/>
          <w:position w:val="9"/>
          <w:sz w:val="13"/>
        </w:rPr>
        <w:t>a</w:t>
      </w:r>
      <w:r>
        <w:rPr>
          <w:i/>
          <w:sz w:val="20"/>
        </w:rPr>
        <w:t>, Estrada Rosas Diego </w:t>
      </w:r>
      <w:r>
        <w:rPr>
          <w:i/>
          <w:position w:val="9"/>
          <w:sz w:val="13"/>
        </w:rPr>
        <w:t>b</w:t>
      </w:r>
      <w:r>
        <w:rPr>
          <w:i/>
          <w:sz w:val="20"/>
        </w:rPr>
        <w:t>, Valdez Luis </w:t>
      </w:r>
      <w:r>
        <w:rPr>
          <w:i/>
          <w:sz w:val="20"/>
        </w:rPr>
        <w:t>Armando </w:t>
      </w:r>
      <w:r>
        <w:rPr>
          <w:i/>
          <w:position w:val="9"/>
          <w:sz w:val="13"/>
        </w:rPr>
        <w:t>c</w:t>
      </w:r>
      <w:r>
        <w:rPr>
          <w:i/>
          <w:sz w:val="20"/>
        </w:rPr>
        <w:t>, Cortez Alejo Kizú Yaneth </w:t>
      </w:r>
      <w:r>
        <w:rPr>
          <w:i/>
          <w:position w:val="9"/>
          <w:sz w:val="13"/>
        </w:rPr>
        <w:t>d</w:t>
      </w:r>
      <w:r>
        <w:rPr>
          <w:i/>
          <w:sz w:val="20"/>
        </w:rPr>
        <w:t>, Vega Valdez Sara Patricia </w:t>
      </w:r>
      <w:r>
        <w:rPr>
          <w:i/>
          <w:position w:val="9"/>
          <w:sz w:val="13"/>
        </w:rPr>
        <w:t>e</w:t>
      </w:r>
      <w:r>
        <w:rPr>
          <w:i/>
          <w:sz w:val="20"/>
        </w:rPr>
        <w:t>.</w:t>
      </w:r>
    </w:p>
    <w:p>
      <w:pPr>
        <w:pStyle w:val="BodyText"/>
        <w:rPr>
          <w:i/>
          <w:sz w:val="19"/>
        </w:rPr>
      </w:pPr>
    </w:p>
    <w:p>
      <w:pPr>
        <w:spacing w:before="1"/>
        <w:ind w:left="270" w:right="0" w:firstLine="0"/>
        <w:jc w:val="both"/>
        <w:rPr>
          <w:sz w:val="16"/>
        </w:rPr>
      </w:pPr>
      <w:r>
        <w:rPr>
          <w:position w:val="7"/>
          <w:sz w:val="10"/>
        </w:rPr>
        <w:t>a </w:t>
      </w:r>
      <w:r>
        <w:rPr>
          <w:sz w:val="16"/>
        </w:rPr>
        <w:t>Instituto Tecnológico de Los Mochis, Juan de Dios Batiz y 20 de  noviembre s/n código postal 81259, alberto_ramirez_leyva@yahoo,com,  Los Mochis, Sinaloa,</w:t>
      </w:r>
      <w:r>
        <w:rPr>
          <w:spacing w:val="-19"/>
          <w:sz w:val="16"/>
        </w:rPr>
        <w:t> </w:t>
      </w:r>
      <w:r>
        <w:rPr>
          <w:sz w:val="16"/>
        </w:rPr>
        <w:t>México.</w:t>
      </w:r>
    </w:p>
    <w:p>
      <w:pPr>
        <w:spacing w:line="184" w:lineRule="exact" w:before="0"/>
        <w:ind w:left="270" w:right="0" w:firstLine="0"/>
        <w:jc w:val="both"/>
        <w:rPr>
          <w:sz w:val="16"/>
        </w:rPr>
      </w:pPr>
      <w:r>
        <w:rPr>
          <w:position w:val="7"/>
          <w:sz w:val="10"/>
        </w:rPr>
        <w:t>b   </w:t>
      </w:r>
      <w:r>
        <w:rPr>
          <w:sz w:val="16"/>
        </w:rPr>
        <w:t>Instituto  Tecnológico  de  Los  Mochis,  Juan  de  Dios  Batiz  y  20      de</w:t>
      </w:r>
    </w:p>
    <w:p>
      <w:pPr>
        <w:spacing w:before="1"/>
        <w:ind w:left="270" w:right="1" w:firstLine="0"/>
        <w:jc w:val="both"/>
        <w:rPr>
          <w:sz w:val="16"/>
        </w:rPr>
      </w:pPr>
      <w:r>
        <w:rPr>
          <w:sz w:val="16"/>
        </w:rPr>
        <w:t>noviembre s/n código postal 81259, </w:t>
      </w:r>
      <w:hyperlink r:id="rId568">
        <w:r>
          <w:rPr>
            <w:sz w:val="16"/>
          </w:rPr>
          <w:t>Diegoestradarosas@yahoo.com.mx</w:t>
        </w:r>
      </w:hyperlink>
      <w:r>
        <w:rPr>
          <w:sz w:val="16"/>
        </w:rPr>
        <w:t>  , Los Mochis, Sinaloa, México.</w:t>
      </w:r>
    </w:p>
    <w:p>
      <w:pPr>
        <w:spacing w:line="184" w:lineRule="exact" w:before="0"/>
        <w:ind w:left="270" w:right="0" w:firstLine="0"/>
        <w:jc w:val="both"/>
        <w:rPr>
          <w:sz w:val="16"/>
        </w:rPr>
      </w:pPr>
      <w:r>
        <w:rPr>
          <w:position w:val="7"/>
          <w:sz w:val="10"/>
        </w:rPr>
        <w:t>c   </w:t>
      </w:r>
      <w:r>
        <w:rPr>
          <w:sz w:val="16"/>
        </w:rPr>
        <w:t>Instituto  Tecnológico  de  Los  Mochis,  Juan  de  Dios  Batiz  y  20      de</w:t>
      </w:r>
    </w:p>
    <w:p>
      <w:pPr>
        <w:spacing w:before="1"/>
        <w:ind w:left="270" w:right="1" w:firstLine="0"/>
        <w:jc w:val="both"/>
        <w:rPr>
          <w:sz w:val="16"/>
        </w:rPr>
      </w:pPr>
      <w:r>
        <w:rPr>
          <w:sz w:val="16"/>
        </w:rPr>
        <w:t>noviembre s/n código postal 81259, </w:t>
      </w:r>
      <w:hyperlink r:id="rId569">
        <w:r>
          <w:rPr>
            <w:sz w:val="16"/>
          </w:rPr>
          <w:t>Lvaldez018@gmail.com</w:t>
        </w:r>
      </w:hyperlink>
      <w:r>
        <w:rPr>
          <w:sz w:val="16"/>
        </w:rPr>
        <w:t> , Los Mochis, Sinaloa, México.</w:t>
      </w:r>
    </w:p>
    <w:p>
      <w:pPr>
        <w:spacing w:line="184" w:lineRule="exact" w:before="0"/>
        <w:ind w:left="270" w:right="0" w:firstLine="0"/>
        <w:jc w:val="both"/>
        <w:rPr>
          <w:sz w:val="16"/>
        </w:rPr>
      </w:pPr>
      <w:r>
        <w:rPr>
          <w:position w:val="7"/>
          <w:sz w:val="10"/>
        </w:rPr>
        <w:t>d   </w:t>
      </w:r>
      <w:r>
        <w:rPr>
          <w:sz w:val="16"/>
        </w:rPr>
        <w:t>Instituto  Tecnológico  de  Los  Mochis,  Juan  de  Dios  Batiz  y  20      de</w:t>
      </w:r>
    </w:p>
    <w:p>
      <w:pPr>
        <w:spacing w:before="2"/>
        <w:ind w:left="270" w:right="18" w:firstLine="0"/>
        <w:jc w:val="both"/>
        <w:rPr>
          <w:sz w:val="16"/>
        </w:rPr>
      </w:pPr>
      <w:r>
        <w:rPr>
          <w:sz w:val="16"/>
        </w:rPr>
        <w:t>noviembre s/n código postal 81259, </w:t>
      </w:r>
      <w:hyperlink r:id="rId570">
        <w:r>
          <w:rPr>
            <w:sz w:val="16"/>
          </w:rPr>
          <w:t>Yanethkizu@gmail.com</w:t>
        </w:r>
        <w:r>
          <w:rPr>
            <w:sz w:val="20"/>
          </w:rPr>
          <w:t>,</w:t>
        </w:r>
      </w:hyperlink>
      <w:r>
        <w:rPr>
          <w:sz w:val="20"/>
        </w:rPr>
        <w:t> </w:t>
      </w:r>
      <w:r>
        <w:rPr>
          <w:sz w:val="16"/>
        </w:rPr>
        <w:t>Los Mochis, Sinaloa, México.</w:t>
      </w:r>
    </w:p>
    <w:p>
      <w:pPr>
        <w:spacing w:line="184" w:lineRule="exact" w:before="3"/>
        <w:ind w:left="270" w:right="0" w:firstLine="0"/>
        <w:jc w:val="both"/>
        <w:rPr>
          <w:sz w:val="16"/>
        </w:rPr>
      </w:pPr>
      <w:r>
        <w:rPr>
          <w:position w:val="7"/>
          <w:sz w:val="10"/>
        </w:rPr>
        <w:t>e </w:t>
      </w:r>
      <w:r>
        <w:rPr>
          <w:sz w:val="16"/>
        </w:rPr>
        <w:t>Estudiante de Ingeniería Industrial del Instituto Tecnológico de Los  Mochis, Juan de Dios Batiz y 20 de noviembre s/n código postal </w:t>
      </w:r>
      <w:hyperlink r:id="rId571">
        <w:r>
          <w:rPr>
            <w:sz w:val="16"/>
          </w:rPr>
          <w:t>81259,saaravega@gmail.com</w:t>
        </w:r>
      </w:hyperlink>
      <w:r>
        <w:rPr>
          <w:sz w:val="16"/>
        </w:rPr>
        <w:t> , Los Mochis, Sinaloa,</w:t>
      </w:r>
      <w:r>
        <w:rPr>
          <w:spacing w:val="-20"/>
          <w:sz w:val="16"/>
        </w:rPr>
        <w:t> </w:t>
      </w:r>
      <w:r>
        <w:rPr>
          <w:sz w:val="16"/>
        </w:rPr>
        <w:t>México.</w:t>
      </w:r>
    </w:p>
    <w:p>
      <w:pPr>
        <w:pStyle w:val="BodyText"/>
        <w:spacing w:before="2"/>
        <w:rPr>
          <w:sz w:val="16"/>
        </w:rPr>
      </w:pPr>
    </w:p>
    <w:p>
      <w:pPr>
        <w:pStyle w:val="Heading4"/>
        <w:spacing w:before="1"/>
      </w:pPr>
      <w:r>
        <w:rPr/>
        <w:pict>
          <v:line style="position:absolute;mso-position-horizontal-relative:page;mso-position-vertical-relative:paragraph;z-index:14416" from="41.040001pt,13.255935pt" to="289.860001pt,13.255935pt" stroked="true" strokeweight="1.5pt" strokecolor="#000000">
            <w10:wrap type="none"/>
          </v:line>
        </w:pict>
      </w:r>
      <w:r>
        <w:rPr/>
        <w:t>Resumen</w:t>
      </w:r>
    </w:p>
    <w:p>
      <w:pPr>
        <w:pStyle w:val="BodyText"/>
        <w:spacing w:before="46"/>
        <w:ind w:left="270" w:right="17"/>
        <w:jc w:val="both"/>
      </w:pPr>
      <w:r>
        <w:rPr/>
        <w:t>El sector pesquero en Topolobampo es un trabajo con una gran demanda, sin embargo puede ocasionar efectos negativos ya que se requiere de gran esfuerzo y tensión. El presente trabajo se refiere a una investigación que se realizó en el puerto de Topolobampo localizado en Ahome Sinaloa, a pescadores de bahía que utilizan el medio de transporte llamada lancha con el fin de saber cuáles son las principales fatigas que presentan antes, al momento y después de  laborar. Para poder llevar a cabo esta investigación se tuvo que muestrear a 20 pescadores con una edad entre 27 y 58 años que tienen más de 10 años laborando entre 10  a 18 horas diarias. Las metodologías que se utilizaron fueron el cuestionario de Yoshitake y 4 puntos Luke durante un lapso de tiempo de 3 semanas, cuestionándolos en el momento en el que entran a laborar y al momento de la salida, pero este horario no es especifico ya que este trabajo se guía de las mareas y por lo tanto este puede ser muhing. En los resultados obtenidos mediante los métodos mostraron que  los pescadores presentan fatigas a mitad de semana y cuando ésta culmina la fatiga es</w:t>
      </w:r>
      <w:r>
        <w:rPr>
          <w:spacing w:val="-23"/>
        </w:rPr>
        <w:t> </w:t>
      </w:r>
      <w:r>
        <w:rPr/>
        <w:t>excesiva.</w:t>
      </w:r>
    </w:p>
    <w:p>
      <w:pPr>
        <w:pStyle w:val="BodyText"/>
        <w:spacing w:before="11"/>
        <w:rPr>
          <w:sz w:val="19"/>
        </w:rPr>
      </w:pPr>
    </w:p>
    <w:p>
      <w:pPr>
        <w:spacing w:before="0"/>
        <w:ind w:left="270" w:right="0" w:firstLine="0"/>
        <w:jc w:val="both"/>
        <w:rPr>
          <w:sz w:val="20"/>
        </w:rPr>
      </w:pPr>
      <w:r>
        <w:rPr>
          <w:b/>
          <w:sz w:val="20"/>
        </w:rPr>
        <w:t>Palabras clave</w:t>
      </w:r>
      <w:r>
        <w:rPr>
          <w:sz w:val="20"/>
        </w:rPr>
        <w:t>—Cansancio, Yoshitake, 4 puntos Luke.</w:t>
      </w:r>
    </w:p>
    <w:p>
      <w:pPr>
        <w:pStyle w:val="BodyText"/>
        <w:spacing w:before="3"/>
      </w:pPr>
    </w:p>
    <w:p>
      <w:pPr>
        <w:pStyle w:val="Heading5"/>
        <w:rPr>
          <w:i/>
        </w:rPr>
      </w:pPr>
      <w:r>
        <w:rPr/>
        <w:pict>
          <v:line style="position:absolute;mso-position-horizontal-relative:page;mso-position-vertical-relative:paragraph;z-index:14440" from="41.040001pt,13.266676pt" to="289.860001pt,13.266676pt" stroked="true" strokeweight="1.5pt" strokecolor="#000000">
            <w10:wrap type="none"/>
          </v:line>
        </w:pict>
      </w:r>
      <w:r>
        <w:rPr>
          <w:i/>
        </w:rPr>
        <w:t>Abstract</w:t>
      </w:r>
    </w:p>
    <w:p>
      <w:pPr>
        <w:spacing w:before="47"/>
        <w:ind w:left="270" w:right="18" w:firstLine="0"/>
        <w:jc w:val="both"/>
        <w:rPr>
          <w:i/>
          <w:sz w:val="20"/>
        </w:rPr>
      </w:pPr>
      <w:r>
        <w:rPr>
          <w:i/>
          <w:sz w:val="20"/>
        </w:rPr>
        <w:t>The fishing sector in Topolobampo has a great income of </w:t>
      </w:r>
      <w:r>
        <w:rPr>
          <w:i/>
          <w:sz w:val="20"/>
        </w:rPr>
        <w:t>money, but physically down come in almost every human, the fisherman of the bay use normal boats as transport  and to get around.to be able to make this investigation interviewing</w:t>
      </w:r>
    </w:p>
    <w:p>
      <w:pPr>
        <w:spacing w:before="0"/>
        <w:ind w:left="270" w:right="16" w:firstLine="0"/>
        <w:jc w:val="both"/>
        <w:rPr>
          <w:i/>
          <w:sz w:val="20"/>
        </w:rPr>
      </w:pPr>
      <w:r>
        <w:rPr>
          <w:i/>
          <w:sz w:val="20"/>
        </w:rPr>
        <w:t>20 fisherman that where between 27 and 58 and have </w:t>
      </w:r>
      <w:r>
        <w:rPr>
          <w:i/>
          <w:sz w:val="20"/>
        </w:rPr>
        <w:t>experience of at least ten years from ten to 18 hours. The methods used nowhere Yoshitake and 4 points Luke during a lapse of 3 weeks, interviewing them before and after they get to work. Since the climate and the waves decide whether they fish or not so it’s not a secure job.in the results gathered</w:t>
      </w:r>
    </w:p>
    <w:p>
      <w:pPr>
        <w:spacing w:before="74"/>
        <w:ind w:left="270" w:right="677" w:firstLine="0"/>
        <w:jc w:val="both"/>
        <w:rPr>
          <w:i/>
          <w:sz w:val="20"/>
        </w:rPr>
      </w:pPr>
      <w:r>
        <w:rPr/>
        <w:br w:type="column"/>
      </w:r>
      <w:r>
        <w:rPr>
          <w:i/>
          <w:sz w:val="20"/>
        </w:rPr>
        <w:t>during the methods showed that the fisherman present </w:t>
      </w:r>
      <w:r>
        <w:rPr>
          <w:i/>
          <w:sz w:val="20"/>
        </w:rPr>
        <w:t>fatigue at mid-week, and when the week gets to an end the fatigue is excessive.</w:t>
      </w:r>
    </w:p>
    <w:p>
      <w:pPr>
        <w:pStyle w:val="BodyText"/>
        <w:spacing w:before="11"/>
        <w:rPr>
          <w:i/>
          <w:sz w:val="19"/>
        </w:rPr>
      </w:pPr>
    </w:p>
    <w:p>
      <w:pPr>
        <w:spacing w:before="0"/>
        <w:ind w:left="270" w:right="0" w:firstLine="0"/>
        <w:jc w:val="both"/>
        <w:rPr>
          <w:i/>
          <w:sz w:val="20"/>
        </w:rPr>
      </w:pPr>
      <w:r>
        <w:rPr>
          <w:b/>
          <w:i/>
          <w:sz w:val="20"/>
        </w:rPr>
        <w:t>Keywords</w:t>
      </w:r>
      <w:r>
        <w:rPr>
          <w:i/>
          <w:sz w:val="20"/>
        </w:rPr>
        <w:t>— Yoshitake, 4 points scale of Luke, Tiredness,</w:t>
      </w:r>
    </w:p>
    <w:p>
      <w:pPr>
        <w:pStyle w:val="BodyText"/>
        <w:rPr>
          <w:i/>
        </w:rPr>
      </w:pPr>
    </w:p>
    <w:p>
      <w:pPr>
        <w:pStyle w:val="BodyText"/>
        <w:spacing w:before="1"/>
        <w:ind w:left="270" w:right="676"/>
        <w:jc w:val="both"/>
      </w:pPr>
      <w:r>
        <w:rPr/>
        <w:t>Relevance to Ergonomics: It is very important to create change through ergonomics in this area is fishing, as many people engaged in this great work and daily seeking a better life economically and do not realize they are seriously damaging your health and therefore over the years for its quality of life and work productivity will decrease considerably.</w:t>
      </w:r>
    </w:p>
    <w:p>
      <w:pPr>
        <w:pStyle w:val="BodyText"/>
        <w:spacing w:before="3"/>
      </w:pPr>
    </w:p>
    <w:p>
      <w:pPr>
        <w:pStyle w:val="Heading4"/>
        <w:numPr>
          <w:ilvl w:val="0"/>
          <w:numId w:val="120"/>
        </w:numPr>
        <w:tabs>
          <w:tab w:pos="473" w:val="left" w:leader="none"/>
        </w:tabs>
        <w:spacing w:line="240" w:lineRule="auto" w:before="0" w:after="0"/>
        <w:ind w:left="472" w:right="0" w:hanging="202"/>
        <w:jc w:val="both"/>
      </w:pPr>
      <w:r>
        <w:rPr/>
        <w:t>Introduction</w:t>
      </w:r>
    </w:p>
    <w:p>
      <w:pPr>
        <w:pStyle w:val="BodyText"/>
        <w:spacing w:before="8"/>
        <w:rPr>
          <w:b/>
          <w:sz w:val="19"/>
        </w:rPr>
      </w:pPr>
    </w:p>
    <w:p>
      <w:pPr>
        <w:pStyle w:val="BodyText"/>
        <w:ind w:left="270" w:right="630"/>
        <w:jc w:val="both"/>
      </w:pPr>
      <w:r>
        <w:rPr/>
        <w:t>In the last years, principally, people that are workers have gotten sick because of bad ergonomic conditions at work, mostly because they don’t use the correct tools because of ruff movements or for not performing them right, pick up heavy loads, and so on.</w:t>
      </w:r>
    </w:p>
    <w:p>
      <w:pPr>
        <w:pStyle w:val="BodyText"/>
        <w:spacing w:before="11"/>
        <w:rPr>
          <w:sz w:val="19"/>
        </w:rPr>
      </w:pPr>
    </w:p>
    <w:p>
      <w:pPr>
        <w:pStyle w:val="BodyText"/>
        <w:ind w:left="270" w:right="629" w:firstLine="567"/>
        <w:jc w:val="both"/>
      </w:pPr>
      <w:r>
        <w:rPr/>
        <w:t>In this study the interest of getting to port Topolobampo, the fishing is a region with great demand because it’s one of the principal Jobs at the place.unfortuantely it’s not a area that is clearly investigated because it’s been practiced since the ancient times.</w:t>
      </w:r>
    </w:p>
    <w:p>
      <w:pPr>
        <w:pStyle w:val="BodyText"/>
        <w:spacing w:before="11"/>
        <w:rPr>
          <w:sz w:val="19"/>
        </w:rPr>
      </w:pPr>
    </w:p>
    <w:p>
      <w:pPr>
        <w:pStyle w:val="BodyText"/>
        <w:ind w:left="270" w:right="630" w:firstLine="567"/>
        <w:jc w:val="both"/>
      </w:pPr>
      <w:r>
        <w:rPr/>
        <w:t>It does not get enough attention, but by mistake of course, because it should get more attention now that it’s comproved that at least one time in their life the fisherman present injury’s occurred at work, but for most of them it’s normal because they are not aware of the risk.</w:t>
      </w:r>
    </w:p>
    <w:p>
      <w:pPr>
        <w:pStyle w:val="BodyText"/>
      </w:pPr>
    </w:p>
    <w:p>
      <w:pPr>
        <w:pStyle w:val="BodyText"/>
        <w:spacing w:before="1"/>
        <w:ind w:left="270" w:right="631" w:firstLine="567"/>
        <w:jc w:val="both"/>
      </w:pPr>
      <w:r>
        <w:rPr/>
        <w:t>This job wears out the workers, they work from 10 to 18 hours, this means they spend more than half a day in the sea, most of them are sitting.</w:t>
      </w:r>
    </w:p>
    <w:p>
      <w:pPr>
        <w:pStyle w:val="BodyText"/>
        <w:spacing w:before="11"/>
        <w:rPr>
          <w:sz w:val="19"/>
        </w:rPr>
      </w:pPr>
    </w:p>
    <w:p>
      <w:pPr>
        <w:pStyle w:val="BodyText"/>
        <w:ind w:left="270" w:right="630" w:firstLine="567"/>
        <w:jc w:val="both"/>
      </w:pPr>
      <w:r>
        <w:rPr/>
        <w:t>The fatigue the fisherman show is caused because of wrong ways to stand or sit at work, also because of repeated movements. The physical fatigue also damages the mental health and thereby affects their work.</w:t>
      </w:r>
    </w:p>
    <w:p>
      <w:pPr>
        <w:pStyle w:val="BodyText"/>
      </w:pPr>
    </w:p>
    <w:p>
      <w:pPr>
        <w:pStyle w:val="BodyText"/>
        <w:spacing w:before="1"/>
        <w:ind w:left="270" w:right="630" w:firstLine="567"/>
        <w:jc w:val="both"/>
      </w:pPr>
      <w:r>
        <w:rPr/>
        <w:t>The methods that were used where the yoshitake method, now that repeatedness is mentioned,conecentration and physical damages, just like Luke four points that  are used to measure the stealth of the worker as the week goes on.</w:t>
      </w:r>
    </w:p>
    <w:p>
      <w:pPr>
        <w:pStyle w:val="BodyText"/>
      </w:pPr>
    </w:p>
    <w:p>
      <w:pPr>
        <w:pStyle w:val="BodyText"/>
        <w:spacing w:before="1"/>
        <w:ind w:left="270" w:right="630" w:firstLine="567"/>
        <w:jc w:val="both"/>
      </w:pPr>
      <w:r>
        <w:rPr/>
        <w:t>This method is used to know what is causing the worker damage and what in what part of the week causes more damage.</w:t>
      </w:r>
    </w:p>
    <w:p>
      <w:pPr>
        <w:pStyle w:val="BodyText"/>
        <w:spacing w:before="2"/>
      </w:pPr>
    </w:p>
    <w:p>
      <w:pPr>
        <w:pStyle w:val="Heading4"/>
        <w:numPr>
          <w:ilvl w:val="1"/>
          <w:numId w:val="120"/>
        </w:numPr>
        <w:tabs>
          <w:tab w:pos="622" w:val="left" w:leader="none"/>
        </w:tabs>
        <w:spacing w:line="240" w:lineRule="auto" w:before="0" w:after="0"/>
        <w:ind w:left="621" w:right="0" w:hanging="351"/>
        <w:jc w:val="both"/>
      </w:pPr>
      <w:r>
        <w:rPr>
          <w:color w:val="202020"/>
        </w:rPr>
        <w:t>Justification</w:t>
      </w:r>
    </w:p>
    <w:p>
      <w:pPr>
        <w:pStyle w:val="BodyText"/>
        <w:spacing w:before="8"/>
        <w:rPr>
          <w:b/>
          <w:sz w:val="19"/>
        </w:rPr>
      </w:pPr>
    </w:p>
    <w:p>
      <w:pPr>
        <w:pStyle w:val="BodyText"/>
        <w:ind w:left="270" w:right="676"/>
        <w:jc w:val="both"/>
      </w:pPr>
      <w:r>
        <w:rPr>
          <w:color w:val="202020"/>
        </w:rPr>
        <w:t>The physical and mental health in people is paramount in your daily life and also when labor, fishermen need great patience as the catch of marine species not depend on  them,</w:t>
      </w:r>
    </w:p>
    <w:p>
      <w:pPr>
        <w:spacing w:after="0"/>
        <w:jc w:val="both"/>
        <w:sectPr>
          <w:type w:val="continuous"/>
          <w:pgSz w:w="12240" w:h="15840"/>
          <w:pgMar w:top="1500" w:bottom="280" w:left="580" w:right="220"/>
          <w:cols w:num="2" w:equalWidth="0">
            <w:col w:w="5209" w:space="416"/>
            <w:col w:w="5815"/>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4"/>
        <w:ind w:left="270"/>
        <w:jc w:val="both"/>
      </w:pPr>
      <w:r>
        <w:rPr>
          <w:color w:val="202020"/>
        </w:rPr>
        <w:t>they also perform various movements that are unsuitable to their health and work in conditions that directly affect your body, for that reason the study of fatigue using the questionnaire Yoshitake and 4-point scale Luke to know what are the main reasons for their extreme tiredness was made.</w:t>
      </w:r>
    </w:p>
    <w:p>
      <w:pPr>
        <w:pStyle w:val="BodyText"/>
      </w:pPr>
    </w:p>
    <w:p>
      <w:pPr>
        <w:pStyle w:val="BodyText"/>
        <w:spacing w:before="11"/>
        <w:rPr>
          <w:sz w:val="23"/>
        </w:rPr>
      </w:pPr>
    </w:p>
    <w:p>
      <w:pPr>
        <w:pStyle w:val="BodyText"/>
        <w:ind w:left="506" w:right="239"/>
        <w:jc w:val="center"/>
      </w:pPr>
      <w:r>
        <w:rPr/>
        <w:t>Table 1 - Occupational diseases according nature of the injury and sex, 2011 - 2013 Sinaloa</w:t>
      </w:r>
    </w:p>
    <w:p>
      <w:pPr>
        <w:pStyle w:val="BodyText"/>
        <w:ind w:left="270"/>
      </w:pPr>
      <w:r>
        <w:rPr/>
        <w:drawing>
          <wp:inline distT="0" distB="0" distL="0" distR="0">
            <wp:extent cx="3056818" cy="1813560"/>
            <wp:effectExtent l="0" t="0" r="0" b="0"/>
            <wp:docPr id="573" name="image344.png" descr=""/>
            <wp:cNvGraphicFramePr>
              <a:graphicFrameLocks noChangeAspect="1"/>
            </wp:cNvGraphicFramePr>
            <a:graphic>
              <a:graphicData uri="http://schemas.openxmlformats.org/drawingml/2006/picture">
                <pic:pic>
                  <pic:nvPicPr>
                    <pic:cNvPr id="574" name="image344.png"/>
                    <pic:cNvPicPr/>
                  </pic:nvPicPr>
                  <pic:blipFill>
                    <a:blip r:embed="rId572" cstate="print"/>
                    <a:stretch>
                      <a:fillRect/>
                    </a:stretch>
                  </pic:blipFill>
                  <pic:spPr>
                    <a:xfrm>
                      <a:off x="0" y="0"/>
                      <a:ext cx="3056818" cy="1813560"/>
                    </a:xfrm>
                    <a:prstGeom prst="rect">
                      <a:avLst/>
                    </a:prstGeom>
                  </pic:spPr>
                </pic:pic>
              </a:graphicData>
            </a:graphic>
          </wp:inline>
        </w:drawing>
      </w:r>
      <w:r>
        <w:rPr/>
      </w:r>
    </w:p>
    <w:p>
      <w:pPr>
        <w:pStyle w:val="BodyText"/>
        <w:spacing w:before="5"/>
        <w:ind w:left="276" w:right="8"/>
        <w:jc w:val="center"/>
      </w:pPr>
      <w:r>
        <w:rPr/>
        <w:t>Source: Reports statistics IMSS, 2011- 2013</w:t>
      </w:r>
    </w:p>
    <w:p>
      <w:pPr>
        <w:pStyle w:val="BodyText"/>
      </w:pPr>
    </w:p>
    <w:p>
      <w:pPr>
        <w:pStyle w:val="BodyText"/>
      </w:pPr>
    </w:p>
    <w:p>
      <w:pPr>
        <w:pStyle w:val="BodyText"/>
        <w:ind w:left="270" w:right="1" w:firstLine="567"/>
        <w:jc w:val="both"/>
      </w:pPr>
      <w:r>
        <w:rPr>
          <w:color w:val="202020"/>
        </w:rPr>
        <w:t>This table shows the rate of injuries that occurred during the period of 2011-2013 and as seen increases every year since no fatigue is controlled workers is. 3.37 % of men have shoulder injuries, 1.12 % respiratory disease, pneumoconiosis 2.24 % and 65% of other diseases in the course of the year 2013.</w:t>
      </w:r>
    </w:p>
    <w:p>
      <w:pPr>
        <w:pStyle w:val="BodyText"/>
        <w:spacing w:before="2"/>
      </w:pPr>
    </w:p>
    <w:p>
      <w:pPr>
        <w:pStyle w:val="Heading4"/>
      </w:pPr>
      <w:r>
        <w:rPr>
          <w:color w:val="202020"/>
        </w:rPr>
        <w:t>1.2 Objectives</w:t>
      </w:r>
    </w:p>
    <w:p>
      <w:pPr>
        <w:pStyle w:val="BodyText"/>
        <w:spacing w:before="8"/>
        <w:rPr>
          <w:b/>
          <w:sz w:val="19"/>
        </w:rPr>
      </w:pPr>
    </w:p>
    <w:p>
      <w:pPr>
        <w:pStyle w:val="BodyText"/>
        <w:ind w:left="270" w:right="2"/>
        <w:jc w:val="both"/>
      </w:pPr>
      <w:r>
        <w:rPr>
          <w:color w:val="202020"/>
        </w:rPr>
        <w:t>Determine if you are developing some kind of fatigue in the fishing port of Topolobampo.</w:t>
      </w:r>
    </w:p>
    <w:p>
      <w:pPr>
        <w:pStyle w:val="BodyText"/>
        <w:ind w:left="270"/>
        <w:jc w:val="both"/>
      </w:pPr>
      <w:r>
        <w:rPr>
          <w:w w:val="100"/>
        </w:rPr>
        <w:t>.</w:t>
      </w:r>
    </w:p>
    <w:p>
      <w:pPr>
        <w:pStyle w:val="Heading4"/>
        <w:spacing w:before="117"/>
      </w:pPr>
      <w:r>
        <w:rPr>
          <w:color w:val="202020"/>
        </w:rPr>
        <w:t>1.2.1 Specific objectives</w:t>
      </w:r>
    </w:p>
    <w:p>
      <w:pPr>
        <w:pStyle w:val="BodyText"/>
        <w:spacing w:before="8"/>
        <w:rPr>
          <w:b/>
          <w:sz w:val="19"/>
        </w:rPr>
      </w:pPr>
    </w:p>
    <w:p>
      <w:pPr>
        <w:pStyle w:val="ListParagraph"/>
        <w:numPr>
          <w:ilvl w:val="0"/>
          <w:numId w:val="29"/>
        </w:numPr>
        <w:tabs>
          <w:tab w:pos="555" w:val="left" w:leader="none"/>
          <w:tab w:pos="556" w:val="left" w:leader="none"/>
        </w:tabs>
        <w:spacing w:line="245" w:lineRule="exact" w:before="0" w:after="0"/>
        <w:ind w:left="555" w:right="0" w:hanging="426"/>
        <w:jc w:val="left"/>
        <w:rPr>
          <w:rFonts w:ascii="Symbol"/>
          <w:color w:val="202020"/>
          <w:sz w:val="20"/>
        </w:rPr>
      </w:pPr>
      <w:r>
        <w:rPr>
          <w:color w:val="202020"/>
          <w:sz w:val="20"/>
        </w:rPr>
        <w:t>Analyze the movements made by</w:t>
      </w:r>
      <w:r>
        <w:rPr>
          <w:color w:val="202020"/>
          <w:spacing w:val="-18"/>
          <w:sz w:val="20"/>
        </w:rPr>
        <w:t> </w:t>
      </w:r>
      <w:r>
        <w:rPr>
          <w:color w:val="202020"/>
          <w:sz w:val="20"/>
        </w:rPr>
        <w:t>fishermen.</w:t>
      </w:r>
    </w:p>
    <w:p>
      <w:pPr>
        <w:pStyle w:val="ListParagraph"/>
        <w:numPr>
          <w:ilvl w:val="0"/>
          <w:numId w:val="29"/>
        </w:numPr>
        <w:tabs>
          <w:tab w:pos="555" w:val="left" w:leader="none"/>
          <w:tab w:pos="556" w:val="left" w:leader="none"/>
        </w:tabs>
        <w:spacing w:line="240" w:lineRule="auto" w:before="0" w:after="0"/>
        <w:ind w:left="270" w:right="2" w:hanging="141"/>
        <w:jc w:val="left"/>
        <w:rPr>
          <w:rFonts w:ascii="Symbol"/>
          <w:color w:val="202020"/>
          <w:sz w:val="20"/>
        </w:rPr>
      </w:pPr>
      <w:r>
        <w:rPr>
          <w:color w:val="202020"/>
          <w:sz w:val="20"/>
        </w:rPr>
        <w:t>Determine where in the body these fatigue (tiredness) occur.</w:t>
      </w:r>
    </w:p>
    <w:p>
      <w:pPr>
        <w:pStyle w:val="BodyText"/>
        <w:spacing w:before="2"/>
      </w:pPr>
    </w:p>
    <w:p>
      <w:pPr>
        <w:pStyle w:val="Heading4"/>
        <w:numPr>
          <w:ilvl w:val="0"/>
          <w:numId w:val="120"/>
        </w:numPr>
        <w:tabs>
          <w:tab w:pos="472" w:val="left" w:leader="none"/>
        </w:tabs>
        <w:spacing w:line="240" w:lineRule="auto" w:before="0" w:after="0"/>
        <w:ind w:left="471" w:right="0" w:hanging="201"/>
        <w:jc w:val="both"/>
      </w:pPr>
      <w:r>
        <w:rPr>
          <w:color w:val="202020"/>
        </w:rPr>
        <w:t>Methodology</w:t>
      </w:r>
    </w:p>
    <w:p>
      <w:pPr>
        <w:pStyle w:val="BodyText"/>
        <w:spacing w:before="7"/>
        <w:rPr>
          <w:b/>
          <w:sz w:val="19"/>
        </w:rPr>
      </w:pPr>
    </w:p>
    <w:p>
      <w:pPr>
        <w:spacing w:before="0"/>
        <w:ind w:left="270" w:right="0" w:firstLine="0"/>
        <w:jc w:val="both"/>
        <w:rPr>
          <w:b/>
          <w:sz w:val="20"/>
        </w:rPr>
      </w:pPr>
      <w:r>
        <w:rPr>
          <w:b/>
          <w:sz w:val="20"/>
        </w:rPr>
        <w:t>2.1 Materials</w:t>
      </w:r>
    </w:p>
    <w:p>
      <w:pPr>
        <w:pStyle w:val="BodyText"/>
        <w:spacing w:before="9"/>
        <w:rPr>
          <w:b/>
          <w:sz w:val="19"/>
        </w:rPr>
      </w:pPr>
    </w:p>
    <w:p>
      <w:pPr>
        <w:pStyle w:val="BodyText"/>
        <w:spacing w:before="1"/>
        <w:ind w:left="270"/>
        <w:jc w:val="both"/>
      </w:pPr>
      <w:r>
        <w:rPr/>
        <w:t>The materials used to finish this investigation where: 60 Yoshitake questions, 60 Luke four points formats, one laptop COMPAQ Presario cq57,office Excel 2010 to dispose of the data.</w:t>
      </w:r>
    </w:p>
    <w:p>
      <w:pPr>
        <w:pStyle w:val="BodyText"/>
        <w:spacing w:before="6"/>
        <w:rPr>
          <w:sz w:val="21"/>
        </w:rPr>
      </w:pPr>
    </w:p>
    <w:p>
      <w:pPr>
        <w:pStyle w:val="Heading4"/>
      </w:pPr>
      <w:r>
        <w:rPr/>
        <w:t>2.2. Method</w:t>
      </w:r>
    </w:p>
    <w:p>
      <w:pPr>
        <w:pStyle w:val="BodyText"/>
        <w:rPr>
          <w:b/>
          <w:sz w:val="21"/>
        </w:rPr>
      </w:pPr>
    </w:p>
    <w:p>
      <w:pPr>
        <w:pStyle w:val="BodyText"/>
        <w:ind w:left="270" w:right="1"/>
        <w:jc w:val="both"/>
      </w:pPr>
      <w:r>
        <w:rPr/>
        <w:t>In the present day there are various methods to determine fatigue, mental, physical and muscular. In this investigation the methods used to obtain the correct info in the study of</w:t>
      </w:r>
    </w:p>
    <w:p>
      <w:pPr>
        <w:pStyle w:val="BodyText"/>
        <w:spacing w:before="74"/>
        <w:ind w:left="129" w:right="677"/>
        <w:jc w:val="both"/>
      </w:pPr>
      <w:r>
        <w:rPr/>
        <w:br w:type="column"/>
      </w:r>
      <w:r>
        <w:rPr/>
        <w:t>fatigue because of the job, to fisherman in the port of Topolobampo.</w:t>
      </w:r>
    </w:p>
    <w:p>
      <w:pPr>
        <w:pStyle w:val="BodyText"/>
      </w:pPr>
    </w:p>
    <w:p>
      <w:pPr>
        <w:pStyle w:val="BodyText"/>
        <w:spacing w:before="1"/>
        <w:ind w:left="129" w:right="676" w:firstLine="567"/>
        <w:jc w:val="both"/>
      </w:pPr>
      <w:r>
        <w:rPr/>
        <w:t>The work the fisherman realice is fishing crustaceans using fishing arts, such as the churupa, tarraya, chango, chinchorro etc.</w:t>
      </w:r>
    </w:p>
    <w:p>
      <w:pPr>
        <w:pStyle w:val="BodyText"/>
        <w:spacing w:before="11"/>
        <w:rPr>
          <w:sz w:val="19"/>
        </w:rPr>
      </w:pPr>
    </w:p>
    <w:p>
      <w:pPr>
        <w:pStyle w:val="BodyText"/>
        <w:ind w:left="129" w:right="676" w:firstLine="567"/>
        <w:jc w:val="both"/>
      </w:pPr>
      <w:r>
        <w:rPr/>
        <w:t>The body parts that are most used are the arms and hands specifically the back, waist, legs, and the knees. The capture of data was realized by yoshitake questions that is confirmed by 20 questions which are divided in three sections of ten questions. Part of it is monotony conscious and physical damage. After, the sobbing of pain is captured and calculed,and the Luke four points method is a scale to determine the fatigue in the week and is divided in four categories, where one is not tired, two tired, three very tired and, four extremely tired.</w:t>
      </w:r>
    </w:p>
    <w:p>
      <w:pPr>
        <w:pStyle w:val="BodyText"/>
        <w:spacing w:before="2"/>
      </w:pPr>
    </w:p>
    <w:p>
      <w:pPr>
        <w:pStyle w:val="Heading4"/>
        <w:numPr>
          <w:ilvl w:val="1"/>
          <w:numId w:val="121"/>
        </w:numPr>
        <w:tabs>
          <w:tab w:pos="483" w:val="left" w:leader="none"/>
        </w:tabs>
        <w:spacing w:line="240" w:lineRule="auto" w:before="0" w:after="0"/>
        <w:ind w:left="129" w:right="675" w:firstLine="0"/>
        <w:jc w:val="both"/>
      </w:pPr>
      <w:r>
        <w:rPr/>
        <w:t>Methods to determine fatigue because of physical damage.</w:t>
      </w:r>
    </w:p>
    <w:p>
      <w:pPr>
        <w:pStyle w:val="BodyText"/>
        <w:spacing w:before="8"/>
        <w:rPr>
          <w:b/>
          <w:sz w:val="19"/>
        </w:rPr>
      </w:pPr>
    </w:p>
    <w:p>
      <w:pPr>
        <w:pStyle w:val="BodyText"/>
        <w:ind w:left="129" w:right="676"/>
        <w:jc w:val="both"/>
      </w:pPr>
      <w:r>
        <w:rPr/>
        <w:t>1.-Select the fisherman so they can be questioned, and so long the interview letting them know what the investigation is about so we can get more concrete questions.</w:t>
      </w:r>
    </w:p>
    <w:p>
      <w:pPr>
        <w:pStyle w:val="BodyText"/>
        <w:spacing w:before="11"/>
        <w:rPr>
          <w:sz w:val="19"/>
        </w:rPr>
      </w:pPr>
    </w:p>
    <w:p>
      <w:pPr>
        <w:pStyle w:val="BodyText"/>
        <w:ind w:left="129" w:right="677"/>
        <w:jc w:val="both"/>
      </w:pPr>
      <w:r>
        <w:rPr/>
        <w:t>2-.Apply the Yoshitake and the Luke 4 points scale every day during three weeks, at the moment work begins and finishes.</w:t>
      </w:r>
    </w:p>
    <w:p>
      <w:pPr>
        <w:pStyle w:val="BodyText"/>
      </w:pPr>
    </w:p>
    <w:p>
      <w:pPr>
        <w:pStyle w:val="BodyText"/>
        <w:spacing w:before="1"/>
        <w:ind w:left="129" w:right="679"/>
        <w:jc w:val="both"/>
      </w:pPr>
      <w:r>
        <w:rPr/>
        <w:t>3-.The data obtained will be used in the three week evaluation of the 30 employees.</w:t>
      </w:r>
    </w:p>
    <w:p>
      <w:pPr>
        <w:pStyle w:val="BodyText"/>
        <w:spacing w:before="11"/>
        <w:rPr>
          <w:sz w:val="19"/>
        </w:rPr>
      </w:pPr>
    </w:p>
    <w:p>
      <w:pPr>
        <w:pStyle w:val="BodyText"/>
        <w:ind w:left="129" w:right="679"/>
        <w:jc w:val="both"/>
      </w:pPr>
      <w:r>
        <w:rPr/>
        <w:t>4-.Analyze the results obtained, interpret the answers, and suggest recommendations</w:t>
      </w:r>
    </w:p>
    <w:p>
      <w:pPr>
        <w:pStyle w:val="BodyText"/>
      </w:pPr>
    </w:p>
    <w:p>
      <w:pPr>
        <w:pStyle w:val="Heading4"/>
        <w:numPr>
          <w:ilvl w:val="1"/>
          <w:numId w:val="121"/>
        </w:numPr>
        <w:tabs>
          <w:tab w:pos="431" w:val="left" w:leader="none"/>
        </w:tabs>
        <w:spacing w:line="240" w:lineRule="auto" w:before="117" w:after="0"/>
        <w:ind w:left="430" w:right="0" w:hanging="301"/>
        <w:jc w:val="both"/>
      </w:pPr>
      <w:r>
        <w:rPr>
          <w:color w:val="202020"/>
        </w:rPr>
        <w:t>Boundaries</w:t>
      </w:r>
    </w:p>
    <w:p>
      <w:pPr>
        <w:pStyle w:val="BodyText"/>
        <w:spacing w:before="9"/>
        <w:rPr>
          <w:b/>
          <w:sz w:val="19"/>
        </w:rPr>
      </w:pPr>
    </w:p>
    <w:p>
      <w:pPr>
        <w:pStyle w:val="BodyText"/>
        <w:spacing w:before="1"/>
        <w:ind w:left="129" w:right="677"/>
        <w:jc w:val="both"/>
      </w:pPr>
      <w:r>
        <w:rPr>
          <w:color w:val="202020"/>
        </w:rPr>
        <w:t>Specifically the area where we aim to conduct the research was fishers who work in the bay, as there are fishermen engaged to work at sea and therefore are transported by shrimp trawlers, and the specific area was fishers which are transported in pangas (boats) in the bay of Port of Topolobampo.</w:t>
      </w:r>
    </w:p>
    <w:p>
      <w:pPr>
        <w:pStyle w:val="BodyText"/>
        <w:spacing w:before="2"/>
      </w:pPr>
    </w:p>
    <w:p>
      <w:pPr>
        <w:pStyle w:val="Heading4"/>
        <w:numPr>
          <w:ilvl w:val="0"/>
          <w:numId w:val="120"/>
        </w:numPr>
        <w:tabs>
          <w:tab w:pos="329" w:val="left" w:leader="none"/>
        </w:tabs>
        <w:spacing w:line="240" w:lineRule="auto" w:before="0" w:after="0"/>
        <w:ind w:left="328" w:right="0" w:hanging="199"/>
        <w:jc w:val="both"/>
      </w:pPr>
      <w:r>
        <w:rPr/>
        <w:t>Results.</w:t>
      </w:r>
    </w:p>
    <w:p>
      <w:pPr>
        <w:pStyle w:val="BodyText"/>
        <w:spacing w:before="11"/>
        <w:rPr>
          <w:b/>
          <w:sz w:val="19"/>
        </w:rPr>
      </w:pPr>
    </w:p>
    <w:p>
      <w:pPr>
        <w:pStyle w:val="ListParagraph"/>
        <w:numPr>
          <w:ilvl w:val="1"/>
          <w:numId w:val="122"/>
        </w:numPr>
        <w:tabs>
          <w:tab w:pos="431" w:val="left" w:leader="none"/>
        </w:tabs>
        <w:spacing w:line="240" w:lineRule="auto" w:before="0" w:after="0"/>
        <w:ind w:left="430" w:right="0" w:hanging="301"/>
        <w:jc w:val="both"/>
        <w:rPr>
          <w:b/>
          <w:sz w:val="20"/>
        </w:rPr>
      </w:pPr>
      <w:r>
        <w:rPr>
          <w:b/>
          <w:sz w:val="20"/>
        </w:rPr>
        <w:t>Fatigue</w:t>
      </w:r>
      <w:r>
        <w:rPr>
          <w:b/>
          <w:spacing w:val="-4"/>
          <w:sz w:val="20"/>
        </w:rPr>
        <w:t> </w:t>
      </w:r>
      <w:r>
        <w:rPr>
          <w:b/>
          <w:sz w:val="20"/>
        </w:rPr>
        <w:t>determination</w:t>
      </w:r>
    </w:p>
    <w:p>
      <w:pPr>
        <w:pStyle w:val="BodyText"/>
        <w:spacing w:before="9"/>
        <w:rPr>
          <w:b/>
          <w:sz w:val="19"/>
        </w:rPr>
      </w:pPr>
    </w:p>
    <w:p>
      <w:pPr>
        <w:pStyle w:val="BodyText"/>
        <w:spacing w:before="1"/>
        <w:ind w:left="129" w:right="674"/>
        <w:jc w:val="both"/>
      </w:pPr>
      <w:r>
        <w:rPr/>
        <w:t>According to the fatigue caused by physical movement it’s said that 65 percent of the employees are older than 35, and 35 percent is younger than 35. Forty percent worked from ten to twelve hours, and sixty percent from twelve to eighteen hours. Fifty percent of the workers worked from Monday to Friday, and the other  percentage  worked Monday to Saturday, ninety percent of the fisherman feel tired during work, the other ten percent do not feel this way.</w:t>
      </w:r>
    </w:p>
    <w:p>
      <w:pPr>
        <w:spacing w:after="0"/>
        <w:jc w:val="both"/>
        <w:sectPr>
          <w:type w:val="continuous"/>
          <w:pgSz w:w="12240" w:h="15840"/>
          <w:pgMar w:top="1500" w:bottom="280" w:left="580" w:right="220"/>
          <w:cols w:num="2" w:equalWidth="0">
            <w:col w:w="5192" w:space="574"/>
            <w:col w:w="5674"/>
          </w:cols>
        </w:sectPr>
      </w:pPr>
    </w:p>
    <w:p>
      <w:pPr>
        <w:pStyle w:val="BodyText"/>
        <w:spacing w:before="9"/>
        <w:rPr>
          <w:sz w:val="17"/>
        </w:rPr>
      </w:pPr>
    </w:p>
    <w:p>
      <w:pPr>
        <w:pStyle w:val="BodyText"/>
        <w:ind w:left="470" w:firstLine="567"/>
        <w:jc w:val="both"/>
      </w:pPr>
      <w:r>
        <w:rPr/>
        <w:t>Also they were questioned about labor  illness, seventy percent mentioned fatigue, twenty five percent mentioned they felt tired, only five percent mentioned accidents, all of the fisherman mentioned, all of  the fisherman mentioned that they eat after they go to work, and at work they also eat, and to go to work they go walking because they use the panga, which is what moves them at work, in the three weeks 40 percent of the fisherman mentioned that at the moment they start working, they do not feel tired, twenty five do feel tired, twenty percent very tired and 15 percent very tired.</w:t>
      </w:r>
    </w:p>
    <w:p>
      <w:pPr>
        <w:pStyle w:val="BodyText"/>
        <w:spacing w:before="2"/>
      </w:pPr>
    </w:p>
    <w:p>
      <w:pPr>
        <w:pStyle w:val="Heading4"/>
        <w:numPr>
          <w:ilvl w:val="1"/>
          <w:numId w:val="122"/>
        </w:numPr>
        <w:tabs>
          <w:tab w:pos="772" w:val="left" w:leader="none"/>
        </w:tabs>
        <w:spacing w:line="240" w:lineRule="auto" w:before="0" w:after="0"/>
        <w:ind w:left="771" w:right="0" w:hanging="301"/>
        <w:jc w:val="left"/>
      </w:pPr>
      <w:r>
        <w:rPr/>
        <w:t>Principal activity’s fisherman do during</w:t>
      </w:r>
      <w:r>
        <w:rPr>
          <w:spacing w:val="-13"/>
        </w:rPr>
        <w:t> </w:t>
      </w:r>
      <w:r>
        <w:rPr/>
        <w:t>work.</w:t>
      </w:r>
    </w:p>
    <w:p>
      <w:pPr>
        <w:pStyle w:val="BodyText"/>
        <w:spacing w:before="9"/>
        <w:rPr>
          <w:b/>
          <w:sz w:val="19"/>
        </w:rPr>
      </w:pPr>
    </w:p>
    <w:p>
      <w:pPr>
        <w:pStyle w:val="ListParagraph"/>
        <w:numPr>
          <w:ilvl w:val="0"/>
          <w:numId w:val="123"/>
        </w:numPr>
        <w:tabs>
          <w:tab w:pos="470" w:val="left" w:leader="none"/>
          <w:tab w:pos="471" w:val="left" w:leader="none"/>
        </w:tabs>
        <w:spacing w:line="240" w:lineRule="auto" w:before="1" w:after="0"/>
        <w:ind w:left="470" w:right="0" w:hanging="360"/>
        <w:jc w:val="left"/>
        <w:rPr>
          <w:sz w:val="20"/>
        </w:rPr>
      </w:pPr>
      <w:r>
        <w:rPr>
          <w:sz w:val="20"/>
        </w:rPr>
        <w:t>Introduce the plomadas in the sea, with their respective churupas</w:t>
      </w:r>
    </w:p>
    <w:p>
      <w:pPr>
        <w:pStyle w:val="ListParagraph"/>
        <w:numPr>
          <w:ilvl w:val="0"/>
          <w:numId w:val="123"/>
        </w:numPr>
        <w:tabs>
          <w:tab w:pos="470" w:val="left" w:leader="none"/>
          <w:tab w:pos="471" w:val="left" w:leader="none"/>
        </w:tabs>
        <w:spacing w:line="240" w:lineRule="auto" w:before="0" w:after="0"/>
        <w:ind w:left="470" w:right="0" w:hanging="360"/>
        <w:jc w:val="left"/>
        <w:rPr>
          <w:sz w:val="20"/>
        </w:rPr>
      </w:pPr>
      <w:r>
        <w:rPr>
          <w:sz w:val="20"/>
        </w:rPr>
        <w:t>Manual opening of bamboo to open the art of</w:t>
      </w:r>
      <w:r>
        <w:rPr>
          <w:spacing w:val="-20"/>
          <w:sz w:val="20"/>
        </w:rPr>
        <w:t> </w:t>
      </w:r>
      <w:r>
        <w:rPr>
          <w:sz w:val="20"/>
        </w:rPr>
        <w:t>fishing.</w:t>
      </w:r>
    </w:p>
    <w:p>
      <w:pPr>
        <w:pStyle w:val="ListParagraph"/>
        <w:numPr>
          <w:ilvl w:val="0"/>
          <w:numId w:val="123"/>
        </w:numPr>
        <w:tabs>
          <w:tab w:pos="470" w:val="left" w:leader="none"/>
          <w:tab w:pos="471" w:val="left" w:leader="none"/>
        </w:tabs>
        <w:spacing w:line="230" w:lineRule="exact" w:before="0" w:after="0"/>
        <w:ind w:left="470" w:right="0" w:hanging="360"/>
        <w:jc w:val="left"/>
        <w:rPr>
          <w:sz w:val="20"/>
        </w:rPr>
      </w:pPr>
      <w:r>
        <w:rPr>
          <w:sz w:val="20"/>
        </w:rPr>
        <w:t>Calibrate that all the charupas are at thesame</w:t>
      </w:r>
      <w:r>
        <w:rPr>
          <w:spacing w:val="-30"/>
          <w:sz w:val="20"/>
        </w:rPr>
        <w:t> </w:t>
      </w:r>
      <w:r>
        <w:rPr>
          <w:sz w:val="20"/>
        </w:rPr>
        <w:t>level.</w:t>
      </w:r>
    </w:p>
    <w:p>
      <w:pPr>
        <w:pStyle w:val="ListParagraph"/>
        <w:numPr>
          <w:ilvl w:val="0"/>
          <w:numId w:val="123"/>
        </w:numPr>
        <w:tabs>
          <w:tab w:pos="470" w:val="left" w:leader="none"/>
          <w:tab w:pos="471" w:val="left" w:leader="none"/>
        </w:tabs>
        <w:spacing w:line="240" w:lineRule="auto" w:before="0" w:after="0"/>
        <w:ind w:left="470" w:right="1" w:hanging="360"/>
        <w:jc w:val="left"/>
        <w:rPr>
          <w:sz w:val="20"/>
        </w:rPr>
      </w:pPr>
      <w:r>
        <w:rPr>
          <w:sz w:val="20"/>
        </w:rPr>
        <w:t>Pick up the plomada so you can take out the nets with their respective</w:t>
      </w:r>
      <w:r>
        <w:rPr>
          <w:spacing w:val="-12"/>
          <w:sz w:val="20"/>
        </w:rPr>
        <w:t> </w:t>
      </w:r>
      <w:r>
        <w:rPr>
          <w:sz w:val="20"/>
        </w:rPr>
        <w:t>species</w:t>
      </w:r>
    </w:p>
    <w:p>
      <w:pPr>
        <w:pStyle w:val="ListParagraph"/>
        <w:numPr>
          <w:ilvl w:val="0"/>
          <w:numId w:val="123"/>
        </w:numPr>
        <w:tabs>
          <w:tab w:pos="470" w:val="left" w:leader="none"/>
          <w:tab w:pos="471" w:val="left" w:leader="none"/>
        </w:tabs>
        <w:spacing w:line="230" w:lineRule="exact" w:before="0" w:after="0"/>
        <w:ind w:left="470" w:right="0" w:hanging="360"/>
        <w:jc w:val="left"/>
        <w:rPr>
          <w:sz w:val="20"/>
        </w:rPr>
      </w:pPr>
      <w:r>
        <w:rPr>
          <w:sz w:val="20"/>
        </w:rPr>
        <w:t>Pick up the churupa with the species with your</w:t>
      </w:r>
      <w:r>
        <w:rPr>
          <w:spacing w:val="-32"/>
          <w:sz w:val="20"/>
        </w:rPr>
        <w:t> </w:t>
      </w:r>
      <w:r>
        <w:rPr>
          <w:sz w:val="20"/>
        </w:rPr>
        <w:t>hands.</w:t>
      </w:r>
    </w:p>
    <w:p>
      <w:pPr>
        <w:pStyle w:val="ListParagraph"/>
        <w:numPr>
          <w:ilvl w:val="0"/>
          <w:numId w:val="123"/>
        </w:numPr>
        <w:tabs>
          <w:tab w:pos="470" w:val="left" w:leader="none"/>
          <w:tab w:pos="471" w:val="left" w:leader="none"/>
        </w:tabs>
        <w:spacing w:line="230" w:lineRule="exact" w:before="0" w:after="0"/>
        <w:ind w:left="470" w:right="0" w:hanging="360"/>
        <w:jc w:val="left"/>
        <w:rPr>
          <w:sz w:val="20"/>
        </w:rPr>
      </w:pPr>
      <w:r>
        <w:rPr>
          <w:sz w:val="20"/>
        </w:rPr>
        <w:t>Clean the nets so you can put them back in the</w:t>
      </w:r>
      <w:r>
        <w:rPr>
          <w:spacing w:val="-23"/>
          <w:sz w:val="20"/>
        </w:rPr>
        <w:t> </w:t>
      </w:r>
      <w:r>
        <w:rPr>
          <w:sz w:val="20"/>
        </w:rPr>
        <w:t>sea.</w:t>
      </w:r>
    </w:p>
    <w:p>
      <w:pPr>
        <w:pStyle w:val="ListParagraph"/>
        <w:numPr>
          <w:ilvl w:val="0"/>
          <w:numId w:val="123"/>
        </w:numPr>
        <w:tabs>
          <w:tab w:pos="470" w:val="left" w:leader="none"/>
          <w:tab w:pos="471" w:val="left" w:leader="none"/>
        </w:tabs>
        <w:spacing w:line="240" w:lineRule="auto" w:before="0" w:after="0"/>
        <w:ind w:left="470" w:right="0" w:hanging="360"/>
        <w:jc w:val="left"/>
        <w:rPr>
          <w:sz w:val="20"/>
        </w:rPr>
      </w:pPr>
      <w:r>
        <w:rPr>
          <w:sz w:val="20"/>
        </w:rPr>
        <w:t>Classify the species so you can throw back the ones  you don’t</w:t>
      </w:r>
      <w:r>
        <w:rPr>
          <w:spacing w:val="-4"/>
          <w:sz w:val="20"/>
        </w:rPr>
        <w:t> </w:t>
      </w:r>
      <w:r>
        <w:rPr>
          <w:sz w:val="20"/>
        </w:rPr>
        <w:t>need.</w:t>
      </w:r>
    </w:p>
    <w:p>
      <w:pPr>
        <w:pStyle w:val="ListParagraph"/>
        <w:numPr>
          <w:ilvl w:val="0"/>
          <w:numId w:val="123"/>
        </w:numPr>
        <w:tabs>
          <w:tab w:pos="470" w:val="left" w:leader="none"/>
          <w:tab w:pos="471" w:val="left" w:leader="none"/>
        </w:tabs>
        <w:spacing w:line="229" w:lineRule="exact" w:before="0" w:after="0"/>
        <w:ind w:left="470" w:right="0" w:hanging="360"/>
        <w:jc w:val="left"/>
        <w:rPr>
          <w:sz w:val="20"/>
        </w:rPr>
      </w:pPr>
      <w:r>
        <w:rPr>
          <w:sz w:val="20"/>
        </w:rPr>
        <w:t>Take the head off of the</w:t>
      </w:r>
      <w:r>
        <w:rPr>
          <w:spacing w:val="-22"/>
          <w:sz w:val="20"/>
        </w:rPr>
        <w:t> </w:t>
      </w:r>
      <w:r>
        <w:rPr>
          <w:sz w:val="20"/>
        </w:rPr>
        <w:t>crustacean.</w:t>
      </w:r>
    </w:p>
    <w:p>
      <w:pPr>
        <w:pStyle w:val="ListParagraph"/>
        <w:numPr>
          <w:ilvl w:val="0"/>
          <w:numId w:val="123"/>
        </w:numPr>
        <w:tabs>
          <w:tab w:pos="470" w:val="left" w:leader="none"/>
          <w:tab w:pos="471" w:val="left" w:leader="none"/>
        </w:tabs>
        <w:spacing w:line="240" w:lineRule="auto" w:before="0" w:after="0"/>
        <w:ind w:left="470" w:right="0" w:hanging="360"/>
        <w:jc w:val="left"/>
        <w:rPr>
          <w:sz w:val="20"/>
        </w:rPr>
      </w:pPr>
      <w:r>
        <w:rPr>
          <w:sz w:val="20"/>
        </w:rPr>
        <w:t>Put the shrimp in</w:t>
      </w:r>
      <w:r>
        <w:rPr>
          <w:spacing w:val="-10"/>
          <w:sz w:val="20"/>
        </w:rPr>
        <w:t> </w:t>
      </w:r>
      <w:r>
        <w:rPr>
          <w:sz w:val="20"/>
        </w:rPr>
        <w:t>ice.</w:t>
      </w:r>
    </w:p>
    <w:p>
      <w:pPr>
        <w:pStyle w:val="ListParagraph"/>
        <w:numPr>
          <w:ilvl w:val="0"/>
          <w:numId w:val="123"/>
        </w:numPr>
        <w:tabs>
          <w:tab w:pos="471" w:val="left" w:leader="none"/>
        </w:tabs>
        <w:spacing w:line="240" w:lineRule="auto" w:before="0" w:after="0"/>
        <w:ind w:left="470" w:right="0" w:hanging="360"/>
        <w:jc w:val="left"/>
        <w:rPr>
          <w:sz w:val="20"/>
        </w:rPr>
      </w:pPr>
      <w:r>
        <w:rPr>
          <w:sz w:val="20"/>
        </w:rPr>
        <w:t>Put the coolers in order so they don’t bother at the moment you are</w:t>
      </w:r>
      <w:r>
        <w:rPr>
          <w:spacing w:val="-6"/>
          <w:sz w:val="20"/>
        </w:rPr>
        <w:t> </w:t>
      </w:r>
      <w:r>
        <w:rPr>
          <w:sz w:val="20"/>
        </w:rPr>
        <w:t>working.</w:t>
      </w:r>
    </w:p>
    <w:p>
      <w:pPr>
        <w:pStyle w:val="ListParagraph"/>
        <w:numPr>
          <w:ilvl w:val="0"/>
          <w:numId w:val="123"/>
        </w:numPr>
        <w:tabs>
          <w:tab w:pos="471" w:val="left" w:leader="none"/>
        </w:tabs>
        <w:spacing w:line="240" w:lineRule="auto" w:before="0" w:after="0"/>
        <w:ind w:left="470" w:right="0" w:hanging="360"/>
        <w:jc w:val="left"/>
        <w:rPr>
          <w:sz w:val="20"/>
        </w:rPr>
      </w:pPr>
      <w:r>
        <w:rPr>
          <w:sz w:val="20"/>
        </w:rPr>
        <w:t>Clean the</w:t>
      </w:r>
      <w:r>
        <w:rPr>
          <w:spacing w:val="-1"/>
          <w:sz w:val="20"/>
        </w:rPr>
        <w:t> </w:t>
      </w:r>
      <w:r>
        <w:rPr>
          <w:sz w:val="20"/>
        </w:rPr>
        <w:t>panga.</w:t>
      </w:r>
    </w:p>
    <w:p>
      <w:pPr>
        <w:pStyle w:val="BodyText"/>
        <w:spacing w:before="10" w:after="40"/>
        <w:rPr>
          <w:sz w:val="14"/>
        </w:rPr>
      </w:pPr>
      <w:r>
        <w:rPr/>
        <w:br w:type="column"/>
      </w:r>
      <w:r>
        <w:rPr>
          <w:sz w:val="14"/>
        </w:rPr>
      </w:r>
    </w:p>
    <w:p>
      <w:pPr>
        <w:pStyle w:val="BodyText"/>
        <w:ind w:left="115"/>
      </w:pPr>
      <w:r>
        <w:rPr/>
        <w:drawing>
          <wp:inline distT="0" distB="0" distL="0" distR="0">
            <wp:extent cx="3038378" cy="1824227"/>
            <wp:effectExtent l="0" t="0" r="0" b="0"/>
            <wp:docPr id="575" name="image345.png" descr=""/>
            <wp:cNvGraphicFramePr>
              <a:graphicFrameLocks noChangeAspect="1"/>
            </wp:cNvGraphicFramePr>
            <a:graphic>
              <a:graphicData uri="http://schemas.openxmlformats.org/drawingml/2006/picture">
                <pic:pic>
                  <pic:nvPicPr>
                    <pic:cNvPr id="576" name="image345.png"/>
                    <pic:cNvPicPr/>
                  </pic:nvPicPr>
                  <pic:blipFill>
                    <a:blip r:embed="rId573" cstate="print"/>
                    <a:stretch>
                      <a:fillRect/>
                    </a:stretch>
                  </pic:blipFill>
                  <pic:spPr>
                    <a:xfrm>
                      <a:off x="0" y="0"/>
                      <a:ext cx="3038378" cy="1824227"/>
                    </a:xfrm>
                    <a:prstGeom prst="rect">
                      <a:avLst/>
                    </a:prstGeom>
                  </pic:spPr>
                </pic:pic>
              </a:graphicData>
            </a:graphic>
          </wp:inline>
        </w:drawing>
      </w:r>
      <w:r>
        <w:rPr/>
      </w:r>
    </w:p>
    <w:p>
      <w:pPr>
        <w:pStyle w:val="BodyText"/>
        <w:spacing w:before="41"/>
        <w:ind w:left="1303"/>
      </w:pPr>
      <w:r>
        <w:rPr/>
        <w:t>Figure 3. Daily working hours.</w:t>
      </w:r>
    </w:p>
    <w:p>
      <w:pPr>
        <w:pStyle w:val="BodyText"/>
      </w:pPr>
    </w:p>
    <w:p>
      <w:pPr>
        <w:pStyle w:val="BodyText"/>
        <w:spacing w:before="1"/>
        <w:ind w:left="110" w:right="675" w:firstLine="567"/>
        <w:jc w:val="both"/>
      </w:pPr>
      <w:r>
        <w:rPr/>
        <w:t>In figure 4 represent the hours of fishermen work daily with an average of between 12 and 18 hours per day in each fisherman, giving birth at dawn and returning at dusk.</w:t>
      </w:r>
    </w:p>
    <w:p>
      <w:pPr>
        <w:spacing w:after="0"/>
        <w:jc w:val="both"/>
        <w:sectPr>
          <w:pgSz w:w="12240" w:h="15840"/>
          <w:pgMar w:header="545" w:footer="852" w:top="1060" w:bottom="1040" w:left="380" w:right="220"/>
          <w:cols w:num="2" w:equalWidth="0">
            <w:col w:w="5389" w:space="595"/>
            <w:col w:w="5656"/>
          </w:cols>
        </w:sectPr>
      </w:pPr>
    </w:p>
    <w:p>
      <w:pPr>
        <w:pStyle w:val="BodyText"/>
        <w:spacing w:before="5"/>
        <w:rPr>
          <w:sz w:val="13"/>
        </w:rPr>
      </w:pPr>
    </w:p>
    <w:p>
      <w:pPr>
        <w:spacing w:after="0"/>
        <w:rPr>
          <w:sz w:val="13"/>
        </w:rPr>
        <w:sectPr>
          <w:type w:val="continuous"/>
          <w:pgSz w:w="12240" w:h="15840"/>
          <w:pgMar w:top="1500" w:bottom="280" w:left="380" w:right="220"/>
        </w:sectPr>
      </w:pPr>
    </w:p>
    <w:p>
      <w:pPr>
        <w:pStyle w:val="BodyText"/>
        <w:spacing w:before="75"/>
        <w:ind w:left="1038"/>
      </w:pPr>
      <w:r>
        <w:rPr/>
        <w:t>The  last  points  are  repeated  approximately    every</w:t>
      </w:r>
    </w:p>
    <w:p>
      <w:pPr>
        <w:pStyle w:val="BodyText"/>
        <w:spacing w:line="230" w:lineRule="exact"/>
        <w:ind w:left="470"/>
      </w:pPr>
      <w:r>
        <w:rPr/>
        <w:t>hour.</w:t>
      </w:r>
    </w:p>
    <w:p>
      <w:pPr>
        <w:pStyle w:val="ListParagraph"/>
        <w:numPr>
          <w:ilvl w:val="0"/>
          <w:numId w:val="123"/>
        </w:numPr>
        <w:tabs>
          <w:tab w:pos="471" w:val="left" w:leader="none"/>
        </w:tabs>
        <w:spacing w:line="240" w:lineRule="auto" w:before="0" w:after="0"/>
        <w:ind w:left="470" w:right="0" w:hanging="360"/>
        <w:jc w:val="left"/>
        <w:rPr>
          <w:sz w:val="20"/>
        </w:rPr>
      </w:pPr>
      <w:r>
        <w:rPr>
          <w:sz w:val="20"/>
        </w:rPr>
        <w:t>Pick up the coolers and take them to a place for the  respective</w:t>
      </w:r>
      <w:r>
        <w:rPr>
          <w:spacing w:val="-10"/>
          <w:sz w:val="20"/>
        </w:rPr>
        <w:t> </w:t>
      </w:r>
      <w:r>
        <w:rPr>
          <w:sz w:val="20"/>
        </w:rPr>
        <w:t>sale.</w:t>
      </w:r>
    </w:p>
    <w:p>
      <w:pPr>
        <w:pStyle w:val="BodyText"/>
        <w:spacing w:before="2"/>
      </w:pPr>
    </w:p>
    <w:p>
      <w:pPr>
        <w:pStyle w:val="Heading4"/>
        <w:numPr>
          <w:ilvl w:val="1"/>
          <w:numId w:val="122"/>
        </w:numPr>
        <w:tabs>
          <w:tab w:pos="772" w:val="left" w:leader="none"/>
        </w:tabs>
        <w:spacing w:line="240" w:lineRule="auto" w:before="0" w:after="0"/>
        <w:ind w:left="771" w:right="0" w:hanging="301"/>
        <w:jc w:val="left"/>
      </w:pPr>
      <w:r>
        <w:rPr/>
        <w:t>General study realized to</w:t>
      </w:r>
      <w:r>
        <w:rPr>
          <w:spacing w:val="-26"/>
        </w:rPr>
        <w:t> </w:t>
      </w:r>
      <w:r>
        <w:rPr/>
        <w:t>employees</w:t>
      </w:r>
    </w:p>
    <w:p>
      <w:pPr>
        <w:pStyle w:val="BodyText"/>
        <w:spacing w:before="5"/>
        <w:rPr>
          <w:b/>
          <w:sz w:val="17"/>
        </w:rPr>
      </w:pPr>
      <w:r>
        <w:rPr/>
        <w:drawing>
          <wp:anchor distT="0" distB="0" distL="0" distR="0" allowOverlap="1" layoutInCell="1" locked="0" behindDoc="0" simplePos="0" relativeHeight="14464">
            <wp:simplePos x="0" y="0"/>
            <wp:positionH relativeFrom="page">
              <wp:posOffset>582930</wp:posOffset>
            </wp:positionH>
            <wp:positionV relativeFrom="paragraph">
              <wp:posOffset>152384</wp:posOffset>
            </wp:positionV>
            <wp:extent cx="2989598" cy="1830228"/>
            <wp:effectExtent l="0" t="0" r="0" b="0"/>
            <wp:wrapTopAndBottom/>
            <wp:docPr id="577" name="image346.png" descr=""/>
            <wp:cNvGraphicFramePr>
              <a:graphicFrameLocks noChangeAspect="1"/>
            </wp:cNvGraphicFramePr>
            <a:graphic>
              <a:graphicData uri="http://schemas.openxmlformats.org/drawingml/2006/picture">
                <pic:pic>
                  <pic:nvPicPr>
                    <pic:cNvPr id="578" name="image346.png"/>
                    <pic:cNvPicPr/>
                  </pic:nvPicPr>
                  <pic:blipFill>
                    <a:blip r:embed="rId574" cstate="print"/>
                    <a:stretch>
                      <a:fillRect/>
                    </a:stretch>
                  </pic:blipFill>
                  <pic:spPr>
                    <a:xfrm>
                      <a:off x="0" y="0"/>
                      <a:ext cx="2989598" cy="1830228"/>
                    </a:xfrm>
                    <a:prstGeom prst="rect">
                      <a:avLst/>
                    </a:prstGeom>
                  </pic:spPr>
                </pic:pic>
              </a:graphicData>
            </a:graphic>
          </wp:anchor>
        </w:drawing>
      </w:r>
    </w:p>
    <w:p>
      <w:pPr>
        <w:pStyle w:val="BodyText"/>
        <w:spacing w:before="12"/>
        <w:ind w:left="2357" w:right="1885"/>
        <w:jc w:val="center"/>
      </w:pPr>
      <w:r>
        <w:rPr/>
        <w:t>Figure 2. Age</w:t>
      </w:r>
    </w:p>
    <w:p>
      <w:pPr>
        <w:pStyle w:val="BodyText"/>
        <w:spacing w:before="11"/>
        <w:rPr>
          <w:sz w:val="19"/>
        </w:rPr>
      </w:pPr>
    </w:p>
    <w:p>
      <w:pPr>
        <w:pStyle w:val="BodyText"/>
        <w:ind w:left="470" w:right="605"/>
      </w:pPr>
      <w:r>
        <w:rPr/>
        <w:t>In the figure above we can see that the average age of workers are older than 35 years with a 65 %.</w:t>
      </w:r>
    </w:p>
    <w:p>
      <w:pPr>
        <w:pStyle w:val="BodyText"/>
      </w:pPr>
      <w:r>
        <w:rPr/>
        <w:br w:type="column"/>
      </w:r>
      <w:r>
        <w:rPr/>
      </w:r>
    </w:p>
    <w:p>
      <w:pPr>
        <w:pStyle w:val="BodyText"/>
        <w:spacing w:before="166"/>
        <w:ind w:left="1140" w:right="677"/>
      </w:pPr>
      <w:r>
        <w:rPr/>
        <w:drawing>
          <wp:anchor distT="0" distB="0" distL="0" distR="0" allowOverlap="1" layoutInCell="1" locked="0" behindDoc="1" simplePos="0" relativeHeight="267571127">
            <wp:simplePos x="0" y="0"/>
            <wp:positionH relativeFrom="page">
              <wp:posOffset>4114800</wp:posOffset>
            </wp:positionH>
            <wp:positionV relativeFrom="paragraph">
              <wp:posOffset>-1745035</wp:posOffset>
            </wp:positionV>
            <wp:extent cx="3085338" cy="1852422"/>
            <wp:effectExtent l="0" t="0" r="0" b="0"/>
            <wp:wrapNone/>
            <wp:docPr id="579" name="image347.jpeg" descr=""/>
            <wp:cNvGraphicFramePr>
              <a:graphicFrameLocks noChangeAspect="1"/>
            </wp:cNvGraphicFramePr>
            <a:graphic>
              <a:graphicData uri="http://schemas.openxmlformats.org/drawingml/2006/picture">
                <pic:pic>
                  <pic:nvPicPr>
                    <pic:cNvPr id="580" name="image347.jpeg"/>
                    <pic:cNvPicPr/>
                  </pic:nvPicPr>
                  <pic:blipFill>
                    <a:blip r:embed="rId575" cstate="print"/>
                    <a:stretch>
                      <a:fillRect/>
                    </a:stretch>
                  </pic:blipFill>
                  <pic:spPr>
                    <a:xfrm>
                      <a:off x="0" y="0"/>
                      <a:ext cx="3085338" cy="1852422"/>
                    </a:xfrm>
                    <a:prstGeom prst="rect">
                      <a:avLst/>
                    </a:prstGeom>
                  </pic:spPr>
                </pic:pic>
              </a:graphicData>
            </a:graphic>
          </wp:anchor>
        </w:drawing>
      </w:r>
      <w:r>
        <w:rPr/>
        <w:t>Figure 4. Days worked in the week</w:t>
      </w:r>
    </w:p>
    <w:p>
      <w:pPr>
        <w:pStyle w:val="BodyText"/>
        <w:spacing w:before="11"/>
        <w:rPr>
          <w:sz w:val="29"/>
        </w:rPr>
      </w:pPr>
    </w:p>
    <w:p>
      <w:pPr>
        <w:pStyle w:val="BodyText"/>
        <w:ind w:left="110" w:right="677" w:firstLine="567"/>
        <w:jc w:val="both"/>
      </w:pPr>
      <w:r>
        <w:rPr/>
        <w:drawing>
          <wp:anchor distT="0" distB="0" distL="0" distR="0" allowOverlap="1" layoutInCell="1" locked="0" behindDoc="1" simplePos="0" relativeHeight="267571151">
            <wp:simplePos x="0" y="0"/>
            <wp:positionH relativeFrom="page">
              <wp:posOffset>4114800</wp:posOffset>
            </wp:positionH>
            <wp:positionV relativeFrom="paragraph">
              <wp:posOffset>588714</wp:posOffset>
            </wp:positionV>
            <wp:extent cx="3085338" cy="1851659"/>
            <wp:effectExtent l="0" t="0" r="0" b="0"/>
            <wp:wrapNone/>
            <wp:docPr id="581" name="image348.png" descr=""/>
            <wp:cNvGraphicFramePr>
              <a:graphicFrameLocks noChangeAspect="1"/>
            </wp:cNvGraphicFramePr>
            <a:graphic>
              <a:graphicData uri="http://schemas.openxmlformats.org/drawingml/2006/picture">
                <pic:pic>
                  <pic:nvPicPr>
                    <pic:cNvPr id="582" name="image348.png"/>
                    <pic:cNvPicPr/>
                  </pic:nvPicPr>
                  <pic:blipFill>
                    <a:blip r:embed="rId576" cstate="print"/>
                    <a:stretch>
                      <a:fillRect/>
                    </a:stretch>
                  </pic:blipFill>
                  <pic:spPr>
                    <a:xfrm>
                      <a:off x="0" y="0"/>
                      <a:ext cx="3085338" cy="1851659"/>
                    </a:xfrm>
                    <a:prstGeom prst="rect">
                      <a:avLst/>
                    </a:prstGeom>
                  </pic:spPr>
                </pic:pic>
              </a:graphicData>
            </a:graphic>
          </wp:anchor>
        </w:drawing>
      </w:r>
      <w:r>
        <w:rPr/>
        <w:t>In labor days must be equals the percentage of persons fishermen working Monday-Friday those working Monday- Saturday with 50% both</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1"/>
        <w:rPr>
          <w:sz w:val="23"/>
        </w:rPr>
      </w:pPr>
    </w:p>
    <w:p>
      <w:pPr>
        <w:pStyle w:val="BodyText"/>
        <w:spacing w:line="460" w:lineRule="atLeast"/>
        <w:ind w:left="678" w:right="677" w:hanging="166"/>
      </w:pPr>
      <w:r>
        <w:rPr/>
        <w:t>Figure 5. Graph of the presence of fatigue at work. 85% of fishermen already have tired to start and</w:t>
      </w:r>
      <w:r>
        <w:rPr>
          <w:spacing w:val="20"/>
        </w:rPr>
        <w:t> </w:t>
      </w:r>
      <w:r>
        <w:rPr/>
        <w:t>with</w:t>
      </w:r>
    </w:p>
    <w:p>
      <w:pPr>
        <w:pStyle w:val="BodyText"/>
        <w:ind w:left="110" w:right="677"/>
      </w:pPr>
      <w:r>
        <w:rPr/>
        <w:t>more reason to end the workday, increasing even more the risk of more severe damage.</w:t>
      </w:r>
    </w:p>
    <w:p>
      <w:pPr>
        <w:spacing w:after="0"/>
        <w:sectPr>
          <w:type w:val="continuous"/>
          <w:pgSz w:w="12240" w:h="15840"/>
          <w:pgMar w:top="1500" w:bottom="280" w:left="380" w:right="220"/>
          <w:cols w:num="2" w:equalWidth="0">
            <w:col w:w="5388" w:space="597"/>
            <w:col w:w="5655"/>
          </w:cols>
        </w:sectPr>
      </w:pPr>
    </w:p>
    <w:p>
      <w:pPr>
        <w:pStyle w:val="BodyText"/>
        <w:spacing w:before="8"/>
        <w:rPr>
          <w:sz w:val="18"/>
        </w:rPr>
      </w:pPr>
    </w:p>
    <w:p>
      <w:pPr>
        <w:pStyle w:val="BodyText"/>
        <w:ind w:left="6000"/>
      </w:pPr>
      <w:r>
        <w:rPr/>
        <w:drawing>
          <wp:inline distT="0" distB="0" distL="0" distR="0">
            <wp:extent cx="2953512" cy="2121407"/>
            <wp:effectExtent l="0" t="0" r="0" b="0"/>
            <wp:docPr id="583" name="image349.jpeg" descr=""/>
            <wp:cNvGraphicFramePr>
              <a:graphicFrameLocks noChangeAspect="1"/>
            </wp:cNvGraphicFramePr>
            <a:graphic>
              <a:graphicData uri="http://schemas.openxmlformats.org/drawingml/2006/picture">
                <pic:pic>
                  <pic:nvPicPr>
                    <pic:cNvPr id="584" name="image349.jpeg"/>
                    <pic:cNvPicPr/>
                  </pic:nvPicPr>
                  <pic:blipFill>
                    <a:blip r:embed="rId577" cstate="print"/>
                    <a:stretch>
                      <a:fillRect/>
                    </a:stretch>
                  </pic:blipFill>
                  <pic:spPr>
                    <a:xfrm>
                      <a:off x="0" y="0"/>
                      <a:ext cx="2953512" cy="2121407"/>
                    </a:xfrm>
                    <a:prstGeom prst="rect">
                      <a:avLst/>
                    </a:prstGeom>
                  </pic:spPr>
                </pic:pic>
              </a:graphicData>
            </a:graphic>
          </wp:inline>
        </w:drawing>
      </w:r>
      <w:r>
        <w:rPr/>
      </w:r>
    </w:p>
    <w:p>
      <w:pPr>
        <w:spacing w:after="0"/>
        <w:sectPr>
          <w:pgSz w:w="12240" w:h="15840"/>
          <w:pgMar w:header="545" w:footer="852" w:top="1060" w:bottom="1040" w:left="580" w:right="220"/>
        </w:sectPr>
      </w:pPr>
    </w:p>
    <w:p>
      <w:pPr>
        <w:pStyle w:val="BodyText"/>
      </w:pPr>
    </w:p>
    <w:p>
      <w:pPr>
        <w:pStyle w:val="BodyText"/>
        <w:spacing w:before="10"/>
        <w:rPr>
          <w:sz w:val="15"/>
        </w:rPr>
      </w:pPr>
    </w:p>
    <w:p>
      <w:pPr>
        <w:pStyle w:val="BodyText"/>
        <w:ind w:left="857" w:right="125"/>
      </w:pPr>
      <w:r>
        <w:rPr/>
        <w:drawing>
          <wp:anchor distT="0" distB="0" distL="0" distR="0" allowOverlap="1" layoutInCell="1" locked="0" behindDoc="0" simplePos="0" relativeHeight="14584">
            <wp:simplePos x="0" y="0"/>
            <wp:positionH relativeFrom="page">
              <wp:posOffset>640080</wp:posOffset>
            </wp:positionH>
            <wp:positionV relativeFrom="paragraph">
              <wp:posOffset>-2385369</wp:posOffset>
            </wp:positionV>
            <wp:extent cx="2926080" cy="2377439"/>
            <wp:effectExtent l="0" t="0" r="0" b="0"/>
            <wp:wrapNone/>
            <wp:docPr id="585" name="image350.jpeg" descr=""/>
            <wp:cNvGraphicFramePr>
              <a:graphicFrameLocks noChangeAspect="1"/>
            </wp:cNvGraphicFramePr>
            <a:graphic>
              <a:graphicData uri="http://schemas.openxmlformats.org/drawingml/2006/picture">
                <pic:pic>
                  <pic:nvPicPr>
                    <pic:cNvPr id="586" name="image350.jpeg"/>
                    <pic:cNvPicPr/>
                  </pic:nvPicPr>
                  <pic:blipFill>
                    <a:blip r:embed="rId578" cstate="print"/>
                    <a:stretch>
                      <a:fillRect/>
                    </a:stretch>
                  </pic:blipFill>
                  <pic:spPr>
                    <a:xfrm>
                      <a:off x="0" y="0"/>
                      <a:ext cx="2926080" cy="2377439"/>
                    </a:xfrm>
                    <a:prstGeom prst="rect">
                      <a:avLst/>
                    </a:prstGeom>
                  </pic:spPr>
                </pic:pic>
              </a:graphicData>
            </a:graphic>
          </wp:anchor>
        </w:drawing>
      </w:r>
      <w:r>
        <w:rPr/>
        <w:t>Figure 6. Diseases that may present fishermen.</w:t>
      </w:r>
    </w:p>
    <w:p>
      <w:pPr>
        <w:pStyle w:val="BodyText"/>
        <w:spacing w:before="11"/>
        <w:rPr>
          <w:sz w:val="19"/>
        </w:rPr>
      </w:pPr>
    </w:p>
    <w:p>
      <w:pPr>
        <w:pStyle w:val="BodyText"/>
        <w:ind w:left="270" w:right="125" w:firstLine="567"/>
      </w:pPr>
      <w:r>
        <w:rPr/>
        <w:t>Are the possible diseases or difficulties presented by fishermen when performing their work.</w:t>
      </w:r>
    </w:p>
    <w:p>
      <w:pPr>
        <w:pStyle w:val="BodyText"/>
        <w:spacing w:before="2"/>
      </w:pPr>
    </w:p>
    <w:p>
      <w:pPr>
        <w:pStyle w:val="Heading4"/>
        <w:ind w:right="125"/>
        <w:jc w:val="left"/>
      </w:pPr>
      <w:r>
        <w:rPr/>
        <w:t>3.4. Luke 4 points scale</w:t>
      </w:r>
    </w:p>
    <w:p>
      <w:pPr>
        <w:pStyle w:val="BodyText"/>
        <w:rPr>
          <w:b/>
          <w:sz w:val="17"/>
        </w:rPr>
      </w:pPr>
      <w:r>
        <w:rPr/>
        <w:drawing>
          <wp:anchor distT="0" distB="0" distL="0" distR="0" allowOverlap="1" layoutInCell="1" locked="0" behindDoc="0" simplePos="0" relativeHeight="14536">
            <wp:simplePos x="0" y="0"/>
            <wp:positionH relativeFrom="page">
              <wp:posOffset>603504</wp:posOffset>
            </wp:positionH>
            <wp:positionV relativeFrom="paragraph">
              <wp:posOffset>149308</wp:posOffset>
            </wp:positionV>
            <wp:extent cx="2990087" cy="2295144"/>
            <wp:effectExtent l="0" t="0" r="0" b="0"/>
            <wp:wrapTopAndBottom/>
            <wp:docPr id="587" name="image351.jpeg" descr=""/>
            <wp:cNvGraphicFramePr>
              <a:graphicFrameLocks noChangeAspect="1"/>
            </wp:cNvGraphicFramePr>
            <a:graphic>
              <a:graphicData uri="http://schemas.openxmlformats.org/drawingml/2006/picture">
                <pic:pic>
                  <pic:nvPicPr>
                    <pic:cNvPr id="588" name="image351.jpeg"/>
                    <pic:cNvPicPr/>
                  </pic:nvPicPr>
                  <pic:blipFill>
                    <a:blip r:embed="rId579" cstate="print"/>
                    <a:stretch>
                      <a:fillRect/>
                    </a:stretch>
                  </pic:blipFill>
                  <pic:spPr>
                    <a:xfrm>
                      <a:off x="0" y="0"/>
                      <a:ext cx="2990087" cy="2295144"/>
                    </a:xfrm>
                    <a:prstGeom prst="rect">
                      <a:avLst/>
                    </a:prstGeom>
                  </pic:spPr>
                </pic:pic>
              </a:graphicData>
            </a:graphic>
          </wp:anchor>
        </w:drawing>
      </w:r>
    </w:p>
    <w:p>
      <w:pPr>
        <w:pStyle w:val="BodyText"/>
        <w:ind w:left="1325" w:right="1055"/>
        <w:jc w:val="center"/>
      </w:pPr>
      <w:r>
        <w:rPr/>
        <w:t>Figure 7. Tired at the start of work</w:t>
      </w:r>
    </w:p>
    <w:p>
      <w:pPr>
        <w:pStyle w:val="BodyText"/>
        <w:spacing w:before="11"/>
        <w:rPr>
          <w:sz w:val="19"/>
        </w:rPr>
      </w:pPr>
    </w:p>
    <w:p>
      <w:pPr>
        <w:pStyle w:val="BodyText"/>
        <w:ind w:left="270" w:firstLine="567"/>
      </w:pPr>
      <w:r>
        <w:rPr/>
        <w:t>As you can see in this chart fishermen when entering the job if they feel a little tired this is over three weeks.</w:t>
      </w:r>
    </w:p>
    <w:p>
      <w:pPr>
        <w:pStyle w:val="BodyText"/>
        <w:spacing w:before="8"/>
        <w:ind w:left="293" w:right="701"/>
        <w:jc w:val="center"/>
      </w:pPr>
      <w:r>
        <w:rPr/>
        <w:br w:type="column"/>
      </w:r>
      <w:r>
        <w:rPr/>
        <w:t>Figure 8. Tired at the end of work</w:t>
      </w:r>
    </w:p>
    <w:p>
      <w:pPr>
        <w:pStyle w:val="BodyText"/>
        <w:spacing w:before="11"/>
        <w:rPr>
          <w:sz w:val="19"/>
        </w:rPr>
      </w:pPr>
    </w:p>
    <w:p>
      <w:pPr>
        <w:pStyle w:val="BodyText"/>
        <w:ind w:left="270" w:right="677" w:firstLine="567"/>
        <w:jc w:val="both"/>
      </w:pPr>
      <w:r>
        <w:rPr/>
        <w:t>This factor indicates the percentage of the level of how tired the fisherman are in three weeks, as they enter, and also as they leave the</w:t>
      </w:r>
      <w:r>
        <w:rPr>
          <w:spacing w:val="-18"/>
        </w:rPr>
        <w:t> </w:t>
      </w:r>
      <w:r>
        <w:rPr/>
        <w:t>job.</w:t>
      </w:r>
    </w:p>
    <w:p>
      <w:pPr>
        <w:pStyle w:val="BodyText"/>
        <w:spacing w:before="3"/>
      </w:pPr>
    </w:p>
    <w:p>
      <w:pPr>
        <w:pStyle w:val="Heading4"/>
        <w:numPr>
          <w:ilvl w:val="1"/>
          <w:numId w:val="124"/>
        </w:numPr>
        <w:tabs>
          <w:tab w:pos="571" w:val="left" w:leader="none"/>
        </w:tabs>
        <w:spacing w:line="240" w:lineRule="auto" w:before="0" w:after="0"/>
        <w:ind w:left="570" w:right="0" w:hanging="300"/>
        <w:jc w:val="left"/>
      </w:pPr>
      <w:r>
        <w:rPr/>
        <w:t>Yoshitake</w:t>
      </w:r>
    </w:p>
    <w:p>
      <w:pPr>
        <w:pStyle w:val="BodyText"/>
        <w:spacing w:before="1"/>
        <w:rPr>
          <w:b/>
          <w:sz w:val="17"/>
        </w:rPr>
      </w:pPr>
      <w:r>
        <w:rPr/>
        <w:drawing>
          <wp:anchor distT="0" distB="0" distL="0" distR="0" allowOverlap="1" layoutInCell="1" locked="0" behindDoc="0" simplePos="0" relativeHeight="14560">
            <wp:simplePos x="0" y="0"/>
            <wp:positionH relativeFrom="page">
              <wp:posOffset>4187952</wp:posOffset>
            </wp:positionH>
            <wp:positionV relativeFrom="paragraph">
              <wp:posOffset>150071</wp:posOffset>
            </wp:positionV>
            <wp:extent cx="2935224" cy="2066544"/>
            <wp:effectExtent l="0" t="0" r="0" b="0"/>
            <wp:wrapTopAndBottom/>
            <wp:docPr id="589" name="image352.jpeg" descr=""/>
            <wp:cNvGraphicFramePr>
              <a:graphicFrameLocks noChangeAspect="1"/>
            </wp:cNvGraphicFramePr>
            <a:graphic>
              <a:graphicData uri="http://schemas.openxmlformats.org/drawingml/2006/picture">
                <pic:pic>
                  <pic:nvPicPr>
                    <pic:cNvPr id="590" name="image352.jpeg"/>
                    <pic:cNvPicPr/>
                  </pic:nvPicPr>
                  <pic:blipFill>
                    <a:blip r:embed="rId580" cstate="print"/>
                    <a:stretch>
                      <a:fillRect/>
                    </a:stretch>
                  </pic:blipFill>
                  <pic:spPr>
                    <a:xfrm>
                      <a:off x="0" y="0"/>
                      <a:ext cx="2935224" cy="2066544"/>
                    </a:xfrm>
                    <a:prstGeom prst="rect">
                      <a:avLst/>
                    </a:prstGeom>
                  </pic:spPr>
                </pic:pic>
              </a:graphicData>
            </a:graphic>
          </wp:anchor>
        </w:drawing>
      </w:r>
    </w:p>
    <w:p>
      <w:pPr>
        <w:pStyle w:val="BodyText"/>
        <w:ind w:left="293" w:right="701"/>
        <w:jc w:val="center"/>
      </w:pPr>
      <w:r>
        <w:rPr/>
        <w:t>Figure 9. Symptoms to the start of work.</w:t>
      </w:r>
    </w:p>
    <w:p>
      <w:pPr>
        <w:pStyle w:val="BodyText"/>
        <w:spacing w:before="11"/>
        <w:rPr>
          <w:sz w:val="19"/>
        </w:rPr>
      </w:pPr>
    </w:p>
    <w:p>
      <w:pPr>
        <w:pStyle w:val="BodyText"/>
        <w:ind w:left="270" w:right="676" w:firstLine="567"/>
        <w:jc w:val="both"/>
      </w:pPr>
      <w:r>
        <w:rPr/>
        <w:t>In this graph the highest percentage is the physical damage this the many years they have been in work and in second case the monotony and all the time the same  activities , this questionnaire was administered at the beginning of their work is seen during an week.</w:t>
      </w:r>
    </w:p>
    <w:p>
      <w:pPr>
        <w:spacing w:after="0"/>
        <w:jc w:val="both"/>
        <w:sectPr>
          <w:type w:val="continuous"/>
          <w:pgSz w:w="12240" w:h="15840"/>
          <w:pgMar w:top="1500" w:bottom="280" w:left="580" w:right="220"/>
          <w:cols w:num="2" w:equalWidth="0">
            <w:col w:w="5187" w:space="437"/>
            <w:col w:w="5816"/>
          </w:cols>
        </w:sectPr>
      </w:pPr>
    </w:p>
    <w:p>
      <w:pPr>
        <w:pStyle w:val="BodyText"/>
        <w:spacing w:before="8"/>
        <w:rPr>
          <w:sz w:val="18"/>
        </w:rPr>
      </w:pPr>
    </w:p>
    <w:p>
      <w:pPr>
        <w:pStyle w:val="BodyText"/>
        <w:ind w:left="298"/>
      </w:pPr>
      <w:r>
        <w:rPr/>
        <w:drawing>
          <wp:inline distT="0" distB="0" distL="0" distR="0">
            <wp:extent cx="3081528" cy="2386583"/>
            <wp:effectExtent l="0" t="0" r="0" b="0"/>
            <wp:docPr id="591" name="image353.jpeg" descr=""/>
            <wp:cNvGraphicFramePr>
              <a:graphicFrameLocks noChangeAspect="1"/>
            </wp:cNvGraphicFramePr>
            <a:graphic>
              <a:graphicData uri="http://schemas.openxmlformats.org/drawingml/2006/picture">
                <pic:pic>
                  <pic:nvPicPr>
                    <pic:cNvPr id="592" name="image353.jpeg"/>
                    <pic:cNvPicPr/>
                  </pic:nvPicPr>
                  <pic:blipFill>
                    <a:blip r:embed="rId581" cstate="print"/>
                    <a:stretch>
                      <a:fillRect/>
                    </a:stretch>
                  </pic:blipFill>
                  <pic:spPr>
                    <a:xfrm>
                      <a:off x="0" y="0"/>
                      <a:ext cx="3081528" cy="2386583"/>
                    </a:xfrm>
                    <a:prstGeom prst="rect">
                      <a:avLst/>
                    </a:prstGeom>
                  </pic:spPr>
                </pic:pic>
              </a:graphicData>
            </a:graphic>
          </wp:inline>
        </w:drawing>
      </w:r>
      <w:r>
        <w:rPr/>
      </w:r>
    </w:p>
    <w:p>
      <w:pPr>
        <w:spacing w:after="0"/>
        <w:sectPr>
          <w:pgSz w:w="12240" w:h="15840"/>
          <w:pgMar w:header="545" w:footer="852" w:top="1060" w:bottom="1040" w:left="580" w:right="220"/>
        </w:sectPr>
      </w:pPr>
    </w:p>
    <w:p>
      <w:pPr>
        <w:pStyle w:val="BodyText"/>
        <w:spacing w:before="10"/>
        <w:ind w:left="1082" w:right="118"/>
      </w:pPr>
      <w:r>
        <w:rPr/>
        <w:t>Figure 10. Symptoms to the end of work.</w:t>
      </w:r>
    </w:p>
    <w:p>
      <w:pPr>
        <w:pStyle w:val="BodyText"/>
        <w:spacing w:before="11"/>
        <w:rPr>
          <w:sz w:val="19"/>
        </w:rPr>
      </w:pPr>
    </w:p>
    <w:p>
      <w:pPr>
        <w:pStyle w:val="BodyText"/>
        <w:ind w:left="270" w:right="1" w:firstLine="567"/>
        <w:jc w:val="both"/>
      </w:pPr>
      <w:r>
        <w:rPr/>
        <w:t>In this graph we see that physical damage increased to 41 percent and lowered monotony and concentration , this gives us an affirmation rather than fishermen suffer great damage that directly affect your body , this questionnaire  was applied at the end of their work during the first week</w:t>
      </w:r>
      <w:r>
        <w:rPr>
          <w:spacing w:val="-23"/>
        </w:rPr>
        <w:t> </w:t>
      </w:r>
      <w:r>
        <w:rPr/>
        <w:t>.</w:t>
      </w:r>
    </w:p>
    <w:p>
      <w:pPr>
        <w:pStyle w:val="BodyText"/>
        <w:spacing w:before="1"/>
        <w:rPr>
          <w:sz w:val="17"/>
        </w:rPr>
      </w:pPr>
      <w:r>
        <w:rPr/>
        <w:drawing>
          <wp:anchor distT="0" distB="0" distL="0" distR="0" allowOverlap="1" layoutInCell="1" locked="0" behindDoc="0" simplePos="0" relativeHeight="14608">
            <wp:simplePos x="0" y="0"/>
            <wp:positionH relativeFrom="page">
              <wp:posOffset>576072</wp:posOffset>
            </wp:positionH>
            <wp:positionV relativeFrom="paragraph">
              <wp:posOffset>150074</wp:posOffset>
            </wp:positionV>
            <wp:extent cx="3044952" cy="2523744"/>
            <wp:effectExtent l="0" t="0" r="0" b="0"/>
            <wp:wrapTopAndBottom/>
            <wp:docPr id="593" name="image354.jpeg" descr=""/>
            <wp:cNvGraphicFramePr>
              <a:graphicFrameLocks noChangeAspect="1"/>
            </wp:cNvGraphicFramePr>
            <a:graphic>
              <a:graphicData uri="http://schemas.openxmlformats.org/drawingml/2006/picture">
                <pic:pic>
                  <pic:nvPicPr>
                    <pic:cNvPr id="594" name="image354.jpeg"/>
                    <pic:cNvPicPr/>
                  </pic:nvPicPr>
                  <pic:blipFill>
                    <a:blip r:embed="rId582" cstate="print"/>
                    <a:stretch>
                      <a:fillRect/>
                    </a:stretch>
                  </pic:blipFill>
                  <pic:spPr>
                    <a:xfrm>
                      <a:off x="0" y="0"/>
                      <a:ext cx="3044952" cy="2523744"/>
                    </a:xfrm>
                    <a:prstGeom prst="rect">
                      <a:avLst/>
                    </a:prstGeom>
                  </pic:spPr>
                </pic:pic>
              </a:graphicData>
            </a:graphic>
          </wp:anchor>
        </w:drawing>
      </w:r>
    </w:p>
    <w:p>
      <w:pPr>
        <w:pStyle w:val="BodyText"/>
        <w:ind w:left="1054" w:right="118"/>
      </w:pPr>
      <w:r>
        <w:rPr/>
        <w:t>Figure 11. Symptoms to the start of work.</w:t>
      </w:r>
    </w:p>
    <w:p>
      <w:pPr>
        <w:pStyle w:val="BodyText"/>
        <w:spacing w:before="11"/>
        <w:rPr>
          <w:sz w:val="19"/>
        </w:rPr>
      </w:pPr>
    </w:p>
    <w:p>
      <w:pPr>
        <w:pStyle w:val="BodyText"/>
        <w:ind w:left="270" w:firstLine="567"/>
        <w:jc w:val="both"/>
      </w:pPr>
      <w:r>
        <w:rPr/>
        <w:t>During week two at the beginning of his work can be seen that physical damage under 1 percent but likewise remains very high, monotony is at 35 percent and 25 percent concentration , all factors to be considered are more or less balanced this means that one is bound the other.</w:t>
      </w:r>
    </w:p>
    <w:p>
      <w:pPr>
        <w:pStyle w:val="BodyText"/>
        <w:spacing w:before="145"/>
        <w:ind w:left="295" w:right="600"/>
        <w:jc w:val="center"/>
      </w:pPr>
      <w:r>
        <w:rPr/>
        <w:br w:type="column"/>
      </w:r>
      <w:r>
        <w:rPr/>
        <w:t>Figure 12. Symptoms to the end of work.</w:t>
      </w:r>
    </w:p>
    <w:p>
      <w:pPr>
        <w:pStyle w:val="BodyText"/>
        <w:spacing w:before="11"/>
        <w:rPr>
          <w:sz w:val="19"/>
        </w:rPr>
      </w:pPr>
    </w:p>
    <w:p>
      <w:pPr>
        <w:pStyle w:val="BodyText"/>
        <w:ind w:left="270" w:right="675" w:firstLine="567"/>
        <w:jc w:val="both"/>
      </w:pPr>
      <w:r>
        <w:rPr/>
        <w:drawing>
          <wp:anchor distT="0" distB="0" distL="0" distR="0" allowOverlap="1" layoutInCell="1" locked="0" behindDoc="0" simplePos="0" relativeHeight="14656">
            <wp:simplePos x="0" y="0"/>
            <wp:positionH relativeFrom="page">
              <wp:posOffset>4114800</wp:posOffset>
            </wp:positionH>
            <wp:positionV relativeFrom="paragraph">
              <wp:posOffset>-2772463</wp:posOffset>
            </wp:positionV>
            <wp:extent cx="3118104" cy="2476500"/>
            <wp:effectExtent l="0" t="0" r="0" b="0"/>
            <wp:wrapNone/>
            <wp:docPr id="595" name="image355.jpeg" descr=""/>
            <wp:cNvGraphicFramePr>
              <a:graphicFrameLocks noChangeAspect="1"/>
            </wp:cNvGraphicFramePr>
            <a:graphic>
              <a:graphicData uri="http://schemas.openxmlformats.org/drawingml/2006/picture">
                <pic:pic>
                  <pic:nvPicPr>
                    <pic:cNvPr id="596" name="image355.jpeg"/>
                    <pic:cNvPicPr/>
                  </pic:nvPicPr>
                  <pic:blipFill>
                    <a:blip r:embed="rId583" cstate="print"/>
                    <a:stretch>
                      <a:fillRect/>
                    </a:stretch>
                  </pic:blipFill>
                  <pic:spPr>
                    <a:xfrm>
                      <a:off x="0" y="0"/>
                      <a:ext cx="3118104" cy="2476500"/>
                    </a:xfrm>
                    <a:prstGeom prst="rect">
                      <a:avLst/>
                    </a:prstGeom>
                  </pic:spPr>
                </pic:pic>
              </a:graphicData>
            </a:graphic>
          </wp:anchor>
        </w:drawing>
      </w:r>
      <w:r>
        <w:rPr/>
        <w:t>At the end of work during week two we note that physical damage increases to 43 percent and the other two factors down , this means that there is already a physical damage and every time they perform the activities to which they are accustomed, only what recent is that part of your body that is already damaged.</w:t>
      </w:r>
    </w:p>
    <w:p>
      <w:pPr>
        <w:pStyle w:val="BodyText"/>
        <w:spacing w:before="9"/>
        <w:rPr>
          <w:sz w:val="17"/>
        </w:rPr>
      </w:pPr>
      <w:r>
        <w:rPr/>
        <w:drawing>
          <wp:anchor distT="0" distB="0" distL="0" distR="0" allowOverlap="1" layoutInCell="1" locked="0" behindDoc="0" simplePos="0" relativeHeight="14632">
            <wp:simplePos x="0" y="0"/>
            <wp:positionH relativeFrom="page">
              <wp:posOffset>4114800</wp:posOffset>
            </wp:positionH>
            <wp:positionV relativeFrom="paragraph">
              <wp:posOffset>154646</wp:posOffset>
            </wp:positionV>
            <wp:extent cx="3090672" cy="2228850"/>
            <wp:effectExtent l="0" t="0" r="0" b="0"/>
            <wp:wrapTopAndBottom/>
            <wp:docPr id="597" name="image356.jpeg" descr=""/>
            <wp:cNvGraphicFramePr>
              <a:graphicFrameLocks noChangeAspect="1"/>
            </wp:cNvGraphicFramePr>
            <a:graphic>
              <a:graphicData uri="http://schemas.openxmlformats.org/drawingml/2006/picture">
                <pic:pic>
                  <pic:nvPicPr>
                    <pic:cNvPr id="598" name="image356.jpeg"/>
                    <pic:cNvPicPr/>
                  </pic:nvPicPr>
                  <pic:blipFill>
                    <a:blip r:embed="rId584" cstate="print"/>
                    <a:stretch>
                      <a:fillRect/>
                    </a:stretch>
                  </pic:blipFill>
                  <pic:spPr>
                    <a:xfrm>
                      <a:off x="0" y="0"/>
                      <a:ext cx="3090672" cy="2228850"/>
                    </a:xfrm>
                    <a:prstGeom prst="rect">
                      <a:avLst/>
                    </a:prstGeom>
                  </pic:spPr>
                </pic:pic>
              </a:graphicData>
            </a:graphic>
          </wp:anchor>
        </w:drawing>
      </w:r>
    </w:p>
    <w:p>
      <w:pPr>
        <w:pStyle w:val="BodyText"/>
        <w:ind w:left="292" w:right="701"/>
        <w:jc w:val="center"/>
      </w:pPr>
      <w:r>
        <w:rPr/>
        <w:t>Figure 13. Symptoms to the start of work...</w:t>
      </w:r>
    </w:p>
    <w:p>
      <w:pPr>
        <w:pStyle w:val="BodyText"/>
        <w:spacing w:before="11"/>
        <w:rPr>
          <w:sz w:val="19"/>
        </w:rPr>
      </w:pPr>
    </w:p>
    <w:p>
      <w:pPr>
        <w:pStyle w:val="BodyText"/>
        <w:ind w:left="270" w:right="675" w:firstLine="567"/>
        <w:jc w:val="both"/>
      </w:pPr>
      <w:r>
        <w:rPr/>
        <w:t>In the last week when asking fishermen to  begin work shows that the percentage of physical damage factor stood at 43 percent, and concentration increased 2 percent , monotony under 2 percent , fishermen said they do not mind affects them be doing the same , but physically.</w:t>
      </w:r>
    </w:p>
    <w:p>
      <w:pPr>
        <w:spacing w:after="0"/>
        <w:jc w:val="both"/>
        <w:sectPr>
          <w:type w:val="continuous"/>
          <w:pgSz w:w="12240" w:h="15840"/>
          <w:pgMar w:top="1500" w:bottom="280" w:left="580" w:right="220"/>
          <w:cols w:num="2" w:equalWidth="0">
            <w:col w:w="5190" w:space="434"/>
            <w:col w:w="5816"/>
          </w:cols>
        </w:sectPr>
      </w:pPr>
    </w:p>
    <w:p>
      <w:pPr>
        <w:pStyle w:val="BodyText"/>
        <w:spacing w:before="6"/>
        <w:rPr>
          <w:sz w:val="18"/>
        </w:rPr>
      </w:pPr>
    </w:p>
    <w:p>
      <w:pPr>
        <w:pStyle w:val="BodyText"/>
        <w:ind w:left="298" w:right="-3"/>
      </w:pPr>
      <w:r>
        <w:rPr/>
        <w:drawing>
          <wp:inline distT="0" distB="0" distL="0" distR="0">
            <wp:extent cx="3081528" cy="2644902"/>
            <wp:effectExtent l="0" t="0" r="0" b="0"/>
            <wp:docPr id="599" name="image357.jpeg" descr=""/>
            <wp:cNvGraphicFramePr>
              <a:graphicFrameLocks noChangeAspect="1"/>
            </wp:cNvGraphicFramePr>
            <a:graphic>
              <a:graphicData uri="http://schemas.openxmlformats.org/drawingml/2006/picture">
                <pic:pic>
                  <pic:nvPicPr>
                    <pic:cNvPr id="600" name="image357.jpeg"/>
                    <pic:cNvPicPr/>
                  </pic:nvPicPr>
                  <pic:blipFill>
                    <a:blip r:embed="rId585" cstate="print"/>
                    <a:stretch>
                      <a:fillRect/>
                    </a:stretch>
                  </pic:blipFill>
                  <pic:spPr>
                    <a:xfrm>
                      <a:off x="0" y="0"/>
                      <a:ext cx="3081528" cy="2644902"/>
                    </a:xfrm>
                    <a:prstGeom prst="rect">
                      <a:avLst/>
                    </a:prstGeom>
                  </pic:spPr>
                </pic:pic>
              </a:graphicData>
            </a:graphic>
          </wp:inline>
        </w:drawing>
      </w:r>
      <w:r>
        <w:rPr/>
      </w:r>
    </w:p>
    <w:p>
      <w:pPr>
        <w:pStyle w:val="BodyText"/>
        <w:spacing w:before="9"/>
        <w:ind w:left="1372"/>
      </w:pPr>
      <w:r>
        <w:rPr/>
        <w:t>Figure 14. Symptoms to the end of work.</w:t>
      </w:r>
    </w:p>
    <w:p>
      <w:pPr>
        <w:pStyle w:val="BodyText"/>
      </w:pPr>
    </w:p>
    <w:p>
      <w:pPr>
        <w:pStyle w:val="BodyText"/>
        <w:spacing w:before="1"/>
        <w:ind w:left="270" w:firstLine="567"/>
        <w:jc w:val="both"/>
      </w:pPr>
      <w:r>
        <w:rPr/>
        <w:t>This graph is the result of week number three on the time the fishermen leave their job and As from the beginning of week one can see that there is the factor of physical damage by a percentage almost 50 percent which is very alarming as there is a severe injury that affects the quality of life of fishermen and their productivity is not the same.</w:t>
      </w:r>
    </w:p>
    <w:p>
      <w:pPr>
        <w:pStyle w:val="BodyText"/>
        <w:spacing w:before="11"/>
        <w:rPr>
          <w:sz w:val="29"/>
        </w:rPr>
      </w:pPr>
    </w:p>
    <w:p>
      <w:pPr>
        <w:pStyle w:val="BodyText"/>
        <w:ind w:left="270" w:firstLine="567"/>
        <w:jc w:val="both"/>
      </w:pPr>
      <w:r>
        <w:rPr/>
        <w:t>These questions show at the pace of  three  weeks wish symptoms the fisherman mostly frecuent.the fisherman at the moment he starts to work and at the moment he gets out of work.as the weeks pass we find out which sectors are growing.</w:t>
      </w:r>
    </w:p>
    <w:p>
      <w:pPr>
        <w:pStyle w:val="Heading4"/>
        <w:numPr>
          <w:ilvl w:val="1"/>
          <w:numId w:val="124"/>
        </w:numPr>
        <w:tabs>
          <w:tab w:pos="571" w:val="left" w:leader="none"/>
        </w:tabs>
        <w:spacing w:line="240" w:lineRule="auto" w:before="1" w:after="0"/>
        <w:ind w:left="570" w:right="0" w:hanging="300"/>
        <w:jc w:val="both"/>
      </w:pPr>
      <w:r>
        <w:rPr>
          <w:color w:val="202020"/>
        </w:rPr>
        <w:t>Conclusions</w:t>
      </w:r>
    </w:p>
    <w:p>
      <w:pPr>
        <w:pStyle w:val="BodyText"/>
        <w:spacing w:before="9"/>
        <w:rPr>
          <w:b/>
          <w:sz w:val="19"/>
        </w:rPr>
      </w:pPr>
    </w:p>
    <w:p>
      <w:pPr>
        <w:pStyle w:val="BodyText"/>
        <w:spacing w:before="1"/>
        <w:ind w:left="270" w:right="1"/>
        <w:jc w:val="both"/>
      </w:pPr>
      <w:r>
        <w:rPr/>
        <w:t>Based on the statistic evidence we know for sure that the fisherman at the bay in Topolobampo suffer from fatigue. Especially at the time they leave work, at mid-week, as the three weeks go by the problems grow.</w:t>
      </w:r>
    </w:p>
    <w:p>
      <w:pPr>
        <w:pStyle w:val="BodyText"/>
        <w:spacing w:before="11"/>
        <w:rPr>
          <w:sz w:val="19"/>
        </w:rPr>
      </w:pPr>
    </w:p>
    <w:p>
      <w:pPr>
        <w:pStyle w:val="BodyText"/>
        <w:ind w:left="270" w:firstLine="567"/>
        <w:jc w:val="both"/>
      </w:pPr>
      <w:r>
        <w:rPr/>
        <w:t>After applying the Yoshitake questions the results show that their is a big difference in the physical damage section, starting with 39 percent and the last three weeks culminate at 46 percent, which is proof that the fisherman suffer great fatigue. We must have in mind that most of the time fisherman are sitting in places that damage their body. Because of so much physical demand, and without any previous warm up exercises, they are occasioned great deals of fatigue.</w:t>
      </w:r>
    </w:p>
    <w:p>
      <w:pPr>
        <w:pStyle w:val="BodyText"/>
        <w:ind w:left="270" w:right="1" w:firstLine="567"/>
        <w:jc w:val="both"/>
      </w:pPr>
      <w:r>
        <w:rPr/>
        <w:t>Applying the Luke 4 point scale we only obtain ten percent of the people interviewed don’t end tired, but 90 percent end tired, very tired or fatigued.</w:t>
      </w:r>
    </w:p>
    <w:p>
      <w:pPr>
        <w:pStyle w:val="BodyText"/>
        <w:spacing w:before="11"/>
        <w:rPr>
          <w:sz w:val="19"/>
        </w:rPr>
      </w:pPr>
    </w:p>
    <w:p>
      <w:pPr>
        <w:pStyle w:val="BodyText"/>
        <w:ind w:left="270" w:firstLine="567"/>
        <w:jc w:val="both"/>
      </w:pPr>
      <w:r>
        <w:rPr/>
        <w:t>It’s almost impossible to find a job that doesn’t  require physical movement, but in this case the fisherman labor in a very small area of course it’s not the ideal spot for their</w:t>
      </w:r>
      <w:r>
        <w:rPr>
          <w:spacing w:val="16"/>
        </w:rPr>
        <w:t> </w:t>
      </w:r>
      <w:r>
        <w:rPr/>
        <w:t>work,</w:t>
      </w:r>
      <w:r>
        <w:rPr>
          <w:spacing w:val="17"/>
        </w:rPr>
        <w:t> </w:t>
      </w:r>
      <w:r>
        <w:rPr/>
        <w:t>they</w:t>
      </w:r>
      <w:r>
        <w:rPr>
          <w:spacing w:val="17"/>
        </w:rPr>
        <w:t> </w:t>
      </w:r>
      <w:r>
        <w:rPr/>
        <w:t>do</w:t>
      </w:r>
      <w:r>
        <w:rPr>
          <w:spacing w:val="17"/>
        </w:rPr>
        <w:t> </w:t>
      </w:r>
      <w:r>
        <w:rPr/>
        <w:t>not</w:t>
      </w:r>
      <w:r>
        <w:rPr>
          <w:spacing w:val="15"/>
        </w:rPr>
        <w:t> </w:t>
      </w:r>
      <w:r>
        <w:rPr/>
        <w:t>have</w:t>
      </w:r>
      <w:r>
        <w:rPr>
          <w:spacing w:val="15"/>
        </w:rPr>
        <w:t> </w:t>
      </w:r>
      <w:r>
        <w:rPr/>
        <w:t>a</w:t>
      </w:r>
      <w:r>
        <w:rPr>
          <w:spacing w:val="17"/>
        </w:rPr>
        <w:t> </w:t>
      </w:r>
      <w:r>
        <w:rPr/>
        <w:t>bathroom,</w:t>
      </w:r>
      <w:r>
        <w:rPr>
          <w:spacing w:val="17"/>
        </w:rPr>
        <w:t> </w:t>
      </w:r>
      <w:r>
        <w:rPr/>
        <w:t>a</w:t>
      </w:r>
      <w:r>
        <w:rPr>
          <w:spacing w:val="16"/>
        </w:rPr>
        <w:t> </w:t>
      </w:r>
      <w:r>
        <w:rPr/>
        <w:t>bed</w:t>
      </w:r>
      <w:r>
        <w:rPr>
          <w:spacing w:val="17"/>
        </w:rPr>
        <w:t> </w:t>
      </w:r>
      <w:r>
        <w:rPr/>
        <w:t>or</w:t>
      </w:r>
      <w:r>
        <w:rPr>
          <w:spacing w:val="18"/>
        </w:rPr>
        <w:t> </w:t>
      </w:r>
      <w:r>
        <w:rPr/>
        <w:t>anything</w:t>
      </w:r>
    </w:p>
    <w:p>
      <w:pPr>
        <w:pStyle w:val="BodyText"/>
        <w:spacing w:before="9"/>
        <w:rPr>
          <w:sz w:val="17"/>
        </w:rPr>
      </w:pPr>
      <w:r>
        <w:rPr/>
        <w:br w:type="column"/>
      </w:r>
      <w:r>
        <w:rPr>
          <w:sz w:val="17"/>
        </w:rPr>
      </w:r>
    </w:p>
    <w:p>
      <w:pPr>
        <w:pStyle w:val="BodyText"/>
        <w:ind w:left="270" w:right="687"/>
      </w:pPr>
      <w:r>
        <w:rPr/>
        <w:t>alike, they must get used to the conditions they are provided with.</w:t>
      </w:r>
    </w:p>
    <w:p>
      <w:pPr>
        <w:pStyle w:val="BodyText"/>
      </w:pPr>
    </w:p>
    <w:p>
      <w:pPr>
        <w:pStyle w:val="BodyText"/>
        <w:spacing w:before="1"/>
        <w:ind w:left="270" w:right="675" w:firstLine="567"/>
        <w:jc w:val="both"/>
      </w:pPr>
      <w:r>
        <w:rPr/>
        <w:t>Picking up heavy loads with time also affects the body, by doing this very important body parts are damaged.</w:t>
      </w:r>
    </w:p>
    <w:p>
      <w:pPr>
        <w:pStyle w:val="BodyText"/>
        <w:spacing w:before="3"/>
      </w:pPr>
    </w:p>
    <w:p>
      <w:pPr>
        <w:pStyle w:val="Heading4"/>
        <w:numPr>
          <w:ilvl w:val="1"/>
          <w:numId w:val="124"/>
        </w:numPr>
        <w:tabs>
          <w:tab w:pos="571" w:val="left" w:leader="none"/>
        </w:tabs>
        <w:spacing w:line="240" w:lineRule="auto" w:before="0" w:after="0"/>
        <w:ind w:left="570" w:right="0" w:hanging="300"/>
        <w:jc w:val="left"/>
      </w:pPr>
      <w:r>
        <w:rPr>
          <w:color w:val="202020"/>
        </w:rPr>
        <w:t>Recommended</w:t>
      </w:r>
    </w:p>
    <w:p>
      <w:pPr>
        <w:pStyle w:val="BodyText"/>
        <w:spacing w:before="8"/>
        <w:rPr>
          <w:b/>
          <w:sz w:val="19"/>
        </w:rPr>
      </w:pPr>
    </w:p>
    <w:p>
      <w:pPr>
        <w:pStyle w:val="BodyText"/>
        <w:ind w:left="318" w:right="676"/>
        <w:jc w:val="right"/>
      </w:pPr>
      <w:r>
        <w:rPr/>
        <w:t>According to the results in the yoshitake questions and the</w:t>
      </w:r>
      <w:r>
        <w:rPr>
          <w:w w:val="100"/>
        </w:rPr>
        <w:t> </w:t>
      </w:r>
      <w:r>
        <w:rPr/>
        <w:t>Luke 4 point scale, it is recommended they change the way</w:t>
      </w:r>
      <w:r>
        <w:rPr>
          <w:w w:val="100"/>
        </w:rPr>
        <w:t> </w:t>
      </w:r>
      <w:r>
        <w:rPr/>
        <w:t>they get the daily activity’s done, have them know they</w:t>
      </w:r>
      <w:r>
        <w:rPr>
          <w:w w:val="100"/>
        </w:rPr>
        <w:t> </w:t>
      </w:r>
      <w:r>
        <w:rPr/>
        <w:t>must warm whatever body parts they might use, and also</w:t>
      </w:r>
      <w:r>
        <w:rPr>
          <w:w w:val="100"/>
        </w:rPr>
        <w:t> </w:t>
      </w:r>
      <w:r>
        <w:rPr/>
        <w:t>like  getting  a  bathroom  ,something  to  cover  the sun,etc.</w:t>
      </w:r>
    </w:p>
    <w:p>
      <w:pPr>
        <w:pStyle w:val="BodyText"/>
      </w:pPr>
    </w:p>
    <w:p>
      <w:pPr>
        <w:pStyle w:val="BodyText"/>
      </w:pPr>
    </w:p>
    <w:p>
      <w:pPr>
        <w:pStyle w:val="BodyText"/>
        <w:ind w:left="270" w:right="676" w:firstLine="567"/>
        <w:jc w:val="right"/>
      </w:pPr>
      <w:r>
        <w:rPr/>
        <w:t>Relation to the fatigue because of physical damage a</w:t>
      </w:r>
      <w:r>
        <w:rPr>
          <w:w w:val="100"/>
        </w:rPr>
        <w:t> </w:t>
      </w:r>
      <w:r>
        <w:rPr/>
        <w:t>specialist in ergonomic is recommended to take proper</w:t>
      </w:r>
      <w:r>
        <w:rPr>
          <w:w w:val="100"/>
        </w:rPr>
        <w:t> </w:t>
      </w:r>
      <w:r>
        <w:rPr/>
        <w:t>positions while working so they don’t feel pained or tired.</w:t>
      </w:r>
    </w:p>
    <w:p>
      <w:pPr>
        <w:pStyle w:val="BodyText"/>
      </w:pPr>
    </w:p>
    <w:p>
      <w:pPr>
        <w:pStyle w:val="BodyText"/>
      </w:pPr>
    </w:p>
    <w:p>
      <w:pPr>
        <w:pStyle w:val="BodyText"/>
        <w:ind w:left="270" w:right="676" w:firstLine="567"/>
        <w:jc w:val="both"/>
      </w:pPr>
      <w:r>
        <w:rPr/>
        <w:t>Another alternative is also showing the fisherman how to pick up heavy loads, this is one of the main factors that cause problems in the back, legs, knees and shoulders. The probability to an accident is very minor.</w:t>
      </w:r>
    </w:p>
    <w:p>
      <w:pPr>
        <w:pStyle w:val="BodyText"/>
        <w:spacing w:before="11"/>
        <w:rPr>
          <w:sz w:val="19"/>
        </w:rPr>
      </w:pPr>
    </w:p>
    <w:p>
      <w:pPr>
        <w:pStyle w:val="BodyText"/>
        <w:ind w:left="270" w:right="676" w:firstLine="567"/>
        <w:jc w:val="both"/>
      </w:pPr>
      <w:r>
        <w:rPr/>
        <w:t>It’s also very important to point out that  the fisherman never rest including during their resting time, and during the time they rest r lay down they do it in a wrong way which causes them various back problems.</w:t>
      </w:r>
    </w:p>
    <w:p>
      <w:pPr>
        <w:pStyle w:val="BodyText"/>
      </w:pPr>
    </w:p>
    <w:p>
      <w:pPr>
        <w:pStyle w:val="BodyText"/>
        <w:spacing w:before="2"/>
      </w:pPr>
    </w:p>
    <w:p>
      <w:pPr>
        <w:pStyle w:val="Heading4"/>
        <w:ind w:right="702"/>
        <w:jc w:val="left"/>
      </w:pPr>
      <w:r>
        <w:rPr/>
        <w:t>3.7. References</w:t>
      </w:r>
    </w:p>
    <w:p>
      <w:pPr>
        <w:pStyle w:val="BodyText"/>
        <w:spacing w:before="8"/>
        <w:rPr>
          <w:b/>
          <w:sz w:val="19"/>
        </w:rPr>
      </w:pPr>
    </w:p>
    <w:p>
      <w:pPr>
        <w:pStyle w:val="BodyText"/>
        <w:ind w:left="270" w:right="676"/>
        <w:jc w:val="both"/>
      </w:pPr>
      <w:r>
        <w:rPr/>
        <w:t>NIEBEL, BENJAMÍN W. Ingeniería Industrial: Métodos, tiempos y movimientos. Tercera Edicion. Editorial Alfaomega, 1990.</w:t>
      </w:r>
    </w:p>
    <w:p>
      <w:pPr>
        <w:pStyle w:val="BodyText"/>
      </w:pPr>
    </w:p>
    <w:p>
      <w:pPr>
        <w:pStyle w:val="BodyText"/>
        <w:spacing w:before="1"/>
        <w:ind w:left="270" w:right="672"/>
      </w:pPr>
      <w:r>
        <w:rPr/>
        <w:t>Yoshitake, H. Three characteristics patterns of subjective fatigue  symptoms.  Ergonomics,  vol.  21  (3),  pp. 231-233.</w:t>
      </w:r>
    </w:p>
    <w:p>
      <w:pPr>
        <w:pStyle w:val="BodyText"/>
        <w:ind w:left="270" w:right="702"/>
      </w:pPr>
      <w:r>
        <w:rPr/>
        <w:t>1978.</w:t>
      </w:r>
    </w:p>
    <w:p>
      <w:pPr>
        <w:pStyle w:val="BodyText"/>
        <w:spacing w:before="11"/>
        <w:rPr>
          <w:sz w:val="19"/>
        </w:rPr>
      </w:pPr>
    </w:p>
    <w:p>
      <w:pPr>
        <w:pStyle w:val="BodyText"/>
        <w:ind w:left="270"/>
      </w:pPr>
      <w:r>
        <w:rPr/>
        <w:t>DAVID   J.   OBORNE,   ED.   TRILLAS.   ‘’Ergonomía en</w:t>
      </w:r>
    </w:p>
    <w:p>
      <w:pPr>
        <w:pStyle w:val="BodyText"/>
        <w:ind w:left="270" w:right="702"/>
      </w:pPr>
      <w:r>
        <w:rPr/>
        <w:t>acción: la adaptación del medio del trabajo al hombre”.</w:t>
      </w:r>
    </w:p>
    <w:p>
      <w:pPr>
        <w:pStyle w:val="BodyText"/>
        <w:spacing w:before="11"/>
        <w:rPr>
          <w:sz w:val="19"/>
        </w:rPr>
      </w:pPr>
    </w:p>
    <w:p>
      <w:pPr>
        <w:pStyle w:val="BodyText"/>
        <w:ind w:left="270" w:right="672"/>
      </w:pPr>
      <w:r>
        <w:rPr/>
        <w:t>Información sobre Accidentes y Enfermedades de Trabajo Sinaloa   2004-2013.   Memorias   estadísticas   IMSS 2004-</w:t>
      </w:r>
    </w:p>
    <w:p>
      <w:pPr>
        <w:pStyle w:val="BodyText"/>
        <w:spacing w:line="230" w:lineRule="exact"/>
        <w:ind w:left="270" w:right="702"/>
      </w:pPr>
      <w:r>
        <w:rPr/>
        <w:t>2013.</w:t>
      </w:r>
    </w:p>
    <w:p>
      <w:pPr>
        <w:pStyle w:val="BodyText"/>
        <w:ind w:left="270" w:right="693"/>
      </w:pPr>
      <w:hyperlink r:id="rId485">
        <w:r>
          <w:rPr>
            <w:color w:val="0000FF"/>
            <w:u w:val="single" w:color="0000FF"/>
          </w:rPr>
          <w:t>http://www.stps.gob.mx/bp/secciones/dgsst/estadisticas/Sina</w:t>
        </w:r>
      </w:hyperlink>
      <w:r>
        <w:rPr>
          <w:color w:val="0000FF"/>
          <w:u w:val="single" w:color="0000FF"/>
        </w:rPr>
        <w:t> loa%202004-2013.pdf</w:t>
      </w:r>
    </w:p>
    <w:p>
      <w:pPr>
        <w:pStyle w:val="BodyText"/>
        <w:spacing w:before="11"/>
        <w:rPr>
          <w:sz w:val="19"/>
        </w:rPr>
      </w:pPr>
    </w:p>
    <w:p>
      <w:pPr>
        <w:pStyle w:val="BodyText"/>
        <w:ind w:left="270" w:right="702"/>
      </w:pPr>
      <w:r>
        <w:rPr/>
        <w:t>Low back pain among professional bus drivers: ergonomic and occupational-psychosocial risk factors.</w:t>
      </w:r>
    </w:p>
    <w:p>
      <w:pPr>
        <w:pStyle w:val="BodyText"/>
        <w:ind w:left="270" w:right="702"/>
      </w:pPr>
      <w:r>
        <w:rPr/>
        <w:t>Alperovitch-Najenson D1, Santo Y, Masharawi Y, Katz- Leurer M, Ushvaev D, Kalichman L. </w:t>
      </w:r>
      <w:hyperlink r:id="rId586">
        <w:r>
          <w:rPr>
            <w:color w:val="0000FF"/>
            <w:u w:val="single" w:color="0000FF"/>
          </w:rPr>
          <w:t>http://www.ncbi.nlm.nih.gov/pubmed/20450125</w:t>
        </w:r>
      </w:hyperlink>
    </w:p>
    <w:p>
      <w:pPr>
        <w:spacing w:after="0"/>
        <w:sectPr>
          <w:pgSz w:w="12240" w:h="15840"/>
          <w:pgMar w:header="545" w:footer="852" w:top="1060" w:bottom="1040" w:left="580" w:right="220"/>
          <w:cols w:num="2" w:equalWidth="0">
            <w:col w:w="5189" w:space="435"/>
            <w:col w:w="5816"/>
          </w:cols>
        </w:sectPr>
      </w:pPr>
    </w:p>
    <w:p>
      <w:pPr>
        <w:pStyle w:val="BodyText"/>
        <w:spacing w:before="4"/>
        <w:rPr>
          <w:sz w:val="11"/>
        </w:rPr>
      </w:pPr>
    </w:p>
    <w:p>
      <w:pPr>
        <w:pStyle w:val="BodyText"/>
        <w:spacing w:before="74"/>
        <w:ind w:left="270" w:right="6250"/>
        <w:jc w:val="both"/>
      </w:pPr>
      <w:r>
        <w:rPr/>
        <w:t>B. Carranza, A. &amp; Vallejo Gonzalez, J. (2004). Fatiga laboral. 2004, de Ergonomía Ocupacional S.C. Sitio web: </w:t>
      </w:r>
      <w:hyperlink r:id="rId587">
        <w:r>
          <w:rPr>
            <w:color w:val="0000FF"/>
            <w:u w:val="single" w:color="0000FF"/>
          </w:rPr>
          <w:t>http://www.ergocupacional.com/4910/20608.html</w:t>
        </w:r>
        <w:r>
          <w:rPr/>
          <w:t>.</w:t>
        </w:r>
      </w:hyperlink>
    </w:p>
    <w:p>
      <w:pPr>
        <w:pStyle w:val="BodyText"/>
        <w:spacing w:before="11"/>
        <w:rPr>
          <w:sz w:val="19"/>
        </w:rPr>
      </w:pPr>
    </w:p>
    <w:p>
      <w:pPr>
        <w:pStyle w:val="BodyText"/>
        <w:tabs>
          <w:tab w:pos="611" w:val="left" w:leader="none"/>
          <w:tab w:pos="1276" w:val="left" w:leader="none"/>
          <w:tab w:pos="1705" w:val="left" w:leader="none"/>
          <w:tab w:pos="2090" w:val="left" w:leader="none"/>
          <w:tab w:pos="2938" w:val="left" w:leader="none"/>
          <w:tab w:pos="3491" w:val="left" w:leader="none"/>
          <w:tab w:pos="4387" w:val="left" w:leader="none"/>
          <w:tab w:pos="5130" w:val="left" w:leader="none"/>
        </w:tabs>
        <w:ind w:left="270" w:right="6250"/>
      </w:pPr>
      <w:r>
        <w:rPr/>
        <w:t>Cero Accidentes. (2012). Diseño ergonómico de puestos de trabajo. Febrero 28,2012, de Administración de la seguridad y</w:t>
        <w:tab/>
        <w:t>salud</w:t>
        <w:tab/>
        <w:t>en</w:t>
        <w:tab/>
        <w:t>el</w:t>
        <w:tab/>
        <w:t>trabajo.</w:t>
        <w:tab/>
        <w:t>BSI</w:t>
        <w:tab/>
        <w:t>OHSAS</w:t>
        <w:tab/>
        <w:t>18001</w:t>
        <w:tab/>
        <w:t>: </w:t>
      </w:r>
      <w:hyperlink r:id="rId588">
        <w:r>
          <w:rPr>
            <w:color w:val="0000FF"/>
            <w:u w:val="single" w:color="0000FF"/>
          </w:rPr>
          <w:t>http://trabajaconseguridad.blogspot.mx/2012/02/diseno-</w:t>
        </w:r>
      </w:hyperlink>
      <w:r>
        <w:rPr>
          <w:color w:val="0000FF"/>
          <w:u w:val="single" w:color="0000FF"/>
        </w:rPr>
        <w:t> </w:t>
      </w:r>
      <w:r>
        <w:rPr>
          <w:color w:val="0000FF"/>
          <w:u w:val="single" w:color="0000FF"/>
        </w:rPr>
        <w:t>ergonomico-de-puestos-de-trabajo.html</w:t>
      </w:r>
      <w:r>
        <w:rPr/>
        <w:t>.</w:t>
      </w:r>
    </w:p>
    <w:p>
      <w:pPr>
        <w:spacing w:after="0"/>
        <w:sectPr>
          <w:pgSz w:w="12240" w:h="15840"/>
          <w:pgMar w:header="545" w:footer="852" w:top="1060" w:bottom="1040" w:left="580" w:right="220"/>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6"/>
        <w:rPr>
          <w:sz w:val="26"/>
        </w:rPr>
      </w:pPr>
    </w:p>
    <w:p>
      <w:pPr>
        <w:pStyle w:val="Heading1"/>
        <w:ind w:right="29"/>
        <w:rPr>
          <w:rFonts w:ascii="Arial"/>
        </w:rPr>
      </w:pPr>
      <w:r>
        <w:rPr>
          <w:rFonts w:ascii="Arial"/>
        </w:rPr>
        <w:t>A study of mental and physical fatigue of a machine operator in a tortilla corn factory.</w:t>
      </w:r>
    </w:p>
    <w:p>
      <w:pPr>
        <w:spacing w:line="213" w:lineRule="auto" w:before="179"/>
        <w:ind w:left="270" w:right="29" w:firstLine="0"/>
        <w:jc w:val="both"/>
        <w:rPr>
          <w:i/>
          <w:sz w:val="20"/>
        </w:rPr>
      </w:pPr>
      <w:r>
        <w:rPr>
          <w:i/>
          <w:sz w:val="20"/>
        </w:rPr>
        <w:t>Alberto Ramírez Leyva </w:t>
      </w:r>
      <w:r>
        <w:rPr>
          <w:i/>
          <w:position w:val="9"/>
          <w:sz w:val="13"/>
        </w:rPr>
        <w:t>a</w:t>
      </w:r>
      <w:r>
        <w:rPr>
          <w:i/>
          <w:sz w:val="20"/>
        </w:rPr>
        <w:t>, Jesús Iván Ruiz Ibarra </w:t>
      </w:r>
      <w:r>
        <w:rPr>
          <w:i/>
          <w:position w:val="9"/>
          <w:sz w:val="13"/>
        </w:rPr>
        <w:t>b</w:t>
      </w:r>
      <w:r>
        <w:rPr>
          <w:i/>
          <w:sz w:val="20"/>
        </w:rPr>
        <w:t>, Erik </w:t>
      </w:r>
      <w:r>
        <w:rPr>
          <w:i/>
          <w:sz w:val="20"/>
        </w:rPr>
        <w:t>Alejandro Martínez Vázquez </w:t>
      </w:r>
      <w:r>
        <w:rPr>
          <w:i/>
          <w:position w:val="9"/>
          <w:sz w:val="13"/>
        </w:rPr>
        <w:t>c</w:t>
      </w:r>
      <w:r>
        <w:rPr>
          <w:i/>
          <w:sz w:val="20"/>
        </w:rPr>
        <w:t>, Nava Mena Carlos Alberto </w:t>
      </w:r>
      <w:r>
        <w:rPr>
          <w:i/>
          <w:position w:val="9"/>
          <w:sz w:val="13"/>
        </w:rPr>
        <w:t>d</w:t>
      </w:r>
      <w:r>
        <w:rPr>
          <w:i/>
          <w:sz w:val="20"/>
        </w:rPr>
        <w:t>, Rivera Osuna Jessica Daniela </w:t>
      </w:r>
      <w:r>
        <w:rPr>
          <w:i/>
          <w:position w:val="9"/>
          <w:sz w:val="13"/>
        </w:rPr>
        <w:t>e</w:t>
      </w:r>
      <w:r>
        <w:rPr>
          <w:i/>
          <w:sz w:val="20"/>
        </w:rPr>
        <w:t>.</w:t>
      </w:r>
    </w:p>
    <w:p>
      <w:pPr>
        <w:spacing w:before="173"/>
        <w:ind w:left="270" w:right="9" w:firstLine="0"/>
        <w:jc w:val="both"/>
        <w:rPr>
          <w:sz w:val="16"/>
        </w:rPr>
      </w:pPr>
      <w:r>
        <w:rPr>
          <w:position w:val="7"/>
          <w:sz w:val="10"/>
        </w:rPr>
        <w:t>a </w:t>
      </w:r>
      <w:r>
        <w:rPr>
          <w:sz w:val="16"/>
        </w:rPr>
        <w:t>Instituto Tecnológico de Los Mochis, Juan de Dios Batiz y 20 de  noviembre s/n código postal 81259, alberto_ramirez_leyva@yahoo,com,  Los Mochis, Sinaloa,</w:t>
      </w:r>
      <w:r>
        <w:rPr>
          <w:spacing w:val="-19"/>
          <w:sz w:val="16"/>
        </w:rPr>
        <w:t> </w:t>
      </w:r>
      <w:r>
        <w:rPr>
          <w:sz w:val="16"/>
        </w:rPr>
        <w:t>México.</w:t>
      </w:r>
    </w:p>
    <w:p>
      <w:pPr>
        <w:spacing w:line="184" w:lineRule="exact" w:before="3"/>
        <w:ind w:left="270" w:right="8" w:firstLine="0"/>
        <w:jc w:val="both"/>
        <w:rPr>
          <w:sz w:val="16"/>
        </w:rPr>
      </w:pPr>
      <w:r>
        <w:rPr>
          <w:position w:val="7"/>
          <w:sz w:val="10"/>
        </w:rPr>
        <w:t>b </w:t>
      </w:r>
      <w:r>
        <w:rPr>
          <w:sz w:val="16"/>
        </w:rPr>
        <w:t>Instituto Tecnológico de Los Mochis, Juan de Dios Batiz y 20 de noviembre s/n código postal 81259, jesus_ruizi@hotmail,com, Los Mochis, Sinaloa,</w:t>
      </w:r>
      <w:r>
        <w:rPr>
          <w:spacing w:val="-6"/>
          <w:sz w:val="16"/>
        </w:rPr>
        <w:t> </w:t>
      </w:r>
      <w:r>
        <w:rPr>
          <w:sz w:val="16"/>
        </w:rPr>
        <w:t>México.</w:t>
      </w:r>
    </w:p>
    <w:p>
      <w:pPr>
        <w:spacing w:line="184" w:lineRule="exact" w:before="0"/>
        <w:ind w:left="270" w:right="28" w:firstLine="0"/>
        <w:jc w:val="both"/>
        <w:rPr>
          <w:sz w:val="16"/>
        </w:rPr>
      </w:pPr>
      <w:r>
        <w:rPr>
          <w:position w:val="7"/>
          <w:sz w:val="10"/>
        </w:rPr>
        <w:t>c </w:t>
      </w:r>
      <w:r>
        <w:rPr>
          <w:sz w:val="16"/>
        </w:rPr>
        <w:t>Instituto Tecnológico de Los Mochis, Juan de Dios Batiz y 20 de noviembre s/n código postal 81259, </w:t>
      </w:r>
      <w:hyperlink r:id="rId589">
        <w:r>
          <w:rPr>
            <w:sz w:val="16"/>
          </w:rPr>
          <w:t>erik_martinez1994@outlook.com,</w:t>
        </w:r>
      </w:hyperlink>
      <w:r>
        <w:rPr>
          <w:sz w:val="16"/>
        </w:rPr>
        <w:t> Los Mochis, Sinaloa,</w:t>
      </w:r>
      <w:r>
        <w:rPr>
          <w:spacing w:val="-17"/>
          <w:sz w:val="16"/>
        </w:rPr>
        <w:t> </w:t>
      </w:r>
      <w:r>
        <w:rPr>
          <w:sz w:val="16"/>
        </w:rPr>
        <w:t>México.</w:t>
      </w:r>
    </w:p>
    <w:p>
      <w:pPr>
        <w:spacing w:line="184" w:lineRule="exact" w:before="0"/>
        <w:ind w:left="270" w:right="28" w:firstLine="0"/>
        <w:jc w:val="both"/>
        <w:rPr>
          <w:sz w:val="16"/>
        </w:rPr>
      </w:pPr>
      <w:r>
        <w:rPr>
          <w:position w:val="7"/>
          <w:sz w:val="10"/>
        </w:rPr>
        <w:t>d </w:t>
      </w:r>
      <w:r>
        <w:rPr>
          <w:sz w:val="16"/>
        </w:rPr>
        <w:t>Instituto Tecnológico de Los Mochis, Juan de Dios Batiz y 20 de noviembre s/n código postal 81259, </w:t>
      </w:r>
      <w:hyperlink r:id="rId590">
        <w:r>
          <w:rPr>
            <w:color w:val="0000FF"/>
            <w:sz w:val="16"/>
            <w:u w:val="single" w:color="0000FF"/>
          </w:rPr>
          <w:t>charly_nava13@hotmail.com</w:t>
        </w:r>
        <w:r>
          <w:rPr>
            <w:sz w:val="16"/>
          </w:rPr>
          <w:t>,</w:t>
        </w:r>
      </w:hyperlink>
      <w:r>
        <w:rPr>
          <w:sz w:val="16"/>
        </w:rPr>
        <w:t> , Los Mochis, Sinaloa,</w:t>
      </w:r>
      <w:r>
        <w:rPr>
          <w:spacing w:val="-17"/>
          <w:sz w:val="16"/>
        </w:rPr>
        <w:t> </w:t>
      </w:r>
      <w:r>
        <w:rPr>
          <w:sz w:val="16"/>
        </w:rPr>
        <w:t>México.</w:t>
      </w:r>
    </w:p>
    <w:p>
      <w:pPr>
        <w:spacing w:line="184" w:lineRule="exact" w:before="0"/>
        <w:ind w:left="270" w:right="26" w:firstLine="0"/>
        <w:jc w:val="both"/>
        <w:rPr>
          <w:sz w:val="16"/>
        </w:rPr>
      </w:pPr>
      <w:r>
        <w:rPr>
          <w:position w:val="7"/>
          <w:sz w:val="10"/>
        </w:rPr>
        <w:t>e </w:t>
      </w:r>
      <w:r>
        <w:rPr>
          <w:sz w:val="16"/>
        </w:rPr>
        <w:t>Estudiante de Ingeniería Industrial del Instituto Tecnológico de Los Mochis, Juan de Dios Batiz y 20 de noviembre s/n código postal 81259, </w:t>
      </w:r>
      <w:hyperlink r:id="rId591">
        <w:r>
          <w:rPr>
            <w:sz w:val="16"/>
          </w:rPr>
          <w:t>daniela-jessica@hotmail.com,</w:t>
        </w:r>
      </w:hyperlink>
      <w:r>
        <w:rPr>
          <w:sz w:val="16"/>
        </w:rPr>
        <w:t> Los Mochis, Sinaloa,</w:t>
      </w:r>
      <w:r>
        <w:rPr>
          <w:spacing w:val="-12"/>
          <w:sz w:val="16"/>
        </w:rPr>
        <w:t> </w:t>
      </w:r>
      <w:r>
        <w:rPr>
          <w:sz w:val="16"/>
        </w:rPr>
        <w:t>México.</w:t>
      </w:r>
    </w:p>
    <w:p>
      <w:pPr>
        <w:pStyle w:val="BodyText"/>
        <w:spacing w:before="2"/>
      </w:pPr>
    </w:p>
    <w:p>
      <w:pPr>
        <w:pStyle w:val="Heading4"/>
      </w:pPr>
      <w:r>
        <w:rPr/>
        <w:t>Resumen</w:t>
      </w:r>
    </w:p>
    <w:p>
      <w:pPr>
        <w:pStyle w:val="BodyText"/>
        <w:spacing w:before="27"/>
        <w:ind w:left="270" w:right="25"/>
        <w:jc w:val="both"/>
      </w:pPr>
      <w:r>
        <w:rPr/>
        <w:pict>
          <v:line style="position:absolute;mso-position-horizontal-relative:page;mso-position-vertical-relative:paragraph;z-index:14680" from="41.040001pt,1.265947pt" to="289.860001pt,1.265947pt" stroked="true" strokeweight=".48001pt" strokecolor="#000000">
            <w10:wrap type="none"/>
          </v:line>
        </w:pict>
      </w:r>
      <w:r>
        <w:rPr/>
        <w:t>Este estudio se lleva a cabo con la idea de evaluar si los molineros presentan fatiga y posteriormente identificar qué tipo de ésta desarrolla en las tortillerías de maíz de Los Mochis Sinaloa. Basándose en que en el puesto de trabajo  del molinero (opera las máquina y prepara la masa) quien es el que hace el mayor esfuerzo físico y suelen causarle cansancio y posteriormente fatiga ya que solo está enfocado en la producción y no sobre en la salud y/o bienestar de los trabajadores.</w:t>
      </w:r>
    </w:p>
    <w:p>
      <w:pPr>
        <w:pStyle w:val="BodyText"/>
        <w:rPr>
          <w:sz w:val="24"/>
        </w:rPr>
      </w:pPr>
    </w:p>
    <w:p>
      <w:pPr>
        <w:spacing w:before="0"/>
        <w:ind w:left="270" w:right="795" w:firstLine="0"/>
        <w:jc w:val="left"/>
        <w:rPr>
          <w:sz w:val="20"/>
        </w:rPr>
      </w:pPr>
      <w:r>
        <w:rPr>
          <w:b/>
          <w:sz w:val="20"/>
        </w:rPr>
        <w:t>Palabras Clave--- </w:t>
      </w:r>
      <w:r>
        <w:rPr>
          <w:sz w:val="20"/>
        </w:rPr>
        <w:t>Desgaste físico, desgaste mental Yoshitake,  cuatro puntos de Luke.</w:t>
      </w:r>
    </w:p>
    <w:p>
      <w:pPr>
        <w:pStyle w:val="BodyText"/>
        <w:spacing w:before="4"/>
      </w:pPr>
    </w:p>
    <w:p>
      <w:pPr>
        <w:tabs>
          <w:tab w:pos="5217" w:val="left" w:leader="none"/>
        </w:tabs>
        <w:spacing w:line="242" w:lineRule="auto" w:before="0"/>
        <w:ind w:left="270" w:right="0" w:hanging="30"/>
        <w:jc w:val="both"/>
        <w:rPr>
          <w:i/>
          <w:sz w:val="20"/>
        </w:rPr>
      </w:pPr>
      <w:r>
        <w:rPr>
          <w:b/>
          <w:i/>
          <w:spacing w:val="-30"/>
          <w:sz w:val="24"/>
          <w:u w:val="single"/>
        </w:rPr>
        <w:t> </w:t>
      </w:r>
      <w:r>
        <w:rPr>
          <w:b/>
          <w:i/>
          <w:sz w:val="24"/>
          <w:u w:val="single"/>
        </w:rPr>
        <w:t>Abstract</w:t>
        <w:tab/>
      </w:r>
      <w:r>
        <w:rPr>
          <w:b/>
          <w:i/>
          <w:sz w:val="24"/>
        </w:rPr>
        <w:t> </w:t>
      </w:r>
      <w:r>
        <w:rPr>
          <w:i/>
          <w:sz w:val="20"/>
        </w:rPr>
        <w:t>This   study   has   been   conducted   with   the   </w:t>
      </w:r>
      <w:r>
        <w:rPr>
          <w:i/>
          <w:spacing w:val="9"/>
          <w:sz w:val="20"/>
        </w:rPr>
        <w:t> </w:t>
      </w:r>
      <w:r>
        <w:rPr>
          <w:i/>
          <w:sz w:val="20"/>
        </w:rPr>
        <w:t>purpose  </w:t>
      </w:r>
      <w:r>
        <w:rPr>
          <w:i/>
          <w:spacing w:val="7"/>
          <w:sz w:val="20"/>
        </w:rPr>
        <w:t> </w:t>
      </w:r>
      <w:r>
        <w:rPr>
          <w:i/>
          <w:sz w:val="20"/>
        </w:rPr>
        <w:t>of</w:t>
      </w:r>
      <w:r>
        <w:rPr>
          <w:i/>
          <w:w w:val="100"/>
          <w:sz w:val="20"/>
        </w:rPr>
        <w:t> </w:t>
      </w:r>
      <w:r>
        <w:rPr>
          <w:i/>
          <w:sz w:val="20"/>
        </w:rPr>
        <w:t>evaluating whether machine operators (Tortilladora) present exhaustive work, and further, to identify what kind of overwork are presented on Tortilla’s Factories at Los Mochis, Sinaloa. Taking in consideration that working schedule of a machine operator (to operate machines and also prepare the mix for corn tortillas) present  physical effort causing fatigue and also lack of effectivity by the time passes, due to his job is only focused on production, but not on the welfare and health of</w:t>
      </w:r>
      <w:r>
        <w:rPr>
          <w:i/>
          <w:spacing w:val="-16"/>
          <w:sz w:val="20"/>
        </w:rPr>
        <w:t> </w:t>
      </w:r>
      <w:r>
        <w:rPr>
          <w:i/>
          <w:sz w:val="20"/>
        </w:rPr>
        <w:t>operators.</w:t>
      </w:r>
    </w:p>
    <w:p>
      <w:pPr>
        <w:pStyle w:val="BodyText"/>
        <w:spacing w:before="8"/>
        <w:rPr>
          <w:i/>
          <w:sz w:val="19"/>
        </w:rPr>
      </w:pPr>
    </w:p>
    <w:p>
      <w:pPr>
        <w:spacing w:before="1"/>
        <w:ind w:left="270" w:right="501" w:firstLine="0"/>
        <w:jc w:val="left"/>
        <w:rPr>
          <w:i/>
          <w:sz w:val="20"/>
        </w:rPr>
      </w:pPr>
      <w:r>
        <w:rPr>
          <w:b/>
          <w:i/>
          <w:sz w:val="20"/>
        </w:rPr>
        <w:t>Keywords--- </w:t>
      </w:r>
      <w:r>
        <w:rPr>
          <w:i/>
          <w:sz w:val="20"/>
        </w:rPr>
        <w:t>Physical overwork, mental overwork, four </w:t>
      </w:r>
      <w:r>
        <w:rPr>
          <w:i/>
          <w:sz w:val="20"/>
        </w:rPr>
        <w:t>points of Luke.</w:t>
      </w:r>
    </w:p>
    <w:p>
      <w:pPr>
        <w:pStyle w:val="BodyText"/>
        <w:spacing w:before="11"/>
        <w:rPr>
          <w:i/>
          <w:sz w:val="19"/>
        </w:rPr>
      </w:pPr>
    </w:p>
    <w:p>
      <w:pPr>
        <w:pStyle w:val="BodyText"/>
        <w:ind w:left="270" w:right="28"/>
        <w:jc w:val="both"/>
      </w:pPr>
      <w:r>
        <w:rPr/>
        <w:t>Relevance to Ergonomics: The main contribution to the ergonomics can view the log which is a basis for developing continuous improvement of this work and thus be able to reach the maximum level of productivity without affecting the health of the operator machine.</w:t>
      </w:r>
    </w:p>
    <w:p>
      <w:pPr>
        <w:pStyle w:val="Heading4"/>
        <w:numPr>
          <w:ilvl w:val="0"/>
          <w:numId w:val="125"/>
        </w:numPr>
        <w:tabs>
          <w:tab w:pos="473" w:val="left" w:leader="none"/>
        </w:tabs>
        <w:spacing w:line="240" w:lineRule="auto" w:before="3" w:after="0"/>
        <w:ind w:left="472" w:right="0" w:hanging="202"/>
        <w:jc w:val="both"/>
      </w:pPr>
      <w:r>
        <w:rPr/>
        <w:t>Introduction</w:t>
      </w:r>
    </w:p>
    <w:p>
      <w:pPr>
        <w:pStyle w:val="BodyText"/>
        <w:spacing w:before="74"/>
        <w:ind w:left="240" w:right="676"/>
        <w:jc w:val="both"/>
      </w:pPr>
      <w:r>
        <w:rPr/>
        <w:br w:type="column"/>
      </w:r>
      <w:r>
        <w:rPr/>
        <w:t>A few studies exist regarding fatigue of machine operators during the handling of Corn Tortilla’s machines, and the demand of mexican society for including fatigue as a “work disease” under working ambit is increasing.</w:t>
      </w:r>
    </w:p>
    <w:p>
      <w:pPr>
        <w:pStyle w:val="BodyText"/>
        <w:ind w:left="240" w:right="675"/>
        <w:jc w:val="both"/>
      </w:pPr>
      <w:r>
        <w:rPr/>
        <w:t>The present investigation is delimited to the worker, called “Machine Operator”, because he is the person that has the most working charge on a Corn Tortilla’s Factory; he can be affected at the moment of a machine that, generally, are placed at a high level.</w:t>
      </w:r>
    </w:p>
    <w:p>
      <w:pPr>
        <w:pStyle w:val="BodyText"/>
        <w:spacing w:before="11"/>
        <w:rPr>
          <w:sz w:val="19"/>
        </w:rPr>
      </w:pPr>
    </w:p>
    <w:p>
      <w:pPr>
        <w:pStyle w:val="BodyText"/>
        <w:ind w:left="240" w:right="677" w:firstLine="567"/>
        <w:jc w:val="both"/>
      </w:pPr>
      <w:r>
        <w:rPr/>
        <w:t>At the moment of pouring the mixture on the top of the machine, it is necessary to apply a high quantity of physical effort to complete this task; however this activity is not a repetitive like another tasks, it needs more strength.</w:t>
      </w:r>
    </w:p>
    <w:p>
      <w:pPr>
        <w:pStyle w:val="BodyText"/>
        <w:ind w:left="240" w:right="676" w:firstLine="567"/>
        <w:jc w:val="both"/>
      </w:pPr>
      <w:r>
        <w:rPr/>
        <w:t>Results of this study brought several benefits even  for workers and Corn Tortilla’s Factories, due to this implicates that workers would be able to have a better conditions on their working area, and also working  schedules would not come over the standard of their  physical and mental capacity, which means an increment on health, security, life quality, and the factory would have operators without fatigue who will develop their job with more</w:t>
      </w:r>
      <w:r>
        <w:rPr>
          <w:spacing w:val="-8"/>
        </w:rPr>
        <w:t> </w:t>
      </w:r>
      <w:r>
        <w:rPr/>
        <w:t>productivity.</w:t>
      </w:r>
    </w:p>
    <w:p>
      <w:pPr>
        <w:pStyle w:val="BodyText"/>
        <w:spacing w:before="11"/>
        <w:rPr>
          <w:sz w:val="19"/>
        </w:rPr>
      </w:pPr>
    </w:p>
    <w:p>
      <w:pPr>
        <w:pStyle w:val="BodyText"/>
        <w:ind w:left="240" w:right="677" w:firstLine="567"/>
        <w:jc w:val="both"/>
      </w:pPr>
      <w:r>
        <w:rPr/>
        <w:t>General hypothesis estimates that a 93% of machine operators working at corn tortilla’s factories on Los Mochis, Sinaloa, present an increase on fatigue according to the time working there, and also the activities that request effort.</w:t>
      </w:r>
    </w:p>
    <w:p>
      <w:pPr>
        <w:pStyle w:val="BodyText"/>
      </w:pPr>
    </w:p>
    <w:p>
      <w:pPr>
        <w:pStyle w:val="BodyText"/>
        <w:spacing w:before="1"/>
        <w:ind w:left="240" w:right="676" w:firstLine="567"/>
        <w:jc w:val="both"/>
      </w:pPr>
      <w:r>
        <w:rPr/>
        <w:t>This investigation will specify a series of studies (subjective methods of Luke and questionnaire of Yoshitake), all of them important as reference points, so this study would be able to be finished satisfactorily.</w:t>
      </w:r>
    </w:p>
    <w:p>
      <w:pPr>
        <w:pStyle w:val="BodyText"/>
        <w:spacing w:before="3"/>
      </w:pPr>
    </w:p>
    <w:p>
      <w:pPr>
        <w:pStyle w:val="Heading4"/>
        <w:numPr>
          <w:ilvl w:val="0"/>
          <w:numId w:val="125"/>
        </w:numPr>
        <w:tabs>
          <w:tab w:pos="442" w:val="left" w:leader="none"/>
        </w:tabs>
        <w:spacing w:line="240" w:lineRule="auto" w:before="0" w:after="0"/>
        <w:ind w:left="441" w:right="0" w:hanging="201"/>
        <w:jc w:val="both"/>
      </w:pPr>
      <w:r>
        <w:rPr/>
        <w:t>Methodology</w:t>
      </w:r>
    </w:p>
    <w:p>
      <w:pPr>
        <w:pStyle w:val="BodyText"/>
        <w:spacing w:before="8"/>
        <w:rPr>
          <w:b/>
          <w:sz w:val="19"/>
        </w:rPr>
      </w:pPr>
    </w:p>
    <w:p>
      <w:pPr>
        <w:pStyle w:val="BodyText"/>
        <w:ind w:left="240" w:right="675"/>
        <w:jc w:val="both"/>
      </w:pPr>
      <w:r>
        <w:rPr/>
        <w:t>It can Submit general body fatigue (cardiovascular system; physiological), fatigue muscular (musculoskeletal) y fatigue mental (and mental fatigue). (Konz, Part II, 1998 furthermore, fatigue can affect different body parts: cardiovascular system, skeletal muscle and brain. The cardiovascular system can be affected by the heavy lifting and manual handling equipment. The musculoskeletal system is affected by the static postural work (for example the foot), computer work and manipulative work. The brain is affected by information overload (concentration and attention) of the works (Konz, Part I, 1998).</w:t>
      </w:r>
    </w:p>
    <w:p>
      <w:pPr>
        <w:pStyle w:val="BodyText"/>
        <w:spacing w:before="11"/>
        <w:rPr>
          <w:sz w:val="19"/>
        </w:rPr>
      </w:pPr>
    </w:p>
    <w:p>
      <w:pPr>
        <w:pStyle w:val="BodyText"/>
        <w:ind w:left="240" w:right="678" w:firstLine="567"/>
        <w:jc w:val="both"/>
      </w:pPr>
      <w:r>
        <w:rPr/>
        <w:t>It was found, for example, that Houssay and others refer to it as a “transitory loss of capacity to do a job, thus the extinction of work”. From Arriaga’s point of view, the</w:t>
      </w:r>
    </w:p>
    <w:p>
      <w:pPr>
        <w:pStyle w:val="BodyText"/>
        <w:spacing w:before="11"/>
        <w:rPr>
          <w:sz w:val="19"/>
        </w:rPr>
      </w:pPr>
    </w:p>
    <w:p>
      <w:pPr>
        <w:pStyle w:val="BodyText"/>
        <w:ind w:left="240" w:right="676" w:firstLine="567"/>
        <w:jc w:val="both"/>
      </w:pPr>
      <w:r>
        <w:rPr/>
        <w:t>Fatigue is “a complex factor that contains physiological changes experimented by the human body as a consequence of sensations of tiredness of operators that provoque consequently a decrease of efficiency on working results”.</w:t>
      </w:r>
    </w:p>
    <w:p>
      <w:pPr>
        <w:spacing w:after="0"/>
        <w:jc w:val="both"/>
        <w:sectPr>
          <w:type w:val="continuous"/>
          <w:pgSz w:w="12240" w:h="15840"/>
          <w:pgMar w:top="1500" w:bottom="280" w:left="580" w:right="220"/>
          <w:cols w:num="2" w:equalWidth="0">
            <w:col w:w="5218" w:space="437"/>
            <w:col w:w="5785"/>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4"/>
        <w:ind w:left="270" w:firstLine="567"/>
        <w:jc w:val="both"/>
      </w:pPr>
      <w:r>
        <w:rPr/>
        <w:t>According to Niebel (1990), even when fatigue is physical or mental, the results are the same: it exist a reduction on working willing. The most important factors that in duce to fatigue are working conditions as the light, temperature, humidity, fresh air, area and surrounding colors, etc.; the repeatability of work, as the necessary focusing to execute the task, the monotony of similar corporal movements, the position that worker should assume to execute the operation, the muscular exhaustive, etc., and finally the general status of worker healthy (physical and psychological), and even the height of the operator, diet, rest, domestic conditions,</w:t>
      </w:r>
      <w:r>
        <w:rPr>
          <w:spacing w:val="-20"/>
        </w:rPr>
        <w:t> </w:t>
      </w:r>
      <w:r>
        <w:rPr/>
        <w:t>etc.</w:t>
      </w:r>
    </w:p>
    <w:p>
      <w:pPr>
        <w:pStyle w:val="BodyText"/>
        <w:spacing w:before="11"/>
        <w:rPr>
          <w:sz w:val="19"/>
        </w:rPr>
      </w:pPr>
    </w:p>
    <w:p>
      <w:pPr>
        <w:pStyle w:val="BodyText"/>
        <w:ind w:left="270" w:firstLine="567"/>
        <w:jc w:val="both"/>
      </w:pPr>
      <w:r>
        <w:rPr/>
        <w:t>Furthermore, the duration of the shift is possibly another cause of fatigue because it is not the same work 8 hours to work 12 continuous hours, Because fatigue, on several occasions it might appear and to be increasing over time due to consumption or energy expenditure worker.</w:t>
      </w:r>
    </w:p>
    <w:p>
      <w:pPr>
        <w:pStyle w:val="BodyText"/>
        <w:spacing w:before="11"/>
        <w:rPr>
          <w:sz w:val="19"/>
        </w:rPr>
      </w:pPr>
    </w:p>
    <w:p>
      <w:pPr>
        <w:pStyle w:val="BodyText"/>
        <w:ind w:left="270" w:firstLine="567"/>
        <w:jc w:val="both"/>
      </w:pPr>
      <w:r>
        <w:rPr/>
        <w:t>In paragraph 8 of NOM-006-STPS-2014 handling materials which indicates the requirements to be covered by law specified. Handling and Storage materials in manual mode and the main objective is to establish standard Conditions safety and health at work to be met in work centers for avoid risk of workers and damage to facilities for the Activities materials handling and storage, using machinery or manually. Check that the maximum load manually manage workers does not exceed: 1) 25 kg for  men.</w:t>
      </w:r>
    </w:p>
    <w:p>
      <w:pPr>
        <w:pStyle w:val="BodyText"/>
        <w:spacing w:before="9"/>
        <w:rPr>
          <w:sz w:val="16"/>
        </w:rPr>
      </w:pPr>
      <w:r>
        <w:rPr/>
        <w:drawing>
          <wp:anchor distT="0" distB="0" distL="0" distR="0" allowOverlap="1" layoutInCell="1" locked="0" behindDoc="0" simplePos="0" relativeHeight="14704">
            <wp:simplePos x="0" y="0"/>
            <wp:positionH relativeFrom="page">
              <wp:posOffset>540258</wp:posOffset>
            </wp:positionH>
            <wp:positionV relativeFrom="paragraph">
              <wp:posOffset>147806</wp:posOffset>
            </wp:positionV>
            <wp:extent cx="1028495" cy="1914525"/>
            <wp:effectExtent l="0" t="0" r="0" b="0"/>
            <wp:wrapTopAndBottom/>
            <wp:docPr id="601" name="image358.jpeg" descr=""/>
            <wp:cNvGraphicFramePr>
              <a:graphicFrameLocks noChangeAspect="1"/>
            </wp:cNvGraphicFramePr>
            <a:graphic>
              <a:graphicData uri="http://schemas.openxmlformats.org/drawingml/2006/picture">
                <pic:pic>
                  <pic:nvPicPr>
                    <pic:cNvPr id="602" name="image358.jpeg"/>
                    <pic:cNvPicPr/>
                  </pic:nvPicPr>
                  <pic:blipFill>
                    <a:blip r:embed="rId592" cstate="print"/>
                    <a:stretch>
                      <a:fillRect/>
                    </a:stretch>
                  </pic:blipFill>
                  <pic:spPr>
                    <a:xfrm>
                      <a:off x="0" y="0"/>
                      <a:ext cx="1028495" cy="1914525"/>
                    </a:xfrm>
                    <a:prstGeom prst="rect">
                      <a:avLst/>
                    </a:prstGeom>
                  </pic:spPr>
                </pic:pic>
              </a:graphicData>
            </a:graphic>
          </wp:anchor>
        </w:drawing>
      </w:r>
      <w:r>
        <w:rPr/>
        <w:drawing>
          <wp:anchor distT="0" distB="0" distL="0" distR="0" allowOverlap="1" layoutInCell="1" locked="0" behindDoc="0" simplePos="0" relativeHeight="14728">
            <wp:simplePos x="0" y="0"/>
            <wp:positionH relativeFrom="page">
              <wp:posOffset>2267711</wp:posOffset>
            </wp:positionH>
            <wp:positionV relativeFrom="paragraph">
              <wp:posOffset>157712</wp:posOffset>
            </wp:positionV>
            <wp:extent cx="800100" cy="1905000"/>
            <wp:effectExtent l="0" t="0" r="0" b="0"/>
            <wp:wrapTopAndBottom/>
            <wp:docPr id="603" name="image359.jpeg" descr=""/>
            <wp:cNvGraphicFramePr>
              <a:graphicFrameLocks noChangeAspect="1"/>
            </wp:cNvGraphicFramePr>
            <a:graphic>
              <a:graphicData uri="http://schemas.openxmlformats.org/drawingml/2006/picture">
                <pic:pic>
                  <pic:nvPicPr>
                    <pic:cNvPr id="604" name="image359.jpeg"/>
                    <pic:cNvPicPr/>
                  </pic:nvPicPr>
                  <pic:blipFill>
                    <a:blip r:embed="rId593" cstate="print"/>
                    <a:stretch>
                      <a:fillRect/>
                    </a:stretch>
                  </pic:blipFill>
                  <pic:spPr>
                    <a:xfrm>
                      <a:off x="0" y="0"/>
                      <a:ext cx="800100" cy="1905000"/>
                    </a:xfrm>
                    <a:prstGeom prst="rect">
                      <a:avLst/>
                    </a:prstGeom>
                  </pic:spPr>
                </pic:pic>
              </a:graphicData>
            </a:graphic>
          </wp:anchor>
        </w:drawing>
      </w:r>
    </w:p>
    <w:p>
      <w:pPr>
        <w:pStyle w:val="BodyText"/>
        <w:tabs>
          <w:tab w:pos="3394" w:val="left" w:leader="none"/>
        </w:tabs>
        <w:ind w:left="671"/>
      </w:pPr>
      <w:r>
        <w:rPr/>
        <w:t>Figure</w:t>
      </w:r>
      <w:r>
        <w:rPr>
          <w:spacing w:val="-1"/>
        </w:rPr>
        <w:t> </w:t>
      </w:r>
      <w:r>
        <w:rPr/>
        <w:t>1</w:t>
        <w:tab/>
        <w:t>Figure 2</w:t>
      </w:r>
    </w:p>
    <w:p>
      <w:pPr>
        <w:pStyle w:val="BodyText"/>
        <w:spacing w:before="10"/>
        <w:rPr>
          <w:sz w:val="21"/>
        </w:rPr>
      </w:pPr>
    </w:p>
    <w:p>
      <w:pPr>
        <w:pStyle w:val="BodyText"/>
        <w:spacing w:before="1"/>
        <w:ind w:left="270" w:firstLine="567"/>
        <w:jc w:val="both"/>
      </w:pPr>
      <w:r>
        <w:rPr/>
        <w:t>The activities of handling and storage of materials through manual loading, should be performed only by workers that have fitness backed by a physician. The employer shall take preventive measures to avoid injury to workers or forced muscular overexertion or repetitive postures. In an 8-hour shift the machine operator conducts its work with this raw material which management is manual.</w:t>
      </w:r>
    </w:p>
    <w:p>
      <w:pPr>
        <w:pStyle w:val="BodyText"/>
        <w:spacing w:before="11"/>
        <w:rPr>
          <w:sz w:val="19"/>
        </w:rPr>
      </w:pPr>
    </w:p>
    <w:p>
      <w:pPr>
        <w:pStyle w:val="BodyText"/>
        <w:ind w:left="270" w:firstLine="567"/>
        <w:jc w:val="both"/>
      </w:pPr>
      <w:r>
        <w:rPr/>
        <w:t>To carry out its preparation have to open the bag and pour into a machine called mixer. This process varies between tortilla´s corn factory since only depends on the distance in which the bags are, right thing would be that they were as close as possible.</w:t>
      </w:r>
    </w:p>
    <w:p>
      <w:pPr>
        <w:pStyle w:val="BodyText"/>
        <w:spacing w:before="4"/>
        <w:rPr>
          <w:sz w:val="26"/>
        </w:rPr>
      </w:pPr>
      <w:r>
        <w:rPr/>
        <w:br w:type="column"/>
      </w:r>
      <w:r>
        <w:rPr>
          <w:sz w:val="26"/>
        </w:rPr>
      </w:r>
    </w:p>
    <w:p>
      <w:pPr>
        <w:pStyle w:val="BodyText"/>
        <w:spacing w:before="1"/>
        <w:ind w:left="270" w:right="675" w:firstLine="567"/>
        <w:jc w:val="both"/>
      </w:pPr>
      <w:r>
        <w:rPr/>
        <w:t>Later in the mixer is to add water and after a few minutes the mass is obtained from which has to be molded by hand to achieve Better consistency, this implies an effort and pressure that falls on arms and shoulders , carrying the dough and place it on the hood of the “tortilladora” it also depends on the age of the machine as this bell is mostly in a very high position and this requires an effort to load mass and reach the hood over his head so we can place the dough inside it.</w:t>
      </w:r>
    </w:p>
    <w:p>
      <w:pPr>
        <w:pStyle w:val="BodyText"/>
        <w:rPr>
          <w:sz w:val="9"/>
        </w:rPr>
      </w:pPr>
      <w:r>
        <w:rPr/>
        <w:drawing>
          <wp:anchor distT="0" distB="0" distL="0" distR="0" allowOverlap="1" layoutInCell="1" locked="0" behindDoc="0" simplePos="0" relativeHeight="14752">
            <wp:simplePos x="0" y="0"/>
            <wp:positionH relativeFrom="page">
              <wp:posOffset>4532376</wp:posOffset>
            </wp:positionH>
            <wp:positionV relativeFrom="paragraph">
              <wp:posOffset>90638</wp:posOffset>
            </wp:positionV>
            <wp:extent cx="2238602" cy="1617916"/>
            <wp:effectExtent l="0" t="0" r="0" b="0"/>
            <wp:wrapTopAndBottom/>
            <wp:docPr id="605" name="image360.jpeg" descr=""/>
            <wp:cNvGraphicFramePr>
              <a:graphicFrameLocks noChangeAspect="1"/>
            </wp:cNvGraphicFramePr>
            <a:graphic>
              <a:graphicData uri="http://schemas.openxmlformats.org/drawingml/2006/picture">
                <pic:pic>
                  <pic:nvPicPr>
                    <pic:cNvPr id="606" name="image360.jpeg"/>
                    <pic:cNvPicPr/>
                  </pic:nvPicPr>
                  <pic:blipFill>
                    <a:blip r:embed="rId594" cstate="print"/>
                    <a:stretch>
                      <a:fillRect/>
                    </a:stretch>
                  </pic:blipFill>
                  <pic:spPr>
                    <a:xfrm>
                      <a:off x="0" y="0"/>
                      <a:ext cx="2238602" cy="1617916"/>
                    </a:xfrm>
                    <a:prstGeom prst="rect">
                      <a:avLst/>
                    </a:prstGeom>
                  </pic:spPr>
                </pic:pic>
              </a:graphicData>
            </a:graphic>
          </wp:anchor>
        </w:drawing>
      </w:r>
    </w:p>
    <w:p>
      <w:pPr>
        <w:pStyle w:val="BodyText"/>
        <w:spacing w:before="39"/>
        <w:ind w:left="1239" w:right="702"/>
      </w:pPr>
      <w:r>
        <w:rPr/>
        <w:t>Figure 3. Operator machine working</w:t>
      </w:r>
    </w:p>
    <w:p>
      <w:pPr>
        <w:pStyle w:val="BodyText"/>
        <w:spacing w:before="11"/>
        <w:rPr>
          <w:sz w:val="19"/>
        </w:rPr>
      </w:pPr>
    </w:p>
    <w:p>
      <w:pPr>
        <w:pStyle w:val="BodyText"/>
        <w:ind w:left="270" w:right="677"/>
        <w:jc w:val="both"/>
      </w:pPr>
      <w:r>
        <w:rPr/>
        <w:t>As shown in figure 3, the operator machine shows some of its ongoing work on a standard “tortillallora” which is always driving heavy loads to their physical abilities and attitudes that cause fatigue in doing so repeatedly.</w:t>
      </w:r>
    </w:p>
    <w:p>
      <w:pPr>
        <w:pStyle w:val="BodyText"/>
        <w:spacing w:before="9"/>
        <w:rPr>
          <w:sz w:val="14"/>
        </w:rPr>
      </w:pPr>
      <w:r>
        <w:rPr/>
        <w:drawing>
          <wp:anchor distT="0" distB="0" distL="0" distR="0" allowOverlap="1" layoutInCell="1" locked="0" behindDoc="0" simplePos="0" relativeHeight="14776">
            <wp:simplePos x="0" y="0"/>
            <wp:positionH relativeFrom="page">
              <wp:posOffset>4605528</wp:posOffset>
            </wp:positionH>
            <wp:positionV relativeFrom="paragraph">
              <wp:posOffset>133314</wp:posOffset>
            </wp:positionV>
            <wp:extent cx="1777044" cy="1645920"/>
            <wp:effectExtent l="0" t="0" r="0" b="0"/>
            <wp:wrapTopAndBottom/>
            <wp:docPr id="607" name="image361.jpeg" descr=""/>
            <wp:cNvGraphicFramePr>
              <a:graphicFrameLocks noChangeAspect="1"/>
            </wp:cNvGraphicFramePr>
            <a:graphic>
              <a:graphicData uri="http://schemas.openxmlformats.org/drawingml/2006/picture">
                <pic:pic>
                  <pic:nvPicPr>
                    <pic:cNvPr id="608" name="image361.jpeg"/>
                    <pic:cNvPicPr/>
                  </pic:nvPicPr>
                  <pic:blipFill>
                    <a:blip r:embed="rId595" cstate="print"/>
                    <a:stretch>
                      <a:fillRect/>
                    </a:stretch>
                  </pic:blipFill>
                  <pic:spPr>
                    <a:xfrm>
                      <a:off x="0" y="0"/>
                      <a:ext cx="1777044" cy="1645920"/>
                    </a:xfrm>
                    <a:prstGeom prst="rect">
                      <a:avLst/>
                    </a:prstGeom>
                  </pic:spPr>
                </pic:pic>
              </a:graphicData>
            </a:graphic>
          </wp:anchor>
        </w:drawing>
      </w:r>
    </w:p>
    <w:p>
      <w:pPr>
        <w:pStyle w:val="BodyText"/>
        <w:spacing w:before="1"/>
      </w:pPr>
    </w:p>
    <w:p>
      <w:pPr>
        <w:pStyle w:val="BodyText"/>
        <w:spacing w:before="1"/>
        <w:ind w:left="1421" w:right="1746" w:hanging="459"/>
      </w:pPr>
      <w:r>
        <w:rPr/>
        <w:t>Figure 4. Operator machine carries the bag of flour to the machine</w:t>
      </w:r>
    </w:p>
    <w:p>
      <w:pPr>
        <w:pStyle w:val="BodyText"/>
      </w:pPr>
    </w:p>
    <w:p>
      <w:pPr>
        <w:pStyle w:val="BodyText"/>
        <w:spacing w:before="157"/>
        <w:ind w:left="270" w:right="676" w:firstLine="567"/>
        <w:jc w:val="both"/>
      </w:pPr>
      <w:r>
        <w:rPr/>
        <w:t>In the image number 4 represents one of the most used positions for handling sacks of flour and / or corn dough in which it can be noted that the weight falls on the shoulders. Other techniques used is to carry the sacks on the chest, hugging.</w:t>
      </w:r>
    </w:p>
    <w:p>
      <w:pPr>
        <w:spacing w:after="0"/>
        <w:jc w:val="both"/>
        <w:sectPr>
          <w:type w:val="continuous"/>
          <w:pgSz w:w="12240" w:h="15840"/>
          <w:pgMar w:top="1500" w:bottom="280" w:left="580" w:right="220"/>
          <w:cols w:num="2" w:equalWidth="0">
            <w:col w:w="5189" w:space="435"/>
            <w:col w:w="5816"/>
          </w:cols>
        </w:sectPr>
      </w:pPr>
    </w:p>
    <w:p>
      <w:pPr>
        <w:pStyle w:val="BodyText"/>
        <w:spacing w:before="4"/>
        <w:rPr>
          <w:sz w:val="11"/>
        </w:rPr>
      </w:pPr>
    </w:p>
    <w:p>
      <w:pPr>
        <w:spacing w:after="0"/>
        <w:rPr>
          <w:sz w:val="11"/>
        </w:rPr>
        <w:sectPr>
          <w:pgSz w:w="12240" w:h="15840"/>
          <w:pgMar w:header="545" w:footer="852" w:top="1060" w:bottom="1040" w:left="580" w:right="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5"/>
        <w:rPr>
          <w:sz w:val="26"/>
        </w:rPr>
      </w:pPr>
    </w:p>
    <w:p>
      <w:pPr>
        <w:pStyle w:val="BodyText"/>
        <w:ind w:left="838" w:right="-18"/>
      </w:pPr>
      <w:r>
        <w:rPr/>
        <w:pict>
          <v:group style="position:absolute;margin-left:58.919998pt;margin-top:-84.143661pt;width:199.05pt;height:142pt;mso-position-horizontal-relative:page;mso-position-vertical-relative:paragraph;z-index:-863992" coordorigin="1178,-1683" coordsize="3981,2840">
            <v:shape style="position:absolute;left:1424;top:-1683;width:3640;height:2730" type="#_x0000_t75" stroked="false">
              <v:imagedata r:id="rId596" o:title=""/>
            </v:shape>
            <v:rect style="position:absolute;left:1178;top:904;width:3980;height:252" filled="true" fillcolor="#ffffff" stroked="false">
              <v:fill type="solid"/>
            </v:rect>
            <w10:wrap type="none"/>
          </v:group>
        </w:pict>
      </w:r>
      <w:r>
        <w:rPr/>
        <w:t>In the figure number 5 may notice poor posture makes</w:t>
      </w:r>
    </w:p>
    <w:p>
      <w:pPr>
        <w:pStyle w:val="BodyText"/>
      </w:pPr>
    </w:p>
    <w:p>
      <w:pPr>
        <w:pStyle w:val="BodyText"/>
      </w:pPr>
    </w:p>
    <w:p>
      <w:pPr>
        <w:pStyle w:val="BodyText"/>
        <w:spacing w:before="4"/>
        <w:rPr>
          <w:sz w:val="18"/>
        </w:rPr>
      </w:pPr>
    </w:p>
    <w:p>
      <w:pPr>
        <w:spacing w:before="1"/>
        <w:ind w:left="1604" w:right="978" w:hanging="617"/>
        <w:jc w:val="left"/>
        <w:rPr>
          <w:sz w:val="22"/>
        </w:rPr>
      </w:pPr>
      <w:r>
        <w:rPr>
          <w:sz w:val="20"/>
        </w:rPr>
        <w:t>Figure 5. </w:t>
      </w:r>
      <w:r>
        <w:rPr>
          <w:color w:val="202020"/>
          <w:sz w:val="22"/>
        </w:rPr>
        <w:t>Operator machine performs kneading and molding</w:t>
      </w:r>
    </w:p>
    <w:p>
      <w:pPr>
        <w:pStyle w:val="BodyText"/>
        <w:rPr>
          <w:sz w:val="22"/>
        </w:rPr>
      </w:pPr>
    </w:p>
    <w:p>
      <w:pPr>
        <w:pStyle w:val="Heading4"/>
        <w:numPr>
          <w:ilvl w:val="0"/>
          <w:numId w:val="125"/>
        </w:numPr>
        <w:tabs>
          <w:tab w:pos="472" w:val="left" w:leader="none"/>
        </w:tabs>
        <w:spacing w:line="240" w:lineRule="auto" w:before="182" w:after="0"/>
        <w:ind w:left="471" w:right="0" w:hanging="201"/>
        <w:jc w:val="both"/>
      </w:pPr>
      <w:r>
        <w:rPr/>
        <w:t>Method</w:t>
      </w:r>
    </w:p>
    <w:p>
      <w:pPr>
        <w:pStyle w:val="BodyText"/>
        <w:spacing w:before="8"/>
        <w:rPr>
          <w:b/>
          <w:sz w:val="19"/>
        </w:rPr>
      </w:pPr>
    </w:p>
    <w:p>
      <w:pPr>
        <w:pStyle w:val="BodyText"/>
        <w:ind w:left="270"/>
        <w:jc w:val="both"/>
      </w:pPr>
      <w:r>
        <w:rPr/>
        <w:t>To obtain valid results is necessary to follow a series of steps that lead to concise and real data. This research shows step by step how you will conduct the study to reach the desired goal. To effectively fulfill the desired objectives, they chose 15 operators machine ( men) working in different tortillas corn factory where it is supposed to fatigue symptoms presented , said that for the same operators machine declaring that his work was too heavy for one person and  that had discomfort to end workdays</w:t>
      </w:r>
      <w:r>
        <w:rPr>
          <w:spacing w:val="-13"/>
        </w:rPr>
        <w:t> </w:t>
      </w:r>
      <w:r>
        <w:rPr/>
        <w:t>.</w:t>
      </w:r>
    </w:p>
    <w:p>
      <w:pPr>
        <w:pStyle w:val="BodyText"/>
      </w:pPr>
    </w:p>
    <w:p>
      <w:pPr>
        <w:pStyle w:val="BodyText"/>
        <w:spacing w:before="1"/>
        <w:ind w:left="270" w:firstLine="567"/>
        <w:jc w:val="both"/>
      </w:pPr>
      <w:r>
        <w:rPr/>
        <w:t>Data collection was carried out by subjective method formats the four points of Luke, Yoshitake questionnaire formats, excel program for data as graphs and calculator.</w:t>
      </w:r>
    </w:p>
    <w:p>
      <w:pPr>
        <w:pStyle w:val="BodyText"/>
        <w:spacing w:before="11"/>
        <w:rPr>
          <w:sz w:val="19"/>
        </w:rPr>
      </w:pPr>
    </w:p>
    <w:p>
      <w:pPr>
        <w:pStyle w:val="BodyText"/>
        <w:ind w:left="270" w:firstLine="567"/>
        <w:jc w:val="both"/>
      </w:pPr>
      <w:r>
        <w:rPr/>
        <w:t>During 6 working days, a shift of 8 hours, were evaluated. It was conducted over a period of three weeks, having made the evaluation for 18 days at the inputs and outputs of each operator machine.</w:t>
      </w:r>
    </w:p>
    <w:p>
      <w:pPr>
        <w:pStyle w:val="BodyText"/>
        <w:spacing w:before="11"/>
        <w:rPr>
          <w:sz w:val="19"/>
        </w:rPr>
      </w:pPr>
    </w:p>
    <w:p>
      <w:pPr>
        <w:pStyle w:val="BodyText"/>
        <w:ind w:left="270" w:firstLine="567"/>
        <w:jc w:val="both"/>
      </w:pPr>
      <w:r>
        <w:rPr/>
        <w:t>Is presented in graphical way the days when the operator machine works and the day resting.</w:t>
      </w:r>
    </w:p>
    <w:p>
      <w:pPr>
        <w:pStyle w:val="BodyText"/>
        <w:spacing w:before="11"/>
        <w:rPr>
          <w:sz w:val="19"/>
        </w:rPr>
      </w:pPr>
    </w:p>
    <w:p>
      <w:pPr>
        <w:pStyle w:val="BodyText"/>
        <w:ind w:left="1679"/>
      </w:pPr>
      <w:r>
        <w:rPr/>
        <w:t>Table 1. Days of the week</w:t>
      </w:r>
    </w:p>
    <w:p>
      <w:pPr>
        <w:pStyle w:val="BodyText"/>
        <w:spacing w:before="74"/>
        <w:ind w:left="270" w:right="221"/>
      </w:pPr>
      <w:r>
        <w:rPr/>
        <w:br w:type="column"/>
      </w:r>
      <w:r>
        <w:rPr/>
        <w:t>damaging directly or indirectly in the work area of operators machine.</w:t>
      </w:r>
    </w:p>
    <w:p>
      <w:pPr>
        <w:pStyle w:val="BodyText"/>
      </w:pPr>
    </w:p>
    <w:p>
      <w:pPr>
        <w:pStyle w:val="BodyText"/>
        <w:spacing w:before="1"/>
        <w:ind w:left="270" w:right="897" w:firstLine="567"/>
        <w:jc w:val="both"/>
      </w:pPr>
      <w:r>
        <w:rPr/>
        <w:drawing>
          <wp:anchor distT="0" distB="0" distL="0" distR="0" allowOverlap="1" layoutInCell="1" locked="0" behindDoc="0" simplePos="0" relativeHeight="14920">
            <wp:simplePos x="0" y="0"/>
            <wp:positionH relativeFrom="page">
              <wp:posOffset>7743825</wp:posOffset>
            </wp:positionH>
            <wp:positionV relativeFrom="paragraph">
              <wp:posOffset>744045</wp:posOffset>
            </wp:positionV>
            <wp:extent cx="30479" cy="2742437"/>
            <wp:effectExtent l="0" t="0" r="0" b="0"/>
            <wp:wrapNone/>
            <wp:docPr id="609" name="image363.png" descr=""/>
            <wp:cNvGraphicFramePr>
              <a:graphicFrameLocks noChangeAspect="1"/>
            </wp:cNvGraphicFramePr>
            <a:graphic>
              <a:graphicData uri="http://schemas.openxmlformats.org/drawingml/2006/picture">
                <pic:pic>
                  <pic:nvPicPr>
                    <pic:cNvPr id="610" name="image363.png"/>
                    <pic:cNvPicPr/>
                  </pic:nvPicPr>
                  <pic:blipFill>
                    <a:blip r:embed="rId597" cstate="print"/>
                    <a:stretch>
                      <a:fillRect/>
                    </a:stretch>
                  </pic:blipFill>
                  <pic:spPr>
                    <a:xfrm>
                      <a:off x="0" y="0"/>
                      <a:ext cx="30479" cy="2742437"/>
                    </a:xfrm>
                    <a:prstGeom prst="rect">
                      <a:avLst/>
                    </a:prstGeom>
                  </pic:spPr>
                </pic:pic>
              </a:graphicData>
            </a:graphic>
          </wp:anchor>
        </w:drawing>
      </w:r>
      <w:r>
        <w:rPr/>
        <w:t>A figure 1 where generally results on the 15 sampled operator machine displayed if fatigue occurs at the start of their working day by the subjective method four points of Luke as shown in figure 1 which clearly casts was made that 77 % of operators machine have fatigue.</w:t>
      </w:r>
    </w:p>
    <w:p>
      <w:pPr>
        <w:pStyle w:val="BodyText"/>
        <w:spacing w:before="11"/>
        <w:rPr>
          <w:sz w:val="17"/>
        </w:rPr>
      </w:pPr>
      <w:r>
        <w:rPr/>
        <w:drawing>
          <wp:anchor distT="0" distB="0" distL="0" distR="0" allowOverlap="1" layoutInCell="1" locked="0" behindDoc="0" simplePos="0" relativeHeight="14800">
            <wp:simplePos x="0" y="0"/>
            <wp:positionH relativeFrom="page">
              <wp:posOffset>4665726</wp:posOffset>
            </wp:positionH>
            <wp:positionV relativeFrom="paragraph">
              <wp:posOffset>156177</wp:posOffset>
            </wp:positionV>
            <wp:extent cx="1960666" cy="1987296"/>
            <wp:effectExtent l="0" t="0" r="0" b="0"/>
            <wp:wrapTopAndBottom/>
            <wp:docPr id="611" name="image364.jpeg" descr=""/>
            <wp:cNvGraphicFramePr>
              <a:graphicFrameLocks noChangeAspect="1"/>
            </wp:cNvGraphicFramePr>
            <a:graphic>
              <a:graphicData uri="http://schemas.openxmlformats.org/drawingml/2006/picture">
                <pic:pic>
                  <pic:nvPicPr>
                    <pic:cNvPr id="612" name="image364.jpeg"/>
                    <pic:cNvPicPr/>
                  </pic:nvPicPr>
                  <pic:blipFill>
                    <a:blip r:embed="rId598" cstate="print"/>
                    <a:stretch>
                      <a:fillRect/>
                    </a:stretch>
                  </pic:blipFill>
                  <pic:spPr>
                    <a:xfrm>
                      <a:off x="0" y="0"/>
                      <a:ext cx="1960666" cy="1987296"/>
                    </a:xfrm>
                    <a:prstGeom prst="rect">
                      <a:avLst/>
                    </a:prstGeom>
                  </pic:spPr>
                </pic:pic>
              </a:graphicData>
            </a:graphic>
          </wp:anchor>
        </w:drawing>
      </w:r>
    </w:p>
    <w:p>
      <w:pPr>
        <w:pStyle w:val="BodyText"/>
        <w:spacing w:before="46"/>
        <w:ind w:left="717" w:right="932"/>
      </w:pPr>
      <w:r>
        <w:rPr/>
        <w:t>Figure 6. Fatigue at the beginning of the workday</w:t>
      </w:r>
    </w:p>
    <w:p>
      <w:pPr>
        <w:pStyle w:val="BodyText"/>
        <w:spacing w:before="11"/>
        <w:rPr>
          <w:sz w:val="19"/>
        </w:rPr>
      </w:pPr>
    </w:p>
    <w:p>
      <w:pPr>
        <w:pStyle w:val="BodyText"/>
        <w:ind w:left="270" w:right="896" w:firstLine="567"/>
        <w:jc w:val="both"/>
      </w:pPr>
      <w:r>
        <w:rPr/>
        <w:drawing>
          <wp:anchor distT="0" distB="0" distL="0" distR="0" allowOverlap="1" layoutInCell="1" locked="0" behindDoc="0" simplePos="0" relativeHeight="14944">
            <wp:simplePos x="0" y="0"/>
            <wp:positionH relativeFrom="page">
              <wp:posOffset>4855464</wp:posOffset>
            </wp:positionH>
            <wp:positionV relativeFrom="paragraph">
              <wp:posOffset>757139</wp:posOffset>
            </wp:positionV>
            <wp:extent cx="1972056" cy="2104644"/>
            <wp:effectExtent l="0" t="0" r="0" b="0"/>
            <wp:wrapNone/>
            <wp:docPr id="613" name="image365.jpeg" descr=""/>
            <wp:cNvGraphicFramePr>
              <a:graphicFrameLocks noChangeAspect="1"/>
            </wp:cNvGraphicFramePr>
            <a:graphic>
              <a:graphicData uri="http://schemas.openxmlformats.org/drawingml/2006/picture">
                <pic:pic>
                  <pic:nvPicPr>
                    <pic:cNvPr id="614" name="image365.jpeg"/>
                    <pic:cNvPicPr/>
                  </pic:nvPicPr>
                  <pic:blipFill>
                    <a:blip r:embed="rId599" cstate="print"/>
                    <a:stretch>
                      <a:fillRect/>
                    </a:stretch>
                  </pic:blipFill>
                  <pic:spPr>
                    <a:xfrm>
                      <a:off x="0" y="0"/>
                      <a:ext cx="1972056" cy="2104644"/>
                    </a:xfrm>
                    <a:prstGeom prst="rect">
                      <a:avLst/>
                    </a:prstGeom>
                  </pic:spPr>
                </pic:pic>
              </a:graphicData>
            </a:graphic>
          </wp:anchor>
        </w:drawing>
      </w:r>
      <w:r>
        <w:rPr/>
        <w:t>The following figure 2 show the operators machine having fatigue off their workday where you can see which increased significantly compared to Figure 1 where 93 % have shown fatigue .</w:t>
      </w:r>
    </w:p>
    <w:p>
      <w:pPr>
        <w:spacing w:after="0"/>
        <w:jc w:val="both"/>
        <w:sectPr>
          <w:type w:val="continuous"/>
          <w:pgSz w:w="12240" w:h="15840"/>
          <w:pgMar w:top="1500" w:bottom="280" w:left="580" w:right="0"/>
          <w:cols w:num="2" w:equalWidth="0">
            <w:col w:w="5189" w:space="435"/>
            <w:col w:w="6036"/>
          </w:cols>
        </w:sectPr>
      </w:pPr>
    </w:p>
    <w:tbl>
      <w:tblPr>
        <w:tblW w:w="0" w:type="auto"/>
        <w:jc w:val="left"/>
        <w:tblInd w:w="2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18"/>
        <w:gridCol w:w="718"/>
        <w:gridCol w:w="719"/>
        <w:gridCol w:w="718"/>
        <w:gridCol w:w="719"/>
        <w:gridCol w:w="719"/>
        <w:gridCol w:w="719"/>
      </w:tblGrid>
      <w:tr>
        <w:trPr>
          <w:trHeight w:val="240" w:hRule="exact"/>
        </w:trPr>
        <w:tc>
          <w:tcPr>
            <w:tcW w:w="718" w:type="dxa"/>
            <w:shd w:val="clear" w:color="auto" w:fill="D8D8D8"/>
          </w:tcPr>
          <w:p>
            <w:pPr>
              <w:pStyle w:val="TableParagraph"/>
              <w:spacing w:line="229" w:lineRule="exact"/>
              <w:ind w:left="103"/>
              <w:rPr>
                <w:b/>
                <w:sz w:val="20"/>
              </w:rPr>
            </w:pPr>
            <w:r>
              <w:rPr>
                <w:b/>
                <w:w w:val="100"/>
                <w:sz w:val="20"/>
              </w:rPr>
              <w:t>M</w:t>
            </w:r>
          </w:p>
        </w:tc>
        <w:tc>
          <w:tcPr>
            <w:tcW w:w="718" w:type="dxa"/>
            <w:shd w:val="clear" w:color="auto" w:fill="D8D8D8"/>
          </w:tcPr>
          <w:p>
            <w:pPr>
              <w:pStyle w:val="TableParagraph"/>
              <w:spacing w:line="229" w:lineRule="exact"/>
              <w:ind w:left="103"/>
              <w:rPr>
                <w:b/>
                <w:sz w:val="20"/>
              </w:rPr>
            </w:pPr>
            <w:r>
              <w:rPr>
                <w:b/>
                <w:w w:val="100"/>
                <w:sz w:val="20"/>
              </w:rPr>
              <w:t>T</w:t>
            </w:r>
          </w:p>
        </w:tc>
        <w:tc>
          <w:tcPr>
            <w:tcW w:w="719" w:type="dxa"/>
            <w:shd w:val="clear" w:color="auto" w:fill="D8D8D8"/>
          </w:tcPr>
          <w:p>
            <w:pPr>
              <w:pStyle w:val="TableParagraph"/>
              <w:spacing w:line="229" w:lineRule="exact"/>
              <w:ind w:left="103"/>
              <w:rPr>
                <w:b/>
                <w:sz w:val="20"/>
              </w:rPr>
            </w:pPr>
            <w:r>
              <w:rPr>
                <w:b/>
                <w:w w:val="100"/>
                <w:sz w:val="20"/>
              </w:rPr>
              <w:t>W</w:t>
            </w:r>
          </w:p>
        </w:tc>
        <w:tc>
          <w:tcPr>
            <w:tcW w:w="718" w:type="dxa"/>
            <w:shd w:val="clear" w:color="auto" w:fill="D8D8D8"/>
          </w:tcPr>
          <w:p>
            <w:pPr>
              <w:pStyle w:val="TableParagraph"/>
              <w:spacing w:line="229" w:lineRule="exact"/>
              <w:ind w:left="103"/>
              <w:rPr>
                <w:b/>
                <w:sz w:val="20"/>
              </w:rPr>
            </w:pPr>
            <w:r>
              <w:rPr>
                <w:b/>
                <w:w w:val="100"/>
                <w:sz w:val="20"/>
              </w:rPr>
              <w:t>T</w:t>
            </w:r>
          </w:p>
        </w:tc>
        <w:tc>
          <w:tcPr>
            <w:tcW w:w="719" w:type="dxa"/>
            <w:shd w:val="clear" w:color="auto" w:fill="D8D8D8"/>
          </w:tcPr>
          <w:p>
            <w:pPr>
              <w:pStyle w:val="TableParagraph"/>
              <w:spacing w:line="229" w:lineRule="exact"/>
              <w:ind w:left="103"/>
              <w:rPr>
                <w:b/>
                <w:sz w:val="20"/>
              </w:rPr>
            </w:pPr>
            <w:r>
              <w:rPr>
                <w:b/>
                <w:w w:val="100"/>
                <w:sz w:val="20"/>
              </w:rPr>
              <w:t>F</w:t>
            </w:r>
          </w:p>
        </w:tc>
        <w:tc>
          <w:tcPr>
            <w:tcW w:w="719" w:type="dxa"/>
            <w:shd w:val="clear" w:color="auto" w:fill="D8D8D8"/>
          </w:tcPr>
          <w:p>
            <w:pPr>
              <w:pStyle w:val="TableParagraph"/>
              <w:spacing w:line="229" w:lineRule="exact"/>
              <w:ind w:left="103"/>
              <w:rPr>
                <w:b/>
                <w:sz w:val="20"/>
              </w:rPr>
            </w:pPr>
            <w:r>
              <w:rPr>
                <w:b/>
                <w:w w:val="100"/>
                <w:sz w:val="20"/>
              </w:rPr>
              <w:t>S</w:t>
            </w:r>
          </w:p>
        </w:tc>
        <w:tc>
          <w:tcPr>
            <w:tcW w:w="719" w:type="dxa"/>
          </w:tcPr>
          <w:p>
            <w:pPr>
              <w:pStyle w:val="TableParagraph"/>
              <w:spacing w:line="229" w:lineRule="exact"/>
              <w:ind w:left="103"/>
              <w:rPr>
                <w:b/>
                <w:sz w:val="20"/>
              </w:rPr>
            </w:pPr>
            <w:r>
              <w:rPr>
                <w:b/>
                <w:w w:val="100"/>
                <w:sz w:val="20"/>
              </w:rPr>
              <w:t>S</w:t>
            </w:r>
          </w:p>
        </w:tc>
      </w:tr>
      <w:tr>
        <w:trPr>
          <w:trHeight w:val="240" w:hRule="exact"/>
        </w:trPr>
        <w:tc>
          <w:tcPr>
            <w:tcW w:w="718" w:type="dxa"/>
            <w:shd w:val="clear" w:color="auto" w:fill="D8D8D8"/>
          </w:tcPr>
          <w:p>
            <w:pPr>
              <w:pStyle w:val="TableParagraph"/>
              <w:spacing w:line="229" w:lineRule="exact"/>
              <w:ind w:left="103"/>
              <w:rPr>
                <w:b/>
                <w:sz w:val="20"/>
              </w:rPr>
            </w:pPr>
            <w:r>
              <w:rPr>
                <w:b/>
                <w:w w:val="100"/>
                <w:sz w:val="20"/>
              </w:rPr>
              <w:t>1</w:t>
            </w:r>
          </w:p>
        </w:tc>
        <w:tc>
          <w:tcPr>
            <w:tcW w:w="718" w:type="dxa"/>
            <w:shd w:val="clear" w:color="auto" w:fill="D8D8D8"/>
          </w:tcPr>
          <w:p>
            <w:pPr>
              <w:pStyle w:val="TableParagraph"/>
              <w:spacing w:line="229" w:lineRule="exact"/>
              <w:ind w:left="103"/>
              <w:rPr>
                <w:b/>
                <w:sz w:val="20"/>
              </w:rPr>
            </w:pPr>
            <w:r>
              <w:rPr>
                <w:b/>
                <w:w w:val="100"/>
                <w:sz w:val="20"/>
              </w:rPr>
              <w:t>2</w:t>
            </w:r>
          </w:p>
        </w:tc>
        <w:tc>
          <w:tcPr>
            <w:tcW w:w="719" w:type="dxa"/>
            <w:shd w:val="clear" w:color="auto" w:fill="D8D8D8"/>
          </w:tcPr>
          <w:p>
            <w:pPr>
              <w:pStyle w:val="TableParagraph"/>
              <w:spacing w:line="229" w:lineRule="exact"/>
              <w:ind w:left="103"/>
              <w:rPr>
                <w:b/>
                <w:sz w:val="20"/>
              </w:rPr>
            </w:pPr>
            <w:r>
              <w:rPr>
                <w:b/>
                <w:w w:val="100"/>
                <w:sz w:val="20"/>
              </w:rPr>
              <w:t>3</w:t>
            </w:r>
          </w:p>
        </w:tc>
        <w:tc>
          <w:tcPr>
            <w:tcW w:w="718" w:type="dxa"/>
            <w:shd w:val="clear" w:color="auto" w:fill="D8D8D8"/>
          </w:tcPr>
          <w:p>
            <w:pPr>
              <w:pStyle w:val="TableParagraph"/>
              <w:spacing w:line="229" w:lineRule="exact"/>
              <w:ind w:left="103"/>
              <w:rPr>
                <w:b/>
                <w:sz w:val="20"/>
              </w:rPr>
            </w:pPr>
            <w:r>
              <w:rPr>
                <w:b/>
                <w:w w:val="100"/>
                <w:sz w:val="20"/>
              </w:rPr>
              <w:t>4</w:t>
            </w:r>
          </w:p>
        </w:tc>
        <w:tc>
          <w:tcPr>
            <w:tcW w:w="719" w:type="dxa"/>
            <w:shd w:val="clear" w:color="auto" w:fill="D8D8D8"/>
          </w:tcPr>
          <w:p>
            <w:pPr>
              <w:pStyle w:val="TableParagraph"/>
              <w:spacing w:line="229" w:lineRule="exact"/>
              <w:ind w:left="103"/>
              <w:rPr>
                <w:b/>
                <w:sz w:val="20"/>
              </w:rPr>
            </w:pPr>
            <w:r>
              <w:rPr>
                <w:b/>
                <w:w w:val="100"/>
                <w:sz w:val="20"/>
              </w:rPr>
              <w:t>5</w:t>
            </w:r>
          </w:p>
        </w:tc>
        <w:tc>
          <w:tcPr>
            <w:tcW w:w="719" w:type="dxa"/>
            <w:shd w:val="clear" w:color="auto" w:fill="D8D8D8"/>
          </w:tcPr>
          <w:p>
            <w:pPr>
              <w:pStyle w:val="TableParagraph"/>
              <w:spacing w:line="229" w:lineRule="exact"/>
              <w:ind w:left="103"/>
              <w:rPr>
                <w:b/>
                <w:sz w:val="20"/>
              </w:rPr>
            </w:pPr>
            <w:r>
              <w:rPr>
                <w:b/>
                <w:w w:val="100"/>
                <w:sz w:val="20"/>
              </w:rPr>
              <w:t>6</w:t>
            </w:r>
          </w:p>
        </w:tc>
        <w:tc>
          <w:tcPr>
            <w:tcW w:w="719" w:type="dxa"/>
          </w:tcPr>
          <w:p>
            <w:pPr>
              <w:pStyle w:val="TableParagraph"/>
              <w:spacing w:line="229" w:lineRule="exact"/>
              <w:ind w:left="103"/>
              <w:rPr>
                <w:b/>
                <w:sz w:val="20"/>
              </w:rPr>
            </w:pPr>
            <w:r>
              <w:rPr>
                <w:b/>
                <w:w w:val="100"/>
                <w:sz w:val="20"/>
              </w:rPr>
              <w:t>7</w:t>
            </w:r>
          </w:p>
        </w:tc>
      </w:tr>
    </w:tbl>
    <w:p>
      <w:pPr>
        <w:pStyle w:val="BodyText"/>
        <w:spacing w:before="11"/>
        <w:rPr>
          <w:sz w:val="10"/>
        </w:rPr>
      </w:pPr>
    </w:p>
    <w:p>
      <w:pPr>
        <w:spacing w:after="0"/>
        <w:rPr>
          <w:sz w:val="10"/>
        </w:rPr>
        <w:sectPr>
          <w:type w:val="continuous"/>
          <w:pgSz w:w="12240" w:h="15840"/>
          <w:pgMar w:top="1500" w:bottom="280" w:left="580" w:right="0"/>
        </w:sectPr>
      </w:pPr>
    </w:p>
    <w:p>
      <w:pPr>
        <w:pStyle w:val="BodyText"/>
      </w:pPr>
    </w:p>
    <w:p>
      <w:pPr>
        <w:pStyle w:val="BodyText"/>
      </w:pPr>
    </w:p>
    <w:p>
      <w:pPr>
        <w:pStyle w:val="BodyText"/>
      </w:pPr>
    </w:p>
    <w:p>
      <w:pPr>
        <w:pStyle w:val="BodyText"/>
      </w:pPr>
    </w:p>
    <w:p>
      <w:pPr>
        <w:pStyle w:val="BodyText"/>
      </w:pPr>
    </w:p>
    <w:p>
      <w:pPr>
        <w:pStyle w:val="BodyText"/>
      </w:pPr>
    </w:p>
    <w:p>
      <w:pPr>
        <w:pStyle w:val="BodyText"/>
        <w:spacing w:before="4"/>
        <w:rPr>
          <w:sz w:val="17"/>
        </w:rPr>
      </w:pPr>
    </w:p>
    <w:p>
      <w:pPr>
        <w:pStyle w:val="Heading4"/>
        <w:numPr>
          <w:ilvl w:val="0"/>
          <w:numId w:val="125"/>
        </w:numPr>
        <w:tabs>
          <w:tab w:pos="471" w:val="left" w:leader="none"/>
        </w:tabs>
        <w:spacing w:line="240" w:lineRule="auto" w:before="0" w:after="0"/>
        <w:ind w:left="470" w:right="0" w:hanging="200"/>
        <w:jc w:val="left"/>
      </w:pPr>
      <w:r>
        <w:rPr/>
        <w:pict>
          <v:group style="position:absolute;margin-left:126.830002pt;margin-top:-62.313927pt;width:77.25pt;height:28.1pt;mso-position-horizontal-relative:page;mso-position-vertical-relative:paragraph;z-index:-863920" coordorigin="2537,-1246" coordsize="1545,562">
            <v:shape style="position:absolute;left:2551;top:-1232;width:1516;height:254" coordorigin="2551,-1232" coordsize="1516,254" path="m4067,-1232l3964,-1232,2654,-1232,2551,-1232,2551,-978,4067,-978,4067,-1232e" filled="true" fillcolor="#d8d8d8" stroked="false">
              <v:path arrowok="t"/>
              <v:fill type="solid"/>
            </v:shape>
            <v:line style="position:absolute" from="2542,-1236" to="4076,-1236" stroked="true" strokeweight=".48pt" strokecolor="#000000"/>
            <v:shape style="position:absolute;left:2542;top:-1241;width:1535;height:552" coordorigin="2542,-1241" coordsize="1535,552" path="m2542,-974l4076,-974m2546,-1241l2546,-689e" filled="false" stroked="true" strokeweight=".48001pt" strokecolor="#000000">
              <v:path arrowok="t"/>
            </v:shape>
            <v:line style="position:absolute" from="2542,-694" to="4067,-694" stroked="true" strokeweight=".48pt" strokecolor="#000000"/>
            <v:line style="position:absolute" from="4072,-1241" to="4072,-689" stroked="true" strokeweight=".48pt" strokecolor="#000000"/>
            <v:shape style="position:absolute;left:2546;top:-1236;width:1526;height:263" type="#_x0000_t202" filled="false" stroked="false">
              <v:textbox inset="0,0,0,0">
                <w:txbxContent>
                  <w:p>
                    <w:pPr>
                      <w:spacing w:before="4"/>
                      <w:ind w:left="107" w:right="0" w:firstLine="0"/>
                      <w:jc w:val="left"/>
                      <w:rPr>
                        <w:b/>
                        <w:sz w:val="20"/>
                      </w:rPr>
                    </w:pPr>
                    <w:r>
                      <w:rPr>
                        <w:b/>
                        <w:sz w:val="20"/>
                      </w:rPr>
                      <w:t>Working days</w:t>
                    </w:r>
                  </w:p>
                </w:txbxContent>
              </v:textbox>
              <w10:wrap type="none"/>
            </v:shape>
            <v:shape style="position:absolute;left:2546;top:-974;width:1526;height:280" type="#_x0000_t202" filled="false" stroked="false">
              <v:textbox inset="0,0,0,0">
                <w:txbxContent>
                  <w:p>
                    <w:pPr>
                      <w:spacing w:before="4"/>
                      <w:ind w:left="107" w:right="0" w:firstLine="0"/>
                      <w:jc w:val="left"/>
                      <w:rPr>
                        <w:b/>
                        <w:sz w:val="20"/>
                      </w:rPr>
                    </w:pPr>
                    <w:r>
                      <w:rPr>
                        <w:b/>
                        <w:sz w:val="20"/>
                      </w:rPr>
                      <w:t>Day of rest</w:t>
                    </w:r>
                  </w:p>
                </w:txbxContent>
              </v:textbox>
              <w10:wrap type="none"/>
            </v:shape>
            <w10:wrap type="none"/>
          </v:group>
        </w:pict>
      </w:r>
      <w:r>
        <w:rPr/>
        <w:t>Results</w:t>
      </w:r>
    </w:p>
    <w:p>
      <w:pPr>
        <w:pStyle w:val="BodyText"/>
        <w:spacing w:before="105"/>
        <w:ind w:left="106" w:right="-19"/>
      </w:pPr>
      <w:r>
        <w:rPr/>
        <w:br w:type="column"/>
      </w:r>
      <w:r>
        <w:rPr/>
        <w:t>Table 2. Working days and rest days.</w:t>
      </w:r>
    </w:p>
    <w:p>
      <w:pPr>
        <w:pStyle w:val="BodyText"/>
        <w:spacing w:before="74"/>
        <w:ind w:left="378"/>
      </w:pPr>
      <w:r>
        <w:rPr/>
        <w:br w:type="column"/>
      </w:r>
      <w:r>
        <w:rPr/>
        <w:t>Figure 7. Fatigue at the end of the day four points of Luke</w:t>
      </w:r>
    </w:p>
    <w:p>
      <w:pPr>
        <w:pStyle w:val="BodyText"/>
        <w:spacing w:before="11"/>
        <w:rPr>
          <w:sz w:val="19"/>
        </w:rPr>
      </w:pPr>
    </w:p>
    <w:p>
      <w:pPr>
        <w:pStyle w:val="BodyText"/>
        <w:ind w:left="270" w:right="894" w:firstLine="567"/>
        <w:jc w:val="both"/>
      </w:pPr>
      <w:r>
        <w:rPr/>
        <w:t>Breaking down a little harder to identify which scale the four points of Luke enter each millers the number of times they felt no fatigue, tired , very tired or extremely as shown in Figure 3 , giving as emptied 63% result at all tired, 29% in tired, very tired 7% and 1% in extremely tired.</w:t>
      </w:r>
    </w:p>
    <w:p>
      <w:pPr>
        <w:spacing w:after="0"/>
        <w:jc w:val="both"/>
        <w:sectPr>
          <w:type w:val="continuous"/>
          <w:pgSz w:w="12240" w:h="15840"/>
          <w:pgMar w:top="1500" w:bottom="280" w:left="580" w:right="0"/>
          <w:cols w:num="3" w:equalWidth="0">
            <w:col w:w="1095" w:space="40"/>
            <w:col w:w="3084" w:space="1407"/>
            <w:col w:w="6034"/>
          </w:cols>
        </w:sectPr>
      </w:pPr>
    </w:p>
    <w:p>
      <w:pPr>
        <w:pStyle w:val="BodyText"/>
        <w:spacing w:before="3"/>
        <w:rPr>
          <w:sz w:val="13"/>
        </w:rPr>
      </w:pPr>
    </w:p>
    <w:p>
      <w:pPr>
        <w:pStyle w:val="BodyText"/>
        <w:spacing w:before="74"/>
        <w:ind w:left="270" w:right="6469"/>
        <w:jc w:val="both"/>
      </w:pPr>
      <w:r>
        <w:rPr/>
        <w:t>With the help of subjective methods could be identified further problems such as monotony, sleepiness, tiredness and fatigue.   Which   were   developing    along   the    workday,</w:t>
      </w:r>
    </w:p>
    <w:p>
      <w:pPr>
        <w:spacing w:after="0"/>
        <w:jc w:val="both"/>
        <w:sectPr>
          <w:type w:val="continuous"/>
          <w:pgSz w:w="12240" w:h="15840"/>
          <w:pgMar w:top="1500" w:bottom="280" w:left="580" w:right="0"/>
        </w:sectPr>
      </w:pPr>
    </w:p>
    <w:p>
      <w:pPr>
        <w:pStyle w:val="BodyText"/>
        <w:spacing w:before="7"/>
        <w:rPr>
          <w:sz w:val="18"/>
        </w:rPr>
      </w:pPr>
    </w:p>
    <w:p>
      <w:pPr>
        <w:pStyle w:val="BodyText"/>
        <w:ind w:left="275"/>
      </w:pPr>
      <w:r>
        <w:rPr/>
        <w:drawing>
          <wp:inline distT="0" distB="0" distL="0" distR="0">
            <wp:extent cx="3095754" cy="2698337"/>
            <wp:effectExtent l="0" t="0" r="0" b="0"/>
            <wp:docPr id="615" name="image366.jpeg" descr=""/>
            <wp:cNvGraphicFramePr>
              <a:graphicFrameLocks noChangeAspect="1"/>
            </wp:cNvGraphicFramePr>
            <a:graphic>
              <a:graphicData uri="http://schemas.openxmlformats.org/drawingml/2006/picture">
                <pic:pic>
                  <pic:nvPicPr>
                    <pic:cNvPr id="616" name="image366.jpeg"/>
                    <pic:cNvPicPr/>
                  </pic:nvPicPr>
                  <pic:blipFill>
                    <a:blip r:embed="rId600" cstate="print"/>
                    <a:stretch>
                      <a:fillRect/>
                    </a:stretch>
                  </pic:blipFill>
                  <pic:spPr>
                    <a:xfrm>
                      <a:off x="0" y="0"/>
                      <a:ext cx="3095754" cy="2698337"/>
                    </a:xfrm>
                    <a:prstGeom prst="rect">
                      <a:avLst/>
                    </a:prstGeom>
                  </pic:spPr>
                </pic:pic>
              </a:graphicData>
            </a:graphic>
          </wp:inline>
        </w:drawing>
      </w:r>
      <w:r>
        <w:rPr/>
      </w:r>
    </w:p>
    <w:p>
      <w:pPr>
        <w:spacing w:after="0"/>
        <w:sectPr>
          <w:pgSz w:w="12240" w:h="15840"/>
          <w:pgMar w:header="545" w:footer="852" w:top="1060" w:bottom="1040" w:left="580" w:right="220"/>
        </w:sectPr>
      </w:pPr>
    </w:p>
    <w:p>
      <w:pPr>
        <w:pStyle w:val="BodyText"/>
        <w:spacing w:before="8"/>
        <w:ind w:left="1021"/>
      </w:pPr>
      <w:r>
        <w:rPr/>
        <w:t>Figure 8. Four points of Luke job entry</w:t>
      </w:r>
    </w:p>
    <w:p>
      <w:pPr>
        <w:pStyle w:val="BodyText"/>
        <w:spacing w:before="11"/>
        <w:rPr>
          <w:sz w:val="19"/>
        </w:rPr>
      </w:pPr>
    </w:p>
    <w:p>
      <w:pPr>
        <w:pStyle w:val="BodyText"/>
        <w:ind w:left="270" w:right="1" w:firstLine="567"/>
        <w:jc w:val="both"/>
      </w:pPr>
      <w:r>
        <w:rPr/>
        <w:t>Similarly in figure 4 percentage change is in the last category 8 hours of working time operator machine where 66</w:t>
      </w:r>
    </w:p>
    <w:p>
      <w:pPr>
        <w:pStyle w:val="BodyText"/>
        <w:ind w:left="270"/>
      </w:pPr>
      <w:r>
        <w:rPr/>
        <w:t>% indicates that operators machine feel tired, 21 % not tired, very tired 11% and 2 % extremely tired.</w:t>
      </w:r>
    </w:p>
    <w:p>
      <w:pPr>
        <w:pStyle w:val="BodyText"/>
        <w:rPr>
          <w:sz w:val="11"/>
        </w:rPr>
      </w:pPr>
    </w:p>
    <w:p>
      <w:pPr>
        <w:pStyle w:val="BodyText"/>
        <w:ind w:left="173"/>
      </w:pPr>
      <w:r>
        <w:rPr/>
        <w:drawing>
          <wp:inline distT="0" distB="0" distL="0" distR="0">
            <wp:extent cx="3103492" cy="2639568"/>
            <wp:effectExtent l="0" t="0" r="0" b="0"/>
            <wp:docPr id="617" name="image367.jpeg" descr=""/>
            <wp:cNvGraphicFramePr>
              <a:graphicFrameLocks noChangeAspect="1"/>
            </wp:cNvGraphicFramePr>
            <a:graphic>
              <a:graphicData uri="http://schemas.openxmlformats.org/drawingml/2006/picture">
                <pic:pic>
                  <pic:nvPicPr>
                    <pic:cNvPr id="618" name="image367.jpeg"/>
                    <pic:cNvPicPr/>
                  </pic:nvPicPr>
                  <pic:blipFill>
                    <a:blip r:embed="rId601" cstate="print"/>
                    <a:stretch>
                      <a:fillRect/>
                    </a:stretch>
                  </pic:blipFill>
                  <pic:spPr>
                    <a:xfrm>
                      <a:off x="0" y="0"/>
                      <a:ext cx="3103492" cy="2639568"/>
                    </a:xfrm>
                    <a:prstGeom prst="rect">
                      <a:avLst/>
                    </a:prstGeom>
                  </pic:spPr>
                </pic:pic>
              </a:graphicData>
            </a:graphic>
          </wp:inline>
        </w:drawing>
      </w:r>
      <w:r>
        <w:rPr/>
      </w:r>
    </w:p>
    <w:p>
      <w:pPr>
        <w:pStyle w:val="BodyText"/>
        <w:ind w:left="821"/>
      </w:pPr>
      <w:r>
        <w:rPr/>
        <w:t>Figure 9. Four points of Luke end of day</w:t>
      </w:r>
    </w:p>
    <w:p>
      <w:pPr>
        <w:pStyle w:val="BodyText"/>
      </w:pPr>
    </w:p>
    <w:p>
      <w:pPr>
        <w:pStyle w:val="BodyText"/>
      </w:pPr>
    </w:p>
    <w:p>
      <w:pPr>
        <w:pStyle w:val="BodyText"/>
        <w:ind w:left="270" w:firstLine="567"/>
        <w:jc w:val="both"/>
      </w:pPr>
      <w:r>
        <w:rPr/>
        <w:t>Now relying on subjective questionnaire method of Yoshitake in the category of drowsiness and monotony the number of times the discomfort was presented for 3 weeks which first disclosed the results in figure 5 the start of the day this was plotted section where the predominant sleep, followed by general fatigue on the body, leg fatigue and constant yawning operators</w:t>
      </w:r>
      <w:r>
        <w:rPr>
          <w:spacing w:val="-21"/>
        </w:rPr>
        <w:t> </w:t>
      </w:r>
      <w:r>
        <w:rPr/>
        <w:t>machine.</w:t>
      </w:r>
    </w:p>
    <w:p>
      <w:pPr>
        <w:pStyle w:val="BodyText"/>
      </w:pPr>
      <w:r>
        <w:rPr/>
        <w:br w:type="column"/>
      </w:r>
      <w:r>
        <w:rPr/>
      </w:r>
    </w:p>
    <w:p>
      <w:pPr>
        <w:pStyle w:val="BodyText"/>
        <w:spacing w:before="1"/>
        <w:rPr>
          <w:sz w:val="29"/>
        </w:rPr>
      </w:pPr>
    </w:p>
    <w:p>
      <w:pPr>
        <w:pStyle w:val="BodyText"/>
        <w:ind w:left="2171" w:right="1017" w:hanging="1640"/>
      </w:pPr>
      <w:r>
        <w:rPr/>
        <w:drawing>
          <wp:anchor distT="0" distB="0" distL="0" distR="0" allowOverlap="1" layoutInCell="1" locked="0" behindDoc="0" simplePos="0" relativeHeight="14992">
            <wp:simplePos x="0" y="0"/>
            <wp:positionH relativeFrom="page">
              <wp:posOffset>4108703</wp:posOffset>
            </wp:positionH>
            <wp:positionV relativeFrom="paragraph">
              <wp:posOffset>-2975141</wp:posOffset>
            </wp:positionV>
            <wp:extent cx="3104388" cy="2830829"/>
            <wp:effectExtent l="0" t="0" r="0" b="0"/>
            <wp:wrapNone/>
            <wp:docPr id="619" name="image368.jpeg" descr=""/>
            <wp:cNvGraphicFramePr>
              <a:graphicFrameLocks noChangeAspect="1"/>
            </wp:cNvGraphicFramePr>
            <a:graphic>
              <a:graphicData uri="http://schemas.openxmlformats.org/drawingml/2006/picture">
                <pic:pic>
                  <pic:nvPicPr>
                    <pic:cNvPr id="620" name="image368.jpeg"/>
                    <pic:cNvPicPr/>
                  </pic:nvPicPr>
                  <pic:blipFill>
                    <a:blip r:embed="rId602" cstate="print"/>
                    <a:stretch>
                      <a:fillRect/>
                    </a:stretch>
                  </pic:blipFill>
                  <pic:spPr>
                    <a:xfrm>
                      <a:off x="0" y="0"/>
                      <a:ext cx="3104388" cy="2830829"/>
                    </a:xfrm>
                    <a:prstGeom prst="rect">
                      <a:avLst/>
                    </a:prstGeom>
                  </pic:spPr>
                </pic:pic>
              </a:graphicData>
            </a:graphic>
          </wp:anchor>
        </w:drawing>
      </w:r>
      <w:r>
        <w:rPr/>
        <w:t>Figure 10. Yoshitake questionnaire (drowsiness and monotony)</w:t>
      </w:r>
    </w:p>
    <w:p>
      <w:pPr>
        <w:pStyle w:val="BodyText"/>
      </w:pPr>
    </w:p>
    <w:p>
      <w:pPr>
        <w:pStyle w:val="BodyText"/>
      </w:pPr>
    </w:p>
    <w:p>
      <w:pPr>
        <w:pStyle w:val="BodyText"/>
        <w:ind w:left="178" w:right="676" w:firstLine="567"/>
        <w:jc w:val="both"/>
      </w:pPr>
      <w:r>
        <w:rPr/>
        <w:t>In figure 6 similarly as in the previous results many times had this trouble but now in the output of your  workday is where the problem persists in the general tiredness of the body and legs as well as the appearance yawning shown a</w:t>
      </w:r>
      <w:r>
        <w:rPr>
          <w:spacing w:val="-10"/>
        </w:rPr>
        <w:t> </w:t>
      </w:r>
      <w:r>
        <w:rPr/>
        <w:t>lot.</w:t>
      </w:r>
    </w:p>
    <w:p>
      <w:pPr>
        <w:pStyle w:val="BodyText"/>
      </w:pPr>
    </w:p>
    <w:p>
      <w:pPr>
        <w:pStyle w:val="BodyText"/>
        <w:spacing w:before="6"/>
        <w:rPr>
          <w:sz w:val="16"/>
        </w:rPr>
      </w:pPr>
      <w:r>
        <w:rPr/>
        <w:drawing>
          <wp:anchor distT="0" distB="0" distL="0" distR="0" allowOverlap="1" layoutInCell="1" locked="0" behindDoc="0" simplePos="0" relativeHeight="14968">
            <wp:simplePos x="0" y="0"/>
            <wp:positionH relativeFrom="page">
              <wp:posOffset>4113276</wp:posOffset>
            </wp:positionH>
            <wp:positionV relativeFrom="paragraph">
              <wp:posOffset>145786</wp:posOffset>
            </wp:positionV>
            <wp:extent cx="3087127" cy="2850356"/>
            <wp:effectExtent l="0" t="0" r="0" b="0"/>
            <wp:wrapTopAndBottom/>
            <wp:docPr id="621" name="image369.jpeg" descr=""/>
            <wp:cNvGraphicFramePr>
              <a:graphicFrameLocks noChangeAspect="1"/>
            </wp:cNvGraphicFramePr>
            <a:graphic>
              <a:graphicData uri="http://schemas.openxmlformats.org/drawingml/2006/picture">
                <pic:pic>
                  <pic:nvPicPr>
                    <pic:cNvPr id="622" name="image369.jpeg"/>
                    <pic:cNvPicPr/>
                  </pic:nvPicPr>
                  <pic:blipFill>
                    <a:blip r:embed="rId603" cstate="print"/>
                    <a:stretch>
                      <a:fillRect/>
                    </a:stretch>
                  </pic:blipFill>
                  <pic:spPr>
                    <a:xfrm>
                      <a:off x="0" y="0"/>
                      <a:ext cx="3087127" cy="2850356"/>
                    </a:xfrm>
                    <a:prstGeom prst="rect">
                      <a:avLst/>
                    </a:prstGeom>
                  </pic:spPr>
                </pic:pic>
              </a:graphicData>
            </a:graphic>
          </wp:anchor>
        </w:drawing>
      </w:r>
    </w:p>
    <w:p>
      <w:pPr>
        <w:pStyle w:val="BodyText"/>
        <w:ind w:left="2171" w:right="1017" w:hanging="1640"/>
      </w:pPr>
      <w:r>
        <w:rPr/>
        <w:t>Figure 11. Yoshitake questionnaire (drowsiness and monotony)</w:t>
      </w:r>
    </w:p>
    <w:p>
      <w:pPr>
        <w:spacing w:after="0"/>
        <w:sectPr>
          <w:type w:val="continuous"/>
          <w:pgSz w:w="12240" w:h="15840"/>
          <w:pgMar w:top="1500" w:bottom="280" w:left="580" w:right="220"/>
          <w:cols w:num="2" w:equalWidth="0">
            <w:col w:w="5189" w:space="528"/>
            <w:col w:w="5723"/>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4"/>
        <w:rPr>
          <w:sz w:val="26"/>
        </w:rPr>
      </w:pPr>
    </w:p>
    <w:p>
      <w:pPr>
        <w:pStyle w:val="BodyText"/>
        <w:spacing w:before="1"/>
        <w:ind w:left="270" w:firstLine="567"/>
        <w:jc w:val="both"/>
      </w:pPr>
      <w:r>
        <w:rPr/>
        <w:t>In the same questionnaire is the second category Yoshitake showing aspects leading to the problems of concentration and therefore fatigue, similarly to present results through figure 7 to identify aspects highlighted entry of the day and straighten posture mainly in the right way, which is the only one that stands out above other aspects as they are very minimal compared to this.</w:t>
      </w:r>
    </w:p>
    <w:p>
      <w:pPr>
        <w:pStyle w:val="BodyText"/>
        <w:spacing w:before="4"/>
        <w:rPr>
          <w:sz w:val="17"/>
        </w:rPr>
      </w:pPr>
      <w:r>
        <w:rPr/>
        <w:drawing>
          <wp:anchor distT="0" distB="0" distL="0" distR="0" allowOverlap="1" layoutInCell="1" locked="0" behindDoc="0" simplePos="0" relativeHeight="15016">
            <wp:simplePos x="0" y="0"/>
            <wp:positionH relativeFrom="page">
              <wp:posOffset>546354</wp:posOffset>
            </wp:positionH>
            <wp:positionV relativeFrom="paragraph">
              <wp:posOffset>151608</wp:posOffset>
            </wp:positionV>
            <wp:extent cx="3095226" cy="2799683"/>
            <wp:effectExtent l="0" t="0" r="0" b="0"/>
            <wp:wrapTopAndBottom/>
            <wp:docPr id="623" name="image370.jpeg" descr=""/>
            <wp:cNvGraphicFramePr>
              <a:graphicFrameLocks noChangeAspect="1"/>
            </wp:cNvGraphicFramePr>
            <a:graphic>
              <a:graphicData uri="http://schemas.openxmlformats.org/drawingml/2006/picture">
                <pic:pic>
                  <pic:nvPicPr>
                    <pic:cNvPr id="624" name="image370.jpeg"/>
                    <pic:cNvPicPr/>
                  </pic:nvPicPr>
                  <pic:blipFill>
                    <a:blip r:embed="rId604" cstate="print"/>
                    <a:stretch>
                      <a:fillRect/>
                    </a:stretch>
                  </pic:blipFill>
                  <pic:spPr>
                    <a:xfrm>
                      <a:off x="0" y="0"/>
                      <a:ext cx="3095226" cy="2799683"/>
                    </a:xfrm>
                    <a:prstGeom prst="rect">
                      <a:avLst/>
                    </a:prstGeom>
                  </pic:spPr>
                </pic:pic>
              </a:graphicData>
            </a:graphic>
          </wp:anchor>
        </w:drawing>
      </w:r>
    </w:p>
    <w:p>
      <w:pPr>
        <w:pStyle w:val="BodyText"/>
        <w:ind w:left="360" w:right="89"/>
        <w:jc w:val="center"/>
      </w:pPr>
      <w:r>
        <w:rPr/>
        <w:t>Figure 12. Yoshitake questionnaire (concentration in job entry)</w:t>
      </w:r>
    </w:p>
    <w:p>
      <w:pPr>
        <w:pStyle w:val="BodyText"/>
        <w:ind w:left="270" w:right="1" w:firstLine="567"/>
        <w:jc w:val="both"/>
      </w:pPr>
      <w:r>
        <w:rPr/>
        <w:t>The results obtained in the output in figure 8  operators machine where the problem persists in the position underestimating other aspects as output even he operator machine is not seriously affected in other respects is also shown</w:t>
      </w:r>
      <w:r>
        <w:rPr>
          <w:spacing w:val="-3"/>
        </w:rPr>
        <w:t> </w:t>
      </w:r>
      <w:r>
        <w:rPr/>
        <w:t>below.</w:t>
      </w:r>
    </w:p>
    <w:p>
      <w:pPr>
        <w:pStyle w:val="BodyText"/>
        <w:ind w:left="273"/>
      </w:pPr>
      <w:r>
        <w:rPr/>
        <w:drawing>
          <wp:inline distT="0" distB="0" distL="0" distR="0">
            <wp:extent cx="3093814" cy="2787015"/>
            <wp:effectExtent l="0" t="0" r="0" b="0"/>
            <wp:docPr id="625" name="image371.jpeg" descr=""/>
            <wp:cNvGraphicFramePr>
              <a:graphicFrameLocks noChangeAspect="1"/>
            </wp:cNvGraphicFramePr>
            <a:graphic>
              <a:graphicData uri="http://schemas.openxmlformats.org/drawingml/2006/picture">
                <pic:pic>
                  <pic:nvPicPr>
                    <pic:cNvPr id="626" name="image371.jpeg"/>
                    <pic:cNvPicPr/>
                  </pic:nvPicPr>
                  <pic:blipFill>
                    <a:blip r:embed="rId605" cstate="print"/>
                    <a:stretch>
                      <a:fillRect/>
                    </a:stretch>
                  </pic:blipFill>
                  <pic:spPr>
                    <a:xfrm>
                      <a:off x="0" y="0"/>
                      <a:ext cx="3093814" cy="2787015"/>
                    </a:xfrm>
                    <a:prstGeom prst="rect">
                      <a:avLst/>
                    </a:prstGeom>
                  </pic:spPr>
                </pic:pic>
              </a:graphicData>
            </a:graphic>
          </wp:inline>
        </w:drawing>
      </w:r>
      <w:r>
        <w:rPr/>
      </w:r>
    </w:p>
    <w:p>
      <w:pPr>
        <w:pStyle w:val="BodyText"/>
        <w:spacing w:before="20"/>
        <w:ind w:left="901" w:right="-2"/>
      </w:pPr>
      <w:r>
        <w:rPr/>
        <w:t>Figure 13. Yoshitake questionnaire (concentration in</w:t>
      </w:r>
    </w:p>
    <w:p>
      <w:pPr>
        <w:pStyle w:val="BodyText"/>
        <w:ind w:left="356" w:right="89"/>
        <w:jc w:val="center"/>
      </w:pPr>
      <w:r>
        <w:rPr/>
        <w:t>working out)</w:t>
      </w:r>
    </w:p>
    <w:p>
      <w:pPr>
        <w:pStyle w:val="BodyText"/>
        <w:spacing w:before="74"/>
        <w:ind w:left="270" w:right="676" w:firstLine="567"/>
        <w:jc w:val="both"/>
      </w:pPr>
      <w:r>
        <w:rPr/>
        <w:br w:type="column"/>
      </w:r>
      <w:r>
        <w:rPr/>
        <w:t>An analysis which highlights the operators machine most affected by fatigue are positioned on the scale of tired four point where Luke was further see what day begins fatigue was made.</w:t>
      </w:r>
    </w:p>
    <w:p>
      <w:pPr>
        <w:pStyle w:val="BodyText"/>
        <w:spacing w:before="11"/>
        <w:rPr>
          <w:sz w:val="19"/>
        </w:rPr>
      </w:pPr>
    </w:p>
    <w:p>
      <w:pPr>
        <w:pStyle w:val="BodyText"/>
        <w:ind w:left="270" w:right="675" w:firstLine="567"/>
        <w:jc w:val="both"/>
      </w:pPr>
      <w:r>
        <w:rPr/>
        <w:t>In figure 9 you can appreciate what the days when fatigue begins to take place operators machine at the entrance of their day, and we can assume that on Mondays, Thursdays, Fridays and Saturdays mostly experiencing fatigue and Tuesday and Wednesday they are the most productive days for the workers.</w:t>
      </w:r>
    </w:p>
    <w:p>
      <w:pPr>
        <w:pStyle w:val="BodyText"/>
        <w:spacing w:before="9"/>
        <w:rPr>
          <w:sz w:val="16"/>
        </w:rPr>
      </w:pPr>
      <w:r>
        <w:rPr/>
        <w:drawing>
          <wp:anchor distT="0" distB="0" distL="0" distR="0" allowOverlap="1" layoutInCell="1" locked="0" behindDoc="0" simplePos="0" relativeHeight="15040">
            <wp:simplePos x="0" y="0"/>
            <wp:positionH relativeFrom="page">
              <wp:posOffset>4472178</wp:posOffset>
            </wp:positionH>
            <wp:positionV relativeFrom="paragraph">
              <wp:posOffset>147788</wp:posOffset>
            </wp:positionV>
            <wp:extent cx="2548534" cy="2216943"/>
            <wp:effectExtent l="0" t="0" r="0" b="0"/>
            <wp:wrapTopAndBottom/>
            <wp:docPr id="627" name="image372.jpeg" descr=""/>
            <wp:cNvGraphicFramePr>
              <a:graphicFrameLocks noChangeAspect="1"/>
            </wp:cNvGraphicFramePr>
            <a:graphic>
              <a:graphicData uri="http://schemas.openxmlformats.org/drawingml/2006/picture">
                <pic:pic>
                  <pic:nvPicPr>
                    <pic:cNvPr id="628" name="image372.jpeg"/>
                    <pic:cNvPicPr/>
                  </pic:nvPicPr>
                  <pic:blipFill>
                    <a:blip r:embed="rId606" cstate="print"/>
                    <a:stretch>
                      <a:fillRect/>
                    </a:stretch>
                  </pic:blipFill>
                  <pic:spPr>
                    <a:xfrm>
                      <a:off x="0" y="0"/>
                      <a:ext cx="2548534" cy="2216943"/>
                    </a:xfrm>
                    <a:prstGeom prst="rect">
                      <a:avLst/>
                    </a:prstGeom>
                  </pic:spPr>
                </pic:pic>
              </a:graphicData>
            </a:graphic>
          </wp:anchor>
        </w:drawing>
      </w:r>
    </w:p>
    <w:p>
      <w:pPr>
        <w:pStyle w:val="BodyText"/>
        <w:ind w:left="1672" w:right="785" w:hanging="711"/>
      </w:pPr>
      <w:r>
        <w:rPr/>
        <w:t>Figure 14. Four points of Luke category “tired” on workings days (job entry)</w:t>
      </w:r>
    </w:p>
    <w:p>
      <w:pPr>
        <w:pStyle w:val="BodyText"/>
      </w:pPr>
    </w:p>
    <w:p>
      <w:pPr>
        <w:pStyle w:val="BodyText"/>
        <w:spacing w:before="10"/>
        <w:rPr>
          <w:sz w:val="19"/>
        </w:rPr>
      </w:pPr>
    </w:p>
    <w:p>
      <w:pPr>
        <w:pStyle w:val="BodyText"/>
        <w:ind w:left="270" w:right="677" w:firstLine="567"/>
        <w:jc w:val="both"/>
      </w:pPr>
      <w:r>
        <w:rPr/>
        <w:t>Following the dynamics of the previous graph is recorded that day appeared more constant fatigue at the end of the day of the miller which resulted in the days where more fatigue occurs on Mondays at 30%, Thursday with 17% and 16% Friday.</w:t>
      </w:r>
    </w:p>
    <w:p>
      <w:pPr>
        <w:pStyle w:val="BodyText"/>
      </w:pPr>
    </w:p>
    <w:p>
      <w:pPr>
        <w:pStyle w:val="BodyText"/>
        <w:spacing w:before="6"/>
        <w:rPr>
          <w:sz w:val="13"/>
        </w:rPr>
      </w:pPr>
      <w:r>
        <w:rPr/>
        <w:drawing>
          <wp:anchor distT="0" distB="0" distL="0" distR="0" allowOverlap="1" layoutInCell="1" locked="0" behindDoc="0" simplePos="0" relativeHeight="15064">
            <wp:simplePos x="0" y="0"/>
            <wp:positionH relativeFrom="page">
              <wp:posOffset>4426458</wp:posOffset>
            </wp:positionH>
            <wp:positionV relativeFrom="paragraph">
              <wp:posOffset>123674</wp:posOffset>
            </wp:positionV>
            <wp:extent cx="2524303" cy="2216943"/>
            <wp:effectExtent l="0" t="0" r="0" b="0"/>
            <wp:wrapTopAndBottom/>
            <wp:docPr id="629" name="image373.jpeg" descr=""/>
            <wp:cNvGraphicFramePr>
              <a:graphicFrameLocks noChangeAspect="1"/>
            </wp:cNvGraphicFramePr>
            <a:graphic>
              <a:graphicData uri="http://schemas.openxmlformats.org/drawingml/2006/picture">
                <pic:pic>
                  <pic:nvPicPr>
                    <pic:cNvPr id="630" name="image373.jpeg"/>
                    <pic:cNvPicPr/>
                  </pic:nvPicPr>
                  <pic:blipFill>
                    <a:blip r:embed="rId607" cstate="print"/>
                    <a:stretch>
                      <a:fillRect/>
                    </a:stretch>
                  </pic:blipFill>
                  <pic:spPr>
                    <a:xfrm>
                      <a:off x="0" y="0"/>
                      <a:ext cx="2524303" cy="2216943"/>
                    </a:xfrm>
                    <a:prstGeom prst="rect">
                      <a:avLst/>
                    </a:prstGeom>
                  </pic:spPr>
                </pic:pic>
              </a:graphicData>
            </a:graphic>
          </wp:anchor>
        </w:drawing>
      </w:r>
    </w:p>
    <w:p>
      <w:pPr>
        <w:pStyle w:val="BodyText"/>
        <w:ind w:left="1545" w:right="702" w:hanging="892"/>
      </w:pPr>
      <w:r>
        <w:rPr/>
        <w:t>Figure 15. Four points of Luke category “tired” on workings days (working out)</w:t>
      </w:r>
    </w:p>
    <w:p>
      <w:pPr>
        <w:spacing w:after="0"/>
        <w:sectPr>
          <w:type w:val="continuous"/>
          <w:pgSz w:w="12240" w:h="15840"/>
          <w:pgMar w:top="1500" w:bottom="280" w:left="580" w:right="220"/>
          <w:cols w:num="2" w:equalWidth="0">
            <w:col w:w="5190" w:space="434"/>
            <w:col w:w="5816"/>
          </w:cols>
        </w:sectPr>
      </w:pPr>
    </w:p>
    <w:p>
      <w:pPr>
        <w:pStyle w:val="BodyText"/>
      </w:pPr>
    </w:p>
    <w:p>
      <w:pPr>
        <w:pStyle w:val="BodyText"/>
        <w:spacing w:before="11"/>
        <w:rPr>
          <w:sz w:val="17"/>
        </w:rPr>
      </w:pPr>
    </w:p>
    <w:p>
      <w:pPr>
        <w:pStyle w:val="Heading4"/>
        <w:numPr>
          <w:ilvl w:val="1"/>
          <w:numId w:val="126"/>
        </w:numPr>
        <w:tabs>
          <w:tab w:pos="571" w:val="left" w:leader="none"/>
        </w:tabs>
        <w:spacing w:line="240" w:lineRule="auto" w:before="0" w:after="0"/>
        <w:ind w:left="570" w:right="0" w:hanging="300"/>
        <w:jc w:val="both"/>
      </w:pPr>
      <w:r>
        <w:rPr/>
        <w:t>Conclusions</w:t>
      </w:r>
    </w:p>
    <w:p>
      <w:pPr>
        <w:pStyle w:val="BodyText"/>
        <w:spacing w:before="9"/>
        <w:rPr>
          <w:b/>
          <w:sz w:val="19"/>
        </w:rPr>
      </w:pPr>
    </w:p>
    <w:p>
      <w:pPr>
        <w:pStyle w:val="BodyText"/>
        <w:spacing w:before="1"/>
        <w:ind w:left="270" w:right="6248"/>
        <w:jc w:val="both"/>
      </w:pPr>
      <w:r>
        <w:rPr/>
        <w:t>As a conclusion, it is stated that machine operators present fatigue on a scale of tired from subjective scale of 4 points of Luke, and the main factors the contribute to this cause are  the general tiredness, sleepy, constant jawing, heavy feeling on legs and the difficulty to straighten out, factors determined thanks to the support of Yoshitake’s questionnaire, and it was also noticed which are the days where the main fatigue index is presented: Mondays, Thursdays, Fridays and Saturdays. In general therms, the machine worker spends 66% of his working days</w:t>
      </w:r>
      <w:r>
        <w:rPr>
          <w:spacing w:val="-29"/>
        </w:rPr>
        <w:t> </w:t>
      </w:r>
      <w:r>
        <w:rPr/>
        <w:t>tired.</w:t>
      </w:r>
    </w:p>
    <w:p>
      <w:pPr>
        <w:pStyle w:val="BodyText"/>
        <w:spacing w:before="6"/>
        <w:rPr>
          <w:sz w:val="13"/>
        </w:rPr>
      </w:pPr>
    </w:p>
    <w:p>
      <w:pPr>
        <w:pStyle w:val="BodyText"/>
        <w:spacing w:before="75"/>
        <w:ind w:left="270" w:right="6248" w:firstLine="50"/>
        <w:jc w:val="both"/>
      </w:pPr>
      <w:r>
        <w:rPr/>
        <w:t>It is recommended to re-design working area and also to provide resting activities among working Schedule and also implement some rules where the machine worker does not present to be forced to work more than his capacity allows him; all of this having the idea to increase the productivity of Corn  Tortilla’s  Factory  and  life  quality  of  the    machine</w:t>
      </w:r>
    </w:p>
    <w:p>
      <w:pPr>
        <w:pStyle w:val="BodyText"/>
        <w:tabs>
          <w:tab w:pos="5895" w:val="left" w:leader="none"/>
        </w:tabs>
        <w:ind w:left="270" w:right="5492"/>
      </w:pPr>
      <w:r>
        <w:rPr/>
        <w:t>worker,  avoiding  Chronicle  Fatigue  Syndrome  </w:t>
      </w:r>
      <w:r>
        <w:rPr>
          <w:spacing w:val="12"/>
        </w:rPr>
        <w:t> </w:t>
      </w:r>
      <w:r>
        <w:rPr/>
        <w:t>and </w:t>
      </w:r>
      <w:r>
        <w:rPr>
          <w:spacing w:val="12"/>
        </w:rPr>
        <w:t> </w:t>
      </w:r>
      <w:r>
        <w:rPr/>
        <w:t>other</w:t>
        <w:tab/>
        <w:t>. diseases related to</w:t>
      </w:r>
      <w:r>
        <w:rPr>
          <w:spacing w:val="-16"/>
        </w:rPr>
        <w:t> </w:t>
      </w:r>
      <w:r>
        <w:rPr/>
        <w:t>fatigue.</w:t>
      </w:r>
    </w:p>
    <w:p>
      <w:pPr>
        <w:pStyle w:val="BodyText"/>
        <w:spacing w:before="3"/>
      </w:pPr>
    </w:p>
    <w:p>
      <w:pPr>
        <w:pStyle w:val="Heading4"/>
        <w:numPr>
          <w:ilvl w:val="1"/>
          <w:numId w:val="126"/>
        </w:numPr>
        <w:tabs>
          <w:tab w:pos="571" w:val="left" w:leader="none"/>
        </w:tabs>
        <w:spacing w:line="240" w:lineRule="auto" w:before="0" w:after="0"/>
        <w:ind w:left="570" w:right="0" w:hanging="300"/>
        <w:jc w:val="both"/>
      </w:pPr>
      <w:r>
        <w:rPr/>
        <w:t>References</w:t>
      </w:r>
    </w:p>
    <w:p>
      <w:pPr>
        <w:pStyle w:val="BodyText"/>
        <w:spacing w:before="8"/>
        <w:rPr>
          <w:b/>
          <w:sz w:val="19"/>
        </w:rPr>
      </w:pPr>
    </w:p>
    <w:p>
      <w:pPr>
        <w:pStyle w:val="BodyText"/>
        <w:ind w:left="270" w:right="6250"/>
        <w:jc w:val="both"/>
      </w:pPr>
      <w:r>
        <w:rPr/>
        <w:t>ARRIAGA,J. M. La fatiga en el trabajo y su influencia en la productividad. Revista Salud y Trabajo, No. 26, Madrid, 1980, pp. 21-26</w:t>
      </w:r>
    </w:p>
    <w:p>
      <w:pPr>
        <w:pStyle w:val="BodyText"/>
      </w:pPr>
    </w:p>
    <w:p>
      <w:pPr>
        <w:pStyle w:val="BodyText"/>
        <w:spacing w:before="1"/>
        <w:ind w:left="270" w:right="6251"/>
        <w:jc w:val="both"/>
      </w:pPr>
      <w:r>
        <w:rPr/>
        <w:t>HOUSSAY,B. et al. Fisiología del ejercicio. Fisiología humana. La Habana: Ciencia y Técnica, 1971, pp. 631- 646</w:t>
      </w:r>
    </w:p>
    <w:p>
      <w:pPr>
        <w:pStyle w:val="BodyText"/>
        <w:spacing w:before="11"/>
        <w:rPr>
          <w:sz w:val="19"/>
        </w:rPr>
      </w:pPr>
    </w:p>
    <w:p>
      <w:pPr>
        <w:pStyle w:val="BodyText"/>
        <w:ind w:left="270" w:right="6250"/>
        <w:jc w:val="both"/>
      </w:pPr>
      <w:r>
        <w:rPr/>
        <w:t>Konz, Stephan. (1998). Work/rest: Part II - The Scientific Basis (Knowledge Base) for the Guide. International Journal of Industrial Ergonomics, Vol. 22, 73-99.</w:t>
      </w:r>
    </w:p>
    <w:p>
      <w:pPr>
        <w:pStyle w:val="BodyText"/>
      </w:pPr>
    </w:p>
    <w:p>
      <w:pPr>
        <w:pStyle w:val="BodyText"/>
      </w:pPr>
    </w:p>
    <w:p>
      <w:pPr>
        <w:pStyle w:val="BodyText"/>
        <w:tabs>
          <w:tab w:pos="2704" w:val="left" w:leader="none"/>
          <w:tab w:pos="4941" w:val="left" w:leader="none"/>
        </w:tabs>
        <w:ind w:left="270" w:right="6249"/>
        <w:jc w:val="both"/>
      </w:pPr>
      <w:r>
        <w:rPr/>
        <w:t>Niebel, Benjamin W. (1990). Ingeniería Industrial: métodos, tiempos y movimientos. Tercera edición. Editorial Alfaomega.</w:t>
        <w:tab/>
        <w:t>Obtenido</w:t>
        <w:tab/>
        <w:t>de: </w:t>
      </w:r>
      <w:hyperlink r:id="rId608">
        <w:r>
          <w:rPr/>
          <w:t>http://www.prodiamex.com/productos/historiadelatortilla/his</w:t>
        </w:r>
      </w:hyperlink>
      <w:r>
        <w:rPr/>
        <w:t> toriadelatortilla.htm</w:t>
      </w:r>
    </w:p>
    <w:p>
      <w:pPr>
        <w:pStyle w:val="BodyText"/>
      </w:pPr>
    </w:p>
    <w:p>
      <w:pPr>
        <w:pStyle w:val="BodyText"/>
        <w:spacing w:before="1"/>
        <w:ind w:left="270"/>
        <w:jc w:val="both"/>
      </w:pPr>
      <w:hyperlink r:id="rId609">
        <w:r>
          <w:rPr/>
          <w:t>http://www.mexicoproduce.mx/articulos/tortilla.html</w:t>
        </w:r>
      </w:hyperlink>
    </w:p>
    <w:p>
      <w:pPr>
        <w:pStyle w:val="BodyText"/>
        <w:spacing w:before="11"/>
        <w:rPr>
          <w:sz w:val="19"/>
        </w:rPr>
      </w:pPr>
    </w:p>
    <w:p>
      <w:pPr>
        <w:pStyle w:val="BodyText"/>
        <w:ind w:left="270" w:right="6262"/>
        <w:jc w:val="both"/>
      </w:pPr>
      <w:hyperlink r:id="rId610">
        <w:r>
          <w:rPr/>
          <w:t>http://www.stps.gob.mx/bp/secciones/dgsst/estadisticas/Sinal</w:t>
        </w:r>
      </w:hyperlink>
      <w:r>
        <w:rPr/>
        <w:t> oa%202004-2013.pdf</w:t>
      </w:r>
    </w:p>
    <w:p>
      <w:pPr>
        <w:pStyle w:val="BodyText"/>
        <w:spacing w:before="11"/>
        <w:rPr>
          <w:sz w:val="19"/>
        </w:rPr>
      </w:pPr>
    </w:p>
    <w:p>
      <w:pPr>
        <w:pStyle w:val="BodyText"/>
        <w:ind w:left="270" w:right="6249"/>
        <w:jc w:val="both"/>
      </w:pPr>
      <w:r>
        <w:rPr/>
        <w:t>SECRETARIA DEL TRABAJO Y PREVISION SOCIAL (2014). “NORMA Oficial Mexicana  NOM-006-STPS-2014,</w:t>
      </w:r>
    </w:p>
    <w:p>
      <w:pPr>
        <w:pStyle w:val="BodyText"/>
        <w:tabs>
          <w:tab w:pos="2635" w:val="left" w:leader="none"/>
          <w:tab w:pos="4999" w:val="left" w:leader="none"/>
        </w:tabs>
        <w:ind w:left="270" w:right="6249"/>
      </w:pPr>
      <w:r>
        <w:rPr/>
        <w:t>Manejo y almacenamiento de materiales-Condiciones de seguridad y salud en el trabajo.” DIARIO OFICIAL (Primera Sección)</w:t>
        <w:tab/>
        <w:t>obtenido</w:t>
        <w:tab/>
        <w:t>de </w:t>
      </w:r>
      <w:hyperlink r:id="rId611">
        <w:r>
          <w:rPr/>
          <w:t>http://www.semac.org.mx/images/stories/Noticias/NOM-</w:t>
        </w:r>
      </w:hyperlink>
      <w:r>
        <w:rPr/>
        <w:t> 006-STPS-2014.pdf</w:t>
      </w:r>
    </w:p>
    <w:p>
      <w:pPr>
        <w:spacing w:after="0"/>
        <w:sectPr>
          <w:pgSz w:w="12240" w:h="15840"/>
          <w:pgMar w:header="545" w:footer="852" w:top="1060" w:bottom="1040" w:left="580" w:right="220"/>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
        <w:rPr>
          <w:sz w:val="26"/>
        </w:rPr>
      </w:pPr>
    </w:p>
    <w:p>
      <w:pPr>
        <w:pStyle w:val="Heading1"/>
        <w:ind w:left="322" w:right="56"/>
        <w:jc w:val="center"/>
      </w:pPr>
      <w:r>
        <w:rPr/>
        <w:t>Analysis of Generation of Labor Fatigue and Chronic Fatigue Syndrome and Correlation With Microbiological Contamination in the Electronics Industry of Mexicali</w:t>
      </w:r>
    </w:p>
    <w:p>
      <w:pPr>
        <w:pStyle w:val="BodyText"/>
        <w:spacing w:before="10"/>
        <w:rPr>
          <w:b/>
          <w:sz w:val="19"/>
        </w:rPr>
      </w:pPr>
    </w:p>
    <w:p>
      <w:pPr>
        <w:spacing w:line="184" w:lineRule="exact" w:before="1"/>
        <w:ind w:left="270" w:right="0" w:firstLine="0"/>
        <w:jc w:val="both"/>
        <w:rPr>
          <w:sz w:val="10"/>
        </w:rPr>
      </w:pPr>
      <w:r>
        <w:rPr>
          <w:sz w:val="16"/>
        </w:rPr>
        <w:t>Elsa Emma Barraza Rincón</w:t>
      </w:r>
      <w:r>
        <w:rPr>
          <w:position w:val="7"/>
          <w:sz w:val="10"/>
        </w:rPr>
        <w:t>1</w:t>
      </w:r>
      <w:r>
        <w:rPr>
          <w:sz w:val="16"/>
        </w:rPr>
        <w:t>, Arcelia Gómez Rodriguez</w:t>
      </w:r>
      <w:r>
        <w:rPr>
          <w:position w:val="7"/>
          <w:sz w:val="10"/>
        </w:rPr>
        <w:t>2</w:t>
      </w:r>
      <w:r>
        <w:rPr>
          <w:sz w:val="16"/>
        </w:rPr>
        <w:t>, Gustavo López Badilla</w:t>
      </w:r>
      <w:r>
        <w:rPr>
          <w:position w:val="7"/>
          <w:sz w:val="10"/>
        </w:rPr>
        <w:t>3</w:t>
      </w:r>
      <w:r>
        <w:rPr>
          <w:sz w:val="16"/>
        </w:rPr>
        <w:t>, Guillermo Barba González</w:t>
      </w:r>
      <w:r>
        <w:rPr>
          <w:position w:val="7"/>
          <w:sz w:val="10"/>
        </w:rPr>
        <w:t>4</w:t>
      </w:r>
    </w:p>
    <w:p>
      <w:pPr>
        <w:pStyle w:val="BodyText"/>
        <w:spacing w:before="7"/>
        <w:rPr>
          <w:sz w:val="14"/>
        </w:rPr>
      </w:pPr>
    </w:p>
    <w:p>
      <w:pPr>
        <w:spacing w:before="0"/>
        <w:ind w:left="270" w:right="2" w:firstLine="0"/>
        <w:jc w:val="both"/>
        <w:rPr>
          <w:sz w:val="16"/>
        </w:rPr>
      </w:pPr>
      <w:r>
        <w:rPr>
          <w:position w:val="7"/>
          <w:sz w:val="10"/>
        </w:rPr>
        <w:t>1 </w:t>
      </w:r>
      <w:r>
        <w:rPr>
          <w:sz w:val="16"/>
        </w:rPr>
        <w:t>Investigador-Académico, Departamento de Ingeniería Industrial, Instituto Tecnológico de Mexicali, Mexicali, Baja California, México</w:t>
      </w:r>
    </w:p>
    <w:p>
      <w:pPr>
        <w:spacing w:line="184" w:lineRule="exact" w:before="0"/>
        <w:ind w:left="270" w:right="0" w:firstLine="0"/>
        <w:jc w:val="both"/>
        <w:rPr>
          <w:sz w:val="16"/>
        </w:rPr>
      </w:pPr>
      <w:r>
        <w:rPr>
          <w:position w:val="7"/>
          <w:sz w:val="10"/>
        </w:rPr>
        <w:t>2      </w:t>
      </w:r>
      <w:r>
        <w:rPr>
          <w:sz w:val="16"/>
        </w:rPr>
        <w:t>Investigador-Académico,    Departamento    de    Ciencias     Económico-</w:t>
      </w:r>
    </w:p>
    <w:p>
      <w:pPr>
        <w:spacing w:before="1"/>
        <w:ind w:left="270" w:right="3" w:firstLine="0"/>
        <w:jc w:val="both"/>
        <w:rPr>
          <w:sz w:val="16"/>
        </w:rPr>
      </w:pPr>
      <w:r>
        <w:rPr>
          <w:sz w:val="16"/>
        </w:rPr>
        <w:t>Administrativas, Instituto Tecnológico de Mexicali, Mexicali, Baja California, México</w:t>
      </w:r>
    </w:p>
    <w:p>
      <w:pPr>
        <w:spacing w:line="184" w:lineRule="exact" w:before="0"/>
        <w:ind w:left="270" w:right="0" w:firstLine="0"/>
        <w:jc w:val="both"/>
        <w:rPr>
          <w:sz w:val="16"/>
        </w:rPr>
      </w:pPr>
      <w:r>
        <w:rPr>
          <w:position w:val="7"/>
          <w:sz w:val="10"/>
        </w:rPr>
        <w:t>3     </w:t>
      </w:r>
      <w:r>
        <w:rPr>
          <w:sz w:val="16"/>
        </w:rPr>
        <w:t>Investigador-Académico,   Dirección   de   Ingeniería   en    Manufactura,</w:t>
      </w:r>
    </w:p>
    <w:p>
      <w:pPr>
        <w:spacing w:before="1"/>
        <w:ind w:left="270" w:right="1" w:firstLine="0"/>
        <w:jc w:val="both"/>
        <w:rPr>
          <w:sz w:val="16"/>
        </w:rPr>
      </w:pPr>
      <w:r>
        <w:rPr>
          <w:sz w:val="16"/>
        </w:rPr>
        <w:t>Universidad Politécnica de Baja California, Mexicali, Baja California, México.</w:t>
      </w:r>
    </w:p>
    <w:p>
      <w:pPr>
        <w:spacing w:line="184" w:lineRule="exact" w:before="0"/>
        <w:ind w:left="270" w:right="0" w:firstLine="0"/>
        <w:jc w:val="both"/>
        <w:rPr>
          <w:sz w:val="16"/>
        </w:rPr>
      </w:pPr>
      <w:r>
        <w:rPr>
          <w:position w:val="7"/>
          <w:sz w:val="10"/>
        </w:rPr>
        <w:t>4     </w:t>
      </w:r>
      <w:r>
        <w:rPr>
          <w:sz w:val="16"/>
        </w:rPr>
        <w:t>Estudiante-Investigador,    Dirección    de    Ingeniería    en  Manufactura,</w:t>
      </w:r>
    </w:p>
    <w:p>
      <w:pPr>
        <w:spacing w:before="1"/>
        <w:ind w:left="270" w:right="9" w:firstLine="0"/>
        <w:jc w:val="left"/>
        <w:rPr>
          <w:b/>
          <w:sz w:val="16"/>
        </w:rPr>
      </w:pPr>
      <w:r>
        <w:rPr>
          <w:sz w:val="16"/>
        </w:rPr>
        <w:t>Universidad Politécnica de Baja California, Mexicali, Baja California, México. </w:t>
      </w:r>
      <w:r>
        <w:rPr>
          <w:color w:val="0000FF"/>
          <w:sz w:val="16"/>
          <w:u w:val="single" w:color="0000FF"/>
        </w:rPr>
        <w:t>emmabarrazarincon@hotmail.com;</w:t>
      </w:r>
      <w:r>
        <w:rPr>
          <w:b/>
          <w:color w:val="0000FF"/>
          <w:sz w:val="16"/>
          <w:u w:val="single" w:color="0000FF"/>
        </w:rPr>
        <w:t>g_arcelia@hotmail.com;glopezbadilla</w:t>
      </w:r>
    </w:p>
    <w:p>
      <w:pPr>
        <w:spacing w:before="4"/>
        <w:ind w:left="270" w:right="0" w:firstLine="0"/>
        <w:jc w:val="both"/>
        <w:rPr>
          <w:b/>
          <w:sz w:val="16"/>
        </w:rPr>
      </w:pPr>
      <w:r>
        <w:rPr>
          <w:b/>
          <w:color w:val="0000FF"/>
          <w:sz w:val="16"/>
          <w:u w:val="single" w:color="0000FF"/>
        </w:rPr>
        <w:t>@yahoo.com</w:t>
      </w:r>
    </w:p>
    <w:p>
      <w:pPr>
        <w:pStyle w:val="BodyText"/>
        <w:spacing w:before="1"/>
        <w:rPr>
          <w:b/>
        </w:rPr>
      </w:pPr>
    </w:p>
    <w:p>
      <w:pPr>
        <w:pStyle w:val="Heading4"/>
      </w:pPr>
      <w:r>
        <w:rPr/>
        <w:pict>
          <v:line style="position:absolute;mso-position-horizontal-relative:page;mso-position-vertical-relative:paragraph;z-index:15088" from="41.040001pt,13.205824pt" to="289.860001pt,13.205824pt" stroked="true" strokeweight="1.5pt" strokecolor="#000000">
            <w10:wrap type="none"/>
          </v:line>
        </w:pict>
      </w:r>
      <w:r>
        <w:rPr/>
        <w:t>Resumen</w:t>
      </w:r>
    </w:p>
    <w:p>
      <w:pPr>
        <w:pStyle w:val="BodyText"/>
        <w:spacing w:before="46"/>
        <w:ind w:left="270"/>
        <w:jc w:val="both"/>
      </w:pPr>
      <w:r>
        <w:rPr/>
        <w:t>La falta de atención médica de síntomas como la fatiga laboral en la industria electrónica de Mexicali o de otro tipo de industrias o ciudades de México, puede tener graves consecuencias, hasta que generar el Síndrome de Fatiga Crónica (SFC). Este síntoma de salud, se considera según la Organización Mundial de la Salud (OMS) como una enfermedad de alto riesgo y puede ocurrir regularmente en personas ocupacionalmente en la edad productiva de 20 a 40 años. Las consecuencias de no abordar tanto la fatiga laboral y su efecto que puede conducir a la SFC, y tener causar graves daños a la salud de los trabajadores. Con base en esta información se realizó un estudio de la correlación de la contaminación atmosférica y la presencia de microorganismos en interior de una industria del ramo electrónico desde el 2013 al 2014. Esto se llevó a cabo en el interior de tres empresas de la industria electrónica de la ciudad de Mexicali, situada en el noroeste de México, en los períodos de verano e invierno.</w:t>
      </w:r>
    </w:p>
    <w:p>
      <w:pPr>
        <w:spacing w:before="0"/>
        <w:ind w:left="270" w:right="1" w:firstLine="0"/>
        <w:jc w:val="both"/>
        <w:rPr>
          <w:sz w:val="20"/>
        </w:rPr>
      </w:pPr>
      <w:r>
        <w:rPr>
          <w:b/>
          <w:sz w:val="20"/>
        </w:rPr>
        <w:t>Palabras clave. </w:t>
      </w:r>
      <w:r>
        <w:rPr>
          <w:sz w:val="20"/>
        </w:rPr>
        <w:t>SFC, Ergonomía, Contaminación microbiológica, industria</w:t>
      </w:r>
    </w:p>
    <w:p>
      <w:pPr>
        <w:pStyle w:val="Heading5"/>
        <w:spacing w:before="4"/>
        <w:rPr>
          <w:i/>
        </w:rPr>
      </w:pPr>
      <w:r>
        <w:rPr/>
        <w:pict>
          <v:line style="position:absolute;mso-position-horizontal-relative:page;mso-position-vertical-relative:paragraph;z-index:15112" from="41.040001pt,13.406534pt" to="289.860001pt,13.406534pt" stroked="true" strokeweight="1.5pt" strokecolor="#000000">
            <w10:wrap type="none"/>
          </v:line>
        </w:pict>
      </w:r>
      <w:r>
        <w:rPr>
          <w:i/>
        </w:rPr>
        <w:t>Abstract</w:t>
      </w:r>
    </w:p>
    <w:p>
      <w:pPr>
        <w:spacing w:before="46"/>
        <w:ind w:left="270" w:right="0" w:firstLine="0"/>
        <w:jc w:val="both"/>
        <w:rPr>
          <w:i/>
          <w:sz w:val="20"/>
        </w:rPr>
      </w:pPr>
      <w:r>
        <w:rPr>
          <w:i/>
          <w:sz w:val="20"/>
        </w:rPr>
        <w:t>The low medical attention to the labor fatigue in in the </w:t>
      </w:r>
      <w:r>
        <w:rPr>
          <w:i/>
          <w:sz w:val="20"/>
        </w:rPr>
        <w:t>electronics industry of Mexicali or other type of industry and other cities of Mexico, can have serious consequences, until generates the Chronic Fatigue Syndrome (CFS). This symptom health, is considered according to the World  Health Organization (WHO) as a high-risk disease and can occur regularly in people occupationally in the productive age from 20 to 40 years. The consequences of not addressing both labor fatigue and its effect that may lead to CFS, can cause severe damage to the health of workers. Based on this information a study of the correlation of atmospheric contamination and the presence of microorganisms in indoor of a company of the electronics industry, from 2013 to 2014. This was conducted in the indoors of the electronics</w:t>
      </w:r>
      <w:r>
        <w:rPr>
          <w:i/>
          <w:spacing w:val="11"/>
          <w:sz w:val="20"/>
        </w:rPr>
        <w:t> </w:t>
      </w:r>
      <w:r>
        <w:rPr>
          <w:i/>
          <w:sz w:val="20"/>
        </w:rPr>
        <w:t>industry</w:t>
      </w:r>
    </w:p>
    <w:p>
      <w:pPr>
        <w:spacing w:before="74"/>
        <w:ind w:left="270" w:right="677" w:firstLine="0"/>
        <w:jc w:val="both"/>
        <w:rPr>
          <w:i/>
          <w:sz w:val="20"/>
        </w:rPr>
      </w:pPr>
      <w:r>
        <w:rPr/>
        <w:br w:type="column"/>
      </w:r>
      <w:r>
        <w:rPr>
          <w:i/>
          <w:sz w:val="20"/>
        </w:rPr>
        <w:t>of three companies of the city of Mexicali, located in </w:t>
      </w:r>
      <w:r>
        <w:rPr>
          <w:i/>
          <w:sz w:val="20"/>
        </w:rPr>
        <w:t>northwestern Mexico in the summer and winter periods.</w:t>
      </w:r>
    </w:p>
    <w:p>
      <w:pPr>
        <w:spacing w:before="0"/>
        <w:ind w:left="270" w:right="676" w:firstLine="0"/>
        <w:jc w:val="both"/>
        <w:rPr>
          <w:i/>
          <w:sz w:val="20"/>
        </w:rPr>
      </w:pPr>
      <w:r>
        <w:rPr>
          <w:b/>
          <w:i/>
          <w:sz w:val="20"/>
        </w:rPr>
        <w:t>Keywords. </w:t>
      </w:r>
      <w:r>
        <w:rPr>
          <w:i/>
          <w:sz w:val="20"/>
        </w:rPr>
        <w:t>CFS, Ergonomics, Microbiological pollution, </w:t>
      </w:r>
      <w:r>
        <w:rPr>
          <w:i/>
          <w:sz w:val="20"/>
        </w:rPr>
        <w:t>industry</w:t>
      </w:r>
    </w:p>
    <w:p>
      <w:pPr>
        <w:pStyle w:val="BodyText"/>
        <w:spacing w:before="2"/>
        <w:rPr>
          <w:i/>
        </w:rPr>
      </w:pPr>
    </w:p>
    <w:p>
      <w:pPr>
        <w:pStyle w:val="Heading4"/>
        <w:numPr>
          <w:ilvl w:val="0"/>
          <w:numId w:val="127"/>
        </w:numPr>
        <w:tabs>
          <w:tab w:pos="473" w:val="left" w:leader="none"/>
        </w:tabs>
        <w:spacing w:line="229" w:lineRule="exact" w:before="0" w:after="0"/>
        <w:ind w:left="472" w:right="0" w:hanging="202"/>
        <w:jc w:val="both"/>
      </w:pPr>
      <w:r>
        <w:rPr/>
        <w:t>INTRODUCTION</w:t>
      </w:r>
    </w:p>
    <w:p>
      <w:pPr>
        <w:pStyle w:val="BodyText"/>
        <w:ind w:left="270" w:right="675"/>
        <w:jc w:val="both"/>
      </w:pPr>
      <w:r>
        <w:rPr/>
        <w:t>One aspect that concern to the industrial ergonomic, is the presence of fatigue that is a symptom of the stress as a main factor, and as a secondary factor, the exposition to the microbiological contamination that is present in the indoor environment of industrial plants [1]. This is considered as an ergonomic and psychosocial risk in the workplace in any type of industry. The labor fatigue and CFS is considered to be a concern for health institutions and governments in each country by public health spending and industries for the generation of absenteeism by disease and low operational level in the presence of these signs of health. It was  observed that in the winter period, most cases of fatigue (10 at month as an average) in the periods of the analysis, were generated and few people with the symptoms of the CFS (two person that was suffer heart attack and two died by the consequence of a symptoms of CFS related with other diseases, each three months in the company evaluated). Because of that, the owners, managers and specialized in ergonomics and occupational health support of the companies evaluated, were concerned. That is why conducted a study in areas where more cases were presented of fatigue and a microanalysis environmental sampling of dust and water accumulated in certain areas of manufacturing areas of the companies performed, to detect the presence of microorganisms that may be a factor in the generation of fatigue and CFS</w:t>
      </w:r>
      <w:r>
        <w:rPr>
          <w:spacing w:val="-14"/>
        </w:rPr>
        <w:t> </w:t>
      </w:r>
      <w:r>
        <w:rPr/>
        <w:t>[2].</w:t>
      </w:r>
    </w:p>
    <w:p>
      <w:pPr>
        <w:pStyle w:val="BodyText"/>
        <w:spacing w:before="2"/>
      </w:pPr>
    </w:p>
    <w:p>
      <w:pPr>
        <w:pStyle w:val="Heading4"/>
        <w:numPr>
          <w:ilvl w:val="1"/>
          <w:numId w:val="127"/>
        </w:numPr>
        <w:tabs>
          <w:tab w:pos="571" w:val="left" w:leader="none"/>
        </w:tabs>
        <w:spacing w:line="229" w:lineRule="exact" w:before="0" w:after="0"/>
        <w:ind w:left="570" w:right="0" w:hanging="300"/>
        <w:jc w:val="both"/>
      </w:pPr>
      <w:r>
        <w:rPr/>
        <w:t>The Ergonomics in the</w:t>
      </w:r>
      <w:r>
        <w:rPr>
          <w:spacing w:val="-2"/>
        </w:rPr>
        <w:t> </w:t>
      </w:r>
      <w:r>
        <w:rPr/>
        <w:t>industry</w:t>
      </w:r>
    </w:p>
    <w:p>
      <w:pPr>
        <w:pStyle w:val="BodyText"/>
        <w:ind w:left="270" w:right="676"/>
        <w:jc w:val="both"/>
      </w:pPr>
      <w:r>
        <w:rPr/>
        <w:t>The goal of ergonomics is to adapt the work to the capabilities and possibilities of the human elements, to always have ergonomic workstations (WS) [3]. Other aspect is the design the WS, considering to the persons who will use them, their structural dimensions (dimensions of head, trunk and limbs in standard positions) and the functional or dynamic operations of workers including measurements taken during the movement made by the body in specific activities. Other factor, is the needs of people who are changing, and also workers with advancing age. The ergonomic functions have the principal objective of the quality of working life according to international standards as the Spanish Ergonomics Association's [4]. This can be defined as the set of working conditions that do not damage health and also provide a means for personal  </w:t>
      </w:r>
      <w:r>
        <w:rPr>
          <w:spacing w:val="29"/>
        </w:rPr>
        <w:t> </w:t>
      </w:r>
      <w:r>
        <w:rPr/>
        <w:t>development,</w:t>
      </w:r>
    </w:p>
    <w:p>
      <w:pPr>
        <w:pStyle w:val="BodyText"/>
        <w:ind w:left="270" w:right="675"/>
        <w:jc w:val="both"/>
      </w:pPr>
      <w:r>
        <w:rPr/>
        <w:t>i.e. higher content of tasks, participation in decisions, more autonomy and the opportunity for personal development, principally. Exists ergonomics teams which work according to their physiological and psychological characteristics as study the environmental system and security, and also the conditions as the elements of drive and motivation and mainly the subject in all its meaning, mesomorph and psychological, to adapt the team and the task of the worker. This increases productivity and avoid problematic situations</w:t>
      </w:r>
    </w:p>
    <w:p>
      <w:pPr>
        <w:spacing w:after="0"/>
        <w:jc w:val="both"/>
        <w:sectPr>
          <w:type w:val="continuous"/>
          <w:pgSz w:w="12240" w:h="15840"/>
          <w:pgMar w:top="1500" w:bottom="280" w:left="580" w:right="220"/>
          <w:cols w:num="2" w:equalWidth="0">
            <w:col w:w="5191" w:space="433"/>
            <w:col w:w="5816"/>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4"/>
        <w:ind w:left="270" w:right="1"/>
        <w:jc w:val="both"/>
      </w:pPr>
      <w:r>
        <w:rPr/>
        <w:t>as accidents and diseases that can cause the death in sometimes. Preventive ergonomics is the area of ergonomics that works closely with the disciplines responsible for safety and health at work areas. Among its main activities is the study and analysis of the security, occupational health and comfort [5].</w:t>
      </w:r>
    </w:p>
    <w:p>
      <w:pPr>
        <w:pStyle w:val="BodyText"/>
        <w:spacing w:before="2"/>
      </w:pPr>
    </w:p>
    <w:p>
      <w:pPr>
        <w:pStyle w:val="Heading4"/>
        <w:numPr>
          <w:ilvl w:val="1"/>
          <w:numId w:val="127"/>
        </w:numPr>
        <w:tabs>
          <w:tab w:pos="572" w:val="left" w:leader="none"/>
        </w:tabs>
        <w:spacing w:line="229" w:lineRule="exact" w:before="0" w:after="0"/>
        <w:ind w:left="571" w:right="0" w:hanging="301"/>
        <w:jc w:val="both"/>
      </w:pPr>
      <w:r>
        <w:rPr/>
        <w:t>Ergonomics in the health of</w:t>
      </w:r>
      <w:r>
        <w:rPr>
          <w:spacing w:val="-23"/>
        </w:rPr>
        <w:t> </w:t>
      </w:r>
      <w:r>
        <w:rPr/>
        <w:t>workers</w:t>
      </w:r>
    </w:p>
    <w:p>
      <w:pPr>
        <w:pStyle w:val="BodyText"/>
        <w:ind w:left="270" w:right="1"/>
        <w:jc w:val="both"/>
      </w:pPr>
      <w:r>
        <w:rPr/>
        <w:t>In the workplace ergonomics meets the specific needs  mainly to the design and development of equipment, design of autonomous microenvironments, analyzing those aspects affecting the artificial environment built by directly, related to the acts and gestures involved in any activity of workers, called Ergonomics at Work [6] . The ergonomic design of  the workstation attempts to get a proper fit between the skills and abilities of the worker and the requirements and  demands of the job. This topic ensures of the proper disposal of the workspace, avoiding unnecessary efforts that should never exceed the physical capacity of workers, to avoid overly repetitive work movements that force the joints. The ergonomic design of products is that they are seeking a efficient use, safe, to help improve productivity without causing diseases in humans, which in shaping its form indicating their mode of use, also of environmental conditions among which are: temperature, lighting, noise, vibration, essentially</w:t>
      </w:r>
      <w:r>
        <w:rPr>
          <w:spacing w:val="-16"/>
        </w:rPr>
        <w:t> </w:t>
      </w:r>
      <w:r>
        <w:rPr/>
        <w:t>[7].</w:t>
      </w:r>
    </w:p>
    <w:p>
      <w:pPr>
        <w:pStyle w:val="BodyText"/>
        <w:spacing w:before="2"/>
      </w:pPr>
    </w:p>
    <w:p>
      <w:pPr>
        <w:pStyle w:val="Heading4"/>
        <w:numPr>
          <w:ilvl w:val="1"/>
          <w:numId w:val="127"/>
        </w:numPr>
        <w:tabs>
          <w:tab w:pos="572" w:val="left" w:leader="none"/>
        </w:tabs>
        <w:spacing w:line="229" w:lineRule="exact" w:before="0" w:after="0"/>
        <w:ind w:left="571" w:right="0" w:hanging="301"/>
        <w:jc w:val="both"/>
      </w:pPr>
      <w:r>
        <w:rPr/>
        <w:t>Fatigue and Chronic Fatigue</w:t>
      </w:r>
      <w:r>
        <w:rPr>
          <w:spacing w:val="-15"/>
        </w:rPr>
        <w:t> </w:t>
      </w:r>
      <w:r>
        <w:rPr/>
        <w:t>Syndrome</w:t>
      </w:r>
    </w:p>
    <w:p>
      <w:pPr>
        <w:pStyle w:val="BodyText"/>
        <w:ind w:left="270"/>
        <w:jc w:val="both"/>
      </w:pPr>
      <w:r>
        <w:rPr/>
        <w:t>This can occur by the physical or mental exhaustion as a result of work or effort, and is characterized by the inability to perform physical tasks with the rhythm or usual strength, and greater slowness of rational processes which may cause  a memory leak [8]. From the point of view of safety and industrial hygiene, we see fatigue as a factor that may transiently alter the worker psychic-physical state, being the reflection of the effects of prolonged labor activities, with their consequences on the individual. This mood involves physiological changes in the body or psychological fatigue, being a result the low production in the work operations, as a negative influence on production, since the labor force decreases and the low yield may cause accidents, resulting in wasted time, material, decreased production and other expenses [9]. When we perceive fatigue, usually after a sustained exertion or stress, it could be said that manifests as a feeling of weakness and exhaustion accompanied by discomfort, even pain and inability to relax. Fatigue occurs depending on situational factors and personal characteristics and always have, plus some functional effects, a subjective body substrate headaches or muscle, itchy eyes, dullness, tension armor and clumsiness, principally. That is the reason that differences between people and other at different times in the same individual as to the forms and intensity of feeling fatigue are presented. The chronic fatigue, refers to an  intense and constant tiredness (fatigue) that is not relieved by rest and is not directly caused by other conditions [10]. Also is known as the phatic chronic syndrome, whose manifestation is extreme tiredness for more than 24 hours and at least six months, and not relieved by bed rest and is</w:t>
      </w:r>
      <w:r>
        <w:rPr>
          <w:spacing w:val="13"/>
        </w:rPr>
        <w:t> </w:t>
      </w:r>
      <w:r>
        <w:rPr/>
        <w:t>so</w:t>
      </w:r>
    </w:p>
    <w:p>
      <w:pPr>
        <w:pStyle w:val="BodyText"/>
        <w:spacing w:before="74"/>
        <w:ind w:left="270" w:right="676"/>
        <w:jc w:val="both"/>
      </w:pPr>
      <w:r>
        <w:rPr/>
        <w:br w:type="column"/>
      </w:r>
      <w:r>
        <w:rPr/>
        <w:t>intense that prevents you from participating in certain activities, forgetfulness, trouble concentrating, confusion among others and whose complications. This include depression, isolation and side effects of medications or treatments. The causes of this condition are unknown and has been observed that occurs most often in    women of 30-</w:t>
      </w:r>
    </w:p>
    <w:p>
      <w:pPr>
        <w:pStyle w:val="BodyText"/>
        <w:ind w:left="270" w:right="676"/>
        <w:jc w:val="both"/>
      </w:pPr>
      <w:r>
        <w:rPr/>
        <w:t>50 years. Experts from the Autonomous University of Barcelona have concluded that between 1% and 10% of the Spanish population suffers from chronic fatigue syndrome characterized by a persistent feeling of exhaustion or trouble having a continued physical or intellectual activity and causes concentration disorders, neck pain, headaches, malaise after exercise and unrefreshing sleep [11]. Appears after several cycles in which the relationship between training and recovery is unbalanced, causing a pattern of fatigue, which leads to declining job performance. Within the pathology is known as Chronic Fatigue Syndrome.</w:t>
      </w:r>
    </w:p>
    <w:p>
      <w:pPr>
        <w:pStyle w:val="BodyText"/>
        <w:spacing w:before="2"/>
      </w:pPr>
    </w:p>
    <w:p>
      <w:pPr>
        <w:pStyle w:val="Heading4"/>
        <w:numPr>
          <w:ilvl w:val="1"/>
          <w:numId w:val="127"/>
        </w:numPr>
        <w:tabs>
          <w:tab w:pos="571" w:val="left" w:leader="none"/>
        </w:tabs>
        <w:spacing w:line="229" w:lineRule="exact" w:before="0" w:after="0"/>
        <w:ind w:left="570" w:right="0" w:hanging="300"/>
        <w:jc w:val="both"/>
      </w:pPr>
      <w:r>
        <w:rPr/>
        <w:t>Characteristics of the fatigue in</w:t>
      </w:r>
      <w:r>
        <w:rPr>
          <w:spacing w:val="-15"/>
        </w:rPr>
        <w:t> </w:t>
      </w:r>
      <w:r>
        <w:rPr/>
        <w:t>industries</w:t>
      </w:r>
    </w:p>
    <w:p>
      <w:pPr>
        <w:pStyle w:val="BodyText"/>
        <w:ind w:left="270" w:right="676"/>
        <w:jc w:val="both"/>
      </w:pPr>
      <w:r>
        <w:rPr/>
        <w:t>The work related fatigue is a complex and very common in the workplace especially those that require high physical load and in which are used complicated technologies that provide maximum to worker demands, forcing to work beyond their psychophysiological possibilities and in often harmful [3]. Houssay and others define it as a transient loss of ability to perform a job, consecutive to prolonged embodiment thereof. In change, Arriaga mention, that is a complex factor, comprising the physiological changes experienced by the human body as a result of feelings of fatigue of operators which consequently cause a decrease in the effectiveness of the results of their work. The first indicates that the ability to work can be recovered, when cease the activity, and the other refers to fatigue only in terms of general physiological, regardless of the psychological changes that occur that are expressed with subjective feelings of discomfort and dissatisfaction [5]. In general terms, the labor fatigue is a process from a time of normal tiredness to a disease state that in many cases the meaning of disease is characterized by psychosomatic and social changes. The personal characteristics of workers determine vulnerability to labor more than others fatigue, especially are poor job skills whose causes can be health disorders, negative attitude to the labor life, and arises from dissatisfaction personal needs in their particular life that leads to imbalances in the world he lives. Also are psychosocial aspects such as values, motivations, expectations, which contribute to the creation of organizational climate that influences the life of the worker [4]. Usecha Mora, describes that conditions of life, especially the socioeconomic conditions such as inadequate housing, food deficit, job insecurity, poor education and health services, and provokes the lack of a rest compounded by low wages, being a problematic situation of workers that suffers very fast of labor fatigue and chronic fatigue, easily and with it the occurrence of</w:t>
      </w:r>
      <w:r>
        <w:rPr>
          <w:spacing w:val="-27"/>
        </w:rPr>
        <w:t> </w:t>
      </w:r>
      <w:r>
        <w:rPr/>
        <w:t>accidents.</w:t>
      </w:r>
    </w:p>
    <w:p>
      <w:pPr>
        <w:pStyle w:val="BodyText"/>
        <w:spacing w:before="2"/>
      </w:pPr>
    </w:p>
    <w:p>
      <w:pPr>
        <w:pStyle w:val="Heading4"/>
        <w:numPr>
          <w:ilvl w:val="1"/>
          <w:numId w:val="127"/>
        </w:numPr>
        <w:tabs>
          <w:tab w:pos="571" w:val="left" w:leader="none"/>
        </w:tabs>
        <w:spacing w:line="240" w:lineRule="auto" w:before="0" w:after="0"/>
        <w:ind w:left="570" w:right="0" w:hanging="300"/>
        <w:jc w:val="both"/>
      </w:pPr>
      <w:r>
        <w:rPr/>
        <w:t>Accidents fatigue in</w:t>
      </w:r>
      <w:r>
        <w:rPr>
          <w:spacing w:val="-9"/>
        </w:rPr>
        <w:t> </w:t>
      </w:r>
      <w:r>
        <w:rPr/>
        <w:t>industry</w:t>
      </w:r>
    </w:p>
    <w:p>
      <w:pPr>
        <w:spacing w:after="0" w:line="240" w:lineRule="auto"/>
        <w:jc w:val="both"/>
        <w:sectPr>
          <w:type w:val="continuous"/>
          <w:pgSz w:w="12240" w:h="15840"/>
          <w:pgMar w:top="1500" w:bottom="280" w:left="580" w:right="220"/>
          <w:cols w:num="2" w:equalWidth="0">
            <w:col w:w="5191" w:space="433"/>
            <w:col w:w="5816"/>
          </w:cols>
        </w:sectPr>
      </w:pPr>
    </w:p>
    <w:p>
      <w:pPr>
        <w:pStyle w:val="BodyText"/>
        <w:spacing w:before="10"/>
        <w:rPr>
          <w:b/>
          <w:sz w:val="10"/>
        </w:rPr>
      </w:pPr>
    </w:p>
    <w:p>
      <w:pPr>
        <w:spacing w:after="0"/>
        <w:rPr>
          <w:sz w:val="10"/>
        </w:rPr>
        <w:sectPr>
          <w:pgSz w:w="12240" w:h="15840"/>
          <w:pgMar w:header="545" w:footer="852" w:top="1060" w:bottom="1040" w:left="580" w:right="220"/>
        </w:sectPr>
      </w:pPr>
    </w:p>
    <w:p>
      <w:pPr>
        <w:pStyle w:val="BodyText"/>
        <w:spacing w:before="80"/>
        <w:ind w:left="270" w:right="1"/>
        <w:jc w:val="both"/>
      </w:pPr>
      <w:r>
        <w:rPr/>
        <w:t>Accidents happen because people commit wrongful acts or because the equipment, tools, machinery or workplaces are not in proper conditions [9]. The principle of prevention of accidents indicates that all accidents are root causes that can be prevented by identifying and controlling the causes that produce them.</w:t>
      </w:r>
    </w:p>
    <w:p>
      <w:pPr>
        <w:pStyle w:val="BodyText"/>
        <w:spacing w:before="2"/>
      </w:pPr>
    </w:p>
    <w:p>
      <w:pPr>
        <w:pStyle w:val="Heading4"/>
        <w:numPr>
          <w:ilvl w:val="1"/>
          <w:numId w:val="127"/>
        </w:numPr>
        <w:tabs>
          <w:tab w:pos="572" w:val="left" w:leader="none"/>
        </w:tabs>
        <w:spacing w:line="229" w:lineRule="exact" w:before="0" w:after="0"/>
        <w:ind w:left="571" w:right="0" w:hanging="301"/>
        <w:jc w:val="both"/>
      </w:pPr>
      <w:r>
        <w:rPr/>
        <w:t>Types of fatigue as a cause of</w:t>
      </w:r>
      <w:r>
        <w:rPr>
          <w:spacing w:val="-11"/>
        </w:rPr>
        <w:t> </w:t>
      </w:r>
      <w:r>
        <w:rPr/>
        <w:t>accidents</w:t>
      </w:r>
    </w:p>
    <w:p>
      <w:pPr>
        <w:pStyle w:val="BodyText"/>
        <w:ind w:left="270"/>
        <w:jc w:val="both"/>
      </w:pPr>
      <w:r>
        <w:rPr/>
        <w:t>Any prolonged work in our body determines a state of  fatigue and depression called fatigue. In other words, the fatigue is a feeling of discomfort due to functional reduction of the organism as a result of overwork [3]. Along with the work itself, other factors may contribute to identifying and aggravate fatigue states, as hunger, poverty, disease, emotions, organic weakness, the concerns, principally. There is a general fatigue, which interested the whole body, and sometimes is characterized by mental disorders, circulatory, respiratory, essentially; which reduce the ability of labor, and cannot be specified in the confines of a definition  by referring to a particular subjective state [10]. Easier to interpret and define is muscle fatigue, which is seen as a decrease in the force that is capable of developing a muscle  or group of muscles. Sometimes, the fatigue can increase the intensity and are usually distinguished as the weakness as a state of which the individual is replenished quickly with rest. Also, exists the prostration or exhaustion, where appear in workers most notable signs as the muscle relaxation, accelerated heart rate and low blood pressure [1]. Overstrain, is a state of chronic fatigue characterized by continuous poisoning of the body, anemia, neurasthenia, insomnia, poor appetite, heart rhythm decrement of sclerosis (hardening of the blood vessels), principally. Also, this disease is characterized by circulatory disorders so severe that can provokes the death or psychic disorders. As preventive measures recommended to avoid the labor fatigue and chronic fatigue are the determination of the rate of more suitable job for each profession alternating periods of work [11].</w:t>
      </w:r>
    </w:p>
    <w:p>
      <w:pPr>
        <w:pStyle w:val="BodyText"/>
        <w:spacing w:before="2"/>
      </w:pPr>
    </w:p>
    <w:p>
      <w:pPr>
        <w:pStyle w:val="Heading4"/>
        <w:numPr>
          <w:ilvl w:val="1"/>
          <w:numId w:val="127"/>
        </w:numPr>
        <w:tabs>
          <w:tab w:pos="571" w:val="left" w:leader="none"/>
        </w:tabs>
        <w:spacing w:line="229" w:lineRule="exact" w:before="0" w:after="0"/>
        <w:ind w:left="570" w:right="0" w:hanging="300"/>
        <w:jc w:val="both"/>
      </w:pPr>
      <w:r>
        <w:rPr/>
        <w:t>Microorganisms have influence in the</w:t>
      </w:r>
      <w:r>
        <w:rPr>
          <w:spacing w:val="-27"/>
        </w:rPr>
        <w:t> </w:t>
      </w:r>
      <w:r>
        <w:rPr/>
        <w:t>CFS</w:t>
      </w:r>
    </w:p>
    <w:p>
      <w:pPr>
        <w:pStyle w:val="BodyText"/>
        <w:ind w:left="270" w:right="1"/>
        <w:jc w:val="both"/>
      </w:pPr>
      <w:r>
        <w:rPr/>
        <w:t>One factor of the generation of CFS is the presence of microorganisms that have contact with workers in some storage areas, manufacturing processes with dirty zones where are small areas with dirty water or dirty bathrooms, and are generated some microorganisms that originated the CFS. One of this microorganism is the Citomegalovirus (CMV), presented in figure 1, that is a form of herpesvirus, known as Human Herpevirus5 (HHV-5) [12].</w:t>
      </w:r>
    </w:p>
    <w:p>
      <w:pPr>
        <w:pStyle w:val="BodyText"/>
        <w:spacing w:before="11"/>
        <w:rPr>
          <w:sz w:val="19"/>
        </w:rPr>
      </w:pPr>
    </w:p>
    <w:p>
      <w:pPr>
        <w:spacing w:before="0"/>
        <w:ind w:left="4322" w:right="17" w:firstLine="0"/>
        <w:jc w:val="center"/>
        <w:rPr>
          <w:sz w:val="16"/>
        </w:rPr>
      </w:pPr>
      <w:r>
        <w:rPr/>
        <w:drawing>
          <wp:anchor distT="0" distB="0" distL="0" distR="0" allowOverlap="1" layoutInCell="1" locked="0" behindDoc="0" simplePos="0" relativeHeight="15136">
            <wp:simplePos x="0" y="0"/>
            <wp:positionH relativeFrom="page">
              <wp:posOffset>854963</wp:posOffset>
            </wp:positionH>
            <wp:positionV relativeFrom="paragraph">
              <wp:posOffset>9507</wp:posOffset>
            </wp:positionV>
            <wp:extent cx="2133600" cy="1330452"/>
            <wp:effectExtent l="0" t="0" r="0" b="0"/>
            <wp:wrapNone/>
            <wp:docPr id="631" name="image374.jpeg" descr=""/>
            <wp:cNvGraphicFramePr>
              <a:graphicFrameLocks noChangeAspect="1"/>
            </wp:cNvGraphicFramePr>
            <a:graphic>
              <a:graphicData uri="http://schemas.openxmlformats.org/drawingml/2006/picture">
                <pic:pic>
                  <pic:nvPicPr>
                    <pic:cNvPr id="632" name="image374.jpeg"/>
                    <pic:cNvPicPr/>
                  </pic:nvPicPr>
                  <pic:blipFill>
                    <a:blip r:embed="rId612" cstate="print"/>
                    <a:stretch>
                      <a:fillRect/>
                    </a:stretch>
                  </pic:blipFill>
                  <pic:spPr>
                    <a:xfrm>
                      <a:off x="0" y="0"/>
                      <a:ext cx="2133600" cy="1330452"/>
                    </a:xfrm>
                    <a:prstGeom prst="rect">
                      <a:avLst/>
                    </a:prstGeom>
                  </pic:spPr>
                </pic:pic>
              </a:graphicData>
            </a:graphic>
          </wp:anchor>
        </w:drawing>
      </w:r>
      <w:r>
        <w:rPr>
          <w:sz w:val="16"/>
        </w:rPr>
        <w:t>Figure 1. CMV</w:t>
      </w:r>
    </w:p>
    <w:p>
      <w:pPr>
        <w:spacing w:before="0"/>
        <w:ind w:left="4322" w:right="17" w:firstLine="0"/>
        <w:jc w:val="center"/>
        <w:rPr>
          <w:sz w:val="16"/>
        </w:rPr>
      </w:pPr>
      <w:r>
        <w:rPr>
          <w:sz w:val="16"/>
        </w:rPr>
        <w:t>infected lung pneumocyte. Reference of University of Salamanca, Spain.</w:t>
      </w:r>
    </w:p>
    <w:p>
      <w:pPr>
        <w:spacing w:before="79"/>
        <w:ind w:left="1046" w:right="702" w:firstLine="0"/>
        <w:jc w:val="left"/>
        <w:rPr>
          <w:sz w:val="16"/>
        </w:rPr>
      </w:pPr>
      <w:r>
        <w:rPr/>
        <w:br w:type="column"/>
      </w:r>
      <w:hyperlink r:id="rId613">
        <w:r>
          <w:rPr>
            <w:color w:val="0000FF"/>
            <w:sz w:val="16"/>
            <w:u w:val="single" w:color="0000FF"/>
          </w:rPr>
          <w:t>http://dicciomed.eusal.es/imagenes/citomegalovirus</w:t>
        </w:r>
      </w:hyperlink>
    </w:p>
    <w:p>
      <w:pPr>
        <w:pStyle w:val="BodyText"/>
        <w:spacing w:before="1"/>
      </w:pPr>
    </w:p>
    <w:p>
      <w:pPr>
        <w:pStyle w:val="BodyText"/>
        <w:ind w:left="270" w:right="673"/>
        <w:jc w:val="both"/>
      </w:pPr>
      <w:r>
        <w:rPr/>
        <w:t>Cells are infected by this microorganism because the cytoskeleton is weak, and transmission of CMV occurs from person to person and affects individuals of any age,  although its spread is more common during childhood, adolescence and youth. Infection requires close and direct contact with body fluids of an infected person; for example, saliva, blood, urine, semen and milk [13]. It can also be transmitted through organ transplants. Transmission is easy to prevent, because it is usually transmitted through bodily fluids upon contact with hands and then with the nose and mouth. Simple hand washing with soap and water is effective in removing the virus from the</w:t>
      </w:r>
      <w:r>
        <w:rPr>
          <w:spacing w:val="-19"/>
        </w:rPr>
        <w:t> </w:t>
      </w:r>
      <w:r>
        <w:rPr/>
        <w:t>hands.</w:t>
      </w:r>
    </w:p>
    <w:p>
      <w:pPr>
        <w:pStyle w:val="BodyText"/>
        <w:spacing w:before="2"/>
        <w:rPr>
          <w:sz w:val="16"/>
        </w:rPr>
      </w:pPr>
    </w:p>
    <w:p>
      <w:pPr>
        <w:pStyle w:val="Heading4"/>
        <w:numPr>
          <w:ilvl w:val="1"/>
          <w:numId w:val="127"/>
        </w:numPr>
        <w:tabs>
          <w:tab w:pos="572" w:val="left" w:leader="none"/>
        </w:tabs>
        <w:spacing w:line="228" w:lineRule="exact" w:before="0" w:after="0"/>
        <w:ind w:left="571" w:right="0" w:hanging="301"/>
        <w:jc w:val="both"/>
      </w:pPr>
      <w:r>
        <w:rPr/>
        <w:t>Objectives of the</w:t>
      </w:r>
      <w:r>
        <w:rPr>
          <w:spacing w:val="-9"/>
        </w:rPr>
        <w:t> </w:t>
      </w:r>
      <w:r>
        <w:rPr/>
        <w:t>study</w:t>
      </w:r>
    </w:p>
    <w:p>
      <w:pPr>
        <w:pStyle w:val="BodyText"/>
        <w:ind w:left="270" w:right="676"/>
        <w:jc w:val="both"/>
      </w:pPr>
      <w:r>
        <w:rPr/>
        <w:t>Evaluate the causes of fatigue and CFS in indoors of three companies of the electronics industry, with the evaluation of the environmental and climate factors and a microanalysis  of the presence of microorganisms in three companies of the electronics industry of Mexicali city, which worries to the government health institutions, and industries of this type and other industrial plants</w:t>
      </w:r>
      <w:r>
        <w:rPr>
          <w:spacing w:val="-11"/>
        </w:rPr>
        <w:t> </w:t>
      </w:r>
      <w:r>
        <w:rPr/>
        <w:t>[2].</w:t>
      </w:r>
    </w:p>
    <w:p>
      <w:pPr>
        <w:pStyle w:val="BodyText"/>
        <w:spacing w:before="3"/>
      </w:pPr>
    </w:p>
    <w:p>
      <w:pPr>
        <w:pStyle w:val="Heading4"/>
        <w:numPr>
          <w:ilvl w:val="1"/>
          <w:numId w:val="127"/>
        </w:numPr>
        <w:tabs>
          <w:tab w:pos="571" w:val="left" w:leader="none"/>
        </w:tabs>
        <w:spacing w:line="228" w:lineRule="exact" w:before="0" w:after="0"/>
        <w:ind w:left="570" w:right="0" w:hanging="300"/>
        <w:jc w:val="both"/>
      </w:pPr>
      <w:r>
        <w:rPr/>
        <w:t>Delimitation</w:t>
      </w:r>
    </w:p>
    <w:p>
      <w:pPr>
        <w:pStyle w:val="BodyText"/>
        <w:ind w:left="270" w:right="675"/>
        <w:jc w:val="both"/>
      </w:pPr>
      <w:r>
        <w:rPr/>
        <w:t>The research was conducted only with personnel involved in areas of the three companies engaged in activities which are considered the presence of microorganisms, near areas of accumulated water and unventilated, especially in periods of the year with relative humidity levels (HR) greater  than 80%, being the period of winter with the highest incidence  of RH with 80%</w:t>
      </w:r>
      <w:r>
        <w:rPr>
          <w:spacing w:val="-10"/>
        </w:rPr>
        <w:t> </w:t>
      </w:r>
      <w:r>
        <w:rPr/>
        <w:t>[5].</w:t>
      </w:r>
    </w:p>
    <w:p>
      <w:pPr>
        <w:pStyle w:val="BodyText"/>
        <w:spacing w:before="2"/>
      </w:pPr>
    </w:p>
    <w:p>
      <w:pPr>
        <w:pStyle w:val="Heading4"/>
        <w:numPr>
          <w:ilvl w:val="0"/>
          <w:numId w:val="127"/>
        </w:numPr>
        <w:tabs>
          <w:tab w:pos="471" w:val="left" w:leader="none"/>
        </w:tabs>
        <w:spacing w:line="229" w:lineRule="exact" w:before="0" w:after="0"/>
        <w:ind w:left="470" w:right="0" w:hanging="200"/>
        <w:jc w:val="both"/>
      </w:pPr>
      <w:r>
        <w:rPr/>
        <w:t>METHODOLOGY</w:t>
      </w:r>
    </w:p>
    <w:p>
      <w:pPr>
        <w:pStyle w:val="BodyText"/>
        <w:spacing w:line="237" w:lineRule="auto" w:before="1"/>
        <w:ind w:left="270" w:right="676"/>
        <w:jc w:val="both"/>
      </w:pPr>
      <w:r>
        <w:rPr/>
        <w:t>One of the air pollutants that are a factor in generating microorganisms that originates an adverse effect to the human health in indoor environments of the electronic industry is sulfur dioxide (SO</w:t>
      </w:r>
      <w:r>
        <w:rPr>
          <w:position w:val="-2"/>
          <w:sz w:val="13"/>
        </w:rPr>
        <w:t>2</w:t>
      </w:r>
      <w:r>
        <w:rPr/>
        <w:t>). This chemical comes mainly from Central Cerro Prieto Geothermal established in the Mexicali Valley about 20 km from the city, industrial plants and vehicular traffic in this city where there are on average one vehicle for every three people. This factor together with levels of relative humidity (RH) and temperature greater than 80% and 35 ° C in summer and times of greater than 80% and close to 0 ° C in winter, which are typical in Mexicali, are an aspect determining the presence of microorganisms that enter the human body and can cause a biochemical alteration in it. According to the increasing cases of fatigue and CFS sporadically, and the presence of SO</w:t>
      </w:r>
      <w:r>
        <w:rPr>
          <w:position w:val="-2"/>
          <w:sz w:val="13"/>
        </w:rPr>
        <w:t>2 </w:t>
      </w:r>
      <w:r>
        <w:rPr/>
        <w:t>that exceeds in the winter period the air quality standards (AQS) [2], four stages of the research are presented. This was, to evaluate with basic mathematical techniques with the Excel, and in all phases of the study  were evaluated by monthly, quarterly, weekly and annual periods as are mentioned</w:t>
      </w:r>
      <w:r>
        <w:rPr>
          <w:spacing w:val="-11"/>
        </w:rPr>
        <w:t> </w:t>
      </w:r>
      <w:r>
        <w:rPr/>
        <w:t>next:</w:t>
      </w:r>
    </w:p>
    <w:p>
      <w:pPr>
        <w:pStyle w:val="BodyText"/>
      </w:pPr>
    </w:p>
    <w:p>
      <w:pPr>
        <w:pStyle w:val="BodyText"/>
      </w:pPr>
    </w:p>
    <w:p>
      <w:pPr>
        <w:pStyle w:val="ListParagraph"/>
        <w:numPr>
          <w:ilvl w:val="0"/>
          <w:numId w:val="128"/>
        </w:numPr>
        <w:tabs>
          <w:tab w:pos="477" w:val="left" w:leader="none"/>
        </w:tabs>
        <w:spacing w:line="240" w:lineRule="auto" w:before="0" w:after="0"/>
        <w:ind w:left="270" w:right="0" w:firstLine="0"/>
        <w:jc w:val="both"/>
        <w:rPr>
          <w:sz w:val="20"/>
        </w:rPr>
      </w:pPr>
      <w:r>
        <w:rPr>
          <w:sz w:val="20"/>
          <w:u w:val="single"/>
        </w:rPr>
        <w:t>Analysis of fatigue and</w:t>
      </w:r>
      <w:r>
        <w:rPr>
          <w:spacing w:val="-8"/>
          <w:sz w:val="20"/>
          <w:u w:val="single"/>
        </w:rPr>
        <w:t> </w:t>
      </w:r>
      <w:r>
        <w:rPr>
          <w:sz w:val="20"/>
          <w:u w:val="single"/>
        </w:rPr>
        <w:t>CFS.</w:t>
      </w:r>
    </w:p>
    <w:p>
      <w:pPr>
        <w:spacing w:after="0" w:line="240" w:lineRule="auto"/>
        <w:jc w:val="both"/>
        <w:rPr>
          <w:sz w:val="20"/>
        </w:rPr>
        <w:sectPr>
          <w:type w:val="continuous"/>
          <w:pgSz w:w="12240" w:h="15840"/>
          <w:pgMar w:top="1500" w:bottom="280" w:left="580" w:right="220"/>
          <w:cols w:num="2" w:equalWidth="0">
            <w:col w:w="5190" w:space="434"/>
            <w:col w:w="5816"/>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4"/>
        <w:ind w:left="270" w:right="1"/>
        <w:jc w:val="both"/>
      </w:pPr>
      <w:r>
        <w:rPr/>
        <w:t>Were evaluated cases of labor fatigue and CFS, in according to the age, anthropometric measurements and time of exposure to the areas of greatest risk of transmission of microorganisms.</w:t>
      </w:r>
    </w:p>
    <w:p>
      <w:pPr>
        <w:pStyle w:val="BodyText"/>
        <w:spacing w:before="11"/>
        <w:rPr>
          <w:sz w:val="19"/>
        </w:rPr>
      </w:pPr>
    </w:p>
    <w:p>
      <w:pPr>
        <w:pStyle w:val="ListParagraph"/>
        <w:numPr>
          <w:ilvl w:val="0"/>
          <w:numId w:val="128"/>
        </w:numPr>
        <w:tabs>
          <w:tab w:pos="529" w:val="left" w:leader="none"/>
        </w:tabs>
        <w:spacing w:line="240" w:lineRule="auto" w:before="0" w:after="0"/>
        <w:ind w:left="270" w:right="0" w:firstLine="0"/>
        <w:jc w:val="both"/>
        <w:rPr>
          <w:sz w:val="20"/>
        </w:rPr>
      </w:pPr>
      <w:r>
        <w:rPr>
          <w:sz w:val="20"/>
          <w:u w:val="single"/>
        </w:rPr>
        <w:t>Evaluation of the environment with the Sulfation Plate </w:t>
      </w:r>
      <w:r>
        <w:rPr>
          <w:sz w:val="20"/>
          <w:u w:val="single"/>
        </w:rPr>
        <w:t>Technique (SPT). </w:t>
      </w:r>
      <w:r>
        <w:rPr>
          <w:sz w:val="20"/>
        </w:rPr>
        <w:t>It was carried out to determine the concentration levels (CL) of sulfides in indoors of the industrial plants, and was correlated with the fatigue and chronic fatigue syndrome (CFS) cases. This technique was from the ASTM G91-97</w:t>
      </w:r>
      <w:r>
        <w:rPr>
          <w:spacing w:val="-8"/>
          <w:sz w:val="20"/>
        </w:rPr>
        <w:t> </w:t>
      </w:r>
      <w:r>
        <w:rPr>
          <w:sz w:val="20"/>
        </w:rPr>
        <w:t>[14].</w:t>
      </w:r>
    </w:p>
    <w:p>
      <w:pPr>
        <w:pStyle w:val="BodyText"/>
        <w:spacing w:before="11"/>
        <w:rPr>
          <w:sz w:val="19"/>
        </w:rPr>
      </w:pPr>
    </w:p>
    <w:p>
      <w:pPr>
        <w:pStyle w:val="ListParagraph"/>
        <w:numPr>
          <w:ilvl w:val="0"/>
          <w:numId w:val="129"/>
        </w:numPr>
        <w:tabs>
          <w:tab w:pos="611" w:val="left" w:leader="none"/>
        </w:tabs>
        <w:spacing w:line="240" w:lineRule="auto" w:before="0" w:after="0"/>
        <w:ind w:left="270" w:right="1" w:firstLine="0"/>
        <w:jc w:val="both"/>
        <w:rPr>
          <w:sz w:val="20"/>
        </w:rPr>
      </w:pPr>
      <w:r>
        <w:rPr>
          <w:sz w:val="20"/>
          <w:u w:val="single"/>
        </w:rPr>
        <w:t>Climate Variation Analysis. </w:t>
      </w:r>
      <w:r>
        <w:rPr>
          <w:sz w:val="20"/>
        </w:rPr>
        <w:t>Climate is an important factor in the generation of the condensation phenomena, which causes the accumulation of water in some areas of indoor of industrial plants. This was to determine the levels of relative humidity and temperature, and correlating them with levels of sulfides obtained by the technique of</w:t>
      </w:r>
      <w:r>
        <w:rPr>
          <w:spacing w:val="-23"/>
          <w:sz w:val="20"/>
        </w:rPr>
        <w:t> </w:t>
      </w:r>
      <w:r>
        <w:rPr>
          <w:sz w:val="20"/>
        </w:rPr>
        <w:t>SPT.</w:t>
      </w:r>
    </w:p>
    <w:p>
      <w:pPr>
        <w:pStyle w:val="BodyText"/>
        <w:spacing w:before="11"/>
        <w:rPr>
          <w:sz w:val="19"/>
        </w:rPr>
      </w:pPr>
    </w:p>
    <w:p>
      <w:pPr>
        <w:pStyle w:val="ListParagraph"/>
        <w:numPr>
          <w:ilvl w:val="0"/>
          <w:numId w:val="129"/>
        </w:numPr>
        <w:tabs>
          <w:tab w:pos="653" w:val="left" w:leader="none"/>
        </w:tabs>
        <w:spacing w:line="240" w:lineRule="auto" w:before="0" w:after="0"/>
        <w:ind w:left="270" w:right="0" w:firstLine="0"/>
        <w:jc w:val="both"/>
        <w:rPr>
          <w:sz w:val="20"/>
        </w:rPr>
      </w:pPr>
      <w:r>
        <w:rPr>
          <w:sz w:val="20"/>
          <w:u w:val="single"/>
        </w:rPr>
        <w:t>Microanalysis using Scanning Electron Microscopy </w:t>
      </w:r>
      <w:r>
        <w:rPr>
          <w:sz w:val="20"/>
          <w:u w:val="single"/>
        </w:rPr>
        <w:t>(SEM). </w:t>
      </w:r>
      <w:r>
        <w:rPr>
          <w:sz w:val="20"/>
        </w:rPr>
        <w:t>This was made to determine the presence of microorganisms in dust or zones with water accumulated and correlated with the cases of fatigue and</w:t>
      </w:r>
      <w:r>
        <w:rPr>
          <w:spacing w:val="-26"/>
          <w:sz w:val="20"/>
        </w:rPr>
        <w:t> </w:t>
      </w:r>
      <w:r>
        <w:rPr>
          <w:sz w:val="20"/>
        </w:rPr>
        <w:t>CFS.</w:t>
      </w:r>
    </w:p>
    <w:p>
      <w:pPr>
        <w:pStyle w:val="BodyText"/>
        <w:spacing w:before="2"/>
      </w:pPr>
    </w:p>
    <w:p>
      <w:pPr>
        <w:pStyle w:val="Heading4"/>
        <w:numPr>
          <w:ilvl w:val="0"/>
          <w:numId w:val="127"/>
        </w:numPr>
        <w:tabs>
          <w:tab w:pos="472" w:val="left" w:leader="none"/>
        </w:tabs>
        <w:spacing w:line="229" w:lineRule="exact" w:before="0" w:after="0"/>
        <w:ind w:left="471" w:right="0" w:hanging="201"/>
        <w:jc w:val="both"/>
      </w:pPr>
      <w:r>
        <w:rPr/>
        <w:t>RESULTS</w:t>
      </w:r>
    </w:p>
    <w:p>
      <w:pPr>
        <w:pStyle w:val="BodyText"/>
        <w:ind w:left="270"/>
        <w:jc w:val="both"/>
      </w:pPr>
      <w:r>
        <w:rPr/>
        <w:t>The presence of dirty areas in the electronics industry, essentially in the storage are of raw materials and finished products, in the months of the summer and winter evaluated, occur a condensation processes. This climatic phenomena is very important in the formation of water drops or water films at naked eye, and is a factor to promote the formation of microorganisms in the mentioned zones and also in dirty bathrooms in sometimes of the labor activities. This forms a contagious area in the periods evaluated, even if authorities of the company evaluated mention that this industrial plant is very clean. Some inspections made in this company showed the dirty zones by the finite dust and air pollutants as  derivate of sulfurs, that generates aggressive environments and promote the microbiological contamination. This generates microorganisms. One aspect that was observed in the industry where the study was conducted, is that some people, spat in the bathrooms or outside them or spat  between among workers by bad habits of conduct, workers that may have the CMV and infect other persons. In addition, other workers suffered some accident where blood flow is generated by a machine and sometimes the blood left in the same machines, are added to arms and hands to other workers as mechanics of machines, without proper hygiene, were infected with the blood of his companions who suffering any accident. This actions can be a factor of the generation of labor fatigue and in a drastic symptom the presence of</w:t>
      </w:r>
      <w:r>
        <w:rPr>
          <w:spacing w:val="-11"/>
        </w:rPr>
        <w:t> </w:t>
      </w:r>
      <w:r>
        <w:rPr/>
        <w:t>CFS.</w:t>
      </w:r>
    </w:p>
    <w:p>
      <w:pPr>
        <w:pStyle w:val="BodyText"/>
        <w:spacing w:before="2"/>
      </w:pPr>
    </w:p>
    <w:p>
      <w:pPr>
        <w:pStyle w:val="Heading4"/>
        <w:numPr>
          <w:ilvl w:val="1"/>
          <w:numId w:val="127"/>
        </w:numPr>
        <w:tabs>
          <w:tab w:pos="601" w:val="left" w:leader="none"/>
        </w:tabs>
        <w:spacing w:line="240" w:lineRule="auto" w:before="0" w:after="0"/>
        <w:ind w:left="270" w:right="0" w:firstLine="0"/>
        <w:jc w:val="both"/>
      </w:pPr>
      <w:r>
        <w:rPr/>
        <w:t>Evaluation of cases of labor fatigue and CFS in the electronics</w:t>
      </w:r>
      <w:r>
        <w:rPr>
          <w:spacing w:val="-3"/>
        </w:rPr>
        <w:t> </w:t>
      </w:r>
      <w:r>
        <w:rPr/>
        <w:t>industry</w:t>
      </w:r>
    </w:p>
    <w:p>
      <w:pPr>
        <w:pStyle w:val="BodyText"/>
        <w:ind w:left="270"/>
        <w:jc w:val="both"/>
      </w:pPr>
      <w:r>
        <w:rPr/>
        <w:t>The presence of cases of the labor and chronic diseases respect to the fatigue symptoms were observed in the summer and winter periods. This was an important aspect </w:t>
      </w:r>
      <w:r>
        <w:rPr>
          <w:spacing w:val="25"/>
        </w:rPr>
        <w:t> </w:t>
      </w:r>
      <w:r>
        <w:rPr/>
        <w:t>in</w:t>
      </w:r>
    </w:p>
    <w:p>
      <w:pPr>
        <w:pStyle w:val="BodyText"/>
        <w:spacing w:before="74"/>
        <w:ind w:left="270" w:right="677"/>
        <w:jc w:val="both"/>
      </w:pPr>
      <w:r>
        <w:rPr/>
        <w:br w:type="column"/>
      </w:r>
      <w:r>
        <w:rPr/>
        <w:t>the study, because, in some cases the doctor of the company evaluated considered that is necessary only the rest to recover the health. But in other cases, the presence of microorganisms in some organs of bodies of workers of this industry analyzed, was significant to complicate the health and can died by the CFS. The table 1 shows the cases in the periods of evaluation consider only the summer and winter seasons.</w:t>
      </w:r>
    </w:p>
    <w:p>
      <w:pPr>
        <w:pStyle w:val="BodyText"/>
        <w:spacing w:before="10"/>
        <w:rPr>
          <w:sz w:val="15"/>
        </w:rPr>
      </w:pPr>
    </w:p>
    <w:p>
      <w:pPr>
        <w:spacing w:before="0"/>
        <w:ind w:left="469" w:right="1647" w:firstLine="0"/>
        <w:jc w:val="left"/>
        <w:rPr>
          <w:sz w:val="16"/>
        </w:rPr>
      </w:pPr>
      <w:r>
        <w:rPr/>
        <w:pict>
          <v:shape style="position:absolute;margin-left:323.519989pt;margin-top:18.628572pt;width:212.25pt;height:48.5pt;mso-position-horizontal-relative:page;mso-position-vertical-relative:paragraph;z-index:1516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10"/>
                    <w:gridCol w:w="900"/>
                    <w:gridCol w:w="810"/>
                    <w:gridCol w:w="900"/>
                    <w:gridCol w:w="810"/>
                  </w:tblGrid>
                  <w:tr>
                    <w:trPr>
                      <w:trHeight w:val="193" w:hRule="exact"/>
                    </w:trPr>
                    <w:tc>
                      <w:tcPr>
                        <w:tcW w:w="810" w:type="dxa"/>
                      </w:tcPr>
                      <w:p>
                        <w:pPr>
                          <w:pStyle w:val="TableParagraph"/>
                          <w:spacing w:line="183" w:lineRule="exact"/>
                          <w:ind w:left="103"/>
                          <w:rPr>
                            <w:b/>
                            <w:sz w:val="16"/>
                          </w:rPr>
                        </w:pPr>
                        <w:r>
                          <w:rPr>
                            <w:b/>
                            <w:sz w:val="16"/>
                          </w:rPr>
                          <w:t>YEAR</w:t>
                        </w:r>
                      </w:p>
                    </w:tc>
                    <w:tc>
                      <w:tcPr>
                        <w:tcW w:w="1710" w:type="dxa"/>
                        <w:gridSpan w:val="2"/>
                      </w:tcPr>
                      <w:p>
                        <w:pPr>
                          <w:pStyle w:val="TableParagraph"/>
                          <w:spacing w:line="183" w:lineRule="exact"/>
                          <w:ind w:left="670" w:right="668"/>
                          <w:jc w:val="center"/>
                          <w:rPr>
                            <w:b/>
                            <w:sz w:val="16"/>
                          </w:rPr>
                        </w:pPr>
                        <w:r>
                          <w:rPr>
                            <w:b/>
                            <w:sz w:val="16"/>
                          </w:rPr>
                          <w:t>2013</w:t>
                        </w:r>
                      </w:p>
                    </w:tc>
                    <w:tc>
                      <w:tcPr>
                        <w:tcW w:w="1710" w:type="dxa"/>
                        <w:gridSpan w:val="2"/>
                      </w:tcPr>
                      <w:p>
                        <w:pPr>
                          <w:pStyle w:val="TableParagraph"/>
                          <w:spacing w:line="183" w:lineRule="exact"/>
                          <w:ind w:left="670" w:right="669"/>
                          <w:jc w:val="center"/>
                          <w:rPr>
                            <w:b/>
                            <w:sz w:val="16"/>
                          </w:rPr>
                        </w:pPr>
                        <w:r>
                          <w:rPr>
                            <w:b/>
                            <w:sz w:val="16"/>
                          </w:rPr>
                          <w:t>2014</w:t>
                        </w:r>
                      </w:p>
                    </w:tc>
                  </w:tr>
                  <w:tr>
                    <w:trPr>
                      <w:trHeight w:val="194" w:hRule="exact"/>
                    </w:trPr>
                    <w:tc>
                      <w:tcPr>
                        <w:tcW w:w="810" w:type="dxa"/>
                      </w:tcPr>
                      <w:p>
                        <w:pPr>
                          <w:pStyle w:val="TableParagraph"/>
                          <w:ind w:left="103"/>
                          <w:rPr>
                            <w:b/>
                            <w:sz w:val="16"/>
                          </w:rPr>
                        </w:pPr>
                        <w:r>
                          <w:rPr>
                            <w:b/>
                            <w:sz w:val="16"/>
                          </w:rPr>
                          <w:t>CASES</w:t>
                        </w:r>
                      </w:p>
                    </w:tc>
                    <w:tc>
                      <w:tcPr>
                        <w:tcW w:w="900" w:type="dxa"/>
                      </w:tcPr>
                      <w:p>
                        <w:pPr>
                          <w:pStyle w:val="TableParagraph"/>
                          <w:spacing w:line="185" w:lineRule="exact"/>
                          <w:ind w:left="106" w:right="107"/>
                          <w:jc w:val="center"/>
                          <w:rPr>
                            <w:b/>
                            <w:sz w:val="16"/>
                          </w:rPr>
                        </w:pPr>
                        <w:r>
                          <w:rPr>
                            <w:b/>
                            <w:position w:val="7"/>
                            <w:sz w:val="10"/>
                          </w:rPr>
                          <w:t>1</w:t>
                        </w:r>
                        <w:r>
                          <w:rPr>
                            <w:b/>
                            <w:sz w:val="16"/>
                          </w:rPr>
                          <w:t>Summer</w:t>
                        </w:r>
                      </w:p>
                    </w:tc>
                    <w:tc>
                      <w:tcPr>
                        <w:tcW w:w="810" w:type="dxa"/>
                      </w:tcPr>
                      <w:p>
                        <w:pPr>
                          <w:pStyle w:val="TableParagraph"/>
                          <w:spacing w:line="185" w:lineRule="exact"/>
                          <w:ind w:left="110" w:right="111"/>
                          <w:jc w:val="center"/>
                          <w:rPr>
                            <w:b/>
                            <w:sz w:val="16"/>
                          </w:rPr>
                        </w:pPr>
                        <w:r>
                          <w:rPr>
                            <w:b/>
                            <w:position w:val="7"/>
                            <w:sz w:val="10"/>
                          </w:rPr>
                          <w:t>1</w:t>
                        </w:r>
                        <w:r>
                          <w:rPr>
                            <w:b/>
                            <w:sz w:val="16"/>
                          </w:rPr>
                          <w:t>Winter</w:t>
                        </w:r>
                      </w:p>
                    </w:tc>
                    <w:tc>
                      <w:tcPr>
                        <w:tcW w:w="900" w:type="dxa"/>
                      </w:tcPr>
                      <w:p>
                        <w:pPr>
                          <w:pStyle w:val="TableParagraph"/>
                          <w:spacing w:line="185" w:lineRule="exact"/>
                          <w:ind w:left="106" w:right="107"/>
                          <w:jc w:val="center"/>
                          <w:rPr>
                            <w:b/>
                            <w:sz w:val="16"/>
                          </w:rPr>
                        </w:pPr>
                        <w:r>
                          <w:rPr>
                            <w:b/>
                            <w:position w:val="7"/>
                            <w:sz w:val="10"/>
                          </w:rPr>
                          <w:t>2</w:t>
                        </w:r>
                        <w:r>
                          <w:rPr>
                            <w:b/>
                            <w:sz w:val="16"/>
                          </w:rPr>
                          <w:t>Summer</w:t>
                        </w:r>
                      </w:p>
                    </w:tc>
                    <w:tc>
                      <w:tcPr>
                        <w:tcW w:w="810" w:type="dxa"/>
                      </w:tcPr>
                      <w:p>
                        <w:pPr>
                          <w:pStyle w:val="TableParagraph"/>
                          <w:spacing w:line="185" w:lineRule="exact"/>
                          <w:ind w:left="110" w:right="111"/>
                          <w:jc w:val="center"/>
                          <w:rPr>
                            <w:b/>
                            <w:sz w:val="16"/>
                          </w:rPr>
                        </w:pPr>
                        <w:r>
                          <w:rPr>
                            <w:b/>
                            <w:position w:val="7"/>
                            <w:sz w:val="10"/>
                          </w:rPr>
                          <w:t>2</w:t>
                        </w:r>
                        <w:r>
                          <w:rPr>
                            <w:b/>
                            <w:sz w:val="16"/>
                          </w:rPr>
                          <w:t>Winter</w:t>
                        </w:r>
                      </w:p>
                    </w:tc>
                  </w:tr>
                  <w:tr>
                    <w:trPr>
                      <w:trHeight w:val="378" w:hRule="exact"/>
                    </w:trPr>
                    <w:tc>
                      <w:tcPr>
                        <w:tcW w:w="810" w:type="dxa"/>
                      </w:tcPr>
                      <w:p>
                        <w:pPr>
                          <w:pStyle w:val="TableParagraph"/>
                          <w:ind w:left="103"/>
                          <w:rPr>
                            <w:b/>
                            <w:sz w:val="16"/>
                          </w:rPr>
                        </w:pPr>
                        <w:r>
                          <w:rPr>
                            <w:b/>
                            <w:sz w:val="16"/>
                          </w:rPr>
                          <w:t>Labor </w:t>
                        </w:r>
                        <w:r>
                          <w:rPr>
                            <w:b/>
                            <w:w w:val="95"/>
                            <w:sz w:val="16"/>
                          </w:rPr>
                          <w:t>Fatigue</w:t>
                        </w:r>
                      </w:p>
                    </w:tc>
                    <w:tc>
                      <w:tcPr>
                        <w:tcW w:w="900" w:type="dxa"/>
                      </w:tcPr>
                      <w:p>
                        <w:pPr>
                          <w:pStyle w:val="TableParagraph"/>
                          <w:spacing w:line="180" w:lineRule="exact"/>
                          <w:ind w:left="106" w:right="106"/>
                          <w:jc w:val="center"/>
                          <w:rPr>
                            <w:sz w:val="16"/>
                          </w:rPr>
                        </w:pPr>
                        <w:r>
                          <w:rPr>
                            <w:sz w:val="16"/>
                          </w:rPr>
                          <w:t>28</w:t>
                        </w:r>
                      </w:p>
                    </w:tc>
                    <w:tc>
                      <w:tcPr>
                        <w:tcW w:w="810" w:type="dxa"/>
                      </w:tcPr>
                      <w:p>
                        <w:pPr>
                          <w:pStyle w:val="TableParagraph"/>
                          <w:spacing w:line="180" w:lineRule="exact"/>
                          <w:ind w:left="110" w:right="109"/>
                          <w:jc w:val="center"/>
                          <w:rPr>
                            <w:sz w:val="16"/>
                          </w:rPr>
                        </w:pPr>
                        <w:r>
                          <w:rPr>
                            <w:sz w:val="16"/>
                          </w:rPr>
                          <w:t>34</w:t>
                        </w:r>
                      </w:p>
                    </w:tc>
                    <w:tc>
                      <w:tcPr>
                        <w:tcW w:w="900" w:type="dxa"/>
                      </w:tcPr>
                      <w:p>
                        <w:pPr>
                          <w:pStyle w:val="TableParagraph"/>
                          <w:spacing w:line="180" w:lineRule="exact"/>
                          <w:ind w:left="106" w:right="106"/>
                          <w:jc w:val="center"/>
                          <w:rPr>
                            <w:sz w:val="16"/>
                          </w:rPr>
                        </w:pPr>
                        <w:r>
                          <w:rPr>
                            <w:sz w:val="16"/>
                          </w:rPr>
                          <w:t>32</w:t>
                        </w:r>
                      </w:p>
                    </w:tc>
                    <w:tc>
                      <w:tcPr>
                        <w:tcW w:w="810" w:type="dxa"/>
                      </w:tcPr>
                      <w:p>
                        <w:pPr>
                          <w:pStyle w:val="TableParagraph"/>
                          <w:spacing w:line="180" w:lineRule="exact"/>
                          <w:ind w:left="110" w:right="109"/>
                          <w:jc w:val="center"/>
                          <w:rPr>
                            <w:sz w:val="16"/>
                          </w:rPr>
                        </w:pPr>
                        <w:r>
                          <w:rPr>
                            <w:sz w:val="16"/>
                          </w:rPr>
                          <w:t>37</w:t>
                        </w:r>
                      </w:p>
                    </w:tc>
                  </w:tr>
                  <w:tr>
                    <w:trPr>
                      <w:trHeight w:val="194" w:hRule="exact"/>
                    </w:trPr>
                    <w:tc>
                      <w:tcPr>
                        <w:tcW w:w="810" w:type="dxa"/>
                      </w:tcPr>
                      <w:p>
                        <w:pPr>
                          <w:pStyle w:val="TableParagraph"/>
                          <w:spacing w:line="183" w:lineRule="exact"/>
                          <w:ind w:left="103"/>
                          <w:rPr>
                            <w:b/>
                            <w:sz w:val="16"/>
                          </w:rPr>
                        </w:pPr>
                        <w:r>
                          <w:rPr>
                            <w:b/>
                            <w:sz w:val="16"/>
                          </w:rPr>
                          <w:t>CFS*</w:t>
                        </w:r>
                      </w:p>
                    </w:tc>
                    <w:tc>
                      <w:tcPr>
                        <w:tcW w:w="900" w:type="dxa"/>
                      </w:tcPr>
                      <w:p>
                        <w:pPr>
                          <w:pStyle w:val="TableParagraph"/>
                          <w:spacing w:line="180" w:lineRule="exact"/>
                          <w:ind w:right="1"/>
                          <w:jc w:val="center"/>
                          <w:rPr>
                            <w:sz w:val="16"/>
                          </w:rPr>
                        </w:pPr>
                        <w:r>
                          <w:rPr>
                            <w:w w:val="99"/>
                            <w:sz w:val="16"/>
                          </w:rPr>
                          <w:t>2</w:t>
                        </w:r>
                      </w:p>
                    </w:tc>
                    <w:tc>
                      <w:tcPr>
                        <w:tcW w:w="810" w:type="dxa"/>
                      </w:tcPr>
                      <w:p>
                        <w:pPr>
                          <w:pStyle w:val="TableParagraph"/>
                          <w:spacing w:line="180" w:lineRule="exact"/>
                          <w:jc w:val="center"/>
                          <w:rPr>
                            <w:sz w:val="16"/>
                          </w:rPr>
                        </w:pPr>
                        <w:r>
                          <w:rPr>
                            <w:w w:val="99"/>
                            <w:sz w:val="16"/>
                          </w:rPr>
                          <w:t>3</w:t>
                        </w:r>
                      </w:p>
                    </w:tc>
                    <w:tc>
                      <w:tcPr>
                        <w:tcW w:w="900" w:type="dxa"/>
                      </w:tcPr>
                      <w:p>
                        <w:pPr>
                          <w:pStyle w:val="TableParagraph"/>
                          <w:spacing w:line="180" w:lineRule="exact"/>
                          <w:ind w:right="1"/>
                          <w:jc w:val="center"/>
                          <w:rPr>
                            <w:sz w:val="16"/>
                          </w:rPr>
                        </w:pPr>
                        <w:r>
                          <w:rPr>
                            <w:w w:val="99"/>
                            <w:sz w:val="16"/>
                          </w:rPr>
                          <w:t>3</w:t>
                        </w:r>
                      </w:p>
                    </w:tc>
                    <w:tc>
                      <w:tcPr>
                        <w:tcW w:w="810" w:type="dxa"/>
                      </w:tcPr>
                      <w:p>
                        <w:pPr>
                          <w:pStyle w:val="TableParagraph"/>
                          <w:spacing w:line="180" w:lineRule="exact"/>
                          <w:jc w:val="center"/>
                          <w:rPr>
                            <w:sz w:val="16"/>
                          </w:rPr>
                        </w:pPr>
                        <w:r>
                          <w:rPr>
                            <w:w w:val="99"/>
                            <w:sz w:val="16"/>
                          </w:rPr>
                          <w:t>4</w:t>
                        </w:r>
                      </w:p>
                    </w:tc>
                  </w:tr>
                </w:tbl>
                <w:p>
                  <w:pPr>
                    <w:pStyle w:val="BodyText"/>
                  </w:pPr>
                </w:p>
              </w:txbxContent>
            </v:textbox>
            <w10:wrap type="none"/>
          </v:shape>
        </w:pict>
      </w:r>
      <w:r>
        <w:rPr>
          <w:sz w:val="16"/>
        </w:rPr>
        <w:t>Table 1. Average of cases of labor fatigue and CFS in the Electronic industry of Mexicali (2013-2014).</w:t>
      </w:r>
    </w:p>
    <w:p>
      <w:pPr>
        <w:pStyle w:val="BodyText"/>
        <w:rPr>
          <w:sz w:val="16"/>
        </w:rPr>
      </w:pPr>
    </w:p>
    <w:p>
      <w:pPr>
        <w:pStyle w:val="BodyText"/>
        <w:rPr>
          <w:sz w:val="16"/>
        </w:rPr>
      </w:pPr>
    </w:p>
    <w:p>
      <w:pPr>
        <w:pStyle w:val="BodyText"/>
        <w:rPr>
          <w:sz w:val="16"/>
        </w:rPr>
      </w:pPr>
    </w:p>
    <w:p>
      <w:pPr>
        <w:pStyle w:val="BodyText"/>
        <w:rPr>
          <w:sz w:val="16"/>
        </w:rPr>
      </w:pPr>
    </w:p>
    <w:p>
      <w:pPr>
        <w:pStyle w:val="BodyText"/>
      </w:pPr>
    </w:p>
    <w:p>
      <w:pPr>
        <w:spacing w:line="223" w:lineRule="auto" w:before="1"/>
        <w:ind w:left="310" w:right="1396" w:hanging="40"/>
        <w:jc w:val="left"/>
        <w:rPr>
          <w:sz w:val="16"/>
        </w:rPr>
      </w:pPr>
      <w:r>
        <w:rPr>
          <w:position w:val="7"/>
          <w:sz w:val="10"/>
        </w:rPr>
        <w:t>1</w:t>
      </w:r>
      <w:r>
        <w:rPr>
          <w:sz w:val="16"/>
        </w:rPr>
        <w:t>Summer (June, July, August of 2013), </w:t>
      </w:r>
      <w:r>
        <w:rPr>
          <w:position w:val="7"/>
          <w:sz w:val="10"/>
        </w:rPr>
        <w:t>1</w:t>
      </w:r>
      <w:r>
        <w:rPr>
          <w:sz w:val="16"/>
        </w:rPr>
        <w:t>Winter (December of 2013 and January and February of 2014); </w:t>
      </w:r>
      <w:r>
        <w:rPr>
          <w:position w:val="7"/>
          <w:sz w:val="10"/>
        </w:rPr>
        <w:t>2</w:t>
      </w:r>
      <w:r>
        <w:rPr>
          <w:sz w:val="16"/>
        </w:rPr>
        <w:t>Summer</w:t>
      </w:r>
      <w:r>
        <w:rPr>
          <w:position w:val="7"/>
          <w:sz w:val="10"/>
        </w:rPr>
        <w:t>2 </w:t>
      </w:r>
      <w:r>
        <w:rPr>
          <w:sz w:val="16"/>
        </w:rPr>
        <w:t>(June, July, August of 2014), </w:t>
      </w:r>
      <w:r>
        <w:rPr>
          <w:position w:val="7"/>
          <w:sz w:val="10"/>
        </w:rPr>
        <w:t>2</w:t>
      </w:r>
      <w:r>
        <w:rPr>
          <w:sz w:val="16"/>
        </w:rPr>
        <w:t>Winter (December of 2014)</w:t>
      </w:r>
    </w:p>
    <w:p>
      <w:pPr>
        <w:spacing w:before="2"/>
        <w:ind w:left="310" w:right="1663" w:firstLine="0"/>
        <w:jc w:val="left"/>
        <w:rPr>
          <w:sz w:val="16"/>
        </w:rPr>
      </w:pPr>
      <w:r>
        <w:rPr>
          <w:sz w:val="16"/>
        </w:rPr>
        <w:t>*CFS*. Cases of this symptom, and related with respiratory Diseases and diabetes; principally.</w:t>
      </w:r>
    </w:p>
    <w:p>
      <w:pPr>
        <w:pStyle w:val="BodyText"/>
        <w:spacing w:before="1"/>
      </w:pPr>
    </w:p>
    <w:p>
      <w:pPr>
        <w:pStyle w:val="BodyText"/>
        <w:ind w:left="270" w:right="676"/>
        <w:jc w:val="both"/>
      </w:pPr>
      <w:r>
        <w:rPr/>
        <w:t>Table 1 indicates the workers affected in summer of 2013 in the months mentioned with 28 cases and 34 in the winter season. The major cases in the winter period represents is by the presence of air pollution principally chemical agents of sulfurs and finite dust in the environment. This  was important because these agents penetrated to indoor of bathrooms and storage room to the company evaluated and generate aggressive environments that complicated the health of the workers of the industry analyzed. The cases of summer and winter of 2014 were 32 and 37, respectively. CFS were 2 and 3 in the summer and winter of 2013 and 3 and 4 in the same seasons of 2014.</w:t>
      </w:r>
    </w:p>
    <w:p>
      <w:pPr>
        <w:pStyle w:val="BodyText"/>
        <w:spacing w:before="3"/>
      </w:pPr>
    </w:p>
    <w:p>
      <w:pPr>
        <w:pStyle w:val="Heading4"/>
        <w:numPr>
          <w:ilvl w:val="1"/>
          <w:numId w:val="127"/>
        </w:numPr>
        <w:tabs>
          <w:tab w:pos="572" w:val="left" w:leader="none"/>
        </w:tabs>
        <w:spacing w:line="228" w:lineRule="exact" w:before="0" w:after="0"/>
        <w:ind w:left="571" w:right="0" w:hanging="301"/>
        <w:jc w:val="both"/>
      </w:pPr>
      <w:r>
        <w:rPr/>
        <w:t>SPT technique</w:t>
      </w:r>
      <w:r>
        <w:rPr>
          <w:spacing w:val="-10"/>
        </w:rPr>
        <w:t> </w:t>
      </w:r>
      <w:r>
        <w:rPr/>
        <w:t>analysis</w:t>
      </w:r>
    </w:p>
    <w:p>
      <w:pPr>
        <w:pStyle w:val="BodyText"/>
        <w:ind w:left="270" w:right="675"/>
        <w:jc w:val="both"/>
      </w:pPr>
      <w:r>
        <w:rPr/>
        <w:t>The principal chemical agent considered as air pollutant evaluated in this study was the derived from sulfurs,  because is a chemical agent with the major presence in the Mexicali city. This pollutant is emitted by  the  traffic vehicle, industries. The most important source is from the Cerro Prieto Geothermic Industry, which supply to Mexicali city and their valley in Baja California State, San Luis city and their valley in the Sonora State and small cities of California, United States of America (USA) as Calexico, El Centro y Heber. This forms principally in the winter season, a film in the atmosphere at certain height, near of the soil surface, for the greenhouse debit to the climatic factors. These concentrations of sulfurs return to the soil surface and have a negative effect in the health of people, induces to generates aggressive environments in indoor of the company evaluated and essentially in the metallic materials. The CL of this pollutant was showed in table 2, in the four bathrooms (ladies and men), and in the storage room. For determinate the CL of sulfurs was used the SPT from the ASTM</w:t>
      </w:r>
      <w:r>
        <w:rPr>
          <w:spacing w:val="-6"/>
        </w:rPr>
        <w:t> </w:t>
      </w:r>
      <w:r>
        <w:rPr/>
        <w:t>G91-97.</w:t>
      </w:r>
    </w:p>
    <w:p>
      <w:pPr>
        <w:pStyle w:val="BodyText"/>
        <w:spacing w:before="10"/>
        <w:rPr>
          <w:sz w:val="15"/>
        </w:rPr>
      </w:pPr>
    </w:p>
    <w:p>
      <w:pPr>
        <w:spacing w:before="0"/>
        <w:ind w:left="466" w:right="677" w:firstLine="0"/>
        <w:jc w:val="both"/>
        <w:rPr>
          <w:sz w:val="16"/>
        </w:rPr>
      </w:pPr>
      <w:r>
        <w:rPr/>
        <w:pict>
          <v:shape style="position:absolute;margin-left:314.519989pt;margin-top:27.808731pt;width:221.25pt;height:10.2pt;mso-position-horizontal-relative:page;mso-position-vertical-relative:paragraph;z-index:15184"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90"/>
                    <w:gridCol w:w="1710"/>
                    <w:gridCol w:w="1710"/>
                  </w:tblGrid>
                  <w:tr>
                    <w:trPr>
                      <w:trHeight w:val="194" w:hRule="exact"/>
                    </w:trPr>
                    <w:tc>
                      <w:tcPr>
                        <w:tcW w:w="990" w:type="dxa"/>
                      </w:tcPr>
                      <w:p>
                        <w:pPr>
                          <w:pStyle w:val="TableParagraph"/>
                          <w:spacing w:line="183" w:lineRule="exact"/>
                          <w:ind w:left="103"/>
                          <w:rPr>
                            <w:b/>
                            <w:sz w:val="16"/>
                          </w:rPr>
                        </w:pPr>
                        <w:r>
                          <w:rPr>
                            <w:b/>
                            <w:sz w:val="16"/>
                          </w:rPr>
                          <w:t>YEAR</w:t>
                        </w:r>
                      </w:p>
                    </w:tc>
                    <w:tc>
                      <w:tcPr>
                        <w:tcW w:w="1710" w:type="dxa"/>
                      </w:tcPr>
                      <w:p>
                        <w:pPr>
                          <w:pStyle w:val="TableParagraph"/>
                          <w:spacing w:line="183" w:lineRule="exact"/>
                          <w:ind w:left="670" w:right="668"/>
                          <w:jc w:val="center"/>
                          <w:rPr>
                            <w:b/>
                            <w:sz w:val="16"/>
                          </w:rPr>
                        </w:pPr>
                        <w:r>
                          <w:rPr>
                            <w:b/>
                            <w:sz w:val="16"/>
                          </w:rPr>
                          <w:t>2013</w:t>
                        </w:r>
                      </w:p>
                    </w:tc>
                    <w:tc>
                      <w:tcPr>
                        <w:tcW w:w="1710" w:type="dxa"/>
                      </w:tcPr>
                      <w:p>
                        <w:pPr>
                          <w:pStyle w:val="TableParagraph"/>
                          <w:spacing w:line="183" w:lineRule="exact"/>
                          <w:ind w:left="670" w:right="669"/>
                          <w:jc w:val="center"/>
                          <w:rPr>
                            <w:b/>
                            <w:sz w:val="16"/>
                          </w:rPr>
                        </w:pPr>
                        <w:r>
                          <w:rPr>
                            <w:b/>
                            <w:sz w:val="16"/>
                          </w:rPr>
                          <w:t>2014</w:t>
                        </w:r>
                      </w:p>
                    </w:tc>
                  </w:tr>
                </w:tbl>
                <w:p>
                  <w:pPr>
                    <w:pStyle w:val="BodyText"/>
                  </w:pPr>
                </w:p>
              </w:txbxContent>
            </v:textbox>
            <w10:wrap type="none"/>
          </v:shape>
        </w:pict>
      </w:r>
      <w:r>
        <w:rPr>
          <w:sz w:val="16"/>
        </w:rPr>
        <w:t>Table 2. Concentration levels of sulfur dioxides in indoor of bathrooms and storage of materials and fabricated products of an electronic  industry of Mexicali</w:t>
      </w:r>
      <w:r>
        <w:rPr>
          <w:spacing w:val="-13"/>
          <w:sz w:val="16"/>
        </w:rPr>
        <w:t> </w:t>
      </w:r>
      <w:r>
        <w:rPr>
          <w:sz w:val="16"/>
        </w:rPr>
        <w:t>(2013-2014).</w:t>
      </w:r>
    </w:p>
    <w:p>
      <w:pPr>
        <w:spacing w:after="0"/>
        <w:jc w:val="both"/>
        <w:rPr>
          <w:sz w:val="16"/>
        </w:rPr>
        <w:sectPr>
          <w:type w:val="continuous"/>
          <w:pgSz w:w="12240" w:h="15840"/>
          <w:pgMar w:top="1500" w:bottom="280" w:left="580" w:right="220"/>
          <w:cols w:num="2" w:equalWidth="0">
            <w:col w:w="5190" w:space="435"/>
            <w:col w:w="5815"/>
          </w:cols>
        </w:sectPr>
      </w:pPr>
    </w:p>
    <w:p>
      <w:pPr>
        <w:pStyle w:val="BodyText"/>
      </w:pPr>
    </w:p>
    <w:p>
      <w:pPr>
        <w:spacing w:after="0"/>
        <w:sectPr>
          <w:pgSz w:w="12240" w:h="15840"/>
          <w:pgMar w:header="545" w:footer="852" w:top="1060" w:bottom="1040" w:left="560" w:right="220"/>
        </w:sectPr>
      </w:pPr>
    </w:p>
    <w:p>
      <w:pPr>
        <w:pStyle w:val="BodyText"/>
        <w:rPr>
          <w:sz w:val="18"/>
        </w:rPr>
      </w:pPr>
    </w:p>
    <w:p>
      <w:pPr>
        <w:pStyle w:val="BodyText"/>
        <w:rPr>
          <w:sz w:val="18"/>
        </w:rPr>
      </w:pPr>
    </w:p>
    <w:p>
      <w:pPr>
        <w:spacing w:line="223" w:lineRule="auto" w:before="148"/>
        <w:ind w:left="290" w:right="771" w:firstLine="0"/>
        <w:jc w:val="left"/>
        <w:rPr>
          <w:sz w:val="16"/>
        </w:rPr>
      </w:pPr>
      <w:r>
        <w:rPr/>
        <w:pict>
          <v:shape style="position:absolute;margin-left:33.299999pt;margin-top:-21.794821pt;width:221.25pt;height:29.6pt;mso-position-horizontal-relative:page;mso-position-vertical-relative:paragraph;z-index:15256"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90"/>
                    <w:gridCol w:w="900"/>
                    <w:gridCol w:w="810"/>
                    <w:gridCol w:w="900"/>
                    <w:gridCol w:w="810"/>
                  </w:tblGrid>
                  <w:tr>
                    <w:trPr>
                      <w:trHeight w:val="193" w:hRule="exact"/>
                    </w:trPr>
                    <w:tc>
                      <w:tcPr>
                        <w:tcW w:w="990" w:type="dxa"/>
                      </w:tcPr>
                      <w:p>
                        <w:pPr>
                          <w:pStyle w:val="TableParagraph"/>
                          <w:spacing w:line="183" w:lineRule="exact"/>
                          <w:ind w:left="103"/>
                          <w:rPr>
                            <w:b/>
                            <w:sz w:val="16"/>
                          </w:rPr>
                        </w:pPr>
                        <w:r>
                          <w:rPr>
                            <w:b/>
                            <w:sz w:val="16"/>
                          </w:rPr>
                          <w:t>AREAS</w:t>
                        </w:r>
                      </w:p>
                    </w:tc>
                    <w:tc>
                      <w:tcPr>
                        <w:tcW w:w="900" w:type="dxa"/>
                      </w:tcPr>
                      <w:p>
                        <w:pPr>
                          <w:pStyle w:val="TableParagraph"/>
                          <w:spacing w:line="183" w:lineRule="exact"/>
                          <w:ind w:left="106" w:right="107"/>
                          <w:jc w:val="center"/>
                          <w:rPr>
                            <w:b/>
                            <w:sz w:val="16"/>
                          </w:rPr>
                        </w:pPr>
                        <w:r>
                          <w:rPr>
                            <w:b/>
                            <w:position w:val="7"/>
                            <w:sz w:val="10"/>
                          </w:rPr>
                          <w:t>1</w:t>
                        </w:r>
                        <w:r>
                          <w:rPr>
                            <w:b/>
                            <w:sz w:val="16"/>
                          </w:rPr>
                          <w:t>Summer</w:t>
                        </w:r>
                      </w:p>
                    </w:tc>
                    <w:tc>
                      <w:tcPr>
                        <w:tcW w:w="810" w:type="dxa"/>
                      </w:tcPr>
                      <w:p>
                        <w:pPr>
                          <w:pStyle w:val="TableParagraph"/>
                          <w:spacing w:line="183" w:lineRule="exact"/>
                          <w:ind w:left="110" w:right="111"/>
                          <w:jc w:val="center"/>
                          <w:rPr>
                            <w:b/>
                            <w:sz w:val="16"/>
                          </w:rPr>
                        </w:pPr>
                        <w:r>
                          <w:rPr>
                            <w:b/>
                            <w:position w:val="7"/>
                            <w:sz w:val="10"/>
                          </w:rPr>
                          <w:t>1</w:t>
                        </w:r>
                        <w:r>
                          <w:rPr>
                            <w:b/>
                            <w:sz w:val="16"/>
                          </w:rPr>
                          <w:t>Winter</w:t>
                        </w:r>
                      </w:p>
                    </w:tc>
                    <w:tc>
                      <w:tcPr>
                        <w:tcW w:w="900" w:type="dxa"/>
                      </w:tcPr>
                      <w:p>
                        <w:pPr>
                          <w:pStyle w:val="TableParagraph"/>
                          <w:spacing w:line="183" w:lineRule="exact"/>
                          <w:ind w:left="106" w:right="107"/>
                          <w:jc w:val="center"/>
                          <w:rPr>
                            <w:b/>
                            <w:sz w:val="16"/>
                          </w:rPr>
                        </w:pPr>
                        <w:r>
                          <w:rPr>
                            <w:b/>
                            <w:position w:val="7"/>
                            <w:sz w:val="10"/>
                          </w:rPr>
                          <w:t>2</w:t>
                        </w:r>
                        <w:r>
                          <w:rPr>
                            <w:b/>
                            <w:sz w:val="16"/>
                          </w:rPr>
                          <w:t>Summer</w:t>
                        </w:r>
                      </w:p>
                    </w:tc>
                    <w:tc>
                      <w:tcPr>
                        <w:tcW w:w="810" w:type="dxa"/>
                      </w:tcPr>
                      <w:p>
                        <w:pPr>
                          <w:pStyle w:val="TableParagraph"/>
                          <w:spacing w:line="183" w:lineRule="exact"/>
                          <w:ind w:left="110" w:right="111"/>
                          <w:jc w:val="center"/>
                          <w:rPr>
                            <w:b/>
                            <w:sz w:val="16"/>
                          </w:rPr>
                        </w:pPr>
                        <w:r>
                          <w:rPr>
                            <w:b/>
                            <w:position w:val="7"/>
                            <w:sz w:val="10"/>
                          </w:rPr>
                          <w:t>2</w:t>
                        </w:r>
                        <w:r>
                          <w:rPr>
                            <w:b/>
                            <w:sz w:val="16"/>
                          </w:rPr>
                          <w:t>Winter</w:t>
                        </w:r>
                      </w:p>
                    </w:tc>
                  </w:tr>
                  <w:tr>
                    <w:trPr>
                      <w:trHeight w:val="194" w:hRule="exact"/>
                    </w:trPr>
                    <w:tc>
                      <w:tcPr>
                        <w:tcW w:w="990" w:type="dxa"/>
                      </w:tcPr>
                      <w:p>
                        <w:pPr>
                          <w:pStyle w:val="TableParagraph"/>
                          <w:ind w:left="103"/>
                          <w:rPr>
                            <w:b/>
                            <w:sz w:val="16"/>
                          </w:rPr>
                        </w:pPr>
                        <w:r>
                          <w:rPr>
                            <w:b/>
                            <w:sz w:val="16"/>
                          </w:rPr>
                          <w:t>Bathrooms</w:t>
                        </w:r>
                      </w:p>
                    </w:tc>
                    <w:tc>
                      <w:tcPr>
                        <w:tcW w:w="900" w:type="dxa"/>
                      </w:tcPr>
                      <w:p>
                        <w:pPr>
                          <w:pStyle w:val="TableParagraph"/>
                          <w:spacing w:line="181" w:lineRule="exact"/>
                          <w:ind w:left="106" w:right="106"/>
                          <w:jc w:val="center"/>
                          <w:rPr>
                            <w:sz w:val="16"/>
                          </w:rPr>
                        </w:pPr>
                        <w:r>
                          <w:rPr>
                            <w:sz w:val="16"/>
                          </w:rPr>
                          <w:t>0.16</w:t>
                        </w:r>
                      </w:p>
                    </w:tc>
                    <w:tc>
                      <w:tcPr>
                        <w:tcW w:w="810" w:type="dxa"/>
                      </w:tcPr>
                      <w:p>
                        <w:pPr>
                          <w:pStyle w:val="TableParagraph"/>
                          <w:spacing w:line="181" w:lineRule="exact"/>
                          <w:ind w:left="110" w:right="109"/>
                          <w:jc w:val="center"/>
                          <w:rPr>
                            <w:sz w:val="16"/>
                          </w:rPr>
                        </w:pPr>
                        <w:r>
                          <w:rPr>
                            <w:sz w:val="16"/>
                          </w:rPr>
                          <w:t>0.22</w:t>
                        </w:r>
                      </w:p>
                    </w:tc>
                    <w:tc>
                      <w:tcPr>
                        <w:tcW w:w="900" w:type="dxa"/>
                      </w:tcPr>
                      <w:p>
                        <w:pPr>
                          <w:pStyle w:val="TableParagraph"/>
                          <w:spacing w:line="181" w:lineRule="exact"/>
                          <w:ind w:left="106" w:right="106"/>
                          <w:jc w:val="center"/>
                          <w:rPr>
                            <w:sz w:val="16"/>
                          </w:rPr>
                        </w:pPr>
                        <w:r>
                          <w:rPr>
                            <w:sz w:val="16"/>
                          </w:rPr>
                          <w:t>0.21</w:t>
                        </w:r>
                      </w:p>
                    </w:tc>
                    <w:tc>
                      <w:tcPr>
                        <w:tcW w:w="810" w:type="dxa"/>
                      </w:tcPr>
                      <w:p>
                        <w:pPr>
                          <w:pStyle w:val="TableParagraph"/>
                          <w:spacing w:line="181" w:lineRule="exact"/>
                          <w:ind w:left="110" w:right="109"/>
                          <w:jc w:val="center"/>
                          <w:rPr>
                            <w:sz w:val="16"/>
                          </w:rPr>
                        </w:pPr>
                        <w:r>
                          <w:rPr>
                            <w:sz w:val="16"/>
                          </w:rPr>
                          <w:t>0.29</w:t>
                        </w:r>
                      </w:p>
                    </w:tc>
                  </w:tr>
                  <w:tr>
                    <w:trPr>
                      <w:trHeight w:val="194" w:hRule="exact"/>
                    </w:trPr>
                    <w:tc>
                      <w:tcPr>
                        <w:tcW w:w="990" w:type="dxa"/>
                      </w:tcPr>
                      <w:p>
                        <w:pPr>
                          <w:pStyle w:val="TableParagraph"/>
                          <w:spacing w:line="183" w:lineRule="exact"/>
                          <w:ind w:left="103"/>
                          <w:rPr>
                            <w:b/>
                            <w:sz w:val="16"/>
                          </w:rPr>
                        </w:pPr>
                        <w:r>
                          <w:rPr>
                            <w:b/>
                            <w:sz w:val="16"/>
                          </w:rPr>
                          <w:t>Storages</w:t>
                        </w:r>
                      </w:p>
                    </w:tc>
                    <w:tc>
                      <w:tcPr>
                        <w:tcW w:w="900" w:type="dxa"/>
                      </w:tcPr>
                      <w:p>
                        <w:pPr>
                          <w:pStyle w:val="TableParagraph"/>
                          <w:spacing w:line="180" w:lineRule="exact"/>
                          <w:ind w:left="106" w:right="106"/>
                          <w:jc w:val="center"/>
                          <w:rPr>
                            <w:sz w:val="16"/>
                          </w:rPr>
                        </w:pPr>
                        <w:r>
                          <w:rPr>
                            <w:sz w:val="16"/>
                          </w:rPr>
                          <w:t>0.15</w:t>
                        </w:r>
                      </w:p>
                    </w:tc>
                    <w:tc>
                      <w:tcPr>
                        <w:tcW w:w="810" w:type="dxa"/>
                      </w:tcPr>
                      <w:p>
                        <w:pPr>
                          <w:pStyle w:val="TableParagraph"/>
                          <w:spacing w:line="180" w:lineRule="exact"/>
                          <w:ind w:left="110" w:right="109"/>
                          <w:jc w:val="center"/>
                          <w:rPr>
                            <w:sz w:val="16"/>
                          </w:rPr>
                        </w:pPr>
                        <w:r>
                          <w:rPr>
                            <w:sz w:val="16"/>
                          </w:rPr>
                          <w:t>0.28</w:t>
                        </w:r>
                      </w:p>
                    </w:tc>
                    <w:tc>
                      <w:tcPr>
                        <w:tcW w:w="900" w:type="dxa"/>
                      </w:tcPr>
                      <w:p>
                        <w:pPr>
                          <w:pStyle w:val="TableParagraph"/>
                          <w:spacing w:line="180" w:lineRule="exact"/>
                          <w:ind w:left="106" w:right="106"/>
                          <w:jc w:val="center"/>
                          <w:rPr>
                            <w:sz w:val="16"/>
                          </w:rPr>
                        </w:pPr>
                        <w:r>
                          <w:rPr>
                            <w:sz w:val="16"/>
                          </w:rPr>
                          <w:t>0.19</w:t>
                        </w:r>
                      </w:p>
                    </w:tc>
                    <w:tc>
                      <w:tcPr>
                        <w:tcW w:w="810" w:type="dxa"/>
                      </w:tcPr>
                      <w:p>
                        <w:pPr>
                          <w:pStyle w:val="TableParagraph"/>
                          <w:spacing w:line="180" w:lineRule="exact"/>
                          <w:ind w:left="110" w:right="109"/>
                          <w:jc w:val="center"/>
                          <w:rPr>
                            <w:sz w:val="16"/>
                          </w:rPr>
                        </w:pPr>
                        <w:r>
                          <w:rPr>
                            <w:sz w:val="16"/>
                          </w:rPr>
                          <w:t>0.32</w:t>
                        </w:r>
                      </w:p>
                    </w:tc>
                  </w:tr>
                </w:tbl>
                <w:p>
                  <w:pPr>
                    <w:pStyle w:val="BodyText"/>
                  </w:pPr>
                </w:p>
              </w:txbxContent>
            </v:textbox>
            <w10:wrap type="none"/>
          </v:shape>
        </w:pict>
      </w:r>
      <w:r>
        <w:rPr>
          <w:position w:val="7"/>
          <w:sz w:val="10"/>
        </w:rPr>
        <w:t>1</w:t>
      </w:r>
      <w:r>
        <w:rPr>
          <w:sz w:val="16"/>
        </w:rPr>
        <w:t>Summer (June, July, August of 2013), </w:t>
      </w:r>
      <w:r>
        <w:rPr>
          <w:position w:val="7"/>
          <w:sz w:val="10"/>
        </w:rPr>
        <w:t>1</w:t>
      </w:r>
      <w:r>
        <w:rPr>
          <w:sz w:val="16"/>
        </w:rPr>
        <w:t>Winter (December of 2013 and January and February of 2014); </w:t>
      </w:r>
      <w:r>
        <w:rPr>
          <w:position w:val="7"/>
          <w:sz w:val="10"/>
        </w:rPr>
        <w:t>2</w:t>
      </w:r>
      <w:r>
        <w:rPr>
          <w:sz w:val="16"/>
        </w:rPr>
        <w:t>Summer</w:t>
      </w:r>
      <w:r>
        <w:rPr>
          <w:position w:val="7"/>
          <w:sz w:val="10"/>
        </w:rPr>
        <w:t>2 </w:t>
      </w:r>
      <w:r>
        <w:rPr>
          <w:sz w:val="16"/>
        </w:rPr>
        <w:t>(June, July, August of 2014), </w:t>
      </w:r>
      <w:r>
        <w:rPr>
          <w:position w:val="7"/>
          <w:sz w:val="10"/>
        </w:rPr>
        <w:t>2</w:t>
      </w:r>
      <w:r>
        <w:rPr>
          <w:sz w:val="16"/>
        </w:rPr>
        <w:t>Winter (December of 2014).</w:t>
      </w:r>
    </w:p>
    <w:p>
      <w:pPr>
        <w:spacing w:line="187" w:lineRule="exact" w:before="2"/>
        <w:ind w:left="290" w:right="0" w:firstLine="0"/>
        <w:jc w:val="both"/>
        <w:rPr>
          <w:sz w:val="16"/>
        </w:rPr>
      </w:pPr>
      <w:r>
        <w:rPr>
          <w:sz w:val="16"/>
        </w:rPr>
        <w:t>* Sulfur dioxide Concentration Levels of SO</w:t>
      </w:r>
      <w:r>
        <w:rPr>
          <w:position w:val="-1"/>
          <w:sz w:val="10"/>
        </w:rPr>
        <w:t>2 </w:t>
      </w:r>
      <w:r>
        <w:rPr>
          <w:sz w:val="16"/>
        </w:rPr>
        <w:t>(ppm).</w:t>
      </w:r>
    </w:p>
    <w:p>
      <w:pPr>
        <w:spacing w:line="232" w:lineRule="auto" w:before="0"/>
        <w:ind w:left="290" w:right="0" w:firstLine="0"/>
        <w:jc w:val="both"/>
        <w:rPr>
          <w:sz w:val="16"/>
        </w:rPr>
      </w:pPr>
      <w:r>
        <w:rPr>
          <w:sz w:val="16"/>
        </w:rPr>
        <w:t>EPA Standards of SO</w:t>
      </w:r>
      <w:r>
        <w:rPr>
          <w:position w:val="-1"/>
          <w:sz w:val="10"/>
        </w:rPr>
        <w:t>2 </w:t>
      </w:r>
      <w:r>
        <w:rPr>
          <w:sz w:val="16"/>
        </w:rPr>
        <w:t>(0.14ppm at day; 0.5ppm every three hours; 0.03  ppm at</w:t>
      </w:r>
      <w:r>
        <w:rPr>
          <w:spacing w:val="-4"/>
          <w:sz w:val="16"/>
        </w:rPr>
        <w:t> </w:t>
      </w:r>
      <w:r>
        <w:rPr>
          <w:sz w:val="16"/>
        </w:rPr>
        <w:t>year).</w:t>
      </w:r>
    </w:p>
    <w:p>
      <w:pPr>
        <w:pStyle w:val="BodyText"/>
        <w:spacing w:before="2"/>
      </w:pPr>
    </w:p>
    <w:p>
      <w:pPr>
        <w:pStyle w:val="BodyText"/>
        <w:ind w:left="290"/>
        <w:jc w:val="both"/>
      </w:pPr>
      <w:r>
        <w:rPr/>
        <w:t>Table 2 represents the CL of summer and winter in 2013 and 2014. In the summer of 2013, the indices of pollution of sulfurs was 0.13 ppm (parts per million), and in the winter of 2013 was 0.22 ppm. In summer of 2014 was 0.18 ppm and in winter was 0.29 ppm. In the majorly of examinations, the CL of sulfurs were higher than the Air Quality Standards (AQS) at day. These standards were proposed by the Secretaria de Medio Ambiente y Recursos Naturales (SEMARNAT- México) and the Environmental Protection Agency (EPA- USA) after some studies. This generates the microorganisms in the indoor of the company evaluated principally in the dirty zones or in the spaces where some people spat and shed blood by accidents in frequently places visited as the bathrooms and storage areas. For these reasons, other  persons was infected when they touch these places. The presence of the microorganisms affected to healthy and non- healthy people to provoke the CFS,</w:t>
      </w:r>
      <w:r>
        <w:rPr>
          <w:spacing w:val="-26"/>
        </w:rPr>
        <w:t> </w:t>
      </w:r>
      <w:r>
        <w:rPr/>
        <w:t>principally.</w:t>
      </w:r>
    </w:p>
    <w:p>
      <w:pPr>
        <w:pStyle w:val="BodyText"/>
      </w:pPr>
    </w:p>
    <w:p>
      <w:pPr>
        <w:pStyle w:val="BodyText"/>
      </w:pPr>
    </w:p>
    <w:p>
      <w:pPr>
        <w:pStyle w:val="BodyText"/>
        <w:spacing w:before="2"/>
      </w:pPr>
    </w:p>
    <w:p>
      <w:pPr>
        <w:pStyle w:val="Heading4"/>
        <w:numPr>
          <w:ilvl w:val="1"/>
          <w:numId w:val="127"/>
        </w:numPr>
        <w:tabs>
          <w:tab w:pos="592" w:val="left" w:leader="none"/>
        </w:tabs>
        <w:spacing w:line="228" w:lineRule="exact" w:before="1" w:after="0"/>
        <w:ind w:left="591" w:right="0" w:hanging="301"/>
        <w:jc w:val="both"/>
      </w:pPr>
      <w:r>
        <w:rPr/>
        <w:t>Evaluation of climatic</w:t>
      </w:r>
      <w:r>
        <w:rPr>
          <w:spacing w:val="-12"/>
        </w:rPr>
        <w:t> </w:t>
      </w:r>
      <w:r>
        <w:rPr/>
        <w:t>factors</w:t>
      </w:r>
    </w:p>
    <w:p>
      <w:pPr>
        <w:pStyle w:val="BodyText"/>
        <w:ind w:left="290" w:right="1"/>
        <w:jc w:val="both"/>
      </w:pPr>
      <w:r>
        <w:rPr/>
        <w:t>Climatic factors were a significant factor in the generation of the microorganisms and in the incidence of the CFS. This was because in the seasons with RH and temperature higher than 80% and 30 °C, in the periods evaluated, are formed the condensation phenomena and this originated thin films in metallic, plastic or wood areas of the bathrooms and storage rooms. For this reason, were generated and propagated the microorganisms and have a negative effect in the health of workers of the industry analyzed. The climatic factors are represented in table 3.</w:t>
      </w:r>
    </w:p>
    <w:p>
      <w:pPr>
        <w:pStyle w:val="BodyText"/>
        <w:spacing w:before="10"/>
        <w:rPr>
          <w:sz w:val="19"/>
        </w:rPr>
      </w:pPr>
    </w:p>
    <w:p>
      <w:pPr>
        <w:spacing w:before="0"/>
        <w:ind w:left="290" w:right="1" w:firstLine="0"/>
        <w:jc w:val="both"/>
        <w:rPr>
          <w:sz w:val="16"/>
        </w:rPr>
      </w:pPr>
      <w:r>
        <w:rPr/>
        <w:pict>
          <v:shape style="position:absolute;margin-left:33.299999pt;margin-top:27.808739pt;width:221.25pt;height:57.75pt;mso-position-horizontal-relative:page;mso-position-vertical-relative:paragraph;z-index:1528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90"/>
                    <w:gridCol w:w="900"/>
                    <w:gridCol w:w="810"/>
                    <w:gridCol w:w="900"/>
                    <w:gridCol w:w="810"/>
                  </w:tblGrid>
                  <w:tr>
                    <w:trPr>
                      <w:trHeight w:val="194" w:hRule="exact"/>
                    </w:trPr>
                    <w:tc>
                      <w:tcPr>
                        <w:tcW w:w="990" w:type="dxa"/>
                      </w:tcPr>
                      <w:p>
                        <w:pPr>
                          <w:pStyle w:val="TableParagraph"/>
                          <w:ind w:left="103"/>
                          <w:rPr>
                            <w:b/>
                            <w:sz w:val="16"/>
                          </w:rPr>
                        </w:pPr>
                        <w:r>
                          <w:rPr>
                            <w:b/>
                            <w:sz w:val="16"/>
                          </w:rPr>
                          <w:t>YEAR</w:t>
                        </w:r>
                      </w:p>
                    </w:tc>
                    <w:tc>
                      <w:tcPr>
                        <w:tcW w:w="1710" w:type="dxa"/>
                        <w:gridSpan w:val="2"/>
                      </w:tcPr>
                      <w:p>
                        <w:pPr>
                          <w:pStyle w:val="TableParagraph"/>
                          <w:ind w:left="670" w:right="668"/>
                          <w:jc w:val="center"/>
                          <w:rPr>
                            <w:b/>
                            <w:sz w:val="16"/>
                          </w:rPr>
                        </w:pPr>
                        <w:r>
                          <w:rPr>
                            <w:b/>
                            <w:sz w:val="16"/>
                          </w:rPr>
                          <w:t>2013</w:t>
                        </w:r>
                      </w:p>
                    </w:tc>
                    <w:tc>
                      <w:tcPr>
                        <w:tcW w:w="1710" w:type="dxa"/>
                        <w:gridSpan w:val="2"/>
                      </w:tcPr>
                      <w:p>
                        <w:pPr>
                          <w:pStyle w:val="TableParagraph"/>
                          <w:ind w:left="670" w:right="669"/>
                          <w:jc w:val="center"/>
                          <w:rPr>
                            <w:b/>
                            <w:sz w:val="16"/>
                          </w:rPr>
                        </w:pPr>
                        <w:r>
                          <w:rPr>
                            <w:b/>
                            <w:sz w:val="16"/>
                          </w:rPr>
                          <w:t>2014</w:t>
                        </w:r>
                      </w:p>
                    </w:tc>
                  </w:tr>
                  <w:tr>
                    <w:trPr>
                      <w:trHeight w:val="194" w:hRule="exact"/>
                    </w:trPr>
                    <w:tc>
                      <w:tcPr>
                        <w:tcW w:w="990" w:type="dxa"/>
                      </w:tcPr>
                      <w:p>
                        <w:pPr>
                          <w:pStyle w:val="TableParagraph"/>
                          <w:spacing w:line="183" w:lineRule="exact"/>
                          <w:ind w:left="103"/>
                          <w:rPr>
                            <w:b/>
                            <w:sz w:val="16"/>
                          </w:rPr>
                        </w:pPr>
                        <w:r>
                          <w:rPr>
                            <w:b/>
                            <w:sz w:val="16"/>
                          </w:rPr>
                          <w:t>AREAS</w:t>
                        </w:r>
                      </w:p>
                    </w:tc>
                    <w:tc>
                      <w:tcPr>
                        <w:tcW w:w="900" w:type="dxa"/>
                      </w:tcPr>
                      <w:p>
                        <w:pPr>
                          <w:pStyle w:val="TableParagraph"/>
                          <w:spacing w:line="183" w:lineRule="exact"/>
                          <w:ind w:left="127"/>
                          <w:rPr>
                            <w:b/>
                            <w:sz w:val="16"/>
                          </w:rPr>
                        </w:pPr>
                        <w:r>
                          <w:rPr>
                            <w:b/>
                            <w:position w:val="7"/>
                            <w:sz w:val="10"/>
                          </w:rPr>
                          <w:t>1</w:t>
                        </w:r>
                        <w:r>
                          <w:rPr>
                            <w:b/>
                            <w:sz w:val="16"/>
                          </w:rPr>
                          <w:t>Summer</w:t>
                        </w:r>
                      </w:p>
                    </w:tc>
                    <w:tc>
                      <w:tcPr>
                        <w:tcW w:w="810" w:type="dxa"/>
                      </w:tcPr>
                      <w:p>
                        <w:pPr>
                          <w:pStyle w:val="TableParagraph"/>
                          <w:spacing w:line="183" w:lineRule="exact"/>
                          <w:ind w:left="130"/>
                          <w:rPr>
                            <w:b/>
                            <w:sz w:val="16"/>
                          </w:rPr>
                        </w:pPr>
                        <w:r>
                          <w:rPr>
                            <w:b/>
                            <w:position w:val="7"/>
                            <w:sz w:val="10"/>
                          </w:rPr>
                          <w:t>1</w:t>
                        </w:r>
                        <w:r>
                          <w:rPr>
                            <w:b/>
                            <w:sz w:val="16"/>
                          </w:rPr>
                          <w:t>Winter</w:t>
                        </w:r>
                      </w:p>
                    </w:tc>
                    <w:tc>
                      <w:tcPr>
                        <w:tcW w:w="900" w:type="dxa"/>
                      </w:tcPr>
                      <w:p>
                        <w:pPr>
                          <w:pStyle w:val="TableParagraph"/>
                          <w:spacing w:line="183" w:lineRule="exact"/>
                          <w:ind w:left="127"/>
                          <w:rPr>
                            <w:b/>
                            <w:sz w:val="16"/>
                          </w:rPr>
                        </w:pPr>
                        <w:r>
                          <w:rPr>
                            <w:b/>
                            <w:position w:val="7"/>
                            <w:sz w:val="10"/>
                          </w:rPr>
                          <w:t>2</w:t>
                        </w:r>
                        <w:r>
                          <w:rPr>
                            <w:b/>
                            <w:sz w:val="16"/>
                          </w:rPr>
                          <w:t>Summer</w:t>
                        </w:r>
                      </w:p>
                    </w:tc>
                    <w:tc>
                      <w:tcPr>
                        <w:tcW w:w="810" w:type="dxa"/>
                      </w:tcPr>
                      <w:p>
                        <w:pPr>
                          <w:pStyle w:val="TableParagraph"/>
                          <w:spacing w:line="183" w:lineRule="exact"/>
                          <w:ind w:left="130"/>
                          <w:rPr>
                            <w:b/>
                            <w:sz w:val="16"/>
                          </w:rPr>
                        </w:pPr>
                        <w:r>
                          <w:rPr>
                            <w:b/>
                            <w:position w:val="7"/>
                            <w:sz w:val="10"/>
                          </w:rPr>
                          <w:t>2</w:t>
                        </w:r>
                        <w:r>
                          <w:rPr>
                            <w:b/>
                            <w:sz w:val="16"/>
                          </w:rPr>
                          <w:t>Winter</w:t>
                        </w:r>
                      </w:p>
                    </w:tc>
                  </w:tr>
                  <w:tr>
                    <w:trPr>
                      <w:trHeight w:val="378" w:hRule="exact"/>
                    </w:trPr>
                    <w:tc>
                      <w:tcPr>
                        <w:tcW w:w="990" w:type="dxa"/>
                      </w:tcPr>
                      <w:p>
                        <w:pPr>
                          <w:pStyle w:val="TableParagraph"/>
                          <w:spacing w:line="183" w:lineRule="exact"/>
                          <w:ind w:left="103"/>
                          <w:rPr>
                            <w:b/>
                            <w:sz w:val="16"/>
                          </w:rPr>
                        </w:pPr>
                        <w:r>
                          <w:rPr>
                            <w:b/>
                            <w:sz w:val="16"/>
                          </w:rPr>
                          <w:t>Bathrooms</w:t>
                        </w:r>
                      </w:p>
                    </w:tc>
                    <w:tc>
                      <w:tcPr>
                        <w:tcW w:w="900" w:type="dxa"/>
                      </w:tcPr>
                      <w:p>
                        <w:pPr>
                          <w:pStyle w:val="TableParagraph"/>
                          <w:spacing w:line="180" w:lineRule="exact"/>
                          <w:ind w:left="106" w:right="105"/>
                          <w:jc w:val="center"/>
                          <w:rPr>
                            <w:sz w:val="16"/>
                          </w:rPr>
                        </w:pPr>
                        <w:r>
                          <w:rPr>
                            <w:sz w:val="16"/>
                          </w:rPr>
                          <w:t>83%</w:t>
                        </w:r>
                      </w:p>
                      <w:p>
                        <w:pPr>
                          <w:pStyle w:val="TableParagraph"/>
                          <w:ind w:left="106" w:right="67"/>
                          <w:jc w:val="center"/>
                          <w:rPr>
                            <w:sz w:val="16"/>
                          </w:rPr>
                        </w:pPr>
                        <w:r>
                          <w:rPr>
                            <w:sz w:val="16"/>
                          </w:rPr>
                          <w:t>39 °C</w:t>
                        </w:r>
                      </w:p>
                    </w:tc>
                    <w:tc>
                      <w:tcPr>
                        <w:tcW w:w="810" w:type="dxa"/>
                      </w:tcPr>
                      <w:p>
                        <w:pPr>
                          <w:pStyle w:val="TableParagraph"/>
                          <w:spacing w:line="180" w:lineRule="exact"/>
                          <w:ind w:left="253"/>
                          <w:rPr>
                            <w:sz w:val="16"/>
                          </w:rPr>
                        </w:pPr>
                        <w:r>
                          <w:rPr>
                            <w:sz w:val="16"/>
                          </w:rPr>
                          <w:t>87%</w:t>
                        </w:r>
                      </w:p>
                      <w:p>
                        <w:pPr>
                          <w:pStyle w:val="TableParagraph"/>
                          <w:ind w:left="234"/>
                          <w:rPr>
                            <w:sz w:val="16"/>
                          </w:rPr>
                        </w:pPr>
                        <w:r>
                          <w:rPr>
                            <w:sz w:val="16"/>
                          </w:rPr>
                          <w:t>14 °C</w:t>
                        </w:r>
                      </w:p>
                    </w:tc>
                    <w:tc>
                      <w:tcPr>
                        <w:tcW w:w="900" w:type="dxa"/>
                      </w:tcPr>
                      <w:p>
                        <w:pPr>
                          <w:pStyle w:val="TableParagraph"/>
                          <w:spacing w:line="180" w:lineRule="exact"/>
                          <w:ind w:left="106" w:right="105"/>
                          <w:jc w:val="center"/>
                          <w:rPr>
                            <w:sz w:val="16"/>
                          </w:rPr>
                        </w:pPr>
                        <w:r>
                          <w:rPr>
                            <w:sz w:val="16"/>
                          </w:rPr>
                          <w:t>86%</w:t>
                        </w:r>
                      </w:p>
                      <w:p>
                        <w:pPr>
                          <w:pStyle w:val="TableParagraph"/>
                          <w:ind w:left="106" w:right="67"/>
                          <w:jc w:val="center"/>
                          <w:rPr>
                            <w:sz w:val="16"/>
                          </w:rPr>
                        </w:pPr>
                        <w:r>
                          <w:rPr>
                            <w:sz w:val="16"/>
                          </w:rPr>
                          <w:t>40 °C</w:t>
                        </w:r>
                      </w:p>
                    </w:tc>
                    <w:tc>
                      <w:tcPr>
                        <w:tcW w:w="810" w:type="dxa"/>
                      </w:tcPr>
                      <w:p>
                        <w:pPr>
                          <w:pStyle w:val="TableParagraph"/>
                          <w:spacing w:line="180" w:lineRule="exact"/>
                          <w:ind w:left="253"/>
                          <w:rPr>
                            <w:sz w:val="16"/>
                          </w:rPr>
                        </w:pPr>
                        <w:r>
                          <w:rPr>
                            <w:sz w:val="16"/>
                          </w:rPr>
                          <w:t>89%</w:t>
                        </w:r>
                      </w:p>
                      <w:p>
                        <w:pPr>
                          <w:pStyle w:val="TableParagraph"/>
                          <w:ind w:left="234"/>
                          <w:rPr>
                            <w:sz w:val="16"/>
                          </w:rPr>
                        </w:pPr>
                        <w:r>
                          <w:rPr>
                            <w:sz w:val="16"/>
                          </w:rPr>
                          <w:t>12 °C</w:t>
                        </w:r>
                      </w:p>
                    </w:tc>
                  </w:tr>
                  <w:tr>
                    <w:trPr>
                      <w:trHeight w:val="378" w:hRule="exact"/>
                    </w:trPr>
                    <w:tc>
                      <w:tcPr>
                        <w:tcW w:w="990" w:type="dxa"/>
                      </w:tcPr>
                      <w:p>
                        <w:pPr>
                          <w:pStyle w:val="TableParagraph"/>
                          <w:spacing w:line="183" w:lineRule="exact"/>
                          <w:ind w:left="103"/>
                          <w:rPr>
                            <w:b/>
                            <w:sz w:val="16"/>
                          </w:rPr>
                        </w:pPr>
                        <w:r>
                          <w:rPr>
                            <w:b/>
                            <w:sz w:val="16"/>
                          </w:rPr>
                          <w:t>Storages</w:t>
                        </w:r>
                      </w:p>
                    </w:tc>
                    <w:tc>
                      <w:tcPr>
                        <w:tcW w:w="900" w:type="dxa"/>
                      </w:tcPr>
                      <w:p>
                        <w:pPr>
                          <w:pStyle w:val="TableParagraph"/>
                          <w:spacing w:line="180" w:lineRule="exact"/>
                          <w:ind w:left="106" w:right="105"/>
                          <w:jc w:val="center"/>
                          <w:rPr>
                            <w:sz w:val="16"/>
                          </w:rPr>
                        </w:pPr>
                        <w:r>
                          <w:rPr>
                            <w:sz w:val="16"/>
                          </w:rPr>
                          <w:t>85%</w:t>
                        </w:r>
                      </w:p>
                      <w:p>
                        <w:pPr>
                          <w:pStyle w:val="TableParagraph"/>
                          <w:ind w:left="106" w:right="67"/>
                          <w:jc w:val="center"/>
                          <w:rPr>
                            <w:sz w:val="16"/>
                          </w:rPr>
                        </w:pPr>
                        <w:r>
                          <w:rPr>
                            <w:sz w:val="16"/>
                          </w:rPr>
                          <w:t>40 °C</w:t>
                        </w:r>
                      </w:p>
                    </w:tc>
                    <w:tc>
                      <w:tcPr>
                        <w:tcW w:w="810" w:type="dxa"/>
                      </w:tcPr>
                      <w:p>
                        <w:pPr>
                          <w:pStyle w:val="TableParagraph"/>
                          <w:spacing w:line="180" w:lineRule="exact"/>
                          <w:ind w:left="253"/>
                          <w:rPr>
                            <w:sz w:val="16"/>
                          </w:rPr>
                        </w:pPr>
                        <w:r>
                          <w:rPr>
                            <w:sz w:val="16"/>
                          </w:rPr>
                          <w:t>89%</w:t>
                        </w:r>
                      </w:p>
                      <w:p>
                        <w:pPr>
                          <w:pStyle w:val="TableParagraph"/>
                          <w:ind w:left="234"/>
                          <w:rPr>
                            <w:sz w:val="16"/>
                          </w:rPr>
                        </w:pPr>
                        <w:r>
                          <w:rPr>
                            <w:sz w:val="16"/>
                          </w:rPr>
                          <w:t>13 °C</w:t>
                        </w:r>
                      </w:p>
                    </w:tc>
                    <w:tc>
                      <w:tcPr>
                        <w:tcW w:w="900" w:type="dxa"/>
                      </w:tcPr>
                      <w:p>
                        <w:pPr>
                          <w:pStyle w:val="TableParagraph"/>
                          <w:spacing w:line="180" w:lineRule="exact"/>
                          <w:ind w:left="106" w:right="105"/>
                          <w:jc w:val="center"/>
                          <w:rPr>
                            <w:sz w:val="16"/>
                          </w:rPr>
                        </w:pPr>
                        <w:r>
                          <w:rPr>
                            <w:sz w:val="16"/>
                          </w:rPr>
                          <w:t>88%</w:t>
                        </w:r>
                      </w:p>
                      <w:p>
                        <w:pPr>
                          <w:pStyle w:val="TableParagraph"/>
                          <w:ind w:left="106" w:right="67"/>
                          <w:jc w:val="center"/>
                          <w:rPr>
                            <w:sz w:val="16"/>
                          </w:rPr>
                        </w:pPr>
                        <w:r>
                          <w:rPr>
                            <w:sz w:val="16"/>
                          </w:rPr>
                          <w:t>41 °C</w:t>
                        </w:r>
                      </w:p>
                    </w:tc>
                    <w:tc>
                      <w:tcPr>
                        <w:tcW w:w="810" w:type="dxa"/>
                      </w:tcPr>
                      <w:p>
                        <w:pPr>
                          <w:pStyle w:val="TableParagraph"/>
                          <w:spacing w:line="180" w:lineRule="exact"/>
                          <w:ind w:left="253"/>
                          <w:rPr>
                            <w:sz w:val="16"/>
                          </w:rPr>
                        </w:pPr>
                        <w:r>
                          <w:rPr>
                            <w:sz w:val="16"/>
                          </w:rPr>
                          <w:t>90%</w:t>
                        </w:r>
                      </w:p>
                      <w:p>
                        <w:pPr>
                          <w:pStyle w:val="TableParagraph"/>
                          <w:ind w:left="254"/>
                          <w:rPr>
                            <w:sz w:val="16"/>
                          </w:rPr>
                        </w:pPr>
                        <w:r>
                          <w:rPr>
                            <w:sz w:val="16"/>
                          </w:rPr>
                          <w:t>11°C</w:t>
                        </w:r>
                      </w:p>
                    </w:tc>
                  </w:tr>
                </w:tbl>
                <w:p>
                  <w:pPr>
                    <w:pStyle w:val="BodyText"/>
                  </w:pPr>
                </w:p>
              </w:txbxContent>
            </v:textbox>
            <w10:wrap type="none"/>
          </v:shape>
        </w:pict>
      </w:r>
      <w:r>
        <w:rPr>
          <w:sz w:val="16"/>
        </w:rPr>
        <w:t>Table 3. Correlation analysis of climatic factors in indoor of bathrooms and storage of materials and fabricated products of an electronic industry of Mexicali (2013-2014).</w:t>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pPr>
    </w:p>
    <w:p>
      <w:pPr>
        <w:spacing w:line="223" w:lineRule="auto" w:before="0"/>
        <w:ind w:left="330" w:right="771" w:hanging="40"/>
        <w:jc w:val="left"/>
        <w:rPr>
          <w:sz w:val="16"/>
        </w:rPr>
      </w:pPr>
      <w:r>
        <w:rPr>
          <w:position w:val="7"/>
          <w:sz w:val="10"/>
        </w:rPr>
        <w:t>1</w:t>
      </w:r>
      <w:r>
        <w:rPr>
          <w:sz w:val="16"/>
        </w:rPr>
        <w:t>Summer (June, July, August of 2013), </w:t>
      </w:r>
      <w:r>
        <w:rPr>
          <w:position w:val="7"/>
          <w:sz w:val="10"/>
        </w:rPr>
        <w:t>1</w:t>
      </w:r>
      <w:r>
        <w:rPr>
          <w:sz w:val="16"/>
        </w:rPr>
        <w:t>Winter (December of 2013 and January and February of 2014); </w:t>
      </w:r>
      <w:r>
        <w:rPr>
          <w:position w:val="7"/>
          <w:sz w:val="10"/>
        </w:rPr>
        <w:t>2</w:t>
      </w:r>
      <w:r>
        <w:rPr>
          <w:sz w:val="16"/>
        </w:rPr>
        <w:t>Summer</w:t>
      </w:r>
      <w:r>
        <w:rPr>
          <w:position w:val="7"/>
          <w:sz w:val="10"/>
        </w:rPr>
        <w:t>2 </w:t>
      </w:r>
      <w:r>
        <w:rPr>
          <w:sz w:val="16"/>
        </w:rPr>
        <w:t>(June, July, August of 2014), </w:t>
      </w:r>
      <w:r>
        <w:rPr>
          <w:position w:val="7"/>
          <w:sz w:val="10"/>
        </w:rPr>
        <w:t>2</w:t>
      </w:r>
      <w:r>
        <w:rPr>
          <w:sz w:val="16"/>
        </w:rPr>
        <w:t>Winter (December of 2014).</w:t>
      </w:r>
    </w:p>
    <w:p>
      <w:pPr>
        <w:spacing w:before="2"/>
        <w:ind w:left="290" w:right="0" w:firstLine="0"/>
        <w:jc w:val="both"/>
        <w:rPr>
          <w:sz w:val="16"/>
        </w:rPr>
      </w:pPr>
      <w:r>
        <w:rPr>
          <w:sz w:val="16"/>
        </w:rPr>
        <w:t>* Relative humidity (%) and temperature (°C)</w:t>
      </w:r>
    </w:p>
    <w:p>
      <w:pPr>
        <w:pStyle w:val="BodyText"/>
        <w:spacing w:before="1"/>
      </w:pPr>
    </w:p>
    <w:p>
      <w:pPr>
        <w:pStyle w:val="BodyText"/>
        <w:ind w:left="290"/>
        <w:jc w:val="both"/>
      </w:pPr>
      <w:r>
        <w:rPr/>
        <w:t>In table 3 was observed the climatic parameters where are presented in all of the examinations the RH higher 80% and 30 °C. With this values are formed the humid films in the metallic, plastic and wood materials and originates the process mentioned about the microorganism. In all periods analyzed the indices were higher of the standards mentioned.</w:t>
      </w:r>
    </w:p>
    <w:p>
      <w:pPr>
        <w:pStyle w:val="BodyText"/>
        <w:spacing w:before="11"/>
        <w:rPr>
          <w:sz w:val="17"/>
        </w:rPr>
      </w:pPr>
      <w:r>
        <w:rPr/>
        <w:br w:type="column"/>
      </w:r>
      <w:r>
        <w:rPr>
          <w:sz w:val="17"/>
        </w:rPr>
      </w:r>
    </w:p>
    <w:p>
      <w:pPr>
        <w:pStyle w:val="Heading4"/>
        <w:numPr>
          <w:ilvl w:val="1"/>
          <w:numId w:val="127"/>
        </w:numPr>
        <w:tabs>
          <w:tab w:pos="592" w:val="left" w:leader="none"/>
        </w:tabs>
        <w:spacing w:line="229" w:lineRule="exact" w:before="0" w:after="0"/>
        <w:ind w:left="591" w:right="0" w:hanging="301"/>
        <w:jc w:val="both"/>
      </w:pPr>
      <w:r>
        <w:rPr/>
        <w:t>SEM</w:t>
      </w:r>
      <w:r>
        <w:rPr>
          <w:spacing w:val="-6"/>
        </w:rPr>
        <w:t> </w:t>
      </w:r>
      <w:r>
        <w:rPr/>
        <w:t>analysis</w:t>
      </w:r>
    </w:p>
    <w:p>
      <w:pPr>
        <w:pStyle w:val="BodyText"/>
        <w:ind w:left="290" w:right="674"/>
        <w:jc w:val="both"/>
      </w:pPr>
      <w:r>
        <w:rPr/>
        <w:t>The information obtained of the analysis shows a correlation of the presence of microbiological contamination and the microorganisms with major similarity is the cytomegalovirus, transmitted by this microbiological agent, which was added to the hands that was in contact  with noise, eyes and hears; and was infected by the accumulated water zones in indoors of the companies evaluated. This type of microorganism was detected by some samples with dust and accumulated water in small recipients by the SEM technique showed in the figures 2a and</w:t>
      </w:r>
      <w:r>
        <w:rPr>
          <w:spacing w:val="-19"/>
        </w:rPr>
        <w:t> </w:t>
      </w:r>
      <w:r>
        <w:rPr/>
        <w:t>2b.</w:t>
      </w:r>
    </w:p>
    <w:p>
      <w:pPr>
        <w:pStyle w:val="BodyText"/>
        <w:spacing w:line="229" w:lineRule="exact"/>
        <w:ind w:left="290"/>
        <w:jc w:val="both"/>
      </w:pPr>
      <w:r>
        <w:rPr/>
        <w:pict>
          <v:group style="position:absolute;margin-left:312.480011pt;margin-top:18.357580pt;width:230.95pt;height:171.5pt;mso-position-horizontal-relative:page;mso-position-vertical-relative:paragraph;z-index:15232" coordorigin="6250,367" coordsize="4619,3430">
            <v:shape style="position:absolute;left:6250;top:367;width:4619;height:2894" type="#_x0000_t75" stroked="false">
              <v:imagedata r:id="rId614" o:title=""/>
            </v:shape>
            <v:rect style="position:absolute;left:6415;top:3197;width:4304;height:600" filled="true" fillcolor="#ffffff" stroked="false">
              <v:fill type="solid"/>
            </v:rect>
            <v:shape style="position:absolute;left:6250;top:367;width:4619;height:3430" type="#_x0000_t202" filled="false" stroked="false">
              <v:textbox inset="0,0,0,0">
                <w:txbxContent>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before="137"/>
                      <w:ind w:left="309" w:right="328" w:firstLine="0"/>
                      <w:jc w:val="left"/>
                      <w:rPr>
                        <w:sz w:val="16"/>
                      </w:rPr>
                    </w:pPr>
                    <w:r>
                      <w:rPr>
                        <w:sz w:val="16"/>
                      </w:rPr>
                      <w:t>Figure 2. CMV infected lung pneumocystis in a workers of  the electronics industry of</w:t>
                    </w:r>
                    <w:r>
                      <w:rPr>
                        <w:spacing w:val="-14"/>
                        <w:sz w:val="16"/>
                      </w:rPr>
                      <w:t> </w:t>
                    </w:r>
                    <w:r>
                      <w:rPr>
                        <w:sz w:val="16"/>
                      </w:rPr>
                      <w:t>Mexicali</w:t>
                    </w:r>
                  </w:p>
                </w:txbxContent>
              </v:textbox>
              <w10:wrap type="none"/>
            </v:shape>
            <w10:wrap type="none"/>
          </v:group>
        </w:pict>
      </w:r>
      <w:r>
        <w:rPr/>
        <w:t>The  comments  about  the  presence  of  a     microorganism</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32"/>
        <w:ind w:left="4716" w:right="677" w:firstLine="39"/>
        <w:jc w:val="right"/>
      </w:pPr>
      <w:r>
        <w:rPr/>
        <w:t>simil</w:t>
      </w:r>
      <w:r>
        <w:rPr>
          <w:w w:val="100"/>
        </w:rPr>
        <w:t> </w:t>
      </w:r>
      <w:r>
        <w:rPr/>
        <w:t>ar to</w:t>
      </w:r>
      <w:r>
        <w:rPr>
          <w:w w:val="100"/>
        </w:rPr>
        <w:t> </w:t>
      </w:r>
      <w:r>
        <w:rPr/>
        <w:t>the CM</w:t>
      </w:r>
    </w:p>
    <w:p>
      <w:pPr>
        <w:pStyle w:val="BodyText"/>
        <w:ind w:left="290" w:right="676"/>
        <w:jc w:val="both"/>
      </w:pPr>
      <w:r>
        <w:rPr/>
        <w:t>V in a worker evaluating their lung system, is a partial version of the correlation of this microorganism with the CFS. This was observed in figures of the study showed, compared with the information of the study with theoretical data of this type of microorganism.</w:t>
      </w:r>
    </w:p>
    <w:p>
      <w:pPr>
        <w:pStyle w:val="BodyText"/>
        <w:spacing w:before="2"/>
      </w:pPr>
    </w:p>
    <w:p>
      <w:pPr>
        <w:pStyle w:val="Heading4"/>
        <w:numPr>
          <w:ilvl w:val="0"/>
          <w:numId w:val="127"/>
        </w:numPr>
        <w:tabs>
          <w:tab w:pos="492" w:val="left" w:leader="none"/>
        </w:tabs>
        <w:spacing w:line="228" w:lineRule="exact" w:before="0" w:after="0"/>
        <w:ind w:left="491" w:right="0" w:hanging="201"/>
        <w:jc w:val="both"/>
      </w:pPr>
      <w:r>
        <w:rPr/>
        <w:t>CONCLUSIONS</w:t>
      </w:r>
    </w:p>
    <w:p>
      <w:pPr>
        <w:pStyle w:val="BodyText"/>
        <w:ind w:left="290" w:right="674"/>
        <w:jc w:val="both"/>
      </w:pPr>
      <w:r>
        <w:rPr/>
        <w:t>The studies of the problematic situations occurred in the industrial ergonomic factors is very important to detect  some problematic situations and realize some activities to avoid the presence principally of microorganism. In this investigation, was founded a correlation of the presence of this microbiological agents and the generation of fatigue and CFS and was related with the theoretical information with the data obtained of the microanalysis with the SEM technique.</w:t>
      </w:r>
    </w:p>
    <w:p>
      <w:pPr>
        <w:pStyle w:val="BodyText"/>
        <w:spacing w:before="2"/>
      </w:pPr>
    </w:p>
    <w:p>
      <w:pPr>
        <w:pStyle w:val="Heading4"/>
        <w:numPr>
          <w:ilvl w:val="0"/>
          <w:numId w:val="127"/>
        </w:numPr>
        <w:tabs>
          <w:tab w:pos="492" w:val="left" w:leader="none"/>
        </w:tabs>
        <w:spacing w:line="229" w:lineRule="exact" w:before="0" w:after="0"/>
        <w:ind w:left="491" w:right="0" w:hanging="201"/>
        <w:jc w:val="both"/>
      </w:pPr>
      <w:r>
        <w:rPr/>
        <w:t>RELEVANCE TO ERGONOMICS</w:t>
      </w:r>
      <w:r>
        <w:rPr>
          <w:spacing w:val="-18"/>
        </w:rPr>
        <w:t> </w:t>
      </w:r>
      <w:r>
        <w:rPr/>
        <w:t>STUDIES</w:t>
      </w:r>
    </w:p>
    <w:p>
      <w:pPr>
        <w:pStyle w:val="BodyText"/>
        <w:ind w:left="290" w:right="676"/>
        <w:jc w:val="both"/>
      </w:pPr>
      <w:r>
        <w:rPr/>
        <w:t>Is necessary elaborate ergonomics studies to analyze the possibility of apply some methods and techniques to stablish the better conditions of the workers in the industrial plants and avoid the presence of diseases or accidents influenced  by some microorganisms, as occurred in this study. This study shows the necessity to analyze the situation proposed to evade the generation of fatigue symptoms and the CFS that is an indicator of very bad signals of health and  originate the decreasing of productivity and economic</w:t>
      </w:r>
      <w:r>
        <w:rPr>
          <w:spacing w:val="-21"/>
        </w:rPr>
        <w:t> </w:t>
      </w:r>
      <w:r>
        <w:rPr/>
        <w:t>losses</w:t>
      </w:r>
    </w:p>
    <w:p>
      <w:pPr>
        <w:spacing w:after="0"/>
        <w:jc w:val="both"/>
        <w:sectPr>
          <w:type w:val="continuous"/>
          <w:pgSz w:w="12240" w:h="15840"/>
          <w:pgMar w:top="1500" w:bottom="280" w:left="560" w:right="220"/>
          <w:cols w:num="2" w:equalWidth="0">
            <w:col w:w="5210" w:space="414"/>
            <w:col w:w="5836"/>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4"/>
        <w:ind w:left="270" w:right="1"/>
        <w:jc w:val="both"/>
      </w:pPr>
      <w:r>
        <w:rPr/>
        <w:t>by not apply methods and techniques of the Ergonomic activities.</w:t>
      </w:r>
    </w:p>
    <w:p>
      <w:pPr>
        <w:pStyle w:val="BodyText"/>
        <w:spacing w:before="3"/>
      </w:pPr>
    </w:p>
    <w:p>
      <w:pPr>
        <w:pStyle w:val="Heading4"/>
        <w:numPr>
          <w:ilvl w:val="0"/>
          <w:numId w:val="127"/>
        </w:numPr>
        <w:tabs>
          <w:tab w:pos="471" w:val="left" w:leader="none"/>
        </w:tabs>
        <w:spacing w:line="240" w:lineRule="auto" w:before="0" w:after="0"/>
        <w:ind w:left="470" w:right="0" w:hanging="200"/>
        <w:jc w:val="both"/>
      </w:pPr>
      <w:r>
        <w:rPr/>
        <w:t>REFERENCES</w:t>
      </w:r>
    </w:p>
    <w:p>
      <w:pPr>
        <w:pStyle w:val="BodyText"/>
        <w:spacing w:before="8"/>
        <w:rPr>
          <w:b/>
          <w:sz w:val="19"/>
        </w:rPr>
      </w:pPr>
    </w:p>
    <w:p>
      <w:pPr>
        <w:pStyle w:val="BodyText"/>
        <w:ind w:left="270"/>
        <w:jc w:val="both"/>
      </w:pPr>
      <w:r>
        <w:rPr/>
        <w:t>[1] BG. Lopez, S.B. Valdez, K. R. Zlatev, P.J, Flores, B.M. Carrillo and W. M. Schorr (2007); “Corrosion of metals at indoor conditions in the electronics manufacturing industry”; Anti-Corrosion Methods and Materials; Vol. 13, No. 2.</w:t>
      </w:r>
    </w:p>
    <w:p>
      <w:pPr>
        <w:pStyle w:val="BodyText"/>
        <w:spacing w:before="4"/>
        <w:rPr>
          <w:sz w:val="24"/>
        </w:rPr>
      </w:pPr>
    </w:p>
    <w:p>
      <w:pPr>
        <w:pStyle w:val="BodyText"/>
        <w:ind w:left="270" w:right="1"/>
        <w:jc w:val="both"/>
      </w:pPr>
      <w:r>
        <w:rPr/>
        <w:t>[2] Fernández-Solà J. (2004). “Sobrevivir al cansancio. Una aproximación al síndrome de fatiga crónica”; Barcelona: Viena-Oxis Ed.</w:t>
      </w:r>
    </w:p>
    <w:p>
      <w:pPr>
        <w:pStyle w:val="BodyText"/>
        <w:spacing w:before="4"/>
        <w:rPr>
          <w:sz w:val="24"/>
        </w:rPr>
      </w:pPr>
    </w:p>
    <w:p>
      <w:pPr>
        <w:pStyle w:val="BodyText"/>
        <w:ind w:left="270" w:right="1"/>
        <w:jc w:val="both"/>
      </w:pPr>
      <w:r>
        <w:rPr/>
        <w:t>[3] </w:t>
      </w:r>
      <w:r>
        <w:rPr>
          <w:color w:val="0000FF"/>
          <w:u w:val="single" w:color="0000FF"/>
        </w:rPr>
        <w:t>Neville Moray </w:t>
      </w:r>
      <w:r>
        <w:rPr/>
        <w:t>(2005). “</w:t>
      </w:r>
      <w:r>
        <w:rPr>
          <w:color w:val="0000FF"/>
          <w:u w:val="single" w:color="0000FF"/>
        </w:rPr>
        <w:t>Ergonomics: The history and scope of human factors</w:t>
      </w:r>
      <w:r>
        <w:rPr/>
        <w:t>”, Routledge Ed., Industrial Engineering Journal; Vol. 13, No. 2.</w:t>
      </w:r>
    </w:p>
    <w:p>
      <w:pPr>
        <w:pStyle w:val="BodyText"/>
        <w:spacing w:before="4"/>
        <w:rPr>
          <w:sz w:val="24"/>
        </w:rPr>
      </w:pPr>
    </w:p>
    <w:p>
      <w:pPr>
        <w:pStyle w:val="BodyText"/>
        <w:ind w:left="270" w:right="1"/>
        <w:jc w:val="both"/>
      </w:pPr>
      <w:r>
        <w:rPr/>
        <w:t>[4] Rogers T., Jackson H., Kenneth Y. (2003). “</w:t>
      </w:r>
      <w:r>
        <w:rPr>
          <w:color w:val="0000FF"/>
          <w:u w:val="single" w:color="0000FF"/>
        </w:rPr>
        <w:t>Workplace Ergonomics in the industry. An analysis to minimize musculoskeletal disorders”</w:t>
      </w:r>
      <w:r>
        <w:rPr/>
        <w:t>; Manufacturing Process Journal; Vol. 21, No. 2.</w:t>
      </w:r>
    </w:p>
    <w:p>
      <w:pPr>
        <w:pStyle w:val="BodyText"/>
        <w:spacing w:before="4"/>
        <w:rPr>
          <w:sz w:val="24"/>
        </w:rPr>
      </w:pPr>
    </w:p>
    <w:p>
      <w:pPr>
        <w:pStyle w:val="BodyText"/>
        <w:ind w:left="270" w:right="1"/>
        <w:jc w:val="both"/>
      </w:pPr>
      <w:r>
        <w:rPr/>
        <w:t>[5] Ramirez G., Torres A. (2006). “Evaluating the methods  to work in a comfort place”; Technology Industry Journal; Vol. 4, No.</w:t>
      </w:r>
      <w:r>
        <w:rPr>
          <w:spacing w:val="-4"/>
        </w:rPr>
        <w:t> </w:t>
      </w:r>
      <w:r>
        <w:rPr/>
        <w:t>1.</w:t>
      </w:r>
    </w:p>
    <w:p>
      <w:pPr>
        <w:pStyle w:val="BodyText"/>
        <w:spacing w:before="4"/>
        <w:rPr>
          <w:sz w:val="24"/>
        </w:rPr>
      </w:pPr>
    </w:p>
    <w:p>
      <w:pPr>
        <w:pStyle w:val="BodyText"/>
        <w:ind w:left="270" w:right="1"/>
        <w:jc w:val="both"/>
      </w:pPr>
      <w:r>
        <w:rPr/>
        <w:t>[6] Hornbaek, K (2006). “Current Practice in Measuring Usability: Challenges to Usability Studies and Research”; International Journal of Human-Computer Studies; Vol. 11, No. 2.</w:t>
      </w:r>
    </w:p>
    <w:p>
      <w:pPr>
        <w:pStyle w:val="BodyText"/>
        <w:spacing w:before="4"/>
        <w:rPr>
          <w:sz w:val="24"/>
        </w:rPr>
      </w:pPr>
    </w:p>
    <w:p>
      <w:pPr>
        <w:pStyle w:val="BodyText"/>
        <w:ind w:left="270"/>
        <w:jc w:val="both"/>
      </w:pPr>
      <w:r>
        <w:rPr/>
        <w:t>[7] Ben-Gal I., Buckchin J. (2002). “The Ergonomic Design of Workstation Using Rapid Prototyping and Response Surface Methodology”; IIE Transactions on Design and Manufacturing, Vol. 34 No. 4.</w:t>
      </w:r>
    </w:p>
    <w:p>
      <w:pPr>
        <w:pStyle w:val="BodyText"/>
        <w:spacing w:before="2"/>
        <w:rPr>
          <w:sz w:val="24"/>
        </w:rPr>
      </w:pPr>
    </w:p>
    <w:p>
      <w:pPr>
        <w:pStyle w:val="BodyText"/>
        <w:spacing w:before="1"/>
        <w:ind w:left="270"/>
        <w:jc w:val="both"/>
      </w:pPr>
      <w:r>
        <w:rPr/>
        <w:t>[8] Brookhuis, K., Hedge, A., Hendrick, H., Salas, E., and Stanton, N. (2005). “Handbook of Human Factors and Ergonomics Models”; Florida: CRC Press.</w:t>
      </w:r>
    </w:p>
    <w:p>
      <w:pPr>
        <w:pStyle w:val="BodyText"/>
        <w:spacing w:before="4"/>
        <w:rPr>
          <w:sz w:val="24"/>
        </w:rPr>
      </w:pPr>
    </w:p>
    <w:p>
      <w:pPr>
        <w:pStyle w:val="BodyText"/>
        <w:ind w:left="270" w:right="1"/>
        <w:jc w:val="both"/>
      </w:pPr>
      <w:r>
        <w:rPr/>
        <w:t>[9] Wickens, C.D.; Lee J.D.; Liu Y. Gorden Becker S.E. (2003). “An Introduction to Human Factors Engineering”; 2nd Edition. Prentice Hall.</w:t>
      </w:r>
    </w:p>
    <w:p>
      <w:pPr>
        <w:pStyle w:val="BodyText"/>
        <w:spacing w:before="4"/>
        <w:rPr>
          <w:sz w:val="24"/>
        </w:rPr>
      </w:pPr>
    </w:p>
    <w:p>
      <w:pPr>
        <w:pStyle w:val="BodyText"/>
        <w:ind w:left="270" w:right="1"/>
        <w:jc w:val="both"/>
      </w:pPr>
      <w:r>
        <w:rPr/>
        <w:t>[10] Isabel A P Walsh; Jorge Oishi; Helenice J C Gil Coury. (2008). "Clinical and functional aspects of work-related musculoskeletal disorders among active workers"; Public Health Journal; Vol. 17, No. 3</w:t>
      </w:r>
    </w:p>
    <w:p>
      <w:pPr>
        <w:pStyle w:val="BodyText"/>
        <w:spacing w:before="4"/>
        <w:rPr>
          <w:sz w:val="24"/>
        </w:rPr>
      </w:pPr>
    </w:p>
    <w:p>
      <w:pPr>
        <w:pStyle w:val="BodyText"/>
        <w:ind w:left="270"/>
        <w:jc w:val="both"/>
      </w:pPr>
      <w:r>
        <w:rPr/>
        <w:t>[11] Johnson J. Levingston H. (2005). “Biodynamics and Ergonomics Techniques in the Industry”; Engineering and Manufacturing Methods Journal; Vol. 9, No. 2.</w:t>
      </w:r>
    </w:p>
    <w:p>
      <w:pPr>
        <w:pStyle w:val="BodyText"/>
        <w:spacing w:before="74"/>
        <w:ind w:left="270" w:right="676"/>
        <w:jc w:val="both"/>
      </w:pPr>
      <w:r>
        <w:rPr/>
        <w:br w:type="column"/>
      </w:r>
      <w:r>
        <w:rPr/>
        <w:t>[12] George t., Murray A. (2008). “The Citomegalovirus  and he possibility of generation of Chronic Fatigue Syndrome (CFS)”; Microbiologic Specimens Journal; Vol. 26, No.</w:t>
      </w:r>
      <w:r>
        <w:rPr>
          <w:spacing w:val="-5"/>
        </w:rPr>
        <w:t> </w:t>
      </w:r>
      <w:r>
        <w:rPr/>
        <w:t>1</w:t>
      </w:r>
    </w:p>
    <w:p>
      <w:pPr>
        <w:pStyle w:val="BodyText"/>
        <w:spacing w:before="4"/>
        <w:rPr>
          <w:sz w:val="24"/>
        </w:rPr>
      </w:pPr>
    </w:p>
    <w:p>
      <w:pPr>
        <w:pStyle w:val="BodyText"/>
        <w:ind w:left="270" w:right="675"/>
        <w:jc w:val="both"/>
      </w:pPr>
      <w:r>
        <w:rPr/>
        <w:t>[13] Hells G., Anderson R. (2007). “The chronic fatigue evaluated with microbiological topics”; Public Medicine  and Microbiology Journal; Vol. 19, No.</w:t>
      </w:r>
      <w:r>
        <w:rPr>
          <w:spacing w:val="-15"/>
        </w:rPr>
        <w:t> </w:t>
      </w:r>
      <w:r>
        <w:rPr/>
        <w:t>1.</w:t>
      </w:r>
    </w:p>
    <w:p>
      <w:pPr>
        <w:pStyle w:val="BodyText"/>
        <w:spacing w:before="4"/>
        <w:rPr>
          <w:sz w:val="24"/>
        </w:rPr>
      </w:pPr>
    </w:p>
    <w:p>
      <w:pPr>
        <w:pStyle w:val="BodyText"/>
        <w:ind w:left="270" w:right="675"/>
        <w:jc w:val="both"/>
      </w:pPr>
      <w:r>
        <w:rPr/>
        <w:t>[14] ASTM G91 - 97(2004) Standard Practice for Monitoring Atmospheric SO2 Using the Sulfation Plate Technique.</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3"/>
        <w:rPr>
          <w:sz w:val="17"/>
        </w:rPr>
      </w:pPr>
    </w:p>
    <w:p>
      <w:pPr>
        <w:spacing w:before="0"/>
        <w:ind w:left="270" w:right="677" w:firstLine="0"/>
        <w:jc w:val="both"/>
        <w:rPr>
          <w:sz w:val="16"/>
        </w:rPr>
      </w:pPr>
      <w:r>
        <w:rPr>
          <w:sz w:val="16"/>
        </w:rPr>
        <w:t>Elsa Emma Barraza Rincón, is a Professor of industrial researching activities in Mexicali and Tijuana, evaluating the marine and arid environments of Tijuana and Mexicali respectively. Is an expert in the ergonomics topics and in the last five years was made researching in health public in the industries in Mexicali and Tijuana, to determine the principal factors of the labor fatigue and chronic fatigue syndrome. Have more than 20 studies in the industries and more than 20 years in the Technologic Institute of Mexicali, being a researcher and academic of the Industrial Department in this institution. He forms a network of the Ergonomics in Mexicali with different experts in this topic and diverse educational and researching institutions of Mexicali.</w:t>
      </w:r>
    </w:p>
    <w:p>
      <w:pPr>
        <w:pStyle w:val="BodyText"/>
        <w:rPr>
          <w:sz w:val="16"/>
        </w:rPr>
      </w:pPr>
    </w:p>
    <w:p>
      <w:pPr>
        <w:spacing w:before="0"/>
        <w:ind w:left="270" w:right="677" w:firstLine="0"/>
        <w:jc w:val="both"/>
        <w:rPr>
          <w:sz w:val="16"/>
        </w:rPr>
      </w:pPr>
      <w:r>
        <w:rPr>
          <w:sz w:val="16"/>
        </w:rPr>
        <w:t>Arcelia Gómez Rodríguez, is Professor of the Accounting and Administration Department in the Technologic Institute of Mexicali, with more than 15 years of experiences in academic and researching activities and studies in industrial plants. Have participations in national and international journals and congress. Is an expert in the statistical methods and techniques with large data information in environmental, ergonomics and health public topics in the industries in Mexicali and Tijuana  comparing the different environments in the industrial</w:t>
      </w:r>
      <w:r>
        <w:rPr>
          <w:spacing w:val="-25"/>
          <w:sz w:val="16"/>
        </w:rPr>
        <w:t> </w:t>
      </w:r>
      <w:r>
        <w:rPr>
          <w:sz w:val="16"/>
        </w:rPr>
        <w:t>plants.</w:t>
      </w:r>
    </w:p>
    <w:p>
      <w:pPr>
        <w:pStyle w:val="BodyText"/>
        <w:rPr>
          <w:sz w:val="16"/>
        </w:rPr>
      </w:pPr>
    </w:p>
    <w:p>
      <w:pPr>
        <w:spacing w:before="0"/>
        <w:ind w:left="270" w:right="676" w:firstLine="0"/>
        <w:jc w:val="both"/>
        <w:rPr>
          <w:sz w:val="16"/>
        </w:rPr>
      </w:pPr>
      <w:r>
        <w:rPr>
          <w:sz w:val="16"/>
        </w:rPr>
        <w:t>Dr. Gustavo López Badilla, was born in Santa Ana, Sonora, Mexico and is  a professor and researcher with over fifteen years of experience in teaching and research. Dr. Gustavo studied Bachelor of Electronic Engineering, also studied the Master Degree in Environmental and Health and the Doctor Degree in Corrosion, Environmental and Materials in the University of  Baja California. Also studied the Post Doctor Grade in the Nanosciences and Nanotechnology Institute in the National University of Baja California in Ensenada from 2009 to 2010. The areas of specialization are  in  Electrical Engineering, Computer Science, Biomedical, Industrial and Environmental Chemistry and Biochemical. Is Member of the National System of Researchers (SNI) Candidate level Academic Research and twelve years of experience in the areas of environment, corrosion, materials and surface analysis and more than 30 scientific articlesCurrently has a liaison and cooperation with the health sector focused on the analysis of respiratory diseases and environmental sector analysis of pollution and biodiversity. It has developed a relevant study for the opening race in Aeronautical</w:t>
      </w:r>
      <w:r>
        <w:rPr>
          <w:spacing w:val="-9"/>
          <w:sz w:val="16"/>
        </w:rPr>
        <w:t> </w:t>
      </w:r>
      <w:r>
        <w:rPr>
          <w:sz w:val="16"/>
        </w:rPr>
        <w:t>Engineering.</w:t>
      </w:r>
    </w:p>
    <w:p>
      <w:pPr>
        <w:spacing w:before="0"/>
        <w:ind w:left="270" w:right="676" w:firstLine="0"/>
        <w:jc w:val="both"/>
        <w:rPr>
          <w:sz w:val="16"/>
        </w:rPr>
      </w:pPr>
      <w:r>
        <w:rPr>
          <w:sz w:val="16"/>
        </w:rPr>
        <w:t>Guillermo Barba Gonzalez, is a student of the Manufacturing Engineering in the Polytechnic University of Baja California, with more than ten works supporting in researching studies in industrial operations in the biomedical, electronic and metallic industries in Mexicali and Tijuana, comparing the different</w:t>
      </w:r>
      <w:r>
        <w:rPr>
          <w:spacing w:val="-3"/>
          <w:sz w:val="16"/>
        </w:rPr>
        <w:t> </w:t>
      </w:r>
      <w:r>
        <w:rPr>
          <w:sz w:val="16"/>
        </w:rPr>
        <w:t>environments</w:t>
      </w:r>
      <w:r>
        <w:rPr>
          <w:spacing w:val="-3"/>
          <w:sz w:val="16"/>
        </w:rPr>
        <w:t> </w:t>
      </w:r>
      <w:r>
        <w:rPr>
          <w:sz w:val="16"/>
        </w:rPr>
        <w:t>in</w:t>
      </w:r>
      <w:r>
        <w:rPr>
          <w:spacing w:val="-3"/>
          <w:sz w:val="16"/>
        </w:rPr>
        <w:t> </w:t>
      </w:r>
      <w:r>
        <w:rPr>
          <w:sz w:val="16"/>
        </w:rPr>
        <w:t>indoor</w:t>
      </w:r>
      <w:r>
        <w:rPr>
          <w:spacing w:val="-4"/>
          <w:sz w:val="16"/>
        </w:rPr>
        <w:t> </w:t>
      </w:r>
      <w:r>
        <w:rPr>
          <w:sz w:val="16"/>
        </w:rPr>
        <w:t>and</w:t>
      </w:r>
      <w:r>
        <w:rPr>
          <w:spacing w:val="-5"/>
          <w:sz w:val="16"/>
        </w:rPr>
        <w:t> </w:t>
      </w:r>
      <w:r>
        <w:rPr>
          <w:sz w:val="16"/>
        </w:rPr>
        <w:t>outdoor</w:t>
      </w:r>
      <w:r>
        <w:rPr>
          <w:spacing w:val="-4"/>
          <w:sz w:val="16"/>
        </w:rPr>
        <w:t> </w:t>
      </w:r>
      <w:r>
        <w:rPr>
          <w:sz w:val="16"/>
        </w:rPr>
        <w:t>zones</w:t>
      </w:r>
      <w:r>
        <w:rPr>
          <w:spacing w:val="-4"/>
          <w:sz w:val="16"/>
        </w:rPr>
        <w:t> </w:t>
      </w:r>
      <w:r>
        <w:rPr>
          <w:sz w:val="16"/>
        </w:rPr>
        <w:t>of</w:t>
      </w:r>
      <w:r>
        <w:rPr>
          <w:spacing w:val="-4"/>
          <w:sz w:val="16"/>
        </w:rPr>
        <w:t> </w:t>
      </w:r>
      <w:r>
        <w:rPr>
          <w:sz w:val="16"/>
        </w:rPr>
        <w:t>the</w:t>
      </w:r>
      <w:r>
        <w:rPr>
          <w:spacing w:val="-4"/>
          <w:sz w:val="16"/>
        </w:rPr>
        <w:t> </w:t>
      </w:r>
      <w:r>
        <w:rPr>
          <w:sz w:val="16"/>
        </w:rPr>
        <w:t>industrial</w:t>
      </w:r>
      <w:r>
        <w:rPr>
          <w:spacing w:val="-4"/>
          <w:sz w:val="16"/>
        </w:rPr>
        <w:t> </w:t>
      </w:r>
      <w:r>
        <w:rPr>
          <w:sz w:val="16"/>
        </w:rPr>
        <w:t>plants.</w:t>
      </w:r>
    </w:p>
    <w:p>
      <w:pPr>
        <w:spacing w:after="0"/>
        <w:jc w:val="both"/>
        <w:rPr>
          <w:sz w:val="16"/>
        </w:rPr>
        <w:sectPr>
          <w:type w:val="continuous"/>
          <w:pgSz w:w="12240" w:h="15840"/>
          <w:pgMar w:top="1500" w:bottom="280" w:left="580" w:right="220"/>
          <w:cols w:num="2" w:equalWidth="0">
            <w:col w:w="5189" w:space="435"/>
            <w:col w:w="5816"/>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
        <w:rPr>
          <w:sz w:val="26"/>
        </w:rPr>
      </w:pPr>
    </w:p>
    <w:p>
      <w:pPr>
        <w:pStyle w:val="Heading1"/>
        <w:ind w:right="473"/>
        <w:jc w:val="left"/>
        <w:rPr>
          <w:rFonts w:ascii="Arial"/>
        </w:rPr>
      </w:pPr>
      <w:r>
        <w:rPr/>
        <w:t>Fatigue Study on Urban Bus Drivers in Los Mochis Sinaloa</w:t>
      </w:r>
      <w:r>
        <w:rPr>
          <w:rFonts w:ascii="Arial"/>
        </w:rPr>
        <w:t>.</w:t>
      </w:r>
    </w:p>
    <w:p>
      <w:pPr>
        <w:pStyle w:val="BodyText"/>
        <w:spacing w:before="5"/>
        <w:rPr>
          <w:rFonts w:ascii="Arial"/>
          <w:b/>
          <w:sz w:val="19"/>
        </w:rPr>
      </w:pPr>
    </w:p>
    <w:p>
      <w:pPr>
        <w:spacing w:line="213" w:lineRule="auto" w:before="0"/>
        <w:ind w:left="270" w:right="20" w:firstLine="0"/>
        <w:jc w:val="both"/>
        <w:rPr>
          <w:i/>
          <w:sz w:val="20"/>
        </w:rPr>
      </w:pPr>
      <w:r>
        <w:rPr>
          <w:i/>
          <w:sz w:val="20"/>
        </w:rPr>
        <w:t>Alberto Ramírez Leyva </w:t>
      </w:r>
      <w:r>
        <w:rPr>
          <w:i/>
          <w:position w:val="9"/>
          <w:sz w:val="13"/>
        </w:rPr>
        <w:t>a</w:t>
      </w:r>
      <w:r>
        <w:rPr>
          <w:i/>
          <w:sz w:val="20"/>
        </w:rPr>
        <w:t>, José Gilberto Apodaca Ayala </w:t>
      </w:r>
      <w:r>
        <w:rPr>
          <w:i/>
          <w:position w:val="9"/>
          <w:sz w:val="13"/>
        </w:rPr>
        <w:t>b</w:t>
      </w:r>
      <w:r>
        <w:rPr>
          <w:i/>
          <w:sz w:val="20"/>
        </w:rPr>
        <w:t>, </w:t>
      </w:r>
      <w:r>
        <w:rPr>
          <w:i/>
          <w:sz w:val="20"/>
        </w:rPr>
        <w:t>Martín Joel Borbolla Grijalva </w:t>
      </w:r>
      <w:r>
        <w:rPr>
          <w:i/>
          <w:position w:val="9"/>
          <w:sz w:val="13"/>
        </w:rPr>
        <w:t>c</w:t>
      </w:r>
      <w:r>
        <w:rPr>
          <w:i/>
          <w:sz w:val="20"/>
        </w:rPr>
        <w:t>, Lucero De Jesús Delgado Iñiguez </w:t>
      </w:r>
      <w:r>
        <w:rPr>
          <w:i/>
          <w:position w:val="9"/>
          <w:sz w:val="13"/>
        </w:rPr>
        <w:t>d</w:t>
      </w:r>
      <w:r>
        <w:rPr>
          <w:i/>
          <w:sz w:val="20"/>
        </w:rPr>
        <w:t>,Jessica María Ochoa Sánchez </w:t>
      </w:r>
      <w:r>
        <w:rPr>
          <w:i/>
          <w:position w:val="9"/>
          <w:sz w:val="13"/>
        </w:rPr>
        <w:t>e</w:t>
      </w:r>
      <w:r>
        <w:rPr>
          <w:i/>
          <w:sz w:val="20"/>
        </w:rPr>
        <w:t>.</w:t>
      </w:r>
    </w:p>
    <w:p>
      <w:pPr>
        <w:pStyle w:val="BodyText"/>
        <w:rPr>
          <w:i/>
          <w:sz w:val="19"/>
        </w:rPr>
      </w:pPr>
    </w:p>
    <w:p>
      <w:pPr>
        <w:spacing w:before="1"/>
        <w:ind w:left="270" w:right="2" w:firstLine="0"/>
        <w:jc w:val="both"/>
        <w:rPr>
          <w:sz w:val="16"/>
        </w:rPr>
      </w:pPr>
      <w:r>
        <w:rPr>
          <w:position w:val="7"/>
          <w:sz w:val="10"/>
        </w:rPr>
        <w:t>a </w:t>
      </w:r>
      <w:r>
        <w:rPr>
          <w:sz w:val="16"/>
        </w:rPr>
        <w:t>Instituto Tecnológico de Los Mochis, Juan de Dios Batiz y 20 de  noviembre s/n código postal 81259, alberto_ramirez_leyva@yahoo,com,  Los Mochis, Sinaloa,</w:t>
      </w:r>
      <w:r>
        <w:rPr>
          <w:spacing w:val="-19"/>
          <w:sz w:val="16"/>
        </w:rPr>
        <w:t> </w:t>
      </w:r>
      <w:r>
        <w:rPr>
          <w:sz w:val="16"/>
        </w:rPr>
        <w:t>México.</w:t>
      </w:r>
    </w:p>
    <w:p>
      <w:pPr>
        <w:spacing w:line="184" w:lineRule="exact" w:before="0"/>
        <w:ind w:left="270" w:right="0" w:firstLine="0"/>
        <w:jc w:val="both"/>
        <w:rPr>
          <w:sz w:val="16"/>
        </w:rPr>
      </w:pPr>
      <w:r>
        <w:rPr>
          <w:position w:val="7"/>
          <w:sz w:val="10"/>
        </w:rPr>
        <w:t>b   </w:t>
      </w:r>
      <w:r>
        <w:rPr>
          <w:sz w:val="16"/>
        </w:rPr>
        <w:t>Estudiante  de  Ingeniería  Industrial  del  Instituto  Tecnológico  de     Los</w:t>
      </w:r>
    </w:p>
    <w:p>
      <w:pPr>
        <w:spacing w:before="1"/>
        <w:ind w:left="270" w:right="0" w:firstLine="0"/>
        <w:jc w:val="both"/>
        <w:rPr>
          <w:sz w:val="16"/>
        </w:rPr>
      </w:pPr>
      <w:r>
        <w:rPr>
          <w:sz w:val="16"/>
        </w:rPr>
        <w:t>Mochis, Juan de Dios Batiz y 20 de noviembre s/n código postal 81259, </w:t>
      </w:r>
      <w:hyperlink r:id="rId615">
        <w:r>
          <w:rPr>
            <w:sz w:val="16"/>
          </w:rPr>
          <w:t>jogi.apodaca@gmail.com,</w:t>
        </w:r>
      </w:hyperlink>
      <w:r>
        <w:rPr>
          <w:sz w:val="16"/>
        </w:rPr>
        <w:t> Los Mochis, Sinaloa, México.</w:t>
      </w:r>
    </w:p>
    <w:p>
      <w:pPr>
        <w:spacing w:line="184" w:lineRule="exact" w:before="0"/>
        <w:ind w:left="270" w:right="0" w:firstLine="0"/>
        <w:jc w:val="both"/>
        <w:rPr>
          <w:sz w:val="16"/>
        </w:rPr>
      </w:pPr>
      <w:r>
        <w:rPr>
          <w:position w:val="7"/>
          <w:sz w:val="10"/>
        </w:rPr>
        <w:t>c   </w:t>
      </w:r>
      <w:r>
        <w:rPr>
          <w:sz w:val="16"/>
        </w:rPr>
        <w:t>Estudiante  de  Ingeniería  Industrial  del  Instituto  Tecnológico  de     Los</w:t>
      </w:r>
    </w:p>
    <w:p>
      <w:pPr>
        <w:spacing w:before="1"/>
        <w:ind w:left="270" w:right="0" w:firstLine="0"/>
        <w:jc w:val="both"/>
        <w:rPr>
          <w:sz w:val="16"/>
        </w:rPr>
      </w:pPr>
      <w:r>
        <w:rPr>
          <w:sz w:val="16"/>
        </w:rPr>
        <w:t>Mochis, Juan de Dios Batiz y 20 de noviembre s/n código postal 81259, </w:t>
      </w:r>
      <w:hyperlink r:id="rId616">
        <w:r>
          <w:rPr>
            <w:sz w:val="16"/>
          </w:rPr>
          <w:t>yorel.14@hotmail.com,</w:t>
        </w:r>
      </w:hyperlink>
      <w:r>
        <w:rPr>
          <w:sz w:val="16"/>
        </w:rPr>
        <w:t> Los Mochis, Sinaloa, México.</w:t>
      </w:r>
    </w:p>
    <w:p>
      <w:pPr>
        <w:spacing w:line="184" w:lineRule="exact" w:before="0"/>
        <w:ind w:left="270" w:right="0" w:firstLine="0"/>
        <w:jc w:val="both"/>
        <w:rPr>
          <w:sz w:val="16"/>
        </w:rPr>
      </w:pPr>
      <w:r>
        <w:rPr>
          <w:position w:val="7"/>
          <w:sz w:val="10"/>
        </w:rPr>
        <w:t>d   </w:t>
      </w:r>
      <w:r>
        <w:rPr>
          <w:sz w:val="16"/>
        </w:rPr>
        <w:t>Estudiante  de  Ingeniería  Industrial  del  Instituto  Tecnológico  de     Los</w:t>
      </w:r>
    </w:p>
    <w:p>
      <w:pPr>
        <w:spacing w:before="1"/>
        <w:ind w:left="270" w:right="0" w:firstLine="0"/>
        <w:jc w:val="both"/>
        <w:rPr>
          <w:sz w:val="16"/>
        </w:rPr>
      </w:pPr>
      <w:r>
        <w:rPr>
          <w:sz w:val="16"/>
        </w:rPr>
        <w:t>Mochis, Juan de Dios Batiz y 20 de noviembre s/n código postal 81259, </w:t>
      </w:r>
      <w:hyperlink r:id="rId617">
        <w:r>
          <w:rPr>
            <w:sz w:val="16"/>
          </w:rPr>
          <w:t>lucerodejesus_del@hotmail.com,</w:t>
        </w:r>
      </w:hyperlink>
      <w:r>
        <w:rPr>
          <w:sz w:val="16"/>
        </w:rPr>
        <w:t> Los Mochis, Sinaloa, México.</w:t>
      </w:r>
    </w:p>
    <w:p>
      <w:pPr>
        <w:spacing w:line="184" w:lineRule="exact" w:before="0"/>
        <w:ind w:left="270" w:right="0" w:firstLine="0"/>
        <w:jc w:val="both"/>
        <w:rPr>
          <w:sz w:val="16"/>
        </w:rPr>
      </w:pPr>
      <w:r>
        <w:rPr>
          <w:position w:val="7"/>
          <w:sz w:val="10"/>
        </w:rPr>
        <w:t>e    </w:t>
      </w:r>
      <w:r>
        <w:rPr>
          <w:sz w:val="16"/>
        </w:rPr>
        <w:t>Estudiante  de  Ingeniería  Industrial  del  Instituto  Tecnológico  de     Los</w:t>
      </w:r>
    </w:p>
    <w:p>
      <w:pPr>
        <w:spacing w:before="1"/>
        <w:ind w:left="270" w:right="0" w:firstLine="0"/>
        <w:jc w:val="both"/>
        <w:rPr>
          <w:sz w:val="16"/>
        </w:rPr>
      </w:pPr>
      <w:r>
        <w:rPr>
          <w:sz w:val="16"/>
        </w:rPr>
        <w:t>Mochis, Juan de Dios Batiz y 20 de noviembre s/n código postal 81259, </w:t>
      </w:r>
      <w:hyperlink r:id="rId618">
        <w:r>
          <w:rPr>
            <w:sz w:val="16"/>
          </w:rPr>
          <w:t>jmos_765@hotmail.com,</w:t>
        </w:r>
      </w:hyperlink>
      <w:r>
        <w:rPr>
          <w:sz w:val="16"/>
        </w:rPr>
        <w:t> Los Mochis, Sinaloa, México.</w:t>
      </w:r>
    </w:p>
    <w:p>
      <w:pPr>
        <w:pStyle w:val="BodyText"/>
        <w:spacing w:before="5"/>
        <w:rPr>
          <w:sz w:val="16"/>
        </w:rPr>
      </w:pPr>
    </w:p>
    <w:p>
      <w:pPr>
        <w:pStyle w:val="Heading4"/>
      </w:pPr>
      <w:r>
        <w:rPr/>
        <w:pict>
          <v:line style="position:absolute;mso-position-horizontal-relative:page;mso-position-vertical-relative:paragraph;z-index:15304" from="41.040001pt,13.205924pt" to="289.860001pt,13.205924pt" stroked="true" strokeweight="1.5pt" strokecolor="#000000">
            <w10:wrap type="none"/>
          </v:line>
        </w:pict>
      </w:r>
      <w:r>
        <w:rPr/>
        <w:t>Resumen</w:t>
      </w:r>
    </w:p>
    <w:p>
      <w:pPr>
        <w:pStyle w:val="BodyText"/>
        <w:spacing w:before="46"/>
        <w:ind w:left="270" w:right="18"/>
        <w:jc w:val="both"/>
      </w:pPr>
      <w:r>
        <w:rPr/>
        <w:t>La presencia de enfermedades referentes al trabajo en los choferes de camiones urbanos es común, La mayoría de los choferes trabajan más de 8 horas diarias, este trabajo es muy repetitivo y se realiza en un ambiente poco confortable debido a que su área de trabajo no está diseñada ergonómicamente, la mayoría de los choferes no se alimentan antes de iniciar su jornada laboral, comen mientras llevan a cabo su trabajo y no realizan ningún tipo de ejercicio físico, A simple vista podemos percatarnos de la vibración constante, del esfuerzo que se realiza al girar el volante y de los movimientos realizados para cobrar el pasaje por este motivo nos dimos a la tarea de aplicar el cuestionario de fatiga subjetiva de Yoshitake y la escala de 4 puntos de Luke a 30 choferes durante tres semanas en la ciudad de Los Mochis Sinaloa. Con la realización de estos estudios logramos saber cuál es la parte del cuerpo más afectada, Algunos de estos trabajadores han dedicado gran parte de su vida a este trabajo. Por este motivo la realización de estas actividades pueden ser causas de fatiga física.  Todo  esto tiene como motivo ayudar a mejorar el área de trabajo de los choferes de camiones urbanos evitando fatiga para poder mejorar su calidad de</w:t>
      </w:r>
      <w:r>
        <w:rPr>
          <w:spacing w:val="-11"/>
        </w:rPr>
        <w:t> </w:t>
      </w:r>
      <w:r>
        <w:rPr/>
        <w:t>vida.</w:t>
      </w:r>
    </w:p>
    <w:p>
      <w:pPr>
        <w:pStyle w:val="BodyText"/>
      </w:pPr>
    </w:p>
    <w:p>
      <w:pPr>
        <w:pStyle w:val="BodyText"/>
        <w:spacing w:before="1"/>
        <w:ind w:left="270" w:right="21"/>
        <w:jc w:val="both"/>
      </w:pPr>
      <w:r>
        <w:rPr>
          <w:b/>
        </w:rPr>
        <w:t>Palabras clave</w:t>
      </w:r>
      <w:r>
        <w:rPr/>
        <w:t>— Yoshitake, cuatro puntos de Luke, conductores, cansancio.</w:t>
      </w:r>
    </w:p>
    <w:p>
      <w:pPr>
        <w:pStyle w:val="BodyText"/>
        <w:spacing w:before="4"/>
      </w:pPr>
    </w:p>
    <w:p>
      <w:pPr>
        <w:pStyle w:val="Heading5"/>
        <w:rPr>
          <w:i/>
        </w:rPr>
      </w:pPr>
      <w:r>
        <w:rPr/>
        <w:pict>
          <v:line style="position:absolute;mso-position-horizontal-relative:page;mso-position-vertical-relative:paragraph;z-index:15328" from="41.040001pt,13.206818pt" to="289.860001pt,13.206818pt" stroked="true" strokeweight="1.5pt" strokecolor="#000000">
            <w10:wrap type="none"/>
          </v:line>
        </w:pict>
      </w:r>
      <w:r>
        <w:rPr>
          <w:i/>
        </w:rPr>
        <w:t>Abstract</w:t>
      </w:r>
    </w:p>
    <w:p>
      <w:pPr>
        <w:spacing w:before="46"/>
        <w:ind w:left="270" w:right="18" w:firstLine="0"/>
        <w:jc w:val="both"/>
        <w:rPr>
          <w:i/>
          <w:sz w:val="20"/>
        </w:rPr>
      </w:pPr>
      <w:r>
        <w:rPr>
          <w:i/>
          <w:sz w:val="20"/>
        </w:rPr>
        <w:t>The</w:t>
      </w:r>
      <w:r>
        <w:rPr>
          <w:i/>
          <w:spacing w:val="-5"/>
          <w:sz w:val="20"/>
        </w:rPr>
        <w:t> </w:t>
      </w:r>
      <w:r>
        <w:rPr>
          <w:i/>
          <w:sz w:val="20"/>
        </w:rPr>
        <w:t>presence</w:t>
      </w:r>
      <w:r>
        <w:rPr>
          <w:i/>
          <w:spacing w:val="-5"/>
          <w:sz w:val="20"/>
        </w:rPr>
        <w:t> </w:t>
      </w:r>
      <w:r>
        <w:rPr>
          <w:i/>
          <w:sz w:val="20"/>
        </w:rPr>
        <w:t>of</w:t>
      </w:r>
      <w:r>
        <w:rPr>
          <w:i/>
          <w:spacing w:val="-5"/>
          <w:sz w:val="20"/>
        </w:rPr>
        <w:t> </w:t>
      </w:r>
      <w:r>
        <w:rPr>
          <w:i/>
          <w:sz w:val="20"/>
        </w:rPr>
        <w:t>diseases</w:t>
      </w:r>
      <w:r>
        <w:rPr>
          <w:i/>
          <w:spacing w:val="-4"/>
          <w:sz w:val="20"/>
        </w:rPr>
        <w:t> </w:t>
      </w:r>
      <w:r>
        <w:rPr>
          <w:i/>
          <w:sz w:val="20"/>
        </w:rPr>
        <w:t>related</w:t>
      </w:r>
      <w:r>
        <w:rPr>
          <w:i/>
          <w:spacing w:val="-5"/>
          <w:sz w:val="20"/>
        </w:rPr>
        <w:t> </w:t>
      </w:r>
      <w:r>
        <w:rPr>
          <w:i/>
          <w:sz w:val="20"/>
        </w:rPr>
        <w:t>to</w:t>
      </w:r>
      <w:r>
        <w:rPr>
          <w:i/>
          <w:spacing w:val="-4"/>
          <w:sz w:val="20"/>
        </w:rPr>
        <w:t> </w:t>
      </w:r>
      <w:r>
        <w:rPr>
          <w:i/>
          <w:sz w:val="20"/>
        </w:rPr>
        <w:t>work</w:t>
      </w:r>
      <w:r>
        <w:rPr>
          <w:i/>
          <w:spacing w:val="-5"/>
          <w:sz w:val="20"/>
        </w:rPr>
        <w:t> </w:t>
      </w:r>
      <w:r>
        <w:rPr>
          <w:i/>
          <w:sz w:val="20"/>
        </w:rPr>
        <w:t>in</w:t>
      </w:r>
      <w:r>
        <w:rPr>
          <w:i/>
          <w:spacing w:val="-5"/>
          <w:sz w:val="20"/>
        </w:rPr>
        <w:t> </w:t>
      </w:r>
      <w:r>
        <w:rPr>
          <w:i/>
          <w:sz w:val="20"/>
        </w:rPr>
        <w:t>urban</w:t>
      </w:r>
      <w:r>
        <w:rPr>
          <w:i/>
          <w:spacing w:val="-5"/>
          <w:sz w:val="20"/>
        </w:rPr>
        <w:t> </w:t>
      </w:r>
      <w:r>
        <w:rPr>
          <w:i/>
          <w:sz w:val="20"/>
        </w:rPr>
        <w:t>bus</w:t>
      </w:r>
      <w:r>
        <w:rPr>
          <w:i/>
          <w:spacing w:val="-6"/>
          <w:sz w:val="20"/>
        </w:rPr>
        <w:t> </w:t>
      </w:r>
      <w:r>
        <w:rPr>
          <w:i/>
          <w:sz w:val="20"/>
        </w:rPr>
        <w:t>drivers </w:t>
      </w:r>
      <w:r>
        <w:rPr>
          <w:i/>
          <w:sz w:val="20"/>
        </w:rPr>
        <w:t>is common, Most drivers work more than 8 hours per day, this work is very repetitive and is performed in an uncomfortable environment because the work area is not ergonomically designed, most drivers don’t eat before starting their workday, eat while doing their work, don’t do any physical exercise, there’s constant vibration on the bus, they make effort to turn the wheel and movements  to </w:t>
      </w:r>
      <w:r>
        <w:rPr>
          <w:i/>
          <w:spacing w:val="38"/>
          <w:sz w:val="20"/>
        </w:rPr>
        <w:t> </w:t>
      </w:r>
      <w:r>
        <w:rPr>
          <w:i/>
          <w:sz w:val="20"/>
        </w:rPr>
        <w:t>collect</w:t>
      </w:r>
    </w:p>
    <w:p>
      <w:pPr>
        <w:spacing w:before="74"/>
        <w:ind w:left="270" w:right="675" w:firstLine="0"/>
        <w:jc w:val="both"/>
        <w:rPr>
          <w:i/>
          <w:sz w:val="20"/>
        </w:rPr>
      </w:pPr>
      <w:r>
        <w:rPr/>
        <w:br w:type="column"/>
      </w:r>
      <w:r>
        <w:rPr>
          <w:i/>
          <w:sz w:val="20"/>
        </w:rPr>
        <w:t>the</w:t>
      </w:r>
      <w:r>
        <w:rPr>
          <w:i/>
          <w:spacing w:val="-6"/>
          <w:sz w:val="20"/>
        </w:rPr>
        <w:t> </w:t>
      </w:r>
      <w:r>
        <w:rPr>
          <w:i/>
          <w:sz w:val="20"/>
        </w:rPr>
        <w:t>ticket,</w:t>
      </w:r>
      <w:r>
        <w:rPr>
          <w:i/>
          <w:spacing w:val="-5"/>
          <w:sz w:val="20"/>
        </w:rPr>
        <w:t> </w:t>
      </w:r>
      <w:r>
        <w:rPr>
          <w:i/>
          <w:sz w:val="20"/>
        </w:rPr>
        <w:t>for</w:t>
      </w:r>
      <w:r>
        <w:rPr>
          <w:i/>
          <w:spacing w:val="-6"/>
          <w:sz w:val="20"/>
        </w:rPr>
        <w:t> </w:t>
      </w:r>
      <w:r>
        <w:rPr>
          <w:i/>
          <w:sz w:val="20"/>
        </w:rPr>
        <w:t>this</w:t>
      </w:r>
      <w:r>
        <w:rPr>
          <w:i/>
          <w:spacing w:val="-6"/>
          <w:sz w:val="20"/>
        </w:rPr>
        <w:t> </w:t>
      </w:r>
      <w:r>
        <w:rPr>
          <w:i/>
          <w:sz w:val="20"/>
        </w:rPr>
        <w:t>reason</w:t>
      </w:r>
      <w:r>
        <w:rPr>
          <w:i/>
          <w:spacing w:val="-6"/>
          <w:sz w:val="20"/>
        </w:rPr>
        <w:t> </w:t>
      </w:r>
      <w:r>
        <w:rPr>
          <w:i/>
          <w:sz w:val="20"/>
        </w:rPr>
        <w:t>we</w:t>
      </w:r>
      <w:r>
        <w:rPr>
          <w:i/>
          <w:spacing w:val="-6"/>
          <w:sz w:val="20"/>
        </w:rPr>
        <w:t> </w:t>
      </w:r>
      <w:r>
        <w:rPr>
          <w:i/>
          <w:sz w:val="20"/>
        </w:rPr>
        <w:t>took</w:t>
      </w:r>
      <w:r>
        <w:rPr>
          <w:i/>
          <w:spacing w:val="-7"/>
          <w:sz w:val="20"/>
        </w:rPr>
        <w:t> </w:t>
      </w:r>
      <w:r>
        <w:rPr>
          <w:i/>
          <w:sz w:val="20"/>
        </w:rPr>
        <w:t>on</w:t>
      </w:r>
      <w:r>
        <w:rPr>
          <w:i/>
          <w:spacing w:val="-6"/>
          <w:sz w:val="20"/>
        </w:rPr>
        <w:t> </w:t>
      </w:r>
      <w:r>
        <w:rPr>
          <w:i/>
          <w:sz w:val="20"/>
        </w:rPr>
        <w:t>the</w:t>
      </w:r>
      <w:r>
        <w:rPr>
          <w:i/>
          <w:spacing w:val="-6"/>
          <w:sz w:val="20"/>
        </w:rPr>
        <w:t> </w:t>
      </w:r>
      <w:r>
        <w:rPr>
          <w:i/>
          <w:sz w:val="20"/>
        </w:rPr>
        <w:t>task</w:t>
      </w:r>
      <w:r>
        <w:rPr>
          <w:i/>
          <w:spacing w:val="-6"/>
          <w:sz w:val="20"/>
        </w:rPr>
        <w:t> </w:t>
      </w:r>
      <w:r>
        <w:rPr>
          <w:i/>
          <w:sz w:val="20"/>
        </w:rPr>
        <w:t>of</w:t>
      </w:r>
      <w:r>
        <w:rPr>
          <w:i/>
          <w:spacing w:val="-6"/>
          <w:sz w:val="20"/>
        </w:rPr>
        <w:t> </w:t>
      </w:r>
      <w:r>
        <w:rPr>
          <w:i/>
          <w:spacing w:val="-2"/>
          <w:sz w:val="20"/>
        </w:rPr>
        <w:t>implementing </w:t>
      </w:r>
      <w:r>
        <w:rPr>
          <w:i/>
          <w:sz w:val="20"/>
        </w:rPr>
        <w:t>the subjective fatigue questionnaire of Yoshitake and 4-point scale of Luke 30 drivers for three weeks in the city of </w:t>
      </w:r>
      <w:r>
        <w:rPr>
          <w:i/>
          <w:spacing w:val="-2"/>
          <w:sz w:val="20"/>
        </w:rPr>
        <w:t>Los </w:t>
      </w:r>
      <w:r>
        <w:rPr>
          <w:i/>
          <w:sz w:val="20"/>
        </w:rPr>
        <w:t>Mochis Sinaloa . With the completion of Studies we’ll achieve  to  know   the   most   affected part of the body, some of these workers have dedicated much of his life to this work.</w:t>
      </w:r>
      <w:r>
        <w:rPr>
          <w:i/>
          <w:spacing w:val="-8"/>
          <w:sz w:val="20"/>
        </w:rPr>
        <w:t> </w:t>
      </w:r>
      <w:r>
        <w:rPr>
          <w:i/>
          <w:sz w:val="20"/>
        </w:rPr>
        <w:t>Therefore</w:t>
      </w:r>
      <w:r>
        <w:rPr>
          <w:i/>
          <w:spacing w:val="-8"/>
          <w:sz w:val="20"/>
        </w:rPr>
        <w:t> </w:t>
      </w:r>
      <w:r>
        <w:rPr>
          <w:i/>
          <w:sz w:val="20"/>
        </w:rPr>
        <w:t>the</w:t>
      </w:r>
      <w:r>
        <w:rPr>
          <w:i/>
          <w:spacing w:val="-8"/>
          <w:sz w:val="20"/>
        </w:rPr>
        <w:t> </w:t>
      </w:r>
      <w:r>
        <w:rPr>
          <w:i/>
          <w:sz w:val="20"/>
        </w:rPr>
        <w:t>realization</w:t>
      </w:r>
      <w:r>
        <w:rPr>
          <w:i/>
          <w:spacing w:val="-8"/>
          <w:sz w:val="20"/>
        </w:rPr>
        <w:t> </w:t>
      </w:r>
      <w:r>
        <w:rPr>
          <w:i/>
          <w:sz w:val="20"/>
        </w:rPr>
        <w:t>of</w:t>
      </w:r>
      <w:r>
        <w:rPr>
          <w:i/>
          <w:spacing w:val="-9"/>
          <w:sz w:val="20"/>
        </w:rPr>
        <w:t> </w:t>
      </w:r>
      <w:r>
        <w:rPr>
          <w:i/>
          <w:sz w:val="20"/>
        </w:rPr>
        <w:t>these</w:t>
      </w:r>
      <w:r>
        <w:rPr>
          <w:i/>
          <w:spacing w:val="-8"/>
          <w:sz w:val="20"/>
        </w:rPr>
        <w:t> </w:t>
      </w:r>
      <w:r>
        <w:rPr>
          <w:i/>
          <w:sz w:val="20"/>
        </w:rPr>
        <w:t>activities</w:t>
      </w:r>
      <w:r>
        <w:rPr>
          <w:i/>
          <w:spacing w:val="-8"/>
          <w:sz w:val="20"/>
        </w:rPr>
        <w:t> </w:t>
      </w:r>
      <w:r>
        <w:rPr>
          <w:i/>
          <w:sz w:val="20"/>
        </w:rPr>
        <w:t>on</w:t>
      </w:r>
      <w:r>
        <w:rPr>
          <w:i/>
          <w:spacing w:val="-8"/>
          <w:sz w:val="20"/>
        </w:rPr>
        <w:t> </w:t>
      </w:r>
      <w:r>
        <w:rPr>
          <w:i/>
          <w:sz w:val="20"/>
        </w:rPr>
        <w:t>his</w:t>
      </w:r>
      <w:r>
        <w:rPr>
          <w:i/>
          <w:spacing w:val="-8"/>
          <w:sz w:val="20"/>
        </w:rPr>
        <w:t> </w:t>
      </w:r>
      <w:r>
        <w:rPr>
          <w:i/>
          <w:sz w:val="20"/>
        </w:rPr>
        <w:t>work can be the causes of physical fatigue. All with has the purpose of helping to improve the workspace of the urban bus</w:t>
      </w:r>
      <w:r>
        <w:rPr>
          <w:i/>
          <w:spacing w:val="-11"/>
          <w:sz w:val="20"/>
        </w:rPr>
        <w:t> </w:t>
      </w:r>
      <w:r>
        <w:rPr>
          <w:i/>
          <w:sz w:val="20"/>
        </w:rPr>
        <w:t>drivers</w:t>
      </w:r>
      <w:r>
        <w:rPr>
          <w:i/>
          <w:spacing w:val="-10"/>
          <w:sz w:val="20"/>
        </w:rPr>
        <w:t> </w:t>
      </w:r>
      <w:r>
        <w:rPr>
          <w:i/>
          <w:sz w:val="20"/>
        </w:rPr>
        <w:t>avoiding</w:t>
      </w:r>
      <w:r>
        <w:rPr>
          <w:i/>
          <w:spacing w:val="-10"/>
          <w:sz w:val="20"/>
        </w:rPr>
        <w:t> </w:t>
      </w:r>
      <w:r>
        <w:rPr>
          <w:i/>
          <w:sz w:val="20"/>
        </w:rPr>
        <w:t>fatigue</w:t>
      </w:r>
      <w:r>
        <w:rPr>
          <w:i/>
          <w:spacing w:val="-10"/>
          <w:sz w:val="20"/>
        </w:rPr>
        <w:t> </w:t>
      </w:r>
      <w:r>
        <w:rPr>
          <w:i/>
          <w:sz w:val="20"/>
        </w:rPr>
        <w:t>to</w:t>
      </w:r>
      <w:r>
        <w:rPr>
          <w:i/>
          <w:spacing w:val="-10"/>
          <w:sz w:val="20"/>
        </w:rPr>
        <w:t> </w:t>
      </w:r>
      <w:r>
        <w:rPr>
          <w:i/>
          <w:sz w:val="20"/>
        </w:rPr>
        <w:t>enhance</w:t>
      </w:r>
      <w:r>
        <w:rPr>
          <w:i/>
          <w:spacing w:val="-10"/>
          <w:sz w:val="20"/>
        </w:rPr>
        <w:t> </w:t>
      </w:r>
      <w:r>
        <w:rPr>
          <w:i/>
          <w:sz w:val="20"/>
        </w:rPr>
        <w:t>their</w:t>
      </w:r>
      <w:r>
        <w:rPr>
          <w:i/>
          <w:spacing w:val="-11"/>
          <w:sz w:val="20"/>
        </w:rPr>
        <w:t> </w:t>
      </w:r>
      <w:r>
        <w:rPr>
          <w:i/>
          <w:sz w:val="20"/>
        </w:rPr>
        <w:t>quality</w:t>
      </w:r>
      <w:r>
        <w:rPr>
          <w:i/>
          <w:spacing w:val="-10"/>
          <w:sz w:val="20"/>
        </w:rPr>
        <w:t> </w:t>
      </w:r>
      <w:r>
        <w:rPr>
          <w:i/>
          <w:sz w:val="20"/>
        </w:rPr>
        <w:t>of</w:t>
      </w:r>
      <w:r>
        <w:rPr>
          <w:i/>
          <w:spacing w:val="-10"/>
          <w:sz w:val="20"/>
        </w:rPr>
        <w:t> </w:t>
      </w:r>
      <w:r>
        <w:rPr>
          <w:i/>
          <w:sz w:val="20"/>
        </w:rPr>
        <w:t>life.</w:t>
      </w:r>
    </w:p>
    <w:p>
      <w:pPr>
        <w:pStyle w:val="BodyText"/>
        <w:spacing w:before="11"/>
        <w:rPr>
          <w:i/>
          <w:sz w:val="19"/>
        </w:rPr>
      </w:pPr>
    </w:p>
    <w:p>
      <w:pPr>
        <w:spacing w:before="0"/>
        <w:ind w:left="270" w:right="0" w:firstLine="0"/>
        <w:jc w:val="both"/>
        <w:rPr>
          <w:i/>
          <w:sz w:val="20"/>
        </w:rPr>
      </w:pPr>
      <w:r>
        <w:rPr>
          <w:b/>
          <w:i/>
          <w:sz w:val="20"/>
        </w:rPr>
        <w:t>Keywords</w:t>
      </w:r>
      <w:r>
        <w:rPr>
          <w:i/>
          <w:sz w:val="20"/>
        </w:rPr>
        <w:t>— Yoshitake, 4-point scale of Luke, Bus drivers.</w:t>
      </w:r>
    </w:p>
    <w:p>
      <w:pPr>
        <w:pStyle w:val="BodyText"/>
        <w:spacing w:before="11"/>
        <w:rPr>
          <w:i/>
          <w:sz w:val="19"/>
        </w:rPr>
      </w:pPr>
    </w:p>
    <w:p>
      <w:pPr>
        <w:pStyle w:val="BodyText"/>
        <w:ind w:left="270" w:right="677"/>
        <w:jc w:val="both"/>
      </w:pPr>
      <w:r>
        <w:rPr/>
        <w:t>Relevance to Ergonomics: With this study has been noted the importance of applying ergonomics on the workplace of a bus driver, despite existing studies on the same subject, there are cities where people don’t have the knowledge or culture on occupational health of the worker, so this study helps foster good workplace design and use of the</w:t>
      </w:r>
      <w:r>
        <w:rPr>
          <w:spacing w:val="-25"/>
        </w:rPr>
        <w:t> </w:t>
      </w:r>
      <w:r>
        <w:rPr/>
        <w:t>same.</w:t>
      </w:r>
    </w:p>
    <w:p>
      <w:pPr>
        <w:pStyle w:val="BodyText"/>
        <w:spacing w:before="3"/>
      </w:pPr>
    </w:p>
    <w:p>
      <w:pPr>
        <w:pStyle w:val="Heading4"/>
        <w:numPr>
          <w:ilvl w:val="0"/>
          <w:numId w:val="130"/>
        </w:numPr>
        <w:tabs>
          <w:tab w:pos="473" w:val="left" w:leader="none"/>
        </w:tabs>
        <w:spacing w:line="240" w:lineRule="auto" w:before="0" w:after="0"/>
        <w:ind w:left="472" w:right="0" w:hanging="202"/>
        <w:jc w:val="both"/>
      </w:pPr>
      <w:r>
        <w:rPr/>
        <w:t>Introduction</w:t>
      </w:r>
    </w:p>
    <w:p>
      <w:pPr>
        <w:pStyle w:val="BodyText"/>
        <w:spacing w:before="8"/>
        <w:rPr>
          <w:b/>
          <w:sz w:val="19"/>
        </w:rPr>
      </w:pPr>
    </w:p>
    <w:p>
      <w:pPr>
        <w:pStyle w:val="BodyText"/>
        <w:ind w:left="270" w:right="675"/>
        <w:jc w:val="both"/>
      </w:pPr>
      <w:r>
        <w:rPr/>
        <w:t>In our country, more and more companies are obliged to worry about the occupational health of its workers because many of them do not have an area of specialized personnel in the prevention and health promotion at work. In the city  of Los Mochis, transportation sector, this subject is not well developed since the presence of diseases relating to  the work on drivers is common, and were no studies that focus towards this, ignoring the quality of life and job security of workers.</w:t>
      </w:r>
    </w:p>
    <w:p>
      <w:pPr>
        <w:pStyle w:val="BodyText"/>
        <w:spacing w:before="11"/>
        <w:rPr>
          <w:sz w:val="19"/>
        </w:rPr>
      </w:pPr>
    </w:p>
    <w:p>
      <w:pPr>
        <w:pStyle w:val="BodyText"/>
        <w:ind w:left="270" w:right="675" w:firstLine="567"/>
        <w:jc w:val="both"/>
      </w:pPr>
      <w:r>
        <w:rPr/>
        <w:t>The companies in our country should make periodic evaluations in their organizations, concerning occupational health and occupational hazards to which workers are exposed; the staff of each company is susceptible of injury, occupational diseases or accidents, caused by risk factors presented in the company. Such is the case of bus drivers of the public service in the city, since some aspects such as working hours, shift rotation, rest periods, work breaks, the effect upon the body caused by positions that must maintained, can provoke fatigue. For this reason we took on the task of implementing the subjective fatigue  questionnaire of Yoshitake and 4-point scale Luke 28  drivers for three weeks in order to test our hypothesis is correct.</w:t>
      </w:r>
    </w:p>
    <w:p>
      <w:pPr>
        <w:pStyle w:val="BodyText"/>
      </w:pPr>
    </w:p>
    <w:p>
      <w:pPr>
        <w:pStyle w:val="BodyText"/>
        <w:spacing w:before="2"/>
      </w:pPr>
    </w:p>
    <w:p>
      <w:pPr>
        <w:pStyle w:val="Heading4"/>
        <w:numPr>
          <w:ilvl w:val="1"/>
          <w:numId w:val="130"/>
        </w:numPr>
        <w:tabs>
          <w:tab w:pos="631" w:val="left" w:leader="none"/>
        </w:tabs>
        <w:spacing w:line="240" w:lineRule="auto" w:before="0" w:after="0"/>
        <w:ind w:left="630" w:right="0" w:hanging="360"/>
        <w:jc w:val="both"/>
      </w:pPr>
      <w:r>
        <w:rPr/>
        <w:t>Justification</w:t>
      </w:r>
    </w:p>
    <w:p>
      <w:pPr>
        <w:pStyle w:val="BodyText"/>
        <w:spacing w:before="8"/>
        <w:rPr>
          <w:b/>
          <w:sz w:val="19"/>
        </w:rPr>
      </w:pPr>
    </w:p>
    <w:p>
      <w:pPr>
        <w:pStyle w:val="BodyText"/>
        <w:ind w:left="270" w:right="676"/>
        <w:jc w:val="both"/>
      </w:pPr>
      <w:r>
        <w:rPr/>
        <w:t>Health and concentration of all the people is very important in the work of a bus driver that coexists with a lot of people due to an accident he can damage people when going up the bus (customers) and to other people, as well as  the  bus driver can get hurt.</w:t>
      </w:r>
    </w:p>
    <w:p>
      <w:pPr>
        <w:pStyle w:val="BodyText"/>
        <w:spacing w:before="11"/>
        <w:rPr>
          <w:sz w:val="19"/>
        </w:rPr>
      </w:pPr>
    </w:p>
    <w:p>
      <w:pPr>
        <w:pStyle w:val="BodyText"/>
        <w:ind w:left="270" w:right="677" w:firstLine="567"/>
        <w:jc w:val="both"/>
      </w:pPr>
      <w:r>
        <w:rPr/>
        <w:t>It is why the study of fatigue will be made by applying the fatigue questionnaire opinion of Yoshitake and</w:t>
      </w:r>
    </w:p>
    <w:p>
      <w:pPr>
        <w:spacing w:after="0"/>
        <w:jc w:val="both"/>
        <w:sectPr>
          <w:type w:val="continuous"/>
          <w:pgSz w:w="12240" w:h="15840"/>
          <w:pgMar w:top="1500" w:bottom="280" w:left="580" w:right="220"/>
          <w:cols w:num="2" w:equalWidth="0">
            <w:col w:w="5211" w:space="414"/>
            <w:col w:w="5815"/>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4"/>
        <w:ind w:left="270" w:right="1"/>
        <w:jc w:val="both"/>
      </w:pPr>
      <w:r>
        <w:rPr/>
        <w:t>4-point scale of Luke to know what are the reasons that  cause the feeling of excessive working, tiredness or  weakness that cause labor to become more difficult. This service involves a large part of the population of this city for which is intend to use this research as a method of  prevention towards a future</w:t>
      </w:r>
      <w:r>
        <w:rPr>
          <w:spacing w:val="-12"/>
        </w:rPr>
        <w:t> </w:t>
      </w:r>
      <w:r>
        <w:rPr/>
        <w:t>injury.</w:t>
      </w:r>
    </w:p>
    <w:p>
      <w:pPr>
        <w:pStyle w:val="BodyText"/>
        <w:spacing w:before="11"/>
        <w:rPr>
          <w:sz w:val="19"/>
        </w:rPr>
      </w:pPr>
    </w:p>
    <w:p>
      <w:pPr>
        <w:pStyle w:val="BodyText"/>
        <w:ind w:left="270" w:right="1" w:firstLine="567"/>
        <w:jc w:val="both"/>
      </w:pPr>
      <w:r>
        <w:rPr/>
        <w:t>We also believe that all work should be ergonomic because if we focus on the concept of ergonomics "the natural way of doing things" would have less tired workers and do better quality</w:t>
      </w:r>
      <w:r>
        <w:rPr>
          <w:spacing w:val="-16"/>
        </w:rPr>
        <w:t> </w:t>
      </w:r>
      <w:r>
        <w:rPr/>
        <w:t>work.</w:t>
      </w:r>
    </w:p>
    <w:p>
      <w:pPr>
        <w:pStyle w:val="BodyText"/>
        <w:spacing w:before="11"/>
        <w:rPr>
          <w:sz w:val="19"/>
        </w:rPr>
      </w:pPr>
    </w:p>
    <w:p>
      <w:pPr>
        <w:pStyle w:val="BodyText"/>
        <w:ind w:left="2400" w:right="-9" w:hanging="2124"/>
      </w:pPr>
      <w:r>
        <w:rPr/>
        <w:pict>
          <v:shape style="position:absolute;margin-left:37.845001pt;margin-top:23.721586pt;width:245.2pt;height:135.7pt;mso-position-horizontal-relative:page;mso-position-vertical-relative:paragraph;z-index:15352" type="#_x0000_t202" filled="false" stroked="false">
            <v:textbox inset="0,0,0,0">
              <w:txbxContent>
                <w:tbl>
                  <w:tblPr>
                    <w:tblW w:w="0" w:type="auto"/>
                    <w:jc w:val="lef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1736"/>
                    <w:gridCol w:w="527"/>
                    <w:gridCol w:w="526"/>
                    <w:gridCol w:w="527"/>
                    <w:gridCol w:w="526"/>
                    <w:gridCol w:w="527"/>
                    <w:gridCol w:w="526"/>
                  </w:tblGrid>
                  <w:tr>
                    <w:trPr>
                      <w:trHeight w:val="891" w:hRule="exact"/>
                    </w:trPr>
                    <w:tc>
                      <w:tcPr>
                        <w:tcW w:w="4893" w:type="dxa"/>
                        <w:gridSpan w:val="7"/>
                        <w:tcBorders>
                          <w:bottom w:val="single" w:sz="5" w:space="0" w:color="000000"/>
                          <w:right w:val="single" w:sz="3" w:space="0" w:color="000000"/>
                        </w:tcBorders>
                      </w:tcPr>
                      <w:p>
                        <w:pPr>
                          <w:pStyle w:val="TableParagraph"/>
                          <w:spacing w:before="6"/>
                          <w:ind w:left="2189" w:right="2021"/>
                          <w:jc w:val="center"/>
                          <w:rPr>
                            <w:rFonts w:ascii="Calibri"/>
                            <w:sz w:val="10"/>
                          </w:rPr>
                        </w:pPr>
                        <w:r>
                          <w:rPr>
                            <w:rFonts w:ascii="Calibri"/>
                            <w:sz w:val="10"/>
                          </w:rPr>
                          <w:t>Table 1</w:t>
                        </w:r>
                      </w:p>
                      <w:p>
                        <w:pPr>
                          <w:pStyle w:val="TableParagraph"/>
                          <w:spacing w:line="290" w:lineRule="auto" w:before="17"/>
                          <w:ind w:left="1026" w:right="937" w:firstLine="243"/>
                          <w:rPr>
                            <w:rFonts w:ascii="Calibri" w:hAnsi="Calibri"/>
                            <w:sz w:val="17"/>
                          </w:rPr>
                        </w:pPr>
                        <w:r>
                          <w:rPr>
                            <w:rFonts w:ascii="Calibri" w:hAnsi="Calibri"/>
                            <w:sz w:val="17"/>
                          </w:rPr>
                          <w:t>Occupational diseases according nature of the injury and sex,  2011‐2013</w:t>
                        </w:r>
                      </w:p>
                      <w:p>
                        <w:pPr>
                          <w:pStyle w:val="TableParagraph"/>
                          <w:spacing w:line="186" w:lineRule="exact"/>
                          <w:ind w:left="2189" w:right="2158"/>
                          <w:jc w:val="center"/>
                          <w:rPr>
                            <w:rFonts w:ascii="Calibri"/>
                            <w:sz w:val="17"/>
                          </w:rPr>
                        </w:pPr>
                        <w:r>
                          <w:rPr>
                            <w:rFonts w:ascii="Calibri"/>
                            <w:sz w:val="17"/>
                          </w:rPr>
                          <w:t>Sinaloa</w:t>
                        </w:r>
                      </w:p>
                    </w:tc>
                  </w:tr>
                  <w:tr>
                    <w:trPr>
                      <w:trHeight w:val="135" w:hRule="exact"/>
                    </w:trPr>
                    <w:tc>
                      <w:tcPr>
                        <w:tcW w:w="1736" w:type="dxa"/>
                        <w:vMerge w:val="restart"/>
                        <w:tcBorders>
                          <w:top w:val="single" w:sz="5" w:space="0" w:color="000000"/>
                          <w:right w:val="single" w:sz="3" w:space="0" w:color="000000"/>
                        </w:tcBorders>
                        <w:shd w:val="clear" w:color="auto" w:fill="CFCDCD"/>
                      </w:tcPr>
                      <w:p>
                        <w:pPr>
                          <w:pStyle w:val="TableParagraph"/>
                          <w:spacing w:before="64"/>
                          <w:ind w:left="468" w:right="-12"/>
                          <w:rPr>
                            <w:rFonts w:ascii="Calibri"/>
                            <w:sz w:val="10"/>
                          </w:rPr>
                        </w:pPr>
                        <w:r>
                          <w:rPr>
                            <w:rFonts w:ascii="Calibri"/>
                            <w:sz w:val="10"/>
                          </w:rPr>
                          <w:t>Nature of the injury</w:t>
                        </w:r>
                      </w:p>
                    </w:tc>
                    <w:tc>
                      <w:tcPr>
                        <w:tcW w:w="1052" w:type="dxa"/>
                        <w:gridSpan w:val="2"/>
                        <w:tcBorders>
                          <w:top w:val="single" w:sz="5" w:space="0" w:color="000000"/>
                          <w:left w:val="single" w:sz="3" w:space="0" w:color="000000"/>
                          <w:bottom w:val="single" w:sz="3" w:space="0" w:color="000000"/>
                          <w:right w:val="single" w:sz="3" w:space="0" w:color="000000"/>
                        </w:tcBorders>
                        <w:shd w:val="clear" w:color="auto" w:fill="CFCDCD"/>
                      </w:tcPr>
                      <w:p>
                        <w:pPr>
                          <w:pStyle w:val="TableParagraph"/>
                          <w:spacing w:before="5"/>
                          <w:ind w:left="404" w:right="397"/>
                          <w:jc w:val="center"/>
                          <w:rPr>
                            <w:rFonts w:ascii="Calibri"/>
                            <w:sz w:val="10"/>
                          </w:rPr>
                        </w:pPr>
                        <w:r>
                          <w:rPr>
                            <w:rFonts w:ascii="Calibri"/>
                            <w:sz w:val="10"/>
                          </w:rPr>
                          <w:t>2011</w:t>
                        </w:r>
                      </w:p>
                    </w:tc>
                    <w:tc>
                      <w:tcPr>
                        <w:tcW w:w="1052" w:type="dxa"/>
                        <w:gridSpan w:val="2"/>
                        <w:tcBorders>
                          <w:top w:val="single" w:sz="5" w:space="0" w:color="000000"/>
                          <w:left w:val="single" w:sz="3" w:space="0" w:color="000000"/>
                          <w:bottom w:val="single" w:sz="3" w:space="0" w:color="000000"/>
                          <w:right w:val="single" w:sz="3" w:space="0" w:color="000000"/>
                        </w:tcBorders>
                        <w:shd w:val="clear" w:color="auto" w:fill="CFCDCD"/>
                      </w:tcPr>
                      <w:p>
                        <w:pPr>
                          <w:pStyle w:val="TableParagraph"/>
                          <w:spacing w:before="5"/>
                          <w:ind w:left="404" w:right="397"/>
                          <w:jc w:val="center"/>
                          <w:rPr>
                            <w:rFonts w:ascii="Calibri"/>
                            <w:sz w:val="10"/>
                          </w:rPr>
                        </w:pPr>
                        <w:r>
                          <w:rPr>
                            <w:rFonts w:ascii="Calibri"/>
                            <w:sz w:val="10"/>
                          </w:rPr>
                          <w:t>2012</w:t>
                        </w:r>
                      </w:p>
                    </w:tc>
                    <w:tc>
                      <w:tcPr>
                        <w:tcW w:w="1052" w:type="dxa"/>
                        <w:gridSpan w:val="2"/>
                        <w:tcBorders>
                          <w:top w:val="single" w:sz="5" w:space="0" w:color="000000"/>
                          <w:left w:val="single" w:sz="3" w:space="0" w:color="000000"/>
                          <w:bottom w:val="single" w:sz="3" w:space="0" w:color="000000"/>
                          <w:right w:val="single" w:sz="3" w:space="0" w:color="000000"/>
                        </w:tcBorders>
                        <w:shd w:val="clear" w:color="auto" w:fill="CFCDCD"/>
                      </w:tcPr>
                      <w:p>
                        <w:pPr>
                          <w:pStyle w:val="TableParagraph"/>
                          <w:spacing w:before="5"/>
                          <w:ind w:left="404" w:right="397"/>
                          <w:jc w:val="center"/>
                          <w:rPr>
                            <w:rFonts w:ascii="Calibri"/>
                            <w:sz w:val="10"/>
                          </w:rPr>
                        </w:pPr>
                        <w:r>
                          <w:rPr>
                            <w:rFonts w:ascii="Calibri"/>
                            <w:sz w:val="10"/>
                          </w:rPr>
                          <w:t>2013</w:t>
                        </w:r>
                      </w:p>
                    </w:tc>
                  </w:tr>
                  <w:tr>
                    <w:trPr>
                      <w:trHeight w:val="131" w:hRule="exact"/>
                    </w:trPr>
                    <w:tc>
                      <w:tcPr>
                        <w:tcW w:w="1736" w:type="dxa"/>
                        <w:vMerge/>
                        <w:tcBorders>
                          <w:bottom w:val="single" w:sz="3" w:space="0" w:color="000000"/>
                          <w:right w:val="single" w:sz="3" w:space="0" w:color="000000"/>
                        </w:tcBorders>
                        <w:shd w:val="clear" w:color="auto" w:fill="CFCDCD"/>
                      </w:tcPr>
                      <w:p>
                        <w:pPr/>
                      </w:p>
                    </w:tc>
                    <w:tc>
                      <w:tcPr>
                        <w:tcW w:w="527" w:type="dxa"/>
                        <w:tcBorders>
                          <w:top w:val="single" w:sz="3" w:space="0" w:color="000000"/>
                          <w:left w:val="single" w:sz="3" w:space="0" w:color="000000"/>
                          <w:bottom w:val="single" w:sz="3" w:space="0" w:color="000000"/>
                          <w:right w:val="single" w:sz="3" w:space="0" w:color="000000"/>
                        </w:tcBorders>
                        <w:shd w:val="clear" w:color="auto" w:fill="CFCDCD"/>
                      </w:tcPr>
                      <w:p>
                        <w:pPr>
                          <w:pStyle w:val="TableParagraph"/>
                          <w:spacing w:before="4"/>
                          <w:ind w:left="13"/>
                          <w:rPr>
                            <w:rFonts w:ascii="Calibri"/>
                            <w:sz w:val="10"/>
                          </w:rPr>
                        </w:pPr>
                        <w:r>
                          <w:rPr>
                            <w:rFonts w:ascii="Calibri"/>
                            <w:sz w:val="10"/>
                          </w:rPr>
                          <w:t>Men</w:t>
                        </w:r>
                      </w:p>
                    </w:tc>
                    <w:tc>
                      <w:tcPr>
                        <w:tcW w:w="526" w:type="dxa"/>
                        <w:tcBorders>
                          <w:top w:val="single" w:sz="3" w:space="0" w:color="000000"/>
                          <w:left w:val="single" w:sz="3" w:space="0" w:color="000000"/>
                          <w:bottom w:val="single" w:sz="3" w:space="0" w:color="000000"/>
                          <w:right w:val="single" w:sz="3" w:space="0" w:color="000000"/>
                        </w:tcBorders>
                        <w:shd w:val="clear" w:color="auto" w:fill="CFCDCD"/>
                      </w:tcPr>
                      <w:p>
                        <w:pPr>
                          <w:pStyle w:val="TableParagraph"/>
                          <w:spacing w:before="4"/>
                          <w:ind w:left="13"/>
                          <w:rPr>
                            <w:rFonts w:ascii="Calibri"/>
                            <w:sz w:val="10"/>
                          </w:rPr>
                        </w:pPr>
                        <w:r>
                          <w:rPr>
                            <w:rFonts w:ascii="Calibri"/>
                            <w:sz w:val="10"/>
                          </w:rPr>
                          <w:t>Women</w:t>
                        </w:r>
                      </w:p>
                    </w:tc>
                    <w:tc>
                      <w:tcPr>
                        <w:tcW w:w="527" w:type="dxa"/>
                        <w:tcBorders>
                          <w:top w:val="single" w:sz="3" w:space="0" w:color="000000"/>
                          <w:left w:val="single" w:sz="3" w:space="0" w:color="000000"/>
                          <w:bottom w:val="single" w:sz="3" w:space="0" w:color="000000"/>
                          <w:right w:val="single" w:sz="3" w:space="0" w:color="000000"/>
                        </w:tcBorders>
                        <w:shd w:val="clear" w:color="auto" w:fill="CFCDCD"/>
                      </w:tcPr>
                      <w:p>
                        <w:pPr>
                          <w:pStyle w:val="TableParagraph"/>
                          <w:spacing w:before="4"/>
                          <w:ind w:left="13"/>
                          <w:rPr>
                            <w:rFonts w:ascii="Calibri"/>
                            <w:sz w:val="10"/>
                          </w:rPr>
                        </w:pPr>
                        <w:r>
                          <w:rPr>
                            <w:rFonts w:ascii="Calibri"/>
                            <w:sz w:val="10"/>
                          </w:rPr>
                          <w:t>Men</w:t>
                        </w:r>
                      </w:p>
                    </w:tc>
                    <w:tc>
                      <w:tcPr>
                        <w:tcW w:w="526" w:type="dxa"/>
                        <w:tcBorders>
                          <w:top w:val="single" w:sz="3" w:space="0" w:color="000000"/>
                          <w:left w:val="single" w:sz="3" w:space="0" w:color="000000"/>
                          <w:bottom w:val="single" w:sz="3" w:space="0" w:color="000000"/>
                          <w:right w:val="single" w:sz="3" w:space="0" w:color="000000"/>
                        </w:tcBorders>
                        <w:shd w:val="clear" w:color="auto" w:fill="CFCDCD"/>
                      </w:tcPr>
                      <w:p>
                        <w:pPr>
                          <w:pStyle w:val="TableParagraph"/>
                          <w:spacing w:before="4"/>
                          <w:ind w:left="13"/>
                          <w:rPr>
                            <w:rFonts w:ascii="Calibri"/>
                            <w:sz w:val="10"/>
                          </w:rPr>
                        </w:pPr>
                        <w:r>
                          <w:rPr>
                            <w:rFonts w:ascii="Calibri"/>
                            <w:sz w:val="10"/>
                          </w:rPr>
                          <w:t>Women</w:t>
                        </w:r>
                      </w:p>
                    </w:tc>
                    <w:tc>
                      <w:tcPr>
                        <w:tcW w:w="527" w:type="dxa"/>
                        <w:tcBorders>
                          <w:top w:val="single" w:sz="3" w:space="0" w:color="000000"/>
                          <w:left w:val="single" w:sz="3" w:space="0" w:color="000000"/>
                          <w:bottom w:val="single" w:sz="3" w:space="0" w:color="000000"/>
                          <w:right w:val="single" w:sz="3" w:space="0" w:color="000000"/>
                        </w:tcBorders>
                        <w:shd w:val="clear" w:color="auto" w:fill="CFCDCD"/>
                      </w:tcPr>
                      <w:p>
                        <w:pPr>
                          <w:pStyle w:val="TableParagraph"/>
                          <w:spacing w:before="4"/>
                          <w:ind w:left="13"/>
                          <w:rPr>
                            <w:rFonts w:ascii="Calibri"/>
                            <w:sz w:val="10"/>
                          </w:rPr>
                        </w:pPr>
                        <w:r>
                          <w:rPr>
                            <w:rFonts w:ascii="Calibri"/>
                            <w:sz w:val="10"/>
                          </w:rPr>
                          <w:t>Men</w:t>
                        </w:r>
                      </w:p>
                    </w:tc>
                    <w:tc>
                      <w:tcPr>
                        <w:tcW w:w="526" w:type="dxa"/>
                        <w:tcBorders>
                          <w:top w:val="single" w:sz="3" w:space="0" w:color="000000"/>
                          <w:left w:val="single" w:sz="3" w:space="0" w:color="000000"/>
                          <w:bottom w:val="single" w:sz="3" w:space="0" w:color="000000"/>
                          <w:right w:val="single" w:sz="3" w:space="0" w:color="000000"/>
                        </w:tcBorders>
                        <w:shd w:val="clear" w:color="auto" w:fill="CFCDCD"/>
                      </w:tcPr>
                      <w:p>
                        <w:pPr>
                          <w:pStyle w:val="TableParagraph"/>
                          <w:spacing w:before="4"/>
                          <w:ind w:left="13"/>
                          <w:rPr>
                            <w:rFonts w:ascii="Calibri"/>
                            <w:sz w:val="10"/>
                          </w:rPr>
                        </w:pPr>
                        <w:r>
                          <w:rPr>
                            <w:rFonts w:ascii="Calibri"/>
                            <w:sz w:val="10"/>
                          </w:rPr>
                          <w:t>Women</w:t>
                        </w:r>
                      </w:p>
                    </w:tc>
                  </w:tr>
                  <w:tr>
                    <w:trPr>
                      <w:trHeight w:val="131" w:hRule="exact"/>
                    </w:trPr>
                    <w:tc>
                      <w:tcPr>
                        <w:tcW w:w="1736" w:type="dxa"/>
                        <w:tcBorders>
                          <w:top w:val="single" w:sz="3" w:space="0" w:color="000000"/>
                          <w:right w:val="single" w:sz="3" w:space="0" w:color="000000"/>
                        </w:tcBorders>
                        <w:shd w:val="clear" w:color="auto" w:fill="E6E4E4"/>
                      </w:tcPr>
                      <w:p>
                        <w:pPr>
                          <w:pStyle w:val="TableParagraph"/>
                          <w:spacing w:before="4"/>
                          <w:ind w:left="13" w:right="-12"/>
                          <w:rPr>
                            <w:rFonts w:ascii="Calibri"/>
                            <w:sz w:val="10"/>
                          </w:rPr>
                        </w:pPr>
                        <w:r>
                          <w:rPr>
                            <w:rFonts w:ascii="Calibri"/>
                            <w:sz w:val="10"/>
                          </w:rPr>
                          <w:t>Dorsopathies</w:t>
                        </w:r>
                      </w:p>
                    </w:tc>
                    <w:tc>
                      <w:tcPr>
                        <w:tcW w:w="527" w:type="dxa"/>
                        <w:tcBorders>
                          <w:top w:val="single" w:sz="3" w:space="0" w:color="000000"/>
                          <w:left w:val="single" w:sz="3" w:space="0" w:color="000000"/>
                          <w:right w:val="single" w:sz="3" w:space="0" w:color="000000"/>
                        </w:tcBorders>
                        <w:shd w:val="clear" w:color="auto" w:fill="E6E4E4"/>
                      </w:tcPr>
                      <w:p>
                        <w:pPr>
                          <w:pStyle w:val="TableParagraph"/>
                          <w:spacing w:before="4"/>
                          <w:ind w:right="10"/>
                          <w:jc w:val="right"/>
                          <w:rPr>
                            <w:rFonts w:ascii="Calibri"/>
                            <w:sz w:val="10"/>
                          </w:rPr>
                        </w:pPr>
                        <w:r>
                          <w:rPr>
                            <w:rFonts w:ascii="Calibri"/>
                            <w:w w:val="95"/>
                            <w:sz w:val="10"/>
                          </w:rPr>
                          <w:t>18</w:t>
                        </w:r>
                      </w:p>
                    </w:tc>
                    <w:tc>
                      <w:tcPr>
                        <w:tcW w:w="526" w:type="dxa"/>
                        <w:tcBorders>
                          <w:top w:val="single" w:sz="3" w:space="0" w:color="000000"/>
                          <w:left w:val="single" w:sz="3" w:space="0" w:color="000000"/>
                          <w:right w:val="single" w:sz="3" w:space="0" w:color="000000"/>
                        </w:tcBorders>
                        <w:shd w:val="clear" w:color="auto" w:fill="E6E4E4"/>
                      </w:tcPr>
                      <w:p>
                        <w:pPr>
                          <w:pStyle w:val="TableParagraph"/>
                          <w:spacing w:before="4"/>
                          <w:ind w:right="7"/>
                          <w:jc w:val="right"/>
                          <w:rPr>
                            <w:rFonts w:ascii="Calibri"/>
                            <w:sz w:val="10"/>
                          </w:rPr>
                        </w:pPr>
                        <w:r>
                          <w:rPr>
                            <w:rFonts w:ascii="Calibri"/>
                            <w:w w:val="96"/>
                            <w:sz w:val="10"/>
                          </w:rPr>
                          <w:t>0</w:t>
                        </w:r>
                      </w:p>
                    </w:tc>
                    <w:tc>
                      <w:tcPr>
                        <w:tcW w:w="527" w:type="dxa"/>
                        <w:tcBorders>
                          <w:top w:val="single" w:sz="3" w:space="0" w:color="000000"/>
                          <w:left w:val="single" w:sz="3" w:space="0" w:color="000000"/>
                          <w:right w:val="single" w:sz="3" w:space="0" w:color="000000"/>
                        </w:tcBorders>
                        <w:shd w:val="clear" w:color="auto" w:fill="E6E4E4"/>
                      </w:tcPr>
                      <w:p>
                        <w:pPr>
                          <w:pStyle w:val="TableParagraph"/>
                          <w:spacing w:before="4"/>
                          <w:ind w:right="7"/>
                          <w:jc w:val="right"/>
                          <w:rPr>
                            <w:rFonts w:ascii="Calibri"/>
                            <w:sz w:val="10"/>
                          </w:rPr>
                        </w:pPr>
                        <w:r>
                          <w:rPr>
                            <w:rFonts w:ascii="Calibri"/>
                            <w:w w:val="95"/>
                            <w:sz w:val="10"/>
                          </w:rPr>
                          <w:t>23</w:t>
                        </w:r>
                      </w:p>
                    </w:tc>
                    <w:tc>
                      <w:tcPr>
                        <w:tcW w:w="526" w:type="dxa"/>
                        <w:tcBorders>
                          <w:top w:val="single" w:sz="3" w:space="0" w:color="000000"/>
                          <w:left w:val="single" w:sz="3" w:space="0" w:color="000000"/>
                          <w:right w:val="single" w:sz="3" w:space="0" w:color="000000"/>
                        </w:tcBorders>
                        <w:shd w:val="clear" w:color="auto" w:fill="E6E4E4"/>
                      </w:tcPr>
                      <w:p>
                        <w:pPr>
                          <w:pStyle w:val="TableParagraph"/>
                          <w:spacing w:before="4"/>
                          <w:ind w:right="7"/>
                          <w:jc w:val="right"/>
                          <w:rPr>
                            <w:rFonts w:ascii="Calibri"/>
                            <w:sz w:val="10"/>
                          </w:rPr>
                        </w:pPr>
                        <w:r>
                          <w:rPr>
                            <w:rFonts w:ascii="Calibri"/>
                            <w:w w:val="96"/>
                            <w:sz w:val="10"/>
                          </w:rPr>
                          <w:t>2</w:t>
                        </w:r>
                      </w:p>
                    </w:tc>
                    <w:tc>
                      <w:tcPr>
                        <w:tcW w:w="527" w:type="dxa"/>
                        <w:tcBorders>
                          <w:top w:val="single" w:sz="3" w:space="0" w:color="000000"/>
                          <w:left w:val="single" w:sz="3" w:space="0" w:color="000000"/>
                          <w:right w:val="single" w:sz="3" w:space="0" w:color="000000"/>
                        </w:tcBorders>
                        <w:shd w:val="clear" w:color="auto" w:fill="E6E4E4"/>
                      </w:tcPr>
                      <w:p>
                        <w:pPr>
                          <w:pStyle w:val="TableParagraph"/>
                          <w:spacing w:before="4"/>
                          <w:ind w:right="7"/>
                          <w:jc w:val="right"/>
                          <w:rPr>
                            <w:rFonts w:ascii="Calibri"/>
                            <w:sz w:val="10"/>
                          </w:rPr>
                        </w:pPr>
                        <w:r>
                          <w:rPr>
                            <w:rFonts w:ascii="Calibri"/>
                            <w:w w:val="95"/>
                            <w:sz w:val="10"/>
                          </w:rPr>
                          <w:t>17</w:t>
                        </w:r>
                      </w:p>
                    </w:tc>
                    <w:tc>
                      <w:tcPr>
                        <w:tcW w:w="526" w:type="dxa"/>
                        <w:tcBorders>
                          <w:top w:val="single" w:sz="3" w:space="0" w:color="000000"/>
                          <w:left w:val="single" w:sz="3" w:space="0" w:color="000000"/>
                          <w:right w:val="single" w:sz="3" w:space="0" w:color="000000"/>
                        </w:tcBorders>
                        <w:shd w:val="clear" w:color="auto" w:fill="E6E4E4"/>
                      </w:tcPr>
                      <w:p>
                        <w:pPr>
                          <w:pStyle w:val="TableParagraph"/>
                          <w:spacing w:before="4"/>
                          <w:ind w:right="7"/>
                          <w:jc w:val="right"/>
                          <w:rPr>
                            <w:rFonts w:ascii="Calibri"/>
                            <w:sz w:val="10"/>
                          </w:rPr>
                        </w:pPr>
                        <w:r>
                          <w:rPr>
                            <w:rFonts w:ascii="Calibri"/>
                            <w:w w:val="96"/>
                            <w:sz w:val="10"/>
                          </w:rPr>
                          <w:t>3</w:t>
                        </w:r>
                      </w:p>
                    </w:tc>
                  </w:tr>
                  <w:tr>
                    <w:trPr>
                      <w:trHeight w:val="131" w:hRule="exact"/>
                    </w:trPr>
                    <w:tc>
                      <w:tcPr>
                        <w:tcW w:w="1736" w:type="dxa"/>
                        <w:tcBorders>
                          <w:bottom w:val="single" w:sz="3" w:space="0" w:color="000000"/>
                          <w:right w:val="single" w:sz="3" w:space="0" w:color="000000"/>
                        </w:tcBorders>
                        <w:shd w:val="clear" w:color="auto" w:fill="E6E4E4"/>
                      </w:tcPr>
                      <w:p>
                        <w:pPr>
                          <w:pStyle w:val="TableParagraph"/>
                          <w:spacing w:before="6"/>
                          <w:ind w:left="13" w:right="-12"/>
                          <w:rPr>
                            <w:rFonts w:ascii="Calibri"/>
                            <w:sz w:val="10"/>
                          </w:rPr>
                        </w:pPr>
                        <w:r>
                          <w:rPr>
                            <w:rFonts w:ascii="Calibri"/>
                            <w:sz w:val="10"/>
                          </w:rPr>
                          <w:t>Carpal tunnel syndrome</w:t>
                        </w:r>
                      </w:p>
                    </w:tc>
                    <w:tc>
                      <w:tcPr>
                        <w:tcW w:w="527" w:type="dxa"/>
                        <w:tcBorders>
                          <w:left w:val="single" w:sz="3" w:space="0" w:color="000000"/>
                          <w:bottom w:val="single" w:sz="3" w:space="0" w:color="000000"/>
                          <w:right w:val="single" w:sz="3" w:space="0" w:color="000000"/>
                        </w:tcBorders>
                        <w:shd w:val="clear" w:color="auto" w:fill="E6E4E4"/>
                      </w:tcPr>
                      <w:p>
                        <w:pPr>
                          <w:pStyle w:val="TableParagraph"/>
                          <w:spacing w:before="6"/>
                          <w:ind w:right="7"/>
                          <w:jc w:val="right"/>
                          <w:rPr>
                            <w:rFonts w:ascii="Calibri"/>
                            <w:sz w:val="10"/>
                          </w:rPr>
                        </w:pPr>
                        <w:r>
                          <w:rPr>
                            <w:rFonts w:ascii="Calibri"/>
                            <w:w w:val="96"/>
                            <w:sz w:val="10"/>
                          </w:rPr>
                          <w:t>0</w:t>
                        </w:r>
                      </w:p>
                    </w:tc>
                    <w:tc>
                      <w:tcPr>
                        <w:tcW w:w="526" w:type="dxa"/>
                        <w:tcBorders>
                          <w:left w:val="single" w:sz="3" w:space="0" w:color="000000"/>
                          <w:bottom w:val="single" w:sz="3" w:space="0" w:color="000000"/>
                          <w:right w:val="single" w:sz="3" w:space="0" w:color="000000"/>
                        </w:tcBorders>
                        <w:shd w:val="clear" w:color="auto" w:fill="E6E4E4"/>
                      </w:tcPr>
                      <w:p>
                        <w:pPr>
                          <w:pStyle w:val="TableParagraph"/>
                          <w:spacing w:before="6"/>
                          <w:ind w:right="7"/>
                          <w:jc w:val="right"/>
                          <w:rPr>
                            <w:rFonts w:ascii="Calibri"/>
                            <w:sz w:val="10"/>
                          </w:rPr>
                        </w:pPr>
                        <w:r>
                          <w:rPr>
                            <w:rFonts w:ascii="Calibri"/>
                            <w:w w:val="96"/>
                            <w:sz w:val="10"/>
                          </w:rPr>
                          <w:t>6</w:t>
                        </w:r>
                      </w:p>
                    </w:tc>
                    <w:tc>
                      <w:tcPr>
                        <w:tcW w:w="527" w:type="dxa"/>
                        <w:tcBorders>
                          <w:left w:val="single" w:sz="3" w:space="0" w:color="000000"/>
                          <w:bottom w:val="single" w:sz="3" w:space="0" w:color="000000"/>
                          <w:right w:val="single" w:sz="3" w:space="0" w:color="000000"/>
                        </w:tcBorders>
                        <w:shd w:val="clear" w:color="auto" w:fill="E6E4E4"/>
                      </w:tcPr>
                      <w:p>
                        <w:pPr>
                          <w:pStyle w:val="TableParagraph"/>
                          <w:spacing w:before="6"/>
                          <w:ind w:right="7"/>
                          <w:jc w:val="right"/>
                          <w:rPr>
                            <w:rFonts w:ascii="Calibri"/>
                            <w:sz w:val="10"/>
                          </w:rPr>
                        </w:pPr>
                        <w:r>
                          <w:rPr>
                            <w:rFonts w:ascii="Calibri"/>
                            <w:w w:val="96"/>
                            <w:sz w:val="10"/>
                          </w:rPr>
                          <w:t>0</w:t>
                        </w:r>
                      </w:p>
                    </w:tc>
                    <w:tc>
                      <w:tcPr>
                        <w:tcW w:w="526" w:type="dxa"/>
                        <w:tcBorders>
                          <w:left w:val="single" w:sz="3" w:space="0" w:color="000000"/>
                          <w:bottom w:val="single" w:sz="3" w:space="0" w:color="000000"/>
                          <w:right w:val="single" w:sz="3" w:space="0" w:color="000000"/>
                        </w:tcBorders>
                        <w:shd w:val="clear" w:color="auto" w:fill="E6E4E4"/>
                      </w:tcPr>
                      <w:p>
                        <w:pPr>
                          <w:pStyle w:val="TableParagraph"/>
                          <w:spacing w:before="6"/>
                          <w:ind w:right="7"/>
                          <w:jc w:val="right"/>
                          <w:rPr>
                            <w:rFonts w:ascii="Calibri"/>
                            <w:sz w:val="10"/>
                          </w:rPr>
                        </w:pPr>
                        <w:r>
                          <w:rPr>
                            <w:rFonts w:ascii="Calibri"/>
                            <w:w w:val="96"/>
                            <w:sz w:val="10"/>
                          </w:rPr>
                          <w:t>2</w:t>
                        </w:r>
                      </w:p>
                    </w:tc>
                    <w:tc>
                      <w:tcPr>
                        <w:tcW w:w="527" w:type="dxa"/>
                        <w:tcBorders>
                          <w:left w:val="single" w:sz="3" w:space="0" w:color="000000"/>
                          <w:bottom w:val="single" w:sz="3" w:space="0" w:color="000000"/>
                          <w:right w:val="single" w:sz="3" w:space="0" w:color="000000"/>
                        </w:tcBorders>
                        <w:shd w:val="clear" w:color="auto" w:fill="E6E4E4"/>
                      </w:tcPr>
                      <w:p>
                        <w:pPr>
                          <w:pStyle w:val="TableParagraph"/>
                          <w:spacing w:before="6"/>
                          <w:ind w:right="7"/>
                          <w:jc w:val="right"/>
                          <w:rPr>
                            <w:rFonts w:ascii="Calibri"/>
                            <w:sz w:val="10"/>
                          </w:rPr>
                        </w:pPr>
                        <w:r>
                          <w:rPr>
                            <w:rFonts w:ascii="Calibri"/>
                            <w:w w:val="96"/>
                            <w:sz w:val="10"/>
                          </w:rPr>
                          <w:t>2</w:t>
                        </w:r>
                      </w:p>
                    </w:tc>
                    <w:tc>
                      <w:tcPr>
                        <w:tcW w:w="526" w:type="dxa"/>
                        <w:tcBorders>
                          <w:left w:val="single" w:sz="3" w:space="0" w:color="000000"/>
                          <w:bottom w:val="single" w:sz="3" w:space="0" w:color="000000"/>
                          <w:right w:val="single" w:sz="3" w:space="0" w:color="000000"/>
                        </w:tcBorders>
                        <w:shd w:val="clear" w:color="auto" w:fill="E6E4E4"/>
                      </w:tcPr>
                      <w:p>
                        <w:pPr>
                          <w:pStyle w:val="TableParagraph"/>
                          <w:spacing w:before="6"/>
                          <w:ind w:right="7"/>
                          <w:jc w:val="right"/>
                          <w:rPr>
                            <w:rFonts w:ascii="Calibri"/>
                            <w:sz w:val="10"/>
                          </w:rPr>
                        </w:pPr>
                        <w:r>
                          <w:rPr>
                            <w:rFonts w:ascii="Calibri"/>
                            <w:w w:val="96"/>
                            <w:sz w:val="10"/>
                          </w:rPr>
                          <w:t>6</w:t>
                        </w:r>
                      </w:p>
                    </w:tc>
                  </w:tr>
                  <w:tr>
                    <w:trPr>
                      <w:trHeight w:val="131" w:hRule="exact"/>
                    </w:trPr>
                    <w:tc>
                      <w:tcPr>
                        <w:tcW w:w="1736" w:type="dxa"/>
                        <w:tcBorders>
                          <w:top w:val="single" w:sz="3" w:space="0" w:color="000000"/>
                          <w:right w:val="single" w:sz="3" w:space="0" w:color="000000"/>
                        </w:tcBorders>
                        <w:shd w:val="clear" w:color="auto" w:fill="E6E4E4"/>
                      </w:tcPr>
                      <w:p>
                        <w:pPr>
                          <w:pStyle w:val="TableParagraph"/>
                          <w:spacing w:before="4"/>
                          <w:ind w:left="13" w:right="-12"/>
                          <w:rPr>
                            <w:rFonts w:ascii="Calibri"/>
                            <w:sz w:val="10"/>
                          </w:rPr>
                        </w:pPr>
                        <w:r>
                          <w:rPr>
                            <w:rFonts w:ascii="Calibri"/>
                            <w:w w:val="95"/>
                            <w:sz w:val="10"/>
                          </w:rPr>
                          <w:t>Shoulder injuries</w:t>
                        </w:r>
                      </w:p>
                    </w:tc>
                    <w:tc>
                      <w:tcPr>
                        <w:tcW w:w="527" w:type="dxa"/>
                        <w:tcBorders>
                          <w:top w:val="single" w:sz="3" w:space="0" w:color="000000"/>
                          <w:left w:val="single" w:sz="3" w:space="0" w:color="000000"/>
                          <w:right w:val="single" w:sz="3" w:space="0" w:color="000000"/>
                        </w:tcBorders>
                        <w:shd w:val="clear" w:color="auto" w:fill="E6E4E4"/>
                      </w:tcPr>
                      <w:p>
                        <w:pPr>
                          <w:pStyle w:val="TableParagraph"/>
                          <w:spacing w:before="4"/>
                          <w:ind w:right="7"/>
                          <w:jc w:val="right"/>
                          <w:rPr>
                            <w:rFonts w:ascii="Calibri"/>
                            <w:sz w:val="10"/>
                          </w:rPr>
                        </w:pPr>
                        <w:r>
                          <w:rPr>
                            <w:rFonts w:ascii="Calibri"/>
                            <w:w w:val="96"/>
                            <w:sz w:val="10"/>
                          </w:rPr>
                          <w:t>0</w:t>
                        </w:r>
                      </w:p>
                    </w:tc>
                    <w:tc>
                      <w:tcPr>
                        <w:tcW w:w="526" w:type="dxa"/>
                        <w:tcBorders>
                          <w:top w:val="single" w:sz="3" w:space="0" w:color="000000"/>
                          <w:left w:val="single" w:sz="3" w:space="0" w:color="000000"/>
                          <w:right w:val="single" w:sz="3" w:space="0" w:color="000000"/>
                        </w:tcBorders>
                        <w:shd w:val="clear" w:color="auto" w:fill="E6E4E4"/>
                      </w:tcPr>
                      <w:p>
                        <w:pPr>
                          <w:pStyle w:val="TableParagraph"/>
                          <w:spacing w:before="4"/>
                          <w:ind w:right="7"/>
                          <w:jc w:val="right"/>
                          <w:rPr>
                            <w:rFonts w:ascii="Calibri"/>
                            <w:sz w:val="10"/>
                          </w:rPr>
                        </w:pPr>
                        <w:r>
                          <w:rPr>
                            <w:rFonts w:ascii="Calibri"/>
                            <w:w w:val="96"/>
                            <w:sz w:val="10"/>
                          </w:rPr>
                          <w:t>0</w:t>
                        </w:r>
                      </w:p>
                    </w:tc>
                    <w:tc>
                      <w:tcPr>
                        <w:tcW w:w="527" w:type="dxa"/>
                        <w:tcBorders>
                          <w:top w:val="single" w:sz="3" w:space="0" w:color="000000"/>
                          <w:left w:val="single" w:sz="3" w:space="0" w:color="000000"/>
                          <w:right w:val="single" w:sz="3" w:space="0" w:color="000000"/>
                        </w:tcBorders>
                        <w:shd w:val="clear" w:color="auto" w:fill="E6E4E4"/>
                      </w:tcPr>
                      <w:p>
                        <w:pPr>
                          <w:pStyle w:val="TableParagraph"/>
                          <w:spacing w:before="4"/>
                          <w:ind w:right="7"/>
                          <w:jc w:val="right"/>
                          <w:rPr>
                            <w:rFonts w:ascii="Calibri"/>
                            <w:sz w:val="10"/>
                          </w:rPr>
                        </w:pPr>
                        <w:r>
                          <w:rPr>
                            <w:rFonts w:ascii="Calibri"/>
                            <w:w w:val="96"/>
                            <w:sz w:val="10"/>
                          </w:rPr>
                          <w:t>0</w:t>
                        </w:r>
                      </w:p>
                    </w:tc>
                    <w:tc>
                      <w:tcPr>
                        <w:tcW w:w="526" w:type="dxa"/>
                        <w:tcBorders>
                          <w:top w:val="single" w:sz="3" w:space="0" w:color="000000"/>
                          <w:left w:val="single" w:sz="3" w:space="0" w:color="000000"/>
                          <w:right w:val="single" w:sz="3" w:space="0" w:color="000000"/>
                        </w:tcBorders>
                        <w:shd w:val="clear" w:color="auto" w:fill="E6E4E4"/>
                      </w:tcPr>
                      <w:p>
                        <w:pPr>
                          <w:pStyle w:val="TableParagraph"/>
                          <w:spacing w:before="4"/>
                          <w:ind w:right="7"/>
                          <w:jc w:val="right"/>
                          <w:rPr>
                            <w:rFonts w:ascii="Calibri"/>
                            <w:sz w:val="10"/>
                          </w:rPr>
                        </w:pPr>
                        <w:r>
                          <w:rPr>
                            <w:rFonts w:ascii="Calibri"/>
                            <w:w w:val="96"/>
                            <w:sz w:val="10"/>
                          </w:rPr>
                          <w:t>0</w:t>
                        </w:r>
                      </w:p>
                    </w:tc>
                    <w:tc>
                      <w:tcPr>
                        <w:tcW w:w="527" w:type="dxa"/>
                        <w:tcBorders>
                          <w:top w:val="single" w:sz="3" w:space="0" w:color="000000"/>
                          <w:left w:val="single" w:sz="3" w:space="0" w:color="000000"/>
                          <w:right w:val="single" w:sz="3" w:space="0" w:color="000000"/>
                        </w:tcBorders>
                        <w:shd w:val="clear" w:color="auto" w:fill="E6E4E4"/>
                      </w:tcPr>
                      <w:p>
                        <w:pPr>
                          <w:pStyle w:val="TableParagraph"/>
                          <w:spacing w:before="4"/>
                          <w:ind w:right="7"/>
                          <w:jc w:val="right"/>
                          <w:rPr>
                            <w:rFonts w:ascii="Calibri"/>
                            <w:sz w:val="10"/>
                          </w:rPr>
                        </w:pPr>
                        <w:r>
                          <w:rPr>
                            <w:rFonts w:ascii="Calibri"/>
                            <w:w w:val="96"/>
                            <w:sz w:val="10"/>
                          </w:rPr>
                          <w:t>3</w:t>
                        </w:r>
                      </w:p>
                    </w:tc>
                    <w:tc>
                      <w:tcPr>
                        <w:tcW w:w="526" w:type="dxa"/>
                        <w:tcBorders>
                          <w:top w:val="single" w:sz="3" w:space="0" w:color="000000"/>
                          <w:left w:val="single" w:sz="3" w:space="0" w:color="000000"/>
                          <w:right w:val="single" w:sz="3" w:space="0" w:color="000000"/>
                        </w:tcBorders>
                        <w:shd w:val="clear" w:color="auto" w:fill="E6E4E4"/>
                      </w:tcPr>
                      <w:p>
                        <w:pPr>
                          <w:pStyle w:val="TableParagraph"/>
                          <w:spacing w:before="4"/>
                          <w:ind w:right="7"/>
                          <w:jc w:val="right"/>
                          <w:rPr>
                            <w:rFonts w:ascii="Calibri"/>
                            <w:sz w:val="10"/>
                          </w:rPr>
                        </w:pPr>
                        <w:r>
                          <w:rPr>
                            <w:rFonts w:ascii="Calibri"/>
                            <w:w w:val="96"/>
                            <w:sz w:val="10"/>
                          </w:rPr>
                          <w:t>4</w:t>
                        </w:r>
                      </w:p>
                    </w:tc>
                  </w:tr>
                  <w:tr>
                    <w:trPr>
                      <w:trHeight w:val="131" w:hRule="exact"/>
                    </w:trPr>
                    <w:tc>
                      <w:tcPr>
                        <w:tcW w:w="1736" w:type="dxa"/>
                        <w:tcBorders>
                          <w:bottom w:val="single" w:sz="3" w:space="0" w:color="000000"/>
                          <w:right w:val="single" w:sz="3" w:space="0" w:color="000000"/>
                        </w:tcBorders>
                        <w:shd w:val="clear" w:color="auto" w:fill="E6E4E4"/>
                      </w:tcPr>
                      <w:p>
                        <w:pPr>
                          <w:pStyle w:val="TableParagraph"/>
                          <w:spacing w:before="6"/>
                          <w:ind w:left="13" w:right="-12"/>
                          <w:rPr>
                            <w:rFonts w:ascii="Calibri"/>
                            <w:sz w:val="10"/>
                          </w:rPr>
                        </w:pPr>
                        <w:r>
                          <w:rPr>
                            <w:rFonts w:ascii="Calibri"/>
                            <w:sz w:val="10"/>
                          </w:rPr>
                          <w:t>Hearing Loss</w:t>
                        </w:r>
                      </w:p>
                    </w:tc>
                    <w:tc>
                      <w:tcPr>
                        <w:tcW w:w="527" w:type="dxa"/>
                        <w:tcBorders>
                          <w:left w:val="single" w:sz="3" w:space="0" w:color="000000"/>
                          <w:bottom w:val="single" w:sz="3" w:space="0" w:color="000000"/>
                          <w:right w:val="single" w:sz="3" w:space="0" w:color="000000"/>
                        </w:tcBorders>
                        <w:shd w:val="clear" w:color="auto" w:fill="E6E4E4"/>
                      </w:tcPr>
                      <w:p>
                        <w:pPr>
                          <w:pStyle w:val="TableParagraph"/>
                          <w:spacing w:before="6"/>
                          <w:ind w:right="7"/>
                          <w:jc w:val="right"/>
                          <w:rPr>
                            <w:rFonts w:ascii="Calibri"/>
                            <w:sz w:val="10"/>
                          </w:rPr>
                        </w:pPr>
                        <w:r>
                          <w:rPr>
                            <w:rFonts w:ascii="Calibri"/>
                            <w:w w:val="96"/>
                            <w:sz w:val="10"/>
                          </w:rPr>
                          <w:t>1</w:t>
                        </w:r>
                      </w:p>
                    </w:tc>
                    <w:tc>
                      <w:tcPr>
                        <w:tcW w:w="526" w:type="dxa"/>
                        <w:tcBorders>
                          <w:left w:val="single" w:sz="3" w:space="0" w:color="000000"/>
                          <w:bottom w:val="single" w:sz="3" w:space="0" w:color="000000"/>
                          <w:right w:val="single" w:sz="3" w:space="0" w:color="000000"/>
                        </w:tcBorders>
                        <w:shd w:val="clear" w:color="auto" w:fill="E6E4E4"/>
                      </w:tcPr>
                      <w:p>
                        <w:pPr>
                          <w:pStyle w:val="TableParagraph"/>
                          <w:spacing w:before="6"/>
                          <w:ind w:right="7"/>
                          <w:jc w:val="right"/>
                          <w:rPr>
                            <w:rFonts w:ascii="Calibri"/>
                            <w:sz w:val="10"/>
                          </w:rPr>
                        </w:pPr>
                        <w:r>
                          <w:rPr>
                            <w:rFonts w:ascii="Calibri"/>
                            <w:w w:val="96"/>
                            <w:sz w:val="10"/>
                          </w:rPr>
                          <w:t>0</w:t>
                        </w:r>
                      </w:p>
                    </w:tc>
                    <w:tc>
                      <w:tcPr>
                        <w:tcW w:w="527" w:type="dxa"/>
                        <w:tcBorders>
                          <w:left w:val="single" w:sz="3" w:space="0" w:color="000000"/>
                          <w:bottom w:val="single" w:sz="3" w:space="0" w:color="000000"/>
                          <w:right w:val="single" w:sz="3" w:space="0" w:color="000000"/>
                        </w:tcBorders>
                        <w:shd w:val="clear" w:color="auto" w:fill="E6E4E4"/>
                      </w:tcPr>
                      <w:p>
                        <w:pPr>
                          <w:pStyle w:val="TableParagraph"/>
                          <w:spacing w:before="6"/>
                          <w:ind w:right="7"/>
                          <w:jc w:val="right"/>
                          <w:rPr>
                            <w:rFonts w:ascii="Calibri"/>
                            <w:sz w:val="10"/>
                          </w:rPr>
                        </w:pPr>
                        <w:r>
                          <w:rPr>
                            <w:rFonts w:ascii="Calibri"/>
                            <w:w w:val="96"/>
                            <w:sz w:val="10"/>
                          </w:rPr>
                          <w:t>1</w:t>
                        </w:r>
                      </w:p>
                    </w:tc>
                    <w:tc>
                      <w:tcPr>
                        <w:tcW w:w="526" w:type="dxa"/>
                        <w:tcBorders>
                          <w:left w:val="single" w:sz="3" w:space="0" w:color="000000"/>
                          <w:bottom w:val="single" w:sz="3" w:space="0" w:color="000000"/>
                          <w:right w:val="single" w:sz="3" w:space="0" w:color="000000"/>
                        </w:tcBorders>
                        <w:shd w:val="clear" w:color="auto" w:fill="E6E4E4"/>
                      </w:tcPr>
                      <w:p>
                        <w:pPr>
                          <w:pStyle w:val="TableParagraph"/>
                          <w:spacing w:before="6"/>
                          <w:ind w:right="7"/>
                          <w:jc w:val="right"/>
                          <w:rPr>
                            <w:rFonts w:ascii="Calibri"/>
                            <w:sz w:val="10"/>
                          </w:rPr>
                        </w:pPr>
                        <w:r>
                          <w:rPr>
                            <w:rFonts w:ascii="Calibri"/>
                            <w:w w:val="96"/>
                            <w:sz w:val="10"/>
                          </w:rPr>
                          <w:t>0</w:t>
                        </w:r>
                      </w:p>
                    </w:tc>
                    <w:tc>
                      <w:tcPr>
                        <w:tcW w:w="527" w:type="dxa"/>
                        <w:tcBorders>
                          <w:left w:val="single" w:sz="3" w:space="0" w:color="000000"/>
                          <w:bottom w:val="single" w:sz="3" w:space="0" w:color="000000"/>
                          <w:right w:val="single" w:sz="3" w:space="0" w:color="000000"/>
                        </w:tcBorders>
                        <w:shd w:val="clear" w:color="auto" w:fill="E6E4E4"/>
                      </w:tcPr>
                      <w:p>
                        <w:pPr>
                          <w:pStyle w:val="TableParagraph"/>
                          <w:spacing w:before="6"/>
                          <w:ind w:right="7"/>
                          <w:jc w:val="right"/>
                          <w:rPr>
                            <w:rFonts w:ascii="Calibri"/>
                            <w:sz w:val="10"/>
                          </w:rPr>
                        </w:pPr>
                        <w:r>
                          <w:rPr>
                            <w:rFonts w:ascii="Calibri"/>
                            <w:w w:val="96"/>
                            <w:sz w:val="10"/>
                          </w:rPr>
                          <w:t>6</w:t>
                        </w:r>
                      </w:p>
                    </w:tc>
                    <w:tc>
                      <w:tcPr>
                        <w:tcW w:w="526" w:type="dxa"/>
                        <w:tcBorders>
                          <w:left w:val="single" w:sz="3" w:space="0" w:color="000000"/>
                          <w:bottom w:val="single" w:sz="3" w:space="0" w:color="000000"/>
                          <w:right w:val="single" w:sz="3" w:space="0" w:color="000000"/>
                        </w:tcBorders>
                        <w:shd w:val="clear" w:color="auto" w:fill="E6E4E4"/>
                      </w:tcPr>
                      <w:p>
                        <w:pPr>
                          <w:pStyle w:val="TableParagraph"/>
                          <w:spacing w:before="6"/>
                          <w:ind w:right="7"/>
                          <w:jc w:val="right"/>
                          <w:rPr>
                            <w:rFonts w:ascii="Calibri"/>
                            <w:sz w:val="10"/>
                          </w:rPr>
                        </w:pPr>
                        <w:r>
                          <w:rPr>
                            <w:rFonts w:ascii="Calibri"/>
                            <w:w w:val="96"/>
                            <w:sz w:val="10"/>
                          </w:rPr>
                          <w:t>0</w:t>
                        </w:r>
                      </w:p>
                    </w:tc>
                  </w:tr>
                  <w:tr>
                    <w:trPr>
                      <w:trHeight w:val="131" w:hRule="exact"/>
                    </w:trPr>
                    <w:tc>
                      <w:tcPr>
                        <w:tcW w:w="1736" w:type="dxa"/>
                        <w:tcBorders>
                          <w:top w:val="single" w:sz="3" w:space="0" w:color="000000"/>
                          <w:right w:val="single" w:sz="3" w:space="0" w:color="000000"/>
                        </w:tcBorders>
                        <w:shd w:val="clear" w:color="auto" w:fill="E6E4E4"/>
                      </w:tcPr>
                      <w:p>
                        <w:pPr>
                          <w:pStyle w:val="TableParagraph"/>
                          <w:spacing w:before="4"/>
                          <w:ind w:left="13" w:right="-12"/>
                          <w:rPr>
                            <w:rFonts w:ascii="Calibri"/>
                            <w:sz w:val="10"/>
                          </w:rPr>
                        </w:pPr>
                        <w:r>
                          <w:rPr>
                            <w:rFonts w:ascii="Calibri"/>
                            <w:sz w:val="10"/>
                          </w:rPr>
                          <w:t>Infectious and parasitic diseases</w:t>
                        </w:r>
                      </w:p>
                    </w:tc>
                    <w:tc>
                      <w:tcPr>
                        <w:tcW w:w="527" w:type="dxa"/>
                        <w:tcBorders>
                          <w:top w:val="single" w:sz="3" w:space="0" w:color="000000"/>
                          <w:left w:val="single" w:sz="3" w:space="0" w:color="000000"/>
                          <w:right w:val="single" w:sz="3" w:space="0" w:color="000000"/>
                        </w:tcBorders>
                        <w:shd w:val="clear" w:color="auto" w:fill="E6E4E4"/>
                      </w:tcPr>
                      <w:p>
                        <w:pPr>
                          <w:pStyle w:val="TableParagraph"/>
                          <w:spacing w:before="4"/>
                          <w:ind w:right="7"/>
                          <w:jc w:val="right"/>
                          <w:rPr>
                            <w:rFonts w:ascii="Calibri"/>
                            <w:sz w:val="10"/>
                          </w:rPr>
                        </w:pPr>
                        <w:r>
                          <w:rPr>
                            <w:rFonts w:ascii="Calibri"/>
                            <w:w w:val="96"/>
                            <w:sz w:val="10"/>
                          </w:rPr>
                          <w:t>0</w:t>
                        </w:r>
                      </w:p>
                    </w:tc>
                    <w:tc>
                      <w:tcPr>
                        <w:tcW w:w="526" w:type="dxa"/>
                        <w:tcBorders>
                          <w:top w:val="single" w:sz="3" w:space="0" w:color="000000"/>
                          <w:left w:val="single" w:sz="3" w:space="0" w:color="000000"/>
                          <w:right w:val="single" w:sz="3" w:space="0" w:color="000000"/>
                        </w:tcBorders>
                        <w:shd w:val="clear" w:color="auto" w:fill="E6E4E4"/>
                      </w:tcPr>
                      <w:p>
                        <w:pPr>
                          <w:pStyle w:val="TableParagraph"/>
                          <w:spacing w:before="4"/>
                          <w:ind w:right="7"/>
                          <w:jc w:val="right"/>
                          <w:rPr>
                            <w:rFonts w:ascii="Calibri"/>
                            <w:sz w:val="10"/>
                          </w:rPr>
                        </w:pPr>
                        <w:r>
                          <w:rPr>
                            <w:rFonts w:ascii="Calibri"/>
                            <w:w w:val="96"/>
                            <w:sz w:val="10"/>
                          </w:rPr>
                          <w:t>0</w:t>
                        </w:r>
                      </w:p>
                    </w:tc>
                    <w:tc>
                      <w:tcPr>
                        <w:tcW w:w="527" w:type="dxa"/>
                        <w:tcBorders>
                          <w:top w:val="single" w:sz="3" w:space="0" w:color="000000"/>
                          <w:left w:val="single" w:sz="3" w:space="0" w:color="000000"/>
                          <w:right w:val="single" w:sz="3" w:space="0" w:color="000000"/>
                        </w:tcBorders>
                        <w:shd w:val="clear" w:color="auto" w:fill="E6E4E4"/>
                      </w:tcPr>
                      <w:p>
                        <w:pPr>
                          <w:pStyle w:val="TableParagraph"/>
                          <w:spacing w:before="4"/>
                          <w:ind w:right="7"/>
                          <w:jc w:val="right"/>
                          <w:rPr>
                            <w:rFonts w:ascii="Calibri"/>
                            <w:sz w:val="10"/>
                          </w:rPr>
                        </w:pPr>
                        <w:r>
                          <w:rPr>
                            <w:rFonts w:ascii="Calibri"/>
                            <w:w w:val="96"/>
                            <w:sz w:val="10"/>
                          </w:rPr>
                          <w:t>0</w:t>
                        </w:r>
                      </w:p>
                    </w:tc>
                    <w:tc>
                      <w:tcPr>
                        <w:tcW w:w="526" w:type="dxa"/>
                        <w:tcBorders>
                          <w:top w:val="single" w:sz="3" w:space="0" w:color="000000"/>
                          <w:left w:val="single" w:sz="3" w:space="0" w:color="000000"/>
                          <w:right w:val="single" w:sz="3" w:space="0" w:color="000000"/>
                        </w:tcBorders>
                        <w:shd w:val="clear" w:color="auto" w:fill="E6E4E4"/>
                      </w:tcPr>
                      <w:p>
                        <w:pPr>
                          <w:pStyle w:val="TableParagraph"/>
                          <w:spacing w:before="4"/>
                          <w:ind w:right="7"/>
                          <w:jc w:val="right"/>
                          <w:rPr>
                            <w:rFonts w:ascii="Calibri"/>
                            <w:sz w:val="10"/>
                          </w:rPr>
                        </w:pPr>
                        <w:r>
                          <w:rPr>
                            <w:rFonts w:ascii="Calibri"/>
                            <w:w w:val="96"/>
                            <w:sz w:val="10"/>
                          </w:rPr>
                          <w:t>0</w:t>
                        </w:r>
                      </w:p>
                    </w:tc>
                    <w:tc>
                      <w:tcPr>
                        <w:tcW w:w="527" w:type="dxa"/>
                        <w:tcBorders>
                          <w:top w:val="single" w:sz="3" w:space="0" w:color="000000"/>
                          <w:left w:val="single" w:sz="3" w:space="0" w:color="000000"/>
                          <w:right w:val="single" w:sz="3" w:space="0" w:color="000000"/>
                        </w:tcBorders>
                        <w:shd w:val="clear" w:color="auto" w:fill="E6E4E4"/>
                      </w:tcPr>
                      <w:p>
                        <w:pPr>
                          <w:pStyle w:val="TableParagraph"/>
                          <w:spacing w:before="4"/>
                          <w:ind w:right="7"/>
                          <w:jc w:val="right"/>
                          <w:rPr>
                            <w:rFonts w:ascii="Calibri"/>
                            <w:sz w:val="10"/>
                          </w:rPr>
                        </w:pPr>
                        <w:r>
                          <w:rPr>
                            <w:rFonts w:ascii="Calibri"/>
                            <w:w w:val="96"/>
                            <w:sz w:val="10"/>
                          </w:rPr>
                          <w:t>0</w:t>
                        </w:r>
                      </w:p>
                    </w:tc>
                    <w:tc>
                      <w:tcPr>
                        <w:tcW w:w="526" w:type="dxa"/>
                        <w:tcBorders>
                          <w:top w:val="single" w:sz="3" w:space="0" w:color="000000"/>
                          <w:left w:val="single" w:sz="3" w:space="0" w:color="000000"/>
                          <w:right w:val="single" w:sz="3" w:space="0" w:color="000000"/>
                        </w:tcBorders>
                        <w:shd w:val="clear" w:color="auto" w:fill="E6E4E4"/>
                      </w:tcPr>
                      <w:p>
                        <w:pPr>
                          <w:pStyle w:val="TableParagraph"/>
                          <w:spacing w:before="4"/>
                          <w:ind w:right="7"/>
                          <w:jc w:val="right"/>
                          <w:rPr>
                            <w:rFonts w:ascii="Calibri"/>
                            <w:sz w:val="10"/>
                          </w:rPr>
                        </w:pPr>
                        <w:r>
                          <w:rPr>
                            <w:rFonts w:ascii="Calibri"/>
                            <w:w w:val="96"/>
                            <w:sz w:val="10"/>
                          </w:rPr>
                          <w:t>3</w:t>
                        </w:r>
                      </w:p>
                    </w:tc>
                  </w:tr>
                  <w:tr>
                    <w:trPr>
                      <w:trHeight w:val="131" w:hRule="exact"/>
                    </w:trPr>
                    <w:tc>
                      <w:tcPr>
                        <w:tcW w:w="1736" w:type="dxa"/>
                        <w:tcBorders>
                          <w:bottom w:val="single" w:sz="3" w:space="0" w:color="000000"/>
                          <w:right w:val="single" w:sz="3" w:space="0" w:color="000000"/>
                        </w:tcBorders>
                        <w:shd w:val="clear" w:color="auto" w:fill="E6E4E4"/>
                      </w:tcPr>
                      <w:p>
                        <w:pPr>
                          <w:pStyle w:val="TableParagraph"/>
                          <w:spacing w:before="6"/>
                          <w:ind w:left="13" w:right="-12"/>
                          <w:rPr>
                            <w:rFonts w:ascii="Calibri"/>
                            <w:sz w:val="10"/>
                          </w:rPr>
                        </w:pPr>
                        <w:r>
                          <w:rPr>
                            <w:rFonts w:ascii="Calibri"/>
                            <w:sz w:val="10"/>
                          </w:rPr>
                          <w:t>Enthesopathies</w:t>
                        </w:r>
                      </w:p>
                    </w:tc>
                    <w:tc>
                      <w:tcPr>
                        <w:tcW w:w="527" w:type="dxa"/>
                        <w:tcBorders>
                          <w:left w:val="single" w:sz="3" w:space="0" w:color="000000"/>
                          <w:bottom w:val="single" w:sz="3" w:space="0" w:color="000000"/>
                          <w:right w:val="single" w:sz="3" w:space="0" w:color="000000"/>
                        </w:tcBorders>
                        <w:shd w:val="clear" w:color="auto" w:fill="E6E4E4"/>
                      </w:tcPr>
                      <w:p>
                        <w:pPr>
                          <w:pStyle w:val="TableParagraph"/>
                          <w:spacing w:before="6"/>
                          <w:ind w:right="7"/>
                          <w:jc w:val="right"/>
                          <w:rPr>
                            <w:rFonts w:ascii="Calibri"/>
                            <w:sz w:val="10"/>
                          </w:rPr>
                        </w:pPr>
                        <w:r>
                          <w:rPr>
                            <w:rFonts w:ascii="Calibri"/>
                            <w:w w:val="96"/>
                            <w:sz w:val="10"/>
                          </w:rPr>
                          <w:t>4</w:t>
                        </w:r>
                      </w:p>
                    </w:tc>
                    <w:tc>
                      <w:tcPr>
                        <w:tcW w:w="526" w:type="dxa"/>
                        <w:tcBorders>
                          <w:left w:val="single" w:sz="3" w:space="0" w:color="000000"/>
                          <w:bottom w:val="single" w:sz="3" w:space="0" w:color="000000"/>
                          <w:right w:val="single" w:sz="3" w:space="0" w:color="000000"/>
                        </w:tcBorders>
                        <w:shd w:val="clear" w:color="auto" w:fill="E6E4E4"/>
                      </w:tcPr>
                      <w:p>
                        <w:pPr>
                          <w:pStyle w:val="TableParagraph"/>
                          <w:spacing w:before="6"/>
                          <w:ind w:right="7"/>
                          <w:jc w:val="right"/>
                          <w:rPr>
                            <w:rFonts w:ascii="Calibri"/>
                            <w:sz w:val="10"/>
                          </w:rPr>
                        </w:pPr>
                        <w:r>
                          <w:rPr>
                            <w:rFonts w:ascii="Calibri"/>
                            <w:w w:val="96"/>
                            <w:sz w:val="10"/>
                          </w:rPr>
                          <w:t>4</w:t>
                        </w:r>
                      </w:p>
                    </w:tc>
                    <w:tc>
                      <w:tcPr>
                        <w:tcW w:w="527" w:type="dxa"/>
                        <w:tcBorders>
                          <w:left w:val="single" w:sz="3" w:space="0" w:color="000000"/>
                          <w:bottom w:val="single" w:sz="3" w:space="0" w:color="000000"/>
                          <w:right w:val="single" w:sz="3" w:space="0" w:color="000000"/>
                        </w:tcBorders>
                        <w:shd w:val="clear" w:color="auto" w:fill="E6E4E4"/>
                      </w:tcPr>
                      <w:p>
                        <w:pPr>
                          <w:pStyle w:val="TableParagraph"/>
                          <w:spacing w:before="6"/>
                          <w:ind w:right="7"/>
                          <w:jc w:val="right"/>
                          <w:rPr>
                            <w:rFonts w:ascii="Calibri"/>
                            <w:sz w:val="10"/>
                          </w:rPr>
                        </w:pPr>
                        <w:r>
                          <w:rPr>
                            <w:rFonts w:ascii="Calibri"/>
                            <w:w w:val="96"/>
                            <w:sz w:val="10"/>
                          </w:rPr>
                          <w:t>0</w:t>
                        </w:r>
                      </w:p>
                    </w:tc>
                    <w:tc>
                      <w:tcPr>
                        <w:tcW w:w="526" w:type="dxa"/>
                        <w:tcBorders>
                          <w:left w:val="single" w:sz="3" w:space="0" w:color="000000"/>
                          <w:bottom w:val="single" w:sz="3" w:space="0" w:color="000000"/>
                          <w:right w:val="single" w:sz="3" w:space="0" w:color="000000"/>
                        </w:tcBorders>
                        <w:shd w:val="clear" w:color="auto" w:fill="E6E4E4"/>
                      </w:tcPr>
                      <w:p>
                        <w:pPr>
                          <w:pStyle w:val="TableParagraph"/>
                          <w:spacing w:before="6"/>
                          <w:ind w:right="7"/>
                          <w:jc w:val="right"/>
                          <w:rPr>
                            <w:rFonts w:ascii="Calibri"/>
                            <w:sz w:val="10"/>
                          </w:rPr>
                        </w:pPr>
                        <w:r>
                          <w:rPr>
                            <w:rFonts w:ascii="Calibri"/>
                            <w:w w:val="96"/>
                            <w:sz w:val="10"/>
                          </w:rPr>
                          <w:t>1</w:t>
                        </w:r>
                      </w:p>
                    </w:tc>
                    <w:tc>
                      <w:tcPr>
                        <w:tcW w:w="527" w:type="dxa"/>
                        <w:tcBorders>
                          <w:left w:val="single" w:sz="3" w:space="0" w:color="000000"/>
                          <w:bottom w:val="single" w:sz="3" w:space="0" w:color="000000"/>
                          <w:right w:val="single" w:sz="3" w:space="0" w:color="000000"/>
                        </w:tcBorders>
                        <w:shd w:val="clear" w:color="auto" w:fill="E6E4E4"/>
                      </w:tcPr>
                      <w:p>
                        <w:pPr>
                          <w:pStyle w:val="TableParagraph"/>
                          <w:spacing w:before="6"/>
                          <w:ind w:right="7"/>
                          <w:jc w:val="right"/>
                          <w:rPr>
                            <w:rFonts w:ascii="Calibri"/>
                            <w:sz w:val="10"/>
                          </w:rPr>
                        </w:pPr>
                        <w:r>
                          <w:rPr>
                            <w:rFonts w:ascii="Calibri"/>
                            <w:w w:val="96"/>
                            <w:sz w:val="10"/>
                          </w:rPr>
                          <w:t>0</w:t>
                        </w:r>
                      </w:p>
                    </w:tc>
                    <w:tc>
                      <w:tcPr>
                        <w:tcW w:w="526" w:type="dxa"/>
                        <w:tcBorders>
                          <w:left w:val="single" w:sz="3" w:space="0" w:color="000000"/>
                          <w:bottom w:val="single" w:sz="3" w:space="0" w:color="000000"/>
                          <w:right w:val="single" w:sz="3" w:space="0" w:color="000000"/>
                        </w:tcBorders>
                        <w:shd w:val="clear" w:color="auto" w:fill="E6E4E4"/>
                      </w:tcPr>
                      <w:p>
                        <w:pPr>
                          <w:pStyle w:val="TableParagraph"/>
                          <w:spacing w:before="6"/>
                          <w:ind w:right="7"/>
                          <w:jc w:val="right"/>
                          <w:rPr>
                            <w:rFonts w:ascii="Calibri"/>
                            <w:sz w:val="10"/>
                          </w:rPr>
                        </w:pPr>
                        <w:r>
                          <w:rPr>
                            <w:rFonts w:ascii="Calibri"/>
                            <w:w w:val="96"/>
                            <w:sz w:val="10"/>
                          </w:rPr>
                          <w:t>2</w:t>
                        </w:r>
                      </w:p>
                    </w:tc>
                  </w:tr>
                  <w:tr>
                    <w:trPr>
                      <w:trHeight w:val="131" w:hRule="exact"/>
                    </w:trPr>
                    <w:tc>
                      <w:tcPr>
                        <w:tcW w:w="1736" w:type="dxa"/>
                        <w:tcBorders>
                          <w:top w:val="single" w:sz="3" w:space="0" w:color="000000"/>
                          <w:bottom w:val="single" w:sz="3" w:space="0" w:color="000000"/>
                          <w:right w:val="single" w:sz="3" w:space="0" w:color="000000"/>
                        </w:tcBorders>
                        <w:shd w:val="clear" w:color="auto" w:fill="E6E4E4"/>
                      </w:tcPr>
                      <w:p>
                        <w:pPr>
                          <w:pStyle w:val="TableParagraph"/>
                          <w:spacing w:before="4"/>
                          <w:ind w:left="13" w:right="-12"/>
                          <w:rPr>
                            <w:rFonts w:ascii="Calibri"/>
                            <w:sz w:val="10"/>
                          </w:rPr>
                        </w:pPr>
                        <w:r>
                          <w:rPr>
                            <w:rFonts w:ascii="Calibri"/>
                            <w:sz w:val="10"/>
                          </w:rPr>
                          <w:t>Pneumoconiosis</w:t>
                        </w:r>
                      </w:p>
                    </w:tc>
                    <w:tc>
                      <w:tcPr>
                        <w:tcW w:w="527" w:type="dxa"/>
                        <w:tcBorders>
                          <w:top w:val="single" w:sz="3" w:space="0" w:color="000000"/>
                          <w:left w:val="single" w:sz="3" w:space="0" w:color="000000"/>
                          <w:bottom w:val="single" w:sz="3" w:space="0" w:color="000000"/>
                          <w:right w:val="single" w:sz="3" w:space="0" w:color="000000"/>
                        </w:tcBorders>
                        <w:shd w:val="clear" w:color="auto" w:fill="E6E4E4"/>
                      </w:tcPr>
                      <w:p>
                        <w:pPr>
                          <w:pStyle w:val="TableParagraph"/>
                          <w:spacing w:before="4"/>
                          <w:ind w:right="7"/>
                          <w:jc w:val="right"/>
                          <w:rPr>
                            <w:rFonts w:ascii="Calibri"/>
                            <w:sz w:val="10"/>
                          </w:rPr>
                        </w:pPr>
                        <w:r>
                          <w:rPr>
                            <w:rFonts w:ascii="Calibri"/>
                            <w:w w:val="96"/>
                            <w:sz w:val="10"/>
                          </w:rPr>
                          <w:t>0</w:t>
                        </w:r>
                      </w:p>
                    </w:tc>
                    <w:tc>
                      <w:tcPr>
                        <w:tcW w:w="526" w:type="dxa"/>
                        <w:tcBorders>
                          <w:top w:val="single" w:sz="3" w:space="0" w:color="000000"/>
                          <w:left w:val="single" w:sz="3" w:space="0" w:color="000000"/>
                          <w:bottom w:val="single" w:sz="3" w:space="0" w:color="000000"/>
                          <w:right w:val="single" w:sz="3" w:space="0" w:color="000000"/>
                        </w:tcBorders>
                        <w:shd w:val="clear" w:color="auto" w:fill="E6E4E4"/>
                      </w:tcPr>
                      <w:p>
                        <w:pPr>
                          <w:pStyle w:val="TableParagraph"/>
                          <w:spacing w:before="4"/>
                          <w:ind w:right="7"/>
                          <w:jc w:val="right"/>
                          <w:rPr>
                            <w:rFonts w:ascii="Calibri"/>
                            <w:sz w:val="10"/>
                          </w:rPr>
                        </w:pPr>
                        <w:r>
                          <w:rPr>
                            <w:rFonts w:ascii="Calibri"/>
                            <w:w w:val="96"/>
                            <w:sz w:val="10"/>
                          </w:rPr>
                          <w:t>0</w:t>
                        </w:r>
                      </w:p>
                    </w:tc>
                    <w:tc>
                      <w:tcPr>
                        <w:tcW w:w="527" w:type="dxa"/>
                        <w:tcBorders>
                          <w:top w:val="single" w:sz="3" w:space="0" w:color="000000"/>
                          <w:left w:val="single" w:sz="3" w:space="0" w:color="000000"/>
                          <w:bottom w:val="single" w:sz="3" w:space="0" w:color="000000"/>
                          <w:right w:val="single" w:sz="3" w:space="0" w:color="000000"/>
                        </w:tcBorders>
                        <w:shd w:val="clear" w:color="auto" w:fill="E6E4E4"/>
                      </w:tcPr>
                      <w:p>
                        <w:pPr>
                          <w:pStyle w:val="TableParagraph"/>
                          <w:spacing w:before="4"/>
                          <w:ind w:right="7"/>
                          <w:jc w:val="right"/>
                          <w:rPr>
                            <w:rFonts w:ascii="Calibri"/>
                            <w:sz w:val="10"/>
                          </w:rPr>
                        </w:pPr>
                        <w:r>
                          <w:rPr>
                            <w:rFonts w:ascii="Calibri"/>
                            <w:w w:val="96"/>
                            <w:sz w:val="10"/>
                          </w:rPr>
                          <w:t>0</w:t>
                        </w:r>
                      </w:p>
                    </w:tc>
                    <w:tc>
                      <w:tcPr>
                        <w:tcW w:w="526" w:type="dxa"/>
                        <w:tcBorders>
                          <w:top w:val="single" w:sz="3" w:space="0" w:color="000000"/>
                          <w:left w:val="single" w:sz="3" w:space="0" w:color="000000"/>
                          <w:bottom w:val="single" w:sz="3" w:space="0" w:color="000000"/>
                          <w:right w:val="single" w:sz="3" w:space="0" w:color="000000"/>
                        </w:tcBorders>
                        <w:shd w:val="clear" w:color="auto" w:fill="E6E4E4"/>
                      </w:tcPr>
                      <w:p>
                        <w:pPr>
                          <w:pStyle w:val="TableParagraph"/>
                          <w:spacing w:before="4"/>
                          <w:ind w:right="7"/>
                          <w:jc w:val="right"/>
                          <w:rPr>
                            <w:rFonts w:ascii="Calibri"/>
                            <w:sz w:val="10"/>
                          </w:rPr>
                        </w:pPr>
                        <w:r>
                          <w:rPr>
                            <w:rFonts w:ascii="Calibri"/>
                            <w:w w:val="96"/>
                            <w:sz w:val="10"/>
                          </w:rPr>
                          <w:t>0</w:t>
                        </w:r>
                      </w:p>
                    </w:tc>
                    <w:tc>
                      <w:tcPr>
                        <w:tcW w:w="527" w:type="dxa"/>
                        <w:tcBorders>
                          <w:top w:val="single" w:sz="3" w:space="0" w:color="000000"/>
                          <w:left w:val="single" w:sz="3" w:space="0" w:color="000000"/>
                          <w:bottom w:val="single" w:sz="3" w:space="0" w:color="000000"/>
                          <w:right w:val="single" w:sz="3" w:space="0" w:color="000000"/>
                        </w:tcBorders>
                        <w:shd w:val="clear" w:color="auto" w:fill="E6E4E4"/>
                      </w:tcPr>
                      <w:p>
                        <w:pPr>
                          <w:pStyle w:val="TableParagraph"/>
                          <w:spacing w:before="4"/>
                          <w:ind w:right="7"/>
                          <w:jc w:val="right"/>
                          <w:rPr>
                            <w:rFonts w:ascii="Calibri"/>
                            <w:sz w:val="10"/>
                          </w:rPr>
                        </w:pPr>
                        <w:r>
                          <w:rPr>
                            <w:rFonts w:ascii="Calibri"/>
                            <w:w w:val="96"/>
                            <w:sz w:val="10"/>
                          </w:rPr>
                          <w:t>2</w:t>
                        </w:r>
                      </w:p>
                    </w:tc>
                    <w:tc>
                      <w:tcPr>
                        <w:tcW w:w="526" w:type="dxa"/>
                        <w:tcBorders>
                          <w:top w:val="single" w:sz="3" w:space="0" w:color="000000"/>
                          <w:left w:val="single" w:sz="3" w:space="0" w:color="000000"/>
                          <w:bottom w:val="single" w:sz="3" w:space="0" w:color="000000"/>
                          <w:right w:val="single" w:sz="3" w:space="0" w:color="000000"/>
                        </w:tcBorders>
                        <w:shd w:val="clear" w:color="auto" w:fill="E6E4E4"/>
                      </w:tcPr>
                      <w:p>
                        <w:pPr>
                          <w:pStyle w:val="TableParagraph"/>
                          <w:spacing w:before="4"/>
                          <w:ind w:right="7"/>
                          <w:jc w:val="right"/>
                          <w:rPr>
                            <w:rFonts w:ascii="Calibri"/>
                            <w:sz w:val="10"/>
                          </w:rPr>
                        </w:pPr>
                        <w:r>
                          <w:rPr>
                            <w:rFonts w:ascii="Calibri"/>
                            <w:w w:val="96"/>
                            <w:sz w:val="10"/>
                          </w:rPr>
                          <w:t>0</w:t>
                        </w:r>
                      </w:p>
                    </w:tc>
                  </w:tr>
                  <w:tr>
                    <w:trPr>
                      <w:trHeight w:val="132" w:hRule="exact"/>
                    </w:trPr>
                    <w:tc>
                      <w:tcPr>
                        <w:tcW w:w="1736" w:type="dxa"/>
                        <w:tcBorders>
                          <w:top w:val="single" w:sz="3" w:space="0" w:color="000000"/>
                          <w:bottom w:val="single" w:sz="3" w:space="0" w:color="000000"/>
                          <w:right w:val="single" w:sz="3" w:space="0" w:color="000000"/>
                        </w:tcBorders>
                        <w:shd w:val="clear" w:color="auto" w:fill="E6E4E4"/>
                      </w:tcPr>
                      <w:p>
                        <w:pPr>
                          <w:pStyle w:val="TableParagraph"/>
                          <w:spacing w:before="5"/>
                          <w:ind w:left="13" w:right="-12"/>
                          <w:rPr>
                            <w:rFonts w:ascii="Calibri"/>
                            <w:sz w:val="10"/>
                          </w:rPr>
                        </w:pPr>
                        <w:r>
                          <w:rPr>
                            <w:rFonts w:ascii="Calibri"/>
                            <w:sz w:val="10"/>
                          </w:rPr>
                          <w:t>De Quervain syndrome</w:t>
                        </w:r>
                      </w:p>
                    </w:tc>
                    <w:tc>
                      <w:tcPr>
                        <w:tcW w:w="527" w:type="dxa"/>
                        <w:tcBorders>
                          <w:top w:val="single" w:sz="3" w:space="0" w:color="000000"/>
                          <w:left w:val="single" w:sz="3" w:space="0" w:color="000000"/>
                          <w:bottom w:val="single" w:sz="3" w:space="0" w:color="000000"/>
                          <w:right w:val="single" w:sz="3" w:space="0" w:color="000000"/>
                        </w:tcBorders>
                        <w:shd w:val="clear" w:color="auto" w:fill="E6E4E4"/>
                      </w:tcPr>
                      <w:p>
                        <w:pPr>
                          <w:pStyle w:val="TableParagraph"/>
                          <w:spacing w:before="5"/>
                          <w:ind w:right="7"/>
                          <w:jc w:val="right"/>
                          <w:rPr>
                            <w:rFonts w:ascii="Calibri"/>
                            <w:sz w:val="10"/>
                          </w:rPr>
                        </w:pPr>
                        <w:r>
                          <w:rPr>
                            <w:rFonts w:ascii="Calibri"/>
                            <w:w w:val="96"/>
                            <w:sz w:val="10"/>
                          </w:rPr>
                          <w:t>0</w:t>
                        </w:r>
                      </w:p>
                    </w:tc>
                    <w:tc>
                      <w:tcPr>
                        <w:tcW w:w="526" w:type="dxa"/>
                        <w:tcBorders>
                          <w:top w:val="single" w:sz="3" w:space="0" w:color="000000"/>
                          <w:left w:val="single" w:sz="3" w:space="0" w:color="000000"/>
                          <w:bottom w:val="single" w:sz="3" w:space="0" w:color="000000"/>
                          <w:right w:val="single" w:sz="3" w:space="0" w:color="000000"/>
                        </w:tcBorders>
                        <w:shd w:val="clear" w:color="auto" w:fill="E6E4E4"/>
                      </w:tcPr>
                      <w:p>
                        <w:pPr>
                          <w:pStyle w:val="TableParagraph"/>
                          <w:spacing w:before="5"/>
                          <w:ind w:right="7"/>
                          <w:jc w:val="right"/>
                          <w:rPr>
                            <w:rFonts w:ascii="Calibri"/>
                            <w:sz w:val="10"/>
                          </w:rPr>
                        </w:pPr>
                        <w:r>
                          <w:rPr>
                            <w:rFonts w:ascii="Calibri"/>
                            <w:w w:val="96"/>
                            <w:sz w:val="10"/>
                          </w:rPr>
                          <w:t>0</w:t>
                        </w:r>
                      </w:p>
                    </w:tc>
                    <w:tc>
                      <w:tcPr>
                        <w:tcW w:w="527" w:type="dxa"/>
                        <w:tcBorders>
                          <w:top w:val="single" w:sz="3" w:space="0" w:color="000000"/>
                          <w:left w:val="single" w:sz="3" w:space="0" w:color="000000"/>
                          <w:bottom w:val="single" w:sz="3" w:space="0" w:color="000000"/>
                          <w:right w:val="single" w:sz="3" w:space="0" w:color="000000"/>
                        </w:tcBorders>
                        <w:shd w:val="clear" w:color="auto" w:fill="E6E4E4"/>
                      </w:tcPr>
                      <w:p>
                        <w:pPr>
                          <w:pStyle w:val="TableParagraph"/>
                          <w:spacing w:before="5"/>
                          <w:ind w:right="7"/>
                          <w:jc w:val="right"/>
                          <w:rPr>
                            <w:rFonts w:ascii="Calibri"/>
                            <w:sz w:val="10"/>
                          </w:rPr>
                        </w:pPr>
                        <w:r>
                          <w:rPr>
                            <w:rFonts w:ascii="Calibri"/>
                            <w:w w:val="96"/>
                            <w:sz w:val="10"/>
                          </w:rPr>
                          <w:t>0</w:t>
                        </w:r>
                      </w:p>
                    </w:tc>
                    <w:tc>
                      <w:tcPr>
                        <w:tcW w:w="526" w:type="dxa"/>
                        <w:tcBorders>
                          <w:top w:val="single" w:sz="3" w:space="0" w:color="000000"/>
                          <w:left w:val="single" w:sz="3" w:space="0" w:color="000000"/>
                          <w:bottom w:val="single" w:sz="3" w:space="0" w:color="000000"/>
                          <w:right w:val="single" w:sz="3" w:space="0" w:color="000000"/>
                        </w:tcBorders>
                        <w:shd w:val="clear" w:color="auto" w:fill="E6E4E4"/>
                      </w:tcPr>
                      <w:p>
                        <w:pPr>
                          <w:pStyle w:val="TableParagraph"/>
                          <w:spacing w:before="5"/>
                          <w:ind w:right="7"/>
                          <w:jc w:val="right"/>
                          <w:rPr>
                            <w:rFonts w:ascii="Calibri"/>
                            <w:sz w:val="10"/>
                          </w:rPr>
                        </w:pPr>
                        <w:r>
                          <w:rPr>
                            <w:rFonts w:ascii="Calibri"/>
                            <w:w w:val="96"/>
                            <w:sz w:val="10"/>
                          </w:rPr>
                          <w:t>0</w:t>
                        </w:r>
                      </w:p>
                    </w:tc>
                    <w:tc>
                      <w:tcPr>
                        <w:tcW w:w="527" w:type="dxa"/>
                        <w:tcBorders>
                          <w:top w:val="single" w:sz="3" w:space="0" w:color="000000"/>
                          <w:left w:val="single" w:sz="3" w:space="0" w:color="000000"/>
                          <w:bottom w:val="single" w:sz="3" w:space="0" w:color="000000"/>
                          <w:right w:val="single" w:sz="3" w:space="0" w:color="000000"/>
                        </w:tcBorders>
                        <w:shd w:val="clear" w:color="auto" w:fill="E6E4E4"/>
                      </w:tcPr>
                      <w:p>
                        <w:pPr>
                          <w:pStyle w:val="TableParagraph"/>
                          <w:spacing w:before="5"/>
                          <w:ind w:right="7"/>
                          <w:jc w:val="right"/>
                          <w:rPr>
                            <w:rFonts w:ascii="Calibri"/>
                            <w:sz w:val="10"/>
                          </w:rPr>
                        </w:pPr>
                        <w:r>
                          <w:rPr>
                            <w:rFonts w:ascii="Calibri"/>
                            <w:w w:val="96"/>
                            <w:sz w:val="10"/>
                          </w:rPr>
                          <w:t>0</w:t>
                        </w:r>
                      </w:p>
                    </w:tc>
                    <w:tc>
                      <w:tcPr>
                        <w:tcW w:w="526" w:type="dxa"/>
                        <w:tcBorders>
                          <w:top w:val="single" w:sz="3" w:space="0" w:color="000000"/>
                          <w:left w:val="single" w:sz="3" w:space="0" w:color="000000"/>
                          <w:bottom w:val="single" w:sz="3" w:space="0" w:color="000000"/>
                          <w:right w:val="single" w:sz="3" w:space="0" w:color="000000"/>
                        </w:tcBorders>
                        <w:shd w:val="clear" w:color="auto" w:fill="E6E4E4"/>
                      </w:tcPr>
                      <w:p>
                        <w:pPr>
                          <w:pStyle w:val="TableParagraph"/>
                          <w:spacing w:before="5"/>
                          <w:ind w:right="7"/>
                          <w:jc w:val="right"/>
                          <w:rPr>
                            <w:rFonts w:ascii="Calibri"/>
                            <w:sz w:val="10"/>
                          </w:rPr>
                        </w:pPr>
                        <w:r>
                          <w:rPr>
                            <w:rFonts w:ascii="Calibri"/>
                            <w:w w:val="96"/>
                            <w:sz w:val="10"/>
                          </w:rPr>
                          <w:t>2</w:t>
                        </w:r>
                      </w:p>
                    </w:tc>
                  </w:tr>
                  <w:tr>
                    <w:trPr>
                      <w:trHeight w:val="236" w:hRule="exact"/>
                    </w:trPr>
                    <w:tc>
                      <w:tcPr>
                        <w:tcW w:w="1736" w:type="dxa"/>
                        <w:tcBorders>
                          <w:top w:val="single" w:sz="3" w:space="0" w:color="000000"/>
                          <w:bottom w:val="single" w:sz="3" w:space="0" w:color="000000"/>
                          <w:right w:val="single" w:sz="3" w:space="0" w:color="000000"/>
                        </w:tcBorders>
                        <w:shd w:val="clear" w:color="auto" w:fill="E6E4E4"/>
                      </w:tcPr>
                      <w:p>
                        <w:pPr>
                          <w:pStyle w:val="TableParagraph"/>
                          <w:spacing w:line="102" w:lineRule="exact"/>
                          <w:ind w:left="13" w:right="-12"/>
                          <w:rPr>
                            <w:rFonts w:ascii="Calibri"/>
                            <w:sz w:val="10"/>
                          </w:rPr>
                        </w:pPr>
                        <w:r>
                          <w:rPr>
                            <w:rFonts w:ascii="Calibri"/>
                            <w:sz w:val="10"/>
                          </w:rPr>
                          <w:t>Respiratory conditions due to inhalation</w:t>
                        </w:r>
                      </w:p>
                      <w:p>
                        <w:pPr>
                          <w:pStyle w:val="TableParagraph"/>
                          <w:spacing w:before="8"/>
                          <w:ind w:left="13" w:right="-12"/>
                          <w:rPr>
                            <w:rFonts w:ascii="Calibri"/>
                            <w:sz w:val="10"/>
                          </w:rPr>
                        </w:pPr>
                        <w:r>
                          <w:rPr>
                            <w:rFonts w:ascii="Calibri"/>
                            <w:sz w:val="10"/>
                          </w:rPr>
                          <w:t>of fumes, vapors and chemical substances</w:t>
                        </w:r>
                      </w:p>
                    </w:tc>
                    <w:tc>
                      <w:tcPr>
                        <w:tcW w:w="527" w:type="dxa"/>
                        <w:tcBorders>
                          <w:top w:val="single" w:sz="3" w:space="0" w:color="000000"/>
                          <w:left w:val="single" w:sz="3" w:space="0" w:color="000000"/>
                          <w:bottom w:val="single" w:sz="3" w:space="0" w:color="000000"/>
                          <w:right w:val="single" w:sz="3" w:space="0" w:color="000000"/>
                        </w:tcBorders>
                        <w:shd w:val="clear" w:color="auto" w:fill="E6E4E4"/>
                      </w:tcPr>
                      <w:p>
                        <w:pPr>
                          <w:pStyle w:val="TableParagraph"/>
                          <w:spacing w:before="6"/>
                          <w:rPr>
                            <w:sz w:val="9"/>
                          </w:rPr>
                        </w:pPr>
                      </w:p>
                      <w:p>
                        <w:pPr>
                          <w:pStyle w:val="TableParagraph"/>
                          <w:spacing w:before="1"/>
                          <w:ind w:right="7"/>
                          <w:jc w:val="right"/>
                          <w:rPr>
                            <w:rFonts w:ascii="Calibri"/>
                            <w:sz w:val="10"/>
                          </w:rPr>
                        </w:pPr>
                        <w:r>
                          <w:rPr>
                            <w:rFonts w:ascii="Calibri"/>
                            <w:w w:val="96"/>
                            <w:sz w:val="10"/>
                          </w:rPr>
                          <w:t>0</w:t>
                        </w:r>
                      </w:p>
                    </w:tc>
                    <w:tc>
                      <w:tcPr>
                        <w:tcW w:w="526" w:type="dxa"/>
                        <w:tcBorders>
                          <w:top w:val="single" w:sz="3" w:space="0" w:color="000000"/>
                          <w:left w:val="single" w:sz="3" w:space="0" w:color="000000"/>
                          <w:bottom w:val="single" w:sz="3" w:space="0" w:color="000000"/>
                          <w:right w:val="single" w:sz="3" w:space="0" w:color="000000"/>
                        </w:tcBorders>
                        <w:shd w:val="clear" w:color="auto" w:fill="E6E4E4"/>
                      </w:tcPr>
                      <w:p>
                        <w:pPr>
                          <w:pStyle w:val="TableParagraph"/>
                          <w:spacing w:before="6"/>
                          <w:rPr>
                            <w:sz w:val="9"/>
                          </w:rPr>
                        </w:pPr>
                      </w:p>
                      <w:p>
                        <w:pPr>
                          <w:pStyle w:val="TableParagraph"/>
                          <w:spacing w:before="1"/>
                          <w:ind w:right="7"/>
                          <w:jc w:val="right"/>
                          <w:rPr>
                            <w:rFonts w:ascii="Calibri"/>
                            <w:sz w:val="10"/>
                          </w:rPr>
                        </w:pPr>
                        <w:r>
                          <w:rPr>
                            <w:rFonts w:ascii="Calibri"/>
                            <w:w w:val="96"/>
                            <w:sz w:val="10"/>
                          </w:rPr>
                          <w:t>0</w:t>
                        </w:r>
                      </w:p>
                    </w:tc>
                    <w:tc>
                      <w:tcPr>
                        <w:tcW w:w="527" w:type="dxa"/>
                        <w:tcBorders>
                          <w:top w:val="single" w:sz="3" w:space="0" w:color="000000"/>
                          <w:left w:val="single" w:sz="3" w:space="0" w:color="000000"/>
                          <w:bottom w:val="single" w:sz="3" w:space="0" w:color="000000"/>
                          <w:right w:val="single" w:sz="3" w:space="0" w:color="000000"/>
                        </w:tcBorders>
                        <w:shd w:val="clear" w:color="auto" w:fill="E6E4E4"/>
                      </w:tcPr>
                      <w:p>
                        <w:pPr>
                          <w:pStyle w:val="TableParagraph"/>
                          <w:spacing w:before="6"/>
                          <w:rPr>
                            <w:sz w:val="9"/>
                          </w:rPr>
                        </w:pPr>
                      </w:p>
                      <w:p>
                        <w:pPr>
                          <w:pStyle w:val="TableParagraph"/>
                          <w:spacing w:before="1"/>
                          <w:ind w:right="7"/>
                          <w:jc w:val="right"/>
                          <w:rPr>
                            <w:rFonts w:ascii="Calibri"/>
                            <w:sz w:val="10"/>
                          </w:rPr>
                        </w:pPr>
                        <w:r>
                          <w:rPr>
                            <w:rFonts w:ascii="Calibri"/>
                            <w:w w:val="96"/>
                            <w:sz w:val="10"/>
                          </w:rPr>
                          <w:t>0</w:t>
                        </w:r>
                      </w:p>
                    </w:tc>
                    <w:tc>
                      <w:tcPr>
                        <w:tcW w:w="526" w:type="dxa"/>
                        <w:tcBorders>
                          <w:top w:val="single" w:sz="3" w:space="0" w:color="000000"/>
                          <w:left w:val="single" w:sz="3" w:space="0" w:color="000000"/>
                          <w:bottom w:val="single" w:sz="3" w:space="0" w:color="000000"/>
                          <w:right w:val="single" w:sz="3" w:space="0" w:color="000000"/>
                        </w:tcBorders>
                        <w:shd w:val="clear" w:color="auto" w:fill="E6E4E4"/>
                      </w:tcPr>
                      <w:p>
                        <w:pPr>
                          <w:pStyle w:val="TableParagraph"/>
                          <w:spacing w:before="6"/>
                          <w:rPr>
                            <w:sz w:val="9"/>
                          </w:rPr>
                        </w:pPr>
                      </w:p>
                      <w:p>
                        <w:pPr>
                          <w:pStyle w:val="TableParagraph"/>
                          <w:spacing w:before="1"/>
                          <w:ind w:right="7"/>
                          <w:jc w:val="right"/>
                          <w:rPr>
                            <w:rFonts w:ascii="Calibri"/>
                            <w:sz w:val="10"/>
                          </w:rPr>
                        </w:pPr>
                        <w:r>
                          <w:rPr>
                            <w:rFonts w:ascii="Calibri"/>
                            <w:w w:val="96"/>
                            <w:sz w:val="10"/>
                          </w:rPr>
                          <w:t>3</w:t>
                        </w:r>
                      </w:p>
                    </w:tc>
                    <w:tc>
                      <w:tcPr>
                        <w:tcW w:w="527" w:type="dxa"/>
                        <w:tcBorders>
                          <w:top w:val="single" w:sz="3" w:space="0" w:color="000000"/>
                          <w:left w:val="single" w:sz="3" w:space="0" w:color="000000"/>
                          <w:bottom w:val="single" w:sz="3" w:space="0" w:color="000000"/>
                          <w:right w:val="single" w:sz="3" w:space="0" w:color="000000"/>
                        </w:tcBorders>
                        <w:shd w:val="clear" w:color="auto" w:fill="E6E4E4"/>
                      </w:tcPr>
                      <w:p>
                        <w:pPr>
                          <w:pStyle w:val="TableParagraph"/>
                          <w:spacing w:before="6"/>
                          <w:rPr>
                            <w:sz w:val="9"/>
                          </w:rPr>
                        </w:pPr>
                      </w:p>
                      <w:p>
                        <w:pPr>
                          <w:pStyle w:val="TableParagraph"/>
                          <w:spacing w:before="1"/>
                          <w:ind w:right="7"/>
                          <w:jc w:val="right"/>
                          <w:rPr>
                            <w:rFonts w:ascii="Calibri"/>
                            <w:sz w:val="10"/>
                          </w:rPr>
                        </w:pPr>
                        <w:r>
                          <w:rPr>
                            <w:rFonts w:ascii="Calibri"/>
                            <w:w w:val="96"/>
                            <w:sz w:val="10"/>
                          </w:rPr>
                          <w:t>1</w:t>
                        </w:r>
                      </w:p>
                    </w:tc>
                    <w:tc>
                      <w:tcPr>
                        <w:tcW w:w="526" w:type="dxa"/>
                        <w:tcBorders>
                          <w:top w:val="single" w:sz="3" w:space="0" w:color="000000"/>
                          <w:left w:val="single" w:sz="3" w:space="0" w:color="000000"/>
                          <w:bottom w:val="single" w:sz="3" w:space="0" w:color="000000"/>
                          <w:right w:val="single" w:sz="3" w:space="0" w:color="000000"/>
                        </w:tcBorders>
                        <w:shd w:val="clear" w:color="auto" w:fill="E6E4E4"/>
                      </w:tcPr>
                      <w:p>
                        <w:pPr>
                          <w:pStyle w:val="TableParagraph"/>
                          <w:spacing w:before="6"/>
                          <w:rPr>
                            <w:sz w:val="9"/>
                          </w:rPr>
                        </w:pPr>
                      </w:p>
                      <w:p>
                        <w:pPr>
                          <w:pStyle w:val="TableParagraph"/>
                          <w:spacing w:before="1"/>
                          <w:ind w:right="7"/>
                          <w:jc w:val="right"/>
                          <w:rPr>
                            <w:rFonts w:ascii="Calibri"/>
                            <w:sz w:val="10"/>
                          </w:rPr>
                        </w:pPr>
                        <w:r>
                          <w:rPr>
                            <w:rFonts w:ascii="Calibri"/>
                            <w:w w:val="96"/>
                            <w:sz w:val="10"/>
                          </w:rPr>
                          <w:t>0</w:t>
                        </w:r>
                      </w:p>
                    </w:tc>
                  </w:tr>
                  <w:tr>
                    <w:trPr>
                      <w:trHeight w:val="131" w:hRule="exact"/>
                    </w:trPr>
                    <w:tc>
                      <w:tcPr>
                        <w:tcW w:w="1736" w:type="dxa"/>
                        <w:tcBorders>
                          <w:top w:val="single" w:sz="3" w:space="0" w:color="000000"/>
                          <w:right w:val="single" w:sz="3" w:space="0" w:color="000000"/>
                        </w:tcBorders>
                        <w:shd w:val="clear" w:color="auto" w:fill="E6E4E4"/>
                      </w:tcPr>
                      <w:p>
                        <w:pPr>
                          <w:pStyle w:val="TableParagraph"/>
                          <w:spacing w:before="5"/>
                          <w:ind w:left="13" w:right="-12"/>
                          <w:rPr>
                            <w:rFonts w:ascii="Calibri"/>
                            <w:sz w:val="10"/>
                          </w:rPr>
                        </w:pPr>
                        <w:r>
                          <w:rPr>
                            <w:rFonts w:ascii="Calibri"/>
                            <w:sz w:val="10"/>
                          </w:rPr>
                          <w:t>Synovitis, tenosynovitis and bursitis</w:t>
                        </w:r>
                      </w:p>
                    </w:tc>
                    <w:tc>
                      <w:tcPr>
                        <w:tcW w:w="527" w:type="dxa"/>
                        <w:tcBorders>
                          <w:top w:val="single" w:sz="3" w:space="0" w:color="000000"/>
                          <w:left w:val="single" w:sz="3" w:space="0" w:color="000000"/>
                          <w:right w:val="single" w:sz="3" w:space="0" w:color="000000"/>
                        </w:tcBorders>
                        <w:shd w:val="clear" w:color="auto" w:fill="E6E4E4"/>
                      </w:tcPr>
                      <w:p>
                        <w:pPr>
                          <w:pStyle w:val="TableParagraph"/>
                          <w:spacing w:before="5"/>
                          <w:ind w:right="7"/>
                          <w:jc w:val="right"/>
                          <w:rPr>
                            <w:rFonts w:ascii="Calibri"/>
                            <w:sz w:val="10"/>
                          </w:rPr>
                        </w:pPr>
                        <w:r>
                          <w:rPr>
                            <w:rFonts w:ascii="Calibri"/>
                            <w:w w:val="96"/>
                            <w:sz w:val="10"/>
                          </w:rPr>
                          <w:t>0</w:t>
                        </w:r>
                      </w:p>
                    </w:tc>
                    <w:tc>
                      <w:tcPr>
                        <w:tcW w:w="526" w:type="dxa"/>
                        <w:tcBorders>
                          <w:top w:val="single" w:sz="3" w:space="0" w:color="000000"/>
                          <w:left w:val="single" w:sz="3" w:space="0" w:color="000000"/>
                          <w:right w:val="single" w:sz="3" w:space="0" w:color="000000"/>
                        </w:tcBorders>
                        <w:shd w:val="clear" w:color="auto" w:fill="E6E4E4"/>
                      </w:tcPr>
                      <w:p>
                        <w:pPr>
                          <w:pStyle w:val="TableParagraph"/>
                          <w:spacing w:before="5"/>
                          <w:ind w:right="7"/>
                          <w:jc w:val="right"/>
                          <w:rPr>
                            <w:rFonts w:ascii="Calibri"/>
                            <w:sz w:val="10"/>
                          </w:rPr>
                        </w:pPr>
                        <w:r>
                          <w:rPr>
                            <w:rFonts w:ascii="Calibri"/>
                            <w:w w:val="96"/>
                            <w:sz w:val="10"/>
                          </w:rPr>
                          <w:t>2</w:t>
                        </w:r>
                      </w:p>
                    </w:tc>
                    <w:tc>
                      <w:tcPr>
                        <w:tcW w:w="527" w:type="dxa"/>
                        <w:tcBorders>
                          <w:top w:val="single" w:sz="3" w:space="0" w:color="000000"/>
                          <w:left w:val="single" w:sz="3" w:space="0" w:color="000000"/>
                          <w:right w:val="single" w:sz="3" w:space="0" w:color="000000"/>
                        </w:tcBorders>
                        <w:shd w:val="clear" w:color="auto" w:fill="E6E4E4"/>
                      </w:tcPr>
                      <w:p>
                        <w:pPr>
                          <w:pStyle w:val="TableParagraph"/>
                          <w:spacing w:before="5"/>
                          <w:ind w:right="7"/>
                          <w:jc w:val="right"/>
                          <w:rPr>
                            <w:rFonts w:ascii="Calibri"/>
                            <w:sz w:val="10"/>
                          </w:rPr>
                        </w:pPr>
                        <w:r>
                          <w:rPr>
                            <w:rFonts w:ascii="Calibri"/>
                            <w:w w:val="96"/>
                            <w:sz w:val="10"/>
                          </w:rPr>
                          <w:t>0</w:t>
                        </w:r>
                      </w:p>
                    </w:tc>
                    <w:tc>
                      <w:tcPr>
                        <w:tcW w:w="526" w:type="dxa"/>
                        <w:tcBorders>
                          <w:top w:val="single" w:sz="3" w:space="0" w:color="000000"/>
                          <w:left w:val="single" w:sz="3" w:space="0" w:color="000000"/>
                          <w:right w:val="single" w:sz="3" w:space="0" w:color="000000"/>
                        </w:tcBorders>
                        <w:shd w:val="clear" w:color="auto" w:fill="E6E4E4"/>
                      </w:tcPr>
                      <w:p>
                        <w:pPr>
                          <w:pStyle w:val="TableParagraph"/>
                          <w:spacing w:before="5"/>
                          <w:ind w:right="7"/>
                          <w:jc w:val="right"/>
                          <w:rPr>
                            <w:rFonts w:ascii="Calibri"/>
                            <w:sz w:val="10"/>
                          </w:rPr>
                        </w:pPr>
                        <w:r>
                          <w:rPr>
                            <w:rFonts w:ascii="Calibri"/>
                            <w:w w:val="96"/>
                            <w:sz w:val="10"/>
                          </w:rPr>
                          <w:t>6</w:t>
                        </w:r>
                      </w:p>
                    </w:tc>
                    <w:tc>
                      <w:tcPr>
                        <w:tcW w:w="527" w:type="dxa"/>
                        <w:tcBorders>
                          <w:top w:val="single" w:sz="3" w:space="0" w:color="000000"/>
                          <w:left w:val="single" w:sz="3" w:space="0" w:color="000000"/>
                          <w:right w:val="single" w:sz="3" w:space="0" w:color="000000"/>
                        </w:tcBorders>
                        <w:shd w:val="clear" w:color="auto" w:fill="E6E4E4"/>
                      </w:tcPr>
                      <w:p>
                        <w:pPr>
                          <w:pStyle w:val="TableParagraph"/>
                          <w:spacing w:before="5"/>
                          <w:ind w:right="7"/>
                          <w:jc w:val="right"/>
                          <w:rPr>
                            <w:rFonts w:ascii="Calibri"/>
                            <w:sz w:val="10"/>
                          </w:rPr>
                        </w:pPr>
                        <w:r>
                          <w:rPr>
                            <w:rFonts w:ascii="Calibri"/>
                            <w:w w:val="96"/>
                            <w:sz w:val="10"/>
                          </w:rPr>
                          <w:t>0</w:t>
                        </w:r>
                      </w:p>
                    </w:tc>
                    <w:tc>
                      <w:tcPr>
                        <w:tcW w:w="526" w:type="dxa"/>
                        <w:tcBorders>
                          <w:top w:val="single" w:sz="3" w:space="0" w:color="000000"/>
                          <w:left w:val="single" w:sz="3" w:space="0" w:color="000000"/>
                          <w:right w:val="single" w:sz="3" w:space="0" w:color="000000"/>
                        </w:tcBorders>
                        <w:shd w:val="clear" w:color="auto" w:fill="E6E4E4"/>
                      </w:tcPr>
                      <w:p>
                        <w:pPr>
                          <w:pStyle w:val="TableParagraph"/>
                          <w:spacing w:before="5"/>
                          <w:ind w:right="7"/>
                          <w:jc w:val="right"/>
                          <w:rPr>
                            <w:rFonts w:ascii="Calibri"/>
                            <w:sz w:val="10"/>
                          </w:rPr>
                        </w:pPr>
                        <w:r>
                          <w:rPr>
                            <w:rFonts w:ascii="Calibri"/>
                            <w:w w:val="96"/>
                            <w:sz w:val="10"/>
                          </w:rPr>
                          <w:t>0</w:t>
                        </w:r>
                      </w:p>
                    </w:tc>
                  </w:tr>
                  <w:tr>
                    <w:trPr>
                      <w:trHeight w:val="131" w:hRule="exact"/>
                    </w:trPr>
                    <w:tc>
                      <w:tcPr>
                        <w:tcW w:w="1736" w:type="dxa"/>
                        <w:tcBorders>
                          <w:bottom w:val="single" w:sz="3" w:space="0" w:color="000000"/>
                          <w:right w:val="single" w:sz="3" w:space="0" w:color="000000"/>
                        </w:tcBorders>
                        <w:shd w:val="clear" w:color="auto" w:fill="E6E4E4"/>
                      </w:tcPr>
                      <w:p>
                        <w:pPr>
                          <w:pStyle w:val="TableParagraph"/>
                          <w:spacing w:before="6"/>
                          <w:ind w:left="13" w:right="-12"/>
                          <w:rPr>
                            <w:rFonts w:ascii="Calibri"/>
                            <w:sz w:val="10"/>
                          </w:rPr>
                        </w:pPr>
                        <w:r>
                          <w:rPr>
                            <w:rFonts w:ascii="Calibri"/>
                            <w:sz w:val="10"/>
                          </w:rPr>
                          <w:t>Others</w:t>
                        </w:r>
                      </w:p>
                    </w:tc>
                    <w:tc>
                      <w:tcPr>
                        <w:tcW w:w="527" w:type="dxa"/>
                        <w:tcBorders>
                          <w:left w:val="single" w:sz="3" w:space="0" w:color="000000"/>
                          <w:bottom w:val="single" w:sz="3" w:space="0" w:color="000000"/>
                          <w:right w:val="single" w:sz="3" w:space="0" w:color="000000"/>
                        </w:tcBorders>
                        <w:shd w:val="clear" w:color="auto" w:fill="E6E4E4"/>
                      </w:tcPr>
                      <w:p>
                        <w:pPr>
                          <w:pStyle w:val="TableParagraph"/>
                          <w:spacing w:before="6"/>
                          <w:ind w:right="10"/>
                          <w:jc w:val="right"/>
                          <w:rPr>
                            <w:rFonts w:ascii="Calibri"/>
                            <w:sz w:val="10"/>
                          </w:rPr>
                        </w:pPr>
                        <w:r>
                          <w:rPr>
                            <w:rFonts w:ascii="Calibri"/>
                            <w:w w:val="95"/>
                            <w:sz w:val="10"/>
                          </w:rPr>
                          <w:t>15</w:t>
                        </w:r>
                      </w:p>
                    </w:tc>
                    <w:tc>
                      <w:tcPr>
                        <w:tcW w:w="526" w:type="dxa"/>
                        <w:tcBorders>
                          <w:left w:val="single" w:sz="3" w:space="0" w:color="000000"/>
                          <w:bottom w:val="single" w:sz="3" w:space="0" w:color="000000"/>
                          <w:right w:val="single" w:sz="3" w:space="0" w:color="000000"/>
                        </w:tcBorders>
                        <w:shd w:val="clear" w:color="auto" w:fill="E6E4E4"/>
                      </w:tcPr>
                      <w:p>
                        <w:pPr>
                          <w:pStyle w:val="TableParagraph"/>
                          <w:spacing w:before="6"/>
                          <w:ind w:right="10"/>
                          <w:jc w:val="right"/>
                          <w:rPr>
                            <w:rFonts w:ascii="Calibri"/>
                            <w:sz w:val="10"/>
                          </w:rPr>
                        </w:pPr>
                        <w:r>
                          <w:rPr>
                            <w:rFonts w:ascii="Calibri"/>
                            <w:w w:val="95"/>
                            <w:sz w:val="10"/>
                          </w:rPr>
                          <w:t>11</w:t>
                        </w:r>
                      </w:p>
                    </w:tc>
                    <w:tc>
                      <w:tcPr>
                        <w:tcW w:w="527" w:type="dxa"/>
                        <w:tcBorders>
                          <w:left w:val="single" w:sz="3" w:space="0" w:color="000000"/>
                          <w:bottom w:val="single" w:sz="3" w:space="0" w:color="000000"/>
                          <w:right w:val="single" w:sz="3" w:space="0" w:color="000000"/>
                        </w:tcBorders>
                        <w:shd w:val="clear" w:color="auto" w:fill="E6E4E4"/>
                      </w:tcPr>
                      <w:p>
                        <w:pPr>
                          <w:pStyle w:val="TableParagraph"/>
                          <w:spacing w:before="6"/>
                          <w:ind w:right="10"/>
                          <w:jc w:val="right"/>
                          <w:rPr>
                            <w:rFonts w:ascii="Calibri"/>
                            <w:sz w:val="10"/>
                          </w:rPr>
                        </w:pPr>
                        <w:r>
                          <w:rPr>
                            <w:rFonts w:ascii="Calibri"/>
                            <w:w w:val="95"/>
                            <w:sz w:val="10"/>
                          </w:rPr>
                          <w:t>23</w:t>
                        </w:r>
                      </w:p>
                    </w:tc>
                    <w:tc>
                      <w:tcPr>
                        <w:tcW w:w="526" w:type="dxa"/>
                        <w:tcBorders>
                          <w:left w:val="single" w:sz="3" w:space="0" w:color="000000"/>
                          <w:bottom w:val="single" w:sz="3" w:space="0" w:color="000000"/>
                          <w:right w:val="single" w:sz="3" w:space="0" w:color="000000"/>
                        </w:tcBorders>
                        <w:shd w:val="clear" w:color="auto" w:fill="E6E4E4"/>
                      </w:tcPr>
                      <w:p>
                        <w:pPr>
                          <w:pStyle w:val="TableParagraph"/>
                          <w:spacing w:before="6"/>
                          <w:ind w:right="7"/>
                          <w:jc w:val="right"/>
                          <w:rPr>
                            <w:rFonts w:ascii="Calibri"/>
                            <w:sz w:val="10"/>
                          </w:rPr>
                        </w:pPr>
                        <w:r>
                          <w:rPr>
                            <w:rFonts w:ascii="Calibri"/>
                            <w:w w:val="96"/>
                            <w:sz w:val="10"/>
                          </w:rPr>
                          <w:t>9</w:t>
                        </w:r>
                      </w:p>
                    </w:tc>
                    <w:tc>
                      <w:tcPr>
                        <w:tcW w:w="527" w:type="dxa"/>
                        <w:tcBorders>
                          <w:left w:val="single" w:sz="3" w:space="0" w:color="000000"/>
                          <w:bottom w:val="single" w:sz="3" w:space="0" w:color="000000"/>
                          <w:right w:val="single" w:sz="3" w:space="0" w:color="000000"/>
                        </w:tcBorders>
                        <w:shd w:val="clear" w:color="auto" w:fill="E6E4E4"/>
                      </w:tcPr>
                      <w:p>
                        <w:pPr>
                          <w:pStyle w:val="TableParagraph"/>
                          <w:spacing w:before="6"/>
                          <w:ind w:right="7"/>
                          <w:jc w:val="right"/>
                          <w:rPr>
                            <w:rFonts w:ascii="Calibri"/>
                            <w:sz w:val="10"/>
                          </w:rPr>
                        </w:pPr>
                        <w:r>
                          <w:rPr>
                            <w:rFonts w:ascii="Calibri"/>
                            <w:w w:val="95"/>
                            <w:sz w:val="10"/>
                          </w:rPr>
                          <w:t>58</w:t>
                        </w:r>
                      </w:p>
                    </w:tc>
                    <w:tc>
                      <w:tcPr>
                        <w:tcW w:w="526" w:type="dxa"/>
                        <w:tcBorders>
                          <w:left w:val="single" w:sz="3" w:space="0" w:color="000000"/>
                          <w:bottom w:val="single" w:sz="3" w:space="0" w:color="000000"/>
                          <w:right w:val="single" w:sz="3" w:space="0" w:color="000000"/>
                        </w:tcBorders>
                        <w:shd w:val="clear" w:color="auto" w:fill="E6E4E4"/>
                      </w:tcPr>
                      <w:p>
                        <w:pPr>
                          <w:pStyle w:val="TableParagraph"/>
                          <w:spacing w:before="6"/>
                          <w:ind w:right="7"/>
                          <w:jc w:val="right"/>
                          <w:rPr>
                            <w:rFonts w:ascii="Calibri"/>
                            <w:sz w:val="10"/>
                          </w:rPr>
                        </w:pPr>
                        <w:r>
                          <w:rPr>
                            <w:rFonts w:ascii="Calibri"/>
                            <w:w w:val="95"/>
                            <w:sz w:val="10"/>
                          </w:rPr>
                          <w:t>42</w:t>
                        </w:r>
                      </w:p>
                    </w:tc>
                  </w:tr>
                </w:tbl>
                <w:p>
                  <w:pPr>
                    <w:pStyle w:val="BodyText"/>
                  </w:pPr>
                </w:p>
              </w:txbxContent>
            </v:textbox>
            <w10:wrap type="none"/>
          </v:shape>
        </w:pict>
      </w:r>
      <w:r>
        <w:rPr/>
        <w:t>Table 1. Occupational diseases according nature of the injury and sex.</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line="570" w:lineRule="atLeast" w:before="120"/>
        <w:ind w:left="838" w:right="9" w:firstLine="112"/>
      </w:pPr>
      <w:r>
        <w:rPr/>
        <w:t>Source: Reports statistics IMSS, 2011- 2013 According   to   statistics   IMSS   regarding  working</w:t>
      </w:r>
    </w:p>
    <w:p>
      <w:pPr>
        <w:pStyle w:val="BodyText"/>
        <w:ind w:left="270" w:right="2"/>
        <w:jc w:val="both"/>
      </w:pPr>
      <w:r>
        <w:rPr/>
        <w:t>conditions according to Table 1 the injury rate has increased year by year because of not control the fatigue of workers.</w:t>
      </w:r>
    </w:p>
    <w:p>
      <w:pPr>
        <w:pStyle w:val="BodyText"/>
        <w:spacing w:before="11"/>
        <w:rPr>
          <w:sz w:val="19"/>
        </w:rPr>
      </w:pPr>
    </w:p>
    <w:p>
      <w:pPr>
        <w:pStyle w:val="BodyText"/>
        <w:ind w:left="270" w:firstLine="567"/>
        <w:jc w:val="both"/>
      </w:pPr>
      <w:r>
        <w:rPr/>
        <w:t>3.37% of men have shoulder injuries, 1.12% respiratory diseases, 2.24% pneumoconiosis and 65% of other diseases in the course of 2013.</w:t>
      </w:r>
    </w:p>
    <w:p>
      <w:pPr>
        <w:pStyle w:val="BodyText"/>
        <w:spacing w:before="2"/>
      </w:pPr>
    </w:p>
    <w:p>
      <w:pPr>
        <w:pStyle w:val="Heading4"/>
      </w:pPr>
      <w:r>
        <w:rPr/>
        <w:t>1.2 Objectives</w:t>
      </w:r>
    </w:p>
    <w:p>
      <w:pPr>
        <w:pStyle w:val="BodyText"/>
        <w:spacing w:before="8"/>
        <w:rPr>
          <w:b/>
          <w:sz w:val="19"/>
        </w:rPr>
      </w:pPr>
    </w:p>
    <w:p>
      <w:pPr>
        <w:pStyle w:val="BodyText"/>
        <w:ind w:left="270"/>
        <w:jc w:val="both"/>
      </w:pPr>
      <w:r>
        <w:rPr/>
        <w:t>The main objective would be to find the approximate number of people suffering from fatigue and thus to help find a better way to do their jobs.</w:t>
      </w:r>
    </w:p>
    <w:p>
      <w:pPr>
        <w:pStyle w:val="BodyText"/>
        <w:spacing w:before="3"/>
      </w:pPr>
    </w:p>
    <w:p>
      <w:pPr>
        <w:pStyle w:val="Heading4"/>
      </w:pPr>
      <w:r>
        <w:rPr/>
        <w:t>1.2.1      Specific Objectives</w:t>
      </w:r>
    </w:p>
    <w:p>
      <w:pPr>
        <w:pStyle w:val="BodyText"/>
        <w:spacing w:before="8"/>
        <w:rPr>
          <w:b/>
          <w:sz w:val="19"/>
        </w:rPr>
      </w:pPr>
    </w:p>
    <w:p>
      <w:pPr>
        <w:pStyle w:val="ListParagraph"/>
        <w:numPr>
          <w:ilvl w:val="0"/>
          <w:numId w:val="131"/>
        </w:numPr>
        <w:tabs>
          <w:tab w:pos="697" w:val="left" w:leader="none"/>
        </w:tabs>
        <w:spacing w:line="245" w:lineRule="exact" w:before="0" w:after="0"/>
        <w:ind w:left="696" w:right="0" w:hanging="360"/>
        <w:jc w:val="both"/>
        <w:rPr>
          <w:sz w:val="20"/>
        </w:rPr>
      </w:pPr>
      <w:r>
        <w:rPr>
          <w:sz w:val="20"/>
        </w:rPr>
        <w:t>Determine which causes fatigue of the</w:t>
      </w:r>
      <w:r>
        <w:rPr>
          <w:spacing w:val="-16"/>
          <w:sz w:val="20"/>
        </w:rPr>
        <w:t> </w:t>
      </w:r>
      <w:r>
        <w:rPr>
          <w:sz w:val="20"/>
        </w:rPr>
        <w:t>drivers.</w:t>
      </w:r>
    </w:p>
    <w:p>
      <w:pPr>
        <w:pStyle w:val="ListParagraph"/>
        <w:numPr>
          <w:ilvl w:val="0"/>
          <w:numId w:val="131"/>
        </w:numPr>
        <w:tabs>
          <w:tab w:pos="697" w:val="left" w:leader="none"/>
        </w:tabs>
        <w:spacing w:line="240" w:lineRule="auto" w:before="0" w:after="0"/>
        <w:ind w:left="696" w:right="0" w:hanging="360"/>
        <w:jc w:val="both"/>
        <w:rPr>
          <w:sz w:val="20"/>
        </w:rPr>
      </w:pPr>
      <w:r>
        <w:rPr>
          <w:sz w:val="20"/>
        </w:rPr>
        <w:t>Meet the body parts that are more</w:t>
      </w:r>
      <w:r>
        <w:rPr>
          <w:spacing w:val="-28"/>
          <w:sz w:val="20"/>
        </w:rPr>
        <w:t> </w:t>
      </w:r>
      <w:r>
        <w:rPr>
          <w:sz w:val="20"/>
        </w:rPr>
        <w:t>affected.</w:t>
      </w:r>
    </w:p>
    <w:p>
      <w:pPr>
        <w:pStyle w:val="BodyText"/>
        <w:spacing w:before="1"/>
      </w:pPr>
    </w:p>
    <w:p>
      <w:pPr>
        <w:pStyle w:val="Heading4"/>
        <w:numPr>
          <w:ilvl w:val="0"/>
          <w:numId w:val="130"/>
        </w:numPr>
        <w:tabs>
          <w:tab w:pos="522" w:val="left" w:leader="none"/>
        </w:tabs>
        <w:spacing w:line="240" w:lineRule="auto" w:before="0" w:after="0"/>
        <w:ind w:left="521" w:right="0" w:hanging="251"/>
        <w:jc w:val="both"/>
      </w:pPr>
      <w:r>
        <w:rPr/>
        <w:t>Methodology</w:t>
      </w:r>
    </w:p>
    <w:p>
      <w:pPr>
        <w:pStyle w:val="BodyText"/>
        <w:spacing w:before="8"/>
        <w:rPr>
          <w:b/>
          <w:sz w:val="19"/>
        </w:rPr>
      </w:pPr>
    </w:p>
    <w:p>
      <w:pPr>
        <w:pStyle w:val="BodyText"/>
        <w:ind w:left="270"/>
        <w:jc w:val="both"/>
      </w:pPr>
      <w:r>
        <w:rPr/>
        <w:t>With a sample of 28 urban bus drivers who agreed to participate in research as an object of study, to measure fatigue through two different methods of measurement, questionnaire Yoshitake and 4-point scale Luke results were obtained which will be shown graphically by percentages.</w:t>
      </w:r>
    </w:p>
    <w:p>
      <w:pPr>
        <w:pStyle w:val="BodyText"/>
        <w:spacing w:before="2"/>
      </w:pPr>
    </w:p>
    <w:p>
      <w:pPr>
        <w:pStyle w:val="Heading4"/>
      </w:pPr>
      <w:r>
        <w:rPr/>
        <w:t>2.1 Measurement of fatigue</w:t>
      </w:r>
    </w:p>
    <w:p>
      <w:pPr>
        <w:pStyle w:val="BodyText"/>
        <w:spacing w:line="249" w:lineRule="auto" w:before="83"/>
        <w:ind w:left="270" w:right="677"/>
        <w:jc w:val="both"/>
      </w:pPr>
      <w:r>
        <w:rPr/>
        <w:br w:type="column"/>
      </w:r>
      <w:r>
        <w:rPr/>
        <w:t>4-points scale of Luke: Luke and coll. (1999) used a scale to determine the level of fatigue in pregnant women. On this scale, called the 4-point scale of Luke, fatigue levels are entered after a normal workday "bit tired" 1 point "tired" 2 points "very tired" 3 points, and "extremely tired "4 points. Responses to "very tired" and "extremely tired" were grouped into fatigue.</w:t>
      </w:r>
    </w:p>
    <w:p>
      <w:pPr>
        <w:pStyle w:val="BodyText"/>
        <w:spacing w:before="11"/>
      </w:pPr>
    </w:p>
    <w:p>
      <w:pPr>
        <w:pStyle w:val="BodyText"/>
        <w:ind w:left="1575" w:right="852"/>
      </w:pPr>
      <w:r>
        <w:rPr/>
        <w:t>Table 2. Luke 4 points scale</w:t>
      </w:r>
    </w:p>
    <w:p>
      <w:pPr>
        <w:pStyle w:val="BodyText"/>
        <w:spacing w:before="7"/>
        <w:rPr>
          <w:sz w:val="8"/>
        </w:rPr>
      </w:pPr>
    </w:p>
    <w:tbl>
      <w:tblPr>
        <w:tblW w:w="0" w:type="auto"/>
        <w:jc w:val="left"/>
        <w:tblInd w:w="218"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2594"/>
        <w:gridCol w:w="325"/>
        <w:gridCol w:w="325"/>
        <w:gridCol w:w="324"/>
        <w:gridCol w:w="324"/>
        <w:gridCol w:w="324"/>
        <w:gridCol w:w="374"/>
      </w:tblGrid>
      <w:tr>
        <w:trPr>
          <w:trHeight w:val="506" w:hRule="exact"/>
        </w:trPr>
        <w:tc>
          <w:tcPr>
            <w:tcW w:w="4589" w:type="dxa"/>
            <w:gridSpan w:val="7"/>
            <w:tcBorders>
              <w:bottom w:val="single" w:sz="10" w:space="0" w:color="000000"/>
              <w:right w:val="single" w:sz="6" w:space="0" w:color="000000"/>
            </w:tcBorders>
          </w:tcPr>
          <w:p>
            <w:pPr>
              <w:pStyle w:val="TableParagraph"/>
              <w:spacing w:before="21"/>
              <w:ind w:left="1185"/>
              <w:rPr>
                <w:rFonts w:ascii="Calibri" w:hAnsi="Calibri"/>
                <w:sz w:val="18"/>
              </w:rPr>
            </w:pPr>
            <w:r>
              <w:rPr>
                <w:rFonts w:ascii="Calibri" w:hAnsi="Calibri"/>
                <w:sz w:val="18"/>
              </w:rPr>
              <w:t>Table 2. 4‐Point scale of  Luke</w:t>
            </w:r>
          </w:p>
        </w:tc>
      </w:tr>
      <w:tr>
        <w:trPr>
          <w:trHeight w:val="255" w:hRule="exact"/>
        </w:trPr>
        <w:tc>
          <w:tcPr>
            <w:tcW w:w="2594" w:type="dxa"/>
            <w:tcBorders>
              <w:top w:val="single" w:sz="10" w:space="0" w:color="000000"/>
              <w:bottom w:val="single" w:sz="6" w:space="0" w:color="000000"/>
              <w:right w:val="single" w:sz="6" w:space="0" w:color="000000"/>
            </w:tcBorders>
          </w:tcPr>
          <w:p>
            <w:pPr/>
          </w:p>
        </w:tc>
        <w:tc>
          <w:tcPr>
            <w:tcW w:w="325" w:type="dxa"/>
            <w:tcBorders>
              <w:top w:val="single" w:sz="10" w:space="0" w:color="000000"/>
              <w:left w:val="single" w:sz="6" w:space="0" w:color="000000"/>
              <w:bottom w:val="single" w:sz="6" w:space="0" w:color="000000"/>
            </w:tcBorders>
          </w:tcPr>
          <w:p>
            <w:pPr>
              <w:pStyle w:val="TableParagraph"/>
              <w:spacing w:before="20"/>
              <w:ind w:left="25"/>
              <w:rPr>
                <w:rFonts w:ascii="Calibri"/>
                <w:sz w:val="18"/>
              </w:rPr>
            </w:pPr>
            <w:r>
              <w:rPr>
                <w:rFonts w:ascii="Calibri"/>
                <w:w w:val="101"/>
                <w:sz w:val="18"/>
              </w:rPr>
              <w:t>L</w:t>
            </w:r>
          </w:p>
        </w:tc>
        <w:tc>
          <w:tcPr>
            <w:tcW w:w="325" w:type="dxa"/>
            <w:tcBorders>
              <w:top w:val="single" w:sz="10" w:space="0" w:color="000000"/>
              <w:bottom w:val="single" w:sz="6" w:space="0" w:color="000000"/>
              <w:right w:val="single" w:sz="5" w:space="0" w:color="000000"/>
            </w:tcBorders>
          </w:tcPr>
          <w:p>
            <w:pPr>
              <w:pStyle w:val="TableParagraph"/>
              <w:spacing w:before="20"/>
              <w:ind w:left="25"/>
              <w:rPr>
                <w:rFonts w:ascii="Calibri"/>
                <w:sz w:val="18"/>
              </w:rPr>
            </w:pPr>
            <w:r>
              <w:rPr>
                <w:rFonts w:ascii="Calibri"/>
                <w:w w:val="101"/>
                <w:sz w:val="18"/>
              </w:rPr>
              <w:t>M</w:t>
            </w:r>
          </w:p>
        </w:tc>
        <w:tc>
          <w:tcPr>
            <w:tcW w:w="324" w:type="dxa"/>
            <w:tcBorders>
              <w:top w:val="single" w:sz="10" w:space="0" w:color="000000"/>
              <w:left w:val="single" w:sz="5" w:space="0" w:color="000000"/>
              <w:bottom w:val="single" w:sz="6" w:space="0" w:color="000000"/>
              <w:right w:val="single" w:sz="5" w:space="0" w:color="000000"/>
            </w:tcBorders>
          </w:tcPr>
          <w:p>
            <w:pPr>
              <w:pStyle w:val="TableParagraph"/>
              <w:spacing w:before="20"/>
              <w:ind w:left="24"/>
              <w:rPr>
                <w:rFonts w:ascii="Calibri"/>
                <w:sz w:val="18"/>
              </w:rPr>
            </w:pPr>
            <w:r>
              <w:rPr>
                <w:rFonts w:ascii="Calibri"/>
                <w:w w:val="101"/>
                <w:sz w:val="18"/>
              </w:rPr>
              <w:t>M</w:t>
            </w:r>
          </w:p>
        </w:tc>
        <w:tc>
          <w:tcPr>
            <w:tcW w:w="324" w:type="dxa"/>
            <w:tcBorders>
              <w:top w:val="single" w:sz="10" w:space="0" w:color="000000"/>
              <w:left w:val="single" w:sz="5" w:space="0" w:color="000000"/>
              <w:bottom w:val="single" w:sz="6" w:space="0" w:color="000000"/>
              <w:right w:val="single" w:sz="6" w:space="0" w:color="000000"/>
            </w:tcBorders>
          </w:tcPr>
          <w:p>
            <w:pPr>
              <w:pStyle w:val="TableParagraph"/>
              <w:spacing w:before="20"/>
              <w:ind w:left="25"/>
              <w:rPr>
                <w:rFonts w:ascii="Calibri"/>
                <w:sz w:val="18"/>
              </w:rPr>
            </w:pPr>
            <w:r>
              <w:rPr>
                <w:rFonts w:ascii="Calibri"/>
                <w:w w:val="101"/>
                <w:sz w:val="18"/>
              </w:rPr>
              <w:t>J</w:t>
            </w:r>
          </w:p>
        </w:tc>
        <w:tc>
          <w:tcPr>
            <w:tcW w:w="324" w:type="dxa"/>
            <w:tcBorders>
              <w:top w:val="single" w:sz="10" w:space="0" w:color="000000"/>
              <w:left w:val="single" w:sz="6" w:space="0" w:color="000000"/>
              <w:bottom w:val="single" w:sz="6" w:space="0" w:color="000000"/>
              <w:right w:val="single" w:sz="6" w:space="0" w:color="000000"/>
            </w:tcBorders>
          </w:tcPr>
          <w:p>
            <w:pPr>
              <w:pStyle w:val="TableParagraph"/>
              <w:spacing w:before="20"/>
              <w:ind w:left="25"/>
              <w:rPr>
                <w:rFonts w:ascii="Calibri"/>
                <w:sz w:val="18"/>
              </w:rPr>
            </w:pPr>
            <w:r>
              <w:rPr>
                <w:rFonts w:ascii="Calibri"/>
                <w:w w:val="101"/>
                <w:sz w:val="18"/>
              </w:rPr>
              <w:t>V</w:t>
            </w:r>
          </w:p>
        </w:tc>
        <w:tc>
          <w:tcPr>
            <w:tcW w:w="374" w:type="dxa"/>
            <w:tcBorders>
              <w:top w:val="single" w:sz="10" w:space="0" w:color="000000"/>
              <w:left w:val="single" w:sz="6" w:space="0" w:color="000000"/>
              <w:bottom w:val="single" w:sz="6" w:space="0" w:color="000000"/>
              <w:right w:val="single" w:sz="6" w:space="0" w:color="000000"/>
            </w:tcBorders>
          </w:tcPr>
          <w:p>
            <w:pPr>
              <w:pStyle w:val="TableParagraph"/>
              <w:spacing w:before="20"/>
              <w:ind w:left="25"/>
              <w:rPr>
                <w:rFonts w:ascii="Calibri"/>
                <w:sz w:val="18"/>
              </w:rPr>
            </w:pPr>
            <w:r>
              <w:rPr>
                <w:rFonts w:ascii="Calibri"/>
                <w:w w:val="101"/>
                <w:sz w:val="18"/>
              </w:rPr>
              <w:t>S</w:t>
            </w:r>
          </w:p>
        </w:tc>
      </w:tr>
      <w:tr>
        <w:trPr>
          <w:trHeight w:val="251" w:hRule="exact"/>
        </w:trPr>
        <w:tc>
          <w:tcPr>
            <w:tcW w:w="2594" w:type="dxa"/>
            <w:tcBorders>
              <w:top w:val="single" w:sz="6" w:space="0" w:color="000000"/>
              <w:bottom w:val="single" w:sz="5" w:space="0" w:color="000000"/>
              <w:right w:val="single" w:sz="6" w:space="0" w:color="000000"/>
            </w:tcBorders>
          </w:tcPr>
          <w:p>
            <w:pPr>
              <w:pStyle w:val="TableParagraph"/>
              <w:spacing w:before="20"/>
              <w:ind w:left="25"/>
              <w:rPr>
                <w:rFonts w:ascii="Calibri"/>
                <w:sz w:val="18"/>
              </w:rPr>
            </w:pPr>
            <w:r>
              <w:rPr>
                <w:rFonts w:ascii="Calibri"/>
                <w:sz w:val="18"/>
              </w:rPr>
              <w:t>At the beginning of the  workday</w:t>
            </w:r>
          </w:p>
        </w:tc>
        <w:tc>
          <w:tcPr>
            <w:tcW w:w="325" w:type="dxa"/>
            <w:tcBorders>
              <w:top w:val="single" w:sz="6" w:space="0" w:color="000000"/>
              <w:left w:val="single" w:sz="6" w:space="0" w:color="000000"/>
              <w:bottom w:val="single" w:sz="5" w:space="0" w:color="000000"/>
            </w:tcBorders>
          </w:tcPr>
          <w:p>
            <w:pPr/>
          </w:p>
        </w:tc>
        <w:tc>
          <w:tcPr>
            <w:tcW w:w="325" w:type="dxa"/>
            <w:tcBorders>
              <w:top w:val="single" w:sz="6" w:space="0" w:color="000000"/>
              <w:bottom w:val="single" w:sz="5" w:space="0" w:color="000000"/>
              <w:right w:val="single" w:sz="5" w:space="0" w:color="000000"/>
            </w:tcBorders>
          </w:tcPr>
          <w:p>
            <w:pPr/>
          </w:p>
        </w:tc>
        <w:tc>
          <w:tcPr>
            <w:tcW w:w="324" w:type="dxa"/>
            <w:tcBorders>
              <w:top w:val="single" w:sz="6" w:space="0" w:color="000000"/>
              <w:left w:val="single" w:sz="5" w:space="0" w:color="000000"/>
              <w:bottom w:val="single" w:sz="5" w:space="0" w:color="000000"/>
              <w:right w:val="single" w:sz="5" w:space="0" w:color="000000"/>
            </w:tcBorders>
          </w:tcPr>
          <w:p>
            <w:pPr/>
          </w:p>
        </w:tc>
        <w:tc>
          <w:tcPr>
            <w:tcW w:w="324" w:type="dxa"/>
            <w:tcBorders>
              <w:top w:val="single" w:sz="6" w:space="0" w:color="000000"/>
              <w:left w:val="single" w:sz="5" w:space="0" w:color="000000"/>
              <w:bottom w:val="single" w:sz="5" w:space="0" w:color="000000"/>
              <w:right w:val="single" w:sz="6" w:space="0" w:color="000000"/>
            </w:tcBorders>
          </w:tcPr>
          <w:p>
            <w:pPr/>
          </w:p>
        </w:tc>
        <w:tc>
          <w:tcPr>
            <w:tcW w:w="324" w:type="dxa"/>
            <w:tcBorders>
              <w:top w:val="single" w:sz="6" w:space="0" w:color="000000"/>
              <w:left w:val="single" w:sz="6" w:space="0" w:color="000000"/>
              <w:bottom w:val="single" w:sz="5" w:space="0" w:color="000000"/>
              <w:right w:val="single" w:sz="6" w:space="0" w:color="000000"/>
            </w:tcBorders>
          </w:tcPr>
          <w:p>
            <w:pPr/>
          </w:p>
        </w:tc>
        <w:tc>
          <w:tcPr>
            <w:tcW w:w="374" w:type="dxa"/>
            <w:tcBorders>
              <w:top w:val="single" w:sz="6" w:space="0" w:color="000000"/>
              <w:left w:val="single" w:sz="6" w:space="0" w:color="000000"/>
              <w:bottom w:val="single" w:sz="5" w:space="0" w:color="000000"/>
              <w:right w:val="single" w:sz="6" w:space="0" w:color="000000"/>
            </w:tcBorders>
          </w:tcPr>
          <w:p>
            <w:pPr/>
          </w:p>
        </w:tc>
      </w:tr>
      <w:tr>
        <w:trPr>
          <w:trHeight w:val="256" w:hRule="exact"/>
        </w:trPr>
        <w:tc>
          <w:tcPr>
            <w:tcW w:w="2594" w:type="dxa"/>
            <w:tcBorders>
              <w:top w:val="single" w:sz="5" w:space="0" w:color="000000"/>
              <w:bottom w:val="single" w:sz="10" w:space="0" w:color="000000"/>
              <w:right w:val="single" w:sz="6" w:space="0" w:color="000000"/>
            </w:tcBorders>
          </w:tcPr>
          <w:p>
            <w:pPr>
              <w:pStyle w:val="TableParagraph"/>
              <w:spacing w:before="19"/>
              <w:ind w:left="25"/>
              <w:rPr>
                <w:rFonts w:ascii="Calibri"/>
                <w:sz w:val="18"/>
              </w:rPr>
            </w:pPr>
            <w:r>
              <w:rPr>
                <w:rFonts w:ascii="Calibri"/>
                <w:sz w:val="18"/>
              </w:rPr>
              <w:t>At the ending of the  workday</w:t>
            </w:r>
          </w:p>
        </w:tc>
        <w:tc>
          <w:tcPr>
            <w:tcW w:w="325" w:type="dxa"/>
            <w:tcBorders>
              <w:top w:val="single" w:sz="5" w:space="0" w:color="000000"/>
              <w:left w:val="single" w:sz="6" w:space="0" w:color="000000"/>
              <w:bottom w:val="single" w:sz="10" w:space="0" w:color="000000"/>
            </w:tcBorders>
          </w:tcPr>
          <w:p>
            <w:pPr/>
          </w:p>
        </w:tc>
        <w:tc>
          <w:tcPr>
            <w:tcW w:w="325" w:type="dxa"/>
            <w:tcBorders>
              <w:top w:val="single" w:sz="5" w:space="0" w:color="000000"/>
              <w:bottom w:val="single" w:sz="10" w:space="0" w:color="000000"/>
              <w:right w:val="single" w:sz="5" w:space="0" w:color="000000"/>
            </w:tcBorders>
          </w:tcPr>
          <w:p>
            <w:pPr/>
          </w:p>
        </w:tc>
        <w:tc>
          <w:tcPr>
            <w:tcW w:w="324" w:type="dxa"/>
            <w:tcBorders>
              <w:top w:val="single" w:sz="5" w:space="0" w:color="000000"/>
              <w:left w:val="single" w:sz="5" w:space="0" w:color="000000"/>
              <w:bottom w:val="single" w:sz="10" w:space="0" w:color="000000"/>
              <w:right w:val="single" w:sz="5" w:space="0" w:color="000000"/>
            </w:tcBorders>
          </w:tcPr>
          <w:p>
            <w:pPr/>
          </w:p>
        </w:tc>
        <w:tc>
          <w:tcPr>
            <w:tcW w:w="324" w:type="dxa"/>
            <w:tcBorders>
              <w:top w:val="single" w:sz="5" w:space="0" w:color="000000"/>
              <w:left w:val="single" w:sz="5" w:space="0" w:color="000000"/>
              <w:bottom w:val="single" w:sz="10" w:space="0" w:color="000000"/>
              <w:right w:val="single" w:sz="6" w:space="0" w:color="000000"/>
            </w:tcBorders>
          </w:tcPr>
          <w:p>
            <w:pPr/>
          </w:p>
        </w:tc>
        <w:tc>
          <w:tcPr>
            <w:tcW w:w="324" w:type="dxa"/>
            <w:tcBorders>
              <w:top w:val="single" w:sz="5" w:space="0" w:color="000000"/>
              <w:left w:val="single" w:sz="6" w:space="0" w:color="000000"/>
              <w:bottom w:val="single" w:sz="10" w:space="0" w:color="000000"/>
              <w:right w:val="single" w:sz="6" w:space="0" w:color="000000"/>
            </w:tcBorders>
          </w:tcPr>
          <w:p>
            <w:pPr/>
          </w:p>
        </w:tc>
        <w:tc>
          <w:tcPr>
            <w:tcW w:w="374" w:type="dxa"/>
            <w:tcBorders>
              <w:top w:val="single" w:sz="5" w:space="0" w:color="000000"/>
              <w:left w:val="single" w:sz="6" w:space="0" w:color="000000"/>
              <w:bottom w:val="single" w:sz="10" w:space="0" w:color="000000"/>
              <w:right w:val="single" w:sz="6" w:space="0" w:color="000000"/>
            </w:tcBorders>
          </w:tcPr>
          <w:p>
            <w:pPr/>
          </w:p>
        </w:tc>
      </w:tr>
      <w:tr>
        <w:trPr>
          <w:trHeight w:val="768" w:hRule="exact"/>
        </w:trPr>
        <w:tc>
          <w:tcPr>
            <w:tcW w:w="4589" w:type="dxa"/>
            <w:gridSpan w:val="7"/>
            <w:tcBorders>
              <w:top w:val="single" w:sz="10" w:space="0" w:color="000000"/>
              <w:bottom w:val="single" w:sz="6" w:space="0" w:color="000000"/>
              <w:right w:val="single" w:sz="6" w:space="0" w:color="000000"/>
            </w:tcBorders>
          </w:tcPr>
          <w:p>
            <w:pPr>
              <w:pStyle w:val="TableParagraph"/>
              <w:spacing w:before="6"/>
              <w:rPr>
                <w:sz w:val="24"/>
              </w:rPr>
            </w:pPr>
          </w:p>
          <w:p>
            <w:pPr>
              <w:pStyle w:val="TableParagraph"/>
              <w:ind w:left="25"/>
              <w:rPr>
                <w:rFonts w:ascii="Calibri" w:hAnsi="Calibri"/>
                <w:sz w:val="18"/>
              </w:rPr>
            </w:pPr>
            <w:r>
              <w:rPr>
                <w:rFonts w:ascii="Calibri" w:hAnsi="Calibri"/>
                <w:sz w:val="18"/>
              </w:rPr>
              <w:t>¿How do you feel  generally?</w:t>
            </w:r>
          </w:p>
          <w:p>
            <w:pPr>
              <w:pStyle w:val="TableParagraph"/>
              <w:tabs>
                <w:tab w:pos="1160" w:val="left" w:leader="none"/>
                <w:tab w:pos="1995" w:val="left" w:leader="none"/>
                <w:tab w:pos="3168" w:val="left" w:leader="none"/>
              </w:tabs>
              <w:spacing w:before="30"/>
              <w:ind w:left="25"/>
              <w:rPr>
                <w:rFonts w:ascii="Calibri"/>
                <w:sz w:val="18"/>
              </w:rPr>
            </w:pPr>
            <w:r>
              <w:rPr>
                <w:rFonts w:ascii="Calibri"/>
                <w:spacing w:val="-3"/>
                <w:sz w:val="18"/>
              </w:rPr>
              <w:t>1.</w:t>
            </w:r>
            <w:r>
              <w:rPr>
                <w:rFonts w:ascii="Calibri"/>
                <w:spacing w:val="2"/>
                <w:sz w:val="18"/>
              </w:rPr>
              <w:t> </w:t>
            </w:r>
            <w:r>
              <w:rPr>
                <w:rFonts w:ascii="Calibri"/>
                <w:spacing w:val="3"/>
                <w:sz w:val="18"/>
              </w:rPr>
              <w:t>Not</w:t>
            </w:r>
            <w:r>
              <w:rPr>
                <w:rFonts w:ascii="Calibri"/>
                <w:spacing w:val="-1"/>
                <w:sz w:val="18"/>
              </w:rPr>
              <w:t> </w:t>
            </w:r>
            <w:r>
              <w:rPr>
                <w:rFonts w:ascii="Calibri"/>
                <w:spacing w:val="3"/>
                <w:sz w:val="18"/>
              </w:rPr>
              <w:t>tired</w:t>
              <w:tab/>
            </w:r>
            <w:r>
              <w:rPr>
                <w:rFonts w:ascii="Calibri"/>
                <w:spacing w:val="-3"/>
                <w:sz w:val="18"/>
              </w:rPr>
              <w:t>2.</w:t>
            </w:r>
            <w:r>
              <w:rPr>
                <w:rFonts w:ascii="Calibri"/>
                <w:spacing w:val="1"/>
                <w:sz w:val="18"/>
              </w:rPr>
              <w:t> </w:t>
            </w:r>
            <w:r>
              <w:rPr>
                <w:rFonts w:ascii="Calibri"/>
                <w:spacing w:val="2"/>
                <w:sz w:val="18"/>
              </w:rPr>
              <w:t>Tired</w:t>
              <w:tab/>
            </w:r>
            <w:r>
              <w:rPr>
                <w:rFonts w:ascii="Calibri"/>
                <w:spacing w:val="-3"/>
                <w:sz w:val="18"/>
              </w:rPr>
              <w:t>3.</w:t>
            </w:r>
            <w:r>
              <w:rPr>
                <w:rFonts w:ascii="Calibri"/>
                <w:spacing w:val="3"/>
                <w:sz w:val="18"/>
              </w:rPr>
              <w:t> Very</w:t>
            </w:r>
            <w:r>
              <w:rPr>
                <w:rFonts w:ascii="Calibri"/>
                <w:spacing w:val="4"/>
                <w:sz w:val="18"/>
              </w:rPr>
              <w:t> </w:t>
            </w:r>
            <w:r>
              <w:rPr>
                <w:rFonts w:ascii="Calibri"/>
                <w:spacing w:val="3"/>
                <w:sz w:val="18"/>
              </w:rPr>
              <w:t>tired</w:t>
              <w:tab/>
            </w:r>
            <w:r>
              <w:rPr>
                <w:rFonts w:ascii="Calibri"/>
                <w:spacing w:val="-3"/>
                <w:sz w:val="18"/>
              </w:rPr>
              <w:t>4. </w:t>
            </w:r>
            <w:r>
              <w:rPr>
                <w:rFonts w:ascii="Calibri"/>
                <w:spacing w:val="3"/>
                <w:sz w:val="18"/>
              </w:rPr>
              <w:t>Extremely</w:t>
            </w:r>
            <w:r>
              <w:rPr>
                <w:rFonts w:ascii="Calibri"/>
                <w:spacing w:val="30"/>
                <w:sz w:val="18"/>
              </w:rPr>
              <w:t> </w:t>
            </w:r>
            <w:r>
              <w:rPr>
                <w:rFonts w:ascii="Calibri"/>
                <w:spacing w:val="2"/>
                <w:sz w:val="18"/>
              </w:rPr>
              <w:t>tired</w:t>
            </w:r>
          </w:p>
        </w:tc>
      </w:tr>
    </w:tbl>
    <w:p>
      <w:pPr>
        <w:pStyle w:val="BodyText"/>
      </w:pPr>
    </w:p>
    <w:p>
      <w:pPr>
        <w:pStyle w:val="BodyText"/>
        <w:spacing w:before="7"/>
        <w:rPr>
          <w:sz w:val="23"/>
        </w:rPr>
      </w:pPr>
    </w:p>
    <w:p>
      <w:pPr>
        <w:pStyle w:val="BodyText"/>
        <w:spacing w:line="249" w:lineRule="auto" w:before="1"/>
        <w:ind w:left="270" w:right="676"/>
        <w:jc w:val="both"/>
      </w:pPr>
      <w:r>
        <w:rPr/>
        <w:t>Yoshitake: The subjective opinion questionnaire of Yoshitake consists of 30 questions that describe fatigue where participants answered yes or no at the time of the interview. This questionnaire is divided into three groups of questions the first consists of 10 related symptoms of somnolence and monotony questions the second are 10 questions related to symptoms of difficulty concentrating and third are 10 questions related to physical symptoms or projection of physical</w:t>
      </w:r>
      <w:r>
        <w:rPr>
          <w:spacing w:val="-16"/>
        </w:rPr>
        <w:t> </w:t>
      </w:r>
      <w:r>
        <w:rPr/>
        <w:t>damage.</w:t>
      </w:r>
    </w:p>
    <w:p>
      <w:pPr>
        <w:pStyle w:val="BodyText"/>
        <w:spacing w:before="11"/>
      </w:pPr>
    </w:p>
    <w:p>
      <w:pPr>
        <w:pStyle w:val="Heading4"/>
        <w:numPr>
          <w:ilvl w:val="1"/>
          <w:numId w:val="132"/>
        </w:numPr>
        <w:tabs>
          <w:tab w:pos="621" w:val="left" w:leader="none"/>
        </w:tabs>
        <w:spacing w:line="240" w:lineRule="auto" w:before="0" w:after="0"/>
        <w:ind w:left="620" w:right="0" w:hanging="350"/>
        <w:jc w:val="both"/>
      </w:pPr>
      <w:r>
        <w:rPr/>
        <w:t>Method for determination of</w:t>
      </w:r>
      <w:r>
        <w:rPr>
          <w:spacing w:val="-26"/>
        </w:rPr>
        <w:t> </w:t>
      </w:r>
      <w:r>
        <w:rPr/>
        <w:t>fatigue.</w:t>
      </w:r>
    </w:p>
    <w:p>
      <w:pPr>
        <w:pStyle w:val="BodyText"/>
        <w:spacing w:before="8"/>
        <w:rPr>
          <w:b/>
          <w:sz w:val="21"/>
        </w:rPr>
      </w:pPr>
    </w:p>
    <w:p>
      <w:pPr>
        <w:pStyle w:val="ListParagraph"/>
        <w:numPr>
          <w:ilvl w:val="0"/>
          <w:numId w:val="133"/>
        </w:numPr>
        <w:tabs>
          <w:tab w:pos="490" w:val="left" w:leader="none"/>
        </w:tabs>
        <w:spacing w:line="249" w:lineRule="auto" w:before="0" w:after="0"/>
        <w:ind w:left="270" w:right="678" w:firstLine="0"/>
        <w:jc w:val="both"/>
        <w:rPr>
          <w:sz w:val="20"/>
        </w:rPr>
      </w:pPr>
      <w:r>
        <w:rPr>
          <w:sz w:val="20"/>
        </w:rPr>
        <w:t>Select workers to be surveyed; previously announce that deals with the study and ask for their cooperation, in order  to get more reliability</w:t>
      </w:r>
      <w:r>
        <w:rPr>
          <w:spacing w:val="-19"/>
          <w:sz w:val="20"/>
        </w:rPr>
        <w:t> </w:t>
      </w:r>
      <w:r>
        <w:rPr>
          <w:sz w:val="20"/>
        </w:rPr>
        <w:t>answers.</w:t>
      </w:r>
    </w:p>
    <w:p>
      <w:pPr>
        <w:pStyle w:val="ListParagraph"/>
        <w:numPr>
          <w:ilvl w:val="0"/>
          <w:numId w:val="133"/>
        </w:numPr>
        <w:tabs>
          <w:tab w:pos="495" w:val="left" w:leader="none"/>
        </w:tabs>
        <w:spacing w:line="249" w:lineRule="auto" w:before="1" w:after="0"/>
        <w:ind w:left="270" w:right="676" w:firstLine="0"/>
        <w:jc w:val="both"/>
        <w:rPr>
          <w:sz w:val="20"/>
        </w:rPr>
      </w:pPr>
      <w:r>
        <w:rPr>
          <w:sz w:val="20"/>
        </w:rPr>
        <w:t>Perform a daily assessment of each for three weeks, fill out forms for determining fatigue Yoshitake and 4 points of Luke and apply the general questionnaire labor</w:t>
      </w:r>
      <w:r>
        <w:rPr>
          <w:spacing w:val="-21"/>
          <w:sz w:val="20"/>
        </w:rPr>
        <w:t> </w:t>
      </w:r>
      <w:r>
        <w:rPr>
          <w:sz w:val="20"/>
        </w:rPr>
        <w:t>fatigue.</w:t>
      </w:r>
    </w:p>
    <w:p>
      <w:pPr>
        <w:pStyle w:val="ListParagraph"/>
        <w:numPr>
          <w:ilvl w:val="0"/>
          <w:numId w:val="133"/>
        </w:numPr>
        <w:tabs>
          <w:tab w:pos="607" w:val="left" w:leader="none"/>
        </w:tabs>
        <w:spacing w:line="249" w:lineRule="auto" w:before="1" w:after="0"/>
        <w:ind w:left="270" w:right="678" w:firstLine="51"/>
        <w:jc w:val="both"/>
        <w:rPr>
          <w:sz w:val="20"/>
        </w:rPr>
      </w:pPr>
      <w:r>
        <w:rPr>
          <w:sz w:val="20"/>
        </w:rPr>
        <w:t>Concentrate on Excel responses obtained from the evaluation of the 30 workers during the three</w:t>
      </w:r>
      <w:r>
        <w:rPr>
          <w:spacing w:val="-17"/>
          <w:sz w:val="20"/>
        </w:rPr>
        <w:t> </w:t>
      </w:r>
      <w:r>
        <w:rPr>
          <w:sz w:val="20"/>
        </w:rPr>
        <w:t>weeks.</w:t>
      </w:r>
    </w:p>
    <w:p>
      <w:pPr>
        <w:pStyle w:val="ListParagraph"/>
        <w:numPr>
          <w:ilvl w:val="0"/>
          <w:numId w:val="133"/>
        </w:numPr>
        <w:tabs>
          <w:tab w:pos="472" w:val="left" w:leader="none"/>
        </w:tabs>
        <w:spacing w:line="240" w:lineRule="auto" w:before="1" w:after="0"/>
        <w:ind w:left="471" w:right="0" w:hanging="201"/>
        <w:jc w:val="both"/>
        <w:rPr>
          <w:sz w:val="20"/>
        </w:rPr>
      </w:pPr>
      <w:r>
        <w:rPr>
          <w:sz w:val="20"/>
        </w:rPr>
        <w:t>Interpret the answers and suggest</w:t>
      </w:r>
      <w:r>
        <w:rPr>
          <w:spacing w:val="-30"/>
          <w:sz w:val="20"/>
        </w:rPr>
        <w:t> </w:t>
      </w:r>
      <w:r>
        <w:rPr>
          <w:sz w:val="20"/>
        </w:rPr>
        <w:t>recommendations.</w:t>
      </w:r>
    </w:p>
    <w:p>
      <w:pPr>
        <w:pStyle w:val="BodyText"/>
        <w:spacing w:before="8"/>
        <w:rPr>
          <w:sz w:val="21"/>
        </w:rPr>
      </w:pPr>
    </w:p>
    <w:p>
      <w:pPr>
        <w:pStyle w:val="Heading4"/>
        <w:numPr>
          <w:ilvl w:val="1"/>
          <w:numId w:val="132"/>
        </w:numPr>
        <w:tabs>
          <w:tab w:pos="621" w:val="left" w:leader="none"/>
        </w:tabs>
        <w:spacing w:line="240" w:lineRule="auto" w:before="0" w:after="0"/>
        <w:ind w:left="620" w:right="0" w:hanging="350"/>
        <w:jc w:val="both"/>
      </w:pPr>
      <w:r>
        <w:rPr/>
        <w:t>Hypothesis</w:t>
      </w:r>
    </w:p>
    <w:p>
      <w:pPr>
        <w:pStyle w:val="BodyText"/>
        <w:spacing w:before="8"/>
        <w:rPr>
          <w:b/>
          <w:sz w:val="21"/>
        </w:rPr>
      </w:pPr>
    </w:p>
    <w:p>
      <w:pPr>
        <w:pStyle w:val="BodyText"/>
        <w:spacing w:line="249" w:lineRule="auto"/>
        <w:ind w:left="270" w:right="678"/>
        <w:jc w:val="both"/>
      </w:pPr>
      <w:r>
        <w:rPr/>
        <w:t>The factors involved in this research are mostly accidents at work and influence the physical and chemical factors.</w:t>
      </w:r>
    </w:p>
    <w:p>
      <w:pPr>
        <w:pStyle w:val="BodyText"/>
        <w:spacing w:line="249" w:lineRule="auto" w:before="1"/>
        <w:ind w:left="270" w:right="679"/>
        <w:jc w:val="both"/>
      </w:pPr>
      <w:r>
        <w:rPr/>
        <w:t>Physical factors: all objects that interfere with the body of the worker.</w:t>
      </w:r>
    </w:p>
    <w:p>
      <w:pPr>
        <w:pStyle w:val="BodyText"/>
        <w:spacing w:before="11"/>
      </w:pPr>
    </w:p>
    <w:p>
      <w:pPr>
        <w:pStyle w:val="BodyText"/>
        <w:spacing w:line="249" w:lineRule="auto"/>
        <w:ind w:left="270" w:right="676" w:firstLine="567"/>
        <w:jc w:val="both"/>
      </w:pPr>
      <w:r>
        <w:rPr/>
        <w:t>Chemical factors: Are all gases found in the atmosphere of the city eg smoke of the same truck as well as the conditions of order and cleaning.</w:t>
      </w:r>
    </w:p>
    <w:p>
      <w:pPr>
        <w:pStyle w:val="BodyText"/>
        <w:spacing w:before="11"/>
      </w:pPr>
    </w:p>
    <w:p>
      <w:pPr>
        <w:pStyle w:val="BodyText"/>
        <w:spacing w:line="249" w:lineRule="auto"/>
        <w:ind w:left="270" w:right="677" w:firstLine="567"/>
        <w:jc w:val="both"/>
      </w:pPr>
      <w:r>
        <w:rPr/>
        <w:t>Psychological factors: stress, worry, depression and attempted to hide the disease to others.</w:t>
      </w:r>
    </w:p>
    <w:p>
      <w:pPr>
        <w:spacing w:after="0" w:line="249" w:lineRule="auto"/>
        <w:jc w:val="both"/>
        <w:sectPr>
          <w:type w:val="continuous"/>
          <w:pgSz w:w="12240" w:h="15840"/>
          <w:pgMar w:top="1500" w:bottom="280" w:left="580" w:right="220"/>
          <w:cols w:num="2" w:equalWidth="0">
            <w:col w:w="5191" w:space="434"/>
            <w:col w:w="5815"/>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1"/>
        <w:rPr>
          <w:sz w:val="28"/>
        </w:rPr>
      </w:pPr>
    </w:p>
    <w:p>
      <w:pPr>
        <w:pStyle w:val="BodyText"/>
        <w:spacing w:line="249" w:lineRule="auto"/>
        <w:ind w:left="270" w:right="199"/>
      </w:pPr>
      <w:r>
        <w:rPr/>
        <w:t>H 0 = 50% of the drivers experience some fatigue due to their</w:t>
      </w:r>
      <w:r>
        <w:rPr>
          <w:spacing w:val="-1"/>
        </w:rPr>
        <w:t> </w:t>
      </w:r>
      <w:r>
        <w:rPr/>
        <w:t>work</w:t>
      </w:r>
    </w:p>
    <w:p>
      <w:pPr>
        <w:pStyle w:val="BodyText"/>
        <w:spacing w:line="249" w:lineRule="auto" w:before="1"/>
        <w:ind w:left="270" w:right="199"/>
      </w:pPr>
      <w:r>
        <w:rPr/>
        <w:t>H_1 = 50% of the drivers suffers no fatigue due to their work.</w:t>
      </w:r>
    </w:p>
    <w:p>
      <w:pPr>
        <w:pStyle w:val="Heading4"/>
        <w:numPr>
          <w:ilvl w:val="1"/>
          <w:numId w:val="132"/>
        </w:numPr>
        <w:tabs>
          <w:tab w:pos="622" w:val="left" w:leader="none"/>
        </w:tabs>
        <w:spacing w:line="240" w:lineRule="auto" w:before="1" w:after="0"/>
        <w:ind w:left="621" w:right="0" w:hanging="351"/>
        <w:jc w:val="both"/>
      </w:pPr>
      <w:r>
        <w:rPr/>
        <w:t>Delimitation.</w:t>
      </w:r>
    </w:p>
    <w:p>
      <w:pPr>
        <w:pStyle w:val="BodyText"/>
        <w:spacing w:before="8"/>
        <w:rPr>
          <w:b/>
          <w:sz w:val="21"/>
        </w:rPr>
      </w:pPr>
    </w:p>
    <w:p>
      <w:pPr>
        <w:pStyle w:val="BodyText"/>
        <w:spacing w:line="249" w:lineRule="auto"/>
        <w:ind w:left="270"/>
      </w:pPr>
      <w:r>
        <w:rPr/>
        <w:t>The delimitation in this research consist of a study applied to 28 bus drivers who agreed to participate in research.</w:t>
      </w:r>
    </w:p>
    <w:p>
      <w:pPr>
        <w:pStyle w:val="BodyText"/>
        <w:spacing w:before="11"/>
      </w:pPr>
    </w:p>
    <w:p>
      <w:pPr>
        <w:pStyle w:val="Heading4"/>
        <w:numPr>
          <w:ilvl w:val="1"/>
          <w:numId w:val="132"/>
        </w:numPr>
        <w:tabs>
          <w:tab w:pos="622" w:val="left" w:leader="none"/>
        </w:tabs>
        <w:spacing w:line="240" w:lineRule="auto" w:before="0" w:after="0"/>
        <w:ind w:left="621" w:right="0" w:hanging="351"/>
        <w:jc w:val="both"/>
      </w:pPr>
      <w:r>
        <w:rPr/>
        <w:t>Limitations.</w:t>
      </w:r>
    </w:p>
    <w:p>
      <w:pPr>
        <w:pStyle w:val="BodyText"/>
        <w:spacing w:before="8"/>
        <w:rPr>
          <w:b/>
          <w:sz w:val="21"/>
        </w:rPr>
      </w:pPr>
    </w:p>
    <w:p>
      <w:pPr>
        <w:pStyle w:val="BodyText"/>
        <w:spacing w:line="249" w:lineRule="auto"/>
        <w:ind w:left="270" w:right="199"/>
      </w:pPr>
      <w:r>
        <w:rPr/>
        <w:t>One limitation to this serious research that drivers do not want to cooperate with the investigation.</w:t>
      </w:r>
    </w:p>
    <w:p>
      <w:pPr>
        <w:pStyle w:val="BodyText"/>
      </w:pPr>
    </w:p>
    <w:p>
      <w:pPr>
        <w:pStyle w:val="BodyText"/>
        <w:spacing w:before="9"/>
        <w:rPr>
          <w:sz w:val="21"/>
        </w:rPr>
      </w:pPr>
    </w:p>
    <w:p>
      <w:pPr>
        <w:pStyle w:val="Heading4"/>
      </w:pPr>
      <w:r>
        <w:rPr/>
        <w:t>3. Results</w:t>
      </w:r>
    </w:p>
    <w:p>
      <w:pPr>
        <w:pStyle w:val="BodyText"/>
        <w:rPr>
          <w:b/>
        </w:rPr>
      </w:pPr>
    </w:p>
    <w:p>
      <w:pPr>
        <w:pStyle w:val="BodyText"/>
        <w:rPr>
          <w:b/>
        </w:rPr>
      </w:pPr>
    </w:p>
    <w:p>
      <w:pPr>
        <w:pStyle w:val="BodyText"/>
        <w:spacing w:before="9"/>
        <w:rPr>
          <w:b/>
          <w:sz w:val="19"/>
        </w:rPr>
      </w:pPr>
      <w:r>
        <w:rPr/>
        <w:drawing>
          <wp:anchor distT="0" distB="0" distL="0" distR="0" allowOverlap="1" layoutInCell="1" locked="0" behindDoc="0" simplePos="0" relativeHeight="15376">
            <wp:simplePos x="0" y="0"/>
            <wp:positionH relativeFrom="page">
              <wp:posOffset>699516</wp:posOffset>
            </wp:positionH>
            <wp:positionV relativeFrom="paragraph">
              <wp:posOffset>169667</wp:posOffset>
            </wp:positionV>
            <wp:extent cx="2736688" cy="2001583"/>
            <wp:effectExtent l="0" t="0" r="0" b="0"/>
            <wp:wrapTopAndBottom/>
            <wp:docPr id="633" name="image376.jpeg" descr=""/>
            <wp:cNvGraphicFramePr>
              <a:graphicFrameLocks noChangeAspect="1"/>
            </wp:cNvGraphicFramePr>
            <a:graphic>
              <a:graphicData uri="http://schemas.openxmlformats.org/drawingml/2006/picture">
                <pic:pic>
                  <pic:nvPicPr>
                    <pic:cNvPr id="634" name="image376.jpeg"/>
                    <pic:cNvPicPr/>
                  </pic:nvPicPr>
                  <pic:blipFill>
                    <a:blip r:embed="rId619" cstate="print"/>
                    <a:stretch>
                      <a:fillRect/>
                    </a:stretch>
                  </pic:blipFill>
                  <pic:spPr>
                    <a:xfrm>
                      <a:off x="0" y="0"/>
                      <a:ext cx="2736688" cy="2001583"/>
                    </a:xfrm>
                    <a:prstGeom prst="rect">
                      <a:avLst/>
                    </a:prstGeom>
                  </pic:spPr>
                </pic:pic>
              </a:graphicData>
            </a:graphic>
          </wp:anchor>
        </w:drawing>
      </w:r>
    </w:p>
    <w:p>
      <w:pPr>
        <w:pStyle w:val="BodyText"/>
        <w:spacing w:before="10"/>
        <w:rPr>
          <w:b/>
          <w:sz w:val="17"/>
        </w:rPr>
      </w:pPr>
    </w:p>
    <w:p>
      <w:pPr>
        <w:pStyle w:val="BodyText"/>
        <w:ind w:left="273" w:right="1"/>
        <w:jc w:val="center"/>
      </w:pPr>
      <w:r>
        <w:rPr/>
        <w:t>Figure 1. Fatigue level</w:t>
      </w:r>
    </w:p>
    <w:p>
      <w:pPr>
        <w:pStyle w:val="BodyText"/>
        <w:spacing w:before="11"/>
        <w:rPr>
          <w:sz w:val="19"/>
        </w:rPr>
      </w:pPr>
    </w:p>
    <w:p>
      <w:pPr>
        <w:pStyle w:val="BodyText"/>
        <w:ind w:left="270" w:right="1"/>
        <w:jc w:val="both"/>
      </w:pPr>
      <w:r>
        <w:rPr/>
        <w:t>In Figure 1 we note that 14 persons (50%) of the total surveyed has little fatigue, 8 (29%) persons experience fatigue and 6 (21%) of respondents report excessive fatigue.</w:t>
      </w:r>
    </w:p>
    <w:p>
      <w:pPr>
        <w:pStyle w:val="BodyText"/>
        <w:spacing w:before="10"/>
        <w:rPr>
          <w:sz w:val="25"/>
        </w:rPr>
      </w:pPr>
      <w:r>
        <w:rPr/>
        <w:drawing>
          <wp:anchor distT="0" distB="0" distL="0" distR="0" allowOverlap="1" layoutInCell="1" locked="0" behindDoc="0" simplePos="0" relativeHeight="15400">
            <wp:simplePos x="0" y="0"/>
            <wp:positionH relativeFrom="page">
              <wp:posOffset>533400</wp:posOffset>
            </wp:positionH>
            <wp:positionV relativeFrom="paragraph">
              <wp:posOffset>214093</wp:posOffset>
            </wp:positionV>
            <wp:extent cx="3065729" cy="1769364"/>
            <wp:effectExtent l="0" t="0" r="0" b="0"/>
            <wp:wrapTopAndBottom/>
            <wp:docPr id="635" name="image377.jpeg" descr=""/>
            <wp:cNvGraphicFramePr>
              <a:graphicFrameLocks noChangeAspect="1"/>
            </wp:cNvGraphicFramePr>
            <a:graphic>
              <a:graphicData uri="http://schemas.openxmlformats.org/drawingml/2006/picture">
                <pic:pic>
                  <pic:nvPicPr>
                    <pic:cNvPr id="636" name="image377.jpeg"/>
                    <pic:cNvPicPr/>
                  </pic:nvPicPr>
                  <pic:blipFill>
                    <a:blip r:embed="rId620" cstate="print"/>
                    <a:stretch>
                      <a:fillRect/>
                    </a:stretch>
                  </pic:blipFill>
                  <pic:spPr>
                    <a:xfrm>
                      <a:off x="0" y="0"/>
                      <a:ext cx="3065729" cy="1769364"/>
                    </a:xfrm>
                    <a:prstGeom prst="rect">
                      <a:avLst/>
                    </a:prstGeom>
                  </pic:spPr>
                </pic:pic>
              </a:graphicData>
            </a:graphic>
          </wp:anchor>
        </w:drawing>
      </w:r>
    </w:p>
    <w:p>
      <w:pPr>
        <w:pStyle w:val="BodyText"/>
        <w:spacing w:before="66"/>
        <w:ind w:left="271" w:right="1"/>
        <w:jc w:val="center"/>
      </w:pPr>
      <w:r>
        <w:rPr/>
        <w:t>Figure 2. Symptoms presented at the check in.</w:t>
      </w:r>
    </w:p>
    <w:p>
      <w:pPr>
        <w:pStyle w:val="BodyText"/>
        <w:spacing w:before="74"/>
        <w:ind w:left="260" w:right="663" w:firstLine="567"/>
      </w:pPr>
      <w:r>
        <w:rPr/>
        <w:br w:type="column"/>
      </w:r>
      <w:r>
        <w:rPr/>
        <w:t>Figure 2 presents the general symptoms at the time of entry of the three weeks of the duration of the research are mostly monotony with 43% and 32% physical damage.</w:t>
      </w:r>
    </w:p>
    <w:p>
      <w:pPr>
        <w:pStyle w:val="BodyText"/>
      </w:pPr>
    </w:p>
    <w:p>
      <w:pPr>
        <w:pStyle w:val="BodyText"/>
      </w:pPr>
    </w:p>
    <w:p>
      <w:pPr>
        <w:pStyle w:val="BodyText"/>
        <w:spacing w:before="3"/>
        <w:rPr>
          <w:sz w:val="14"/>
        </w:rPr>
      </w:pPr>
      <w:r>
        <w:rPr/>
        <w:drawing>
          <wp:anchor distT="0" distB="0" distL="0" distR="0" allowOverlap="1" layoutInCell="1" locked="0" behindDoc="0" simplePos="0" relativeHeight="15424">
            <wp:simplePos x="0" y="0"/>
            <wp:positionH relativeFrom="page">
              <wp:posOffset>4176521</wp:posOffset>
            </wp:positionH>
            <wp:positionV relativeFrom="paragraph">
              <wp:posOffset>129276</wp:posOffset>
            </wp:positionV>
            <wp:extent cx="2938272" cy="1803653"/>
            <wp:effectExtent l="0" t="0" r="0" b="0"/>
            <wp:wrapTopAndBottom/>
            <wp:docPr id="637" name="image378.jpeg" descr=""/>
            <wp:cNvGraphicFramePr>
              <a:graphicFrameLocks noChangeAspect="1"/>
            </wp:cNvGraphicFramePr>
            <a:graphic>
              <a:graphicData uri="http://schemas.openxmlformats.org/drawingml/2006/picture">
                <pic:pic>
                  <pic:nvPicPr>
                    <pic:cNvPr id="638" name="image378.jpeg"/>
                    <pic:cNvPicPr/>
                  </pic:nvPicPr>
                  <pic:blipFill>
                    <a:blip r:embed="rId621" cstate="print"/>
                    <a:stretch>
                      <a:fillRect/>
                    </a:stretch>
                  </pic:blipFill>
                  <pic:spPr>
                    <a:xfrm>
                      <a:off x="0" y="0"/>
                      <a:ext cx="2938272" cy="1803653"/>
                    </a:xfrm>
                    <a:prstGeom prst="rect">
                      <a:avLst/>
                    </a:prstGeom>
                  </pic:spPr>
                </pic:pic>
              </a:graphicData>
            </a:graphic>
          </wp:anchor>
        </w:drawing>
      </w:r>
    </w:p>
    <w:p>
      <w:pPr>
        <w:pStyle w:val="BodyText"/>
        <w:spacing w:before="146"/>
        <w:ind w:left="602" w:right="663"/>
      </w:pPr>
      <w:r>
        <w:rPr/>
        <w:t>Figure 3. Total of symptoms presented at check-out.</w:t>
      </w:r>
    </w:p>
    <w:p>
      <w:pPr>
        <w:pStyle w:val="BodyText"/>
        <w:spacing w:before="11"/>
        <w:rPr>
          <w:sz w:val="19"/>
        </w:rPr>
      </w:pPr>
    </w:p>
    <w:p>
      <w:pPr>
        <w:pStyle w:val="BodyText"/>
        <w:ind w:left="260" w:right="676" w:firstLine="567"/>
        <w:jc w:val="both"/>
      </w:pPr>
      <w:r>
        <w:rPr/>
        <w:t>In Figure 3 are reflected the symptoms presented at the end of the day, which are monotony with 43%, 32% physical damage and concentration with 25%.</w:t>
      </w:r>
    </w:p>
    <w:p>
      <w:pPr>
        <w:pStyle w:val="BodyText"/>
        <w:spacing w:before="1"/>
        <w:rPr>
          <w:sz w:val="22"/>
        </w:rPr>
      </w:pPr>
      <w:r>
        <w:rPr/>
        <w:drawing>
          <wp:anchor distT="0" distB="0" distL="0" distR="0" allowOverlap="1" layoutInCell="1" locked="0" behindDoc="0" simplePos="0" relativeHeight="15448">
            <wp:simplePos x="0" y="0"/>
            <wp:positionH relativeFrom="page">
              <wp:posOffset>4176521</wp:posOffset>
            </wp:positionH>
            <wp:positionV relativeFrom="paragraph">
              <wp:posOffset>186655</wp:posOffset>
            </wp:positionV>
            <wp:extent cx="2935623" cy="1583531"/>
            <wp:effectExtent l="0" t="0" r="0" b="0"/>
            <wp:wrapTopAndBottom/>
            <wp:docPr id="639" name="image379.jpeg" descr=""/>
            <wp:cNvGraphicFramePr>
              <a:graphicFrameLocks noChangeAspect="1"/>
            </wp:cNvGraphicFramePr>
            <a:graphic>
              <a:graphicData uri="http://schemas.openxmlformats.org/drawingml/2006/picture">
                <pic:pic>
                  <pic:nvPicPr>
                    <pic:cNvPr id="640" name="image379.jpeg"/>
                    <pic:cNvPicPr/>
                  </pic:nvPicPr>
                  <pic:blipFill>
                    <a:blip r:embed="rId622" cstate="print"/>
                    <a:stretch>
                      <a:fillRect/>
                    </a:stretch>
                  </pic:blipFill>
                  <pic:spPr>
                    <a:xfrm>
                      <a:off x="0" y="0"/>
                      <a:ext cx="2935623" cy="1583531"/>
                    </a:xfrm>
                    <a:prstGeom prst="rect">
                      <a:avLst/>
                    </a:prstGeom>
                  </pic:spPr>
                </pic:pic>
              </a:graphicData>
            </a:graphic>
          </wp:anchor>
        </w:drawing>
      </w:r>
    </w:p>
    <w:p>
      <w:pPr>
        <w:pStyle w:val="BodyText"/>
        <w:spacing w:before="173"/>
        <w:ind w:left="587" w:right="663"/>
      </w:pPr>
      <w:r>
        <w:rPr/>
        <w:t>Figure 4. 4-point scale of Luke at check in (General)</w:t>
      </w:r>
    </w:p>
    <w:p>
      <w:pPr>
        <w:pStyle w:val="BodyText"/>
        <w:spacing w:before="11"/>
        <w:rPr>
          <w:sz w:val="19"/>
        </w:rPr>
      </w:pPr>
    </w:p>
    <w:p>
      <w:pPr>
        <w:pStyle w:val="BodyText"/>
        <w:ind w:left="260" w:right="678" w:firstLine="567"/>
        <w:jc w:val="both"/>
      </w:pPr>
      <w:r>
        <w:rPr/>
        <w:t>In 4-Point scale of Luke in Figure 4 at the check in generally, the result throws us that the bus driver may have  a 76% chance of being tired, a 22% chance of being tired, 2% being very tired and 0% of being extremely</w:t>
      </w:r>
      <w:r>
        <w:rPr>
          <w:spacing w:val="-18"/>
        </w:rPr>
        <w:t> </w:t>
      </w:r>
      <w:r>
        <w:rPr/>
        <w:t>tired.</w:t>
      </w:r>
    </w:p>
    <w:p>
      <w:pPr>
        <w:pStyle w:val="BodyText"/>
        <w:spacing w:before="6"/>
        <w:rPr>
          <w:sz w:val="19"/>
        </w:rPr>
      </w:pPr>
      <w:r>
        <w:rPr/>
        <w:drawing>
          <wp:anchor distT="0" distB="0" distL="0" distR="0" allowOverlap="1" layoutInCell="1" locked="0" behindDoc="0" simplePos="0" relativeHeight="15472">
            <wp:simplePos x="0" y="0"/>
            <wp:positionH relativeFrom="page">
              <wp:posOffset>4175759</wp:posOffset>
            </wp:positionH>
            <wp:positionV relativeFrom="paragraph">
              <wp:posOffset>167605</wp:posOffset>
            </wp:positionV>
            <wp:extent cx="3050510" cy="1608867"/>
            <wp:effectExtent l="0" t="0" r="0" b="0"/>
            <wp:wrapTopAndBottom/>
            <wp:docPr id="641" name="image380.jpeg" descr=""/>
            <wp:cNvGraphicFramePr>
              <a:graphicFrameLocks noChangeAspect="1"/>
            </wp:cNvGraphicFramePr>
            <a:graphic>
              <a:graphicData uri="http://schemas.openxmlformats.org/drawingml/2006/picture">
                <pic:pic>
                  <pic:nvPicPr>
                    <pic:cNvPr id="642" name="image380.jpeg"/>
                    <pic:cNvPicPr/>
                  </pic:nvPicPr>
                  <pic:blipFill>
                    <a:blip r:embed="rId623" cstate="print"/>
                    <a:stretch>
                      <a:fillRect/>
                    </a:stretch>
                  </pic:blipFill>
                  <pic:spPr>
                    <a:xfrm>
                      <a:off x="0" y="0"/>
                      <a:ext cx="3050510" cy="1608867"/>
                    </a:xfrm>
                    <a:prstGeom prst="rect">
                      <a:avLst/>
                    </a:prstGeom>
                  </pic:spPr>
                </pic:pic>
              </a:graphicData>
            </a:graphic>
          </wp:anchor>
        </w:drawing>
      </w:r>
    </w:p>
    <w:p>
      <w:pPr>
        <w:pStyle w:val="BodyText"/>
        <w:spacing w:before="163"/>
        <w:ind w:left="625" w:right="663"/>
      </w:pPr>
      <w:r>
        <w:rPr/>
        <w:t>Figure 5. 4- Point scale of Luke check out (general)</w:t>
      </w:r>
    </w:p>
    <w:p>
      <w:pPr>
        <w:spacing w:after="0"/>
        <w:sectPr>
          <w:type w:val="continuous"/>
          <w:pgSz w:w="12240" w:h="15840"/>
          <w:pgMar w:top="1500" w:bottom="280" w:left="580" w:right="220"/>
          <w:cols w:num="2" w:equalWidth="0">
            <w:col w:w="5189" w:space="447"/>
            <w:col w:w="5804"/>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4"/>
        <w:ind w:left="270" w:right="198" w:firstLine="567"/>
        <w:jc w:val="both"/>
      </w:pPr>
      <w:r>
        <w:rPr/>
        <w:t>In figure 5 when check out generally find that a driver has a 22% presented all tired , found 63% of tired , 14% of that on leaving this feel very tired and 1% to be extremely tired.</w:t>
      </w:r>
    </w:p>
    <w:p>
      <w:pPr>
        <w:pStyle w:val="BodyText"/>
        <w:spacing w:before="3"/>
        <w:rPr>
          <w:sz w:val="17"/>
        </w:rPr>
      </w:pPr>
      <w:r>
        <w:rPr/>
        <w:drawing>
          <wp:anchor distT="0" distB="0" distL="0" distR="0" allowOverlap="1" layoutInCell="1" locked="0" behindDoc="0" simplePos="0" relativeHeight="15496">
            <wp:simplePos x="0" y="0"/>
            <wp:positionH relativeFrom="page">
              <wp:posOffset>469391</wp:posOffset>
            </wp:positionH>
            <wp:positionV relativeFrom="paragraph">
              <wp:posOffset>150838</wp:posOffset>
            </wp:positionV>
            <wp:extent cx="3321956" cy="2812351"/>
            <wp:effectExtent l="0" t="0" r="0" b="0"/>
            <wp:wrapTopAndBottom/>
            <wp:docPr id="643" name="image381.jpeg" descr=""/>
            <wp:cNvGraphicFramePr>
              <a:graphicFrameLocks noChangeAspect="1"/>
            </wp:cNvGraphicFramePr>
            <a:graphic>
              <a:graphicData uri="http://schemas.openxmlformats.org/drawingml/2006/picture">
                <pic:pic>
                  <pic:nvPicPr>
                    <pic:cNvPr id="644" name="image381.jpeg"/>
                    <pic:cNvPicPr/>
                  </pic:nvPicPr>
                  <pic:blipFill>
                    <a:blip r:embed="rId624" cstate="print"/>
                    <a:stretch>
                      <a:fillRect/>
                    </a:stretch>
                  </pic:blipFill>
                  <pic:spPr>
                    <a:xfrm>
                      <a:off x="0" y="0"/>
                      <a:ext cx="3321956" cy="2812351"/>
                    </a:xfrm>
                    <a:prstGeom prst="rect">
                      <a:avLst/>
                    </a:prstGeom>
                  </pic:spPr>
                </pic:pic>
              </a:graphicData>
            </a:graphic>
          </wp:anchor>
        </w:drawing>
      </w:r>
    </w:p>
    <w:p>
      <w:pPr>
        <w:pStyle w:val="BodyText"/>
        <w:spacing w:before="133"/>
        <w:ind w:left="2354" w:right="387" w:hanging="1884"/>
      </w:pPr>
      <w:r>
        <w:rPr/>
        <w:t>Figure 6. Percentage of complaints at the check in of the workday.</w:t>
      </w:r>
    </w:p>
    <w:p>
      <w:pPr>
        <w:pStyle w:val="BodyText"/>
        <w:spacing w:before="11"/>
        <w:rPr>
          <w:sz w:val="19"/>
        </w:rPr>
      </w:pPr>
    </w:p>
    <w:p>
      <w:pPr>
        <w:pStyle w:val="BodyText"/>
        <w:ind w:left="270" w:right="200" w:firstLine="567"/>
        <w:jc w:val="both"/>
      </w:pPr>
      <w:r>
        <w:rPr/>
        <w:t>From Figure 6, which shows the overall percentage of complaints at the time of entry, it can be seen that the parts that have higher rates of complaints are the lower back with 19%, shoulder to 10% of complaints, buttocks and knees 9% and 8% for the middle back.</w:t>
      </w:r>
    </w:p>
    <w:p>
      <w:pPr>
        <w:pStyle w:val="BodyText"/>
        <w:spacing w:before="4"/>
        <w:rPr>
          <w:sz w:val="13"/>
        </w:rPr>
      </w:pPr>
      <w:r>
        <w:rPr/>
        <w:drawing>
          <wp:anchor distT="0" distB="0" distL="0" distR="0" allowOverlap="1" layoutInCell="1" locked="0" behindDoc="0" simplePos="0" relativeHeight="15520">
            <wp:simplePos x="0" y="0"/>
            <wp:positionH relativeFrom="page">
              <wp:posOffset>469391</wp:posOffset>
            </wp:positionH>
            <wp:positionV relativeFrom="paragraph">
              <wp:posOffset>122650</wp:posOffset>
            </wp:positionV>
            <wp:extent cx="3115607" cy="2634996"/>
            <wp:effectExtent l="0" t="0" r="0" b="0"/>
            <wp:wrapTopAndBottom/>
            <wp:docPr id="645" name="image382.jpeg" descr=""/>
            <wp:cNvGraphicFramePr>
              <a:graphicFrameLocks noChangeAspect="1"/>
            </wp:cNvGraphicFramePr>
            <a:graphic>
              <a:graphicData uri="http://schemas.openxmlformats.org/drawingml/2006/picture">
                <pic:pic>
                  <pic:nvPicPr>
                    <pic:cNvPr id="646" name="image382.jpeg"/>
                    <pic:cNvPicPr/>
                  </pic:nvPicPr>
                  <pic:blipFill>
                    <a:blip r:embed="rId625" cstate="print"/>
                    <a:stretch>
                      <a:fillRect/>
                    </a:stretch>
                  </pic:blipFill>
                  <pic:spPr>
                    <a:xfrm>
                      <a:off x="0" y="0"/>
                      <a:ext cx="3115607" cy="2634996"/>
                    </a:xfrm>
                    <a:prstGeom prst="rect">
                      <a:avLst/>
                    </a:prstGeom>
                  </pic:spPr>
                </pic:pic>
              </a:graphicData>
            </a:graphic>
          </wp:anchor>
        </w:drawing>
      </w:r>
    </w:p>
    <w:p>
      <w:pPr>
        <w:pStyle w:val="BodyText"/>
        <w:ind w:left="2354" w:right="406" w:hanging="1864"/>
      </w:pPr>
      <w:r>
        <w:rPr/>
        <w:t>Figure 7. Overall percentage of complaints at the end of workday.</w:t>
      </w:r>
    </w:p>
    <w:p>
      <w:pPr>
        <w:pStyle w:val="BodyText"/>
        <w:spacing w:before="11"/>
        <w:rPr>
          <w:sz w:val="19"/>
        </w:rPr>
      </w:pPr>
    </w:p>
    <w:p>
      <w:pPr>
        <w:pStyle w:val="BodyText"/>
        <w:ind w:left="270" w:right="201" w:firstLine="567"/>
        <w:jc w:val="both"/>
      </w:pPr>
      <w:r>
        <w:rPr/>
        <w:t>At Figure 7, which represents the percentage of complaints at check out, we noticed that the parts that have higher rates of complains are the lower back with 15%, 13%</w:t>
      </w:r>
    </w:p>
    <w:p>
      <w:pPr>
        <w:pStyle w:val="BodyText"/>
        <w:spacing w:before="74"/>
        <w:ind w:left="159" w:right="677"/>
        <w:jc w:val="both"/>
      </w:pPr>
      <w:r>
        <w:rPr/>
        <w:br w:type="column"/>
      </w:r>
      <w:r>
        <w:rPr/>
        <w:t>of shoulder complaints, buttocks and knees with 9% and middle back with 8%.</w:t>
      </w:r>
    </w:p>
    <w:p>
      <w:pPr>
        <w:pStyle w:val="BodyText"/>
        <w:spacing w:before="3"/>
        <w:rPr>
          <w:sz w:val="17"/>
        </w:rPr>
      </w:pPr>
      <w:r>
        <w:rPr/>
        <w:drawing>
          <wp:anchor distT="0" distB="0" distL="0" distR="0" allowOverlap="1" layoutInCell="1" locked="0" behindDoc="0" simplePos="0" relativeHeight="15544">
            <wp:simplePos x="0" y="0"/>
            <wp:positionH relativeFrom="page">
              <wp:posOffset>4114800</wp:posOffset>
            </wp:positionH>
            <wp:positionV relativeFrom="paragraph">
              <wp:posOffset>150850</wp:posOffset>
            </wp:positionV>
            <wp:extent cx="3126493" cy="1752219"/>
            <wp:effectExtent l="0" t="0" r="0" b="0"/>
            <wp:wrapTopAndBottom/>
            <wp:docPr id="647" name="image383.png" descr=""/>
            <wp:cNvGraphicFramePr>
              <a:graphicFrameLocks noChangeAspect="1"/>
            </wp:cNvGraphicFramePr>
            <a:graphic>
              <a:graphicData uri="http://schemas.openxmlformats.org/drawingml/2006/picture">
                <pic:pic>
                  <pic:nvPicPr>
                    <pic:cNvPr id="648" name="image383.png"/>
                    <pic:cNvPicPr/>
                  </pic:nvPicPr>
                  <pic:blipFill>
                    <a:blip r:embed="rId626" cstate="print"/>
                    <a:stretch>
                      <a:fillRect/>
                    </a:stretch>
                  </pic:blipFill>
                  <pic:spPr>
                    <a:xfrm>
                      <a:off x="0" y="0"/>
                      <a:ext cx="3126493" cy="1752219"/>
                    </a:xfrm>
                    <a:prstGeom prst="rect">
                      <a:avLst/>
                    </a:prstGeom>
                  </pic:spPr>
                </pic:pic>
              </a:graphicData>
            </a:graphic>
          </wp:anchor>
        </w:drawing>
      </w:r>
    </w:p>
    <w:p>
      <w:pPr>
        <w:pStyle w:val="BodyText"/>
        <w:spacing w:before="7"/>
        <w:ind w:left="994"/>
      </w:pPr>
      <w:r>
        <w:rPr/>
        <w:t>Figure 8. Age range of drivers surveyed</w:t>
      </w:r>
    </w:p>
    <w:p>
      <w:pPr>
        <w:pStyle w:val="BodyText"/>
      </w:pPr>
    </w:p>
    <w:p>
      <w:pPr>
        <w:pStyle w:val="BodyText"/>
        <w:spacing w:line="230" w:lineRule="exact" w:before="1"/>
        <w:ind w:left="726"/>
      </w:pPr>
      <w:r>
        <w:rPr/>
        <w:t>In Figure 8 represents the age of the drivers surveyed</w:t>
      </w:r>
    </w:p>
    <w:p>
      <w:pPr>
        <w:pStyle w:val="BodyText"/>
        <w:ind w:left="159" w:right="676"/>
        <w:jc w:val="both"/>
      </w:pPr>
      <w:r>
        <w:rPr/>
        <w:t>35.71 % are between 32 and 36 years, 10.71 % are between 37 and 41, 32.13 % are between 42 and 46 years. 10.71 % are between 47 and 51 years and for 52 or more years you have 10.71 %.</w:t>
      </w:r>
    </w:p>
    <w:p>
      <w:pPr>
        <w:pStyle w:val="BodyText"/>
        <w:spacing w:before="3"/>
      </w:pPr>
    </w:p>
    <w:p>
      <w:pPr>
        <w:pStyle w:val="Heading4"/>
        <w:numPr>
          <w:ilvl w:val="1"/>
          <w:numId w:val="134"/>
        </w:numPr>
        <w:tabs>
          <w:tab w:pos="459" w:val="left" w:leader="none"/>
        </w:tabs>
        <w:spacing w:line="240" w:lineRule="auto" w:before="0" w:after="0"/>
        <w:ind w:left="458" w:right="0" w:hanging="299"/>
        <w:jc w:val="both"/>
      </w:pPr>
      <w:r>
        <w:rPr/>
        <w:t>Citing references</w:t>
      </w:r>
    </w:p>
    <w:p>
      <w:pPr>
        <w:pStyle w:val="BodyText"/>
        <w:spacing w:before="8"/>
        <w:rPr>
          <w:b/>
          <w:sz w:val="19"/>
        </w:rPr>
      </w:pPr>
    </w:p>
    <w:p>
      <w:pPr>
        <w:pStyle w:val="BodyText"/>
        <w:ind w:left="159" w:right="676"/>
        <w:jc w:val="both"/>
      </w:pPr>
      <w:r>
        <w:rPr/>
        <w:t>Pedragosa (2008) published an article on occupational diseases bus drivers, including a list of common diseases and statistics on the incidence of these diseases, which are listed in the following descending order: obesity, smoking, backache at the level of the cervical and thoracic and lumbar vertebrae, daily alcohol consumption, hypertension, pain or malfunction of the digestive system, pyloric cysts (sacrococcigeal</w:t>
      </w:r>
      <w:r>
        <w:rPr>
          <w:spacing w:val="-7"/>
        </w:rPr>
        <w:t> </w:t>
      </w:r>
      <w:r>
        <w:rPr/>
        <w:t>region).</w:t>
      </w:r>
    </w:p>
    <w:p>
      <w:pPr>
        <w:pStyle w:val="BodyText"/>
      </w:pPr>
    </w:p>
    <w:p>
      <w:pPr>
        <w:pStyle w:val="BodyText"/>
        <w:spacing w:before="1"/>
        <w:ind w:left="159" w:right="677" w:firstLine="567"/>
        <w:jc w:val="both"/>
      </w:pPr>
      <w:r>
        <w:rPr/>
        <w:t>De Andrade (2010</w:t>
      </w:r>
      <w:r>
        <w:rPr>
          <w:b/>
        </w:rPr>
        <w:t>) </w:t>
      </w:r>
      <w:r>
        <w:rPr/>
        <w:t>conducted a study that aimed to know the stressors among drivers of buses. One sample of 134 drivers two transport companies Uberlandia was used and an interview and a questionnaire. The calculated stress index was 34.3 %, which is considered relatively low.</w:t>
      </w:r>
    </w:p>
    <w:p>
      <w:pPr>
        <w:pStyle w:val="BodyText"/>
        <w:spacing w:before="3"/>
      </w:pPr>
    </w:p>
    <w:p>
      <w:pPr>
        <w:pStyle w:val="Heading4"/>
        <w:numPr>
          <w:ilvl w:val="1"/>
          <w:numId w:val="134"/>
        </w:numPr>
        <w:tabs>
          <w:tab w:pos="459" w:val="left" w:leader="none"/>
        </w:tabs>
        <w:spacing w:line="240" w:lineRule="auto" w:before="0" w:after="0"/>
        <w:ind w:left="458" w:right="0" w:hanging="299"/>
        <w:jc w:val="both"/>
      </w:pPr>
      <w:r>
        <w:rPr/>
        <w:t>Conclusions</w:t>
      </w:r>
    </w:p>
    <w:p>
      <w:pPr>
        <w:pStyle w:val="BodyText"/>
        <w:spacing w:before="8"/>
        <w:rPr>
          <w:b/>
          <w:sz w:val="19"/>
        </w:rPr>
      </w:pPr>
    </w:p>
    <w:p>
      <w:pPr>
        <w:pStyle w:val="BodyText"/>
        <w:ind w:left="159" w:right="675"/>
        <w:jc w:val="both"/>
      </w:pPr>
      <w:r>
        <w:rPr/>
        <w:t>After doing studies 4 point Luke and Yoshitake for three weeks to elements in the sample, it turned out that 15% of drivers have fatigue according to the method of Yoshitake, because the performance of work activities increases stress on the person. We must take into account that workers start their work early every day too. The study points Luke 4 shows that 63% of respondents are tired at end their workday</w:t>
      </w:r>
    </w:p>
    <w:p>
      <w:pPr>
        <w:pStyle w:val="BodyText"/>
        <w:spacing w:before="11"/>
        <w:rPr>
          <w:sz w:val="19"/>
        </w:rPr>
      </w:pPr>
    </w:p>
    <w:p>
      <w:pPr>
        <w:pStyle w:val="BodyText"/>
        <w:ind w:left="159" w:right="675" w:firstLine="567"/>
        <w:jc w:val="both"/>
      </w:pPr>
      <w:r>
        <w:rPr/>
        <w:t>It is impossible to find an activity that requires any effort that does not generate fatigue, and if that is compounded by the lack of rest, improper posture, poor diet and daily stress, these factors create the body accumulates damage.</w:t>
      </w:r>
    </w:p>
    <w:p>
      <w:pPr>
        <w:spacing w:after="0"/>
        <w:jc w:val="both"/>
        <w:sectPr>
          <w:type w:val="continuous"/>
          <w:pgSz w:w="12240" w:h="15840"/>
          <w:pgMar w:top="1500" w:bottom="280" w:left="580" w:right="220"/>
          <w:cols w:num="2" w:equalWidth="0">
            <w:col w:w="5393" w:space="343"/>
            <w:col w:w="5704"/>
          </w:cols>
        </w:sectPr>
      </w:pPr>
    </w:p>
    <w:p>
      <w:pPr>
        <w:pStyle w:val="BodyText"/>
        <w:spacing w:before="4"/>
        <w:rPr>
          <w:sz w:val="11"/>
        </w:rPr>
      </w:pPr>
    </w:p>
    <w:p>
      <w:pPr>
        <w:pStyle w:val="BodyText"/>
        <w:spacing w:before="74"/>
        <w:ind w:left="270" w:right="6248" w:firstLine="567"/>
        <w:jc w:val="both"/>
      </w:pPr>
      <w:r>
        <w:rPr/>
        <w:t>According to the results of the questionnaire Yoshitake and 4-points scale of Luke, it is recommended to start another research to find injuries, be positive to make the necessary changes in the work area to reduce or mostly avoid physical damage caused by labor the wrong way.</w:t>
      </w:r>
    </w:p>
    <w:p>
      <w:pPr>
        <w:pStyle w:val="BodyText"/>
      </w:pPr>
    </w:p>
    <w:p>
      <w:pPr>
        <w:pStyle w:val="BodyText"/>
        <w:spacing w:before="1"/>
        <w:ind w:left="270" w:right="6250" w:firstLine="567"/>
        <w:jc w:val="both"/>
      </w:pPr>
      <w:r>
        <w:rPr/>
        <w:t>Figure 6 shows that when starting the workday the percentage of complaints in the lower back is higher by 4%, than the percentage reflected in figure 7, this is caused due to the worker at the beginning of their workday comes from being in a long period of rest so when they begin their work  it takes a little time the body reaches</w:t>
      </w:r>
      <w:r>
        <w:rPr>
          <w:spacing w:val="-32"/>
        </w:rPr>
        <w:t> </w:t>
      </w:r>
      <w:r>
        <w:rPr/>
        <w:t>conditioned.</w:t>
      </w:r>
    </w:p>
    <w:p>
      <w:pPr>
        <w:pStyle w:val="BodyText"/>
        <w:spacing w:before="11"/>
        <w:rPr>
          <w:sz w:val="19"/>
        </w:rPr>
      </w:pPr>
    </w:p>
    <w:p>
      <w:pPr>
        <w:pStyle w:val="BodyText"/>
        <w:ind w:left="270" w:right="6252" w:firstLine="567"/>
        <w:jc w:val="both"/>
      </w:pPr>
      <w:r>
        <w:rPr/>
        <w:t>Strategy to implement ergonomic improvements  in the workplace:</w:t>
      </w:r>
    </w:p>
    <w:p>
      <w:pPr>
        <w:pStyle w:val="BodyText"/>
        <w:spacing w:before="11"/>
        <w:rPr>
          <w:sz w:val="19"/>
        </w:rPr>
      </w:pPr>
    </w:p>
    <w:p>
      <w:pPr>
        <w:pStyle w:val="ListParagraph"/>
        <w:numPr>
          <w:ilvl w:val="0"/>
          <w:numId w:val="135"/>
        </w:numPr>
        <w:tabs>
          <w:tab w:pos="473" w:val="left" w:leader="none"/>
        </w:tabs>
        <w:spacing w:line="240" w:lineRule="auto" w:before="0" w:after="0"/>
        <w:ind w:left="472" w:right="0" w:hanging="202"/>
        <w:jc w:val="left"/>
        <w:rPr>
          <w:sz w:val="20"/>
        </w:rPr>
      </w:pPr>
      <w:r>
        <w:rPr>
          <w:sz w:val="20"/>
        </w:rPr>
        <w:t>Collect information to identify problem</w:t>
      </w:r>
      <w:r>
        <w:rPr>
          <w:spacing w:val="-30"/>
          <w:sz w:val="20"/>
        </w:rPr>
        <w:t> </w:t>
      </w:r>
      <w:r>
        <w:rPr>
          <w:sz w:val="20"/>
        </w:rPr>
        <w:t>areas.</w:t>
      </w:r>
    </w:p>
    <w:p>
      <w:pPr>
        <w:pStyle w:val="ListParagraph"/>
        <w:numPr>
          <w:ilvl w:val="0"/>
          <w:numId w:val="135"/>
        </w:numPr>
        <w:tabs>
          <w:tab w:pos="471" w:val="left" w:leader="none"/>
        </w:tabs>
        <w:spacing w:line="230" w:lineRule="exact" w:before="0" w:after="0"/>
        <w:ind w:left="470" w:right="0" w:hanging="200"/>
        <w:jc w:val="left"/>
        <w:rPr>
          <w:sz w:val="20"/>
        </w:rPr>
      </w:pPr>
      <w:r>
        <w:rPr>
          <w:sz w:val="20"/>
        </w:rPr>
        <w:t>Study the areas in which you suspect a</w:t>
      </w:r>
      <w:r>
        <w:rPr>
          <w:spacing w:val="-28"/>
          <w:sz w:val="20"/>
        </w:rPr>
        <w:t> </w:t>
      </w:r>
      <w:r>
        <w:rPr>
          <w:sz w:val="20"/>
        </w:rPr>
        <w:t>problem.</w:t>
      </w:r>
    </w:p>
    <w:p>
      <w:pPr>
        <w:pStyle w:val="ListParagraph"/>
        <w:numPr>
          <w:ilvl w:val="0"/>
          <w:numId w:val="135"/>
        </w:numPr>
        <w:tabs>
          <w:tab w:pos="472" w:val="left" w:leader="none"/>
        </w:tabs>
        <w:spacing w:line="230" w:lineRule="exact" w:before="0" w:after="0"/>
        <w:ind w:left="472" w:right="0" w:hanging="202"/>
        <w:jc w:val="left"/>
        <w:rPr>
          <w:sz w:val="20"/>
        </w:rPr>
      </w:pPr>
      <w:r>
        <w:rPr>
          <w:sz w:val="20"/>
        </w:rPr>
        <w:t>Collect</w:t>
      </w:r>
      <w:r>
        <w:rPr>
          <w:spacing w:val="-11"/>
          <w:sz w:val="20"/>
        </w:rPr>
        <w:t> </w:t>
      </w:r>
      <w:r>
        <w:rPr>
          <w:sz w:val="20"/>
        </w:rPr>
        <w:t>recommendations.</w:t>
      </w:r>
    </w:p>
    <w:p>
      <w:pPr>
        <w:pStyle w:val="ListParagraph"/>
        <w:numPr>
          <w:ilvl w:val="0"/>
          <w:numId w:val="135"/>
        </w:numPr>
        <w:tabs>
          <w:tab w:pos="471" w:val="left" w:leader="none"/>
        </w:tabs>
        <w:spacing w:line="240" w:lineRule="auto" w:before="0" w:after="0"/>
        <w:ind w:left="470" w:right="0" w:hanging="200"/>
        <w:jc w:val="left"/>
        <w:rPr>
          <w:sz w:val="20"/>
        </w:rPr>
      </w:pPr>
      <w:r>
        <w:rPr>
          <w:sz w:val="20"/>
        </w:rPr>
        <w:t>Promote the necessary</w:t>
      </w:r>
      <w:r>
        <w:rPr>
          <w:spacing w:val="-5"/>
          <w:sz w:val="20"/>
        </w:rPr>
        <w:t> </w:t>
      </w:r>
      <w:r>
        <w:rPr>
          <w:sz w:val="20"/>
        </w:rPr>
        <w:t>changes.</w:t>
      </w:r>
    </w:p>
    <w:p>
      <w:pPr>
        <w:pStyle w:val="ListParagraph"/>
        <w:numPr>
          <w:ilvl w:val="0"/>
          <w:numId w:val="135"/>
        </w:numPr>
        <w:tabs>
          <w:tab w:pos="473" w:val="left" w:leader="none"/>
        </w:tabs>
        <w:spacing w:line="240" w:lineRule="auto" w:before="0" w:after="0"/>
        <w:ind w:left="472" w:right="0" w:hanging="202"/>
        <w:jc w:val="left"/>
        <w:rPr>
          <w:sz w:val="20"/>
        </w:rPr>
      </w:pPr>
      <w:r>
        <w:rPr>
          <w:sz w:val="20"/>
        </w:rPr>
        <w:t>Maintain communication with</w:t>
      </w:r>
      <w:r>
        <w:rPr>
          <w:spacing w:val="-21"/>
          <w:sz w:val="20"/>
        </w:rPr>
        <w:t> </w:t>
      </w:r>
      <w:r>
        <w:rPr>
          <w:sz w:val="20"/>
        </w:rPr>
        <w:t>workers.</w:t>
      </w:r>
    </w:p>
    <w:p>
      <w:pPr>
        <w:pStyle w:val="BodyText"/>
        <w:spacing w:before="2"/>
      </w:pPr>
    </w:p>
    <w:p>
      <w:pPr>
        <w:pStyle w:val="Heading4"/>
        <w:numPr>
          <w:ilvl w:val="1"/>
          <w:numId w:val="134"/>
        </w:numPr>
        <w:tabs>
          <w:tab w:pos="571" w:val="left" w:leader="none"/>
        </w:tabs>
        <w:spacing w:line="240" w:lineRule="auto" w:before="0" w:after="0"/>
        <w:ind w:left="570" w:right="0" w:hanging="300"/>
        <w:jc w:val="left"/>
      </w:pPr>
      <w:r>
        <w:rPr/>
        <w:t>References</w:t>
      </w:r>
    </w:p>
    <w:p>
      <w:pPr>
        <w:pStyle w:val="BodyText"/>
        <w:spacing w:before="8"/>
        <w:rPr>
          <w:b/>
          <w:sz w:val="19"/>
        </w:rPr>
      </w:pPr>
    </w:p>
    <w:p>
      <w:pPr>
        <w:pStyle w:val="BodyText"/>
        <w:tabs>
          <w:tab w:pos="3705" w:val="left" w:leader="none"/>
        </w:tabs>
        <w:ind w:left="270" w:right="6250"/>
      </w:pPr>
      <w:r>
        <w:rPr/>
        <w:t>Determinación de fatiga física en trabajadores de mercados populares de Los Mochis Sinaloa. Leyva Astorga José Alfredo,  Estrada  Beltrán</w:t>
      </w:r>
      <w:r>
        <w:rPr>
          <w:spacing w:val="44"/>
        </w:rPr>
        <w:t> </w:t>
      </w:r>
      <w:r>
        <w:rPr/>
        <w:t>José</w:t>
      </w:r>
      <w:r>
        <w:rPr>
          <w:spacing w:val="48"/>
        </w:rPr>
        <w:t> </w:t>
      </w:r>
      <w:r>
        <w:rPr/>
        <w:t>Alberto</w:t>
        <w:tab/>
        <w:t>y</w:t>
      </w:r>
      <w:r>
        <w:rPr>
          <w:spacing w:val="46"/>
        </w:rPr>
        <w:t> </w:t>
      </w:r>
      <w:r>
        <w:rPr/>
        <w:t>Ramírez</w:t>
      </w:r>
      <w:r>
        <w:rPr>
          <w:spacing w:val="48"/>
        </w:rPr>
        <w:t> </w:t>
      </w:r>
      <w:r>
        <w:rPr/>
        <w:t>Leyva</w:t>
      </w:r>
      <w:r>
        <w:rPr>
          <w:spacing w:val="-1"/>
          <w:w w:val="100"/>
        </w:rPr>
        <w:t> </w:t>
      </w:r>
      <w:r>
        <w:rPr/>
        <w:t>Alberto. 2009. </w:t>
      </w:r>
      <w:hyperlink r:id="rId484">
        <w:r>
          <w:rPr>
            <w:u w:val="single"/>
          </w:rPr>
          <w:t>http://www.semac.org.mx/archivos/congreso11/fatiga1.pdf</w:t>
        </w:r>
      </w:hyperlink>
    </w:p>
    <w:p>
      <w:pPr>
        <w:pStyle w:val="BodyText"/>
        <w:spacing w:before="5"/>
        <w:rPr>
          <w:sz w:val="13"/>
        </w:rPr>
      </w:pPr>
    </w:p>
    <w:p>
      <w:pPr>
        <w:pStyle w:val="BodyText"/>
        <w:spacing w:before="75"/>
        <w:ind w:left="270" w:right="6249"/>
        <w:jc w:val="both"/>
      </w:pPr>
      <w:r>
        <w:rPr/>
        <w:t>Información sobre Accidentes y Enfermedades de Trabajo Sinaloa 2004-2013. Memorias estadísticas IMSS 2004-2013. </w:t>
      </w:r>
      <w:hyperlink r:id="rId610">
        <w:r>
          <w:rPr>
            <w:u w:val="single"/>
          </w:rPr>
          <w:t>http://www.stps.gob.mx/bp/secciones/dgsst/estadisticas/Sinal</w:t>
        </w:r>
      </w:hyperlink>
      <w:r>
        <w:rPr>
          <w:u w:val="single"/>
        </w:rPr>
        <w:t> oa%202004-2013.pdf</w:t>
      </w:r>
    </w:p>
    <w:p>
      <w:pPr>
        <w:pStyle w:val="BodyText"/>
        <w:spacing w:before="5"/>
        <w:rPr>
          <w:sz w:val="13"/>
        </w:rPr>
      </w:pPr>
    </w:p>
    <w:p>
      <w:pPr>
        <w:pStyle w:val="BodyText"/>
        <w:spacing w:before="75"/>
        <w:ind w:left="270" w:right="6276"/>
      </w:pPr>
      <w:r>
        <w:rPr/>
        <w:t>Low back pain among professional bus drivers: ergonomic and occupational-psychosocial risk factors. Alperovitch- Najenson D1, Santo Y, Masharawi Y, Katz-Leurer M, Ushvaev D, Kalichman L. </w:t>
      </w:r>
      <w:hyperlink r:id="rId586">
        <w:r>
          <w:rPr>
            <w:u w:val="single"/>
          </w:rPr>
          <w:t>http://www.ncbi.nlm.nih.gov/pubmed/20450125</w:t>
        </w:r>
      </w:hyperlink>
    </w:p>
    <w:p>
      <w:pPr>
        <w:spacing w:after="0"/>
        <w:sectPr>
          <w:pgSz w:w="12240" w:h="15840"/>
          <w:pgMar w:header="545" w:footer="852" w:top="1060" w:bottom="1040" w:left="580" w:right="220"/>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
        <w:rPr>
          <w:sz w:val="26"/>
        </w:rPr>
      </w:pPr>
    </w:p>
    <w:p>
      <w:pPr>
        <w:pStyle w:val="Heading1"/>
      </w:pPr>
      <w:r>
        <w:rPr/>
        <w:t>Applied Ergonomics in Music</w:t>
      </w:r>
    </w:p>
    <w:p>
      <w:pPr>
        <w:pStyle w:val="BodyText"/>
        <w:spacing w:before="9"/>
        <w:rPr>
          <w:b/>
          <w:sz w:val="19"/>
        </w:rPr>
      </w:pPr>
    </w:p>
    <w:p>
      <w:pPr>
        <w:pStyle w:val="BodyText"/>
        <w:ind w:left="270"/>
        <w:jc w:val="both"/>
      </w:pPr>
      <w:r>
        <w:rPr/>
        <w:t>*Dr. Sergio Alberto Valenzuela Gómez.</w:t>
      </w:r>
    </w:p>
    <w:p>
      <w:pPr>
        <w:pStyle w:val="BodyText"/>
        <w:spacing w:line="230" w:lineRule="exact"/>
        <w:ind w:left="270"/>
        <w:jc w:val="both"/>
      </w:pPr>
      <w:r>
        <w:rPr/>
        <w:t>**Mtro. Rodrigo Ruy Arias Ibáñez.</w:t>
      </w:r>
    </w:p>
    <w:p>
      <w:pPr>
        <w:pStyle w:val="BodyText"/>
        <w:spacing w:line="230" w:lineRule="exact"/>
        <w:ind w:left="270"/>
        <w:jc w:val="both"/>
      </w:pPr>
      <w:r>
        <w:rPr/>
        <w:t>***Dra. Mireya del Pilar Servín Estrada.</w:t>
      </w:r>
    </w:p>
    <w:p>
      <w:pPr>
        <w:pStyle w:val="BodyText"/>
      </w:pPr>
    </w:p>
    <w:p>
      <w:pPr>
        <w:pStyle w:val="BodyText"/>
        <w:spacing w:before="1"/>
        <w:ind w:left="270" w:right="1"/>
        <w:jc w:val="both"/>
      </w:pPr>
      <w:r>
        <w:rPr/>
        <w:t>*Universidad de Guadalajara, Dpto. de Música del Centro Universitario de Arte, Arquitectura y Diseño CUAAD. </w:t>
      </w:r>
      <w:hyperlink r:id="rId627">
        <w:r>
          <w:rPr>
            <w:color w:val="0000FF"/>
            <w:u w:val="single" w:color="0000FF"/>
          </w:rPr>
          <w:t>sergiovalenzuela1@icloud.com </w:t>
        </w:r>
      </w:hyperlink>
      <w:r>
        <w:rPr/>
        <w:t>Zapopan Jalisco, México.</w:t>
      </w:r>
    </w:p>
    <w:p>
      <w:pPr>
        <w:pStyle w:val="BodyText"/>
        <w:spacing w:before="11"/>
        <w:rPr>
          <w:sz w:val="19"/>
        </w:rPr>
      </w:pPr>
    </w:p>
    <w:p>
      <w:pPr>
        <w:pStyle w:val="BodyText"/>
        <w:ind w:left="270"/>
        <w:jc w:val="both"/>
      </w:pPr>
      <w:r>
        <w:rPr/>
        <w:t>**Universidad de Guadalajara, responsable of the Research and Academic team and classical guitar teacher of the “Dpto. de Música del Centro Universitario de Arte, Arquitectura y Diseño” (CUAAD). </w:t>
      </w:r>
      <w:hyperlink r:id="rId628">
        <w:r>
          <w:rPr>
            <w:color w:val="0000FF"/>
            <w:u w:val="single" w:color="0000FF"/>
          </w:rPr>
          <w:t>leverkun1@outlook.es </w:t>
        </w:r>
      </w:hyperlink>
      <w:r>
        <w:rPr/>
        <w:t>Zapopan Jalisco, México.</w:t>
      </w:r>
    </w:p>
    <w:p>
      <w:pPr>
        <w:pStyle w:val="BodyText"/>
        <w:spacing w:before="11"/>
        <w:rPr>
          <w:sz w:val="19"/>
        </w:rPr>
      </w:pPr>
    </w:p>
    <w:p>
      <w:pPr>
        <w:pStyle w:val="BodyText"/>
        <w:ind w:left="270"/>
        <w:jc w:val="both"/>
      </w:pPr>
      <w:r>
        <w:rPr/>
        <w:t>***Instituto Mexicano del Seguro Social U.M.F 34, responsable of the attention and prevention of complications for patients with Diabetes (DiabetIMSS). </w:t>
      </w:r>
      <w:hyperlink r:id="rId629">
        <w:r>
          <w:rPr>
            <w:color w:val="0000FF"/>
            <w:u w:val="single" w:color="0000FF"/>
          </w:rPr>
          <w:t>mireya.servin@imss.gob.mx </w:t>
        </w:r>
      </w:hyperlink>
      <w:r>
        <w:rPr/>
        <w:t>Guadalajara Jalisco, México.</w:t>
      </w:r>
    </w:p>
    <w:p>
      <w:pPr>
        <w:pStyle w:val="BodyText"/>
        <w:spacing w:before="3"/>
      </w:pPr>
    </w:p>
    <w:p>
      <w:pPr>
        <w:pStyle w:val="Heading4"/>
      </w:pPr>
      <w:r>
        <w:rPr/>
        <w:pict>
          <v:line style="position:absolute;mso-position-horizontal-relative:page;mso-position-vertical-relative:paragraph;z-index:15568" from="41.040001pt,13.265717pt" to="289.860001pt,13.265717pt" stroked="true" strokeweight="1.5pt" strokecolor="#000000">
            <w10:wrap type="none"/>
          </v:line>
        </w:pict>
      </w:r>
      <w:r>
        <w:rPr/>
        <w:t>Resumen</w:t>
      </w:r>
    </w:p>
    <w:p>
      <w:pPr>
        <w:pStyle w:val="BodyText"/>
        <w:spacing w:before="47"/>
        <w:ind w:left="272"/>
        <w:jc w:val="right"/>
      </w:pPr>
      <w:r>
        <w:rPr/>
        <w:t>Los músicos están expuestos a múltiples factores</w:t>
      </w:r>
      <w:r>
        <w:rPr>
          <w:spacing w:val="18"/>
        </w:rPr>
        <w:t> </w:t>
      </w:r>
      <w:r>
        <w:rPr/>
        <w:t>de</w:t>
      </w:r>
      <w:r>
        <w:rPr>
          <w:spacing w:val="16"/>
        </w:rPr>
        <w:t> </w:t>
      </w:r>
      <w:r>
        <w:rPr/>
        <w:t>riesgo,</w:t>
      </w:r>
      <w:r>
        <w:rPr>
          <w:w w:val="100"/>
        </w:rPr>
        <w:t> </w:t>
      </w:r>
      <w:r>
        <w:rPr/>
        <w:t>estos a su vez pueden ser causantes de patologías</w:t>
      </w:r>
      <w:r>
        <w:rPr>
          <w:spacing w:val="-4"/>
        </w:rPr>
        <w:t> </w:t>
      </w:r>
      <w:r>
        <w:rPr/>
        <w:t>que afectan</w:t>
      </w:r>
      <w:r>
        <w:rPr>
          <w:w w:val="100"/>
        </w:rPr>
        <w:t> </w:t>
      </w:r>
      <w:r>
        <w:rPr/>
        <w:t>de manera directa el rendimiento y la capacidad</w:t>
      </w:r>
      <w:r>
        <w:rPr>
          <w:spacing w:val="27"/>
        </w:rPr>
        <w:t> </w:t>
      </w:r>
      <w:r>
        <w:rPr/>
        <w:t>funcional</w:t>
      </w:r>
      <w:r>
        <w:rPr>
          <w:spacing w:val="1"/>
        </w:rPr>
        <w:t> </w:t>
      </w:r>
      <w:r>
        <w:rPr/>
        <w:t>de</w:t>
      </w:r>
      <w:r>
        <w:rPr>
          <w:w w:val="100"/>
        </w:rPr>
        <w:t> </w:t>
      </w:r>
      <w:r>
        <w:rPr/>
        <w:t>los instrumentistas que afectan el pleno desarrollo</w:t>
      </w:r>
      <w:r>
        <w:rPr>
          <w:spacing w:val="18"/>
        </w:rPr>
        <w:t> </w:t>
      </w:r>
      <w:r>
        <w:rPr/>
        <w:t>de</w:t>
      </w:r>
      <w:r>
        <w:rPr>
          <w:spacing w:val="1"/>
        </w:rPr>
        <w:t> </w:t>
      </w:r>
      <w:r>
        <w:rPr/>
        <w:t>su</w:t>
      </w:r>
      <w:r>
        <w:rPr>
          <w:spacing w:val="-1"/>
          <w:w w:val="100"/>
        </w:rPr>
        <w:t> </w:t>
      </w:r>
      <w:r>
        <w:rPr/>
        <w:t>ejercicio profesional; la exposición a posturas</w:t>
      </w:r>
      <w:r>
        <w:rPr>
          <w:spacing w:val="7"/>
        </w:rPr>
        <w:t> </w:t>
      </w:r>
      <w:r>
        <w:rPr/>
        <w:t>forzadas,</w:t>
      </w:r>
      <w:r>
        <w:rPr>
          <w:spacing w:val="35"/>
        </w:rPr>
        <w:t> </w:t>
      </w:r>
      <w:r>
        <w:rPr/>
        <w:t>la</w:t>
      </w:r>
      <w:r>
        <w:rPr>
          <w:spacing w:val="-1"/>
          <w:w w:val="100"/>
        </w:rPr>
        <w:t> </w:t>
      </w:r>
      <w:r>
        <w:rPr/>
        <w:t>mala gestión del tiempo de práctica vs el</w:t>
      </w:r>
      <w:r>
        <w:rPr>
          <w:spacing w:val="5"/>
        </w:rPr>
        <w:t> </w:t>
      </w:r>
      <w:r>
        <w:rPr/>
        <w:t>descanso,</w:t>
      </w:r>
      <w:r>
        <w:rPr>
          <w:spacing w:val="19"/>
        </w:rPr>
        <w:t> </w:t>
      </w:r>
      <w:r>
        <w:rPr/>
        <w:t>el</w:t>
      </w:r>
      <w:r>
        <w:rPr>
          <w:w w:val="100"/>
        </w:rPr>
        <w:t> </w:t>
      </w:r>
      <w:r>
        <w:rPr/>
        <w:t>número de horas de ejecución, la carga</w:t>
      </w:r>
      <w:r>
        <w:rPr>
          <w:spacing w:val="39"/>
        </w:rPr>
        <w:t> </w:t>
      </w:r>
      <w:r>
        <w:rPr/>
        <w:t>psicológica</w:t>
      </w:r>
      <w:r>
        <w:rPr>
          <w:spacing w:val="35"/>
        </w:rPr>
        <w:t> </w:t>
      </w:r>
      <w:r>
        <w:rPr/>
        <w:t>y</w:t>
      </w:r>
      <w:r>
        <w:rPr>
          <w:w w:val="100"/>
        </w:rPr>
        <w:t> </w:t>
      </w:r>
      <w:r>
        <w:rPr/>
        <w:t>movimientos repetitivos día tras día son algunos</w:t>
      </w:r>
      <w:r>
        <w:rPr>
          <w:spacing w:val="36"/>
        </w:rPr>
        <w:t> </w:t>
      </w:r>
      <w:r>
        <w:rPr/>
        <w:t>de</w:t>
      </w:r>
      <w:r>
        <w:rPr>
          <w:spacing w:val="13"/>
        </w:rPr>
        <w:t> </w:t>
      </w:r>
      <w:r>
        <w:rPr/>
        <w:t>los</w:t>
      </w:r>
      <w:r>
        <w:rPr>
          <w:w w:val="100"/>
        </w:rPr>
        <w:t> </w:t>
      </w:r>
      <w:r>
        <w:rPr/>
        <w:t>aspectos que pueden provocar un avance débil</w:t>
      </w:r>
      <w:r>
        <w:rPr>
          <w:spacing w:val="36"/>
        </w:rPr>
        <w:t> </w:t>
      </w:r>
      <w:r>
        <w:rPr/>
        <w:t>e</w:t>
      </w:r>
      <w:r>
        <w:rPr>
          <w:spacing w:val="19"/>
        </w:rPr>
        <w:t> </w:t>
      </w:r>
      <w:r>
        <w:rPr/>
        <w:t>ineficiente</w:t>
      </w:r>
      <w:r>
        <w:rPr>
          <w:w w:val="100"/>
        </w:rPr>
        <w:t> </w:t>
      </w:r>
      <w:r>
        <w:rPr/>
        <w:t>en su nivel técnico e interpretativo. Resulta</w:t>
      </w:r>
      <w:r>
        <w:rPr>
          <w:spacing w:val="41"/>
        </w:rPr>
        <w:t> </w:t>
      </w:r>
      <w:r>
        <w:rPr/>
        <w:t>muy</w:t>
      </w:r>
      <w:r>
        <w:rPr>
          <w:spacing w:val="12"/>
        </w:rPr>
        <w:t> </w:t>
      </w:r>
      <w:r>
        <w:rPr/>
        <w:t>importante</w:t>
      </w:r>
      <w:r>
        <w:rPr>
          <w:spacing w:val="-1"/>
          <w:w w:val="100"/>
        </w:rPr>
        <w:t> </w:t>
      </w:r>
      <w:r>
        <w:rPr/>
        <w:t>que los artistas son capaces de diseñar su estación de</w:t>
      </w:r>
      <w:r>
        <w:rPr>
          <w:spacing w:val="-8"/>
        </w:rPr>
        <w:t> </w:t>
      </w:r>
      <w:r>
        <w:rPr/>
        <w:t>trabajo.</w:t>
      </w:r>
    </w:p>
    <w:p>
      <w:pPr>
        <w:pStyle w:val="BodyText"/>
        <w:spacing w:before="11"/>
        <w:rPr>
          <w:sz w:val="19"/>
        </w:rPr>
      </w:pPr>
    </w:p>
    <w:p>
      <w:pPr>
        <w:pStyle w:val="BodyText"/>
        <w:ind w:left="270" w:right="1" w:firstLine="250"/>
        <w:jc w:val="both"/>
      </w:pPr>
      <w:r>
        <w:rPr/>
        <w:t>La música como cualquier profesión, también  necesita una formación académica integral en el que se incluye la aplicación de la ergonomía que ayudan al instrumentista a individualizar las estrategias de estudio y no sólo basarse en evaluaciones empíricas que pasaron de generación en generación sin ningún tipo de sustentación científica.</w:t>
      </w:r>
    </w:p>
    <w:p>
      <w:pPr>
        <w:pStyle w:val="BodyText"/>
        <w:spacing w:before="11"/>
        <w:rPr>
          <w:sz w:val="19"/>
        </w:rPr>
      </w:pPr>
    </w:p>
    <w:p>
      <w:pPr>
        <w:pStyle w:val="BodyText"/>
        <w:ind w:left="270" w:firstLine="250"/>
        <w:jc w:val="both"/>
      </w:pPr>
      <w:r>
        <w:rPr/>
        <w:t>En la actualidad, hay universidades en las que se dan cursos relacionados con la ergonomía aplicada en la música, de ahí que el desafío para países como México, será de incluir este tipo de temas dentro de la formación profesional de los</w:t>
      </w:r>
      <w:r>
        <w:rPr>
          <w:spacing w:val="-10"/>
        </w:rPr>
        <w:t> </w:t>
      </w:r>
      <w:r>
        <w:rPr/>
        <w:t>músicos.</w:t>
      </w:r>
    </w:p>
    <w:p>
      <w:pPr>
        <w:spacing w:line="229" w:lineRule="exact" w:before="0"/>
        <w:ind w:left="270" w:right="0" w:firstLine="0"/>
        <w:jc w:val="both"/>
        <w:rPr>
          <w:sz w:val="20"/>
        </w:rPr>
      </w:pPr>
      <w:r>
        <w:rPr>
          <w:b/>
          <w:sz w:val="20"/>
        </w:rPr>
        <w:t>Palabras clave</w:t>
      </w:r>
      <w:r>
        <w:rPr>
          <w:sz w:val="20"/>
        </w:rPr>
        <w:t>— Ergonomia Aplicada, Musica.</w:t>
      </w:r>
    </w:p>
    <w:p>
      <w:pPr>
        <w:pStyle w:val="BodyText"/>
        <w:spacing w:before="4"/>
      </w:pPr>
    </w:p>
    <w:p>
      <w:pPr>
        <w:pStyle w:val="Heading5"/>
        <w:rPr>
          <w:i/>
        </w:rPr>
      </w:pPr>
      <w:r>
        <w:rPr/>
        <w:pict>
          <v:line style="position:absolute;mso-position-horizontal-relative:page;mso-position-vertical-relative:paragraph;z-index:15592" from="41.040001pt,13.206811pt" to="289.860001pt,13.206811pt" stroked="true" strokeweight="1.5pt" strokecolor="#000000">
            <w10:wrap type="none"/>
          </v:line>
        </w:pict>
      </w:r>
      <w:r>
        <w:rPr>
          <w:i/>
        </w:rPr>
        <w:t>Abstract</w:t>
      </w:r>
    </w:p>
    <w:p>
      <w:pPr>
        <w:pStyle w:val="BodyText"/>
        <w:spacing w:before="46"/>
        <w:ind w:left="270"/>
        <w:jc w:val="both"/>
      </w:pPr>
      <w:r>
        <w:rPr/>
        <w:t>Musicians are exposed to multiple risk factors, these in turn can be causers of pathologies who affect in a direct way the performance and the functional capacity of the instrumentalists affecting the full development of their professional exercise; the exposition to forced positions, the bad management of practice time vs rest, the number  of hours   of   playing,      psychological   load   and    repetitive</w:t>
      </w:r>
    </w:p>
    <w:p>
      <w:pPr>
        <w:pStyle w:val="BodyText"/>
        <w:spacing w:before="74"/>
        <w:ind w:left="270" w:right="677"/>
        <w:jc w:val="both"/>
      </w:pPr>
      <w:r>
        <w:rPr/>
        <w:br w:type="column"/>
      </w:r>
      <w:r>
        <w:rPr/>
        <w:t>movements day after day are some of the aspects that can provoke a weak and inefficient advance in their technical and interpretive level. It turns out very important that performers are capable of designing their</w:t>
      </w:r>
      <w:r>
        <w:rPr>
          <w:spacing w:val="-13"/>
        </w:rPr>
        <w:t> </w:t>
      </w:r>
      <w:r>
        <w:rPr/>
        <w:t>workstation.</w:t>
      </w:r>
    </w:p>
    <w:p>
      <w:pPr>
        <w:pStyle w:val="BodyText"/>
        <w:spacing w:before="11"/>
        <w:rPr>
          <w:sz w:val="19"/>
        </w:rPr>
      </w:pPr>
    </w:p>
    <w:p>
      <w:pPr>
        <w:pStyle w:val="BodyText"/>
        <w:ind w:left="270" w:right="675" w:firstLine="250"/>
        <w:jc w:val="both"/>
      </w:pPr>
      <w:r>
        <w:rPr/>
        <w:t>Music as any profession, also needs an integral academic education in which there is included the application of ergonomics that help the instrumentalist to individualize strategies of study and not only to be based on empirical appraisals passed generation to generation without any type of scientific sustentation.</w:t>
      </w:r>
    </w:p>
    <w:p>
      <w:pPr>
        <w:pStyle w:val="BodyText"/>
        <w:spacing w:before="11"/>
        <w:rPr>
          <w:sz w:val="19"/>
        </w:rPr>
      </w:pPr>
    </w:p>
    <w:p>
      <w:pPr>
        <w:pStyle w:val="BodyText"/>
        <w:ind w:left="270" w:right="677" w:firstLine="250"/>
        <w:jc w:val="both"/>
      </w:pPr>
      <w:r>
        <w:rPr/>
        <w:t>At present, there are universities in which are given courses related to the applied ergonomics in music, for that reason the challenge for countries like Mexico, will be of including this type of subjects inside the vocational training of musicians.</w:t>
      </w:r>
    </w:p>
    <w:p>
      <w:pPr>
        <w:pStyle w:val="BodyText"/>
        <w:spacing w:before="2"/>
      </w:pPr>
    </w:p>
    <w:p>
      <w:pPr>
        <w:pStyle w:val="Heading4"/>
        <w:spacing w:line="229" w:lineRule="exact"/>
      </w:pPr>
      <w:r>
        <w:rPr/>
        <w:t>Keywords</w:t>
      </w:r>
    </w:p>
    <w:p>
      <w:pPr>
        <w:pStyle w:val="BodyText"/>
        <w:spacing w:line="229" w:lineRule="exact"/>
        <w:ind w:left="270"/>
        <w:jc w:val="both"/>
      </w:pPr>
      <w:r>
        <w:rPr/>
        <w:t>Applied, Ergonomics, Music.</w:t>
      </w:r>
    </w:p>
    <w:p>
      <w:pPr>
        <w:pStyle w:val="BodyText"/>
        <w:spacing w:before="2"/>
      </w:pPr>
    </w:p>
    <w:p>
      <w:pPr>
        <w:pStyle w:val="Heading4"/>
        <w:numPr>
          <w:ilvl w:val="0"/>
          <w:numId w:val="136"/>
        </w:numPr>
        <w:tabs>
          <w:tab w:pos="556" w:val="left" w:leader="none"/>
        </w:tabs>
        <w:spacing w:line="240" w:lineRule="auto" w:before="0" w:after="0"/>
        <w:ind w:left="555" w:right="0" w:hanging="285"/>
        <w:jc w:val="both"/>
      </w:pPr>
      <w:r>
        <w:rPr/>
        <w:t>INTRODUCTION</w:t>
      </w:r>
    </w:p>
    <w:p>
      <w:pPr>
        <w:pStyle w:val="BodyText"/>
        <w:spacing w:before="9"/>
        <w:rPr>
          <w:b/>
          <w:sz w:val="19"/>
        </w:rPr>
      </w:pPr>
    </w:p>
    <w:p>
      <w:pPr>
        <w:pStyle w:val="BodyText"/>
        <w:spacing w:before="1"/>
        <w:ind w:left="270" w:right="676"/>
        <w:jc w:val="both"/>
      </w:pPr>
      <w:r>
        <w:rPr/>
        <w:t>Health problems related to instrumental practice are a priority topic for the musical profession. Principally the musculoskeletal system is the one that is in risk of suffering some type of injury or hurt that might be catalogued in a future as chronic, degenerative or irreversible.</w:t>
      </w:r>
    </w:p>
    <w:p>
      <w:pPr>
        <w:pStyle w:val="BodyText"/>
        <w:ind w:left="270" w:right="677" w:firstLine="426"/>
        <w:jc w:val="both"/>
      </w:pPr>
      <w:r>
        <w:rPr/>
        <w:t>The knowledge and application of ergonomics will be able to help and prepare the instrumentalist in order to identify and modify positions and habits that interfere with the technical - interpretive development. It will not be an obligation for the musician to know every detail that involves the complexity of the corporal mechanics.</w:t>
      </w:r>
    </w:p>
    <w:p>
      <w:pPr>
        <w:pStyle w:val="BodyText"/>
        <w:ind w:left="270" w:right="677" w:firstLine="426"/>
        <w:jc w:val="both"/>
      </w:pPr>
      <w:r>
        <w:rPr/>
        <w:t>Applied ergonomics in music have contributions  in two important areas; the first one corresponds to the design of the work and study station of performers, this one also involves the analysis of the variables in the operation place, in case of musicians it would be the stage, where the final result of the time invested to complete a recital will  be shown to the audience.</w:t>
      </w:r>
    </w:p>
    <w:p>
      <w:pPr>
        <w:pStyle w:val="BodyText"/>
        <w:ind w:left="270" w:right="676" w:firstLine="426"/>
        <w:jc w:val="both"/>
      </w:pPr>
      <w:r>
        <w:rPr/>
        <w:t>The second application of musical ergonomics is in the design of the musical instrument. In this field musical instruments are develop and modified in order that  they have a more suitable and identical design to the anatomy  and physiology of the musculoskeletal system, propitiating this way more natural postures and diminish the appearance of risk factors that affect the technical and interpretive advance of the</w:t>
      </w:r>
      <w:r>
        <w:rPr>
          <w:spacing w:val="-11"/>
        </w:rPr>
        <w:t> </w:t>
      </w:r>
      <w:r>
        <w:rPr/>
        <w:t>performer.</w:t>
      </w:r>
    </w:p>
    <w:p>
      <w:pPr>
        <w:pStyle w:val="BodyText"/>
        <w:ind w:left="270" w:right="676" w:firstLine="426"/>
        <w:jc w:val="both"/>
      </w:pPr>
      <w:r>
        <w:rPr/>
        <w:t>This work is directed principally to the first application mentioned, taking the musical instruments as a base known until now, but promoting the sophistication in the use of these tools. Some of the advantages in the ergonomic design of the study / work area of musicians is the fast application in the daily practice, another advantage that will be able to be consider is the fact that the instrumentalist will be  capable of having a direct intervention and personalized the practice schedule but based on</w:t>
      </w:r>
      <w:r>
        <w:rPr>
          <w:spacing w:val="-13"/>
        </w:rPr>
        <w:t> </w:t>
      </w:r>
      <w:r>
        <w:rPr/>
        <w:t>evidences.</w:t>
      </w:r>
    </w:p>
    <w:p>
      <w:pPr>
        <w:spacing w:after="0"/>
        <w:jc w:val="both"/>
        <w:sectPr>
          <w:type w:val="continuous"/>
          <w:pgSz w:w="12240" w:h="15840"/>
          <w:pgMar w:top="1500" w:bottom="280" w:left="580" w:right="220"/>
          <w:cols w:num="2" w:equalWidth="0">
            <w:col w:w="5190" w:space="434"/>
            <w:col w:w="5816"/>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4"/>
        <w:ind w:left="270" w:firstLine="426"/>
        <w:jc w:val="both"/>
      </w:pPr>
      <w:r>
        <w:rPr/>
        <w:t>Also seeks to provide tools to the performers and allow them to develop working and desing strategies to individualize the environment and practice area according to the personal needs and identify the most favorable working conditions.</w:t>
      </w:r>
    </w:p>
    <w:p>
      <w:pPr>
        <w:pStyle w:val="BodyText"/>
        <w:ind w:left="270" w:firstLine="426"/>
        <w:jc w:val="both"/>
      </w:pPr>
      <w:r>
        <w:rPr/>
        <w:t>One of the main goals of this project is being able to develop an academic course inside of the music schools in order that the student beside having a professional integral artistic formation could rely on a healthy, preventive and scientific education; it should allow him to apply ergonomics in the musical practice.</w:t>
      </w:r>
    </w:p>
    <w:p>
      <w:pPr>
        <w:pStyle w:val="BodyText"/>
        <w:spacing w:before="2"/>
      </w:pPr>
    </w:p>
    <w:p>
      <w:pPr>
        <w:pStyle w:val="Heading4"/>
      </w:pPr>
      <w:r>
        <w:rPr/>
        <w:t>1.2   Delimitation</w:t>
      </w:r>
    </w:p>
    <w:p>
      <w:pPr>
        <w:pStyle w:val="BodyText"/>
        <w:spacing w:before="9"/>
        <w:rPr>
          <w:b/>
          <w:sz w:val="19"/>
        </w:rPr>
      </w:pPr>
    </w:p>
    <w:p>
      <w:pPr>
        <w:pStyle w:val="BodyText"/>
        <w:spacing w:before="1"/>
        <w:ind w:left="270" w:right="1"/>
        <w:jc w:val="both"/>
      </w:pPr>
      <w:r>
        <w:rPr/>
        <w:t>Ergonomics applied in music as a tool to design and create a work and practice area is principally directed to musicians who are in formation process, the aim of the application of the ergonomic knowledge is put into practice in a controlled environment and under supervision of a multidisciplinary equipment shaped by the teacher, physician and a specialist in ergonomics</w:t>
      </w:r>
      <w:r>
        <w:rPr>
          <w:spacing w:val="-19"/>
        </w:rPr>
        <w:t> </w:t>
      </w:r>
      <w:r>
        <w:rPr/>
        <w:t>principally.</w:t>
      </w:r>
    </w:p>
    <w:p>
      <w:pPr>
        <w:pStyle w:val="BodyText"/>
        <w:ind w:left="270" w:firstLine="426"/>
        <w:jc w:val="both"/>
      </w:pPr>
      <w:r>
        <w:rPr/>
        <w:t>With the implementation of an ergonomics program in music universities, musicians are going to generate a scientific approach to the practice of any musical instrument. By means of the detailed analysis of the musical  performance and the elements for the design of a practice area it is possible to achieve decrease risk factors that might compromise the professional performance of musicians, beside increasing the technical and interpretive performance of the</w:t>
      </w:r>
      <w:r>
        <w:rPr>
          <w:spacing w:val="-13"/>
        </w:rPr>
        <w:t> </w:t>
      </w:r>
      <w:r>
        <w:rPr/>
        <w:t>instrumentalist.</w:t>
      </w:r>
    </w:p>
    <w:p>
      <w:pPr>
        <w:pStyle w:val="BodyText"/>
        <w:spacing w:before="2"/>
      </w:pPr>
    </w:p>
    <w:p>
      <w:pPr>
        <w:pStyle w:val="Heading4"/>
        <w:numPr>
          <w:ilvl w:val="0"/>
          <w:numId w:val="136"/>
        </w:numPr>
        <w:tabs>
          <w:tab w:pos="556" w:val="left" w:leader="none"/>
        </w:tabs>
        <w:spacing w:line="240" w:lineRule="auto" w:before="0" w:after="0"/>
        <w:ind w:left="555" w:right="0" w:hanging="285"/>
        <w:jc w:val="both"/>
      </w:pPr>
      <w:r>
        <w:rPr/>
        <w:t>METHODS</w:t>
      </w:r>
    </w:p>
    <w:p>
      <w:pPr>
        <w:pStyle w:val="BodyText"/>
        <w:spacing w:before="8"/>
        <w:rPr>
          <w:b/>
          <w:sz w:val="19"/>
        </w:rPr>
      </w:pPr>
    </w:p>
    <w:p>
      <w:pPr>
        <w:pStyle w:val="BodyText"/>
        <w:ind w:left="270"/>
        <w:jc w:val="both"/>
      </w:pPr>
      <w:r>
        <w:rPr/>
        <w:t>This research was realized by the review of the bibliographical search in databases like  MEDLINE, SCIELO, articles published by the National Institute of Security and Hygiene in the Work (Spain) and P.A.M.A's publications. Performing Arts Medicine Association.</w:t>
      </w:r>
    </w:p>
    <w:p>
      <w:pPr>
        <w:pStyle w:val="BodyText"/>
        <w:ind w:left="270" w:firstLine="426"/>
        <w:jc w:val="both"/>
      </w:pPr>
      <w:r>
        <w:rPr/>
        <w:t>In this work were checked the curricula of the “Universidad de Guadalajara”, “Universidad de Aguascalientes”, “Escuela Superior de Música UNAM” and the “Conservatorio Superior de Música de Salamanca”  Spain, to identify if in some of these institutions there was some subject, workshop or optional matter that had relation with the application of the ergonomics. The obtaining of scientific literature was completed by the free searching in the network of diverse articles and publications related to ergonomics applied in the design of the musicians workstation.</w:t>
      </w:r>
    </w:p>
    <w:p>
      <w:pPr>
        <w:pStyle w:val="BodyText"/>
        <w:spacing w:before="2"/>
      </w:pPr>
    </w:p>
    <w:p>
      <w:pPr>
        <w:pStyle w:val="Heading4"/>
      </w:pPr>
      <w:r>
        <w:rPr/>
        <w:t>2.1 Hypothesis</w:t>
      </w:r>
    </w:p>
    <w:p>
      <w:pPr>
        <w:pStyle w:val="BodyText"/>
        <w:spacing w:before="8"/>
        <w:rPr>
          <w:b/>
          <w:sz w:val="19"/>
        </w:rPr>
      </w:pPr>
    </w:p>
    <w:p>
      <w:pPr>
        <w:pStyle w:val="BodyText"/>
        <w:ind w:left="270" w:right="1"/>
        <w:jc w:val="both"/>
      </w:pPr>
      <w:r>
        <w:rPr/>
        <w:t>The incorporation of a workshop, subject or course in  applied ergonomics in music will be able to anticipate the presence of pathologies related to the musical practice. In a publication found in Medline across PubMed of the year 2012, there is described that a questionnaire was applied   </w:t>
      </w:r>
      <w:r>
        <w:rPr>
          <w:spacing w:val="11"/>
        </w:rPr>
        <w:t> </w:t>
      </w:r>
      <w:r>
        <w:rPr/>
        <w:t>to</w:t>
      </w:r>
    </w:p>
    <w:p>
      <w:pPr>
        <w:pStyle w:val="BodyText"/>
        <w:ind w:left="270"/>
        <w:jc w:val="both"/>
      </w:pPr>
      <w:r>
        <w:rPr/>
        <w:t>377   professional   musicians   of   different   orchestras    in</w:t>
      </w:r>
    </w:p>
    <w:p>
      <w:pPr>
        <w:pStyle w:val="BodyText"/>
        <w:spacing w:before="74"/>
        <w:ind w:left="270" w:right="679"/>
        <w:jc w:val="both"/>
      </w:pPr>
      <w:r>
        <w:rPr/>
        <w:br w:type="column"/>
      </w:r>
      <w:r>
        <w:rPr/>
        <w:t>Australia to identify those who have suffered some disorder or pathology related to the instrumental practice and they found the following results:</w:t>
      </w:r>
    </w:p>
    <w:p>
      <w:pPr>
        <w:pStyle w:val="BodyText"/>
        <w:spacing w:before="11"/>
        <w:rPr>
          <w:sz w:val="19"/>
        </w:rPr>
      </w:pPr>
    </w:p>
    <w:p>
      <w:pPr>
        <w:pStyle w:val="ListParagraph"/>
        <w:numPr>
          <w:ilvl w:val="0"/>
          <w:numId w:val="137"/>
        </w:numPr>
        <w:tabs>
          <w:tab w:pos="979" w:val="left" w:leader="none"/>
        </w:tabs>
        <w:spacing w:line="240" w:lineRule="auto" w:before="0" w:after="0"/>
        <w:ind w:left="990" w:right="677" w:hanging="360"/>
        <w:jc w:val="both"/>
        <w:rPr>
          <w:sz w:val="20"/>
        </w:rPr>
      </w:pPr>
      <w:r>
        <w:rPr>
          <w:sz w:val="20"/>
        </w:rPr>
        <w:t>84 % of the participants had suffered in some moment of his professional exercise a musculoskeletal injury or pain that affected some presentation or a musical practice</w:t>
      </w:r>
      <w:r>
        <w:rPr>
          <w:spacing w:val="-30"/>
          <w:sz w:val="20"/>
        </w:rPr>
        <w:t> </w:t>
      </w:r>
      <w:r>
        <w:rPr>
          <w:sz w:val="20"/>
        </w:rPr>
        <w:t>session.</w:t>
      </w:r>
    </w:p>
    <w:p>
      <w:pPr>
        <w:pStyle w:val="BodyText"/>
        <w:spacing w:before="11"/>
        <w:rPr>
          <w:sz w:val="19"/>
        </w:rPr>
      </w:pPr>
    </w:p>
    <w:p>
      <w:pPr>
        <w:pStyle w:val="ListParagraph"/>
        <w:numPr>
          <w:ilvl w:val="0"/>
          <w:numId w:val="137"/>
        </w:numPr>
        <w:tabs>
          <w:tab w:pos="979" w:val="left" w:leader="none"/>
        </w:tabs>
        <w:spacing w:line="240" w:lineRule="auto" w:before="0" w:after="0"/>
        <w:ind w:left="990" w:right="678" w:hanging="360"/>
        <w:jc w:val="both"/>
        <w:rPr>
          <w:sz w:val="20"/>
        </w:rPr>
      </w:pPr>
      <w:r>
        <w:rPr>
          <w:sz w:val="20"/>
        </w:rPr>
        <w:t>15 % of musicians manifested pain to the moment to be answering the</w:t>
      </w:r>
      <w:r>
        <w:rPr>
          <w:spacing w:val="-15"/>
          <w:sz w:val="20"/>
        </w:rPr>
        <w:t> </w:t>
      </w:r>
      <w:r>
        <w:rPr>
          <w:sz w:val="20"/>
        </w:rPr>
        <w:t>questionnaire.</w:t>
      </w:r>
    </w:p>
    <w:p>
      <w:pPr>
        <w:pStyle w:val="BodyText"/>
        <w:spacing w:before="11"/>
        <w:rPr>
          <w:sz w:val="19"/>
        </w:rPr>
      </w:pPr>
    </w:p>
    <w:p>
      <w:pPr>
        <w:pStyle w:val="ListParagraph"/>
        <w:numPr>
          <w:ilvl w:val="0"/>
          <w:numId w:val="137"/>
        </w:numPr>
        <w:tabs>
          <w:tab w:pos="979" w:val="left" w:leader="none"/>
        </w:tabs>
        <w:spacing w:line="240" w:lineRule="auto" w:before="0" w:after="0"/>
        <w:ind w:left="990" w:right="675" w:hanging="360"/>
        <w:jc w:val="both"/>
        <w:rPr>
          <w:sz w:val="20"/>
        </w:rPr>
      </w:pPr>
      <w:r>
        <w:rPr>
          <w:sz w:val="20"/>
        </w:rPr>
        <w:t>28 % of the respondents had missed at least one  day of work in the previous 18 months because of pain or</w:t>
      </w:r>
      <w:r>
        <w:rPr>
          <w:spacing w:val="-8"/>
          <w:sz w:val="20"/>
        </w:rPr>
        <w:t> </w:t>
      </w:r>
      <w:r>
        <w:rPr>
          <w:sz w:val="20"/>
        </w:rPr>
        <w:t>injury.</w:t>
      </w:r>
    </w:p>
    <w:p>
      <w:pPr>
        <w:pStyle w:val="BodyText"/>
        <w:spacing w:before="11"/>
        <w:rPr>
          <w:sz w:val="19"/>
        </w:rPr>
      </w:pPr>
    </w:p>
    <w:p>
      <w:pPr>
        <w:pStyle w:val="BodyText"/>
        <w:ind w:left="270" w:right="676"/>
        <w:jc w:val="both"/>
      </w:pPr>
      <w:r>
        <w:rPr/>
        <w:t>The most common broad sites were the back, the right upper limb and neck, the left upper limb and in some cases only the neck. Of those musicians who reported pain or injury, less tan of 50% of them reported they were fully </w:t>
      </w:r>
      <w:r>
        <w:rPr>
          <w:spacing w:val="35"/>
        </w:rPr>
        <w:t> </w:t>
      </w:r>
      <w:r>
        <w:rPr/>
        <w:t>recovered.</w:t>
      </w:r>
    </w:p>
    <w:p>
      <w:pPr>
        <w:spacing w:line="183" w:lineRule="exact" w:before="0"/>
        <w:ind w:left="270" w:right="0" w:firstLine="0"/>
        <w:jc w:val="both"/>
        <w:rPr>
          <w:sz w:val="16"/>
        </w:rPr>
      </w:pPr>
      <w:r>
        <w:rPr>
          <w:sz w:val="16"/>
        </w:rPr>
        <w:t>[1]</w:t>
      </w:r>
    </w:p>
    <w:p>
      <w:pPr>
        <w:pStyle w:val="BodyText"/>
        <w:ind w:left="270" w:right="676" w:firstLine="426"/>
        <w:jc w:val="both"/>
      </w:pPr>
      <w:r>
        <w:rPr/>
        <w:t>The publication </w:t>
      </w:r>
      <w:r>
        <w:rPr>
          <w:i/>
        </w:rPr>
        <w:t>The value of health screening in music </w:t>
      </w:r>
      <w:r>
        <w:rPr>
          <w:i/>
        </w:rPr>
        <w:t>schools and conservatories </w:t>
      </w:r>
      <w:r>
        <w:rPr>
          <w:sz w:val="16"/>
        </w:rPr>
        <w:t>[2] </w:t>
      </w:r>
      <w:r>
        <w:rPr/>
        <w:t>of 2013 also found in Pub Med refers the interest for increasing the number of investigations and the development of special programs about health for musicians, there is exposed that it is essential to use an interdisciplinary approximation as well as the production of programs of medical evaluation specific for musicians.</w:t>
      </w:r>
    </w:p>
    <w:p>
      <w:pPr>
        <w:spacing w:before="0"/>
        <w:ind w:left="270" w:right="676" w:firstLine="426"/>
        <w:jc w:val="both"/>
        <w:rPr>
          <w:sz w:val="20"/>
        </w:rPr>
      </w:pPr>
      <w:r>
        <w:rPr>
          <w:sz w:val="20"/>
        </w:rPr>
        <w:t>In the work </w:t>
      </w:r>
      <w:r>
        <w:rPr>
          <w:i/>
          <w:sz w:val="20"/>
        </w:rPr>
        <w:t>“Lesiones músculo-esqueléticas en </w:t>
      </w:r>
      <w:r>
        <w:rPr>
          <w:i/>
          <w:sz w:val="20"/>
        </w:rPr>
        <w:t>pianístas y técnica ergonómica de ejecución” </w:t>
      </w:r>
      <w:r>
        <w:rPr>
          <w:sz w:val="20"/>
        </w:rPr>
        <w:t>(Musculoskeletal injuries in pianists and ergonomic playing tecnique) </w:t>
      </w:r>
      <w:r>
        <w:rPr>
          <w:sz w:val="16"/>
        </w:rPr>
        <w:t>[3] </w:t>
      </w:r>
      <w:r>
        <w:rPr>
          <w:sz w:val="20"/>
        </w:rPr>
        <w:t>published by the University of  Cuenca, Ecuador were found the following</w:t>
      </w:r>
      <w:r>
        <w:rPr>
          <w:spacing w:val="-22"/>
          <w:sz w:val="20"/>
        </w:rPr>
        <w:t> </w:t>
      </w:r>
      <w:r>
        <w:rPr>
          <w:sz w:val="20"/>
        </w:rPr>
        <w:t>results:</w:t>
      </w:r>
    </w:p>
    <w:p>
      <w:pPr>
        <w:pStyle w:val="ListParagraph"/>
        <w:numPr>
          <w:ilvl w:val="0"/>
          <w:numId w:val="137"/>
        </w:numPr>
        <w:tabs>
          <w:tab w:pos="979" w:val="left" w:leader="none"/>
        </w:tabs>
        <w:spacing w:line="240" w:lineRule="auto" w:before="0" w:after="0"/>
        <w:ind w:left="990" w:right="675" w:hanging="360"/>
        <w:jc w:val="both"/>
        <w:rPr>
          <w:sz w:val="20"/>
        </w:rPr>
      </w:pPr>
      <w:r>
        <w:rPr>
          <w:sz w:val="20"/>
        </w:rPr>
        <w:t>The interpretation of any musical instrument can produce a musculoskeletal injury with a posible prevalence that goes from 32 to 78 % independently of the instrument</w:t>
      </w:r>
      <w:r>
        <w:rPr>
          <w:spacing w:val="-16"/>
          <w:sz w:val="20"/>
        </w:rPr>
        <w:t> </w:t>
      </w:r>
      <w:r>
        <w:rPr>
          <w:sz w:val="20"/>
        </w:rPr>
        <w:t>itself.</w:t>
      </w:r>
    </w:p>
    <w:p>
      <w:pPr>
        <w:pStyle w:val="ListParagraph"/>
        <w:numPr>
          <w:ilvl w:val="0"/>
          <w:numId w:val="137"/>
        </w:numPr>
        <w:tabs>
          <w:tab w:pos="979" w:val="left" w:leader="none"/>
        </w:tabs>
        <w:spacing w:line="240" w:lineRule="auto" w:before="0" w:after="0"/>
        <w:ind w:left="990" w:right="680" w:hanging="360"/>
        <w:jc w:val="both"/>
        <w:rPr>
          <w:sz w:val="20"/>
        </w:rPr>
      </w:pPr>
      <w:r>
        <w:rPr>
          <w:sz w:val="20"/>
        </w:rPr>
        <w:t>Musculoskeletal injuries are more common in women.</w:t>
      </w:r>
    </w:p>
    <w:p>
      <w:pPr>
        <w:pStyle w:val="ListParagraph"/>
        <w:numPr>
          <w:ilvl w:val="0"/>
          <w:numId w:val="137"/>
        </w:numPr>
        <w:tabs>
          <w:tab w:pos="979" w:val="left" w:leader="none"/>
        </w:tabs>
        <w:spacing w:line="240" w:lineRule="auto" w:before="0" w:after="0"/>
        <w:ind w:left="990" w:right="677" w:hanging="360"/>
        <w:jc w:val="both"/>
        <w:rPr>
          <w:sz w:val="20"/>
        </w:rPr>
      </w:pPr>
      <w:r>
        <w:rPr>
          <w:sz w:val="20"/>
        </w:rPr>
        <w:t>The most affected regions are the trunk and upper limbs.</w:t>
      </w:r>
    </w:p>
    <w:p>
      <w:pPr>
        <w:pStyle w:val="ListParagraph"/>
        <w:numPr>
          <w:ilvl w:val="0"/>
          <w:numId w:val="137"/>
        </w:numPr>
        <w:tabs>
          <w:tab w:pos="979" w:val="left" w:leader="none"/>
        </w:tabs>
        <w:spacing w:line="240" w:lineRule="auto" w:before="0" w:after="0"/>
        <w:ind w:left="990" w:right="678" w:hanging="360"/>
        <w:jc w:val="both"/>
        <w:rPr>
          <w:sz w:val="20"/>
        </w:rPr>
      </w:pPr>
      <w:r>
        <w:rPr>
          <w:sz w:val="20"/>
        </w:rPr>
        <w:t>The musculoskeletal disorders related to the instrumental practice have a trend to the chronification.</w:t>
      </w:r>
    </w:p>
    <w:p>
      <w:pPr>
        <w:pStyle w:val="BodyText"/>
        <w:ind w:left="270" w:right="677"/>
        <w:jc w:val="both"/>
      </w:pPr>
      <w:r>
        <w:rPr/>
        <w:t>The pathologies with major presence among the 123 pianists taken of the University of Cuenca were the following ones:</w:t>
      </w:r>
    </w:p>
    <w:p>
      <w:pPr>
        <w:pStyle w:val="BodyText"/>
        <w:ind w:left="270"/>
      </w:pPr>
      <w:r>
        <w:rPr/>
        <w:drawing>
          <wp:inline distT="0" distB="0" distL="0" distR="0">
            <wp:extent cx="2568237" cy="1368171"/>
            <wp:effectExtent l="0" t="0" r="0" b="0"/>
            <wp:docPr id="649" name="image384.jpeg" descr=""/>
            <wp:cNvGraphicFramePr>
              <a:graphicFrameLocks noChangeAspect="1"/>
            </wp:cNvGraphicFramePr>
            <a:graphic>
              <a:graphicData uri="http://schemas.openxmlformats.org/drawingml/2006/picture">
                <pic:pic>
                  <pic:nvPicPr>
                    <pic:cNvPr id="650" name="image384.jpeg"/>
                    <pic:cNvPicPr/>
                  </pic:nvPicPr>
                  <pic:blipFill>
                    <a:blip r:embed="rId630" cstate="print"/>
                    <a:stretch>
                      <a:fillRect/>
                    </a:stretch>
                  </pic:blipFill>
                  <pic:spPr>
                    <a:xfrm>
                      <a:off x="0" y="0"/>
                      <a:ext cx="2568237" cy="1368171"/>
                    </a:xfrm>
                    <a:prstGeom prst="rect">
                      <a:avLst/>
                    </a:prstGeom>
                  </pic:spPr>
                </pic:pic>
              </a:graphicData>
            </a:graphic>
          </wp:inline>
        </w:drawing>
      </w:r>
      <w:r>
        <w:rPr/>
      </w:r>
    </w:p>
    <w:p>
      <w:pPr>
        <w:spacing w:before="11"/>
        <w:ind w:left="1592" w:right="671" w:hanging="1311"/>
        <w:jc w:val="left"/>
        <w:rPr>
          <w:sz w:val="16"/>
        </w:rPr>
      </w:pPr>
      <w:r>
        <w:rPr>
          <w:sz w:val="16"/>
        </w:rPr>
        <w:t>Fig. 1 Clinical diagnosis of the painists with Musculoskeletal Injuries in the University of Cuenca march-2010.</w:t>
      </w:r>
    </w:p>
    <w:p>
      <w:pPr>
        <w:spacing w:after="0"/>
        <w:jc w:val="left"/>
        <w:rPr>
          <w:sz w:val="16"/>
        </w:rPr>
        <w:sectPr>
          <w:type w:val="continuous"/>
          <w:pgSz w:w="12240" w:h="15840"/>
          <w:pgMar w:top="1500" w:bottom="280" w:left="580" w:right="220"/>
          <w:cols w:num="2" w:equalWidth="0">
            <w:col w:w="5191" w:space="433"/>
            <w:col w:w="5816"/>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5"/>
        <w:rPr>
          <w:sz w:val="22"/>
        </w:rPr>
      </w:pPr>
    </w:p>
    <w:p>
      <w:pPr>
        <w:pStyle w:val="BodyText"/>
        <w:ind w:left="270"/>
        <w:jc w:val="both"/>
      </w:pPr>
      <w:r>
        <w:rPr/>
        <w:t>The author of the investigation made in the University of Cuenca contributes the following comment that forms a part of the conclusion and results obtained in this publication.</w:t>
      </w:r>
    </w:p>
    <w:p>
      <w:pPr>
        <w:spacing w:before="0"/>
        <w:ind w:left="270" w:right="0" w:firstLine="426"/>
        <w:jc w:val="both"/>
        <w:rPr>
          <w:sz w:val="16"/>
        </w:rPr>
      </w:pPr>
      <w:r>
        <w:rPr>
          <w:i/>
          <w:sz w:val="20"/>
        </w:rPr>
        <w:t>“As well, this information proves the needs of the </w:t>
      </w:r>
      <w:r>
        <w:rPr>
          <w:i/>
          <w:sz w:val="20"/>
        </w:rPr>
        <w:t>educational institutions like the University of Cuenca, which infrastructure presents deficiencies for the musical education and the control of the environmental risk factors (on what they have a direct influence). Like comment, the own author of this thesis have a classroom for the inadequate education of the piano (of 2 square meters, without sonorous isolation, etc.). There is demonstrated the need to include the study of the occupational diseases in the plans of education; in order to consolidate a preventive vision. This study must be directed not only for musicians or scenic artists, but to the majority of professions...”</w:t>
      </w:r>
      <w:r>
        <w:rPr>
          <w:sz w:val="16"/>
        </w:rPr>
        <w:t>[3]</w:t>
      </w:r>
    </w:p>
    <w:p>
      <w:pPr>
        <w:pStyle w:val="BodyText"/>
        <w:spacing w:before="2"/>
      </w:pPr>
    </w:p>
    <w:p>
      <w:pPr>
        <w:pStyle w:val="Heading4"/>
        <w:numPr>
          <w:ilvl w:val="0"/>
          <w:numId w:val="136"/>
        </w:numPr>
        <w:tabs>
          <w:tab w:pos="556" w:val="left" w:leader="none"/>
        </w:tabs>
        <w:spacing w:line="240" w:lineRule="auto" w:before="0" w:after="0"/>
        <w:ind w:left="555" w:right="0" w:hanging="285"/>
        <w:jc w:val="both"/>
      </w:pPr>
      <w:r>
        <w:rPr/>
        <w:t>RESULTS AND</w:t>
      </w:r>
      <w:r>
        <w:rPr>
          <w:spacing w:val="-5"/>
        </w:rPr>
        <w:t> </w:t>
      </w:r>
      <w:r>
        <w:rPr/>
        <w:t>DISCUSSION</w:t>
      </w:r>
    </w:p>
    <w:p>
      <w:pPr>
        <w:pStyle w:val="BodyText"/>
        <w:spacing w:before="9"/>
        <w:rPr>
          <w:b/>
          <w:sz w:val="19"/>
        </w:rPr>
      </w:pPr>
    </w:p>
    <w:p>
      <w:pPr>
        <w:pStyle w:val="BodyText"/>
        <w:spacing w:before="1"/>
        <w:ind w:left="270"/>
        <w:jc w:val="both"/>
      </w:pPr>
      <w:r>
        <w:rPr/>
        <w:t>With the review and analysis of the different bibliographical sources it is possible to determine that the implementation of ergonomic methods in the instrumental practice is feasible and necessary.</w:t>
      </w:r>
    </w:p>
    <w:p>
      <w:pPr>
        <w:pStyle w:val="BodyText"/>
        <w:tabs>
          <w:tab w:pos="2797" w:val="left" w:leader="none"/>
        </w:tabs>
        <w:ind w:left="270" w:firstLine="426"/>
        <w:jc w:val="both"/>
      </w:pPr>
      <w:r>
        <w:rPr/>
        <w:t>Inside the curriula of music career in Mexico, universities as Universidad de Guadalajara, Universidad de Aguascalientes and the Escuela Superior de Música UNAM were not found any academic program for the knowledge of the ergonomics; only one institution (UNAM) were found  the course of Direction of Instrumental Ensembles, in which there is an approaching to the aspects related to the applied ergonomics in music. With the review of some programs of educational institutions located out of Mexico, the Conservatorio Superior de Música de Salamanca, Spain; have a</w:t>
      </w:r>
      <w:r>
        <w:rPr>
          <w:spacing w:val="13"/>
        </w:rPr>
        <w:t> </w:t>
      </w:r>
      <w:r>
        <w:rPr/>
        <w:t>course</w:t>
      </w:r>
      <w:r>
        <w:rPr>
          <w:spacing w:val="5"/>
        </w:rPr>
        <w:t> </w:t>
      </w:r>
      <w:r>
        <w:rPr/>
        <w:t>called</w:t>
        <w:tab/>
        <w:t>“ Ergonomics</w:t>
      </w:r>
      <w:r>
        <w:rPr>
          <w:spacing w:val="9"/>
        </w:rPr>
        <w:t> </w:t>
      </w:r>
      <w:r>
        <w:rPr/>
        <w:t>and</w:t>
      </w:r>
      <w:r>
        <w:rPr>
          <w:spacing w:val="5"/>
        </w:rPr>
        <w:t> </w:t>
      </w:r>
      <w:r>
        <w:rPr/>
        <w:t>Prevention</w:t>
      </w:r>
      <w:r>
        <w:rPr>
          <w:w w:val="100"/>
        </w:rPr>
        <w:t> </w:t>
      </w:r>
      <w:r>
        <w:rPr/>
        <w:t>of Musculoskeletal</w:t>
      </w:r>
      <w:r>
        <w:rPr>
          <w:spacing w:val="-13"/>
        </w:rPr>
        <w:t> </w:t>
      </w:r>
      <w:r>
        <w:rPr/>
        <w:t>Injuries”.</w:t>
      </w:r>
    </w:p>
    <w:p>
      <w:pPr>
        <w:pStyle w:val="BodyText"/>
        <w:ind w:left="270" w:right="1" w:firstLine="426"/>
        <w:jc w:val="both"/>
      </w:pPr>
      <w:r>
        <w:rPr/>
        <w:t>Also were found publications and institutions specialized in the health care of musicians, for example;  the</w:t>
      </w:r>
    </w:p>
    <w:p>
      <w:pPr>
        <w:pStyle w:val="BodyText"/>
        <w:spacing w:line="229" w:lineRule="exact"/>
        <w:ind w:left="270"/>
        <w:jc w:val="both"/>
      </w:pPr>
      <w:r>
        <w:rPr/>
        <w:t>P.A.M.A. Performing Arts Medicine Association.</w:t>
      </w:r>
    </w:p>
    <w:p>
      <w:pPr>
        <w:pStyle w:val="BodyText"/>
        <w:spacing w:before="3"/>
      </w:pPr>
    </w:p>
    <w:p>
      <w:pPr>
        <w:pStyle w:val="Heading4"/>
        <w:numPr>
          <w:ilvl w:val="1"/>
          <w:numId w:val="138"/>
        </w:numPr>
        <w:tabs>
          <w:tab w:pos="659" w:val="left" w:leader="none"/>
        </w:tabs>
        <w:spacing w:line="240" w:lineRule="auto" w:before="0" w:after="0"/>
        <w:ind w:left="555" w:right="0" w:hanging="285"/>
        <w:jc w:val="left"/>
      </w:pPr>
      <w:r>
        <w:rPr/>
        <w:t>Strategies for the design of the work area for musicians</w:t>
      </w:r>
    </w:p>
    <w:p>
      <w:pPr>
        <w:pStyle w:val="BodyText"/>
        <w:spacing w:before="9"/>
        <w:rPr>
          <w:b/>
          <w:sz w:val="19"/>
        </w:rPr>
      </w:pPr>
    </w:p>
    <w:p>
      <w:pPr>
        <w:pStyle w:val="BodyText"/>
        <w:spacing w:before="1"/>
        <w:ind w:left="270"/>
        <w:jc w:val="both"/>
      </w:pPr>
      <w:r>
        <w:rPr/>
        <w:t>About the practice of any musical instrument, is neccesary to consider environmental factors, as well as the infrastructure and auxiliary furniture (benches, easels, chairs, scores, condition of the musical instrument, etc).</w:t>
      </w:r>
    </w:p>
    <w:p>
      <w:pPr>
        <w:pStyle w:val="BodyText"/>
        <w:spacing w:before="11"/>
        <w:rPr>
          <w:sz w:val="19"/>
        </w:rPr>
      </w:pPr>
    </w:p>
    <w:p>
      <w:pPr>
        <w:pStyle w:val="ListParagraph"/>
        <w:numPr>
          <w:ilvl w:val="2"/>
          <w:numId w:val="138"/>
        </w:numPr>
        <w:tabs>
          <w:tab w:pos="722" w:val="left" w:leader="none"/>
        </w:tabs>
        <w:spacing w:line="240" w:lineRule="auto" w:before="0" w:after="0"/>
        <w:ind w:left="721" w:right="0" w:hanging="451"/>
        <w:jc w:val="both"/>
        <w:rPr>
          <w:sz w:val="20"/>
        </w:rPr>
      </w:pPr>
      <w:r>
        <w:rPr>
          <w:sz w:val="20"/>
        </w:rPr>
        <w:t>Enviromental factors in the practice</w:t>
      </w:r>
      <w:r>
        <w:rPr>
          <w:spacing w:val="-25"/>
          <w:sz w:val="20"/>
        </w:rPr>
        <w:t> </w:t>
      </w:r>
      <w:r>
        <w:rPr>
          <w:sz w:val="20"/>
        </w:rPr>
        <w:t>area</w:t>
      </w:r>
    </w:p>
    <w:p>
      <w:pPr>
        <w:pStyle w:val="BodyText"/>
        <w:spacing w:before="11"/>
        <w:rPr>
          <w:sz w:val="19"/>
        </w:rPr>
      </w:pPr>
    </w:p>
    <w:p>
      <w:pPr>
        <w:pStyle w:val="BodyText"/>
        <w:ind w:left="270" w:right="1"/>
        <w:jc w:val="both"/>
      </w:pPr>
      <w:r>
        <w:rPr/>
        <w:t>Musicians must be in a wide area and where a fresh environment should exist 22ºC approximately, it is necessary consider that the sensibility to the cold or heat is subjective; If necessary and posible it`s better to use air conditioning systems to generate this thermic balance.</w:t>
      </w:r>
    </w:p>
    <w:p>
      <w:pPr>
        <w:pStyle w:val="BodyText"/>
        <w:ind w:left="270" w:right="1" w:firstLine="426"/>
        <w:jc w:val="both"/>
      </w:pPr>
      <w:r>
        <w:rPr/>
        <w:t>The lighting is a very important environmental factor because affects directly in the visualization of the music scores or in the positioning precision of the hand when starts to play a chord instrument, for example.</w:t>
      </w:r>
    </w:p>
    <w:p>
      <w:pPr>
        <w:pStyle w:val="BodyText"/>
        <w:spacing w:before="74"/>
        <w:ind w:left="280" w:right="676" w:firstLine="426"/>
        <w:jc w:val="both"/>
      </w:pPr>
      <w:r>
        <w:rPr/>
        <w:br w:type="column"/>
      </w:r>
      <w:r>
        <w:rPr/>
        <w:t>A workstation that is not exposed to undesirable noises is necessary to generate a better concentration, it is  necessary to take in consideration that the first fundamental tool of every musician is the silence; with the absence of environmental undesirable noises performers can work in  the sonorous and aesthetic details that give to the instrumentalist the aptitude to cultivate his ear and to give to the musical piece the artistic value that</w:t>
      </w:r>
      <w:r>
        <w:rPr>
          <w:spacing w:val="-33"/>
        </w:rPr>
        <w:t> </w:t>
      </w:r>
      <w:r>
        <w:rPr/>
        <w:t>deserves.</w:t>
      </w:r>
    </w:p>
    <w:p>
      <w:pPr>
        <w:pStyle w:val="BodyText"/>
      </w:pPr>
    </w:p>
    <w:p>
      <w:pPr>
        <w:pStyle w:val="ListParagraph"/>
        <w:numPr>
          <w:ilvl w:val="2"/>
          <w:numId w:val="138"/>
        </w:numPr>
        <w:tabs>
          <w:tab w:pos="731" w:val="left" w:leader="none"/>
        </w:tabs>
        <w:spacing w:line="240" w:lineRule="auto" w:before="1" w:after="0"/>
        <w:ind w:left="730" w:right="0" w:hanging="450"/>
        <w:jc w:val="both"/>
        <w:rPr>
          <w:sz w:val="20"/>
        </w:rPr>
      </w:pPr>
      <w:r>
        <w:rPr>
          <w:sz w:val="20"/>
        </w:rPr>
        <w:t>Auxiliary Material for instrumental</w:t>
      </w:r>
      <w:r>
        <w:rPr>
          <w:spacing w:val="-29"/>
          <w:sz w:val="20"/>
        </w:rPr>
        <w:t> </w:t>
      </w:r>
      <w:r>
        <w:rPr>
          <w:sz w:val="20"/>
        </w:rPr>
        <w:t>practice.</w:t>
      </w:r>
    </w:p>
    <w:p>
      <w:pPr>
        <w:pStyle w:val="BodyText"/>
        <w:spacing w:before="11"/>
        <w:rPr>
          <w:sz w:val="19"/>
        </w:rPr>
      </w:pPr>
    </w:p>
    <w:p>
      <w:pPr>
        <w:pStyle w:val="BodyText"/>
        <w:ind w:left="280" w:right="676"/>
        <w:jc w:val="both"/>
      </w:pPr>
      <w:r>
        <w:rPr/>
        <w:t>The music scores, methods for technical development, musical theory books, etc., must be legible and to have good quality of printing, is neccesary this material represent an advantage to the performer at the moment of reading because is neccesary to understand easily all the information.</w:t>
      </w:r>
    </w:p>
    <w:p>
      <w:pPr>
        <w:pStyle w:val="BodyText"/>
        <w:ind w:left="280" w:right="675" w:firstLine="426"/>
        <w:jc w:val="both"/>
      </w:pPr>
      <w:r>
        <w:rPr/>
        <w:t>Chairs and adjustable benches are indispensable for the musical practice in those instruments in which its neccesary to keep a permanent position, it is necessary that these furniture are comfortable to the performer if possible they must be adjustable.</w:t>
      </w:r>
    </w:p>
    <w:p>
      <w:pPr>
        <w:pStyle w:val="BodyText"/>
        <w:ind w:left="280" w:right="677" w:firstLine="426"/>
        <w:jc w:val="both"/>
      </w:pPr>
      <w:r>
        <w:rPr/>
        <w:t>A major or minor elevation of the needed can result in inadequate positions and expose to the back or extremities  to a stress and constant tension and later develop injuries related to the instrumental</w:t>
      </w:r>
      <w:r>
        <w:rPr>
          <w:spacing w:val="-21"/>
        </w:rPr>
        <w:t> </w:t>
      </w:r>
      <w:r>
        <w:rPr/>
        <w:t>practice.</w:t>
      </w:r>
    </w:p>
    <w:p>
      <w:pPr>
        <w:pStyle w:val="BodyText"/>
        <w:spacing w:before="11"/>
        <w:rPr>
          <w:sz w:val="19"/>
        </w:rPr>
      </w:pPr>
    </w:p>
    <w:p>
      <w:pPr>
        <w:pStyle w:val="ListParagraph"/>
        <w:numPr>
          <w:ilvl w:val="2"/>
          <w:numId w:val="138"/>
        </w:numPr>
        <w:tabs>
          <w:tab w:pos="731" w:val="left" w:leader="none"/>
        </w:tabs>
        <w:spacing w:line="240" w:lineRule="auto" w:before="0" w:after="0"/>
        <w:ind w:left="730" w:right="0" w:hanging="450"/>
        <w:jc w:val="both"/>
        <w:rPr>
          <w:sz w:val="20"/>
        </w:rPr>
      </w:pPr>
      <w:r>
        <w:rPr>
          <w:sz w:val="20"/>
        </w:rPr>
        <w:t>Management of the time of practice and</w:t>
      </w:r>
      <w:r>
        <w:rPr>
          <w:spacing w:val="-18"/>
          <w:sz w:val="20"/>
        </w:rPr>
        <w:t> </w:t>
      </w:r>
      <w:r>
        <w:rPr>
          <w:sz w:val="20"/>
        </w:rPr>
        <w:t>rest.</w:t>
      </w:r>
    </w:p>
    <w:p>
      <w:pPr>
        <w:pStyle w:val="BodyText"/>
      </w:pPr>
    </w:p>
    <w:p>
      <w:pPr>
        <w:pStyle w:val="BodyText"/>
        <w:spacing w:before="1"/>
        <w:ind w:left="280" w:right="675"/>
        <w:jc w:val="both"/>
      </w:pPr>
      <w:r>
        <w:rPr/>
        <w:t>It is common that musicians dedicate up to 6 or 8 hours at day to the instrumental practice but, are the playing sessions well planned? And, it is strictly necessary to play the instrument all this time and in occasions without any kind of rest? Then, it´s necessary to start a careful planification of the total time per session of practice, as well as divide each one of these sessions in cycles and contemplate periods of rest.</w:t>
      </w:r>
    </w:p>
    <w:p>
      <w:pPr>
        <w:pStyle w:val="BodyText"/>
        <w:ind w:left="280" w:right="676" w:firstLine="426"/>
        <w:jc w:val="both"/>
      </w:pPr>
      <w:r>
        <w:rPr/>
        <w:t>About the distribution of time, is neccesary the design of short, medium and long term goals; by doing this the practice sessions can be shorter but more efficient.</w:t>
      </w:r>
    </w:p>
    <w:p>
      <w:pPr>
        <w:pStyle w:val="BodyText"/>
        <w:spacing w:before="2"/>
      </w:pPr>
    </w:p>
    <w:p>
      <w:pPr>
        <w:pStyle w:val="Heading4"/>
        <w:numPr>
          <w:ilvl w:val="0"/>
          <w:numId w:val="136"/>
        </w:numPr>
        <w:tabs>
          <w:tab w:pos="565" w:val="left" w:leader="none"/>
        </w:tabs>
        <w:spacing w:line="240" w:lineRule="auto" w:before="0" w:after="0"/>
        <w:ind w:left="564" w:right="0" w:hanging="294"/>
        <w:jc w:val="both"/>
      </w:pPr>
      <w:r>
        <w:rPr/>
        <w:t>CONCLUSIONS</w:t>
      </w:r>
    </w:p>
    <w:p>
      <w:pPr>
        <w:pStyle w:val="BodyText"/>
        <w:spacing w:before="9"/>
        <w:rPr>
          <w:b/>
          <w:sz w:val="19"/>
        </w:rPr>
      </w:pPr>
    </w:p>
    <w:p>
      <w:pPr>
        <w:pStyle w:val="BodyText"/>
        <w:spacing w:before="1"/>
        <w:ind w:left="280" w:right="676"/>
        <w:jc w:val="both"/>
      </w:pPr>
      <w:r>
        <w:rPr/>
        <w:t>The creation of a Musical Ergonomics program is neccesary to expand the horizon of ergonomic knowledge and generate new applications in other kind of activities not necessarily  of industrial type. The ergonomic design of areas for  musical practice help the professionals of music to have a scientific and verifiable approach inside their daily</w:t>
      </w:r>
      <w:r>
        <w:rPr>
          <w:spacing w:val="-35"/>
        </w:rPr>
        <w:t> </w:t>
      </w:r>
      <w:r>
        <w:rPr/>
        <w:t>practice.</w:t>
      </w:r>
    </w:p>
    <w:p>
      <w:pPr>
        <w:pStyle w:val="BodyText"/>
        <w:ind w:left="280" w:right="677" w:firstLine="426"/>
        <w:jc w:val="both"/>
      </w:pPr>
      <w:r>
        <w:rPr/>
        <w:t>Then, ergonomics can helps to artistic disciplines like music because repetitive movements can put in risk the integrity of the musculoskeletal system, for example.</w:t>
      </w:r>
    </w:p>
    <w:p>
      <w:pPr>
        <w:pStyle w:val="BodyText"/>
        <w:spacing w:before="2"/>
      </w:pPr>
    </w:p>
    <w:p>
      <w:pPr>
        <w:pStyle w:val="Heading4"/>
        <w:numPr>
          <w:ilvl w:val="0"/>
          <w:numId w:val="136"/>
        </w:numPr>
        <w:tabs>
          <w:tab w:pos="565" w:val="left" w:leader="none"/>
        </w:tabs>
        <w:spacing w:line="240" w:lineRule="auto" w:before="0" w:after="0"/>
        <w:ind w:left="564" w:right="0" w:hanging="284"/>
        <w:jc w:val="both"/>
      </w:pPr>
      <w:r>
        <w:rPr/>
        <w:t>REFERENCES</w:t>
      </w:r>
    </w:p>
    <w:p>
      <w:pPr>
        <w:pStyle w:val="BodyText"/>
        <w:spacing w:before="7"/>
        <w:rPr>
          <w:b/>
          <w:sz w:val="17"/>
        </w:rPr>
      </w:pPr>
    </w:p>
    <w:p>
      <w:pPr>
        <w:spacing w:before="0"/>
        <w:ind w:left="280" w:right="675" w:firstLine="0"/>
        <w:jc w:val="both"/>
        <w:rPr>
          <w:sz w:val="20"/>
        </w:rPr>
      </w:pPr>
      <w:r>
        <w:rPr>
          <w:sz w:val="20"/>
        </w:rPr>
        <w:t>[1] Article. </w:t>
      </w:r>
      <w:r>
        <w:rPr>
          <w:color w:val="0000FF"/>
          <w:sz w:val="20"/>
          <w:u w:val="single" w:color="0000FF"/>
        </w:rPr>
        <w:t>Ackermann B</w:t>
      </w:r>
      <w:r>
        <w:rPr>
          <w:position w:val="9"/>
          <w:sz w:val="13"/>
        </w:rPr>
        <w:t>1</w:t>
      </w:r>
      <w:r>
        <w:rPr>
          <w:sz w:val="20"/>
        </w:rPr>
        <w:t>, </w:t>
      </w:r>
      <w:r>
        <w:rPr>
          <w:color w:val="0000FF"/>
          <w:sz w:val="20"/>
          <w:u w:val="single" w:color="0000FF"/>
        </w:rPr>
        <w:t>Driscoll T</w:t>
      </w:r>
      <w:r>
        <w:rPr>
          <w:sz w:val="20"/>
        </w:rPr>
        <w:t>, </w:t>
      </w:r>
      <w:r>
        <w:rPr>
          <w:color w:val="0000FF"/>
          <w:sz w:val="20"/>
          <w:u w:val="single" w:color="0000FF"/>
        </w:rPr>
        <w:t>Kenny DT</w:t>
      </w:r>
      <w:r>
        <w:rPr>
          <w:sz w:val="20"/>
        </w:rPr>
        <w:t>. </w:t>
      </w:r>
      <w:r>
        <w:rPr>
          <w:i/>
          <w:sz w:val="20"/>
        </w:rPr>
        <w:t>“Musculoskeletal pain and injury in professional orchestral </w:t>
      </w:r>
      <w:r>
        <w:rPr>
          <w:i/>
          <w:sz w:val="20"/>
        </w:rPr>
        <w:t>musicians in Australia”. </w:t>
      </w:r>
      <w:r>
        <w:rPr>
          <w:sz w:val="20"/>
        </w:rPr>
        <w:t>Medline, Pubmed, december 2012.</w:t>
      </w:r>
    </w:p>
    <w:p>
      <w:pPr>
        <w:spacing w:after="0"/>
        <w:jc w:val="both"/>
        <w:rPr>
          <w:sz w:val="20"/>
        </w:rPr>
        <w:sectPr>
          <w:type w:val="continuous"/>
          <w:pgSz w:w="12240" w:h="15840"/>
          <w:pgMar w:top="1500" w:bottom="280" w:left="580" w:right="220"/>
          <w:cols w:num="2" w:equalWidth="0">
            <w:col w:w="5190" w:space="425"/>
            <w:col w:w="5825"/>
          </w:cols>
        </w:sectPr>
      </w:pPr>
    </w:p>
    <w:p>
      <w:pPr>
        <w:pStyle w:val="BodyText"/>
        <w:spacing w:before="10"/>
        <w:rPr>
          <w:sz w:val="14"/>
        </w:rPr>
      </w:pPr>
    </w:p>
    <w:p>
      <w:pPr>
        <w:spacing w:line="280" w:lineRule="auto" w:before="75"/>
        <w:ind w:left="270" w:right="6249" w:firstLine="0"/>
        <w:jc w:val="both"/>
        <w:rPr>
          <w:sz w:val="20"/>
        </w:rPr>
      </w:pPr>
      <w:r>
        <w:rPr>
          <w:sz w:val="20"/>
        </w:rPr>
        <w:t>[2] Article. Clark T, Williamon A, Redding E. </w:t>
      </w:r>
      <w:r>
        <w:rPr>
          <w:i/>
          <w:sz w:val="20"/>
        </w:rPr>
        <w:t>“The value of </w:t>
      </w:r>
      <w:r>
        <w:rPr>
          <w:i/>
          <w:sz w:val="20"/>
        </w:rPr>
        <w:t>health screening in music schools and conservatoires”. </w:t>
      </w:r>
      <w:r>
        <w:rPr>
          <w:sz w:val="20"/>
        </w:rPr>
        <w:t>Medline, Pubmed, february 2013.</w:t>
      </w:r>
    </w:p>
    <w:p>
      <w:pPr>
        <w:pStyle w:val="BodyText"/>
        <w:spacing w:before="4"/>
        <w:rPr>
          <w:sz w:val="24"/>
        </w:rPr>
      </w:pPr>
    </w:p>
    <w:p>
      <w:pPr>
        <w:spacing w:before="0"/>
        <w:ind w:left="270" w:right="6250" w:firstLine="50"/>
        <w:jc w:val="both"/>
        <w:rPr>
          <w:sz w:val="20"/>
        </w:rPr>
      </w:pPr>
      <w:r>
        <w:rPr>
          <w:sz w:val="20"/>
        </w:rPr>
        <w:t>[3] Lic. Oscar Santiago Vanegas Q. “</w:t>
      </w:r>
      <w:r>
        <w:rPr>
          <w:i/>
          <w:sz w:val="20"/>
        </w:rPr>
        <w:t>Lesiones músculo- </w:t>
      </w:r>
      <w:r>
        <w:rPr>
          <w:i/>
          <w:sz w:val="20"/>
        </w:rPr>
        <w:t>esqueléticas en pianístas y técnica ergonómica de ejecución”. </w:t>
      </w:r>
      <w:r>
        <w:rPr>
          <w:sz w:val="20"/>
        </w:rPr>
        <w:t>Facultad de Artes de la Universidad de Cuenca Ecuador, 2010.</w:t>
      </w:r>
    </w:p>
    <w:p>
      <w:pPr>
        <w:pStyle w:val="BodyText"/>
        <w:spacing w:before="11"/>
        <w:rPr>
          <w:sz w:val="19"/>
        </w:rPr>
      </w:pPr>
    </w:p>
    <w:p>
      <w:pPr>
        <w:spacing w:before="0"/>
        <w:ind w:left="270" w:right="6249" w:firstLine="0"/>
        <w:jc w:val="both"/>
        <w:rPr>
          <w:sz w:val="20"/>
        </w:rPr>
      </w:pPr>
      <w:r>
        <w:rPr>
          <w:sz w:val="20"/>
        </w:rPr>
        <w:t>[4] Article. Leaver R, Harris EC, Palmer KT. “</w:t>
      </w:r>
      <w:r>
        <w:rPr>
          <w:i/>
          <w:sz w:val="20"/>
        </w:rPr>
        <w:t>Musculoskeletal pain in elite professional musicians from </w:t>
      </w:r>
      <w:r>
        <w:rPr>
          <w:i/>
          <w:sz w:val="20"/>
        </w:rPr>
        <w:t>British symphony orchestras”. </w:t>
      </w:r>
      <w:r>
        <w:rPr>
          <w:sz w:val="20"/>
        </w:rPr>
        <w:t>october 2011.</w:t>
      </w:r>
    </w:p>
    <w:p>
      <w:pPr>
        <w:pStyle w:val="BodyText"/>
        <w:spacing w:before="11"/>
        <w:rPr>
          <w:sz w:val="19"/>
        </w:rPr>
      </w:pPr>
    </w:p>
    <w:p>
      <w:pPr>
        <w:spacing w:before="0"/>
        <w:ind w:left="270" w:right="6250" w:firstLine="0"/>
        <w:jc w:val="both"/>
        <w:rPr>
          <w:sz w:val="20"/>
        </w:rPr>
      </w:pPr>
      <w:r>
        <w:rPr>
          <w:sz w:val="20"/>
        </w:rPr>
        <w:t>[5] Article. Silva AG, Lã FM, Afreixo V. </w:t>
      </w:r>
      <w:r>
        <w:rPr>
          <w:i/>
          <w:sz w:val="20"/>
        </w:rPr>
        <w:t>“Pain prevalence </w:t>
      </w:r>
      <w:r>
        <w:rPr>
          <w:i/>
          <w:sz w:val="20"/>
        </w:rPr>
        <w:t>in instrumental musicians: a systematic review”. </w:t>
      </w:r>
      <w:r>
        <w:rPr>
          <w:sz w:val="20"/>
        </w:rPr>
        <w:t>Medline, Pubmed, march 2015.</w:t>
      </w:r>
    </w:p>
    <w:p>
      <w:pPr>
        <w:spacing w:before="40"/>
        <w:ind w:left="270" w:right="6250" w:firstLine="0"/>
        <w:jc w:val="both"/>
        <w:rPr>
          <w:sz w:val="20"/>
        </w:rPr>
      </w:pPr>
      <w:r>
        <w:rPr>
          <w:sz w:val="20"/>
        </w:rPr>
        <w:t>[6] Review article. Gemma Almonacid-Canseco, Isabel Gil- Beltrán, Irene López-Jorge, Inmaculada Bolancé-Ruiz. </w:t>
      </w:r>
      <w:r>
        <w:rPr>
          <w:i/>
          <w:sz w:val="20"/>
        </w:rPr>
        <w:t>“Trastornos músculo-esqueléticos en músicos profesionales: </w:t>
      </w:r>
      <w:r>
        <w:rPr>
          <w:i/>
          <w:sz w:val="20"/>
        </w:rPr>
        <w:t>revisión bibliográfica”. </w:t>
      </w:r>
      <w:hyperlink r:id="rId258">
        <w:r>
          <w:rPr>
            <w:sz w:val="20"/>
          </w:rPr>
          <w:t>www.</w:t>
        </w:r>
      </w:hyperlink>
      <w:r>
        <w:rPr>
          <w:sz w:val="20"/>
        </w:rPr>
        <w:t> scielo.isciii.es Med. segur. trab. vol.59 no.230 Madrid, january-march 2013</w:t>
      </w:r>
    </w:p>
    <w:p>
      <w:pPr>
        <w:pStyle w:val="BodyText"/>
        <w:spacing w:before="11"/>
        <w:rPr>
          <w:sz w:val="19"/>
        </w:rPr>
      </w:pPr>
    </w:p>
    <w:p>
      <w:pPr>
        <w:spacing w:before="0"/>
        <w:ind w:left="270" w:right="6307" w:firstLine="0"/>
        <w:jc w:val="left"/>
        <w:rPr>
          <w:sz w:val="20"/>
        </w:rPr>
      </w:pPr>
      <w:r>
        <w:rPr>
          <w:sz w:val="20"/>
        </w:rPr>
        <w:t>[7] </w:t>
      </w:r>
      <w:r>
        <w:rPr>
          <w:i/>
          <w:sz w:val="20"/>
        </w:rPr>
        <w:t>“Factores de riesgo del trabajo repetitivo”. </w:t>
      </w:r>
      <w:r>
        <w:rPr>
          <w:sz w:val="20"/>
        </w:rPr>
        <w:t>Instituto Nacional de Seguridad e Higiene en el Trabajo. Gobierno de España.</w:t>
      </w:r>
    </w:p>
    <w:p>
      <w:pPr>
        <w:pStyle w:val="BodyText"/>
      </w:pPr>
    </w:p>
    <w:p>
      <w:pPr>
        <w:pStyle w:val="BodyText"/>
        <w:spacing w:before="1"/>
        <w:ind w:left="270" w:right="6250"/>
        <w:jc w:val="both"/>
      </w:pPr>
      <w:r>
        <w:rPr/>
        <w:t>[8] J. Alberto Cruz G., Andrés Garnica G. “</w:t>
      </w:r>
      <w:r>
        <w:rPr>
          <w:i/>
        </w:rPr>
        <w:t>Ergonomía </w:t>
      </w:r>
      <w:r>
        <w:rPr>
          <w:i/>
        </w:rPr>
        <w:t>Aplicada”. </w:t>
      </w:r>
      <w:r>
        <w:rPr/>
        <w:t>Editorial Starbook printed in september 2011. ISBN 978-84-92650-87-3</w:t>
      </w:r>
    </w:p>
    <w:p>
      <w:pPr>
        <w:spacing w:after="0"/>
        <w:jc w:val="both"/>
        <w:sectPr>
          <w:pgSz w:w="12240" w:h="15840"/>
          <w:pgMar w:header="545" w:footer="852" w:top="1060" w:bottom="1040" w:left="580" w:right="220"/>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
        <w:rPr>
          <w:sz w:val="26"/>
        </w:rPr>
      </w:pPr>
    </w:p>
    <w:p>
      <w:pPr>
        <w:pStyle w:val="Heading1"/>
      </w:pPr>
      <w:r>
        <w:rPr/>
        <w:t>Quervaín Syndrome and use of Móbile devices.</w:t>
      </w:r>
    </w:p>
    <w:p>
      <w:pPr>
        <w:pStyle w:val="BodyText"/>
        <w:spacing w:before="9"/>
        <w:rPr>
          <w:b/>
          <w:sz w:val="19"/>
        </w:rPr>
      </w:pPr>
    </w:p>
    <w:p>
      <w:pPr>
        <w:spacing w:before="0"/>
        <w:ind w:left="270" w:right="18" w:firstLine="0"/>
        <w:jc w:val="both"/>
        <w:rPr>
          <w:i/>
          <w:sz w:val="20"/>
        </w:rPr>
      </w:pPr>
      <w:r>
        <w:rPr>
          <w:i/>
          <w:sz w:val="20"/>
        </w:rPr>
        <w:t>a) Dr. Pedro Wriu Valenzuela; b) Jorge Pastrana Zuñiga; c) </w:t>
      </w:r>
      <w:r>
        <w:rPr>
          <w:i/>
          <w:sz w:val="20"/>
        </w:rPr>
        <w:t>Jorge H. Viramontes Flores; d) Jose Napoleón Díaz Amaro;</w:t>
      </w:r>
    </w:p>
    <w:p>
      <w:pPr>
        <w:spacing w:line="229" w:lineRule="exact" w:before="0"/>
        <w:ind w:left="270" w:right="0" w:firstLine="0"/>
        <w:jc w:val="both"/>
        <w:rPr>
          <w:i/>
          <w:sz w:val="20"/>
        </w:rPr>
      </w:pPr>
      <w:r>
        <w:rPr>
          <w:i/>
          <w:sz w:val="20"/>
        </w:rPr>
        <w:t>e) Paula Trejo Gonzalez.</w:t>
      </w:r>
    </w:p>
    <w:p>
      <w:pPr>
        <w:pStyle w:val="BodyText"/>
        <w:spacing w:before="8"/>
        <w:rPr>
          <w:i/>
          <w:sz w:val="18"/>
        </w:rPr>
      </w:pPr>
    </w:p>
    <w:p>
      <w:pPr>
        <w:spacing w:before="1"/>
        <w:ind w:left="270" w:right="0" w:firstLine="0"/>
        <w:jc w:val="both"/>
        <w:rPr>
          <w:sz w:val="16"/>
        </w:rPr>
      </w:pPr>
      <w:r>
        <w:rPr>
          <w:position w:val="7"/>
          <w:sz w:val="10"/>
        </w:rPr>
        <w:t>a </w:t>
      </w:r>
      <w:r>
        <w:rPr>
          <w:sz w:val="16"/>
        </w:rPr>
        <w:t>Maestro de Ergonomía de la UANE, campus Matamoros. </w:t>
      </w:r>
      <w:hyperlink r:id="rId332">
        <w:r>
          <w:rPr>
            <w:sz w:val="16"/>
          </w:rPr>
          <w:t>pedrowriu@yahoo.com.mx.</w:t>
        </w:r>
      </w:hyperlink>
      <w:r>
        <w:rPr>
          <w:sz w:val="16"/>
        </w:rPr>
        <w:t> Monterrey NL México.</w:t>
      </w:r>
    </w:p>
    <w:p>
      <w:pPr>
        <w:spacing w:line="184" w:lineRule="exact" w:before="1"/>
        <w:ind w:left="270" w:right="1" w:firstLine="0"/>
        <w:jc w:val="both"/>
        <w:rPr>
          <w:sz w:val="16"/>
        </w:rPr>
      </w:pPr>
      <w:r>
        <w:rPr>
          <w:position w:val="7"/>
          <w:sz w:val="10"/>
        </w:rPr>
        <w:t>b-e </w:t>
      </w:r>
      <w:r>
        <w:rPr>
          <w:sz w:val="16"/>
        </w:rPr>
        <w:t>Alumnos de la Maestría en Salud Ocupacional UANE,  campus Matamoros Tamps.</w:t>
      </w:r>
    </w:p>
    <w:p>
      <w:pPr>
        <w:pStyle w:val="BodyText"/>
        <w:spacing w:before="2"/>
      </w:pPr>
    </w:p>
    <w:p>
      <w:pPr>
        <w:pStyle w:val="Heading4"/>
      </w:pPr>
      <w:r>
        <w:rPr/>
        <w:pict>
          <v:line style="position:absolute;mso-position-horizontal-relative:page;mso-position-vertical-relative:paragraph;z-index:15616" from="41.040001pt,13.265943pt" to="289.860001pt,13.265943pt" stroked="true" strokeweight="1.5pt" strokecolor="#000000">
            <w10:wrap type="none"/>
          </v:line>
        </w:pict>
      </w:r>
      <w:r>
        <w:rPr/>
        <w:t>Resumen</w:t>
      </w:r>
    </w:p>
    <w:p>
      <w:pPr>
        <w:pStyle w:val="BodyText"/>
        <w:spacing w:before="47"/>
        <w:ind w:left="270" w:right="16"/>
        <w:jc w:val="both"/>
      </w:pPr>
      <w:r>
        <w:rPr/>
        <w:t>Actualmente, el uso de los teléfonos celulares y otros dispositivos móviles se ha incrementado entre la población  en general en nuestro país. Derivado de que durante la utilización de dichos dispositivos se aplican movimientos repetitivos y uso de fuerza en los dedos, principalmente el pulgar, se desarrolló una encuesta para evaluar el uso de los dispositivos y valorar la presencia de sintomatología relacionada con el Síndrome de Quervaín, la cual es una patología que se presenta como una tenosinovitis estenosante en dicho dedo. Contestaron un total de 200 personas, 55% mujeres y 45% hombres, el 72% contestó que realizan movimientos del pulgar (es) que se repiten más de 2 veces por minuto, el 62 % usa intensamente los dedos de las manos al escribir o “whatsapear” , el 50% inclina demasiado el cuello, el 69% usa el pulgar y el índice más frecuentemente que otros dedos utilizando el dispositivo, el 51% presenta dolor en el pulgar al hacer puño o agarrar objetos, y el 60% tiene entumecimiento en dicho dedo. La conclusión es que  las personas que usan los dispositivos móviles y teclean frecuentemente ya presentan sintomatología dolorosa principalmente en el dedo pulgar conocida como Síndrome de Quervain, por lo que se deben realizar actividades preventivas encaminadas a disminuir el uso y abuso de los dispositivos móviles entre los estudiantes y profesionistas en el noreste de nuestro</w:t>
      </w:r>
      <w:r>
        <w:rPr>
          <w:spacing w:val="-7"/>
        </w:rPr>
        <w:t> </w:t>
      </w:r>
      <w:r>
        <w:rPr/>
        <w:t>país.</w:t>
      </w:r>
    </w:p>
    <w:p>
      <w:pPr>
        <w:pStyle w:val="BodyText"/>
      </w:pPr>
    </w:p>
    <w:p>
      <w:pPr>
        <w:pStyle w:val="BodyText"/>
        <w:spacing w:before="1"/>
        <w:ind w:left="270" w:right="21"/>
        <w:jc w:val="both"/>
      </w:pPr>
      <w:r>
        <w:rPr>
          <w:b/>
        </w:rPr>
        <w:t>Palabras clave</w:t>
      </w:r>
      <w:r>
        <w:rPr/>
        <w:t>—Dispositivos móviles, Movimientos repetitivos, Sindrome de Quervaín.</w:t>
      </w:r>
    </w:p>
    <w:p>
      <w:pPr>
        <w:pStyle w:val="BodyText"/>
        <w:spacing w:before="4"/>
      </w:pPr>
    </w:p>
    <w:p>
      <w:pPr>
        <w:pStyle w:val="Heading5"/>
        <w:rPr>
          <w:i/>
        </w:rPr>
      </w:pPr>
      <w:r>
        <w:rPr/>
        <w:pict>
          <v:line style="position:absolute;mso-position-horizontal-relative:page;mso-position-vertical-relative:paragraph;z-index:15640" from="41.040001pt,13.206945pt" to="289.860001pt,13.206945pt" stroked="true" strokeweight="1.5pt" strokecolor="#000000">
            <w10:wrap type="none"/>
          </v:line>
        </w:pict>
      </w:r>
      <w:r>
        <w:rPr>
          <w:i/>
        </w:rPr>
        <w:t>Abstract</w:t>
      </w:r>
    </w:p>
    <w:p>
      <w:pPr>
        <w:pStyle w:val="BodyText"/>
        <w:spacing w:before="46"/>
        <w:ind w:left="270" w:right="18"/>
        <w:jc w:val="both"/>
      </w:pPr>
      <w:r>
        <w:rPr/>
        <w:t>Actually, the use of cell phones and other mobile devices,  has increased among the general population in our country. Because of during the use of such devices repetitive movements are applied and use of strength over the fingers, mainly the thumb, an open survey was developed to evaluate the use of the devices and assess the presence of symptoms related Quervain syndrome, which is a musculoskeletal disease presenting as a stenosing tenosynovitis in the thumb. Answered a total of 200 people, 55% female and 45% male, 72% answered that perform movements of the thumb that are repeated more than 2 times per minute, 62% used intensively fingers writing or "whatsapear," 50% lean too neck, 69% use the thumb and index fingers more often than others using the device, 51% have sore thumb when making a fist or grasp objects, and 60% have numbness in the toe. The bottom </w:t>
      </w:r>
      <w:r>
        <w:rPr>
          <w:spacing w:val="20"/>
        </w:rPr>
        <w:t> </w:t>
      </w:r>
      <w:r>
        <w:rPr/>
        <w:t>line</w:t>
      </w:r>
    </w:p>
    <w:p>
      <w:pPr>
        <w:pStyle w:val="BodyText"/>
        <w:spacing w:before="74"/>
        <w:ind w:left="270" w:right="676"/>
        <w:jc w:val="both"/>
      </w:pPr>
      <w:r>
        <w:rPr/>
        <w:br w:type="column"/>
      </w:r>
      <w:r>
        <w:rPr/>
        <w:t>is that people who use mobile devices and often painful symptoms typed and presented mainly in the thumb known as Quervain syndrome, so to perform preventive measures designed to reduce the use and abuse of mobile devices among students and professionals in northeastern Mexico.</w:t>
      </w:r>
    </w:p>
    <w:p>
      <w:pPr>
        <w:pStyle w:val="BodyText"/>
      </w:pPr>
    </w:p>
    <w:p>
      <w:pPr>
        <w:spacing w:before="1"/>
        <w:ind w:left="270" w:right="677" w:firstLine="0"/>
        <w:jc w:val="both"/>
        <w:rPr>
          <w:i/>
          <w:sz w:val="20"/>
        </w:rPr>
      </w:pPr>
      <w:r>
        <w:rPr>
          <w:b/>
          <w:i/>
          <w:sz w:val="20"/>
        </w:rPr>
        <w:t>Keywords</w:t>
      </w:r>
      <w:r>
        <w:rPr>
          <w:i/>
          <w:sz w:val="20"/>
        </w:rPr>
        <w:t>— Mobile devices, Repetitive Movements, </w:t>
      </w:r>
      <w:r>
        <w:rPr>
          <w:i/>
          <w:sz w:val="20"/>
        </w:rPr>
        <w:t>Quervain Syndrome.</w:t>
      </w:r>
    </w:p>
    <w:p>
      <w:pPr>
        <w:pStyle w:val="BodyText"/>
        <w:rPr>
          <w:i/>
        </w:rPr>
      </w:pPr>
    </w:p>
    <w:p>
      <w:pPr>
        <w:pStyle w:val="BodyText"/>
        <w:spacing w:before="1"/>
        <w:ind w:left="270" w:right="676"/>
        <w:jc w:val="both"/>
      </w:pPr>
      <w:r>
        <w:rPr>
          <w:b/>
          <w:i/>
        </w:rPr>
        <w:t>Relevance for Ergonomics</w:t>
      </w:r>
      <w:r>
        <w:rPr/>
        <w:t>: The use of devices and work with using fingers and hands increse ergonomic injuries among workers in a short time.</w:t>
      </w:r>
    </w:p>
    <w:p>
      <w:pPr>
        <w:pStyle w:val="BodyText"/>
        <w:spacing w:before="2"/>
      </w:pPr>
    </w:p>
    <w:p>
      <w:pPr>
        <w:pStyle w:val="Heading4"/>
        <w:numPr>
          <w:ilvl w:val="0"/>
          <w:numId w:val="139"/>
        </w:numPr>
        <w:tabs>
          <w:tab w:pos="473" w:val="left" w:leader="none"/>
        </w:tabs>
        <w:spacing w:line="229" w:lineRule="exact" w:before="0" w:after="0"/>
        <w:ind w:left="472" w:right="0" w:hanging="202"/>
        <w:jc w:val="both"/>
      </w:pPr>
      <w:r>
        <w:rPr/>
        <w:t>INTRODUCTION</w:t>
      </w:r>
    </w:p>
    <w:p>
      <w:pPr>
        <w:pStyle w:val="BodyText"/>
        <w:ind w:left="270" w:right="676"/>
        <w:jc w:val="both"/>
      </w:pPr>
      <w:r>
        <w:rPr/>
        <w:t>Nowadays, the use of cell phones and other mobile devices, such as iPad, tablets, etc., has increased among the general population in our country, and the use of social networking through them has allowed their wide use, particularly among students, who in a short time they are going to work in companies and will be exposed to various risks, including the use and abuse of their fingers and hands on  workstations, thus increasing ergonomic injuries in short time.</w:t>
      </w:r>
    </w:p>
    <w:p>
      <w:pPr>
        <w:pStyle w:val="BodyText"/>
      </w:pPr>
    </w:p>
    <w:p>
      <w:pPr>
        <w:pStyle w:val="BodyText"/>
        <w:spacing w:before="2"/>
      </w:pPr>
    </w:p>
    <w:p>
      <w:pPr>
        <w:pStyle w:val="Heading4"/>
        <w:numPr>
          <w:ilvl w:val="0"/>
          <w:numId w:val="139"/>
        </w:numPr>
        <w:tabs>
          <w:tab w:pos="471" w:val="left" w:leader="none"/>
        </w:tabs>
        <w:spacing w:line="240" w:lineRule="auto" w:before="0" w:after="0"/>
        <w:ind w:left="470" w:right="0" w:hanging="200"/>
        <w:jc w:val="both"/>
      </w:pPr>
      <w:r>
        <w:rPr/>
        <w:t>JUSTIFICATION</w:t>
      </w:r>
    </w:p>
    <w:p>
      <w:pPr>
        <w:pStyle w:val="BodyText"/>
        <w:spacing w:before="8"/>
        <w:rPr>
          <w:b/>
          <w:sz w:val="19"/>
        </w:rPr>
      </w:pPr>
    </w:p>
    <w:p>
      <w:pPr>
        <w:pStyle w:val="BodyText"/>
        <w:ind w:left="270" w:right="676"/>
        <w:jc w:val="both"/>
      </w:pPr>
      <w:r>
        <w:rPr/>
        <w:t>Derived than during the use of such devices apply repetitive movements and use of finger strength, mainly the thumb, was developed and emailed an open survey to residents of the northeast region, to evaluate the use of devices and assess the presence of symptoms related with the Quervain syndrome. This syndrome is a musculoskeletal disease presenting as a stenosing tenosynovitis in the thumb and whose prevalence is higher in industries of sewing and assembly of vehicles. However, this condition is not currently associated with the use of cell phones and other devices.</w:t>
      </w:r>
    </w:p>
    <w:p>
      <w:pPr>
        <w:pStyle w:val="BodyText"/>
      </w:pPr>
    </w:p>
    <w:p>
      <w:pPr>
        <w:pStyle w:val="BodyText"/>
        <w:spacing w:before="2"/>
      </w:pPr>
    </w:p>
    <w:p>
      <w:pPr>
        <w:pStyle w:val="Heading4"/>
        <w:numPr>
          <w:ilvl w:val="0"/>
          <w:numId w:val="139"/>
        </w:numPr>
        <w:tabs>
          <w:tab w:pos="471" w:val="left" w:leader="none"/>
        </w:tabs>
        <w:spacing w:line="240" w:lineRule="auto" w:before="0" w:after="0"/>
        <w:ind w:left="470" w:right="0" w:hanging="200"/>
        <w:jc w:val="both"/>
      </w:pPr>
      <w:r>
        <w:rPr/>
        <w:t>METHODOLOGY</w:t>
      </w:r>
    </w:p>
    <w:p>
      <w:pPr>
        <w:pStyle w:val="BodyText"/>
        <w:spacing w:before="8"/>
        <w:rPr>
          <w:b/>
          <w:sz w:val="19"/>
        </w:rPr>
      </w:pPr>
    </w:p>
    <w:p>
      <w:pPr>
        <w:pStyle w:val="BodyText"/>
        <w:ind w:left="270" w:right="676"/>
        <w:jc w:val="both"/>
      </w:pPr>
      <w:r>
        <w:rPr/>
        <w:t>200 people surveyed, 111 women (55%) and 89 men (45%) being most students and some professionals, aged 16 years to 53 years, surveys showed: user identification, history of illness, surgery arms and hands, if he had fractured or injured associated with movement, position, repetitions,  grip, period of use, strength of movement when using the mobile device, and 26 questions remain answers YES or NOT when performing the activity, evaluating the appearance of a lesion. Besides some questions to assess the occurrence of Quervain syndrome by row and prolonged use of the</w:t>
      </w:r>
      <w:r>
        <w:rPr>
          <w:spacing w:val="-1"/>
        </w:rPr>
        <w:t> </w:t>
      </w:r>
      <w:r>
        <w:rPr/>
        <w:t>fingers.</w:t>
      </w:r>
    </w:p>
    <w:p>
      <w:pPr>
        <w:pStyle w:val="BodyText"/>
        <w:spacing w:before="3"/>
      </w:pPr>
    </w:p>
    <w:p>
      <w:pPr>
        <w:pStyle w:val="Heading4"/>
        <w:numPr>
          <w:ilvl w:val="0"/>
          <w:numId w:val="139"/>
        </w:numPr>
        <w:tabs>
          <w:tab w:pos="472" w:val="left" w:leader="none"/>
        </w:tabs>
        <w:spacing w:line="240" w:lineRule="auto" w:before="0" w:after="0"/>
        <w:ind w:left="471" w:right="0" w:hanging="201"/>
        <w:jc w:val="both"/>
      </w:pPr>
      <w:r>
        <w:rPr/>
        <w:t>RESULTS</w:t>
      </w:r>
    </w:p>
    <w:p>
      <w:pPr>
        <w:pStyle w:val="BodyText"/>
        <w:spacing w:before="8"/>
        <w:rPr>
          <w:b/>
          <w:sz w:val="19"/>
        </w:rPr>
      </w:pPr>
    </w:p>
    <w:p>
      <w:pPr>
        <w:pStyle w:val="BodyText"/>
        <w:ind w:left="270" w:right="677"/>
        <w:jc w:val="both"/>
      </w:pPr>
      <w:r>
        <w:rPr/>
        <w:t>The 73% (145) of respondents, mostly students, referred repetitive movements of the finger from the dominant  hand</w:t>
      </w:r>
    </w:p>
    <w:p>
      <w:pPr>
        <w:spacing w:after="0"/>
        <w:jc w:val="both"/>
        <w:sectPr>
          <w:type w:val="continuous"/>
          <w:pgSz w:w="12240" w:h="15840"/>
          <w:pgMar w:top="1500" w:bottom="280" w:left="580" w:right="220"/>
          <w:cols w:num="2" w:equalWidth="0">
            <w:col w:w="5210" w:space="414"/>
            <w:col w:w="5816"/>
          </w:cols>
        </w:sectPr>
      </w:pPr>
    </w:p>
    <w:p>
      <w:pPr>
        <w:pStyle w:val="BodyText"/>
        <w:spacing w:before="4"/>
        <w:rPr>
          <w:sz w:val="11"/>
        </w:rPr>
      </w:pPr>
    </w:p>
    <w:p>
      <w:pPr>
        <w:pStyle w:val="BodyText"/>
        <w:spacing w:before="74"/>
        <w:ind w:left="270" w:right="6249"/>
        <w:jc w:val="both"/>
      </w:pPr>
      <w:r>
        <w:rPr/>
        <w:t>(thumb / index) in the activity of handling mobile device.  The 69% used the thumb and index fingers more often than others while using the device. The 51% had sore thumb  when making a fist or grasp objects. The 60% reported having numbness in the finger and the 50% reported neck tilted</w:t>
      </w:r>
      <w:r>
        <w:rPr>
          <w:spacing w:val="-4"/>
        </w:rPr>
        <w:t> </w:t>
      </w:r>
      <w:r>
        <w:rPr/>
        <w:t>too.</w:t>
      </w:r>
    </w:p>
    <w:p>
      <w:pPr>
        <w:pStyle w:val="BodyText"/>
        <w:spacing w:before="2"/>
      </w:pPr>
    </w:p>
    <w:p>
      <w:pPr>
        <w:pStyle w:val="Heading4"/>
        <w:numPr>
          <w:ilvl w:val="0"/>
          <w:numId w:val="139"/>
        </w:numPr>
        <w:tabs>
          <w:tab w:pos="472" w:val="left" w:leader="none"/>
        </w:tabs>
        <w:spacing w:line="240" w:lineRule="auto" w:before="0" w:after="0"/>
        <w:ind w:left="471" w:right="0" w:hanging="201"/>
        <w:jc w:val="both"/>
      </w:pPr>
      <w:r>
        <w:rPr/>
        <w:t>CONCLUSIONS</w:t>
      </w:r>
    </w:p>
    <w:p>
      <w:pPr>
        <w:pStyle w:val="BodyText"/>
        <w:spacing w:before="9"/>
        <w:rPr>
          <w:b/>
          <w:sz w:val="19"/>
        </w:rPr>
      </w:pPr>
    </w:p>
    <w:p>
      <w:pPr>
        <w:pStyle w:val="BodyText"/>
        <w:spacing w:before="1"/>
        <w:ind w:left="270" w:right="6248"/>
        <w:jc w:val="both"/>
      </w:pPr>
      <w:r>
        <w:rPr/>
        <w:t>The conclusion is that people who use mobile devices and frequently texting, present painful symptoms, mainly in the thumb known as Quervain syndrome, and considering that most of the respondents were students, in shortly they will  be laboring in Mexico´s companies with exposure to ergonomic risk factors including use of the fingers, could be causing an occupational disease affecting the company in terms of productivity, absenteeism, disability, etc. As a result, must to do preventive measures, designed to reduce the use and abuse of mobile devices among students and professionals in northeastern of our</w:t>
      </w:r>
      <w:r>
        <w:rPr>
          <w:spacing w:val="-17"/>
        </w:rPr>
        <w:t> </w:t>
      </w:r>
      <w:r>
        <w:rPr/>
        <w:t>country.</w:t>
      </w:r>
    </w:p>
    <w:p>
      <w:pPr>
        <w:pStyle w:val="BodyText"/>
      </w:pPr>
    </w:p>
    <w:p>
      <w:pPr>
        <w:pStyle w:val="BodyText"/>
        <w:spacing w:before="2"/>
      </w:pPr>
    </w:p>
    <w:p>
      <w:pPr>
        <w:pStyle w:val="Heading4"/>
      </w:pPr>
      <w:r>
        <w:rPr/>
        <w:t>6.- REFERENCES</w:t>
      </w:r>
    </w:p>
    <w:p>
      <w:pPr>
        <w:pStyle w:val="BodyText"/>
        <w:spacing w:before="8"/>
        <w:rPr>
          <w:b/>
          <w:sz w:val="19"/>
        </w:rPr>
      </w:pPr>
    </w:p>
    <w:p>
      <w:pPr>
        <w:pStyle w:val="BodyText"/>
        <w:ind w:left="270" w:right="6529"/>
      </w:pPr>
      <w:r>
        <w:rPr/>
        <w:t>[1]</w:t>
      </w:r>
      <w:hyperlink r:id="rId631">
        <w:r>
          <w:rPr>
            <w:color w:val="0000FF"/>
            <w:u w:val="single" w:color="0000FF"/>
          </w:rPr>
          <w:t>Http://www.deparisnet.be/tms/sp/el-examenclinico-del</w:t>
        </w:r>
      </w:hyperlink>
      <w:r>
        <w:rPr>
          <w:color w:val="0000FF"/>
          <w:u w:val="single" w:color="0000FF"/>
        </w:rPr>
        <w:t> miembrsuperior.pdf</w:t>
      </w:r>
    </w:p>
    <w:p>
      <w:pPr>
        <w:pStyle w:val="BodyText"/>
        <w:ind w:left="270" w:right="6249" w:firstLine="50"/>
        <w:jc w:val="both"/>
      </w:pPr>
      <w:r>
        <w:rPr/>
        <w:t>[2] Lesiones traumáticas de la mano. Guías de practica clínica basadas en la evidencia. Seguro Social Salud. Asociación Colombiana de Facultades de Medicina. ASCOFAME</w:t>
      </w:r>
    </w:p>
    <w:p>
      <w:pPr>
        <w:pStyle w:val="BodyText"/>
        <w:ind w:left="270" w:right="6252"/>
        <w:jc w:val="both"/>
      </w:pPr>
      <w:r>
        <w:rPr/>
        <w:t>[3] Prentice William E.(2001), Técnicas de Rehabilitación  en medicina Deportiva, pp.</w:t>
      </w:r>
      <w:r>
        <w:rPr>
          <w:spacing w:val="-12"/>
        </w:rPr>
        <w:t> </w:t>
      </w:r>
      <w:r>
        <w:rPr/>
        <w:t>35-36</w:t>
      </w:r>
    </w:p>
    <w:p>
      <w:pPr>
        <w:pStyle w:val="BodyText"/>
        <w:ind w:left="270" w:right="6250"/>
        <w:jc w:val="both"/>
      </w:pPr>
      <w:r>
        <w:rPr/>
        <w:t>[4] Salinas Duran Fabio, Lugo Agudelo Luz Elena y  Restrepo Arbelaéz (2008), Rehabilitación en  Salud,  p.p. 272.</w:t>
      </w:r>
    </w:p>
    <w:p>
      <w:pPr>
        <w:pStyle w:val="BodyText"/>
        <w:ind w:left="270" w:right="6249"/>
        <w:jc w:val="both"/>
      </w:pPr>
      <w:r>
        <w:rPr/>
        <w:t>[5] Sánchez Blanco I, Ferrero Méndez A., Aguilar Naranjo J.J, Climent Barbera J.A., Conejero Casares J.A, Peña Arrebola A, ZambudioPerago R., (2008), Manual SERMEF de Rehabilitación y MédicinaFisica, pp. 421- 425</w:t>
      </w:r>
    </w:p>
    <w:p>
      <w:pPr>
        <w:pStyle w:val="BodyText"/>
        <w:ind w:left="270" w:right="6251"/>
        <w:jc w:val="both"/>
      </w:pPr>
      <w:r>
        <w:rPr/>
        <w:t>[6] Mital, A. Kilbom, A. Kumar S. Ergonomics Guidelines and Problem Solving. Elsevier Vol . 2000, pp 151-178.</w:t>
      </w:r>
    </w:p>
    <w:p>
      <w:pPr>
        <w:spacing w:after="0"/>
        <w:jc w:val="both"/>
        <w:sectPr>
          <w:pgSz w:w="12240" w:h="15840"/>
          <w:pgMar w:header="545" w:footer="852" w:top="1060" w:bottom="1040" w:left="580" w:right="220"/>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
        <w:rPr>
          <w:sz w:val="26"/>
        </w:rPr>
      </w:pPr>
    </w:p>
    <w:p>
      <w:pPr>
        <w:pStyle w:val="Heading1"/>
      </w:pPr>
      <w:r>
        <w:rPr/>
        <w:t>Association Among Burnout Dimensions and Job Content Dimensions: A Literature Review</w:t>
      </w:r>
    </w:p>
    <w:p>
      <w:pPr>
        <w:spacing w:line="243" w:lineRule="exact" w:before="203"/>
        <w:ind w:left="270" w:right="0" w:firstLine="0"/>
        <w:jc w:val="both"/>
        <w:rPr>
          <w:i/>
          <w:sz w:val="20"/>
        </w:rPr>
      </w:pPr>
      <w:r>
        <w:rPr>
          <w:i/>
          <w:sz w:val="20"/>
        </w:rPr>
        <w:t>Sonia  G.  Valadez  Torres</w:t>
      </w:r>
      <w:r>
        <w:rPr>
          <w:i/>
          <w:position w:val="9"/>
          <w:sz w:val="13"/>
        </w:rPr>
        <w:t>a</w:t>
      </w:r>
      <w:r>
        <w:rPr>
          <w:i/>
          <w:sz w:val="20"/>
        </w:rPr>
        <w:t>,  Aidé  A.  Maldonado   Macías</w:t>
      </w:r>
      <w:r>
        <w:rPr>
          <w:i/>
          <w:position w:val="9"/>
          <w:sz w:val="13"/>
        </w:rPr>
        <w:t>b</w:t>
      </w:r>
      <w:r>
        <w:rPr>
          <w:i/>
          <w:sz w:val="20"/>
        </w:rPr>
        <w:t>,</w:t>
      </w:r>
    </w:p>
    <w:p>
      <w:pPr>
        <w:spacing w:line="243" w:lineRule="exact" w:before="0"/>
        <w:ind w:left="270" w:right="0" w:firstLine="0"/>
        <w:jc w:val="both"/>
        <w:rPr>
          <w:i/>
          <w:sz w:val="13"/>
        </w:rPr>
      </w:pPr>
      <w:r>
        <w:rPr>
          <w:i/>
          <w:sz w:val="20"/>
        </w:rPr>
        <w:t>Rocío Camacho Alamilla</w:t>
      </w:r>
      <w:r>
        <w:rPr>
          <w:i/>
          <w:position w:val="9"/>
          <w:sz w:val="13"/>
        </w:rPr>
        <w:t>c</w:t>
      </w:r>
      <w:r>
        <w:rPr>
          <w:i/>
          <w:sz w:val="20"/>
        </w:rPr>
        <w:t>, Jorge Luis García Alcaraz</w:t>
      </w:r>
      <w:r>
        <w:rPr>
          <w:i/>
          <w:position w:val="9"/>
          <w:sz w:val="13"/>
        </w:rPr>
        <w:t>d</w:t>
      </w:r>
    </w:p>
    <w:p>
      <w:pPr>
        <w:pStyle w:val="BodyText"/>
        <w:spacing w:before="7"/>
        <w:rPr>
          <w:i/>
          <w:sz w:val="18"/>
        </w:rPr>
      </w:pPr>
    </w:p>
    <w:p>
      <w:pPr>
        <w:spacing w:before="0"/>
        <w:ind w:left="359" w:right="89" w:firstLine="0"/>
        <w:jc w:val="center"/>
        <w:rPr>
          <w:sz w:val="16"/>
        </w:rPr>
      </w:pPr>
      <w:r>
        <w:rPr>
          <w:position w:val="7"/>
          <w:sz w:val="10"/>
        </w:rPr>
        <w:t>a,b,c,d </w:t>
      </w:r>
      <w:r>
        <w:rPr>
          <w:sz w:val="16"/>
        </w:rPr>
        <w:t>Department of Industrial and Manufacturing Engineering Autonomous University of Ciudad Juárez</w:t>
      </w:r>
    </w:p>
    <w:p>
      <w:pPr>
        <w:spacing w:before="1"/>
        <w:ind w:left="1475" w:right="1206" w:firstLine="0"/>
        <w:jc w:val="center"/>
        <w:rPr>
          <w:sz w:val="16"/>
        </w:rPr>
      </w:pPr>
      <w:r>
        <w:rPr>
          <w:sz w:val="16"/>
        </w:rPr>
        <w:t>Ave. del Charro 450 Norte, C.P. 32310 Cd. Juárez, Chihuahua, México</w:t>
      </w:r>
    </w:p>
    <w:p>
      <w:pPr>
        <w:spacing w:line="184" w:lineRule="exact" w:before="0"/>
        <w:ind w:left="356" w:right="89" w:firstLine="0"/>
        <w:jc w:val="center"/>
        <w:rPr>
          <w:sz w:val="16"/>
        </w:rPr>
      </w:pPr>
      <w:r>
        <w:rPr>
          <w:sz w:val="16"/>
        </w:rPr>
        <w:t>e-mail: </w:t>
      </w:r>
      <w:hyperlink r:id="rId632">
        <w:r>
          <w:rPr>
            <w:sz w:val="16"/>
          </w:rPr>
          <w:t>al132755@alumnos.uacj.mx</w:t>
        </w:r>
      </w:hyperlink>
    </w:p>
    <w:p>
      <w:pPr>
        <w:pStyle w:val="Heading4"/>
        <w:spacing w:before="4"/>
      </w:pPr>
      <w:r>
        <w:rPr/>
        <w:pict>
          <v:line style="position:absolute;mso-position-horizontal-relative:page;mso-position-vertical-relative:paragraph;z-index:15664" from="41.040001pt,13.465393pt" to="289.860001pt,13.465393pt" stroked="true" strokeweight="1.5pt" strokecolor="#000000">
            <w10:wrap type="none"/>
          </v:line>
        </w:pict>
      </w:r>
      <w:r>
        <w:rPr/>
        <w:t>Resumen</w:t>
      </w:r>
    </w:p>
    <w:p>
      <w:pPr>
        <w:pStyle w:val="BodyText"/>
        <w:spacing w:before="47"/>
        <w:ind w:left="270"/>
        <w:jc w:val="both"/>
      </w:pPr>
      <w:r>
        <w:rPr/>
        <w:t>Este documento presenta una revisión de literatura sobre la relación de las dimensiones del síndrome de Burnout y las dimensiones del contenido del trabajo. Los objetivos de este documento son: presentar una revisión de literatura sobre las investigaciones que han realizado sobre el tema y presentar una recopilación organizada y actualizada de ellos mostrando el estudio de estas variables y la relación que guardan entre sí. Se realizó una búsqueda de literatura por palabras clave  en siete bases de datos como: Ebscohost, Science Direct, PubMed, entre otras; dentro de los últimos 5 años y considerando criterios de inclusión y compatibilidad entre los estudios. Como resultado se desarrolló una clasificación de los artículos encontrados organizados por autor, fecha de publicación, área de aplicación y metodologías para el análisis de datos. Un total de 11 artículos fueron incluidos de acuerdo con los criterios establecidos. Como conclusión, esta revisión confirma que se ha mantenido el interés en la exploración de la relación entre las dimensiones del Burnout y las dimensiones del cuestionario del contenido del trabajo en los últimos cinco años, sin embargo, los resultados encontrados sobre esta relación no son definitivos y las publicaciones sobre el tema no son abundantes tomando en cuenta las bases de datos consultadas en esta revisión de literatura. De acuerdo a la revisión de literatura, la dimensión del Burnout que ha recibido mayor interés por parte de los investigadores y que ha sido frecuentemente relacionada con otras variables es el agotamiento emocional; sin embargo  han existido investigaciones donde se han analizado las tres dimensiones. Respecto al Cuestionario del Contenido del Trabajo (QCJ) las dimensiones que mayormente han sido analizadas y relacionadas con otras variables son: demanda de trabajo, apoyo del supervisor y apoyo del</w:t>
      </w:r>
      <w:r>
        <w:rPr>
          <w:spacing w:val="-19"/>
        </w:rPr>
        <w:t> </w:t>
      </w:r>
      <w:r>
        <w:rPr/>
        <w:t>compañero.</w:t>
      </w:r>
    </w:p>
    <w:p>
      <w:pPr>
        <w:pStyle w:val="BodyText"/>
        <w:spacing w:before="11"/>
        <w:rPr>
          <w:sz w:val="19"/>
        </w:rPr>
      </w:pPr>
    </w:p>
    <w:p>
      <w:pPr>
        <w:pStyle w:val="BodyText"/>
        <w:ind w:left="270" w:right="1"/>
        <w:jc w:val="both"/>
      </w:pPr>
      <w:r>
        <w:rPr>
          <w:b/>
        </w:rPr>
        <w:t>Palabras clave</w:t>
      </w:r>
      <w:r>
        <w:rPr/>
        <w:t>— Burnout, Cuestionario del Contenido del Trabajo, demanda de trabajo.</w:t>
      </w:r>
    </w:p>
    <w:p>
      <w:pPr>
        <w:pStyle w:val="BodyText"/>
        <w:spacing w:before="3"/>
      </w:pPr>
    </w:p>
    <w:p>
      <w:pPr>
        <w:pStyle w:val="Heading5"/>
        <w:rPr>
          <w:i/>
        </w:rPr>
      </w:pPr>
      <w:r>
        <w:rPr/>
        <w:pict>
          <v:line style="position:absolute;mso-position-horizontal-relative:page;mso-position-vertical-relative:paragraph;z-index:15688" from="41.040001pt,13.26735pt" to="289.860001pt,13.26735pt" stroked="true" strokeweight="1.5pt" strokecolor="#000000">
            <w10:wrap type="none"/>
          </v:line>
        </w:pict>
      </w:r>
      <w:r>
        <w:rPr>
          <w:i/>
        </w:rPr>
        <w:t>Abstract</w:t>
      </w:r>
    </w:p>
    <w:p>
      <w:pPr>
        <w:spacing w:before="47"/>
        <w:ind w:left="270" w:right="0" w:firstLine="0"/>
        <w:jc w:val="both"/>
        <w:rPr>
          <w:i/>
          <w:sz w:val="20"/>
        </w:rPr>
      </w:pPr>
      <w:r>
        <w:rPr>
          <w:i/>
          <w:sz w:val="20"/>
        </w:rPr>
        <w:t>This document presents a literature review about the </w:t>
      </w:r>
      <w:r>
        <w:rPr>
          <w:i/>
          <w:sz w:val="20"/>
        </w:rPr>
        <w:t>relationship among the dimensions of the Burnout syndrome and the Job Content Questionnaire. The objectives of this document are: to present a literature review about the researches that have been made about the subject and  present an organized and actualized compilation of them showing the study of these variables and the relationship they have among them. A literature review was performed</w:t>
      </w:r>
      <w:r>
        <w:rPr>
          <w:i/>
          <w:spacing w:val="-3"/>
          <w:sz w:val="20"/>
        </w:rPr>
        <w:t> </w:t>
      </w:r>
      <w:r>
        <w:rPr>
          <w:i/>
          <w:sz w:val="20"/>
        </w:rPr>
        <w:t>by</w:t>
      </w:r>
    </w:p>
    <w:p>
      <w:pPr>
        <w:spacing w:before="74"/>
        <w:ind w:left="270" w:right="675" w:firstLine="0"/>
        <w:jc w:val="both"/>
        <w:rPr>
          <w:i/>
          <w:sz w:val="20"/>
        </w:rPr>
      </w:pPr>
      <w:r>
        <w:rPr/>
        <w:br w:type="column"/>
      </w:r>
      <w:r>
        <w:rPr>
          <w:i/>
          <w:sz w:val="20"/>
        </w:rPr>
        <w:t>keywords in seven databases such as: Ebscohost, Science </w:t>
      </w:r>
      <w:r>
        <w:rPr>
          <w:i/>
          <w:sz w:val="20"/>
        </w:rPr>
        <w:t>Direct, PubMed, among others, within the last five years and considering inclusion criteria and compatibility  between studies. As a result, a classification of the articles found organized by author, date of publication, application area and methodologies for data analysis was developed. A total of 11 articles were included according to the established criteria. As conclusion, this review confirms that the interest of exploring the relationship among the Burnout syndrome dimensions and the job content questionnaire dimensions has been maintained in the last five years, however, results found about this relationship are not conclusive and publications about the topic are not abundant taken into account the databases consulted in this literature review. According to literature review, emotional exhaustion is the Burnout dimension that has received more attention from investigators and more frequently related with other variables; however there have been  investigations where the three burnout dimensions have been analyzed. Regarding to the Job Content Questionnaire (JCQ) the dimensions that have been more frequently analyzed and related with other variables are: job demand, supervisor support, and coworker</w:t>
      </w:r>
      <w:r>
        <w:rPr>
          <w:i/>
          <w:spacing w:val="-12"/>
          <w:sz w:val="20"/>
        </w:rPr>
        <w:t> </w:t>
      </w:r>
      <w:r>
        <w:rPr>
          <w:i/>
          <w:sz w:val="20"/>
        </w:rPr>
        <w:t>support.</w:t>
      </w:r>
    </w:p>
    <w:p>
      <w:pPr>
        <w:pStyle w:val="BodyText"/>
        <w:spacing w:before="11"/>
        <w:rPr>
          <w:i/>
          <w:sz w:val="19"/>
        </w:rPr>
      </w:pPr>
    </w:p>
    <w:p>
      <w:pPr>
        <w:spacing w:before="0"/>
        <w:ind w:left="270" w:right="679" w:firstLine="0"/>
        <w:jc w:val="both"/>
        <w:rPr>
          <w:i/>
          <w:sz w:val="20"/>
        </w:rPr>
      </w:pPr>
      <w:r>
        <w:rPr>
          <w:b/>
          <w:i/>
          <w:sz w:val="20"/>
        </w:rPr>
        <w:t>Keywords</w:t>
      </w:r>
      <w:r>
        <w:rPr>
          <w:i/>
          <w:sz w:val="20"/>
        </w:rPr>
        <w:t>— Burnout, Job Content Questionnaire, job </w:t>
      </w:r>
      <w:r>
        <w:rPr>
          <w:i/>
          <w:sz w:val="20"/>
        </w:rPr>
        <w:t>demand.</w:t>
      </w:r>
    </w:p>
    <w:p>
      <w:pPr>
        <w:pStyle w:val="BodyText"/>
        <w:spacing w:before="11"/>
        <w:rPr>
          <w:i/>
          <w:sz w:val="19"/>
        </w:rPr>
      </w:pPr>
    </w:p>
    <w:p>
      <w:pPr>
        <w:pStyle w:val="BodyText"/>
        <w:ind w:left="270" w:right="674"/>
        <w:jc w:val="both"/>
      </w:pPr>
      <w:r>
        <w:rPr/>
        <w:t>Relevance to Ergonomics: This article aims to contribute to ergonomics by understanding the relationship of the dimensions of the Job Content Questionnaire and the dimensions of Burnout syndrome. Several researches affirm that Job Content dimensions can contribute to the development of Burnout Syndrome resulting in serious problems for individuals and organizations. Efforts made for a better comprehension of these variables and how they are related may help propose and implement preventive actions in companies and develop further investigations to clarify and confirm such relations.</w:t>
      </w:r>
    </w:p>
    <w:p>
      <w:pPr>
        <w:pStyle w:val="BodyText"/>
        <w:spacing w:before="2"/>
      </w:pPr>
    </w:p>
    <w:p>
      <w:pPr>
        <w:pStyle w:val="Heading4"/>
        <w:numPr>
          <w:ilvl w:val="0"/>
          <w:numId w:val="140"/>
        </w:numPr>
        <w:tabs>
          <w:tab w:pos="473" w:val="left" w:leader="none"/>
        </w:tabs>
        <w:spacing w:line="240" w:lineRule="auto" w:before="0" w:after="0"/>
        <w:ind w:left="472" w:right="0" w:hanging="202"/>
        <w:jc w:val="both"/>
      </w:pPr>
      <w:r>
        <w:rPr/>
        <w:t>INTRODUCTION</w:t>
      </w:r>
    </w:p>
    <w:p>
      <w:pPr>
        <w:pStyle w:val="BodyText"/>
        <w:spacing w:before="8"/>
        <w:rPr>
          <w:b/>
          <w:sz w:val="19"/>
        </w:rPr>
      </w:pPr>
    </w:p>
    <w:p>
      <w:pPr>
        <w:pStyle w:val="BodyText"/>
        <w:ind w:left="270" w:right="675"/>
        <w:jc w:val="both"/>
      </w:pPr>
      <w:r>
        <w:rPr/>
        <w:t>The association between the Burnout syndrome and the Job Content Questionnaire has been verified in other researchers who have found significant relationship between these variables; this fact has led to a grown interest in studying them to explore these relationships in some other contexts and sceneries.</w:t>
      </w:r>
    </w:p>
    <w:p>
      <w:pPr>
        <w:pStyle w:val="BodyText"/>
        <w:ind w:left="270" w:right="675" w:firstLine="432"/>
        <w:jc w:val="both"/>
      </w:pPr>
      <w:r>
        <w:rPr/>
        <w:t>The Burnout syndrome, also known as burning for work, has become one of most popular research topics in occupational health psychology. It has been found that workers who suffer the syndrome (i.e., those who are emotionally drained and have negative and cynical attitudes towards the work) show impaired performance at work and may face serious health problems over time [5]. Some researchers have indicated that if the job demands exceed  the resources of the worker, these may be perceived as stressful and generate negative results, such as low job satisfaction or illness</w:t>
      </w:r>
      <w:r>
        <w:rPr>
          <w:spacing w:val="-23"/>
        </w:rPr>
        <w:t> </w:t>
      </w:r>
      <w:r>
        <w:rPr/>
        <w:t>[1,14,26].</w:t>
      </w:r>
    </w:p>
    <w:p>
      <w:pPr>
        <w:spacing w:after="0"/>
        <w:jc w:val="both"/>
        <w:sectPr>
          <w:type w:val="continuous"/>
          <w:pgSz w:w="12240" w:h="15840"/>
          <w:pgMar w:top="1500" w:bottom="280" w:left="580" w:right="220"/>
          <w:cols w:num="2" w:equalWidth="0">
            <w:col w:w="5190" w:space="434"/>
            <w:col w:w="5816"/>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4"/>
        <w:ind w:left="270" w:firstLine="482"/>
        <w:jc w:val="both"/>
      </w:pPr>
      <w:r>
        <w:rPr/>
        <w:t>The Job Content Questionnaire is an instrument designed to measure the psychosocial factors related to work and is based on the Demand-Control-Social Support model [22]. Through this instrument the dimensions such as psychological demand, decision latitude, support social, physical demands, and job insecurity are measured using the evaluation of the scales [23]. Diverse studies report that job content factors are associated with the  appearance  of Burnout such is the case of [3,24,25,36], among others.</w:t>
      </w:r>
    </w:p>
    <w:p>
      <w:pPr>
        <w:pStyle w:val="BodyText"/>
        <w:spacing w:before="2"/>
      </w:pPr>
    </w:p>
    <w:p>
      <w:pPr>
        <w:pStyle w:val="Heading4"/>
        <w:numPr>
          <w:ilvl w:val="1"/>
          <w:numId w:val="140"/>
        </w:numPr>
        <w:tabs>
          <w:tab w:pos="572" w:val="left" w:leader="none"/>
        </w:tabs>
        <w:spacing w:line="240" w:lineRule="auto" w:before="0" w:after="0"/>
        <w:ind w:left="571" w:right="0" w:hanging="301"/>
        <w:jc w:val="both"/>
      </w:pPr>
      <w:r>
        <w:rPr/>
        <w:t>Objectives</w:t>
      </w:r>
    </w:p>
    <w:p>
      <w:pPr>
        <w:pStyle w:val="BodyText"/>
        <w:spacing w:before="8"/>
        <w:rPr>
          <w:b/>
          <w:sz w:val="19"/>
        </w:rPr>
      </w:pPr>
    </w:p>
    <w:p>
      <w:pPr>
        <w:pStyle w:val="BodyText"/>
        <w:ind w:left="270" w:right="1"/>
        <w:jc w:val="both"/>
      </w:pPr>
      <w:r>
        <w:rPr/>
        <w:t>The objectives of this work are to present a literature review about the researches that have been made about the subject and present an organized and actualized compilation of them showing the study of these variables and the relationship  they have among</w:t>
      </w:r>
      <w:r>
        <w:rPr>
          <w:spacing w:val="-9"/>
        </w:rPr>
        <w:t> </w:t>
      </w:r>
      <w:r>
        <w:rPr/>
        <w:t>them.</w:t>
      </w:r>
    </w:p>
    <w:p>
      <w:pPr>
        <w:pStyle w:val="BodyText"/>
        <w:spacing w:before="2"/>
      </w:pPr>
    </w:p>
    <w:p>
      <w:pPr>
        <w:pStyle w:val="Heading4"/>
        <w:numPr>
          <w:ilvl w:val="1"/>
          <w:numId w:val="140"/>
        </w:numPr>
        <w:tabs>
          <w:tab w:pos="571" w:val="left" w:leader="none"/>
        </w:tabs>
        <w:spacing w:line="240" w:lineRule="auto" w:before="0" w:after="0"/>
        <w:ind w:left="570" w:right="0" w:hanging="300"/>
        <w:jc w:val="both"/>
      </w:pPr>
      <w:r>
        <w:rPr/>
        <w:t>Delimitation</w:t>
      </w:r>
    </w:p>
    <w:p>
      <w:pPr>
        <w:pStyle w:val="BodyText"/>
        <w:spacing w:before="9"/>
        <w:rPr>
          <w:b/>
          <w:sz w:val="19"/>
        </w:rPr>
      </w:pPr>
    </w:p>
    <w:p>
      <w:pPr>
        <w:pStyle w:val="BodyText"/>
        <w:spacing w:before="1"/>
        <w:ind w:left="270" w:right="1"/>
        <w:jc w:val="both"/>
      </w:pPr>
      <w:r>
        <w:rPr/>
        <w:t>The research was delimited to include only those articles where the relationship among the dimensions of Burnout and Job Content dimensions are addressed.</w:t>
      </w:r>
    </w:p>
    <w:p>
      <w:pPr>
        <w:pStyle w:val="BodyText"/>
        <w:spacing w:before="2"/>
      </w:pPr>
    </w:p>
    <w:p>
      <w:pPr>
        <w:pStyle w:val="Heading4"/>
        <w:numPr>
          <w:ilvl w:val="0"/>
          <w:numId w:val="140"/>
        </w:numPr>
        <w:tabs>
          <w:tab w:pos="472" w:val="left" w:leader="none"/>
        </w:tabs>
        <w:spacing w:line="240" w:lineRule="auto" w:before="0" w:after="0"/>
        <w:ind w:left="471" w:right="0" w:hanging="201"/>
        <w:jc w:val="both"/>
      </w:pPr>
      <w:r>
        <w:rPr/>
        <w:t>LITERATURE</w:t>
      </w:r>
      <w:r>
        <w:rPr>
          <w:spacing w:val="-5"/>
        </w:rPr>
        <w:t> </w:t>
      </w:r>
      <w:r>
        <w:rPr/>
        <w:t>REVIEW</w:t>
      </w:r>
    </w:p>
    <w:p>
      <w:pPr>
        <w:pStyle w:val="BodyText"/>
        <w:spacing w:before="9"/>
        <w:rPr>
          <w:b/>
          <w:sz w:val="19"/>
        </w:rPr>
      </w:pPr>
    </w:p>
    <w:p>
      <w:pPr>
        <w:pStyle w:val="BodyText"/>
        <w:spacing w:before="1"/>
        <w:ind w:left="270"/>
        <w:jc w:val="both"/>
      </w:pPr>
      <w:r>
        <w:rPr/>
        <w:t>The Burnout concept was introduced by Herbert  Freudenberg in 1974 to describe a state of physical and mental exhaustion in youth in a detoxification clinic; finding that the young were suffering from insomnia, fatigue, headaches, and behavior changes</w:t>
      </w:r>
      <w:r>
        <w:rPr>
          <w:spacing w:val="-13"/>
        </w:rPr>
        <w:t> </w:t>
      </w:r>
      <w:r>
        <w:rPr/>
        <w:t>[29].</w:t>
      </w:r>
    </w:p>
    <w:p>
      <w:pPr>
        <w:pStyle w:val="BodyText"/>
        <w:ind w:left="270" w:right="1" w:firstLine="450"/>
        <w:jc w:val="both"/>
      </w:pPr>
      <w:r>
        <w:rPr/>
        <w:t>In a psychosocial perspective, which considers it as a process in [32], the Burnout syndrome is described as a prolonged response to emotional and interpersonal chronic stressors at work. Currently, the Burnout syndrome is considered one of the main potential sources of problems, physiological, cognitive, emotional and behavioral level [18,35].</w:t>
      </w:r>
    </w:p>
    <w:p>
      <w:pPr>
        <w:pStyle w:val="BodyText"/>
        <w:ind w:left="270" w:firstLine="450"/>
        <w:jc w:val="both"/>
      </w:pPr>
      <w:r>
        <w:rPr/>
        <w:t>As mentioned in [9], the Burnout is a continuous process, which can distinguish three phases. At the first moment the job demands exceed the material and human resources leading to a stressful situation. Then it produces self-effort of the subject as response to the deviation, appearing fatigue and anxiety. Subsequently changing attitudes and behaviors in response to stress experienced in this phase would be the Burnout fully established and could be an answer to the insupportable labor situation occurs.</w:t>
      </w:r>
    </w:p>
    <w:p>
      <w:pPr>
        <w:pStyle w:val="BodyText"/>
        <w:spacing w:before="2"/>
      </w:pPr>
    </w:p>
    <w:p>
      <w:pPr>
        <w:pStyle w:val="Heading4"/>
        <w:numPr>
          <w:ilvl w:val="1"/>
          <w:numId w:val="140"/>
        </w:numPr>
        <w:tabs>
          <w:tab w:pos="572" w:val="left" w:leader="none"/>
        </w:tabs>
        <w:spacing w:line="240" w:lineRule="auto" w:before="0" w:after="0"/>
        <w:ind w:left="571" w:right="0" w:hanging="301"/>
        <w:jc w:val="both"/>
      </w:pPr>
      <w:r>
        <w:rPr/>
        <w:t>Burnout Syndrome</w:t>
      </w:r>
      <w:r>
        <w:rPr>
          <w:spacing w:val="-8"/>
        </w:rPr>
        <w:t> </w:t>
      </w:r>
      <w:r>
        <w:rPr/>
        <w:t>dimensions</w:t>
      </w:r>
    </w:p>
    <w:p>
      <w:pPr>
        <w:pStyle w:val="BodyText"/>
        <w:spacing w:before="8"/>
        <w:rPr>
          <w:b/>
          <w:sz w:val="19"/>
        </w:rPr>
      </w:pPr>
    </w:p>
    <w:p>
      <w:pPr>
        <w:pStyle w:val="BodyText"/>
        <w:ind w:left="270"/>
        <w:jc w:val="both"/>
      </w:pPr>
      <w:r>
        <w:rPr/>
        <w:t>Burnout is considered such as syndrome constituted of three dimensions [31], which are described below:</w:t>
      </w:r>
    </w:p>
    <w:p>
      <w:pPr>
        <w:pStyle w:val="BodyText"/>
        <w:ind w:left="270" w:firstLine="450"/>
        <w:jc w:val="both"/>
      </w:pPr>
      <w:r>
        <w:rPr>
          <w:i/>
        </w:rPr>
        <w:t>Emotional Exhaustion: </w:t>
      </w:r>
      <w:r>
        <w:rPr/>
        <w:t>it refers to a reduction of the emotional resources and the feeling of “having nothing to offer to others”, accompanied by somatic and psychological manifestations, such as the depression, anxiety, cynicism, feelings of hopelessness and irritability [6,8].</w:t>
      </w:r>
    </w:p>
    <w:p>
      <w:pPr>
        <w:pStyle w:val="BodyText"/>
        <w:spacing w:before="74"/>
        <w:ind w:left="270" w:right="677" w:firstLine="450"/>
        <w:jc w:val="both"/>
      </w:pPr>
      <w:r>
        <w:rPr/>
        <w:br w:type="column"/>
      </w:r>
      <w:r>
        <w:rPr>
          <w:i/>
        </w:rPr>
        <w:t>Depersonalization: </w:t>
      </w:r>
      <w:r>
        <w:rPr/>
        <w:t>is associated with a cynical and interpersonal attitude, isolation from others, with derogatory way of referring to others and the own failure in fulfilling work commitments [6,31].</w:t>
      </w:r>
    </w:p>
    <w:p>
      <w:pPr>
        <w:pStyle w:val="BodyText"/>
        <w:ind w:left="270" w:right="676" w:firstLine="500"/>
        <w:jc w:val="both"/>
      </w:pPr>
      <w:r>
        <w:rPr>
          <w:i/>
        </w:rPr>
        <w:t>Diminished personal accomplishment: </w:t>
      </w:r>
      <w:r>
        <w:rPr/>
        <w:t>it refers to the perception that the chances of achievement at work have disappeared, along with the experiences of failure and feelings of low self-esteem [6,15,31].</w:t>
      </w:r>
    </w:p>
    <w:p>
      <w:pPr>
        <w:pStyle w:val="BodyText"/>
        <w:spacing w:before="3"/>
      </w:pPr>
    </w:p>
    <w:p>
      <w:pPr>
        <w:pStyle w:val="Heading4"/>
        <w:numPr>
          <w:ilvl w:val="1"/>
          <w:numId w:val="140"/>
        </w:numPr>
        <w:tabs>
          <w:tab w:pos="572" w:val="left" w:leader="none"/>
        </w:tabs>
        <w:spacing w:line="240" w:lineRule="auto" w:before="0" w:after="0"/>
        <w:ind w:left="571" w:right="0" w:hanging="301"/>
        <w:jc w:val="both"/>
      </w:pPr>
      <w:r>
        <w:rPr/>
        <w:t>Burnout and its</w:t>
      </w:r>
      <w:r>
        <w:rPr>
          <w:spacing w:val="-20"/>
        </w:rPr>
        <w:t> </w:t>
      </w:r>
      <w:r>
        <w:rPr/>
        <w:t>consequences</w:t>
      </w:r>
    </w:p>
    <w:p>
      <w:pPr>
        <w:pStyle w:val="BodyText"/>
        <w:spacing w:before="8"/>
        <w:rPr>
          <w:b/>
          <w:sz w:val="19"/>
        </w:rPr>
      </w:pPr>
    </w:p>
    <w:p>
      <w:pPr>
        <w:pStyle w:val="BodyText"/>
        <w:ind w:left="270" w:right="677"/>
        <w:jc w:val="both"/>
      </w:pPr>
      <w:r>
        <w:rPr/>
        <w:t>According to the literature review the consequences on individuals affected by Burnout syndrome suffers are a significant deterioration in their quality of personal and social life [7].</w:t>
      </w:r>
    </w:p>
    <w:p>
      <w:pPr>
        <w:pStyle w:val="BodyText"/>
        <w:spacing w:before="11"/>
        <w:rPr>
          <w:sz w:val="19"/>
        </w:rPr>
      </w:pPr>
    </w:p>
    <w:p>
      <w:pPr>
        <w:spacing w:before="0"/>
        <w:ind w:left="270" w:right="0" w:firstLine="0"/>
        <w:jc w:val="both"/>
        <w:rPr>
          <w:i/>
          <w:sz w:val="20"/>
        </w:rPr>
      </w:pPr>
      <w:r>
        <w:rPr>
          <w:i/>
          <w:sz w:val="20"/>
        </w:rPr>
        <w:t>Physical consequences</w:t>
      </w:r>
    </w:p>
    <w:p>
      <w:pPr>
        <w:pStyle w:val="BodyText"/>
        <w:ind w:left="270" w:right="676"/>
        <w:jc w:val="both"/>
      </w:pPr>
      <w:r>
        <w:rPr/>
        <w:t>Among the physical consequences compiled from the literature review are the following: headaches, muscle  aches, gastrointestinal complaints, ulcers, weight loss, insomnia, hypertension, cardiovascular impairment, sleep problems, allergies, asthma, chronic fatigue, problems menstrual cycles and even injuries to the level brain [17,37,38], toothaches, nauseas and loss of voice</w:t>
      </w:r>
      <w:r>
        <w:rPr>
          <w:spacing w:val="-17"/>
        </w:rPr>
        <w:t> </w:t>
      </w:r>
      <w:r>
        <w:rPr/>
        <w:t>[30].</w:t>
      </w:r>
    </w:p>
    <w:p>
      <w:pPr>
        <w:pStyle w:val="BodyText"/>
        <w:spacing w:before="11"/>
        <w:rPr>
          <w:sz w:val="19"/>
        </w:rPr>
      </w:pPr>
    </w:p>
    <w:p>
      <w:pPr>
        <w:spacing w:before="0"/>
        <w:ind w:left="270" w:right="0" w:firstLine="0"/>
        <w:jc w:val="both"/>
        <w:rPr>
          <w:i/>
          <w:sz w:val="20"/>
        </w:rPr>
      </w:pPr>
      <w:r>
        <w:rPr>
          <w:i/>
          <w:sz w:val="20"/>
        </w:rPr>
        <w:t>Psychological consequences</w:t>
      </w:r>
    </w:p>
    <w:p>
      <w:pPr>
        <w:pStyle w:val="BodyText"/>
        <w:ind w:left="270" w:right="676"/>
        <w:jc w:val="both"/>
      </w:pPr>
      <w:r>
        <w:rPr/>
        <w:t>The most affected aspect on individuals suffering of  Burnout is mental health, because of the arising amount of psyquic consequences [38]. The consequences that have been reported in the psychological field as: suicides, separation or divorce, demotivation, negativism, passivity, indifference, indecision, increased substance abuse, depression and anxiety</w:t>
      </w:r>
      <w:r>
        <w:rPr>
          <w:spacing w:val="-9"/>
        </w:rPr>
        <w:t> </w:t>
      </w:r>
      <w:r>
        <w:rPr/>
        <w:t>[4,13,20].</w:t>
      </w:r>
    </w:p>
    <w:p>
      <w:pPr>
        <w:pStyle w:val="BodyText"/>
      </w:pPr>
    </w:p>
    <w:p>
      <w:pPr>
        <w:spacing w:line="230" w:lineRule="exact" w:before="1"/>
        <w:ind w:left="270" w:right="0" w:firstLine="0"/>
        <w:jc w:val="both"/>
        <w:rPr>
          <w:i/>
          <w:sz w:val="20"/>
        </w:rPr>
      </w:pPr>
      <w:r>
        <w:rPr>
          <w:i/>
          <w:sz w:val="20"/>
        </w:rPr>
        <w:t>Organizational consequences</w:t>
      </w:r>
    </w:p>
    <w:p>
      <w:pPr>
        <w:pStyle w:val="BodyText"/>
        <w:ind w:left="270" w:right="675"/>
        <w:jc w:val="both"/>
      </w:pPr>
      <w:r>
        <w:rPr/>
        <w:t>In addition, the Burnout syndrome can produce severe physical and psychological effects that have significant impact on the organizations where the affected individual works. Among the organizational consequences and according to the literature review, the following are the most common: absenteeism, unwanted turnover, labor accidents, impaired quality, errors, performance and productivity slow, and job dissatisfaction [4], deteriorate relationship with the coworkers and supervisors, and reduced sense of accomplishment [17,30].</w:t>
      </w:r>
    </w:p>
    <w:p>
      <w:pPr>
        <w:pStyle w:val="BodyText"/>
        <w:spacing w:before="3"/>
      </w:pPr>
    </w:p>
    <w:p>
      <w:pPr>
        <w:pStyle w:val="Heading4"/>
        <w:numPr>
          <w:ilvl w:val="1"/>
          <w:numId w:val="140"/>
        </w:numPr>
        <w:tabs>
          <w:tab w:pos="571" w:val="left" w:leader="none"/>
        </w:tabs>
        <w:spacing w:line="240" w:lineRule="auto" w:before="0" w:after="0"/>
        <w:ind w:left="570" w:right="0" w:hanging="300"/>
        <w:jc w:val="both"/>
      </w:pPr>
      <w:r>
        <w:rPr/>
        <w:t>Job Content</w:t>
      </w:r>
      <w:r>
        <w:rPr>
          <w:spacing w:val="-8"/>
        </w:rPr>
        <w:t> </w:t>
      </w:r>
      <w:r>
        <w:rPr/>
        <w:t>Questionnaire</w:t>
      </w:r>
    </w:p>
    <w:p>
      <w:pPr>
        <w:pStyle w:val="BodyText"/>
        <w:spacing w:before="8"/>
        <w:rPr>
          <w:b/>
          <w:sz w:val="19"/>
        </w:rPr>
      </w:pPr>
    </w:p>
    <w:p>
      <w:pPr>
        <w:pStyle w:val="BodyText"/>
        <w:ind w:left="270" w:right="676"/>
        <w:jc w:val="both"/>
      </w:pPr>
      <w:r>
        <w:rPr/>
        <w:t>The Job Content Questionnaire developed by [21] is an instrument used to identify the stress sources at work, supported by the Demand-Control model. This  questionnaire has been adopted to identify the causes that generate occupational stress. It is a self-administered instrument designed to measure the social and psychological characteristics of jobs [23]. This questionnaire has been adapted to identify the causes of occupational stress, and has shown high reliability and internal consistency in various adaptations and validation processes conducted in    </w:t>
      </w:r>
      <w:r>
        <w:rPr>
          <w:spacing w:val="28"/>
        </w:rPr>
        <w:t> </w:t>
      </w:r>
      <w:r>
        <w:rPr/>
        <w:t>several</w:t>
      </w:r>
    </w:p>
    <w:p>
      <w:pPr>
        <w:spacing w:after="0"/>
        <w:jc w:val="both"/>
        <w:sectPr>
          <w:type w:val="continuous"/>
          <w:pgSz w:w="12240" w:h="15840"/>
          <w:pgMar w:top="1500" w:bottom="280" w:left="580" w:right="220"/>
          <w:cols w:num="2" w:equalWidth="0">
            <w:col w:w="5189" w:space="435"/>
            <w:col w:w="5816"/>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4"/>
        <w:ind w:left="270" w:right="4"/>
        <w:jc w:val="both"/>
      </w:pPr>
      <w:r>
        <w:rPr/>
        <w:t>countries such as: USA, Canada, France, Spain, Brazil, Mexico, Thailand and Colombia [10,16,34].</w:t>
      </w:r>
    </w:p>
    <w:p>
      <w:pPr>
        <w:pStyle w:val="BodyText"/>
        <w:spacing w:before="3"/>
      </w:pPr>
    </w:p>
    <w:p>
      <w:pPr>
        <w:pStyle w:val="Heading4"/>
        <w:numPr>
          <w:ilvl w:val="0"/>
          <w:numId w:val="140"/>
        </w:numPr>
        <w:tabs>
          <w:tab w:pos="521" w:val="left" w:leader="none"/>
        </w:tabs>
        <w:spacing w:line="240" w:lineRule="auto" w:before="0" w:after="0"/>
        <w:ind w:left="520" w:right="0" w:hanging="250"/>
        <w:jc w:val="both"/>
      </w:pPr>
      <w:r>
        <w:rPr/>
        <w:t>METHODOLOGY</w:t>
      </w:r>
    </w:p>
    <w:p>
      <w:pPr>
        <w:pStyle w:val="BodyText"/>
        <w:spacing w:before="5"/>
        <w:rPr>
          <w:b/>
        </w:rPr>
      </w:pPr>
    </w:p>
    <w:p>
      <w:pPr>
        <w:pStyle w:val="BodyText"/>
        <w:spacing w:line="249" w:lineRule="auto"/>
        <w:ind w:left="270" w:right="1"/>
        <w:jc w:val="both"/>
      </w:pPr>
      <w:r>
        <w:rPr/>
        <w:t>The literature review was realized by keywords in seven databases such as: Ebscohost, Science Direct, PubMed, Psycoinfo, Redalyc, Scielo and Dialnet within the last five years. Inclusion criteria and compatibility among the studies were defined to organize literature. Subsequently the classification of articles according to their author, year of publication and the area of research was realized, data matrices and graphics were obtained to describe and present the information.</w:t>
      </w:r>
    </w:p>
    <w:p>
      <w:pPr>
        <w:pStyle w:val="BodyText"/>
        <w:spacing w:before="5"/>
      </w:pPr>
    </w:p>
    <w:p>
      <w:pPr>
        <w:pStyle w:val="Heading4"/>
        <w:numPr>
          <w:ilvl w:val="0"/>
          <w:numId w:val="140"/>
        </w:numPr>
        <w:tabs>
          <w:tab w:pos="522" w:val="left" w:leader="none"/>
        </w:tabs>
        <w:spacing w:line="240" w:lineRule="auto" w:before="0" w:after="0"/>
        <w:ind w:left="521" w:right="0" w:hanging="251"/>
        <w:jc w:val="both"/>
      </w:pPr>
      <w:r>
        <w:rPr/>
        <w:t>RESULTS</w:t>
      </w:r>
    </w:p>
    <w:p>
      <w:pPr>
        <w:pStyle w:val="BodyText"/>
        <w:spacing w:before="8"/>
        <w:rPr>
          <w:b/>
          <w:sz w:val="19"/>
        </w:rPr>
      </w:pPr>
    </w:p>
    <w:p>
      <w:pPr>
        <w:pStyle w:val="BodyText"/>
        <w:ind w:left="270"/>
        <w:jc w:val="both"/>
      </w:pPr>
      <w:r>
        <w:rPr/>
        <w:t>As a result, it was developed a classification of the articles found that fulfill inclusion criteria and they were organized by author, year of publication, application area and methodologies used for data analyses. A total of 11 articles were included according the established criterions. The  Table 1 shows the results regarding the relationship among dimensions of Burnout and dimensions of Job Content Questionnaire. According to literature review, emotional exhaustion is the Burnout dimension that has received more attention from the investigators, and regarding to Job Content Questionnaire (JCQ) dimensions; job demand, supervisor support, and coworker support, are those dimensions</w:t>
      </w:r>
      <w:r>
        <w:rPr>
          <w:spacing w:val="-6"/>
        </w:rPr>
        <w:t> </w:t>
      </w:r>
      <w:r>
        <w:rPr/>
        <w:t>that</w:t>
      </w:r>
      <w:r>
        <w:rPr>
          <w:spacing w:val="-7"/>
        </w:rPr>
        <w:t> </w:t>
      </w:r>
      <w:r>
        <w:rPr/>
        <w:t>have</w:t>
      </w:r>
      <w:r>
        <w:rPr>
          <w:spacing w:val="-7"/>
        </w:rPr>
        <w:t> </w:t>
      </w:r>
      <w:r>
        <w:rPr/>
        <w:t>received</w:t>
      </w:r>
      <w:r>
        <w:rPr>
          <w:spacing w:val="-6"/>
        </w:rPr>
        <w:t> </w:t>
      </w:r>
      <w:r>
        <w:rPr/>
        <w:t>more</w:t>
      </w:r>
      <w:r>
        <w:rPr>
          <w:spacing w:val="-6"/>
        </w:rPr>
        <w:t> </w:t>
      </w:r>
      <w:r>
        <w:rPr/>
        <w:t>attention</w:t>
      </w:r>
      <w:r>
        <w:rPr>
          <w:spacing w:val="-6"/>
        </w:rPr>
        <w:t> </w:t>
      </w:r>
      <w:r>
        <w:rPr/>
        <w:t>in</w:t>
      </w:r>
      <w:r>
        <w:rPr>
          <w:spacing w:val="-6"/>
        </w:rPr>
        <w:t> </w:t>
      </w:r>
      <w:r>
        <w:rPr/>
        <w:t>literature.</w:t>
      </w:r>
    </w:p>
    <w:p>
      <w:pPr>
        <w:spacing w:before="90"/>
        <w:ind w:left="2007" w:right="213" w:hanging="1510"/>
        <w:jc w:val="left"/>
        <w:rPr>
          <w:sz w:val="16"/>
        </w:rPr>
      </w:pPr>
      <w:r>
        <w:rPr/>
        <w:pict>
          <v:group style="position:absolute;margin-left:42.490002pt;margin-top:22.978762pt;width:246.5pt;height:282pt;mso-position-horizontal-relative:page;mso-position-vertical-relative:paragraph;z-index:15736" coordorigin="850,460" coordsize="4930,5640">
            <v:rect style="position:absolute;left:857;top:469;width:4920;height:131" filled="true" fillcolor="#bfbfbf" stroked="false">
              <v:fill type="solid"/>
            </v:rect>
            <v:line style="position:absolute" from="857,463" to="5776,463" stroked="true" strokeweight=".06pt" strokecolor="#000000"/>
            <v:line style="position:absolute" from="857,466" to="5777,466" stroked="true" strokeweight=".30002pt" strokecolor="#000000"/>
            <v:line style="position:absolute" from="851,463" to="851,6095" stroked="true" strokeweight=".06pt" strokecolor="#000000"/>
            <v:line style="position:absolute" from="854,463" to="854,6097" stroked="true" strokeweight=".30002pt" strokecolor="#000000"/>
            <v:shape style="position:absolute;left:857;top:462;width:4920;height:138" type="#_x0000_t202" filled="false" stroked="false">
              <v:textbox inset="0,0,0,0">
                <w:txbxContent>
                  <w:p>
                    <w:pPr>
                      <w:tabs>
                        <w:tab w:pos="1057" w:val="left" w:leader="none"/>
                        <w:tab w:pos="3646" w:val="left" w:leader="none"/>
                        <w:tab w:pos="4357" w:val="left" w:leader="none"/>
                      </w:tabs>
                      <w:spacing w:before="16"/>
                      <w:ind w:left="346" w:right="0" w:firstLine="0"/>
                      <w:jc w:val="left"/>
                      <w:rPr>
                        <w:b/>
                        <w:sz w:val="8"/>
                      </w:rPr>
                    </w:pPr>
                    <w:r>
                      <w:rPr>
                        <w:b/>
                        <w:sz w:val="8"/>
                      </w:rPr>
                      <w:t>Authors</w:t>
                      <w:tab/>
                      <w:t>Burnout dimensions       Job Content dimensions     </w:t>
                    </w:r>
                    <w:r>
                      <w:rPr>
                        <w:b/>
                        <w:spacing w:val="12"/>
                        <w:sz w:val="8"/>
                      </w:rPr>
                      <w:t> </w:t>
                    </w:r>
                    <w:r>
                      <w:rPr>
                        <w:b/>
                        <w:sz w:val="8"/>
                      </w:rPr>
                      <w:t>Application</w:t>
                    </w:r>
                    <w:r>
                      <w:rPr>
                        <w:b/>
                        <w:spacing w:val="-6"/>
                        <w:sz w:val="8"/>
                      </w:rPr>
                      <w:t> </w:t>
                    </w:r>
                    <w:r>
                      <w:rPr>
                        <w:b/>
                        <w:sz w:val="8"/>
                      </w:rPr>
                      <w:t>area</w:t>
                      <w:tab/>
                    </w:r>
                    <w:r>
                      <w:rPr>
                        <w:b/>
                        <w:w w:val="95"/>
                        <w:sz w:val="8"/>
                      </w:rPr>
                      <w:t>Methodology</w:t>
                      <w:tab/>
                      <w:t>Sample</w:t>
                    </w:r>
                    <w:r>
                      <w:rPr>
                        <w:b/>
                        <w:spacing w:val="1"/>
                        <w:w w:val="95"/>
                        <w:sz w:val="8"/>
                      </w:rPr>
                      <w:t> </w:t>
                    </w:r>
                    <w:r>
                      <w:rPr>
                        <w:b/>
                        <w:spacing w:val="2"/>
                        <w:w w:val="95"/>
                        <w:sz w:val="8"/>
                      </w:rPr>
                      <w:t>size</w:t>
                    </w:r>
                  </w:p>
                </w:txbxContent>
              </v:textbox>
              <w10:wrap type="none"/>
            </v:shape>
            <w10:wrap type="none"/>
          </v:group>
        </w:pict>
      </w:r>
      <w:r>
        <w:rPr/>
        <w:pict>
          <v:shape style="position:absolute;margin-left:42.525002pt;margin-top:29.57876pt;width:246.55pt;height:275.25pt;mso-position-horizontal-relative:page;mso-position-vertical-relative:paragraph;z-index:15760" type="#_x0000_t202" filled="false" stroked="false">
            <v:textbox inset="0,0,0,0">
              <w:txbxContent>
                <w:tbl>
                  <w:tblPr>
                    <w:tblW w:w="0" w:type="auto"/>
                    <w:jc w:val="left"/>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952"/>
                    <w:gridCol w:w="878"/>
                    <w:gridCol w:w="970"/>
                    <w:gridCol w:w="723"/>
                    <w:gridCol w:w="680"/>
                    <w:gridCol w:w="717"/>
                  </w:tblGrid>
                  <w:tr>
                    <w:trPr>
                      <w:trHeight w:val="340" w:hRule="exact"/>
                    </w:trPr>
                    <w:tc>
                      <w:tcPr>
                        <w:tcW w:w="952" w:type="dxa"/>
                        <w:tcBorders>
                          <w:left w:val="single" w:sz="2" w:space="0" w:color="000000"/>
                          <w:bottom w:val="single" w:sz="3" w:space="0" w:color="000000"/>
                          <w:right w:val="single" w:sz="2" w:space="0" w:color="000000"/>
                        </w:tcBorders>
                      </w:tcPr>
                      <w:p>
                        <w:pPr>
                          <w:pStyle w:val="TableParagraph"/>
                          <w:spacing w:before="9"/>
                          <w:rPr>
                            <w:sz w:val="9"/>
                          </w:rPr>
                        </w:pPr>
                      </w:p>
                      <w:p>
                        <w:pPr>
                          <w:pStyle w:val="TableParagraph"/>
                          <w:ind w:left="12" w:right="-5"/>
                          <w:rPr>
                            <w:sz w:val="8"/>
                          </w:rPr>
                        </w:pPr>
                        <w:r>
                          <w:rPr>
                            <w:w w:val="90"/>
                            <w:sz w:val="8"/>
                          </w:rPr>
                          <w:t>Kim (2011)</w:t>
                        </w:r>
                      </w:p>
                    </w:tc>
                    <w:tc>
                      <w:tcPr>
                        <w:tcW w:w="878" w:type="dxa"/>
                        <w:tcBorders>
                          <w:left w:val="single" w:sz="2" w:space="0" w:color="000000"/>
                          <w:bottom w:val="single" w:sz="3" w:space="0" w:color="000000"/>
                        </w:tcBorders>
                      </w:tcPr>
                      <w:p>
                        <w:pPr>
                          <w:pStyle w:val="TableParagraph"/>
                          <w:spacing w:line="271" w:lineRule="auto" w:before="8"/>
                          <w:ind w:left="93" w:firstLine="12"/>
                          <w:rPr>
                            <w:sz w:val="8"/>
                          </w:rPr>
                        </w:pPr>
                        <w:r>
                          <w:rPr>
                            <w:w w:val="90"/>
                            <w:sz w:val="8"/>
                          </w:rPr>
                          <w:t>Emotional exhaustion, despersonalization and</w:t>
                        </w:r>
                      </w:p>
                      <w:p>
                        <w:pPr>
                          <w:pStyle w:val="TableParagraph"/>
                          <w:spacing w:before="1"/>
                          <w:ind w:left="56"/>
                          <w:rPr>
                            <w:sz w:val="8"/>
                          </w:rPr>
                        </w:pPr>
                        <w:r>
                          <w:rPr>
                            <w:w w:val="90"/>
                            <w:sz w:val="8"/>
                          </w:rPr>
                          <w:t>personal accomplishment</w:t>
                        </w:r>
                      </w:p>
                    </w:tc>
                    <w:tc>
                      <w:tcPr>
                        <w:tcW w:w="970" w:type="dxa"/>
                        <w:tcBorders>
                          <w:bottom w:val="single" w:sz="3" w:space="0" w:color="000000"/>
                          <w:right w:val="single" w:sz="2" w:space="0" w:color="000000"/>
                        </w:tcBorders>
                      </w:tcPr>
                      <w:p>
                        <w:pPr>
                          <w:pStyle w:val="TableParagraph"/>
                          <w:spacing w:before="9"/>
                          <w:rPr>
                            <w:sz w:val="9"/>
                          </w:rPr>
                        </w:pPr>
                      </w:p>
                      <w:p>
                        <w:pPr>
                          <w:pStyle w:val="TableParagraph"/>
                          <w:ind w:left="17" w:right="20"/>
                          <w:jc w:val="center"/>
                          <w:rPr>
                            <w:sz w:val="8"/>
                          </w:rPr>
                        </w:pPr>
                        <w:r>
                          <w:rPr>
                            <w:w w:val="90"/>
                            <w:sz w:val="8"/>
                          </w:rPr>
                          <w:t>Decision-making  authority</w:t>
                        </w:r>
                      </w:p>
                    </w:tc>
                    <w:tc>
                      <w:tcPr>
                        <w:tcW w:w="723" w:type="dxa"/>
                        <w:tcBorders>
                          <w:left w:val="single" w:sz="2" w:space="0" w:color="000000"/>
                          <w:bottom w:val="single" w:sz="3" w:space="0" w:color="000000"/>
                        </w:tcBorders>
                      </w:tcPr>
                      <w:p>
                        <w:pPr>
                          <w:pStyle w:val="TableParagraph"/>
                          <w:spacing w:before="9"/>
                          <w:rPr>
                            <w:sz w:val="9"/>
                          </w:rPr>
                        </w:pPr>
                      </w:p>
                      <w:p>
                        <w:pPr>
                          <w:pStyle w:val="TableParagraph"/>
                          <w:ind w:left="6" w:right="6"/>
                          <w:jc w:val="center"/>
                          <w:rPr>
                            <w:sz w:val="8"/>
                          </w:rPr>
                        </w:pPr>
                        <w:r>
                          <w:rPr>
                            <w:w w:val="90"/>
                            <w:sz w:val="8"/>
                          </w:rPr>
                          <w:t>Clinical social workers</w:t>
                        </w:r>
                      </w:p>
                    </w:tc>
                    <w:tc>
                      <w:tcPr>
                        <w:tcW w:w="680" w:type="dxa"/>
                        <w:tcBorders>
                          <w:bottom w:val="single" w:sz="3" w:space="0" w:color="000000"/>
                          <w:right w:val="single" w:sz="2" w:space="0" w:color="000000"/>
                        </w:tcBorders>
                      </w:tcPr>
                      <w:p>
                        <w:pPr>
                          <w:pStyle w:val="TableParagraph"/>
                          <w:spacing w:before="9"/>
                          <w:rPr>
                            <w:sz w:val="9"/>
                          </w:rPr>
                        </w:pPr>
                      </w:p>
                      <w:p>
                        <w:pPr>
                          <w:pStyle w:val="TableParagraph"/>
                          <w:ind w:left="24" w:right="29"/>
                          <w:jc w:val="center"/>
                          <w:rPr>
                            <w:sz w:val="8"/>
                          </w:rPr>
                        </w:pPr>
                        <w:r>
                          <w:rPr>
                            <w:sz w:val="8"/>
                          </w:rPr>
                          <w:t>ANOVA</w:t>
                        </w:r>
                      </w:p>
                    </w:tc>
                    <w:tc>
                      <w:tcPr>
                        <w:tcW w:w="717" w:type="dxa"/>
                        <w:tcBorders>
                          <w:left w:val="single" w:sz="2" w:space="0" w:color="000000"/>
                          <w:bottom w:val="single" w:sz="3" w:space="0" w:color="000000"/>
                        </w:tcBorders>
                      </w:tcPr>
                      <w:p>
                        <w:pPr>
                          <w:pStyle w:val="TableParagraph"/>
                          <w:spacing w:before="9"/>
                          <w:rPr>
                            <w:sz w:val="9"/>
                          </w:rPr>
                        </w:pPr>
                      </w:p>
                      <w:p>
                        <w:pPr>
                          <w:pStyle w:val="TableParagraph"/>
                          <w:ind w:left="40" w:right="40"/>
                          <w:jc w:val="center"/>
                          <w:rPr>
                            <w:sz w:val="8"/>
                          </w:rPr>
                        </w:pPr>
                        <w:r>
                          <w:rPr>
                            <w:w w:val="95"/>
                            <w:sz w:val="8"/>
                          </w:rPr>
                          <w:t>408 participants</w:t>
                        </w:r>
                      </w:p>
                    </w:tc>
                  </w:tr>
                  <w:tr>
                    <w:trPr>
                      <w:trHeight w:val="671" w:hRule="exact"/>
                    </w:trPr>
                    <w:tc>
                      <w:tcPr>
                        <w:tcW w:w="952" w:type="dxa"/>
                        <w:tcBorders>
                          <w:top w:val="single" w:sz="3" w:space="0" w:color="000000"/>
                          <w:left w:val="single" w:sz="2" w:space="0" w:color="000000"/>
                          <w:right w:val="single" w:sz="2" w:space="0" w:color="000000"/>
                        </w:tcBorders>
                      </w:tcPr>
                      <w:p>
                        <w:pPr>
                          <w:pStyle w:val="TableParagraph"/>
                          <w:rPr>
                            <w:sz w:val="8"/>
                          </w:rPr>
                        </w:pPr>
                      </w:p>
                      <w:p>
                        <w:pPr>
                          <w:pStyle w:val="TableParagraph"/>
                          <w:rPr>
                            <w:sz w:val="8"/>
                          </w:rPr>
                        </w:pPr>
                      </w:p>
                      <w:p>
                        <w:pPr>
                          <w:pStyle w:val="TableParagraph"/>
                          <w:spacing w:before="10"/>
                          <w:rPr>
                            <w:sz w:val="7"/>
                          </w:rPr>
                        </w:pPr>
                      </w:p>
                      <w:p>
                        <w:pPr>
                          <w:pStyle w:val="TableParagraph"/>
                          <w:ind w:left="12" w:right="-5"/>
                          <w:rPr>
                            <w:sz w:val="8"/>
                          </w:rPr>
                        </w:pPr>
                        <w:r>
                          <w:rPr>
                            <w:w w:val="95"/>
                            <w:sz w:val="8"/>
                          </w:rPr>
                          <w:t>Lee &amp; Akhtar (2011)</w:t>
                        </w:r>
                      </w:p>
                    </w:tc>
                    <w:tc>
                      <w:tcPr>
                        <w:tcW w:w="878" w:type="dxa"/>
                        <w:tcBorders>
                          <w:top w:val="single" w:sz="3" w:space="0" w:color="000000"/>
                          <w:left w:val="single" w:sz="2" w:space="0" w:color="000000"/>
                        </w:tcBorders>
                      </w:tcPr>
                      <w:p>
                        <w:pPr>
                          <w:pStyle w:val="TableParagraph"/>
                          <w:rPr>
                            <w:sz w:val="8"/>
                          </w:rPr>
                        </w:pPr>
                      </w:p>
                      <w:p>
                        <w:pPr>
                          <w:pStyle w:val="TableParagraph"/>
                          <w:spacing w:before="9"/>
                          <w:rPr>
                            <w:sz w:val="6"/>
                          </w:rPr>
                        </w:pPr>
                      </w:p>
                      <w:p>
                        <w:pPr>
                          <w:pStyle w:val="TableParagraph"/>
                          <w:spacing w:line="271" w:lineRule="auto"/>
                          <w:ind w:left="93" w:firstLine="12"/>
                          <w:rPr>
                            <w:sz w:val="8"/>
                          </w:rPr>
                        </w:pPr>
                        <w:r>
                          <w:rPr>
                            <w:w w:val="90"/>
                            <w:sz w:val="8"/>
                          </w:rPr>
                          <w:t>Emotional exhaustion, despersonalization and</w:t>
                        </w:r>
                      </w:p>
                      <w:p>
                        <w:pPr>
                          <w:pStyle w:val="TableParagraph"/>
                          <w:spacing w:before="1"/>
                          <w:ind w:left="56"/>
                          <w:rPr>
                            <w:sz w:val="8"/>
                          </w:rPr>
                        </w:pPr>
                        <w:r>
                          <w:rPr>
                            <w:w w:val="90"/>
                            <w:sz w:val="8"/>
                          </w:rPr>
                          <w:t>personal accomplishment</w:t>
                        </w:r>
                      </w:p>
                    </w:tc>
                    <w:tc>
                      <w:tcPr>
                        <w:tcW w:w="970" w:type="dxa"/>
                        <w:tcBorders>
                          <w:top w:val="single" w:sz="3" w:space="0" w:color="000000"/>
                          <w:right w:val="single" w:sz="2" w:space="0" w:color="000000"/>
                        </w:tcBorders>
                      </w:tcPr>
                      <w:p>
                        <w:pPr>
                          <w:pStyle w:val="TableParagraph"/>
                          <w:rPr>
                            <w:sz w:val="8"/>
                          </w:rPr>
                        </w:pPr>
                      </w:p>
                      <w:p>
                        <w:pPr>
                          <w:pStyle w:val="TableParagraph"/>
                          <w:rPr>
                            <w:sz w:val="8"/>
                          </w:rPr>
                        </w:pPr>
                      </w:p>
                      <w:p>
                        <w:pPr>
                          <w:pStyle w:val="TableParagraph"/>
                          <w:spacing w:before="10"/>
                          <w:rPr>
                            <w:sz w:val="7"/>
                          </w:rPr>
                        </w:pPr>
                      </w:p>
                      <w:p>
                        <w:pPr>
                          <w:pStyle w:val="TableParagraph"/>
                          <w:ind w:left="18" w:right="18"/>
                          <w:jc w:val="center"/>
                          <w:rPr>
                            <w:sz w:val="8"/>
                          </w:rPr>
                        </w:pPr>
                        <w:r>
                          <w:rPr>
                            <w:w w:val="90"/>
                            <w:sz w:val="8"/>
                          </w:rPr>
                          <w:t>Job demands</w:t>
                        </w:r>
                      </w:p>
                    </w:tc>
                    <w:tc>
                      <w:tcPr>
                        <w:tcW w:w="723" w:type="dxa"/>
                        <w:tcBorders>
                          <w:top w:val="single" w:sz="3" w:space="0" w:color="000000"/>
                          <w:left w:val="single" w:sz="2" w:space="0" w:color="000000"/>
                        </w:tcBorders>
                      </w:tcPr>
                      <w:p>
                        <w:pPr>
                          <w:pStyle w:val="TableParagraph"/>
                          <w:rPr>
                            <w:sz w:val="8"/>
                          </w:rPr>
                        </w:pPr>
                      </w:p>
                      <w:p>
                        <w:pPr>
                          <w:pStyle w:val="TableParagraph"/>
                          <w:rPr>
                            <w:sz w:val="8"/>
                          </w:rPr>
                        </w:pPr>
                      </w:p>
                      <w:p>
                        <w:pPr>
                          <w:pStyle w:val="TableParagraph"/>
                          <w:spacing w:before="10"/>
                          <w:rPr>
                            <w:sz w:val="7"/>
                          </w:rPr>
                        </w:pPr>
                      </w:p>
                      <w:p>
                        <w:pPr>
                          <w:pStyle w:val="TableParagraph"/>
                          <w:ind w:left="6" w:right="6"/>
                          <w:jc w:val="center"/>
                          <w:rPr>
                            <w:sz w:val="8"/>
                          </w:rPr>
                        </w:pPr>
                        <w:r>
                          <w:rPr>
                            <w:sz w:val="8"/>
                          </w:rPr>
                          <w:t>Nurses</w:t>
                        </w:r>
                      </w:p>
                    </w:tc>
                    <w:tc>
                      <w:tcPr>
                        <w:tcW w:w="680" w:type="dxa"/>
                        <w:tcBorders>
                          <w:top w:val="single" w:sz="3" w:space="0" w:color="000000"/>
                          <w:right w:val="single" w:sz="2" w:space="0" w:color="000000"/>
                        </w:tcBorders>
                      </w:tcPr>
                      <w:p>
                        <w:pPr>
                          <w:pStyle w:val="TableParagraph"/>
                          <w:spacing w:before="3"/>
                          <w:rPr>
                            <w:sz w:val="10"/>
                          </w:rPr>
                        </w:pPr>
                      </w:p>
                      <w:p>
                        <w:pPr>
                          <w:pStyle w:val="TableParagraph"/>
                          <w:spacing w:line="271" w:lineRule="auto" w:before="1"/>
                          <w:ind w:left="32" w:right="29"/>
                          <w:jc w:val="center"/>
                          <w:rPr>
                            <w:sz w:val="8"/>
                          </w:rPr>
                        </w:pPr>
                        <w:r>
                          <w:rPr>
                            <w:w w:val="90"/>
                            <w:sz w:val="8"/>
                          </w:rPr>
                          <w:t>Confirmatory factor </w:t>
                        </w:r>
                        <w:r>
                          <w:rPr>
                            <w:sz w:val="8"/>
                          </w:rPr>
                          <w:t>analysis and </w:t>
                        </w:r>
                        <w:r>
                          <w:rPr>
                            <w:w w:val="95"/>
                            <w:sz w:val="8"/>
                          </w:rPr>
                          <w:t>structural equations </w:t>
                        </w:r>
                        <w:r>
                          <w:rPr>
                            <w:sz w:val="8"/>
                          </w:rPr>
                          <w:t>models</w:t>
                        </w:r>
                      </w:p>
                    </w:tc>
                    <w:tc>
                      <w:tcPr>
                        <w:tcW w:w="717" w:type="dxa"/>
                        <w:tcBorders>
                          <w:top w:val="single" w:sz="3" w:space="0" w:color="000000"/>
                          <w:left w:val="single" w:sz="2" w:space="0" w:color="000000"/>
                        </w:tcBorders>
                      </w:tcPr>
                      <w:p>
                        <w:pPr>
                          <w:pStyle w:val="TableParagraph"/>
                          <w:rPr>
                            <w:sz w:val="8"/>
                          </w:rPr>
                        </w:pPr>
                      </w:p>
                      <w:p>
                        <w:pPr>
                          <w:pStyle w:val="TableParagraph"/>
                          <w:rPr>
                            <w:sz w:val="8"/>
                          </w:rPr>
                        </w:pPr>
                      </w:p>
                      <w:p>
                        <w:pPr>
                          <w:pStyle w:val="TableParagraph"/>
                          <w:spacing w:before="10"/>
                          <w:rPr>
                            <w:sz w:val="7"/>
                          </w:rPr>
                        </w:pPr>
                      </w:p>
                      <w:p>
                        <w:pPr>
                          <w:pStyle w:val="TableParagraph"/>
                          <w:ind w:left="40" w:right="40"/>
                          <w:jc w:val="center"/>
                          <w:rPr>
                            <w:sz w:val="8"/>
                          </w:rPr>
                        </w:pPr>
                        <w:r>
                          <w:rPr>
                            <w:w w:val="95"/>
                            <w:sz w:val="8"/>
                          </w:rPr>
                          <w:t>1190 participants</w:t>
                        </w:r>
                      </w:p>
                    </w:tc>
                  </w:tr>
                  <w:tr>
                    <w:trPr>
                      <w:trHeight w:val="450" w:hRule="exact"/>
                    </w:trPr>
                    <w:tc>
                      <w:tcPr>
                        <w:tcW w:w="952" w:type="dxa"/>
                        <w:tcBorders>
                          <w:left w:val="single" w:sz="2" w:space="0" w:color="000000"/>
                          <w:right w:val="single" w:sz="2" w:space="0" w:color="000000"/>
                        </w:tcBorders>
                      </w:tcPr>
                      <w:p>
                        <w:pPr>
                          <w:pStyle w:val="TableParagraph"/>
                          <w:rPr>
                            <w:sz w:val="8"/>
                          </w:rPr>
                        </w:pPr>
                      </w:p>
                      <w:p>
                        <w:pPr>
                          <w:pStyle w:val="TableParagraph"/>
                          <w:spacing w:before="4"/>
                          <w:rPr>
                            <w:sz w:val="6"/>
                          </w:rPr>
                        </w:pPr>
                      </w:p>
                      <w:p>
                        <w:pPr>
                          <w:pStyle w:val="TableParagraph"/>
                          <w:ind w:left="12" w:right="-5"/>
                          <w:rPr>
                            <w:sz w:val="8"/>
                          </w:rPr>
                        </w:pPr>
                        <w:r>
                          <w:rPr>
                            <w:w w:val="95"/>
                            <w:sz w:val="8"/>
                          </w:rPr>
                          <w:t>Monsert (2011)</w:t>
                        </w:r>
                      </w:p>
                    </w:tc>
                    <w:tc>
                      <w:tcPr>
                        <w:tcW w:w="878" w:type="dxa"/>
                        <w:tcBorders>
                          <w:left w:val="single" w:sz="2" w:space="0" w:color="000000"/>
                        </w:tcBorders>
                      </w:tcPr>
                      <w:p>
                        <w:pPr>
                          <w:pStyle w:val="TableParagraph"/>
                          <w:spacing w:line="271" w:lineRule="auto" w:before="61"/>
                          <w:ind w:left="93" w:firstLine="12"/>
                          <w:rPr>
                            <w:sz w:val="8"/>
                          </w:rPr>
                        </w:pPr>
                        <w:r>
                          <w:rPr>
                            <w:w w:val="90"/>
                            <w:sz w:val="8"/>
                          </w:rPr>
                          <w:t>Emotional exhaustion, despersonalization and</w:t>
                        </w:r>
                      </w:p>
                      <w:p>
                        <w:pPr>
                          <w:pStyle w:val="TableParagraph"/>
                          <w:spacing w:before="1"/>
                          <w:ind w:left="56"/>
                          <w:rPr>
                            <w:sz w:val="8"/>
                          </w:rPr>
                        </w:pPr>
                        <w:r>
                          <w:rPr>
                            <w:w w:val="90"/>
                            <w:sz w:val="8"/>
                          </w:rPr>
                          <w:t>personal accomplishment</w:t>
                        </w:r>
                      </w:p>
                    </w:tc>
                    <w:tc>
                      <w:tcPr>
                        <w:tcW w:w="970" w:type="dxa"/>
                        <w:tcBorders>
                          <w:right w:val="single" w:sz="2" w:space="0" w:color="000000"/>
                        </w:tcBorders>
                      </w:tcPr>
                      <w:p>
                        <w:pPr>
                          <w:pStyle w:val="TableParagraph"/>
                          <w:spacing w:before="9"/>
                          <w:rPr>
                            <w:sz w:val="9"/>
                          </w:rPr>
                        </w:pPr>
                      </w:p>
                      <w:p>
                        <w:pPr>
                          <w:pStyle w:val="TableParagraph"/>
                          <w:spacing w:line="271" w:lineRule="auto"/>
                          <w:ind w:left="135" w:right="-11" w:hanging="118"/>
                          <w:rPr>
                            <w:sz w:val="8"/>
                          </w:rPr>
                        </w:pPr>
                        <w:r>
                          <w:rPr>
                            <w:w w:val="95"/>
                            <w:sz w:val="8"/>
                          </w:rPr>
                          <w:t>Job demand, coworker support and supervisor support</w:t>
                        </w:r>
                      </w:p>
                    </w:tc>
                    <w:tc>
                      <w:tcPr>
                        <w:tcW w:w="723" w:type="dxa"/>
                        <w:tcBorders>
                          <w:left w:val="single" w:sz="2" w:space="0" w:color="000000"/>
                        </w:tcBorders>
                      </w:tcPr>
                      <w:p>
                        <w:pPr>
                          <w:pStyle w:val="TableParagraph"/>
                          <w:spacing w:before="9"/>
                          <w:rPr>
                            <w:sz w:val="9"/>
                          </w:rPr>
                        </w:pPr>
                      </w:p>
                      <w:p>
                        <w:pPr>
                          <w:pStyle w:val="TableParagraph"/>
                          <w:spacing w:line="271" w:lineRule="auto"/>
                          <w:ind w:left="37" w:right="41" w:firstLine="74"/>
                          <w:rPr>
                            <w:sz w:val="8"/>
                          </w:rPr>
                        </w:pPr>
                        <w:r>
                          <w:rPr>
                            <w:sz w:val="8"/>
                          </w:rPr>
                          <w:t>Employes of the </w:t>
                        </w:r>
                        <w:r>
                          <w:rPr>
                            <w:w w:val="90"/>
                            <w:sz w:val="8"/>
                          </w:rPr>
                          <w:t>earthmoving industry</w:t>
                        </w:r>
                      </w:p>
                    </w:tc>
                    <w:tc>
                      <w:tcPr>
                        <w:tcW w:w="680" w:type="dxa"/>
                        <w:tcBorders>
                          <w:right w:val="single" w:sz="2" w:space="0" w:color="000000"/>
                        </w:tcBorders>
                      </w:tcPr>
                      <w:p>
                        <w:pPr>
                          <w:pStyle w:val="TableParagraph"/>
                          <w:spacing w:before="9"/>
                          <w:rPr>
                            <w:sz w:val="9"/>
                          </w:rPr>
                        </w:pPr>
                      </w:p>
                      <w:p>
                        <w:pPr>
                          <w:pStyle w:val="TableParagraph"/>
                          <w:spacing w:line="271" w:lineRule="auto"/>
                          <w:ind w:left="55" w:right="40" w:firstLine="136"/>
                          <w:rPr>
                            <w:sz w:val="8"/>
                          </w:rPr>
                        </w:pPr>
                        <w:r>
                          <w:rPr>
                            <w:sz w:val="8"/>
                          </w:rPr>
                          <w:t>Structural </w:t>
                        </w:r>
                        <w:r>
                          <w:rPr>
                            <w:w w:val="90"/>
                            <w:sz w:val="8"/>
                          </w:rPr>
                          <w:t>equation modelling</w:t>
                        </w:r>
                      </w:p>
                    </w:tc>
                    <w:tc>
                      <w:tcPr>
                        <w:tcW w:w="717" w:type="dxa"/>
                        <w:tcBorders>
                          <w:left w:val="single" w:sz="2" w:space="0" w:color="000000"/>
                        </w:tcBorders>
                      </w:tcPr>
                      <w:p>
                        <w:pPr>
                          <w:pStyle w:val="TableParagraph"/>
                          <w:rPr>
                            <w:sz w:val="8"/>
                          </w:rPr>
                        </w:pPr>
                      </w:p>
                      <w:p>
                        <w:pPr>
                          <w:pStyle w:val="TableParagraph"/>
                          <w:spacing w:before="4"/>
                          <w:rPr>
                            <w:sz w:val="6"/>
                          </w:rPr>
                        </w:pPr>
                      </w:p>
                      <w:p>
                        <w:pPr>
                          <w:pStyle w:val="TableParagraph"/>
                          <w:ind w:left="40" w:right="40"/>
                          <w:jc w:val="center"/>
                          <w:rPr>
                            <w:sz w:val="8"/>
                          </w:rPr>
                        </w:pPr>
                        <w:r>
                          <w:rPr>
                            <w:w w:val="95"/>
                            <w:sz w:val="8"/>
                          </w:rPr>
                          <w:t>330 participants</w:t>
                        </w:r>
                      </w:p>
                    </w:tc>
                  </w:tr>
                  <w:tr>
                    <w:trPr>
                      <w:trHeight w:val="672" w:hRule="exact"/>
                    </w:trPr>
                    <w:tc>
                      <w:tcPr>
                        <w:tcW w:w="952" w:type="dxa"/>
                        <w:tcBorders>
                          <w:left w:val="single" w:sz="2" w:space="0" w:color="000000"/>
                          <w:right w:val="single" w:sz="2" w:space="0" w:color="000000"/>
                        </w:tcBorders>
                      </w:tcPr>
                      <w:p>
                        <w:pPr>
                          <w:pStyle w:val="TableParagraph"/>
                          <w:rPr>
                            <w:sz w:val="8"/>
                          </w:rPr>
                        </w:pPr>
                      </w:p>
                      <w:p>
                        <w:pPr>
                          <w:pStyle w:val="TableParagraph"/>
                          <w:rPr>
                            <w:sz w:val="8"/>
                          </w:rPr>
                        </w:pPr>
                      </w:p>
                      <w:p>
                        <w:pPr>
                          <w:pStyle w:val="TableParagraph"/>
                          <w:spacing w:before="11"/>
                          <w:rPr>
                            <w:sz w:val="7"/>
                          </w:rPr>
                        </w:pPr>
                      </w:p>
                      <w:p>
                        <w:pPr>
                          <w:pStyle w:val="TableParagraph"/>
                          <w:ind w:left="12" w:right="-5"/>
                          <w:rPr>
                            <w:sz w:val="8"/>
                          </w:rPr>
                        </w:pPr>
                        <w:r>
                          <w:rPr>
                            <w:w w:val="95"/>
                            <w:sz w:val="8"/>
                          </w:rPr>
                          <w:t>Vilardaga et al. (2011)</w:t>
                        </w:r>
                      </w:p>
                    </w:tc>
                    <w:tc>
                      <w:tcPr>
                        <w:tcW w:w="878" w:type="dxa"/>
                        <w:tcBorders>
                          <w:left w:val="single" w:sz="2" w:space="0" w:color="000000"/>
                        </w:tcBorders>
                      </w:tcPr>
                      <w:p>
                        <w:pPr>
                          <w:pStyle w:val="TableParagraph"/>
                          <w:rPr>
                            <w:sz w:val="8"/>
                          </w:rPr>
                        </w:pPr>
                      </w:p>
                      <w:p>
                        <w:pPr>
                          <w:pStyle w:val="TableParagraph"/>
                          <w:spacing w:before="10"/>
                          <w:rPr>
                            <w:sz w:val="6"/>
                          </w:rPr>
                        </w:pPr>
                      </w:p>
                      <w:p>
                        <w:pPr>
                          <w:pStyle w:val="TableParagraph"/>
                          <w:spacing w:line="271" w:lineRule="auto"/>
                          <w:ind w:left="93" w:firstLine="12"/>
                          <w:rPr>
                            <w:sz w:val="8"/>
                          </w:rPr>
                        </w:pPr>
                        <w:r>
                          <w:rPr>
                            <w:w w:val="90"/>
                            <w:sz w:val="8"/>
                          </w:rPr>
                          <w:t>Emotional exhaustion, despersonalization and</w:t>
                        </w:r>
                      </w:p>
                      <w:p>
                        <w:pPr>
                          <w:pStyle w:val="TableParagraph"/>
                          <w:spacing w:before="1"/>
                          <w:ind w:left="56"/>
                          <w:rPr>
                            <w:sz w:val="8"/>
                          </w:rPr>
                        </w:pPr>
                        <w:r>
                          <w:rPr>
                            <w:w w:val="90"/>
                            <w:sz w:val="8"/>
                          </w:rPr>
                          <w:t>personal accomplishment</w:t>
                        </w:r>
                      </w:p>
                    </w:tc>
                    <w:tc>
                      <w:tcPr>
                        <w:tcW w:w="970" w:type="dxa"/>
                        <w:tcBorders>
                          <w:right w:val="single" w:sz="2" w:space="0" w:color="000000"/>
                        </w:tcBorders>
                      </w:tcPr>
                      <w:p>
                        <w:pPr>
                          <w:pStyle w:val="TableParagraph"/>
                          <w:rPr>
                            <w:sz w:val="8"/>
                          </w:rPr>
                        </w:pPr>
                      </w:p>
                      <w:p>
                        <w:pPr>
                          <w:pStyle w:val="TableParagraph"/>
                          <w:spacing w:before="5"/>
                          <w:rPr>
                            <w:sz w:val="11"/>
                          </w:rPr>
                        </w:pPr>
                      </w:p>
                      <w:p>
                        <w:pPr>
                          <w:pStyle w:val="TableParagraph"/>
                          <w:spacing w:line="268" w:lineRule="auto"/>
                          <w:ind w:left="129" w:right="8" w:hanging="106"/>
                          <w:rPr>
                            <w:sz w:val="8"/>
                          </w:rPr>
                        </w:pPr>
                        <w:r>
                          <w:rPr>
                            <w:w w:val="95"/>
                            <w:sz w:val="8"/>
                          </w:rPr>
                          <w:t>Job control, coworker support and supervisor support</w:t>
                        </w:r>
                      </w:p>
                    </w:tc>
                    <w:tc>
                      <w:tcPr>
                        <w:tcW w:w="723" w:type="dxa"/>
                        <w:tcBorders>
                          <w:left w:val="single" w:sz="2" w:space="0" w:color="000000"/>
                        </w:tcBorders>
                      </w:tcPr>
                      <w:p>
                        <w:pPr>
                          <w:pStyle w:val="TableParagraph"/>
                          <w:rPr>
                            <w:sz w:val="8"/>
                          </w:rPr>
                        </w:pPr>
                      </w:p>
                      <w:p>
                        <w:pPr>
                          <w:pStyle w:val="TableParagraph"/>
                          <w:spacing w:before="5"/>
                          <w:rPr>
                            <w:sz w:val="11"/>
                          </w:rPr>
                        </w:pPr>
                      </w:p>
                      <w:p>
                        <w:pPr>
                          <w:pStyle w:val="TableParagraph"/>
                          <w:spacing w:line="268" w:lineRule="auto"/>
                          <w:ind w:left="204" w:right="-8" w:hanging="191"/>
                          <w:rPr>
                            <w:sz w:val="8"/>
                          </w:rPr>
                        </w:pPr>
                        <w:r>
                          <w:rPr>
                            <w:w w:val="95"/>
                            <w:sz w:val="8"/>
                          </w:rPr>
                          <w:t>Alcohol</w:t>
                        </w:r>
                        <w:r>
                          <w:rPr>
                            <w:spacing w:val="-11"/>
                            <w:w w:val="95"/>
                            <w:sz w:val="8"/>
                          </w:rPr>
                          <w:t> </w:t>
                        </w:r>
                        <w:r>
                          <w:rPr>
                            <w:w w:val="95"/>
                            <w:sz w:val="8"/>
                          </w:rPr>
                          <w:t>and</w:t>
                        </w:r>
                        <w:r>
                          <w:rPr>
                            <w:spacing w:val="-9"/>
                            <w:w w:val="95"/>
                            <w:sz w:val="8"/>
                          </w:rPr>
                          <w:t> </w:t>
                        </w:r>
                        <w:r>
                          <w:rPr>
                            <w:w w:val="95"/>
                            <w:sz w:val="8"/>
                          </w:rPr>
                          <w:t>drug</w:t>
                        </w:r>
                        <w:r>
                          <w:rPr>
                            <w:spacing w:val="-13"/>
                            <w:w w:val="95"/>
                            <w:sz w:val="8"/>
                          </w:rPr>
                          <w:t> </w:t>
                        </w:r>
                        <w:r>
                          <w:rPr>
                            <w:w w:val="95"/>
                            <w:sz w:val="8"/>
                          </w:rPr>
                          <w:t>abuse </w:t>
                        </w:r>
                        <w:r>
                          <w:rPr>
                            <w:sz w:val="8"/>
                          </w:rPr>
                          <w:t>counselors</w:t>
                        </w:r>
                      </w:p>
                    </w:tc>
                    <w:tc>
                      <w:tcPr>
                        <w:tcW w:w="680" w:type="dxa"/>
                        <w:tcBorders>
                          <w:right w:val="single" w:sz="2" w:space="0" w:color="000000"/>
                        </w:tcBorders>
                      </w:tcPr>
                      <w:p>
                        <w:pPr>
                          <w:pStyle w:val="TableParagraph"/>
                          <w:rPr>
                            <w:sz w:val="8"/>
                          </w:rPr>
                        </w:pPr>
                      </w:p>
                      <w:p>
                        <w:pPr>
                          <w:pStyle w:val="TableParagraph"/>
                          <w:rPr>
                            <w:sz w:val="8"/>
                          </w:rPr>
                        </w:pPr>
                      </w:p>
                      <w:p>
                        <w:pPr>
                          <w:pStyle w:val="TableParagraph"/>
                          <w:spacing w:before="11"/>
                          <w:rPr>
                            <w:sz w:val="7"/>
                          </w:rPr>
                        </w:pPr>
                      </w:p>
                      <w:p>
                        <w:pPr>
                          <w:pStyle w:val="TableParagraph"/>
                          <w:ind w:left="34" w:right="29"/>
                          <w:jc w:val="center"/>
                          <w:rPr>
                            <w:sz w:val="8"/>
                          </w:rPr>
                        </w:pPr>
                        <w:r>
                          <w:rPr>
                            <w:w w:val="90"/>
                            <w:sz w:val="8"/>
                          </w:rPr>
                          <w:t>Regression analysis</w:t>
                        </w:r>
                      </w:p>
                    </w:tc>
                    <w:tc>
                      <w:tcPr>
                        <w:tcW w:w="717" w:type="dxa"/>
                        <w:tcBorders>
                          <w:left w:val="single" w:sz="2" w:space="0" w:color="000000"/>
                        </w:tcBorders>
                      </w:tcPr>
                      <w:p>
                        <w:pPr>
                          <w:pStyle w:val="TableParagraph"/>
                          <w:rPr>
                            <w:sz w:val="8"/>
                          </w:rPr>
                        </w:pPr>
                      </w:p>
                      <w:p>
                        <w:pPr>
                          <w:pStyle w:val="TableParagraph"/>
                          <w:rPr>
                            <w:sz w:val="8"/>
                          </w:rPr>
                        </w:pPr>
                      </w:p>
                      <w:p>
                        <w:pPr>
                          <w:pStyle w:val="TableParagraph"/>
                          <w:spacing w:before="11"/>
                          <w:rPr>
                            <w:sz w:val="7"/>
                          </w:rPr>
                        </w:pPr>
                      </w:p>
                      <w:p>
                        <w:pPr>
                          <w:pStyle w:val="TableParagraph"/>
                          <w:ind w:left="46" w:right="40"/>
                          <w:jc w:val="center"/>
                          <w:rPr>
                            <w:sz w:val="8"/>
                          </w:rPr>
                        </w:pPr>
                        <w:r>
                          <w:rPr>
                            <w:w w:val="95"/>
                            <w:sz w:val="8"/>
                          </w:rPr>
                          <w:t>699 partcipants</w:t>
                        </w:r>
                      </w:p>
                    </w:tc>
                  </w:tr>
                  <w:tr>
                    <w:trPr>
                      <w:trHeight w:val="450" w:hRule="exact"/>
                    </w:trPr>
                    <w:tc>
                      <w:tcPr>
                        <w:tcW w:w="952" w:type="dxa"/>
                        <w:tcBorders>
                          <w:left w:val="single" w:sz="2" w:space="0" w:color="000000"/>
                          <w:right w:val="single" w:sz="2" w:space="0" w:color="000000"/>
                        </w:tcBorders>
                      </w:tcPr>
                      <w:p>
                        <w:pPr>
                          <w:pStyle w:val="TableParagraph"/>
                          <w:rPr>
                            <w:sz w:val="8"/>
                          </w:rPr>
                        </w:pPr>
                      </w:p>
                      <w:p>
                        <w:pPr>
                          <w:pStyle w:val="TableParagraph"/>
                          <w:spacing w:before="3"/>
                          <w:rPr>
                            <w:sz w:val="6"/>
                          </w:rPr>
                        </w:pPr>
                      </w:p>
                      <w:p>
                        <w:pPr>
                          <w:pStyle w:val="TableParagraph"/>
                          <w:ind w:left="12" w:right="-5"/>
                          <w:rPr>
                            <w:sz w:val="8"/>
                          </w:rPr>
                        </w:pPr>
                        <w:r>
                          <w:rPr>
                            <w:w w:val="95"/>
                            <w:sz w:val="8"/>
                          </w:rPr>
                          <w:t>Awang et al. (2012)</w:t>
                        </w:r>
                      </w:p>
                    </w:tc>
                    <w:tc>
                      <w:tcPr>
                        <w:tcW w:w="878" w:type="dxa"/>
                        <w:tcBorders>
                          <w:left w:val="single" w:sz="2" w:space="0" w:color="000000"/>
                        </w:tcBorders>
                      </w:tcPr>
                      <w:p>
                        <w:pPr>
                          <w:pStyle w:val="TableParagraph"/>
                          <w:rPr>
                            <w:sz w:val="8"/>
                          </w:rPr>
                        </w:pPr>
                      </w:p>
                      <w:p>
                        <w:pPr>
                          <w:pStyle w:val="TableParagraph"/>
                          <w:spacing w:before="3"/>
                          <w:rPr>
                            <w:sz w:val="6"/>
                          </w:rPr>
                        </w:pPr>
                      </w:p>
                      <w:p>
                        <w:pPr>
                          <w:pStyle w:val="TableParagraph"/>
                          <w:ind w:left="117"/>
                          <w:rPr>
                            <w:sz w:val="8"/>
                          </w:rPr>
                        </w:pPr>
                        <w:r>
                          <w:rPr>
                            <w:w w:val="90"/>
                            <w:sz w:val="8"/>
                          </w:rPr>
                          <w:t>Emotional exhaustion</w:t>
                        </w:r>
                      </w:p>
                    </w:tc>
                    <w:tc>
                      <w:tcPr>
                        <w:tcW w:w="970" w:type="dxa"/>
                        <w:tcBorders>
                          <w:right w:val="single" w:sz="2" w:space="0" w:color="000000"/>
                        </w:tcBorders>
                      </w:tcPr>
                      <w:p>
                        <w:pPr>
                          <w:pStyle w:val="TableParagraph"/>
                          <w:rPr>
                            <w:sz w:val="8"/>
                          </w:rPr>
                        </w:pPr>
                      </w:p>
                      <w:p>
                        <w:pPr>
                          <w:pStyle w:val="TableParagraph"/>
                          <w:spacing w:before="3"/>
                          <w:rPr>
                            <w:sz w:val="6"/>
                          </w:rPr>
                        </w:pPr>
                      </w:p>
                      <w:p>
                        <w:pPr>
                          <w:pStyle w:val="TableParagraph"/>
                          <w:ind w:left="18" w:right="14"/>
                          <w:jc w:val="center"/>
                          <w:rPr>
                            <w:sz w:val="8"/>
                          </w:rPr>
                        </w:pPr>
                        <w:r>
                          <w:rPr>
                            <w:w w:val="90"/>
                            <w:sz w:val="8"/>
                          </w:rPr>
                          <w:t>Psychological demands</w:t>
                        </w:r>
                      </w:p>
                    </w:tc>
                    <w:tc>
                      <w:tcPr>
                        <w:tcW w:w="723" w:type="dxa"/>
                        <w:tcBorders>
                          <w:left w:val="single" w:sz="2" w:space="0" w:color="000000"/>
                        </w:tcBorders>
                      </w:tcPr>
                      <w:p>
                        <w:pPr>
                          <w:pStyle w:val="TableParagraph"/>
                          <w:rPr>
                            <w:sz w:val="8"/>
                          </w:rPr>
                        </w:pPr>
                      </w:p>
                      <w:p>
                        <w:pPr>
                          <w:pStyle w:val="TableParagraph"/>
                          <w:spacing w:before="6"/>
                          <w:rPr>
                            <w:sz w:val="7"/>
                          </w:rPr>
                        </w:pPr>
                      </w:p>
                      <w:p>
                        <w:pPr>
                          <w:pStyle w:val="TableParagraph"/>
                          <w:ind w:left="6" w:right="13"/>
                          <w:jc w:val="center"/>
                          <w:rPr>
                            <w:sz w:val="8"/>
                          </w:rPr>
                        </w:pPr>
                        <w:r>
                          <w:rPr>
                            <w:color w:val="211F1F"/>
                            <w:sz w:val="8"/>
                          </w:rPr>
                          <w:t>Health care workers</w:t>
                        </w:r>
                      </w:p>
                    </w:tc>
                    <w:tc>
                      <w:tcPr>
                        <w:tcW w:w="680" w:type="dxa"/>
                        <w:tcBorders>
                          <w:right w:val="single" w:sz="2" w:space="0" w:color="000000"/>
                        </w:tcBorders>
                      </w:tcPr>
                      <w:p>
                        <w:pPr>
                          <w:pStyle w:val="TableParagraph"/>
                          <w:spacing w:before="9"/>
                          <w:rPr>
                            <w:sz w:val="9"/>
                          </w:rPr>
                        </w:pPr>
                      </w:p>
                      <w:p>
                        <w:pPr>
                          <w:pStyle w:val="TableParagraph"/>
                          <w:spacing w:line="271" w:lineRule="auto"/>
                          <w:ind w:left="203" w:right="-15" w:hanging="136"/>
                          <w:rPr>
                            <w:sz w:val="8"/>
                          </w:rPr>
                        </w:pPr>
                        <w:r>
                          <w:rPr>
                            <w:w w:val="90"/>
                            <w:sz w:val="8"/>
                          </w:rPr>
                          <w:t>Hierarchical linear </w:t>
                        </w:r>
                        <w:r>
                          <w:rPr>
                            <w:sz w:val="8"/>
                          </w:rPr>
                          <w:t>modeling</w:t>
                        </w:r>
                      </w:p>
                    </w:tc>
                    <w:tc>
                      <w:tcPr>
                        <w:tcW w:w="717" w:type="dxa"/>
                        <w:tcBorders>
                          <w:left w:val="single" w:sz="2" w:space="0" w:color="000000"/>
                        </w:tcBorders>
                      </w:tcPr>
                      <w:p>
                        <w:pPr>
                          <w:pStyle w:val="TableParagraph"/>
                          <w:rPr>
                            <w:sz w:val="8"/>
                          </w:rPr>
                        </w:pPr>
                      </w:p>
                      <w:p>
                        <w:pPr>
                          <w:pStyle w:val="TableParagraph"/>
                          <w:spacing w:before="3"/>
                          <w:rPr>
                            <w:sz w:val="6"/>
                          </w:rPr>
                        </w:pPr>
                      </w:p>
                      <w:p>
                        <w:pPr>
                          <w:pStyle w:val="TableParagraph"/>
                          <w:ind w:left="40" w:right="40"/>
                          <w:jc w:val="center"/>
                          <w:rPr>
                            <w:sz w:val="8"/>
                          </w:rPr>
                        </w:pPr>
                        <w:r>
                          <w:rPr>
                            <w:w w:val="95"/>
                            <w:sz w:val="8"/>
                          </w:rPr>
                          <w:t>126 participants</w:t>
                        </w:r>
                      </w:p>
                    </w:tc>
                  </w:tr>
                  <w:tr>
                    <w:trPr>
                      <w:trHeight w:val="340" w:hRule="exact"/>
                    </w:trPr>
                    <w:tc>
                      <w:tcPr>
                        <w:tcW w:w="952" w:type="dxa"/>
                        <w:tcBorders>
                          <w:left w:val="single" w:sz="2" w:space="0" w:color="000000"/>
                          <w:bottom w:val="single" w:sz="3" w:space="0" w:color="000000"/>
                          <w:right w:val="single" w:sz="2" w:space="0" w:color="000000"/>
                        </w:tcBorders>
                      </w:tcPr>
                      <w:p>
                        <w:pPr>
                          <w:pStyle w:val="TableParagraph"/>
                          <w:spacing w:before="9"/>
                          <w:rPr>
                            <w:sz w:val="9"/>
                          </w:rPr>
                        </w:pPr>
                      </w:p>
                      <w:p>
                        <w:pPr>
                          <w:pStyle w:val="TableParagraph"/>
                          <w:ind w:left="12" w:right="-5"/>
                          <w:rPr>
                            <w:sz w:val="8"/>
                          </w:rPr>
                        </w:pPr>
                        <w:r>
                          <w:rPr>
                            <w:w w:val="95"/>
                            <w:sz w:val="8"/>
                          </w:rPr>
                          <w:t>Cheng et al. (2013)</w:t>
                        </w:r>
                      </w:p>
                    </w:tc>
                    <w:tc>
                      <w:tcPr>
                        <w:tcW w:w="878" w:type="dxa"/>
                        <w:tcBorders>
                          <w:left w:val="single" w:sz="2" w:space="0" w:color="000000"/>
                          <w:bottom w:val="single" w:sz="3" w:space="0" w:color="000000"/>
                        </w:tcBorders>
                      </w:tcPr>
                      <w:p>
                        <w:pPr>
                          <w:pStyle w:val="TableParagraph"/>
                          <w:spacing w:before="9"/>
                          <w:rPr>
                            <w:sz w:val="9"/>
                          </w:rPr>
                        </w:pPr>
                      </w:p>
                      <w:p>
                        <w:pPr>
                          <w:pStyle w:val="TableParagraph"/>
                          <w:ind w:left="117"/>
                          <w:rPr>
                            <w:sz w:val="8"/>
                          </w:rPr>
                        </w:pPr>
                        <w:r>
                          <w:rPr>
                            <w:w w:val="90"/>
                            <w:sz w:val="8"/>
                          </w:rPr>
                          <w:t>Emotional exhaustion</w:t>
                        </w:r>
                      </w:p>
                    </w:tc>
                    <w:tc>
                      <w:tcPr>
                        <w:tcW w:w="970" w:type="dxa"/>
                        <w:tcBorders>
                          <w:bottom w:val="single" w:sz="3" w:space="0" w:color="000000"/>
                          <w:right w:val="single" w:sz="2" w:space="0" w:color="000000"/>
                        </w:tcBorders>
                      </w:tcPr>
                      <w:p>
                        <w:pPr>
                          <w:pStyle w:val="TableParagraph"/>
                          <w:spacing w:line="271" w:lineRule="auto" w:before="8"/>
                          <w:ind w:left="18" w:right="16"/>
                          <w:jc w:val="center"/>
                          <w:rPr>
                            <w:sz w:val="8"/>
                          </w:rPr>
                        </w:pPr>
                        <w:r>
                          <w:rPr>
                            <w:w w:val="90"/>
                            <w:sz w:val="8"/>
                          </w:rPr>
                          <w:t>Psychological physical job </w:t>
                        </w:r>
                        <w:r>
                          <w:rPr>
                            <w:w w:val="95"/>
                            <w:sz w:val="8"/>
                          </w:rPr>
                          <w:t>demands, job control, job </w:t>
                        </w:r>
                        <w:r>
                          <w:rPr>
                            <w:sz w:val="8"/>
                          </w:rPr>
                          <w:t>insecurity</w:t>
                        </w:r>
                      </w:p>
                    </w:tc>
                    <w:tc>
                      <w:tcPr>
                        <w:tcW w:w="723" w:type="dxa"/>
                        <w:tcBorders>
                          <w:left w:val="single" w:sz="2" w:space="0" w:color="000000"/>
                          <w:bottom w:val="single" w:sz="3" w:space="0" w:color="000000"/>
                        </w:tcBorders>
                      </w:tcPr>
                      <w:p>
                        <w:pPr>
                          <w:pStyle w:val="TableParagraph"/>
                          <w:spacing w:line="290" w:lineRule="auto" w:before="67"/>
                          <w:ind w:left="86" w:right="92" w:firstLine="50"/>
                          <w:rPr>
                            <w:sz w:val="8"/>
                          </w:rPr>
                        </w:pPr>
                        <w:r>
                          <w:rPr>
                            <w:color w:val="211F1F"/>
                            <w:sz w:val="8"/>
                          </w:rPr>
                          <w:t>Employees of different sectors</w:t>
                        </w:r>
                      </w:p>
                    </w:tc>
                    <w:tc>
                      <w:tcPr>
                        <w:tcW w:w="680" w:type="dxa"/>
                        <w:tcBorders>
                          <w:bottom w:val="single" w:sz="3" w:space="0" w:color="000000"/>
                          <w:right w:val="single" w:sz="2" w:space="0" w:color="000000"/>
                        </w:tcBorders>
                      </w:tcPr>
                      <w:p>
                        <w:pPr>
                          <w:pStyle w:val="TableParagraph"/>
                          <w:spacing w:line="271" w:lineRule="auto" w:before="59"/>
                          <w:ind w:left="235" w:right="42" w:hanging="174"/>
                          <w:rPr>
                            <w:sz w:val="8"/>
                          </w:rPr>
                        </w:pPr>
                        <w:r>
                          <w:rPr>
                            <w:w w:val="90"/>
                            <w:sz w:val="8"/>
                          </w:rPr>
                          <w:t>Logistic regression </w:t>
                        </w:r>
                        <w:r>
                          <w:rPr>
                            <w:sz w:val="8"/>
                          </w:rPr>
                          <w:t>models</w:t>
                        </w:r>
                      </w:p>
                    </w:tc>
                    <w:tc>
                      <w:tcPr>
                        <w:tcW w:w="717" w:type="dxa"/>
                        <w:tcBorders>
                          <w:left w:val="single" w:sz="2" w:space="0" w:color="000000"/>
                          <w:bottom w:val="single" w:sz="3" w:space="0" w:color="000000"/>
                        </w:tcBorders>
                      </w:tcPr>
                      <w:p>
                        <w:pPr>
                          <w:pStyle w:val="TableParagraph"/>
                          <w:spacing w:before="9"/>
                          <w:rPr>
                            <w:sz w:val="9"/>
                          </w:rPr>
                        </w:pPr>
                      </w:p>
                      <w:p>
                        <w:pPr>
                          <w:pStyle w:val="TableParagraph"/>
                          <w:ind w:left="46" w:right="40"/>
                          <w:jc w:val="center"/>
                          <w:rPr>
                            <w:sz w:val="8"/>
                          </w:rPr>
                        </w:pPr>
                        <w:r>
                          <w:rPr>
                            <w:w w:val="95"/>
                            <w:sz w:val="8"/>
                          </w:rPr>
                          <w:t>37,329 participants</w:t>
                        </w:r>
                      </w:p>
                    </w:tc>
                  </w:tr>
                  <w:tr>
                    <w:trPr>
                      <w:trHeight w:val="449" w:hRule="exact"/>
                    </w:trPr>
                    <w:tc>
                      <w:tcPr>
                        <w:tcW w:w="952" w:type="dxa"/>
                        <w:tcBorders>
                          <w:top w:val="single" w:sz="3" w:space="0" w:color="000000"/>
                          <w:left w:val="single" w:sz="2" w:space="0" w:color="000000"/>
                          <w:bottom w:val="single" w:sz="2" w:space="0" w:color="000000"/>
                          <w:right w:val="single" w:sz="2" w:space="0" w:color="000000"/>
                        </w:tcBorders>
                      </w:tcPr>
                      <w:p>
                        <w:pPr>
                          <w:pStyle w:val="TableParagraph"/>
                          <w:rPr>
                            <w:sz w:val="8"/>
                          </w:rPr>
                        </w:pPr>
                      </w:p>
                      <w:p>
                        <w:pPr>
                          <w:pStyle w:val="TableParagraph"/>
                          <w:spacing w:before="3"/>
                          <w:rPr>
                            <w:sz w:val="6"/>
                          </w:rPr>
                        </w:pPr>
                      </w:p>
                      <w:p>
                        <w:pPr>
                          <w:pStyle w:val="TableParagraph"/>
                          <w:ind w:left="12" w:right="-5"/>
                          <w:rPr>
                            <w:sz w:val="8"/>
                          </w:rPr>
                        </w:pPr>
                        <w:r>
                          <w:rPr>
                            <w:w w:val="95"/>
                            <w:sz w:val="8"/>
                          </w:rPr>
                          <w:t>Knani &amp; Fournier (2013)</w:t>
                        </w:r>
                      </w:p>
                    </w:tc>
                    <w:tc>
                      <w:tcPr>
                        <w:tcW w:w="878" w:type="dxa"/>
                        <w:tcBorders>
                          <w:top w:val="single" w:sz="3" w:space="0" w:color="000000"/>
                          <w:left w:val="single" w:sz="2" w:space="0" w:color="000000"/>
                          <w:bottom w:val="single" w:sz="2" w:space="0" w:color="000000"/>
                        </w:tcBorders>
                      </w:tcPr>
                      <w:p>
                        <w:pPr>
                          <w:pStyle w:val="TableParagraph"/>
                          <w:spacing w:line="271" w:lineRule="auto" w:before="60"/>
                          <w:ind w:left="93" w:firstLine="12"/>
                          <w:rPr>
                            <w:sz w:val="8"/>
                          </w:rPr>
                        </w:pPr>
                        <w:r>
                          <w:rPr>
                            <w:w w:val="90"/>
                            <w:sz w:val="8"/>
                          </w:rPr>
                          <w:t>Emotional exhaustion, despersonalization and</w:t>
                        </w:r>
                      </w:p>
                      <w:p>
                        <w:pPr>
                          <w:pStyle w:val="TableParagraph"/>
                          <w:spacing w:before="1"/>
                          <w:ind w:left="56"/>
                          <w:rPr>
                            <w:sz w:val="8"/>
                          </w:rPr>
                        </w:pPr>
                        <w:r>
                          <w:rPr>
                            <w:w w:val="90"/>
                            <w:sz w:val="8"/>
                          </w:rPr>
                          <w:t>personal accomplishment</w:t>
                        </w:r>
                      </w:p>
                    </w:tc>
                    <w:tc>
                      <w:tcPr>
                        <w:tcW w:w="970" w:type="dxa"/>
                        <w:tcBorders>
                          <w:top w:val="single" w:sz="3" w:space="0" w:color="000000"/>
                          <w:bottom w:val="single" w:sz="2" w:space="0" w:color="000000"/>
                          <w:right w:val="single" w:sz="2" w:space="0" w:color="000000"/>
                        </w:tcBorders>
                      </w:tcPr>
                      <w:p>
                        <w:pPr>
                          <w:pStyle w:val="TableParagraph"/>
                          <w:spacing w:before="3"/>
                          <w:rPr>
                            <w:sz w:val="10"/>
                          </w:rPr>
                        </w:pPr>
                      </w:p>
                      <w:p>
                        <w:pPr>
                          <w:pStyle w:val="TableParagraph"/>
                          <w:spacing w:line="290" w:lineRule="auto" w:before="1"/>
                          <w:ind w:left="29" w:right="-11" w:firstLine="68"/>
                          <w:rPr>
                            <w:sz w:val="8"/>
                          </w:rPr>
                        </w:pPr>
                        <w:r>
                          <w:rPr>
                            <w:color w:val="211F1F"/>
                            <w:sz w:val="8"/>
                          </w:rPr>
                          <w:t>Job demand, decisional latitude, and social support</w:t>
                        </w:r>
                      </w:p>
                    </w:tc>
                    <w:tc>
                      <w:tcPr>
                        <w:tcW w:w="723" w:type="dxa"/>
                        <w:tcBorders>
                          <w:top w:val="single" w:sz="3" w:space="0" w:color="000000"/>
                          <w:left w:val="single" w:sz="2" w:space="0" w:color="000000"/>
                          <w:bottom w:val="single" w:sz="2" w:space="0" w:color="000000"/>
                        </w:tcBorders>
                      </w:tcPr>
                      <w:p>
                        <w:pPr>
                          <w:pStyle w:val="TableParagraph"/>
                          <w:spacing w:before="9"/>
                          <w:rPr>
                            <w:sz w:val="9"/>
                          </w:rPr>
                        </w:pPr>
                      </w:p>
                      <w:p>
                        <w:pPr>
                          <w:pStyle w:val="TableParagraph"/>
                          <w:spacing w:line="290" w:lineRule="auto"/>
                          <w:ind w:left="13" w:right="12" w:hanging="2"/>
                          <w:jc w:val="center"/>
                          <w:rPr>
                            <w:sz w:val="8"/>
                          </w:rPr>
                        </w:pPr>
                        <w:r>
                          <w:rPr>
                            <w:color w:val="211F1F"/>
                            <w:sz w:val="8"/>
                          </w:rPr>
                          <w:t>Agents and advisors working at a high education institution</w:t>
                        </w:r>
                      </w:p>
                    </w:tc>
                    <w:tc>
                      <w:tcPr>
                        <w:tcW w:w="680" w:type="dxa"/>
                        <w:tcBorders>
                          <w:top w:val="single" w:sz="3" w:space="0" w:color="000000"/>
                          <w:bottom w:val="single" w:sz="2" w:space="0" w:color="000000"/>
                          <w:right w:val="single" w:sz="2" w:space="0" w:color="000000"/>
                        </w:tcBorders>
                      </w:tcPr>
                      <w:p>
                        <w:pPr>
                          <w:pStyle w:val="TableParagraph"/>
                          <w:rPr>
                            <w:sz w:val="8"/>
                          </w:rPr>
                        </w:pPr>
                      </w:p>
                      <w:p>
                        <w:pPr>
                          <w:pStyle w:val="TableParagraph"/>
                          <w:spacing w:before="3"/>
                          <w:rPr>
                            <w:sz w:val="6"/>
                          </w:rPr>
                        </w:pPr>
                      </w:p>
                      <w:p>
                        <w:pPr>
                          <w:pStyle w:val="TableParagraph"/>
                          <w:ind w:left="3"/>
                          <w:jc w:val="center"/>
                          <w:rPr>
                            <w:sz w:val="8"/>
                          </w:rPr>
                        </w:pPr>
                        <w:r>
                          <w:rPr>
                            <w:w w:val="90"/>
                            <w:sz w:val="8"/>
                          </w:rPr>
                          <w:t>Correlational  analysis</w:t>
                        </w:r>
                      </w:p>
                    </w:tc>
                    <w:tc>
                      <w:tcPr>
                        <w:tcW w:w="717" w:type="dxa"/>
                        <w:tcBorders>
                          <w:top w:val="single" w:sz="3" w:space="0" w:color="000000"/>
                          <w:left w:val="single" w:sz="2" w:space="0" w:color="000000"/>
                          <w:bottom w:val="single" w:sz="2" w:space="0" w:color="000000"/>
                        </w:tcBorders>
                      </w:tcPr>
                      <w:p>
                        <w:pPr>
                          <w:pStyle w:val="TableParagraph"/>
                          <w:rPr>
                            <w:sz w:val="8"/>
                          </w:rPr>
                        </w:pPr>
                      </w:p>
                      <w:p>
                        <w:pPr>
                          <w:pStyle w:val="TableParagraph"/>
                          <w:spacing w:before="3"/>
                          <w:rPr>
                            <w:sz w:val="6"/>
                          </w:rPr>
                        </w:pPr>
                      </w:p>
                      <w:p>
                        <w:pPr>
                          <w:pStyle w:val="TableParagraph"/>
                          <w:ind w:left="40" w:right="40"/>
                          <w:jc w:val="center"/>
                          <w:rPr>
                            <w:sz w:val="8"/>
                          </w:rPr>
                        </w:pPr>
                        <w:r>
                          <w:rPr>
                            <w:w w:val="95"/>
                            <w:sz w:val="8"/>
                          </w:rPr>
                          <w:t>184 participants</w:t>
                        </w:r>
                      </w:p>
                    </w:tc>
                  </w:tr>
                  <w:tr>
                    <w:trPr>
                      <w:trHeight w:val="449" w:hRule="exact"/>
                    </w:trPr>
                    <w:tc>
                      <w:tcPr>
                        <w:tcW w:w="952" w:type="dxa"/>
                        <w:tcBorders>
                          <w:top w:val="single" w:sz="2" w:space="0" w:color="000000"/>
                          <w:left w:val="single" w:sz="2" w:space="0" w:color="000000"/>
                          <w:right w:val="single" w:sz="2" w:space="0" w:color="000000"/>
                        </w:tcBorders>
                      </w:tcPr>
                      <w:p>
                        <w:pPr>
                          <w:pStyle w:val="TableParagraph"/>
                          <w:rPr>
                            <w:sz w:val="8"/>
                          </w:rPr>
                        </w:pPr>
                      </w:p>
                      <w:p>
                        <w:pPr>
                          <w:pStyle w:val="TableParagraph"/>
                          <w:spacing w:before="4"/>
                          <w:rPr>
                            <w:sz w:val="6"/>
                          </w:rPr>
                        </w:pPr>
                      </w:p>
                      <w:p>
                        <w:pPr>
                          <w:pStyle w:val="TableParagraph"/>
                          <w:ind w:left="12" w:right="-5"/>
                          <w:rPr>
                            <w:sz w:val="8"/>
                          </w:rPr>
                        </w:pPr>
                        <w:r>
                          <w:rPr>
                            <w:w w:val="95"/>
                            <w:sz w:val="8"/>
                          </w:rPr>
                          <w:t>Li et al. (2013)</w:t>
                        </w:r>
                      </w:p>
                    </w:tc>
                    <w:tc>
                      <w:tcPr>
                        <w:tcW w:w="878" w:type="dxa"/>
                        <w:tcBorders>
                          <w:top w:val="single" w:sz="2" w:space="0" w:color="000000"/>
                          <w:left w:val="single" w:sz="2" w:space="0" w:color="000000"/>
                        </w:tcBorders>
                      </w:tcPr>
                      <w:p>
                        <w:pPr>
                          <w:pStyle w:val="TableParagraph"/>
                          <w:rPr>
                            <w:sz w:val="8"/>
                          </w:rPr>
                        </w:pPr>
                      </w:p>
                      <w:p>
                        <w:pPr>
                          <w:pStyle w:val="TableParagraph"/>
                          <w:spacing w:before="4"/>
                          <w:rPr>
                            <w:sz w:val="6"/>
                          </w:rPr>
                        </w:pPr>
                      </w:p>
                      <w:p>
                        <w:pPr>
                          <w:pStyle w:val="TableParagraph"/>
                          <w:ind w:left="117"/>
                          <w:rPr>
                            <w:sz w:val="8"/>
                          </w:rPr>
                        </w:pPr>
                        <w:r>
                          <w:rPr>
                            <w:w w:val="90"/>
                            <w:sz w:val="8"/>
                          </w:rPr>
                          <w:t>Emotional exhaustion</w:t>
                        </w:r>
                      </w:p>
                    </w:tc>
                    <w:tc>
                      <w:tcPr>
                        <w:tcW w:w="970" w:type="dxa"/>
                        <w:tcBorders>
                          <w:top w:val="single" w:sz="2" w:space="0" w:color="000000"/>
                          <w:right w:val="single" w:sz="2" w:space="0" w:color="000000"/>
                        </w:tcBorders>
                      </w:tcPr>
                      <w:p>
                        <w:pPr>
                          <w:pStyle w:val="TableParagraph"/>
                          <w:spacing w:line="290" w:lineRule="auto" w:before="2"/>
                          <w:ind w:left="18" w:right="12"/>
                          <w:jc w:val="center"/>
                          <w:rPr>
                            <w:sz w:val="8"/>
                          </w:rPr>
                        </w:pPr>
                        <w:r>
                          <w:rPr>
                            <w:color w:val="211F1F"/>
                            <w:sz w:val="8"/>
                          </w:rPr>
                          <w:t>Psychological and physical demands, decision latitude, supervisor support and coworker support</w:t>
                        </w:r>
                      </w:p>
                    </w:tc>
                    <w:tc>
                      <w:tcPr>
                        <w:tcW w:w="723" w:type="dxa"/>
                        <w:tcBorders>
                          <w:top w:val="single" w:sz="2" w:space="0" w:color="000000"/>
                          <w:left w:val="single" w:sz="2" w:space="0" w:color="000000"/>
                        </w:tcBorders>
                      </w:tcPr>
                      <w:p>
                        <w:pPr>
                          <w:pStyle w:val="TableParagraph"/>
                          <w:spacing w:before="9"/>
                          <w:rPr>
                            <w:sz w:val="9"/>
                          </w:rPr>
                        </w:pPr>
                      </w:p>
                      <w:p>
                        <w:pPr>
                          <w:pStyle w:val="TableParagraph"/>
                          <w:spacing w:line="271" w:lineRule="auto"/>
                          <w:ind w:left="241" w:right="12" w:hanging="191"/>
                          <w:rPr>
                            <w:sz w:val="8"/>
                          </w:rPr>
                        </w:pPr>
                        <w:r>
                          <w:rPr>
                            <w:w w:val="95"/>
                            <w:sz w:val="8"/>
                          </w:rPr>
                          <w:t>Crude oil production </w:t>
                        </w:r>
                        <w:r>
                          <w:rPr>
                            <w:sz w:val="8"/>
                          </w:rPr>
                          <w:t>workers</w:t>
                        </w:r>
                      </w:p>
                    </w:tc>
                    <w:tc>
                      <w:tcPr>
                        <w:tcW w:w="680" w:type="dxa"/>
                        <w:tcBorders>
                          <w:top w:val="single" w:sz="2" w:space="0" w:color="000000"/>
                          <w:right w:val="single" w:sz="2" w:space="0" w:color="000000"/>
                        </w:tcBorders>
                      </w:tcPr>
                      <w:p>
                        <w:pPr>
                          <w:pStyle w:val="TableParagraph"/>
                          <w:spacing w:before="9"/>
                          <w:rPr>
                            <w:sz w:val="9"/>
                          </w:rPr>
                        </w:pPr>
                      </w:p>
                      <w:p>
                        <w:pPr>
                          <w:pStyle w:val="TableParagraph"/>
                          <w:spacing w:line="271" w:lineRule="auto"/>
                          <w:ind w:left="55" w:right="40" w:firstLine="136"/>
                          <w:rPr>
                            <w:sz w:val="8"/>
                          </w:rPr>
                        </w:pPr>
                        <w:r>
                          <w:rPr>
                            <w:sz w:val="8"/>
                          </w:rPr>
                          <w:t>Structural </w:t>
                        </w:r>
                        <w:r>
                          <w:rPr>
                            <w:w w:val="90"/>
                            <w:sz w:val="8"/>
                          </w:rPr>
                          <w:t>equation modelling</w:t>
                        </w:r>
                      </w:p>
                    </w:tc>
                    <w:tc>
                      <w:tcPr>
                        <w:tcW w:w="717" w:type="dxa"/>
                        <w:tcBorders>
                          <w:top w:val="single" w:sz="2" w:space="0" w:color="000000"/>
                          <w:left w:val="single" w:sz="2" w:space="0" w:color="000000"/>
                        </w:tcBorders>
                      </w:tcPr>
                      <w:p>
                        <w:pPr>
                          <w:pStyle w:val="TableParagraph"/>
                          <w:rPr>
                            <w:sz w:val="8"/>
                          </w:rPr>
                        </w:pPr>
                      </w:p>
                      <w:p>
                        <w:pPr>
                          <w:pStyle w:val="TableParagraph"/>
                          <w:spacing w:before="4"/>
                          <w:rPr>
                            <w:sz w:val="6"/>
                          </w:rPr>
                        </w:pPr>
                      </w:p>
                      <w:p>
                        <w:pPr>
                          <w:pStyle w:val="TableParagraph"/>
                          <w:ind w:left="40" w:right="40"/>
                          <w:jc w:val="center"/>
                          <w:rPr>
                            <w:sz w:val="8"/>
                          </w:rPr>
                        </w:pPr>
                        <w:r>
                          <w:rPr>
                            <w:w w:val="95"/>
                            <w:sz w:val="8"/>
                          </w:rPr>
                          <w:t>670 participants</w:t>
                        </w:r>
                      </w:p>
                    </w:tc>
                  </w:tr>
                  <w:tr>
                    <w:trPr>
                      <w:trHeight w:val="313" w:hRule="exact"/>
                    </w:trPr>
                    <w:tc>
                      <w:tcPr>
                        <w:tcW w:w="952" w:type="dxa"/>
                        <w:tcBorders>
                          <w:left w:val="single" w:sz="2" w:space="0" w:color="000000"/>
                          <w:right w:val="single" w:sz="2" w:space="0" w:color="000000"/>
                        </w:tcBorders>
                      </w:tcPr>
                      <w:p>
                        <w:pPr>
                          <w:pStyle w:val="TableParagraph"/>
                          <w:spacing w:before="7"/>
                          <w:rPr>
                            <w:sz w:val="8"/>
                          </w:rPr>
                        </w:pPr>
                      </w:p>
                      <w:p>
                        <w:pPr>
                          <w:pStyle w:val="TableParagraph"/>
                          <w:ind w:left="12" w:right="-5"/>
                          <w:rPr>
                            <w:sz w:val="8"/>
                          </w:rPr>
                        </w:pPr>
                        <w:r>
                          <w:rPr>
                            <w:w w:val="95"/>
                            <w:sz w:val="8"/>
                          </w:rPr>
                          <w:t>Ahola et al. (2014)</w:t>
                        </w:r>
                      </w:p>
                    </w:tc>
                    <w:tc>
                      <w:tcPr>
                        <w:tcW w:w="878" w:type="dxa"/>
                        <w:tcBorders>
                          <w:left w:val="single" w:sz="2" w:space="0" w:color="000000"/>
                        </w:tcBorders>
                      </w:tcPr>
                      <w:p>
                        <w:pPr>
                          <w:pStyle w:val="TableParagraph"/>
                          <w:spacing w:line="87" w:lineRule="exact"/>
                          <w:ind w:left="93" w:firstLine="12"/>
                          <w:rPr>
                            <w:sz w:val="8"/>
                          </w:rPr>
                        </w:pPr>
                        <w:r>
                          <w:rPr>
                            <w:w w:val="90"/>
                            <w:sz w:val="8"/>
                          </w:rPr>
                          <w:t>Emotional exhaustion,</w:t>
                        </w:r>
                      </w:p>
                      <w:p>
                        <w:pPr>
                          <w:pStyle w:val="TableParagraph"/>
                          <w:spacing w:line="271" w:lineRule="auto" w:before="12"/>
                          <w:ind w:left="56" w:right="61" w:firstLine="37"/>
                          <w:rPr>
                            <w:sz w:val="8"/>
                          </w:rPr>
                        </w:pPr>
                        <w:r>
                          <w:rPr>
                            <w:w w:val="95"/>
                            <w:sz w:val="8"/>
                          </w:rPr>
                          <w:t>despersonalization and </w:t>
                        </w:r>
                        <w:r>
                          <w:rPr>
                            <w:w w:val="90"/>
                            <w:sz w:val="8"/>
                          </w:rPr>
                          <w:t>personal accomplishment</w:t>
                        </w:r>
                      </w:p>
                    </w:tc>
                    <w:tc>
                      <w:tcPr>
                        <w:tcW w:w="970" w:type="dxa"/>
                        <w:tcBorders>
                          <w:right w:val="single" w:sz="2" w:space="0" w:color="000000"/>
                        </w:tcBorders>
                      </w:tcPr>
                      <w:p>
                        <w:pPr>
                          <w:pStyle w:val="TableParagraph"/>
                          <w:spacing w:line="288" w:lineRule="auto" w:before="55"/>
                          <w:ind w:left="364" w:right="-11" w:hanging="236"/>
                          <w:rPr>
                            <w:sz w:val="8"/>
                          </w:rPr>
                        </w:pPr>
                        <w:r>
                          <w:rPr>
                            <w:color w:val="211F1F"/>
                            <w:sz w:val="8"/>
                          </w:rPr>
                          <w:t>Job demands and job control</w:t>
                        </w:r>
                      </w:p>
                    </w:tc>
                    <w:tc>
                      <w:tcPr>
                        <w:tcW w:w="723" w:type="dxa"/>
                        <w:tcBorders>
                          <w:left w:val="single" w:sz="2" w:space="0" w:color="000000"/>
                        </w:tcBorders>
                      </w:tcPr>
                      <w:p>
                        <w:pPr>
                          <w:pStyle w:val="TableParagraph"/>
                          <w:spacing w:before="7"/>
                          <w:rPr>
                            <w:sz w:val="8"/>
                          </w:rPr>
                        </w:pPr>
                      </w:p>
                      <w:p>
                        <w:pPr>
                          <w:pStyle w:val="TableParagraph"/>
                          <w:ind w:left="2" w:right="6"/>
                          <w:jc w:val="center"/>
                          <w:rPr>
                            <w:sz w:val="8"/>
                          </w:rPr>
                        </w:pPr>
                        <w:r>
                          <w:rPr>
                            <w:sz w:val="8"/>
                          </w:rPr>
                          <w:t>Dentists</w:t>
                        </w:r>
                      </w:p>
                    </w:tc>
                    <w:tc>
                      <w:tcPr>
                        <w:tcW w:w="680" w:type="dxa"/>
                        <w:tcBorders>
                          <w:right w:val="single" w:sz="2" w:space="0" w:color="000000"/>
                        </w:tcBorders>
                      </w:tcPr>
                      <w:p>
                        <w:pPr>
                          <w:pStyle w:val="TableParagraph"/>
                          <w:spacing w:line="271" w:lineRule="auto" w:before="47"/>
                          <w:ind w:left="61" w:right="-15" w:hanging="44"/>
                          <w:rPr>
                            <w:sz w:val="8"/>
                          </w:rPr>
                        </w:pPr>
                        <w:r>
                          <w:rPr>
                            <w:w w:val="95"/>
                            <w:sz w:val="8"/>
                          </w:rPr>
                          <w:t>Cross-sectional and a </w:t>
                        </w:r>
                        <w:r>
                          <w:rPr>
                            <w:w w:val="90"/>
                            <w:sz w:val="8"/>
                          </w:rPr>
                          <w:t>longitudinal design</w:t>
                        </w:r>
                      </w:p>
                    </w:tc>
                    <w:tc>
                      <w:tcPr>
                        <w:tcW w:w="717" w:type="dxa"/>
                        <w:tcBorders>
                          <w:left w:val="single" w:sz="2" w:space="0" w:color="000000"/>
                        </w:tcBorders>
                      </w:tcPr>
                      <w:p>
                        <w:pPr>
                          <w:pStyle w:val="TableParagraph"/>
                          <w:spacing w:before="7"/>
                          <w:rPr>
                            <w:sz w:val="8"/>
                          </w:rPr>
                        </w:pPr>
                      </w:p>
                      <w:p>
                        <w:pPr>
                          <w:pStyle w:val="TableParagraph"/>
                          <w:ind w:left="40" w:right="40"/>
                          <w:jc w:val="center"/>
                          <w:rPr>
                            <w:sz w:val="8"/>
                          </w:rPr>
                        </w:pPr>
                        <w:r>
                          <w:rPr>
                            <w:w w:val="95"/>
                            <w:sz w:val="8"/>
                          </w:rPr>
                          <w:t>1964 participants</w:t>
                        </w:r>
                      </w:p>
                    </w:tc>
                  </w:tr>
                  <w:tr>
                    <w:trPr>
                      <w:trHeight w:val="665" w:hRule="exact"/>
                    </w:trPr>
                    <w:tc>
                      <w:tcPr>
                        <w:tcW w:w="952" w:type="dxa"/>
                        <w:tcBorders>
                          <w:left w:val="single" w:sz="2" w:space="0" w:color="000000"/>
                          <w:bottom w:val="single" w:sz="2" w:space="0" w:color="000000"/>
                          <w:right w:val="single" w:sz="2" w:space="0" w:color="000000"/>
                        </w:tcBorders>
                      </w:tcPr>
                      <w:p>
                        <w:pPr>
                          <w:pStyle w:val="TableParagraph"/>
                          <w:rPr>
                            <w:sz w:val="8"/>
                          </w:rPr>
                        </w:pPr>
                      </w:p>
                      <w:p>
                        <w:pPr>
                          <w:pStyle w:val="TableParagraph"/>
                          <w:rPr>
                            <w:sz w:val="8"/>
                          </w:rPr>
                        </w:pPr>
                      </w:p>
                      <w:p>
                        <w:pPr>
                          <w:pStyle w:val="TableParagraph"/>
                          <w:spacing w:before="11"/>
                          <w:rPr>
                            <w:sz w:val="7"/>
                          </w:rPr>
                        </w:pPr>
                      </w:p>
                      <w:p>
                        <w:pPr>
                          <w:pStyle w:val="TableParagraph"/>
                          <w:ind w:left="12" w:right="-5"/>
                          <w:rPr>
                            <w:sz w:val="8"/>
                          </w:rPr>
                        </w:pPr>
                        <w:r>
                          <w:rPr>
                            <w:w w:val="95"/>
                            <w:sz w:val="8"/>
                          </w:rPr>
                          <w:t>Chou, Li, &amp; Hu (2014)</w:t>
                        </w:r>
                      </w:p>
                    </w:tc>
                    <w:tc>
                      <w:tcPr>
                        <w:tcW w:w="878" w:type="dxa"/>
                        <w:tcBorders>
                          <w:left w:val="single" w:sz="2" w:space="0" w:color="000000"/>
                          <w:bottom w:val="single" w:sz="2" w:space="0" w:color="000000"/>
                        </w:tcBorders>
                      </w:tcPr>
                      <w:p>
                        <w:pPr>
                          <w:pStyle w:val="TableParagraph"/>
                          <w:rPr>
                            <w:sz w:val="8"/>
                          </w:rPr>
                        </w:pPr>
                      </w:p>
                      <w:p>
                        <w:pPr>
                          <w:pStyle w:val="TableParagraph"/>
                          <w:rPr>
                            <w:sz w:val="7"/>
                          </w:rPr>
                        </w:pPr>
                      </w:p>
                      <w:p>
                        <w:pPr>
                          <w:pStyle w:val="TableParagraph"/>
                          <w:spacing w:line="288" w:lineRule="auto"/>
                          <w:ind w:left="13" w:right="7" w:firstLine="6"/>
                          <w:jc w:val="center"/>
                          <w:rPr>
                            <w:sz w:val="8"/>
                          </w:rPr>
                        </w:pPr>
                        <w:r>
                          <w:rPr>
                            <w:color w:val="211F1F"/>
                            <w:sz w:val="8"/>
                          </w:rPr>
                          <w:t>Personal burnout, work- related burnout and client related burnout.</w:t>
                        </w:r>
                      </w:p>
                    </w:tc>
                    <w:tc>
                      <w:tcPr>
                        <w:tcW w:w="970" w:type="dxa"/>
                        <w:tcBorders>
                          <w:bottom w:val="single" w:sz="2" w:space="0" w:color="000000"/>
                          <w:right w:val="single" w:sz="2" w:space="0" w:color="000000"/>
                        </w:tcBorders>
                      </w:tcPr>
                      <w:p>
                        <w:pPr>
                          <w:pStyle w:val="TableParagraph"/>
                          <w:spacing w:before="4"/>
                          <w:rPr>
                            <w:sz w:val="10"/>
                          </w:rPr>
                        </w:pPr>
                      </w:p>
                      <w:p>
                        <w:pPr>
                          <w:pStyle w:val="TableParagraph"/>
                          <w:spacing w:line="288" w:lineRule="auto"/>
                          <w:ind w:left="123" w:right="-11" w:firstLine="37"/>
                          <w:rPr>
                            <w:sz w:val="8"/>
                          </w:rPr>
                        </w:pPr>
                        <w:r>
                          <w:rPr>
                            <w:color w:val="211F1F"/>
                            <w:sz w:val="8"/>
                          </w:rPr>
                          <w:t>Psychological work demands, job control,</w:t>
                        </w:r>
                      </w:p>
                      <w:p>
                        <w:pPr>
                          <w:pStyle w:val="TableParagraph"/>
                          <w:spacing w:line="288" w:lineRule="auto" w:before="2"/>
                          <w:ind w:left="190" w:right="-11" w:hanging="99"/>
                          <w:rPr>
                            <w:sz w:val="8"/>
                          </w:rPr>
                        </w:pPr>
                        <w:r>
                          <w:rPr>
                            <w:color w:val="211F1F"/>
                            <w:sz w:val="8"/>
                          </w:rPr>
                          <w:t>supervisor support and coworker support</w:t>
                        </w:r>
                      </w:p>
                    </w:tc>
                    <w:tc>
                      <w:tcPr>
                        <w:tcW w:w="723" w:type="dxa"/>
                        <w:tcBorders>
                          <w:left w:val="single" w:sz="2" w:space="0" w:color="000000"/>
                          <w:bottom w:val="single" w:sz="2" w:space="0" w:color="000000"/>
                        </w:tcBorders>
                      </w:tcPr>
                      <w:p>
                        <w:pPr>
                          <w:pStyle w:val="TableParagraph"/>
                          <w:rPr>
                            <w:sz w:val="8"/>
                          </w:rPr>
                        </w:pPr>
                      </w:p>
                      <w:p>
                        <w:pPr>
                          <w:pStyle w:val="TableParagraph"/>
                          <w:rPr>
                            <w:sz w:val="8"/>
                          </w:rPr>
                        </w:pPr>
                      </w:p>
                      <w:p>
                        <w:pPr>
                          <w:pStyle w:val="TableParagraph"/>
                          <w:spacing w:before="11"/>
                          <w:rPr>
                            <w:sz w:val="7"/>
                          </w:rPr>
                        </w:pPr>
                      </w:p>
                      <w:p>
                        <w:pPr>
                          <w:pStyle w:val="TableParagraph"/>
                          <w:ind w:left="6" w:right="6"/>
                          <w:jc w:val="center"/>
                          <w:rPr>
                            <w:sz w:val="8"/>
                          </w:rPr>
                        </w:pPr>
                        <w:r>
                          <w:rPr>
                            <w:w w:val="90"/>
                            <w:sz w:val="8"/>
                          </w:rPr>
                          <w:t>Medical professionals</w:t>
                        </w:r>
                      </w:p>
                    </w:tc>
                    <w:tc>
                      <w:tcPr>
                        <w:tcW w:w="680" w:type="dxa"/>
                        <w:tcBorders>
                          <w:bottom w:val="single" w:sz="2" w:space="0" w:color="000000"/>
                          <w:right w:val="single" w:sz="2" w:space="0" w:color="000000"/>
                        </w:tcBorders>
                      </w:tcPr>
                      <w:p>
                        <w:pPr>
                          <w:pStyle w:val="TableParagraph"/>
                          <w:spacing w:line="288" w:lineRule="auto" w:before="61"/>
                          <w:ind w:left="12" w:right="21" w:firstLine="6"/>
                          <w:jc w:val="center"/>
                          <w:rPr>
                            <w:sz w:val="8"/>
                          </w:rPr>
                        </w:pPr>
                        <w:r>
                          <w:rPr>
                            <w:color w:val="211F1F"/>
                            <w:sz w:val="8"/>
                          </w:rPr>
                          <w:t>One-way analysis of variance, correlation analysis and multiple</w:t>
                        </w:r>
                      </w:p>
                      <w:p>
                        <w:pPr>
                          <w:pStyle w:val="TableParagraph"/>
                          <w:spacing w:before="2"/>
                          <w:ind w:left="3" w:right="6"/>
                          <w:jc w:val="center"/>
                          <w:rPr>
                            <w:sz w:val="8"/>
                          </w:rPr>
                        </w:pPr>
                        <w:r>
                          <w:rPr>
                            <w:color w:val="211F1F"/>
                            <w:sz w:val="8"/>
                          </w:rPr>
                          <w:t>regression analysis</w:t>
                        </w:r>
                      </w:p>
                    </w:tc>
                    <w:tc>
                      <w:tcPr>
                        <w:tcW w:w="717" w:type="dxa"/>
                        <w:tcBorders>
                          <w:left w:val="single" w:sz="2" w:space="0" w:color="000000"/>
                          <w:bottom w:val="single" w:sz="2" w:space="0" w:color="000000"/>
                        </w:tcBorders>
                      </w:tcPr>
                      <w:p>
                        <w:pPr>
                          <w:pStyle w:val="TableParagraph"/>
                          <w:rPr>
                            <w:sz w:val="8"/>
                          </w:rPr>
                        </w:pPr>
                      </w:p>
                      <w:p>
                        <w:pPr>
                          <w:pStyle w:val="TableParagraph"/>
                          <w:rPr>
                            <w:sz w:val="8"/>
                          </w:rPr>
                        </w:pPr>
                      </w:p>
                      <w:p>
                        <w:pPr>
                          <w:pStyle w:val="TableParagraph"/>
                          <w:spacing w:before="11"/>
                          <w:rPr>
                            <w:sz w:val="7"/>
                          </w:rPr>
                        </w:pPr>
                      </w:p>
                      <w:p>
                        <w:pPr>
                          <w:pStyle w:val="TableParagraph"/>
                          <w:ind w:left="40" w:right="40"/>
                          <w:jc w:val="center"/>
                          <w:rPr>
                            <w:sz w:val="8"/>
                          </w:rPr>
                        </w:pPr>
                        <w:r>
                          <w:rPr>
                            <w:w w:val="95"/>
                            <w:sz w:val="8"/>
                          </w:rPr>
                          <w:t>1329 participants</w:t>
                        </w:r>
                      </w:p>
                    </w:tc>
                  </w:tr>
                  <w:tr>
                    <w:trPr>
                      <w:trHeight w:val="698" w:hRule="exact"/>
                    </w:trPr>
                    <w:tc>
                      <w:tcPr>
                        <w:tcW w:w="952" w:type="dxa"/>
                        <w:tcBorders>
                          <w:top w:val="single" w:sz="2" w:space="0" w:color="000000"/>
                          <w:left w:val="single" w:sz="2" w:space="0" w:color="000000"/>
                          <w:bottom w:val="single" w:sz="3" w:space="0" w:color="000000"/>
                          <w:right w:val="single" w:sz="2" w:space="0" w:color="000000"/>
                        </w:tcBorders>
                      </w:tcPr>
                      <w:p>
                        <w:pPr>
                          <w:pStyle w:val="TableParagraph"/>
                          <w:rPr>
                            <w:sz w:val="8"/>
                          </w:rPr>
                        </w:pPr>
                      </w:p>
                      <w:p>
                        <w:pPr>
                          <w:pStyle w:val="TableParagraph"/>
                          <w:rPr>
                            <w:sz w:val="8"/>
                          </w:rPr>
                        </w:pPr>
                      </w:p>
                      <w:p>
                        <w:pPr>
                          <w:pStyle w:val="TableParagraph"/>
                          <w:spacing w:before="1"/>
                          <w:rPr>
                            <w:sz w:val="9"/>
                          </w:rPr>
                        </w:pPr>
                      </w:p>
                      <w:p>
                        <w:pPr>
                          <w:pStyle w:val="TableParagraph"/>
                          <w:ind w:left="12" w:right="-5"/>
                          <w:rPr>
                            <w:sz w:val="8"/>
                          </w:rPr>
                        </w:pPr>
                        <w:r>
                          <w:rPr>
                            <w:w w:val="95"/>
                            <w:sz w:val="8"/>
                          </w:rPr>
                          <w:t>Pinto, Dawood &amp; Beth (2014)</w:t>
                        </w:r>
                      </w:p>
                    </w:tc>
                    <w:tc>
                      <w:tcPr>
                        <w:tcW w:w="878" w:type="dxa"/>
                        <w:tcBorders>
                          <w:top w:val="single" w:sz="2" w:space="0" w:color="000000"/>
                          <w:left w:val="single" w:sz="2" w:space="0" w:color="000000"/>
                          <w:bottom w:val="single" w:sz="3" w:space="0" w:color="000000"/>
                        </w:tcBorders>
                      </w:tcPr>
                      <w:p>
                        <w:pPr>
                          <w:pStyle w:val="TableParagraph"/>
                          <w:rPr>
                            <w:sz w:val="8"/>
                          </w:rPr>
                        </w:pPr>
                      </w:p>
                      <w:p>
                        <w:pPr>
                          <w:pStyle w:val="TableParagraph"/>
                          <w:rPr>
                            <w:sz w:val="8"/>
                          </w:rPr>
                        </w:pPr>
                      </w:p>
                      <w:p>
                        <w:pPr>
                          <w:pStyle w:val="TableParagraph"/>
                          <w:spacing w:line="271" w:lineRule="auto" w:before="1"/>
                          <w:ind w:left="93" w:firstLine="12"/>
                          <w:rPr>
                            <w:sz w:val="8"/>
                          </w:rPr>
                        </w:pPr>
                        <w:r>
                          <w:rPr>
                            <w:w w:val="90"/>
                            <w:sz w:val="8"/>
                          </w:rPr>
                          <w:t>Emotional exhaustion, despersonalization and</w:t>
                        </w:r>
                      </w:p>
                      <w:p>
                        <w:pPr>
                          <w:pStyle w:val="TableParagraph"/>
                          <w:spacing w:before="1"/>
                          <w:ind w:left="56"/>
                          <w:rPr>
                            <w:sz w:val="8"/>
                          </w:rPr>
                        </w:pPr>
                        <w:r>
                          <w:rPr>
                            <w:w w:val="90"/>
                            <w:sz w:val="8"/>
                          </w:rPr>
                          <w:t>personal accomplishment</w:t>
                        </w:r>
                      </w:p>
                    </w:tc>
                    <w:tc>
                      <w:tcPr>
                        <w:tcW w:w="970" w:type="dxa"/>
                        <w:tcBorders>
                          <w:top w:val="single" w:sz="2" w:space="0" w:color="000000"/>
                          <w:bottom w:val="single" w:sz="3" w:space="0" w:color="000000"/>
                          <w:right w:val="single" w:sz="2" w:space="0" w:color="000000"/>
                        </w:tcBorders>
                      </w:tcPr>
                      <w:p>
                        <w:pPr>
                          <w:pStyle w:val="TableParagraph"/>
                          <w:rPr>
                            <w:sz w:val="8"/>
                          </w:rPr>
                        </w:pPr>
                      </w:p>
                      <w:p>
                        <w:pPr>
                          <w:pStyle w:val="TableParagraph"/>
                          <w:spacing w:before="8"/>
                          <w:rPr>
                            <w:sz w:val="8"/>
                          </w:rPr>
                        </w:pPr>
                      </w:p>
                      <w:p>
                        <w:pPr>
                          <w:pStyle w:val="TableParagraph"/>
                          <w:spacing w:line="288" w:lineRule="auto"/>
                          <w:ind w:left="18" w:right="20"/>
                          <w:jc w:val="center"/>
                          <w:rPr>
                            <w:sz w:val="8"/>
                          </w:rPr>
                        </w:pPr>
                        <w:r>
                          <w:rPr>
                            <w:color w:val="211F1F"/>
                            <w:sz w:val="8"/>
                          </w:rPr>
                          <w:t>Psychological job demands, coworker support and</w:t>
                        </w:r>
                      </w:p>
                      <w:p>
                        <w:pPr>
                          <w:pStyle w:val="TableParagraph"/>
                          <w:spacing w:before="2"/>
                          <w:ind w:left="18" w:right="19"/>
                          <w:jc w:val="center"/>
                          <w:rPr>
                            <w:sz w:val="8"/>
                          </w:rPr>
                        </w:pPr>
                        <w:r>
                          <w:rPr>
                            <w:color w:val="211F1F"/>
                            <w:sz w:val="8"/>
                          </w:rPr>
                          <w:t>supervisor support</w:t>
                        </w:r>
                      </w:p>
                    </w:tc>
                    <w:tc>
                      <w:tcPr>
                        <w:tcW w:w="723" w:type="dxa"/>
                        <w:tcBorders>
                          <w:top w:val="single" w:sz="2" w:space="0" w:color="000000"/>
                          <w:left w:val="single" w:sz="2" w:space="0" w:color="000000"/>
                          <w:bottom w:val="single" w:sz="3" w:space="0" w:color="000000"/>
                        </w:tcBorders>
                      </w:tcPr>
                      <w:p>
                        <w:pPr>
                          <w:pStyle w:val="TableParagraph"/>
                          <w:spacing w:line="290" w:lineRule="auto" w:before="29"/>
                          <w:ind w:left="93" w:right="62" w:hanging="26"/>
                          <w:jc w:val="both"/>
                          <w:rPr>
                            <w:sz w:val="8"/>
                          </w:rPr>
                        </w:pPr>
                        <w:r>
                          <w:rPr>
                            <w:color w:val="211F1F"/>
                            <w:sz w:val="8"/>
                          </w:rPr>
                          <w:t>Project managers, executives, team members, and</w:t>
                        </w:r>
                      </w:p>
                      <w:p>
                        <w:pPr>
                          <w:pStyle w:val="TableParagraph"/>
                          <w:spacing w:line="290" w:lineRule="auto"/>
                          <w:ind w:left="19" w:right="12" w:firstLine="55"/>
                          <w:rPr>
                            <w:sz w:val="8"/>
                          </w:rPr>
                        </w:pPr>
                        <w:r>
                          <w:rPr>
                            <w:color w:val="211F1F"/>
                            <w:sz w:val="8"/>
                          </w:rPr>
                          <w:t>resource/support individuals currently involved in projects</w:t>
                        </w:r>
                      </w:p>
                    </w:tc>
                    <w:tc>
                      <w:tcPr>
                        <w:tcW w:w="680" w:type="dxa"/>
                        <w:tcBorders>
                          <w:top w:val="single" w:sz="2" w:space="0" w:color="000000"/>
                          <w:bottom w:val="single" w:sz="3" w:space="0" w:color="000000"/>
                          <w:right w:val="single" w:sz="2" w:space="0" w:color="000000"/>
                        </w:tcBorders>
                      </w:tcPr>
                      <w:p>
                        <w:pPr>
                          <w:pStyle w:val="TableParagraph"/>
                          <w:rPr>
                            <w:sz w:val="8"/>
                          </w:rPr>
                        </w:pPr>
                      </w:p>
                      <w:p>
                        <w:pPr>
                          <w:pStyle w:val="TableParagraph"/>
                          <w:rPr>
                            <w:sz w:val="8"/>
                          </w:rPr>
                        </w:pPr>
                      </w:p>
                      <w:p>
                        <w:pPr>
                          <w:pStyle w:val="TableParagraph"/>
                          <w:spacing w:line="288" w:lineRule="auto" w:before="61"/>
                          <w:ind w:left="160" w:right="8" w:hanging="149"/>
                          <w:rPr>
                            <w:sz w:val="8"/>
                          </w:rPr>
                        </w:pPr>
                        <w:r>
                          <w:rPr>
                            <w:color w:val="211F1F"/>
                            <w:sz w:val="8"/>
                          </w:rPr>
                          <w:t>Moderated multiple regression</w:t>
                        </w:r>
                      </w:p>
                    </w:tc>
                    <w:tc>
                      <w:tcPr>
                        <w:tcW w:w="717" w:type="dxa"/>
                        <w:tcBorders>
                          <w:top w:val="single" w:sz="2" w:space="0" w:color="000000"/>
                          <w:left w:val="single" w:sz="2" w:space="0" w:color="000000"/>
                          <w:bottom w:val="single" w:sz="3" w:space="0" w:color="000000"/>
                        </w:tcBorders>
                      </w:tcPr>
                      <w:p>
                        <w:pPr>
                          <w:pStyle w:val="TableParagraph"/>
                          <w:rPr>
                            <w:sz w:val="8"/>
                          </w:rPr>
                        </w:pPr>
                      </w:p>
                      <w:p>
                        <w:pPr>
                          <w:pStyle w:val="TableParagraph"/>
                          <w:rPr>
                            <w:sz w:val="8"/>
                          </w:rPr>
                        </w:pPr>
                      </w:p>
                      <w:p>
                        <w:pPr>
                          <w:pStyle w:val="TableParagraph"/>
                          <w:spacing w:before="1"/>
                          <w:rPr>
                            <w:sz w:val="9"/>
                          </w:rPr>
                        </w:pPr>
                      </w:p>
                      <w:p>
                        <w:pPr>
                          <w:pStyle w:val="TableParagraph"/>
                          <w:ind w:left="40" w:right="40"/>
                          <w:jc w:val="center"/>
                          <w:rPr>
                            <w:sz w:val="8"/>
                          </w:rPr>
                        </w:pPr>
                        <w:r>
                          <w:rPr>
                            <w:w w:val="95"/>
                            <w:sz w:val="8"/>
                          </w:rPr>
                          <w:t>341 participants</w:t>
                        </w:r>
                      </w:p>
                    </w:tc>
                  </w:tr>
                </w:tbl>
                <w:p>
                  <w:pPr>
                    <w:pStyle w:val="BodyText"/>
                  </w:pPr>
                </w:p>
              </w:txbxContent>
            </v:textbox>
            <w10:wrap type="none"/>
          </v:shape>
        </w:pict>
      </w:r>
      <w:r>
        <w:rPr>
          <w:sz w:val="16"/>
        </w:rPr>
        <w:t>Table 1. Investigations about the relationship among Burnout and Job Content Questionnaire</w:t>
      </w:r>
    </w:p>
    <w:p>
      <w:pPr>
        <w:pStyle w:val="BodyText"/>
        <w:spacing w:line="249" w:lineRule="auto" w:before="83"/>
        <w:ind w:left="270" w:right="677" w:firstLine="450"/>
        <w:jc w:val="both"/>
      </w:pPr>
      <w:r>
        <w:rPr/>
        <w:br w:type="column"/>
      </w:r>
      <w:r>
        <w:rPr/>
        <w:t>In [24] it found that the JCQ dimension decision- making authority had significant negative effect on emotional exhaustion, and had significant positive effect on personal accomplishment.</w:t>
      </w:r>
    </w:p>
    <w:p>
      <w:pPr>
        <w:pStyle w:val="BodyText"/>
        <w:spacing w:line="249" w:lineRule="auto" w:before="1"/>
        <w:ind w:left="270" w:right="675" w:firstLine="450"/>
        <w:jc w:val="both"/>
      </w:pPr>
      <w:r>
        <w:rPr/>
        <w:t>In the study of [27] their results indicate that workplace social context and job content have significant effects on burnout dimensions. In addition, the workplace social context had a significant negative effect on personal accomplishment. Also they found that, job demand had a significant positive effect on emotional exhaustion, and no significant effect on depersonalization and a positive effect on personal</w:t>
      </w:r>
      <w:r>
        <w:rPr>
          <w:spacing w:val="-12"/>
        </w:rPr>
        <w:t> </w:t>
      </w:r>
      <w:r>
        <w:rPr/>
        <w:t>accomplishment.</w:t>
      </w:r>
    </w:p>
    <w:p>
      <w:pPr>
        <w:pStyle w:val="BodyText"/>
        <w:spacing w:line="249" w:lineRule="auto" w:before="1"/>
        <w:ind w:left="270" w:right="676" w:firstLine="450"/>
        <w:jc w:val="both"/>
      </w:pPr>
      <w:r>
        <w:rPr/>
        <w:t>In another context, the study of [33] showed that job demands and job resources (job control, coworker support and supervisor support) contributed to negative WHI (work- home interface). Negative WHI mediated the relationship between job demands and burnout and it partially mediates the relationship between job resources and burnout.</w:t>
      </w:r>
    </w:p>
    <w:p>
      <w:pPr>
        <w:pStyle w:val="BodyText"/>
        <w:spacing w:line="249" w:lineRule="auto" w:before="1"/>
        <w:ind w:left="270" w:right="676" w:firstLine="450"/>
        <w:jc w:val="both"/>
      </w:pPr>
      <w:r>
        <w:rPr/>
        <w:t>In the investigation of [39] the results confirmed the importance of work-site factors for burnout reduction in this specific population. Exhaustion was predicted by  job control, coworker support, and supervisor support. Low accomplishment was predicted by coworker support and workload.</w:t>
      </w:r>
    </w:p>
    <w:p>
      <w:pPr>
        <w:pStyle w:val="BodyText"/>
        <w:spacing w:line="249" w:lineRule="auto" w:before="1"/>
        <w:ind w:left="270" w:right="676" w:firstLine="450"/>
        <w:jc w:val="both"/>
      </w:pPr>
      <w:r>
        <w:rPr/>
        <w:t>In the study developed by [19] results supported a mediation effect process for psychosocial safety, climate job demands and psychological health problems, the results corroborating that psychosocial safety climate is the preeminent stress risk factor.</w:t>
      </w:r>
    </w:p>
    <w:p>
      <w:pPr>
        <w:pStyle w:val="BodyText"/>
        <w:spacing w:line="249" w:lineRule="auto" w:before="1"/>
        <w:ind w:left="270" w:right="676" w:firstLine="450"/>
        <w:jc w:val="both"/>
      </w:pPr>
      <w:r>
        <w:rPr/>
        <w:t>In the study of [11] the results showed that among the examined work factors, low workplace justice found to be the most predominant factor for high burnout, and the associations were more profound in younger workers than in older workers.</w:t>
      </w:r>
    </w:p>
    <w:p>
      <w:pPr>
        <w:pStyle w:val="BodyText"/>
        <w:spacing w:line="249" w:lineRule="auto" w:before="1"/>
        <w:ind w:left="270" w:right="675" w:firstLine="450"/>
        <w:jc w:val="both"/>
      </w:pPr>
      <w:r>
        <w:rPr/>
        <w:t>In contrast, [25] showed in their results no significant effect of work experience over burnout and job characteristics.</w:t>
      </w:r>
    </w:p>
    <w:p>
      <w:pPr>
        <w:pStyle w:val="BodyText"/>
        <w:spacing w:line="249" w:lineRule="auto" w:before="1"/>
        <w:ind w:left="270" w:right="677" w:firstLine="450"/>
        <w:jc w:val="both"/>
      </w:pPr>
      <w:r>
        <w:rPr/>
        <w:t>In the study of [28] the results using Structural Equation Analysis indicated that job demands (psychological and physical demands) and job resources (decision latitude, supervisor support and coworker support) could affect emotional</w:t>
      </w:r>
      <w:r>
        <w:rPr>
          <w:spacing w:val="-14"/>
        </w:rPr>
        <w:t> </w:t>
      </w:r>
      <w:r>
        <w:rPr/>
        <w:t>exhaustion.</w:t>
      </w:r>
    </w:p>
    <w:p>
      <w:pPr>
        <w:pStyle w:val="BodyText"/>
        <w:spacing w:line="249" w:lineRule="auto" w:before="1"/>
        <w:ind w:left="270" w:right="676" w:firstLine="450"/>
        <w:jc w:val="both"/>
      </w:pPr>
      <w:r>
        <w:rPr/>
        <w:t>Regarding the study of [2], the results showed that the work context was reflected in the level and development of the symptoms of burnout.</w:t>
      </w:r>
    </w:p>
    <w:p>
      <w:pPr>
        <w:pStyle w:val="BodyText"/>
        <w:spacing w:line="249" w:lineRule="auto" w:before="1"/>
        <w:ind w:left="270" w:right="676" w:firstLine="450"/>
        <w:jc w:val="both"/>
      </w:pPr>
      <w:r>
        <w:rPr/>
        <w:t>The study developed by [12] showed that individuals who perceived high or active job strain (where the job demands and the decision latitude are high simultaneously) had a much higher prevalence of burnout than those with low and passive strain. Also, professionals having low  social support had a significantly higher</w:t>
      </w:r>
      <w:r>
        <w:rPr>
          <w:spacing w:val="-21"/>
        </w:rPr>
        <w:t> </w:t>
      </w:r>
      <w:r>
        <w:rPr/>
        <w:t>burnout.</w:t>
      </w:r>
    </w:p>
    <w:p>
      <w:pPr>
        <w:pStyle w:val="BodyText"/>
        <w:spacing w:line="249" w:lineRule="auto" w:before="1"/>
        <w:ind w:left="270" w:right="678" w:firstLine="450"/>
        <w:jc w:val="both"/>
      </w:pPr>
      <w:r>
        <w:rPr/>
        <w:t>In the study of [36] findings demonstrated that women tend to experience emotional exhaustion to a greater extent than their male counterparts. Furtherly, control and social support do serve as moderators for burnout dimensions of</w:t>
      </w:r>
    </w:p>
    <w:p>
      <w:pPr>
        <w:spacing w:after="0" w:line="249" w:lineRule="auto"/>
        <w:jc w:val="both"/>
        <w:sectPr>
          <w:type w:val="continuous"/>
          <w:pgSz w:w="12240" w:h="15840"/>
          <w:pgMar w:top="1500" w:bottom="280" w:left="580" w:right="220"/>
          <w:cols w:num="2" w:equalWidth="0">
            <w:col w:w="5192" w:space="432"/>
            <w:col w:w="5816"/>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line="249" w:lineRule="auto" w:before="83"/>
        <w:ind w:left="270"/>
        <w:jc w:val="both"/>
      </w:pPr>
      <w:r>
        <w:rPr/>
        <w:t>emotional exhaustion and cynicism, suggesting a limited support for the Demand Control–Support model.</w:t>
      </w:r>
    </w:p>
    <w:p>
      <w:pPr>
        <w:pStyle w:val="BodyText"/>
        <w:spacing w:line="249" w:lineRule="auto" w:before="1"/>
        <w:ind w:left="270" w:firstLine="450"/>
        <w:jc w:val="both"/>
      </w:pPr>
      <w:r>
        <w:rPr/>
        <w:t>Figure 1 shows the number of papers included in this literature review within the last five years, not having found any investigation so far in the year 2015. In this chart it can be observed that studies concerning the relationship among the variables of Burnout and Job Content Questionnaire are not abundant and there are not concluding results about these relationships or associations.</w:t>
      </w:r>
    </w:p>
    <w:p>
      <w:pPr>
        <w:pStyle w:val="BodyText"/>
      </w:pPr>
    </w:p>
    <w:p>
      <w:pPr>
        <w:pStyle w:val="BodyText"/>
        <w:spacing w:before="2"/>
        <w:rPr>
          <w:sz w:val="18"/>
        </w:rPr>
      </w:pPr>
      <w:r>
        <w:rPr/>
        <w:drawing>
          <wp:anchor distT="0" distB="0" distL="0" distR="0" allowOverlap="1" layoutInCell="1" locked="0" behindDoc="0" simplePos="0" relativeHeight="15784">
            <wp:simplePos x="0" y="0"/>
            <wp:positionH relativeFrom="page">
              <wp:posOffset>563880</wp:posOffset>
            </wp:positionH>
            <wp:positionV relativeFrom="paragraph">
              <wp:posOffset>157681</wp:posOffset>
            </wp:positionV>
            <wp:extent cx="3078845" cy="2061972"/>
            <wp:effectExtent l="0" t="0" r="0" b="0"/>
            <wp:wrapTopAndBottom/>
            <wp:docPr id="651" name="image385.png" descr=""/>
            <wp:cNvGraphicFramePr>
              <a:graphicFrameLocks noChangeAspect="1"/>
            </wp:cNvGraphicFramePr>
            <a:graphic>
              <a:graphicData uri="http://schemas.openxmlformats.org/drawingml/2006/picture">
                <pic:pic>
                  <pic:nvPicPr>
                    <pic:cNvPr id="652" name="image385.png"/>
                    <pic:cNvPicPr/>
                  </pic:nvPicPr>
                  <pic:blipFill>
                    <a:blip r:embed="rId633" cstate="print"/>
                    <a:stretch>
                      <a:fillRect/>
                    </a:stretch>
                  </pic:blipFill>
                  <pic:spPr>
                    <a:xfrm>
                      <a:off x="0" y="0"/>
                      <a:ext cx="3078845" cy="2061972"/>
                    </a:xfrm>
                    <a:prstGeom prst="rect">
                      <a:avLst/>
                    </a:prstGeom>
                  </pic:spPr>
                </pic:pic>
              </a:graphicData>
            </a:graphic>
          </wp:anchor>
        </w:drawing>
      </w:r>
    </w:p>
    <w:p>
      <w:pPr>
        <w:pStyle w:val="BodyText"/>
      </w:pPr>
    </w:p>
    <w:p>
      <w:pPr>
        <w:spacing w:before="146"/>
        <w:ind w:left="2568" w:right="49" w:hanging="2232"/>
        <w:jc w:val="left"/>
        <w:rPr>
          <w:sz w:val="18"/>
        </w:rPr>
      </w:pPr>
      <w:r>
        <w:rPr>
          <w:sz w:val="18"/>
        </w:rPr>
        <w:t>Figure 1. Investigations about the relationship among Burnout and JCQ</w:t>
      </w:r>
    </w:p>
    <w:p>
      <w:pPr>
        <w:pStyle w:val="BodyText"/>
        <w:rPr>
          <w:sz w:val="18"/>
        </w:rPr>
      </w:pPr>
    </w:p>
    <w:p>
      <w:pPr>
        <w:pStyle w:val="BodyText"/>
        <w:rPr>
          <w:sz w:val="18"/>
        </w:rPr>
      </w:pPr>
    </w:p>
    <w:p>
      <w:pPr>
        <w:pStyle w:val="BodyText"/>
        <w:spacing w:before="4"/>
        <w:rPr>
          <w:sz w:val="24"/>
        </w:rPr>
      </w:pPr>
    </w:p>
    <w:p>
      <w:pPr>
        <w:pStyle w:val="Heading4"/>
        <w:numPr>
          <w:ilvl w:val="0"/>
          <w:numId w:val="140"/>
        </w:numPr>
        <w:tabs>
          <w:tab w:pos="472" w:val="left" w:leader="none"/>
        </w:tabs>
        <w:spacing w:line="240" w:lineRule="auto" w:before="0" w:after="0"/>
        <w:ind w:left="471" w:right="0" w:hanging="201"/>
        <w:jc w:val="both"/>
      </w:pPr>
      <w:r>
        <w:rPr/>
        <w:t>CONCLUSIONS</w:t>
      </w:r>
    </w:p>
    <w:p>
      <w:pPr>
        <w:pStyle w:val="BodyText"/>
        <w:spacing w:before="8"/>
        <w:rPr>
          <w:b/>
          <w:sz w:val="19"/>
        </w:rPr>
      </w:pPr>
    </w:p>
    <w:p>
      <w:pPr>
        <w:pStyle w:val="BodyText"/>
        <w:ind w:left="270"/>
        <w:jc w:val="both"/>
      </w:pPr>
      <w:r>
        <w:rPr/>
        <w:t>The objectives of this document have been accomplished, since the main concepts contained in these  theories  have been presented, also it was presented an organized and updated compilation of papers was presented regarding the investigations that have been conducted to explore the relationship among Burnout and JCQ variables.</w:t>
      </w:r>
    </w:p>
    <w:p>
      <w:pPr>
        <w:pStyle w:val="BodyText"/>
        <w:ind w:left="270" w:firstLine="450"/>
        <w:jc w:val="both"/>
      </w:pPr>
      <w:r>
        <w:rPr/>
        <w:t>This literature review confirms that the interest of exploring the relationship among the Burnout syndrome dimensions and the job content questionnaire dimensions has been maintained in the last five years, however, results found about this relationship are not conclusive and publications about the topic are not abundant taken into account the databases consulted in this literature review. For the evaluation of Burnout the MBI in all its versions can be distinguished because has been largely applied in the  medical and education area. For the evaluation of work- related aspects more researches using the JCQ questionnaire as an evaluation tool are still needed. Among those ones found in literature they inform that there are theoretical aspects of the instrument that should receive more attention; as example are the number of items that make up the instrument, and the recommendation to extend its application to different</w:t>
      </w:r>
      <w:r>
        <w:rPr>
          <w:spacing w:val="-7"/>
        </w:rPr>
        <w:t> </w:t>
      </w:r>
      <w:r>
        <w:rPr/>
        <w:t>contexts.</w:t>
      </w:r>
    </w:p>
    <w:p>
      <w:pPr>
        <w:pStyle w:val="BodyText"/>
        <w:spacing w:before="74"/>
        <w:ind w:left="270" w:right="677" w:firstLine="450"/>
        <w:jc w:val="both"/>
      </w:pPr>
      <w:r>
        <w:rPr/>
        <w:br w:type="column"/>
      </w:r>
      <w:r>
        <w:rPr/>
        <w:t>According to literature review, emotional exhaustion  is the Burnout dimension that has received more attention from investigators and more frequently related with other variables; however there have been investigations where the three burnout dimensions have been analyzed. Regarding to the Job Content Questionnaire (JCQ) the dimensions that have been more frequently analyzed and related with other variables are: job demand, supervisor support, and coworker support.</w:t>
      </w:r>
    </w:p>
    <w:p>
      <w:pPr>
        <w:pStyle w:val="BodyText"/>
        <w:spacing w:before="2"/>
      </w:pPr>
    </w:p>
    <w:p>
      <w:pPr>
        <w:pStyle w:val="Heading4"/>
        <w:numPr>
          <w:ilvl w:val="0"/>
          <w:numId w:val="140"/>
        </w:numPr>
        <w:tabs>
          <w:tab w:pos="471" w:val="left" w:leader="none"/>
        </w:tabs>
        <w:spacing w:line="240" w:lineRule="auto" w:before="0" w:after="0"/>
        <w:ind w:left="470" w:right="0" w:hanging="200"/>
        <w:jc w:val="both"/>
      </w:pPr>
      <w:r>
        <w:rPr/>
        <w:t>REFERENCES</w:t>
      </w:r>
    </w:p>
    <w:p>
      <w:pPr>
        <w:pStyle w:val="BodyText"/>
        <w:spacing w:before="8"/>
        <w:rPr>
          <w:b/>
          <w:sz w:val="19"/>
        </w:rPr>
      </w:pPr>
    </w:p>
    <w:p>
      <w:pPr>
        <w:pStyle w:val="BodyText"/>
        <w:ind w:left="270" w:right="677"/>
        <w:jc w:val="both"/>
      </w:pPr>
      <w:r>
        <w:rPr/>
        <w:t>[1] R. Aguayo, C. Vargas, E. De la Fuente, &amp; L.M. Lozano, “A meta-analytic reliability generalization study of the Maslach Burnout Inventory”, </w:t>
      </w:r>
      <w:r>
        <w:rPr>
          <w:i/>
        </w:rPr>
        <w:t>International Journal of </w:t>
      </w:r>
      <w:r>
        <w:rPr>
          <w:i/>
        </w:rPr>
        <w:t>Clinical and Health Psychology</w:t>
      </w:r>
      <w:r>
        <w:rPr/>
        <w:t>, vol. 11, pp. 343-361, 2011. [2] K. Ahola, J. Hakanen, R. Perhoniemi, &amp; P. Mutanen, “Relationship between burnout and depressive symptoms: A study using the person-centred approach”, </w:t>
      </w:r>
      <w:r>
        <w:rPr>
          <w:i/>
        </w:rPr>
        <w:t>Burnout </w:t>
      </w:r>
      <w:r>
        <w:rPr>
          <w:i/>
        </w:rPr>
        <w:t>Research</w:t>
      </w:r>
      <w:r>
        <w:rPr/>
        <w:t>, vol. 1, pp. 29–37, 2014.</w:t>
      </w:r>
    </w:p>
    <w:p>
      <w:pPr>
        <w:pStyle w:val="BodyText"/>
        <w:ind w:left="270" w:right="678"/>
        <w:jc w:val="both"/>
      </w:pPr>
      <w:r>
        <w:rPr/>
        <w:t>[3] G.M. Alarcon, “A meta-analysis of burnout with job demands, resources, and attitudes”, </w:t>
      </w:r>
      <w:r>
        <w:rPr>
          <w:i/>
        </w:rPr>
        <w:t>Journal of Vocational </w:t>
      </w:r>
      <w:r>
        <w:rPr>
          <w:i/>
        </w:rPr>
        <w:t>Behavior</w:t>
      </w:r>
      <w:r>
        <w:rPr/>
        <w:t>, vol. 79, pp. 549-562, 2011.</w:t>
      </w:r>
    </w:p>
    <w:p>
      <w:pPr>
        <w:pStyle w:val="BodyText"/>
        <w:ind w:left="270" w:right="676"/>
        <w:jc w:val="both"/>
      </w:pPr>
      <w:r>
        <w:rPr/>
        <w:t>[4] C. Aranda, J.L. López, &amp; J.H. Barraza, “Factores psicosociales de burnout en trabajadores de la industria de la transformación de la masa, Tepic, México”, </w:t>
      </w:r>
      <w:r>
        <w:rPr>
          <w:i/>
        </w:rPr>
        <w:t>Revista </w:t>
      </w:r>
      <w:r>
        <w:rPr>
          <w:i/>
        </w:rPr>
        <w:t>Colombiana de Psiquiatría</w:t>
      </w:r>
      <w:r>
        <w:rPr/>
        <w:t>, vol. 42, pp.167-172, 2013.</w:t>
      </w:r>
    </w:p>
    <w:p>
      <w:pPr>
        <w:spacing w:before="0"/>
        <w:ind w:left="270" w:right="677" w:firstLine="0"/>
        <w:jc w:val="both"/>
        <w:rPr>
          <w:sz w:val="20"/>
        </w:rPr>
      </w:pPr>
      <w:r>
        <w:rPr>
          <w:sz w:val="20"/>
        </w:rPr>
        <w:t>[5] A.B. Bakker, E. Demerouti, &amp; A.I. Sanz-Vergel, “Burnout and work engagement: The JD-R approach”, </w:t>
      </w:r>
      <w:r>
        <w:rPr>
          <w:i/>
          <w:sz w:val="20"/>
        </w:rPr>
        <w:t>Annual Review of Organization Psychology and </w:t>
      </w:r>
      <w:r>
        <w:rPr>
          <w:i/>
          <w:sz w:val="20"/>
        </w:rPr>
        <w:t>Organizational Behavior</w:t>
      </w:r>
      <w:r>
        <w:rPr>
          <w:sz w:val="20"/>
        </w:rPr>
        <w:t>, vol. 1, pp. 389-411, 2014.</w:t>
      </w:r>
    </w:p>
    <w:p>
      <w:pPr>
        <w:pStyle w:val="BodyText"/>
        <w:ind w:left="270" w:right="676"/>
        <w:jc w:val="both"/>
      </w:pPr>
      <w:r>
        <w:rPr/>
        <w:t>[6] A. Barraza, R. Carrasco, &amp; M.G. Arreola, “Síndrome de burnout: un estudio comparativo entre profesores y médicos de la ciudad de Durango”. Universidad Pedagógica de Durango, 2007.</w:t>
      </w:r>
    </w:p>
    <w:p>
      <w:pPr>
        <w:pStyle w:val="BodyText"/>
        <w:ind w:left="270" w:right="676"/>
        <w:jc w:val="both"/>
      </w:pPr>
      <w:r>
        <w:rPr/>
        <w:t>[7] R.J. Burke &amp; A.M. Richardsen, Psychological burnout in organizations. Manuscrito presentado para su publicación. En Garcés, E. (1994). Burnout: Un acercamiento teórico- empírico al constructo en contextos deportivos. Tesis no publicada. Universidad de Murcia, 1991.</w:t>
      </w:r>
    </w:p>
    <w:p>
      <w:pPr>
        <w:pStyle w:val="BodyText"/>
        <w:ind w:left="270" w:right="678"/>
        <w:jc w:val="both"/>
      </w:pPr>
      <w:r>
        <w:rPr/>
        <w:t>[8] J.S. Caputo, “Stress and burnout in library service”. Phoenix: Orix Press, 1991.</w:t>
      </w:r>
    </w:p>
    <w:p>
      <w:pPr>
        <w:spacing w:before="0"/>
        <w:ind w:left="270" w:right="676" w:firstLine="0"/>
        <w:jc w:val="both"/>
        <w:rPr>
          <w:sz w:val="20"/>
        </w:rPr>
      </w:pPr>
      <w:r>
        <w:rPr>
          <w:sz w:val="20"/>
        </w:rPr>
        <w:t>[9] S. Castillo, “El síndrome de “Burnout” o síndrome de desgaste profesional”, </w:t>
      </w:r>
      <w:r>
        <w:rPr>
          <w:i/>
          <w:sz w:val="20"/>
        </w:rPr>
        <w:t>Medicina Legal de Costa Rica</w:t>
      </w:r>
      <w:r>
        <w:rPr>
          <w:sz w:val="20"/>
        </w:rPr>
        <w:t>, 17, 2001.</w:t>
      </w:r>
    </w:p>
    <w:p>
      <w:pPr>
        <w:spacing w:before="0"/>
        <w:ind w:left="270" w:right="677" w:firstLine="0"/>
        <w:jc w:val="both"/>
        <w:rPr>
          <w:sz w:val="20"/>
        </w:rPr>
      </w:pPr>
      <w:r>
        <w:rPr>
          <w:sz w:val="20"/>
        </w:rPr>
        <w:t>[10] V.H. Charria, K.V. Sarsosa, &amp; F. Arenas, “Factores de riesgo psicosocial laboral: métodos e instrumentos de evaluación”, </w:t>
      </w:r>
      <w:r>
        <w:rPr>
          <w:i/>
          <w:sz w:val="20"/>
        </w:rPr>
        <w:t>Revista Facultad Nacional de Salud Pública</w:t>
      </w:r>
      <w:r>
        <w:rPr>
          <w:sz w:val="20"/>
        </w:rPr>
        <w:t>, vol. 29, pp. 380-391, 2011.</w:t>
      </w:r>
    </w:p>
    <w:p>
      <w:pPr>
        <w:pStyle w:val="BodyText"/>
        <w:ind w:left="270" w:right="675"/>
        <w:jc w:val="both"/>
      </w:pPr>
      <w:r>
        <w:rPr/>
        <w:t>[11] Y. Cheng, I.-S. Chen, C.-J. Chen, H. Burr, &amp; H.M. Hasselhorn, “The influence of age on the distribution of self-rated health, burnout and their associations with psychosocial work conditions”, </w:t>
      </w:r>
      <w:r>
        <w:rPr>
          <w:i/>
        </w:rPr>
        <w:t>Journal of Psychosomatic </w:t>
      </w:r>
      <w:r>
        <w:rPr>
          <w:i/>
        </w:rPr>
        <w:t>Research</w:t>
      </w:r>
      <w:r>
        <w:rPr/>
        <w:t>, vol. 74, pp. 213–20, 2013.</w:t>
      </w:r>
    </w:p>
    <w:p>
      <w:pPr>
        <w:pStyle w:val="BodyText"/>
        <w:ind w:left="270" w:right="676"/>
        <w:jc w:val="both"/>
      </w:pPr>
      <w:r>
        <w:rPr/>
        <w:t>[12] L.-P. Chou, C.-Y. Li, &amp; S.C. Hu, “Job stress and burnout in hospital employees: comparisons of different medical professions in a regional hospital in Taiwan”. </w:t>
      </w:r>
      <w:r>
        <w:rPr>
          <w:i/>
        </w:rPr>
        <w:t>BMJ </w:t>
      </w:r>
      <w:r>
        <w:rPr>
          <w:i/>
        </w:rPr>
        <w:t>Open</w:t>
      </w:r>
      <w:r>
        <w:rPr/>
        <w:t>, 4, 2014.</w:t>
      </w:r>
    </w:p>
    <w:p>
      <w:pPr>
        <w:spacing w:after="0"/>
        <w:jc w:val="both"/>
        <w:sectPr>
          <w:type w:val="continuous"/>
          <w:pgSz w:w="12240" w:h="15840"/>
          <w:pgMar w:top="1500" w:bottom="280" w:left="580" w:right="220"/>
          <w:cols w:num="2" w:equalWidth="0">
            <w:col w:w="5190" w:space="434"/>
            <w:col w:w="5816"/>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4"/>
        <w:ind w:left="270"/>
        <w:jc w:val="both"/>
      </w:pPr>
      <w:r>
        <w:rPr/>
        <w:t>[13] C.L. Cordes, &amp; T.W. Dougherty, “A review and an integration of research on job Burnout”, </w:t>
      </w:r>
      <w:r>
        <w:rPr>
          <w:i/>
        </w:rPr>
        <w:t>Academy of </w:t>
      </w:r>
      <w:r>
        <w:rPr>
          <w:i/>
        </w:rPr>
        <w:t>Management Review</w:t>
      </w:r>
      <w:r>
        <w:rPr/>
        <w:t>, vol. 18, pp. 621-656, 1993.</w:t>
      </w:r>
    </w:p>
    <w:p>
      <w:pPr>
        <w:pStyle w:val="BodyText"/>
        <w:spacing w:line="230" w:lineRule="exact"/>
        <w:ind w:left="270"/>
        <w:jc w:val="both"/>
      </w:pPr>
      <w:r>
        <w:rPr/>
        <w:t>[14] D. Coyle, D. Edwards, B. Hannigan, A. Fothergill, &amp;</w:t>
      </w:r>
    </w:p>
    <w:p>
      <w:pPr>
        <w:pStyle w:val="BodyText"/>
        <w:ind w:left="270" w:right="1"/>
        <w:jc w:val="both"/>
      </w:pPr>
      <w:r>
        <w:rPr/>
        <w:t>P.A. Burnard, “A systematic review of stress among mental health social workers”, </w:t>
      </w:r>
      <w:r>
        <w:rPr>
          <w:i/>
        </w:rPr>
        <w:t>Int. Soc. Work</w:t>
      </w:r>
      <w:r>
        <w:rPr/>
        <w:t>, vol. 48, pp. 201–211, 2005.</w:t>
      </w:r>
    </w:p>
    <w:p>
      <w:pPr>
        <w:pStyle w:val="BodyText"/>
        <w:ind w:left="270"/>
        <w:jc w:val="both"/>
      </w:pPr>
      <w:r>
        <w:rPr/>
        <w:t>[15] M.S. Diaz, M.I. Stimolo, &amp; N.P. Caro, “Satisfacción laboral y síndrome de desgaste laboral en enfermeros de hospitales públicos Cordova-Argentina”, </w:t>
      </w:r>
      <w:r>
        <w:rPr>
          <w:i/>
        </w:rPr>
        <w:t>Medicina y </w:t>
      </w:r>
      <w:r>
        <w:rPr>
          <w:i/>
        </w:rPr>
        <w:t>seguridad del trabajo</w:t>
      </w:r>
      <w:r>
        <w:rPr/>
        <w:t>, vol. 56, pp. 22-38, 2010.</w:t>
      </w:r>
    </w:p>
    <w:p>
      <w:pPr>
        <w:pStyle w:val="BodyText"/>
        <w:ind w:left="270"/>
        <w:jc w:val="both"/>
      </w:pPr>
      <w:r>
        <w:rPr/>
        <w:t>[16] V. Escribá-Agüir, R. Más Pons, &amp; E. Flores, “Validación del Job Content Questionnaire en personal de enfermería hospitalario”, </w:t>
      </w:r>
      <w:r>
        <w:rPr>
          <w:i/>
        </w:rPr>
        <w:t>Gaceta Sanit</w:t>
      </w:r>
      <w:r>
        <w:rPr/>
        <w:t>, 15, pp. 142-149, 2001.</w:t>
      </w:r>
    </w:p>
    <w:p>
      <w:pPr>
        <w:pStyle w:val="BodyText"/>
        <w:ind w:left="270"/>
        <w:jc w:val="both"/>
      </w:pPr>
      <w:r>
        <w:rPr/>
        <w:t>[17] R. Forbes, “El síndrome de burnout: síntomas, causas y medidas de atención en la empresa”, </w:t>
      </w:r>
      <w:r>
        <w:rPr>
          <w:i/>
        </w:rPr>
        <w:t>Éxito empresarial</w:t>
      </w:r>
      <w:r>
        <w:rPr/>
        <w:t>, 160, 2011.</w:t>
      </w:r>
    </w:p>
    <w:p>
      <w:pPr>
        <w:spacing w:before="0"/>
        <w:ind w:left="270" w:right="0" w:firstLine="0"/>
        <w:jc w:val="both"/>
        <w:rPr>
          <w:sz w:val="20"/>
        </w:rPr>
      </w:pPr>
      <w:r>
        <w:rPr>
          <w:sz w:val="20"/>
        </w:rPr>
        <w:t>[18] P. Gil-Monte &amp; J.M. Peiró, “</w:t>
      </w:r>
      <w:r>
        <w:rPr>
          <w:i/>
          <w:sz w:val="20"/>
        </w:rPr>
        <w:t>Desgaste psíquico en el </w:t>
      </w:r>
      <w:r>
        <w:rPr>
          <w:i/>
          <w:sz w:val="20"/>
        </w:rPr>
        <w:t>trabajo</w:t>
      </w:r>
      <w:r>
        <w:rPr>
          <w:sz w:val="20"/>
        </w:rPr>
        <w:t>”. Madrid: Síntesis de Psicología, 1997.</w:t>
      </w:r>
    </w:p>
    <w:p>
      <w:pPr>
        <w:pStyle w:val="BodyText"/>
        <w:ind w:left="270"/>
        <w:jc w:val="both"/>
      </w:pPr>
      <w:r>
        <w:rPr/>
        <w:t>[19] M.A. Idris, M.F. Dollard, J. Coward, &amp; C. Dormann, “Psychosocial safety climate: Conceptual distinctiveness and effect on job demands and worker psychological health”, </w:t>
      </w:r>
      <w:r>
        <w:rPr>
          <w:i/>
        </w:rPr>
        <w:t>Safety Science</w:t>
      </w:r>
      <w:r>
        <w:rPr/>
        <w:t>, vol. 50, pp.19–28, 2012.</w:t>
      </w:r>
    </w:p>
    <w:p>
      <w:pPr>
        <w:spacing w:before="0"/>
        <w:ind w:left="270" w:right="0" w:firstLine="0"/>
        <w:jc w:val="both"/>
        <w:rPr>
          <w:sz w:val="20"/>
        </w:rPr>
      </w:pPr>
      <w:r>
        <w:rPr>
          <w:sz w:val="20"/>
        </w:rPr>
        <w:t>[20] S.E. Jackson &amp; C. Maslach, “After-effects of job- related Stress: Families as Victims”, </w:t>
      </w:r>
      <w:r>
        <w:rPr>
          <w:i/>
          <w:sz w:val="20"/>
        </w:rPr>
        <w:t>Journal of  </w:t>
      </w:r>
      <w:r>
        <w:rPr>
          <w:i/>
          <w:sz w:val="20"/>
        </w:rPr>
        <w:t>Occupational Behaviour</w:t>
      </w:r>
      <w:r>
        <w:rPr>
          <w:sz w:val="20"/>
        </w:rPr>
        <w:t>, vol. 3, pp. 63-77,</w:t>
      </w:r>
      <w:r>
        <w:rPr>
          <w:spacing w:val="-25"/>
          <w:sz w:val="20"/>
        </w:rPr>
        <w:t> </w:t>
      </w:r>
      <w:r>
        <w:rPr>
          <w:sz w:val="20"/>
        </w:rPr>
        <w:t>1982.</w:t>
      </w:r>
    </w:p>
    <w:p>
      <w:pPr>
        <w:pStyle w:val="BodyText"/>
        <w:ind w:left="270" w:right="1"/>
        <w:jc w:val="both"/>
      </w:pPr>
      <w:r>
        <w:rPr/>
        <w:t>[21] R. Karasek, “Job Content Questionnaire and user’s guide”. Lowell: University of Massachusetts Lowell, Department of Work Environment, 1985.</w:t>
      </w:r>
    </w:p>
    <w:p>
      <w:pPr>
        <w:spacing w:before="0"/>
        <w:ind w:left="270" w:right="0" w:firstLine="0"/>
        <w:jc w:val="both"/>
        <w:rPr>
          <w:sz w:val="20"/>
        </w:rPr>
      </w:pPr>
      <w:r>
        <w:rPr>
          <w:sz w:val="20"/>
        </w:rPr>
        <w:t>[22] R. Karasek &amp; T. Theorell, “</w:t>
      </w:r>
      <w:r>
        <w:rPr>
          <w:i/>
          <w:sz w:val="20"/>
        </w:rPr>
        <w:t>Healthy work, stress, </w:t>
      </w:r>
      <w:r>
        <w:rPr>
          <w:i/>
          <w:sz w:val="20"/>
        </w:rPr>
        <w:t>productivity, and the reconstruction of working life</w:t>
      </w:r>
      <w:r>
        <w:rPr>
          <w:sz w:val="20"/>
        </w:rPr>
        <w:t>”, New York: Basic Books, 1990.</w:t>
      </w:r>
    </w:p>
    <w:p>
      <w:pPr>
        <w:pStyle w:val="BodyText"/>
        <w:ind w:left="270"/>
        <w:jc w:val="both"/>
      </w:pPr>
      <w:r>
        <w:rPr/>
        <w:t>[23] R. Karasek, C. Brisson, N. Kawakami, I. Houtman, P. Bongers, &amp; B. Amick, “The job content questionnaire (JCQ): An instrument for internationally  comparative  assessments of psychosocial job characteristics”, </w:t>
      </w:r>
      <w:r>
        <w:rPr>
          <w:i/>
        </w:rPr>
        <w:t>Journal Occupational </w:t>
      </w:r>
      <w:r>
        <w:rPr>
          <w:i/>
        </w:rPr>
        <w:t>Health Psychology</w:t>
      </w:r>
      <w:r>
        <w:rPr/>
        <w:t>, vol. 3, pp. 322-355, 1998.</w:t>
      </w:r>
    </w:p>
    <w:p>
      <w:pPr>
        <w:pStyle w:val="BodyText"/>
        <w:ind w:left="270"/>
        <w:jc w:val="both"/>
      </w:pPr>
      <w:r>
        <w:rPr/>
        <w:t>[24] H. Kim, “Job conditions, unmet expectations, and burnout in public child welfare workers: How different from other social workers?”, </w:t>
      </w:r>
      <w:r>
        <w:rPr>
          <w:i/>
        </w:rPr>
        <w:t>Children and Youth Services Review</w:t>
      </w:r>
      <w:r>
        <w:rPr/>
        <w:t>, vol. 33, pp. 358–367, 2011.</w:t>
      </w:r>
    </w:p>
    <w:p>
      <w:pPr>
        <w:spacing w:before="0"/>
        <w:ind w:left="270" w:right="0" w:firstLine="0"/>
        <w:jc w:val="both"/>
        <w:rPr>
          <w:sz w:val="20"/>
        </w:rPr>
      </w:pPr>
      <w:r>
        <w:rPr>
          <w:sz w:val="20"/>
        </w:rPr>
        <w:t>[25] M. Knani &amp; P.S. Fourier, “Burnout, job characteristics, and intent to leave: does work experience have any effect”, </w:t>
      </w:r>
      <w:r>
        <w:rPr>
          <w:i/>
          <w:sz w:val="20"/>
        </w:rPr>
        <w:t>Journal of Emerging Trends in Economics and Management </w:t>
      </w:r>
      <w:r>
        <w:rPr>
          <w:i/>
          <w:sz w:val="20"/>
        </w:rPr>
        <w:t>Sciences</w:t>
      </w:r>
      <w:r>
        <w:rPr>
          <w:sz w:val="20"/>
        </w:rPr>
        <w:t>, vol. 4, pp. 403-408, 2013.</w:t>
      </w:r>
    </w:p>
    <w:p>
      <w:pPr>
        <w:pStyle w:val="BodyText"/>
        <w:ind w:left="270"/>
        <w:jc w:val="both"/>
      </w:pPr>
      <w:r>
        <w:rPr/>
        <w:t>[26] J.M. Kohler, D.C. Munz, &amp; M.J. Grawitch, “Test of a dynamic stress model for organizational change: Do males and females require different models?”, </w:t>
      </w:r>
      <w:r>
        <w:rPr>
          <w:i/>
        </w:rPr>
        <w:t>Appl. Psychol. Int. </w:t>
      </w:r>
      <w:r>
        <w:rPr>
          <w:i/>
        </w:rPr>
        <w:t>Rev</w:t>
      </w:r>
      <w:r>
        <w:rPr/>
        <w:t>, vol. 55, pp. 168–191, 2006.</w:t>
      </w:r>
    </w:p>
    <w:p>
      <w:pPr>
        <w:pStyle w:val="BodyText"/>
        <w:ind w:left="270"/>
        <w:jc w:val="both"/>
      </w:pPr>
      <w:r>
        <w:rPr/>
        <w:t>[27] J. Lee &amp; S. Akhtar, “Effects of the workplace social context and job content on nurse burnout</w:t>
      </w:r>
      <w:r>
        <w:rPr>
          <w:i/>
        </w:rPr>
        <w:t>”, Human Resource </w:t>
      </w:r>
      <w:r>
        <w:rPr>
          <w:i/>
        </w:rPr>
        <w:t>Management</w:t>
      </w:r>
      <w:r>
        <w:rPr/>
        <w:t>, vol. 50, pp. 227-245, 2011.</w:t>
      </w:r>
    </w:p>
    <w:p>
      <w:pPr>
        <w:pStyle w:val="BodyText"/>
        <w:ind w:left="270"/>
        <w:jc w:val="both"/>
      </w:pPr>
      <w:r>
        <w:rPr/>
        <w:t>[28] F. Li, L. Jiang, X. Yao, Y. &amp; Li, “Job demands, job resources and safety outcomes: The roles of emotional exhaustion and safety compliance”, </w:t>
      </w:r>
      <w:r>
        <w:rPr>
          <w:i/>
        </w:rPr>
        <w:t>Accident Analysis and </w:t>
      </w:r>
      <w:r>
        <w:rPr>
          <w:i/>
        </w:rPr>
        <w:t>Prevention</w:t>
      </w:r>
      <w:r>
        <w:rPr/>
        <w:t>, vol. 51, pp. 243–251, 2013.</w:t>
      </w:r>
    </w:p>
    <w:p>
      <w:pPr>
        <w:spacing w:before="74"/>
        <w:ind w:left="270" w:right="677" w:firstLine="0"/>
        <w:jc w:val="both"/>
        <w:rPr>
          <w:sz w:val="20"/>
        </w:rPr>
      </w:pPr>
      <w:r>
        <w:rPr/>
        <w:br w:type="column"/>
      </w:r>
      <w:r>
        <w:rPr>
          <w:sz w:val="20"/>
        </w:rPr>
        <w:t>[29] F.J. Llaneza, “</w:t>
      </w:r>
      <w:r>
        <w:rPr>
          <w:i/>
          <w:sz w:val="20"/>
        </w:rPr>
        <w:t>Ergonomía y Psicología aplicada. </w:t>
      </w:r>
      <w:r>
        <w:rPr>
          <w:i/>
          <w:sz w:val="20"/>
        </w:rPr>
        <w:t>Manual para la formación de especialista</w:t>
      </w:r>
      <w:r>
        <w:rPr>
          <w:sz w:val="20"/>
        </w:rPr>
        <w:t>”. España: Editorial Lex Nova, 2002.</w:t>
      </w:r>
    </w:p>
    <w:p>
      <w:pPr>
        <w:pStyle w:val="BodyText"/>
        <w:ind w:left="270" w:right="676"/>
        <w:jc w:val="both"/>
      </w:pPr>
      <w:r>
        <w:rPr/>
        <w:t>[30] A. Martínez, “El síndrome de Burnout. Evolución conceptual y estado actual de la cuestión”, </w:t>
      </w:r>
      <w:r>
        <w:rPr>
          <w:i/>
        </w:rPr>
        <w:t>Vivat Academia</w:t>
      </w:r>
      <w:r>
        <w:rPr/>
        <w:t>, 112, 2010.</w:t>
      </w:r>
    </w:p>
    <w:p>
      <w:pPr>
        <w:spacing w:before="0"/>
        <w:ind w:left="270" w:right="675" w:firstLine="0"/>
        <w:jc w:val="both"/>
        <w:rPr>
          <w:sz w:val="20"/>
        </w:rPr>
      </w:pPr>
      <w:r>
        <w:rPr>
          <w:sz w:val="20"/>
        </w:rPr>
        <w:t>[31] C. Maslach &amp; S.E. Jackson, “</w:t>
      </w:r>
      <w:r>
        <w:rPr>
          <w:i/>
          <w:sz w:val="20"/>
        </w:rPr>
        <w:t>MBI: Maslach Burnout </w:t>
      </w:r>
      <w:r>
        <w:rPr>
          <w:i/>
          <w:sz w:val="20"/>
        </w:rPr>
        <w:t>Inventory Manual</w:t>
      </w:r>
      <w:r>
        <w:rPr>
          <w:sz w:val="20"/>
        </w:rPr>
        <w:t>”. Palo Alto: University of California, Consulting Psychologist Press, 1981.</w:t>
      </w:r>
    </w:p>
    <w:p>
      <w:pPr>
        <w:tabs>
          <w:tab w:pos="834" w:val="left" w:leader="none"/>
          <w:tab w:pos="1259" w:val="left" w:leader="none"/>
          <w:tab w:pos="2159" w:val="left" w:leader="none"/>
          <w:tab w:pos="2756" w:val="left" w:leader="none"/>
          <w:tab w:pos="4179" w:val="left" w:leader="none"/>
        </w:tabs>
        <w:spacing w:before="0"/>
        <w:ind w:left="270" w:right="676" w:firstLine="0"/>
        <w:jc w:val="left"/>
        <w:rPr>
          <w:sz w:val="20"/>
        </w:rPr>
      </w:pPr>
      <w:r>
        <w:rPr>
          <w:sz w:val="20"/>
        </w:rPr>
        <w:t>[32] C. Maslach, W.B. Schaufeli, &amp; M.P. Leiter, “Job burnout”, </w:t>
      </w:r>
      <w:r>
        <w:rPr>
          <w:i/>
          <w:sz w:val="20"/>
        </w:rPr>
        <w:t>Annu. Rev. Psychol</w:t>
      </w:r>
      <w:r>
        <w:rPr>
          <w:sz w:val="20"/>
        </w:rPr>
        <w:t>, vol. 52, pp. 397-422, 2001. [33]</w:t>
        <w:tab/>
        <w:t>K.</w:t>
        <w:tab/>
        <w:t>Mostert,</w:t>
        <w:tab/>
        <w:t>“Job</w:t>
        <w:tab/>
        <w:t>characteristics,</w:t>
        <w:tab/>
      </w:r>
      <w:r>
        <w:rPr>
          <w:spacing w:val="-1"/>
          <w:sz w:val="20"/>
        </w:rPr>
        <w:t>work–home </w:t>
      </w:r>
      <w:r>
        <w:rPr>
          <w:sz w:val="20"/>
        </w:rPr>
        <w:t>interference and burnout: testing a structural model in the South African context”, </w:t>
      </w:r>
      <w:r>
        <w:rPr>
          <w:i/>
          <w:sz w:val="20"/>
        </w:rPr>
        <w:t>The International Journal  of </w:t>
      </w:r>
      <w:r>
        <w:rPr>
          <w:i/>
          <w:sz w:val="20"/>
        </w:rPr>
        <w:t>Human Resource Management</w:t>
      </w:r>
      <w:r>
        <w:rPr>
          <w:sz w:val="20"/>
        </w:rPr>
        <w:t>, vol. 22, pp. 1036–1053, 2011.</w:t>
      </w:r>
    </w:p>
    <w:p>
      <w:pPr>
        <w:pStyle w:val="BodyText"/>
        <w:ind w:left="270" w:right="687"/>
      </w:pPr>
      <w:r>
        <w:rPr/>
        <w:t>[34] I. Niedhammer, “Psychometric properties of the French version of the Karasek Job Content Questionnaire: a study  of the scales of decision latitude, psychological demands, social support, and physical demands in the gazel cohort”, </w:t>
      </w:r>
      <w:r>
        <w:rPr>
          <w:i/>
        </w:rPr>
        <w:t>Int Arch Occup Environ Health</w:t>
      </w:r>
      <w:r>
        <w:rPr/>
        <w:t>, vol. 75, pp. 129-144, 2002. [35] J.M. Peiró &amp; A. Salvador, “Control del estrés laboral”. Madrid: Eudema,</w:t>
      </w:r>
      <w:r>
        <w:rPr>
          <w:spacing w:val="-10"/>
        </w:rPr>
        <w:t> </w:t>
      </w:r>
      <w:r>
        <w:rPr/>
        <w:t>1993.</w:t>
      </w:r>
    </w:p>
    <w:p>
      <w:pPr>
        <w:pStyle w:val="BodyText"/>
        <w:ind w:left="270" w:right="676"/>
        <w:jc w:val="both"/>
      </w:pPr>
      <w:r>
        <w:rPr/>
        <w:t>[36] J. Pinto, S. Dawood, &amp; M.B. Beth, “Project management and burnout: implications of the demand- control-support model on project-based work”,  </w:t>
      </w:r>
      <w:r>
        <w:rPr>
          <w:i/>
        </w:rPr>
        <w:t>International Journal of Project Management</w:t>
      </w:r>
      <w:r>
        <w:rPr/>
        <w:t>, vol. 32, pp. 578-589,</w:t>
      </w:r>
      <w:r>
        <w:rPr>
          <w:spacing w:val="-6"/>
        </w:rPr>
        <w:t> </w:t>
      </w:r>
      <w:r>
        <w:rPr/>
        <w:t>2014.</w:t>
      </w:r>
    </w:p>
    <w:p>
      <w:pPr>
        <w:pStyle w:val="BodyText"/>
        <w:ind w:left="270" w:right="676"/>
        <w:jc w:val="both"/>
      </w:pPr>
      <w:r>
        <w:rPr/>
        <w:t>[37] E. Ross, “Preventing burnout among social workers employed in the fields of AIDS/HIV”, </w:t>
      </w:r>
      <w:r>
        <w:rPr>
          <w:i/>
        </w:rPr>
        <w:t>Social Work in </w:t>
      </w:r>
      <w:r>
        <w:rPr>
          <w:i/>
        </w:rPr>
        <w:t>Health Care</w:t>
      </w:r>
      <w:r>
        <w:rPr/>
        <w:t>, vol. 18, pp. 91-102,</w:t>
      </w:r>
      <w:r>
        <w:rPr>
          <w:spacing w:val="-18"/>
        </w:rPr>
        <w:t> </w:t>
      </w:r>
      <w:r>
        <w:rPr/>
        <w:t>1993.</w:t>
      </w:r>
    </w:p>
    <w:p>
      <w:pPr>
        <w:pStyle w:val="BodyText"/>
        <w:ind w:left="270" w:right="676"/>
        <w:jc w:val="both"/>
      </w:pPr>
      <w:r>
        <w:rPr/>
        <w:t>[38] J. C. Rubio, “Fuentes de estrés, Síndrome de Burnout y Actitudes disfuncionales en Orientadores de Instituto de Enseñanza Secundaria”. Tesis de doctorado no publicada, Badajoz: Universidad de Extremadura, 2003.</w:t>
      </w:r>
    </w:p>
    <w:p>
      <w:pPr>
        <w:pStyle w:val="BodyText"/>
        <w:spacing w:line="229" w:lineRule="exact"/>
        <w:ind w:left="270"/>
        <w:jc w:val="both"/>
      </w:pPr>
      <w:r>
        <w:rPr/>
        <w:t>[39] R. Vilardaga, J.B. Luoma, S.C. Hayes, J. Pistorello,</w:t>
      </w:r>
    </w:p>
    <w:p>
      <w:pPr>
        <w:pStyle w:val="BodyText"/>
        <w:ind w:left="270" w:right="677"/>
        <w:jc w:val="both"/>
      </w:pPr>
      <w:r>
        <w:rPr/>
        <w:t>M.E. Levin, M.J. Hildebrandt, &amp; F. Bond, “Burnout among the addiction counseling workforce: The differential roles of mindfulness and values-based processes and work-site factors”, </w:t>
      </w:r>
      <w:r>
        <w:rPr>
          <w:i/>
        </w:rPr>
        <w:t>Journal of Substance Abuse Treatment</w:t>
      </w:r>
      <w:r>
        <w:rPr/>
        <w:t>, vol. 40, pp. 323–335, 2011.</w:t>
      </w:r>
    </w:p>
    <w:p>
      <w:pPr>
        <w:pStyle w:val="BodyText"/>
        <w:spacing w:before="10"/>
        <w:rPr>
          <w:sz w:val="19"/>
        </w:rPr>
      </w:pPr>
    </w:p>
    <w:p>
      <w:pPr>
        <w:spacing w:before="0"/>
        <w:ind w:left="270" w:right="677" w:firstLine="0"/>
        <w:jc w:val="both"/>
        <w:rPr>
          <w:sz w:val="16"/>
        </w:rPr>
      </w:pPr>
      <w:r>
        <w:rPr>
          <w:b/>
          <w:sz w:val="16"/>
        </w:rPr>
        <w:t>Sonia G. Valadez Torres: </w:t>
      </w:r>
      <w:r>
        <w:rPr>
          <w:sz w:val="16"/>
        </w:rPr>
        <w:t>She is an industrial and systems engineer; currently she is studying the masters degree in industrial engineer with specialization in ergonomics at the Autonomous University of Ciudad Juarez. She has participated in international congress on X Congress SEAS in Spain with a subject mental workload assessment.</w:t>
      </w:r>
    </w:p>
    <w:p>
      <w:pPr>
        <w:pStyle w:val="BodyText"/>
        <w:rPr>
          <w:sz w:val="16"/>
        </w:rPr>
      </w:pPr>
    </w:p>
    <w:p>
      <w:pPr>
        <w:spacing w:before="0"/>
        <w:ind w:left="270" w:right="676" w:firstLine="0"/>
        <w:jc w:val="both"/>
        <w:rPr>
          <w:sz w:val="16"/>
        </w:rPr>
      </w:pPr>
      <w:r>
        <w:rPr>
          <w:b/>
          <w:sz w:val="16"/>
        </w:rPr>
        <w:t>Aidé A. Maldonado Macías: </w:t>
      </w:r>
      <w:r>
        <w:rPr>
          <w:sz w:val="16"/>
        </w:rPr>
        <w:t>She completed her Bachelor Degree in Industrial Engineering, the MSc in Industrial Engineering by the Technological Institute of Ciudad Juarez and Ph. D. in Sciences in  Industrial Engineering by the same Institute. She is currently a full-time Professor-Investigator at the Autonomous University of Ciudad Juarez (UACJ). She has published in International Journal of Industrial Engineering and International Journal of Advanced Manufacturing Technology, Expert Systems with Applications, Work, Journal of Accounting and Management, Journal of Educational Research among others. She has also collaborated with book chapters for Springer, IGI GLOBAL.</w:t>
      </w:r>
    </w:p>
    <w:p>
      <w:pPr>
        <w:pStyle w:val="BodyText"/>
        <w:rPr>
          <w:sz w:val="16"/>
        </w:rPr>
      </w:pPr>
    </w:p>
    <w:p>
      <w:pPr>
        <w:spacing w:before="0"/>
        <w:ind w:left="270" w:right="678" w:firstLine="0"/>
        <w:jc w:val="both"/>
        <w:rPr>
          <w:sz w:val="16"/>
        </w:rPr>
      </w:pPr>
      <w:r>
        <w:rPr>
          <w:b/>
          <w:sz w:val="16"/>
        </w:rPr>
        <w:t>Rocío Camacho Alamilla: </w:t>
      </w:r>
      <w:r>
        <w:rPr>
          <w:sz w:val="16"/>
        </w:rPr>
        <w:t>she is an industrial and systems engineer. Currently she is a student of masters in industrial engineering with a   focus</w:t>
      </w:r>
    </w:p>
    <w:p>
      <w:pPr>
        <w:spacing w:after="0"/>
        <w:jc w:val="both"/>
        <w:rPr>
          <w:sz w:val="16"/>
        </w:rPr>
        <w:sectPr>
          <w:type w:val="continuous"/>
          <w:pgSz w:w="12240" w:h="15840"/>
          <w:pgMar w:top="1500" w:bottom="280" w:left="580" w:right="220"/>
          <w:cols w:num="2" w:equalWidth="0">
            <w:col w:w="5189" w:space="436"/>
            <w:col w:w="5815"/>
          </w:cols>
        </w:sectPr>
      </w:pPr>
    </w:p>
    <w:p>
      <w:pPr>
        <w:pStyle w:val="BodyText"/>
        <w:spacing w:before="10"/>
        <w:rPr>
          <w:sz w:val="10"/>
        </w:rPr>
      </w:pPr>
    </w:p>
    <w:p>
      <w:pPr>
        <w:spacing w:before="79"/>
        <w:ind w:left="270" w:right="6250" w:firstLine="0"/>
        <w:jc w:val="both"/>
        <w:rPr>
          <w:sz w:val="16"/>
        </w:rPr>
      </w:pPr>
      <w:r>
        <w:rPr>
          <w:sz w:val="16"/>
        </w:rPr>
        <w:t>on ergonomics at the Autonomous University of Ciudad Juarez. She has been speaker and published on XVI Congress of ergonomics SEMAC international regarding burnout</w:t>
      </w:r>
      <w:r>
        <w:rPr>
          <w:spacing w:val="-18"/>
          <w:sz w:val="16"/>
        </w:rPr>
        <w:t> </w:t>
      </w:r>
      <w:r>
        <w:rPr>
          <w:sz w:val="16"/>
        </w:rPr>
        <w:t>syndrome.</w:t>
      </w:r>
    </w:p>
    <w:p>
      <w:pPr>
        <w:pStyle w:val="BodyText"/>
        <w:spacing w:before="1"/>
        <w:rPr>
          <w:sz w:val="16"/>
        </w:rPr>
      </w:pPr>
    </w:p>
    <w:p>
      <w:pPr>
        <w:spacing w:before="0"/>
        <w:ind w:left="270" w:right="6248" w:firstLine="0"/>
        <w:jc w:val="both"/>
        <w:rPr>
          <w:sz w:val="16"/>
        </w:rPr>
      </w:pPr>
      <w:r>
        <w:rPr>
          <w:b/>
          <w:sz w:val="16"/>
        </w:rPr>
        <w:t>Jorge Luis García Alcaraz: </w:t>
      </w:r>
      <w:r>
        <w:rPr>
          <w:sz w:val="20"/>
        </w:rPr>
        <w:t>He </w:t>
      </w:r>
      <w:r>
        <w:rPr>
          <w:sz w:val="16"/>
        </w:rPr>
        <w:t>is a full time researcher of the Department of Industrial Engineering at the Autonomous University of Ciudad Juarez. He received a MSc in Industrial Engineering from the Colima Technology Institute (Mexico), a PhD in Industrial Engineering from Ciudad Juarez Technology Institute (Mexico) and a Postdoc from University of La Rioja (Spain). His main research areas are related to Multicriteria decision making applied to manufacturing, production process modeling and statistical inference. He is founding member of the Mexican Society of Operation Research and active member in the Mexican Academy of Industrial Engineering. Currently, Dr. Garcia is a National Researcher recognized by the National Council of Science &amp; Technology of Mexico (CONACYT) and is working with group research from Colombia, Spain and Dominican Republic. Actually, Dr. Garcia is author/coauthor in around 120 journals, international conferences and congress.</w:t>
      </w:r>
    </w:p>
    <w:p>
      <w:pPr>
        <w:spacing w:after="0"/>
        <w:jc w:val="both"/>
        <w:rPr>
          <w:sz w:val="16"/>
        </w:rPr>
        <w:sectPr>
          <w:pgSz w:w="12240" w:h="15840"/>
          <w:pgMar w:header="545" w:footer="852" w:top="1060" w:bottom="1040" w:left="580" w:right="220"/>
        </w:sectPr>
      </w:pPr>
    </w:p>
    <w:p>
      <w:pPr>
        <w:pStyle w:val="BodyText"/>
        <w:spacing w:before="4"/>
        <w:rPr>
          <w:sz w:val="11"/>
        </w:rPr>
      </w:pPr>
    </w:p>
    <w:p>
      <w:pPr>
        <w:spacing w:after="0"/>
        <w:rPr>
          <w:sz w:val="11"/>
        </w:rPr>
        <w:sectPr>
          <w:pgSz w:w="12240" w:h="15840"/>
          <w:pgMar w:header="545" w:footer="852" w:top="1060" w:bottom="1040" w:left="580" w:right="220"/>
        </w:sectPr>
      </w:pPr>
    </w:p>
    <w:p>
      <w:pPr>
        <w:pStyle w:val="Heading1"/>
        <w:spacing w:before="77"/>
        <w:ind w:right="337"/>
        <w:jc w:val="left"/>
      </w:pPr>
      <w:r>
        <w:rPr>
          <w:color w:val="202020"/>
        </w:rPr>
        <w:t>Analysis of Weight School Backpacks Factor for the Onset of Back Pain in Students.</w:t>
      </w:r>
    </w:p>
    <w:p>
      <w:pPr>
        <w:spacing w:line="243" w:lineRule="exact" w:before="202"/>
        <w:ind w:left="270" w:right="0" w:firstLine="0"/>
        <w:jc w:val="both"/>
        <w:rPr>
          <w:i/>
          <w:sz w:val="20"/>
        </w:rPr>
      </w:pPr>
      <w:r>
        <w:rPr>
          <w:i/>
          <w:sz w:val="20"/>
        </w:rPr>
        <w:t>M.C.  Karina  Luna  Soto</w:t>
      </w:r>
      <w:r>
        <w:rPr>
          <w:i/>
          <w:position w:val="9"/>
          <w:sz w:val="13"/>
        </w:rPr>
        <w:t>a</w:t>
      </w:r>
      <w:r>
        <w:rPr>
          <w:i/>
          <w:sz w:val="20"/>
        </w:rPr>
        <w:t>.,  M.C.  Alberto  Ramírez Leyva</w:t>
      </w:r>
      <w:r>
        <w:rPr>
          <w:i/>
          <w:position w:val="9"/>
          <w:sz w:val="13"/>
        </w:rPr>
        <w:t>b</w:t>
      </w:r>
      <w:r>
        <w:rPr>
          <w:i/>
          <w:sz w:val="20"/>
        </w:rPr>
        <w:t>.,</w:t>
      </w:r>
    </w:p>
    <w:p>
      <w:pPr>
        <w:spacing w:line="230" w:lineRule="exact" w:before="15"/>
        <w:ind w:left="270" w:right="17" w:firstLine="0"/>
        <w:jc w:val="both"/>
        <w:rPr>
          <w:i/>
          <w:sz w:val="13"/>
        </w:rPr>
      </w:pPr>
      <w:r>
        <w:rPr>
          <w:i/>
          <w:sz w:val="20"/>
        </w:rPr>
        <w:t>M.C. Jesús Iván Ruiz Ibarra</w:t>
      </w:r>
      <w:r>
        <w:rPr>
          <w:i/>
          <w:position w:val="9"/>
          <w:sz w:val="13"/>
        </w:rPr>
        <w:t>c</w:t>
      </w:r>
      <w:r>
        <w:rPr>
          <w:i/>
          <w:sz w:val="20"/>
        </w:rPr>
        <w:t>., M.C. Carlos Enrique Flores </w:t>
      </w:r>
      <w:r>
        <w:rPr>
          <w:i/>
          <w:sz w:val="20"/>
        </w:rPr>
        <w:t>Apodaca</w:t>
      </w:r>
      <w:r>
        <w:rPr>
          <w:i/>
          <w:position w:val="9"/>
          <w:sz w:val="13"/>
        </w:rPr>
        <w:t>d</w:t>
      </w:r>
      <w:r>
        <w:rPr>
          <w:i/>
          <w:sz w:val="20"/>
        </w:rPr>
        <w:t>., Irvin Alexis García Mejía</w:t>
      </w:r>
      <w:r>
        <w:rPr>
          <w:i/>
          <w:position w:val="9"/>
          <w:sz w:val="13"/>
        </w:rPr>
        <w:t>e</w:t>
      </w:r>
    </w:p>
    <w:p>
      <w:pPr>
        <w:pStyle w:val="BodyText"/>
        <w:spacing w:before="4"/>
        <w:rPr>
          <w:i/>
          <w:sz w:val="18"/>
        </w:rPr>
      </w:pPr>
    </w:p>
    <w:p>
      <w:pPr>
        <w:spacing w:before="1"/>
        <w:ind w:left="270" w:right="0" w:firstLine="0"/>
        <w:jc w:val="both"/>
        <w:rPr>
          <w:sz w:val="16"/>
        </w:rPr>
      </w:pPr>
      <w:r>
        <w:rPr>
          <w:position w:val="7"/>
          <w:sz w:val="10"/>
        </w:rPr>
        <w:t>a </w:t>
      </w:r>
      <w:r>
        <w:rPr>
          <w:sz w:val="16"/>
        </w:rPr>
        <w:t>Instituto Tecnológico de Los Mochis, Blvd. Juan de Dios Bátiz y 20 de noviembre s/n, apartado postal 81259, </w:t>
      </w:r>
      <w:hyperlink r:id="rId72">
        <w:r>
          <w:rPr>
            <w:color w:val="0000FF"/>
            <w:sz w:val="16"/>
            <w:u w:val="single" w:color="0000FF"/>
          </w:rPr>
          <w:t>karinaluna1@yahoo.com</w:t>
        </w:r>
        <w:r>
          <w:rPr>
            <w:sz w:val="16"/>
          </w:rPr>
          <w:t>,</w:t>
        </w:r>
      </w:hyperlink>
      <w:r>
        <w:rPr>
          <w:sz w:val="16"/>
        </w:rPr>
        <w:t>  Los Mochis, Sinaloa.</w:t>
      </w:r>
    </w:p>
    <w:p>
      <w:pPr>
        <w:spacing w:line="184" w:lineRule="exact" w:before="1"/>
        <w:ind w:left="270" w:right="1" w:firstLine="25"/>
        <w:jc w:val="both"/>
        <w:rPr>
          <w:sz w:val="16"/>
        </w:rPr>
      </w:pPr>
      <w:r>
        <w:rPr>
          <w:position w:val="7"/>
          <w:sz w:val="10"/>
        </w:rPr>
        <w:t>b </w:t>
      </w:r>
      <w:r>
        <w:rPr>
          <w:sz w:val="16"/>
        </w:rPr>
        <w:t>Instituto Tecnológico de Los Mochis, Blvd. Juan de Dios Bátiz y 20 de noviembre s/n, apartado postal 81259, </w:t>
      </w:r>
      <w:hyperlink r:id="rId634">
        <w:r>
          <w:rPr>
            <w:color w:val="0000FF"/>
            <w:sz w:val="16"/>
            <w:u w:val="single" w:color="0000FF"/>
          </w:rPr>
          <w:t>alberto_ramirez_leyva@yahoo.com</w:t>
        </w:r>
        <w:r>
          <w:rPr>
            <w:sz w:val="16"/>
          </w:rPr>
          <w:t>,</w:t>
        </w:r>
      </w:hyperlink>
      <w:r>
        <w:rPr>
          <w:sz w:val="16"/>
        </w:rPr>
        <w:t> Los Mochis, Sinaloa.</w:t>
      </w:r>
    </w:p>
    <w:p>
      <w:pPr>
        <w:spacing w:line="184" w:lineRule="exact" w:before="0"/>
        <w:ind w:left="270" w:right="1" w:firstLine="0"/>
        <w:jc w:val="both"/>
        <w:rPr>
          <w:sz w:val="16"/>
        </w:rPr>
      </w:pPr>
      <w:r>
        <w:rPr>
          <w:position w:val="7"/>
          <w:sz w:val="10"/>
        </w:rPr>
        <w:t>c </w:t>
      </w:r>
      <w:r>
        <w:rPr>
          <w:sz w:val="16"/>
        </w:rPr>
        <w:t>Instituto Tecnológico de Los Mochis, Blvd. Juan de Dios Bátiz y 20 de noviembre s/n, apartado postal 81259, </w:t>
      </w:r>
      <w:hyperlink r:id="rId635">
        <w:r>
          <w:rPr>
            <w:color w:val="0000FF"/>
            <w:sz w:val="16"/>
            <w:u w:val="single" w:color="0000FF"/>
          </w:rPr>
          <w:t>jesus_ruizi@hotmail.com</w:t>
        </w:r>
        <w:r>
          <w:rPr>
            <w:sz w:val="16"/>
          </w:rPr>
          <w:t>,</w:t>
        </w:r>
      </w:hyperlink>
      <w:r>
        <w:rPr>
          <w:sz w:val="16"/>
        </w:rPr>
        <w:t> Los Mochis, Sinaloa.</w:t>
      </w:r>
    </w:p>
    <w:p>
      <w:pPr>
        <w:spacing w:line="184" w:lineRule="exact" w:before="0"/>
        <w:ind w:left="270" w:right="1" w:firstLine="0"/>
        <w:jc w:val="both"/>
        <w:rPr>
          <w:sz w:val="16"/>
        </w:rPr>
      </w:pPr>
      <w:r>
        <w:rPr>
          <w:position w:val="7"/>
          <w:sz w:val="10"/>
        </w:rPr>
        <w:t>d </w:t>
      </w:r>
      <w:r>
        <w:rPr>
          <w:sz w:val="16"/>
        </w:rPr>
        <w:t>Instituto Tecnológico de Los Mochis, Blvd. Juan de Dios Bátiz y 20 de noviembre s/n, apartado postal 81259, </w:t>
      </w:r>
      <w:hyperlink r:id="rId636">
        <w:r>
          <w:rPr>
            <w:color w:val="0000FF"/>
            <w:sz w:val="16"/>
            <w:u w:val="single" w:color="0000FF"/>
          </w:rPr>
          <w:t>carlosefa@hotmail.com</w:t>
        </w:r>
        <w:r>
          <w:rPr>
            <w:sz w:val="16"/>
          </w:rPr>
          <w:t>,</w:t>
        </w:r>
      </w:hyperlink>
      <w:r>
        <w:rPr>
          <w:sz w:val="16"/>
        </w:rPr>
        <w:t> Los Mochis, Sinaloa.</w:t>
      </w:r>
    </w:p>
    <w:p>
      <w:pPr>
        <w:tabs>
          <w:tab w:pos="3405" w:val="left" w:leader="none"/>
        </w:tabs>
        <w:spacing w:line="184" w:lineRule="exact" w:before="0"/>
        <w:ind w:left="270" w:right="0" w:firstLine="0"/>
        <w:jc w:val="both"/>
        <w:rPr>
          <w:sz w:val="16"/>
        </w:rPr>
      </w:pPr>
      <w:r>
        <w:rPr>
          <w:position w:val="7"/>
          <w:sz w:val="10"/>
        </w:rPr>
        <w:t>e </w:t>
      </w:r>
      <w:r>
        <w:rPr>
          <w:sz w:val="16"/>
        </w:rPr>
        <w:t>Student of the Instituto Tecnológico de Los Mochis, Blvd. Juan de Dios Bátiz     y     20     de     </w:t>
      </w:r>
      <w:r>
        <w:rPr>
          <w:spacing w:val="9"/>
          <w:sz w:val="16"/>
        </w:rPr>
        <w:t> </w:t>
      </w:r>
      <w:r>
        <w:rPr>
          <w:sz w:val="16"/>
        </w:rPr>
        <w:t>noviembre    </w:t>
      </w:r>
      <w:r>
        <w:rPr>
          <w:spacing w:val="12"/>
          <w:sz w:val="16"/>
        </w:rPr>
        <w:t> </w:t>
      </w:r>
      <w:r>
        <w:rPr>
          <w:sz w:val="16"/>
        </w:rPr>
        <w:t>s/n,</w:t>
        <w:tab/>
        <w:t>apartado    </w:t>
      </w:r>
      <w:r>
        <w:rPr>
          <w:spacing w:val="10"/>
          <w:sz w:val="16"/>
        </w:rPr>
        <w:t> </w:t>
      </w:r>
      <w:r>
        <w:rPr>
          <w:sz w:val="16"/>
        </w:rPr>
        <w:t>postal    </w:t>
      </w:r>
      <w:r>
        <w:rPr>
          <w:spacing w:val="10"/>
          <w:sz w:val="16"/>
        </w:rPr>
        <w:t> </w:t>
      </w:r>
      <w:r>
        <w:rPr>
          <w:sz w:val="16"/>
        </w:rPr>
        <w:t>81259,</w:t>
      </w:r>
      <w:r>
        <w:rPr>
          <w:w w:val="99"/>
          <w:sz w:val="16"/>
        </w:rPr>
        <w:t> </w:t>
      </w:r>
      <w:hyperlink r:id="rId637">
        <w:r>
          <w:rPr>
            <w:color w:val="0000FF"/>
            <w:sz w:val="16"/>
            <w:u w:val="single" w:color="0000FF"/>
          </w:rPr>
          <w:t>irvin_alexis91@hotmail.com</w:t>
        </w:r>
        <w:r>
          <w:rPr>
            <w:sz w:val="16"/>
          </w:rPr>
          <w:t>,</w:t>
        </w:r>
      </w:hyperlink>
      <w:r>
        <w:rPr>
          <w:sz w:val="16"/>
        </w:rPr>
        <w:t> Los Mochis,</w:t>
      </w:r>
      <w:r>
        <w:rPr>
          <w:spacing w:val="-27"/>
          <w:sz w:val="16"/>
        </w:rPr>
        <w:t> </w:t>
      </w:r>
      <w:r>
        <w:rPr>
          <w:sz w:val="16"/>
        </w:rPr>
        <w:t>Sinaloa.</w:t>
      </w:r>
    </w:p>
    <w:p>
      <w:pPr>
        <w:pStyle w:val="BodyText"/>
        <w:spacing w:before="2"/>
      </w:pPr>
    </w:p>
    <w:p>
      <w:pPr>
        <w:pStyle w:val="Heading4"/>
      </w:pPr>
      <w:r>
        <w:rPr/>
        <w:pict>
          <v:line style="position:absolute;mso-position-horizontal-relative:page;mso-position-vertical-relative:paragraph;z-index:15808" from="41.040001pt,13.265943pt" to="289.860001pt,13.265943pt" stroked="true" strokeweight="1.5pt" strokecolor="#000000">
            <w10:wrap type="none"/>
          </v:line>
        </w:pict>
      </w:r>
      <w:r>
        <w:rPr/>
        <w:t>Resumen</w:t>
      </w:r>
    </w:p>
    <w:p>
      <w:pPr>
        <w:pStyle w:val="BodyText"/>
        <w:spacing w:before="47"/>
        <w:ind w:left="270" w:right="17"/>
        <w:jc w:val="both"/>
      </w:pPr>
      <w:r>
        <w:rPr/>
        <w:t>Actualmente el sistema más utilizado por los infantes para transportar el material escolar es la mochila. El presente trabajo analiza el peso que diariamente cargan sobre su espalda los alumnos del nivel primaria en su trayecto a sus respectivas escuelas, y compara con los límites propuestos por los especialistas acorde a su edad y peso, con el  propósito de evaluar la situación y generar propuestas que reduzcan la carga soportada sobre su estructura ósea. Para tal efecto se encuestaron, midieron y pesaron a 270 alumnos de las escuelas primarias General Ángel Flores y la escuela Día del Trabajo, ambas ubicadas en ejidos del municipio de ahome, Sinaloa; ya que las condiciones de acceso al plantel educativo obligan a que la mayoría de los alumnos (93.7%) utilicen mochila de tirantes (correas) para su movilidad, y solo un 6.3% utiliza mochila con ruedas. Con el análisis de los datos se encontró que más de la mitad de los alumnos carga un peso superior al recomendado por los especialistas  y más del 60% de los infantes dijo sentir molestia en su espalda.</w:t>
      </w:r>
    </w:p>
    <w:p>
      <w:pPr>
        <w:pStyle w:val="BodyText"/>
      </w:pPr>
    </w:p>
    <w:p>
      <w:pPr>
        <w:spacing w:before="1"/>
        <w:ind w:left="270" w:right="18" w:firstLine="0"/>
        <w:jc w:val="both"/>
        <w:rPr>
          <w:sz w:val="20"/>
        </w:rPr>
      </w:pPr>
      <w:r>
        <w:rPr>
          <w:b/>
          <w:sz w:val="20"/>
        </w:rPr>
        <w:t>Palabras clave</w:t>
      </w:r>
      <w:r>
        <w:rPr>
          <w:sz w:val="20"/>
        </w:rPr>
        <w:t>—Mochila, dolor de espalda, peso corporal y carga.</w:t>
      </w:r>
    </w:p>
    <w:p>
      <w:pPr>
        <w:pStyle w:val="BodyText"/>
      </w:pPr>
    </w:p>
    <w:p>
      <w:pPr>
        <w:pStyle w:val="BodyText"/>
        <w:spacing w:before="3"/>
      </w:pPr>
    </w:p>
    <w:p>
      <w:pPr>
        <w:pStyle w:val="Heading5"/>
        <w:rPr>
          <w:i/>
        </w:rPr>
      </w:pPr>
      <w:r>
        <w:rPr/>
        <w:pict>
          <v:line style="position:absolute;mso-position-horizontal-relative:page;mso-position-vertical-relative:paragraph;z-index:15832" from="41.040001pt,13.266801pt" to="289.860001pt,13.266801pt" stroked="true" strokeweight="1.5pt" strokecolor="#000000">
            <w10:wrap type="none"/>
          </v:line>
        </w:pict>
      </w:r>
      <w:r>
        <w:rPr>
          <w:i/>
        </w:rPr>
        <w:t>Abstract</w:t>
      </w:r>
    </w:p>
    <w:p>
      <w:pPr>
        <w:spacing w:before="47"/>
        <w:ind w:left="270" w:right="14" w:firstLine="0"/>
        <w:jc w:val="both"/>
        <w:rPr>
          <w:i/>
          <w:sz w:val="20"/>
        </w:rPr>
      </w:pPr>
      <w:r>
        <w:rPr>
          <w:i/>
          <w:sz w:val="20"/>
        </w:rPr>
        <w:t>Currently the system most used by infants to transport school </w:t>
      </w:r>
      <w:r>
        <w:rPr>
          <w:i/>
          <w:sz w:val="20"/>
        </w:rPr>
        <w:t>supplies is the backpack. This paper analyzes the daily load weight on his back the primary level students on their way to their schools, and compared with the limits proposed by specialists according to their age and weight, in order to assess the situation and generate proposals to reduce the burden placed on their bone structure. For this purpose were surveyed, measured and weighed 270 pupils in primary schools General Angel Flores and Labor Day School, both located in suburbs of the town of Ahome, Sinaloa; since the conditions of access to campuses require that most  students</w:t>
      </w:r>
    </w:p>
    <w:p>
      <w:pPr>
        <w:spacing w:before="74"/>
        <w:ind w:left="270" w:right="676" w:firstLine="0"/>
        <w:jc w:val="both"/>
        <w:rPr>
          <w:i/>
          <w:sz w:val="20"/>
        </w:rPr>
      </w:pPr>
      <w:r>
        <w:rPr/>
        <w:br w:type="column"/>
      </w:r>
      <w:r>
        <w:rPr>
          <w:i/>
          <w:sz w:val="20"/>
        </w:rPr>
        <w:t>(93.7%) use backpack straps (straps) for mobility, and only </w:t>
      </w:r>
      <w:r>
        <w:rPr>
          <w:i/>
          <w:sz w:val="20"/>
        </w:rPr>
        <w:t>6.3% use backpack with wheels. With the analysis of the data found that more than half of the students than the recommended load by specialists and more than 60% of infants said he felt discomfort in his back</w:t>
      </w:r>
      <w:r>
        <w:rPr>
          <w:i/>
          <w:spacing w:val="-19"/>
          <w:sz w:val="20"/>
        </w:rPr>
        <w:t> </w:t>
      </w:r>
      <w:r>
        <w:rPr>
          <w:i/>
          <w:sz w:val="20"/>
        </w:rPr>
        <w:t>weight.</w:t>
      </w:r>
    </w:p>
    <w:p>
      <w:pPr>
        <w:pStyle w:val="BodyText"/>
        <w:rPr>
          <w:i/>
        </w:rPr>
      </w:pPr>
    </w:p>
    <w:p>
      <w:pPr>
        <w:spacing w:before="1"/>
        <w:ind w:left="270" w:right="0" w:firstLine="0"/>
        <w:jc w:val="both"/>
        <w:rPr>
          <w:i/>
          <w:sz w:val="20"/>
        </w:rPr>
      </w:pPr>
      <w:r>
        <w:rPr>
          <w:b/>
          <w:i/>
          <w:sz w:val="20"/>
        </w:rPr>
        <w:t>Keywords</w:t>
      </w:r>
      <w:r>
        <w:rPr>
          <w:i/>
          <w:sz w:val="20"/>
        </w:rPr>
        <w:t>— Backpack, back pain , body weight and load.</w:t>
      </w:r>
    </w:p>
    <w:p>
      <w:pPr>
        <w:pStyle w:val="BodyText"/>
        <w:rPr>
          <w:i/>
        </w:rPr>
      </w:pPr>
    </w:p>
    <w:p>
      <w:pPr>
        <w:pStyle w:val="BodyText"/>
        <w:rPr>
          <w:i/>
        </w:rPr>
      </w:pPr>
    </w:p>
    <w:p>
      <w:pPr>
        <w:pStyle w:val="BodyText"/>
        <w:ind w:left="270" w:right="675"/>
        <w:jc w:val="both"/>
      </w:pPr>
      <w:r>
        <w:rPr/>
        <w:t>Relevance to Ergonomics: </w:t>
      </w:r>
      <w:r>
        <w:rPr>
          <w:color w:val="202020"/>
        </w:rPr>
        <w:t>In this research the weight of schoolbags is analyzed as a risk factor for infants primary level in the occurrence of any pain or serious back short medium or long term , which can be prevented with weight control strategies in children's backpacks.</w:t>
      </w:r>
    </w:p>
    <w:p>
      <w:pPr>
        <w:pStyle w:val="BodyText"/>
      </w:pPr>
    </w:p>
    <w:p>
      <w:pPr>
        <w:pStyle w:val="BodyText"/>
        <w:spacing w:before="2"/>
      </w:pPr>
    </w:p>
    <w:p>
      <w:pPr>
        <w:pStyle w:val="Heading4"/>
        <w:numPr>
          <w:ilvl w:val="0"/>
          <w:numId w:val="141"/>
        </w:numPr>
        <w:tabs>
          <w:tab w:pos="473" w:val="left" w:leader="none"/>
        </w:tabs>
        <w:spacing w:line="240" w:lineRule="auto" w:before="0" w:after="0"/>
        <w:ind w:left="472" w:right="0" w:hanging="202"/>
        <w:jc w:val="both"/>
      </w:pPr>
      <w:r>
        <w:rPr/>
        <w:t>INTRODUCTION</w:t>
      </w:r>
    </w:p>
    <w:p>
      <w:pPr>
        <w:pStyle w:val="BodyText"/>
        <w:spacing w:before="8"/>
        <w:rPr>
          <w:b/>
          <w:sz w:val="19"/>
        </w:rPr>
      </w:pPr>
    </w:p>
    <w:p>
      <w:pPr>
        <w:pStyle w:val="BodyText"/>
        <w:ind w:left="88" w:right="677"/>
        <w:jc w:val="right"/>
      </w:pPr>
      <w:r>
        <w:rPr>
          <w:color w:val="202020"/>
        </w:rPr>
        <w:t>On this occasion ergonomics is directed to the benefit of</w:t>
      </w:r>
      <w:r>
        <w:rPr>
          <w:color w:val="202020"/>
          <w:w w:val="100"/>
        </w:rPr>
        <w:t> </w:t>
      </w:r>
      <w:r>
        <w:rPr>
          <w:color w:val="202020"/>
        </w:rPr>
        <w:t>minors to which they are considered as the study population.</w:t>
      </w:r>
      <w:r>
        <w:rPr>
          <w:color w:val="202020"/>
          <w:w w:val="100"/>
        </w:rPr>
        <w:t> </w:t>
      </w:r>
      <w:r>
        <w:rPr>
          <w:color w:val="202020"/>
        </w:rPr>
        <w:t>With this research is to analyze the actual weight in the</w:t>
      </w:r>
      <w:r>
        <w:rPr>
          <w:color w:val="202020"/>
          <w:w w:val="100"/>
        </w:rPr>
        <w:t> </w:t>
      </w:r>
      <w:r>
        <w:rPr>
          <w:color w:val="202020"/>
        </w:rPr>
        <w:t>backpacks of students at primary level that could damage</w:t>
      </w:r>
    </w:p>
    <w:p>
      <w:pPr>
        <w:pStyle w:val="BodyText"/>
        <w:ind w:left="270"/>
        <w:jc w:val="both"/>
      </w:pPr>
      <w:r>
        <w:rPr>
          <w:color w:val="202020"/>
        </w:rPr>
        <w:t>the health of infants short, medium or long term.</w:t>
      </w:r>
    </w:p>
    <w:p>
      <w:pPr>
        <w:pStyle w:val="BodyText"/>
        <w:ind w:left="270" w:right="676" w:firstLine="426"/>
        <w:jc w:val="both"/>
      </w:pPr>
      <w:r>
        <w:rPr>
          <w:color w:val="202020"/>
        </w:rPr>
        <w:t>Lifestyles and postural habits acquired vital  importance in preventing back pain. When forced postures , sudden movements or just keep for long periods of time in the same position , are taken back problems appear . The spinal disorders are influenced by certain lifestyles [ 1] . According to Castillo [2 ] , nine out of ten cases of back  pain in infants are caused by inadequate postures and activities and overexertion on</w:t>
      </w:r>
      <w:r>
        <w:rPr>
          <w:color w:val="202020"/>
          <w:spacing w:val="-21"/>
        </w:rPr>
        <w:t> </w:t>
      </w:r>
      <w:r>
        <w:rPr>
          <w:color w:val="202020"/>
        </w:rPr>
        <w:t>it.</w:t>
      </w:r>
    </w:p>
    <w:p>
      <w:pPr>
        <w:pStyle w:val="BodyText"/>
        <w:ind w:left="270" w:right="676" w:firstLine="426"/>
        <w:jc w:val="both"/>
      </w:pPr>
      <w:r>
        <w:rPr>
          <w:color w:val="202020"/>
        </w:rPr>
        <w:t>The main problem in this research is to analyze the actual weight of backpacks infants level of basic education, and know the related factors. Because currently the most widely used system for transporting school supplies is the backpack should consider what load comprises an effort for the backbones, so, as a first precaution, you should avoid exceeding percentages above recommended loads by  various authors (10% of body weight). Although overcome these percentages are not directly related to a higher rate of back pain, failure strain your back receives a vital importance at early ages, when the biggest mismatches occur, it would be desirable to combine efforts and planning strategies avoid overloading the backs of infants such as high. In order to reduce the problem of load weight in the backpacks of students in primary level is necessary to understand its causes and then propose</w:t>
      </w:r>
      <w:r>
        <w:rPr>
          <w:color w:val="202020"/>
          <w:spacing w:val="-19"/>
        </w:rPr>
        <w:t> </w:t>
      </w:r>
      <w:r>
        <w:rPr>
          <w:color w:val="202020"/>
        </w:rPr>
        <w:t>solutions.</w:t>
      </w:r>
    </w:p>
    <w:p>
      <w:pPr>
        <w:pStyle w:val="BodyText"/>
        <w:ind w:left="270" w:right="676" w:firstLine="426"/>
        <w:jc w:val="both"/>
      </w:pPr>
      <w:r>
        <w:rPr>
          <w:color w:val="202020"/>
        </w:rPr>
        <w:t>Considering that one way to reach schools for a large number of infants is through the traditional method of walking from home to the school to which they belong, to attack the problem becomes apparent. With this you can cause injuries that may not be visible in the short term but to bear weight on a recurring basis over a long period of time they can cause health problems for infants.</w:t>
      </w:r>
    </w:p>
    <w:p>
      <w:pPr>
        <w:pStyle w:val="BodyText"/>
        <w:ind w:left="270" w:right="676" w:firstLine="426"/>
        <w:jc w:val="both"/>
      </w:pPr>
      <w:r>
        <w:rPr>
          <w:color w:val="202020"/>
        </w:rPr>
        <w:t>Recent research [ 3-4 ] is to find a relationship between back pain and weight of the backpack that charges the least , and  recommend  that  the  weight  should  bear  children  in</w:t>
      </w:r>
    </w:p>
    <w:p>
      <w:pPr>
        <w:spacing w:after="0"/>
        <w:jc w:val="both"/>
        <w:sectPr>
          <w:type w:val="continuous"/>
          <w:pgSz w:w="12240" w:h="15840"/>
          <w:pgMar w:top="1500" w:bottom="280" w:left="580" w:right="220"/>
          <w:cols w:num="2" w:equalWidth="0">
            <w:col w:w="5208" w:space="416"/>
            <w:col w:w="5816"/>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4"/>
        <w:ind w:left="270" w:right="1"/>
        <w:jc w:val="both"/>
      </w:pPr>
      <w:r>
        <w:rPr>
          <w:color w:val="202020"/>
        </w:rPr>
        <w:t>primary level is 10% of their body weight to avoid causing long-term damage on your bone structure.</w:t>
      </w:r>
    </w:p>
    <w:p>
      <w:pPr>
        <w:pStyle w:val="BodyText"/>
        <w:ind w:left="270" w:firstLine="426"/>
        <w:jc w:val="both"/>
      </w:pPr>
      <w:r>
        <w:rPr>
          <w:color w:val="202020"/>
        </w:rPr>
        <w:t>The objective of this research to determine the actual weight of the backpacks of children , to propose alternative solutions that reduce the load weight of backpacks children at primary education according to their body weight to avoid possible disorders in the long term bone structure</w:t>
      </w:r>
      <w:r>
        <w:rPr>
          <w:color w:val="202020"/>
          <w:spacing w:val="-17"/>
        </w:rPr>
        <w:t> </w:t>
      </w:r>
      <w:r>
        <w:rPr>
          <w:color w:val="202020"/>
        </w:rPr>
        <w:t>.</w:t>
      </w:r>
    </w:p>
    <w:p>
      <w:pPr>
        <w:pStyle w:val="BodyText"/>
      </w:pPr>
    </w:p>
    <w:p>
      <w:pPr>
        <w:pStyle w:val="BodyText"/>
        <w:spacing w:before="2"/>
      </w:pPr>
    </w:p>
    <w:p>
      <w:pPr>
        <w:pStyle w:val="Heading4"/>
        <w:numPr>
          <w:ilvl w:val="0"/>
          <w:numId w:val="141"/>
        </w:numPr>
        <w:tabs>
          <w:tab w:pos="472" w:val="left" w:leader="none"/>
        </w:tabs>
        <w:spacing w:line="240" w:lineRule="auto" w:before="0" w:after="0"/>
        <w:ind w:left="471" w:right="0" w:hanging="201"/>
        <w:jc w:val="both"/>
        <w:rPr>
          <w:color w:val="202020"/>
        </w:rPr>
      </w:pPr>
      <w:r>
        <w:rPr>
          <w:color w:val="202020"/>
        </w:rPr>
        <w:t>METHOD</w:t>
      </w:r>
    </w:p>
    <w:p>
      <w:pPr>
        <w:pStyle w:val="BodyText"/>
        <w:spacing w:before="11"/>
        <w:rPr>
          <w:b/>
          <w:sz w:val="19"/>
        </w:rPr>
      </w:pPr>
    </w:p>
    <w:p>
      <w:pPr>
        <w:pStyle w:val="ListParagraph"/>
        <w:numPr>
          <w:ilvl w:val="1"/>
          <w:numId w:val="141"/>
        </w:numPr>
        <w:tabs>
          <w:tab w:pos="621" w:val="left" w:leader="none"/>
        </w:tabs>
        <w:spacing w:line="240" w:lineRule="auto" w:before="0" w:after="0"/>
        <w:ind w:left="620" w:right="0" w:hanging="350"/>
        <w:jc w:val="both"/>
        <w:rPr>
          <w:b/>
          <w:sz w:val="20"/>
        </w:rPr>
      </w:pPr>
      <w:r>
        <w:rPr>
          <w:b/>
          <w:color w:val="202020"/>
          <w:sz w:val="20"/>
        </w:rPr>
        <w:t>Subject</w:t>
      </w:r>
    </w:p>
    <w:p>
      <w:pPr>
        <w:pStyle w:val="BodyText"/>
        <w:spacing w:before="8"/>
        <w:rPr>
          <w:b/>
          <w:sz w:val="19"/>
        </w:rPr>
      </w:pPr>
    </w:p>
    <w:p>
      <w:pPr>
        <w:pStyle w:val="BodyText"/>
        <w:ind w:left="270" w:right="1"/>
        <w:jc w:val="both"/>
      </w:pPr>
      <w:r>
        <w:rPr>
          <w:color w:val="202020"/>
        </w:rPr>
        <w:t>The object under study in this research are infants six to eleven years of age, by age, are included in primary level .</w:t>
      </w:r>
    </w:p>
    <w:p>
      <w:pPr>
        <w:pStyle w:val="BodyText"/>
        <w:spacing w:before="2"/>
      </w:pPr>
    </w:p>
    <w:p>
      <w:pPr>
        <w:pStyle w:val="Heading4"/>
        <w:numPr>
          <w:ilvl w:val="1"/>
          <w:numId w:val="141"/>
        </w:numPr>
        <w:tabs>
          <w:tab w:pos="620" w:val="left" w:leader="none"/>
        </w:tabs>
        <w:spacing w:line="240" w:lineRule="auto" w:before="0" w:after="0"/>
        <w:ind w:left="619" w:right="0" w:hanging="349"/>
        <w:jc w:val="both"/>
      </w:pPr>
      <w:r>
        <w:rPr>
          <w:color w:val="202020"/>
        </w:rPr>
        <w:t>Population and</w:t>
      </w:r>
      <w:r>
        <w:rPr>
          <w:color w:val="202020"/>
          <w:spacing w:val="-14"/>
        </w:rPr>
        <w:t> </w:t>
      </w:r>
      <w:r>
        <w:rPr>
          <w:color w:val="202020"/>
        </w:rPr>
        <w:t>sample</w:t>
      </w:r>
    </w:p>
    <w:p>
      <w:pPr>
        <w:pStyle w:val="BodyText"/>
        <w:spacing w:before="8"/>
        <w:rPr>
          <w:b/>
          <w:sz w:val="19"/>
        </w:rPr>
      </w:pPr>
    </w:p>
    <w:p>
      <w:pPr>
        <w:pStyle w:val="BodyText"/>
        <w:ind w:left="270"/>
        <w:jc w:val="both"/>
      </w:pPr>
      <w:r>
        <w:rPr>
          <w:color w:val="202020"/>
        </w:rPr>
        <w:t>Within the research took into account a sample of 270  infants of basic education for primary schools General Angel Flores with known address in the Ejido November 20 , and Labor Day school in Ejido Primero de Mayo, both in the municipality Ahome ,</w:t>
      </w:r>
      <w:r>
        <w:rPr>
          <w:color w:val="202020"/>
          <w:spacing w:val="-17"/>
        </w:rPr>
        <w:t> </w:t>
      </w:r>
      <w:r>
        <w:rPr>
          <w:color w:val="202020"/>
        </w:rPr>
        <w:t>Sinaloa.</w:t>
      </w:r>
    </w:p>
    <w:p>
      <w:pPr>
        <w:pStyle w:val="BodyText"/>
        <w:spacing w:before="11"/>
        <w:rPr>
          <w:sz w:val="19"/>
        </w:rPr>
      </w:pPr>
    </w:p>
    <w:p>
      <w:pPr>
        <w:pStyle w:val="ListParagraph"/>
        <w:numPr>
          <w:ilvl w:val="2"/>
          <w:numId w:val="141"/>
        </w:numPr>
        <w:tabs>
          <w:tab w:pos="771" w:val="left" w:leader="none"/>
        </w:tabs>
        <w:spacing w:line="240" w:lineRule="auto" w:before="0" w:after="0"/>
        <w:ind w:left="770" w:right="0" w:hanging="500"/>
        <w:jc w:val="both"/>
        <w:rPr>
          <w:sz w:val="20"/>
        </w:rPr>
      </w:pPr>
      <w:r>
        <w:rPr>
          <w:color w:val="202020"/>
          <w:sz w:val="20"/>
        </w:rPr>
        <w:t>Determining the size of the sample to be</w:t>
      </w:r>
      <w:r>
        <w:rPr>
          <w:color w:val="202020"/>
          <w:spacing w:val="-17"/>
          <w:sz w:val="20"/>
        </w:rPr>
        <w:t> </w:t>
      </w:r>
      <w:r>
        <w:rPr>
          <w:color w:val="202020"/>
          <w:sz w:val="20"/>
        </w:rPr>
        <w:t>studied</w:t>
      </w:r>
    </w:p>
    <w:p>
      <w:pPr>
        <w:pStyle w:val="BodyText"/>
      </w:pPr>
    </w:p>
    <w:p>
      <w:pPr>
        <w:pStyle w:val="BodyText"/>
        <w:spacing w:before="1"/>
        <w:ind w:left="270" w:right="1" w:firstLine="50"/>
        <w:jc w:val="both"/>
      </w:pPr>
      <w:r>
        <w:rPr>
          <w:color w:val="202020"/>
        </w:rPr>
        <w:t>The population of the municipality of Ahome fragmented in children 6-13 years they are enrolled in education 46347 which these data were provided by Regional Services Municipality of Ahome.</w:t>
      </w:r>
    </w:p>
    <w:p>
      <w:pPr>
        <w:pStyle w:val="BodyText"/>
        <w:ind w:left="270" w:firstLine="426"/>
        <w:jc w:val="both"/>
      </w:pPr>
      <w:r>
        <w:rPr>
          <w:color w:val="202020"/>
        </w:rPr>
        <w:t>To determine the sample to be studied, the following formula ( 1) was used , as mentioned in [5] :</w:t>
      </w:r>
    </w:p>
    <w:p>
      <w:pPr>
        <w:pStyle w:val="BodyText"/>
        <w:spacing w:before="4"/>
        <w:rPr>
          <w:sz w:val="26"/>
        </w:rPr>
      </w:pPr>
      <w:r>
        <w:rPr/>
        <w:br w:type="column"/>
      </w:r>
      <w:r>
        <w:rPr>
          <w:sz w:val="26"/>
        </w:rPr>
      </w:r>
    </w:p>
    <w:p>
      <w:pPr>
        <w:pStyle w:val="BodyText"/>
        <w:spacing w:before="1"/>
        <w:ind w:left="270" w:right="675"/>
        <w:jc w:val="both"/>
      </w:pPr>
      <w:r>
        <w:rPr>
          <w:color w:val="202020"/>
        </w:rPr>
        <w:t>A survey was administered to a pediatric specialist in order to meet the ideal weight you must carry infants aged 6 to 13 years , and also to know the number of infants who go to the doctor because of back pain .</w:t>
      </w:r>
    </w:p>
    <w:p>
      <w:pPr>
        <w:pStyle w:val="BodyText"/>
        <w:ind w:left="270" w:right="680"/>
        <w:jc w:val="both"/>
      </w:pPr>
      <w:r>
        <w:rPr>
          <w:color w:val="202020"/>
        </w:rPr>
        <w:t>General surveys to infants, which was made with easy questions to answer and concrete answers were also applied.</w:t>
      </w:r>
    </w:p>
    <w:p>
      <w:pPr>
        <w:pStyle w:val="BodyText"/>
        <w:spacing w:before="11"/>
        <w:rPr>
          <w:sz w:val="19"/>
        </w:rPr>
      </w:pPr>
    </w:p>
    <w:p>
      <w:pPr>
        <w:pStyle w:val="BodyText"/>
        <w:ind w:left="295" w:right="700"/>
        <w:jc w:val="center"/>
      </w:pPr>
      <w:r>
        <w:rPr/>
        <w:pict>
          <v:shape style="position:absolute;margin-left:323.760010pt;margin-top:23.135872pt;width:243.75pt;height:369.7pt;mso-position-horizontal-relative:page;mso-position-vertical-relative:paragraph;z-index:15880" type="#_x0000_t202" filled="false" stroked="false">
            <v:textbox inset="0,0,0,0">
              <w:txbxContent>
                <w:tbl>
                  <w:tblPr>
                    <w:tblW w:w="0" w:type="auto"/>
                    <w:jc w:val="left"/>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059"/>
                    <w:gridCol w:w="1066"/>
                    <w:gridCol w:w="1066"/>
                    <w:gridCol w:w="827"/>
                    <w:gridCol w:w="824"/>
                  </w:tblGrid>
                  <w:tr>
                    <w:trPr>
                      <w:trHeight w:val="233" w:hRule="exact"/>
                    </w:trPr>
                    <w:tc>
                      <w:tcPr>
                        <w:tcW w:w="3190" w:type="dxa"/>
                        <w:gridSpan w:val="3"/>
                        <w:tcBorders>
                          <w:bottom w:val="single" w:sz="11" w:space="0" w:color="000000"/>
                          <w:right w:val="single" w:sz="6" w:space="0" w:color="CFD6E4"/>
                        </w:tcBorders>
                      </w:tcPr>
                      <w:p>
                        <w:pPr>
                          <w:pStyle w:val="TableParagraph"/>
                          <w:spacing w:before="9"/>
                          <w:ind w:left="26"/>
                          <w:rPr>
                            <w:sz w:val="17"/>
                          </w:rPr>
                        </w:pPr>
                        <w:r>
                          <w:rPr>
                            <w:color w:val="202020"/>
                            <w:sz w:val="17"/>
                          </w:rPr>
                          <w:t>School Name and location of it  :</w:t>
                        </w:r>
                      </w:p>
                    </w:tc>
                    <w:tc>
                      <w:tcPr>
                        <w:tcW w:w="827" w:type="dxa"/>
                        <w:tcBorders>
                          <w:left w:val="single" w:sz="6" w:space="0" w:color="CFD6E4"/>
                          <w:bottom w:val="single" w:sz="11" w:space="0" w:color="000000"/>
                          <w:right w:val="single" w:sz="6" w:space="0" w:color="CFD6E4"/>
                        </w:tcBorders>
                      </w:tcPr>
                      <w:p>
                        <w:pPr/>
                      </w:p>
                    </w:tc>
                    <w:tc>
                      <w:tcPr>
                        <w:tcW w:w="824" w:type="dxa"/>
                        <w:tcBorders>
                          <w:left w:val="single" w:sz="6" w:space="0" w:color="CFD6E4"/>
                          <w:bottom w:val="single" w:sz="11" w:space="0" w:color="000000"/>
                          <w:right w:val="single" w:sz="11" w:space="0" w:color="000000"/>
                        </w:tcBorders>
                      </w:tcPr>
                      <w:p>
                        <w:pPr/>
                      </w:p>
                    </w:tc>
                  </w:tr>
                  <w:tr>
                    <w:trPr>
                      <w:trHeight w:val="240" w:hRule="exact"/>
                    </w:trPr>
                    <w:tc>
                      <w:tcPr>
                        <w:tcW w:w="3190" w:type="dxa"/>
                        <w:gridSpan w:val="3"/>
                        <w:tcBorders>
                          <w:top w:val="single" w:sz="11" w:space="0" w:color="000000"/>
                          <w:bottom w:val="single" w:sz="11" w:space="0" w:color="000000"/>
                          <w:right w:val="single" w:sz="11" w:space="0" w:color="000000"/>
                        </w:tcBorders>
                      </w:tcPr>
                      <w:p>
                        <w:pPr>
                          <w:pStyle w:val="TableParagraph"/>
                          <w:spacing w:before="9"/>
                          <w:ind w:left="26"/>
                          <w:rPr>
                            <w:sz w:val="17"/>
                          </w:rPr>
                        </w:pPr>
                        <w:r>
                          <w:rPr>
                            <w:sz w:val="17"/>
                          </w:rPr>
                          <w:t>Name of child:</w:t>
                        </w:r>
                      </w:p>
                    </w:tc>
                    <w:tc>
                      <w:tcPr>
                        <w:tcW w:w="1651" w:type="dxa"/>
                        <w:gridSpan w:val="2"/>
                        <w:tcBorders>
                          <w:top w:val="single" w:sz="11" w:space="0" w:color="000000"/>
                          <w:left w:val="single" w:sz="11" w:space="0" w:color="000000"/>
                          <w:bottom w:val="single" w:sz="11" w:space="0" w:color="000000"/>
                          <w:right w:val="single" w:sz="11" w:space="0" w:color="000000"/>
                        </w:tcBorders>
                      </w:tcPr>
                      <w:p>
                        <w:pPr>
                          <w:pStyle w:val="TableParagraph"/>
                          <w:spacing w:before="9"/>
                          <w:ind w:left="26"/>
                          <w:rPr>
                            <w:sz w:val="17"/>
                          </w:rPr>
                        </w:pPr>
                        <w:r>
                          <w:rPr>
                            <w:sz w:val="17"/>
                          </w:rPr>
                          <w:t>Age:</w:t>
                        </w:r>
                      </w:p>
                    </w:tc>
                  </w:tr>
                  <w:tr>
                    <w:trPr>
                      <w:trHeight w:val="466" w:hRule="exact"/>
                    </w:trPr>
                    <w:tc>
                      <w:tcPr>
                        <w:tcW w:w="1059" w:type="dxa"/>
                        <w:tcBorders>
                          <w:top w:val="single" w:sz="11" w:space="0" w:color="000000"/>
                          <w:bottom w:val="single" w:sz="11" w:space="0" w:color="000000"/>
                          <w:right w:val="single" w:sz="11" w:space="0" w:color="000000"/>
                        </w:tcBorders>
                      </w:tcPr>
                      <w:p>
                        <w:pPr>
                          <w:pStyle w:val="TableParagraph"/>
                          <w:spacing w:line="276" w:lineRule="auto"/>
                          <w:ind w:left="266" w:right="226" w:firstLine="26"/>
                          <w:rPr>
                            <w:sz w:val="17"/>
                          </w:rPr>
                        </w:pPr>
                        <w:r>
                          <w:rPr>
                            <w:sz w:val="17"/>
                          </w:rPr>
                          <w:t>Child´s weight:</w:t>
                        </w:r>
                      </w:p>
                    </w:tc>
                    <w:tc>
                      <w:tcPr>
                        <w:tcW w:w="1066" w:type="dxa"/>
                        <w:tcBorders>
                          <w:top w:val="single" w:sz="11" w:space="0" w:color="000000"/>
                          <w:left w:val="single" w:sz="11" w:space="0" w:color="000000"/>
                          <w:bottom w:val="single" w:sz="11" w:space="0" w:color="000000"/>
                          <w:right w:val="single" w:sz="11" w:space="0" w:color="000000"/>
                        </w:tcBorders>
                      </w:tcPr>
                      <w:p>
                        <w:pPr>
                          <w:pStyle w:val="TableParagraph"/>
                          <w:spacing w:before="3"/>
                          <w:rPr>
                            <w:sz w:val="19"/>
                          </w:rPr>
                        </w:pPr>
                      </w:p>
                      <w:p>
                        <w:pPr>
                          <w:pStyle w:val="TableParagraph"/>
                          <w:ind w:right="2"/>
                          <w:jc w:val="right"/>
                          <w:rPr>
                            <w:sz w:val="17"/>
                          </w:rPr>
                        </w:pPr>
                        <w:r>
                          <w:rPr>
                            <w:sz w:val="17"/>
                          </w:rPr>
                          <w:t>Kg.</w:t>
                        </w:r>
                      </w:p>
                    </w:tc>
                    <w:tc>
                      <w:tcPr>
                        <w:tcW w:w="1066" w:type="dxa"/>
                        <w:tcBorders>
                          <w:top w:val="single" w:sz="11" w:space="0" w:color="000000"/>
                          <w:left w:val="single" w:sz="11" w:space="0" w:color="000000"/>
                          <w:bottom w:val="single" w:sz="11" w:space="0" w:color="000000"/>
                          <w:right w:val="single" w:sz="11" w:space="0" w:color="000000"/>
                        </w:tcBorders>
                      </w:tcPr>
                      <w:p>
                        <w:pPr>
                          <w:pStyle w:val="TableParagraph"/>
                          <w:spacing w:line="276" w:lineRule="auto"/>
                          <w:ind w:left="279" w:hanging="227"/>
                          <w:rPr>
                            <w:sz w:val="17"/>
                          </w:rPr>
                        </w:pPr>
                        <w:r>
                          <w:rPr>
                            <w:sz w:val="17"/>
                          </w:rPr>
                          <w:t>Height of the childt :</w:t>
                        </w:r>
                      </w:p>
                    </w:tc>
                    <w:tc>
                      <w:tcPr>
                        <w:tcW w:w="1651" w:type="dxa"/>
                        <w:gridSpan w:val="2"/>
                        <w:tcBorders>
                          <w:top w:val="single" w:sz="11" w:space="0" w:color="000000"/>
                          <w:left w:val="single" w:sz="11" w:space="0" w:color="000000"/>
                          <w:bottom w:val="single" w:sz="11" w:space="0" w:color="000000"/>
                          <w:right w:val="single" w:sz="11" w:space="0" w:color="000000"/>
                        </w:tcBorders>
                      </w:tcPr>
                      <w:p>
                        <w:pPr>
                          <w:pStyle w:val="TableParagraph"/>
                          <w:spacing w:before="6"/>
                          <w:rPr>
                            <w:sz w:val="20"/>
                          </w:rPr>
                        </w:pPr>
                      </w:p>
                      <w:p>
                        <w:pPr>
                          <w:pStyle w:val="TableParagraph"/>
                          <w:ind w:right="7"/>
                          <w:jc w:val="right"/>
                          <w:rPr>
                            <w:sz w:val="17"/>
                          </w:rPr>
                        </w:pPr>
                        <w:r>
                          <w:rPr>
                            <w:sz w:val="17"/>
                          </w:rPr>
                          <w:t>mts.</w:t>
                        </w:r>
                      </w:p>
                    </w:tc>
                  </w:tr>
                  <w:tr>
                    <w:trPr>
                      <w:trHeight w:val="240" w:hRule="exact"/>
                    </w:trPr>
                    <w:tc>
                      <w:tcPr>
                        <w:tcW w:w="3190" w:type="dxa"/>
                        <w:gridSpan w:val="3"/>
                        <w:tcBorders>
                          <w:top w:val="single" w:sz="11" w:space="0" w:color="000000"/>
                          <w:bottom w:val="single" w:sz="11" w:space="0" w:color="000000"/>
                          <w:right w:val="single" w:sz="11" w:space="0" w:color="000000"/>
                        </w:tcBorders>
                      </w:tcPr>
                      <w:p>
                        <w:pPr>
                          <w:pStyle w:val="TableParagraph"/>
                          <w:spacing w:before="9"/>
                          <w:ind w:left="879"/>
                          <w:rPr>
                            <w:sz w:val="17"/>
                          </w:rPr>
                        </w:pPr>
                        <w:r>
                          <w:rPr>
                            <w:sz w:val="17"/>
                          </w:rPr>
                          <w:t>Academic scheduke</w:t>
                        </w:r>
                      </w:p>
                    </w:tc>
                    <w:tc>
                      <w:tcPr>
                        <w:tcW w:w="827" w:type="dxa"/>
                        <w:tcBorders>
                          <w:top w:val="single" w:sz="11" w:space="0" w:color="000000"/>
                          <w:left w:val="single" w:sz="11" w:space="0" w:color="000000"/>
                          <w:bottom w:val="single" w:sz="11" w:space="0" w:color="000000"/>
                          <w:right w:val="single" w:sz="11" w:space="0" w:color="000000"/>
                        </w:tcBorders>
                      </w:tcPr>
                      <w:p>
                        <w:pPr>
                          <w:pStyle w:val="TableParagraph"/>
                          <w:spacing w:line="192" w:lineRule="exact"/>
                          <w:ind w:left="220" w:right="219"/>
                          <w:jc w:val="center"/>
                          <w:rPr>
                            <w:sz w:val="17"/>
                          </w:rPr>
                        </w:pPr>
                        <w:r>
                          <w:rPr>
                            <w:sz w:val="17"/>
                          </w:rPr>
                          <w:t>YES</w:t>
                        </w:r>
                      </w:p>
                    </w:tc>
                    <w:tc>
                      <w:tcPr>
                        <w:tcW w:w="824" w:type="dxa"/>
                        <w:tcBorders>
                          <w:top w:val="single" w:sz="11" w:space="0" w:color="000000"/>
                          <w:left w:val="single" w:sz="11" w:space="0" w:color="000000"/>
                          <w:bottom w:val="single" w:sz="11" w:space="0" w:color="000000"/>
                          <w:right w:val="single" w:sz="11" w:space="0" w:color="000000"/>
                        </w:tcBorders>
                      </w:tcPr>
                      <w:p>
                        <w:pPr>
                          <w:pStyle w:val="TableParagraph"/>
                          <w:spacing w:line="192" w:lineRule="exact"/>
                          <w:ind w:left="257" w:right="254"/>
                          <w:jc w:val="center"/>
                          <w:rPr>
                            <w:sz w:val="17"/>
                          </w:rPr>
                        </w:pPr>
                        <w:r>
                          <w:rPr>
                            <w:sz w:val="17"/>
                          </w:rPr>
                          <w:t>NO</w:t>
                        </w:r>
                      </w:p>
                    </w:tc>
                  </w:tr>
                  <w:tr>
                    <w:trPr>
                      <w:trHeight w:val="240" w:hRule="exact"/>
                    </w:trPr>
                    <w:tc>
                      <w:tcPr>
                        <w:tcW w:w="3190" w:type="dxa"/>
                        <w:gridSpan w:val="3"/>
                        <w:tcBorders>
                          <w:top w:val="single" w:sz="11" w:space="0" w:color="000000"/>
                          <w:bottom w:val="single" w:sz="11" w:space="0" w:color="000000"/>
                          <w:right w:val="single" w:sz="11" w:space="0" w:color="000000"/>
                        </w:tcBorders>
                      </w:tcPr>
                      <w:p>
                        <w:pPr>
                          <w:pStyle w:val="TableParagraph"/>
                          <w:spacing w:before="9"/>
                          <w:ind w:left="945"/>
                          <w:rPr>
                            <w:sz w:val="17"/>
                          </w:rPr>
                        </w:pPr>
                        <w:r>
                          <w:rPr>
                            <w:sz w:val="17"/>
                          </w:rPr>
                          <w:t>Weight backpack:</w:t>
                        </w:r>
                      </w:p>
                    </w:tc>
                    <w:tc>
                      <w:tcPr>
                        <w:tcW w:w="1651" w:type="dxa"/>
                        <w:gridSpan w:val="2"/>
                        <w:tcBorders>
                          <w:top w:val="single" w:sz="11" w:space="0" w:color="000000"/>
                          <w:left w:val="single" w:sz="11" w:space="0" w:color="000000"/>
                          <w:bottom w:val="single" w:sz="11" w:space="0" w:color="000000"/>
                          <w:right w:val="single" w:sz="11" w:space="0" w:color="000000"/>
                        </w:tcBorders>
                      </w:tcPr>
                      <w:p>
                        <w:pPr>
                          <w:pStyle w:val="TableParagraph"/>
                          <w:spacing w:before="9"/>
                          <w:ind w:right="8"/>
                          <w:jc w:val="right"/>
                          <w:rPr>
                            <w:sz w:val="17"/>
                          </w:rPr>
                        </w:pPr>
                        <w:r>
                          <w:rPr>
                            <w:sz w:val="17"/>
                          </w:rPr>
                          <w:t>Kg.</w:t>
                        </w:r>
                      </w:p>
                    </w:tc>
                  </w:tr>
                  <w:tr>
                    <w:trPr>
                      <w:trHeight w:val="466" w:hRule="exact"/>
                    </w:trPr>
                    <w:tc>
                      <w:tcPr>
                        <w:tcW w:w="1059" w:type="dxa"/>
                        <w:tcBorders>
                          <w:top w:val="single" w:sz="11" w:space="0" w:color="000000"/>
                          <w:bottom w:val="single" w:sz="11" w:space="0" w:color="000000"/>
                          <w:right w:val="single" w:sz="11" w:space="0" w:color="000000"/>
                        </w:tcBorders>
                      </w:tcPr>
                      <w:p>
                        <w:pPr>
                          <w:pStyle w:val="TableParagraph"/>
                          <w:spacing w:line="278" w:lineRule="auto"/>
                          <w:ind w:left="26" w:firstLine="519"/>
                          <w:rPr>
                            <w:sz w:val="17"/>
                          </w:rPr>
                        </w:pPr>
                        <w:r>
                          <w:rPr>
                            <w:sz w:val="17"/>
                          </w:rPr>
                          <w:t>books: quantity:</w:t>
                        </w:r>
                      </w:p>
                    </w:tc>
                    <w:tc>
                      <w:tcPr>
                        <w:tcW w:w="1066" w:type="dxa"/>
                        <w:tcBorders>
                          <w:top w:val="single" w:sz="11" w:space="0" w:color="000000"/>
                          <w:left w:val="single" w:sz="11" w:space="0" w:color="000000"/>
                          <w:bottom w:val="single" w:sz="11" w:space="0" w:color="000000"/>
                          <w:right w:val="single" w:sz="11" w:space="0" w:color="000000"/>
                        </w:tcBorders>
                      </w:tcPr>
                      <w:p>
                        <w:pPr/>
                      </w:p>
                    </w:tc>
                    <w:tc>
                      <w:tcPr>
                        <w:tcW w:w="1066" w:type="dxa"/>
                        <w:tcBorders>
                          <w:top w:val="single" w:sz="11" w:space="0" w:color="000000"/>
                          <w:left w:val="single" w:sz="11" w:space="0" w:color="000000"/>
                          <w:bottom w:val="single" w:sz="11" w:space="0" w:color="000000"/>
                          <w:right w:val="single" w:sz="11" w:space="0" w:color="000000"/>
                        </w:tcBorders>
                      </w:tcPr>
                      <w:p>
                        <w:pPr>
                          <w:pStyle w:val="TableParagraph"/>
                          <w:spacing w:before="4"/>
                          <w:rPr>
                            <w:sz w:val="19"/>
                          </w:rPr>
                        </w:pPr>
                      </w:p>
                      <w:p>
                        <w:pPr>
                          <w:pStyle w:val="TableParagraph"/>
                          <w:ind w:right="3"/>
                          <w:jc w:val="right"/>
                          <w:rPr>
                            <w:sz w:val="17"/>
                          </w:rPr>
                        </w:pPr>
                        <w:r>
                          <w:rPr>
                            <w:sz w:val="17"/>
                          </w:rPr>
                          <w:t>Peso:</w:t>
                        </w:r>
                      </w:p>
                    </w:tc>
                    <w:tc>
                      <w:tcPr>
                        <w:tcW w:w="1651" w:type="dxa"/>
                        <w:gridSpan w:val="2"/>
                        <w:tcBorders>
                          <w:top w:val="single" w:sz="11" w:space="0" w:color="000000"/>
                          <w:left w:val="single" w:sz="11" w:space="0" w:color="000000"/>
                          <w:bottom w:val="single" w:sz="11" w:space="0" w:color="000000"/>
                          <w:right w:val="single" w:sz="11" w:space="0" w:color="000000"/>
                        </w:tcBorders>
                      </w:tcPr>
                      <w:p>
                        <w:pPr>
                          <w:pStyle w:val="TableParagraph"/>
                          <w:spacing w:before="6"/>
                          <w:rPr>
                            <w:sz w:val="20"/>
                          </w:rPr>
                        </w:pPr>
                      </w:p>
                      <w:p>
                        <w:pPr>
                          <w:pStyle w:val="TableParagraph"/>
                          <w:ind w:right="8"/>
                          <w:jc w:val="right"/>
                          <w:rPr>
                            <w:sz w:val="17"/>
                          </w:rPr>
                        </w:pPr>
                        <w:r>
                          <w:rPr>
                            <w:sz w:val="17"/>
                          </w:rPr>
                          <w:t>Kg.</w:t>
                        </w:r>
                      </w:p>
                    </w:tc>
                  </w:tr>
                  <w:tr>
                    <w:trPr>
                      <w:trHeight w:val="467" w:hRule="exact"/>
                    </w:trPr>
                    <w:tc>
                      <w:tcPr>
                        <w:tcW w:w="1059" w:type="dxa"/>
                        <w:tcBorders>
                          <w:top w:val="single" w:sz="11" w:space="0" w:color="000000"/>
                          <w:bottom w:val="single" w:sz="11" w:space="0" w:color="000000"/>
                          <w:right w:val="single" w:sz="11" w:space="0" w:color="000000"/>
                        </w:tcBorders>
                      </w:tcPr>
                      <w:p>
                        <w:pPr>
                          <w:pStyle w:val="TableParagraph"/>
                          <w:spacing w:line="278" w:lineRule="auto"/>
                          <w:ind w:left="26" w:right="226"/>
                          <w:rPr>
                            <w:sz w:val="17"/>
                          </w:rPr>
                        </w:pPr>
                        <w:r>
                          <w:rPr>
                            <w:sz w:val="17"/>
                          </w:rPr>
                          <w:t>Notebooks quantity:</w:t>
                        </w:r>
                      </w:p>
                    </w:tc>
                    <w:tc>
                      <w:tcPr>
                        <w:tcW w:w="1066" w:type="dxa"/>
                        <w:tcBorders>
                          <w:top w:val="single" w:sz="11" w:space="0" w:color="000000"/>
                          <w:left w:val="single" w:sz="11" w:space="0" w:color="000000"/>
                          <w:bottom w:val="single" w:sz="11" w:space="0" w:color="000000"/>
                          <w:right w:val="single" w:sz="11" w:space="0" w:color="000000"/>
                        </w:tcBorders>
                      </w:tcPr>
                      <w:p>
                        <w:pPr/>
                      </w:p>
                    </w:tc>
                    <w:tc>
                      <w:tcPr>
                        <w:tcW w:w="1066" w:type="dxa"/>
                        <w:tcBorders>
                          <w:top w:val="single" w:sz="11" w:space="0" w:color="000000"/>
                          <w:left w:val="single" w:sz="11" w:space="0" w:color="000000"/>
                          <w:bottom w:val="single" w:sz="11" w:space="0" w:color="000000"/>
                          <w:right w:val="single" w:sz="11" w:space="0" w:color="000000"/>
                        </w:tcBorders>
                      </w:tcPr>
                      <w:p>
                        <w:pPr>
                          <w:pStyle w:val="TableParagraph"/>
                          <w:spacing w:before="4"/>
                          <w:rPr>
                            <w:sz w:val="19"/>
                          </w:rPr>
                        </w:pPr>
                      </w:p>
                      <w:p>
                        <w:pPr>
                          <w:pStyle w:val="TableParagraph"/>
                          <w:ind w:right="3"/>
                          <w:jc w:val="right"/>
                          <w:rPr>
                            <w:sz w:val="17"/>
                          </w:rPr>
                        </w:pPr>
                        <w:r>
                          <w:rPr>
                            <w:sz w:val="17"/>
                          </w:rPr>
                          <w:t>Peso:</w:t>
                        </w:r>
                      </w:p>
                    </w:tc>
                    <w:tc>
                      <w:tcPr>
                        <w:tcW w:w="1651" w:type="dxa"/>
                        <w:gridSpan w:val="2"/>
                        <w:tcBorders>
                          <w:top w:val="single" w:sz="11" w:space="0" w:color="000000"/>
                          <w:left w:val="single" w:sz="11" w:space="0" w:color="000000"/>
                          <w:bottom w:val="single" w:sz="11" w:space="0" w:color="000000"/>
                          <w:right w:val="single" w:sz="11" w:space="0" w:color="000000"/>
                        </w:tcBorders>
                      </w:tcPr>
                      <w:p>
                        <w:pPr>
                          <w:pStyle w:val="TableParagraph"/>
                          <w:spacing w:before="6"/>
                          <w:rPr>
                            <w:sz w:val="20"/>
                          </w:rPr>
                        </w:pPr>
                      </w:p>
                      <w:p>
                        <w:pPr>
                          <w:pStyle w:val="TableParagraph"/>
                          <w:ind w:right="8"/>
                          <w:jc w:val="right"/>
                          <w:rPr>
                            <w:sz w:val="17"/>
                          </w:rPr>
                        </w:pPr>
                        <w:r>
                          <w:rPr>
                            <w:sz w:val="17"/>
                          </w:rPr>
                          <w:t>Kg.</w:t>
                        </w:r>
                      </w:p>
                    </w:tc>
                  </w:tr>
                  <w:tr>
                    <w:trPr>
                      <w:trHeight w:val="679" w:hRule="exact"/>
                    </w:trPr>
                    <w:tc>
                      <w:tcPr>
                        <w:tcW w:w="3190" w:type="dxa"/>
                        <w:gridSpan w:val="3"/>
                        <w:tcBorders>
                          <w:top w:val="single" w:sz="11" w:space="0" w:color="000000"/>
                          <w:bottom w:val="single" w:sz="11" w:space="0" w:color="000000"/>
                          <w:right w:val="single" w:sz="11" w:space="0" w:color="000000"/>
                        </w:tcBorders>
                      </w:tcPr>
                      <w:p>
                        <w:pPr>
                          <w:pStyle w:val="TableParagraph"/>
                          <w:rPr>
                            <w:sz w:val="16"/>
                          </w:rPr>
                        </w:pPr>
                      </w:p>
                      <w:p>
                        <w:pPr>
                          <w:pStyle w:val="TableParagraph"/>
                          <w:spacing w:before="11"/>
                          <w:rPr>
                            <w:sz w:val="22"/>
                          </w:rPr>
                        </w:pPr>
                      </w:p>
                      <w:p>
                        <w:pPr>
                          <w:pStyle w:val="TableParagraph"/>
                          <w:ind w:left="1185" w:right="1185"/>
                          <w:jc w:val="center"/>
                          <w:rPr>
                            <w:sz w:val="17"/>
                          </w:rPr>
                        </w:pPr>
                        <w:r>
                          <w:rPr>
                            <w:sz w:val="17"/>
                          </w:rPr>
                          <w:t>Other tinks</w:t>
                        </w:r>
                      </w:p>
                    </w:tc>
                    <w:tc>
                      <w:tcPr>
                        <w:tcW w:w="827" w:type="dxa"/>
                        <w:tcBorders>
                          <w:top w:val="single" w:sz="11" w:space="0" w:color="000000"/>
                          <w:left w:val="single" w:sz="11" w:space="0" w:color="000000"/>
                          <w:bottom w:val="single" w:sz="11" w:space="0" w:color="000000"/>
                          <w:right w:val="single" w:sz="11" w:space="0" w:color="000000"/>
                        </w:tcBorders>
                      </w:tcPr>
                      <w:p>
                        <w:pPr>
                          <w:pStyle w:val="TableParagraph"/>
                          <w:rPr>
                            <w:sz w:val="16"/>
                          </w:rPr>
                        </w:pPr>
                      </w:p>
                      <w:p>
                        <w:pPr>
                          <w:pStyle w:val="TableParagraph"/>
                          <w:spacing w:before="9"/>
                          <w:rPr>
                            <w:sz w:val="21"/>
                          </w:rPr>
                        </w:pPr>
                      </w:p>
                      <w:p>
                        <w:pPr>
                          <w:pStyle w:val="TableParagraph"/>
                          <w:spacing w:before="1"/>
                          <w:ind w:left="220" w:right="219"/>
                          <w:jc w:val="center"/>
                          <w:rPr>
                            <w:sz w:val="17"/>
                          </w:rPr>
                        </w:pPr>
                        <w:r>
                          <w:rPr>
                            <w:sz w:val="17"/>
                          </w:rPr>
                          <w:t>YES</w:t>
                        </w:r>
                      </w:p>
                    </w:tc>
                    <w:tc>
                      <w:tcPr>
                        <w:tcW w:w="824" w:type="dxa"/>
                        <w:tcBorders>
                          <w:top w:val="single" w:sz="11" w:space="0" w:color="000000"/>
                          <w:left w:val="single" w:sz="11" w:space="0" w:color="000000"/>
                          <w:bottom w:val="single" w:sz="11" w:space="0" w:color="000000"/>
                          <w:right w:val="single" w:sz="11" w:space="0" w:color="000000"/>
                        </w:tcBorders>
                      </w:tcPr>
                      <w:p>
                        <w:pPr>
                          <w:pStyle w:val="TableParagraph"/>
                          <w:rPr>
                            <w:sz w:val="16"/>
                          </w:rPr>
                        </w:pPr>
                      </w:p>
                      <w:p>
                        <w:pPr>
                          <w:pStyle w:val="TableParagraph"/>
                          <w:spacing w:before="9"/>
                          <w:rPr>
                            <w:sz w:val="21"/>
                          </w:rPr>
                        </w:pPr>
                      </w:p>
                      <w:p>
                        <w:pPr>
                          <w:pStyle w:val="TableParagraph"/>
                          <w:spacing w:before="1"/>
                          <w:ind w:left="257" w:right="254"/>
                          <w:jc w:val="center"/>
                          <w:rPr>
                            <w:sz w:val="17"/>
                          </w:rPr>
                        </w:pPr>
                        <w:r>
                          <w:rPr>
                            <w:sz w:val="17"/>
                          </w:rPr>
                          <w:t>NO</w:t>
                        </w:r>
                      </w:p>
                    </w:tc>
                  </w:tr>
                  <w:tr>
                    <w:trPr>
                      <w:trHeight w:val="240" w:hRule="exact"/>
                    </w:trPr>
                    <w:tc>
                      <w:tcPr>
                        <w:tcW w:w="3190" w:type="dxa"/>
                        <w:gridSpan w:val="3"/>
                        <w:vMerge w:val="restart"/>
                        <w:tcBorders>
                          <w:top w:val="single" w:sz="11" w:space="0" w:color="000000"/>
                          <w:right w:val="single" w:sz="11" w:space="0" w:color="000000"/>
                        </w:tcBorders>
                      </w:tcPr>
                      <w:p>
                        <w:pPr>
                          <w:pStyle w:val="TableParagraph"/>
                          <w:spacing w:before="7"/>
                          <w:rPr>
                            <w:sz w:val="21"/>
                          </w:rPr>
                        </w:pPr>
                      </w:p>
                      <w:p>
                        <w:pPr>
                          <w:pStyle w:val="TableParagraph"/>
                          <w:ind w:left="1026"/>
                          <w:rPr>
                            <w:sz w:val="17"/>
                          </w:rPr>
                        </w:pPr>
                        <w:r>
                          <w:rPr>
                            <w:sz w:val="17"/>
                          </w:rPr>
                          <w:t>kind  of backpak</w:t>
                        </w:r>
                      </w:p>
                    </w:tc>
                    <w:tc>
                      <w:tcPr>
                        <w:tcW w:w="1651" w:type="dxa"/>
                        <w:gridSpan w:val="2"/>
                        <w:tcBorders>
                          <w:top w:val="single" w:sz="11" w:space="0" w:color="000000"/>
                          <w:left w:val="single" w:sz="11" w:space="0" w:color="000000"/>
                          <w:bottom w:val="single" w:sz="11" w:space="0" w:color="000000"/>
                          <w:right w:val="single" w:sz="11" w:space="0" w:color="000000"/>
                        </w:tcBorders>
                      </w:tcPr>
                      <w:p>
                        <w:pPr>
                          <w:pStyle w:val="TableParagraph"/>
                          <w:spacing w:before="9"/>
                          <w:ind w:left="185"/>
                          <w:rPr>
                            <w:sz w:val="17"/>
                          </w:rPr>
                        </w:pPr>
                        <w:r>
                          <w:rPr>
                            <w:sz w:val="17"/>
                          </w:rPr>
                          <w:t>without of wheels</w:t>
                        </w:r>
                      </w:p>
                    </w:tc>
                  </w:tr>
                  <w:tr>
                    <w:trPr>
                      <w:trHeight w:val="240" w:hRule="exact"/>
                    </w:trPr>
                    <w:tc>
                      <w:tcPr>
                        <w:tcW w:w="3190" w:type="dxa"/>
                        <w:gridSpan w:val="3"/>
                        <w:vMerge/>
                        <w:tcBorders>
                          <w:bottom w:val="single" w:sz="11" w:space="0" w:color="000000"/>
                          <w:right w:val="single" w:sz="11" w:space="0" w:color="000000"/>
                        </w:tcBorders>
                      </w:tcPr>
                      <w:p>
                        <w:pPr/>
                      </w:p>
                    </w:tc>
                    <w:tc>
                      <w:tcPr>
                        <w:tcW w:w="1651" w:type="dxa"/>
                        <w:gridSpan w:val="2"/>
                        <w:tcBorders>
                          <w:top w:val="single" w:sz="11" w:space="0" w:color="000000"/>
                          <w:left w:val="single" w:sz="11" w:space="0" w:color="000000"/>
                          <w:bottom w:val="single" w:sz="11" w:space="0" w:color="000000"/>
                          <w:right w:val="single" w:sz="11" w:space="0" w:color="000000"/>
                        </w:tcBorders>
                      </w:tcPr>
                      <w:p>
                        <w:pPr>
                          <w:pStyle w:val="TableParagraph"/>
                          <w:spacing w:before="9"/>
                          <w:ind w:left="412"/>
                          <w:rPr>
                            <w:sz w:val="17"/>
                          </w:rPr>
                        </w:pPr>
                        <w:r>
                          <w:rPr>
                            <w:sz w:val="17"/>
                          </w:rPr>
                          <w:t>with wheels</w:t>
                        </w:r>
                      </w:p>
                    </w:tc>
                  </w:tr>
                  <w:tr>
                    <w:trPr>
                      <w:trHeight w:val="452" w:hRule="exact"/>
                    </w:trPr>
                    <w:tc>
                      <w:tcPr>
                        <w:tcW w:w="3190" w:type="dxa"/>
                        <w:gridSpan w:val="3"/>
                        <w:tcBorders>
                          <w:top w:val="single" w:sz="11" w:space="0" w:color="000000"/>
                          <w:bottom w:val="single" w:sz="11" w:space="0" w:color="000000"/>
                          <w:right w:val="single" w:sz="11" w:space="0" w:color="000000"/>
                        </w:tcBorders>
                      </w:tcPr>
                      <w:p>
                        <w:pPr>
                          <w:pStyle w:val="TableParagraph"/>
                          <w:spacing w:line="192" w:lineRule="exact"/>
                          <w:ind w:left="945"/>
                          <w:rPr>
                            <w:sz w:val="17"/>
                          </w:rPr>
                        </w:pPr>
                        <w:r>
                          <w:rPr>
                            <w:sz w:val="17"/>
                          </w:rPr>
                          <w:t>discomfort or pain</w:t>
                        </w:r>
                      </w:p>
                    </w:tc>
                    <w:tc>
                      <w:tcPr>
                        <w:tcW w:w="827" w:type="dxa"/>
                        <w:tcBorders>
                          <w:top w:val="single" w:sz="11" w:space="0" w:color="000000"/>
                          <w:left w:val="single" w:sz="11" w:space="0" w:color="000000"/>
                          <w:bottom w:val="single" w:sz="11" w:space="0" w:color="000000"/>
                          <w:right w:val="single" w:sz="11" w:space="0" w:color="000000"/>
                        </w:tcBorders>
                      </w:tcPr>
                      <w:p>
                        <w:pPr>
                          <w:pStyle w:val="TableParagraph"/>
                          <w:spacing w:before="1"/>
                          <w:rPr>
                            <w:sz w:val="18"/>
                          </w:rPr>
                        </w:pPr>
                      </w:p>
                      <w:p>
                        <w:pPr>
                          <w:pStyle w:val="TableParagraph"/>
                          <w:ind w:left="220" w:right="219"/>
                          <w:jc w:val="center"/>
                          <w:rPr>
                            <w:sz w:val="17"/>
                          </w:rPr>
                        </w:pPr>
                        <w:r>
                          <w:rPr>
                            <w:sz w:val="17"/>
                          </w:rPr>
                          <w:t>YES</w:t>
                        </w:r>
                      </w:p>
                    </w:tc>
                    <w:tc>
                      <w:tcPr>
                        <w:tcW w:w="824" w:type="dxa"/>
                        <w:tcBorders>
                          <w:top w:val="single" w:sz="11" w:space="0" w:color="000000"/>
                          <w:left w:val="single" w:sz="11" w:space="0" w:color="000000"/>
                          <w:bottom w:val="single" w:sz="11" w:space="0" w:color="000000"/>
                          <w:right w:val="single" w:sz="11" w:space="0" w:color="000000"/>
                        </w:tcBorders>
                      </w:tcPr>
                      <w:p>
                        <w:pPr>
                          <w:pStyle w:val="TableParagraph"/>
                          <w:spacing w:before="1"/>
                          <w:rPr>
                            <w:sz w:val="18"/>
                          </w:rPr>
                        </w:pPr>
                      </w:p>
                      <w:p>
                        <w:pPr>
                          <w:pStyle w:val="TableParagraph"/>
                          <w:ind w:left="257" w:right="254"/>
                          <w:jc w:val="center"/>
                          <w:rPr>
                            <w:sz w:val="17"/>
                          </w:rPr>
                        </w:pPr>
                        <w:r>
                          <w:rPr>
                            <w:sz w:val="17"/>
                          </w:rPr>
                          <w:t>NO</w:t>
                        </w:r>
                      </w:p>
                    </w:tc>
                  </w:tr>
                  <w:tr>
                    <w:trPr>
                      <w:trHeight w:val="233" w:hRule="exact"/>
                    </w:trPr>
                    <w:tc>
                      <w:tcPr>
                        <w:tcW w:w="4841" w:type="dxa"/>
                        <w:gridSpan w:val="5"/>
                        <w:tcBorders>
                          <w:top w:val="single" w:sz="11" w:space="0" w:color="000000"/>
                          <w:bottom w:val="single" w:sz="6" w:space="0" w:color="CFD6E4"/>
                          <w:right w:val="single" w:sz="11" w:space="0" w:color="000000"/>
                        </w:tcBorders>
                      </w:tcPr>
                      <w:p>
                        <w:pPr>
                          <w:pStyle w:val="TableParagraph"/>
                          <w:spacing w:before="9"/>
                          <w:ind w:left="26"/>
                          <w:rPr>
                            <w:sz w:val="17"/>
                          </w:rPr>
                        </w:pPr>
                        <w:r>
                          <w:rPr>
                            <w:sz w:val="17"/>
                          </w:rPr>
                          <w:t>conveyance:</w:t>
                        </w:r>
                      </w:p>
                    </w:tc>
                  </w:tr>
                  <w:tr>
                    <w:trPr>
                      <w:trHeight w:val="227" w:hRule="exact"/>
                    </w:trPr>
                    <w:tc>
                      <w:tcPr>
                        <w:tcW w:w="4841" w:type="dxa"/>
                        <w:gridSpan w:val="5"/>
                        <w:tcBorders>
                          <w:top w:val="single" w:sz="6" w:space="0" w:color="CFD6E4"/>
                          <w:bottom w:val="single" w:sz="6" w:space="0" w:color="CFD6E4"/>
                          <w:right w:val="single" w:sz="11" w:space="0" w:color="000000"/>
                        </w:tcBorders>
                      </w:tcPr>
                      <w:p>
                        <w:pPr>
                          <w:pStyle w:val="TableParagraph"/>
                          <w:tabs>
                            <w:tab w:pos="2770" w:val="left" w:leader="none"/>
                          </w:tabs>
                          <w:spacing w:before="9"/>
                          <w:ind w:left="1065"/>
                          <w:rPr>
                            <w:sz w:val="17"/>
                          </w:rPr>
                        </w:pPr>
                        <w:r>
                          <w:rPr>
                            <w:spacing w:val="4"/>
                            <w:sz w:val="17"/>
                          </w:rPr>
                          <w:t>A) </w:t>
                        </w:r>
                        <w:r>
                          <w:rPr>
                            <w:spacing w:val="-3"/>
                            <w:sz w:val="17"/>
                          </w:rPr>
                          <w:t>Car</w:t>
                        </w:r>
                        <w:r>
                          <w:rPr>
                            <w:spacing w:val="-14"/>
                            <w:sz w:val="17"/>
                          </w:rPr>
                          <w:t> </w:t>
                        </w:r>
                        <w:r>
                          <w:rPr>
                            <w:spacing w:val="2"/>
                            <w:sz w:val="17"/>
                          </w:rPr>
                          <w:t>or</w:t>
                        </w:r>
                        <w:r>
                          <w:rPr>
                            <w:spacing w:val="-5"/>
                            <w:sz w:val="17"/>
                          </w:rPr>
                          <w:t> </w:t>
                        </w:r>
                        <w:r>
                          <w:rPr>
                            <w:sz w:val="17"/>
                          </w:rPr>
                          <w:t>motorcicle</w:t>
                          <w:tab/>
                        </w:r>
                        <w:r>
                          <w:rPr>
                            <w:spacing w:val="-5"/>
                            <w:sz w:val="17"/>
                          </w:rPr>
                          <w:t>B) </w:t>
                        </w:r>
                        <w:r>
                          <w:rPr>
                            <w:spacing w:val="3"/>
                            <w:sz w:val="17"/>
                          </w:rPr>
                          <w:t>School</w:t>
                        </w:r>
                        <w:r>
                          <w:rPr>
                            <w:spacing w:val="4"/>
                            <w:sz w:val="17"/>
                          </w:rPr>
                          <w:t> bus</w:t>
                        </w:r>
                      </w:p>
                    </w:tc>
                  </w:tr>
                  <w:tr>
                    <w:trPr>
                      <w:trHeight w:val="380" w:hRule="exact"/>
                    </w:trPr>
                    <w:tc>
                      <w:tcPr>
                        <w:tcW w:w="4841" w:type="dxa"/>
                        <w:gridSpan w:val="5"/>
                        <w:tcBorders>
                          <w:top w:val="single" w:sz="6" w:space="0" w:color="CFD6E4"/>
                          <w:bottom w:val="single" w:sz="11" w:space="0" w:color="000000"/>
                          <w:right w:val="single" w:sz="11" w:space="0" w:color="000000"/>
                        </w:tcBorders>
                      </w:tcPr>
                      <w:p>
                        <w:pPr>
                          <w:pStyle w:val="TableParagraph"/>
                          <w:spacing w:before="6"/>
                          <w:rPr>
                            <w:sz w:val="13"/>
                          </w:rPr>
                        </w:pPr>
                      </w:p>
                      <w:p>
                        <w:pPr>
                          <w:pStyle w:val="TableParagraph"/>
                          <w:tabs>
                            <w:tab w:pos="1331" w:val="left" w:leader="none"/>
                            <w:tab w:pos="2410" w:val="left" w:leader="none"/>
                          </w:tabs>
                          <w:ind w:left="26"/>
                          <w:rPr>
                            <w:sz w:val="17"/>
                          </w:rPr>
                        </w:pPr>
                        <w:r>
                          <w:rPr>
                            <w:spacing w:val="-5"/>
                            <w:sz w:val="17"/>
                          </w:rPr>
                          <w:t>C)</w:t>
                        </w:r>
                        <w:r>
                          <w:rPr>
                            <w:spacing w:val="-2"/>
                            <w:sz w:val="17"/>
                          </w:rPr>
                          <w:t> </w:t>
                        </w:r>
                        <w:r>
                          <w:rPr>
                            <w:spacing w:val="-4"/>
                            <w:sz w:val="17"/>
                          </w:rPr>
                          <w:t>walking</w:t>
                          <w:tab/>
                        </w:r>
                        <w:r>
                          <w:rPr>
                            <w:spacing w:val="-3"/>
                            <w:sz w:val="17"/>
                          </w:rPr>
                          <w:t>D)</w:t>
                        </w:r>
                        <w:r>
                          <w:rPr>
                            <w:spacing w:val="-4"/>
                            <w:sz w:val="17"/>
                          </w:rPr>
                          <w:t> </w:t>
                        </w:r>
                        <w:r>
                          <w:rPr>
                            <w:spacing w:val="-7"/>
                            <w:sz w:val="17"/>
                          </w:rPr>
                          <w:t>Bike</w:t>
                          <w:tab/>
                          <w:t>E) </w:t>
                        </w:r>
                        <w:r>
                          <w:rPr>
                            <w:sz w:val="17"/>
                          </w:rPr>
                          <w:t>Other</w:t>
                        </w:r>
                        <w:r>
                          <w:rPr>
                            <w:spacing w:val="27"/>
                            <w:sz w:val="17"/>
                          </w:rPr>
                          <w:t> </w:t>
                        </w:r>
                        <w:r>
                          <w:rPr>
                            <w:spacing w:val="3"/>
                            <w:sz w:val="17"/>
                          </w:rPr>
                          <w:t>:_______</w:t>
                        </w:r>
                      </w:p>
                    </w:tc>
                  </w:tr>
                  <w:tr>
                    <w:trPr>
                      <w:trHeight w:val="453" w:hRule="exact"/>
                    </w:trPr>
                    <w:tc>
                      <w:tcPr>
                        <w:tcW w:w="3190" w:type="dxa"/>
                        <w:gridSpan w:val="3"/>
                        <w:tcBorders>
                          <w:top w:val="single" w:sz="11" w:space="0" w:color="000000"/>
                          <w:bottom w:val="single" w:sz="11" w:space="0" w:color="000000"/>
                          <w:right w:val="single" w:sz="11" w:space="0" w:color="000000"/>
                        </w:tcBorders>
                      </w:tcPr>
                      <w:p>
                        <w:pPr>
                          <w:pStyle w:val="TableParagraph"/>
                          <w:spacing w:before="9"/>
                          <w:ind w:left="26"/>
                          <w:rPr>
                            <w:sz w:val="17"/>
                          </w:rPr>
                        </w:pPr>
                        <w:r>
                          <w:rPr>
                            <w:sz w:val="17"/>
                          </w:rPr>
                          <w:t>Distance (home -school)</w:t>
                        </w:r>
                      </w:p>
                    </w:tc>
                    <w:tc>
                      <w:tcPr>
                        <w:tcW w:w="1651" w:type="dxa"/>
                        <w:gridSpan w:val="2"/>
                        <w:tcBorders>
                          <w:top w:val="single" w:sz="11" w:space="0" w:color="000000"/>
                          <w:left w:val="single" w:sz="11" w:space="0" w:color="000000"/>
                          <w:bottom w:val="single" w:sz="11" w:space="0" w:color="000000"/>
                          <w:right w:val="single" w:sz="11" w:space="0" w:color="000000"/>
                        </w:tcBorders>
                      </w:tcPr>
                      <w:p>
                        <w:pPr>
                          <w:pStyle w:val="TableParagraph"/>
                          <w:spacing w:before="9"/>
                          <w:ind w:right="7"/>
                          <w:jc w:val="right"/>
                          <w:rPr>
                            <w:sz w:val="17"/>
                          </w:rPr>
                        </w:pPr>
                        <w:r>
                          <w:rPr>
                            <w:sz w:val="17"/>
                          </w:rPr>
                          <w:t>mts.</w:t>
                        </w:r>
                      </w:p>
                    </w:tc>
                  </w:tr>
                  <w:tr>
                    <w:trPr>
                      <w:trHeight w:val="452" w:hRule="exact"/>
                    </w:trPr>
                    <w:tc>
                      <w:tcPr>
                        <w:tcW w:w="3190" w:type="dxa"/>
                        <w:gridSpan w:val="3"/>
                        <w:tcBorders>
                          <w:top w:val="single" w:sz="11" w:space="0" w:color="000000"/>
                          <w:bottom w:val="single" w:sz="11" w:space="0" w:color="000000"/>
                          <w:right w:val="single" w:sz="11" w:space="0" w:color="000000"/>
                        </w:tcBorders>
                      </w:tcPr>
                      <w:p>
                        <w:pPr>
                          <w:pStyle w:val="TableParagraph"/>
                          <w:spacing w:before="9"/>
                          <w:ind w:left="26"/>
                          <w:rPr>
                            <w:sz w:val="17"/>
                          </w:rPr>
                        </w:pPr>
                        <w:r>
                          <w:rPr>
                            <w:sz w:val="17"/>
                          </w:rPr>
                          <w:t>Time to school from house</w:t>
                        </w:r>
                      </w:p>
                    </w:tc>
                    <w:tc>
                      <w:tcPr>
                        <w:tcW w:w="1651" w:type="dxa"/>
                        <w:gridSpan w:val="2"/>
                        <w:tcBorders>
                          <w:top w:val="single" w:sz="11" w:space="0" w:color="000000"/>
                          <w:left w:val="single" w:sz="11" w:space="0" w:color="000000"/>
                          <w:bottom w:val="single" w:sz="11" w:space="0" w:color="000000"/>
                          <w:right w:val="single" w:sz="11" w:space="0" w:color="000000"/>
                        </w:tcBorders>
                      </w:tcPr>
                      <w:p>
                        <w:pPr>
                          <w:pStyle w:val="TableParagraph"/>
                          <w:spacing w:before="9"/>
                          <w:ind w:right="7"/>
                          <w:jc w:val="right"/>
                          <w:rPr>
                            <w:sz w:val="17"/>
                          </w:rPr>
                        </w:pPr>
                        <w:r>
                          <w:rPr>
                            <w:sz w:val="17"/>
                          </w:rPr>
                          <w:t>Min.</w:t>
                        </w:r>
                      </w:p>
                    </w:tc>
                  </w:tr>
                  <w:tr>
                    <w:trPr>
                      <w:trHeight w:val="240" w:hRule="exact"/>
                    </w:trPr>
                    <w:tc>
                      <w:tcPr>
                        <w:tcW w:w="3190" w:type="dxa"/>
                        <w:gridSpan w:val="3"/>
                        <w:tcBorders>
                          <w:top w:val="single" w:sz="11" w:space="0" w:color="000000"/>
                          <w:bottom w:val="single" w:sz="11" w:space="0" w:color="000000"/>
                          <w:right w:val="single" w:sz="11" w:space="0" w:color="000000"/>
                        </w:tcBorders>
                      </w:tcPr>
                      <w:p>
                        <w:pPr>
                          <w:pStyle w:val="TableParagraph"/>
                          <w:spacing w:before="10"/>
                          <w:ind w:left="26"/>
                          <w:rPr>
                            <w:sz w:val="17"/>
                          </w:rPr>
                        </w:pPr>
                        <w:r>
                          <w:rPr>
                            <w:sz w:val="17"/>
                          </w:rPr>
                          <w:t>Upload your backpak en the way?</w:t>
                        </w:r>
                      </w:p>
                    </w:tc>
                    <w:tc>
                      <w:tcPr>
                        <w:tcW w:w="827" w:type="dxa"/>
                        <w:tcBorders>
                          <w:top w:val="single" w:sz="11" w:space="0" w:color="000000"/>
                          <w:left w:val="single" w:sz="11" w:space="0" w:color="000000"/>
                          <w:bottom w:val="single" w:sz="11" w:space="0" w:color="000000"/>
                          <w:right w:val="single" w:sz="11" w:space="0" w:color="000000"/>
                        </w:tcBorders>
                      </w:tcPr>
                      <w:p>
                        <w:pPr>
                          <w:pStyle w:val="TableParagraph"/>
                          <w:spacing w:line="192" w:lineRule="exact"/>
                          <w:ind w:left="220" w:right="219"/>
                          <w:jc w:val="center"/>
                          <w:rPr>
                            <w:sz w:val="17"/>
                          </w:rPr>
                        </w:pPr>
                        <w:r>
                          <w:rPr>
                            <w:sz w:val="17"/>
                          </w:rPr>
                          <w:t>YES</w:t>
                        </w:r>
                      </w:p>
                    </w:tc>
                    <w:tc>
                      <w:tcPr>
                        <w:tcW w:w="824" w:type="dxa"/>
                        <w:tcBorders>
                          <w:top w:val="single" w:sz="11" w:space="0" w:color="000000"/>
                          <w:left w:val="single" w:sz="11" w:space="0" w:color="000000"/>
                          <w:bottom w:val="single" w:sz="11" w:space="0" w:color="000000"/>
                          <w:right w:val="single" w:sz="11" w:space="0" w:color="000000"/>
                        </w:tcBorders>
                      </w:tcPr>
                      <w:p>
                        <w:pPr>
                          <w:pStyle w:val="TableParagraph"/>
                          <w:spacing w:line="192" w:lineRule="exact"/>
                          <w:ind w:left="257" w:right="254"/>
                          <w:jc w:val="center"/>
                          <w:rPr>
                            <w:sz w:val="17"/>
                          </w:rPr>
                        </w:pPr>
                        <w:r>
                          <w:rPr>
                            <w:sz w:val="17"/>
                          </w:rPr>
                          <w:t>NO</w:t>
                        </w:r>
                      </w:p>
                    </w:tc>
                  </w:tr>
                  <w:tr>
                    <w:trPr>
                      <w:trHeight w:val="240" w:hRule="exact"/>
                    </w:trPr>
                    <w:tc>
                      <w:tcPr>
                        <w:tcW w:w="3190" w:type="dxa"/>
                        <w:gridSpan w:val="3"/>
                        <w:tcBorders>
                          <w:top w:val="single" w:sz="11" w:space="0" w:color="000000"/>
                          <w:bottom w:val="single" w:sz="11" w:space="0" w:color="000000"/>
                          <w:right w:val="single" w:sz="11" w:space="0" w:color="000000"/>
                        </w:tcBorders>
                      </w:tcPr>
                      <w:p>
                        <w:pPr>
                          <w:pStyle w:val="TableParagraph"/>
                          <w:spacing w:before="9"/>
                          <w:ind w:left="26"/>
                          <w:rPr>
                            <w:sz w:val="17"/>
                          </w:rPr>
                        </w:pPr>
                        <w:r>
                          <w:rPr>
                            <w:sz w:val="17"/>
                          </w:rPr>
                          <w:t>Have a computer ay  home?</w:t>
                        </w:r>
                      </w:p>
                    </w:tc>
                    <w:tc>
                      <w:tcPr>
                        <w:tcW w:w="827" w:type="dxa"/>
                        <w:tcBorders>
                          <w:top w:val="single" w:sz="11" w:space="0" w:color="000000"/>
                          <w:left w:val="single" w:sz="11" w:space="0" w:color="000000"/>
                          <w:bottom w:val="single" w:sz="11" w:space="0" w:color="000000"/>
                          <w:right w:val="single" w:sz="11" w:space="0" w:color="000000"/>
                        </w:tcBorders>
                      </w:tcPr>
                      <w:p>
                        <w:pPr>
                          <w:pStyle w:val="TableParagraph"/>
                          <w:spacing w:line="192" w:lineRule="exact"/>
                          <w:ind w:left="220" w:right="219"/>
                          <w:jc w:val="center"/>
                          <w:rPr>
                            <w:sz w:val="17"/>
                          </w:rPr>
                        </w:pPr>
                        <w:r>
                          <w:rPr>
                            <w:sz w:val="17"/>
                          </w:rPr>
                          <w:t>YES</w:t>
                        </w:r>
                      </w:p>
                    </w:tc>
                    <w:tc>
                      <w:tcPr>
                        <w:tcW w:w="824" w:type="dxa"/>
                        <w:tcBorders>
                          <w:top w:val="single" w:sz="11" w:space="0" w:color="000000"/>
                          <w:left w:val="single" w:sz="11" w:space="0" w:color="000000"/>
                          <w:bottom w:val="single" w:sz="11" w:space="0" w:color="000000"/>
                          <w:right w:val="single" w:sz="11" w:space="0" w:color="000000"/>
                        </w:tcBorders>
                      </w:tcPr>
                      <w:p>
                        <w:pPr>
                          <w:pStyle w:val="TableParagraph"/>
                          <w:spacing w:line="192" w:lineRule="exact"/>
                          <w:ind w:left="257" w:right="254"/>
                          <w:jc w:val="center"/>
                          <w:rPr>
                            <w:sz w:val="17"/>
                          </w:rPr>
                        </w:pPr>
                        <w:r>
                          <w:rPr>
                            <w:sz w:val="17"/>
                          </w:rPr>
                          <w:t>NO</w:t>
                        </w:r>
                      </w:p>
                    </w:tc>
                  </w:tr>
                  <w:tr>
                    <w:trPr>
                      <w:trHeight w:val="240" w:hRule="exact"/>
                    </w:trPr>
                    <w:tc>
                      <w:tcPr>
                        <w:tcW w:w="3190" w:type="dxa"/>
                        <w:gridSpan w:val="3"/>
                        <w:tcBorders>
                          <w:top w:val="single" w:sz="11" w:space="0" w:color="000000"/>
                          <w:bottom w:val="single" w:sz="11" w:space="0" w:color="000000"/>
                          <w:right w:val="single" w:sz="11" w:space="0" w:color="000000"/>
                        </w:tcBorders>
                      </w:tcPr>
                      <w:p>
                        <w:pPr>
                          <w:pStyle w:val="TableParagraph"/>
                          <w:spacing w:before="9"/>
                          <w:ind w:left="26"/>
                          <w:rPr>
                            <w:sz w:val="17"/>
                          </w:rPr>
                        </w:pPr>
                        <w:r>
                          <w:rPr>
                            <w:sz w:val="17"/>
                          </w:rPr>
                          <w:t>Has  acces  to a computer?</w:t>
                        </w:r>
                      </w:p>
                    </w:tc>
                    <w:tc>
                      <w:tcPr>
                        <w:tcW w:w="827" w:type="dxa"/>
                        <w:tcBorders>
                          <w:top w:val="single" w:sz="11" w:space="0" w:color="000000"/>
                          <w:left w:val="single" w:sz="11" w:space="0" w:color="000000"/>
                          <w:bottom w:val="single" w:sz="11" w:space="0" w:color="000000"/>
                          <w:right w:val="single" w:sz="11" w:space="0" w:color="000000"/>
                        </w:tcBorders>
                      </w:tcPr>
                      <w:p>
                        <w:pPr>
                          <w:pStyle w:val="TableParagraph"/>
                          <w:spacing w:line="192" w:lineRule="exact"/>
                          <w:ind w:left="220" w:right="219"/>
                          <w:jc w:val="center"/>
                          <w:rPr>
                            <w:sz w:val="17"/>
                          </w:rPr>
                        </w:pPr>
                        <w:r>
                          <w:rPr>
                            <w:sz w:val="17"/>
                          </w:rPr>
                          <w:t>YES</w:t>
                        </w:r>
                      </w:p>
                    </w:tc>
                    <w:tc>
                      <w:tcPr>
                        <w:tcW w:w="824" w:type="dxa"/>
                        <w:tcBorders>
                          <w:top w:val="single" w:sz="11" w:space="0" w:color="000000"/>
                          <w:left w:val="single" w:sz="11" w:space="0" w:color="000000"/>
                          <w:bottom w:val="single" w:sz="11" w:space="0" w:color="000000"/>
                          <w:right w:val="single" w:sz="11" w:space="0" w:color="000000"/>
                        </w:tcBorders>
                      </w:tcPr>
                      <w:p>
                        <w:pPr>
                          <w:pStyle w:val="TableParagraph"/>
                          <w:spacing w:line="192" w:lineRule="exact"/>
                          <w:ind w:left="257" w:right="254"/>
                          <w:jc w:val="center"/>
                          <w:rPr>
                            <w:sz w:val="17"/>
                          </w:rPr>
                        </w:pPr>
                        <w:r>
                          <w:rPr>
                            <w:sz w:val="17"/>
                          </w:rPr>
                          <w:t>NO</w:t>
                        </w:r>
                      </w:p>
                    </w:tc>
                  </w:tr>
                  <w:tr>
                    <w:trPr>
                      <w:trHeight w:val="239" w:hRule="exact"/>
                    </w:trPr>
                    <w:tc>
                      <w:tcPr>
                        <w:tcW w:w="3190" w:type="dxa"/>
                        <w:gridSpan w:val="3"/>
                        <w:tcBorders>
                          <w:top w:val="single" w:sz="11" w:space="0" w:color="000000"/>
                          <w:bottom w:val="single" w:sz="11" w:space="0" w:color="000000"/>
                          <w:right w:val="single" w:sz="11" w:space="0" w:color="000000"/>
                        </w:tcBorders>
                      </w:tcPr>
                      <w:p>
                        <w:pPr>
                          <w:pStyle w:val="TableParagraph"/>
                          <w:spacing w:before="9"/>
                          <w:ind w:left="26"/>
                          <w:rPr>
                            <w:sz w:val="17"/>
                          </w:rPr>
                        </w:pPr>
                        <w:r>
                          <w:rPr>
                            <w:sz w:val="17"/>
                          </w:rPr>
                          <w:t>Have internet at  home?</w:t>
                        </w:r>
                      </w:p>
                    </w:tc>
                    <w:tc>
                      <w:tcPr>
                        <w:tcW w:w="827" w:type="dxa"/>
                        <w:tcBorders>
                          <w:top w:val="single" w:sz="11" w:space="0" w:color="000000"/>
                          <w:left w:val="single" w:sz="11" w:space="0" w:color="000000"/>
                          <w:bottom w:val="single" w:sz="11" w:space="0" w:color="000000"/>
                          <w:right w:val="single" w:sz="11" w:space="0" w:color="000000"/>
                        </w:tcBorders>
                      </w:tcPr>
                      <w:p>
                        <w:pPr>
                          <w:pStyle w:val="TableParagraph"/>
                          <w:spacing w:line="192" w:lineRule="exact"/>
                          <w:ind w:left="220" w:right="219"/>
                          <w:jc w:val="center"/>
                          <w:rPr>
                            <w:sz w:val="17"/>
                          </w:rPr>
                        </w:pPr>
                        <w:r>
                          <w:rPr>
                            <w:sz w:val="17"/>
                          </w:rPr>
                          <w:t>YES</w:t>
                        </w:r>
                      </w:p>
                    </w:tc>
                    <w:tc>
                      <w:tcPr>
                        <w:tcW w:w="824" w:type="dxa"/>
                        <w:tcBorders>
                          <w:top w:val="single" w:sz="11" w:space="0" w:color="000000"/>
                          <w:left w:val="single" w:sz="11" w:space="0" w:color="000000"/>
                          <w:bottom w:val="single" w:sz="11" w:space="0" w:color="000000"/>
                          <w:right w:val="single" w:sz="11" w:space="0" w:color="000000"/>
                        </w:tcBorders>
                      </w:tcPr>
                      <w:p>
                        <w:pPr>
                          <w:pStyle w:val="TableParagraph"/>
                          <w:spacing w:line="192" w:lineRule="exact"/>
                          <w:ind w:left="257" w:right="254"/>
                          <w:jc w:val="center"/>
                          <w:rPr>
                            <w:sz w:val="17"/>
                          </w:rPr>
                        </w:pPr>
                        <w:r>
                          <w:rPr>
                            <w:sz w:val="17"/>
                          </w:rPr>
                          <w:t>NO</w:t>
                        </w:r>
                      </w:p>
                    </w:tc>
                  </w:tr>
                  <w:tr>
                    <w:trPr>
                      <w:trHeight w:val="239" w:hRule="exact"/>
                    </w:trPr>
                    <w:tc>
                      <w:tcPr>
                        <w:tcW w:w="3190" w:type="dxa"/>
                        <w:gridSpan w:val="3"/>
                        <w:tcBorders>
                          <w:top w:val="single" w:sz="11" w:space="0" w:color="000000"/>
                          <w:bottom w:val="single" w:sz="11" w:space="0" w:color="000000"/>
                          <w:right w:val="single" w:sz="11" w:space="0" w:color="000000"/>
                        </w:tcBorders>
                      </w:tcPr>
                      <w:p>
                        <w:pPr>
                          <w:pStyle w:val="TableParagraph"/>
                          <w:spacing w:before="9"/>
                          <w:ind w:left="26"/>
                          <w:rPr>
                            <w:sz w:val="17"/>
                          </w:rPr>
                        </w:pPr>
                        <w:r>
                          <w:rPr>
                            <w:sz w:val="17"/>
                          </w:rPr>
                          <w:t>Have  interner access</w:t>
                        </w:r>
                      </w:p>
                    </w:tc>
                    <w:tc>
                      <w:tcPr>
                        <w:tcW w:w="827" w:type="dxa"/>
                        <w:tcBorders>
                          <w:top w:val="single" w:sz="11" w:space="0" w:color="000000"/>
                          <w:left w:val="single" w:sz="11" w:space="0" w:color="000000"/>
                          <w:bottom w:val="single" w:sz="11" w:space="0" w:color="000000"/>
                          <w:right w:val="single" w:sz="11" w:space="0" w:color="000000"/>
                        </w:tcBorders>
                      </w:tcPr>
                      <w:p>
                        <w:pPr>
                          <w:pStyle w:val="TableParagraph"/>
                          <w:spacing w:line="192" w:lineRule="exact"/>
                          <w:ind w:left="220" w:right="219"/>
                          <w:jc w:val="center"/>
                          <w:rPr>
                            <w:sz w:val="17"/>
                          </w:rPr>
                        </w:pPr>
                        <w:r>
                          <w:rPr>
                            <w:sz w:val="17"/>
                          </w:rPr>
                          <w:t>YES</w:t>
                        </w:r>
                      </w:p>
                    </w:tc>
                    <w:tc>
                      <w:tcPr>
                        <w:tcW w:w="824" w:type="dxa"/>
                        <w:tcBorders>
                          <w:top w:val="single" w:sz="11" w:space="0" w:color="000000"/>
                          <w:left w:val="single" w:sz="11" w:space="0" w:color="000000"/>
                          <w:bottom w:val="single" w:sz="11" w:space="0" w:color="000000"/>
                          <w:right w:val="single" w:sz="11" w:space="0" w:color="000000"/>
                        </w:tcBorders>
                      </w:tcPr>
                      <w:p>
                        <w:pPr>
                          <w:pStyle w:val="TableParagraph"/>
                          <w:spacing w:line="192" w:lineRule="exact"/>
                          <w:ind w:left="257" w:right="254"/>
                          <w:jc w:val="center"/>
                          <w:rPr>
                            <w:sz w:val="17"/>
                          </w:rPr>
                        </w:pPr>
                        <w:r>
                          <w:rPr>
                            <w:sz w:val="17"/>
                          </w:rPr>
                          <w:t>NO</w:t>
                        </w:r>
                      </w:p>
                    </w:tc>
                  </w:tr>
                  <w:tr>
                    <w:trPr>
                      <w:trHeight w:val="233" w:hRule="exact"/>
                    </w:trPr>
                    <w:tc>
                      <w:tcPr>
                        <w:tcW w:w="4841" w:type="dxa"/>
                        <w:gridSpan w:val="5"/>
                        <w:tcBorders>
                          <w:top w:val="single" w:sz="11" w:space="0" w:color="000000"/>
                          <w:bottom w:val="single" w:sz="5" w:space="0" w:color="CFD6E4"/>
                          <w:right w:val="single" w:sz="11" w:space="0" w:color="000000"/>
                        </w:tcBorders>
                      </w:tcPr>
                      <w:p>
                        <w:pPr>
                          <w:pStyle w:val="TableParagraph"/>
                          <w:spacing w:before="10"/>
                          <w:ind w:left="26"/>
                          <w:rPr>
                            <w:sz w:val="17"/>
                          </w:rPr>
                        </w:pPr>
                        <w:r>
                          <w:rPr>
                            <w:sz w:val="17"/>
                          </w:rPr>
                          <w:t>Have a different  capacity?</w:t>
                        </w:r>
                      </w:p>
                    </w:tc>
                  </w:tr>
                  <w:tr>
                    <w:trPr>
                      <w:trHeight w:val="234" w:hRule="exact"/>
                    </w:trPr>
                    <w:tc>
                      <w:tcPr>
                        <w:tcW w:w="4841" w:type="dxa"/>
                        <w:gridSpan w:val="5"/>
                        <w:tcBorders>
                          <w:top w:val="single" w:sz="5" w:space="0" w:color="CFD6E4"/>
                          <w:bottom w:val="single" w:sz="11" w:space="0" w:color="000000"/>
                          <w:right w:val="single" w:sz="11" w:space="0" w:color="000000"/>
                        </w:tcBorders>
                      </w:tcPr>
                      <w:p>
                        <w:pPr>
                          <w:pStyle w:val="TableParagraph"/>
                          <w:tabs>
                            <w:tab w:pos="3076" w:val="left" w:leader="none"/>
                          </w:tabs>
                          <w:spacing w:before="9"/>
                          <w:ind w:left="26"/>
                          <w:rPr>
                            <w:sz w:val="17"/>
                          </w:rPr>
                        </w:pPr>
                        <w:r>
                          <w:rPr>
                            <w:spacing w:val="5"/>
                            <w:sz w:val="17"/>
                          </w:rPr>
                          <w:t>yes,</w:t>
                        </w:r>
                        <w:r>
                          <w:rPr>
                            <w:spacing w:val="-2"/>
                            <w:sz w:val="17"/>
                          </w:rPr>
                          <w:t> </w:t>
                        </w:r>
                        <w:r>
                          <w:rPr>
                            <w:spacing w:val="-3"/>
                            <w:sz w:val="17"/>
                          </w:rPr>
                          <w:t>wich</w:t>
                        </w:r>
                        <w:r>
                          <w:rPr>
                            <w:spacing w:val="9"/>
                            <w:sz w:val="17"/>
                          </w:rPr>
                          <w:t> </w:t>
                        </w:r>
                        <w:r>
                          <w:rPr>
                            <w:spacing w:val="3"/>
                            <w:sz w:val="17"/>
                          </w:rPr>
                          <w:t>one?</w:t>
                          <w:tab/>
                        </w:r>
                        <w:r>
                          <w:rPr>
                            <w:sz w:val="17"/>
                          </w:rPr>
                          <w:t>No:</w:t>
                        </w:r>
                      </w:p>
                    </w:tc>
                  </w:tr>
                </w:tbl>
                <w:p>
                  <w:pPr>
                    <w:pStyle w:val="BodyText"/>
                  </w:pPr>
                </w:p>
              </w:txbxContent>
            </v:textbox>
            <w10:wrap type="none"/>
          </v:shape>
        </w:pict>
      </w:r>
      <w:r>
        <w:rPr>
          <w:color w:val="202020"/>
        </w:rPr>
        <w:t>Table 1. Survey on use of school backpacks</w:t>
      </w:r>
    </w:p>
    <w:p>
      <w:pPr>
        <w:spacing w:after="0"/>
        <w:jc w:val="center"/>
        <w:sectPr>
          <w:type w:val="continuous"/>
          <w:pgSz w:w="12240" w:h="15840"/>
          <w:pgMar w:top="1500" w:bottom="280" w:left="580" w:right="220"/>
          <w:cols w:num="2" w:equalWidth="0">
            <w:col w:w="5190" w:space="434"/>
            <w:col w:w="5816"/>
          </w:cols>
        </w:sectPr>
      </w:pPr>
    </w:p>
    <w:p>
      <w:pPr>
        <w:pStyle w:val="BodyText"/>
      </w:pPr>
    </w:p>
    <w:p>
      <w:pPr>
        <w:pStyle w:val="BodyText"/>
        <w:spacing w:before="4"/>
        <w:rPr>
          <w:sz w:val="23"/>
        </w:rPr>
      </w:pPr>
    </w:p>
    <w:p>
      <w:pPr>
        <w:pStyle w:val="BodyText"/>
        <w:ind w:left="284"/>
      </w:pPr>
      <w:r>
        <w:rPr/>
        <w:drawing>
          <wp:inline distT="0" distB="0" distL="0" distR="0">
            <wp:extent cx="1591818" cy="374903"/>
            <wp:effectExtent l="0" t="0" r="0" b="0"/>
            <wp:docPr id="653" name="image386.png" descr=""/>
            <wp:cNvGraphicFramePr>
              <a:graphicFrameLocks noChangeAspect="1"/>
            </wp:cNvGraphicFramePr>
            <a:graphic>
              <a:graphicData uri="http://schemas.openxmlformats.org/drawingml/2006/picture">
                <pic:pic>
                  <pic:nvPicPr>
                    <pic:cNvPr id="654" name="image386.png"/>
                    <pic:cNvPicPr/>
                  </pic:nvPicPr>
                  <pic:blipFill>
                    <a:blip r:embed="rId638" cstate="print"/>
                    <a:stretch>
                      <a:fillRect/>
                    </a:stretch>
                  </pic:blipFill>
                  <pic:spPr>
                    <a:xfrm>
                      <a:off x="0" y="0"/>
                      <a:ext cx="1591818" cy="374903"/>
                    </a:xfrm>
                    <a:prstGeom prst="rect">
                      <a:avLst/>
                    </a:prstGeom>
                  </pic:spPr>
                </pic:pic>
              </a:graphicData>
            </a:graphic>
          </wp:inline>
        </w:drawing>
      </w:r>
      <w:r>
        <w:rPr/>
      </w:r>
    </w:p>
    <w:p>
      <w:pPr>
        <w:spacing w:after="0"/>
        <w:sectPr>
          <w:type w:val="continuous"/>
          <w:pgSz w:w="12240" w:h="15840"/>
          <w:pgMar w:top="1500" w:bottom="280" w:left="580" w:right="220"/>
        </w:sectPr>
      </w:pPr>
    </w:p>
    <w:p>
      <w:pPr>
        <w:pStyle w:val="BodyText"/>
      </w:pPr>
    </w:p>
    <w:p>
      <w:pPr>
        <w:pStyle w:val="BodyText"/>
        <w:spacing w:before="11"/>
        <w:rPr>
          <w:sz w:val="19"/>
        </w:rPr>
      </w:pPr>
    </w:p>
    <w:p>
      <w:pPr>
        <w:pStyle w:val="BodyText"/>
        <w:ind w:left="270"/>
      </w:pPr>
      <w:r>
        <w:rPr>
          <w:color w:val="202020"/>
        </w:rPr>
        <w:t>Where:</w:t>
      </w:r>
    </w:p>
    <w:p>
      <w:pPr>
        <w:pStyle w:val="BodyText"/>
        <w:spacing w:line="230" w:lineRule="exact"/>
        <w:ind w:left="270"/>
      </w:pPr>
      <w:r>
        <w:rPr>
          <w:color w:val="202020"/>
        </w:rPr>
        <w:t>n : sample size .</w:t>
      </w:r>
    </w:p>
    <w:p>
      <w:pPr>
        <w:pStyle w:val="BodyText"/>
        <w:spacing w:line="230" w:lineRule="exact"/>
        <w:ind w:left="270"/>
      </w:pPr>
      <w:r>
        <w:rPr>
          <w:color w:val="202020"/>
        </w:rPr>
        <w:t>N : population size .</w:t>
      </w:r>
    </w:p>
    <w:p>
      <w:pPr>
        <w:spacing w:before="0"/>
        <w:ind w:left="270" w:right="0" w:firstLine="0"/>
        <w:jc w:val="left"/>
        <w:rPr>
          <w:sz w:val="20"/>
        </w:rPr>
      </w:pPr>
      <w:r>
        <w:rPr/>
        <w:br w:type="column"/>
      </w:r>
      <w:r>
        <w:rPr>
          <w:sz w:val="20"/>
        </w:rPr>
        <w:t>(1)</w:t>
      </w:r>
    </w:p>
    <w:p>
      <w:pPr>
        <w:spacing w:after="0"/>
        <w:jc w:val="left"/>
        <w:rPr>
          <w:sz w:val="20"/>
        </w:rPr>
        <w:sectPr>
          <w:type w:val="continuous"/>
          <w:pgSz w:w="12240" w:h="15840"/>
          <w:pgMar w:top="1500" w:bottom="280" w:left="580" w:right="220"/>
          <w:cols w:num="2" w:equalWidth="0">
            <w:col w:w="2791" w:space="1892"/>
            <w:col w:w="6757"/>
          </w:cols>
        </w:sectPr>
      </w:pPr>
    </w:p>
    <w:p>
      <w:pPr>
        <w:pStyle w:val="BodyText"/>
        <w:ind w:left="270"/>
      </w:pPr>
      <w:r>
        <w:rPr>
          <w:color w:val="202020"/>
        </w:rPr>
        <w:t>Z : corresponding to the normal distribution value , 90 % confidence , Z = 1.645 .</w:t>
      </w:r>
    </w:p>
    <w:p>
      <w:pPr>
        <w:pStyle w:val="BodyText"/>
        <w:ind w:left="270"/>
      </w:pPr>
      <w:r>
        <w:rPr>
          <w:color w:val="202020"/>
        </w:rPr>
        <w:t>p : expected prevalence of parameter to be evaluated , if unknown ( p = 0.5 ), which becomes larger the sample size . Q : 1 - p ( if p = 50 % , q = 50%)</w:t>
      </w:r>
    </w:p>
    <w:p>
      <w:pPr>
        <w:pStyle w:val="BodyText"/>
        <w:spacing w:line="229" w:lineRule="exact"/>
        <w:ind w:left="270"/>
      </w:pPr>
      <w:r>
        <w:rPr>
          <w:color w:val="202020"/>
        </w:rPr>
        <w:t>i : error which is expected to make if it is 5% , i = 0.05.</w:t>
      </w:r>
    </w:p>
    <w:p>
      <w:pPr>
        <w:pStyle w:val="BodyText"/>
      </w:pPr>
      <w:r>
        <w:rPr/>
        <w:br w:type="column"/>
      </w:r>
      <w:r>
        <w:rPr/>
      </w:r>
    </w:p>
    <w:p>
      <w:pPr>
        <w:pStyle w:val="BodyText"/>
        <w:spacing w:before="4"/>
        <w:rPr>
          <w:sz w:val="28"/>
        </w:rPr>
      </w:pPr>
    </w:p>
    <w:p>
      <w:pPr>
        <w:pStyle w:val="BodyText"/>
        <w:ind w:left="270" w:right="702"/>
      </w:pPr>
      <w:r>
        <w:rPr>
          <w:color w:val="202020"/>
        </w:rPr>
        <w:t>2.3.2 . Field observation</w:t>
      </w:r>
    </w:p>
    <w:p>
      <w:pPr>
        <w:pStyle w:val="BodyText"/>
        <w:spacing w:before="11"/>
        <w:rPr>
          <w:sz w:val="19"/>
        </w:rPr>
      </w:pPr>
    </w:p>
    <w:p>
      <w:pPr>
        <w:pStyle w:val="BodyText"/>
        <w:ind w:left="270" w:right="702"/>
      </w:pPr>
      <w:r>
        <w:rPr>
          <w:color w:val="202020"/>
        </w:rPr>
        <w:t>How infants carried backpacks observed .</w:t>
      </w:r>
    </w:p>
    <w:p>
      <w:pPr>
        <w:pStyle w:val="BodyText"/>
        <w:spacing w:before="2"/>
      </w:pPr>
    </w:p>
    <w:p>
      <w:pPr>
        <w:pStyle w:val="Heading4"/>
        <w:ind w:right="702"/>
        <w:jc w:val="left"/>
      </w:pPr>
      <w:r>
        <w:rPr>
          <w:color w:val="202020"/>
        </w:rPr>
        <w:t>2.4 . Materials and tools</w:t>
      </w:r>
    </w:p>
    <w:p>
      <w:pPr>
        <w:spacing w:after="0"/>
        <w:jc w:val="left"/>
        <w:sectPr>
          <w:type w:val="continuous"/>
          <w:pgSz w:w="12240" w:h="15840"/>
          <w:pgMar w:top="1500" w:bottom="280" w:left="580" w:right="220"/>
          <w:cols w:num="2" w:equalWidth="0">
            <w:col w:w="5188" w:space="436"/>
            <w:col w:w="5816"/>
          </w:cols>
        </w:sectPr>
      </w:pPr>
    </w:p>
    <w:p>
      <w:pPr>
        <w:pStyle w:val="BodyText"/>
        <w:spacing w:before="4"/>
        <w:rPr>
          <w:b/>
          <w:sz w:val="13"/>
        </w:rPr>
      </w:pPr>
    </w:p>
    <w:p>
      <w:pPr>
        <w:spacing w:after="0"/>
        <w:rPr>
          <w:sz w:val="13"/>
        </w:rPr>
        <w:sectPr>
          <w:type w:val="continuous"/>
          <w:pgSz w:w="12240" w:h="15840"/>
          <w:pgMar w:top="1500" w:bottom="280" w:left="580" w:right="220"/>
        </w:sectPr>
      </w:pPr>
    </w:p>
    <w:p>
      <w:pPr>
        <w:pStyle w:val="BodyText"/>
        <w:rPr>
          <w:b/>
        </w:rPr>
      </w:pPr>
    </w:p>
    <w:p>
      <w:pPr>
        <w:pStyle w:val="BodyText"/>
        <w:rPr>
          <w:b/>
        </w:rPr>
      </w:pPr>
    </w:p>
    <w:p>
      <w:pPr>
        <w:pStyle w:val="BodyText"/>
        <w:spacing w:before="8" w:after="1"/>
        <w:rPr>
          <w:b/>
          <w:sz w:val="28"/>
        </w:rPr>
      </w:pPr>
    </w:p>
    <w:p>
      <w:pPr>
        <w:spacing w:line="129" w:lineRule="exact"/>
        <w:ind w:left="284" w:right="-15" w:firstLine="0"/>
        <w:rPr>
          <w:sz w:val="12"/>
        </w:rPr>
      </w:pPr>
      <w:r>
        <w:rPr>
          <w:position w:val="-2"/>
          <w:sz w:val="8"/>
        </w:rPr>
        <w:drawing>
          <wp:inline distT="0" distB="0" distL="0" distR="0">
            <wp:extent cx="201167" cy="54864"/>
            <wp:effectExtent l="0" t="0" r="0" b="0"/>
            <wp:docPr id="655" name="image387.png" descr=""/>
            <wp:cNvGraphicFramePr>
              <a:graphicFrameLocks noChangeAspect="1"/>
            </wp:cNvGraphicFramePr>
            <a:graphic>
              <a:graphicData uri="http://schemas.openxmlformats.org/drawingml/2006/picture">
                <pic:pic>
                  <pic:nvPicPr>
                    <pic:cNvPr id="656" name="image387.png"/>
                    <pic:cNvPicPr/>
                  </pic:nvPicPr>
                  <pic:blipFill>
                    <a:blip r:embed="rId639" cstate="print"/>
                    <a:stretch>
                      <a:fillRect/>
                    </a:stretch>
                  </pic:blipFill>
                  <pic:spPr>
                    <a:xfrm>
                      <a:off x="0" y="0"/>
                      <a:ext cx="201167" cy="54864"/>
                    </a:xfrm>
                    <a:prstGeom prst="rect">
                      <a:avLst/>
                    </a:prstGeom>
                  </pic:spPr>
                </pic:pic>
              </a:graphicData>
            </a:graphic>
          </wp:inline>
        </w:drawing>
      </w:r>
      <w:r>
        <w:rPr>
          <w:position w:val="-2"/>
          <w:sz w:val="8"/>
        </w:rPr>
      </w:r>
      <w:r>
        <w:rPr>
          <w:spacing w:val="42"/>
          <w:position w:val="-2"/>
          <w:sz w:val="12"/>
        </w:rPr>
        <w:t> </w:t>
      </w:r>
      <w:r>
        <w:rPr>
          <w:spacing w:val="42"/>
          <w:position w:val="-2"/>
          <w:sz w:val="12"/>
        </w:rPr>
        <w:drawing>
          <wp:inline distT="0" distB="0" distL="0" distR="0">
            <wp:extent cx="923543" cy="82296"/>
            <wp:effectExtent l="0" t="0" r="0" b="0"/>
            <wp:docPr id="657" name="image388.png" descr=""/>
            <wp:cNvGraphicFramePr>
              <a:graphicFrameLocks noChangeAspect="1"/>
            </wp:cNvGraphicFramePr>
            <a:graphic>
              <a:graphicData uri="http://schemas.openxmlformats.org/drawingml/2006/picture">
                <pic:pic>
                  <pic:nvPicPr>
                    <pic:cNvPr id="658" name="image388.png"/>
                    <pic:cNvPicPr/>
                  </pic:nvPicPr>
                  <pic:blipFill>
                    <a:blip r:embed="rId640" cstate="print"/>
                    <a:stretch>
                      <a:fillRect/>
                    </a:stretch>
                  </pic:blipFill>
                  <pic:spPr>
                    <a:xfrm>
                      <a:off x="0" y="0"/>
                      <a:ext cx="923543" cy="82296"/>
                    </a:xfrm>
                    <a:prstGeom prst="rect">
                      <a:avLst/>
                    </a:prstGeom>
                  </pic:spPr>
                </pic:pic>
              </a:graphicData>
            </a:graphic>
          </wp:inline>
        </w:drawing>
      </w:r>
      <w:r>
        <w:rPr>
          <w:spacing w:val="42"/>
          <w:position w:val="-2"/>
          <w:sz w:val="12"/>
        </w:rPr>
      </w:r>
      <w:r>
        <w:rPr>
          <w:spacing w:val="42"/>
          <w:position w:val="-2"/>
          <w:sz w:val="12"/>
        </w:rPr>
        <w:t> </w:t>
      </w:r>
      <w:r>
        <w:rPr>
          <w:spacing w:val="42"/>
          <w:position w:val="-2"/>
          <w:sz w:val="12"/>
        </w:rPr>
        <w:drawing>
          <wp:inline distT="0" distB="0" distL="0" distR="0">
            <wp:extent cx="775715" cy="82296"/>
            <wp:effectExtent l="0" t="0" r="0" b="0"/>
            <wp:docPr id="659" name="image389.png" descr=""/>
            <wp:cNvGraphicFramePr>
              <a:graphicFrameLocks noChangeAspect="1"/>
            </wp:cNvGraphicFramePr>
            <a:graphic>
              <a:graphicData uri="http://schemas.openxmlformats.org/drawingml/2006/picture">
                <pic:pic>
                  <pic:nvPicPr>
                    <pic:cNvPr id="660" name="image389.png"/>
                    <pic:cNvPicPr/>
                  </pic:nvPicPr>
                  <pic:blipFill>
                    <a:blip r:embed="rId641" cstate="print"/>
                    <a:stretch>
                      <a:fillRect/>
                    </a:stretch>
                  </pic:blipFill>
                  <pic:spPr>
                    <a:xfrm>
                      <a:off x="0" y="0"/>
                      <a:ext cx="775715" cy="82296"/>
                    </a:xfrm>
                    <a:prstGeom prst="rect">
                      <a:avLst/>
                    </a:prstGeom>
                  </pic:spPr>
                </pic:pic>
              </a:graphicData>
            </a:graphic>
          </wp:inline>
        </w:drawing>
      </w:r>
      <w:r>
        <w:rPr>
          <w:spacing w:val="42"/>
          <w:position w:val="-2"/>
          <w:sz w:val="12"/>
        </w:rPr>
      </w:r>
    </w:p>
    <w:p>
      <w:pPr>
        <w:pStyle w:val="BodyText"/>
        <w:spacing w:before="10"/>
        <w:rPr>
          <w:b/>
          <w:sz w:val="24"/>
        </w:rPr>
      </w:pPr>
    </w:p>
    <w:p>
      <w:pPr>
        <w:pStyle w:val="Heading4"/>
        <w:ind w:right="-15"/>
        <w:jc w:val="left"/>
      </w:pPr>
      <w:r>
        <w:rPr>
          <w:color w:val="202020"/>
        </w:rPr>
        <w:t>2.3. Techniques and tools for data collection</w:t>
      </w:r>
    </w:p>
    <w:p>
      <w:pPr>
        <w:pStyle w:val="BodyText"/>
        <w:spacing w:before="8"/>
        <w:rPr>
          <w:b/>
          <w:sz w:val="19"/>
        </w:rPr>
      </w:pPr>
    </w:p>
    <w:p>
      <w:pPr>
        <w:pStyle w:val="BodyText"/>
        <w:ind w:left="270" w:right="-15"/>
      </w:pPr>
      <w:r>
        <w:rPr>
          <w:color w:val="202020"/>
        </w:rPr>
        <w:t>2.3.1 . Poll</w:t>
      </w:r>
    </w:p>
    <w:p>
      <w:pPr>
        <w:pStyle w:val="BodyText"/>
        <w:spacing w:before="9"/>
        <w:rPr>
          <w:sz w:val="23"/>
        </w:rPr>
      </w:pPr>
      <w:r>
        <w:rPr/>
        <w:br w:type="column"/>
      </w:r>
      <w:r>
        <w:rPr>
          <w:sz w:val="23"/>
        </w:rPr>
      </w:r>
    </w:p>
    <w:p>
      <w:pPr>
        <w:pStyle w:val="BodyText"/>
        <w:ind w:left="270" w:right="-19"/>
      </w:pPr>
      <w:r>
        <w:rPr/>
        <w:pict>
          <v:group style="position:absolute;margin-left:43.200001pt;margin-top:-25.464384pt;width:221.7pt;height:25.65pt;mso-position-horizontal-relative:page;mso-position-vertical-relative:paragraph;z-index:15856" coordorigin="864,-509" coordsize="4434,513">
            <v:shape style="position:absolute;left:864;top:-260;width:317;height:94" type="#_x0000_t75" stroked="false">
              <v:imagedata r:id="rId639" o:title=""/>
            </v:shape>
            <v:shape style="position:absolute;left:1245;top:-509;width:4052;height:512" type="#_x0000_t75" stroked="false">
              <v:imagedata r:id="rId642" o:title=""/>
            </v:shape>
            <w10:wrap type="none"/>
          </v:group>
        </w:pict>
      </w:r>
      <w:r>
        <w:rPr/>
        <w:t>(2)</w:t>
      </w:r>
    </w:p>
    <w:p>
      <w:pPr>
        <w:pStyle w:val="ListParagraph"/>
        <w:numPr>
          <w:ilvl w:val="0"/>
          <w:numId w:val="108"/>
        </w:numPr>
        <w:tabs>
          <w:tab w:pos="391" w:val="left" w:leader="none"/>
        </w:tabs>
        <w:spacing w:line="230" w:lineRule="exact" w:before="75" w:after="0"/>
        <w:ind w:left="390" w:right="0" w:hanging="120"/>
        <w:jc w:val="left"/>
        <w:rPr>
          <w:color w:val="202020"/>
          <w:sz w:val="20"/>
        </w:rPr>
      </w:pPr>
      <w:r>
        <w:rPr>
          <w:color w:val="202020"/>
          <w:w w:val="100"/>
          <w:sz w:val="20"/>
        </w:rPr>
        <w:br w:type="column"/>
      </w:r>
      <w:r>
        <w:rPr>
          <w:color w:val="202020"/>
          <w:sz w:val="20"/>
        </w:rPr>
        <w:t>Personal</w:t>
      </w:r>
      <w:r>
        <w:rPr>
          <w:color w:val="202020"/>
          <w:spacing w:val="-8"/>
          <w:sz w:val="20"/>
        </w:rPr>
        <w:t> </w:t>
      </w:r>
      <w:r>
        <w:rPr>
          <w:color w:val="202020"/>
          <w:sz w:val="20"/>
        </w:rPr>
        <w:t>computer</w:t>
      </w:r>
    </w:p>
    <w:p>
      <w:pPr>
        <w:pStyle w:val="ListParagraph"/>
        <w:numPr>
          <w:ilvl w:val="0"/>
          <w:numId w:val="108"/>
        </w:numPr>
        <w:tabs>
          <w:tab w:pos="391" w:val="left" w:leader="none"/>
        </w:tabs>
        <w:spacing w:line="230" w:lineRule="exact" w:before="0" w:after="0"/>
        <w:ind w:left="391" w:right="0" w:hanging="121"/>
        <w:jc w:val="left"/>
        <w:rPr>
          <w:color w:val="202020"/>
          <w:sz w:val="20"/>
        </w:rPr>
      </w:pPr>
      <w:r>
        <w:rPr>
          <w:color w:val="202020"/>
          <w:sz w:val="20"/>
        </w:rPr>
        <w:t>Format</w:t>
      </w:r>
      <w:r>
        <w:rPr>
          <w:color w:val="202020"/>
          <w:spacing w:val="-7"/>
          <w:sz w:val="20"/>
        </w:rPr>
        <w:t> </w:t>
      </w:r>
      <w:r>
        <w:rPr>
          <w:color w:val="202020"/>
          <w:sz w:val="20"/>
        </w:rPr>
        <w:t>survey</w:t>
      </w:r>
    </w:p>
    <w:p>
      <w:pPr>
        <w:pStyle w:val="ListParagraph"/>
        <w:numPr>
          <w:ilvl w:val="0"/>
          <w:numId w:val="108"/>
        </w:numPr>
        <w:tabs>
          <w:tab w:pos="391" w:val="left" w:leader="none"/>
        </w:tabs>
        <w:spacing w:line="230" w:lineRule="exact" w:before="0" w:after="0"/>
        <w:ind w:left="390" w:right="0" w:hanging="120"/>
        <w:jc w:val="left"/>
        <w:rPr>
          <w:color w:val="202020"/>
          <w:sz w:val="20"/>
        </w:rPr>
      </w:pPr>
      <w:r>
        <w:rPr>
          <w:color w:val="202020"/>
          <w:sz w:val="20"/>
        </w:rPr>
        <w:t>Book</w:t>
      </w:r>
      <w:r>
        <w:rPr>
          <w:color w:val="202020"/>
          <w:spacing w:val="-6"/>
          <w:sz w:val="20"/>
        </w:rPr>
        <w:t> </w:t>
      </w:r>
      <w:r>
        <w:rPr>
          <w:color w:val="202020"/>
          <w:sz w:val="20"/>
        </w:rPr>
        <w:t>entries</w:t>
      </w:r>
    </w:p>
    <w:p>
      <w:pPr>
        <w:pStyle w:val="ListParagraph"/>
        <w:numPr>
          <w:ilvl w:val="0"/>
          <w:numId w:val="108"/>
        </w:numPr>
        <w:tabs>
          <w:tab w:pos="392" w:val="left" w:leader="none"/>
        </w:tabs>
        <w:spacing w:line="230" w:lineRule="exact" w:before="0" w:after="0"/>
        <w:ind w:left="391" w:right="0" w:hanging="121"/>
        <w:jc w:val="left"/>
        <w:rPr>
          <w:color w:val="202020"/>
          <w:sz w:val="20"/>
        </w:rPr>
      </w:pPr>
      <w:r>
        <w:rPr>
          <w:color w:val="202020"/>
          <w:sz w:val="20"/>
        </w:rPr>
        <w:t>Scale with stadiometer brand</w:t>
      </w:r>
      <w:r>
        <w:rPr>
          <w:color w:val="202020"/>
          <w:spacing w:val="-24"/>
          <w:sz w:val="20"/>
        </w:rPr>
        <w:t> </w:t>
      </w:r>
      <w:r>
        <w:rPr>
          <w:color w:val="202020"/>
          <w:sz w:val="20"/>
        </w:rPr>
        <w:t>BAME</w:t>
      </w:r>
    </w:p>
    <w:p>
      <w:pPr>
        <w:pStyle w:val="ListParagraph"/>
        <w:numPr>
          <w:ilvl w:val="0"/>
          <w:numId w:val="108"/>
        </w:numPr>
        <w:tabs>
          <w:tab w:pos="391" w:val="left" w:leader="none"/>
        </w:tabs>
        <w:spacing w:line="240" w:lineRule="auto" w:before="0" w:after="0"/>
        <w:ind w:left="390" w:right="0" w:hanging="120"/>
        <w:jc w:val="left"/>
        <w:rPr>
          <w:color w:val="202020"/>
          <w:sz w:val="20"/>
        </w:rPr>
      </w:pPr>
      <w:r>
        <w:rPr>
          <w:color w:val="202020"/>
          <w:sz w:val="20"/>
        </w:rPr>
        <w:t>Pencil and</w:t>
      </w:r>
      <w:r>
        <w:rPr>
          <w:color w:val="202020"/>
          <w:spacing w:val="-4"/>
          <w:sz w:val="20"/>
        </w:rPr>
        <w:t> </w:t>
      </w:r>
      <w:r>
        <w:rPr>
          <w:color w:val="202020"/>
          <w:sz w:val="20"/>
        </w:rPr>
        <w:t>pen</w:t>
      </w:r>
    </w:p>
    <w:p>
      <w:pPr>
        <w:pStyle w:val="ListParagraph"/>
        <w:numPr>
          <w:ilvl w:val="0"/>
          <w:numId w:val="108"/>
        </w:numPr>
        <w:tabs>
          <w:tab w:pos="391" w:val="left" w:leader="none"/>
        </w:tabs>
        <w:spacing w:line="240" w:lineRule="auto" w:before="0" w:after="0"/>
        <w:ind w:left="390" w:right="0" w:hanging="120"/>
        <w:jc w:val="left"/>
        <w:rPr>
          <w:color w:val="202020"/>
          <w:sz w:val="20"/>
        </w:rPr>
      </w:pPr>
      <w:r>
        <w:rPr>
          <w:color w:val="202020"/>
          <w:sz w:val="20"/>
        </w:rPr>
        <w:t>Software</w:t>
      </w:r>
      <w:r>
        <w:rPr>
          <w:color w:val="202020"/>
          <w:spacing w:val="-6"/>
          <w:sz w:val="20"/>
        </w:rPr>
        <w:t> </w:t>
      </w:r>
      <w:r>
        <w:rPr>
          <w:color w:val="202020"/>
          <w:sz w:val="20"/>
        </w:rPr>
        <w:t>Excel</w:t>
      </w:r>
    </w:p>
    <w:p>
      <w:pPr>
        <w:spacing w:after="0" w:line="240" w:lineRule="auto"/>
        <w:jc w:val="left"/>
        <w:rPr>
          <w:sz w:val="20"/>
        </w:rPr>
        <w:sectPr>
          <w:type w:val="continuous"/>
          <w:pgSz w:w="12240" w:h="15840"/>
          <w:pgMar w:top="1500" w:bottom="280" w:left="580" w:right="220"/>
          <w:cols w:num="3" w:equalWidth="0">
            <w:col w:w="4020" w:space="664"/>
            <w:col w:w="505" w:space="436"/>
            <w:col w:w="5815"/>
          </w:cols>
        </w:sectPr>
      </w:pPr>
    </w:p>
    <w:p>
      <w:pPr>
        <w:pStyle w:val="BodyText"/>
        <w:spacing w:before="6"/>
        <w:rPr>
          <w:sz w:val="11"/>
        </w:rPr>
      </w:pPr>
    </w:p>
    <w:p>
      <w:pPr>
        <w:pStyle w:val="Heading4"/>
        <w:numPr>
          <w:ilvl w:val="0"/>
          <w:numId w:val="141"/>
        </w:numPr>
        <w:tabs>
          <w:tab w:pos="472" w:val="left" w:leader="none"/>
        </w:tabs>
        <w:spacing w:line="240" w:lineRule="auto" w:before="75" w:after="0"/>
        <w:ind w:left="471" w:right="0" w:hanging="201"/>
        <w:jc w:val="left"/>
        <w:rPr>
          <w:color w:val="202020"/>
        </w:rPr>
      </w:pPr>
      <w:r>
        <w:rPr/>
        <w:pict>
          <v:shape style="position:absolute;margin-left:333.225006pt;margin-top:3.78601pt;width:225.35pt;height:205.75pt;mso-position-horizontal-relative:page;mso-position-vertical-relative:paragraph;z-index:15904" type="#_x0000_t202" filled="false" stroked="false">
            <v:textbox inset="0,0,0,0">
              <w:txbxContent>
                <w:tbl>
                  <w:tblPr>
                    <w:tblW w:w="0" w:type="auto"/>
                    <w:jc w:val="lef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515"/>
                    <w:gridCol w:w="1514"/>
                    <w:gridCol w:w="720"/>
                    <w:gridCol w:w="720"/>
                  </w:tblGrid>
                  <w:tr>
                    <w:trPr>
                      <w:trHeight w:val="254" w:hRule="exact"/>
                    </w:trPr>
                    <w:tc>
                      <w:tcPr>
                        <w:tcW w:w="3029" w:type="dxa"/>
                        <w:gridSpan w:val="2"/>
                        <w:tcBorders>
                          <w:left w:val="single" w:sz="6" w:space="0" w:color="000000"/>
                          <w:bottom w:val="single" w:sz="6" w:space="0" w:color="CFD6E4"/>
                          <w:right w:val="single" w:sz="6" w:space="0" w:color="CFD6E4"/>
                        </w:tcBorders>
                      </w:tcPr>
                      <w:p>
                        <w:pPr>
                          <w:pStyle w:val="TableParagraph"/>
                          <w:spacing w:before="16"/>
                          <w:ind w:left="31"/>
                          <w:rPr>
                            <w:b/>
                            <w:sz w:val="19"/>
                          </w:rPr>
                        </w:pPr>
                        <w:r>
                          <w:rPr>
                            <w:b/>
                            <w:w w:val="105"/>
                            <w:sz w:val="19"/>
                          </w:rPr>
                          <w:t>AGE: 9-11 YEARS (n= 166)</w:t>
                        </w:r>
                      </w:p>
                    </w:tc>
                    <w:tc>
                      <w:tcPr>
                        <w:tcW w:w="720" w:type="dxa"/>
                        <w:tcBorders>
                          <w:left w:val="single" w:sz="6" w:space="0" w:color="CFD6E4"/>
                          <w:bottom w:val="single" w:sz="6" w:space="0" w:color="CFD6E4"/>
                          <w:right w:val="single" w:sz="6" w:space="0" w:color="CFD6E4"/>
                        </w:tcBorders>
                      </w:tcPr>
                      <w:p>
                        <w:pPr/>
                      </w:p>
                    </w:tc>
                    <w:tc>
                      <w:tcPr>
                        <w:tcW w:w="720" w:type="dxa"/>
                        <w:tcBorders>
                          <w:left w:val="single" w:sz="6" w:space="0" w:color="CFD6E4"/>
                          <w:bottom w:val="single" w:sz="6" w:space="0" w:color="CFD6E4"/>
                          <w:right w:val="single" w:sz="12" w:space="0" w:color="000000"/>
                        </w:tcBorders>
                      </w:tcPr>
                      <w:p>
                        <w:pPr/>
                      </w:p>
                    </w:tc>
                  </w:tr>
                  <w:tr>
                    <w:trPr>
                      <w:trHeight w:val="256" w:hRule="exact"/>
                    </w:trPr>
                    <w:tc>
                      <w:tcPr>
                        <w:tcW w:w="1515" w:type="dxa"/>
                        <w:tcBorders>
                          <w:top w:val="single" w:sz="6" w:space="0" w:color="CFD6E4"/>
                          <w:left w:val="single" w:sz="6" w:space="0" w:color="000000"/>
                          <w:bottom w:val="single" w:sz="6" w:space="0" w:color="000000"/>
                          <w:right w:val="single" w:sz="6" w:space="0" w:color="CFD6E4"/>
                        </w:tcBorders>
                      </w:tcPr>
                      <w:p>
                        <w:pPr/>
                      </w:p>
                    </w:tc>
                    <w:tc>
                      <w:tcPr>
                        <w:tcW w:w="1514" w:type="dxa"/>
                        <w:tcBorders>
                          <w:top w:val="single" w:sz="6" w:space="0" w:color="CFD6E4"/>
                          <w:left w:val="single" w:sz="6" w:space="0" w:color="CFD6E4"/>
                          <w:bottom w:val="single" w:sz="6" w:space="0" w:color="000000"/>
                          <w:right w:val="single" w:sz="6" w:space="0" w:color="CFD6E4"/>
                        </w:tcBorders>
                      </w:tcPr>
                      <w:p>
                        <w:pPr/>
                      </w:p>
                    </w:tc>
                    <w:tc>
                      <w:tcPr>
                        <w:tcW w:w="720" w:type="dxa"/>
                        <w:tcBorders>
                          <w:top w:val="single" w:sz="6" w:space="0" w:color="CFD6E4"/>
                          <w:left w:val="single" w:sz="6" w:space="0" w:color="CFD6E4"/>
                          <w:bottom w:val="single" w:sz="6" w:space="0" w:color="000000"/>
                          <w:right w:val="single" w:sz="6" w:space="0" w:color="CFD6E4"/>
                        </w:tcBorders>
                      </w:tcPr>
                      <w:p>
                        <w:pPr>
                          <w:pStyle w:val="TableParagraph"/>
                          <w:spacing w:before="13"/>
                          <w:ind w:right="12"/>
                          <w:jc w:val="right"/>
                          <w:rPr>
                            <w:sz w:val="19"/>
                          </w:rPr>
                        </w:pPr>
                        <w:r>
                          <w:rPr>
                            <w:sz w:val="19"/>
                          </w:rPr>
                          <w:t>TOTAL</w:t>
                        </w:r>
                      </w:p>
                    </w:tc>
                    <w:tc>
                      <w:tcPr>
                        <w:tcW w:w="720" w:type="dxa"/>
                        <w:tcBorders>
                          <w:top w:val="single" w:sz="6" w:space="0" w:color="CFD6E4"/>
                          <w:left w:val="single" w:sz="6" w:space="0" w:color="CFD6E4"/>
                          <w:bottom w:val="single" w:sz="6" w:space="0" w:color="000000"/>
                          <w:right w:val="single" w:sz="12" w:space="0" w:color="000000"/>
                        </w:tcBorders>
                      </w:tcPr>
                      <w:p>
                        <w:pPr>
                          <w:pStyle w:val="TableParagraph"/>
                          <w:spacing w:before="13"/>
                          <w:ind w:left="5"/>
                          <w:jc w:val="center"/>
                          <w:rPr>
                            <w:sz w:val="19"/>
                          </w:rPr>
                        </w:pPr>
                        <w:r>
                          <w:rPr>
                            <w:w w:val="102"/>
                            <w:sz w:val="19"/>
                          </w:rPr>
                          <w:t>%</w:t>
                        </w:r>
                      </w:p>
                    </w:tc>
                  </w:tr>
                  <w:tr>
                    <w:trPr>
                      <w:trHeight w:val="256" w:hRule="exact"/>
                    </w:trPr>
                    <w:tc>
                      <w:tcPr>
                        <w:tcW w:w="1515" w:type="dxa"/>
                        <w:tcBorders>
                          <w:top w:val="single" w:sz="6" w:space="0" w:color="000000"/>
                          <w:left w:val="single" w:sz="6" w:space="0" w:color="000000"/>
                          <w:bottom w:val="single" w:sz="6" w:space="0" w:color="CFD6E4"/>
                        </w:tcBorders>
                      </w:tcPr>
                      <w:p>
                        <w:pPr>
                          <w:pStyle w:val="TableParagraph"/>
                          <w:spacing w:before="13"/>
                          <w:ind w:left="31" w:right="-8"/>
                          <w:rPr>
                            <w:sz w:val="19"/>
                          </w:rPr>
                        </w:pPr>
                        <w:r>
                          <w:rPr>
                            <w:w w:val="105"/>
                            <w:sz w:val="19"/>
                          </w:rPr>
                          <w:t>GENDER</w:t>
                        </w:r>
                      </w:p>
                    </w:tc>
                    <w:tc>
                      <w:tcPr>
                        <w:tcW w:w="1514" w:type="dxa"/>
                        <w:tcBorders>
                          <w:top w:val="single" w:sz="6" w:space="0" w:color="000000"/>
                          <w:bottom w:val="single" w:sz="6" w:space="0" w:color="CFD6E4"/>
                          <w:right w:val="single" w:sz="6" w:space="0" w:color="000000"/>
                        </w:tcBorders>
                      </w:tcPr>
                      <w:p>
                        <w:pPr>
                          <w:pStyle w:val="TableParagraph"/>
                          <w:spacing w:before="13"/>
                          <w:ind w:left="15"/>
                          <w:jc w:val="center"/>
                          <w:rPr>
                            <w:sz w:val="19"/>
                          </w:rPr>
                        </w:pPr>
                        <w:r>
                          <w:rPr>
                            <w:w w:val="105"/>
                            <w:sz w:val="19"/>
                          </w:rPr>
                          <w:t>FEMALE</w:t>
                        </w:r>
                      </w:p>
                    </w:tc>
                    <w:tc>
                      <w:tcPr>
                        <w:tcW w:w="720" w:type="dxa"/>
                        <w:tcBorders>
                          <w:top w:val="single" w:sz="6" w:space="0" w:color="000000"/>
                          <w:left w:val="single" w:sz="6" w:space="0" w:color="000000"/>
                          <w:bottom w:val="single" w:sz="6" w:space="0" w:color="CFD6E4"/>
                          <w:right w:val="single" w:sz="6" w:space="0" w:color="000000"/>
                        </w:tcBorders>
                      </w:tcPr>
                      <w:p>
                        <w:pPr>
                          <w:pStyle w:val="TableParagraph"/>
                          <w:spacing w:before="13"/>
                          <w:ind w:right="26"/>
                          <w:jc w:val="right"/>
                          <w:rPr>
                            <w:sz w:val="19"/>
                          </w:rPr>
                        </w:pPr>
                        <w:r>
                          <w:rPr>
                            <w:sz w:val="19"/>
                          </w:rPr>
                          <w:t>82</w:t>
                        </w:r>
                      </w:p>
                    </w:tc>
                    <w:tc>
                      <w:tcPr>
                        <w:tcW w:w="720" w:type="dxa"/>
                        <w:tcBorders>
                          <w:top w:val="single" w:sz="6" w:space="0" w:color="000000"/>
                          <w:left w:val="single" w:sz="6" w:space="0" w:color="000000"/>
                          <w:bottom w:val="single" w:sz="6" w:space="0" w:color="CFD6E4"/>
                          <w:right w:val="single" w:sz="6" w:space="0" w:color="000000"/>
                        </w:tcBorders>
                      </w:tcPr>
                      <w:p>
                        <w:pPr>
                          <w:pStyle w:val="TableParagraph"/>
                          <w:spacing w:before="13"/>
                          <w:ind w:left="66" w:right="5"/>
                          <w:jc w:val="center"/>
                          <w:rPr>
                            <w:sz w:val="19"/>
                          </w:rPr>
                        </w:pPr>
                        <w:r>
                          <w:rPr>
                            <w:spacing w:val="-8"/>
                            <w:w w:val="105"/>
                            <w:sz w:val="19"/>
                          </w:rPr>
                          <w:t>49.3976</w:t>
                        </w:r>
                      </w:p>
                    </w:tc>
                  </w:tr>
                  <w:tr>
                    <w:trPr>
                      <w:trHeight w:val="256" w:hRule="exact"/>
                    </w:trPr>
                    <w:tc>
                      <w:tcPr>
                        <w:tcW w:w="1515" w:type="dxa"/>
                        <w:tcBorders>
                          <w:top w:val="single" w:sz="6" w:space="0" w:color="CFD6E4"/>
                          <w:left w:val="single" w:sz="6" w:space="0" w:color="000000"/>
                        </w:tcBorders>
                      </w:tcPr>
                      <w:p>
                        <w:pPr/>
                      </w:p>
                    </w:tc>
                    <w:tc>
                      <w:tcPr>
                        <w:tcW w:w="1514" w:type="dxa"/>
                        <w:tcBorders>
                          <w:top w:val="single" w:sz="6" w:space="0" w:color="CFD6E4"/>
                          <w:right w:val="single" w:sz="6" w:space="0" w:color="000000"/>
                        </w:tcBorders>
                      </w:tcPr>
                      <w:p>
                        <w:pPr>
                          <w:pStyle w:val="TableParagraph"/>
                          <w:spacing w:before="12"/>
                          <w:ind w:left="15"/>
                          <w:jc w:val="center"/>
                          <w:rPr>
                            <w:sz w:val="19"/>
                          </w:rPr>
                        </w:pPr>
                        <w:r>
                          <w:rPr>
                            <w:w w:val="105"/>
                            <w:sz w:val="19"/>
                          </w:rPr>
                          <w:t>MALE</w:t>
                        </w:r>
                      </w:p>
                    </w:tc>
                    <w:tc>
                      <w:tcPr>
                        <w:tcW w:w="720" w:type="dxa"/>
                        <w:tcBorders>
                          <w:top w:val="single" w:sz="6" w:space="0" w:color="CFD6E4"/>
                          <w:left w:val="single" w:sz="6" w:space="0" w:color="000000"/>
                          <w:right w:val="single" w:sz="6" w:space="0" w:color="000000"/>
                        </w:tcBorders>
                      </w:tcPr>
                      <w:p>
                        <w:pPr>
                          <w:pStyle w:val="TableParagraph"/>
                          <w:spacing w:before="12"/>
                          <w:ind w:right="26"/>
                          <w:jc w:val="right"/>
                          <w:rPr>
                            <w:sz w:val="19"/>
                          </w:rPr>
                        </w:pPr>
                        <w:r>
                          <w:rPr>
                            <w:sz w:val="19"/>
                          </w:rPr>
                          <w:t>84</w:t>
                        </w:r>
                      </w:p>
                    </w:tc>
                    <w:tc>
                      <w:tcPr>
                        <w:tcW w:w="720" w:type="dxa"/>
                        <w:tcBorders>
                          <w:top w:val="single" w:sz="6" w:space="0" w:color="CFD6E4"/>
                          <w:left w:val="single" w:sz="6" w:space="0" w:color="000000"/>
                          <w:right w:val="single" w:sz="6" w:space="0" w:color="000000"/>
                        </w:tcBorders>
                      </w:tcPr>
                      <w:p>
                        <w:pPr>
                          <w:pStyle w:val="TableParagraph"/>
                          <w:spacing w:before="12"/>
                          <w:ind w:left="66" w:right="5"/>
                          <w:jc w:val="center"/>
                          <w:rPr>
                            <w:sz w:val="19"/>
                          </w:rPr>
                        </w:pPr>
                        <w:r>
                          <w:rPr>
                            <w:spacing w:val="-8"/>
                            <w:w w:val="105"/>
                            <w:sz w:val="19"/>
                          </w:rPr>
                          <w:t>50.6024</w:t>
                        </w:r>
                      </w:p>
                    </w:tc>
                  </w:tr>
                  <w:tr>
                    <w:trPr>
                      <w:trHeight w:val="254" w:hRule="exact"/>
                    </w:trPr>
                    <w:tc>
                      <w:tcPr>
                        <w:tcW w:w="1515" w:type="dxa"/>
                        <w:tcBorders>
                          <w:left w:val="single" w:sz="6" w:space="0" w:color="000000"/>
                          <w:bottom w:val="single" w:sz="6" w:space="0" w:color="CFD6E4"/>
                        </w:tcBorders>
                      </w:tcPr>
                      <w:p>
                        <w:pPr/>
                      </w:p>
                    </w:tc>
                    <w:tc>
                      <w:tcPr>
                        <w:tcW w:w="1514" w:type="dxa"/>
                        <w:tcBorders>
                          <w:bottom w:val="single" w:sz="6" w:space="0" w:color="CFD6E4"/>
                          <w:right w:val="single" w:sz="6" w:space="0" w:color="000000"/>
                        </w:tcBorders>
                      </w:tcPr>
                      <w:p>
                        <w:pPr>
                          <w:pStyle w:val="TableParagraph"/>
                          <w:spacing w:before="12"/>
                          <w:ind w:left="15"/>
                          <w:jc w:val="center"/>
                          <w:rPr>
                            <w:sz w:val="19"/>
                          </w:rPr>
                        </w:pPr>
                        <w:r>
                          <w:rPr>
                            <w:w w:val="105"/>
                            <w:sz w:val="19"/>
                          </w:rPr>
                          <w:t>FEMALE</w:t>
                        </w:r>
                      </w:p>
                    </w:tc>
                    <w:tc>
                      <w:tcPr>
                        <w:tcW w:w="1440" w:type="dxa"/>
                        <w:gridSpan w:val="2"/>
                        <w:tcBorders>
                          <w:left w:val="single" w:sz="6" w:space="0" w:color="000000"/>
                          <w:bottom w:val="single" w:sz="6" w:space="0" w:color="CFD6E4"/>
                          <w:right w:val="single" w:sz="6" w:space="0" w:color="000000"/>
                        </w:tcBorders>
                      </w:tcPr>
                      <w:p>
                        <w:pPr>
                          <w:pStyle w:val="TableParagraph"/>
                          <w:spacing w:before="12"/>
                          <w:ind w:left="450"/>
                          <w:rPr>
                            <w:sz w:val="19"/>
                          </w:rPr>
                        </w:pPr>
                        <w:r>
                          <w:rPr>
                            <w:w w:val="105"/>
                            <w:sz w:val="19"/>
                          </w:rPr>
                          <w:t>MALE</w:t>
                        </w:r>
                      </w:p>
                    </w:tc>
                  </w:tr>
                  <w:tr>
                    <w:trPr>
                      <w:trHeight w:val="256" w:hRule="exact"/>
                    </w:trPr>
                    <w:tc>
                      <w:tcPr>
                        <w:tcW w:w="1515" w:type="dxa"/>
                        <w:tcBorders>
                          <w:top w:val="single" w:sz="6" w:space="0" w:color="CFD6E4"/>
                          <w:left w:val="single" w:sz="6" w:space="0" w:color="000000"/>
                          <w:bottom w:val="single" w:sz="6" w:space="0" w:color="CFD6E4"/>
                        </w:tcBorders>
                      </w:tcPr>
                      <w:p>
                        <w:pPr>
                          <w:pStyle w:val="TableParagraph"/>
                          <w:spacing w:before="13"/>
                          <w:ind w:left="31" w:right="-8"/>
                          <w:rPr>
                            <w:sz w:val="19"/>
                          </w:rPr>
                        </w:pPr>
                        <w:r>
                          <w:rPr>
                            <w:w w:val="105"/>
                            <w:sz w:val="19"/>
                          </w:rPr>
                          <w:t>WEIGHT (KG)</w:t>
                        </w:r>
                      </w:p>
                    </w:tc>
                    <w:tc>
                      <w:tcPr>
                        <w:tcW w:w="1514" w:type="dxa"/>
                        <w:tcBorders>
                          <w:top w:val="single" w:sz="6" w:space="0" w:color="CFD6E4"/>
                          <w:bottom w:val="single" w:sz="6" w:space="0" w:color="CFD6E4"/>
                          <w:right w:val="single" w:sz="6" w:space="0" w:color="000000"/>
                        </w:tcBorders>
                      </w:tcPr>
                      <w:p>
                        <w:pPr>
                          <w:pStyle w:val="TableParagraph"/>
                          <w:spacing w:before="13"/>
                          <w:ind w:left="8"/>
                          <w:jc w:val="center"/>
                          <w:rPr>
                            <w:sz w:val="19"/>
                          </w:rPr>
                        </w:pPr>
                        <w:r>
                          <w:rPr>
                            <w:w w:val="105"/>
                            <w:sz w:val="19"/>
                          </w:rPr>
                          <w:t>26.43 +2.15</w:t>
                        </w:r>
                      </w:p>
                    </w:tc>
                    <w:tc>
                      <w:tcPr>
                        <w:tcW w:w="1440" w:type="dxa"/>
                        <w:gridSpan w:val="2"/>
                        <w:tcBorders>
                          <w:top w:val="single" w:sz="6" w:space="0" w:color="CFD6E4"/>
                          <w:left w:val="single" w:sz="6" w:space="0" w:color="000000"/>
                          <w:bottom w:val="single" w:sz="6" w:space="0" w:color="CFD6E4"/>
                          <w:right w:val="single" w:sz="6" w:space="0" w:color="000000"/>
                        </w:tcBorders>
                      </w:tcPr>
                      <w:p>
                        <w:pPr>
                          <w:pStyle w:val="TableParagraph"/>
                          <w:spacing w:before="13"/>
                          <w:ind w:left="30"/>
                          <w:rPr>
                            <w:sz w:val="19"/>
                          </w:rPr>
                        </w:pPr>
                        <w:r>
                          <w:rPr>
                            <w:w w:val="105"/>
                            <w:sz w:val="19"/>
                          </w:rPr>
                          <w:t>42.32+2.54</w:t>
                        </w:r>
                      </w:p>
                    </w:tc>
                  </w:tr>
                  <w:tr>
                    <w:trPr>
                      <w:trHeight w:val="256" w:hRule="exact"/>
                    </w:trPr>
                    <w:tc>
                      <w:tcPr>
                        <w:tcW w:w="1515" w:type="dxa"/>
                        <w:tcBorders>
                          <w:top w:val="single" w:sz="6" w:space="0" w:color="CFD6E4"/>
                          <w:left w:val="single" w:sz="6" w:space="0" w:color="000000"/>
                          <w:bottom w:val="single" w:sz="6" w:space="0" w:color="CFD6E4"/>
                        </w:tcBorders>
                      </w:tcPr>
                      <w:p>
                        <w:pPr>
                          <w:pStyle w:val="TableParagraph"/>
                          <w:spacing w:before="13"/>
                          <w:ind w:left="31" w:right="-8"/>
                          <w:rPr>
                            <w:sz w:val="19"/>
                          </w:rPr>
                        </w:pPr>
                        <w:r>
                          <w:rPr>
                            <w:w w:val="105"/>
                            <w:sz w:val="19"/>
                          </w:rPr>
                          <w:t>HEIGHT (CM)</w:t>
                        </w:r>
                      </w:p>
                    </w:tc>
                    <w:tc>
                      <w:tcPr>
                        <w:tcW w:w="1514" w:type="dxa"/>
                        <w:tcBorders>
                          <w:top w:val="single" w:sz="6" w:space="0" w:color="CFD6E4"/>
                          <w:bottom w:val="single" w:sz="6" w:space="0" w:color="CFD6E4"/>
                          <w:right w:val="single" w:sz="6" w:space="0" w:color="000000"/>
                        </w:tcBorders>
                      </w:tcPr>
                      <w:p>
                        <w:pPr>
                          <w:pStyle w:val="TableParagraph"/>
                          <w:spacing w:before="13"/>
                          <w:ind w:left="16"/>
                          <w:jc w:val="center"/>
                          <w:rPr>
                            <w:sz w:val="19"/>
                          </w:rPr>
                        </w:pPr>
                        <w:r>
                          <w:rPr>
                            <w:w w:val="105"/>
                            <w:sz w:val="19"/>
                          </w:rPr>
                          <w:t>126.33+2.08</w:t>
                        </w:r>
                      </w:p>
                    </w:tc>
                    <w:tc>
                      <w:tcPr>
                        <w:tcW w:w="1440" w:type="dxa"/>
                        <w:gridSpan w:val="2"/>
                        <w:tcBorders>
                          <w:top w:val="single" w:sz="6" w:space="0" w:color="CFD6E4"/>
                          <w:left w:val="single" w:sz="6" w:space="0" w:color="000000"/>
                          <w:bottom w:val="single" w:sz="6" w:space="0" w:color="CFD6E4"/>
                          <w:right w:val="single" w:sz="6" w:space="0" w:color="000000"/>
                        </w:tcBorders>
                      </w:tcPr>
                      <w:p>
                        <w:pPr>
                          <w:pStyle w:val="TableParagraph"/>
                          <w:spacing w:before="13"/>
                          <w:ind w:left="30"/>
                          <w:rPr>
                            <w:sz w:val="19"/>
                          </w:rPr>
                        </w:pPr>
                        <w:r>
                          <w:rPr>
                            <w:w w:val="105"/>
                            <w:sz w:val="19"/>
                          </w:rPr>
                          <w:t>145.10+1.90</w:t>
                        </w:r>
                      </w:p>
                    </w:tc>
                  </w:tr>
                  <w:tr>
                    <w:trPr>
                      <w:trHeight w:val="256" w:hRule="exact"/>
                    </w:trPr>
                    <w:tc>
                      <w:tcPr>
                        <w:tcW w:w="1515" w:type="dxa"/>
                        <w:tcBorders>
                          <w:top w:val="single" w:sz="6" w:space="0" w:color="CFD6E4"/>
                          <w:left w:val="single" w:sz="6" w:space="0" w:color="000000"/>
                        </w:tcBorders>
                      </w:tcPr>
                      <w:p>
                        <w:pPr>
                          <w:pStyle w:val="TableParagraph"/>
                          <w:spacing w:before="12"/>
                          <w:ind w:left="31" w:right="-8"/>
                          <w:rPr>
                            <w:sz w:val="19"/>
                          </w:rPr>
                        </w:pPr>
                        <w:r>
                          <w:rPr>
                            <w:w w:val="105"/>
                            <w:sz w:val="19"/>
                          </w:rPr>
                          <w:t>BMI</w:t>
                        </w:r>
                      </w:p>
                    </w:tc>
                    <w:tc>
                      <w:tcPr>
                        <w:tcW w:w="1514" w:type="dxa"/>
                        <w:tcBorders>
                          <w:top w:val="single" w:sz="6" w:space="0" w:color="CFD6E4"/>
                          <w:right w:val="single" w:sz="6" w:space="0" w:color="000000"/>
                        </w:tcBorders>
                      </w:tcPr>
                      <w:p>
                        <w:pPr>
                          <w:pStyle w:val="TableParagraph"/>
                          <w:spacing w:before="12"/>
                          <w:ind w:left="16"/>
                          <w:jc w:val="center"/>
                          <w:rPr>
                            <w:sz w:val="19"/>
                          </w:rPr>
                        </w:pPr>
                        <w:r>
                          <w:rPr>
                            <w:w w:val="105"/>
                            <w:sz w:val="19"/>
                          </w:rPr>
                          <w:t>16.37+0.90</w:t>
                        </w:r>
                      </w:p>
                    </w:tc>
                    <w:tc>
                      <w:tcPr>
                        <w:tcW w:w="1440" w:type="dxa"/>
                        <w:gridSpan w:val="2"/>
                        <w:tcBorders>
                          <w:top w:val="single" w:sz="6" w:space="0" w:color="CFD6E4"/>
                          <w:left w:val="single" w:sz="6" w:space="0" w:color="000000"/>
                          <w:right w:val="single" w:sz="6" w:space="0" w:color="000000"/>
                        </w:tcBorders>
                      </w:tcPr>
                      <w:p>
                        <w:pPr>
                          <w:pStyle w:val="TableParagraph"/>
                          <w:spacing w:before="12"/>
                          <w:ind w:left="30"/>
                          <w:rPr>
                            <w:sz w:val="19"/>
                          </w:rPr>
                        </w:pPr>
                        <w:r>
                          <w:rPr>
                            <w:w w:val="105"/>
                            <w:sz w:val="19"/>
                          </w:rPr>
                          <w:t>20.32+0.87</w:t>
                        </w:r>
                      </w:p>
                    </w:tc>
                  </w:tr>
                  <w:tr>
                    <w:trPr>
                      <w:trHeight w:val="254" w:hRule="exact"/>
                    </w:trPr>
                    <w:tc>
                      <w:tcPr>
                        <w:tcW w:w="3029" w:type="dxa"/>
                        <w:gridSpan w:val="2"/>
                        <w:tcBorders>
                          <w:left w:val="single" w:sz="6" w:space="0" w:color="000000"/>
                          <w:bottom w:val="single" w:sz="6" w:space="0" w:color="000000"/>
                          <w:right w:val="single" w:sz="6" w:space="0" w:color="CFD6E4"/>
                        </w:tcBorders>
                      </w:tcPr>
                      <w:p>
                        <w:pPr>
                          <w:pStyle w:val="TableParagraph"/>
                          <w:spacing w:before="12"/>
                          <w:ind w:left="31"/>
                          <w:rPr>
                            <w:sz w:val="19"/>
                          </w:rPr>
                        </w:pPr>
                        <w:r>
                          <w:rPr>
                            <w:w w:val="105"/>
                            <w:sz w:val="19"/>
                          </w:rPr>
                          <w:t>BAKPACK WEIGT (KG)</w:t>
                        </w:r>
                      </w:p>
                    </w:tc>
                    <w:tc>
                      <w:tcPr>
                        <w:tcW w:w="1440" w:type="dxa"/>
                        <w:gridSpan w:val="2"/>
                        <w:tcBorders>
                          <w:left w:val="single" w:sz="6" w:space="0" w:color="CFD6E4"/>
                          <w:bottom w:val="single" w:sz="6" w:space="0" w:color="000000"/>
                          <w:right w:val="single" w:sz="6" w:space="0" w:color="000000"/>
                        </w:tcBorders>
                      </w:tcPr>
                      <w:p>
                        <w:pPr>
                          <w:pStyle w:val="TableParagraph"/>
                          <w:spacing w:before="12"/>
                          <w:ind w:left="30"/>
                          <w:rPr>
                            <w:sz w:val="19"/>
                          </w:rPr>
                        </w:pPr>
                        <w:r>
                          <w:rPr>
                            <w:w w:val="105"/>
                            <w:sz w:val="19"/>
                          </w:rPr>
                          <w:t>3.72+0.23</w:t>
                        </w:r>
                      </w:p>
                    </w:tc>
                  </w:tr>
                  <w:tr>
                    <w:trPr>
                      <w:trHeight w:val="256" w:hRule="exact"/>
                    </w:trPr>
                    <w:tc>
                      <w:tcPr>
                        <w:tcW w:w="1515" w:type="dxa"/>
                        <w:tcBorders>
                          <w:top w:val="single" w:sz="6" w:space="0" w:color="000000"/>
                          <w:left w:val="single" w:sz="6" w:space="0" w:color="000000"/>
                          <w:bottom w:val="single" w:sz="6" w:space="0" w:color="CFD6E4"/>
                        </w:tcBorders>
                      </w:tcPr>
                      <w:p>
                        <w:pPr>
                          <w:pStyle w:val="TableParagraph"/>
                          <w:spacing w:before="13"/>
                          <w:ind w:left="31" w:right="-8"/>
                          <w:rPr>
                            <w:sz w:val="19"/>
                          </w:rPr>
                        </w:pPr>
                        <w:r>
                          <w:rPr>
                            <w:sz w:val="19"/>
                          </w:rPr>
                          <w:t>RECOMENDADE</w:t>
                        </w:r>
                      </w:p>
                    </w:tc>
                    <w:tc>
                      <w:tcPr>
                        <w:tcW w:w="1514" w:type="dxa"/>
                        <w:tcBorders>
                          <w:top w:val="single" w:sz="6" w:space="0" w:color="000000"/>
                          <w:bottom w:val="single" w:sz="6" w:space="0" w:color="CFD6E4"/>
                          <w:right w:val="single" w:sz="6" w:space="0" w:color="000000"/>
                        </w:tcBorders>
                      </w:tcPr>
                      <w:p>
                        <w:pPr>
                          <w:pStyle w:val="TableParagraph"/>
                          <w:spacing w:before="13"/>
                          <w:ind w:right="-15"/>
                          <w:jc w:val="center"/>
                          <w:rPr>
                            <w:sz w:val="19"/>
                          </w:rPr>
                        </w:pPr>
                        <w:r>
                          <w:rPr>
                            <w:spacing w:val="-3"/>
                            <w:w w:val="105"/>
                            <w:sz w:val="19"/>
                          </w:rPr>
                          <w:t>MORE</w:t>
                        </w:r>
                        <w:r>
                          <w:rPr>
                            <w:spacing w:val="-33"/>
                            <w:w w:val="105"/>
                            <w:sz w:val="19"/>
                          </w:rPr>
                          <w:t> </w:t>
                        </w:r>
                        <w:r>
                          <w:rPr>
                            <w:w w:val="105"/>
                            <w:sz w:val="19"/>
                          </w:rPr>
                          <w:t>THAN</w:t>
                        </w:r>
                        <w:r>
                          <w:rPr>
                            <w:spacing w:val="-28"/>
                            <w:w w:val="105"/>
                            <w:sz w:val="19"/>
                          </w:rPr>
                          <w:t> </w:t>
                        </w:r>
                        <w:r>
                          <w:rPr>
                            <w:spacing w:val="-6"/>
                            <w:w w:val="105"/>
                            <w:sz w:val="19"/>
                          </w:rPr>
                          <w:t>10%</w:t>
                        </w:r>
                      </w:p>
                    </w:tc>
                    <w:tc>
                      <w:tcPr>
                        <w:tcW w:w="720" w:type="dxa"/>
                        <w:tcBorders>
                          <w:top w:val="single" w:sz="6" w:space="0" w:color="000000"/>
                          <w:left w:val="single" w:sz="6" w:space="0" w:color="000000"/>
                          <w:bottom w:val="single" w:sz="6" w:space="0" w:color="CFD6E4"/>
                          <w:right w:val="single" w:sz="6" w:space="0" w:color="000000"/>
                        </w:tcBorders>
                      </w:tcPr>
                      <w:p>
                        <w:pPr>
                          <w:pStyle w:val="TableParagraph"/>
                          <w:spacing w:before="13"/>
                          <w:ind w:right="26"/>
                          <w:jc w:val="right"/>
                          <w:rPr>
                            <w:sz w:val="19"/>
                          </w:rPr>
                        </w:pPr>
                        <w:r>
                          <w:rPr>
                            <w:sz w:val="19"/>
                          </w:rPr>
                          <w:t>79</w:t>
                        </w:r>
                      </w:p>
                    </w:tc>
                    <w:tc>
                      <w:tcPr>
                        <w:tcW w:w="720" w:type="dxa"/>
                        <w:tcBorders>
                          <w:top w:val="single" w:sz="6" w:space="0" w:color="000000"/>
                          <w:left w:val="single" w:sz="6" w:space="0" w:color="000000"/>
                          <w:bottom w:val="single" w:sz="6" w:space="0" w:color="CFD6E4"/>
                          <w:right w:val="single" w:sz="6" w:space="0" w:color="000000"/>
                        </w:tcBorders>
                      </w:tcPr>
                      <w:p>
                        <w:pPr>
                          <w:pStyle w:val="TableParagraph"/>
                          <w:spacing w:before="13"/>
                          <w:ind w:left="66" w:right="5"/>
                          <w:jc w:val="center"/>
                          <w:rPr>
                            <w:sz w:val="19"/>
                          </w:rPr>
                        </w:pPr>
                        <w:r>
                          <w:rPr>
                            <w:spacing w:val="-8"/>
                            <w:w w:val="105"/>
                            <w:sz w:val="19"/>
                          </w:rPr>
                          <w:t>47.5904</w:t>
                        </w:r>
                      </w:p>
                    </w:tc>
                  </w:tr>
                  <w:tr>
                    <w:trPr>
                      <w:trHeight w:val="256" w:hRule="exact"/>
                    </w:trPr>
                    <w:tc>
                      <w:tcPr>
                        <w:tcW w:w="1515" w:type="dxa"/>
                        <w:tcBorders>
                          <w:top w:val="single" w:sz="6" w:space="0" w:color="CFD6E4"/>
                          <w:left w:val="single" w:sz="6" w:space="0" w:color="000000"/>
                        </w:tcBorders>
                      </w:tcPr>
                      <w:p>
                        <w:pPr/>
                      </w:p>
                    </w:tc>
                    <w:tc>
                      <w:tcPr>
                        <w:tcW w:w="1514" w:type="dxa"/>
                        <w:tcBorders>
                          <w:top w:val="single" w:sz="6" w:space="0" w:color="CFD6E4"/>
                          <w:right w:val="single" w:sz="6" w:space="0" w:color="000000"/>
                        </w:tcBorders>
                      </w:tcPr>
                      <w:p>
                        <w:pPr>
                          <w:pStyle w:val="TableParagraph"/>
                          <w:spacing w:before="13"/>
                          <w:ind w:left="7"/>
                          <w:jc w:val="center"/>
                          <w:rPr>
                            <w:sz w:val="19"/>
                          </w:rPr>
                        </w:pPr>
                        <w:r>
                          <w:rPr>
                            <w:w w:val="105"/>
                            <w:sz w:val="19"/>
                          </w:rPr>
                          <w:t>LESS THAN 10%</w:t>
                        </w:r>
                      </w:p>
                    </w:tc>
                    <w:tc>
                      <w:tcPr>
                        <w:tcW w:w="720" w:type="dxa"/>
                        <w:tcBorders>
                          <w:top w:val="single" w:sz="6" w:space="0" w:color="CFD6E4"/>
                          <w:left w:val="single" w:sz="6" w:space="0" w:color="000000"/>
                          <w:right w:val="single" w:sz="6" w:space="0" w:color="000000"/>
                        </w:tcBorders>
                      </w:tcPr>
                      <w:p>
                        <w:pPr>
                          <w:pStyle w:val="TableParagraph"/>
                          <w:spacing w:before="13"/>
                          <w:ind w:right="26"/>
                          <w:jc w:val="right"/>
                          <w:rPr>
                            <w:sz w:val="19"/>
                          </w:rPr>
                        </w:pPr>
                        <w:r>
                          <w:rPr>
                            <w:sz w:val="19"/>
                          </w:rPr>
                          <w:t>87</w:t>
                        </w:r>
                      </w:p>
                    </w:tc>
                    <w:tc>
                      <w:tcPr>
                        <w:tcW w:w="720" w:type="dxa"/>
                        <w:tcBorders>
                          <w:top w:val="single" w:sz="6" w:space="0" w:color="CFD6E4"/>
                          <w:left w:val="single" w:sz="6" w:space="0" w:color="000000"/>
                          <w:right w:val="single" w:sz="6" w:space="0" w:color="000000"/>
                        </w:tcBorders>
                      </w:tcPr>
                      <w:p>
                        <w:pPr>
                          <w:pStyle w:val="TableParagraph"/>
                          <w:spacing w:before="13"/>
                          <w:ind w:left="66" w:right="5"/>
                          <w:jc w:val="center"/>
                          <w:rPr>
                            <w:sz w:val="19"/>
                          </w:rPr>
                        </w:pPr>
                        <w:r>
                          <w:rPr>
                            <w:spacing w:val="-8"/>
                            <w:w w:val="105"/>
                            <w:sz w:val="19"/>
                          </w:rPr>
                          <w:t>52.4096</w:t>
                        </w:r>
                      </w:p>
                    </w:tc>
                  </w:tr>
                  <w:tr>
                    <w:trPr>
                      <w:trHeight w:val="256" w:hRule="exact"/>
                    </w:trPr>
                    <w:tc>
                      <w:tcPr>
                        <w:tcW w:w="1515" w:type="dxa"/>
                        <w:tcBorders>
                          <w:left w:val="single" w:sz="6" w:space="0" w:color="000000"/>
                          <w:bottom w:val="single" w:sz="6" w:space="0" w:color="CFD6E4"/>
                        </w:tcBorders>
                      </w:tcPr>
                      <w:p>
                        <w:pPr>
                          <w:pStyle w:val="TableParagraph"/>
                          <w:spacing w:before="12"/>
                          <w:ind w:left="31" w:right="-8"/>
                          <w:rPr>
                            <w:sz w:val="19"/>
                          </w:rPr>
                        </w:pPr>
                        <w:r>
                          <w:rPr>
                            <w:w w:val="105"/>
                            <w:sz w:val="19"/>
                          </w:rPr>
                          <w:t>BMI</w:t>
                        </w:r>
                      </w:p>
                    </w:tc>
                    <w:tc>
                      <w:tcPr>
                        <w:tcW w:w="1514" w:type="dxa"/>
                        <w:tcBorders>
                          <w:bottom w:val="single" w:sz="6" w:space="0" w:color="CFD6E4"/>
                          <w:right w:val="single" w:sz="6" w:space="0" w:color="000000"/>
                        </w:tcBorders>
                      </w:tcPr>
                      <w:p>
                        <w:pPr>
                          <w:pStyle w:val="TableParagraph"/>
                          <w:spacing w:before="12"/>
                          <w:ind w:left="30"/>
                          <w:jc w:val="center"/>
                          <w:rPr>
                            <w:sz w:val="19"/>
                          </w:rPr>
                        </w:pPr>
                        <w:r>
                          <w:rPr>
                            <w:w w:val="105"/>
                            <w:sz w:val="19"/>
                          </w:rPr>
                          <w:t>NORMAL</w:t>
                        </w:r>
                      </w:p>
                    </w:tc>
                    <w:tc>
                      <w:tcPr>
                        <w:tcW w:w="720" w:type="dxa"/>
                        <w:tcBorders>
                          <w:left w:val="single" w:sz="6" w:space="0" w:color="000000"/>
                          <w:bottom w:val="single" w:sz="6" w:space="0" w:color="CFD6E4"/>
                          <w:right w:val="single" w:sz="6" w:space="0" w:color="000000"/>
                        </w:tcBorders>
                      </w:tcPr>
                      <w:p>
                        <w:pPr>
                          <w:pStyle w:val="TableParagraph"/>
                          <w:spacing w:before="12"/>
                          <w:ind w:right="26"/>
                          <w:jc w:val="right"/>
                          <w:rPr>
                            <w:sz w:val="19"/>
                          </w:rPr>
                        </w:pPr>
                        <w:r>
                          <w:rPr>
                            <w:sz w:val="19"/>
                          </w:rPr>
                          <w:t>114</w:t>
                        </w:r>
                      </w:p>
                    </w:tc>
                    <w:tc>
                      <w:tcPr>
                        <w:tcW w:w="720" w:type="dxa"/>
                        <w:tcBorders>
                          <w:left w:val="single" w:sz="6" w:space="0" w:color="000000"/>
                          <w:bottom w:val="single" w:sz="6" w:space="0" w:color="CFD6E4"/>
                          <w:right w:val="single" w:sz="6" w:space="0" w:color="000000"/>
                        </w:tcBorders>
                      </w:tcPr>
                      <w:p>
                        <w:pPr>
                          <w:pStyle w:val="TableParagraph"/>
                          <w:spacing w:before="12"/>
                          <w:ind w:left="66" w:right="5"/>
                          <w:jc w:val="center"/>
                          <w:rPr>
                            <w:sz w:val="19"/>
                          </w:rPr>
                        </w:pPr>
                        <w:r>
                          <w:rPr>
                            <w:spacing w:val="-8"/>
                            <w:w w:val="105"/>
                            <w:sz w:val="19"/>
                          </w:rPr>
                          <w:t>68.6747</w:t>
                        </w:r>
                      </w:p>
                    </w:tc>
                  </w:tr>
                  <w:tr>
                    <w:trPr>
                      <w:trHeight w:val="254" w:hRule="exact"/>
                    </w:trPr>
                    <w:tc>
                      <w:tcPr>
                        <w:tcW w:w="1515" w:type="dxa"/>
                        <w:tcBorders>
                          <w:top w:val="single" w:sz="6" w:space="0" w:color="CFD6E4"/>
                          <w:left w:val="single" w:sz="6" w:space="0" w:color="000000"/>
                          <w:bottom w:val="single" w:sz="6" w:space="0" w:color="CFD6E4"/>
                        </w:tcBorders>
                      </w:tcPr>
                      <w:p>
                        <w:pPr/>
                      </w:p>
                    </w:tc>
                    <w:tc>
                      <w:tcPr>
                        <w:tcW w:w="1514" w:type="dxa"/>
                        <w:tcBorders>
                          <w:top w:val="single" w:sz="6" w:space="0" w:color="CFD6E4"/>
                          <w:bottom w:val="single" w:sz="6" w:space="0" w:color="CFD6E4"/>
                          <w:right w:val="single" w:sz="6" w:space="0" w:color="000000"/>
                        </w:tcBorders>
                      </w:tcPr>
                      <w:p>
                        <w:pPr>
                          <w:pStyle w:val="TableParagraph"/>
                          <w:spacing w:before="12"/>
                          <w:ind w:left="15"/>
                          <w:jc w:val="center"/>
                          <w:rPr>
                            <w:sz w:val="19"/>
                          </w:rPr>
                        </w:pPr>
                        <w:r>
                          <w:rPr>
                            <w:w w:val="105"/>
                            <w:sz w:val="19"/>
                          </w:rPr>
                          <w:t>OVERWEIGHT</w:t>
                        </w:r>
                      </w:p>
                    </w:tc>
                    <w:tc>
                      <w:tcPr>
                        <w:tcW w:w="720" w:type="dxa"/>
                        <w:tcBorders>
                          <w:top w:val="single" w:sz="6" w:space="0" w:color="CFD6E4"/>
                          <w:left w:val="single" w:sz="6" w:space="0" w:color="000000"/>
                          <w:bottom w:val="single" w:sz="6" w:space="0" w:color="CFD6E4"/>
                          <w:right w:val="single" w:sz="6" w:space="0" w:color="000000"/>
                        </w:tcBorders>
                      </w:tcPr>
                      <w:p>
                        <w:pPr>
                          <w:pStyle w:val="TableParagraph"/>
                          <w:spacing w:before="12"/>
                          <w:ind w:right="26"/>
                          <w:jc w:val="right"/>
                          <w:rPr>
                            <w:sz w:val="19"/>
                          </w:rPr>
                        </w:pPr>
                        <w:r>
                          <w:rPr>
                            <w:sz w:val="19"/>
                          </w:rPr>
                          <w:t>16</w:t>
                        </w:r>
                      </w:p>
                    </w:tc>
                    <w:tc>
                      <w:tcPr>
                        <w:tcW w:w="720" w:type="dxa"/>
                        <w:tcBorders>
                          <w:top w:val="single" w:sz="6" w:space="0" w:color="CFD6E4"/>
                          <w:left w:val="single" w:sz="6" w:space="0" w:color="000000"/>
                          <w:bottom w:val="single" w:sz="6" w:space="0" w:color="CFD6E4"/>
                          <w:right w:val="single" w:sz="6" w:space="0" w:color="000000"/>
                        </w:tcBorders>
                      </w:tcPr>
                      <w:p>
                        <w:pPr>
                          <w:pStyle w:val="TableParagraph"/>
                          <w:spacing w:before="12"/>
                          <w:ind w:left="66" w:right="5"/>
                          <w:jc w:val="center"/>
                          <w:rPr>
                            <w:sz w:val="19"/>
                          </w:rPr>
                        </w:pPr>
                        <w:r>
                          <w:rPr>
                            <w:spacing w:val="-8"/>
                            <w:w w:val="105"/>
                            <w:sz w:val="19"/>
                          </w:rPr>
                          <w:t>9.63855</w:t>
                        </w:r>
                      </w:p>
                    </w:tc>
                  </w:tr>
                  <w:tr>
                    <w:trPr>
                      <w:trHeight w:val="256" w:hRule="exact"/>
                    </w:trPr>
                    <w:tc>
                      <w:tcPr>
                        <w:tcW w:w="1515" w:type="dxa"/>
                        <w:tcBorders>
                          <w:top w:val="single" w:sz="6" w:space="0" w:color="CFD6E4"/>
                          <w:left w:val="single" w:sz="6" w:space="0" w:color="000000"/>
                          <w:bottom w:val="single" w:sz="6" w:space="0" w:color="CFD6E4"/>
                        </w:tcBorders>
                      </w:tcPr>
                      <w:p>
                        <w:pPr/>
                      </w:p>
                    </w:tc>
                    <w:tc>
                      <w:tcPr>
                        <w:tcW w:w="1514" w:type="dxa"/>
                        <w:tcBorders>
                          <w:top w:val="single" w:sz="6" w:space="0" w:color="CFD6E4"/>
                          <w:bottom w:val="single" w:sz="6" w:space="0" w:color="CFD6E4"/>
                          <w:right w:val="single" w:sz="6" w:space="0" w:color="000000"/>
                        </w:tcBorders>
                      </w:tcPr>
                      <w:p>
                        <w:pPr>
                          <w:pStyle w:val="TableParagraph"/>
                          <w:spacing w:before="13"/>
                          <w:ind w:left="37"/>
                          <w:jc w:val="center"/>
                          <w:rPr>
                            <w:sz w:val="19"/>
                          </w:rPr>
                        </w:pPr>
                        <w:r>
                          <w:rPr>
                            <w:w w:val="105"/>
                            <w:sz w:val="19"/>
                          </w:rPr>
                          <w:t>OBESITY</w:t>
                        </w:r>
                      </w:p>
                    </w:tc>
                    <w:tc>
                      <w:tcPr>
                        <w:tcW w:w="720" w:type="dxa"/>
                        <w:tcBorders>
                          <w:top w:val="single" w:sz="6" w:space="0" w:color="CFD6E4"/>
                          <w:left w:val="single" w:sz="6" w:space="0" w:color="000000"/>
                          <w:bottom w:val="single" w:sz="6" w:space="0" w:color="CFD6E4"/>
                          <w:right w:val="single" w:sz="6" w:space="0" w:color="000000"/>
                        </w:tcBorders>
                      </w:tcPr>
                      <w:p>
                        <w:pPr>
                          <w:pStyle w:val="TableParagraph"/>
                          <w:spacing w:before="13"/>
                          <w:ind w:right="18"/>
                          <w:jc w:val="right"/>
                          <w:rPr>
                            <w:sz w:val="19"/>
                          </w:rPr>
                        </w:pPr>
                        <w:r>
                          <w:rPr>
                            <w:sz w:val="19"/>
                          </w:rPr>
                          <w:t>33</w:t>
                        </w:r>
                      </w:p>
                    </w:tc>
                    <w:tc>
                      <w:tcPr>
                        <w:tcW w:w="720" w:type="dxa"/>
                        <w:tcBorders>
                          <w:top w:val="single" w:sz="6" w:space="0" w:color="CFD6E4"/>
                          <w:left w:val="single" w:sz="6" w:space="0" w:color="000000"/>
                          <w:bottom w:val="single" w:sz="6" w:space="0" w:color="CFD6E4"/>
                          <w:right w:val="single" w:sz="6" w:space="0" w:color="000000"/>
                        </w:tcBorders>
                      </w:tcPr>
                      <w:p>
                        <w:pPr>
                          <w:pStyle w:val="TableParagraph"/>
                          <w:spacing w:before="13"/>
                          <w:ind w:left="66" w:right="5"/>
                          <w:jc w:val="center"/>
                          <w:rPr>
                            <w:sz w:val="19"/>
                          </w:rPr>
                        </w:pPr>
                        <w:r>
                          <w:rPr>
                            <w:spacing w:val="-8"/>
                            <w:w w:val="105"/>
                            <w:sz w:val="19"/>
                          </w:rPr>
                          <w:t>19.8795</w:t>
                        </w:r>
                      </w:p>
                    </w:tc>
                  </w:tr>
                  <w:tr>
                    <w:trPr>
                      <w:trHeight w:val="256" w:hRule="exact"/>
                    </w:trPr>
                    <w:tc>
                      <w:tcPr>
                        <w:tcW w:w="1515" w:type="dxa"/>
                        <w:tcBorders>
                          <w:top w:val="single" w:sz="6" w:space="0" w:color="CFD6E4"/>
                          <w:left w:val="single" w:sz="6" w:space="0" w:color="000000"/>
                        </w:tcBorders>
                      </w:tcPr>
                      <w:p>
                        <w:pPr/>
                      </w:p>
                    </w:tc>
                    <w:tc>
                      <w:tcPr>
                        <w:tcW w:w="1514" w:type="dxa"/>
                        <w:tcBorders>
                          <w:top w:val="single" w:sz="6" w:space="0" w:color="CFD6E4"/>
                          <w:right w:val="single" w:sz="6" w:space="0" w:color="000000"/>
                        </w:tcBorders>
                      </w:tcPr>
                      <w:p>
                        <w:pPr>
                          <w:pStyle w:val="TableParagraph"/>
                          <w:spacing w:before="13"/>
                          <w:ind w:left="22"/>
                          <w:jc w:val="center"/>
                          <w:rPr>
                            <w:sz w:val="19"/>
                          </w:rPr>
                        </w:pPr>
                        <w:r>
                          <w:rPr>
                            <w:sz w:val="19"/>
                          </w:rPr>
                          <w:t>MALNUTRITION</w:t>
                        </w:r>
                      </w:p>
                    </w:tc>
                    <w:tc>
                      <w:tcPr>
                        <w:tcW w:w="720" w:type="dxa"/>
                        <w:tcBorders>
                          <w:top w:val="single" w:sz="6" w:space="0" w:color="CFD6E4"/>
                          <w:left w:val="single" w:sz="6" w:space="0" w:color="000000"/>
                          <w:right w:val="single" w:sz="6" w:space="0" w:color="000000"/>
                        </w:tcBorders>
                      </w:tcPr>
                      <w:p>
                        <w:pPr>
                          <w:pStyle w:val="TableParagraph"/>
                          <w:spacing w:before="13"/>
                          <w:ind w:right="18"/>
                          <w:jc w:val="right"/>
                          <w:rPr>
                            <w:sz w:val="19"/>
                          </w:rPr>
                        </w:pPr>
                        <w:r>
                          <w:rPr>
                            <w:w w:val="102"/>
                            <w:sz w:val="19"/>
                          </w:rPr>
                          <w:t>3</w:t>
                        </w:r>
                      </w:p>
                    </w:tc>
                    <w:tc>
                      <w:tcPr>
                        <w:tcW w:w="720" w:type="dxa"/>
                        <w:tcBorders>
                          <w:top w:val="single" w:sz="6" w:space="0" w:color="CFD6E4"/>
                          <w:left w:val="single" w:sz="6" w:space="0" w:color="000000"/>
                          <w:right w:val="single" w:sz="6" w:space="0" w:color="000000"/>
                        </w:tcBorders>
                      </w:tcPr>
                      <w:p>
                        <w:pPr>
                          <w:pStyle w:val="TableParagraph"/>
                          <w:spacing w:before="13"/>
                          <w:ind w:left="66" w:right="5"/>
                          <w:jc w:val="center"/>
                          <w:rPr>
                            <w:sz w:val="19"/>
                          </w:rPr>
                        </w:pPr>
                        <w:r>
                          <w:rPr>
                            <w:spacing w:val="-8"/>
                            <w:w w:val="105"/>
                            <w:sz w:val="19"/>
                          </w:rPr>
                          <w:t>1.80723</w:t>
                        </w:r>
                      </w:p>
                    </w:tc>
                  </w:tr>
                  <w:tr>
                    <w:trPr>
                      <w:trHeight w:val="263" w:hRule="exact"/>
                    </w:trPr>
                    <w:tc>
                      <w:tcPr>
                        <w:tcW w:w="3029" w:type="dxa"/>
                        <w:gridSpan w:val="2"/>
                        <w:tcBorders>
                          <w:left w:val="single" w:sz="6" w:space="0" w:color="000000"/>
                          <w:bottom w:val="single" w:sz="12" w:space="0" w:color="000000"/>
                          <w:right w:val="single" w:sz="6" w:space="0" w:color="CFD6E4"/>
                        </w:tcBorders>
                      </w:tcPr>
                      <w:p>
                        <w:pPr>
                          <w:pStyle w:val="TableParagraph"/>
                          <w:spacing w:before="12"/>
                          <w:ind w:left="31"/>
                          <w:rPr>
                            <w:sz w:val="19"/>
                          </w:rPr>
                        </w:pPr>
                        <w:r>
                          <w:rPr>
                            <w:w w:val="105"/>
                            <w:sz w:val="19"/>
                          </w:rPr>
                          <w:t>BMI: BODY MASS INDEX</w:t>
                        </w:r>
                      </w:p>
                    </w:tc>
                    <w:tc>
                      <w:tcPr>
                        <w:tcW w:w="720" w:type="dxa"/>
                        <w:tcBorders>
                          <w:left w:val="single" w:sz="6" w:space="0" w:color="CFD6E4"/>
                          <w:bottom w:val="single" w:sz="12" w:space="0" w:color="000000"/>
                          <w:right w:val="single" w:sz="6" w:space="0" w:color="CFD6E4"/>
                        </w:tcBorders>
                      </w:tcPr>
                      <w:p>
                        <w:pPr/>
                      </w:p>
                    </w:tc>
                    <w:tc>
                      <w:tcPr>
                        <w:tcW w:w="720" w:type="dxa"/>
                        <w:tcBorders>
                          <w:left w:val="single" w:sz="6" w:space="0" w:color="CFD6E4"/>
                          <w:bottom w:val="single" w:sz="12" w:space="0" w:color="000000"/>
                          <w:right w:val="single" w:sz="12" w:space="0" w:color="000000"/>
                        </w:tcBorders>
                      </w:tcPr>
                      <w:p>
                        <w:pPr/>
                      </w:p>
                    </w:tc>
                  </w:tr>
                </w:tbl>
                <w:p>
                  <w:pPr>
                    <w:pStyle w:val="BodyText"/>
                  </w:pPr>
                </w:p>
              </w:txbxContent>
            </v:textbox>
            <w10:wrap type="none"/>
          </v:shape>
        </w:pict>
      </w:r>
      <w:r>
        <w:rPr>
          <w:color w:val="202020"/>
        </w:rPr>
        <w:t>RESULTS</w:t>
      </w:r>
    </w:p>
    <w:p>
      <w:pPr>
        <w:pStyle w:val="BodyText"/>
        <w:spacing w:before="8"/>
        <w:rPr>
          <w:b/>
          <w:sz w:val="19"/>
        </w:rPr>
      </w:pPr>
    </w:p>
    <w:p>
      <w:pPr>
        <w:pStyle w:val="BodyText"/>
        <w:ind w:left="270" w:right="6249" w:firstLine="426"/>
        <w:jc w:val="both"/>
      </w:pPr>
      <w:r>
        <w:rPr>
          <w:color w:val="202020"/>
        </w:rPr>
        <w:t>Of the 270 infants who were tested were divided into two categories according to age and grade , were analyzed separately pupils between the ages of 6-8 years ( 1st through 3rd grade level ) and 9- 11 years old (4th -6th grade) . This division was made to make more objective analysis because the complexion , weight and height varies greatly from children in the early grades to those who are in the higher grades ; and comparing the weight of the bags will not be adequate .</w:t>
      </w:r>
    </w:p>
    <w:p>
      <w:pPr>
        <w:pStyle w:val="BodyText"/>
      </w:pPr>
    </w:p>
    <w:p>
      <w:pPr>
        <w:pStyle w:val="BodyText"/>
      </w:pPr>
    </w:p>
    <w:p>
      <w:pPr>
        <w:pStyle w:val="BodyText"/>
        <w:ind w:left="1042" w:right="6276"/>
      </w:pPr>
      <w:r>
        <w:rPr/>
        <w:t>Table 2. </w:t>
      </w:r>
      <w:r>
        <w:rPr>
          <w:color w:val="202020"/>
        </w:rPr>
        <w:t>Analysis for children 6 to 8 years</w:t>
      </w:r>
    </w:p>
    <w:p>
      <w:pPr>
        <w:pStyle w:val="BodyText"/>
      </w:pPr>
    </w:p>
    <w:p>
      <w:pPr>
        <w:pStyle w:val="BodyText"/>
      </w:pPr>
    </w:p>
    <w:p>
      <w:pPr>
        <w:pStyle w:val="BodyText"/>
      </w:pPr>
    </w:p>
    <w:p>
      <w:pPr>
        <w:pStyle w:val="BodyText"/>
      </w:pPr>
    </w:p>
    <w:p>
      <w:pPr>
        <w:pStyle w:val="BodyText"/>
      </w:pPr>
    </w:p>
    <w:p>
      <w:pPr>
        <w:pStyle w:val="BodyText"/>
        <w:spacing w:before="11"/>
        <w:rPr>
          <w:sz w:val="17"/>
        </w:rPr>
      </w:pPr>
    </w:p>
    <w:p>
      <w:pPr>
        <w:pStyle w:val="BodyText"/>
        <w:ind w:left="5895" w:right="673" w:firstLine="426"/>
        <w:jc w:val="both"/>
      </w:pPr>
      <w:r>
        <w:rPr/>
        <w:pict>
          <v:shape style="position:absolute;margin-left:58.125pt;margin-top:-56.184238pt;width:215.65pt;height:205.75pt;mso-position-horizontal-relative:page;mso-position-vertical-relative:paragraph;z-index:15928" type="#_x0000_t202" filled="false" stroked="false">
            <v:textbox inset="0,0,0,0">
              <w:txbxContent>
                <w:tbl>
                  <w:tblPr>
                    <w:tblW w:w="0" w:type="auto"/>
                    <w:jc w:val="lef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439"/>
                    <w:gridCol w:w="1516"/>
                    <w:gridCol w:w="660"/>
                    <w:gridCol w:w="660"/>
                  </w:tblGrid>
                  <w:tr>
                    <w:trPr>
                      <w:trHeight w:val="254" w:hRule="exact"/>
                    </w:trPr>
                    <w:tc>
                      <w:tcPr>
                        <w:tcW w:w="2955" w:type="dxa"/>
                        <w:gridSpan w:val="2"/>
                        <w:tcBorders>
                          <w:left w:val="single" w:sz="6" w:space="0" w:color="000000"/>
                          <w:bottom w:val="single" w:sz="6" w:space="0" w:color="CFD6E4"/>
                          <w:right w:val="single" w:sz="6" w:space="0" w:color="CFD6E4"/>
                        </w:tcBorders>
                      </w:tcPr>
                      <w:p>
                        <w:pPr>
                          <w:pStyle w:val="TableParagraph"/>
                          <w:spacing w:before="16"/>
                          <w:ind w:left="31"/>
                          <w:rPr>
                            <w:b/>
                            <w:sz w:val="19"/>
                          </w:rPr>
                        </w:pPr>
                        <w:r>
                          <w:rPr>
                            <w:b/>
                            <w:w w:val="105"/>
                            <w:sz w:val="19"/>
                          </w:rPr>
                          <w:t>AGE: 6-8 YEARS (n= 104)</w:t>
                        </w:r>
                      </w:p>
                    </w:tc>
                    <w:tc>
                      <w:tcPr>
                        <w:tcW w:w="660" w:type="dxa"/>
                        <w:tcBorders>
                          <w:left w:val="single" w:sz="6" w:space="0" w:color="CFD6E4"/>
                          <w:bottom w:val="single" w:sz="6" w:space="0" w:color="CFD6E4"/>
                          <w:right w:val="single" w:sz="6" w:space="0" w:color="CFD6E4"/>
                        </w:tcBorders>
                      </w:tcPr>
                      <w:p>
                        <w:pPr/>
                      </w:p>
                    </w:tc>
                    <w:tc>
                      <w:tcPr>
                        <w:tcW w:w="660" w:type="dxa"/>
                        <w:tcBorders>
                          <w:left w:val="single" w:sz="6" w:space="0" w:color="CFD6E4"/>
                          <w:bottom w:val="single" w:sz="6" w:space="0" w:color="CFD6E4"/>
                          <w:right w:val="single" w:sz="12" w:space="0" w:color="000000"/>
                        </w:tcBorders>
                      </w:tcPr>
                      <w:p>
                        <w:pPr/>
                      </w:p>
                    </w:tc>
                  </w:tr>
                  <w:tr>
                    <w:trPr>
                      <w:trHeight w:val="256" w:hRule="exact"/>
                    </w:trPr>
                    <w:tc>
                      <w:tcPr>
                        <w:tcW w:w="1439" w:type="dxa"/>
                        <w:tcBorders>
                          <w:top w:val="single" w:sz="6" w:space="0" w:color="CFD6E4"/>
                          <w:left w:val="single" w:sz="6" w:space="0" w:color="000000"/>
                          <w:bottom w:val="single" w:sz="6" w:space="0" w:color="000000"/>
                          <w:right w:val="single" w:sz="6" w:space="0" w:color="CFD6E4"/>
                        </w:tcBorders>
                      </w:tcPr>
                      <w:p>
                        <w:pPr/>
                      </w:p>
                    </w:tc>
                    <w:tc>
                      <w:tcPr>
                        <w:tcW w:w="1516" w:type="dxa"/>
                        <w:tcBorders>
                          <w:top w:val="single" w:sz="6" w:space="0" w:color="CFD6E4"/>
                          <w:left w:val="single" w:sz="6" w:space="0" w:color="CFD6E4"/>
                          <w:bottom w:val="single" w:sz="6" w:space="0" w:color="000000"/>
                          <w:right w:val="single" w:sz="6" w:space="0" w:color="CFD6E4"/>
                        </w:tcBorders>
                      </w:tcPr>
                      <w:p>
                        <w:pPr/>
                      </w:p>
                    </w:tc>
                    <w:tc>
                      <w:tcPr>
                        <w:tcW w:w="660" w:type="dxa"/>
                        <w:tcBorders>
                          <w:top w:val="single" w:sz="6" w:space="0" w:color="CFD6E4"/>
                          <w:left w:val="single" w:sz="6" w:space="0" w:color="CFD6E4"/>
                          <w:bottom w:val="single" w:sz="6" w:space="0" w:color="000000"/>
                          <w:right w:val="single" w:sz="6" w:space="0" w:color="CFD6E4"/>
                        </w:tcBorders>
                      </w:tcPr>
                      <w:p>
                        <w:pPr>
                          <w:pStyle w:val="TableParagraph"/>
                          <w:spacing w:before="13"/>
                          <w:ind w:right="-16"/>
                          <w:jc w:val="right"/>
                          <w:rPr>
                            <w:sz w:val="19"/>
                          </w:rPr>
                        </w:pPr>
                        <w:r>
                          <w:rPr>
                            <w:sz w:val="19"/>
                          </w:rPr>
                          <w:t>TOTAL</w:t>
                        </w:r>
                      </w:p>
                    </w:tc>
                    <w:tc>
                      <w:tcPr>
                        <w:tcW w:w="660" w:type="dxa"/>
                        <w:tcBorders>
                          <w:top w:val="single" w:sz="6" w:space="0" w:color="CFD6E4"/>
                          <w:left w:val="single" w:sz="6" w:space="0" w:color="CFD6E4"/>
                          <w:bottom w:val="single" w:sz="6" w:space="0" w:color="000000"/>
                          <w:right w:val="single" w:sz="12" w:space="0" w:color="000000"/>
                        </w:tcBorders>
                      </w:tcPr>
                      <w:p>
                        <w:pPr>
                          <w:pStyle w:val="TableParagraph"/>
                          <w:spacing w:before="13"/>
                          <w:ind w:left="5"/>
                          <w:jc w:val="center"/>
                          <w:rPr>
                            <w:sz w:val="19"/>
                          </w:rPr>
                        </w:pPr>
                        <w:r>
                          <w:rPr>
                            <w:w w:val="102"/>
                            <w:sz w:val="19"/>
                          </w:rPr>
                          <w:t>%</w:t>
                        </w:r>
                      </w:p>
                    </w:tc>
                  </w:tr>
                  <w:tr>
                    <w:trPr>
                      <w:trHeight w:val="256" w:hRule="exact"/>
                    </w:trPr>
                    <w:tc>
                      <w:tcPr>
                        <w:tcW w:w="1439" w:type="dxa"/>
                        <w:tcBorders>
                          <w:top w:val="single" w:sz="6" w:space="0" w:color="000000"/>
                          <w:left w:val="single" w:sz="6" w:space="0" w:color="000000"/>
                          <w:bottom w:val="single" w:sz="6" w:space="0" w:color="CFD6E4"/>
                          <w:right w:val="single" w:sz="6" w:space="0" w:color="000000"/>
                        </w:tcBorders>
                      </w:tcPr>
                      <w:p>
                        <w:pPr>
                          <w:pStyle w:val="TableParagraph"/>
                          <w:spacing w:before="13"/>
                          <w:ind w:left="31" w:right="-5"/>
                          <w:rPr>
                            <w:sz w:val="19"/>
                          </w:rPr>
                        </w:pPr>
                        <w:r>
                          <w:rPr>
                            <w:w w:val="105"/>
                            <w:sz w:val="19"/>
                          </w:rPr>
                          <w:t>GENDER</w:t>
                        </w:r>
                      </w:p>
                    </w:tc>
                    <w:tc>
                      <w:tcPr>
                        <w:tcW w:w="1516" w:type="dxa"/>
                        <w:tcBorders>
                          <w:top w:val="single" w:sz="6" w:space="0" w:color="000000"/>
                          <w:left w:val="single" w:sz="6" w:space="0" w:color="000000"/>
                          <w:bottom w:val="single" w:sz="6" w:space="0" w:color="CFD6E4"/>
                        </w:tcBorders>
                      </w:tcPr>
                      <w:p>
                        <w:pPr>
                          <w:pStyle w:val="TableParagraph"/>
                          <w:spacing w:before="13"/>
                          <w:ind w:left="14"/>
                          <w:jc w:val="center"/>
                          <w:rPr>
                            <w:sz w:val="19"/>
                          </w:rPr>
                        </w:pPr>
                        <w:r>
                          <w:rPr>
                            <w:w w:val="105"/>
                            <w:sz w:val="19"/>
                          </w:rPr>
                          <w:t>FEMALE</w:t>
                        </w:r>
                      </w:p>
                    </w:tc>
                    <w:tc>
                      <w:tcPr>
                        <w:tcW w:w="660" w:type="dxa"/>
                        <w:tcBorders>
                          <w:top w:val="single" w:sz="6" w:space="0" w:color="000000"/>
                          <w:bottom w:val="single" w:sz="6" w:space="0" w:color="CFD6E4"/>
                        </w:tcBorders>
                      </w:tcPr>
                      <w:p>
                        <w:pPr>
                          <w:pStyle w:val="TableParagraph"/>
                          <w:spacing w:before="13"/>
                          <w:ind w:right="27"/>
                          <w:jc w:val="right"/>
                          <w:rPr>
                            <w:sz w:val="19"/>
                          </w:rPr>
                        </w:pPr>
                        <w:r>
                          <w:rPr>
                            <w:sz w:val="19"/>
                          </w:rPr>
                          <w:t>44</w:t>
                        </w:r>
                      </w:p>
                    </w:tc>
                    <w:tc>
                      <w:tcPr>
                        <w:tcW w:w="660" w:type="dxa"/>
                        <w:tcBorders>
                          <w:top w:val="single" w:sz="6" w:space="0" w:color="000000"/>
                          <w:bottom w:val="single" w:sz="6" w:space="0" w:color="CFD6E4"/>
                        </w:tcBorders>
                      </w:tcPr>
                      <w:p>
                        <w:pPr>
                          <w:pStyle w:val="TableParagraph"/>
                          <w:spacing w:before="13"/>
                          <w:ind w:left="90"/>
                          <w:jc w:val="center"/>
                          <w:rPr>
                            <w:sz w:val="19"/>
                          </w:rPr>
                        </w:pPr>
                        <w:r>
                          <w:rPr>
                            <w:w w:val="105"/>
                            <w:sz w:val="19"/>
                          </w:rPr>
                          <w:t>42.308</w:t>
                        </w:r>
                      </w:p>
                    </w:tc>
                  </w:tr>
                  <w:tr>
                    <w:trPr>
                      <w:trHeight w:val="256" w:hRule="exact"/>
                    </w:trPr>
                    <w:tc>
                      <w:tcPr>
                        <w:tcW w:w="1439" w:type="dxa"/>
                        <w:tcBorders>
                          <w:top w:val="single" w:sz="6" w:space="0" w:color="CFD6E4"/>
                          <w:left w:val="single" w:sz="6" w:space="0" w:color="000000"/>
                          <w:right w:val="single" w:sz="6" w:space="0" w:color="000000"/>
                        </w:tcBorders>
                      </w:tcPr>
                      <w:p>
                        <w:pPr/>
                      </w:p>
                    </w:tc>
                    <w:tc>
                      <w:tcPr>
                        <w:tcW w:w="1516" w:type="dxa"/>
                        <w:tcBorders>
                          <w:top w:val="single" w:sz="6" w:space="0" w:color="CFD6E4"/>
                          <w:left w:val="single" w:sz="6" w:space="0" w:color="000000"/>
                        </w:tcBorders>
                      </w:tcPr>
                      <w:p>
                        <w:pPr>
                          <w:pStyle w:val="TableParagraph"/>
                          <w:spacing w:before="12"/>
                          <w:ind w:left="14"/>
                          <w:jc w:val="center"/>
                          <w:rPr>
                            <w:sz w:val="19"/>
                          </w:rPr>
                        </w:pPr>
                        <w:r>
                          <w:rPr>
                            <w:w w:val="105"/>
                            <w:sz w:val="19"/>
                          </w:rPr>
                          <w:t>MALE</w:t>
                        </w:r>
                      </w:p>
                    </w:tc>
                    <w:tc>
                      <w:tcPr>
                        <w:tcW w:w="660" w:type="dxa"/>
                        <w:tcBorders>
                          <w:top w:val="single" w:sz="6" w:space="0" w:color="CFD6E4"/>
                        </w:tcBorders>
                      </w:tcPr>
                      <w:p>
                        <w:pPr>
                          <w:pStyle w:val="TableParagraph"/>
                          <w:spacing w:before="12"/>
                          <w:ind w:right="27"/>
                          <w:jc w:val="right"/>
                          <w:rPr>
                            <w:sz w:val="19"/>
                          </w:rPr>
                        </w:pPr>
                        <w:r>
                          <w:rPr>
                            <w:sz w:val="19"/>
                          </w:rPr>
                          <w:t>60</w:t>
                        </w:r>
                      </w:p>
                    </w:tc>
                    <w:tc>
                      <w:tcPr>
                        <w:tcW w:w="660" w:type="dxa"/>
                        <w:tcBorders>
                          <w:top w:val="single" w:sz="6" w:space="0" w:color="CFD6E4"/>
                        </w:tcBorders>
                      </w:tcPr>
                      <w:p>
                        <w:pPr>
                          <w:pStyle w:val="TableParagraph"/>
                          <w:spacing w:before="12"/>
                          <w:ind w:left="90"/>
                          <w:jc w:val="center"/>
                          <w:rPr>
                            <w:sz w:val="19"/>
                          </w:rPr>
                        </w:pPr>
                        <w:r>
                          <w:rPr>
                            <w:w w:val="105"/>
                            <w:sz w:val="19"/>
                          </w:rPr>
                          <w:t>57.692</w:t>
                        </w:r>
                      </w:p>
                    </w:tc>
                  </w:tr>
                  <w:tr>
                    <w:trPr>
                      <w:trHeight w:val="254" w:hRule="exact"/>
                    </w:trPr>
                    <w:tc>
                      <w:tcPr>
                        <w:tcW w:w="1439" w:type="dxa"/>
                        <w:tcBorders>
                          <w:left w:val="single" w:sz="6" w:space="0" w:color="000000"/>
                          <w:bottom w:val="single" w:sz="6" w:space="0" w:color="CFD6E4"/>
                          <w:right w:val="single" w:sz="6" w:space="0" w:color="000000"/>
                        </w:tcBorders>
                      </w:tcPr>
                      <w:p>
                        <w:pPr/>
                      </w:p>
                    </w:tc>
                    <w:tc>
                      <w:tcPr>
                        <w:tcW w:w="1516" w:type="dxa"/>
                        <w:tcBorders>
                          <w:left w:val="single" w:sz="6" w:space="0" w:color="000000"/>
                          <w:bottom w:val="single" w:sz="6" w:space="0" w:color="CFD6E4"/>
                        </w:tcBorders>
                      </w:tcPr>
                      <w:p>
                        <w:pPr>
                          <w:pStyle w:val="TableParagraph"/>
                          <w:spacing w:before="12"/>
                          <w:ind w:left="14"/>
                          <w:jc w:val="center"/>
                          <w:rPr>
                            <w:sz w:val="19"/>
                          </w:rPr>
                        </w:pPr>
                        <w:r>
                          <w:rPr>
                            <w:w w:val="105"/>
                            <w:sz w:val="19"/>
                          </w:rPr>
                          <w:t>FEMALE</w:t>
                        </w:r>
                      </w:p>
                    </w:tc>
                    <w:tc>
                      <w:tcPr>
                        <w:tcW w:w="1320" w:type="dxa"/>
                        <w:gridSpan w:val="2"/>
                        <w:tcBorders>
                          <w:bottom w:val="single" w:sz="6" w:space="0" w:color="CFD6E4"/>
                        </w:tcBorders>
                      </w:tcPr>
                      <w:p>
                        <w:pPr>
                          <w:pStyle w:val="TableParagraph"/>
                          <w:spacing w:before="12"/>
                          <w:ind w:left="390"/>
                          <w:rPr>
                            <w:sz w:val="19"/>
                          </w:rPr>
                        </w:pPr>
                        <w:r>
                          <w:rPr>
                            <w:w w:val="105"/>
                            <w:sz w:val="19"/>
                          </w:rPr>
                          <w:t>MALE</w:t>
                        </w:r>
                      </w:p>
                    </w:tc>
                  </w:tr>
                  <w:tr>
                    <w:trPr>
                      <w:trHeight w:val="256" w:hRule="exact"/>
                    </w:trPr>
                    <w:tc>
                      <w:tcPr>
                        <w:tcW w:w="1439" w:type="dxa"/>
                        <w:tcBorders>
                          <w:top w:val="single" w:sz="6" w:space="0" w:color="CFD6E4"/>
                          <w:left w:val="single" w:sz="6" w:space="0" w:color="000000"/>
                          <w:bottom w:val="single" w:sz="6" w:space="0" w:color="CFD6E4"/>
                          <w:right w:val="single" w:sz="6" w:space="0" w:color="000000"/>
                        </w:tcBorders>
                      </w:tcPr>
                      <w:p>
                        <w:pPr>
                          <w:pStyle w:val="TableParagraph"/>
                          <w:spacing w:before="13"/>
                          <w:ind w:left="31" w:right="-5"/>
                          <w:rPr>
                            <w:sz w:val="19"/>
                          </w:rPr>
                        </w:pPr>
                        <w:r>
                          <w:rPr>
                            <w:w w:val="105"/>
                            <w:sz w:val="19"/>
                          </w:rPr>
                          <w:t>WEIGHT (KG)</w:t>
                        </w:r>
                      </w:p>
                    </w:tc>
                    <w:tc>
                      <w:tcPr>
                        <w:tcW w:w="1516" w:type="dxa"/>
                        <w:tcBorders>
                          <w:top w:val="single" w:sz="6" w:space="0" w:color="CFD6E4"/>
                          <w:left w:val="single" w:sz="6" w:space="0" w:color="000000"/>
                          <w:bottom w:val="single" w:sz="6" w:space="0" w:color="CFD6E4"/>
                        </w:tcBorders>
                      </w:tcPr>
                      <w:p>
                        <w:pPr>
                          <w:pStyle w:val="TableParagraph"/>
                          <w:spacing w:before="13"/>
                          <w:ind w:left="8"/>
                          <w:jc w:val="center"/>
                          <w:rPr>
                            <w:sz w:val="19"/>
                          </w:rPr>
                        </w:pPr>
                        <w:r>
                          <w:rPr>
                            <w:w w:val="105"/>
                            <w:sz w:val="19"/>
                          </w:rPr>
                          <w:t>26.43 +2.15</w:t>
                        </w:r>
                      </w:p>
                    </w:tc>
                    <w:tc>
                      <w:tcPr>
                        <w:tcW w:w="1320" w:type="dxa"/>
                        <w:gridSpan w:val="2"/>
                        <w:tcBorders>
                          <w:top w:val="single" w:sz="6" w:space="0" w:color="CFD6E4"/>
                          <w:bottom w:val="single" w:sz="6" w:space="0" w:color="CFD6E4"/>
                        </w:tcBorders>
                      </w:tcPr>
                      <w:p>
                        <w:pPr>
                          <w:pStyle w:val="TableParagraph"/>
                          <w:spacing w:before="13"/>
                          <w:ind w:left="30"/>
                          <w:rPr>
                            <w:sz w:val="19"/>
                          </w:rPr>
                        </w:pPr>
                        <w:r>
                          <w:rPr>
                            <w:w w:val="105"/>
                            <w:sz w:val="19"/>
                          </w:rPr>
                          <w:t>29.03 + 2.08</w:t>
                        </w:r>
                      </w:p>
                    </w:tc>
                  </w:tr>
                  <w:tr>
                    <w:trPr>
                      <w:trHeight w:val="256" w:hRule="exact"/>
                    </w:trPr>
                    <w:tc>
                      <w:tcPr>
                        <w:tcW w:w="1439" w:type="dxa"/>
                        <w:tcBorders>
                          <w:top w:val="single" w:sz="6" w:space="0" w:color="CFD6E4"/>
                          <w:left w:val="single" w:sz="6" w:space="0" w:color="000000"/>
                          <w:bottom w:val="single" w:sz="6" w:space="0" w:color="CFD6E4"/>
                          <w:right w:val="single" w:sz="6" w:space="0" w:color="000000"/>
                        </w:tcBorders>
                      </w:tcPr>
                      <w:p>
                        <w:pPr>
                          <w:pStyle w:val="TableParagraph"/>
                          <w:spacing w:before="13"/>
                          <w:ind w:left="31" w:right="-5"/>
                          <w:rPr>
                            <w:sz w:val="19"/>
                          </w:rPr>
                        </w:pPr>
                        <w:r>
                          <w:rPr>
                            <w:w w:val="105"/>
                            <w:sz w:val="19"/>
                          </w:rPr>
                          <w:t>HEIGHT (CM)</w:t>
                        </w:r>
                      </w:p>
                    </w:tc>
                    <w:tc>
                      <w:tcPr>
                        <w:tcW w:w="1516" w:type="dxa"/>
                        <w:tcBorders>
                          <w:top w:val="single" w:sz="6" w:space="0" w:color="CFD6E4"/>
                          <w:left w:val="single" w:sz="6" w:space="0" w:color="000000"/>
                          <w:bottom w:val="single" w:sz="6" w:space="0" w:color="CFD6E4"/>
                        </w:tcBorders>
                      </w:tcPr>
                      <w:p>
                        <w:pPr>
                          <w:pStyle w:val="TableParagraph"/>
                          <w:spacing w:before="13"/>
                          <w:ind w:left="15"/>
                          <w:jc w:val="center"/>
                          <w:rPr>
                            <w:sz w:val="19"/>
                          </w:rPr>
                        </w:pPr>
                        <w:r>
                          <w:rPr>
                            <w:w w:val="105"/>
                            <w:sz w:val="19"/>
                          </w:rPr>
                          <w:t>126.33+2.08</w:t>
                        </w:r>
                      </w:p>
                    </w:tc>
                    <w:tc>
                      <w:tcPr>
                        <w:tcW w:w="1320" w:type="dxa"/>
                        <w:gridSpan w:val="2"/>
                        <w:tcBorders>
                          <w:top w:val="single" w:sz="6" w:space="0" w:color="CFD6E4"/>
                          <w:bottom w:val="single" w:sz="6" w:space="0" w:color="CFD6E4"/>
                        </w:tcBorders>
                      </w:tcPr>
                      <w:p>
                        <w:pPr>
                          <w:pStyle w:val="TableParagraph"/>
                          <w:spacing w:before="13"/>
                          <w:ind w:left="30"/>
                          <w:rPr>
                            <w:sz w:val="19"/>
                          </w:rPr>
                        </w:pPr>
                        <w:r>
                          <w:rPr>
                            <w:w w:val="105"/>
                            <w:sz w:val="19"/>
                          </w:rPr>
                          <w:t>127.89+2.39</w:t>
                        </w:r>
                      </w:p>
                    </w:tc>
                  </w:tr>
                  <w:tr>
                    <w:trPr>
                      <w:trHeight w:val="256" w:hRule="exact"/>
                    </w:trPr>
                    <w:tc>
                      <w:tcPr>
                        <w:tcW w:w="1439" w:type="dxa"/>
                        <w:tcBorders>
                          <w:top w:val="single" w:sz="6" w:space="0" w:color="CFD6E4"/>
                          <w:left w:val="single" w:sz="6" w:space="0" w:color="000000"/>
                          <w:right w:val="single" w:sz="6" w:space="0" w:color="000000"/>
                        </w:tcBorders>
                      </w:tcPr>
                      <w:p>
                        <w:pPr>
                          <w:pStyle w:val="TableParagraph"/>
                          <w:spacing w:before="12"/>
                          <w:ind w:left="31" w:right="-5"/>
                          <w:rPr>
                            <w:sz w:val="19"/>
                          </w:rPr>
                        </w:pPr>
                        <w:r>
                          <w:rPr>
                            <w:w w:val="105"/>
                            <w:sz w:val="19"/>
                          </w:rPr>
                          <w:t>BMI</w:t>
                        </w:r>
                      </w:p>
                    </w:tc>
                    <w:tc>
                      <w:tcPr>
                        <w:tcW w:w="1516" w:type="dxa"/>
                        <w:tcBorders>
                          <w:top w:val="single" w:sz="6" w:space="0" w:color="CFD6E4"/>
                          <w:left w:val="single" w:sz="6" w:space="0" w:color="000000"/>
                        </w:tcBorders>
                      </w:tcPr>
                      <w:p>
                        <w:pPr>
                          <w:pStyle w:val="TableParagraph"/>
                          <w:spacing w:before="12"/>
                          <w:ind w:left="15"/>
                          <w:jc w:val="center"/>
                          <w:rPr>
                            <w:sz w:val="19"/>
                          </w:rPr>
                        </w:pPr>
                        <w:r>
                          <w:rPr>
                            <w:w w:val="105"/>
                            <w:sz w:val="19"/>
                          </w:rPr>
                          <w:t>16.37+0.90</w:t>
                        </w:r>
                      </w:p>
                    </w:tc>
                    <w:tc>
                      <w:tcPr>
                        <w:tcW w:w="1320" w:type="dxa"/>
                        <w:gridSpan w:val="2"/>
                        <w:tcBorders>
                          <w:top w:val="single" w:sz="6" w:space="0" w:color="CFD6E4"/>
                        </w:tcBorders>
                      </w:tcPr>
                      <w:p>
                        <w:pPr>
                          <w:pStyle w:val="TableParagraph"/>
                          <w:spacing w:before="12"/>
                          <w:ind w:left="30"/>
                          <w:rPr>
                            <w:sz w:val="19"/>
                          </w:rPr>
                        </w:pPr>
                        <w:r>
                          <w:rPr>
                            <w:w w:val="105"/>
                            <w:sz w:val="19"/>
                          </w:rPr>
                          <w:t>17.45+0.74</w:t>
                        </w:r>
                      </w:p>
                    </w:tc>
                  </w:tr>
                  <w:tr>
                    <w:trPr>
                      <w:trHeight w:val="254" w:hRule="exact"/>
                    </w:trPr>
                    <w:tc>
                      <w:tcPr>
                        <w:tcW w:w="2955" w:type="dxa"/>
                        <w:gridSpan w:val="2"/>
                        <w:tcBorders>
                          <w:left w:val="single" w:sz="6" w:space="0" w:color="000000"/>
                          <w:bottom w:val="single" w:sz="6" w:space="0" w:color="000000"/>
                          <w:right w:val="single" w:sz="6" w:space="0" w:color="CFD6E4"/>
                        </w:tcBorders>
                      </w:tcPr>
                      <w:p>
                        <w:pPr>
                          <w:pStyle w:val="TableParagraph"/>
                          <w:spacing w:before="12"/>
                          <w:ind w:left="31"/>
                          <w:rPr>
                            <w:sz w:val="19"/>
                          </w:rPr>
                        </w:pPr>
                        <w:r>
                          <w:rPr>
                            <w:w w:val="105"/>
                            <w:sz w:val="19"/>
                          </w:rPr>
                          <w:t>BAKPACK WEIGT (KG)</w:t>
                        </w:r>
                      </w:p>
                    </w:tc>
                    <w:tc>
                      <w:tcPr>
                        <w:tcW w:w="1320" w:type="dxa"/>
                        <w:gridSpan w:val="2"/>
                        <w:tcBorders>
                          <w:left w:val="single" w:sz="6" w:space="0" w:color="CFD6E4"/>
                          <w:bottom w:val="single" w:sz="6" w:space="0" w:color="000000"/>
                        </w:tcBorders>
                      </w:tcPr>
                      <w:p>
                        <w:pPr>
                          <w:pStyle w:val="TableParagraph"/>
                          <w:spacing w:before="12"/>
                          <w:ind w:left="30"/>
                          <w:rPr>
                            <w:sz w:val="19"/>
                          </w:rPr>
                        </w:pPr>
                        <w:r>
                          <w:rPr>
                            <w:w w:val="105"/>
                            <w:sz w:val="19"/>
                          </w:rPr>
                          <w:t>3.46+0.20</w:t>
                        </w:r>
                      </w:p>
                    </w:tc>
                  </w:tr>
                  <w:tr>
                    <w:trPr>
                      <w:trHeight w:val="256" w:hRule="exact"/>
                    </w:trPr>
                    <w:tc>
                      <w:tcPr>
                        <w:tcW w:w="1439" w:type="dxa"/>
                        <w:tcBorders>
                          <w:top w:val="single" w:sz="6" w:space="0" w:color="000000"/>
                          <w:left w:val="single" w:sz="6" w:space="0" w:color="000000"/>
                          <w:bottom w:val="single" w:sz="6" w:space="0" w:color="CFD6E4"/>
                          <w:right w:val="single" w:sz="6" w:space="0" w:color="000000"/>
                        </w:tcBorders>
                      </w:tcPr>
                      <w:p>
                        <w:pPr>
                          <w:pStyle w:val="TableParagraph"/>
                          <w:spacing w:before="13"/>
                          <w:ind w:left="31" w:right="-5"/>
                          <w:rPr>
                            <w:sz w:val="19"/>
                          </w:rPr>
                        </w:pPr>
                        <w:r>
                          <w:rPr>
                            <w:spacing w:val="-9"/>
                            <w:sz w:val="19"/>
                          </w:rPr>
                          <w:t>RECOMENDADE</w:t>
                        </w:r>
                      </w:p>
                    </w:tc>
                    <w:tc>
                      <w:tcPr>
                        <w:tcW w:w="1516" w:type="dxa"/>
                        <w:tcBorders>
                          <w:top w:val="single" w:sz="6" w:space="0" w:color="000000"/>
                          <w:left w:val="single" w:sz="6" w:space="0" w:color="000000"/>
                          <w:bottom w:val="single" w:sz="6" w:space="0" w:color="CFD6E4"/>
                        </w:tcBorders>
                      </w:tcPr>
                      <w:p>
                        <w:pPr>
                          <w:pStyle w:val="TableParagraph"/>
                          <w:spacing w:before="13"/>
                          <w:ind w:left="-1" w:right="-13"/>
                          <w:jc w:val="center"/>
                          <w:rPr>
                            <w:sz w:val="19"/>
                          </w:rPr>
                        </w:pPr>
                        <w:r>
                          <w:rPr>
                            <w:spacing w:val="-3"/>
                            <w:w w:val="105"/>
                            <w:sz w:val="19"/>
                          </w:rPr>
                          <w:t>MORE</w:t>
                        </w:r>
                        <w:r>
                          <w:rPr>
                            <w:spacing w:val="-33"/>
                            <w:w w:val="105"/>
                            <w:sz w:val="19"/>
                          </w:rPr>
                          <w:t> </w:t>
                        </w:r>
                        <w:r>
                          <w:rPr>
                            <w:w w:val="105"/>
                            <w:sz w:val="19"/>
                          </w:rPr>
                          <w:t>THAN</w:t>
                        </w:r>
                        <w:r>
                          <w:rPr>
                            <w:spacing w:val="-28"/>
                            <w:w w:val="105"/>
                            <w:sz w:val="19"/>
                          </w:rPr>
                          <w:t> </w:t>
                        </w:r>
                        <w:r>
                          <w:rPr>
                            <w:spacing w:val="-6"/>
                            <w:w w:val="105"/>
                            <w:sz w:val="19"/>
                          </w:rPr>
                          <w:t>10%</w:t>
                        </w:r>
                      </w:p>
                    </w:tc>
                    <w:tc>
                      <w:tcPr>
                        <w:tcW w:w="660" w:type="dxa"/>
                        <w:tcBorders>
                          <w:top w:val="single" w:sz="6" w:space="0" w:color="000000"/>
                          <w:bottom w:val="single" w:sz="6" w:space="0" w:color="CFD6E4"/>
                        </w:tcBorders>
                      </w:tcPr>
                      <w:p>
                        <w:pPr>
                          <w:pStyle w:val="TableParagraph"/>
                          <w:spacing w:before="13"/>
                          <w:ind w:right="27"/>
                          <w:jc w:val="right"/>
                          <w:rPr>
                            <w:sz w:val="19"/>
                          </w:rPr>
                        </w:pPr>
                        <w:r>
                          <w:rPr>
                            <w:sz w:val="19"/>
                          </w:rPr>
                          <w:t>70</w:t>
                        </w:r>
                      </w:p>
                    </w:tc>
                    <w:tc>
                      <w:tcPr>
                        <w:tcW w:w="660" w:type="dxa"/>
                        <w:tcBorders>
                          <w:top w:val="single" w:sz="6" w:space="0" w:color="000000"/>
                          <w:bottom w:val="single" w:sz="6" w:space="0" w:color="CFD6E4"/>
                        </w:tcBorders>
                      </w:tcPr>
                      <w:p>
                        <w:pPr>
                          <w:pStyle w:val="TableParagraph"/>
                          <w:spacing w:before="13"/>
                          <w:ind w:left="90"/>
                          <w:jc w:val="center"/>
                          <w:rPr>
                            <w:sz w:val="19"/>
                          </w:rPr>
                        </w:pPr>
                        <w:r>
                          <w:rPr>
                            <w:w w:val="105"/>
                            <w:sz w:val="19"/>
                          </w:rPr>
                          <w:t>67.308</w:t>
                        </w:r>
                      </w:p>
                    </w:tc>
                  </w:tr>
                  <w:tr>
                    <w:trPr>
                      <w:trHeight w:val="256" w:hRule="exact"/>
                    </w:trPr>
                    <w:tc>
                      <w:tcPr>
                        <w:tcW w:w="1439" w:type="dxa"/>
                        <w:tcBorders>
                          <w:top w:val="single" w:sz="6" w:space="0" w:color="CFD6E4"/>
                          <w:left w:val="single" w:sz="6" w:space="0" w:color="000000"/>
                          <w:right w:val="single" w:sz="6" w:space="0" w:color="000000"/>
                        </w:tcBorders>
                      </w:tcPr>
                      <w:p>
                        <w:pPr/>
                      </w:p>
                    </w:tc>
                    <w:tc>
                      <w:tcPr>
                        <w:tcW w:w="1516" w:type="dxa"/>
                        <w:tcBorders>
                          <w:top w:val="single" w:sz="6" w:space="0" w:color="CFD6E4"/>
                          <w:left w:val="single" w:sz="6" w:space="0" w:color="000000"/>
                        </w:tcBorders>
                      </w:tcPr>
                      <w:p>
                        <w:pPr>
                          <w:pStyle w:val="TableParagraph"/>
                          <w:spacing w:before="13"/>
                          <w:ind w:left="5"/>
                          <w:jc w:val="center"/>
                          <w:rPr>
                            <w:sz w:val="19"/>
                          </w:rPr>
                        </w:pPr>
                        <w:r>
                          <w:rPr>
                            <w:w w:val="105"/>
                            <w:sz w:val="19"/>
                          </w:rPr>
                          <w:t>LESS THAN 10%</w:t>
                        </w:r>
                      </w:p>
                    </w:tc>
                    <w:tc>
                      <w:tcPr>
                        <w:tcW w:w="660" w:type="dxa"/>
                        <w:tcBorders>
                          <w:top w:val="single" w:sz="6" w:space="0" w:color="CFD6E4"/>
                        </w:tcBorders>
                      </w:tcPr>
                      <w:p>
                        <w:pPr>
                          <w:pStyle w:val="TableParagraph"/>
                          <w:spacing w:before="13"/>
                          <w:ind w:right="27"/>
                          <w:jc w:val="right"/>
                          <w:rPr>
                            <w:sz w:val="19"/>
                          </w:rPr>
                        </w:pPr>
                        <w:r>
                          <w:rPr>
                            <w:sz w:val="19"/>
                          </w:rPr>
                          <w:t>34</w:t>
                        </w:r>
                      </w:p>
                    </w:tc>
                    <w:tc>
                      <w:tcPr>
                        <w:tcW w:w="660" w:type="dxa"/>
                        <w:tcBorders>
                          <w:top w:val="single" w:sz="6" w:space="0" w:color="CFD6E4"/>
                        </w:tcBorders>
                      </w:tcPr>
                      <w:p>
                        <w:pPr>
                          <w:pStyle w:val="TableParagraph"/>
                          <w:spacing w:before="13"/>
                          <w:ind w:left="90"/>
                          <w:jc w:val="center"/>
                          <w:rPr>
                            <w:sz w:val="19"/>
                          </w:rPr>
                        </w:pPr>
                        <w:r>
                          <w:rPr>
                            <w:w w:val="105"/>
                            <w:sz w:val="19"/>
                          </w:rPr>
                          <w:t>32.692</w:t>
                        </w:r>
                      </w:p>
                    </w:tc>
                  </w:tr>
                  <w:tr>
                    <w:trPr>
                      <w:trHeight w:val="256" w:hRule="exact"/>
                    </w:trPr>
                    <w:tc>
                      <w:tcPr>
                        <w:tcW w:w="1439" w:type="dxa"/>
                        <w:tcBorders>
                          <w:left w:val="single" w:sz="6" w:space="0" w:color="000000"/>
                          <w:bottom w:val="single" w:sz="6" w:space="0" w:color="CFD6E4"/>
                          <w:right w:val="single" w:sz="6" w:space="0" w:color="000000"/>
                        </w:tcBorders>
                      </w:tcPr>
                      <w:p>
                        <w:pPr>
                          <w:pStyle w:val="TableParagraph"/>
                          <w:spacing w:before="12"/>
                          <w:ind w:left="31" w:right="-5"/>
                          <w:rPr>
                            <w:sz w:val="19"/>
                          </w:rPr>
                        </w:pPr>
                        <w:r>
                          <w:rPr>
                            <w:w w:val="105"/>
                            <w:sz w:val="19"/>
                          </w:rPr>
                          <w:t>BMI</w:t>
                        </w:r>
                      </w:p>
                    </w:tc>
                    <w:tc>
                      <w:tcPr>
                        <w:tcW w:w="1516" w:type="dxa"/>
                        <w:tcBorders>
                          <w:left w:val="single" w:sz="6" w:space="0" w:color="000000"/>
                          <w:bottom w:val="single" w:sz="6" w:space="0" w:color="CFD6E4"/>
                        </w:tcBorders>
                      </w:tcPr>
                      <w:p>
                        <w:pPr>
                          <w:pStyle w:val="TableParagraph"/>
                          <w:spacing w:before="12"/>
                          <w:ind w:left="30"/>
                          <w:jc w:val="center"/>
                          <w:rPr>
                            <w:sz w:val="19"/>
                          </w:rPr>
                        </w:pPr>
                        <w:r>
                          <w:rPr>
                            <w:w w:val="105"/>
                            <w:sz w:val="19"/>
                          </w:rPr>
                          <w:t>NORMAL</w:t>
                        </w:r>
                      </w:p>
                    </w:tc>
                    <w:tc>
                      <w:tcPr>
                        <w:tcW w:w="660" w:type="dxa"/>
                        <w:tcBorders>
                          <w:bottom w:val="single" w:sz="6" w:space="0" w:color="CFD6E4"/>
                        </w:tcBorders>
                      </w:tcPr>
                      <w:p>
                        <w:pPr>
                          <w:pStyle w:val="TableParagraph"/>
                          <w:spacing w:before="12"/>
                          <w:ind w:right="20"/>
                          <w:jc w:val="right"/>
                          <w:rPr>
                            <w:sz w:val="19"/>
                          </w:rPr>
                        </w:pPr>
                        <w:r>
                          <w:rPr>
                            <w:sz w:val="19"/>
                          </w:rPr>
                          <w:t>77</w:t>
                        </w:r>
                      </w:p>
                    </w:tc>
                    <w:tc>
                      <w:tcPr>
                        <w:tcW w:w="660" w:type="dxa"/>
                        <w:tcBorders>
                          <w:bottom w:val="single" w:sz="6" w:space="0" w:color="CFD6E4"/>
                        </w:tcBorders>
                      </w:tcPr>
                      <w:p>
                        <w:pPr>
                          <w:pStyle w:val="TableParagraph"/>
                          <w:spacing w:before="12"/>
                          <w:ind w:left="90"/>
                          <w:jc w:val="center"/>
                          <w:rPr>
                            <w:sz w:val="19"/>
                          </w:rPr>
                        </w:pPr>
                        <w:r>
                          <w:rPr>
                            <w:w w:val="105"/>
                            <w:sz w:val="19"/>
                          </w:rPr>
                          <w:t>74.038</w:t>
                        </w:r>
                      </w:p>
                    </w:tc>
                  </w:tr>
                  <w:tr>
                    <w:trPr>
                      <w:trHeight w:val="254" w:hRule="exact"/>
                    </w:trPr>
                    <w:tc>
                      <w:tcPr>
                        <w:tcW w:w="1439" w:type="dxa"/>
                        <w:tcBorders>
                          <w:top w:val="single" w:sz="6" w:space="0" w:color="CFD6E4"/>
                          <w:left w:val="single" w:sz="6" w:space="0" w:color="000000"/>
                          <w:bottom w:val="single" w:sz="6" w:space="0" w:color="CFD6E4"/>
                          <w:right w:val="single" w:sz="6" w:space="0" w:color="000000"/>
                        </w:tcBorders>
                      </w:tcPr>
                      <w:p>
                        <w:pPr/>
                      </w:p>
                    </w:tc>
                    <w:tc>
                      <w:tcPr>
                        <w:tcW w:w="1516" w:type="dxa"/>
                        <w:tcBorders>
                          <w:top w:val="single" w:sz="6" w:space="0" w:color="CFD6E4"/>
                          <w:left w:val="single" w:sz="6" w:space="0" w:color="000000"/>
                          <w:bottom w:val="single" w:sz="6" w:space="0" w:color="CFD6E4"/>
                        </w:tcBorders>
                      </w:tcPr>
                      <w:p>
                        <w:pPr>
                          <w:pStyle w:val="TableParagraph"/>
                          <w:spacing w:before="12"/>
                          <w:ind w:left="14"/>
                          <w:jc w:val="center"/>
                          <w:rPr>
                            <w:sz w:val="19"/>
                          </w:rPr>
                        </w:pPr>
                        <w:r>
                          <w:rPr>
                            <w:w w:val="105"/>
                            <w:sz w:val="19"/>
                          </w:rPr>
                          <w:t>OVERWEIGHT</w:t>
                        </w:r>
                      </w:p>
                    </w:tc>
                    <w:tc>
                      <w:tcPr>
                        <w:tcW w:w="660" w:type="dxa"/>
                        <w:tcBorders>
                          <w:top w:val="single" w:sz="6" w:space="0" w:color="CFD6E4"/>
                          <w:bottom w:val="single" w:sz="6" w:space="0" w:color="CFD6E4"/>
                        </w:tcBorders>
                      </w:tcPr>
                      <w:p>
                        <w:pPr>
                          <w:pStyle w:val="TableParagraph"/>
                          <w:spacing w:before="12"/>
                          <w:ind w:right="27"/>
                          <w:jc w:val="right"/>
                          <w:rPr>
                            <w:sz w:val="19"/>
                          </w:rPr>
                        </w:pPr>
                        <w:r>
                          <w:rPr>
                            <w:sz w:val="19"/>
                          </w:rPr>
                          <w:t>15</w:t>
                        </w:r>
                      </w:p>
                    </w:tc>
                    <w:tc>
                      <w:tcPr>
                        <w:tcW w:w="660" w:type="dxa"/>
                        <w:tcBorders>
                          <w:top w:val="single" w:sz="6" w:space="0" w:color="CFD6E4"/>
                          <w:bottom w:val="single" w:sz="6" w:space="0" w:color="CFD6E4"/>
                        </w:tcBorders>
                      </w:tcPr>
                      <w:p>
                        <w:pPr>
                          <w:pStyle w:val="TableParagraph"/>
                          <w:spacing w:before="12"/>
                          <w:ind w:left="90"/>
                          <w:jc w:val="center"/>
                          <w:rPr>
                            <w:sz w:val="19"/>
                          </w:rPr>
                        </w:pPr>
                        <w:r>
                          <w:rPr>
                            <w:w w:val="105"/>
                            <w:sz w:val="19"/>
                          </w:rPr>
                          <w:t>14.423</w:t>
                        </w:r>
                      </w:p>
                    </w:tc>
                  </w:tr>
                  <w:tr>
                    <w:trPr>
                      <w:trHeight w:val="256" w:hRule="exact"/>
                    </w:trPr>
                    <w:tc>
                      <w:tcPr>
                        <w:tcW w:w="1439" w:type="dxa"/>
                        <w:tcBorders>
                          <w:top w:val="single" w:sz="6" w:space="0" w:color="CFD6E4"/>
                          <w:left w:val="single" w:sz="6" w:space="0" w:color="000000"/>
                          <w:bottom w:val="single" w:sz="6" w:space="0" w:color="CFD6E4"/>
                          <w:right w:val="single" w:sz="6" w:space="0" w:color="000000"/>
                        </w:tcBorders>
                      </w:tcPr>
                      <w:p>
                        <w:pPr/>
                      </w:p>
                    </w:tc>
                    <w:tc>
                      <w:tcPr>
                        <w:tcW w:w="1516" w:type="dxa"/>
                        <w:tcBorders>
                          <w:top w:val="single" w:sz="6" w:space="0" w:color="CFD6E4"/>
                          <w:left w:val="single" w:sz="6" w:space="0" w:color="000000"/>
                          <w:bottom w:val="single" w:sz="6" w:space="0" w:color="CFD6E4"/>
                        </w:tcBorders>
                      </w:tcPr>
                      <w:p>
                        <w:pPr>
                          <w:pStyle w:val="TableParagraph"/>
                          <w:spacing w:before="13"/>
                          <w:ind w:left="36"/>
                          <w:jc w:val="center"/>
                          <w:rPr>
                            <w:sz w:val="19"/>
                          </w:rPr>
                        </w:pPr>
                        <w:r>
                          <w:rPr>
                            <w:w w:val="105"/>
                            <w:sz w:val="19"/>
                          </w:rPr>
                          <w:t>OBESITY</w:t>
                        </w:r>
                      </w:p>
                    </w:tc>
                    <w:tc>
                      <w:tcPr>
                        <w:tcW w:w="660" w:type="dxa"/>
                        <w:tcBorders>
                          <w:top w:val="single" w:sz="6" w:space="0" w:color="CFD6E4"/>
                          <w:bottom w:val="single" w:sz="6" w:space="0" w:color="CFD6E4"/>
                        </w:tcBorders>
                      </w:tcPr>
                      <w:p>
                        <w:pPr>
                          <w:pStyle w:val="TableParagraph"/>
                          <w:spacing w:before="13"/>
                          <w:ind w:right="20"/>
                          <w:jc w:val="right"/>
                          <w:rPr>
                            <w:sz w:val="19"/>
                          </w:rPr>
                        </w:pPr>
                        <w:r>
                          <w:rPr>
                            <w:sz w:val="19"/>
                          </w:rPr>
                          <w:t>10</w:t>
                        </w:r>
                      </w:p>
                    </w:tc>
                    <w:tc>
                      <w:tcPr>
                        <w:tcW w:w="660" w:type="dxa"/>
                        <w:tcBorders>
                          <w:top w:val="single" w:sz="6" w:space="0" w:color="CFD6E4"/>
                          <w:bottom w:val="single" w:sz="6" w:space="0" w:color="CFD6E4"/>
                        </w:tcBorders>
                      </w:tcPr>
                      <w:p>
                        <w:pPr>
                          <w:pStyle w:val="TableParagraph"/>
                          <w:spacing w:before="13"/>
                          <w:ind w:left="90"/>
                          <w:jc w:val="center"/>
                          <w:rPr>
                            <w:sz w:val="19"/>
                          </w:rPr>
                        </w:pPr>
                        <w:r>
                          <w:rPr>
                            <w:w w:val="105"/>
                            <w:sz w:val="19"/>
                          </w:rPr>
                          <w:t>9.6154</w:t>
                        </w:r>
                      </w:p>
                    </w:tc>
                  </w:tr>
                  <w:tr>
                    <w:trPr>
                      <w:trHeight w:val="256" w:hRule="exact"/>
                    </w:trPr>
                    <w:tc>
                      <w:tcPr>
                        <w:tcW w:w="1439" w:type="dxa"/>
                        <w:tcBorders>
                          <w:top w:val="single" w:sz="6" w:space="0" w:color="CFD6E4"/>
                          <w:left w:val="single" w:sz="6" w:space="0" w:color="000000"/>
                          <w:right w:val="single" w:sz="6" w:space="0" w:color="000000"/>
                        </w:tcBorders>
                      </w:tcPr>
                      <w:p>
                        <w:pPr/>
                      </w:p>
                    </w:tc>
                    <w:tc>
                      <w:tcPr>
                        <w:tcW w:w="1516" w:type="dxa"/>
                        <w:tcBorders>
                          <w:top w:val="single" w:sz="6" w:space="0" w:color="CFD6E4"/>
                          <w:left w:val="single" w:sz="6" w:space="0" w:color="000000"/>
                        </w:tcBorders>
                      </w:tcPr>
                      <w:p>
                        <w:pPr>
                          <w:pStyle w:val="TableParagraph"/>
                          <w:spacing w:before="13"/>
                          <w:ind w:left="21"/>
                          <w:jc w:val="center"/>
                          <w:rPr>
                            <w:sz w:val="19"/>
                          </w:rPr>
                        </w:pPr>
                        <w:r>
                          <w:rPr>
                            <w:sz w:val="19"/>
                          </w:rPr>
                          <w:t>MALNUTRITION</w:t>
                        </w:r>
                      </w:p>
                    </w:tc>
                    <w:tc>
                      <w:tcPr>
                        <w:tcW w:w="660" w:type="dxa"/>
                        <w:tcBorders>
                          <w:top w:val="single" w:sz="6" w:space="0" w:color="CFD6E4"/>
                        </w:tcBorders>
                      </w:tcPr>
                      <w:p>
                        <w:pPr>
                          <w:pStyle w:val="TableParagraph"/>
                          <w:spacing w:before="13"/>
                          <w:ind w:right="20"/>
                          <w:jc w:val="right"/>
                          <w:rPr>
                            <w:sz w:val="19"/>
                          </w:rPr>
                        </w:pPr>
                        <w:r>
                          <w:rPr>
                            <w:w w:val="102"/>
                            <w:sz w:val="19"/>
                          </w:rPr>
                          <w:t>2</w:t>
                        </w:r>
                      </w:p>
                    </w:tc>
                    <w:tc>
                      <w:tcPr>
                        <w:tcW w:w="660" w:type="dxa"/>
                        <w:tcBorders>
                          <w:top w:val="single" w:sz="6" w:space="0" w:color="CFD6E4"/>
                        </w:tcBorders>
                      </w:tcPr>
                      <w:p>
                        <w:pPr>
                          <w:pStyle w:val="TableParagraph"/>
                          <w:spacing w:before="13"/>
                          <w:ind w:left="90"/>
                          <w:jc w:val="center"/>
                          <w:rPr>
                            <w:sz w:val="19"/>
                          </w:rPr>
                        </w:pPr>
                        <w:r>
                          <w:rPr>
                            <w:w w:val="105"/>
                            <w:sz w:val="19"/>
                          </w:rPr>
                          <w:t>1.9231</w:t>
                        </w:r>
                      </w:p>
                    </w:tc>
                  </w:tr>
                  <w:tr>
                    <w:trPr>
                      <w:trHeight w:val="263" w:hRule="exact"/>
                    </w:trPr>
                    <w:tc>
                      <w:tcPr>
                        <w:tcW w:w="2955" w:type="dxa"/>
                        <w:gridSpan w:val="2"/>
                        <w:tcBorders>
                          <w:left w:val="single" w:sz="6" w:space="0" w:color="000000"/>
                          <w:bottom w:val="single" w:sz="12" w:space="0" w:color="000000"/>
                          <w:right w:val="single" w:sz="6" w:space="0" w:color="CFD6E4"/>
                        </w:tcBorders>
                      </w:tcPr>
                      <w:p>
                        <w:pPr>
                          <w:pStyle w:val="TableParagraph"/>
                          <w:spacing w:before="12"/>
                          <w:ind w:left="31"/>
                          <w:rPr>
                            <w:sz w:val="19"/>
                          </w:rPr>
                        </w:pPr>
                        <w:r>
                          <w:rPr>
                            <w:w w:val="105"/>
                            <w:sz w:val="19"/>
                          </w:rPr>
                          <w:t>BMI: BODY MASS INDEX</w:t>
                        </w:r>
                      </w:p>
                    </w:tc>
                    <w:tc>
                      <w:tcPr>
                        <w:tcW w:w="660" w:type="dxa"/>
                        <w:tcBorders>
                          <w:left w:val="single" w:sz="6" w:space="0" w:color="CFD6E4"/>
                          <w:bottom w:val="single" w:sz="12" w:space="0" w:color="000000"/>
                          <w:right w:val="single" w:sz="6" w:space="0" w:color="CFD6E4"/>
                        </w:tcBorders>
                      </w:tcPr>
                      <w:p>
                        <w:pPr/>
                      </w:p>
                    </w:tc>
                    <w:tc>
                      <w:tcPr>
                        <w:tcW w:w="660" w:type="dxa"/>
                        <w:tcBorders>
                          <w:left w:val="single" w:sz="6" w:space="0" w:color="CFD6E4"/>
                          <w:bottom w:val="single" w:sz="12" w:space="0" w:color="000000"/>
                          <w:right w:val="single" w:sz="12" w:space="0" w:color="000000"/>
                        </w:tcBorders>
                      </w:tcPr>
                      <w:p>
                        <w:pPr/>
                      </w:p>
                    </w:tc>
                  </w:tr>
                </w:tbl>
                <w:p>
                  <w:pPr>
                    <w:pStyle w:val="BodyText"/>
                  </w:pPr>
                </w:p>
              </w:txbxContent>
            </v:textbox>
            <w10:wrap type="none"/>
          </v:shape>
        </w:pict>
      </w:r>
      <w:r>
        <w:rPr>
          <w:color w:val="202020"/>
        </w:rPr>
        <w:t>Table 3 shows that for infants of 9-11 years, the weight of the backpack is more than 10 % of body weight lesser extent, broadly representing 9% of the weight of women and</w:t>
      </w:r>
    </w:p>
    <w:p>
      <w:pPr>
        <w:pStyle w:val="BodyText"/>
        <w:ind w:left="5895" w:right="676"/>
        <w:jc w:val="both"/>
      </w:pPr>
      <w:r>
        <w:rPr>
          <w:color w:val="202020"/>
        </w:rPr>
        <w:t>8.7 % of men . This generates the fact that a smaller percentage of infants ( 48 % ) carry excess weight on your back while loading his backpack. It is clear that children who are overweight or obese does not mean you can carry a heavier backpack, for purposes of the study was taken into account to analyze the percentage of weight in relation to its ideal according to your</w:t>
      </w:r>
      <w:r>
        <w:rPr>
          <w:color w:val="202020"/>
          <w:spacing w:val="-20"/>
        </w:rPr>
        <w:t> </w:t>
      </w:r>
      <w:r>
        <w:rPr>
          <w:color w:val="202020"/>
        </w:rPr>
        <w:t>height.</w:t>
      </w:r>
    </w:p>
    <w:p>
      <w:pPr>
        <w:pStyle w:val="BodyText"/>
        <w:spacing w:before="11"/>
        <w:rPr>
          <w:sz w:val="19"/>
        </w:rPr>
      </w:pPr>
    </w:p>
    <w:p>
      <w:pPr>
        <w:pStyle w:val="BodyText"/>
        <w:ind w:left="5895" w:right="900" w:firstLine="426"/>
      </w:pPr>
      <w:r>
        <w:rPr>
          <w:color w:val="202020"/>
        </w:rPr>
        <w:t>Table 4 shows the travel habits at school and use the backpack.</w:t>
      </w:r>
    </w:p>
    <w:p>
      <w:pPr>
        <w:pStyle w:val="BodyText"/>
      </w:pPr>
    </w:p>
    <w:p>
      <w:pPr>
        <w:spacing w:after="0"/>
        <w:sectPr>
          <w:pgSz w:w="12240" w:h="15840"/>
          <w:pgMar w:header="545" w:footer="852" w:top="1060" w:bottom="1040" w:left="580" w:right="220"/>
        </w:sectPr>
      </w:pPr>
    </w:p>
    <w:p>
      <w:pPr>
        <w:pStyle w:val="BodyText"/>
      </w:pPr>
    </w:p>
    <w:p>
      <w:pPr>
        <w:pStyle w:val="BodyText"/>
        <w:ind w:left="270"/>
        <w:jc w:val="both"/>
      </w:pPr>
      <w:r>
        <w:rPr>
          <w:color w:val="202020"/>
        </w:rPr>
        <w:t>Table 2 shows that for infants of 6-8 years, the weight of the backpack is more than 10 % of body weight , accounting for 13 % of the weight of women and 11.9 % of men . This generates the fact that a large percentage of infants ( 67 % ) carry excess weight on your back while loading  his backpack. It is clear that children who are overweight or obese does not mean you can carry a heavier backpack, for purposes of the study was taken into account to analyze the percentage of weight in relation to its ideal according to your height.</w:t>
      </w:r>
    </w:p>
    <w:p>
      <w:pPr>
        <w:pStyle w:val="BodyText"/>
      </w:pPr>
    </w:p>
    <w:p>
      <w:pPr>
        <w:pStyle w:val="BodyText"/>
      </w:pPr>
    </w:p>
    <w:p>
      <w:pPr>
        <w:pStyle w:val="BodyText"/>
        <w:ind w:left="993"/>
      </w:pPr>
      <w:r>
        <w:rPr>
          <w:color w:val="202020"/>
        </w:rPr>
        <w:t>Table 3. Analysis for children 9 to 11 years</w:t>
      </w:r>
    </w:p>
    <w:p>
      <w:pPr>
        <w:pStyle w:val="BodyText"/>
      </w:pPr>
      <w:r>
        <w:rPr/>
        <w:br w:type="column"/>
      </w:r>
      <w:r>
        <w:rPr/>
      </w:r>
    </w:p>
    <w:p>
      <w:pPr>
        <w:pStyle w:val="BodyText"/>
        <w:ind w:left="270"/>
      </w:pPr>
      <w:r>
        <w:rPr/>
        <w:pict>
          <v:shape style="position:absolute;margin-left:322.559998pt;margin-top:23.136442pt;width:217.6pt;height:214.3pt;mso-position-horizontal-relative:page;mso-position-vertical-relative:paragraph;z-index:15952" type="#_x0000_t202" filled="false" stroked="false">
            <v:textbox inset="0,0,0,0">
              <w:txbxContent>
                <w:tbl>
                  <w:tblPr>
                    <w:tblW w:w="0" w:type="auto"/>
                    <w:jc w:val="lef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760"/>
                    <w:gridCol w:w="1362"/>
                    <w:gridCol w:w="1200"/>
                  </w:tblGrid>
                  <w:tr>
                    <w:trPr>
                      <w:trHeight w:val="270" w:hRule="exact"/>
                    </w:trPr>
                    <w:tc>
                      <w:tcPr>
                        <w:tcW w:w="1760" w:type="dxa"/>
                        <w:vMerge w:val="restart"/>
                        <w:tcBorders>
                          <w:right w:val="single" w:sz="4" w:space="0" w:color="000000"/>
                        </w:tcBorders>
                      </w:tcPr>
                      <w:p>
                        <w:pPr>
                          <w:pStyle w:val="TableParagraph"/>
                          <w:spacing w:before="23"/>
                          <w:ind w:left="61" w:right="443"/>
                          <w:rPr>
                            <w:sz w:val="20"/>
                          </w:rPr>
                        </w:pPr>
                        <w:r>
                          <w:rPr>
                            <w:sz w:val="20"/>
                          </w:rPr>
                          <w:t>Style backpak</w:t>
                        </w:r>
                      </w:p>
                    </w:tc>
                    <w:tc>
                      <w:tcPr>
                        <w:tcW w:w="1362" w:type="dxa"/>
                        <w:tcBorders>
                          <w:left w:val="single" w:sz="4" w:space="0" w:color="000000"/>
                          <w:bottom w:val="single" w:sz="4" w:space="0" w:color="000000"/>
                          <w:right w:val="single" w:sz="4" w:space="0" w:color="000000"/>
                        </w:tcBorders>
                      </w:tcPr>
                      <w:p>
                        <w:pPr>
                          <w:pStyle w:val="TableParagraph"/>
                          <w:spacing w:before="23"/>
                          <w:ind w:left="68"/>
                          <w:rPr>
                            <w:sz w:val="20"/>
                          </w:rPr>
                        </w:pPr>
                        <w:r>
                          <w:rPr>
                            <w:sz w:val="20"/>
                          </w:rPr>
                          <w:t>without wheels</w:t>
                        </w:r>
                      </w:p>
                    </w:tc>
                    <w:tc>
                      <w:tcPr>
                        <w:tcW w:w="1200" w:type="dxa"/>
                        <w:tcBorders>
                          <w:left w:val="single" w:sz="4" w:space="0" w:color="000000"/>
                          <w:bottom w:val="single" w:sz="4" w:space="0" w:color="000000"/>
                        </w:tcBorders>
                      </w:tcPr>
                      <w:p>
                        <w:pPr>
                          <w:pStyle w:val="TableParagraph"/>
                          <w:spacing w:before="23"/>
                          <w:ind w:right="57"/>
                          <w:jc w:val="right"/>
                          <w:rPr>
                            <w:sz w:val="20"/>
                          </w:rPr>
                        </w:pPr>
                        <w:r>
                          <w:rPr>
                            <w:sz w:val="20"/>
                          </w:rPr>
                          <w:t>93.70%</w:t>
                        </w:r>
                      </w:p>
                    </w:tc>
                  </w:tr>
                  <w:tr>
                    <w:trPr>
                      <w:trHeight w:val="286" w:hRule="exact"/>
                    </w:trPr>
                    <w:tc>
                      <w:tcPr>
                        <w:tcW w:w="1760" w:type="dxa"/>
                        <w:vMerge/>
                        <w:tcBorders>
                          <w:right w:val="single" w:sz="4" w:space="0" w:color="000000"/>
                        </w:tcBorders>
                      </w:tcPr>
                      <w:p>
                        <w:pPr/>
                      </w:p>
                    </w:tc>
                    <w:tc>
                      <w:tcPr>
                        <w:tcW w:w="1362" w:type="dxa"/>
                        <w:tcBorders>
                          <w:top w:val="single" w:sz="4" w:space="0" w:color="000000"/>
                          <w:left w:val="single" w:sz="4" w:space="0" w:color="000000"/>
                          <w:right w:val="single" w:sz="4" w:space="0" w:color="000000"/>
                        </w:tcBorders>
                      </w:tcPr>
                      <w:p>
                        <w:pPr>
                          <w:pStyle w:val="TableParagraph"/>
                          <w:spacing w:before="37"/>
                          <w:ind w:left="234"/>
                          <w:rPr>
                            <w:sz w:val="20"/>
                          </w:rPr>
                        </w:pPr>
                        <w:r>
                          <w:rPr>
                            <w:sz w:val="20"/>
                          </w:rPr>
                          <w:t>with wheel</w:t>
                        </w:r>
                      </w:p>
                    </w:tc>
                    <w:tc>
                      <w:tcPr>
                        <w:tcW w:w="1200" w:type="dxa"/>
                        <w:tcBorders>
                          <w:top w:val="single" w:sz="4" w:space="0" w:color="000000"/>
                          <w:left w:val="single" w:sz="4" w:space="0" w:color="000000"/>
                        </w:tcBorders>
                      </w:tcPr>
                      <w:p>
                        <w:pPr>
                          <w:pStyle w:val="TableParagraph"/>
                          <w:spacing w:before="37"/>
                          <w:ind w:right="57"/>
                          <w:jc w:val="right"/>
                          <w:rPr>
                            <w:sz w:val="20"/>
                          </w:rPr>
                        </w:pPr>
                        <w:r>
                          <w:rPr>
                            <w:sz w:val="20"/>
                          </w:rPr>
                          <w:t>6.30%</w:t>
                        </w:r>
                      </w:p>
                    </w:tc>
                  </w:tr>
                  <w:tr>
                    <w:trPr>
                      <w:trHeight w:val="270" w:hRule="exact"/>
                    </w:trPr>
                    <w:tc>
                      <w:tcPr>
                        <w:tcW w:w="1760" w:type="dxa"/>
                        <w:vMerge w:val="restart"/>
                        <w:tcBorders>
                          <w:right w:val="single" w:sz="4" w:space="0" w:color="000000"/>
                        </w:tcBorders>
                      </w:tcPr>
                      <w:p>
                        <w:pPr>
                          <w:pStyle w:val="TableParagraph"/>
                          <w:spacing w:before="22"/>
                          <w:ind w:left="61" w:right="443"/>
                          <w:rPr>
                            <w:sz w:val="20"/>
                          </w:rPr>
                        </w:pPr>
                        <w:r>
                          <w:rPr>
                            <w:sz w:val="20"/>
                          </w:rPr>
                          <w:t>Conveyance</w:t>
                        </w:r>
                      </w:p>
                    </w:tc>
                    <w:tc>
                      <w:tcPr>
                        <w:tcW w:w="1362" w:type="dxa"/>
                        <w:tcBorders>
                          <w:left w:val="single" w:sz="4" w:space="0" w:color="000000"/>
                          <w:bottom w:val="single" w:sz="4" w:space="0" w:color="000000"/>
                          <w:right w:val="single" w:sz="4" w:space="0" w:color="000000"/>
                        </w:tcBorders>
                      </w:tcPr>
                      <w:p>
                        <w:pPr>
                          <w:pStyle w:val="TableParagraph"/>
                          <w:spacing w:before="22"/>
                          <w:ind w:left="352"/>
                          <w:rPr>
                            <w:sz w:val="20"/>
                          </w:rPr>
                        </w:pPr>
                        <w:r>
                          <w:rPr>
                            <w:sz w:val="20"/>
                          </w:rPr>
                          <w:t>walking</w:t>
                        </w:r>
                      </w:p>
                    </w:tc>
                    <w:tc>
                      <w:tcPr>
                        <w:tcW w:w="1200" w:type="dxa"/>
                        <w:tcBorders>
                          <w:left w:val="single" w:sz="4" w:space="0" w:color="000000"/>
                          <w:bottom w:val="single" w:sz="4" w:space="0" w:color="000000"/>
                        </w:tcBorders>
                      </w:tcPr>
                      <w:p>
                        <w:pPr>
                          <w:pStyle w:val="TableParagraph"/>
                          <w:spacing w:before="22"/>
                          <w:ind w:right="57"/>
                          <w:jc w:val="right"/>
                          <w:rPr>
                            <w:sz w:val="20"/>
                          </w:rPr>
                        </w:pPr>
                        <w:r>
                          <w:rPr>
                            <w:sz w:val="20"/>
                          </w:rPr>
                          <w:t>72.96%</w:t>
                        </w:r>
                      </w:p>
                    </w:tc>
                  </w:tr>
                  <w:tr>
                    <w:trPr>
                      <w:trHeight w:val="265" w:hRule="exact"/>
                    </w:trPr>
                    <w:tc>
                      <w:tcPr>
                        <w:tcW w:w="1760" w:type="dxa"/>
                        <w:vMerge/>
                        <w:tcBorders>
                          <w:right w:val="single" w:sz="4" w:space="0" w:color="000000"/>
                        </w:tcBorders>
                      </w:tcPr>
                      <w:p>
                        <w:pPr/>
                      </w:p>
                    </w:tc>
                    <w:tc>
                      <w:tcPr>
                        <w:tcW w:w="1362" w:type="dxa"/>
                        <w:tcBorders>
                          <w:top w:val="single" w:sz="4" w:space="0" w:color="000000"/>
                          <w:left w:val="single" w:sz="4" w:space="0" w:color="000000"/>
                          <w:bottom w:val="single" w:sz="4" w:space="0" w:color="000000"/>
                          <w:right w:val="single" w:sz="4" w:space="0" w:color="000000"/>
                        </w:tcBorders>
                      </w:tcPr>
                      <w:p>
                        <w:pPr>
                          <w:pStyle w:val="TableParagraph"/>
                          <w:spacing w:before="22"/>
                          <w:ind w:left="466" w:right="466"/>
                          <w:jc w:val="center"/>
                          <w:rPr>
                            <w:sz w:val="20"/>
                          </w:rPr>
                        </w:pPr>
                        <w:r>
                          <w:rPr>
                            <w:sz w:val="20"/>
                          </w:rPr>
                          <w:t>car</w:t>
                        </w:r>
                      </w:p>
                    </w:tc>
                    <w:tc>
                      <w:tcPr>
                        <w:tcW w:w="1200" w:type="dxa"/>
                        <w:tcBorders>
                          <w:top w:val="single" w:sz="4" w:space="0" w:color="000000"/>
                          <w:left w:val="single" w:sz="4" w:space="0" w:color="000000"/>
                          <w:bottom w:val="single" w:sz="4" w:space="0" w:color="000000"/>
                        </w:tcBorders>
                      </w:tcPr>
                      <w:p>
                        <w:pPr>
                          <w:pStyle w:val="TableParagraph"/>
                          <w:spacing w:before="22"/>
                          <w:ind w:right="57"/>
                          <w:jc w:val="right"/>
                          <w:rPr>
                            <w:sz w:val="20"/>
                          </w:rPr>
                        </w:pPr>
                        <w:r>
                          <w:rPr>
                            <w:sz w:val="20"/>
                          </w:rPr>
                          <w:t>12.96%</w:t>
                        </w:r>
                      </w:p>
                    </w:tc>
                  </w:tr>
                  <w:tr>
                    <w:trPr>
                      <w:trHeight w:val="265" w:hRule="exact"/>
                    </w:trPr>
                    <w:tc>
                      <w:tcPr>
                        <w:tcW w:w="1760" w:type="dxa"/>
                        <w:vMerge/>
                        <w:tcBorders>
                          <w:right w:val="single" w:sz="4" w:space="0" w:color="000000"/>
                        </w:tcBorders>
                      </w:tcPr>
                      <w:p>
                        <w:pPr/>
                      </w:p>
                    </w:tc>
                    <w:tc>
                      <w:tcPr>
                        <w:tcW w:w="1362" w:type="dxa"/>
                        <w:tcBorders>
                          <w:top w:val="single" w:sz="4" w:space="0" w:color="000000"/>
                          <w:left w:val="single" w:sz="4" w:space="0" w:color="000000"/>
                          <w:bottom w:val="single" w:sz="4" w:space="0" w:color="000000"/>
                          <w:right w:val="single" w:sz="4" w:space="0" w:color="000000"/>
                        </w:tcBorders>
                      </w:tcPr>
                      <w:p>
                        <w:pPr>
                          <w:pStyle w:val="TableParagraph"/>
                          <w:spacing w:before="22"/>
                          <w:ind w:left="214"/>
                          <w:rPr>
                            <w:sz w:val="20"/>
                          </w:rPr>
                        </w:pPr>
                        <w:r>
                          <w:rPr>
                            <w:sz w:val="20"/>
                          </w:rPr>
                          <w:t>Motorcycle</w:t>
                        </w:r>
                      </w:p>
                    </w:tc>
                    <w:tc>
                      <w:tcPr>
                        <w:tcW w:w="1200" w:type="dxa"/>
                        <w:tcBorders>
                          <w:top w:val="single" w:sz="4" w:space="0" w:color="000000"/>
                          <w:left w:val="single" w:sz="4" w:space="0" w:color="000000"/>
                          <w:bottom w:val="single" w:sz="4" w:space="0" w:color="000000"/>
                        </w:tcBorders>
                      </w:tcPr>
                      <w:p>
                        <w:pPr>
                          <w:pStyle w:val="TableParagraph"/>
                          <w:spacing w:before="22"/>
                          <w:ind w:right="57"/>
                          <w:jc w:val="right"/>
                          <w:rPr>
                            <w:sz w:val="20"/>
                          </w:rPr>
                        </w:pPr>
                        <w:r>
                          <w:rPr>
                            <w:sz w:val="20"/>
                          </w:rPr>
                          <w:t>0.74%</w:t>
                        </w:r>
                      </w:p>
                    </w:tc>
                  </w:tr>
                  <w:tr>
                    <w:trPr>
                      <w:trHeight w:val="264" w:hRule="exact"/>
                    </w:trPr>
                    <w:tc>
                      <w:tcPr>
                        <w:tcW w:w="1760" w:type="dxa"/>
                        <w:vMerge/>
                        <w:tcBorders>
                          <w:right w:val="single" w:sz="4" w:space="0" w:color="000000"/>
                        </w:tcBorders>
                      </w:tcPr>
                      <w:p>
                        <w:pPr/>
                      </w:p>
                    </w:tc>
                    <w:tc>
                      <w:tcPr>
                        <w:tcW w:w="1362" w:type="dxa"/>
                        <w:tcBorders>
                          <w:top w:val="single" w:sz="4" w:space="0" w:color="000000"/>
                          <w:left w:val="single" w:sz="4" w:space="0" w:color="000000"/>
                          <w:bottom w:val="single" w:sz="4" w:space="0" w:color="000000"/>
                          <w:right w:val="single" w:sz="4" w:space="0" w:color="000000"/>
                        </w:tcBorders>
                      </w:tcPr>
                      <w:p>
                        <w:pPr>
                          <w:pStyle w:val="TableParagraph"/>
                          <w:spacing w:before="22"/>
                          <w:ind w:left="466" w:right="467"/>
                          <w:jc w:val="center"/>
                          <w:rPr>
                            <w:sz w:val="20"/>
                          </w:rPr>
                        </w:pPr>
                        <w:r>
                          <w:rPr>
                            <w:sz w:val="20"/>
                          </w:rPr>
                          <w:t>Bike</w:t>
                        </w:r>
                      </w:p>
                    </w:tc>
                    <w:tc>
                      <w:tcPr>
                        <w:tcW w:w="1200" w:type="dxa"/>
                        <w:tcBorders>
                          <w:top w:val="single" w:sz="4" w:space="0" w:color="000000"/>
                          <w:left w:val="single" w:sz="4" w:space="0" w:color="000000"/>
                          <w:bottom w:val="single" w:sz="4" w:space="0" w:color="000000"/>
                        </w:tcBorders>
                      </w:tcPr>
                      <w:p>
                        <w:pPr>
                          <w:pStyle w:val="TableParagraph"/>
                          <w:spacing w:before="22"/>
                          <w:ind w:right="57"/>
                          <w:jc w:val="right"/>
                          <w:rPr>
                            <w:sz w:val="20"/>
                          </w:rPr>
                        </w:pPr>
                        <w:r>
                          <w:rPr>
                            <w:sz w:val="20"/>
                          </w:rPr>
                          <w:t>3.70%</w:t>
                        </w:r>
                      </w:p>
                    </w:tc>
                  </w:tr>
                  <w:tr>
                    <w:trPr>
                      <w:trHeight w:val="265" w:hRule="exact"/>
                    </w:trPr>
                    <w:tc>
                      <w:tcPr>
                        <w:tcW w:w="1760" w:type="dxa"/>
                        <w:vMerge/>
                        <w:tcBorders>
                          <w:right w:val="single" w:sz="4" w:space="0" w:color="000000"/>
                        </w:tcBorders>
                      </w:tcPr>
                      <w:p>
                        <w:pPr/>
                      </w:p>
                    </w:tc>
                    <w:tc>
                      <w:tcPr>
                        <w:tcW w:w="1362" w:type="dxa"/>
                        <w:tcBorders>
                          <w:top w:val="single" w:sz="4" w:space="0" w:color="000000"/>
                          <w:left w:val="single" w:sz="4" w:space="0" w:color="000000"/>
                          <w:bottom w:val="single" w:sz="4" w:space="0" w:color="000000"/>
                          <w:right w:val="single" w:sz="4" w:space="0" w:color="000000"/>
                        </w:tcBorders>
                      </w:tcPr>
                      <w:p>
                        <w:pPr>
                          <w:pStyle w:val="TableParagraph"/>
                          <w:spacing w:before="23"/>
                          <w:ind w:left="466" w:right="467"/>
                          <w:jc w:val="center"/>
                          <w:rPr>
                            <w:sz w:val="20"/>
                          </w:rPr>
                        </w:pPr>
                        <w:r>
                          <w:rPr>
                            <w:sz w:val="20"/>
                          </w:rPr>
                          <w:t>Bus</w:t>
                        </w:r>
                      </w:p>
                    </w:tc>
                    <w:tc>
                      <w:tcPr>
                        <w:tcW w:w="1200" w:type="dxa"/>
                        <w:tcBorders>
                          <w:top w:val="single" w:sz="4" w:space="0" w:color="000000"/>
                          <w:left w:val="single" w:sz="4" w:space="0" w:color="000000"/>
                          <w:bottom w:val="single" w:sz="4" w:space="0" w:color="000000"/>
                        </w:tcBorders>
                      </w:tcPr>
                      <w:p>
                        <w:pPr>
                          <w:pStyle w:val="TableParagraph"/>
                          <w:spacing w:before="23"/>
                          <w:ind w:right="59"/>
                          <w:jc w:val="right"/>
                          <w:rPr>
                            <w:sz w:val="20"/>
                          </w:rPr>
                        </w:pPr>
                        <w:r>
                          <w:rPr>
                            <w:sz w:val="20"/>
                          </w:rPr>
                          <w:t>0.37%</w:t>
                        </w:r>
                      </w:p>
                    </w:tc>
                  </w:tr>
                  <w:tr>
                    <w:trPr>
                      <w:trHeight w:val="286" w:hRule="exact"/>
                    </w:trPr>
                    <w:tc>
                      <w:tcPr>
                        <w:tcW w:w="1760" w:type="dxa"/>
                        <w:vMerge/>
                        <w:tcBorders>
                          <w:right w:val="single" w:sz="4" w:space="0" w:color="000000"/>
                        </w:tcBorders>
                      </w:tcPr>
                      <w:p>
                        <w:pPr/>
                      </w:p>
                    </w:tc>
                    <w:tc>
                      <w:tcPr>
                        <w:tcW w:w="1362" w:type="dxa"/>
                        <w:tcBorders>
                          <w:top w:val="single" w:sz="4" w:space="0" w:color="000000"/>
                          <w:left w:val="single" w:sz="4" w:space="0" w:color="000000"/>
                          <w:right w:val="single" w:sz="4" w:space="0" w:color="000000"/>
                        </w:tcBorders>
                      </w:tcPr>
                      <w:p>
                        <w:pPr>
                          <w:pStyle w:val="TableParagraph"/>
                          <w:spacing w:before="37"/>
                          <w:ind w:left="185"/>
                          <w:rPr>
                            <w:sz w:val="20"/>
                          </w:rPr>
                        </w:pPr>
                        <w:r>
                          <w:rPr>
                            <w:sz w:val="20"/>
                          </w:rPr>
                          <w:t>Combinated</w:t>
                        </w:r>
                      </w:p>
                    </w:tc>
                    <w:tc>
                      <w:tcPr>
                        <w:tcW w:w="1200" w:type="dxa"/>
                        <w:tcBorders>
                          <w:top w:val="single" w:sz="4" w:space="0" w:color="000000"/>
                          <w:left w:val="single" w:sz="4" w:space="0" w:color="000000"/>
                        </w:tcBorders>
                      </w:tcPr>
                      <w:p>
                        <w:pPr>
                          <w:pStyle w:val="TableParagraph"/>
                          <w:spacing w:before="37"/>
                          <w:ind w:right="57"/>
                          <w:jc w:val="right"/>
                          <w:rPr>
                            <w:sz w:val="20"/>
                          </w:rPr>
                        </w:pPr>
                        <w:r>
                          <w:rPr>
                            <w:sz w:val="20"/>
                          </w:rPr>
                          <w:t>9.26%</w:t>
                        </w:r>
                      </w:p>
                    </w:tc>
                  </w:tr>
                  <w:tr>
                    <w:trPr>
                      <w:trHeight w:val="270" w:hRule="exact"/>
                    </w:trPr>
                    <w:tc>
                      <w:tcPr>
                        <w:tcW w:w="1760" w:type="dxa"/>
                        <w:vMerge w:val="restart"/>
                        <w:tcBorders>
                          <w:right w:val="single" w:sz="4" w:space="0" w:color="000000"/>
                        </w:tcBorders>
                      </w:tcPr>
                      <w:p>
                        <w:pPr>
                          <w:pStyle w:val="TableParagraph"/>
                          <w:spacing w:line="292" w:lineRule="auto" w:before="22"/>
                          <w:ind w:left="61" w:right="443"/>
                          <w:rPr>
                            <w:sz w:val="20"/>
                          </w:rPr>
                        </w:pPr>
                        <w:r>
                          <w:rPr>
                            <w:sz w:val="20"/>
                          </w:rPr>
                          <w:t>The child carry his backpak</w:t>
                        </w:r>
                      </w:p>
                    </w:tc>
                    <w:tc>
                      <w:tcPr>
                        <w:tcW w:w="1362" w:type="dxa"/>
                        <w:tcBorders>
                          <w:left w:val="single" w:sz="4" w:space="0" w:color="000000"/>
                          <w:bottom w:val="single" w:sz="4" w:space="0" w:color="000000"/>
                          <w:right w:val="single" w:sz="4" w:space="0" w:color="000000"/>
                        </w:tcBorders>
                      </w:tcPr>
                      <w:p>
                        <w:pPr>
                          <w:pStyle w:val="TableParagraph"/>
                          <w:spacing w:before="22"/>
                          <w:ind w:left="466" w:right="466"/>
                          <w:jc w:val="center"/>
                          <w:rPr>
                            <w:sz w:val="20"/>
                          </w:rPr>
                        </w:pPr>
                        <w:r>
                          <w:rPr>
                            <w:sz w:val="20"/>
                          </w:rPr>
                          <w:t>Yes</w:t>
                        </w:r>
                      </w:p>
                    </w:tc>
                    <w:tc>
                      <w:tcPr>
                        <w:tcW w:w="1200" w:type="dxa"/>
                        <w:tcBorders>
                          <w:left w:val="single" w:sz="4" w:space="0" w:color="000000"/>
                          <w:bottom w:val="single" w:sz="4" w:space="0" w:color="000000"/>
                        </w:tcBorders>
                      </w:tcPr>
                      <w:p>
                        <w:pPr>
                          <w:pStyle w:val="TableParagraph"/>
                          <w:spacing w:before="22"/>
                          <w:ind w:right="56"/>
                          <w:jc w:val="right"/>
                          <w:rPr>
                            <w:sz w:val="20"/>
                          </w:rPr>
                        </w:pPr>
                        <w:r>
                          <w:rPr>
                            <w:sz w:val="20"/>
                          </w:rPr>
                          <w:t>91.11%</w:t>
                        </w:r>
                      </w:p>
                    </w:tc>
                  </w:tr>
                  <w:tr>
                    <w:trPr>
                      <w:trHeight w:val="284" w:hRule="exact"/>
                    </w:trPr>
                    <w:tc>
                      <w:tcPr>
                        <w:tcW w:w="1760" w:type="dxa"/>
                        <w:vMerge/>
                        <w:tcBorders>
                          <w:right w:val="single" w:sz="4" w:space="0" w:color="000000"/>
                        </w:tcBorders>
                      </w:tcPr>
                      <w:p>
                        <w:pPr/>
                      </w:p>
                    </w:tc>
                    <w:tc>
                      <w:tcPr>
                        <w:tcW w:w="1362" w:type="dxa"/>
                        <w:tcBorders>
                          <w:top w:val="single" w:sz="4" w:space="0" w:color="000000"/>
                          <w:left w:val="single" w:sz="4" w:space="0" w:color="000000"/>
                          <w:right w:val="single" w:sz="4" w:space="0" w:color="000000"/>
                        </w:tcBorders>
                      </w:tcPr>
                      <w:p>
                        <w:pPr>
                          <w:pStyle w:val="TableParagraph"/>
                          <w:spacing w:before="36"/>
                          <w:ind w:left="466" w:right="465"/>
                          <w:jc w:val="center"/>
                          <w:rPr>
                            <w:sz w:val="20"/>
                          </w:rPr>
                        </w:pPr>
                        <w:r>
                          <w:rPr>
                            <w:sz w:val="20"/>
                          </w:rPr>
                          <w:t>No</w:t>
                        </w:r>
                      </w:p>
                    </w:tc>
                    <w:tc>
                      <w:tcPr>
                        <w:tcW w:w="1200" w:type="dxa"/>
                        <w:tcBorders>
                          <w:top w:val="single" w:sz="4" w:space="0" w:color="000000"/>
                          <w:left w:val="single" w:sz="4" w:space="0" w:color="000000"/>
                        </w:tcBorders>
                      </w:tcPr>
                      <w:p>
                        <w:pPr>
                          <w:pStyle w:val="TableParagraph"/>
                          <w:spacing w:before="36"/>
                          <w:ind w:right="57"/>
                          <w:jc w:val="right"/>
                          <w:rPr>
                            <w:sz w:val="20"/>
                          </w:rPr>
                        </w:pPr>
                        <w:r>
                          <w:rPr>
                            <w:sz w:val="20"/>
                          </w:rPr>
                          <w:t>8.89%</w:t>
                        </w:r>
                      </w:p>
                    </w:tc>
                  </w:tr>
                  <w:tr>
                    <w:trPr>
                      <w:trHeight w:val="270" w:hRule="exact"/>
                    </w:trPr>
                    <w:tc>
                      <w:tcPr>
                        <w:tcW w:w="1760" w:type="dxa"/>
                        <w:vMerge w:val="restart"/>
                        <w:tcBorders>
                          <w:right w:val="single" w:sz="4" w:space="0" w:color="000000"/>
                        </w:tcBorders>
                      </w:tcPr>
                      <w:p>
                        <w:pPr>
                          <w:pStyle w:val="TableParagraph"/>
                          <w:spacing w:before="23"/>
                          <w:ind w:left="61" w:right="443"/>
                          <w:rPr>
                            <w:sz w:val="20"/>
                          </w:rPr>
                        </w:pPr>
                        <w:r>
                          <w:rPr>
                            <w:sz w:val="20"/>
                          </w:rPr>
                          <w:t>Transfer time</w:t>
                        </w:r>
                      </w:p>
                    </w:tc>
                    <w:tc>
                      <w:tcPr>
                        <w:tcW w:w="1362" w:type="dxa"/>
                        <w:tcBorders>
                          <w:left w:val="single" w:sz="4" w:space="0" w:color="000000"/>
                          <w:bottom w:val="single" w:sz="4" w:space="0" w:color="000000"/>
                          <w:right w:val="single" w:sz="4" w:space="0" w:color="000000"/>
                        </w:tcBorders>
                      </w:tcPr>
                      <w:p>
                        <w:pPr>
                          <w:pStyle w:val="TableParagraph"/>
                          <w:spacing w:before="23"/>
                          <w:ind w:left="65"/>
                          <w:rPr>
                            <w:sz w:val="20"/>
                          </w:rPr>
                        </w:pPr>
                        <w:r>
                          <w:rPr>
                            <w:sz w:val="20"/>
                          </w:rPr>
                          <w:t>5 min. Or less</w:t>
                        </w:r>
                      </w:p>
                    </w:tc>
                    <w:tc>
                      <w:tcPr>
                        <w:tcW w:w="1200" w:type="dxa"/>
                        <w:tcBorders>
                          <w:left w:val="single" w:sz="4" w:space="0" w:color="000000"/>
                          <w:bottom w:val="single" w:sz="4" w:space="0" w:color="000000"/>
                        </w:tcBorders>
                      </w:tcPr>
                      <w:p>
                        <w:pPr>
                          <w:pStyle w:val="TableParagraph"/>
                          <w:spacing w:before="23"/>
                          <w:ind w:right="57"/>
                          <w:jc w:val="right"/>
                          <w:rPr>
                            <w:sz w:val="20"/>
                          </w:rPr>
                        </w:pPr>
                        <w:r>
                          <w:rPr>
                            <w:sz w:val="20"/>
                          </w:rPr>
                          <w:t>51.40%</w:t>
                        </w:r>
                      </w:p>
                    </w:tc>
                  </w:tr>
                  <w:tr>
                    <w:trPr>
                      <w:trHeight w:val="265" w:hRule="exact"/>
                    </w:trPr>
                    <w:tc>
                      <w:tcPr>
                        <w:tcW w:w="1760" w:type="dxa"/>
                        <w:vMerge/>
                        <w:tcBorders>
                          <w:right w:val="single" w:sz="4" w:space="0" w:color="000000"/>
                        </w:tcBorders>
                      </w:tcPr>
                      <w:p>
                        <w:pPr/>
                      </w:p>
                    </w:tc>
                    <w:tc>
                      <w:tcPr>
                        <w:tcW w:w="1362" w:type="dxa"/>
                        <w:tcBorders>
                          <w:top w:val="single" w:sz="4" w:space="0" w:color="000000"/>
                          <w:left w:val="single" w:sz="4" w:space="0" w:color="000000"/>
                          <w:bottom w:val="single" w:sz="4" w:space="0" w:color="000000"/>
                          <w:right w:val="single" w:sz="4" w:space="0" w:color="000000"/>
                        </w:tcBorders>
                      </w:tcPr>
                      <w:p>
                        <w:pPr>
                          <w:pStyle w:val="TableParagraph"/>
                          <w:spacing w:before="22"/>
                          <w:ind w:left="64"/>
                          <w:rPr>
                            <w:sz w:val="20"/>
                          </w:rPr>
                        </w:pPr>
                        <w:r>
                          <w:rPr>
                            <w:sz w:val="20"/>
                          </w:rPr>
                          <w:t>6-10 min.</w:t>
                        </w:r>
                      </w:p>
                    </w:tc>
                    <w:tc>
                      <w:tcPr>
                        <w:tcW w:w="1200" w:type="dxa"/>
                        <w:tcBorders>
                          <w:top w:val="single" w:sz="4" w:space="0" w:color="000000"/>
                          <w:left w:val="single" w:sz="4" w:space="0" w:color="000000"/>
                          <w:bottom w:val="single" w:sz="4" w:space="0" w:color="000000"/>
                        </w:tcBorders>
                      </w:tcPr>
                      <w:p>
                        <w:pPr>
                          <w:pStyle w:val="TableParagraph"/>
                          <w:spacing w:before="22"/>
                          <w:ind w:right="57"/>
                          <w:jc w:val="right"/>
                          <w:rPr>
                            <w:sz w:val="20"/>
                          </w:rPr>
                        </w:pPr>
                        <w:r>
                          <w:rPr>
                            <w:sz w:val="20"/>
                          </w:rPr>
                          <w:t>31.40%</w:t>
                        </w:r>
                      </w:p>
                    </w:tc>
                  </w:tr>
                  <w:tr>
                    <w:trPr>
                      <w:trHeight w:val="265" w:hRule="exact"/>
                    </w:trPr>
                    <w:tc>
                      <w:tcPr>
                        <w:tcW w:w="1760" w:type="dxa"/>
                        <w:vMerge/>
                        <w:tcBorders>
                          <w:right w:val="single" w:sz="4" w:space="0" w:color="000000"/>
                        </w:tcBorders>
                      </w:tcPr>
                      <w:p>
                        <w:pPr/>
                      </w:p>
                    </w:tc>
                    <w:tc>
                      <w:tcPr>
                        <w:tcW w:w="1362" w:type="dxa"/>
                        <w:tcBorders>
                          <w:top w:val="single" w:sz="4" w:space="0" w:color="000000"/>
                          <w:left w:val="single" w:sz="4" w:space="0" w:color="000000"/>
                          <w:bottom w:val="single" w:sz="4" w:space="0" w:color="000000"/>
                          <w:right w:val="single" w:sz="4" w:space="0" w:color="000000"/>
                        </w:tcBorders>
                      </w:tcPr>
                      <w:p>
                        <w:pPr>
                          <w:pStyle w:val="TableParagraph"/>
                          <w:spacing w:before="22"/>
                          <w:ind w:left="64"/>
                          <w:rPr>
                            <w:sz w:val="20"/>
                          </w:rPr>
                        </w:pPr>
                        <w:r>
                          <w:rPr>
                            <w:sz w:val="20"/>
                          </w:rPr>
                          <w:t>11-15 min.</w:t>
                        </w:r>
                      </w:p>
                    </w:tc>
                    <w:tc>
                      <w:tcPr>
                        <w:tcW w:w="1200" w:type="dxa"/>
                        <w:tcBorders>
                          <w:top w:val="single" w:sz="4" w:space="0" w:color="000000"/>
                          <w:left w:val="single" w:sz="4" w:space="0" w:color="000000"/>
                          <w:bottom w:val="single" w:sz="4" w:space="0" w:color="000000"/>
                        </w:tcBorders>
                      </w:tcPr>
                      <w:p>
                        <w:pPr>
                          <w:pStyle w:val="TableParagraph"/>
                          <w:spacing w:before="22"/>
                          <w:ind w:right="57"/>
                          <w:jc w:val="right"/>
                          <w:rPr>
                            <w:sz w:val="20"/>
                          </w:rPr>
                        </w:pPr>
                        <w:r>
                          <w:rPr>
                            <w:sz w:val="20"/>
                          </w:rPr>
                          <w:t>6.70%</w:t>
                        </w:r>
                      </w:p>
                    </w:tc>
                  </w:tr>
                  <w:tr>
                    <w:trPr>
                      <w:trHeight w:val="265" w:hRule="exact"/>
                    </w:trPr>
                    <w:tc>
                      <w:tcPr>
                        <w:tcW w:w="1760" w:type="dxa"/>
                        <w:vMerge/>
                        <w:tcBorders>
                          <w:right w:val="single" w:sz="4" w:space="0" w:color="000000"/>
                        </w:tcBorders>
                      </w:tcPr>
                      <w:p>
                        <w:pPr/>
                      </w:p>
                    </w:tc>
                    <w:tc>
                      <w:tcPr>
                        <w:tcW w:w="1362" w:type="dxa"/>
                        <w:tcBorders>
                          <w:top w:val="single" w:sz="4" w:space="0" w:color="000000"/>
                          <w:left w:val="single" w:sz="4" w:space="0" w:color="000000"/>
                          <w:bottom w:val="single" w:sz="4" w:space="0" w:color="000000"/>
                          <w:right w:val="single" w:sz="4" w:space="0" w:color="000000"/>
                        </w:tcBorders>
                      </w:tcPr>
                      <w:p>
                        <w:pPr>
                          <w:pStyle w:val="TableParagraph"/>
                          <w:spacing w:before="22"/>
                          <w:ind w:left="64"/>
                          <w:rPr>
                            <w:sz w:val="20"/>
                          </w:rPr>
                        </w:pPr>
                        <w:r>
                          <w:rPr>
                            <w:sz w:val="20"/>
                          </w:rPr>
                          <w:t>16-20 min.</w:t>
                        </w:r>
                      </w:p>
                    </w:tc>
                    <w:tc>
                      <w:tcPr>
                        <w:tcW w:w="1200" w:type="dxa"/>
                        <w:tcBorders>
                          <w:top w:val="single" w:sz="4" w:space="0" w:color="000000"/>
                          <w:left w:val="single" w:sz="4" w:space="0" w:color="000000"/>
                          <w:bottom w:val="single" w:sz="4" w:space="0" w:color="000000"/>
                        </w:tcBorders>
                      </w:tcPr>
                      <w:p>
                        <w:pPr>
                          <w:pStyle w:val="TableParagraph"/>
                          <w:spacing w:before="22"/>
                          <w:ind w:right="57"/>
                          <w:jc w:val="right"/>
                          <w:rPr>
                            <w:sz w:val="20"/>
                          </w:rPr>
                        </w:pPr>
                        <w:r>
                          <w:rPr>
                            <w:sz w:val="20"/>
                          </w:rPr>
                          <w:t>6.20%</w:t>
                        </w:r>
                      </w:p>
                    </w:tc>
                  </w:tr>
                  <w:tr>
                    <w:trPr>
                      <w:trHeight w:val="475" w:hRule="exact"/>
                    </w:trPr>
                    <w:tc>
                      <w:tcPr>
                        <w:tcW w:w="1760" w:type="dxa"/>
                        <w:vMerge/>
                        <w:tcBorders>
                          <w:right w:val="single" w:sz="4" w:space="0" w:color="000000"/>
                        </w:tcBorders>
                      </w:tcPr>
                      <w:p>
                        <w:pPr/>
                      </w:p>
                    </w:tc>
                    <w:tc>
                      <w:tcPr>
                        <w:tcW w:w="1362" w:type="dxa"/>
                        <w:tcBorders>
                          <w:top w:val="single" w:sz="4" w:space="0" w:color="000000"/>
                          <w:left w:val="single" w:sz="4" w:space="0" w:color="000000"/>
                          <w:right w:val="single" w:sz="4" w:space="0" w:color="000000"/>
                        </w:tcBorders>
                      </w:tcPr>
                      <w:p>
                        <w:pPr>
                          <w:pStyle w:val="TableParagraph"/>
                          <w:ind w:left="64" w:right="396"/>
                          <w:rPr>
                            <w:sz w:val="20"/>
                          </w:rPr>
                        </w:pPr>
                        <w:r>
                          <w:rPr>
                            <w:sz w:val="20"/>
                          </w:rPr>
                          <w:t>20 min. Or more</w:t>
                        </w:r>
                      </w:p>
                    </w:tc>
                    <w:tc>
                      <w:tcPr>
                        <w:tcW w:w="1200" w:type="dxa"/>
                        <w:tcBorders>
                          <w:top w:val="single" w:sz="4" w:space="0" w:color="000000"/>
                          <w:left w:val="single" w:sz="4" w:space="0" w:color="000000"/>
                        </w:tcBorders>
                      </w:tcPr>
                      <w:p>
                        <w:pPr>
                          <w:pStyle w:val="TableParagraph"/>
                          <w:spacing w:before="8"/>
                          <w:rPr>
                            <w:sz w:val="19"/>
                          </w:rPr>
                        </w:pPr>
                      </w:p>
                      <w:p>
                        <w:pPr>
                          <w:pStyle w:val="TableParagraph"/>
                          <w:ind w:right="57"/>
                          <w:jc w:val="right"/>
                          <w:rPr>
                            <w:sz w:val="20"/>
                          </w:rPr>
                        </w:pPr>
                        <w:r>
                          <w:rPr>
                            <w:sz w:val="20"/>
                          </w:rPr>
                          <w:t>4.30%</w:t>
                        </w:r>
                      </w:p>
                    </w:tc>
                  </w:tr>
                </w:tbl>
                <w:p>
                  <w:pPr>
                    <w:pStyle w:val="BodyText"/>
                  </w:pPr>
                </w:p>
              </w:txbxContent>
            </v:textbox>
            <w10:wrap type="none"/>
          </v:shape>
        </w:pict>
      </w:r>
      <w:r>
        <w:rPr>
          <w:color w:val="202020"/>
        </w:rPr>
        <w:t>Table 4. Habits of use of the backpack</w:t>
      </w:r>
    </w:p>
    <w:p>
      <w:pPr>
        <w:spacing w:after="0"/>
        <w:sectPr>
          <w:type w:val="continuous"/>
          <w:pgSz w:w="12240" w:h="15840"/>
          <w:pgMar w:top="1500" w:bottom="280" w:left="580" w:right="220"/>
          <w:cols w:num="2" w:equalWidth="0">
            <w:col w:w="5189" w:space="1329"/>
            <w:col w:w="4922"/>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4"/>
        <w:rPr>
          <w:sz w:val="26"/>
        </w:rPr>
      </w:pPr>
    </w:p>
    <w:p>
      <w:pPr>
        <w:pStyle w:val="BodyText"/>
        <w:spacing w:before="1"/>
        <w:ind w:left="270" w:firstLine="426"/>
        <w:jc w:val="both"/>
      </w:pPr>
      <w:r>
        <w:rPr>
          <w:color w:val="202020"/>
        </w:rPr>
        <w:t>Regarding usage habits can say that 93.70 % of  children used backpack straps (without wheels), the majority (72.96 %) of children are walking on their way </w:t>
      </w:r>
      <w:r>
        <w:rPr>
          <w:color w:val="202020"/>
          <w:spacing w:val="8"/>
        </w:rPr>
        <w:t> </w:t>
      </w:r>
      <w:r>
        <w:rPr>
          <w:color w:val="202020"/>
        </w:rPr>
        <w:t>home-school</w:t>
      </w:r>
    </w:p>
    <w:p>
      <w:pPr>
        <w:pStyle w:val="BodyText"/>
        <w:ind w:left="270" w:right="118"/>
      </w:pPr>
      <w:r>
        <w:rPr>
          <w:color w:val="202020"/>
        </w:rPr>
        <w:t>- house, and they themselves are those who carry his backpack during that journey.</w:t>
      </w:r>
    </w:p>
    <w:p>
      <w:pPr>
        <w:pStyle w:val="BodyText"/>
        <w:spacing w:before="11"/>
        <w:rPr>
          <w:sz w:val="19"/>
        </w:rPr>
      </w:pPr>
    </w:p>
    <w:p>
      <w:pPr>
        <w:pStyle w:val="BodyText"/>
        <w:ind w:left="270" w:right="118"/>
      </w:pPr>
      <w:r>
        <w:rPr>
          <w:color w:val="202020"/>
        </w:rPr>
        <w:t>The data shown in Table 5 represent parents answers  children  to the sensation of</w:t>
      </w:r>
      <w:r>
        <w:rPr>
          <w:color w:val="202020"/>
          <w:spacing w:val="-17"/>
        </w:rPr>
        <w:t> </w:t>
      </w:r>
      <w:r>
        <w:rPr>
          <w:color w:val="202020"/>
        </w:rPr>
        <w:t>pain</w:t>
      </w:r>
    </w:p>
    <w:p>
      <w:pPr>
        <w:pStyle w:val="BodyText"/>
      </w:pPr>
    </w:p>
    <w:p>
      <w:pPr>
        <w:pStyle w:val="BodyText"/>
      </w:pPr>
    </w:p>
    <w:p>
      <w:pPr>
        <w:pStyle w:val="BodyText"/>
        <w:ind w:left="1440" w:right="118"/>
      </w:pPr>
      <w:r>
        <w:rPr/>
        <w:pict>
          <v:line style="position:absolute;mso-position-horizontal-relative:page;mso-position-vertical-relative:paragraph;z-index:-862840" from="81.779999pt,40.356838pt" to="249.059999pt,40.356838pt" stroked="true" strokeweight=".96002pt" strokecolor="#000000">
            <w10:wrap type="none"/>
          </v:line>
        </w:pict>
      </w:r>
      <w:r>
        <w:rPr>
          <w:color w:val="202020"/>
        </w:rPr>
        <w:t>Table 5. Feeling pain for infants</w:t>
      </w:r>
    </w:p>
    <w:p>
      <w:pPr>
        <w:pStyle w:val="BodyText"/>
        <w:spacing w:before="74"/>
        <w:ind w:left="270" w:right="675"/>
        <w:jc w:val="both"/>
      </w:pPr>
      <w:r>
        <w:rPr/>
        <w:br w:type="column"/>
      </w:r>
      <w:r>
        <w:rPr/>
        <w:t>[4] D. Ramos Espada, JL. González Montesinos, J. Mora Vicente, A. Ares Camerino, J. Martínez González. “Desarrollo y aplicación de un cuestionario en  una población escolar sobre el transporte de mochilas y su influencia en el dolor de espalda” ”. Rev Pediatr Aten Primaria. 2004; 6: 199-208.</w:t>
      </w:r>
    </w:p>
    <w:p>
      <w:pPr>
        <w:pStyle w:val="BodyText"/>
        <w:ind w:left="270" w:right="677"/>
        <w:jc w:val="both"/>
      </w:pPr>
      <w:r>
        <w:rPr/>
        <w:t>[5] Murray R. Spiegel, Larry J. Stephens, Leticia Esther Pineda Ayala “Estadística”. Mc. Graw Hill. 541 pp. 2002. ISBN 9789701032718</w:t>
      </w:r>
    </w:p>
    <w:p>
      <w:pPr>
        <w:spacing w:after="0"/>
        <w:jc w:val="both"/>
        <w:sectPr>
          <w:type w:val="continuous"/>
          <w:pgSz w:w="12240" w:h="15840"/>
          <w:pgMar w:top="1500" w:bottom="280" w:left="580" w:right="220"/>
          <w:cols w:num="2" w:equalWidth="0">
            <w:col w:w="5190" w:space="434"/>
            <w:col w:w="5816"/>
          </w:cols>
        </w:sectPr>
      </w:pPr>
    </w:p>
    <w:p>
      <w:pPr>
        <w:pStyle w:val="BodyText"/>
        <w:spacing w:after="1"/>
        <w:rPr>
          <w:sz w:val="21"/>
        </w:rPr>
      </w:pPr>
    </w:p>
    <w:tbl>
      <w:tblPr>
        <w:tblW w:w="0" w:type="auto"/>
        <w:jc w:val="left"/>
        <w:tblInd w:w="103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857"/>
        <w:gridCol w:w="1508"/>
      </w:tblGrid>
      <w:tr>
        <w:trPr>
          <w:trHeight w:val="393" w:hRule="exact"/>
        </w:trPr>
        <w:tc>
          <w:tcPr>
            <w:tcW w:w="3365" w:type="dxa"/>
            <w:gridSpan w:val="2"/>
            <w:tcBorders>
              <w:bottom w:val="nil"/>
            </w:tcBorders>
          </w:tcPr>
          <w:p>
            <w:pPr>
              <w:pStyle w:val="TableParagraph"/>
              <w:spacing w:before="83"/>
              <w:ind w:left="1011"/>
              <w:rPr>
                <w:sz w:val="20"/>
              </w:rPr>
            </w:pPr>
            <w:r>
              <w:rPr>
                <w:sz w:val="20"/>
              </w:rPr>
              <w:t>Presence of pain</w:t>
            </w:r>
          </w:p>
        </w:tc>
      </w:tr>
      <w:tr>
        <w:trPr>
          <w:trHeight w:val="227" w:hRule="exact"/>
        </w:trPr>
        <w:tc>
          <w:tcPr>
            <w:tcW w:w="1857" w:type="dxa"/>
            <w:tcBorders>
              <w:top w:val="nil"/>
              <w:bottom w:val="nil"/>
              <w:right w:val="nil"/>
            </w:tcBorders>
          </w:tcPr>
          <w:p>
            <w:pPr>
              <w:pStyle w:val="TableParagraph"/>
              <w:spacing w:line="205" w:lineRule="exact"/>
              <w:ind w:left="60"/>
              <w:rPr>
                <w:sz w:val="20"/>
              </w:rPr>
            </w:pPr>
            <w:r>
              <w:rPr>
                <w:sz w:val="20"/>
              </w:rPr>
              <w:t>Back and Shoulders</w:t>
            </w:r>
          </w:p>
        </w:tc>
        <w:tc>
          <w:tcPr>
            <w:tcW w:w="1508" w:type="dxa"/>
            <w:tcBorders>
              <w:top w:val="nil"/>
              <w:left w:val="nil"/>
              <w:bottom w:val="nil"/>
            </w:tcBorders>
          </w:tcPr>
          <w:p>
            <w:pPr>
              <w:pStyle w:val="TableParagraph"/>
              <w:spacing w:line="205" w:lineRule="exact"/>
              <w:ind w:left="186"/>
              <w:rPr>
                <w:sz w:val="20"/>
              </w:rPr>
            </w:pPr>
            <w:r>
              <w:rPr>
                <w:sz w:val="20"/>
              </w:rPr>
              <w:t>83 (30.74%)</w:t>
            </w:r>
          </w:p>
        </w:tc>
      </w:tr>
      <w:tr>
        <w:trPr>
          <w:trHeight w:val="255" w:hRule="exact"/>
        </w:trPr>
        <w:tc>
          <w:tcPr>
            <w:tcW w:w="1857" w:type="dxa"/>
            <w:tcBorders>
              <w:top w:val="nil"/>
              <w:bottom w:val="nil"/>
              <w:right w:val="nil"/>
            </w:tcBorders>
          </w:tcPr>
          <w:p>
            <w:pPr>
              <w:pStyle w:val="TableParagraph"/>
              <w:spacing w:before="1"/>
              <w:ind w:left="60"/>
              <w:rPr>
                <w:sz w:val="20"/>
              </w:rPr>
            </w:pPr>
            <w:r>
              <w:rPr>
                <w:sz w:val="20"/>
              </w:rPr>
              <w:t>Back</w:t>
            </w:r>
          </w:p>
        </w:tc>
        <w:tc>
          <w:tcPr>
            <w:tcW w:w="1508" w:type="dxa"/>
            <w:tcBorders>
              <w:top w:val="nil"/>
              <w:left w:val="nil"/>
              <w:bottom w:val="nil"/>
            </w:tcBorders>
          </w:tcPr>
          <w:p>
            <w:pPr>
              <w:pStyle w:val="TableParagraph"/>
              <w:spacing w:before="1"/>
              <w:ind w:left="185"/>
              <w:rPr>
                <w:sz w:val="20"/>
              </w:rPr>
            </w:pPr>
            <w:r>
              <w:rPr>
                <w:sz w:val="20"/>
              </w:rPr>
              <w:t>19 (7.03%)</w:t>
            </w:r>
          </w:p>
        </w:tc>
      </w:tr>
      <w:tr>
        <w:trPr>
          <w:trHeight w:val="255" w:hRule="exact"/>
        </w:trPr>
        <w:tc>
          <w:tcPr>
            <w:tcW w:w="1857" w:type="dxa"/>
            <w:tcBorders>
              <w:top w:val="nil"/>
              <w:bottom w:val="nil"/>
              <w:right w:val="nil"/>
            </w:tcBorders>
          </w:tcPr>
          <w:p>
            <w:pPr>
              <w:pStyle w:val="TableParagraph"/>
              <w:spacing w:before="2"/>
              <w:ind w:left="60"/>
              <w:rPr>
                <w:sz w:val="20"/>
              </w:rPr>
            </w:pPr>
            <w:r>
              <w:rPr>
                <w:sz w:val="20"/>
              </w:rPr>
              <w:t>Shoulders</w:t>
            </w:r>
          </w:p>
        </w:tc>
        <w:tc>
          <w:tcPr>
            <w:tcW w:w="1508" w:type="dxa"/>
            <w:tcBorders>
              <w:top w:val="nil"/>
              <w:left w:val="nil"/>
              <w:bottom w:val="nil"/>
            </w:tcBorders>
          </w:tcPr>
          <w:p>
            <w:pPr>
              <w:pStyle w:val="TableParagraph"/>
              <w:spacing w:before="2"/>
              <w:ind w:left="185"/>
              <w:rPr>
                <w:sz w:val="20"/>
              </w:rPr>
            </w:pPr>
            <w:r>
              <w:rPr>
                <w:sz w:val="20"/>
              </w:rPr>
              <w:t>102 (37.78%)</w:t>
            </w:r>
          </w:p>
        </w:tc>
      </w:tr>
      <w:tr>
        <w:trPr>
          <w:trHeight w:val="262" w:hRule="exact"/>
        </w:trPr>
        <w:tc>
          <w:tcPr>
            <w:tcW w:w="1857" w:type="dxa"/>
            <w:tcBorders>
              <w:top w:val="nil"/>
              <w:bottom w:val="nil"/>
              <w:right w:val="nil"/>
            </w:tcBorders>
          </w:tcPr>
          <w:p>
            <w:pPr>
              <w:pStyle w:val="TableParagraph"/>
              <w:spacing w:before="1"/>
              <w:ind w:left="60"/>
              <w:rPr>
                <w:sz w:val="20"/>
              </w:rPr>
            </w:pPr>
            <w:r>
              <w:rPr>
                <w:sz w:val="20"/>
              </w:rPr>
              <w:t>O one</w:t>
            </w:r>
          </w:p>
        </w:tc>
        <w:tc>
          <w:tcPr>
            <w:tcW w:w="1508" w:type="dxa"/>
            <w:tcBorders>
              <w:top w:val="nil"/>
              <w:left w:val="nil"/>
              <w:bottom w:val="nil"/>
            </w:tcBorders>
          </w:tcPr>
          <w:p>
            <w:pPr>
              <w:pStyle w:val="TableParagraph"/>
              <w:spacing w:before="1"/>
              <w:ind w:left="185"/>
              <w:rPr>
                <w:sz w:val="20"/>
              </w:rPr>
            </w:pPr>
            <w:r>
              <w:rPr>
                <w:sz w:val="20"/>
              </w:rPr>
              <w:t>59 (21.85%)</w:t>
            </w:r>
          </w:p>
        </w:tc>
      </w:tr>
      <w:tr>
        <w:trPr>
          <w:trHeight w:val="254" w:hRule="exact"/>
        </w:trPr>
        <w:tc>
          <w:tcPr>
            <w:tcW w:w="1857" w:type="dxa"/>
            <w:tcBorders>
              <w:top w:val="nil"/>
              <w:right w:val="nil"/>
            </w:tcBorders>
          </w:tcPr>
          <w:p>
            <w:pPr>
              <w:pStyle w:val="TableParagraph"/>
              <w:spacing w:before="9"/>
              <w:ind w:left="60"/>
              <w:rPr>
                <w:sz w:val="20"/>
              </w:rPr>
            </w:pPr>
            <w:r>
              <w:rPr>
                <w:sz w:val="20"/>
              </w:rPr>
              <w:t>Other</w:t>
            </w:r>
          </w:p>
        </w:tc>
        <w:tc>
          <w:tcPr>
            <w:tcW w:w="1508" w:type="dxa"/>
            <w:tcBorders>
              <w:top w:val="nil"/>
              <w:left w:val="nil"/>
            </w:tcBorders>
          </w:tcPr>
          <w:p>
            <w:pPr>
              <w:pStyle w:val="TableParagraph"/>
              <w:spacing w:before="9"/>
              <w:ind w:left="185"/>
              <w:rPr>
                <w:sz w:val="20"/>
              </w:rPr>
            </w:pPr>
            <w:r>
              <w:rPr>
                <w:sz w:val="20"/>
              </w:rPr>
              <w:t>7 (2.59%)</w:t>
            </w:r>
          </w:p>
        </w:tc>
      </w:tr>
    </w:tbl>
    <w:p>
      <w:pPr>
        <w:pStyle w:val="BodyText"/>
      </w:pPr>
    </w:p>
    <w:p>
      <w:pPr>
        <w:pStyle w:val="BodyText"/>
        <w:spacing w:before="9"/>
        <w:rPr>
          <w:sz w:val="18"/>
        </w:rPr>
      </w:pPr>
    </w:p>
    <w:p>
      <w:pPr>
        <w:pStyle w:val="BodyText"/>
        <w:spacing w:before="1"/>
        <w:ind w:left="270" w:right="6249" w:firstLine="426"/>
        <w:jc w:val="both"/>
      </w:pPr>
      <w:r>
        <w:rPr>
          <w:color w:val="202020"/>
        </w:rPr>
        <w:t>Children responded mainly in back and shoulder pain felt, which is consistent to the weight they carry in their backpack every day.</w:t>
      </w:r>
    </w:p>
    <w:p>
      <w:pPr>
        <w:pStyle w:val="BodyText"/>
      </w:pPr>
    </w:p>
    <w:p>
      <w:pPr>
        <w:pStyle w:val="BodyText"/>
        <w:spacing w:before="1"/>
        <w:ind w:left="270" w:right="6249" w:firstLine="426"/>
        <w:jc w:val="both"/>
      </w:pPr>
      <w:r>
        <w:rPr>
          <w:color w:val="202020"/>
        </w:rPr>
        <w:t>With the data shown above is recommended to create some strategies to reduce the weight of the backpacks of students at the elementary level, among which we can mention:</w:t>
      </w:r>
    </w:p>
    <w:p>
      <w:pPr>
        <w:pStyle w:val="ListParagraph"/>
        <w:numPr>
          <w:ilvl w:val="0"/>
          <w:numId w:val="108"/>
        </w:numPr>
        <w:tabs>
          <w:tab w:pos="400" w:val="left" w:leader="none"/>
        </w:tabs>
        <w:spacing w:line="240" w:lineRule="auto" w:before="0" w:after="0"/>
        <w:ind w:left="270" w:right="6249" w:firstLine="0"/>
        <w:jc w:val="both"/>
        <w:rPr>
          <w:color w:val="202020"/>
          <w:sz w:val="20"/>
        </w:rPr>
      </w:pPr>
      <w:r>
        <w:rPr>
          <w:color w:val="202020"/>
          <w:sz w:val="20"/>
        </w:rPr>
        <w:t>Hamstring books by blocks or units, so that only necessary to take the part or segment of the book that will work, and thereby reduce the amount of textbooks weight, without sacrificing its didactic and thematic</w:t>
      </w:r>
      <w:r>
        <w:rPr>
          <w:color w:val="202020"/>
          <w:spacing w:val="-25"/>
          <w:sz w:val="20"/>
        </w:rPr>
        <w:t> </w:t>
      </w:r>
      <w:r>
        <w:rPr>
          <w:color w:val="202020"/>
          <w:sz w:val="20"/>
        </w:rPr>
        <w:t>content.</w:t>
      </w:r>
    </w:p>
    <w:p>
      <w:pPr>
        <w:pStyle w:val="ListParagraph"/>
        <w:numPr>
          <w:ilvl w:val="0"/>
          <w:numId w:val="108"/>
        </w:numPr>
        <w:tabs>
          <w:tab w:pos="398" w:val="left" w:leader="none"/>
        </w:tabs>
        <w:spacing w:line="240" w:lineRule="auto" w:before="0" w:after="0"/>
        <w:ind w:left="270" w:right="6249" w:firstLine="0"/>
        <w:jc w:val="both"/>
        <w:rPr>
          <w:color w:val="202020"/>
          <w:sz w:val="20"/>
        </w:rPr>
      </w:pPr>
      <w:r>
        <w:rPr>
          <w:color w:val="202020"/>
          <w:sz w:val="20"/>
        </w:rPr>
        <w:t>Create schedules of activities, where matters of 2 hours per day are included, allowing include the weekly hours of work, thus, would only need to take 3 or 4 books</w:t>
      </w:r>
      <w:r>
        <w:rPr>
          <w:color w:val="202020"/>
          <w:spacing w:val="-21"/>
          <w:sz w:val="20"/>
        </w:rPr>
        <w:t> </w:t>
      </w:r>
      <w:r>
        <w:rPr>
          <w:color w:val="202020"/>
          <w:sz w:val="20"/>
        </w:rPr>
        <w:t>daily.</w:t>
      </w:r>
    </w:p>
    <w:p>
      <w:pPr>
        <w:pStyle w:val="ListParagraph"/>
        <w:numPr>
          <w:ilvl w:val="0"/>
          <w:numId w:val="108"/>
        </w:numPr>
        <w:tabs>
          <w:tab w:pos="402" w:val="left" w:leader="none"/>
        </w:tabs>
        <w:spacing w:line="240" w:lineRule="auto" w:before="0" w:after="0"/>
        <w:ind w:left="270" w:right="6247" w:firstLine="0"/>
        <w:jc w:val="left"/>
        <w:rPr>
          <w:color w:val="202020"/>
          <w:sz w:val="20"/>
        </w:rPr>
      </w:pPr>
      <w:r>
        <w:rPr>
          <w:color w:val="202020"/>
          <w:sz w:val="20"/>
        </w:rPr>
        <w:t>Scan textbooks, so that they can leave the forms in school, and use information technology to perform academic tasks. Within the survey were asked children about the ease of access to a computer and internet at home, to which more than 70% of respondents responded favorably to</w:t>
      </w:r>
      <w:r>
        <w:rPr>
          <w:color w:val="202020"/>
          <w:spacing w:val="-20"/>
          <w:sz w:val="20"/>
        </w:rPr>
        <w:t> </w:t>
      </w:r>
      <w:r>
        <w:rPr>
          <w:color w:val="202020"/>
          <w:sz w:val="20"/>
        </w:rPr>
        <w:t>it.</w:t>
      </w:r>
    </w:p>
    <w:p>
      <w:pPr>
        <w:pStyle w:val="BodyText"/>
      </w:pPr>
    </w:p>
    <w:p>
      <w:pPr>
        <w:pStyle w:val="BodyText"/>
        <w:spacing w:before="2"/>
      </w:pPr>
    </w:p>
    <w:p>
      <w:pPr>
        <w:pStyle w:val="Heading4"/>
        <w:numPr>
          <w:ilvl w:val="0"/>
          <w:numId w:val="141"/>
        </w:numPr>
        <w:tabs>
          <w:tab w:pos="471" w:val="left" w:leader="none"/>
        </w:tabs>
        <w:spacing w:line="240" w:lineRule="auto" w:before="0" w:after="0"/>
        <w:ind w:left="470" w:right="0" w:hanging="200"/>
        <w:jc w:val="both"/>
      </w:pPr>
      <w:r>
        <w:rPr/>
        <w:t>REFERENCES</w:t>
      </w:r>
    </w:p>
    <w:p>
      <w:pPr>
        <w:pStyle w:val="BodyText"/>
        <w:spacing w:before="9"/>
        <w:rPr>
          <w:b/>
          <w:sz w:val="19"/>
        </w:rPr>
      </w:pPr>
    </w:p>
    <w:p>
      <w:pPr>
        <w:pStyle w:val="BodyText"/>
        <w:spacing w:before="1"/>
        <w:ind w:left="270" w:right="6250"/>
        <w:jc w:val="both"/>
      </w:pPr>
      <w:r>
        <w:rPr/>
        <w:t>[1] Gómez Alosnso, M.T. Izquierdo, E., De Paz, J.A., and González, M. “Influencia del sedentarismo en las desviaciones raquídeas de la población escolar de León” Revista Internacional de Medicina y Ciencias de la Actividad Física y el Deporte, 2(8), pp. 244-252 (2002).</w:t>
      </w:r>
    </w:p>
    <w:p>
      <w:pPr>
        <w:pStyle w:val="BodyText"/>
        <w:ind w:left="270" w:right="6250"/>
        <w:jc w:val="both"/>
      </w:pPr>
      <w:r>
        <w:rPr/>
        <w:t>[2] Castillo, M.P. “La importancia de la educación postural en escolares como método de prevención del dolor de espalda” en Medicina General. pp. 464-466 (2000)</w:t>
      </w:r>
    </w:p>
    <w:p>
      <w:pPr>
        <w:pStyle w:val="BodyText"/>
        <w:ind w:left="270" w:right="6250"/>
        <w:jc w:val="both"/>
      </w:pPr>
      <w:r>
        <w:rPr/>
        <w:t>[3] Alberola López S, Pérez García I, Casares Alonso  I, Cano Garcinuño A, Andrés de Llano JM. “Mochilas escolares y dolor de espalda en la población infantil”. Rev Pediatr Aten Primaria.</w:t>
      </w:r>
      <w:r>
        <w:rPr>
          <w:spacing w:val="-15"/>
        </w:rPr>
        <w:t> </w:t>
      </w:r>
      <w:r>
        <w:rPr/>
        <w:t>2010;12:385-97</w:t>
      </w:r>
    </w:p>
    <w:p>
      <w:pPr>
        <w:spacing w:after="0"/>
        <w:jc w:val="both"/>
        <w:sectPr>
          <w:type w:val="continuous"/>
          <w:pgSz w:w="12240" w:h="15840"/>
          <w:pgMar w:top="1500" w:bottom="280" w:left="580" w:right="220"/>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6"/>
        <w:rPr>
          <w:sz w:val="26"/>
        </w:rPr>
      </w:pPr>
    </w:p>
    <w:p>
      <w:pPr>
        <w:pStyle w:val="Heading1"/>
        <w:ind w:right="134"/>
        <w:rPr>
          <w:rFonts w:ascii="Arial" w:hAnsi="Arial"/>
        </w:rPr>
      </w:pPr>
      <w:r>
        <w:rPr>
          <w:rFonts w:ascii="Arial" w:hAnsi="Arial"/>
        </w:rPr>
        <w:t>Determination of Fatigue and Cumulative Trauma Disorder in the Production´s Area at an Ice Cream Store: A Study Case.</w:t>
      </w:r>
    </w:p>
    <w:p>
      <w:pPr>
        <w:pStyle w:val="BodyText"/>
        <w:spacing w:before="6"/>
        <w:rPr>
          <w:rFonts w:ascii="Arial"/>
          <w:b/>
          <w:sz w:val="19"/>
        </w:rPr>
      </w:pPr>
    </w:p>
    <w:p>
      <w:pPr>
        <w:spacing w:line="213" w:lineRule="auto" w:before="0"/>
        <w:ind w:left="270" w:right="20" w:firstLine="0"/>
        <w:jc w:val="both"/>
        <w:rPr>
          <w:i/>
          <w:sz w:val="20"/>
        </w:rPr>
      </w:pPr>
      <w:r>
        <w:rPr>
          <w:i/>
          <w:sz w:val="20"/>
        </w:rPr>
        <w:t>Alberto Ramírez Leyva </w:t>
      </w:r>
      <w:r>
        <w:rPr>
          <w:i/>
          <w:position w:val="9"/>
          <w:sz w:val="13"/>
        </w:rPr>
        <w:t>a</w:t>
      </w:r>
      <w:r>
        <w:rPr>
          <w:i/>
          <w:sz w:val="20"/>
        </w:rPr>
        <w:t>, Jesús Iván Ruiz Ibarra </w:t>
      </w:r>
      <w:r>
        <w:rPr>
          <w:i/>
          <w:position w:val="9"/>
          <w:sz w:val="13"/>
        </w:rPr>
        <w:t>b</w:t>
      </w:r>
      <w:r>
        <w:rPr>
          <w:i/>
          <w:sz w:val="20"/>
        </w:rPr>
        <w:t>, Carlos </w:t>
      </w:r>
      <w:r>
        <w:rPr>
          <w:i/>
          <w:sz w:val="20"/>
        </w:rPr>
        <w:t>Enrique Flores Apodaca </w:t>
      </w:r>
      <w:r>
        <w:rPr>
          <w:i/>
          <w:position w:val="9"/>
          <w:sz w:val="13"/>
        </w:rPr>
        <w:t>c</w:t>
      </w:r>
      <w:r>
        <w:rPr>
          <w:i/>
          <w:sz w:val="20"/>
        </w:rPr>
        <w:t>, Luis Roberto Arce López </w:t>
      </w:r>
      <w:r>
        <w:rPr>
          <w:i/>
          <w:position w:val="9"/>
          <w:sz w:val="13"/>
        </w:rPr>
        <w:t>d</w:t>
      </w:r>
      <w:r>
        <w:rPr>
          <w:i/>
          <w:sz w:val="20"/>
        </w:rPr>
        <w:t>, Varinka Larissa Pérez Hernández </w:t>
      </w:r>
      <w:r>
        <w:rPr>
          <w:i/>
          <w:position w:val="9"/>
          <w:sz w:val="13"/>
        </w:rPr>
        <w:t>e</w:t>
      </w:r>
      <w:r>
        <w:rPr>
          <w:i/>
          <w:sz w:val="20"/>
        </w:rPr>
        <w:t>.</w:t>
      </w:r>
    </w:p>
    <w:p>
      <w:pPr>
        <w:pStyle w:val="BodyText"/>
        <w:rPr>
          <w:i/>
          <w:sz w:val="19"/>
        </w:rPr>
      </w:pPr>
    </w:p>
    <w:p>
      <w:pPr>
        <w:spacing w:before="1"/>
        <w:ind w:left="270" w:right="2" w:firstLine="0"/>
        <w:jc w:val="both"/>
        <w:rPr>
          <w:sz w:val="16"/>
        </w:rPr>
      </w:pPr>
      <w:r>
        <w:rPr>
          <w:position w:val="7"/>
          <w:sz w:val="10"/>
        </w:rPr>
        <w:t>a </w:t>
      </w:r>
      <w:r>
        <w:rPr>
          <w:sz w:val="16"/>
        </w:rPr>
        <w:t>Instituto Tecnológico de Los Mochis, Juan de Dios Batiz y 20 de  noviembre s/n código postal 81259, alberto_ramirez_leyva@yahoo,com,  Los Mochis, Sinaloa,</w:t>
      </w:r>
      <w:r>
        <w:rPr>
          <w:spacing w:val="-19"/>
          <w:sz w:val="16"/>
        </w:rPr>
        <w:t> </w:t>
      </w:r>
      <w:r>
        <w:rPr>
          <w:sz w:val="16"/>
        </w:rPr>
        <w:t>México.</w:t>
      </w:r>
    </w:p>
    <w:p>
      <w:pPr>
        <w:spacing w:line="184" w:lineRule="exact" w:before="0"/>
        <w:ind w:left="270" w:right="0" w:firstLine="0"/>
        <w:jc w:val="both"/>
        <w:rPr>
          <w:sz w:val="16"/>
        </w:rPr>
      </w:pPr>
      <w:r>
        <w:rPr>
          <w:position w:val="7"/>
          <w:sz w:val="10"/>
        </w:rPr>
        <w:t>b   </w:t>
      </w:r>
      <w:r>
        <w:rPr>
          <w:sz w:val="16"/>
        </w:rPr>
        <w:t>Instituto  Tecnológico  de  Los  Mochis,  Juan  de  Dios  Batiz  y  20      de</w:t>
      </w:r>
    </w:p>
    <w:p>
      <w:pPr>
        <w:spacing w:before="1"/>
        <w:ind w:left="270" w:right="0" w:firstLine="0"/>
        <w:jc w:val="both"/>
        <w:rPr>
          <w:sz w:val="16"/>
        </w:rPr>
      </w:pPr>
      <w:r>
        <w:rPr>
          <w:sz w:val="16"/>
        </w:rPr>
        <w:t>noviembre s/n código postal 81259, jesus_ruizi@hotmail,com, Los Mochis, Sinaloa, México.</w:t>
      </w:r>
    </w:p>
    <w:p>
      <w:pPr>
        <w:spacing w:line="184" w:lineRule="exact" w:before="0"/>
        <w:ind w:left="270" w:right="0" w:firstLine="0"/>
        <w:jc w:val="both"/>
        <w:rPr>
          <w:sz w:val="16"/>
        </w:rPr>
      </w:pPr>
      <w:r>
        <w:rPr>
          <w:position w:val="7"/>
          <w:sz w:val="10"/>
        </w:rPr>
        <w:t>c   </w:t>
      </w:r>
      <w:r>
        <w:rPr>
          <w:sz w:val="16"/>
        </w:rPr>
        <w:t>Instituto  Tecnológico  de  Los  Mochis,  Juan  de  Dios  Batiz  y  20      de</w:t>
      </w:r>
    </w:p>
    <w:p>
      <w:pPr>
        <w:spacing w:before="1"/>
        <w:ind w:left="270" w:right="0" w:firstLine="0"/>
        <w:jc w:val="both"/>
        <w:rPr>
          <w:sz w:val="16"/>
        </w:rPr>
      </w:pPr>
      <w:r>
        <w:rPr>
          <w:sz w:val="16"/>
        </w:rPr>
        <w:t>noviembre s/n código postal 81259, carlosefa@hotmail,com, Los Mochis, Sinaloa, México.</w:t>
      </w:r>
    </w:p>
    <w:p>
      <w:pPr>
        <w:spacing w:line="184" w:lineRule="exact" w:before="0"/>
        <w:ind w:left="270" w:right="0" w:firstLine="0"/>
        <w:jc w:val="both"/>
        <w:rPr>
          <w:sz w:val="16"/>
        </w:rPr>
      </w:pPr>
      <w:r>
        <w:rPr>
          <w:position w:val="7"/>
          <w:sz w:val="10"/>
        </w:rPr>
        <w:t>d   </w:t>
      </w:r>
      <w:r>
        <w:rPr>
          <w:sz w:val="16"/>
        </w:rPr>
        <w:t>Instituto  Tecnológico  de  Los  Mochis,  Juan  de  Dios  Batiz  y  20      de</w:t>
      </w:r>
    </w:p>
    <w:p>
      <w:pPr>
        <w:spacing w:before="1"/>
        <w:ind w:left="270" w:right="0" w:firstLine="0"/>
        <w:jc w:val="both"/>
        <w:rPr>
          <w:sz w:val="16"/>
        </w:rPr>
      </w:pPr>
      <w:r>
        <w:rPr>
          <w:sz w:val="16"/>
        </w:rPr>
        <w:t>noviembre s/n código postal 81259, luisarceitlm@hotmail,com, Los Mochis, Sinaloa, México.</w:t>
      </w:r>
    </w:p>
    <w:p>
      <w:pPr>
        <w:spacing w:line="184" w:lineRule="exact" w:before="0"/>
        <w:ind w:left="270" w:right="0" w:firstLine="0"/>
        <w:jc w:val="both"/>
        <w:rPr>
          <w:sz w:val="16"/>
        </w:rPr>
      </w:pPr>
      <w:r>
        <w:rPr>
          <w:position w:val="7"/>
          <w:sz w:val="10"/>
        </w:rPr>
        <w:t>e    </w:t>
      </w:r>
      <w:r>
        <w:rPr>
          <w:sz w:val="16"/>
        </w:rPr>
        <w:t>Estudiante  de  Ingeniería  Industrial  del  Instituto  Tecnológico  de     Los</w:t>
      </w:r>
    </w:p>
    <w:p>
      <w:pPr>
        <w:spacing w:before="1"/>
        <w:ind w:left="270" w:right="0" w:firstLine="0"/>
        <w:jc w:val="both"/>
        <w:rPr>
          <w:sz w:val="16"/>
        </w:rPr>
      </w:pPr>
      <w:r>
        <w:rPr>
          <w:sz w:val="16"/>
        </w:rPr>
        <w:t>Mochis, Juan de Dios Batiz y 20 de noviembre s/n código postal 81259, issa_pop@hotmail,com, Los Mochis, Sinaloa, México.</w:t>
      </w:r>
    </w:p>
    <w:p>
      <w:pPr>
        <w:pStyle w:val="BodyText"/>
        <w:spacing w:before="5"/>
        <w:rPr>
          <w:sz w:val="16"/>
        </w:rPr>
      </w:pPr>
    </w:p>
    <w:p>
      <w:pPr>
        <w:pStyle w:val="Heading4"/>
      </w:pPr>
      <w:r>
        <w:rPr/>
        <w:pict>
          <v:line style="position:absolute;mso-position-horizontal-relative:page;mso-position-vertical-relative:paragraph;z-index:16000" from="41.040001pt,13.205934pt" to="289.860001pt,13.205934pt" stroked="true" strokeweight="1.5pt" strokecolor="#000000">
            <w10:wrap type="none"/>
          </v:line>
        </w:pict>
      </w:r>
      <w:r>
        <w:rPr/>
        <w:t>Resumen</w:t>
      </w:r>
    </w:p>
    <w:p>
      <w:pPr>
        <w:pStyle w:val="BodyText"/>
        <w:spacing w:before="46"/>
        <w:ind w:left="270" w:right="18"/>
        <w:jc w:val="both"/>
      </w:pPr>
      <w:r>
        <w:rPr/>
        <w:t>Para determinar la existencia de fatiga o desordenes de trauma acumulado en los empleados de producción de una paleteria, se realizó un estudio utilizando los métodos subjetivos de cuatro puntos de Luke, así como el mapeo de Corlett &amp; Bishop. En dos periodo de tres semanas se realizó el estudio donde se aplicó tanto al inicio como al final de cada jornada cuatro puntos de Luke, y en el caso de Corlett  &amp; Bishop se realizó al finalizar la jornada de trabajo solamente. Una vez realizado el análisis se pudo determinar que existía fatiga, principalmente en los días finales de la semana. Se pudo apreciar que existía mayor frecuencia de molestias en cuello, hombros, parte superior de los brazos, muñecas y manos, espalda baja, piernas y pies para el primer periodo de estudio. Los resultados proyectados por el mapeo del segundo periodo señalan que se presentan molestias en cuellos, hombros, parte superior de los brazos, muñecas y manos, espalda baja, y ligeras molestias en parte inferior de los brazos, piernas y</w:t>
      </w:r>
      <w:r>
        <w:rPr>
          <w:spacing w:val="-7"/>
        </w:rPr>
        <w:t> </w:t>
      </w:r>
      <w:r>
        <w:rPr/>
        <w:t>pies.</w:t>
      </w:r>
    </w:p>
    <w:p>
      <w:pPr>
        <w:pStyle w:val="BodyText"/>
        <w:spacing w:before="11"/>
        <w:rPr>
          <w:sz w:val="19"/>
        </w:rPr>
      </w:pPr>
    </w:p>
    <w:p>
      <w:pPr>
        <w:spacing w:before="0"/>
        <w:ind w:left="270" w:right="0" w:firstLine="0"/>
        <w:jc w:val="both"/>
        <w:rPr>
          <w:sz w:val="20"/>
        </w:rPr>
      </w:pPr>
      <w:r>
        <w:rPr>
          <w:b/>
          <w:sz w:val="20"/>
        </w:rPr>
        <w:t>Palabras clave</w:t>
      </w:r>
      <w:r>
        <w:rPr>
          <w:sz w:val="20"/>
        </w:rPr>
        <w:t>— Fatiga, Lesiones, Paleterias.</w:t>
      </w:r>
    </w:p>
    <w:p>
      <w:pPr>
        <w:pStyle w:val="BodyText"/>
        <w:spacing w:before="4"/>
      </w:pPr>
    </w:p>
    <w:p>
      <w:pPr>
        <w:pStyle w:val="Heading5"/>
        <w:rPr>
          <w:i/>
        </w:rPr>
      </w:pPr>
      <w:r>
        <w:rPr/>
        <w:pict>
          <v:line style="position:absolute;mso-position-horizontal-relative:page;mso-position-vertical-relative:paragraph;z-index:16024" from="41.040001pt,13.206549pt" to="289.860001pt,13.206549pt" stroked="true" strokeweight="1.5pt" strokecolor="#000000">
            <w10:wrap type="none"/>
          </v:line>
        </w:pict>
      </w:r>
      <w:r>
        <w:rPr>
          <w:i/>
        </w:rPr>
        <w:t>Abstract</w:t>
      </w:r>
    </w:p>
    <w:p>
      <w:pPr>
        <w:spacing w:before="46"/>
        <w:ind w:left="270" w:right="18" w:firstLine="0"/>
        <w:jc w:val="both"/>
        <w:rPr>
          <w:i/>
          <w:sz w:val="20"/>
        </w:rPr>
      </w:pPr>
      <w:r>
        <w:rPr>
          <w:i/>
          <w:sz w:val="20"/>
        </w:rPr>
        <w:t>To determine the existence of fatigue or cumulative trauma </w:t>
      </w:r>
      <w:r>
        <w:rPr>
          <w:i/>
          <w:sz w:val="20"/>
        </w:rPr>
        <w:t>disorders in production employees of a ice cream store, a study using subjective methods Luke four points  and mapping Corlett &amp; Bishop was performed. In two three-week period the study where it was applied to both the beginning and end of each day four points of Luke was performed, and in the case of Corlett &amp; Bishop was performed at the end of the working day only. Once the analysis it was determined that there was fatigue, especially in the final days of the week. It was seen that there was a higher frequency of pain in the neck, shoulders, upper arms, wrists and hands, lower back, legs and feet for the first period of study. Projected </w:t>
      </w:r>
      <w:r>
        <w:rPr>
          <w:i/>
          <w:spacing w:val="43"/>
          <w:sz w:val="20"/>
        </w:rPr>
        <w:t> </w:t>
      </w:r>
      <w:r>
        <w:rPr>
          <w:i/>
          <w:sz w:val="20"/>
        </w:rPr>
        <w:t>by</w:t>
      </w:r>
    </w:p>
    <w:p>
      <w:pPr>
        <w:spacing w:before="74"/>
        <w:ind w:left="270" w:right="675" w:firstLine="0"/>
        <w:jc w:val="both"/>
        <w:rPr>
          <w:i/>
          <w:sz w:val="20"/>
        </w:rPr>
      </w:pPr>
      <w:r>
        <w:rPr/>
        <w:br w:type="column"/>
      </w:r>
      <w:r>
        <w:rPr>
          <w:i/>
          <w:sz w:val="20"/>
        </w:rPr>
        <w:t>mapping the second period results indicate that discomfort </w:t>
      </w:r>
      <w:r>
        <w:rPr>
          <w:i/>
          <w:sz w:val="20"/>
        </w:rPr>
        <w:t>necks, shoulders, upper arms, wrists and hands, lower back, and mild discomfort in lower arms, legs and feet are presented.</w:t>
      </w:r>
    </w:p>
    <w:p>
      <w:pPr>
        <w:pStyle w:val="BodyText"/>
        <w:spacing w:before="11"/>
        <w:rPr>
          <w:i/>
          <w:sz w:val="19"/>
        </w:rPr>
      </w:pPr>
    </w:p>
    <w:p>
      <w:pPr>
        <w:spacing w:before="0"/>
        <w:ind w:left="270" w:right="0" w:firstLine="0"/>
        <w:jc w:val="both"/>
        <w:rPr>
          <w:i/>
          <w:sz w:val="20"/>
        </w:rPr>
      </w:pPr>
      <w:r>
        <w:rPr>
          <w:b/>
          <w:i/>
          <w:sz w:val="20"/>
        </w:rPr>
        <w:t>Keywords</w:t>
      </w:r>
      <w:r>
        <w:rPr>
          <w:i/>
          <w:sz w:val="20"/>
        </w:rPr>
        <w:t>— CTD, Tiredness, Skeletal muscle injury</w:t>
      </w:r>
    </w:p>
    <w:p>
      <w:pPr>
        <w:pStyle w:val="BodyText"/>
        <w:spacing w:before="11"/>
        <w:rPr>
          <w:i/>
          <w:sz w:val="19"/>
        </w:rPr>
      </w:pPr>
    </w:p>
    <w:p>
      <w:pPr>
        <w:pStyle w:val="BodyText"/>
        <w:ind w:left="270" w:right="676"/>
        <w:jc w:val="both"/>
      </w:pPr>
      <w:r>
        <w:rPr/>
        <w:t>Relevance to Ergonomics: Family ice cream store are understudied companies, despite having plenty of them in the country was not found investigation concerning the same, so this research is the beginning of future research in this field, which will redesign tools and</w:t>
      </w:r>
      <w:r>
        <w:rPr>
          <w:spacing w:val="-28"/>
        </w:rPr>
        <w:t> </w:t>
      </w:r>
      <w:r>
        <w:rPr/>
        <w:t>workstations.</w:t>
      </w:r>
    </w:p>
    <w:p>
      <w:pPr>
        <w:pStyle w:val="BodyText"/>
        <w:spacing w:before="2"/>
      </w:pPr>
    </w:p>
    <w:p>
      <w:pPr>
        <w:pStyle w:val="Heading4"/>
        <w:numPr>
          <w:ilvl w:val="0"/>
          <w:numId w:val="142"/>
        </w:numPr>
        <w:tabs>
          <w:tab w:pos="473" w:val="left" w:leader="none"/>
        </w:tabs>
        <w:spacing w:line="240" w:lineRule="auto" w:before="0" w:after="0"/>
        <w:ind w:left="472" w:right="0" w:hanging="202"/>
        <w:jc w:val="both"/>
      </w:pPr>
      <w:r>
        <w:rPr/>
        <w:t>INTRODUCTION</w:t>
      </w:r>
    </w:p>
    <w:p>
      <w:pPr>
        <w:pStyle w:val="BodyText"/>
        <w:spacing w:before="8"/>
        <w:rPr>
          <w:b/>
          <w:sz w:val="19"/>
        </w:rPr>
      </w:pPr>
    </w:p>
    <w:p>
      <w:pPr>
        <w:pStyle w:val="BodyText"/>
        <w:ind w:left="270" w:right="674"/>
        <w:jc w:val="both"/>
      </w:pPr>
      <w:r>
        <w:rPr/>
        <w:t>Occupational diseases are increasing day by day, without realizing it can be candidates to submit some, arising from our activities within our workplace, so much we  do  not know it until some discomfort. Fatigue as a condition that affects us all and involves many fields of action, is a subject of study in different aspects.</w:t>
      </w:r>
    </w:p>
    <w:p>
      <w:pPr>
        <w:pStyle w:val="BodyText"/>
        <w:spacing w:before="11"/>
        <w:rPr>
          <w:sz w:val="19"/>
        </w:rPr>
      </w:pPr>
    </w:p>
    <w:p>
      <w:pPr>
        <w:pStyle w:val="BodyText"/>
        <w:ind w:left="270" w:right="676" w:firstLine="567"/>
        <w:jc w:val="both"/>
      </w:pPr>
      <w:r>
        <w:rPr/>
        <w:t>Constant practices and observations in the old way of working within the area of production of this ice cream store reflects difficulty, indicating inadequate conditions in the workplace, even where the process of production  of products such as snow, pallets and fresh waters develops.</w:t>
      </w:r>
    </w:p>
    <w:p>
      <w:pPr>
        <w:pStyle w:val="BodyText"/>
        <w:spacing w:before="11"/>
        <w:rPr>
          <w:sz w:val="19"/>
        </w:rPr>
      </w:pPr>
    </w:p>
    <w:p>
      <w:pPr>
        <w:pStyle w:val="BodyText"/>
        <w:ind w:left="270" w:right="676" w:firstLine="567"/>
        <w:jc w:val="both"/>
      </w:pPr>
      <w:r>
        <w:rPr/>
        <w:t>The work carried out were especially targeted at male staff who took care of loads and heavy work and the development of the whole product sold on site, currently a business run by women but staff not so with lower value, sometimes with half turn a young helps in the development of products.</w:t>
      </w:r>
    </w:p>
    <w:p>
      <w:pPr>
        <w:pStyle w:val="BodyText"/>
        <w:spacing w:before="11"/>
        <w:rPr>
          <w:sz w:val="19"/>
        </w:rPr>
      </w:pPr>
    </w:p>
    <w:p>
      <w:pPr>
        <w:pStyle w:val="BodyText"/>
        <w:ind w:left="270" w:right="677" w:firstLine="567"/>
        <w:jc w:val="both"/>
      </w:pPr>
      <w:r>
        <w:rPr/>
        <w:t>The problem stems from three months after being constantly doing work and heavy loads, female staff  presents exhaustion and tiredness in their activities within the rhythm of work that lives daily in</w:t>
      </w:r>
      <w:r>
        <w:rPr>
          <w:spacing w:val="-22"/>
        </w:rPr>
        <w:t> </w:t>
      </w:r>
      <w:r>
        <w:rPr/>
        <w:t>business.</w:t>
      </w:r>
    </w:p>
    <w:p>
      <w:pPr>
        <w:pStyle w:val="BodyText"/>
      </w:pPr>
    </w:p>
    <w:p>
      <w:pPr>
        <w:pStyle w:val="BodyText"/>
        <w:spacing w:before="1"/>
        <w:ind w:left="270" w:right="677" w:firstLine="567"/>
        <w:jc w:val="both"/>
      </w:pPr>
      <w:r>
        <w:rPr/>
        <w:t>It has been observed that the conditions and all equipment is not suitable to staff currently working, so exhaustion and cumulative trauma disorder may become visible. Regardless mental or physical  exhaustion  that makes the worker before or after the workday, all these symptoms or effects are reflected in the performance of the worker and is important for the business and for the health  of the early identification of potential causes of fatigue and exhaustion to counteract</w:t>
      </w:r>
      <w:r>
        <w:rPr>
          <w:spacing w:val="-12"/>
        </w:rPr>
        <w:t> </w:t>
      </w:r>
      <w:r>
        <w:rPr/>
        <w:t>them.</w:t>
      </w:r>
    </w:p>
    <w:p>
      <w:pPr>
        <w:pStyle w:val="BodyText"/>
        <w:spacing w:before="11"/>
        <w:rPr>
          <w:sz w:val="19"/>
        </w:rPr>
      </w:pPr>
    </w:p>
    <w:p>
      <w:pPr>
        <w:pStyle w:val="BodyText"/>
        <w:ind w:left="270" w:right="678" w:firstLine="567"/>
        <w:jc w:val="both"/>
      </w:pPr>
      <w:r>
        <w:rPr/>
        <w:t>The objective of this research is to identify if the female staff active in the area of production of an ice cream store, develops physical fatigue and possible cumulative trauma disorders, precisely because of these repetitive throughout their workday tasks to improve the quality of life for current and future workers, to give greater safety and convenience when carrying out their daily tasks.</w:t>
      </w:r>
    </w:p>
    <w:p>
      <w:pPr>
        <w:spacing w:after="0"/>
        <w:jc w:val="both"/>
        <w:sectPr>
          <w:type w:val="continuous"/>
          <w:pgSz w:w="12240" w:h="15840"/>
          <w:pgMar w:top="1500" w:bottom="280" w:left="580" w:right="220"/>
          <w:cols w:num="2" w:equalWidth="0">
            <w:col w:w="5211" w:space="414"/>
            <w:col w:w="5815"/>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4"/>
        <w:ind w:left="270" w:firstLine="567"/>
        <w:jc w:val="both"/>
      </w:pPr>
      <w:r>
        <w:rPr/>
        <w:t>In the company under investigation, female staff performs tasks with repetitive upper limb movements, these activities affect other parts of the body, neck, shoulders, legs and hands. However there were no medical records injury. That was how it was decided to make a study to determine whether workers in the production area were presenting fatigue and / or CDT, this in order to improve the conditions in which they perform the tasks and in turn use this research as a reference for future further research, to design spaces, tools, utensils, workstations, with anthropometric dimensions and ergonomic features to suit the use.</w:t>
      </w:r>
    </w:p>
    <w:p>
      <w:pPr>
        <w:pStyle w:val="BodyText"/>
        <w:spacing w:before="11"/>
        <w:rPr>
          <w:sz w:val="19"/>
        </w:rPr>
      </w:pPr>
    </w:p>
    <w:p>
      <w:pPr>
        <w:pStyle w:val="BodyText"/>
        <w:ind w:left="270" w:firstLine="567"/>
        <w:jc w:val="both"/>
      </w:pPr>
      <w:r>
        <w:rPr/>
        <w:t>Results from the study show that it is important ergonomic adaptation equipment production area, such as ice cream vendor furniture, work tables, sink and area carafe, as currently the business is managed by female staff and complaints or discomforts were not made visible by its former employees.</w:t>
      </w:r>
    </w:p>
    <w:p>
      <w:pPr>
        <w:pStyle w:val="BodyText"/>
        <w:spacing w:before="11"/>
        <w:rPr>
          <w:sz w:val="19"/>
        </w:rPr>
      </w:pPr>
    </w:p>
    <w:p>
      <w:pPr>
        <w:pStyle w:val="BodyText"/>
        <w:ind w:left="270" w:firstLine="567"/>
        <w:jc w:val="both"/>
      </w:pPr>
      <w:r>
        <w:rPr/>
        <w:t>Whereas that never done a study on the production process in an ice cream store of this region, the benefits will be helpful to prevent early fatigue and possible disorders of cumulative trauma or DTA's labor play its job more efficiently and quality of life will be favored.</w:t>
      </w:r>
    </w:p>
    <w:p>
      <w:pPr>
        <w:pStyle w:val="BodyText"/>
        <w:spacing w:before="2"/>
      </w:pPr>
    </w:p>
    <w:p>
      <w:pPr>
        <w:pStyle w:val="Heading4"/>
        <w:numPr>
          <w:ilvl w:val="0"/>
          <w:numId w:val="142"/>
        </w:numPr>
        <w:tabs>
          <w:tab w:pos="472" w:val="left" w:leader="none"/>
        </w:tabs>
        <w:spacing w:line="240" w:lineRule="auto" w:before="0" w:after="0"/>
        <w:ind w:left="471" w:right="0" w:hanging="201"/>
        <w:jc w:val="both"/>
      </w:pPr>
      <w:r>
        <w:rPr/>
        <w:t>Methodology</w:t>
      </w:r>
    </w:p>
    <w:p>
      <w:pPr>
        <w:pStyle w:val="BodyText"/>
        <w:spacing w:before="8"/>
        <w:rPr>
          <w:b/>
          <w:sz w:val="19"/>
        </w:rPr>
      </w:pPr>
    </w:p>
    <w:p>
      <w:pPr>
        <w:pStyle w:val="BodyText"/>
        <w:ind w:left="270" w:right="1"/>
        <w:jc w:val="both"/>
      </w:pPr>
      <w:r>
        <w:rPr/>
        <w:t>This study was in the production area, since in her major activities are presented with loads and same movements that produce fatigue and poor performance on the worker or female staff working in the company.</w:t>
      </w:r>
    </w:p>
    <w:p>
      <w:pPr>
        <w:pStyle w:val="BodyText"/>
        <w:spacing w:before="1"/>
        <w:rPr>
          <w:sz w:val="21"/>
        </w:rPr>
      </w:pPr>
    </w:p>
    <w:p>
      <w:pPr>
        <w:pStyle w:val="Heading4"/>
        <w:numPr>
          <w:ilvl w:val="1"/>
          <w:numId w:val="142"/>
        </w:numPr>
        <w:tabs>
          <w:tab w:pos="572" w:val="left" w:leader="none"/>
        </w:tabs>
        <w:spacing w:line="240" w:lineRule="auto" w:before="0" w:after="0"/>
        <w:ind w:left="571" w:right="0" w:hanging="301"/>
        <w:jc w:val="both"/>
      </w:pPr>
      <w:r>
        <w:rPr/>
        <w:t>Participants</w:t>
      </w:r>
    </w:p>
    <w:p>
      <w:pPr>
        <w:pStyle w:val="BodyText"/>
        <w:spacing w:before="3"/>
        <w:rPr>
          <w:b/>
          <w:sz w:val="21"/>
        </w:rPr>
      </w:pPr>
    </w:p>
    <w:p>
      <w:pPr>
        <w:pStyle w:val="BodyText"/>
        <w:spacing w:line="249" w:lineRule="auto"/>
        <w:ind w:left="270"/>
        <w:jc w:val="both"/>
      </w:pPr>
      <w:r>
        <w:rPr/>
        <w:t>The study is focused on the goal of producing an ice cream store, today is led by female staff and attended by a person halftime male. A total of two workers who are responsible for production activities. Usually they work 8 to 10 hours a day, seven days a</w:t>
      </w:r>
      <w:r>
        <w:rPr>
          <w:spacing w:val="-6"/>
        </w:rPr>
        <w:t> </w:t>
      </w:r>
      <w:r>
        <w:rPr/>
        <w:t>week.</w:t>
      </w:r>
    </w:p>
    <w:p>
      <w:pPr>
        <w:pStyle w:val="BodyText"/>
        <w:spacing w:before="11"/>
      </w:pPr>
    </w:p>
    <w:p>
      <w:pPr>
        <w:pStyle w:val="BodyText"/>
        <w:spacing w:line="249" w:lineRule="auto"/>
        <w:ind w:left="270" w:firstLine="450"/>
        <w:jc w:val="both"/>
      </w:pPr>
      <w:r>
        <w:rPr/>
        <w:t>Once subjects to study known, observations are made on each task performed by workers when developing products, to know if fatigue or possible disorders of cumulative, known trauma as CDT show, the questionnaire was applied 4 points of Luke, showing the level of tiredness experienced by workers, this will help us to determine the body segments where pain or discomfort and Corlett &amp; Bishop mapping, which is a study that shows the degree of annoyance suffer pain that occurs in various parts of the body.</w:t>
      </w:r>
    </w:p>
    <w:p>
      <w:pPr>
        <w:pStyle w:val="BodyText"/>
        <w:spacing w:before="5"/>
      </w:pPr>
    </w:p>
    <w:p>
      <w:pPr>
        <w:pStyle w:val="Heading4"/>
        <w:numPr>
          <w:ilvl w:val="1"/>
          <w:numId w:val="142"/>
        </w:numPr>
        <w:tabs>
          <w:tab w:pos="572" w:val="left" w:leader="none"/>
        </w:tabs>
        <w:spacing w:line="240" w:lineRule="auto" w:before="0" w:after="0"/>
        <w:ind w:left="571" w:right="0" w:hanging="301"/>
        <w:jc w:val="both"/>
      </w:pPr>
      <w:r>
        <w:rPr/>
        <w:t>Luke 4 points</w:t>
      </w:r>
      <w:r>
        <w:rPr>
          <w:spacing w:val="-8"/>
        </w:rPr>
        <w:t> </w:t>
      </w:r>
      <w:r>
        <w:rPr/>
        <w:t>scale</w:t>
      </w:r>
    </w:p>
    <w:p>
      <w:pPr>
        <w:pStyle w:val="BodyText"/>
        <w:spacing w:before="4"/>
        <w:rPr>
          <w:b/>
          <w:sz w:val="21"/>
        </w:rPr>
      </w:pPr>
    </w:p>
    <w:p>
      <w:pPr>
        <w:pStyle w:val="BodyText"/>
        <w:spacing w:line="249" w:lineRule="auto" w:before="1"/>
        <w:ind w:left="270" w:firstLine="399"/>
        <w:jc w:val="both"/>
      </w:pPr>
      <w:r>
        <w:rPr/>
        <w:t>Luke and Col. (1999) used a scale to determine the level of fatigue called Luke 4 points, fatigue levels fall after a normal workday, the measurement scale is as follows: "non tired"  1  point,  "tired"  2  points  "very  tired"  3  points and</w:t>
      </w:r>
    </w:p>
    <w:p>
      <w:pPr>
        <w:pStyle w:val="BodyText"/>
        <w:spacing w:line="249" w:lineRule="auto" w:before="83"/>
        <w:ind w:left="270" w:right="702"/>
      </w:pPr>
      <w:r>
        <w:rPr/>
        <w:br w:type="column"/>
      </w:r>
      <w:r>
        <w:rPr/>
        <w:t>"extremely tired" 4 points. The responses are grouped into fatigue that said "very tired" and "extremely tired".</w:t>
      </w:r>
    </w:p>
    <w:p>
      <w:pPr>
        <w:pStyle w:val="BodyText"/>
        <w:spacing w:before="5"/>
      </w:pPr>
    </w:p>
    <w:p>
      <w:pPr>
        <w:pStyle w:val="Heading4"/>
        <w:numPr>
          <w:ilvl w:val="1"/>
          <w:numId w:val="142"/>
        </w:numPr>
        <w:tabs>
          <w:tab w:pos="571" w:val="left" w:leader="none"/>
        </w:tabs>
        <w:spacing w:line="240" w:lineRule="auto" w:before="0" w:after="0"/>
        <w:ind w:left="570" w:right="0" w:hanging="300"/>
        <w:jc w:val="left"/>
      </w:pPr>
      <w:r>
        <w:rPr/>
        <w:t>Corlett &amp;</w:t>
      </w:r>
      <w:r>
        <w:rPr>
          <w:spacing w:val="-5"/>
        </w:rPr>
        <w:t> </w:t>
      </w:r>
      <w:r>
        <w:rPr/>
        <w:t>Bishop</w:t>
      </w:r>
    </w:p>
    <w:p>
      <w:pPr>
        <w:pStyle w:val="BodyText"/>
        <w:spacing w:before="3"/>
        <w:rPr>
          <w:b/>
          <w:sz w:val="21"/>
        </w:rPr>
      </w:pPr>
    </w:p>
    <w:p>
      <w:pPr>
        <w:pStyle w:val="BodyText"/>
        <w:spacing w:line="249" w:lineRule="auto"/>
        <w:ind w:left="270" w:right="676" w:firstLine="399"/>
        <w:jc w:val="both"/>
      </w:pPr>
      <w:r>
        <w:rPr/>
        <w:t>The scale map of discomfort or body segments (Corlett &amp; Bishop, 1976) is a measurement technique that can be used to determine the degree of comfort experienced by a person using technical assistance. The technique was developed for evaluating designs of chairs, but the  principles could easily be applied to other products as well. The development of such scales require expert knowledge, but are meant to be applied by the end user: it also requires some skills and technical expertise in analysis. This allows us to obtain information on perceived</w:t>
      </w:r>
      <w:r>
        <w:rPr>
          <w:spacing w:val="-20"/>
        </w:rPr>
        <w:t> </w:t>
      </w:r>
      <w:r>
        <w:rPr/>
        <w:t>discomfort.</w:t>
      </w:r>
    </w:p>
    <w:p>
      <w:pPr>
        <w:pStyle w:val="BodyText"/>
        <w:spacing w:before="11"/>
      </w:pPr>
    </w:p>
    <w:p>
      <w:pPr>
        <w:pStyle w:val="BodyText"/>
        <w:spacing w:line="249" w:lineRule="auto"/>
        <w:ind w:left="270" w:right="675" w:firstLine="399"/>
        <w:jc w:val="both"/>
      </w:pPr>
      <w:r>
        <w:rPr/>
        <w:t>Also, the discomfort of a person can be determined by the degree of change in position to use a product, the  amount of time available to use their preferences and other similar</w:t>
      </w:r>
      <w:r>
        <w:rPr>
          <w:spacing w:val="-1"/>
        </w:rPr>
        <w:t> </w:t>
      </w:r>
      <w:r>
        <w:rPr/>
        <w:t>products.</w:t>
      </w:r>
    </w:p>
    <w:p>
      <w:pPr>
        <w:pStyle w:val="BodyText"/>
        <w:spacing w:before="11"/>
      </w:pPr>
    </w:p>
    <w:p>
      <w:pPr>
        <w:pStyle w:val="BodyText"/>
        <w:spacing w:line="249" w:lineRule="auto"/>
        <w:ind w:left="270" w:right="675" w:firstLine="399"/>
        <w:jc w:val="both"/>
      </w:pPr>
      <w:r>
        <w:rPr/>
        <w:drawing>
          <wp:anchor distT="0" distB="0" distL="0" distR="0" allowOverlap="1" layoutInCell="1" locked="0" behindDoc="0" simplePos="0" relativeHeight="16048">
            <wp:simplePos x="0" y="0"/>
            <wp:positionH relativeFrom="page">
              <wp:posOffset>4479797</wp:posOffset>
            </wp:positionH>
            <wp:positionV relativeFrom="paragraph">
              <wp:posOffset>1396486</wp:posOffset>
            </wp:positionV>
            <wp:extent cx="2516886" cy="3856482"/>
            <wp:effectExtent l="0" t="0" r="0" b="0"/>
            <wp:wrapNone/>
            <wp:docPr id="661" name="image279.png" descr=""/>
            <wp:cNvGraphicFramePr>
              <a:graphicFrameLocks noChangeAspect="1"/>
            </wp:cNvGraphicFramePr>
            <a:graphic>
              <a:graphicData uri="http://schemas.openxmlformats.org/drawingml/2006/picture">
                <pic:pic>
                  <pic:nvPicPr>
                    <pic:cNvPr id="662" name="image279.png"/>
                    <pic:cNvPicPr/>
                  </pic:nvPicPr>
                  <pic:blipFill>
                    <a:blip r:embed="rId469" cstate="print"/>
                    <a:stretch>
                      <a:fillRect/>
                    </a:stretch>
                  </pic:blipFill>
                  <pic:spPr>
                    <a:xfrm>
                      <a:off x="0" y="0"/>
                      <a:ext cx="2516886" cy="3856482"/>
                    </a:xfrm>
                    <a:prstGeom prst="rect">
                      <a:avLst/>
                    </a:prstGeom>
                  </pic:spPr>
                </pic:pic>
              </a:graphicData>
            </a:graphic>
          </wp:anchor>
        </w:drawing>
      </w:r>
      <w:r>
        <w:rPr/>
        <w:t>The test of pain in body parts (Corlett &amp; Bishop) is another proof of comfort in which he wonders about the rate of discomfort or pain in any part of the body, time intervals. To help pain location, the test is accompanied by a map of the body, with small variations in the areas in which it is divided, according to authors. Responses were weighted by the level of discomfort and temporary pain assessment is obtained in each area of the body.</w:t>
      </w:r>
    </w:p>
    <w:p>
      <w:pPr>
        <w:spacing w:after="0" w:line="249" w:lineRule="auto"/>
        <w:jc w:val="both"/>
        <w:sectPr>
          <w:type w:val="continuous"/>
          <w:pgSz w:w="12240" w:h="15840"/>
          <w:pgMar w:top="1500" w:bottom="280" w:left="580" w:right="220"/>
          <w:cols w:num="2" w:equalWidth="0">
            <w:col w:w="5189" w:space="435"/>
            <w:col w:w="5816"/>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pPr>
    </w:p>
    <w:p>
      <w:pPr>
        <w:pStyle w:val="BodyText"/>
        <w:spacing w:before="5"/>
        <w:rPr>
          <w:sz w:val="26"/>
        </w:rPr>
      </w:pPr>
    </w:p>
    <w:p>
      <w:pPr>
        <w:pStyle w:val="BodyText"/>
        <w:ind w:left="528" w:right="-17"/>
      </w:pPr>
      <w:r>
        <w:rPr/>
        <w:t>Figure 1. Map of Body Aches Corlett &amp; Bishop (1976)</w:t>
      </w:r>
    </w:p>
    <w:p>
      <w:pPr>
        <w:pStyle w:val="BodyText"/>
        <w:spacing w:before="74"/>
        <w:ind w:left="528" w:right="678"/>
        <w:jc w:val="both"/>
      </w:pPr>
      <w:r>
        <w:rPr/>
        <w:br w:type="column"/>
      </w:r>
      <w:r>
        <w:rPr/>
        <w:t>Wednesday to Saturday where the weary journey began. If we analyze the results of the end of the day we can see that every day tired out only on Thursday and Saturday where the output record a value of 3, which refers to very</w:t>
      </w:r>
      <w:r>
        <w:rPr>
          <w:spacing w:val="-12"/>
        </w:rPr>
        <w:t> </w:t>
      </w:r>
      <w:r>
        <w:rPr/>
        <w:t>tired.</w:t>
      </w:r>
    </w:p>
    <w:p>
      <w:pPr>
        <w:spacing w:after="0"/>
        <w:jc w:val="both"/>
        <w:sectPr>
          <w:type w:val="continuous"/>
          <w:pgSz w:w="12240" w:h="15840"/>
          <w:pgMar w:top="1500" w:bottom="280" w:left="580" w:right="220"/>
          <w:cols w:num="2" w:equalWidth="0">
            <w:col w:w="4931" w:space="435"/>
            <w:col w:w="6074"/>
          </w:cols>
        </w:sectPr>
      </w:pPr>
    </w:p>
    <w:p>
      <w:pPr>
        <w:pStyle w:val="BodyText"/>
        <w:spacing w:before="5"/>
        <w:rPr>
          <w:sz w:val="13"/>
        </w:rPr>
      </w:pPr>
    </w:p>
    <w:p>
      <w:pPr>
        <w:spacing w:after="0"/>
        <w:rPr>
          <w:sz w:val="13"/>
        </w:rPr>
        <w:sectPr>
          <w:type w:val="continuous"/>
          <w:pgSz w:w="12240" w:h="15840"/>
          <w:pgMar w:top="1500" w:bottom="280" w:left="580" w:right="220"/>
        </w:sectPr>
      </w:pPr>
    </w:p>
    <w:p>
      <w:pPr>
        <w:pStyle w:val="Heading4"/>
        <w:numPr>
          <w:ilvl w:val="0"/>
          <w:numId w:val="142"/>
        </w:numPr>
        <w:tabs>
          <w:tab w:pos="471" w:val="left" w:leader="none"/>
        </w:tabs>
        <w:spacing w:line="240" w:lineRule="auto" w:before="77" w:after="0"/>
        <w:ind w:left="470" w:right="0" w:hanging="200"/>
        <w:jc w:val="left"/>
      </w:pPr>
      <w:r>
        <w:rPr/>
        <w:t>Results</w:t>
      </w:r>
    </w:p>
    <w:p>
      <w:pPr>
        <w:pStyle w:val="BodyText"/>
        <w:spacing w:before="11"/>
        <w:rPr>
          <w:b/>
          <w:sz w:val="19"/>
        </w:rPr>
      </w:pPr>
    </w:p>
    <w:p>
      <w:pPr>
        <w:spacing w:before="0"/>
        <w:ind w:left="270" w:right="-18" w:firstLine="0"/>
        <w:jc w:val="left"/>
        <w:rPr>
          <w:b/>
          <w:sz w:val="20"/>
        </w:rPr>
      </w:pPr>
      <w:r>
        <w:rPr>
          <w:b/>
          <w:sz w:val="20"/>
        </w:rPr>
        <w:t>3.1. Luke 4 points scale</w:t>
      </w:r>
    </w:p>
    <w:p>
      <w:pPr>
        <w:pStyle w:val="BodyText"/>
        <w:spacing w:before="6"/>
        <w:rPr>
          <w:b/>
          <w:sz w:val="26"/>
        </w:rPr>
      </w:pPr>
      <w:r>
        <w:rPr/>
        <w:br w:type="column"/>
      </w:r>
      <w:r>
        <w:rPr>
          <w:b/>
          <w:sz w:val="26"/>
        </w:rPr>
      </w:r>
    </w:p>
    <w:p>
      <w:pPr>
        <w:pStyle w:val="BodyText"/>
        <w:ind w:left="270" w:right="-17"/>
      </w:pPr>
      <w:r>
        <w:rPr/>
        <w:t>below.</w:t>
      </w:r>
    </w:p>
    <w:p>
      <w:pPr>
        <w:pStyle w:val="BodyText"/>
        <w:spacing w:before="75"/>
        <w:ind w:left="-13"/>
      </w:pPr>
      <w:r>
        <w:rPr/>
        <w:br w:type="column"/>
      </w:r>
      <w:r>
        <w:rPr/>
        <w:t>The results of the second part of the study are  shown</w:t>
      </w:r>
    </w:p>
    <w:p>
      <w:pPr>
        <w:spacing w:after="0"/>
        <w:sectPr>
          <w:type w:val="continuous"/>
          <w:pgSz w:w="12240" w:h="15840"/>
          <w:pgMar w:top="1500" w:bottom="280" w:left="580" w:right="220"/>
          <w:cols w:num="3" w:equalWidth="0">
            <w:col w:w="2251" w:space="3374"/>
            <w:col w:w="812" w:space="40"/>
            <w:col w:w="4963"/>
          </w:cols>
        </w:sectPr>
      </w:pPr>
    </w:p>
    <w:p>
      <w:pPr>
        <w:pStyle w:val="BodyText"/>
        <w:spacing w:before="4"/>
        <w:rPr>
          <w:sz w:val="13"/>
        </w:rPr>
      </w:pPr>
    </w:p>
    <w:p>
      <w:pPr>
        <w:spacing w:after="0"/>
        <w:rPr>
          <w:sz w:val="13"/>
        </w:rPr>
        <w:sectPr>
          <w:type w:val="continuous"/>
          <w:pgSz w:w="12240" w:h="15840"/>
          <w:pgMar w:top="1500" w:bottom="280" w:left="580" w:right="220"/>
        </w:sectPr>
      </w:pPr>
    </w:p>
    <w:p>
      <w:pPr>
        <w:pStyle w:val="BodyText"/>
        <w:spacing w:before="75"/>
        <w:ind w:left="270" w:right="1"/>
        <w:jc w:val="both"/>
      </w:pPr>
      <w:r>
        <w:rPr/>
        <w:t>The results of the first part of the study, starting with the four-point method Luke, followed by Corlett &amp; Bishop are presented.</w:t>
      </w:r>
    </w:p>
    <w:p>
      <w:pPr>
        <w:pStyle w:val="BodyText"/>
        <w:spacing w:before="11"/>
        <w:rPr>
          <w:sz w:val="19"/>
        </w:rPr>
      </w:pPr>
    </w:p>
    <w:p>
      <w:pPr>
        <w:pStyle w:val="BodyText"/>
        <w:ind w:left="327" w:right="55"/>
        <w:jc w:val="center"/>
      </w:pPr>
      <w:r>
        <w:rPr/>
        <w:t>Table 1. First week of the first period of application from Luke 4 points.</w:t>
      </w:r>
    </w:p>
    <w:p>
      <w:pPr>
        <w:pStyle w:val="BodyText"/>
        <w:ind w:left="270" w:right="-1"/>
      </w:pPr>
      <w:r>
        <w:rPr/>
        <w:drawing>
          <wp:inline distT="0" distB="0" distL="0" distR="0">
            <wp:extent cx="3099404" cy="762000"/>
            <wp:effectExtent l="0" t="0" r="0" b="0"/>
            <wp:docPr id="663" name="image391.png" descr=""/>
            <wp:cNvGraphicFramePr>
              <a:graphicFrameLocks noChangeAspect="1"/>
            </wp:cNvGraphicFramePr>
            <a:graphic>
              <a:graphicData uri="http://schemas.openxmlformats.org/drawingml/2006/picture">
                <pic:pic>
                  <pic:nvPicPr>
                    <pic:cNvPr id="664" name="image391.png"/>
                    <pic:cNvPicPr/>
                  </pic:nvPicPr>
                  <pic:blipFill>
                    <a:blip r:embed="rId643" cstate="print"/>
                    <a:stretch>
                      <a:fillRect/>
                    </a:stretch>
                  </pic:blipFill>
                  <pic:spPr>
                    <a:xfrm>
                      <a:off x="0" y="0"/>
                      <a:ext cx="3099404" cy="762000"/>
                    </a:xfrm>
                    <a:prstGeom prst="rect">
                      <a:avLst/>
                    </a:prstGeom>
                  </pic:spPr>
                </pic:pic>
              </a:graphicData>
            </a:graphic>
          </wp:inline>
        </w:drawing>
      </w:r>
      <w:r>
        <w:rPr/>
      </w:r>
    </w:p>
    <w:p>
      <w:pPr>
        <w:spacing w:before="7"/>
        <w:ind w:left="323" w:right="56" w:firstLine="0"/>
        <w:jc w:val="center"/>
        <w:rPr>
          <w:sz w:val="18"/>
        </w:rPr>
      </w:pPr>
      <w:r>
        <w:rPr>
          <w:sz w:val="18"/>
        </w:rPr>
        <w:t>Results of the application of Luke 4 points scale.</w:t>
      </w:r>
    </w:p>
    <w:p>
      <w:pPr>
        <w:pStyle w:val="BodyText"/>
        <w:spacing w:before="1"/>
      </w:pPr>
    </w:p>
    <w:p>
      <w:pPr>
        <w:pStyle w:val="BodyText"/>
        <w:ind w:left="270" w:right="1" w:firstLine="567"/>
        <w:jc w:val="both"/>
      </w:pPr>
      <w:r>
        <w:rPr/>
        <w:t>As we can see in Table 1, both Monday and Tuesday this week began the day without fatigue, was not from Wednesday to Friday from the beginning his weary journey began. If we analyze the results of the end of the day we can see that every day tired out, except Thursday where the output record a value of 3, which refers to very tired.</w:t>
      </w:r>
    </w:p>
    <w:p>
      <w:pPr>
        <w:pStyle w:val="BodyText"/>
        <w:spacing w:before="11"/>
        <w:rPr>
          <w:sz w:val="19"/>
        </w:rPr>
      </w:pPr>
    </w:p>
    <w:p>
      <w:pPr>
        <w:pStyle w:val="BodyText"/>
        <w:ind w:left="327" w:right="56"/>
        <w:jc w:val="center"/>
      </w:pPr>
      <w:r>
        <w:rPr/>
        <w:t>Table 2. Second week of the first period of application from Luke 4 points.</w:t>
      </w:r>
    </w:p>
    <w:p>
      <w:pPr>
        <w:pStyle w:val="BodyText"/>
        <w:ind w:left="270"/>
      </w:pPr>
      <w:r>
        <w:rPr/>
        <w:drawing>
          <wp:inline distT="0" distB="0" distL="0" distR="0">
            <wp:extent cx="3045656" cy="774191"/>
            <wp:effectExtent l="0" t="0" r="0" b="0"/>
            <wp:docPr id="665" name="image392.png" descr=""/>
            <wp:cNvGraphicFramePr>
              <a:graphicFrameLocks noChangeAspect="1"/>
            </wp:cNvGraphicFramePr>
            <a:graphic>
              <a:graphicData uri="http://schemas.openxmlformats.org/drawingml/2006/picture">
                <pic:pic>
                  <pic:nvPicPr>
                    <pic:cNvPr id="666" name="image392.png"/>
                    <pic:cNvPicPr/>
                  </pic:nvPicPr>
                  <pic:blipFill>
                    <a:blip r:embed="rId644" cstate="print"/>
                    <a:stretch>
                      <a:fillRect/>
                    </a:stretch>
                  </pic:blipFill>
                  <pic:spPr>
                    <a:xfrm>
                      <a:off x="0" y="0"/>
                      <a:ext cx="3045656" cy="774191"/>
                    </a:xfrm>
                    <a:prstGeom prst="rect">
                      <a:avLst/>
                    </a:prstGeom>
                  </pic:spPr>
                </pic:pic>
              </a:graphicData>
            </a:graphic>
          </wp:inline>
        </w:drawing>
      </w:r>
      <w:r>
        <w:rPr/>
      </w:r>
    </w:p>
    <w:p>
      <w:pPr>
        <w:spacing w:before="13"/>
        <w:ind w:left="971" w:right="9" w:firstLine="0"/>
        <w:jc w:val="left"/>
        <w:rPr>
          <w:sz w:val="18"/>
        </w:rPr>
      </w:pPr>
      <w:r>
        <w:rPr>
          <w:sz w:val="18"/>
        </w:rPr>
        <w:t>Results of the application of Luke 4 points scale.</w:t>
      </w:r>
    </w:p>
    <w:p>
      <w:pPr>
        <w:pStyle w:val="BodyText"/>
        <w:spacing w:before="2"/>
      </w:pPr>
    </w:p>
    <w:p>
      <w:pPr>
        <w:pStyle w:val="BodyText"/>
        <w:ind w:left="270" w:firstLine="567"/>
        <w:jc w:val="both"/>
      </w:pPr>
      <w:r>
        <w:rPr/>
        <w:t>According to Table 2, from Tuesday day this week began the day tired, even on Friday its very tired day it  began. Looking at the results of the end of the day we can  see that every Monday, Tuesday, Saturday and Sunday came weary, except Wednesday and Thursday where he went very tired and on Friday presented the highest value regarding have gone extremely</w:t>
      </w:r>
      <w:r>
        <w:rPr>
          <w:spacing w:val="-17"/>
        </w:rPr>
        <w:t> </w:t>
      </w:r>
      <w:r>
        <w:rPr/>
        <w:t>tired.</w:t>
      </w:r>
    </w:p>
    <w:p>
      <w:pPr>
        <w:pStyle w:val="BodyText"/>
        <w:spacing w:before="11"/>
        <w:rPr>
          <w:sz w:val="19"/>
        </w:rPr>
      </w:pPr>
    </w:p>
    <w:p>
      <w:pPr>
        <w:pStyle w:val="BodyText"/>
        <w:ind w:left="327" w:right="56"/>
        <w:jc w:val="center"/>
      </w:pPr>
      <w:r>
        <w:rPr/>
        <w:t>Table 3. Third week of the first period of application from Luke 4 point.</w:t>
      </w:r>
    </w:p>
    <w:p>
      <w:pPr>
        <w:pStyle w:val="BodyText"/>
        <w:ind w:left="270"/>
      </w:pPr>
      <w:r>
        <w:rPr/>
        <w:drawing>
          <wp:inline distT="0" distB="0" distL="0" distR="0">
            <wp:extent cx="3045656" cy="774192"/>
            <wp:effectExtent l="0" t="0" r="0" b="0"/>
            <wp:docPr id="667" name="image393.png" descr=""/>
            <wp:cNvGraphicFramePr>
              <a:graphicFrameLocks noChangeAspect="1"/>
            </wp:cNvGraphicFramePr>
            <a:graphic>
              <a:graphicData uri="http://schemas.openxmlformats.org/drawingml/2006/picture">
                <pic:pic>
                  <pic:nvPicPr>
                    <pic:cNvPr id="668" name="image393.png"/>
                    <pic:cNvPicPr/>
                  </pic:nvPicPr>
                  <pic:blipFill>
                    <a:blip r:embed="rId645" cstate="print"/>
                    <a:stretch>
                      <a:fillRect/>
                    </a:stretch>
                  </pic:blipFill>
                  <pic:spPr>
                    <a:xfrm>
                      <a:off x="0" y="0"/>
                      <a:ext cx="3045656" cy="774192"/>
                    </a:xfrm>
                    <a:prstGeom prst="rect">
                      <a:avLst/>
                    </a:prstGeom>
                  </pic:spPr>
                </pic:pic>
              </a:graphicData>
            </a:graphic>
          </wp:inline>
        </w:drawing>
      </w:r>
      <w:r>
        <w:rPr/>
      </w:r>
    </w:p>
    <w:p>
      <w:pPr>
        <w:spacing w:before="14"/>
        <w:ind w:left="971" w:right="9" w:firstLine="0"/>
        <w:jc w:val="left"/>
        <w:rPr>
          <w:sz w:val="18"/>
        </w:rPr>
      </w:pPr>
      <w:r>
        <w:rPr>
          <w:sz w:val="18"/>
        </w:rPr>
        <w:t>Results of the application of Luke 4 points scale.</w:t>
      </w:r>
    </w:p>
    <w:p>
      <w:pPr>
        <w:pStyle w:val="BodyText"/>
        <w:spacing w:before="2"/>
      </w:pPr>
    </w:p>
    <w:p>
      <w:pPr>
        <w:pStyle w:val="BodyText"/>
        <w:ind w:left="270" w:firstLine="567"/>
        <w:jc w:val="both"/>
      </w:pPr>
      <w:r>
        <w:rPr/>
        <w:t>According to Table 3, both Monday and Tuesday this week   began   the   day   without   fatigue,   was   not    from</w:t>
      </w:r>
    </w:p>
    <w:p>
      <w:pPr>
        <w:pStyle w:val="BodyText"/>
        <w:spacing w:before="75"/>
        <w:ind w:left="295" w:right="700"/>
        <w:jc w:val="center"/>
      </w:pPr>
      <w:r>
        <w:rPr/>
        <w:br w:type="column"/>
      </w:r>
      <w:r>
        <w:rPr/>
        <w:t>Table 4. First week of the second period of application from Luke 4 points.</w:t>
      </w:r>
    </w:p>
    <w:p>
      <w:pPr>
        <w:pStyle w:val="BodyText"/>
        <w:ind w:left="270"/>
      </w:pPr>
      <w:r>
        <w:rPr/>
        <w:drawing>
          <wp:inline distT="0" distB="0" distL="0" distR="0">
            <wp:extent cx="3265316" cy="824674"/>
            <wp:effectExtent l="0" t="0" r="0" b="0"/>
            <wp:docPr id="669" name="image394.png" descr=""/>
            <wp:cNvGraphicFramePr>
              <a:graphicFrameLocks noChangeAspect="1"/>
            </wp:cNvGraphicFramePr>
            <a:graphic>
              <a:graphicData uri="http://schemas.openxmlformats.org/drawingml/2006/picture">
                <pic:pic>
                  <pic:nvPicPr>
                    <pic:cNvPr id="670" name="image394.png"/>
                    <pic:cNvPicPr/>
                  </pic:nvPicPr>
                  <pic:blipFill>
                    <a:blip r:embed="rId646" cstate="print"/>
                    <a:stretch>
                      <a:fillRect/>
                    </a:stretch>
                  </pic:blipFill>
                  <pic:spPr>
                    <a:xfrm>
                      <a:off x="0" y="0"/>
                      <a:ext cx="3265316" cy="824674"/>
                    </a:xfrm>
                    <a:prstGeom prst="rect">
                      <a:avLst/>
                    </a:prstGeom>
                  </pic:spPr>
                </pic:pic>
              </a:graphicData>
            </a:graphic>
          </wp:inline>
        </w:drawing>
      </w:r>
      <w:r>
        <w:rPr/>
      </w:r>
    </w:p>
    <w:p>
      <w:pPr>
        <w:spacing w:before="3"/>
        <w:ind w:left="971" w:right="702" w:firstLine="0"/>
        <w:jc w:val="left"/>
        <w:rPr>
          <w:sz w:val="18"/>
        </w:rPr>
      </w:pPr>
      <w:r>
        <w:rPr>
          <w:sz w:val="18"/>
        </w:rPr>
        <w:t>Results of the application of Luke 4 points scale.</w:t>
      </w:r>
    </w:p>
    <w:p>
      <w:pPr>
        <w:pStyle w:val="BodyText"/>
        <w:spacing w:before="2"/>
      </w:pPr>
    </w:p>
    <w:p>
      <w:pPr>
        <w:pStyle w:val="BodyText"/>
        <w:ind w:left="270" w:right="677" w:firstLine="567"/>
        <w:jc w:val="both"/>
      </w:pPr>
      <w:r>
        <w:rPr/>
        <w:t>According to Table 4, through Thursday until this week the tired day began, same result for Saturday only on Mondays, Tuesdays, Wednesdays and Sundays  were initiated without fatigue. If you appreciate the results of the end of the day we can see that every day began tired, with the exception of Monday, which began tirelessly</w:t>
      </w:r>
    </w:p>
    <w:p>
      <w:pPr>
        <w:pStyle w:val="BodyText"/>
        <w:spacing w:before="11"/>
        <w:rPr>
          <w:sz w:val="19"/>
        </w:rPr>
      </w:pPr>
    </w:p>
    <w:p>
      <w:pPr>
        <w:pStyle w:val="BodyText"/>
        <w:ind w:left="294" w:right="701"/>
        <w:jc w:val="center"/>
      </w:pPr>
      <w:r>
        <w:rPr/>
        <w:t>Table 5. Second week of the second period of application from Luke 4 points</w:t>
      </w:r>
    </w:p>
    <w:p>
      <w:pPr>
        <w:pStyle w:val="BodyText"/>
        <w:ind w:left="270"/>
      </w:pPr>
      <w:r>
        <w:rPr/>
        <w:drawing>
          <wp:inline distT="0" distB="0" distL="0" distR="0">
            <wp:extent cx="3205391" cy="788670"/>
            <wp:effectExtent l="0" t="0" r="0" b="0"/>
            <wp:docPr id="671" name="image395.png" descr=""/>
            <wp:cNvGraphicFramePr>
              <a:graphicFrameLocks noChangeAspect="1"/>
            </wp:cNvGraphicFramePr>
            <a:graphic>
              <a:graphicData uri="http://schemas.openxmlformats.org/drawingml/2006/picture">
                <pic:pic>
                  <pic:nvPicPr>
                    <pic:cNvPr id="672" name="image395.png"/>
                    <pic:cNvPicPr/>
                  </pic:nvPicPr>
                  <pic:blipFill>
                    <a:blip r:embed="rId647" cstate="print"/>
                    <a:stretch>
                      <a:fillRect/>
                    </a:stretch>
                  </pic:blipFill>
                  <pic:spPr>
                    <a:xfrm>
                      <a:off x="0" y="0"/>
                      <a:ext cx="3205391" cy="788670"/>
                    </a:xfrm>
                    <a:prstGeom prst="rect">
                      <a:avLst/>
                    </a:prstGeom>
                  </pic:spPr>
                </pic:pic>
              </a:graphicData>
            </a:graphic>
          </wp:inline>
        </w:drawing>
      </w:r>
      <w:r>
        <w:rPr/>
      </w:r>
    </w:p>
    <w:p>
      <w:pPr>
        <w:spacing w:before="7"/>
        <w:ind w:left="295" w:right="700" w:firstLine="0"/>
        <w:jc w:val="center"/>
        <w:rPr>
          <w:sz w:val="18"/>
        </w:rPr>
      </w:pPr>
      <w:r>
        <w:rPr>
          <w:sz w:val="18"/>
        </w:rPr>
        <w:t>Results of the application of Luke 4 points scale.</w:t>
      </w:r>
    </w:p>
    <w:p>
      <w:pPr>
        <w:pStyle w:val="BodyText"/>
        <w:spacing w:before="1"/>
      </w:pPr>
    </w:p>
    <w:p>
      <w:pPr>
        <w:pStyle w:val="BodyText"/>
        <w:ind w:left="270" w:right="677"/>
        <w:jc w:val="both"/>
      </w:pPr>
      <w:r>
        <w:rPr/>
        <w:t>This week on Wednesdays and Fridays were the ones who started with fatigue, the other days of the week began tirelessly, second only to end the day on Friday and  Saturday ended without fatigue, all other days week ended the day tired. See Table</w:t>
      </w:r>
      <w:r>
        <w:rPr>
          <w:spacing w:val="-16"/>
        </w:rPr>
        <w:t> </w:t>
      </w:r>
      <w:r>
        <w:rPr/>
        <w:t>5.</w:t>
      </w:r>
    </w:p>
    <w:p>
      <w:pPr>
        <w:pStyle w:val="BodyText"/>
      </w:pPr>
    </w:p>
    <w:p>
      <w:pPr>
        <w:pStyle w:val="BodyText"/>
        <w:spacing w:before="1"/>
        <w:ind w:left="474" w:right="883"/>
        <w:jc w:val="center"/>
      </w:pPr>
      <w:r>
        <w:rPr/>
        <w:t>Table 6. Third week of the second period of application from Luke 4 point.</w:t>
      </w:r>
    </w:p>
    <w:p>
      <w:pPr>
        <w:pStyle w:val="BodyText"/>
        <w:ind w:left="270"/>
      </w:pPr>
      <w:r>
        <w:rPr/>
        <w:drawing>
          <wp:inline distT="0" distB="0" distL="0" distR="0">
            <wp:extent cx="3236499" cy="799623"/>
            <wp:effectExtent l="0" t="0" r="0" b="0"/>
            <wp:docPr id="673" name="image396.png" descr=""/>
            <wp:cNvGraphicFramePr>
              <a:graphicFrameLocks noChangeAspect="1"/>
            </wp:cNvGraphicFramePr>
            <a:graphic>
              <a:graphicData uri="http://schemas.openxmlformats.org/drawingml/2006/picture">
                <pic:pic>
                  <pic:nvPicPr>
                    <pic:cNvPr id="674" name="image396.png"/>
                    <pic:cNvPicPr/>
                  </pic:nvPicPr>
                  <pic:blipFill>
                    <a:blip r:embed="rId648" cstate="print"/>
                    <a:stretch>
                      <a:fillRect/>
                    </a:stretch>
                  </pic:blipFill>
                  <pic:spPr>
                    <a:xfrm>
                      <a:off x="0" y="0"/>
                      <a:ext cx="3236499" cy="799623"/>
                    </a:xfrm>
                    <a:prstGeom prst="rect">
                      <a:avLst/>
                    </a:prstGeom>
                  </pic:spPr>
                </pic:pic>
              </a:graphicData>
            </a:graphic>
          </wp:inline>
        </w:drawing>
      </w:r>
      <w:r>
        <w:rPr/>
      </w:r>
    </w:p>
    <w:p>
      <w:pPr>
        <w:spacing w:before="1"/>
        <w:ind w:left="295" w:right="700" w:firstLine="0"/>
        <w:jc w:val="center"/>
        <w:rPr>
          <w:sz w:val="18"/>
        </w:rPr>
      </w:pPr>
      <w:r>
        <w:rPr>
          <w:sz w:val="18"/>
        </w:rPr>
        <w:t>Results of the application of Luke 4 points scale.</w:t>
      </w:r>
    </w:p>
    <w:p>
      <w:pPr>
        <w:pStyle w:val="BodyText"/>
        <w:spacing w:before="1"/>
      </w:pPr>
    </w:p>
    <w:p>
      <w:pPr>
        <w:pStyle w:val="BodyText"/>
        <w:ind w:left="270" w:right="676" w:firstLine="567"/>
        <w:jc w:val="both"/>
      </w:pPr>
      <w:r>
        <w:rPr/>
        <w:t>The last week of this study, a commencement  of work where only tiredness on Thursday introduced seen,  was this day every day without fatigue began. The end of  the day this week every day the same value, which refers to finished tired</w:t>
      </w:r>
      <w:r>
        <w:rPr>
          <w:spacing w:val="-13"/>
        </w:rPr>
        <w:t> </w:t>
      </w:r>
      <w:r>
        <w:rPr/>
        <w:t>presented.</w:t>
      </w:r>
    </w:p>
    <w:p>
      <w:pPr>
        <w:pStyle w:val="BodyText"/>
        <w:spacing w:before="2"/>
      </w:pPr>
    </w:p>
    <w:p>
      <w:pPr>
        <w:pStyle w:val="Heading4"/>
        <w:numPr>
          <w:ilvl w:val="1"/>
          <w:numId w:val="143"/>
        </w:numPr>
        <w:tabs>
          <w:tab w:pos="571" w:val="left" w:leader="none"/>
        </w:tabs>
        <w:spacing w:line="240" w:lineRule="auto" w:before="0" w:after="0"/>
        <w:ind w:left="570" w:right="0" w:hanging="300"/>
        <w:jc w:val="both"/>
      </w:pPr>
      <w:r>
        <w:rPr/>
        <w:t>Corlett &amp;</w:t>
      </w:r>
      <w:r>
        <w:rPr>
          <w:spacing w:val="-5"/>
        </w:rPr>
        <w:t> </w:t>
      </w:r>
      <w:r>
        <w:rPr/>
        <w:t>Bishop</w:t>
      </w:r>
    </w:p>
    <w:p>
      <w:pPr>
        <w:spacing w:after="0" w:line="240" w:lineRule="auto"/>
        <w:jc w:val="both"/>
        <w:sectPr>
          <w:type w:val="continuous"/>
          <w:pgSz w:w="12240" w:h="15840"/>
          <w:pgMar w:top="1500" w:bottom="280" w:left="580" w:right="220"/>
          <w:cols w:num="2" w:equalWidth="0">
            <w:col w:w="5191" w:space="433"/>
            <w:col w:w="5816"/>
          </w:cols>
        </w:sectPr>
      </w:pPr>
    </w:p>
    <w:p>
      <w:pPr>
        <w:pStyle w:val="BodyText"/>
        <w:spacing w:before="4"/>
        <w:rPr>
          <w:b/>
          <w:sz w:val="11"/>
        </w:rPr>
      </w:pPr>
    </w:p>
    <w:p>
      <w:pPr>
        <w:spacing w:after="0"/>
        <w:rPr>
          <w:sz w:val="11"/>
        </w:rPr>
        <w:sectPr>
          <w:pgSz w:w="12240" w:h="15840"/>
          <w:pgMar w:header="545" w:footer="852" w:top="1060" w:bottom="1040" w:left="580" w:right="220"/>
        </w:sectPr>
      </w:pPr>
    </w:p>
    <w:p>
      <w:pPr>
        <w:pStyle w:val="BodyText"/>
        <w:spacing w:before="74"/>
        <w:ind w:left="270" w:firstLine="567"/>
        <w:jc w:val="both"/>
      </w:pPr>
      <w:r>
        <w:rPr/>
        <w:t>Likewise was applied daily mapping  Corlett  &amp; Bishop to determine whether aches or pains occur in parts of the body, after the workday. Observations are made of the first period below in the following table:</w:t>
      </w:r>
    </w:p>
    <w:p>
      <w:pPr>
        <w:pStyle w:val="BodyText"/>
        <w:spacing w:before="11"/>
        <w:rPr>
          <w:sz w:val="19"/>
        </w:rPr>
      </w:pPr>
    </w:p>
    <w:p>
      <w:pPr>
        <w:pStyle w:val="BodyText"/>
        <w:ind w:left="2653" w:right="35" w:hanging="2332"/>
      </w:pPr>
      <w:r>
        <w:rPr/>
        <w:pict>
          <v:shape style="position:absolute;margin-left:38.700001pt;margin-top:23.166574pt;width:251.35pt;height:246.35pt;mso-position-horizontal-relative:page;mso-position-vertical-relative:paragraph;z-index:16072" type="#_x0000_t202" filled="false" stroked="false">
            <v:textbox inset="0,0,0,0">
              <w:txbxContent>
                <w:tbl>
                  <w:tblPr>
                    <w:tblW w:w="0" w:type="auto"/>
                    <w:jc w:val="lef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637"/>
                    <w:gridCol w:w="618"/>
                    <w:gridCol w:w="636"/>
                    <w:gridCol w:w="638"/>
                    <w:gridCol w:w="619"/>
                    <w:gridCol w:w="619"/>
                    <w:gridCol w:w="619"/>
                    <w:gridCol w:w="618"/>
                  </w:tblGrid>
                  <w:tr>
                    <w:trPr>
                      <w:trHeight w:val="295" w:hRule="exact"/>
                    </w:trPr>
                    <w:tc>
                      <w:tcPr>
                        <w:tcW w:w="637" w:type="dxa"/>
                        <w:shd w:val="clear" w:color="auto" w:fill="91CF4F"/>
                      </w:tcPr>
                      <w:p>
                        <w:pPr/>
                      </w:p>
                    </w:tc>
                    <w:tc>
                      <w:tcPr>
                        <w:tcW w:w="618" w:type="dxa"/>
                        <w:shd w:val="clear" w:color="auto" w:fill="91CF4F"/>
                      </w:tcPr>
                      <w:p>
                        <w:pPr>
                          <w:pStyle w:val="TableParagraph"/>
                          <w:spacing w:line="206" w:lineRule="exact"/>
                          <w:ind w:left="62"/>
                          <w:rPr>
                            <w:b/>
                            <w:sz w:val="18"/>
                          </w:rPr>
                        </w:pPr>
                        <w:r>
                          <w:rPr>
                            <w:b/>
                            <w:sz w:val="18"/>
                          </w:rPr>
                          <w:t>M</w:t>
                        </w:r>
                      </w:p>
                    </w:tc>
                    <w:tc>
                      <w:tcPr>
                        <w:tcW w:w="636" w:type="dxa"/>
                        <w:shd w:val="clear" w:color="auto" w:fill="91CF4F"/>
                      </w:tcPr>
                      <w:p>
                        <w:pPr>
                          <w:pStyle w:val="TableParagraph"/>
                          <w:spacing w:line="206" w:lineRule="exact"/>
                          <w:ind w:left="62"/>
                          <w:rPr>
                            <w:b/>
                            <w:sz w:val="18"/>
                          </w:rPr>
                        </w:pPr>
                        <w:r>
                          <w:rPr>
                            <w:b/>
                            <w:sz w:val="18"/>
                          </w:rPr>
                          <w:t>T</w:t>
                        </w:r>
                      </w:p>
                    </w:tc>
                    <w:tc>
                      <w:tcPr>
                        <w:tcW w:w="638" w:type="dxa"/>
                        <w:shd w:val="clear" w:color="auto" w:fill="91CF4F"/>
                      </w:tcPr>
                      <w:p>
                        <w:pPr>
                          <w:pStyle w:val="TableParagraph"/>
                          <w:spacing w:line="206" w:lineRule="exact"/>
                          <w:ind w:left="63"/>
                          <w:rPr>
                            <w:b/>
                            <w:sz w:val="18"/>
                          </w:rPr>
                        </w:pPr>
                        <w:r>
                          <w:rPr>
                            <w:b/>
                            <w:sz w:val="18"/>
                          </w:rPr>
                          <w:t>W</w:t>
                        </w:r>
                      </w:p>
                    </w:tc>
                    <w:tc>
                      <w:tcPr>
                        <w:tcW w:w="619" w:type="dxa"/>
                        <w:shd w:val="clear" w:color="auto" w:fill="91CF4F"/>
                      </w:tcPr>
                      <w:p>
                        <w:pPr>
                          <w:pStyle w:val="TableParagraph"/>
                          <w:spacing w:line="206" w:lineRule="exact"/>
                          <w:ind w:left="63"/>
                          <w:rPr>
                            <w:b/>
                            <w:sz w:val="18"/>
                          </w:rPr>
                        </w:pPr>
                        <w:r>
                          <w:rPr>
                            <w:b/>
                            <w:sz w:val="18"/>
                          </w:rPr>
                          <w:t>T</w:t>
                        </w:r>
                      </w:p>
                    </w:tc>
                    <w:tc>
                      <w:tcPr>
                        <w:tcW w:w="619" w:type="dxa"/>
                        <w:shd w:val="clear" w:color="auto" w:fill="91CF4F"/>
                      </w:tcPr>
                      <w:p>
                        <w:pPr>
                          <w:pStyle w:val="TableParagraph"/>
                          <w:spacing w:line="206" w:lineRule="exact"/>
                          <w:ind w:left="62"/>
                          <w:rPr>
                            <w:b/>
                            <w:sz w:val="18"/>
                          </w:rPr>
                        </w:pPr>
                        <w:r>
                          <w:rPr>
                            <w:b/>
                            <w:sz w:val="18"/>
                          </w:rPr>
                          <w:t>F</w:t>
                        </w:r>
                      </w:p>
                    </w:tc>
                    <w:tc>
                      <w:tcPr>
                        <w:tcW w:w="619" w:type="dxa"/>
                        <w:shd w:val="clear" w:color="auto" w:fill="91CF4F"/>
                      </w:tcPr>
                      <w:p>
                        <w:pPr>
                          <w:pStyle w:val="TableParagraph"/>
                          <w:spacing w:line="206" w:lineRule="exact"/>
                          <w:ind w:left="62"/>
                          <w:rPr>
                            <w:b/>
                            <w:sz w:val="18"/>
                          </w:rPr>
                        </w:pPr>
                        <w:r>
                          <w:rPr>
                            <w:b/>
                            <w:sz w:val="18"/>
                          </w:rPr>
                          <w:t>S</w:t>
                        </w:r>
                      </w:p>
                    </w:tc>
                    <w:tc>
                      <w:tcPr>
                        <w:tcW w:w="618" w:type="dxa"/>
                        <w:shd w:val="clear" w:color="auto" w:fill="91CF4F"/>
                      </w:tcPr>
                      <w:p>
                        <w:pPr>
                          <w:pStyle w:val="TableParagraph"/>
                          <w:spacing w:line="206" w:lineRule="exact"/>
                          <w:ind w:left="62"/>
                          <w:rPr>
                            <w:b/>
                            <w:sz w:val="18"/>
                          </w:rPr>
                        </w:pPr>
                        <w:r>
                          <w:rPr>
                            <w:b/>
                            <w:sz w:val="18"/>
                          </w:rPr>
                          <w:t>S</w:t>
                        </w:r>
                      </w:p>
                    </w:tc>
                  </w:tr>
                  <w:tr>
                    <w:trPr>
                      <w:trHeight w:val="295" w:hRule="exact"/>
                    </w:trPr>
                    <w:tc>
                      <w:tcPr>
                        <w:tcW w:w="637" w:type="dxa"/>
                        <w:shd w:val="clear" w:color="auto" w:fill="91CF4F"/>
                      </w:tcPr>
                      <w:p>
                        <w:pPr>
                          <w:pStyle w:val="TableParagraph"/>
                          <w:ind w:left="245"/>
                          <w:rPr>
                            <w:b/>
                            <w:sz w:val="18"/>
                          </w:rPr>
                        </w:pPr>
                        <w:r>
                          <w:rPr>
                            <w:b/>
                            <w:sz w:val="18"/>
                          </w:rPr>
                          <w:t>A</w:t>
                        </w:r>
                      </w:p>
                    </w:tc>
                    <w:tc>
                      <w:tcPr>
                        <w:tcW w:w="618" w:type="dxa"/>
                      </w:tcPr>
                      <w:p>
                        <w:pPr/>
                      </w:p>
                    </w:tc>
                    <w:tc>
                      <w:tcPr>
                        <w:tcW w:w="636" w:type="dxa"/>
                      </w:tcPr>
                      <w:p>
                        <w:pPr/>
                      </w:p>
                    </w:tc>
                    <w:tc>
                      <w:tcPr>
                        <w:tcW w:w="638" w:type="dxa"/>
                      </w:tcPr>
                      <w:p>
                        <w:pPr>
                          <w:pStyle w:val="TableParagraph"/>
                          <w:spacing w:line="203" w:lineRule="exact"/>
                          <w:ind w:right="229"/>
                          <w:jc w:val="right"/>
                          <w:rPr>
                            <w:sz w:val="18"/>
                          </w:rPr>
                        </w:pPr>
                        <w:r>
                          <w:rPr>
                            <w:sz w:val="18"/>
                          </w:rPr>
                          <w:t>M</w:t>
                        </w:r>
                      </w:p>
                    </w:tc>
                    <w:tc>
                      <w:tcPr>
                        <w:tcW w:w="619" w:type="dxa"/>
                      </w:tcPr>
                      <w:p>
                        <w:pPr/>
                      </w:p>
                    </w:tc>
                    <w:tc>
                      <w:tcPr>
                        <w:tcW w:w="619" w:type="dxa"/>
                      </w:tcPr>
                      <w:p>
                        <w:pPr/>
                      </w:p>
                    </w:tc>
                    <w:tc>
                      <w:tcPr>
                        <w:tcW w:w="619" w:type="dxa"/>
                      </w:tcPr>
                      <w:p>
                        <w:pPr/>
                      </w:p>
                    </w:tc>
                    <w:tc>
                      <w:tcPr>
                        <w:tcW w:w="618" w:type="dxa"/>
                      </w:tcPr>
                      <w:p>
                        <w:pPr/>
                      </w:p>
                    </w:tc>
                  </w:tr>
                  <w:tr>
                    <w:trPr>
                      <w:trHeight w:val="295" w:hRule="exact"/>
                    </w:trPr>
                    <w:tc>
                      <w:tcPr>
                        <w:tcW w:w="637" w:type="dxa"/>
                        <w:shd w:val="clear" w:color="auto" w:fill="91CF4F"/>
                      </w:tcPr>
                      <w:p>
                        <w:pPr>
                          <w:pStyle w:val="TableParagraph"/>
                          <w:spacing w:line="206" w:lineRule="exact"/>
                          <w:ind w:left="250"/>
                          <w:rPr>
                            <w:b/>
                            <w:sz w:val="18"/>
                          </w:rPr>
                        </w:pPr>
                        <w:r>
                          <w:rPr>
                            <w:b/>
                            <w:sz w:val="18"/>
                          </w:rPr>
                          <w:t>B</w:t>
                        </w:r>
                      </w:p>
                    </w:tc>
                    <w:tc>
                      <w:tcPr>
                        <w:tcW w:w="618" w:type="dxa"/>
                      </w:tcPr>
                      <w:p>
                        <w:pPr>
                          <w:pStyle w:val="TableParagraph"/>
                          <w:spacing w:line="202" w:lineRule="exact"/>
                          <w:ind w:right="220"/>
                          <w:jc w:val="right"/>
                          <w:rPr>
                            <w:sz w:val="18"/>
                          </w:rPr>
                        </w:pPr>
                        <w:r>
                          <w:rPr>
                            <w:sz w:val="18"/>
                          </w:rPr>
                          <w:t>M</w:t>
                        </w:r>
                      </w:p>
                    </w:tc>
                    <w:tc>
                      <w:tcPr>
                        <w:tcW w:w="636" w:type="dxa"/>
                      </w:tcPr>
                      <w:p>
                        <w:pPr>
                          <w:pStyle w:val="TableParagraph"/>
                          <w:spacing w:line="202" w:lineRule="exact"/>
                          <w:ind w:right="229"/>
                          <w:jc w:val="right"/>
                          <w:rPr>
                            <w:sz w:val="18"/>
                          </w:rPr>
                        </w:pPr>
                        <w:r>
                          <w:rPr>
                            <w:sz w:val="18"/>
                          </w:rPr>
                          <w:t>M</w:t>
                        </w:r>
                      </w:p>
                    </w:tc>
                    <w:tc>
                      <w:tcPr>
                        <w:tcW w:w="638" w:type="dxa"/>
                      </w:tcPr>
                      <w:p>
                        <w:pPr>
                          <w:pStyle w:val="TableParagraph"/>
                          <w:spacing w:line="202" w:lineRule="exact"/>
                          <w:ind w:right="229"/>
                          <w:jc w:val="right"/>
                          <w:rPr>
                            <w:sz w:val="18"/>
                          </w:rPr>
                        </w:pPr>
                        <w:r>
                          <w:rPr>
                            <w:sz w:val="18"/>
                          </w:rPr>
                          <w:t>M</w:t>
                        </w:r>
                      </w:p>
                    </w:tc>
                    <w:tc>
                      <w:tcPr>
                        <w:tcW w:w="619" w:type="dxa"/>
                      </w:tcPr>
                      <w:p>
                        <w:pPr>
                          <w:pStyle w:val="TableParagraph"/>
                          <w:spacing w:line="202" w:lineRule="exact"/>
                          <w:ind w:right="235"/>
                          <w:jc w:val="right"/>
                          <w:rPr>
                            <w:sz w:val="18"/>
                          </w:rPr>
                        </w:pPr>
                        <w:r>
                          <w:rPr>
                            <w:sz w:val="18"/>
                          </w:rPr>
                          <w:t>D</w:t>
                        </w:r>
                      </w:p>
                    </w:tc>
                    <w:tc>
                      <w:tcPr>
                        <w:tcW w:w="619" w:type="dxa"/>
                      </w:tcPr>
                      <w:p>
                        <w:pPr>
                          <w:pStyle w:val="TableParagraph"/>
                          <w:spacing w:line="202" w:lineRule="exact"/>
                          <w:ind w:right="220"/>
                          <w:jc w:val="right"/>
                          <w:rPr>
                            <w:sz w:val="18"/>
                          </w:rPr>
                        </w:pPr>
                        <w:r>
                          <w:rPr>
                            <w:sz w:val="18"/>
                          </w:rPr>
                          <w:t>M</w:t>
                        </w:r>
                      </w:p>
                    </w:tc>
                    <w:tc>
                      <w:tcPr>
                        <w:tcW w:w="619" w:type="dxa"/>
                      </w:tcPr>
                      <w:p>
                        <w:pPr>
                          <w:pStyle w:val="TableParagraph"/>
                          <w:spacing w:line="202" w:lineRule="exact"/>
                          <w:ind w:right="220"/>
                          <w:jc w:val="right"/>
                          <w:rPr>
                            <w:sz w:val="18"/>
                          </w:rPr>
                        </w:pPr>
                        <w:r>
                          <w:rPr>
                            <w:sz w:val="18"/>
                          </w:rPr>
                          <w:t>M</w:t>
                        </w:r>
                      </w:p>
                    </w:tc>
                    <w:tc>
                      <w:tcPr>
                        <w:tcW w:w="618" w:type="dxa"/>
                      </w:tcPr>
                      <w:p>
                        <w:pPr>
                          <w:pStyle w:val="TableParagraph"/>
                          <w:spacing w:line="202" w:lineRule="exact"/>
                          <w:ind w:right="220"/>
                          <w:jc w:val="right"/>
                          <w:rPr>
                            <w:sz w:val="18"/>
                          </w:rPr>
                        </w:pPr>
                        <w:r>
                          <w:rPr>
                            <w:sz w:val="18"/>
                          </w:rPr>
                          <w:t>M</w:t>
                        </w:r>
                      </w:p>
                    </w:tc>
                  </w:tr>
                  <w:tr>
                    <w:trPr>
                      <w:trHeight w:val="319" w:hRule="exact"/>
                    </w:trPr>
                    <w:tc>
                      <w:tcPr>
                        <w:tcW w:w="637" w:type="dxa"/>
                        <w:shd w:val="clear" w:color="auto" w:fill="91CF4F"/>
                      </w:tcPr>
                      <w:p>
                        <w:pPr>
                          <w:pStyle w:val="TableParagraph"/>
                          <w:spacing w:line="206" w:lineRule="exact"/>
                          <w:ind w:left="245"/>
                          <w:rPr>
                            <w:b/>
                            <w:sz w:val="18"/>
                          </w:rPr>
                        </w:pPr>
                        <w:r>
                          <w:rPr>
                            <w:b/>
                            <w:sz w:val="18"/>
                          </w:rPr>
                          <w:t>C</w:t>
                        </w:r>
                      </w:p>
                    </w:tc>
                    <w:tc>
                      <w:tcPr>
                        <w:tcW w:w="618" w:type="dxa"/>
                      </w:tcPr>
                      <w:p>
                        <w:pPr>
                          <w:pStyle w:val="TableParagraph"/>
                          <w:spacing w:line="202" w:lineRule="exact"/>
                          <w:ind w:right="220"/>
                          <w:jc w:val="right"/>
                          <w:rPr>
                            <w:sz w:val="18"/>
                          </w:rPr>
                        </w:pPr>
                        <w:r>
                          <w:rPr>
                            <w:sz w:val="18"/>
                          </w:rPr>
                          <w:t>M</w:t>
                        </w:r>
                      </w:p>
                    </w:tc>
                    <w:tc>
                      <w:tcPr>
                        <w:tcW w:w="636" w:type="dxa"/>
                      </w:tcPr>
                      <w:p>
                        <w:pPr>
                          <w:pStyle w:val="TableParagraph"/>
                          <w:spacing w:line="202" w:lineRule="exact"/>
                          <w:ind w:right="229"/>
                          <w:jc w:val="right"/>
                          <w:rPr>
                            <w:sz w:val="18"/>
                          </w:rPr>
                        </w:pPr>
                        <w:r>
                          <w:rPr>
                            <w:sz w:val="18"/>
                          </w:rPr>
                          <w:t>M</w:t>
                        </w:r>
                      </w:p>
                    </w:tc>
                    <w:tc>
                      <w:tcPr>
                        <w:tcW w:w="638" w:type="dxa"/>
                      </w:tcPr>
                      <w:p>
                        <w:pPr>
                          <w:pStyle w:val="TableParagraph"/>
                          <w:spacing w:line="202" w:lineRule="exact"/>
                          <w:ind w:right="244"/>
                          <w:jc w:val="right"/>
                          <w:rPr>
                            <w:sz w:val="18"/>
                          </w:rPr>
                        </w:pPr>
                        <w:r>
                          <w:rPr>
                            <w:sz w:val="18"/>
                          </w:rPr>
                          <w:t>D</w:t>
                        </w:r>
                      </w:p>
                    </w:tc>
                    <w:tc>
                      <w:tcPr>
                        <w:tcW w:w="619" w:type="dxa"/>
                      </w:tcPr>
                      <w:p>
                        <w:pPr>
                          <w:pStyle w:val="TableParagraph"/>
                          <w:spacing w:line="202" w:lineRule="exact"/>
                          <w:ind w:right="219"/>
                          <w:jc w:val="right"/>
                          <w:rPr>
                            <w:sz w:val="18"/>
                          </w:rPr>
                        </w:pPr>
                        <w:r>
                          <w:rPr>
                            <w:sz w:val="18"/>
                          </w:rPr>
                          <w:t>M</w:t>
                        </w:r>
                      </w:p>
                    </w:tc>
                    <w:tc>
                      <w:tcPr>
                        <w:tcW w:w="619" w:type="dxa"/>
                      </w:tcPr>
                      <w:p>
                        <w:pPr>
                          <w:pStyle w:val="TableParagraph"/>
                          <w:spacing w:line="202" w:lineRule="exact"/>
                          <w:ind w:right="220"/>
                          <w:jc w:val="right"/>
                          <w:rPr>
                            <w:sz w:val="18"/>
                          </w:rPr>
                        </w:pPr>
                        <w:r>
                          <w:rPr>
                            <w:sz w:val="18"/>
                          </w:rPr>
                          <w:t>M</w:t>
                        </w:r>
                      </w:p>
                    </w:tc>
                    <w:tc>
                      <w:tcPr>
                        <w:tcW w:w="619" w:type="dxa"/>
                      </w:tcPr>
                      <w:p>
                        <w:pPr>
                          <w:pStyle w:val="TableParagraph"/>
                          <w:spacing w:line="202" w:lineRule="exact"/>
                          <w:ind w:right="220"/>
                          <w:jc w:val="right"/>
                          <w:rPr>
                            <w:sz w:val="18"/>
                          </w:rPr>
                        </w:pPr>
                        <w:r>
                          <w:rPr>
                            <w:sz w:val="18"/>
                          </w:rPr>
                          <w:t>M</w:t>
                        </w:r>
                      </w:p>
                    </w:tc>
                    <w:tc>
                      <w:tcPr>
                        <w:tcW w:w="618" w:type="dxa"/>
                      </w:tcPr>
                      <w:p>
                        <w:pPr>
                          <w:pStyle w:val="TableParagraph"/>
                          <w:spacing w:line="202" w:lineRule="exact"/>
                          <w:ind w:right="220"/>
                          <w:jc w:val="right"/>
                          <w:rPr>
                            <w:sz w:val="18"/>
                          </w:rPr>
                        </w:pPr>
                        <w:r>
                          <w:rPr>
                            <w:sz w:val="18"/>
                          </w:rPr>
                          <w:t>M</w:t>
                        </w:r>
                      </w:p>
                    </w:tc>
                  </w:tr>
                  <w:tr>
                    <w:trPr>
                      <w:trHeight w:val="294" w:hRule="exact"/>
                    </w:trPr>
                    <w:tc>
                      <w:tcPr>
                        <w:tcW w:w="637" w:type="dxa"/>
                        <w:shd w:val="clear" w:color="auto" w:fill="91CF4F"/>
                      </w:tcPr>
                      <w:p>
                        <w:pPr>
                          <w:pStyle w:val="TableParagraph"/>
                          <w:spacing w:line="206" w:lineRule="exact"/>
                          <w:ind w:left="245"/>
                          <w:rPr>
                            <w:b/>
                            <w:sz w:val="18"/>
                          </w:rPr>
                        </w:pPr>
                        <w:r>
                          <w:rPr>
                            <w:b/>
                            <w:sz w:val="18"/>
                          </w:rPr>
                          <w:t>D</w:t>
                        </w:r>
                      </w:p>
                    </w:tc>
                    <w:tc>
                      <w:tcPr>
                        <w:tcW w:w="618" w:type="dxa"/>
                      </w:tcPr>
                      <w:p>
                        <w:pPr>
                          <w:pStyle w:val="TableParagraph"/>
                          <w:spacing w:line="202" w:lineRule="exact"/>
                          <w:ind w:right="220"/>
                          <w:jc w:val="right"/>
                          <w:rPr>
                            <w:sz w:val="18"/>
                          </w:rPr>
                        </w:pPr>
                        <w:r>
                          <w:rPr>
                            <w:sz w:val="18"/>
                          </w:rPr>
                          <w:t>M</w:t>
                        </w:r>
                      </w:p>
                    </w:tc>
                    <w:tc>
                      <w:tcPr>
                        <w:tcW w:w="636" w:type="dxa"/>
                      </w:tcPr>
                      <w:p>
                        <w:pPr>
                          <w:pStyle w:val="TableParagraph"/>
                          <w:spacing w:line="202" w:lineRule="exact"/>
                          <w:ind w:right="229"/>
                          <w:jc w:val="right"/>
                          <w:rPr>
                            <w:sz w:val="18"/>
                          </w:rPr>
                        </w:pPr>
                        <w:r>
                          <w:rPr>
                            <w:sz w:val="18"/>
                          </w:rPr>
                          <w:t>M</w:t>
                        </w:r>
                      </w:p>
                    </w:tc>
                    <w:tc>
                      <w:tcPr>
                        <w:tcW w:w="638" w:type="dxa"/>
                      </w:tcPr>
                      <w:p>
                        <w:pPr>
                          <w:pStyle w:val="TableParagraph"/>
                          <w:spacing w:line="202" w:lineRule="exact"/>
                          <w:ind w:right="229"/>
                          <w:jc w:val="right"/>
                          <w:rPr>
                            <w:sz w:val="18"/>
                          </w:rPr>
                        </w:pPr>
                        <w:r>
                          <w:rPr>
                            <w:sz w:val="18"/>
                          </w:rPr>
                          <w:t>M</w:t>
                        </w:r>
                      </w:p>
                    </w:tc>
                    <w:tc>
                      <w:tcPr>
                        <w:tcW w:w="619" w:type="dxa"/>
                      </w:tcPr>
                      <w:p>
                        <w:pPr>
                          <w:pStyle w:val="TableParagraph"/>
                          <w:spacing w:line="202" w:lineRule="exact"/>
                          <w:ind w:right="235"/>
                          <w:jc w:val="right"/>
                          <w:rPr>
                            <w:sz w:val="18"/>
                          </w:rPr>
                        </w:pPr>
                        <w:r>
                          <w:rPr>
                            <w:sz w:val="18"/>
                          </w:rPr>
                          <w:t>D</w:t>
                        </w:r>
                      </w:p>
                    </w:tc>
                    <w:tc>
                      <w:tcPr>
                        <w:tcW w:w="619" w:type="dxa"/>
                      </w:tcPr>
                      <w:p>
                        <w:pPr>
                          <w:pStyle w:val="TableParagraph"/>
                          <w:spacing w:line="202" w:lineRule="exact"/>
                          <w:ind w:right="220"/>
                          <w:jc w:val="right"/>
                          <w:rPr>
                            <w:sz w:val="18"/>
                          </w:rPr>
                        </w:pPr>
                        <w:r>
                          <w:rPr>
                            <w:sz w:val="18"/>
                          </w:rPr>
                          <w:t>M</w:t>
                        </w:r>
                      </w:p>
                    </w:tc>
                    <w:tc>
                      <w:tcPr>
                        <w:tcW w:w="619" w:type="dxa"/>
                      </w:tcPr>
                      <w:p>
                        <w:pPr>
                          <w:pStyle w:val="TableParagraph"/>
                          <w:spacing w:line="202" w:lineRule="exact"/>
                          <w:ind w:right="220"/>
                          <w:jc w:val="right"/>
                          <w:rPr>
                            <w:sz w:val="18"/>
                          </w:rPr>
                        </w:pPr>
                        <w:r>
                          <w:rPr>
                            <w:sz w:val="18"/>
                          </w:rPr>
                          <w:t>M</w:t>
                        </w:r>
                      </w:p>
                    </w:tc>
                    <w:tc>
                      <w:tcPr>
                        <w:tcW w:w="618" w:type="dxa"/>
                      </w:tcPr>
                      <w:p>
                        <w:pPr/>
                      </w:p>
                    </w:tc>
                  </w:tr>
                  <w:tr>
                    <w:trPr>
                      <w:trHeight w:val="295" w:hRule="exact"/>
                    </w:trPr>
                    <w:tc>
                      <w:tcPr>
                        <w:tcW w:w="637" w:type="dxa"/>
                        <w:shd w:val="clear" w:color="auto" w:fill="91CF4F"/>
                      </w:tcPr>
                      <w:p>
                        <w:pPr>
                          <w:pStyle w:val="TableParagraph"/>
                          <w:ind w:left="250"/>
                          <w:rPr>
                            <w:b/>
                            <w:sz w:val="18"/>
                          </w:rPr>
                        </w:pPr>
                        <w:r>
                          <w:rPr>
                            <w:b/>
                            <w:sz w:val="18"/>
                          </w:rPr>
                          <w:t>E</w:t>
                        </w:r>
                      </w:p>
                    </w:tc>
                    <w:tc>
                      <w:tcPr>
                        <w:tcW w:w="618" w:type="dxa"/>
                      </w:tcPr>
                      <w:p>
                        <w:pPr/>
                      </w:p>
                    </w:tc>
                    <w:tc>
                      <w:tcPr>
                        <w:tcW w:w="636" w:type="dxa"/>
                      </w:tcPr>
                      <w:p>
                        <w:pPr/>
                      </w:p>
                    </w:tc>
                    <w:tc>
                      <w:tcPr>
                        <w:tcW w:w="638" w:type="dxa"/>
                      </w:tcPr>
                      <w:p>
                        <w:pPr/>
                      </w:p>
                    </w:tc>
                    <w:tc>
                      <w:tcPr>
                        <w:tcW w:w="619" w:type="dxa"/>
                      </w:tcPr>
                      <w:p>
                        <w:pPr/>
                      </w:p>
                    </w:tc>
                    <w:tc>
                      <w:tcPr>
                        <w:tcW w:w="619" w:type="dxa"/>
                      </w:tcPr>
                      <w:p>
                        <w:pPr/>
                      </w:p>
                    </w:tc>
                    <w:tc>
                      <w:tcPr>
                        <w:tcW w:w="619" w:type="dxa"/>
                      </w:tcPr>
                      <w:p>
                        <w:pPr/>
                      </w:p>
                    </w:tc>
                    <w:tc>
                      <w:tcPr>
                        <w:tcW w:w="618" w:type="dxa"/>
                      </w:tcPr>
                      <w:p>
                        <w:pPr/>
                      </w:p>
                    </w:tc>
                  </w:tr>
                  <w:tr>
                    <w:trPr>
                      <w:trHeight w:val="295" w:hRule="exact"/>
                    </w:trPr>
                    <w:tc>
                      <w:tcPr>
                        <w:tcW w:w="637" w:type="dxa"/>
                        <w:shd w:val="clear" w:color="auto" w:fill="91CF4F"/>
                      </w:tcPr>
                      <w:p>
                        <w:pPr>
                          <w:pStyle w:val="TableParagraph"/>
                          <w:ind w:left="255"/>
                          <w:rPr>
                            <w:b/>
                            <w:sz w:val="18"/>
                          </w:rPr>
                        </w:pPr>
                        <w:r>
                          <w:rPr>
                            <w:b/>
                            <w:sz w:val="18"/>
                          </w:rPr>
                          <w:t>F</w:t>
                        </w:r>
                      </w:p>
                    </w:tc>
                    <w:tc>
                      <w:tcPr>
                        <w:tcW w:w="618" w:type="dxa"/>
                      </w:tcPr>
                      <w:p>
                        <w:pPr/>
                      </w:p>
                    </w:tc>
                    <w:tc>
                      <w:tcPr>
                        <w:tcW w:w="636" w:type="dxa"/>
                      </w:tcPr>
                      <w:p>
                        <w:pPr/>
                      </w:p>
                    </w:tc>
                    <w:tc>
                      <w:tcPr>
                        <w:tcW w:w="638" w:type="dxa"/>
                      </w:tcPr>
                      <w:p>
                        <w:pPr/>
                      </w:p>
                    </w:tc>
                    <w:tc>
                      <w:tcPr>
                        <w:tcW w:w="619" w:type="dxa"/>
                      </w:tcPr>
                      <w:p>
                        <w:pPr/>
                      </w:p>
                    </w:tc>
                    <w:tc>
                      <w:tcPr>
                        <w:tcW w:w="619" w:type="dxa"/>
                      </w:tcPr>
                      <w:p>
                        <w:pPr>
                          <w:pStyle w:val="TableParagraph"/>
                          <w:spacing w:line="203" w:lineRule="exact"/>
                          <w:ind w:right="220"/>
                          <w:jc w:val="right"/>
                          <w:rPr>
                            <w:sz w:val="18"/>
                          </w:rPr>
                        </w:pPr>
                        <w:r>
                          <w:rPr>
                            <w:sz w:val="18"/>
                          </w:rPr>
                          <w:t>M</w:t>
                        </w:r>
                      </w:p>
                    </w:tc>
                    <w:tc>
                      <w:tcPr>
                        <w:tcW w:w="619" w:type="dxa"/>
                      </w:tcPr>
                      <w:p>
                        <w:pPr/>
                      </w:p>
                    </w:tc>
                    <w:tc>
                      <w:tcPr>
                        <w:tcW w:w="618" w:type="dxa"/>
                      </w:tcPr>
                      <w:p>
                        <w:pPr>
                          <w:pStyle w:val="TableParagraph"/>
                          <w:spacing w:line="203" w:lineRule="exact"/>
                          <w:ind w:right="220"/>
                          <w:jc w:val="right"/>
                          <w:rPr>
                            <w:sz w:val="18"/>
                          </w:rPr>
                        </w:pPr>
                        <w:r>
                          <w:rPr>
                            <w:sz w:val="18"/>
                          </w:rPr>
                          <w:t>M</w:t>
                        </w:r>
                      </w:p>
                    </w:tc>
                  </w:tr>
                  <w:tr>
                    <w:trPr>
                      <w:trHeight w:val="295" w:hRule="exact"/>
                    </w:trPr>
                    <w:tc>
                      <w:tcPr>
                        <w:tcW w:w="637" w:type="dxa"/>
                        <w:shd w:val="clear" w:color="auto" w:fill="91CF4F"/>
                      </w:tcPr>
                      <w:p>
                        <w:pPr>
                          <w:pStyle w:val="TableParagraph"/>
                          <w:ind w:left="240"/>
                          <w:rPr>
                            <w:b/>
                            <w:sz w:val="18"/>
                          </w:rPr>
                        </w:pPr>
                        <w:r>
                          <w:rPr>
                            <w:b/>
                            <w:sz w:val="18"/>
                          </w:rPr>
                          <w:t>G</w:t>
                        </w:r>
                      </w:p>
                    </w:tc>
                    <w:tc>
                      <w:tcPr>
                        <w:tcW w:w="618" w:type="dxa"/>
                      </w:tcPr>
                      <w:p>
                        <w:pPr/>
                      </w:p>
                    </w:tc>
                    <w:tc>
                      <w:tcPr>
                        <w:tcW w:w="636" w:type="dxa"/>
                      </w:tcPr>
                      <w:p>
                        <w:pPr/>
                      </w:p>
                    </w:tc>
                    <w:tc>
                      <w:tcPr>
                        <w:tcW w:w="638" w:type="dxa"/>
                      </w:tcPr>
                      <w:p>
                        <w:pPr/>
                      </w:p>
                    </w:tc>
                    <w:tc>
                      <w:tcPr>
                        <w:tcW w:w="619" w:type="dxa"/>
                      </w:tcPr>
                      <w:p>
                        <w:pPr/>
                      </w:p>
                    </w:tc>
                    <w:tc>
                      <w:tcPr>
                        <w:tcW w:w="619" w:type="dxa"/>
                      </w:tcPr>
                      <w:p>
                        <w:pPr/>
                      </w:p>
                    </w:tc>
                    <w:tc>
                      <w:tcPr>
                        <w:tcW w:w="619" w:type="dxa"/>
                      </w:tcPr>
                      <w:p>
                        <w:pPr/>
                      </w:p>
                    </w:tc>
                    <w:tc>
                      <w:tcPr>
                        <w:tcW w:w="618" w:type="dxa"/>
                      </w:tcPr>
                      <w:p>
                        <w:pPr/>
                      </w:p>
                    </w:tc>
                  </w:tr>
                  <w:tr>
                    <w:trPr>
                      <w:trHeight w:val="295" w:hRule="exact"/>
                    </w:trPr>
                    <w:tc>
                      <w:tcPr>
                        <w:tcW w:w="637" w:type="dxa"/>
                        <w:shd w:val="clear" w:color="auto" w:fill="91CF4F"/>
                      </w:tcPr>
                      <w:p>
                        <w:pPr>
                          <w:pStyle w:val="TableParagraph"/>
                          <w:spacing w:line="206" w:lineRule="exact"/>
                          <w:ind w:left="240"/>
                          <w:rPr>
                            <w:b/>
                            <w:sz w:val="18"/>
                          </w:rPr>
                        </w:pPr>
                        <w:r>
                          <w:rPr>
                            <w:b/>
                            <w:sz w:val="18"/>
                          </w:rPr>
                          <w:t>H</w:t>
                        </w:r>
                      </w:p>
                    </w:tc>
                    <w:tc>
                      <w:tcPr>
                        <w:tcW w:w="618" w:type="dxa"/>
                      </w:tcPr>
                      <w:p>
                        <w:pPr>
                          <w:pStyle w:val="TableParagraph"/>
                          <w:spacing w:line="202" w:lineRule="exact"/>
                          <w:ind w:right="220"/>
                          <w:jc w:val="right"/>
                          <w:rPr>
                            <w:sz w:val="18"/>
                          </w:rPr>
                        </w:pPr>
                        <w:r>
                          <w:rPr>
                            <w:sz w:val="18"/>
                          </w:rPr>
                          <w:t>M</w:t>
                        </w:r>
                      </w:p>
                    </w:tc>
                    <w:tc>
                      <w:tcPr>
                        <w:tcW w:w="636" w:type="dxa"/>
                      </w:tcPr>
                      <w:p>
                        <w:pPr>
                          <w:pStyle w:val="TableParagraph"/>
                          <w:spacing w:line="202" w:lineRule="exact"/>
                          <w:ind w:right="229"/>
                          <w:jc w:val="right"/>
                          <w:rPr>
                            <w:sz w:val="18"/>
                          </w:rPr>
                        </w:pPr>
                        <w:r>
                          <w:rPr>
                            <w:sz w:val="18"/>
                          </w:rPr>
                          <w:t>M</w:t>
                        </w:r>
                      </w:p>
                    </w:tc>
                    <w:tc>
                      <w:tcPr>
                        <w:tcW w:w="638" w:type="dxa"/>
                      </w:tcPr>
                      <w:p>
                        <w:pPr/>
                      </w:p>
                    </w:tc>
                    <w:tc>
                      <w:tcPr>
                        <w:tcW w:w="619" w:type="dxa"/>
                      </w:tcPr>
                      <w:p>
                        <w:pPr/>
                      </w:p>
                    </w:tc>
                    <w:tc>
                      <w:tcPr>
                        <w:tcW w:w="619" w:type="dxa"/>
                      </w:tcPr>
                      <w:p>
                        <w:pPr/>
                      </w:p>
                    </w:tc>
                    <w:tc>
                      <w:tcPr>
                        <w:tcW w:w="619" w:type="dxa"/>
                      </w:tcPr>
                      <w:p>
                        <w:pPr/>
                      </w:p>
                    </w:tc>
                    <w:tc>
                      <w:tcPr>
                        <w:tcW w:w="618" w:type="dxa"/>
                      </w:tcPr>
                      <w:p>
                        <w:pPr/>
                      </w:p>
                    </w:tc>
                  </w:tr>
                  <w:tr>
                    <w:trPr>
                      <w:trHeight w:val="319" w:hRule="exact"/>
                    </w:trPr>
                    <w:tc>
                      <w:tcPr>
                        <w:tcW w:w="637" w:type="dxa"/>
                        <w:shd w:val="clear" w:color="auto" w:fill="91CF4F"/>
                      </w:tcPr>
                      <w:p>
                        <w:pPr>
                          <w:pStyle w:val="TableParagraph"/>
                          <w:spacing w:line="206" w:lineRule="exact"/>
                          <w:ind w:left="275"/>
                          <w:rPr>
                            <w:b/>
                            <w:sz w:val="18"/>
                          </w:rPr>
                        </w:pPr>
                        <w:r>
                          <w:rPr>
                            <w:b/>
                            <w:sz w:val="18"/>
                          </w:rPr>
                          <w:t>I</w:t>
                        </w:r>
                      </w:p>
                    </w:tc>
                    <w:tc>
                      <w:tcPr>
                        <w:tcW w:w="618" w:type="dxa"/>
                      </w:tcPr>
                      <w:p>
                        <w:pPr/>
                      </w:p>
                    </w:tc>
                    <w:tc>
                      <w:tcPr>
                        <w:tcW w:w="636" w:type="dxa"/>
                      </w:tcPr>
                      <w:p>
                        <w:pPr/>
                      </w:p>
                    </w:tc>
                    <w:tc>
                      <w:tcPr>
                        <w:tcW w:w="638" w:type="dxa"/>
                      </w:tcPr>
                      <w:p>
                        <w:pPr>
                          <w:pStyle w:val="TableParagraph"/>
                          <w:spacing w:line="202" w:lineRule="exact"/>
                          <w:ind w:right="229"/>
                          <w:jc w:val="right"/>
                          <w:rPr>
                            <w:sz w:val="18"/>
                          </w:rPr>
                        </w:pPr>
                        <w:r>
                          <w:rPr>
                            <w:sz w:val="18"/>
                          </w:rPr>
                          <w:t>M</w:t>
                        </w:r>
                      </w:p>
                    </w:tc>
                    <w:tc>
                      <w:tcPr>
                        <w:tcW w:w="619" w:type="dxa"/>
                      </w:tcPr>
                      <w:p>
                        <w:pPr>
                          <w:pStyle w:val="TableParagraph"/>
                          <w:spacing w:line="202" w:lineRule="exact"/>
                          <w:ind w:right="219"/>
                          <w:jc w:val="right"/>
                          <w:rPr>
                            <w:sz w:val="18"/>
                          </w:rPr>
                        </w:pPr>
                        <w:r>
                          <w:rPr>
                            <w:sz w:val="18"/>
                          </w:rPr>
                          <w:t>M</w:t>
                        </w:r>
                      </w:p>
                    </w:tc>
                    <w:tc>
                      <w:tcPr>
                        <w:tcW w:w="619" w:type="dxa"/>
                      </w:tcPr>
                      <w:p>
                        <w:pPr>
                          <w:pStyle w:val="TableParagraph"/>
                          <w:spacing w:line="202" w:lineRule="exact"/>
                          <w:ind w:right="220"/>
                          <w:jc w:val="right"/>
                          <w:rPr>
                            <w:sz w:val="18"/>
                          </w:rPr>
                        </w:pPr>
                        <w:r>
                          <w:rPr>
                            <w:sz w:val="18"/>
                          </w:rPr>
                          <w:t>M</w:t>
                        </w:r>
                      </w:p>
                    </w:tc>
                    <w:tc>
                      <w:tcPr>
                        <w:tcW w:w="619" w:type="dxa"/>
                      </w:tcPr>
                      <w:p>
                        <w:pPr>
                          <w:pStyle w:val="TableParagraph"/>
                          <w:spacing w:line="202" w:lineRule="exact"/>
                          <w:ind w:right="220"/>
                          <w:jc w:val="right"/>
                          <w:rPr>
                            <w:sz w:val="18"/>
                          </w:rPr>
                        </w:pPr>
                        <w:r>
                          <w:rPr>
                            <w:sz w:val="18"/>
                          </w:rPr>
                          <w:t>M</w:t>
                        </w:r>
                      </w:p>
                    </w:tc>
                    <w:tc>
                      <w:tcPr>
                        <w:tcW w:w="618" w:type="dxa"/>
                      </w:tcPr>
                      <w:p>
                        <w:pPr>
                          <w:pStyle w:val="TableParagraph"/>
                          <w:spacing w:line="202" w:lineRule="exact"/>
                          <w:ind w:right="220"/>
                          <w:jc w:val="right"/>
                          <w:rPr>
                            <w:sz w:val="18"/>
                          </w:rPr>
                        </w:pPr>
                        <w:r>
                          <w:rPr>
                            <w:sz w:val="18"/>
                          </w:rPr>
                          <w:t>M</w:t>
                        </w:r>
                      </w:p>
                    </w:tc>
                  </w:tr>
                  <w:tr>
                    <w:trPr>
                      <w:trHeight w:val="318" w:hRule="exact"/>
                    </w:trPr>
                    <w:tc>
                      <w:tcPr>
                        <w:tcW w:w="637" w:type="dxa"/>
                        <w:shd w:val="clear" w:color="auto" w:fill="91CF4F"/>
                      </w:tcPr>
                      <w:p>
                        <w:pPr>
                          <w:pStyle w:val="TableParagraph"/>
                          <w:spacing w:line="206" w:lineRule="exact"/>
                          <w:ind w:left="265"/>
                          <w:rPr>
                            <w:b/>
                            <w:sz w:val="18"/>
                          </w:rPr>
                        </w:pPr>
                        <w:r>
                          <w:rPr>
                            <w:b/>
                            <w:sz w:val="18"/>
                          </w:rPr>
                          <w:t>J</w:t>
                        </w:r>
                      </w:p>
                    </w:tc>
                    <w:tc>
                      <w:tcPr>
                        <w:tcW w:w="618" w:type="dxa"/>
                      </w:tcPr>
                      <w:p>
                        <w:pPr/>
                      </w:p>
                    </w:tc>
                    <w:tc>
                      <w:tcPr>
                        <w:tcW w:w="636" w:type="dxa"/>
                      </w:tcPr>
                      <w:p>
                        <w:pPr/>
                      </w:p>
                    </w:tc>
                    <w:tc>
                      <w:tcPr>
                        <w:tcW w:w="638" w:type="dxa"/>
                      </w:tcPr>
                      <w:p>
                        <w:pPr/>
                      </w:p>
                    </w:tc>
                    <w:tc>
                      <w:tcPr>
                        <w:tcW w:w="619" w:type="dxa"/>
                      </w:tcPr>
                      <w:p>
                        <w:pPr/>
                      </w:p>
                    </w:tc>
                    <w:tc>
                      <w:tcPr>
                        <w:tcW w:w="619" w:type="dxa"/>
                      </w:tcPr>
                      <w:p>
                        <w:pPr/>
                      </w:p>
                    </w:tc>
                    <w:tc>
                      <w:tcPr>
                        <w:tcW w:w="619" w:type="dxa"/>
                      </w:tcPr>
                      <w:p>
                        <w:pPr/>
                      </w:p>
                    </w:tc>
                    <w:tc>
                      <w:tcPr>
                        <w:tcW w:w="618" w:type="dxa"/>
                      </w:tcPr>
                      <w:p>
                        <w:pPr/>
                      </w:p>
                    </w:tc>
                  </w:tr>
                  <w:tr>
                    <w:trPr>
                      <w:trHeight w:val="319" w:hRule="exact"/>
                    </w:trPr>
                    <w:tc>
                      <w:tcPr>
                        <w:tcW w:w="637" w:type="dxa"/>
                        <w:shd w:val="clear" w:color="auto" w:fill="91CF4F"/>
                      </w:tcPr>
                      <w:p>
                        <w:pPr>
                          <w:pStyle w:val="TableParagraph"/>
                          <w:ind w:left="240"/>
                          <w:rPr>
                            <w:b/>
                            <w:sz w:val="18"/>
                          </w:rPr>
                        </w:pPr>
                        <w:r>
                          <w:rPr>
                            <w:b/>
                            <w:sz w:val="18"/>
                          </w:rPr>
                          <w:t>K</w:t>
                        </w:r>
                      </w:p>
                    </w:tc>
                    <w:tc>
                      <w:tcPr>
                        <w:tcW w:w="618" w:type="dxa"/>
                      </w:tcPr>
                      <w:p>
                        <w:pPr/>
                      </w:p>
                    </w:tc>
                    <w:tc>
                      <w:tcPr>
                        <w:tcW w:w="636" w:type="dxa"/>
                      </w:tcPr>
                      <w:p>
                        <w:pPr/>
                      </w:p>
                    </w:tc>
                    <w:tc>
                      <w:tcPr>
                        <w:tcW w:w="638" w:type="dxa"/>
                      </w:tcPr>
                      <w:p>
                        <w:pPr/>
                      </w:p>
                    </w:tc>
                    <w:tc>
                      <w:tcPr>
                        <w:tcW w:w="619" w:type="dxa"/>
                      </w:tcPr>
                      <w:p>
                        <w:pPr/>
                      </w:p>
                    </w:tc>
                    <w:tc>
                      <w:tcPr>
                        <w:tcW w:w="619" w:type="dxa"/>
                      </w:tcPr>
                      <w:p>
                        <w:pPr/>
                      </w:p>
                    </w:tc>
                    <w:tc>
                      <w:tcPr>
                        <w:tcW w:w="619" w:type="dxa"/>
                      </w:tcPr>
                      <w:p>
                        <w:pPr/>
                      </w:p>
                    </w:tc>
                    <w:tc>
                      <w:tcPr>
                        <w:tcW w:w="618" w:type="dxa"/>
                      </w:tcPr>
                      <w:p>
                        <w:pPr/>
                      </w:p>
                    </w:tc>
                  </w:tr>
                  <w:tr>
                    <w:trPr>
                      <w:trHeight w:val="319" w:hRule="exact"/>
                    </w:trPr>
                    <w:tc>
                      <w:tcPr>
                        <w:tcW w:w="637" w:type="dxa"/>
                        <w:shd w:val="clear" w:color="auto" w:fill="91CF4F"/>
                      </w:tcPr>
                      <w:p>
                        <w:pPr>
                          <w:pStyle w:val="TableParagraph"/>
                          <w:ind w:left="250"/>
                          <w:rPr>
                            <w:b/>
                            <w:sz w:val="18"/>
                          </w:rPr>
                        </w:pPr>
                        <w:r>
                          <w:rPr>
                            <w:b/>
                            <w:sz w:val="18"/>
                          </w:rPr>
                          <w:t>L</w:t>
                        </w:r>
                      </w:p>
                    </w:tc>
                    <w:tc>
                      <w:tcPr>
                        <w:tcW w:w="618" w:type="dxa"/>
                      </w:tcPr>
                      <w:p>
                        <w:pPr/>
                      </w:p>
                    </w:tc>
                    <w:tc>
                      <w:tcPr>
                        <w:tcW w:w="636" w:type="dxa"/>
                      </w:tcPr>
                      <w:p>
                        <w:pPr/>
                      </w:p>
                    </w:tc>
                    <w:tc>
                      <w:tcPr>
                        <w:tcW w:w="638" w:type="dxa"/>
                      </w:tcPr>
                      <w:p>
                        <w:pPr/>
                      </w:p>
                    </w:tc>
                    <w:tc>
                      <w:tcPr>
                        <w:tcW w:w="619" w:type="dxa"/>
                      </w:tcPr>
                      <w:p>
                        <w:pPr/>
                      </w:p>
                    </w:tc>
                    <w:tc>
                      <w:tcPr>
                        <w:tcW w:w="619" w:type="dxa"/>
                      </w:tcPr>
                      <w:p>
                        <w:pPr/>
                      </w:p>
                    </w:tc>
                    <w:tc>
                      <w:tcPr>
                        <w:tcW w:w="619" w:type="dxa"/>
                      </w:tcPr>
                      <w:p>
                        <w:pPr/>
                      </w:p>
                    </w:tc>
                    <w:tc>
                      <w:tcPr>
                        <w:tcW w:w="618" w:type="dxa"/>
                      </w:tcPr>
                      <w:p>
                        <w:pPr/>
                      </w:p>
                    </w:tc>
                  </w:tr>
                  <w:tr>
                    <w:trPr>
                      <w:trHeight w:val="319" w:hRule="exact"/>
                    </w:trPr>
                    <w:tc>
                      <w:tcPr>
                        <w:tcW w:w="637" w:type="dxa"/>
                        <w:shd w:val="clear" w:color="auto" w:fill="91CF4F"/>
                      </w:tcPr>
                      <w:p>
                        <w:pPr>
                          <w:pStyle w:val="TableParagraph"/>
                          <w:ind w:left="225"/>
                          <w:rPr>
                            <w:b/>
                            <w:sz w:val="18"/>
                          </w:rPr>
                        </w:pPr>
                        <w:r>
                          <w:rPr>
                            <w:b/>
                            <w:sz w:val="18"/>
                          </w:rPr>
                          <w:t>M</w:t>
                        </w:r>
                      </w:p>
                    </w:tc>
                    <w:tc>
                      <w:tcPr>
                        <w:tcW w:w="618" w:type="dxa"/>
                      </w:tcPr>
                      <w:p>
                        <w:pPr>
                          <w:pStyle w:val="TableParagraph"/>
                          <w:spacing w:line="203" w:lineRule="exact"/>
                          <w:ind w:right="220"/>
                          <w:jc w:val="right"/>
                          <w:rPr>
                            <w:sz w:val="18"/>
                          </w:rPr>
                        </w:pPr>
                        <w:r>
                          <w:rPr>
                            <w:sz w:val="18"/>
                          </w:rPr>
                          <w:t>M</w:t>
                        </w:r>
                      </w:p>
                    </w:tc>
                    <w:tc>
                      <w:tcPr>
                        <w:tcW w:w="636" w:type="dxa"/>
                      </w:tcPr>
                      <w:p>
                        <w:pPr>
                          <w:pStyle w:val="TableParagraph"/>
                          <w:spacing w:line="203" w:lineRule="exact"/>
                          <w:ind w:right="229"/>
                          <w:jc w:val="right"/>
                          <w:rPr>
                            <w:sz w:val="18"/>
                          </w:rPr>
                        </w:pPr>
                        <w:r>
                          <w:rPr>
                            <w:sz w:val="18"/>
                          </w:rPr>
                          <w:t>M</w:t>
                        </w:r>
                      </w:p>
                    </w:tc>
                    <w:tc>
                      <w:tcPr>
                        <w:tcW w:w="638" w:type="dxa"/>
                      </w:tcPr>
                      <w:p>
                        <w:pPr>
                          <w:pStyle w:val="TableParagraph"/>
                          <w:spacing w:line="203" w:lineRule="exact"/>
                          <w:ind w:right="229"/>
                          <w:jc w:val="right"/>
                          <w:rPr>
                            <w:sz w:val="18"/>
                          </w:rPr>
                        </w:pPr>
                        <w:r>
                          <w:rPr>
                            <w:sz w:val="18"/>
                          </w:rPr>
                          <w:t>M</w:t>
                        </w:r>
                      </w:p>
                    </w:tc>
                    <w:tc>
                      <w:tcPr>
                        <w:tcW w:w="619" w:type="dxa"/>
                      </w:tcPr>
                      <w:p>
                        <w:pPr/>
                      </w:p>
                    </w:tc>
                    <w:tc>
                      <w:tcPr>
                        <w:tcW w:w="619" w:type="dxa"/>
                      </w:tcPr>
                      <w:p>
                        <w:pPr/>
                      </w:p>
                    </w:tc>
                    <w:tc>
                      <w:tcPr>
                        <w:tcW w:w="619" w:type="dxa"/>
                      </w:tcPr>
                      <w:p>
                        <w:pPr/>
                      </w:p>
                    </w:tc>
                    <w:tc>
                      <w:tcPr>
                        <w:tcW w:w="618" w:type="dxa"/>
                      </w:tcPr>
                      <w:p>
                        <w:pPr>
                          <w:pStyle w:val="TableParagraph"/>
                          <w:spacing w:line="203" w:lineRule="exact"/>
                          <w:ind w:right="220"/>
                          <w:jc w:val="right"/>
                          <w:rPr>
                            <w:sz w:val="18"/>
                          </w:rPr>
                        </w:pPr>
                        <w:r>
                          <w:rPr>
                            <w:sz w:val="18"/>
                          </w:rPr>
                          <w:t>M</w:t>
                        </w:r>
                      </w:p>
                    </w:tc>
                  </w:tr>
                  <w:tr>
                    <w:trPr>
                      <w:trHeight w:val="319" w:hRule="exact"/>
                    </w:trPr>
                    <w:tc>
                      <w:tcPr>
                        <w:tcW w:w="637" w:type="dxa"/>
                        <w:shd w:val="clear" w:color="auto" w:fill="91CF4F"/>
                      </w:tcPr>
                      <w:p>
                        <w:pPr>
                          <w:pStyle w:val="TableParagraph"/>
                          <w:spacing w:line="206" w:lineRule="exact"/>
                          <w:ind w:left="245"/>
                          <w:rPr>
                            <w:b/>
                            <w:sz w:val="18"/>
                          </w:rPr>
                        </w:pPr>
                        <w:r>
                          <w:rPr>
                            <w:b/>
                            <w:sz w:val="18"/>
                          </w:rPr>
                          <w:t>N</w:t>
                        </w:r>
                      </w:p>
                    </w:tc>
                    <w:tc>
                      <w:tcPr>
                        <w:tcW w:w="618" w:type="dxa"/>
                      </w:tcPr>
                      <w:p>
                        <w:pPr/>
                      </w:p>
                    </w:tc>
                    <w:tc>
                      <w:tcPr>
                        <w:tcW w:w="636" w:type="dxa"/>
                      </w:tcPr>
                      <w:p>
                        <w:pPr/>
                      </w:p>
                    </w:tc>
                    <w:tc>
                      <w:tcPr>
                        <w:tcW w:w="638" w:type="dxa"/>
                      </w:tcPr>
                      <w:p>
                        <w:pPr/>
                      </w:p>
                    </w:tc>
                    <w:tc>
                      <w:tcPr>
                        <w:tcW w:w="619" w:type="dxa"/>
                      </w:tcPr>
                      <w:p>
                        <w:pPr/>
                      </w:p>
                    </w:tc>
                    <w:tc>
                      <w:tcPr>
                        <w:tcW w:w="619" w:type="dxa"/>
                      </w:tcPr>
                      <w:p>
                        <w:pPr/>
                      </w:p>
                    </w:tc>
                    <w:tc>
                      <w:tcPr>
                        <w:tcW w:w="619" w:type="dxa"/>
                      </w:tcPr>
                      <w:p>
                        <w:pPr/>
                      </w:p>
                    </w:tc>
                    <w:tc>
                      <w:tcPr>
                        <w:tcW w:w="618" w:type="dxa"/>
                      </w:tcPr>
                      <w:p>
                        <w:pPr>
                          <w:pStyle w:val="TableParagraph"/>
                          <w:spacing w:line="202" w:lineRule="exact"/>
                          <w:ind w:right="220"/>
                          <w:jc w:val="right"/>
                          <w:rPr>
                            <w:sz w:val="18"/>
                          </w:rPr>
                        </w:pPr>
                        <w:r>
                          <w:rPr>
                            <w:sz w:val="18"/>
                          </w:rPr>
                          <w:t>M</w:t>
                        </w:r>
                      </w:p>
                    </w:tc>
                  </w:tr>
                  <w:tr>
                    <w:trPr>
                      <w:trHeight w:val="319" w:hRule="exact"/>
                    </w:trPr>
                    <w:tc>
                      <w:tcPr>
                        <w:tcW w:w="637" w:type="dxa"/>
                        <w:shd w:val="clear" w:color="auto" w:fill="91CF4F"/>
                      </w:tcPr>
                      <w:p>
                        <w:pPr>
                          <w:pStyle w:val="TableParagraph"/>
                          <w:spacing w:line="206" w:lineRule="exact"/>
                          <w:ind w:left="240"/>
                          <w:rPr>
                            <w:b/>
                            <w:sz w:val="18"/>
                          </w:rPr>
                        </w:pPr>
                        <w:r>
                          <w:rPr>
                            <w:b/>
                            <w:sz w:val="18"/>
                          </w:rPr>
                          <w:t>O</w:t>
                        </w:r>
                      </w:p>
                    </w:tc>
                    <w:tc>
                      <w:tcPr>
                        <w:tcW w:w="618" w:type="dxa"/>
                      </w:tcPr>
                      <w:p>
                        <w:pPr>
                          <w:pStyle w:val="TableParagraph"/>
                          <w:spacing w:line="202" w:lineRule="exact"/>
                          <w:ind w:right="220"/>
                          <w:jc w:val="right"/>
                          <w:rPr>
                            <w:sz w:val="18"/>
                          </w:rPr>
                        </w:pPr>
                        <w:r>
                          <w:rPr>
                            <w:sz w:val="18"/>
                          </w:rPr>
                          <w:t>M</w:t>
                        </w:r>
                      </w:p>
                    </w:tc>
                    <w:tc>
                      <w:tcPr>
                        <w:tcW w:w="636" w:type="dxa"/>
                      </w:tcPr>
                      <w:p>
                        <w:pPr>
                          <w:pStyle w:val="TableParagraph"/>
                          <w:spacing w:line="202" w:lineRule="exact"/>
                          <w:ind w:right="229"/>
                          <w:jc w:val="right"/>
                          <w:rPr>
                            <w:sz w:val="18"/>
                          </w:rPr>
                        </w:pPr>
                        <w:r>
                          <w:rPr>
                            <w:sz w:val="18"/>
                          </w:rPr>
                          <w:t>M</w:t>
                        </w:r>
                      </w:p>
                    </w:tc>
                    <w:tc>
                      <w:tcPr>
                        <w:tcW w:w="638" w:type="dxa"/>
                      </w:tcPr>
                      <w:p>
                        <w:pPr>
                          <w:pStyle w:val="TableParagraph"/>
                          <w:spacing w:line="202" w:lineRule="exact"/>
                          <w:ind w:right="229"/>
                          <w:jc w:val="right"/>
                          <w:rPr>
                            <w:sz w:val="18"/>
                          </w:rPr>
                        </w:pPr>
                        <w:r>
                          <w:rPr>
                            <w:sz w:val="18"/>
                          </w:rPr>
                          <w:t>M</w:t>
                        </w:r>
                      </w:p>
                    </w:tc>
                    <w:tc>
                      <w:tcPr>
                        <w:tcW w:w="619" w:type="dxa"/>
                      </w:tcPr>
                      <w:p>
                        <w:pPr>
                          <w:pStyle w:val="TableParagraph"/>
                          <w:spacing w:line="202" w:lineRule="exact"/>
                          <w:ind w:right="219"/>
                          <w:jc w:val="right"/>
                          <w:rPr>
                            <w:sz w:val="18"/>
                          </w:rPr>
                        </w:pPr>
                        <w:r>
                          <w:rPr>
                            <w:sz w:val="18"/>
                          </w:rPr>
                          <w:t>M</w:t>
                        </w:r>
                      </w:p>
                    </w:tc>
                    <w:tc>
                      <w:tcPr>
                        <w:tcW w:w="619" w:type="dxa"/>
                      </w:tcPr>
                      <w:p>
                        <w:pPr>
                          <w:pStyle w:val="TableParagraph"/>
                          <w:spacing w:line="202" w:lineRule="exact"/>
                          <w:ind w:right="220"/>
                          <w:jc w:val="right"/>
                          <w:rPr>
                            <w:sz w:val="18"/>
                          </w:rPr>
                        </w:pPr>
                        <w:r>
                          <w:rPr>
                            <w:sz w:val="18"/>
                          </w:rPr>
                          <w:t>M</w:t>
                        </w:r>
                      </w:p>
                    </w:tc>
                    <w:tc>
                      <w:tcPr>
                        <w:tcW w:w="619" w:type="dxa"/>
                      </w:tcPr>
                      <w:p>
                        <w:pPr/>
                      </w:p>
                    </w:tc>
                    <w:tc>
                      <w:tcPr>
                        <w:tcW w:w="618" w:type="dxa"/>
                      </w:tcPr>
                      <w:p>
                        <w:pPr/>
                      </w:p>
                    </w:tc>
                  </w:tr>
                </w:tbl>
                <w:p>
                  <w:pPr>
                    <w:pStyle w:val="BodyText"/>
                  </w:pPr>
                </w:p>
              </w:txbxContent>
            </v:textbox>
            <w10:wrap type="none"/>
          </v:shape>
        </w:pict>
      </w:r>
      <w:r>
        <w:rPr/>
        <w:t>Table 7. Application of Corlett &amp; Bishop's first period week 1.</w:t>
      </w:r>
    </w:p>
    <w:p>
      <w:pPr>
        <w:pStyle w:val="BodyText"/>
        <w:spacing w:before="3"/>
        <w:rPr>
          <w:sz w:val="6"/>
        </w:rPr>
      </w:pPr>
      <w:r>
        <w:rPr/>
        <w:br w:type="column"/>
      </w:r>
      <w:r>
        <w:rPr>
          <w:sz w:val="6"/>
        </w:rPr>
      </w:r>
    </w:p>
    <w:tbl>
      <w:tblPr>
        <w:tblW w:w="0" w:type="auto"/>
        <w:jc w:val="left"/>
        <w:tblInd w:w="19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637"/>
        <w:gridCol w:w="618"/>
        <w:gridCol w:w="636"/>
        <w:gridCol w:w="638"/>
        <w:gridCol w:w="619"/>
        <w:gridCol w:w="619"/>
        <w:gridCol w:w="619"/>
        <w:gridCol w:w="618"/>
      </w:tblGrid>
      <w:tr>
        <w:trPr>
          <w:trHeight w:val="319" w:hRule="exact"/>
        </w:trPr>
        <w:tc>
          <w:tcPr>
            <w:tcW w:w="637" w:type="dxa"/>
            <w:shd w:val="clear" w:color="auto" w:fill="91CF4F"/>
          </w:tcPr>
          <w:p>
            <w:pPr>
              <w:pStyle w:val="TableParagraph"/>
              <w:spacing w:before="3"/>
              <w:jc w:val="center"/>
              <w:rPr>
                <w:b/>
                <w:sz w:val="18"/>
              </w:rPr>
            </w:pPr>
            <w:r>
              <w:rPr>
                <w:b/>
                <w:sz w:val="18"/>
              </w:rPr>
              <w:t>O</w:t>
            </w:r>
          </w:p>
        </w:tc>
        <w:tc>
          <w:tcPr>
            <w:tcW w:w="618" w:type="dxa"/>
          </w:tcPr>
          <w:p>
            <w:pPr/>
          </w:p>
        </w:tc>
        <w:tc>
          <w:tcPr>
            <w:tcW w:w="636" w:type="dxa"/>
          </w:tcPr>
          <w:p>
            <w:pPr/>
          </w:p>
        </w:tc>
        <w:tc>
          <w:tcPr>
            <w:tcW w:w="638" w:type="dxa"/>
          </w:tcPr>
          <w:p>
            <w:pPr>
              <w:pStyle w:val="TableParagraph"/>
              <w:ind w:left="1"/>
              <w:jc w:val="center"/>
              <w:rPr>
                <w:sz w:val="18"/>
              </w:rPr>
            </w:pPr>
            <w:r>
              <w:rPr>
                <w:sz w:val="18"/>
              </w:rPr>
              <w:t>M</w:t>
            </w:r>
          </w:p>
        </w:tc>
        <w:tc>
          <w:tcPr>
            <w:tcW w:w="619" w:type="dxa"/>
          </w:tcPr>
          <w:p>
            <w:pPr>
              <w:pStyle w:val="TableParagraph"/>
              <w:jc w:val="center"/>
              <w:rPr>
                <w:sz w:val="18"/>
              </w:rPr>
            </w:pPr>
            <w:r>
              <w:rPr>
                <w:sz w:val="18"/>
              </w:rPr>
              <w:t>M</w:t>
            </w:r>
          </w:p>
        </w:tc>
        <w:tc>
          <w:tcPr>
            <w:tcW w:w="619" w:type="dxa"/>
          </w:tcPr>
          <w:p>
            <w:pPr/>
          </w:p>
        </w:tc>
        <w:tc>
          <w:tcPr>
            <w:tcW w:w="619" w:type="dxa"/>
          </w:tcPr>
          <w:p>
            <w:pPr>
              <w:pStyle w:val="TableParagraph"/>
              <w:jc w:val="center"/>
              <w:rPr>
                <w:sz w:val="18"/>
              </w:rPr>
            </w:pPr>
            <w:r>
              <w:rPr>
                <w:sz w:val="18"/>
              </w:rPr>
              <w:t>M</w:t>
            </w:r>
          </w:p>
        </w:tc>
        <w:tc>
          <w:tcPr>
            <w:tcW w:w="618" w:type="dxa"/>
          </w:tcPr>
          <w:p>
            <w:pPr>
              <w:pStyle w:val="TableParagraph"/>
              <w:ind w:right="1"/>
              <w:jc w:val="center"/>
              <w:rPr>
                <w:sz w:val="18"/>
              </w:rPr>
            </w:pPr>
            <w:r>
              <w:rPr>
                <w:sz w:val="18"/>
              </w:rPr>
              <w:t>M</w:t>
            </w:r>
          </w:p>
        </w:tc>
      </w:tr>
    </w:tbl>
    <w:p>
      <w:pPr>
        <w:spacing w:before="1"/>
        <w:ind w:left="292" w:right="701" w:firstLine="0"/>
        <w:jc w:val="center"/>
        <w:rPr>
          <w:sz w:val="18"/>
        </w:rPr>
      </w:pPr>
      <w:r>
        <w:rPr>
          <w:sz w:val="18"/>
        </w:rPr>
        <w:t>Results of the application of Corlett &amp; Bishop mapping.</w:t>
      </w:r>
    </w:p>
    <w:p>
      <w:pPr>
        <w:pStyle w:val="BodyText"/>
        <w:spacing w:before="1"/>
      </w:pPr>
    </w:p>
    <w:p>
      <w:pPr>
        <w:pStyle w:val="BodyText"/>
        <w:ind w:left="270" w:right="675" w:firstLine="567"/>
        <w:jc w:val="both"/>
      </w:pPr>
      <w:r>
        <w:rPr/>
        <w:t>This week we see that is very similar to the above, the body parts that were affected were neck, shoulders, upper arm, lower back and feet. Only in this case the end of the day with malice appeared faster than the previous week, with Tuesday day this week pain in the neck, just as it was presented was presented at shoulder and upper</w:t>
      </w:r>
      <w:r>
        <w:rPr>
          <w:spacing w:val="-21"/>
        </w:rPr>
        <w:t> </w:t>
      </w:r>
      <w:r>
        <w:rPr/>
        <w:t>arm.</w:t>
      </w:r>
    </w:p>
    <w:p>
      <w:pPr>
        <w:pStyle w:val="BodyText"/>
      </w:pPr>
    </w:p>
    <w:p>
      <w:pPr>
        <w:pStyle w:val="BodyText"/>
        <w:spacing w:before="1"/>
        <w:ind w:left="293" w:right="701"/>
        <w:jc w:val="center"/>
      </w:pPr>
      <w:r>
        <w:rPr/>
        <w:t>Table 9. Application of Corlett &amp; Bishop's first period week 3.</w:t>
      </w:r>
    </w:p>
    <w:p>
      <w:pPr>
        <w:spacing w:after="0"/>
        <w:jc w:val="center"/>
        <w:sectPr>
          <w:type w:val="continuous"/>
          <w:pgSz w:w="12240" w:h="15840"/>
          <w:pgMar w:top="1500" w:bottom="280" w:left="580" w:right="220"/>
          <w:cols w:num="2" w:equalWidth="0">
            <w:col w:w="5189" w:space="435"/>
            <w:col w:w="5816"/>
          </w:cols>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3"/>
        <w:rPr>
          <w:sz w:val="21"/>
        </w:rPr>
      </w:pPr>
    </w:p>
    <w:p>
      <w:pPr>
        <w:spacing w:before="0"/>
        <w:ind w:left="712" w:right="6276" w:firstLine="0"/>
        <w:jc w:val="left"/>
        <w:rPr>
          <w:sz w:val="18"/>
        </w:rPr>
      </w:pPr>
      <w:r>
        <w:rPr/>
        <w:pict>
          <v:shape style="position:absolute;margin-left:319.920013pt;margin-top:-173.037643pt;width:251.35pt;height:246.3pt;mso-position-horizontal-relative:page;mso-position-vertical-relative:paragraph;z-index:16096" type="#_x0000_t202" filled="false" stroked="false">
            <v:textbox inset="0,0,0,0">
              <w:txbxContent>
                <w:tbl>
                  <w:tblPr>
                    <w:tblW w:w="0" w:type="auto"/>
                    <w:jc w:val="lef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637"/>
                    <w:gridCol w:w="618"/>
                    <w:gridCol w:w="636"/>
                    <w:gridCol w:w="638"/>
                    <w:gridCol w:w="619"/>
                    <w:gridCol w:w="619"/>
                    <w:gridCol w:w="619"/>
                    <w:gridCol w:w="618"/>
                  </w:tblGrid>
                  <w:tr>
                    <w:trPr>
                      <w:trHeight w:val="294" w:hRule="exact"/>
                    </w:trPr>
                    <w:tc>
                      <w:tcPr>
                        <w:tcW w:w="637" w:type="dxa"/>
                        <w:shd w:val="clear" w:color="auto" w:fill="91CF4F"/>
                      </w:tcPr>
                      <w:p>
                        <w:pPr/>
                      </w:p>
                    </w:tc>
                    <w:tc>
                      <w:tcPr>
                        <w:tcW w:w="618" w:type="dxa"/>
                        <w:shd w:val="clear" w:color="auto" w:fill="91CF4F"/>
                      </w:tcPr>
                      <w:p>
                        <w:pPr>
                          <w:pStyle w:val="TableParagraph"/>
                          <w:spacing w:line="206" w:lineRule="exact"/>
                          <w:ind w:left="62"/>
                          <w:rPr>
                            <w:b/>
                            <w:sz w:val="18"/>
                          </w:rPr>
                        </w:pPr>
                        <w:r>
                          <w:rPr>
                            <w:b/>
                            <w:sz w:val="18"/>
                          </w:rPr>
                          <w:t>M</w:t>
                        </w:r>
                      </w:p>
                    </w:tc>
                    <w:tc>
                      <w:tcPr>
                        <w:tcW w:w="636" w:type="dxa"/>
                        <w:shd w:val="clear" w:color="auto" w:fill="91CF4F"/>
                      </w:tcPr>
                      <w:p>
                        <w:pPr>
                          <w:pStyle w:val="TableParagraph"/>
                          <w:spacing w:line="206" w:lineRule="exact"/>
                          <w:ind w:left="62"/>
                          <w:rPr>
                            <w:b/>
                            <w:sz w:val="18"/>
                          </w:rPr>
                        </w:pPr>
                        <w:r>
                          <w:rPr>
                            <w:b/>
                            <w:sz w:val="18"/>
                          </w:rPr>
                          <w:t>T</w:t>
                        </w:r>
                      </w:p>
                    </w:tc>
                    <w:tc>
                      <w:tcPr>
                        <w:tcW w:w="638" w:type="dxa"/>
                        <w:shd w:val="clear" w:color="auto" w:fill="91CF4F"/>
                      </w:tcPr>
                      <w:p>
                        <w:pPr>
                          <w:pStyle w:val="TableParagraph"/>
                          <w:spacing w:line="206" w:lineRule="exact"/>
                          <w:ind w:left="63"/>
                          <w:rPr>
                            <w:b/>
                            <w:sz w:val="18"/>
                          </w:rPr>
                        </w:pPr>
                        <w:r>
                          <w:rPr>
                            <w:b/>
                            <w:sz w:val="18"/>
                          </w:rPr>
                          <w:t>W</w:t>
                        </w:r>
                      </w:p>
                    </w:tc>
                    <w:tc>
                      <w:tcPr>
                        <w:tcW w:w="619" w:type="dxa"/>
                        <w:shd w:val="clear" w:color="auto" w:fill="91CF4F"/>
                      </w:tcPr>
                      <w:p>
                        <w:pPr>
                          <w:pStyle w:val="TableParagraph"/>
                          <w:spacing w:line="206" w:lineRule="exact"/>
                          <w:ind w:left="62"/>
                          <w:rPr>
                            <w:b/>
                            <w:sz w:val="18"/>
                          </w:rPr>
                        </w:pPr>
                        <w:r>
                          <w:rPr>
                            <w:b/>
                            <w:sz w:val="18"/>
                          </w:rPr>
                          <w:t>T</w:t>
                        </w:r>
                      </w:p>
                    </w:tc>
                    <w:tc>
                      <w:tcPr>
                        <w:tcW w:w="619" w:type="dxa"/>
                        <w:shd w:val="clear" w:color="auto" w:fill="91CF4F"/>
                      </w:tcPr>
                      <w:p>
                        <w:pPr>
                          <w:pStyle w:val="TableParagraph"/>
                          <w:spacing w:line="206" w:lineRule="exact"/>
                          <w:ind w:left="62"/>
                          <w:rPr>
                            <w:b/>
                            <w:sz w:val="18"/>
                          </w:rPr>
                        </w:pPr>
                        <w:r>
                          <w:rPr>
                            <w:b/>
                            <w:sz w:val="18"/>
                          </w:rPr>
                          <w:t>F</w:t>
                        </w:r>
                      </w:p>
                    </w:tc>
                    <w:tc>
                      <w:tcPr>
                        <w:tcW w:w="619" w:type="dxa"/>
                        <w:shd w:val="clear" w:color="auto" w:fill="91CF4F"/>
                      </w:tcPr>
                      <w:p>
                        <w:pPr>
                          <w:pStyle w:val="TableParagraph"/>
                          <w:spacing w:line="206" w:lineRule="exact"/>
                          <w:ind w:left="62"/>
                          <w:rPr>
                            <w:b/>
                            <w:sz w:val="18"/>
                          </w:rPr>
                        </w:pPr>
                        <w:r>
                          <w:rPr>
                            <w:b/>
                            <w:sz w:val="18"/>
                          </w:rPr>
                          <w:t>S</w:t>
                        </w:r>
                      </w:p>
                    </w:tc>
                    <w:tc>
                      <w:tcPr>
                        <w:tcW w:w="618" w:type="dxa"/>
                        <w:shd w:val="clear" w:color="auto" w:fill="91CF4F"/>
                      </w:tcPr>
                      <w:p>
                        <w:pPr>
                          <w:pStyle w:val="TableParagraph"/>
                          <w:spacing w:line="206" w:lineRule="exact"/>
                          <w:ind w:left="62"/>
                          <w:rPr>
                            <w:b/>
                            <w:sz w:val="18"/>
                          </w:rPr>
                        </w:pPr>
                        <w:r>
                          <w:rPr>
                            <w:b/>
                            <w:sz w:val="18"/>
                          </w:rPr>
                          <w:t>S</w:t>
                        </w:r>
                      </w:p>
                    </w:tc>
                  </w:tr>
                  <w:tr>
                    <w:trPr>
                      <w:trHeight w:val="295" w:hRule="exact"/>
                    </w:trPr>
                    <w:tc>
                      <w:tcPr>
                        <w:tcW w:w="637" w:type="dxa"/>
                        <w:shd w:val="clear" w:color="auto" w:fill="91CF4F"/>
                      </w:tcPr>
                      <w:p>
                        <w:pPr>
                          <w:pStyle w:val="TableParagraph"/>
                          <w:jc w:val="center"/>
                          <w:rPr>
                            <w:b/>
                            <w:sz w:val="18"/>
                          </w:rPr>
                        </w:pPr>
                        <w:r>
                          <w:rPr>
                            <w:b/>
                            <w:sz w:val="18"/>
                          </w:rPr>
                          <w:t>A</w:t>
                        </w:r>
                      </w:p>
                    </w:tc>
                    <w:tc>
                      <w:tcPr>
                        <w:tcW w:w="618" w:type="dxa"/>
                      </w:tcPr>
                      <w:p>
                        <w:pPr>
                          <w:pStyle w:val="TableParagraph"/>
                          <w:spacing w:line="203" w:lineRule="exact"/>
                          <w:ind w:right="220"/>
                          <w:jc w:val="right"/>
                          <w:rPr>
                            <w:sz w:val="18"/>
                          </w:rPr>
                        </w:pPr>
                        <w:r>
                          <w:rPr>
                            <w:sz w:val="18"/>
                          </w:rPr>
                          <w:t>M</w:t>
                        </w:r>
                      </w:p>
                    </w:tc>
                    <w:tc>
                      <w:tcPr>
                        <w:tcW w:w="636" w:type="dxa"/>
                      </w:tcPr>
                      <w:p>
                        <w:pPr/>
                      </w:p>
                    </w:tc>
                    <w:tc>
                      <w:tcPr>
                        <w:tcW w:w="638" w:type="dxa"/>
                      </w:tcPr>
                      <w:p>
                        <w:pPr/>
                      </w:p>
                    </w:tc>
                    <w:tc>
                      <w:tcPr>
                        <w:tcW w:w="619" w:type="dxa"/>
                      </w:tcPr>
                      <w:p>
                        <w:pPr/>
                      </w:p>
                    </w:tc>
                    <w:tc>
                      <w:tcPr>
                        <w:tcW w:w="619" w:type="dxa"/>
                      </w:tcPr>
                      <w:p>
                        <w:pPr/>
                      </w:p>
                    </w:tc>
                    <w:tc>
                      <w:tcPr>
                        <w:tcW w:w="619" w:type="dxa"/>
                      </w:tcPr>
                      <w:p>
                        <w:pPr/>
                      </w:p>
                    </w:tc>
                    <w:tc>
                      <w:tcPr>
                        <w:tcW w:w="618" w:type="dxa"/>
                      </w:tcPr>
                      <w:p>
                        <w:pPr/>
                      </w:p>
                    </w:tc>
                  </w:tr>
                  <w:tr>
                    <w:trPr>
                      <w:trHeight w:val="295" w:hRule="exact"/>
                    </w:trPr>
                    <w:tc>
                      <w:tcPr>
                        <w:tcW w:w="637" w:type="dxa"/>
                        <w:shd w:val="clear" w:color="auto" w:fill="91CF4F"/>
                      </w:tcPr>
                      <w:p>
                        <w:pPr>
                          <w:pStyle w:val="TableParagraph"/>
                          <w:ind w:right="1"/>
                          <w:jc w:val="center"/>
                          <w:rPr>
                            <w:b/>
                            <w:sz w:val="18"/>
                          </w:rPr>
                        </w:pPr>
                        <w:r>
                          <w:rPr>
                            <w:b/>
                            <w:sz w:val="18"/>
                          </w:rPr>
                          <w:t>B</w:t>
                        </w:r>
                      </w:p>
                    </w:tc>
                    <w:tc>
                      <w:tcPr>
                        <w:tcW w:w="618" w:type="dxa"/>
                      </w:tcPr>
                      <w:p>
                        <w:pPr>
                          <w:pStyle w:val="TableParagraph"/>
                          <w:spacing w:line="203" w:lineRule="exact"/>
                          <w:ind w:right="220"/>
                          <w:jc w:val="right"/>
                          <w:rPr>
                            <w:sz w:val="18"/>
                          </w:rPr>
                        </w:pPr>
                        <w:r>
                          <w:rPr>
                            <w:sz w:val="18"/>
                          </w:rPr>
                          <w:t>M</w:t>
                        </w:r>
                      </w:p>
                    </w:tc>
                    <w:tc>
                      <w:tcPr>
                        <w:tcW w:w="636" w:type="dxa"/>
                      </w:tcPr>
                      <w:p>
                        <w:pPr>
                          <w:pStyle w:val="TableParagraph"/>
                          <w:spacing w:line="203" w:lineRule="exact"/>
                          <w:ind w:right="229"/>
                          <w:jc w:val="right"/>
                          <w:rPr>
                            <w:sz w:val="18"/>
                          </w:rPr>
                        </w:pPr>
                        <w:r>
                          <w:rPr>
                            <w:sz w:val="18"/>
                          </w:rPr>
                          <w:t>M</w:t>
                        </w:r>
                      </w:p>
                    </w:tc>
                    <w:tc>
                      <w:tcPr>
                        <w:tcW w:w="638" w:type="dxa"/>
                      </w:tcPr>
                      <w:p>
                        <w:pPr>
                          <w:pStyle w:val="TableParagraph"/>
                          <w:spacing w:line="203" w:lineRule="exact"/>
                          <w:ind w:right="229"/>
                          <w:jc w:val="right"/>
                          <w:rPr>
                            <w:sz w:val="18"/>
                          </w:rPr>
                        </w:pPr>
                        <w:r>
                          <w:rPr>
                            <w:sz w:val="18"/>
                          </w:rPr>
                          <w:t>M</w:t>
                        </w:r>
                      </w:p>
                    </w:tc>
                    <w:tc>
                      <w:tcPr>
                        <w:tcW w:w="619" w:type="dxa"/>
                      </w:tcPr>
                      <w:p>
                        <w:pPr>
                          <w:pStyle w:val="TableParagraph"/>
                          <w:spacing w:line="203" w:lineRule="exact"/>
                          <w:ind w:right="220"/>
                          <w:jc w:val="right"/>
                          <w:rPr>
                            <w:sz w:val="18"/>
                          </w:rPr>
                        </w:pPr>
                        <w:r>
                          <w:rPr>
                            <w:sz w:val="18"/>
                          </w:rPr>
                          <w:t>M</w:t>
                        </w:r>
                      </w:p>
                    </w:tc>
                    <w:tc>
                      <w:tcPr>
                        <w:tcW w:w="619" w:type="dxa"/>
                      </w:tcPr>
                      <w:p>
                        <w:pPr>
                          <w:pStyle w:val="TableParagraph"/>
                          <w:spacing w:line="203" w:lineRule="exact"/>
                          <w:ind w:right="220"/>
                          <w:jc w:val="right"/>
                          <w:rPr>
                            <w:sz w:val="18"/>
                          </w:rPr>
                        </w:pPr>
                        <w:r>
                          <w:rPr>
                            <w:sz w:val="18"/>
                          </w:rPr>
                          <w:t>M</w:t>
                        </w:r>
                      </w:p>
                    </w:tc>
                    <w:tc>
                      <w:tcPr>
                        <w:tcW w:w="619" w:type="dxa"/>
                      </w:tcPr>
                      <w:p>
                        <w:pPr/>
                      </w:p>
                    </w:tc>
                    <w:tc>
                      <w:tcPr>
                        <w:tcW w:w="618" w:type="dxa"/>
                      </w:tcPr>
                      <w:p>
                        <w:pPr>
                          <w:pStyle w:val="TableParagraph"/>
                          <w:spacing w:line="203" w:lineRule="exact"/>
                          <w:ind w:right="220"/>
                          <w:jc w:val="right"/>
                          <w:rPr>
                            <w:sz w:val="18"/>
                          </w:rPr>
                        </w:pPr>
                        <w:r>
                          <w:rPr>
                            <w:sz w:val="18"/>
                          </w:rPr>
                          <w:t>M</w:t>
                        </w:r>
                      </w:p>
                    </w:tc>
                  </w:tr>
                  <w:tr>
                    <w:trPr>
                      <w:trHeight w:val="319" w:hRule="exact"/>
                    </w:trPr>
                    <w:tc>
                      <w:tcPr>
                        <w:tcW w:w="637" w:type="dxa"/>
                        <w:shd w:val="clear" w:color="auto" w:fill="91CF4F"/>
                      </w:tcPr>
                      <w:p>
                        <w:pPr>
                          <w:pStyle w:val="TableParagraph"/>
                          <w:jc w:val="center"/>
                          <w:rPr>
                            <w:b/>
                            <w:sz w:val="18"/>
                          </w:rPr>
                        </w:pPr>
                        <w:r>
                          <w:rPr>
                            <w:b/>
                            <w:sz w:val="18"/>
                          </w:rPr>
                          <w:t>C</w:t>
                        </w:r>
                      </w:p>
                    </w:tc>
                    <w:tc>
                      <w:tcPr>
                        <w:tcW w:w="618" w:type="dxa"/>
                      </w:tcPr>
                      <w:p>
                        <w:pPr/>
                      </w:p>
                    </w:tc>
                    <w:tc>
                      <w:tcPr>
                        <w:tcW w:w="636" w:type="dxa"/>
                      </w:tcPr>
                      <w:p>
                        <w:pPr>
                          <w:pStyle w:val="TableParagraph"/>
                          <w:spacing w:line="203" w:lineRule="exact"/>
                          <w:ind w:right="229"/>
                          <w:jc w:val="right"/>
                          <w:rPr>
                            <w:sz w:val="18"/>
                          </w:rPr>
                        </w:pPr>
                        <w:r>
                          <w:rPr>
                            <w:sz w:val="18"/>
                          </w:rPr>
                          <w:t>M</w:t>
                        </w:r>
                      </w:p>
                    </w:tc>
                    <w:tc>
                      <w:tcPr>
                        <w:tcW w:w="638" w:type="dxa"/>
                      </w:tcPr>
                      <w:p>
                        <w:pPr>
                          <w:pStyle w:val="TableParagraph"/>
                          <w:spacing w:line="203" w:lineRule="exact"/>
                          <w:ind w:right="229"/>
                          <w:jc w:val="right"/>
                          <w:rPr>
                            <w:sz w:val="18"/>
                          </w:rPr>
                        </w:pPr>
                        <w:r>
                          <w:rPr>
                            <w:sz w:val="18"/>
                          </w:rPr>
                          <w:t>M</w:t>
                        </w:r>
                      </w:p>
                    </w:tc>
                    <w:tc>
                      <w:tcPr>
                        <w:tcW w:w="619" w:type="dxa"/>
                      </w:tcPr>
                      <w:p>
                        <w:pPr>
                          <w:pStyle w:val="TableParagraph"/>
                          <w:spacing w:line="203" w:lineRule="exact"/>
                          <w:ind w:right="236"/>
                          <w:jc w:val="right"/>
                          <w:rPr>
                            <w:sz w:val="18"/>
                          </w:rPr>
                        </w:pPr>
                        <w:r>
                          <w:rPr>
                            <w:sz w:val="18"/>
                          </w:rPr>
                          <w:t>D</w:t>
                        </w:r>
                      </w:p>
                    </w:tc>
                    <w:tc>
                      <w:tcPr>
                        <w:tcW w:w="619" w:type="dxa"/>
                      </w:tcPr>
                      <w:p>
                        <w:pPr>
                          <w:pStyle w:val="TableParagraph"/>
                          <w:spacing w:line="203" w:lineRule="exact"/>
                          <w:ind w:right="220"/>
                          <w:jc w:val="right"/>
                          <w:rPr>
                            <w:sz w:val="18"/>
                          </w:rPr>
                        </w:pPr>
                        <w:r>
                          <w:rPr>
                            <w:sz w:val="18"/>
                          </w:rPr>
                          <w:t>M</w:t>
                        </w:r>
                      </w:p>
                    </w:tc>
                    <w:tc>
                      <w:tcPr>
                        <w:tcW w:w="619" w:type="dxa"/>
                      </w:tcPr>
                      <w:p>
                        <w:pPr>
                          <w:pStyle w:val="TableParagraph"/>
                          <w:spacing w:line="203" w:lineRule="exact"/>
                          <w:ind w:right="220"/>
                          <w:jc w:val="right"/>
                          <w:rPr>
                            <w:sz w:val="18"/>
                          </w:rPr>
                        </w:pPr>
                        <w:r>
                          <w:rPr>
                            <w:sz w:val="18"/>
                          </w:rPr>
                          <w:t>M</w:t>
                        </w:r>
                      </w:p>
                    </w:tc>
                    <w:tc>
                      <w:tcPr>
                        <w:tcW w:w="618" w:type="dxa"/>
                      </w:tcPr>
                      <w:p>
                        <w:pPr>
                          <w:pStyle w:val="TableParagraph"/>
                          <w:spacing w:line="203" w:lineRule="exact"/>
                          <w:ind w:right="220"/>
                          <w:jc w:val="right"/>
                          <w:rPr>
                            <w:sz w:val="18"/>
                          </w:rPr>
                        </w:pPr>
                        <w:r>
                          <w:rPr>
                            <w:sz w:val="18"/>
                          </w:rPr>
                          <w:t>M</w:t>
                        </w:r>
                      </w:p>
                    </w:tc>
                  </w:tr>
                  <w:tr>
                    <w:trPr>
                      <w:trHeight w:val="295" w:hRule="exact"/>
                    </w:trPr>
                    <w:tc>
                      <w:tcPr>
                        <w:tcW w:w="637" w:type="dxa"/>
                        <w:shd w:val="clear" w:color="auto" w:fill="91CF4F"/>
                      </w:tcPr>
                      <w:p>
                        <w:pPr>
                          <w:pStyle w:val="TableParagraph"/>
                          <w:spacing w:line="206" w:lineRule="exact"/>
                          <w:jc w:val="center"/>
                          <w:rPr>
                            <w:b/>
                            <w:sz w:val="18"/>
                          </w:rPr>
                        </w:pPr>
                        <w:r>
                          <w:rPr>
                            <w:b/>
                            <w:sz w:val="18"/>
                          </w:rPr>
                          <w:t>D</w:t>
                        </w:r>
                      </w:p>
                    </w:tc>
                    <w:tc>
                      <w:tcPr>
                        <w:tcW w:w="618" w:type="dxa"/>
                      </w:tcPr>
                      <w:p>
                        <w:pPr>
                          <w:pStyle w:val="TableParagraph"/>
                          <w:spacing w:line="202" w:lineRule="exact"/>
                          <w:ind w:right="220"/>
                          <w:jc w:val="right"/>
                          <w:rPr>
                            <w:sz w:val="18"/>
                          </w:rPr>
                        </w:pPr>
                        <w:r>
                          <w:rPr>
                            <w:sz w:val="18"/>
                          </w:rPr>
                          <w:t>M</w:t>
                        </w:r>
                      </w:p>
                    </w:tc>
                    <w:tc>
                      <w:tcPr>
                        <w:tcW w:w="636" w:type="dxa"/>
                      </w:tcPr>
                      <w:p>
                        <w:pPr/>
                      </w:p>
                    </w:tc>
                    <w:tc>
                      <w:tcPr>
                        <w:tcW w:w="638" w:type="dxa"/>
                      </w:tcPr>
                      <w:p>
                        <w:pPr>
                          <w:pStyle w:val="TableParagraph"/>
                          <w:spacing w:line="202" w:lineRule="exact"/>
                          <w:ind w:right="229"/>
                          <w:jc w:val="right"/>
                          <w:rPr>
                            <w:sz w:val="18"/>
                          </w:rPr>
                        </w:pPr>
                        <w:r>
                          <w:rPr>
                            <w:sz w:val="18"/>
                          </w:rPr>
                          <w:t>M</w:t>
                        </w:r>
                      </w:p>
                    </w:tc>
                    <w:tc>
                      <w:tcPr>
                        <w:tcW w:w="619" w:type="dxa"/>
                      </w:tcPr>
                      <w:p>
                        <w:pPr>
                          <w:pStyle w:val="TableParagraph"/>
                          <w:spacing w:line="202" w:lineRule="exact"/>
                          <w:ind w:right="220"/>
                          <w:jc w:val="right"/>
                          <w:rPr>
                            <w:sz w:val="18"/>
                          </w:rPr>
                        </w:pPr>
                        <w:r>
                          <w:rPr>
                            <w:sz w:val="18"/>
                          </w:rPr>
                          <w:t>M</w:t>
                        </w:r>
                      </w:p>
                    </w:tc>
                    <w:tc>
                      <w:tcPr>
                        <w:tcW w:w="619" w:type="dxa"/>
                      </w:tcPr>
                      <w:p>
                        <w:pPr>
                          <w:pStyle w:val="TableParagraph"/>
                          <w:spacing w:line="202" w:lineRule="exact"/>
                          <w:ind w:right="220"/>
                          <w:jc w:val="right"/>
                          <w:rPr>
                            <w:sz w:val="18"/>
                          </w:rPr>
                        </w:pPr>
                        <w:r>
                          <w:rPr>
                            <w:sz w:val="18"/>
                          </w:rPr>
                          <w:t>M</w:t>
                        </w:r>
                      </w:p>
                    </w:tc>
                    <w:tc>
                      <w:tcPr>
                        <w:tcW w:w="619" w:type="dxa"/>
                      </w:tcPr>
                      <w:p>
                        <w:pPr>
                          <w:pStyle w:val="TableParagraph"/>
                          <w:spacing w:line="202" w:lineRule="exact"/>
                          <w:ind w:right="220"/>
                          <w:jc w:val="right"/>
                          <w:rPr>
                            <w:sz w:val="18"/>
                          </w:rPr>
                        </w:pPr>
                        <w:r>
                          <w:rPr>
                            <w:sz w:val="18"/>
                          </w:rPr>
                          <w:t>M</w:t>
                        </w:r>
                      </w:p>
                    </w:tc>
                    <w:tc>
                      <w:tcPr>
                        <w:tcW w:w="618" w:type="dxa"/>
                      </w:tcPr>
                      <w:p>
                        <w:pPr>
                          <w:pStyle w:val="TableParagraph"/>
                          <w:spacing w:line="202" w:lineRule="exact"/>
                          <w:ind w:right="220"/>
                          <w:jc w:val="right"/>
                          <w:rPr>
                            <w:sz w:val="18"/>
                          </w:rPr>
                        </w:pPr>
                        <w:r>
                          <w:rPr>
                            <w:sz w:val="18"/>
                          </w:rPr>
                          <w:t>M</w:t>
                        </w:r>
                      </w:p>
                    </w:tc>
                  </w:tr>
                  <w:tr>
                    <w:trPr>
                      <w:trHeight w:val="295" w:hRule="exact"/>
                    </w:trPr>
                    <w:tc>
                      <w:tcPr>
                        <w:tcW w:w="637" w:type="dxa"/>
                        <w:shd w:val="clear" w:color="auto" w:fill="91CF4F"/>
                      </w:tcPr>
                      <w:p>
                        <w:pPr>
                          <w:pStyle w:val="TableParagraph"/>
                          <w:spacing w:line="206" w:lineRule="exact"/>
                          <w:ind w:right="1"/>
                          <w:jc w:val="center"/>
                          <w:rPr>
                            <w:b/>
                            <w:sz w:val="18"/>
                          </w:rPr>
                        </w:pPr>
                        <w:r>
                          <w:rPr>
                            <w:b/>
                            <w:sz w:val="18"/>
                          </w:rPr>
                          <w:t>E</w:t>
                        </w:r>
                      </w:p>
                    </w:tc>
                    <w:tc>
                      <w:tcPr>
                        <w:tcW w:w="618" w:type="dxa"/>
                      </w:tcPr>
                      <w:p>
                        <w:pPr/>
                      </w:p>
                    </w:tc>
                    <w:tc>
                      <w:tcPr>
                        <w:tcW w:w="636" w:type="dxa"/>
                      </w:tcPr>
                      <w:p>
                        <w:pPr>
                          <w:pStyle w:val="TableParagraph"/>
                          <w:spacing w:line="202" w:lineRule="exact"/>
                          <w:ind w:right="229"/>
                          <w:jc w:val="right"/>
                          <w:rPr>
                            <w:sz w:val="18"/>
                          </w:rPr>
                        </w:pPr>
                        <w:r>
                          <w:rPr>
                            <w:sz w:val="18"/>
                          </w:rPr>
                          <w:t>M</w:t>
                        </w:r>
                      </w:p>
                    </w:tc>
                    <w:tc>
                      <w:tcPr>
                        <w:tcW w:w="638" w:type="dxa"/>
                      </w:tcPr>
                      <w:p>
                        <w:pPr>
                          <w:pStyle w:val="TableParagraph"/>
                          <w:spacing w:line="202" w:lineRule="exact"/>
                          <w:ind w:right="229"/>
                          <w:jc w:val="right"/>
                          <w:rPr>
                            <w:sz w:val="18"/>
                          </w:rPr>
                        </w:pPr>
                        <w:r>
                          <w:rPr>
                            <w:sz w:val="18"/>
                          </w:rPr>
                          <w:t>M</w:t>
                        </w:r>
                      </w:p>
                    </w:tc>
                    <w:tc>
                      <w:tcPr>
                        <w:tcW w:w="619" w:type="dxa"/>
                      </w:tcPr>
                      <w:p>
                        <w:pPr>
                          <w:pStyle w:val="TableParagraph"/>
                          <w:spacing w:line="202" w:lineRule="exact"/>
                          <w:ind w:right="220"/>
                          <w:jc w:val="right"/>
                          <w:rPr>
                            <w:sz w:val="18"/>
                          </w:rPr>
                        </w:pPr>
                        <w:r>
                          <w:rPr>
                            <w:sz w:val="18"/>
                          </w:rPr>
                          <w:t>M</w:t>
                        </w:r>
                      </w:p>
                    </w:tc>
                    <w:tc>
                      <w:tcPr>
                        <w:tcW w:w="619" w:type="dxa"/>
                      </w:tcPr>
                      <w:p>
                        <w:pPr/>
                      </w:p>
                    </w:tc>
                    <w:tc>
                      <w:tcPr>
                        <w:tcW w:w="619" w:type="dxa"/>
                      </w:tcPr>
                      <w:p>
                        <w:pPr/>
                      </w:p>
                    </w:tc>
                    <w:tc>
                      <w:tcPr>
                        <w:tcW w:w="618" w:type="dxa"/>
                      </w:tcPr>
                      <w:p>
                        <w:pPr/>
                      </w:p>
                    </w:tc>
                  </w:tr>
                  <w:tr>
                    <w:trPr>
                      <w:trHeight w:val="294" w:hRule="exact"/>
                    </w:trPr>
                    <w:tc>
                      <w:tcPr>
                        <w:tcW w:w="637" w:type="dxa"/>
                        <w:shd w:val="clear" w:color="auto" w:fill="91CF4F"/>
                      </w:tcPr>
                      <w:p>
                        <w:pPr>
                          <w:pStyle w:val="TableParagraph"/>
                          <w:spacing w:line="206" w:lineRule="exact"/>
                          <w:ind w:right="1"/>
                          <w:jc w:val="center"/>
                          <w:rPr>
                            <w:b/>
                            <w:sz w:val="18"/>
                          </w:rPr>
                        </w:pPr>
                        <w:r>
                          <w:rPr>
                            <w:b/>
                            <w:sz w:val="18"/>
                          </w:rPr>
                          <w:t>F</w:t>
                        </w:r>
                      </w:p>
                    </w:tc>
                    <w:tc>
                      <w:tcPr>
                        <w:tcW w:w="618" w:type="dxa"/>
                      </w:tcPr>
                      <w:p>
                        <w:pPr>
                          <w:pStyle w:val="TableParagraph"/>
                          <w:spacing w:line="202" w:lineRule="exact"/>
                          <w:ind w:right="220"/>
                          <w:jc w:val="right"/>
                          <w:rPr>
                            <w:sz w:val="18"/>
                          </w:rPr>
                        </w:pPr>
                        <w:r>
                          <w:rPr>
                            <w:sz w:val="18"/>
                          </w:rPr>
                          <w:t>M</w:t>
                        </w:r>
                      </w:p>
                    </w:tc>
                    <w:tc>
                      <w:tcPr>
                        <w:tcW w:w="636" w:type="dxa"/>
                      </w:tcPr>
                      <w:p>
                        <w:pPr>
                          <w:pStyle w:val="TableParagraph"/>
                          <w:spacing w:line="202" w:lineRule="exact"/>
                          <w:ind w:right="229"/>
                          <w:jc w:val="right"/>
                          <w:rPr>
                            <w:sz w:val="18"/>
                          </w:rPr>
                        </w:pPr>
                        <w:r>
                          <w:rPr>
                            <w:sz w:val="18"/>
                          </w:rPr>
                          <w:t>M</w:t>
                        </w:r>
                      </w:p>
                    </w:tc>
                    <w:tc>
                      <w:tcPr>
                        <w:tcW w:w="638" w:type="dxa"/>
                      </w:tcPr>
                      <w:p>
                        <w:pPr/>
                      </w:p>
                    </w:tc>
                    <w:tc>
                      <w:tcPr>
                        <w:tcW w:w="619" w:type="dxa"/>
                      </w:tcPr>
                      <w:p>
                        <w:pPr>
                          <w:pStyle w:val="TableParagraph"/>
                          <w:spacing w:line="202" w:lineRule="exact"/>
                          <w:ind w:right="220"/>
                          <w:jc w:val="right"/>
                          <w:rPr>
                            <w:sz w:val="18"/>
                          </w:rPr>
                        </w:pPr>
                        <w:r>
                          <w:rPr>
                            <w:sz w:val="18"/>
                          </w:rPr>
                          <w:t>M</w:t>
                        </w:r>
                      </w:p>
                    </w:tc>
                    <w:tc>
                      <w:tcPr>
                        <w:tcW w:w="619" w:type="dxa"/>
                      </w:tcPr>
                      <w:p>
                        <w:pPr/>
                      </w:p>
                    </w:tc>
                    <w:tc>
                      <w:tcPr>
                        <w:tcW w:w="619" w:type="dxa"/>
                      </w:tcPr>
                      <w:p>
                        <w:pPr>
                          <w:pStyle w:val="TableParagraph"/>
                          <w:spacing w:line="202" w:lineRule="exact"/>
                          <w:ind w:right="220"/>
                          <w:jc w:val="right"/>
                          <w:rPr>
                            <w:sz w:val="18"/>
                          </w:rPr>
                        </w:pPr>
                        <w:r>
                          <w:rPr>
                            <w:sz w:val="18"/>
                          </w:rPr>
                          <w:t>M</w:t>
                        </w:r>
                      </w:p>
                    </w:tc>
                    <w:tc>
                      <w:tcPr>
                        <w:tcW w:w="618" w:type="dxa"/>
                      </w:tcPr>
                      <w:p>
                        <w:pPr>
                          <w:pStyle w:val="TableParagraph"/>
                          <w:spacing w:line="202" w:lineRule="exact"/>
                          <w:ind w:right="220"/>
                          <w:jc w:val="right"/>
                          <w:rPr>
                            <w:sz w:val="18"/>
                          </w:rPr>
                        </w:pPr>
                        <w:r>
                          <w:rPr>
                            <w:sz w:val="18"/>
                          </w:rPr>
                          <w:t>M</w:t>
                        </w:r>
                      </w:p>
                    </w:tc>
                  </w:tr>
                  <w:tr>
                    <w:trPr>
                      <w:trHeight w:val="295" w:hRule="exact"/>
                    </w:trPr>
                    <w:tc>
                      <w:tcPr>
                        <w:tcW w:w="637" w:type="dxa"/>
                        <w:shd w:val="clear" w:color="auto" w:fill="91CF4F"/>
                      </w:tcPr>
                      <w:p>
                        <w:pPr>
                          <w:pStyle w:val="TableParagraph"/>
                          <w:jc w:val="center"/>
                          <w:rPr>
                            <w:b/>
                            <w:sz w:val="18"/>
                          </w:rPr>
                        </w:pPr>
                        <w:r>
                          <w:rPr>
                            <w:b/>
                            <w:sz w:val="18"/>
                          </w:rPr>
                          <w:t>G</w:t>
                        </w:r>
                      </w:p>
                    </w:tc>
                    <w:tc>
                      <w:tcPr>
                        <w:tcW w:w="618" w:type="dxa"/>
                      </w:tcPr>
                      <w:p>
                        <w:pPr/>
                      </w:p>
                    </w:tc>
                    <w:tc>
                      <w:tcPr>
                        <w:tcW w:w="636" w:type="dxa"/>
                      </w:tcPr>
                      <w:p>
                        <w:pPr/>
                      </w:p>
                    </w:tc>
                    <w:tc>
                      <w:tcPr>
                        <w:tcW w:w="638" w:type="dxa"/>
                      </w:tcPr>
                      <w:p>
                        <w:pPr/>
                      </w:p>
                    </w:tc>
                    <w:tc>
                      <w:tcPr>
                        <w:tcW w:w="619" w:type="dxa"/>
                      </w:tcPr>
                      <w:p>
                        <w:pPr/>
                      </w:p>
                    </w:tc>
                    <w:tc>
                      <w:tcPr>
                        <w:tcW w:w="619" w:type="dxa"/>
                      </w:tcPr>
                      <w:p>
                        <w:pPr/>
                      </w:p>
                    </w:tc>
                    <w:tc>
                      <w:tcPr>
                        <w:tcW w:w="619" w:type="dxa"/>
                      </w:tcPr>
                      <w:p>
                        <w:pPr/>
                      </w:p>
                    </w:tc>
                    <w:tc>
                      <w:tcPr>
                        <w:tcW w:w="618" w:type="dxa"/>
                      </w:tcPr>
                      <w:p>
                        <w:pPr/>
                      </w:p>
                    </w:tc>
                  </w:tr>
                  <w:tr>
                    <w:trPr>
                      <w:trHeight w:val="295" w:hRule="exact"/>
                    </w:trPr>
                    <w:tc>
                      <w:tcPr>
                        <w:tcW w:w="637" w:type="dxa"/>
                        <w:shd w:val="clear" w:color="auto" w:fill="91CF4F"/>
                      </w:tcPr>
                      <w:p>
                        <w:pPr>
                          <w:pStyle w:val="TableParagraph"/>
                          <w:jc w:val="center"/>
                          <w:rPr>
                            <w:b/>
                            <w:sz w:val="18"/>
                          </w:rPr>
                        </w:pPr>
                        <w:r>
                          <w:rPr>
                            <w:b/>
                            <w:sz w:val="18"/>
                          </w:rPr>
                          <w:t>H</w:t>
                        </w:r>
                      </w:p>
                    </w:tc>
                    <w:tc>
                      <w:tcPr>
                        <w:tcW w:w="618" w:type="dxa"/>
                      </w:tcPr>
                      <w:p>
                        <w:pPr/>
                      </w:p>
                    </w:tc>
                    <w:tc>
                      <w:tcPr>
                        <w:tcW w:w="636" w:type="dxa"/>
                      </w:tcPr>
                      <w:p>
                        <w:pPr/>
                      </w:p>
                    </w:tc>
                    <w:tc>
                      <w:tcPr>
                        <w:tcW w:w="638" w:type="dxa"/>
                      </w:tcPr>
                      <w:p>
                        <w:pPr/>
                      </w:p>
                    </w:tc>
                    <w:tc>
                      <w:tcPr>
                        <w:tcW w:w="619" w:type="dxa"/>
                      </w:tcPr>
                      <w:p>
                        <w:pPr/>
                      </w:p>
                    </w:tc>
                    <w:tc>
                      <w:tcPr>
                        <w:tcW w:w="619" w:type="dxa"/>
                      </w:tcPr>
                      <w:p>
                        <w:pPr/>
                      </w:p>
                    </w:tc>
                    <w:tc>
                      <w:tcPr>
                        <w:tcW w:w="619" w:type="dxa"/>
                      </w:tcPr>
                      <w:p>
                        <w:pPr/>
                      </w:p>
                    </w:tc>
                    <w:tc>
                      <w:tcPr>
                        <w:tcW w:w="618" w:type="dxa"/>
                      </w:tcPr>
                      <w:p>
                        <w:pPr/>
                      </w:p>
                    </w:tc>
                  </w:tr>
                  <w:tr>
                    <w:trPr>
                      <w:trHeight w:val="319" w:hRule="exact"/>
                    </w:trPr>
                    <w:tc>
                      <w:tcPr>
                        <w:tcW w:w="637" w:type="dxa"/>
                        <w:shd w:val="clear" w:color="auto" w:fill="91CF4F"/>
                      </w:tcPr>
                      <w:p>
                        <w:pPr>
                          <w:pStyle w:val="TableParagraph"/>
                          <w:jc w:val="center"/>
                          <w:rPr>
                            <w:b/>
                            <w:sz w:val="18"/>
                          </w:rPr>
                        </w:pPr>
                        <w:r>
                          <w:rPr>
                            <w:b/>
                            <w:sz w:val="18"/>
                          </w:rPr>
                          <w:t>I</w:t>
                        </w:r>
                      </w:p>
                    </w:tc>
                    <w:tc>
                      <w:tcPr>
                        <w:tcW w:w="618" w:type="dxa"/>
                      </w:tcPr>
                      <w:p>
                        <w:pPr>
                          <w:pStyle w:val="TableParagraph"/>
                          <w:spacing w:line="203" w:lineRule="exact"/>
                          <w:ind w:right="220"/>
                          <w:jc w:val="right"/>
                          <w:rPr>
                            <w:sz w:val="18"/>
                          </w:rPr>
                        </w:pPr>
                        <w:r>
                          <w:rPr>
                            <w:sz w:val="18"/>
                          </w:rPr>
                          <w:t>M</w:t>
                        </w:r>
                      </w:p>
                    </w:tc>
                    <w:tc>
                      <w:tcPr>
                        <w:tcW w:w="636" w:type="dxa"/>
                      </w:tcPr>
                      <w:p>
                        <w:pPr>
                          <w:pStyle w:val="TableParagraph"/>
                          <w:spacing w:line="203" w:lineRule="exact"/>
                          <w:ind w:right="229"/>
                          <w:jc w:val="right"/>
                          <w:rPr>
                            <w:sz w:val="18"/>
                          </w:rPr>
                        </w:pPr>
                        <w:r>
                          <w:rPr>
                            <w:sz w:val="18"/>
                          </w:rPr>
                          <w:t>M</w:t>
                        </w:r>
                      </w:p>
                    </w:tc>
                    <w:tc>
                      <w:tcPr>
                        <w:tcW w:w="638" w:type="dxa"/>
                      </w:tcPr>
                      <w:p>
                        <w:pPr/>
                      </w:p>
                    </w:tc>
                    <w:tc>
                      <w:tcPr>
                        <w:tcW w:w="619" w:type="dxa"/>
                      </w:tcPr>
                      <w:p>
                        <w:pPr>
                          <w:pStyle w:val="TableParagraph"/>
                          <w:spacing w:line="203" w:lineRule="exact"/>
                          <w:ind w:right="220"/>
                          <w:jc w:val="right"/>
                          <w:rPr>
                            <w:sz w:val="18"/>
                          </w:rPr>
                        </w:pPr>
                        <w:r>
                          <w:rPr>
                            <w:sz w:val="18"/>
                          </w:rPr>
                          <w:t>M</w:t>
                        </w:r>
                      </w:p>
                    </w:tc>
                    <w:tc>
                      <w:tcPr>
                        <w:tcW w:w="619" w:type="dxa"/>
                      </w:tcPr>
                      <w:p>
                        <w:pPr/>
                      </w:p>
                    </w:tc>
                    <w:tc>
                      <w:tcPr>
                        <w:tcW w:w="619" w:type="dxa"/>
                      </w:tcPr>
                      <w:p>
                        <w:pPr>
                          <w:pStyle w:val="TableParagraph"/>
                          <w:spacing w:line="203" w:lineRule="exact"/>
                          <w:ind w:right="220"/>
                          <w:jc w:val="right"/>
                          <w:rPr>
                            <w:sz w:val="18"/>
                          </w:rPr>
                        </w:pPr>
                        <w:r>
                          <w:rPr>
                            <w:sz w:val="18"/>
                          </w:rPr>
                          <w:t>M</w:t>
                        </w:r>
                      </w:p>
                    </w:tc>
                    <w:tc>
                      <w:tcPr>
                        <w:tcW w:w="618" w:type="dxa"/>
                      </w:tcPr>
                      <w:p>
                        <w:pPr>
                          <w:pStyle w:val="TableParagraph"/>
                          <w:spacing w:line="203" w:lineRule="exact"/>
                          <w:ind w:right="220"/>
                          <w:jc w:val="right"/>
                          <w:rPr>
                            <w:sz w:val="18"/>
                          </w:rPr>
                        </w:pPr>
                        <w:r>
                          <w:rPr>
                            <w:sz w:val="18"/>
                          </w:rPr>
                          <w:t>M</w:t>
                        </w:r>
                      </w:p>
                    </w:tc>
                  </w:tr>
                  <w:tr>
                    <w:trPr>
                      <w:trHeight w:val="319" w:hRule="exact"/>
                    </w:trPr>
                    <w:tc>
                      <w:tcPr>
                        <w:tcW w:w="637" w:type="dxa"/>
                        <w:shd w:val="clear" w:color="auto" w:fill="91CF4F"/>
                      </w:tcPr>
                      <w:p>
                        <w:pPr>
                          <w:pStyle w:val="TableParagraph"/>
                          <w:spacing w:line="206" w:lineRule="exact"/>
                          <w:jc w:val="center"/>
                          <w:rPr>
                            <w:b/>
                            <w:sz w:val="18"/>
                          </w:rPr>
                        </w:pPr>
                        <w:r>
                          <w:rPr>
                            <w:b/>
                            <w:sz w:val="18"/>
                          </w:rPr>
                          <w:t>J</w:t>
                        </w:r>
                      </w:p>
                    </w:tc>
                    <w:tc>
                      <w:tcPr>
                        <w:tcW w:w="618" w:type="dxa"/>
                      </w:tcPr>
                      <w:p>
                        <w:pPr/>
                      </w:p>
                    </w:tc>
                    <w:tc>
                      <w:tcPr>
                        <w:tcW w:w="636" w:type="dxa"/>
                      </w:tcPr>
                      <w:p>
                        <w:pPr/>
                      </w:p>
                    </w:tc>
                    <w:tc>
                      <w:tcPr>
                        <w:tcW w:w="638" w:type="dxa"/>
                      </w:tcPr>
                      <w:p>
                        <w:pPr/>
                      </w:p>
                    </w:tc>
                    <w:tc>
                      <w:tcPr>
                        <w:tcW w:w="619" w:type="dxa"/>
                      </w:tcPr>
                      <w:p>
                        <w:pPr/>
                      </w:p>
                    </w:tc>
                    <w:tc>
                      <w:tcPr>
                        <w:tcW w:w="619" w:type="dxa"/>
                      </w:tcPr>
                      <w:p>
                        <w:pPr/>
                      </w:p>
                    </w:tc>
                    <w:tc>
                      <w:tcPr>
                        <w:tcW w:w="619" w:type="dxa"/>
                      </w:tcPr>
                      <w:p>
                        <w:pPr/>
                      </w:p>
                    </w:tc>
                    <w:tc>
                      <w:tcPr>
                        <w:tcW w:w="618" w:type="dxa"/>
                      </w:tcPr>
                      <w:p>
                        <w:pPr/>
                      </w:p>
                    </w:tc>
                  </w:tr>
                  <w:tr>
                    <w:trPr>
                      <w:trHeight w:val="319" w:hRule="exact"/>
                    </w:trPr>
                    <w:tc>
                      <w:tcPr>
                        <w:tcW w:w="637" w:type="dxa"/>
                        <w:shd w:val="clear" w:color="auto" w:fill="91CF4F"/>
                      </w:tcPr>
                      <w:p>
                        <w:pPr>
                          <w:pStyle w:val="TableParagraph"/>
                          <w:spacing w:line="206" w:lineRule="exact"/>
                          <w:jc w:val="center"/>
                          <w:rPr>
                            <w:b/>
                            <w:sz w:val="18"/>
                          </w:rPr>
                        </w:pPr>
                        <w:r>
                          <w:rPr>
                            <w:b/>
                            <w:sz w:val="18"/>
                          </w:rPr>
                          <w:t>K</w:t>
                        </w:r>
                      </w:p>
                    </w:tc>
                    <w:tc>
                      <w:tcPr>
                        <w:tcW w:w="618" w:type="dxa"/>
                      </w:tcPr>
                      <w:p>
                        <w:pPr/>
                      </w:p>
                    </w:tc>
                    <w:tc>
                      <w:tcPr>
                        <w:tcW w:w="636" w:type="dxa"/>
                      </w:tcPr>
                      <w:p>
                        <w:pPr/>
                      </w:p>
                    </w:tc>
                    <w:tc>
                      <w:tcPr>
                        <w:tcW w:w="638" w:type="dxa"/>
                      </w:tcPr>
                      <w:p>
                        <w:pPr>
                          <w:pStyle w:val="TableParagraph"/>
                          <w:spacing w:line="202" w:lineRule="exact"/>
                          <w:ind w:right="229"/>
                          <w:jc w:val="right"/>
                          <w:rPr>
                            <w:sz w:val="18"/>
                          </w:rPr>
                        </w:pPr>
                        <w:r>
                          <w:rPr>
                            <w:sz w:val="18"/>
                          </w:rPr>
                          <w:t>M</w:t>
                        </w:r>
                      </w:p>
                    </w:tc>
                    <w:tc>
                      <w:tcPr>
                        <w:tcW w:w="619" w:type="dxa"/>
                      </w:tcPr>
                      <w:p>
                        <w:pPr/>
                      </w:p>
                    </w:tc>
                    <w:tc>
                      <w:tcPr>
                        <w:tcW w:w="619" w:type="dxa"/>
                      </w:tcPr>
                      <w:p>
                        <w:pPr/>
                      </w:p>
                    </w:tc>
                    <w:tc>
                      <w:tcPr>
                        <w:tcW w:w="619" w:type="dxa"/>
                      </w:tcPr>
                      <w:p>
                        <w:pPr/>
                      </w:p>
                    </w:tc>
                    <w:tc>
                      <w:tcPr>
                        <w:tcW w:w="618" w:type="dxa"/>
                      </w:tcPr>
                      <w:p>
                        <w:pPr/>
                      </w:p>
                    </w:tc>
                  </w:tr>
                  <w:tr>
                    <w:trPr>
                      <w:trHeight w:val="318" w:hRule="exact"/>
                    </w:trPr>
                    <w:tc>
                      <w:tcPr>
                        <w:tcW w:w="637" w:type="dxa"/>
                        <w:shd w:val="clear" w:color="auto" w:fill="91CF4F"/>
                      </w:tcPr>
                      <w:p>
                        <w:pPr>
                          <w:pStyle w:val="TableParagraph"/>
                          <w:spacing w:line="206" w:lineRule="exact"/>
                          <w:ind w:right="1"/>
                          <w:jc w:val="center"/>
                          <w:rPr>
                            <w:b/>
                            <w:sz w:val="18"/>
                          </w:rPr>
                        </w:pPr>
                        <w:r>
                          <w:rPr>
                            <w:b/>
                            <w:sz w:val="18"/>
                          </w:rPr>
                          <w:t>L</w:t>
                        </w:r>
                      </w:p>
                    </w:tc>
                    <w:tc>
                      <w:tcPr>
                        <w:tcW w:w="618" w:type="dxa"/>
                      </w:tcPr>
                      <w:p>
                        <w:pPr/>
                      </w:p>
                    </w:tc>
                    <w:tc>
                      <w:tcPr>
                        <w:tcW w:w="636" w:type="dxa"/>
                      </w:tcPr>
                      <w:p>
                        <w:pPr/>
                      </w:p>
                    </w:tc>
                    <w:tc>
                      <w:tcPr>
                        <w:tcW w:w="638" w:type="dxa"/>
                      </w:tcPr>
                      <w:p>
                        <w:pPr/>
                      </w:p>
                    </w:tc>
                    <w:tc>
                      <w:tcPr>
                        <w:tcW w:w="619" w:type="dxa"/>
                      </w:tcPr>
                      <w:p>
                        <w:pPr/>
                      </w:p>
                    </w:tc>
                    <w:tc>
                      <w:tcPr>
                        <w:tcW w:w="619" w:type="dxa"/>
                      </w:tcPr>
                      <w:p>
                        <w:pPr/>
                      </w:p>
                    </w:tc>
                    <w:tc>
                      <w:tcPr>
                        <w:tcW w:w="619" w:type="dxa"/>
                      </w:tcPr>
                      <w:p>
                        <w:pPr/>
                      </w:p>
                    </w:tc>
                    <w:tc>
                      <w:tcPr>
                        <w:tcW w:w="618" w:type="dxa"/>
                      </w:tcPr>
                      <w:p>
                        <w:pPr/>
                      </w:p>
                    </w:tc>
                  </w:tr>
                  <w:tr>
                    <w:trPr>
                      <w:trHeight w:val="319" w:hRule="exact"/>
                    </w:trPr>
                    <w:tc>
                      <w:tcPr>
                        <w:tcW w:w="637" w:type="dxa"/>
                        <w:shd w:val="clear" w:color="auto" w:fill="91CF4F"/>
                      </w:tcPr>
                      <w:p>
                        <w:pPr>
                          <w:pStyle w:val="TableParagraph"/>
                          <w:ind w:right="1"/>
                          <w:jc w:val="center"/>
                          <w:rPr>
                            <w:b/>
                            <w:sz w:val="18"/>
                          </w:rPr>
                        </w:pPr>
                        <w:r>
                          <w:rPr>
                            <w:b/>
                            <w:sz w:val="18"/>
                          </w:rPr>
                          <w:t>M</w:t>
                        </w:r>
                      </w:p>
                    </w:tc>
                    <w:tc>
                      <w:tcPr>
                        <w:tcW w:w="618" w:type="dxa"/>
                      </w:tcPr>
                      <w:p>
                        <w:pPr/>
                      </w:p>
                    </w:tc>
                    <w:tc>
                      <w:tcPr>
                        <w:tcW w:w="636" w:type="dxa"/>
                      </w:tcPr>
                      <w:p>
                        <w:pPr/>
                      </w:p>
                    </w:tc>
                    <w:tc>
                      <w:tcPr>
                        <w:tcW w:w="638" w:type="dxa"/>
                      </w:tcPr>
                      <w:p>
                        <w:pPr>
                          <w:pStyle w:val="TableParagraph"/>
                          <w:spacing w:line="203" w:lineRule="exact"/>
                          <w:ind w:right="229"/>
                          <w:jc w:val="right"/>
                          <w:rPr>
                            <w:sz w:val="18"/>
                          </w:rPr>
                        </w:pPr>
                        <w:r>
                          <w:rPr>
                            <w:sz w:val="18"/>
                          </w:rPr>
                          <w:t>M</w:t>
                        </w:r>
                      </w:p>
                    </w:tc>
                    <w:tc>
                      <w:tcPr>
                        <w:tcW w:w="619" w:type="dxa"/>
                      </w:tcPr>
                      <w:p>
                        <w:pPr/>
                      </w:p>
                    </w:tc>
                    <w:tc>
                      <w:tcPr>
                        <w:tcW w:w="619" w:type="dxa"/>
                      </w:tcPr>
                      <w:p>
                        <w:pPr>
                          <w:pStyle w:val="TableParagraph"/>
                          <w:spacing w:line="203" w:lineRule="exact"/>
                          <w:ind w:right="220"/>
                          <w:jc w:val="right"/>
                          <w:rPr>
                            <w:sz w:val="18"/>
                          </w:rPr>
                        </w:pPr>
                        <w:r>
                          <w:rPr>
                            <w:sz w:val="18"/>
                          </w:rPr>
                          <w:t>M</w:t>
                        </w:r>
                      </w:p>
                    </w:tc>
                    <w:tc>
                      <w:tcPr>
                        <w:tcW w:w="619" w:type="dxa"/>
                      </w:tcPr>
                      <w:p>
                        <w:pPr>
                          <w:pStyle w:val="TableParagraph"/>
                          <w:spacing w:line="203" w:lineRule="exact"/>
                          <w:ind w:right="220"/>
                          <w:jc w:val="right"/>
                          <w:rPr>
                            <w:sz w:val="18"/>
                          </w:rPr>
                        </w:pPr>
                        <w:r>
                          <w:rPr>
                            <w:sz w:val="18"/>
                          </w:rPr>
                          <w:t>M</w:t>
                        </w:r>
                      </w:p>
                    </w:tc>
                    <w:tc>
                      <w:tcPr>
                        <w:tcW w:w="618" w:type="dxa"/>
                      </w:tcPr>
                      <w:p>
                        <w:pPr>
                          <w:pStyle w:val="TableParagraph"/>
                          <w:spacing w:line="203" w:lineRule="exact"/>
                          <w:ind w:right="220"/>
                          <w:jc w:val="right"/>
                          <w:rPr>
                            <w:sz w:val="18"/>
                          </w:rPr>
                        </w:pPr>
                        <w:r>
                          <w:rPr>
                            <w:sz w:val="18"/>
                          </w:rPr>
                          <w:t>M</w:t>
                        </w:r>
                      </w:p>
                    </w:tc>
                  </w:tr>
                  <w:tr>
                    <w:trPr>
                      <w:trHeight w:val="319" w:hRule="exact"/>
                    </w:trPr>
                    <w:tc>
                      <w:tcPr>
                        <w:tcW w:w="637" w:type="dxa"/>
                        <w:shd w:val="clear" w:color="auto" w:fill="91CF4F"/>
                      </w:tcPr>
                      <w:p>
                        <w:pPr>
                          <w:pStyle w:val="TableParagraph"/>
                          <w:jc w:val="center"/>
                          <w:rPr>
                            <w:b/>
                            <w:sz w:val="18"/>
                          </w:rPr>
                        </w:pPr>
                        <w:r>
                          <w:rPr>
                            <w:b/>
                            <w:sz w:val="18"/>
                          </w:rPr>
                          <w:t>N</w:t>
                        </w:r>
                      </w:p>
                    </w:tc>
                    <w:tc>
                      <w:tcPr>
                        <w:tcW w:w="618" w:type="dxa"/>
                      </w:tcPr>
                      <w:p>
                        <w:pPr/>
                      </w:p>
                    </w:tc>
                    <w:tc>
                      <w:tcPr>
                        <w:tcW w:w="636" w:type="dxa"/>
                      </w:tcPr>
                      <w:p>
                        <w:pPr/>
                      </w:p>
                    </w:tc>
                    <w:tc>
                      <w:tcPr>
                        <w:tcW w:w="638" w:type="dxa"/>
                      </w:tcPr>
                      <w:p>
                        <w:pPr/>
                      </w:p>
                    </w:tc>
                    <w:tc>
                      <w:tcPr>
                        <w:tcW w:w="619" w:type="dxa"/>
                      </w:tcPr>
                      <w:p>
                        <w:pPr/>
                      </w:p>
                    </w:tc>
                    <w:tc>
                      <w:tcPr>
                        <w:tcW w:w="619" w:type="dxa"/>
                      </w:tcPr>
                      <w:p>
                        <w:pPr/>
                      </w:p>
                    </w:tc>
                    <w:tc>
                      <w:tcPr>
                        <w:tcW w:w="619" w:type="dxa"/>
                      </w:tcPr>
                      <w:p>
                        <w:pPr/>
                      </w:p>
                    </w:tc>
                    <w:tc>
                      <w:tcPr>
                        <w:tcW w:w="618" w:type="dxa"/>
                      </w:tcPr>
                      <w:p>
                        <w:pPr/>
                      </w:p>
                    </w:tc>
                  </w:tr>
                  <w:tr>
                    <w:trPr>
                      <w:trHeight w:val="319" w:hRule="exact"/>
                    </w:trPr>
                    <w:tc>
                      <w:tcPr>
                        <w:tcW w:w="637" w:type="dxa"/>
                        <w:shd w:val="clear" w:color="auto" w:fill="91CF4F"/>
                      </w:tcPr>
                      <w:p>
                        <w:pPr>
                          <w:pStyle w:val="TableParagraph"/>
                          <w:jc w:val="center"/>
                          <w:rPr>
                            <w:b/>
                            <w:sz w:val="18"/>
                          </w:rPr>
                        </w:pPr>
                        <w:r>
                          <w:rPr>
                            <w:b/>
                            <w:sz w:val="18"/>
                          </w:rPr>
                          <w:t>O</w:t>
                        </w:r>
                      </w:p>
                    </w:tc>
                    <w:tc>
                      <w:tcPr>
                        <w:tcW w:w="618" w:type="dxa"/>
                      </w:tcPr>
                      <w:p>
                        <w:pPr>
                          <w:pStyle w:val="TableParagraph"/>
                          <w:spacing w:line="203" w:lineRule="exact"/>
                          <w:ind w:right="220"/>
                          <w:jc w:val="right"/>
                          <w:rPr>
                            <w:sz w:val="18"/>
                          </w:rPr>
                        </w:pPr>
                        <w:r>
                          <w:rPr>
                            <w:sz w:val="18"/>
                          </w:rPr>
                          <w:t>M</w:t>
                        </w:r>
                      </w:p>
                    </w:tc>
                    <w:tc>
                      <w:tcPr>
                        <w:tcW w:w="636" w:type="dxa"/>
                      </w:tcPr>
                      <w:p>
                        <w:pPr/>
                      </w:p>
                    </w:tc>
                    <w:tc>
                      <w:tcPr>
                        <w:tcW w:w="638" w:type="dxa"/>
                      </w:tcPr>
                      <w:p>
                        <w:pPr>
                          <w:pStyle w:val="TableParagraph"/>
                          <w:spacing w:line="203" w:lineRule="exact"/>
                          <w:ind w:right="229"/>
                          <w:jc w:val="right"/>
                          <w:rPr>
                            <w:sz w:val="18"/>
                          </w:rPr>
                        </w:pPr>
                        <w:r>
                          <w:rPr>
                            <w:sz w:val="18"/>
                          </w:rPr>
                          <w:t>M</w:t>
                        </w:r>
                      </w:p>
                    </w:tc>
                    <w:tc>
                      <w:tcPr>
                        <w:tcW w:w="619" w:type="dxa"/>
                      </w:tcPr>
                      <w:p>
                        <w:pPr>
                          <w:pStyle w:val="TableParagraph"/>
                          <w:spacing w:line="203" w:lineRule="exact"/>
                          <w:ind w:right="220"/>
                          <w:jc w:val="right"/>
                          <w:rPr>
                            <w:sz w:val="18"/>
                          </w:rPr>
                        </w:pPr>
                        <w:r>
                          <w:rPr>
                            <w:sz w:val="18"/>
                          </w:rPr>
                          <w:t>M</w:t>
                        </w:r>
                      </w:p>
                    </w:tc>
                    <w:tc>
                      <w:tcPr>
                        <w:tcW w:w="619" w:type="dxa"/>
                      </w:tcPr>
                      <w:p>
                        <w:pPr>
                          <w:pStyle w:val="TableParagraph"/>
                          <w:spacing w:line="203" w:lineRule="exact"/>
                          <w:ind w:right="220"/>
                          <w:jc w:val="right"/>
                          <w:rPr>
                            <w:sz w:val="18"/>
                          </w:rPr>
                        </w:pPr>
                        <w:r>
                          <w:rPr>
                            <w:sz w:val="18"/>
                          </w:rPr>
                          <w:t>M</w:t>
                        </w:r>
                      </w:p>
                    </w:tc>
                    <w:tc>
                      <w:tcPr>
                        <w:tcW w:w="619" w:type="dxa"/>
                      </w:tcPr>
                      <w:p>
                        <w:pPr>
                          <w:pStyle w:val="TableParagraph"/>
                          <w:spacing w:line="203" w:lineRule="exact"/>
                          <w:ind w:right="220"/>
                          <w:jc w:val="right"/>
                          <w:rPr>
                            <w:sz w:val="18"/>
                          </w:rPr>
                        </w:pPr>
                        <w:r>
                          <w:rPr>
                            <w:sz w:val="18"/>
                          </w:rPr>
                          <w:t>M</w:t>
                        </w:r>
                      </w:p>
                    </w:tc>
                    <w:tc>
                      <w:tcPr>
                        <w:tcW w:w="618" w:type="dxa"/>
                      </w:tcPr>
                      <w:p>
                        <w:pPr/>
                      </w:p>
                    </w:tc>
                  </w:tr>
                </w:tbl>
                <w:p>
                  <w:pPr>
                    <w:pStyle w:val="BodyText"/>
                  </w:pPr>
                </w:p>
              </w:txbxContent>
            </v:textbox>
            <w10:wrap type="none"/>
          </v:shape>
        </w:pict>
      </w:r>
      <w:r>
        <w:rPr>
          <w:sz w:val="18"/>
        </w:rPr>
        <w:t>Results of the application of Corlett &amp; Bishop mapping.</w:t>
      </w:r>
    </w:p>
    <w:p>
      <w:pPr>
        <w:pStyle w:val="BodyText"/>
        <w:spacing w:before="7"/>
        <w:rPr>
          <w:sz w:val="13"/>
        </w:rPr>
      </w:pPr>
    </w:p>
    <w:p>
      <w:pPr>
        <w:spacing w:after="0"/>
        <w:rPr>
          <w:sz w:val="13"/>
        </w:rPr>
        <w:sectPr>
          <w:type w:val="continuous"/>
          <w:pgSz w:w="12240" w:h="15840"/>
          <w:pgMar w:top="1500" w:bottom="280" w:left="580" w:right="220"/>
        </w:sectPr>
      </w:pPr>
    </w:p>
    <w:p>
      <w:pPr>
        <w:pStyle w:val="BodyText"/>
        <w:spacing w:before="75"/>
        <w:ind w:left="270" w:firstLine="567"/>
        <w:jc w:val="both"/>
      </w:pPr>
      <w:r>
        <w:rPr/>
        <w:t>This first week we can see that the body parts that were affected were neck, shoulders, upper arm, lower back and feet. Even pain at the end of the day in neck, shoulder and upper arm are presented.</w:t>
      </w:r>
    </w:p>
    <w:p>
      <w:pPr>
        <w:pStyle w:val="BodyText"/>
        <w:spacing w:before="11"/>
        <w:rPr>
          <w:sz w:val="19"/>
        </w:rPr>
      </w:pPr>
    </w:p>
    <w:p>
      <w:pPr>
        <w:pStyle w:val="BodyText"/>
        <w:ind w:left="2654" w:right="34" w:hanging="2332"/>
      </w:pPr>
      <w:r>
        <w:rPr/>
        <w:pict>
          <v:shape style="position:absolute;margin-left:38.700001pt;margin-top:23.1966pt;width:251.35pt;height:230.4pt;mso-position-horizontal-relative:page;mso-position-vertical-relative:paragraph;z-index:16120" type="#_x0000_t202" filled="false" stroked="false">
            <v:textbox inset="0,0,0,0">
              <w:txbxContent>
                <w:tbl>
                  <w:tblPr>
                    <w:tblW w:w="0" w:type="auto"/>
                    <w:jc w:val="lef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637"/>
                    <w:gridCol w:w="618"/>
                    <w:gridCol w:w="636"/>
                    <w:gridCol w:w="638"/>
                    <w:gridCol w:w="619"/>
                    <w:gridCol w:w="619"/>
                    <w:gridCol w:w="619"/>
                    <w:gridCol w:w="618"/>
                  </w:tblGrid>
                  <w:tr>
                    <w:trPr>
                      <w:trHeight w:val="295" w:hRule="exact"/>
                    </w:trPr>
                    <w:tc>
                      <w:tcPr>
                        <w:tcW w:w="637" w:type="dxa"/>
                        <w:shd w:val="clear" w:color="auto" w:fill="91CF4F"/>
                      </w:tcPr>
                      <w:p>
                        <w:pPr/>
                      </w:p>
                    </w:tc>
                    <w:tc>
                      <w:tcPr>
                        <w:tcW w:w="618" w:type="dxa"/>
                        <w:shd w:val="clear" w:color="auto" w:fill="91CF4F"/>
                      </w:tcPr>
                      <w:p>
                        <w:pPr>
                          <w:pStyle w:val="TableParagraph"/>
                          <w:spacing w:line="206" w:lineRule="exact"/>
                          <w:ind w:left="62"/>
                          <w:rPr>
                            <w:b/>
                            <w:sz w:val="18"/>
                          </w:rPr>
                        </w:pPr>
                        <w:r>
                          <w:rPr>
                            <w:b/>
                            <w:sz w:val="18"/>
                          </w:rPr>
                          <w:t>M</w:t>
                        </w:r>
                      </w:p>
                    </w:tc>
                    <w:tc>
                      <w:tcPr>
                        <w:tcW w:w="636" w:type="dxa"/>
                        <w:shd w:val="clear" w:color="auto" w:fill="91CF4F"/>
                      </w:tcPr>
                      <w:p>
                        <w:pPr>
                          <w:pStyle w:val="TableParagraph"/>
                          <w:spacing w:line="206" w:lineRule="exact"/>
                          <w:ind w:left="62"/>
                          <w:rPr>
                            <w:b/>
                            <w:sz w:val="18"/>
                          </w:rPr>
                        </w:pPr>
                        <w:r>
                          <w:rPr>
                            <w:b/>
                            <w:sz w:val="18"/>
                          </w:rPr>
                          <w:t>T</w:t>
                        </w:r>
                      </w:p>
                    </w:tc>
                    <w:tc>
                      <w:tcPr>
                        <w:tcW w:w="638" w:type="dxa"/>
                        <w:shd w:val="clear" w:color="auto" w:fill="91CF4F"/>
                      </w:tcPr>
                      <w:p>
                        <w:pPr>
                          <w:pStyle w:val="TableParagraph"/>
                          <w:spacing w:line="206" w:lineRule="exact"/>
                          <w:ind w:left="63"/>
                          <w:rPr>
                            <w:b/>
                            <w:sz w:val="18"/>
                          </w:rPr>
                        </w:pPr>
                        <w:r>
                          <w:rPr>
                            <w:b/>
                            <w:sz w:val="18"/>
                          </w:rPr>
                          <w:t>W</w:t>
                        </w:r>
                      </w:p>
                    </w:tc>
                    <w:tc>
                      <w:tcPr>
                        <w:tcW w:w="619" w:type="dxa"/>
                        <w:shd w:val="clear" w:color="auto" w:fill="91CF4F"/>
                      </w:tcPr>
                      <w:p>
                        <w:pPr>
                          <w:pStyle w:val="TableParagraph"/>
                          <w:spacing w:line="206" w:lineRule="exact"/>
                          <w:ind w:left="63"/>
                          <w:rPr>
                            <w:b/>
                            <w:sz w:val="18"/>
                          </w:rPr>
                        </w:pPr>
                        <w:r>
                          <w:rPr>
                            <w:b/>
                            <w:sz w:val="18"/>
                          </w:rPr>
                          <w:t>T</w:t>
                        </w:r>
                      </w:p>
                    </w:tc>
                    <w:tc>
                      <w:tcPr>
                        <w:tcW w:w="619" w:type="dxa"/>
                        <w:shd w:val="clear" w:color="auto" w:fill="91CF4F"/>
                      </w:tcPr>
                      <w:p>
                        <w:pPr>
                          <w:pStyle w:val="TableParagraph"/>
                          <w:spacing w:line="206" w:lineRule="exact"/>
                          <w:ind w:left="62"/>
                          <w:rPr>
                            <w:b/>
                            <w:sz w:val="18"/>
                          </w:rPr>
                        </w:pPr>
                        <w:r>
                          <w:rPr>
                            <w:b/>
                            <w:sz w:val="18"/>
                          </w:rPr>
                          <w:t>F</w:t>
                        </w:r>
                      </w:p>
                    </w:tc>
                    <w:tc>
                      <w:tcPr>
                        <w:tcW w:w="619" w:type="dxa"/>
                        <w:shd w:val="clear" w:color="auto" w:fill="91CF4F"/>
                      </w:tcPr>
                      <w:p>
                        <w:pPr>
                          <w:pStyle w:val="TableParagraph"/>
                          <w:spacing w:line="206" w:lineRule="exact"/>
                          <w:ind w:left="62"/>
                          <w:rPr>
                            <w:b/>
                            <w:sz w:val="18"/>
                          </w:rPr>
                        </w:pPr>
                        <w:r>
                          <w:rPr>
                            <w:b/>
                            <w:sz w:val="18"/>
                          </w:rPr>
                          <w:t>S</w:t>
                        </w:r>
                      </w:p>
                    </w:tc>
                    <w:tc>
                      <w:tcPr>
                        <w:tcW w:w="618" w:type="dxa"/>
                        <w:shd w:val="clear" w:color="auto" w:fill="91CF4F"/>
                      </w:tcPr>
                      <w:p>
                        <w:pPr>
                          <w:pStyle w:val="TableParagraph"/>
                          <w:spacing w:line="206" w:lineRule="exact"/>
                          <w:ind w:left="62"/>
                          <w:rPr>
                            <w:b/>
                            <w:sz w:val="18"/>
                          </w:rPr>
                        </w:pPr>
                        <w:r>
                          <w:rPr>
                            <w:b/>
                            <w:sz w:val="18"/>
                          </w:rPr>
                          <w:t>S</w:t>
                        </w:r>
                      </w:p>
                    </w:tc>
                  </w:tr>
                  <w:tr>
                    <w:trPr>
                      <w:trHeight w:val="294" w:hRule="exact"/>
                    </w:trPr>
                    <w:tc>
                      <w:tcPr>
                        <w:tcW w:w="637" w:type="dxa"/>
                        <w:shd w:val="clear" w:color="auto" w:fill="91CF4F"/>
                      </w:tcPr>
                      <w:p>
                        <w:pPr>
                          <w:pStyle w:val="TableParagraph"/>
                          <w:spacing w:line="206" w:lineRule="exact"/>
                          <w:ind w:left="245"/>
                          <w:rPr>
                            <w:b/>
                            <w:sz w:val="18"/>
                          </w:rPr>
                        </w:pPr>
                        <w:r>
                          <w:rPr>
                            <w:b/>
                            <w:sz w:val="18"/>
                          </w:rPr>
                          <w:t>A</w:t>
                        </w:r>
                      </w:p>
                    </w:tc>
                    <w:tc>
                      <w:tcPr>
                        <w:tcW w:w="618" w:type="dxa"/>
                      </w:tcPr>
                      <w:p>
                        <w:pPr/>
                      </w:p>
                    </w:tc>
                    <w:tc>
                      <w:tcPr>
                        <w:tcW w:w="636" w:type="dxa"/>
                      </w:tcPr>
                      <w:p>
                        <w:pPr/>
                      </w:p>
                    </w:tc>
                    <w:tc>
                      <w:tcPr>
                        <w:tcW w:w="638" w:type="dxa"/>
                      </w:tcPr>
                      <w:p>
                        <w:pPr/>
                      </w:p>
                    </w:tc>
                    <w:tc>
                      <w:tcPr>
                        <w:tcW w:w="619" w:type="dxa"/>
                      </w:tcPr>
                      <w:p>
                        <w:pPr/>
                      </w:p>
                    </w:tc>
                    <w:tc>
                      <w:tcPr>
                        <w:tcW w:w="619" w:type="dxa"/>
                      </w:tcPr>
                      <w:p>
                        <w:pPr>
                          <w:pStyle w:val="TableParagraph"/>
                          <w:spacing w:line="202" w:lineRule="exact"/>
                          <w:ind w:right="220"/>
                          <w:jc w:val="right"/>
                          <w:rPr>
                            <w:sz w:val="18"/>
                          </w:rPr>
                        </w:pPr>
                        <w:r>
                          <w:rPr>
                            <w:sz w:val="18"/>
                          </w:rPr>
                          <w:t>M</w:t>
                        </w:r>
                      </w:p>
                    </w:tc>
                    <w:tc>
                      <w:tcPr>
                        <w:tcW w:w="619" w:type="dxa"/>
                      </w:tcPr>
                      <w:p>
                        <w:pPr/>
                      </w:p>
                    </w:tc>
                    <w:tc>
                      <w:tcPr>
                        <w:tcW w:w="618" w:type="dxa"/>
                      </w:tcPr>
                      <w:p>
                        <w:pPr/>
                      </w:p>
                    </w:tc>
                  </w:tr>
                  <w:tr>
                    <w:trPr>
                      <w:trHeight w:val="295" w:hRule="exact"/>
                    </w:trPr>
                    <w:tc>
                      <w:tcPr>
                        <w:tcW w:w="637" w:type="dxa"/>
                        <w:shd w:val="clear" w:color="auto" w:fill="91CF4F"/>
                      </w:tcPr>
                      <w:p>
                        <w:pPr>
                          <w:pStyle w:val="TableParagraph"/>
                          <w:ind w:left="250"/>
                          <w:rPr>
                            <w:b/>
                            <w:sz w:val="18"/>
                          </w:rPr>
                        </w:pPr>
                        <w:r>
                          <w:rPr>
                            <w:b/>
                            <w:sz w:val="18"/>
                          </w:rPr>
                          <w:t>B</w:t>
                        </w:r>
                      </w:p>
                    </w:tc>
                    <w:tc>
                      <w:tcPr>
                        <w:tcW w:w="618" w:type="dxa"/>
                      </w:tcPr>
                      <w:p>
                        <w:pPr>
                          <w:pStyle w:val="TableParagraph"/>
                          <w:spacing w:line="203" w:lineRule="exact"/>
                          <w:ind w:right="220"/>
                          <w:jc w:val="right"/>
                          <w:rPr>
                            <w:sz w:val="18"/>
                          </w:rPr>
                        </w:pPr>
                        <w:r>
                          <w:rPr>
                            <w:sz w:val="18"/>
                          </w:rPr>
                          <w:t>M</w:t>
                        </w:r>
                      </w:p>
                    </w:tc>
                    <w:tc>
                      <w:tcPr>
                        <w:tcW w:w="636" w:type="dxa"/>
                      </w:tcPr>
                      <w:p>
                        <w:pPr>
                          <w:pStyle w:val="TableParagraph"/>
                          <w:spacing w:line="203" w:lineRule="exact"/>
                          <w:ind w:right="243"/>
                          <w:jc w:val="right"/>
                          <w:rPr>
                            <w:sz w:val="18"/>
                          </w:rPr>
                        </w:pPr>
                        <w:r>
                          <w:rPr>
                            <w:sz w:val="18"/>
                          </w:rPr>
                          <w:t>D</w:t>
                        </w:r>
                      </w:p>
                    </w:tc>
                    <w:tc>
                      <w:tcPr>
                        <w:tcW w:w="638" w:type="dxa"/>
                      </w:tcPr>
                      <w:p>
                        <w:pPr>
                          <w:pStyle w:val="TableParagraph"/>
                          <w:spacing w:line="203" w:lineRule="exact"/>
                          <w:ind w:right="229"/>
                          <w:jc w:val="right"/>
                          <w:rPr>
                            <w:sz w:val="18"/>
                          </w:rPr>
                        </w:pPr>
                        <w:r>
                          <w:rPr>
                            <w:sz w:val="18"/>
                          </w:rPr>
                          <w:t>M</w:t>
                        </w:r>
                      </w:p>
                    </w:tc>
                    <w:tc>
                      <w:tcPr>
                        <w:tcW w:w="619" w:type="dxa"/>
                      </w:tcPr>
                      <w:p>
                        <w:pPr>
                          <w:pStyle w:val="TableParagraph"/>
                          <w:spacing w:line="203" w:lineRule="exact"/>
                          <w:ind w:right="219"/>
                          <w:jc w:val="right"/>
                          <w:rPr>
                            <w:sz w:val="18"/>
                          </w:rPr>
                        </w:pPr>
                        <w:r>
                          <w:rPr>
                            <w:sz w:val="18"/>
                          </w:rPr>
                          <w:t>M</w:t>
                        </w:r>
                      </w:p>
                    </w:tc>
                    <w:tc>
                      <w:tcPr>
                        <w:tcW w:w="619" w:type="dxa"/>
                      </w:tcPr>
                      <w:p>
                        <w:pPr>
                          <w:pStyle w:val="TableParagraph"/>
                          <w:spacing w:line="203" w:lineRule="exact"/>
                          <w:ind w:right="236"/>
                          <w:jc w:val="right"/>
                          <w:rPr>
                            <w:sz w:val="18"/>
                          </w:rPr>
                        </w:pPr>
                        <w:r>
                          <w:rPr>
                            <w:sz w:val="18"/>
                          </w:rPr>
                          <w:t>D</w:t>
                        </w:r>
                      </w:p>
                    </w:tc>
                    <w:tc>
                      <w:tcPr>
                        <w:tcW w:w="619" w:type="dxa"/>
                      </w:tcPr>
                      <w:p>
                        <w:pPr>
                          <w:pStyle w:val="TableParagraph"/>
                          <w:spacing w:line="203" w:lineRule="exact"/>
                          <w:ind w:right="220"/>
                          <w:jc w:val="right"/>
                          <w:rPr>
                            <w:sz w:val="18"/>
                          </w:rPr>
                        </w:pPr>
                        <w:r>
                          <w:rPr>
                            <w:sz w:val="18"/>
                          </w:rPr>
                          <w:t>M</w:t>
                        </w:r>
                      </w:p>
                    </w:tc>
                    <w:tc>
                      <w:tcPr>
                        <w:tcW w:w="618" w:type="dxa"/>
                      </w:tcPr>
                      <w:p>
                        <w:pPr>
                          <w:pStyle w:val="TableParagraph"/>
                          <w:spacing w:line="203" w:lineRule="exact"/>
                          <w:ind w:right="220"/>
                          <w:jc w:val="right"/>
                          <w:rPr>
                            <w:sz w:val="18"/>
                          </w:rPr>
                        </w:pPr>
                        <w:r>
                          <w:rPr>
                            <w:sz w:val="18"/>
                          </w:rPr>
                          <w:t>M</w:t>
                        </w:r>
                      </w:p>
                    </w:tc>
                  </w:tr>
                  <w:tr>
                    <w:trPr>
                      <w:trHeight w:val="319" w:hRule="exact"/>
                    </w:trPr>
                    <w:tc>
                      <w:tcPr>
                        <w:tcW w:w="637" w:type="dxa"/>
                        <w:shd w:val="clear" w:color="auto" w:fill="91CF4F"/>
                      </w:tcPr>
                      <w:p>
                        <w:pPr>
                          <w:pStyle w:val="TableParagraph"/>
                          <w:ind w:left="245"/>
                          <w:rPr>
                            <w:b/>
                            <w:sz w:val="18"/>
                          </w:rPr>
                        </w:pPr>
                        <w:r>
                          <w:rPr>
                            <w:b/>
                            <w:sz w:val="18"/>
                          </w:rPr>
                          <w:t>C</w:t>
                        </w:r>
                      </w:p>
                    </w:tc>
                    <w:tc>
                      <w:tcPr>
                        <w:tcW w:w="618" w:type="dxa"/>
                      </w:tcPr>
                      <w:p>
                        <w:pPr>
                          <w:pStyle w:val="TableParagraph"/>
                          <w:spacing w:line="203" w:lineRule="exact"/>
                          <w:ind w:right="220"/>
                          <w:jc w:val="right"/>
                          <w:rPr>
                            <w:sz w:val="18"/>
                          </w:rPr>
                        </w:pPr>
                        <w:r>
                          <w:rPr>
                            <w:sz w:val="18"/>
                          </w:rPr>
                          <w:t>M</w:t>
                        </w:r>
                      </w:p>
                    </w:tc>
                    <w:tc>
                      <w:tcPr>
                        <w:tcW w:w="636" w:type="dxa"/>
                      </w:tcPr>
                      <w:p>
                        <w:pPr>
                          <w:pStyle w:val="TableParagraph"/>
                          <w:spacing w:line="203" w:lineRule="exact"/>
                          <w:ind w:right="229"/>
                          <w:jc w:val="right"/>
                          <w:rPr>
                            <w:sz w:val="18"/>
                          </w:rPr>
                        </w:pPr>
                        <w:r>
                          <w:rPr>
                            <w:sz w:val="18"/>
                          </w:rPr>
                          <w:t>M</w:t>
                        </w:r>
                      </w:p>
                    </w:tc>
                    <w:tc>
                      <w:tcPr>
                        <w:tcW w:w="638" w:type="dxa"/>
                      </w:tcPr>
                      <w:p>
                        <w:pPr>
                          <w:pStyle w:val="TableParagraph"/>
                          <w:spacing w:line="203" w:lineRule="exact"/>
                          <w:ind w:right="229"/>
                          <w:jc w:val="right"/>
                          <w:rPr>
                            <w:sz w:val="18"/>
                          </w:rPr>
                        </w:pPr>
                        <w:r>
                          <w:rPr>
                            <w:sz w:val="18"/>
                          </w:rPr>
                          <w:t>M</w:t>
                        </w:r>
                      </w:p>
                    </w:tc>
                    <w:tc>
                      <w:tcPr>
                        <w:tcW w:w="619" w:type="dxa"/>
                      </w:tcPr>
                      <w:p>
                        <w:pPr>
                          <w:pStyle w:val="TableParagraph"/>
                          <w:spacing w:line="203" w:lineRule="exact"/>
                          <w:ind w:right="235"/>
                          <w:jc w:val="right"/>
                          <w:rPr>
                            <w:sz w:val="18"/>
                          </w:rPr>
                        </w:pPr>
                        <w:r>
                          <w:rPr>
                            <w:sz w:val="18"/>
                          </w:rPr>
                          <w:t>D</w:t>
                        </w:r>
                      </w:p>
                    </w:tc>
                    <w:tc>
                      <w:tcPr>
                        <w:tcW w:w="619" w:type="dxa"/>
                      </w:tcPr>
                      <w:p>
                        <w:pPr>
                          <w:pStyle w:val="TableParagraph"/>
                          <w:spacing w:line="203" w:lineRule="exact"/>
                          <w:ind w:right="220"/>
                          <w:jc w:val="right"/>
                          <w:rPr>
                            <w:sz w:val="18"/>
                          </w:rPr>
                        </w:pPr>
                        <w:r>
                          <w:rPr>
                            <w:sz w:val="18"/>
                          </w:rPr>
                          <w:t>M</w:t>
                        </w:r>
                      </w:p>
                    </w:tc>
                    <w:tc>
                      <w:tcPr>
                        <w:tcW w:w="619" w:type="dxa"/>
                      </w:tcPr>
                      <w:p>
                        <w:pPr>
                          <w:pStyle w:val="TableParagraph"/>
                          <w:spacing w:line="203" w:lineRule="exact"/>
                          <w:ind w:right="220"/>
                          <w:jc w:val="right"/>
                          <w:rPr>
                            <w:sz w:val="18"/>
                          </w:rPr>
                        </w:pPr>
                        <w:r>
                          <w:rPr>
                            <w:sz w:val="18"/>
                          </w:rPr>
                          <w:t>M</w:t>
                        </w:r>
                      </w:p>
                    </w:tc>
                    <w:tc>
                      <w:tcPr>
                        <w:tcW w:w="618" w:type="dxa"/>
                      </w:tcPr>
                      <w:p>
                        <w:pPr>
                          <w:pStyle w:val="TableParagraph"/>
                          <w:spacing w:line="203" w:lineRule="exact"/>
                          <w:ind w:right="220"/>
                          <w:jc w:val="right"/>
                          <w:rPr>
                            <w:sz w:val="18"/>
                          </w:rPr>
                        </w:pPr>
                        <w:r>
                          <w:rPr>
                            <w:sz w:val="18"/>
                          </w:rPr>
                          <w:t>M</w:t>
                        </w:r>
                      </w:p>
                    </w:tc>
                  </w:tr>
                  <w:tr>
                    <w:trPr>
                      <w:trHeight w:val="295" w:hRule="exact"/>
                    </w:trPr>
                    <w:tc>
                      <w:tcPr>
                        <w:tcW w:w="637" w:type="dxa"/>
                        <w:shd w:val="clear" w:color="auto" w:fill="91CF4F"/>
                      </w:tcPr>
                      <w:p>
                        <w:pPr>
                          <w:pStyle w:val="TableParagraph"/>
                          <w:ind w:left="245"/>
                          <w:rPr>
                            <w:b/>
                            <w:sz w:val="18"/>
                          </w:rPr>
                        </w:pPr>
                        <w:r>
                          <w:rPr>
                            <w:b/>
                            <w:sz w:val="18"/>
                          </w:rPr>
                          <w:t>D</w:t>
                        </w:r>
                      </w:p>
                    </w:tc>
                    <w:tc>
                      <w:tcPr>
                        <w:tcW w:w="618" w:type="dxa"/>
                      </w:tcPr>
                      <w:p>
                        <w:pPr>
                          <w:pStyle w:val="TableParagraph"/>
                          <w:spacing w:line="203" w:lineRule="exact"/>
                          <w:ind w:right="220"/>
                          <w:jc w:val="right"/>
                          <w:rPr>
                            <w:sz w:val="18"/>
                          </w:rPr>
                        </w:pPr>
                        <w:r>
                          <w:rPr>
                            <w:sz w:val="18"/>
                          </w:rPr>
                          <w:t>M</w:t>
                        </w:r>
                      </w:p>
                    </w:tc>
                    <w:tc>
                      <w:tcPr>
                        <w:tcW w:w="636" w:type="dxa"/>
                      </w:tcPr>
                      <w:p>
                        <w:pPr>
                          <w:pStyle w:val="TableParagraph"/>
                          <w:spacing w:line="203" w:lineRule="exact"/>
                          <w:ind w:right="229"/>
                          <w:jc w:val="right"/>
                          <w:rPr>
                            <w:sz w:val="18"/>
                          </w:rPr>
                        </w:pPr>
                        <w:r>
                          <w:rPr>
                            <w:sz w:val="18"/>
                          </w:rPr>
                          <w:t>M</w:t>
                        </w:r>
                      </w:p>
                    </w:tc>
                    <w:tc>
                      <w:tcPr>
                        <w:tcW w:w="638" w:type="dxa"/>
                      </w:tcPr>
                      <w:p>
                        <w:pPr>
                          <w:pStyle w:val="TableParagraph"/>
                          <w:spacing w:line="203" w:lineRule="exact"/>
                          <w:ind w:right="244"/>
                          <w:jc w:val="right"/>
                          <w:rPr>
                            <w:sz w:val="18"/>
                          </w:rPr>
                        </w:pPr>
                        <w:r>
                          <w:rPr>
                            <w:sz w:val="18"/>
                          </w:rPr>
                          <w:t>D</w:t>
                        </w:r>
                      </w:p>
                    </w:tc>
                    <w:tc>
                      <w:tcPr>
                        <w:tcW w:w="619" w:type="dxa"/>
                      </w:tcPr>
                      <w:p>
                        <w:pPr>
                          <w:pStyle w:val="TableParagraph"/>
                          <w:spacing w:line="203" w:lineRule="exact"/>
                          <w:ind w:right="219"/>
                          <w:jc w:val="right"/>
                          <w:rPr>
                            <w:sz w:val="18"/>
                          </w:rPr>
                        </w:pPr>
                        <w:r>
                          <w:rPr>
                            <w:sz w:val="18"/>
                          </w:rPr>
                          <w:t>M</w:t>
                        </w:r>
                      </w:p>
                    </w:tc>
                    <w:tc>
                      <w:tcPr>
                        <w:tcW w:w="619" w:type="dxa"/>
                      </w:tcPr>
                      <w:p>
                        <w:pPr>
                          <w:pStyle w:val="TableParagraph"/>
                          <w:spacing w:line="203" w:lineRule="exact"/>
                          <w:ind w:right="236"/>
                          <w:jc w:val="right"/>
                          <w:rPr>
                            <w:sz w:val="18"/>
                          </w:rPr>
                        </w:pPr>
                        <w:r>
                          <w:rPr>
                            <w:sz w:val="18"/>
                          </w:rPr>
                          <w:t>D</w:t>
                        </w:r>
                      </w:p>
                    </w:tc>
                    <w:tc>
                      <w:tcPr>
                        <w:tcW w:w="619" w:type="dxa"/>
                      </w:tcPr>
                      <w:p>
                        <w:pPr/>
                      </w:p>
                    </w:tc>
                    <w:tc>
                      <w:tcPr>
                        <w:tcW w:w="618" w:type="dxa"/>
                      </w:tcPr>
                      <w:p>
                        <w:pPr>
                          <w:pStyle w:val="TableParagraph"/>
                          <w:spacing w:line="203" w:lineRule="exact"/>
                          <w:ind w:right="220"/>
                          <w:jc w:val="right"/>
                          <w:rPr>
                            <w:sz w:val="18"/>
                          </w:rPr>
                        </w:pPr>
                        <w:r>
                          <w:rPr>
                            <w:sz w:val="18"/>
                          </w:rPr>
                          <w:t>M</w:t>
                        </w:r>
                      </w:p>
                    </w:tc>
                  </w:tr>
                  <w:tr>
                    <w:trPr>
                      <w:trHeight w:val="295" w:hRule="exact"/>
                    </w:trPr>
                    <w:tc>
                      <w:tcPr>
                        <w:tcW w:w="637" w:type="dxa"/>
                        <w:shd w:val="clear" w:color="auto" w:fill="91CF4F"/>
                      </w:tcPr>
                      <w:p>
                        <w:pPr>
                          <w:pStyle w:val="TableParagraph"/>
                          <w:spacing w:line="206" w:lineRule="exact"/>
                          <w:ind w:left="250"/>
                          <w:rPr>
                            <w:b/>
                            <w:sz w:val="18"/>
                          </w:rPr>
                        </w:pPr>
                        <w:r>
                          <w:rPr>
                            <w:b/>
                            <w:sz w:val="18"/>
                          </w:rPr>
                          <w:t>E</w:t>
                        </w:r>
                      </w:p>
                    </w:tc>
                    <w:tc>
                      <w:tcPr>
                        <w:tcW w:w="618" w:type="dxa"/>
                      </w:tcPr>
                      <w:p>
                        <w:pPr>
                          <w:pStyle w:val="TableParagraph"/>
                          <w:spacing w:line="202" w:lineRule="exact"/>
                          <w:ind w:right="220"/>
                          <w:jc w:val="right"/>
                          <w:rPr>
                            <w:sz w:val="18"/>
                          </w:rPr>
                        </w:pPr>
                        <w:r>
                          <w:rPr>
                            <w:sz w:val="18"/>
                          </w:rPr>
                          <w:t>M</w:t>
                        </w:r>
                      </w:p>
                    </w:tc>
                    <w:tc>
                      <w:tcPr>
                        <w:tcW w:w="636" w:type="dxa"/>
                      </w:tcPr>
                      <w:p>
                        <w:pPr/>
                      </w:p>
                    </w:tc>
                    <w:tc>
                      <w:tcPr>
                        <w:tcW w:w="638" w:type="dxa"/>
                      </w:tcPr>
                      <w:p>
                        <w:pPr/>
                      </w:p>
                    </w:tc>
                    <w:tc>
                      <w:tcPr>
                        <w:tcW w:w="619" w:type="dxa"/>
                      </w:tcPr>
                      <w:p>
                        <w:pPr/>
                      </w:p>
                    </w:tc>
                    <w:tc>
                      <w:tcPr>
                        <w:tcW w:w="619" w:type="dxa"/>
                      </w:tcPr>
                      <w:p>
                        <w:pPr>
                          <w:pStyle w:val="TableParagraph"/>
                          <w:spacing w:line="202" w:lineRule="exact"/>
                          <w:ind w:right="220"/>
                          <w:jc w:val="right"/>
                          <w:rPr>
                            <w:sz w:val="18"/>
                          </w:rPr>
                        </w:pPr>
                        <w:r>
                          <w:rPr>
                            <w:sz w:val="18"/>
                          </w:rPr>
                          <w:t>M</w:t>
                        </w:r>
                      </w:p>
                    </w:tc>
                    <w:tc>
                      <w:tcPr>
                        <w:tcW w:w="619" w:type="dxa"/>
                      </w:tcPr>
                      <w:p>
                        <w:pPr/>
                      </w:p>
                    </w:tc>
                    <w:tc>
                      <w:tcPr>
                        <w:tcW w:w="618" w:type="dxa"/>
                      </w:tcPr>
                      <w:p>
                        <w:pPr/>
                      </w:p>
                    </w:tc>
                  </w:tr>
                  <w:tr>
                    <w:trPr>
                      <w:trHeight w:val="295" w:hRule="exact"/>
                    </w:trPr>
                    <w:tc>
                      <w:tcPr>
                        <w:tcW w:w="637" w:type="dxa"/>
                        <w:shd w:val="clear" w:color="auto" w:fill="91CF4F"/>
                      </w:tcPr>
                      <w:p>
                        <w:pPr>
                          <w:pStyle w:val="TableParagraph"/>
                          <w:spacing w:line="206" w:lineRule="exact"/>
                          <w:ind w:left="255"/>
                          <w:rPr>
                            <w:b/>
                            <w:sz w:val="18"/>
                          </w:rPr>
                        </w:pPr>
                        <w:r>
                          <w:rPr>
                            <w:b/>
                            <w:sz w:val="18"/>
                          </w:rPr>
                          <w:t>F</w:t>
                        </w:r>
                      </w:p>
                    </w:tc>
                    <w:tc>
                      <w:tcPr>
                        <w:tcW w:w="618" w:type="dxa"/>
                      </w:tcPr>
                      <w:p>
                        <w:pPr/>
                      </w:p>
                    </w:tc>
                    <w:tc>
                      <w:tcPr>
                        <w:tcW w:w="636" w:type="dxa"/>
                      </w:tcPr>
                      <w:p>
                        <w:pPr>
                          <w:pStyle w:val="TableParagraph"/>
                          <w:spacing w:line="202" w:lineRule="exact"/>
                          <w:ind w:right="229"/>
                          <w:jc w:val="right"/>
                          <w:rPr>
                            <w:sz w:val="18"/>
                          </w:rPr>
                        </w:pPr>
                        <w:r>
                          <w:rPr>
                            <w:sz w:val="18"/>
                          </w:rPr>
                          <w:t>M</w:t>
                        </w:r>
                      </w:p>
                    </w:tc>
                    <w:tc>
                      <w:tcPr>
                        <w:tcW w:w="638" w:type="dxa"/>
                      </w:tcPr>
                      <w:p>
                        <w:pPr/>
                      </w:p>
                    </w:tc>
                    <w:tc>
                      <w:tcPr>
                        <w:tcW w:w="619" w:type="dxa"/>
                      </w:tcPr>
                      <w:p>
                        <w:pPr>
                          <w:pStyle w:val="TableParagraph"/>
                          <w:spacing w:line="202" w:lineRule="exact"/>
                          <w:ind w:right="219"/>
                          <w:jc w:val="right"/>
                          <w:rPr>
                            <w:sz w:val="18"/>
                          </w:rPr>
                        </w:pPr>
                        <w:r>
                          <w:rPr>
                            <w:sz w:val="18"/>
                          </w:rPr>
                          <w:t>M</w:t>
                        </w:r>
                      </w:p>
                    </w:tc>
                    <w:tc>
                      <w:tcPr>
                        <w:tcW w:w="619" w:type="dxa"/>
                      </w:tcPr>
                      <w:p>
                        <w:pPr/>
                      </w:p>
                    </w:tc>
                    <w:tc>
                      <w:tcPr>
                        <w:tcW w:w="619" w:type="dxa"/>
                      </w:tcPr>
                      <w:p>
                        <w:pPr>
                          <w:pStyle w:val="TableParagraph"/>
                          <w:spacing w:line="202" w:lineRule="exact"/>
                          <w:ind w:right="220"/>
                          <w:jc w:val="right"/>
                          <w:rPr>
                            <w:sz w:val="18"/>
                          </w:rPr>
                        </w:pPr>
                        <w:r>
                          <w:rPr>
                            <w:sz w:val="18"/>
                          </w:rPr>
                          <w:t>M</w:t>
                        </w:r>
                      </w:p>
                    </w:tc>
                    <w:tc>
                      <w:tcPr>
                        <w:tcW w:w="618" w:type="dxa"/>
                      </w:tcPr>
                      <w:p>
                        <w:pPr/>
                      </w:p>
                    </w:tc>
                  </w:tr>
                  <w:tr>
                    <w:trPr>
                      <w:trHeight w:val="294" w:hRule="exact"/>
                    </w:trPr>
                    <w:tc>
                      <w:tcPr>
                        <w:tcW w:w="637" w:type="dxa"/>
                        <w:shd w:val="clear" w:color="auto" w:fill="91CF4F"/>
                      </w:tcPr>
                      <w:p>
                        <w:pPr>
                          <w:pStyle w:val="TableParagraph"/>
                          <w:spacing w:line="206" w:lineRule="exact"/>
                          <w:ind w:left="240"/>
                          <w:rPr>
                            <w:b/>
                            <w:sz w:val="18"/>
                          </w:rPr>
                        </w:pPr>
                        <w:r>
                          <w:rPr>
                            <w:b/>
                            <w:sz w:val="18"/>
                          </w:rPr>
                          <w:t>G</w:t>
                        </w:r>
                      </w:p>
                    </w:tc>
                    <w:tc>
                      <w:tcPr>
                        <w:tcW w:w="618" w:type="dxa"/>
                      </w:tcPr>
                      <w:p>
                        <w:pPr/>
                      </w:p>
                    </w:tc>
                    <w:tc>
                      <w:tcPr>
                        <w:tcW w:w="636" w:type="dxa"/>
                      </w:tcPr>
                      <w:p>
                        <w:pPr/>
                      </w:p>
                    </w:tc>
                    <w:tc>
                      <w:tcPr>
                        <w:tcW w:w="638" w:type="dxa"/>
                      </w:tcPr>
                      <w:p>
                        <w:pPr/>
                      </w:p>
                    </w:tc>
                    <w:tc>
                      <w:tcPr>
                        <w:tcW w:w="619" w:type="dxa"/>
                      </w:tcPr>
                      <w:p>
                        <w:pPr/>
                      </w:p>
                    </w:tc>
                    <w:tc>
                      <w:tcPr>
                        <w:tcW w:w="619" w:type="dxa"/>
                      </w:tcPr>
                      <w:p>
                        <w:pPr/>
                      </w:p>
                    </w:tc>
                    <w:tc>
                      <w:tcPr>
                        <w:tcW w:w="619" w:type="dxa"/>
                      </w:tcPr>
                      <w:p>
                        <w:pPr/>
                      </w:p>
                    </w:tc>
                    <w:tc>
                      <w:tcPr>
                        <w:tcW w:w="618" w:type="dxa"/>
                      </w:tcPr>
                      <w:p>
                        <w:pPr/>
                      </w:p>
                    </w:tc>
                  </w:tr>
                  <w:tr>
                    <w:trPr>
                      <w:trHeight w:val="295" w:hRule="exact"/>
                    </w:trPr>
                    <w:tc>
                      <w:tcPr>
                        <w:tcW w:w="637" w:type="dxa"/>
                        <w:shd w:val="clear" w:color="auto" w:fill="91CF4F"/>
                      </w:tcPr>
                      <w:p>
                        <w:pPr>
                          <w:pStyle w:val="TableParagraph"/>
                          <w:ind w:left="240"/>
                          <w:rPr>
                            <w:b/>
                            <w:sz w:val="18"/>
                          </w:rPr>
                        </w:pPr>
                        <w:r>
                          <w:rPr>
                            <w:b/>
                            <w:sz w:val="18"/>
                          </w:rPr>
                          <w:t>H</w:t>
                        </w:r>
                      </w:p>
                    </w:tc>
                    <w:tc>
                      <w:tcPr>
                        <w:tcW w:w="618" w:type="dxa"/>
                      </w:tcPr>
                      <w:p>
                        <w:pPr>
                          <w:pStyle w:val="TableParagraph"/>
                          <w:spacing w:line="203" w:lineRule="exact"/>
                          <w:ind w:right="220"/>
                          <w:jc w:val="right"/>
                          <w:rPr>
                            <w:sz w:val="18"/>
                          </w:rPr>
                        </w:pPr>
                        <w:r>
                          <w:rPr>
                            <w:sz w:val="18"/>
                          </w:rPr>
                          <w:t>M</w:t>
                        </w:r>
                      </w:p>
                    </w:tc>
                    <w:tc>
                      <w:tcPr>
                        <w:tcW w:w="636" w:type="dxa"/>
                      </w:tcPr>
                      <w:p>
                        <w:pPr/>
                      </w:p>
                    </w:tc>
                    <w:tc>
                      <w:tcPr>
                        <w:tcW w:w="638" w:type="dxa"/>
                      </w:tcPr>
                      <w:p>
                        <w:pPr/>
                      </w:p>
                    </w:tc>
                    <w:tc>
                      <w:tcPr>
                        <w:tcW w:w="619" w:type="dxa"/>
                      </w:tcPr>
                      <w:p>
                        <w:pPr/>
                      </w:p>
                    </w:tc>
                    <w:tc>
                      <w:tcPr>
                        <w:tcW w:w="619" w:type="dxa"/>
                      </w:tcPr>
                      <w:p>
                        <w:pPr/>
                      </w:p>
                    </w:tc>
                    <w:tc>
                      <w:tcPr>
                        <w:tcW w:w="619" w:type="dxa"/>
                      </w:tcPr>
                      <w:p>
                        <w:pPr/>
                      </w:p>
                    </w:tc>
                    <w:tc>
                      <w:tcPr>
                        <w:tcW w:w="618" w:type="dxa"/>
                      </w:tcPr>
                      <w:p>
                        <w:pPr/>
                      </w:p>
                    </w:tc>
                  </w:tr>
                  <w:tr>
                    <w:trPr>
                      <w:trHeight w:val="319" w:hRule="exact"/>
                    </w:trPr>
                    <w:tc>
                      <w:tcPr>
                        <w:tcW w:w="637" w:type="dxa"/>
                        <w:shd w:val="clear" w:color="auto" w:fill="91CF4F"/>
                      </w:tcPr>
                      <w:p>
                        <w:pPr>
                          <w:pStyle w:val="TableParagraph"/>
                          <w:ind w:left="275"/>
                          <w:rPr>
                            <w:b/>
                            <w:sz w:val="18"/>
                          </w:rPr>
                        </w:pPr>
                        <w:r>
                          <w:rPr>
                            <w:b/>
                            <w:sz w:val="18"/>
                          </w:rPr>
                          <w:t>I</w:t>
                        </w:r>
                      </w:p>
                    </w:tc>
                    <w:tc>
                      <w:tcPr>
                        <w:tcW w:w="618" w:type="dxa"/>
                      </w:tcPr>
                      <w:p>
                        <w:pPr/>
                      </w:p>
                    </w:tc>
                    <w:tc>
                      <w:tcPr>
                        <w:tcW w:w="636" w:type="dxa"/>
                      </w:tcPr>
                      <w:p>
                        <w:pPr>
                          <w:pStyle w:val="TableParagraph"/>
                          <w:spacing w:line="203" w:lineRule="exact"/>
                          <w:ind w:right="229"/>
                          <w:jc w:val="right"/>
                          <w:rPr>
                            <w:sz w:val="18"/>
                          </w:rPr>
                        </w:pPr>
                        <w:r>
                          <w:rPr>
                            <w:sz w:val="18"/>
                          </w:rPr>
                          <w:t>M</w:t>
                        </w:r>
                      </w:p>
                    </w:tc>
                    <w:tc>
                      <w:tcPr>
                        <w:tcW w:w="638" w:type="dxa"/>
                      </w:tcPr>
                      <w:p>
                        <w:pPr>
                          <w:pStyle w:val="TableParagraph"/>
                          <w:spacing w:line="203" w:lineRule="exact"/>
                          <w:ind w:right="229"/>
                          <w:jc w:val="right"/>
                          <w:rPr>
                            <w:sz w:val="18"/>
                          </w:rPr>
                        </w:pPr>
                        <w:r>
                          <w:rPr>
                            <w:sz w:val="18"/>
                          </w:rPr>
                          <w:t>M</w:t>
                        </w:r>
                      </w:p>
                    </w:tc>
                    <w:tc>
                      <w:tcPr>
                        <w:tcW w:w="619" w:type="dxa"/>
                      </w:tcPr>
                      <w:p>
                        <w:pPr>
                          <w:pStyle w:val="TableParagraph"/>
                          <w:spacing w:line="203" w:lineRule="exact"/>
                          <w:ind w:right="219"/>
                          <w:jc w:val="right"/>
                          <w:rPr>
                            <w:sz w:val="18"/>
                          </w:rPr>
                        </w:pPr>
                        <w:r>
                          <w:rPr>
                            <w:sz w:val="18"/>
                          </w:rPr>
                          <w:t>M</w:t>
                        </w:r>
                      </w:p>
                    </w:tc>
                    <w:tc>
                      <w:tcPr>
                        <w:tcW w:w="619" w:type="dxa"/>
                      </w:tcPr>
                      <w:p>
                        <w:pPr>
                          <w:pStyle w:val="TableParagraph"/>
                          <w:spacing w:line="203" w:lineRule="exact"/>
                          <w:ind w:right="220"/>
                          <w:jc w:val="right"/>
                          <w:rPr>
                            <w:sz w:val="18"/>
                          </w:rPr>
                        </w:pPr>
                        <w:r>
                          <w:rPr>
                            <w:sz w:val="18"/>
                          </w:rPr>
                          <w:t>M</w:t>
                        </w:r>
                      </w:p>
                    </w:tc>
                    <w:tc>
                      <w:tcPr>
                        <w:tcW w:w="619" w:type="dxa"/>
                      </w:tcPr>
                      <w:p>
                        <w:pPr>
                          <w:pStyle w:val="TableParagraph"/>
                          <w:spacing w:line="203" w:lineRule="exact"/>
                          <w:ind w:right="220"/>
                          <w:jc w:val="right"/>
                          <w:rPr>
                            <w:sz w:val="18"/>
                          </w:rPr>
                        </w:pPr>
                        <w:r>
                          <w:rPr>
                            <w:sz w:val="18"/>
                          </w:rPr>
                          <w:t>M</w:t>
                        </w:r>
                      </w:p>
                    </w:tc>
                    <w:tc>
                      <w:tcPr>
                        <w:tcW w:w="618" w:type="dxa"/>
                      </w:tcPr>
                      <w:p>
                        <w:pPr>
                          <w:pStyle w:val="TableParagraph"/>
                          <w:spacing w:line="203" w:lineRule="exact"/>
                          <w:ind w:right="220"/>
                          <w:jc w:val="right"/>
                          <w:rPr>
                            <w:sz w:val="18"/>
                          </w:rPr>
                        </w:pPr>
                        <w:r>
                          <w:rPr>
                            <w:sz w:val="18"/>
                          </w:rPr>
                          <w:t>M</w:t>
                        </w:r>
                      </w:p>
                    </w:tc>
                  </w:tr>
                  <w:tr>
                    <w:trPr>
                      <w:trHeight w:val="319" w:hRule="exact"/>
                    </w:trPr>
                    <w:tc>
                      <w:tcPr>
                        <w:tcW w:w="637" w:type="dxa"/>
                        <w:shd w:val="clear" w:color="auto" w:fill="91CF4F"/>
                      </w:tcPr>
                      <w:p>
                        <w:pPr>
                          <w:pStyle w:val="TableParagraph"/>
                          <w:ind w:left="265"/>
                          <w:rPr>
                            <w:b/>
                            <w:sz w:val="18"/>
                          </w:rPr>
                        </w:pPr>
                        <w:r>
                          <w:rPr>
                            <w:b/>
                            <w:sz w:val="18"/>
                          </w:rPr>
                          <w:t>J</w:t>
                        </w:r>
                      </w:p>
                    </w:tc>
                    <w:tc>
                      <w:tcPr>
                        <w:tcW w:w="618" w:type="dxa"/>
                      </w:tcPr>
                      <w:p>
                        <w:pPr/>
                      </w:p>
                    </w:tc>
                    <w:tc>
                      <w:tcPr>
                        <w:tcW w:w="636" w:type="dxa"/>
                      </w:tcPr>
                      <w:p>
                        <w:pPr/>
                      </w:p>
                    </w:tc>
                    <w:tc>
                      <w:tcPr>
                        <w:tcW w:w="638" w:type="dxa"/>
                      </w:tcPr>
                      <w:p>
                        <w:pPr/>
                      </w:p>
                    </w:tc>
                    <w:tc>
                      <w:tcPr>
                        <w:tcW w:w="619" w:type="dxa"/>
                      </w:tcPr>
                      <w:p>
                        <w:pPr/>
                      </w:p>
                    </w:tc>
                    <w:tc>
                      <w:tcPr>
                        <w:tcW w:w="619" w:type="dxa"/>
                      </w:tcPr>
                      <w:p>
                        <w:pPr/>
                      </w:p>
                    </w:tc>
                    <w:tc>
                      <w:tcPr>
                        <w:tcW w:w="619" w:type="dxa"/>
                      </w:tcPr>
                      <w:p>
                        <w:pPr/>
                      </w:p>
                    </w:tc>
                    <w:tc>
                      <w:tcPr>
                        <w:tcW w:w="618" w:type="dxa"/>
                      </w:tcPr>
                      <w:p>
                        <w:pPr/>
                      </w:p>
                    </w:tc>
                  </w:tr>
                  <w:tr>
                    <w:trPr>
                      <w:trHeight w:val="319" w:hRule="exact"/>
                    </w:trPr>
                    <w:tc>
                      <w:tcPr>
                        <w:tcW w:w="637" w:type="dxa"/>
                        <w:shd w:val="clear" w:color="auto" w:fill="91CF4F"/>
                      </w:tcPr>
                      <w:p>
                        <w:pPr>
                          <w:pStyle w:val="TableParagraph"/>
                          <w:spacing w:line="206" w:lineRule="exact"/>
                          <w:ind w:left="240"/>
                          <w:rPr>
                            <w:b/>
                            <w:sz w:val="18"/>
                          </w:rPr>
                        </w:pPr>
                        <w:r>
                          <w:rPr>
                            <w:b/>
                            <w:sz w:val="18"/>
                          </w:rPr>
                          <w:t>K</w:t>
                        </w:r>
                      </w:p>
                    </w:tc>
                    <w:tc>
                      <w:tcPr>
                        <w:tcW w:w="618" w:type="dxa"/>
                      </w:tcPr>
                      <w:p>
                        <w:pPr/>
                      </w:p>
                    </w:tc>
                    <w:tc>
                      <w:tcPr>
                        <w:tcW w:w="636" w:type="dxa"/>
                      </w:tcPr>
                      <w:p>
                        <w:pPr/>
                      </w:p>
                    </w:tc>
                    <w:tc>
                      <w:tcPr>
                        <w:tcW w:w="638" w:type="dxa"/>
                      </w:tcPr>
                      <w:p>
                        <w:pPr/>
                      </w:p>
                    </w:tc>
                    <w:tc>
                      <w:tcPr>
                        <w:tcW w:w="619" w:type="dxa"/>
                      </w:tcPr>
                      <w:p>
                        <w:pPr/>
                      </w:p>
                    </w:tc>
                    <w:tc>
                      <w:tcPr>
                        <w:tcW w:w="619" w:type="dxa"/>
                      </w:tcPr>
                      <w:p>
                        <w:pPr/>
                      </w:p>
                    </w:tc>
                    <w:tc>
                      <w:tcPr>
                        <w:tcW w:w="619" w:type="dxa"/>
                      </w:tcPr>
                      <w:p>
                        <w:pPr/>
                      </w:p>
                    </w:tc>
                    <w:tc>
                      <w:tcPr>
                        <w:tcW w:w="618" w:type="dxa"/>
                      </w:tcPr>
                      <w:p>
                        <w:pPr/>
                      </w:p>
                    </w:tc>
                  </w:tr>
                  <w:tr>
                    <w:trPr>
                      <w:trHeight w:val="319" w:hRule="exact"/>
                    </w:trPr>
                    <w:tc>
                      <w:tcPr>
                        <w:tcW w:w="637" w:type="dxa"/>
                        <w:shd w:val="clear" w:color="auto" w:fill="91CF4F"/>
                      </w:tcPr>
                      <w:p>
                        <w:pPr>
                          <w:pStyle w:val="TableParagraph"/>
                          <w:spacing w:line="206" w:lineRule="exact"/>
                          <w:ind w:left="250"/>
                          <w:rPr>
                            <w:b/>
                            <w:sz w:val="18"/>
                          </w:rPr>
                        </w:pPr>
                        <w:r>
                          <w:rPr>
                            <w:b/>
                            <w:sz w:val="18"/>
                          </w:rPr>
                          <w:t>L</w:t>
                        </w:r>
                      </w:p>
                    </w:tc>
                    <w:tc>
                      <w:tcPr>
                        <w:tcW w:w="618" w:type="dxa"/>
                      </w:tcPr>
                      <w:p>
                        <w:pPr/>
                      </w:p>
                    </w:tc>
                    <w:tc>
                      <w:tcPr>
                        <w:tcW w:w="636" w:type="dxa"/>
                      </w:tcPr>
                      <w:p>
                        <w:pPr/>
                      </w:p>
                    </w:tc>
                    <w:tc>
                      <w:tcPr>
                        <w:tcW w:w="638" w:type="dxa"/>
                      </w:tcPr>
                      <w:p>
                        <w:pPr/>
                      </w:p>
                    </w:tc>
                    <w:tc>
                      <w:tcPr>
                        <w:tcW w:w="619" w:type="dxa"/>
                      </w:tcPr>
                      <w:p>
                        <w:pPr/>
                      </w:p>
                    </w:tc>
                    <w:tc>
                      <w:tcPr>
                        <w:tcW w:w="619" w:type="dxa"/>
                      </w:tcPr>
                      <w:p>
                        <w:pPr/>
                      </w:p>
                    </w:tc>
                    <w:tc>
                      <w:tcPr>
                        <w:tcW w:w="619" w:type="dxa"/>
                      </w:tcPr>
                      <w:p>
                        <w:pPr/>
                      </w:p>
                    </w:tc>
                    <w:tc>
                      <w:tcPr>
                        <w:tcW w:w="618" w:type="dxa"/>
                      </w:tcPr>
                      <w:p>
                        <w:pPr/>
                      </w:p>
                    </w:tc>
                  </w:tr>
                  <w:tr>
                    <w:trPr>
                      <w:trHeight w:val="318" w:hRule="exact"/>
                    </w:trPr>
                    <w:tc>
                      <w:tcPr>
                        <w:tcW w:w="637" w:type="dxa"/>
                        <w:shd w:val="clear" w:color="auto" w:fill="91CF4F"/>
                      </w:tcPr>
                      <w:p>
                        <w:pPr>
                          <w:pStyle w:val="TableParagraph"/>
                          <w:spacing w:line="206" w:lineRule="exact"/>
                          <w:ind w:left="225"/>
                          <w:rPr>
                            <w:b/>
                            <w:sz w:val="18"/>
                          </w:rPr>
                        </w:pPr>
                        <w:r>
                          <w:rPr>
                            <w:b/>
                            <w:sz w:val="18"/>
                          </w:rPr>
                          <w:t>M</w:t>
                        </w:r>
                      </w:p>
                    </w:tc>
                    <w:tc>
                      <w:tcPr>
                        <w:tcW w:w="618" w:type="dxa"/>
                      </w:tcPr>
                      <w:p>
                        <w:pPr/>
                      </w:p>
                    </w:tc>
                    <w:tc>
                      <w:tcPr>
                        <w:tcW w:w="636" w:type="dxa"/>
                      </w:tcPr>
                      <w:p>
                        <w:pPr/>
                      </w:p>
                    </w:tc>
                    <w:tc>
                      <w:tcPr>
                        <w:tcW w:w="638" w:type="dxa"/>
                      </w:tcPr>
                      <w:p>
                        <w:pPr/>
                      </w:p>
                    </w:tc>
                    <w:tc>
                      <w:tcPr>
                        <w:tcW w:w="619" w:type="dxa"/>
                      </w:tcPr>
                      <w:p>
                        <w:pPr/>
                      </w:p>
                    </w:tc>
                    <w:tc>
                      <w:tcPr>
                        <w:tcW w:w="619" w:type="dxa"/>
                      </w:tcPr>
                      <w:p>
                        <w:pPr>
                          <w:pStyle w:val="TableParagraph"/>
                          <w:spacing w:line="202" w:lineRule="exact"/>
                          <w:ind w:right="220"/>
                          <w:jc w:val="right"/>
                          <w:rPr>
                            <w:sz w:val="18"/>
                          </w:rPr>
                        </w:pPr>
                        <w:r>
                          <w:rPr>
                            <w:sz w:val="18"/>
                          </w:rPr>
                          <w:t>M</w:t>
                        </w:r>
                      </w:p>
                    </w:tc>
                    <w:tc>
                      <w:tcPr>
                        <w:tcW w:w="619" w:type="dxa"/>
                      </w:tcPr>
                      <w:p>
                        <w:pPr/>
                      </w:p>
                    </w:tc>
                    <w:tc>
                      <w:tcPr>
                        <w:tcW w:w="618" w:type="dxa"/>
                      </w:tcPr>
                      <w:p>
                        <w:pPr/>
                      </w:p>
                    </w:tc>
                  </w:tr>
                  <w:tr>
                    <w:trPr>
                      <w:trHeight w:val="320" w:hRule="exact"/>
                    </w:trPr>
                    <w:tc>
                      <w:tcPr>
                        <w:tcW w:w="637" w:type="dxa"/>
                        <w:shd w:val="clear" w:color="auto" w:fill="91CF4F"/>
                      </w:tcPr>
                      <w:p>
                        <w:pPr>
                          <w:pStyle w:val="TableParagraph"/>
                          <w:ind w:left="245"/>
                          <w:rPr>
                            <w:b/>
                            <w:sz w:val="18"/>
                          </w:rPr>
                        </w:pPr>
                        <w:r>
                          <w:rPr>
                            <w:b/>
                            <w:sz w:val="18"/>
                          </w:rPr>
                          <w:t>N</w:t>
                        </w:r>
                      </w:p>
                    </w:tc>
                    <w:tc>
                      <w:tcPr>
                        <w:tcW w:w="618" w:type="dxa"/>
                      </w:tcPr>
                      <w:p>
                        <w:pPr/>
                      </w:p>
                    </w:tc>
                    <w:tc>
                      <w:tcPr>
                        <w:tcW w:w="636" w:type="dxa"/>
                      </w:tcPr>
                      <w:p>
                        <w:pPr/>
                      </w:p>
                    </w:tc>
                    <w:tc>
                      <w:tcPr>
                        <w:tcW w:w="638" w:type="dxa"/>
                      </w:tcPr>
                      <w:p>
                        <w:pPr/>
                      </w:p>
                    </w:tc>
                    <w:tc>
                      <w:tcPr>
                        <w:tcW w:w="619" w:type="dxa"/>
                      </w:tcPr>
                      <w:p>
                        <w:pPr/>
                      </w:p>
                    </w:tc>
                    <w:tc>
                      <w:tcPr>
                        <w:tcW w:w="619" w:type="dxa"/>
                      </w:tcPr>
                      <w:p>
                        <w:pPr/>
                      </w:p>
                    </w:tc>
                    <w:tc>
                      <w:tcPr>
                        <w:tcW w:w="619" w:type="dxa"/>
                      </w:tcPr>
                      <w:p>
                        <w:pPr/>
                      </w:p>
                    </w:tc>
                    <w:tc>
                      <w:tcPr>
                        <w:tcW w:w="618" w:type="dxa"/>
                      </w:tcPr>
                      <w:p>
                        <w:pPr/>
                      </w:p>
                    </w:tc>
                  </w:tr>
                </w:tbl>
                <w:p>
                  <w:pPr>
                    <w:pStyle w:val="BodyText"/>
                  </w:pPr>
                </w:p>
              </w:txbxContent>
            </v:textbox>
            <w10:wrap type="none"/>
          </v:shape>
        </w:pict>
      </w:r>
      <w:r>
        <w:rPr/>
        <w:t>Table 8. Application of Corlett &amp; Bishop's first period week 2.</w:t>
      </w:r>
    </w:p>
    <w:p>
      <w:pPr>
        <w:pStyle w:val="BodyText"/>
        <w:rPr>
          <w:sz w:val="18"/>
        </w:rPr>
      </w:pPr>
      <w:r>
        <w:rPr/>
        <w:br w:type="column"/>
      </w:r>
      <w:r>
        <w:rPr>
          <w:sz w:val="18"/>
        </w:rPr>
      </w:r>
    </w:p>
    <w:p>
      <w:pPr>
        <w:pStyle w:val="BodyText"/>
        <w:rPr>
          <w:sz w:val="18"/>
        </w:rPr>
      </w:pPr>
    </w:p>
    <w:p>
      <w:pPr>
        <w:pStyle w:val="BodyText"/>
        <w:rPr>
          <w:sz w:val="18"/>
        </w:rPr>
      </w:pPr>
    </w:p>
    <w:p>
      <w:pPr>
        <w:pStyle w:val="BodyText"/>
        <w:rPr>
          <w:sz w:val="18"/>
        </w:rPr>
      </w:pPr>
    </w:p>
    <w:p>
      <w:pPr>
        <w:pStyle w:val="BodyText"/>
        <w:spacing w:before="4"/>
        <w:rPr>
          <w:sz w:val="23"/>
        </w:rPr>
      </w:pPr>
    </w:p>
    <w:p>
      <w:pPr>
        <w:spacing w:before="0"/>
        <w:ind w:left="294" w:right="701" w:firstLine="0"/>
        <w:jc w:val="center"/>
        <w:rPr>
          <w:sz w:val="18"/>
        </w:rPr>
      </w:pPr>
      <w:r>
        <w:rPr>
          <w:sz w:val="18"/>
        </w:rPr>
        <w:t>Results of the application of Corlett &amp; Bishop mapping.</w:t>
      </w:r>
    </w:p>
    <w:p>
      <w:pPr>
        <w:pStyle w:val="BodyText"/>
        <w:spacing w:before="2"/>
      </w:pPr>
    </w:p>
    <w:p>
      <w:pPr>
        <w:pStyle w:val="BodyText"/>
        <w:ind w:left="270" w:right="677" w:firstLine="567"/>
        <w:jc w:val="both"/>
      </w:pPr>
      <w:r>
        <w:rPr/>
        <w:t>For this last week of the first part of the study, as can be seen in Table 9, only shoulder pain was filed, the trouble appearing in the same parts of the previous weeks.</w:t>
      </w:r>
    </w:p>
    <w:p>
      <w:pPr>
        <w:pStyle w:val="BodyText"/>
        <w:spacing w:before="11"/>
        <w:rPr>
          <w:sz w:val="19"/>
        </w:rPr>
      </w:pPr>
    </w:p>
    <w:p>
      <w:pPr>
        <w:pStyle w:val="BodyText"/>
        <w:ind w:left="270" w:right="677" w:firstLine="567"/>
        <w:jc w:val="both"/>
      </w:pPr>
      <w:r>
        <w:rPr/>
        <w:t>Turning to the second part of the application Corlett &amp; Bishop, the results generated are displayed in the tables below:</w:t>
      </w:r>
    </w:p>
    <w:p>
      <w:pPr>
        <w:pStyle w:val="BodyText"/>
      </w:pPr>
    </w:p>
    <w:p>
      <w:pPr>
        <w:pStyle w:val="BodyText"/>
        <w:spacing w:before="1"/>
        <w:ind w:left="293" w:right="701"/>
        <w:jc w:val="center"/>
      </w:pPr>
      <w:r>
        <w:rPr/>
        <w:t>Table 10. Application of Corlett &amp; Bishop's second period week 1.</w:t>
      </w:r>
    </w:p>
    <w:p>
      <w:pPr>
        <w:spacing w:after="0"/>
        <w:jc w:val="center"/>
        <w:sectPr>
          <w:type w:val="continuous"/>
          <w:pgSz w:w="12240" w:h="15840"/>
          <w:pgMar w:top="1500" w:bottom="280" w:left="580" w:right="220"/>
          <w:cols w:num="2" w:equalWidth="0">
            <w:col w:w="5189" w:space="435"/>
            <w:col w:w="5816"/>
          </w:cols>
        </w:sectPr>
      </w:pPr>
    </w:p>
    <w:tbl>
      <w:tblPr>
        <w:tblW w:w="0" w:type="auto"/>
        <w:jc w:val="left"/>
        <w:tblInd w:w="581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622"/>
        <w:gridCol w:w="622"/>
        <w:gridCol w:w="623"/>
        <w:gridCol w:w="622"/>
        <w:gridCol w:w="622"/>
        <w:gridCol w:w="623"/>
        <w:gridCol w:w="650"/>
        <w:gridCol w:w="623"/>
      </w:tblGrid>
      <w:tr>
        <w:trPr>
          <w:trHeight w:val="295" w:hRule="exact"/>
        </w:trPr>
        <w:tc>
          <w:tcPr>
            <w:tcW w:w="622" w:type="dxa"/>
            <w:shd w:val="clear" w:color="auto" w:fill="C35911"/>
          </w:tcPr>
          <w:p>
            <w:pPr/>
          </w:p>
        </w:tc>
        <w:tc>
          <w:tcPr>
            <w:tcW w:w="622" w:type="dxa"/>
            <w:shd w:val="clear" w:color="auto" w:fill="C35911"/>
          </w:tcPr>
          <w:p>
            <w:pPr>
              <w:pStyle w:val="TableParagraph"/>
              <w:spacing w:line="206" w:lineRule="exact"/>
              <w:ind w:left="62"/>
              <w:rPr>
                <w:b/>
                <w:sz w:val="18"/>
              </w:rPr>
            </w:pPr>
            <w:r>
              <w:rPr>
                <w:b/>
                <w:sz w:val="18"/>
              </w:rPr>
              <w:t>M</w:t>
            </w:r>
          </w:p>
        </w:tc>
        <w:tc>
          <w:tcPr>
            <w:tcW w:w="623" w:type="dxa"/>
            <w:shd w:val="clear" w:color="auto" w:fill="C35911"/>
          </w:tcPr>
          <w:p>
            <w:pPr>
              <w:pStyle w:val="TableParagraph"/>
              <w:spacing w:line="206" w:lineRule="exact"/>
              <w:ind w:left="62"/>
              <w:rPr>
                <w:b/>
                <w:sz w:val="18"/>
              </w:rPr>
            </w:pPr>
            <w:r>
              <w:rPr>
                <w:b/>
                <w:sz w:val="18"/>
              </w:rPr>
              <w:t>T</w:t>
            </w:r>
          </w:p>
        </w:tc>
        <w:tc>
          <w:tcPr>
            <w:tcW w:w="622" w:type="dxa"/>
            <w:shd w:val="clear" w:color="auto" w:fill="C35911"/>
          </w:tcPr>
          <w:p>
            <w:pPr>
              <w:pStyle w:val="TableParagraph"/>
              <w:spacing w:line="206" w:lineRule="exact"/>
              <w:ind w:left="62"/>
              <w:rPr>
                <w:b/>
                <w:sz w:val="18"/>
              </w:rPr>
            </w:pPr>
            <w:r>
              <w:rPr>
                <w:b/>
                <w:sz w:val="18"/>
              </w:rPr>
              <w:t>W</w:t>
            </w:r>
          </w:p>
        </w:tc>
        <w:tc>
          <w:tcPr>
            <w:tcW w:w="622" w:type="dxa"/>
            <w:shd w:val="clear" w:color="auto" w:fill="C35911"/>
          </w:tcPr>
          <w:p>
            <w:pPr>
              <w:pStyle w:val="TableParagraph"/>
              <w:spacing w:line="206" w:lineRule="exact"/>
              <w:ind w:left="62"/>
              <w:rPr>
                <w:b/>
                <w:sz w:val="18"/>
              </w:rPr>
            </w:pPr>
            <w:r>
              <w:rPr>
                <w:b/>
                <w:sz w:val="18"/>
              </w:rPr>
              <w:t>T</w:t>
            </w:r>
          </w:p>
        </w:tc>
        <w:tc>
          <w:tcPr>
            <w:tcW w:w="623" w:type="dxa"/>
            <w:shd w:val="clear" w:color="auto" w:fill="C35911"/>
          </w:tcPr>
          <w:p>
            <w:pPr>
              <w:pStyle w:val="TableParagraph"/>
              <w:spacing w:line="206" w:lineRule="exact"/>
              <w:ind w:left="63"/>
              <w:rPr>
                <w:b/>
                <w:sz w:val="18"/>
              </w:rPr>
            </w:pPr>
            <w:r>
              <w:rPr>
                <w:b/>
                <w:sz w:val="18"/>
              </w:rPr>
              <w:t>F</w:t>
            </w:r>
          </w:p>
        </w:tc>
        <w:tc>
          <w:tcPr>
            <w:tcW w:w="650" w:type="dxa"/>
            <w:shd w:val="clear" w:color="auto" w:fill="C35911"/>
          </w:tcPr>
          <w:p>
            <w:pPr>
              <w:pStyle w:val="TableParagraph"/>
              <w:spacing w:line="206" w:lineRule="exact"/>
              <w:ind w:left="62"/>
              <w:rPr>
                <w:b/>
                <w:sz w:val="18"/>
              </w:rPr>
            </w:pPr>
            <w:r>
              <w:rPr>
                <w:b/>
                <w:sz w:val="18"/>
              </w:rPr>
              <w:t>S</w:t>
            </w:r>
          </w:p>
        </w:tc>
        <w:tc>
          <w:tcPr>
            <w:tcW w:w="623" w:type="dxa"/>
            <w:shd w:val="clear" w:color="auto" w:fill="C35911"/>
          </w:tcPr>
          <w:p>
            <w:pPr>
              <w:pStyle w:val="TableParagraph"/>
              <w:spacing w:line="206" w:lineRule="exact"/>
              <w:ind w:left="62"/>
              <w:rPr>
                <w:b/>
                <w:sz w:val="18"/>
              </w:rPr>
            </w:pPr>
            <w:r>
              <w:rPr>
                <w:b/>
                <w:sz w:val="18"/>
              </w:rPr>
              <w:t>S</w:t>
            </w:r>
          </w:p>
        </w:tc>
      </w:tr>
      <w:tr>
        <w:trPr>
          <w:trHeight w:val="295" w:hRule="exact"/>
        </w:trPr>
        <w:tc>
          <w:tcPr>
            <w:tcW w:w="622" w:type="dxa"/>
            <w:shd w:val="clear" w:color="auto" w:fill="C35911"/>
          </w:tcPr>
          <w:p>
            <w:pPr>
              <w:pStyle w:val="TableParagraph"/>
              <w:spacing w:line="206" w:lineRule="exact"/>
              <w:jc w:val="center"/>
              <w:rPr>
                <w:b/>
                <w:sz w:val="18"/>
              </w:rPr>
            </w:pPr>
            <w:r>
              <w:rPr>
                <w:b/>
                <w:sz w:val="18"/>
              </w:rPr>
              <w:t>A</w:t>
            </w:r>
          </w:p>
        </w:tc>
        <w:tc>
          <w:tcPr>
            <w:tcW w:w="622" w:type="dxa"/>
          </w:tcPr>
          <w:p>
            <w:pPr/>
          </w:p>
        </w:tc>
        <w:tc>
          <w:tcPr>
            <w:tcW w:w="623" w:type="dxa"/>
          </w:tcPr>
          <w:p>
            <w:pPr/>
          </w:p>
        </w:tc>
        <w:tc>
          <w:tcPr>
            <w:tcW w:w="622" w:type="dxa"/>
          </w:tcPr>
          <w:p>
            <w:pPr>
              <w:pStyle w:val="TableParagraph"/>
              <w:spacing w:line="202" w:lineRule="exact"/>
              <w:ind w:right="221"/>
              <w:jc w:val="right"/>
              <w:rPr>
                <w:sz w:val="18"/>
              </w:rPr>
            </w:pPr>
            <w:r>
              <w:rPr>
                <w:sz w:val="18"/>
              </w:rPr>
              <w:t>M</w:t>
            </w:r>
          </w:p>
        </w:tc>
        <w:tc>
          <w:tcPr>
            <w:tcW w:w="622" w:type="dxa"/>
          </w:tcPr>
          <w:p>
            <w:pPr>
              <w:pStyle w:val="TableParagraph"/>
              <w:spacing w:line="202" w:lineRule="exact"/>
              <w:ind w:right="236"/>
              <w:jc w:val="right"/>
              <w:rPr>
                <w:sz w:val="18"/>
              </w:rPr>
            </w:pPr>
            <w:r>
              <w:rPr>
                <w:sz w:val="18"/>
              </w:rPr>
              <w:t>D</w:t>
            </w:r>
          </w:p>
        </w:tc>
        <w:tc>
          <w:tcPr>
            <w:tcW w:w="623" w:type="dxa"/>
          </w:tcPr>
          <w:p>
            <w:pPr/>
          </w:p>
        </w:tc>
        <w:tc>
          <w:tcPr>
            <w:tcW w:w="650" w:type="dxa"/>
          </w:tcPr>
          <w:p>
            <w:pPr>
              <w:pStyle w:val="TableParagraph"/>
              <w:spacing w:line="202" w:lineRule="exact"/>
              <w:ind w:right="250"/>
              <w:jc w:val="right"/>
              <w:rPr>
                <w:sz w:val="18"/>
              </w:rPr>
            </w:pPr>
            <w:r>
              <w:rPr>
                <w:sz w:val="18"/>
              </w:rPr>
              <w:t>D</w:t>
            </w:r>
          </w:p>
        </w:tc>
        <w:tc>
          <w:tcPr>
            <w:tcW w:w="623" w:type="dxa"/>
          </w:tcPr>
          <w:p>
            <w:pPr/>
          </w:p>
        </w:tc>
      </w:tr>
      <w:tr>
        <w:trPr>
          <w:trHeight w:val="295" w:hRule="exact"/>
        </w:trPr>
        <w:tc>
          <w:tcPr>
            <w:tcW w:w="622" w:type="dxa"/>
            <w:shd w:val="clear" w:color="auto" w:fill="C35911"/>
          </w:tcPr>
          <w:p>
            <w:pPr>
              <w:pStyle w:val="TableParagraph"/>
              <w:spacing w:line="206" w:lineRule="exact"/>
              <w:jc w:val="center"/>
              <w:rPr>
                <w:b/>
                <w:sz w:val="18"/>
              </w:rPr>
            </w:pPr>
            <w:r>
              <w:rPr>
                <w:b/>
                <w:sz w:val="18"/>
              </w:rPr>
              <w:t>B</w:t>
            </w:r>
          </w:p>
        </w:tc>
        <w:tc>
          <w:tcPr>
            <w:tcW w:w="622" w:type="dxa"/>
          </w:tcPr>
          <w:p>
            <w:pPr>
              <w:pStyle w:val="TableParagraph"/>
              <w:spacing w:line="202" w:lineRule="exact"/>
              <w:ind w:right="221"/>
              <w:jc w:val="right"/>
              <w:rPr>
                <w:sz w:val="18"/>
              </w:rPr>
            </w:pPr>
            <w:r>
              <w:rPr>
                <w:sz w:val="18"/>
              </w:rPr>
              <w:t>M</w:t>
            </w:r>
          </w:p>
        </w:tc>
        <w:tc>
          <w:tcPr>
            <w:tcW w:w="623" w:type="dxa"/>
          </w:tcPr>
          <w:p>
            <w:pPr>
              <w:pStyle w:val="TableParagraph"/>
              <w:spacing w:line="202" w:lineRule="exact"/>
              <w:ind w:right="223"/>
              <w:jc w:val="right"/>
              <w:rPr>
                <w:sz w:val="18"/>
              </w:rPr>
            </w:pPr>
            <w:r>
              <w:rPr>
                <w:sz w:val="18"/>
              </w:rPr>
              <w:t>M</w:t>
            </w:r>
          </w:p>
        </w:tc>
        <w:tc>
          <w:tcPr>
            <w:tcW w:w="622" w:type="dxa"/>
          </w:tcPr>
          <w:p>
            <w:pPr>
              <w:pStyle w:val="TableParagraph"/>
              <w:spacing w:line="202" w:lineRule="exact"/>
              <w:ind w:right="221"/>
              <w:jc w:val="right"/>
              <w:rPr>
                <w:sz w:val="18"/>
              </w:rPr>
            </w:pPr>
            <w:r>
              <w:rPr>
                <w:sz w:val="18"/>
              </w:rPr>
              <w:t>M</w:t>
            </w:r>
          </w:p>
        </w:tc>
        <w:tc>
          <w:tcPr>
            <w:tcW w:w="622" w:type="dxa"/>
          </w:tcPr>
          <w:p>
            <w:pPr>
              <w:pStyle w:val="TableParagraph"/>
              <w:spacing w:line="202" w:lineRule="exact"/>
              <w:ind w:right="221"/>
              <w:jc w:val="right"/>
              <w:rPr>
                <w:sz w:val="18"/>
              </w:rPr>
            </w:pPr>
            <w:r>
              <w:rPr>
                <w:sz w:val="18"/>
              </w:rPr>
              <w:t>M</w:t>
            </w:r>
          </w:p>
        </w:tc>
        <w:tc>
          <w:tcPr>
            <w:tcW w:w="623" w:type="dxa"/>
          </w:tcPr>
          <w:p>
            <w:pPr>
              <w:pStyle w:val="TableParagraph"/>
              <w:spacing w:line="202" w:lineRule="exact"/>
              <w:ind w:right="221"/>
              <w:jc w:val="right"/>
              <w:rPr>
                <w:sz w:val="18"/>
              </w:rPr>
            </w:pPr>
            <w:r>
              <w:rPr>
                <w:sz w:val="18"/>
              </w:rPr>
              <w:t>M</w:t>
            </w:r>
          </w:p>
        </w:tc>
        <w:tc>
          <w:tcPr>
            <w:tcW w:w="650" w:type="dxa"/>
          </w:tcPr>
          <w:p>
            <w:pPr>
              <w:pStyle w:val="TableParagraph"/>
              <w:spacing w:line="202" w:lineRule="exact"/>
              <w:ind w:right="236"/>
              <w:jc w:val="right"/>
              <w:rPr>
                <w:sz w:val="18"/>
              </w:rPr>
            </w:pPr>
            <w:r>
              <w:rPr>
                <w:sz w:val="18"/>
              </w:rPr>
              <w:t>M</w:t>
            </w:r>
          </w:p>
        </w:tc>
        <w:tc>
          <w:tcPr>
            <w:tcW w:w="623" w:type="dxa"/>
          </w:tcPr>
          <w:p>
            <w:pPr>
              <w:pStyle w:val="TableParagraph"/>
              <w:spacing w:line="202" w:lineRule="exact"/>
              <w:ind w:right="223"/>
              <w:jc w:val="right"/>
              <w:rPr>
                <w:sz w:val="18"/>
              </w:rPr>
            </w:pPr>
            <w:r>
              <w:rPr>
                <w:sz w:val="18"/>
              </w:rPr>
              <w:t>M</w:t>
            </w:r>
          </w:p>
        </w:tc>
      </w:tr>
      <w:tr>
        <w:trPr>
          <w:trHeight w:val="318" w:hRule="exact"/>
        </w:trPr>
        <w:tc>
          <w:tcPr>
            <w:tcW w:w="622" w:type="dxa"/>
            <w:shd w:val="clear" w:color="auto" w:fill="C35911"/>
          </w:tcPr>
          <w:p>
            <w:pPr>
              <w:pStyle w:val="TableParagraph"/>
              <w:spacing w:line="206" w:lineRule="exact"/>
              <w:jc w:val="center"/>
              <w:rPr>
                <w:b/>
                <w:sz w:val="18"/>
              </w:rPr>
            </w:pPr>
            <w:r>
              <w:rPr>
                <w:b/>
                <w:sz w:val="18"/>
              </w:rPr>
              <w:t>C</w:t>
            </w:r>
          </w:p>
        </w:tc>
        <w:tc>
          <w:tcPr>
            <w:tcW w:w="622" w:type="dxa"/>
          </w:tcPr>
          <w:p>
            <w:pPr>
              <w:pStyle w:val="TableParagraph"/>
              <w:spacing w:line="202" w:lineRule="exact"/>
              <w:ind w:right="221"/>
              <w:jc w:val="right"/>
              <w:rPr>
                <w:sz w:val="18"/>
              </w:rPr>
            </w:pPr>
            <w:r>
              <w:rPr>
                <w:sz w:val="18"/>
              </w:rPr>
              <w:t>M</w:t>
            </w:r>
          </w:p>
        </w:tc>
        <w:tc>
          <w:tcPr>
            <w:tcW w:w="623" w:type="dxa"/>
          </w:tcPr>
          <w:p>
            <w:pPr>
              <w:pStyle w:val="TableParagraph"/>
              <w:spacing w:line="202" w:lineRule="exact"/>
              <w:ind w:right="223"/>
              <w:jc w:val="right"/>
              <w:rPr>
                <w:sz w:val="18"/>
              </w:rPr>
            </w:pPr>
            <w:r>
              <w:rPr>
                <w:sz w:val="18"/>
              </w:rPr>
              <w:t>M</w:t>
            </w:r>
          </w:p>
        </w:tc>
        <w:tc>
          <w:tcPr>
            <w:tcW w:w="622" w:type="dxa"/>
          </w:tcPr>
          <w:p>
            <w:pPr>
              <w:pStyle w:val="TableParagraph"/>
              <w:spacing w:line="202" w:lineRule="exact"/>
              <w:ind w:right="221"/>
              <w:jc w:val="right"/>
              <w:rPr>
                <w:sz w:val="18"/>
              </w:rPr>
            </w:pPr>
            <w:r>
              <w:rPr>
                <w:sz w:val="18"/>
              </w:rPr>
              <w:t>M</w:t>
            </w:r>
          </w:p>
        </w:tc>
        <w:tc>
          <w:tcPr>
            <w:tcW w:w="622" w:type="dxa"/>
          </w:tcPr>
          <w:p>
            <w:pPr>
              <w:pStyle w:val="TableParagraph"/>
              <w:spacing w:line="202" w:lineRule="exact"/>
              <w:ind w:right="221"/>
              <w:jc w:val="right"/>
              <w:rPr>
                <w:sz w:val="18"/>
              </w:rPr>
            </w:pPr>
            <w:r>
              <w:rPr>
                <w:sz w:val="18"/>
              </w:rPr>
              <w:t>M</w:t>
            </w:r>
          </w:p>
        </w:tc>
        <w:tc>
          <w:tcPr>
            <w:tcW w:w="623" w:type="dxa"/>
          </w:tcPr>
          <w:p>
            <w:pPr>
              <w:pStyle w:val="TableParagraph"/>
              <w:spacing w:line="202" w:lineRule="exact"/>
              <w:ind w:right="221"/>
              <w:jc w:val="right"/>
              <w:rPr>
                <w:sz w:val="18"/>
              </w:rPr>
            </w:pPr>
            <w:r>
              <w:rPr>
                <w:sz w:val="18"/>
              </w:rPr>
              <w:t>M</w:t>
            </w:r>
          </w:p>
        </w:tc>
        <w:tc>
          <w:tcPr>
            <w:tcW w:w="650" w:type="dxa"/>
          </w:tcPr>
          <w:p>
            <w:pPr>
              <w:pStyle w:val="TableParagraph"/>
              <w:spacing w:line="202" w:lineRule="exact"/>
              <w:ind w:right="236"/>
              <w:jc w:val="right"/>
              <w:rPr>
                <w:sz w:val="18"/>
              </w:rPr>
            </w:pPr>
            <w:r>
              <w:rPr>
                <w:sz w:val="18"/>
              </w:rPr>
              <w:t>M</w:t>
            </w:r>
          </w:p>
        </w:tc>
        <w:tc>
          <w:tcPr>
            <w:tcW w:w="623" w:type="dxa"/>
          </w:tcPr>
          <w:p>
            <w:pPr>
              <w:pStyle w:val="TableParagraph"/>
              <w:spacing w:line="202" w:lineRule="exact"/>
              <w:ind w:right="223"/>
              <w:jc w:val="right"/>
              <w:rPr>
                <w:sz w:val="18"/>
              </w:rPr>
            </w:pPr>
            <w:r>
              <w:rPr>
                <w:sz w:val="18"/>
              </w:rPr>
              <w:t>M</w:t>
            </w:r>
          </w:p>
        </w:tc>
      </w:tr>
      <w:tr>
        <w:trPr>
          <w:trHeight w:val="295" w:hRule="exact"/>
        </w:trPr>
        <w:tc>
          <w:tcPr>
            <w:tcW w:w="622" w:type="dxa"/>
            <w:shd w:val="clear" w:color="auto" w:fill="C35911"/>
          </w:tcPr>
          <w:p>
            <w:pPr>
              <w:pStyle w:val="TableParagraph"/>
              <w:jc w:val="center"/>
              <w:rPr>
                <w:b/>
                <w:sz w:val="18"/>
              </w:rPr>
            </w:pPr>
            <w:r>
              <w:rPr>
                <w:b/>
                <w:sz w:val="18"/>
              </w:rPr>
              <w:t>D</w:t>
            </w:r>
          </w:p>
        </w:tc>
        <w:tc>
          <w:tcPr>
            <w:tcW w:w="622" w:type="dxa"/>
          </w:tcPr>
          <w:p>
            <w:pPr>
              <w:pStyle w:val="TableParagraph"/>
              <w:spacing w:line="203" w:lineRule="exact"/>
              <w:ind w:right="221"/>
              <w:jc w:val="right"/>
              <w:rPr>
                <w:sz w:val="18"/>
              </w:rPr>
            </w:pPr>
            <w:r>
              <w:rPr>
                <w:sz w:val="18"/>
              </w:rPr>
              <w:t>M</w:t>
            </w:r>
          </w:p>
        </w:tc>
        <w:tc>
          <w:tcPr>
            <w:tcW w:w="623" w:type="dxa"/>
          </w:tcPr>
          <w:p>
            <w:pPr>
              <w:pStyle w:val="TableParagraph"/>
              <w:spacing w:line="203" w:lineRule="exact"/>
              <w:ind w:right="223"/>
              <w:jc w:val="right"/>
              <w:rPr>
                <w:sz w:val="18"/>
              </w:rPr>
            </w:pPr>
            <w:r>
              <w:rPr>
                <w:sz w:val="18"/>
              </w:rPr>
              <w:t>M</w:t>
            </w:r>
          </w:p>
        </w:tc>
        <w:tc>
          <w:tcPr>
            <w:tcW w:w="622" w:type="dxa"/>
          </w:tcPr>
          <w:p>
            <w:pPr/>
          </w:p>
        </w:tc>
        <w:tc>
          <w:tcPr>
            <w:tcW w:w="622" w:type="dxa"/>
          </w:tcPr>
          <w:p>
            <w:pPr>
              <w:pStyle w:val="TableParagraph"/>
              <w:spacing w:line="203" w:lineRule="exact"/>
              <w:ind w:right="221"/>
              <w:jc w:val="right"/>
              <w:rPr>
                <w:sz w:val="18"/>
              </w:rPr>
            </w:pPr>
            <w:r>
              <w:rPr>
                <w:sz w:val="18"/>
              </w:rPr>
              <w:t>M</w:t>
            </w:r>
          </w:p>
        </w:tc>
        <w:tc>
          <w:tcPr>
            <w:tcW w:w="623" w:type="dxa"/>
          </w:tcPr>
          <w:p>
            <w:pPr>
              <w:pStyle w:val="TableParagraph"/>
              <w:spacing w:line="203" w:lineRule="exact"/>
              <w:ind w:right="221"/>
              <w:jc w:val="right"/>
              <w:rPr>
                <w:sz w:val="18"/>
              </w:rPr>
            </w:pPr>
            <w:r>
              <w:rPr>
                <w:sz w:val="18"/>
              </w:rPr>
              <w:t>M</w:t>
            </w:r>
          </w:p>
        </w:tc>
        <w:tc>
          <w:tcPr>
            <w:tcW w:w="650" w:type="dxa"/>
          </w:tcPr>
          <w:p>
            <w:pPr>
              <w:pStyle w:val="TableParagraph"/>
              <w:spacing w:line="203" w:lineRule="exact"/>
              <w:ind w:right="236"/>
              <w:jc w:val="right"/>
              <w:rPr>
                <w:sz w:val="18"/>
              </w:rPr>
            </w:pPr>
            <w:r>
              <w:rPr>
                <w:sz w:val="18"/>
              </w:rPr>
              <w:t>M</w:t>
            </w:r>
          </w:p>
        </w:tc>
        <w:tc>
          <w:tcPr>
            <w:tcW w:w="623" w:type="dxa"/>
          </w:tcPr>
          <w:p>
            <w:pPr/>
          </w:p>
        </w:tc>
      </w:tr>
      <w:tr>
        <w:trPr>
          <w:trHeight w:val="295" w:hRule="exact"/>
        </w:trPr>
        <w:tc>
          <w:tcPr>
            <w:tcW w:w="622" w:type="dxa"/>
            <w:shd w:val="clear" w:color="auto" w:fill="C35911"/>
          </w:tcPr>
          <w:p>
            <w:pPr>
              <w:pStyle w:val="TableParagraph"/>
              <w:jc w:val="center"/>
              <w:rPr>
                <w:b/>
                <w:sz w:val="18"/>
              </w:rPr>
            </w:pPr>
            <w:r>
              <w:rPr>
                <w:b/>
                <w:sz w:val="18"/>
              </w:rPr>
              <w:t>E</w:t>
            </w:r>
          </w:p>
        </w:tc>
        <w:tc>
          <w:tcPr>
            <w:tcW w:w="622" w:type="dxa"/>
          </w:tcPr>
          <w:p>
            <w:pPr/>
          </w:p>
        </w:tc>
        <w:tc>
          <w:tcPr>
            <w:tcW w:w="623" w:type="dxa"/>
          </w:tcPr>
          <w:p>
            <w:pPr/>
          </w:p>
        </w:tc>
        <w:tc>
          <w:tcPr>
            <w:tcW w:w="622" w:type="dxa"/>
          </w:tcPr>
          <w:p>
            <w:pPr/>
          </w:p>
        </w:tc>
        <w:tc>
          <w:tcPr>
            <w:tcW w:w="622" w:type="dxa"/>
          </w:tcPr>
          <w:p>
            <w:pPr/>
          </w:p>
        </w:tc>
        <w:tc>
          <w:tcPr>
            <w:tcW w:w="623" w:type="dxa"/>
          </w:tcPr>
          <w:p>
            <w:pPr/>
          </w:p>
        </w:tc>
        <w:tc>
          <w:tcPr>
            <w:tcW w:w="650" w:type="dxa"/>
          </w:tcPr>
          <w:p>
            <w:pPr/>
          </w:p>
        </w:tc>
        <w:tc>
          <w:tcPr>
            <w:tcW w:w="623" w:type="dxa"/>
          </w:tcPr>
          <w:p>
            <w:pPr/>
          </w:p>
        </w:tc>
      </w:tr>
      <w:tr>
        <w:trPr>
          <w:trHeight w:val="295" w:hRule="exact"/>
        </w:trPr>
        <w:tc>
          <w:tcPr>
            <w:tcW w:w="622" w:type="dxa"/>
            <w:shd w:val="clear" w:color="auto" w:fill="C35911"/>
          </w:tcPr>
          <w:p>
            <w:pPr>
              <w:pStyle w:val="TableParagraph"/>
              <w:jc w:val="center"/>
              <w:rPr>
                <w:b/>
                <w:sz w:val="18"/>
              </w:rPr>
            </w:pPr>
            <w:r>
              <w:rPr>
                <w:b/>
                <w:sz w:val="18"/>
              </w:rPr>
              <w:t>F</w:t>
            </w:r>
          </w:p>
        </w:tc>
        <w:tc>
          <w:tcPr>
            <w:tcW w:w="622" w:type="dxa"/>
          </w:tcPr>
          <w:p>
            <w:pPr/>
          </w:p>
        </w:tc>
        <w:tc>
          <w:tcPr>
            <w:tcW w:w="623" w:type="dxa"/>
          </w:tcPr>
          <w:p>
            <w:pPr/>
          </w:p>
        </w:tc>
        <w:tc>
          <w:tcPr>
            <w:tcW w:w="622" w:type="dxa"/>
          </w:tcPr>
          <w:p>
            <w:pPr>
              <w:pStyle w:val="TableParagraph"/>
              <w:spacing w:line="203" w:lineRule="exact"/>
              <w:ind w:right="221"/>
              <w:jc w:val="right"/>
              <w:rPr>
                <w:sz w:val="18"/>
              </w:rPr>
            </w:pPr>
            <w:r>
              <w:rPr>
                <w:sz w:val="18"/>
              </w:rPr>
              <w:t>M</w:t>
            </w:r>
          </w:p>
        </w:tc>
        <w:tc>
          <w:tcPr>
            <w:tcW w:w="622" w:type="dxa"/>
          </w:tcPr>
          <w:p>
            <w:pPr/>
          </w:p>
        </w:tc>
        <w:tc>
          <w:tcPr>
            <w:tcW w:w="623" w:type="dxa"/>
          </w:tcPr>
          <w:p>
            <w:pPr/>
          </w:p>
        </w:tc>
        <w:tc>
          <w:tcPr>
            <w:tcW w:w="650" w:type="dxa"/>
          </w:tcPr>
          <w:p>
            <w:pPr/>
          </w:p>
        </w:tc>
        <w:tc>
          <w:tcPr>
            <w:tcW w:w="623" w:type="dxa"/>
          </w:tcPr>
          <w:p>
            <w:pPr>
              <w:pStyle w:val="TableParagraph"/>
              <w:spacing w:line="203" w:lineRule="exact"/>
              <w:ind w:right="223"/>
              <w:jc w:val="right"/>
              <w:rPr>
                <w:sz w:val="18"/>
              </w:rPr>
            </w:pPr>
            <w:r>
              <w:rPr>
                <w:sz w:val="18"/>
              </w:rPr>
              <w:t>M</w:t>
            </w:r>
          </w:p>
        </w:tc>
      </w:tr>
      <w:tr>
        <w:trPr>
          <w:trHeight w:val="295" w:hRule="exact"/>
        </w:trPr>
        <w:tc>
          <w:tcPr>
            <w:tcW w:w="622" w:type="dxa"/>
            <w:shd w:val="clear" w:color="auto" w:fill="C35911"/>
          </w:tcPr>
          <w:p>
            <w:pPr>
              <w:pStyle w:val="TableParagraph"/>
              <w:spacing w:line="206" w:lineRule="exact"/>
              <w:ind w:right="1"/>
              <w:jc w:val="center"/>
              <w:rPr>
                <w:b/>
                <w:sz w:val="18"/>
              </w:rPr>
            </w:pPr>
            <w:r>
              <w:rPr>
                <w:b/>
                <w:sz w:val="18"/>
              </w:rPr>
              <w:t>G</w:t>
            </w:r>
          </w:p>
        </w:tc>
        <w:tc>
          <w:tcPr>
            <w:tcW w:w="622" w:type="dxa"/>
          </w:tcPr>
          <w:p>
            <w:pPr/>
          </w:p>
        </w:tc>
        <w:tc>
          <w:tcPr>
            <w:tcW w:w="623" w:type="dxa"/>
          </w:tcPr>
          <w:p>
            <w:pPr/>
          </w:p>
        </w:tc>
        <w:tc>
          <w:tcPr>
            <w:tcW w:w="622" w:type="dxa"/>
          </w:tcPr>
          <w:p>
            <w:pPr/>
          </w:p>
        </w:tc>
        <w:tc>
          <w:tcPr>
            <w:tcW w:w="622" w:type="dxa"/>
          </w:tcPr>
          <w:p>
            <w:pPr/>
          </w:p>
        </w:tc>
        <w:tc>
          <w:tcPr>
            <w:tcW w:w="623" w:type="dxa"/>
          </w:tcPr>
          <w:p>
            <w:pPr/>
          </w:p>
        </w:tc>
        <w:tc>
          <w:tcPr>
            <w:tcW w:w="650" w:type="dxa"/>
          </w:tcPr>
          <w:p>
            <w:pPr/>
          </w:p>
        </w:tc>
        <w:tc>
          <w:tcPr>
            <w:tcW w:w="623" w:type="dxa"/>
          </w:tcPr>
          <w:p>
            <w:pPr/>
          </w:p>
        </w:tc>
      </w:tr>
      <w:tr>
        <w:trPr>
          <w:trHeight w:val="295" w:hRule="exact"/>
        </w:trPr>
        <w:tc>
          <w:tcPr>
            <w:tcW w:w="622" w:type="dxa"/>
            <w:tcBorders>
              <w:bottom w:val="single" w:sz="6" w:space="0" w:color="FFFFFF"/>
            </w:tcBorders>
            <w:shd w:val="clear" w:color="auto" w:fill="C35911"/>
          </w:tcPr>
          <w:p>
            <w:pPr>
              <w:pStyle w:val="TableParagraph"/>
              <w:spacing w:line="206" w:lineRule="exact"/>
              <w:ind w:right="1"/>
              <w:jc w:val="center"/>
              <w:rPr>
                <w:b/>
                <w:sz w:val="18"/>
              </w:rPr>
            </w:pPr>
            <w:r>
              <w:rPr>
                <w:b/>
                <w:sz w:val="18"/>
              </w:rPr>
              <w:t>H</w:t>
            </w:r>
          </w:p>
        </w:tc>
        <w:tc>
          <w:tcPr>
            <w:tcW w:w="622" w:type="dxa"/>
            <w:tcBorders>
              <w:bottom w:val="single" w:sz="6" w:space="0" w:color="FFFFFF"/>
            </w:tcBorders>
          </w:tcPr>
          <w:p>
            <w:pPr>
              <w:pStyle w:val="TableParagraph"/>
              <w:spacing w:line="202" w:lineRule="exact"/>
              <w:ind w:right="221"/>
              <w:jc w:val="right"/>
              <w:rPr>
                <w:sz w:val="18"/>
              </w:rPr>
            </w:pPr>
            <w:r>
              <w:rPr>
                <w:sz w:val="18"/>
              </w:rPr>
              <w:t>M</w:t>
            </w:r>
          </w:p>
        </w:tc>
        <w:tc>
          <w:tcPr>
            <w:tcW w:w="623" w:type="dxa"/>
            <w:tcBorders>
              <w:bottom w:val="single" w:sz="6" w:space="0" w:color="FFFFFF"/>
            </w:tcBorders>
          </w:tcPr>
          <w:p>
            <w:pPr>
              <w:pStyle w:val="TableParagraph"/>
              <w:spacing w:line="202" w:lineRule="exact"/>
              <w:ind w:right="223"/>
              <w:jc w:val="right"/>
              <w:rPr>
                <w:sz w:val="18"/>
              </w:rPr>
            </w:pPr>
            <w:r>
              <w:rPr>
                <w:sz w:val="18"/>
              </w:rPr>
              <w:t>M</w:t>
            </w:r>
          </w:p>
        </w:tc>
        <w:tc>
          <w:tcPr>
            <w:tcW w:w="622" w:type="dxa"/>
            <w:tcBorders>
              <w:bottom w:val="single" w:sz="6" w:space="0" w:color="FFFFFF"/>
            </w:tcBorders>
          </w:tcPr>
          <w:p>
            <w:pPr/>
          </w:p>
        </w:tc>
        <w:tc>
          <w:tcPr>
            <w:tcW w:w="622" w:type="dxa"/>
            <w:tcBorders>
              <w:bottom w:val="single" w:sz="6" w:space="0" w:color="FFFFFF"/>
            </w:tcBorders>
          </w:tcPr>
          <w:p>
            <w:pPr>
              <w:pStyle w:val="TableParagraph"/>
              <w:spacing w:line="202" w:lineRule="exact"/>
              <w:ind w:right="221"/>
              <w:jc w:val="right"/>
              <w:rPr>
                <w:sz w:val="18"/>
              </w:rPr>
            </w:pPr>
            <w:r>
              <w:rPr>
                <w:sz w:val="18"/>
              </w:rPr>
              <w:t>M</w:t>
            </w:r>
          </w:p>
        </w:tc>
        <w:tc>
          <w:tcPr>
            <w:tcW w:w="623" w:type="dxa"/>
            <w:tcBorders>
              <w:bottom w:val="single" w:sz="6" w:space="0" w:color="FFFFFF"/>
            </w:tcBorders>
          </w:tcPr>
          <w:p>
            <w:pPr/>
          </w:p>
        </w:tc>
        <w:tc>
          <w:tcPr>
            <w:tcW w:w="650" w:type="dxa"/>
            <w:tcBorders>
              <w:bottom w:val="single" w:sz="6" w:space="0" w:color="FFFFFF"/>
            </w:tcBorders>
          </w:tcPr>
          <w:p>
            <w:pPr/>
          </w:p>
        </w:tc>
        <w:tc>
          <w:tcPr>
            <w:tcW w:w="623" w:type="dxa"/>
            <w:tcBorders>
              <w:bottom w:val="single" w:sz="6" w:space="0" w:color="FFFFFF"/>
            </w:tcBorders>
          </w:tcPr>
          <w:p>
            <w:pPr/>
          </w:p>
        </w:tc>
      </w:tr>
    </w:tbl>
    <w:p>
      <w:pPr>
        <w:spacing w:after="0"/>
        <w:sectPr>
          <w:type w:val="continuous"/>
          <w:pgSz w:w="12240" w:h="15840"/>
          <w:pgMar w:top="1500" w:bottom="280" w:left="580" w:right="220"/>
        </w:sectPr>
      </w:pPr>
    </w:p>
    <w:p>
      <w:pPr>
        <w:pStyle w:val="BodyText"/>
        <w:spacing w:before="1"/>
        <w:rPr>
          <w:sz w:val="18"/>
        </w:rPr>
      </w:pPr>
    </w:p>
    <w:tbl>
      <w:tblPr>
        <w:tblW w:w="0" w:type="auto"/>
        <w:jc w:val="left"/>
        <w:tblInd w:w="19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622"/>
        <w:gridCol w:w="622"/>
        <w:gridCol w:w="623"/>
        <w:gridCol w:w="622"/>
        <w:gridCol w:w="622"/>
        <w:gridCol w:w="623"/>
        <w:gridCol w:w="650"/>
        <w:gridCol w:w="623"/>
      </w:tblGrid>
      <w:tr>
        <w:trPr>
          <w:trHeight w:val="318" w:hRule="exact"/>
        </w:trPr>
        <w:tc>
          <w:tcPr>
            <w:tcW w:w="622" w:type="dxa"/>
            <w:shd w:val="clear" w:color="auto" w:fill="C35911"/>
          </w:tcPr>
          <w:p>
            <w:pPr>
              <w:pStyle w:val="TableParagraph"/>
              <w:spacing w:line="206" w:lineRule="exact"/>
              <w:ind w:left="268"/>
              <w:rPr>
                <w:b/>
                <w:sz w:val="18"/>
              </w:rPr>
            </w:pPr>
            <w:r>
              <w:rPr>
                <w:b/>
                <w:sz w:val="18"/>
              </w:rPr>
              <w:t>I</w:t>
            </w:r>
          </w:p>
        </w:tc>
        <w:tc>
          <w:tcPr>
            <w:tcW w:w="622" w:type="dxa"/>
          </w:tcPr>
          <w:p>
            <w:pPr/>
          </w:p>
        </w:tc>
        <w:tc>
          <w:tcPr>
            <w:tcW w:w="623" w:type="dxa"/>
          </w:tcPr>
          <w:p>
            <w:pPr/>
          </w:p>
        </w:tc>
        <w:tc>
          <w:tcPr>
            <w:tcW w:w="622" w:type="dxa"/>
          </w:tcPr>
          <w:p>
            <w:pPr>
              <w:pStyle w:val="TableParagraph"/>
              <w:spacing w:line="202" w:lineRule="exact"/>
              <w:jc w:val="center"/>
              <w:rPr>
                <w:sz w:val="18"/>
              </w:rPr>
            </w:pPr>
            <w:r>
              <w:rPr>
                <w:sz w:val="18"/>
              </w:rPr>
              <w:t>M</w:t>
            </w:r>
          </w:p>
        </w:tc>
        <w:tc>
          <w:tcPr>
            <w:tcW w:w="622" w:type="dxa"/>
          </w:tcPr>
          <w:p>
            <w:pPr>
              <w:pStyle w:val="TableParagraph"/>
              <w:spacing w:line="202" w:lineRule="exact"/>
              <w:jc w:val="center"/>
              <w:rPr>
                <w:sz w:val="18"/>
              </w:rPr>
            </w:pPr>
            <w:r>
              <w:rPr>
                <w:sz w:val="18"/>
              </w:rPr>
              <w:t>M</w:t>
            </w:r>
          </w:p>
        </w:tc>
        <w:tc>
          <w:tcPr>
            <w:tcW w:w="623" w:type="dxa"/>
          </w:tcPr>
          <w:p>
            <w:pPr>
              <w:pStyle w:val="TableParagraph"/>
              <w:spacing w:line="202" w:lineRule="exact"/>
              <w:ind w:right="221"/>
              <w:jc w:val="right"/>
              <w:rPr>
                <w:sz w:val="18"/>
              </w:rPr>
            </w:pPr>
            <w:r>
              <w:rPr>
                <w:sz w:val="18"/>
              </w:rPr>
              <w:t>M</w:t>
            </w:r>
          </w:p>
        </w:tc>
        <w:tc>
          <w:tcPr>
            <w:tcW w:w="650" w:type="dxa"/>
          </w:tcPr>
          <w:p>
            <w:pPr>
              <w:pStyle w:val="TableParagraph"/>
              <w:spacing w:line="202" w:lineRule="exact"/>
              <w:jc w:val="center"/>
              <w:rPr>
                <w:sz w:val="18"/>
              </w:rPr>
            </w:pPr>
            <w:r>
              <w:rPr>
                <w:sz w:val="18"/>
              </w:rPr>
              <w:t>M</w:t>
            </w:r>
          </w:p>
        </w:tc>
        <w:tc>
          <w:tcPr>
            <w:tcW w:w="623" w:type="dxa"/>
          </w:tcPr>
          <w:p>
            <w:pPr/>
          </w:p>
        </w:tc>
      </w:tr>
      <w:tr>
        <w:trPr>
          <w:trHeight w:val="319" w:hRule="exact"/>
        </w:trPr>
        <w:tc>
          <w:tcPr>
            <w:tcW w:w="622" w:type="dxa"/>
            <w:shd w:val="clear" w:color="auto" w:fill="C35911"/>
          </w:tcPr>
          <w:p>
            <w:pPr>
              <w:pStyle w:val="TableParagraph"/>
              <w:ind w:left="257"/>
              <w:rPr>
                <w:b/>
                <w:sz w:val="18"/>
              </w:rPr>
            </w:pPr>
            <w:r>
              <w:rPr>
                <w:b/>
                <w:sz w:val="18"/>
              </w:rPr>
              <w:t>J</w:t>
            </w:r>
          </w:p>
        </w:tc>
        <w:tc>
          <w:tcPr>
            <w:tcW w:w="622" w:type="dxa"/>
          </w:tcPr>
          <w:p>
            <w:pPr/>
          </w:p>
        </w:tc>
        <w:tc>
          <w:tcPr>
            <w:tcW w:w="623" w:type="dxa"/>
          </w:tcPr>
          <w:p>
            <w:pPr/>
          </w:p>
        </w:tc>
        <w:tc>
          <w:tcPr>
            <w:tcW w:w="622" w:type="dxa"/>
          </w:tcPr>
          <w:p>
            <w:pPr/>
          </w:p>
        </w:tc>
        <w:tc>
          <w:tcPr>
            <w:tcW w:w="622" w:type="dxa"/>
          </w:tcPr>
          <w:p>
            <w:pPr/>
          </w:p>
        </w:tc>
        <w:tc>
          <w:tcPr>
            <w:tcW w:w="623" w:type="dxa"/>
          </w:tcPr>
          <w:p>
            <w:pPr/>
          </w:p>
        </w:tc>
        <w:tc>
          <w:tcPr>
            <w:tcW w:w="650" w:type="dxa"/>
          </w:tcPr>
          <w:p>
            <w:pPr/>
          </w:p>
        </w:tc>
        <w:tc>
          <w:tcPr>
            <w:tcW w:w="623" w:type="dxa"/>
          </w:tcPr>
          <w:p>
            <w:pPr/>
          </w:p>
        </w:tc>
      </w:tr>
      <w:tr>
        <w:trPr>
          <w:trHeight w:val="319" w:hRule="exact"/>
        </w:trPr>
        <w:tc>
          <w:tcPr>
            <w:tcW w:w="622" w:type="dxa"/>
            <w:shd w:val="clear" w:color="auto" w:fill="C35911"/>
          </w:tcPr>
          <w:p>
            <w:pPr>
              <w:pStyle w:val="TableParagraph"/>
              <w:ind w:left="232"/>
              <w:rPr>
                <w:b/>
                <w:sz w:val="18"/>
              </w:rPr>
            </w:pPr>
            <w:r>
              <w:rPr>
                <w:b/>
                <w:sz w:val="18"/>
              </w:rPr>
              <w:t>K</w:t>
            </w:r>
          </w:p>
        </w:tc>
        <w:tc>
          <w:tcPr>
            <w:tcW w:w="622" w:type="dxa"/>
          </w:tcPr>
          <w:p>
            <w:pPr/>
          </w:p>
        </w:tc>
        <w:tc>
          <w:tcPr>
            <w:tcW w:w="623" w:type="dxa"/>
          </w:tcPr>
          <w:p>
            <w:pPr/>
          </w:p>
        </w:tc>
        <w:tc>
          <w:tcPr>
            <w:tcW w:w="622" w:type="dxa"/>
          </w:tcPr>
          <w:p>
            <w:pPr/>
          </w:p>
        </w:tc>
        <w:tc>
          <w:tcPr>
            <w:tcW w:w="622" w:type="dxa"/>
          </w:tcPr>
          <w:p>
            <w:pPr/>
          </w:p>
        </w:tc>
        <w:tc>
          <w:tcPr>
            <w:tcW w:w="623" w:type="dxa"/>
          </w:tcPr>
          <w:p>
            <w:pPr/>
          </w:p>
        </w:tc>
        <w:tc>
          <w:tcPr>
            <w:tcW w:w="650" w:type="dxa"/>
          </w:tcPr>
          <w:p>
            <w:pPr/>
          </w:p>
        </w:tc>
        <w:tc>
          <w:tcPr>
            <w:tcW w:w="623" w:type="dxa"/>
          </w:tcPr>
          <w:p>
            <w:pPr/>
          </w:p>
        </w:tc>
      </w:tr>
      <w:tr>
        <w:trPr>
          <w:trHeight w:val="319" w:hRule="exact"/>
        </w:trPr>
        <w:tc>
          <w:tcPr>
            <w:tcW w:w="622" w:type="dxa"/>
            <w:shd w:val="clear" w:color="auto" w:fill="C35911"/>
          </w:tcPr>
          <w:p>
            <w:pPr>
              <w:pStyle w:val="TableParagraph"/>
              <w:ind w:left="243"/>
              <w:rPr>
                <w:b/>
                <w:sz w:val="18"/>
              </w:rPr>
            </w:pPr>
            <w:r>
              <w:rPr>
                <w:b/>
                <w:sz w:val="18"/>
              </w:rPr>
              <w:t>L</w:t>
            </w:r>
          </w:p>
        </w:tc>
        <w:tc>
          <w:tcPr>
            <w:tcW w:w="622" w:type="dxa"/>
          </w:tcPr>
          <w:p>
            <w:pPr/>
          </w:p>
        </w:tc>
        <w:tc>
          <w:tcPr>
            <w:tcW w:w="623" w:type="dxa"/>
          </w:tcPr>
          <w:p>
            <w:pPr/>
          </w:p>
        </w:tc>
        <w:tc>
          <w:tcPr>
            <w:tcW w:w="622" w:type="dxa"/>
          </w:tcPr>
          <w:p>
            <w:pPr/>
          </w:p>
        </w:tc>
        <w:tc>
          <w:tcPr>
            <w:tcW w:w="622" w:type="dxa"/>
          </w:tcPr>
          <w:p>
            <w:pPr/>
          </w:p>
        </w:tc>
        <w:tc>
          <w:tcPr>
            <w:tcW w:w="623" w:type="dxa"/>
          </w:tcPr>
          <w:p>
            <w:pPr/>
          </w:p>
        </w:tc>
        <w:tc>
          <w:tcPr>
            <w:tcW w:w="650" w:type="dxa"/>
          </w:tcPr>
          <w:p>
            <w:pPr/>
          </w:p>
        </w:tc>
        <w:tc>
          <w:tcPr>
            <w:tcW w:w="623" w:type="dxa"/>
          </w:tcPr>
          <w:p>
            <w:pPr/>
          </w:p>
        </w:tc>
      </w:tr>
      <w:tr>
        <w:trPr>
          <w:trHeight w:val="319" w:hRule="exact"/>
        </w:trPr>
        <w:tc>
          <w:tcPr>
            <w:tcW w:w="622" w:type="dxa"/>
            <w:shd w:val="clear" w:color="auto" w:fill="C35911"/>
          </w:tcPr>
          <w:p>
            <w:pPr>
              <w:pStyle w:val="TableParagraph"/>
              <w:spacing w:line="206" w:lineRule="exact"/>
              <w:ind w:left="218"/>
              <w:rPr>
                <w:b/>
                <w:sz w:val="18"/>
              </w:rPr>
            </w:pPr>
            <w:r>
              <w:rPr>
                <w:b/>
                <w:sz w:val="18"/>
              </w:rPr>
              <w:t>M</w:t>
            </w:r>
          </w:p>
        </w:tc>
        <w:tc>
          <w:tcPr>
            <w:tcW w:w="622" w:type="dxa"/>
          </w:tcPr>
          <w:p>
            <w:pPr/>
          </w:p>
        </w:tc>
        <w:tc>
          <w:tcPr>
            <w:tcW w:w="623" w:type="dxa"/>
          </w:tcPr>
          <w:p>
            <w:pPr>
              <w:pStyle w:val="TableParagraph"/>
              <w:spacing w:line="202" w:lineRule="exact"/>
              <w:jc w:val="center"/>
              <w:rPr>
                <w:sz w:val="18"/>
              </w:rPr>
            </w:pPr>
            <w:r>
              <w:rPr>
                <w:sz w:val="18"/>
              </w:rPr>
              <w:t>M</w:t>
            </w:r>
          </w:p>
        </w:tc>
        <w:tc>
          <w:tcPr>
            <w:tcW w:w="622" w:type="dxa"/>
          </w:tcPr>
          <w:p>
            <w:pPr/>
          </w:p>
        </w:tc>
        <w:tc>
          <w:tcPr>
            <w:tcW w:w="622" w:type="dxa"/>
          </w:tcPr>
          <w:p>
            <w:pPr/>
          </w:p>
        </w:tc>
        <w:tc>
          <w:tcPr>
            <w:tcW w:w="623" w:type="dxa"/>
          </w:tcPr>
          <w:p>
            <w:pPr/>
          </w:p>
        </w:tc>
        <w:tc>
          <w:tcPr>
            <w:tcW w:w="650" w:type="dxa"/>
          </w:tcPr>
          <w:p>
            <w:pPr/>
          </w:p>
        </w:tc>
        <w:tc>
          <w:tcPr>
            <w:tcW w:w="623" w:type="dxa"/>
          </w:tcPr>
          <w:p>
            <w:pPr/>
          </w:p>
        </w:tc>
      </w:tr>
      <w:tr>
        <w:trPr>
          <w:trHeight w:val="319" w:hRule="exact"/>
        </w:trPr>
        <w:tc>
          <w:tcPr>
            <w:tcW w:w="622" w:type="dxa"/>
            <w:shd w:val="clear" w:color="auto" w:fill="C35911"/>
          </w:tcPr>
          <w:p>
            <w:pPr>
              <w:pStyle w:val="TableParagraph"/>
              <w:spacing w:line="206" w:lineRule="exact"/>
              <w:ind w:left="238"/>
              <w:rPr>
                <w:b/>
                <w:sz w:val="18"/>
              </w:rPr>
            </w:pPr>
            <w:r>
              <w:rPr>
                <w:b/>
                <w:sz w:val="18"/>
              </w:rPr>
              <w:t>N</w:t>
            </w:r>
          </w:p>
        </w:tc>
        <w:tc>
          <w:tcPr>
            <w:tcW w:w="622" w:type="dxa"/>
          </w:tcPr>
          <w:p>
            <w:pPr/>
          </w:p>
        </w:tc>
        <w:tc>
          <w:tcPr>
            <w:tcW w:w="623" w:type="dxa"/>
          </w:tcPr>
          <w:p>
            <w:pPr/>
          </w:p>
        </w:tc>
        <w:tc>
          <w:tcPr>
            <w:tcW w:w="622" w:type="dxa"/>
          </w:tcPr>
          <w:p>
            <w:pPr/>
          </w:p>
        </w:tc>
        <w:tc>
          <w:tcPr>
            <w:tcW w:w="622" w:type="dxa"/>
          </w:tcPr>
          <w:p>
            <w:pPr/>
          </w:p>
        </w:tc>
        <w:tc>
          <w:tcPr>
            <w:tcW w:w="623" w:type="dxa"/>
          </w:tcPr>
          <w:p>
            <w:pPr/>
          </w:p>
        </w:tc>
        <w:tc>
          <w:tcPr>
            <w:tcW w:w="650" w:type="dxa"/>
          </w:tcPr>
          <w:p>
            <w:pPr/>
          </w:p>
        </w:tc>
        <w:tc>
          <w:tcPr>
            <w:tcW w:w="623" w:type="dxa"/>
          </w:tcPr>
          <w:p>
            <w:pPr/>
          </w:p>
        </w:tc>
      </w:tr>
      <w:tr>
        <w:trPr>
          <w:trHeight w:val="319" w:hRule="exact"/>
        </w:trPr>
        <w:tc>
          <w:tcPr>
            <w:tcW w:w="622" w:type="dxa"/>
            <w:shd w:val="clear" w:color="auto" w:fill="C35911"/>
          </w:tcPr>
          <w:p>
            <w:pPr>
              <w:pStyle w:val="TableParagraph"/>
              <w:spacing w:line="206" w:lineRule="exact"/>
              <w:ind w:left="232"/>
              <w:rPr>
                <w:b/>
                <w:sz w:val="18"/>
              </w:rPr>
            </w:pPr>
            <w:r>
              <w:rPr>
                <w:b/>
                <w:sz w:val="18"/>
              </w:rPr>
              <w:t>O</w:t>
            </w:r>
          </w:p>
        </w:tc>
        <w:tc>
          <w:tcPr>
            <w:tcW w:w="622" w:type="dxa"/>
          </w:tcPr>
          <w:p>
            <w:pPr/>
          </w:p>
        </w:tc>
        <w:tc>
          <w:tcPr>
            <w:tcW w:w="623" w:type="dxa"/>
          </w:tcPr>
          <w:p>
            <w:pPr>
              <w:pStyle w:val="TableParagraph"/>
              <w:spacing w:line="202" w:lineRule="exact"/>
              <w:jc w:val="center"/>
              <w:rPr>
                <w:sz w:val="18"/>
              </w:rPr>
            </w:pPr>
            <w:r>
              <w:rPr>
                <w:sz w:val="18"/>
              </w:rPr>
              <w:t>M</w:t>
            </w:r>
          </w:p>
        </w:tc>
        <w:tc>
          <w:tcPr>
            <w:tcW w:w="622" w:type="dxa"/>
          </w:tcPr>
          <w:p>
            <w:pPr/>
          </w:p>
        </w:tc>
        <w:tc>
          <w:tcPr>
            <w:tcW w:w="622" w:type="dxa"/>
          </w:tcPr>
          <w:p>
            <w:pPr>
              <w:pStyle w:val="TableParagraph"/>
              <w:spacing w:line="202" w:lineRule="exact"/>
              <w:jc w:val="center"/>
              <w:rPr>
                <w:sz w:val="18"/>
              </w:rPr>
            </w:pPr>
            <w:r>
              <w:rPr>
                <w:sz w:val="18"/>
              </w:rPr>
              <w:t>M</w:t>
            </w:r>
          </w:p>
        </w:tc>
        <w:tc>
          <w:tcPr>
            <w:tcW w:w="623" w:type="dxa"/>
          </w:tcPr>
          <w:p>
            <w:pPr>
              <w:pStyle w:val="TableParagraph"/>
              <w:spacing w:line="202" w:lineRule="exact"/>
              <w:ind w:right="221"/>
              <w:jc w:val="right"/>
              <w:rPr>
                <w:sz w:val="18"/>
              </w:rPr>
            </w:pPr>
            <w:r>
              <w:rPr>
                <w:sz w:val="18"/>
              </w:rPr>
              <w:t>M</w:t>
            </w:r>
          </w:p>
        </w:tc>
        <w:tc>
          <w:tcPr>
            <w:tcW w:w="650" w:type="dxa"/>
          </w:tcPr>
          <w:p>
            <w:pPr/>
          </w:p>
        </w:tc>
        <w:tc>
          <w:tcPr>
            <w:tcW w:w="623" w:type="dxa"/>
          </w:tcPr>
          <w:p>
            <w:pPr/>
          </w:p>
        </w:tc>
      </w:tr>
    </w:tbl>
    <w:p>
      <w:pPr>
        <w:spacing w:line="202" w:lineRule="exact" w:before="0"/>
        <w:ind w:left="712" w:right="6276" w:firstLine="0"/>
        <w:jc w:val="left"/>
        <w:rPr>
          <w:sz w:val="18"/>
        </w:rPr>
      </w:pPr>
      <w:r>
        <w:rPr/>
        <w:pict>
          <v:shape style="position:absolute;margin-left:319.920013pt;margin-top:-112.379967pt;width:251.35pt;height:156.6pt;mso-position-horizontal-relative:page;mso-position-vertical-relative:paragraph;z-index:16144" type="#_x0000_t202" filled="false" stroked="false">
            <v:textbox inset="0,0,0,0">
              <w:txbxContent>
                <w:tbl>
                  <w:tblPr>
                    <w:tblW w:w="0" w:type="auto"/>
                    <w:jc w:val="lef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637"/>
                    <w:gridCol w:w="618"/>
                    <w:gridCol w:w="636"/>
                    <w:gridCol w:w="638"/>
                    <w:gridCol w:w="619"/>
                    <w:gridCol w:w="619"/>
                    <w:gridCol w:w="619"/>
                    <w:gridCol w:w="618"/>
                  </w:tblGrid>
                  <w:tr>
                    <w:trPr>
                      <w:trHeight w:val="294" w:hRule="exact"/>
                    </w:trPr>
                    <w:tc>
                      <w:tcPr>
                        <w:tcW w:w="637" w:type="dxa"/>
                        <w:shd w:val="clear" w:color="auto" w:fill="C35911"/>
                      </w:tcPr>
                      <w:p>
                        <w:pPr>
                          <w:pStyle w:val="TableParagraph"/>
                          <w:spacing w:line="206" w:lineRule="exact"/>
                          <w:ind w:right="1"/>
                          <w:jc w:val="center"/>
                          <w:rPr>
                            <w:b/>
                            <w:sz w:val="18"/>
                          </w:rPr>
                        </w:pPr>
                        <w:r>
                          <w:rPr>
                            <w:b/>
                            <w:sz w:val="18"/>
                          </w:rPr>
                          <w:t>F</w:t>
                        </w:r>
                      </w:p>
                    </w:tc>
                    <w:tc>
                      <w:tcPr>
                        <w:tcW w:w="618" w:type="dxa"/>
                      </w:tcPr>
                      <w:p>
                        <w:pPr>
                          <w:pStyle w:val="TableParagraph"/>
                          <w:spacing w:line="202" w:lineRule="exact"/>
                          <w:ind w:left="62"/>
                          <w:rPr>
                            <w:sz w:val="18"/>
                          </w:rPr>
                        </w:pPr>
                        <w:r>
                          <w:rPr>
                            <w:sz w:val="18"/>
                          </w:rPr>
                          <w:t>M</w:t>
                        </w:r>
                      </w:p>
                    </w:tc>
                    <w:tc>
                      <w:tcPr>
                        <w:tcW w:w="636" w:type="dxa"/>
                      </w:tcPr>
                      <w:p>
                        <w:pPr>
                          <w:pStyle w:val="TableParagraph"/>
                          <w:spacing w:line="202" w:lineRule="exact"/>
                          <w:ind w:left="62"/>
                          <w:rPr>
                            <w:sz w:val="18"/>
                          </w:rPr>
                        </w:pPr>
                        <w:r>
                          <w:rPr>
                            <w:sz w:val="18"/>
                          </w:rPr>
                          <w:t>M</w:t>
                        </w:r>
                      </w:p>
                    </w:tc>
                    <w:tc>
                      <w:tcPr>
                        <w:tcW w:w="638" w:type="dxa"/>
                      </w:tcPr>
                      <w:p>
                        <w:pPr/>
                      </w:p>
                    </w:tc>
                    <w:tc>
                      <w:tcPr>
                        <w:tcW w:w="619" w:type="dxa"/>
                      </w:tcPr>
                      <w:p>
                        <w:pPr>
                          <w:pStyle w:val="TableParagraph"/>
                          <w:spacing w:line="202" w:lineRule="exact"/>
                          <w:ind w:left="62"/>
                          <w:rPr>
                            <w:sz w:val="18"/>
                          </w:rPr>
                        </w:pPr>
                        <w:r>
                          <w:rPr>
                            <w:sz w:val="18"/>
                          </w:rPr>
                          <w:t>M</w:t>
                        </w:r>
                      </w:p>
                    </w:tc>
                    <w:tc>
                      <w:tcPr>
                        <w:tcW w:w="619" w:type="dxa"/>
                      </w:tcPr>
                      <w:p>
                        <w:pPr/>
                      </w:p>
                    </w:tc>
                    <w:tc>
                      <w:tcPr>
                        <w:tcW w:w="619" w:type="dxa"/>
                      </w:tcPr>
                      <w:p>
                        <w:pPr>
                          <w:pStyle w:val="TableParagraph"/>
                          <w:spacing w:line="202" w:lineRule="exact"/>
                          <w:ind w:left="62"/>
                          <w:rPr>
                            <w:sz w:val="18"/>
                          </w:rPr>
                        </w:pPr>
                        <w:r>
                          <w:rPr>
                            <w:sz w:val="18"/>
                          </w:rPr>
                          <w:t>M</w:t>
                        </w:r>
                      </w:p>
                    </w:tc>
                    <w:tc>
                      <w:tcPr>
                        <w:tcW w:w="618" w:type="dxa"/>
                      </w:tcPr>
                      <w:p>
                        <w:pPr>
                          <w:pStyle w:val="TableParagraph"/>
                          <w:spacing w:line="202" w:lineRule="exact"/>
                          <w:ind w:left="62"/>
                          <w:rPr>
                            <w:sz w:val="18"/>
                          </w:rPr>
                        </w:pPr>
                        <w:r>
                          <w:rPr>
                            <w:sz w:val="18"/>
                          </w:rPr>
                          <w:t>M</w:t>
                        </w:r>
                      </w:p>
                    </w:tc>
                  </w:tr>
                  <w:tr>
                    <w:trPr>
                      <w:trHeight w:val="295" w:hRule="exact"/>
                    </w:trPr>
                    <w:tc>
                      <w:tcPr>
                        <w:tcW w:w="637" w:type="dxa"/>
                        <w:shd w:val="clear" w:color="auto" w:fill="C35911"/>
                      </w:tcPr>
                      <w:p>
                        <w:pPr>
                          <w:pStyle w:val="TableParagraph"/>
                          <w:jc w:val="center"/>
                          <w:rPr>
                            <w:b/>
                            <w:sz w:val="18"/>
                          </w:rPr>
                        </w:pPr>
                        <w:r>
                          <w:rPr>
                            <w:b/>
                            <w:sz w:val="18"/>
                          </w:rPr>
                          <w:t>G</w:t>
                        </w:r>
                      </w:p>
                    </w:tc>
                    <w:tc>
                      <w:tcPr>
                        <w:tcW w:w="618" w:type="dxa"/>
                      </w:tcPr>
                      <w:p>
                        <w:pPr/>
                      </w:p>
                    </w:tc>
                    <w:tc>
                      <w:tcPr>
                        <w:tcW w:w="636" w:type="dxa"/>
                      </w:tcPr>
                      <w:p>
                        <w:pPr/>
                      </w:p>
                    </w:tc>
                    <w:tc>
                      <w:tcPr>
                        <w:tcW w:w="638" w:type="dxa"/>
                      </w:tcPr>
                      <w:p>
                        <w:pPr/>
                      </w:p>
                    </w:tc>
                    <w:tc>
                      <w:tcPr>
                        <w:tcW w:w="619" w:type="dxa"/>
                      </w:tcPr>
                      <w:p>
                        <w:pPr/>
                      </w:p>
                    </w:tc>
                    <w:tc>
                      <w:tcPr>
                        <w:tcW w:w="619" w:type="dxa"/>
                      </w:tcPr>
                      <w:p>
                        <w:pPr/>
                      </w:p>
                    </w:tc>
                    <w:tc>
                      <w:tcPr>
                        <w:tcW w:w="619" w:type="dxa"/>
                      </w:tcPr>
                      <w:p>
                        <w:pPr/>
                      </w:p>
                    </w:tc>
                    <w:tc>
                      <w:tcPr>
                        <w:tcW w:w="618" w:type="dxa"/>
                      </w:tcPr>
                      <w:p>
                        <w:pPr/>
                      </w:p>
                    </w:tc>
                  </w:tr>
                  <w:tr>
                    <w:trPr>
                      <w:trHeight w:val="295" w:hRule="exact"/>
                    </w:trPr>
                    <w:tc>
                      <w:tcPr>
                        <w:tcW w:w="637" w:type="dxa"/>
                        <w:shd w:val="clear" w:color="auto" w:fill="C35911"/>
                      </w:tcPr>
                      <w:p>
                        <w:pPr>
                          <w:pStyle w:val="TableParagraph"/>
                          <w:jc w:val="center"/>
                          <w:rPr>
                            <w:b/>
                            <w:sz w:val="18"/>
                          </w:rPr>
                        </w:pPr>
                        <w:r>
                          <w:rPr>
                            <w:b/>
                            <w:sz w:val="18"/>
                          </w:rPr>
                          <w:t>H</w:t>
                        </w:r>
                      </w:p>
                    </w:tc>
                    <w:tc>
                      <w:tcPr>
                        <w:tcW w:w="618" w:type="dxa"/>
                      </w:tcPr>
                      <w:p>
                        <w:pPr/>
                      </w:p>
                    </w:tc>
                    <w:tc>
                      <w:tcPr>
                        <w:tcW w:w="636" w:type="dxa"/>
                      </w:tcPr>
                      <w:p>
                        <w:pPr/>
                      </w:p>
                    </w:tc>
                    <w:tc>
                      <w:tcPr>
                        <w:tcW w:w="638" w:type="dxa"/>
                      </w:tcPr>
                      <w:p>
                        <w:pPr/>
                      </w:p>
                    </w:tc>
                    <w:tc>
                      <w:tcPr>
                        <w:tcW w:w="619" w:type="dxa"/>
                      </w:tcPr>
                      <w:p>
                        <w:pPr/>
                      </w:p>
                    </w:tc>
                    <w:tc>
                      <w:tcPr>
                        <w:tcW w:w="619" w:type="dxa"/>
                      </w:tcPr>
                      <w:p>
                        <w:pPr/>
                      </w:p>
                    </w:tc>
                    <w:tc>
                      <w:tcPr>
                        <w:tcW w:w="619" w:type="dxa"/>
                      </w:tcPr>
                      <w:p>
                        <w:pPr/>
                      </w:p>
                    </w:tc>
                    <w:tc>
                      <w:tcPr>
                        <w:tcW w:w="618" w:type="dxa"/>
                      </w:tcPr>
                      <w:p>
                        <w:pPr/>
                      </w:p>
                    </w:tc>
                  </w:tr>
                  <w:tr>
                    <w:trPr>
                      <w:trHeight w:val="319" w:hRule="exact"/>
                    </w:trPr>
                    <w:tc>
                      <w:tcPr>
                        <w:tcW w:w="637" w:type="dxa"/>
                        <w:shd w:val="clear" w:color="auto" w:fill="C35911"/>
                      </w:tcPr>
                      <w:p>
                        <w:pPr>
                          <w:pStyle w:val="TableParagraph"/>
                          <w:jc w:val="center"/>
                          <w:rPr>
                            <w:b/>
                            <w:sz w:val="18"/>
                          </w:rPr>
                        </w:pPr>
                        <w:r>
                          <w:rPr>
                            <w:b/>
                            <w:sz w:val="18"/>
                          </w:rPr>
                          <w:t>I</w:t>
                        </w:r>
                      </w:p>
                    </w:tc>
                    <w:tc>
                      <w:tcPr>
                        <w:tcW w:w="618" w:type="dxa"/>
                      </w:tcPr>
                      <w:p>
                        <w:pPr/>
                      </w:p>
                    </w:tc>
                    <w:tc>
                      <w:tcPr>
                        <w:tcW w:w="636" w:type="dxa"/>
                      </w:tcPr>
                      <w:p>
                        <w:pPr>
                          <w:pStyle w:val="TableParagraph"/>
                          <w:spacing w:line="203" w:lineRule="exact"/>
                          <w:ind w:left="62"/>
                          <w:rPr>
                            <w:sz w:val="18"/>
                          </w:rPr>
                        </w:pPr>
                        <w:r>
                          <w:rPr>
                            <w:sz w:val="18"/>
                          </w:rPr>
                          <w:t>M</w:t>
                        </w:r>
                      </w:p>
                    </w:tc>
                    <w:tc>
                      <w:tcPr>
                        <w:tcW w:w="638" w:type="dxa"/>
                      </w:tcPr>
                      <w:p>
                        <w:pPr/>
                      </w:p>
                    </w:tc>
                    <w:tc>
                      <w:tcPr>
                        <w:tcW w:w="619" w:type="dxa"/>
                      </w:tcPr>
                      <w:p>
                        <w:pPr>
                          <w:pStyle w:val="TableParagraph"/>
                          <w:spacing w:line="203" w:lineRule="exact"/>
                          <w:ind w:left="62"/>
                          <w:rPr>
                            <w:sz w:val="18"/>
                          </w:rPr>
                        </w:pPr>
                        <w:r>
                          <w:rPr>
                            <w:sz w:val="18"/>
                          </w:rPr>
                          <w:t>M</w:t>
                        </w:r>
                      </w:p>
                    </w:tc>
                    <w:tc>
                      <w:tcPr>
                        <w:tcW w:w="619" w:type="dxa"/>
                      </w:tcPr>
                      <w:p>
                        <w:pPr>
                          <w:pStyle w:val="TableParagraph"/>
                          <w:spacing w:line="203" w:lineRule="exact"/>
                          <w:ind w:left="62"/>
                          <w:rPr>
                            <w:sz w:val="18"/>
                          </w:rPr>
                        </w:pPr>
                        <w:r>
                          <w:rPr>
                            <w:sz w:val="18"/>
                          </w:rPr>
                          <w:t>M</w:t>
                        </w:r>
                      </w:p>
                    </w:tc>
                    <w:tc>
                      <w:tcPr>
                        <w:tcW w:w="619" w:type="dxa"/>
                      </w:tcPr>
                      <w:p>
                        <w:pPr/>
                      </w:p>
                    </w:tc>
                    <w:tc>
                      <w:tcPr>
                        <w:tcW w:w="618" w:type="dxa"/>
                      </w:tcPr>
                      <w:p>
                        <w:pPr/>
                      </w:p>
                    </w:tc>
                  </w:tr>
                  <w:tr>
                    <w:trPr>
                      <w:trHeight w:val="319" w:hRule="exact"/>
                    </w:trPr>
                    <w:tc>
                      <w:tcPr>
                        <w:tcW w:w="637" w:type="dxa"/>
                        <w:shd w:val="clear" w:color="auto" w:fill="C35911"/>
                      </w:tcPr>
                      <w:p>
                        <w:pPr>
                          <w:pStyle w:val="TableParagraph"/>
                          <w:spacing w:line="206" w:lineRule="exact"/>
                          <w:jc w:val="center"/>
                          <w:rPr>
                            <w:b/>
                            <w:sz w:val="18"/>
                          </w:rPr>
                        </w:pPr>
                        <w:r>
                          <w:rPr>
                            <w:b/>
                            <w:sz w:val="18"/>
                          </w:rPr>
                          <w:t>J</w:t>
                        </w:r>
                      </w:p>
                    </w:tc>
                    <w:tc>
                      <w:tcPr>
                        <w:tcW w:w="618" w:type="dxa"/>
                      </w:tcPr>
                      <w:p>
                        <w:pPr/>
                      </w:p>
                    </w:tc>
                    <w:tc>
                      <w:tcPr>
                        <w:tcW w:w="636" w:type="dxa"/>
                      </w:tcPr>
                      <w:p>
                        <w:pPr/>
                      </w:p>
                    </w:tc>
                    <w:tc>
                      <w:tcPr>
                        <w:tcW w:w="638" w:type="dxa"/>
                      </w:tcPr>
                      <w:p>
                        <w:pPr/>
                      </w:p>
                    </w:tc>
                    <w:tc>
                      <w:tcPr>
                        <w:tcW w:w="619" w:type="dxa"/>
                      </w:tcPr>
                      <w:p>
                        <w:pPr/>
                      </w:p>
                    </w:tc>
                    <w:tc>
                      <w:tcPr>
                        <w:tcW w:w="619" w:type="dxa"/>
                      </w:tcPr>
                      <w:p>
                        <w:pPr/>
                      </w:p>
                    </w:tc>
                    <w:tc>
                      <w:tcPr>
                        <w:tcW w:w="619" w:type="dxa"/>
                      </w:tcPr>
                      <w:p>
                        <w:pPr/>
                      </w:p>
                    </w:tc>
                    <w:tc>
                      <w:tcPr>
                        <w:tcW w:w="618" w:type="dxa"/>
                      </w:tcPr>
                      <w:p>
                        <w:pPr/>
                      </w:p>
                    </w:tc>
                  </w:tr>
                  <w:tr>
                    <w:trPr>
                      <w:trHeight w:val="319" w:hRule="exact"/>
                    </w:trPr>
                    <w:tc>
                      <w:tcPr>
                        <w:tcW w:w="637" w:type="dxa"/>
                        <w:shd w:val="clear" w:color="auto" w:fill="C35911"/>
                      </w:tcPr>
                      <w:p>
                        <w:pPr>
                          <w:pStyle w:val="TableParagraph"/>
                          <w:spacing w:line="206" w:lineRule="exact"/>
                          <w:jc w:val="center"/>
                          <w:rPr>
                            <w:b/>
                            <w:sz w:val="18"/>
                          </w:rPr>
                        </w:pPr>
                        <w:r>
                          <w:rPr>
                            <w:b/>
                            <w:sz w:val="18"/>
                          </w:rPr>
                          <w:t>K</w:t>
                        </w:r>
                      </w:p>
                    </w:tc>
                    <w:tc>
                      <w:tcPr>
                        <w:tcW w:w="618" w:type="dxa"/>
                      </w:tcPr>
                      <w:p>
                        <w:pPr/>
                      </w:p>
                    </w:tc>
                    <w:tc>
                      <w:tcPr>
                        <w:tcW w:w="636" w:type="dxa"/>
                      </w:tcPr>
                      <w:p>
                        <w:pPr/>
                      </w:p>
                    </w:tc>
                    <w:tc>
                      <w:tcPr>
                        <w:tcW w:w="638" w:type="dxa"/>
                      </w:tcPr>
                      <w:p>
                        <w:pPr/>
                      </w:p>
                    </w:tc>
                    <w:tc>
                      <w:tcPr>
                        <w:tcW w:w="619" w:type="dxa"/>
                      </w:tcPr>
                      <w:p>
                        <w:pPr/>
                      </w:p>
                    </w:tc>
                    <w:tc>
                      <w:tcPr>
                        <w:tcW w:w="619" w:type="dxa"/>
                      </w:tcPr>
                      <w:p>
                        <w:pPr/>
                      </w:p>
                    </w:tc>
                    <w:tc>
                      <w:tcPr>
                        <w:tcW w:w="619" w:type="dxa"/>
                      </w:tcPr>
                      <w:p>
                        <w:pPr/>
                      </w:p>
                    </w:tc>
                    <w:tc>
                      <w:tcPr>
                        <w:tcW w:w="618" w:type="dxa"/>
                      </w:tcPr>
                      <w:p>
                        <w:pPr/>
                      </w:p>
                    </w:tc>
                  </w:tr>
                  <w:tr>
                    <w:trPr>
                      <w:trHeight w:val="318" w:hRule="exact"/>
                    </w:trPr>
                    <w:tc>
                      <w:tcPr>
                        <w:tcW w:w="637" w:type="dxa"/>
                        <w:shd w:val="clear" w:color="auto" w:fill="C35911"/>
                      </w:tcPr>
                      <w:p>
                        <w:pPr>
                          <w:pStyle w:val="TableParagraph"/>
                          <w:spacing w:line="206" w:lineRule="exact"/>
                          <w:ind w:right="1"/>
                          <w:jc w:val="center"/>
                          <w:rPr>
                            <w:b/>
                            <w:sz w:val="18"/>
                          </w:rPr>
                        </w:pPr>
                        <w:r>
                          <w:rPr>
                            <w:b/>
                            <w:sz w:val="18"/>
                          </w:rPr>
                          <w:t>L</w:t>
                        </w:r>
                      </w:p>
                    </w:tc>
                    <w:tc>
                      <w:tcPr>
                        <w:tcW w:w="618" w:type="dxa"/>
                      </w:tcPr>
                      <w:p>
                        <w:pPr/>
                      </w:p>
                    </w:tc>
                    <w:tc>
                      <w:tcPr>
                        <w:tcW w:w="636" w:type="dxa"/>
                      </w:tcPr>
                      <w:p>
                        <w:pPr/>
                      </w:p>
                    </w:tc>
                    <w:tc>
                      <w:tcPr>
                        <w:tcW w:w="638" w:type="dxa"/>
                      </w:tcPr>
                      <w:p>
                        <w:pPr/>
                      </w:p>
                    </w:tc>
                    <w:tc>
                      <w:tcPr>
                        <w:tcW w:w="619" w:type="dxa"/>
                      </w:tcPr>
                      <w:p>
                        <w:pPr/>
                      </w:p>
                    </w:tc>
                    <w:tc>
                      <w:tcPr>
                        <w:tcW w:w="619" w:type="dxa"/>
                      </w:tcPr>
                      <w:p>
                        <w:pPr/>
                      </w:p>
                    </w:tc>
                    <w:tc>
                      <w:tcPr>
                        <w:tcW w:w="619" w:type="dxa"/>
                      </w:tcPr>
                      <w:p>
                        <w:pPr/>
                      </w:p>
                    </w:tc>
                    <w:tc>
                      <w:tcPr>
                        <w:tcW w:w="618" w:type="dxa"/>
                      </w:tcPr>
                      <w:p>
                        <w:pPr/>
                      </w:p>
                    </w:tc>
                  </w:tr>
                  <w:tr>
                    <w:trPr>
                      <w:trHeight w:val="319" w:hRule="exact"/>
                    </w:trPr>
                    <w:tc>
                      <w:tcPr>
                        <w:tcW w:w="637" w:type="dxa"/>
                        <w:shd w:val="clear" w:color="auto" w:fill="C35911"/>
                      </w:tcPr>
                      <w:p>
                        <w:pPr>
                          <w:pStyle w:val="TableParagraph"/>
                          <w:ind w:right="1"/>
                          <w:jc w:val="center"/>
                          <w:rPr>
                            <w:b/>
                            <w:sz w:val="18"/>
                          </w:rPr>
                        </w:pPr>
                        <w:r>
                          <w:rPr>
                            <w:b/>
                            <w:sz w:val="18"/>
                          </w:rPr>
                          <w:t>M</w:t>
                        </w:r>
                      </w:p>
                    </w:tc>
                    <w:tc>
                      <w:tcPr>
                        <w:tcW w:w="618" w:type="dxa"/>
                      </w:tcPr>
                      <w:p>
                        <w:pPr>
                          <w:pStyle w:val="TableParagraph"/>
                          <w:spacing w:line="203" w:lineRule="exact"/>
                          <w:ind w:left="62"/>
                          <w:rPr>
                            <w:sz w:val="18"/>
                          </w:rPr>
                        </w:pPr>
                        <w:r>
                          <w:rPr>
                            <w:sz w:val="18"/>
                          </w:rPr>
                          <w:t>M</w:t>
                        </w:r>
                      </w:p>
                    </w:tc>
                    <w:tc>
                      <w:tcPr>
                        <w:tcW w:w="636" w:type="dxa"/>
                      </w:tcPr>
                      <w:p>
                        <w:pPr/>
                      </w:p>
                    </w:tc>
                    <w:tc>
                      <w:tcPr>
                        <w:tcW w:w="638" w:type="dxa"/>
                      </w:tcPr>
                      <w:p>
                        <w:pPr/>
                      </w:p>
                    </w:tc>
                    <w:tc>
                      <w:tcPr>
                        <w:tcW w:w="619" w:type="dxa"/>
                      </w:tcPr>
                      <w:p>
                        <w:pPr>
                          <w:pStyle w:val="TableParagraph"/>
                          <w:spacing w:line="203" w:lineRule="exact"/>
                          <w:ind w:left="62"/>
                          <w:rPr>
                            <w:sz w:val="18"/>
                          </w:rPr>
                        </w:pPr>
                        <w:r>
                          <w:rPr>
                            <w:sz w:val="18"/>
                          </w:rPr>
                          <w:t>M</w:t>
                        </w:r>
                      </w:p>
                    </w:tc>
                    <w:tc>
                      <w:tcPr>
                        <w:tcW w:w="619" w:type="dxa"/>
                      </w:tcPr>
                      <w:p>
                        <w:pPr/>
                      </w:p>
                    </w:tc>
                    <w:tc>
                      <w:tcPr>
                        <w:tcW w:w="619" w:type="dxa"/>
                      </w:tcPr>
                      <w:p>
                        <w:pPr>
                          <w:pStyle w:val="TableParagraph"/>
                          <w:spacing w:line="203" w:lineRule="exact"/>
                          <w:ind w:left="62"/>
                          <w:rPr>
                            <w:sz w:val="18"/>
                          </w:rPr>
                        </w:pPr>
                        <w:r>
                          <w:rPr>
                            <w:sz w:val="18"/>
                          </w:rPr>
                          <w:t>M</w:t>
                        </w:r>
                      </w:p>
                    </w:tc>
                    <w:tc>
                      <w:tcPr>
                        <w:tcW w:w="618" w:type="dxa"/>
                      </w:tcPr>
                      <w:p>
                        <w:pPr>
                          <w:pStyle w:val="TableParagraph"/>
                          <w:spacing w:line="203" w:lineRule="exact"/>
                          <w:ind w:left="62"/>
                          <w:rPr>
                            <w:sz w:val="18"/>
                          </w:rPr>
                        </w:pPr>
                        <w:r>
                          <w:rPr>
                            <w:sz w:val="18"/>
                          </w:rPr>
                          <w:t>M</w:t>
                        </w:r>
                      </w:p>
                    </w:tc>
                  </w:tr>
                  <w:tr>
                    <w:trPr>
                      <w:trHeight w:val="319" w:hRule="exact"/>
                    </w:trPr>
                    <w:tc>
                      <w:tcPr>
                        <w:tcW w:w="637" w:type="dxa"/>
                        <w:shd w:val="clear" w:color="auto" w:fill="C35911"/>
                      </w:tcPr>
                      <w:p>
                        <w:pPr>
                          <w:pStyle w:val="TableParagraph"/>
                          <w:jc w:val="center"/>
                          <w:rPr>
                            <w:b/>
                            <w:sz w:val="18"/>
                          </w:rPr>
                        </w:pPr>
                        <w:r>
                          <w:rPr>
                            <w:b/>
                            <w:sz w:val="18"/>
                          </w:rPr>
                          <w:t>N</w:t>
                        </w:r>
                      </w:p>
                    </w:tc>
                    <w:tc>
                      <w:tcPr>
                        <w:tcW w:w="618" w:type="dxa"/>
                      </w:tcPr>
                      <w:p>
                        <w:pPr/>
                      </w:p>
                    </w:tc>
                    <w:tc>
                      <w:tcPr>
                        <w:tcW w:w="636" w:type="dxa"/>
                      </w:tcPr>
                      <w:p>
                        <w:pPr/>
                      </w:p>
                    </w:tc>
                    <w:tc>
                      <w:tcPr>
                        <w:tcW w:w="638" w:type="dxa"/>
                      </w:tcPr>
                      <w:p>
                        <w:pPr/>
                      </w:p>
                    </w:tc>
                    <w:tc>
                      <w:tcPr>
                        <w:tcW w:w="619" w:type="dxa"/>
                      </w:tcPr>
                      <w:p>
                        <w:pPr/>
                      </w:p>
                    </w:tc>
                    <w:tc>
                      <w:tcPr>
                        <w:tcW w:w="619" w:type="dxa"/>
                      </w:tcPr>
                      <w:p>
                        <w:pPr/>
                      </w:p>
                    </w:tc>
                    <w:tc>
                      <w:tcPr>
                        <w:tcW w:w="619" w:type="dxa"/>
                      </w:tcPr>
                      <w:p>
                        <w:pPr/>
                      </w:p>
                    </w:tc>
                    <w:tc>
                      <w:tcPr>
                        <w:tcW w:w="618" w:type="dxa"/>
                      </w:tcPr>
                      <w:p>
                        <w:pPr/>
                      </w:p>
                    </w:tc>
                  </w:tr>
                  <w:tr>
                    <w:trPr>
                      <w:trHeight w:val="319" w:hRule="exact"/>
                    </w:trPr>
                    <w:tc>
                      <w:tcPr>
                        <w:tcW w:w="637" w:type="dxa"/>
                        <w:shd w:val="clear" w:color="auto" w:fill="C35911"/>
                      </w:tcPr>
                      <w:p>
                        <w:pPr>
                          <w:pStyle w:val="TableParagraph"/>
                          <w:jc w:val="center"/>
                          <w:rPr>
                            <w:b/>
                            <w:sz w:val="18"/>
                          </w:rPr>
                        </w:pPr>
                        <w:r>
                          <w:rPr>
                            <w:b/>
                            <w:sz w:val="18"/>
                          </w:rPr>
                          <w:t>O</w:t>
                        </w:r>
                      </w:p>
                    </w:tc>
                    <w:tc>
                      <w:tcPr>
                        <w:tcW w:w="618" w:type="dxa"/>
                      </w:tcPr>
                      <w:p>
                        <w:pPr/>
                      </w:p>
                    </w:tc>
                    <w:tc>
                      <w:tcPr>
                        <w:tcW w:w="636" w:type="dxa"/>
                      </w:tcPr>
                      <w:p>
                        <w:pPr/>
                      </w:p>
                    </w:tc>
                    <w:tc>
                      <w:tcPr>
                        <w:tcW w:w="638" w:type="dxa"/>
                      </w:tcPr>
                      <w:p>
                        <w:pPr/>
                      </w:p>
                    </w:tc>
                    <w:tc>
                      <w:tcPr>
                        <w:tcW w:w="619" w:type="dxa"/>
                      </w:tcPr>
                      <w:p>
                        <w:pPr/>
                      </w:p>
                    </w:tc>
                    <w:tc>
                      <w:tcPr>
                        <w:tcW w:w="619" w:type="dxa"/>
                      </w:tcPr>
                      <w:p>
                        <w:pPr>
                          <w:pStyle w:val="TableParagraph"/>
                          <w:spacing w:line="203" w:lineRule="exact"/>
                          <w:ind w:left="62"/>
                          <w:rPr>
                            <w:sz w:val="18"/>
                          </w:rPr>
                        </w:pPr>
                        <w:r>
                          <w:rPr>
                            <w:sz w:val="18"/>
                          </w:rPr>
                          <w:t>M</w:t>
                        </w:r>
                      </w:p>
                    </w:tc>
                    <w:tc>
                      <w:tcPr>
                        <w:tcW w:w="619" w:type="dxa"/>
                      </w:tcPr>
                      <w:p>
                        <w:pPr/>
                      </w:p>
                    </w:tc>
                    <w:tc>
                      <w:tcPr>
                        <w:tcW w:w="618" w:type="dxa"/>
                      </w:tcPr>
                      <w:p>
                        <w:pPr/>
                      </w:p>
                    </w:tc>
                  </w:tr>
                </w:tbl>
                <w:p>
                  <w:pPr>
                    <w:pStyle w:val="BodyText"/>
                  </w:pPr>
                </w:p>
              </w:txbxContent>
            </v:textbox>
            <w10:wrap type="none"/>
          </v:shape>
        </w:pict>
      </w:r>
      <w:r>
        <w:rPr>
          <w:sz w:val="18"/>
        </w:rPr>
        <w:t>Results of the application of Corlett &amp; Bishop mapping.</w:t>
      </w:r>
    </w:p>
    <w:p>
      <w:pPr>
        <w:pStyle w:val="BodyText"/>
        <w:spacing w:before="7"/>
        <w:rPr>
          <w:sz w:val="13"/>
        </w:rPr>
      </w:pPr>
    </w:p>
    <w:p>
      <w:pPr>
        <w:spacing w:after="0"/>
        <w:rPr>
          <w:sz w:val="13"/>
        </w:rPr>
        <w:sectPr>
          <w:pgSz w:w="12240" w:h="15840"/>
          <w:pgMar w:header="545" w:footer="852" w:top="1060" w:bottom="1040" w:left="580" w:right="220"/>
        </w:sectPr>
      </w:pPr>
    </w:p>
    <w:p>
      <w:pPr>
        <w:pStyle w:val="BodyText"/>
        <w:spacing w:before="75"/>
        <w:ind w:left="270" w:firstLine="567"/>
        <w:jc w:val="both"/>
      </w:pPr>
      <w:r>
        <w:rPr/>
        <w:t>For this fourth overall and first in the second week of the study, we found a new area where the journey ends with pain on Thursday and Saturday, this is the head area that had appeared only rarely with discomfort. We find again that often appear neck, shoulder and upper arm, are added at this time the average and back lower back. See Table 10.</w:t>
      </w:r>
    </w:p>
    <w:p>
      <w:pPr>
        <w:pStyle w:val="BodyText"/>
      </w:pPr>
    </w:p>
    <w:p>
      <w:pPr>
        <w:pStyle w:val="BodyText"/>
        <w:spacing w:before="1"/>
        <w:ind w:left="273" w:right="1"/>
        <w:jc w:val="center"/>
      </w:pPr>
      <w:r>
        <w:rPr/>
        <w:pict>
          <v:shape style="position:absolute;margin-left:38.700001pt;margin-top:11.696624pt;width:251.35pt;height:251.85pt;mso-position-horizontal-relative:page;mso-position-vertical-relative:paragraph;z-index:16168" type="#_x0000_t202" filled="false" stroked="false">
            <v:textbox inset="0,0,0,0">
              <w:txbxContent>
                <w:tbl>
                  <w:tblPr>
                    <w:tblW w:w="0" w:type="auto"/>
                    <w:jc w:val="lef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637"/>
                    <w:gridCol w:w="618"/>
                    <w:gridCol w:w="636"/>
                    <w:gridCol w:w="638"/>
                    <w:gridCol w:w="619"/>
                    <w:gridCol w:w="619"/>
                    <w:gridCol w:w="619"/>
                    <w:gridCol w:w="618"/>
                  </w:tblGrid>
                  <w:tr>
                    <w:trPr>
                      <w:trHeight w:val="295" w:hRule="exact"/>
                    </w:trPr>
                    <w:tc>
                      <w:tcPr>
                        <w:tcW w:w="637" w:type="dxa"/>
                        <w:shd w:val="clear" w:color="auto" w:fill="C35911"/>
                      </w:tcPr>
                      <w:p>
                        <w:pPr/>
                      </w:p>
                    </w:tc>
                    <w:tc>
                      <w:tcPr>
                        <w:tcW w:w="618" w:type="dxa"/>
                        <w:shd w:val="clear" w:color="auto" w:fill="C35911"/>
                      </w:tcPr>
                      <w:p>
                        <w:pPr>
                          <w:pStyle w:val="TableParagraph"/>
                          <w:spacing w:line="206" w:lineRule="exact"/>
                          <w:ind w:left="62"/>
                          <w:rPr>
                            <w:b/>
                            <w:sz w:val="18"/>
                          </w:rPr>
                        </w:pPr>
                        <w:r>
                          <w:rPr>
                            <w:b/>
                            <w:sz w:val="18"/>
                          </w:rPr>
                          <w:t>M</w:t>
                        </w:r>
                      </w:p>
                    </w:tc>
                    <w:tc>
                      <w:tcPr>
                        <w:tcW w:w="636" w:type="dxa"/>
                        <w:shd w:val="clear" w:color="auto" w:fill="C35911"/>
                      </w:tcPr>
                      <w:p>
                        <w:pPr>
                          <w:pStyle w:val="TableParagraph"/>
                          <w:spacing w:line="206" w:lineRule="exact"/>
                          <w:ind w:left="62"/>
                          <w:rPr>
                            <w:b/>
                            <w:sz w:val="18"/>
                          </w:rPr>
                        </w:pPr>
                        <w:r>
                          <w:rPr>
                            <w:b/>
                            <w:sz w:val="18"/>
                          </w:rPr>
                          <w:t>T</w:t>
                        </w:r>
                      </w:p>
                    </w:tc>
                    <w:tc>
                      <w:tcPr>
                        <w:tcW w:w="638" w:type="dxa"/>
                        <w:shd w:val="clear" w:color="auto" w:fill="C35911"/>
                      </w:tcPr>
                      <w:p>
                        <w:pPr>
                          <w:pStyle w:val="TableParagraph"/>
                          <w:spacing w:line="206" w:lineRule="exact"/>
                          <w:ind w:left="63"/>
                          <w:rPr>
                            <w:b/>
                            <w:sz w:val="18"/>
                          </w:rPr>
                        </w:pPr>
                        <w:r>
                          <w:rPr>
                            <w:b/>
                            <w:sz w:val="18"/>
                          </w:rPr>
                          <w:t>W</w:t>
                        </w:r>
                      </w:p>
                    </w:tc>
                    <w:tc>
                      <w:tcPr>
                        <w:tcW w:w="619" w:type="dxa"/>
                        <w:shd w:val="clear" w:color="auto" w:fill="C35911"/>
                      </w:tcPr>
                      <w:p>
                        <w:pPr>
                          <w:pStyle w:val="TableParagraph"/>
                          <w:spacing w:line="206" w:lineRule="exact"/>
                          <w:ind w:left="63"/>
                          <w:rPr>
                            <w:b/>
                            <w:sz w:val="18"/>
                          </w:rPr>
                        </w:pPr>
                        <w:r>
                          <w:rPr>
                            <w:b/>
                            <w:sz w:val="18"/>
                          </w:rPr>
                          <w:t>T</w:t>
                        </w:r>
                      </w:p>
                    </w:tc>
                    <w:tc>
                      <w:tcPr>
                        <w:tcW w:w="619" w:type="dxa"/>
                        <w:shd w:val="clear" w:color="auto" w:fill="C35911"/>
                      </w:tcPr>
                      <w:p>
                        <w:pPr>
                          <w:pStyle w:val="TableParagraph"/>
                          <w:spacing w:line="206" w:lineRule="exact"/>
                          <w:ind w:left="62"/>
                          <w:rPr>
                            <w:b/>
                            <w:sz w:val="18"/>
                          </w:rPr>
                        </w:pPr>
                        <w:r>
                          <w:rPr>
                            <w:b/>
                            <w:sz w:val="18"/>
                          </w:rPr>
                          <w:t>F</w:t>
                        </w:r>
                      </w:p>
                    </w:tc>
                    <w:tc>
                      <w:tcPr>
                        <w:tcW w:w="619" w:type="dxa"/>
                        <w:shd w:val="clear" w:color="auto" w:fill="C35911"/>
                      </w:tcPr>
                      <w:p>
                        <w:pPr>
                          <w:pStyle w:val="TableParagraph"/>
                          <w:spacing w:line="206" w:lineRule="exact"/>
                          <w:ind w:left="62"/>
                          <w:rPr>
                            <w:b/>
                            <w:sz w:val="18"/>
                          </w:rPr>
                        </w:pPr>
                        <w:r>
                          <w:rPr>
                            <w:b/>
                            <w:sz w:val="18"/>
                          </w:rPr>
                          <w:t>S</w:t>
                        </w:r>
                      </w:p>
                    </w:tc>
                    <w:tc>
                      <w:tcPr>
                        <w:tcW w:w="618" w:type="dxa"/>
                        <w:shd w:val="clear" w:color="auto" w:fill="C35911"/>
                      </w:tcPr>
                      <w:p>
                        <w:pPr>
                          <w:pStyle w:val="TableParagraph"/>
                          <w:spacing w:line="206" w:lineRule="exact"/>
                          <w:ind w:left="62"/>
                          <w:rPr>
                            <w:b/>
                            <w:sz w:val="18"/>
                          </w:rPr>
                        </w:pPr>
                        <w:r>
                          <w:rPr>
                            <w:b/>
                            <w:sz w:val="18"/>
                          </w:rPr>
                          <w:t>S</w:t>
                        </w:r>
                      </w:p>
                    </w:tc>
                  </w:tr>
                  <w:tr>
                    <w:trPr>
                      <w:trHeight w:val="295" w:hRule="exact"/>
                    </w:trPr>
                    <w:tc>
                      <w:tcPr>
                        <w:tcW w:w="637" w:type="dxa"/>
                        <w:shd w:val="clear" w:color="auto" w:fill="C35911"/>
                      </w:tcPr>
                      <w:p>
                        <w:pPr>
                          <w:pStyle w:val="TableParagraph"/>
                          <w:ind w:left="245"/>
                          <w:rPr>
                            <w:b/>
                            <w:sz w:val="18"/>
                          </w:rPr>
                        </w:pPr>
                        <w:r>
                          <w:rPr>
                            <w:b/>
                            <w:sz w:val="18"/>
                          </w:rPr>
                          <w:t>A</w:t>
                        </w:r>
                      </w:p>
                    </w:tc>
                    <w:tc>
                      <w:tcPr>
                        <w:tcW w:w="618" w:type="dxa"/>
                      </w:tcPr>
                      <w:p>
                        <w:pPr/>
                      </w:p>
                    </w:tc>
                    <w:tc>
                      <w:tcPr>
                        <w:tcW w:w="636" w:type="dxa"/>
                      </w:tcPr>
                      <w:p>
                        <w:pPr/>
                      </w:p>
                    </w:tc>
                    <w:tc>
                      <w:tcPr>
                        <w:tcW w:w="638" w:type="dxa"/>
                      </w:tcPr>
                      <w:p>
                        <w:pPr/>
                      </w:p>
                    </w:tc>
                    <w:tc>
                      <w:tcPr>
                        <w:tcW w:w="619" w:type="dxa"/>
                      </w:tcPr>
                      <w:p>
                        <w:pPr/>
                      </w:p>
                    </w:tc>
                    <w:tc>
                      <w:tcPr>
                        <w:tcW w:w="619" w:type="dxa"/>
                      </w:tcPr>
                      <w:p>
                        <w:pPr>
                          <w:pStyle w:val="TableParagraph"/>
                          <w:spacing w:line="203" w:lineRule="exact"/>
                          <w:ind w:left="62"/>
                          <w:rPr>
                            <w:sz w:val="18"/>
                          </w:rPr>
                        </w:pPr>
                        <w:r>
                          <w:rPr>
                            <w:sz w:val="18"/>
                          </w:rPr>
                          <w:t>D</w:t>
                        </w:r>
                      </w:p>
                    </w:tc>
                    <w:tc>
                      <w:tcPr>
                        <w:tcW w:w="619" w:type="dxa"/>
                      </w:tcPr>
                      <w:p>
                        <w:pPr/>
                      </w:p>
                    </w:tc>
                    <w:tc>
                      <w:tcPr>
                        <w:tcW w:w="618" w:type="dxa"/>
                      </w:tcPr>
                      <w:p>
                        <w:pPr/>
                      </w:p>
                    </w:tc>
                  </w:tr>
                  <w:tr>
                    <w:trPr>
                      <w:trHeight w:val="295" w:hRule="exact"/>
                    </w:trPr>
                    <w:tc>
                      <w:tcPr>
                        <w:tcW w:w="637" w:type="dxa"/>
                        <w:shd w:val="clear" w:color="auto" w:fill="C35911"/>
                      </w:tcPr>
                      <w:p>
                        <w:pPr>
                          <w:pStyle w:val="TableParagraph"/>
                          <w:spacing w:line="206" w:lineRule="exact"/>
                          <w:ind w:left="250"/>
                          <w:rPr>
                            <w:b/>
                            <w:sz w:val="18"/>
                          </w:rPr>
                        </w:pPr>
                        <w:r>
                          <w:rPr>
                            <w:b/>
                            <w:sz w:val="18"/>
                          </w:rPr>
                          <w:t>B</w:t>
                        </w:r>
                      </w:p>
                    </w:tc>
                    <w:tc>
                      <w:tcPr>
                        <w:tcW w:w="618" w:type="dxa"/>
                      </w:tcPr>
                      <w:p>
                        <w:pPr/>
                      </w:p>
                    </w:tc>
                    <w:tc>
                      <w:tcPr>
                        <w:tcW w:w="636" w:type="dxa"/>
                      </w:tcPr>
                      <w:p>
                        <w:pPr>
                          <w:pStyle w:val="TableParagraph"/>
                          <w:spacing w:line="202" w:lineRule="exact"/>
                          <w:ind w:left="62"/>
                          <w:rPr>
                            <w:sz w:val="18"/>
                          </w:rPr>
                        </w:pPr>
                        <w:r>
                          <w:rPr>
                            <w:sz w:val="18"/>
                          </w:rPr>
                          <w:t>M</w:t>
                        </w:r>
                      </w:p>
                    </w:tc>
                    <w:tc>
                      <w:tcPr>
                        <w:tcW w:w="638" w:type="dxa"/>
                      </w:tcPr>
                      <w:p>
                        <w:pPr>
                          <w:pStyle w:val="TableParagraph"/>
                          <w:spacing w:line="202" w:lineRule="exact"/>
                          <w:ind w:left="63"/>
                          <w:rPr>
                            <w:sz w:val="18"/>
                          </w:rPr>
                        </w:pPr>
                        <w:r>
                          <w:rPr>
                            <w:sz w:val="18"/>
                          </w:rPr>
                          <w:t>D</w:t>
                        </w:r>
                      </w:p>
                    </w:tc>
                    <w:tc>
                      <w:tcPr>
                        <w:tcW w:w="619" w:type="dxa"/>
                      </w:tcPr>
                      <w:p>
                        <w:pPr>
                          <w:pStyle w:val="TableParagraph"/>
                          <w:spacing w:line="202" w:lineRule="exact"/>
                          <w:ind w:left="63"/>
                          <w:rPr>
                            <w:sz w:val="18"/>
                          </w:rPr>
                        </w:pPr>
                        <w:r>
                          <w:rPr>
                            <w:sz w:val="18"/>
                          </w:rPr>
                          <w:t>M</w:t>
                        </w:r>
                      </w:p>
                    </w:tc>
                    <w:tc>
                      <w:tcPr>
                        <w:tcW w:w="619" w:type="dxa"/>
                      </w:tcPr>
                      <w:p>
                        <w:pPr>
                          <w:pStyle w:val="TableParagraph"/>
                          <w:spacing w:line="202" w:lineRule="exact"/>
                          <w:ind w:left="62"/>
                          <w:rPr>
                            <w:sz w:val="18"/>
                          </w:rPr>
                        </w:pPr>
                        <w:r>
                          <w:rPr>
                            <w:sz w:val="18"/>
                          </w:rPr>
                          <w:t>M</w:t>
                        </w:r>
                      </w:p>
                    </w:tc>
                    <w:tc>
                      <w:tcPr>
                        <w:tcW w:w="619" w:type="dxa"/>
                      </w:tcPr>
                      <w:p>
                        <w:pPr/>
                      </w:p>
                    </w:tc>
                    <w:tc>
                      <w:tcPr>
                        <w:tcW w:w="618" w:type="dxa"/>
                      </w:tcPr>
                      <w:p>
                        <w:pPr>
                          <w:pStyle w:val="TableParagraph"/>
                          <w:spacing w:line="202" w:lineRule="exact"/>
                          <w:ind w:left="62"/>
                          <w:rPr>
                            <w:sz w:val="18"/>
                          </w:rPr>
                        </w:pPr>
                        <w:r>
                          <w:rPr>
                            <w:sz w:val="18"/>
                          </w:rPr>
                          <w:t>M</w:t>
                        </w:r>
                      </w:p>
                    </w:tc>
                  </w:tr>
                  <w:tr>
                    <w:trPr>
                      <w:trHeight w:val="319" w:hRule="exact"/>
                    </w:trPr>
                    <w:tc>
                      <w:tcPr>
                        <w:tcW w:w="637" w:type="dxa"/>
                        <w:shd w:val="clear" w:color="auto" w:fill="C35911"/>
                      </w:tcPr>
                      <w:p>
                        <w:pPr>
                          <w:pStyle w:val="TableParagraph"/>
                          <w:spacing w:line="206" w:lineRule="exact"/>
                          <w:ind w:left="245"/>
                          <w:rPr>
                            <w:b/>
                            <w:sz w:val="18"/>
                          </w:rPr>
                        </w:pPr>
                        <w:r>
                          <w:rPr>
                            <w:b/>
                            <w:sz w:val="18"/>
                          </w:rPr>
                          <w:t>C</w:t>
                        </w:r>
                      </w:p>
                    </w:tc>
                    <w:tc>
                      <w:tcPr>
                        <w:tcW w:w="618" w:type="dxa"/>
                      </w:tcPr>
                      <w:p>
                        <w:pPr/>
                      </w:p>
                    </w:tc>
                    <w:tc>
                      <w:tcPr>
                        <w:tcW w:w="636" w:type="dxa"/>
                      </w:tcPr>
                      <w:p>
                        <w:pPr/>
                      </w:p>
                    </w:tc>
                    <w:tc>
                      <w:tcPr>
                        <w:tcW w:w="638" w:type="dxa"/>
                      </w:tcPr>
                      <w:p>
                        <w:pPr>
                          <w:pStyle w:val="TableParagraph"/>
                          <w:spacing w:line="202" w:lineRule="exact"/>
                          <w:ind w:left="63"/>
                          <w:rPr>
                            <w:sz w:val="18"/>
                          </w:rPr>
                        </w:pPr>
                        <w:r>
                          <w:rPr>
                            <w:sz w:val="18"/>
                          </w:rPr>
                          <w:t>M</w:t>
                        </w:r>
                      </w:p>
                    </w:tc>
                    <w:tc>
                      <w:tcPr>
                        <w:tcW w:w="619" w:type="dxa"/>
                      </w:tcPr>
                      <w:p>
                        <w:pPr>
                          <w:pStyle w:val="TableParagraph"/>
                          <w:spacing w:line="202" w:lineRule="exact"/>
                          <w:ind w:left="63"/>
                          <w:rPr>
                            <w:sz w:val="18"/>
                          </w:rPr>
                        </w:pPr>
                        <w:r>
                          <w:rPr>
                            <w:sz w:val="18"/>
                          </w:rPr>
                          <w:t>M</w:t>
                        </w:r>
                      </w:p>
                    </w:tc>
                    <w:tc>
                      <w:tcPr>
                        <w:tcW w:w="619" w:type="dxa"/>
                      </w:tcPr>
                      <w:p>
                        <w:pPr>
                          <w:pStyle w:val="TableParagraph"/>
                          <w:spacing w:line="202" w:lineRule="exact"/>
                          <w:ind w:left="62"/>
                          <w:rPr>
                            <w:sz w:val="18"/>
                          </w:rPr>
                        </w:pPr>
                        <w:r>
                          <w:rPr>
                            <w:sz w:val="18"/>
                          </w:rPr>
                          <w:t>M</w:t>
                        </w:r>
                      </w:p>
                    </w:tc>
                    <w:tc>
                      <w:tcPr>
                        <w:tcW w:w="619" w:type="dxa"/>
                      </w:tcPr>
                      <w:p>
                        <w:pPr/>
                      </w:p>
                    </w:tc>
                    <w:tc>
                      <w:tcPr>
                        <w:tcW w:w="618" w:type="dxa"/>
                      </w:tcPr>
                      <w:p>
                        <w:pPr>
                          <w:pStyle w:val="TableParagraph"/>
                          <w:spacing w:line="202" w:lineRule="exact"/>
                          <w:ind w:left="62"/>
                          <w:rPr>
                            <w:sz w:val="18"/>
                          </w:rPr>
                        </w:pPr>
                        <w:r>
                          <w:rPr>
                            <w:sz w:val="18"/>
                          </w:rPr>
                          <w:t>M</w:t>
                        </w:r>
                      </w:p>
                    </w:tc>
                  </w:tr>
                  <w:tr>
                    <w:trPr>
                      <w:trHeight w:val="294" w:hRule="exact"/>
                    </w:trPr>
                    <w:tc>
                      <w:tcPr>
                        <w:tcW w:w="637" w:type="dxa"/>
                        <w:shd w:val="clear" w:color="auto" w:fill="C35911"/>
                      </w:tcPr>
                      <w:p>
                        <w:pPr>
                          <w:pStyle w:val="TableParagraph"/>
                          <w:spacing w:line="206" w:lineRule="exact"/>
                          <w:ind w:left="245"/>
                          <w:rPr>
                            <w:b/>
                            <w:sz w:val="18"/>
                          </w:rPr>
                        </w:pPr>
                        <w:r>
                          <w:rPr>
                            <w:b/>
                            <w:sz w:val="18"/>
                          </w:rPr>
                          <w:t>D</w:t>
                        </w:r>
                      </w:p>
                    </w:tc>
                    <w:tc>
                      <w:tcPr>
                        <w:tcW w:w="618" w:type="dxa"/>
                      </w:tcPr>
                      <w:p>
                        <w:pPr>
                          <w:pStyle w:val="TableParagraph"/>
                          <w:spacing w:line="202" w:lineRule="exact"/>
                          <w:ind w:left="62"/>
                          <w:rPr>
                            <w:sz w:val="18"/>
                          </w:rPr>
                        </w:pPr>
                        <w:r>
                          <w:rPr>
                            <w:sz w:val="18"/>
                          </w:rPr>
                          <w:t>M</w:t>
                        </w:r>
                      </w:p>
                    </w:tc>
                    <w:tc>
                      <w:tcPr>
                        <w:tcW w:w="636" w:type="dxa"/>
                      </w:tcPr>
                      <w:p>
                        <w:pPr>
                          <w:pStyle w:val="TableParagraph"/>
                          <w:spacing w:line="202" w:lineRule="exact"/>
                          <w:ind w:left="62"/>
                          <w:rPr>
                            <w:sz w:val="18"/>
                          </w:rPr>
                        </w:pPr>
                        <w:r>
                          <w:rPr>
                            <w:sz w:val="18"/>
                          </w:rPr>
                          <w:t>M</w:t>
                        </w:r>
                      </w:p>
                    </w:tc>
                    <w:tc>
                      <w:tcPr>
                        <w:tcW w:w="638" w:type="dxa"/>
                      </w:tcPr>
                      <w:p>
                        <w:pPr>
                          <w:pStyle w:val="TableParagraph"/>
                          <w:spacing w:line="202" w:lineRule="exact"/>
                          <w:ind w:left="63"/>
                          <w:rPr>
                            <w:sz w:val="18"/>
                          </w:rPr>
                        </w:pPr>
                        <w:r>
                          <w:rPr>
                            <w:sz w:val="18"/>
                          </w:rPr>
                          <w:t>M</w:t>
                        </w:r>
                      </w:p>
                    </w:tc>
                    <w:tc>
                      <w:tcPr>
                        <w:tcW w:w="619" w:type="dxa"/>
                      </w:tcPr>
                      <w:p>
                        <w:pPr/>
                      </w:p>
                    </w:tc>
                    <w:tc>
                      <w:tcPr>
                        <w:tcW w:w="619" w:type="dxa"/>
                      </w:tcPr>
                      <w:p>
                        <w:pPr/>
                      </w:p>
                    </w:tc>
                    <w:tc>
                      <w:tcPr>
                        <w:tcW w:w="619" w:type="dxa"/>
                      </w:tcPr>
                      <w:p>
                        <w:pPr/>
                      </w:p>
                    </w:tc>
                    <w:tc>
                      <w:tcPr>
                        <w:tcW w:w="618" w:type="dxa"/>
                      </w:tcPr>
                      <w:p>
                        <w:pPr/>
                      </w:p>
                    </w:tc>
                  </w:tr>
                  <w:tr>
                    <w:trPr>
                      <w:trHeight w:val="295" w:hRule="exact"/>
                    </w:trPr>
                    <w:tc>
                      <w:tcPr>
                        <w:tcW w:w="637" w:type="dxa"/>
                        <w:shd w:val="clear" w:color="auto" w:fill="C35911"/>
                      </w:tcPr>
                      <w:p>
                        <w:pPr>
                          <w:pStyle w:val="TableParagraph"/>
                          <w:ind w:left="250"/>
                          <w:rPr>
                            <w:b/>
                            <w:sz w:val="18"/>
                          </w:rPr>
                        </w:pPr>
                        <w:r>
                          <w:rPr>
                            <w:b/>
                            <w:sz w:val="18"/>
                          </w:rPr>
                          <w:t>E</w:t>
                        </w:r>
                      </w:p>
                    </w:tc>
                    <w:tc>
                      <w:tcPr>
                        <w:tcW w:w="618" w:type="dxa"/>
                      </w:tcPr>
                      <w:p>
                        <w:pPr/>
                      </w:p>
                    </w:tc>
                    <w:tc>
                      <w:tcPr>
                        <w:tcW w:w="636" w:type="dxa"/>
                      </w:tcPr>
                      <w:p>
                        <w:pPr/>
                      </w:p>
                    </w:tc>
                    <w:tc>
                      <w:tcPr>
                        <w:tcW w:w="638" w:type="dxa"/>
                      </w:tcPr>
                      <w:p>
                        <w:pPr/>
                      </w:p>
                    </w:tc>
                    <w:tc>
                      <w:tcPr>
                        <w:tcW w:w="619" w:type="dxa"/>
                      </w:tcPr>
                      <w:p>
                        <w:pPr/>
                      </w:p>
                    </w:tc>
                    <w:tc>
                      <w:tcPr>
                        <w:tcW w:w="619" w:type="dxa"/>
                      </w:tcPr>
                      <w:p>
                        <w:pPr/>
                      </w:p>
                    </w:tc>
                    <w:tc>
                      <w:tcPr>
                        <w:tcW w:w="619" w:type="dxa"/>
                      </w:tcPr>
                      <w:p>
                        <w:pPr>
                          <w:pStyle w:val="TableParagraph"/>
                          <w:spacing w:line="203" w:lineRule="exact"/>
                          <w:ind w:left="62"/>
                          <w:rPr>
                            <w:sz w:val="18"/>
                          </w:rPr>
                        </w:pPr>
                        <w:r>
                          <w:rPr>
                            <w:sz w:val="18"/>
                          </w:rPr>
                          <w:t>M</w:t>
                        </w:r>
                      </w:p>
                    </w:tc>
                    <w:tc>
                      <w:tcPr>
                        <w:tcW w:w="618" w:type="dxa"/>
                      </w:tcPr>
                      <w:p>
                        <w:pPr>
                          <w:pStyle w:val="TableParagraph"/>
                          <w:spacing w:line="203" w:lineRule="exact"/>
                          <w:ind w:left="62"/>
                          <w:rPr>
                            <w:sz w:val="18"/>
                          </w:rPr>
                        </w:pPr>
                        <w:r>
                          <w:rPr>
                            <w:sz w:val="18"/>
                          </w:rPr>
                          <w:t>M</w:t>
                        </w:r>
                      </w:p>
                    </w:tc>
                  </w:tr>
                  <w:tr>
                    <w:trPr>
                      <w:trHeight w:val="295" w:hRule="exact"/>
                    </w:trPr>
                    <w:tc>
                      <w:tcPr>
                        <w:tcW w:w="637" w:type="dxa"/>
                        <w:shd w:val="clear" w:color="auto" w:fill="C35911"/>
                      </w:tcPr>
                      <w:p>
                        <w:pPr>
                          <w:pStyle w:val="TableParagraph"/>
                          <w:ind w:left="255"/>
                          <w:rPr>
                            <w:b/>
                            <w:sz w:val="18"/>
                          </w:rPr>
                        </w:pPr>
                        <w:r>
                          <w:rPr>
                            <w:b/>
                            <w:sz w:val="18"/>
                          </w:rPr>
                          <w:t>F</w:t>
                        </w:r>
                      </w:p>
                    </w:tc>
                    <w:tc>
                      <w:tcPr>
                        <w:tcW w:w="618" w:type="dxa"/>
                      </w:tcPr>
                      <w:p>
                        <w:pPr>
                          <w:pStyle w:val="TableParagraph"/>
                          <w:spacing w:line="203" w:lineRule="exact"/>
                          <w:ind w:left="62"/>
                          <w:rPr>
                            <w:sz w:val="18"/>
                          </w:rPr>
                        </w:pPr>
                        <w:r>
                          <w:rPr>
                            <w:sz w:val="18"/>
                          </w:rPr>
                          <w:t>M</w:t>
                        </w:r>
                      </w:p>
                    </w:tc>
                    <w:tc>
                      <w:tcPr>
                        <w:tcW w:w="636" w:type="dxa"/>
                      </w:tcPr>
                      <w:p>
                        <w:pPr/>
                      </w:p>
                    </w:tc>
                    <w:tc>
                      <w:tcPr>
                        <w:tcW w:w="638" w:type="dxa"/>
                      </w:tcPr>
                      <w:p>
                        <w:pPr/>
                      </w:p>
                    </w:tc>
                    <w:tc>
                      <w:tcPr>
                        <w:tcW w:w="619" w:type="dxa"/>
                      </w:tcPr>
                      <w:p>
                        <w:pPr>
                          <w:pStyle w:val="TableParagraph"/>
                          <w:spacing w:line="203" w:lineRule="exact"/>
                          <w:ind w:left="63"/>
                          <w:rPr>
                            <w:sz w:val="18"/>
                          </w:rPr>
                        </w:pPr>
                        <w:r>
                          <w:rPr>
                            <w:sz w:val="18"/>
                          </w:rPr>
                          <w:t>M</w:t>
                        </w:r>
                      </w:p>
                    </w:tc>
                    <w:tc>
                      <w:tcPr>
                        <w:tcW w:w="619" w:type="dxa"/>
                      </w:tcPr>
                      <w:p>
                        <w:pPr/>
                      </w:p>
                    </w:tc>
                    <w:tc>
                      <w:tcPr>
                        <w:tcW w:w="619" w:type="dxa"/>
                      </w:tcPr>
                      <w:p>
                        <w:pPr>
                          <w:pStyle w:val="TableParagraph"/>
                          <w:spacing w:line="203" w:lineRule="exact"/>
                          <w:ind w:left="62"/>
                          <w:rPr>
                            <w:sz w:val="18"/>
                          </w:rPr>
                        </w:pPr>
                        <w:r>
                          <w:rPr>
                            <w:sz w:val="18"/>
                          </w:rPr>
                          <w:t>M</w:t>
                        </w:r>
                      </w:p>
                    </w:tc>
                    <w:tc>
                      <w:tcPr>
                        <w:tcW w:w="618" w:type="dxa"/>
                      </w:tcPr>
                      <w:p>
                        <w:pPr/>
                      </w:p>
                    </w:tc>
                  </w:tr>
                  <w:tr>
                    <w:trPr>
                      <w:trHeight w:val="295" w:hRule="exact"/>
                    </w:trPr>
                    <w:tc>
                      <w:tcPr>
                        <w:tcW w:w="637" w:type="dxa"/>
                        <w:shd w:val="clear" w:color="auto" w:fill="C35911"/>
                      </w:tcPr>
                      <w:p>
                        <w:pPr>
                          <w:pStyle w:val="TableParagraph"/>
                          <w:ind w:left="240"/>
                          <w:rPr>
                            <w:b/>
                            <w:sz w:val="18"/>
                          </w:rPr>
                        </w:pPr>
                        <w:r>
                          <w:rPr>
                            <w:b/>
                            <w:sz w:val="18"/>
                          </w:rPr>
                          <w:t>G</w:t>
                        </w:r>
                      </w:p>
                    </w:tc>
                    <w:tc>
                      <w:tcPr>
                        <w:tcW w:w="618" w:type="dxa"/>
                      </w:tcPr>
                      <w:p>
                        <w:pPr/>
                      </w:p>
                    </w:tc>
                    <w:tc>
                      <w:tcPr>
                        <w:tcW w:w="636" w:type="dxa"/>
                      </w:tcPr>
                      <w:p>
                        <w:pPr/>
                      </w:p>
                    </w:tc>
                    <w:tc>
                      <w:tcPr>
                        <w:tcW w:w="638" w:type="dxa"/>
                      </w:tcPr>
                      <w:p>
                        <w:pPr/>
                      </w:p>
                    </w:tc>
                    <w:tc>
                      <w:tcPr>
                        <w:tcW w:w="619" w:type="dxa"/>
                      </w:tcPr>
                      <w:p>
                        <w:pPr/>
                      </w:p>
                    </w:tc>
                    <w:tc>
                      <w:tcPr>
                        <w:tcW w:w="619" w:type="dxa"/>
                      </w:tcPr>
                      <w:p>
                        <w:pPr/>
                      </w:p>
                    </w:tc>
                    <w:tc>
                      <w:tcPr>
                        <w:tcW w:w="619" w:type="dxa"/>
                      </w:tcPr>
                      <w:p>
                        <w:pPr/>
                      </w:p>
                    </w:tc>
                    <w:tc>
                      <w:tcPr>
                        <w:tcW w:w="618" w:type="dxa"/>
                      </w:tcPr>
                      <w:p>
                        <w:pPr/>
                      </w:p>
                    </w:tc>
                  </w:tr>
                  <w:tr>
                    <w:trPr>
                      <w:trHeight w:val="295" w:hRule="exact"/>
                    </w:trPr>
                    <w:tc>
                      <w:tcPr>
                        <w:tcW w:w="637" w:type="dxa"/>
                        <w:shd w:val="clear" w:color="auto" w:fill="C35911"/>
                      </w:tcPr>
                      <w:p>
                        <w:pPr>
                          <w:pStyle w:val="TableParagraph"/>
                          <w:spacing w:line="206" w:lineRule="exact"/>
                          <w:ind w:left="240"/>
                          <w:rPr>
                            <w:b/>
                            <w:sz w:val="18"/>
                          </w:rPr>
                        </w:pPr>
                        <w:r>
                          <w:rPr>
                            <w:b/>
                            <w:sz w:val="18"/>
                          </w:rPr>
                          <w:t>H</w:t>
                        </w:r>
                      </w:p>
                    </w:tc>
                    <w:tc>
                      <w:tcPr>
                        <w:tcW w:w="618" w:type="dxa"/>
                      </w:tcPr>
                      <w:p>
                        <w:pPr/>
                      </w:p>
                    </w:tc>
                    <w:tc>
                      <w:tcPr>
                        <w:tcW w:w="636" w:type="dxa"/>
                      </w:tcPr>
                      <w:p>
                        <w:pPr/>
                      </w:p>
                    </w:tc>
                    <w:tc>
                      <w:tcPr>
                        <w:tcW w:w="638" w:type="dxa"/>
                      </w:tcPr>
                      <w:p>
                        <w:pPr/>
                      </w:p>
                    </w:tc>
                    <w:tc>
                      <w:tcPr>
                        <w:tcW w:w="619" w:type="dxa"/>
                      </w:tcPr>
                      <w:p>
                        <w:pPr/>
                      </w:p>
                    </w:tc>
                    <w:tc>
                      <w:tcPr>
                        <w:tcW w:w="619" w:type="dxa"/>
                      </w:tcPr>
                      <w:p>
                        <w:pPr/>
                      </w:p>
                    </w:tc>
                    <w:tc>
                      <w:tcPr>
                        <w:tcW w:w="619" w:type="dxa"/>
                      </w:tcPr>
                      <w:p>
                        <w:pPr/>
                      </w:p>
                    </w:tc>
                    <w:tc>
                      <w:tcPr>
                        <w:tcW w:w="618" w:type="dxa"/>
                      </w:tcPr>
                      <w:p>
                        <w:pPr/>
                      </w:p>
                    </w:tc>
                  </w:tr>
                  <w:tr>
                    <w:trPr>
                      <w:trHeight w:val="319" w:hRule="exact"/>
                    </w:trPr>
                    <w:tc>
                      <w:tcPr>
                        <w:tcW w:w="637" w:type="dxa"/>
                        <w:shd w:val="clear" w:color="auto" w:fill="C35911"/>
                      </w:tcPr>
                      <w:p>
                        <w:pPr>
                          <w:pStyle w:val="TableParagraph"/>
                          <w:spacing w:line="206" w:lineRule="exact"/>
                          <w:ind w:left="275"/>
                          <w:rPr>
                            <w:b/>
                            <w:sz w:val="18"/>
                          </w:rPr>
                        </w:pPr>
                        <w:r>
                          <w:rPr>
                            <w:b/>
                            <w:sz w:val="18"/>
                          </w:rPr>
                          <w:t>I</w:t>
                        </w:r>
                      </w:p>
                    </w:tc>
                    <w:tc>
                      <w:tcPr>
                        <w:tcW w:w="618" w:type="dxa"/>
                      </w:tcPr>
                      <w:p>
                        <w:pPr/>
                      </w:p>
                    </w:tc>
                    <w:tc>
                      <w:tcPr>
                        <w:tcW w:w="636" w:type="dxa"/>
                      </w:tcPr>
                      <w:p>
                        <w:pPr>
                          <w:pStyle w:val="TableParagraph"/>
                          <w:spacing w:line="202" w:lineRule="exact"/>
                          <w:ind w:left="62"/>
                          <w:rPr>
                            <w:sz w:val="18"/>
                          </w:rPr>
                        </w:pPr>
                        <w:r>
                          <w:rPr>
                            <w:sz w:val="18"/>
                          </w:rPr>
                          <w:t>M</w:t>
                        </w:r>
                      </w:p>
                    </w:tc>
                    <w:tc>
                      <w:tcPr>
                        <w:tcW w:w="638" w:type="dxa"/>
                      </w:tcPr>
                      <w:p>
                        <w:pPr>
                          <w:pStyle w:val="TableParagraph"/>
                          <w:spacing w:line="202" w:lineRule="exact"/>
                          <w:ind w:left="63"/>
                          <w:rPr>
                            <w:sz w:val="18"/>
                          </w:rPr>
                        </w:pPr>
                        <w:r>
                          <w:rPr>
                            <w:sz w:val="18"/>
                          </w:rPr>
                          <w:t>M</w:t>
                        </w:r>
                      </w:p>
                    </w:tc>
                    <w:tc>
                      <w:tcPr>
                        <w:tcW w:w="619" w:type="dxa"/>
                      </w:tcPr>
                      <w:p>
                        <w:pPr>
                          <w:pStyle w:val="TableParagraph"/>
                          <w:spacing w:line="202" w:lineRule="exact"/>
                          <w:ind w:left="63"/>
                          <w:rPr>
                            <w:sz w:val="18"/>
                          </w:rPr>
                        </w:pPr>
                        <w:r>
                          <w:rPr>
                            <w:sz w:val="18"/>
                          </w:rPr>
                          <w:t>M</w:t>
                        </w:r>
                      </w:p>
                    </w:tc>
                    <w:tc>
                      <w:tcPr>
                        <w:tcW w:w="619" w:type="dxa"/>
                      </w:tcPr>
                      <w:p>
                        <w:pPr>
                          <w:pStyle w:val="TableParagraph"/>
                          <w:spacing w:line="202" w:lineRule="exact"/>
                          <w:ind w:left="62"/>
                          <w:rPr>
                            <w:sz w:val="18"/>
                          </w:rPr>
                        </w:pPr>
                        <w:r>
                          <w:rPr>
                            <w:sz w:val="18"/>
                          </w:rPr>
                          <w:t>M</w:t>
                        </w:r>
                      </w:p>
                    </w:tc>
                    <w:tc>
                      <w:tcPr>
                        <w:tcW w:w="619" w:type="dxa"/>
                      </w:tcPr>
                      <w:p>
                        <w:pPr>
                          <w:pStyle w:val="TableParagraph"/>
                          <w:spacing w:line="202" w:lineRule="exact"/>
                          <w:ind w:left="62"/>
                          <w:rPr>
                            <w:sz w:val="18"/>
                          </w:rPr>
                        </w:pPr>
                        <w:r>
                          <w:rPr>
                            <w:sz w:val="18"/>
                          </w:rPr>
                          <w:t>M</w:t>
                        </w:r>
                      </w:p>
                    </w:tc>
                    <w:tc>
                      <w:tcPr>
                        <w:tcW w:w="618" w:type="dxa"/>
                      </w:tcPr>
                      <w:p>
                        <w:pPr/>
                      </w:p>
                    </w:tc>
                  </w:tr>
                  <w:tr>
                    <w:trPr>
                      <w:trHeight w:val="318" w:hRule="exact"/>
                    </w:trPr>
                    <w:tc>
                      <w:tcPr>
                        <w:tcW w:w="637" w:type="dxa"/>
                        <w:shd w:val="clear" w:color="auto" w:fill="C35911"/>
                      </w:tcPr>
                      <w:p>
                        <w:pPr>
                          <w:pStyle w:val="TableParagraph"/>
                          <w:spacing w:line="206" w:lineRule="exact"/>
                          <w:ind w:left="265"/>
                          <w:rPr>
                            <w:b/>
                            <w:sz w:val="18"/>
                          </w:rPr>
                        </w:pPr>
                        <w:r>
                          <w:rPr>
                            <w:b/>
                            <w:sz w:val="18"/>
                          </w:rPr>
                          <w:t>J</w:t>
                        </w:r>
                      </w:p>
                    </w:tc>
                    <w:tc>
                      <w:tcPr>
                        <w:tcW w:w="618" w:type="dxa"/>
                      </w:tcPr>
                      <w:p>
                        <w:pPr/>
                      </w:p>
                    </w:tc>
                    <w:tc>
                      <w:tcPr>
                        <w:tcW w:w="636" w:type="dxa"/>
                      </w:tcPr>
                      <w:p>
                        <w:pPr/>
                      </w:p>
                    </w:tc>
                    <w:tc>
                      <w:tcPr>
                        <w:tcW w:w="638" w:type="dxa"/>
                      </w:tcPr>
                      <w:p>
                        <w:pPr/>
                      </w:p>
                    </w:tc>
                    <w:tc>
                      <w:tcPr>
                        <w:tcW w:w="619" w:type="dxa"/>
                      </w:tcPr>
                      <w:p>
                        <w:pPr/>
                      </w:p>
                    </w:tc>
                    <w:tc>
                      <w:tcPr>
                        <w:tcW w:w="619" w:type="dxa"/>
                      </w:tcPr>
                      <w:p>
                        <w:pPr/>
                      </w:p>
                    </w:tc>
                    <w:tc>
                      <w:tcPr>
                        <w:tcW w:w="619" w:type="dxa"/>
                      </w:tcPr>
                      <w:p>
                        <w:pPr/>
                      </w:p>
                    </w:tc>
                    <w:tc>
                      <w:tcPr>
                        <w:tcW w:w="618" w:type="dxa"/>
                      </w:tcPr>
                      <w:p>
                        <w:pPr/>
                      </w:p>
                    </w:tc>
                  </w:tr>
                  <w:tr>
                    <w:trPr>
                      <w:trHeight w:val="319" w:hRule="exact"/>
                    </w:trPr>
                    <w:tc>
                      <w:tcPr>
                        <w:tcW w:w="637" w:type="dxa"/>
                        <w:shd w:val="clear" w:color="auto" w:fill="C35911"/>
                      </w:tcPr>
                      <w:p>
                        <w:pPr>
                          <w:pStyle w:val="TableParagraph"/>
                          <w:ind w:left="240"/>
                          <w:rPr>
                            <w:b/>
                            <w:sz w:val="18"/>
                          </w:rPr>
                        </w:pPr>
                        <w:r>
                          <w:rPr>
                            <w:b/>
                            <w:sz w:val="18"/>
                          </w:rPr>
                          <w:t>K</w:t>
                        </w:r>
                      </w:p>
                    </w:tc>
                    <w:tc>
                      <w:tcPr>
                        <w:tcW w:w="618" w:type="dxa"/>
                      </w:tcPr>
                      <w:p>
                        <w:pPr/>
                      </w:p>
                    </w:tc>
                    <w:tc>
                      <w:tcPr>
                        <w:tcW w:w="636" w:type="dxa"/>
                      </w:tcPr>
                      <w:p>
                        <w:pPr/>
                      </w:p>
                    </w:tc>
                    <w:tc>
                      <w:tcPr>
                        <w:tcW w:w="638" w:type="dxa"/>
                      </w:tcPr>
                      <w:p>
                        <w:pPr/>
                      </w:p>
                    </w:tc>
                    <w:tc>
                      <w:tcPr>
                        <w:tcW w:w="619" w:type="dxa"/>
                      </w:tcPr>
                      <w:p>
                        <w:pPr/>
                      </w:p>
                    </w:tc>
                    <w:tc>
                      <w:tcPr>
                        <w:tcW w:w="619" w:type="dxa"/>
                      </w:tcPr>
                      <w:p>
                        <w:pPr/>
                      </w:p>
                    </w:tc>
                    <w:tc>
                      <w:tcPr>
                        <w:tcW w:w="619" w:type="dxa"/>
                      </w:tcPr>
                      <w:p>
                        <w:pPr/>
                      </w:p>
                    </w:tc>
                    <w:tc>
                      <w:tcPr>
                        <w:tcW w:w="618" w:type="dxa"/>
                      </w:tcPr>
                      <w:p>
                        <w:pPr/>
                      </w:p>
                    </w:tc>
                  </w:tr>
                  <w:tr>
                    <w:trPr>
                      <w:trHeight w:val="319" w:hRule="exact"/>
                    </w:trPr>
                    <w:tc>
                      <w:tcPr>
                        <w:tcW w:w="637" w:type="dxa"/>
                        <w:shd w:val="clear" w:color="auto" w:fill="C35911"/>
                      </w:tcPr>
                      <w:p>
                        <w:pPr>
                          <w:pStyle w:val="TableParagraph"/>
                          <w:ind w:left="250"/>
                          <w:rPr>
                            <w:b/>
                            <w:sz w:val="18"/>
                          </w:rPr>
                        </w:pPr>
                        <w:r>
                          <w:rPr>
                            <w:b/>
                            <w:sz w:val="18"/>
                          </w:rPr>
                          <w:t>L</w:t>
                        </w:r>
                      </w:p>
                    </w:tc>
                    <w:tc>
                      <w:tcPr>
                        <w:tcW w:w="618" w:type="dxa"/>
                      </w:tcPr>
                      <w:p>
                        <w:pPr/>
                      </w:p>
                    </w:tc>
                    <w:tc>
                      <w:tcPr>
                        <w:tcW w:w="636" w:type="dxa"/>
                      </w:tcPr>
                      <w:p>
                        <w:pPr/>
                      </w:p>
                    </w:tc>
                    <w:tc>
                      <w:tcPr>
                        <w:tcW w:w="638" w:type="dxa"/>
                      </w:tcPr>
                      <w:p>
                        <w:pPr/>
                      </w:p>
                    </w:tc>
                    <w:tc>
                      <w:tcPr>
                        <w:tcW w:w="619" w:type="dxa"/>
                      </w:tcPr>
                      <w:p>
                        <w:pPr/>
                      </w:p>
                    </w:tc>
                    <w:tc>
                      <w:tcPr>
                        <w:tcW w:w="619" w:type="dxa"/>
                      </w:tcPr>
                      <w:p>
                        <w:pPr/>
                      </w:p>
                    </w:tc>
                    <w:tc>
                      <w:tcPr>
                        <w:tcW w:w="619" w:type="dxa"/>
                      </w:tcPr>
                      <w:p>
                        <w:pPr/>
                      </w:p>
                    </w:tc>
                    <w:tc>
                      <w:tcPr>
                        <w:tcW w:w="618" w:type="dxa"/>
                      </w:tcPr>
                      <w:p>
                        <w:pPr/>
                      </w:p>
                    </w:tc>
                  </w:tr>
                  <w:tr>
                    <w:trPr>
                      <w:trHeight w:val="319" w:hRule="exact"/>
                    </w:trPr>
                    <w:tc>
                      <w:tcPr>
                        <w:tcW w:w="637" w:type="dxa"/>
                        <w:shd w:val="clear" w:color="auto" w:fill="C35911"/>
                      </w:tcPr>
                      <w:p>
                        <w:pPr>
                          <w:pStyle w:val="TableParagraph"/>
                          <w:ind w:left="225"/>
                          <w:rPr>
                            <w:b/>
                            <w:sz w:val="18"/>
                          </w:rPr>
                        </w:pPr>
                        <w:r>
                          <w:rPr>
                            <w:b/>
                            <w:sz w:val="18"/>
                          </w:rPr>
                          <w:t>M</w:t>
                        </w:r>
                      </w:p>
                    </w:tc>
                    <w:tc>
                      <w:tcPr>
                        <w:tcW w:w="618" w:type="dxa"/>
                      </w:tcPr>
                      <w:p>
                        <w:pPr>
                          <w:pStyle w:val="TableParagraph"/>
                          <w:spacing w:line="203" w:lineRule="exact"/>
                          <w:ind w:left="62"/>
                          <w:rPr>
                            <w:sz w:val="18"/>
                          </w:rPr>
                        </w:pPr>
                        <w:r>
                          <w:rPr>
                            <w:sz w:val="18"/>
                          </w:rPr>
                          <w:t>M</w:t>
                        </w:r>
                      </w:p>
                    </w:tc>
                    <w:tc>
                      <w:tcPr>
                        <w:tcW w:w="636" w:type="dxa"/>
                      </w:tcPr>
                      <w:p>
                        <w:pPr/>
                      </w:p>
                    </w:tc>
                    <w:tc>
                      <w:tcPr>
                        <w:tcW w:w="638" w:type="dxa"/>
                      </w:tcPr>
                      <w:p>
                        <w:pPr/>
                      </w:p>
                    </w:tc>
                    <w:tc>
                      <w:tcPr>
                        <w:tcW w:w="619" w:type="dxa"/>
                      </w:tcPr>
                      <w:p>
                        <w:pPr/>
                      </w:p>
                    </w:tc>
                    <w:tc>
                      <w:tcPr>
                        <w:tcW w:w="619" w:type="dxa"/>
                      </w:tcPr>
                      <w:p>
                        <w:pPr/>
                      </w:p>
                    </w:tc>
                    <w:tc>
                      <w:tcPr>
                        <w:tcW w:w="619" w:type="dxa"/>
                      </w:tcPr>
                      <w:p>
                        <w:pPr/>
                      </w:p>
                    </w:tc>
                    <w:tc>
                      <w:tcPr>
                        <w:tcW w:w="618" w:type="dxa"/>
                      </w:tcPr>
                      <w:p>
                        <w:pPr/>
                      </w:p>
                    </w:tc>
                  </w:tr>
                  <w:tr>
                    <w:trPr>
                      <w:trHeight w:val="319" w:hRule="exact"/>
                    </w:trPr>
                    <w:tc>
                      <w:tcPr>
                        <w:tcW w:w="637" w:type="dxa"/>
                        <w:shd w:val="clear" w:color="auto" w:fill="C35911"/>
                      </w:tcPr>
                      <w:p>
                        <w:pPr>
                          <w:pStyle w:val="TableParagraph"/>
                          <w:spacing w:line="206" w:lineRule="exact"/>
                          <w:ind w:left="245"/>
                          <w:rPr>
                            <w:b/>
                            <w:sz w:val="18"/>
                          </w:rPr>
                        </w:pPr>
                        <w:r>
                          <w:rPr>
                            <w:b/>
                            <w:sz w:val="18"/>
                          </w:rPr>
                          <w:t>N</w:t>
                        </w:r>
                      </w:p>
                    </w:tc>
                    <w:tc>
                      <w:tcPr>
                        <w:tcW w:w="618" w:type="dxa"/>
                      </w:tcPr>
                      <w:p>
                        <w:pPr/>
                      </w:p>
                    </w:tc>
                    <w:tc>
                      <w:tcPr>
                        <w:tcW w:w="636" w:type="dxa"/>
                      </w:tcPr>
                      <w:p>
                        <w:pPr/>
                      </w:p>
                    </w:tc>
                    <w:tc>
                      <w:tcPr>
                        <w:tcW w:w="638" w:type="dxa"/>
                      </w:tcPr>
                      <w:p>
                        <w:pPr/>
                      </w:p>
                    </w:tc>
                    <w:tc>
                      <w:tcPr>
                        <w:tcW w:w="619" w:type="dxa"/>
                      </w:tcPr>
                      <w:p>
                        <w:pPr/>
                      </w:p>
                    </w:tc>
                    <w:tc>
                      <w:tcPr>
                        <w:tcW w:w="619" w:type="dxa"/>
                      </w:tcPr>
                      <w:p>
                        <w:pPr/>
                      </w:p>
                    </w:tc>
                    <w:tc>
                      <w:tcPr>
                        <w:tcW w:w="619" w:type="dxa"/>
                      </w:tcPr>
                      <w:p>
                        <w:pPr/>
                      </w:p>
                    </w:tc>
                    <w:tc>
                      <w:tcPr>
                        <w:tcW w:w="618" w:type="dxa"/>
                      </w:tcPr>
                      <w:p>
                        <w:pPr/>
                      </w:p>
                    </w:tc>
                  </w:tr>
                  <w:tr>
                    <w:trPr>
                      <w:trHeight w:val="430" w:hRule="exact"/>
                    </w:trPr>
                    <w:tc>
                      <w:tcPr>
                        <w:tcW w:w="637" w:type="dxa"/>
                        <w:shd w:val="clear" w:color="auto" w:fill="C35911"/>
                      </w:tcPr>
                      <w:p>
                        <w:pPr>
                          <w:pStyle w:val="TableParagraph"/>
                          <w:spacing w:line="206" w:lineRule="exact"/>
                          <w:ind w:left="240"/>
                          <w:rPr>
                            <w:b/>
                            <w:sz w:val="18"/>
                          </w:rPr>
                        </w:pPr>
                        <w:r>
                          <w:rPr>
                            <w:b/>
                            <w:sz w:val="18"/>
                          </w:rPr>
                          <w:t>O</w:t>
                        </w:r>
                      </w:p>
                    </w:tc>
                    <w:tc>
                      <w:tcPr>
                        <w:tcW w:w="618" w:type="dxa"/>
                      </w:tcPr>
                      <w:p>
                        <w:pPr>
                          <w:pStyle w:val="TableParagraph"/>
                          <w:spacing w:line="202" w:lineRule="exact"/>
                          <w:ind w:left="62"/>
                          <w:rPr>
                            <w:sz w:val="18"/>
                          </w:rPr>
                        </w:pPr>
                        <w:r>
                          <w:rPr>
                            <w:sz w:val="18"/>
                          </w:rPr>
                          <w:t>M</w:t>
                        </w:r>
                      </w:p>
                    </w:tc>
                    <w:tc>
                      <w:tcPr>
                        <w:tcW w:w="636" w:type="dxa"/>
                      </w:tcPr>
                      <w:p>
                        <w:pPr/>
                      </w:p>
                    </w:tc>
                    <w:tc>
                      <w:tcPr>
                        <w:tcW w:w="638" w:type="dxa"/>
                      </w:tcPr>
                      <w:p>
                        <w:pPr>
                          <w:pStyle w:val="TableParagraph"/>
                          <w:spacing w:line="202" w:lineRule="exact"/>
                          <w:ind w:left="63"/>
                          <w:rPr>
                            <w:sz w:val="18"/>
                          </w:rPr>
                        </w:pPr>
                        <w:r>
                          <w:rPr>
                            <w:sz w:val="18"/>
                          </w:rPr>
                          <w:t>M</w:t>
                        </w:r>
                      </w:p>
                    </w:tc>
                    <w:tc>
                      <w:tcPr>
                        <w:tcW w:w="619" w:type="dxa"/>
                      </w:tcPr>
                      <w:p>
                        <w:pPr/>
                      </w:p>
                    </w:tc>
                    <w:tc>
                      <w:tcPr>
                        <w:tcW w:w="619" w:type="dxa"/>
                      </w:tcPr>
                      <w:p>
                        <w:pPr/>
                      </w:p>
                    </w:tc>
                    <w:tc>
                      <w:tcPr>
                        <w:tcW w:w="619" w:type="dxa"/>
                      </w:tcPr>
                      <w:p>
                        <w:pPr/>
                      </w:p>
                    </w:tc>
                    <w:tc>
                      <w:tcPr>
                        <w:tcW w:w="618" w:type="dxa"/>
                      </w:tcPr>
                      <w:p>
                        <w:pPr>
                          <w:pStyle w:val="TableParagraph"/>
                          <w:spacing w:line="202" w:lineRule="exact"/>
                          <w:ind w:left="62"/>
                          <w:rPr>
                            <w:sz w:val="18"/>
                          </w:rPr>
                        </w:pPr>
                        <w:r>
                          <w:rPr>
                            <w:sz w:val="18"/>
                          </w:rPr>
                          <w:t>M</w:t>
                        </w:r>
                      </w:p>
                    </w:tc>
                  </w:tr>
                </w:tbl>
                <w:p>
                  <w:pPr>
                    <w:pStyle w:val="BodyText"/>
                  </w:pPr>
                </w:p>
              </w:txbxContent>
            </v:textbox>
            <w10:wrap type="none"/>
          </v:shape>
        </w:pict>
      </w:r>
      <w:r>
        <w:rPr/>
        <w:t>Table 11. Application of Corlett &amp; Bishop's second period 2.</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0"/>
        <w:rPr>
          <w:sz w:val="17"/>
        </w:rPr>
      </w:pPr>
    </w:p>
    <w:p>
      <w:pPr>
        <w:spacing w:before="0"/>
        <w:ind w:left="270" w:right="1" w:firstLine="0"/>
        <w:jc w:val="center"/>
        <w:rPr>
          <w:sz w:val="18"/>
        </w:rPr>
      </w:pPr>
      <w:r>
        <w:rPr>
          <w:sz w:val="18"/>
        </w:rPr>
        <w:t>Results of the application of Corlett &amp; Bishop mapping.</w:t>
      </w:r>
    </w:p>
    <w:p>
      <w:pPr>
        <w:pStyle w:val="BodyText"/>
        <w:spacing w:before="1"/>
      </w:pPr>
    </w:p>
    <w:p>
      <w:pPr>
        <w:pStyle w:val="BodyText"/>
        <w:ind w:left="270" w:firstLine="567"/>
        <w:jc w:val="both"/>
      </w:pPr>
      <w:r>
        <w:rPr/>
        <w:t>For this week we see that both discomfort and pain were significantly reduced only appeared on Friday pain in the head and neck on Wednesday, but the area is displayed with constant lower back discomfort. See Table 11.</w:t>
      </w:r>
    </w:p>
    <w:p>
      <w:pPr>
        <w:pStyle w:val="BodyText"/>
        <w:spacing w:before="11"/>
        <w:rPr>
          <w:sz w:val="19"/>
        </w:rPr>
      </w:pPr>
    </w:p>
    <w:p>
      <w:pPr>
        <w:pStyle w:val="BodyText"/>
        <w:ind w:left="273"/>
        <w:jc w:val="center"/>
      </w:pPr>
      <w:r>
        <w:rPr/>
        <w:pict>
          <v:shape style="position:absolute;margin-left:38.700001pt;margin-top:23.166574pt;width:251.35pt;height:90.45pt;mso-position-horizontal-relative:page;mso-position-vertical-relative:paragraph;z-index:16192" type="#_x0000_t202" filled="false" stroked="false">
            <v:textbox inset="0,0,0,0">
              <w:txbxContent>
                <w:tbl>
                  <w:tblPr>
                    <w:tblW w:w="0" w:type="auto"/>
                    <w:jc w:val="lef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637"/>
                    <w:gridCol w:w="618"/>
                    <w:gridCol w:w="636"/>
                    <w:gridCol w:w="638"/>
                    <w:gridCol w:w="619"/>
                    <w:gridCol w:w="619"/>
                    <w:gridCol w:w="619"/>
                    <w:gridCol w:w="618"/>
                  </w:tblGrid>
                  <w:tr>
                    <w:trPr>
                      <w:trHeight w:val="295" w:hRule="exact"/>
                    </w:trPr>
                    <w:tc>
                      <w:tcPr>
                        <w:tcW w:w="637" w:type="dxa"/>
                        <w:shd w:val="clear" w:color="auto" w:fill="C35911"/>
                      </w:tcPr>
                      <w:p>
                        <w:pPr/>
                      </w:p>
                    </w:tc>
                    <w:tc>
                      <w:tcPr>
                        <w:tcW w:w="618" w:type="dxa"/>
                        <w:shd w:val="clear" w:color="auto" w:fill="C35911"/>
                      </w:tcPr>
                      <w:p>
                        <w:pPr>
                          <w:pStyle w:val="TableParagraph"/>
                          <w:spacing w:line="206" w:lineRule="exact"/>
                          <w:ind w:left="62"/>
                          <w:rPr>
                            <w:b/>
                            <w:sz w:val="18"/>
                          </w:rPr>
                        </w:pPr>
                        <w:r>
                          <w:rPr>
                            <w:b/>
                            <w:sz w:val="18"/>
                          </w:rPr>
                          <w:t>M</w:t>
                        </w:r>
                      </w:p>
                    </w:tc>
                    <w:tc>
                      <w:tcPr>
                        <w:tcW w:w="636" w:type="dxa"/>
                        <w:shd w:val="clear" w:color="auto" w:fill="C35911"/>
                      </w:tcPr>
                      <w:p>
                        <w:pPr>
                          <w:pStyle w:val="TableParagraph"/>
                          <w:spacing w:line="206" w:lineRule="exact"/>
                          <w:ind w:left="62"/>
                          <w:rPr>
                            <w:b/>
                            <w:sz w:val="18"/>
                          </w:rPr>
                        </w:pPr>
                        <w:r>
                          <w:rPr>
                            <w:b/>
                            <w:sz w:val="18"/>
                          </w:rPr>
                          <w:t>T</w:t>
                        </w:r>
                      </w:p>
                    </w:tc>
                    <w:tc>
                      <w:tcPr>
                        <w:tcW w:w="638" w:type="dxa"/>
                        <w:shd w:val="clear" w:color="auto" w:fill="C35911"/>
                      </w:tcPr>
                      <w:p>
                        <w:pPr>
                          <w:pStyle w:val="TableParagraph"/>
                          <w:spacing w:line="206" w:lineRule="exact"/>
                          <w:ind w:left="63"/>
                          <w:rPr>
                            <w:b/>
                            <w:sz w:val="18"/>
                          </w:rPr>
                        </w:pPr>
                        <w:r>
                          <w:rPr>
                            <w:b/>
                            <w:sz w:val="18"/>
                          </w:rPr>
                          <w:t>W</w:t>
                        </w:r>
                      </w:p>
                    </w:tc>
                    <w:tc>
                      <w:tcPr>
                        <w:tcW w:w="619" w:type="dxa"/>
                        <w:shd w:val="clear" w:color="auto" w:fill="C35911"/>
                      </w:tcPr>
                      <w:p>
                        <w:pPr>
                          <w:pStyle w:val="TableParagraph"/>
                          <w:spacing w:line="206" w:lineRule="exact"/>
                          <w:ind w:left="63"/>
                          <w:rPr>
                            <w:b/>
                            <w:sz w:val="18"/>
                          </w:rPr>
                        </w:pPr>
                        <w:r>
                          <w:rPr>
                            <w:b/>
                            <w:sz w:val="18"/>
                          </w:rPr>
                          <w:t>T</w:t>
                        </w:r>
                      </w:p>
                    </w:tc>
                    <w:tc>
                      <w:tcPr>
                        <w:tcW w:w="619" w:type="dxa"/>
                        <w:shd w:val="clear" w:color="auto" w:fill="C35911"/>
                      </w:tcPr>
                      <w:p>
                        <w:pPr>
                          <w:pStyle w:val="TableParagraph"/>
                          <w:spacing w:line="206" w:lineRule="exact"/>
                          <w:ind w:left="62"/>
                          <w:rPr>
                            <w:b/>
                            <w:sz w:val="18"/>
                          </w:rPr>
                        </w:pPr>
                        <w:r>
                          <w:rPr>
                            <w:b/>
                            <w:sz w:val="18"/>
                          </w:rPr>
                          <w:t>F</w:t>
                        </w:r>
                      </w:p>
                    </w:tc>
                    <w:tc>
                      <w:tcPr>
                        <w:tcW w:w="619" w:type="dxa"/>
                        <w:shd w:val="clear" w:color="auto" w:fill="C35911"/>
                      </w:tcPr>
                      <w:p>
                        <w:pPr>
                          <w:pStyle w:val="TableParagraph"/>
                          <w:spacing w:line="206" w:lineRule="exact"/>
                          <w:ind w:left="62"/>
                          <w:rPr>
                            <w:b/>
                            <w:sz w:val="18"/>
                          </w:rPr>
                        </w:pPr>
                        <w:r>
                          <w:rPr>
                            <w:b/>
                            <w:sz w:val="18"/>
                          </w:rPr>
                          <w:t>S</w:t>
                        </w:r>
                      </w:p>
                    </w:tc>
                    <w:tc>
                      <w:tcPr>
                        <w:tcW w:w="618" w:type="dxa"/>
                        <w:shd w:val="clear" w:color="auto" w:fill="C35911"/>
                      </w:tcPr>
                      <w:p>
                        <w:pPr>
                          <w:pStyle w:val="TableParagraph"/>
                          <w:spacing w:line="206" w:lineRule="exact"/>
                          <w:ind w:left="62"/>
                          <w:rPr>
                            <w:b/>
                            <w:sz w:val="18"/>
                          </w:rPr>
                        </w:pPr>
                        <w:r>
                          <w:rPr>
                            <w:b/>
                            <w:sz w:val="18"/>
                          </w:rPr>
                          <w:t>S</w:t>
                        </w:r>
                      </w:p>
                    </w:tc>
                  </w:tr>
                  <w:tr>
                    <w:trPr>
                      <w:trHeight w:val="295" w:hRule="exact"/>
                    </w:trPr>
                    <w:tc>
                      <w:tcPr>
                        <w:tcW w:w="637" w:type="dxa"/>
                        <w:shd w:val="clear" w:color="auto" w:fill="C35911"/>
                      </w:tcPr>
                      <w:p>
                        <w:pPr>
                          <w:pStyle w:val="TableParagraph"/>
                          <w:ind w:left="245"/>
                          <w:rPr>
                            <w:b/>
                            <w:sz w:val="18"/>
                          </w:rPr>
                        </w:pPr>
                        <w:r>
                          <w:rPr>
                            <w:b/>
                            <w:sz w:val="18"/>
                          </w:rPr>
                          <w:t>A</w:t>
                        </w:r>
                      </w:p>
                    </w:tc>
                    <w:tc>
                      <w:tcPr>
                        <w:tcW w:w="618" w:type="dxa"/>
                      </w:tcPr>
                      <w:p>
                        <w:pPr/>
                      </w:p>
                    </w:tc>
                    <w:tc>
                      <w:tcPr>
                        <w:tcW w:w="636" w:type="dxa"/>
                      </w:tcPr>
                      <w:p>
                        <w:pPr/>
                      </w:p>
                    </w:tc>
                    <w:tc>
                      <w:tcPr>
                        <w:tcW w:w="638" w:type="dxa"/>
                      </w:tcPr>
                      <w:p>
                        <w:pPr/>
                      </w:p>
                    </w:tc>
                    <w:tc>
                      <w:tcPr>
                        <w:tcW w:w="619" w:type="dxa"/>
                      </w:tcPr>
                      <w:p>
                        <w:pPr/>
                      </w:p>
                    </w:tc>
                    <w:tc>
                      <w:tcPr>
                        <w:tcW w:w="619" w:type="dxa"/>
                      </w:tcPr>
                      <w:p>
                        <w:pPr/>
                      </w:p>
                    </w:tc>
                    <w:tc>
                      <w:tcPr>
                        <w:tcW w:w="619" w:type="dxa"/>
                      </w:tcPr>
                      <w:p>
                        <w:pPr/>
                      </w:p>
                    </w:tc>
                    <w:tc>
                      <w:tcPr>
                        <w:tcW w:w="618" w:type="dxa"/>
                      </w:tcPr>
                      <w:p>
                        <w:pPr/>
                      </w:p>
                    </w:tc>
                  </w:tr>
                  <w:tr>
                    <w:trPr>
                      <w:trHeight w:val="295" w:hRule="exact"/>
                    </w:trPr>
                    <w:tc>
                      <w:tcPr>
                        <w:tcW w:w="637" w:type="dxa"/>
                        <w:shd w:val="clear" w:color="auto" w:fill="C35911"/>
                      </w:tcPr>
                      <w:p>
                        <w:pPr>
                          <w:pStyle w:val="TableParagraph"/>
                          <w:ind w:left="250"/>
                          <w:rPr>
                            <w:b/>
                            <w:sz w:val="18"/>
                          </w:rPr>
                        </w:pPr>
                        <w:r>
                          <w:rPr>
                            <w:b/>
                            <w:sz w:val="18"/>
                          </w:rPr>
                          <w:t>B</w:t>
                        </w:r>
                      </w:p>
                    </w:tc>
                    <w:tc>
                      <w:tcPr>
                        <w:tcW w:w="618" w:type="dxa"/>
                      </w:tcPr>
                      <w:p>
                        <w:pPr>
                          <w:pStyle w:val="TableParagraph"/>
                          <w:spacing w:line="203" w:lineRule="exact"/>
                          <w:ind w:left="62"/>
                          <w:rPr>
                            <w:sz w:val="18"/>
                          </w:rPr>
                        </w:pPr>
                        <w:r>
                          <w:rPr>
                            <w:sz w:val="18"/>
                          </w:rPr>
                          <w:t>M</w:t>
                        </w:r>
                      </w:p>
                    </w:tc>
                    <w:tc>
                      <w:tcPr>
                        <w:tcW w:w="636" w:type="dxa"/>
                      </w:tcPr>
                      <w:p>
                        <w:pPr>
                          <w:pStyle w:val="TableParagraph"/>
                          <w:spacing w:line="203" w:lineRule="exact"/>
                          <w:ind w:left="62"/>
                          <w:rPr>
                            <w:sz w:val="18"/>
                          </w:rPr>
                        </w:pPr>
                        <w:r>
                          <w:rPr>
                            <w:sz w:val="18"/>
                          </w:rPr>
                          <w:t>M</w:t>
                        </w:r>
                      </w:p>
                    </w:tc>
                    <w:tc>
                      <w:tcPr>
                        <w:tcW w:w="638" w:type="dxa"/>
                      </w:tcPr>
                      <w:p>
                        <w:pPr>
                          <w:pStyle w:val="TableParagraph"/>
                          <w:spacing w:line="203" w:lineRule="exact"/>
                          <w:ind w:left="63"/>
                          <w:rPr>
                            <w:sz w:val="18"/>
                          </w:rPr>
                        </w:pPr>
                        <w:r>
                          <w:rPr>
                            <w:sz w:val="18"/>
                          </w:rPr>
                          <w:t>M</w:t>
                        </w:r>
                      </w:p>
                    </w:tc>
                    <w:tc>
                      <w:tcPr>
                        <w:tcW w:w="619" w:type="dxa"/>
                      </w:tcPr>
                      <w:p>
                        <w:pPr>
                          <w:pStyle w:val="TableParagraph"/>
                          <w:spacing w:line="203" w:lineRule="exact"/>
                          <w:ind w:left="63"/>
                          <w:rPr>
                            <w:sz w:val="18"/>
                          </w:rPr>
                        </w:pPr>
                        <w:r>
                          <w:rPr>
                            <w:sz w:val="18"/>
                          </w:rPr>
                          <w:t>M</w:t>
                        </w:r>
                      </w:p>
                    </w:tc>
                    <w:tc>
                      <w:tcPr>
                        <w:tcW w:w="619" w:type="dxa"/>
                      </w:tcPr>
                      <w:p>
                        <w:pPr>
                          <w:pStyle w:val="TableParagraph"/>
                          <w:spacing w:line="203" w:lineRule="exact"/>
                          <w:ind w:left="62"/>
                          <w:rPr>
                            <w:sz w:val="18"/>
                          </w:rPr>
                        </w:pPr>
                        <w:r>
                          <w:rPr>
                            <w:sz w:val="18"/>
                          </w:rPr>
                          <w:t>M</w:t>
                        </w:r>
                      </w:p>
                    </w:tc>
                    <w:tc>
                      <w:tcPr>
                        <w:tcW w:w="619" w:type="dxa"/>
                      </w:tcPr>
                      <w:p>
                        <w:pPr/>
                      </w:p>
                    </w:tc>
                    <w:tc>
                      <w:tcPr>
                        <w:tcW w:w="618" w:type="dxa"/>
                      </w:tcPr>
                      <w:p>
                        <w:pPr/>
                      </w:p>
                    </w:tc>
                  </w:tr>
                  <w:tr>
                    <w:trPr>
                      <w:trHeight w:val="319" w:hRule="exact"/>
                    </w:trPr>
                    <w:tc>
                      <w:tcPr>
                        <w:tcW w:w="637" w:type="dxa"/>
                        <w:shd w:val="clear" w:color="auto" w:fill="C35911"/>
                      </w:tcPr>
                      <w:p>
                        <w:pPr>
                          <w:pStyle w:val="TableParagraph"/>
                          <w:spacing w:line="206" w:lineRule="exact"/>
                          <w:ind w:left="245"/>
                          <w:rPr>
                            <w:b/>
                            <w:sz w:val="18"/>
                          </w:rPr>
                        </w:pPr>
                        <w:r>
                          <w:rPr>
                            <w:b/>
                            <w:sz w:val="18"/>
                          </w:rPr>
                          <w:t>C</w:t>
                        </w:r>
                      </w:p>
                    </w:tc>
                    <w:tc>
                      <w:tcPr>
                        <w:tcW w:w="618" w:type="dxa"/>
                      </w:tcPr>
                      <w:p>
                        <w:pPr/>
                      </w:p>
                    </w:tc>
                    <w:tc>
                      <w:tcPr>
                        <w:tcW w:w="636" w:type="dxa"/>
                      </w:tcPr>
                      <w:p>
                        <w:pPr>
                          <w:pStyle w:val="TableParagraph"/>
                          <w:spacing w:line="202" w:lineRule="exact"/>
                          <w:ind w:left="62"/>
                          <w:rPr>
                            <w:sz w:val="18"/>
                          </w:rPr>
                        </w:pPr>
                        <w:r>
                          <w:rPr>
                            <w:sz w:val="18"/>
                          </w:rPr>
                          <w:t>M</w:t>
                        </w:r>
                      </w:p>
                    </w:tc>
                    <w:tc>
                      <w:tcPr>
                        <w:tcW w:w="638" w:type="dxa"/>
                      </w:tcPr>
                      <w:p>
                        <w:pPr>
                          <w:pStyle w:val="TableParagraph"/>
                          <w:spacing w:line="202" w:lineRule="exact"/>
                          <w:ind w:left="63"/>
                          <w:rPr>
                            <w:sz w:val="18"/>
                          </w:rPr>
                        </w:pPr>
                        <w:r>
                          <w:rPr>
                            <w:sz w:val="18"/>
                          </w:rPr>
                          <w:t>M</w:t>
                        </w:r>
                      </w:p>
                    </w:tc>
                    <w:tc>
                      <w:tcPr>
                        <w:tcW w:w="619" w:type="dxa"/>
                      </w:tcPr>
                      <w:p>
                        <w:pPr>
                          <w:pStyle w:val="TableParagraph"/>
                          <w:spacing w:line="202" w:lineRule="exact"/>
                          <w:ind w:left="63"/>
                          <w:rPr>
                            <w:sz w:val="18"/>
                          </w:rPr>
                        </w:pPr>
                        <w:r>
                          <w:rPr>
                            <w:sz w:val="18"/>
                          </w:rPr>
                          <w:t>M</w:t>
                        </w:r>
                      </w:p>
                    </w:tc>
                    <w:tc>
                      <w:tcPr>
                        <w:tcW w:w="619" w:type="dxa"/>
                      </w:tcPr>
                      <w:p>
                        <w:pPr/>
                      </w:p>
                    </w:tc>
                    <w:tc>
                      <w:tcPr>
                        <w:tcW w:w="619" w:type="dxa"/>
                      </w:tcPr>
                      <w:p>
                        <w:pPr>
                          <w:pStyle w:val="TableParagraph"/>
                          <w:spacing w:line="202" w:lineRule="exact"/>
                          <w:ind w:left="62"/>
                          <w:rPr>
                            <w:sz w:val="18"/>
                          </w:rPr>
                        </w:pPr>
                        <w:r>
                          <w:rPr>
                            <w:sz w:val="18"/>
                          </w:rPr>
                          <w:t>M</w:t>
                        </w:r>
                      </w:p>
                    </w:tc>
                    <w:tc>
                      <w:tcPr>
                        <w:tcW w:w="618" w:type="dxa"/>
                      </w:tcPr>
                      <w:p>
                        <w:pPr>
                          <w:pStyle w:val="TableParagraph"/>
                          <w:spacing w:line="202" w:lineRule="exact"/>
                          <w:ind w:left="62"/>
                          <w:rPr>
                            <w:sz w:val="18"/>
                          </w:rPr>
                        </w:pPr>
                        <w:r>
                          <w:rPr>
                            <w:sz w:val="18"/>
                          </w:rPr>
                          <w:t>M</w:t>
                        </w:r>
                      </w:p>
                    </w:tc>
                  </w:tr>
                  <w:tr>
                    <w:trPr>
                      <w:trHeight w:val="295" w:hRule="exact"/>
                    </w:trPr>
                    <w:tc>
                      <w:tcPr>
                        <w:tcW w:w="637" w:type="dxa"/>
                        <w:shd w:val="clear" w:color="auto" w:fill="C35911"/>
                      </w:tcPr>
                      <w:p>
                        <w:pPr>
                          <w:pStyle w:val="TableParagraph"/>
                          <w:spacing w:line="206" w:lineRule="exact"/>
                          <w:ind w:left="245"/>
                          <w:rPr>
                            <w:b/>
                            <w:sz w:val="18"/>
                          </w:rPr>
                        </w:pPr>
                        <w:r>
                          <w:rPr>
                            <w:b/>
                            <w:sz w:val="18"/>
                          </w:rPr>
                          <w:t>D</w:t>
                        </w:r>
                      </w:p>
                    </w:tc>
                    <w:tc>
                      <w:tcPr>
                        <w:tcW w:w="618" w:type="dxa"/>
                      </w:tcPr>
                      <w:p>
                        <w:pPr>
                          <w:pStyle w:val="TableParagraph"/>
                          <w:spacing w:line="202" w:lineRule="exact"/>
                          <w:ind w:left="62"/>
                          <w:rPr>
                            <w:sz w:val="18"/>
                          </w:rPr>
                        </w:pPr>
                        <w:r>
                          <w:rPr>
                            <w:sz w:val="18"/>
                          </w:rPr>
                          <w:t>M</w:t>
                        </w:r>
                      </w:p>
                    </w:tc>
                    <w:tc>
                      <w:tcPr>
                        <w:tcW w:w="636" w:type="dxa"/>
                      </w:tcPr>
                      <w:p>
                        <w:pPr/>
                      </w:p>
                    </w:tc>
                    <w:tc>
                      <w:tcPr>
                        <w:tcW w:w="638" w:type="dxa"/>
                      </w:tcPr>
                      <w:p>
                        <w:pPr/>
                      </w:p>
                    </w:tc>
                    <w:tc>
                      <w:tcPr>
                        <w:tcW w:w="619" w:type="dxa"/>
                      </w:tcPr>
                      <w:p>
                        <w:pPr/>
                      </w:p>
                    </w:tc>
                    <w:tc>
                      <w:tcPr>
                        <w:tcW w:w="619" w:type="dxa"/>
                      </w:tcPr>
                      <w:p>
                        <w:pPr>
                          <w:pStyle w:val="TableParagraph"/>
                          <w:spacing w:line="202" w:lineRule="exact"/>
                          <w:ind w:left="62"/>
                          <w:rPr>
                            <w:sz w:val="18"/>
                          </w:rPr>
                        </w:pPr>
                        <w:r>
                          <w:rPr>
                            <w:sz w:val="18"/>
                          </w:rPr>
                          <w:t>M</w:t>
                        </w:r>
                      </w:p>
                    </w:tc>
                    <w:tc>
                      <w:tcPr>
                        <w:tcW w:w="619" w:type="dxa"/>
                      </w:tcPr>
                      <w:p>
                        <w:pPr>
                          <w:pStyle w:val="TableParagraph"/>
                          <w:spacing w:line="202" w:lineRule="exact"/>
                          <w:ind w:left="62"/>
                          <w:rPr>
                            <w:sz w:val="18"/>
                          </w:rPr>
                        </w:pPr>
                        <w:r>
                          <w:rPr>
                            <w:sz w:val="18"/>
                          </w:rPr>
                          <w:t>M</w:t>
                        </w:r>
                      </w:p>
                    </w:tc>
                    <w:tc>
                      <w:tcPr>
                        <w:tcW w:w="618" w:type="dxa"/>
                      </w:tcPr>
                      <w:p>
                        <w:pPr>
                          <w:pStyle w:val="TableParagraph"/>
                          <w:spacing w:line="202" w:lineRule="exact"/>
                          <w:ind w:left="62"/>
                          <w:rPr>
                            <w:sz w:val="18"/>
                          </w:rPr>
                        </w:pPr>
                        <w:r>
                          <w:rPr>
                            <w:sz w:val="18"/>
                          </w:rPr>
                          <w:t>M</w:t>
                        </w:r>
                      </w:p>
                    </w:tc>
                  </w:tr>
                  <w:tr>
                    <w:trPr>
                      <w:trHeight w:val="295" w:hRule="exact"/>
                    </w:trPr>
                    <w:tc>
                      <w:tcPr>
                        <w:tcW w:w="637" w:type="dxa"/>
                        <w:tcBorders>
                          <w:bottom w:val="single" w:sz="6" w:space="0" w:color="FFFFFF"/>
                        </w:tcBorders>
                        <w:shd w:val="clear" w:color="auto" w:fill="C35911"/>
                      </w:tcPr>
                      <w:p>
                        <w:pPr>
                          <w:pStyle w:val="TableParagraph"/>
                          <w:spacing w:line="206" w:lineRule="exact"/>
                          <w:ind w:left="250"/>
                          <w:rPr>
                            <w:b/>
                            <w:sz w:val="18"/>
                          </w:rPr>
                        </w:pPr>
                        <w:r>
                          <w:rPr>
                            <w:b/>
                            <w:sz w:val="18"/>
                          </w:rPr>
                          <w:t>E</w:t>
                        </w:r>
                      </w:p>
                    </w:tc>
                    <w:tc>
                      <w:tcPr>
                        <w:tcW w:w="618" w:type="dxa"/>
                        <w:tcBorders>
                          <w:bottom w:val="single" w:sz="6" w:space="0" w:color="FFFFFF"/>
                        </w:tcBorders>
                      </w:tcPr>
                      <w:p>
                        <w:pPr>
                          <w:pStyle w:val="TableParagraph"/>
                          <w:spacing w:line="202" w:lineRule="exact"/>
                          <w:ind w:left="62"/>
                          <w:rPr>
                            <w:sz w:val="18"/>
                          </w:rPr>
                        </w:pPr>
                        <w:r>
                          <w:rPr>
                            <w:sz w:val="18"/>
                          </w:rPr>
                          <w:t>M</w:t>
                        </w:r>
                      </w:p>
                    </w:tc>
                    <w:tc>
                      <w:tcPr>
                        <w:tcW w:w="636" w:type="dxa"/>
                        <w:tcBorders>
                          <w:bottom w:val="single" w:sz="6" w:space="0" w:color="FFFFFF"/>
                        </w:tcBorders>
                      </w:tcPr>
                      <w:p>
                        <w:pPr>
                          <w:pStyle w:val="TableParagraph"/>
                          <w:spacing w:line="202" w:lineRule="exact"/>
                          <w:ind w:left="62"/>
                          <w:rPr>
                            <w:sz w:val="18"/>
                          </w:rPr>
                        </w:pPr>
                        <w:r>
                          <w:rPr>
                            <w:sz w:val="18"/>
                          </w:rPr>
                          <w:t>M</w:t>
                        </w:r>
                      </w:p>
                    </w:tc>
                    <w:tc>
                      <w:tcPr>
                        <w:tcW w:w="638" w:type="dxa"/>
                        <w:tcBorders>
                          <w:bottom w:val="single" w:sz="6" w:space="0" w:color="FFFFFF"/>
                        </w:tcBorders>
                      </w:tcPr>
                      <w:p>
                        <w:pPr>
                          <w:pStyle w:val="TableParagraph"/>
                          <w:spacing w:line="202" w:lineRule="exact"/>
                          <w:ind w:left="63"/>
                          <w:rPr>
                            <w:sz w:val="18"/>
                          </w:rPr>
                        </w:pPr>
                        <w:r>
                          <w:rPr>
                            <w:sz w:val="18"/>
                          </w:rPr>
                          <w:t>M</w:t>
                        </w:r>
                      </w:p>
                    </w:tc>
                    <w:tc>
                      <w:tcPr>
                        <w:tcW w:w="619" w:type="dxa"/>
                        <w:tcBorders>
                          <w:bottom w:val="single" w:sz="6" w:space="0" w:color="FFFFFF"/>
                        </w:tcBorders>
                      </w:tcPr>
                      <w:p>
                        <w:pPr>
                          <w:pStyle w:val="TableParagraph"/>
                          <w:spacing w:line="202" w:lineRule="exact"/>
                          <w:ind w:left="63"/>
                          <w:rPr>
                            <w:sz w:val="18"/>
                          </w:rPr>
                        </w:pPr>
                        <w:r>
                          <w:rPr>
                            <w:sz w:val="18"/>
                          </w:rPr>
                          <w:t>M</w:t>
                        </w:r>
                      </w:p>
                    </w:tc>
                    <w:tc>
                      <w:tcPr>
                        <w:tcW w:w="619" w:type="dxa"/>
                        <w:tcBorders>
                          <w:bottom w:val="single" w:sz="6" w:space="0" w:color="FFFFFF"/>
                        </w:tcBorders>
                      </w:tcPr>
                      <w:p>
                        <w:pPr/>
                      </w:p>
                    </w:tc>
                    <w:tc>
                      <w:tcPr>
                        <w:tcW w:w="619" w:type="dxa"/>
                        <w:tcBorders>
                          <w:bottom w:val="single" w:sz="6" w:space="0" w:color="FFFFFF"/>
                        </w:tcBorders>
                      </w:tcPr>
                      <w:p>
                        <w:pPr/>
                      </w:p>
                    </w:tc>
                    <w:tc>
                      <w:tcPr>
                        <w:tcW w:w="618" w:type="dxa"/>
                        <w:tcBorders>
                          <w:bottom w:val="single" w:sz="6" w:space="0" w:color="FFFFFF"/>
                        </w:tcBorders>
                      </w:tcPr>
                      <w:p>
                        <w:pPr/>
                      </w:p>
                    </w:tc>
                  </w:tr>
                </w:tbl>
                <w:p>
                  <w:pPr>
                    <w:pStyle w:val="BodyText"/>
                  </w:pPr>
                </w:p>
              </w:txbxContent>
            </v:textbox>
            <w10:wrap type="none"/>
          </v:shape>
        </w:pict>
      </w:r>
      <w:r>
        <w:rPr/>
        <w:t>Table 12. Application of Corlett &amp; Bishop's second period week 3.</w:t>
      </w:r>
    </w:p>
    <w:p>
      <w:pPr>
        <w:pStyle w:val="BodyText"/>
        <w:rPr>
          <w:sz w:val="18"/>
        </w:rPr>
      </w:pPr>
      <w:r>
        <w:rPr/>
        <w:br w:type="column"/>
      </w:r>
      <w:r>
        <w:rPr>
          <w:sz w:val="18"/>
        </w:rPr>
      </w:r>
    </w:p>
    <w:p>
      <w:pPr>
        <w:pStyle w:val="BodyText"/>
        <w:rPr>
          <w:sz w:val="18"/>
        </w:rPr>
      </w:pPr>
    </w:p>
    <w:p>
      <w:pPr>
        <w:spacing w:before="107"/>
        <w:ind w:left="686" w:right="702" w:firstLine="0"/>
        <w:jc w:val="left"/>
        <w:rPr>
          <w:sz w:val="18"/>
        </w:rPr>
      </w:pPr>
      <w:r>
        <w:rPr>
          <w:sz w:val="18"/>
        </w:rPr>
        <w:t>Results of the application of Corlett &amp; Bishop mapping.</w:t>
      </w:r>
    </w:p>
    <w:p>
      <w:pPr>
        <w:pStyle w:val="BodyText"/>
        <w:spacing w:before="2"/>
      </w:pPr>
    </w:p>
    <w:p>
      <w:pPr>
        <w:pStyle w:val="BodyText"/>
        <w:ind w:left="270" w:right="676" w:firstLine="567"/>
        <w:jc w:val="both"/>
      </w:pPr>
      <w:r>
        <w:rPr/>
        <w:t>For the last week we can see in Table 12 that there was no pain anywhere in the leather end of the day this week. As for the inconvenience still appreciate in the neck portion, and a little man on top of the arm, but this time added two areas which had not appeared in previous weeks, which are bottom of the arms and hands and wrists.</w:t>
      </w:r>
    </w:p>
    <w:p>
      <w:pPr>
        <w:pStyle w:val="BodyText"/>
        <w:spacing w:before="2"/>
      </w:pPr>
    </w:p>
    <w:p>
      <w:pPr>
        <w:pStyle w:val="Heading4"/>
        <w:numPr>
          <w:ilvl w:val="1"/>
          <w:numId w:val="143"/>
        </w:numPr>
        <w:tabs>
          <w:tab w:pos="631" w:val="left" w:leader="none"/>
        </w:tabs>
        <w:spacing w:line="240" w:lineRule="auto" w:before="0" w:after="0"/>
        <w:ind w:left="630" w:right="0" w:hanging="360"/>
        <w:jc w:val="left"/>
      </w:pPr>
      <w:r>
        <w:rPr/>
        <w:t>Conclusions</w:t>
      </w:r>
    </w:p>
    <w:p>
      <w:pPr>
        <w:pStyle w:val="BodyText"/>
        <w:spacing w:before="8"/>
        <w:rPr>
          <w:b/>
          <w:sz w:val="19"/>
        </w:rPr>
      </w:pPr>
    </w:p>
    <w:p>
      <w:pPr>
        <w:pStyle w:val="BodyText"/>
        <w:ind w:left="270" w:right="673" w:firstLine="567"/>
        <w:jc w:val="both"/>
      </w:pPr>
      <w:r>
        <w:rPr/>
        <w:t>Based on the results obtained from the surveys we  can conclude that the highest  rate of complaints presented by fatigue on Thursday and although most days at the end of the work day was over tired from Thursday was when increased fatigue, insomuch get a chance to finish extremely tired on a Friday. It is recommended that a new study to see what kind of fatigue is being presented in this area and in turn analyze whether the reason that starting Thursday worsens fatigue is due to the nature of work performed or it is when workload is presented in this</w:t>
      </w:r>
      <w:r>
        <w:rPr>
          <w:spacing w:val="-24"/>
        </w:rPr>
        <w:t> </w:t>
      </w:r>
      <w:r>
        <w:rPr/>
        <w:t>company.</w:t>
      </w:r>
    </w:p>
    <w:p>
      <w:pPr>
        <w:pStyle w:val="BodyText"/>
      </w:pPr>
    </w:p>
    <w:p>
      <w:pPr>
        <w:pStyle w:val="BodyText"/>
        <w:spacing w:before="1"/>
        <w:ind w:left="270" w:right="676" w:firstLine="567"/>
        <w:jc w:val="both"/>
      </w:pPr>
      <w:r>
        <w:rPr/>
        <w:t>Likewise, the data yield results that showed any inconvenience focus on a limited number of areas of the body, which are being more affected than others. It is important to make an analysis and evaluation of ergonomic work area, since it is possible that the same equipment or tools that are commonly used are the cause of constant discomfort that occurred during the six weeks and put more attention to the areas where the pain was presented as they may be developing a possible cumulative trauma disorder, which if so, would decrease the quality of life of workers in the company.</w:t>
      </w:r>
    </w:p>
    <w:p>
      <w:pPr>
        <w:pStyle w:val="BodyText"/>
        <w:spacing w:before="11"/>
        <w:rPr>
          <w:sz w:val="19"/>
        </w:rPr>
      </w:pPr>
    </w:p>
    <w:p>
      <w:pPr>
        <w:pStyle w:val="BodyText"/>
        <w:ind w:left="270" w:right="678" w:firstLine="567"/>
        <w:jc w:val="both"/>
      </w:pPr>
      <w:r>
        <w:rPr/>
        <w:t>We recommend that future research be conducted deeper, and in this way to make a redesign of spaces in the production area, also make improvements to the tools used, utensils, and no less important workstations, making redesign with anthropometric dimensions and ergonomic features to suit the use of workers working in this area of production.</w:t>
      </w:r>
    </w:p>
    <w:p>
      <w:pPr>
        <w:spacing w:after="0"/>
        <w:jc w:val="both"/>
        <w:sectPr>
          <w:type w:val="continuous"/>
          <w:pgSz w:w="12240" w:h="15840"/>
          <w:pgMar w:top="1500" w:bottom="280" w:left="580" w:right="220"/>
          <w:cols w:num="2" w:equalWidth="0">
            <w:col w:w="5189" w:space="435"/>
            <w:col w:w="5816"/>
          </w:cols>
        </w:sectPr>
      </w:pPr>
    </w:p>
    <w:p>
      <w:pPr>
        <w:pStyle w:val="BodyText"/>
        <w:spacing w:before="6"/>
        <w:rPr>
          <w:sz w:val="11"/>
        </w:rPr>
      </w:pPr>
    </w:p>
    <w:p>
      <w:pPr>
        <w:pStyle w:val="Heading4"/>
        <w:numPr>
          <w:ilvl w:val="1"/>
          <w:numId w:val="143"/>
        </w:numPr>
        <w:tabs>
          <w:tab w:pos="631" w:val="left" w:leader="none"/>
        </w:tabs>
        <w:spacing w:line="240" w:lineRule="auto" w:before="75" w:after="0"/>
        <w:ind w:left="630" w:right="0" w:hanging="360"/>
        <w:jc w:val="both"/>
      </w:pPr>
      <w:r>
        <w:rPr/>
        <w:t>References</w:t>
      </w:r>
    </w:p>
    <w:p>
      <w:pPr>
        <w:pStyle w:val="BodyText"/>
        <w:spacing w:before="8"/>
        <w:rPr>
          <w:b/>
          <w:sz w:val="19"/>
        </w:rPr>
      </w:pPr>
    </w:p>
    <w:p>
      <w:pPr>
        <w:pStyle w:val="BodyText"/>
        <w:ind w:left="270" w:right="6249"/>
        <w:jc w:val="both"/>
      </w:pPr>
      <w:r>
        <w:rPr/>
        <w:t>J. Ruiz, A. Ramirez, K. Luna, A. Gastelum, L. Inzunza, C. Lopez, A. Lopez, M. Quiñonez, “Assessment Musculoskeletal Disorders (MSDS) in Waiters” Sociedad de Ergonomistas de México, A.C. (SEMAC), 2014, pp. 268- 274.</w:t>
      </w:r>
    </w:p>
    <w:p>
      <w:pPr>
        <w:pStyle w:val="BodyText"/>
        <w:spacing w:before="11"/>
        <w:rPr>
          <w:sz w:val="19"/>
        </w:rPr>
      </w:pPr>
    </w:p>
    <w:p>
      <w:pPr>
        <w:pStyle w:val="BodyText"/>
        <w:ind w:left="270" w:right="6249"/>
        <w:jc w:val="both"/>
      </w:pPr>
      <w:r>
        <w:rPr/>
        <w:t>Corlett &amp; Bishop. R. P.”A technique for measuring postural discomfort” Ergonomics, 9, 175-182. 1976.</w:t>
      </w:r>
    </w:p>
    <w:p>
      <w:pPr>
        <w:pStyle w:val="BodyText"/>
        <w:spacing w:before="11"/>
        <w:rPr>
          <w:sz w:val="19"/>
        </w:rPr>
      </w:pPr>
    </w:p>
    <w:p>
      <w:pPr>
        <w:pStyle w:val="BodyText"/>
        <w:ind w:left="270" w:right="6249"/>
        <w:jc w:val="both"/>
      </w:pPr>
      <w:r>
        <w:rPr/>
        <w:t>A. Ramírez L.,“Determinación de fatiga física en niños que trabajan en mercados populares y centros de abastos”. Sociedad de Ergonomistas de México, A.C.(SEMAC), Universidad Autónoma de Nuevo León. 2005.</w:t>
      </w:r>
    </w:p>
    <w:p>
      <w:pPr>
        <w:pStyle w:val="BodyText"/>
        <w:spacing w:before="11"/>
        <w:rPr>
          <w:sz w:val="19"/>
        </w:rPr>
      </w:pPr>
    </w:p>
    <w:p>
      <w:pPr>
        <w:pStyle w:val="BodyText"/>
        <w:ind w:left="270" w:right="6249"/>
        <w:jc w:val="both"/>
      </w:pPr>
      <w:r>
        <w:rPr/>
        <w:t>J. Leyva, A. Leyva, L. Valdez, S. Dagnino, K. Romero, “Evaluation of physical fatigue and CDT's in the use of straightening irons in aesthetic of the city of Los Mochis, Sinaloa” Sociedad de Ergonomistas de México, A.C (SEMAC)., 2014.</w:t>
      </w:r>
    </w:p>
    <w:p>
      <w:pPr>
        <w:pStyle w:val="BodyText"/>
        <w:spacing w:before="11"/>
        <w:rPr>
          <w:sz w:val="19"/>
        </w:rPr>
      </w:pPr>
    </w:p>
    <w:p>
      <w:pPr>
        <w:pStyle w:val="BodyText"/>
        <w:ind w:left="270" w:right="6248"/>
        <w:jc w:val="both"/>
      </w:pPr>
      <w:r>
        <w:rPr/>
        <w:t>D. Ruiz, E. Rosas, D. Estrada, J. Arellano Valle, A. Ramírez “Determination Of Frequency Of Complaint Of Fatigue And Analysis Of Subjective Symptoms Of Fatigue Presented In Footwear Cleaners In Downtown Los Mochis, Sinaloa” Sociedad de Ergonomistas de México, A.C  (SEMAC)., 2012.</w:t>
      </w:r>
    </w:p>
    <w:p>
      <w:pPr>
        <w:pStyle w:val="BodyText"/>
      </w:pPr>
    </w:p>
    <w:p>
      <w:pPr>
        <w:pStyle w:val="BodyText"/>
        <w:spacing w:before="1"/>
        <w:ind w:left="270" w:right="6249"/>
        <w:jc w:val="both"/>
      </w:pPr>
      <w:r>
        <w:rPr/>
        <w:t>O. Romano, W. Factores de riesgo ergonómico de desórdenes de trauma acumulativo en miembro superior en trabajadores de una empresa maquiladora. México, DF.  2011, de Instituto Politécnico</w:t>
      </w:r>
      <w:r>
        <w:rPr>
          <w:spacing w:val="-23"/>
        </w:rPr>
        <w:t> </w:t>
      </w:r>
      <w:r>
        <w:rPr/>
        <w:t>Nacional.</w:t>
      </w:r>
    </w:p>
    <w:p>
      <w:pPr>
        <w:pStyle w:val="BodyText"/>
      </w:pPr>
    </w:p>
    <w:p>
      <w:pPr>
        <w:pStyle w:val="BodyText"/>
        <w:spacing w:before="1"/>
        <w:ind w:left="270" w:right="6250"/>
        <w:jc w:val="both"/>
      </w:pPr>
      <w:r>
        <w:rPr/>
        <w:t>B. Carranza, A. &amp; Vallejo Gonzalez, J. (2004). Fatiga laboral. 2004, de Ergonomía Ocupacional S.C. Sitio web: </w:t>
      </w:r>
      <w:hyperlink r:id="rId587">
        <w:r>
          <w:rPr>
            <w:color w:val="0000FF"/>
            <w:u w:val="single" w:color="0000FF"/>
          </w:rPr>
          <w:t>http://www.ergocupacional.com/4910/20608.html</w:t>
        </w:r>
        <w:r>
          <w:rPr/>
          <w:t>.</w:t>
        </w:r>
      </w:hyperlink>
    </w:p>
    <w:p>
      <w:pPr>
        <w:pStyle w:val="BodyText"/>
        <w:spacing w:before="11"/>
        <w:rPr>
          <w:sz w:val="19"/>
        </w:rPr>
      </w:pPr>
    </w:p>
    <w:p>
      <w:pPr>
        <w:pStyle w:val="BodyText"/>
        <w:ind w:left="270" w:right="6249"/>
      </w:pPr>
      <w:r>
        <w:rPr/>
        <w:t>Cero Accidentes. (2012). Diseño ergonómico de puestos de trabajo. Febrero 28,2012, de Administración de la seguridad y salud en el trabajo. BSI OHSAS 18001 Sitio web: </w:t>
      </w:r>
      <w:hyperlink r:id="rId588">
        <w:r>
          <w:rPr>
            <w:color w:val="0000FF"/>
            <w:u w:val="single" w:color="0000FF"/>
          </w:rPr>
          <w:t>http://trabajaconseguridad.blogspot.mx/2012/02/diseno-</w:t>
        </w:r>
      </w:hyperlink>
      <w:r>
        <w:rPr>
          <w:color w:val="0000FF"/>
          <w:u w:val="single" w:color="0000FF"/>
        </w:rPr>
        <w:t> ergonomico-de-puestos-de-trabajo.html</w:t>
      </w:r>
      <w:r>
        <w:rPr/>
        <w:t>.</w:t>
      </w:r>
    </w:p>
    <w:p>
      <w:pPr>
        <w:spacing w:after="0"/>
        <w:sectPr>
          <w:pgSz w:w="12240" w:h="15840"/>
          <w:pgMar w:header="545" w:footer="852" w:top="1060" w:bottom="1040" w:left="580" w:right="220"/>
        </w:sectPr>
      </w:pPr>
    </w:p>
    <w:p>
      <w:pPr>
        <w:pStyle w:val="BodyText"/>
        <w:spacing w:before="4"/>
        <w:rPr>
          <w:sz w:val="11"/>
        </w:rPr>
      </w:pPr>
    </w:p>
    <w:p>
      <w:pPr>
        <w:spacing w:after="0"/>
        <w:rPr>
          <w:sz w:val="11"/>
        </w:rPr>
        <w:sectPr>
          <w:pgSz w:w="12240" w:h="15840"/>
          <w:pgMar w:header="545" w:footer="852" w:top="1060" w:bottom="1040" w:left="580" w:right="220"/>
        </w:sectPr>
      </w:pPr>
    </w:p>
    <w:p>
      <w:pPr>
        <w:pStyle w:val="Heading1"/>
        <w:spacing w:before="75"/>
        <w:rPr>
          <w:rFonts w:ascii="Arial"/>
        </w:rPr>
      </w:pPr>
      <w:r>
        <w:rPr>
          <w:rFonts w:ascii="Arial"/>
        </w:rPr>
        <w:t>Study of cumulative trauma disorders in urban bus drivers in Los Mochis, Sinaloa.</w:t>
      </w:r>
    </w:p>
    <w:p>
      <w:pPr>
        <w:pStyle w:val="BodyText"/>
        <w:rPr>
          <w:rFonts w:ascii="Arial"/>
          <w:b/>
        </w:rPr>
      </w:pPr>
    </w:p>
    <w:p>
      <w:pPr>
        <w:spacing w:line="230" w:lineRule="exact" w:before="0"/>
        <w:ind w:left="270" w:right="0" w:firstLine="0"/>
        <w:jc w:val="both"/>
        <w:rPr>
          <w:sz w:val="13"/>
        </w:rPr>
      </w:pPr>
      <w:r>
        <w:rPr>
          <w:i/>
          <w:sz w:val="20"/>
        </w:rPr>
        <w:t>José Alfredo Leyva Astorga </w:t>
      </w:r>
      <w:r>
        <w:rPr>
          <w:position w:val="9"/>
          <w:sz w:val="13"/>
        </w:rPr>
        <w:t>a</w:t>
      </w:r>
      <w:r>
        <w:rPr>
          <w:i/>
          <w:sz w:val="20"/>
        </w:rPr>
        <w:t>, Alberto Ramírez Leyva </w:t>
      </w:r>
      <w:r>
        <w:rPr>
          <w:position w:val="9"/>
          <w:sz w:val="13"/>
        </w:rPr>
        <w:t>b</w:t>
      </w:r>
      <w:r>
        <w:rPr>
          <w:i/>
          <w:sz w:val="20"/>
        </w:rPr>
        <w:t>, Jesús </w:t>
      </w:r>
      <w:r>
        <w:rPr>
          <w:i/>
          <w:sz w:val="20"/>
        </w:rPr>
        <w:t>Eduardo Ávila Rodríguez </w:t>
      </w:r>
      <w:r>
        <w:rPr>
          <w:position w:val="9"/>
          <w:sz w:val="13"/>
        </w:rPr>
        <w:t>c</w:t>
      </w:r>
      <w:r>
        <w:rPr>
          <w:i/>
          <w:sz w:val="20"/>
        </w:rPr>
        <w:t>, Tania lizeth Cital lópez </w:t>
      </w:r>
      <w:r>
        <w:rPr>
          <w:position w:val="9"/>
          <w:sz w:val="13"/>
        </w:rPr>
        <w:t>d</w:t>
      </w:r>
      <w:r>
        <w:rPr>
          <w:i/>
          <w:sz w:val="20"/>
        </w:rPr>
        <w:t>, Luis </w:t>
      </w:r>
      <w:r>
        <w:rPr>
          <w:i/>
          <w:sz w:val="20"/>
        </w:rPr>
        <w:t>Ángel Orduño Fierro </w:t>
      </w:r>
      <w:r>
        <w:rPr>
          <w:position w:val="9"/>
          <w:sz w:val="13"/>
        </w:rPr>
        <w:t>e</w:t>
      </w:r>
    </w:p>
    <w:p>
      <w:pPr>
        <w:pStyle w:val="BodyText"/>
        <w:spacing w:before="4"/>
        <w:rPr>
          <w:sz w:val="18"/>
        </w:rPr>
      </w:pPr>
    </w:p>
    <w:p>
      <w:pPr>
        <w:spacing w:before="1"/>
        <w:ind w:left="270" w:right="36" w:firstLine="0"/>
        <w:jc w:val="both"/>
        <w:rPr>
          <w:sz w:val="16"/>
        </w:rPr>
      </w:pPr>
      <w:r>
        <w:rPr>
          <w:position w:val="7"/>
          <w:sz w:val="10"/>
        </w:rPr>
        <w:t>a </w:t>
      </w:r>
      <w:r>
        <w:rPr>
          <w:sz w:val="16"/>
        </w:rPr>
        <w:t>Instituto Tecnológico de los Mochis, Juan de dios Batiz y 20 de noviembre s/n código postal 81259, </w:t>
      </w:r>
      <w:hyperlink r:id="rId649">
        <w:r>
          <w:rPr>
            <w:sz w:val="16"/>
          </w:rPr>
          <w:t>jalajala64@hotmail.com,</w:t>
        </w:r>
      </w:hyperlink>
      <w:r>
        <w:rPr>
          <w:sz w:val="16"/>
        </w:rPr>
        <w:t> Los Mochis, Sinaloa, México.</w:t>
      </w:r>
    </w:p>
    <w:p>
      <w:pPr>
        <w:spacing w:line="184" w:lineRule="exact" w:before="1"/>
        <w:ind w:left="270" w:right="36" w:firstLine="0"/>
        <w:jc w:val="both"/>
        <w:rPr>
          <w:sz w:val="16"/>
        </w:rPr>
      </w:pPr>
      <w:r>
        <w:rPr>
          <w:position w:val="7"/>
          <w:sz w:val="10"/>
        </w:rPr>
        <w:t>b </w:t>
      </w:r>
      <w:r>
        <w:rPr>
          <w:sz w:val="16"/>
        </w:rPr>
        <w:t>Instituto Tecnológico de los Mochis, juan de dios Batiz y 20 de noviembre s/n código postal 81259, </w:t>
      </w:r>
      <w:hyperlink r:id="rId634">
        <w:r>
          <w:rPr>
            <w:sz w:val="16"/>
          </w:rPr>
          <w:t>alberto_ramirez_leyva@yahoo.com</w:t>
        </w:r>
      </w:hyperlink>
      <w:r>
        <w:rPr>
          <w:sz w:val="16"/>
        </w:rPr>
        <w:t> , Los Mochis, Sinaloa, México.</w:t>
      </w:r>
    </w:p>
    <w:p>
      <w:pPr>
        <w:spacing w:line="184" w:lineRule="exact" w:before="0"/>
        <w:ind w:left="270" w:right="35" w:firstLine="0"/>
        <w:jc w:val="both"/>
        <w:rPr>
          <w:sz w:val="16"/>
        </w:rPr>
      </w:pPr>
      <w:r>
        <w:rPr>
          <w:position w:val="7"/>
          <w:sz w:val="10"/>
        </w:rPr>
        <w:t>c </w:t>
      </w:r>
      <w:r>
        <w:rPr>
          <w:sz w:val="16"/>
        </w:rPr>
        <w:t>Estudiante de ingeniería industrial del instituto tecnológico de los Mochis, juan de dios Batiz y 20 de noviembre s/n código postal 81259, </w:t>
      </w:r>
      <w:hyperlink r:id="rId650">
        <w:r>
          <w:rPr>
            <w:sz w:val="16"/>
          </w:rPr>
          <w:t>jesus.eduardo.avila.r@gmail.com,</w:t>
        </w:r>
      </w:hyperlink>
      <w:r>
        <w:rPr>
          <w:sz w:val="16"/>
        </w:rPr>
        <w:t> Los Mochis, Sinaloa, México.</w:t>
      </w:r>
    </w:p>
    <w:p>
      <w:pPr>
        <w:spacing w:line="184" w:lineRule="exact" w:before="0"/>
        <w:ind w:left="270" w:right="35" w:firstLine="0"/>
        <w:jc w:val="both"/>
        <w:rPr>
          <w:sz w:val="16"/>
        </w:rPr>
      </w:pPr>
      <w:r>
        <w:rPr>
          <w:position w:val="7"/>
          <w:sz w:val="10"/>
        </w:rPr>
        <w:t>d </w:t>
      </w:r>
      <w:r>
        <w:rPr>
          <w:sz w:val="16"/>
        </w:rPr>
        <w:t>Estudiante de ingeniería industrial del instituto tecnológico de los Mochis, juan de dios Batiz y 20 de noviembre s/n código postal 81259, </w:t>
      </w:r>
      <w:hyperlink r:id="rId651">
        <w:r>
          <w:rPr>
            <w:sz w:val="16"/>
          </w:rPr>
          <w:t>citallopez.2@hotmail.com,</w:t>
        </w:r>
      </w:hyperlink>
      <w:r>
        <w:rPr>
          <w:sz w:val="16"/>
        </w:rPr>
        <w:t> Los Mochis, Sinaloa, México.</w:t>
      </w:r>
    </w:p>
    <w:p>
      <w:pPr>
        <w:spacing w:line="184" w:lineRule="exact" w:before="1"/>
        <w:ind w:left="270" w:right="36" w:firstLine="0"/>
        <w:jc w:val="both"/>
        <w:rPr>
          <w:sz w:val="16"/>
        </w:rPr>
      </w:pPr>
      <w:r>
        <w:rPr>
          <w:position w:val="7"/>
          <w:sz w:val="10"/>
        </w:rPr>
        <w:t>e </w:t>
      </w:r>
      <w:r>
        <w:rPr>
          <w:sz w:val="16"/>
        </w:rPr>
        <w:t>Estudiante de Ingeniería Industrial del Instituto Tecnológico de Los  Mochis, juan de dios Batiz y 20 de noviembre s/n código postal 81259, </w:t>
      </w:r>
      <w:hyperlink r:id="rId652">
        <w:r>
          <w:rPr>
            <w:sz w:val="16"/>
          </w:rPr>
          <w:t>luisfierro_itlm@hotmail.comi,</w:t>
        </w:r>
      </w:hyperlink>
      <w:r>
        <w:rPr>
          <w:sz w:val="16"/>
        </w:rPr>
        <w:t> Los Mochis, Sinaloa,</w:t>
      </w:r>
      <w:r>
        <w:rPr>
          <w:spacing w:val="-24"/>
          <w:sz w:val="16"/>
        </w:rPr>
        <w:t> </w:t>
      </w:r>
      <w:r>
        <w:rPr>
          <w:sz w:val="16"/>
        </w:rPr>
        <w:t>México.</w:t>
      </w:r>
    </w:p>
    <w:p>
      <w:pPr>
        <w:pStyle w:val="BodyText"/>
        <w:spacing w:before="2"/>
      </w:pPr>
    </w:p>
    <w:p>
      <w:pPr>
        <w:pStyle w:val="Heading4"/>
      </w:pPr>
      <w:r>
        <w:rPr/>
        <w:t>Resumen</w:t>
      </w:r>
    </w:p>
    <w:p>
      <w:pPr>
        <w:pStyle w:val="BodyText"/>
        <w:spacing w:line="30" w:lineRule="exact"/>
        <w:ind w:left="225" w:right="-21"/>
        <w:rPr>
          <w:sz w:val="3"/>
        </w:rPr>
      </w:pPr>
      <w:r>
        <w:rPr>
          <w:position w:val="0"/>
          <w:sz w:val="3"/>
        </w:rPr>
        <w:pict>
          <v:group style="width:250.35pt;height:1.5pt;mso-position-horizontal-relative:char;mso-position-vertical-relative:line" coordorigin="0,0" coordsize="5007,30">
            <v:line style="position:absolute" from="15,15" to="4991,15" stroked="true" strokeweight="1.5pt" strokecolor="#000000"/>
          </v:group>
        </w:pict>
      </w:r>
      <w:r>
        <w:rPr>
          <w:position w:val="0"/>
          <w:sz w:val="3"/>
        </w:rPr>
      </w:r>
    </w:p>
    <w:p>
      <w:pPr>
        <w:pStyle w:val="BodyText"/>
        <w:spacing w:before="16"/>
        <w:ind w:left="270" w:right="53"/>
        <w:jc w:val="both"/>
      </w:pPr>
      <w:r>
        <w:rPr/>
        <w:t>El presente trabajo se hace referencia a una investigación que se realizó en el municipio ahorme, Sinaloa, con el fin de saber en la actualidad cuáles cuales son los posibles desordenes de trauma acumulado en los choferes de autobuses de dicho lugar, en el grupo bajo investigación. En la metodología se muestra a 28 choferes de diferentes rutas de dicho lugar, luego se determinaron los posibles desordenes de trauma acumulado mediante el mapeo de corlett and bishop. En los resultados el análisis presenta diversos posibles desordenes de trauma acumulado como conclusión existe suficiente evidencia estadística para decir que se presentan desordenes de traumas acumulados en los choferes que participaron en la</w:t>
      </w:r>
      <w:r>
        <w:rPr>
          <w:spacing w:val="-28"/>
        </w:rPr>
        <w:t> </w:t>
      </w:r>
      <w:r>
        <w:rPr/>
        <w:t>encuesta.</w:t>
      </w:r>
    </w:p>
    <w:p>
      <w:pPr>
        <w:pStyle w:val="BodyText"/>
      </w:pPr>
    </w:p>
    <w:p>
      <w:pPr>
        <w:spacing w:before="1"/>
        <w:ind w:left="270" w:right="0" w:firstLine="0"/>
        <w:jc w:val="both"/>
        <w:rPr>
          <w:sz w:val="20"/>
        </w:rPr>
      </w:pPr>
      <w:r>
        <w:rPr>
          <w:b/>
          <w:sz w:val="20"/>
        </w:rPr>
        <w:t>Palabras clave</w:t>
      </w:r>
      <w:r>
        <w:rPr>
          <w:sz w:val="20"/>
        </w:rPr>
        <w:t>— DTA’s, choferes urbanos, choferes</w:t>
      </w:r>
    </w:p>
    <w:p>
      <w:pPr>
        <w:pStyle w:val="BodyText"/>
      </w:pPr>
    </w:p>
    <w:p>
      <w:pPr>
        <w:pStyle w:val="Heading5"/>
        <w:spacing w:before="118"/>
        <w:rPr>
          <w:i/>
        </w:rPr>
      </w:pPr>
      <w:r>
        <w:rPr>
          <w:i/>
        </w:rPr>
        <w:t>Abstract</w:t>
      </w:r>
    </w:p>
    <w:p>
      <w:pPr>
        <w:pStyle w:val="BodyText"/>
        <w:spacing w:line="30" w:lineRule="exact"/>
        <w:ind w:left="225" w:right="-21"/>
        <w:rPr>
          <w:sz w:val="3"/>
        </w:rPr>
      </w:pPr>
      <w:r>
        <w:rPr>
          <w:position w:val="0"/>
          <w:sz w:val="3"/>
        </w:rPr>
        <w:pict>
          <v:group style="width:250.35pt;height:1.5pt;mso-position-horizontal-relative:char;mso-position-vertical-relative:line" coordorigin="0,0" coordsize="5007,30">
            <v:line style="position:absolute" from="15,15" to="4991,15" stroked="true" strokeweight="1.5pt" strokecolor="#000000"/>
          </v:group>
        </w:pict>
      </w:r>
      <w:r>
        <w:rPr>
          <w:position w:val="0"/>
          <w:sz w:val="3"/>
        </w:rPr>
      </w:r>
    </w:p>
    <w:p>
      <w:pPr>
        <w:spacing w:before="16"/>
        <w:ind w:left="270" w:right="53" w:firstLine="0"/>
        <w:jc w:val="both"/>
        <w:rPr>
          <w:i/>
          <w:sz w:val="20"/>
        </w:rPr>
      </w:pPr>
      <w:r>
        <w:rPr>
          <w:i/>
          <w:sz w:val="20"/>
        </w:rPr>
        <w:t>This paper refers to a research carried out in the town </w:t>
      </w:r>
      <w:r>
        <w:rPr>
          <w:i/>
          <w:sz w:val="20"/>
        </w:rPr>
        <w:t>Ahome, Sinaloa, in order to know what today what the possible cumulative trauma disorders bus drivers that place, in the group under investigation is. In the methodology shown 28 different routes drivers that place, then the  possible cumulative trauma disorders were determined by mapping Corlett and Bishop. In the analysis results  presented several possible cumulative trauma disorders as sufficient statistical evidence to conclude say that cumulative trauma disorders are presented in the drivers who participated in the</w:t>
      </w:r>
      <w:r>
        <w:rPr>
          <w:i/>
          <w:spacing w:val="-18"/>
          <w:sz w:val="20"/>
        </w:rPr>
        <w:t> </w:t>
      </w:r>
      <w:r>
        <w:rPr>
          <w:i/>
          <w:sz w:val="20"/>
        </w:rPr>
        <w:t>survey.</w:t>
      </w:r>
    </w:p>
    <w:p>
      <w:pPr>
        <w:pStyle w:val="BodyText"/>
        <w:spacing w:before="11"/>
        <w:rPr>
          <w:i/>
          <w:sz w:val="19"/>
        </w:rPr>
      </w:pPr>
    </w:p>
    <w:p>
      <w:pPr>
        <w:spacing w:before="0"/>
        <w:ind w:left="270" w:right="0" w:firstLine="0"/>
        <w:jc w:val="both"/>
        <w:rPr>
          <w:i/>
          <w:sz w:val="20"/>
        </w:rPr>
      </w:pPr>
      <w:r>
        <w:rPr>
          <w:b/>
          <w:i/>
          <w:sz w:val="20"/>
        </w:rPr>
        <w:t>Keywords</w:t>
      </w:r>
      <w:r>
        <w:rPr>
          <w:i/>
          <w:sz w:val="20"/>
        </w:rPr>
        <w:t>— CTD's, urban drivers, drivers</w:t>
      </w:r>
    </w:p>
    <w:p>
      <w:pPr>
        <w:pStyle w:val="BodyText"/>
        <w:spacing w:before="2"/>
        <w:rPr>
          <w:i/>
        </w:rPr>
      </w:pPr>
    </w:p>
    <w:p>
      <w:pPr>
        <w:pStyle w:val="Heading4"/>
        <w:numPr>
          <w:ilvl w:val="0"/>
          <w:numId w:val="144"/>
        </w:numPr>
        <w:tabs>
          <w:tab w:pos="473" w:val="left" w:leader="none"/>
        </w:tabs>
        <w:spacing w:line="240" w:lineRule="auto" w:before="0" w:after="0"/>
        <w:ind w:left="472" w:right="0" w:hanging="202"/>
        <w:jc w:val="both"/>
      </w:pPr>
      <w:r>
        <w:rPr/>
        <w:t>Introduction</w:t>
      </w:r>
    </w:p>
    <w:p>
      <w:pPr>
        <w:pStyle w:val="BodyText"/>
        <w:spacing w:before="9"/>
        <w:rPr>
          <w:b/>
          <w:sz w:val="19"/>
        </w:rPr>
      </w:pPr>
    </w:p>
    <w:p>
      <w:pPr>
        <w:pStyle w:val="BodyText"/>
        <w:spacing w:before="1"/>
        <w:ind w:left="270" w:right="54"/>
        <w:jc w:val="both"/>
      </w:pPr>
      <w:r>
        <w:rPr/>
        <w:t>Both personally, and professionally, social and many other contexts work is one of the most important sources for humans in their daily lives development.</w:t>
      </w:r>
    </w:p>
    <w:p>
      <w:pPr>
        <w:pStyle w:val="BodyText"/>
        <w:spacing w:before="74"/>
        <w:ind w:left="270" w:right="677" w:firstLine="567"/>
        <w:jc w:val="both"/>
      </w:pPr>
      <w:r>
        <w:rPr/>
        <w:br w:type="column"/>
      </w:r>
      <w:r>
        <w:rPr/>
        <w:t>But the work does not only believe the work can also cause damage in humans. That is because in the following research development in Los Mochis Sinaloa Mexico. It is intended to determine whether cumulative trauma disorders in urban bus drivers are presented therein. This project will help people to raise awareness of the damage that is likely to get the drivers in a routine job. But mostly it is intended that this research will support future research to achieve greater productivity and quality of life in urban bus drivers.</w:t>
      </w:r>
    </w:p>
    <w:p>
      <w:pPr>
        <w:pStyle w:val="BodyText"/>
        <w:spacing w:before="2"/>
      </w:pPr>
    </w:p>
    <w:p>
      <w:pPr>
        <w:pStyle w:val="Heading4"/>
        <w:numPr>
          <w:ilvl w:val="1"/>
          <w:numId w:val="144"/>
        </w:numPr>
        <w:tabs>
          <w:tab w:pos="571" w:val="left" w:leader="none"/>
        </w:tabs>
        <w:spacing w:line="240" w:lineRule="auto" w:before="0" w:after="0"/>
        <w:ind w:left="570" w:right="0" w:hanging="300"/>
        <w:jc w:val="both"/>
      </w:pPr>
      <w:r>
        <w:rPr/>
        <w:t>Justification</w:t>
      </w:r>
    </w:p>
    <w:p>
      <w:pPr>
        <w:pStyle w:val="BodyText"/>
        <w:spacing w:before="8"/>
        <w:rPr>
          <w:b/>
          <w:sz w:val="19"/>
        </w:rPr>
      </w:pPr>
    </w:p>
    <w:p>
      <w:pPr>
        <w:pStyle w:val="BodyText"/>
        <w:ind w:left="270" w:right="678"/>
        <w:jc w:val="both"/>
      </w:pPr>
      <w:r>
        <w:rPr/>
        <w:t>Health and concentration of all people is very important in the work of driver that coexists with a lot of people due to an accident can damage people going up the bus (customers) and to third parties as well as also it can get</w:t>
      </w:r>
      <w:r>
        <w:rPr>
          <w:spacing w:val="-24"/>
        </w:rPr>
        <w:t> </w:t>
      </w:r>
      <w:r>
        <w:rPr/>
        <w:t>hurt.</w:t>
      </w:r>
    </w:p>
    <w:p>
      <w:pPr>
        <w:pStyle w:val="BodyText"/>
      </w:pPr>
    </w:p>
    <w:p>
      <w:pPr>
        <w:pStyle w:val="BodyText"/>
        <w:spacing w:before="1"/>
        <w:ind w:left="270" w:right="676" w:firstLine="567"/>
        <w:jc w:val="both"/>
      </w:pPr>
      <w:r>
        <w:rPr/>
        <w:t>Researches demonstrating the potential factors that create poor health work and desconcentration increasing the chance of an accident drivers are required.</w:t>
      </w:r>
    </w:p>
    <w:p>
      <w:pPr>
        <w:pStyle w:val="BodyText"/>
        <w:spacing w:before="11"/>
        <w:rPr>
          <w:sz w:val="19"/>
        </w:rPr>
      </w:pPr>
    </w:p>
    <w:p>
      <w:pPr>
        <w:pStyle w:val="BodyText"/>
        <w:ind w:left="270" w:right="677" w:firstLine="567"/>
        <w:jc w:val="both"/>
      </w:pPr>
      <w:r>
        <w:rPr/>
        <w:t>The following table diseases work is by nature of injury and sex 2011-213 in the state of Sinaloa.</w:t>
      </w:r>
    </w:p>
    <w:p>
      <w:pPr>
        <w:pStyle w:val="BodyText"/>
        <w:spacing w:before="11"/>
        <w:rPr>
          <w:sz w:val="19"/>
        </w:rPr>
      </w:pPr>
    </w:p>
    <w:p>
      <w:pPr>
        <w:pStyle w:val="BodyText"/>
        <w:ind w:left="1277" w:right="872" w:hanging="797"/>
      </w:pPr>
      <w:r>
        <w:rPr/>
        <w:drawing>
          <wp:anchor distT="0" distB="0" distL="0" distR="0" allowOverlap="1" layoutInCell="1" locked="0" behindDoc="1" simplePos="0" relativeHeight="267572903">
            <wp:simplePos x="0" y="0"/>
            <wp:positionH relativeFrom="page">
              <wp:posOffset>4111752</wp:posOffset>
            </wp:positionH>
            <wp:positionV relativeFrom="paragraph">
              <wp:posOffset>440155</wp:posOffset>
            </wp:positionV>
            <wp:extent cx="3090672" cy="1812798"/>
            <wp:effectExtent l="0" t="0" r="0" b="0"/>
            <wp:wrapNone/>
            <wp:docPr id="675" name="image397.png" descr=""/>
            <wp:cNvGraphicFramePr>
              <a:graphicFrameLocks noChangeAspect="1"/>
            </wp:cNvGraphicFramePr>
            <a:graphic>
              <a:graphicData uri="http://schemas.openxmlformats.org/drawingml/2006/picture">
                <pic:pic>
                  <pic:nvPicPr>
                    <pic:cNvPr id="676" name="image397.png"/>
                    <pic:cNvPicPr/>
                  </pic:nvPicPr>
                  <pic:blipFill>
                    <a:blip r:embed="rId653" cstate="print"/>
                    <a:stretch>
                      <a:fillRect/>
                    </a:stretch>
                  </pic:blipFill>
                  <pic:spPr>
                    <a:xfrm>
                      <a:off x="0" y="0"/>
                      <a:ext cx="3090672" cy="1812798"/>
                    </a:xfrm>
                    <a:prstGeom prst="rect">
                      <a:avLst/>
                    </a:prstGeom>
                  </pic:spPr>
                </pic:pic>
              </a:graphicData>
            </a:graphic>
          </wp:anchor>
        </w:drawing>
      </w:r>
      <w:r>
        <w:rPr/>
        <w:t>Table 1 - Occupational diseases according nature of the injury and sex, 2011 - 2013 Sinaloa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28"/>
        </w:rPr>
      </w:pPr>
    </w:p>
    <w:p>
      <w:pPr>
        <w:pStyle w:val="BodyText"/>
        <w:spacing w:line="460" w:lineRule="atLeast"/>
        <w:ind w:left="838" w:right="677" w:firstLine="86"/>
      </w:pPr>
      <w:r>
        <w:rPr/>
        <w:t>Source: Reports statistics IMSS, 2011- 2013 According   to   statistics   IMSS   regarding working</w:t>
      </w:r>
    </w:p>
    <w:p>
      <w:pPr>
        <w:pStyle w:val="BodyText"/>
        <w:ind w:left="270" w:right="678"/>
        <w:jc w:val="both"/>
      </w:pPr>
      <w:r>
        <w:rPr/>
        <w:t>conditions according to table 1 the injury rate has increased year for year because of not control the fatigue of workers.</w:t>
      </w:r>
    </w:p>
    <w:p>
      <w:pPr>
        <w:pStyle w:val="BodyText"/>
        <w:ind w:left="270" w:right="675" w:firstLine="567"/>
        <w:jc w:val="both"/>
      </w:pPr>
      <w:r>
        <w:rPr/>
        <w:t>3.37% of men have shoulder injuries, respiratory diseases 1.12%, 2.24% pneumoconiosis and 65% of other diseases in the course of 2013.</w:t>
      </w:r>
    </w:p>
    <w:p>
      <w:pPr>
        <w:pStyle w:val="BodyText"/>
        <w:spacing w:before="11"/>
        <w:rPr>
          <w:sz w:val="19"/>
        </w:rPr>
      </w:pPr>
    </w:p>
    <w:p>
      <w:pPr>
        <w:pStyle w:val="BodyText"/>
        <w:ind w:left="270" w:right="677" w:firstLine="567"/>
        <w:jc w:val="both"/>
      </w:pPr>
      <w:r>
        <w:rPr/>
        <w:t>That is because the study of cumulative trauma disorders in urban bus drivers in Los Mochas Sinaloa was made. To help in the future to make improvements to the system of work of the drivers of buses and that will support future research.</w:t>
      </w:r>
    </w:p>
    <w:p>
      <w:pPr>
        <w:pStyle w:val="BodyText"/>
        <w:spacing w:before="2"/>
      </w:pPr>
    </w:p>
    <w:p>
      <w:pPr>
        <w:pStyle w:val="Heading4"/>
        <w:numPr>
          <w:ilvl w:val="1"/>
          <w:numId w:val="144"/>
        </w:numPr>
        <w:tabs>
          <w:tab w:pos="572" w:val="left" w:leader="none"/>
        </w:tabs>
        <w:spacing w:line="240" w:lineRule="auto" w:before="0" w:after="0"/>
        <w:ind w:left="571" w:right="0" w:hanging="301"/>
        <w:jc w:val="both"/>
      </w:pPr>
      <w:r>
        <w:rPr/>
        <w:t>Objectives</w:t>
      </w:r>
    </w:p>
    <w:p>
      <w:pPr>
        <w:spacing w:after="0" w:line="240" w:lineRule="auto"/>
        <w:jc w:val="both"/>
        <w:sectPr>
          <w:type w:val="continuous"/>
          <w:pgSz w:w="12240" w:h="15840"/>
          <w:pgMar w:top="1500" w:bottom="280" w:left="580" w:right="220"/>
          <w:cols w:num="2" w:equalWidth="0">
            <w:col w:w="5246" w:space="379"/>
            <w:col w:w="5815"/>
          </w:cols>
        </w:sectPr>
      </w:pPr>
    </w:p>
    <w:p>
      <w:pPr>
        <w:pStyle w:val="BodyText"/>
        <w:spacing w:before="4"/>
        <w:rPr>
          <w:b/>
          <w:sz w:val="11"/>
        </w:rPr>
      </w:pPr>
    </w:p>
    <w:p>
      <w:pPr>
        <w:spacing w:after="0"/>
        <w:rPr>
          <w:sz w:val="11"/>
        </w:rPr>
        <w:sectPr>
          <w:pgSz w:w="12240" w:h="15840"/>
          <w:pgMar w:header="545" w:footer="852" w:top="1060" w:bottom="1040" w:left="580" w:right="220"/>
        </w:sectPr>
      </w:pPr>
    </w:p>
    <w:p>
      <w:pPr>
        <w:pStyle w:val="BodyText"/>
        <w:spacing w:before="74"/>
        <w:ind w:left="270" w:right="1"/>
        <w:jc w:val="both"/>
      </w:pPr>
      <w:r>
        <w:rPr/>
        <w:t>The main objective is to find the number of people who are possibly developing a trauma disorder accumulation and thereby seek ways to improve productivity and quality of  life.</w:t>
      </w:r>
    </w:p>
    <w:p>
      <w:pPr>
        <w:pStyle w:val="BodyText"/>
        <w:spacing w:before="2"/>
      </w:pPr>
    </w:p>
    <w:p>
      <w:pPr>
        <w:pStyle w:val="Heading4"/>
        <w:numPr>
          <w:ilvl w:val="1"/>
          <w:numId w:val="144"/>
        </w:numPr>
        <w:tabs>
          <w:tab w:pos="572" w:val="left" w:leader="none"/>
        </w:tabs>
        <w:spacing w:line="240" w:lineRule="auto" w:before="0" w:after="0"/>
        <w:ind w:left="571" w:right="0" w:hanging="301"/>
        <w:jc w:val="both"/>
      </w:pPr>
      <w:r>
        <w:rPr/>
        <w:t>Specific</w:t>
      </w:r>
      <w:r>
        <w:rPr>
          <w:spacing w:val="-15"/>
        </w:rPr>
        <w:t> </w:t>
      </w:r>
      <w:r>
        <w:rPr/>
        <w:t>objectives</w:t>
      </w:r>
    </w:p>
    <w:p>
      <w:pPr>
        <w:pStyle w:val="BodyText"/>
        <w:spacing w:before="8"/>
        <w:rPr>
          <w:b/>
          <w:sz w:val="19"/>
        </w:rPr>
      </w:pPr>
    </w:p>
    <w:p>
      <w:pPr>
        <w:pStyle w:val="ListParagraph"/>
        <w:numPr>
          <w:ilvl w:val="0"/>
          <w:numId w:val="145"/>
        </w:numPr>
        <w:tabs>
          <w:tab w:pos="696" w:val="left" w:leader="none"/>
          <w:tab w:pos="697" w:val="left" w:leader="none"/>
        </w:tabs>
        <w:spacing w:line="240" w:lineRule="auto" w:before="0" w:after="0"/>
        <w:ind w:left="696" w:right="1" w:hanging="360"/>
        <w:jc w:val="left"/>
        <w:rPr>
          <w:sz w:val="20"/>
        </w:rPr>
      </w:pPr>
      <w:r>
        <w:rPr>
          <w:sz w:val="20"/>
        </w:rPr>
        <w:t>Determine which causes cumulative trauma disorders  of the</w:t>
      </w:r>
      <w:r>
        <w:rPr>
          <w:spacing w:val="-5"/>
          <w:sz w:val="20"/>
        </w:rPr>
        <w:t> </w:t>
      </w:r>
      <w:r>
        <w:rPr>
          <w:sz w:val="20"/>
        </w:rPr>
        <w:t>drivers.</w:t>
      </w:r>
    </w:p>
    <w:p>
      <w:pPr>
        <w:pStyle w:val="ListParagraph"/>
        <w:numPr>
          <w:ilvl w:val="0"/>
          <w:numId w:val="145"/>
        </w:numPr>
        <w:tabs>
          <w:tab w:pos="697" w:val="left" w:leader="none"/>
        </w:tabs>
        <w:spacing w:line="244" w:lineRule="exact" w:before="0" w:after="0"/>
        <w:ind w:left="696" w:right="0" w:hanging="360"/>
        <w:jc w:val="both"/>
        <w:rPr>
          <w:sz w:val="20"/>
        </w:rPr>
      </w:pPr>
      <w:r>
        <w:rPr>
          <w:sz w:val="20"/>
        </w:rPr>
        <w:t>Meet the part of the body most</w:t>
      </w:r>
      <w:r>
        <w:rPr>
          <w:spacing w:val="-24"/>
          <w:sz w:val="20"/>
        </w:rPr>
        <w:t> </w:t>
      </w:r>
      <w:r>
        <w:rPr>
          <w:sz w:val="20"/>
        </w:rPr>
        <w:t>affected.</w:t>
      </w:r>
    </w:p>
    <w:p>
      <w:pPr>
        <w:pStyle w:val="BodyText"/>
        <w:spacing w:before="2"/>
      </w:pPr>
    </w:p>
    <w:p>
      <w:pPr>
        <w:pStyle w:val="Heading4"/>
        <w:numPr>
          <w:ilvl w:val="1"/>
          <w:numId w:val="144"/>
        </w:numPr>
        <w:tabs>
          <w:tab w:pos="572" w:val="left" w:leader="none"/>
        </w:tabs>
        <w:spacing w:line="240" w:lineRule="auto" w:before="0" w:after="0"/>
        <w:ind w:left="571" w:right="0" w:hanging="301"/>
        <w:jc w:val="both"/>
      </w:pPr>
      <w:r>
        <w:rPr/>
        <w:t>Hypothesis</w:t>
      </w:r>
    </w:p>
    <w:p>
      <w:pPr>
        <w:pStyle w:val="BodyText"/>
        <w:spacing w:before="8"/>
        <w:rPr>
          <w:b/>
          <w:sz w:val="19"/>
        </w:rPr>
      </w:pPr>
    </w:p>
    <w:p>
      <w:pPr>
        <w:pStyle w:val="BodyText"/>
        <w:ind w:left="270" w:right="1"/>
        <w:jc w:val="both"/>
      </w:pPr>
      <w:r>
        <w:rPr/>
        <w:t>The factors involved in this research are mostly accidents at work and influence the physical and chemical factors.</w:t>
      </w:r>
    </w:p>
    <w:p>
      <w:pPr>
        <w:pStyle w:val="BodyText"/>
        <w:spacing w:before="11"/>
        <w:rPr>
          <w:sz w:val="19"/>
        </w:rPr>
      </w:pPr>
    </w:p>
    <w:p>
      <w:pPr>
        <w:pStyle w:val="BodyText"/>
        <w:ind w:left="270"/>
        <w:jc w:val="both"/>
      </w:pPr>
      <w:r>
        <w:rPr/>
        <w:t>Physical factors: all objects that interfere with the body of  the</w:t>
      </w:r>
      <w:r>
        <w:rPr>
          <w:spacing w:val="-6"/>
        </w:rPr>
        <w:t> </w:t>
      </w:r>
      <w:r>
        <w:rPr/>
        <w:t>worker.</w:t>
      </w:r>
    </w:p>
    <w:p>
      <w:pPr>
        <w:pStyle w:val="BodyText"/>
        <w:spacing w:before="11"/>
        <w:rPr>
          <w:sz w:val="19"/>
        </w:rPr>
      </w:pPr>
    </w:p>
    <w:p>
      <w:pPr>
        <w:pStyle w:val="BodyText"/>
        <w:ind w:left="270"/>
        <w:jc w:val="both"/>
      </w:pPr>
      <w:r>
        <w:rPr/>
        <w:t>Chemical factors: are all gases are in the atmosphere of the city is smoke the same bus as well as the conditions of order and cleaning.</w:t>
      </w:r>
    </w:p>
    <w:p>
      <w:pPr>
        <w:pStyle w:val="BodyText"/>
      </w:pPr>
    </w:p>
    <w:p>
      <w:pPr>
        <w:pStyle w:val="BodyText"/>
        <w:spacing w:before="1"/>
        <w:ind w:left="270" w:right="2"/>
        <w:jc w:val="both"/>
      </w:pPr>
      <w:r>
        <w:rPr/>
        <w:t>Psychological factors: stress, worry, depression and attempted to hide the disease to others.</w:t>
      </w:r>
    </w:p>
    <w:p>
      <w:pPr>
        <w:pStyle w:val="BodyText"/>
        <w:spacing w:before="11"/>
        <w:rPr>
          <w:sz w:val="19"/>
        </w:rPr>
      </w:pPr>
    </w:p>
    <w:p>
      <w:pPr>
        <w:pStyle w:val="BodyText"/>
        <w:ind w:left="270"/>
        <w:jc w:val="both"/>
      </w:pPr>
      <w:r>
        <w:rPr/>
        <w:t>H 0 = 50% H_1 = 50% of drivers do not suffer from cumulative trauma disorder because of their work</w:t>
      </w:r>
    </w:p>
    <w:p>
      <w:pPr>
        <w:pStyle w:val="BodyText"/>
      </w:pPr>
    </w:p>
    <w:p>
      <w:pPr>
        <w:pStyle w:val="BodyText"/>
        <w:spacing w:before="2"/>
      </w:pPr>
    </w:p>
    <w:p>
      <w:pPr>
        <w:pStyle w:val="Heading4"/>
        <w:numPr>
          <w:ilvl w:val="1"/>
          <w:numId w:val="144"/>
        </w:numPr>
        <w:tabs>
          <w:tab w:pos="571" w:val="left" w:leader="none"/>
        </w:tabs>
        <w:spacing w:line="240" w:lineRule="auto" w:before="0" w:after="0"/>
        <w:ind w:left="570" w:right="0" w:hanging="300"/>
        <w:jc w:val="both"/>
      </w:pPr>
      <w:r>
        <w:rPr/>
        <w:t>Delimitations</w:t>
      </w:r>
    </w:p>
    <w:p>
      <w:pPr>
        <w:pStyle w:val="BodyText"/>
        <w:spacing w:before="8"/>
        <w:rPr>
          <w:b/>
          <w:sz w:val="19"/>
        </w:rPr>
      </w:pPr>
    </w:p>
    <w:p>
      <w:pPr>
        <w:pStyle w:val="BodyText"/>
        <w:ind w:left="270" w:right="32"/>
        <w:jc w:val="both"/>
      </w:pPr>
      <w:r>
        <w:rPr/>
        <w:t>The delimitation in this research consist in a study applied to 28 people for three weeks in the city of Los Mochis, Sinaloa.</w:t>
      </w:r>
    </w:p>
    <w:p>
      <w:pPr>
        <w:pStyle w:val="BodyText"/>
        <w:spacing w:before="2"/>
      </w:pPr>
    </w:p>
    <w:p>
      <w:pPr>
        <w:pStyle w:val="Heading4"/>
        <w:numPr>
          <w:ilvl w:val="1"/>
          <w:numId w:val="144"/>
        </w:numPr>
        <w:tabs>
          <w:tab w:pos="572" w:val="left" w:leader="none"/>
        </w:tabs>
        <w:spacing w:line="240" w:lineRule="auto" w:before="0" w:after="0"/>
        <w:ind w:left="571" w:right="0" w:hanging="301"/>
        <w:jc w:val="both"/>
      </w:pPr>
      <w:r>
        <w:rPr/>
        <w:t>Limitations</w:t>
      </w:r>
    </w:p>
    <w:p>
      <w:pPr>
        <w:pStyle w:val="BodyText"/>
        <w:spacing w:before="9"/>
        <w:rPr>
          <w:b/>
          <w:sz w:val="19"/>
        </w:rPr>
      </w:pPr>
    </w:p>
    <w:p>
      <w:pPr>
        <w:pStyle w:val="BodyText"/>
        <w:spacing w:before="1"/>
        <w:ind w:left="270" w:right="12"/>
        <w:jc w:val="both"/>
      </w:pPr>
      <w:r>
        <w:rPr/>
        <w:t>Resistance present when the drivers to not cooperate with the investigation.</w:t>
      </w:r>
    </w:p>
    <w:p>
      <w:pPr>
        <w:pStyle w:val="BodyText"/>
      </w:pPr>
    </w:p>
    <w:p>
      <w:pPr>
        <w:pStyle w:val="BodyText"/>
        <w:spacing w:before="1"/>
        <w:ind w:left="270" w:right="1" w:firstLine="567"/>
        <w:jc w:val="both"/>
      </w:pPr>
      <w:r>
        <w:rPr/>
        <w:t>This study was in the production area, since in her major activities are presented with loads and same movements that produce fatigue and poor performance on  the worker or female staff working in the</w:t>
      </w:r>
      <w:r>
        <w:rPr>
          <w:spacing w:val="-17"/>
        </w:rPr>
        <w:t> </w:t>
      </w:r>
      <w:r>
        <w:rPr/>
        <w:t>company.</w:t>
      </w:r>
    </w:p>
    <w:p>
      <w:pPr>
        <w:pStyle w:val="BodyText"/>
      </w:pPr>
    </w:p>
    <w:p>
      <w:pPr>
        <w:pStyle w:val="BodyText"/>
        <w:spacing w:before="1"/>
      </w:pPr>
    </w:p>
    <w:p>
      <w:pPr>
        <w:pStyle w:val="Heading4"/>
        <w:numPr>
          <w:ilvl w:val="0"/>
          <w:numId w:val="144"/>
        </w:numPr>
        <w:tabs>
          <w:tab w:pos="472" w:val="left" w:leader="none"/>
        </w:tabs>
        <w:spacing w:line="240" w:lineRule="auto" w:before="0" w:after="0"/>
        <w:ind w:left="471" w:right="0" w:hanging="201"/>
        <w:jc w:val="both"/>
      </w:pPr>
      <w:r>
        <w:rPr/>
        <w:t>Methodology</w:t>
      </w:r>
    </w:p>
    <w:p>
      <w:pPr>
        <w:pStyle w:val="BodyText"/>
        <w:spacing w:before="9"/>
        <w:rPr>
          <w:b/>
          <w:sz w:val="19"/>
        </w:rPr>
      </w:pPr>
    </w:p>
    <w:p>
      <w:pPr>
        <w:pStyle w:val="BodyText"/>
        <w:spacing w:before="1"/>
        <w:ind w:left="270"/>
        <w:jc w:val="both"/>
      </w:pPr>
      <w:r>
        <w:rPr/>
        <w:t>There are a variety of methods for the detection of cumulative trauma disorders, this research mapping corlett &amp; bishop was used to determine possible cumulative trauma disorders.</w:t>
      </w:r>
    </w:p>
    <w:p>
      <w:pPr>
        <w:pStyle w:val="BodyText"/>
        <w:spacing w:before="11"/>
        <w:rPr>
          <w:sz w:val="19"/>
        </w:rPr>
      </w:pPr>
    </w:p>
    <w:p>
      <w:pPr>
        <w:pStyle w:val="BodyText"/>
        <w:ind w:left="270" w:firstLine="567"/>
        <w:jc w:val="both"/>
      </w:pPr>
      <w:r>
        <w:rPr/>
        <w:t>In this research are analyzed statistically. It takes a sample of</w:t>
      </w:r>
    </w:p>
    <w:p>
      <w:pPr>
        <w:pStyle w:val="BodyText"/>
        <w:spacing w:before="74"/>
        <w:ind w:left="270" w:right="677" w:firstLine="567"/>
        <w:jc w:val="both"/>
      </w:pPr>
      <w:r>
        <w:rPr/>
        <w:br w:type="column"/>
      </w:r>
      <w:r>
        <w:rPr/>
        <w:t>Bus driver’s urban transport of the different existing routes in the city of Los Mochis, Sinaloa, because the number of people who agreed to answer surveys daily.</w:t>
      </w:r>
    </w:p>
    <w:p>
      <w:pPr>
        <w:pStyle w:val="BodyText"/>
        <w:spacing w:before="2"/>
      </w:pPr>
    </w:p>
    <w:p>
      <w:pPr>
        <w:pStyle w:val="Heading4"/>
        <w:numPr>
          <w:ilvl w:val="1"/>
          <w:numId w:val="144"/>
        </w:numPr>
        <w:tabs>
          <w:tab w:pos="571" w:val="left" w:leader="none"/>
        </w:tabs>
        <w:spacing w:line="240" w:lineRule="auto" w:before="0" w:after="0"/>
        <w:ind w:left="270" w:right="0" w:firstLine="0"/>
        <w:jc w:val="both"/>
      </w:pPr>
      <w:r>
        <w:rPr/>
        <w:t>Mapping Corlett and</w:t>
      </w:r>
      <w:r>
        <w:rPr>
          <w:spacing w:val="-10"/>
        </w:rPr>
        <w:t> </w:t>
      </w:r>
      <w:r>
        <w:rPr/>
        <w:t>Bishop</w:t>
      </w:r>
    </w:p>
    <w:p>
      <w:pPr>
        <w:pStyle w:val="BodyText"/>
        <w:spacing w:before="9"/>
        <w:rPr>
          <w:b/>
          <w:sz w:val="19"/>
        </w:rPr>
      </w:pPr>
    </w:p>
    <w:p>
      <w:pPr>
        <w:pStyle w:val="BodyText"/>
        <w:spacing w:before="1"/>
        <w:ind w:left="270" w:right="672"/>
        <w:jc w:val="both"/>
      </w:pPr>
      <w:r>
        <w:rPr/>
        <w:t>The mapping corlett and bishop: is to mark parts of the body where the operator feel any discomfort or pain and which ones identifier can possible parties can develop cumulative trauma disorders</w:t>
      </w:r>
    </w:p>
    <w:p>
      <w:pPr>
        <w:pStyle w:val="BodyText"/>
        <w:spacing w:before="2"/>
      </w:pPr>
    </w:p>
    <w:p>
      <w:pPr>
        <w:pStyle w:val="Heading4"/>
        <w:numPr>
          <w:ilvl w:val="1"/>
          <w:numId w:val="144"/>
        </w:numPr>
        <w:tabs>
          <w:tab w:pos="644" w:val="left" w:leader="none"/>
        </w:tabs>
        <w:spacing w:line="240" w:lineRule="auto" w:before="0" w:after="0"/>
        <w:ind w:left="270" w:right="676" w:firstLine="0"/>
        <w:jc w:val="both"/>
      </w:pPr>
      <w:r>
        <w:rPr/>
        <w:t>Method for determination of cumulative trauma disorders</w:t>
      </w:r>
      <w:r>
        <w:rPr>
          <w:spacing w:val="-13"/>
        </w:rPr>
        <w:t> </w:t>
      </w:r>
      <w:r>
        <w:rPr/>
        <w:t>(CDT's)</w:t>
      </w:r>
    </w:p>
    <w:p>
      <w:pPr>
        <w:pStyle w:val="BodyText"/>
        <w:spacing w:before="9"/>
        <w:rPr>
          <w:b/>
          <w:sz w:val="19"/>
        </w:rPr>
      </w:pPr>
    </w:p>
    <w:p>
      <w:pPr>
        <w:pStyle w:val="BodyText"/>
        <w:spacing w:before="1"/>
        <w:ind w:left="270" w:right="676"/>
        <w:jc w:val="both"/>
      </w:pPr>
      <w:r>
        <w:rPr/>
        <w:t>1- Talk with urban bus drivers on research and the great benefits they can get, politely ask for their support.</w:t>
      </w:r>
    </w:p>
    <w:p>
      <w:pPr>
        <w:pStyle w:val="ListParagraph"/>
        <w:numPr>
          <w:ilvl w:val="0"/>
          <w:numId w:val="146"/>
        </w:numPr>
        <w:tabs>
          <w:tab w:pos="471" w:val="left" w:leader="none"/>
        </w:tabs>
        <w:spacing w:line="240" w:lineRule="auto" w:before="0" w:after="0"/>
        <w:ind w:left="270" w:right="0" w:firstLine="0"/>
        <w:jc w:val="both"/>
        <w:rPr>
          <w:sz w:val="20"/>
        </w:rPr>
      </w:pPr>
      <w:r>
        <w:rPr>
          <w:sz w:val="20"/>
        </w:rPr>
        <w:t>Discuss what the research</w:t>
      </w:r>
      <w:r>
        <w:rPr>
          <w:spacing w:val="-5"/>
          <w:sz w:val="20"/>
        </w:rPr>
        <w:t> </w:t>
      </w:r>
      <w:r>
        <w:rPr>
          <w:sz w:val="20"/>
        </w:rPr>
        <w:t>itself.</w:t>
      </w:r>
    </w:p>
    <w:p>
      <w:pPr>
        <w:pStyle w:val="ListParagraph"/>
        <w:numPr>
          <w:ilvl w:val="0"/>
          <w:numId w:val="146"/>
        </w:numPr>
        <w:tabs>
          <w:tab w:pos="637" w:val="left" w:leader="none"/>
        </w:tabs>
        <w:spacing w:line="240" w:lineRule="auto" w:before="0" w:after="0"/>
        <w:ind w:left="270" w:right="677" w:firstLine="51"/>
        <w:jc w:val="both"/>
        <w:rPr>
          <w:sz w:val="20"/>
        </w:rPr>
      </w:pPr>
      <w:r>
        <w:rPr>
          <w:sz w:val="20"/>
        </w:rPr>
        <w:t>Apply the first day a questionnaire for general information, as well as their means of transport and food intake before</w:t>
      </w:r>
      <w:r>
        <w:rPr>
          <w:spacing w:val="-11"/>
          <w:sz w:val="20"/>
        </w:rPr>
        <w:t> </w:t>
      </w:r>
      <w:r>
        <w:rPr>
          <w:sz w:val="20"/>
        </w:rPr>
        <w:t>work</w:t>
      </w:r>
    </w:p>
    <w:p>
      <w:pPr>
        <w:pStyle w:val="ListParagraph"/>
        <w:numPr>
          <w:ilvl w:val="0"/>
          <w:numId w:val="146"/>
        </w:numPr>
        <w:tabs>
          <w:tab w:pos="528" w:val="left" w:leader="none"/>
        </w:tabs>
        <w:spacing w:line="240" w:lineRule="auto" w:before="0" w:after="0"/>
        <w:ind w:left="270" w:right="677" w:firstLine="0"/>
        <w:jc w:val="both"/>
        <w:rPr>
          <w:sz w:val="20"/>
        </w:rPr>
      </w:pPr>
      <w:r>
        <w:rPr>
          <w:sz w:val="20"/>
        </w:rPr>
        <w:t>Perform a daily assessment to each worker for three weeks, filling the format mapping corlett &amp;</w:t>
      </w:r>
      <w:r>
        <w:rPr>
          <w:spacing w:val="-29"/>
          <w:sz w:val="20"/>
        </w:rPr>
        <w:t> </w:t>
      </w:r>
      <w:r>
        <w:rPr>
          <w:sz w:val="20"/>
        </w:rPr>
        <w:t>bishop.</w:t>
      </w:r>
    </w:p>
    <w:p>
      <w:pPr>
        <w:pStyle w:val="ListParagraph"/>
        <w:numPr>
          <w:ilvl w:val="0"/>
          <w:numId w:val="146"/>
        </w:numPr>
        <w:tabs>
          <w:tab w:pos="491" w:val="left" w:leader="none"/>
        </w:tabs>
        <w:spacing w:line="240" w:lineRule="auto" w:before="0" w:after="0"/>
        <w:ind w:left="270" w:right="677" w:firstLine="0"/>
        <w:jc w:val="both"/>
        <w:rPr>
          <w:sz w:val="20"/>
        </w:rPr>
      </w:pPr>
      <w:r>
        <w:rPr>
          <w:sz w:val="20"/>
        </w:rPr>
        <w:t>Make a focused excel responses captured for analysis to obtain</w:t>
      </w:r>
      <w:r>
        <w:rPr>
          <w:spacing w:val="-5"/>
          <w:sz w:val="20"/>
        </w:rPr>
        <w:t> </w:t>
      </w:r>
      <w:r>
        <w:rPr>
          <w:sz w:val="20"/>
        </w:rPr>
        <w:t>results.</w:t>
      </w:r>
    </w:p>
    <w:p>
      <w:pPr>
        <w:pStyle w:val="ListParagraph"/>
        <w:numPr>
          <w:ilvl w:val="0"/>
          <w:numId w:val="146"/>
        </w:numPr>
        <w:tabs>
          <w:tab w:pos="533" w:val="left" w:leader="none"/>
        </w:tabs>
        <w:spacing w:line="240" w:lineRule="auto" w:before="0" w:after="0"/>
        <w:ind w:left="270" w:right="677" w:firstLine="0"/>
        <w:jc w:val="both"/>
        <w:rPr>
          <w:sz w:val="20"/>
        </w:rPr>
      </w:pPr>
      <w:r>
        <w:rPr>
          <w:sz w:val="20"/>
        </w:rPr>
        <w:t>Analyze the results of the concentrate to obtain and interpret findings and recommendations of the study  suggest.</w:t>
      </w:r>
    </w:p>
    <w:p>
      <w:pPr>
        <w:pStyle w:val="BodyText"/>
        <w:spacing w:before="11"/>
        <w:rPr>
          <w:sz w:val="19"/>
        </w:rPr>
      </w:pPr>
    </w:p>
    <w:p>
      <w:pPr>
        <w:pStyle w:val="BodyText"/>
        <w:ind w:left="270"/>
        <w:jc w:val="both"/>
      </w:pPr>
      <w:r>
        <w:rPr/>
        <w:t>7 days a week as shown in the following graphic.</w:t>
      </w:r>
    </w:p>
    <w:p>
      <w:pPr>
        <w:pStyle w:val="BodyText"/>
        <w:spacing w:before="11"/>
        <w:rPr>
          <w:sz w:val="19"/>
        </w:rPr>
      </w:pPr>
    </w:p>
    <w:p>
      <w:pPr>
        <w:pStyle w:val="BodyText"/>
        <w:ind w:left="270" w:right="678"/>
        <w:jc w:val="both"/>
      </w:pPr>
      <w:r>
        <w:rPr/>
        <w:t>Determine which causes cumulative trauma disorders of the drivers.</w:t>
      </w:r>
    </w:p>
    <w:p>
      <w:pPr>
        <w:pStyle w:val="BodyText"/>
        <w:spacing w:line="229" w:lineRule="exact"/>
        <w:ind w:left="270"/>
        <w:jc w:val="both"/>
      </w:pPr>
      <w:r>
        <w:rPr/>
        <w:t>Meet the part of the body most affected.</w:t>
      </w:r>
    </w:p>
    <w:p>
      <w:pPr>
        <w:pStyle w:val="BodyText"/>
        <w:spacing w:before="10"/>
        <w:rPr>
          <w:sz w:val="8"/>
        </w:rPr>
      </w:pPr>
      <w:r>
        <w:rPr/>
        <w:drawing>
          <wp:anchor distT="0" distB="0" distL="0" distR="0" allowOverlap="1" layoutInCell="1" locked="0" behindDoc="0" simplePos="0" relativeHeight="16288">
            <wp:simplePos x="0" y="0"/>
            <wp:positionH relativeFrom="page">
              <wp:posOffset>4722114</wp:posOffset>
            </wp:positionH>
            <wp:positionV relativeFrom="paragraph">
              <wp:posOffset>89927</wp:posOffset>
            </wp:positionV>
            <wp:extent cx="2023523" cy="3100387"/>
            <wp:effectExtent l="0" t="0" r="0" b="0"/>
            <wp:wrapTopAndBottom/>
            <wp:docPr id="677" name="image279.png" descr=""/>
            <wp:cNvGraphicFramePr>
              <a:graphicFrameLocks noChangeAspect="1"/>
            </wp:cNvGraphicFramePr>
            <a:graphic>
              <a:graphicData uri="http://schemas.openxmlformats.org/drawingml/2006/picture">
                <pic:pic>
                  <pic:nvPicPr>
                    <pic:cNvPr id="678" name="image279.png"/>
                    <pic:cNvPicPr/>
                  </pic:nvPicPr>
                  <pic:blipFill>
                    <a:blip r:embed="rId469" cstate="print"/>
                    <a:stretch>
                      <a:fillRect/>
                    </a:stretch>
                  </pic:blipFill>
                  <pic:spPr>
                    <a:xfrm>
                      <a:off x="0" y="0"/>
                      <a:ext cx="2023523" cy="3100387"/>
                    </a:xfrm>
                    <a:prstGeom prst="rect">
                      <a:avLst/>
                    </a:prstGeom>
                  </pic:spPr>
                </pic:pic>
              </a:graphicData>
            </a:graphic>
          </wp:anchor>
        </w:drawing>
      </w:r>
    </w:p>
    <w:p>
      <w:pPr>
        <w:pStyle w:val="BodyText"/>
        <w:spacing w:before="7"/>
      </w:pPr>
    </w:p>
    <w:p>
      <w:pPr>
        <w:pStyle w:val="BodyText"/>
        <w:ind w:left="270"/>
        <w:jc w:val="both"/>
      </w:pPr>
      <w:r>
        <w:rPr/>
        <w:t>Figure 1. Map of discomfort body Corlett &amp; Bishop (1976)</w:t>
      </w:r>
    </w:p>
    <w:p>
      <w:pPr>
        <w:spacing w:after="0"/>
        <w:jc w:val="both"/>
        <w:sectPr>
          <w:type w:val="continuous"/>
          <w:pgSz w:w="12240" w:h="15840"/>
          <w:pgMar w:top="1500" w:bottom="280" w:left="580" w:right="220"/>
          <w:cols w:num="2" w:equalWidth="0">
            <w:col w:w="5189" w:space="435"/>
            <w:col w:w="5816"/>
          </w:cols>
        </w:sectPr>
      </w:pPr>
    </w:p>
    <w:p>
      <w:pPr>
        <w:pStyle w:val="BodyText"/>
        <w:spacing w:before="6"/>
        <w:rPr>
          <w:sz w:val="11"/>
        </w:rPr>
      </w:pPr>
    </w:p>
    <w:p>
      <w:pPr>
        <w:spacing w:after="0"/>
        <w:rPr>
          <w:sz w:val="11"/>
        </w:rPr>
        <w:sectPr>
          <w:pgSz w:w="12240" w:h="15840"/>
          <w:pgMar w:header="545" w:footer="852" w:top="1060" w:bottom="1040" w:left="580" w:right="220"/>
        </w:sectPr>
      </w:pPr>
    </w:p>
    <w:p>
      <w:pPr>
        <w:pStyle w:val="Heading4"/>
        <w:numPr>
          <w:ilvl w:val="0"/>
          <w:numId w:val="147"/>
        </w:numPr>
        <w:tabs>
          <w:tab w:pos="471" w:val="left" w:leader="none"/>
        </w:tabs>
        <w:spacing w:line="240" w:lineRule="auto" w:before="75" w:after="0"/>
        <w:ind w:left="470" w:right="0" w:hanging="200"/>
        <w:jc w:val="both"/>
      </w:pPr>
      <w:r>
        <w:rPr/>
        <w:t>Results</w:t>
      </w:r>
    </w:p>
    <w:p>
      <w:pPr>
        <w:pStyle w:val="BodyText"/>
        <w:spacing w:before="8"/>
        <w:rPr>
          <w:b/>
          <w:sz w:val="19"/>
        </w:rPr>
      </w:pPr>
    </w:p>
    <w:p>
      <w:pPr>
        <w:pStyle w:val="BodyText"/>
        <w:ind w:left="270" w:right="3"/>
        <w:jc w:val="both"/>
      </w:pPr>
      <w:r>
        <w:rPr/>
        <w:t>As a result of the analysis it was found that urban bus drivers only 7% is 2 of the 28 respondents, only work 2-4 days. From 4-6 working days was obtained that 61% work is 17 drivers and 32% representing 9 drivers working. See figure  2.</w:t>
      </w:r>
    </w:p>
    <w:p>
      <w:pPr>
        <w:pStyle w:val="BodyText"/>
        <w:spacing w:before="4"/>
        <w:rPr>
          <w:sz w:val="17"/>
        </w:rPr>
      </w:pPr>
      <w:r>
        <w:rPr/>
        <w:drawing>
          <wp:anchor distT="0" distB="0" distL="0" distR="0" allowOverlap="1" layoutInCell="1" locked="0" behindDoc="0" simplePos="0" relativeHeight="16312">
            <wp:simplePos x="0" y="0"/>
            <wp:positionH relativeFrom="page">
              <wp:posOffset>801623</wp:posOffset>
            </wp:positionH>
            <wp:positionV relativeFrom="paragraph">
              <wp:posOffset>151607</wp:posOffset>
            </wp:positionV>
            <wp:extent cx="2500237" cy="1367504"/>
            <wp:effectExtent l="0" t="0" r="0" b="0"/>
            <wp:wrapTopAndBottom/>
            <wp:docPr id="679" name="image398.png" descr=""/>
            <wp:cNvGraphicFramePr>
              <a:graphicFrameLocks noChangeAspect="1"/>
            </wp:cNvGraphicFramePr>
            <a:graphic>
              <a:graphicData uri="http://schemas.openxmlformats.org/drawingml/2006/picture">
                <pic:pic>
                  <pic:nvPicPr>
                    <pic:cNvPr id="680" name="image398.png"/>
                    <pic:cNvPicPr/>
                  </pic:nvPicPr>
                  <pic:blipFill>
                    <a:blip r:embed="rId654" cstate="print"/>
                    <a:stretch>
                      <a:fillRect/>
                    </a:stretch>
                  </pic:blipFill>
                  <pic:spPr>
                    <a:xfrm>
                      <a:off x="0" y="0"/>
                      <a:ext cx="2500237" cy="1367504"/>
                    </a:xfrm>
                    <a:prstGeom prst="rect">
                      <a:avLst/>
                    </a:prstGeom>
                  </pic:spPr>
                </pic:pic>
              </a:graphicData>
            </a:graphic>
          </wp:anchor>
        </w:drawing>
      </w:r>
    </w:p>
    <w:p>
      <w:pPr>
        <w:pStyle w:val="BodyText"/>
        <w:spacing w:before="9"/>
        <w:ind w:left="881" w:right="706"/>
        <w:jc w:val="center"/>
      </w:pPr>
      <w:r>
        <w:rPr/>
        <w:t>Figure 2: working days of urban bus drivers.</w:t>
      </w:r>
    </w:p>
    <w:p>
      <w:pPr>
        <w:pStyle w:val="BodyText"/>
        <w:spacing w:before="11"/>
        <w:rPr>
          <w:sz w:val="19"/>
        </w:rPr>
      </w:pPr>
    </w:p>
    <w:p>
      <w:pPr>
        <w:pStyle w:val="BodyText"/>
        <w:ind w:left="180" w:firstLine="657"/>
        <w:jc w:val="both"/>
      </w:pPr>
      <w:r>
        <w:rPr/>
        <w:t>The figure 3 shows the ranges of ages with urban bus can observe that in the age range 18-25 (7%) year is represented by two buses, of 26-33 (36%) years buses age is 10, 34 -41 (50%) are aged 14, of 42-49 (3%) of age is one and only one driver  from 50-58 (4%) years of age.</w:t>
      </w:r>
    </w:p>
    <w:p>
      <w:pPr>
        <w:pStyle w:val="BodyText"/>
        <w:spacing w:before="5"/>
        <w:rPr>
          <w:sz w:val="17"/>
        </w:rPr>
      </w:pPr>
      <w:r>
        <w:rPr/>
        <w:drawing>
          <wp:anchor distT="0" distB="0" distL="0" distR="0" allowOverlap="1" layoutInCell="1" locked="0" behindDoc="0" simplePos="0" relativeHeight="16336">
            <wp:simplePos x="0" y="0"/>
            <wp:positionH relativeFrom="page">
              <wp:posOffset>819911</wp:posOffset>
            </wp:positionH>
            <wp:positionV relativeFrom="paragraph">
              <wp:posOffset>152360</wp:posOffset>
            </wp:positionV>
            <wp:extent cx="2507561" cy="1795462"/>
            <wp:effectExtent l="0" t="0" r="0" b="0"/>
            <wp:wrapTopAndBottom/>
            <wp:docPr id="681" name="image399.png" descr=""/>
            <wp:cNvGraphicFramePr>
              <a:graphicFrameLocks noChangeAspect="1"/>
            </wp:cNvGraphicFramePr>
            <a:graphic>
              <a:graphicData uri="http://schemas.openxmlformats.org/drawingml/2006/picture">
                <pic:pic>
                  <pic:nvPicPr>
                    <pic:cNvPr id="682" name="image399.png"/>
                    <pic:cNvPicPr/>
                  </pic:nvPicPr>
                  <pic:blipFill>
                    <a:blip r:embed="rId655" cstate="print"/>
                    <a:stretch>
                      <a:fillRect/>
                    </a:stretch>
                  </pic:blipFill>
                  <pic:spPr>
                    <a:xfrm>
                      <a:off x="0" y="0"/>
                      <a:ext cx="2507561" cy="1795462"/>
                    </a:xfrm>
                    <a:prstGeom prst="rect">
                      <a:avLst/>
                    </a:prstGeom>
                  </pic:spPr>
                </pic:pic>
              </a:graphicData>
            </a:graphic>
          </wp:anchor>
        </w:drawing>
      </w:r>
    </w:p>
    <w:p>
      <w:pPr>
        <w:pStyle w:val="BodyText"/>
        <w:ind w:left="881" w:right="706"/>
        <w:jc w:val="center"/>
      </w:pPr>
      <w:r>
        <w:rPr/>
        <w:t>Figure 3. Ages urban bus drivers.</w:t>
      </w:r>
    </w:p>
    <w:p>
      <w:pPr>
        <w:pStyle w:val="BodyText"/>
      </w:pPr>
    </w:p>
    <w:p>
      <w:pPr>
        <w:pStyle w:val="BodyText"/>
        <w:spacing w:before="1"/>
        <w:ind w:left="180" w:right="4" w:firstLine="657"/>
        <w:jc w:val="both"/>
      </w:pPr>
      <w:r>
        <w:rPr/>
        <w:t>In the figure 4 shows that most drivers replied that they fed before starting their workday, this data represented  by 61% ie 17 drivers and 39% is 11 does not feed before starting their day</w:t>
      </w:r>
      <w:r>
        <w:rPr>
          <w:spacing w:val="-10"/>
        </w:rPr>
        <w:t> </w:t>
      </w:r>
      <w:r>
        <w:rPr/>
        <w:t>labor.</w:t>
      </w:r>
    </w:p>
    <w:p>
      <w:pPr>
        <w:pStyle w:val="BodyText"/>
        <w:rPr>
          <w:sz w:val="17"/>
        </w:rPr>
      </w:pPr>
      <w:r>
        <w:rPr/>
        <w:drawing>
          <wp:anchor distT="0" distB="0" distL="0" distR="0" allowOverlap="1" layoutInCell="1" locked="0" behindDoc="0" simplePos="0" relativeHeight="16360">
            <wp:simplePos x="0" y="0"/>
            <wp:positionH relativeFrom="page">
              <wp:posOffset>819911</wp:posOffset>
            </wp:positionH>
            <wp:positionV relativeFrom="paragraph">
              <wp:posOffset>149310</wp:posOffset>
            </wp:positionV>
            <wp:extent cx="2507959" cy="1728787"/>
            <wp:effectExtent l="0" t="0" r="0" b="0"/>
            <wp:wrapTopAndBottom/>
            <wp:docPr id="683" name="image400.png" descr=""/>
            <wp:cNvGraphicFramePr>
              <a:graphicFrameLocks noChangeAspect="1"/>
            </wp:cNvGraphicFramePr>
            <a:graphic>
              <a:graphicData uri="http://schemas.openxmlformats.org/drawingml/2006/picture">
                <pic:pic>
                  <pic:nvPicPr>
                    <pic:cNvPr id="684" name="image400.png"/>
                    <pic:cNvPicPr/>
                  </pic:nvPicPr>
                  <pic:blipFill>
                    <a:blip r:embed="rId656" cstate="print"/>
                    <a:stretch>
                      <a:fillRect/>
                    </a:stretch>
                  </pic:blipFill>
                  <pic:spPr>
                    <a:xfrm>
                      <a:off x="0" y="0"/>
                      <a:ext cx="2507959" cy="1728787"/>
                    </a:xfrm>
                    <a:prstGeom prst="rect">
                      <a:avLst/>
                    </a:prstGeom>
                  </pic:spPr>
                </pic:pic>
              </a:graphicData>
            </a:graphic>
          </wp:anchor>
        </w:drawing>
      </w:r>
    </w:p>
    <w:p>
      <w:pPr>
        <w:pStyle w:val="BodyText"/>
        <w:ind w:left="880" w:right="706"/>
        <w:jc w:val="center"/>
      </w:pPr>
      <w:r>
        <w:rPr/>
        <w:t>Figure 4. Do you feed before starting work?</w:t>
      </w:r>
    </w:p>
    <w:p>
      <w:pPr>
        <w:pStyle w:val="BodyText"/>
        <w:spacing w:before="2"/>
        <w:rPr>
          <w:sz w:val="26"/>
        </w:rPr>
      </w:pPr>
      <w:r>
        <w:rPr/>
        <w:br w:type="column"/>
      </w:r>
      <w:r>
        <w:rPr>
          <w:sz w:val="26"/>
        </w:rPr>
      </w:r>
    </w:p>
    <w:p>
      <w:pPr>
        <w:pStyle w:val="BodyText"/>
        <w:spacing w:before="1"/>
        <w:ind w:left="180" w:right="675" w:firstLine="657"/>
        <w:jc w:val="both"/>
      </w:pPr>
      <w:r>
        <w:rPr/>
        <w:t>One of the factors involved in the acquisition of cumulative trauma disorders drivers are the hours that carry out their main activity driving the bus urban certain routes on the graphic four hours when working buss bus drivers shown urban in this graph shows that the sample is 1 drivers who work for 5-8 hours a day, seven are those who work for 9-12 hours and most are those who work for 13-16 represented by 20 drivers. See figure 5.</w:t>
      </w:r>
    </w:p>
    <w:p>
      <w:pPr>
        <w:pStyle w:val="BodyText"/>
        <w:spacing w:before="5"/>
        <w:rPr>
          <w:sz w:val="17"/>
        </w:rPr>
      </w:pPr>
      <w:r>
        <w:rPr/>
        <w:drawing>
          <wp:anchor distT="0" distB="0" distL="0" distR="0" allowOverlap="1" layoutInCell="1" locked="0" behindDoc="0" simplePos="0" relativeHeight="16384">
            <wp:simplePos x="0" y="0"/>
            <wp:positionH relativeFrom="page">
              <wp:posOffset>4376928</wp:posOffset>
            </wp:positionH>
            <wp:positionV relativeFrom="paragraph">
              <wp:posOffset>152366</wp:posOffset>
            </wp:positionV>
            <wp:extent cx="2468818" cy="1704213"/>
            <wp:effectExtent l="0" t="0" r="0" b="0"/>
            <wp:wrapTopAndBottom/>
            <wp:docPr id="685" name="image401.png" descr=""/>
            <wp:cNvGraphicFramePr>
              <a:graphicFrameLocks noChangeAspect="1"/>
            </wp:cNvGraphicFramePr>
            <a:graphic>
              <a:graphicData uri="http://schemas.openxmlformats.org/drawingml/2006/picture">
                <pic:pic>
                  <pic:nvPicPr>
                    <pic:cNvPr id="686" name="image401.png"/>
                    <pic:cNvPicPr/>
                  </pic:nvPicPr>
                  <pic:blipFill>
                    <a:blip r:embed="rId657" cstate="print"/>
                    <a:stretch>
                      <a:fillRect/>
                    </a:stretch>
                  </pic:blipFill>
                  <pic:spPr>
                    <a:xfrm>
                      <a:off x="0" y="0"/>
                      <a:ext cx="2468818" cy="1704213"/>
                    </a:xfrm>
                    <a:prstGeom prst="rect">
                      <a:avLst/>
                    </a:prstGeom>
                  </pic:spPr>
                </pic:pic>
              </a:graphicData>
            </a:graphic>
          </wp:anchor>
        </w:drawing>
      </w:r>
    </w:p>
    <w:p>
      <w:pPr>
        <w:pStyle w:val="BodyText"/>
        <w:spacing w:before="8"/>
        <w:ind w:left="204" w:right="701"/>
        <w:jc w:val="center"/>
      </w:pPr>
      <w:r>
        <w:rPr/>
        <w:t>Figure 5. Hours a day.</w:t>
      </w:r>
    </w:p>
    <w:p>
      <w:pPr>
        <w:pStyle w:val="BodyText"/>
        <w:spacing w:before="11"/>
        <w:rPr>
          <w:sz w:val="19"/>
        </w:rPr>
      </w:pPr>
    </w:p>
    <w:p>
      <w:pPr>
        <w:pStyle w:val="BodyText"/>
        <w:ind w:left="180" w:right="677" w:firstLine="657"/>
        <w:jc w:val="both"/>
      </w:pPr>
      <w:r>
        <w:rPr/>
        <w:t>Once applied the questionnaire of general data mapping questionnaire was applied corlett &amp; bishop major following graphs were obtained.</w:t>
      </w:r>
    </w:p>
    <w:p>
      <w:pPr>
        <w:pStyle w:val="BodyText"/>
        <w:spacing w:before="11"/>
        <w:rPr>
          <w:sz w:val="19"/>
        </w:rPr>
      </w:pPr>
    </w:p>
    <w:p>
      <w:pPr>
        <w:pStyle w:val="BodyText"/>
        <w:ind w:left="180" w:right="677" w:firstLine="657"/>
        <w:jc w:val="both"/>
      </w:pPr>
      <w:r>
        <w:rPr/>
        <w:t>The number of general complaints at the time  of entry to their respective body and scale of values shown in the following</w:t>
      </w:r>
      <w:r>
        <w:rPr>
          <w:spacing w:val="-12"/>
        </w:rPr>
        <w:t> </w:t>
      </w:r>
      <w:r>
        <w:rPr/>
        <w:t>figure.</w:t>
      </w:r>
    </w:p>
    <w:p>
      <w:pPr>
        <w:pStyle w:val="BodyText"/>
        <w:spacing w:before="5"/>
        <w:rPr>
          <w:sz w:val="17"/>
        </w:rPr>
      </w:pPr>
      <w:r>
        <w:rPr/>
        <w:drawing>
          <wp:anchor distT="0" distB="0" distL="0" distR="0" allowOverlap="1" layoutInCell="1" locked="0" behindDoc="0" simplePos="0" relativeHeight="16408">
            <wp:simplePos x="0" y="0"/>
            <wp:positionH relativeFrom="page">
              <wp:posOffset>4386071</wp:posOffset>
            </wp:positionH>
            <wp:positionV relativeFrom="paragraph">
              <wp:posOffset>152360</wp:posOffset>
            </wp:positionV>
            <wp:extent cx="2440886" cy="1974246"/>
            <wp:effectExtent l="0" t="0" r="0" b="0"/>
            <wp:wrapTopAndBottom/>
            <wp:docPr id="687" name="image402.png" descr=""/>
            <wp:cNvGraphicFramePr>
              <a:graphicFrameLocks noChangeAspect="1"/>
            </wp:cNvGraphicFramePr>
            <a:graphic>
              <a:graphicData uri="http://schemas.openxmlformats.org/drawingml/2006/picture">
                <pic:pic>
                  <pic:nvPicPr>
                    <pic:cNvPr id="688" name="image402.png"/>
                    <pic:cNvPicPr/>
                  </pic:nvPicPr>
                  <pic:blipFill>
                    <a:blip r:embed="rId658" cstate="print"/>
                    <a:stretch>
                      <a:fillRect/>
                    </a:stretch>
                  </pic:blipFill>
                  <pic:spPr>
                    <a:xfrm>
                      <a:off x="0" y="0"/>
                      <a:ext cx="2440886" cy="1974246"/>
                    </a:xfrm>
                    <a:prstGeom prst="rect">
                      <a:avLst/>
                    </a:prstGeom>
                  </pic:spPr>
                </pic:pic>
              </a:graphicData>
            </a:graphic>
          </wp:anchor>
        </w:drawing>
      </w:r>
    </w:p>
    <w:p>
      <w:pPr>
        <w:pStyle w:val="BodyText"/>
        <w:spacing w:before="29"/>
        <w:ind w:left="204" w:right="701"/>
        <w:jc w:val="center"/>
      </w:pPr>
      <w:r>
        <w:rPr/>
        <w:t>Figure 6. General complaint no. check</w:t>
      </w:r>
    </w:p>
    <w:p>
      <w:pPr>
        <w:pStyle w:val="BodyText"/>
      </w:pPr>
    </w:p>
    <w:p>
      <w:pPr>
        <w:pStyle w:val="BodyText"/>
        <w:spacing w:before="1"/>
        <w:ind w:left="180" w:right="676" w:firstLine="657"/>
        <w:jc w:val="both"/>
      </w:pPr>
      <w:r>
        <w:rPr/>
        <w:t>At the figure 6 data figure 7 shows but represented in percentages</w:t>
      </w:r>
    </w:p>
    <w:p>
      <w:pPr>
        <w:spacing w:after="0"/>
        <w:jc w:val="both"/>
        <w:sectPr>
          <w:type w:val="continuous"/>
          <w:pgSz w:w="12240" w:h="15840"/>
          <w:pgMar w:top="1500" w:bottom="280" w:left="580" w:right="220"/>
          <w:cols w:num="2" w:equalWidth="0">
            <w:col w:w="5194" w:space="430"/>
            <w:col w:w="5816"/>
          </w:cols>
        </w:sectPr>
      </w:pPr>
    </w:p>
    <w:p>
      <w:pPr>
        <w:pStyle w:val="BodyText"/>
        <w:spacing w:before="3"/>
        <w:rPr>
          <w:sz w:val="18"/>
        </w:rPr>
      </w:pPr>
    </w:p>
    <w:p>
      <w:pPr>
        <w:pStyle w:val="BodyText"/>
        <w:ind w:left="716"/>
      </w:pPr>
      <w:r>
        <w:rPr/>
        <w:drawing>
          <wp:inline distT="0" distB="0" distL="0" distR="0">
            <wp:extent cx="2502579" cy="1938242"/>
            <wp:effectExtent l="0" t="0" r="0" b="0"/>
            <wp:docPr id="689" name="image403.jpeg" descr=""/>
            <wp:cNvGraphicFramePr>
              <a:graphicFrameLocks noChangeAspect="1"/>
            </wp:cNvGraphicFramePr>
            <a:graphic>
              <a:graphicData uri="http://schemas.openxmlformats.org/drawingml/2006/picture">
                <pic:pic>
                  <pic:nvPicPr>
                    <pic:cNvPr id="690" name="image403.jpeg"/>
                    <pic:cNvPicPr/>
                  </pic:nvPicPr>
                  <pic:blipFill>
                    <a:blip r:embed="rId659" cstate="print"/>
                    <a:stretch>
                      <a:fillRect/>
                    </a:stretch>
                  </pic:blipFill>
                  <pic:spPr>
                    <a:xfrm>
                      <a:off x="0" y="0"/>
                      <a:ext cx="2502579" cy="1938242"/>
                    </a:xfrm>
                    <a:prstGeom prst="rect">
                      <a:avLst/>
                    </a:prstGeom>
                  </pic:spPr>
                </pic:pic>
              </a:graphicData>
            </a:graphic>
          </wp:inline>
        </w:drawing>
      </w:r>
      <w:r>
        <w:rPr/>
      </w:r>
    </w:p>
    <w:p>
      <w:pPr>
        <w:pStyle w:val="BodyText"/>
        <w:ind w:left="634" w:right="118"/>
      </w:pPr>
      <w:r>
        <w:rPr/>
        <w:t>Figure 7 Percentage of general complains in check.</w:t>
      </w:r>
    </w:p>
    <w:p>
      <w:pPr>
        <w:pStyle w:val="BodyText"/>
        <w:spacing w:before="11"/>
        <w:rPr>
          <w:sz w:val="19"/>
        </w:rPr>
      </w:pPr>
    </w:p>
    <w:p>
      <w:pPr>
        <w:pStyle w:val="BodyText"/>
        <w:ind w:left="270" w:right="1" w:firstLine="567"/>
        <w:jc w:val="both"/>
      </w:pPr>
      <w:r>
        <w:rPr/>
        <w:t>In the first week was very present headache in urban bus drivers with 83% with people with complaints of headache and the remaining 17% had no complaints. The headache is a pain very stressing and irritant to the human body lowers long activities creating a shabby in urban bus drivers.</w:t>
      </w:r>
    </w:p>
    <w:p>
      <w:pPr>
        <w:pStyle w:val="BodyText"/>
      </w:pPr>
    </w:p>
    <w:p>
      <w:pPr>
        <w:pStyle w:val="BodyText"/>
        <w:spacing w:before="1"/>
        <w:rPr>
          <w:sz w:val="17"/>
        </w:rPr>
      </w:pPr>
      <w:r>
        <w:rPr/>
        <w:drawing>
          <wp:anchor distT="0" distB="0" distL="0" distR="0" allowOverlap="1" layoutInCell="1" locked="0" behindDoc="0" simplePos="0" relativeHeight="16432">
            <wp:simplePos x="0" y="0"/>
            <wp:positionH relativeFrom="page">
              <wp:posOffset>847344</wp:posOffset>
            </wp:positionH>
            <wp:positionV relativeFrom="paragraph">
              <wp:posOffset>149578</wp:posOffset>
            </wp:positionV>
            <wp:extent cx="2504562" cy="1634204"/>
            <wp:effectExtent l="0" t="0" r="0" b="0"/>
            <wp:wrapTopAndBottom/>
            <wp:docPr id="691" name="image404.jpeg" descr=""/>
            <wp:cNvGraphicFramePr>
              <a:graphicFrameLocks noChangeAspect="1"/>
            </wp:cNvGraphicFramePr>
            <a:graphic>
              <a:graphicData uri="http://schemas.openxmlformats.org/drawingml/2006/picture">
                <pic:pic>
                  <pic:nvPicPr>
                    <pic:cNvPr id="692" name="image404.jpeg"/>
                    <pic:cNvPicPr/>
                  </pic:nvPicPr>
                  <pic:blipFill>
                    <a:blip r:embed="rId660" cstate="print"/>
                    <a:stretch>
                      <a:fillRect/>
                    </a:stretch>
                  </pic:blipFill>
                  <pic:spPr>
                    <a:xfrm>
                      <a:off x="0" y="0"/>
                      <a:ext cx="2504562" cy="1634204"/>
                    </a:xfrm>
                    <a:prstGeom prst="rect">
                      <a:avLst/>
                    </a:prstGeom>
                  </pic:spPr>
                </pic:pic>
              </a:graphicData>
            </a:graphic>
          </wp:anchor>
        </w:drawing>
      </w:r>
    </w:p>
    <w:p>
      <w:pPr>
        <w:pStyle w:val="BodyText"/>
        <w:ind w:left="668" w:right="118"/>
      </w:pPr>
      <w:r>
        <w:rPr/>
        <w:t>Figure 8. Complaints overall head in the first week.</w:t>
      </w:r>
    </w:p>
    <w:p>
      <w:pPr>
        <w:pStyle w:val="BodyText"/>
        <w:spacing w:before="11"/>
        <w:rPr>
          <w:sz w:val="19"/>
        </w:rPr>
      </w:pPr>
    </w:p>
    <w:p>
      <w:pPr>
        <w:pStyle w:val="BodyText"/>
        <w:ind w:left="270" w:firstLine="567"/>
        <w:jc w:val="both"/>
      </w:pPr>
      <w:r>
        <w:rPr/>
        <w:t>Over a period of three weeks constantly there were complaints in the upper back general of urban bus drivers, with 50% of drivers with complaints and 50% do not file complaints. The back is one of the body parts they use most urban bus drivers because they make turns when charging passengers or to maneuver the steering wheel. Another factor is that most of the time are being recharged and in one position. As shown in the figure 9.</w:t>
      </w:r>
    </w:p>
    <w:p>
      <w:pPr>
        <w:pStyle w:val="BodyText"/>
        <w:spacing w:before="9"/>
        <w:rPr>
          <w:sz w:val="16"/>
        </w:rPr>
      </w:pPr>
      <w:r>
        <w:rPr/>
        <w:drawing>
          <wp:anchor distT="0" distB="0" distL="0" distR="0" allowOverlap="1" layoutInCell="1" locked="0" behindDoc="0" simplePos="0" relativeHeight="16456">
            <wp:simplePos x="0" y="0"/>
            <wp:positionH relativeFrom="page">
              <wp:posOffset>847344</wp:posOffset>
            </wp:positionH>
            <wp:positionV relativeFrom="paragraph">
              <wp:posOffset>147789</wp:posOffset>
            </wp:positionV>
            <wp:extent cx="2507633" cy="1646872"/>
            <wp:effectExtent l="0" t="0" r="0" b="0"/>
            <wp:wrapTopAndBottom/>
            <wp:docPr id="693" name="image405.jpeg" descr=""/>
            <wp:cNvGraphicFramePr>
              <a:graphicFrameLocks noChangeAspect="1"/>
            </wp:cNvGraphicFramePr>
            <a:graphic>
              <a:graphicData uri="http://schemas.openxmlformats.org/drawingml/2006/picture">
                <pic:pic>
                  <pic:nvPicPr>
                    <pic:cNvPr id="694" name="image405.jpeg"/>
                    <pic:cNvPicPr/>
                  </pic:nvPicPr>
                  <pic:blipFill>
                    <a:blip r:embed="rId661" cstate="print"/>
                    <a:stretch>
                      <a:fillRect/>
                    </a:stretch>
                  </pic:blipFill>
                  <pic:spPr>
                    <a:xfrm>
                      <a:off x="0" y="0"/>
                      <a:ext cx="2507633" cy="1646872"/>
                    </a:xfrm>
                    <a:prstGeom prst="rect">
                      <a:avLst/>
                    </a:prstGeom>
                  </pic:spPr>
                </pic:pic>
              </a:graphicData>
            </a:graphic>
          </wp:anchor>
        </w:drawing>
      </w:r>
    </w:p>
    <w:p>
      <w:pPr>
        <w:pStyle w:val="BodyText"/>
        <w:ind w:left="283" w:right="17"/>
        <w:jc w:val="center"/>
      </w:pPr>
      <w:r>
        <w:rPr/>
        <w:t>Figure 9. Complaints in the general upper back for 3 weeks.</w:t>
      </w:r>
    </w:p>
    <w:p>
      <w:pPr>
        <w:pStyle w:val="BodyText"/>
      </w:pPr>
      <w:r>
        <w:rPr/>
        <w:br w:type="column"/>
      </w:r>
      <w:r>
        <w:rPr/>
      </w:r>
    </w:p>
    <w:p>
      <w:pPr>
        <w:pStyle w:val="BodyText"/>
        <w:spacing w:before="8"/>
        <w:rPr>
          <w:sz w:val="17"/>
        </w:rPr>
      </w:pPr>
    </w:p>
    <w:p>
      <w:pPr>
        <w:pStyle w:val="BodyText"/>
        <w:spacing w:before="1"/>
        <w:ind w:left="270" w:right="677" w:firstLine="567"/>
        <w:jc w:val="both"/>
      </w:pPr>
      <w:r>
        <w:rPr/>
        <w:t>On the shoulders of urban bus drivers, as well as in the back were presented at the 3rd week 50% of drivers without complaints and 50% for drivers with complaints. The shoulders are more mobile because I like back when maneuvering the bus and mostly have the same position all day worked. It occurs more tired sometimes hard factors to flyers and require more force and by the third week working urban bus drivers. See figure 10.</w:t>
      </w:r>
    </w:p>
    <w:p>
      <w:pPr>
        <w:pStyle w:val="BodyText"/>
        <w:spacing w:before="5"/>
        <w:rPr>
          <w:sz w:val="17"/>
        </w:rPr>
      </w:pPr>
      <w:r>
        <w:rPr/>
        <w:drawing>
          <wp:anchor distT="0" distB="0" distL="0" distR="0" allowOverlap="1" layoutInCell="1" locked="0" behindDoc="0" simplePos="0" relativeHeight="16480">
            <wp:simplePos x="0" y="0"/>
            <wp:positionH relativeFrom="page">
              <wp:posOffset>4401311</wp:posOffset>
            </wp:positionH>
            <wp:positionV relativeFrom="paragraph">
              <wp:posOffset>152356</wp:posOffset>
            </wp:positionV>
            <wp:extent cx="2496463" cy="1634489"/>
            <wp:effectExtent l="0" t="0" r="0" b="0"/>
            <wp:wrapTopAndBottom/>
            <wp:docPr id="695" name="image406.jpeg" descr=""/>
            <wp:cNvGraphicFramePr>
              <a:graphicFrameLocks noChangeAspect="1"/>
            </wp:cNvGraphicFramePr>
            <a:graphic>
              <a:graphicData uri="http://schemas.openxmlformats.org/drawingml/2006/picture">
                <pic:pic>
                  <pic:nvPicPr>
                    <pic:cNvPr id="696" name="image406.jpeg"/>
                    <pic:cNvPicPr/>
                  </pic:nvPicPr>
                  <pic:blipFill>
                    <a:blip r:embed="rId662" cstate="print"/>
                    <a:stretch>
                      <a:fillRect/>
                    </a:stretch>
                  </pic:blipFill>
                  <pic:spPr>
                    <a:xfrm>
                      <a:off x="0" y="0"/>
                      <a:ext cx="2496463" cy="1634489"/>
                    </a:xfrm>
                    <a:prstGeom prst="rect">
                      <a:avLst/>
                    </a:prstGeom>
                  </pic:spPr>
                </pic:pic>
              </a:graphicData>
            </a:graphic>
          </wp:anchor>
        </w:drawing>
      </w:r>
    </w:p>
    <w:p>
      <w:pPr>
        <w:pStyle w:val="BodyText"/>
        <w:ind w:left="291" w:right="701"/>
        <w:jc w:val="center"/>
      </w:pPr>
      <w:r>
        <w:rPr/>
        <w:t>Figure 10. Shoulder complaints in general (third week)</w:t>
      </w:r>
    </w:p>
    <w:p>
      <w:pPr>
        <w:pStyle w:val="BodyText"/>
      </w:pPr>
    </w:p>
    <w:p>
      <w:pPr>
        <w:pStyle w:val="BodyText"/>
        <w:spacing w:before="1"/>
        <w:ind w:left="270" w:right="676" w:firstLine="567"/>
        <w:jc w:val="both"/>
      </w:pPr>
      <w:r>
        <w:rPr/>
        <w:t>In the figure 11 with an 83% drivers without complaints legs, and the rest 17% urban bus drivers with complaints in the legs. Legs is the body part most dynamically but urban bus drivers as always maintain the same sitting posture driving and almost no mobility.</w:t>
      </w:r>
    </w:p>
    <w:p>
      <w:pPr>
        <w:pStyle w:val="BodyText"/>
        <w:ind w:left="726"/>
      </w:pPr>
      <w:r>
        <w:rPr/>
        <w:drawing>
          <wp:inline distT="0" distB="0" distL="0" distR="0">
            <wp:extent cx="2509121" cy="1659540"/>
            <wp:effectExtent l="0" t="0" r="0" b="0"/>
            <wp:docPr id="697" name="image407.jpeg" descr=""/>
            <wp:cNvGraphicFramePr>
              <a:graphicFrameLocks noChangeAspect="1"/>
            </wp:cNvGraphicFramePr>
            <a:graphic>
              <a:graphicData uri="http://schemas.openxmlformats.org/drawingml/2006/picture">
                <pic:pic>
                  <pic:nvPicPr>
                    <pic:cNvPr id="698" name="image407.jpeg"/>
                    <pic:cNvPicPr/>
                  </pic:nvPicPr>
                  <pic:blipFill>
                    <a:blip r:embed="rId663" cstate="print"/>
                    <a:stretch>
                      <a:fillRect/>
                    </a:stretch>
                  </pic:blipFill>
                  <pic:spPr>
                    <a:xfrm>
                      <a:off x="0" y="0"/>
                      <a:ext cx="2509121" cy="1659540"/>
                    </a:xfrm>
                    <a:prstGeom prst="rect">
                      <a:avLst/>
                    </a:prstGeom>
                  </pic:spPr>
                </pic:pic>
              </a:graphicData>
            </a:graphic>
          </wp:inline>
        </w:drawing>
      </w:r>
      <w:r>
        <w:rPr/>
      </w:r>
    </w:p>
    <w:p>
      <w:pPr>
        <w:pStyle w:val="BodyText"/>
        <w:spacing w:before="7"/>
        <w:ind w:left="784" w:right="702"/>
      </w:pPr>
      <w:r>
        <w:rPr/>
        <w:t>Figure 11. General complaints legs for 3 weeks.</w:t>
      </w:r>
    </w:p>
    <w:p>
      <w:pPr>
        <w:pStyle w:val="BodyText"/>
        <w:spacing w:before="11"/>
        <w:rPr>
          <w:sz w:val="19"/>
        </w:rPr>
      </w:pPr>
    </w:p>
    <w:p>
      <w:pPr>
        <w:pStyle w:val="BodyText"/>
        <w:ind w:left="270" w:right="679" w:firstLine="567"/>
        <w:jc w:val="both"/>
      </w:pPr>
      <w:r>
        <w:rPr/>
        <w:t>By mapping Corlett &amp; Bishop these complaints are presented for 3 weeks.</w:t>
      </w:r>
    </w:p>
    <w:p>
      <w:pPr>
        <w:pStyle w:val="BodyText"/>
        <w:spacing w:before="11"/>
        <w:rPr>
          <w:sz w:val="19"/>
        </w:rPr>
      </w:pPr>
    </w:p>
    <w:p>
      <w:pPr>
        <w:pStyle w:val="BodyText"/>
        <w:ind w:left="270" w:right="677"/>
        <w:jc w:val="both"/>
      </w:pPr>
      <w:r>
        <w:rPr/>
        <w:t>In Figure 12, with 61% general drivers showed no complaints at the 5 zones of the body, and 39% urban bus drivers filed complaints in the 5 zones of the body according to the mapping Corlett &amp; Bishop, this in first week</w:t>
      </w:r>
    </w:p>
    <w:p>
      <w:pPr>
        <w:spacing w:after="0"/>
        <w:jc w:val="both"/>
        <w:sectPr>
          <w:pgSz w:w="12240" w:h="15840"/>
          <w:pgMar w:header="545" w:footer="852" w:top="1060" w:bottom="1040" w:left="580" w:right="220"/>
          <w:cols w:num="2" w:equalWidth="0">
            <w:col w:w="5190" w:space="434"/>
            <w:col w:w="5816"/>
          </w:cols>
        </w:sectPr>
      </w:pPr>
    </w:p>
    <w:p>
      <w:pPr>
        <w:pStyle w:val="BodyText"/>
        <w:spacing w:before="3"/>
        <w:rPr>
          <w:sz w:val="18"/>
        </w:rPr>
      </w:pPr>
    </w:p>
    <w:p>
      <w:pPr>
        <w:pStyle w:val="BodyText"/>
        <w:ind w:left="754"/>
      </w:pPr>
      <w:r>
        <w:rPr/>
        <w:drawing>
          <wp:inline distT="0" distB="0" distL="0" distR="0">
            <wp:extent cx="2501121" cy="1710213"/>
            <wp:effectExtent l="0" t="0" r="0" b="0"/>
            <wp:docPr id="699" name="image408.jpeg" descr=""/>
            <wp:cNvGraphicFramePr>
              <a:graphicFrameLocks noChangeAspect="1"/>
            </wp:cNvGraphicFramePr>
            <a:graphic>
              <a:graphicData uri="http://schemas.openxmlformats.org/drawingml/2006/picture">
                <pic:pic>
                  <pic:nvPicPr>
                    <pic:cNvPr id="700" name="image408.jpeg"/>
                    <pic:cNvPicPr/>
                  </pic:nvPicPr>
                  <pic:blipFill>
                    <a:blip r:embed="rId664" cstate="print"/>
                    <a:stretch>
                      <a:fillRect/>
                    </a:stretch>
                  </pic:blipFill>
                  <pic:spPr>
                    <a:xfrm>
                      <a:off x="0" y="0"/>
                      <a:ext cx="2501121" cy="1710213"/>
                    </a:xfrm>
                    <a:prstGeom prst="rect">
                      <a:avLst/>
                    </a:prstGeom>
                  </pic:spPr>
                </pic:pic>
              </a:graphicData>
            </a:graphic>
          </wp:inline>
        </w:drawing>
      </w:r>
      <w:r>
        <w:rPr/>
      </w:r>
    </w:p>
    <w:p>
      <w:pPr>
        <w:pStyle w:val="BodyText"/>
        <w:spacing w:before="4"/>
        <w:ind w:left="2417" w:right="25" w:hanging="2105"/>
      </w:pPr>
      <w:r>
        <w:rPr/>
        <w:t>Figure 12. General complaints in the 5 zones of the body for 1 week.</w:t>
      </w:r>
    </w:p>
    <w:p>
      <w:pPr>
        <w:pStyle w:val="BodyText"/>
        <w:spacing w:before="11"/>
        <w:rPr>
          <w:sz w:val="19"/>
        </w:rPr>
      </w:pPr>
    </w:p>
    <w:p>
      <w:pPr>
        <w:pStyle w:val="BodyText"/>
        <w:ind w:left="270"/>
        <w:jc w:val="both"/>
      </w:pPr>
      <w:r>
        <w:rPr/>
        <w:t>Likewise in the second week of urban driver’s bus presented 44% of overall complaints are the 5 zones of the body according to the Corlett &amp; Bishop while 56% had no complaints as presented in the Figure 13</w:t>
      </w:r>
    </w:p>
    <w:p>
      <w:pPr>
        <w:pStyle w:val="BodyText"/>
        <w:spacing w:before="7"/>
        <w:rPr>
          <w:sz w:val="17"/>
        </w:rPr>
      </w:pPr>
      <w:r>
        <w:rPr/>
        <w:drawing>
          <wp:anchor distT="0" distB="0" distL="0" distR="0" allowOverlap="1" layoutInCell="1" locked="0" behindDoc="0" simplePos="0" relativeHeight="16504">
            <wp:simplePos x="0" y="0"/>
            <wp:positionH relativeFrom="page">
              <wp:posOffset>847344</wp:posOffset>
            </wp:positionH>
            <wp:positionV relativeFrom="paragraph">
              <wp:posOffset>153883</wp:posOffset>
            </wp:positionV>
            <wp:extent cx="2506689" cy="1710213"/>
            <wp:effectExtent l="0" t="0" r="0" b="0"/>
            <wp:wrapTopAndBottom/>
            <wp:docPr id="701" name="image409.jpeg" descr=""/>
            <wp:cNvGraphicFramePr>
              <a:graphicFrameLocks noChangeAspect="1"/>
            </wp:cNvGraphicFramePr>
            <a:graphic>
              <a:graphicData uri="http://schemas.openxmlformats.org/drawingml/2006/picture">
                <pic:pic>
                  <pic:nvPicPr>
                    <pic:cNvPr id="702" name="image409.jpeg"/>
                    <pic:cNvPicPr/>
                  </pic:nvPicPr>
                  <pic:blipFill>
                    <a:blip r:embed="rId665" cstate="print"/>
                    <a:stretch>
                      <a:fillRect/>
                    </a:stretch>
                  </pic:blipFill>
                  <pic:spPr>
                    <a:xfrm>
                      <a:off x="0" y="0"/>
                      <a:ext cx="2506689" cy="1710213"/>
                    </a:xfrm>
                    <a:prstGeom prst="rect">
                      <a:avLst/>
                    </a:prstGeom>
                  </pic:spPr>
                </pic:pic>
              </a:graphicData>
            </a:graphic>
          </wp:anchor>
        </w:drawing>
      </w:r>
    </w:p>
    <w:p>
      <w:pPr>
        <w:pStyle w:val="BodyText"/>
        <w:ind w:left="971" w:right="118"/>
      </w:pPr>
      <w:r>
        <w:rPr/>
        <w:t>Figure 13. General complaints in second week.</w:t>
      </w:r>
    </w:p>
    <w:p>
      <w:pPr>
        <w:pStyle w:val="BodyText"/>
        <w:spacing w:before="11"/>
        <w:rPr>
          <w:sz w:val="19"/>
        </w:rPr>
      </w:pPr>
    </w:p>
    <w:p>
      <w:pPr>
        <w:pStyle w:val="BodyText"/>
        <w:ind w:left="270" w:right="1" w:firstLine="100"/>
        <w:jc w:val="both"/>
      </w:pPr>
      <w:r>
        <w:rPr/>
        <w:t>In the third and last week In Figure 14, 61% Showed no complaints drivers general body 5 zones, and 39% of urban truck drivers Presented complaints of the five areas of the body according to the mapping Corlett &amp; Bishop</w:t>
      </w:r>
    </w:p>
    <w:p>
      <w:pPr>
        <w:pStyle w:val="BodyText"/>
        <w:spacing w:before="4"/>
        <w:rPr>
          <w:sz w:val="17"/>
        </w:rPr>
      </w:pPr>
      <w:r>
        <w:rPr/>
        <w:drawing>
          <wp:anchor distT="0" distB="0" distL="0" distR="0" allowOverlap="1" layoutInCell="1" locked="0" behindDoc="0" simplePos="0" relativeHeight="16528">
            <wp:simplePos x="0" y="0"/>
            <wp:positionH relativeFrom="page">
              <wp:posOffset>847344</wp:posOffset>
            </wp:positionH>
            <wp:positionV relativeFrom="paragraph">
              <wp:posOffset>151598</wp:posOffset>
            </wp:positionV>
            <wp:extent cx="2503345" cy="1710213"/>
            <wp:effectExtent l="0" t="0" r="0" b="0"/>
            <wp:wrapTopAndBottom/>
            <wp:docPr id="703" name="image410.jpeg" descr=""/>
            <wp:cNvGraphicFramePr>
              <a:graphicFrameLocks noChangeAspect="1"/>
            </wp:cNvGraphicFramePr>
            <a:graphic>
              <a:graphicData uri="http://schemas.openxmlformats.org/drawingml/2006/picture">
                <pic:pic>
                  <pic:nvPicPr>
                    <pic:cNvPr id="704" name="image410.jpeg"/>
                    <pic:cNvPicPr/>
                  </pic:nvPicPr>
                  <pic:blipFill>
                    <a:blip r:embed="rId666" cstate="print"/>
                    <a:stretch>
                      <a:fillRect/>
                    </a:stretch>
                  </pic:blipFill>
                  <pic:spPr>
                    <a:xfrm>
                      <a:off x="0" y="0"/>
                      <a:ext cx="2503345" cy="1710213"/>
                    </a:xfrm>
                    <a:prstGeom prst="rect">
                      <a:avLst/>
                    </a:prstGeom>
                  </pic:spPr>
                </pic:pic>
              </a:graphicData>
            </a:graphic>
          </wp:anchor>
        </w:drawing>
      </w:r>
    </w:p>
    <w:p>
      <w:pPr>
        <w:pStyle w:val="BodyText"/>
        <w:ind w:left="2379" w:right="25" w:hanging="2067"/>
      </w:pPr>
      <w:r>
        <w:rPr/>
        <w:t>Figure 14. General complaints in the 5 zones of the body for 3 weeks.</w:t>
      </w:r>
    </w:p>
    <w:p>
      <w:pPr>
        <w:pStyle w:val="BodyText"/>
        <w:spacing w:before="11"/>
        <w:rPr>
          <w:sz w:val="19"/>
        </w:rPr>
      </w:pPr>
    </w:p>
    <w:p>
      <w:pPr>
        <w:pStyle w:val="BodyText"/>
        <w:ind w:left="838" w:right="-2"/>
      </w:pPr>
      <w:r>
        <w:rPr/>
        <w:t>Using  averages  for  the  most  affected  areas  of  the</w:t>
      </w:r>
    </w:p>
    <w:p>
      <w:pPr>
        <w:pStyle w:val="BodyText"/>
        <w:ind w:left="270"/>
        <w:jc w:val="both"/>
      </w:pPr>
      <w:r>
        <w:rPr/>
        <w:t>body.</w:t>
      </w:r>
    </w:p>
    <w:p>
      <w:pPr>
        <w:pStyle w:val="BodyText"/>
        <w:spacing w:before="9"/>
        <w:rPr>
          <w:sz w:val="17"/>
        </w:rPr>
      </w:pPr>
      <w:r>
        <w:rPr/>
        <w:br w:type="column"/>
      </w:r>
      <w:r>
        <w:rPr>
          <w:sz w:val="17"/>
        </w:rPr>
      </w:r>
    </w:p>
    <w:p>
      <w:pPr>
        <w:pStyle w:val="BodyText"/>
        <w:ind w:left="270" w:right="676" w:firstLine="567"/>
        <w:jc w:val="both"/>
      </w:pPr>
      <w:r>
        <w:rPr/>
        <w:t>As a general complaint of urban bus drivers present complaints 88% while 12% had no complaints body parts. See figure 15</w:t>
      </w:r>
    </w:p>
    <w:p>
      <w:pPr>
        <w:pStyle w:val="BodyText"/>
        <w:spacing w:before="1"/>
        <w:rPr>
          <w:sz w:val="18"/>
        </w:rPr>
      </w:pPr>
      <w:r>
        <w:rPr/>
        <w:drawing>
          <wp:anchor distT="0" distB="0" distL="0" distR="0" allowOverlap="1" layoutInCell="1" locked="0" behindDoc="0" simplePos="0" relativeHeight="16552">
            <wp:simplePos x="0" y="0"/>
            <wp:positionH relativeFrom="page">
              <wp:posOffset>4419600</wp:posOffset>
            </wp:positionH>
            <wp:positionV relativeFrom="paragraph">
              <wp:posOffset>156928</wp:posOffset>
            </wp:positionV>
            <wp:extent cx="2502172" cy="1634489"/>
            <wp:effectExtent l="0" t="0" r="0" b="0"/>
            <wp:wrapTopAndBottom/>
            <wp:docPr id="705" name="image411.jpeg" descr=""/>
            <wp:cNvGraphicFramePr>
              <a:graphicFrameLocks noChangeAspect="1"/>
            </wp:cNvGraphicFramePr>
            <a:graphic>
              <a:graphicData uri="http://schemas.openxmlformats.org/drawingml/2006/picture">
                <pic:pic>
                  <pic:nvPicPr>
                    <pic:cNvPr id="706" name="image411.jpeg"/>
                    <pic:cNvPicPr/>
                  </pic:nvPicPr>
                  <pic:blipFill>
                    <a:blip r:embed="rId667" cstate="print"/>
                    <a:stretch>
                      <a:fillRect/>
                    </a:stretch>
                  </pic:blipFill>
                  <pic:spPr>
                    <a:xfrm>
                      <a:off x="0" y="0"/>
                      <a:ext cx="2502172" cy="1634489"/>
                    </a:xfrm>
                    <a:prstGeom prst="rect">
                      <a:avLst/>
                    </a:prstGeom>
                  </pic:spPr>
                </pic:pic>
              </a:graphicData>
            </a:graphic>
          </wp:anchor>
        </w:drawing>
      </w:r>
    </w:p>
    <w:p>
      <w:pPr>
        <w:pStyle w:val="BodyText"/>
        <w:ind w:left="970" w:right="852"/>
      </w:pPr>
      <w:r>
        <w:rPr/>
        <w:t>Figure 15. General complaints for 3 weeks.</w:t>
      </w:r>
    </w:p>
    <w:p>
      <w:pPr>
        <w:pStyle w:val="BodyText"/>
        <w:spacing w:before="2"/>
      </w:pPr>
    </w:p>
    <w:p>
      <w:pPr>
        <w:pStyle w:val="Heading4"/>
        <w:numPr>
          <w:ilvl w:val="1"/>
          <w:numId w:val="147"/>
        </w:numPr>
        <w:tabs>
          <w:tab w:pos="571" w:val="left" w:leader="none"/>
        </w:tabs>
        <w:spacing w:line="240" w:lineRule="auto" w:before="0" w:after="0"/>
        <w:ind w:left="570" w:right="0" w:hanging="300"/>
        <w:jc w:val="both"/>
      </w:pPr>
      <w:r>
        <w:rPr/>
        <w:t>Conclusions</w:t>
      </w:r>
    </w:p>
    <w:p>
      <w:pPr>
        <w:pStyle w:val="BodyText"/>
        <w:spacing w:before="9"/>
        <w:rPr>
          <w:b/>
          <w:sz w:val="19"/>
        </w:rPr>
      </w:pPr>
    </w:p>
    <w:p>
      <w:pPr>
        <w:pStyle w:val="BodyText"/>
        <w:spacing w:before="1"/>
        <w:ind w:left="270" w:right="633"/>
        <w:jc w:val="both"/>
      </w:pPr>
      <w:r>
        <w:rPr/>
        <w:t>There is enough statistical evidence to say that bus drivers municipal bus to say more body parts most affected are the shoulders, upper back but especially of the head that is the position in which drivers perform their activity urban bus driver for an average of 13-16 hours per day which shows that they are developing a cumulative trauma disorder in those areas of the body.</w:t>
      </w:r>
    </w:p>
    <w:p>
      <w:pPr>
        <w:pStyle w:val="BodyText"/>
        <w:spacing w:before="11"/>
        <w:rPr>
          <w:sz w:val="19"/>
        </w:rPr>
      </w:pPr>
    </w:p>
    <w:p>
      <w:pPr>
        <w:pStyle w:val="BodyText"/>
        <w:ind w:left="270" w:right="676" w:firstLine="567"/>
        <w:jc w:val="both"/>
      </w:pPr>
      <w:r>
        <w:rPr/>
        <w:t>According to the previous study, we reached the following recommendations</w:t>
      </w:r>
    </w:p>
    <w:p>
      <w:pPr>
        <w:pStyle w:val="BodyText"/>
      </w:pPr>
    </w:p>
    <w:p>
      <w:pPr>
        <w:pStyle w:val="ListParagraph"/>
        <w:numPr>
          <w:ilvl w:val="0"/>
          <w:numId w:val="148"/>
        </w:numPr>
        <w:tabs>
          <w:tab w:pos="533" w:val="left" w:leader="none"/>
        </w:tabs>
        <w:spacing w:line="240" w:lineRule="auto" w:before="1" w:after="0"/>
        <w:ind w:left="270" w:right="678" w:firstLine="0"/>
        <w:jc w:val="both"/>
        <w:rPr>
          <w:sz w:val="20"/>
        </w:rPr>
      </w:pPr>
      <w:r>
        <w:rPr>
          <w:sz w:val="20"/>
        </w:rPr>
        <w:t>Provide information talks the most affected by these activities.</w:t>
      </w:r>
    </w:p>
    <w:p>
      <w:pPr>
        <w:pStyle w:val="ListParagraph"/>
        <w:numPr>
          <w:ilvl w:val="0"/>
          <w:numId w:val="148"/>
        </w:numPr>
        <w:tabs>
          <w:tab w:pos="472" w:val="left" w:leader="none"/>
        </w:tabs>
        <w:spacing w:line="240" w:lineRule="auto" w:before="0" w:after="0"/>
        <w:ind w:left="471" w:right="0" w:hanging="201"/>
        <w:jc w:val="both"/>
        <w:rPr>
          <w:sz w:val="20"/>
        </w:rPr>
      </w:pPr>
      <w:r>
        <w:rPr>
          <w:sz w:val="20"/>
        </w:rPr>
        <w:t>Promoting activities to improve</w:t>
      </w:r>
      <w:r>
        <w:rPr>
          <w:spacing w:val="-20"/>
          <w:sz w:val="20"/>
        </w:rPr>
        <w:t> </w:t>
      </w:r>
      <w:r>
        <w:rPr>
          <w:sz w:val="20"/>
        </w:rPr>
        <w:t>health</w:t>
      </w:r>
    </w:p>
    <w:p>
      <w:pPr>
        <w:pStyle w:val="ListParagraph"/>
        <w:numPr>
          <w:ilvl w:val="0"/>
          <w:numId w:val="148"/>
        </w:numPr>
        <w:tabs>
          <w:tab w:pos="473" w:val="left" w:leader="none"/>
        </w:tabs>
        <w:spacing w:line="240" w:lineRule="auto" w:before="0" w:after="0"/>
        <w:ind w:left="472" w:right="0" w:hanging="202"/>
        <w:jc w:val="both"/>
        <w:rPr>
          <w:sz w:val="20"/>
        </w:rPr>
      </w:pPr>
      <w:r>
        <w:rPr>
          <w:sz w:val="20"/>
        </w:rPr>
        <w:t>Maintain communication with</w:t>
      </w:r>
      <w:r>
        <w:rPr>
          <w:spacing w:val="-21"/>
          <w:sz w:val="20"/>
        </w:rPr>
        <w:t> </w:t>
      </w:r>
      <w:r>
        <w:rPr>
          <w:sz w:val="20"/>
        </w:rPr>
        <w:t>workers.</w:t>
      </w:r>
    </w:p>
    <w:p>
      <w:pPr>
        <w:pStyle w:val="BodyText"/>
        <w:spacing w:before="2"/>
      </w:pPr>
    </w:p>
    <w:p>
      <w:pPr>
        <w:pStyle w:val="Heading4"/>
        <w:numPr>
          <w:ilvl w:val="1"/>
          <w:numId w:val="147"/>
        </w:numPr>
        <w:tabs>
          <w:tab w:pos="570" w:val="left" w:leader="none"/>
        </w:tabs>
        <w:spacing w:line="240" w:lineRule="auto" w:before="0" w:after="0"/>
        <w:ind w:left="570" w:right="0" w:hanging="300"/>
        <w:jc w:val="both"/>
      </w:pPr>
      <w:r>
        <w:rPr/>
        <w:t>Referencies</w:t>
      </w:r>
    </w:p>
    <w:p>
      <w:pPr>
        <w:pStyle w:val="BodyText"/>
        <w:spacing w:before="8"/>
        <w:rPr>
          <w:b/>
          <w:sz w:val="19"/>
        </w:rPr>
      </w:pPr>
    </w:p>
    <w:p>
      <w:pPr>
        <w:pStyle w:val="BodyText"/>
        <w:ind w:left="270" w:right="677"/>
        <w:jc w:val="both"/>
      </w:pPr>
      <w:r>
        <w:rPr/>
        <w:t>Ramírez l., “Determinación de fatiga física en niños que trabajan en mercados populares y centros de abastos”. Sociedad de Ergonomistas de México, A.C. (SEMAC), Universidad Autónoma de Nuevo León. 2005.</w:t>
      </w:r>
    </w:p>
    <w:p>
      <w:pPr>
        <w:pStyle w:val="BodyText"/>
      </w:pPr>
    </w:p>
    <w:p>
      <w:pPr>
        <w:pStyle w:val="BodyText"/>
        <w:spacing w:before="1"/>
        <w:ind w:left="270" w:right="676"/>
        <w:jc w:val="both"/>
      </w:pPr>
      <w:r>
        <w:rPr/>
        <w:t>Leyva, A. Leyva, L. Valdez, S. Dagnino, K. Romero, “Evaluation of physical fatigue and CDT's in the use of straightening irons in aesthetic of the city of Los Mochis, Sinaloa” Sociedad de Ergonomistas de México, A.C. (SEMAC), 2014.</w:t>
      </w:r>
    </w:p>
    <w:p>
      <w:pPr>
        <w:pStyle w:val="BodyText"/>
        <w:spacing w:before="11"/>
        <w:rPr>
          <w:sz w:val="19"/>
        </w:rPr>
      </w:pPr>
    </w:p>
    <w:p>
      <w:pPr>
        <w:pStyle w:val="BodyText"/>
        <w:ind w:left="270" w:right="676"/>
        <w:jc w:val="both"/>
      </w:pPr>
      <w:r>
        <w:rPr/>
        <w:t>Ruiz, e. Rosas, d. Estrada, J. Arellano Valle, a. Ramírez “Determination of frequency of complaint of fatigue and analysis of subjective symptoms of fatigue presented in footwear cleaners in downtown Los Mochis, Sinaloa” sociedad de ergonomistas de México, A.C (SEMAC)., 2012.</w:t>
      </w:r>
    </w:p>
    <w:p>
      <w:pPr>
        <w:pStyle w:val="BodyText"/>
        <w:spacing w:before="11"/>
        <w:rPr>
          <w:sz w:val="19"/>
        </w:rPr>
      </w:pPr>
    </w:p>
    <w:p>
      <w:pPr>
        <w:pStyle w:val="BodyText"/>
        <w:ind w:left="270" w:right="675"/>
        <w:jc w:val="both"/>
      </w:pPr>
      <w:r>
        <w:rPr/>
        <w:t>Cero accidentes. (2012). diseño ergonómico de puestos de trabajo. Febrero 28,2012, de administración de la seguridad y  salud  en  el  trabajo.  BSI  OHSAS  18001  sitio      </w:t>
      </w:r>
      <w:r>
        <w:rPr>
          <w:spacing w:val="30"/>
        </w:rPr>
        <w:t> </w:t>
      </w:r>
      <w:r>
        <w:rPr/>
        <w:t>web:</w:t>
      </w:r>
    </w:p>
    <w:p>
      <w:pPr>
        <w:spacing w:after="0"/>
        <w:jc w:val="both"/>
        <w:sectPr>
          <w:pgSz w:w="12240" w:h="15840"/>
          <w:pgMar w:header="545" w:footer="852" w:top="1060" w:bottom="1040" w:left="580" w:right="220"/>
          <w:cols w:num="2" w:equalWidth="0">
            <w:col w:w="5190" w:space="435"/>
            <w:col w:w="5815"/>
          </w:cols>
        </w:sectPr>
      </w:pPr>
    </w:p>
    <w:p>
      <w:pPr>
        <w:pStyle w:val="BodyText"/>
        <w:spacing w:before="4"/>
        <w:rPr>
          <w:sz w:val="11"/>
        </w:rPr>
      </w:pPr>
    </w:p>
    <w:p>
      <w:pPr>
        <w:pStyle w:val="BodyText"/>
        <w:spacing w:before="74"/>
        <w:ind w:left="270" w:right="6678"/>
      </w:pPr>
      <w:hyperlink r:id="rId588">
        <w:r>
          <w:rPr>
            <w:color w:val="0000FF"/>
            <w:u w:val="single" w:color="0000FF"/>
          </w:rPr>
          <w:t>http://trabajaconseguridad.blogspot.mx/2012/02/diseno-</w:t>
        </w:r>
      </w:hyperlink>
      <w:r>
        <w:rPr>
          <w:color w:val="0000FF"/>
          <w:u w:val="single" w:color="0000FF"/>
        </w:rPr>
        <w:t> ergonomico-de-puestos-de-trabajo.html</w:t>
      </w:r>
      <w:r>
        <w:rPr/>
        <w:t>.</w:t>
      </w:r>
    </w:p>
    <w:p>
      <w:pPr>
        <w:pStyle w:val="BodyText"/>
      </w:pPr>
    </w:p>
    <w:p>
      <w:pPr>
        <w:pStyle w:val="BodyText"/>
        <w:spacing w:before="1"/>
        <w:ind w:left="270" w:right="6250"/>
      </w:pPr>
      <w:r>
        <w:rPr/>
        <w:t>Información sobre accidentes y enfermedades de trabajo sinaloa 2004-2013. Memorias estadísticas iMSS 2004-2013. </w:t>
      </w:r>
      <w:hyperlink r:id="rId668">
        <w:r>
          <w:rPr>
            <w:color w:val="0000FF"/>
            <w:u w:val="single" w:color="0000FF"/>
          </w:rPr>
          <w:t>http://www.stps.gob.mx/bp/secciones/dgsst/estadisticas/sinal</w:t>
        </w:r>
      </w:hyperlink>
      <w:r>
        <w:rPr>
          <w:color w:val="0000FF"/>
          <w:u w:val="single" w:color="0000FF"/>
        </w:rPr>
        <w:t> oa%202004-2013.pdf.</w:t>
      </w:r>
    </w:p>
    <w:p>
      <w:pPr>
        <w:pStyle w:val="BodyText"/>
        <w:spacing w:before="5"/>
        <w:rPr>
          <w:sz w:val="13"/>
        </w:rPr>
      </w:pPr>
    </w:p>
    <w:p>
      <w:pPr>
        <w:pStyle w:val="BodyText"/>
        <w:spacing w:before="75"/>
        <w:ind w:left="270" w:right="6251"/>
        <w:jc w:val="both"/>
      </w:pPr>
      <w:r>
        <w:rPr/>
        <w:t>Low back pain among professional bus drivers: ergonomic and occupational-psychosocial risk factors.</w:t>
      </w:r>
    </w:p>
    <w:p>
      <w:pPr>
        <w:pStyle w:val="BodyText"/>
        <w:tabs>
          <w:tab w:pos="1216" w:val="left" w:leader="none"/>
          <w:tab w:pos="2615" w:val="left" w:leader="none"/>
          <w:tab w:pos="3507" w:val="left" w:leader="none"/>
          <w:tab w:pos="5081" w:val="left" w:leader="none"/>
        </w:tabs>
        <w:ind w:left="270" w:right="6250"/>
        <w:jc w:val="both"/>
      </w:pPr>
      <w:r>
        <w:rPr/>
        <w:t>alperovitch-najenson d1, Santo y, masharawi y, katz-leurer m,</w:t>
        <w:tab/>
        <w:t>ushvaev</w:t>
        <w:tab/>
        <w:t>d,</w:t>
        <w:tab/>
        <w:t>kalichman</w:t>
        <w:tab/>
        <w:t>l. </w:t>
      </w:r>
      <w:hyperlink r:id="rId586">
        <w:r>
          <w:rPr>
            <w:color w:val="0000FF"/>
            <w:u w:val="single" w:color="0000FF"/>
          </w:rPr>
          <w:t>http://www.ncbi.nlm.nih.gov/pubmed/20450125</w:t>
        </w:r>
      </w:hyperlink>
    </w:p>
    <w:p>
      <w:pPr>
        <w:pStyle w:val="BodyText"/>
        <w:spacing w:before="6"/>
        <w:rPr>
          <w:sz w:val="13"/>
        </w:rPr>
      </w:pPr>
    </w:p>
    <w:p>
      <w:pPr>
        <w:pStyle w:val="BodyText"/>
        <w:spacing w:before="75"/>
        <w:ind w:left="270" w:right="6249"/>
        <w:jc w:val="both"/>
      </w:pPr>
      <w:r>
        <w:rPr/>
        <w:t>De Andrade (2010) conducted a study that aimed to know  the stressors among drivers of buses. One sample of 134 drivers two transport companies Uberlandia was used and an interview and a questionnaire. The calculated stress index was 34.3%, which is considerad relatively</w:t>
      </w:r>
      <w:r>
        <w:rPr>
          <w:spacing w:val="-26"/>
        </w:rPr>
        <w:t> </w:t>
      </w:r>
      <w:r>
        <w:rPr/>
        <w:t>low.</w:t>
      </w:r>
    </w:p>
    <w:p>
      <w:pPr>
        <w:pStyle w:val="BodyText"/>
        <w:spacing w:before="10"/>
      </w:pPr>
    </w:p>
    <w:p>
      <w:pPr>
        <w:pStyle w:val="BodyText"/>
        <w:ind w:left="270" w:right="6206"/>
        <w:jc w:val="both"/>
      </w:pPr>
      <w:r>
        <w:rPr/>
        <w:t>Pedragosa (2008) published an article on occupational diseases bus and bus drivers, including a list of common diseases and statistics on the incidence of these diseases, which are listed in the following descending order: obesity, smoking, pain back to the height of the cervical and thoracic and lumbar vertebrae, daily alcohol consumption, hypertension, pain or malfunction of the digestive system, pyloric cysts (sacrococcigeal region).</w:t>
      </w:r>
    </w:p>
    <w:p>
      <w:pPr>
        <w:spacing w:after="0"/>
        <w:jc w:val="both"/>
        <w:sectPr>
          <w:pgSz w:w="12240" w:h="15840"/>
          <w:pgMar w:header="545" w:footer="852" w:top="1060" w:bottom="1040" w:left="580" w:right="220"/>
        </w:sectPr>
      </w:pPr>
    </w:p>
    <w:p>
      <w:pPr>
        <w:pStyle w:val="BodyText"/>
      </w:pPr>
    </w:p>
    <w:p>
      <w:pPr>
        <w:spacing w:after="0"/>
        <w:sectPr>
          <w:pgSz w:w="12240" w:h="15840"/>
          <w:pgMar w:header="545" w:footer="852" w:top="1060" w:bottom="1040" w:left="580" w:right="220"/>
        </w:sectPr>
      </w:pPr>
    </w:p>
    <w:p>
      <w:pPr>
        <w:pStyle w:val="Heading1"/>
        <w:spacing w:before="206"/>
      </w:pPr>
      <w:r>
        <w:rPr/>
        <w:t>Attitude Towards Mechanical Hazard  in Supply Chain Operations, Bogota 2013 - 2014</w:t>
      </w:r>
    </w:p>
    <w:p>
      <w:pPr>
        <w:pStyle w:val="BodyText"/>
        <w:spacing w:before="9"/>
        <w:rPr>
          <w:b/>
          <w:sz w:val="19"/>
        </w:rPr>
      </w:pPr>
    </w:p>
    <w:p>
      <w:pPr>
        <w:spacing w:before="0"/>
        <w:ind w:left="270" w:right="0" w:firstLine="0"/>
        <w:jc w:val="both"/>
        <w:rPr>
          <w:i/>
          <w:sz w:val="20"/>
        </w:rPr>
      </w:pPr>
      <w:r>
        <w:rPr>
          <w:i/>
          <w:sz w:val="20"/>
        </w:rPr>
        <w:t>Jhon Jairo Beltrán Molina</w:t>
      </w:r>
    </w:p>
    <w:p>
      <w:pPr>
        <w:pStyle w:val="BodyText"/>
        <w:spacing w:before="10"/>
        <w:rPr>
          <w:i/>
          <w:sz w:val="15"/>
        </w:rPr>
      </w:pPr>
    </w:p>
    <w:p>
      <w:pPr>
        <w:spacing w:before="0"/>
        <w:ind w:left="270" w:right="37" w:firstLine="0"/>
        <w:jc w:val="both"/>
        <w:rPr>
          <w:sz w:val="16"/>
        </w:rPr>
      </w:pPr>
      <w:r>
        <w:rPr>
          <w:sz w:val="16"/>
        </w:rPr>
        <w:t>Professor &amp; Researcher. Universidad Manuela Beltrán. Av. Circunvalar No. 60-00. Bogotá, Colombia. E-mail: </w:t>
      </w:r>
      <w:hyperlink r:id="rId669">
        <w:r>
          <w:rPr>
            <w:sz w:val="16"/>
          </w:rPr>
          <w:t>jjbeltranm@unal.edu.co</w:t>
        </w:r>
      </w:hyperlink>
    </w:p>
    <w:p>
      <w:pPr>
        <w:pStyle w:val="BodyText"/>
        <w:spacing w:before="4"/>
      </w:pPr>
    </w:p>
    <w:p>
      <w:pPr>
        <w:pStyle w:val="Heading4"/>
      </w:pPr>
      <w:r>
        <w:rPr/>
        <w:pict>
          <v:line style="position:absolute;mso-position-horizontal-relative:page;mso-position-vertical-relative:paragraph;z-index:16576" from="41.040001pt,13.205947pt" to="289.860001pt,13.205947pt" stroked="true" strokeweight="1.5pt" strokecolor="#000000">
            <w10:wrap type="none"/>
          </v:line>
        </w:pict>
      </w:r>
      <w:r>
        <w:rPr/>
        <w:t>Resumen</w:t>
      </w:r>
    </w:p>
    <w:p>
      <w:pPr>
        <w:pStyle w:val="BodyText"/>
        <w:spacing w:before="46"/>
        <w:ind w:left="270"/>
        <w:jc w:val="both"/>
      </w:pPr>
      <w:r>
        <w:rPr/>
        <w:t>En el documento se presentan los resultados obtenidos  dentro de la investigación relacionada con la actitud frente al peligro mecánico que se identifica en los trabajadores que desarrollan operaciones de logística en la ciudad de Bogotá durante los años 2013 y 2014. Para la recolección de la información se aplicaron 254 encuestas tipo cuestionario a trabajadores, entre supervisores y operarios, que se encuentran expuestos al peligro mecánico en tres compañías que operan en la ciudad. Previo a la aplicación cada trabajador debía leer y, si estaba de acuerdo, firmar un Consentimiento de participación en la investigación dando cumplimiento a la normatividad que rige este proceso en Colombia. De los resultados se obtiene que las estrategias a implementar en las tres empresas evaluadas con el objetivo de promover la salud de los trabajadores, prevenir la ocurrencia de eventos relacionados con accidentes e incidentes y mejorar las condiciones de seguridad deben ser fortalecidas en los empleados que tienen menor edad, menor nivel de experiencia y mayor nivel académico, así mismo en los supervisores se debe fortalecer la actitud preventiva y el liderazgo en la gestión de la Salud y seguridad en el lugar de trabajo.</w:t>
      </w:r>
    </w:p>
    <w:p>
      <w:pPr>
        <w:pStyle w:val="BodyText"/>
        <w:spacing w:before="11"/>
        <w:rPr>
          <w:sz w:val="19"/>
        </w:rPr>
      </w:pPr>
    </w:p>
    <w:p>
      <w:pPr>
        <w:spacing w:before="0"/>
        <w:ind w:left="270" w:right="1" w:firstLine="0"/>
        <w:jc w:val="both"/>
        <w:rPr>
          <w:sz w:val="20"/>
        </w:rPr>
      </w:pPr>
      <w:r>
        <w:rPr>
          <w:b/>
          <w:sz w:val="20"/>
        </w:rPr>
        <w:t>Palabras clave</w:t>
      </w:r>
      <w:r>
        <w:rPr>
          <w:sz w:val="20"/>
        </w:rPr>
        <w:t>— Actitud frente al peligro, Salud Laboral, Transporte.</w:t>
      </w:r>
    </w:p>
    <w:p>
      <w:pPr>
        <w:pStyle w:val="BodyText"/>
        <w:spacing w:before="3"/>
      </w:pPr>
    </w:p>
    <w:p>
      <w:pPr>
        <w:pStyle w:val="Heading5"/>
        <w:rPr>
          <w:i/>
        </w:rPr>
      </w:pPr>
      <w:r>
        <w:rPr/>
        <w:pict>
          <v:line style="position:absolute;mso-position-horizontal-relative:page;mso-position-vertical-relative:paragraph;z-index:16600" from="41.040001pt,13.26681pt" to="289.860001pt,13.26681pt" stroked="true" strokeweight="1.5pt" strokecolor="#000000">
            <w10:wrap type="none"/>
          </v:line>
        </w:pict>
      </w:r>
      <w:r>
        <w:rPr>
          <w:i/>
        </w:rPr>
        <w:t>Abstract</w:t>
      </w:r>
    </w:p>
    <w:p>
      <w:pPr>
        <w:spacing w:before="47"/>
        <w:ind w:left="270" w:right="0" w:firstLine="0"/>
        <w:jc w:val="both"/>
        <w:rPr>
          <w:i/>
          <w:sz w:val="20"/>
        </w:rPr>
      </w:pPr>
      <w:r>
        <w:rPr>
          <w:i/>
          <w:sz w:val="20"/>
        </w:rPr>
        <w:t>This document shows the results obtained from the research </w:t>
      </w:r>
      <w:r>
        <w:rPr>
          <w:i/>
          <w:sz w:val="20"/>
        </w:rPr>
        <w:t>on attitude towards mechanical hazard within workers performing supply chain operations in Bogota between 2013 and 2014. In order to gather information, 254 questionnaire surveys were conducted among employees including supervisors and workers who are exposed to mechanical hazard in three companies operating in Bogota. Before the survey was taken, each employee had to read and sign (if agreed) an informed consent to be part of the research under the laws ruling in Colombia. The results from the employee survey showed that strategies to be implemented in order to promote health of employees, to prevent events involving accidents and incidents, and to improve security issues should be enhanced among younger employees and among those having poorer experience as well as better education. Besides, supervisors must be instructed on attitudes towards prevention and leadership on management of health and safety at workplace.</w:t>
      </w:r>
    </w:p>
    <w:p>
      <w:pPr>
        <w:pStyle w:val="BodyText"/>
        <w:spacing w:before="11"/>
        <w:rPr>
          <w:i/>
          <w:sz w:val="19"/>
        </w:rPr>
      </w:pPr>
    </w:p>
    <w:p>
      <w:pPr>
        <w:spacing w:before="0"/>
        <w:ind w:left="270" w:right="1" w:firstLine="0"/>
        <w:jc w:val="both"/>
        <w:rPr>
          <w:i/>
          <w:sz w:val="20"/>
        </w:rPr>
      </w:pPr>
      <w:r>
        <w:rPr>
          <w:b/>
          <w:i/>
          <w:sz w:val="20"/>
        </w:rPr>
        <w:t>Keywords</w:t>
      </w:r>
      <w:r>
        <w:rPr>
          <w:i/>
          <w:sz w:val="20"/>
        </w:rPr>
        <w:t>— Attitudes towards hazard, occupational health, </w:t>
      </w:r>
      <w:r>
        <w:rPr>
          <w:i/>
          <w:sz w:val="20"/>
        </w:rPr>
        <w:t>transportation.</w:t>
      </w:r>
    </w:p>
    <w:p>
      <w:pPr>
        <w:pStyle w:val="BodyText"/>
        <w:spacing w:before="8"/>
        <w:rPr>
          <w:i/>
          <w:sz w:val="17"/>
        </w:rPr>
      </w:pPr>
      <w:r>
        <w:rPr/>
        <w:br w:type="column"/>
      </w:r>
      <w:r>
        <w:rPr>
          <w:i/>
          <w:sz w:val="17"/>
        </w:rPr>
      </w:r>
    </w:p>
    <w:p>
      <w:pPr>
        <w:pStyle w:val="BodyText"/>
        <w:ind w:left="270" w:right="676"/>
        <w:jc w:val="both"/>
      </w:pPr>
      <w:r>
        <w:rPr/>
        <w:t>Relevance to Ergonomics: In supply chain operations, the way in which an activity is performed, decision making of employees in hazard situations, supervisors hierarchical positions, training and education are issues that turn to be relevant in human system interaction as they affect employees’ attitudes towards prevention in terms of mechanical hazard which generates an increased probability of accidents at workplace.</w:t>
      </w:r>
    </w:p>
    <w:p>
      <w:pPr>
        <w:pStyle w:val="BodyText"/>
      </w:pPr>
    </w:p>
    <w:p>
      <w:pPr>
        <w:pStyle w:val="BodyText"/>
        <w:spacing w:before="2"/>
      </w:pPr>
    </w:p>
    <w:p>
      <w:pPr>
        <w:pStyle w:val="Heading4"/>
        <w:numPr>
          <w:ilvl w:val="0"/>
          <w:numId w:val="149"/>
        </w:numPr>
        <w:tabs>
          <w:tab w:pos="473" w:val="left" w:leader="none"/>
        </w:tabs>
        <w:spacing w:line="240" w:lineRule="auto" w:before="0" w:after="0"/>
        <w:ind w:left="472" w:right="0" w:hanging="202"/>
        <w:jc w:val="both"/>
      </w:pPr>
      <w:r>
        <w:rPr/>
        <w:t>INTRODUCTION</w:t>
      </w:r>
    </w:p>
    <w:p>
      <w:pPr>
        <w:pStyle w:val="BodyText"/>
        <w:spacing w:before="8"/>
        <w:rPr>
          <w:b/>
          <w:sz w:val="19"/>
        </w:rPr>
      </w:pPr>
    </w:p>
    <w:p>
      <w:pPr>
        <w:pStyle w:val="BodyText"/>
        <w:ind w:left="270" w:right="676"/>
        <w:jc w:val="both"/>
      </w:pPr>
      <w:r>
        <w:rPr/>
        <w:t>In the context of the workplace, accident rates are  considered one of the most relevant issues because of damage, impact and negative effects on employees’ health. The quality of life of employees as well as the support network is also directly affected. As a result of accidents at workplace, companies have to take legal liability and economic responsibility in order to identify opportunities of improvement which will prevent recurrence in similar situations and may be a risk for health, integrity, wellbeing (physical, moral, mental or emotional) of</w:t>
      </w:r>
      <w:r>
        <w:rPr>
          <w:spacing w:val="-22"/>
        </w:rPr>
        <w:t> </w:t>
      </w:r>
      <w:r>
        <w:rPr/>
        <w:t>employees.</w:t>
      </w:r>
    </w:p>
    <w:p>
      <w:pPr>
        <w:pStyle w:val="BodyText"/>
        <w:spacing w:before="11"/>
        <w:rPr>
          <w:sz w:val="19"/>
        </w:rPr>
      </w:pPr>
    </w:p>
    <w:p>
      <w:pPr>
        <w:pStyle w:val="BodyText"/>
        <w:ind w:left="270" w:right="677" w:firstLine="432"/>
        <w:jc w:val="both"/>
      </w:pPr>
      <w:r>
        <w:rPr/>
        <w:t>According to Colombian context, weaknesses and opportunities of improvement in terms of accidents rates are discovered once # 2 national survey on health and working conditions under the General System of Occupational Risks (II ENCSST) [1] (Spanish initials) is reviewed.</w:t>
      </w:r>
    </w:p>
    <w:p>
      <w:pPr>
        <w:pStyle w:val="BodyText"/>
      </w:pPr>
    </w:p>
    <w:p>
      <w:pPr>
        <w:pStyle w:val="BodyText"/>
      </w:pPr>
    </w:p>
    <w:p>
      <w:pPr>
        <w:pStyle w:val="BodyText"/>
        <w:ind w:left="1484" w:right="707" w:hanging="1167"/>
      </w:pPr>
      <w:r>
        <w:rPr/>
        <w:t>Table 1. Ranking of working conditions that may lead to an accident (Source: II ENCSST)</w:t>
      </w:r>
    </w:p>
    <w:p>
      <w:pPr>
        <w:pStyle w:val="BodyText"/>
        <w:spacing w:before="4"/>
      </w:pPr>
    </w:p>
    <w:tbl>
      <w:tblPr>
        <w:tblW w:w="0" w:type="auto"/>
        <w:jc w:val="left"/>
        <w:tblInd w:w="7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97"/>
        <w:gridCol w:w="1240"/>
        <w:gridCol w:w="1044"/>
      </w:tblGrid>
      <w:tr>
        <w:trPr>
          <w:trHeight w:val="930" w:hRule="exact"/>
        </w:trPr>
        <w:tc>
          <w:tcPr>
            <w:tcW w:w="1697" w:type="dxa"/>
          </w:tcPr>
          <w:p>
            <w:pPr>
              <w:pStyle w:val="TableParagraph"/>
              <w:ind w:left="206" w:right="206" w:hanging="1"/>
              <w:jc w:val="center"/>
              <w:rPr>
                <w:b/>
                <w:sz w:val="20"/>
              </w:rPr>
            </w:pPr>
            <w:r>
              <w:rPr>
                <w:b/>
                <w:sz w:val="20"/>
              </w:rPr>
              <w:t>Working conditions that can produce accidents</w:t>
            </w:r>
          </w:p>
        </w:tc>
        <w:tc>
          <w:tcPr>
            <w:tcW w:w="1240" w:type="dxa"/>
          </w:tcPr>
          <w:p>
            <w:pPr>
              <w:pStyle w:val="TableParagraph"/>
              <w:ind w:left="130" w:right="113" w:firstLine="46"/>
              <w:rPr>
                <w:b/>
                <w:sz w:val="20"/>
              </w:rPr>
            </w:pPr>
            <w:r>
              <w:rPr>
                <w:b/>
                <w:sz w:val="20"/>
              </w:rPr>
              <w:t>Almost all of the cases</w:t>
            </w:r>
          </w:p>
        </w:tc>
        <w:tc>
          <w:tcPr>
            <w:tcW w:w="1044" w:type="dxa"/>
          </w:tcPr>
          <w:p>
            <w:pPr>
              <w:pStyle w:val="TableParagraph"/>
              <w:spacing w:line="229" w:lineRule="exact"/>
              <w:ind w:left="205"/>
              <w:rPr>
                <w:b/>
                <w:sz w:val="20"/>
              </w:rPr>
            </w:pPr>
            <w:r>
              <w:rPr>
                <w:b/>
                <w:sz w:val="20"/>
              </w:rPr>
              <w:t>Always</w:t>
            </w:r>
          </w:p>
        </w:tc>
      </w:tr>
      <w:tr>
        <w:trPr>
          <w:trHeight w:val="469" w:hRule="exact"/>
        </w:trPr>
        <w:tc>
          <w:tcPr>
            <w:tcW w:w="1697" w:type="dxa"/>
          </w:tcPr>
          <w:p>
            <w:pPr>
              <w:pStyle w:val="TableParagraph"/>
              <w:ind w:left="498" w:right="194" w:hanging="286"/>
              <w:rPr>
                <w:sz w:val="20"/>
              </w:rPr>
            </w:pPr>
            <w:r>
              <w:rPr>
                <w:sz w:val="20"/>
              </w:rPr>
              <w:t>Poor workplace facilities</w:t>
            </w:r>
          </w:p>
        </w:tc>
        <w:tc>
          <w:tcPr>
            <w:tcW w:w="1240" w:type="dxa"/>
          </w:tcPr>
          <w:p>
            <w:pPr>
              <w:pStyle w:val="TableParagraph"/>
              <w:spacing w:line="227" w:lineRule="exact"/>
              <w:ind w:left="286" w:right="286"/>
              <w:jc w:val="center"/>
              <w:rPr>
                <w:sz w:val="20"/>
              </w:rPr>
            </w:pPr>
            <w:r>
              <w:rPr>
                <w:sz w:val="20"/>
              </w:rPr>
              <w:t>2,92%</w:t>
            </w:r>
          </w:p>
        </w:tc>
        <w:tc>
          <w:tcPr>
            <w:tcW w:w="1044" w:type="dxa"/>
          </w:tcPr>
          <w:p>
            <w:pPr>
              <w:pStyle w:val="TableParagraph"/>
              <w:spacing w:line="227" w:lineRule="exact"/>
              <w:ind w:left="208"/>
              <w:rPr>
                <w:sz w:val="20"/>
              </w:rPr>
            </w:pPr>
            <w:r>
              <w:rPr>
                <w:sz w:val="20"/>
              </w:rPr>
              <w:t>13,52%</w:t>
            </w:r>
          </w:p>
        </w:tc>
      </w:tr>
      <w:tr>
        <w:trPr>
          <w:trHeight w:val="701" w:hRule="exact"/>
        </w:trPr>
        <w:tc>
          <w:tcPr>
            <w:tcW w:w="1697" w:type="dxa"/>
          </w:tcPr>
          <w:p>
            <w:pPr>
              <w:pStyle w:val="TableParagraph"/>
              <w:ind w:left="312" w:right="311" w:hanging="2"/>
              <w:jc w:val="center"/>
              <w:rPr>
                <w:sz w:val="20"/>
              </w:rPr>
            </w:pPr>
            <w:r>
              <w:rPr>
                <w:sz w:val="20"/>
              </w:rPr>
              <w:t>Awkward positions and effort</w:t>
            </w:r>
          </w:p>
        </w:tc>
        <w:tc>
          <w:tcPr>
            <w:tcW w:w="1240" w:type="dxa"/>
          </w:tcPr>
          <w:p>
            <w:pPr>
              <w:pStyle w:val="TableParagraph"/>
              <w:spacing w:line="228" w:lineRule="exact"/>
              <w:ind w:left="286" w:right="287"/>
              <w:jc w:val="center"/>
              <w:rPr>
                <w:sz w:val="20"/>
              </w:rPr>
            </w:pPr>
            <w:r>
              <w:rPr>
                <w:sz w:val="20"/>
              </w:rPr>
              <w:t>17,29%</w:t>
            </w:r>
          </w:p>
        </w:tc>
        <w:tc>
          <w:tcPr>
            <w:tcW w:w="1044" w:type="dxa"/>
          </w:tcPr>
          <w:p>
            <w:pPr>
              <w:pStyle w:val="TableParagraph"/>
              <w:spacing w:line="228" w:lineRule="exact"/>
              <w:ind w:left="208"/>
              <w:rPr>
                <w:sz w:val="20"/>
              </w:rPr>
            </w:pPr>
            <w:r>
              <w:rPr>
                <w:sz w:val="20"/>
              </w:rPr>
              <w:t>12,12%</w:t>
            </w:r>
          </w:p>
        </w:tc>
      </w:tr>
      <w:tr>
        <w:trPr>
          <w:trHeight w:val="930" w:hRule="exact"/>
        </w:trPr>
        <w:tc>
          <w:tcPr>
            <w:tcW w:w="1697" w:type="dxa"/>
          </w:tcPr>
          <w:p>
            <w:pPr>
              <w:pStyle w:val="TableParagraph"/>
              <w:ind w:left="117" w:right="116"/>
              <w:jc w:val="center"/>
              <w:rPr>
                <w:sz w:val="20"/>
              </w:rPr>
            </w:pPr>
            <w:r>
              <w:rPr>
                <w:sz w:val="20"/>
              </w:rPr>
              <w:t>Workplace design not meeting physical characteristics</w:t>
            </w:r>
          </w:p>
        </w:tc>
        <w:tc>
          <w:tcPr>
            <w:tcW w:w="1240" w:type="dxa"/>
          </w:tcPr>
          <w:p>
            <w:pPr>
              <w:pStyle w:val="TableParagraph"/>
              <w:spacing w:line="227" w:lineRule="exact"/>
              <w:ind w:left="286" w:right="286"/>
              <w:jc w:val="center"/>
              <w:rPr>
                <w:sz w:val="20"/>
              </w:rPr>
            </w:pPr>
            <w:r>
              <w:rPr>
                <w:sz w:val="20"/>
              </w:rPr>
              <w:t>6,48%</w:t>
            </w:r>
          </w:p>
        </w:tc>
        <w:tc>
          <w:tcPr>
            <w:tcW w:w="1044" w:type="dxa"/>
          </w:tcPr>
          <w:p>
            <w:pPr>
              <w:pStyle w:val="TableParagraph"/>
              <w:spacing w:line="227" w:lineRule="exact"/>
              <w:ind w:left="208"/>
              <w:rPr>
                <w:sz w:val="20"/>
              </w:rPr>
            </w:pPr>
            <w:r>
              <w:rPr>
                <w:sz w:val="20"/>
              </w:rPr>
              <w:t>11,93%</w:t>
            </w:r>
          </w:p>
        </w:tc>
      </w:tr>
      <w:tr>
        <w:trPr>
          <w:trHeight w:val="469" w:hRule="exact"/>
        </w:trPr>
        <w:tc>
          <w:tcPr>
            <w:tcW w:w="1697" w:type="dxa"/>
          </w:tcPr>
          <w:p>
            <w:pPr>
              <w:pStyle w:val="TableParagraph"/>
              <w:ind w:left="565" w:right="266" w:hanging="281"/>
              <w:rPr>
                <w:sz w:val="20"/>
              </w:rPr>
            </w:pPr>
            <w:r>
              <w:rPr>
                <w:sz w:val="20"/>
              </w:rPr>
              <w:t>Tiredness and fatigue</w:t>
            </w:r>
          </w:p>
        </w:tc>
        <w:tc>
          <w:tcPr>
            <w:tcW w:w="1240" w:type="dxa"/>
          </w:tcPr>
          <w:p>
            <w:pPr>
              <w:pStyle w:val="TableParagraph"/>
              <w:spacing w:line="227" w:lineRule="exact"/>
              <w:ind w:left="286" w:right="287"/>
              <w:jc w:val="center"/>
              <w:rPr>
                <w:sz w:val="20"/>
              </w:rPr>
            </w:pPr>
            <w:r>
              <w:rPr>
                <w:sz w:val="20"/>
              </w:rPr>
              <w:t>22,21%</w:t>
            </w:r>
          </w:p>
        </w:tc>
        <w:tc>
          <w:tcPr>
            <w:tcW w:w="1044" w:type="dxa"/>
          </w:tcPr>
          <w:p>
            <w:pPr>
              <w:pStyle w:val="TableParagraph"/>
              <w:spacing w:line="227" w:lineRule="exact"/>
              <w:ind w:left="208"/>
              <w:rPr>
                <w:sz w:val="20"/>
              </w:rPr>
            </w:pPr>
            <w:r>
              <w:rPr>
                <w:sz w:val="20"/>
              </w:rPr>
              <w:t>15,83%</w:t>
            </w:r>
          </w:p>
        </w:tc>
      </w:tr>
      <w:tr>
        <w:trPr>
          <w:trHeight w:val="701" w:hRule="exact"/>
        </w:trPr>
        <w:tc>
          <w:tcPr>
            <w:tcW w:w="1697" w:type="dxa"/>
          </w:tcPr>
          <w:p>
            <w:pPr>
              <w:pStyle w:val="TableParagraph"/>
              <w:ind w:left="117" w:right="116"/>
              <w:jc w:val="center"/>
              <w:rPr>
                <w:sz w:val="20"/>
              </w:rPr>
            </w:pPr>
            <w:r>
              <w:rPr>
                <w:sz w:val="20"/>
              </w:rPr>
              <w:t>Overreliance or getting used to hazards</w:t>
            </w:r>
          </w:p>
        </w:tc>
        <w:tc>
          <w:tcPr>
            <w:tcW w:w="1240" w:type="dxa"/>
          </w:tcPr>
          <w:p>
            <w:pPr>
              <w:pStyle w:val="TableParagraph"/>
              <w:spacing w:line="228" w:lineRule="exact"/>
              <w:ind w:left="286" w:right="286"/>
              <w:jc w:val="center"/>
              <w:rPr>
                <w:sz w:val="20"/>
              </w:rPr>
            </w:pPr>
            <w:r>
              <w:rPr>
                <w:sz w:val="20"/>
              </w:rPr>
              <w:t>7,29%</w:t>
            </w:r>
          </w:p>
        </w:tc>
        <w:tc>
          <w:tcPr>
            <w:tcW w:w="1044" w:type="dxa"/>
          </w:tcPr>
          <w:p>
            <w:pPr>
              <w:pStyle w:val="TableParagraph"/>
              <w:spacing w:line="228" w:lineRule="exact"/>
              <w:ind w:left="259"/>
              <w:rPr>
                <w:sz w:val="20"/>
              </w:rPr>
            </w:pPr>
            <w:r>
              <w:rPr>
                <w:sz w:val="20"/>
              </w:rPr>
              <w:t>9,28%</w:t>
            </w:r>
          </w:p>
        </w:tc>
      </w:tr>
    </w:tbl>
    <w:p>
      <w:pPr>
        <w:pStyle w:val="BodyText"/>
      </w:pPr>
    </w:p>
    <w:p>
      <w:pPr>
        <w:pStyle w:val="BodyText"/>
        <w:spacing w:before="8"/>
        <w:rPr>
          <w:sz w:val="19"/>
        </w:rPr>
      </w:pPr>
    </w:p>
    <w:p>
      <w:pPr>
        <w:pStyle w:val="BodyText"/>
        <w:ind w:left="270" w:right="676" w:firstLine="426"/>
        <w:jc w:val="both"/>
      </w:pPr>
      <w:r>
        <w:rPr/>
        <w:t>Regardless the type of hazard employees are exposed to, they consider as main causes of accidents the ones reported in Table 1. In consequence, it is required to find not only  poor  security  hazard  regulations  but  also   variables</w:t>
      </w:r>
    </w:p>
    <w:p>
      <w:pPr>
        <w:spacing w:after="0"/>
        <w:jc w:val="both"/>
        <w:sectPr>
          <w:type w:val="continuous"/>
          <w:pgSz w:w="12240" w:h="15840"/>
          <w:pgMar w:top="1500" w:bottom="280" w:left="580" w:right="220"/>
          <w:cols w:num="2" w:equalWidth="0">
            <w:col w:w="5190" w:space="434"/>
            <w:col w:w="5816"/>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4"/>
        <w:ind w:left="270"/>
        <w:jc w:val="both"/>
      </w:pPr>
      <w:r>
        <w:rPr/>
        <w:t>related to organization, task and attitude of employees towards hazard. Strong relationship and communication between industrial safety, Ergonomics and psychosocial factors are crucial in order to meet the aim of reducing or eliminating the main causes that increase accident rates and have negative consequences in employees’ health.</w:t>
      </w:r>
    </w:p>
    <w:p>
      <w:pPr>
        <w:pStyle w:val="BodyText"/>
        <w:spacing w:before="10"/>
        <w:rPr>
          <w:sz w:val="21"/>
        </w:rPr>
      </w:pPr>
    </w:p>
    <w:p>
      <w:pPr>
        <w:pStyle w:val="BodyText"/>
        <w:spacing w:before="1"/>
        <w:ind w:left="270" w:firstLine="426"/>
        <w:jc w:val="both"/>
      </w:pPr>
      <w:r>
        <w:rPr/>
        <w:t>II ENCSST [1] also reports that between 1994 and 2012, occupational accident rates based on the General System of Occupational Risks have increased 3.75  percentage points, going from 3.78% to 7.53%. Based on data from public consultation system on occupational risks (FASECOLDA [2]), this trend affects transportation and storage fields as</w:t>
      </w:r>
      <w:r>
        <w:rPr>
          <w:spacing w:val="-16"/>
        </w:rPr>
        <w:t> </w:t>
      </w:r>
      <w:r>
        <w:rPr/>
        <w:t>well.</w:t>
      </w:r>
    </w:p>
    <w:p>
      <w:pPr>
        <w:pStyle w:val="BodyText"/>
      </w:pPr>
    </w:p>
    <w:p>
      <w:pPr>
        <w:pStyle w:val="BodyText"/>
        <w:spacing w:before="1"/>
        <w:ind w:left="435" w:right="146" w:firstLine="285"/>
      </w:pPr>
      <w:r>
        <w:rPr/>
        <w:t>Table 2. Accidents categorized as occupational on transportation and storage field. (Source: FACECOLDA)</w:t>
      </w:r>
    </w:p>
    <w:p>
      <w:pPr>
        <w:pStyle w:val="BodyText"/>
        <w:spacing w:before="3" w:after="1"/>
      </w:pPr>
    </w:p>
    <w:tbl>
      <w:tblPr>
        <w:tblW w:w="0" w:type="auto"/>
        <w:jc w:val="left"/>
        <w:tblInd w:w="4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36"/>
        <w:gridCol w:w="1174"/>
        <w:gridCol w:w="1134"/>
        <w:gridCol w:w="1700"/>
      </w:tblGrid>
      <w:tr>
        <w:trPr>
          <w:trHeight w:val="562" w:hRule="exact"/>
        </w:trPr>
        <w:tc>
          <w:tcPr>
            <w:tcW w:w="636" w:type="dxa"/>
          </w:tcPr>
          <w:p>
            <w:pPr>
              <w:pStyle w:val="TableParagraph"/>
              <w:spacing w:line="183" w:lineRule="exact"/>
              <w:ind w:left="124" w:right="123"/>
              <w:jc w:val="center"/>
              <w:rPr>
                <w:b/>
                <w:sz w:val="16"/>
              </w:rPr>
            </w:pPr>
            <w:r>
              <w:rPr>
                <w:b/>
                <w:sz w:val="16"/>
              </w:rPr>
              <w:t>Year</w:t>
            </w:r>
          </w:p>
        </w:tc>
        <w:tc>
          <w:tcPr>
            <w:tcW w:w="1174" w:type="dxa"/>
          </w:tcPr>
          <w:p>
            <w:pPr>
              <w:pStyle w:val="TableParagraph"/>
              <w:ind w:left="231" w:right="210" w:firstLine="83"/>
              <w:rPr>
                <w:b/>
                <w:sz w:val="16"/>
              </w:rPr>
            </w:pPr>
            <w:r>
              <w:rPr>
                <w:b/>
                <w:sz w:val="16"/>
              </w:rPr>
              <w:t>Total of employees</w:t>
            </w:r>
          </w:p>
        </w:tc>
        <w:tc>
          <w:tcPr>
            <w:tcW w:w="1134" w:type="dxa"/>
          </w:tcPr>
          <w:p>
            <w:pPr>
              <w:pStyle w:val="TableParagraph"/>
              <w:ind w:left="103" w:right="101"/>
              <w:jc w:val="both"/>
              <w:rPr>
                <w:b/>
                <w:sz w:val="16"/>
              </w:rPr>
            </w:pPr>
            <w:r>
              <w:rPr>
                <w:b/>
                <w:sz w:val="16"/>
              </w:rPr>
              <w:t>Number of Occupational Accidents</w:t>
            </w:r>
          </w:p>
        </w:tc>
        <w:tc>
          <w:tcPr>
            <w:tcW w:w="1700" w:type="dxa"/>
          </w:tcPr>
          <w:p>
            <w:pPr>
              <w:pStyle w:val="TableParagraph"/>
              <w:ind w:left="103" w:right="25"/>
              <w:rPr>
                <w:b/>
                <w:sz w:val="16"/>
              </w:rPr>
            </w:pPr>
            <w:r>
              <w:rPr>
                <w:b/>
                <w:sz w:val="16"/>
              </w:rPr>
              <w:t>Deaths caused by Occupational Accidents</w:t>
            </w:r>
          </w:p>
        </w:tc>
      </w:tr>
      <w:tr>
        <w:trPr>
          <w:trHeight w:val="193" w:hRule="exact"/>
        </w:trPr>
        <w:tc>
          <w:tcPr>
            <w:tcW w:w="636" w:type="dxa"/>
          </w:tcPr>
          <w:p>
            <w:pPr>
              <w:pStyle w:val="TableParagraph"/>
              <w:spacing w:line="180" w:lineRule="exact"/>
              <w:ind w:left="124" w:right="122"/>
              <w:jc w:val="center"/>
              <w:rPr>
                <w:sz w:val="16"/>
              </w:rPr>
            </w:pPr>
            <w:r>
              <w:rPr>
                <w:sz w:val="16"/>
              </w:rPr>
              <w:t>2009</w:t>
            </w:r>
          </w:p>
        </w:tc>
        <w:tc>
          <w:tcPr>
            <w:tcW w:w="1174" w:type="dxa"/>
          </w:tcPr>
          <w:p>
            <w:pPr>
              <w:pStyle w:val="TableParagraph"/>
              <w:spacing w:line="180" w:lineRule="exact"/>
              <w:ind w:left="343" w:right="341"/>
              <w:jc w:val="center"/>
              <w:rPr>
                <w:sz w:val="16"/>
              </w:rPr>
            </w:pPr>
            <w:r>
              <w:rPr>
                <w:sz w:val="16"/>
              </w:rPr>
              <w:t>36.954</w:t>
            </w:r>
          </w:p>
        </w:tc>
        <w:tc>
          <w:tcPr>
            <w:tcW w:w="1134" w:type="dxa"/>
          </w:tcPr>
          <w:p>
            <w:pPr>
              <w:pStyle w:val="TableParagraph"/>
              <w:spacing w:line="180" w:lineRule="exact"/>
              <w:ind w:left="362" w:right="362"/>
              <w:jc w:val="center"/>
              <w:rPr>
                <w:sz w:val="16"/>
              </w:rPr>
            </w:pPr>
            <w:r>
              <w:rPr>
                <w:sz w:val="16"/>
              </w:rPr>
              <w:t>2.370</w:t>
            </w:r>
          </w:p>
        </w:tc>
        <w:tc>
          <w:tcPr>
            <w:tcW w:w="1700" w:type="dxa"/>
          </w:tcPr>
          <w:p>
            <w:pPr>
              <w:pStyle w:val="TableParagraph"/>
              <w:spacing w:line="180" w:lineRule="exact"/>
              <w:ind w:right="762"/>
              <w:jc w:val="right"/>
              <w:rPr>
                <w:sz w:val="16"/>
              </w:rPr>
            </w:pPr>
            <w:r>
              <w:rPr>
                <w:sz w:val="16"/>
              </w:rPr>
              <w:t>10</w:t>
            </w:r>
          </w:p>
        </w:tc>
      </w:tr>
      <w:tr>
        <w:trPr>
          <w:trHeight w:val="194" w:hRule="exact"/>
        </w:trPr>
        <w:tc>
          <w:tcPr>
            <w:tcW w:w="636" w:type="dxa"/>
          </w:tcPr>
          <w:p>
            <w:pPr>
              <w:pStyle w:val="TableParagraph"/>
              <w:spacing w:line="181" w:lineRule="exact"/>
              <w:ind w:left="124" w:right="122"/>
              <w:jc w:val="center"/>
              <w:rPr>
                <w:sz w:val="16"/>
              </w:rPr>
            </w:pPr>
            <w:r>
              <w:rPr>
                <w:sz w:val="16"/>
              </w:rPr>
              <w:t>2010</w:t>
            </w:r>
          </w:p>
        </w:tc>
        <w:tc>
          <w:tcPr>
            <w:tcW w:w="1174" w:type="dxa"/>
          </w:tcPr>
          <w:p>
            <w:pPr>
              <w:pStyle w:val="TableParagraph"/>
              <w:spacing w:line="181" w:lineRule="exact"/>
              <w:ind w:left="343" w:right="341"/>
              <w:jc w:val="center"/>
              <w:rPr>
                <w:sz w:val="16"/>
              </w:rPr>
            </w:pPr>
            <w:r>
              <w:rPr>
                <w:sz w:val="16"/>
              </w:rPr>
              <w:t>35.715</w:t>
            </w:r>
          </w:p>
        </w:tc>
        <w:tc>
          <w:tcPr>
            <w:tcW w:w="1134" w:type="dxa"/>
          </w:tcPr>
          <w:p>
            <w:pPr>
              <w:pStyle w:val="TableParagraph"/>
              <w:spacing w:line="181" w:lineRule="exact"/>
              <w:ind w:left="362" w:right="362"/>
              <w:jc w:val="center"/>
              <w:rPr>
                <w:sz w:val="16"/>
              </w:rPr>
            </w:pPr>
            <w:r>
              <w:rPr>
                <w:sz w:val="16"/>
              </w:rPr>
              <w:t>3.232</w:t>
            </w:r>
          </w:p>
        </w:tc>
        <w:tc>
          <w:tcPr>
            <w:tcW w:w="1700" w:type="dxa"/>
          </w:tcPr>
          <w:p>
            <w:pPr>
              <w:pStyle w:val="TableParagraph"/>
              <w:spacing w:line="181" w:lineRule="exact"/>
              <w:ind w:right="762"/>
              <w:jc w:val="right"/>
              <w:rPr>
                <w:sz w:val="16"/>
              </w:rPr>
            </w:pPr>
            <w:r>
              <w:rPr>
                <w:sz w:val="16"/>
              </w:rPr>
              <w:t>12</w:t>
            </w:r>
          </w:p>
        </w:tc>
      </w:tr>
      <w:tr>
        <w:trPr>
          <w:trHeight w:val="194" w:hRule="exact"/>
        </w:trPr>
        <w:tc>
          <w:tcPr>
            <w:tcW w:w="636" w:type="dxa"/>
          </w:tcPr>
          <w:p>
            <w:pPr>
              <w:pStyle w:val="TableParagraph"/>
              <w:spacing w:line="180" w:lineRule="exact"/>
              <w:ind w:left="124" w:right="122"/>
              <w:jc w:val="center"/>
              <w:rPr>
                <w:sz w:val="16"/>
              </w:rPr>
            </w:pPr>
            <w:r>
              <w:rPr>
                <w:sz w:val="16"/>
              </w:rPr>
              <w:t>2011</w:t>
            </w:r>
          </w:p>
        </w:tc>
        <w:tc>
          <w:tcPr>
            <w:tcW w:w="1174" w:type="dxa"/>
          </w:tcPr>
          <w:p>
            <w:pPr>
              <w:pStyle w:val="TableParagraph"/>
              <w:spacing w:line="180" w:lineRule="exact"/>
              <w:ind w:left="343" w:right="341"/>
              <w:jc w:val="center"/>
              <w:rPr>
                <w:sz w:val="16"/>
              </w:rPr>
            </w:pPr>
            <w:r>
              <w:rPr>
                <w:sz w:val="16"/>
              </w:rPr>
              <w:t>43.837</w:t>
            </w:r>
          </w:p>
        </w:tc>
        <w:tc>
          <w:tcPr>
            <w:tcW w:w="1134" w:type="dxa"/>
          </w:tcPr>
          <w:p>
            <w:pPr>
              <w:pStyle w:val="TableParagraph"/>
              <w:spacing w:line="180" w:lineRule="exact"/>
              <w:ind w:left="362" w:right="362"/>
              <w:jc w:val="center"/>
              <w:rPr>
                <w:sz w:val="16"/>
              </w:rPr>
            </w:pPr>
            <w:r>
              <w:rPr>
                <w:sz w:val="16"/>
              </w:rPr>
              <w:t>4.227</w:t>
            </w:r>
          </w:p>
        </w:tc>
        <w:tc>
          <w:tcPr>
            <w:tcW w:w="1700" w:type="dxa"/>
          </w:tcPr>
          <w:p>
            <w:pPr>
              <w:pStyle w:val="TableParagraph"/>
              <w:spacing w:line="180" w:lineRule="exact"/>
              <w:ind w:right="762"/>
              <w:jc w:val="right"/>
              <w:rPr>
                <w:sz w:val="16"/>
              </w:rPr>
            </w:pPr>
            <w:r>
              <w:rPr>
                <w:sz w:val="16"/>
              </w:rPr>
              <w:t>13</w:t>
            </w:r>
          </w:p>
        </w:tc>
      </w:tr>
      <w:tr>
        <w:trPr>
          <w:trHeight w:val="194" w:hRule="exact"/>
        </w:trPr>
        <w:tc>
          <w:tcPr>
            <w:tcW w:w="636" w:type="dxa"/>
          </w:tcPr>
          <w:p>
            <w:pPr>
              <w:pStyle w:val="TableParagraph"/>
              <w:spacing w:line="180" w:lineRule="exact"/>
              <w:ind w:left="124" w:right="122"/>
              <w:jc w:val="center"/>
              <w:rPr>
                <w:sz w:val="16"/>
              </w:rPr>
            </w:pPr>
            <w:r>
              <w:rPr>
                <w:sz w:val="16"/>
              </w:rPr>
              <w:t>2012</w:t>
            </w:r>
          </w:p>
        </w:tc>
        <w:tc>
          <w:tcPr>
            <w:tcW w:w="1174" w:type="dxa"/>
          </w:tcPr>
          <w:p>
            <w:pPr>
              <w:pStyle w:val="TableParagraph"/>
              <w:spacing w:line="180" w:lineRule="exact"/>
              <w:ind w:left="343" w:right="341"/>
              <w:jc w:val="center"/>
              <w:rPr>
                <w:sz w:val="16"/>
              </w:rPr>
            </w:pPr>
            <w:r>
              <w:rPr>
                <w:sz w:val="16"/>
              </w:rPr>
              <w:t>62.651</w:t>
            </w:r>
          </w:p>
        </w:tc>
        <w:tc>
          <w:tcPr>
            <w:tcW w:w="1134" w:type="dxa"/>
          </w:tcPr>
          <w:p>
            <w:pPr>
              <w:pStyle w:val="TableParagraph"/>
              <w:spacing w:line="180" w:lineRule="exact"/>
              <w:ind w:left="362" w:right="362"/>
              <w:jc w:val="center"/>
              <w:rPr>
                <w:sz w:val="16"/>
              </w:rPr>
            </w:pPr>
            <w:r>
              <w:rPr>
                <w:sz w:val="16"/>
              </w:rPr>
              <w:t>6.051</w:t>
            </w:r>
          </w:p>
        </w:tc>
        <w:tc>
          <w:tcPr>
            <w:tcW w:w="1700" w:type="dxa"/>
          </w:tcPr>
          <w:p>
            <w:pPr>
              <w:pStyle w:val="TableParagraph"/>
              <w:spacing w:line="180" w:lineRule="exact"/>
              <w:ind w:right="762"/>
              <w:jc w:val="right"/>
              <w:rPr>
                <w:sz w:val="16"/>
              </w:rPr>
            </w:pPr>
            <w:r>
              <w:rPr>
                <w:sz w:val="16"/>
              </w:rPr>
              <w:t>20</w:t>
            </w:r>
          </w:p>
        </w:tc>
      </w:tr>
    </w:tbl>
    <w:p>
      <w:pPr>
        <w:pStyle w:val="BodyText"/>
      </w:pPr>
    </w:p>
    <w:p>
      <w:pPr>
        <w:pStyle w:val="BodyText"/>
        <w:spacing w:before="7"/>
        <w:rPr>
          <w:sz w:val="23"/>
        </w:rPr>
      </w:pPr>
    </w:p>
    <w:p>
      <w:pPr>
        <w:pStyle w:val="BodyText"/>
        <w:ind w:left="270" w:firstLine="426"/>
        <w:jc w:val="both"/>
      </w:pPr>
      <w:r>
        <w:rPr/>
        <w:t>There is a potential risk for occupational accidents related to mechanical hazard caused by the use of tools, mechanical and manual objects’ transportation within picking, transportation, warehousing, packing and shipping; documents and goods distribution in the field of supply chain. Such activities require specific skills from drivers and operators.</w:t>
      </w:r>
    </w:p>
    <w:p>
      <w:pPr>
        <w:pStyle w:val="BodyText"/>
      </w:pPr>
    </w:p>
    <w:p>
      <w:pPr>
        <w:pStyle w:val="BodyText"/>
        <w:spacing w:before="3"/>
        <w:rPr>
          <w:sz w:val="24"/>
        </w:rPr>
      </w:pPr>
    </w:p>
    <w:p>
      <w:pPr>
        <w:pStyle w:val="Heading4"/>
        <w:numPr>
          <w:ilvl w:val="0"/>
          <w:numId w:val="149"/>
        </w:numPr>
        <w:tabs>
          <w:tab w:pos="472" w:val="left" w:leader="none"/>
        </w:tabs>
        <w:spacing w:line="240" w:lineRule="auto" w:before="0" w:after="0"/>
        <w:ind w:left="471" w:right="0" w:hanging="201"/>
        <w:jc w:val="both"/>
      </w:pPr>
      <w:r>
        <w:rPr/>
        <w:t>AIM</w:t>
      </w:r>
    </w:p>
    <w:p>
      <w:pPr>
        <w:pStyle w:val="BodyText"/>
        <w:spacing w:before="8"/>
        <w:rPr>
          <w:b/>
          <w:sz w:val="19"/>
        </w:rPr>
      </w:pPr>
    </w:p>
    <w:p>
      <w:pPr>
        <w:pStyle w:val="BodyText"/>
        <w:ind w:left="270"/>
        <w:jc w:val="both"/>
      </w:pPr>
      <w:r>
        <w:rPr/>
        <w:t>Describe attitudes towards mechanical hazard within a group of employees working in Bogota in the field of supply chain between 2013 and 2014.</w:t>
      </w:r>
    </w:p>
    <w:p>
      <w:pPr>
        <w:pStyle w:val="BodyText"/>
      </w:pPr>
    </w:p>
    <w:p>
      <w:pPr>
        <w:pStyle w:val="BodyText"/>
        <w:spacing w:before="2"/>
      </w:pPr>
    </w:p>
    <w:p>
      <w:pPr>
        <w:pStyle w:val="Heading4"/>
        <w:numPr>
          <w:ilvl w:val="0"/>
          <w:numId w:val="149"/>
        </w:numPr>
        <w:tabs>
          <w:tab w:pos="473" w:val="left" w:leader="none"/>
        </w:tabs>
        <w:spacing w:line="240" w:lineRule="auto" w:before="0" w:after="0"/>
        <w:ind w:left="472" w:right="0" w:hanging="202"/>
        <w:jc w:val="both"/>
      </w:pPr>
      <w:r>
        <w:rPr/>
        <w:t>EXTENT OF</w:t>
      </w:r>
      <w:r>
        <w:rPr>
          <w:spacing w:val="-10"/>
        </w:rPr>
        <w:t> </w:t>
      </w:r>
      <w:r>
        <w:rPr/>
        <w:t>STUDY</w:t>
      </w:r>
    </w:p>
    <w:p>
      <w:pPr>
        <w:pStyle w:val="BodyText"/>
        <w:spacing w:before="8"/>
        <w:rPr>
          <w:b/>
          <w:sz w:val="19"/>
        </w:rPr>
      </w:pPr>
    </w:p>
    <w:p>
      <w:pPr>
        <w:pStyle w:val="BodyText"/>
        <w:ind w:left="270" w:right="1"/>
        <w:jc w:val="both"/>
      </w:pPr>
      <w:r>
        <w:rPr/>
        <w:t>Research was performed in 3 different supply chain companies in Bogota: Servientrega S.A (second term of 2013 [3]), Timón S.A (first term of 2014 [4]) and Corporación Colombiana de Logística (second term of 2014 [5]).</w:t>
      </w:r>
    </w:p>
    <w:p>
      <w:pPr>
        <w:pStyle w:val="BodyText"/>
      </w:pPr>
    </w:p>
    <w:p>
      <w:pPr>
        <w:pStyle w:val="BodyText"/>
        <w:spacing w:before="1"/>
        <w:ind w:left="270" w:firstLine="426"/>
        <w:jc w:val="both"/>
      </w:pPr>
      <w:r>
        <w:rPr/>
        <w:t>Research instruments were used with 254 employees among supervisors and operators who are exposed to mechanical hazard in those companies.</w:t>
      </w:r>
    </w:p>
    <w:p>
      <w:pPr>
        <w:pStyle w:val="BodyText"/>
      </w:pPr>
    </w:p>
    <w:p>
      <w:pPr>
        <w:pStyle w:val="BodyText"/>
        <w:spacing w:before="2"/>
      </w:pPr>
    </w:p>
    <w:p>
      <w:pPr>
        <w:pStyle w:val="Heading4"/>
        <w:numPr>
          <w:ilvl w:val="0"/>
          <w:numId w:val="149"/>
        </w:numPr>
        <w:tabs>
          <w:tab w:pos="471" w:val="left" w:leader="none"/>
        </w:tabs>
        <w:spacing w:line="240" w:lineRule="auto" w:before="0" w:after="0"/>
        <w:ind w:left="470" w:right="0" w:hanging="200"/>
        <w:jc w:val="both"/>
      </w:pPr>
      <w:r>
        <w:rPr/>
        <w:t>METHODOLOGY</w:t>
      </w:r>
    </w:p>
    <w:p>
      <w:pPr>
        <w:pStyle w:val="BodyText"/>
        <w:spacing w:before="8"/>
        <w:rPr>
          <w:b/>
          <w:sz w:val="19"/>
        </w:rPr>
      </w:pPr>
    </w:p>
    <w:p>
      <w:pPr>
        <w:pStyle w:val="BodyText"/>
        <w:ind w:left="270" w:right="1" w:firstLine="426"/>
        <w:jc w:val="both"/>
      </w:pPr>
      <w:r>
        <w:rPr/>
        <w:t>Results of this research are part of one of the aims (attitudes towards mechanical hazard) of a macro-project  on</w:t>
      </w:r>
    </w:p>
    <w:p>
      <w:pPr>
        <w:pStyle w:val="BodyText"/>
        <w:spacing w:before="74"/>
        <w:ind w:left="270" w:right="677"/>
        <w:jc w:val="both"/>
      </w:pPr>
      <w:r>
        <w:rPr/>
        <w:br w:type="column"/>
      </w:r>
      <w:r>
        <w:rPr/>
        <w:t>industrial safety at Universidad Manuela Beltrán de Colombia.</w:t>
      </w:r>
    </w:p>
    <w:p>
      <w:pPr>
        <w:pStyle w:val="BodyText"/>
      </w:pPr>
    </w:p>
    <w:p>
      <w:pPr>
        <w:pStyle w:val="BodyText"/>
        <w:spacing w:before="1"/>
        <w:ind w:left="270" w:right="675" w:firstLine="426"/>
        <w:jc w:val="both"/>
      </w:pPr>
      <w:r>
        <w:rPr/>
        <w:t>Research instruments are qualitative, descriptive approach and cross-sectional study. The technique used to gather information was the questionnaire survey. It  consisted of 61 close-ended questions and one open question. The first 6 questions focused on demographical description and questions 41 through 60 aim to discover attitudes towards hazard. Situations not meeting safety standards were described and employees had to answer questions regarding their</w:t>
      </w:r>
      <w:r>
        <w:rPr>
          <w:spacing w:val="-19"/>
        </w:rPr>
        <w:t> </w:t>
      </w:r>
      <w:r>
        <w:rPr/>
        <w:t>attitudes.</w:t>
      </w:r>
    </w:p>
    <w:p>
      <w:pPr>
        <w:pStyle w:val="BodyText"/>
        <w:spacing w:before="11"/>
        <w:rPr>
          <w:sz w:val="19"/>
        </w:rPr>
      </w:pPr>
    </w:p>
    <w:p>
      <w:pPr>
        <w:pStyle w:val="BodyText"/>
        <w:ind w:left="270" w:right="676" w:firstLine="426"/>
        <w:jc w:val="both"/>
      </w:pPr>
      <w:r>
        <w:rPr/>
        <w:t>This questionnaire and corresponding findings were evaluated by 11 Occupational Health Specialist Engineers. They gave their opinion based on technical guidelines and professional experience. Afterwards, a pilot test was designed to discover employees’ attitude towards instrument in order to make final arrangements, especially in terms of language.</w:t>
      </w:r>
    </w:p>
    <w:p>
      <w:pPr>
        <w:pStyle w:val="BodyText"/>
        <w:spacing w:before="11"/>
        <w:rPr>
          <w:sz w:val="19"/>
        </w:rPr>
      </w:pPr>
    </w:p>
    <w:p>
      <w:pPr>
        <w:pStyle w:val="BodyText"/>
        <w:ind w:left="270" w:right="675" w:firstLine="426"/>
        <w:jc w:val="both"/>
      </w:pPr>
      <w:r>
        <w:rPr/>
        <w:t>Before taking the survey, each and every one of  the 254 employees had to read (and if agreed), sign an informed consent for research participation. This was to comply with the Colombian law 8430 (1993) which describes ethical issues of a research.</w:t>
      </w:r>
    </w:p>
    <w:p>
      <w:pPr>
        <w:pStyle w:val="BodyText"/>
        <w:spacing w:before="11"/>
        <w:rPr>
          <w:sz w:val="19"/>
        </w:rPr>
      </w:pPr>
    </w:p>
    <w:p>
      <w:pPr>
        <w:pStyle w:val="BodyText"/>
        <w:ind w:left="270" w:right="675" w:firstLine="426"/>
        <w:jc w:val="both"/>
      </w:pPr>
      <w:r>
        <w:rPr/>
        <w:t>Once the survey was conducted, a database was developed using Google Drive forms as tool. Descriptive Statistics was used for results’ analysis.</w:t>
      </w:r>
    </w:p>
    <w:p>
      <w:pPr>
        <w:pStyle w:val="BodyText"/>
      </w:pPr>
    </w:p>
    <w:p>
      <w:pPr>
        <w:pStyle w:val="BodyText"/>
        <w:spacing w:before="1"/>
      </w:pPr>
    </w:p>
    <w:p>
      <w:pPr>
        <w:pStyle w:val="Heading4"/>
        <w:numPr>
          <w:ilvl w:val="0"/>
          <w:numId w:val="149"/>
        </w:numPr>
        <w:tabs>
          <w:tab w:pos="472" w:val="left" w:leader="none"/>
        </w:tabs>
        <w:spacing w:line="240" w:lineRule="auto" w:before="0" w:after="0"/>
        <w:ind w:left="471" w:right="0" w:hanging="201"/>
        <w:jc w:val="both"/>
      </w:pPr>
      <w:r>
        <w:rPr/>
        <w:t>RESULTS</w:t>
      </w:r>
    </w:p>
    <w:p>
      <w:pPr>
        <w:pStyle w:val="BodyText"/>
        <w:rPr>
          <w:b/>
        </w:rPr>
      </w:pPr>
    </w:p>
    <w:p>
      <w:pPr>
        <w:pStyle w:val="BodyText"/>
        <w:rPr>
          <w:b/>
        </w:rPr>
      </w:pPr>
    </w:p>
    <w:p>
      <w:pPr>
        <w:pStyle w:val="ListParagraph"/>
        <w:numPr>
          <w:ilvl w:val="1"/>
          <w:numId w:val="149"/>
        </w:numPr>
        <w:tabs>
          <w:tab w:pos="572" w:val="left" w:leader="none"/>
        </w:tabs>
        <w:spacing w:line="240" w:lineRule="auto" w:before="0" w:after="0"/>
        <w:ind w:left="270" w:right="0" w:firstLine="0"/>
        <w:jc w:val="both"/>
        <w:rPr>
          <w:b/>
          <w:sz w:val="20"/>
        </w:rPr>
      </w:pPr>
      <w:r>
        <w:rPr>
          <w:b/>
          <w:sz w:val="20"/>
        </w:rPr>
        <w:t>Population</w:t>
      </w:r>
      <w:r>
        <w:rPr>
          <w:b/>
          <w:spacing w:val="-9"/>
          <w:sz w:val="20"/>
        </w:rPr>
        <w:t> </w:t>
      </w:r>
      <w:r>
        <w:rPr>
          <w:b/>
          <w:sz w:val="20"/>
        </w:rPr>
        <w:t>description</w:t>
      </w:r>
    </w:p>
    <w:p>
      <w:pPr>
        <w:pStyle w:val="BodyText"/>
        <w:spacing w:before="9"/>
        <w:rPr>
          <w:b/>
          <w:sz w:val="19"/>
        </w:rPr>
      </w:pPr>
    </w:p>
    <w:p>
      <w:pPr>
        <w:pStyle w:val="BodyText"/>
        <w:spacing w:before="1"/>
        <w:ind w:left="270" w:right="676"/>
        <w:jc w:val="both"/>
      </w:pPr>
      <w:r>
        <w:rPr/>
        <w:t>This is the sample distribution: 46.5% (118) corresponds to Servientrega S.A’s employees, 28.3% (72) Timón S.A’s employees and 25.2% (64) represents employees from Corporación Colombiana de Logística. This distribution has a direct relationship to simple sampling which was applied to each company in order to set the sample’s value (figure 1).</w:t>
      </w:r>
    </w:p>
    <w:p>
      <w:pPr>
        <w:pStyle w:val="BodyText"/>
        <w:spacing w:before="3"/>
        <w:rPr>
          <w:sz w:val="17"/>
        </w:rPr>
      </w:pPr>
      <w:r>
        <w:rPr/>
        <w:drawing>
          <wp:anchor distT="0" distB="0" distL="0" distR="0" allowOverlap="1" layoutInCell="1" locked="0" behindDoc="0" simplePos="0" relativeHeight="16624">
            <wp:simplePos x="0" y="0"/>
            <wp:positionH relativeFrom="page">
              <wp:posOffset>4401311</wp:posOffset>
            </wp:positionH>
            <wp:positionV relativeFrom="paragraph">
              <wp:posOffset>150873</wp:posOffset>
            </wp:positionV>
            <wp:extent cx="2517158" cy="1499616"/>
            <wp:effectExtent l="0" t="0" r="0" b="0"/>
            <wp:wrapTopAndBottom/>
            <wp:docPr id="707" name="image412.png" descr=""/>
            <wp:cNvGraphicFramePr>
              <a:graphicFrameLocks noChangeAspect="1"/>
            </wp:cNvGraphicFramePr>
            <a:graphic>
              <a:graphicData uri="http://schemas.openxmlformats.org/drawingml/2006/picture">
                <pic:pic>
                  <pic:nvPicPr>
                    <pic:cNvPr id="708" name="image412.png"/>
                    <pic:cNvPicPr/>
                  </pic:nvPicPr>
                  <pic:blipFill>
                    <a:blip r:embed="rId670" cstate="print"/>
                    <a:stretch>
                      <a:fillRect/>
                    </a:stretch>
                  </pic:blipFill>
                  <pic:spPr>
                    <a:xfrm>
                      <a:off x="0" y="0"/>
                      <a:ext cx="2517158" cy="1499616"/>
                    </a:xfrm>
                    <a:prstGeom prst="rect">
                      <a:avLst/>
                    </a:prstGeom>
                  </pic:spPr>
                </pic:pic>
              </a:graphicData>
            </a:graphic>
          </wp:anchor>
        </w:drawing>
      </w:r>
    </w:p>
    <w:p>
      <w:pPr>
        <w:pStyle w:val="BodyText"/>
        <w:rPr>
          <w:sz w:val="17"/>
        </w:rPr>
      </w:pPr>
    </w:p>
    <w:p>
      <w:pPr>
        <w:pStyle w:val="BodyText"/>
        <w:ind w:left="372" w:right="702"/>
      </w:pPr>
      <w:r>
        <w:rPr/>
        <w:t>Figure 1. Employees sample distribution (Source: Author)</w:t>
      </w:r>
    </w:p>
    <w:p>
      <w:pPr>
        <w:spacing w:after="0"/>
        <w:sectPr>
          <w:type w:val="continuous"/>
          <w:pgSz w:w="12240" w:h="15840"/>
          <w:pgMar w:top="1500" w:bottom="280" w:left="580" w:right="220"/>
          <w:cols w:num="2" w:equalWidth="0">
            <w:col w:w="5189" w:space="435"/>
            <w:col w:w="5816"/>
          </w:cols>
        </w:sectPr>
      </w:pPr>
    </w:p>
    <w:p>
      <w:pPr>
        <w:pStyle w:val="BodyText"/>
        <w:spacing w:before="1"/>
        <w:rPr>
          <w:sz w:val="18"/>
        </w:rPr>
      </w:pPr>
    </w:p>
    <w:p>
      <w:pPr>
        <w:pStyle w:val="BodyText"/>
        <w:tabs>
          <w:tab w:pos="6356" w:val="left" w:leader="none"/>
        </w:tabs>
        <w:ind w:left="749"/>
      </w:pPr>
      <w:r>
        <w:rPr/>
        <w:drawing>
          <wp:inline distT="0" distB="0" distL="0" distR="0">
            <wp:extent cx="2516885" cy="1723644"/>
            <wp:effectExtent l="0" t="0" r="0" b="0"/>
            <wp:docPr id="709" name="image413.png" descr=""/>
            <wp:cNvGraphicFramePr>
              <a:graphicFrameLocks noChangeAspect="1"/>
            </wp:cNvGraphicFramePr>
            <a:graphic>
              <a:graphicData uri="http://schemas.openxmlformats.org/drawingml/2006/picture">
                <pic:pic>
                  <pic:nvPicPr>
                    <pic:cNvPr id="710" name="image413.png"/>
                    <pic:cNvPicPr/>
                  </pic:nvPicPr>
                  <pic:blipFill>
                    <a:blip r:embed="rId671" cstate="print"/>
                    <a:stretch>
                      <a:fillRect/>
                    </a:stretch>
                  </pic:blipFill>
                  <pic:spPr>
                    <a:xfrm>
                      <a:off x="0" y="0"/>
                      <a:ext cx="2516885" cy="1723644"/>
                    </a:xfrm>
                    <a:prstGeom prst="rect">
                      <a:avLst/>
                    </a:prstGeom>
                  </pic:spPr>
                </pic:pic>
              </a:graphicData>
            </a:graphic>
          </wp:inline>
        </w:drawing>
      </w:r>
      <w:r>
        <w:rPr/>
      </w:r>
      <w:r>
        <w:rPr/>
        <w:tab/>
      </w:r>
      <w:r>
        <w:rPr>
          <w:position w:val="11"/>
        </w:rPr>
        <w:drawing>
          <wp:inline distT="0" distB="0" distL="0" distR="0">
            <wp:extent cx="2505434" cy="1655063"/>
            <wp:effectExtent l="0" t="0" r="0" b="0"/>
            <wp:docPr id="711" name="image414.png" descr=""/>
            <wp:cNvGraphicFramePr>
              <a:graphicFrameLocks noChangeAspect="1"/>
            </wp:cNvGraphicFramePr>
            <a:graphic>
              <a:graphicData uri="http://schemas.openxmlformats.org/drawingml/2006/picture">
                <pic:pic>
                  <pic:nvPicPr>
                    <pic:cNvPr id="712" name="image414.png"/>
                    <pic:cNvPicPr/>
                  </pic:nvPicPr>
                  <pic:blipFill>
                    <a:blip r:embed="rId672" cstate="print"/>
                    <a:stretch>
                      <a:fillRect/>
                    </a:stretch>
                  </pic:blipFill>
                  <pic:spPr>
                    <a:xfrm>
                      <a:off x="0" y="0"/>
                      <a:ext cx="2505434" cy="1655063"/>
                    </a:xfrm>
                    <a:prstGeom prst="rect">
                      <a:avLst/>
                    </a:prstGeom>
                  </pic:spPr>
                </pic:pic>
              </a:graphicData>
            </a:graphic>
          </wp:inline>
        </w:drawing>
      </w:r>
      <w:r>
        <w:rPr>
          <w:position w:val="11"/>
        </w:rPr>
      </w:r>
    </w:p>
    <w:p>
      <w:pPr>
        <w:pStyle w:val="BodyText"/>
        <w:spacing w:before="1"/>
        <w:rPr>
          <w:sz w:val="6"/>
        </w:rPr>
      </w:pPr>
    </w:p>
    <w:p>
      <w:pPr>
        <w:spacing w:after="0"/>
        <w:rPr>
          <w:sz w:val="6"/>
        </w:rPr>
        <w:sectPr>
          <w:pgSz w:w="12240" w:h="15840"/>
          <w:pgMar w:header="545" w:footer="852" w:top="1060" w:bottom="1040" w:left="580" w:right="220"/>
        </w:sectPr>
      </w:pPr>
    </w:p>
    <w:p>
      <w:pPr>
        <w:pStyle w:val="BodyText"/>
        <w:spacing w:before="156"/>
        <w:ind w:left="358" w:right="89"/>
        <w:jc w:val="center"/>
      </w:pPr>
      <w:r>
        <w:rPr/>
        <w:t>Figure 2. Sex distribution (Source:Author)</w:t>
      </w:r>
    </w:p>
    <w:p>
      <w:pPr>
        <w:pStyle w:val="BodyText"/>
      </w:pPr>
    </w:p>
    <w:p>
      <w:pPr>
        <w:pStyle w:val="BodyText"/>
      </w:pPr>
    </w:p>
    <w:p>
      <w:pPr>
        <w:pStyle w:val="BodyText"/>
        <w:ind w:left="270" w:firstLine="426"/>
        <w:jc w:val="both"/>
      </w:pPr>
      <w:r>
        <w:rPr/>
        <w:t>Overall, male employees have more participation with a mean age of 31. Dominant education level is high school. Average time working in this field is 3 years and 7 months. Operators correspond to 93% (236) of the sample (figure 3 to figure 6).</w:t>
      </w:r>
    </w:p>
    <w:p>
      <w:pPr>
        <w:pStyle w:val="BodyText"/>
      </w:pPr>
    </w:p>
    <w:p>
      <w:pPr>
        <w:pStyle w:val="BodyText"/>
        <w:spacing w:before="3"/>
        <w:rPr>
          <w:sz w:val="17"/>
        </w:rPr>
      </w:pPr>
      <w:r>
        <w:rPr/>
        <w:drawing>
          <wp:anchor distT="0" distB="0" distL="0" distR="0" allowOverlap="1" layoutInCell="1" locked="0" behindDoc="0" simplePos="0" relativeHeight="16648">
            <wp:simplePos x="0" y="0"/>
            <wp:positionH relativeFrom="page">
              <wp:posOffset>850391</wp:posOffset>
            </wp:positionH>
            <wp:positionV relativeFrom="paragraph">
              <wp:posOffset>151104</wp:posOffset>
            </wp:positionV>
            <wp:extent cx="2506922" cy="1714500"/>
            <wp:effectExtent l="0" t="0" r="0" b="0"/>
            <wp:wrapTopAndBottom/>
            <wp:docPr id="713" name="image415.png" descr=""/>
            <wp:cNvGraphicFramePr>
              <a:graphicFrameLocks noChangeAspect="1"/>
            </wp:cNvGraphicFramePr>
            <a:graphic>
              <a:graphicData uri="http://schemas.openxmlformats.org/drawingml/2006/picture">
                <pic:pic>
                  <pic:nvPicPr>
                    <pic:cNvPr id="714" name="image415.png"/>
                    <pic:cNvPicPr/>
                  </pic:nvPicPr>
                  <pic:blipFill>
                    <a:blip r:embed="rId673" cstate="print"/>
                    <a:stretch>
                      <a:fillRect/>
                    </a:stretch>
                  </pic:blipFill>
                  <pic:spPr>
                    <a:xfrm>
                      <a:off x="0" y="0"/>
                      <a:ext cx="2506922" cy="1714500"/>
                    </a:xfrm>
                    <a:prstGeom prst="rect">
                      <a:avLst/>
                    </a:prstGeom>
                  </pic:spPr>
                </pic:pic>
              </a:graphicData>
            </a:graphic>
          </wp:anchor>
        </w:drawing>
      </w:r>
    </w:p>
    <w:p>
      <w:pPr>
        <w:pStyle w:val="BodyText"/>
        <w:spacing w:before="10"/>
        <w:rPr>
          <w:sz w:val="16"/>
        </w:rPr>
      </w:pPr>
    </w:p>
    <w:p>
      <w:pPr>
        <w:pStyle w:val="BodyText"/>
        <w:ind w:left="355" w:right="89"/>
        <w:jc w:val="center"/>
      </w:pPr>
      <w:r>
        <w:rPr/>
        <w:t>Figure 3. Mean age (Source: Author)</w:t>
      </w:r>
    </w:p>
    <w:p>
      <w:pPr>
        <w:pStyle w:val="BodyText"/>
      </w:pPr>
    </w:p>
    <w:p>
      <w:pPr>
        <w:pStyle w:val="BodyText"/>
        <w:spacing w:before="10"/>
        <w:rPr>
          <w:sz w:val="16"/>
        </w:rPr>
      </w:pPr>
      <w:r>
        <w:rPr/>
        <w:drawing>
          <wp:anchor distT="0" distB="0" distL="0" distR="0" allowOverlap="1" layoutInCell="1" locked="0" behindDoc="0" simplePos="0" relativeHeight="16672">
            <wp:simplePos x="0" y="0"/>
            <wp:positionH relativeFrom="page">
              <wp:posOffset>847344</wp:posOffset>
            </wp:positionH>
            <wp:positionV relativeFrom="paragraph">
              <wp:posOffset>148052</wp:posOffset>
            </wp:positionV>
            <wp:extent cx="2513076" cy="1748789"/>
            <wp:effectExtent l="0" t="0" r="0" b="0"/>
            <wp:wrapTopAndBottom/>
            <wp:docPr id="715" name="image416.png" descr=""/>
            <wp:cNvGraphicFramePr>
              <a:graphicFrameLocks noChangeAspect="1"/>
            </wp:cNvGraphicFramePr>
            <a:graphic>
              <a:graphicData uri="http://schemas.openxmlformats.org/drawingml/2006/picture">
                <pic:pic>
                  <pic:nvPicPr>
                    <pic:cNvPr id="716" name="image416.png"/>
                    <pic:cNvPicPr/>
                  </pic:nvPicPr>
                  <pic:blipFill>
                    <a:blip r:embed="rId674" cstate="print"/>
                    <a:stretch>
                      <a:fillRect/>
                    </a:stretch>
                  </pic:blipFill>
                  <pic:spPr>
                    <a:xfrm>
                      <a:off x="0" y="0"/>
                      <a:ext cx="2513076" cy="1748789"/>
                    </a:xfrm>
                    <a:prstGeom prst="rect">
                      <a:avLst/>
                    </a:prstGeom>
                  </pic:spPr>
                </pic:pic>
              </a:graphicData>
            </a:graphic>
          </wp:anchor>
        </w:drawing>
      </w:r>
    </w:p>
    <w:p>
      <w:pPr>
        <w:pStyle w:val="BodyText"/>
      </w:pPr>
    </w:p>
    <w:p>
      <w:pPr>
        <w:pStyle w:val="BodyText"/>
        <w:spacing w:before="5"/>
        <w:rPr>
          <w:sz w:val="17"/>
        </w:rPr>
      </w:pPr>
    </w:p>
    <w:p>
      <w:pPr>
        <w:pStyle w:val="BodyText"/>
        <w:ind w:left="358" w:right="89"/>
        <w:jc w:val="center"/>
      </w:pPr>
      <w:r>
        <w:rPr/>
        <w:t>Figure 4. Education level distribution (Source: Author)</w:t>
      </w:r>
    </w:p>
    <w:p>
      <w:pPr>
        <w:pStyle w:val="BodyText"/>
        <w:spacing w:before="51"/>
        <w:ind w:left="295" w:right="700"/>
        <w:jc w:val="center"/>
      </w:pPr>
      <w:r>
        <w:rPr/>
        <w:br w:type="column"/>
      </w:r>
      <w:r>
        <w:rPr/>
        <w:t>Figure 5. Mean time of experience measured in months (Source: Author)</w:t>
      </w:r>
    </w:p>
    <w:p>
      <w:pPr>
        <w:pStyle w:val="BodyText"/>
      </w:pPr>
    </w:p>
    <w:p>
      <w:pPr>
        <w:pStyle w:val="BodyText"/>
        <w:spacing w:before="10"/>
        <w:rPr>
          <w:sz w:val="16"/>
        </w:rPr>
      </w:pPr>
      <w:r>
        <w:rPr/>
        <w:drawing>
          <wp:anchor distT="0" distB="0" distL="0" distR="0" allowOverlap="1" layoutInCell="1" locked="0" behindDoc="0" simplePos="0" relativeHeight="16696">
            <wp:simplePos x="0" y="0"/>
            <wp:positionH relativeFrom="page">
              <wp:posOffset>4395215</wp:posOffset>
            </wp:positionH>
            <wp:positionV relativeFrom="paragraph">
              <wp:posOffset>148051</wp:posOffset>
            </wp:positionV>
            <wp:extent cx="2527119" cy="1767839"/>
            <wp:effectExtent l="0" t="0" r="0" b="0"/>
            <wp:wrapTopAndBottom/>
            <wp:docPr id="717" name="image417.png" descr=""/>
            <wp:cNvGraphicFramePr>
              <a:graphicFrameLocks noChangeAspect="1"/>
            </wp:cNvGraphicFramePr>
            <a:graphic>
              <a:graphicData uri="http://schemas.openxmlformats.org/drawingml/2006/picture">
                <pic:pic>
                  <pic:nvPicPr>
                    <pic:cNvPr id="718" name="image417.png"/>
                    <pic:cNvPicPr/>
                  </pic:nvPicPr>
                  <pic:blipFill>
                    <a:blip r:embed="rId675" cstate="print"/>
                    <a:stretch>
                      <a:fillRect/>
                    </a:stretch>
                  </pic:blipFill>
                  <pic:spPr>
                    <a:xfrm>
                      <a:off x="0" y="0"/>
                      <a:ext cx="2527119" cy="1767839"/>
                    </a:xfrm>
                    <a:prstGeom prst="rect">
                      <a:avLst/>
                    </a:prstGeom>
                  </pic:spPr>
                </pic:pic>
              </a:graphicData>
            </a:graphic>
          </wp:anchor>
        </w:drawing>
      </w:r>
    </w:p>
    <w:p>
      <w:pPr>
        <w:pStyle w:val="BodyText"/>
        <w:spacing w:before="1"/>
        <w:rPr>
          <w:sz w:val="17"/>
        </w:rPr>
      </w:pPr>
    </w:p>
    <w:p>
      <w:pPr>
        <w:pStyle w:val="BodyText"/>
        <w:ind w:left="294" w:right="701"/>
        <w:jc w:val="center"/>
      </w:pPr>
      <w:r>
        <w:rPr/>
        <w:t>Figure 6. Distribution by position (Source: Author)</w:t>
      </w:r>
    </w:p>
    <w:p>
      <w:pPr>
        <w:pStyle w:val="BodyText"/>
      </w:pPr>
    </w:p>
    <w:p>
      <w:pPr>
        <w:pStyle w:val="BodyText"/>
        <w:spacing w:before="2"/>
      </w:pPr>
    </w:p>
    <w:p>
      <w:pPr>
        <w:pStyle w:val="Heading4"/>
        <w:numPr>
          <w:ilvl w:val="1"/>
          <w:numId w:val="149"/>
        </w:numPr>
        <w:tabs>
          <w:tab w:pos="757" w:val="left" w:leader="none"/>
        </w:tabs>
        <w:spacing w:line="240" w:lineRule="auto" w:before="0" w:after="0"/>
        <w:ind w:left="270" w:right="675" w:firstLine="0"/>
        <w:jc w:val="both"/>
      </w:pPr>
      <w:r>
        <w:rPr/>
        <w:t>Description of population attitude towards mechanical</w:t>
      </w:r>
      <w:r>
        <w:rPr>
          <w:spacing w:val="-12"/>
        </w:rPr>
        <w:t> </w:t>
      </w:r>
      <w:r>
        <w:rPr/>
        <w:t>hazard</w:t>
      </w:r>
    </w:p>
    <w:p>
      <w:pPr>
        <w:pStyle w:val="BodyText"/>
        <w:spacing w:before="8"/>
        <w:rPr>
          <w:b/>
          <w:sz w:val="19"/>
        </w:rPr>
      </w:pPr>
    </w:p>
    <w:p>
      <w:pPr>
        <w:pStyle w:val="BodyText"/>
        <w:ind w:left="270" w:right="677"/>
        <w:jc w:val="both"/>
      </w:pPr>
      <w:r>
        <w:rPr/>
        <w:t>Just 81% (205 of employees) is precautionary towards risky situations related to mechanical hazard in supply chain activities, which means that at least once they have been under risk of accident or incident because of any of their actions (figure 7).</w:t>
      </w:r>
    </w:p>
    <w:p>
      <w:pPr>
        <w:pStyle w:val="BodyText"/>
        <w:spacing w:before="9"/>
        <w:rPr>
          <w:sz w:val="16"/>
        </w:rPr>
      </w:pPr>
      <w:r>
        <w:rPr/>
        <w:drawing>
          <wp:anchor distT="0" distB="0" distL="0" distR="0" allowOverlap="1" layoutInCell="1" locked="0" behindDoc="0" simplePos="0" relativeHeight="16720">
            <wp:simplePos x="0" y="0"/>
            <wp:positionH relativeFrom="page">
              <wp:posOffset>4401311</wp:posOffset>
            </wp:positionH>
            <wp:positionV relativeFrom="paragraph">
              <wp:posOffset>147789</wp:posOffset>
            </wp:positionV>
            <wp:extent cx="2515855" cy="1527048"/>
            <wp:effectExtent l="0" t="0" r="0" b="0"/>
            <wp:wrapTopAndBottom/>
            <wp:docPr id="719" name="image418.png" descr=""/>
            <wp:cNvGraphicFramePr>
              <a:graphicFrameLocks noChangeAspect="1"/>
            </wp:cNvGraphicFramePr>
            <a:graphic>
              <a:graphicData uri="http://schemas.openxmlformats.org/drawingml/2006/picture">
                <pic:pic>
                  <pic:nvPicPr>
                    <pic:cNvPr id="720" name="image418.png"/>
                    <pic:cNvPicPr/>
                  </pic:nvPicPr>
                  <pic:blipFill>
                    <a:blip r:embed="rId676" cstate="print"/>
                    <a:stretch>
                      <a:fillRect/>
                    </a:stretch>
                  </pic:blipFill>
                  <pic:spPr>
                    <a:xfrm>
                      <a:off x="0" y="0"/>
                      <a:ext cx="2515855" cy="1527048"/>
                    </a:xfrm>
                    <a:prstGeom prst="rect">
                      <a:avLst/>
                    </a:prstGeom>
                  </pic:spPr>
                </pic:pic>
              </a:graphicData>
            </a:graphic>
          </wp:anchor>
        </w:drawing>
      </w:r>
    </w:p>
    <w:p>
      <w:pPr>
        <w:pStyle w:val="BodyText"/>
        <w:rPr>
          <w:sz w:val="17"/>
        </w:rPr>
      </w:pPr>
    </w:p>
    <w:p>
      <w:pPr>
        <w:pStyle w:val="BodyText"/>
        <w:ind w:left="474" w:right="882"/>
        <w:jc w:val="center"/>
      </w:pPr>
      <w:r>
        <w:rPr/>
        <w:t>Figure 7. Precautionary approach towards mechanical hazard (Source: Author)</w:t>
      </w:r>
    </w:p>
    <w:p>
      <w:pPr>
        <w:spacing w:after="0"/>
        <w:jc w:val="center"/>
        <w:sectPr>
          <w:type w:val="continuous"/>
          <w:pgSz w:w="12240" w:h="15840"/>
          <w:pgMar w:top="1500" w:bottom="280" w:left="580" w:right="220"/>
          <w:cols w:num="2" w:equalWidth="0">
            <w:col w:w="5190" w:space="434"/>
            <w:col w:w="5816"/>
          </w:cols>
        </w:sectPr>
      </w:pPr>
    </w:p>
    <w:p>
      <w:pPr>
        <w:pStyle w:val="BodyText"/>
      </w:pPr>
    </w:p>
    <w:p>
      <w:pPr>
        <w:spacing w:after="0"/>
        <w:sectPr>
          <w:pgSz w:w="12240" w:h="15840"/>
          <w:pgMar w:header="545" w:footer="852" w:top="1060" w:bottom="1040" w:left="580" w:right="220"/>
        </w:sectPr>
      </w:pPr>
    </w:p>
    <w:p>
      <w:pPr>
        <w:pStyle w:val="BodyText"/>
        <w:spacing w:before="8"/>
        <w:rPr>
          <w:sz w:val="17"/>
        </w:rPr>
      </w:pPr>
    </w:p>
    <w:p>
      <w:pPr>
        <w:pStyle w:val="BodyText"/>
        <w:spacing w:before="1"/>
        <w:ind w:left="270" w:firstLine="426"/>
        <w:jc w:val="both"/>
      </w:pPr>
      <w:r>
        <w:rPr/>
        <w:t>Overall, sex is not a main issue when talking about prevention within employees, but the ones that really protect themselves from hazard situations are not those with more education. This is because time of experience is less within employees with more education. In conclusion, experiences related to accidents or incidents have more impact on prevention (figure 8 to 10).</w:t>
      </w:r>
    </w:p>
    <w:p>
      <w:pPr>
        <w:pStyle w:val="BodyText"/>
      </w:pPr>
    </w:p>
    <w:p>
      <w:pPr>
        <w:pStyle w:val="BodyText"/>
        <w:spacing w:before="3"/>
        <w:rPr>
          <w:sz w:val="17"/>
        </w:rPr>
      </w:pPr>
      <w:r>
        <w:rPr/>
        <w:drawing>
          <wp:anchor distT="0" distB="0" distL="0" distR="0" allowOverlap="1" layoutInCell="1" locked="0" behindDoc="0" simplePos="0" relativeHeight="16744">
            <wp:simplePos x="0" y="0"/>
            <wp:positionH relativeFrom="page">
              <wp:posOffset>844296</wp:posOffset>
            </wp:positionH>
            <wp:positionV relativeFrom="paragraph">
              <wp:posOffset>151112</wp:posOffset>
            </wp:positionV>
            <wp:extent cx="2513442" cy="1668779"/>
            <wp:effectExtent l="0" t="0" r="0" b="0"/>
            <wp:wrapTopAndBottom/>
            <wp:docPr id="721" name="image419.png" descr=""/>
            <wp:cNvGraphicFramePr>
              <a:graphicFrameLocks noChangeAspect="1"/>
            </wp:cNvGraphicFramePr>
            <a:graphic>
              <a:graphicData uri="http://schemas.openxmlformats.org/drawingml/2006/picture">
                <pic:pic>
                  <pic:nvPicPr>
                    <pic:cNvPr id="722" name="image419.png"/>
                    <pic:cNvPicPr/>
                  </pic:nvPicPr>
                  <pic:blipFill>
                    <a:blip r:embed="rId677" cstate="print"/>
                    <a:stretch>
                      <a:fillRect/>
                    </a:stretch>
                  </pic:blipFill>
                  <pic:spPr>
                    <a:xfrm>
                      <a:off x="0" y="0"/>
                      <a:ext cx="2513442" cy="1668779"/>
                    </a:xfrm>
                    <a:prstGeom prst="rect">
                      <a:avLst/>
                    </a:prstGeom>
                  </pic:spPr>
                </pic:pic>
              </a:graphicData>
            </a:graphic>
          </wp:anchor>
        </w:drawing>
      </w:r>
    </w:p>
    <w:p>
      <w:pPr>
        <w:pStyle w:val="BodyText"/>
        <w:spacing w:before="6"/>
        <w:rPr>
          <w:sz w:val="17"/>
        </w:rPr>
      </w:pPr>
    </w:p>
    <w:p>
      <w:pPr>
        <w:pStyle w:val="BodyText"/>
        <w:ind w:left="1037" w:right="118"/>
      </w:pPr>
      <w:r>
        <w:rPr/>
        <w:t>Figure 8. Attitude vs sex (Source: Author)</w:t>
      </w:r>
    </w:p>
    <w:p>
      <w:pPr>
        <w:pStyle w:val="BodyText"/>
      </w:pPr>
    </w:p>
    <w:p>
      <w:pPr>
        <w:pStyle w:val="BodyText"/>
        <w:spacing w:before="3"/>
        <w:rPr>
          <w:sz w:val="17"/>
        </w:rPr>
      </w:pPr>
      <w:r>
        <w:rPr/>
        <w:drawing>
          <wp:anchor distT="0" distB="0" distL="0" distR="0" allowOverlap="1" layoutInCell="1" locked="0" behindDoc="0" simplePos="0" relativeHeight="16768">
            <wp:simplePos x="0" y="0"/>
            <wp:positionH relativeFrom="page">
              <wp:posOffset>844296</wp:posOffset>
            </wp:positionH>
            <wp:positionV relativeFrom="paragraph">
              <wp:posOffset>151099</wp:posOffset>
            </wp:positionV>
            <wp:extent cx="2514564" cy="1650492"/>
            <wp:effectExtent l="0" t="0" r="0" b="0"/>
            <wp:wrapTopAndBottom/>
            <wp:docPr id="723" name="image420.png" descr=""/>
            <wp:cNvGraphicFramePr>
              <a:graphicFrameLocks noChangeAspect="1"/>
            </wp:cNvGraphicFramePr>
            <a:graphic>
              <a:graphicData uri="http://schemas.openxmlformats.org/drawingml/2006/picture">
                <pic:pic>
                  <pic:nvPicPr>
                    <pic:cNvPr id="724" name="image420.png"/>
                    <pic:cNvPicPr/>
                  </pic:nvPicPr>
                  <pic:blipFill>
                    <a:blip r:embed="rId678" cstate="print"/>
                    <a:stretch>
                      <a:fillRect/>
                    </a:stretch>
                  </pic:blipFill>
                  <pic:spPr>
                    <a:xfrm>
                      <a:off x="0" y="0"/>
                      <a:ext cx="2514564" cy="1650492"/>
                    </a:xfrm>
                    <a:prstGeom prst="rect">
                      <a:avLst/>
                    </a:prstGeom>
                  </pic:spPr>
                </pic:pic>
              </a:graphicData>
            </a:graphic>
          </wp:anchor>
        </w:drawing>
      </w:r>
    </w:p>
    <w:p>
      <w:pPr>
        <w:pStyle w:val="BodyText"/>
        <w:spacing w:before="5"/>
        <w:rPr>
          <w:sz w:val="17"/>
        </w:rPr>
      </w:pPr>
    </w:p>
    <w:p>
      <w:pPr>
        <w:pStyle w:val="BodyText"/>
        <w:ind w:left="355" w:right="89"/>
        <w:jc w:val="center"/>
      </w:pPr>
      <w:r>
        <w:rPr/>
        <w:t>Figure 9. Attitude vs education level (Source:Author)</w:t>
      </w:r>
    </w:p>
    <w:p>
      <w:pPr>
        <w:pStyle w:val="BodyText"/>
      </w:pPr>
    </w:p>
    <w:p>
      <w:pPr>
        <w:pStyle w:val="BodyText"/>
        <w:spacing w:before="4"/>
        <w:rPr>
          <w:sz w:val="17"/>
        </w:rPr>
      </w:pPr>
      <w:r>
        <w:rPr/>
        <w:drawing>
          <wp:anchor distT="0" distB="0" distL="0" distR="0" allowOverlap="1" layoutInCell="1" locked="0" behindDoc="0" simplePos="0" relativeHeight="16792">
            <wp:simplePos x="0" y="0"/>
            <wp:positionH relativeFrom="page">
              <wp:posOffset>844296</wp:posOffset>
            </wp:positionH>
            <wp:positionV relativeFrom="paragraph">
              <wp:posOffset>151861</wp:posOffset>
            </wp:positionV>
            <wp:extent cx="2519462" cy="1490472"/>
            <wp:effectExtent l="0" t="0" r="0" b="0"/>
            <wp:wrapTopAndBottom/>
            <wp:docPr id="725" name="image421.png" descr=""/>
            <wp:cNvGraphicFramePr>
              <a:graphicFrameLocks noChangeAspect="1"/>
            </wp:cNvGraphicFramePr>
            <a:graphic>
              <a:graphicData uri="http://schemas.openxmlformats.org/drawingml/2006/picture">
                <pic:pic>
                  <pic:nvPicPr>
                    <pic:cNvPr id="726" name="image421.png"/>
                    <pic:cNvPicPr/>
                  </pic:nvPicPr>
                  <pic:blipFill>
                    <a:blip r:embed="rId679" cstate="print"/>
                    <a:stretch>
                      <a:fillRect/>
                    </a:stretch>
                  </pic:blipFill>
                  <pic:spPr>
                    <a:xfrm>
                      <a:off x="0" y="0"/>
                      <a:ext cx="2519462" cy="1490472"/>
                    </a:xfrm>
                    <a:prstGeom prst="rect">
                      <a:avLst/>
                    </a:prstGeom>
                  </pic:spPr>
                </pic:pic>
              </a:graphicData>
            </a:graphic>
          </wp:anchor>
        </w:drawing>
      </w:r>
    </w:p>
    <w:p>
      <w:pPr>
        <w:pStyle w:val="BodyText"/>
      </w:pPr>
    </w:p>
    <w:p>
      <w:pPr>
        <w:pStyle w:val="BodyText"/>
        <w:rPr>
          <w:sz w:val="17"/>
        </w:rPr>
      </w:pPr>
    </w:p>
    <w:p>
      <w:pPr>
        <w:pStyle w:val="BodyText"/>
        <w:spacing w:before="1"/>
        <w:ind w:left="304" w:right="38"/>
        <w:jc w:val="center"/>
      </w:pPr>
      <w:r>
        <w:rPr/>
        <w:t>Figure 10. Attitude vs time of experience (Source: Author)</w:t>
      </w:r>
    </w:p>
    <w:p>
      <w:pPr>
        <w:pStyle w:val="BodyText"/>
        <w:spacing w:before="8"/>
        <w:rPr>
          <w:sz w:val="17"/>
        </w:rPr>
      </w:pPr>
      <w:r>
        <w:rPr/>
        <w:br w:type="column"/>
      </w:r>
      <w:r>
        <w:rPr>
          <w:sz w:val="17"/>
        </w:rPr>
      </w:r>
    </w:p>
    <w:p>
      <w:pPr>
        <w:pStyle w:val="BodyText"/>
        <w:spacing w:before="1"/>
        <w:ind w:left="270" w:right="675" w:firstLine="426"/>
        <w:jc w:val="both"/>
      </w:pPr>
      <w:r>
        <w:rPr/>
        <w:t>Also, age could be considered as a factor of protection for situations in which employees are exposed to  mechanical hazard as older ones had more experience and had witnessed events caused by mistakes in security conditions (figure</w:t>
      </w:r>
      <w:r>
        <w:rPr>
          <w:spacing w:val="-12"/>
        </w:rPr>
        <w:t> </w:t>
      </w:r>
      <w:r>
        <w:rPr/>
        <w:t>11).</w:t>
      </w:r>
    </w:p>
    <w:p>
      <w:pPr>
        <w:pStyle w:val="BodyText"/>
        <w:spacing w:before="1"/>
        <w:rPr>
          <w:sz w:val="17"/>
        </w:rPr>
      </w:pPr>
      <w:r>
        <w:rPr/>
        <w:drawing>
          <wp:anchor distT="0" distB="0" distL="0" distR="0" allowOverlap="1" layoutInCell="1" locked="0" behindDoc="0" simplePos="0" relativeHeight="16816">
            <wp:simplePos x="0" y="0"/>
            <wp:positionH relativeFrom="page">
              <wp:posOffset>4401311</wp:posOffset>
            </wp:positionH>
            <wp:positionV relativeFrom="paragraph">
              <wp:posOffset>150073</wp:posOffset>
            </wp:positionV>
            <wp:extent cx="2516892" cy="1673352"/>
            <wp:effectExtent l="0" t="0" r="0" b="0"/>
            <wp:wrapTopAndBottom/>
            <wp:docPr id="727" name="image422.png" descr=""/>
            <wp:cNvGraphicFramePr>
              <a:graphicFrameLocks noChangeAspect="1"/>
            </wp:cNvGraphicFramePr>
            <a:graphic>
              <a:graphicData uri="http://schemas.openxmlformats.org/drawingml/2006/picture">
                <pic:pic>
                  <pic:nvPicPr>
                    <pic:cNvPr id="728" name="image422.png"/>
                    <pic:cNvPicPr/>
                  </pic:nvPicPr>
                  <pic:blipFill>
                    <a:blip r:embed="rId680" cstate="print"/>
                    <a:stretch>
                      <a:fillRect/>
                    </a:stretch>
                  </pic:blipFill>
                  <pic:spPr>
                    <a:xfrm>
                      <a:off x="0" y="0"/>
                      <a:ext cx="2516892" cy="1673352"/>
                    </a:xfrm>
                    <a:prstGeom prst="rect">
                      <a:avLst/>
                    </a:prstGeom>
                  </pic:spPr>
                </pic:pic>
              </a:graphicData>
            </a:graphic>
          </wp:anchor>
        </w:drawing>
      </w:r>
    </w:p>
    <w:p>
      <w:pPr>
        <w:pStyle w:val="BodyText"/>
        <w:rPr>
          <w:sz w:val="17"/>
        </w:rPr>
      </w:pPr>
    </w:p>
    <w:p>
      <w:pPr>
        <w:pStyle w:val="BodyText"/>
        <w:ind w:left="291" w:right="701"/>
        <w:jc w:val="center"/>
      </w:pPr>
      <w:r>
        <w:rPr/>
        <w:t>Figure 11. Attitude vs age (Source: Author)</w:t>
      </w:r>
    </w:p>
    <w:p>
      <w:pPr>
        <w:pStyle w:val="BodyText"/>
      </w:pPr>
    </w:p>
    <w:p>
      <w:pPr>
        <w:pStyle w:val="BodyText"/>
      </w:pPr>
    </w:p>
    <w:p>
      <w:pPr>
        <w:pStyle w:val="BodyText"/>
        <w:ind w:left="270" w:right="677" w:firstLine="426"/>
        <w:jc w:val="both"/>
      </w:pPr>
      <w:r>
        <w:rPr/>
        <w:t>One of the most important findings is that supervisors neglect prevention. Also, as operators are subordinate to supervisors’ orders it is likely to happen more dangerous events. Evaluation of hazard by employee has been affected as well (figure 12)</w:t>
      </w:r>
    </w:p>
    <w:p>
      <w:pPr>
        <w:pStyle w:val="BodyText"/>
      </w:pPr>
    </w:p>
    <w:p>
      <w:pPr>
        <w:pStyle w:val="BodyText"/>
        <w:spacing w:before="4"/>
        <w:rPr>
          <w:sz w:val="17"/>
        </w:rPr>
      </w:pPr>
      <w:r>
        <w:rPr/>
        <w:drawing>
          <wp:anchor distT="0" distB="0" distL="0" distR="0" allowOverlap="1" layoutInCell="1" locked="0" behindDoc="0" simplePos="0" relativeHeight="16840">
            <wp:simplePos x="0" y="0"/>
            <wp:positionH relativeFrom="page">
              <wp:posOffset>4401311</wp:posOffset>
            </wp:positionH>
            <wp:positionV relativeFrom="paragraph">
              <wp:posOffset>151877</wp:posOffset>
            </wp:positionV>
            <wp:extent cx="2512305" cy="1668779"/>
            <wp:effectExtent l="0" t="0" r="0" b="0"/>
            <wp:wrapTopAndBottom/>
            <wp:docPr id="729" name="image423.png" descr=""/>
            <wp:cNvGraphicFramePr>
              <a:graphicFrameLocks noChangeAspect="1"/>
            </wp:cNvGraphicFramePr>
            <a:graphic>
              <a:graphicData uri="http://schemas.openxmlformats.org/drawingml/2006/picture">
                <pic:pic>
                  <pic:nvPicPr>
                    <pic:cNvPr id="730" name="image423.png"/>
                    <pic:cNvPicPr/>
                  </pic:nvPicPr>
                  <pic:blipFill>
                    <a:blip r:embed="rId681" cstate="print"/>
                    <a:stretch>
                      <a:fillRect/>
                    </a:stretch>
                  </pic:blipFill>
                  <pic:spPr>
                    <a:xfrm>
                      <a:off x="0" y="0"/>
                      <a:ext cx="2512305" cy="1668779"/>
                    </a:xfrm>
                    <a:prstGeom prst="rect">
                      <a:avLst/>
                    </a:prstGeom>
                  </pic:spPr>
                </pic:pic>
              </a:graphicData>
            </a:graphic>
          </wp:anchor>
        </w:drawing>
      </w:r>
    </w:p>
    <w:p>
      <w:pPr>
        <w:pStyle w:val="BodyText"/>
        <w:spacing w:before="5"/>
        <w:rPr>
          <w:sz w:val="17"/>
        </w:rPr>
      </w:pPr>
    </w:p>
    <w:p>
      <w:pPr>
        <w:pStyle w:val="BodyText"/>
        <w:ind w:left="292" w:right="701"/>
        <w:jc w:val="center"/>
      </w:pPr>
      <w:r>
        <w:rPr/>
        <w:t>Figure 12. Attitude vs position (Source: Author)</w:t>
      </w:r>
    </w:p>
    <w:p>
      <w:pPr>
        <w:pStyle w:val="BodyText"/>
      </w:pPr>
    </w:p>
    <w:p>
      <w:pPr>
        <w:pStyle w:val="BodyText"/>
      </w:pPr>
    </w:p>
    <w:p>
      <w:pPr>
        <w:pStyle w:val="BodyText"/>
        <w:spacing w:before="2"/>
      </w:pPr>
    </w:p>
    <w:p>
      <w:pPr>
        <w:pStyle w:val="Heading4"/>
        <w:numPr>
          <w:ilvl w:val="0"/>
          <w:numId w:val="149"/>
        </w:numPr>
        <w:tabs>
          <w:tab w:pos="472" w:val="left" w:leader="none"/>
        </w:tabs>
        <w:spacing w:line="240" w:lineRule="auto" w:before="1" w:after="0"/>
        <w:ind w:left="471" w:right="0" w:hanging="201"/>
        <w:jc w:val="both"/>
      </w:pPr>
      <w:r>
        <w:rPr/>
        <w:t>CONCLUSIONS</w:t>
      </w:r>
    </w:p>
    <w:p>
      <w:pPr>
        <w:pStyle w:val="BodyText"/>
        <w:spacing w:before="8"/>
        <w:rPr>
          <w:b/>
          <w:sz w:val="19"/>
        </w:rPr>
      </w:pPr>
    </w:p>
    <w:p>
      <w:pPr>
        <w:pStyle w:val="BodyText"/>
        <w:ind w:left="270" w:right="675"/>
        <w:jc w:val="both"/>
      </w:pPr>
      <w:r>
        <w:rPr/>
        <w:t>In order to promote employees’ health, prevent incidents or accidents and improve security conditions the strategies to implement in the three companies evaluated must be enhanced within younger employees and less experienced ones.</w:t>
      </w:r>
    </w:p>
    <w:p>
      <w:pPr>
        <w:pStyle w:val="BodyText"/>
      </w:pPr>
    </w:p>
    <w:p>
      <w:pPr>
        <w:pStyle w:val="BodyText"/>
        <w:spacing w:before="1"/>
        <w:ind w:left="270" w:right="675" w:firstLine="284"/>
        <w:jc w:val="both"/>
      </w:pPr>
      <w:r>
        <w:rPr/>
        <w:t>It should not be assumed that employees with higher level of education are aware of the consequences resulting from exposure to mechanical hazard. They also have to be included within prevention strategies.</w:t>
      </w:r>
    </w:p>
    <w:p>
      <w:pPr>
        <w:spacing w:after="0"/>
        <w:jc w:val="both"/>
        <w:sectPr>
          <w:type w:val="continuous"/>
          <w:pgSz w:w="12240" w:h="15840"/>
          <w:pgMar w:top="1500" w:bottom="280" w:left="580" w:right="220"/>
          <w:cols w:num="2" w:equalWidth="0">
            <w:col w:w="5190" w:space="434"/>
            <w:col w:w="5816"/>
          </w:cols>
        </w:sectPr>
      </w:pPr>
    </w:p>
    <w:p>
      <w:pPr>
        <w:pStyle w:val="BodyText"/>
        <w:spacing w:before="10"/>
        <w:rPr>
          <w:sz w:val="10"/>
        </w:rPr>
      </w:pPr>
    </w:p>
    <w:p>
      <w:pPr>
        <w:spacing w:after="0"/>
        <w:rPr>
          <w:sz w:val="10"/>
        </w:rPr>
        <w:sectPr>
          <w:pgSz w:w="12240" w:h="15840"/>
          <w:pgMar w:header="545" w:footer="852" w:top="1060" w:bottom="1040" w:left="580" w:right="220"/>
        </w:sectPr>
      </w:pPr>
    </w:p>
    <w:p>
      <w:pPr>
        <w:pStyle w:val="BodyText"/>
        <w:spacing w:before="10"/>
        <w:rPr>
          <w:sz w:val="26"/>
        </w:rPr>
      </w:pPr>
    </w:p>
    <w:p>
      <w:pPr>
        <w:pStyle w:val="BodyText"/>
        <w:ind w:left="270" w:firstLine="426"/>
        <w:jc w:val="both"/>
      </w:pPr>
      <w:r>
        <w:rPr/>
        <w:t>Training programs should be focused on prevention within supervisors. They must be taught to be leaders in health management and security at work. The objective is supervisors tend to protect health of employees within the organization.</w:t>
      </w:r>
    </w:p>
    <w:p>
      <w:pPr>
        <w:pStyle w:val="BodyText"/>
        <w:spacing w:before="11"/>
        <w:rPr>
          <w:sz w:val="19"/>
        </w:rPr>
      </w:pPr>
    </w:p>
    <w:p>
      <w:pPr>
        <w:pStyle w:val="BodyText"/>
        <w:ind w:left="270" w:right="1" w:firstLine="426"/>
        <w:jc w:val="both"/>
      </w:pPr>
      <w:r>
        <w:rPr/>
        <w:t>Evaluation of community working committee in terms of structure and operation according to resolution 652, 2012 by the Ministry of Labour is required in order to establish improvements that enhance working environment.</w:t>
      </w:r>
    </w:p>
    <w:p>
      <w:pPr>
        <w:pStyle w:val="BodyText"/>
        <w:spacing w:before="11"/>
        <w:rPr>
          <w:sz w:val="19"/>
        </w:rPr>
      </w:pPr>
    </w:p>
    <w:p>
      <w:pPr>
        <w:pStyle w:val="BodyText"/>
        <w:ind w:left="270" w:right="1" w:firstLine="426"/>
        <w:jc w:val="both"/>
      </w:pPr>
      <w:r>
        <w:rPr/>
        <w:t>Epidemiological monitoring program on working psychosocial factors should also be tested according to resolution 2646, 2008 by the Ministry of Social Protection. The objective is to make necessary changes to reduce symptoms caused by occupational stress.</w:t>
      </w:r>
    </w:p>
    <w:p>
      <w:pPr>
        <w:pStyle w:val="BodyText"/>
        <w:spacing w:before="11"/>
        <w:rPr>
          <w:sz w:val="19"/>
        </w:rPr>
      </w:pPr>
    </w:p>
    <w:p>
      <w:pPr>
        <w:pStyle w:val="BodyText"/>
        <w:ind w:left="270" w:right="1" w:firstLine="426"/>
        <w:jc w:val="both"/>
      </w:pPr>
      <w:r>
        <w:rPr/>
        <w:t>Further studies will develop specific measurement instruments in order to establish the relationship between working conditions and reduction of prevention towards hazard to which employees are exposed.</w:t>
      </w:r>
    </w:p>
    <w:p>
      <w:pPr>
        <w:pStyle w:val="BodyText"/>
        <w:spacing w:before="3"/>
      </w:pPr>
    </w:p>
    <w:p>
      <w:pPr>
        <w:pStyle w:val="Heading4"/>
        <w:numPr>
          <w:ilvl w:val="0"/>
          <w:numId w:val="149"/>
        </w:numPr>
        <w:tabs>
          <w:tab w:pos="471" w:val="left" w:leader="none"/>
        </w:tabs>
        <w:spacing w:line="240" w:lineRule="auto" w:before="0" w:after="0"/>
        <w:ind w:left="470" w:right="0" w:hanging="200"/>
        <w:jc w:val="both"/>
      </w:pPr>
      <w:r>
        <w:rPr/>
        <w:t>REFERENCES</w:t>
      </w:r>
    </w:p>
    <w:p>
      <w:pPr>
        <w:pStyle w:val="BodyText"/>
        <w:spacing w:before="8"/>
        <w:rPr>
          <w:b/>
          <w:sz w:val="19"/>
        </w:rPr>
      </w:pPr>
    </w:p>
    <w:p>
      <w:pPr>
        <w:pStyle w:val="BodyText"/>
        <w:ind w:left="270" w:right="1"/>
        <w:jc w:val="both"/>
      </w:pPr>
      <w:r>
        <w:rPr/>
        <w:t>[1] Colombia. Ministerio del Trabajo, “Informe ejecutivo II encuesta nacional de condiciones de seguridad y salud en el trabajo en el sistema general de riesgos laborales (II ENCSST)”,  El Ministerio, 2013.</w:t>
      </w:r>
    </w:p>
    <w:p>
      <w:pPr>
        <w:pStyle w:val="BodyText"/>
        <w:tabs>
          <w:tab w:pos="4942" w:val="left" w:leader="none"/>
        </w:tabs>
        <w:ind w:left="270" w:right="1"/>
        <w:jc w:val="both"/>
      </w:pPr>
      <w:r>
        <w:rPr/>
        <w:t>[2] FASECOLDA. Sistema de consulta pública de riesgos laborales, “Reporte por actividad económica – 4604201” disponible</w:t>
        <w:tab/>
        <w:t>en:</w:t>
      </w:r>
    </w:p>
    <w:p>
      <w:pPr>
        <w:pStyle w:val="BodyText"/>
        <w:ind w:left="270" w:right="10"/>
        <w:jc w:val="both"/>
      </w:pPr>
      <w:hyperlink r:id="rId682">
        <w:r>
          <w:rPr/>
          <w:t>&lt;http://co</w:t>
        </w:r>
      </w:hyperlink>
      <w:r>
        <w:rPr/>
        <w:t>n</w:t>
      </w:r>
      <w:hyperlink r:id="rId682">
        <w:r>
          <w:rPr/>
          <w:t>sultas.fasecolda.com/rpdatos/Reportes/xGrupos.as</w:t>
        </w:r>
      </w:hyperlink>
      <w:r>
        <w:rPr/>
        <w:t> px&gt;, consultado el 22 de marzo de 2015.</w:t>
      </w:r>
    </w:p>
    <w:p>
      <w:pPr>
        <w:pStyle w:val="BodyText"/>
        <w:ind w:left="270"/>
        <w:jc w:val="both"/>
      </w:pPr>
      <w:r>
        <w:rPr/>
        <w:t>[3] L. López, Y. Murcia, J. Salamanca, “Condiciones de seguridad en el trabajo relacionadas con la manipulación de máquinas y herramientas, el movimiento manual de cargas y el movimiento mecánico de materiales en Servientrega  S.A.”, Trabajo de grado para optar al título de especialista en salud ocupacional, Universidad Manuela Beltrán,</w:t>
      </w:r>
      <w:r>
        <w:rPr>
          <w:spacing w:val="-20"/>
        </w:rPr>
        <w:t> </w:t>
      </w:r>
      <w:r>
        <w:rPr/>
        <w:t>2014.</w:t>
      </w:r>
    </w:p>
    <w:p>
      <w:pPr>
        <w:pStyle w:val="BodyText"/>
        <w:ind w:left="270" w:right="1"/>
        <w:jc w:val="both"/>
      </w:pPr>
      <w:r>
        <w:rPr/>
        <w:t>[4] L. Blanco, N. Muñoz, J. Plata, “Condiciones de seguridad en el trabajo relacionadas con la manipulación de máquinas y herramientas, el movimiento manual de cargas y el movimiento mecánico de materiales en Timon outsourcing  de Servientrega S.A.”, Trabajo de grado para optar al título de especialista en salud ocupacional, Universidad Manuela Beltrán,</w:t>
      </w:r>
      <w:r>
        <w:rPr>
          <w:spacing w:val="-8"/>
        </w:rPr>
        <w:t> </w:t>
      </w:r>
      <w:r>
        <w:rPr/>
        <w:t>2015.</w:t>
      </w:r>
    </w:p>
    <w:p>
      <w:pPr>
        <w:pStyle w:val="BodyText"/>
        <w:spacing w:before="11"/>
        <w:rPr>
          <w:sz w:val="19"/>
        </w:rPr>
      </w:pPr>
    </w:p>
    <w:p>
      <w:pPr>
        <w:pStyle w:val="BodyText"/>
        <w:ind w:left="270"/>
        <w:jc w:val="both"/>
      </w:pPr>
      <w:r>
        <w:rPr/>
        <w:t>[5] R. Castillo, J. García, K. Solorzano, “Condiciones de seguridad en el trabajo relacionadas con la manipulación de máquinas y herramientas, el movimiento manual de cargas y el movimiento mecánico de materiales en la empresa Corporación Colombina de Logistica S.A.”, Trabajo de  grado para optar al título de especialista en salud ocupacional, Universidad Manuela Beltrán,</w:t>
      </w:r>
      <w:r>
        <w:rPr>
          <w:spacing w:val="-19"/>
        </w:rPr>
        <w:t> </w:t>
      </w:r>
      <w:r>
        <w:rPr/>
        <w:t>2015.</w:t>
      </w:r>
    </w:p>
    <w:p>
      <w:pPr>
        <w:spacing w:before="79"/>
        <w:ind w:left="270" w:right="677" w:firstLine="0"/>
        <w:jc w:val="both"/>
        <w:rPr>
          <w:sz w:val="16"/>
        </w:rPr>
      </w:pPr>
      <w:r>
        <w:rPr/>
        <w:br w:type="column"/>
      </w:r>
      <w:r>
        <w:rPr>
          <w:b/>
          <w:sz w:val="16"/>
        </w:rPr>
        <w:t>Jhon Jairo Beltrán Molina: </w:t>
      </w:r>
      <w:r>
        <w:rPr>
          <w:sz w:val="16"/>
        </w:rPr>
        <w:t>He is a Chemical Engineer, Specialist in Occupational Health from Universidad Nacional de Colombia, Magister in Education from Universidad Pedagógica Nacional. Seminar Professor of Industrial Hygiene Specialization in Occupational Health and Occupational hazard from Universidad Manuela Beltrán, Professor and researcher of Industrial Safety at Universidad Manuela Beltrán. Assessor in Industrial Safety and Hygiene for different suppliers of ARL in Colombia.</w:t>
      </w:r>
    </w:p>
    <w:p>
      <w:pPr>
        <w:spacing w:after="0"/>
        <w:jc w:val="both"/>
        <w:rPr>
          <w:sz w:val="16"/>
        </w:rPr>
        <w:sectPr>
          <w:type w:val="continuous"/>
          <w:pgSz w:w="12240" w:h="15840"/>
          <w:pgMar w:top="1500" w:bottom="280" w:left="580" w:right="220"/>
          <w:cols w:num="2" w:equalWidth="0">
            <w:col w:w="5190" w:space="434"/>
            <w:col w:w="5816"/>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
        <w:rPr>
          <w:sz w:val="26"/>
        </w:rPr>
      </w:pPr>
    </w:p>
    <w:p>
      <w:pPr>
        <w:pStyle w:val="Heading1"/>
        <w:ind w:right="17"/>
      </w:pPr>
      <w:r>
        <w:rPr/>
        <w:t>Psychosocial Risk Factors and Burnout Syndrome in Human Resources workers of a company dedicated to the supply of short-term personnel services in Bogotá, D.C.</w:t>
      </w:r>
    </w:p>
    <w:p>
      <w:pPr>
        <w:pStyle w:val="BodyText"/>
        <w:spacing w:before="9"/>
        <w:rPr>
          <w:b/>
          <w:sz w:val="19"/>
        </w:rPr>
      </w:pPr>
    </w:p>
    <w:p>
      <w:pPr>
        <w:spacing w:before="0"/>
        <w:ind w:left="270" w:right="17" w:firstLine="0"/>
        <w:jc w:val="both"/>
        <w:rPr>
          <w:i/>
          <w:sz w:val="20"/>
        </w:rPr>
      </w:pPr>
      <w:r>
        <w:rPr>
          <w:i/>
          <w:sz w:val="20"/>
        </w:rPr>
        <w:t>Eleonora Jiménez Barrero*, Lizeth.Katherine Bohórquez </w:t>
      </w:r>
      <w:r>
        <w:rPr>
          <w:i/>
          <w:sz w:val="20"/>
        </w:rPr>
        <w:t>Gómez** Jenny Fernanda Quintero Quintero*** y Maira Alejandra Chaparro Sepúlveda****</w:t>
      </w:r>
    </w:p>
    <w:p>
      <w:pPr>
        <w:pStyle w:val="BodyText"/>
        <w:spacing w:before="10"/>
        <w:rPr>
          <w:i/>
          <w:sz w:val="19"/>
        </w:rPr>
      </w:pPr>
    </w:p>
    <w:p>
      <w:pPr>
        <w:spacing w:before="0"/>
        <w:ind w:left="270" w:right="0" w:firstLine="0"/>
        <w:jc w:val="both"/>
        <w:rPr>
          <w:sz w:val="16"/>
        </w:rPr>
      </w:pPr>
      <w:r>
        <w:rPr>
          <w:sz w:val="16"/>
        </w:rPr>
        <w:t>. *Universidad Manuela Beltrán, </w:t>
      </w:r>
      <w:hyperlink r:id="rId683">
        <w:r>
          <w:rPr>
            <w:sz w:val="16"/>
          </w:rPr>
          <w:t>eleonorajimenez@hotmail.com,</w:t>
        </w:r>
      </w:hyperlink>
      <w:r>
        <w:rPr>
          <w:sz w:val="16"/>
        </w:rPr>
        <w:t> Bogotá, D.C., Colombia.</w:t>
      </w:r>
    </w:p>
    <w:p>
      <w:pPr>
        <w:spacing w:before="0"/>
        <w:ind w:left="270" w:right="0" w:firstLine="0"/>
        <w:jc w:val="both"/>
        <w:rPr>
          <w:sz w:val="16"/>
        </w:rPr>
      </w:pPr>
      <w:r>
        <w:rPr>
          <w:sz w:val="16"/>
        </w:rPr>
        <w:t>**Universidad Manuela Beltrán, </w:t>
      </w:r>
      <w:hyperlink r:id="rId684">
        <w:r>
          <w:rPr>
            <w:sz w:val="16"/>
          </w:rPr>
          <w:t>pslizethbohoquez@hotmail.com,</w:t>
        </w:r>
      </w:hyperlink>
      <w:r>
        <w:rPr>
          <w:sz w:val="16"/>
        </w:rPr>
        <w:t> Bogotá D.C., Colombia.</w:t>
      </w:r>
    </w:p>
    <w:p>
      <w:pPr>
        <w:spacing w:before="1"/>
        <w:ind w:left="270" w:right="0" w:firstLine="0"/>
        <w:jc w:val="both"/>
        <w:rPr>
          <w:sz w:val="16"/>
        </w:rPr>
      </w:pPr>
      <w:r>
        <w:rPr>
          <w:sz w:val="16"/>
        </w:rPr>
        <w:t>***Universidad Manuela Beltrán, </w:t>
      </w:r>
      <w:hyperlink r:id="rId685">
        <w:r>
          <w:rPr>
            <w:sz w:val="16"/>
          </w:rPr>
          <w:t>quintero.fernanda@gmail.com,</w:t>
        </w:r>
      </w:hyperlink>
      <w:r>
        <w:rPr>
          <w:sz w:val="16"/>
        </w:rPr>
        <w:t> Bogotá D.C., Colombia.</w:t>
      </w:r>
    </w:p>
    <w:p>
      <w:pPr>
        <w:spacing w:before="0"/>
        <w:ind w:left="270" w:right="0" w:firstLine="0"/>
        <w:jc w:val="both"/>
        <w:rPr>
          <w:sz w:val="16"/>
        </w:rPr>
      </w:pPr>
      <w:r>
        <w:rPr>
          <w:sz w:val="16"/>
        </w:rPr>
        <w:t>****Universidad Manuela Beltrán, </w:t>
      </w:r>
      <w:hyperlink r:id="rId686">
        <w:r>
          <w:rPr>
            <w:sz w:val="16"/>
          </w:rPr>
          <w:t>maira.chaparro@gmail.com,</w:t>
        </w:r>
      </w:hyperlink>
      <w:r>
        <w:rPr>
          <w:sz w:val="16"/>
        </w:rPr>
        <w:t> Bogotá D.C., Colombia.</w:t>
      </w:r>
    </w:p>
    <w:p>
      <w:pPr>
        <w:pStyle w:val="BodyText"/>
        <w:spacing w:before="4"/>
      </w:pPr>
    </w:p>
    <w:p>
      <w:pPr>
        <w:pStyle w:val="Heading4"/>
      </w:pPr>
      <w:r>
        <w:rPr/>
        <w:pict>
          <v:line style="position:absolute;mso-position-horizontal-relative:page;mso-position-vertical-relative:paragraph;z-index:16864" from="41.040001pt,13.20583pt" to="289.860001pt,13.20583pt" stroked="true" strokeweight="1.5pt" strokecolor="#000000">
            <w10:wrap type="none"/>
          </v:line>
        </w:pict>
      </w:r>
      <w:r>
        <w:rPr/>
        <w:t>Resumen</w:t>
      </w:r>
    </w:p>
    <w:p>
      <w:pPr>
        <w:pStyle w:val="BodyText"/>
        <w:spacing w:before="46"/>
        <w:ind w:left="270" w:right="16"/>
        <w:jc w:val="both"/>
      </w:pPr>
      <w:r>
        <w:rPr/>
        <w:t>El objetivo fue caracterizar los factores de Riesgo Psicosocial, y el Síndrome de Burnout en trabajadores del área administrativa de una empresa dedicada a la obtención y suministro de personal en Bogotá D.C. La descripción de las condiciones de trabajo y su efecto en la salud a través de mecanismos psicológicos y fisiológicos se considera un objetivo común con la psicosociología. La muestra fue de 53 trabajadores, a quienes se les aplicaron los cuestionarios Ficha de datos generales, cuestionario de factores de riesgo psicosocial intralaboral forma A y cuestionario de factores   de riesgo psicosocial extralaboral que hacen parte de la Batería de instrumentos para la evaluación de factores de riesgo psicosocial, validada en Colombia. Para la evaluación del Síndrome de </w:t>
      </w:r>
      <w:r>
        <w:rPr>
          <w:i/>
        </w:rPr>
        <w:t>Burnout </w:t>
      </w:r>
      <w:r>
        <w:rPr/>
        <w:t>se aplicó el cuestionario CESQT de Pedro Gil Monte. Se encontró que el 49% de los trabajadores, perciben los factores de riesgo psicosocial intralaboral en un nivel de riesgo alto o muy alto. El 47% de las personas consideran los factores de riesgo psicosocial extralaboral en riesgo alto o muy alto. La prevalencia de trabajadores con el Síndrome de Burnout en riesgo medio fue de 42%. Un 17% de las personas de la muestra  se  encuentran simultáneamente en un nivel de riesgo Alto o Muy Alto en los factores intralaborales y Alto o Crítico en el cuestionario de evaluación del síndrome del quemado en el trabajo. Desde un enfoque de gestión integral y de mejora continua, se recomienda tomar diversas medidas de prevención.</w:t>
      </w:r>
    </w:p>
    <w:p>
      <w:pPr>
        <w:pStyle w:val="BodyText"/>
        <w:spacing w:before="11"/>
        <w:rPr>
          <w:sz w:val="19"/>
        </w:rPr>
      </w:pPr>
    </w:p>
    <w:p>
      <w:pPr>
        <w:pStyle w:val="BodyText"/>
        <w:ind w:left="270" w:right="17"/>
        <w:jc w:val="both"/>
      </w:pPr>
      <w:r>
        <w:rPr>
          <w:b/>
        </w:rPr>
        <w:t>Palabras clave</w:t>
      </w:r>
      <w:r>
        <w:rPr/>
        <w:t>—</w:t>
      </w:r>
      <w:r>
        <w:rPr>
          <w:i/>
        </w:rPr>
        <w:t>Burnout</w:t>
      </w:r>
      <w:r>
        <w:rPr/>
        <w:t>, Factores de riesgo psicosocial intralaboral, factores de riesgo psicosocial extralaboral.</w:t>
      </w:r>
    </w:p>
    <w:p>
      <w:pPr>
        <w:pStyle w:val="BodyText"/>
        <w:spacing w:before="3"/>
      </w:pPr>
    </w:p>
    <w:p>
      <w:pPr>
        <w:pStyle w:val="Heading5"/>
        <w:rPr>
          <w:i/>
        </w:rPr>
      </w:pPr>
      <w:r>
        <w:rPr/>
        <w:pict>
          <v:line style="position:absolute;mso-position-horizontal-relative:page;mso-position-vertical-relative:paragraph;z-index:16888" from="41.040001pt,13.207079pt" to="289.860001pt,13.207079pt" stroked="true" strokeweight="1.5pt" strokecolor="#000000">
            <w10:wrap type="none"/>
          </v:line>
        </w:pict>
      </w:r>
      <w:r>
        <w:rPr>
          <w:i/>
        </w:rPr>
        <w:t>Abstract</w:t>
      </w:r>
    </w:p>
    <w:p>
      <w:pPr>
        <w:spacing w:before="46"/>
        <w:ind w:left="270" w:right="16" w:firstLine="0"/>
        <w:jc w:val="both"/>
        <w:rPr>
          <w:i/>
          <w:sz w:val="20"/>
        </w:rPr>
      </w:pPr>
      <w:r>
        <w:rPr>
          <w:i/>
          <w:sz w:val="20"/>
        </w:rPr>
        <w:t>The overall objective was to characterize Psychosocial Risk </w:t>
      </w:r>
      <w:r>
        <w:rPr>
          <w:i/>
          <w:sz w:val="20"/>
        </w:rPr>
        <w:t>Factors and Burnout Syndrome in administrative workers of a company dedicated to the supply of short-term personnel services in Bogotá. The description of work conditions and their effects on health through psychological and physiological  mechanisms  may  be  considered  a   common</w:t>
      </w:r>
    </w:p>
    <w:p>
      <w:pPr>
        <w:spacing w:before="74"/>
        <w:ind w:left="270" w:right="675" w:firstLine="0"/>
        <w:jc w:val="both"/>
        <w:rPr>
          <w:i/>
          <w:sz w:val="20"/>
        </w:rPr>
      </w:pPr>
      <w:r>
        <w:rPr/>
        <w:br w:type="column"/>
      </w:r>
      <w:r>
        <w:rPr>
          <w:i/>
          <w:sz w:val="20"/>
        </w:rPr>
        <w:t>objective with psychosociology. The sample were 53 </w:t>
      </w:r>
      <w:r>
        <w:rPr>
          <w:i/>
          <w:sz w:val="20"/>
        </w:rPr>
        <w:t>workers, who filled the general data questionnaire, Related-work psychosocial risk factors – form A questionnaire and Non-Related to work psychosocial risk factors questionnaire that are part of the Battery of Psychosocial risk factors test validated in Colombia. For  the evaluation of the Burnout syndrome, the CESQT questionnaire by Pedro Gil Monte was applied. As a result, it was found that, 49% of the workers perceive the Related- work psychosocial risk factors at a level high or very high risk.. As well, 47% of the people evaluated consider the Non-Related to work psychosocial risk factors as high or very high. The prevalence of workers  with  burnout syndrome in medium risk was 42%. Finally, 17% of the people in the sample are in a high or very high risk in the Related-work psychosocial risk factors and high or critical in the burnout syndrome questionnaire  simultaneously. From an integrated management and continuous improvement perspective, it is recommended to take diverse preventive</w:t>
      </w:r>
      <w:r>
        <w:rPr>
          <w:i/>
          <w:spacing w:val="-17"/>
          <w:sz w:val="20"/>
        </w:rPr>
        <w:t> </w:t>
      </w:r>
      <w:r>
        <w:rPr>
          <w:i/>
          <w:sz w:val="20"/>
        </w:rPr>
        <w:t>measures.</w:t>
      </w:r>
    </w:p>
    <w:p>
      <w:pPr>
        <w:pStyle w:val="BodyText"/>
        <w:spacing w:before="11"/>
        <w:rPr>
          <w:i/>
          <w:sz w:val="19"/>
        </w:rPr>
      </w:pPr>
    </w:p>
    <w:p>
      <w:pPr>
        <w:spacing w:before="0"/>
        <w:ind w:left="270" w:right="679" w:firstLine="0"/>
        <w:jc w:val="both"/>
        <w:rPr>
          <w:i/>
          <w:sz w:val="20"/>
        </w:rPr>
      </w:pPr>
      <w:r>
        <w:rPr>
          <w:b/>
          <w:i/>
          <w:sz w:val="20"/>
        </w:rPr>
        <w:t>Keywords</w:t>
      </w:r>
      <w:r>
        <w:rPr>
          <w:i/>
          <w:sz w:val="20"/>
        </w:rPr>
        <w:t>— Burnout, Work psychosocial risk factors, Non- </w:t>
      </w:r>
      <w:r>
        <w:rPr>
          <w:i/>
          <w:sz w:val="20"/>
        </w:rPr>
        <w:t>related to work psychosocial risk factors</w:t>
      </w:r>
    </w:p>
    <w:p>
      <w:pPr>
        <w:pStyle w:val="BodyText"/>
        <w:spacing w:before="11"/>
        <w:rPr>
          <w:i/>
          <w:sz w:val="19"/>
        </w:rPr>
      </w:pPr>
    </w:p>
    <w:p>
      <w:pPr>
        <w:pStyle w:val="BodyText"/>
        <w:ind w:left="270"/>
        <w:jc w:val="both"/>
      </w:pPr>
      <w:r>
        <w:rPr/>
        <w:t>Relevance to Ergonomics:</w:t>
      </w:r>
    </w:p>
    <w:p>
      <w:pPr>
        <w:pStyle w:val="BodyText"/>
        <w:spacing w:before="3"/>
      </w:pPr>
    </w:p>
    <w:p>
      <w:pPr>
        <w:pStyle w:val="Heading4"/>
        <w:numPr>
          <w:ilvl w:val="0"/>
          <w:numId w:val="150"/>
        </w:numPr>
        <w:tabs>
          <w:tab w:pos="473" w:val="left" w:leader="none"/>
        </w:tabs>
        <w:spacing w:line="240" w:lineRule="auto" w:before="0" w:after="0"/>
        <w:ind w:left="472" w:right="0" w:hanging="202"/>
        <w:jc w:val="both"/>
      </w:pPr>
      <w:r>
        <w:rPr/>
        <w:t>INTRODUCTION</w:t>
      </w:r>
    </w:p>
    <w:p>
      <w:pPr>
        <w:pStyle w:val="BodyText"/>
        <w:spacing w:before="8"/>
        <w:rPr>
          <w:b/>
          <w:sz w:val="19"/>
        </w:rPr>
      </w:pPr>
    </w:p>
    <w:p>
      <w:pPr>
        <w:pStyle w:val="BodyText"/>
        <w:ind w:left="270" w:right="676"/>
        <w:jc w:val="both"/>
      </w:pPr>
      <w:r>
        <w:rPr/>
        <w:t>There is a growing number of studies made all over the world about the influence of the globalization economy, the change in economic systems and the work organization on workers’ health. Several studies made by the European Union, USA, Spain, Central and South American countries have shown that contemporary work conditions have damaging effects on health [1]. Some of the studies indicate a relationship between the exposure to psychosocial risk factors in workplaces and the development of Burnout Syndrome.</w:t>
      </w:r>
    </w:p>
    <w:p>
      <w:pPr>
        <w:pStyle w:val="BodyText"/>
        <w:ind w:left="270" w:right="676" w:firstLine="351"/>
        <w:jc w:val="both"/>
      </w:pPr>
      <w:r>
        <w:rPr/>
        <w:t>Burnout is characterized by emotional exhaustion, loss of energy, estrangement and cynicism toward clients, feelings of incompetence, decline of perceived professional self- efficacy, job rejection attitudes and a wide range of other psychological symptoms like irritability, anxiety, sadness and low self- esteem [2]. Health workers are more prone to the syndrome and in general, people who work in service organizations where they are in contact with clients.</w:t>
      </w:r>
    </w:p>
    <w:p>
      <w:pPr>
        <w:pStyle w:val="BodyText"/>
        <w:ind w:left="270" w:right="676" w:firstLine="350"/>
        <w:jc w:val="both"/>
      </w:pPr>
      <w:r>
        <w:rPr/>
        <w:t>In the seventies, Robert Karasek [3] proposed that not only the psychological demands of work can cause stress or illness but the decision latitude (control) that the worker has when he realize a task is also very important because it acts as a moderator mechanism of job demands. Therefore, job strain may appear when the task requires high demands and decision latitude is low. This assumption was confirmed in many databases with Swedish and American workers ratifying the predictive power of the Demand Control  Model.</w:t>
      </w:r>
    </w:p>
    <w:p>
      <w:pPr>
        <w:pStyle w:val="BodyText"/>
        <w:ind w:left="270" w:right="677" w:firstLine="350"/>
        <w:jc w:val="both"/>
      </w:pPr>
      <w:r>
        <w:rPr/>
        <w:t>Some years later, the Effort- Reward Imbalance model [4]  sets out  that  job  stress occurs when  someone realize a</w:t>
      </w:r>
    </w:p>
    <w:p>
      <w:pPr>
        <w:spacing w:after="0"/>
        <w:jc w:val="both"/>
        <w:sectPr>
          <w:type w:val="continuous"/>
          <w:pgSz w:w="12240" w:h="15840"/>
          <w:pgMar w:top="1500" w:bottom="280" w:left="580" w:right="220"/>
          <w:cols w:num="2" w:equalWidth="0">
            <w:col w:w="5208" w:space="417"/>
            <w:col w:w="5815"/>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4"/>
        <w:ind w:left="270"/>
        <w:jc w:val="both"/>
      </w:pPr>
      <w:r>
        <w:rPr/>
        <w:t>high effort and receive a low reward. The model has been defined by some support variables: extrinsic effort variables, intrinsic effort variables and reward variables. The high effort at work can be extrinsic (job demands and duties) or intrinsic (overcommitment with coping). And the low reward is produced by three kind of rewards: money, esteem and status. This later type of reward shows the big threat that is present when a worker suffer a dismissal or job degradation. Thus, it is a matter of gratification in terms of promotion perspectives, work stability and lack of possibilities of dismissal or</w:t>
      </w:r>
      <w:r>
        <w:rPr>
          <w:spacing w:val="-11"/>
        </w:rPr>
        <w:t> </w:t>
      </w:r>
      <w:r>
        <w:rPr/>
        <w:t>unemployment.</w:t>
      </w:r>
    </w:p>
    <w:p>
      <w:pPr>
        <w:pStyle w:val="BodyText"/>
        <w:ind w:left="270" w:firstLine="350"/>
        <w:jc w:val="both"/>
      </w:pPr>
      <w:r>
        <w:rPr/>
        <w:t>According to Gil Monte [5] the Burnout Syndrome is one of the consequence of the psychosocial risk factors that is growing in relevance in the last few</w:t>
      </w:r>
      <w:r>
        <w:rPr>
          <w:spacing w:val="-19"/>
        </w:rPr>
        <w:t> </w:t>
      </w:r>
      <w:r>
        <w:rPr/>
        <w:t>years.</w:t>
      </w:r>
    </w:p>
    <w:p>
      <w:pPr>
        <w:pStyle w:val="BodyText"/>
        <w:ind w:left="270" w:firstLine="351"/>
        <w:jc w:val="both"/>
      </w:pPr>
      <w:r>
        <w:rPr/>
        <w:t>Madero Llanes et al. [6] applied the Maslach Burnout Inventory (MBI) to a sample of 66 administrative workers, finding that 37.9% didn’t have a low risk level in Burnout presence. Meanwhile, Ahola et al. [7] applied the MBI to a simple of 3424 workers that were working in different Jobs and found that the Burnout Syndrome affects all kind of population groups and the age is not a protective criteria against the professional exhaustion.</w:t>
      </w:r>
    </w:p>
    <w:p>
      <w:pPr>
        <w:pStyle w:val="BodyText"/>
        <w:ind w:left="270" w:firstLine="432"/>
        <w:jc w:val="both"/>
      </w:pPr>
      <w:r>
        <w:rPr/>
        <w:t>Medina [8] considers prevention and stress control measures should be established from a global perspective, which should be based on a proactive attitude from the organization. The study concludes that once stress is removed, the worker becomes more identified with the organization and learns how to do teamwork, improving his productivity.</w:t>
      </w:r>
    </w:p>
    <w:p>
      <w:pPr>
        <w:pStyle w:val="BodyText"/>
        <w:ind w:left="270" w:right="1" w:firstLine="432"/>
        <w:jc w:val="both"/>
      </w:pPr>
      <w:r>
        <w:rPr/>
        <w:t>In Colombia temporary service firms grow continuously [9]; in them the workload of workers in plant becomes a quite difficult obligation because the selection process and management of staff on mission must be performed in compliance with customer requirements, including recruiting, interviewing and managing high  amount of people to meet the requirements of the user company and the temporary; i.e. exposure to work related psychosocial risk factors demands arising from the care of people are</w:t>
      </w:r>
      <w:r>
        <w:rPr>
          <w:spacing w:val="-5"/>
        </w:rPr>
        <w:t> </w:t>
      </w:r>
      <w:r>
        <w:rPr/>
        <w:t>high.</w:t>
      </w:r>
    </w:p>
    <w:p>
      <w:pPr>
        <w:pStyle w:val="BodyText"/>
        <w:ind w:left="270" w:right="1" w:firstLine="432"/>
        <w:jc w:val="both"/>
      </w:pPr>
      <w:r>
        <w:rPr/>
        <w:t>This study focused in a company whose business is to provide the staff required by the labor market, addressing the importance of them, because outsourcing and flexibility make important part of the competitiveness of businesses locally and internationally. It was considered important to assess the employees in this occupational group that has the role of evaluating others but about which there has been little research in order to understand the perceived psychosocial risk factors that may be affecting their health and wellbeing and identify the possible presence of burnout syndrome</w:t>
      </w:r>
      <w:r>
        <w:rPr>
          <w:spacing w:val="-30"/>
        </w:rPr>
        <w:t> </w:t>
      </w:r>
      <w:r>
        <w:rPr/>
        <w:t>[10].</w:t>
      </w:r>
    </w:p>
    <w:p>
      <w:pPr>
        <w:pStyle w:val="BodyText"/>
      </w:pPr>
    </w:p>
    <w:p>
      <w:pPr>
        <w:pStyle w:val="BodyText"/>
        <w:spacing w:before="2"/>
      </w:pPr>
    </w:p>
    <w:p>
      <w:pPr>
        <w:pStyle w:val="Heading4"/>
        <w:numPr>
          <w:ilvl w:val="0"/>
          <w:numId w:val="150"/>
        </w:numPr>
        <w:tabs>
          <w:tab w:pos="471" w:val="left" w:leader="none"/>
        </w:tabs>
        <w:spacing w:line="240" w:lineRule="auto" w:before="0" w:after="0"/>
        <w:ind w:left="470" w:right="0" w:hanging="200"/>
        <w:jc w:val="both"/>
      </w:pPr>
      <w:r>
        <w:rPr/>
        <w:t>METHODOLOGY</w:t>
      </w:r>
    </w:p>
    <w:p>
      <w:pPr>
        <w:pStyle w:val="BodyText"/>
        <w:spacing w:before="8"/>
        <w:rPr>
          <w:b/>
          <w:sz w:val="19"/>
        </w:rPr>
      </w:pPr>
    </w:p>
    <w:p>
      <w:pPr>
        <w:pStyle w:val="BodyText"/>
        <w:ind w:left="270"/>
        <w:jc w:val="both"/>
      </w:pPr>
      <w:r>
        <w:rPr/>
        <w:t>It is a mixed qualitative quantitative descriptive study where  a purposive sample of 53 employees of the human resources area equivalent to 15% of a total of 352 workers from a temporary employment was</w:t>
      </w:r>
      <w:r>
        <w:rPr>
          <w:spacing w:val="-12"/>
        </w:rPr>
        <w:t> </w:t>
      </w:r>
      <w:r>
        <w:rPr/>
        <w:t>made.</w:t>
      </w:r>
    </w:p>
    <w:p>
      <w:pPr>
        <w:pStyle w:val="BodyText"/>
        <w:spacing w:before="74"/>
        <w:ind w:left="270" w:right="677" w:firstLine="360"/>
        <w:jc w:val="both"/>
      </w:pPr>
      <w:r>
        <w:rPr/>
        <w:br w:type="column"/>
      </w:r>
      <w:r>
        <w:rPr/>
        <w:t>To identify the psychosocial risk factors, the general data questionnaire,   Related-work psychosocial risk  factors</w:t>
      </w:r>
    </w:p>
    <w:p>
      <w:pPr>
        <w:pStyle w:val="BodyText"/>
        <w:ind w:left="270" w:right="676"/>
        <w:jc w:val="both"/>
      </w:pPr>
      <w:r>
        <w:rPr/>
        <w:t>– form A questionnaire and Non-Related to work psychosocial risk factors questionnaire, that are part of the Battery of Psychosocial risk factors test validated in Colombia in 2010 [11]. The Related-work psychosocial risk factors questionnaire measures the following domains: job demands, leadership and social relations, control over work and rewards. Each domain is in turn divided into  dimensions, these being a total of 19. The Non-Related to work psychosocial risk factors questionnaire measures the seven (7) dimensions of the time out of work, communication and interpersonal relationships, economic situation of the family, housing characteristics and its environment, influence of outside work environment on work and work- housing-transport dwelling. According to the scales established, scores processed questionnaires non- occupational and work related psychosocial risk factors allow workers locate the following levels of risk: no risk, low risk, medium, high or very high risk , facilitating planning preventive measures and appropriate</w:t>
      </w:r>
      <w:r>
        <w:rPr>
          <w:spacing w:val="-25"/>
        </w:rPr>
        <w:t> </w:t>
      </w:r>
      <w:r>
        <w:rPr/>
        <w:t>intervention.</w:t>
      </w:r>
    </w:p>
    <w:p>
      <w:pPr>
        <w:pStyle w:val="BodyText"/>
        <w:ind w:left="270" w:right="676" w:firstLine="360"/>
        <w:jc w:val="both"/>
      </w:pPr>
      <w:r>
        <w:rPr/>
        <w:t>For evaluating the Burnout syndrome, it was applied the CESQT questionnaire by Pedro Gil Monte, which one was validated for the Colombian population in 2011[7]. It measures the scales of Illusion for Jobs, psychic wear, Indolence and Guilt; in addition let to identify the level of risk to present Burnout symptoms in general and in every scale.</w:t>
      </w:r>
    </w:p>
    <w:p>
      <w:pPr>
        <w:pStyle w:val="BodyText"/>
        <w:ind w:left="270" w:right="676" w:firstLine="360"/>
      </w:pPr>
      <w:r>
        <w:rPr/>
        <w:t>The sample was intentional, not random, with volunteer subjects; the sample were 53 workers from the area  of human resources equivalent to 15 % of the personnel. They were workers, who voluntarily agreed to contribute to the development of this study. They received information about the aim of the study and the procedure that would be developed. As inclusion criteria, workers should have seniority of at least six months and work in the area of human resources. The application of the instruments was performed after to explain to workers the purpose of the study and once they signed an informed consent. Frequency distribution graphs were constructed for a detailed analysis of the information obtained from the application of the questionnaires. Finally, the relevant recommendations from the results were made.</w:t>
      </w:r>
    </w:p>
    <w:p>
      <w:pPr>
        <w:pStyle w:val="BodyText"/>
        <w:spacing w:before="2"/>
      </w:pPr>
    </w:p>
    <w:p>
      <w:pPr>
        <w:pStyle w:val="Heading4"/>
        <w:numPr>
          <w:ilvl w:val="0"/>
          <w:numId w:val="150"/>
        </w:numPr>
        <w:tabs>
          <w:tab w:pos="472" w:val="left" w:leader="none"/>
        </w:tabs>
        <w:spacing w:line="240" w:lineRule="auto" w:before="0" w:after="0"/>
        <w:ind w:left="471" w:right="0" w:hanging="201"/>
        <w:jc w:val="both"/>
      </w:pPr>
      <w:r>
        <w:rPr/>
        <w:t>RESULTS</w:t>
      </w:r>
    </w:p>
    <w:p>
      <w:pPr>
        <w:pStyle w:val="BodyText"/>
        <w:spacing w:before="9"/>
        <w:rPr>
          <w:b/>
          <w:sz w:val="19"/>
        </w:rPr>
      </w:pPr>
    </w:p>
    <w:p>
      <w:pPr>
        <w:pStyle w:val="BodyText"/>
        <w:spacing w:before="1"/>
        <w:ind w:left="270" w:right="676" w:firstLine="360"/>
        <w:jc w:val="both"/>
      </w:pPr>
      <w:r>
        <w:rPr/>
        <w:t>The results are presented in three parts. First, the characterization of the sample chosen through aspects as  age, gender, seniority, education, marital status and type of contract. Second: information of the results of applying psychosocial risk battery and finally the result of the  CESQT questionnaire from Gil</w:t>
      </w:r>
      <w:r>
        <w:rPr>
          <w:spacing w:val="-19"/>
        </w:rPr>
        <w:t> </w:t>
      </w:r>
      <w:r>
        <w:rPr/>
        <w:t>Monte.</w:t>
      </w:r>
    </w:p>
    <w:p>
      <w:pPr>
        <w:pStyle w:val="BodyText"/>
        <w:spacing w:before="2"/>
      </w:pPr>
    </w:p>
    <w:p>
      <w:pPr>
        <w:pStyle w:val="Heading4"/>
        <w:numPr>
          <w:ilvl w:val="1"/>
          <w:numId w:val="150"/>
        </w:numPr>
        <w:tabs>
          <w:tab w:pos="572" w:val="left" w:leader="none"/>
        </w:tabs>
        <w:spacing w:line="240" w:lineRule="auto" w:before="0" w:after="0"/>
        <w:ind w:left="571" w:right="0" w:hanging="301"/>
        <w:jc w:val="both"/>
      </w:pPr>
      <w:r>
        <w:rPr/>
        <w:t>Occupational and Socio-demographic</w:t>
      </w:r>
      <w:r>
        <w:rPr>
          <w:spacing w:val="-16"/>
        </w:rPr>
        <w:t> </w:t>
      </w:r>
      <w:r>
        <w:rPr/>
        <w:t>features.</w:t>
      </w:r>
    </w:p>
    <w:p>
      <w:pPr>
        <w:pStyle w:val="BodyText"/>
        <w:spacing w:before="8"/>
        <w:rPr>
          <w:b/>
          <w:sz w:val="19"/>
        </w:rPr>
      </w:pPr>
    </w:p>
    <w:p>
      <w:pPr>
        <w:pStyle w:val="BodyText"/>
        <w:ind w:left="270" w:right="676"/>
        <w:jc w:val="both"/>
      </w:pPr>
      <w:r>
        <w:rPr/>
        <w:t>The sample evaluated corresponds to a group dominated by men in 72 % compared to 28 % of women. It is a group of young adults, 85 % were aged between 23 and 40 years  old.</w:t>
      </w:r>
    </w:p>
    <w:p>
      <w:pPr>
        <w:spacing w:after="0"/>
        <w:jc w:val="both"/>
        <w:sectPr>
          <w:type w:val="continuous"/>
          <w:pgSz w:w="12240" w:h="15840"/>
          <w:pgMar w:top="1500" w:bottom="280" w:left="580" w:right="220"/>
          <w:cols w:num="2" w:equalWidth="0">
            <w:col w:w="5191" w:space="434"/>
            <w:col w:w="5815"/>
          </w:cols>
        </w:sectPr>
      </w:pPr>
    </w:p>
    <w:p>
      <w:pPr>
        <w:pStyle w:val="BodyText"/>
        <w:spacing w:before="4"/>
        <w:rPr>
          <w:sz w:val="11"/>
        </w:rPr>
      </w:pPr>
    </w:p>
    <w:p>
      <w:pPr>
        <w:pStyle w:val="BodyText"/>
        <w:tabs>
          <w:tab w:pos="5983" w:val="left" w:leader="none"/>
        </w:tabs>
        <w:spacing w:before="74"/>
        <w:ind w:left="270" w:right="314"/>
      </w:pPr>
      <w:r>
        <w:rPr/>
        <w:t>51%</w:t>
      </w:r>
      <w:r>
        <w:rPr>
          <w:spacing w:val="28"/>
        </w:rPr>
        <w:t> </w:t>
      </w:r>
      <w:r>
        <w:rPr/>
        <w:t>of</w:t>
      </w:r>
      <w:r>
        <w:rPr>
          <w:spacing w:val="28"/>
        </w:rPr>
        <w:t> </w:t>
      </w:r>
      <w:r>
        <w:rPr/>
        <w:t>the</w:t>
      </w:r>
      <w:r>
        <w:rPr>
          <w:spacing w:val="27"/>
        </w:rPr>
        <w:t> </w:t>
      </w:r>
      <w:r>
        <w:rPr/>
        <w:t>workers</w:t>
      </w:r>
      <w:r>
        <w:rPr>
          <w:spacing w:val="28"/>
        </w:rPr>
        <w:t> </w:t>
      </w:r>
      <w:r>
        <w:rPr/>
        <w:t>are</w:t>
      </w:r>
      <w:r>
        <w:rPr>
          <w:spacing w:val="26"/>
        </w:rPr>
        <w:t> </w:t>
      </w:r>
      <w:r>
        <w:rPr/>
        <w:t>single,</w:t>
      </w:r>
      <w:r>
        <w:rPr>
          <w:spacing w:val="27"/>
        </w:rPr>
        <w:t> </w:t>
      </w:r>
      <w:r>
        <w:rPr/>
        <w:t>75%</w:t>
      </w:r>
      <w:r>
        <w:rPr>
          <w:spacing w:val="27"/>
        </w:rPr>
        <w:t> </w:t>
      </w:r>
      <w:r>
        <w:rPr/>
        <w:t>of</w:t>
      </w:r>
      <w:r>
        <w:rPr>
          <w:spacing w:val="28"/>
        </w:rPr>
        <w:t> </w:t>
      </w:r>
      <w:r>
        <w:rPr/>
        <w:t>the</w:t>
      </w:r>
      <w:r>
        <w:rPr>
          <w:spacing w:val="28"/>
        </w:rPr>
        <w:t> </w:t>
      </w:r>
      <w:r>
        <w:rPr/>
        <w:t>sample</w:t>
      </w:r>
      <w:r>
        <w:rPr>
          <w:spacing w:val="28"/>
        </w:rPr>
        <w:t> </w:t>
      </w:r>
      <w:r>
        <w:rPr/>
        <w:t>did</w:t>
      </w:r>
      <w:r>
        <w:rPr>
          <w:spacing w:val="27"/>
        </w:rPr>
        <w:t> </w:t>
      </w:r>
      <w:r>
        <w:rPr/>
        <w:t>not</w:t>
        <w:tab/>
        <w:t>Table 1. Work related psychosocial factors risks</w:t>
      </w:r>
      <w:r>
        <w:rPr>
          <w:spacing w:val="-21"/>
        </w:rPr>
        <w:t> </w:t>
      </w:r>
      <w:r>
        <w:rPr/>
        <w:t>(Authors)</w:t>
      </w:r>
    </w:p>
    <w:p>
      <w:pPr>
        <w:pStyle w:val="BodyText"/>
      </w:pPr>
    </w:p>
    <w:p>
      <w:pPr>
        <w:pStyle w:val="BodyText"/>
      </w:pPr>
    </w:p>
    <w:p>
      <w:pPr>
        <w:pStyle w:val="BodyText"/>
      </w:pPr>
    </w:p>
    <w:p>
      <w:pPr>
        <w:pStyle w:val="BodyText"/>
        <w:spacing w:before="2"/>
      </w:pPr>
    </w:p>
    <w:p>
      <w:pPr>
        <w:pStyle w:val="Heading4"/>
        <w:numPr>
          <w:ilvl w:val="1"/>
          <w:numId w:val="150"/>
        </w:numPr>
        <w:tabs>
          <w:tab w:pos="572" w:val="left" w:leader="none"/>
        </w:tabs>
        <w:spacing w:line="240" w:lineRule="auto" w:before="0" w:after="0"/>
        <w:ind w:left="571" w:right="0" w:hanging="301"/>
        <w:jc w:val="left"/>
      </w:pPr>
      <w:r>
        <w:rPr/>
        <w:pict>
          <v:group style="position:absolute;margin-left:323.744995pt;margin-top:-34.478634pt;width:260.05pt;height:551.15pt;mso-position-horizontal-relative:page;mso-position-vertical-relative:paragraph;z-index:17008" coordorigin="6475,-690" coordsize="5201,11023">
            <v:rect style="position:absolute;left:6482;top:-682;width:5185;height:11008" filled="false" stroked="true" strokeweight=".75pt" strokecolor="#000000"/>
            <v:shape style="position:absolute;left:6491;top:-269;width:5146;height:8937" coordorigin="6491,-269" coordsize="5146,8937" path="m11636,8239l6491,8239,6491,8667,11636,8667,11636,8239m11636,4496l6491,4496,6491,4924,11636,4924,11636,4496m11636,1810l6491,1810,6491,2238,11636,2238,11636,1810m11636,-269l6491,-269,6491,159,11636,159,11636,-269e" filled="true" fillcolor="#d8d8d8" stroked="false">
              <v:path arrowok="t"/>
              <v:fill type="solid"/>
            </v:shape>
            <v:shape style="position:absolute;left:6491;top:-673;width:4295;height:2" coordorigin="6491,-673" coordsize="4295,0" path="m6491,-673l6503,-673m9076,-673l9088,-673m9925,-673l9937,-673m10775,-673l10786,-673e" filled="false" stroked="true" strokeweight=".059998pt" strokecolor="#d8dbdd">
              <v:path arrowok="t"/>
            </v:shape>
            <v:line style="position:absolute" from="6503,-674" to="11635,-674" stroked="true" strokeweight=".06pt" strokecolor="#000000"/>
            <v:line style="position:absolute" from="6503,-668" to="11636,-668" stroked="true" strokeweight=".599980pt" strokecolor="#000000"/>
            <v:shape style="position:absolute;left:6821;top:-673;width:4816;height:2" coordorigin="6821,-673" coordsize="4816,0" path="m11624,-673l11636,-673m6821,-673l6833,-673e" filled="false" stroked="true" strokeweight=".059998pt" strokecolor="#d8dbdd">
              <v:path arrowok="t"/>
            </v:shape>
            <v:line style="position:absolute" from="6503,-269" to="11635,-269" stroked="true" strokeweight=".06pt" strokecolor="#000000"/>
            <v:line style="position:absolute" from="6503,-263" to="11636,-263" stroked="true" strokeweight=".60004pt" strokecolor="#000000"/>
            <v:line style="position:absolute" from="6503,146" to="11635,146" stroked="true" strokeweight=".06pt" strokecolor="#000000"/>
            <v:line style="position:absolute" from="6503,153" to="11636,153" stroked="true" strokeweight=".60004pt" strokecolor="#000000"/>
            <v:line style="position:absolute" from="6503,1810" to="11635,1810" stroked="true" strokeweight=".06pt" strokecolor="#000000"/>
            <v:line style="position:absolute" from="6503,1816" to="11636,1816" stroked="true" strokeweight=".599980pt" strokecolor="#000000"/>
            <v:line style="position:absolute" from="6503,2226" to="11635,2226" stroked="true" strokeweight=".06pt" strokecolor="#000000"/>
            <v:line style="position:absolute" from="6503,2232" to="11636,2232" stroked="true" strokeweight=".60004pt" strokecolor="#000000"/>
            <v:line style="position:absolute" from="6503,4495" to="11635,4495" stroked="true" strokeweight=".06pt" strokecolor="#000000"/>
            <v:line style="position:absolute" from="6503,4502" to="11636,4502" stroked="true" strokeweight=".600010pt" strokecolor="#000000"/>
            <v:line style="position:absolute" from="6503,4911" to="11635,4911" stroked="true" strokeweight=".06pt" strokecolor="#000000"/>
            <v:line style="position:absolute" from="6503,4918" to="11636,4918" stroked="true" strokeweight=".600010pt" strokecolor="#000000"/>
            <v:line style="position:absolute" from="6503,6576" to="11635,6576" stroked="true" strokeweight=".06pt" strokecolor="#000000"/>
            <v:line style="position:absolute" from="6503,6582" to="11636,6582" stroked="true" strokeweight=".600010pt" strokecolor="#000000"/>
            <v:line style="position:absolute" from="6503,8239" to="11635,8239" stroked="true" strokeweight=".06pt" strokecolor="#000000"/>
            <v:line style="position:absolute" from="6503,8245" to="11636,8245" stroked="true" strokeweight=".600010pt" strokecolor="#000000"/>
            <v:line style="position:absolute" from="6503,8654" to="11635,8654" stroked="true" strokeweight=".06pt" strokecolor="#000000"/>
            <v:line style="position:absolute" from="6503,8661" to="11636,8661" stroked="true" strokeweight=".59999pt" strokecolor="#000000"/>
            <v:line style="position:absolute" from="6503,9463" to="11635,9463" stroked="true" strokeweight=".06pt" strokecolor="#000000"/>
            <v:line style="position:absolute" from="6503,9469" to="11636,9469" stroked="true" strokeweight=".600010pt" strokecolor="#000000"/>
            <v:line style="position:absolute" from="6503,9878" to="11635,9878" stroked="true" strokeweight=".06pt" strokecolor="#000000"/>
            <v:line style="position:absolute" from="6503,9885" to="11636,9885" stroked="true" strokeweight=".600010pt" strokecolor="#000000"/>
            <v:line style="position:absolute" from="6491,-674" to="6491,10306" stroked="true" strokeweight=".06pt" strokecolor="#000000"/>
            <v:line style="position:absolute" from="6497,-674" to="6497,10306" stroked="true" strokeweight=".600010pt" strokecolor="#000000"/>
            <v:line style="position:absolute" from="6821,-257" to="6821,9890" stroked="true" strokeweight=".06pt" strokecolor="#000000"/>
            <v:line style="position:absolute" from="6827,-257" to="6827,9891" stroked="true" strokeweight=".600010pt" strokecolor="#000000"/>
            <v:line style="position:absolute" from="9074,-662" to="9074,10306" stroked="true" strokeweight=".06pt" strokecolor="#000000"/>
            <v:line style="position:absolute" from="9082,-662" to="9082,10306" stroked="true" strokeweight=".600010pt" strokecolor="#000000"/>
            <v:line style="position:absolute" from="9924,-662" to="9924,10306" stroked="true" strokeweight=".06pt" strokecolor="#000000"/>
            <v:line style="position:absolute" from="9931,-662" to="9931,10306" stroked="true" strokeweight=".600010pt" strokecolor="#000000"/>
            <v:line style="position:absolute" from="10775,-662" to="10775,10306" stroked="true" strokeweight=".06pt" strokecolor="#000000"/>
            <v:line style="position:absolute" from="10780,-662" to="10780,10306" stroked="true" strokeweight=".54004pt" strokecolor="#000000"/>
            <v:line style="position:absolute" from="6503,10294" to="11635,10294" stroked="true" strokeweight=".06pt" strokecolor="#000000"/>
            <v:line style="position:absolute" from="6503,10300" to="11636,10300" stroked="true" strokeweight=".600010pt" strokecolor="#000000"/>
            <v:line style="position:absolute" from="11623,-662" to="11623,10306" stroked="true" strokeweight=".06pt" strokecolor="#000000"/>
            <v:line style="position:absolute" from="11630,-662" to="11630,10306" stroked="true" strokeweight=".599980pt" strokecolor="#000000"/>
            <v:line style="position:absolute" from="6491,10306" to="6492,10308" stroked="true" strokeweight=".06pt" strokecolor="#d8dbdd"/>
            <v:line style="position:absolute" from="6491,10312" to="6503,10312" stroked="true" strokeweight=".600010pt" strokecolor="#d8dbdd"/>
            <v:line style="position:absolute" from="6821,10306" to="6822,10308" stroked="true" strokeweight=".06pt" strokecolor="#d8dbdd"/>
            <v:line style="position:absolute" from="6821,10312" to="6833,10312" stroked="true" strokeweight=".600010pt" strokecolor="#d8dbdd"/>
            <v:line style="position:absolute" from="9074,10306" to="9076,10308" stroked="true" strokeweight=".06pt" strokecolor="#d8dbdd"/>
            <v:line style="position:absolute" from="9076,10312" to="9088,10312" stroked="true" strokeweight=".600010pt" strokecolor="#d8dbdd"/>
            <v:line style="position:absolute" from="9925,10306" to="9926,10308" stroked="true" strokeweight=".06pt" strokecolor="#d8dbdd"/>
            <v:line style="position:absolute" from="9925,10312" to="9937,10312" stroked="true" strokeweight=".600010pt" strokecolor="#d8dbdd"/>
            <v:line style="position:absolute" from="10775,10306" to="10776,10308" stroked="true" strokeweight=".06pt" strokecolor="#d8dbdd"/>
            <v:line style="position:absolute" from="10775,10312" to="10786,10312" stroked="true" strokeweight=".600010pt" strokecolor="#d8dbdd"/>
            <v:line style="position:absolute" from="11624,10307" to="11625,10307" stroked="true" strokeweight=".06pt" strokecolor="#d8dbdd"/>
            <v:line style="position:absolute" from="11624,10312" to="11636,10312" stroked="true" strokeweight=".600010pt" strokecolor="#d8dbdd"/>
            <v:line style="position:absolute" from="11636,-673" to="11637,-673" stroked="true" strokeweight=".06pt" strokecolor="#d8dbdd"/>
            <v:line style="position:absolute" from="11636,-668" to="11648,-668" stroked="true" strokeweight=".599980pt" strokecolor="#d8dbdd"/>
            <v:line style="position:absolute" from="11636,-269" to="11637,-269" stroked="true" strokeweight=".06pt" strokecolor="#d8dbdd"/>
            <v:line style="position:absolute" from="11636,-263" to="11648,-263" stroked="true" strokeweight=".60004pt" strokecolor="#d8dbdd"/>
            <v:line style="position:absolute" from="11636,147" to="11636,147" stroked="true" strokeweight=".06pt" strokecolor="#d8dbdd"/>
            <v:line style="position:absolute" from="11636,153" to="11648,153" stroked="true" strokeweight=".60004pt" strokecolor="#d8dbdd"/>
            <v:line style="position:absolute" from="11636,1395" to="11636,1395" stroked="true" strokeweight=".06pt" strokecolor="#d8dbdd"/>
            <v:line style="position:absolute" from="11636,1811" to="11637,1811" stroked="true" strokeweight=".06pt" strokecolor="#d8dbdd"/>
            <v:line style="position:absolute" from="11636,1816" to="11648,1816" stroked="true" strokeweight=".599980pt" strokecolor="#d8dbdd"/>
            <v:line style="position:absolute" from="11636,2226" to="11637,2226" stroked="true" strokeweight=".06pt" strokecolor="#d8dbdd"/>
            <v:line style="position:absolute" from="11636,2232" to="11648,2232" stroked="true" strokeweight=".60004pt" strokecolor="#d8dbdd"/>
            <v:line style="position:absolute" from="11636,4497" to="11637,4497" stroked="true" strokeweight=".06pt" strokecolor="#d8dbdd"/>
            <v:line style="position:absolute" from="11636,4502" to="11648,4502" stroked="true" strokeweight=".600010pt" strokecolor="#d8dbdd"/>
            <v:line style="position:absolute" from="11636,4912" to="11637,4912" stroked="true" strokeweight=".06pt" strokecolor="#d8dbdd"/>
            <v:line style="position:absolute" from="11636,4918" to="11648,4918" stroked="true" strokeweight=".600010pt" strokecolor="#d8dbdd"/>
            <v:line style="position:absolute" from="11636,6576" to="11637,6576" stroked="true" strokeweight=".06pt" strokecolor="#d8dbdd"/>
            <v:line style="position:absolute" from="11636,6582" to="11648,6582" stroked="true" strokeweight=".600010pt" strokecolor="#d8dbdd"/>
            <v:line style="position:absolute" from="11636,8239" to="11637,8239" stroked="true" strokeweight=".06pt" strokecolor="#d8dbdd"/>
            <v:line style="position:absolute" from="11636,8245" to="11648,8245" stroked="true" strokeweight=".600010pt" strokecolor="#d8dbdd"/>
            <v:line style="position:absolute" from="11636,8655" to="11636,8655" stroked="true" strokeweight=".06pt" strokecolor="#d8dbdd"/>
            <v:line style="position:absolute" from="11636,8661" to="11648,8661" stroked="true" strokeweight=".59999pt" strokecolor="#d8dbdd"/>
            <v:line style="position:absolute" from="11636,9463" to="11637,9463" stroked="true" strokeweight=".06pt" strokecolor="#d8dbdd"/>
            <v:line style="position:absolute" from="11636,9469" to="11648,9469" stroked="true" strokeweight=".600010pt" strokecolor="#d8dbdd"/>
            <v:line style="position:absolute" from="11636,9879" to="11636,9879" stroked="true" strokeweight=".06pt" strokecolor="#d8dbdd"/>
            <v:line style="position:absolute" from="11636,9885" to="11648,9885" stroked="true" strokeweight=".600010pt" strokecolor="#d8dbdd"/>
            <v:line style="position:absolute" from="11636,10295" to="11637,10295" stroked="true" strokeweight=".06pt" strokecolor="#d8dbdd"/>
            <v:line style="position:absolute" from="11636,10300" to="11648,10300" stroked="true" strokeweight=".600010pt" strokecolor="#d8dbdd"/>
            <v:shape style="position:absolute;left:11046;top:-441;width:338;height:160" type="#_x0000_t202" filled="false" stroked="false">
              <v:textbox inset="0,0,0,0">
                <w:txbxContent>
                  <w:p>
                    <w:pPr>
                      <w:spacing w:line="160" w:lineRule="exact" w:before="0"/>
                      <w:ind w:left="0" w:right="-4" w:firstLine="0"/>
                      <w:jc w:val="left"/>
                      <w:rPr>
                        <w:rFonts w:ascii="Arial"/>
                        <w:b/>
                        <w:sz w:val="16"/>
                      </w:rPr>
                    </w:pPr>
                    <w:r>
                      <w:rPr>
                        <w:rFonts w:ascii="Arial"/>
                        <w:b/>
                        <w:w w:val="95"/>
                        <w:sz w:val="16"/>
                      </w:rPr>
                      <w:t>Risk</w:t>
                    </w:r>
                  </w:p>
                </w:txbxContent>
              </v:textbox>
              <w10:wrap type="none"/>
            </v:shape>
            <v:shape style="position:absolute;left:6857;top:-37;width:1602;height:160" type="#_x0000_t202" filled="false" stroked="false">
              <v:textbox inset="0,0,0,0">
                <w:txbxContent>
                  <w:p>
                    <w:pPr>
                      <w:spacing w:line="160" w:lineRule="exact" w:before="0"/>
                      <w:ind w:left="0" w:right="-19" w:firstLine="0"/>
                      <w:jc w:val="left"/>
                      <w:rPr>
                        <w:rFonts w:ascii="Arial"/>
                        <w:b/>
                        <w:sz w:val="16"/>
                      </w:rPr>
                    </w:pPr>
                    <w:r>
                      <w:rPr>
                        <w:rFonts w:ascii="Arial"/>
                        <w:b/>
                        <w:sz w:val="16"/>
                      </w:rPr>
                      <w:t>relationships at work</w:t>
                    </w:r>
                  </w:p>
                </w:txbxContent>
              </v:textbox>
              <w10:wrap type="none"/>
            </v:shape>
            <v:shape style="position:absolute;left:7069;top:4313;width:214;height:160" type="#_x0000_t202" filled="false" stroked="false">
              <v:textbox inset="0,0,0,0">
                <w:txbxContent>
                  <w:p>
                    <w:pPr>
                      <w:spacing w:line="160" w:lineRule="exact" w:before="0"/>
                      <w:ind w:left="0" w:right="-20" w:firstLine="0"/>
                      <w:jc w:val="left"/>
                      <w:rPr>
                        <w:rFonts w:ascii="Arial"/>
                        <w:sz w:val="16"/>
                      </w:rPr>
                    </w:pPr>
                    <w:r>
                      <w:rPr>
                        <w:rFonts w:ascii="Arial"/>
                        <w:sz w:val="16"/>
                      </w:rPr>
                      <w:t>job</w:t>
                    </w:r>
                  </w:p>
                </w:txbxContent>
              </v:textbox>
              <w10:wrap type="none"/>
            </v:shape>
            <v:shape style="position:absolute;left:7069;top:6392;width:1822;height:160" type="#_x0000_t202" filled="false" stroked="false">
              <v:textbox inset="0,0,0,0">
                <w:txbxContent>
                  <w:p>
                    <w:pPr>
                      <w:spacing w:line="160" w:lineRule="exact" w:before="0"/>
                      <w:ind w:left="0" w:right="-16" w:firstLine="0"/>
                      <w:jc w:val="left"/>
                      <w:rPr>
                        <w:rFonts w:ascii="Arial"/>
                        <w:sz w:val="16"/>
                      </w:rPr>
                    </w:pPr>
                    <w:r>
                      <w:rPr>
                        <w:rFonts w:ascii="Arial"/>
                        <w:sz w:val="16"/>
                      </w:rPr>
                      <w:t>outside work</w:t>
                    </w:r>
                    <w:r>
                      <w:rPr>
                        <w:rFonts w:ascii="Arial"/>
                        <w:spacing w:val="-6"/>
                        <w:sz w:val="16"/>
                      </w:rPr>
                      <w:t> </w:t>
                    </w:r>
                    <w:r>
                      <w:rPr>
                        <w:rFonts w:ascii="Arial"/>
                        <w:sz w:val="16"/>
                      </w:rPr>
                      <w:t>environment</w:t>
                    </w:r>
                  </w:p>
                </w:txbxContent>
              </v:textbox>
              <w10:wrap type="none"/>
            </v:shape>
            <w10:wrap type="none"/>
          </v:group>
        </w:pict>
      </w:r>
      <w:r>
        <w:rPr/>
        <w:pict>
          <v:shape style="position:absolute;margin-left:40.790001pt;margin-top:-44.866962pt;width:541.7pt;height:578.5pt;mso-position-horizontal-relative:page;mso-position-vertical-relative:paragraph;z-index:1703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673"/>
                    <w:gridCol w:w="338"/>
                    <w:gridCol w:w="2268"/>
                    <w:gridCol w:w="222"/>
                    <w:gridCol w:w="613"/>
                    <w:gridCol w:w="850"/>
                    <w:gridCol w:w="869"/>
                  </w:tblGrid>
                  <w:tr>
                    <w:trPr>
                      <w:trHeight w:val="222" w:hRule="exact"/>
                    </w:trPr>
                    <w:tc>
                      <w:tcPr>
                        <w:tcW w:w="5673" w:type="dxa"/>
                      </w:tcPr>
                      <w:p>
                        <w:pPr>
                          <w:pStyle w:val="TableParagraph"/>
                          <w:spacing w:line="205" w:lineRule="exact"/>
                          <w:ind w:left="35" w:right="698"/>
                          <w:rPr>
                            <w:sz w:val="20"/>
                          </w:rPr>
                        </w:pPr>
                        <w:r>
                          <w:rPr>
                            <w:sz w:val="20"/>
                          </w:rPr>
                          <w:t>have   their  own  housing,  and  25%  have  been  with     the</w:t>
                        </w:r>
                      </w:p>
                    </w:tc>
                    <w:tc>
                      <w:tcPr>
                        <w:tcW w:w="5160" w:type="dxa"/>
                        <w:gridSpan w:val="6"/>
                      </w:tcPr>
                      <w:p>
                        <w:pPr/>
                      </w:p>
                    </w:tc>
                  </w:tr>
                  <w:tr>
                    <w:trPr>
                      <w:trHeight w:val="543" w:hRule="exact"/>
                    </w:trPr>
                    <w:tc>
                      <w:tcPr>
                        <w:tcW w:w="8502" w:type="dxa"/>
                        <w:gridSpan w:val="4"/>
                      </w:tcPr>
                      <w:p>
                        <w:pPr>
                          <w:pStyle w:val="TableParagraph"/>
                          <w:tabs>
                            <w:tab w:pos="5970" w:val="left" w:leader="none"/>
                            <w:tab w:pos="8389" w:val="left" w:leader="none"/>
                          </w:tabs>
                          <w:spacing w:line="254" w:lineRule="exact"/>
                          <w:ind w:left="35" w:right="-21"/>
                          <w:rPr>
                            <w:rFonts w:ascii="Arial"/>
                            <w:b/>
                            <w:sz w:val="16"/>
                          </w:rPr>
                        </w:pPr>
                        <w:r>
                          <w:rPr>
                            <w:sz w:val="20"/>
                          </w:rPr>
                          <w:t>company  for  less  than  a  year.  The  predominant  </w:t>
                        </w:r>
                        <w:r>
                          <w:rPr>
                            <w:spacing w:val="8"/>
                            <w:sz w:val="20"/>
                          </w:rPr>
                          <w:t> </w:t>
                        </w:r>
                        <w:r>
                          <w:rPr>
                            <w:sz w:val="20"/>
                          </w:rPr>
                          <w:t>type </w:t>
                        </w:r>
                        <w:r>
                          <w:rPr>
                            <w:spacing w:val="6"/>
                            <w:sz w:val="20"/>
                          </w:rPr>
                          <w:t> </w:t>
                        </w:r>
                        <w:r>
                          <w:rPr>
                            <w:sz w:val="20"/>
                          </w:rPr>
                          <w:t>of</w:t>
                          <w:tab/>
                        </w:r>
                        <w:r>
                          <w:rPr>
                            <w:rFonts w:ascii="Arial"/>
                            <w:b/>
                            <w:position w:val="-8"/>
                            <w:sz w:val="16"/>
                          </w:rPr>
                          <w:t>DOMAINS/</w:t>
                        </w:r>
                        <w:r>
                          <w:rPr>
                            <w:rFonts w:ascii="Arial"/>
                            <w:b/>
                            <w:spacing w:val="-4"/>
                            <w:position w:val="-8"/>
                            <w:sz w:val="16"/>
                          </w:rPr>
                          <w:t> </w:t>
                        </w:r>
                        <w:r>
                          <w:rPr>
                            <w:rFonts w:ascii="Arial"/>
                            <w:b/>
                            <w:position w:val="-8"/>
                            <w:sz w:val="16"/>
                          </w:rPr>
                          <w:t>DIMENSIONS</w:t>
                          <w:tab/>
                        </w:r>
                        <w:r>
                          <w:rPr>
                            <w:rFonts w:ascii="Arial"/>
                            <w:b/>
                            <w:position w:val="1"/>
                            <w:sz w:val="16"/>
                          </w:rPr>
                          <w:t>M</w:t>
                        </w:r>
                      </w:p>
                      <w:p>
                        <w:pPr>
                          <w:pStyle w:val="TableParagraph"/>
                          <w:spacing w:line="176" w:lineRule="exact"/>
                          <w:ind w:left="35" w:right="-21"/>
                          <w:rPr>
                            <w:sz w:val="20"/>
                          </w:rPr>
                        </w:pPr>
                        <w:r>
                          <w:rPr>
                            <w:sz w:val="20"/>
                          </w:rPr>
                          <w:t>contract is indefinite term for 58% of the workers.</w:t>
                        </w:r>
                      </w:p>
                      <w:p>
                        <w:pPr>
                          <w:pStyle w:val="TableParagraph"/>
                          <w:spacing w:line="154" w:lineRule="exact"/>
                          <w:ind w:right="779"/>
                          <w:jc w:val="right"/>
                          <w:rPr>
                            <w:rFonts w:ascii="Arial"/>
                            <w:b/>
                            <w:sz w:val="16"/>
                          </w:rPr>
                        </w:pPr>
                        <w:r>
                          <w:rPr>
                            <w:rFonts w:ascii="Arial"/>
                            <w:b/>
                            <w:sz w:val="16"/>
                          </w:rPr>
                          <w:t>Leadership and social</w:t>
                        </w:r>
                      </w:p>
                    </w:tc>
                    <w:tc>
                      <w:tcPr>
                        <w:tcW w:w="613" w:type="dxa"/>
                      </w:tcPr>
                      <w:p>
                        <w:pPr>
                          <w:pStyle w:val="TableParagraph"/>
                          <w:spacing w:line="264" w:lineRule="auto" w:before="11"/>
                          <w:ind w:left="64" w:right="101" w:hanging="44"/>
                          <w:rPr>
                            <w:rFonts w:ascii="Arial"/>
                            <w:b/>
                            <w:sz w:val="16"/>
                          </w:rPr>
                        </w:pPr>
                        <w:r>
                          <w:rPr>
                            <w:rFonts w:ascii="Arial"/>
                            <w:b/>
                            <w:sz w:val="16"/>
                          </w:rPr>
                          <w:t>edium risk</w:t>
                        </w:r>
                      </w:p>
                    </w:tc>
                    <w:tc>
                      <w:tcPr>
                        <w:tcW w:w="1719" w:type="dxa"/>
                        <w:gridSpan w:val="2"/>
                      </w:tcPr>
                      <w:p>
                        <w:pPr>
                          <w:pStyle w:val="TableParagraph"/>
                          <w:spacing w:before="11"/>
                          <w:ind w:left="77"/>
                          <w:rPr>
                            <w:rFonts w:ascii="Arial"/>
                            <w:b/>
                            <w:sz w:val="16"/>
                          </w:rPr>
                        </w:pPr>
                        <w:r>
                          <w:rPr>
                            <w:rFonts w:ascii="Arial"/>
                            <w:b/>
                            <w:position w:val="-9"/>
                            <w:sz w:val="16"/>
                          </w:rPr>
                          <w:t>High Risk  </w:t>
                        </w:r>
                        <w:r>
                          <w:rPr>
                            <w:rFonts w:ascii="Arial"/>
                            <w:b/>
                            <w:sz w:val="16"/>
                          </w:rPr>
                          <w:t>Very High</w:t>
                        </w:r>
                      </w:p>
                    </w:tc>
                  </w:tr>
                  <w:tr>
                    <w:trPr>
                      <w:trHeight w:val="284" w:hRule="exact"/>
                    </w:trPr>
                    <w:tc>
                      <w:tcPr>
                        <w:tcW w:w="9115" w:type="dxa"/>
                        <w:gridSpan w:val="5"/>
                      </w:tcPr>
                      <w:p>
                        <w:pPr>
                          <w:pStyle w:val="TableParagraph"/>
                          <w:tabs>
                            <w:tab w:pos="8542" w:val="left" w:leader="none"/>
                          </w:tabs>
                          <w:spacing w:line="163" w:lineRule="exact"/>
                          <w:ind w:left="5805"/>
                          <w:rPr>
                            <w:rFonts w:ascii="Arial"/>
                            <w:b/>
                            <w:sz w:val="16"/>
                          </w:rPr>
                        </w:pPr>
                        <w:r>
                          <w:rPr>
                            <w:rFonts w:ascii="Arial"/>
                            <w:b/>
                            <w:sz w:val="16"/>
                          </w:rPr>
                          <w:t>1</w:t>
                          <w:tab/>
                          <w:t>21%</w:t>
                        </w:r>
                      </w:p>
                    </w:tc>
                    <w:tc>
                      <w:tcPr>
                        <w:tcW w:w="850" w:type="dxa"/>
                        <w:shd w:val="clear" w:color="auto" w:fill="D8D8D8"/>
                      </w:tcPr>
                      <w:p>
                        <w:pPr>
                          <w:pStyle w:val="TableParagraph"/>
                          <w:spacing w:line="163" w:lineRule="exact"/>
                          <w:ind w:right="247"/>
                          <w:jc w:val="right"/>
                          <w:rPr>
                            <w:rFonts w:ascii="Arial"/>
                            <w:b/>
                            <w:sz w:val="16"/>
                          </w:rPr>
                        </w:pPr>
                        <w:r>
                          <w:rPr>
                            <w:rFonts w:ascii="Arial"/>
                            <w:b/>
                            <w:sz w:val="16"/>
                          </w:rPr>
                          <w:t>28%</w:t>
                        </w:r>
                      </w:p>
                    </w:tc>
                    <w:tc>
                      <w:tcPr>
                        <w:tcW w:w="869" w:type="dxa"/>
                        <w:shd w:val="clear" w:color="auto" w:fill="D8D8D8"/>
                      </w:tcPr>
                      <w:p>
                        <w:pPr>
                          <w:pStyle w:val="TableParagraph"/>
                          <w:spacing w:line="163" w:lineRule="exact"/>
                          <w:ind w:left="278"/>
                          <w:rPr>
                            <w:rFonts w:ascii="Arial"/>
                            <w:b/>
                            <w:sz w:val="16"/>
                          </w:rPr>
                        </w:pPr>
                        <w:r>
                          <w:rPr>
                            <w:rFonts w:ascii="Arial"/>
                            <w:b/>
                            <w:sz w:val="16"/>
                          </w:rPr>
                          <w:t>21%</w:t>
                        </w:r>
                      </w:p>
                    </w:tc>
                  </w:tr>
                  <w:tr>
                    <w:trPr>
                      <w:trHeight w:val="416" w:hRule="exact"/>
                    </w:trPr>
                    <w:tc>
                      <w:tcPr>
                        <w:tcW w:w="8279" w:type="dxa"/>
                        <w:gridSpan w:val="3"/>
                      </w:tcPr>
                      <w:p>
                        <w:pPr>
                          <w:pStyle w:val="TableParagraph"/>
                          <w:tabs>
                            <w:tab w:pos="507" w:val="left" w:leader="none"/>
                          </w:tabs>
                          <w:spacing w:before="111"/>
                          <w:ind w:right="610"/>
                          <w:jc w:val="right"/>
                          <w:rPr>
                            <w:rFonts w:ascii="Arial"/>
                            <w:sz w:val="16"/>
                          </w:rPr>
                        </w:pPr>
                        <w:r>
                          <w:rPr>
                            <w:rFonts w:ascii="Arial"/>
                            <w:b/>
                            <w:sz w:val="16"/>
                          </w:rPr>
                          <w:t>1,1</w:t>
                          <w:tab/>
                        </w:r>
                        <w:r>
                          <w:rPr>
                            <w:rFonts w:ascii="Arial"/>
                            <w:sz w:val="16"/>
                          </w:rPr>
                          <w:t>Features</w:t>
                        </w:r>
                        <w:r>
                          <w:rPr>
                            <w:rFonts w:ascii="Arial"/>
                            <w:spacing w:val="-3"/>
                            <w:sz w:val="16"/>
                          </w:rPr>
                          <w:t> </w:t>
                        </w:r>
                        <w:r>
                          <w:rPr>
                            <w:rFonts w:ascii="Arial"/>
                            <w:sz w:val="16"/>
                          </w:rPr>
                          <w:t>leadership</w:t>
                        </w:r>
                      </w:p>
                    </w:tc>
                    <w:tc>
                      <w:tcPr>
                        <w:tcW w:w="222" w:type="dxa"/>
                        <w:tcBorders>
                          <w:bottom w:val="single" w:sz="5" w:space="0" w:color="000000"/>
                        </w:tcBorders>
                      </w:tcPr>
                      <w:p>
                        <w:pPr/>
                      </w:p>
                    </w:tc>
                    <w:tc>
                      <w:tcPr>
                        <w:tcW w:w="613" w:type="dxa"/>
                        <w:tcBorders>
                          <w:bottom w:val="single" w:sz="5" w:space="0" w:color="000000"/>
                        </w:tcBorders>
                      </w:tcPr>
                      <w:p>
                        <w:pPr>
                          <w:pStyle w:val="TableParagraph"/>
                          <w:spacing w:before="111"/>
                          <w:ind w:left="29" w:right="101"/>
                          <w:rPr>
                            <w:rFonts w:ascii="Arial"/>
                            <w:sz w:val="16"/>
                          </w:rPr>
                        </w:pPr>
                        <w:r>
                          <w:rPr>
                            <w:rFonts w:ascii="Arial"/>
                            <w:sz w:val="16"/>
                          </w:rPr>
                          <w:t>28%</w:t>
                        </w:r>
                      </w:p>
                    </w:tc>
                    <w:tc>
                      <w:tcPr>
                        <w:tcW w:w="850" w:type="dxa"/>
                        <w:tcBorders>
                          <w:bottom w:val="single" w:sz="5" w:space="0" w:color="000000"/>
                        </w:tcBorders>
                      </w:tcPr>
                      <w:p>
                        <w:pPr>
                          <w:pStyle w:val="TableParagraph"/>
                          <w:spacing w:before="111"/>
                          <w:ind w:right="261"/>
                          <w:jc w:val="right"/>
                          <w:rPr>
                            <w:rFonts w:ascii="Arial"/>
                            <w:sz w:val="16"/>
                          </w:rPr>
                        </w:pPr>
                        <w:r>
                          <w:rPr>
                            <w:rFonts w:ascii="Arial"/>
                            <w:sz w:val="16"/>
                          </w:rPr>
                          <w:t>15%</w:t>
                        </w:r>
                      </w:p>
                    </w:tc>
                    <w:tc>
                      <w:tcPr>
                        <w:tcW w:w="869" w:type="dxa"/>
                        <w:tcBorders>
                          <w:bottom w:val="single" w:sz="5" w:space="0" w:color="000000"/>
                        </w:tcBorders>
                      </w:tcPr>
                      <w:p>
                        <w:pPr>
                          <w:pStyle w:val="TableParagraph"/>
                          <w:spacing w:before="111"/>
                          <w:ind w:left="266"/>
                          <w:rPr>
                            <w:rFonts w:ascii="Arial"/>
                            <w:sz w:val="16"/>
                          </w:rPr>
                        </w:pPr>
                        <w:r>
                          <w:rPr>
                            <w:rFonts w:ascii="Arial"/>
                            <w:sz w:val="16"/>
                          </w:rPr>
                          <w:t>21%</w:t>
                        </w:r>
                      </w:p>
                    </w:tc>
                  </w:tr>
                  <w:tr>
                    <w:trPr>
                      <w:trHeight w:val="416" w:hRule="exact"/>
                    </w:trPr>
                    <w:tc>
                      <w:tcPr>
                        <w:tcW w:w="8279" w:type="dxa"/>
                        <w:gridSpan w:val="3"/>
                      </w:tcPr>
                      <w:p>
                        <w:pPr>
                          <w:pStyle w:val="TableParagraph"/>
                          <w:spacing w:line="118" w:lineRule="exact"/>
                          <w:ind w:left="35"/>
                          <w:rPr>
                            <w:sz w:val="20"/>
                          </w:rPr>
                        </w:pPr>
                        <w:r>
                          <w:rPr>
                            <w:sz w:val="20"/>
                          </w:rPr>
                          <w:t>45% of the workers in the sample perceive total work related</w:t>
                        </w:r>
                      </w:p>
                      <w:p>
                        <w:pPr>
                          <w:pStyle w:val="TableParagraph"/>
                          <w:tabs>
                            <w:tab w:pos="5745" w:val="left" w:leader="none"/>
                            <w:tab w:pos="6253" w:val="left" w:leader="none"/>
                          </w:tabs>
                          <w:spacing w:line="232" w:lineRule="exact"/>
                          <w:ind w:left="35"/>
                          <w:rPr>
                            <w:rFonts w:ascii="Arial"/>
                            <w:sz w:val="16"/>
                          </w:rPr>
                        </w:pPr>
                        <w:r>
                          <w:rPr>
                            <w:sz w:val="20"/>
                          </w:rPr>
                          <w:t>psychosocial</w:t>
                        </w:r>
                        <w:r>
                          <w:rPr>
                            <w:spacing w:val="30"/>
                            <w:sz w:val="20"/>
                          </w:rPr>
                          <w:t> </w:t>
                        </w:r>
                        <w:r>
                          <w:rPr>
                            <w:sz w:val="20"/>
                          </w:rPr>
                          <w:t>risk</w:t>
                        </w:r>
                        <w:r>
                          <w:rPr>
                            <w:spacing w:val="31"/>
                            <w:sz w:val="20"/>
                          </w:rPr>
                          <w:t> </w:t>
                        </w:r>
                        <w:r>
                          <w:rPr>
                            <w:sz w:val="20"/>
                          </w:rPr>
                          <w:t>factors</w:t>
                        </w:r>
                        <w:r>
                          <w:rPr>
                            <w:spacing w:val="31"/>
                            <w:sz w:val="20"/>
                          </w:rPr>
                          <w:t> </w:t>
                        </w:r>
                        <w:r>
                          <w:rPr>
                            <w:sz w:val="20"/>
                          </w:rPr>
                          <w:t>at</w:t>
                        </w:r>
                        <w:r>
                          <w:rPr>
                            <w:spacing w:val="31"/>
                            <w:sz w:val="20"/>
                          </w:rPr>
                          <w:t> </w:t>
                        </w:r>
                        <w:r>
                          <w:rPr>
                            <w:sz w:val="20"/>
                          </w:rPr>
                          <w:t>a</w:t>
                        </w:r>
                        <w:r>
                          <w:rPr>
                            <w:spacing w:val="31"/>
                            <w:sz w:val="20"/>
                          </w:rPr>
                          <w:t> </w:t>
                        </w:r>
                        <w:r>
                          <w:rPr>
                            <w:sz w:val="20"/>
                          </w:rPr>
                          <w:t>high</w:t>
                        </w:r>
                        <w:r>
                          <w:rPr>
                            <w:spacing w:val="31"/>
                            <w:sz w:val="20"/>
                          </w:rPr>
                          <w:t> </w:t>
                        </w:r>
                        <w:r>
                          <w:rPr>
                            <w:sz w:val="20"/>
                          </w:rPr>
                          <w:t>or</w:t>
                        </w:r>
                        <w:r>
                          <w:rPr>
                            <w:spacing w:val="31"/>
                            <w:sz w:val="20"/>
                          </w:rPr>
                          <w:t> </w:t>
                        </w:r>
                        <w:r>
                          <w:rPr>
                            <w:sz w:val="20"/>
                          </w:rPr>
                          <w:t>very</w:t>
                        </w:r>
                        <w:r>
                          <w:rPr>
                            <w:spacing w:val="30"/>
                            <w:sz w:val="20"/>
                          </w:rPr>
                          <w:t> </w:t>
                        </w:r>
                        <w:r>
                          <w:rPr>
                            <w:sz w:val="20"/>
                          </w:rPr>
                          <w:t>high</w:t>
                        </w:r>
                        <w:r>
                          <w:rPr>
                            <w:spacing w:val="31"/>
                            <w:sz w:val="20"/>
                          </w:rPr>
                          <w:t> </w:t>
                        </w:r>
                        <w:r>
                          <w:rPr>
                            <w:sz w:val="20"/>
                          </w:rPr>
                          <w:t>risk</w:t>
                        </w:r>
                        <w:r>
                          <w:rPr>
                            <w:spacing w:val="31"/>
                            <w:sz w:val="20"/>
                          </w:rPr>
                          <w:t> </w:t>
                        </w:r>
                        <w:r>
                          <w:rPr>
                            <w:sz w:val="20"/>
                          </w:rPr>
                          <w:t>level.</w:t>
                          <w:tab/>
                        </w:r>
                        <w:r>
                          <w:rPr>
                            <w:rFonts w:ascii="Arial"/>
                            <w:b/>
                            <w:position w:val="4"/>
                            <w:sz w:val="16"/>
                          </w:rPr>
                          <w:t>1,2</w:t>
                          <w:tab/>
                        </w:r>
                        <w:r>
                          <w:rPr>
                            <w:rFonts w:ascii="Arial"/>
                            <w:position w:val="4"/>
                            <w:sz w:val="16"/>
                          </w:rPr>
                          <w:t>Social relationsship at</w:t>
                        </w:r>
                        <w:r>
                          <w:rPr>
                            <w:rFonts w:ascii="Arial"/>
                            <w:spacing w:val="-5"/>
                            <w:position w:val="4"/>
                            <w:sz w:val="16"/>
                          </w:rPr>
                          <w:t> </w:t>
                        </w:r>
                        <w:r>
                          <w:rPr>
                            <w:rFonts w:ascii="Arial"/>
                            <w:position w:val="4"/>
                            <w:sz w:val="16"/>
                          </w:rPr>
                          <w:t>work</w:t>
                        </w:r>
                      </w:p>
                    </w:tc>
                    <w:tc>
                      <w:tcPr>
                        <w:tcW w:w="222" w:type="dxa"/>
                        <w:tcBorders>
                          <w:top w:val="single" w:sz="5" w:space="0" w:color="000000"/>
                          <w:bottom w:val="single" w:sz="5" w:space="0" w:color="000000"/>
                        </w:tcBorders>
                      </w:tcPr>
                      <w:p>
                        <w:pPr/>
                      </w:p>
                    </w:tc>
                    <w:tc>
                      <w:tcPr>
                        <w:tcW w:w="613" w:type="dxa"/>
                        <w:tcBorders>
                          <w:top w:val="single" w:sz="5" w:space="0" w:color="000000"/>
                          <w:bottom w:val="single" w:sz="5" w:space="0" w:color="000000"/>
                        </w:tcBorders>
                      </w:tcPr>
                      <w:p>
                        <w:pPr>
                          <w:pStyle w:val="TableParagraph"/>
                          <w:spacing w:before="106"/>
                          <w:ind w:left="28" w:right="101"/>
                          <w:rPr>
                            <w:rFonts w:ascii="Arial"/>
                            <w:sz w:val="16"/>
                          </w:rPr>
                        </w:pPr>
                        <w:r>
                          <w:rPr>
                            <w:rFonts w:ascii="Arial"/>
                            <w:sz w:val="16"/>
                          </w:rPr>
                          <w:t>15%</w:t>
                        </w:r>
                      </w:p>
                    </w:tc>
                    <w:tc>
                      <w:tcPr>
                        <w:tcW w:w="850" w:type="dxa"/>
                        <w:tcBorders>
                          <w:top w:val="single" w:sz="5" w:space="0" w:color="000000"/>
                          <w:bottom w:val="single" w:sz="5" w:space="0" w:color="000000"/>
                        </w:tcBorders>
                      </w:tcPr>
                      <w:p>
                        <w:pPr>
                          <w:pStyle w:val="TableParagraph"/>
                          <w:spacing w:before="106"/>
                          <w:ind w:right="261"/>
                          <w:jc w:val="right"/>
                          <w:rPr>
                            <w:rFonts w:ascii="Arial"/>
                            <w:sz w:val="16"/>
                          </w:rPr>
                        </w:pPr>
                        <w:r>
                          <w:rPr>
                            <w:rFonts w:ascii="Arial"/>
                            <w:w w:val="95"/>
                            <w:sz w:val="16"/>
                          </w:rPr>
                          <w:t>28%</w:t>
                        </w:r>
                      </w:p>
                    </w:tc>
                    <w:tc>
                      <w:tcPr>
                        <w:tcW w:w="869" w:type="dxa"/>
                        <w:tcBorders>
                          <w:top w:val="single" w:sz="5" w:space="0" w:color="000000"/>
                          <w:bottom w:val="single" w:sz="5" w:space="0" w:color="000000"/>
                        </w:tcBorders>
                      </w:tcPr>
                      <w:p>
                        <w:pPr>
                          <w:pStyle w:val="TableParagraph"/>
                          <w:spacing w:before="106"/>
                          <w:ind w:left="266"/>
                          <w:rPr>
                            <w:rFonts w:ascii="Arial"/>
                            <w:sz w:val="16"/>
                          </w:rPr>
                        </w:pPr>
                        <w:r>
                          <w:rPr>
                            <w:rFonts w:ascii="Arial"/>
                            <w:sz w:val="16"/>
                          </w:rPr>
                          <w:t>32%</w:t>
                        </w:r>
                      </w:p>
                    </w:tc>
                  </w:tr>
                  <w:tr>
                    <w:trPr>
                      <w:trHeight w:val="416" w:hRule="exact"/>
                    </w:trPr>
                    <w:tc>
                      <w:tcPr>
                        <w:tcW w:w="8279" w:type="dxa"/>
                        <w:gridSpan w:val="3"/>
                      </w:tcPr>
                      <w:p>
                        <w:pPr>
                          <w:pStyle w:val="TableParagraph"/>
                          <w:spacing w:line="136" w:lineRule="exact"/>
                          <w:ind w:left="35"/>
                          <w:rPr>
                            <w:sz w:val="20"/>
                          </w:rPr>
                        </w:pPr>
                        <w:r>
                          <w:rPr>
                            <w:sz w:val="20"/>
                          </w:rPr>
                          <w:t>The percentage of respondents whose responses in each of</w:t>
                        </w:r>
                      </w:p>
                      <w:p>
                        <w:pPr>
                          <w:pStyle w:val="TableParagraph"/>
                          <w:tabs>
                            <w:tab w:pos="5745" w:val="left" w:leader="none"/>
                            <w:tab w:pos="6253" w:val="left" w:leader="none"/>
                          </w:tabs>
                          <w:spacing w:line="256" w:lineRule="exact"/>
                          <w:ind w:left="35"/>
                          <w:rPr>
                            <w:rFonts w:ascii="Arial"/>
                            <w:sz w:val="16"/>
                          </w:rPr>
                        </w:pPr>
                        <w:r>
                          <w:rPr>
                            <w:sz w:val="20"/>
                          </w:rPr>
                          <w:t>the domains correspond to levels high or very high   </w:t>
                        </w:r>
                        <w:r>
                          <w:rPr>
                            <w:spacing w:val="21"/>
                            <w:sz w:val="20"/>
                          </w:rPr>
                          <w:t> </w:t>
                        </w:r>
                        <w:r>
                          <w:rPr>
                            <w:sz w:val="20"/>
                          </w:rPr>
                          <w:t>risk</w:t>
                        </w:r>
                        <w:r>
                          <w:rPr>
                            <w:spacing w:val="18"/>
                            <w:sz w:val="20"/>
                          </w:rPr>
                          <w:t> </w:t>
                        </w:r>
                        <w:r>
                          <w:rPr>
                            <w:sz w:val="20"/>
                          </w:rPr>
                          <w:t>are</w:t>
                          <w:tab/>
                        </w:r>
                        <w:r>
                          <w:rPr>
                            <w:rFonts w:ascii="Arial"/>
                            <w:b/>
                            <w:position w:val="9"/>
                            <w:sz w:val="16"/>
                          </w:rPr>
                          <w:t>1,3</w:t>
                          <w:tab/>
                        </w:r>
                        <w:r>
                          <w:rPr>
                            <w:rFonts w:ascii="Arial"/>
                            <w:position w:val="9"/>
                            <w:sz w:val="16"/>
                          </w:rPr>
                          <w:t>Feedback</w:t>
                        </w:r>
                        <w:r>
                          <w:rPr>
                            <w:rFonts w:ascii="Arial"/>
                            <w:spacing w:val="-4"/>
                            <w:position w:val="9"/>
                            <w:sz w:val="16"/>
                          </w:rPr>
                          <w:t> </w:t>
                        </w:r>
                        <w:r>
                          <w:rPr>
                            <w:rFonts w:ascii="Arial"/>
                            <w:position w:val="9"/>
                            <w:sz w:val="16"/>
                          </w:rPr>
                          <w:t>Performance</w:t>
                        </w:r>
                      </w:p>
                    </w:tc>
                    <w:tc>
                      <w:tcPr>
                        <w:tcW w:w="222" w:type="dxa"/>
                        <w:tcBorders>
                          <w:top w:val="single" w:sz="5" w:space="0" w:color="000000"/>
                          <w:bottom w:val="single" w:sz="6" w:space="0" w:color="000000"/>
                        </w:tcBorders>
                      </w:tcPr>
                      <w:p>
                        <w:pPr/>
                      </w:p>
                    </w:tc>
                    <w:tc>
                      <w:tcPr>
                        <w:tcW w:w="613" w:type="dxa"/>
                        <w:tcBorders>
                          <w:top w:val="single" w:sz="5" w:space="0" w:color="000000"/>
                          <w:bottom w:val="single" w:sz="6" w:space="0" w:color="000000"/>
                        </w:tcBorders>
                      </w:tcPr>
                      <w:p>
                        <w:pPr>
                          <w:pStyle w:val="TableParagraph"/>
                          <w:spacing w:before="104"/>
                          <w:ind w:left="29" w:right="101"/>
                          <w:rPr>
                            <w:rFonts w:ascii="Arial"/>
                            <w:sz w:val="16"/>
                          </w:rPr>
                        </w:pPr>
                        <w:r>
                          <w:rPr>
                            <w:rFonts w:ascii="Arial"/>
                            <w:sz w:val="16"/>
                          </w:rPr>
                          <w:t>21%</w:t>
                        </w:r>
                      </w:p>
                    </w:tc>
                    <w:tc>
                      <w:tcPr>
                        <w:tcW w:w="850" w:type="dxa"/>
                        <w:tcBorders>
                          <w:top w:val="single" w:sz="5" w:space="0" w:color="000000"/>
                          <w:bottom w:val="single" w:sz="6" w:space="0" w:color="000000"/>
                        </w:tcBorders>
                      </w:tcPr>
                      <w:p>
                        <w:pPr>
                          <w:pStyle w:val="TableParagraph"/>
                          <w:spacing w:before="104"/>
                          <w:ind w:right="261"/>
                          <w:jc w:val="right"/>
                          <w:rPr>
                            <w:rFonts w:ascii="Arial"/>
                            <w:sz w:val="16"/>
                          </w:rPr>
                        </w:pPr>
                        <w:r>
                          <w:rPr>
                            <w:rFonts w:ascii="Arial"/>
                            <w:w w:val="95"/>
                            <w:sz w:val="16"/>
                          </w:rPr>
                          <w:t>21%</w:t>
                        </w:r>
                      </w:p>
                    </w:tc>
                    <w:tc>
                      <w:tcPr>
                        <w:tcW w:w="869" w:type="dxa"/>
                        <w:tcBorders>
                          <w:top w:val="single" w:sz="5" w:space="0" w:color="000000"/>
                          <w:bottom w:val="single" w:sz="6" w:space="0" w:color="000000"/>
                        </w:tcBorders>
                      </w:tcPr>
                      <w:p>
                        <w:pPr>
                          <w:pStyle w:val="TableParagraph"/>
                          <w:spacing w:before="104"/>
                          <w:ind w:left="266"/>
                          <w:rPr>
                            <w:rFonts w:ascii="Arial"/>
                            <w:sz w:val="16"/>
                          </w:rPr>
                        </w:pPr>
                        <w:r>
                          <w:rPr>
                            <w:rFonts w:ascii="Arial"/>
                            <w:sz w:val="16"/>
                          </w:rPr>
                          <w:t>26%</w:t>
                        </w:r>
                      </w:p>
                    </w:tc>
                  </w:tr>
                  <w:tr>
                    <w:trPr>
                      <w:trHeight w:val="416" w:hRule="exact"/>
                    </w:trPr>
                    <w:tc>
                      <w:tcPr>
                        <w:tcW w:w="8279" w:type="dxa"/>
                        <w:gridSpan w:val="3"/>
                      </w:tcPr>
                      <w:p>
                        <w:pPr>
                          <w:pStyle w:val="TableParagraph"/>
                          <w:tabs>
                            <w:tab w:pos="5745" w:val="left" w:leader="none"/>
                            <w:tab w:pos="6253" w:val="left" w:leader="none"/>
                          </w:tabs>
                          <w:spacing w:line="298" w:lineRule="exact"/>
                          <w:ind w:left="35"/>
                          <w:rPr>
                            <w:rFonts w:ascii="Arial"/>
                            <w:sz w:val="16"/>
                          </w:rPr>
                        </w:pPr>
                        <w:r>
                          <w:rPr>
                            <w:sz w:val="20"/>
                          </w:rPr>
                          <w:t>40  %  in  job  demands,  49  %  in  leadership     </w:t>
                        </w:r>
                        <w:r>
                          <w:rPr>
                            <w:spacing w:val="40"/>
                            <w:sz w:val="20"/>
                          </w:rPr>
                          <w:t> </w:t>
                        </w:r>
                        <w:r>
                          <w:rPr>
                            <w:sz w:val="20"/>
                          </w:rPr>
                          <w:t>and </w:t>
                        </w:r>
                        <w:r>
                          <w:rPr>
                            <w:spacing w:val="26"/>
                            <w:sz w:val="20"/>
                          </w:rPr>
                          <w:t> </w:t>
                        </w:r>
                        <w:r>
                          <w:rPr>
                            <w:sz w:val="20"/>
                          </w:rPr>
                          <w:t>social</w:t>
                          <w:tab/>
                        </w:r>
                        <w:r>
                          <w:rPr>
                            <w:rFonts w:ascii="Arial"/>
                            <w:b/>
                            <w:position w:val="-9"/>
                            <w:sz w:val="16"/>
                          </w:rPr>
                          <w:t>1,4</w:t>
                          <w:tab/>
                        </w:r>
                        <w:r>
                          <w:rPr>
                            <w:rFonts w:ascii="Arial"/>
                            <w:position w:val="-9"/>
                            <w:sz w:val="16"/>
                          </w:rPr>
                          <w:t>Relationship with</w:t>
                        </w:r>
                        <w:r>
                          <w:rPr>
                            <w:rFonts w:ascii="Arial"/>
                            <w:spacing w:val="-7"/>
                            <w:position w:val="-9"/>
                            <w:sz w:val="16"/>
                          </w:rPr>
                          <w:t> </w:t>
                        </w:r>
                        <w:r>
                          <w:rPr>
                            <w:rFonts w:ascii="Arial"/>
                            <w:position w:val="-9"/>
                            <w:sz w:val="16"/>
                          </w:rPr>
                          <w:t>employees</w:t>
                        </w:r>
                      </w:p>
                    </w:tc>
                    <w:tc>
                      <w:tcPr>
                        <w:tcW w:w="222" w:type="dxa"/>
                        <w:tcBorders>
                          <w:top w:val="single" w:sz="6" w:space="0" w:color="000000"/>
                        </w:tcBorders>
                      </w:tcPr>
                      <w:p>
                        <w:pPr/>
                      </w:p>
                    </w:tc>
                    <w:tc>
                      <w:tcPr>
                        <w:tcW w:w="613" w:type="dxa"/>
                        <w:tcBorders>
                          <w:top w:val="single" w:sz="6" w:space="0" w:color="000000"/>
                        </w:tcBorders>
                      </w:tcPr>
                      <w:p>
                        <w:pPr>
                          <w:pStyle w:val="TableParagraph"/>
                          <w:spacing w:before="103"/>
                          <w:ind w:left="75" w:right="101"/>
                          <w:rPr>
                            <w:rFonts w:ascii="Arial"/>
                            <w:sz w:val="16"/>
                          </w:rPr>
                        </w:pPr>
                        <w:r>
                          <w:rPr>
                            <w:rFonts w:ascii="Arial"/>
                            <w:sz w:val="16"/>
                          </w:rPr>
                          <w:t>6%</w:t>
                        </w:r>
                      </w:p>
                    </w:tc>
                    <w:tc>
                      <w:tcPr>
                        <w:tcW w:w="850" w:type="dxa"/>
                        <w:tcBorders>
                          <w:top w:val="single" w:sz="6" w:space="0" w:color="000000"/>
                        </w:tcBorders>
                      </w:tcPr>
                      <w:p>
                        <w:pPr>
                          <w:pStyle w:val="TableParagraph"/>
                          <w:spacing w:before="103"/>
                          <w:ind w:right="302"/>
                          <w:jc w:val="right"/>
                          <w:rPr>
                            <w:rFonts w:ascii="Arial"/>
                            <w:sz w:val="16"/>
                          </w:rPr>
                        </w:pPr>
                        <w:r>
                          <w:rPr>
                            <w:rFonts w:ascii="Arial"/>
                            <w:w w:val="95"/>
                            <w:sz w:val="16"/>
                          </w:rPr>
                          <w:t>8%</w:t>
                        </w:r>
                      </w:p>
                    </w:tc>
                    <w:tc>
                      <w:tcPr>
                        <w:tcW w:w="869" w:type="dxa"/>
                        <w:tcBorders>
                          <w:top w:val="single" w:sz="6" w:space="0" w:color="000000"/>
                        </w:tcBorders>
                      </w:tcPr>
                      <w:p>
                        <w:pPr>
                          <w:pStyle w:val="TableParagraph"/>
                          <w:spacing w:before="103"/>
                          <w:ind w:left="312"/>
                          <w:rPr>
                            <w:rFonts w:ascii="Arial"/>
                            <w:sz w:val="16"/>
                          </w:rPr>
                        </w:pPr>
                        <w:r>
                          <w:rPr>
                            <w:rFonts w:ascii="Arial"/>
                            <w:sz w:val="16"/>
                          </w:rPr>
                          <w:t>0%</w:t>
                        </w:r>
                      </w:p>
                    </w:tc>
                  </w:tr>
                  <w:tr>
                    <w:trPr>
                      <w:trHeight w:val="415" w:hRule="exact"/>
                    </w:trPr>
                    <w:tc>
                      <w:tcPr>
                        <w:tcW w:w="8279" w:type="dxa"/>
                        <w:gridSpan w:val="3"/>
                      </w:tcPr>
                      <w:p>
                        <w:pPr>
                          <w:pStyle w:val="TableParagraph"/>
                          <w:tabs>
                            <w:tab w:pos="5805" w:val="left" w:leader="none"/>
                          </w:tabs>
                          <w:spacing w:line="249" w:lineRule="exact" w:before="24"/>
                          <w:ind w:left="35"/>
                          <w:rPr>
                            <w:rFonts w:ascii="Arial"/>
                            <w:b/>
                            <w:sz w:val="16"/>
                          </w:rPr>
                        </w:pPr>
                        <w:r>
                          <w:rPr>
                            <w:position w:val="5"/>
                            <w:sz w:val="20"/>
                          </w:rPr>
                          <w:t>rewards.</w:t>
                          <w:tab/>
                        </w:r>
                        <w:r>
                          <w:rPr>
                            <w:rFonts w:ascii="Arial"/>
                            <w:b/>
                            <w:sz w:val="16"/>
                          </w:rPr>
                          <w:t>2   Work</w:t>
                        </w:r>
                        <w:r>
                          <w:rPr>
                            <w:rFonts w:ascii="Arial"/>
                            <w:b/>
                            <w:spacing w:val="1"/>
                            <w:sz w:val="16"/>
                          </w:rPr>
                          <w:t> </w:t>
                        </w:r>
                        <w:r>
                          <w:rPr>
                            <w:rFonts w:ascii="Arial"/>
                            <w:b/>
                            <w:sz w:val="16"/>
                          </w:rPr>
                          <w:t>Control</w:t>
                        </w:r>
                      </w:p>
                      <w:p>
                        <w:pPr>
                          <w:pStyle w:val="TableParagraph"/>
                          <w:spacing w:line="182" w:lineRule="exact"/>
                          <w:ind w:left="394"/>
                          <w:rPr>
                            <w:sz w:val="20"/>
                          </w:rPr>
                        </w:pPr>
                        <w:r>
                          <w:rPr>
                            <w:sz w:val="20"/>
                          </w:rPr>
                          <w:t>The most critical domain is the Leadership and social</w:t>
                        </w:r>
                      </w:p>
                    </w:tc>
                    <w:tc>
                      <w:tcPr>
                        <w:tcW w:w="222" w:type="dxa"/>
                        <w:shd w:val="clear" w:color="auto" w:fill="D8D8D8"/>
                      </w:tcPr>
                      <w:p>
                        <w:pPr/>
                      </w:p>
                    </w:tc>
                    <w:tc>
                      <w:tcPr>
                        <w:tcW w:w="613" w:type="dxa"/>
                        <w:shd w:val="clear" w:color="auto" w:fill="D8D8D8"/>
                      </w:tcPr>
                      <w:p>
                        <w:pPr>
                          <w:pStyle w:val="TableParagraph"/>
                          <w:spacing w:before="110"/>
                          <w:ind w:left="41" w:right="101"/>
                          <w:rPr>
                            <w:rFonts w:ascii="Arial"/>
                            <w:b/>
                            <w:sz w:val="16"/>
                          </w:rPr>
                        </w:pPr>
                        <w:r>
                          <w:rPr>
                            <w:rFonts w:ascii="Arial"/>
                            <w:b/>
                            <w:sz w:val="16"/>
                          </w:rPr>
                          <w:t>30%</w:t>
                        </w:r>
                      </w:p>
                    </w:tc>
                    <w:tc>
                      <w:tcPr>
                        <w:tcW w:w="850" w:type="dxa"/>
                        <w:shd w:val="clear" w:color="auto" w:fill="D8D8D8"/>
                      </w:tcPr>
                      <w:p>
                        <w:pPr>
                          <w:pStyle w:val="TableParagraph"/>
                          <w:spacing w:before="110"/>
                          <w:ind w:right="247"/>
                          <w:jc w:val="right"/>
                          <w:rPr>
                            <w:rFonts w:ascii="Arial"/>
                            <w:b/>
                            <w:sz w:val="16"/>
                          </w:rPr>
                        </w:pPr>
                        <w:r>
                          <w:rPr>
                            <w:rFonts w:ascii="Arial"/>
                            <w:b/>
                            <w:sz w:val="16"/>
                          </w:rPr>
                          <w:t>23%</w:t>
                        </w:r>
                      </w:p>
                    </w:tc>
                    <w:tc>
                      <w:tcPr>
                        <w:tcW w:w="869" w:type="dxa"/>
                        <w:shd w:val="clear" w:color="auto" w:fill="D8D8D8"/>
                      </w:tcPr>
                      <w:p>
                        <w:pPr>
                          <w:pStyle w:val="TableParagraph"/>
                          <w:spacing w:before="110"/>
                          <w:ind w:left="278"/>
                          <w:rPr>
                            <w:rFonts w:ascii="Arial"/>
                            <w:b/>
                            <w:sz w:val="16"/>
                          </w:rPr>
                        </w:pPr>
                        <w:r>
                          <w:rPr>
                            <w:rFonts w:ascii="Arial"/>
                            <w:b/>
                            <w:sz w:val="16"/>
                          </w:rPr>
                          <w:t>15%</w:t>
                        </w:r>
                      </w:p>
                    </w:tc>
                  </w:tr>
                  <w:tr>
                    <w:trPr>
                      <w:trHeight w:val="416" w:hRule="exact"/>
                    </w:trPr>
                    <w:tc>
                      <w:tcPr>
                        <w:tcW w:w="8279" w:type="dxa"/>
                        <w:gridSpan w:val="3"/>
                      </w:tcPr>
                      <w:p>
                        <w:pPr>
                          <w:pStyle w:val="TableParagraph"/>
                          <w:tabs>
                            <w:tab w:pos="5745" w:val="left" w:leader="none"/>
                            <w:tab w:pos="6253" w:val="left" w:leader="none"/>
                          </w:tabs>
                          <w:spacing w:before="64"/>
                          <w:ind w:left="35"/>
                          <w:rPr>
                            <w:rFonts w:ascii="Arial"/>
                            <w:sz w:val="16"/>
                          </w:rPr>
                        </w:pPr>
                        <w:r>
                          <w:rPr>
                            <w:position w:val="1"/>
                            <w:sz w:val="20"/>
                          </w:rPr>
                          <w:t>relationships</w:t>
                        </w:r>
                        <w:r>
                          <w:rPr>
                            <w:spacing w:val="18"/>
                            <w:position w:val="1"/>
                            <w:sz w:val="20"/>
                          </w:rPr>
                          <w:t> </w:t>
                        </w:r>
                        <w:r>
                          <w:rPr>
                            <w:position w:val="1"/>
                            <w:sz w:val="20"/>
                          </w:rPr>
                          <w:t>at</w:t>
                        </w:r>
                        <w:r>
                          <w:rPr>
                            <w:spacing w:val="19"/>
                            <w:position w:val="1"/>
                            <w:sz w:val="20"/>
                          </w:rPr>
                          <w:t> </w:t>
                        </w:r>
                        <w:r>
                          <w:rPr>
                            <w:position w:val="1"/>
                            <w:sz w:val="20"/>
                          </w:rPr>
                          <w:t>wor;.</w:t>
                        </w:r>
                        <w:r>
                          <w:rPr>
                            <w:spacing w:val="19"/>
                            <w:position w:val="1"/>
                            <w:sz w:val="20"/>
                          </w:rPr>
                          <w:t> </w:t>
                        </w:r>
                        <w:r>
                          <w:rPr>
                            <w:position w:val="1"/>
                            <w:sz w:val="20"/>
                          </w:rPr>
                          <w:t>60</w:t>
                        </w:r>
                        <w:r>
                          <w:rPr>
                            <w:spacing w:val="19"/>
                            <w:position w:val="1"/>
                            <w:sz w:val="20"/>
                          </w:rPr>
                          <w:t> </w:t>
                        </w:r>
                        <w:r>
                          <w:rPr>
                            <w:position w:val="1"/>
                            <w:sz w:val="20"/>
                          </w:rPr>
                          <w:t>%</w:t>
                        </w:r>
                        <w:r>
                          <w:rPr>
                            <w:spacing w:val="19"/>
                            <w:position w:val="1"/>
                            <w:sz w:val="20"/>
                          </w:rPr>
                          <w:t> </w:t>
                        </w:r>
                        <w:r>
                          <w:rPr>
                            <w:position w:val="1"/>
                            <w:sz w:val="20"/>
                          </w:rPr>
                          <w:t>of</w:t>
                        </w:r>
                        <w:r>
                          <w:rPr>
                            <w:spacing w:val="20"/>
                            <w:position w:val="1"/>
                            <w:sz w:val="20"/>
                          </w:rPr>
                          <w:t> </w:t>
                        </w:r>
                        <w:r>
                          <w:rPr>
                            <w:position w:val="1"/>
                            <w:sz w:val="20"/>
                          </w:rPr>
                          <w:t>the</w:t>
                        </w:r>
                        <w:r>
                          <w:rPr>
                            <w:spacing w:val="19"/>
                            <w:position w:val="1"/>
                            <w:sz w:val="20"/>
                          </w:rPr>
                          <w:t> </w:t>
                        </w:r>
                        <w:r>
                          <w:rPr>
                            <w:position w:val="1"/>
                            <w:sz w:val="20"/>
                          </w:rPr>
                          <w:t>people</w:t>
                        </w:r>
                        <w:r>
                          <w:rPr>
                            <w:spacing w:val="20"/>
                            <w:position w:val="1"/>
                            <w:sz w:val="20"/>
                          </w:rPr>
                          <w:t> </w:t>
                        </w:r>
                        <w:r>
                          <w:rPr>
                            <w:position w:val="1"/>
                            <w:sz w:val="20"/>
                          </w:rPr>
                          <w:t>scored</w:t>
                        </w:r>
                        <w:r>
                          <w:rPr>
                            <w:spacing w:val="20"/>
                            <w:position w:val="1"/>
                            <w:sz w:val="20"/>
                          </w:rPr>
                          <w:t> </w:t>
                        </w:r>
                        <w:r>
                          <w:rPr>
                            <w:position w:val="1"/>
                            <w:sz w:val="20"/>
                          </w:rPr>
                          <w:t>at</w:t>
                        </w:r>
                        <w:r>
                          <w:rPr>
                            <w:spacing w:val="18"/>
                            <w:position w:val="1"/>
                            <w:sz w:val="20"/>
                          </w:rPr>
                          <w:t> </w:t>
                        </w:r>
                        <w:r>
                          <w:rPr>
                            <w:position w:val="1"/>
                            <w:sz w:val="20"/>
                          </w:rPr>
                          <w:t>High</w:t>
                        </w:r>
                        <w:r>
                          <w:rPr>
                            <w:spacing w:val="19"/>
                            <w:position w:val="1"/>
                            <w:sz w:val="20"/>
                          </w:rPr>
                          <w:t> </w:t>
                        </w:r>
                        <w:r>
                          <w:rPr>
                            <w:position w:val="1"/>
                            <w:sz w:val="20"/>
                          </w:rPr>
                          <w:t>or</w:t>
                          <w:tab/>
                        </w:r>
                        <w:r>
                          <w:rPr>
                            <w:rFonts w:ascii="Arial"/>
                            <w:b/>
                            <w:sz w:val="16"/>
                          </w:rPr>
                          <w:t>2,1</w:t>
                          <w:tab/>
                        </w:r>
                        <w:r>
                          <w:rPr>
                            <w:rFonts w:ascii="Arial"/>
                            <w:sz w:val="16"/>
                          </w:rPr>
                          <w:t>Role</w:t>
                        </w:r>
                        <w:r>
                          <w:rPr>
                            <w:rFonts w:ascii="Arial"/>
                            <w:spacing w:val="-3"/>
                            <w:sz w:val="16"/>
                          </w:rPr>
                          <w:t> </w:t>
                        </w:r>
                        <w:r>
                          <w:rPr>
                            <w:rFonts w:ascii="Arial"/>
                            <w:sz w:val="16"/>
                          </w:rPr>
                          <w:t>clarity</w:t>
                        </w:r>
                      </w:p>
                    </w:tc>
                    <w:tc>
                      <w:tcPr>
                        <w:tcW w:w="222" w:type="dxa"/>
                        <w:tcBorders>
                          <w:bottom w:val="single" w:sz="6" w:space="0" w:color="000000"/>
                        </w:tcBorders>
                      </w:tcPr>
                      <w:p>
                        <w:pPr/>
                      </w:p>
                    </w:tc>
                    <w:tc>
                      <w:tcPr>
                        <w:tcW w:w="613" w:type="dxa"/>
                        <w:tcBorders>
                          <w:bottom w:val="single" w:sz="6" w:space="0" w:color="000000"/>
                        </w:tcBorders>
                      </w:tcPr>
                      <w:p>
                        <w:pPr>
                          <w:pStyle w:val="TableParagraph"/>
                          <w:spacing w:before="109"/>
                          <w:ind w:left="29" w:right="101"/>
                          <w:rPr>
                            <w:rFonts w:ascii="Arial"/>
                            <w:sz w:val="16"/>
                          </w:rPr>
                        </w:pPr>
                        <w:r>
                          <w:rPr>
                            <w:rFonts w:ascii="Arial"/>
                            <w:sz w:val="16"/>
                          </w:rPr>
                          <w:t>15%</w:t>
                        </w:r>
                      </w:p>
                    </w:tc>
                    <w:tc>
                      <w:tcPr>
                        <w:tcW w:w="850" w:type="dxa"/>
                        <w:tcBorders>
                          <w:bottom w:val="single" w:sz="6" w:space="0" w:color="000000"/>
                        </w:tcBorders>
                      </w:tcPr>
                      <w:p>
                        <w:pPr>
                          <w:pStyle w:val="TableParagraph"/>
                          <w:spacing w:before="109"/>
                          <w:ind w:right="261"/>
                          <w:jc w:val="right"/>
                          <w:rPr>
                            <w:rFonts w:ascii="Arial"/>
                            <w:sz w:val="16"/>
                          </w:rPr>
                        </w:pPr>
                        <w:r>
                          <w:rPr>
                            <w:rFonts w:ascii="Arial"/>
                            <w:sz w:val="16"/>
                          </w:rPr>
                          <w:t>28%</w:t>
                        </w:r>
                      </w:p>
                    </w:tc>
                    <w:tc>
                      <w:tcPr>
                        <w:tcW w:w="869" w:type="dxa"/>
                        <w:tcBorders>
                          <w:bottom w:val="single" w:sz="6" w:space="0" w:color="000000"/>
                        </w:tcBorders>
                      </w:tcPr>
                      <w:p>
                        <w:pPr>
                          <w:pStyle w:val="TableParagraph"/>
                          <w:spacing w:before="109"/>
                          <w:ind w:left="312"/>
                          <w:rPr>
                            <w:rFonts w:ascii="Arial"/>
                            <w:sz w:val="16"/>
                          </w:rPr>
                        </w:pPr>
                        <w:r>
                          <w:rPr>
                            <w:rFonts w:ascii="Arial"/>
                            <w:sz w:val="16"/>
                          </w:rPr>
                          <w:t>9%</w:t>
                        </w:r>
                      </w:p>
                    </w:tc>
                  </w:tr>
                  <w:tr>
                    <w:trPr>
                      <w:trHeight w:val="119" w:hRule="exact"/>
                    </w:trPr>
                    <w:tc>
                      <w:tcPr>
                        <w:tcW w:w="5673" w:type="dxa"/>
                      </w:tcPr>
                      <w:p>
                        <w:pPr/>
                      </w:p>
                    </w:tc>
                    <w:tc>
                      <w:tcPr>
                        <w:tcW w:w="338" w:type="dxa"/>
                      </w:tcPr>
                      <w:p>
                        <w:pPr/>
                      </w:p>
                    </w:tc>
                    <w:tc>
                      <w:tcPr>
                        <w:tcW w:w="2268" w:type="dxa"/>
                      </w:tcPr>
                      <w:p>
                        <w:pPr/>
                      </w:p>
                    </w:tc>
                    <w:tc>
                      <w:tcPr>
                        <w:tcW w:w="835" w:type="dxa"/>
                        <w:gridSpan w:val="2"/>
                      </w:tcPr>
                      <w:p>
                        <w:pPr/>
                      </w:p>
                    </w:tc>
                    <w:tc>
                      <w:tcPr>
                        <w:tcW w:w="850" w:type="dxa"/>
                      </w:tcPr>
                      <w:p>
                        <w:pPr/>
                      </w:p>
                    </w:tc>
                    <w:tc>
                      <w:tcPr>
                        <w:tcW w:w="869" w:type="dxa"/>
                      </w:tcPr>
                      <w:p>
                        <w:pPr/>
                      </w:p>
                    </w:tc>
                  </w:tr>
                  <w:tr>
                    <w:trPr>
                      <w:trHeight w:val="297" w:hRule="exact"/>
                    </w:trPr>
                    <w:tc>
                      <w:tcPr>
                        <w:tcW w:w="5673" w:type="dxa"/>
                      </w:tcPr>
                      <w:p>
                        <w:pPr>
                          <w:pStyle w:val="TableParagraph"/>
                          <w:spacing w:line="222" w:lineRule="exact"/>
                          <w:ind w:left="35" w:right="698"/>
                          <w:rPr>
                            <w:sz w:val="20"/>
                          </w:rPr>
                        </w:pPr>
                        <w:r>
                          <w:rPr>
                            <w:sz w:val="20"/>
                          </w:rPr>
                          <w:t>work, indicating that peer relationships tend to be distant and</w:t>
                        </w:r>
                      </w:p>
                    </w:tc>
                    <w:tc>
                      <w:tcPr>
                        <w:tcW w:w="338" w:type="dxa"/>
                        <w:tcBorders>
                          <w:bottom w:val="single" w:sz="6" w:space="0" w:color="000000"/>
                        </w:tcBorders>
                      </w:tcPr>
                      <w:p>
                        <w:pPr>
                          <w:pStyle w:val="TableParagraph"/>
                          <w:spacing w:line="176" w:lineRule="exact"/>
                          <w:ind w:right="40"/>
                          <w:jc w:val="right"/>
                          <w:rPr>
                            <w:rFonts w:ascii="Arial"/>
                            <w:b/>
                            <w:sz w:val="16"/>
                          </w:rPr>
                        </w:pPr>
                        <w:r>
                          <w:rPr>
                            <w:rFonts w:ascii="Arial"/>
                            <w:b/>
                            <w:w w:val="95"/>
                            <w:sz w:val="16"/>
                          </w:rPr>
                          <w:t>2,2</w:t>
                        </w:r>
                      </w:p>
                    </w:tc>
                    <w:tc>
                      <w:tcPr>
                        <w:tcW w:w="2268" w:type="dxa"/>
                        <w:tcBorders>
                          <w:bottom w:val="single" w:sz="6" w:space="0" w:color="000000"/>
                        </w:tcBorders>
                      </w:tcPr>
                      <w:p>
                        <w:pPr>
                          <w:pStyle w:val="TableParagraph"/>
                          <w:spacing w:line="176" w:lineRule="exact"/>
                          <w:ind w:left="242" w:right="245"/>
                          <w:rPr>
                            <w:rFonts w:ascii="Arial"/>
                            <w:sz w:val="16"/>
                          </w:rPr>
                        </w:pPr>
                        <w:r>
                          <w:rPr>
                            <w:rFonts w:ascii="Arial"/>
                            <w:sz w:val="16"/>
                          </w:rPr>
                          <w:t>Training</w:t>
                        </w:r>
                      </w:p>
                    </w:tc>
                    <w:tc>
                      <w:tcPr>
                        <w:tcW w:w="835" w:type="dxa"/>
                        <w:gridSpan w:val="2"/>
                        <w:tcBorders>
                          <w:bottom w:val="single" w:sz="6" w:space="0" w:color="000000"/>
                        </w:tcBorders>
                      </w:tcPr>
                      <w:p>
                        <w:pPr>
                          <w:pStyle w:val="TableParagraph"/>
                          <w:spacing w:line="176" w:lineRule="exact"/>
                          <w:ind w:left="251"/>
                          <w:rPr>
                            <w:rFonts w:ascii="Arial"/>
                            <w:sz w:val="16"/>
                          </w:rPr>
                        </w:pPr>
                        <w:r>
                          <w:rPr>
                            <w:rFonts w:ascii="Arial"/>
                            <w:sz w:val="16"/>
                          </w:rPr>
                          <w:t>19%</w:t>
                        </w:r>
                      </w:p>
                    </w:tc>
                    <w:tc>
                      <w:tcPr>
                        <w:tcW w:w="850" w:type="dxa"/>
                        <w:tcBorders>
                          <w:bottom w:val="single" w:sz="6" w:space="0" w:color="000000"/>
                        </w:tcBorders>
                      </w:tcPr>
                      <w:p>
                        <w:pPr>
                          <w:pStyle w:val="TableParagraph"/>
                          <w:spacing w:line="176" w:lineRule="exact"/>
                          <w:ind w:right="261"/>
                          <w:jc w:val="right"/>
                          <w:rPr>
                            <w:rFonts w:ascii="Arial"/>
                            <w:sz w:val="16"/>
                          </w:rPr>
                        </w:pPr>
                        <w:r>
                          <w:rPr>
                            <w:rFonts w:ascii="Arial"/>
                            <w:sz w:val="16"/>
                          </w:rPr>
                          <w:t>30%</w:t>
                        </w:r>
                      </w:p>
                    </w:tc>
                    <w:tc>
                      <w:tcPr>
                        <w:tcW w:w="869" w:type="dxa"/>
                        <w:tcBorders>
                          <w:bottom w:val="single" w:sz="6" w:space="0" w:color="000000"/>
                        </w:tcBorders>
                      </w:tcPr>
                      <w:p>
                        <w:pPr>
                          <w:pStyle w:val="TableParagraph"/>
                          <w:spacing w:line="176" w:lineRule="exact"/>
                          <w:ind w:left="266"/>
                          <w:rPr>
                            <w:rFonts w:ascii="Arial"/>
                            <w:sz w:val="16"/>
                          </w:rPr>
                        </w:pPr>
                        <w:r>
                          <w:rPr>
                            <w:rFonts w:ascii="Arial"/>
                            <w:sz w:val="16"/>
                          </w:rPr>
                          <w:t>17%</w:t>
                        </w:r>
                      </w:p>
                    </w:tc>
                  </w:tr>
                  <w:tr>
                    <w:trPr>
                      <w:trHeight w:val="416" w:hRule="exact"/>
                    </w:trPr>
                    <w:tc>
                      <w:tcPr>
                        <w:tcW w:w="5673" w:type="dxa"/>
                      </w:tcPr>
                      <w:p>
                        <w:pPr>
                          <w:pStyle w:val="TableParagraph"/>
                          <w:spacing w:line="153" w:lineRule="exact"/>
                          <w:ind w:left="35" w:right="698"/>
                          <w:rPr>
                            <w:sz w:val="20"/>
                          </w:rPr>
                        </w:pPr>
                        <w:r>
                          <w:rPr>
                            <w:sz w:val="20"/>
                          </w:rPr>
                          <w:t>sometimes  conflicting.  On  the  other  hand,  47%  of   staff</w:t>
                        </w:r>
                      </w:p>
                      <w:p>
                        <w:pPr>
                          <w:pStyle w:val="TableParagraph"/>
                          <w:ind w:left="35" w:right="698"/>
                          <w:rPr>
                            <w:sz w:val="20"/>
                          </w:rPr>
                        </w:pPr>
                        <w:r>
                          <w:rPr>
                            <w:sz w:val="20"/>
                          </w:rPr>
                          <w:t>scored to High or Very High Risk Level in the dimension  of</w:t>
                        </w:r>
                      </w:p>
                    </w:tc>
                    <w:tc>
                      <w:tcPr>
                        <w:tcW w:w="338" w:type="dxa"/>
                        <w:tcBorders>
                          <w:top w:val="single" w:sz="6" w:space="0" w:color="000000"/>
                          <w:bottom w:val="single" w:sz="5" w:space="0" w:color="000000"/>
                        </w:tcBorders>
                      </w:tcPr>
                      <w:p>
                        <w:pPr>
                          <w:pStyle w:val="TableParagraph"/>
                          <w:spacing w:before="104"/>
                          <w:ind w:right="40"/>
                          <w:jc w:val="right"/>
                          <w:rPr>
                            <w:rFonts w:ascii="Arial"/>
                            <w:b/>
                            <w:sz w:val="16"/>
                          </w:rPr>
                        </w:pPr>
                        <w:r>
                          <w:rPr>
                            <w:rFonts w:ascii="Arial"/>
                            <w:b/>
                            <w:w w:val="95"/>
                            <w:sz w:val="16"/>
                          </w:rPr>
                          <w:t>2,3</w:t>
                        </w:r>
                      </w:p>
                    </w:tc>
                    <w:tc>
                      <w:tcPr>
                        <w:tcW w:w="2268" w:type="dxa"/>
                        <w:tcBorders>
                          <w:top w:val="single" w:sz="6" w:space="0" w:color="000000"/>
                          <w:bottom w:val="single" w:sz="5" w:space="0" w:color="000000"/>
                        </w:tcBorders>
                      </w:tcPr>
                      <w:p>
                        <w:pPr>
                          <w:pStyle w:val="TableParagraph"/>
                          <w:spacing w:line="266" w:lineRule="auto"/>
                          <w:ind w:left="242" w:right="245"/>
                          <w:rPr>
                            <w:rFonts w:ascii="Arial"/>
                            <w:sz w:val="16"/>
                          </w:rPr>
                        </w:pPr>
                        <w:r>
                          <w:rPr>
                            <w:rFonts w:ascii="Arial"/>
                            <w:sz w:val="16"/>
                          </w:rPr>
                          <w:t>Participation and change management</w:t>
                        </w:r>
                      </w:p>
                    </w:tc>
                    <w:tc>
                      <w:tcPr>
                        <w:tcW w:w="835" w:type="dxa"/>
                        <w:gridSpan w:val="2"/>
                        <w:tcBorders>
                          <w:top w:val="single" w:sz="6" w:space="0" w:color="000000"/>
                          <w:bottom w:val="single" w:sz="5" w:space="0" w:color="000000"/>
                        </w:tcBorders>
                      </w:tcPr>
                      <w:p>
                        <w:pPr>
                          <w:pStyle w:val="TableParagraph"/>
                          <w:spacing w:before="104"/>
                          <w:ind w:left="251"/>
                          <w:rPr>
                            <w:rFonts w:ascii="Arial"/>
                            <w:sz w:val="16"/>
                          </w:rPr>
                        </w:pPr>
                        <w:r>
                          <w:rPr>
                            <w:rFonts w:ascii="Arial"/>
                            <w:sz w:val="16"/>
                          </w:rPr>
                          <w:t>15%</w:t>
                        </w:r>
                      </w:p>
                    </w:tc>
                    <w:tc>
                      <w:tcPr>
                        <w:tcW w:w="850" w:type="dxa"/>
                        <w:tcBorders>
                          <w:top w:val="single" w:sz="6" w:space="0" w:color="000000"/>
                          <w:bottom w:val="single" w:sz="5" w:space="0" w:color="000000"/>
                        </w:tcBorders>
                      </w:tcPr>
                      <w:p>
                        <w:pPr>
                          <w:pStyle w:val="TableParagraph"/>
                          <w:spacing w:before="104"/>
                          <w:ind w:right="261"/>
                          <w:jc w:val="right"/>
                          <w:rPr>
                            <w:rFonts w:ascii="Arial"/>
                            <w:sz w:val="16"/>
                          </w:rPr>
                        </w:pPr>
                        <w:r>
                          <w:rPr>
                            <w:rFonts w:ascii="Arial"/>
                            <w:w w:val="95"/>
                            <w:sz w:val="16"/>
                          </w:rPr>
                          <w:t>13%</w:t>
                        </w:r>
                      </w:p>
                    </w:tc>
                    <w:tc>
                      <w:tcPr>
                        <w:tcW w:w="869" w:type="dxa"/>
                        <w:tcBorders>
                          <w:top w:val="single" w:sz="6" w:space="0" w:color="000000"/>
                          <w:bottom w:val="single" w:sz="5" w:space="0" w:color="000000"/>
                        </w:tcBorders>
                      </w:tcPr>
                      <w:p>
                        <w:pPr>
                          <w:pStyle w:val="TableParagraph"/>
                          <w:spacing w:before="104"/>
                          <w:ind w:left="266"/>
                          <w:rPr>
                            <w:rFonts w:ascii="Arial"/>
                            <w:sz w:val="16"/>
                          </w:rPr>
                        </w:pPr>
                        <w:r>
                          <w:rPr>
                            <w:rFonts w:ascii="Arial"/>
                            <w:sz w:val="16"/>
                          </w:rPr>
                          <w:t>21%</w:t>
                        </w:r>
                      </w:p>
                    </w:tc>
                  </w:tr>
                  <w:tr>
                    <w:trPr>
                      <w:trHeight w:val="606" w:hRule="exact"/>
                    </w:trPr>
                    <w:tc>
                      <w:tcPr>
                        <w:tcW w:w="5673" w:type="dxa"/>
                      </w:tcPr>
                      <w:p>
                        <w:pPr>
                          <w:pStyle w:val="TableParagraph"/>
                          <w:spacing w:line="198" w:lineRule="exact"/>
                          <w:ind w:left="35" w:right="698"/>
                          <w:rPr>
                            <w:sz w:val="20"/>
                          </w:rPr>
                        </w:pPr>
                        <w:r>
                          <w:rPr>
                            <w:sz w:val="20"/>
                          </w:rPr>
                          <w:t>feedback  performance  which  indicates  that  although    the</w:t>
                        </w:r>
                      </w:p>
                      <w:p>
                        <w:pPr>
                          <w:pStyle w:val="TableParagraph"/>
                          <w:ind w:left="35" w:right="698"/>
                          <w:rPr>
                            <w:sz w:val="20"/>
                          </w:rPr>
                        </w:pPr>
                        <w:r>
                          <w:rPr>
                            <w:sz w:val="20"/>
                          </w:rPr>
                          <w:t>heads and / or supervisors are watching a good performance in  their  collaborators,  workers  feel  they  are  not    getting</w:t>
                        </w:r>
                      </w:p>
                    </w:tc>
                    <w:tc>
                      <w:tcPr>
                        <w:tcW w:w="338" w:type="dxa"/>
                        <w:tcBorders>
                          <w:top w:val="single" w:sz="5" w:space="0" w:color="000000"/>
                          <w:bottom w:val="single" w:sz="5" w:space="0" w:color="000000"/>
                        </w:tcBorders>
                      </w:tcPr>
                      <w:p>
                        <w:pPr>
                          <w:pStyle w:val="TableParagraph"/>
                          <w:spacing w:before="5"/>
                          <w:rPr>
                            <w:sz w:val="17"/>
                          </w:rPr>
                        </w:pPr>
                      </w:p>
                      <w:p>
                        <w:pPr>
                          <w:pStyle w:val="TableParagraph"/>
                          <w:ind w:right="40"/>
                          <w:jc w:val="right"/>
                          <w:rPr>
                            <w:rFonts w:ascii="Arial"/>
                            <w:b/>
                            <w:sz w:val="16"/>
                          </w:rPr>
                        </w:pPr>
                        <w:r>
                          <w:rPr>
                            <w:rFonts w:ascii="Arial"/>
                            <w:b/>
                            <w:w w:val="95"/>
                            <w:sz w:val="16"/>
                          </w:rPr>
                          <w:t>2,4</w:t>
                        </w:r>
                      </w:p>
                    </w:tc>
                    <w:tc>
                      <w:tcPr>
                        <w:tcW w:w="2268" w:type="dxa"/>
                        <w:tcBorders>
                          <w:top w:val="single" w:sz="5" w:space="0" w:color="000000"/>
                          <w:bottom w:val="single" w:sz="5" w:space="0" w:color="000000"/>
                        </w:tcBorders>
                      </w:tcPr>
                      <w:p>
                        <w:pPr>
                          <w:pStyle w:val="TableParagraph"/>
                          <w:spacing w:line="264" w:lineRule="auto"/>
                          <w:ind w:left="242" w:right="-55"/>
                          <w:rPr>
                            <w:rFonts w:ascii="Arial"/>
                            <w:sz w:val="16"/>
                          </w:rPr>
                        </w:pPr>
                        <w:r>
                          <w:rPr>
                            <w:rFonts w:ascii="Arial"/>
                            <w:sz w:val="16"/>
                          </w:rPr>
                          <w:t>Opportunities for the use</w:t>
                        </w:r>
                        <w:r>
                          <w:rPr>
                            <w:rFonts w:ascii="Arial"/>
                            <w:spacing w:val="-3"/>
                            <w:sz w:val="16"/>
                          </w:rPr>
                          <w:t> </w:t>
                        </w:r>
                        <w:r>
                          <w:rPr>
                            <w:rFonts w:ascii="Arial"/>
                            <w:sz w:val="16"/>
                          </w:rPr>
                          <w:t>and development of skills and knowledge</w:t>
                        </w:r>
                      </w:p>
                    </w:tc>
                    <w:tc>
                      <w:tcPr>
                        <w:tcW w:w="835" w:type="dxa"/>
                        <w:gridSpan w:val="2"/>
                        <w:tcBorders>
                          <w:top w:val="single" w:sz="5" w:space="0" w:color="000000"/>
                          <w:bottom w:val="single" w:sz="5" w:space="0" w:color="000000"/>
                        </w:tcBorders>
                      </w:tcPr>
                      <w:p>
                        <w:pPr>
                          <w:pStyle w:val="TableParagraph"/>
                          <w:spacing w:before="5"/>
                          <w:rPr>
                            <w:sz w:val="17"/>
                          </w:rPr>
                        </w:pPr>
                      </w:p>
                      <w:p>
                        <w:pPr>
                          <w:pStyle w:val="TableParagraph"/>
                          <w:ind w:left="251"/>
                          <w:rPr>
                            <w:rFonts w:ascii="Arial"/>
                            <w:sz w:val="16"/>
                          </w:rPr>
                        </w:pPr>
                        <w:r>
                          <w:rPr>
                            <w:rFonts w:ascii="Arial"/>
                            <w:sz w:val="16"/>
                          </w:rPr>
                          <w:t>21%</w:t>
                        </w:r>
                      </w:p>
                    </w:tc>
                    <w:tc>
                      <w:tcPr>
                        <w:tcW w:w="850" w:type="dxa"/>
                        <w:tcBorders>
                          <w:top w:val="single" w:sz="5" w:space="0" w:color="000000"/>
                          <w:bottom w:val="single" w:sz="5" w:space="0" w:color="000000"/>
                        </w:tcBorders>
                      </w:tcPr>
                      <w:p>
                        <w:pPr>
                          <w:pStyle w:val="TableParagraph"/>
                          <w:spacing w:before="5"/>
                          <w:rPr>
                            <w:sz w:val="17"/>
                          </w:rPr>
                        </w:pPr>
                      </w:p>
                      <w:p>
                        <w:pPr>
                          <w:pStyle w:val="TableParagraph"/>
                          <w:ind w:right="261"/>
                          <w:jc w:val="right"/>
                          <w:rPr>
                            <w:rFonts w:ascii="Arial"/>
                            <w:sz w:val="16"/>
                          </w:rPr>
                        </w:pPr>
                        <w:r>
                          <w:rPr>
                            <w:rFonts w:ascii="Arial"/>
                            <w:w w:val="95"/>
                            <w:sz w:val="16"/>
                          </w:rPr>
                          <w:t>19%</w:t>
                        </w:r>
                      </w:p>
                    </w:tc>
                    <w:tc>
                      <w:tcPr>
                        <w:tcW w:w="869" w:type="dxa"/>
                        <w:tcBorders>
                          <w:top w:val="single" w:sz="5" w:space="0" w:color="000000"/>
                          <w:bottom w:val="single" w:sz="5" w:space="0" w:color="000000"/>
                        </w:tcBorders>
                      </w:tcPr>
                      <w:p>
                        <w:pPr>
                          <w:pStyle w:val="TableParagraph"/>
                          <w:spacing w:before="5"/>
                          <w:rPr>
                            <w:sz w:val="17"/>
                          </w:rPr>
                        </w:pPr>
                      </w:p>
                      <w:p>
                        <w:pPr>
                          <w:pStyle w:val="TableParagraph"/>
                          <w:ind w:left="266"/>
                          <w:rPr>
                            <w:rFonts w:ascii="Arial"/>
                            <w:sz w:val="16"/>
                          </w:rPr>
                        </w:pPr>
                        <w:r>
                          <w:rPr>
                            <w:rFonts w:ascii="Arial"/>
                            <w:sz w:val="16"/>
                          </w:rPr>
                          <w:t>23%</w:t>
                        </w:r>
                      </w:p>
                    </w:tc>
                  </w:tr>
                  <w:tr>
                    <w:trPr>
                      <w:trHeight w:val="416" w:hRule="exact"/>
                    </w:trPr>
                    <w:tc>
                      <w:tcPr>
                        <w:tcW w:w="9115" w:type="dxa"/>
                        <w:gridSpan w:val="5"/>
                      </w:tcPr>
                      <w:p>
                        <w:pPr>
                          <w:pStyle w:val="TableParagraph"/>
                          <w:tabs>
                            <w:tab w:pos="5745" w:val="left" w:leader="none"/>
                            <w:tab w:pos="6253" w:val="left" w:leader="none"/>
                            <w:tab w:pos="8530" w:val="left" w:leader="none"/>
                          </w:tabs>
                          <w:spacing w:line="293" w:lineRule="exact"/>
                          <w:ind w:left="35"/>
                          <w:rPr>
                            <w:rFonts w:ascii="Arial"/>
                            <w:sz w:val="16"/>
                          </w:rPr>
                        </w:pPr>
                        <w:r>
                          <w:rPr>
                            <w:sz w:val="20"/>
                          </w:rPr>
                          <w:t>timely and adequate feedback on</w:t>
                        </w:r>
                        <w:r>
                          <w:rPr>
                            <w:spacing w:val="-11"/>
                            <w:sz w:val="20"/>
                          </w:rPr>
                          <w:t> </w:t>
                        </w:r>
                        <w:r>
                          <w:rPr>
                            <w:sz w:val="20"/>
                          </w:rPr>
                          <w:t>their</w:t>
                        </w:r>
                        <w:r>
                          <w:rPr>
                            <w:spacing w:val="-3"/>
                            <w:sz w:val="20"/>
                          </w:rPr>
                          <w:t> </w:t>
                        </w:r>
                        <w:r>
                          <w:rPr>
                            <w:sz w:val="20"/>
                          </w:rPr>
                          <w:t>performance.</w:t>
                          <w:tab/>
                        </w:r>
                        <w:r>
                          <w:rPr>
                            <w:rFonts w:ascii="Arial"/>
                            <w:b/>
                            <w:position w:val="-1"/>
                            <w:sz w:val="16"/>
                          </w:rPr>
                          <w:t>2,5</w:t>
                          <w:tab/>
                        </w:r>
                        <w:r>
                          <w:rPr>
                            <w:rFonts w:ascii="Arial"/>
                            <w:position w:val="9"/>
                            <w:sz w:val="16"/>
                          </w:rPr>
                          <w:t>Control and autonomy</w:t>
                        </w:r>
                        <w:r>
                          <w:rPr>
                            <w:rFonts w:ascii="Arial"/>
                            <w:spacing w:val="-3"/>
                            <w:position w:val="9"/>
                            <w:sz w:val="16"/>
                          </w:rPr>
                          <w:t> </w:t>
                        </w:r>
                        <w:r>
                          <w:rPr>
                            <w:rFonts w:ascii="Arial"/>
                            <w:position w:val="9"/>
                            <w:sz w:val="16"/>
                          </w:rPr>
                          <w:t>on</w:t>
                        </w:r>
                        <w:r>
                          <w:rPr>
                            <w:rFonts w:ascii="Arial"/>
                            <w:spacing w:val="-1"/>
                            <w:position w:val="9"/>
                            <w:sz w:val="16"/>
                          </w:rPr>
                          <w:t> </w:t>
                        </w:r>
                        <w:r>
                          <w:rPr>
                            <w:rFonts w:ascii="Arial"/>
                            <w:position w:val="9"/>
                            <w:sz w:val="16"/>
                          </w:rPr>
                          <w:t>the</w:t>
                          <w:tab/>
                        </w:r>
                        <w:r>
                          <w:rPr>
                            <w:rFonts w:ascii="Arial"/>
                            <w:position w:val="-1"/>
                            <w:sz w:val="16"/>
                          </w:rPr>
                          <w:t>11%</w:t>
                        </w:r>
                      </w:p>
                    </w:tc>
                    <w:tc>
                      <w:tcPr>
                        <w:tcW w:w="850" w:type="dxa"/>
                      </w:tcPr>
                      <w:p>
                        <w:pPr>
                          <w:pStyle w:val="TableParagraph"/>
                          <w:spacing w:before="109"/>
                          <w:ind w:right="261"/>
                          <w:jc w:val="right"/>
                          <w:rPr>
                            <w:rFonts w:ascii="Arial"/>
                            <w:sz w:val="16"/>
                          </w:rPr>
                        </w:pPr>
                        <w:r>
                          <w:rPr>
                            <w:rFonts w:ascii="Arial"/>
                            <w:w w:val="95"/>
                            <w:sz w:val="16"/>
                          </w:rPr>
                          <w:t>26%</w:t>
                        </w:r>
                      </w:p>
                    </w:tc>
                    <w:tc>
                      <w:tcPr>
                        <w:tcW w:w="869" w:type="dxa"/>
                      </w:tcPr>
                      <w:p>
                        <w:pPr>
                          <w:pStyle w:val="TableParagraph"/>
                          <w:spacing w:before="109"/>
                          <w:ind w:left="266"/>
                          <w:rPr>
                            <w:rFonts w:ascii="Arial"/>
                            <w:sz w:val="16"/>
                          </w:rPr>
                        </w:pPr>
                        <w:r>
                          <w:rPr>
                            <w:rFonts w:ascii="Arial"/>
                            <w:sz w:val="16"/>
                          </w:rPr>
                          <w:t>26%</w:t>
                        </w:r>
                      </w:p>
                    </w:tc>
                  </w:tr>
                  <w:tr>
                    <w:trPr>
                      <w:trHeight w:val="416" w:hRule="exact"/>
                    </w:trPr>
                    <w:tc>
                      <w:tcPr>
                        <w:tcW w:w="9115" w:type="dxa"/>
                        <w:gridSpan w:val="5"/>
                      </w:tcPr>
                      <w:p>
                        <w:pPr>
                          <w:pStyle w:val="TableParagraph"/>
                          <w:tabs>
                            <w:tab w:pos="5805" w:val="left" w:leader="none"/>
                            <w:tab w:pos="8542" w:val="left" w:leader="none"/>
                          </w:tabs>
                          <w:spacing w:before="96"/>
                          <w:ind w:left="35"/>
                          <w:rPr>
                            <w:rFonts w:ascii="Arial"/>
                            <w:b/>
                            <w:sz w:val="16"/>
                          </w:rPr>
                        </w:pPr>
                        <w:r>
                          <w:rPr>
                            <w:sz w:val="20"/>
                          </w:rPr>
                          <w:t>supervisor stood at the levels without risk or low risk  </w:t>
                        </w:r>
                        <w:r>
                          <w:rPr>
                            <w:spacing w:val="25"/>
                            <w:sz w:val="20"/>
                          </w:rPr>
                          <w:t> </w:t>
                        </w:r>
                        <w:r>
                          <w:rPr>
                            <w:sz w:val="20"/>
                          </w:rPr>
                          <w:t>in</w:t>
                        </w:r>
                        <w:r>
                          <w:rPr>
                            <w:spacing w:val="13"/>
                            <w:sz w:val="20"/>
                          </w:rPr>
                          <w:t> </w:t>
                        </w:r>
                        <w:r>
                          <w:rPr>
                            <w:sz w:val="20"/>
                          </w:rPr>
                          <w:t>the</w:t>
                          <w:tab/>
                        </w:r>
                        <w:r>
                          <w:rPr>
                            <w:rFonts w:ascii="Arial"/>
                            <w:b/>
                            <w:position w:val="2"/>
                            <w:sz w:val="16"/>
                          </w:rPr>
                          <w:t>3  </w:t>
                        </w:r>
                        <w:r>
                          <w:rPr>
                            <w:rFonts w:ascii="Arial"/>
                            <w:b/>
                            <w:spacing w:val="10"/>
                            <w:position w:val="2"/>
                            <w:sz w:val="16"/>
                          </w:rPr>
                          <w:t> </w:t>
                        </w:r>
                        <w:r>
                          <w:rPr>
                            <w:rFonts w:ascii="Arial"/>
                            <w:b/>
                            <w:position w:val="2"/>
                            <w:sz w:val="16"/>
                          </w:rPr>
                          <w:t>Job</w:t>
                        </w:r>
                        <w:r>
                          <w:rPr>
                            <w:rFonts w:ascii="Arial"/>
                            <w:b/>
                            <w:spacing w:val="-2"/>
                            <w:position w:val="2"/>
                            <w:sz w:val="16"/>
                          </w:rPr>
                          <w:t> </w:t>
                        </w:r>
                        <w:r>
                          <w:rPr>
                            <w:rFonts w:ascii="Arial"/>
                            <w:b/>
                            <w:position w:val="2"/>
                            <w:sz w:val="16"/>
                          </w:rPr>
                          <w:t>Demands</w:t>
                          <w:tab/>
                          <w:t>19%</w:t>
                        </w:r>
                      </w:p>
                    </w:tc>
                    <w:tc>
                      <w:tcPr>
                        <w:tcW w:w="850" w:type="dxa"/>
                        <w:shd w:val="clear" w:color="auto" w:fill="D8D8D8"/>
                      </w:tcPr>
                      <w:p>
                        <w:pPr>
                          <w:pStyle w:val="TableParagraph"/>
                          <w:spacing w:before="111"/>
                          <w:ind w:right="247"/>
                          <w:jc w:val="right"/>
                          <w:rPr>
                            <w:rFonts w:ascii="Arial"/>
                            <w:b/>
                            <w:sz w:val="16"/>
                          </w:rPr>
                        </w:pPr>
                        <w:r>
                          <w:rPr>
                            <w:rFonts w:ascii="Arial"/>
                            <w:b/>
                            <w:sz w:val="16"/>
                          </w:rPr>
                          <w:t>21%</w:t>
                        </w:r>
                      </w:p>
                    </w:tc>
                    <w:tc>
                      <w:tcPr>
                        <w:tcW w:w="869" w:type="dxa"/>
                        <w:shd w:val="clear" w:color="auto" w:fill="D8D8D8"/>
                      </w:tcPr>
                      <w:p>
                        <w:pPr>
                          <w:pStyle w:val="TableParagraph"/>
                          <w:spacing w:before="111"/>
                          <w:ind w:left="278"/>
                          <w:rPr>
                            <w:rFonts w:ascii="Arial"/>
                            <w:b/>
                            <w:sz w:val="16"/>
                          </w:rPr>
                        </w:pPr>
                        <w:r>
                          <w:rPr>
                            <w:rFonts w:ascii="Arial"/>
                            <w:b/>
                            <w:sz w:val="16"/>
                          </w:rPr>
                          <w:t>19%</w:t>
                        </w:r>
                      </w:p>
                    </w:tc>
                  </w:tr>
                  <w:tr>
                    <w:trPr>
                      <w:trHeight w:val="206" w:hRule="exact"/>
                    </w:trPr>
                    <w:tc>
                      <w:tcPr>
                        <w:tcW w:w="10833" w:type="dxa"/>
                        <w:gridSpan w:val="7"/>
                      </w:tcPr>
                      <w:p>
                        <w:pPr>
                          <w:pStyle w:val="TableParagraph"/>
                          <w:tabs>
                            <w:tab w:pos="6253" w:val="left" w:leader="none"/>
                          </w:tabs>
                          <w:spacing w:line="191" w:lineRule="exact"/>
                          <w:ind w:left="35"/>
                          <w:rPr>
                            <w:rFonts w:ascii="Arial"/>
                            <w:sz w:val="16"/>
                          </w:rPr>
                        </w:pPr>
                        <w:r>
                          <w:rPr>
                            <w:sz w:val="20"/>
                          </w:rPr>
                          <w:t>dimension  relationship  with  partners,  which</w:t>
                        </w:r>
                        <w:r>
                          <w:rPr>
                            <w:spacing w:val="24"/>
                            <w:sz w:val="20"/>
                          </w:rPr>
                          <w:t> </w:t>
                        </w:r>
                        <w:r>
                          <w:rPr>
                            <w:sz w:val="20"/>
                          </w:rPr>
                          <w:t>indicates</w:t>
                        </w:r>
                        <w:r>
                          <w:rPr>
                            <w:spacing w:val="45"/>
                            <w:sz w:val="20"/>
                          </w:rPr>
                          <w:t> </w:t>
                        </w:r>
                        <w:r>
                          <w:rPr>
                            <w:sz w:val="20"/>
                          </w:rPr>
                          <w:t>that</w:t>
                          <w:tab/>
                        </w:r>
                        <w:r>
                          <w:rPr>
                            <w:rFonts w:ascii="Arial"/>
                            <w:position w:val="-5"/>
                            <w:sz w:val="16"/>
                          </w:rPr>
                          <w:t>Environmental Demands</w:t>
                        </w:r>
                        <w:r>
                          <w:rPr>
                            <w:rFonts w:ascii="Arial"/>
                            <w:spacing w:val="-4"/>
                            <w:position w:val="-5"/>
                            <w:sz w:val="16"/>
                          </w:rPr>
                          <w:t> </w:t>
                        </w:r>
                        <w:r>
                          <w:rPr>
                            <w:rFonts w:ascii="Arial"/>
                            <w:position w:val="-5"/>
                            <w:sz w:val="16"/>
                          </w:rPr>
                          <w:t>and</w:t>
                        </w:r>
                      </w:p>
                    </w:tc>
                  </w:tr>
                  <w:tr>
                    <w:trPr>
                      <w:trHeight w:val="210" w:hRule="exact"/>
                    </w:trPr>
                    <w:tc>
                      <w:tcPr>
                        <w:tcW w:w="6011" w:type="dxa"/>
                        <w:gridSpan w:val="2"/>
                      </w:tcPr>
                      <w:p>
                        <w:pPr>
                          <w:pStyle w:val="TableParagraph"/>
                          <w:tabs>
                            <w:tab w:pos="5745" w:val="left" w:leader="none"/>
                          </w:tabs>
                          <w:spacing w:line="164" w:lineRule="exact"/>
                          <w:ind w:left="35"/>
                          <w:rPr>
                            <w:rFonts w:ascii="Arial"/>
                            <w:b/>
                            <w:sz w:val="16"/>
                          </w:rPr>
                        </w:pPr>
                        <w:r>
                          <w:rPr>
                            <w:sz w:val="20"/>
                          </w:rPr>
                          <w:t>leaders  feel  they  are  doing  a  good  management </w:t>
                        </w:r>
                        <w:r>
                          <w:rPr>
                            <w:spacing w:val="31"/>
                            <w:sz w:val="20"/>
                          </w:rPr>
                          <w:t> </w:t>
                        </w:r>
                        <w:r>
                          <w:rPr>
                            <w:sz w:val="20"/>
                          </w:rPr>
                          <w:t>of </w:t>
                        </w:r>
                        <w:r>
                          <w:rPr>
                            <w:spacing w:val="4"/>
                            <w:sz w:val="20"/>
                          </w:rPr>
                          <w:t> </w:t>
                        </w:r>
                        <w:r>
                          <w:rPr>
                            <w:sz w:val="20"/>
                          </w:rPr>
                          <w:t>their</w:t>
                          <w:tab/>
                        </w:r>
                        <w:r>
                          <w:rPr>
                            <w:rFonts w:ascii="Arial"/>
                            <w:b/>
                            <w:position w:val="6"/>
                            <w:sz w:val="16"/>
                          </w:rPr>
                          <w:t>3,1</w:t>
                        </w:r>
                      </w:p>
                    </w:tc>
                    <w:tc>
                      <w:tcPr>
                        <w:tcW w:w="2268" w:type="dxa"/>
                        <w:tcBorders>
                          <w:bottom w:val="single" w:sz="5" w:space="0" w:color="000000"/>
                        </w:tcBorders>
                      </w:tcPr>
                      <w:p>
                        <w:pPr>
                          <w:pStyle w:val="TableParagraph"/>
                          <w:ind w:left="242" w:right="245"/>
                          <w:rPr>
                            <w:rFonts w:ascii="Arial"/>
                            <w:sz w:val="16"/>
                          </w:rPr>
                        </w:pPr>
                        <w:r>
                          <w:rPr>
                            <w:rFonts w:ascii="Arial"/>
                            <w:sz w:val="16"/>
                          </w:rPr>
                          <w:t>physical effort</w:t>
                        </w:r>
                      </w:p>
                    </w:tc>
                    <w:tc>
                      <w:tcPr>
                        <w:tcW w:w="835" w:type="dxa"/>
                        <w:gridSpan w:val="2"/>
                        <w:tcBorders>
                          <w:bottom w:val="single" w:sz="5" w:space="0" w:color="000000"/>
                        </w:tcBorders>
                      </w:tcPr>
                      <w:p>
                        <w:pPr>
                          <w:pStyle w:val="TableParagraph"/>
                          <w:spacing w:line="89" w:lineRule="exact"/>
                          <w:ind w:left="251"/>
                          <w:rPr>
                            <w:rFonts w:ascii="Arial"/>
                            <w:sz w:val="16"/>
                          </w:rPr>
                        </w:pPr>
                        <w:r>
                          <w:rPr>
                            <w:rFonts w:ascii="Arial"/>
                            <w:sz w:val="16"/>
                          </w:rPr>
                          <w:t>25%</w:t>
                        </w:r>
                      </w:p>
                    </w:tc>
                    <w:tc>
                      <w:tcPr>
                        <w:tcW w:w="850" w:type="dxa"/>
                        <w:tcBorders>
                          <w:bottom w:val="single" w:sz="5" w:space="0" w:color="000000"/>
                        </w:tcBorders>
                      </w:tcPr>
                      <w:p>
                        <w:pPr>
                          <w:pStyle w:val="TableParagraph"/>
                          <w:spacing w:line="89" w:lineRule="exact"/>
                          <w:ind w:right="261"/>
                          <w:jc w:val="right"/>
                          <w:rPr>
                            <w:rFonts w:ascii="Arial"/>
                            <w:sz w:val="16"/>
                          </w:rPr>
                        </w:pPr>
                        <w:r>
                          <w:rPr>
                            <w:rFonts w:ascii="Arial"/>
                            <w:sz w:val="16"/>
                          </w:rPr>
                          <w:t>11%</w:t>
                        </w:r>
                      </w:p>
                    </w:tc>
                    <w:tc>
                      <w:tcPr>
                        <w:tcW w:w="869" w:type="dxa"/>
                        <w:tcBorders>
                          <w:bottom w:val="single" w:sz="5" w:space="0" w:color="000000"/>
                        </w:tcBorders>
                      </w:tcPr>
                      <w:p>
                        <w:pPr>
                          <w:pStyle w:val="TableParagraph"/>
                          <w:spacing w:line="89" w:lineRule="exact"/>
                          <w:ind w:left="312"/>
                          <w:rPr>
                            <w:rFonts w:ascii="Arial"/>
                            <w:sz w:val="16"/>
                          </w:rPr>
                        </w:pPr>
                        <w:r>
                          <w:rPr>
                            <w:rFonts w:ascii="Arial"/>
                            <w:sz w:val="16"/>
                          </w:rPr>
                          <w:t>9%</w:t>
                        </w:r>
                      </w:p>
                    </w:tc>
                  </w:tr>
                  <w:tr>
                    <w:trPr>
                      <w:trHeight w:val="416" w:hRule="exact"/>
                    </w:trPr>
                    <w:tc>
                      <w:tcPr>
                        <w:tcW w:w="6011" w:type="dxa"/>
                        <w:gridSpan w:val="2"/>
                      </w:tcPr>
                      <w:p>
                        <w:pPr>
                          <w:pStyle w:val="TableParagraph"/>
                          <w:spacing w:line="147" w:lineRule="exact"/>
                          <w:ind w:left="35"/>
                          <w:rPr>
                            <w:sz w:val="20"/>
                          </w:rPr>
                        </w:pPr>
                        <w:r>
                          <w:rPr>
                            <w:sz w:val="20"/>
                          </w:rPr>
                          <w:t>subordinates.</w:t>
                        </w:r>
                      </w:p>
                      <w:p>
                        <w:pPr>
                          <w:pStyle w:val="TableParagraph"/>
                          <w:tabs>
                            <w:tab w:pos="5745" w:val="left" w:leader="none"/>
                          </w:tabs>
                          <w:spacing w:line="267" w:lineRule="exact"/>
                          <w:ind w:left="394"/>
                          <w:rPr>
                            <w:rFonts w:ascii="Arial"/>
                            <w:b/>
                            <w:sz w:val="16"/>
                          </w:rPr>
                        </w:pPr>
                        <w:r>
                          <w:rPr>
                            <w:sz w:val="20"/>
                          </w:rPr>
                          <w:t>In the Control and Autonomy on the work,</w:t>
                        </w:r>
                        <w:r>
                          <w:rPr>
                            <w:spacing w:val="16"/>
                            <w:sz w:val="20"/>
                          </w:rPr>
                          <w:t> </w:t>
                        </w:r>
                        <w:r>
                          <w:rPr>
                            <w:sz w:val="20"/>
                          </w:rPr>
                          <w:t>dimension</w:t>
                        </w:r>
                        <w:r>
                          <w:rPr>
                            <w:spacing w:val="1"/>
                            <w:sz w:val="20"/>
                          </w:rPr>
                          <w:t> </w:t>
                        </w:r>
                        <w:r>
                          <w:rPr>
                            <w:sz w:val="20"/>
                          </w:rPr>
                          <w:t>of</w:t>
                          <w:tab/>
                        </w:r>
                        <w:r>
                          <w:rPr>
                            <w:rFonts w:ascii="Arial"/>
                            <w:b/>
                            <w:position w:val="11"/>
                            <w:sz w:val="16"/>
                          </w:rPr>
                          <w:t>3,2</w:t>
                        </w:r>
                      </w:p>
                    </w:tc>
                    <w:tc>
                      <w:tcPr>
                        <w:tcW w:w="2268" w:type="dxa"/>
                        <w:tcBorders>
                          <w:top w:val="single" w:sz="5" w:space="0" w:color="000000"/>
                          <w:bottom w:val="single" w:sz="6" w:space="0" w:color="000000"/>
                        </w:tcBorders>
                      </w:tcPr>
                      <w:p>
                        <w:pPr>
                          <w:pStyle w:val="TableParagraph"/>
                          <w:spacing w:before="103"/>
                          <w:ind w:left="242" w:right="245"/>
                          <w:rPr>
                            <w:rFonts w:ascii="Arial"/>
                            <w:sz w:val="16"/>
                          </w:rPr>
                        </w:pPr>
                        <w:r>
                          <w:rPr>
                            <w:rFonts w:ascii="Arial"/>
                            <w:sz w:val="16"/>
                          </w:rPr>
                          <w:t>Emotional Demands</w:t>
                        </w:r>
                      </w:p>
                    </w:tc>
                    <w:tc>
                      <w:tcPr>
                        <w:tcW w:w="835" w:type="dxa"/>
                        <w:gridSpan w:val="2"/>
                        <w:tcBorders>
                          <w:top w:val="single" w:sz="5" w:space="0" w:color="000000"/>
                          <w:bottom w:val="single" w:sz="6" w:space="0" w:color="000000"/>
                        </w:tcBorders>
                      </w:tcPr>
                      <w:p>
                        <w:pPr>
                          <w:pStyle w:val="TableParagraph"/>
                          <w:spacing w:before="103"/>
                          <w:ind w:left="279" w:right="284"/>
                          <w:jc w:val="center"/>
                          <w:rPr>
                            <w:rFonts w:ascii="Arial"/>
                            <w:sz w:val="16"/>
                          </w:rPr>
                        </w:pPr>
                        <w:r>
                          <w:rPr>
                            <w:rFonts w:ascii="Arial"/>
                            <w:sz w:val="16"/>
                          </w:rPr>
                          <w:t>9%</w:t>
                        </w:r>
                      </w:p>
                    </w:tc>
                    <w:tc>
                      <w:tcPr>
                        <w:tcW w:w="850" w:type="dxa"/>
                        <w:tcBorders>
                          <w:top w:val="single" w:sz="5" w:space="0" w:color="000000"/>
                          <w:bottom w:val="single" w:sz="6" w:space="0" w:color="000000"/>
                        </w:tcBorders>
                      </w:tcPr>
                      <w:p>
                        <w:pPr>
                          <w:pStyle w:val="TableParagraph"/>
                          <w:spacing w:before="103"/>
                          <w:ind w:right="261"/>
                          <w:jc w:val="right"/>
                          <w:rPr>
                            <w:rFonts w:ascii="Arial"/>
                            <w:sz w:val="16"/>
                          </w:rPr>
                        </w:pPr>
                        <w:r>
                          <w:rPr>
                            <w:rFonts w:ascii="Arial"/>
                            <w:w w:val="95"/>
                            <w:sz w:val="16"/>
                          </w:rPr>
                          <w:t>28%</w:t>
                        </w:r>
                      </w:p>
                    </w:tc>
                    <w:tc>
                      <w:tcPr>
                        <w:tcW w:w="869" w:type="dxa"/>
                        <w:tcBorders>
                          <w:top w:val="single" w:sz="5" w:space="0" w:color="000000"/>
                          <w:bottom w:val="single" w:sz="6" w:space="0" w:color="000000"/>
                        </w:tcBorders>
                      </w:tcPr>
                      <w:p>
                        <w:pPr>
                          <w:pStyle w:val="TableParagraph"/>
                          <w:spacing w:before="103"/>
                          <w:ind w:left="266"/>
                          <w:rPr>
                            <w:rFonts w:ascii="Arial"/>
                            <w:sz w:val="16"/>
                          </w:rPr>
                        </w:pPr>
                        <w:r>
                          <w:rPr>
                            <w:rFonts w:ascii="Arial"/>
                            <w:sz w:val="16"/>
                          </w:rPr>
                          <w:t>30%</w:t>
                        </w:r>
                      </w:p>
                    </w:tc>
                  </w:tr>
                  <w:tr>
                    <w:trPr>
                      <w:trHeight w:val="416" w:hRule="exact"/>
                    </w:trPr>
                    <w:tc>
                      <w:tcPr>
                        <w:tcW w:w="6011" w:type="dxa"/>
                        <w:gridSpan w:val="2"/>
                      </w:tcPr>
                      <w:p>
                        <w:pPr>
                          <w:pStyle w:val="TableParagraph"/>
                          <w:tabs>
                            <w:tab w:pos="5745" w:val="left" w:leader="none"/>
                          </w:tabs>
                          <w:spacing w:line="298" w:lineRule="exact"/>
                          <w:ind w:left="35"/>
                          <w:rPr>
                            <w:rFonts w:ascii="Arial"/>
                            <w:b/>
                            <w:sz w:val="16"/>
                          </w:rPr>
                        </w:pPr>
                        <w:r>
                          <w:rPr>
                            <w:sz w:val="20"/>
                          </w:rPr>
                          <w:t>Control of Work Domain, 53% of respondents are at</w:t>
                        </w:r>
                        <w:r>
                          <w:rPr>
                            <w:spacing w:val="25"/>
                            <w:sz w:val="20"/>
                          </w:rPr>
                          <w:t> </w:t>
                        </w:r>
                        <w:r>
                          <w:rPr>
                            <w:sz w:val="20"/>
                          </w:rPr>
                          <w:t>High</w:t>
                        </w:r>
                        <w:r>
                          <w:rPr>
                            <w:spacing w:val="2"/>
                            <w:sz w:val="20"/>
                          </w:rPr>
                          <w:t> </w:t>
                        </w:r>
                        <w:r>
                          <w:rPr>
                            <w:sz w:val="20"/>
                          </w:rPr>
                          <w:t>or</w:t>
                          <w:tab/>
                        </w:r>
                        <w:r>
                          <w:rPr>
                            <w:rFonts w:ascii="Arial"/>
                            <w:b/>
                            <w:position w:val="-7"/>
                            <w:sz w:val="16"/>
                          </w:rPr>
                          <w:t>3,3</w:t>
                        </w:r>
                      </w:p>
                    </w:tc>
                    <w:tc>
                      <w:tcPr>
                        <w:tcW w:w="2268" w:type="dxa"/>
                        <w:tcBorders>
                          <w:top w:val="single" w:sz="6" w:space="0" w:color="000000"/>
                          <w:bottom w:val="single" w:sz="6" w:space="0" w:color="000000"/>
                        </w:tcBorders>
                      </w:tcPr>
                      <w:p>
                        <w:pPr>
                          <w:pStyle w:val="TableParagraph"/>
                          <w:spacing w:before="104"/>
                          <w:ind w:left="242" w:right="245"/>
                          <w:rPr>
                            <w:rFonts w:ascii="Arial"/>
                            <w:sz w:val="16"/>
                          </w:rPr>
                        </w:pPr>
                        <w:r>
                          <w:rPr>
                            <w:rFonts w:ascii="Arial"/>
                            <w:sz w:val="16"/>
                          </w:rPr>
                          <w:t>Quantitative Demands</w:t>
                        </w:r>
                      </w:p>
                    </w:tc>
                    <w:tc>
                      <w:tcPr>
                        <w:tcW w:w="835" w:type="dxa"/>
                        <w:gridSpan w:val="2"/>
                        <w:tcBorders>
                          <w:top w:val="single" w:sz="6" w:space="0" w:color="000000"/>
                          <w:bottom w:val="single" w:sz="6" w:space="0" w:color="000000"/>
                        </w:tcBorders>
                      </w:tcPr>
                      <w:p>
                        <w:pPr>
                          <w:pStyle w:val="TableParagraph"/>
                          <w:spacing w:before="104"/>
                          <w:ind w:left="251"/>
                          <w:rPr>
                            <w:rFonts w:ascii="Arial"/>
                            <w:sz w:val="16"/>
                          </w:rPr>
                        </w:pPr>
                        <w:r>
                          <w:rPr>
                            <w:rFonts w:ascii="Arial"/>
                            <w:sz w:val="16"/>
                          </w:rPr>
                          <w:t>30%</w:t>
                        </w:r>
                      </w:p>
                    </w:tc>
                    <w:tc>
                      <w:tcPr>
                        <w:tcW w:w="850" w:type="dxa"/>
                        <w:tcBorders>
                          <w:top w:val="single" w:sz="6" w:space="0" w:color="000000"/>
                          <w:bottom w:val="single" w:sz="6" w:space="0" w:color="000000"/>
                        </w:tcBorders>
                      </w:tcPr>
                      <w:p>
                        <w:pPr>
                          <w:pStyle w:val="TableParagraph"/>
                          <w:spacing w:before="104"/>
                          <w:ind w:right="261"/>
                          <w:jc w:val="right"/>
                          <w:rPr>
                            <w:rFonts w:ascii="Arial"/>
                            <w:sz w:val="16"/>
                          </w:rPr>
                        </w:pPr>
                        <w:r>
                          <w:rPr>
                            <w:rFonts w:ascii="Arial"/>
                            <w:w w:val="95"/>
                            <w:sz w:val="16"/>
                          </w:rPr>
                          <w:t>28%</w:t>
                        </w:r>
                      </w:p>
                    </w:tc>
                    <w:tc>
                      <w:tcPr>
                        <w:tcW w:w="869" w:type="dxa"/>
                        <w:tcBorders>
                          <w:top w:val="single" w:sz="6" w:space="0" w:color="000000"/>
                          <w:bottom w:val="single" w:sz="6" w:space="0" w:color="000000"/>
                        </w:tcBorders>
                      </w:tcPr>
                      <w:p>
                        <w:pPr>
                          <w:pStyle w:val="TableParagraph"/>
                          <w:spacing w:before="104"/>
                          <w:ind w:left="266"/>
                          <w:rPr>
                            <w:rFonts w:ascii="Arial"/>
                            <w:sz w:val="16"/>
                          </w:rPr>
                        </w:pPr>
                        <w:r>
                          <w:rPr>
                            <w:rFonts w:ascii="Arial"/>
                            <w:sz w:val="16"/>
                          </w:rPr>
                          <w:t>21%</w:t>
                        </w:r>
                      </w:p>
                    </w:tc>
                  </w:tr>
                  <w:tr>
                    <w:trPr>
                      <w:trHeight w:val="416" w:hRule="exact"/>
                    </w:trPr>
                    <w:tc>
                      <w:tcPr>
                        <w:tcW w:w="9115" w:type="dxa"/>
                        <w:gridSpan w:val="5"/>
                      </w:tcPr>
                      <w:p>
                        <w:pPr>
                          <w:pStyle w:val="TableParagraph"/>
                          <w:tabs>
                            <w:tab w:pos="5745" w:val="left" w:leader="none"/>
                            <w:tab w:pos="6253" w:val="left" w:leader="none"/>
                            <w:tab w:pos="8530" w:val="left" w:leader="none"/>
                          </w:tabs>
                          <w:spacing w:before="7"/>
                          <w:ind w:left="35"/>
                          <w:rPr>
                            <w:rFonts w:ascii="Arial"/>
                            <w:sz w:val="16"/>
                          </w:rPr>
                        </w:pPr>
                        <w:r>
                          <w:rPr>
                            <w:sz w:val="20"/>
                          </w:rPr>
                          <w:t>the order, quantity and rate of work on assigned tasks. </w:t>
                        </w:r>
                        <w:r>
                          <w:rPr>
                            <w:spacing w:val="2"/>
                            <w:sz w:val="20"/>
                          </w:rPr>
                          <w:t> </w:t>
                        </w:r>
                        <w:r>
                          <w:rPr>
                            <w:sz w:val="20"/>
                          </w:rPr>
                          <w:t>In</w:t>
                        </w:r>
                        <w:r>
                          <w:rPr>
                            <w:spacing w:val="5"/>
                            <w:sz w:val="20"/>
                          </w:rPr>
                          <w:t> </w:t>
                        </w:r>
                        <w:r>
                          <w:rPr>
                            <w:sz w:val="20"/>
                          </w:rPr>
                          <w:t>the</w:t>
                          <w:tab/>
                        </w:r>
                        <w:r>
                          <w:rPr>
                            <w:rFonts w:ascii="Arial"/>
                            <w:b/>
                            <w:position w:val="-2"/>
                            <w:sz w:val="16"/>
                          </w:rPr>
                          <w:t>3,4</w:t>
                          <w:tab/>
                        </w:r>
                        <w:r>
                          <w:rPr>
                            <w:rFonts w:ascii="Arial"/>
                            <w:position w:val="7"/>
                            <w:sz w:val="16"/>
                          </w:rPr>
                          <w:t>Influence of work</w:t>
                        </w:r>
                        <w:r>
                          <w:rPr>
                            <w:rFonts w:ascii="Arial"/>
                            <w:spacing w:val="-1"/>
                            <w:position w:val="7"/>
                            <w:sz w:val="16"/>
                          </w:rPr>
                          <w:t> </w:t>
                        </w:r>
                        <w:r>
                          <w:rPr>
                            <w:rFonts w:ascii="Arial"/>
                            <w:position w:val="7"/>
                            <w:sz w:val="16"/>
                          </w:rPr>
                          <w:t>on</w:t>
                        </w:r>
                        <w:r>
                          <w:rPr>
                            <w:rFonts w:ascii="Arial"/>
                            <w:spacing w:val="-1"/>
                            <w:position w:val="7"/>
                            <w:sz w:val="16"/>
                          </w:rPr>
                          <w:t> </w:t>
                        </w:r>
                        <w:r>
                          <w:rPr>
                            <w:rFonts w:ascii="Arial"/>
                            <w:position w:val="7"/>
                            <w:sz w:val="16"/>
                          </w:rPr>
                          <w:t>the</w:t>
                          <w:tab/>
                        </w:r>
                        <w:r>
                          <w:rPr>
                            <w:rFonts w:ascii="Arial"/>
                            <w:position w:val="-2"/>
                            <w:sz w:val="16"/>
                          </w:rPr>
                          <w:t>17%</w:t>
                        </w:r>
                      </w:p>
                    </w:tc>
                    <w:tc>
                      <w:tcPr>
                        <w:tcW w:w="850" w:type="dxa"/>
                      </w:tcPr>
                      <w:p>
                        <w:pPr>
                          <w:pStyle w:val="TableParagraph"/>
                          <w:spacing w:before="111"/>
                          <w:ind w:right="302"/>
                          <w:jc w:val="right"/>
                          <w:rPr>
                            <w:rFonts w:ascii="Arial"/>
                            <w:sz w:val="16"/>
                          </w:rPr>
                        </w:pPr>
                        <w:r>
                          <w:rPr>
                            <w:rFonts w:ascii="Arial"/>
                            <w:sz w:val="16"/>
                          </w:rPr>
                          <w:t>9%</w:t>
                        </w:r>
                      </w:p>
                    </w:tc>
                    <w:tc>
                      <w:tcPr>
                        <w:tcW w:w="869" w:type="dxa"/>
                      </w:tcPr>
                      <w:p>
                        <w:pPr>
                          <w:pStyle w:val="TableParagraph"/>
                          <w:spacing w:before="111"/>
                          <w:ind w:left="312"/>
                          <w:rPr>
                            <w:rFonts w:ascii="Arial"/>
                            <w:sz w:val="16"/>
                          </w:rPr>
                        </w:pPr>
                        <w:r>
                          <w:rPr>
                            <w:rFonts w:ascii="Arial"/>
                            <w:sz w:val="16"/>
                          </w:rPr>
                          <w:t>8%</w:t>
                        </w:r>
                      </w:p>
                    </w:tc>
                  </w:tr>
                  <w:tr>
                    <w:trPr>
                      <w:trHeight w:val="415" w:hRule="exact"/>
                    </w:trPr>
                    <w:tc>
                      <w:tcPr>
                        <w:tcW w:w="6011" w:type="dxa"/>
                        <w:gridSpan w:val="2"/>
                      </w:tcPr>
                      <w:p>
                        <w:pPr>
                          <w:pStyle w:val="TableParagraph"/>
                          <w:tabs>
                            <w:tab w:pos="5745" w:val="left" w:leader="none"/>
                          </w:tabs>
                          <w:spacing w:before="86"/>
                          <w:ind w:left="35"/>
                          <w:rPr>
                            <w:rFonts w:ascii="Arial"/>
                            <w:b/>
                            <w:sz w:val="16"/>
                          </w:rPr>
                        </w:pPr>
                        <w:r>
                          <w:rPr>
                            <w:sz w:val="20"/>
                          </w:rPr>
                          <w:t>levels,  perceiving  that  access  to  training  is     </w:t>
                        </w:r>
                        <w:r>
                          <w:rPr>
                            <w:spacing w:val="38"/>
                            <w:sz w:val="20"/>
                          </w:rPr>
                          <w:t> </w:t>
                        </w:r>
                        <w:r>
                          <w:rPr>
                            <w:sz w:val="20"/>
                          </w:rPr>
                          <w:t>limited </w:t>
                        </w:r>
                        <w:r>
                          <w:rPr>
                            <w:spacing w:val="34"/>
                            <w:sz w:val="20"/>
                          </w:rPr>
                          <w:t> </w:t>
                        </w:r>
                        <w:r>
                          <w:rPr>
                            <w:sz w:val="20"/>
                          </w:rPr>
                          <w:t>or</w:t>
                          <w:tab/>
                        </w:r>
                        <w:r>
                          <w:rPr>
                            <w:rFonts w:ascii="Arial"/>
                            <w:b/>
                            <w:position w:val="1"/>
                            <w:sz w:val="16"/>
                          </w:rPr>
                          <w:t>3,5</w:t>
                        </w:r>
                      </w:p>
                    </w:tc>
                    <w:tc>
                      <w:tcPr>
                        <w:tcW w:w="2268" w:type="dxa"/>
                        <w:tcBorders>
                          <w:bottom w:val="single" w:sz="5" w:space="0" w:color="000000"/>
                        </w:tcBorders>
                      </w:tcPr>
                      <w:p>
                        <w:pPr>
                          <w:pStyle w:val="TableParagraph"/>
                          <w:spacing w:line="261" w:lineRule="auto" w:before="4"/>
                          <w:ind w:left="242" w:right="41"/>
                          <w:rPr>
                            <w:rFonts w:ascii="Arial"/>
                            <w:sz w:val="16"/>
                          </w:rPr>
                        </w:pPr>
                        <w:r>
                          <w:rPr>
                            <w:rFonts w:ascii="Arial"/>
                            <w:sz w:val="16"/>
                          </w:rPr>
                          <w:t>Requirements responsibility of the position</w:t>
                        </w:r>
                      </w:p>
                    </w:tc>
                    <w:tc>
                      <w:tcPr>
                        <w:tcW w:w="835" w:type="dxa"/>
                        <w:gridSpan w:val="2"/>
                        <w:tcBorders>
                          <w:bottom w:val="single" w:sz="5" w:space="0" w:color="000000"/>
                        </w:tcBorders>
                      </w:tcPr>
                      <w:p>
                        <w:pPr>
                          <w:pStyle w:val="TableParagraph"/>
                          <w:spacing w:before="109"/>
                          <w:ind w:left="251"/>
                          <w:rPr>
                            <w:rFonts w:ascii="Arial"/>
                            <w:sz w:val="16"/>
                          </w:rPr>
                        </w:pPr>
                        <w:r>
                          <w:rPr>
                            <w:rFonts w:ascii="Arial"/>
                            <w:sz w:val="16"/>
                          </w:rPr>
                          <w:t>15%</w:t>
                        </w:r>
                      </w:p>
                    </w:tc>
                    <w:tc>
                      <w:tcPr>
                        <w:tcW w:w="850" w:type="dxa"/>
                        <w:tcBorders>
                          <w:bottom w:val="single" w:sz="5" w:space="0" w:color="000000"/>
                        </w:tcBorders>
                      </w:tcPr>
                      <w:p>
                        <w:pPr>
                          <w:pStyle w:val="TableParagraph"/>
                          <w:spacing w:before="109"/>
                          <w:ind w:right="302"/>
                          <w:jc w:val="right"/>
                          <w:rPr>
                            <w:rFonts w:ascii="Arial"/>
                            <w:sz w:val="16"/>
                          </w:rPr>
                        </w:pPr>
                        <w:r>
                          <w:rPr>
                            <w:rFonts w:ascii="Arial"/>
                            <w:sz w:val="16"/>
                          </w:rPr>
                          <w:t>8%</w:t>
                        </w:r>
                      </w:p>
                    </w:tc>
                    <w:tc>
                      <w:tcPr>
                        <w:tcW w:w="869" w:type="dxa"/>
                        <w:tcBorders>
                          <w:bottom w:val="single" w:sz="5" w:space="0" w:color="000000"/>
                        </w:tcBorders>
                      </w:tcPr>
                      <w:p>
                        <w:pPr>
                          <w:pStyle w:val="TableParagraph"/>
                          <w:spacing w:before="109"/>
                          <w:ind w:left="266"/>
                          <w:rPr>
                            <w:rFonts w:ascii="Arial"/>
                            <w:sz w:val="16"/>
                          </w:rPr>
                        </w:pPr>
                        <w:r>
                          <w:rPr>
                            <w:rFonts w:ascii="Arial"/>
                            <w:sz w:val="16"/>
                          </w:rPr>
                          <w:t>15%</w:t>
                        </w:r>
                      </w:p>
                    </w:tc>
                  </w:tr>
                  <w:tr>
                    <w:trPr>
                      <w:trHeight w:val="416" w:hRule="exact"/>
                    </w:trPr>
                    <w:tc>
                      <w:tcPr>
                        <w:tcW w:w="6011" w:type="dxa"/>
                        <w:gridSpan w:val="2"/>
                      </w:tcPr>
                      <w:p>
                        <w:pPr>
                          <w:pStyle w:val="TableParagraph"/>
                          <w:spacing w:line="118" w:lineRule="exact"/>
                          <w:ind w:left="35"/>
                          <w:rPr>
                            <w:sz w:val="20"/>
                          </w:rPr>
                        </w:pPr>
                        <w:r>
                          <w:rPr>
                            <w:sz w:val="20"/>
                          </w:rPr>
                          <w:t>nonexistent.</w:t>
                        </w:r>
                      </w:p>
                      <w:p>
                        <w:pPr>
                          <w:pStyle w:val="TableParagraph"/>
                          <w:tabs>
                            <w:tab w:pos="5745" w:val="left" w:leader="none"/>
                          </w:tabs>
                          <w:spacing w:line="242" w:lineRule="exact"/>
                          <w:ind w:left="394"/>
                          <w:rPr>
                            <w:rFonts w:ascii="Arial"/>
                            <w:b/>
                            <w:sz w:val="16"/>
                          </w:rPr>
                        </w:pPr>
                        <w:r>
                          <w:rPr>
                            <w:sz w:val="20"/>
                          </w:rPr>
                          <w:t>In  the  Emotional  demands  dimension  from   </w:t>
                        </w:r>
                        <w:r>
                          <w:rPr>
                            <w:spacing w:val="38"/>
                            <w:sz w:val="20"/>
                          </w:rPr>
                          <w:t> </w:t>
                        </w:r>
                        <w:r>
                          <w:rPr>
                            <w:sz w:val="20"/>
                          </w:rPr>
                          <w:t>the </w:t>
                        </w:r>
                        <w:r>
                          <w:rPr>
                            <w:spacing w:val="24"/>
                            <w:sz w:val="20"/>
                          </w:rPr>
                          <w:t> </w:t>
                        </w:r>
                        <w:r>
                          <w:rPr>
                            <w:sz w:val="20"/>
                          </w:rPr>
                          <w:t>job</w:t>
                          <w:tab/>
                        </w:r>
                        <w:r>
                          <w:rPr>
                            <w:rFonts w:ascii="Arial"/>
                            <w:b/>
                            <w:position w:val="6"/>
                            <w:sz w:val="16"/>
                          </w:rPr>
                          <w:t>3,6</w:t>
                        </w:r>
                      </w:p>
                    </w:tc>
                    <w:tc>
                      <w:tcPr>
                        <w:tcW w:w="2268" w:type="dxa"/>
                        <w:tcBorders>
                          <w:top w:val="single" w:sz="5" w:space="0" w:color="000000"/>
                          <w:bottom w:val="single" w:sz="5" w:space="0" w:color="000000"/>
                        </w:tcBorders>
                      </w:tcPr>
                      <w:p>
                        <w:pPr>
                          <w:pStyle w:val="TableParagraph"/>
                          <w:spacing w:before="104"/>
                          <w:ind w:left="242" w:right="-55"/>
                          <w:rPr>
                            <w:rFonts w:ascii="Arial"/>
                            <w:sz w:val="16"/>
                          </w:rPr>
                        </w:pPr>
                        <w:r>
                          <w:rPr>
                            <w:rFonts w:ascii="Arial"/>
                            <w:sz w:val="16"/>
                          </w:rPr>
                          <w:t>Demands of mental workloa</w:t>
                        </w:r>
                      </w:p>
                    </w:tc>
                    <w:tc>
                      <w:tcPr>
                        <w:tcW w:w="835" w:type="dxa"/>
                        <w:gridSpan w:val="2"/>
                        <w:tcBorders>
                          <w:top w:val="single" w:sz="5" w:space="0" w:color="000000"/>
                          <w:bottom w:val="single" w:sz="5" w:space="0" w:color="000000"/>
                        </w:tcBorders>
                      </w:tcPr>
                      <w:p>
                        <w:pPr>
                          <w:pStyle w:val="TableParagraph"/>
                          <w:tabs>
                            <w:tab w:pos="251" w:val="left" w:leader="none"/>
                          </w:tabs>
                          <w:spacing w:before="104"/>
                          <w:ind w:left="-44"/>
                          <w:rPr>
                            <w:rFonts w:ascii="Arial"/>
                            <w:sz w:val="16"/>
                          </w:rPr>
                        </w:pPr>
                        <w:r>
                          <w:rPr>
                            <w:rFonts w:ascii="Arial"/>
                            <w:sz w:val="16"/>
                          </w:rPr>
                          <w:t>d</w:t>
                          <w:tab/>
                          <w:t>36%</w:t>
                        </w:r>
                      </w:p>
                    </w:tc>
                    <w:tc>
                      <w:tcPr>
                        <w:tcW w:w="850" w:type="dxa"/>
                        <w:tcBorders>
                          <w:top w:val="single" w:sz="5" w:space="0" w:color="000000"/>
                          <w:bottom w:val="single" w:sz="5" w:space="0" w:color="000000"/>
                        </w:tcBorders>
                      </w:tcPr>
                      <w:p>
                        <w:pPr>
                          <w:pStyle w:val="TableParagraph"/>
                          <w:spacing w:before="104"/>
                          <w:ind w:right="261"/>
                          <w:jc w:val="right"/>
                          <w:rPr>
                            <w:rFonts w:ascii="Arial"/>
                            <w:sz w:val="16"/>
                          </w:rPr>
                        </w:pPr>
                        <w:r>
                          <w:rPr>
                            <w:rFonts w:ascii="Arial"/>
                            <w:w w:val="95"/>
                            <w:sz w:val="16"/>
                          </w:rPr>
                          <w:t>19%</w:t>
                        </w:r>
                      </w:p>
                    </w:tc>
                    <w:tc>
                      <w:tcPr>
                        <w:tcW w:w="869" w:type="dxa"/>
                        <w:tcBorders>
                          <w:top w:val="single" w:sz="5" w:space="0" w:color="000000"/>
                          <w:bottom w:val="single" w:sz="5" w:space="0" w:color="000000"/>
                        </w:tcBorders>
                      </w:tcPr>
                      <w:p>
                        <w:pPr>
                          <w:pStyle w:val="TableParagraph"/>
                          <w:spacing w:before="104"/>
                          <w:ind w:left="266"/>
                          <w:rPr>
                            <w:rFonts w:ascii="Arial"/>
                            <w:sz w:val="16"/>
                          </w:rPr>
                        </w:pPr>
                        <w:r>
                          <w:rPr>
                            <w:rFonts w:ascii="Arial"/>
                            <w:sz w:val="16"/>
                          </w:rPr>
                          <w:t>15%</w:t>
                        </w:r>
                      </w:p>
                    </w:tc>
                  </w:tr>
                  <w:tr>
                    <w:trPr>
                      <w:trHeight w:val="415" w:hRule="exact"/>
                    </w:trPr>
                    <w:tc>
                      <w:tcPr>
                        <w:tcW w:w="6011" w:type="dxa"/>
                        <w:gridSpan w:val="2"/>
                      </w:tcPr>
                      <w:p>
                        <w:pPr>
                          <w:pStyle w:val="TableParagraph"/>
                          <w:spacing w:line="142" w:lineRule="exact"/>
                          <w:ind w:left="35"/>
                          <w:rPr>
                            <w:sz w:val="20"/>
                          </w:rPr>
                        </w:pPr>
                        <w:r>
                          <w:rPr>
                            <w:sz w:val="20"/>
                          </w:rPr>
                          <w:t>demands domain, 58 % of the sample is at High or Very</w:t>
                        </w:r>
                      </w:p>
                      <w:p>
                        <w:pPr>
                          <w:pStyle w:val="TableParagraph"/>
                          <w:tabs>
                            <w:tab w:pos="5745" w:val="left" w:leader="none"/>
                          </w:tabs>
                          <w:spacing w:line="261" w:lineRule="exact"/>
                          <w:ind w:left="35"/>
                          <w:rPr>
                            <w:rFonts w:ascii="Arial"/>
                            <w:b/>
                            <w:sz w:val="16"/>
                          </w:rPr>
                        </w:pPr>
                        <w:r>
                          <w:rPr>
                            <w:sz w:val="20"/>
                          </w:rPr>
                          <w:t>High   Risk   levels,   perceiving   that   </w:t>
                        </w:r>
                        <w:r>
                          <w:rPr>
                            <w:spacing w:val="27"/>
                            <w:sz w:val="20"/>
                          </w:rPr>
                          <w:t> </w:t>
                        </w:r>
                        <w:r>
                          <w:rPr>
                            <w:sz w:val="20"/>
                          </w:rPr>
                          <w:t>negative  </w:t>
                        </w:r>
                        <w:r>
                          <w:rPr>
                            <w:spacing w:val="15"/>
                            <w:sz w:val="20"/>
                          </w:rPr>
                          <w:t> </w:t>
                        </w:r>
                        <w:r>
                          <w:rPr>
                            <w:sz w:val="20"/>
                          </w:rPr>
                          <w:t>emotional</w:t>
                          <w:tab/>
                        </w:r>
                        <w:r>
                          <w:rPr>
                            <w:rFonts w:ascii="Arial"/>
                            <w:b/>
                            <w:position w:val="10"/>
                            <w:sz w:val="16"/>
                          </w:rPr>
                          <w:t>3,7</w:t>
                        </w:r>
                      </w:p>
                    </w:tc>
                    <w:tc>
                      <w:tcPr>
                        <w:tcW w:w="2268" w:type="dxa"/>
                        <w:tcBorders>
                          <w:top w:val="single" w:sz="5" w:space="0" w:color="000000"/>
                          <w:bottom w:val="single" w:sz="5" w:space="0" w:color="000000"/>
                        </w:tcBorders>
                      </w:tcPr>
                      <w:p>
                        <w:pPr>
                          <w:pStyle w:val="TableParagraph"/>
                          <w:spacing w:before="104"/>
                          <w:ind w:left="242" w:right="245"/>
                          <w:rPr>
                            <w:rFonts w:ascii="Arial"/>
                            <w:sz w:val="16"/>
                          </w:rPr>
                        </w:pPr>
                        <w:r>
                          <w:rPr>
                            <w:rFonts w:ascii="Arial"/>
                            <w:sz w:val="16"/>
                          </w:rPr>
                          <w:t>Role Consistency</w:t>
                        </w:r>
                      </w:p>
                    </w:tc>
                    <w:tc>
                      <w:tcPr>
                        <w:tcW w:w="835" w:type="dxa"/>
                        <w:gridSpan w:val="2"/>
                        <w:tcBorders>
                          <w:top w:val="single" w:sz="5" w:space="0" w:color="000000"/>
                          <w:bottom w:val="single" w:sz="5" w:space="0" w:color="000000"/>
                        </w:tcBorders>
                      </w:tcPr>
                      <w:p>
                        <w:pPr>
                          <w:pStyle w:val="TableParagraph"/>
                          <w:spacing w:before="104"/>
                          <w:ind w:left="250"/>
                          <w:rPr>
                            <w:rFonts w:ascii="Arial"/>
                            <w:sz w:val="16"/>
                          </w:rPr>
                        </w:pPr>
                        <w:r>
                          <w:rPr>
                            <w:rFonts w:ascii="Arial"/>
                            <w:sz w:val="16"/>
                          </w:rPr>
                          <w:t>23%</w:t>
                        </w:r>
                      </w:p>
                    </w:tc>
                    <w:tc>
                      <w:tcPr>
                        <w:tcW w:w="850" w:type="dxa"/>
                        <w:tcBorders>
                          <w:top w:val="single" w:sz="5" w:space="0" w:color="000000"/>
                          <w:bottom w:val="single" w:sz="5" w:space="0" w:color="000000"/>
                        </w:tcBorders>
                      </w:tcPr>
                      <w:p>
                        <w:pPr>
                          <w:pStyle w:val="TableParagraph"/>
                          <w:spacing w:before="104"/>
                          <w:ind w:right="261"/>
                          <w:jc w:val="right"/>
                          <w:rPr>
                            <w:rFonts w:ascii="Arial"/>
                            <w:sz w:val="16"/>
                          </w:rPr>
                        </w:pPr>
                        <w:r>
                          <w:rPr>
                            <w:rFonts w:ascii="Arial"/>
                            <w:w w:val="95"/>
                            <w:sz w:val="16"/>
                          </w:rPr>
                          <w:t>15%</w:t>
                        </w:r>
                      </w:p>
                    </w:tc>
                    <w:tc>
                      <w:tcPr>
                        <w:tcW w:w="869" w:type="dxa"/>
                        <w:tcBorders>
                          <w:top w:val="single" w:sz="5" w:space="0" w:color="000000"/>
                          <w:bottom w:val="single" w:sz="5" w:space="0" w:color="000000"/>
                        </w:tcBorders>
                      </w:tcPr>
                      <w:p>
                        <w:pPr>
                          <w:pStyle w:val="TableParagraph"/>
                          <w:spacing w:before="104"/>
                          <w:ind w:left="266"/>
                          <w:rPr>
                            <w:rFonts w:ascii="Arial"/>
                            <w:sz w:val="16"/>
                          </w:rPr>
                        </w:pPr>
                        <w:r>
                          <w:rPr>
                            <w:rFonts w:ascii="Arial"/>
                            <w:sz w:val="16"/>
                          </w:rPr>
                          <w:t>17%</w:t>
                        </w:r>
                      </w:p>
                    </w:tc>
                  </w:tr>
                  <w:tr>
                    <w:trPr>
                      <w:trHeight w:val="292" w:hRule="exact"/>
                    </w:trPr>
                    <w:tc>
                      <w:tcPr>
                        <w:tcW w:w="6011" w:type="dxa"/>
                        <w:gridSpan w:val="2"/>
                      </w:tcPr>
                      <w:p>
                        <w:pPr>
                          <w:pStyle w:val="TableParagraph"/>
                          <w:tabs>
                            <w:tab w:pos="5745" w:val="left" w:leader="none"/>
                          </w:tabs>
                          <w:spacing w:line="299" w:lineRule="exact"/>
                          <w:ind w:left="35"/>
                          <w:rPr>
                            <w:rFonts w:ascii="Arial"/>
                            <w:b/>
                            <w:sz w:val="16"/>
                          </w:rPr>
                        </w:pPr>
                        <w:r>
                          <w:rPr>
                            <w:sz w:val="20"/>
                          </w:rPr>
                          <w:t>occasions   of   service   users   states   affect   them.  </w:t>
                        </w:r>
                        <w:r>
                          <w:rPr>
                            <w:spacing w:val="10"/>
                            <w:sz w:val="20"/>
                          </w:rPr>
                          <w:t> </w:t>
                        </w:r>
                        <w:r>
                          <w:rPr>
                            <w:sz w:val="20"/>
                          </w:rPr>
                          <w:t>In   the</w:t>
                          <w:tab/>
                        </w:r>
                        <w:r>
                          <w:rPr>
                            <w:rFonts w:ascii="Arial"/>
                            <w:b/>
                            <w:position w:val="-8"/>
                            <w:sz w:val="16"/>
                          </w:rPr>
                          <w:t>3,8</w:t>
                        </w:r>
                      </w:p>
                    </w:tc>
                    <w:tc>
                      <w:tcPr>
                        <w:tcW w:w="2268" w:type="dxa"/>
                        <w:tcBorders>
                          <w:top w:val="single" w:sz="5" w:space="0" w:color="000000"/>
                        </w:tcBorders>
                      </w:tcPr>
                      <w:p>
                        <w:pPr>
                          <w:pStyle w:val="TableParagraph"/>
                          <w:spacing w:before="106"/>
                          <w:ind w:left="242" w:right="245"/>
                          <w:rPr>
                            <w:rFonts w:ascii="Arial"/>
                            <w:sz w:val="16"/>
                          </w:rPr>
                        </w:pPr>
                        <w:r>
                          <w:rPr>
                            <w:rFonts w:ascii="Arial"/>
                            <w:sz w:val="16"/>
                          </w:rPr>
                          <w:t>Office hours</w:t>
                        </w:r>
                      </w:p>
                    </w:tc>
                    <w:tc>
                      <w:tcPr>
                        <w:tcW w:w="835" w:type="dxa"/>
                        <w:gridSpan w:val="2"/>
                        <w:tcBorders>
                          <w:top w:val="single" w:sz="5" w:space="0" w:color="000000"/>
                        </w:tcBorders>
                      </w:tcPr>
                      <w:p>
                        <w:pPr>
                          <w:pStyle w:val="TableParagraph"/>
                          <w:spacing w:before="106"/>
                          <w:ind w:left="252"/>
                          <w:rPr>
                            <w:rFonts w:ascii="Arial"/>
                            <w:sz w:val="16"/>
                          </w:rPr>
                        </w:pPr>
                        <w:r>
                          <w:rPr>
                            <w:rFonts w:ascii="Arial"/>
                            <w:sz w:val="16"/>
                          </w:rPr>
                          <w:t>11%</w:t>
                        </w:r>
                      </w:p>
                    </w:tc>
                    <w:tc>
                      <w:tcPr>
                        <w:tcW w:w="850" w:type="dxa"/>
                        <w:tcBorders>
                          <w:top w:val="single" w:sz="5" w:space="0" w:color="000000"/>
                        </w:tcBorders>
                      </w:tcPr>
                      <w:p>
                        <w:pPr>
                          <w:pStyle w:val="TableParagraph"/>
                          <w:spacing w:before="106"/>
                          <w:ind w:right="261"/>
                          <w:jc w:val="right"/>
                          <w:rPr>
                            <w:rFonts w:ascii="Arial"/>
                            <w:sz w:val="16"/>
                          </w:rPr>
                        </w:pPr>
                        <w:r>
                          <w:rPr>
                            <w:rFonts w:ascii="Arial"/>
                            <w:sz w:val="16"/>
                          </w:rPr>
                          <w:t>25%</w:t>
                        </w:r>
                      </w:p>
                    </w:tc>
                    <w:tc>
                      <w:tcPr>
                        <w:tcW w:w="869" w:type="dxa"/>
                        <w:tcBorders>
                          <w:top w:val="single" w:sz="5" w:space="0" w:color="000000"/>
                        </w:tcBorders>
                      </w:tcPr>
                      <w:p>
                        <w:pPr>
                          <w:pStyle w:val="TableParagraph"/>
                          <w:spacing w:before="106"/>
                          <w:ind w:left="312"/>
                          <w:rPr>
                            <w:rFonts w:ascii="Arial"/>
                            <w:sz w:val="16"/>
                          </w:rPr>
                        </w:pPr>
                        <w:r>
                          <w:rPr>
                            <w:rFonts w:ascii="Arial"/>
                            <w:sz w:val="16"/>
                          </w:rPr>
                          <w:t>6%</w:t>
                        </w:r>
                      </w:p>
                    </w:tc>
                  </w:tr>
                  <w:tr>
                    <w:trPr>
                      <w:trHeight w:val="2193" w:hRule="exact"/>
                    </w:trPr>
                    <w:tc>
                      <w:tcPr>
                        <w:tcW w:w="6011" w:type="dxa"/>
                        <w:gridSpan w:val="2"/>
                      </w:tcPr>
                      <w:p>
                        <w:pPr>
                          <w:pStyle w:val="TableParagraph"/>
                          <w:spacing w:line="157" w:lineRule="exact"/>
                          <w:ind w:left="35"/>
                          <w:rPr>
                            <w:sz w:val="20"/>
                          </w:rPr>
                        </w:pPr>
                        <w:r>
                          <w:rPr>
                            <w:sz w:val="20"/>
                          </w:rPr>
                          <w:t>quantitative Demands  dimension, 49% of workers feel   that</w:t>
                        </w:r>
                      </w:p>
                      <w:p>
                        <w:pPr>
                          <w:pStyle w:val="TableParagraph"/>
                          <w:tabs>
                            <w:tab w:pos="5894" w:val="right" w:leader="none"/>
                          </w:tabs>
                          <w:spacing w:line="245" w:lineRule="exact"/>
                          <w:ind w:left="35"/>
                          <w:rPr>
                            <w:rFonts w:ascii="Arial"/>
                            <w:b/>
                            <w:sz w:val="16"/>
                          </w:rPr>
                        </w:pPr>
                        <w:r>
                          <w:rPr>
                            <w:sz w:val="20"/>
                          </w:rPr>
                          <w:t>the workload is high and the time available for doing </w:t>
                        </w:r>
                        <w:r>
                          <w:rPr>
                            <w:spacing w:val="35"/>
                            <w:sz w:val="20"/>
                          </w:rPr>
                          <w:t> </w:t>
                        </w:r>
                        <w:r>
                          <w:rPr>
                            <w:sz w:val="20"/>
                          </w:rPr>
                          <w:t>it</w:t>
                        </w:r>
                        <w:r>
                          <w:rPr>
                            <w:spacing w:val="8"/>
                            <w:sz w:val="20"/>
                          </w:rPr>
                          <w:t> </w:t>
                        </w:r>
                        <w:r>
                          <w:rPr>
                            <w:sz w:val="20"/>
                          </w:rPr>
                          <w:t>very</w:t>
                        </w:r>
                        <w:r>
                          <w:rPr>
                            <w:rFonts w:ascii="Arial"/>
                            <w:b/>
                            <w:position w:val="-3"/>
                            <w:sz w:val="16"/>
                          </w:rPr>
                          <w:tab/>
                          <w:t>4</w:t>
                        </w:r>
                      </w:p>
                      <w:p>
                        <w:pPr>
                          <w:pStyle w:val="TableParagraph"/>
                          <w:spacing w:line="215" w:lineRule="exact"/>
                          <w:ind w:left="35"/>
                          <w:rPr>
                            <w:sz w:val="20"/>
                          </w:rPr>
                        </w:pPr>
                        <w:r>
                          <w:rPr>
                            <w:sz w:val="20"/>
                          </w:rPr>
                          <w:t>short.</w:t>
                        </w:r>
                      </w:p>
                      <w:p>
                        <w:pPr>
                          <w:pStyle w:val="TableParagraph"/>
                          <w:spacing w:line="228" w:lineRule="exact"/>
                          <w:ind w:left="394"/>
                          <w:rPr>
                            <w:sz w:val="20"/>
                          </w:rPr>
                        </w:pPr>
                        <w:r>
                          <w:rPr>
                            <w:sz w:val="20"/>
                          </w:rPr>
                          <w:t>Finally, in the recognition and compensation dimension,</w:t>
                        </w:r>
                      </w:p>
                      <w:p>
                        <w:pPr>
                          <w:pStyle w:val="TableParagraph"/>
                          <w:tabs>
                            <w:tab w:pos="5745" w:val="left" w:leader="none"/>
                          </w:tabs>
                          <w:spacing w:line="230" w:lineRule="exact" w:before="4"/>
                          <w:ind w:left="35" w:right="40"/>
                          <w:rPr>
                            <w:sz w:val="20"/>
                          </w:rPr>
                        </w:pPr>
                        <w:r>
                          <w:rPr>
                            <w:sz w:val="20"/>
                          </w:rPr>
                          <w:t>40%   of   the   workers   perceive   that   payment </w:t>
                        </w:r>
                        <w:r>
                          <w:rPr>
                            <w:spacing w:val="44"/>
                            <w:sz w:val="20"/>
                          </w:rPr>
                          <w:t> </w:t>
                        </w:r>
                        <w:r>
                          <w:rPr>
                            <w:sz w:val="20"/>
                          </w:rPr>
                          <w:t>does </w:t>
                        </w:r>
                        <w:r>
                          <w:rPr>
                            <w:spacing w:val="47"/>
                            <w:sz w:val="20"/>
                          </w:rPr>
                          <w:t> </w:t>
                        </w:r>
                        <w:r>
                          <w:rPr>
                            <w:sz w:val="20"/>
                          </w:rPr>
                          <w:t>not</w:t>
                          <w:tab/>
                        </w:r>
                        <w:r>
                          <w:rPr>
                            <w:rFonts w:ascii="Arial"/>
                            <w:b/>
                            <w:position w:val="4"/>
                            <w:sz w:val="16"/>
                          </w:rPr>
                          <w:t>4,1 </w:t>
                        </w:r>
                        <w:r>
                          <w:rPr>
                            <w:sz w:val="20"/>
                          </w:rPr>
                          <w:t>compensate   the   effort;   by   the   other   hand,   development opportunities offered by the company are</w:t>
                        </w:r>
                        <w:r>
                          <w:rPr>
                            <w:spacing w:val="-25"/>
                            <w:sz w:val="20"/>
                          </w:rPr>
                          <w:t> </w:t>
                        </w:r>
                        <w:r>
                          <w:rPr>
                            <w:sz w:val="20"/>
                          </w:rPr>
                          <w:t>limited.</w:t>
                        </w:r>
                      </w:p>
                      <w:p>
                        <w:pPr>
                          <w:pStyle w:val="TableParagraph"/>
                          <w:spacing w:line="103" w:lineRule="exact"/>
                          <w:ind w:right="40"/>
                          <w:jc w:val="right"/>
                          <w:rPr>
                            <w:rFonts w:ascii="Arial"/>
                            <w:b/>
                            <w:sz w:val="16"/>
                          </w:rPr>
                        </w:pPr>
                        <w:r>
                          <w:rPr>
                            <w:rFonts w:ascii="Arial"/>
                            <w:b/>
                            <w:sz w:val="16"/>
                          </w:rPr>
                          <w:t>4,2</w:t>
                        </w:r>
                      </w:p>
                      <w:p>
                        <w:pPr>
                          <w:pStyle w:val="TableParagraph"/>
                          <w:spacing w:before="123"/>
                          <w:ind w:left="35" w:right="1040" w:firstLine="360"/>
                          <w:rPr>
                            <w:sz w:val="20"/>
                          </w:rPr>
                        </w:pPr>
                        <w:r>
                          <w:rPr>
                            <w:sz w:val="20"/>
                          </w:rPr>
                          <w:t>Table 1 describes each of the domains and the dimensions in which the workers in the sample are at High or</w:t>
                        </w:r>
                      </w:p>
                    </w:tc>
                    <w:tc>
                      <w:tcPr>
                        <w:tcW w:w="2268" w:type="dxa"/>
                      </w:tcPr>
                      <w:p>
                        <w:pPr>
                          <w:pStyle w:val="TableParagraph"/>
                          <w:spacing w:before="4"/>
                          <w:rPr>
                            <w:sz w:val="20"/>
                          </w:rPr>
                        </w:pPr>
                      </w:p>
                      <w:p>
                        <w:pPr>
                          <w:pStyle w:val="TableParagraph"/>
                          <w:spacing w:before="1"/>
                          <w:ind w:left="30" w:right="245"/>
                          <w:rPr>
                            <w:rFonts w:ascii="Arial"/>
                            <w:b/>
                            <w:sz w:val="16"/>
                          </w:rPr>
                        </w:pPr>
                        <w:r>
                          <w:rPr>
                            <w:rFonts w:ascii="Arial"/>
                            <w:b/>
                            <w:sz w:val="16"/>
                          </w:rPr>
                          <w:t>Rewards</w:t>
                        </w:r>
                      </w:p>
                      <w:p>
                        <w:pPr>
                          <w:pStyle w:val="TableParagraph"/>
                          <w:spacing w:line="261" w:lineRule="auto" w:before="125"/>
                          <w:ind w:left="242" w:right="174"/>
                          <w:rPr>
                            <w:rFonts w:ascii="Arial"/>
                            <w:sz w:val="16"/>
                          </w:rPr>
                        </w:pPr>
                        <w:r>
                          <w:rPr>
                            <w:rFonts w:ascii="Arial"/>
                            <w:sz w:val="16"/>
                          </w:rPr>
                          <w:t>Rewards derived from Organization membership and job performance</w:t>
                        </w:r>
                      </w:p>
                      <w:p>
                        <w:pPr>
                          <w:pStyle w:val="TableParagraph"/>
                          <w:spacing w:before="10"/>
                          <w:rPr>
                            <w:sz w:val="17"/>
                          </w:rPr>
                        </w:pPr>
                      </w:p>
                      <w:p>
                        <w:pPr>
                          <w:pStyle w:val="TableParagraph"/>
                          <w:spacing w:line="261" w:lineRule="auto"/>
                          <w:ind w:left="242" w:right="849"/>
                          <w:rPr>
                            <w:rFonts w:ascii="Arial"/>
                            <w:sz w:val="16"/>
                          </w:rPr>
                        </w:pPr>
                        <w:r>
                          <w:rPr>
                            <w:rFonts w:ascii="Arial"/>
                            <w:sz w:val="16"/>
                          </w:rPr>
                          <w:t>Recognition and Payment</w:t>
                        </w:r>
                      </w:p>
                      <w:p>
                        <w:pPr>
                          <w:pStyle w:val="TableParagraph"/>
                          <w:spacing w:before="110"/>
                          <w:ind w:left="419" w:right="245"/>
                          <w:rPr>
                            <w:rFonts w:ascii="Arial"/>
                            <w:b/>
                            <w:sz w:val="16"/>
                          </w:rPr>
                        </w:pPr>
                        <w:r>
                          <w:rPr>
                            <w:rFonts w:ascii="Arial"/>
                            <w:b/>
                            <w:sz w:val="16"/>
                          </w:rPr>
                          <w:t>TOTAL SCORE</w:t>
                        </w:r>
                      </w:p>
                    </w:tc>
                    <w:tc>
                      <w:tcPr>
                        <w:tcW w:w="835" w:type="dxa"/>
                        <w:gridSpan w:val="2"/>
                      </w:tcPr>
                      <w:p>
                        <w:pPr>
                          <w:pStyle w:val="TableParagraph"/>
                          <w:spacing w:before="4"/>
                          <w:rPr>
                            <w:sz w:val="20"/>
                          </w:rPr>
                        </w:pPr>
                      </w:p>
                      <w:p>
                        <w:pPr>
                          <w:pStyle w:val="TableParagraph"/>
                          <w:spacing w:before="1"/>
                          <w:ind w:left="263"/>
                          <w:rPr>
                            <w:rFonts w:ascii="Arial"/>
                            <w:b/>
                            <w:sz w:val="16"/>
                          </w:rPr>
                        </w:pPr>
                        <w:r>
                          <w:rPr>
                            <w:rFonts w:ascii="Arial"/>
                            <w:b/>
                            <w:sz w:val="16"/>
                          </w:rPr>
                          <w:t>23%</w:t>
                        </w:r>
                      </w:p>
                      <w:p>
                        <w:pPr>
                          <w:pStyle w:val="TableParagraph"/>
                          <w:rPr>
                            <w:sz w:val="16"/>
                          </w:rPr>
                        </w:pPr>
                      </w:p>
                      <w:p>
                        <w:pPr>
                          <w:pStyle w:val="TableParagraph"/>
                          <w:spacing w:before="8"/>
                          <w:rPr>
                            <w:sz w:val="20"/>
                          </w:rPr>
                        </w:pPr>
                      </w:p>
                      <w:p>
                        <w:pPr>
                          <w:pStyle w:val="TableParagraph"/>
                          <w:ind w:left="251"/>
                          <w:rPr>
                            <w:rFonts w:ascii="Arial"/>
                            <w:sz w:val="16"/>
                          </w:rPr>
                        </w:pPr>
                        <w:r>
                          <w:rPr>
                            <w:rFonts w:ascii="Arial"/>
                            <w:sz w:val="16"/>
                          </w:rPr>
                          <w:t>11%</w:t>
                        </w:r>
                      </w:p>
                      <w:p>
                        <w:pPr>
                          <w:pStyle w:val="TableParagraph"/>
                          <w:rPr>
                            <w:sz w:val="16"/>
                          </w:rPr>
                        </w:pPr>
                      </w:p>
                      <w:p>
                        <w:pPr>
                          <w:pStyle w:val="TableParagraph"/>
                          <w:spacing w:before="8"/>
                          <w:rPr>
                            <w:sz w:val="21"/>
                          </w:rPr>
                        </w:pPr>
                      </w:p>
                      <w:p>
                        <w:pPr>
                          <w:pStyle w:val="TableParagraph"/>
                          <w:ind w:left="251"/>
                          <w:rPr>
                            <w:rFonts w:ascii="Arial"/>
                            <w:sz w:val="16"/>
                          </w:rPr>
                        </w:pPr>
                        <w:r>
                          <w:rPr>
                            <w:rFonts w:ascii="Arial"/>
                            <w:sz w:val="16"/>
                          </w:rPr>
                          <w:t>17%</w:t>
                        </w:r>
                      </w:p>
                      <w:p>
                        <w:pPr>
                          <w:pStyle w:val="TableParagraph"/>
                          <w:spacing w:before="2"/>
                          <w:rPr>
                            <w:sz w:val="20"/>
                          </w:rPr>
                        </w:pPr>
                      </w:p>
                      <w:p>
                        <w:pPr>
                          <w:pStyle w:val="TableParagraph"/>
                          <w:ind w:left="263"/>
                          <w:rPr>
                            <w:rFonts w:ascii="Arial"/>
                            <w:b/>
                            <w:sz w:val="16"/>
                          </w:rPr>
                        </w:pPr>
                        <w:r>
                          <w:rPr>
                            <w:rFonts w:ascii="Arial"/>
                            <w:b/>
                            <w:sz w:val="16"/>
                          </w:rPr>
                          <w:t>26%</w:t>
                        </w:r>
                      </w:p>
                    </w:tc>
                    <w:tc>
                      <w:tcPr>
                        <w:tcW w:w="850" w:type="dxa"/>
                      </w:tcPr>
                      <w:p>
                        <w:pPr>
                          <w:pStyle w:val="TableParagraph"/>
                          <w:spacing w:before="4"/>
                          <w:rPr>
                            <w:sz w:val="20"/>
                          </w:rPr>
                        </w:pPr>
                      </w:p>
                      <w:p>
                        <w:pPr>
                          <w:pStyle w:val="TableParagraph"/>
                          <w:spacing w:before="1"/>
                          <w:ind w:left="278"/>
                          <w:rPr>
                            <w:rFonts w:ascii="Arial"/>
                            <w:b/>
                            <w:sz w:val="16"/>
                          </w:rPr>
                        </w:pPr>
                        <w:r>
                          <w:rPr>
                            <w:rFonts w:ascii="Arial"/>
                            <w:b/>
                            <w:sz w:val="16"/>
                          </w:rPr>
                          <w:t>25%</w:t>
                        </w:r>
                      </w:p>
                      <w:p>
                        <w:pPr>
                          <w:pStyle w:val="TableParagraph"/>
                          <w:rPr>
                            <w:sz w:val="16"/>
                          </w:rPr>
                        </w:pPr>
                      </w:p>
                      <w:p>
                        <w:pPr>
                          <w:pStyle w:val="TableParagraph"/>
                          <w:spacing w:before="8"/>
                          <w:rPr>
                            <w:sz w:val="20"/>
                          </w:rPr>
                        </w:pPr>
                      </w:p>
                      <w:p>
                        <w:pPr>
                          <w:pStyle w:val="TableParagraph"/>
                          <w:ind w:left="266"/>
                          <w:rPr>
                            <w:rFonts w:ascii="Arial"/>
                            <w:sz w:val="16"/>
                          </w:rPr>
                        </w:pPr>
                        <w:r>
                          <w:rPr>
                            <w:rFonts w:ascii="Arial"/>
                            <w:sz w:val="16"/>
                          </w:rPr>
                          <w:t>17%</w:t>
                        </w:r>
                      </w:p>
                      <w:p>
                        <w:pPr>
                          <w:pStyle w:val="TableParagraph"/>
                          <w:rPr>
                            <w:sz w:val="16"/>
                          </w:rPr>
                        </w:pPr>
                      </w:p>
                      <w:p>
                        <w:pPr>
                          <w:pStyle w:val="TableParagraph"/>
                          <w:spacing w:before="8"/>
                          <w:rPr>
                            <w:sz w:val="21"/>
                          </w:rPr>
                        </w:pPr>
                      </w:p>
                      <w:p>
                        <w:pPr>
                          <w:pStyle w:val="TableParagraph"/>
                          <w:ind w:left="266"/>
                          <w:rPr>
                            <w:rFonts w:ascii="Arial"/>
                            <w:sz w:val="16"/>
                          </w:rPr>
                        </w:pPr>
                        <w:r>
                          <w:rPr>
                            <w:rFonts w:ascii="Arial"/>
                            <w:sz w:val="16"/>
                          </w:rPr>
                          <w:t>23%</w:t>
                        </w:r>
                      </w:p>
                      <w:p>
                        <w:pPr>
                          <w:pStyle w:val="TableParagraph"/>
                          <w:spacing w:before="2"/>
                          <w:rPr>
                            <w:sz w:val="20"/>
                          </w:rPr>
                        </w:pPr>
                      </w:p>
                      <w:p>
                        <w:pPr>
                          <w:pStyle w:val="TableParagraph"/>
                          <w:ind w:left="278"/>
                          <w:rPr>
                            <w:rFonts w:ascii="Arial"/>
                            <w:b/>
                            <w:sz w:val="16"/>
                          </w:rPr>
                        </w:pPr>
                        <w:r>
                          <w:rPr>
                            <w:rFonts w:ascii="Arial"/>
                            <w:b/>
                            <w:sz w:val="16"/>
                          </w:rPr>
                          <w:t>28%</w:t>
                        </w:r>
                      </w:p>
                    </w:tc>
                    <w:tc>
                      <w:tcPr>
                        <w:tcW w:w="869" w:type="dxa"/>
                      </w:tcPr>
                      <w:p>
                        <w:pPr>
                          <w:pStyle w:val="TableParagraph"/>
                          <w:spacing w:before="4"/>
                          <w:rPr>
                            <w:sz w:val="20"/>
                          </w:rPr>
                        </w:pPr>
                      </w:p>
                      <w:p>
                        <w:pPr>
                          <w:pStyle w:val="TableParagraph"/>
                          <w:spacing w:before="1"/>
                          <w:ind w:left="246" w:right="233"/>
                          <w:jc w:val="center"/>
                          <w:rPr>
                            <w:rFonts w:ascii="Arial"/>
                            <w:b/>
                            <w:sz w:val="16"/>
                          </w:rPr>
                        </w:pPr>
                        <w:r>
                          <w:rPr>
                            <w:rFonts w:ascii="Arial"/>
                            <w:b/>
                            <w:sz w:val="16"/>
                          </w:rPr>
                          <w:t>9%</w:t>
                        </w:r>
                      </w:p>
                      <w:p>
                        <w:pPr>
                          <w:pStyle w:val="TableParagraph"/>
                          <w:rPr>
                            <w:sz w:val="16"/>
                          </w:rPr>
                        </w:pPr>
                      </w:p>
                      <w:p>
                        <w:pPr>
                          <w:pStyle w:val="TableParagraph"/>
                          <w:spacing w:before="8"/>
                          <w:rPr>
                            <w:sz w:val="20"/>
                          </w:rPr>
                        </w:pPr>
                      </w:p>
                      <w:p>
                        <w:pPr>
                          <w:pStyle w:val="TableParagraph"/>
                          <w:ind w:left="234" w:right="249"/>
                          <w:jc w:val="center"/>
                          <w:rPr>
                            <w:rFonts w:ascii="Arial"/>
                            <w:sz w:val="16"/>
                          </w:rPr>
                        </w:pPr>
                        <w:r>
                          <w:rPr>
                            <w:rFonts w:ascii="Arial"/>
                            <w:sz w:val="16"/>
                          </w:rPr>
                          <w:t>17%</w:t>
                        </w:r>
                      </w:p>
                      <w:p>
                        <w:pPr>
                          <w:pStyle w:val="TableParagraph"/>
                          <w:rPr>
                            <w:sz w:val="16"/>
                          </w:rPr>
                        </w:pPr>
                      </w:p>
                      <w:p>
                        <w:pPr>
                          <w:pStyle w:val="TableParagraph"/>
                          <w:spacing w:before="8"/>
                          <w:rPr>
                            <w:sz w:val="21"/>
                          </w:rPr>
                        </w:pPr>
                      </w:p>
                      <w:p>
                        <w:pPr>
                          <w:pStyle w:val="TableParagraph"/>
                          <w:ind w:left="234" w:right="249"/>
                          <w:jc w:val="center"/>
                          <w:rPr>
                            <w:rFonts w:ascii="Arial"/>
                            <w:sz w:val="16"/>
                          </w:rPr>
                        </w:pPr>
                        <w:r>
                          <w:rPr>
                            <w:rFonts w:ascii="Arial"/>
                            <w:sz w:val="16"/>
                          </w:rPr>
                          <w:t>13%</w:t>
                        </w:r>
                      </w:p>
                      <w:p>
                        <w:pPr>
                          <w:pStyle w:val="TableParagraph"/>
                          <w:spacing w:before="2"/>
                          <w:rPr>
                            <w:sz w:val="20"/>
                          </w:rPr>
                        </w:pPr>
                      </w:p>
                      <w:p>
                        <w:pPr>
                          <w:pStyle w:val="TableParagraph"/>
                          <w:ind w:left="246" w:right="237"/>
                          <w:jc w:val="center"/>
                          <w:rPr>
                            <w:rFonts w:ascii="Arial"/>
                            <w:b/>
                            <w:sz w:val="16"/>
                          </w:rPr>
                        </w:pPr>
                        <w:r>
                          <w:rPr>
                            <w:rFonts w:ascii="Arial"/>
                            <w:b/>
                            <w:sz w:val="16"/>
                          </w:rPr>
                          <w:t>17%</w:t>
                        </w:r>
                      </w:p>
                    </w:tc>
                  </w:tr>
                  <w:tr>
                    <w:trPr>
                      <w:trHeight w:val="359" w:hRule="exact"/>
                    </w:trPr>
                    <w:tc>
                      <w:tcPr>
                        <w:tcW w:w="5673" w:type="dxa"/>
                      </w:tcPr>
                      <w:p>
                        <w:pPr>
                          <w:pStyle w:val="TableParagraph"/>
                          <w:spacing w:before="33"/>
                          <w:ind w:left="35" w:right="698"/>
                          <w:rPr>
                            <w:sz w:val="20"/>
                          </w:rPr>
                        </w:pPr>
                        <w:r>
                          <w:rPr>
                            <w:sz w:val="20"/>
                          </w:rPr>
                          <w:t>Very High risk levels.</w:t>
                        </w:r>
                      </w:p>
                    </w:tc>
                    <w:tc>
                      <w:tcPr>
                        <w:tcW w:w="338" w:type="dxa"/>
                      </w:tcPr>
                      <w:p>
                        <w:pPr/>
                      </w:p>
                    </w:tc>
                    <w:tc>
                      <w:tcPr>
                        <w:tcW w:w="2268" w:type="dxa"/>
                      </w:tcPr>
                      <w:p>
                        <w:pPr/>
                      </w:p>
                    </w:tc>
                    <w:tc>
                      <w:tcPr>
                        <w:tcW w:w="222" w:type="dxa"/>
                      </w:tcPr>
                      <w:p>
                        <w:pPr/>
                      </w:p>
                    </w:tc>
                    <w:tc>
                      <w:tcPr>
                        <w:tcW w:w="613" w:type="dxa"/>
                      </w:tcPr>
                      <w:p>
                        <w:pPr/>
                      </w:p>
                    </w:tc>
                    <w:tc>
                      <w:tcPr>
                        <w:tcW w:w="850" w:type="dxa"/>
                      </w:tcPr>
                      <w:p>
                        <w:pPr/>
                      </w:p>
                    </w:tc>
                    <w:tc>
                      <w:tcPr>
                        <w:tcW w:w="869" w:type="dxa"/>
                      </w:tcPr>
                      <w:p>
                        <w:pPr/>
                      </w:p>
                    </w:tc>
                  </w:tr>
                </w:tbl>
                <w:p>
                  <w:pPr>
                    <w:pStyle w:val="BodyText"/>
                  </w:pPr>
                </w:p>
              </w:txbxContent>
            </v:textbox>
            <w10:wrap type="none"/>
          </v:shape>
        </w:pict>
      </w:r>
      <w:r>
        <w:rPr/>
        <w:t>Work related psychosocial</w:t>
      </w:r>
      <w:r>
        <w:rPr>
          <w:spacing w:val="-25"/>
        </w:rPr>
        <w:t> </w:t>
      </w:r>
      <w:r>
        <w:rPr/>
        <w:t>factors.</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8"/>
        <w:rPr>
          <w:b/>
          <w:sz w:val="19"/>
        </w:rPr>
      </w:pPr>
    </w:p>
    <w:p>
      <w:pPr>
        <w:pStyle w:val="BodyText"/>
        <w:ind w:left="270" w:right="6276"/>
      </w:pPr>
      <w:r>
        <w:rPr/>
        <w:t>relationships at work , 38% in control over work and 34% in</w:t>
      </w:r>
    </w:p>
    <w:p>
      <w:pPr>
        <w:pStyle w:val="BodyText"/>
      </w:pPr>
    </w:p>
    <w:p>
      <w:pPr>
        <w:pStyle w:val="BodyText"/>
      </w:pPr>
    </w:p>
    <w:p>
      <w:pPr>
        <w:pStyle w:val="BodyText"/>
      </w:pPr>
    </w:p>
    <w:p>
      <w:pPr>
        <w:pStyle w:val="BodyText"/>
        <w:ind w:left="270" w:right="1218"/>
      </w:pPr>
      <w:r>
        <w:rPr/>
        <w:t>Very  High  Risk  in  the  dimension  Social  Relationships at</w:t>
      </w:r>
    </w:p>
    <w:p>
      <w:pPr>
        <w:pStyle w:val="BodyText"/>
      </w:pPr>
    </w:p>
    <w:p>
      <w:pPr>
        <w:pStyle w:val="BodyText"/>
      </w:pPr>
    </w:p>
    <w:p>
      <w:pPr>
        <w:pStyle w:val="BodyText"/>
      </w:pPr>
    </w:p>
    <w:p>
      <w:pPr>
        <w:pStyle w:val="BodyText"/>
      </w:pPr>
    </w:p>
    <w:p>
      <w:pPr>
        <w:pStyle w:val="BodyText"/>
      </w:pPr>
    </w:p>
    <w:p>
      <w:pPr>
        <w:pStyle w:val="BodyText"/>
      </w:pPr>
    </w:p>
    <w:p>
      <w:pPr>
        <w:pStyle w:val="BodyText"/>
        <w:spacing w:before="11"/>
        <w:rPr>
          <w:sz w:val="19"/>
        </w:rPr>
      </w:pPr>
    </w:p>
    <w:p>
      <w:pPr>
        <w:pStyle w:val="BodyText"/>
        <w:ind w:left="630" w:right="6276"/>
      </w:pPr>
      <w:r>
        <w:rPr/>
        <w:t>In  contrast  to  the  above,  87  %  of  people  who    are</w:t>
      </w:r>
    </w:p>
    <w:p>
      <w:pPr>
        <w:pStyle w:val="BodyText"/>
      </w:pPr>
    </w:p>
    <w:p>
      <w:pPr>
        <w:pStyle w:val="BodyText"/>
      </w:pPr>
    </w:p>
    <w:p>
      <w:pPr>
        <w:pStyle w:val="BodyText"/>
      </w:pPr>
    </w:p>
    <w:p>
      <w:pPr>
        <w:pStyle w:val="BodyText"/>
      </w:pPr>
    </w:p>
    <w:p>
      <w:pPr>
        <w:pStyle w:val="BodyText"/>
      </w:pPr>
    </w:p>
    <w:p>
      <w:pPr>
        <w:pStyle w:val="BodyText"/>
      </w:pPr>
    </w:p>
    <w:p>
      <w:pPr>
        <w:pStyle w:val="BodyText"/>
        <w:spacing w:line="480" w:lineRule="auto"/>
        <w:ind w:left="270" w:right="6265"/>
      </w:pPr>
      <w:r>
        <w:rPr/>
        <w:t>Very High Risk, believing they cannot make decisions about dimension of training, 47 % of people are located in these</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19"/>
        </w:rPr>
      </w:pPr>
    </w:p>
    <w:p>
      <w:pPr>
        <w:pStyle w:val="Heading4"/>
        <w:numPr>
          <w:ilvl w:val="1"/>
          <w:numId w:val="150"/>
        </w:numPr>
        <w:tabs>
          <w:tab w:pos="6195" w:val="left" w:leader="none"/>
        </w:tabs>
        <w:spacing w:line="240" w:lineRule="auto" w:before="1" w:after="0"/>
        <w:ind w:left="6194" w:right="0" w:hanging="299"/>
        <w:jc w:val="both"/>
      </w:pPr>
      <w:r>
        <w:rPr/>
        <w:t>Non-Related to work psychosocial risk</w:t>
      </w:r>
      <w:r>
        <w:rPr>
          <w:spacing w:val="-15"/>
        </w:rPr>
        <w:t> </w:t>
      </w:r>
      <w:r>
        <w:rPr/>
        <w:t>factors</w:t>
      </w:r>
    </w:p>
    <w:p>
      <w:pPr>
        <w:pStyle w:val="BodyText"/>
        <w:spacing w:before="8"/>
        <w:rPr>
          <w:b/>
          <w:sz w:val="19"/>
        </w:rPr>
      </w:pPr>
    </w:p>
    <w:p>
      <w:pPr>
        <w:pStyle w:val="BodyText"/>
        <w:ind w:left="5895" w:right="675"/>
        <w:jc w:val="both"/>
      </w:pPr>
      <w:r>
        <w:rPr/>
        <w:t>As shown in Table 2, 47% of the respondents rate the total non-related to work psychosocial risk factors in high or very high  risk  level.  The  percentage  of  respondents      whose</w:t>
      </w:r>
    </w:p>
    <w:p>
      <w:pPr>
        <w:spacing w:after="0"/>
        <w:jc w:val="both"/>
        <w:sectPr>
          <w:pgSz w:w="12240" w:h="15840"/>
          <w:pgMar w:header="545" w:footer="852" w:top="1060" w:bottom="1040" w:left="580" w:right="220"/>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4"/>
        <w:ind w:left="270"/>
        <w:jc w:val="both"/>
      </w:pPr>
      <w:r>
        <w:rPr/>
        <w:t>responses in each of the dimensions correspond to high or very high risk levels are 81% in transport housing - work - housing, 61% in Housing characteristics and its environment and 43 % in economic situation of the family Group.</w:t>
      </w:r>
    </w:p>
    <w:p>
      <w:pPr>
        <w:pStyle w:val="BodyText"/>
        <w:spacing w:before="11"/>
        <w:rPr>
          <w:sz w:val="19"/>
        </w:rPr>
      </w:pPr>
    </w:p>
    <w:p>
      <w:pPr>
        <w:pStyle w:val="BodyText"/>
        <w:ind w:left="2339" w:hanging="1817"/>
      </w:pPr>
      <w:r>
        <w:rPr/>
        <w:t>Table 2: Non-related to work psychosocial risk factors (Authors)</w:t>
      </w:r>
    </w:p>
    <w:p>
      <w:pPr>
        <w:pStyle w:val="BodyText"/>
        <w:spacing w:before="2"/>
      </w:pPr>
    </w:p>
    <w:tbl>
      <w:tblPr>
        <w:tblW w:w="0" w:type="auto"/>
        <w:jc w:val="left"/>
        <w:tblInd w:w="276" w:type="dxa"/>
        <w:tblBorders>
          <w:top w:val="single" w:sz="11" w:space="0" w:color="000000"/>
          <w:left w:val="single" w:sz="11" w:space="0" w:color="000000"/>
          <w:bottom w:val="single" w:sz="11" w:space="0" w:color="000000"/>
          <w:right w:val="single" w:sz="11" w:space="0" w:color="000000"/>
          <w:insideH w:val="single" w:sz="11" w:space="0" w:color="000000"/>
          <w:insideV w:val="single" w:sz="11" w:space="0" w:color="000000"/>
        </w:tblBorders>
        <w:tblLayout w:type="fixed"/>
        <w:tblCellMar>
          <w:top w:w="0" w:type="dxa"/>
          <w:left w:w="0" w:type="dxa"/>
          <w:bottom w:w="0" w:type="dxa"/>
          <w:right w:w="0" w:type="dxa"/>
        </w:tblCellMar>
        <w:tblLook w:val="01E0"/>
      </w:tblPr>
      <w:tblGrid>
        <w:gridCol w:w="312"/>
        <w:gridCol w:w="2083"/>
        <w:gridCol w:w="786"/>
        <w:gridCol w:w="785"/>
        <w:gridCol w:w="785"/>
        <w:gridCol w:w="155"/>
      </w:tblGrid>
      <w:tr>
        <w:trPr>
          <w:trHeight w:val="380" w:hRule="exact"/>
        </w:trPr>
        <w:tc>
          <w:tcPr>
            <w:tcW w:w="2396" w:type="dxa"/>
            <w:gridSpan w:val="2"/>
            <w:tcBorders>
              <w:left w:val="single" w:sz="6" w:space="0" w:color="000000"/>
              <w:bottom w:val="single" w:sz="5" w:space="0" w:color="000000"/>
              <w:right w:val="single" w:sz="5" w:space="0" w:color="000000"/>
            </w:tcBorders>
          </w:tcPr>
          <w:p>
            <w:pPr>
              <w:pStyle w:val="TableParagraph"/>
              <w:spacing w:before="86"/>
              <w:ind w:left="748"/>
              <w:rPr>
                <w:rFonts w:ascii="Arial"/>
                <w:b/>
                <w:sz w:val="14"/>
              </w:rPr>
            </w:pPr>
            <w:r>
              <w:rPr>
                <w:rFonts w:ascii="Arial"/>
                <w:b/>
                <w:sz w:val="14"/>
              </w:rPr>
              <w:t>DIMENSIONS</w:t>
            </w:r>
          </w:p>
        </w:tc>
        <w:tc>
          <w:tcPr>
            <w:tcW w:w="786" w:type="dxa"/>
            <w:tcBorders>
              <w:left w:val="single" w:sz="5" w:space="0" w:color="000000"/>
              <w:bottom w:val="single" w:sz="5" w:space="0" w:color="000000"/>
              <w:right w:val="single" w:sz="5" w:space="0" w:color="000000"/>
            </w:tcBorders>
          </w:tcPr>
          <w:p>
            <w:pPr>
              <w:pStyle w:val="TableParagraph"/>
              <w:spacing w:line="278" w:lineRule="auto"/>
              <w:ind w:left="272" w:right="116" w:hanging="164"/>
              <w:rPr>
                <w:rFonts w:ascii="Arial"/>
                <w:b/>
                <w:sz w:val="14"/>
              </w:rPr>
            </w:pPr>
            <w:r>
              <w:rPr>
                <w:rFonts w:ascii="Arial"/>
                <w:b/>
                <w:sz w:val="14"/>
              </w:rPr>
              <w:t>Medium risk</w:t>
            </w:r>
          </w:p>
        </w:tc>
        <w:tc>
          <w:tcPr>
            <w:tcW w:w="785" w:type="dxa"/>
            <w:tcBorders>
              <w:left w:val="single" w:sz="5" w:space="0" w:color="000000"/>
              <w:bottom w:val="single" w:sz="5" w:space="0" w:color="000000"/>
              <w:right w:val="single" w:sz="5" w:space="0" w:color="000000"/>
            </w:tcBorders>
          </w:tcPr>
          <w:p>
            <w:pPr>
              <w:pStyle w:val="TableParagraph"/>
              <w:spacing w:before="86"/>
              <w:ind w:left="44" w:right="41"/>
              <w:jc w:val="center"/>
              <w:rPr>
                <w:rFonts w:ascii="Arial"/>
                <w:b/>
                <w:sz w:val="14"/>
              </w:rPr>
            </w:pPr>
            <w:r>
              <w:rPr>
                <w:rFonts w:ascii="Arial"/>
                <w:b/>
                <w:sz w:val="14"/>
              </w:rPr>
              <w:t>High Risk</w:t>
            </w:r>
          </w:p>
        </w:tc>
        <w:tc>
          <w:tcPr>
            <w:tcW w:w="785" w:type="dxa"/>
            <w:tcBorders>
              <w:left w:val="single" w:sz="5" w:space="0" w:color="000000"/>
              <w:bottom w:val="single" w:sz="5" w:space="0" w:color="000000"/>
              <w:right w:val="single" w:sz="5" w:space="0" w:color="000000"/>
            </w:tcBorders>
          </w:tcPr>
          <w:p>
            <w:pPr>
              <w:pStyle w:val="TableParagraph"/>
              <w:spacing w:line="278" w:lineRule="auto"/>
              <w:ind w:left="240" w:right="55" w:hanging="197"/>
              <w:rPr>
                <w:rFonts w:ascii="Arial"/>
                <w:b/>
                <w:sz w:val="14"/>
              </w:rPr>
            </w:pPr>
            <w:r>
              <w:rPr>
                <w:rFonts w:ascii="Arial"/>
                <w:b/>
                <w:sz w:val="14"/>
              </w:rPr>
              <w:t>Very High Risk</w:t>
            </w:r>
          </w:p>
        </w:tc>
        <w:tc>
          <w:tcPr>
            <w:tcW w:w="155" w:type="dxa"/>
            <w:tcBorders>
              <w:top w:val="single" w:sz="6" w:space="0" w:color="000000"/>
              <w:left w:val="single" w:sz="5" w:space="0" w:color="000000"/>
              <w:bottom w:val="nil"/>
              <w:right w:val="single" w:sz="6" w:space="0" w:color="000000"/>
            </w:tcBorders>
          </w:tcPr>
          <w:p>
            <w:pPr/>
          </w:p>
        </w:tc>
      </w:tr>
      <w:tr>
        <w:trPr>
          <w:trHeight w:val="372" w:hRule="exact"/>
        </w:trPr>
        <w:tc>
          <w:tcPr>
            <w:tcW w:w="312" w:type="dxa"/>
            <w:vMerge w:val="restart"/>
            <w:tcBorders>
              <w:top w:val="single" w:sz="5" w:space="0" w:color="000000"/>
              <w:left w:val="single" w:sz="6" w:space="0" w:color="000000"/>
              <w:right w:val="single" w:sz="5" w:space="0" w:color="000000"/>
            </w:tcBorders>
          </w:tcPr>
          <w:p>
            <w:pPr/>
          </w:p>
        </w:tc>
        <w:tc>
          <w:tcPr>
            <w:tcW w:w="2083" w:type="dxa"/>
            <w:tcBorders>
              <w:top w:val="single" w:sz="5" w:space="0" w:color="000000"/>
              <w:left w:val="single" w:sz="5" w:space="0" w:color="000000"/>
              <w:bottom w:val="single" w:sz="5" w:space="0" w:color="000000"/>
              <w:right w:val="single" w:sz="5" w:space="0" w:color="000000"/>
            </w:tcBorders>
          </w:tcPr>
          <w:p>
            <w:pPr>
              <w:pStyle w:val="TableParagraph"/>
              <w:spacing w:before="86"/>
              <w:ind w:left="218" w:right="198"/>
              <w:rPr>
                <w:rFonts w:ascii="Arial"/>
                <w:sz w:val="14"/>
              </w:rPr>
            </w:pPr>
            <w:r>
              <w:rPr>
                <w:rFonts w:ascii="Arial"/>
                <w:sz w:val="14"/>
              </w:rPr>
              <w:t>Time Out of work</w:t>
            </w:r>
          </w:p>
        </w:tc>
        <w:tc>
          <w:tcPr>
            <w:tcW w:w="786" w:type="dxa"/>
            <w:tcBorders>
              <w:top w:val="single" w:sz="5" w:space="0" w:color="000000"/>
              <w:left w:val="single" w:sz="5" w:space="0" w:color="000000"/>
              <w:bottom w:val="single" w:sz="5" w:space="0" w:color="000000"/>
              <w:right w:val="single" w:sz="5" w:space="0" w:color="000000"/>
            </w:tcBorders>
          </w:tcPr>
          <w:p>
            <w:pPr>
              <w:pStyle w:val="TableParagraph"/>
              <w:spacing w:before="86"/>
              <w:ind w:left="241" w:right="116"/>
              <w:rPr>
                <w:rFonts w:ascii="Arial"/>
                <w:sz w:val="14"/>
              </w:rPr>
            </w:pPr>
            <w:r>
              <w:rPr>
                <w:rFonts w:ascii="Arial"/>
                <w:sz w:val="14"/>
              </w:rPr>
              <w:t>13%</w:t>
            </w:r>
          </w:p>
        </w:tc>
        <w:tc>
          <w:tcPr>
            <w:tcW w:w="785" w:type="dxa"/>
            <w:tcBorders>
              <w:top w:val="single" w:sz="5" w:space="0" w:color="000000"/>
              <w:left w:val="single" w:sz="5" w:space="0" w:color="000000"/>
              <w:bottom w:val="single" w:sz="5" w:space="0" w:color="000000"/>
              <w:right w:val="single" w:sz="5" w:space="0" w:color="000000"/>
            </w:tcBorders>
          </w:tcPr>
          <w:p>
            <w:pPr>
              <w:pStyle w:val="TableParagraph"/>
              <w:spacing w:before="86"/>
              <w:ind w:left="30" w:right="41"/>
              <w:jc w:val="center"/>
              <w:rPr>
                <w:rFonts w:ascii="Arial"/>
                <w:sz w:val="14"/>
              </w:rPr>
            </w:pPr>
            <w:r>
              <w:rPr>
                <w:rFonts w:ascii="Arial"/>
                <w:sz w:val="14"/>
              </w:rPr>
              <w:t>13%</w:t>
            </w:r>
          </w:p>
        </w:tc>
        <w:tc>
          <w:tcPr>
            <w:tcW w:w="785" w:type="dxa"/>
            <w:tcBorders>
              <w:top w:val="single" w:sz="5" w:space="0" w:color="000000"/>
              <w:left w:val="single" w:sz="5" w:space="0" w:color="000000"/>
              <w:bottom w:val="single" w:sz="5" w:space="0" w:color="000000"/>
              <w:right w:val="single" w:sz="5" w:space="0" w:color="000000"/>
            </w:tcBorders>
          </w:tcPr>
          <w:p>
            <w:pPr>
              <w:pStyle w:val="TableParagraph"/>
              <w:spacing w:before="86"/>
              <w:ind w:left="32" w:right="41"/>
              <w:jc w:val="center"/>
              <w:rPr>
                <w:rFonts w:ascii="Arial"/>
                <w:sz w:val="14"/>
              </w:rPr>
            </w:pPr>
            <w:r>
              <w:rPr>
                <w:rFonts w:ascii="Arial"/>
                <w:sz w:val="14"/>
              </w:rPr>
              <w:t>15%</w:t>
            </w:r>
          </w:p>
        </w:tc>
        <w:tc>
          <w:tcPr>
            <w:tcW w:w="155" w:type="dxa"/>
            <w:tcBorders>
              <w:top w:val="nil"/>
              <w:left w:val="single" w:sz="5" w:space="0" w:color="000000"/>
              <w:bottom w:val="nil"/>
              <w:right w:val="single" w:sz="6" w:space="0" w:color="000000"/>
            </w:tcBorders>
          </w:tcPr>
          <w:p>
            <w:pPr/>
          </w:p>
        </w:tc>
      </w:tr>
      <w:tr>
        <w:trPr>
          <w:trHeight w:val="372" w:hRule="exact"/>
        </w:trPr>
        <w:tc>
          <w:tcPr>
            <w:tcW w:w="312" w:type="dxa"/>
            <w:vMerge/>
            <w:tcBorders>
              <w:left w:val="single" w:sz="6" w:space="0" w:color="000000"/>
              <w:right w:val="single" w:sz="5" w:space="0" w:color="000000"/>
            </w:tcBorders>
          </w:tcPr>
          <w:p>
            <w:pPr/>
          </w:p>
        </w:tc>
        <w:tc>
          <w:tcPr>
            <w:tcW w:w="2083" w:type="dxa"/>
            <w:tcBorders>
              <w:top w:val="single" w:sz="5" w:space="0" w:color="000000"/>
              <w:left w:val="single" w:sz="5" w:space="0" w:color="000000"/>
              <w:bottom w:val="single" w:sz="5" w:space="0" w:color="000000"/>
              <w:right w:val="single" w:sz="5" w:space="0" w:color="000000"/>
            </w:tcBorders>
          </w:tcPr>
          <w:p>
            <w:pPr>
              <w:pStyle w:val="TableParagraph"/>
              <w:spacing w:before="86"/>
              <w:ind w:left="218" w:right="198"/>
              <w:rPr>
                <w:rFonts w:ascii="Arial"/>
                <w:sz w:val="14"/>
              </w:rPr>
            </w:pPr>
            <w:r>
              <w:rPr>
                <w:rFonts w:ascii="Arial"/>
                <w:sz w:val="14"/>
              </w:rPr>
              <w:t>Family relationships</w:t>
            </w:r>
          </w:p>
        </w:tc>
        <w:tc>
          <w:tcPr>
            <w:tcW w:w="786" w:type="dxa"/>
            <w:tcBorders>
              <w:top w:val="single" w:sz="5" w:space="0" w:color="000000"/>
              <w:left w:val="single" w:sz="5" w:space="0" w:color="000000"/>
              <w:bottom w:val="single" w:sz="5" w:space="0" w:color="000000"/>
              <w:right w:val="single" w:sz="5" w:space="0" w:color="000000"/>
            </w:tcBorders>
          </w:tcPr>
          <w:p>
            <w:pPr>
              <w:pStyle w:val="TableParagraph"/>
              <w:spacing w:before="86"/>
              <w:ind w:left="283" w:right="116"/>
              <w:rPr>
                <w:rFonts w:ascii="Arial"/>
                <w:sz w:val="14"/>
              </w:rPr>
            </w:pPr>
            <w:r>
              <w:rPr>
                <w:rFonts w:ascii="Arial"/>
                <w:sz w:val="14"/>
              </w:rPr>
              <w:t>4%</w:t>
            </w:r>
          </w:p>
        </w:tc>
        <w:tc>
          <w:tcPr>
            <w:tcW w:w="785" w:type="dxa"/>
            <w:tcBorders>
              <w:top w:val="single" w:sz="5" w:space="0" w:color="000000"/>
              <w:left w:val="single" w:sz="5" w:space="0" w:color="000000"/>
              <w:bottom w:val="single" w:sz="5" w:space="0" w:color="000000"/>
              <w:right w:val="single" w:sz="5" w:space="0" w:color="000000"/>
            </w:tcBorders>
          </w:tcPr>
          <w:p>
            <w:pPr>
              <w:pStyle w:val="TableParagraph"/>
              <w:spacing w:before="86"/>
              <w:ind w:left="41" w:right="41"/>
              <w:jc w:val="center"/>
              <w:rPr>
                <w:rFonts w:ascii="Arial"/>
                <w:sz w:val="14"/>
              </w:rPr>
            </w:pPr>
            <w:r>
              <w:rPr>
                <w:rFonts w:ascii="Arial"/>
                <w:sz w:val="14"/>
              </w:rPr>
              <w:t>0%</w:t>
            </w:r>
          </w:p>
        </w:tc>
        <w:tc>
          <w:tcPr>
            <w:tcW w:w="785" w:type="dxa"/>
            <w:tcBorders>
              <w:top w:val="single" w:sz="5" w:space="0" w:color="000000"/>
              <w:left w:val="single" w:sz="5" w:space="0" w:color="000000"/>
              <w:bottom w:val="single" w:sz="5" w:space="0" w:color="000000"/>
              <w:right w:val="single" w:sz="5" w:space="0" w:color="000000"/>
            </w:tcBorders>
          </w:tcPr>
          <w:p>
            <w:pPr>
              <w:pStyle w:val="TableParagraph"/>
              <w:spacing w:before="86"/>
              <w:ind w:left="41" w:right="41"/>
              <w:jc w:val="center"/>
              <w:rPr>
                <w:rFonts w:ascii="Arial"/>
                <w:sz w:val="14"/>
              </w:rPr>
            </w:pPr>
            <w:r>
              <w:rPr>
                <w:rFonts w:ascii="Arial"/>
                <w:sz w:val="14"/>
              </w:rPr>
              <w:t>0%</w:t>
            </w:r>
          </w:p>
        </w:tc>
        <w:tc>
          <w:tcPr>
            <w:tcW w:w="155" w:type="dxa"/>
            <w:tcBorders>
              <w:top w:val="nil"/>
              <w:left w:val="single" w:sz="5" w:space="0" w:color="000000"/>
              <w:bottom w:val="nil"/>
              <w:right w:val="single" w:sz="6" w:space="0" w:color="000000"/>
            </w:tcBorders>
          </w:tcPr>
          <w:p>
            <w:pPr/>
          </w:p>
        </w:tc>
      </w:tr>
      <w:tr>
        <w:trPr>
          <w:trHeight w:val="373" w:hRule="exact"/>
        </w:trPr>
        <w:tc>
          <w:tcPr>
            <w:tcW w:w="312" w:type="dxa"/>
            <w:vMerge/>
            <w:tcBorders>
              <w:left w:val="single" w:sz="6" w:space="0" w:color="000000"/>
              <w:right w:val="single" w:sz="5" w:space="0" w:color="000000"/>
            </w:tcBorders>
          </w:tcPr>
          <w:p>
            <w:pPr/>
          </w:p>
        </w:tc>
        <w:tc>
          <w:tcPr>
            <w:tcW w:w="2083" w:type="dxa"/>
            <w:tcBorders>
              <w:top w:val="single" w:sz="5" w:space="0" w:color="000000"/>
              <w:left w:val="single" w:sz="5" w:space="0" w:color="000000"/>
              <w:bottom w:val="single" w:sz="4" w:space="0" w:color="000000"/>
              <w:right w:val="single" w:sz="5" w:space="0" w:color="000000"/>
            </w:tcBorders>
          </w:tcPr>
          <w:p>
            <w:pPr>
              <w:pStyle w:val="TableParagraph"/>
              <w:spacing w:line="276" w:lineRule="auto"/>
              <w:ind w:left="218" w:right="198"/>
              <w:rPr>
                <w:rFonts w:ascii="Arial"/>
                <w:sz w:val="14"/>
              </w:rPr>
            </w:pPr>
            <w:r>
              <w:rPr>
                <w:rFonts w:ascii="Arial"/>
                <w:sz w:val="14"/>
              </w:rPr>
              <w:t>Communication and interpersonal relationships</w:t>
            </w:r>
          </w:p>
        </w:tc>
        <w:tc>
          <w:tcPr>
            <w:tcW w:w="786" w:type="dxa"/>
            <w:tcBorders>
              <w:top w:val="single" w:sz="5" w:space="0" w:color="000000"/>
              <w:left w:val="single" w:sz="5" w:space="0" w:color="000000"/>
              <w:bottom w:val="single" w:sz="4" w:space="0" w:color="000000"/>
              <w:right w:val="single" w:sz="5" w:space="0" w:color="000000"/>
            </w:tcBorders>
          </w:tcPr>
          <w:p>
            <w:pPr>
              <w:pStyle w:val="TableParagraph"/>
              <w:spacing w:before="86"/>
              <w:ind w:left="240" w:right="116"/>
              <w:rPr>
                <w:rFonts w:ascii="Arial"/>
                <w:sz w:val="14"/>
              </w:rPr>
            </w:pPr>
            <w:r>
              <w:rPr>
                <w:rFonts w:ascii="Arial"/>
                <w:sz w:val="14"/>
              </w:rPr>
              <w:t>30%</w:t>
            </w:r>
          </w:p>
        </w:tc>
        <w:tc>
          <w:tcPr>
            <w:tcW w:w="785" w:type="dxa"/>
            <w:tcBorders>
              <w:top w:val="single" w:sz="5" w:space="0" w:color="000000"/>
              <w:left w:val="single" w:sz="5" w:space="0" w:color="000000"/>
              <w:bottom w:val="single" w:sz="4" w:space="0" w:color="000000"/>
              <w:right w:val="single" w:sz="5" w:space="0" w:color="000000"/>
            </w:tcBorders>
          </w:tcPr>
          <w:p>
            <w:pPr>
              <w:pStyle w:val="TableParagraph"/>
              <w:spacing w:before="86"/>
              <w:ind w:left="40" w:right="41"/>
              <w:jc w:val="center"/>
              <w:rPr>
                <w:rFonts w:ascii="Arial"/>
                <w:sz w:val="14"/>
              </w:rPr>
            </w:pPr>
            <w:r>
              <w:rPr>
                <w:rFonts w:ascii="Arial"/>
                <w:sz w:val="14"/>
              </w:rPr>
              <w:t>9%</w:t>
            </w:r>
          </w:p>
        </w:tc>
        <w:tc>
          <w:tcPr>
            <w:tcW w:w="785" w:type="dxa"/>
            <w:tcBorders>
              <w:top w:val="single" w:sz="5" w:space="0" w:color="000000"/>
              <w:left w:val="single" w:sz="5" w:space="0" w:color="000000"/>
              <w:bottom w:val="single" w:sz="4" w:space="0" w:color="000000"/>
              <w:right w:val="single" w:sz="5" w:space="0" w:color="000000"/>
            </w:tcBorders>
          </w:tcPr>
          <w:p>
            <w:pPr>
              <w:pStyle w:val="TableParagraph"/>
              <w:spacing w:before="86"/>
              <w:ind w:left="40" w:right="41"/>
              <w:jc w:val="center"/>
              <w:rPr>
                <w:rFonts w:ascii="Arial"/>
                <w:sz w:val="14"/>
              </w:rPr>
            </w:pPr>
            <w:r>
              <w:rPr>
                <w:rFonts w:ascii="Arial"/>
                <w:sz w:val="14"/>
              </w:rPr>
              <w:t>4%</w:t>
            </w:r>
          </w:p>
        </w:tc>
        <w:tc>
          <w:tcPr>
            <w:tcW w:w="155" w:type="dxa"/>
            <w:tcBorders>
              <w:top w:val="nil"/>
              <w:left w:val="single" w:sz="5" w:space="0" w:color="000000"/>
              <w:bottom w:val="nil"/>
              <w:right w:val="single" w:sz="6" w:space="0" w:color="000000"/>
            </w:tcBorders>
          </w:tcPr>
          <w:p>
            <w:pPr/>
          </w:p>
        </w:tc>
      </w:tr>
      <w:tr>
        <w:trPr>
          <w:trHeight w:val="372" w:hRule="exact"/>
        </w:trPr>
        <w:tc>
          <w:tcPr>
            <w:tcW w:w="312" w:type="dxa"/>
            <w:vMerge/>
            <w:tcBorders>
              <w:left w:val="single" w:sz="6" w:space="0" w:color="000000"/>
              <w:right w:val="single" w:sz="5" w:space="0" w:color="000000"/>
            </w:tcBorders>
          </w:tcPr>
          <w:p>
            <w:pPr/>
          </w:p>
        </w:tc>
        <w:tc>
          <w:tcPr>
            <w:tcW w:w="2083" w:type="dxa"/>
            <w:tcBorders>
              <w:top w:val="single" w:sz="4" w:space="0" w:color="000000"/>
              <w:left w:val="single" w:sz="5" w:space="0" w:color="000000"/>
              <w:bottom w:val="single" w:sz="4" w:space="0" w:color="000000"/>
              <w:right w:val="single" w:sz="5" w:space="0" w:color="000000"/>
            </w:tcBorders>
          </w:tcPr>
          <w:p>
            <w:pPr>
              <w:pStyle w:val="TableParagraph"/>
              <w:spacing w:line="278" w:lineRule="auto"/>
              <w:ind w:left="218" w:right="268"/>
              <w:rPr>
                <w:rFonts w:ascii="Arial"/>
                <w:sz w:val="14"/>
              </w:rPr>
            </w:pPr>
            <w:r>
              <w:rPr>
                <w:rFonts w:ascii="Arial"/>
                <w:sz w:val="14"/>
              </w:rPr>
              <w:t>Economic situation of the household</w:t>
            </w:r>
          </w:p>
        </w:tc>
        <w:tc>
          <w:tcPr>
            <w:tcW w:w="786" w:type="dxa"/>
            <w:tcBorders>
              <w:top w:val="single" w:sz="4" w:space="0" w:color="000000"/>
              <w:left w:val="single" w:sz="5" w:space="0" w:color="000000"/>
              <w:bottom w:val="single" w:sz="4" w:space="0" w:color="000000"/>
              <w:right w:val="single" w:sz="5" w:space="0" w:color="000000"/>
            </w:tcBorders>
          </w:tcPr>
          <w:p>
            <w:pPr>
              <w:pStyle w:val="TableParagraph"/>
              <w:spacing w:before="86"/>
              <w:ind w:left="240" w:right="116"/>
              <w:rPr>
                <w:rFonts w:ascii="Arial"/>
                <w:sz w:val="14"/>
              </w:rPr>
            </w:pPr>
            <w:r>
              <w:rPr>
                <w:rFonts w:ascii="Arial"/>
                <w:sz w:val="14"/>
              </w:rPr>
              <w:t>23%</w:t>
            </w:r>
          </w:p>
        </w:tc>
        <w:tc>
          <w:tcPr>
            <w:tcW w:w="785" w:type="dxa"/>
            <w:tcBorders>
              <w:top w:val="single" w:sz="4" w:space="0" w:color="000000"/>
              <w:left w:val="single" w:sz="5" w:space="0" w:color="000000"/>
              <w:bottom w:val="single" w:sz="4" w:space="0" w:color="000000"/>
              <w:right w:val="single" w:sz="5" w:space="0" w:color="000000"/>
            </w:tcBorders>
          </w:tcPr>
          <w:p>
            <w:pPr>
              <w:pStyle w:val="TableParagraph"/>
              <w:spacing w:before="86"/>
              <w:ind w:left="30" w:right="41"/>
              <w:jc w:val="center"/>
              <w:rPr>
                <w:rFonts w:ascii="Arial"/>
                <w:sz w:val="14"/>
              </w:rPr>
            </w:pPr>
            <w:r>
              <w:rPr>
                <w:rFonts w:ascii="Arial"/>
                <w:sz w:val="14"/>
              </w:rPr>
              <w:t>17%</w:t>
            </w:r>
          </w:p>
        </w:tc>
        <w:tc>
          <w:tcPr>
            <w:tcW w:w="785" w:type="dxa"/>
            <w:tcBorders>
              <w:top w:val="single" w:sz="4" w:space="0" w:color="000000"/>
              <w:left w:val="single" w:sz="5" w:space="0" w:color="000000"/>
              <w:bottom w:val="single" w:sz="4" w:space="0" w:color="000000"/>
              <w:right w:val="single" w:sz="5" w:space="0" w:color="000000"/>
            </w:tcBorders>
          </w:tcPr>
          <w:p>
            <w:pPr>
              <w:pStyle w:val="TableParagraph"/>
              <w:spacing w:before="86"/>
              <w:ind w:left="32" w:right="41"/>
              <w:jc w:val="center"/>
              <w:rPr>
                <w:rFonts w:ascii="Arial"/>
                <w:sz w:val="14"/>
              </w:rPr>
            </w:pPr>
            <w:r>
              <w:rPr>
                <w:rFonts w:ascii="Arial"/>
                <w:sz w:val="14"/>
              </w:rPr>
              <w:t>26%</w:t>
            </w:r>
          </w:p>
        </w:tc>
        <w:tc>
          <w:tcPr>
            <w:tcW w:w="155" w:type="dxa"/>
            <w:tcBorders>
              <w:top w:val="nil"/>
              <w:left w:val="single" w:sz="5" w:space="0" w:color="000000"/>
              <w:bottom w:val="nil"/>
              <w:right w:val="single" w:sz="6" w:space="0" w:color="000000"/>
            </w:tcBorders>
          </w:tcPr>
          <w:p>
            <w:pPr/>
          </w:p>
        </w:tc>
      </w:tr>
      <w:tr>
        <w:trPr>
          <w:trHeight w:val="372" w:hRule="exact"/>
        </w:trPr>
        <w:tc>
          <w:tcPr>
            <w:tcW w:w="312" w:type="dxa"/>
            <w:vMerge/>
            <w:tcBorders>
              <w:left w:val="single" w:sz="6" w:space="0" w:color="000000"/>
              <w:right w:val="single" w:sz="5" w:space="0" w:color="000000"/>
            </w:tcBorders>
          </w:tcPr>
          <w:p>
            <w:pPr/>
          </w:p>
        </w:tc>
        <w:tc>
          <w:tcPr>
            <w:tcW w:w="2083" w:type="dxa"/>
            <w:tcBorders>
              <w:top w:val="single" w:sz="4" w:space="0" w:color="000000"/>
              <w:left w:val="single" w:sz="5" w:space="0" w:color="000000"/>
              <w:bottom w:val="single" w:sz="4" w:space="0" w:color="000000"/>
              <w:right w:val="single" w:sz="5" w:space="0" w:color="000000"/>
            </w:tcBorders>
          </w:tcPr>
          <w:p>
            <w:pPr>
              <w:pStyle w:val="TableParagraph"/>
              <w:spacing w:line="278" w:lineRule="auto"/>
              <w:ind w:left="218" w:right="525"/>
              <w:rPr>
                <w:rFonts w:ascii="Arial"/>
                <w:sz w:val="14"/>
              </w:rPr>
            </w:pPr>
            <w:r>
              <w:rPr>
                <w:rFonts w:ascii="Arial"/>
                <w:sz w:val="14"/>
              </w:rPr>
              <w:t>Home characteristics and its surroundings</w:t>
            </w:r>
          </w:p>
        </w:tc>
        <w:tc>
          <w:tcPr>
            <w:tcW w:w="786" w:type="dxa"/>
            <w:tcBorders>
              <w:top w:val="single" w:sz="4" w:space="0" w:color="000000"/>
              <w:left w:val="single" w:sz="5" w:space="0" w:color="000000"/>
              <w:bottom w:val="single" w:sz="4" w:space="0" w:color="000000"/>
              <w:right w:val="single" w:sz="5" w:space="0" w:color="000000"/>
            </w:tcBorders>
          </w:tcPr>
          <w:p>
            <w:pPr>
              <w:pStyle w:val="TableParagraph"/>
              <w:spacing w:before="86"/>
              <w:ind w:left="240" w:right="116"/>
              <w:rPr>
                <w:rFonts w:ascii="Arial"/>
                <w:sz w:val="14"/>
              </w:rPr>
            </w:pPr>
            <w:r>
              <w:rPr>
                <w:rFonts w:ascii="Arial"/>
                <w:sz w:val="14"/>
              </w:rPr>
              <w:t>11%</w:t>
            </w:r>
          </w:p>
        </w:tc>
        <w:tc>
          <w:tcPr>
            <w:tcW w:w="785" w:type="dxa"/>
            <w:tcBorders>
              <w:top w:val="single" w:sz="4" w:space="0" w:color="000000"/>
              <w:left w:val="single" w:sz="5" w:space="0" w:color="000000"/>
              <w:bottom w:val="single" w:sz="4" w:space="0" w:color="000000"/>
              <w:right w:val="single" w:sz="5" w:space="0" w:color="000000"/>
            </w:tcBorders>
          </w:tcPr>
          <w:p>
            <w:pPr>
              <w:pStyle w:val="TableParagraph"/>
              <w:spacing w:before="86"/>
              <w:ind w:left="30" w:right="41"/>
              <w:jc w:val="center"/>
              <w:rPr>
                <w:rFonts w:ascii="Arial"/>
                <w:sz w:val="14"/>
              </w:rPr>
            </w:pPr>
            <w:r>
              <w:rPr>
                <w:rFonts w:ascii="Arial"/>
                <w:sz w:val="14"/>
              </w:rPr>
              <w:t>40%</w:t>
            </w:r>
          </w:p>
        </w:tc>
        <w:tc>
          <w:tcPr>
            <w:tcW w:w="785" w:type="dxa"/>
            <w:tcBorders>
              <w:top w:val="single" w:sz="4" w:space="0" w:color="000000"/>
              <w:left w:val="single" w:sz="5" w:space="0" w:color="000000"/>
              <w:bottom w:val="single" w:sz="4" w:space="0" w:color="000000"/>
              <w:right w:val="single" w:sz="5" w:space="0" w:color="000000"/>
            </w:tcBorders>
          </w:tcPr>
          <w:p>
            <w:pPr>
              <w:pStyle w:val="TableParagraph"/>
              <w:spacing w:before="86"/>
              <w:ind w:left="32" w:right="41"/>
              <w:jc w:val="center"/>
              <w:rPr>
                <w:rFonts w:ascii="Arial"/>
                <w:sz w:val="14"/>
              </w:rPr>
            </w:pPr>
            <w:r>
              <w:rPr>
                <w:rFonts w:ascii="Arial"/>
                <w:sz w:val="14"/>
              </w:rPr>
              <w:t>21%</w:t>
            </w:r>
          </w:p>
        </w:tc>
        <w:tc>
          <w:tcPr>
            <w:tcW w:w="155" w:type="dxa"/>
            <w:tcBorders>
              <w:top w:val="nil"/>
              <w:left w:val="single" w:sz="5" w:space="0" w:color="000000"/>
              <w:bottom w:val="nil"/>
              <w:right w:val="single" w:sz="6" w:space="0" w:color="000000"/>
            </w:tcBorders>
          </w:tcPr>
          <w:p>
            <w:pPr/>
          </w:p>
        </w:tc>
      </w:tr>
      <w:tr>
        <w:trPr>
          <w:trHeight w:val="372" w:hRule="exact"/>
        </w:trPr>
        <w:tc>
          <w:tcPr>
            <w:tcW w:w="312" w:type="dxa"/>
            <w:vMerge/>
            <w:tcBorders>
              <w:left w:val="single" w:sz="6" w:space="0" w:color="000000"/>
              <w:right w:val="single" w:sz="5" w:space="0" w:color="000000"/>
            </w:tcBorders>
          </w:tcPr>
          <w:p>
            <w:pPr/>
          </w:p>
        </w:tc>
        <w:tc>
          <w:tcPr>
            <w:tcW w:w="2083" w:type="dxa"/>
            <w:tcBorders>
              <w:top w:val="single" w:sz="4" w:space="0" w:color="000000"/>
              <w:left w:val="single" w:sz="5" w:space="0" w:color="000000"/>
              <w:bottom w:val="single" w:sz="4" w:space="0" w:color="000000"/>
              <w:right w:val="single" w:sz="5" w:space="0" w:color="000000"/>
            </w:tcBorders>
          </w:tcPr>
          <w:p>
            <w:pPr>
              <w:pStyle w:val="TableParagraph"/>
              <w:spacing w:line="278" w:lineRule="auto"/>
              <w:ind w:left="218" w:right="104"/>
              <w:rPr>
                <w:rFonts w:ascii="Arial"/>
                <w:sz w:val="14"/>
              </w:rPr>
            </w:pPr>
            <w:r>
              <w:rPr>
                <w:rFonts w:ascii="Arial"/>
                <w:sz w:val="14"/>
              </w:rPr>
              <w:t>Influence of environment on work</w:t>
            </w:r>
          </w:p>
        </w:tc>
        <w:tc>
          <w:tcPr>
            <w:tcW w:w="786" w:type="dxa"/>
            <w:tcBorders>
              <w:top w:val="single" w:sz="4" w:space="0" w:color="000000"/>
              <w:left w:val="single" w:sz="5" w:space="0" w:color="000000"/>
              <w:bottom w:val="single" w:sz="4" w:space="0" w:color="000000"/>
              <w:right w:val="single" w:sz="5" w:space="0" w:color="000000"/>
            </w:tcBorders>
          </w:tcPr>
          <w:p>
            <w:pPr>
              <w:pStyle w:val="TableParagraph"/>
              <w:spacing w:before="86"/>
              <w:ind w:left="240" w:right="116"/>
              <w:rPr>
                <w:rFonts w:ascii="Arial"/>
                <w:sz w:val="14"/>
              </w:rPr>
            </w:pPr>
            <w:r>
              <w:rPr>
                <w:rFonts w:ascii="Arial"/>
                <w:sz w:val="14"/>
              </w:rPr>
              <w:t>13%</w:t>
            </w:r>
          </w:p>
        </w:tc>
        <w:tc>
          <w:tcPr>
            <w:tcW w:w="785" w:type="dxa"/>
            <w:tcBorders>
              <w:top w:val="single" w:sz="4" w:space="0" w:color="000000"/>
              <w:left w:val="single" w:sz="5" w:space="0" w:color="000000"/>
              <w:bottom w:val="single" w:sz="4" w:space="0" w:color="000000"/>
              <w:right w:val="single" w:sz="5" w:space="0" w:color="000000"/>
            </w:tcBorders>
          </w:tcPr>
          <w:p>
            <w:pPr>
              <w:pStyle w:val="TableParagraph"/>
              <w:spacing w:before="86"/>
              <w:ind w:left="30" w:right="41"/>
              <w:jc w:val="center"/>
              <w:rPr>
                <w:rFonts w:ascii="Arial"/>
                <w:sz w:val="14"/>
              </w:rPr>
            </w:pPr>
            <w:r>
              <w:rPr>
                <w:rFonts w:ascii="Arial"/>
                <w:sz w:val="14"/>
              </w:rPr>
              <w:t>13%</w:t>
            </w:r>
          </w:p>
        </w:tc>
        <w:tc>
          <w:tcPr>
            <w:tcW w:w="785" w:type="dxa"/>
            <w:tcBorders>
              <w:top w:val="single" w:sz="4" w:space="0" w:color="000000"/>
              <w:left w:val="single" w:sz="5" w:space="0" w:color="000000"/>
              <w:bottom w:val="single" w:sz="4" w:space="0" w:color="000000"/>
              <w:right w:val="single" w:sz="5" w:space="0" w:color="000000"/>
            </w:tcBorders>
          </w:tcPr>
          <w:p>
            <w:pPr>
              <w:pStyle w:val="TableParagraph"/>
              <w:spacing w:before="86"/>
              <w:ind w:left="32" w:right="41"/>
              <w:jc w:val="center"/>
              <w:rPr>
                <w:rFonts w:ascii="Arial"/>
                <w:sz w:val="14"/>
              </w:rPr>
            </w:pPr>
            <w:r>
              <w:rPr>
                <w:rFonts w:ascii="Arial"/>
                <w:sz w:val="14"/>
              </w:rPr>
              <w:t>19%</w:t>
            </w:r>
          </w:p>
        </w:tc>
        <w:tc>
          <w:tcPr>
            <w:tcW w:w="155" w:type="dxa"/>
            <w:tcBorders>
              <w:top w:val="nil"/>
              <w:left w:val="single" w:sz="5" w:space="0" w:color="000000"/>
              <w:bottom w:val="nil"/>
              <w:right w:val="single" w:sz="6" w:space="0" w:color="000000"/>
            </w:tcBorders>
          </w:tcPr>
          <w:p>
            <w:pPr/>
          </w:p>
        </w:tc>
      </w:tr>
      <w:tr>
        <w:trPr>
          <w:trHeight w:val="372" w:hRule="exact"/>
        </w:trPr>
        <w:tc>
          <w:tcPr>
            <w:tcW w:w="312" w:type="dxa"/>
            <w:vMerge/>
            <w:tcBorders>
              <w:left w:val="single" w:sz="6" w:space="0" w:color="000000"/>
              <w:bottom w:val="single" w:sz="4" w:space="0" w:color="000000"/>
              <w:right w:val="single" w:sz="5" w:space="0" w:color="000000"/>
            </w:tcBorders>
          </w:tcPr>
          <w:p>
            <w:pPr/>
          </w:p>
        </w:tc>
        <w:tc>
          <w:tcPr>
            <w:tcW w:w="2083" w:type="dxa"/>
            <w:tcBorders>
              <w:top w:val="single" w:sz="4" w:space="0" w:color="000000"/>
              <w:left w:val="single" w:sz="5" w:space="0" w:color="000000"/>
              <w:bottom w:val="single" w:sz="4" w:space="0" w:color="000000"/>
              <w:right w:val="single" w:sz="5" w:space="0" w:color="000000"/>
            </w:tcBorders>
          </w:tcPr>
          <w:p>
            <w:pPr>
              <w:pStyle w:val="TableParagraph"/>
              <w:spacing w:line="278" w:lineRule="auto"/>
              <w:ind w:left="218" w:right="338"/>
              <w:rPr>
                <w:rFonts w:ascii="Arial"/>
                <w:sz w:val="14"/>
              </w:rPr>
            </w:pPr>
            <w:r>
              <w:rPr>
                <w:rFonts w:ascii="Arial"/>
                <w:sz w:val="14"/>
              </w:rPr>
              <w:t>Transport home - work - home</w:t>
            </w:r>
          </w:p>
        </w:tc>
        <w:tc>
          <w:tcPr>
            <w:tcW w:w="786" w:type="dxa"/>
            <w:tcBorders>
              <w:top w:val="single" w:sz="4" w:space="0" w:color="000000"/>
              <w:left w:val="single" w:sz="5" w:space="0" w:color="000000"/>
              <w:bottom w:val="single" w:sz="4" w:space="0" w:color="000000"/>
              <w:right w:val="single" w:sz="5" w:space="0" w:color="000000"/>
            </w:tcBorders>
          </w:tcPr>
          <w:p>
            <w:pPr>
              <w:pStyle w:val="TableParagraph"/>
              <w:spacing w:before="86"/>
              <w:ind w:left="283" w:right="116"/>
              <w:rPr>
                <w:rFonts w:ascii="Arial"/>
                <w:sz w:val="14"/>
              </w:rPr>
            </w:pPr>
            <w:r>
              <w:rPr>
                <w:rFonts w:ascii="Arial"/>
                <w:sz w:val="14"/>
              </w:rPr>
              <w:t>8%</w:t>
            </w:r>
          </w:p>
        </w:tc>
        <w:tc>
          <w:tcPr>
            <w:tcW w:w="785" w:type="dxa"/>
            <w:tcBorders>
              <w:top w:val="single" w:sz="4" w:space="0" w:color="000000"/>
              <w:left w:val="single" w:sz="5" w:space="0" w:color="000000"/>
              <w:bottom w:val="single" w:sz="4" w:space="0" w:color="000000"/>
              <w:right w:val="single" w:sz="5" w:space="0" w:color="000000"/>
            </w:tcBorders>
          </w:tcPr>
          <w:p>
            <w:pPr>
              <w:pStyle w:val="TableParagraph"/>
              <w:spacing w:before="86"/>
              <w:ind w:left="30" w:right="41"/>
              <w:jc w:val="center"/>
              <w:rPr>
                <w:rFonts w:ascii="Arial"/>
                <w:sz w:val="14"/>
              </w:rPr>
            </w:pPr>
            <w:r>
              <w:rPr>
                <w:rFonts w:ascii="Arial"/>
                <w:sz w:val="14"/>
              </w:rPr>
              <w:t>38%</w:t>
            </w:r>
          </w:p>
        </w:tc>
        <w:tc>
          <w:tcPr>
            <w:tcW w:w="785" w:type="dxa"/>
            <w:tcBorders>
              <w:top w:val="single" w:sz="4" w:space="0" w:color="000000"/>
              <w:left w:val="single" w:sz="5" w:space="0" w:color="000000"/>
              <w:bottom w:val="single" w:sz="4" w:space="0" w:color="000000"/>
              <w:right w:val="single" w:sz="5" w:space="0" w:color="000000"/>
            </w:tcBorders>
          </w:tcPr>
          <w:p>
            <w:pPr>
              <w:pStyle w:val="TableParagraph"/>
              <w:spacing w:before="86"/>
              <w:ind w:left="32" w:right="41"/>
              <w:jc w:val="center"/>
              <w:rPr>
                <w:rFonts w:ascii="Arial"/>
                <w:sz w:val="14"/>
              </w:rPr>
            </w:pPr>
            <w:r>
              <w:rPr>
                <w:rFonts w:ascii="Arial"/>
                <w:sz w:val="14"/>
              </w:rPr>
              <w:t>43%</w:t>
            </w:r>
          </w:p>
        </w:tc>
        <w:tc>
          <w:tcPr>
            <w:tcW w:w="155" w:type="dxa"/>
            <w:tcBorders>
              <w:top w:val="nil"/>
              <w:left w:val="single" w:sz="5" w:space="0" w:color="000000"/>
              <w:bottom w:val="nil"/>
              <w:right w:val="single" w:sz="6" w:space="0" w:color="000000"/>
            </w:tcBorders>
          </w:tcPr>
          <w:p>
            <w:pPr/>
          </w:p>
        </w:tc>
      </w:tr>
      <w:tr>
        <w:trPr>
          <w:trHeight w:val="385" w:hRule="exact"/>
        </w:trPr>
        <w:tc>
          <w:tcPr>
            <w:tcW w:w="2396" w:type="dxa"/>
            <w:gridSpan w:val="2"/>
            <w:tcBorders>
              <w:top w:val="single" w:sz="4" w:space="0" w:color="000000"/>
              <w:left w:val="single" w:sz="6" w:space="0" w:color="000000"/>
              <w:bottom w:val="single" w:sz="15" w:space="0" w:color="000000"/>
              <w:right w:val="single" w:sz="5" w:space="0" w:color="000000"/>
            </w:tcBorders>
          </w:tcPr>
          <w:p>
            <w:pPr>
              <w:pStyle w:val="TableParagraph"/>
              <w:spacing w:before="87"/>
              <w:ind w:left="692"/>
              <w:rPr>
                <w:rFonts w:ascii="Arial"/>
                <w:b/>
                <w:sz w:val="14"/>
              </w:rPr>
            </w:pPr>
            <w:r>
              <w:rPr>
                <w:rFonts w:ascii="Arial"/>
                <w:b/>
                <w:sz w:val="14"/>
              </w:rPr>
              <w:t>TOTAL SCORE</w:t>
            </w:r>
          </w:p>
        </w:tc>
        <w:tc>
          <w:tcPr>
            <w:tcW w:w="786" w:type="dxa"/>
            <w:tcBorders>
              <w:top w:val="single" w:sz="4" w:space="0" w:color="000000"/>
              <w:left w:val="single" w:sz="5" w:space="0" w:color="000000"/>
              <w:bottom w:val="thickThinMediumGap" w:sz="7" w:space="0" w:color="000000"/>
              <w:right w:val="single" w:sz="5" w:space="0" w:color="000000"/>
            </w:tcBorders>
          </w:tcPr>
          <w:p>
            <w:pPr>
              <w:pStyle w:val="TableParagraph"/>
              <w:spacing w:before="87"/>
              <w:ind w:left="250" w:right="116"/>
              <w:rPr>
                <w:rFonts w:ascii="Arial"/>
                <w:b/>
                <w:sz w:val="14"/>
              </w:rPr>
            </w:pPr>
            <w:r>
              <w:rPr>
                <w:rFonts w:ascii="Arial"/>
                <w:b/>
                <w:sz w:val="14"/>
              </w:rPr>
              <w:t>19%</w:t>
            </w:r>
          </w:p>
        </w:tc>
        <w:tc>
          <w:tcPr>
            <w:tcW w:w="785" w:type="dxa"/>
            <w:tcBorders>
              <w:top w:val="single" w:sz="4" w:space="0" w:color="000000"/>
              <w:left w:val="single" w:sz="5" w:space="0" w:color="000000"/>
              <w:bottom w:val="thickThinMediumGap" w:sz="7" w:space="0" w:color="000000"/>
              <w:right w:val="single" w:sz="5" w:space="0" w:color="000000"/>
            </w:tcBorders>
          </w:tcPr>
          <w:p>
            <w:pPr>
              <w:pStyle w:val="TableParagraph"/>
              <w:spacing w:before="87"/>
              <w:ind w:left="44" w:right="34"/>
              <w:jc w:val="center"/>
              <w:rPr>
                <w:rFonts w:ascii="Arial"/>
                <w:b/>
                <w:sz w:val="14"/>
              </w:rPr>
            </w:pPr>
            <w:r>
              <w:rPr>
                <w:rFonts w:ascii="Arial"/>
                <w:b/>
                <w:sz w:val="14"/>
              </w:rPr>
              <w:t>28%</w:t>
            </w:r>
          </w:p>
        </w:tc>
        <w:tc>
          <w:tcPr>
            <w:tcW w:w="785" w:type="dxa"/>
            <w:tcBorders>
              <w:top w:val="single" w:sz="4" w:space="0" w:color="000000"/>
              <w:left w:val="single" w:sz="5" w:space="0" w:color="000000"/>
              <w:bottom w:val="thickThinMediumGap" w:sz="7" w:space="0" w:color="000000"/>
              <w:right w:val="single" w:sz="5" w:space="0" w:color="000000"/>
            </w:tcBorders>
          </w:tcPr>
          <w:p>
            <w:pPr>
              <w:pStyle w:val="TableParagraph"/>
              <w:spacing w:before="87"/>
              <w:ind w:left="44" w:right="32"/>
              <w:jc w:val="center"/>
              <w:rPr>
                <w:rFonts w:ascii="Arial"/>
                <w:b/>
                <w:sz w:val="14"/>
              </w:rPr>
            </w:pPr>
            <w:r>
              <w:rPr>
                <w:rFonts w:ascii="Arial"/>
                <w:b/>
                <w:sz w:val="14"/>
              </w:rPr>
              <w:t>19%</w:t>
            </w:r>
          </w:p>
        </w:tc>
        <w:tc>
          <w:tcPr>
            <w:tcW w:w="155" w:type="dxa"/>
            <w:tcBorders>
              <w:top w:val="nil"/>
              <w:left w:val="single" w:sz="5" w:space="0" w:color="000000"/>
              <w:bottom w:val="single" w:sz="6" w:space="0" w:color="000000"/>
              <w:right w:val="single" w:sz="6" w:space="0" w:color="000000"/>
            </w:tcBorders>
          </w:tcPr>
          <w:p>
            <w:pPr/>
          </w:p>
        </w:tc>
      </w:tr>
    </w:tbl>
    <w:p>
      <w:pPr>
        <w:pStyle w:val="BodyText"/>
        <w:spacing w:before="10"/>
        <w:rPr>
          <w:sz w:val="19"/>
        </w:rPr>
      </w:pPr>
    </w:p>
    <w:p>
      <w:pPr>
        <w:pStyle w:val="BodyText"/>
        <w:spacing w:before="1"/>
        <w:ind w:left="270" w:firstLine="350"/>
        <w:jc w:val="both"/>
      </w:pPr>
      <w:r>
        <w:rPr/>
        <w:t>81 % of the people in the sample perceived difficulty traveling from work to home and vice versa, probably because the traveling time is prolonged, or the type of transport they use is uncomfortable or inaccessible.</w:t>
      </w:r>
    </w:p>
    <w:p>
      <w:pPr>
        <w:pStyle w:val="BodyText"/>
        <w:ind w:left="270" w:right="1" w:firstLine="360"/>
        <w:jc w:val="both"/>
      </w:pPr>
      <w:r>
        <w:rPr/>
        <w:t>61 % believe that the characteristics of the housing and its environment are not optimal, factors of insecurity or inaccessibility may be present.</w:t>
      </w:r>
    </w:p>
    <w:p>
      <w:pPr>
        <w:pStyle w:val="BodyText"/>
        <w:ind w:left="270" w:firstLine="360"/>
        <w:jc w:val="both"/>
      </w:pPr>
      <w:r>
        <w:rPr/>
        <w:t>43 % believe that their economic situation is difficult due to high financial obligations in relation to income. This perception occurred more frequently in single that keep the family financially or married with economic duties that may exceed their ability to</w:t>
      </w:r>
      <w:r>
        <w:rPr>
          <w:spacing w:val="-16"/>
        </w:rPr>
        <w:t> </w:t>
      </w:r>
      <w:r>
        <w:rPr/>
        <w:t>pay.</w:t>
      </w:r>
    </w:p>
    <w:p>
      <w:pPr>
        <w:pStyle w:val="BodyText"/>
        <w:spacing w:before="3"/>
      </w:pPr>
    </w:p>
    <w:p>
      <w:pPr>
        <w:pStyle w:val="Heading4"/>
      </w:pPr>
      <w:r>
        <w:rPr/>
        <w:t>3.3 Burnout Syndrome</w:t>
      </w:r>
    </w:p>
    <w:p>
      <w:pPr>
        <w:pStyle w:val="BodyText"/>
        <w:spacing w:before="8"/>
        <w:rPr>
          <w:b/>
          <w:sz w:val="19"/>
        </w:rPr>
      </w:pPr>
    </w:p>
    <w:p>
      <w:pPr>
        <w:pStyle w:val="BodyText"/>
        <w:ind w:left="270"/>
        <w:jc w:val="both"/>
      </w:pPr>
      <w:r>
        <w:rPr/>
        <w:t>A prevalence of 42 % of the respondents with burnout syndrome in medium risk was found; besides 32% of the sample scored with very low or low risk of burnout syndrome. In contrast, 27% of the sample scored in high or critical risk levels. This tendency is especially generated by the dimension of Illusion from the work in which a 43 % of the scores correspond high or critical risk levels. The fact  that staff assessed is a large percentage is in a middle state of Burnout may be a risk factor for the development of the syndrome in the short or long term if preventive actions are not taken. This may occur by a progressive loss of idealism, energy and desire runs to achieve objectives. This can affect the sample evaluated as a result of their working conditions or as a state of mental, emotional and physical exhaustion caused by chronic emotional stress and excessive involvement with people for long</w:t>
      </w:r>
      <w:r>
        <w:rPr>
          <w:spacing w:val="-22"/>
        </w:rPr>
        <w:t> </w:t>
      </w:r>
      <w:r>
        <w:rPr/>
        <w:t>periods.</w:t>
      </w:r>
    </w:p>
    <w:p>
      <w:pPr>
        <w:pStyle w:val="BodyText"/>
        <w:spacing w:before="74"/>
        <w:ind w:left="1148" w:right="702"/>
      </w:pPr>
      <w:r>
        <w:rPr/>
        <w:br w:type="column"/>
      </w:r>
      <w:r>
        <w:rPr/>
        <w:t>Table 3.  Burnout Syndrome (Authors)</w:t>
      </w:r>
    </w:p>
    <w:p>
      <w:pPr>
        <w:pStyle w:val="BodyText"/>
        <w:spacing w:before="2"/>
      </w:pPr>
    </w:p>
    <w:tbl>
      <w:tblPr>
        <w:tblW w:w="0" w:type="auto"/>
        <w:jc w:val="left"/>
        <w:tblInd w:w="276" w:type="dxa"/>
        <w:tblBorders>
          <w:top w:val="single" w:sz="11" w:space="0" w:color="000000"/>
          <w:left w:val="single" w:sz="11" w:space="0" w:color="000000"/>
          <w:bottom w:val="single" w:sz="11" w:space="0" w:color="000000"/>
          <w:right w:val="single" w:sz="11" w:space="0" w:color="000000"/>
          <w:insideH w:val="single" w:sz="11" w:space="0" w:color="000000"/>
          <w:insideV w:val="single" w:sz="11" w:space="0" w:color="000000"/>
        </w:tblBorders>
        <w:tblLayout w:type="fixed"/>
        <w:tblCellMar>
          <w:top w:w="0" w:type="dxa"/>
          <w:left w:w="0" w:type="dxa"/>
          <w:bottom w:w="0" w:type="dxa"/>
          <w:right w:w="0" w:type="dxa"/>
        </w:tblCellMar>
        <w:tblLook w:val="01E0"/>
      </w:tblPr>
      <w:tblGrid>
        <w:gridCol w:w="331"/>
        <w:gridCol w:w="2208"/>
        <w:gridCol w:w="832"/>
        <w:gridCol w:w="832"/>
        <w:gridCol w:w="846"/>
      </w:tblGrid>
      <w:tr>
        <w:trPr>
          <w:trHeight w:val="394" w:hRule="exact"/>
        </w:trPr>
        <w:tc>
          <w:tcPr>
            <w:tcW w:w="2539" w:type="dxa"/>
            <w:gridSpan w:val="2"/>
            <w:tcBorders>
              <w:left w:val="single" w:sz="6" w:space="0" w:color="000000"/>
              <w:bottom w:val="single" w:sz="5" w:space="0" w:color="000000"/>
              <w:right w:val="single" w:sz="4" w:space="0" w:color="000000"/>
            </w:tcBorders>
          </w:tcPr>
          <w:p>
            <w:pPr>
              <w:pStyle w:val="TableParagraph"/>
              <w:spacing w:before="88"/>
              <w:ind w:left="993" w:right="1010"/>
              <w:jc w:val="center"/>
              <w:rPr>
                <w:rFonts w:ascii="Arial"/>
                <w:b/>
                <w:sz w:val="14"/>
              </w:rPr>
            </w:pPr>
            <w:r>
              <w:rPr>
                <w:rFonts w:ascii="Arial"/>
                <w:b/>
                <w:sz w:val="14"/>
              </w:rPr>
              <w:t>CESQT</w:t>
            </w:r>
          </w:p>
        </w:tc>
        <w:tc>
          <w:tcPr>
            <w:tcW w:w="832" w:type="dxa"/>
            <w:tcBorders>
              <w:left w:val="single" w:sz="4" w:space="0" w:color="000000"/>
              <w:bottom w:val="single" w:sz="5" w:space="0" w:color="000000"/>
              <w:right w:val="single" w:sz="5" w:space="0" w:color="000000"/>
            </w:tcBorders>
          </w:tcPr>
          <w:p>
            <w:pPr>
              <w:pStyle w:val="TableParagraph"/>
              <w:spacing w:before="88"/>
              <w:ind w:left="98" w:right="153"/>
              <w:jc w:val="center"/>
              <w:rPr>
                <w:rFonts w:ascii="Arial"/>
                <w:b/>
                <w:sz w:val="14"/>
              </w:rPr>
            </w:pPr>
            <w:r>
              <w:rPr>
                <w:rFonts w:ascii="Arial"/>
                <w:b/>
                <w:sz w:val="14"/>
              </w:rPr>
              <w:t>Medium</w:t>
            </w:r>
          </w:p>
        </w:tc>
        <w:tc>
          <w:tcPr>
            <w:tcW w:w="832" w:type="dxa"/>
            <w:tcBorders>
              <w:left w:val="single" w:sz="5" w:space="0" w:color="000000"/>
              <w:bottom w:val="single" w:sz="5" w:space="0" w:color="000000"/>
              <w:right w:val="single" w:sz="6" w:space="0" w:color="000000"/>
            </w:tcBorders>
          </w:tcPr>
          <w:p>
            <w:pPr>
              <w:pStyle w:val="TableParagraph"/>
              <w:spacing w:before="88"/>
              <w:ind w:right="263"/>
              <w:jc w:val="right"/>
              <w:rPr>
                <w:rFonts w:ascii="Arial"/>
                <w:b/>
                <w:sz w:val="14"/>
              </w:rPr>
            </w:pPr>
            <w:r>
              <w:rPr>
                <w:rFonts w:ascii="Arial"/>
                <w:b/>
                <w:sz w:val="14"/>
              </w:rPr>
              <w:t>High</w:t>
            </w:r>
          </w:p>
        </w:tc>
        <w:tc>
          <w:tcPr>
            <w:tcW w:w="846" w:type="dxa"/>
            <w:tcBorders>
              <w:left w:val="single" w:sz="6" w:space="0" w:color="000000"/>
              <w:bottom w:val="single" w:sz="5" w:space="0" w:color="000000"/>
              <w:right w:val="single" w:sz="6" w:space="0" w:color="000000"/>
            </w:tcBorders>
          </w:tcPr>
          <w:p>
            <w:pPr>
              <w:pStyle w:val="TableParagraph"/>
              <w:spacing w:before="88"/>
              <w:ind w:left="131" w:right="184"/>
              <w:jc w:val="center"/>
              <w:rPr>
                <w:rFonts w:ascii="Arial"/>
                <w:b/>
                <w:sz w:val="14"/>
              </w:rPr>
            </w:pPr>
            <w:r>
              <w:rPr>
                <w:rFonts w:ascii="Arial"/>
                <w:b/>
                <w:sz w:val="14"/>
              </w:rPr>
              <w:t>Critical</w:t>
            </w:r>
          </w:p>
        </w:tc>
      </w:tr>
      <w:tr>
        <w:trPr>
          <w:trHeight w:val="409" w:hRule="exact"/>
        </w:trPr>
        <w:tc>
          <w:tcPr>
            <w:tcW w:w="331" w:type="dxa"/>
            <w:tcBorders>
              <w:top w:val="single" w:sz="5" w:space="0" w:color="000000"/>
              <w:left w:val="single" w:sz="6" w:space="0" w:color="000000"/>
              <w:bottom w:val="nil"/>
              <w:right w:val="single" w:sz="4" w:space="0" w:color="000000"/>
            </w:tcBorders>
            <w:shd w:val="clear" w:color="auto" w:fill="D8D8D8"/>
          </w:tcPr>
          <w:p>
            <w:pPr/>
          </w:p>
        </w:tc>
        <w:tc>
          <w:tcPr>
            <w:tcW w:w="2208" w:type="dxa"/>
            <w:tcBorders>
              <w:top w:val="single" w:sz="5" w:space="0" w:color="000000"/>
              <w:left w:val="single" w:sz="4" w:space="0" w:color="000000"/>
              <w:bottom w:val="single" w:sz="5" w:space="0" w:color="000000"/>
              <w:right w:val="single" w:sz="4" w:space="0" w:color="000000"/>
            </w:tcBorders>
            <w:shd w:val="clear" w:color="auto" w:fill="D8D8D8"/>
          </w:tcPr>
          <w:p>
            <w:pPr>
              <w:pStyle w:val="TableParagraph"/>
              <w:spacing w:before="100"/>
              <w:ind w:left="23"/>
              <w:rPr>
                <w:rFonts w:ascii="Arial"/>
                <w:b/>
                <w:sz w:val="14"/>
              </w:rPr>
            </w:pPr>
            <w:r>
              <w:rPr>
                <w:rFonts w:ascii="Arial"/>
                <w:b/>
                <w:sz w:val="14"/>
              </w:rPr>
              <w:t>TOTAL CESQT</w:t>
            </w:r>
          </w:p>
        </w:tc>
        <w:tc>
          <w:tcPr>
            <w:tcW w:w="832" w:type="dxa"/>
            <w:tcBorders>
              <w:top w:val="single" w:sz="5" w:space="0" w:color="000000"/>
              <w:left w:val="single" w:sz="4" w:space="0" w:color="000000"/>
              <w:bottom w:val="single" w:sz="5" w:space="0" w:color="000000"/>
              <w:right w:val="single" w:sz="5" w:space="0" w:color="000000"/>
            </w:tcBorders>
            <w:shd w:val="clear" w:color="auto" w:fill="D8D8D8"/>
          </w:tcPr>
          <w:p>
            <w:pPr>
              <w:pStyle w:val="TableParagraph"/>
              <w:spacing w:before="100"/>
              <w:ind w:left="98" w:right="99"/>
              <w:jc w:val="center"/>
              <w:rPr>
                <w:rFonts w:ascii="Arial"/>
                <w:b/>
                <w:sz w:val="14"/>
              </w:rPr>
            </w:pPr>
            <w:r>
              <w:rPr>
                <w:rFonts w:ascii="Arial"/>
                <w:b/>
                <w:sz w:val="14"/>
              </w:rPr>
              <w:t>42%</w:t>
            </w:r>
          </w:p>
        </w:tc>
        <w:tc>
          <w:tcPr>
            <w:tcW w:w="832" w:type="dxa"/>
            <w:tcBorders>
              <w:top w:val="single" w:sz="5" w:space="0" w:color="000000"/>
              <w:left w:val="single" w:sz="5" w:space="0" w:color="000000"/>
              <w:bottom w:val="single" w:sz="5" w:space="0" w:color="000000"/>
              <w:right w:val="single" w:sz="6" w:space="0" w:color="000000"/>
            </w:tcBorders>
            <w:shd w:val="clear" w:color="auto" w:fill="D8D8D8"/>
          </w:tcPr>
          <w:p>
            <w:pPr>
              <w:pStyle w:val="TableParagraph"/>
              <w:spacing w:before="100"/>
              <w:ind w:right="268"/>
              <w:jc w:val="right"/>
              <w:rPr>
                <w:rFonts w:ascii="Arial"/>
                <w:b/>
                <w:sz w:val="14"/>
              </w:rPr>
            </w:pPr>
            <w:r>
              <w:rPr>
                <w:rFonts w:ascii="Arial"/>
                <w:b/>
                <w:sz w:val="14"/>
              </w:rPr>
              <w:t>21%</w:t>
            </w:r>
          </w:p>
        </w:tc>
        <w:tc>
          <w:tcPr>
            <w:tcW w:w="846" w:type="dxa"/>
            <w:tcBorders>
              <w:top w:val="single" w:sz="5" w:space="0" w:color="000000"/>
              <w:left w:val="single" w:sz="6" w:space="0" w:color="000000"/>
              <w:bottom w:val="single" w:sz="5" w:space="0" w:color="000000"/>
              <w:right w:val="single" w:sz="6" w:space="0" w:color="000000"/>
            </w:tcBorders>
            <w:shd w:val="clear" w:color="auto" w:fill="D8D8D8"/>
          </w:tcPr>
          <w:p>
            <w:pPr>
              <w:pStyle w:val="TableParagraph"/>
              <w:spacing w:before="100"/>
              <w:ind w:left="131" w:right="131"/>
              <w:jc w:val="center"/>
              <w:rPr>
                <w:rFonts w:ascii="Arial"/>
                <w:b/>
                <w:sz w:val="14"/>
              </w:rPr>
            </w:pPr>
            <w:r>
              <w:rPr>
                <w:rFonts w:ascii="Arial"/>
                <w:b/>
                <w:sz w:val="14"/>
              </w:rPr>
              <w:t>6%</w:t>
            </w:r>
          </w:p>
        </w:tc>
      </w:tr>
      <w:tr>
        <w:trPr>
          <w:trHeight w:val="410" w:hRule="exact"/>
        </w:trPr>
        <w:tc>
          <w:tcPr>
            <w:tcW w:w="331" w:type="dxa"/>
            <w:vMerge w:val="restart"/>
            <w:tcBorders>
              <w:top w:val="nil"/>
              <w:left w:val="single" w:sz="6" w:space="0" w:color="000000"/>
              <w:right w:val="single" w:sz="4" w:space="0" w:color="000000"/>
            </w:tcBorders>
            <w:shd w:val="clear" w:color="auto" w:fill="D8D8D8"/>
          </w:tcPr>
          <w:p>
            <w:pPr/>
          </w:p>
        </w:tc>
        <w:tc>
          <w:tcPr>
            <w:tcW w:w="2208" w:type="dxa"/>
            <w:tcBorders>
              <w:top w:val="single" w:sz="5" w:space="0" w:color="000000"/>
              <w:left w:val="single" w:sz="4" w:space="0" w:color="000000"/>
              <w:bottom w:val="single" w:sz="6" w:space="0" w:color="000000"/>
              <w:right w:val="single" w:sz="4" w:space="0" w:color="000000"/>
            </w:tcBorders>
          </w:tcPr>
          <w:p>
            <w:pPr>
              <w:pStyle w:val="TableParagraph"/>
              <w:spacing w:before="101"/>
              <w:ind w:left="231"/>
              <w:rPr>
                <w:rFonts w:ascii="Arial"/>
                <w:sz w:val="14"/>
              </w:rPr>
            </w:pPr>
            <w:r>
              <w:rPr>
                <w:rFonts w:ascii="Arial"/>
                <w:sz w:val="14"/>
              </w:rPr>
              <w:t>Illusion from the work</w:t>
            </w:r>
          </w:p>
        </w:tc>
        <w:tc>
          <w:tcPr>
            <w:tcW w:w="832" w:type="dxa"/>
            <w:tcBorders>
              <w:top w:val="single" w:sz="5" w:space="0" w:color="000000"/>
              <w:left w:val="single" w:sz="4" w:space="0" w:color="000000"/>
              <w:bottom w:val="single" w:sz="6" w:space="0" w:color="000000"/>
              <w:right w:val="single" w:sz="5" w:space="0" w:color="000000"/>
            </w:tcBorders>
          </w:tcPr>
          <w:p>
            <w:pPr>
              <w:pStyle w:val="TableParagraph"/>
              <w:spacing w:before="101"/>
              <w:ind w:left="98" w:right="126"/>
              <w:jc w:val="center"/>
              <w:rPr>
                <w:rFonts w:ascii="Arial"/>
                <w:sz w:val="14"/>
              </w:rPr>
            </w:pPr>
            <w:r>
              <w:rPr>
                <w:rFonts w:ascii="Arial"/>
                <w:sz w:val="14"/>
              </w:rPr>
              <w:t>42%</w:t>
            </w:r>
          </w:p>
        </w:tc>
        <w:tc>
          <w:tcPr>
            <w:tcW w:w="832" w:type="dxa"/>
            <w:tcBorders>
              <w:top w:val="single" w:sz="5" w:space="0" w:color="000000"/>
              <w:left w:val="single" w:sz="5" w:space="0" w:color="000000"/>
              <w:bottom w:val="single" w:sz="6" w:space="0" w:color="000000"/>
              <w:right w:val="single" w:sz="6" w:space="0" w:color="000000"/>
            </w:tcBorders>
          </w:tcPr>
          <w:p>
            <w:pPr>
              <w:pStyle w:val="TableParagraph"/>
              <w:spacing w:before="101"/>
              <w:ind w:right="281"/>
              <w:jc w:val="right"/>
              <w:rPr>
                <w:rFonts w:ascii="Arial"/>
                <w:sz w:val="14"/>
              </w:rPr>
            </w:pPr>
            <w:r>
              <w:rPr>
                <w:rFonts w:ascii="Arial"/>
                <w:sz w:val="14"/>
              </w:rPr>
              <w:t>28%</w:t>
            </w:r>
          </w:p>
        </w:tc>
        <w:tc>
          <w:tcPr>
            <w:tcW w:w="846" w:type="dxa"/>
            <w:tcBorders>
              <w:top w:val="single" w:sz="5" w:space="0" w:color="000000"/>
              <w:left w:val="single" w:sz="6" w:space="0" w:color="000000"/>
              <w:bottom w:val="single" w:sz="6" w:space="0" w:color="000000"/>
              <w:right w:val="single" w:sz="6" w:space="0" w:color="000000"/>
            </w:tcBorders>
          </w:tcPr>
          <w:p>
            <w:pPr>
              <w:pStyle w:val="TableParagraph"/>
              <w:spacing w:before="101"/>
              <w:ind w:left="131" w:right="174"/>
              <w:jc w:val="center"/>
              <w:rPr>
                <w:rFonts w:ascii="Arial"/>
                <w:sz w:val="14"/>
              </w:rPr>
            </w:pPr>
            <w:r>
              <w:rPr>
                <w:rFonts w:ascii="Arial"/>
                <w:sz w:val="14"/>
              </w:rPr>
              <w:t>15%</w:t>
            </w:r>
          </w:p>
        </w:tc>
      </w:tr>
      <w:tr>
        <w:trPr>
          <w:trHeight w:val="409" w:hRule="exact"/>
        </w:trPr>
        <w:tc>
          <w:tcPr>
            <w:tcW w:w="331" w:type="dxa"/>
            <w:vMerge/>
            <w:tcBorders>
              <w:left w:val="single" w:sz="6" w:space="0" w:color="000000"/>
              <w:right w:val="single" w:sz="4" w:space="0" w:color="000000"/>
            </w:tcBorders>
            <w:shd w:val="clear" w:color="auto" w:fill="D8D8D8"/>
          </w:tcPr>
          <w:p>
            <w:pPr/>
          </w:p>
        </w:tc>
        <w:tc>
          <w:tcPr>
            <w:tcW w:w="2208" w:type="dxa"/>
            <w:tcBorders>
              <w:top w:val="single" w:sz="6" w:space="0" w:color="000000"/>
              <w:left w:val="single" w:sz="4" w:space="0" w:color="000000"/>
              <w:bottom w:val="single" w:sz="4" w:space="0" w:color="000000"/>
              <w:right w:val="single" w:sz="4" w:space="0" w:color="000000"/>
            </w:tcBorders>
          </w:tcPr>
          <w:p>
            <w:pPr>
              <w:pStyle w:val="TableParagraph"/>
              <w:spacing w:before="99"/>
              <w:ind w:left="231"/>
              <w:rPr>
                <w:rFonts w:ascii="Arial"/>
                <w:sz w:val="14"/>
              </w:rPr>
            </w:pPr>
            <w:r>
              <w:rPr>
                <w:rFonts w:ascii="Arial"/>
                <w:sz w:val="14"/>
              </w:rPr>
              <w:t>Psychiological exhaustion</w:t>
            </w:r>
          </w:p>
        </w:tc>
        <w:tc>
          <w:tcPr>
            <w:tcW w:w="832" w:type="dxa"/>
            <w:tcBorders>
              <w:top w:val="single" w:sz="6" w:space="0" w:color="000000"/>
              <w:left w:val="single" w:sz="4" w:space="0" w:color="000000"/>
              <w:bottom w:val="single" w:sz="4" w:space="0" w:color="000000"/>
              <w:right w:val="single" w:sz="5" w:space="0" w:color="000000"/>
            </w:tcBorders>
          </w:tcPr>
          <w:p>
            <w:pPr>
              <w:pStyle w:val="TableParagraph"/>
              <w:spacing w:before="99"/>
              <w:ind w:left="98" w:right="126"/>
              <w:jc w:val="center"/>
              <w:rPr>
                <w:rFonts w:ascii="Arial"/>
                <w:sz w:val="14"/>
              </w:rPr>
            </w:pPr>
            <w:r>
              <w:rPr>
                <w:rFonts w:ascii="Arial"/>
                <w:sz w:val="14"/>
              </w:rPr>
              <w:t>60%</w:t>
            </w:r>
          </w:p>
        </w:tc>
        <w:tc>
          <w:tcPr>
            <w:tcW w:w="832" w:type="dxa"/>
            <w:tcBorders>
              <w:top w:val="single" w:sz="6" w:space="0" w:color="000000"/>
              <w:left w:val="single" w:sz="5" w:space="0" w:color="000000"/>
              <w:bottom w:val="single" w:sz="4" w:space="0" w:color="000000"/>
              <w:right w:val="single" w:sz="6" w:space="0" w:color="000000"/>
            </w:tcBorders>
          </w:tcPr>
          <w:p>
            <w:pPr>
              <w:pStyle w:val="TableParagraph"/>
              <w:spacing w:before="99"/>
              <w:ind w:right="313"/>
              <w:jc w:val="right"/>
              <w:rPr>
                <w:rFonts w:ascii="Arial"/>
                <w:sz w:val="14"/>
              </w:rPr>
            </w:pPr>
            <w:r>
              <w:rPr>
                <w:rFonts w:ascii="Arial"/>
                <w:sz w:val="14"/>
              </w:rPr>
              <w:t>6%</w:t>
            </w:r>
          </w:p>
        </w:tc>
        <w:tc>
          <w:tcPr>
            <w:tcW w:w="846" w:type="dxa"/>
            <w:tcBorders>
              <w:top w:val="single" w:sz="6" w:space="0" w:color="000000"/>
              <w:left w:val="single" w:sz="6" w:space="0" w:color="000000"/>
              <w:bottom w:val="single" w:sz="4" w:space="0" w:color="000000"/>
              <w:right w:val="single" w:sz="6" w:space="0" w:color="000000"/>
            </w:tcBorders>
          </w:tcPr>
          <w:p>
            <w:pPr>
              <w:pStyle w:val="TableParagraph"/>
              <w:spacing w:before="99"/>
              <w:ind w:left="131" w:right="157"/>
              <w:jc w:val="center"/>
              <w:rPr>
                <w:rFonts w:ascii="Arial"/>
                <w:sz w:val="14"/>
              </w:rPr>
            </w:pPr>
            <w:r>
              <w:rPr>
                <w:rFonts w:ascii="Arial"/>
                <w:sz w:val="14"/>
              </w:rPr>
              <w:t>0%</w:t>
            </w:r>
          </w:p>
        </w:tc>
      </w:tr>
      <w:tr>
        <w:trPr>
          <w:trHeight w:val="410" w:hRule="exact"/>
        </w:trPr>
        <w:tc>
          <w:tcPr>
            <w:tcW w:w="331" w:type="dxa"/>
            <w:vMerge/>
            <w:tcBorders>
              <w:left w:val="single" w:sz="6" w:space="0" w:color="000000"/>
              <w:right w:val="single" w:sz="4" w:space="0" w:color="000000"/>
            </w:tcBorders>
            <w:shd w:val="clear" w:color="auto" w:fill="D8D8D8"/>
          </w:tcPr>
          <w:p>
            <w:pPr/>
          </w:p>
        </w:tc>
        <w:tc>
          <w:tcPr>
            <w:tcW w:w="2208" w:type="dxa"/>
            <w:tcBorders>
              <w:top w:val="single" w:sz="4" w:space="0" w:color="000000"/>
              <w:left w:val="single" w:sz="4" w:space="0" w:color="000000"/>
              <w:bottom w:val="single" w:sz="5" w:space="0" w:color="000000"/>
              <w:right w:val="single" w:sz="4" w:space="0" w:color="000000"/>
            </w:tcBorders>
          </w:tcPr>
          <w:p>
            <w:pPr>
              <w:pStyle w:val="TableParagraph"/>
              <w:spacing w:before="100"/>
              <w:ind w:left="231"/>
              <w:rPr>
                <w:rFonts w:ascii="Arial"/>
                <w:sz w:val="14"/>
              </w:rPr>
            </w:pPr>
            <w:r>
              <w:rPr>
                <w:rFonts w:ascii="Arial"/>
                <w:sz w:val="14"/>
              </w:rPr>
              <w:t>Indolence</w:t>
            </w:r>
          </w:p>
        </w:tc>
        <w:tc>
          <w:tcPr>
            <w:tcW w:w="832" w:type="dxa"/>
            <w:tcBorders>
              <w:top w:val="single" w:sz="4" w:space="0" w:color="000000"/>
              <w:left w:val="single" w:sz="4" w:space="0" w:color="000000"/>
              <w:bottom w:val="single" w:sz="5" w:space="0" w:color="000000"/>
              <w:right w:val="single" w:sz="5" w:space="0" w:color="000000"/>
            </w:tcBorders>
          </w:tcPr>
          <w:p>
            <w:pPr>
              <w:pStyle w:val="TableParagraph"/>
              <w:spacing w:before="100"/>
              <w:ind w:left="98" w:right="126"/>
              <w:jc w:val="center"/>
              <w:rPr>
                <w:rFonts w:ascii="Arial"/>
                <w:sz w:val="14"/>
              </w:rPr>
            </w:pPr>
            <w:r>
              <w:rPr>
                <w:rFonts w:ascii="Arial"/>
                <w:sz w:val="14"/>
              </w:rPr>
              <w:t>42%</w:t>
            </w:r>
          </w:p>
        </w:tc>
        <w:tc>
          <w:tcPr>
            <w:tcW w:w="832" w:type="dxa"/>
            <w:tcBorders>
              <w:top w:val="single" w:sz="4" w:space="0" w:color="000000"/>
              <w:left w:val="single" w:sz="5" w:space="0" w:color="000000"/>
              <w:bottom w:val="single" w:sz="5" w:space="0" w:color="000000"/>
              <w:right w:val="single" w:sz="6" w:space="0" w:color="000000"/>
            </w:tcBorders>
          </w:tcPr>
          <w:p>
            <w:pPr>
              <w:pStyle w:val="TableParagraph"/>
              <w:spacing w:before="100"/>
              <w:ind w:right="281"/>
              <w:jc w:val="right"/>
              <w:rPr>
                <w:rFonts w:ascii="Arial"/>
                <w:sz w:val="14"/>
              </w:rPr>
            </w:pPr>
            <w:r>
              <w:rPr>
                <w:rFonts w:ascii="Arial"/>
                <w:sz w:val="14"/>
              </w:rPr>
              <w:t>21%</w:t>
            </w:r>
          </w:p>
        </w:tc>
        <w:tc>
          <w:tcPr>
            <w:tcW w:w="846" w:type="dxa"/>
            <w:tcBorders>
              <w:top w:val="single" w:sz="4" w:space="0" w:color="000000"/>
              <w:left w:val="single" w:sz="6" w:space="0" w:color="000000"/>
              <w:bottom w:val="single" w:sz="5" w:space="0" w:color="000000"/>
              <w:right w:val="single" w:sz="6" w:space="0" w:color="000000"/>
            </w:tcBorders>
          </w:tcPr>
          <w:p>
            <w:pPr>
              <w:pStyle w:val="TableParagraph"/>
              <w:spacing w:before="100"/>
              <w:ind w:left="131" w:right="157"/>
              <w:jc w:val="center"/>
              <w:rPr>
                <w:rFonts w:ascii="Arial"/>
                <w:sz w:val="14"/>
              </w:rPr>
            </w:pPr>
            <w:r>
              <w:rPr>
                <w:rFonts w:ascii="Arial"/>
                <w:sz w:val="14"/>
              </w:rPr>
              <w:t>4%</w:t>
            </w:r>
          </w:p>
        </w:tc>
      </w:tr>
      <w:tr>
        <w:trPr>
          <w:trHeight w:val="435" w:hRule="exact"/>
        </w:trPr>
        <w:tc>
          <w:tcPr>
            <w:tcW w:w="331" w:type="dxa"/>
            <w:vMerge/>
            <w:tcBorders>
              <w:left w:val="single" w:sz="6" w:space="0" w:color="000000"/>
              <w:bottom w:val="single" w:sz="6" w:space="0" w:color="000000"/>
              <w:right w:val="single" w:sz="4" w:space="0" w:color="000000"/>
            </w:tcBorders>
            <w:shd w:val="clear" w:color="auto" w:fill="D8D8D8"/>
          </w:tcPr>
          <w:p>
            <w:pPr/>
          </w:p>
        </w:tc>
        <w:tc>
          <w:tcPr>
            <w:tcW w:w="2208" w:type="dxa"/>
            <w:tcBorders>
              <w:top w:val="single" w:sz="5" w:space="0" w:color="000000"/>
              <w:left w:val="single" w:sz="4" w:space="0" w:color="000000"/>
              <w:bottom w:val="single" w:sz="6" w:space="0" w:color="000000"/>
              <w:right w:val="single" w:sz="4" w:space="0" w:color="000000"/>
            </w:tcBorders>
          </w:tcPr>
          <w:p>
            <w:pPr>
              <w:pStyle w:val="TableParagraph"/>
              <w:spacing w:before="100"/>
              <w:ind w:left="231"/>
              <w:rPr>
                <w:rFonts w:ascii="Arial"/>
                <w:sz w:val="14"/>
              </w:rPr>
            </w:pPr>
            <w:r>
              <w:rPr>
                <w:rFonts w:ascii="Arial"/>
                <w:sz w:val="14"/>
              </w:rPr>
              <w:t>Guilt</w:t>
            </w:r>
          </w:p>
        </w:tc>
        <w:tc>
          <w:tcPr>
            <w:tcW w:w="832" w:type="dxa"/>
            <w:tcBorders>
              <w:top w:val="single" w:sz="5" w:space="0" w:color="000000"/>
              <w:left w:val="single" w:sz="4" w:space="0" w:color="000000"/>
              <w:bottom w:val="single" w:sz="6" w:space="0" w:color="000000"/>
              <w:right w:val="single" w:sz="5" w:space="0" w:color="000000"/>
            </w:tcBorders>
          </w:tcPr>
          <w:p>
            <w:pPr>
              <w:pStyle w:val="TableParagraph"/>
              <w:spacing w:before="100"/>
              <w:ind w:left="98" w:right="126"/>
              <w:jc w:val="center"/>
              <w:rPr>
                <w:rFonts w:ascii="Arial"/>
                <w:sz w:val="14"/>
              </w:rPr>
            </w:pPr>
            <w:r>
              <w:rPr>
                <w:rFonts w:ascii="Arial"/>
                <w:sz w:val="14"/>
              </w:rPr>
              <w:t>43%</w:t>
            </w:r>
          </w:p>
        </w:tc>
        <w:tc>
          <w:tcPr>
            <w:tcW w:w="832" w:type="dxa"/>
            <w:tcBorders>
              <w:top w:val="single" w:sz="5" w:space="0" w:color="000000"/>
              <w:left w:val="single" w:sz="5" w:space="0" w:color="000000"/>
              <w:bottom w:val="single" w:sz="6" w:space="0" w:color="000000"/>
              <w:right w:val="single" w:sz="6" w:space="0" w:color="000000"/>
            </w:tcBorders>
          </w:tcPr>
          <w:p>
            <w:pPr>
              <w:pStyle w:val="TableParagraph"/>
              <w:spacing w:before="100"/>
              <w:ind w:right="281"/>
              <w:jc w:val="right"/>
              <w:rPr>
                <w:rFonts w:ascii="Arial"/>
                <w:sz w:val="14"/>
              </w:rPr>
            </w:pPr>
            <w:r>
              <w:rPr>
                <w:rFonts w:ascii="Arial"/>
                <w:sz w:val="14"/>
              </w:rPr>
              <w:t>17%</w:t>
            </w:r>
          </w:p>
        </w:tc>
        <w:tc>
          <w:tcPr>
            <w:tcW w:w="846" w:type="dxa"/>
            <w:tcBorders>
              <w:top w:val="single" w:sz="5" w:space="0" w:color="000000"/>
              <w:left w:val="single" w:sz="6" w:space="0" w:color="000000"/>
              <w:bottom w:val="single" w:sz="6" w:space="0" w:color="000000"/>
              <w:right w:val="single" w:sz="6" w:space="0" w:color="000000"/>
            </w:tcBorders>
          </w:tcPr>
          <w:p>
            <w:pPr>
              <w:pStyle w:val="TableParagraph"/>
              <w:spacing w:before="100"/>
              <w:ind w:left="131" w:right="157"/>
              <w:jc w:val="center"/>
              <w:rPr>
                <w:rFonts w:ascii="Arial"/>
                <w:sz w:val="14"/>
              </w:rPr>
            </w:pPr>
            <w:r>
              <w:rPr>
                <w:rFonts w:ascii="Arial"/>
                <w:sz w:val="14"/>
              </w:rPr>
              <w:t>4%</w:t>
            </w:r>
          </w:p>
        </w:tc>
      </w:tr>
    </w:tbl>
    <w:p>
      <w:pPr>
        <w:pStyle w:val="BodyText"/>
        <w:spacing w:before="11"/>
        <w:rPr>
          <w:sz w:val="21"/>
        </w:rPr>
      </w:pPr>
    </w:p>
    <w:p>
      <w:pPr>
        <w:pStyle w:val="BodyText"/>
        <w:ind w:left="270" w:right="675" w:firstLine="360"/>
        <w:jc w:val="both"/>
      </w:pPr>
      <w:r>
        <w:rPr/>
        <w:t>The enthusiasm for the job has a growing trend. No people rated in very low risk were found which generates a first alert. 15% are at low risk and 42% medium risk. The cases that require more attention from the company are 43% which have already begun to manifest unwillingness of the individual to achieve employment goals because it is a source of personal pleasure. This is an  indication  that people have already started to have symptoms associated with burnout syndrome.</w:t>
      </w:r>
    </w:p>
    <w:p>
      <w:pPr>
        <w:pStyle w:val="BodyText"/>
        <w:ind w:left="270" w:right="678" w:firstLine="360"/>
        <w:jc w:val="both"/>
      </w:pPr>
      <w:r>
        <w:rPr/>
        <w:t>In the psychological exhaustion no cases of very high risk are presented and high risk is low: only 6%.</w:t>
      </w:r>
    </w:p>
    <w:p>
      <w:pPr>
        <w:pStyle w:val="BodyText"/>
        <w:ind w:left="270" w:right="676" w:firstLine="360"/>
        <w:jc w:val="both"/>
      </w:pPr>
      <w:r>
        <w:rPr/>
        <w:t>In the evaluated sample is 34% with low or very low risk manifestations indolence. An important figure is 42% of people in the sample with medium level of risk that should be included on intervention to prevent the worsening of cases. Finally, 25% was rated high risk or critical in this dimension, which means the emergence of negative  attitudes of indifference and cynicism toward customers, in this case internal clients, the</w:t>
      </w:r>
      <w:r>
        <w:rPr>
          <w:spacing w:val="-23"/>
        </w:rPr>
        <w:t> </w:t>
      </w:r>
      <w:r>
        <w:rPr/>
        <w:t>workspace.</w:t>
      </w:r>
    </w:p>
    <w:p>
      <w:pPr>
        <w:pStyle w:val="BodyText"/>
        <w:ind w:left="270" w:right="676" w:firstLine="360"/>
        <w:jc w:val="both"/>
      </w:pPr>
      <w:r>
        <w:rPr/>
        <w:t>In this case it was found that 79% (42) of the sample is in the very low, low and medium levels  of  guilt.  This means that these people correspond to a profile 1 or profile without guilt while 21 % (11) that is rated high or critical risk is having appearance of guilt about the behavior and negative attitudes developed at work especially towards people with which industrial relations are established ( profile 2).  It was noted that workers predominate profile 1 in relation to item Guilt because they are workers who finds it useful cognitive coping strategies that justify the use of proscribed conduct by ethics. These workers showed average level of enthusiasm for the job, psychic medium- high level of attrition in indolence, but often feel guilt when treating clients’ reckless or aggressive manner or does not comply with role expectations. They are workers who can stay in the organization for many years without developing problems related to work stress, although their attitudes deteriorate the quality of service of the organization that will lead to complaints from customers about their</w:t>
      </w:r>
      <w:r>
        <w:rPr>
          <w:spacing w:val="-19"/>
        </w:rPr>
        <w:t> </w:t>
      </w:r>
      <w:r>
        <w:rPr/>
        <w:t>treatment.</w:t>
      </w:r>
    </w:p>
    <w:p>
      <w:pPr>
        <w:pStyle w:val="BodyText"/>
        <w:ind w:left="270" w:right="673" w:firstLine="360"/>
        <w:jc w:val="both"/>
      </w:pPr>
      <w:r>
        <w:rPr/>
        <w:t>17% of the people in the simple show high risk level for the work related psychosocial factors as well as the Burnout Syndrome questionnaire. This is negative for the company because confirm the presence of psychosocial risk and Burnout syndrome.</w:t>
      </w:r>
    </w:p>
    <w:p>
      <w:pPr>
        <w:spacing w:after="0"/>
        <w:jc w:val="both"/>
        <w:sectPr>
          <w:type w:val="continuous"/>
          <w:pgSz w:w="12240" w:h="15840"/>
          <w:pgMar w:top="1500" w:bottom="280" w:left="580" w:right="220"/>
          <w:cols w:num="2" w:equalWidth="0">
            <w:col w:w="5189" w:space="435"/>
            <w:col w:w="5816"/>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4"/>
        <w:ind w:left="270" w:firstLine="360"/>
        <w:jc w:val="both"/>
      </w:pPr>
      <w:r>
        <w:rPr/>
        <w:t>It is observed that 21 % of people in the sample are at high or very high risks for mastering emotional demands while are at high or critical dimension of hope for job risk. That is, to the extent that people are acquiring greater emotional charge associated with their daily role, the greater the loss of enthusiasm for the job.</w:t>
      </w:r>
    </w:p>
    <w:p>
      <w:pPr>
        <w:pStyle w:val="BodyText"/>
        <w:ind w:left="270" w:right="1" w:firstLine="360"/>
        <w:jc w:val="both"/>
      </w:pPr>
      <w:r>
        <w:rPr/>
        <w:t>It was found that 40 % of the evaluated workers are at high risk or very high for both social relations at work and for emotional demands. It was found that the vertical relationships are adequate (medium or low risk) but horizontal relationships with peers or colleagues are generating high risk and very</w:t>
      </w:r>
      <w:r>
        <w:rPr>
          <w:spacing w:val="-13"/>
        </w:rPr>
        <w:t> </w:t>
      </w:r>
      <w:r>
        <w:rPr/>
        <w:t>high.</w:t>
      </w:r>
    </w:p>
    <w:p>
      <w:pPr>
        <w:pStyle w:val="BodyText"/>
        <w:ind w:left="270" w:right="1" w:firstLine="360"/>
        <w:jc w:val="both"/>
      </w:pPr>
      <w:r>
        <w:rPr/>
        <w:t>It was identified that 15% of people who have less than  a year in office is at high risk or critical Illusion by work. Likewise, it is observed that 28% who are at high or critical risk when seniority is greater than one year. In this case, it appears that the longer in the organization, the greater the loss of enthusiasm for work and therefore greater risk to start having manifestations of burnout by</w:t>
      </w:r>
      <w:r>
        <w:rPr>
          <w:spacing w:val="-16"/>
        </w:rPr>
        <w:t> </w:t>
      </w:r>
      <w:r>
        <w:rPr/>
        <w:t>work.</w:t>
      </w:r>
    </w:p>
    <w:p>
      <w:pPr>
        <w:pStyle w:val="BodyText"/>
        <w:ind w:left="270" w:firstLine="360"/>
        <w:jc w:val="both"/>
      </w:pPr>
      <w:r>
        <w:rPr/>
        <w:t>To the extent that people acquire emotional stability and build long-term relationships through cohabitation or marriage, the risk of the economic situation of the household decreases 15 % and 6% in high and very high respectively.</w:t>
      </w:r>
    </w:p>
    <w:p>
      <w:pPr>
        <w:pStyle w:val="BodyText"/>
        <w:ind w:left="270" w:firstLine="360"/>
        <w:jc w:val="both"/>
      </w:pPr>
      <w:r>
        <w:rPr/>
        <w:t>The Characteristics of the home and its environment and economic situation of the family group and transport housing</w:t>
      </w:r>
    </w:p>
    <w:p>
      <w:pPr>
        <w:pStyle w:val="BodyText"/>
        <w:ind w:left="270" w:right="1"/>
        <w:jc w:val="both"/>
      </w:pPr>
      <w:r>
        <w:rPr/>
        <w:t>- work - home - outside work , maintain a conclusive correlation since 38% manifested be at high risk or very  high. Importantly, 13% are at very high risk for the two variables evaluated. This confirms that people live in places far away from the workplace; they do not provide the conditions for quality of life and safety in the required environment.</w:t>
      </w:r>
    </w:p>
    <w:p>
      <w:pPr>
        <w:pStyle w:val="BodyText"/>
        <w:ind w:left="270" w:right="1" w:firstLine="360"/>
        <w:jc w:val="both"/>
      </w:pPr>
      <w:r>
        <w:rPr/>
        <w:t>The influence of environment outside work on work is related to the Civil State and that evidence establishing long- term relationships (cohabitation and marriage) reduces levels high and very high risk. In this case, 13% of the unmarried population is at high risk and very high, while only 8% of the population living in union concerns at this level of risk.</w:t>
      </w:r>
    </w:p>
    <w:p>
      <w:pPr>
        <w:pStyle w:val="BodyText"/>
        <w:spacing w:before="11"/>
        <w:rPr>
          <w:sz w:val="19"/>
        </w:rPr>
      </w:pPr>
    </w:p>
    <w:p>
      <w:pPr>
        <w:pStyle w:val="BodyText"/>
        <w:ind w:left="604" w:right="294" w:firstLine="321"/>
        <w:jc w:val="both"/>
      </w:pPr>
      <w:r>
        <w:rPr/>
        <w:pict>
          <v:shape style="position:absolute;margin-left:85.019997pt;margin-top:46.17823pt;width:161.050pt;height:140.7pt;mso-position-horizontal-relative:page;mso-position-vertical-relative:paragraph;z-index:17056"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00"/>
                    <w:gridCol w:w="660"/>
                    <w:gridCol w:w="700"/>
                    <w:gridCol w:w="647"/>
                  </w:tblGrid>
                  <w:tr>
                    <w:trPr>
                      <w:trHeight w:val="924" w:hRule="exact"/>
                    </w:trPr>
                    <w:tc>
                      <w:tcPr>
                        <w:tcW w:w="1200" w:type="dxa"/>
                      </w:tcPr>
                      <w:p>
                        <w:pPr>
                          <w:pStyle w:val="TableParagraph"/>
                          <w:rPr>
                            <w:sz w:val="16"/>
                          </w:rPr>
                        </w:pPr>
                      </w:p>
                      <w:p>
                        <w:pPr>
                          <w:pStyle w:val="TableParagraph"/>
                          <w:rPr>
                            <w:sz w:val="16"/>
                          </w:rPr>
                        </w:pPr>
                      </w:p>
                      <w:p>
                        <w:pPr>
                          <w:pStyle w:val="TableParagraph"/>
                          <w:rPr>
                            <w:sz w:val="16"/>
                          </w:rPr>
                        </w:pPr>
                      </w:p>
                      <w:p>
                        <w:pPr>
                          <w:pStyle w:val="TableParagraph"/>
                          <w:spacing w:before="2"/>
                          <w:rPr>
                            <w:sz w:val="15"/>
                          </w:rPr>
                        </w:pPr>
                      </w:p>
                      <w:p>
                        <w:pPr>
                          <w:pStyle w:val="TableParagraph"/>
                          <w:ind w:left="64" w:right="133"/>
                          <w:rPr>
                            <w:sz w:val="16"/>
                          </w:rPr>
                        </w:pPr>
                        <w:r>
                          <w:rPr>
                            <w:sz w:val="16"/>
                          </w:rPr>
                          <w:t>Risk Level</w:t>
                        </w:r>
                      </w:p>
                    </w:tc>
                    <w:tc>
                      <w:tcPr>
                        <w:tcW w:w="660" w:type="dxa"/>
                      </w:tcPr>
                      <w:p>
                        <w:pPr>
                          <w:pStyle w:val="TableParagraph"/>
                          <w:rPr>
                            <w:sz w:val="16"/>
                          </w:rPr>
                        </w:pPr>
                      </w:p>
                      <w:p>
                        <w:pPr>
                          <w:pStyle w:val="TableParagraph"/>
                          <w:spacing w:before="1"/>
                          <w:rPr>
                            <w:sz w:val="15"/>
                          </w:rPr>
                        </w:pPr>
                      </w:p>
                      <w:p>
                        <w:pPr>
                          <w:pStyle w:val="TableParagraph"/>
                          <w:ind w:left="64" w:right="131"/>
                          <w:rPr>
                            <w:sz w:val="16"/>
                          </w:rPr>
                        </w:pPr>
                        <w:r>
                          <w:rPr>
                            <w:sz w:val="16"/>
                          </w:rPr>
                          <w:t>Work related PRF</w:t>
                        </w:r>
                      </w:p>
                    </w:tc>
                    <w:tc>
                      <w:tcPr>
                        <w:tcW w:w="700" w:type="dxa"/>
                      </w:tcPr>
                      <w:p>
                        <w:pPr>
                          <w:pStyle w:val="TableParagraph"/>
                          <w:spacing w:before="2"/>
                          <w:rPr>
                            <w:sz w:val="15"/>
                          </w:rPr>
                        </w:pPr>
                      </w:p>
                      <w:p>
                        <w:pPr>
                          <w:pStyle w:val="TableParagraph"/>
                          <w:ind w:left="64" w:right="112"/>
                          <w:rPr>
                            <w:sz w:val="16"/>
                          </w:rPr>
                        </w:pPr>
                        <w:r>
                          <w:rPr>
                            <w:sz w:val="16"/>
                          </w:rPr>
                          <w:t>Non related to work PRF</w:t>
                        </w:r>
                      </w:p>
                    </w:tc>
                    <w:tc>
                      <w:tcPr>
                        <w:tcW w:w="647" w:type="dxa"/>
                      </w:tcPr>
                      <w:p>
                        <w:pPr>
                          <w:pStyle w:val="TableParagraph"/>
                          <w:rPr>
                            <w:sz w:val="16"/>
                          </w:rPr>
                        </w:pPr>
                      </w:p>
                      <w:p>
                        <w:pPr>
                          <w:pStyle w:val="TableParagraph"/>
                          <w:rPr>
                            <w:sz w:val="16"/>
                          </w:rPr>
                        </w:pPr>
                      </w:p>
                      <w:p>
                        <w:pPr>
                          <w:pStyle w:val="TableParagraph"/>
                          <w:rPr>
                            <w:sz w:val="16"/>
                          </w:rPr>
                        </w:pPr>
                      </w:p>
                      <w:p>
                        <w:pPr>
                          <w:pStyle w:val="TableParagraph"/>
                          <w:spacing w:before="2"/>
                          <w:rPr>
                            <w:sz w:val="15"/>
                          </w:rPr>
                        </w:pPr>
                      </w:p>
                      <w:p>
                        <w:pPr>
                          <w:pStyle w:val="TableParagraph"/>
                          <w:ind w:right="63"/>
                          <w:jc w:val="right"/>
                          <w:rPr>
                            <w:sz w:val="16"/>
                          </w:rPr>
                        </w:pPr>
                        <w:r>
                          <w:rPr>
                            <w:sz w:val="16"/>
                          </w:rPr>
                          <w:t>CESQT</w:t>
                        </w:r>
                      </w:p>
                    </w:tc>
                  </w:tr>
                  <w:tr>
                    <w:trPr>
                      <w:trHeight w:val="475" w:hRule="exact"/>
                    </w:trPr>
                    <w:tc>
                      <w:tcPr>
                        <w:tcW w:w="1200" w:type="dxa"/>
                      </w:tcPr>
                      <w:p>
                        <w:pPr>
                          <w:pStyle w:val="TableParagraph"/>
                          <w:spacing w:before="94"/>
                          <w:ind w:left="64" w:right="133"/>
                          <w:rPr>
                            <w:sz w:val="16"/>
                          </w:rPr>
                        </w:pPr>
                        <w:r>
                          <w:rPr>
                            <w:sz w:val="16"/>
                          </w:rPr>
                          <w:t>No risk or very low risk</w:t>
                        </w:r>
                      </w:p>
                    </w:tc>
                    <w:tc>
                      <w:tcPr>
                        <w:tcW w:w="660" w:type="dxa"/>
                      </w:tcPr>
                      <w:p>
                        <w:pPr>
                          <w:pStyle w:val="TableParagraph"/>
                          <w:rPr>
                            <w:sz w:val="16"/>
                          </w:rPr>
                        </w:pPr>
                      </w:p>
                      <w:p>
                        <w:pPr>
                          <w:pStyle w:val="TableParagraph"/>
                          <w:spacing w:before="94"/>
                          <w:ind w:right="62"/>
                          <w:jc w:val="right"/>
                          <w:rPr>
                            <w:sz w:val="16"/>
                          </w:rPr>
                        </w:pPr>
                        <w:r>
                          <w:rPr>
                            <w:w w:val="95"/>
                            <w:sz w:val="16"/>
                          </w:rPr>
                          <w:t>11</w:t>
                        </w:r>
                      </w:p>
                    </w:tc>
                    <w:tc>
                      <w:tcPr>
                        <w:tcW w:w="700" w:type="dxa"/>
                      </w:tcPr>
                      <w:p>
                        <w:pPr>
                          <w:pStyle w:val="TableParagraph"/>
                          <w:rPr>
                            <w:sz w:val="16"/>
                          </w:rPr>
                        </w:pPr>
                      </w:p>
                      <w:p>
                        <w:pPr>
                          <w:pStyle w:val="TableParagraph"/>
                          <w:spacing w:before="94"/>
                          <w:ind w:right="61"/>
                          <w:jc w:val="right"/>
                          <w:rPr>
                            <w:sz w:val="16"/>
                          </w:rPr>
                        </w:pPr>
                        <w:r>
                          <w:rPr>
                            <w:w w:val="95"/>
                            <w:sz w:val="16"/>
                          </w:rPr>
                          <w:t>17</w:t>
                        </w:r>
                      </w:p>
                    </w:tc>
                    <w:tc>
                      <w:tcPr>
                        <w:tcW w:w="647" w:type="dxa"/>
                      </w:tcPr>
                      <w:p>
                        <w:pPr>
                          <w:pStyle w:val="TableParagraph"/>
                          <w:rPr>
                            <w:sz w:val="16"/>
                          </w:rPr>
                        </w:pPr>
                      </w:p>
                      <w:p>
                        <w:pPr>
                          <w:pStyle w:val="TableParagraph"/>
                          <w:spacing w:before="94"/>
                          <w:ind w:right="61"/>
                          <w:jc w:val="right"/>
                          <w:rPr>
                            <w:sz w:val="16"/>
                          </w:rPr>
                        </w:pPr>
                        <w:r>
                          <w:rPr>
                            <w:w w:val="99"/>
                            <w:sz w:val="16"/>
                          </w:rPr>
                          <w:t>9</w:t>
                        </w:r>
                      </w:p>
                    </w:tc>
                  </w:tr>
                  <w:tr>
                    <w:trPr>
                      <w:trHeight w:val="311" w:hRule="exact"/>
                    </w:trPr>
                    <w:tc>
                      <w:tcPr>
                        <w:tcW w:w="1200" w:type="dxa"/>
                      </w:tcPr>
                      <w:p>
                        <w:pPr>
                          <w:pStyle w:val="TableParagraph"/>
                          <w:spacing w:before="112"/>
                          <w:ind w:left="64" w:right="133"/>
                          <w:rPr>
                            <w:sz w:val="16"/>
                          </w:rPr>
                        </w:pPr>
                        <w:r>
                          <w:rPr>
                            <w:sz w:val="16"/>
                          </w:rPr>
                          <w:t>Low</w:t>
                        </w:r>
                      </w:p>
                    </w:tc>
                    <w:tc>
                      <w:tcPr>
                        <w:tcW w:w="660" w:type="dxa"/>
                      </w:tcPr>
                      <w:p>
                        <w:pPr>
                          <w:pStyle w:val="TableParagraph"/>
                          <w:spacing w:before="112"/>
                          <w:ind w:right="62"/>
                          <w:jc w:val="right"/>
                          <w:rPr>
                            <w:sz w:val="16"/>
                          </w:rPr>
                        </w:pPr>
                        <w:r>
                          <w:rPr>
                            <w:w w:val="95"/>
                            <w:sz w:val="16"/>
                          </w:rPr>
                          <w:t>17</w:t>
                        </w:r>
                      </w:p>
                    </w:tc>
                    <w:tc>
                      <w:tcPr>
                        <w:tcW w:w="700" w:type="dxa"/>
                      </w:tcPr>
                      <w:p>
                        <w:pPr>
                          <w:pStyle w:val="TableParagraph"/>
                          <w:spacing w:before="112"/>
                          <w:ind w:right="61"/>
                          <w:jc w:val="right"/>
                          <w:rPr>
                            <w:sz w:val="16"/>
                          </w:rPr>
                        </w:pPr>
                        <w:r>
                          <w:rPr>
                            <w:w w:val="95"/>
                            <w:sz w:val="16"/>
                          </w:rPr>
                          <w:t>17</w:t>
                        </w:r>
                      </w:p>
                    </w:tc>
                    <w:tc>
                      <w:tcPr>
                        <w:tcW w:w="647" w:type="dxa"/>
                      </w:tcPr>
                      <w:p>
                        <w:pPr>
                          <w:pStyle w:val="TableParagraph"/>
                          <w:spacing w:before="112"/>
                          <w:ind w:right="60"/>
                          <w:jc w:val="right"/>
                          <w:rPr>
                            <w:sz w:val="16"/>
                          </w:rPr>
                        </w:pPr>
                        <w:r>
                          <w:rPr>
                            <w:w w:val="95"/>
                            <w:sz w:val="16"/>
                          </w:rPr>
                          <w:t>23</w:t>
                        </w:r>
                      </w:p>
                    </w:tc>
                  </w:tr>
                  <w:tr>
                    <w:trPr>
                      <w:trHeight w:val="310" w:hRule="exact"/>
                    </w:trPr>
                    <w:tc>
                      <w:tcPr>
                        <w:tcW w:w="1200" w:type="dxa"/>
                      </w:tcPr>
                      <w:p>
                        <w:pPr>
                          <w:pStyle w:val="TableParagraph"/>
                          <w:spacing w:before="112"/>
                          <w:ind w:left="64" w:right="133"/>
                          <w:rPr>
                            <w:sz w:val="16"/>
                          </w:rPr>
                        </w:pPr>
                        <w:r>
                          <w:rPr>
                            <w:sz w:val="16"/>
                          </w:rPr>
                          <w:t>Medium</w:t>
                        </w:r>
                      </w:p>
                    </w:tc>
                    <w:tc>
                      <w:tcPr>
                        <w:tcW w:w="660" w:type="dxa"/>
                      </w:tcPr>
                      <w:p>
                        <w:pPr>
                          <w:pStyle w:val="TableParagraph"/>
                          <w:spacing w:before="112"/>
                          <w:ind w:right="62"/>
                          <w:jc w:val="right"/>
                          <w:rPr>
                            <w:sz w:val="16"/>
                          </w:rPr>
                        </w:pPr>
                        <w:r>
                          <w:rPr>
                            <w:w w:val="95"/>
                            <w:sz w:val="16"/>
                          </w:rPr>
                          <w:t>27</w:t>
                        </w:r>
                      </w:p>
                    </w:tc>
                    <w:tc>
                      <w:tcPr>
                        <w:tcW w:w="700" w:type="dxa"/>
                      </w:tcPr>
                      <w:p>
                        <w:pPr>
                          <w:pStyle w:val="TableParagraph"/>
                          <w:spacing w:before="112"/>
                          <w:ind w:right="61"/>
                          <w:jc w:val="right"/>
                          <w:rPr>
                            <w:sz w:val="16"/>
                          </w:rPr>
                        </w:pPr>
                        <w:r>
                          <w:rPr>
                            <w:w w:val="95"/>
                            <w:sz w:val="16"/>
                          </w:rPr>
                          <w:t>19</w:t>
                        </w:r>
                      </w:p>
                    </w:tc>
                    <w:tc>
                      <w:tcPr>
                        <w:tcW w:w="647" w:type="dxa"/>
                      </w:tcPr>
                      <w:p>
                        <w:pPr>
                          <w:pStyle w:val="TableParagraph"/>
                          <w:spacing w:before="112"/>
                          <w:ind w:right="60"/>
                          <w:jc w:val="right"/>
                          <w:rPr>
                            <w:sz w:val="16"/>
                          </w:rPr>
                        </w:pPr>
                        <w:r>
                          <w:rPr>
                            <w:w w:val="95"/>
                            <w:sz w:val="16"/>
                          </w:rPr>
                          <w:t>41</w:t>
                        </w:r>
                      </w:p>
                    </w:tc>
                  </w:tr>
                  <w:tr>
                    <w:trPr>
                      <w:trHeight w:val="310" w:hRule="exact"/>
                    </w:trPr>
                    <w:tc>
                      <w:tcPr>
                        <w:tcW w:w="1200" w:type="dxa"/>
                      </w:tcPr>
                      <w:p>
                        <w:pPr>
                          <w:pStyle w:val="TableParagraph"/>
                          <w:spacing w:before="112"/>
                          <w:ind w:left="64" w:right="133"/>
                          <w:rPr>
                            <w:sz w:val="16"/>
                          </w:rPr>
                        </w:pPr>
                        <w:r>
                          <w:rPr>
                            <w:sz w:val="16"/>
                          </w:rPr>
                          <w:t>High</w:t>
                        </w:r>
                      </w:p>
                    </w:tc>
                    <w:tc>
                      <w:tcPr>
                        <w:tcW w:w="660" w:type="dxa"/>
                      </w:tcPr>
                      <w:p>
                        <w:pPr>
                          <w:pStyle w:val="TableParagraph"/>
                          <w:spacing w:before="112"/>
                          <w:ind w:right="62"/>
                          <w:jc w:val="right"/>
                          <w:rPr>
                            <w:sz w:val="16"/>
                          </w:rPr>
                        </w:pPr>
                        <w:r>
                          <w:rPr>
                            <w:w w:val="95"/>
                            <w:sz w:val="16"/>
                          </w:rPr>
                          <w:t>28</w:t>
                        </w:r>
                      </w:p>
                    </w:tc>
                    <w:tc>
                      <w:tcPr>
                        <w:tcW w:w="700" w:type="dxa"/>
                      </w:tcPr>
                      <w:p>
                        <w:pPr>
                          <w:pStyle w:val="TableParagraph"/>
                          <w:spacing w:before="112"/>
                          <w:ind w:right="61"/>
                          <w:jc w:val="right"/>
                          <w:rPr>
                            <w:sz w:val="16"/>
                          </w:rPr>
                        </w:pPr>
                        <w:r>
                          <w:rPr>
                            <w:w w:val="95"/>
                            <w:sz w:val="16"/>
                          </w:rPr>
                          <w:t>28</w:t>
                        </w:r>
                      </w:p>
                    </w:tc>
                    <w:tc>
                      <w:tcPr>
                        <w:tcW w:w="647" w:type="dxa"/>
                      </w:tcPr>
                      <w:p>
                        <w:pPr>
                          <w:pStyle w:val="TableParagraph"/>
                          <w:spacing w:before="112"/>
                          <w:ind w:right="60"/>
                          <w:jc w:val="right"/>
                          <w:rPr>
                            <w:sz w:val="16"/>
                          </w:rPr>
                        </w:pPr>
                        <w:r>
                          <w:rPr>
                            <w:w w:val="95"/>
                            <w:sz w:val="16"/>
                          </w:rPr>
                          <w:t>21</w:t>
                        </w:r>
                      </w:p>
                    </w:tc>
                  </w:tr>
                  <w:tr>
                    <w:trPr>
                      <w:trHeight w:val="475" w:hRule="exact"/>
                    </w:trPr>
                    <w:tc>
                      <w:tcPr>
                        <w:tcW w:w="1200" w:type="dxa"/>
                      </w:tcPr>
                      <w:p>
                        <w:pPr>
                          <w:pStyle w:val="TableParagraph"/>
                          <w:spacing w:before="93"/>
                          <w:ind w:left="64" w:right="253"/>
                          <w:rPr>
                            <w:sz w:val="16"/>
                          </w:rPr>
                        </w:pPr>
                        <w:r>
                          <w:rPr>
                            <w:sz w:val="16"/>
                          </w:rPr>
                          <w:t>Very High or Critical</w:t>
                        </w:r>
                      </w:p>
                    </w:tc>
                    <w:tc>
                      <w:tcPr>
                        <w:tcW w:w="660" w:type="dxa"/>
                      </w:tcPr>
                      <w:p>
                        <w:pPr>
                          <w:pStyle w:val="TableParagraph"/>
                          <w:rPr>
                            <w:sz w:val="16"/>
                          </w:rPr>
                        </w:pPr>
                      </w:p>
                      <w:p>
                        <w:pPr>
                          <w:pStyle w:val="TableParagraph"/>
                          <w:spacing w:before="94"/>
                          <w:ind w:right="61"/>
                          <w:jc w:val="right"/>
                          <w:rPr>
                            <w:sz w:val="16"/>
                          </w:rPr>
                        </w:pPr>
                        <w:r>
                          <w:rPr>
                            <w:w w:val="95"/>
                            <w:sz w:val="16"/>
                          </w:rPr>
                          <w:t>17</w:t>
                        </w:r>
                      </w:p>
                    </w:tc>
                    <w:tc>
                      <w:tcPr>
                        <w:tcW w:w="700" w:type="dxa"/>
                      </w:tcPr>
                      <w:p>
                        <w:pPr>
                          <w:pStyle w:val="TableParagraph"/>
                          <w:rPr>
                            <w:sz w:val="16"/>
                          </w:rPr>
                        </w:pPr>
                      </w:p>
                      <w:p>
                        <w:pPr>
                          <w:pStyle w:val="TableParagraph"/>
                          <w:spacing w:before="94"/>
                          <w:ind w:right="60"/>
                          <w:jc w:val="right"/>
                          <w:rPr>
                            <w:sz w:val="16"/>
                          </w:rPr>
                        </w:pPr>
                        <w:r>
                          <w:rPr>
                            <w:w w:val="95"/>
                            <w:sz w:val="16"/>
                          </w:rPr>
                          <w:t>19</w:t>
                        </w:r>
                      </w:p>
                    </w:tc>
                    <w:tc>
                      <w:tcPr>
                        <w:tcW w:w="647" w:type="dxa"/>
                      </w:tcPr>
                      <w:p>
                        <w:pPr>
                          <w:pStyle w:val="TableParagraph"/>
                          <w:rPr>
                            <w:sz w:val="16"/>
                          </w:rPr>
                        </w:pPr>
                      </w:p>
                      <w:p>
                        <w:pPr>
                          <w:pStyle w:val="TableParagraph"/>
                          <w:spacing w:before="94"/>
                          <w:ind w:right="61"/>
                          <w:jc w:val="right"/>
                          <w:rPr>
                            <w:sz w:val="16"/>
                          </w:rPr>
                        </w:pPr>
                        <w:r>
                          <w:rPr>
                            <w:w w:val="99"/>
                            <w:sz w:val="16"/>
                          </w:rPr>
                          <w:t>6</w:t>
                        </w:r>
                      </w:p>
                    </w:tc>
                  </w:tr>
                </w:tbl>
                <w:p>
                  <w:pPr>
                    <w:pStyle w:val="BodyText"/>
                  </w:pPr>
                </w:p>
              </w:txbxContent>
            </v:textbox>
            <w10:wrap type="none"/>
          </v:shape>
        </w:pict>
      </w:r>
      <w:r>
        <w:rPr/>
        <w:t>Table 4. Relationship between risk levels in work related psychosocial risk factors, non-related to work psychosocial risk factors and CESQT questionnaire.</w:t>
      </w:r>
    </w:p>
    <w:p>
      <w:pPr>
        <w:pStyle w:val="BodyText"/>
        <w:spacing w:before="7"/>
        <w:rPr>
          <w:sz w:val="26"/>
        </w:rPr>
      </w:pPr>
      <w:r>
        <w:rPr/>
        <w:br w:type="column"/>
      </w:r>
      <w:r>
        <w:rPr>
          <w:sz w:val="26"/>
        </w:rPr>
      </w:r>
    </w:p>
    <w:p>
      <w:pPr>
        <w:pStyle w:val="Heading4"/>
        <w:numPr>
          <w:ilvl w:val="0"/>
          <w:numId w:val="150"/>
        </w:numPr>
        <w:tabs>
          <w:tab w:pos="471" w:val="left" w:leader="none"/>
        </w:tabs>
        <w:spacing w:line="240" w:lineRule="auto" w:before="0" w:after="0"/>
        <w:ind w:left="470" w:right="0" w:hanging="200"/>
        <w:jc w:val="both"/>
      </w:pPr>
      <w:r>
        <w:rPr/>
        <w:t>DISCUSSION</w:t>
      </w:r>
    </w:p>
    <w:p>
      <w:pPr>
        <w:pStyle w:val="BodyText"/>
        <w:spacing w:before="9"/>
        <w:rPr>
          <w:b/>
          <w:sz w:val="19"/>
        </w:rPr>
      </w:pPr>
    </w:p>
    <w:p>
      <w:pPr>
        <w:pStyle w:val="BodyText"/>
        <w:spacing w:before="1"/>
        <w:ind w:left="270" w:right="676"/>
        <w:jc w:val="both"/>
      </w:pPr>
      <w:r>
        <w:rPr/>
        <w:t>Although the study has some limitations by the terms of applications, including the sample size only 15% of the people, who make the administrative area of the assessed company and the inability to implement simultaneously in all people, restricts some quality results. However similarities with studies of other authors mentioned in the investigative records are</w:t>
      </w:r>
      <w:r>
        <w:rPr>
          <w:spacing w:val="-16"/>
        </w:rPr>
        <w:t> </w:t>
      </w:r>
      <w:r>
        <w:rPr/>
        <w:t>evident</w:t>
      </w:r>
    </w:p>
    <w:p>
      <w:pPr>
        <w:pStyle w:val="BodyText"/>
        <w:ind w:left="270" w:right="676" w:firstLine="360"/>
        <w:jc w:val="both"/>
      </w:pPr>
      <w:r>
        <w:rPr/>
        <w:t>From the results of the application of the battery of psychosocial risks, it is evident that, with respect to internal conditions of work, a higher percentage of risk as to the conditions and rewards leadership, social relationships at work is presented, performance feedback and emotional demands. This could indicate that workers in the company's service delivery and procurement staff in the area of human resources are at high risk related aspects such as management attributes immediate supervisors regarding the planning and allocation of work, achieving results, conflict resolution, participation, motivation, support, interaction  and communication with partners; have difficulties and do not perceive that they have enough support in the performance of the</w:t>
      </w:r>
      <w:r>
        <w:rPr>
          <w:spacing w:val="-9"/>
        </w:rPr>
        <w:t> </w:t>
      </w:r>
      <w:r>
        <w:rPr/>
        <w:t>duties.</w:t>
      </w:r>
    </w:p>
    <w:p>
      <w:pPr>
        <w:pStyle w:val="BodyText"/>
        <w:ind w:left="270" w:right="676" w:firstLine="360"/>
        <w:jc w:val="both"/>
      </w:pPr>
      <w:r>
        <w:rPr/>
        <w:t>Significantly, the study of Medina, whose aim was to determine which strategy, should use a company to eliminate stress from their workers, and the benefits that entails for the worker and the organization. The conclusion reached is that the strategy must be global, it must be based on a proactive attitude on the part of the organization and that once the stress of worker has been removed ,  it identifies more with the organization and knows how  to work better together increasing</w:t>
      </w:r>
      <w:r>
        <w:rPr>
          <w:spacing w:val="-29"/>
        </w:rPr>
        <w:t> </w:t>
      </w:r>
      <w:r>
        <w:rPr/>
        <w:t>profitability.</w:t>
      </w:r>
    </w:p>
    <w:p>
      <w:pPr>
        <w:pStyle w:val="BodyText"/>
        <w:ind w:left="270" w:right="676" w:firstLine="360"/>
        <w:jc w:val="both"/>
      </w:pPr>
      <w:r>
        <w:rPr/>
        <w:t>In this case it was found that younger workers, single and graduates, are those with higher levels work and non- work related of psychosocial risk and Burnout. This corresponds with what obtained in the study of Riera, Montilla and Rodriguez on the implementation of the Maslach Burnout Inventory, where he met as a result: high level of Burnout at one year of seniority in the  private sector. High levels of burnout were found in workers in the private sector, with degree of study (High School). Additionally the high level of Burnout was found in workers who have recently arrived in determining seniority who feel frustrated aspirations in a short period of work exercise.</w:t>
      </w:r>
    </w:p>
    <w:p>
      <w:pPr>
        <w:pStyle w:val="BodyText"/>
        <w:ind w:left="270" w:right="678" w:firstLine="360"/>
        <w:jc w:val="both"/>
      </w:pPr>
      <w:r>
        <w:rPr/>
        <w:t>The results obtained in the sample evaluated overlap with that obtained in the investigation by Madero Llanes et al, where the prevalence of burnout syndrome in the lower level was the predominant over 80 % presence.</w:t>
      </w:r>
    </w:p>
    <w:p>
      <w:pPr>
        <w:pStyle w:val="BodyText"/>
        <w:ind w:left="270" w:right="676" w:firstLine="360"/>
        <w:jc w:val="both"/>
      </w:pPr>
      <w:r>
        <w:rPr/>
        <w:t>Variables that did show some relationship to burnout syndrome were age and seniority in office, since the higher age of the people evaluated the less intensity and the more seniority in the workplace, the syndrome is reduced. In this case, the prevalence of disappointment at work increases with age.</w:t>
      </w:r>
    </w:p>
    <w:p>
      <w:pPr>
        <w:pStyle w:val="BodyText"/>
        <w:ind w:left="270" w:right="676" w:firstLine="360"/>
        <w:jc w:val="both"/>
      </w:pPr>
      <w:r>
        <w:rPr/>
        <w:t>As in the investigation of Ahola et al, it was determined that the burnout is a chronic stress syndrome which  develops gradually as a result of prolonged stress  </w:t>
      </w:r>
      <w:r>
        <w:rPr>
          <w:spacing w:val="20"/>
        </w:rPr>
        <w:t> </w:t>
      </w:r>
      <w:r>
        <w:rPr/>
        <w:t>situation.</w:t>
      </w:r>
    </w:p>
    <w:p>
      <w:pPr>
        <w:spacing w:after="0"/>
        <w:jc w:val="both"/>
        <w:sectPr>
          <w:type w:val="continuous"/>
          <w:pgSz w:w="12240" w:h="15840"/>
          <w:pgMar w:top="1500" w:bottom="280" w:left="580" w:right="220"/>
          <w:cols w:num="2" w:equalWidth="0">
            <w:col w:w="5190" w:space="434"/>
            <w:col w:w="5816"/>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4"/>
        <w:ind w:left="270"/>
        <w:jc w:val="both"/>
      </w:pPr>
      <w:r>
        <w:rPr/>
        <w:t>As a result only small differences between different population groups were found. It was determined that the Burnout affects all types of populations and age is not usually a protective factor against</w:t>
      </w:r>
      <w:r>
        <w:rPr>
          <w:spacing w:val="-20"/>
        </w:rPr>
        <w:t> </w:t>
      </w:r>
      <w:r>
        <w:rPr/>
        <w:t>Burnout.</w:t>
      </w:r>
    </w:p>
    <w:p>
      <w:pPr>
        <w:pStyle w:val="BodyText"/>
        <w:ind w:left="270" w:firstLine="360"/>
        <w:jc w:val="both"/>
      </w:pPr>
      <w:r>
        <w:rPr/>
        <w:t>It is noted that the constant changes that occur in a company to achieve success and competitiveness affect humans which is constantly subjected to strong external influences, which are becoming new dependent disease workplace, such as the syndrome labor exhaustion (burnout) requiring the worker the constant sense of competence, perfectionism and prestige, compromising their psychophysical health, forcing him to take leave for temporary disability and undergo medical treatment. This was widely reported in the research of Servin Zenteno on burnout in employees of companies affiliated with the national chamber of</w:t>
      </w:r>
      <w:r>
        <w:rPr>
          <w:spacing w:val="-11"/>
        </w:rPr>
        <w:t> </w:t>
      </w:r>
      <w:r>
        <w:rPr/>
        <w:t>commerce.</w:t>
      </w:r>
    </w:p>
    <w:p>
      <w:pPr>
        <w:pStyle w:val="BodyText"/>
        <w:ind w:left="270" w:firstLine="360"/>
        <w:jc w:val="both"/>
      </w:pPr>
      <w:r>
        <w:rPr/>
        <w:t>Unlike the study of Palazzo, Carlotto , Castro  goose Aerts where it was found that emotional exhaustion had the highest rates, primarily associated with night work, shift or rotating and health leaves; and in which the three dimensions were significantly associated with variables reflecting the negative perception of the environment and the work  context. In this case, the emotional demands are high and very high risk, but the association is not given to the type of work performed or shifts, but relationships with peers and/or workgroups</w:t>
      </w:r>
    </w:p>
    <w:p>
      <w:pPr>
        <w:pStyle w:val="BodyText"/>
        <w:ind w:left="270" w:firstLine="360"/>
        <w:jc w:val="both"/>
      </w:pPr>
      <w:r>
        <w:rPr/>
        <w:t>Regarding the non-work related conditions, aspects of housing, transport and economic conditions are representatively aspects influencing the dynamics of  workers, which were evident at high risk and very high. So,  it is important to consider that aspect of family or personal life affect the welfare, performance or their relationships of the worker with others at work, especially in singles. What  is important that the company pay attention to these working conditions to consider work schedules, financial trainings on home economics and implementing strategies for creating healthy housing</w:t>
      </w:r>
      <w:r>
        <w:rPr>
          <w:spacing w:val="-15"/>
        </w:rPr>
        <w:t> </w:t>
      </w:r>
      <w:r>
        <w:rPr/>
        <w:t>environments.</w:t>
      </w:r>
    </w:p>
    <w:p>
      <w:pPr>
        <w:pStyle w:val="BodyText"/>
        <w:ind w:left="270" w:firstLine="360"/>
        <w:jc w:val="both"/>
      </w:pPr>
      <w:r>
        <w:rPr/>
        <w:t>According to the test results of CESQT reported significant data in the presence of at medium risk of Burnout, and observed that workers exhibit behaviors characteristic of this syndrome, which causes a negative impact on the company and the worker. The staff can show indolence evaluated ( 24.5 % was evaluated with high risk or critical in this dimension, which means the emergence of negative attitudes of indifference and cynicism toward customers , in this case internal clients, the workspace) to the customer problems, feelings of guilt about the behavior and negative attitudes developed at work especially towards people with whom business relations are established; it can also be a cause of absence, turnover, reduced productivity, diminished quality and diseases of workers because of their work.</w:t>
      </w:r>
    </w:p>
    <w:p>
      <w:pPr>
        <w:pStyle w:val="BodyText"/>
        <w:ind w:left="270" w:right="1" w:firstLine="360"/>
        <w:jc w:val="both"/>
      </w:pPr>
      <w:r>
        <w:rPr/>
        <w:t>It is vital that in the area of human resources the results of this research are taken into account since timely intervention that includes; wellness activities, integration, organization and health can protect their workers while providing these friendly and suitable working environments.</w:t>
      </w:r>
    </w:p>
    <w:p>
      <w:pPr>
        <w:pStyle w:val="BodyText"/>
        <w:ind w:left="270" w:right="1" w:firstLine="360"/>
        <w:jc w:val="both"/>
      </w:pPr>
      <w:r>
        <w:rPr/>
        <w:t>Based on the results of the application of the battery psychosocial risk and CESQT they can provide strategies  to</w:t>
      </w:r>
    </w:p>
    <w:p>
      <w:pPr>
        <w:pStyle w:val="BodyText"/>
        <w:spacing w:before="74"/>
        <w:ind w:left="270" w:right="674"/>
        <w:jc w:val="both"/>
      </w:pPr>
      <w:r>
        <w:rPr/>
        <w:br w:type="column"/>
      </w:r>
      <w:r>
        <w:rPr/>
        <w:t>implement new measures to improve and thus determine continuous monitoring of staff to ensure the safety, health and welfare of staff working the temporary employment company.</w:t>
      </w:r>
    </w:p>
    <w:p>
      <w:pPr>
        <w:pStyle w:val="BodyText"/>
        <w:spacing w:before="11"/>
        <w:rPr>
          <w:sz w:val="19"/>
        </w:rPr>
      </w:pPr>
    </w:p>
    <w:p>
      <w:pPr>
        <w:pStyle w:val="BodyText"/>
        <w:ind w:left="270" w:right="676" w:firstLine="350"/>
        <w:jc w:val="both"/>
      </w:pPr>
      <w:r>
        <w:rPr/>
        <w:t>With the development of this research was observed  that when an organization is present psychosocial risk factors are unfavorable for the development of labor  activity, with significant consequences for the company and for the worker's physical and mental wellbeing. It was noted that there are divided opinions into some workers regarding psychosocial risk factors questionnaire form</w:t>
      </w:r>
      <w:r>
        <w:rPr>
          <w:spacing w:val="-17"/>
        </w:rPr>
        <w:t> </w:t>
      </w:r>
      <w:r>
        <w:rPr/>
        <w:t>A.</w:t>
      </w:r>
    </w:p>
    <w:p>
      <w:pPr>
        <w:pStyle w:val="BodyText"/>
        <w:ind w:left="270" w:right="678" w:firstLine="360"/>
        <w:jc w:val="both"/>
      </w:pPr>
      <w:r>
        <w:rPr/>
        <w:t>17% of people in the sample have high risk factors for both work related psychosocial factors questionnaire as well as the burnout evaluation. This is a negative for  the company as it confirms the presence of psychosocial risk factor and Burnout syndrome.</w:t>
      </w:r>
    </w:p>
    <w:p>
      <w:pPr>
        <w:pStyle w:val="BodyText"/>
        <w:ind w:left="270" w:right="676" w:firstLine="360"/>
        <w:jc w:val="both"/>
      </w:pPr>
      <w:r>
        <w:rPr/>
        <w:t>It is observed that 21 % of people in the sample are at high or very high risks for mastering emotional demands while are at high or critical risk of illusion for job dimension. That is, to the extent that people are acquiring greater emotional charge associated with their daily role, the greater the loss of enthusiasm for the</w:t>
      </w:r>
      <w:r>
        <w:rPr>
          <w:spacing w:val="-20"/>
        </w:rPr>
        <w:t> </w:t>
      </w:r>
      <w:r>
        <w:rPr/>
        <w:t>job.</w:t>
      </w:r>
    </w:p>
    <w:p>
      <w:pPr>
        <w:pStyle w:val="BodyText"/>
        <w:ind w:left="270" w:right="675" w:firstLine="360"/>
        <w:jc w:val="both"/>
      </w:pPr>
      <w:r>
        <w:rPr/>
        <w:t>To the extent that people acquire emotional stability  and build long-term relationships through cohabitation or marriage, the risk of the economic situation of  the household decreases 15 % and 6% in high and very high respectively.</w:t>
      </w:r>
    </w:p>
    <w:p>
      <w:pPr>
        <w:pStyle w:val="BodyText"/>
      </w:pPr>
    </w:p>
    <w:p>
      <w:pPr>
        <w:pStyle w:val="BodyText"/>
        <w:spacing w:before="2"/>
      </w:pPr>
    </w:p>
    <w:p>
      <w:pPr>
        <w:pStyle w:val="Heading4"/>
      </w:pPr>
      <w:r>
        <w:rPr/>
        <w:t>6. REFERENCES</w:t>
      </w:r>
    </w:p>
    <w:p>
      <w:pPr>
        <w:pStyle w:val="BodyText"/>
        <w:spacing w:before="8"/>
        <w:rPr>
          <w:b/>
          <w:sz w:val="19"/>
        </w:rPr>
      </w:pPr>
    </w:p>
    <w:p>
      <w:pPr>
        <w:pStyle w:val="BodyText"/>
        <w:ind w:left="270" w:right="676"/>
        <w:jc w:val="both"/>
      </w:pPr>
      <w:r>
        <w:rPr/>
        <w:t>[1] P. Schnall, M. Dobson &amp; E. Rosskam, “Trabajo no saludable: Causas, Consecuencias, Curas”, Bogotá, Ediciones Uniandes, 2011.</w:t>
      </w:r>
    </w:p>
    <w:p>
      <w:pPr>
        <w:pStyle w:val="BodyText"/>
        <w:spacing w:before="11"/>
        <w:rPr>
          <w:sz w:val="19"/>
        </w:rPr>
      </w:pPr>
    </w:p>
    <w:p>
      <w:pPr>
        <w:pStyle w:val="BodyText"/>
        <w:ind w:left="270" w:right="676"/>
        <w:jc w:val="both"/>
      </w:pPr>
      <w:r>
        <w:rPr/>
        <w:t>[2] J. Quiceno, y S. Vinaccia. “Burnout: Síndrome de quemarse en el trabajo (SQT)”, Acta colombiana de psicología, 10 (2), pp.117 – 125, 2007.</w:t>
      </w:r>
    </w:p>
    <w:p>
      <w:pPr>
        <w:pStyle w:val="BodyText"/>
      </w:pPr>
    </w:p>
    <w:p>
      <w:pPr>
        <w:pStyle w:val="BodyText"/>
        <w:spacing w:before="1"/>
        <w:ind w:left="270" w:right="678"/>
        <w:jc w:val="both"/>
      </w:pPr>
      <w:r>
        <w:rPr/>
        <w:t>[3] R. Karasek, y T. Töres. “Healthy Work: Stress, Productivity and the reconstruction of the working  life”, </w:t>
      </w:r>
      <w:r>
        <w:rPr>
          <w:b/>
        </w:rPr>
        <w:t>New </w:t>
      </w:r>
      <w:r>
        <w:rPr/>
        <w:t>York: Basic Books, 1990.</w:t>
      </w:r>
    </w:p>
    <w:p>
      <w:pPr>
        <w:pStyle w:val="BodyText"/>
        <w:spacing w:before="11"/>
        <w:rPr>
          <w:sz w:val="19"/>
        </w:rPr>
      </w:pPr>
    </w:p>
    <w:p>
      <w:pPr>
        <w:pStyle w:val="BodyText"/>
        <w:ind w:left="270" w:right="678"/>
        <w:jc w:val="both"/>
      </w:pPr>
      <w:r>
        <w:rPr/>
        <w:t>[4] J. Siegrist. “Adverse health effects of high – effort/low – reward conditions”. Journal of occupational health psychology, l (1), pp. 27-41, 1996.</w:t>
      </w:r>
    </w:p>
    <w:p>
      <w:pPr>
        <w:pStyle w:val="BodyText"/>
        <w:spacing w:before="11"/>
        <w:rPr>
          <w:sz w:val="19"/>
        </w:rPr>
      </w:pPr>
    </w:p>
    <w:p>
      <w:pPr>
        <w:pStyle w:val="BodyText"/>
        <w:ind w:left="270" w:right="676"/>
        <w:jc w:val="both"/>
      </w:pPr>
      <w:r>
        <w:rPr/>
        <w:t>[5] P. R. Gil Monte. “Cuestionario para la evaluación del Síndrome de Quemarse por el Trabajo”, TEA Ediciones, 2011.</w:t>
      </w:r>
    </w:p>
    <w:p>
      <w:pPr>
        <w:pStyle w:val="BodyText"/>
        <w:spacing w:before="11"/>
        <w:rPr>
          <w:sz w:val="19"/>
        </w:rPr>
      </w:pPr>
    </w:p>
    <w:p>
      <w:pPr>
        <w:pStyle w:val="BodyText"/>
        <w:ind w:left="270" w:right="677"/>
        <w:jc w:val="both"/>
      </w:pPr>
      <w:r>
        <w:rPr/>
        <w:t>[6] J. E. Madero Llanes </w:t>
      </w:r>
      <w:r>
        <w:rPr>
          <w:i/>
        </w:rPr>
        <w:t>et al</w:t>
      </w:r>
      <w:r>
        <w:rPr/>
        <w:t>. “Burnout en personal administrativo de una institución de educación superior tecnológica de Yucatán, México”, Revista Electrónica de Psicología, 16 (3), pp. 741-760, 2013.</w:t>
      </w:r>
    </w:p>
    <w:p>
      <w:pPr>
        <w:spacing w:after="0"/>
        <w:jc w:val="both"/>
        <w:sectPr>
          <w:type w:val="continuous"/>
          <w:pgSz w:w="12240" w:h="15840"/>
          <w:pgMar w:top="1500" w:bottom="280" w:left="580" w:right="220"/>
          <w:cols w:num="2" w:equalWidth="0">
            <w:col w:w="5190" w:space="435"/>
            <w:col w:w="5815"/>
          </w:cols>
        </w:sectPr>
      </w:pPr>
    </w:p>
    <w:p>
      <w:pPr>
        <w:pStyle w:val="BodyText"/>
        <w:spacing w:before="4"/>
        <w:rPr>
          <w:sz w:val="11"/>
        </w:rPr>
      </w:pPr>
    </w:p>
    <w:p>
      <w:pPr>
        <w:pStyle w:val="BodyText"/>
        <w:spacing w:before="74"/>
        <w:ind w:left="270" w:right="6249"/>
        <w:jc w:val="both"/>
      </w:pPr>
      <w:r>
        <w:rPr/>
        <w:t>[7] K. Ahola, et al. “Burnout in general population, Results from the Finnish Health 2000 Study”. Journal of Social Psychiatry and Psychiatric Epidemiology, 41, p. 11–17, 2006.</w:t>
      </w:r>
    </w:p>
    <w:p>
      <w:pPr>
        <w:pStyle w:val="BodyText"/>
        <w:spacing w:before="11"/>
        <w:rPr>
          <w:sz w:val="19"/>
        </w:rPr>
      </w:pPr>
    </w:p>
    <w:p>
      <w:pPr>
        <w:pStyle w:val="BodyText"/>
        <w:ind w:left="270" w:right="6249"/>
        <w:jc w:val="both"/>
      </w:pPr>
      <w:r>
        <w:rPr/>
        <w:t>[8] P. Medina Aguerrebere. “La batalla contra el estrés en el trabajador español: implicaciones para el empleado y la organización”. Revista Gerencia y Políticas de Salud, 8 (17) pp. 30-42, 2009.</w:t>
      </w:r>
    </w:p>
    <w:p>
      <w:pPr>
        <w:pStyle w:val="BodyText"/>
        <w:spacing w:before="11"/>
        <w:rPr>
          <w:sz w:val="19"/>
        </w:rPr>
      </w:pPr>
    </w:p>
    <w:p>
      <w:pPr>
        <w:pStyle w:val="BodyText"/>
        <w:ind w:left="270" w:right="6250"/>
        <w:jc w:val="both"/>
      </w:pPr>
      <w:r>
        <w:rPr/>
        <w:t>[9] H. Vásquez Fernández. “Una mirada al trabajo temporal en Colombia y a las empresas de servicios temporales. Febrero de 2013”. Disponible en internet: </w:t>
      </w:r>
      <w:hyperlink r:id="rId687">
        <w:r>
          <w:rPr>
            <w:color w:val="0000FF"/>
            <w:u w:val="single" w:color="0000FF"/>
          </w:rPr>
          <w:t>http://www.ens.org.co/index.shtml?</w:t>
        </w:r>
      </w:hyperlink>
      <w:r>
        <w:rPr>
          <w:color w:val="0000FF"/>
          <w:u w:val="single" w:color="0000FF"/>
        </w:rPr>
        <w:t> </w:t>
      </w:r>
      <w:r>
        <w:rPr/>
        <w:t>[Consultado el 5  de Abril de 2014]</w:t>
      </w:r>
    </w:p>
    <w:p>
      <w:pPr>
        <w:pStyle w:val="BodyText"/>
        <w:spacing w:before="11"/>
        <w:rPr>
          <w:sz w:val="19"/>
        </w:rPr>
      </w:pPr>
    </w:p>
    <w:p>
      <w:pPr>
        <w:pStyle w:val="BodyText"/>
        <w:ind w:left="270" w:right="6249"/>
        <w:jc w:val="both"/>
      </w:pPr>
      <w:r>
        <w:rPr/>
        <w:t>[10] L.E. Flórez Alarcón. Una Mirada a Síndrome de  Burnout en Colombia. El desgaste profesional de los psicólogos En: P. Gil Monte, El Síndrome de Quemado por el Trabajo: Grupos profesionales de riesgo. Madrid: Ediciones Pirámide. Pp. 219-230,</w:t>
      </w:r>
      <w:r>
        <w:rPr>
          <w:spacing w:val="-15"/>
        </w:rPr>
        <w:t> </w:t>
      </w:r>
      <w:r>
        <w:rPr/>
        <w:t>2007.</w:t>
      </w:r>
    </w:p>
    <w:p>
      <w:pPr>
        <w:pStyle w:val="BodyText"/>
        <w:spacing w:before="11"/>
        <w:rPr>
          <w:sz w:val="19"/>
        </w:rPr>
      </w:pPr>
    </w:p>
    <w:p>
      <w:pPr>
        <w:pStyle w:val="BodyText"/>
        <w:ind w:left="270" w:right="6251"/>
        <w:jc w:val="both"/>
      </w:pPr>
      <w:r>
        <w:rPr/>
        <w:t>[11] Ministerio de Trabajo. Batería de instrumentos para la evaluación de factores de riesgo psicosocial. Bogotá D.C., 2010. ISBN 978-958-8361-93-2</w:t>
      </w:r>
    </w:p>
    <w:p>
      <w:pPr>
        <w:pStyle w:val="BodyText"/>
      </w:pPr>
    </w:p>
    <w:p>
      <w:pPr>
        <w:pStyle w:val="BodyText"/>
        <w:spacing w:before="10"/>
        <w:rPr>
          <w:sz w:val="19"/>
        </w:rPr>
      </w:pPr>
    </w:p>
    <w:p>
      <w:pPr>
        <w:spacing w:before="0"/>
        <w:ind w:left="270" w:right="6248" w:firstLine="0"/>
        <w:jc w:val="both"/>
        <w:rPr>
          <w:sz w:val="16"/>
        </w:rPr>
      </w:pPr>
      <w:r>
        <w:rPr>
          <w:b/>
          <w:sz w:val="16"/>
        </w:rPr>
        <w:t>Eleonora Jiménez Barrero: </w:t>
      </w:r>
      <w:r>
        <w:rPr>
          <w:sz w:val="16"/>
        </w:rPr>
        <w:t>She is a Psychologist, with a master degree in psychology from U. Catholique de Louvain (Belgium), psychology specialist in occupational health and safety; she has worked in rehabilitation programs in order to prepare employees to return to work after an accident  or illness. Actually, she works in consultancy for the prevention of psychosocial risk at work. She is a teacher from the psychology department of los Andes University and a researcher from the specializing of Occupational Health and Safety in Manuela Beltrán University at Bogotá. She has been a speaker in different congresses in topics related with psychology, occupational health and</w:t>
      </w:r>
      <w:r>
        <w:rPr>
          <w:spacing w:val="-15"/>
          <w:sz w:val="16"/>
        </w:rPr>
        <w:t> </w:t>
      </w:r>
      <w:r>
        <w:rPr>
          <w:sz w:val="16"/>
        </w:rPr>
        <w:t>safety.</w:t>
      </w:r>
    </w:p>
    <w:p>
      <w:pPr>
        <w:pStyle w:val="BodyText"/>
        <w:rPr>
          <w:sz w:val="16"/>
        </w:rPr>
      </w:pPr>
    </w:p>
    <w:p>
      <w:pPr>
        <w:spacing w:before="0"/>
        <w:ind w:left="270" w:right="6249" w:firstLine="0"/>
        <w:jc w:val="both"/>
        <w:rPr>
          <w:sz w:val="16"/>
        </w:rPr>
      </w:pPr>
      <w:r>
        <w:rPr>
          <w:b/>
          <w:sz w:val="16"/>
        </w:rPr>
        <w:t>Jenny Quintero: </w:t>
      </w:r>
      <w:r>
        <w:rPr>
          <w:sz w:val="16"/>
        </w:rPr>
        <w:t>She is an industrial engineer with a specialization degree in Integrated Management Systems by the Colombian School of Engineering.</w:t>
      </w:r>
    </w:p>
    <w:p>
      <w:pPr>
        <w:spacing w:before="1"/>
        <w:ind w:left="270" w:right="0" w:firstLine="0"/>
        <w:jc w:val="both"/>
        <w:rPr>
          <w:sz w:val="16"/>
        </w:rPr>
      </w:pPr>
      <w:r>
        <w:rPr>
          <w:sz w:val="16"/>
        </w:rPr>
        <w:t>University.</w:t>
      </w:r>
    </w:p>
    <w:p>
      <w:pPr>
        <w:pStyle w:val="BodyText"/>
        <w:spacing w:before="4"/>
        <w:rPr>
          <w:sz w:val="17"/>
        </w:rPr>
      </w:pPr>
    </w:p>
    <w:p>
      <w:pPr>
        <w:spacing w:before="0"/>
        <w:ind w:left="270" w:right="6337" w:firstLine="0"/>
        <w:jc w:val="left"/>
        <w:rPr>
          <w:sz w:val="16"/>
        </w:rPr>
      </w:pPr>
      <w:r>
        <w:rPr>
          <w:b/>
          <w:sz w:val="16"/>
        </w:rPr>
        <w:t>Lizeth Katherine Bohórquez Gómez: </w:t>
      </w:r>
      <w:r>
        <w:rPr>
          <w:sz w:val="16"/>
        </w:rPr>
        <w:t>She is a psychologist from Ibagué University, specialist in Occupational health and labor risk from Manuela Beltrán University. She is an expert in the use, interpreting and principles for the intervention of the psychological risk factors at work evaluated by the Battery of Psychosocial risk factors from the Work Minister. Actually she works as specialist with the occupational health team of the Colombian Institute of Cancerology.</w:t>
      </w:r>
    </w:p>
    <w:p>
      <w:pPr>
        <w:pStyle w:val="BodyText"/>
        <w:spacing w:before="10"/>
        <w:rPr>
          <w:sz w:val="15"/>
        </w:rPr>
      </w:pPr>
    </w:p>
    <w:p>
      <w:pPr>
        <w:spacing w:before="0"/>
        <w:ind w:left="270" w:right="6250" w:firstLine="0"/>
        <w:jc w:val="both"/>
        <w:rPr>
          <w:sz w:val="16"/>
        </w:rPr>
      </w:pPr>
      <w:r>
        <w:rPr>
          <w:b/>
          <w:sz w:val="16"/>
        </w:rPr>
        <w:t>Maira Alejandra Chaparro Sepúlveda: </w:t>
      </w:r>
      <w:r>
        <w:rPr>
          <w:sz w:val="16"/>
        </w:rPr>
        <w:t>She is a physiotherapist and specialist in Occupational health and labor risk from Manuela Beltrán University. She is qualified in deal with physical movement rehabilitation in patients with osteo- muscular, neurological and cardiopulmonary disturbances.</w:t>
      </w:r>
    </w:p>
    <w:p>
      <w:pPr>
        <w:spacing w:after="0"/>
        <w:jc w:val="both"/>
        <w:rPr>
          <w:sz w:val="16"/>
        </w:rPr>
        <w:sectPr>
          <w:pgSz w:w="12240" w:h="15840"/>
          <w:pgMar w:header="545" w:footer="852" w:top="1060" w:bottom="1040" w:left="580" w:right="220"/>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
        <w:rPr>
          <w:sz w:val="26"/>
        </w:rPr>
      </w:pPr>
    </w:p>
    <w:p>
      <w:pPr>
        <w:pStyle w:val="Heading1"/>
        <w:ind w:right="16"/>
      </w:pPr>
      <w:r>
        <w:rPr/>
        <w:t>Ergonomic research about possible CDT’s in barbers of Los Mochis, Sinaloa City</w:t>
      </w:r>
    </w:p>
    <w:p>
      <w:pPr>
        <w:pStyle w:val="BodyText"/>
        <w:spacing w:before="5"/>
        <w:rPr>
          <w:b/>
          <w:sz w:val="19"/>
        </w:rPr>
      </w:pPr>
    </w:p>
    <w:p>
      <w:pPr>
        <w:spacing w:line="213" w:lineRule="auto" w:before="0"/>
        <w:ind w:left="270" w:right="16" w:firstLine="0"/>
        <w:jc w:val="both"/>
        <w:rPr>
          <w:i/>
          <w:sz w:val="20"/>
        </w:rPr>
      </w:pPr>
      <w:r>
        <w:rPr>
          <w:i/>
          <w:sz w:val="20"/>
        </w:rPr>
        <w:t>Alberto Ramírez Leyva </w:t>
      </w:r>
      <w:r>
        <w:rPr>
          <w:i/>
          <w:position w:val="9"/>
          <w:sz w:val="13"/>
        </w:rPr>
        <w:t>a</w:t>
      </w:r>
      <w:r>
        <w:rPr>
          <w:i/>
          <w:sz w:val="20"/>
        </w:rPr>
        <w:t>, Jorge Alan Hinogiante Castillo </w:t>
      </w:r>
      <w:r>
        <w:rPr>
          <w:i/>
          <w:position w:val="9"/>
          <w:sz w:val="13"/>
        </w:rPr>
        <w:t>b</w:t>
      </w:r>
      <w:r>
        <w:rPr>
          <w:i/>
          <w:sz w:val="20"/>
        </w:rPr>
        <w:t>, </w:t>
      </w:r>
      <w:r>
        <w:rPr>
          <w:i/>
          <w:sz w:val="20"/>
        </w:rPr>
        <w:t>Elizabeth Guadalupe Robles Rojo </w:t>
      </w:r>
      <w:r>
        <w:rPr>
          <w:i/>
          <w:position w:val="9"/>
          <w:sz w:val="13"/>
        </w:rPr>
        <w:t>c</w:t>
      </w:r>
      <w:r>
        <w:rPr>
          <w:i/>
          <w:sz w:val="20"/>
        </w:rPr>
        <w:t>, Reyna Isabel Camacho Chávez </w:t>
      </w:r>
      <w:r>
        <w:rPr>
          <w:i/>
          <w:position w:val="9"/>
          <w:sz w:val="13"/>
        </w:rPr>
        <w:t>d</w:t>
      </w:r>
      <w:r>
        <w:rPr>
          <w:i/>
          <w:sz w:val="20"/>
        </w:rPr>
        <w:t>.</w:t>
      </w:r>
    </w:p>
    <w:p>
      <w:pPr>
        <w:pStyle w:val="BodyText"/>
        <w:spacing w:before="2"/>
        <w:rPr>
          <w:i/>
          <w:sz w:val="19"/>
        </w:rPr>
      </w:pPr>
    </w:p>
    <w:p>
      <w:pPr>
        <w:spacing w:before="0"/>
        <w:ind w:left="270" w:right="1" w:firstLine="0"/>
        <w:jc w:val="both"/>
        <w:rPr>
          <w:sz w:val="16"/>
        </w:rPr>
      </w:pPr>
      <w:r>
        <w:rPr>
          <w:position w:val="7"/>
          <w:sz w:val="10"/>
        </w:rPr>
        <w:t>a </w:t>
      </w:r>
      <w:r>
        <w:rPr>
          <w:sz w:val="16"/>
        </w:rPr>
        <w:t>Instituto Tecnológico de Los Mochis, Juan de Dios Batiz y 20 de  noviembre s/n código postal 81259, alberto_ramirez_leyva@yahoo,com,  Los Mochis, Sinaloa,</w:t>
      </w:r>
      <w:r>
        <w:rPr>
          <w:spacing w:val="-19"/>
          <w:sz w:val="16"/>
        </w:rPr>
        <w:t> </w:t>
      </w:r>
      <w:r>
        <w:rPr>
          <w:sz w:val="16"/>
        </w:rPr>
        <w:t>México.</w:t>
      </w:r>
    </w:p>
    <w:p>
      <w:pPr>
        <w:spacing w:line="184" w:lineRule="exact" w:before="0"/>
        <w:ind w:left="270" w:right="0" w:firstLine="0"/>
        <w:jc w:val="both"/>
        <w:rPr>
          <w:sz w:val="16"/>
        </w:rPr>
      </w:pPr>
      <w:r>
        <w:rPr>
          <w:position w:val="7"/>
          <w:sz w:val="10"/>
        </w:rPr>
        <w:t>b </w:t>
      </w:r>
      <w:r>
        <w:rPr>
          <w:sz w:val="16"/>
        </w:rPr>
        <w:t>Estudiante del Instituto Tecnológico de Los Mochis, Juan de Dios Batiz    y</w:t>
      </w:r>
    </w:p>
    <w:p>
      <w:pPr>
        <w:spacing w:before="1"/>
        <w:ind w:left="270" w:right="0" w:firstLine="0"/>
        <w:jc w:val="both"/>
        <w:rPr>
          <w:sz w:val="16"/>
        </w:rPr>
      </w:pPr>
      <w:r>
        <w:rPr>
          <w:sz w:val="16"/>
        </w:rPr>
        <w:t>20 de noviembre s/n código postal 81259, alanh0504@hotmail, Los Mochis, Sinaloa, México.</w:t>
      </w:r>
    </w:p>
    <w:p>
      <w:pPr>
        <w:spacing w:line="184" w:lineRule="exact" w:before="0"/>
        <w:ind w:left="270" w:right="0" w:firstLine="0"/>
        <w:jc w:val="both"/>
        <w:rPr>
          <w:sz w:val="16"/>
        </w:rPr>
      </w:pPr>
      <w:r>
        <w:rPr>
          <w:position w:val="7"/>
          <w:sz w:val="10"/>
        </w:rPr>
        <w:t>c </w:t>
      </w:r>
      <w:r>
        <w:rPr>
          <w:sz w:val="16"/>
        </w:rPr>
        <w:t>Estudiante del Instituto Tecnológico    de Los Mochis, Juan de Dios Batiz y</w:t>
      </w:r>
    </w:p>
    <w:p>
      <w:pPr>
        <w:spacing w:before="1"/>
        <w:ind w:left="270" w:right="0" w:firstLine="0"/>
        <w:jc w:val="both"/>
        <w:rPr>
          <w:sz w:val="16"/>
        </w:rPr>
      </w:pPr>
      <w:r>
        <w:rPr>
          <w:sz w:val="16"/>
        </w:rPr>
        <w:t>20 de noviembre s/n código postal 81259, </w:t>
      </w:r>
      <w:hyperlink r:id="rId468">
        <w:r>
          <w:rPr>
            <w:sz w:val="16"/>
          </w:rPr>
          <w:t>elizabethroblesr@live.com,</w:t>
        </w:r>
      </w:hyperlink>
      <w:r>
        <w:rPr>
          <w:sz w:val="16"/>
        </w:rPr>
        <w:t> Los Mochis, Sinaloa, México.</w:t>
      </w:r>
    </w:p>
    <w:p>
      <w:pPr>
        <w:spacing w:line="184" w:lineRule="exact" w:before="0"/>
        <w:ind w:left="270" w:right="0" w:firstLine="0"/>
        <w:jc w:val="both"/>
        <w:rPr>
          <w:sz w:val="16"/>
        </w:rPr>
      </w:pPr>
      <w:r>
        <w:rPr>
          <w:position w:val="7"/>
          <w:sz w:val="10"/>
        </w:rPr>
        <w:t>d </w:t>
      </w:r>
      <w:r>
        <w:rPr>
          <w:sz w:val="16"/>
        </w:rPr>
        <w:t>Estudiante del Instituto Tecnológico de Los Mochis, Juan de Dios Batiz    y</w:t>
      </w:r>
    </w:p>
    <w:p>
      <w:pPr>
        <w:spacing w:before="1"/>
        <w:ind w:left="270" w:right="0" w:firstLine="0"/>
        <w:jc w:val="both"/>
        <w:rPr>
          <w:sz w:val="16"/>
        </w:rPr>
      </w:pPr>
      <w:r>
        <w:rPr>
          <w:sz w:val="16"/>
        </w:rPr>
        <w:t>20 de noviembre s/n código postal 81259, reynaisabelca@hotmail,com, Los Mochis, Sinaloa, México.</w:t>
      </w:r>
    </w:p>
    <w:p>
      <w:pPr>
        <w:pStyle w:val="BodyText"/>
        <w:spacing w:before="4"/>
      </w:pPr>
    </w:p>
    <w:p>
      <w:pPr>
        <w:pStyle w:val="Heading4"/>
      </w:pPr>
      <w:r>
        <w:rPr/>
        <w:pict>
          <v:line style="position:absolute;mso-position-horizontal-relative:page;mso-position-vertical-relative:paragraph;z-index:17080" from="41.040001pt,13.205929pt" to="289.860001pt,13.205929pt" stroked="true" strokeweight="1.5pt" strokecolor="#000000">
            <w10:wrap type="none"/>
          </v:line>
        </w:pict>
      </w:r>
      <w:r>
        <w:rPr/>
        <w:t>Resumen</w:t>
      </w:r>
    </w:p>
    <w:p>
      <w:pPr>
        <w:pStyle w:val="BodyText"/>
        <w:spacing w:before="46"/>
        <w:ind w:left="270" w:right="14"/>
        <w:jc w:val="both"/>
      </w:pPr>
      <w:r>
        <w:rPr/>
        <w:t>Este documento presenta resultados obtenidos de dos métodos subjetivos para determinar posibles desórdenes musculo-esqueléticos aplicados durante tres semanas comprendidas entre los meses de Junio y Agosto de 2014.   El primer método es el mapeo de Corlett y Bishop (Corlett, 1976), el cual contiene un mapa del cuerpo utilizado para facilitar la detección de las zonas de posibles desórdenes de trauma acumulativos. El segundo método subjetivo es el de detección de fatiga Yoshitake, para la proyección de daño físico el cual consta de 3 grupos de preguntas. El primer grupo hace referencia a síntomas de somnolencia y monotonía, el segundo, a  la dificultad de concentración y  por último, a síntomas corporales o proyección de daño físico. Tales métodos presentados en formato de encuestas, fueron aplicados en peluqueros de la ciudad de Los Mochis Sinaloa México. Con un total de 34 encuestados, los resultados obtenidos permiten identificar las principales partes del cuerpo que presentan daño físico (Yoshitake) y posibles desórdenes de trauma acumulativos (Corlett &amp; Bishop). Esto a su vez, nos permite facilitar recomendaciones ergonómicas para mejorar la calidad de vida de los peluqueros aportando datos a la salud  ocupacional de este segmento a la población económicamente</w:t>
      </w:r>
      <w:r>
        <w:rPr>
          <w:spacing w:val="-17"/>
        </w:rPr>
        <w:t> </w:t>
      </w:r>
      <w:r>
        <w:rPr/>
        <w:t>activa.</w:t>
      </w:r>
    </w:p>
    <w:p>
      <w:pPr>
        <w:pStyle w:val="BodyText"/>
        <w:ind w:left="270" w:right="17"/>
        <w:jc w:val="both"/>
      </w:pPr>
      <w:r>
        <w:rPr>
          <w:b/>
        </w:rPr>
        <w:t>Palabras clave</w:t>
      </w:r>
      <w:r>
        <w:rPr/>
        <w:t>— Lesiones musculo-esqueléticas, trabajo repetitivo, fígaros.</w:t>
      </w:r>
    </w:p>
    <w:p>
      <w:pPr>
        <w:pStyle w:val="BodyText"/>
        <w:spacing w:before="3"/>
      </w:pPr>
    </w:p>
    <w:p>
      <w:pPr>
        <w:pStyle w:val="Heading5"/>
        <w:rPr>
          <w:i/>
        </w:rPr>
      </w:pPr>
      <w:r>
        <w:rPr/>
        <w:pict>
          <v:line style="position:absolute;mso-position-horizontal-relative:page;mso-position-vertical-relative:paragraph;z-index:17104" from="41.040001pt,13.206819pt" to="289.860001pt,13.206819pt" stroked="true" strokeweight="1.5pt" strokecolor="#000000">
            <w10:wrap type="none"/>
          </v:line>
        </w:pict>
      </w:r>
      <w:r>
        <w:rPr>
          <w:i/>
        </w:rPr>
        <w:t>Abstract</w:t>
      </w:r>
    </w:p>
    <w:p>
      <w:pPr>
        <w:spacing w:before="46"/>
        <w:ind w:left="270" w:right="15" w:firstLine="0"/>
        <w:jc w:val="both"/>
        <w:rPr>
          <w:i/>
          <w:sz w:val="20"/>
        </w:rPr>
      </w:pPr>
      <w:r>
        <w:rPr>
          <w:i/>
          <w:sz w:val="20"/>
        </w:rPr>
        <w:t>This paper presents results of two subjective methods to </w:t>
      </w:r>
      <w:r>
        <w:rPr>
          <w:i/>
          <w:sz w:val="20"/>
        </w:rPr>
        <w:t>determine possible muscle-skeletal disorders applied for three weeks between the months of June and August 2014. The first method is mapping Corlett and Bishop (Corlett, 1976), which contains Body map used to facilitate detection of possible areas of cumulative trauma disorders. The  second method is subjective fatigue detection Yoshitake, for the projection of physical injury which consists of 3 groups  of questions. The first group refers to symptoms of </w:t>
      </w:r>
      <w:r>
        <w:rPr>
          <w:i/>
          <w:spacing w:val="13"/>
          <w:sz w:val="20"/>
        </w:rPr>
        <w:t> </w:t>
      </w:r>
      <w:r>
        <w:rPr>
          <w:i/>
          <w:sz w:val="20"/>
        </w:rPr>
        <w:t>sleepness</w:t>
      </w:r>
    </w:p>
    <w:p>
      <w:pPr>
        <w:spacing w:before="74"/>
        <w:ind w:left="270" w:right="676" w:firstLine="0"/>
        <w:jc w:val="both"/>
        <w:rPr>
          <w:i/>
          <w:sz w:val="20"/>
        </w:rPr>
      </w:pPr>
      <w:r>
        <w:rPr/>
        <w:br w:type="column"/>
      </w:r>
      <w:r>
        <w:rPr>
          <w:i/>
          <w:sz w:val="20"/>
        </w:rPr>
        <w:t>and monotony, the second one is about concentration </w:t>
      </w:r>
      <w:r>
        <w:rPr>
          <w:i/>
          <w:sz w:val="20"/>
        </w:rPr>
        <w:t>difficulty and finally to bodily symptoms or projection of physical damage. Such methods presented in the form of surveys, were applied with barbers from Los Mochis  Sinaloa Mexico. With a total of 34 respondents, the results allow us to identify the main parts of the body that have physical damage (Yoshitake) and possible cumulative trauma disorders (Corlett &amp; Bishop). This allows us to provide ergonomic recommendations for improving the quality in the life of barbers providing information to the occupational health of this segment of the economically active</w:t>
      </w:r>
      <w:r>
        <w:rPr>
          <w:i/>
          <w:spacing w:val="-11"/>
          <w:sz w:val="20"/>
        </w:rPr>
        <w:t> </w:t>
      </w:r>
      <w:r>
        <w:rPr>
          <w:i/>
          <w:sz w:val="20"/>
        </w:rPr>
        <w:t>population.</w:t>
      </w:r>
    </w:p>
    <w:p>
      <w:pPr>
        <w:pStyle w:val="BodyText"/>
        <w:spacing w:before="11"/>
        <w:rPr>
          <w:i/>
          <w:sz w:val="19"/>
        </w:rPr>
      </w:pPr>
    </w:p>
    <w:p>
      <w:pPr>
        <w:spacing w:before="0"/>
        <w:ind w:left="270" w:right="679" w:firstLine="0"/>
        <w:jc w:val="both"/>
        <w:rPr>
          <w:i/>
          <w:sz w:val="20"/>
        </w:rPr>
      </w:pPr>
      <w:r>
        <w:rPr>
          <w:b/>
          <w:i/>
          <w:sz w:val="20"/>
        </w:rPr>
        <w:t>Keywords</w:t>
      </w:r>
      <w:r>
        <w:rPr>
          <w:i/>
          <w:sz w:val="20"/>
        </w:rPr>
        <w:t>— Muscle-skeletal injuries, repetitive work, </w:t>
      </w:r>
      <w:r>
        <w:rPr>
          <w:i/>
          <w:sz w:val="20"/>
        </w:rPr>
        <w:t>figaros.</w:t>
      </w:r>
    </w:p>
    <w:p>
      <w:pPr>
        <w:pStyle w:val="BodyText"/>
        <w:spacing w:before="11"/>
        <w:rPr>
          <w:i/>
          <w:sz w:val="19"/>
        </w:rPr>
      </w:pPr>
    </w:p>
    <w:p>
      <w:pPr>
        <w:pStyle w:val="BodyText"/>
        <w:ind w:left="270" w:right="676"/>
        <w:jc w:val="both"/>
      </w:pPr>
      <w:r>
        <w:rPr/>
        <w:t>Relevance to Ergonomics: The present research aims to generate databases for the design of tools and solutions for this part of the economically active population. This  research serves as precedent in the country for further research in the same field for</w:t>
      </w:r>
      <w:r>
        <w:rPr>
          <w:spacing w:val="-4"/>
        </w:rPr>
        <w:t> </w:t>
      </w:r>
      <w:r>
        <w:rPr/>
        <w:t>barbers.</w:t>
      </w:r>
    </w:p>
    <w:p>
      <w:pPr>
        <w:pStyle w:val="BodyText"/>
        <w:spacing w:before="2"/>
      </w:pPr>
    </w:p>
    <w:p>
      <w:pPr>
        <w:pStyle w:val="Heading4"/>
        <w:numPr>
          <w:ilvl w:val="0"/>
          <w:numId w:val="151"/>
        </w:numPr>
        <w:tabs>
          <w:tab w:pos="473" w:val="left" w:leader="none"/>
        </w:tabs>
        <w:spacing w:line="240" w:lineRule="auto" w:before="0" w:after="0"/>
        <w:ind w:left="472" w:right="0" w:hanging="202"/>
        <w:jc w:val="both"/>
      </w:pPr>
      <w:r>
        <w:rPr/>
        <w:t>Introduction</w:t>
      </w:r>
    </w:p>
    <w:p>
      <w:pPr>
        <w:pStyle w:val="BodyText"/>
        <w:spacing w:before="8"/>
        <w:rPr>
          <w:b/>
          <w:sz w:val="19"/>
        </w:rPr>
      </w:pPr>
    </w:p>
    <w:p>
      <w:pPr>
        <w:pStyle w:val="BodyText"/>
        <w:ind w:left="270" w:right="676"/>
        <w:jc w:val="both"/>
      </w:pPr>
      <w:r>
        <w:rPr/>
        <w:t>According to Maynard's Industrial Engineering Handbook fifth edition, conditions and muscle-skeletal disorders represent a significant problem in the workplace worldwide. These disturbances not only cause human suffering but also lead to loss of economic nature. It is considered that labor fraction of muscle-skeletal disorders (i.e., one that  could have been avoided using a risk free work) amounts to 40%. Thus, health has become an issue which is a very important consideration when designing systems of products. The jobs that include manual lifting operation involving mainly the risk of generating disorders in the lower back; while repetitive work (for example, material handling / light components) results, usually to conditions in the regions of neck and shoulder and arm and wrist. The origin of muscle- skeletal disorders related to work, due to numerous reasons, is complex and involves both physical and psychosocial factors and the ability of each worker.</w:t>
      </w:r>
    </w:p>
    <w:p>
      <w:pPr>
        <w:pStyle w:val="BodyText"/>
        <w:spacing w:before="11"/>
        <w:rPr>
          <w:sz w:val="19"/>
        </w:rPr>
      </w:pPr>
    </w:p>
    <w:p>
      <w:pPr>
        <w:pStyle w:val="BodyText"/>
        <w:ind w:left="270" w:right="676" w:firstLine="432"/>
        <w:jc w:val="both"/>
      </w:pPr>
      <w:r>
        <w:rPr/>
        <w:t>This article projects the result of a study in the City of Los Mochis Sinaloa in July and August 2014, which aims to identify through mapping Corlett &amp; Bishop, the existence of possible CDT's on barbers, who according to the Royal Spanish Academy, are those who have the job of combing, cutting hair or make and sell wigs, curls, etc. “Thousands of men and women work long shifts to support their family, consequently resulting physical problems as well as various discomforts that affect their job performance." Leyva A, Estrada B, Ramirez L. 2009.</w:t>
      </w:r>
    </w:p>
    <w:p>
      <w:pPr>
        <w:pStyle w:val="BodyText"/>
        <w:spacing w:before="11"/>
        <w:rPr>
          <w:sz w:val="19"/>
        </w:rPr>
      </w:pPr>
    </w:p>
    <w:p>
      <w:pPr>
        <w:pStyle w:val="BodyText"/>
        <w:ind w:left="270" w:right="675" w:firstLine="432"/>
        <w:jc w:val="both"/>
      </w:pPr>
      <w:r>
        <w:rPr/>
        <w:t>Both men and women who work in these places (barbers), they may suffer muscle-skeletal disorders due to overwork or lack of rest that prevents recuperate. However, cumulative trauma disorders, can also be caused by the adoption of poor posture while working, to perform  routine</w:t>
      </w:r>
    </w:p>
    <w:p>
      <w:pPr>
        <w:spacing w:after="0"/>
        <w:jc w:val="both"/>
        <w:sectPr>
          <w:type w:val="continuous"/>
          <w:pgSz w:w="12240" w:h="15840"/>
          <w:pgMar w:top="1500" w:bottom="280" w:left="580" w:right="220"/>
          <w:cols w:num="2" w:equalWidth="0">
            <w:col w:w="5207" w:space="417"/>
            <w:col w:w="5816"/>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4"/>
        <w:ind w:left="270" w:right="1"/>
        <w:jc w:val="both"/>
      </w:pPr>
      <w:r>
        <w:rPr/>
        <w:t>tasks that require effort and similar movements continued by excessive physical exertion. The CDT's can cause various physical ailments such pains in neck and shoulder as well as diseases such as tendinitis, bursitis epicondylitis among others.</w:t>
      </w:r>
    </w:p>
    <w:p>
      <w:pPr>
        <w:pStyle w:val="BodyText"/>
        <w:spacing w:before="3"/>
      </w:pPr>
    </w:p>
    <w:p>
      <w:pPr>
        <w:pStyle w:val="Heading4"/>
        <w:numPr>
          <w:ilvl w:val="0"/>
          <w:numId w:val="151"/>
        </w:numPr>
        <w:tabs>
          <w:tab w:pos="472" w:val="left" w:leader="none"/>
        </w:tabs>
        <w:spacing w:line="240" w:lineRule="auto" w:before="0" w:after="0"/>
        <w:ind w:left="471" w:right="0" w:hanging="201"/>
        <w:jc w:val="both"/>
      </w:pPr>
      <w:r>
        <w:rPr/>
        <w:t>Methodology</w:t>
      </w:r>
    </w:p>
    <w:p>
      <w:pPr>
        <w:pStyle w:val="BodyText"/>
        <w:spacing w:before="8"/>
        <w:rPr>
          <w:b/>
          <w:sz w:val="19"/>
        </w:rPr>
      </w:pPr>
    </w:p>
    <w:p>
      <w:pPr>
        <w:pStyle w:val="BodyText"/>
        <w:ind w:left="270" w:right="1"/>
        <w:jc w:val="both"/>
      </w:pPr>
      <w:r>
        <w:rPr/>
        <w:t>The results obtained in this study were statistically analyzed. A minimum sample of 34 workers of the different existing popular hair salons in the city of Los Mochis, Sinaloa was taken. The goal that we wanted to use was higher than 30 people, due to the ease of analyzing the data statistically, using a normal distribution. Considering the number of people who agreed to complete the survey day, ended up being the 34 respondents. To carry out sampling of 34 workers, we use the technique Corlett &amp; Bishop.</w:t>
      </w:r>
    </w:p>
    <w:p>
      <w:pPr>
        <w:pStyle w:val="BodyText"/>
        <w:spacing w:before="11"/>
        <w:rPr>
          <w:sz w:val="19"/>
        </w:rPr>
      </w:pPr>
    </w:p>
    <w:p>
      <w:pPr>
        <w:pStyle w:val="BodyText"/>
        <w:ind w:left="270" w:right="1" w:firstLine="432"/>
        <w:jc w:val="both"/>
      </w:pPr>
      <w:r>
        <w:rPr/>
        <w:t>First, we locate on a map of the city, leading barbershops, estimating the number of people who could work on each of them. After completing the 34 respondents tentative, we took to the streets of downtown Los Mochis, starting from the second week of June 2014. First we introduce ourselves as students of the Technological Institute of Los Mochis and the reason for our visit. Later, asked permission to apply the survey, and explain why and the time it would took. Once the person agreed, he was asked to answer as realistic as possible. The surveys were applied daily to the 34 workers for three weeks, at the beginning and end of the workday.</w:t>
      </w:r>
    </w:p>
    <w:p>
      <w:pPr>
        <w:pStyle w:val="BodyText"/>
        <w:spacing w:before="11"/>
        <w:rPr>
          <w:sz w:val="19"/>
        </w:rPr>
      </w:pPr>
    </w:p>
    <w:p>
      <w:pPr>
        <w:pStyle w:val="BodyText"/>
        <w:ind w:left="702" w:right="9"/>
      </w:pPr>
      <w:r>
        <w:rPr/>
        <w:t>CDT's possible detection</w:t>
      </w:r>
    </w:p>
    <w:p>
      <w:pPr>
        <w:pStyle w:val="BodyText"/>
        <w:spacing w:before="11"/>
        <w:rPr>
          <w:sz w:val="19"/>
        </w:rPr>
      </w:pPr>
    </w:p>
    <w:p>
      <w:pPr>
        <w:pStyle w:val="BodyText"/>
        <w:ind w:left="270" w:right="1" w:firstLine="432"/>
        <w:jc w:val="both"/>
      </w:pPr>
      <w:r>
        <w:rPr/>
        <w:t>To detect the body part that may present a possible CDT, we use the technique of mapping Corlett &amp; Bishop as mentioned above.</w:t>
      </w:r>
    </w:p>
    <w:p>
      <w:pPr>
        <w:pStyle w:val="BodyText"/>
      </w:pPr>
    </w:p>
    <w:p>
      <w:pPr>
        <w:pStyle w:val="BodyText"/>
        <w:spacing w:before="1"/>
        <w:ind w:left="270" w:firstLine="432"/>
        <w:jc w:val="both"/>
      </w:pPr>
      <w:r>
        <w:rPr/>
        <w:t>Mapping Corlett and Bishop (Corlett, 1976) consist on the map of a human body and its parts. Each body part has a code (letter) for better identification.</w:t>
      </w:r>
    </w:p>
    <w:p>
      <w:pPr>
        <w:pStyle w:val="BodyText"/>
        <w:spacing w:before="11"/>
        <w:rPr>
          <w:sz w:val="19"/>
        </w:rPr>
      </w:pPr>
    </w:p>
    <w:p>
      <w:pPr>
        <w:pStyle w:val="BodyText"/>
        <w:ind w:left="270" w:firstLine="432"/>
        <w:jc w:val="both"/>
      </w:pPr>
      <w:r>
        <w:rPr/>
        <w:t>This technique involves filling a chart that is segmented for weeks, and indicates the begging or ending of the workday, each day of the week is disaggregated  starting from Monday to</w:t>
      </w:r>
      <w:r>
        <w:rPr>
          <w:spacing w:val="-7"/>
        </w:rPr>
        <w:t> </w:t>
      </w:r>
      <w:r>
        <w:rPr/>
        <w:t>Sunday.</w:t>
      </w:r>
    </w:p>
    <w:p>
      <w:pPr>
        <w:pStyle w:val="BodyText"/>
      </w:pPr>
    </w:p>
    <w:p>
      <w:pPr>
        <w:pStyle w:val="BodyText"/>
        <w:spacing w:before="1"/>
        <w:ind w:left="270" w:right="1" w:firstLine="432"/>
        <w:jc w:val="both"/>
      </w:pPr>
      <w:r>
        <w:rPr/>
        <w:t>In turn, the same chart to one side, contains the different parts of the human body, from head to toe, according to the area where the trouble arises, and according to the code (letter) corresponding to that part, the body is marked with an "M" if what you feel is discomfort, or "D" if what you feel is pain, Section input or output, the corresponding day as appropriate. For filling of the chart, they were asked questions such as: What is the body part according to the map that bothers you or hurts?, What is the body part according to the map that you feel any  discomfort?, what he says, is pain or discomfort? And so</w:t>
      </w:r>
      <w:r>
        <w:rPr>
          <w:spacing w:val="-20"/>
        </w:rPr>
        <w:t> </w:t>
      </w:r>
      <w:r>
        <w:rPr/>
        <w:t>on.</w:t>
      </w:r>
    </w:p>
    <w:p>
      <w:pPr>
        <w:pStyle w:val="Heading4"/>
        <w:numPr>
          <w:ilvl w:val="1"/>
          <w:numId w:val="151"/>
        </w:numPr>
        <w:tabs>
          <w:tab w:pos="572" w:val="left" w:leader="none"/>
        </w:tabs>
        <w:spacing w:line="240" w:lineRule="auto" w:before="77" w:after="0"/>
        <w:ind w:left="571" w:right="0" w:hanging="301"/>
        <w:jc w:val="both"/>
      </w:pPr>
      <w:r>
        <w:rPr>
          <w:spacing w:val="-2"/>
          <w:w w:val="100"/>
        </w:rPr>
        <w:br w:type="column"/>
      </w:r>
      <w:r>
        <w:rPr/>
        <w:t>Participants</w:t>
      </w:r>
    </w:p>
    <w:p>
      <w:pPr>
        <w:pStyle w:val="BodyText"/>
        <w:spacing w:before="8"/>
        <w:rPr>
          <w:b/>
          <w:sz w:val="19"/>
        </w:rPr>
      </w:pPr>
    </w:p>
    <w:p>
      <w:pPr>
        <w:pStyle w:val="BodyText"/>
        <w:ind w:left="270" w:right="676"/>
        <w:jc w:val="both"/>
      </w:pPr>
      <w:r>
        <w:rPr/>
        <w:t>The article on "Determination of physical fatigue on  workers in popular markets of the city of Los Mochis Sinaloa," published in 2009 by José Alfredo Leyva Astorga, José Alberto Estrada and Alberto Ramirez Beltran Leyva, tells us</w:t>
      </w:r>
      <w:r>
        <w:rPr>
          <w:spacing w:val="-7"/>
        </w:rPr>
        <w:t> </w:t>
      </w:r>
      <w:r>
        <w:rPr/>
        <w:t>that:</w:t>
      </w:r>
    </w:p>
    <w:p>
      <w:pPr>
        <w:pStyle w:val="BodyText"/>
        <w:ind w:left="270" w:right="677" w:firstLine="432"/>
        <w:jc w:val="both"/>
      </w:pPr>
      <w:r>
        <w:rPr/>
        <w:t>"The work is one of the most valuable sources for human psychological and social well-being and provides most of the meaning and structure of your life. However, it can also have negative effects, one being the muscle-skeletal cumulative trauma disorder or better known as DTA. "</w:t>
      </w:r>
    </w:p>
    <w:p>
      <w:pPr>
        <w:pStyle w:val="BodyText"/>
        <w:spacing w:before="11"/>
        <w:rPr>
          <w:sz w:val="19"/>
        </w:rPr>
      </w:pPr>
    </w:p>
    <w:p>
      <w:pPr>
        <w:pStyle w:val="BodyText"/>
        <w:ind w:left="270" w:right="676" w:firstLine="432"/>
        <w:jc w:val="both"/>
      </w:pPr>
      <w:r>
        <w:rPr/>
        <w:t>The CDT are microscopic lesions (micro traumas) that accumulate by the repeated use of muscles, tendons or joints in the body of the worker (Oliva, 2009). Can manifest as a local well defined syndrome in which inflammation is observed as in the case of tenosynovitis (Olive, 2009). The CDT are very frequent in workers performing repetitive movements and have greater impact on upper limb, where affecting the shoulder joint, elbow and wrist.</w:t>
      </w:r>
    </w:p>
    <w:p>
      <w:pPr>
        <w:pStyle w:val="BodyText"/>
        <w:spacing w:before="11"/>
        <w:rPr>
          <w:sz w:val="19"/>
        </w:rPr>
      </w:pPr>
    </w:p>
    <w:p>
      <w:pPr>
        <w:pStyle w:val="BodyText"/>
        <w:ind w:left="270" w:right="675" w:firstLine="432"/>
        <w:jc w:val="both"/>
      </w:pPr>
      <w:r>
        <w:rPr/>
        <w:t>Researching the subject, found that in 2013 the IMSS statistics memory, Chapter VI (Occupational Health), the number of people reported in "Risk Delegation work" are 542,373 people across Mexico, and 15 116 people were only from the state of Sinaloa. As we were entering in health issues at work, barbers, cumulative trauma disorders, found  a study, conducted in Taiwan, on muscle-skeletal disorders stylists in 2007 (Hsiao-Lin</w:t>
      </w:r>
      <w:r>
        <w:rPr>
          <w:spacing w:val="-15"/>
        </w:rPr>
        <w:t> </w:t>
      </w:r>
      <w:r>
        <w:rPr/>
        <w:t>Fang).</w:t>
      </w:r>
    </w:p>
    <w:p>
      <w:pPr>
        <w:pStyle w:val="BodyText"/>
        <w:spacing w:before="11"/>
        <w:rPr>
          <w:sz w:val="19"/>
        </w:rPr>
      </w:pPr>
    </w:p>
    <w:p>
      <w:pPr>
        <w:pStyle w:val="BodyText"/>
        <w:ind w:left="270" w:right="677" w:firstLine="432"/>
        <w:jc w:val="both"/>
      </w:pPr>
      <w:r>
        <w:rPr/>
        <w:t>In connection with this, we were able to notice that in Mexico, there is no article that tell us about muscle-skeletal disorders specifically barbers. These data, together with the fact that the father and grandfather of Jeorge Hinogiante (part of this article) are barbers, were those who incite us to investigate possible occupational diseases specifically barbers CDT's in our city.</w:t>
      </w:r>
    </w:p>
    <w:p>
      <w:pPr>
        <w:pStyle w:val="BodyText"/>
        <w:spacing w:before="11"/>
        <w:rPr>
          <w:sz w:val="19"/>
        </w:rPr>
      </w:pPr>
    </w:p>
    <w:p>
      <w:pPr>
        <w:pStyle w:val="BodyText"/>
        <w:ind w:left="270" w:right="677" w:firstLine="432"/>
        <w:jc w:val="both"/>
      </w:pPr>
      <w:r>
        <w:rPr/>
        <w:t>This study was realized by analyzing the barbers work at the city of Los Mochis, Sinaloa.</w:t>
      </w:r>
    </w:p>
    <w:p>
      <w:pPr>
        <w:pStyle w:val="BodyText"/>
        <w:spacing w:before="2"/>
      </w:pPr>
    </w:p>
    <w:p>
      <w:pPr>
        <w:pStyle w:val="Heading4"/>
        <w:numPr>
          <w:ilvl w:val="1"/>
          <w:numId w:val="151"/>
        </w:numPr>
        <w:tabs>
          <w:tab w:pos="571" w:val="left" w:leader="none"/>
        </w:tabs>
        <w:spacing w:line="240" w:lineRule="auto" w:before="0" w:after="0"/>
        <w:ind w:left="570" w:right="0" w:hanging="300"/>
        <w:jc w:val="both"/>
      </w:pPr>
      <w:r>
        <w:rPr/>
        <w:t>Corlett &amp;</w:t>
      </w:r>
      <w:r>
        <w:rPr>
          <w:spacing w:val="-5"/>
        </w:rPr>
        <w:t> </w:t>
      </w:r>
      <w:r>
        <w:rPr/>
        <w:t>Bishop</w:t>
      </w:r>
    </w:p>
    <w:p>
      <w:pPr>
        <w:pStyle w:val="BodyText"/>
        <w:spacing w:before="8"/>
        <w:rPr>
          <w:b/>
          <w:sz w:val="19"/>
        </w:rPr>
      </w:pPr>
    </w:p>
    <w:p>
      <w:pPr>
        <w:pStyle w:val="BodyText"/>
        <w:ind w:left="270" w:right="675"/>
        <w:jc w:val="both"/>
      </w:pPr>
      <w:r>
        <w:rPr/>
        <w:t>The scale map of discomfort or body segments (Corlett &amp; Bishop, 1976) is a measurement technique that can be used to determine the degree of comfort experienced by a person using technical assistance. The technique was developed for evaluating designs of chairs, but the principles could easily be applied to other products as well. The development of such scales require expert knowledge, but are meant to be applied by the end user: it also requires some skills and technical expertise in analysis. This allows us to obtain information on perceived discomfort.</w:t>
      </w:r>
    </w:p>
    <w:p>
      <w:pPr>
        <w:pStyle w:val="BodyText"/>
        <w:spacing w:before="11"/>
        <w:rPr>
          <w:sz w:val="19"/>
        </w:rPr>
      </w:pPr>
    </w:p>
    <w:p>
      <w:pPr>
        <w:pStyle w:val="BodyText"/>
        <w:ind w:left="270" w:right="677" w:firstLine="567"/>
      </w:pPr>
      <w:r>
        <w:rPr/>
        <w:t>Also, the discomfort of a person can be determined by</w:t>
      </w:r>
      <w:r>
        <w:rPr>
          <w:spacing w:val="32"/>
        </w:rPr>
        <w:t> </w:t>
      </w:r>
      <w:r>
        <w:rPr/>
        <w:t>the</w:t>
      </w:r>
      <w:r>
        <w:rPr>
          <w:spacing w:val="32"/>
        </w:rPr>
        <w:t> </w:t>
      </w:r>
      <w:r>
        <w:rPr/>
        <w:t>degree</w:t>
      </w:r>
      <w:r>
        <w:rPr>
          <w:spacing w:val="32"/>
        </w:rPr>
        <w:t> </w:t>
      </w:r>
      <w:r>
        <w:rPr/>
        <w:t>of</w:t>
      </w:r>
      <w:r>
        <w:rPr>
          <w:spacing w:val="33"/>
        </w:rPr>
        <w:t> </w:t>
      </w:r>
      <w:r>
        <w:rPr/>
        <w:t>change</w:t>
      </w:r>
      <w:r>
        <w:rPr>
          <w:spacing w:val="33"/>
        </w:rPr>
        <w:t> </w:t>
      </w:r>
      <w:r>
        <w:rPr/>
        <w:t>in</w:t>
      </w:r>
      <w:r>
        <w:rPr>
          <w:spacing w:val="32"/>
        </w:rPr>
        <w:t> </w:t>
      </w:r>
      <w:r>
        <w:rPr/>
        <w:t>position</w:t>
      </w:r>
      <w:r>
        <w:rPr>
          <w:spacing w:val="33"/>
        </w:rPr>
        <w:t> </w:t>
      </w:r>
      <w:r>
        <w:rPr/>
        <w:t>to</w:t>
      </w:r>
      <w:r>
        <w:rPr>
          <w:spacing w:val="32"/>
        </w:rPr>
        <w:t> </w:t>
      </w:r>
      <w:r>
        <w:rPr/>
        <w:t>use</w:t>
      </w:r>
      <w:r>
        <w:rPr>
          <w:spacing w:val="32"/>
        </w:rPr>
        <w:t> </w:t>
      </w:r>
      <w:r>
        <w:rPr/>
        <w:t>a</w:t>
      </w:r>
      <w:r>
        <w:rPr>
          <w:spacing w:val="32"/>
        </w:rPr>
        <w:t> </w:t>
      </w:r>
      <w:r>
        <w:rPr/>
        <w:t>product,</w:t>
      </w:r>
      <w:r>
        <w:rPr>
          <w:spacing w:val="32"/>
        </w:rPr>
        <w:t> </w:t>
      </w:r>
      <w:r>
        <w:rPr/>
        <w:t>the</w:t>
      </w:r>
    </w:p>
    <w:p>
      <w:pPr>
        <w:spacing w:after="0"/>
        <w:sectPr>
          <w:type w:val="continuous"/>
          <w:pgSz w:w="12240" w:h="15840"/>
          <w:pgMar w:top="1500" w:bottom="280" w:left="580" w:right="220"/>
          <w:cols w:num="2" w:equalWidth="0">
            <w:col w:w="5191" w:space="434"/>
            <w:col w:w="5815"/>
          </w:cols>
        </w:sectPr>
      </w:pPr>
    </w:p>
    <w:p>
      <w:pPr>
        <w:pStyle w:val="BodyText"/>
        <w:spacing w:before="9"/>
        <w:rPr>
          <w:sz w:val="17"/>
        </w:rPr>
      </w:pPr>
    </w:p>
    <w:p>
      <w:pPr>
        <w:pStyle w:val="BodyText"/>
        <w:ind w:left="270" w:right="118"/>
      </w:pPr>
      <w:r>
        <w:rPr/>
        <w:t>amount of time available to use their preferences and other similar products.</w:t>
      </w:r>
    </w:p>
    <w:p>
      <w:pPr>
        <w:pStyle w:val="BodyText"/>
      </w:pPr>
    </w:p>
    <w:p>
      <w:pPr>
        <w:pStyle w:val="BodyText"/>
        <w:spacing w:before="1"/>
        <w:ind w:left="270" w:firstLine="567"/>
        <w:jc w:val="both"/>
      </w:pPr>
      <w:r>
        <w:rPr/>
        <w:t>The test of pain in body parts (Corlett &amp; Bishop) is another proof of comfort in which he wonders about the rate of discomfort or pain in any part of the body, time intervals. To help pain location, the test is accompanied by a map of the body, with small variations in the areas in which it is divided, according to authors. Responses were weighted by the level of discomfort and temporary pain assessment is obtained in each area of the</w:t>
      </w:r>
      <w:r>
        <w:rPr>
          <w:spacing w:val="-11"/>
        </w:rPr>
        <w:t> </w:t>
      </w:r>
      <w:r>
        <w:rPr/>
        <w:t>body.</w:t>
      </w:r>
    </w:p>
    <w:p>
      <w:pPr>
        <w:pStyle w:val="BodyText"/>
      </w:pPr>
    </w:p>
    <w:p>
      <w:pPr>
        <w:pStyle w:val="BodyText"/>
        <w:spacing w:before="5"/>
        <w:rPr>
          <w:sz w:val="25"/>
        </w:rPr>
      </w:pPr>
      <w:r>
        <w:rPr/>
        <w:drawing>
          <wp:anchor distT="0" distB="0" distL="0" distR="0" allowOverlap="1" layoutInCell="1" locked="0" behindDoc="0" simplePos="0" relativeHeight="17128">
            <wp:simplePos x="0" y="0"/>
            <wp:positionH relativeFrom="page">
              <wp:posOffset>727709</wp:posOffset>
            </wp:positionH>
            <wp:positionV relativeFrom="paragraph">
              <wp:posOffset>210551</wp:posOffset>
            </wp:positionV>
            <wp:extent cx="2514834" cy="3853338"/>
            <wp:effectExtent l="0" t="0" r="0" b="0"/>
            <wp:wrapTopAndBottom/>
            <wp:docPr id="731" name="image279.png" descr=""/>
            <wp:cNvGraphicFramePr>
              <a:graphicFrameLocks noChangeAspect="1"/>
            </wp:cNvGraphicFramePr>
            <a:graphic>
              <a:graphicData uri="http://schemas.openxmlformats.org/drawingml/2006/picture">
                <pic:pic>
                  <pic:nvPicPr>
                    <pic:cNvPr id="732" name="image279.png"/>
                    <pic:cNvPicPr/>
                  </pic:nvPicPr>
                  <pic:blipFill>
                    <a:blip r:embed="rId469" cstate="print"/>
                    <a:stretch>
                      <a:fillRect/>
                    </a:stretch>
                  </pic:blipFill>
                  <pic:spPr>
                    <a:xfrm>
                      <a:off x="0" y="0"/>
                      <a:ext cx="2514834" cy="3853338"/>
                    </a:xfrm>
                    <a:prstGeom prst="rect">
                      <a:avLst/>
                    </a:prstGeom>
                  </pic:spPr>
                </pic:pic>
              </a:graphicData>
            </a:graphic>
          </wp:anchor>
        </w:drawing>
      </w:r>
    </w:p>
    <w:p>
      <w:pPr>
        <w:pStyle w:val="BodyText"/>
        <w:spacing w:before="10"/>
      </w:pPr>
    </w:p>
    <w:p>
      <w:pPr>
        <w:pStyle w:val="BodyText"/>
        <w:ind w:left="528" w:right="118"/>
      </w:pPr>
      <w:r>
        <w:rPr/>
        <w:t>Figure 1. Map of Body Aches Corlett &amp; Bishop (1976)</w:t>
      </w:r>
    </w:p>
    <w:p>
      <w:pPr>
        <w:pStyle w:val="BodyText"/>
        <w:spacing w:before="3"/>
      </w:pPr>
    </w:p>
    <w:p>
      <w:pPr>
        <w:pStyle w:val="Heading4"/>
        <w:numPr>
          <w:ilvl w:val="0"/>
          <w:numId w:val="151"/>
        </w:numPr>
        <w:tabs>
          <w:tab w:pos="471" w:val="left" w:leader="none"/>
        </w:tabs>
        <w:spacing w:line="240" w:lineRule="auto" w:before="0" w:after="0"/>
        <w:ind w:left="470" w:right="0" w:hanging="200"/>
        <w:jc w:val="left"/>
      </w:pPr>
      <w:r>
        <w:rPr/>
        <w:t>Results</w:t>
      </w:r>
    </w:p>
    <w:p>
      <w:pPr>
        <w:pStyle w:val="BodyText"/>
        <w:spacing w:before="8"/>
        <w:rPr>
          <w:b/>
          <w:sz w:val="19"/>
        </w:rPr>
      </w:pPr>
    </w:p>
    <w:p>
      <w:pPr>
        <w:pStyle w:val="BodyText"/>
        <w:ind w:left="270" w:right="118"/>
      </w:pPr>
      <w:r>
        <w:rPr/>
        <w:t>The following graphs show the results of the method of Yoshitake project.</w:t>
      </w:r>
    </w:p>
    <w:p>
      <w:pPr>
        <w:pStyle w:val="BodyText"/>
        <w:spacing w:before="2"/>
      </w:pPr>
    </w:p>
    <w:p>
      <w:pPr>
        <w:pStyle w:val="Heading4"/>
        <w:numPr>
          <w:ilvl w:val="1"/>
          <w:numId w:val="151"/>
        </w:numPr>
        <w:tabs>
          <w:tab w:pos="571" w:val="left" w:leader="none"/>
        </w:tabs>
        <w:spacing w:line="240" w:lineRule="auto" w:before="0" w:after="0"/>
        <w:ind w:left="570" w:right="0" w:hanging="300"/>
        <w:jc w:val="left"/>
      </w:pPr>
      <w:r>
        <w:rPr/>
        <w:t>Yoshitake</w:t>
      </w:r>
    </w:p>
    <w:p>
      <w:pPr>
        <w:pStyle w:val="BodyText"/>
        <w:spacing w:before="8" w:after="39"/>
        <w:rPr>
          <w:b/>
          <w:sz w:val="14"/>
        </w:rPr>
      </w:pPr>
      <w:r>
        <w:rPr/>
        <w:br w:type="column"/>
      </w:r>
      <w:r>
        <w:rPr>
          <w:b/>
          <w:sz w:val="14"/>
        </w:rPr>
      </w:r>
    </w:p>
    <w:p>
      <w:pPr>
        <w:pStyle w:val="BodyText"/>
        <w:ind w:left="678"/>
      </w:pPr>
      <w:r>
        <w:rPr/>
        <w:drawing>
          <wp:inline distT="0" distB="0" distL="0" distR="0">
            <wp:extent cx="2546389" cy="1872233"/>
            <wp:effectExtent l="0" t="0" r="0" b="0"/>
            <wp:docPr id="733" name="image280.jpeg" descr=""/>
            <wp:cNvGraphicFramePr>
              <a:graphicFrameLocks noChangeAspect="1"/>
            </wp:cNvGraphicFramePr>
            <a:graphic>
              <a:graphicData uri="http://schemas.openxmlformats.org/drawingml/2006/picture">
                <pic:pic>
                  <pic:nvPicPr>
                    <pic:cNvPr id="734" name="image280.jpeg"/>
                    <pic:cNvPicPr/>
                  </pic:nvPicPr>
                  <pic:blipFill>
                    <a:blip r:embed="rId470" cstate="print"/>
                    <a:stretch>
                      <a:fillRect/>
                    </a:stretch>
                  </pic:blipFill>
                  <pic:spPr>
                    <a:xfrm>
                      <a:off x="0" y="0"/>
                      <a:ext cx="2546389" cy="1872233"/>
                    </a:xfrm>
                    <a:prstGeom prst="rect">
                      <a:avLst/>
                    </a:prstGeom>
                  </pic:spPr>
                </pic:pic>
              </a:graphicData>
            </a:graphic>
          </wp:inline>
        </w:drawing>
      </w:r>
      <w:r>
        <w:rPr/>
      </w:r>
    </w:p>
    <w:p>
      <w:pPr>
        <w:pStyle w:val="BodyText"/>
        <w:spacing w:before="24"/>
        <w:ind w:left="700" w:right="702"/>
      </w:pPr>
      <w:r>
        <w:rPr/>
        <w:t>Figure 1. Total of symptoms presented (check in).</w:t>
      </w:r>
    </w:p>
    <w:p>
      <w:pPr>
        <w:pStyle w:val="BodyText"/>
      </w:pPr>
    </w:p>
    <w:p>
      <w:pPr>
        <w:pStyle w:val="BodyText"/>
        <w:spacing w:before="10"/>
        <w:rPr>
          <w:sz w:val="16"/>
        </w:rPr>
      </w:pPr>
      <w:r>
        <w:rPr/>
        <w:drawing>
          <wp:anchor distT="0" distB="0" distL="0" distR="0" allowOverlap="1" layoutInCell="1" locked="0" behindDoc="0" simplePos="0" relativeHeight="17152">
            <wp:simplePos x="0" y="0"/>
            <wp:positionH relativeFrom="page">
              <wp:posOffset>4386071</wp:posOffset>
            </wp:positionH>
            <wp:positionV relativeFrom="paragraph">
              <wp:posOffset>148051</wp:posOffset>
            </wp:positionV>
            <wp:extent cx="2569924" cy="1568862"/>
            <wp:effectExtent l="0" t="0" r="0" b="0"/>
            <wp:wrapTopAndBottom/>
            <wp:docPr id="735" name="image281.jpeg" descr=""/>
            <wp:cNvGraphicFramePr>
              <a:graphicFrameLocks noChangeAspect="1"/>
            </wp:cNvGraphicFramePr>
            <a:graphic>
              <a:graphicData uri="http://schemas.openxmlformats.org/drawingml/2006/picture">
                <pic:pic>
                  <pic:nvPicPr>
                    <pic:cNvPr id="736" name="image281.jpeg"/>
                    <pic:cNvPicPr/>
                  </pic:nvPicPr>
                  <pic:blipFill>
                    <a:blip r:embed="rId471" cstate="print"/>
                    <a:stretch>
                      <a:fillRect/>
                    </a:stretch>
                  </pic:blipFill>
                  <pic:spPr>
                    <a:xfrm>
                      <a:off x="0" y="0"/>
                      <a:ext cx="2569924" cy="1568862"/>
                    </a:xfrm>
                    <a:prstGeom prst="rect">
                      <a:avLst/>
                    </a:prstGeom>
                  </pic:spPr>
                </pic:pic>
              </a:graphicData>
            </a:graphic>
          </wp:anchor>
        </w:drawing>
      </w:r>
    </w:p>
    <w:p>
      <w:pPr>
        <w:pStyle w:val="BodyText"/>
        <w:ind w:left="892" w:right="702"/>
      </w:pPr>
      <w:r>
        <w:rPr/>
        <w:t>Figure 2. Total of symptoms presented (check out)</w:t>
      </w:r>
    </w:p>
    <w:p>
      <w:pPr>
        <w:pStyle w:val="BodyText"/>
        <w:spacing w:before="11"/>
        <w:rPr>
          <w:sz w:val="19"/>
        </w:rPr>
      </w:pPr>
    </w:p>
    <w:p>
      <w:pPr>
        <w:pStyle w:val="BodyText"/>
        <w:ind w:left="270" w:right="675" w:firstLine="432"/>
        <w:jc w:val="both"/>
      </w:pPr>
      <w:r>
        <w:rPr/>
        <w:t>As shown in the figures 1 and 2, there is a percentage of physical damage in respondent barbers.</w:t>
      </w:r>
    </w:p>
    <w:p>
      <w:pPr>
        <w:pStyle w:val="BodyText"/>
        <w:spacing w:before="11"/>
        <w:rPr>
          <w:sz w:val="19"/>
        </w:rPr>
      </w:pPr>
    </w:p>
    <w:p>
      <w:pPr>
        <w:pStyle w:val="BodyText"/>
        <w:ind w:left="270" w:right="676" w:firstLine="432"/>
        <w:jc w:val="both"/>
      </w:pPr>
      <w:r>
        <w:rPr/>
        <w:t>We can see that in the time of departure, there is an increase in the percentage of physical damage regarding the time of entry.</w:t>
      </w:r>
    </w:p>
    <w:p>
      <w:pPr>
        <w:pStyle w:val="BodyText"/>
        <w:spacing w:before="9"/>
        <w:rPr>
          <w:sz w:val="16"/>
        </w:rPr>
      </w:pPr>
      <w:r>
        <w:rPr/>
        <w:drawing>
          <wp:anchor distT="0" distB="0" distL="0" distR="0" allowOverlap="1" layoutInCell="1" locked="0" behindDoc="0" simplePos="0" relativeHeight="17176">
            <wp:simplePos x="0" y="0"/>
            <wp:positionH relativeFrom="page">
              <wp:posOffset>4323588</wp:posOffset>
            </wp:positionH>
            <wp:positionV relativeFrom="paragraph">
              <wp:posOffset>147788</wp:posOffset>
            </wp:positionV>
            <wp:extent cx="2651297" cy="2137410"/>
            <wp:effectExtent l="0" t="0" r="0" b="0"/>
            <wp:wrapTopAndBottom/>
            <wp:docPr id="737" name="image282.png" descr=""/>
            <wp:cNvGraphicFramePr>
              <a:graphicFrameLocks noChangeAspect="1"/>
            </wp:cNvGraphicFramePr>
            <a:graphic>
              <a:graphicData uri="http://schemas.openxmlformats.org/drawingml/2006/picture">
                <pic:pic>
                  <pic:nvPicPr>
                    <pic:cNvPr id="738" name="image282.png"/>
                    <pic:cNvPicPr/>
                  </pic:nvPicPr>
                  <pic:blipFill>
                    <a:blip r:embed="rId472" cstate="print"/>
                    <a:stretch>
                      <a:fillRect/>
                    </a:stretch>
                  </pic:blipFill>
                  <pic:spPr>
                    <a:xfrm>
                      <a:off x="0" y="0"/>
                      <a:ext cx="2651297" cy="2137410"/>
                    </a:xfrm>
                    <a:prstGeom prst="rect">
                      <a:avLst/>
                    </a:prstGeom>
                  </pic:spPr>
                </pic:pic>
              </a:graphicData>
            </a:graphic>
          </wp:anchor>
        </w:drawing>
      </w:r>
    </w:p>
    <w:p>
      <w:pPr>
        <w:pStyle w:val="BodyText"/>
        <w:ind w:left="1634" w:right="702"/>
      </w:pPr>
      <w:r>
        <w:rPr/>
        <w:t>Figure 2. Main damage suffered</w:t>
      </w:r>
    </w:p>
    <w:p>
      <w:pPr>
        <w:pStyle w:val="BodyText"/>
        <w:spacing w:before="11"/>
        <w:rPr>
          <w:sz w:val="19"/>
        </w:rPr>
      </w:pPr>
    </w:p>
    <w:p>
      <w:pPr>
        <w:pStyle w:val="BodyText"/>
        <w:ind w:left="270" w:right="676"/>
        <w:jc w:val="both"/>
      </w:pPr>
      <w:r>
        <w:rPr/>
        <w:t>In Figure 3, the main damage suffered by respondents, where headaches, thirst, tension in the shoulders and back pain are the major physical damages</w:t>
      </w:r>
      <w:r>
        <w:rPr>
          <w:spacing w:val="-29"/>
        </w:rPr>
        <w:t> </w:t>
      </w:r>
      <w:r>
        <w:rPr/>
        <w:t>presented.</w:t>
      </w:r>
    </w:p>
    <w:p>
      <w:pPr>
        <w:spacing w:after="0"/>
        <w:jc w:val="both"/>
        <w:sectPr>
          <w:pgSz w:w="12240" w:h="15840"/>
          <w:pgMar w:header="545" w:footer="852" w:top="1060" w:bottom="1040" w:left="580" w:right="220"/>
          <w:cols w:num="2" w:equalWidth="0">
            <w:col w:w="5190" w:space="434"/>
            <w:col w:w="5816"/>
          </w:cols>
        </w:sectPr>
      </w:pPr>
    </w:p>
    <w:p>
      <w:pPr>
        <w:pStyle w:val="BodyText"/>
        <w:rPr>
          <w:sz w:val="18"/>
        </w:rPr>
      </w:pPr>
    </w:p>
    <w:p>
      <w:pPr>
        <w:pStyle w:val="BodyText"/>
        <w:ind w:left="696"/>
      </w:pPr>
      <w:r>
        <w:rPr/>
        <w:drawing>
          <wp:inline distT="0" distB="0" distL="0" distR="0">
            <wp:extent cx="2561786" cy="2407443"/>
            <wp:effectExtent l="0" t="0" r="0" b="0"/>
            <wp:docPr id="739" name="image283.jpeg" descr=""/>
            <wp:cNvGraphicFramePr>
              <a:graphicFrameLocks noChangeAspect="1"/>
            </wp:cNvGraphicFramePr>
            <a:graphic>
              <a:graphicData uri="http://schemas.openxmlformats.org/drawingml/2006/picture">
                <pic:pic>
                  <pic:nvPicPr>
                    <pic:cNvPr id="740" name="image283.jpeg"/>
                    <pic:cNvPicPr/>
                  </pic:nvPicPr>
                  <pic:blipFill>
                    <a:blip r:embed="rId475" cstate="print"/>
                    <a:stretch>
                      <a:fillRect/>
                    </a:stretch>
                  </pic:blipFill>
                  <pic:spPr>
                    <a:xfrm>
                      <a:off x="0" y="0"/>
                      <a:ext cx="2561786" cy="2407443"/>
                    </a:xfrm>
                    <a:prstGeom prst="rect">
                      <a:avLst/>
                    </a:prstGeom>
                  </pic:spPr>
                </pic:pic>
              </a:graphicData>
            </a:graphic>
          </wp:inline>
        </w:drawing>
      </w:r>
      <w:r>
        <w:rPr/>
      </w:r>
    </w:p>
    <w:p>
      <w:pPr>
        <w:spacing w:after="0"/>
        <w:sectPr>
          <w:pgSz w:w="12240" w:h="15840"/>
          <w:pgMar w:header="545" w:footer="852" w:top="1060" w:bottom="1040" w:left="580" w:right="220"/>
        </w:sectPr>
      </w:pPr>
    </w:p>
    <w:p>
      <w:pPr>
        <w:pStyle w:val="BodyText"/>
        <w:spacing w:before="23"/>
        <w:ind w:left="1346" w:right="9"/>
      </w:pPr>
      <w:r>
        <w:rPr/>
        <w:t>Figure 3. Physical damage per day</w:t>
      </w:r>
    </w:p>
    <w:p>
      <w:pPr>
        <w:pStyle w:val="BodyText"/>
        <w:spacing w:before="115"/>
        <w:ind w:left="270" w:firstLine="567"/>
        <w:jc w:val="both"/>
      </w:pPr>
      <w:r>
        <w:rPr/>
        <w:t>The graph above (Figure 4), presents physical damage according to the days in which they were presented with greater occurrence.</w:t>
      </w:r>
    </w:p>
    <w:p>
      <w:pPr>
        <w:pStyle w:val="BodyText"/>
        <w:spacing w:before="2"/>
      </w:pPr>
    </w:p>
    <w:p>
      <w:pPr>
        <w:pStyle w:val="Heading4"/>
        <w:numPr>
          <w:ilvl w:val="1"/>
          <w:numId w:val="151"/>
        </w:numPr>
        <w:tabs>
          <w:tab w:pos="571" w:val="left" w:leader="none"/>
        </w:tabs>
        <w:spacing w:line="240" w:lineRule="auto" w:before="0" w:after="0"/>
        <w:ind w:left="570" w:right="0" w:hanging="300"/>
        <w:jc w:val="left"/>
      </w:pPr>
      <w:r>
        <w:rPr/>
        <w:t>Corlett &amp;</w:t>
      </w:r>
      <w:r>
        <w:rPr>
          <w:spacing w:val="-5"/>
        </w:rPr>
        <w:t> </w:t>
      </w:r>
      <w:r>
        <w:rPr/>
        <w:t>Bishop</w:t>
      </w:r>
    </w:p>
    <w:p>
      <w:pPr>
        <w:pStyle w:val="BodyText"/>
        <w:spacing w:before="7"/>
        <w:rPr>
          <w:b/>
          <w:sz w:val="16"/>
        </w:rPr>
      </w:pPr>
      <w:r>
        <w:rPr/>
        <w:drawing>
          <wp:anchor distT="0" distB="0" distL="0" distR="0" allowOverlap="1" layoutInCell="1" locked="0" behindDoc="0" simplePos="0" relativeHeight="17200">
            <wp:simplePos x="0" y="0"/>
            <wp:positionH relativeFrom="page">
              <wp:posOffset>754380</wp:posOffset>
            </wp:positionH>
            <wp:positionV relativeFrom="paragraph">
              <wp:posOffset>146254</wp:posOffset>
            </wp:positionV>
            <wp:extent cx="2689964" cy="2698337"/>
            <wp:effectExtent l="0" t="0" r="0" b="0"/>
            <wp:wrapTopAndBottom/>
            <wp:docPr id="741" name="image286.jpeg" descr=""/>
            <wp:cNvGraphicFramePr>
              <a:graphicFrameLocks noChangeAspect="1"/>
            </wp:cNvGraphicFramePr>
            <a:graphic>
              <a:graphicData uri="http://schemas.openxmlformats.org/drawingml/2006/picture">
                <pic:pic>
                  <pic:nvPicPr>
                    <pic:cNvPr id="742" name="image286.jpeg"/>
                    <pic:cNvPicPr/>
                  </pic:nvPicPr>
                  <pic:blipFill>
                    <a:blip r:embed="rId478" cstate="print"/>
                    <a:stretch>
                      <a:fillRect/>
                    </a:stretch>
                  </pic:blipFill>
                  <pic:spPr>
                    <a:xfrm>
                      <a:off x="0" y="0"/>
                      <a:ext cx="2689964" cy="2698337"/>
                    </a:xfrm>
                    <a:prstGeom prst="rect">
                      <a:avLst/>
                    </a:prstGeom>
                  </pic:spPr>
                </pic:pic>
              </a:graphicData>
            </a:graphic>
          </wp:anchor>
        </w:drawing>
      </w:r>
    </w:p>
    <w:p>
      <w:pPr>
        <w:pStyle w:val="BodyText"/>
        <w:ind w:left="884" w:right="9"/>
      </w:pPr>
      <w:r>
        <w:rPr/>
        <w:t>Figure 4. Frequency of general complaints check in</w:t>
      </w:r>
    </w:p>
    <w:p>
      <w:pPr>
        <w:pStyle w:val="BodyText"/>
      </w:pPr>
      <w:r>
        <w:rPr/>
        <w:br w:type="column"/>
      </w:r>
      <w:r>
        <w:rPr/>
      </w:r>
    </w:p>
    <w:p>
      <w:pPr>
        <w:pStyle w:val="BodyText"/>
        <w:spacing w:line="460" w:lineRule="atLeast" w:before="115"/>
        <w:ind w:left="838" w:right="702" w:hanging="30"/>
      </w:pPr>
      <w:r>
        <w:rPr/>
        <w:drawing>
          <wp:anchor distT="0" distB="0" distL="0" distR="0" allowOverlap="1" layoutInCell="1" locked="0" behindDoc="1" simplePos="0" relativeHeight="267573887">
            <wp:simplePos x="0" y="0"/>
            <wp:positionH relativeFrom="page">
              <wp:posOffset>4123944</wp:posOffset>
            </wp:positionH>
            <wp:positionV relativeFrom="paragraph">
              <wp:posOffset>-2509162</wp:posOffset>
            </wp:positionV>
            <wp:extent cx="2793492" cy="2676144"/>
            <wp:effectExtent l="0" t="0" r="0" b="0"/>
            <wp:wrapNone/>
            <wp:docPr id="743" name="image284.png" descr=""/>
            <wp:cNvGraphicFramePr>
              <a:graphicFrameLocks noChangeAspect="1"/>
            </wp:cNvGraphicFramePr>
            <a:graphic>
              <a:graphicData uri="http://schemas.openxmlformats.org/drawingml/2006/picture">
                <pic:pic>
                  <pic:nvPicPr>
                    <pic:cNvPr id="744" name="image284.png"/>
                    <pic:cNvPicPr/>
                  </pic:nvPicPr>
                  <pic:blipFill>
                    <a:blip r:embed="rId476" cstate="print"/>
                    <a:stretch>
                      <a:fillRect/>
                    </a:stretch>
                  </pic:blipFill>
                  <pic:spPr>
                    <a:xfrm>
                      <a:off x="0" y="0"/>
                      <a:ext cx="2793492" cy="2676144"/>
                    </a:xfrm>
                    <a:prstGeom prst="rect">
                      <a:avLst/>
                    </a:prstGeom>
                  </pic:spPr>
                </pic:pic>
              </a:graphicData>
            </a:graphic>
          </wp:anchor>
        </w:drawing>
      </w:r>
      <w:r>
        <w:rPr/>
        <w:t>Figure 5. Frequency of general complaints check out According  to  the  graphs  above,  you  can  see   the</w:t>
      </w:r>
    </w:p>
    <w:p>
      <w:pPr>
        <w:pStyle w:val="BodyText"/>
        <w:ind w:left="270" w:right="677"/>
        <w:jc w:val="both"/>
      </w:pPr>
      <w:r>
        <w:rPr/>
        <w:t>number of complaints in different parts of the body. Which affected mainly in the head, shoulder, upper back, legs and feet at the time of departure, an increase of complaints regarding the time of entry.</w:t>
      </w:r>
    </w:p>
    <w:p>
      <w:pPr>
        <w:pStyle w:val="BodyText"/>
        <w:spacing w:before="9"/>
        <w:rPr>
          <w:sz w:val="16"/>
        </w:rPr>
      </w:pPr>
      <w:r>
        <w:rPr/>
        <w:drawing>
          <wp:anchor distT="0" distB="0" distL="0" distR="0" allowOverlap="1" layoutInCell="1" locked="0" behindDoc="0" simplePos="0" relativeHeight="17224">
            <wp:simplePos x="0" y="0"/>
            <wp:positionH relativeFrom="page">
              <wp:posOffset>4366259</wp:posOffset>
            </wp:positionH>
            <wp:positionV relativeFrom="paragraph">
              <wp:posOffset>147806</wp:posOffset>
            </wp:positionV>
            <wp:extent cx="2566344" cy="4241101"/>
            <wp:effectExtent l="0" t="0" r="0" b="0"/>
            <wp:wrapTopAndBottom/>
            <wp:docPr id="745" name="image285.jpeg" descr=""/>
            <wp:cNvGraphicFramePr>
              <a:graphicFrameLocks noChangeAspect="1"/>
            </wp:cNvGraphicFramePr>
            <a:graphic>
              <a:graphicData uri="http://schemas.openxmlformats.org/drawingml/2006/picture">
                <pic:pic>
                  <pic:nvPicPr>
                    <pic:cNvPr id="746" name="image285.jpeg"/>
                    <pic:cNvPicPr/>
                  </pic:nvPicPr>
                  <pic:blipFill>
                    <a:blip r:embed="rId477" cstate="print"/>
                    <a:stretch>
                      <a:fillRect/>
                    </a:stretch>
                  </pic:blipFill>
                  <pic:spPr>
                    <a:xfrm>
                      <a:off x="0" y="0"/>
                      <a:ext cx="2566344" cy="4241101"/>
                    </a:xfrm>
                    <a:prstGeom prst="rect">
                      <a:avLst/>
                    </a:prstGeom>
                  </pic:spPr>
                </pic:pic>
              </a:graphicData>
            </a:graphic>
          </wp:anchor>
        </w:drawing>
      </w:r>
    </w:p>
    <w:p>
      <w:pPr>
        <w:pStyle w:val="BodyText"/>
        <w:spacing w:before="1"/>
        <w:ind w:left="842" w:right="702"/>
      </w:pPr>
      <w:r>
        <w:rPr/>
        <w:t>Figure 6. Overall percentage of complaints check in</w:t>
      </w:r>
    </w:p>
    <w:p>
      <w:pPr>
        <w:spacing w:after="0"/>
        <w:sectPr>
          <w:type w:val="continuous"/>
          <w:pgSz w:w="12240" w:h="15840"/>
          <w:pgMar w:top="1500" w:bottom="280" w:left="580" w:right="220"/>
          <w:cols w:num="2" w:equalWidth="0">
            <w:col w:w="5191" w:space="433"/>
            <w:col w:w="5816"/>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4"/>
        <w:ind w:left="270" w:firstLine="567"/>
        <w:jc w:val="both"/>
      </w:pPr>
      <w:r>
        <w:rPr/>
        <w:drawing>
          <wp:anchor distT="0" distB="0" distL="0" distR="0" allowOverlap="1" layoutInCell="1" locked="0" behindDoc="1" simplePos="0" relativeHeight="267573935">
            <wp:simplePos x="0" y="0"/>
            <wp:positionH relativeFrom="page">
              <wp:posOffset>725423</wp:posOffset>
            </wp:positionH>
            <wp:positionV relativeFrom="paragraph">
              <wp:posOffset>925274</wp:posOffset>
            </wp:positionV>
            <wp:extent cx="2752343" cy="4245864"/>
            <wp:effectExtent l="0" t="0" r="0" b="0"/>
            <wp:wrapNone/>
            <wp:docPr id="747" name="image287.jpeg" descr=""/>
            <wp:cNvGraphicFramePr>
              <a:graphicFrameLocks noChangeAspect="1"/>
            </wp:cNvGraphicFramePr>
            <a:graphic>
              <a:graphicData uri="http://schemas.openxmlformats.org/drawingml/2006/picture">
                <pic:pic>
                  <pic:nvPicPr>
                    <pic:cNvPr id="748" name="image287.jpeg"/>
                    <pic:cNvPicPr/>
                  </pic:nvPicPr>
                  <pic:blipFill>
                    <a:blip r:embed="rId480" cstate="print"/>
                    <a:stretch>
                      <a:fillRect/>
                    </a:stretch>
                  </pic:blipFill>
                  <pic:spPr>
                    <a:xfrm>
                      <a:off x="0" y="0"/>
                      <a:ext cx="2752343" cy="4245864"/>
                    </a:xfrm>
                    <a:prstGeom prst="rect">
                      <a:avLst/>
                    </a:prstGeom>
                  </pic:spPr>
                </pic:pic>
              </a:graphicData>
            </a:graphic>
          </wp:anchor>
        </w:drawing>
      </w:r>
      <w:r>
        <w:rPr/>
        <w:t>Considering figures 6 and 7 body parts with their respective percentage of complaints are shown; which the head, shoulder, upper back and legs are the most affected presenting a higher percentage in the departure time than in the time of entry.</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5"/>
        <w:rPr>
          <w:sz w:val="21"/>
        </w:rPr>
      </w:pPr>
    </w:p>
    <w:p>
      <w:pPr>
        <w:pStyle w:val="BodyText"/>
        <w:spacing w:line="460" w:lineRule="atLeast"/>
        <w:ind w:left="838" w:hanging="21"/>
      </w:pPr>
      <w:r>
        <w:rPr/>
        <w:t>Figure 7. Overall percentage of complaints check out According to Figure 8, 92% of respondents  presented</w:t>
      </w:r>
    </w:p>
    <w:p>
      <w:pPr>
        <w:pStyle w:val="BodyText"/>
        <w:ind w:left="270"/>
      </w:pPr>
      <w:r>
        <w:rPr/>
        <w:t>discomfort and only a small part of them (8%) have pain in the above areas.</w:t>
      </w:r>
    </w:p>
    <w:p>
      <w:pPr>
        <w:pStyle w:val="BodyText"/>
        <w:spacing w:before="10"/>
        <w:rPr>
          <w:sz w:val="16"/>
        </w:rPr>
      </w:pPr>
      <w:r>
        <w:rPr/>
        <w:drawing>
          <wp:anchor distT="0" distB="0" distL="0" distR="0" allowOverlap="1" layoutInCell="1" locked="0" behindDoc="0" simplePos="0" relativeHeight="17272">
            <wp:simplePos x="0" y="0"/>
            <wp:positionH relativeFrom="page">
              <wp:posOffset>712469</wp:posOffset>
            </wp:positionH>
            <wp:positionV relativeFrom="paragraph">
              <wp:posOffset>148550</wp:posOffset>
            </wp:positionV>
            <wp:extent cx="2757285" cy="1702784"/>
            <wp:effectExtent l="0" t="0" r="0" b="0"/>
            <wp:wrapTopAndBottom/>
            <wp:docPr id="749" name="image288.jpeg" descr=""/>
            <wp:cNvGraphicFramePr>
              <a:graphicFrameLocks noChangeAspect="1"/>
            </wp:cNvGraphicFramePr>
            <a:graphic>
              <a:graphicData uri="http://schemas.openxmlformats.org/drawingml/2006/picture">
                <pic:pic>
                  <pic:nvPicPr>
                    <pic:cNvPr id="750" name="image288.jpeg"/>
                    <pic:cNvPicPr/>
                  </pic:nvPicPr>
                  <pic:blipFill>
                    <a:blip r:embed="rId481" cstate="print"/>
                    <a:stretch>
                      <a:fillRect/>
                    </a:stretch>
                  </pic:blipFill>
                  <pic:spPr>
                    <a:xfrm>
                      <a:off x="0" y="0"/>
                      <a:ext cx="2757285" cy="1702784"/>
                    </a:xfrm>
                    <a:prstGeom prst="rect">
                      <a:avLst/>
                    </a:prstGeom>
                  </pic:spPr>
                </pic:pic>
              </a:graphicData>
            </a:graphic>
          </wp:anchor>
        </w:drawing>
      </w:r>
    </w:p>
    <w:p>
      <w:pPr>
        <w:pStyle w:val="BodyText"/>
        <w:ind w:left="740"/>
      </w:pPr>
      <w:r>
        <w:rPr/>
        <w:t>Figure 8. Corlett &amp; Bishop (% general of 3 week)</w:t>
      </w:r>
    </w:p>
    <w:p>
      <w:pPr>
        <w:pStyle w:val="Heading4"/>
        <w:numPr>
          <w:ilvl w:val="1"/>
          <w:numId w:val="151"/>
        </w:numPr>
        <w:tabs>
          <w:tab w:pos="571" w:val="left" w:leader="none"/>
        </w:tabs>
        <w:spacing w:line="240" w:lineRule="auto" w:before="77" w:after="0"/>
        <w:ind w:left="570" w:right="0" w:hanging="300"/>
        <w:jc w:val="both"/>
      </w:pPr>
      <w:r>
        <w:rPr>
          <w:w w:val="100"/>
        </w:rPr>
        <w:br w:type="column"/>
      </w:r>
      <w:r>
        <w:rPr/>
        <w:t>Conclusions</w:t>
      </w:r>
    </w:p>
    <w:p>
      <w:pPr>
        <w:pStyle w:val="BodyText"/>
        <w:spacing w:before="8"/>
        <w:rPr>
          <w:b/>
          <w:sz w:val="19"/>
        </w:rPr>
      </w:pPr>
    </w:p>
    <w:p>
      <w:pPr>
        <w:pStyle w:val="BodyText"/>
        <w:ind w:left="270" w:right="676"/>
        <w:jc w:val="both"/>
      </w:pPr>
      <w:r>
        <w:rPr/>
        <w:t>There is enough statistical evidence gathered during the 3 weeks to say that according to the method of Yoshitake, physical damage present in the surveyed barbers. Within the physical damage, in relation to the method of Corlett &amp; Bishop, the main parts of the body prone to develop possible DTA's are the head, shoulders, upper back, legs and feet in the barbers from the city of Los Mochis Sinaloa, data of people who participated in the survey.</w:t>
      </w:r>
    </w:p>
    <w:p>
      <w:pPr>
        <w:pStyle w:val="BodyText"/>
        <w:spacing w:before="2"/>
      </w:pPr>
    </w:p>
    <w:p>
      <w:pPr>
        <w:pStyle w:val="Heading4"/>
        <w:numPr>
          <w:ilvl w:val="1"/>
          <w:numId w:val="151"/>
        </w:numPr>
        <w:tabs>
          <w:tab w:pos="571" w:val="left" w:leader="none"/>
        </w:tabs>
        <w:spacing w:line="240" w:lineRule="auto" w:before="0" w:after="0"/>
        <w:ind w:left="570" w:right="0" w:hanging="300"/>
        <w:jc w:val="both"/>
      </w:pPr>
      <w:r>
        <w:rPr/>
        <w:t>References</w:t>
      </w:r>
    </w:p>
    <w:p>
      <w:pPr>
        <w:pStyle w:val="BodyText"/>
        <w:spacing w:before="8"/>
        <w:rPr>
          <w:b/>
          <w:sz w:val="19"/>
        </w:rPr>
      </w:pPr>
    </w:p>
    <w:p>
      <w:pPr>
        <w:pStyle w:val="BodyText"/>
        <w:ind w:left="270" w:right="677"/>
        <w:jc w:val="both"/>
      </w:pPr>
      <w:r>
        <w:rPr/>
        <w:t>[1]Maynard. Manual del Ingeniero Industrial. 5 edición. Editorial McGraw-Hill. Tomo I. Kjell B. Zandin. Sección 6.</w:t>
      </w:r>
    </w:p>
    <w:p>
      <w:pPr>
        <w:pStyle w:val="BodyText"/>
        <w:spacing w:line="229" w:lineRule="exact"/>
        <w:ind w:left="270"/>
        <w:jc w:val="both"/>
      </w:pPr>
      <w:r>
        <w:rPr/>
        <w:t>Capítulo 6.6. pp 6.104</w:t>
      </w:r>
    </w:p>
    <w:p>
      <w:pPr>
        <w:pStyle w:val="BodyText"/>
      </w:pPr>
    </w:p>
    <w:p>
      <w:pPr>
        <w:pStyle w:val="BodyText"/>
        <w:spacing w:before="1"/>
        <w:ind w:left="270" w:right="677"/>
        <w:jc w:val="both"/>
      </w:pPr>
      <w:r>
        <w:rPr/>
        <w:t>[2]Wu C.Y, Yao C.C, Lu C.W, Chang K.F, Chang C.H (2004) Evaluating the musculoskeletal disorders in the employee working in the beauty salon, Health and Safety Conference, Taiwan</w:t>
      </w:r>
    </w:p>
    <w:p>
      <w:pPr>
        <w:pStyle w:val="BodyText"/>
        <w:spacing w:before="11"/>
        <w:rPr>
          <w:sz w:val="19"/>
        </w:rPr>
      </w:pPr>
    </w:p>
    <w:p>
      <w:pPr>
        <w:pStyle w:val="BodyText"/>
        <w:ind w:left="270" w:right="677"/>
        <w:jc w:val="both"/>
      </w:pPr>
      <w:r>
        <w:rPr/>
        <w:t>[3]Real Academia Española (RAE). Link: </w:t>
      </w:r>
      <w:hyperlink r:id="rId482">
        <w:r>
          <w:rPr>
            <w:u w:val="single"/>
          </w:rPr>
          <w:t>http://buscon.rae.es/drae/srv/search?val=peluquero</w:t>
        </w:r>
        <w:r>
          <w:rPr/>
          <w:t>.</w:t>
        </w:r>
      </w:hyperlink>
      <w:r>
        <w:rPr/>
        <w:t> Rescued the day 23-02-15.</w:t>
      </w:r>
    </w:p>
    <w:p>
      <w:pPr>
        <w:pStyle w:val="BodyText"/>
      </w:pPr>
    </w:p>
    <w:p>
      <w:pPr>
        <w:pStyle w:val="BodyText"/>
        <w:spacing w:before="1"/>
        <w:ind w:left="270" w:right="677"/>
        <w:jc w:val="both"/>
      </w:pPr>
      <w:r>
        <w:rPr/>
        <w:t>[4] </w:t>
      </w:r>
      <w:r>
        <w:rPr>
          <w:color w:val="121721"/>
        </w:rPr>
        <w:t>Instituto Mexicano del Seguro Social. "Memoria Estadística 2013”. </w:t>
      </w:r>
      <w:hyperlink r:id="rId483">
        <w:r>
          <w:rPr>
            <w:u w:val="single"/>
          </w:rPr>
          <w:t>http://www.imss.gob.mx/conoce-al-</w:t>
        </w:r>
      </w:hyperlink>
      <w:r>
        <w:rPr>
          <w:u w:val="single"/>
        </w:rPr>
        <w:t> imss/memoria-estadistica-2013.</w:t>
      </w:r>
    </w:p>
    <w:p>
      <w:pPr>
        <w:pStyle w:val="BodyText"/>
        <w:ind w:left="270"/>
        <w:jc w:val="both"/>
      </w:pPr>
      <w:r>
        <w:rPr>
          <w:u w:val="single"/>
        </w:rPr>
        <w:t>Rescued the day 23/03/15</w:t>
      </w:r>
    </w:p>
    <w:p>
      <w:pPr>
        <w:pStyle w:val="BodyText"/>
        <w:spacing w:before="11"/>
        <w:rPr>
          <w:sz w:val="19"/>
        </w:rPr>
      </w:pPr>
    </w:p>
    <w:p>
      <w:pPr>
        <w:pStyle w:val="BodyText"/>
        <w:tabs>
          <w:tab w:pos="1103" w:val="left" w:leader="none"/>
          <w:tab w:pos="2034" w:val="left" w:leader="none"/>
          <w:tab w:pos="3277" w:val="left" w:leader="none"/>
          <w:tab w:pos="4686" w:val="left" w:leader="none"/>
        </w:tabs>
        <w:ind w:left="270" w:right="676"/>
      </w:pPr>
      <w:r>
        <w:rPr/>
        <w:t>[5]Ramirez, A., Leyva, J., Estrada, J., “</w:t>
      </w:r>
      <w:r>
        <w:rPr>
          <w:rFonts w:ascii="Arial" w:hAnsi="Arial"/>
          <w:color w:val="121721"/>
        </w:rPr>
        <w:t>Determinación de fatiga física en trabajadores De mercados populares de</w:t>
        <w:tab/>
        <w:t>Los</w:t>
        <w:tab/>
        <w:t>Mochis</w:t>
        <w:tab/>
        <w:t>Sinaloa</w:t>
      </w:r>
      <w:r>
        <w:rPr/>
        <w:t>”.</w:t>
        <w:tab/>
        <w:t>2009. </w:t>
      </w:r>
      <w:hyperlink r:id="rId484">
        <w:r>
          <w:rPr>
            <w:u w:val="single"/>
          </w:rPr>
          <w:t>http://www.semac.org.mx/archivos/congreso11/fatiga1.pdf</w:t>
        </w:r>
      </w:hyperlink>
      <w:r>
        <w:rPr>
          <w:u w:val="single"/>
        </w:rPr>
        <w:t> </w:t>
      </w:r>
      <w:r>
        <w:rPr>
          <w:u w:val="single"/>
        </w:rPr>
        <w:t>Rescued the day</w:t>
      </w:r>
      <w:r>
        <w:rPr>
          <w:spacing w:val="-9"/>
          <w:u w:val="single"/>
        </w:rPr>
        <w:t> </w:t>
      </w:r>
      <w:r>
        <w:rPr>
          <w:u w:val="single"/>
        </w:rPr>
        <w:t>5/02/15</w:t>
      </w:r>
    </w:p>
    <w:p>
      <w:pPr>
        <w:pStyle w:val="BodyText"/>
        <w:spacing w:before="11"/>
        <w:rPr>
          <w:sz w:val="19"/>
        </w:rPr>
      </w:pPr>
    </w:p>
    <w:p>
      <w:pPr>
        <w:pStyle w:val="BodyText"/>
        <w:ind w:left="270" w:right="675"/>
        <w:jc w:val="both"/>
      </w:pPr>
      <w:r>
        <w:rPr/>
        <w:t>[6] Información sobre Accidentes y Enfermedades de Trabajo Sinaloa 2004-2013. Memorias IMSS 2004-2013. </w:t>
      </w:r>
      <w:hyperlink r:id="rId485">
        <w:r>
          <w:rPr>
            <w:u w:val="single"/>
          </w:rPr>
          <w:t>http://www.stps.gob.mx/bp/secciones/dgsst/estadisticas/Sina</w:t>
        </w:r>
      </w:hyperlink>
      <w:r>
        <w:rPr>
          <w:u w:val="single"/>
        </w:rPr>
        <w:t> loa%202004-2013.pdf </w:t>
      </w:r>
      <w:r>
        <w:rPr/>
        <w:t>Rescued the day 21/03/15</w:t>
      </w:r>
    </w:p>
    <w:p>
      <w:pPr>
        <w:spacing w:after="0"/>
        <w:jc w:val="both"/>
        <w:sectPr>
          <w:type w:val="continuous"/>
          <w:pgSz w:w="12240" w:h="15840"/>
          <w:pgMar w:top="1500" w:bottom="280" w:left="580" w:right="220"/>
          <w:cols w:num="2" w:equalWidth="0">
            <w:col w:w="5189" w:space="436"/>
            <w:col w:w="5815"/>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6"/>
        <w:rPr>
          <w:sz w:val="26"/>
        </w:rPr>
      </w:pPr>
    </w:p>
    <w:p>
      <w:pPr>
        <w:pStyle w:val="Heading1"/>
        <w:ind w:right="16"/>
        <w:rPr>
          <w:rFonts w:ascii="Arial" w:hAnsi="Arial"/>
        </w:rPr>
      </w:pPr>
      <w:r>
        <w:rPr>
          <w:rFonts w:ascii="Arial" w:hAnsi="Arial"/>
          <w:color w:val="202020"/>
        </w:rPr>
        <w:t>Corn tortillería CDT’s detection, a study miller with subjective methods</w:t>
      </w:r>
    </w:p>
    <w:p>
      <w:pPr>
        <w:pStyle w:val="BodyText"/>
        <w:spacing w:before="6"/>
        <w:rPr>
          <w:rFonts w:ascii="Arial"/>
          <w:b/>
          <w:sz w:val="19"/>
        </w:rPr>
      </w:pPr>
    </w:p>
    <w:p>
      <w:pPr>
        <w:spacing w:line="213" w:lineRule="auto" w:before="0"/>
        <w:ind w:left="270" w:right="18" w:firstLine="0"/>
        <w:jc w:val="both"/>
        <w:rPr>
          <w:i/>
          <w:sz w:val="20"/>
        </w:rPr>
      </w:pPr>
      <w:r>
        <w:rPr>
          <w:i/>
          <w:sz w:val="20"/>
        </w:rPr>
        <w:t>Alberto Ramírez Leyva </w:t>
      </w:r>
      <w:r>
        <w:rPr>
          <w:i/>
          <w:position w:val="9"/>
          <w:sz w:val="13"/>
        </w:rPr>
        <w:t>a</w:t>
      </w:r>
      <w:r>
        <w:rPr>
          <w:i/>
          <w:sz w:val="20"/>
        </w:rPr>
        <w:t>, Jesús Iván Ruiz Ibarra </w:t>
      </w:r>
      <w:r>
        <w:rPr>
          <w:i/>
          <w:position w:val="9"/>
          <w:sz w:val="13"/>
        </w:rPr>
        <w:t>b</w:t>
      </w:r>
      <w:r>
        <w:rPr>
          <w:i/>
          <w:sz w:val="20"/>
        </w:rPr>
        <w:t>, Daniela </w:t>
      </w:r>
      <w:r>
        <w:rPr>
          <w:i/>
          <w:sz w:val="20"/>
        </w:rPr>
        <w:t>Apodaca Rábago </w:t>
      </w:r>
      <w:r>
        <w:rPr>
          <w:i/>
          <w:position w:val="9"/>
          <w:sz w:val="13"/>
        </w:rPr>
        <w:t>c</w:t>
      </w:r>
      <w:r>
        <w:rPr>
          <w:i/>
          <w:sz w:val="20"/>
        </w:rPr>
        <w:t>, Joel Roberto Martínez Corral </w:t>
      </w:r>
      <w:r>
        <w:rPr>
          <w:i/>
          <w:position w:val="9"/>
          <w:sz w:val="13"/>
        </w:rPr>
        <w:t>d</w:t>
      </w:r>
      <w:r>
        <w:rPr>
          <w:i/>
          <w:sz w:val="20"/>
        </w:rPr>
        <w:t>, Carlos Alberto Nava Mena </w:t>
      </w:r>
      <w:r>
        <w:rPr>
          <w:i/>
          <w:position w:val="9"/>
          <w:sz w:val="13"/>
        </w:rPr>
        <w:t>e</w:t>
      </w:r>
      <w:r>
        <w:rPr>
          <w:i/>
          <w:sz w:val="20"/>
        </w:rPr>
        <w:t>.</w:t>
      </w:r>
    </w:p>
    <w:p>
      <w:pPr>
        <w:pStyle w:val="BodyText"/>
        <w:spacing w:before="2"/>
        <w:rPr>
          <w:i/>
          <w:sz w:val="19"/>
        </w:rPr>
      </w:pPr>
    </w:p>
    <w:p>
      <w:pPr>
        <w:spacing w:before="0"/>
        <w:ind w:left="270" w:right="1" w:firstLine="0"/>
        <w:jc w:val="both"/>
        <w:rPr>
          <w:sz w:val="16"/>
        </w:rPr>
      </w:pPr>
      <w:r>
        <w:rPr>
          <w:position w:val="7"/>
          <w:sz w:val="10"/>
        </w:rPr>
        <w:t>a </w:t>
      </w:r>
      <w:r>
        <w:rPr>
          <w:sz w:val="16"/>
        </w:rPr>
        <w:t>Instituto Tecnológico de Los Mochis, Juan de Dios Batiz y 20 de  noviembre s/n código postal 81259, alberto_ramirez_leyva@yahoo,com,  Los Mochis, Sinaloa,</w:t>
      </w:r>
      <w:r>
        <w:rPr>
          <w:spacing w:val="-19"/>
          <w:sz w:val="16"/>
        </w:rPr>
        <w:t> </w:t>
      </w:r>
      <w:r>
        <w:rPr>
          <w:sz w:val="16"/>
        </w:rPr>
        <w:t>México.</w:t>
      </w:r>
    </w:p>
    <w:p>
      <w:pPr>
        <w:spacing w:line="184" w:lineRule="exact" w:before="0"/>
        <w:ind w:left="270" w:right="0" w:firstLine="0"/>
        <w:jc w:val="both"/>
        <w:rPr>
          <w:sz w:val="16"/>
        </w:rPr>
      </w:pPr>
      <w:r>
        <w:rPr>
          <w:position w:val="7"/>
          <w:sz w:val="10"/>
        </w:rPr>
        <w:t>b   </w:t>
      </w:r>
      <w:r>
        <w:rPr>
          <w:sz w:val="16"/>
        </w:rPr>
        <w:t>Instituto  Tecnológico  de  Los  Mochis,  Juan  de  Dios  Batiz  y  20      de</w:t>
      </w:r>
    </w:p>
    <w:p>
      <w:pPr>
        <w:spacing w:before="1"/>
        <w:ind w:left="270" w:right="0" w:firstLine="0"/>
        <w:jc w:val="both"/>
        <w:rPr>
          <w:sz w:val="16"/>
        </w:rPr>
      </w:pPr>
      <w:r>
        <w:rPr>
          <w:sz w:val="16"/>
        </w:rPr>
        <w:t>noviembre s/n código postal 81259, jesus_ruizi@hotmail,com, Los Mochis, Sinaloa, México.</w:t>
      </w:r>
    </w:p>
    <w:p>
      <w:pPr>
        <w:spacing w:line="184" w:lineRule="exact" w:before="0"/>
        <w:ind w:left="270" w:right="0" w:firstLine="0"/>
        <w:jc w:val="both"/>
        <w:rPr>
          <w:sz w:val="16"/>
        </w:rPr>
      </w:pPr>
      <w:r>
        <w:rPr>
          <w:position w:val="7"/>
          <w:sz w:val="10"/>
        </w:rPr>
        <w:t>c   </w:t>
      </w:r>
      <w:r>
        <w:rPr>
          <w:sz w:val="16"/>
        </w:rPr>
        <w:t>Instituto  Tecnológico  de  Los  Mochis,  Juan  de  Dios  Batiz  y  20      de</w:t>
      </w:r>
    </w:p>
    <w:p>
      <w:pPr>
        <w:spacing w:before="1"/>
        <w:ind w:left="270" w:right="18" w:firstLine="0"/>
        <w:jc w:val="both"/>
        <w:rPr>
          <w:sz w:val="16"/>
        </w:rPr>
      </w:pPr>
      <w:r>
        <w:rPr>
          <w:sz w:val="16"/>
        </w:rPr>
        <w:t>noviembre s/n código postal 81259, </w:t>
      </w:r>
      <w:hyperlink r:id="rId688">
        <w:r>
          <w:rPr>
            <w:sz w:val="16"/>
          </w:rPr>
          <w:t>danielaapodaca_@hotmail.com,</w:t>
        </w:r>
      </w:hyperlink>
      <w:r>
        <w:rPr>
          <w:sz w:val="16"/>
        </w:rPr>
        <w:t> Los Mochis, Sinaloa, México.</w:t>
      </w:r>
    </w:p>
    <w:p>
      <w:pPr>
        <w:spacing w:line="184" w:lineRule="exact" w:before="0"/>
        <w:ind w:left="270" w:right="0" w:firstLine="0"/>
        <w:jc w:val="both"/>
        <w:rPr>
          <w:sz w:val="16"/>
        </w:rPr>
      </w:pPr>
      <w:r>
        <w:rPr>
          <w:position w:val="7"/>
          <w:sz w:val="10"/>
        </w:rPr>
        <w:t>d   </w:t>
      </w:r>
      <w:r>
        <w:rPr>
          <w:sz w:val="16"/>
        </w:rPr>
        <w:t>Instituto  Tecnológico  de  Los  Mochis,  Juan  de  Dios  Batiz  y  20      de</w:t>
      </w:r>
    </w:p>
    <w:p>
      <w:pPr>
        <w:spacing w:before="1"/>
        <w:ind w:left="270" w:right="17" w:firstLine="0"/>
        <w:jc w:val="both"/>
        <w:rPr>
          <w:sz w:val="16"/>
        </w:rPr>
      </w:pPr>
      <w:r>
        <w:rPr>
          <w:sz w:val="16"/>
        </w:rPr>
        <w:t>noviembre s/n código postal 81259, </w:t>
      </w:r>
      <w:hyperlink r:id="rId689">
        <w:r>
          <w:rPr>
            <w:sz w:val="16"/>
          </w:rPr>
          <w:t>Jrmc_4@hotmail.com,</w:t>
        </w:r>
      </w:hyperlink>
      <w:r>
        <w:rPr>
          <w:sz w:val="16"/>
        </w:rPr>
        <w:t> Los Mochis, Sinaloa, México.</w:t>
      </w:r>
    </w:p>
    <w:p>
      <w:pPr>
        <w:spacing w:line="184" w:lineRule="exact" w:before="0"/>
        <w:ind w:left="270" w:right="0" w:firstLine="0"/>
        <w:jc w:val="both"/>
        <w:rPr>
          <w:sz w:val="16"/>
        </w:rPr>
      </w:pPr>
      <w:r>
        <w:rPr>
          <w:position w:val="7"/>
          <w:sz w:val="10"/>
        </w:rPr>
        <w:t>e    </w:t>
      </w:r>
      <w:r>
        <w:rPr>
          <w:sz w:val="16"/>
        </w:rPr>
        <w:t>Estudiante  de  Ingeniería  Industrial  del  Instituto  Tecnológico  de    Los</w:t>
      </w:r>
    </w:p>
    <w:p>
      <w:pPr>
        <w:spacing w:before="1"/>
        <w:ind w:left="270" w:right="16" w:firstLine="0"/>
        <w:jc w:val="both"/>
        <w:rPr>
          <w:sz w:val="16"/>
        </w:rPr>
      </w:pPr>
      <w:r>
        <w:rPr>
          <w:sz w:val="16"/>
        </w:rPr>
        <w:t>Mochis, Juan de Dios Batiz y 20 de noviembre s/n código postal 81259, </w:t>
      </w:r>
      <w:hyperlink r:id="rId590">
        <w:r>
          <w:rPr>
            <w:sz w:val="16"/>
          </w:rPr>
          <w:t>charly_nava13@hotmail.com,</w:t>
        </w:r>
      </w:hyperlink>
      <w:r>
        <w:rPr>
          <w:sz w:val="16"/>
        </w:rPr>
        <w:t> Los Mochis, Sinaloa, México.</w:t>
      </w:r>
    </w:p>
    <w:p>
      <w:pPr>
        <w:pStyle w:val="BodyText"/>
        <w:spacing w:before="4"/>
      </w:pPr>
    </w:p>
    <w:p>
      <w:pPr>
        <w:pStyle w:val="Heading4"/>
      </w:pPr>
      <w:r>
        <w:rPr/>
        <w:pict>
          <v:line style="position:absolute;mso-position-horizontal-relative:page;mso-position-vertical-relative:paragraph;z-index:17320" from="41.040001pt,13.205923pt" to="289.860001pt,13.205923pt" stroked="true" strokeweight="1.5pt" strokecolor="#000000">
            <w10:wrap type="none"/>
          </v:line>
        </w:pict>
      </w:r>
      <w:r>
        <w:rPr/>
        <w:t>Resumen</w:t>
      </w:r>
    </w:p>
    <w:p>
      <w:pPr>
        <w:pStyle w:val="BodyText"/>
        <w:spacing w:before="46"/>
        <w:ind w:left="270" w:right="14"/>
        <w:jc w:val="both"/>
      </w:pPr>
      <w:r>
        <w:rPr/>
        <w:t>Este estudio se llevó a cabo para determinar si los molineros de tortillerías de maíz sufren un desgaste al momento de realizar o efectuar su trabajo Utilizando métodos subjetivos como Yoshitake (síntomas corporales o proyección de daños físicos) y Corlett &amp; Bishop para identificar problemas musco-esqueléticos de los mismos. Y así poder saber si sufren un posible desgaste traumático acumulativo. Únicamente se utilizó en el método de Yoshitake el apartado de los síntomas corporales o proyección de daños físicos ya que se pretende identificar si existe algún problema musculo esquelético y este rubro complementaría al mapeo de Corlett and Bishop y así poder tener una mayor certeza a la hora de evaluar el trabajo que efectúan los molineros de tortillerías  de maíz. Se identificó que en las regiones corporales más afectadas fue el hombro, cuello, cabeza y espalda alta, ya que actualmente en las tortillerías el proceso es muy exigente en esfuerzo físico. El hecho de cargar 20 kg de costales de maíz, moldear la masa aplicando presión y esfuerzo corporal, así como también cargar dicha masa hacia la campana para  poder colocarlo, hace que la mayor parte recaiga sobre los hombros. todo esto con el fin de poder proporcionar y dar recomendaciones de posibles soluciones que aumenten la calidad de vida del trabajador reduciendo el desgaste físico que por ende trae beneficios y ventajas a la empresa ya sea por menos incapacidades o una mayor</w:t>
      </w:r>
      <w:r>
        <w:rPr>
          <w:spacing w:val="-19"/>
        </w:rPr>
        <w:t> </w:t>
      </w:r>
      <w:r>
        <w:rPr/>
        <w:t>productividad.</w:t>
      </w:r>
    </w:p>
    <w:p>
      <w:pPr>
        <w:pStyle w:val="BodyText"/>
        <w:spacing w:before="11"/>
        <w:rPr>
          <w:sz w:val="19"/>
        </w:rPr>
      </w:pPr>
    </w:p>
    <w:p>
      <w:pPr>
        <w:spacing w:before="0"/>
        <w:ind w:left="270" w:right="16" w:firstLine="0"/>
        <w:jc w:val="both"/>
        <w:rPr>
          <w:sz w:val="20"/>
        </w:rPr>
      </w:pPr>
      <w:r>
        <w:rPr>
          <w:b/>
          <w:sz w:val="20"/>
        </w:rPr>
        <w:t>Palabras clave</w:t>
      </w:r>
      <w:r>
        <w:rPr>
          <w:sz w:val="20"/>
        </w:rPr>
        <w:t>— DTA’s, Yoshitake, Lesiones musco- esqueleticas</w:t>
      </w:r>
    </w:p>
    <w:p>
      <w:pPr>
        <w:pStyle w:val="BodyText"/>
        <w:spacing w:before="3"/>
      </w:pPr>
    </w:p>
    <w:p>
      <w:pPr>
        <w:pStyle w:val="Heading5"/>
        <w:rPr>
          <w:i/>
        </w:rPr>
      </w:pPr>
      <w:r>
        <w:rPr/>
        <w:pict>
          <v:line style="position:absolute;mso-position-horizontal-relative:page;mso-position-vertical-relative:paragraph;z-index:17344" from="41.040001pt,13.206954pt" to="289.860001pt,13.206954pt" stroked="true" strokeweight="1.5pt" strokecolor="#000000">
            <w10:wrap type="none"/>
          </v:line>
        </w:pict>
      </w:r>
      <w:r>
        <w:rPr>
          <w:i/>
        </w:rPr>
        <w:t>Abstract</w:t>
      </w:r>
    </w:p>
    <w:p>
      <w:pPr>
        <w:spacing w:before="46"/>
        <w:ind w:left="270" w:right="17" w:firstLine="0"/>
        <w:jc w:val="both"/>
        <w:rPr>
          <w:i/>
          <w:sz w:val="20"/>
        </w:rPr>
      </w:pPr>
      <w:r>
        <w:rPr>
          <w:i/>
          <w:sz w:val="20"/>
        </w:rPr>
        <w:t>This study was conducted to determine if the Millers of corn </w:t>
      </w:r>
      <w:r>
        <w:rPr>
          <w:i/>
          <w:sz w:val="20"/>
        </w:rPr>
        <w:t>tortilla suffer wear when performing or perform their work using subjective methods such as Yoshitake (bodily  symptoms or damage Imaging) and Corlett and Bishop to identify the same Skeletal muscle injury. And thus be able </w:t>
      </w:r>
      <w:r>
        <w:rPr>
          <w:i/>
          <w:spacing w:val="17"/>
          <w:sz w:val="20"/>
        </w:rPr>
        <w:t> </w:t>
      </w:r>
      <w:r>
        <w:rPr>
          <w:i/>
          <w:sz w:val="20"/>
        </w:rPr>
        <w:t>to</w:t>
      </w:r>
    </w:p>
    <w:p>
      <w:pPr>
        <w:spacing w:before="74"/>
        <w:ind w:left="270" w:right="675" w:firstLine="0"/>
        <w:jc w:val="both"/>
        <w:rPr>
          <w:i/>
          <w:sz w:val="20"/>
        </w:rPr>
      </w:pPr>
      <w:r>
        <w:rPr/>
        <w:br w:type="column"/>
      </w:r>
      <w:r>
        <w:rPr>
          <w:i/>
          <w:sz w:val="20"/>
        </w:rPr>
        <w:t>know if they suffer a cumulative traumatic wear. Only the </w:t>
      </w:r>
      <w:r>
        <w:rPr>
          <w:i/>
          <w:sz w:val="20"/>
        </w:rPr>
        <w:t>Symptoms section was used in the questionnaire of  yoshitake body or damage Imaging since intends to identify whether there is any physical damage and this item would complement to questionnaire corlett and bishop and so we can have a greater certainty in assessing the work that the Millers of corn tortilla all this in order to provide and give recommendations of possible solutions that enhance the quality of life worker reducing physical wear which therefore brings benefits and advantages to the company already is less disability or higher</w:t>
      </w:r>
      <w:r>
        <w:rPr>
          <w:i/>
          <w:spacing w:val="-28"/>
          <w:sz w:val="20"/>
        </w:rPr>
        <w:t> </w:t>
      </w:r>
      <w:r>
        <w:rPr>
          <w:i/>
          <w:sz w:val="20"/>
        </w:rPr>
        <w:t>productivity.</w:t>
      </w:r>
    </w:p>
    <w:p>
      <w:pPr>
        <w:pStyle w:val="BodyText"/>
        <w:spacing w:before="11"/>
        <w:rPr>
          <w:i/>
          <w:sz w:val="19"/>
        </w:rPr>
      </w:pPr>
    </w:p>
    <w:p>
      <w:pPr>
        <w:spacing w:before="0"/>
        <w:ind w:left="270" w:right="677" w:firstLine="0"/>
        <w:jc w:val="both"/>
        <w:rPr>
          <w:i/>
          <w:sz w:val="20"/>
        </w:rPr>
      </w:pPr>
      <w:r>
        <w:rPr>
          <w:b/>
          <w:i/>
          <w:sz w:val="20"/>
        </w:rPr>
        <w:t>Keywords</w:t>
      </w:r>
      <w:r>
        <w:rPr>
          <w:i/>
          <w:sz w:val="20"/>
        </w:rPr>
        <w:t>— Anthropometry, Dta´s, Skeletal muscle injury, </w:t>
      </w:r>
      <w:r>
        <w:rPr>
          <w:i/>
          <w:sz w:val="20"/>
        </w:rPr>
        <w:t>Corlett &amp; Bishop, Yoshitake</w:t>
      </w:r>
    </w:p>
    <w:p>
      <w:pPr>
        <w:pStyle w:val="BodyText"/>
        <w:spacing w:before="11"/>
        <w:rPr>
          <w:i/>
          <w:sz w:val="19"/>
        </w:rPr>
      </w:pPr>
    </w:p>
    <w:p>
      <w:pPr>
        <w:pStyle w:val="BodyText"/>
        <w:ind w:left="270" w:right="677"/>
        <w:jc w:val="both"/>
      </w:pPr>
      <w:r>
        <w:rPr/>
        <w:t>Relevance to Ergonomics: While in Mexico, corn tortillas are one of foods and more popular in our culture there is research related to workers. And it is here where this research will be the start to future research.</w:t>
      </w:r>
    </w:p>
    <w:p>
      <w:pPr>
        <w:pStyle w:val="BodyText"/>
        <w:spacing w:before="3"/>
      </w:pPr>
    </w:p>
    <w:p>
      <w:pPr>
        <w:pStyle w:val="Heading4"/>
        <w:numPr>
          <w:ilvl w:val="0"/>
          <w:numId w:val="152"/>
        </w:numPr>
        <w:tabs>
          <w:tab w:pos="473" w:val="left" w:leader="none"/>
        </w:tabs>
        <w:spacing w:line="240" w:lineRule="auto" w:before="0" w:after="0"/>
        <w:ind w:left="472" w:right="0" w:hanging="202"/>
        <w:jc w:val="both"/>
      </w:pPr>
      <w:r>
        <w:rPr/>
        <w:t>Introduction</w:t>
      </w:r>
    </w:p>
    <w:p>
      <w:pPr>
        <w:pStyle w:val="BodyText"/>
        <w:spacing w:before="8"/>
        <w:rPr>
          <w:b/>
          <w:sz w:val="19"/>
        </w:rPr>
      </w:pPr>
    </w:p>
    <w:p>
      <w:pPr>
        <w:pStyle w:val="BodyText"/>
        <w:ind w:left="270" w:right="676"/>
        <w:jc w:val="both"/>
      </w:pPr>
      <w:r>
        <w:rPr/>
        <w:t>The skeletal muscle injury (CDT) cumulative trauma disorders are given other names such as: injury from repetitive motions, injury from repetitive strain, repetitive trauma disorders, disorders by use and abuse, overuse syndromes and diseases by repetitive trauma.</w:t>
      </w:r>
    </w:p>
    <w:p>
      <w:pPr>
        <w:pStyle w:val="BodyText"/>
        <w:spacing w:before="11"/>
        <w:rPr>
          <w:sz w:val="19"/>
        </w:rPr>
      </w:pPr>
    </w:p>
    <w:p>
      <w:pPr>
        <w:pStyle w:val="BodyText"/>
        <w:ind w:left="270" w:right="675" w:firstLine="567"/>
        <w:jc w:val="both"/>
      </w:pPr>
      <w:r>
        <w:rPr/>
        <w:t>The CDT consist of a set of diseases of muscles, tendons, nerves, joints and bones, which cover a wide variety of signs and symptoms that can affect different segments of the body (neck, shoulder, arm, elbow, hand, wrist, back, lumbar region and lower limbs). In some diseases pain represents the main and sole manifestation, without being detected positive and objective findings at clinical examination, in some cases not a precise diagnosis, such as cervical or lumbar pain and painful shoulder syndrome, can be defined because they simply give indication of the anatomic location of a system. (Arbelaez 2008)</w:t>
      </w:r>
    </w:p>
    <w:p>
      <w:pPr>
        <w:pStyle w:val="BodyText"/>
        <w:spacing w:before="11"/>
        <w:rPr>
          <w:sz w:val="19"/>
        </w:rPr>
      </w:pPr>
    </w:p>
    <w:p>
      <w:pPr>
        <w:pStyle w:val="BodyText"/>
        <w:ind w:left="270" w:right="677" w:firstLine="567"/>
        <w:jc w:val="both"/>
      </w:pPr>
      <w:r>
        <w:rPr/>
        <w:t>Cumulative trauma disorders are injuries of the muscle-skeletal system that develop gradually as a result of repetitive trauma due to poor design and the excessive use  of hand tools and other equipment. (Niebel,</w:t>
      </w:r>
      <w:r>
        <w:rPr>
          <w:spacing w:val="-19"/>
        </w:rPr>
        <w:t> </w:t>
      </w:r>
      <w:r>
        <w:rPr/>
        <w:t>2009).</w:t>
      </w:r>
    </w:p>
    <w:p>
      <w:pPr>
        <w:pStyle w:val="BodyText"/>
      </w:pPr>
    </w:p>
    <w:p>
      <w:pPr>
        <w:pStyle w:val="BodyText"/>
        <w:spacing w:before="1"/>
        <w:ind w:left="270" w:right="676" w:firstLine="567"/>
        <w:jc w:val="both"/>
      </w:pPr>
      <w:r>
        <w:rPr/>
        <w:t>Exposure to adverse working conditions can severely affect the performance of the worker. There is the idea that the development of CDT occurs mainly in people dedicated to office work, however, it is quite common to be developed in works of various kinds.</w:t>
      </w:r>
    </w:p>
    <w:p>
      <w:pPr>
        <w:pStyle w:val="BodyText"/>
        <w:spacing w:before="11"/>
        <w:rPr>
          <w:sz w:val="19"/>
        </w:rPr>
      </w:pPr>
    </w:p>
    <w:p>
      <w:pPr>
        <w:pStyle w:val="BodyText"/>
        <w:ind w:left="270" w:right="675" w:firstLine="567"/>
        <w:jc w:val="both"/>
      </w:pPr>
      <w:r>
        <w:rPr/>
        <w:t>One of the main problems of the development  of CDT worker is that it occurs so gradually and manifests itself in a painful manner until the lesion is located in a relatively severe State and still in the majority of cases is not taken into account and the worker resigned to live with pain or discomfort.</w:t>
      </w:r>
    </w:p>
    <w:p>
      <w:pPr>
        <w:spacing w:after="0"/>
        <w:jc w:val="both"/>
        <w:sectPr>
          <w:type w:val="continuous"/>
          <w:pgSz w:w="12240" w:h="15840"/>
          <w:pgMar w:top="1500" w:bottom="280" w:left="580" w:right="220"/>
          <w:cols w:num="2" w:equalWidth="0">
            <w:col w:w="5208" w:space="417"/>
            <w:col w:w="5815"/>
          </w:cols>
        </w:sectPr>
      </w:pPr>
    </w:p>
    <w:p>
      <w:pPr>
        <w:pStyle w:val="BodyText"/>
      </w:pPr>
    </w:p>
    <w:p>
      <w:pPr>
        <w:spacing w:after="0"/>
        <w:sectPr>
          <w:pgSz w:w="12240" w:h="15840"/>
          <w:pgMar w:header="545" w:footer="852" w:top="1060" w:bottom="1040" w:left="580" w:right="220"/>
        </w:sectPr>
      </w:pPr>
    </w:p>
    <w:p>
      <w:pPr>
        <w:pStyle w:val="BodyText"/>
        <w:spacing w:before="8"/>
        <w:rPr>
          <w:sz w:val="17"/>
        </w:rPr>
      </w:pPr>
    </w:p>
    <w:p>
      <w:pPr>
        <w:pStyle w:val="BodyText"/>
        <w:spacing w:before="1"/>
        <w:ind w:left="270" w:right="1" w:firstLine="567"/>
        <w:jc w:val="both"/>
      </w:pPr>
      <w:r>
        <w:rPr/>
        <w:t>The lack of ergonomic designs is not the only cause  of development of CDT, but it also, poor posture can affect  in the same</w:t>
      </w:r>
      <w:r>
        <w:rPr>
          <w:spacing w:val="-9"/>
        </w:rPr>
        <w:t> </w:t>
      </w:r>
      <w:r>
        <w:rPr/>
        <w:t>way.</w:t>
      </w:r>
    </w:p>
    <w:p>
      <w:pPr>
        <w:pStyle w:val="BodyText"/>
        <w:spacing w:before="11"/>
        <w:rPr>
          <w:sz w:val="19"/>
        </w:rPr>
      </w:pPr>
    </w:p>
    <w:p>
      <w:pPr>
        <w:pStyle w:val="BodyText"/>
        <w:ind w:left="270" w:right="1" w:firstLine="567"/>
        <w:jc w:val="both"/>
      </w:pPr>
      <w:r>
        <w:rPr/>
        <w:t>Cumulative trauma disorders refer to chronic lesions that develop in the course of several years, from which affect the back and knees, wrists, hands and fingers do not work properly or that have lost their function. They are caused by repetitive motion, awkward postures, overexertion, vibration and temperature extremes.</w:t>
      </w:r>
    </w:p>
    <w:p>
      <w:pPr>
        <w:pStyle w:val="BodyText"/>
        <w:spacing w:before="11"/>
        <w:rPr>
          <w:sz w:val="19"/>
        </w:rPr>
      </w:pPr>
    </w:p>
    <w:p>
      <w:pPr>
        <w:pStyle w:val="BodyText"/>
        <w:ind w:left="270" w:firstLine="567"/>
        <w:jc w:val="both"/>
      </w:pPr>
      <w:r>
        <w:rPr/>
        <w:t>Since times immemorial, corn tortillas consumed in Mexico were made by handin which I could easily notice the effort applied in such action taking into account; grinding the corn, creation of mass, molding with rollers and the press to give shape to the tortilla. The lifestyle that people are currently very fast, since by the same requirement that force us to continue without looking back with a purpose in specific, this can affect us fully not only physically but also mentally for all the hard work that takes place in the rhythm of life. Thanks to the base to the statistics provided by the IMSS in 2013 we realized account that there are many accidents and problems muscle skeleton in the field of preparation and food service in Sinaloa and generate many disabilities.</w:t>
      </w:r>
    </w:p>
    <w:p>
      <w:pPr>
        <w:pStyle w:val="BodyText"/>
        <w:spacing w:before="10"/>
        <w:rPr>
          <w:sz w:val="19"/>
        </w:rPr>
      </w:pPr>
      <w:r>
        <w:rPr/>
        <w:drawing>
          <wp:anchor distT="0" distB="0" distL="0" distR="0" allowOverlap="1" layoutInCell="1" locked="0" behindDoc="0" simplePos="0" relativeHeight="17368">
            <wp:simplePos x="0" y="0"/>
            <wp:positionH relativeFrom="page">
              <wp:posOffset>550163</wp:posOffset>
            </wp:positionH>
            <wp:positionV relativeFrom="paragraph">
              <wp:posOffset>169907</wp:posOffset>
            </wp:positionV>
            <wp:extent cx="3087370" cy="1797939"/>
            <wp:effectExtent l="0" t="0" r="0" b="0"/>
            <wp:wrapTopAndBottom/>
            <wp:docPr id="751" name="image424.jpeg" descr=""/>
            <wp:cNvGraphicFramePr>
              <a:graphicFrameLocks noChangeAspect="1"/>
            </wp:cNvGraphicFramePr>
            <a:graphic>
              <a:graphicData uri="http://schemas.openxmlformats.org/drawingml/2006/picture">
                <pic:pic>
                  <pic:nvPicPr>
                    <pic:cNvPr id="752" name="image424.jpeg"/>
                    <pic:cNvPicPr/>
                  </pic:nvPicPr>
                  <pic:blipFill>
                    <a:blip r:embed="rId690" cstate="print"/>
                    <a:stretch>
                      <a:fillRect/>
                    </a:stretch>
                  </pic:blipFill>
                  <pic:spPr>
                    <a:xfrm>
                      <a:off x="0" y="0"/>
                      <a:ext cx="3087370" cy="1797939"/>
                    </a:xfrm>
                    <a:prstGeom prst="rect">
                      <a:avLst/>
                    </a:prstGeom>
                  </pic:spPr>
                </pic:pic>
              </a:graphicData>
            </a:graphic>
          </wp:anchor>
        </w:drawing>
      </w:r>
    </w:p>
    <w:p>
      <w:pPr>
        <w:pStyle w:val="BodyText"/>
        <w:ind w:left="1980" w:right="9"/>
      </w:pPr>
      <w:r>
        <w:rPr/>
        <w:t>Table 1. Risk in Sinaloa</w:t>
      </w:r>
    </w:p>
    <w:p>
      <w:pPr>
        <w:pStyle w:val="BodyText"/>
        <w:spacing w:before="11"/>
        <w:rPr>
          <w:sz w:val="19"/>
        </w:rPr>
      </w:pPr>
    </w:p>
    <w:p>
      <w:pPr>
        <w:pStyle w:val="BodyText"/>
        <w:ind w:left="270" w:firstLine="567"/>
        <w:jc w:val="both"/>
      </w:pPr>
      <w:r>
        <w:rPr/>
        <w:t>This table 1 expresses the number of risks that existed in Sinaloa in the preparation section and foodservice with 688 cases equivalent to 5.5%. in</w:t>
      </w:r>
      <w:r>
        <w:rPr>
          <w:spacing w:val="-12"/>
        </w:rPr>
        <w:t> </w:t>
      </w:r>
      <w:r>
        <w:rPr/>
        <w:t>Sinaloa.</w:t>
      </w:r>
    </w:p>
    <w:p>
      <w:pPr>
        <w:pStyle w:val="BodyText"/>
      </w:pPr>
      <w:r>
        <w:rPr/>
        <w:br w:type="column"/>
      </w:r>
      <w:r>
        <w:rPr/>
      </w:r>
    </w:p>
    <w:p>
      <w:pPr>
        <w:pStyle w:val="BodyText"/>
        <w:spacing w:before="9"/>
        <w:rPr>
          <w:sz w:val="17"/>
        </w:rPr>
      </w:pPr>
    </w:p>
    <w:p>
      <w:pPr>
        <w:pStyle w:val="BodyText"/>
        <w:ind w:left="1816" w:right="852"/>
      </w:pPr>
      <w:r>
        <w:rPr/>
        <w:t>Table 2. Days of incapacity</w:t>
      </w:r>
    </w:p>
    <w:p>
      <w:pPr>
        <w:pStyle w:val="BodyText"/>
        <w:ind w:left="270"/>
      </w:pPr>
      <w:r>
        <w:rPr/>
        <w:drawing>
          <wp:inline distT="0" distB="0" distL="0" distR="0">
            <wp:extent cx="3102530" cy="2157983"/>
            <wp:effectExtent l="0" t="0" r="0" b="0"/>
            <wp:docPr id="753" name="image425.jpeg" descr=""/>
            <wp:cNvGraphicFramePr>
              <a:graphicFrameLocks noChangeAspect="1"/>
            </wp:cNvGraphicFramePr>
            <a:graphic>
              <a:graphicData uri="http://schemas.openxmlformats.org/drawingml/2006/picture">
                <pic:pic>
                  <pic:nvPicPr>
                    <pic:cNvPr id="754" name="image425.jpeg"/>
                    <pic:cNvPicPr/>
                  </pic:nvPicPr>
                  <pic:blipFill>
                    <a:blip r:embed="rId691" cstate="print"/>
                    <a:stretch>
                      <a:fillRect/>
                    </a:stretch>
                  </pic:blipFill>
                  <pic:spPr>
                    <a:xfrm>
                      <a:off x="0" y="0"/>
                      <a:ext cx="3102530" cy="2157983"/>
                    </a:xfrm>
                    <a:prstGeom prst="rect">
                      <a:avLst/>
                    </a:prstGeom>
                  </pic:spPr>
                </pic:pic>
              </a:graphicData>
            </a:graphic>
          </wp:inline>
        </w:drawing>
      </w:r>
      <w:r>
        <w:rPr/>
      </w:r>
    </w:p>
    <w:p>
      <w:pPr>
        <w:pStyle w:val="BodyText"/>
      </w:pPr>
    </w:p>
    <w:p>
      <w:pPr>
        <w:pStyle w:val="BodyText"/>
        <w:ind w:left="270" w:right="676" w:firstLine="567"/>
        <w:jc w:val="both"/>
      </w:pPr>
      <w:r>
        <w:rPr/>
        <w:t>Table 2 explains what are days of incapacity in preparation and food service were 16032 equivalents to  4.4% in</w:t>
      </w:r>
      <w:r>
        <w:rPr>
          <w:spacing w:val="-4"/>
        </w:rPr>
        <w:t> </w:t>
      </w:r>
      <w:r>
        <w:rPr/>
        <w:t>Sinaloa.</w:t>
      </w:r>
    </w:p>
    <w:p>
      <w:pPr>
        <w:pStyle w:val="BodyText"/>
        <w:spacing w:before="11"/>
        <w:rPr>
          <w:sz w:val="19"/>
        </w:rPr>
      </w:pPr>
    </w:p>
    <w:p>
      <w:pPr>
        <w:pStyle w:val="BodyText"/>
        <w:ind w:left="1578" w:right="852"/>
      </w:pPr>
      <w:r>
        <w:rPr/>
        <w:t>Table 3. Anatomical region.</w:t>
      </w:r>
    </w:p>
    <w:p>
      <w:pPr>
        <w:pStyle w:val="BodyText"/>
        <w:ind w:left="270"/>
      </w:pPr>
      <w:r>
        <w:rPr/>
        <w:drawing>
          <wp:inline distT="0" distB="0" distL="0" distR="0">
            <wp:extent cx="3098250" cy="2634996"/>
            <wp:effectExtent l="0" t="0" r="0" b="0"/>
            <wp:docPr id="755" name="image426.jpeg" descr=""/>
            <wp:cNvGraphicFramePr>
              <a:graphicFrameLocks noChangeAspect="1"/>
            </wp:cNvGraphicFramePr>
            <a:graphic>
              <a:graphicData uri="http://schemas.openxmlformats.org/drawingml/2006/picture">
                <pic:pic>
                  <pic:nvPicPr>
                    <pic:cNvPr id="756" name="image426.jpeg"/>
                    <pic:cNvPicPr/>
                  </pic:nvPicPr>
                  <pic:blipFill>
                    <a:blip r:embed="rId692" cstate="print"/>
                    <a:stretch>
                      <a:fillRect/>
                    </a:stretch>
                  </pic:blipFill>
                  <pic:spPr>
                    <a:xfrm>
                      <a:off x="0" y="0"/>
                      <a:ext cx="3098250" cy="2634996"/>
                    </a:xfrm>
                    <a:prstGeom prst="rect">
                      <a:avLst/>
                    </a:prstGeom>
                  </pic:spPr>
                </pic:pic>
              </a:graphicData>
            </a:graphic>
          </wp:inline>
        </w:drawing>
      </w:r>
      <w:r>
        <w:rPr/>
      </w:r>
    </w:p>
    <w:p>
      <w:pPr>
        <w:pStyle w:val="BodyText"/>
        <w:spacing w:before="7"/>
      </w:pPr>
    </w:p>
    <w:p>
      <w:pPr>
        <w:pStyle w:val="BodyText"/>
        <w:ind w:left="270" w:right="677" w:firstLine="567"/>
        <w:jc w:val="both"/>
      </w:pPr>
      <w:r>
        <w:rPr/>
        <w:t>Table 3 explains occupational accidents according to the anatomical region focused on the initial hypothesis- based Millers of the head and neck has a total of 779 injuries. The which should be attention in this</w:t>
      </w:r>
      <w:r>
        <w:rPr>
          <w:spacing w:val="-26"/>
        </w:rPr>
        <w:t> </w:t>
      </w:r>
      <w:r>
        <w:rPr/>
        <w:t>area.</w:t>
      </w:r>
    </w:p>
    <w:p>
      <w:pPr>
        <w:pStyle w:val="BodyText"/>
        <w:spacing w:before="11"/>
        <w:rPr>
          <w:sz w:val="19"/>
        </w:rPr>
      </w:pPr>
    </w:p>
    <w:p>
      <w:pPr>
        <w:pStyle w:val="BodyText"/>
        <w:ind w:left="270" w:right="675" w:firstLine="567"/>
        <w:jc w:val="both"/>
      </w:pPr>
      <w:r>
        <w:rPr/>
        <w:t>For this reason it was decided to investigate to identify possible solutions and avoid accidents or problems in advance by applying a new area of work or a method which does not affect the integrity of the worker focusing on the Millers of corn tortilla. And this is how he was raised as a hypothesis that the Millers working in Los Mochis  Sinaloa. They suffer a cumulative traumatic wear by the postures and/or the method or process on the basis of the areas of work, ill-designed. As also the environment in which they work since the same twist in which they </w:t>
      </w:r>
      <w:r>
        <w:rPr>
          <w:spacing w:val="9"/>
        </w:rPr>
        <w:t> </w:t>
      </w:r>
      <w:r>
        <w:rPr/>
        <w:t>operate</w:t>
      </w:r>
    </w:p>
    <w:p>
      <w:pPr>
        <w:spacing w:after="0"/>
        <w:jc w:val="both"/>
        <w:sectPr>
          <w:type w:val="continuous"/>
          <w:pgSz w:w="12240" w:h="15840"/>
          <w:pgMar w:top="1500" w:bottom="280" w:left="580" w:right="220"/>
          <w:cols w:num="2" w:equalWidth="0">
            <w:col w:w="5191" w:space="434"/>
            <w:col w:w="5815"/>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4"/>
        <w:ind w:left="270" w:right="1"/>
        <w:jc w:val="both"/>
      </w:pPr>
      <w:r>
        <w:rPr/>
        <w:t>in the tortilla it is almost impossible for elimination of the factor temperature which is caused by machines them tortilla on which operates the Miller.</w:t>
      </w:r>
    </w:p>
    <w:p>
      <w:pPr>
        <w:pStyle w:val="BodyText"/>
        <w:ind w:left="270" w:firstLine="567"/>
        <w:jc w:val="both"/>
      </w:pPr>
      <w:r>
        <w:rPr/>
        <w:t>Jobs for any work tend to be created  by designers who seek only beautiful. The owners of some company, looking for production and efficiency at all costs without taking into account the miller. End these two situations only affect Miller, since these posts are not adequate to ensure harmony between production and the health of the worker. This research was only delimited to the Millers of the tortilla from the city of Los Mochis.</w:t>
      </w:r>
    </w:p>
    <w:p>
      <w:pPr>
        <w:pStyle w:val="BodyText"/>
        <w:spacing w:before="11"/>
        <w:rPr>
          <w:sz w:val="19"/>
        </w:rPr>
      </w:pPr>
    </w:p>
    <w:p>
      <w:pPr>
        <w:pStyle w:val="BodyText"/>
        <w:ind w:left="270" w:firstLine="567"/>
        <w:jc w:val="both"/>
      </w:pPr>
      <w:r>
        <w:rPr/>
        <w:t>In paragraph 8 of the NOM-006-STPS-2014 specifies the handling of materials in which indicates the requirements that must be considered by law. Handling and storage of materials in manual mode</w:t>
      </w:r>
    </w:p>
    <w:p>
      <w:pPr>
        <w:pStyle w:val="BodyText"/>
      </w:pPr>
    </w:p>
    <w:p>
      <w:pPr>
        <w:pStyle w:val="BodyText"/>
        <w:spacing w:before="1"/>
        <w:ind w:left="270" w:firstLine="567"/>
        <w:jc w:val="both"/>
      </w:pPr>
      <w:r>
        <w:rPr/>
        <w:t>The activities of management and storage of materials through manual loading should be done only by workers who have fitness endorsed by a doctor. The pattern must take preventive measures, in order to avoid injury to muscular overexertion or forced or repetitive positions workers.</w:t>
      </w:r>
    </w:p>
    <w:p>
      <w:pPr>
        <w:pStyle w:val="BodyText"/>
      </w:pPr>
    </w:p>
    <w:p>
      <w:pPr>
        <w:pStyle w:val="BodyText"/>
        <w:spacing w:before="1"/>
        <w:ind w:left="270" w:firstLine="567"/>
        <w:jc w:val="both"/>
      </w:pPr>
      <w:r>
        <w:rPr/>
        <w:t>Verify that the manual load that workers handle does not exceed: 1) 25 kg for men; ((2) 10 kg in the case of women, and 3) 7 kg in the case of minors from 14 to 16  years</w:t>
      </w:r>
    </w:p>
    <w:p>
      <w:pPr>
        <w:pStyle w:val="BodyText"/>
        <w:spacing w:before="11"/>
        <w:rPr>
          <w:sz w:val="19"/>
        </w:rPr>
      </w:pPr>
    </w:p>
    <w:p>
      <w:pPr>
        <w:pStyle w:val="BodyText"/>
        <w:ind w:left="270" w:right="1" w:firstLine="567"/>
        <w:jc w:val="both"/>
      </w:pPr>
      <w:r>
        <w:rPr/>
        <w:t>This tells us that Miller is close to the limit of 25 kg on the basis of the standard already at the time of making the corn mass must be load sacks of flour or maize grain which are usually 20 kg. As in the case of the flour mills that exist in Mexico such as "x" brand and brand "and" two companies of the most important in that shift, they handle sacks of 20 kg. As shown in the figure 1 and</w:t>
      </w:r>
      <w:r>
        <w:rPr>
          <w:spacing w:val="-12"/>
        </w:rPr>
        <w:t> </w:t>
      </w:r>
      <w:r>
        <w:rPr/>
        <w:t>2</w:t>
      </w:r>
    </w:p>
    <w:p>
      <w:pPr>
        <w:pStyle w:val="BodyText"/>
      </w:pPr>
    </w:p>
    <w:p>
      <w:pPr>
        <w:pStyle w:val="BodyText"/>
        <w:spacing w:before="9"/>
        <w:rPr>
          <w:sz w:val="16"/>
        </w:rPr>
      </w:pPr>
      <w:r>
        <w:rPr/>
        <w:drawing>
          <wp:anchor distT="0" distB="0" distL="0" distR="0" allowOverlap="1" layoutInCell="1" locked="0" behindDoc="0" simplePos="0" relativeHeight="17392">
            <wp:simplePos x="0" y="0"/>
            <wp:positionH relativeFrom="page">
              <wp:posOffset>814577</wp:posOffset>
            </wp:positionH>
            <wp:positionV relativeFrom="paragraph">
              <wp:posOffset>147318</wp:posOffset>
            </wp:positionV>
            <wp:extent cx="1026209" cy="1914525"/>
            <wp:effectExtent l="0" t="0" r="0" b="0"/>
            <wp:wrapTopAndBottom/>
            <wp:docPr id="757" name="image358.jpeg" descr=""/>
            <wp:cNvGraphicFramePr>
              <a:graphicFrameLocks noChangeAspect="1"/>
            </wp:cNvGraphicFramePr>
            <a:graphic>
              <a:graphicData uri="http://schemas.openxmlformats.org/drawingml/2006/picture">
                <pic:pic>
                  <pic:nvPicPr>
                    <pic:cNvPr id="758" name="image358.jpeg"/>
                    <pic:cNvPicPr/>
                  </pic:nvPicPr>
                  <pic:blipFill>
                    <a:blip r:embed="rId592" cstate="print"/>
                    <a:stretch>
                      <a:fillRect/>
                    </a:stretch>
                  </pic:blipFill>
                  <pic:spPr>
                    <a:xfrm>
                      <a:off x="0" y="0"/>
                      <a:ext cx="1026209" cy="1914525"/>
                    </a:xfrm>
                    <a:prstGeom prst="rect">
                      <a:avLst/>
                    </a:prstGeom>
                  </pic:spPr>
                </pic:pic>
              </a:graphicData>
            </a:graphic>
          </wp:anchor>
        </w:drawing>
      </w:r>
      <w:r>
        <w:rPr/>
        <w:drawing>
          <wp:anchor distT="0" distB="0" distL="0" distR="0" allowOverlap="1" layoutInCell="1" locked="0" behindDoc="0" simplePos="0" relativeHeight="17416">
            <wp:simplePos x="0" y="0"/>
            <wp:positionH relativeFrom="page">
              <wp:posOffset>2507742</wp:posOffset>
            </wp:positionH>
            <wp:positionV relativeFrom="paragraph">
              <wp:posOffset>154938</wp:posOffset>
            </wp:positionV>
            <wp:extent cx="800663" cy="1905000"/>
            <wp:effectExtent l="0" t="0" r="0" b="0"/>
            <wp:wrapTopAndBottom/>
            <wp:docPr id="759" name="image359.jpeg" descr=""/>
            <wp:cNvGraphicFramePr>
              <a:graphicFrameLocks noChangeAspect="1"/>
            </wp:cNvGraphicFramePr>
            <a:graphic>
              <a:graphicData uri="http://schemas.openxmlformats.org/drawingml/2006/picture">
                <pic:pic>
                  <pic:nvPicPr>
                    <pic:cNvPr id="760" name="image359.jpeg"/>
                    <pic:cNvPicPr/>
                  </pic:nvPicPr>
                  <pic:blipFill>
                    <a:blip r:embed="rId593" cstate="print"/>
                    <a:stretch>
                      <a:fillRect/>
                    </a:stretch>
                  </pic:blipFill>
                  <pic:spPr>
                    <a:xfrm>
                      <a:off x="0" y="0"/>
                      <a:ext cx="800663" cy="1905000"/>
                    </a:xfrm>
                    <a:prstGeom prst="rect">
                      <a:avLst/>
                    </a:prstGeom>
                  </pic:spPr>
                </pic:pic>
              </a:graphicData>
            </a:graphic>
          </wp:anchor>
        </w:drawing>
      </w:r>
    </w:p>
    <w:p>
      <w:pPr>
        <w:pStyle w:val="BodyText"/>
        <w:spacing w:before="3"/>
        <w:rPr>
          <w:sz w:val="17"/>
        </w:rPr>
      </w:pPr>
    </w:p>
    <w:p>
      <w:pPr>
        <w:pStyle w:val="BodyText"/>
        <w:tabs>
          <w:tab w:pos="3626" w:val="left" w:leader="none"/>
        </w:tabs>
        <w:ind w:left="1103" w:right="118"/>
      </w:pPr>
      <w:r>
        <w:rPr/>
        <w:t>Figure</w:t>
      </w:r>
      <w:r>
        <w:rPr>
          <w:spacing w:val="-1"/>
        </w:rPr>
        <w:t> </w:t>
      </w:r>
      <w:r>
        <w:rPr/>
        <w:t>1</w:t>
        <w:tab/>
        <w:t>Figure 2</w:t>
      </w:r>
    </w:p>
    <w:p>
      <w:pPr>
        <w:pStyle w:val="BodyText"/>
        <w:spacing w:before="11"/>
        <w:rPr>
          <w:sz w:val="19"/>
        </w:rPr>
      </w:pPr>
    </w:p>
    <w:p>
      <w:pPr>
        <w:pStyle w:val="BodyText"/>
        <w:ind w:left="270" w:firstLine="567"/>
        <w:jc w:val="both"/>
      </w:pPr>
      <w:r>
        <w:rPr/>
        <w:t>In an 8 hour day the Miller carries out its work with this raw, which its management is manual. In order to make its elaboration must open the bag and pour into a machine called mixer. This process varies between tortilla since it depends only on the distance the sacks, they are the ideal</w:t>
      </w:r>
    </w:p>
    <w:p>
      <w:pPr>
        <w:pStyle w:val="BodyText"/>
        <w:spacing w:before="74"/>
        <w:ind w:left="270" w:right="675"/>
        <w:jc w:val="both"/>
      </w:pPr>
      <w:r>
        <w:rPr/>
        <w:br w:type="column"/>
      </w:r>
      <w:r>
        <w:rPr/>
        <w:t>would be that they were as closely as possible. Later in the mixing water is added and after a few minutes you get the mass which has to be molded by hand in order to achieve better consistency, this implies an effort and pressure that falls on arms and shoulders, load the dough and place on the campaign of the tortilladora machine is also depends on the age of the machine since this campaign is mostly in a very high position and this requires an effort to load mass and power reach the hood over the head and thus can be placed within this mass.</w:t>
      </w:r>
    </w:p>
    <w:p>
      <w:pPr>
        <w:pStyle w:val="BodyText"/>
        <w:spacing w:before="9"/>
        <w:rPr>
          <w:sz w:val="16"/>
        </w:rPr>
      </w:pPr>
      <w:r>
        <w:rPr/>
        <w:drawing>
          <wp:anchor distT="0" distB="0" distL="0" distR="0" allowOverlap="1" layoutInCell="1" locked="0" behindDoc="0" simplePos="0" relativeHeight="17440">
            <wp:simplePos x="0" y="0"/>
            <wp:positionH relativeFrom="page">
              <wp:posOffset>4111752</wp:posOffset>
            </wp:positionH>
            <wp:positionV relativeFrom="paragraph">
              <wp:posOffset>147790</wp:posOffset>
            </wp:positionV>
            <wp:extent cx="3111267" cy="2016632"/>
            <wp:effectExtent l="0" t="0" r="0" b="0"/>
            <wp:wrapTopAndBottom/>
            <wp:docPr id="761" name="image427.jpeg" descr=""/>
            <wp:cNvGraphicFramePr>
              <a:graphicFrameLocks noChangeAspect="1"/>
            </wp:cNvGraphicFramePr>
            <a:graphic>
              <a:graphicData uri="http://schemas.openxmlformats.org/drawingml/2006/picture">
                <pic:pic>
                  <pic:nvPicPr>
                    <pic:cNvPr id="762" name="image427.jpeg"/>
                    <pic:cNvPicPr/>
                  </pic:nvPicPr>
                  <pic:blipFill>
                    <a:blip r:embed="rId693" cstate="print"/>
                    <a:stretch>
                      <a:fillRect/>
                    </a:stretch>
                  </pic:blipFill>
                  <pic:spPr>
                    <a:xfrm>
                      <a:off x="0" y="0"/>
                      <a:ext cx="3111267" cy="2016632"/>
                    </a:xfrm>
                    <a:prstGeom prst="rect">
                      <a:avLst/>
                    </a:prstGeom>
                  </pic:spPr>
                </pic:pic>
              </a:graphicData>
            </a:graphic>
          </wp:anchor>
        </w:drawing>
      </w:r>
      <w:r>
        <w:rPr/>
        <w:pict>
          <v:group style="position:absolute;margin-left:331.920013pt;margin-top:199.737076pt;width:47.55pt;height:18.75pt;mso-position-horizontal-relative:page;mso-position-vertical-relative:paragraph;z-index:17464;mso-wrap-distance-left:0;mso-wrap-distance-right:0" coordorigin="6638,3995" coordsize="951,375">
            <v:shape style="position:absolute;left:6638;top:3995;width:677;height:187" type="#_x0000_t75" stroked="false">
              <v:imagedata r:id="rId694" o:title=""/>
            </v:shape>
            <v:shape style="position:absolute;left:6638;top:4244;width:950;height:125" type="#_x0000_t75" stroked="false">
              <v:imagedata r:id="rId695" o:title=""/>
            </v:shape>
            <w10:wrap type="topAndBottom"/>
          </v:group>
        </w:pict>
      </w:r>
      <w:r>
        <w:rPr/>
        <w:drawing>
          <wp:anchor distT="0" distB="0" distL="0" distR="0" allowOverlap="1" layoutInCell="1" locked="0" behindDoc="0" simplePos="0" relativeHeight="17488">
            <wp:simplePos x="0" y="0"/>
            <wp:positionH relativeFrom="page">
              <wp:posOffset>4864608</wp:posOffset>
            </wp:positionH>
            <wp:positionV relativeFrom="paragraph">
              <wp:posOffset>2695156</wp:posOffset>
            </wp:positionV>
            <wp:extent cx="356616" cy="79248"/>
            <wp:effectExtent l="0" t="0" r="0" b="0"/>
            <wp:wrapTopAndBottom/>
            <wp:docPr id="763" name="image430.png" descr=""/>
            <wp:cNvGraphicFramePr>
              <a:graphicFrameLocks noChangeAspect="1"/>
            </wp:cNvGraphicFramePr>
            <a:graphic>
              <a:graphicData uri="http://schemas.openxmlformats.org/drawingml/2006/picture">
                <pic:pic>
                  <pic:nvPicPr>
                    <pic:cNvPr id="764" name="image430.png"/>
                    <pic:cNvPicPr/>
                  </pic:nvPicPr>
                  <pic:blipFill>
                    <a:blip r:embed="rId696" cstate="print"/>
                    <a:stretch>
                      <a:fillRect/>
                    </a:stretch>
                  </pic:blipFill>
                  <pic:spPr>
                    <a:xfrm>
                      <a:off x="0" y="0"/>
                      <a:ext cx="356616" cy="79248"/>
                    </a:xfrm>
                    <a:prstGeom prst="rect">
                      <a:avLst/>
                    </a:prstGeom>
                  </pic:spPr>
                </pic:pic>
              </a:graphicData>
            </a:graphic>
          </wp:anchor>
        </w:drawing>
      </w:r>
      <w:r>
        <w:rPr/>
        <w:drawing>
          <wp:anchor distT="0" distB="0" distL="0" distR="0" allowOverlap="1" layoutInCell="1" locked="0" behindDoc="0" simplePos="0" relativeHeight="17512">
            <wp:simplePos x="0" y="0"/>
            <wp:positionH relativeFrom="page">
              <wp:posOffset>5428488</wp:posOffset>
            </wp:positionH>
            <wp:positionV relativeFrom="paragraph">
              <wp:posOffset>2358352</wp:posOffset>
            </wp:positionV>
            <wp:extent cx="1555241" cy="425958"/>
            <wp:effectExtent l="0" t="0" r="0" b="0"/>
            <wp:wrapTopAndBottom/>
            <wp:docPr id="765" name="image431.png" descr=""/>
            <wp:cNvGraphicFramePr>
              <a:graphicFrameLocks noChangeAspect="1"/>
            </wp:cNvGraphicFramePr>
            <a:graphic>
              <a:graphicData uri="http://schemas.openxmlformats.org/drawingml/2006/picture">
                <pic:pic>
                  <pic:nvPicPr>
                    <pic:cNvPr id="766" name="image431.png"/>
                    <pic:cNvPicPr/>
                  </pic:nvPicPr>
                  <pic:blipFill>
                    <a:blip r:embed="rId697" cstate="print"/>
                    <a:stretch>
                      <a:fillRect/>
                    </a:stretch>
                  </pic:blipFill>
                  <pic:spPr>
                    <a:xfrm>
                      <a:off x="0" y="0"/>
                      <a:ext cx="1555241" cy="425958"/>
                    </a:xfrm>
                    <a:prstGeom prst="rect">
                      <a:avLst/>
                    </a:prstGeom>
                  </pic:spPr>
                </pic:pic>
              </a:graphicData>
            </a:graphic>
          </wp:anchor>
        </w:drawing>
      </w:r>
    </w:p>
    <w:p>
      <w:pPr>
        <w:pStyle w:val="BodyText"/>
        <w:spacing w:before="7"/>
      </w:pPr>
    </w:p>
    <w:p>
      <w:pPr>
        <w:pStyle w:val="BodyText"/>
      </w:pPr>
    </w:p>
    <w:p>
      <w:pPr>
        <w:pStyle w:val="BodyText"/>
        <w:spacing w:before="129"/>
        <w:ind w:left="270" w:right="677" w:firstLine="567"/>
        <w:jc w:val="both"/>
      </w:pPr>
      <w:r>
        <w:rPr/>
        <w:drawing>
          <wp:anchor distT="0" distB="0" distL="0" distR="0" allowOverlap="1" layoutInCell="1" locked="0" behindDoc="1" simplePos="0" relativeHeight="267574175">
            <wp:simplePos x="0" y="0"/>
            <wp:positionH relativeFrom="page">
              <wp:posOffset>4700015</wp:posOffset>
            </wp:positionH>
            <wp:positionV relativeFrom="paragraph">
              <wp:posOffset>-412170</wp:posOffset>
            </wp:positionV>
            <wp:extent cx="301752" cy="89153"/>
            <wp:effectExtent l="0" t="0" r="0" b="0"/>
            <wp:wrapNone/>
            <wp:docPr id="767" name="image432.png" descr=""/>
            <wp:cNvGraphicFramePr>
              <a:graphicFrameLocks noChangeAspect="1"/>
            </wp:cNvGraphicFramePr>
            <a:graphic>
              <a:graphicData uri="http://schemas.openxmlformats.org/drawingml/2006/picture">
                <pic:pic>
                  <pic:nvPicPr>
                    <pic:cNvPr id="768" name="image432.png"/>
                    <pic:cNvPicPr/>
                  </pic:nvPicPr>
                  <pic:blipFill>
                    <a:blip r:embed="rId698" cstate="print"/>
                    <a:stretch>
                      <a:fillRect/>
                    </a:stretch>
                  </pic:blipFill>
                  <pic:spPr>
                    <a:xfrm>
                      <a:off x="0" y="0"/>
                      <a:ext cx="301752" cy="89153"/>
                    </a:xfrm>
                    <a:prstGeom prst="rect">
                      <a:avLst/>
                    </a:prstGeom>
                  </pic:spPr>
                </pic:pic>
              </a:graphicData>
            </a:graphic>
          </wp:anchor>
        </w:drawing>
      </w:r>
      <w:r>
        <w:rPr/>
        <w:t>In the figure number 3 and 4 positions represents one of the most used for handling sacks of flour and / or corn dough in which one can see that the weight falls on the</w:t>
      </w:r>
    </w:p>
    <w:p>
      <w:pPr>
        <w:pStyle w:val="BodyText"/>
        <w:spacing w:before="1"/>
        <w:rPr>
          <w:sz w:val="3"/>
        </w:rPr>
      </w:pPr>
    </w:p>
    <w:p>
      <w:pPr>
        <w:pStyle w:val="BodyText"/>
        <w:ind w:left="840"/>
      </w:pPr>
      <w:r>
        <w:rPr/>
        <w:drawing>
          <wp:inline distT="0" distB="0" distL="0" distR="0">
            <wp:extent cx="2305264" cy="1722882"/>
            <wp:effectExtent l="0" t="0" r="0" b="0"/>
            <wp:docPr id="769" name="image433.jpeg" descr=""/>
            <wp:cNvGraphicFramePr>
              <a:graphicFrameLocks noChangeAspect="1"/>
            </wp:cNvGraphicFramePr>
            <a:graphic>
              <a:graphicData uri="http://schemas.openxmlformats.org/drawingml/2006/picture">
                <pic:pic>
                  <pic:nvPicPr>
                    <pic:cNvPr id="770" name="image433.jpeg"/>
                    <pic:cNvPicPr/>
                  </pic:nvPicPr>
                  <pic:blipFill>
                    <a:blip r:embed="rId699" cstate="print"/>
                    <a:stretch>
                      <a:fillRect/>
                    </a:stretch>
                  </pic:blipFill>
                  <pic:spPr>
                    <a:xfrm>
                      <a:off x="0" y="0"/>
                      <a:ext cx="2305264" cy="1722882"/>
                    </a:xfrm>
                    <a:prstGeom prst="rect">
                      <a:avLst/>
                    </a:prstGeom>
                  </pic:spPr>
                </pic:pic>
              </a:graphicData>
            </a:graphic>
          </wp:inline>
        </w:drawing>
      </w:r>
      <w:r>
        <w:rPr/>
      </w:r>
    </w:p>
    <w:p>
      <w:pPr>
        <w:pStyle w:val="BodyText"/>
        <w:spacing w:before="9"/>
        <w:ind w:left="270" w:right="678"/>
        <w:jc w:val="both"/>
      </w:pPr>
      <w:r>
        <w:rPr/>
        <w:t>shoulders . Other techniques used is to carry the sacks on  the chest,</w:t>
      </w:r>
      <w:r>
        <w:rPr>
          <w:spacing w:val="-10"/>
        </w:rPr>
        <w:t> </w:t>
      </w:r>
      <w:r>
        <w:rPr/>
        <w:t>hugging.</w:t>
      </w:r>
    </w:p>
    <w:p>
      <w:pPr>
        <w:spacing w:after="0"/>
        <w:jc w:val="both"/>
        <w:sectPr>
          <w:type w:val="continuous"/>
          <w:pgSz w:w="12240" w:h="15840"/>
          <w:pgMar w:top="1500" w:bottom="280" w:left="580" w:right="220"/>
          <w:cols w:num="2" w:equalWidth="0">
            <w:col w:w="5190" w:space="435"/>
            <w:col w:w="5815"/>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pPr>
    </w:p>
    <w:p>
      <w:pPr>
        <w:pStyle w:val="BodyText"/>
      </w:pPr>
    </w:p>
    <w:p>
      <w:pPr>
        <w:pStyle w:val="BodyText"/>
        <w:spacing w:before="5"/>
        <w:rPr>
          <w:sz w:val="26"/>
        </w:rPr>
      </w:pPr>
    </w:p>
    <w:p>
      <w:pPr>
        <w:pStyle w:val="BodyText"/>
        <w:ind w:left="787" w:right="118"/>
      </w:pPr>
      <w:r>
        <w:rPr/>
        <w:t>Figure 5. Miller performs kneading and molding</w:t>
      </w:r>
    </w:p>
    <w:p>
      <w:pPr>
        <w:pStyle w:val="BodyText"/>
        <w:spacing w:before="11"/>
        <w:rPr>
          <w:sz w:val="19"/>
        </w:rPr>
      </w:pPr>
    </w:p>
    <w:p>
      <w:pPr>
        <w:pStyle w:val="BodyText"/>
        <w:ind w:left="270" w:right="1" w:firstLine="567"/>
        <w:jc w:val="right"/>
      </w:pPr>
      <w:r>
        <w:rPr/>
        <w:t>In the picture number 5 may notice poor posture you</w:t>
      </w:r>
      <w:r>
        <w:rPr>
          <w:w w:val="100"/>
        </w:rPr>
        <w:t> </w:t>
      </w:r>
      <w:r>
        <w:rPr/>
        <w:t>make and the effort required to knead and then give molding.</w:t>
      </w:r>
    </w:p>
    <w:p>
      <w:pPr>
        <w:pStyle w:val="BodyText"/>
      </w:pPr>
    </w:p>
    <w:p>
      <w:pPr>
        <w:pStyle w:val="BodyText"/>
      </w:pPr>
    </w:p>
    <w:p>
      <w:pPr>
        <w:pStyle w:val="BodyText"/>
        <w:ind w:left="270" w:right="1" w:firstLine="432"/>
        <w:jc w:val="both"/>
      </w:pPr>
      <w:r>
        <w:rPr/>
        <w:t>In the picture number 6, the height of the bell is displayed. It is an obstacle to the proper handling of the material in this case corn dough.</w:t>
      </w:r>
    </w:p>
    <w:p>
      <w:pPr>
        <w:pStyle w:val="BodyText"/>
        <w:spacing w:before="2"/>
      </w:pPr>
    </w:p>
    <w:p>
      <w:pPr>
        <w:pStyle w:val="Heading4"/>
        <w:numPr>
          <w:ilvl w:val="0"/>
          <w:numId w:val="152"/>
        </w:numPr>
        <w:tabs>
          <w:tab w:pos="472" w:val="left" w:leader="none"/>
        </w:tabs>
        <w:spacing w:line="240" w:lineRule="auto" w:before="0" w:after="0"/>
        <w:ind w:left="471" w:right="0" w:hanging="201"/>
        <w:jc w:val="both"/>
      </w:pPr>
      <w:r>
        <w:rPr/>
        <w:t>Methodology</w:t>
      </w:r>
    </w:p>
    <w:p>
      <w:pPr>
        <w:pStyle w:val="BodyText"/>
        <w:spacing w:before="8"/>
        <w:rPr>
          <w:b/>
          <w:sz w:val="19"/>
        </w:rPr>
      </w:pPr>
    </w:p>
    <w:p>
      <w:pPr>
        <w:pStyle w:val="BodyText"/>
        <w:ind w:left="270" w:right="1"/>
        <w:jc w:val="both"/>
      </w:pPr>
      <w:r>
        <w:rPr/>
        <w:t>To conduct this research is required on subjective methods such as Yoshitake that (physical symptoms or projection of damage) and Corlett and Bishop this to survey each of the millers of corn tortilla within the selected sector which are to identify Skeletal muscle injury problems thereof.</w:t>
      </w:r>
    </w:p>
    <w:p>
      <w:pPr>
        <w:pStyle w:val="BodyText"/>
        <w:spacing w:before="2"/>
      </w:pPr>
    </w:p>
    <w:p>
      <w:pPr>
        <w:pStyle w:val="Heading4"/>
        <w:numPr>
          <w:ilvl w:val="1"/>
          <w:numId w:val="152"/>
        </w:numPr>
        <w:tabs>
          <w:tab w:pos="572" w:val="left" w:leader="none"/>
        </w:tabs>
        <w:spacing w:line="240" w:lineRule="auto" w:before="0" w:after="0"/>
        <w:ind w:left="571" w:right="0" w:hanging="301"/>
        <w:jc w:val="both"/>
      </w:pPr>
      <w:r>
        <w:rPr/>
        <w:t>Participants</w:t>
      </w:r>
    </w:p>
    <w:p>
      <w:pPr>
        <w:pStyle w:val="BodyText"/>
        <w:spacing w:before="9"/>
        <w:rPr>
          <w:b/>
          <w:sz w:val="19"/>
        </w:rPr>
      </w:pPr>
    </w:p>
    <w:p>
      <w:pPr>
        <w:pStyle w:val="BodyText"/>
        <w:spacing w:before="1"/>
        <w:ind w:left="270"/>
        <w:jc w:val="both"/>
      </w:pPr>
      <w:r>
        <w:rPr/>
        <w:t>The study is focused on the millers who are the maker’s corn tortillas with tortilla machines Mixers and grinders. From this analysis tasks should be selected more significant positions and, in relation to the length, and most postural load. However, in the long duty cycles can be performed assessments at regular intervals and consider the time spent by the worker in each</w:t>
      </w:r>
      <w:r>
        <w:rPr>
          <w:spacing w:val="-9"/>
        </w:rPr>
        <w:t> </w:t>
      </w:r>
      <w:r>
        <w:rPr/>
        <w:t>posture.</w:t>
      </w:r>
    </w:p>
    <w:p>
      <w:pPr>
        <w:pStyle w:val="BodyText"/>
        <w:spacing w:before="11"/>
        <w:rPr>
          <w:sz w:val="19"/>
        </w:rPr>
      </w:pPr>
    </w:p>
    <w:p>
      <w:pPr>
        <w:pStyle w:val="BodyText"/>
        <w:ind w:left="270" w:right="1" w:firstLine="567"/>
        <w:jc w:val="both"/>
      </w:pPr>
      <w:r>
        <w:rPr/>
        <w:t>We support you to conduct this research in different assessment methods against possible DTA’s questionnaire Yoshitake (bodily symptoms or projection of damage) and Corlett &amp; Bishop, sampling a total of 15 millers to get results on how your workstation and generates problems as well as possible solutions.</w:t>
      </w:r>
    </w:p>
    <w:p>
      <w:pPr>
        <w:pStyle w:val="BodyText"/>
        <w:spacing w:before="11"/>
        <w:rPr>
          <w:sz w:val="19"/>
        </w:rPr>
      </w:pPr>
    </w:p>
    <w:p>
      <w:pPr>
        <w:pStyle w:val="BodyText"/>
        <w:ind w:left="270" w:firstLine="567"/>
        <w:jc w:val="both"/>
      </w:pPr>
      <w:r>
        <w:rPr/>
        <w:t>To fulfill effectively the desired objectives were selected 15 millers (men), who worked in various tortillerías where it is supposed to fatigue symptoms presented, said that for the same millers openly declaring that his work was too heavy for a person which had discomfort to end workdays. Since this process requires a lot of physical effort.</w:t>
      </w:r>
    </w:p>
    <w:p>
      <w:pPr>
        <w:pStyle w:val="BodyText"/>
        <w:spacing w:before="11"/>
        <w:rPr>
          <w:sz w:val="19"/>
        </w:rPr>
      </w:pPr>
    </w:p>
    <w:p>
      <w:pPr>
        <w:pStyle w:val="BodyText"/>
        <w:ind w:left="270" w:firstLine="567"/>
        <w:jc w:val="both"/>
      </w:pPr>
      <w:r>
        <w:rPr/>
        <w:t>Millers work for 6 days, an 8 hour shift. Were evaluated over a period of three weeks, where you pretend to see what the biggest hassles skeletal muscle injury problems that can possibly occur in the millers.</w:t>
      </w:r>
    </w:p>
    <w:p>
      <w:pPr>
        <w:pStyle w:val="BodyText"/>
      </w:pPr>
    </w:p>
    <w:p>
      <w:pPr>
        <w:pStyle w:val="BodyText"/>
        <w:spacing w:before="2"/>
      </w:pPr>
    </w:p>
    <w:p>
      <w:pPr>
        <w:pStyle w:val="Heading4"/>
      </w:pPr>
      <w:r>
        <w:rPr/>
        <w:t>2.3 Corlett &amp; Bishop</w:t>
      </w:r>
    </w:p>
    <w:p>
      <w:pPr>
        <w:pStyle w:val="BodyText"/>
        <w:spacing w:before="8"/>
        <w:rPr>
          <w:b/>
          <w:sz w:val="19"/>
        </w:rPr>
      </w:pPr>
    </w:p>
    <w:p>
      <w:pPr>
        <w:pStyle w:val="BodyText"/>
        <w:ind w:left="270" w:right="1"/>
        <w:jc w:val="both"/>
      </w:pPr>
      <w:r>
        <w:rPr/>
        <w:t>The scale map of discomfort or body segments (Corlett &amp; Bishop, 1976) is a measurement technique that can be used to determine the degree of comfort experienced by a person using technical assistance. The technique was developed for evaluating designs of chairs, but the principles could   </w:t>
      </w:r>
      <w:r>
        <w:rPr>
          <w:spacing w:val="20"/>
        </w:rPr>
        <w:t> </w:t>
      </w:r>
      <w:r>
        <w:rPr/>
        <w:t>easily</w:t>
      </w:r>
    </w:p>
    <w:p>
      <w:pPr>
        <w:pStyle w:val="BodyText"/>
        <w:spacing w:before="74"/>
        <w:ind w:left="270" w:right="675"/>
        <w:jc w:val="both"/>
      </w:pPr>
      <w:r>
        <w:rPr/>
        <w:br w:type="column"/>
      </w:r>
      <w:r>
        <w:rPr/>
        <w:t>be applied to other products as well. The development of such scales require expert knowledge, but are meant to be applied by the end user: it also requires some skills and technical expertise in analysis. This allows us to obtain information on perceived discomfort.</w:t>
      </w:r>
    </w:p>
    <w:p>
      <w:pPr>
        <w:pStyle w:val="BodyText"/>
      </w:pPr>
    </w:p>
    <w:p>
      <w:pPr>
        <w:pStyle w:val="BodyText"/>
        <w:spacing w:before="3"/>
        <w:rPr>
          <w:sz w:val="13"/>
        </w:rPr>
      </w:pPr>
      <w:r>
        <w:rPr/>
        <w:drawing>
          <wp:anchor distT="0" distB="0" distL="0" distR="0" allowOverlap="1" layoutInCell="1" locked="0" behindDoc="0" simplePos="0" relativeHeight="17560">
            <wp:simplePos x="0" y="0"/>
            <wp:positionH relativeFrom="page">
              <wp:posOffset>4536947</wp:posOffset>
            </wp:positionH>
            <wp:positionV relativeFrom="paragraph">
              <wp:posOffset>122193</wp:posOffset>
            </wp:positionV>
            <wp:extent cx="2514834" cy="3853338"/>
            <wp:effectExtent l="0" t="0" r="0" b="0"/>
            <wp:wrapTopAndBottom/>
            <wp:docPr id="771" name="image279.png" descr=""/>
            <wp:cNvGraphicFramePr>
              <a:graphicFrameLocks noChangeAspect="1"/>
            </wp:cNvGraphicFramePr>
            <a:graphic>
              <a:graphicData uri="http://schemas.openxmlformats.org/drawingml/2006/picture">
                <pic:pic>
                  <pic:nvPicPr>
                    <pic:cNvPr id="772" name="image279.png"/>
                    <pic:cNvPicPr/>
                  </pic:nvPicPr>
                  <pic:blipFill>
                    <a:blip r:embed="rId469" cstate="print"/>
                    <a:stretch>
                      <a:fillRect/>
                    </a:stretch>
                  </pic:blipFill>
                  <pic:spPr>
                    <a:xfrm>
                      <a:off x="0" y="0"/>
                      <a:ext cx="2514834" cy="3853338"/>
                    </a:xfrm>
                    <a:prstGeom prst="rect">
                      <a:avLst/>
                    </a:prstGeom>
                  </pic:spPr>
                </pic:pic>
              </a:graphicData>
            </a:graphic>
          </wp:anchor>
        </w:drawing>
      </w:r>
    </w:p>
    <w:p>
      <w:pPr>
        <w:pStyle w:val="BodyText"/>
      </w:pPr>
    </w:p>
    <w:p>
      <w:pPr>
        <w:pStyle w:val="BodyText"/>
        <w:spacing w:before="149"/>
        <w:ind w:left="354" w:right="760"/>
        <w:jc w:val="center"/>
      </w:pPr>
      <w:r>
        <w:rPr/>
        <w:t>Figure 7. Map of Body Aches Corlett &amp; Bishop (1976)</w:t>
      </w:r>
    </w:p>
    <w:p>
      <w:pPr>
        <w:pStyle w:val="BodyText"/>
        <w:spacing w:before="3"/>
      </w:pPr>
    </w:p>
    <w:p>
      <w:pPr>
        <w:pStyle w:val="Heading4"/>
        <w:numPr>
          <w:ilvl w:val="0"/>
          <w:numId w:val="152"/>
        </w:numPr>
        <w:tabs>
          <w:tab w:pos="471" w:val="left" w:leader="none"/>
        </w:tabs>
        <w:spacing w:line="240" w:lineRule="auto" w:before="0" w:after="0"/>
        <w:ind w:left="470" w:right="0" w:hanging="200"/>
        <w:jc w:val="both"/>
      </w:pPr>
      <w:r>
        <w:rPr/>
        <w:t>Results</w:t>
      </w:r>
    </w:p>
    <w:p>
      <w:pPr>
        <w:pStyle w:val="BodyText"/>
        <w:spacing w:before="11"/>
        <w:rPr>
          <w:b/>
          <w:sz w:val="19"/>
        </w:rPr>
      </w:pPr>
    </w:p>
    <w:p>
      <w:pPr>
        <w:pStyle w:val="ListParagraph"/>
        <w:numPr>
          <w:ilvl w:val="1"/>
          <w:numId w:val="152"/>
        </w:numPr>
        <w:tabs>
          <w:tab w:pos="571" w:val="left" w:leader="none"/>
        </w:tabs>
        <w:spacing w:line="240" w:lineRule="auto" w:before="0" w:after="0"/>
        <w:ind w:left="570" w:right="0" w:hanging="300"/>
        <w:jc w:val="both"/>
        <w:rPr>
          <w:b/>
          <w:sz w:val="20"/>
        </w:rPr>
      </w:pPr>
      <w:r>
        <w:rPr>
          <w:b/>
          <w:sz w:val="20"/>
        </w:rPr>
        <w:t>Corlett &amp;</w:t>
      </w:r>
      <w:r>
        <w:rPr>
          <w:b/>
          <w:spacing w:val="-5"/>
          <w:sz w:val="20"/>
        </w:rPr>
        <w:t> </w:t>
      </w:r>
      <w:r>
        <w:rPr>
          <w:b/>
          <w:sz w:val="20"/>
        </w:rPr>
        <w:t>Bishop</w:t>
      </w:r>
    </w:p>
    <w:p>
      <w:pPr>
        <w:pStyle w:val="BodyText"/>
        <w:spacing w:before="4"/>
        <w:rPr>
          <w:b/>
          <w:sz w:val="18"/>
        </w:rPr>
      </w:pPr>
      <w:r>
        <w:rPr/>
        <w:drawing>
          <wp:anchor distT="0" distB="0" distL="0" distR="0" allowOverlap="1" layoutInCell="1" locked="0" behindDoc="0" simplePos="0" relativeHeight="17584">
            <wp:simplePos x="0" y="0"/>
            <wp:positionH relativeFrom="page">
              <wp:posOffset>4145279</wp:posOffset>
            </wp:positionH>
            <wp:positionV relativeFrom="paragraph">
              <wp:posOffset>159282</wp:posOffset>
            </wp:positionV>
            <wp:extent cx="3054096" cy="1883664"/>
            <wp:effectExtent l="0" t="0" r="0" b="0"/>
            <wp:wrapTopAndBottom/>
            <wp:docPr id="773" name="image434.png" descr=""/>
            <wp:cNvGraphicFramePr>
              <a:graphicFrameLocks noChangeAspect="1"/>
            </wp:cNvGraphicFramePr>
            <a:graphic>
              <a:graphicData uri="http://schemas.openxmlformats.org/drawingml/2006/picture">
                <pic:pic>
                  <pic:nvPicPr>
                    <pic:cNvPr id="774" name="image434.png"/>
                    <pic:cNvPicPr/>
                  </pic:nvPicPr>
                  <pic:blipFill>
                    <a:blip r:embed="rId700" cstate="print"/>
                    <a:stretch>
                      <a:fillRect/>
                    </a:stretch>
                  </pic:blipFill>
                  <pic:spPr>
                    <a:xfrm>
                      <a:off x="0" y="0"/>
                      <a:ext cx="3054096" cy="1883664"/>
                    </a:xfrm>
                    <a:prstGeom prst="rect">
                      <a:avLst/>
                    </a:prstGeom>
                  </pic:spPr>
                </pic:pic>
              </a:graphicData>
            </a:graphic>
          </wp:anchor>
        </w:drawing>
      </w:r>
    </w:p>
    <w:p>
      <w:pPr>
        <w:pStyle w:val="BodyText"/>
        <w:spacing w:before="38"/>
        <w:ind w:left="2274" w:right="719" w:hanging="1947"/>
      </w:pPr>
      <w:r>
        <w:rPr/>
        <w:t>Figure 8. Number of complains of discomfort that occurred in 3 weeks</w:t>
      </w:r>
    </w:p>
    <w:p>
      <w:pPr>
        <w:spacing w:after="0"/>
        <w:sectPr>
          <w:type w:val="continuous"/>
          <w:pgSz w:w="12240" w:h="15840"/>
          <w:pgMar w:top="1500" w:bottom="280" w:left="580" w:right="220"/>
          <w:cols w:num="2" w:equalWidth="0">
            <w:col w:w="5190" w:space="435"/>
            <w:col w:w="5815"/>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4"/>
        <w:ind w:left="270" w:firstLine="567"/>
        <w:jc w:val="both"/>
      </w:pPr>
      <w:r>
        <w:rPr/>
        <w:t>By looking at figure 8 we can identify the numbers of complaints that were presented during three weeks between 15 millers evaluated. A higher frequency of complaints in  the shoulder was noted, with 19 complaints. Other parties who filed complaints were the head, upper back and feet. This is logical because the person is working these areas much when lifting sacks of corn, mishandling or method of carrying out this task and as a result he is producing what is shown in the figure. If not corrected, the people working in this area develop a CDT in the aforementioned</w:t>
      </w:r>
      <w:r>
        <w:rPr>
          <w:spacing w:val="-33"/>
        </w:rPr>
        <w:t> </w:t>
      </w:r>
      <w:r>
        <w:rPr/>
        <w:t>areas.</w:t>
      </w:r>
    </w:p>
    <w:p>
      <w:pPr>
        <w:pStyle w:val="BodyText"/>
        <w:spacing w:before="3"/>
        <w:rPr>
          <w:sz w:val="18"/>
        </w:rPr>
      </w:pPr>
      <w:r>
        <w:rPr/>
        <w:drawing>
          <wp:anchor distT="0" distB="0" distL="0" distR="0" allowOverlap="1" layoutInCell="1" locked="0" behindDoc="0" simplePos="0" relativeHeight="17608">
            <wp:simplePos x="0" y="0"/>
            <wp:positionH relativeFrom="page">
              <wp:posOffset>573023</wp:posOffset>
            </wp:positionH>
            <wp:positionV relativeFrom="paragraph">
              <wp:posOffset>158466</wp:posOffset>
            </wp:positionV>
            <wp:extent cx="3060191" cy="1889760"/>
            <wp:effectExtent l="0" t="0" r="0" b="0"/>
            <wp:wrapTopAndBottom/>
            <wp:docPr id="775" name="image435.png" descr=""/>
            <wp:cNvGraphicFramePr>
              <a:graphicFrameLocks noChangeAspect="1"/>
            </wp:cNvGraphicFramePr>
            <a:graphic>
              <a:graphicData uri="http://schemas.openxmlformats.org/drawingml/2006/picture">
                <pic:pic>
                  <pic:nvPicPr>
                    <pic:cNvPr id="776" name="image435.png"/>
                    <pic:cNvPicPr/>
                  </pic:nvPicPr>
                  <pic:blipFill>
                    <a:blip r:embed="rId701" cstate="print"/>
                    <a:stretch>
                      <a:fillRect/>
                    </a:stretch>
                  </pic:blipFill>
                  <pic:spPr>
                    <a:xfrm>
                      <a:off x="0" y="0"/>
                      <a:ext cx="3060191" cy="1889760"/>
                    </a:xfrm>
                    <a:prstGeom prst="rect">
                      <a:avLst/>
                    </a:prstGeom>
                  </pic:spPr>
                </pic:pic>
              </a:graphicData>
            </a:graphic>
          </wp:anchor>
        </w:drawing>
      </w:r>
    </w:p>
    <w:p>
      <w:pPr>
        <w:pStyle w:val="BodyText"/>
        <w:spacing w:before="31"/>
        <w:ind w:left="358" w:right="89"/>
        <w:jc w:val="center"/>
      </w:pPr>
      <w:r>
        <w:rPr/>
        <w:t>Figure 9. Number of complains of pain that occurred in 3 weeks</w:t>
      </w:r>
    </w:p>
    <w:p>
      <w:pPr>
        <w:pStyle w:val="BodyText"/>
        <w:spacing w:before="11"/>
        <w:rPr>
          <w:sz w:val="19"/>
        </w:rPr>
      </w:pPr>
    </w:p>
    <w:p>
      <w:pPr>
        <w:pStyle w:val="BodyText"/>
        <w:ind w:left="270" w:firstLine="567"/>
        <w:jc w:val="both"/>
      </w:pPr>
      <w:r>
        <w:rPr/>
        <w:t>In the figure 9 we can identify the days when the miller most often skeletal muscle injury as you can see the most affected area is C (shoulder) latter reveals that evil loaded with sacks of corn is having a very detrimental effect on the person performing the task. It is clear that most likely already have a CDT in that area. Then followed G and I already showing lower numbers, still is must be very attentive as they correspond to the mid-back. This reveals that the loaded method that is most affected is going shoulders in the back, where you can concentrate all the force that makes the</w:t>
      </w:r>
      <w:r>
        <w:rPr>
          <w:spacing w:val="-21"/>
        </w:rPr>
        <w:t> </w:t>
      </w:r>
      <w:r>
        <w:rPr/>
        <w:t>operator.</w:t>
      </w:r>
    </w:p>
    <w:p>
      <w:pPr>
        <w:pStyle w:val="BodyText"/>
        <w:spacing w:before="2"/>
      </w:pPr>
    </w:p>
    <w:p>
      <w:pPr>
        <w:pStyle w:val="Heading4"/>
        <w:numPr>
          <w:ilvl w:val="1"/>
          <w:numId w:val="152"/>
        </w:numPr>
        <w:tabs>
          <w:tab w:pos="571" w:val="left" w:leader="none"/>
        </w:tabs>
        <w:spacing w:line="240" w:lineRule="auto" w:before="0" w:after="0"/>
        <w:ind w:left="570" w:right="0" w:hanging="300"/>
        <w:jc w:val="left"/>
      </w:pPr>
      <w:r>
        <w:rPr/>
        <w:t>Yoshitake</w:t>
      </w:r>
    </w:p>
    <w:p>
      <w:pPr>
        <w:pStyle w:val="BodyText"/>
        <w:spacing w:before="8"/>
        <w:rPr>
          <w:b/>
          <w:sz w:val="16"/>
        </w:rPr>
      </w:pPr>
      <w:r>
        <w:rPr/>
        <w:drawing>
          <wp:anchor distT="0" distB="0" distL="0" distR="0" allowOverlap="1" layoutInCell="1" locked="0" behindDoc="0" simplePos="0" relativeHeight="17632">
            <wp:simplePos x="0" y="0"/>
            <wp:positionH relativeFrom="page">
              <wp:posOffset>902208</wp:posOffset>
            </wp:positionH>
            <wp:positionV relativeFrom="paragraph">
              <wp:posOffset>147028</wp:posOffset>
            </wp:positionV>
            <wp:extent cx="2395532" cy="2206752"/>
            <wp:effectExtent l="0" t="0" r="0" b="0"/>
            <wp:wrapTopAndBottom/>
            <wp:docPr id="777" name="image436.png" descr=""/>
            <wp:cNvGraphicFramePr>
              <a:graphicFrameLocks noChangeAspect="1"/>
            </wp:cNvGraphicFramePr>
            <a:graphic>
              <a:graphicData uri="http://schemas.openxmlformats.org/drawingml/2006/picture">
                <pic:pic>
                  <pic:nvPicPr>
                    <pic:cNvPr id="778" name="image436.png"/>
                    <pic:cNvPicPr/>
                  </pic:nvPicPr>
                  <pic:blipFill>
                    <a:blip r:embed="rId702" cstate="print"/>
                    <a:stretch>
                      <a:fillRect/>
                    </a:stretch>
                  </pic:blipFill>
                  <pic:spPr>
                    <a:xfrm>
                      <a:off x="0" y="0"/>
                      <a:ext cx="2395532" cy="2206752"/>
                    </a:xfrm>
                    <a:prstGeom prst="rect">
                      <a:avLst/>
                    </a:prstGeom>
                  </pic:spPr>
                </pic:pic>
              </a:graphicData>
            </a:graphic>
          </wp:anchor>
        </w:drawing>
      </w:r>
    </w:p>
    <w:p>
      <w:pPr>
        <w:pStyle w:val="BodyText"/>
        <w:ind w:left="357" w:right="89"/>
        <w:jc w:val="center"/>
      </w:pPr>
      <w:r>
        <w:rPr/>
        <w:t>Figure 10. Millers at start the workday.</w:t>
      </w:r>
    </w:p>
    <w:p>
      <w:pPr>
        <w:pStyle w:val="BodyText"/>
        <w:spacing w:before="4"/>
        <w:rPr>
          <w:sz w:val="26"/>
        </w:rPr>
      </w:pPr>
      <w:r>
        <w:rPr/>
        <w:br w:type="column"/>
      </w:r>
      <w:r>
        <w:rPr>
          <w:sz w:val="26"/>
        </w:rPr>
      </w:r>
    </w:p>
    <w:p>
      <w:pPr>
        <w:pStyle w:val="BodyText"/>
        <w:spacing w:before="1"/>
        <w:ind w:left="270" w:right="677" w:firstLine="567"/>
        <w:jc w:val="both"/>
      </w:pPr>
      <w:r>
        <w:rPr/>
        <w:t>Based on the figure 10. Yoshitake questionnaire ( physical symptoms or projection of physical damage ) at the entrance was noted that the miller of the previous days and felt tension in the shoulders so to do their work with that problem only increase fatigue and may have problems Skeletal muscle injury.</w:t>
      </w:r>
    </w:p>
    <w:p>
      <w:pPr>
        <w:pStyle w:val="BodyText"/>
        <w:spacing w:before="4"/>
        <w:rPr>
          <w:sz w:val="17"/>
        </w:rPr>
      </w:pPr>
      <w:r>
        <w:rPr/>
        <w:drawing>
          <wp:anchor distT="0" distB="0" distL="0" distR="0" allowOverlap="1" layoutInCell="1" locked="0" behindDoc="0" simplePos="0" relativeHeight="17656">
            <wp:simplePos x="0" y="0"/>
            <wp:positionH relativeFrom="page">
              <wp:posOffset>4114800</wp:posOffset>
            </wp:positionH>
            <wp:positionV relativeFrom="paragraph">
              <wp:posOffset>151599</wp:posOffset>
            </wp:positionV>
            <wp:extent cx="3416807" cy="1834896"/>
            <wp:effectExtent l="0" t="0" r="0" b="0"/>
            <wp:wrapTopAndBottom/>
            <wp:docPr id="779" name="image437.png" descr=""/>
            <wp:cNvGraphicFramePr>
              <a:graphicFrameLocks noChangeAspect="1"/>
            </wp:cNvGraphicFramePr>
            <a:graphic>
              <a:graphicData uri="http://schemas.openxmlformats.org/drawingml/2006/picture">
                <pic:pic>
                  <pic:nvPicPr>
                    <pic:cNvPr id="780" name="image437.png"/>
                    <pic:cNvPicPr/>
                  </pic:nvPicPr>
                  <pic:blipFill>
                    <a:blip r:embed="rId703" cstate="print"/>
                    <a:stretch>
                      <a:fillRect/>
                    </a:stretch>
                  </pic:blipFill>
                  <pic:spPr>
                    <a:xfrm>
                      <a:off x="0" y="0"/>
                      <a:ext cx="3416807" cy="1834896"/>
                    </a:xfrm>
                    <a:prstGeom prst="rect">
                      <a:avLst/>
                    </a:prstGeom>
                  </pic:spPr>
                </pic:pic>
              </a:graphicData>
            </a:graphic>
          </wp:anchor>
        </w:drawing>
      </w:r>
    </w:p>
    <w:p>
      <w:pPr>
        <w:pStyle w:val="BodyText"/>
        <w:ind w:left="909" w:right="852"/>
      </w:pPr>
      <w:r>
        <w:rPr/>
        <w:t>Figure 11. Millers at the end of the workday.</w:t>
      </w:r>
    </w:p>
    <w:p>
      <w:pPr>
        <w:pStyle w:val="BodyText"/>
        <w:spacing w:before="11"/>
        <w:rPr>
          <w:sz w:val="19"/>
        </w:rPr>
      </w:pPr>
    </w:p>
    <w:p>
      <w:pPr>
        <w:pStyle w:val="BodyText"/>
        <w:ind w:left="270" w:right="678"/>
        <w:jc w:val="both"/>
      </w:pPr>
      <w:r>
        <w:rPr/>
        <w:t>In this graph 4 was observed in the output of the working day significantly increased symptoms of tension in the shoulders, back and head. This is a serious problem because it can lead to injury miller.</w:t>
      </w:r>
    </w:p>
    <w:p>
      <w:pPr>
        <w:pStyle w:val="BodyText"/>
        <w:spacing w:before="2"/>
      </w:pPr>
    </w:p>
    <w:p>
      <w:pPr>
        <w:pStyle w:val="Heading4"/>
        <w:numPr>
          <w:ilvl w:val="1"/>
          <w:numId w:val="152"/>
        </w:numPr>
        <w:tabs>
          <w:tab w:pos="571" w:val="left" w:leader="none"/>
        </w:tabs>
        <w:spacing w:line="240" w:lineRule="auto" w:before="0" w:after="0"/>
        <w:ind w:left="570" w:right="0" w:hanging="300"/>
        <w:jc w:val="both"/>
      </w:pPr>
      <w:r>
        <w:rPr/>
        <w:t>Conclusions:</w:t>
      </w:r>
    </w:p>
    <w:p>
      <w:pPr>
        <w:pStyle w:val="BodyText"/>
        <w:spacing w:before="9"/>
        <w:rPr>
          <w:b/>
          <w:sz w:val="19"/>
        </w:rPr>
      </w:pPr>
    </w:p>
    <w:p>
      <w:pPr>
        <w:pStyle w:val="BodyText"/>
        <w:spacing w:before="1"/>
        <w:ind w:left="270" w:right="677"/>
        <w:jc w:val="both"/>
      </w:pPr>
      <w:r>
        <w:rPr/>
        <w:t>You can clearly see that it is still far behind ergonomics in the work of daily living in Mexico. What bad habits, culture to take everything with something " witty " or some " Mexicanada " end up affecting the health and welfare of the worker; and equal ignorance of it, without knowing what rights does not claim something that does not know you have . When different operations or tasks are done without screening can be harmful to the person making</w:t>
      </w:r>
      <w:r>
        <w:rPr>
          <w:spacing w:val="-19"/>
        </w:rPr>
        <w:t> </w:t>
      </w:r>
      <w:r>
        <w:rPr/>
        <w:t>them.</w:t>
      </w:r>
    </w:p>
    <w:p>
      <w:pPr>
        <w:pStyle w:val="BodyText"/>
        <w:spacing w:before="11"/>
        <w:rPr>
          <w:sz w:val="19"/>
        </w:rPr>
      </w:pPr>
    </w:p>
    <w:p>
      <w:pPr>
        <w:pStyle w:val="BodyText"/>
        <w:ind w:left="270" w:right="672" w:firstLine="567"/>
        <w:jc w:val="both"/>
      </w:pPr>
      <w:r>
        <w:rPr/>
        <w:t>In this case we have the example of the occupation of miller, this is a very common work in Mexico, in all cities and even towns there are at least a tortilla for being our companion food par excellence. Therefore there are many millers, the trouble is that long ago when the tortilla  machine was not taken into account the ergonomic aspect was designed, affecting the latter in our current leaving many millers with fatigue and</w:t>
      </w:r>
      <w:r>
        <w:rPr>
          <w:spacing w:val="-20"/>
        </w:rPr>
        <w:t> </w:t>
      </w:r>
      <w:r>
        <w:rPr/>
        <w:t>CDT’s.</w:t>
      </w:r>
    </w:p>
    <w:p>
      <w:pPr>
        <w:pStyle w:val="BodyText"/>
        <w:spacing w:before="11"/>
        <w:rPr>
          <w:sz w:val="19"/>
        </w:rPr>
      </w:pPr>
    </w:p>
    <w:p>
      <w:pPr>
        <w:pStyle w:val="BodyText"/>
        <w:ind w:left="270" w:right="677" w:firstLine="567"/>
        <w:jc w:val="both"/>
      </w:pPr>
      <w:r>
        <w:rPr/>
        <w:t>Aspects such as having to lift the sack of corn taller than their shoulders to load the machine many times during the day shows that poor design previously mentioned. This task they are very repetitive and ultimately affect their shoulders and large back as we saw in the development work. This action combined with all other performing, ends up hurting a lot to the operator.</w:t>
      </w:r>
    </w:p>
    <w:p>
      <w:pPr>
        <w:pStyle w:val="BodyText"/>
        <w:spacing w:before="11"/>
        <w:rPr>
          <w:sz w:val="19"/>
        </w:rPr>
      </w:pPr>
    </w:p>
    <w:p>
      <w:pPr>
        <w:pStyle w:val="BodyText"/>
        <w:ind w:left="270" w:right="675" w:firstLine="567"/>
        <w:jc w:val="both"/>
      </w:pPr>
      <w:r>
        <w:rPr/>
        <w:t>That's why you must give proper weight; this is just the  beginning  of  what  can  be  done.  From  changing  the</w:t>
      </w:r>
    </w:p>
    <w:p>
      <w:pPr>
        <w:spacing w:after="0"/>
        <w:jc w:val="both"/>
        <w:sectPr>
          <w:type w:val="continuous"/>
          <w:pgSz w:w="12240" w:h="15840"/>
          <w:pgMar w:top="1500" w:bottom="280" w:left="580" w:right="220"/>
          <w:cols w:num="2" w:equalWidth="0">
            <w:col w:w="5190" w:space="435"/>
            <w:col w:w="5815"/>
          </w:cols>
        </w:sectPr>
      </w:pPr>
    </w:p>
    <w:p>
      <w:pPr>
        <w:pStyle w:val="BodyText"/>
        <w:spacing w:before="4"/>
        <w:rPr>
          <w:sz w:val="11"/>
        </w:rPr>
      </w:pPr>
    </w:p>
    <w:p>
      <w:pPr>
        <w:pStyle w:val="BodyText"/>
        <w:spacing w:before="74"/>
        <w:ind w:left="270" w:right="6249"/>
        <w:jc w:val="both"/>
      </w:pPr>
      <w:r>
        <w:rPr/>
        <w:t>method of how the person performs his work , to invent devices that help him or even to redesign the machine; it would be more meaningful because that way you could help as many as possible millers .</w:t>
      </w:r>
    </w:p>
    <w:p>
      <w:pPr>
        <w:pStyle w:val="BodyText"/>
        <w:spacing w:before="2"/>
      </w:pPr>
    </w:p>
    <w:p>
      <w:pPr>
        <w:pStyle w:val="Heading4"/>
        <w:numPr>
          <w:ilvl w:val="1"/>
          <w:numId w:val="152"/>
        </w:numPr>
        <w:tabs>
          <w:tab w:pos="571" w:val="left" w:leader="none"/>
        </w:tabs>
        <w:spacing w:line="240" w:lineRule="auto" w:before="0" w:after="0"/>
        <w:ind w:left="570" w:right="0" w:hanging="300"/>
        <w:jc w:val="both"/>
      </w:pPr>
      <w:r>
        <w:rPr/>
        <w:t>Recommendations</w:t>
      </w:r>
    </w:p>
    <w:p>
      <w:pPr>
        <w:pStyle w:val="BodyText"/>
        <w:spacing w:before="8"/>
        <w:rPr>
          <w:b/>
          <w:sz w:val="19"/>
        </w:rPr>
      </w:pPr>
    </w:p>
    <w:p>
      <w:pPr>
        <w:pStyle w:val="BodyText"/>
        <w:ind w:left="270" w:right="6250"/>
        <w:jc w:val="both"/>
      </w:pPr>
      <w:r>
        <w:rPr/>
        <w:t>Improve the work area based on anthropometric measures of employees taking into account the performance they perform in your area resulting in the appropriate percentiles of these workers, giving as tracking training millers so they can make proper use of tortilla machines as well as make recommendations for ergonomic movements starting its  work until the end of the workday. This in order to reduce excessive efforts thus preventing Cumulative Trauma Disorder.</w:t>
      </w:r>
    </w:p>
    <w:p>
      <w:pPr>
        <w:pStyle w:val="BodyText"/>
        <w:spacing w:before="3"/>
      </w:pPr>
    </w:p>
    <w:p>
      <w:pPr>
        <w:pStyle w:val="Heading4"/>
        <w:numPr>
          <w:ilvl w:val="1"/>
          <w:numId w:val="152"/>
        </w:numPr>
        <w:tabs>
          <w:tab w:pos="571" w:val="left" w:leader="none"/>
        </w:tabs>
        <w:spacing w:line="240" w:lineRule="auto" w:before="0" w:after="0"/>
        <w:ind w:left="570" w:right="0" w:hanging="300"/>
        <w:jc w:val="both"/>
      </w:pPr>
      <w:r>
        <w:rPr/>
        <w:t>References</w:t>
      </w:r>
    </w:p>
    <w:p>
      <w:pPr>
        <w:pStyle w:val="BodyText"/>
        <w:spacing w:before="8"/>
        <w:rPr>
          <w:b/>
          <w:sz w:val="19"/>
        </w:rPr>
      </w:pPr>
    </w:p>
    <w:p>
      <w:pPr>
        <w:pStyle w:val="BodyText"/>
        <w:ind w:left="270" w:right="6249"/>
        <w:jc w:val="both"/>
      </w:pPr>
      <w:r>
        <w:rPr/>
        <w:t>ARRIAGA,J. M. (1980) La fatiga en el trabajo y su influencia en la productividad. Revista Salud y Trabajo, No. 26, Madrid, 1980, pp. 21-26</w:t>
      </w:r>
    </w:p>
    <w:p>
      <w:pPr>
        <w:pStyle w:val="BodyText"/>
      </w:pPr>
    </w:p>
    <w:p>
      <w:pPr>
        <w:pStyle w:val="BodyText"/>
        <w:spacing w:before="1"/>
        <w:ind w:left="270" w:right="6251"/>
        <w:jc w:val="both"/>
      </w:pPr>
      <w:r>
        <w:rPr/>
        <w:t>Chinchilla Sibaja R. (2002) Salud y Seguridad en el Trabajo. Costa Rica. pag.</w:t>
      </w:r>
    </w:p>
    <w:p>
      <w:pPr>
        <w:pStyle w:val="BodyText"/>
      </w:pPr>
    </w:p>
    <w:p>
      <w:pPr>
        <w:pStyle w:val="BodyText"/>
        <w:spacing w:before="1"/>
        <w:ind w:left="270" w:right="6251"/>
        <w:jc w:val="both"/>
      </w:pPr>
      <w:r>
        <w:rPr/>
        <w:t>HOUSSAY,B. et al. (1971) Fisiología del ejercicio. Fisiología humana. La Habana: Ciencia y Técnica, 1971, pp. 631- 646.</w:t>
      </w:r>
    </w:p>
    <w:p>
      <w:pPr>
        <w:pStyle w:val="BodyText"/>
        <w:spacing w:before="11"/>
        <w:rPr>
          <w:sz w:val="19"/>
        </w:rPr>
      </w:pPr>
    </w:p>
    <w:p>
      <w:pPr>
        <w:pStyle w:val="BodyText"/>
        <w:ind w:left="270" w:right="6250"/>
        <w:jc w:val="both"/>
      </w:pPr>
      <w:r>
        <w:rPr/>
        <w:t>Konz, Stephan. (1998). Work/rest: Part II - The Scientific Basis (Knowledge Base) for the Guide. International Journal of Industrial Ergonomics, Vol. 22, 73-99.</w:t>
      </w:r>
    </w:p>
    <w:p>
      <w:pPr>
        <w:pStyle w:val="BodyText"/>
      </w:pPr>
    </w:p>
    <w:p>
      <w:pPr>
        <w:pStyle w:val="BodyText"/>
        <w:spacing w:before="1"/>
        <w:ind w:left="270" w:right="6251"/>
        <w:jc w:val="both"/>
      </w:pPr>
      <w:r>
        <w:rPr/>
        <w:t>Niebel B.W. (2009) Ingeniería Industrial métodos estándares y diseño de trabajo. McGrawHill. México. Pag. 182 y 274 movimientos. Tercera edición. Editorial Alfaomega.</w:t>
      </w:r>
    </w:p>
    <w:p>
      <w:pPr>
        <w:pStyle w:val="BodyText"/>
        <w:spacing w:before="11"/>
        <w:rPr>
          <w:sz w:val="19"/>
        </w:rPr>
      </w:pPr>
    </w:p>
    <w:p>
      <w:pPr>
        <w:pStyle w:val="BodyText"/>
        <w:ind w:left="270" w:right="6249"/>
        <w:jc w:val="both"/>
      </w:pPr>
      <w:r>
        <w:rPr/>
        <w:t>Restrepo Arbeláez R. (2008). Rehabilitación en Salud. Colombia. Editorial Universidad de Antioquía pag. 839.</w:t>
      </w:r>
    </w:p>
    <w:p>
      <w:pPr>
        <w:pStyle w:val="BodyText"/>
        <w:spacing w:before="11"/>
        <w:rPr>
          <w:sz w:val="19"/>
        </w:rPr>
      </w:pPr>
    </w:p>
    <w:p>
      <w:pPr>
        <w:pStyle w:val="BodyText"/>
        <w:ind w:left="270"/>
        <w:jc w:val="both"/>
      </w:pPr>
      <w:r>
        <w:rPr/>
        <w:t>SECRETARIA  DEL  TRABAJO  Y  PREVISION SOCIAL</w:t>
      </w:r>
    </w:p>
    <w:p>
      <w:pPr>
        <w:pStyle w:val="BodyText"/>
        <w:ind w:left="270" w:right="6248"/>
      </w:pPr>
      <w:r>
        <w:rPr/>
        <w:t>(2013) “Información sobre Accidentes y Enfermedades de Trabajo Sinaloa” obtenido de </w:t>
      </w:r>
      <w:hyperlink r:id="rId610">
        <w:r>
          <w:rPr/>
          <w:t>http://www.stps.gob.mx/bp/secciones/dgsst/estadisticas/Sinal</w:t>
        </w:r>
      </w:hyperlink>
      <w:r>
        <w:rPr/>
        <w:t> oa%202004-2013.pdf</w:t>
      </w:r>
    </w:p>
    <w:p>
      <w:pPr>
        <w:pStyle w:val="BodyText"/>
        <w:spacing w:before="11"/>
        <w:rPr>
          <w:sz w:val="19"/>
        </w:rPr>
      </w:pPr>
    </w:p>
    <w:p>
      <w:pPr>
        <w:pStyle w:val="BodyText"/>
        <w:ind w:left="270" w:right="6249"/>
        <w:jc w:val="both"/>
      </w:pPr>
      <w:r>
        <w:rPr/>
        <w:t>SECRETARIA DEL TRABAJO Y PREVISION SOCIAL (2014). “NORMA Oficial Mexicana NOM-006-STPS-2014,</w:t>
      </w:r>
    </w:p>
    <w:p>
      <w:pPr>
        <w:pStyle w:val="BodyText"/>
        <w:tabs>
          <w:tab w:pos="2635" w:val="left" w:leader="none"/>
          <w:tab w:pos="4999" w:val="left" w:leader="none"/>
        </w:tabs>
        <w:ind w:left="270" w:right="6249"/>
      </w:pPr>
      <w:r>
        <w:rPr/>
        <w:t>Manejo y almacenamiento de materiales-Condiciones de seguridad y salud en el trabajo.” DIARIO OFICIAL (Primera Sección)</w:t>
        <w:tab/>
        <w:t>obtenido</w:t>
        <w:tab/>
        <w:t>de </w:t>
      </w:r>
      <w:hyperlink r:id="rId611">
        <w:r>
          <w:rPr/>
          <w:t>http://www.semac.org.mx/images/stories/Noticias/NOM-</w:t>
        </w:r>
      </w:hyperlink>
      <w:r>
        <w:rPr/>
        <w:t> 006-STPS-2014.pdf</w:t>
      </w:r>
    </w:p>
    <w:p>
      <w:pPr>
        <w:spacing w:after="0"/>
        <w:sectPr>
          <w:pgSz w:w="12240" w:h="15840"/>
          <w:pgMar w:header="545" w:footer="852" w:top="1060" w:bottom="1040" w:left="580" w:right="220"/>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
        <w:rPr>
          <w:sz w:val="26"/>
        </w:rPr>
      </w:pPr>
    </w:p>
    <w:p>
      <w:pPr>
        <w:pStyle w:val="Heading1"/>
        <w:jc w:val="left"/>
      </w:pPr>
      <w:r>
        <w:rPr/>
        <w:t>CDT's analysis in craft fishermen in the bay of Topolobampo, Sinaloa.</w:t>
      </w:r>
    </w:p>
    <w:p>
      <w:pPr>
        <w:pStyle w:val="BodyText"/>
        <w:spacing w:before="5"/>
        <w:rPr>
          <w:b/>
          <w:sz w:val="19"/>
        </w:rPr>
      </w:pPr>
    </w:p>
    <w:p>
      <w:pPr>
        <w:spacing w:line="213" w:lineRule="auto" w:before="0"/>
        <w:ind w:left="270" w:right="29" w:firstLine="0"/>
        <w:jc w:val="both"/>
        <w:rPr>
          <w:i/>
          <w:sz w:val="20"/>
        </w:rPr>
      </w:pPr>
      <w:r>
        <w:rPr>
          <w:i/>
          <w:sz w:val="20"/>
        </w:rPr>
        <w:t>Alberto Ramírez Leyva </w:t>
      </w:r>
      <w:r>
        <w:rPr>
          <w:i/>
          <w:position w:val="9"/>
          <w:sz w:val="13"/>
        </w:rPr>
        <w:t>a</w:t>
      </w:r>
      <w:r>
        <w:rPr>
          <w:i/>
          <w:sz w:val="20"/>
        </w:rPr>
        <w:t>, Diego Francisco Estrada Rosas </w:t>
      </w:r>
      <w:r>
        <w:rPr>
          <w:i/>
          <w:position w:val="9"/>
          <w:sz w:val="13"/>
        </w:rPr>
        <w:t>b</w:t>
      </w:r>
      <w:r>
        <w:rPr>
          <w:i/>
          <w:sz w:val="20"/>
        </w:rPr>
        <w:t>, </w:t>
      </w:r>
      <w:r>
        <w:rPr>
          <w:i/>
          <w:sz w:val="20"/>
        </w:rPr>
        <w:t>Luis Armando </w:t>
      </w:r>
      <w:r>
        <w:rPr>
          <w:i/>
          <w:position w:val="9"/>
          <w:sz w:val="13"/>
        </w:rPr>
        <w:t>c</w:t>
      </w:r>
      <w:r>
        <w:rPr>
          <w:i/>
          <w:sz w:val="20"/>
        </w:rPr>
        <w:t>, Sara Patricia Vega Valdez </w:t>
      </w:r>
      <w:r>
        <w:rPr>
          <w:i/>
          <w:position w:val="9"/>
          <w:sz w:val="13"/>
        </w:rPr>
        <w:t>d</w:t>
      </w:r>
      <w:r>
        <w:rPr>
          <w:i/>
          <w:sz w:val="20"/>
        </w:rPr>
        <w:t>, Kizú Yaneth Cortez Alejo </w:t>
      </w:r>
      <w:r>
        <w:rPr>
          <w:i/>
          <w:position w:val="9"/>
          <w:sz w:val="13"/>
        </w:rPr>
        <w:t>e</w:t>
      </w:r>
      <w:r>
        <w:rPr>
          <w:i/>
          <w:sz w:val="20"/>
        </w:rPr>
        <w:t>.</w:t>
      </w:r>
    </w:p>
    <w:p>
      <w:pPr>
        <w:pStyle w:val="BodyText"/>
        <w:spacing w:before="2"/>
        <w:rPr>
          <w:i/>
          <w:sz w:val="19"/>
        </w:rPr>
      </w:pPr>
    </w:p>
    <w:p>
      <w:pPr>
        <w:spacing w:before="0"/>
        <w:ind w:left="270" w:right="11" w:firstLine="0"/>
        <w:jc w:val="both"/>
        <w:rPr>
          <w:sz w:val="16"/>
        </w:rPr>
      </w:pPr>
      <w:r>
        <w:rPr>
          <w:position w:val="7"/>
          <w:sz w:val="10"/>
        </w:rPr>
        <w:t>a </w:t>
      </w:r>
      <w:r>
        <w:rPr>
          <w:sz w:val="16"/>
        </w:rPr>
        <w:t>Instituto Tecnológico de Los Mochis, Juan de Dios Batiz y 20 de  noviembre s/n código postal 81259, alberto_ramirez_leyva@yahoo,com,  Los Mochis, Sinaloa,</w:t>
      </w:r>
      <w:r>
        <w:rPr>
          <w:spacing w:val="-19"/>
          <w:sz w:val="16"/>
        </w:rPr>
        <w:t> </w:t>
      </w:r>
      <w:r>
        <w:rPr>
          <w:sz w:val="16"/>
        </w:rPr>
        <w:t>México.</w:t>
      </w:r>
    </w:p>
    <w:p>
      <w:pPr>
        <w:spacing w:line="184" w:lineRule="exact" w:before="0"/>
        <w:ind w:left="270" w:right="0" w:firstLine="0"/>
        <w:jc w:val="both"/>
        <w:rPr>
          <w:sz w:val="16"/>
        </w:rPr>
      </w:pPr>
      <w:r>
        <w:rPr>
          <w:position w:val="7"/>
          <w:sz w:val="10"/>
        </w:rPr>
        <w:t>b   </w:t>
      </w:r>
      <w:r>
        <w:rPr>
          <w:sz w:val="16"/>
        </w:rPr>
        <w:t>Instituto  Tecnológico  de  Los  Mochis,  Juan  de  Dios  Batiz  y  20      de</w:t>
      </w:r>
    </w:p>
    <w:p>
      <w:pPr>
        <w:spacing w:before="1"/>
        <w:ind w:left="270" w:right="12" w:firstLine="0"/>
        <w:jc w:val="both"/>
        <w:rPr>
          <w:sz w:val="16"/>
        </w:rPr>
      </w:pPr>
      <w:r>
        <w:rPr>
          <w:sz w:val="16"/>
        </w:rPr>
        <w:t>noviembre s/n código postal 81259, </w:t>
      </w:r>
      <w:hyperlink r:id="rId568">
        <w:r>
          <w:rPr>
            <w:sz w:val="16"/>
            <w:u w:val="single"/>
          </w:rPr>
          <w:t>Diegoestradarosas@yahoo.com.mx</w:t>
        </w:r>
        <w:r>
          <w:rPr>
            <w:sz w:val="16"/>
          </w:rPr>
          <w:t>,</w:t>
        </w:r>
      </w:hyperlink>
      <w:r>
        <w:rPr>
          <w:sz w:val="16"/>
        </w:rPr>
        <w:t> Los Mochis, Sinaloa, México.</w:t>
      </w:r>
    </w:p>
    <w:p>
      <w:pPr>
        <w:spacing w:line="184" w:lineRule="exact" w:before="0"/>
        <w:ind w:left="270" w:right="0" w:firstLine="0"/>
        <w:jc w:val="both"/>
        <w:rPr>
          <w:sz w:val="16"/>
        </w:rPr>
      </w:pPr>
      <w:r>
        <w:rPr>
          <w:position w:val="7"/>
          <w:sz w:val="10"/>
        </w:rPr>
        <w:t>c   </w:t>
      </w:r>
      <w:r>
        <w:rPr>
          <w:sz w:val="16"/>
        </w:rPr>
        <w:t>Instituto  Tecnológico  de  Los  Mochis,  Juan  de  Dios  Batiz  y  20      de</w:t>
      </w:r>
    </w:p>
    <w:p>
      <w:pPr>
        <w:spacing w:before="1"/>
        <w:ind w:left="270" w:right="29" w:firstLine="0"/>
        <w:jc w:val="both"/>
        <w:rPr>
          <w:sz w:val="16"/>
        </w:rPr>
      </w:pPr>
      <w:r>
        <w:rPr>
          <w:sz w:val="16"/>
        </w:rPr>
        <w:t>noviembre s/n código postal 81259, </w:t>
      </w:r>
      <w:hyperlink r:id="rId569">
        <w:r>
          <w:rPr>
            <w:sz w:val="16"/>
            <w:u w:val="single"/>
          </w:rPr>
          <w:t>Lvaldez018@gmail.com</w:t>
        </w:r>
        <w:r>
          <w:rPr>
            <w:sz w:val="16"/>
          </w:rPr>
          <w:t>,</w:t>
        </w:r>
      </w:hyperlink>
      <w:r>
        <w:rPr>
          <w:sz w:val="16"/>
        </w:rPr>
        <w:t> Los Mochis, Sinaloa, México.</w:t>
      </w:r>
    </w:p>
    <w:p>
      <w:pPr>
        <w:spacing w:line="184" w:lineRule="exact" w:before="0"/>
        <w:ind w:left="270" w:right="0" w:firstLine="0"/>
        <w:jc w:val="both"/>
        <w:rPr>
          <w:sz w:val="16"/>
        </w:rPr>
      </w:pPr>
      <w:r>
        <w:rPr>
          <w:position w:val="7"/>
          <w:sz w:val="10"/>
        </w:rPr>
        <w:t>d    </w:t>
      </w:r>
      <w:r>
        <w:rPr>
          <w:sz w:val="16"/>
        </w:rPr>
        <w:t>Estudiante  de  Ingeniería  Industrial  del  Instituto  Tecnológico  de     Los</w:t>
      </w:r>
    </w:p>
    <w:p>
      <w:pPr>
        <w:spacing w:before="1"/>
        <w:ind w:left="270" w:right="7" w:firstLine="0"/>
        <w:jc w:val="both"/>
        <w:rPr>
          <w:sz w:val="16"/>
        </w:rPr>
      </w:pPr>
      <w:r>
        <w:rPr>
          <w:sz w:val="16"/>
        </w:rPr>
        <w:t>Mochis, Juan de Dios Batiz y 20 de noviembre s/n código postal 81259, </w:t>
      </w:r>
      <w:hyperlink r:id="rId704">
        <w:r>
          <w:rPr>
            <w:sz w:val="16"/>
            <w:u w:val="single"/>
          </w:rPr>
          <w:t>saaravega@gmail.com </w:t>
        </w:r>
      </w:hyperlink>
      <w:r>
        <w:rPr>
          <w:sz w:val="16"/>
        </w:rPr>
        <w:t>Los Mochis, Sinaloa, México</w:t>
      </w:r>
    </w:p>
    <w:p>
      <w:pPr>
        <w:spacing w:line="184" w:lineRule="exact" w:before="0"/>
        <w:ind w:left="270" w:right="0" w:firstLine="0"/>
        <w:jc w:val="both"/>
        <w:rPr>
          <w:sz w:val="16"/>
        </w:rPr>
      </w:pPr>
      <w:r>
        <w:rPr>
          <w:position w:val="7"/>
          <w:sz w:val="10"/>
        </w:rPr>
        <w:t>e    </w:t>
      </w:r>
      <w:r>
        <w:rPr>
          <w:sz w:val="16"/>
        </w:rPr>
        <w:t>Estudiante  de  Ingeniería  Industrial  del  Instituto  Tecnológico  de     Los</w:t>
      </w:r>
    </w:p>
    <w:p>
      <w:pPr>
        <w:spacing w:before="1"/>
        <w:ind w:left="270" w:right="7" w:firstLine="0"/>
        <w:jc w:val="both"/>
        <w:rPr>
          <w:sz w:val="16"/>
        </w:rPr>
      </w:pPr>
      <w:r>
        <w:rPr>
          <w:sz w:val="16"/>
        </w:rPr>
        <w:t>Mochis, Juan de Dios Batiz y 20 de noviembre s/n código postal 81259, </w:t>
      </w:r>
      <w:hyperlink r:id="rId705">
        <w:r>
          <w:rPr>
            <w:sz w:val="16"/>
            <w:u w:val="single"/>
          </w:rPr>
          <w:t>Kizucortez@hotmail.com</w:t>
        </w:r>
        <w:r>
          <w:rPr>
            <w:sz w:val="16"/>
          </w:rPr>
          <w:t>,</w:t>
        </w:r>
      </w:hyperlink>
      <w:r>
        <w:rPr>
          <w:sz w:val="16"/>
        </w:rPr>
        <w:t> Los Mochis, Sinaloa, México.</w:t>
      </w:r>
    </w:p>
    <w:p>
      <w:pPr>
        <w:pStyle w:val="BodyText"/>
        <w:spacing w:before="5"/>
        <w:rPr>
          <w:sz w:val="16"/>
        </w:rPr>
      </w:pPr>
    </w:p>
    <w:p>
      <w:pPr>
        <w:pStyle w:val="Heading4"/>
      </w:pPr>
      <w:r>
        <w:rPr/>
        <w:pict>
          <v:line style="position:absolute;mso-position-horizontal-relative:page;mso-position-vertical-relative:paragraph;z-index:17680" from="41.040001pt,13.205952pt" to="289.860001pt,13.205952pt" stroked="true" strokeweight="1.5pt" strokecolor="#000000">
            <w10:wrap type="none"/>
          </v:line>
        </w:pict>
      </w:r>
      <w:r>
        <w:rPr/>
        <w:t>Resumen</w:t>
      </w:r>
    </w:p>
    <w:p>
      <w:pPr>
        <w:pStyle w:val="BodyText"/>
        <w:spacing w:before="46"/>
        <w:ind w:left="270"/>
        <w:jc w:val="both"/>
      </w:pPr>
      <w:r>
        <w:rPr/>
        <w:t>El sector pesquero en Topolobampo es un trabajo con una gran demanda, sin embargo puede ocasionar efectos  negativos ya que se requiere de gran esfuerzo y tensión. En la presente investigación se pretende analizar una problemática que se refiere a la investigación de pescadores artesanales realizada en el puerto de Topolobampo, localizado en el municipio de Ahome Sinaloa. Con el fin de  obtener resultados de las condiciones físicas de dichos trabajadores. Para llevar a cabo esta investigación la metodología utilizada fue encuestar a un total de 20 pescadores de bahía con más de 10 de experiencia que navegan en lancha bajo el criterio de  el mapeo de Corlett &amp; Bishop que determinaron las zonas específicas donde se presentan los desórdenes de trauma acumulado. Como conclusión se obtuvo que estos presentan DTA’s ubicados mayormente en el tronco superior del cuerpo. Los hombros, brazos, espalda baja y cintura son las zonas mayormente afectadas; provocando que sus condiciones físicas disminuyan, repercutiendo en la productividad de su trabajo. El campo pesquero de la región necesita un poco más de atención y cuidado, es una actividad base para muchas de las familias que viven alrededor y por la tanto</w:t>
      </w:r>
      <w:r>
        <w:rPr>
          <w:spacing w:val="-4"/>
        </w:rPr>
        <w:t> </w:t>
      </w:r>
      <w:r>
        <w:rPr/>
        <w:t>se</w:t>
      </w:r>
      <w:r>
        <w:rPr>
          <w:spacing w:val="-5"/>
        </w:rPr>
        <w:t> </w:t>
      </w:r>
      <w:r>
        <w:rPr/>
        <w:t>debe</w:t>
      </w:r>
      <w:r>
        <w:rPr>
          <w:spacing w:val="-4"/>
        </w:rPr>
        <w:t> </w:t>
      </w:r>
      <w:r>
        <w:rPr/>
        <w:t>tener</w:t>
      </w:r>
      <w:r>
        <w:rPr>
          <w:spacing w:val="-4"/>
        </w:rPr>
        <w:t> </w:t>
      </w:r>
      <w:r>
        <w:rPr/>
        <w:t>un</w:t>
      </w:r>
      <w:r>
        <w:rPr>
          <w:spacing w:val="-5"/>
        </w:rPr>
        <w:t> </w:t>
      </w:r>
      <w:r>
        <w:rPr/>
        <w:t>poco</w:t>
      </w:r>
      <w:r>
        <w:rPr>
          <w:spacing w:val="-5"/>
        </w:rPr>
        <w:t> </w:t>
      </w:r>
      <w:r>
        <w:rPr/>
        <w:t>más</w:t>
      </w:r>
      <w:r>
        <w:rPr>
          <w:spacing w:val="-4"/>
        </w:rPr>
        <w:t> </w:t>
      </w:r>
      <w:r>
        <w:rPr/>
        <w:t>de</w:t>
      </w:r>
      <w:r>
        <w:rPr>
          <w:spacing w:val="-4"/>
        </w:rPr>
        <w:t> </w:t>
      </w:r>
      <w:r>
        <w:rPr/>
        <w:t>atención</w:t>
      </w:r>
      <w:r>
        <w:rPr>
          <w:spacing w:val="-4"/>
        </w:rPr>
        <w:t> </w:t>
      </w:r>
      <w:r>
        <w:rPr/>
        <w:t>en</w:t>
      </w:r>
      <w:r>
        <w:rPr>
          <w:spacing w:val="-3"/>
        </w:rPr>
        <w:t> </w:t>
      </w:r>
      <w:r>
        <w:rPr/>
        <w:t>esta</w:t>
      </w:r>
      <w:r>
        <w:rPr>
          <w:spacing w:val="-4"/>
        </w:rPr>
        <w:t> </w:t>
      </w:r>
      <w:r>
        <w:rPr/>
        <w:t>actividad</w:t>
      </w:r>
    </w:p>
    <w:p>
      <w:pPr>
        <w:pStyle w:val="BodyText"/>
        <w:spacing w:before="11"/>
        <w:rPr>
          <w:sz w:val="19"/>
        </w:rPr>
      </w:pPr>
    </w:p>
    <w:p>
      <w:pPr>
        <w:spacing w:before="0"/>
        <w:ind w:left="270" w:right="34" w:firstLine="0"/>
        <w:jc w:val="both"/>
        <w:rPr>
          <w:sz w:val="20"/>
        </w:rPr>
      </w:pPr>
      <w:r>
        <w:rPr>
          <w:b/>
          <w:sz w:val="20"/>
        </w:rPr>
        <w:t>Palabras clave</w:t>
      </w:r>
      <w:r>
        <w:rPr>
          <w:sz w:val="20"/>
        </w:rPr>
        <w:t>— trabajadores del mar, daños, Corlett &amp; Bishop.</w:t>
      </w:r>
    </w:p>
    <w:p>
      <w:pPr>
        <w:pStyle w:val="BodyText"/>
        <w:spacing w:before="3"/>
      </w:pPr>
    </w:p>
    <w:p>
      <w:pPr>
        <w:pStyle w:val="Heading5"/>
        <w:rPr>
          <w:i/>
        </w:rPr>
      </w:pPr>
      <w:r>
        <w:rPr/>
        <w:pict>
          <v:line style="position:absolute;mso-position-horizontal-relative:page;mso-position-vertical-relative:paragraph;z-index:17704" from="41.040001pt,13.206815pt" to="289.860001pt,13.206815pt" stroked="true" strokeweight="1.5pt" strokecolor="#000000">
            <w10:wrap type="none"/>
          </v:line>
        </w:pict>
      </w:r>
      <w:r>
        <w:rPr>
          <w:i/>
        </w:rPr>
        <w:t>Abstract</w:t>
      </w:r>
    </w:p>
    <w:p>
      <w:pPr>
        <w:spacing w:before="46"/>
        <w:ind w:left="270" w:right="27" w:firstLine="0"/>
        <w:jc w:val="both"/>
        <w:rPr>
          <w:i/>
          <w:sz w:val="20"/>
        </w:rPr>
      </w:pPr>
      <w:r>
        <w:rPr>
          <w:i/>
          <w:sz w:val="20"/>
        </w:rPr>
        <w:t>The fisheries sector in Topolobampo is a work in high </w:t>
      </w:r>
      <w:r>
        <w:rPr>
          <w:i/>
          <w:sz w:val="20"/>
        </w:rPr>
        <w:t>demand, however, may have negative effects since it requires great effort and stress. In this research is to analyze a problem that relates to the investigation of artisanal fishermen held in the port of Topolobampo, located in the municipality of Ahome Sinaloa. In order to obtain results of the physical conditions of these workers. To conduct this research,  the  methodology  was  to  survey  a  total  of     20</w:t>
      </w:r>
    </w:p>
    <w:p>
      <w:pPr>
        <w:spacing w:before="74"/>
        <w:ind w:left="270" w:right="674" w:firstLine="0"/>
        <w:jc w:val="both"/>
        <w:rPr>
          <w:i/>
          <w:sz w:val="20"/>
        </w:rPr>
      </w:pPr>
      <w:r>
        <w:rPr/>
        <w:br w:type="column"/>
      </w:r>
      <w:r>
        <w:rPr>
          <w:i/>
          <w:sz w:val="20"/>
        </w:rPr>
        <w:t>fishermen bay with over 10 years’ experience sailing boat </w:t>
      </w:r>
      <w:r>
        <w:rPr>
          <w:i/>
          <w:sz w:val="20"/>
        </w:rPr>
        <w:t>under the criteria of the mapping Corlett &amp; Bishop that determined the specific areas where the disorders of trauma are presented accumulated . In conclusion  was  obtained that these present DTA's located mostly in the upper trunk. Shoulders, arms, lower back and waist are the areas most affected; causing their physical decline, affecting the productivity of your work. The fishing camp in the region requires a little more care and attention, it is a basic  activity for many families living around and therefore should be a little more attention on this</w:t>
      </w:r>
      <w:r>
        <w:rPr>
          <w:i/>
          <w:spacing w:val="-26"/>
          <w:sz w:val="20"/>
        </w:rPr>
        <w:t> </w:t>
      </w:r>
      <w:r>
        <w:rPr>
          <w:i/>
          <w:sz w:val="20"/>
        </w:rPr>
        <w:t>activity</w:t>
      </w:r>
    </w:p>
    <w:p>
      <w:pPr>
        <w:pStyle w:val="BodyText"/>
        <w:spacing w:before="11"/>
        <w:rPr>
          <w:i/>
          <w:sz w:val="19"/>
        </w:rPr>
      </w:pPr>
    </w:p>
    <w:p>
      <w:pPr>
        <w:spacing w:before="0"/>
        <w:ind w:left="270" w:right="0" w:firstLine="0"/>
        <w:jc w:val="both"/>
        <w:rPr>
          <w:i/>
          <w:sz w:val="20"/>
        </w:rPr>
      </w:pPr>
      <w:r>
        <w:rPr>
          <w:b/>
          <w:i/>
          <w:sz w:val="20"/>
        </w:rPr>
        <w:t>Keywords</w:t>
      </w:r>
      <w:r>
        <w:rPr>
          <w:i/>
          <w:sz w:val="20"/>
        </w:rPr>
        <w:t>— seafarers, damage, Corlett &amp; Bishop</w:t>
      </w:r>
    </w:p>
    <w:p>
      <w:pPr>
        <w:pStyle w:val="BodyText"/>
        <w:rPr>
          <w:i/>
        </w:rPr>
      </w:pPr>
    </w:p>
    <w:p>
      <w:pPr>
        <w:pStyle w:val="BodyText"/>
        <w:spacing w:before="1"/>
        <w:ind w:left="270" w:right="677"/>
        <w:jc w:val="both"/>
      </w:pPr>
      <w:r>
        <w:rPr/>
        <w:t>Relevance to Ergonomics: At present there are many fishermen working in this area , despite this are few studies in this region from the standpoint of ergonomics , so that the data submitted will be important to generate proposals for improvement this segment of the population.</w:t>
      </w:r>
    </w:p>
    <w:p>
      <w:pPr>
        <w:pStyle w:val="BodyText"/>
        <w:spacing w:before="3"/>
      </w:pPr>
    </w:p>
    <w:p>
      <w:pPr>
        <w:pStyle w:val="Heading4"/>
        <w:numPr>
          <w:ilvl w:val="0"/>
          <w:numId w:val="153"/>
        </w:numPr>
        <w:tabs>
          <w:tab w:pos="473" w:val="left" w:leader="none"/>
        </w:tabs>
        <w:spacing w:line="240" w:lineRule="auto" w:before="0" w:after="0"/>
        <w:ind w:left="472" w:right="0" w:hanging="202"/>
        <w:jc w:val="both"/>
      </w:pPr>
      <w:r>
        <w:rPr/>
        <w:t>Introduction</w:t>
      </w:r>
    </w:p>
    <w:p>
      <w:pPr>
        <w:pStyle w:val="BodyText"/>
        <w:spacing w:before="8"/>
        <w:rPr>
          <w:b/>
          <w:sz w:val="19"/>
        </w:rPr>
      </w:pPr>
    </w:p>
    <w:p>
      <w:pPr>
        <w:pStyle w:val="BodyText"/>
        <w:ind w:left="270" w:right="677"/>
        <w:jc w:val="both"/>
      </w:pPr>
      <w:r>
        <w:rPr/>
        <w:t>Work is something every human confronts each day as a daily duty, but as we do so various physical and mental problems dwell within.</w:t>
      </w:r>
    </w:p>
    <w:p>
      <w:pPr>
        <w:pStyle w:val="BodyText"/>
      </w:pPr>
    </w:p>
    <w:p>
      <w:pPr>
        <w:pStyle w:val="BodyText"/>
        <w:spacing w:before="1"/>
        <w:ind w:left="270" w:right="676" w:firstLine="567"/>
        <w:jc w:val="both"/>
      </w:pPr>
      <w:r>
        <w:rPr/>
        <w:t>Fishing is one of the most realized activity’s generating one of the biggest money income in the state because of the huge demand it provides. Therefore  this study to know more about the conditions they complete their work in. The goal is to discover CDT’S, and also to be informed and if able, prevent or stop the most possible, it’s interesting to be able to make an analysis by diverse  methods to detect DTA’S and help the fisherman</w:t>
      </w:r>
      <w:r>
        <w:rPr>
          <w:spacing w:val="-20"/>
        </w:rPr>
        <w:t> </w:t>
      </w:r>
      <w:r>
        <w:rPr/>
        <w:t>culture.</w:t>
      </w:r>
    </w:p>
    <w:p>
      <w:pPr>
        <w:pStyle w:val="BodyText"/>
        <w:spacing w:before="10"/>
      </w:pPr>
    </w:p>
    <w:p>
      <w:pPr>
        <w:pStyle w:val="BodyText"/>
        <w:ind w:left="270" w:right="677" w:firstLine="567"/>
        <w:jc w:val="both"/>
      </w:pPr>
      <w:r>
        <w:rPr/>
        <w:t>The results obtained in the interviews it was found the signaled hypothesis: the fisherman at the bay are starting to show signs of CDT’S and others show signs of advanced CDT’s. the fisherman are being affected by the Little info they are acknowledged about their wrong postures, bad habits, a wrong movement of the body and very long work shifts</w:t>
      </w:r>
    </w:p>
    <w:p>
      <w:pPr>
        <w:pStyle w:val="BodyText"/>
        <w:spacing w:before="4"/>
        <w:rPr>
          <w:sz w:val="25"/>
        </w:rPr>
      </w:pPr>
    </w:p>
    <w:p>
      <w:pPr>
        <w:pStyle w:val="Heading4"/>
        <w:numPr>
          <w:ilvl w:val="1"/>
          <w:numId w:val="153"/>
        </w:numPr>
        <w:tabs>
          <w:tab w:pos="1186" w:val="left" w:leader="none"/>
          <w:tab w:pos="1187" w:val="left" w:leader="none"/>
        </w:tabs>
        <w:spacing w:line="240" w:lineRule="auto" w:before="0" w:after="0"/>
        <w:ind w:left="1186" w:right="0" w:hanging="916"/>
        <w:jc w:val="both"/>
      </w:pPr>
      <w:r>
        <w:rPr/>
        <w:t>Justification</w:t>
      </w:r>
    </w:p>
    <w:p>
      <w:pPr>
        <w:pStyle w:val="BodyText"/>
        <w:spacing w:before="8"/>
        <w:rPr>
          <w:b/>
          <w:sz w:val="19"/>
        </w:rPr>
      </w:pPr>
    </w:p>
    <w:p>
      <w:pPr>
        <w:pStyle w:val="BodyText"/>
        <w:ind w:left="270" w:right="676"/>
        <w:jc w:val="both"/>
      </w:pPr>
      <w:r>
        <w:rPr/>
        <w:t>The physical and mental health in people is paramount in your daily life and also when labor, fishermen need great patience as the catch of marine species not depend on them, they also perform various movements that are unsuitable to their health and work in conditions that directly affect your body, for that reason the study of fatigue using the questionnaire Yoshitake and Luke 4-point scale to know what are the main reasons for their extreme tiredness was made.</w:t>
      </w:r>
    </w:p>
    <w:p>
      <w:pPr>
        <w:spacing w:after="0"/>
        <w:jc w:val="both"/>
        <w:sectPr>
          <w:type w:val="continuous"/>
          <w:pgSz w:w="12240" w:h="15840"/>
          <w:pgMar w:top="1500" w:bottom="280" w:left="580" w:right="220"/>
          <w:cols w:num="2" w:equalWidth="0">
            <w:col w:w="5220" w:space="405"/>
            <w:col w:w="5815"/>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pPr>
    </w:p>
    <w:p>
      <w:pPr>
        <w:pStyle w:val="BodyText"/>
      </w:pPr>
    </w:p>
    <w:p>
      <w:pPr>
        <w:pStyle w:val="BodyText"/>
        <w:spacing w:before="5"/>
        <w:rPr>
          <w:sz w:val="26"/>
        </w:rPr>
      </w:pPr>
    </w:p>
    <w:p>
      <w:pPr>
        <w:pStyle w:val="BodyText"/>
        <w:ind w:left="506" w:right="239"/>
        <w:jc w:val="center"/>
      </w:pPr>
      <w:r>
        <w:rPr/>
        <w:t>Table 1 - Occupational diseases according nature of the injury and sex, 2011 - 2013 Sinaloa</w:t>
      </w:r>
    </w:p>
    <w:p>
      <w:pPr>
        <w:pStyle w:val="BodyText"/>
        <w:ind w:left="270"/>
      </w:pPr>
      <w:r>
        <w:rPr/>
        <w:drawing>
          <wp:inline distT="0" distB="0" distL="0" distR="0">
            <wp:extent cx="3056818" cy="1813560"/>
            <wp:effectExtent l="0" t="0" r="0" b="0"/>
            <wp:docPr id="781" name="image344.png" descr=""/>
            <wp:cNvGraphicFramePr>
              <a:graphicFrameLocks noChangeAspect="1"/>
            </wp:cNvGraphicFramePr>
            <a:graphic>
              <a:graphicData uri="http://schemas.openxmlformats.org/drawingml/2006/picture">
                <pic:pic>
                  <pic:nvPicPr>
                    <pic:cNvPr id="782" name="image344.png"/>
                    <pic:cNvPicPr/>
                  </pic:nvPicPr>
                  <pic:blipFill>
                    <a:blip r:embed="rId572" cstate="print"/>
                    <a:stretch>
                      <a:fillRect/>
                    </a:stretch>
                  </pic:blipFill>
                  <pic:spPr>
                    <a:xfrm>
                      <a:off x="0" y="0"/>
                      <a:ext cx="3056818" cy="1813560"/>
                    </a:xfrm>
                    <a:prstGeom prst="rect">
                      <a:avLst/>
                    </a:prstGeom>
                  </pic:spPr>
                </pic:pic>
              </a:graphicData>
            </a:graphic>
          </wp:inline>
        </w:drawing>
      </w:r>
      <w:r>
        <w:rPr/>
      </w:r>
    </w:p>
    <w:p>
      <w:pPr>
        <w:pStyle w:val="BodyText"/>
        <w:spacing w:before="6"/>
        <w:ind w:left="274" w:right="8"/>
        <w:jc w:val="center"/>
      </w:pPr>
      <w:r>
        <w:rPr/>
        <w:t>Source: Reports statistics IMSS, 2011- 2013</w:t>
      </w:r>
    </w:p>
    <w:p>
      <w:pPr>
        <w:pStyle w:val="BodyText"/>
        <w:spacing w:before="11"/>
        <w:rPr>
          <w:sz w:val="29"/>
        </w:rPr>
      </w:pPr>
    </w:p>
    <w:p>
      <w:pPr>
        <w:pStyle w:val="BodyText"/>
        <w:ind w:left="270" w:right="1" w:firstLine="567"/>
        <w:jc w:val="both"/>
      </w:pPr>
      <w:r>
        <w:rPr/>
        <w:t>This table shows the rate of injuries that occurred during the period of 2011-2013 and as seen increases every year since no fatigue is controlled workers is.</w:t>
      </w:r>
    </w:p>
    <w:p>
      <w:pPr>
        <w:pStyle w:val="BodyText"/>
      </w:pPr>
    </w:p>
    <w:p>
      <w:pPr>
        <w:pStyle w:val="BodyText"/>
        <w:spacing w:before="1"/>
        <w:ind w:left="270" w:firstLine="567"/>
        <w:jc w:val="both"/>
      </w:pPr>
      <w:r>
        <w:rPr/>
        <w:t>3.37 % of men have shoulder injuries, 1.12 % respiratory disease, pneumoconiosis 2.24 % and 65% of  other diseases in the course of the year</w:t>
      </w:r>
      <w:r>
        <w:rPr>
          <w:spacing w:val="-27"/>
        </w:rPr>
        <w:t> </w:t>
      </w:r>
      <w:r>
        <w:rPr/>
        <w:t>2013</w:t>
      </w:r>
    </w:p>
    <w:p>
      <w:pPr>
        <w:pStyle w:val="BodyText"/>
        <w:spacing w:before="2"/>
      </w:pPr>
    </w:p>
    <w:p>
      <w:pPr>
        <w:pStyle w:val="Heading4"/>
        <w:numPr>
          <w:ilvl w:val="1"/>
          <w:numId w:val="154"/>
        </w:numPr>
        <w:tabs>
          <w:tab w:pos="572" w:val="left" w:leader="none"/>
        </w:tabs>
        <w:spacing w:line="240" w:lineRule="auto" w:before="0" w:after="0"/>
        <w:ind w:left="571" w:right="0" w:hanging="301"/>
        <w:jc w:val="both"/>
      </w:pPr>
      <w:r>
        <w:rPr/>
        <w:t>Objectives</w:t>
      </w:r>
    </w:p>
    <w:p>
      <w:pPr>
        <w:pStyle w:val="BodyText"/>
        <w:spacing w:before="9"/>
        <w:rPr>
          <w:b/>
          <w:sz w:val="19"/>
        </w:rPr>
      </w:pPr>
    </w:p>
    <w:p>
      <w:pPr>
        <w:pStyle w:val="BodyText"/>
        <w:spacing w:before="1"/>
        <w:ind w:left="270" w:right="41"/>
      </w:pPr>
      <w:r>
        <w:rPr/>
        <w:t>Determine if you are developing some kind of fatigue in the fishing port of Topolobampo.</w:t>
      </w:r>
    </w:p>
    <w:p>
      <w:pPr>
        <w:pStyle w:val="BodyText"/>
        <w:spacing w:before="2"/>
      </w:pPr>
    </w:p>
    <w:p>
      <w:pPr>
        <w:pStyle w:val="Heading4"/>
        <w:numPr>
          <w:ilvl w:val="1"/>
          <w:numId w:val="154"/>
        </w:numPr>
        <w:tabs>
          <w:tab w:pos="572" w:val="left" w:leader="none"/>
        </w:tabs>
        <w:spacing w:line="240" w:lineRule="auto" w:before="0" w:after="0"/>
        <w:ind w:left="571" w:right="0" w:hanging="301"/>
        <w:jc w:val="both"/>
      </w:pPr>
      <w:r>
        <w:rPr/>
        <w:t>Specific</w:t>
      </w:r>
      <w:r>
        <w:rPr>
          <w:spacing w:val="-15"/>
        </w:rPr>
        <w:t> </w:t>
      </w:r>
      <w:r>
        <w:rPr/>
        <w:t>objectives</w:t>
      </w:r>
    </w:p>
    <w:p>
      <w:pPr>
        <w:pStyle w:val="BodyText"/>
        <w:spacing w:before="9"/>
        <w:rPr>
          <w:b/>
          <w:sz w:val="19"/>
        </w:rPr>
      </w:pPr>
    </w:p>
    <w:p>
      <w:pPr>
        <w:pStyle w:val="ListParagraph"/>
        <w:numPr>
          <w:ilvl w:val="0"/>
          <w:numId w:val="108"/>
        </w:numPr>
        <w:tabs>
          <w:tab w:pos="391" w:val="left" w:leader="none"/>
        </w:tabs>
        <w:spacing w:line="230" w:lineRule="exact" w:before="1" w:after="0"/>
        <w:ind w:left="390" w:right="0" w:hanging="120"/>
        <w:jc w:val="both"/>
        <w:rPr>
          <w:sz w:val="20"/>
        </w:rPr>
      </w:pPr>
      <w:r>
        <w:rPr>
          <w:sz w:val="20"/>
        </w:rPr>
        <w:t>Analyze the movements made by</w:t>
      </w:r>
      <w:r>
        <w:rPr>
          <w:spacing w:val="-18"/>
          <w:sz w:val="20"/>
        </w:rPr>
        <w:t> </w:t>
      </w:r>
      <w:r>
        <w:rPr>
          <w:sz w:val="20"/>
        </w:rPr>
        <w:t>fishermen.</w:t>
      </w:r>
    </w:p>
    <w:p>
      <w:pPr>
        <w:pStyle w:val="ListParagraph"/>
        <w:numPr>
          <w:ilvl w:val="0"/>
          <w:numId w:val="108"/>
        </w:numPr>
        <w:tabs>
          <w:tab w:pos="391" w:val="left" w:leader="none"/>
        </w:tabs>
        <w:spacing w:line="230" w:lineRule="exact" w:before="0" w:after="0"/>
        <w:ind w:left="390" w:right="0" w:hanging="120"/>
        <w:jc w:val="both"/>
        <w:rPr>
          <w:sz w:val="20"/>
        </w:rPr>
      </w:pPr>
      <w:r>
        <w:rPr>
          <w:sz w:val="20"/>
        </w:rPr>
        <w:t>Determine where in the body these fatigue (tiredness)</w:t>
      </w:r>
      <w:r>
        <w:rPr>
          <w:spacing w:val="-31"/>
          <w:sz w:val="20"/>
        </w:rPr>
        <w:t> </w:t>
      </w:r>
      <w:r>
        <w:rPr>
          <w:sz w:val="20"/>
        </w:rPr>
        <w:t>occur</w:t>
      </w:r>
    </w:p>
    <w:p>
      <w:pPr>
        <w:pStyle w:val="BodyText"/>
        <w:spacing w:before="3"/>
      </w:pPr>
    </w:p>
    <w:p>
      <w:pPr>
        <w:pStyle w:val="Heading4"/>
        <w:numPr>
          <w:ilvl w:val="0"/>
          <w:numId w:val="153"/>
        </w:numPr>
        <w:tabs>
          <w:tab w:pos="472" w:val="left" w:leader="none"/>
        </w:tabs>
        <w:spacing w:line="240" w:lineRule="auto" w:before="0" w:after="0"/>
        <w:ind w:left="471" w:right="0" w:hanging="201"/>
        <w:jc w:val="both"/>
      </w:pPr>
      <w:r>
        <w:rPr/>
        <w:t>Methodology</w:t>
      </w:r>
    </w:p>
    <w:p>
      <w:pPr>
        <w:pStyle w:val="BodyText"/>
        <w:spacing w:before="11"/>
        <w:rPr>
          <w:b/>
          <w:sz w:val="19"/>
        </w:rPr>
      </w:pPr>
    </w:p>
    <w:p>
      <w:pPr>
        <w:pStyle w:val="ListParagraph"/>
        <w:numPr>
          <w:ilvl w:val="1"/>
          <w:numId w:val="155"/>
        </w:numPr>
        <w:tabs>
          <w:tab w:pos="571" w:val="left" w:leader="none"/>
        </w:tabs>
        <w:spacing w:line="240" w:lineRule="auto" w:before="0" w:after="0"/>
        <w:ind w:left="570" w:right="0" w:hanging="300"/>
        <w:jc w:val="both"/>
        <w:rPr>
          <w:b/>
          <w:sz w:val="20"/>
        </w:rPr>
      </w:pPr>
      <w:r>
        <w:rPr>
          <w:b/>
          <w:sz w:val="20"/>
        </w:rPr>
        <w:t>Method</w:t>
      </w:r>
    </w:p>
    <w:p>
      <w:pPr>
        <w:pStyle w:val="BodyText"/>
        <w:spacing w:before="8"/>
        <w:rPr>
          <w:b/>
          <w:sz w:val="19"/>
        </w:rPr>
      </w:pPr>
    </w:p>
    <w:p>
      <w:pPr>
        <w:pStyle w:val="BodyText"/>
        <w:ind w:left="270"/>
        <w:jc w:val="both"/>
      </w:pPr>
      <w:r>
        <w:rPr/>
        <w:t>As mentioned before the objective of the investigation is to analyze and detect DTA’S in fisherman. The methods that are going to be used are Corlett and Bishop to detect possible CDT’s and in what body part they are localized in. This is to find out where the problem is and to help out the fisherman in productivity and daily life as</w:t>
      </w:r>
      <w:r>
        <w:rPr>
          <w:spacing w:val="-18"/>
        </w:rPr>
        <w:t> </w:t>
      </w:r>
      <w:r>
        <w:rPr/>
        <w:t>well.</w:t>
      </w:r>
    </w:p>
    <w:p>
      <w:pPr>
        <w:pStyle w:val="BodyText"/>
        <w:spacing w:before="11"/>
        <w:rPr>
          <w:sz w:val="19"/>
        </w:rPr>
      </w:pPr>
    </w:p>
    <w:p>
      <w:pPr>
        <w:pStyle w:val="BodyText"/>
        <w:ind w:left="270" w:right="1" w:firstLine="567"/>
        <w:jc w:val="both"/>
      </w:pPr>
      <w:r>
        <w:rPr/>
        <w:t>The fisherman at the bay of Topolobampo, which the way they get a round is the panga, or otherwise the average boat. The study was made to 30 fisherman in between the ages of 27 and 58 years old that count with at least ten years of experience working from ten to eighteen hours on a daily basis. Regularly this activity is realized with 2 or more  people in order to be done with</w:t>
      </w:r>
      <w:r>
        <w:rPr>
          <w:spacing w:val="-20"/>
        </w:rPr>
        <w:t> </w:t>
      </w:r>
      <w:r>
        <w:rPr/>
        <w:t>security.</w:t>
      </w:r>
    </w:p>
    <w:p>
      <w:pPr>
        <w:pStyle w:val="BodyText"/>
        <w:spacing w:before="74"/>
        <w:ind w:left="270" w:right="676" w:firstLine="567"/>
        <w:jc w:val="both"/>
      </w:pPr>
      <w:r>
        <w:rPr/>
        <w:br w:type="column"/>
      </w:r>
      <w:r>
        <w:rPr/>
        <w:t>The species they fish are crustaceans using churupa, tarraya, change, etc. the body parts that are mostly used are the back, shoulders, legs and knees.</w:t>
      </w:r>
    </w:p>
    <w:p>
      <w:pPr>
        <w:pStyle w:val="BodyText"/>
        <w:spacing w:before="11"/>
        <w:rPr>
          <w:sz w:val="19"/>
        </w:rPr>
      </w:pPr>
    </w:p>
    <w:p>
      <w:pPr>
        <w:pStyle w:val="BodyText"/>
        <w:ind w:left="270" w:right="676" w:firstLine="567"/>
        <w:jc w:val="both"/>
      </w:pPr>
      <w:r>
        <w:rPr/>
        <w:t>The capture of data was done with Corlett and  Bishop which indicates what body part is affected at the moment they start and stop the activity. The method mentioned is a technique that measures the uncomfortness at standing, with this tool the next person was</w:t>
      </w:r>
      <w:r>
        <w:rPr>
          <w:spacing w:val="-26"/>
        </w:rPr>
        <w:t> </w:t>
      </w:r>
      <w:r>
        <w:rPr/>
        <w:t>interviewed.</w:t>
      </w:r>
    </w:p>
    <w:p>
      <w:pPr>
        <w:pStyle w:val="BodyText"/>
        <w:spacing w:before="11"/>
        <w:rPr>
          <w:sz w:val="19"/>
        </w:rPr>
      </w:pPr>
    </w:p>
    <w:p>
      <w:pPr>
        <w:pStyle w:val="BodyText"/>
        <w:ind w:left="270" w:right="677" w:firstLine="567"/>
        <w:jc w:val="both"/>
      </w:pPr>
      <w:r>
        <w:rPr/>
        <w:t>This consists of a map of the human body divided in parts and the person being interviewed must say which body part causes pain while he Works. The interview was realized at the beginning and end of the job in order to have fresh data.</w:t>
      </w:r>
    </w:p>
    <w:p>
      <w:pPr>
        <w:pStyle w:val="BodyText"/>
        <w:spacing w:before="2"/>
        <w:rPr>
          <w:sz w:val="27"/>
        </w:rPr>
      </w:pPr>
      <w:r>
        <w:rPr/>
        <w:drawing>
          <wp:anchor distT="0" distB="0" distL="0" distR="0" allowOverlap="1" layoutInCell="1" locked="0" behindDoc="0" simplePos="0" relativeHeight="17728">
            <wp:simplePos x="0" y="0"/>
            <wp:positionH relativeFrom="page">
              <wp:posOffset>4565903</wp:posOffset>
            </wp:positionH>
            <wp:positionV relativeFrom="paragraph">
              <wp:posOffset>223246</wp:posOffset>
            </wp:positionV>
            <wp:extent cx="2514834" cy="3853338"/>
            <wp:effectExtent l="0" t="0" r="0" b="0"/>
            <wp:wrapTopAndBottom/>
            <wp:docPr id="783" name="image279.png" descr=""/>
            <wp:cNvGraphicFramePr>
              <a:graphicFrameLocks noChangeAspect="1"/>
            </wp:cNvGraphicFramePr>
            <a:graphic>
              <a:graphicData uri="http://schemas.openxmlformats.org/drawingml/2006/picture">
                <pic:pic>
                  <pic:nvPicPr>
                    <pic:cNvPr id="784" name="image279.png"/>
                    <pic:cNvPicPr/>
                  </pic:nvPicPr>
                  <pic:blipFill>
                    <a:blip r:embed="rId469" cstate="print"/>
                    <a:stretch>
                      <a:fillRect/>
                    </a:stretch>
                  </pic:blipFill>
                  <pic:spPr>
                    <a:xfrm>
                      <a:off x="0" y="0"/>
                      <a:ext cx="2514834" cy="3853338"/>
                    </a:xfrm>
                    <a:prstGeom prst="rect">
                      <a:avLst/>
                    </a:prstGeom>
                  </pic:spPr>
                </pic:pic>
              </a:graphicData>
            </a:graphic>
          </wp:anchor>
        </w:drawing>
      </w:r>
    </w:p>
    <w:p>
      <w:pPr>
        <w:pStyle w:val="BodyText"/>
        <w:ind w:left="527" w:right="852"/>
      </w:pPr>
      <w:r>
        <w:rPr/>
        <w:t>Figure1. Map of Body Aches Corlett &amp; Bishop (1976)</w:t>
      </w:r>
    </w:p>
    <w:p>
      <w:pPr>
        <w:pStyle w:val="BodyText"/>
        <w:spacing w:before="2"/>
        <w:rPr>
          <w:sz w:val="18"/>
        </w:rPr>
      </w:pPr>
    </w:p>
    <w:p>
      <w:pPr>
        <w:pStyle w:val="Heading4"/>
        <w:numPr>
          <w:ilvl w:val="1"/>
          <w:numId w:val="155"/>
        </w:numPr>
        <w:tabs>
          <w:tab w:pos="571" w:val="left" w:leader="none"/>
        </w:tabs>
        <w:spacing w:line="240" w:lineRule="auto" w:before="0" w:after="0"/>
        <w:ind w:left="570" w:right="0" w:hanging="300"/>
        <w:jc w:val="both"/>
      </w:pPr>
      <w:r>
        <w:rPr/>
        <w:t>Materials</w:t>
      </w:r>
    </w:p>
    <w:p>
      <w:pPr>
        <w:pStyle w:val="BodyText"/>
        <w:spacing w:before="9"/>
        <w:rPr>
          <w:b/>
          <w:sz w:val="19"/>
        </w:rPr>
      </w:pPr>
    </w:p>
    <w:p>
      <w:pPr>
        <w:pStyle w:val="BodyText"/>
        <w:spacing w:before="1"/>
        <w:ind w:left="270" w:right="675"/>
        <w:jc w:val="both"/>
      </w:pPr>
      <w:r>
        <w:rPr/>
        <w:t>As we realized the investigation we used tools that would make the process easier and accurate, using 20 Corlett and Bishop maps, an HP PAVILION dm4 to process the info recollected, and the program Microsoft Excel, these will facilitate the process to gather accurate info about the specific body parts damaged.</w:t>
      </w:r>
    </w:p>
    <w:p>
      <w:pPr>
        <w:pStyle w:val="BodyText"/>
        <w:spacing w:before="2"/>
      </w:pPr>
    </w:p>
    <w:p>
      <w:pPr>
        <w:pStyle w:val="Heading4"/>
        <w:numPr>
          <w:ilvl w:val="1"/>
          <w:numId w:val="155"/>
        </w:numPr>
        <w:tabs>
          <w:tab w:pos="571" w:val="left" w:leader="none"/>
        </w:tabs>
        <w:spacing w:line="240" w:lineRule="auto" w:before="0" w:after="0"/>
        <w:ind w:left="570" w:right="0" w:hanging="300"/>
        <w:jc w:val="both"/>
      </w:pPr>
      <w:r>
        <w:rPr/>
        <w:t>Method to determine</w:t>
      </w:r>
      <w:r>
        <w:rPr>
          <w:spacing w:val="-16"/>
        </w:rPr>
        <w:t> </w:t>
      </w:r>
      <w:r>
        <w:rPr/>
        <w:t>CDT’s</w:t>
      </w:r>
    </w:p>
    <w:p>
      <w:pPr>
        <w:pStyle w:val="BodyText"/>
        <w:spacing w:before="9"/>
        <w:rPr>
          <w:b/>
          <w:sz w:val="19"/>
        </w:rPr>
      </w:pPr>
    </w:p>
    <w:p>
      <w:pPr>
        <w:pStyle w:val="BodyText"/>
        <w:spacing w:before="1"/>
        <w:ind w:left="270" w:right="677"/>
        <w:jc w:val="both"/>
      </w:pPr>
      <w:r>
        <w:rPr/>
        <w:t>It started by recluting fisherman and going to their job to obtain real data</w:t>
      </w:r>
    </w:p>
    <w:p>
      <w:pPr>
        <w:spacing w:after="0"/>
        <w:jc w:val="both"/>
        <w:sectPr>
          <w:type w:val="continuous"/>
          <w:pgSz w:w="12240" w:h="15840"/>
          <w:pgMar w:top="1500" w:bottom="280" w:left="580" w:right="220"/>
          <w:cols w:num="2" w:equalWidth="0">
            <w:col w:w="5192" w:space="433"/>
            <w:col w:w="5815"/>
          </w:cols>
        </w:sectPr>
      </w:pPr>
    </w:p>
    <w:p>
      <w:pPr>
        <w:pStyle w:val="BodyText"/>
      </w:pPr>
    </w:p>
    <w:p>
      <w:pPr>
        <w:pStyle w:val="BodyText"/>
        <w:spacing w:before="8"/>
        <w:rPr>
          <w:sz w:val="17"/>
        </w:rPr>
      </w:pPr>
    </w:p>
    <w:p>
      <w:pPr>
        <w:pStyle w:val="ListParagraph"/>
        <w:numPr>
          <w:ilvl w:val="0"/>
          <w:numId w:val="156"/>
        </w:numPr>
        <w:tabs>
          <w:tab w:pos="440" w:val="left" w:leader="none"/>
        </w:tabs>
        <w:spacing w:line="240" w:lineRule="auto" w:before="1" w:after="0"/>
        <w:ind w:left="270" w:right="6249" w:firstLine="0"/>
        <w:jc w:val="left"/>
        <w:rPr>
          <w:sz w:val="20"/>
        </w:rPr>
      </w:pPr>
      <w:r>
        <w:rPr>
          <w:sz w:val="20"/>
        </w:rPr>
        <w:t>The person being interviewed was informed about the objective and also in what way it could help</w:t>
      </w:r>
      <w:r>
        <w:rPr>
          <w:spacing w:val="-24"/>
          <w:sz w:val="20"/>
        </w:rPr>
        <w:t> </w:t>
      </w:r>
      <w:r>
        <w:rPr>
          <w:sz w:val="20"/>
        </w:rPr>
        <w:t>him.</w:t>
      </w:r>
    </w:p>
    <w:p>
      <w:pPr>
        <w:pStyle w:val="BodyText"/>
        <w:spacing w:before="5"/>
        <w:rPr>
          <w:sz w:val="13"/>
        </w:rPr>
      </w:pPr>
    </w:p>
    <w:p>
      <w:pPr>
        <w:spacing w:after="0"/>
        <w:rPr>
          <w:sz w:val="13"/>
        </w:rPr>
        <w:sectPr>
          <w:pgSz w:w="12240" w:h="15840"/>
          <w:pgMar w:header="545" w:footer="852" w:top="1060" w:bottom="1040" w:left="580" w:right="220"/>
        </w:sectPr>
      </w:pPr>
    </w:p>
    <w:p>
      <w:pPr>
        <w:pStyle w:val="ListParagraph"/>
        <w:numPr>
          <w:ilvl w:val="0"/>
          <w:numId w:val="156"/>
        </w:numPr>
        <w:tabs>
          <w:tab w:pos="439" w:val="left" w:leader="none"/>
        </w:tabs>
        <w:spacing w:line="240" w:lineRule="auto" w:before="75" w:after="0"/>
        <w:ind w:left="270" w:right="1" w:firstLine="0"/>
        <w:jc w:val="left"/>
        <w:rPr>
          <w:sz w:val="20"/>
        </w:rPr>
      </w:pPr>
      <w:r>
        <w:rPr>
          <w:sz w:val="20"/>
        </w:rPr>
        <w:t>The first day, various info was needed such as their food, tools used, transport, and work</w:t>
      </w:r>
      <w:r>
        <w:rPr>
          <w:spacing w:val="-22"/>
          <w:sz w:val="20"/>
        </w:rPr>
        <w:t> </w:t>
      </w:r>
      <w:r>
        <w:rPr>
          <w:sz w:val="20"/>
        </w:rPr>
        <w:t>conditions.</w:t>
      </w:r>
    </w:p>
    <w:p>
      <w:pPr>
        <w:pStyle w:val="BodyText"/>
        <w:spacing w:before="11"/>
        <w:rPr>
          <w:sz w:val="19"/>
        </w:rPr>
      </w:pPr>
    </w:p>
    <w:p>
      <w:pPr>
        <w:pStyle w:val="ListParagraph"/>
        <w:numPr>
          <w:ilvl w:val="0"/>
          <w:numId w:val="156"/>
        </w:numPr>
        <w:tabs>
          <w:tab w:pos="493" w:val="left" w:leader="none"/>
        </w:tabs>
        <w:spacing w:line="240" w:lineRule="auto" w:before="0" w:after="0"/>
        <w:ind w:left="270" w:right="3" w:firstLine="0"/>
        <w:jc w:val="left"/>
        <w:rPr>
          <w:sz w:val="20"/>
        </w:rPr>
      </w:pPr>
      <w:r>
        <w:rPr>
          <w:sz w:val="20"/>
        </w:rPr>
        <w:t>Realize an evaluation every day during three weeks filling the Corlett and Bishop</w:t>
      </w:r>
      <w:r>
        <w:rPr>
          <w:spacing w:val="-11"/>
          <w:sz w:val="20"/>
        </w:rPr>
        <w:t> </w:t>
      </w:r>
      <w:r>
        <w:rPr>
          <w:sz w:val="20"/>
        </w:rPr>
        <w:t>formats.</w:t>
      </w:r>
    </w:p>
    <w:p>
      <w:pPr>
        <w:pStyle w:val="BodyText"/>
        <w:spacing w:before="11"/>
        <w:rPr>
          <w:sz w:val="19"/>
        </w:rPr>
      </w:pPr>
    </w:p>
    <w:p>
      <w:pPr>
        <w:pStyle w:val="ListParagraph"/>
        <w:numPr>
          <w:ilvl w:val="0"/>
          <w:numId w:val="156"/>
        </w:numPr>
        <w:tabs>
          <w:tab w:pos="503" w:val="left" w:leader="none"/>
        </w:tabs>
        <w:spacing w:line="240" w:lineRule="auto" w:before="0" w:after="0"/>
        <w:ind w:left="270" w:right="1" w:firstLine="0"/>
        <w:jc w:val="left"/>
        <w:rPr>
          <w:sz w:val="20"/>
        </w:rPr>
      </w:pPr>
      <w:r>
        <w:rPr>
          <w:sz w:val="20"/>
        </w:rPr>
        <w:t>Realize a conclusion on Excel of the answers to make an analysis so we could obtain</w:t>
      </w:r>
      <w:r>
        <w:rPr>
          <w:spacing w:val="-12"/>
          <w:sz w:val="20"/>
        </w:rPr>
        <w:t> </w:t>
      </w:r>
      <w:r>
        <w:rPr>
          <w:sz w:val="20"/>
        </w:rPr>
        <w:t>results.</w:t>
      </w:r>
    </w:p>
    <w:p>
      <w:pPr>
        <w:pStyle w:val="BodyText"/>
        <w:spacing w:before="11"/>
        <w:rPr>
          <w:sz w:val="19"/>
        </w:rPr>
      </w:pPr>
    </w:p>
    <w:p>
      <w:pPr>
        <w:pStyle w:val="ListParagraph"/>
        <w:numPr>
          <w:ilvl w:val="0"/>
          <w:numId w:val="156"/>
        </w:numPr>
        <w:tabs>
          <w:tab w:pos="439" w:val="left" w:leader="none"/>
        </w:tabs>
        <w:spacing w:line="240" w:lineRule="auto" w:before="0" w:after="0"/>
        <w:ind w:left="270" w:right="0" w:firstLine="0"/>
        <w:jc w:val="both"/>
        <w:rPr>
          <w:sz w:val="20"/>
        </w:rPr>
      </w:pPr>
      <w:r>
        <w:rPr>
          <w:sz w:val="20"/>
        </w:rPr>
        <w:t>Analyze the results obtained from the conclusion and interpret so we could suggest the recommendations of the studio.</w:t>
      </w:r>
    </w:p>
    <w:p>
      <w:pPr>
        <w:pStyle w:val="BodyText"/>
        <w:spacing w:before="2"/>
      </w:pPr>
    </w:p>
    <w:p>
      <w:pPr>
        <w:pStyle w:val="ListParagraph"/>
        <w:numPr>
          <w:ilvl w:val="0"/>
          <w:numId w:val="153"/>
        </w:numPr>
        <w:tabs>
          <w:tab w:pos="473" w:val="left" w:leader="none"/>
        </w:tabs>
        <w:spacing w:line="240" w:lineRule="auto" w:before="0" w:after="0"/>
        <w:ind w:left="472" w:right="0" w:hanging="202"/>
        <w:jc w:val="left"/>
        <w:rPr>
          <w:b/>
          <w:sz w:val="22"/>
        </w:rPr>
      </w:pPr>
      <w:r>
        <w:rPr>
          <w:b/>
          <w:sz w:val="22"/>
        </w:rPr>
        <w:t>Results</w:t>
      </w:r>
    </w:p>
    <w:p>
      <w:pPr>
        <w:pStyle w:val="BodyText"/>
        <w:spacing w:before="8"/>
        <w:rPr>
          <w:b/>
        </w:rPr>
      </w:pPr>
    </w:p>
    <w:p>
      <w:pPr>
        <w:pStyle w:val="Heading4"/>
        <w:numPr>
          <w:ilvl w:val="1"/>
          <w:numId w:val="157"/>
        </w:numPr>
        <w:tabs>
          <w:tab w:pos="571" w:val="left" w:leader="none"/>
        </w:tabs>
        <w:spacing w:line="240" w:lineRule="auto" w:before="0" w:after="0"/>
        <w:ind w:left="570" w:right="0" w:hanging="300"/>
        <w:jc w:val="left"/>
      </w:pPr>
      <w:r>
        <w:rPr/>
        <w:t>Determination of CDT’s</w:t>
      </w:r>
    </w:p>
    <w:p>
      <w:pPr>
        <w:pStyle w:val="BodyText"/>
        <w:spacing w:before="2"/>
        <w:rPr>
          <w:b/>
        </w:rPr>
      </w:pPr>
    </w:p>
    <w:p>
      <w:pPr>
        <w:pStyle w:val="BodyText"/>
        <w:ind w:left="270"/>
        <w:jc w:val="both"/>
      </w:pPr>
      <w:r>
        <w:rPr/>
        <w:t>The tests realized show results about the actual situation of the fishermen, they show positive signs for DTA’S in the shoulders and back. talking about the determination of  DTAS it shows that all interviewed are men, according to the determination of fatigue caused by physical problems it shows that 65 percent of the fishermen are older than 35.  And 35 percent are younger.40 percent work from 10 to 12 hours, 60 percent from 12 to 18 hours.50 percent work from Monday to Friday, the rest work all week.90 percent of the employees feel tired during work and the other ten percent don’t. They were also</w:t>
      </w:r>
      <w:r>
        <w:rPr>
          <w:spacing w:val="-13"/>
        </w:rPr>
        <w:t> </w:t>
      </w:r>
      <w:r>
        <w:rPr/>
        <w:t>questioned</w:t>
      </w:r>
    </w:p>
    <w:p>
      <w:pPr>
        <w:pStyle w:val="BodyText"/>
        <w:spacing w:before="3"/>
      </w:pPr>
    </w:p>
    <w:p>
      <w:pPr>
        <w:pStyle w:val="Heading4"/>
        <w:numPr>
          <w:ilvl w:val="1"/>
          <w:numId w:val="157"/>
        </w:numPr>
        <w:tabs>
          <w:tab w:pos="572" w:val="left" w:leader="none"/>
        </w:tabs>
        <w:spacing w:line="240" w:lineRule="auto" w:before="0" w:after="0"/>
        <w:ind w:left="571" w:right="0" w:hanging="301"/>
        <w:jc w:val="left"/>
      </w:pPr>
      <w:r>
        <w:rPr/>
        <w:t>Principal activity´s fisherman do during</w:t>
      </w:r>
      <w:r>
        <w:rPr>
          <w:spacing w:val="-13"/>
        </w:rPr>
        <w:t> </w:t>
      </w:r>
      <w:r>
        <w:rPr/>
        <w:t>work</w:t>
      </w:r>
    </w:p>
    <w:p>
      <w:pPr>
        <w:pStyle w:val="BodyText"/>
        <w:spacing w:before="8"/>
        <w:rPr>
          <w:b/>
          <w:sz w:val="19"/>
        </w:rPr>
      </w:pPr>
    </w:p>
    <w:p>
      <w:pPr>
        <w:pStyle w:val="ListParagraph"/>
        <w:numPr>
          <w:ilvl w:val="0"/>
          <w:numId w:val="158"/>
        </w:numPr>
        <w:tabs>
          <w:tab w:pos="697" w:val="left" w:leader="none"/>
        </w:tabs>
        <w:spacing w:line="240" w:lineRule="auto" w:before="0" w:after="0"/>
        <w:ind w:left="696" w:right="1" w:hanging="360"/>
        <w:jc w:val="left"/>
        <w:rPr>
          <w:sz w:val="20"/>
        </w:rPr>
      </w:pPr>
      <w:r>
        <w:rPr>
          <w:sz w:val="20"/>
        </w:rPr>
        <w:t>Introduce the plomadas in the sea, with their respective churupas</w:t>
      </w:r>
    </w:p>
    <w:p>
      <w:pPr>
        <w:pStyle w:val="ListParagraph"/>
        <w:numPr>
          <w:ilvl w:val="0"/>
          <w:numId w:val="158"/>
        </w:numPr>
        <w:tabs>
          <w:tab w:pos="697" w:val="left" w:leader="none"/>
        </w:tabs>
        <w:spacing w:line="229" w:lineRule="exact" w:before="0" w:after="0"/>
        <w:ind w:left="696" w:right="0" w:hanging="360"/>
        <w:jc w:val="left"/>
        <w:rPr>
          <w:sz w:val="20"/>
        </w:rPr>
      </w:pPr>
      <w:r>
        <w:rPr>
          <w:sz w:val="20"/>
        </w:rPr>
        <w:t>Manual opening of bamboo to open the art of</w:t>
      </w:r>
      <w:r>
        <w:rPr>
          <w:spacing w:val="-20"/>
          <w:sz w:val="20"/>
        </w:rPr>
        <w:t> </w:t>
      </w:r>
      <w:r>
        <w:rPr>
          <w:sz w:val="20"/>
        </w:rPr>
        <w:t>fishing.</w:t>
      </w:r>
    </w:p>
    <w:p>
      <w:pPr>
        <w:pStyle w:val="ListParagraph"/>
        <w:numPr>
          <w:ilvl w:val="0"/>
          <w:numId w:val="158"/>
        </w:numPr>
        <w:tabs>
          <w:tab w:pos="697" w:val="left" w:leader="none"/>
        </w:tabs>
        <w:spacing w:line="240" w:lineRule="auto" w:before="0" w:after="0"/>
        <w:ind w:left="696" w:right="0" w:hanging="360"/>
        <w:jc w:val="left"/>
        <w:rPr>
          <w:sz w:val="20"/>
        </w:rPr>
      </w:pPr>
      <w:r>
        <w:rPr>
          <w:sz w:val="20"/>
        </w:rPr>
        <w:t>Calibrate that all the charupas are at thesame</w:t>
      </w:r>
      <w:r>
        <w:rPr>
          <w:spacing w:val="-30"/>
          <w:sz w:val="20"/>
        </w:rPr>
        <w:t> </w:t>
      </w:r>
      <w:r>
        <w:rPr>
          <w:sz w:val="20"/>
        </w:rPr>
        <w:t>level.</w:t>
      </w:r>
    </w:p>
    <w:p>
      <w:pPr>
        <w:pStyle w:val="ListParagraph"/>
        <w:numPr>
          <w:ilvl w:val="0"/>
          <w:numId w:val="158"/>
        </w:numPr>
        <w:tabs>
          <w:tab w:pos="697" w:val="left" w:leader="none"/>
        </w:tabs>
        <w:spacing w:line="240" w:lineRule="auto" w:before="0" w:after="0"/>
        <w:ind w:left="696" w:right="0" w:hanging="360"/>
        <w:jc w:val="left"/>
        <w:rPr>
          <w:sz w:val="20"/>
        </w:rPr>
      </w:pPr>
      <w:r>
        <w:rPr>
          <w:sz w:val="20"/>
        </w:rPr>
        <w:t>Pick up the plomada so you can take out the nets with their respective species</w:t>
      </w:r>
    </w:p>
    <w:p>
      <w:pPr>
        <w:pStyle w:val="ListParagraph"/>
        <w:numPr>
          <w:ilvl w:val="0"/>
          <w:numId w:val="158"/>
        </w:numPr>
        <w:tabs>
          <w:tab w:pos="697" w:val="left" w:leader="none"/>
        </w:tabs>
        <w:spacing w:line="240" w:lineRule="auto" w:before="0" w:after="0"/>
        <w:ind w:left="696" w:right="0" w:hanging="360"/>
        <w:jc w:val="left"/>
        <w:rPr>
          <w:sz w:val="20"/>
        </w:rPr>
      </w:pPr>
      <w:r>
        <w:rPr>
          <w:sz w:val="20"/>
        </w:rPr>
        <w:t>Pick up the churupa with the species with your</w:t>
      </w:r>
      <w:r>
        <w:rPr>
          <w:spacing w:val="-32"/>
          <w:sz w:val="20"/>
        </w:rPr>
        <w:t> </w:t>
      </w:r>
      <w:r>
        <w:rPr>
          <w:sz w:val="20"/>
        </w:rPr>
        <w:t>hands.</w:t>
      </w:r>
    </w:p>
    <w:p>
      <w:pPr>
        <w:pStyle w:val="ListParagraph"/>
        <w:numPr>
          <w:ilvl w:val="0"/>
          <w:numId w:val="158"/>
        </w:numPr>
        <w:tabs>
          <w:tab w:pos="697" w:val="left" w:leader="none"/>
        </w:tabs>
        <w:spacing w:line="240" w:lineRule="auto" w:before="0" w:after="0"/>
        <w:ind w:left="696" w:right="0" w:hanging="360"/>
        <w:jc w:val="left"/>
        <w:rPr>
          <w:sz w:val="20"/>
        </w:rPr>
      </w:pPr>
      <w:r>
        <w:rPr>
          <w:sz w:val="20"/>
        </w:rPr>
        <w:t>Clean</w:t>
      </w:r>
      <w:r>
        <w:rPr>
          <w:spacing w:val="34"/>
          <w:sz w:val="20"/>
        </w:rPr>
        <w:t> </w:t>
      </w:r>
      <w:r>
        <w:rPr>
          <w:sz w:val="20"/>
        </w:rPr>
        <w:t>the</w:t>
      </w:r>
      <w:r>
        <w:rPr>
          <w:spacing w:val="34"/>
          <w:sz w:val="20"/>
        </w:rPr>
        <w:t> </w:t>
      </w:r>
      <w:r>
        <w:rPr>
          <w:sz w:val="20"/>
        </w:rPr>
        <w:t>nets</w:t>
      </w:r>
      <w:r>
        <w:rPr>
          <w:spacing w:val="33"/>
          <w:sz w:val="20"/>
        </w:rPr>
        <w:t> </w:t>
      </w:r>
      <w:r>
        <w:rPr>
          <w:sz w:val="20"/>
        </w:rPr>
        <w:t>so</w:t>
      </w:r>
      <w:r>
        <w:rPr>
          <w:spacing w:val="34"/>
          <w:sz w:val="20"/>
        </w:rPr>
        <w:t> </w:t>
      </w:r>
      <w:r>
        <w:rPr>
          <w:sz w:val="20"/>
        </w:rPr>
        <w:t>you</w:t>
      </w:r>
      <w:r>
        <w:rPr>
          <w:spacing w:val="34"/>
          <w:sz w:val="20"/>
        </w:rPr>
        <w:t> </w:t>
      </w:r>
      <w:r>
        <w:rPr>
          <w:sz w:val="20"/>
        </w:rPr>
        <w:t>can</w:t>
      </w:r>
      <w:r>
        <w:rPr>
          <w:spacing w:val="34"/>
          <w:sz w:val="20"/>
        </w:rPr>
        <w:t> </w:t>
      </w:r>
      <w:r>
        <w:rPr>
          <w:sz w:val="20"/>
        </w:rPr>
        <w:t>put</w:t>
      </w:r>
      <w:r>
        <w:rPr>
          <w:spacing w:val="34"/>
          <w:sz w:val="20"/>
        </w:rPr>
        <w:t> </w:t>
      </w:r>
      <w:r>
        <w:rPr>
          <w:sz w:val="20"/>
        </w:rPr>
        <w:t>them</w:t>
      </w:r>
      <w:r>
        <w:rPr>
          <w:spacing w:val="32"/>
          <w:sz w:val="20"/>
        </w:rPr>
        <w:t> </w:t>
      </w:r>
      <w:r>
        <w:rPr>
          <w:sz w:val="20"/>
        </w:rPr>
        <w:t>back</w:t>
      </w:r>
      <w:r>
        <w:rPr>
          <w:spacing w:val="33"/>
          <w:sz w:val="20"/>
        </w:rPr>
        <w:t> </w:t>
      </w:r>
      <w:r>
        <w:rPr>
          <w:sz w:val="20"/>
        </w:rPr>
        <w:t>in</w:t>
      </w:r>
      <w:r>
        <w:rPr>
          <w:spacing w:val="34"/>
          <w:sz w:val="20"/>
        </w:rPr>
        <w:t> </w:t>
      </w:r>
      <w:r>
        <w:rPr>
          <w:sz w:val="20"/>
        </w:rPr>
        <w:t>the</w:t>
      </w:r>
      <w:r>
        <w:rPr>
          <w:spacing w:val="34"/>
          <w:sz w:val="20"/>
        </w:rPr>
        <w:t> </w:t>
      </w:r>
      <w:r>
        <w:rPr>
          <w:sz w:val="20"/>
        </w:rPr>
        <w:t>sea.</w:t>
      </w:r>
    </w:p>
    <w:p>
      <w:pPr>
        <w:pStyle w:val="BodyText"/>
        <w:spacing w:before="11"/>
        <w:rPr>
          <w:sz w:val="19"/>
        </w:rPr>
      </w:pPr>
    </w:p>
    <w:p>
      <w:pPr>
        <w:pStyle w:val="ListParagraph"/>
        <w:numPr>
          <w:ilvl w:val="0"/>
          <w:numId w:val="158"/>
        </w:numPr>
        <w:tabs>
          <w:tab w:pos="697" w:val="left" w:leader="none"/>
        </w:tabs>
        <w:spacing w:line="240" w:lineRule="auto" w:before="0" w:after="0"/>
        <w:ind w:left="696" w:right="1" w:hanging="360"/>
        <w:jc w:val="left"/>
        <w:rPr>
          <w:sz w:val="20"/>
        </w:rPr>
      </w:pPr>
      <w:r>
        <w:rPr>
          <w:sz w:val="20"/>
        </w:rPr>
        <w:t>Classify the species so you can throw back the ones you don’t</w:t>
      </w:r>
      <w:r>
        <w:rPr>
          <w:spacing w:val="-4"/>
          <w:sz w:val="20"/>
        </w:rPr>
        <w:t> </w:t>
      </w:r>
      <w:r>
        <w:rPr>
          <w:sz w:val="20"/>
        </w:rPr>
        <w:t>need.</w:t>
      </w:r>
    </w:p>
    <w:p>
      <w:pPr>
        <w:pStyle w:val="ListParagraph"/>
        <w:numPr>
          <w:ilvl w:val="0"/>
          <w:numId w:val="158"/>
        </w:numPr>
        <w:tabs>
          <w:tab w:pos="697" w:val="left" w:leader="none"/>
        </w:tabs>
        <w:spacing w:line="240" w:lineRule="auto" w:before="0" w:after="0"/>
        <w:ind w:left="696" w:right="0" w:hanging="360"/>
        <w:jc w:val="left"/>
        <w:rPr>
          <w:sz w:val="20"/>
        </w:rPr>
      </w:pPr>
      <w:r>
        <w:rPr>
          <w:sz w:val="20"/>
        </w:rPr>
        <w:t>Take the head off of the</w:t>
      </w:r>
      <w:r>
        <w:rPr>
          <w:spacing w:val="-22"/>
          <w:sz w:val="20"/>
        </w:rPr>
        <w:t> </w:t>
      </w:r>
      <w:r>
        <w:rPr>
          <w:sz w:val="20"/>
        </w:rPr>
        <w:t>crustacean.</w:t>
      </w:r>
    </w:p>
    <w:p>
      <w:pPr>
        <w:pStyle w:val="ListParagraph"/>
        <w:numPr>
          <w:ilvl w:val="0"/>
          <w:numId w:val="158"/>
        </w:numPr>
        <w:tabs>
          <w:tab w:pos="697" w:val="left" w:leader="none"/>
        </w:tabs>
        <w:spacing w:line="230" w:lineRule="exact" w:before="0" w:after="0"/>
        <w:ind w:left="696" w:right="0" w:hanging="360"/>
        <w:jc w:val="left"/>
        <w:rPr>
          <w:sz w:val="20"/>
        </w:rPr>
      </w:pPr>
      <w:r>
        <w:rPr>
          <w:sz w:val="20"/>
        </w:rPr>
        <w:t>Put the shrimp in</w:t>
      </w:r>
      <w:r>
        <w:rPr>
          <w:spacing w:val="-10"/>
          <w:sz w:val="20"/>
        </w:rPr>
        <w:t> </w:t>
      </w:r>
      <w:r>
        <w:rPr>
          <w:sz w:val="20"/>
        </w:rPr>
        <w:t>ice.</w:t>
      </w:r>
    </w:p>
    <w:p>
      <w:pPr>
        <w:pStyle w:val="ListParagraph"/>
        <w:numPr>
          <w:ilvl w:val="0"/>
          <w:numId w:val="158"/>
        </w:numPr>
        <w:tabs>
          <w:tab w:pos="697" w:val="left" w:leader="none"/>
        </w:tabs>
        <w:spacing w:line="240" w:lineRule="auto" w:before="0" w:after="0"/>
        <w:ind w:left="696" w:right="1" w:hanging="360"/>
        <w:jc w:val="left"/>
        <w:rPr>
          <w:sz w:val="20"/>
        </w:rPr>
      </w:pPr>
      <w:r>
        <w:rPr>
          <w:sz w:val="20"/>
        </w:rPr>
        <w:t>Put the coolers in order so they don’t bother at the moment you are</w:t>
      </w:r>
      <w:r>
        <w:rPr>
          <w:spacing w:val="-10"/>
          <w:sz w:val="20"/>
        </w:rPr>
        <w:t> </w:t>
      </w:r>
      <w:r>
        <w:rPr>
          <w:sz w:val="20"/>
        </w:rPr>
        <w:t>working.</w:t>
      </w:r>
    </w:p>
    <w:p>
      <w:pPr>
        <w:pStyle w:val="ListParagraph"/>
        <w:numPr>
          <w:ilvl w:val="0"/>
          <w:numId w:val="158"/>
        </w:numPr>
        <w:tabs>
          <w:tab w:pos="697" w:val="left" w:leader="none"/>
        </w:tabs>
        <w:spacing w:line="240" w:lineRule="auto" w:before="0" w:after="0"/>
        <w:ind w:left="696" w:right="0" w:hanging="360"/>
        <w:jc w:val="left"/>
        <w:rPr>
          <w:sz w:val="20"/>
        </w:rPr>
      </w:pPr>
      <w:r>
        <w:rPr>
          <w:sz w:val="20"/>
        </w:rPr>
        <w:t>Clean the</w:t>
      </w:r>
      <w:r>
        <w:rPr>
          <w:spacing w:val="-1"/>
          <w:sz w:val="20"/>
        </w:rPr>
        <w:t> </w:t>
      </w:r>
      <w:r>
        <w:rPr>
          <w:sz w:val="20"/>
        </w:rPr>
        <w:t>panga.</w:t>
      </w:r>
    </w:p>
    <w:p>
      <w:pPr>
        <w:pStyle w:val="Heading4"/>
        <w:numPr>
          <w:ilvl w:val="1"/>
          <w:numId w:val="157"/>
        </w:numPr>
        <w:tabs>
          <w:tab w:pos="602" w:val="left" w:leader="none"/>
        </w:tabs>
        <w:spacing w:line="240" w:lineRule="auto" w:before="77" w:after="0"/>
        <w:ind w:left="602" w:right="0" w:hanging="332"/>
        <w:jc w:val="left"/>
        <w:rPr>
          <w:sz w:val="22"/>
        </w:rPr>
      </w:pPr>
      <w:r>
        <w:rPr>
          <w:spacing w:val="-1"/>
          <w:w w:val="100"/>
        </w:rPr>
        <w:br w:type="column"/>
      </w:r>
      <w:r>
        <w:rPr/>
        <w:t>General study developed to</w:t>
      </w:r>
      <w:r>
        <w:rPr>
          <w:spacing w:val="-26"/>
        </w:rPr>
        <w:t> </w:t>
      </w:r>
      <w:r>
        <w:rPr/>
        <w:t>fishermen</w:t>
      </w:r>
    </w:p>
    <w:p>
      <w:pPr>
        <w:pStyle w:val="BodyText"/>
        <w:spacing w:before="10"/>
        <w:rPr>
          <w:b/>
          <w:sz w:val="16"/>
        </w:rPr>
      </w:pPr>
      <w:r>
        <w:rPr/>
        <w:drawing>
          <wp:anchor distT="0" distB="0" distL="0" distR="0" allowOverlap="1" layoutInCell="1" locked="0" behindDoc="0" simplePos="0" relativeHeight="17752">
            <wp:simplePos x="0" y="0"/>
            <wp:positionH relativeFrom="page">
              <wp:posOffset>4297679</wp:posOffset>
            </wp:positionH>
            <wp:positionV relativeFrom="paragraph">
              <wp:posOffset>148089</wp:posOffset>
            </wp:positionV>
            <wp:extent cx="2676681" cy="1830228"/>
            <wp:effectExtent l="0" t="0" r="0" b="0"/>
            <wp:wrapTopAndBottom/>
            <wp:docPr id="785" name="image438.png" descr=""/>
            <wp:cNvGraphicFramePr>
              <a:graphicFrameLocks noChangeAspect="1"/>
            </wp:cNvGraphicFramePr>
            <a:graphic>
              <a:graphicData uri="http://schemas.openxmlformats.org/drawingml/2006/picture">
                <pic:pic>
                  <pic:nvPicPr>
                    <pic:cNvPr id="786" name="image438.png"/>
                    <pic:cNvPicPr/>
                  </pic:nvPicPr>
                  <pic:blipFill>
                    <a:blip r:embed="rId706" cstate="print"/>
                    <a:stretch>
                      <a:fillRect/>
                    </a:stretch>
                  </pic:blipFill>
                  <pic:spPr>
                    <a:xfrm>
                      <a:off x="0" y="0"/>
                      <a:ext cx="2676681" cy="1830228"/>
                    </a:xfrm>
                    <a:prstGeom prst="rect">
                      <a:avLst/>
                    </a:prstGeom>
                  </pic:spPr>
                </pic:pic>
              </a:graphicData>
            </a:graphic>
          </wp:anchor>
        </w:drawing>
      </w:r>
    </w:p>
    <w:p>
      <w:pPr>
        <w:pStyle w:val="BodyText"/>
        <w:spacing w:before="12"/>
        <w:ind w:left="294" w:right="701"/>
        <w:jc w:val="center"/>
      </w:pPr>
      <w:r>
        <w:rPr/>
        <w:t>Figure 3. Age of fishermen</w:t>
      </w:r>
    </w:p>
    <w:p>
      <w:pPr>
        <w:pStyle w:val="BodyText"/>
        <w:spacing w:before="11"/>
        <w:rPr>
          <w:sz w:val="19"/>
        </w:rPr>
      </w:pPr>
    </w:p>
    <w:p>
      <w:pPr>
        <w:pStyle w:val="BodyText"/>
        <w:ind w:left="270" w:right="676" w:firstLine="567"/>
        <w:jc w:val="both"/>
      </w:pPr>
      <w:r>
        <w:rPr/>
        <w:t>In the figure 3 above, we can see that the average age of workers are older than 35 years with a 65 %.</w:t>
      </w:r>
    </w:p>
    <w:p>
      <w:pPr>
        <w:pStyle w:val="BodyText"/>
        <w:spacing w:before="1"/>
        <w:rPr>
          <w:sz w:val="17"/>
        </w:rPr>
      </w:pPr>
      <w:r>
        <w:rPr/>
        <w:drawing>
          <wp:anchor distT="0" distB="0" distL="0" distR="0" allowOverlap="1" layoutInCell="1" locked="0" behindDoc="0" simplePos="0" relativeHeight="17776">
            <wp:simplePos x="0" y="0"/>
            <wp:positionH relativeFrom="page">
              <wp:posOffset>4114800</wp:posOffset>
            </wp:positionH>
            <wp:positionV relativeFrom="paragraph">
              <wp:posOffset>150076</wp:posOffset>
            </wp:positionV>
            <wp:extent cx="3044623" cy="1830228"/>
            <wp:effectExtent l="0" t="0" r="0" b="0"/>
            <wp:wrapTopAndBottom/>
            <wp:docPr id="787" name="image439.png" descr=""/>
            <wp:cNvGraphicFramePr>
              <a:graphicFrameLocks noChangeAspect="1"/>
            </wp:cNvGraphicFramePr>
            <a:graphic>
              <a:graphicData uri="http://schemas.openxmlformats.org/drawingml/2006/picture">
                <pic:pic>
                  <pic:nvPicPr>
                    <pic:cNvPr id="788" name="image439.png"/>
                    <pic:cNvPicPr/>
                  </pic:nvPicPr>
                  <pic:blipFill>
                    <a:blip r:embed="rId707" cstate="print"/>
                    <a:stretch>
                      <a:fillRect/>
                    </a:stretch>
                  </pic:blipFill>
                  <pic:spPr>
                    <a:xfrm>
                      <a:off x="0" y="0"/>
                      <a:ext cx="3044623" cy="1830228"/>
                    </a:xfrm>
                    <a:prstGeom prst="rect">
                      <a:avLst/>
                    </a:prstGeom>
                  </pic:spPr>
                </pic:pic>
              </a:graphicData>
            </a:graphic>
          </wp:anchor>
        </w:drawing>
      </w:r>
    </w:p>
    <w:p>
      <w:pPr>
        <w:pStyle w:val="BodyText"/>
        <w:spacing w:before="10"/>
        <w:ind w:left="295" w:right="700"/>
        <w:jc w:val="center"/>
      </w:pPr>
      <w:r>
        <w:rPr/>
        <w:t>Figure 4. Daily working hours per day</w:t>
      </w:r>
    </w:p>
    <w:p>
      <w:pPr>
        <w:pStyle w:val="BodyText"/>
        <w:spacing w:before="10"/>
        <w:rPr>
          <w:sz w:val="21"/>
        </w:rPr>
      </w:pPr>
    </w:p>
    <w:p>
      <w:pPr>
        <w:pStyle w:val="BodyText"/>
        <w:spacing w:before="1"/>
        <w:ind w:left="270" w:right="675" w:firstLine="567"/>
        <w:jc w:val="both"/>
      </w:pPr>
      <w:r>
        <w:rPr/>
        <w:t>In Figure 4 represent the hours of fishermen work daily with an average of between 12 and 18 hours per day in each fisherman , giving birth at dawn and returning at dusk.</w:t>
      </w:r>
    </w:p>
    <w:p>
      <w:pPr>
        <w:spacing w:after="0"/>
        <w:jc w:val="both"/>
        <w:sectPr>
          <w:type w:val="continuous"/>
          <w:pgSz w:w="12240" w:h="15840"/>
          <w:pgMar w:top="1500" w:bottom="280" w:left="580" w:right="220"/>
          <w:cols w:num="2" w:equalWidth="0">
            <w:col w:w="5191" w:space="433"/>
            <w:col w:w="5816"/>
          </w:cols>
        </w:sectPr>
      </w:pPr>
    </w:p>
    <w:p>
      <w:pPr>
        <w:pStyle w:val="BodyText"/>
        <w:spacing w:before="5"/>
        <w:rPr>
          <w:sz w:val="13"/>
        </w:rPr>
      </w:pPr>
    </w:p>
    <w:p>
      <w:pPr>
        <w:pStyle w:val="BodyText"/>
        <w:spacing w:before="75"/>
        <w:ind w:left="838" w:right="1218"/>
      </w:pPr>
      <w:r>
        <w:rPr/>
        <w:drawing>
          <wp:anchor distT="0" distB="0" distL="0" distR="0" allowOverlap="1" layoutInCell="1" locked="0" behindDoc="1" simplePos="0" relativeHeight="267574439">
            <wp:simplePos x="0" y="0"/>
            <wp:positionH relativeFrom="page">
              <wp:posOffset>4114800</wp:posOffset>
            </wp:positionH>
            <wp:positionV relativeFrom="paragraph">
              <wp:posOffset>-1310545</wp:posOffset>
            </wp:positionV>
            <wp:extent cx="3089148" cy="1857756"/>
            <wp:effectExtent l="0" t="0" r="0" b="0"/>
            <wp:wrapNone/>
            <wp:docPr id="789" name="image440.jpeg" descr=""/>
            <wp:cNvGraphicFramePr>
              <a:graphicFrameLocks noChangeAspect="1"/>
            </wp:cNvGraphicFramePr>
            <a:graphic>
              <a:graphicData uri="http://schemas.openxmlformats.org/drawingml/2006/picture">
                <pic:pic>
                  <pic:nvPicPr>
                    <pic:cNvPr id="790" name="image440.jpeg"/>
                    <pic:cNvPicPr/>
                  </pic:nvPicPr>
                  <pic:blipFill>
                    <a:blip r:embed="rId708" cstate="print"/>
                    <a:stretch>
                      <a:fillRect/>
                    </a:stretch>
                  </pic:blipFill>
                  <pic:spPr>
                    <a:xfrm>
                      <a:off x="0" y="0"/>
                      <a:ext cx="3089148" cy="1857756"/>
                    </a:xfrm>
                    <a:prstGeom prst="rect">
                      <a:avLst/>
                    </a:prstGeom>
                  </pic:spPr>
                </pic:pic>
              </a:graphicData>
            </a:graphic>
          </wp:anchor>
        </w:drawing>
      </w:r>
      <w:r>
        <w:rPr/>
        <w:t>The  last  points  are  repeated  approximately    every</w:t>
      </w:r>
    </w:p>
    <w:p>
      <w:pPr>
        <w:pStyle w:val="BodyText"/>
        <w:ind w:left="270" w:right="6276"/>
      </w:pPr>
      <w:r>
        <w:rPr/>
        <w:t>hour.</w:t>
      </w:r>
    </w:p>
    <w:p>
      <w:pPr>
        <w:pStyle w:val="BodyText"/>
        <w:spacing w:before="5"/>
        <w:rPr>
          <w:sz w:val="13"/>
        </w:rPr>
      </w:pPr>
    </w:p>
    <w:p>
      <w:pPr>
        <w:spacing w:after="0"/>
        <w:rPr>
          <w:sz w:val="13"/>
        </w:rPr>
        <w:sectPr>
          <w:type w:val="continuous"/>
          <w:pgSz w:w="12240" w:h="15840"/>
          <w:pgMar w:top="1500" w:bottom="280" w:left="580" w:right="220"/>
        </w:sectPr>
      </w:pPr>
    </w:p>
    <w:p>
      <w:pPr>
        <w:pStyle w:val="BodyText"/>
        <w:spacing w:before="75"/>
        <w:ind w:left="630" w:hanging="360"/>
      </w:pPr>
      <w:r>
        <w:rPr/>
        <w:t>12. Pick up the coolers and take them to a place for the respective sale.</w:t>
      </w:r>
    </w:p>
    <w:p>
      <w:pPr>
        <w:pStyle w:val="BodyText"/>
        <w:spacing w:before="168"/>
        <w:ind w:left="1295"/>
      </w:pPr>
      <w:r>
        <w:rPr/>
        <w:br w:type="column"/>
      </w:r>
      <w:r>
        <w:rPr/>
        <w:t>Figure 5. Days worked in the week</w:t>
      </w:r>
    </w:p>
    <w:p>
      <w:pPr>
        <w:spacing w:after="0"/>
        <w:sectPr>
          <w:type w:val="continuous"/>
          <w:pgSz w:w="12240" w:h="15840"/>
          <w:pgMar w:top="1500" w:bottom="280" w:left="580" w:right="220"/>
          <w:cols w:num="2" w:equalWidth="0">
            <w:col w:w="5189" w:space="441"/>
            <w:col w:w="5810"/>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4"/>
        <w:ind w:left="270" w:right="1" w:firstLine="567"/>
        <w:jc w:val="both"/>
      </w:pPr>
      <w:r>
        <w:rPr/>
        <w:t>In labor days must be equals the percentage of  persons fishermen working Monday-Friday those working Monday- Saturday with 50%</w:t>
      </w:r>
      <w:r>
        <w:rPr>
          <w:spacing w:val="-15"/>
        </w:rPr>
        <w:t> </w:t>
      </w:r>
      <w:r>
        <w:rPr/>
        <w:t>both</w:t>
      </w:r>
    </w:p>
    <w:p>
      <w:pPr>
        <w:pStyle w:val="BodyText"/>
        <w:ind w:left="303"/>
      </w:pPr>
      <w:r>
        <w:rPr/>
        <w:drawing>
          <wp:inline distT="0" distB="0" distL="0" distR="0">
            <wp:extent cx="3041619" cy="1830228"/>
            <wp:effectExtent l="0" t="0" r="0" b="0"/>
            <wp:docPr id="791" name="image441.png" descr=""/>
            <wp:cNvGraphicFramePr>
              <a:graphicFrameLocks noChangeAspect="1"/>
            </wp:cNvGraphicFramePr>
            <a:graphic>
              <a:graphicData uri="http://schemas.openxmlformats.org/drawingml/2006/picture">
                <pic:pic>
                  <pic:nvPicPr>
                    <pic:cNvPr id="792" name="image441.png"/>
                    <pic:cNvPicPr/>
                  </pic:nvPicPr>
                  <pic:blipFill>
                    <a:blip r:embed="rId709" cstate="print"/>
                    <a:stretch>
                      <a:fillRect/>
                    </a:stretch>
                  </pic:blipFill>
                  <pic:spPr>
                    <a:xfrm>
                      <a:off x="0" y="0"/>
                      <a:ext cx="3041619" cy="1830228"/>
                    </a:xfrm>
                    <a:prstGeom prst="rect">
                      <a:avLst/>
                    </a:prstGeom>
                  </pic:spPr>
                </pic:pic>
              </a:graphicData>
            </a:graphic>
          </wp:inline>
        </w:drawing>
      </w:r>
      <w:r>
        <w:rPr/>
      </w:r>
    </w:p>
    <w:p>
      <w:pPr>
        <w:pStyle w:val="BodyText"/>
        <w:spacing w:before="45"/>
        <w:ind w:left="1274"/>
      </w:pPr>
      <w:r>
        <w:rPr/>
        <w:t>Figure 6.Presence of fatigue at work</w:t>
      </w:r>
    </w:p>
    <w:p>
      <w:pPr>
        <w:pStyle w:val="BodyText"/>
        <w:spacing w:before="11"/>
        <w:rPr>
          <w:sz w:val="19"/>
        </w:rPr>
      </w:pPr>
    </w:p>
    <w:p>
      <w:pPr>
        <w:pStyle w:val="BodyText"/>
        <w:ind w:left="270" w:firstLine="567"/>
        <w:jc w:val="both"/>
      </w:pPr>
      <w:r>
        <w:rPr/>
        <w:drawing>
          <wp:anchor distT="0" distB="0" distL="0" distR="0" allowOverlap="1" layoutInCell="1" locked="0" behindDoc="1" simplePos="0" relativeHeight="267574535">
            <wp:simplePos x="0" y="0"/>
            <wp:positionH relativeFrom="page">
              <wp:posOffset>637794</wp:posOffset>
            </wp:positionH>
            <wp:positionV relativeFrom="paragraph">
              <wp:posOffset>557478</wp:posOffset>
            </wp:positionV>
            <wp:extent cx="2926080" cy="2401824"/>
            <wp:effectExtent l="0" t="0" r="0" b="0"/>
            <wp:wrapNone/>
            <wp:docPr id="793" name="image442.png" descr=""/>
            <wp:cNvGraphicFramePr>
              <a:graphicFrameLocks noChangeAspect="1"/>
            </wp:cNvGraphicFramePr>
            <a:graphic>
              <a:graphicData uri="http://schemas.openxmlformats.org/drawingml/2006/picture">
                <pic:pic>
                  <pic:nvPicPr>
                    <pic:cNvPr id="794" name="image442.png"/>
                    <pic:cNvPicPr/>
                  </pic:nvPicPr>
                  <pic:blipFill>
                    <a:blip r:embed="rId710" cstate="print"/>
                    <a:stretch>
                      <a:fillRect/>
                    </a:stretch>
                  </pic:blipFill>
                  <pic:spPr>
                    <a:xfrm>
                      <a:off x="0" y="0"/>
                      <a:ext cx="2926080" cy="2401824"/>
                    </a:xfrm>
                    <a:prstGeom prst="rect">
                      <a:avLst/>
                    </a:prstGeom>
                  </pic:spPr>
                </pic:pic>
              </a:graphicData>
            </a:graphic>
          </wp:anchor>
        </w:drawing>
      </w:r>
      <w:r>
        <w:rPr/>
        <w:t>85% of fishermen already have tired to start and with more reason to end the workday, increasing even more the risk of more severe damage.</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rPr>
          <w:sz w:val="25"/>
        </w:rPr>
      </w:pPr>
    </w:p>
    <w:p>
      <w:pPr>
        <w:pStyle w:val="BodyText"/>
        <w:tabs>
          <w:tab w:pos="1709" w:val="left" w:leader="none"/>
          <w:tab w:pos="2570" w:val="left" w:leader="none"/>
          <w:tab w:pos="2942" w:val="left" w:leader="none"/>
          <w:tab w:pos="4013" w:val="left" w:leader="none"/>
          <w:tab w:pos="4987" w:val="left" w:leader="none"/>
        </w:tabs>
        <w:spacing w:line="460" w:lineRule="atLeast"/>
        <w:ind w:left="838" w:firstLine="44"/>
      </w:pPr>
      <w:r>
        <w:rPr/>
        <w:t>Figure 7. Diseases that may present fishermen Possible</w:t>
        <w:tab/>
        <w:t>diseases</w:t>
        <w:tab/>
        <w:t>or</w:t>
        <w:tab/>
        <w:t>difficulties</w:t>
        <w:tab/>
        <w:t>presented</w:t>
        <w:tab/>
        <w:t>by</w:t>
      </w:r>
    </w:p>
    <w:p>
      <w:pPr>
        <w:pStyle w:val="BodyText"/>
        <w:ind w:left="270"/>
      </w:pPr>
      <w:r>
        <w:rPr/>
        <w:t>fishermen to do their job</w:t>
      </w:r>
    </w:p>
    <w:p>
      <w:pPr>
        <w:pStyle w:val="Heading4"/>
        <w:numPr>
          <w:ilvl w:val="1"/>
          <w:numId w:val="157"/>
        </w:numPr>
        <w:tabs>
          <w:tab w:pos="571" w:val="left" w:leader="none"/>
        </w:tabs>
        <w:spacing w:line="240" w:lineRule="auto" w:before="77" w:after="0"/>
        <w:ind w:left="570" w:right="0" w:hanging="300"/>
        <w:jc w:val="left"/>
      </w:pPr>
      <w:r>
        <w:rPr>
          <w:w w:val="100"/>
        </w:rPr>
        <w:br w:type="column"/>
      </w:r>
      <w:r>
        <w:rPr/>
        <w:t>Corlett &amp;</w:t>
      </w:r>
      <w:r>
        <w:rPr>
          <w:spacing w:val="-5"/>
        </w:rPr>
        <w:t> </w:t>
      </w:r>
      <w:r>
        <w:rPr/>
        <w:t>Bishop</w:t>
      </w:r>
    </w:p>
    <w:p>
      <w:pPr>
        <w:pStyle w:val="BodyText"/>
        <w:spacing w:before="10"/>
        <w:rPr>
          <w:b/>
          <w:sz w:val="16"/>
        </w:rPr>
      </w:pPr>
      <w:r>
        <w:rPr/>
        <w:drawing>
          <wp:anchor distT="0" distB="0" distL="0" distR="0" allowOverlap="1" layoutInCell="1" locked="0" behindDoc="0" simplePos="0" relativeHeight="17824">
            <wp:simplePos x="0" y="0"/>
            <wp:positionH relativeFrom="page">
              <wp:posOffset>4114800</wp:posOffset>
            </wp:positionH>
            <wp:positionV relativeFrom="paragraph">
              <wp:posOffset>148562</wp:posOffset>
            </wp:positionV>
            <wp:extent cx="3084730" cy="2128266"/>
            <wp:effectExtent l="0" t="0" r="0" b="0"/>
            <wp:wrapTopAndBottom/>
            <wp:docPr id="795" name="image443.jpeg" descr=""/>
            <wp:cNvGraphicFramePr>
              <a:graphicFrameLocks noChangeAspect="1"/>
            </wp:cNvGraphicFramePr>
            <a:graphic>
              <a:graphicData uri="http://schemas.openxmlformats.org/drawingml/2006/picture">
                <pic:pic>
                  <pic:nvPicPr>
                    <pic:cNvPr id="796" name="image443.jpeg"/>
                    <pic:cNvPicPr/>
                  </pic:nvPicPr>
                  <pic:blipFill>
                    <a:blip r:embed="rId711" cstate="print"/>
                    <a:stretch>
                      <a:fillRect/>
                    </a:stretch>
                  </pic:blipFill>
                  <pic:spPr>
                    <a:xfrm>
                      <a:off x="0" y="0"/>
                      <a:ext cx="3084730" cy="2128266"/>
                    </a:xfrm>
                    <a:prstGeom prst="rect">
                      <a:avLst/>
                    </a:prstGeom>
                  </pic:spPr>
                </pic:pic>
              </a:graphicData>
            </a:graphic>
          </wp:anchor>
        </w:drawing>
      </w:r>
    </w:p>
    <w:p>
      <w:pPr>
        <w:pStyle w:val="BodyText"/>
        <w:ind w:left="295" w:right="700"/>
        <w:jc w:val="center"/>
      </w:pPr>
      <w:r>
        <w:rPr/>
        <w:t>Figure 8. Upper body parts</w:t>
      </w:r>
    </w:p>
    <w:p>
      <w:pPr>
        <w:pStyle w:val="BodyText"/>
        <w:spacing w:before="1"/>
        <w:rPr>
          <w:sz w:val="13"/>
        </w:rPr>
      </w:pPr>
      <w:r>
        <w:rPr/>
        <w:drawing>
          <wp:anchor distT="0" distB="0" distL="0" distR="0" allowOverlap="1" layoutInCell="1" locked="0" behindDoc="0" simplePos="0" relativeHeight="17848">
            <wp:simplePos x="0" y="0"/>
            <wp:positionH relativeFrom="page">
              <wp:posOffset>4114800</wp:posOffset>
            </wp:positionH>
            <wp:positionV relativeFrom="paragraph">
              <wp:posOffset>120352</wp:posOffset>
            </wp:positionV>
            <wp:extent cx="3043374" cy="1830228"/>
            <wp:effectExtent l="0" t="0" r="0" b="0"/>
            <wp:wrapTopAndBottom/>
            <wp:docPr id="797" name="image444.png" descr=""/>
            <wp:cNvGraphicFramePr>
              <a:graphicFrameLocks noChangeAspect="1"/>
            </wp:cNvGraphicFramePr>
            <a:graphic>
              <a:graphicData uri="http://schemas.openxmlformats.org/drawingml/2006/picture">
                <pic:pic>
                  <pic:nvPicPr>
                    <pic:cNvPr id="798" name="image444.png"/>
                    <pic:cNvPicPr/>
                  </pic:nvPicPr>
                  <pic:blipFill>
                    <a:blip r:embed="rId712" cstate="print"/>
                    <a:stretch>
                      <a:fillRect/>
                    </a:stretch>
                  </pic:blipFill>
                  <pic:spPr>
                    <a:xfrm>
                      <a:off x="0" y="0"/>
                      <a:ext cx="3043374" cy="1830228"/>
                    </a:xfrm>
                    <a:prstGeom prst="rect">
                      <a:avLst/>
                    </a:prstGeom>
                  </pic:spPr>
                </pic:pic>
              </a:graphicData>
            </a:graphic>
          </wp:anchor>
        </w:drawing>
      </w:r>
    </w:p>
    <w:p>
      <w:pPr>
        <w:pStyle w:val="BodyText"/>
        <w:spacing w:before="11"/>
        <w:ind w:left="295" w:right="700"/>
        <w:jc w:val="center"/>
      </w:pPr>
      <w:r>
        <w:rPr/>
        <w:t>Figure 9. Midsection of the body</w:t>
      </w:r>
    </w:p>
    <w:p>
      <w:pPr>
        <w:pStyle w:val="BodyText"/>
        <w:spacing w:before="11"/>
        <w:rPr>
          <w:sz w:val="12"/>
        </w:rPr>
      </w:pPr>
      <w:r>
        <w:rPr/>
        <w:drawing>
          <wp:anchor distT="0" distB="0" distL="0" distR="0" allowOverlap="1" layoutInCell="1" locked="0" behindDoc="0" simplePos="0" relativeHeight="17872">
            <wp:simplePos x="0" y="0"/>
            <wp:positionH relativeFrom="page">
              <wp:posOffset>4114800</wp:posOffset>
            </wp:positionH>
            <wp:positionV relativeFrom="paragraph">
              <wp:posOffset>119594</wp:posOffset>
            </wp:positionV>
            <wp:extent cx="3074265" cy="1849564"/>
            <wp:effectExtent l="0" t="0" r="0" b="0"/>
            <wp:wrapTopAndBottom/>
            <wp:docPr id="799" name="image445.jpeg" descr=""/>
            <wp:cNvGraphicFramePr>
              <a:graphicFrameLocks noChangeAspect="1"/>
            </wp:cNvGraphicFramePr>
            <a:graphic>
              <a:graphicData uri="http://schemas.openxmlformats.org/drawingml/2006/picture">
                <pic:pic>
                  <pic:nvPicPr>
                    <pic:cNvPr id="800" name="image445.jpeg"/>
                    <pic:cNvPicPr/>
                  </pic:nvPicPr>
                  <pic:blipFill>
                    <a:blip r:embed="rId713" cstate="print"/>
                    <a:stretch>
                      <a:fillRect/>
                    </a:stretch>
                  </pic:blipFill>
                  <pic:spPr>
                    <a:xfrm>
                      <a:off x="0" y="0"/>
                      <a:ext cx="3074265" cy="1849564"/>
                    </a:xfrm>
                    <a:prstGeom prst="rect">
                      <a:avLst/>
                    </a:prstGeom>
                  </pic:spPr>
                </pic:pic>
              </a:graphicData>
            </a:graphic>
          </wp:anchor>
        </w:drawing>
      </w:r>
    </w:p>
    <w:p>
      <w:pPr>
        <w:pStyle w:val="BodyText"/>
        <w:ind w:left="295" w:right="700"/>
        <w:jc w:val="center"/>
      </w:pPr>
      <w:r>
        <w:rPr/>
        <w:t>Figure 10. Parts of the lower body</w:t>
      </w:r>
    </w:p>
    <w:p>
      <w:pPr>
        <w:pStyle w:val="BodyText"/>
        <w:spacing w:before="10"/>
        <w:rPr>
          <w:sz w:val="21"/>
        </w:rPr>
      </w:pPr>
    </w:p>
    <w:p>
      <w:pPr>
        <w:pStyle w:val="BodyText"/>
        <w:spacing w:before="1"/>
        <w:ind w:left="270" w:right="676" w:firstLine="567"/>
        <w:jc w:val="both"/>
      </w:pPr>
      <w:r>
        <w:rPr/>
        <w:t>According to Corlett &amp; Bishop mapping the human body is divided into 3 parts, so the above graphic is obtained explaining and analyzing portions of these are the most affected fishermen resulting in the first graph upper body marking 60% of discomfort in the man being the most affected part.</w:t>
      </w:r>
    </w:p>
    <w:p>
      <w:pPr>
        <w:pStyle w:val="BodyText"/>
        <w:spacing w:before="11"/>
        <w:rPr>
          <w:sz w:val="19"/>
        </w:rPr>
      </w:pPr>
    </w:p>
    <w:p>
      <w:pPr>
        <w:pStyle w:val="BodyText"/>
        <w:ind w:left="270" w:right="676" w:firstLine="567"/>
        <w:jc w:val="both"/>
      </w:pPr>
      <w:r>
        <w:rPr/>
        <w:t>In the second graph midsection body parts most affected are the buttocks or hips due to time spent sitting with 55% followed with 28% of the lower back.</w:t>
      </w:r>
    </w:p>
    <w:p>
      <w:pPr>
        <w:spacing w:after="0"/>
        <w:jc w:val="both"/>
        <w:sectPr>
          <w:type w:val="continuous"/>
          <w:pgSz w:w="12240" w:h="15840"/>
          <w:pgMar w:top="1500" w:bottom="280" w:left="580" w:right="220"/>
          <w:cols w:num="2" w:equalWidth="0">
            <w:col w:w="5189" w:space="435"/>
            <w:col w:w="5816"/>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4"/>
        <w:rPr>
          <w:sz w:val="26"/>
        </w:rPr>
      </w:pPr>
    </w:p>
    <w:p>
      <w:pPr>
        <w:pStyle w:val="BodyText"/>
        <w:spacing w:before="1"/>
        <w:ind w:left="270" w:right="2" w:firstLine="567"/>
        <w:jc w:val="both"/>
      </w:pPr>
      <w:r>
        <w:rPr/>
        <w:t>In the third graph are from the lower body injuries have legs and knees because of the effort they perform moving and poorly executed.</w:t>
      </w:r>
    </w:p>
    <w:p>
      <w:pPr>
        <w:pStyle w:val="BodyText"/>
        <w:spacing w:before="2"/>
      </w:pPr>
    </w:p>
    <w:p>
      <w:pPr>
        <w:pStyle w:val="Heading4"/>
        <w:numPr>
          <w:ilvl w:val="1"/>
          <w:numId w:val="157"/>
        </w:numPr>
        <w:tabs>
          <w:tab w:pos="571" w:val="left" w:leader="none"/>
        </w:tabs>
        <w:spacing w:line="240" w:lineRule="auto" w:before="0" w:after="0"/>
        <w:ind w:left="570" w:right="0" w:hanging="300"/>
        <w:jc w:val="both"/>
      </w:pPr>
      <w:r>
        <w:rPr/>
        <w:t>Recommendation</w:t>
      </w:r>
    </w:p>
    <w:p>
      <w:pPr>
        <w:pStyle w:val="BodyText"/>
        <w:spacing w:before="8"/>
        <w:rPr>
          <w:b/>
          <w:sz w:val="19"/>
        </w:rPr>
      </w:pPr>
    </w:p>
    <w:p>
      <w:pPr>
        <w:pStyle w:val="BodyText"/>
        <w:ind w:left="270" w:right="2"/>
        <w:jc w:val="both"/>
      </w:pPr>
      <w:r>
        <w:rPr/>
        <w:t>According to the results of mapping it’s recommended the fisherman change the way they complete their daily activity’s, it’s recommended that you show and tell them to stretch their muscles and after a shower. Then the body feels the big weight or extreme movements. They  need  a bathroom also to do their necessities and something that will protect from the sun, so they can realize their activities without problems.</w:t>
      </w:r>
    </w:p>
    <w:p>
      <w:pPr>
        <w:pStyle w:val="BodyText"/>
        <w:spacing w:before="11"/>
        <w:rPr>
          <w:sz w:val="19"/>
        </w:rPr>
      </w:pPr>
    </w:p>
    <w:p>
      <w:pPr>
        <w:pStyle w:val="BodyText"/>
        <w:ind w:left="270" w:firstLine="708"/>
        <w:jc w:val="both"/>
      </w:pPr>
      <w:r>
        <w:rPr/>
        <w:t>Related to the fatigue, it’s recommended that a specialist in ergonomic, or a person that knows something about the subject educates the fisherman so they can learn to stand in correct positions so they can avoid all problems. Another alternative that would help the fisherman is showing them how to make a correct lifting of heavy supply tools or equipment. Since they pick up heavy things every hour and they are extremely tiring, especially for the shoulder, back, knees. the probability for an accident is minimal, but it can occur in any moment and hurt you, it’s important to know that the moment that the fisherman rest they don’t do it at one hundred percent because the location doesn’t allow and when they lay down to sleep at night or a part of the day, their laying in a way that affects their body because the tight space.</w:t>
      </w:r>
    </w:p>
    <w:p>
      <w:pPr>
        <w:pStyle w:val="BodyText"/>
        <w:spacing w:before="2"/>
      </w:pPr>
    </w:p>
    <w:p>
      <w:pPr>
        <w:pStyle w:val="Heading4"/>
        <w:numPr>
          <w:ilvl w:val="1"/>
          <w:numId w:val="157"/>
        </w:numPr>
        <w:tabs>
          <w:tab w:pos="571" w:val="left" w:leader="none"/>
        </w:tabs>
        <w:spacing w:line="240" w:lineRule="auto" w:before="0" w:after="0"/>
        <w:ind w:left="570" w:right="0" w:hanging="300"/>
        <w:jc w:val="both"/>
      </w:pPr>
      <w:r>
        <w:rPr/>
        <w:t>Conclusions</w:t>
      </w:r>
    </w:p>
    <w:p>
      <w:pPr>
        <w:pStyle w:val="BodyText"/>
        <w:spacing w:before="3"/>
        <w:rPr>
          <w:b/>
        </w:rPr>
      </w:pPr>
    </w:p>
    <w:p>
      <w:pPr>
        <w:pStyle w:val="BodyText"/>
        <w:ind w:left="270" w:right="1"/>
        <w:jc w:val="both"/>
      </w:pPr>
      <w:r>
        <w:rPr/>
        <w:t>From the Corlett and Bishop format mapping we observed that most fisherman have problems in their legs or back, shoulders, arms. Since they are almost always sitting in incorrect places a clear example is they don’t have back support and it hurts your back. Another data is that they make very aggressive movements and they do it in a manner that hurts them, but they do it for major production but they don’t know that it is calling irreversible damage to their body and so does their life quality as</w:t>
      </w:r>
      <w:r>
        <w:rPr>
          <w:spacing w:val="-16"/>
        </w:rPr>
        <w:t> </w:t>
      </w:r>
      <w:r>
        <w:rPr/>
        <w:t>well.</w:t>
      </w:r>
    </w:p>
    <w:p>
      <w:pPr>
        <w:pStyle w:val="BodyText"/>
        <w:spacing w:before="11"/>
        <w:rPr>
          <w:sz w:val="19"/>
        </w:rPr>
      </w:pPr>
    </w:p>
    <w:p>
      <w:pPr>
        <w:pStyle w:val="BodyText"/>
        <w:ind w:left="270" w:right="3" w:firstLine="567"/>
        <w:jc w:val="both"/>
      </w:pPr>
      <w:r>
        <w:rPr/>
        <w:t>We must notice that the fisherman spend most time sitting down and in places that are not competent for a human to sit, in one hour lapses they get into action and after they don’t warm up the body resists the movement the activity need and when they get out of work they don’t stretch either .we must have in our mind that most employees work all day and rest all night. This is</w:t>
      </w:r>
      <w:r>
        <w:rPr>
          <w:spacing w:val="-23"/>
        </w:rPr>
        <w:t> </w:t>
      </w:r>
      <w:r>
        <w:rPr/>
        <w:t>variable.</w:t>
      </w:r>
    </w:p>
    <w:p>
      <w:pPr>
        <w:pStyle w:val="BodyText"/>
        <w:spacing w:before="11"/>
        <w:rPr>
          <w:sz w:val="19"/>
        </w:rPr>
      </w:pPr>
    </w:p>
    <w:p>
      <w:pPr>
        <w:pStyle w:val="BodyText"/>
        <w:ind w:left="270" w:firstLine="567"/>
        <w:jc w:val="both"/>
      </w:pPr>
      <w:r>
        <w:rPr/>
        <w:t>It’s hard to find a job that doesn’t push you physically, in this case the fisherman work in a very uncomfortable place the demanding climate, small places,  but they must get used to the conditions and this makes their stress and fatigue overflow. Picking up heavy things each hour is also a factor that makes fatigue grow, it doesn’t</w:t>
      </w:r>
      <w:r>
        <w:rPr>
          <w:spacing w:val="2"/>
        </w:rPr>
        <w:t> </w:t>
      </w:r>
      <w:r>
        <w:rPr/>
        <w:t>apply</w:t>
      </w:r>
    </w:p>
    <w:p>
      <w:pPr>
        <w:pStyle w:val="BodyText"/>
        <w:spacing w:before="74"/>
        <w:ind w:left="270" w:right="702"/>
      </w:pPr>
      <w:r>
        <w:rPr/>
        <w:br w:type="column"/>
      </w:r>
      <w:r>
        <w:rPr/>
        <w:t>correct movements as you realize it, as consequence the body rejects the overflow of work</w:t>
      </w:r>
    </w:p>
    <w:p>
      <w:pPr>
        <w:pStyle w:val="BodyText"/>
        <w:spacing w:before="3"/>
      </w:pPr>
    </w:p>
    <w:p>
      <w:pPr>
        <w:pStyle w:val="Heading4"/>
        <w:ind w:right="702"/>
        <w:jc w:val="left"/>
      </w:pPr>
      <w:r>
        <w:rPr/>
        <w:t>3.7. References</w:t>
      </w:r>
    </w:p>
    <w:p>
      <w:pPr>
        <w:pStyle w:val="BodyText"/>
        <w:spacing w:before="8"/>
        <w:rPr>
          <w:b/>
          <w:sz w:val="19"/>
        </w:rPr>
      </w:pPr>
    </w:p>
    <w:p>
      <w:pPr>
        <w:pStyle w:val="BodyText"/>
        <w:ind w:left="270" w:right="676"/>
        <w:jc w:val="both"/>
      </w:pPr>
      <w:r>
        <w:rPr/>
        <w:t>NIEBEL, BENJAMÍN W. Ingeniería Industrial: Métodos, tiempos y movimientos. Tercera Edicion. Editorial Alfaomega, 1990.</w:t>
      </w:r>
    </w:p>
    <w:p>
      <w:pPr>
        <w:pStyle w:val="BodyText"/>
      </w:pPr>
    </w:p>
    <w:p>
      <w:pPr>
        <w:pStyle w:val="BodyText"/>
        <w:spacing w:before="1"/>
        <w:ind w:left="270" w:right="672"/>
      </w:pPr>
      <w:r>
        <w:rPr/>
        <w:t>Yoshitake, H. Three characteristics patterns of subjective fatigue  symptoms.  Ergonomics,  vol.  21  (3),  pp. 231-233.</w:t>
      </w:r>
    </w:p>
    <w:p>
      <w:pPr>
        <w:pStyle w:val="BodyText"/>
        <w:ind w:left="270" w:right="702"/>
      </w:pPr>
      <w:r>
        <w:rPr/>
        <w:t>1978.</w:t>
      </w:r>
    </w:p>
    <w:p>
      <w:pPr>
        <w:pStyle w:val="BodyText"/>
        <w:spacing w:before="11"/>
        <w:rPr>
          <w:sz w:val="19"/>
        </w:rPr>
      </w:pPr>
    </w:p>
    <w:p>
      <w:pPr>
        <w:pStyle w:val="BodyText"/>
        <w:ind w:left="270"/>
      </w:pPr>
      <w:r>
        <w:rPr/>
        <w:t>DAVID   J.   OBORNE,   ED.   TRILLAS.   ‘’Ergonomía en</w:t>
      </w:r>
    </w:p>
    <w:p>
      <w:pPr>
        <w:pStyle w:val="BodyText"/>
        <w:ind w:left="270" w:right="702"/>
      </w:pPr>
      <w:r>
        <w:rPr/>
        <w:t>acción: la adaptación del medio del trabajo al hombre”.</w:t>
      </w:r>
    </w:p>
    <w:p>
      <w:pPr>
        <w:pStyle w:val="BodyText"/>
        <w:spacing w:before="11"/>
        <w:rPr>
          <w:sz w:val="19"/>
        </w:rPr>
      </w:pPr>
    </w:p>
    <w:p>
      <w:pPr>
        <w:pStyle w:val="BodyText"/>
        <w:ind w:left="270" w:right="672"/>
      </w:pPr>
      <w:r>
        <w:rPr/>
        <w:t>Información sobre Accidentes y Enfermedades de Trabajo Sinaloa   2004-2013.   Memorias   estadísticas   IMSS 2004-</w:t>
      </w:r>
    </w:p>
    <w:p>
      <w:pPr>
        <w:pStyle w:val="BodyText"/>
        <w:spacing w:line="229" w:lineRule="exact"/>
        <w:ind w:left="270" w:right="702"/>
      </w:pPr>
      <w:r>
        <w:rPr/>
        <w:t>2013.</w:t>
      </w:r>
    </w:p>
    <w:p>
      <w:pPr>
        <w:pStyle w:val="BodyText"/>
        <w:ind w:left="270" w:right="693"/>
      </w:pPr>
      <w:hyperlink r:id="rId485">
        <w:r>
          <w:rPr>
            <w:u w:val="single"/>
          </w:rPr>
          <w:t>http://www.stps.gob.mx/bp/secciones/dgsst/estadisticas/Sina</w:t>
        </w:r>
      </w:hyperlink>
      <w:r>
        <w:rPr>
          <w:u w:val="single"/>
        </w:rPr>
        <w:t> loa%202004-2013.pdf</w:t>
      </w:r>
    </w:p>
    <w:p>
      <w:pPr>
        <w:pStyle w:val="BodyText"/>
        <w:spacing w:before="11"/>
        <w:rPr>
          <w:sz w:val="19"/>
        </w:rPr>
      </w:pPr>
    </w:p>
    <w:p>
      <w:pPr>
        <w:pStyle w:val="BodyText"/>
        <w:ind w:left="270" w:right="702"/>
      </w:pPr>
      <w:r>
        <w:rPr/>
        <w:t>Low back pain among professional bus drivers: ergonomic and occupational-psychosocial risk factors.</w:t>
      </w:r>
    </w:p>
    <w:p>
      <w:pPr>
        <w:pStyle w:val="BodyText"/>
        <w:ind w:left="270" w:right="702"/>
      </w:pPr>
      <w:r>
        <w:rPr/>
        <w:t>Alperovitch-Najenson D1, Santo Y, Masharawi Y, Katz- Leurer M, Ushvaev D, Kalichman L. </w:t>
      </w:r>
      <w:hyperlink r:id="rId586">
        <w:r>
          <w:rPr>
            <w:u w:val="single"/>
          </w:rPr>
          <w:t>http://www.ncbi.nlm.nih.gov/pubmed/20450125</w:t>
        </w:r>
      </w:hyperlink>
    </w:p>
    <w:p>
      <w:pPr>
        <w:pStyle w:val="BodyText"/>
      </w:pPr>
    </w:p>
    <w:p>
      <w:pPr>
        <w:pStyle w:val="BodyText"/>
      </w:pPr>
    </w:p>
    <w:p>
      <w:pPr>
        <w:pStyle w:val="BodyText"/>
        <w:ind w:left="270" w:right="677"/>
        <w:jc w:val="both"/>
      </w:pPr>
      <w:r>
        <w:rPr/>
        <w:t>B. Carranza, A. &amp; Vallejo Gonzalez, J. (2004). Fatiga laboral. 2004, de Ergonomía Ocupacional S.C. Sitio web: </w:t>
      </w:r>
      <w:hyperlink r:id="rId587">
        <w:r>
          <w:rPr>
            <w:u w:val="single"/>
          </w:rPr>
          <w:t>http://www.ergocupacional.com/4910/20608.html</w:t>
        </w:r>
        <w:r>
          <w:rPr/>
          <w:t>.</w:t>
        </w:r>
      </w:hyperlink>
    </w:p>
    <w:p>
      <w:pPr>
        <w:pStyle w:val="BodyText"/>
        <w:spacing w:before="11"/>
        <w:rPr>
          <w:sz w:val="19"/>
        </w:rPr>
      </w:pPr>
    </w:p>
    <w:p>
      <w:pPr>
        <w:pStyle w:val="BodyText"/>
        <w:ind w:left="270" w:right="677"/>
      </w:pPr>
      <w:r>
        <w:rPr/>
        <w:t>Cero Accidentes. (2012). Diseño ergonómico de puestos de trabajo. Febrero 28,2012, de Administración de la seguridad y salud en el trabajo. BSI OHSAS 18001 Sitio web: </w:t>
      </w:r>
      <w:hyperlink r:id="rId588">
        <w:r>
          <w:rPr>
            <w:u w:val="single"/>
          </w:rPr>
          <w:t>http://trabajaconseguridad.blogspot.mx/2012/02/diseno-</w:t>
        </w:r>
      </w:hyperlink>
      <w:r>
        <w:rPr>
          <w:u w:val="single"/>
        </w:rPr>
        <w:t> ergonomico-de-puestos-de-trabajo.html</w:t>
      </w:r>
      <w:r>
        <w:rPr/>
        <w:t>.</w:t>
      </w:r>
    </w:p>
    <w:p>
      <w:pPr>
        <w:spacing w:after="0"/>
        <w:sectPr>
          <w:type w:val="continuous"/>
          <w:pgSz w:w="12240" w:h="15840"/>
          <w:pgMar w:top="1500" w:bottom="280" w:left="580" w:right="220"/>
          <w:cols w:num="2" w:equalWidth="0">
            <w:col w:w="5193" w:space="431"/>
            <w:col w:w="5816"/>
          </w:cols>
        </w:sectPr>
      </w:pPr>
    </w:p>
    <w:p>
      <w:pPr>
        <w:pStyle w:val="BodyText"/>
      </w:pPr>
    </w:p>
    <w:p>
      <w:pPr>
        <w:spacing w:after="0"/>
        <w:sectPr>
          <w:pgSz w:w="12240" w:h="15840"/>
          <w:pgMar w:header="545" w:footer="852" w:top="1060" w:bottom="1040" w:left="580" w:right="220"/>
        </w:sectPr>
      </w:pPr>
    </w:p>
    <w:p>
      <w:pPr>
        <w:pStyle w:val="Heading1"/>
        <w:spacing w:before="206"/>
        <w:ind w:right="18"/>
      </w:pPr>
      <w:r>
        <w:rPr/>
        <w:t>Ergonomic Evaluation of “liniero” station in Federal Electricity Commission</w:t>
      </w:r>
    </w:p>
    <w:p>
      <w:pPr>
        <w:pStyle w:val="BodyText"/>
        <w:spacing w:before="6"/>
        <w:rPr>
          <w:b/>
          <w:sz w:val="27"/>
        </w:rPr>
      </w:pPr>
    </w:p>
    <w:p>
      <w:pPr>
        <w:spacing w:line="213" w:lineRule="auto" w:before="0"/>
        <w:ind w:left="270" w:right="16" w:firstLine="0"/>
        <w:jc w:val="both"/>
        <w:rPr>
          <w:i/>
          <w:sz w:val="13"/>
        </w:rPr>
      </w:pPr>
      <w:r>
        <w:rPr>
          <w:i/>
          <w:sz w:val="20"/>
        </w:rPr>
        <w:t>Mirza Guadalupe Zamarrón Leyva</w:t>
      </w:r>
      <w:r>
        <w:rPr>
          <w:i/>
          <w:position w:val="9"/>
          <w:sz w:val="13"/>
        </w:rPr>
        <w:t>a</w:t>
      </w:r>
      <w:r>
        <w:rPr>
          <w:i/>
          <w:sz w:val="20"/>
        </w:rPr>
        <w:t>, Mauricio López  </w:t>
      </w:r>
      <w:r>
        <w:rPr>
          <w:i/>
          <w:sz w:val="20"/>
        </w:rPr>
        <w:t>Acosta</w:t>
      </w:r>
      <w:r>
        <w:rPr>
          <w:i/>
          <w:position w:val="9"/>
          <w:sz w:val="13"/>
        </w:rPr>
        <w:t>b</w:t>
      </w:r>
      <w:r>
        <w:rPr>
          <w:i/>
          <w:sz w:val="20"/>
        </w:rPr>
        <w:t>, Gilda María Martínez Solano</w:t>
      </w:r>
      <w:r>
        <w:rPr>
          <w:i/>
          <w:position w:val="9"/>
          <w:sz w:val="13"/>
        </w:rPr>
        <w:t>b</w:t>
      </w:r>
      <w:r>
        <w:rPr>
          <w:i/>
          <w:sz w:val="20"/>
        </w:rPr>
        <w:t>, Aarón Fernando Quirós</w:t>
      </w:r>
      <w:r>
        <w:rPr>
          <w:i/>
          <w:spacing w:val="-6"/>
          <w:sz w:val="20"/>
        </w:rPr>
        <w:t> </w:t>
      </w:r>
      <w:r>
        <w:rPr>
          <w:i/>
          <w:sz w:val="20"/>
        </w:rPr>
        <w:t>Morales</w:t>
      </w:r>
      <w:r>
        <w:rPr>
          <w:i/>
          <w:position w:val="9"/>
          <w:sz w:val="13"/>
        </w:rPr>
        <w:t>b</w:t>
      </w:r>
    </w:p>
    <w:p>
      <w:pPr>
        <w:pStyle w:val="BodyText"/>
        <w:spacing w:before="5"/>
        <w:rPr>
          <w:i/>
          <w:sz w:val="19"/>
        </w:rPr>
      </w:pPr>
    </w:p>
    <w:p>
      <w:pPr>
        <w:tabs>
          <w:tab w:pos="1252" w:val="left" w:leader="none"/>
          <w:tab w:pos="2417" w:val="left" w:leader="none"/>
          <w:tab w:pos="2930" w:val="left" w:leader="none"/>
          <w:tab w:pos="3789" w:val="left" w:leader="none"/>
          <w:tab w:pos="4623" w:val="left" w:leader="none"/>
        </w:tabs>
        <w:spacing w:line="232" w:lineRule="auto" w:before="0"/>
        <w:ind w:left="270" w:right="0" w:firstLine="0"/>
        <w:jc w:val="left"/>
        <w:rPr>
          <w:sz w:val="16"/>
        </w:rPr>
      </w:pPr>
      <w:r>
        <w:rPr>
          <w:position w:val="7"/>
          <w:sz w:val="10"/>
        </w:rPr>
        <w:t>a</w:t>
      </w:r>
      <w:r>
        <w:rPr>
          <w:sz w:val="16"/>
        </w:rPr>
        <w:t>,Instituto</w:t>
        <w:tab/>
        <w:t>Tecnológico</w:t>
        <w:tab/>
        <w:t>de</w:t>
        <w:tab/>
        <w:t>Sonora,</w:t>
        <w:tab/>
        <w:t>Unidad</w:t>
        <w:tab/>
        <w:t>Navojoa,</w:t>
      </w:r>
      <w:hyperlink r:id="rId714">
        <w:r>
          <w:rPr>
            <w:w w:val="99"/>
            <w:sz w:val="16"/>
          </w:rPr>
          <w:t> </w:t>
        </w:r>
        <w:r>
          <w:rPr>
            <w:sz w:val="16"/>
          </w:rPr>
          <w:t>Mirza_m26@hotmail.com</w:t>
        </w:r>
      </w:hyperlink>
      <w:r>
        <w:rPr>
          <w:sz w:val="16"/>
        </w:rPr>
        <w:t> @hotmail.com , Navojoa, Sonora, México. </w:t>
      </w:r>
      <w:r>
        <w:rPr>
          <w:position w:val="7"/>
          <w:sz w:val="10"/>
        </w:rPr>
        <w:t>b</w:t>
      </w:r>
      <w:r>
        <w:rPr>
          <w:sz w:val="16"/>
        </w:rPr>
        <w:t>Instituto Tecnológico de Sonora,Unidad Navojoa, Navojoa, Sonora,  México.</w:t>
      </w:r>
    </w:p>
    <w:p>
      <w:pPr>
        <w:pStyle w:val="Heading4"/>
        <w:spacing w:before="5"/>
      </w:pPr>
      <w:r>
        <w:rPr/>
        <w:pict>
          <v:line style="position:absolute;mso-position-horizontal-relative:page;mso-position-vertical-relative:paragraph;z-index:17944" from="41.040001pt,13.515918pt" to="289.860001pt,13.515918pt" stroked="true" strokeweight="1.5pt" strokecolor="#000000">
            <w10:wrap type="none"/>
          </v:line>
        </w:pict>
      </w:r>
      <w:r>
        <w:rPr/>
        <w:t>Resumen</w:t>
      </w:r>
    </w:p>
    <w:p>
      <w:pPr>
        <w:pStyle w:val="BodyText"/>
        <w:spacing w:before="47"/>
        <w:ind w:left="270" w:right="15"/>
        <w:jc w:val="both"/>
      </w:pPr>
      <w:r>
        <w:rPr/>
        <w:t>En Comisión Federal de Electricidad tiene antecedentes en relación a la salud laboral, lo cual estudios realizados logra Identificar factores de riesgo ocupacional de los linieros de </w:t>
      </w:r>
      <w:r>
        <w:rPr>
          <w:strike/>
        </w:rPr>
        <w:t>“</w:t>
      </w:r>
      <w:r>
        <w:rPr>
          <w:strike w:val="0"/>
        </w:rPr>
        <w:t>Comisión Federal de Electricidad</w:t>
      </w:r>
      <w:r>
        <w:rPr>
          <w:strike/>
        </w:rPr>
        <w:t>” </w:t>
      </w:r>
      <w:r>
        <w:rPr>
          <w:strike w:val="0"/>
        </w:rPr>
        <w:t>mediante herramientas de evaluación Ergonómicas para determinar el grado de riesgo de exposición y tomar medidas preventiva al llevar a cabo su labor diaria en una jornada de 8 horas, en el cual se toma medidas correctivas en este puesto de trabajo, cambiando posiciones o bien usando los avances  tecnológicos como son grúas para elevar al liniero. La metodología aplicada de esta investigación consistió en la aplicación de hojas de verificación, encuestas y aplicación de las metodologías de Suzanne Rodger y Rula para recabar información sobre los riesgos ocupacionales existentes en los trabajadores de CFE. En ambas metodologías se identifica una severidad muy elevada en esta ocupación quienes son las personas que por años realizan esta labor. Se obtiene con el estudio que se debe trabajar o modificar el puesto de trabajo de los Linieros, se propone utilizar bolsas elevadas que  suban automáticamente con la grúa así el trabajador realizará movimientos más rápidos con manos</w:t>
      </w:r>
      <w:r>
        <w:rPr>
          <w:strike w:val="0"/>
          <w:spacing w:val="-16"/>
        </w:rPr>
        <w:t> </w:t>
      </w:r>
      <w:r>
        <w:rPr>
          <w:strike w:val="0"/>
        </w:rPr>
        <w:t>libres</w:t>
      </w:r>
    </w:p>
    <w:p>
      <w:pPr>
        <w:pStyle w:val="BodyText"/>
        <w:spacing w:before="11"/>
        <w:rPr>
          <w:sz w:val="19"/>
        </w:rPr>
      </w:pPr>
    </w:p>
    <w:p>
      <w:pPr>
        <w:spacing w:before="0"/>
        <w:ind w:left="270" w:right="0" w:firstLine="0"/>
        <w:jc w:val="both"/>
        <w:rPr>
          <w:sz w:val="20"/>
        </w:rPr>
      </w:pPr>
      <w:r>
        <w:rPr>
          <w:b/>
          <w:sz w:val="20"/>
        </w:rPr>
        <w:t>Palabras clave</w:t>
      </w:r>
      <w:r>
        <w:rPr>
          <w:sz w:val="20"/>
        </w:rPr>
        <w:t>— Riesgo, Trastornos</w:t>
      </w:r>
    </w:p>
    <w:p>
      <w:pPr>
        <w:pStyle w:val="BodyText"/>
      </w:pPr>
    </w:p>
    <w:p>
      <w:pPr>
        <w:pStyle w:val="BodyText"/>
        <w:spacing w:before="3"/>
      </w:pPr>
    </w:p>
    <w:p>
      <w:pPr>
        <w:pStyle w:val="Heading5"/>
        <w:rPr>
          <w:i/>
        </w:rPr>
      </w:pPr>
      <w:r>
        <w:rPr/>
        <w:pict>
          <v:line style="position:absolute;mso-position-horizontal-relative:page;mso-position-vertical-relative:paragraph;z-index:17968" from="41.040001pt,13.205705pt" to="289.860001pt,13.205705pt" stroked="true" strokeweight="1.5pt" strokecolor="#000000">
            <w10:wrap type="none"/>
          </v:line>
        </w:pict>
      </w:r>
      <w:r>
        <w:rPr>
          <w:i/>
        </w:rPr>
        <w:t>Summary</w:t>
      </w:r>
    </w:p>
    <w:p>
      <w:pPr>
        <w:spacing w:before="46"/>
        <w:ind w:left="270" w:right="14" w:firstLine="0"/>
        <w:jc w:val="both"/>
        <w:rPr>
          <w:i/>
          <w:sz w:val="20"/>
        </w:rPr>
      </w:pPr>
      <w:r>
        <w:rPr>
          <w:i/>
          <w:sz w:val="20"/>
        </w:rPr>
        <w:t>Federal Electricity Commission (FEC) has antecedents in </w:t>
      </w:r>
      <w:r>
        <w:rPr>
          <w:i/>
          <w:sz w:val="20"/>
        </w:rPr>
        <w:t>relation to occupational health. This study identifies occupational risk factors of “linieros” station at FEC using ergonomic assessment tools to determine the degree of exposure risk, also proposes corrective measures to be  taken; changing positions or using technological advances such as cranes to lift workers. The methodology of this research uses the implementation of check list sheets, surveys, and applying methodologies as Suzanne Rodger and RULA to gather information on existing occupational hazards in FEC workers. In both methods a very high  severity was found. A modified method has been proposed considering using high bags that automatically rise with the crane so the worker can perform faster movements with his hands</w:t>
      </w:r>
      <w:r>
        <w:rPr>
          <w:i/>
          <w:spacing w:val="-6"/>
          <w:sz w:val="20"/>
        </w:rPr>
        <w:t> </w:t>
      </w:r>
      <w:r>
        <w:rPr>
          <w:i/>
          <w:sz w:val="20"/>
        </w:rPr>
        <w:t>free.</w:t>
      </w:r>
    </w:p>
    <w:p>
      <w:pPr>
        <w:pStyle w:val="BodyText"/>
        <w:rPr>
          <w:i/>
        </w:rPr>
      </w:pPr>
    </w:p>
    <w:p>
      <w:pPr>
        <w:spacing w:before="1"/>
        <w:ind w:left="270" w:right="0" w:firstLine="0"/>
        <w:jc w:val="both"/>
        <w:rPr>
          <w:sz w:val="20"/>
        </w:rPr>
      </w:pPr>
      <w:r>
        <w:rPr>
          <w:b/>
          <w:sz w:val="20"/>
        </w:rPr>
        <w:t>Key words </w:t>
      </w:r>
      <w:r>
        <w:rPr>
          <w:sz w:val="20"/>
        </w:rPr>
        <w:t>— risk, disorders</w:t>
      </w:r>
    </w:p>
    <w:p>
      <w:pPr>
        <w:pStyle w:val="BodyText"/>
        <w:spacing w:before="4" w:after="40"/>
        <w:rPr>
          <w:sz w:val="16"/>
        </w:rPr>
      </w:pPr>
      <w:r>
        <w:rPr/>
        <w:br w:type="column"/>
      </w:r>
      <w:r>
        <w:rPr>
          <w:sz w:val="16"/>
        </w:rPr>
      </w:r>
    </w:p>
    <w:p>
      <w:pPr>
        <w:pStyle w:val="BodyText"/>
        <w:spacing w:line="30" w:lineRule="exact"/>
        <w:ind w:left="225"/>
        <w:rPr>
          <w:sz w:val="3"/>
        </w:rPr>
      </w:pPr>
      <w:r>
        <w:rPr>
          <w:position w:val="0"/>
          <w:sz w:val="3"/>
        </w:rPr>
        <w:pict>
          <v:group style="width:247.75pt;height:1.5pt;mso-position-horizontal-relative:char;mso-position-vertical-relative:line" coordorigin="0,0" coordsize="4955,30">
            <v:line style="position:absolute" from="15,15" to="4940,15" stroked="true" strokeweight="1.5pt" strokecolor="#000000"/>
          </v:group>
        </w:pict>
      </w:r>
      <w:r>
        <w:rPr>
          <w:position w:val="0"/>
          <w:sz w:val="3"/>
        </w:rPr>
      </w:r>
    </w:p>
    <w:p>
      <w:pPr>
        <w:pStyle w:val="BodyText"/>
      </w:pPr>
    </w:p>
    <w:p>
      <w:pPr>
        <w:pStyle w:val="BodyText"/>
        <w:spacing w:before="10"/>
        <w:rPr>
          <w:sz w:val="19"/>
        </w:rPr>
      </w:pPr>
    </w:p>
    <w:p>
      <w:pPr>
        <w:pStyle w:val="Heading4"/>
        <w:numPr>
          <w:ilvl w:val="0"/>
          <w:numId w:val="159"/>
        </w:numPr>
        <w:tabs>
          <w:tab w:pos="473" w:val="left" w:leader="none"/>
        </w:tabs>
        <w:spacing w:line="240" w:lineRule="auto" w:before="0" w:after="0"/>
        <w:ind w:left="270" w:right="0" w:firstLine="0"/>
        <w:jc w:val="both"/>
      </w:pPr>
      <w:r>
        <w:rPr/>
        <w:t>INTRODUCTION</w:t>
      </w:r>
    </w:p>
    <w:p>
      <w:pPr>
        <w:pStyle w:val="BodyText"/>
        <w:spacing w:before="9"/>
        <w:rPr>
          <w:b/>
          <w:sz w:val="19"/>
        </w:rPr>
      </w:pPr>
    </w:p>
    <w:p>
      <w:pPr>
        <w:pStyle w:val="BodyText"/>
        <w:spacing w:before="1"/>
        <w:ind w:left="270" w:right="676"/>
        <w:jc w:val="both"/>
      </w:pPr>
      <w:r>
        <w:rPr/>
        <w:t>Musculoskeletal Disorders (MSDs) primarily affect the soft tissues of the musculoskeletal system: muscles, tendons, nerves, and other structures close to the joints. When performing certain tasks, a small mechanical stress occurs: stretching, friction, compression ... which when repeated over long periods of time (months or years), their effects accumulate to cause injury manifested. These injuries are manifested by pain and functional limitation of the affected area that limits to get the job done (Ventura Rodríguez, 2013).</w:t>
      </w:r>
    </w:p>
    <w:p>
      <w:pPr>
        <w:pStyle w:val="BodyText"/>
        <w:ind w:left="270" w:right="677"/>
        <w:jc w:val="both"/>
      </w:pPr>
      <w:r>
        <w:rPr/>
        <w:t>The “linieros” are workers in the electricity industry whose principal activity is to maintain the appropriate operation of high, medium, and low networks voltage to maintain continuity of electricity service.</w:t>
      </w:r>
    </w:p>
    <w:p>
      <w:pPr>
        <w:pStyle w:val="BodyText"/>
        <w:ind w:left="270" w:right="676"/>
        <w:jc w:val="both"/>
      </w:pPr>
      <w:r>
        <w:rPr/>
        <w:t>The records in Federal Electricity Commission, “FEC” (ComisiónFederal de Electricidad) shows that the most common problems in “linieros” are those like hearing loss, tension headache, infections in the respiratory system, burns caused by steam, and muscle-skeletal disorders. In this scenario the most frequent problems are the muscle-skeletal disorders with the 85% of occurrence in workers aged from 35 to 45 years old.</w:t>
      </w:r>
    </w:p>
    <w:p>
      <w:pPr>
        <w:pStyle w:val="BodyText"/>
        <w:spacing w:before="3"/>
      </w:pPr>
    </w:p>
    <w:p>
      <w:pPr>
        <w:pStyle w:val="Heading4"/>
        <w:numPr>
          <w:ilvl w:val="1"/>
          <w:numId w:val="159"/>
        </w:numPr>
        <w:tabs>
          <w:tab w:pos="631" w:val="left" w:leader="none"/>
        </w:tabs>
        <w:spacing w:line="240" w:lineRule="auto" w:before="0" w:after="0"/>
        <w:ind w:left="630" w:right="0" w:hanging="360"/>
        <w:jc w:val="both"/>
        <w:rPr>
          <w:rFonts w:ascii="Calibri"/>
          <w:sz w:val="22"/>
        </w:rPr>
      </w:pPr>
      <w:r>
        <w:rPr/>
        <w:t>STATEMENT OF THE</w:t>
      </w:r>
      <w:r>
        <w:rPr>
          <w:spacing w:val="-15"/>
        </w:rPr>
        <w:t> </w:t>
      </w:r>
      <w:r>
        <w:rPr/>
        <w:t>PROBLEM</w:t>
      </w:r>
    </w:p>
    <w:p>
      <w:pPr>
        <w:pStyle w:val="BodyText"/>
        <w:spacing w:before="4"/>
        <w:rPr>
          <w:b/>
          <w:sz w:val="18"/>
        </w:rPr>
      </w:pPr>
    </w:p>
    <w:p>
      <w:pPr>
        <w:pStyle w:val="BodyText"/>
        <w:ind w:left="270" w:right="677"/>
        <w:jc w:val="both"/>
      </w:pPr>
      <w:r>
        <w:rPr/>
        <w:t>Over time mankind has improved their living conditions, they have developed new forms of energy, most notably electricity. Consequently, the evolution of the industry has brought great satisfaction to humanity, who today sees electricity as the most reliable supply of energy worldwide.</w:t>
      </w:r>
    </w:p>
    <w:p>
      <w:pPr>
        <w:pStyle w:val="BodyText"/>
        <w:ind w:left="270" w:right="676" w:firstLine="420"/>
        <w:jc w:val="both"/>
      </w:pPr>
      <w:r>
        <w:rPr/>
        <w:t>Energy suppliers have four major areas or labor departments: generation, transmission, distribution and marketing, where a large number of workers perform very specific activities in each one of them. The transmission and distribution areas are the ones that integrate the energy supply system responsible for bringing electricity to the points of consumption (user).</w:t>
      </w:r>
    </w:p>
    <w:p>
      <w:pPr>
        <w:pStyle w:val="BodyText"/>
        <w:ind w:left="270" w:right="677" w:firstLine="420"/>
        <w:jc w:val="both"/>
      </w:pPr>
      <w:r>
        <w:rPr/>
        <w:t>The network or system power distribution has the task of supplying power from the substation distribution to end users (user’s measurer). These lines are facilities used to reduce the voltage values to users. This operation requires the intervention of workers in the electricity sector in charge of the installation, maintenance and repair of lines or grids, which are called “linieros”.</w:t>
      </w:r>
    </w:p>
    <w:p>
      <w:pPr>
        <w:pStyle w:val="BodyText"/>
        <w:ind w:left="270" w:right="676" w:firstLine="420"/>
        <w:jc w:val="both"/>
      </w:pPr>
      <w:r>
        <w:rPr/>
        <w:t>The “linieros” are the electrical workers who are exposed to higher occupational risk due to the nature of the work activities they do every day. Among other things they are exposed to the possibility of electrical contact, risk of falls from height, adapting, and maintaining awkward postures.</w:t>
      </w:r>
    </w:p>
    <w:p>
      <w:pPr>
        <w:pStyle w:val="BodyText"/>
        <w:ind w:left="270" w:right="676" w:firstLine="420"/>
        <w:jc w:val="both"/>
      </w:pPr>
      <w:r>
        <w:rPr/>
        <w:t>Awkward positions, repetitive movements, cargo handling are the main occupational ergonomic risk  factors to which the electrical workers are exposed to. According</w:t>
      </w:r>
      <w:r>
        <w:rPr>
          <w:spacing w:val="35"/>
        </w:rPr>
        <w:t> </w:t>
      </w:r>
      <w:r>
        <w:rPr/>
        <w:t>to</w:t>
      </w:r>
    </w:p>
    <w:p>
      <w:pPr>
        <w:spacing w:after="0"/>
        <w:jc w:val="both"/>
        <w:sectPr>
          <w:type w:val="continuous"/>
          <w:pgSz w:w="12240" w:h="15840"/>
          <w:pgMar w:top="1500" w:bottom="280" w:left="580" w:right="220"/>
          <w:cols w:num="2" w:equalWidth="0">
            <w:col w:w="5207" w:space="417"/>
            <w:col w:w="5816"/>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4"/>
        <w:ind w:left="270" w:right="1"/>
        <w:jc w:val="both"/>
      </w:pPr>
      <w:r>
        <w:rPr/>
        <w:t>health problems muscle skeletal disorders are represented by low back pain, neck pain, back pain, painful man syndrome, carpal tunnel, and pathology legs syndrome. [3]</w:t>
      </w:r>
    </w:p>
    <w:p>
      <w:pPr>
        <w:pStyle w:val="BodyText"/>
        <w:ind w:left="270" w:firstLine="420"/>
        <w:jc w:val="both"/>
      </w:pPr>
      <w:r>
        <w:rPr/>
        <w:t>Two checklists were apply, the first one based on the methodology called application of construction, founding a 58% risk according to the workers. The second checklist was based on the positions and labor hours, obtaining a red (high risk) index, which means modifications must be done urgently (see Annex)</w:t>
      </w:r>
    </w:p>
    <w:p>
      <w:pPr>
        <w:pStyle w:val="BodyText"/>
        <w:spacing w:before="2"/>
      </w:pPr>
    </w:p>
    <w:p>
      <w:pPr>
        <w:pStyle w:val="Heading4"/>
        <w:numPr>
          <w:ilvl w:val="1"/>
          <w:numId w:val="159"/>
        </w:numPr>
        <w:tabs>
          <w:tab w:pos="572" w:val="left" w:leader="none"/>
        </w:tabs>
        <w:spacing w:line="240" w:lineRule="auto" w:before="0" w:after="0"/>
        <w:ind w:left="571" w:right="0" w:hanging="301"/>
        <w:jc w:val="both"/>
      </w:pPr>
      <w:r>
        <w:rPr/>
        <w:t>Objetive</w:t>
      </w:r>
    </w:p>
    <w:p>
      <w:pPr>
        <w:pStyle w:val="BodyText"/>
        <w:spacing w:before="8"/>
        <w:rPr>
          <w:b/>
          <w:sz w:val="19"/>
        </w:rPr>
      </w:pPr>
    </w:p>
    <w:p>
      <w:pPr>
        <w:pStyle w:val="BodyText"/>
        <w:ind w:left="270" w:right="1"/>
        <w:jc w:val="both"/>
      </w:pPr>
      <w:r>
        <w:rPr/>
        <w:t>Identify occupational risk factors of “linieros” in FEC applying ergonomic tools to determine the coefficient of risk exposure and take preventive and corrective actions.</w:t>
      </w:r>
    </w:p>
    <w:p>
      <w:pPr>
        <w:pStyle w:val="BodyText"/>
        <w:spacing w:before="2"/>
      </w:pPr>
    </w:p>
    <w:p>
      <w:pPr>
        <w:pStyle w:val="Heading4"/>
        <w:numPr>
          <w:ilvl w:val="1"/>
          <w:numId w:val="159"/>
        </w:numPr>
        <w:tabs>
          <w:tab w:pos="571" w:val="left" w:leader="none"/>
        </w:tabs>
        <w:spacing w:line="240" w:lineRule="auto" w:before="0" w:after="0"/>
        <w:ind w:left="570" w:right="0" w:hanging="300"/>
        <w:jc w:val="both"/>
      </w:pPr>
      <w:r>
        <w:rPr/>
        <w:t>Justification</w:t>
      </w:r>
    </w:p>
    <w:p>
      <w:pPr>
        <w:pStyle w:val="BodyText"/>
        <w:spacing w:before="8"/>
        <w:rPr>
          <w:b/>
          <w:sz w:val="19"/>
        </w:rPr>
      </w:pPr>
    </w:p>
    <w:p>
      <w:pPr>
        <w:pStyle w:val="BodyText"/>
        <w:ind w:left="270"/>
        <w:jc w:val="both"/>
        <w:rPr>
          <w:sz w:val="18"/>
        </w:rPr>
      </w:pPr>
      <w:r>
        <w:rPr/>
        <w:t>The adverse working conditions which “linieros” are  exposed to, as physical risk factors, mechanical, ergonomic, and others, may lead to health problems as illnesses or accidents.</w:t>
      </w:r>
      <w:r>
        <w:rPr>
          <w:spacing w:val="-8"/>
        </w:rPr>
        <w:t> </w:t>
      </w:r>
      <w:r>
        <w:rPr>
          <w:sz w:val="18"/>
        </w:rPr>
        <w:t>[3]</w:t>
      </w:r>
    </w:p>
    <w:p>
      <w:pPr>
        <w:pStyle w:val="BodyText"/>
        <w:ind w:left="270" w:firstLine="420"/>
        <w:jc w:val="both"/>
      </w:pPr>
      <w:r>
        <w:rPr/>
        <w:t>This ergonomic study will bring great benefits to the company because it will allow making a diagnosis of the postures. It will also allow identifying those postures that has to be redefined in order to determine the best positions, and fewer lesions will be obtained with them. Furthermore, a decrease in the degree of disability or doctor visits will be gained as a consequence.</w:t>
      </w:r>
    </w:p>
    <w:p>
      <w:pPr>
        <w:pStyle w:val="BodyText"/>
        <w:spacing w:before="2"/>
      </w:pPr>
    </w:p>
    <w:p>
      <w:pPr>
        <w:pStyle w:val="Heading4"/>
        <w:numPr>
          <w:ilvl w:val="1"/>
          <w:numId w:val="159"/>
        </w:numPr>
        <w:tabs>
          <w:tab w:pos="571" w:val="left" w:leader="none"/>
        </w:tabs>
        <w:spacing w:line="240" w:lineRule="auto" w:before="0" w:after="0"/>
        <w:ind w:left="570" w:right="0" w:hanging="300"/>
        <w:jc w:val="both"/>
      </w:pPr>
      <w:r>
        <w:rPr/>
        <w:t>Delimitation</w:t>
      </w:r>
    </w:p>
    <w:p>
      <w:pPr>
        <w:pStyle w:val="BodyText"/>
        <w:spacing w:before="8"/>
        <w:rPr>
          <w:b/>
          <w:sz w:val="19"/>
        </w:rPr>
      </w:pPr>
    </w:p>
    <w:p>
      <w:pPr>
        <w:pStyle w:val="BodyText"/>
        <w:ind w:left="270" w:right="1"/>
        <w:jc w:val="both"/>
      </w:pPr>
      <w:r>
        <w:rPr/>
        <w:t>Identify the values of occupational risk and define the conditions in which workers are involved in. This will provide the bases to create a surveillance system and to document an activity plan and develop health promotion actions to control and prevent many of these and other occupational risks.</w:t>
      </w:r>
    </w:p>
    <w:p>
      <w:pPr>
        <w:pStyle w:val="BodyText"/>
        <w:spacing w:before="2"/>
      </w:pPr>
    </w:p>
    <w:p>
      <w:pPr>
        <w:pStyle w:val="Heading4"/>
        <w:numPr>
          <w:ilvl w:val="0"/>
          <w:numId w:val="159"/>
        </w:numPr>
        <w:tabs>
          <w:tab w:pos="471" w:val="left" w:leader="none"/>
        </w:tabs>
        <w:spacing w:line="240" w:lineRule="auto" w:before="0" w:after="0"/>
        <w:ind w:left="470" w:right="0" w:hanging="200"/>
        <w:jc w:val="both"/>
      </w:pPr>
      <w:r>
        <w:rPr/>
        <w:t>METHODOLOGY</w:t>
      </w:r>
    </w:p>
    <w:p>
      <w:pPr>
        <w:pStyle w:val="BodyText"/>
        <w:spacing w:before="8"/>
        <w:rPr>
          <w:b/>
          <w:sz w:val="19"/>
        </w:rPr>
      </w:pPr>
    </w:p>
    <w:p>
      <w:pPr>
        <w:pStyle w:val="BodyText"/>
        <w:ind w:left="270" w:right="1"/>
        <w:jc w:val="both"/>
      </w:pPr>
      <w:r>
        <w:rPr/>
        <w:t>This research uses checklists sheets, surveys based on Suzanne Rodger and RULA methodologies to gather information on existing occupational hazards in FEC workers.</w:t>
      </w:r>
    </w:p>
    <w:p>
      <w:pPr>
        <w:pStyle w:val="BodyText"/>
      </w:pPr>
    </w:p>
    <w:p>
      <w:pPr>
        <w:pStyle w:val="BodyText"/>
      </w:pPr>
    </w:p>
    <w:p>
      <w:pPr>
        <w:pStyle w:val="Heading4"/>
        <w:numPr>
          <w:ilvl w:val="1"/>
          <w:numId w:val="159"/>
        </w:numPr>
        <w:tabs>
          <w:tab w:pos="571" w:val="left" w:leader="none"/>
        </w:tabs>
        <w:spacing w:line="240" w:lineRule="auto" w:before="0" w:after="0"/>
        <w:ind w:left="570" w:right="0" w:hanging="300"/>
        <w:jc w:val="both"/>
        <w:rPr>
          <w:b w:val="0"/>
        </w:rPr>
      </w:pPr>
      <w:r>
        <w:rPr/>
        <w:t>Materials</w:t>
      </w:r>
      <w:r>
        <w:rPr>
          <w:b w:val="0"/>
        </w:rPr>
        <w:t>.</w:t>
      </w:r>
    </w:p>
    <w:p>
      <w:pPr>
        <w:pStyle w:val="BodyText"/>
      </w:pPr>
    </w:p>
    <w:p>
      <w:pPr>
        <w:pStyle w:val="ListParagraph"/>
        <w:numPr>
          <w:ilvl w:val="2"/>
          <w:numId w:val="159"/>
        </w:numPr>
        <w:tabs>
          <w:tab w:pos="978" w:val="left" w:leader="none"/>
          <w:tab w:pos="979" w:val="left" w:leader="none"/>
        </w:tabs>
        <w:spacing w:line="244" w:lineRule="exact" w:before="1" w:after="0"/>
        <w:ind w:left="978" w:right="0" w:hanging="348"/>
        <w:jc w:val="left"/>
        <w:rPr>
          <w:sz w:val="20"/>
        </w:rPr>
      </w:pPr>
      <w:r>
        <w:rPr>
          <w:sz w:val="20"/>
        </w:rPr>
        <w:t>RULA</w:t>
      </w:r>
      <w:r>
        <w:rPr>
          <w:spacing w:val="-8"/>
          <w:sz w:val="20"/>
        </w:rPr>
        <w:t> </w:t>
      </w:r>
      <w:r>
        <w:rPr>
          <w:sz w:val="20"/>
        </w:rPr>
        <w:t>Checklist</w:t>
      </w:r>
    </w:p>
    <w:p>
      <w:pPr>
        <w:pStyle w:val="ListParagraph"/>
        <w:numPr>
          <w:ilvl w:val="2"/>
          <w:numId w:val="159"/>
        </w:numPr>
        <w:tabs>
          <w:tab w:pos="978" w:val="left" w:leader="none"/>
          <w:tab w:pos="979" w:val="left" w:leader="none"/>
        </w:tabs>
        <w:spacing w:line="244" w:lineRule="exact" w:before="0" w:after="0"/>
        <w:ind w:left="978" w:right="0" w:hanging="348"/>
        <w:jc w:val="left"/>
        <w:rPr>
          <w:sz w:val="20"/>
        </w:rPr>
      </w:pPr>
      <w:r>
        <w:rPr>
          <w:sz w:val="20"/>
        </w:rPr>
        <w:t>Suzanne Rodgers</w:t>
      </w:r>
      <w:r>
        <w:rPr>
          <w:spacing w:val="-13"/>
          <w:sz w:val="20"/>
        </w:rPr>
        <w:t> </w:t>
      </w:r>
      <w:r>
        <w:rPr>
          <w:sz w:val="20"/>
        </w:rPr>
        <w:t>Checklist</w:t>
      </w:r>
    </w:p>
    <w:p>
      <w:pPr>
        <w:pStyle w:val="ListParagraph"/>
        <w:numPr>
          <w:ilvl w:val="2"/>
          <w:numId w:val="159"/>
        </w:numPr>
        <w:tabs>
          <w:tab w:pos="978" w:val="left" w:leader="none"/>
          <w:tab w:pos="979" w:val="left" w:leader="none"/>
        </w:tabs>
        <w:spacing w:line="244" w:lineRule="exact" w:before="0" w:after="0"/>
        <w:ind w:left="978" w:right="0" w:hanging="348"/>
        <w:jc w:val="left"/>
        <w:rPr>
          <w:sz w:val="20"/>
        </w:rPr>
      </w:pPr>
      <w:r>
        <w:rPr>
          <w:sz w:val="20"/>
        </w:rPr>
        <w:t>Camera.</w:t>
      </w:r>
    </w:p>
    <w:p>
      <w:pPr>
        <w:pStyle w:val="ListParagraph"/>
        <w:numPr>
          <w:ilvl w:val="2"/>
          <w:numId w:val="159"/>
        </w:numPr>
        <w:tabs>
          <w:tab w:pos="978" w:val="left" w:leader="none"/>
          <w:tab w:pos="979" w:val="left" w:leader="none"/>
        </w:tabs>
        <w:spacing w:line="244" w:lineRule="exact" w:before="0" w:after="0"/>
        <w:ind w:left="978" w:right="0" w:hanging="348"/>
        <w:jc w:val="left"/>
        <w:rPr>
          <w:sz w:val="20"/>
        </w:rPr>
      </w:pPr>
      <w:r>
        <w:rPr>
          <w:sz w:val="20"/>
        </w:rPr>
        <w:t>Measure</w:t>
      </w:r>
      <w:r>
        <w:rPr>
          <w:spacing w:val="-2"/>
          <w:sz w:val="20"/>
        </w:rPr>
        <w:t> </w:t>
      </w:r>
      <w:r>
        <w:rPr>
          <w:sz w:val="20"/>
        </w:rPr>
        <w:t>tape</w:t>
      </w:r>
    </w:p>
    <w:p>
      <w:pPr>
        <w:pStyle w:val="BodyText"/>
        <w:spacing w:before="2"/>
      </w:pPr>
    </w:p>
    <w:p>
      <w:pPr>
        <w:pStyle w:val="Heading4"/>
        <w:numPr>
          <w:ilvl w:val="1"/>
          <w:numId w:val="159"/>
        </w:numPr>
        <w:tabs>
          <w:tab w:pos="572" w:val="left" w:leader="none"/>
        </w:tabs>
        <w:spacing w:line="240" w:lineRule="auto" w:before="0" w:after="0"/>
        <w:ind w:left="571" w:right="0" w:hanging="301"/>
        <w:jc w:val="both"/>
      </w:pPr>
      <w:r>
        <w:rPr/>
        <w:t>Population.</w:t>
      </w:r>
    </w:p>
    <w:p>
      <w:pPr>
        <w:pStyle w:val="BodyText"/>
        <w:spacing w:before="74"/>
        <w:ind w:left="270" w:right="679"/>
        <w:jc w:val="both"/>
      </w:pPr>
      <w:r>
        <w:rPr/>
        <w:br w:type="column"/>
      </w:r>
      <w:r>
        <w:rPr/>
        <w:t>The sample in this study was integrated for the “liniero” job station. Two activities were evaluated as a standard procedure that applies to other operators.</w:t>
      </w:r>
    </w:p>
    <w:p>
      <w:pPr>
        <w:pStyle w:val="BodyText"/>
        <w:spacing w:before="2"/>
      </w:pPr>
    </w:p>
    <w:p>
      <w:pPr>
        <w:pStyle w:val="Heading4"/>
        <w:numPr>
          <w:ilvl w:val="1"/>
          <w:numId w:val="159"/>
        </w:numPr>
        <w:tabs>
          <w:tab w:pos="572" w:val="left" w:leader="none"/>
        </w:tabs>
        <w:spacing w:line="240" w:lineRule="auto" w:before="0" w:after="0"/>
        <w:ind w:left="571" w:right="0" w:hanging="301"/>
        <w:jc w:val="both"/>
      </w:pPr>
      <w:r>
        <w:rPr/>
        <w:t>Procedure.</w:t>
      </w:r>
    </w:p>
    <w:p>
      <w:pPr>
        <w:pStyle w:val="BodyText"/>
        <w:spacing w:before="9"/>
        <w:rPr>
          <w:b/>
          <w:sz w:val="19"/>
        </w:rPr>
      </w:pPr>
    </w:p>
    <w:p>
      <w:pPr>
        <w:pStyle w:val="BodyText"/>
        <w:spacing w:before="1"/>
        <w:ind w:left="270" w:right="677"/>
        <w:jc w:val="both"/>
      </w:pPr>
      <w:r>
        <w:rPr/>
        <w:t>The Ergonomic Verification Guide elements were used as a based. These elements are:</w:t>
      </w:r>
    </w:p>
    <w:p>
      <w:pPr>
        <w:pStyle w:val="BodyText"/>
        <w:spacing w:before="3"/>
      </w:pPr>
    </w:p>
    <w:p>
      <w:pPr>
        <w:pStyle w:val="Heading4"/>
      </w:pPr>
      <w:r>
        <w:rPr/>
        <w:t>Procedimiento RULA</w:t>
      </w:r>
    </w:p>
    <w:p>
      <w:pPr>
        <w:pStyle w:val="BodyText"/>
        <w:spacing w:before="8"/>
        <w:rPr>
          <w:b/>
          <w:sz w:val="19"/>
        </w:rPr>
      </w:pPr>
    </w:p>
    <w:p>
      <w:pPr>
        <w:pStyle w:val="ListParagraph"/>
        <w:numPr>
          <w:ilvl w:val="0"/>
          <w:numId w:val="160"/>
        </w:numPr>
        <w:tabs>
          <w:tab w:pos="697" w:val="left" w:leader="none"/>
        </w:tabs>
        <w:spacing w:line="230" w:lineRule="exact" w:before="0" w:after="0"/>
        <w:ind w:left="696" w:right="0" w:hanging="426"/>
        <w:jc w:val="both"/>
        <w:rPr>
          <w:sz w:val="20"/>
        </w:rPr>
      </w:pPr>
      <w:r>
        <w:rPr>
          <w:sz w:val="20"/>
        </w:rPr>
        <w:t>Identify the</w:t>
      </w:r>
      <w:r>
        <w:rPr>
          <w:spacing w:val="-14"/>
          <w:sz w:val="20"/>
        </w:rPr>
        <w:t> </w:t>
      </w:r>
      <w:r>
        <w:rPr>
          <w:sz w:val="20"/>
        </w:rPr>
        <w:t>activities</w:t>
      </w:r>
    </w:p>
    <w:p>
      <w:pPr>
        <w:pStyle w:val="ListParagraph"/>
        <w:numPr>
          <w:ilvl w:val="0"/>
          <w:numId w:val="160"/>
        </w:numPr>
        <w:tabs>
          <w:tab w:pos="697" w:val="left" w:leader="none"/>
        </w:tabs>
        <w:spacing w:line="230" w:lineRule="exact" w:before="0" w:after="0"/>
        <w:ind w:left="696" w:right="0" w:hanging="426"/>
        <w:jc w:val="both"/>
        <w:rPr>
          <w:sz w:val="20"/>
        </w:rPr>
      </w:pPr>
      <w:r>
        <w:rPr>
          <w:sz w:val="20"/>
        </w:rPr>
        <w:t>Apply RULA</w:t>
      </w:r>
      <w:r>
        <w:rPr>
          <w:spacing w:val="-8"/>
          <w:sz w:val="20"/>
        </w:rPr>
        <w:t> </w:t>
      </w:r>
      <w:r>
        <w:rPr>
          <w:sz w:val="20"/>
        </w:rPr>
        <w:t>method</w:t>
      </w:r>
    </w:p>
    <w:p>
      <w:pPr>
        <w:pStyle w:val="ListParagraph"/>
        <w:numPr>
          <w:ilvl w:val="1"/>
          <w:numId w:val="160"/>
        </w:numPr>
        <w:tabs>
          <w:tab w:pos="839" w:val="left" w:leader="none"/>
        </w:tabs>
        <w:spacing w:line="237" w:lineRule="auto" w:before="3" w:after="0"/>
        <w:ind w:left="838" w:right="675" w:hanging="283"/>
        <w:jc w:val="both"/>
        <w:rPr>
          <w:sz w:val="20"/>
        </w:rPr>
      </w:pPr>
      <w:r>
        <w:rPr>
          <w:sz w:val="20"/>
        </w:rPr>
        <w:t>The application of the method begins with the observation of the worker's activity over several cycles</w:t>
      </w:r>
    </w:p>
    <w:p>
      <w:pPr>
        <w:pStyle w:val="ListParagraph"/>
        <w:numPr>
          <w:ilvl w:val="1"/>
          <w:numId w:val="160"/>
        </w:numPr>
        <w:tabs>
          <w:tab w:pos="839" w:val="left" w:leader="none"/>
        </w:tabs>
        <w:spacing w:line="230" w:lineRule="exact" w:before="22" w:after="0"/>
        <w:ind w:left="838" w:right="675" w:hanging="283"/>
        <w:jc w:val="both"/>
        <w:rPr>
          <w:sz w:val="20"/>
        </w:rPr>
      </w:pPr>
      <w:r>
        <w:rPr>
          <w:sz w:val="20"/>
        </w:rPr>
        <w:t>From this observation tasks and most significant positions should be selected (by duration or postural charge)</w:t>
      </w:r>
    </w:p>
    <w:p>
      <w:pPr>
        <w:pStyle w:val="ListParagraph"/>
        <w:numPr>
          <w:ilvl w:val="1"/>
          <w:numId w:val="160"/>
        </w:numPr>
        <w:tabs>
          <w:tab w:pos="839" w:val="left" w:leader="none"/>
        </w:tabs>
        <w:spacing w:line="230" w:lineRule="exact" w:before="19" w:after="0"/>
        <w:ind w:left="838" w:right="678" w:hanging="283"/>
        <w:jc w:val="both"/>
        <w:rPr>
          <w:sz w:val="20"/>
        </w:rPr>
      </w:pPr>
      <w:r>
        <w:rPr>
          <w:sz w:val="20"/>
        </w:rPr>
        <w:t>The positions to be evaluated are arm, forearm, wrist, neck, trunk and</w:t>
      </w:r>
      <w:r>
        <w:rPr>
          <w:spacing w:val="-13"/>
          <w:sz w:val="20"/>
        </w:rPr>
        <w:t> </w:t>
      </w:r>
      <w:r>
        <w:rPr>
          <w:sz w:val="20"/>
        </w:rPr>
        <w:t>table.</w:t>
      </w:r>
    </w:p>
    <w:p>
      <w:pPr>
        <w:pStyle w:val="ListParagraph"/>
        <w:numPr>
          <w:ilvl w:val="0"/>
          <w:numId w:val="160"/>
        </w:numPr>
        <w:tabs>
          <w:tab w:pos="697" w:val="left" w:leader="none"/>
        </w:tabs>
        <w:spacing w:line="228" w:lineRule="exact" w:before="0" w:after="0"/>
        <w:ind w:left="696" w:right="0" w:hanging="426"/>
        <w:jc w:val="both"/>
        <w:rPr>
          <w:sz w:val="20"/>
        </w:rPr>
      </w:pPr>
      <w:r>
        <w:rPr>
          <w:sz w:val="20"/>
        </w:rPr>
        <w:t>Design improvement</w:t>
      </w:r>
      <w:r>
        <w:rPr>
          <w:spacing w:val="-9"/>
          <w:sz w:val="20"/>
        </w:rPr>
        <w:t> </w:t>
      </w:r>
      <w:r>
        <w:rPr>
          <w:sz w:val="20"/>
        </w:rPr>
        <w:t>actions.</w:t>
      </w:r>
    </w:p>
    <w:p>
      <w:pPr>
        <w:pStyle w:val="BodyText"/>
        <w:spacing w:before="2"/>
      </w:pPr>
    </w:p>
    <w:p>
      <w:pPr>
        <w:pStyle w:val="Heading4"/>
      </w:pPr>
      <w:r>
        <w:rPr/>
        <w:t>Fundamentals of the method:</w:t>
      </w:r>
    </w:p>
    <w:p>
      <w:pPr>
        <w:pStyle w:val="BodyText"/>
        <w:spacing w:before="9"/>
        <w:rPr>
          <w:b/>
          <w:sz w:val="19"/>
        </w:rPr>
      </w:pPr>
    </w:p>
    <w:p>
      <w:pPr>
        <w:pStyle w:val="BodyText"/>
        <w:spacing w:before="1"/>
        <w:ind w:left="270" w:right="677"/>
        <w:jc w:val="both"/>
      </w:pPr>
      <w:r>
        <w:rPr/>
        <w:t>Continued or repeated posturing at work eventually may cause disorder in the muscle skeletal system. This static or postural load is one of the factors to consider in assessing working conditions, and its reduction is one of the key steps to take to improve positions. [7]</w:t>
      </w:r>
    </w:p>
    <w:p>
      <w:pPr>
        <w:pStyle w:val="BodyText"/>
        <w:ind w:left="270" w:right="677"/>
        <w:jc w:val="both"/>
      </w:pPr>
      <w:r>
        <w:rPr/>
        <w:t>The RULA method was developed to evaluate worker`s exposure to risk factors that can cause disorders in the upper limbs of the body, positions, movements, repeatability, applied forces, static, and activity of the muscle skeletal system.</w:t>
      </w:r>
    </w:p>
    <w:p>
      <w:pPr>
        <w:pStyle w:val="BodyText"/>
        <w:spacing w:before="3"/>
      </w:pPr>
    </w:p>
    <w:p>
      <w:pPr>
        <w:pStyle w:val="Heading4"/>
      </w:pPr>
      <w:r>
        <w:rPr/>
        <w:t>Method application:</w:t>
      </w:r>
    </w:p>
    <w:p>
      <w:pPr>
        <w:pStyle w:val="BodyText"/>
        <w:spacing w:before="8"/>
        <w:rPr>
          <w:b/>
          <w:sz w:val="19"/>
        </w:rPr>
      </w:pPr>
    </w:p>
    <w:p>
      <w:pPr>
        <w:pStyle w:val="BodyText"/>
        <w:ind w:left="270" w:right="677"/>
        <w:jc w:val="both"/>
      </w:pPr>
      <w:r>
        <w:rPr/>
        <w:t>RULA evaluates specific positions; is important to evaluate those which involve a higher postural load. The application of the method begins with the observation of the worker's activity over several cycles. From this observation should be selected tasks and most significant positions, either on its duration, it will evaluate the bids.</w:t>
      </w:r>
    </w:p>
    <w:p>
      <w:pPr>
        <w:pStyle w:val="BodyText"/>
        <w:ind w:left="270" w:right="677" w:firstLine="420"/>
        <w:jc w:val="both"/>
      </w:pPr>
      <w:r>
        <w:rPr/>
        <w:t>The RULA divides the body into two groups, A group that includes the upper limbs (arms, forearms and wrists) and group B, comprising the legs, trunk and</w:t>
      </w:r>
      <w:r>
        <w:rPr>
          <w:spacing w:val="-19"/>
        </w:rPr>
        <w:t> </w:t>
      </w:r>
      <w:r>
        <w:rPr/>
        <w:t>neck.</w:t>
      </w:r>
    </w:p>
    <w:p>
      <w:pPr>
        <w:pStyle w:val="BodyText"/>
        <w:ind w:left="354" w:right="3914"/>
        <w:jc w:val="center"/>
      </w:pPr>
      <w:r>
        <w:rPr/>
        <w:t>Score arm:</w:t>
      </w:r>
    </w:p>
    <w:p>
      <w:pPr>
        <w:pStyle w:val="BodyText"/>
        <w:ind w:left="270" w:right="675"/>
        <w:jc w:val="both"/>
      </w:pPr>
      <w:r>
        <w:rPr/>
        <w:t>The first member to be evaluated will be the arm. To determine the score to be assigned to this member, a  measure to the angle between the axes of the trunk must be done.</w:t>
      </w:r>
    </w:p>
    <w:p>
      <w:pPr>
        <w:pStyle w:val="BodyText"/>
        <w:spacing w:before="9"/>
        <w:rPr>
          <w:sz w:val="16"/>
        </w:rPr>
      </w:pPr>
      <w:r>
        <w:rPr/>
        <w:drawing>
          <wp:anchor distT="0" distB="0" distL="0" distR="0" allowOverlap="1" layoutInCell="1" locked="0" behindDoc="0" simplePos="0" relativeHeight="17992">
            <wp:simplePos x="0" y="0"/>
            <wp:positionH relativeFrom="page">
              <wp:posOffset>4787646</wp:posOffset>
            </wp:positionH>
            <wp:positionV relativeFrom="paragraph">
              <wp:posOffset>147799</wp:posOffset>
            </wp:positionV>
            <wp:extent cx="776117" cy="359664"/>
            <wp:effectExtent l="0" t="0" r="0" b="0"/>
            <wp:wrapTopAndBottom/>
            <wp:docPr id="801" name="image446.jpeg" descr=""/>
            <wp:cNvGraphicFramePr>
              <a:graphicFrameLocks noChangeAspect="1"/>
            </wp:cNvGraphicFramePr>
            <a:graphic>
              <a:graphicData uri="http://schemas.openxmlformats.org/drawingml/2006/picture">
                <pic:pic>
                  <pic:nvPicPr>
                    <pic:cNvPr id="802" name="image446.jpeg"/>
                    <pic:cNvPicPr/>
                  </pic:nvPicPr>
                  <pic:blipFill>
                    <a:blip r:embed="rId715" cstate="print"/>
                    <a:stretch>
                      <a:fillRect/>
                    </a:stretch>
                  </pic:blipFill>
                  <pic:spPr>
                    <a:xfrm>
                      <a:off x="0" y="0"/>
                      <a:ext cx="776117" cy="359664"/>
                    </a:xfrm>
                    <a:prstGeom prst="rect">
                      <a:avLst/>
                    </a:prstGeom>
                  </pic:spPr>
                </pic:pic>
              </a:graphicData>
            </a:graphic>
          </wp:anchor>
        </w:drawing>
      </w:r>
      <w:r>
        <w:rPr/>
        <w:drawing>
          <wp:anchor distT="0" distB="0" distL="0" distR="0" allowOverlap="1" layoutInCell="1" locked="0" behindDoc="0" simplePos="0" relativeHeight="18016">
            <wp:simplePos x="0" y="0"/>
            <wp:positionH relativeFrom="page">
              <wp:posOffset>5886450</wp:posOffset>
            </wp:positionH>
            <wp:positionV relativeFrom="paragraph">
              <wp:posOffset>147799</wp:posOffset>
            </wp:positionV>
            <wp:extent cx="637626" cy="361854"/>
            <wp:effectExtent l="0" t="0" r="0" b="0"/>
            <wp:wrapTopAndBottom/>
            <wp:docPr id="803" name="image447.jpeg" descr=""/>
            <wp:cNvGraphicFramePr>
              <a:graphicFrameLocks noChangeAspect="1"/>
            </wp:cNvGraphicFramePr>
            <a:graphic>
              <a:graphicData uri="http://schemas.openxmlformats.org/drawingml/2006/picture">
                <pic:pic>
                  <pic:nvPicPr>
                    <pic:cNvPr id="804" name="image447.jpeg"/>
                    <pic:cNvPicPr/>
                  </pic:nvPicPr>
                  <pic:blipFill>
                    <a:blip r:embed="rId716" cstate="print"/>
                    <a:stretch>
                      <a:fillRect/>
                    </a:stretch>
                  </pic:blipFill>
                  <pic:spPr>
                    <a:xfrm>
                      <a:off x="0" y="0"/>
                      <a:ext cx="637626" cy="361854"/>
                    </a:xfrm>
                    <a:prstGeom prst="rect">
                      <a:avLst/>
                    </a:prstGeom>
                  </pic:spPr>
                </pic:pic>
              </a:graphicData>
            </a:graphic>
          </wp:anchor>
        </w:drawing>
      </w:r>
    </w:p>
    <w:p>
      <w:pPr>
        <w:pStyle w:val="BodyText"/>
        <w:spacing w:before="2"/>
        <w:rPr>
          <w:sz w:val="17"/>
        </w:rPr>
      </w:pPr>
    </w:p>
    <w:p>
      <w:pPr>
        <w:pStyle w:val="BodyText"/>
        <w:spacing w:before="1"/>
        <w:ind w:left="270"/>
        <w:jc w:val="both"/>
      </w:pPr>
      <w:r>
        <w:rPr/>
        <w:t>Rating forearm:</w:t>
      </w:r>
    </w:p>
    <w:p>
      <w:pPr>
        <w:spacing w:after="0"/>
        <w:jc w:val="both"/>
        <w:sectPr>
          <w:type w:val="continuous"/>
          <w:pgSz w:w="12240" w:h="15840"/>
          <w:pgMar w:top="1500" w:bottom="280" w:left="580" w:right="220"/>
          <w:cols w:num="2" w:equalWidth="0">
            <w:col w:w="5191" w:space="434"/>
            <w:col w:w="5815"/>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4"/>
        <w:ind w:left="270"/>
        <w:jc w:val="both"/>
      </w:pPr>
      <w:r>
        <w:rPr/>
        <w:t>Next will be analyzed forearm position. The score for the lower arm will depend on its position again. Figure 3 shows the different possibilities. Once you have determined the position of the forearm and the corresponding angle, consult chart 3 to determine the score established by the method.</w:t>
      </w:r>
    </w:p>
    <w:p>
      <w:pPr>
        <w:pStyle w:val="BodyText"/>
        <w:spacing w:before="10"/>
        <w:rPr>
          <w:sz w:val="16"/>
        </w:rPr>
      </w:pPr>
      <w:r>
        <w:rPr/>
        <w:drawing>
          <wp:anchor distT="0" distB="0" distL="0" distR="0" allowOverlap="1" layoutInCell="1" locked="0" behindDoc="0" simplePos="0" relativeHeight="18040">
            <wp:simplePos x="0" y="0"/>
            <wp:positionH relativeFrom="page">
              <wp:posOffset>1394460</wp:posOffset>
            </wp:positionH>
            <wp:positionV relativeFrom="paragraph">
              <wp:posOffset>148558</wp:posOffset>
            </wp:positionV>
            <wp:extent cx="370996" cy="361854"/>
            <wp:effectExtent l="0" t="0" r="0" b="0"/>
            <wp:wrapTopAndBottom/>
            <wp:docPr id="805" name="image448.jpeg" descr=""/>
            <wp:cNvGraphicFramePr>
              <a:graphicFrameLocks noChangeAspect="1"/>
            </wp:cNvGraphicFramePr>
            <a:graphic>
              <a:graphicData uri="http://schemas.openxmlformats.org/drawingml/2006/picture">
                <pic:pic>
                  <pic:nvPicPr>
                    <pic:cNvPr id="806" name="image448.jpeg"/>
                    <pic:cNvPicPr/>
                  </pic:nvPicPr>
                  <pic:blipFill>
                    <a:blip r:embed="rId717" cstate="print"/>
                    <a:stretch>
                      <a:fillRect/>
                    </a:stretch>
                  </pic:blipFill>
                  <pic:spPr>
                    <a:xfrm>
                      <a:off x="0" y="0"/>
                      <a:ext cx="370996" cy="361854"/>
                    </a:xfrm>
                    <a:prstGeom prst="rect">
                      <a:avLst/>
                    </a:prstGeom>
                  </pic:spPr>
                </pic:pic>
              </a:graphicData>
            </a:graphic>
          </wp:anchor>
        </w:drawing>
      </w:r>
      <w:r>
        <w:rPr/>
        <w:drawing>
          <wp:anchor distT="0" distB="0" distL="0" distR="0" allowOverlap="1" layoutInCell="1" locked="0" behindDoc="0" simplePos="0" relativeHeight="18064">
            <wp:simplePos x="0" y="0"/>
            <wp:positionH relativeFrom="page">
              <wp:posOffset>2083307</wp:posOffset>
            </wp:positionH>
            <wp:positionV relativeFrom="paragraph">
              <wp:posOffset>205708</wp:posOffset>
            </wp:positionV>
            <wp:extent cx="722090" cy="304038"/>
            <wp:effectExtent l="0" t="0" r="0" b="0"/>
            <wp:wrapTopAndBottom/>
            <wp:docPr id="807" name="image449.jpeg" descr=""/>
            <wp:cNvGraphicFramePr>
              <a:graphicFrameLocks noChangeAspect="1"/>
            </wp:cNvGraphicFramePr>
            <a:graphic>
              <a:graphicData uri="http://schemas.openxmlformats.org/drawingml/2006/picture">
                <pic:pic>
                  <pic:nvPicPr>
                    <pic:cNvPr id="808" name="image449.jpeg"/>
                    <pic:cNvPicPr/>
                  </pic:nvPicPr>
                  <pic:blipFill>
                    <a:blip r:embed="rId718" cstate="print"/>
                    <a:stretch>
                      <a:fillRect/>
                    </a:stretch>
                  </pic:blipFill>
                  <pic:spPr>
                    <a:xfrm>
                      <a:off x="0" y="0"/>
                      <a:ext cx="722090" cy="304038"/>
                    </a:xfrm>
                    <a:prstGeom prst="rect">
                      <a:avLst/>
                    </a:prstGeom>
                  </pic:spPr>
                </pic:pic>
              </a:graphicData>
            </a:graphic>
          </wp:anchor>
        </w:drawing>
      </w:r>
    </w:p>
    <w:p>
      <w:pPr>
        <w:pStyle w:val="BodyText"/>
        <w:spacing w:before="1"/>
        <w:rPr>
          <w:sz w:val="17"/>
        </w:rPr>
      </w:pPr>
    </w:p>
    <w:p>
      <w:pPr>
        <w:pStyle w:val="BodyText"/>
        <w:ind w:left="270" w:right="500"/>
      </w:pPr>
      <w:r>
        <w:rPr/>
        <w:t>Wrist rating:</w:t>
      </w:r>
    </w:p>
    <w:p>
      <w:pPr>
        <w:pStyle w:val="BodyText"/>
        <w:ind w:left="270" w:right="265"/>
      </w:pPr>
      <w:r>
        <w:rPr/>
        <w:t>To end with the score of the upper limbs (group A), the position of the wrist will be discussed. First, the degree of flexion of the wrist is determined.</w:t>
      </w:r>
    </w:p>
    <w:p>
      <w:pPr>
        <w:pStyle w:val="BodyText"/>
        <w:ind w:left="2158"/>
      </w:pPr>
      <w:r>
        <w:rPr/>
        <w:drawing>
          <wp:inline distT="0" distB="0" distL="0" distR="0">
            <wp:extent cx="721869" cy="237077"/>
            <wp:effectExtent l="0" t="0" r="0" b="0"/>
            <wp:docPr id="809" name="image450.jpeg" descr=""/>
            <wp:cNvGraphicFramePr>
              <a:graphicFrameLocks noChangeAspect="1"/>
            </wp:cNvGraphicFramePr>
            <a:graphic>
              <a:graphicData uri="http://schemas.openxmlformats.org/drawingml/2006/picture">
                <pic:pic>
                  <pic:nvPicPr>
                    <pic:cNvPr id="810" name="image450.jpeg"/>
                    <pic:cNvPicPr/>
                  </pic:nvPicPr>
                  <pic:blipFill>
                    <a:blip r:embed="rId719" cstate="print"/>
                    <a:stretch>
                      <a:fillRect/>
                    </a:stretch>
                  </pic:blipFill>
                  <pic:spPr>
                    <a:xfrm>
                      <a:off x="0" y="0"/>
                      <a:ext cx="721869" cy="237077"/>
                    </a:xfrm>
                    <a:prstGeom prst="rect">
                      <a:avLst/>
                    </a:prstGeom>
                  </pic:spPr>
                </pic:pic>
              </a:graphicData>
            </a:graphic>
          </wp:inline>
        </w:drawing>
      </w:r>
      <w:r>
        <w:rPr/>
      </w:r>
    </w:p>
    <w:p>
      <w:pPr>
        <w:pStyle w:val="BodyText"/>
        <w:spacing w:before="1"/>
        <w:ind w:left="270" w:right="500"/>
      </w:pPr>
      <w:r>
        <w:rPr/>
        <w:t>Rating neck:</w:t>
      </w:r>
    </w:p>
    <w:p>
      <w:pPr>
        <w:pStyle w:val="BodyText"/>
        <w:ind w:left="270" w:right="254"/>
      </w:pPr>
      <w:r>
        <w:rPr/>
        <w:t>The first member to evaluate this second block will be the neck. This member needs to bend to be evaluated.</w:t>
      </w:r>
    </w:p>
    <w:p>
      <w:pPr>
        <w:pStyle w:val="BodyText"/>
        <w:spacing w:before="4"/>
        <w:rPr>
          <w:sz w:val="26"/>
        </w:rPr>
      </w:pPr>
      <w:r>
        <w:rPr/>
        <w:br w:type="column"/>
      </w:r>
      <w:r>
        <w:rPr>
          <w:sz w:val="26"/>
        </w:rPr>
      </w:r>
    </w:p>
    <w:p>
      <w:pPr>
        <w:pStyle w:val="BodyText"/>
        <w:spacing w:before="1"/>
        <w:ind w:left="270" w:right="677"/>
        <w:jc w:val="both"/>
      </w:pPr>
      <w:r>
        <w:rPr/>
        <w:t>The value obtained was 3 because the operator kept his arms while working within the angles from 45 ° to 90 ° as he kept the wiring and operation of his arms off normally. (See Figure 2)</w:t>
      </w:r>
    </w:p>
    <w:p>
      <w:pPr>
        <w:pStyle w:val="BodyText"/>
        <w:spacing w:before="7"/>
        <w:rPr>
          <w:sz w:val="7"/>
        </w:rPr>
      </w:pPr>
    </w:p>
    <w:p>
      <w:pPr>
        <w:pStyle w:val="BodyText"/>
        <w:ind w:left="2219"/>
      </w:pPr>
      <w:r>
        <w:rPr/>
        <w:drawing>
          <wp:inline distT="0" distB="0" distL="0" distR="0">
            <wp:extent cx="621792" cy="617220"/>
            <wp:effectExtent l="0" t="0" r="0" b="0"/>
            <wp:docPr id="811" name="image451.png" descr=""/>
            <wp:cNvGraphicFramePr>
              <a:graphicFrameLocks noChangeAspect="1"/>
            </wp:cNvGraphicFramePr>
            <a:graphic>
              <a:graphicData uri="http://schemas.openxmlformats.org/drawingml/2006/picture">
                <pic:pic>
                  <pic:nvPicPr>
                    <pic:cNvPr id="812" name="image451.png"/>
                    <pic:cNvPicPr/>
                  </pic:nvPicPr>
                  <pic:blipFill>
                    <a:blip r:embed="rId720" cstate="print"/>
                    <a:stretch>
                      <a:fillRect/>
                    </a:stretch>
                  </pic:blipFill>
                  <pic:spPr>
                    <a:xfrm>
                      <a:off x="0" y="0"/>
                      <a:ext cx="621792" cy="617220"/>
                    </a:xfrm>
                    <a:prstGeom prst="rect">
                      <a:avLst/>
                    </a:prstGeom>
                  </pic:spPr>
                </pic:pic>
              </a:graphicData>
            </a:graphic>
          </wp:inline>
        </w:drawing>
      </w:r>
      <w:r>
        <w:rPr/>
      </w:r>
    </w:p>
    <w:p>
      <w:pPr>
        <w:spacing w:before="79"/>
        <w:ind w:left="1765" w:right="852" w:firstLine="0"/>
        <w:jc w:val="left"/>
        <w:rPr>
          <w:sz w:val="18"/>
        </w:rPr>
      </w:pPr>
      <w:r>
        <w:rPr>
          <w:sz w:val="18"/>
        </w:rPr>
        <w:t>Figure 2. “Puesta a tierra”</w:t>
      </w:r>
    </w:p>
    <w:p>
      <w:pPr>
        <w:pStyle w:val="BodyText"/>
        <w:rPr>
          <w:sz w:val="18"/>
        </w:rPr>
      </w:pPr>
    </w:p>
    <w:p>
      <w:pPr>
        <w:pStyle w:val="Heading4"/>
        <w:spacing w:before="130"/>
      </w:pPr>
      <w:r>
        <w:rPr/>
        <w:t>Position: Forearm</w:t>
      </w:r>
    </w:p>
    <w:p>
      <w:pPr>
        <w:pStyle w:val="BodyText"/>
        <w:spacing w:before="9"/>
        <w:rPr>
          <w:b/>
          <w:sz w:val="19"/>
        </w:rPr>
      </w:pPr>
    </w:p>
    <w:p>
      <w:pPr>
        <w:pStyle w:val="BodyText"/>
        <w:spacing w:before="1"/>
        <w:ind w:left="270" w:right="676"/>
        <w:jc w:val="both"/>
      </w:pPr>
      <w:r>
        <w:rPr/>
        <w:t>The value obtained was 2 in the forearm, because he always remained working from 0 ° to 60 °. But one of the captured movements was verified that the task arm crosses the midline of the body which is added +1 and overall gave a total of 3. (See Figure</w:t>
      </w:r>
      <w:r>
        <w:rPr>
          <w:spacing w:val="-11"/>
        </w:rPr>
        <w:t> </w:t>
      </w:r>
      <w:r>
        <w:rPr/>
        <w:t>3)</w:t>
      </w:r>
    </w:p>
    <w:p>
      <w:pPr>
        <w:spacing w:after="0"/>
        <w:jc w:val="both"/>
        <w:sectPr>
          <w:type w:val="continuous"/>
          <w:pgSz w:w="12240" w:h="15840"/>
          <w:pgMar w:top="1500" w:bottom="280" w:left="580" w:right="220"/>
          <w:cols w:num="2" w:equalWidth="0">
            <w:col w:w="5188" w:space="437"/>
            <w:col w:w="5815"/>
          </w:cols>
        </w:sectPr>
      </w:pPr>
    </w:p>
    <w:p>
      <w:pPr>
        <w:pStyle w:val="BodyText"/>
      </w:pPr>
    </w:p>
    <w:p>
      <w:pPr>
        <w:pStyle w:val="BodyText"/>
      </w:pPr>
    </w:p>
    <w:p>
      <w:pPr>
        <w:pStyle w:val="BodyText"/>
      </w:pPr>
    </w:p>
    <w:p>
      <w:pPr>
        <w:pStyle w:val="BodyText"/>
      </w:pPr>
    </w:p>
    <w:p>
      <w:pPr>
        <w:spacing w:after="0"/>
        <w:sectPr>
          <w:type w:val="continuous"/>
          <w:pgSz w:w="12240" w:h="15840"/>
          <w:pgMar w:top="1500" w:bottom="280" w:left="580" w:right="220"/>
        </w:sectPr>
      </w:pPr>
    </w:p>
    <w:p>
      <w:pPr>
        <w:pStyle w:val="BodyText"/>
        <w:spacing w:before="10"/>
        <w:rPr>
          <w:sz w:val="16"/>
        </w:rPr>
      </w:pPr>
    </w:p>
    <w:p>
      <w:pPr>
        <w:pStyle w:val="BodyText"/>
        <w:ind w:left="270"/>
        <w:jc w:val="both"/>
      </w:pPr>
      <w:r>
        <w:rPr/>
        <w:drawing>
          <wp:anchor distT="0" distB="0" distL="0" distR="0" allowOverlap="1" layoutInCell="1" locked="0" behindDoc="0" simplePos="0" relativeHeight="18088">
            <wp:simplePos x="0" y="0"/>
            <wp:positionH relativeFrom="page">
              <wp:posOffset>1738883</wp:posOffset>
            </wp:positionH>
            <wp:positionV relativeFrom="paragraph">
              <wp:posOffset>-734111</wp:posOffset>
            </wp:positionV>
            <wp:extent cx="723900" cy="590550"/>
            <wp:effectExtent l="0" t="0" r="0" b="0"/>
            <wp:wrapNone/>
            <wp:docPr id="813" name="image452.jpeg" descr=""/>
            <wp:cNvGraphicFramePr>
              <a:graphicFrameLocks noChangeAspect="1"/>
            </wp:cNvGraphicFramePr>
            <a:graphic>
              <a:graphicData uri="http://schemas.openxmlformats.org/drawingml/2006/picture">
                <pic:pic>
                  <pic:nvPicPr>
                    <pic:cNvPr id="814" name="image452.jpeg"/>
                    <pic:cNvPicPr/>
                  </pic:nvPicPr>
                  <pic:blipFill>
                    <a:blip r:embed="rId721" cstate="print"/>
                    <a:stretch>
                      <a:fillRect/>
                    </a:stretch>
                  </pic:blipFill>
                  <pic:spPr>
                    <a:xfrm>
                      <a:off x="0" y="0"/>
                      <a:ext cx="723900" cy="590550"/>
                    </a:xfrm>
                    <a:prstGeom prst="rect">
                      <a:avLst/>
                    </a:prstGeom>
                  </pic:spPr>
                </pic:pic>
              </a:graphicData>
            </a:graphic>
          </wp:anchor>
        </w:drawing>
      </w:r>
      <w:r>
        <w:rPr/>
        <w:drawing>
          <wp:anchor distT="0" distB="0" distL="0" distR="0" allowOverlap="1" layoutInCell="1" locked="0" behindDoc="0" simplePos="0" relativeHeight="18112">
            <wp:simplePos x="0" y="0"/>
            <wp:positionH relativeFrom="page">
              <wp:posOffset>1744217</wp:posOffset>
            </wp:positionH>
            <wp:positionV relativeFrom="paragraph">
              <wp:posOffset>586434</wp:posOffset>
            </wp:positionV>
            <wp:extent cx="713994" cy="438150"/>
            <wp:effectExtent l="0" t="0" r="0" b="0"/>
            <wp:wrapNone/>
            <wp:docPr id="815" name="image453.jpeg" descr=""/>
            <wp:cNvGraphicFramePr>
              <a:graphicFrameLocks noChangeAspect="1"/>
            </wp:cNvGraphicFramePr>
            <a:graphic>
              <a:graphicData uri="http://schemas.openxmlformats.org/drawingml/2006/picture">
                <pic:pic>
                  <pic:nvPicPr>
                    <pic:cNvPr id="816" name="image453.jpeg"/>
                    <pic:cNvPicPr/>
                  </pic:nvPicPr>
                  <pic:blipFill>
                    <a:blip r:embed="rId722" cstate="print"/>
                    <a:stretch>
                      <a:fillRect/>
                    </a:stretch>
                  </pic:blipFill>
                  <pic:spPr>
                    <a:xfrm>
                      <a:off x="0" y="0"/>
                      <a:ext cx="713994" cy="438150"/>
                    </a:xfrm>
                    <a:prstGeom prst="rect">
                      <a:avLst/>
                    </a:prstGeom>
                  </pic:spPr>
                </pic:pic>
              </a:graphicData>
            </a:graphic>
          </wp:anchor>
        </w:drawing>
      </w:r>
      <w:r>
        <w:rPr/>
        <w:t>The second member to evaluate in the group B will be the trunk. It must be determined whether the  worker performs the task, if it is performed sitting or standing, indicating the degree of flexion of the trunk.</w:t>
      </w:r>
    </w:p>
    <w:p>
      <w:pPr>
        <w:pStyle w:val="BodyText"/>
      </w:pPr>
      <w:r>
        <w:rPr/>
        <w:br w:type="column"/>
      </w:r>
      <w:r>
        <w:rPr/>
      </w:r>
    </w:p>
    <w:p>
      <w:pPr>
        <w:pStyle w:val="BodyText"/>
      </w:pPr>
    </w:p>
    <w:p>
      <w:pPr>
        <w:pStyle w:val="BodyText"/>
      </w:pPr>
    </w:p>
    <w:p>
      <w:pPr>
        <w:pStyle w:val="BodyText"/>
        <w:spacing w:before="4"/>
        <w:rPr>
          <w:sz w:val="17"/>
        </w:rPr>
      </w:pPr>
    </w:p>
    <w:p>
      <w:pPr>
        <w:pStyle w:val="Heading4"/>
        <w:ind w:right="-20"/>
        <w:jc w:val="left"/>
      </w:pPr>
      <w:r>
        <w:rPr/>
        <w:t>Posture: Wrist</w:t>
      </w:r>
    </w:p>
    <w:p>
      <w:pPr>
        <w:pStyle w:val="BodyText"/>
        <w:rPr>
          <w:b/>
          <w:sz w:val="18"/>
        </w:rPr>
      </w:pPr>
      <w:r>
        <w:rPr/>
        <w:br w:type="column"/>
      </w:r>
      <w:r>
        <w:rPr>
          <w:b/>
          <w:sz w:val="18"/>
        </w:rPr>
      </w:r>
    </w:p>
    <w:p>
      <w:pPr>
        <w:pStyle w:val="BodyText"/>
        <w:spacing w:before="11"/>
        <w:rPr>
          <w:b/>
        </w:rPr>
      </w:pPr>
    </w:p>
    <w:p>
      <w:pPr>
        <w:spacing w:before="0"/>
        <w:ind w:left="270" w:right="0" w:firstLine="0"/>
        <w:jc w:val="left"/>
        <w:rPr>
          <w:sz w:val="16"/>
        </w:rPr>
      </w:pPr>
      <w:r>
        <w:rPr/>
        <w:drawing>
          <wp:anchor distT="0" distB="0" distL="0" distR="0" allowOverlap="1" layoutInCell="1" locked="0" behindDoc="0" simplePos="0" relativeHeight="18136">
            <wp:simplePos x="0" y="0"/>
            <wp:positionH relativeFrom="page">
              <wp:posOffset>5345429</wp:posOffset>
            </wp:positionH>
            <wp:positionV relativeFrom="paragraph">
              <wp:posOffset>-669768</wp:posOffset>
            </wp:positionV>
            <wp:extent cx="627888" cy="621030"/>
            <wp:effectExtent l="0" t="0" r="0" b="0"/>
            <wp:wrapNone/>
            <wp:docPr id="817" name="image454.png" descr=""/>
            <wp:cNvGraphicFramePr>
              <a:graphicFrameLocks noChangeAspect="1"/>
            </wp:cNvGraphicFramePr>
            <a:graphic>
              <a:graphicData uri="http://schemas.openxmlformats.org/drawingml/2006/picture">
                <pic:pic>
                  <pic:nvPicPr>
                    <pic:cNvPr id="818" name="image454.png"/>
                    <pic:cNvPicPr/>
                  </pic:nvPicPr>
                  <pic:blipFill>
                    <a:blip r:embed="rId723" cstate="print"/>
                    <a:stretch>
                      <a:fillRect/>
                    </a:stretch>
                  </pic:blipFill>
                  <pic:spPr>
                    <a:xfrm>
                      <a:off x="0" y="0"/>
                      <a:ext cx="627888" cy="621030"/>
                    </a:xfrm>
                    <a:prstGeom prst="rect">
                      <a:avLst/>
                    </a:prstGeom>
                  </pic:spPr>
                </pic:pic>
              </a:graphicData>
            </a:graphic>
          </wp:anchor>
        </w:drawing>
      </w:r>
      <w:r>
        <w:rPr>
          <w:sz w:val="18"/>
        </w:rPr>
        <w:t>Figure </w:t>
      </w:r>
      <w:r>
        <w:rPr>
          <w:sz w:val="16"/>
        </w:rPr>
        <w:t>3. “Arreglo de Mufa”</w:t>
      </w:r>
    </w:p>
    <w:p>
      <w:pPr>
        <w:spacing w:after="0"/>
        <w:jc w:val="left"/>
        <w:rPr>
          <w:sz w:val="16"/>
        </w:rPr>
        <w:sectPr>
          <w:type w:val="continuous"/>
          <w:pgSz w:w="12240" w:h="15840"/>
          <w:pgMar w:top="1500" w:bottom="280" w:left="580" w:right="220"/>
          <w:cols w:num="3" w:equalWidth="0">
            <w:col w:w="5189" w:space="435"/>
            <w:col w:w="1531" w:space="115"/>
            <w:col w:w="4170"/>
          </w:cols>
        </w:sectPr>
      </w:pPr>
    </w:p>
    <w:p>
      <w:pPr>
        <w:pStyle w:val="BodyText"/>
        <w:spacing w:before="3"/>
        <w:rPr>
          <w:sz w:val="13"/>
        </w:rPr>
      </w:pPr>
    </w:p>
    <w:p>
      <w:pPr>
        <w:spacing w:after="0"/>
        <w:rPr>
          <w:sz w:val="13"/>
        </w:rPr>
        <w:sectPr>
          <w:type w:val="continuous"/>
          <w:pgSz w:w="12240" w:h="15840"/>
          <w:pgMar w:top="1500" w:bottom="280" w:left="580" w:right="220"/>
        </w:sectPr>
      </w:pPr>
    </w:p>
    <w:p>
      <w:pPr>
        <w:pStyle w:val="BodyText"/>
      </w:pPr>
    </w:p>
    <w:p>
      <w:pPr>
        <w:pStyle w:val="BodyText"/>
      </w:pPr>
    </w:p>
    <w:p>
      <w:pPr>
        <w:pStyle w:val="BodyText"/>
        <w:spacing w:before="3"/>
        <w:rPr>
          <w:sz w:val="26"/>
        </w:rPr>
      </w:pPr>
    </w:p>
    <w:p>
      <w:pPr>
        <w:pStyle w:val="BodyText"/>
        <w:spacing w:line="230" w:lineRule="exact"/>
        <w:ind w:left="270"/>
        <w:jc w:val="both"/>
      </w:pPr>
      <w:r>
        <w:rPr/>
        <w:t>Rating legs:</w:t>
      </w:r>
    </w:p>
    <w:p>
      <w:pPr>
        <w:pStyle w:val="BodyText"/>
        <w:ind w:left="270"/>
        <w:jc w:val="both"/>
      </w:pPr>
      <w:r>
        <w:rPr/>
        <w:t>To finish assigning scores to different members of the worker's, the leg position will be evaluated. For the method legs not focus, as in the previous analysis, on the measurement of angles.</w:t>
      </w:r>
    </w:p>
    <w:p>
      <w:pPr>
        <w:pStyle w:val="BodyText"/>
        <w:ind w:left="2444"/>
      </w:pPr>
      <w:r>
        <w:rPr/>
        <w:drawing>
          <wp:inline distT="0" distB="0" distL="0" distR="0">
            <wp:extent cx="361652" cy="462914"/>
            <wp:effectExtent l="0" t="0" r="0" b="0"/>
            <wp:docPr id="819" name="image455.jpeg" descr=""/>
            <wp:cNvGraphicFramePr>
              <a:graphicFrameLocks noChangeAspect="1"/>
            </wp:cNvGraphicFramePr>
            <a:graphic>
              <a:graphicData uri="http://schemas.openxmlformats.org/drawingml/2006/picture">
                <pic:pic>
                  <pic:nvPicPr>
                    <pic:cNvPr id="820" name="image455.jpeg"/>
                    <pic:cNvPicPr/>
                  </pic:nvPicPr>
                  <pic:blipFill>
                    <a:blip r:embed="rId724" cstate="print"/>
                    <a:stretch>
                      <a:fillRect/>
                    </a:stretch>
                  </pic:blipFill>
                  <pic:spPr>
                    <a:xfrm>
                      <a:off x="0" y="0"/>
                      <a:ext cx="361652" cy="462914"/>
                    </a:xfrm>
                    <a:prstGeom prst="rect">
                      <a:avLst/>
                    </a:prstGeom>
                  </pic:spPr>
                </pic:pic>
              </a:graphicData>
            </a:graphic>
          </wp:inline>
        </w:drawing>
      </w:r>
      <w:r>
        <w:rPr/>
      </w:r>
    </w:p>
    <w:p>
      <w:pPr>
        <w:pStyle w:val="BodyText"/>
        <w:spacing w:before="3"/>
      </w:pPr>
    </w:p>
    <w:p>
      <w:pPr>
        <w:pStyle w:val="Heading4"/>
        <w:numPr>
          <w:ilvl w:val="0"/>
          <w:numId w:val="159"/>
        </w:numPr>
        <w:tabs>
          <w:tab w:pos="472" w:val="left" w:leader="none"/>
        </w:tabs>
        <w:spacing w:line="240" w:lineRule="auto" w:before="1" w:after="0"/>
        <w:ind w:left="270" w:right="2691" w:firstLine="0"/>
        <w:jc w:val="left"/>
      </w:pPr>
      <w:r>
        <w:rPr/>
        <w:t>RESULTS APLICATION OF</w:t>
      </w:r>
      <w:r>
        <w:rPr>
          <w:spacing w:val="-4"/>
        </w:rPr>
        <w:t> </w:t>
      </w:r>
      <w:r>
        <w:rPr/>
        <w:t>RULA</w:t>
      </w:r>
    </w:p>
    <w:p>
      <w:pPr>
        <w:pStyle w:val="BodyText"/>
        <w:ind w:left="270" w:right="1"/>
        <w:jc w:val="both"/>
      </w:pPr>
      <w:r>
        <w:rPr/>
        <w:t>For the implementation of the RULA method at FEC was required a detailed analysis while “linieros” made their routine work, for this sample photographs were taken  in order to assess RULA method. (Fig. 1)</w:t>
      </w:r>
    </w:p>
    <w:p>
      <w:pPr>
        <w:pStyle w:val="BodyText"/>
        <w:spacing w:before="74"/>
        <w:ind w:left="270" w:right="678"/>
        <w:jc w:val="both"/>
      </w:pPr>
      <w:r>
        <w:rPr/>
        <w:br w:type="column"/>
      </w:r>
      <w:r>
        <w:rPr/>
        <w:t>The wrist had an angle of 0 ° to 15 ° taking the value of 1, but considering that the wrists rotate when the operator wants to remove the blades which takes a value of +1, considering that the linemen bring in their waist weighing approximately between 2-10 kg. (See Figure 4)</w:t>
      </w:r>
    </w:p>
    <w:p>
      <w:pPr>
        <w:pStyle w:val="BodyText"/>
        <w:spacing w:before="7"/>
        <w:rPr>
          <w:sz w:val="7"/>
        </w:rPr>
      </w:pPr>
    </w:p>
    <w:p>
      <w:pPr>
        <w:pStyle w:val="BodyText"/>
        <w:ind w:left="2213"/>
      </w:pPr>
      <w:r>
        <w:rPr/>
        <w:drawing>
          <wp:inline distT="0" distB="0" distL="0" distR="0">
            <wp:extent cx="627888" cy="617220"/>
            <wp:effectExtent l="0" t="0" r="0" b="0"/>
            <wp:docPr id="821" name="image456.png" descr=""/>
            <wp:cNvGraphicFramePr>
              <a:graphicFrameLocks noChangeAspect="1"/>
            </wp:cNvGraphicFramePr>
            <a:graphic>
              <a:graphicData uri="http://schemas.openxmlformats.org/drawingml/2006/picture">
                <pic:pic>
                  <pic:nvPicPr>
                    <pic:cNvPr id="822" name="image456.png"/>
                    <pic:cNvPicPr/>
                  </pic:nvPicPr>
                  <pic:blipFill>
                    <a:blip r:embed="rId725" cstate="print"/>
                    <a:stretch>
                      <a:fillRect/>
                    </a:stretch>
                  </pic:blipFill>
                  <pic:spPr>
                    <a:xfrm>
                      <a:off x="0" y="0"/>
                      <a:ext cx="627888" cy="617220"/>
                    </a:xfrm>
                    <a:prstGeom prst="rect">
                      <a:avLst/>
                    </a:prstGeom>
                  </pic:spPr>
                </pic:pic>
              </a:graphicData>
            </a:graphic>
          </wp:inline>
        </w:drawing>
      </w:r>
      <w:r>
        <w:rPr/>
      </w:r>
    </w:p>
    <w:p>
      <w:pPr>
        <w:spacing w:before="78"/>
        <w:ind w:left="292" w:right="701" w:firstLine="0"/>
        <w:jc w:val="center"/>
        <w:rPr>
          <w:sz w:val="16"/>
        </w:rPr>
      </w:pPr>
      <w:r>
        <w:rPr>
          <w:sz w:val="18"/>
        </w:rPr>
        <w:t>Figure </w:t>
      </w:r>
      <w:r>
        <w:rPr>
          <w:sz w:val="16"/>
        </w:rPr>
        <w:t>4. Twist of the wrist</w:t>
      </w:r>
    </w:p>
    <w:p>
      <w:pPr>
        <w:pStyle w:val="BodyText"/>
        <w:spacing w:before="3"/>
      </w:pPr>
    </w:p>
    <w:p>
      <w:pPr>
        <w:pStyle w:val="Heading4"/>
        <w:spacing w:before="1"/>
      </w:pPr>
      <w:r>
        <w:rPr/>
        <w:t>Operator 1 analysis</w:t>
      </w:r>
    </w:p>
    <w:p>
      <w:pPr>
        <w:pStyle w:val="BodyText"/>
        <w:spacing w:before="8"/>
        <w:rPr>
          <w:b/>
          <w:sz w:val="19"/>
        </w:rPr>
      </w:pPr>
    </w:p>
    <w:p>
      <w:pPr>
        <w:pStyle w:val="BodyText"/>
        <w:ind w:left="270" w:right="707"/>
        <w:jc w:val="both"/>
      </w:pPr>
      <w:r>
        <w:rPr/>
        <w:t>Placing the values obtained in the following chart (see Chart 2)</w:t>
      </w:r>
    </w:p>
    <w:p>
      <w:pPr>
        <w:pStyle w:val="BodyText"/>
        <w:spacing w:before="9"/>
        <w:rPr>
          <w:sz w:val="17"/>
        </w:rPr>
      </w:pPr>
    </w:p>
    <w:p>
      <w:pPr>
        <w:spacing w:before="0"/>
        <w:ind w:left="294" w:right="701" w:firstLine="0"/>
        <w:jc w:val="center"/>
        <w:rPr>
          <w:sz w:val="18"/>
        </w:rPr>
      </w:pPr>
      <w:r>
        <w:rPr/>
        <w:drawing>
          <wp:anchor distT="0" distB="0" distL="0" distR="0" allowOverlap="1" layoutInCell="1" locked="0" behindDoc="1" simplePos="0" relativeHeight="267574799">
            <wp:simplePos x="0" y="0"/>
            <wp:positionH relativeFrom="page">
              <wp:posOffset>4869179</wp:posOffset>
            </wp:positionH>
            <wp:positionV relativeFrom="paragraph">
              <wp:posOffset>134898</wp:posOffset>
            </wp:positionV>
            <wp:extent cx="1575993" cy="1294638"/>
            <wp:effectExtent l="0" t="0" r="0" b="0"/>
            <wp:wrapNone/>
            <wp:docPr id="823" name="image457.jpeg" descr=""/>
            <wp:cNvGraphicFramePr>
              <a:graphicFrameLocks noChangeAspect="1"/>
            </wp:cNvGraphicFramePr>
            <a:graphic>
              <a:graphicData uri="http://schemas.openxmlformats.org/drawingml/2006/picture">
                <pic:pic>
                  <pic:nvPicPr>
                    <pic:cNvPr id="824" name="image457.jpeg"/>
                    <pic:cNvPicPr/>
                  </pic:nvPicPr>
                  <pic:blipFill>
                    <a:blip r:embed="rId726" cstate="print"/>
                    <a:stretch>
                      <a:fillRect/>
                    </a:stretch>
                  </pic:blipFill>
                  <pic:spPr>
                    <a:xfrm>
                      <a:off x="0" y="0"/>
                      <a:ext cx="1575993" cy="1294638"/>
                    </a:xfrm>
                    <a:prstGeom prst="rect">
                      <a:avLst/>
                    </a:prstGeom>
                  </pic:spPr>
                </pic:pic>
              </a:graphicData>
            </a:graphic>
          </wp:anchor>
        </w:drawing>
      </w:r>
      <w:r>
        <w:rPr>
          <w:sz w:val="18"/>
        </w:rPr>
        <w:t>Value chart</w:t>
      </w:r>
    </w:p>
    <w:p>
      <w:pPr>
        <w:spacing w:after="0"/>
        <w:jc w:val="center"/>
        <w:rPr>
          <w:sz w:val="18"/>
        </w:rPr>
        <w:sectPr>
          <w:type w:val="continuous"/>
          <w:pgSz w:w="12240" w:h="15840"/>
          <w:pgMar w:top="1500" w:bottom="280" w:left="580" w:right="220"/>
          <w:cols w:num="2" w:equalWidth="0">
            <w:col w:w="5189" w:space="435"/>
            <w:col w:w="5816"/>
          </w:cols>
        </w:sectPr>
      </w:pPr>
    </w:p>
    <w:p>
      <w:pPr>
        <w:pStyle w:val="BodyText"/>
        <w:spacing w:before="2"/>
        <w:rPr>
          <w:sz w:val="27"/>
        </w:rPr>
      </w:pPr>
    </w:p>
    <w:p>
      <w:pPr>
        <w:pStyle w:val="BodyText"/>
        <w:ind w:left="2240"/>
      </w:pPr>
      <w:r>
        <w:rPr/>
        <w:drawing>
          <wp:inline distT="0" distB="0" distL="0" distR="0">
            <wp:extent cx="627887" cy="621030"/>
            <wp:effectExtent l="0" t="0" r="0" b="0"/>
            <wp:docPr id="825" name="image458.png" descr=""/>
            <wp:cNvGraphicFramePr>
              <a:graphicFrameLocks noChangeAspect="1"/>
            </wp:cNvGraphicFramePr>
            <a:graphic>
              <a:graphicData uri="http://schemas.openxmlformats.org/drawingml/2006/picture">
                <pic:pic>
                  <pic:nvPicPr>
                    <pic:cNvPr id="826" name="image458.png"/>
                    <pic:cNvPicPr/>
                  </pic:nvPicPr>
                  <pic:blipFill>
                    <a:blip r:embed="rId727" cstate="print"/>
                    <a:stretch>
                      <a:fillRect/>
                    </a:stretch>
                  </pic:blipFill>
                  <pic:spPr>
                    <a:xfrm>
                      <a:off x="0" y="0"/>
                      <a:ext cx="627887" cy="621030"/>
                    </a:xfrm>
                    <a:prstGeom prst="rect">
                      <a:avLst/>
                    </a:prstGeom>
                  </pic:spPr>
                </pic:pic>
              </a:graphicData>
            </a:graphic>
          </wp:inline>
        </w:drawing>
      </w:r>
      <w:r>
        <w:rPr/>
      </w:r>
    </w:p>
    <w:p>
      <w:pPr>
        <w:spacing w:after="0"/>
        <w:sectPr>
          <w:type w:val="continuous"/>
          <w:pgSz w:w="12240" w:h="15840"/>
          <w:pgMar w:top="1500" w:bottom="280" w:left="580" w:right="220"/>
        </w:sectPr>
      </w:pPr>
    </w:p>
    <w:p>
      <w:pPr>
        <w:pStyle w:val="BodyText"/>
        <w:rPr>
          <w:sz w:val="25"/>
        </w:rPr>
      </w:pPr>
    </w:p>
    <w:p>
      <w:pPr>
        <w:pStyle w:val="Heading4"/>
        <w:spacing w:line="460" w:lineRule="atLeast"/>
        <w:ind w:right="-12"/>
        <w:jc w:val="left"/>
      </w:pPr>
      <w:r>
        <w:rPr/>
        <w:t>Group A Position:</w:t>
      </w:r>
      <w:r>
        <w:rPr>
          <w:spacing w:val="-9"/>
        </w:rPr>
        <w:t> </w:t>
      </w:r>
      <w:r>
        <w:rPr/>
        <w:t>Arms</w:t>
      </w:r>
    </w:p>
    <w:p>
      <w:pPr>
        <w:spacing w:before="76"/>
        <w:ind w:left="143" w:right="-11" w:firstLine="0"/>
        <w:jc w:val="left"/>
        <w:rPr>
          <w:sz w:val="16"/>
        </w:rPr>
      </w:pPr>
      <w:r>
        <w:rPr/>
        <w:br w:type="column"/>
      </w:r>
      <w:r>
        <w:rPr>
          <w:sz w:val="18"/>
        </w:rPr>
        <w:t>Figure </w:t>
      </w:r>
      <w:r>
        <w:rPr>
          <w:sz w:val="16"/>
        </w:rPr>
        <w:t>1. Evaluated position</w:t>
      </w:r>
      <w:r>
        <w:rPr>
          <w:spacing w:val="-13"/>
          <w:sz w:val="16"/>
        </w:rPr>
        <w:t> </w:t>
      </w:r>
      <w:r>
        <w:rPr>
          <w:sz w:val="16"/>
        </w:rPr>
        <w:t>1</w:t>
      </w:r>
    </w:p>
    <w:p>
      <w:pPr>
        <w:pStyle w:val="BodyText"/>
        <w:rPr>
          <w:sz w:val="16"/>
        </w:rPr>
      </w:pPr>
      <w:r>
        <w:rPr/>
        <w:br w:type="column"/>
      </w:r>
      <w:r>
        <w:rPr>
          <w:sz w:val="16"/>
        </w:rPr>
      </w:r>
    </w:p>
    <w:p>
      <w:pPr>
        <w:pStyle w:val="BodyText"/>
        <w:rPr>
          <w:sz w:val="16"/>
        </w:rPr>
      </w:pPr>
    </w:p>
    <w:p>
      <w:pPr>
        <w:pStyle w:val="BodyText"/>
        <w:spacing w:before="9"/>
        <w:rPr>
          <w:sz w:val="22"/>
        </w:rPr>
      </w:pPr>
    </w:p>
    <w:p>
      <w:pPr>
        <w:spacing w:before="0"/>
        <w:ind w:left="655" w:right="0" w:firstLine="0"/>
        <w:jc w:val="left"/>
        <w:rPr>
          <w:sz w:val="16"/>
        </w:rPr>
      </w:pPr>
      <w:r>
        <w:rPr>
          <w:sz w:val="16"/>
        </w:rPr>
        <w:t>Chart 2. Values of the Group A</w:t>
      </w:r>
    </w:p>
    <w:p>
      <w:pPr>
        <w:spacing w:after="0"/>
        <w:jc w:val="left"/>
        <w:rPr>
          <w:sz w:val="16"/>
        </w:rPr>
        <w:sectPr>
          <w:type w:val="continuous"/>
          <w:pgSz w:w="12240" w:h="15840"/>
          <w:pgMar w:top="1500" w:bottom="280" w:left="580" w:right="220"/>
          <w:cols w:num="3" w:equalWidth="0">
            <w:col w:w="1553" w:space="40"/>
            <w:col w:w="2130" w:space="3094"/>
            <w:col w:w="4623"/>
          </w:cols>
        </w:sectPr>
      </w:pPr>
    </w:p>
    <w:p>
      <w:pPr>
        <w:pStyle w:val="BodyText"/>
        <w:spacing w:before="9"/>
        <w:rPr>
          <w:sz w:val="17"/>
        </w:rPr>
      </w:pPr>
    </w:p>
    <w:p>
      <w:pPr>
        <w:pStyle w:val="BodyText"/>
        <w:ind w:left="730"/>
      </w:pPr>
      <w:r>
        <w:rPr/>
        <w:t>The final result was a value of 4 in the group "A".</w:t>
      </w:r>
    </w:p>
    <w:p>
      <w:pPr>
        <w:pStyle w:val="BodyText"/>
        <w:spacing w:before="2"/>
      </w:pPr>
    </w:p>
    <w:p>
      <w:pPr>
        <w:pStyle w:val="Heading4"/>
        <w:spacing w:line="480" w:lineRule="auto"/>
        <w:ind w:right="3659"/>
        <w:jc w:val="left"/>
      </w:pPr>
      <w:r>
        <w:rPr/>
        <w:t>Group B Position: Neck</w:t>
      </w:r>
    </w:p>
    <w:p>
      <w:pPr>
        <w:pStyle w:val="BodyText"/>
        <w:spacing w:before="7"/>
        <w:ind w:left="270"/>
        <w:jc w:val="both"/>
      </w:pPr>
      <w:r>
        <w:rPr/>
        <w:t>All pictures taken showed that the neck is one of the body parts that have more injury with a larger angle (of 20 °). A value of 3 was obtained (See Figure 5) is obtained.</w:t>
      </w:r>
    </w:p>
    <w:p>
      <w:pPr>
        <w:pStyle w:val="BodyText"/>
        <w:spacing w:before="8" w:after="39"/>
        <w:rPr>
          <w:sz w:val="14"/>
        </w:rPr>
      </w:pPr>
      <w:r>
        <w:rPr/>
        <w:br w:type="column"/>
      </w:r>
      <w:r>
        <w:rPr>
          <w:sz w:val="14"/>
        </w:rPr>
      </w:r>
    </w:p>
    <w:p>
      <w:pPr>
        <w:pStyle w:val="BodyText"/>
        <w:ind w:left="1271"/>
      </w:pPr>
      <w:r>
        <w:rPr/>
        <w:drawing>
          <wp:inline distT="0" distB="0" distL="0" distR="0">
            <wp:extent cx="1814757" cy="1178147"/>
            <wp:effectExtent l="0" t="0" r="0" b="0"/>
            <wp:docPr id="827" name="image459.jpeg" descr=""/>
            <wp:cNvGraphicFramePr>
              <a:graphicFrameLocks noChangeAspect="1"/>
            </wp:cNvGraphicFramePr>
            <a:graphic>
              <a:graphicData uri="http://schemas.openxmlformats.org/drawingml/2006/picture">
                <pic:pic>
                  <pic:nvPicPr>
                    <pic:cNvPr id="828" name="image459.jpeg"/>
                    <pic:cNvPicPr/>
                  </pic:nvPicPr>
                  <pic:blipFill>
                    <a:blip r:embed="rId728" cstate="print"/>
                    <a:stretch>
                      <a:fillRect/>
                    </a:stretch>
                  </pic:blipFill>
                  <pic:spPr>
                    <a:xfrm>
                      <a:off x="0" y="0"/>
                      <a:ext cx="1814757" cy="1178147"/>
                    </a:xfrm>
                    <a:prstGeom prst="rect">
                      <a:avLst/>
                    </a:prstGeom>
                  </pic:spPr>
                </pic:pic>
              </a:graphicData>
            </a:graphic>
          </wp:inline>
        </w:drawing>
      </w:r>
      <w:r>
        <w:rPr/>
      </w:r>
    </w:p>
    <w:p>
      <w:pPr>
        <w:pStyle w:val="BodyText"/>
        <w:spacing w:before="1"/>
      </w:pPr>
    </w:p>
    <w:p>
      <w:pPr>
        <w:pStyle w:val="Heading4"/>
        <w:ind w:right="852"/>
        <w:jc w:val="left"/>
      </w:pPr>
      <w:r>
        <w:rPr/>
        <w:drawing>
          <wp:anchor distT="0" distB="0" distL="0" distR="0" allowOverlap="1" layoutInCell="1" locked="0" behindDoc="0" simplePos="0" relativeHeight="18208">
            <wp:simplePos x="0" y="0"/>
            <wp:positionH relativeFrom="page">
              <wp:posOffset>1790700</wp:posOffset>
            </wp:positionH>
            <wp:positionV relativeFrom="paragraph">
              <wp:posOffset>185629</wp:posOffset>
            </wp:positionV>
            <wp:extent cx="621792" cy="621029"/>
            <wp:effectExtent l="0" t="0" r="0" b="0"/>
            <wp:wrapNone/>
            <wp:docPr id="829" name="image460.png" descr=""/>
            <wp:cNvGraphicFramePr>
              <a:graphicFrameLocks noChangeAspect="1"/>
            </wp:cNvGraphicFramePr>
            <a:graphic>
              <a:graphicData uri="http://schemas.openxmlformats.org/drawingml/2006/picture">
                <pic:pic>
                  <pic:nvPicPr>
                    <pic:cNvPr id="830" name="image460.png"/>
                    <pic:cNvPicPr/>
                  </pic:nvPicPr>
                  <pic:blipFill>
                    <a:blip r:embed="rId729" cstate="print"/>
                    <a:stretch>
                      <a:fillRect/>
                    </a:stretch>
                  </pic:blipFill>
                  <pic:spPr>
                    <a:xfrm>
                      <a:off x="0" y="0"/>
                      <a:ext cx="621792" cy="621029"/>
                    </a:xfrm>
                    <a:prstGeom prst="rect">
                      <a:avLst/>
                    </a:prstGeom>
                  </pic:spPr>
                </pic:pic>
              </a:graphicData>
            </a:graphic>
          </wp:anchor>
        </w:drawing>
      </w:r>
      <w:r>
        <w:rPr/>
        <w:t>Partial Conclusion: Evaluation operator 1 RULA</w:t>
      </w:r>
    </w:p>
    <w:p>
      <w:pPr>
        <w:spacing w:after="0"/>
        <w:jc w:val="left"/>
        <w:sectPr>
          <w:pgSz w:w="12240" w:h="15840"/>
          <w:pgMar w:header="545" w:footer="852" w:top="1060" w:bottom="1040" w:left="580" w:right="220"/>
          <w:cols w:num="2" w:equalWidth="0">
            <w:col w:w="5188" w:space="437"/>
            <w:col w:w="5815"/>
          </w:cols>
        </w:sectPr>
      </w:pPr>
    </w:p>
    <w:p>
      <w:pPr>
        <w:pStyle w:val="BodyText"/>
        <w:spacing w:before="8"/>
        <w:rPr>
          <w:b/>
          <w:sz w:val="16"/>
        </w:rPr>
      </w:pPr>
    </w:p>
    <w:p>
      <w:pPr>
        <w:spacing w:after="0"/>
        <w:rPr>
          <w:sz w:val="16"/>
        </w:rPr>
        <w:sectPr>
          <w:type w:val="continuous"/>
          <w:pgSz w:w="12240" w:h="15840"/>
          <w:pgMar w:top="1500" w:bottom="280" w:left="580" w:right="220"/>
        </w:sect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9"/>
        <w:rPr>
          <w:b/>
          <w:sz w:val="18"/>
        </w:rPr>
      </w:pPr>
    </w:p>
    <w:p>
      <w:pPr>
        <w:spacing w:before="0"/>
        <w:ind w:left="321" w:right="-19" w:firstLine="0"/>
        <w:jc w:val="left"/>
        <w:rPr>
          <w:b/>
          <w:sz w:val="20"/>
        </w:rPr>
      </w:pPr>
      <w:r>
        <w:rPr>
          <w:b/>
          <w:sz w:val="20"/>
        </w:rPr>
        <w:t>Position: Trunk</w:t>
      </w:r>
    </w:p>
    <w:p>
      <w:pPr>
        <w:pStyle w:val="BodyText"/>
        <w:rPr>
          <w:b/>
          <w:sz w:val="18"/>
        </w:rPr>
      </w:pPr>
      <w:r>
        <w:rPr/>
        <w:br w:type="column"/>
      </w:r>
      <w:r>
        <w:rPr>
          <w:b/>
          <w:sz w:val="18"/>
        </w:rPr>
      </w:r>
    </w:p>
    <w:p>
      <w:pPr>
        <w:pStyle w:val="BodyText"/>
        <w:rPr>
          <w:b/>
          <w:sz w:val="18"/>
        </w:rPr>
      </w:pPr>
    </w:p>
    <w:p>
      <w:pPr>
        <w:pStyle w:val="BodyText"/>
        <w:rPr>
          <w:b/>
          <w:sz w:val="18"/>
        </w:rPr>
      </w:pPr>
    </w:p>
    <w:p>
      <w:pPr>
        <w:pStyle w:val="BodyText"/>
        <w:spacing w:before="5"/>
        <w:rPr>
          <w:b/>
          <w:sz w:val="26"/>
        </w:rPr>
      </w:pPr>
    </w:p>
    <w:p>
      <w:pPr>
        <w:spacing w:before="0"/>
        <w:ind w:left="228" w:right="-15" w:firstLine="0"/>
        <w:jc w:val="left"/>
        <w:rPr>
          <w:sz w:val="16"/>
        </w:rPr>
      </w:pPr>
      <w:r>
        <w:rPr>
          <w:sz w:val="18"/>
        </w:rPr>
        <w:t>Figure </w:t>
      </w:r>
      <w:r>
        <w:rPr>
          <w:sz w:val="16"/>
        </w:rPr>
        <w:t>5. Bending</w:t>
      </w:r>
      <w:r>
        <w:rPr>
          <w:spacing w:val="-10"/>
          <w:sz w:val="16"/>
        </w:rPr>
        <w:t> </w:t>
      </w:r>
      <w:r>
        <w:rPr>
          <w:sz w:val="16"/>
        </w:rPr>
        <w:t>neck</w:t>
      </w:r>
    </w:p>
    <w:p>
      <w:pPr>
        <w:pStyle w:val="BodyText"/>
        <w:spacing w:before="75"/>
        <w:ind w:left="321" w:right="675"/>
        <w:jc w:val="both"/>
      </w:pPr>
      <w:r>
        <w:rPr/>
        <w:br w:type="column"/>
      </w:r>
      <w:r>
        <w:rPr/>
        <w:t>The methodology RULA had an outcome which marks the final score of </w:t>
      </w:r>
      <w:r>
        <w:rPr>
          <w:b/>
          <w:sz w:val="24"/>
        </w:rPr>
        <w:t>"7" </w:t>
      </w:r>
      <w:r>
        <w:rPr/>
        <w:t>which means that it has to be modified or immediately study the station of “liniero” or the staff that is performing this work has the risks of suffer an illness or accident.</w:t>
      </w:r>
    </w:p>
    <w:p>
      <w:pPr>
        <w:spacing w:after="0"/>
        <w:jc w:val="both"/>
        <w:sectPr>
          <w:type w:val="continuous"/>
          <w:pgSz w:w="12240" w:h="15840"/>
          <w:pgMar w:top="1500" w:bottom="280" w:left="580" w:right="220"/>
          <w:cols w:num="3" w:equalWidth="0">
            <w:col w:w="1684" w:space="40"/>
            <w:col w:w="1783" w:space="2067"/>
            <w:col w:w="5866"/>
          </w:cols>
        </w:sectPr>
      </w:pPr>
    </w:p>
    <w:p>
      <w:pPr>
        <w:pStyle w:val="BodyText"/>
        <w:spacing w:before="8"/>
        <w:rPr>
          <w:sz w:val="19"/>
        </w:rPr>
      </w:pPr>
    </w:p>
    <w:p>
      <w:pPr>
        <w:pStyle w:val="BodyText"/>
        <w:ind w:left="270"/>
        <w:jc w:val="both"/>
      </w:pPr>
      <w:r>
        <w:rPr/>
        <w:t>Because electrification works on a post the workers held a position of 20 ° to 60 °m so this position obtained a classification in Level 3 of risk for injuries. (See Figure 6, bottom corner)</w:t>
      </w:r>
    </w:p>
    <w:p>
      <w:pPr>
        <w:pStyle w:val="BodyText"/>
        <w:spacing w:before="11"/>
        <w:rPr>
          <w:sz w:val="8"/>
        </w:rPr>
      </w:pPr>
    </w:p>
    <w:p>
      <w:pPr>
        <w:pStyle w:val="BodyText"/>
        <w:ind w:left="2276"/>
      </w:pPr>
      <w:r>
        <w:rPr/>
        <w:drawing>
          <wp:inline distT="0" distB="0" distL="0" distR="0">
            <wp:extent cx="585216" cy="601979"/>
            <wp:effectExtent l="0" t="0" r="0" b="0"/>
            <wp:docPr id="831" name="image461.png" descr=""/>
            <wp:cNvGraphicFramePr>
              <a:graphicFrameLocks noChangeAspect="1"/>
            </wp:cNvGraphicFramePr>
            <a:graphic>
              <a:graphicData uri="http://schemas.openxmlformats.org/drawingml/2006/picture">
                <pic:pic>
                  <pic:nvPicPr>
                    <pic:cNvPr id="832" name="image461.png"/>
                    <pic:cNvPicPr/>
                  </pic:nvPicPr>
                  <pic:blipFill>
                    <a:blip r:embed="rId730" cstate="print"/>
                    <a:stretch>
                      <a:fillRect/>
                    </a:stretch>
                  </pic:blipFill>
                  <pic:spPr>
                    <a:xfrm>
                      <a:off x="0" y="0"/>
                      <a:ext cx="585216" cy="601979"/>
                    </a:xfrm>
                    <a:prstGeom prst="rect">
                      <a:avLst/>
                    </a:prstGeom>
                  </pic:spPr>
                </pic:pic>
              </a:graphicData>
            </a:graphic>
          </wp:inline>
        </w:drawing>
      </w:r>
      <w:r>
        <w:rPr/>
      </w:r>
    </w:p>
    <w:p>
      <w:pPr>
        <w:spacing w:before="87"/>
        <w:ind w:left="436" w:right="65" w:firstLine="0"/>
        <w:jc w:val="center"/>
        <w:rPr>
          <w:sz w:val="18"/>
        </w:rPr>
      </w:pPr>
      <w:r>
        <w:rPr>
          <w:sz w:val="18"/>
        </w:rPr>
        <w:t>Figure 6. “Puesta a tierra”</w:t>
      </w:r>
    </w:p>
    <w:p>
      <w:pPr>
        <w:pStyle w:val="BodyText"/>
        <w:spacing w:before="3"/>
      </w:pPr>
    </w:p>
    <w:p>
      <w:pPr>
        <w:pStyle w:val="Heading4"/>
        <w:spacing w:line="229" w:lineRule="exact" w:before="1"/>
        <w:ind w:left="321"/>
      </w:pPr>
      <w:r>
        <w:rPr/>
        <w:t>Position: Legs</w:t>
      </w:r>
    </w:p>
    <w:p>
      <w:pPr>
        <w:spacing w:line="229" w:lineRule="exact" w:before="0"/>
        <w:ind w:left="270" w:right="0" w:firstLine="0"/>
        <w:jc w:val="both"/>
        <w:rPr>
          <w:sz w:val="18"/>
        </w:rPr>
      </w:pPr>
      <w:r>
        <w:rPr>
          <w:sz w:val="20"/>
        </w:rPr>
        <w:t>The feet are in an inadequate position. </w:t>
      </w:r>
      <w:r>
        <w:rPr>
          <w:sz w:val="18"/>
        </w:rPr>
        <w:t>(See Figure 7)</w:t>
      </w:r>
    </w:p>
    <w:p>
      <w:pPr>
        <w:pStyle w:val="BodyText"/>
        <w:spacing w:before="7"/>
        <w:rPr>
          <w:sz w:val="7"/>
        </w:rPr>
      </w:pPr>
    </w:p>
    <w:p>
      <w:pPr>
        <w:pStyle w:val="BodyText"/>
        <w:ind w:left="2078"/>
      </w:pPr>
      <w:r>
        <w:rPr/>
        <w:drawing>
          <wp:inline distT="0" distB="0" distL="0" distR="0">
            <wp:extent cx="627887" cy="617220"/>
            <wp:effectExtent l="0" t="0" r="0" b="0"/>
            <wp:docPr id="833" name="image462.png" descr=""/>
            <wp:cNvGraphicFramePr>
              <a:graphicFrameLocks noChangeAspect="1"/>
            </wp:cNvGraphicFramePr>
            <a:graphic>
              <a:graphicData uri="http://schemas.openxmlformats.org/drawingml/2006/picture">
                <pic:pic>
                  <pic:nvPicPr>
                    <pic:cNvPr id="834" name="image462.png"/>
                    <pic:cNvPicPr/>
                  </pic:nvPicPr>
                  <pic:blipFill>
                    <a:blip r:embed="rId731" cstate="print"/>
                    <a:stretch>
                      <a:fillRect/>
                    </a:stretch>
                  </pic:blipFill>
                  <pic:spPr>
                    <a:xfrm>
                      <a:off x="0" y="0"/>
                      <a:ext cx="627887" cy="617220"/>
                    </a:xfrm>
                    <a:prstGeom prst="rect">
                      <a:avLst/>
                    </a:prstGeom>
                  </pic:spPr>
                </pic:pic>
              </a:graphicData>
            </a:graphic>
          </wp:inline>
        </w:drawing>
      </w:r>
      <w:r>
        <w:rPr/>
      </w:r>
    </w:p>
    <w:p>
      <w:pPr>
        <w:spacing w:before="78"/>
        <w:ind w:left="279" w:right="89" w:firstLine="0"/>
        <w:jc w:val="center"/>
        <w:rPr>
          <w:sz w:val="18"/>
        </w:rPr>
      </w:pPr>
      <w:r>
        <w:rPr>
          <w:sz w:val="18"/>
        </w:rPr>
        <w:t>Figure 7. “Puente de mufa”</w:t>
      </w:r>
    </w:p>
    <w:p>
      <w:pPr>
        <w:pStyle w:val="BodyText"/>
        <w:spacing w:before="1"/>
        <w:rPr>
          <w:sz w:val="18"/>
        </w:rPr>
      </w:pPr>
    </w:p>
    <w:p>
      <w:pPr>
        <w:pStyle w:val="BodyText"/>
        <w:ind w:left="270" w:right="80"/>
        <w:jc w:val="both"/>
      </w:pPr>
      <w:r>
        <w:rPr/>
        <w:t>Placing the values obtained in the following chart (see Chart 3)</w:t>
      </w:r>
    </w:p>
    <w:p>
      <w:pPr>
        <w:pStyle w:val="BodyText"/>
        <w:spacing w:before="9"/>
        <w:rPr>
          <w:sz w:val="16"/>
        </w:rPr>
      </w:pPr>
      <w:r>
        <w:rPr/>
        <w:drawing>
          <wp:anchor distT="0" distB="0" distL="0" distR="0" allowOverlap="1" layoutInCell="1" locked="0" behindDoc="0" simplePos="0" relativeHeight="18184">
            <wp:simplePos x="0" y="0"/>
            <wp:positionH relativeFrom="page">
              <wp:posOffset>890777</wp:posOffset>
            </wp:positionH>
            <wp:positionV relativeFrom="paragraph">
              <wp:posOffset>147788</wp:posOffset>
            </wp:positionV>
            <wp:extent cx="2414952" cy="1005840"/>
            <wp:effectExtent l="0" t="0" r="0" b="0"/>
            <wp:wrapTopAndBottom/>
            <wp:docPr id="835" name="image463.jpeg" descr=""/>
            <wp:cNvGraphicFramePr>
              <a:graphicFrameLocks noChangeAspect="1"/>
            </wp:cNvGraphicFramePr>
            <a:graphic>
              <a:graphicData uri="http://schemas.openxmlformats.org/drawingml/2006/picture">
                <pic:pic>
                  <pic:nvPicPr>
                    <pic:cNvPr id="836" name="image463.jpeg"/>
                    <pic:cNvPicPr/>
                  </pic:nvPicPr>
                  <pic:blipFill>
                    <a:blip r:embed="rId732" cstate="print"/>
                    <a:stretch>
                      <a:fillRect/>
                    </a:stretch>
                  </pic:blipFill>
                  <pic:spPr>
                    <a:xfrm>
                      <a:off x="0" y="0"/>
                      <a:ext cx="2414952" cy="1005840"/>
                    </a:xfrm>
                    <a:prstGeom prst="rect">
                      <a:avLst/>
                    </a:prstGeom>
                  </pic:spPr>
                </pic:pic>
              </a:graphicData>
            </a:graphic>
          </wp:anchor>
        </w:drawing>
      </w:r>
    </w:p>
    <w:p>
      <w:pPr>
        <w:pStyle w:val="BodyText"/>
        <w:ind w:left="2659" w:right="118"/>
      </w:pPr>
      <w:r>
        <w:rPr/>
        <w:t>Chart 3, Group B</w:t>
      </w:r>
    </w:p>
    <w:p>
      <w:pPr>
        <w:pStyle w:val="BodyText"/>
        <w:spacing w:before="11"/>
        <w:rPr>
          <w:sz w:val="19"/>
        </w:rPr>
      </w:pPr>
    </w:p>
    <w:p>
      <w:pPr>
        <w:pStyle w:val="BodyText"/>
        <w:ind w:left="357" w:right="89"/>
        <w:jc w:val="center"/>
      </w:pPr>
      <w:r>
        <w:rPr/>
        <w:t>The final result was a value of 5 in the group "B".</w:t>
      </w:r>
    </w:p>
    <w:p>
      <w:pPr>
        <w:pStyle w:val="Heading4"/>
        <w:spacing w:before="137"/>
      </w:pPr>
      <w:r>
        <w:rPr>
          <w:b w:val="0"/>
        </w:rPr>
        <w:br w:type="column"/>
      </w:r>
      <w:r>
        <w:rPr/>
        <w:t>Suzanne Rodger procedure</w:t>
      </w:r>
    </w:p>
    <w:p>
      <w:pPr>
        <w:pStyle w:val="BodyText"/>
        <w:spacing w:before="8"/>
        <w:rPr>
          <w:b/>
          <w:sz w:val="19"/>
        </w:rPr>
      </w:pPr>
    </w:p>
    <w:p>
      <w:pPr>
        <w:pStyle w:val="ListParagraph"/>
        <w:numPr>
          <w:ilvl w:val="0"/>
          <w:numId w:val="161"/>
        </w:numPr>
        <w:tabs>
          <w:tab w:pos="631" w:val="left" w:leader="none"/>
        </w:tabs>
        <w:spacing w:line="240" w:lineRule="auto" w:before="0" w:after="0"/>
        <w:ind w:left="630" w:right="0" w:hanging="360"/>
        <w:jc w:val="both"/>
        <w:rPr>
          <w:sz w:val="20"/>
        </w:rPr>
      </w:pPr>
      <w:r>
        <w:rPr>
          <w:sz w:val="20"/>
        </w:rPr>
        <w:t>Select the personnel under</w:t>
      </w:r>
      <w:r>
        <w:rPr>
          <w:spacing w:val="-10"/>
          <w:sz w:val="20"/>
        </w:rPr>
        <w:t> </w:t>
      </w:r>
      <w:r>
        <w:rPr>
          <w:sz w:val="20"/>
        </w:rPr>
        <w:t>study</w:t>
      </w:r>
    </w:p>
    <w:p>
      <w:pPr>
        <w:pStyle w:val="ListParagraph"/>
        <w:numPr>
          <w:ilvl w:val="0"/>
          <w:numId w:val="161"/>
        </w:numPr>
        <w:tabs>
          <w:tab w:pos="631" w:val="left" w:leader="none"/>
        </w:tabs>
        <w:spacing w:line="230" w:lineRule="exact" w:before="0" w:after="0"/>
        <w:ind w:left="630" w:right="0" w:hanging="360"/>
        <w:jc w:val="both"/>
        <w:rPr>
          <w:sz w:val="20"/>
        </w:rPr>
      </w:pPr>
      <w:r>
        <w:rPr>
          <w:sz w:val="20"/>
        </w:rPr>
        <w:t>Identify the activities to</w:t>
      </w:r>
      <w:r>
        <w:rPr>
          <w:spacing w:val="-19"/>
          <w:sz w:val="20"/>
        </w:rPr>
        <w:t> </w:t>
      </w:r>
      <w:r>
        <w:rPr>
          <w:sz w:val="20"/>
        </w:rPr>
        <w:t>develop.</w:t>
      </w:r>
    </w:p>
    <w:p>
      <w:pPr>
        <w:pStyle w:val="ListParagraph"/>
        <w:numPr>
          <w:ilvl w:val="1"/>
          <w:numId w:val="161"/>
        </w:numPr>
        <w:tabs>
          <w:tab w:pos="979" w:val="left" w:leader="none"/>
        </w:tabs>
        <w:spacing w:line="230" w:lineRule="exact" w:before="0" w:after="0"/>
        <w:ind w:left="990" w:right="0" w:hanging="360"/>
        <w:jc w:val="left"/>
        <w:rPr>
          <w:sz w:val="20"/>
        </w:rPr>
      </w:pPr>
      <w:r>
        <w:rPr>
          <w:sz w:val="20"/>
        </w:rPr>
        <w:t>Apply Suzanne Rodger</w:t>
      </w:r>
      <w:r>
        <w:rPr>
          <w:spacing w:val="-12"/>
          <w:sz w:val="20"/>
        </w:rPr>
        <w:t> </w:t>
      </w:r>
      <w:r>
        <w:rPr>
          <w:sz w:val="20"/>
        </w:rPr>
        <w:t>method.</w:t>
      </w:r>
    </w:p>
    <w:p>
      <w:pPr>
        <w:pStyle w:val="ListParagraph"/>
        <w:numPr>
          <w:ilvl w:val="1"/>
          <w:numId w:val="161"/>
        </w:numPr>
        <w:tabs>
          <w:tab w:pos="979" w:val="left" w:leader="none"/>
        </w:tabs>
        <w:spacing w:line="240" w:lineRule="auto" w:before="0" w:after="0"/>
        <w:ind w:left="990" w:right="678" w:hanging="360"/>
        <w:jc w:val="both"/>
        <w:rPr>
          <w:sz w:val="20"/>
        </w:rPr>
      </w:pPr>
      <w:r>
        <w:rPr>
          <w:sz w:val="20"/>
        </w:rPr>
        <w:t>The method application starts with the observations of the activities true several work</w:t>
      </w:r>
      <w:r>
        <w:rPr>
          <w:spacing w:val="-23"/>
          <w:sz w:val="20"/>
        </w:rPr>
        <w:t> </w:t>
      </w:r>
      <w:r>
        <w:rPr>
          <w:sz w:val="20"/>
        </w:rPr>
        <w:t>cycles.</w:t>
      </w:r>
    </w:p>
    <w:p>
      <w:pPr>
        <w:pStyle w:val="ListParagraph"/>
        <w:numPr>
          <w:ilvl w:val="1"/>
          <w:numId w:val="161"/>
        </w:numPr>
        <w:tabs>
          <w:tab w:pos="979" w:val="left" w:leader="none"/>
        </w:tabs>
        <w:spacing w:line="240" w:lineRule="auto" w:before="0" w:after="0"/>
        <w:ind w:left="990" w:right="677" w:hanging="360"/>
        <w:jc w:val="both"/>
        <w:rPr>
          <w:sz w:val="20"/>
        </w:rPr>
      </w:pPr>
      <w:r>
        <w:rPr>
          <w:sz w:val="20"/>
        </w:rPr>
        <w:t>After these observations, significant tasks and postures must be selected. This selection should be done by duration (by duration or postural</w:t>
      </w:r>
      <w:r>
        <w:rPr>
          <w:spacing w:val="-17"/>
          <w:sz w:val="20"/>
        </w:rPr>
        <w:t> </w:t>
      </w:r>
      <w:r>
        <w:rPr>
          <w:sz w:val="20"/>
        </w:rPr>
        <w:t>charge)</w:t>
      </w:r>
    </w:p>
    <w:p>
      <w:pPr>
        <w:pStyle w:val="ListParagraph"/>
        <w:numPr>
          <w:ilvl w:val="0"/>
          <w:numId w:val="161"/>
        </w:numPr>
        <w:tabs>
          <w:tab w:pos="631" w:val="left" w:leader="none"/>
        </w:tabs>
        <w:spacing w:line="240" w:lineRule="auto" w:before="0" w:after="0"/>
        <w:ind w:left="630" w:right="675" w:hanging="360"/>
        <w:jc w:val="both"/>
        <w:rPr>
          <w:sz w:val="20"/>
        </w:rPr>
      </w:pPr>
      <w:r>
        <w:rPr>
          <w:sz w:val="20"/>
        </w:rPr>
        <w:t>The postures to be evaluated are neck, back, shoulders, arm/elbow, wrist, knee, and ankles (according Suzanne Rodger)</w:t>
      </w:r>
    </w:p>
    <w:p>
      <w:pPr>
        <w:pStyle w:val="ListParagraph"/>
        <w:numPr>
          <w:ilvl w:val="0"/>
          <w:numId w:val="161"/>
        </w:numPr>
        <w:tabs>
          <w:tab w:pos="631" w:val="left" w:leader="none"/>
        </w:tabs>
        <w:spacing w:line="229" w:lineRule="exact" w:before="0" w:after="0"/>
        <w:ind w:left="630" w:right="0" w:hanging="360"/>
        <w:jc w:val="both"/>
        <w:rPr>
          <w:sz w:val="20"/>
        </w:rPr>
      </w:pPr>
      <w:r>
        <w:rPr>
          <w:sz w:val="20"/>
        </w:rPr>
        <w:t>Develop improvement</w:t>
      </w:r>
      <w:r>
        <w:rPr>
          <w:spacing w:val="-12"/>
          <w:sz w:val="20"/>
        </w:rPr>
        <w:t> </w:t>
      </w:r>
      <w:r>
        <w:rPr>
          <w:sz w:val="20"/>
        </w:rPr>
        <w:t>actions.</w:t>
      </w:r>
    </w:p>
    <w:p>
      <w:pPr>
        <w:pStyle w:val="BodyText"/>
        <w:spacing w:before="3"/>
      </w:pPr>
    </w:p>
    <w:p>
      <w:pPr>
        <w:pStyle w:val="Heading4"/>
        <w:ind w:right="741"/>
        <w:jc w:val="left"/>
      </w:pPr>
      <w:r>
        <w:rPr/>
        <w:t>Methodology for the muscle fatigue analysis by Suzanne Rodgers</w:t>
      </w:r>
    </w:p>
    <w:p>
      <w:pPr>
        <w:pStyle w:val="BodyText"/>
        <w:spacing w:before="9"/>
        <w:rPr>
          <w:b/>
          <w:sz w:val="19"/>
        </w:rPr>
      </w:pPr>
    </w:p>
    <w:p>
      <w:pPr>
        <w:pStyle w:val="BodyText"/>
        <w:spacing w:before="1"/>
        <w:ind w:left="270" w:right="676"/>
        <w:jc w:val="both"/>
        <w:rPr>
          <w:sz w:val="18"/>
        </w:rPr>
      </w:pPr>
      <w:r>
        <w:rPr/>
        <w:t>The analysis of muscle fatigue was proposed by Rodgers as a means of assessing the amount of fatigue that accumulates in the muscles during various work patterns, in periods of five minutes of work. The hypothesis is that a muscle that quickly fatigue is more susceptible to damage and inflammation. Seen this way, if we intervene minimizing fatigue also will control the onset of injury or illness in the working</w:t>
      </w:r>
      <w:r>
        <w:rPr>
          <w:spacing w:val="-12"/>
        </w:rPr>
        <w:t> </w:t>
      </w:r>
      <w:r>
        <w:rPr>
          <w:sz w:val="18"/>
        </w:rPr>
        <w:t>muscles.[8]</w:t>
      </w:r>
    </w:p>
    <w:p>
      <w:pPr>
        <w:pStyle w:val="BodyText"/>
        <w:ind w:left="270" w:right="676" w:firstLine="420"/>
        <w:jc w:val="both"/>
      </w:pPr>
      <w:r>
        <w:rPr/>
        <w:t>Based on the risk of fatigue, you can assign the task a priority for Change. Use leaf analysis, and divide a job into tasks by determining the percentage of time that each occupies in the turn. Identify which tasks are perceived as "difficult" by those who make them. Discuss the primary tasks (those that occupy more than 10% of the time) and  also those considered "difficult", regardless of what proportion of the total time</w:t>
      </w:r>
      <w:r>
        <w:rPr>
          <w:spacing w:val="-17"/>
        </w:rPr>
        <w:t> </w:t>
      </w:r>
      <w:r>
        <w:rPr/>
        <w:t>involved.</w:t>
      </w:r>
    </w:p>
    <w:p>
      <w:pPr>
        <w:pStyle w:val="BodyText"/>
        <w:ind w:left="270" w:right="675" w:firstLine="420"/>
        <w:jc w:val="both"/>
      </w:pPr>
      <w:r>
        <w:rPr/>
        <w:t>Use a separate sheet for each task. For each body region, evaluate the three risk factors work by assigning a score to each factor by category. Leaf analysis provides a format for this process, including description of the level of effort in  different body regions, duration  and frequency  of</w:t>
      </w:r>
    </w:p>
    <w:p>
      <w:pPr>
        <w:spacing w:after="0"/>
        <w:jc w:val="both"/>
        <w:sectPr>
          <w:type w:val="continuous"/>
          <w:pgSz w:w="12240" w:h="15840"/>
          <w:pgMar w:top="1500" w:bottom="280" w:left="580" w:right="220"/>
          <w:cols w:num="2" w:equalWidth="0">
            <w:col w:w="5190" w:space="435"/>
            <w:col w:w="5815"/>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4"/>
        <w:ind w:left="270"/>
        <w:jc w:val="both"/>
      </w:pPr>
      <w:r>
        <w:rPr/>
        <w:t>the effort effort. For a given body area when the level chosen representative of the task effort should associate a grade of time and effort ongoing effort per minute. Note that if the stress level is so high that most workers cannot do it, or if the duration continuous effort is greater than 30 seconds, or if  the frequency is greater than 15 times a minute, then there is a good basis to assign a Very</w:t>
      </w:r>
      <w:r>
        <w:rPr>
          <w:spacing w:val="-18"/>
        </w:rPr>
        <w:t> </w:t>
      </w:r>
      <w:r>
        <w:rPr/>
        <w:t>High</w:t>
      </w:r>
    </w:p>
    <w:p>
      <w:pPr>
        <w:pStyle w:val="BodyText"/>
        <w:spacing w:before="2"/>
      </w:pPr>
    </w:p>
    <w:p>
      <w:pPr>
        <w:pStyle w:val="Heading4"/>
        <w:spacing w:line="229" w:lineRule="exact"/>
      </w:pPr>
      <w:r>
        <w:rPr/>
        <w:t>APPLICATION OF SUZANNE RODGERS</w:t>
      </w:r>
    </w:p>
    <w:p>
      <w:pPr>
        <w:pStyle w:val="BodyText"/>
        <w:ind w:left="270"/>
        <w:jc w:val="both"/>
      </w:pPr>
      <w:r>
        <w:rPr/>
        <w:t>For the application of Suzanne Rodgers method in the Federal Electricity Commission a detailed analysis was required while workers do their work routine, for this sample photographs were taken which allowed to evaluate the positions. (See Figure 8)</w:t>
      </w:r>
    </w:p>
    <w:p>
      <w:pPr>
        <w:pStyle w:val="BodyText"/>
        <w:rPr>
          <w:sz w:val="23"/>
        </w:rPr>
      </w:pPr>
      <w:r>
        <w:rPr/>
        <w:drawing>
          <wp:anchor distT="0" distB="0" distL="0" distR="0" allowOverlap="1" layoutInCell="1" locked="0" behindDoc="0" simplePos="0" relativeHeight="18232">
            <wp:simplePos x="0" y="0"/>
            <wp:positionH relativeFrom="page">
              <wp:posOffset>1885950</wp:posOffset>
            </wp:positionH>
            <wp:positionV relativeFrom="paragraph">
              <wp:posOffset>192746</wp:posOffset>
            </wp:positionV>
            <wp:extent cx="438912" cy="636270"/>
            <wp:effectExtent l="0" t="0" r="0" b="0"/>
            <wp:wrapTopAndBottom/>
            <wp:docPr id="837" name="image464.png" descr=""/>
            <wp:cNvGraphicFramePr>
              <a:graphicFrameLocks noChangeAspect="1"/>
            </wp:cNvGraphicFramePr>
            <a:graphic>
              <a:graphicData uri="http://schemas.openxmlformats.org/drawingml/2006/picture">
                <pic:pic>
                  <pic:nvPicPr>
                    <pic:cNvPr id="838" name="image464.png"/>
                    <pic:cNvPicPr/>
                  </pic:nvPicPr>
                  <pic:blipFill>
                    <a:blip r:embed="rId733" cstate="print"/>
                    <a:stretch>
                      <a:fillRect/>
                    </a:stretch>
                  </pic:blipFill>
                  <pic:spPr>
                    <a:xfrm>
                      <a:off x="0" y="0"/>
                      <a:ext cx="438912" cy="636270"/>
                    </a:xfrm>
                    <a:prstGeom prst="rect">
                      <a:avLst/>
                    </a:prstGeom>
                  </pic:spPr>
                </pic:pic>
              </a:graphicData>
            </a:graphic>
          </wp:anchor>
        </w:drawing>
      </w:r>
    </w:p>
    <w:p>
      <w:pPr>
        <w:spacing w:before="34"/>
        <w:ind w:left="1652" w:right="118" w:firstLine="0"/>
        <w:jc w:val="left"/>
        <w:rPr>
          <w:sz w:val="18"/>
        </w:rPr>
      </w:pPr>
      <w:r>
        <w:rPr>
          <w:sz w:val="18"/>
        </w:rPr>
        <w:t>Image 8. Evaluated position 2</w:t>
      </w:r>
    </w:p>
    <w:p>
      <w:pPr>
        <w:pStyle w:val="BodyText"/>
        <w:spacing w:before="1"/>
      </w:pPr>
    </w:p>
    <w:p>
      <w:pPr>
        <w:pStyle w:val="Heading4"/>
        <w:rPr>
          <w:b w:val="0"/>
        </w:rPr>
      </w:pPr>
      <w:r>
        <w:rPr/>
        <w:t>POSITION`S ANALYSIS OF THE OPERATOR </w:t>
      </w:r>
      <w:r>
        <w:rPr>
          <w:b w:val="0"/>
        </w:rPr>
        <w:t>2.</w:t>
      </w:r>
    </w:p>
    <w:p>
      <w:pPr>
        <w:spacing w:before="1"/>
        <w:ind w:left="270" w:right="0" w:firstLine="0"/>
        <w:jc w:val="both"/>
        <w:rPr>
          <w:b/>
          <w:sz w:val="20"/>
        </w:rPr>
      </w:pPr>
      <w:r>
        <w:rPr>
          <w:b/>
          <w:sz w:val="20"/>
        </w:rPr>
        <w:t>SUZANNE RODGER</w:t>
      </w:r>
    </w:p>
    <w:p>
      <w:pPr>
        <w:pStyle w:val="BodyText"/>
        <w:rPr>
          <w:b/>
        </w:rPr>
      </w:pPr>
    </w:p>
    <w:p>
      <w:pPr>
        <w:spacing w:before="1"/>
        <w:ind w:left="270" w:right="0" w:firstLine="0"/>
        <w:jc w:val="both"/>
        <w:rPr>
          <w:b/>
          <w:sz w:val="20"/>
        </w:rPr>
      </w:pPr>
      <w:r>
        <w:rPr>
          <w:b/>
          <w:sz w:val="20"/>
        </w:rPr>
        <w:t>Position: Neck</w:t>
      </w:r>
    </w:p>
    <w:p>
      <w:pPr>
        <w:pStyle w:val="BodyText"/>
        <w:spacing w:before="8"/>
        <w:rPr>
          <w:b/>
          <w:sz w:val="19"/>
        </w:rPr>
      </w:pPr>
    </w:p>
    <w:p>
      <w:pPr>
        <w:pStyle w:val="BodyText"/>
        <w:ind w:left="270" w:right="1"/>
        <w:jc w:val="both"/>
      </w:pPr>
      <w:r>
        <w:rPr/>
        <w:drawing>
          <wp:anchor distT="0" distB="0" distL="0" distR="0" allowOverlap="1" layoutInCell="1" locked="0" behindDoc="0" simplePos="0" relativeHeight="18280">
            <wp:simplePos x="0" y="0"/>
            <wp:positionH relativeFrom="page">
              <wp:posOffset>1885950</wp:posOffset>
            </wp:positionH>
            <wp:positionV relativeFrom="paragraph">
              <wp:posOffset>341837</wp:posOffset>
            </wp:positionV>
            <wp:extent cx="438912" cy="628650"/>
            <wp:effectExtent l="0" t="0" r="0" b="0"/>
            <wp:wrapNone/>
            <wp:docPr id="839" name="image465.png" descr=""/>
            <wp:cNvGraphicFramePr>
              <a:graphicFrameLocks noChangeAspect="1"/>
            </wp:cNvGraphicFramePr>
            <a:graphic>
              <a:graphicData uri="http://schemas.openxmlformats.org/drawingml/2006/picture">
                <pic:pic>
                  <pic:nvPicPr>
                    <pic:cNvPr id="840" name="image465.png"/>
                    <pic:cNvPicPr/>
                  </pic:nvPicPr>
                  <pic:blipFill>
                    <a:blip r:embed="rId734" cstate="print"/>
                    <a:stretch>
                      <a:fillRect/>
                    </a:stretch>
                  </pic:blipFill>
                  <pic:spPr>
                    <a:xfrm>
                      <a:off x="0" y="0"/>
                      <a:ext cx="438912" cy="628650"/>
                    </a:xfrm>
                    <a:prstGeom prst="rect">
                      <a:avLst/>
                    </a:prstGeom>
                  </pic:spPr>
                </pic:pic>
              </a:graphicData>
            </a:graphic>
          </wp:anchor>
        </w:drawing>
      </w:r>
      <w:r>
        <w:rPr/>
        <w:t>The neck of the operator constantly turns from one side to another and he held a back static position (See Figure 9)</w:t>
      </w:r>
    </w:p>
    <w:p>
      <w:pPr>
        <w:pStyle w:val="BodyText"/>
        <w:spacing w:before="4"/>
        <w:rPr>
          <w:sz w:val="26"/>
        </w:rPr>
      </w:pPr>
      <w:r>
        <w:rPr/>
        <w:br w:type="column"/>
      </w:r>
      <w:r>
        <w:rPr>
          <w:sz w:val="26"/>
        </w:rPr>
      </w:r>
    </w:p>
    <w:p>
      <w:pPr>
        <w:pStyle w:val="BodyText"/>
        <w:spacing w:before="1"/>
        <w:ind w:left="270" w:right="676"/>
        <w:jc w:val="both"/>
      </w:pPr>
      <w:r>
        <w:rPr/>
        <w:t>Arm rotates while it makes an effort to adapting insulators which has a moderate effort of 2 with a frequency of 3 and a duration of 3. (See Figure 12)</w:t>
      </w:r>
    </w:p>
    <w:p>
      <w:pPr>
        <w:pStyle w:val="BodyText"/>
        <w:spacing w:before="7"/>
        <w:rPr>
          <w:sz w:val="6"/>
        </w:rPr>
      </w:pPr>
    </w:p>
    <w:p>
      <w:pPr>
        <w:pStyle w:val="BodyText"/>
        <w:ind w:left="2363"/>
      </w:pPr>
      <w:r>
        <w:rPr/>
        <w:drawing>
          <wp:inline distT="0" distB="0" distL="0" distR="0">
            <wp:extent cx="438912" cy="632459"/>
            <wp:effectExtent l="0" t="0" r="0" b="0"/>
            <wp:docPr id="841" name="image466.png" descr=""/>
            <wp:cNvGraphicFramePr>
              <a:graphicFrameLocks noChangeAspect="1"/>
            </wp:cNvGraphicFramePr>
            <a:graphic>
              <a:graphicData uri="http://schemas.openxmlformats.org/drawingml/2006/picture">
                <pic:pic>
                  <pic:nvPicPr>
                    <pic:cNvPr id="842" name="image466.png"/>
                    <pic:cNvPicPr/>
                  </pic:nvPicPr>
                  <pic:blipFill>
                    <a:blip r:embed="rId735" cstate="print"/>
                    <a:stretch>
                      <a:fillRect/>
                    </a:stretch>
                  </pic:blipFill>
                  <pic:spPr>
                    <a:xfrm>
                      <a:off x="0" y="0"/>
                      <a:ext cx="438912" cy="632459"/>
                    </a:xfrm>
                    <a:prstGeom prst="rect">
                      <a:avLst/>
                    </a:prstGeom>
                  </pic:spPr>
                </pic:pic>
              </a:graphicData>
            </a:graphic>
          </wp:inline>
        </w:drawing>
      </w:r>
      <w:r>
        <w:rPr/>
      </w:r>
    </w:p>
    <w:p>
      <w:pPr>
        <w:spacing w:before="67"/>
        <w:ind w:left="1432" w:right="702" w:firstLine="0"/>
        <w:jc w:val="left"/>
        <w:rPr>
          <w:sz w:val="20"/>
        </w:rPr>
      </w:pPr>
      <w:r>
        <w:rPr>
          <w:sz w:val="18"/>
        </w:rPr>
        <w:t>Figure </w:t>
      </w:r>
      <w:r>
        <w:rPr>
          <w:sz w:val="20"/>
        </w:rPr>
        <w:t>12. “Arreglo de aislador”</w:t>
      </w:r>
    </w:p>
    <w:p>
      <w:pPr>
        <w:pStyle w:val="BodyText"/>
        <w:spacing w:before="3"/>
      </w:pPr>
    </w:p>
    <w:p>
      <w:pPr>
        <w:pStyle w:val="Heading4"/>
      </w:pPr>
      <w:r>
        <w:rPr/>
        <w:t>Position: Hands/fingers/wrist</w:t>
      </w:r>
    </w:p>
    <w:p>
      <w:pPr>
        <w:pStyle w:val="BodyText"/>
        <w:spacing w:before="8"/>
        <w:rPr>
          <w:b/>
          <w:sz w:val="19"/>
        </w:rPr>
      </w:pPr>
    </w:p>
    <w:p>
      <w:pPr>
        <w:pStyle w:val="BodyText"/>
        <w:ind w:left="270" w:right="676"/>
        <w:jc w:val="both"/>
      </w:pPr>
      <w:r>
        <w:rPr/>
        <w:t>The operator maintains large angles and efforts this because the tools you need to develop your task which requires moderate effort of 3. (See Figure 13)</w:t>
      </w:r>
    </w:p>
    <w:p>
      <w:pPr>
        <w:pStyle w:val="BodyText"/>
        <w:spacing w:before="1"/>
        <w:rPr>
          <w:sz w:val="7"/>
        </w:rPr>
      </w:pPr>
    </w:p>
    <w:p>
      <w:pPr>
        <w:pStyle w:val="BodyText"/>
        <w:ind w:left="2363"/>
      </w:pPr>
      <w:r>
        <w:rPr/>
        <w:drawing>
          <wp:inline distT="0" distB="0" distL="0" distR="0">
            <wp:extent cx="438912" cy="628650"/>
            <wp:effectExtent l="0" t="0" r="0" b="0"/>
            <wp:docPr id="843" name="image467.png" descr=""/>
            <wp:cNvGraphicFramePr>
              <a:graphicFrameLocks noChangeAspect="1"/>
            </wp:cNvGraphicFramePr>
            <a:graphic>
              <a:graphicData uri="http://schemas.openxmlformats.org/drawingml/2006/picture">
                <pic:pic>
                  <pic:nvPicPr>
                    <pic:cNvPr id="844" name="image467.png"/>
                    <pic:cNvPicPr/>
                  </pic:nvPicPr>
                  <pic:blipFill>
                    <a:blip r:embed="rId736" cstate="print"/>
                    <a:stretch>
                      <a:fillRect/>
                    </a:stretch>
                  </pic:blipFill>
                  <pic:spPr>
                    <a:xfrm>
                      <a:off x="0" y="0"/>
                      <a:ext cx="438912" cy="628650"/>
                    </a:xfrm>
                    <a:prstGeom prst="rect">
                      <a:avLst/>
                    </a:prstGeom>
                  </pic:spPr>
                </pic:pic>
              </a:graphicData>
            </a:graphic>
          </wp:inline>
        </w:drawing>
      </w:r>
      <w:r>
        <w:rPr/>
      </w:r>
    </w:p>
    <w:p>
      <w:pPr>
        <w:pStyle w:val="BodyText"/>
        <w:spacing w:before="69"/>
        <w:ind w:left="1405" w:right="702"/>
      </w:pPr>
      <w:r>
        <w:rPr/>
        <w:t>Figure 13. “Arreglo de aislador”</w:t>
      </w:r>
    </w:p>
    <w:p>
      <w:pPr>
        <w:pStyle w:val="BodyText"/>
        <w:spacing w:before="3"/>
      </w:pPr>
    </w:p>
    <w:p>
      <w:pPr>
        <w:pStyle w:val="Heading4"/>
      </w:pPr>
      <w:r>
        <w:rPr/>
        <w:t>Position: Knees/ankles</w:t>
      </w:r>
    </w:p>
    <w:p>
      <w:pPr>
        <w:pStyle w:val="BodyText"/>
        <w:spacing w:before="8"/>
        <w:rPr>
          <w:b/>
          <w:sz w:val="19"/>
        </w:rPr>
      </w:pPr>
    </w:p>
    <w:p>
      <w:pPr>
        <w:pStyle w:val="BodyText"/>
        <w:ind w:left="270" w:right="675"/>
        <w:jc w:val="both"/>
      </w:pPr>
      <w:r>
        <w:rPr/>
        <w:drawing>
          <wp:anchor distT="0" distB="0" distL="0" distR="0" allowOverlap="1" layoutInCell="1" locked="0" behindDoc="0" simplePos="0" relativeHeight="18328">
            <wp:simplePos x="0" y="0"/>
            <wp:positionH relativeFrom="page">
              <wp:posOffset>5452109</wp:posOffset>
            </wp:positionH>
            <wp:positionV relativeFrom="paragraph">
              <wp:posOffset>495754</wp:posOffset>
            </wp:positionV>
            <wp:extent cx="414527" cy="613410"/>
            <wp:effectExtent l="0" t="0" r="0" b="0"/>
            <wp:wrapNone/>
            <wp:docPr id="845" name="image468.png" descr=""/>
            <wp:cNvGraphicFramePr>
              <a:graphicFrameLocks noChangeAspect="1"/>
            </wp:cNvGraphicFramePr>
            <a:graphic>
              <a:graphicData uri="http://schemas.openxmlformats.org/drawingml/2006/picture">
                <pic:pic>
                  <pic:nvPicPr>
                    <pic:cNvPr id="846" name="image468.png"/>
                    <pic:cNvPicPr/>
                  </pic:nvPicPr>
                  <pic:blipFill>
                    <a:blip r:embed="rId737" cstate="print"/>
                    <a:stretch>
                      <a:fillRect/>
                    </a:stretch>
                  </pic:blipFill>
                  <pic:spPr>
                    <a:xfrm>
                      <a:off x="0" y="0"/>
                      <a:ext cx="414527" cy="613410"/>
                    </a:xfrm>
                    <a:prstGeom prst="rect">
                      <a:avLst/>
                    </a:prstGeom>
                  </pic:spPr>
                </pic:pic>
              </a:graphicData>
            </a:graphic>
          </wp:anchor>
        </w:drawing>
      </w:r>
      <w:r>
        <w:rPr/>
        <w:t>The worker exerted big effort in the ankles because all the body weight is leaning over him and keeps his weight and tools supported on it. (See Figure 14)</w:t>
      </w:r>
    </w:p>
    <w:p>
      <w:pPr>
        <w:spacing w:after="0"/>
        <w:jc w:val="both"/>
        <w:sectPr>
          <w:type w:val="continuous"/>
          <w:pgSz w:w="12240" w:h="15840"/>
          <w:pgMar w:top="1500" w:bottom="280" w:left="580" w:right="220"/>
          <w:cols w:num="2" w:equalWidth="0">
            <w:col w:w="5190" w:space="434"/>
            <w:col w:w="5816"/>
          </w:cols>
        </w:sectPr>
      </w:pPr>
    </w:p>
    <w:p>
      <w:pPr>
        <w:pStyle w:val="BodyText"/>
      </w:pPr>
    </w:p>
    <w:p>
      <w:pPr>
        <w:pStyle w:val="BodyText"/>
      </w:pPr>
    </w:p>
    <w:p>
      <w:pPr>
        <w:pStyle w:val="BodyText"/>
      </w:pPr>
    </w:p>
    <w:p>
      <w:pPr>
        <w:spacing w:after="0"/>
        <w:sectPr>
          <w:type w:val="continuous"/>
          <w:pgSz w:w="12240" w:h="15840"/>
          <w:pgMar w:top="1500" w:bottom="280" w:left="580" w:right="220"/>
        </w:sectPr>
      </w:pPr>
    </w:p>
    <w:p>
      <w:pPr>
        <w:pStyle w:val="BodyText"/>
      </w:pPr>
    </w:p>
    <w:p>
      <w:pPr>
        <w:pStyle w:val="BodyText"/>
      </w:pPr>
    </w:p>
    <w:p>
      <w:pPr>
        <w:pStyle w:val="BodyText"/>
        <w:spacing w:before="3"/>
        <w:rPr>
          <w:sz w:val="17"/>
        </w:rPr>
      </w:pPr>
    </w:p>
    <w:p>
      <w:pPr>
        <w:spacing w:before="1"/>
        <w:ind w:left="270" w:right="-10" w:firstLine="0"/>
        <w:jc w:val="left"/>
        <w:rPr>
          <w:b/>
          <w:sz w:val="18"/>
        </w:rPr>
      </w:pPr>
      <w:r>
        <w:rPr>
          <w:b/>
          <w:sz w:val="20"/>
        </w:rPr>
        <w:t>Position:</w:t>
      </w:r>
      <w:r>
        <w:rPr>
          <w:b/>
          <w:spacing w:val="-13"/>
          <w:sz w:val="20"/>
        </w:rPr>
        <w:t> </w:t>
      </w:r>
      <w:r>
        <w:rPr>
          <w:b/>
          <w:sz w:val="18"/>
        </w:rPr>
        <w:t>Shoulders</w:t>
      </w:r>
    </w:p>
    <w:p>
      <w:pPr>
        <w:pStyle w:val="BodyText"/>
        <w:rPr>
          <w:b/>
          <w:sz w:val="18"/>
        </w:rPr>
      </w:pPr>
      <w:r>
        <w:rPr/>
        <w:br w:type="column"/>
      </w:r>
      <w:r>
        <w:rPr>
          <w:b/>
          <w:sz w:val="18"/>
        </w:rPr>
      </w:r>
    </w:p>
    <w:p>
      <w:pPr>
        <w:pStyle w:val="BodyText"/>
        <w:rPr>
          <w:b/>
          <w:sz w:val="21"/>
        </w:rPr>
      </w:pPr>
    </w:p>
    <w:p>
      <w:pPr>
        <w:spacing w:before="0"/>
        <w:ind w:left="-11" w:right="-12" w:firstLine="0"/>
        <w:jc w:val="left"/>
        <w:rPr>
          <w:sz w:val="16"/>
        </w:rPr>
      </w:pPr>
      <w:r>
        <w:rPr>
          <w:sz w:val="18"/>
        </w:rPr>
        <w:t>Figure </w:t>
      </w:r>
      <w:r>
        <w:rPr>
          <w:sz w:val="16"/>
        </w:rPr>
        <w:t>9. “Puente de</w:t>
      </w:r>
      <w:r>
        <w:rPr>
          <w:spacing w:val="-14"/>
          <w:sz w:val="16"/>
        </w:rPr>
        <w:t> </w:t>
      </w:r>
      <w:r>
        <w:rPr>
          <w:sz w:val="16"/>
        </w:rPr>
        <w:t>mufa”</w:t>
      </w:r>
    </w:p>
    <w:p>
      <w:pPr>
        <w:pStyle w:val="BodyText"/>
        <w:spacing w:before="3"/>
      </w:pPr>
      <w:r>
        <w:rPr/>
        <w:br w:type="column"/>
      </w:r>
      <w:r>
        <w:rPr/>
      </w:r>
    </w:p>
    <w:p>
      <w:pPr>
        <w:pStyle w:val="BodyText"/>
        <w:ind w:left="270"/>
      </w:pPr>
      <w:r>
        <w:rPr/>
        <w:t>Figure 14. “Arreglo de aislador”</w:t>
      </w:r>
    </w:p>
    <w:p>
      <w:pPr>
        <w:spacing w:after="0"/>
        <w:sectPr>
          <w:type w:val="continuous"/>
          <w:pgSz w:w="12240" w:h="15840"/>
          <w:pgMar w:top="1500" w:bottom="280" w:left="580" w:right="220"/>
          <w:cols w:num="3" w:equalWidth="0">
            <w:col w:w="1843" w:space="40"/>
            <w:col w:w="1796" w:space="3082"/>
            <w:col w:w="4679"/>
          </w:cols>
        </w:sectPr>
      </w:pPr>
    </w:p>
    <w:p>
      <w:pPr>
        <w:pStyle w:val="BodyText"/>
        <w:ind w:left="270" w:right="6249"/>
        <w:jc w:val="both"/>
      </w:pPr>
      <w:r>
        <w:rPr/>
        <w:drawing>
          <wp:anchor distT="0" distB="0" distL="0" distR="0" allowOverlap="1" layoutInCell="1" locked="0" behindDoc="0" simplePos="0" relativeHeight="18256">
            <wp:simplePos x="0" y="0"/>
            <wp:positionH relativeFrom="page">
              <wp:posOffset>1885950</wp:posOffset>
            </wp:positionH>
            <wp:positionV relativeFrom="paragraph">
              <wp:posOffset>488136</wp:posOffset>
            </wp:positionV>
            <wp:extent cx="438912" cy="632460"/>
            <wp:effectExtent l="0" t="0" r="0" b="0"/>
            <wp:wrapTopAndBottom/>
            <wp:docPr id="847" name="image469.png" descr=""/>
            <wp:cNvGraphicFramePr>
              <a:graphicFrameLocks noChangeAspect="1"/>
            </wp:cNvGraphicFramePr>
            <a:graphic>
              <a:graphicData uri="http://schemas.openxmlformats.org/drawingml/2006/picture">
                <pic:pic>
                  <pic:nvPicPr>
                    <pic:cNvPr id="848" name="image469.png"/>
                    <pic:cNvPicPr/>
                  </pic:nvPicPr>
                  <pic:blipFill>
                    <a:blip r:embed="rId738" cstate="print"/>
                    <a:stretch>
                      <a:fillRect/>
                    </a:stretch>
                  </pic:blipFill>
                  <pic:spPr>
                    <a:xfrm>
                      <a:off x="0" y="0"/>
                      <a:ext cx="438912" cy="632460"/>
                    </a:xfrm>
                    <a:prstGeom prst="rect">
                      <a:avLst/>
                    </a:prstGeom>
                  </pic:spPr>
                </pic:pic>
              </a:graphicData>
            </a:graphic>
          </wp:anchor>
        </w:drawing>
      </w:r>
      <w:r>
        <w:rPr/>
        <w:pict>
          <v:group style="position:absolute;margin-left:353.700012pt;margin-top:1.895931pt;width:183.4pt;height:193.5pt;mso-position-horizontal-relative:page;mso-position-vertical-relative:paragraph;z-index:18352" coordorigin="7074,38" coordsize="3668,3870">
            <v:shape style="position:absolute;left:7074;top:38;width:3667;height:1648" type="#_x0000_t75" stroked="false">
              <v:imagedata r:id="rId739" o:title=""/>
            </v:shape>
            <v:shape style="position:absolute;left:7075;top:1686;width:3224;height:2222" type="#_x0000_t75" stroked="false">
              <v:imagedata r:id="rId740" o:title=""/>
            </v:shape>
            <w10:wrap type="none"/>
          </v:group>
        </w:pict>
      </w:r>
      <w:r>
        <w:rPr/>
        <w:t>The arms during operation are kept detached from the body to obtain a moderate effort 2 with a frequency of 1 and a duration of 2 (see Figure</w:t>
      </w:r>
      <w:r>
        <w:rPr>
          <w:spacing w:val="-9"/>
        </w:rPr>
        <w:t> </w:t>
      </w:r>
      <w:r>
        <w:rPr/>
        <w:t>10)</w:t>
      </w:r>
    </w:p>
    <w:p>
      <w:pPr>
        <w:spacing w:before="34"/>
        <w:ind w:left="1698" w:right="6276" w:firstLine="0"/>
        <w:jc w:val="left"/>
        <w:rPr>
          <w:sz w:val="18"/>
        </w:rPr>
      </w:pPr>
      <w:r>
        <w:rPr>
          <w:sz w:val="18"/>
        </w:rPr>
        <w:t>Figure 10. “Posición de mufa”</w:t>
      </w:r>
    </w:p>
    <w:p>
      <w:pPr>
        <w:pStyle w:val="BodyText"/>
        <w:spacing w:before="3"/>
      </w:pPr>
    </w:p>
    <w:p>
      <w:pPr>
        <w:pStyle w:val="Heading4"/>
        <w:spacing w:line="229" w:lineRule="exact" w:before="1"/>
      </w:pPr>
      <w:r>
        <w:rPr/>
        <w:t>Position: Back</w:t>
      </w:r>
    </w:p>
    <w:p>
      <w:pPr>
        <w:pStyle w:val="BodyText"/>
        <w:ind w:left="270" w:right="6251"/>
        <w:jc w:val="both"/>
        <w:rPr>
          <w:sz w:val="18"/>
        </w:rPr>
      </w:pPr>
      <w:r>
        <w:rPr/>
        <w:t>The operator keep the back straight for a long period of time, so the operation has an effort of 3 </w:t>
      </w:r>
      <w:r>
        <w:rPr>
          <w:sz w:val="18"/>
        </w:rPr>
        <w:t>(See Figure 11)</w:t>
      </w:r>
    </w:p>
    <w:p>
      <w:pPr>
        <w:pStyle w:val="BodyText"/>
      </w:pPr>
    </w:p>
    <w:p>
      <w:pPr>
        <w:pStyle w:val="BodyText"/>
      </w:pPr>
    </w:p>
    <w:p>
      <w:pPr>
        <w:pStyle w:val="BodyText"/>
      </w:pPr>
    </w:p>
    <w:p>
      <w:pPr>
        <w:pStyle w:val="BodyText"/>
      </w:pPr>
    </w:p>
    <w:p>
      <w:pPr>
        <w:pStyle w:val="BodyText"/>
        <w:spacing w:before="1"/>
        <w:rPr>
          <w:sz w:val="16"/>
        </w:rPr>
      </w:pPr>
    </w:p>
    <w:p>
      <w:pPr>
        <w:spacing w:after="0"/>
        <w:rPr>
          <w:sz w:val="16"/>
        </w:rPr>
        <w:sectPr>
          <w:type w:val="continuous"/>
          <w:pgSz w:w="12240" w:h="15840"/>
          <w:pgMar w:top="1500" w:bottom="280" w:left="580" w:right="220"/>
        </w:sectPr>
      </w:pPr>
    </w:p>
    <w:p>
      <w:pPr>
        <w:pStyle w:val="BodyText"/>
        <w:spacing w:before="11"/>
        <w:rPr>
          <w:sz w:val="22"/>
        </w:rPr>
      </w:pPr>
    </w:p>
    <w:p>
      <w:pPr>
        <w:spacing w:before="0"/>
        <w:ind w:left="1937" w:right="-18" w:firstLine="0"/>
        <w:jc w:val="left"/>
        <w:rPr>
          <w:sz w:val="18"/>
        </w:rPr>
      </w:pPr>
      <w:r>
        <w:rPr/>
        <w:drawing>
          <wp:anchor distT="0" distB="0" distL="0" distR="0" allowOverlap="1" layoutInCell="1" locked="0" behindDoc="0" simplePos="0" relativeHeight="18304">
            <wp:simplePos x="0" y="0"/>
            <wp:positionH relativeFrom="page">
              <wp:posOffset>1885950</wp:posOffset>
            </wp:positionH>
            <wp:positionV relativeFrom="paragraph">
              <wp:posOffset>-673577</wp:posOffset>
            </wp:positionV>
            <wp:extent cx="438912" cy="632460"/>
            <wp:effectExtent l="0" t="0" r="0" b="0"/>
            <wp:wrapNone/>
            <wp:docPr id="849" name="image472.png" descr=""/>
            <wp:cNvGraphicFramePr>
              <a:graphicFrameLocks noChangeAspect="1"/>
            </wp:cNvGraphicFramePr>
            <a:graphic>
              <a:graphicData uri="http://schemas.openxmlformats.org/drawingml/2006/picture">
                <pic:pic>
                  <pic:nvPicPr>
                    <pic:cNvPr id="850" name="image472.png"/>
                    <pic:cNvPicPr/>
                  </pic:nvPicPr>
                  <pic:blipFill>
                    <a:blip r:embed="rId741" cstate="print"/>
                    <a:stretch>
                      <a:fillRect/>
                    </a:stretch>
                  </pic:blipFill>
                  <pic:spPr>
                    <a:xfrm>
                      <a:off x="0" y="0"/>
                      <a:ext cx="438912" cy="632460"/>
                    </a:xfrm>
                    <a:prstGeom prst="rect">
                      <a:avLst/>
                    </a:prstGeom>
                  </pic:spPr>
                </pic:pic>
              </a:graphicData>
            </a:graphic>
          </wp:anchor>
        </w:drawing>
      </w:r>
      <w:r>
        <w:rPr>
          <w:sz w:val="18"/>
        </w:rPr>
        <w:t>Figure 11. Back erected</w:t>
      </w:r>
    </w:p>
    <w:p>
      <w:pPr>
        <w:pStyle w:val="BodyText"/>
        <w:spacing w:before="3"/>
      </w:pPr>
    </w:p>
    <w:p>
      <w:pPr>
        <w:pStyle w:val="Heading4"/>
        <w:spacing w:before="1"/>
        <w:ind w:right="-18"/>
        <w:jc w:val="left"/>
      </w:pPr>
      <w:r>
        <w:rPr/>
        <w:t>Position: Arm/elbow</w:t>
      </w:r>
    </w:p>
    <w:p>
      <w:pPr>
        <w:pStyle w:val="BodyText"/>
        <w:spacing w:before="75"/>
        <w:ind w:left="270" w:right="678"/>
        <w:jc w:val="both"/>
      </w:pPr>
      <w:r>
        <w:rPr/>
        <w:br w:type="column"/>
      </w:r>
      <w:r>
        <w:rPr/>
        <w:t>The “liniero” at FEC do not bring loading on their hands but carries all the extra weight on the waist, using a harness or a tool belt, in which a cage is used. For best results a study  of</w:t>
      </w:r>
    </w:p>
    <w:p>
      <w:pPr>
        <w:spacing w:after="0"/>
        <w:jc w:val="both"/>
        <w:sectPr>
          <w:type w:val="continuous"/>
          <w:pgSz w:w="12240" w:h="15840"/>
          <w:pgMar w:top="1500" w:bottom="280" w:left="580" w:right="220"/>
          <w:cols w:num="2" w:equalWidth="0">
            <w:col w:w="3659" w:space="1965"/>
            <w:col w:w="5816"/>
          </w:cols>
        </w:sectPr>
      </w:pPr>
    </w:p>
    <w:p>
      <w:pPr>
        <w:pStyle w:val="BodyText"/>
        <w:spacing w:before="9"/>
        <w:rPr>
          <w:sz w:val="17"/>
        </w:rPr>
      </w:pPr>
    </w:p>
    <w:p>
      <w:pPr>
        <w:pStyle w:val="BodyText"/>
        <w:ind w:left="270"/>
        <w:jc w:val="both"/>
      </w:pPr>
      <w:r>
        <w:rPr/>
        <w:t>weight was made in order to allow us to obtain the exact weight of these occupational tools. (See chart 5)</w:t>
      </w:r>
    </w:p>
    <w:p>
      <w:pPr>
        <w:pStyle w:val="BodyText"/>
      </w:pPr>
    </w:p>
    <w:p>
      <w:pPr>
        <w:pStyle w:val="BodyText"/>
        <w:spacing w:before="1"/>
        <w:ind w:left="997" w:right="118"/>
      </w:pPr>
      <w:r>
        <w:rPr/>
        <w:drawing>
          <wp:anchor distT="0" distB="0" distL="0" distR="0" allowOverlap="1" layoutInCell="1" locked="0" behindDoc="1" simplePos="0" relativeHeight="267575039">
            <wp:simplePos x="0" y="0"/>
            <wp:positionH relativeFrom="page">
              <wp:posOffset>1133855</wp:posOffset>
            </wp:positionH>
            <wp:positionV relativeFrom="paragraph">
              <wp:posOffset>146640</wp:posOffset>
            </wp:positionV>
            <wp:extent cx="2124456" cy="1570481"/>
            <wp:effectExtent l="0" t="0" r="0" b="0"/>
            <wp:wrapNone/>
            <wp:docPr id="851" name="image473.jpeg" descr=""/>
            <wp:cNvGraphicFramePr>
              <a:graphicFrameLocks noChangeAspect="1"/>
            </wp:cNvGraphicFramePr>
            <a:graphic>
              <a:graphicData uri="http://schemas.openxmlformats.org/drawingml/2006/picture">
                <pic:pic>
                  <pic:nvPicPr>
                    <pic:cNvPr id="852" name="image473.jpeg"/>
                    <pic:cNvPicPr/>
                  </pic:nvPicPr>
                  <pic:blipFill>
                    <a:blip r:embed="rId742" cstate="print"/>
                    <a:stretch>
                      <a:fillRect/>
                    </a:stretch>
                  </pic:blipFill>
                  <pic:spPr>
                    <a:xfrm>
                      <a:off x="0" y="0"/>
                      <a:ext cx="2124456" cy="1570481"/>
                    </a:xfrm>
                    <a:prstGeom prst="rect">
                      <a:avLst/>
                    </a:prstGeom>
                  </pic:spPr>
                </pic:pic>
              </a:graphicData>
            </a:graphic>
          </wp:anchor>
        </w:drawing>
      </w:r>
      <w:r>
        <w:rPr/>
        <w:t>Chart 5. weight measures form harness and</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18"/>
        </w:rPr>
      </w:pPr>
    </w:p>
    <w:p>
      <w:pPr>
        <w:pStyle w:val="BodyText"/>
        <w:ind w:left="905" w:right="118"/>
      </w:pPr>
      <w:r>
        <w:rPr/>
        <w:t>belt</w:t>
      </w:r>
    </w:p>
    <w:p>
      <w:pPr>
        <w:pStyle w:val="BodyText"/>
        <w:spacing w:before="11"/>
        <w:rPr>
          <w:sz w:val="19"/>
        </w:rPr>
      </w:pPr>
    </w:p>
    <w:p>
      <w:pPr>
        <w:pStyle w:val="BodyText"/>
        <w:ind w:left="270"/>
        <w:jc w:val="both"/>
      </w:pPr>
      <w:r>
        <w:rPr/>
        <w:t>Inside the cage the following tools:</w:t>
      </w:r>
    </w:p>
    <w:p>
      <w:pPr>
        <w:pStyle w:val="ListParagraph"/>
        <w:numPr>
          <w:ilvl w:val="0"/>
          <w:numId w:val="162"/>
        </w:numPr>
        <w:tabs>
          <w:tab w:pos="979" w:val="left" w:leader="none"/>
        </w:tabs>
        <w:spacing w:line="230" w:lineRule="exact" w:before="0" w:after="0"/>
        <w:ind w:left="978" w:right="0" w:hanging="282"/>
        <w:jc w:val="left"/>
        <w:rPr>
          <w:sz w:val="20"/>
        </w:rPr>
      </w:pPr>
      <w:r>
        <w:rPr>
          <w:sz w:val="20"/>
        </w:rPr>
        <w:t>Pole</w:t>
      </w:r>
    </w:p>
    <w:p>
      <w:pPr>
        <w:pStyle w:val="ListParagraph"/>
        <w:numPr>
          <w:ilvl w:val="0"/>
          <w:numId w:val="162"/>
        </w:numPr>
        <w:tabs>
          <w:tab w:pos="979" w:val="left" w:leader="none"/>
        </w:tabs>
        <w:spacing w:line="230" w:lineRule="exact" w:before="0" w:after="0"/>
        <w:ind w:left="978" w:right="0" w:hanging="282"/>
        <w:jc w:val="left"/>
        <w:rPr>
          <w:sz w:val="20"/>
        </w:rPr>
      </w:pPr>
      <w:r>
        <w:rPr>
          <w:sz w:val="20"/>
        </w:rPr>
        <w:t>Pole</w:t>
      </w:r>
      <w:r>
        <w:rPr>
          <w:spacing w:val="-12"/>
          <w:sz w:val="20"/>
        </w:rPr>
        <w:t> </w:t>
      </w:r>
      <w:r>
        <w:rPr>
          <w:sz w:val="20"/>
        </w:rPr>
        <w:t>“escopeta”</w:t>
      </w:r>
    </w:p>
    <w:p>
      <w:pPr>
        <w:pStyle w:val="ListParagraph"/>
        <w:numPr>
          <w:ilvl w:val="0"/>
          <w:numId w:val="162"/>
        </w:numPr>
        <w:tabs>
          <w:tab w:pos="979" w:val="left" w:leader="none"/>
        </w:tabs>
        <w:spacing w:line="240" w:lineRule="auto" w:before="0" w:after="0"/>
        <w:ind w:left="978" w:right="0" w:hanging="282"/>
        <w:jc w:val="left"/>
        <w:rPr>
          <w:sz w:val="20"/>
        </w:rPr>
      </w:pPr>
      <w:r>
        <w:rPr>
          <w:sz w:val="20"/>
        </w:rPr>
        <w:t>Fuse</w:t>
      </w:r>
    </w:p>
    <w:p>
      <w:pPr>
        <w:pStyle w:val="ListParagraph"/>
        <w:numPr>
          <w:ilvl w:val="0"/>
          <w:numId w:val="162"/>
        </w:numPr>
        <w:tabs>
          <w:tab w:pos="979" w:val="left" w:leader="none"/>
        </w:tabs>
        <w:spacing w:line="230" w:lineRule="exact" w:before="0" w:after="0"/>
        <w:ind w:left="978" w:right="0" w:hanging="282"/>
        <w:jc w:val="left"/>
        <w:rPr>
          <w:sz w:val="20"/>
        </w:rPr>
      </w:pPr>
      <w:r>
        <w:rPr>
          <w:sz w:val="20"/>
        </w:rPr>
        <w:t>“Pericas”</w:t>
      </w:r>
    </w:p>
    <w:p>
      <w:pPr>
        <w:pStyle w:val="ListParagraph"/>
        <w:numPr>
          <w:ilvl w:val="0"/>
          <w:numId w:val="162"/>
        </w:numPr>
        <w:tabs>
          <w:tab w:pos="979" w:val="left" w:leader="none"/>
        </w:tabs>
        <w:spacing w:line="230" w:lineRule="exact" w:before="0" w:after="0"/>
        <w:ind w:left="978" w:right="0" w:hanging="282"/>
        <w:jc w:val="left"/>
        <w:rPr>
          <w:sz w:val="20"/>
        </w:rPr>
      </w:pPr>
      <w:r>
        <w:rPr>
          <w:sz w:val="20"/>
        </w:rPr>
        <w:t>Lamps</w:t>
      </w:r>
    </w:p>
    <w:p>
      <w:pPr>
        <w:pStyle w:val="ListParagraph"/>
        <w:numPr>
          <w:ilvl w:val="0"/>
          <w:numId w:val="162"/>
        </w:numPr>
        <w:tabs>
          <w:tab w:pos="979" w:val="left" w:leader="none"/>
        </w:tabs>
        <w:spacing w:line="240" w:lineRule="auto" w:before="0" w:after="0"/>
        <w:ind w:left="978" w:right="0" w:hanging="282"/>
        <w:jc w:val="left"/>
        <w:rPr>
          <w:sz w:val="20"/>
        </w:rPr>
      </w:pPr>
      <w:r>
        <w:rPr>
          <w:sz w:val="20"/>
        </w:rPr>
        <w:t>“Tempe”</w:t>
      </w:r>
    </w:p>
    <w:p>
      <w:pPr>
        <w:pStyle w:val="ListParagraph"/>
        <w:numPr>
          <w:ilvl w:val="0"/>
          <w:numId w:val="162"/>
        </w:numPr>
        <w:tabs>
          <w:tab w:pos="979" w:val="left" w:leader="none"/>
        </w:tabs>
        <w:spacing w:line="230" w:lineRule="exact" w:before="0" w:after="0"/>
        <w:ind w:left="978" w:right="0" w:hanging="282"/>
        <w:jc w:val="left"/>
        <w:rPr>
          <w:sz w:val="20"/>
        </w:rPr>
      </w:pPr>
      <w:r>
        <w:rPr>
          <w:sz w:val="20"/>
        </w:rPr>
        <w:t>Dice</w:t>
      </w:r>
    </w:p>
    <w:p>
      <w:pPr>
        <w:pStyle w:val="ListParagraph"/>
        <w:numPr>
          <w:ilvl w:val="0"/>
          <w:numId w:val="162"/>
        </w:numPr>
        <w:tabs>
          <w:tab w:pos="979" w:val="left" w:leader="none"/>
        </w:tabs>
        <w:spacing w:line="230" w:lineRule="exact" w:before="0" w:after="0"/>
        <w:ind w:left="978" w:right="0" w:hanging="282"/>
        <w:jc w:val="left"/>
        <w:rPr>
          <w:sz w:val="20"/>
        </w:rPr>
      </w:pPr>
      <w:r>
        <w:rPr>
          <w:sz w:val="20"/>
        </w:rPr>
        <w:t>Connectors,</w:t>
      </w:r>
      <w:r>
        <w:rPr>
          <w:spacing w:val="-12"/>
          <w:sz w:val="20"/>
        </w:rPr>
        <w:t> </w:t>
      </w:r>
      <w:r>
        <w:rPr>
          <w:sz w:val="20"/>
        </w:rPr>
        <w:t>etc.</w:t>
      </w:r>
    </w:p>
    <w:p>
      <w:pPr>
        <w:pStyle w:val="BodyText"/>
        <w:spacing w:before="3"/>
      </w:pPr>
    </w:p>
    <w:p>
      <w:pPr>
        <w:pStyle w:val="Heading4"/>
        <w:ind w:right="249"/>
        <w:jc w:val="left"/>
      </w:pPr>
      <w:r>
        <w:rPr/>
        <w:t>Partial conclusions: Evaluation of operator 2, Suzanne Rodger Method</w:t>
      </w:r>
    </w:p>
    <w:p>
      <w:pPr>
        <w:pStyle w:val="BodyText"/>
        <w:spacing w:before="9"/>
        <w:rPr>
          <w:b/>
          <w:sz w:val="19"/>
        </w:rPr>
      </w:pPr>
    </w:p>
    <w:p>
      <w:pPr>
        <w:pStyle w:val="BodyText"/>
        <w:spacing w:before="1"/>
        <w:ind w:left="270"/>
        <w:jc w:val="both"/>
      </w:pPr>
      <w:r>
        <w:rPr/>
        <w:t>A very high severity was identified in photographs and the video in the “liniero” station.</w:t>
      </w:r>
    </w:p>
    <w:p>
      <w:pPr>
        <w:pStyle w:val="BodyText"/>
        <w:ind w:left="270" w:firstLine="420"/>
        <w:jc w:val="both"/>
      </w:pPr>
      <w:r>
        <w:rPr/>
        <w:t>Both results showed that significant modifications must be taken in this station in order to decrease the risks and the muscle-skeletal disorders in ankles and column</w:t>
      </w:r>
    </w:p>
    <w:p>
      <w:pPr>
        <w:pStyle w:val="BodyText"/>
      </w:pPr>
    </w:p>
    <w:p>
      <w:pPr>
        <w:pStyle w:val="BodyText"/>
        <w:spacing w:before="2"/>
      </w:pPr>
    </w:p>
    <w:p>
      <w:pPr>
        <w:pStyle w:val="Heading4"/>
        <w:spacing w:line="229" w:lineRule="exact"/>
        <w:ind w:left="1239" w:right="118"/>
        <w:jc w:val="left"/>
      </w:pPr>
      <w:r>
        <w:rPr/>
        <w:t>Conclusions and recommendations</w:t>
      </w:r>
    </w:p>
    <w:p>
      <w:pPr>
        <w:pStyle w:val="BodyText"/>
        <w:ind w:left="270"/>
        <w:jc w:val="both"/>
      </w:pPr>
      <w:r>
        <w:rPr/>
        <w:t>Both methods show a very high coefficient of severity in this occupation. Must be analyzed the fact that the persons in charge of this job have worked under these conditions for many years. The results demonstrate that a modification of the method must be done in the “liniero” job station. It is proposed to use high pouches which automatically rise with the crane, so workerscan perform their movements  faster with hands free and in less time.</w:t>
      </w:r>
    </w:p>
    <w:p>
      <w:pPr>
        <w:pStyle w:val="BodyText"/>
        <w:ind w:left="270" w:firstLine="400"/>
        <w:jc w:val="both"/>
      </w:pPr>
      <w:r>
        <w:rPr/>
        <w:t>Using advances in technology will bring great benefits as using cranes to lift “linieros” in the baskets, will reduce the time in every procedure and it will not be necessary for the works to get up on a ladder, bringing greater efficiency in the process. This can also help to hold the toolbox on the hanging basket and allow“liniero”to be hands free, which  can also bring benefits to avoid accidents and occupational diseases caused by carrying extra</w:t>
      </w:r>
      <w:r>
        <w:rPr>
          <w:spacing w:val="-29"/>
        </w:rPr>
        <w:t> </w:t>
      </w:r>
      <w:r>
        <w:rPr/>
        <w:t>weight.</w:t>
      </w:r>
    </w:p>
    <w:p>
      <w:pPr>
        <w:pStyle w:val="BodyText"/>
        <w:spacing w:before="8" w:after="39"/>
        <w:rPr>
          <w:sz w:val="14"/>
        </w:rPr>
      </w:pPr>
      <w:r>
        <w:rPr/>
        <w:br w:type="column"/>
      </w:r>
      <w:r>
        <w:rPr>
          <w:sz w:val="14"/>
        </w:rPr>
      </w:r>
    </w:p>
    <w:p>
      <w:pPr>
        <w:pStyle w:val="BodyText"/>
        <w:ind w:left="737"/>
      </w:pPr>
      <w:r>
        <w:rPr/>
        <w:drawing>
          <wp:inline distT="0" distB="0" distL="0" distR="0">
            <wp:extent cx="2493020" cy="1731263"/>
            <wp:effectExtent l="0" t="0" r="0" b="0"/>
            <wp:docPr id="853" name="image474.jpeg" descr=""/>
            <wp:cNvGraphicFramePr>
              <a:graphicFrameLocks noChangeAspect="1"/>
            </wp:cNvGraphicFramePr>
            <a:graphic>
              <a:graphicData uri="http://schemas.openxmlformats.org/drawingml/2006/picture">
                <pic:pic>
                  <pic:nvPicPr>
                    <pic:cNvPr id="854" name="image474.jpeg"/>
                    <pic:cNvPicPr/>
                  </pic:nvPicPr>
                  <pic:blipFill>
                    <a:blip r:embed="rId743" cstate="print"/>
                    <a:stretch>
                      <a:fillRect/>
                    </a:stretch>
                  </pic:blipFill>
                  <pic:spPr>
                    <a:xfrm>
                      <a:off x="0" y="0"/>
                      <a:ext cx="2493020" cy="1731263"/>
                    </a:xfrm>
                    <a:prstGeom prst="rect">
                      <a:avLst/>
                    </a:prstGeom>
                  </pic:spPr>
                </pic:pic>
              </a:graphicData>
            </a:graphic>
          </wp:inline>
        </w:drawing>
      </w:r>
      <w:r>
        <w:rPr/>
      </w:r>
    </w:p>
    <w:p>
      <w:pPr>
        <w:pStyle w:val="BodyText"/>
        <w:ind w:left="295" w:right="700"/>
        <w:jc w:val="center"/>
      </w:pPr>
      <w:r>
        <w:rPr/>
        <w:t>List . Check list evaluation 1</w:t>
      </w:r>
    </w:p>
    <w:p>
      <w:pPr>
        <w:pStyle w:val="BodyText"/>
      </w:pPr>
    </w:p>
    <w:p>
      <w:pPr>
        <w:pStyle w:val="BodyText"/>
      </w:pPr>
    </w:p>
    <w:p>
      <w:pPr>
        <w:pStyle w:val="BodyText"/>
        <w:spacing w:before="10"/>
        <w:rPr>
          <w:sz w:val="19"/>
        </w:rPr>
      </w:pPr>
    </w:p>
    <w:p>
      <w:pPr>
        <w:pStyle w:val="BodyText"/>
        <w:ind w:left="294" w:right="701"/>
        <w:jc w:val="center"/>
      </w:pPr>
      <w:r>
        <w:rPr/>
        <w:t>Evaluation 2</w:t>
      </w:r>
    </w:p>
    <w:p>
      <w:pPr>
        <w:pStyle w:val="BodyText"/>
        <w:spacing w:before="9"/>
        <w:rPr>
          <w:sz w:val="16"/>
        </w:rPr>
      </w:pPr>
      <w:r>
        <w:rPr/>
        <w:drawing>
          <wp:anchor distT="0" distB="0" distL="0" distR="0" allowOverlap="1" layoutInCell="1" locked="0" behindDoc="0" simplePos="0" relativeHeight="18376">
            <wp:simplePos x="0" y="0"/>
            <wp:positionH relativeFrom="page">
              <wp:posOffset>4255008</wp:posOffset>
            </wp:positionH>
            <wp:positionV relativeFrom="paragraph">
              <wp:posOffset>147788</wp:posOffset>
            </wp:positionV>
            <wp:extent cx="2790576" cy="1811559"/>
            <wp:effectExtent l="0" t="0" r="0" b="0"/>
            <wp:wrapTopAndBottom/>
            <wp:docPr id="855" name="image475.jpeg" descr=""/>
            <wp:cNvGraphicFramePr>
              <a:graphicFrameLocks noChangeAspect="1"/>
            </wp:cNvGraphicFramePr>
            <a:graphic>
              <a:graphicData uri="http://schemas.openxmlformats.org/drawingml/2006/picture">
                <pic:pic>
                  <pic:nvPicPr>
                    <pic:cNvPr id="856" name="image475.jpeg"/>
                    <pic:cNvPicPr/>
                  </pic:nvPicPr>
                  <pic:blipFill>
                    <a:blip r:embed="rId744" cstate="print"/>
                    <a:stretch>
                      <a:fillRect/>
                    </a:stretch>
                  </pic:blipFill>
                  <pic:spPr>
                    <a:xfrm>
                      <a:off x="0" y="0"/>
                      <a:ext cx="2790576" cy="1811559"/>
                    </a:xfrm>
                    <a:prstGeom prst="rect">
                      <a:avLst/>
                    </a:prstGeom>
                  </pic:spPr>
                </pic:pic>
              </a:graphicData>
            </a:graphic>
          </wp:anchor>
        </w:drawing>
      </w:r>
    </w:p>
    <w:p>
      <w:pPr>
        <w:pStyle w:val="BodyText"/>
        <w:spacing w:line="480" w:lineRule="auto"/>
        <w:ind w:left="951" w:right="1357"/>
        <w:jc w:val="center"/>
      </w:pPr>
      <w:r>
        <w:rPr/>
        <w:t>List 2. Results of the check list evaluation 2 Evaluation 3</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16"/>
        <w:ind w:left="294" w:right="701"/>
        <w:jc w:val="center"/>
      </w:pPr>
      <w:r>
        <w:rPr/>
        <w:drawing>
          <wp:anchor distT="0" distB="0" distL="0" distR="0" allowOverlap="1" layoutInCell="1" locked="0" behindDoc="1" simplePos="0" relativeHeight="267575063">
            <wp:simplePos x="0" y="0"/>
            <wp:positionH relativeFrom="page">
              <wp:posOffset>4111752</wp:posOffset>
            </wp:positionH>
            <wp:positionV relativeFrom="paragraph">
              <wp:posOffset>-1745539</wp:posOffset>
            </wp:positionV>
            <wp:extent cx="3124200" cy="1821180"/>
            <wp:effectExtent l="0" t="0" r="0" b="0"/>
            <wp:wrapNone/>
            <wp:docPr id="857" name="image476.jpeg" descr=""/>
            <wp:cNvGraphicFramePr>
              <a:graphicFrameLocks noChangeAspect="1"/>
            </wp:cNvGraphicFramePr>
            <a:graphic>
              <a:graphicData uri="http://schemas.openxmlformats.org/drawingml/2006/picture">
                <pic:pic>
                  <pic:nvPicPr>
                    <pic:cNvPr id="858" name="image476.jpeg"/>
                    <pic:cNvPicPr/>
                  </pic:nvPicPr>
                  <pic:blipFill>
                    <a:blip r:embed="rId745" cstate="print"/>
                    <a:stretch>
                      <a:fillRect/>
                    </a:stretch>
                  </pic:blipFill>
                  <pic:spPr>
                    <a:xfrm>
                      <a:off x="0" y="0"/>
                      <a:ext cx="3124200" cy="1821180"/>
                    </a:xfrm>
                    <a:prstGeom prst="rect">
                      <a:avLst/>
                    </a:prstGeom>
                  </pic:spPr>
                </pic:pic>
              </a:graphicData>
            </a:graphic>
          </wp:anchor>
        </w:drawing>
      </w:r>
      <w:r>
        <w:rPr/>
        <w:t>List 3. Check list evaluation 1</w:t>
      </w:r>
    </w:p>
    <w:p>
      <w:pPr>
        <w:pStyle w:val="BodyText"/>
      </w:pPr>
    </w:p>
    <w:p>
      <w:pPr>
        <w:pStyle w:val="BodyText"/>
        <w:spacing w:before="1"/>
        <w:ind w:left="294" w:right="701"/>
        <w:jc w:val="center"/>
      </w:pPr>
      <w:r>
        <w:rPr/>
        <w:t>Evaluation 4</w:t>
      </w:r>
    </w:p>
    <w:p>
      <w:pPr>
        <w:spacing w:after="0"/>
        <w:jc w:val="center"/>
        <w:sectPr>
          <w:pgSz w:w="12240" w:h="15840"/>
          <w:pgMar w:header="545" w:footer="852" w:top="1060" w:bottom="1040" w:left="580" w:right="220"/>
          <w:cols w:num="2" w:equalWidth="0">
            <w:col w:w="5190" w:space="434"/>
            <w:col w:w="5816"/>
          </w:cols>
        </w:sectPr>
      </w:pPr>
    </w:p>
    <w:p>
      <w:pPr>
        <w:pStyle w:val="BodyText"/>
      </w:pPr>
    </w:p>
    <w:p>
      <w:pPr>
        <w:pStyle w:val="BodyText"/>
        <w:spacing w:before="1"/>
      </w:pPr>
    </w:p>
    <w:p>
      <w:pPr>
        <w:pStyle w:val="Heading4"/>
        <w:spacing w:line="229" w:lineRule="exact"/>
        <w:ind w:right="6276"/>
        <w:jc w:val="left"/>
      </w:pPr>
      <w:r>
        <w:rPr/>
        <w:t>ANNEXES</w:t>
      </w:r>
    </w:p>
    <w:p>
      <w:pPr>
        <w:pStyle w:val="BodyText"/>
        <w:spacing w:line="229" w:lineRule="exact"/>
        <w:ind w:left="2295" w:right="6276"/>
      </w:pPr>
      <w:r>
        <w:rPr/>
        <w:t>Evaluation</w:t>
      </w:r>
    </w:p>
    <w:p>
      <w:pPr>
        <w:spacing w:after="0" w:line="229" w:lineRule="exact"/>
        <w:sectPr>
          <w:type w:val="continuous"/>
          <w:pgSz w:w="12240" w:h="15840"/>
          <w:pgMar w:top="1500" w:bottom="280" w:left="580" w:right="220"/>
        </w:sectPr>
      </w:pPr>
    </w:p>
    <w:p>
      <w:pPr>
        <w:pStyle w:val="BodyText"/>
        <w:spacing w:before="1"/>
        <w:rPr>
          <w:sz w:val="18"/>
        </w:rPr>
      </w:pPr>
    </w:p>
    <w:p>
      <w:pPr>
        <w:pStyle w:val="BodyText"/>
        <w:ind w:left="6431"/>
      </w:pPr>
      <w:r>
        <w:rPr/>
        <w:drawing>
          <wp:inline distT="0" distB="0" distL="0" distR="0">
            <wp:extent cx="2413065" cy="1786890"/>
            <wp:effectExtent l="0" t="0" r="0" b="0"/>
            <wp:docPr id="859" name="image477.jpeg" descr=""/>
            <wp:cNvGraphicFramePr>
              <a:graphicFrameLocks noChangeAspect="1"/>
            </wp:cNvGraphicFramePr>
            <a:graphic>
              <a:graphicData uri="http://schemas.openxmlformats.org/drawingml/2006/picture">
                <pic:pic>
                  <pic:nvPicPr>
                    <pic:cNvPr id="860" name="image477.jpeg"/>
                    <pic:cNvPicPr/>
                  </pic:nvPicPr>
                  <pic:blipFill>
                    <a:blip r:embed="rId746" cstate="print"/>
                    <a:stretch>
                      <a:fillRect/>
                    </a:stretch>
                  </pic:blipFill>
                  <pic:spPr>
                    <a:xfrm>
                      <a:off x="0" y="0"/>
                      <a:ext cx="2413065" cy="1786890"/>
                    </a:xfrm>
                    <a:prstGeom prst="rect">
                      <a:avLst/>
                    </a:prstGeom>
                  </pic:spPr>
                </pic:pic>
              </a:graphicData>
            </a:graphic>
          </wp:inline>
        </w:drawing>
      </w:r>
      <w:r>
        <w:rPr/>
      </w:r>
    </w:p>
    <w:p>
      <w:pPr>
        <w:spacing w:after="0"/>
        <w:sectPr>
          <w:pgSz w:w="12240" w:h="15840"/>
          <w:pgMar w:header="545" w:footer="852" w:top="1060" w:bottom="1040" w:left="580" w:right="220"/>
        </w:sectPr>
      </w:pPr>
    </w:p>
    <w:p>
      <w:pPr>
        <w:pStyle w:val="BodyText"/>
        <w:spacing w:before="9"/>
        <w:rPr>
          <w:sz w:val="28"/>
        </w:rPr>
      </w:pPr>
    </w:p>
    <w:p>
      <w:pPr>
        <w:pStyle w:val="BodyText"/>
        <w:ind w:left="590"/>
        <w:jc w:val="center"/>
      </w:pPr>
      <w:r>
        <w:rPr/>
        <w:drawing>
          <wp:anchor distT="0" distB="0" distL="0" distR="0" allowOverlap="1" layoutInCell="1" locked="0" behindDoc="1" simplePos="0" relativeHeight="267575087">
            <wp:simplePos x="0" y="0"/>
            <wp:positionH relativeFrom="page">
              <wp:posOffset>714755</wp:posOffset>
            </wp:positionH>
            <wp:positionV relativeFrom="paragraph">
              <wp:posOffset>-1997507</wp:posOffset>
            </wp:positionV>
            <wp:extent cx="2772156" cy="1999487"/>
            <wp:effectExtent l="0" t="0" r="0" b="0"/>
            <wp:wrapNone/>
            <wp:docPr id="861" name="image478.jpeg" descr=""/>
            <wp:cNvGraphicFramePr>
              <a:graphicFrameLocks noChangeAspect="1"/>
            </wp:cNvGraphicFramePr>
            <a:graphic>
              <a:graphicData uri="http://schemas.openxmlformats.org/drawingml/2006/picture">
                <pic:pic>
                  <pic:nvPicPr>
                    <pic:cNvPr id="862" name="image478.jpeg"/>
                    <pic:cNvPicPr/>
                  </pic:nvPicPr>
                  <pic:blipFill>
                    <a:blip r:embed="rId747" cstate="print"/>
                    <a:stretch>
                      <a:fillRect/>
                    </a:stretch>
                  </pic:blipFill>
                  <pic:spPr>
                    <a:xfrm>
                      <a:off x="0" y="0"/>
                      <a:ext cx="2772156" cy="1999487"/>
                    </a:xfrm>
                    <a:prstGeom prst="rect">
                      <a:avLst/>
                    </a:prstGeom>
                  </pic:spPr>
                </pic:pic>
              </a:graphicData>
            </a:graphic>
          </wp:anchor>
        </w:drawing>
      </w:r>
      <w:r>
        <w:rPr/>
        <w:t>List 4. Check list evaluation 2</w:t>
      </w:r>
    </w:p>
    <w:p>
      <w:pPr>
        <w:pStyle w:val="BodyText"/>
        <w:spacing w:before="11"/>
        <w:rPr>
          <w:sz w:val="19"/>
        </w:rPr>
      </w:pPr>
    </w:p>
    <w:p>
      <w:pPr>
        <w:pStyle w:val="BodyText"/>
        <w:ind w:left="590"/>
        <w:jc w:val="center"/>
      </w:pPr>
      <w:r>
        <w:rPr/>
        <w:t>Evaluation 5</w:t>
      </w:r>
    </w:p>
    <w:p>
      <w:pPr>
        <w:pStyle w:val="BodyText"/>
        <w:ind w:left="1221"/>
      </w:pPr>
      <w:r>
        <w:rPr/>
        <w:drawing>
          <wp:inline distT="0" distB="0" distL="0" distR="0">
            <wp:extent cx="1918549" cy="1327403"/>
            <wp:effectExtent l="0" t="0" r="0" b="0"/>
            <wp:docPr id="863" name="image479.jpeg" descr=""/>
            <wp:cNvGraphicFramePr>
              <a:graphicFrameLocks noChangeAspect="1"/>
            </wp:cNvGraphicFramePr>
            <a:graphic>
              <a:graphicData uri="http://schemas.openxmlformats.org/drawingml/2006/picture">
                <pic:pic>
                  <pic:nvPicPr>
                    <pic:cNvPr id="864" name="image479.jpeg"/>
                    <pic:cNvPicPr/>
                  </pic:nvPicPr>
                  <pic:blipFill>
                    <a:blip r:embed="rId748" cstate="print"/>
                    <a:stretch>
                      <a:fillRect/>
                    </a:stretch>
                  </pic:blipFill>
                  <pic:spPr>
                    <a:xfrm>
                      <a:off x="0" y="0"/>
                      <a:ext cx="1918549" cy="1327403"/>
                    </a:xfrm>
                    <a:prstGeom prst="rect">
                      <a:avLst/>
                    </a:prstGeom>
                  </pic:spPr>
                </pic:pic>
              </a:graphicData>
            </a:graphic>
          </wp:inline>
        </w:drawing>
      </w:r>
      <w:r>
        <w:rPr/>
      </w:r>
    </w:p>
    <w:p>
      <w:pPr>
        <w:pStyle w:val="BodyText"/>
        <w:spacing w:before="6"/>
        <w:rPr>
          <w:sz w:val="19"/>
        </w:rPr>
      </w:pPr>
    </w:p>
    <w:p>
      <w:pPr>
        <w:pStyle w:val="BodyText"/>
        <w:spacing w:before="1"/>
        <w:ind w:left="590"/>
        <w:jc w:val="center"/>
      </w:pPr>
      <w:r>
        <w:rPr/>
        <w:t>Evaluation 6</w:t>
      </w:r>
    </w:p>
    <w:p>
      <w:pPr>
        <w:pStyle w:val="BodyText"/>
        <w:ind w:left="725"/>
      </w:pPr>
      <w:r>
        <w:rPr/>
        <w:drawing>
          <wp:inline distT="0" distB="0" distL="0" distR="0">
            <wp:extent cx="2540931" cy="1475231"/>
            <wp:effectExtent l="0" t="0" r="0" b="0"/>
            <wp:docPr id="865" name="image480.jpeg" descr=""/>
            <wp:cNvGraphicFramePr>
              <a:graphicFrameLocks noChangeAspect="1"/>
            </wp:cNvGraphicFramePr>
            <a:graphic>
              <a:graphicData uri="http://schemas.openxmlformats.org/drawingml/2006/picture">
                <pic:pic>
                  <pic:nvPicPr>
                    <pic:cNvPr id="866" name="image480.jpeg"/>
                    <pic:cNvPicPr/>
                  </pic:nvPicPr>
                  <pic:blipFill>
                    <a:blip r:embed="rId749" cstate="print"/>
                    <a:stretch>
                      <a:fillRect/>
                    </a:stretch>
                  </pic:blipFill>
                  <pic:spPr>
                    <a:xfrm>
                      <a:off x="0" y="0"/>
                      <a:ext cx="2540931" cy="1475231"/>
                    </a:xfrm>
                    <a:prstGeom prst="rect">
                      <a:avLst/>
                    </a:prstGeom>
                  </pic:spPr>
                </pic:pic>
              </a:graphicData>
            </a:graphic>
          </wp:inline>
        </w:drawing>
      </w:r>
      <w:r>
        <w:rPr/>
      </w:r>
    </w:p>
    <w:p>
      <w:pPr>
        <w:pStyle w:val="BodyText"/>
        <w:ind w:left="590"/>
        <w:jc w:val="center"/>
      </w:pPr>
      <w:r>
        <w:rPr/>
        <w:t>List 6. Check list evaluation 4</w:t>
      </w:r>
    </w:p>
    <w:p>
      <w:pPr>
        <w:pStyle w:val="BodyText"/>
        <w:spacing w:before="11"/>
        <w:rPr>
          <w:sz w:val="19"/>
        </w:rPr>
      </w:pPr>
    </w:p>
    <w:p>
      <w:pPr>
        <w:pStyle w:val="BodyText"/>
        <w:ind w:left="590"/>
        <w:jc w:val="center"/>
      </w:pPr>
      <w:r>
        <w:rPr/>
        <w:t>Evaluation 7</w:t>
      </w:r>
    </w:p>
    <w:p>
      <w:pPr>
        <w:pStyle w:val="BodyText"/>
        <w:tabs>
          <w:tab w:pos="1297" w:val="left" w:leader="none"/>
        </w:tabs>
        <w:ind w:left="590"/>
        <w:jc w:val="center"/>
      </w:pPr>
      <w:r>
        <w:rPr/>
        <w:t>&lt;</w:t>
        <w:tab/>
      </w:r>
      <w:r>
        <w:rPr/>
        <w:drawing>
          <wp:inline distT="0" distB="0" distL="0" distR="0">
            <wp:extent cx="2266949" cy="1610105"/>
            <wp:effectExtent l="0" t="0" r="0" b="0"/>
            <wp:docPr id="867" name="image481.jpeg" descr=""/>
            <wp:cNvGraphicFramePr>
              <a:graphicFrameLocks noChangeAspect="1"/>
            </wp:cNvGraphicFramePr>
            <a:graphic>
              <a:graphicData uri="http://schemas.openxmlformats.org/drawingml/2006/picture">
                <pic:pic>
                  <pic:nvPicPr>
                    <pic:cNvPr id="868" name="image481.jpeg"/>
                    <pic:cNvPicPr/>
                  </pic:nvPicPr>
                  <pic:blipFill>
                    <a:blip r:embed="rId750" cstate="print"/>
                    <a:stretch>
                      <a:fillRect/>
                    </a:stretch>
                  </pic:blipFill>
                  <pic:spPr>
                    <a:xfrm>
                      <a:off x="0" y="0"/>
                      <a:ext cx="2266949" cy="1610105"/>
                    </a:xfrm>
                    <a:prstGeom prst="rect">
                      <a:avLst/>
                    </a:prstGeom>
                  </pic:spPr>
                </pic:pic>
              </a:graphicData>
            </a:graphic>
          </wp:inline>
        </w:drawing>
      </w:r>
      <w:r>
        <w:rPr/>
      </w:r>
    </w:p>
    <w:p>
      <w:pPr>
        <w:pStyle w:val="BodyText"/>
        <w:ind w:left="590"/>
        <w:jc w:val="center"/>
      </w:pPr>
      <w:r>
        <w:rPr/>
        <w:t>List 7. Check list evaluation 5</w:t>
      </w:r>
    </w:p>
    <w:p>
      <w:pPr>
        <w:pStyle w:val="BodyText"/>
        <w:spacing w:before="11"/>
        <w:rPr>
          <w:sz w:val="19"/>
        </w:rPr>
      </w:pPr>
    </w:p>
    <w:p>
      <w:pPr>
        <w:pStyle w:val="BodyText"/>
        <w:ind w:left="590"/>
        <w:jc w:val="center"/>
      </w:pPr>
      <w:r>
        <w:rPr/>
        <w:t>Evaluation 8</w:t>
      </w:r>
    </w:p>
    <w:p>
      <w:pPr>
        <w:pStyle w:val="BodyText"/>
        <w:spacing w:line="221" w:lineRule="exact"/>
        <w:ind w:left="1252" w:right="1338"/>
        <w:jc w:val="center"/>
      </w:pPr>
      <w:r>
        <w:rPr/>
        <w:br w:type="column"/>
      </w:r>
      <w:r>
        <w:rPr/>
        <w:t>List 8. Results of the check list evaluation 6</w:t>
      </w:r>
    </w:p>
    <w:p>
      <w:pPr>
        <w:pStyle w:val="BodyText"/>
        <w:spacing w:before="2"/>
      </w:pPr>
    </w:p>
    <w:p>
      <w:pPr>
        <w:pStyle w:val="Heading4"/>
        <w:ind w:left="950" w:right="681"/>
        <w:jc w:val="left"/>
      </w:pPr>
      <w:r>
        <w:rPr>
          <w:color w:val="233F5E"/>
        </w:rPr>
        <w:t>2.   BIBLIOGRAPHY</w:t>
      </w:r>
    </w:p>
    <w:p>
      <w:pPr>
        <w:pStyle w:val="BodyText"/>
        <w:spacing w:before="8"/>
        <w:rPr>
          <w:b/>
          <w:sz w:val="19"/>
        </w:rPr>
      </w:pPr>
    </w:p>
    <w:p>
      <w:pPr>
        <w:pStyle w:val="BodyText"/>
        <w:ind w:left="590" w:right="681"/>
      </w:pPr>
      <w:r>
        <w:rPr/>
        <w:t>[1]  Ventura Rodríguez, 2013 </w:t>
      </w:r>
      <w:r>
        <w:rPr>
          <w:color w:val="212121"/>
        </w:rPr>
        <w:t>Calle Severo Ochoa, 4, 28660</w:t>
      </w:r>
    </w:p>
    <w:p>
      <w:pPr>
        <w:pStyle w:val="BodyText"/>
        <w:ind w:left="590" w:right="681"/>
      </w:pPr>
      <w:r>
        <w:rPr>
          <w:color w:val="212121"/>
        </w:rPr>
        <w:t>Boadilla del Monte, Madrid, España “IESA” +34 916 33 62</w:t>
      </w:r>
    </w:p>
    <w:p>
      <w:pPr>
        <w:pStyle w:val="BodyText"/>
        <w:spacing w:line="230" w:lineRule="exact"/>
        <w:ind w:left="590" w:right="681"/>
      </w:pPr>
      <w:r>
        <w:rPr>
          <w:color w:val="212121"/>
        </w:rPr>
        <w:t>71</w:t>
      </w:r>
    </w:p>
    <w:p>
      <w:pPr>
        <w:pStyle w:val="BodyText"/>
        <w:ind w:left="590" w:right="681"/>
      </w:pPr>
      <w:r>
        <w:rPr/>
        <w:t>[2] </w:t>
      </w:r>
      <w:r>
        <w:rPr>
          <w:color w:val="212121"/>
        </w:rPr>
        <w:t>INSHT (Instituto Nacional de Seguridad e Higiene en el Trabajo “trastornos</w:t>
      </w:r>
    </w:p>
    <w:p>
      <w:pPr>
        <w:pStyle w:val="BodyText"/>
        <w:spacing w:line="230" w:lineRule="exact"/>
        <w:ind w:left="590" w:right="681"/>
      </w:pPr>
      <w:r>
        <w:rPr>
          <w:color w:val="212121"/>
        </w:rPr>
        <w:t>Musculoesqueléticos”</w:t>
      </w:r>
    </w:p>
    <w:p>
      <w:pPr>
        <w:spacing w:before="0"/>
        <w:ind w:left="590" w:right="681" w:firstLine="100"/>
        <w:jc w:val="left"/>
        <w:rPr>
          <w:sz w:val="20"/>
        </w:rPr>
      </w:pPr>
      <w:r>
        <w:rPr>
          <w:sz w:val="20"/>
        </w:rPr>
        <w:t>[3] GARCIA PONSON, 2010, “</w:t>
      </w:r>
      <w:r>
        <w:rPr>
          <w:i/>
          <w:sz w:val="20"/>
        </w:rPr>
        <w:t>Estudio y evaluación de </w:t>
      </w:r>
      <w:r>
        <w:rPr>
          <w:i/>
          <w:sz w:val="20"/>
        </w:rPr>
        <w:t>lesiones a linieros de cfe” </w:t>
      </w:r>
      <w:r>
        <w:rPr>
          <w:sz w:val="20"/>
        </w:rPr>
        <w:t>Obtenida de </w:t>
      </w:r>
      <w:hyperlink r:id="rId751">
        <w:r>
          <w:rPr>
            <w:sz w:val="20"/>
            <w:u w:val="single"/>
          </w:rPr>
          <w:t>http://bibmed.ucla.edu.ve/DB/bmucla/edocs/textocompleto/</w:t>
        </w:r>
      </w:hyperlink>
      <w:r>
        <w:rPr>
          <w:sz w:val="20"/>
          <w:u w:val="single"/>
        </w:rPr>
        <w:t> TWA440DV4G372010.pdf</w:t>
      </w:r>
    </w:p>
    <w:p>
      <w:pPr>
        <w:pStyle w:val="BodyText"/>
        <w:spacing w:line="230" w:lineRule="exact"/>
        <w:ind w:left="739" w:right="681"/>
      </w:pPr>
      <w:r>
        <w:rPr/>
        <w:t>[4]  “GACETA OFICIAL DE LA REPÚBLICA</w:t>
      </w:r>
    </w:p>
    <w:p>
      <w:pPr>
        <w:pStyle w:val="BodyText"/>
        <w:tabs>
          <w:tab w:pos="1206" w:val="left" w:leader="none"/>
        </w:tabs>
        <w:ind w:left="590" w:right="703"/>
      </w:pPr>
      <w:r>
        <w:rPr/>
        <w:t>BOLIVARIANA DE VENEZUELA” Caracas, martes 26 de julio</w:t>
        <w:tab/>
        <w:t>de 2005 Número</w:t>
      </w:r>
      <w:r>
        <w:rPr>
          <w:spacing w:val="-9"/>
        </w:rPr>
        <w:t> </w:t>
      </w:r>
      <w:r>
        <w:rPr/>
        <w:t>38.236</w:t>
      </w:r>
    </w:p>
    <w:p>
      <w:pPr>
        <w:pStyle w:val="BodyText"/>
        <w:ind w:left="590" w:right="681" w:firstLine="50"/>
      </w:pPr>
      <w:r>
        <w:rPr/>
        <w:t>[5] Acevedo, M. (23 de Mayo de 2012). </w:t>
      </w:r>
      <w:hyperlink r:id="rId752">
        <w:r>
          <w:rPr>
            <w:i/>
          </w:rPr>
          <w:t>http://www.ergonomia.cl.</w:t>
        </w:r>
      </w:hyperlink>
      <w:r>
        <w:rPr>
          <w:i/>
        </w:rPr>
        <w:t> </w:t>
      </w:r>
      <w:r>
        <w:rPr/>
        <w:t>Obtenido de </w:t>
      </w:r>
      <w:hyperlink r:id="rId752">
        <w:r>
          <w:rPr/>
          <w:t>http://www.ergonomia.cl:</w:t>
        </w:r>
      </w:hyperlink>
      <w:r>
        <w:rPr/>
        <w:t> </w:t>
      </w:r>
      <w:hyperlink r:id="rId753">
        <w:r>
          <w:rPr/>
          <w:t>http://www.ergonomia.cl/eee/Inicio/Entradas/2012/5/24_Me</w:t>
        </w:r>
      </w:hyperlink>
      <w:r>
        <w:rPr/>
        <w:t> todologia_de_analisis_de_fatiga_muscular_de_Rodgers_file s/Metodologi%CC%81a%20de%20ana%CC%81lisis%20de</w:t>
      </w:r>
    </w:p>
    <w:p>
      <w:pPr>
        <w:pStyle w:val="BodyText"/>
        <w:ind w:left="590" w:right="720"/>
      </w:pPr>
      <w:r>
        <w:rPr/>
        <w:t>%20fatiga%20muscular%20de%20Suzanne%20Rodgers.pd f</w:t>
      </w:r>
    </w:p>
    <w:p>
      <w:pPr>
        <w:pStyle w:val="BodyText"/>
        <w:spacing w:line="276" w:lineRule="auto"/>
        <w:ind w:left="1309" w:right="879" w:hanging="670"/>
      </w:pPr>
      <w:r>
        <w:rPr/>
        <w:t>[6] Diego-Más, J. A., &amp; Cuesta, S. A. (s.f.). </w:t>
      </w:r>
      <w:hyperlink r:id="rId498">
        <w:r>
          <w:rPr>
            <w:i/>
          </w:rPr>
          <w:t>www.ergonautas.upv.es.</w:t>
        </w:r>
      </w:hyperlink>
      <w:r>
        <w:rPr>
          <w:i/>
        </w:rPr>
        <w:t> </w:t>
      </w:r>
      <w:r>
        <w:rPr/>
        <w:t>Obtenido de </w:t>
      </w:r>
      <w:hyperlink r:id="rId498">
        <w:r>
          <w:rPr/>
          <w:t>www.ergonautas.upv.es:</w:t>
        </w:r>
      </w:hyperlink>
      <w:r>
        <w:rPr/>
        <w:t> </w:t>
      </w:r>
      <w:hyperlink r:id="rId754">
        <w:r>
          <w:rPr/>
          <w:t>http://www.ergonautas.upv.es/metodos/rula/rula-</w:t>
        </w:r>
      </w:hyperlink>
      <w:r>
        <w:rPr/>
        <w:t> ayuda.php</w:t>
      </w:r>
    </w:p>
    <w:p>
      <w:pPr>
        <w:pStyle w:val="BodyText"/>
        <w:spacing w:before="5"/>
        <w:rPr>
          <w:sz w:val="17"/>
        </w:rPr>
      </w:pPr>
    </w:p>
    <w:p>
      <w:pPr>
        <w:pStyle w:val="BodyText"/>
        <w:spacing w:line="276" w:lineRule="auto"/>
        <w:ind w:left="590" w:right="788" w:firstLine="50"/>
      </w:pPr>
      <w:r>
        <w:rPr/>
        <w:t>[7] Diego-Más, J. A., &amp; Cuesta, S. A. (s.f.). Obtenido de </w:t>
      </w:r>
      <w:hyperlink r:id="rId755">
        <w:r>
          <w:rPr/>
          <w:t>http://www.ergonautas.upv.es/metodos/rula/rula-ayuda.php</w:t>
        </w:r>
      </w:hyperlink>
    </w:p>
    <w:p>
      <w:pPr>
        <w:pStyle w:val="BodyText"/>
        <w:spacing w:before="5"/>
        <w:rPr>
          <w:sz w:val="17"/>
        </w:rPr>
      </w:pPr>
    </w:p>
    <w:p>
      <w:pPr>
        <w:pStyle w:val="BodyText"/>
        <w:ind w:left="590" w:right="1298"/>
      </w:pPr>
      <w:r>
        <w:rPr/>
        <w:t>[8] Ergonomía Práctica: Guía para la evaluación ergonómica en un puesto de trabajo; José Luis Melo, Editorial MAPFRE, 2008.</w:t>
      </w:r>
    </w:p>
    <w:p>
      <w:pPr>
        <w:spacing w:after="0"/>
        <w:sectPr>
          <w:type w:val="continuous"/>
          <w:pgSz w:w="12240" w:h="15840"/>
          <w:pgMar w:top="1500" w:bottom="280" w:left="580" w:right="220"/>
          <w:cols w:num="2" w:equalWidth="0">
            <w:col w:w="4868" w:space="437"/>
            <w:col w:w="6135"/>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
        <w:rPr>
          <w:sz w:val="26"/>
        </w:rPr>
      </w:pPr>
    </w:p>
    <w:p>
      <w:pPr>
        <w:pStyle w:val="Heading1"/>
        <w:ind w:right="15"/>
      </w:pPr>
      <w:r>
        <w:rPr/>
        <w:t>Electrocardiograph  analysis  inside  a controlled environment room and analysis of postural Load in develop of a repetitive task</w:t>
      </w:r>
    </w:p>
    <w:p>
      <w:pPr>
        <w:pStyle w:val="BodyText"/>
        <w:spacing w:before="5"/>
        <w:rPr>
          <w:b/>
          <w:sz w:val="19"/>
        </w:rPr>
      </w:pPr>
    </w:p>
    <w:p>
      <w:pPr>
        <w:spacing w:line="213" w:lineRule="auto" w:before="0"/>
        <w:ind w:left="270" w:right="15" w:firstLine="0"/>
        <w:jc w:val="both"/>
        <w:rPr>
          <w:i/>
          <w:sz w:val="20"/>
        </w:rPr>
      </w:pPr>
      <w:r>
        <w:rPr>
          <w:i/>
          <w:sz w:val="20"/>
        </w:rPr>
        <w:t>Ching Pellegrini Jesús Enrique</w:t>
      </w:r>
      <w:r>
        <w:rPr>
          <w:i/>
          <w:position w:val="9"/>
          <w:sz w:val="13"/>
        </w:rPr>
        <w:t>a</w:t>
      </w:r>
      <w:r>
        <w:rPr>
          <w:i/>
          <w:sz w:val="20"/>
        </w:rPr>
        <w:t>, López Barreras Juan </w:t>
      </w:r>
      <w:r>
        <w:rPr>
          <w:i/>
          <w:sz w:val="20"/>
        </w:rPr>
        <w:t>Andrés</w:t>
      </w:r>
      <w:r>
        <w:rPr>
          <w:i/>
          <w:position w:val="9"/>
          <w:sz w:val="13"/>
        </w:rPr>
        <w:t>b</w:t>
      </w:r>
      <w:r>
        <w:rPr>
          <w:i/>
          <w:sz w:val="20"/>
        </w:rPr>
        <w:t>, Gómez Franco Julio Cesar</w:t>
      </w:r>
      <w:r>
        <w:rPr>
          <w:i/>
          <w:position w:val="9"/>
          <w:sz w:val="13"/>
        </w:rPr>
        <w:t>c</w:t>
      </w:r>
      <w:r>
        <w:rPr>
          <w:i/>
          <w:sz w:val="20"/>
        </w:rPr>
        <w:t>, López Barreras Cesar Ismael</w:t>
      </w:r>
      <w:r>
        <w:rPr>
          <w:i/>
          <w:position w:val="9"/>
          <w:sz w:val="13"/>
        </w:rPr>
        <w:t>d</w:t>
      </w:r>
      <w:r>
        <w:rPr>
          <w:i/>
          <w:sz w:val="20"/>
        </w:rPr>
        <w:t>, Olguín Tiznado Jesús Everardo</w:t>
      </w:r>
      <w:r>
        <w:rPr>
          <w:i/>
          <w:position w:val="9"/>
          <w:sz w:val="13"/>
        </w:rPr>
        <w:t>e</w:t>
      </w:r>
      <w:r>
        <w:rPr>
          <w:i/>
          <w:sz w:val="20"/>
        </w:rPr>
        <w:t>.</w:t>
      </w:r>
    </w:p>
    <w:p>
      <w:pPr>
        <w:pStyle w:val="BodyText"/>
        <w:rPr>
          <w:i/>
          <w:sz w:val="19"/>
        </w:rPr>
      </w:pPr>
    </w:p>
    <w:p>
      <w:pPr>
        <w:spacing w:before="1"/>
        <w:ind w:left="270" w:right="0" w:firstLine="0"/>
        <w:jc w:val="both"/>
        <w:rPr>
          <w:sz w:val="16"/>
        </w:rPr>
      </w:pPr>
      <w:r>
        <w:rPr>
          <w:position w:val="7"/>
          <w:sz w:val="10"/>
        </w:rPr>
        <w:t>a </w:t>
      </w:r>
      <w:r>
        <w:rPr>
          <w:sz w:val="16"/>
        </w:rPr>
        <w:t>Universidad Autónoma de Baja California, </w:t>
      </w:r>
      <w:hyperlink r:id="rId756">
        <w:r>
          <w:rPr>
            <w:color w:val="0000FF"/>
            <w:sz w:val="16"/>
            <w:u w:val="single" w:color="0000FF"/>
          </w:rPr>
          <w:t>enrique.ching@uabc.edu.mx</w:t>
        </w:r>
        <w:r>
          <w:rPr>
            <w:sz w:val="16"/>
          </w:rPr>
          <w:t>,</w:t>
        </w:r>
      </w:hyperlink>
      <w:r>
        <w:rPr>
          <w:sz w:val="16"/>
        </w:rPr>
        <w:t> Tijuana, Baja California, México.</w:t>
      </w:r>
    </w:p>
    <w:p>
      <w:pPr>
        <w:spacing w:line="184" w:lineRule="exact" w:before="1"/>
        <w:ind w:left="270" w:right="0" w:firstLine="0"/>
        <w:jc w:val="both"/>
        <w:rPr>
          <w:sz w:val="16"/>
        </w:rPr>
      </w:pPr>
      <w:r>
        <w:rPr>
          <w:position w:val="7"/>
          <w:sz w:val="10"/>
        </w:rPr>
        <w:t>b </w:t>
      </w:r>
      <w:r>
        <w:rPr>
          <w:sz w:val="16"/>
        </w:rPr>
        <w:t>Universidad Autónoma de Baja California, </w:t>
      </w:r>
      <w:hyperlink r:id="rId757">
        <w:r>
          <w:rPr>
            <w:color w:val="0000FF"/>
            <w:sz w:val="16"/>
            <w:u w:val="single" w:color="0000FF"/>
          </w:rPr>
          <w:t>jalopez@uabc.edu.mx</w:t>
        </w:r>
        <w:r>
          <w:rPr>
            <w:sz w:val="16"/>
          </w:rPr>
          <w:t>,</w:t>
        </w:r>
      </w:hyperlink>
      <w:r>
        <w:rPr>
          <w:sz w:val="16"/>
        </w:rPr>
        <w:t> Tijuana, Baja California, México.</w:t>
      </w:r>
    </w:p>
    <w:p>
      <w:pPr>
        <w:spacing w:line="184" w:lineRule="exact" w:before="0"/>
        <w:ind w:left="270" w:right="0" w:firstLine="0"/>
        <w:jc w:val="both"/>
        <w:rPr>
          <w:sz w:val="16"/>
        </w:rPr>
      </w:pPr>
      <w:r>
        <w:rPr>
          <w:position w:val="7"/>
          <w:sz w:val="10"/>
        </w:rPr>
        <w:t>c </w:t>
      </w:r>
      <w:r>
        <w:rPr>
          <w:sz w:val="16"/>
        </w:rPr>
        <w:t>Universidad Autónoma de Baja California, </w:t>
      </w:r>
      <w:hyperlink r:id="rId758">
        <w:r>
          <w:rPr>
            <w:color w:val="0000FF"/>
            <w:sz w:val="16"/>
            <w:u w:val="single" w:color="0000FF"/>
          </w:rPr>
          <w:t>julio_cgf@uabc.edu.mx</w:t>
        </w:r>
        <w:r>
          <w:rPr>
            <w:sz w:val="16"/>
          </w:rPr>
          <w:t>,</w:t>
        </w:r>
      </w:hyperlink>
      <w:r>
        <w:rPr>
          <w:sz w:val="16"/>
        </w:rPr>
        <w:t> Tijuana, Baja California, México.</w:t>
      </w:r>
    </w:p>
    <w:p>
      <w:pPr>
        <w:spacing w:line="181" w:lineRule="exact" w:before="0"/>
        <w:ind w:left="270" w:right="0" w:firstLine="0"/>
        <w:jc w:val="both"/>
        <w:rPr>
          <w:sz w:val="16"/>
        </w:rPr>
      </w:pPr>
      <w:r>
        <w:rPr>
          <w:position w:val="7"/>
          <w:sz w:val="10"/>
        </w:rPr>
        <w:t>d  </w:t>
      </w:r>
      <w:r>
        <w:rPr>
          <w:sz w:val="16"/>
        </w:rPr>
        <w:t>Universidad Autónoma de Baja California,    </w:t>
      </w:r>
      <w:hyperlink r:id="rId759">
        <w:r>
          <w:rPr>
            <w:color w:val="0000FF"/>
            <w:sz w:val="16"/>
            <w:u w:val="single" w:color="0000FF"/>
          </w:rPr>
          <w:t>cesar.lopez23@uabc.edu.mx</w:t>
        </w:r>
        <w:r>
          <w:rPr>
            <w:sz w:val="16"/>
          </w:rPr>
          <w:t>,</w:t>
        </w:r>
      </w:hyperlink>
    </w:p>
    <w:p>
      <w:pPr>
        <w:spacing w:line="177" w:lineRule="exact" w:before="1"/>
        <w:ind w:left="270" w:right="0" w:firstLine="0"/>
        <w:jc w:val="both"/>
        <w:rPr>
          <w:sz w:val="16"/>
        </w:rPr>
      </w:pPr>
      <w:r>
        <w:rPr>
          <w:sz w:val="16"/>
        </w:rPr>
        <w:t>Tijuana, Baja California, México.</w:t>
      </w:r>
    </w:p>
    <w:p>
      <w:pPr>
        <w:spacing w:line="184" w:lineRule="exact" w:before="9"/>
        <w:ind w:left="270" w:right="0" w:firstLine="0"/>
        <w:jc w:val="both"/>
        <w:rPr>
          <w:sz w:val="16"/>
        </w:rPr>
      </w:pPr>
      <w:r>
        <w:rPr>
          <w:position w:val="7"/>
          <w:sz w:val="10"/>
        </w:rPr>
        <w:t>e </w:t>
      </w:r>
      <w:r>
        <w:rPr>
          <w:sz w:val="16"/>
        </w:rPr>
        <w:t>Universidad Autónoma de Baja California, </w:t>
      </w:r>
      <w:hyperlink r:id="rId760">
        <w:r>
          <w:rPr>
            <w:color w:val="0000FF"/>
            <w:sz w:val="16"/>
            <w:u w:val="single" w:color="0000FF"/>
          </w:rPr>
          <w:t>jeol79@uabc.edu.mx</w:t>
        </w:r>
        <w:r>
          <w:rPr>
            <w:sz w:val="16"/>
          </w:rPr>
          <w:t>,</w:t>
        </w:r>
      </w:hyperlink>
      <w:r>
        <w:rPr>
          <w:sz w:val="16"/>
        </w:rPr>
        <w:t> Ensenada, Baja California,</w:t>
      </w:r>
      <w:r>
        <w:rPr>
          <w:spacing w:val="-13"/>
          <w:sz w:val="16"/>
        </w:rPr>
        <w:t> </w:t>
      </w:r>
      <w:r>
        <w:rPr>
          <w:sz w:val="16"/>
        </w:rPr>
        <w:t>Mexico.</w:t>
      </w:r>
    </w:p>
    <w:p>
      <w:pPr>
        <w:pStyle w:val="BodyText"/>
        <w:spacing w:before="2"/>
      </w:pPr>
    </w:p>
    <w:p>
      <w:pPr>
        <w:pStyle w:val="Heading4"/>
      </w:pPr>
      <w:r>
        <w:rPr/>
        <w:pict>
          <v:line style="position:absolute;mso-position-horizontal-relative:page;mso-position-vertical-relative:paragraph;z-index:18472" from="41.040001pt,13.265955pt" to="289.860001pt,13.265955pt" stroked="true" strokeweight="1.5pt" strokecolor="#000000">
            <w10:wrap type="none"/>
          </v:line>
        </w:pict>
      </w:r>
      <w:r>
        <w:rPr/>
        <w:t>Resumen</w:t>
      </w:r>
    </w:p>
    <w:p>
      <w:pPr>
        <w:pStyle w:val="BodyText"/>
        <w:spacing w:before="47"/>
        <w:ind w:left="270" w:right="13"/>
        <w:jc w:val="both"/>
      </w:pPr>
      <w:r>
        <w:rPr/>
        <w:t>El objetivo de este artículo es determinar la relación entre el ritmo cardiaco de una persona cuando está desarrollando repetidamente la misma tarea, buscamos determinar esto realizando muchas veces en un cierto periodo de tiempo esto puede cambiar su ritmo cardiaco si esto podría ser un precursor de alguna enfermedad del corazón si esto no es diagnosticado rápidamente. También analizamos el tipo de posición cual el sujeto está trabajando y esto podría presentar una tarea más demandante para el corazón porque tiene que mantener posiciones en un largo periodo de tiempo. El dispositivo encargado es un electrocardiógrafo de 12 derivaciones preparado para realizar mediciones a lo largo de nuestra sesión experimental. Finalmente en la sesión experimental tomamos el tiempo del periodo total en el que el sujeto experimental está realizando una tarea específica, consistiendo en ensamblar una estructura Lego. Y así revisar el tiempo necesario para realizar un ciclo de ensamblado y desensamblado de nuestra prueba experimental puede presentar una variación de ritmo cardiaco para presentar una conclusión valida relacionada a los puntos</w:t>
      </w:r>
      <w:r>
        <w:rPr>
          <w:spacing w:val="-18"/>
        </w:rPr>
        <w:t> </w:t>
      </w:r>
      <w:r>
        <w:rPr/>
        <w:t>anteriores.</w:t>
      </w:r>
    </w:p>
    <w:p>
      <w:pPr>
        <w:pStyle w:val="BodyText"/>
        <w:spacing w:before="11"/>
        <w:rPr>
          <w:sz w:val="19"/>
        </w:rPr>
      </w:pPr>
    </w:p>
    <w:p>
      <w:pPr>
        <w:spacing w:before="0"/>
        <w:ind w:left="270" w:right="18" w:firstLine="0"/>
        <w:jc w:val="both"/>
        <w:rPr>
          <w:sz w:val="20"/>
        </w:rPr>
      </w:pPr>
      <w:r>
        <w:rPr>
          <w:b/>
          <w:sz w:val="20"/>
        </w:rPr>
        <w:t>Palabras clave</w:t>
      </w:r>
      <w:r>
        <w:rPr>
          <w:sz w:val="20"/>
        </w:rPr>
        <w:t>— Electrocardiógrafo, Carga postural, Ritmo cardiaco.</w:t>
      </w:r>
    </w:p>
    <w:p>
      <w:pPr>
        <w:pStyle w:val="BodyText"/>
        <w:spacing w:before="3"/>
      </w:pPr>
    </w:p>
    <w:p>
      <w:pPr>
        <w:pStyle w:val="Heading5"/>
        <w:rPr>
          <w:i/>
        </w:rPr>
      </w:pPr>
      <w:r>
        <w:rPr/>
        <w:pict>
          <v:line style="position:absolute;mso-position-horizontal-relative:page;mso-position-vertical-relative:paragraph;z-index:18496" from="41.040001pt,13.266798pt" to="289.860001pt,13.266798pt" stroked="true" strokeweight="1.5pt" strokecolor="#000000">
            <w10:wrap type="none"/>
          </v:line>
        </w:pict>
      </w:r>
      <w:r>
        <w:rPr>
          <w:i/>
        </w:rPr>
        <w:t>Abstract</w:t>
      </w:r>
    </w:p>
    <w:p>
      <w:pPr>
        <w:spacing w:before="47"/>
        <w:ind w:left="270" w:right="14" w:firstLine="0"/>
        <w:jc w:val="both"/>
        <w:rPr>
          <w:i/>
          <w:sz w:val="20"/>
        </w:rPr>
      </w:pPr>
      <w:r>
        <w:rPr>
          <w:i/>
          <w:sz w:val="20"/>
        </w:rPr>
        <w:t>The objective of this paper is determine the relationship </w:t>
      </w:r>
      <w:r>
        <w:rPr>
          <w:i/>
          <w:sz w:val="20"/>
        </w:rPr>
        <w:t>between the heart rate of a person when he is developing repeatedly the same task, we seek to determine if this is performing a lot of times in a certain period of time it would be a change of his cardiac rhythm this would be a precursor of a future heart disease if this isn’t diagnosed quickly. Also we analyze the type of position when this subject is working and if this would present a more demanding task of the heart because he has to maintain positions in a long period of  time. The device in charge it is a 12 lead electrocardiograph prepare to make measurements along our experimental session. Finally in the experimental session we took time along the total period the experimental subject is</w:t>
      </w:r>
      <w:r>
        <w:rPr>
          <w:i/>
          <w:spacing w:val="17"/>
          <w:sz w:val="20"/>
        </w:rPr>
        <w:t> </w:t>
      </w:r>
      <w:r>
        <w:rPr>
          <w:i/>
          <w:sz w:val="20"/>
        </w:rPr>
        <w:t>performing</w:t>
      </w:r>
    </w:p>
    <w:p>
      <w:pPr>
        <w:spacing w:before="74"/>
        <w:ind w:left="270" w:right="676" w:firstLine="0"/>
        <w:jc w:val="both"/>
        <w:rPr>
          <w:i/>
          <w:sz w:val="20"/>
        </w:rPr>
      </w:pPr>
      <w:r>
        <w:rPr/>
        <w:br w:type="column"/>
      </w:r>
      <w:r>
        <w:rPr>
          <w:i/>
          <w:sz w:val="20"/>
        </w:rPr>
        <w:t>one specific task consisting and assembling a Lego  </w:t>
      </w:r>
      <w:r>
        <w:rPr>
          <w:i/>
          <w:sz w:val="20"/>
        </w:rPr>
        <w:t>structure. And then review the required time to perform one circuit of assembling and disassembling of our experimental test would present a heart rate variation to present a valid conclusion related to the above</w:t>
      </w:r>
      <w:r>
        <w:rPr>
          <w:i/>
          <w:spacing w:val="-18"/>
          <w:sz w:val="20"/>
        </w:rPr>
        <w:t> </w:t>
      </w:r>
      <w:r>
        <w:rPr>
          <w:i/>
          <w:sz w:val="20"/>
        </w:rPr>
        <w:t>points.</w:t>
      </w:r>
    </w:p>
    <w:p>
      <w:pPr>
        <w:pStyle w:val="BodyText"/>
        <w:rPr>
          <w:i/>
        </w:rPr>
      </w:pPr>
    </w:p>
    <w:p>
      <w:pPr>
        <w:spacing w:before="1"/>
        <w:ind w:left="270" w:right="0" w:firstLine="0"/>
        <w:jc w:val="both"/>
        <w:rPr>
          <w:i/>
          <w:sz w:val="20"/>
        </w:rPr>
      </w:pPr>
      <w:r>
        <w:rPr>
          <w:b/>
          <w:i/>
          <w:sz w:val="20"/>
        </w:rPr>
        <w:t>Keywords</w:t>
      </w:r>
      <w:r>
        <w:rPr>
          <w:i/>
          <w:sz w:val="20"/>
        </w:rPr>
        <w:t>— Electrocardiograph, Postural load, Heart rate.</w:t>
      </w:r>
    </w:p>
    <w:p>
      <w:pPr>
        <w:pStyle w:val="BodyText"/>
        <w:spacing w:before="11"/>
        <w:rPr>
          <w:i/>
          <w:sz w:val="19"/>
        </w:rPr>
      </w:pPr>
    </w:p>
    <w:p>
      <w:pPr>
        <w:pStyle w:val="BodyText"/>
        <w:ind w:left="270"/>
        <w:jc w:val="both"/>
      </w:pPr>
      <w:r>
        <w:rPr/>
        <w:t>Relevance to Ergonomics:</w:t>
      </w:r>
    </w:p>
    <w:p>
      <w:pPr>
        <w:pStyle w:val="BodyText"/>
        <w:ind w:left="270" w:right="677"/>
        <w:jc w:val="both"/>
      </w:pPr>
      <w:r>
        <w:rPr/>
        <w:t>This work presents a proposal of develop of experimental analysis in a controlled environment room and in this work we determine if this analysis is easy to carry out.</w:t>
      </w:r>
    </w:p>
    <w:p>
      <w:pPr>
        <w:pStyle w:val="BodyText"/>
      </w:pPr>
    </w:p>
    <w:p>
      <w:pPr>
        <w:pStyle w:val="BodyText"/>
        <w:spacing w:before="2"/>
      </w:pPr>
    </w:p>
    <w:p>
      <w:pPr>
        <w:pStyle w:val="Heading4"/>
        <w:numPr>
          <w:ilvl w:val="0"/>
          <w:numId w:val="163"/>
        </w:numPr>
        <w:tabs>
          <w:tab w:pos="473" w:val="left" w:leader="none"/>
        </w:tabs>
        <w:spacing w:line="240" w:lineRule="auto" w:before="0" w:after="0"/>
        <w:ind w:left="472" w:right="0" w:hanging="202"/>
        <w:jc w:val="both"/>
      </w:pPr>
      <w:r>
        <w:rPr/>
        <w:t>INTRODUCTION</w:t>
      </w:r>
    </w:p>
    <w:p>
      <w:pPr>
        <w:pStyle w:val="BodyText"/>
        <w:spacing w:before="8"/>
        <w:rPr>
          <w:b/>
          <w:sz w:val="19"/>
        </w:rPr>
      </w:pPr>
    </w:p>
    <w:p>
      <w:pPr>
        <w:pStyle w:val="BodyText"/>
        <w:ind w:left="270" w:right="676"/>
        <w:jc w:val="both"/>
      </w:pPr>
      <w:r>
        <w:rPr/>
        <w:t>The postural load in the workers can be a big part of the task development in working hours if it continues without making analysis and measurements it could happened fatal consequences. One important organ implicated in every activity that we develop along of our lives is  the  heart. When we are performing effort the heart is the responsible  to regulate the quantity that is needed to complete the task. If we keep demanding more effort we could contract different diseases related of the heart. That’s why is important to keep on track how much we are demanding to ourselves. One of the principal measurement methods that we have to determine if the working is developing tasks in an optimum performances are the Heart Rate Variability (HRV) it consists the variation of the beat-to-beat [1] or beats per minute (bpm) that the heart has when the person is doing an activity or making an effort. We decided to test a way that the worker can do a determined task but we can take some information of his heart while his doing that, for that we used a 12 lead electrocardiograph (ECG, Contec ECG600G, China) to take the information and with a software we can analyze the results (ECG Sync Ver. 1.02). An ECG consists in the measurement of the electrical activity in the heart [3] using different types of waves to determine different points of the heart like R, S and Q wave. Every one of the 12 leads has a name these are I, II, III,  aVR, aVL, aVF, V1, V2, V3, V4, V5 and V6. “Of these  </w:t>
      </w:r>
      <w:r>
        <w:rPr>
          <w:spacing w:val="13"/>
        </w:rPr>
        <w:t> </w:t>
      </w:r>
      <w:r>
        <w:rPr/>
        <w:t>12</w:t>
      </w:r>
    </w:p>
    <w:p>
      <w:pPr>
        <w:pStyle w:val="BodyText"/>
        <w:ind w:left="270" w:right="676"/>
        <w:jc w:val="both"/>
      </w:pPr>
      <w:r>
        <w:rPr/>
        <w:t>leads, the first six are derived from the same three measurement points. Therefore, any two of these six leads include exactly the same information as the other four. Soothe ECG traces that are analyzed in the following sections will consist of leads I, II, V1, V2, V3, V4, V5 and V6 only.”[5] For the experimental sessions we used only 1 person to the experiment. The sessions took place in 4 different days in period of 2 hours per day we obtained the results. There’s different variables to determine if the person that we took for the experimental sessions is affected mainly by age, sex, and posture. [2]</w:t>
      </w:r>
    </w:p>
    <w:p>
      <w:pPr>
        <w:spacing w:after="0"/>
        <w:jc w:val="both"/>
        <w:sectPr>
          <w:type w:val="continuous"/>
          <w:pgSz w:w="12240" w:h="15840"/>
          <w:pgMar w:top="1500" w:bottom="280" w:left="580" w:right="220"/>
          <w:cols w:num="2" w:equalWidth="0">
            <w:col w:w="5206" w:space="418"/>
            <w:col w:w="5816"/>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Heading4"/>
        <w:numPr>
          <w:ilvl w:val="0"/>
          <w:numId w:val="163"/>
        </w:numPr>
        <w:tabs>
          <w:tab w:pos="471" w:val="left" w:leader="none"/>
        </w:tabs>
        <w:spacing w:line="240" w:lineRule="auto" w:before="77" w:after="0"/>
        <w:ind w:left="470" w:right="0" w:hanging="200"/>
        <w:jc w:val="both"/>
      </w:pPr>
      <w:r>
        <w:rPr/>
        <w:t>OBJECTIVES</w:t>
      </w:r>
    </w:p>
    <w:p>
      <w:pPr>
        <w:pStyle w:val="BodyText"/>
        <w:spacing w:before="8"/>
        <w:rPr>
          <w:b/>
          <w:sz w:val="19"/>
        </w:rPr>
      </w:pPr>
    </w:p>
    <w:p>
      <w:pPr>
        <w:pStyle w:val="ListParagraph"/>
        <w:numPr>
          <w:ilvl w:val="1"/>
          <w:numId w:val="163"/>
        </w:numPr>
        <w:tabs>
          <w:tab w:pos="979" w:val="left" w:leader="none"/>
        </w:tabs>
        <w:spacing w:line="240" w:lineRule="auto" w:before="0" w:after="0"/>
        <w:ind w:left="990" w:right="1" w:hanging="360"/>
        <w:jc w:val="both"/>
        <w:rPr>
          <w:sz w:val="20"/>
        </w:rPr>
      </w:pPr>
      <w:r>
        <w:rPr>
          <w:sz w:val="20"/>
        </w:rPr>
        <w:t>Determine by the results of the ECG if the persons HR changes when he is developing a repeatedly the same task in a certain time</w:t>
      </w:r>
      <w:r>
        <w:rPr>
          <w:spacing w:val="-19"/>
          <w:sz w:val="20"/>
        </w:rPr>
        <w:t> </w:t>
      </w:r>
      <w:r>
        <w:rPr>
          <w:sz w:val="20"/>
        </w:rPr>
        <w:t>interval.</w:t>
      </w:r>
    </w:p>
    <w:p>
      <w:pPr>
        <w:pStyle w:val="ListParagraph"/>
        <w:numPr>
          <w:ilvl w:val="1"/>
          <w:numId w:val="163"/>
        </w:numPr>
        <w:tabs>
          <w:tab w:pos="979" w:val="left" w:leader="none"/>
        </w:tabs>
        <w:spacing w:line="240" w:lineRule="auto" w:before="0" w:after="0"/>
        <w:ind w:left="990" w:right="1" w:hanging="360"/>
        <w:jc w:val="both"/>
        <w:rPr>
          <w:sz w:val="20"/>
        </w:rPr>
      </w:pPr>
      <w:r>
        <w:rPr>
          <w:sz w:val="20"/>
        </w:rPr>
        <w:t>Determine if he can maintain a certain rhythm along trial.</w:t>
      </w:r>
    </w:p>
    <w:p>
      <w:pPr>
        <w:pStyle w:val="ListParagraph"/>
        <w:numPr>
          <w:ilvl w:val="1"/>
          <w:numId w:val="163"/>
        </w:numPr>
        <w:tabs>
          <w:tab w:pos="979" w:val="left" w:leader="none"/>
        </w:tabs>
        <w:spacing w:line="240" w:lineRule="auto" w:before="0" w:after="0"/>
        <w:ind w:left="990" w:right="1" w:hanging="360"/>
        <w:jc w:val="both"/>
        <w:rPr>
          <w:sz w:val="20"/>
        </w:rPr>
      </w:pPr>
      <w:r>
        <w:rPr>
          <w:sz w:val="20"/>
        </w:rPr>
        <w:t>Determine if he can work faster when he is developing the task</w:t>
      </w:r>
      <w:r>
        <w:rPr>
          <w:spacing w:val="-19"/>
          <w:sz w:val="20"/>
        </w:rPr>
        <w:t> </w:t>
      </w:r>
      <w:r>
        <w:rPr>
          <w:sz w:val="20"/>
        </w:rPr>
        <w:t>repetitively.</w:t>
      </w:r>
    </w:p>
    <w:p>
      <w:pPr>
        <w:pStyle w:val="BodyText"/>
        <w:spacing w:before="2"/>
      </w:pPr>
    </w:p>
    <w:p>
      <w:pPr>
        <w:pStyle w:val="Heading4"/>
        <w:numPr>
          <w:ilvl w:val="0"/>
          <w:numId w:val="163"/>
        </w:numPr>
        <w:tabs>
          <w:tab w:pos="471" w:val="left" w:leader="none"/>
        </w:tabs>
        <w:spacing w:line="240" w:lineRule="auto" w:before="0" w:after="0"/>
        <w:ind w:left="470" w:right="0" w:hanging="200"/>
        <w:jc w:val="both"/>
      </w:pPr>
      <w:r>
        <w:rPr/>
        <w:t>METHODOLOGY</w:t>
      </w:r>
    </w:p>
    <w:p>
      <w:pPr>
        <w:pStyle w:val="BodyText"/>
        <w:spacing w:before="8"/>
        <w:rPr>
          <w:b/>
          <w:sz w:val="19"/>
        </w:rPr>
      </w:pPr>
    </w:p>
    <w:p>
      <w:pPr>
        <w:pStyle w:val="BodyText"/>
        <w:ind w:left="270"/>
        <w:jc w:val="both"/>
      </w:pPr>
      <w:r>
        <w:rPr/>
        <w:t>The experimental sessions consists in a one hour session in which the experimental subject performs the assembling a structure made by Lego’s, there’s an operations sheet that shows a series of steps that must be followed to perform correctly the task.</w:t>
      </w:r>
    </w:p>
    <w:p>
      <w:pPr>
        <w:pStyle w:val="BodyText"/>
      </w:pPr>
    </w:p>
    <w:p>
      <w:pPr>
        <w:pStyle w:val="BodyText"/>
        <w:spacing w:before="10"/>
        <w:rPr>
          <w:sz w:val="16"/>
        </w:rPr>
      </w:pPr>
      <w:r>
        <w:rPr/>
        <w:drawing>
          <wp:anchor distT="0" distB="0" distL="0" distR="0" allowOverlap="1" layoutInCell="1" locked="0" behindDoc="0" simplePos="0" relativeHeight="18520">
            <wp:simplePos x="0" y="0"/>
            <wp:positionH relativeFrom="page">
              <wp:posOffset>540258</wp:posOffset>
            </wp:positionH>
            <wp:positionV relativeFrom="paragraph">
              <wp:posOffset>148070</wp:posOffset>
            </wp:positionV>
            <wp:extent cx="3081954" cy="1731264"/>
            <wp:effectExtent l="0" t="0" r="0" b="0"/>
            <wp:wrapTopAndBottom/>
            <wp:docPr id="869" name="image482.jpeg" descr=""/>
            <wp:cNvGraphicFramePr>
              <a:graphicFrameLocks noChangeAspect="1"/>
            </wp:cNvGraphicFramePr>
            <a:graphic>
              <a:graphicData uri="http://schemas.openxmlformats.org/drawingml/2006/picture">
                <pic:pic>
                  <pic:nvPicPr>
                    <pic:cNvPr id="870" name="image482.jpeg"/>
                    <pic:cNvPicPr/>
                  </pic:nvPicPr>
                  <pic:blipFill>
                    <a:blip r:embed="rId761" cstate="print"/>
                    <a:stretch>
                      <a:fillRect/>
                    </a:stretch>
                  </pic:blipFill>
                  <pic:spPr>
                    <a:xfrm>
                      <a:off x="0" y="0"/>
                      <a:ext cx="3081954" cy="1731264"/>
                    </a:xfrm>
                    <a:prstGeom prst="rect">
                      <a:avLst/>
                    </a:prstGeom>
                  </pic:spPr>
                </pic:pic>
              </a:graphicData>
            </a:graphic>
          </wp:anchor>
        </w:drawing>
      </w:r>
    </w:p>
    <w:p>
      <w:pPr>
        <w:pStyle w:val="BodyText"/>
        <w:spacing w:before="3"/>
        <w:rPr>
          <w:sz w:val="17"/>
        </w:rPr>
      </w:pPr>
    </w:p>
    <w:p>
      <w:pPr>
        <w:spacing w:before="0"/>
        <w:ind w:left="581" w:right="118" w:firstLine="0"/>
        <w:jc w:val="left"/>
        <w:rPr>
          <w:sz w:val="18"/>
        </w:rPr>
      </w:pPr>
      <w:r>
        <w:rPr>
          <w:sz w:val="18"/>
        </w:rPr>
        <w:t>Figure 1. ECG 600G Electrocardiograph (Own elaboration)</w:t>
      </w:r>
    </w:p>
    <w:p>
      <w:pPr>
        <w:pStyle w:val="BodyText"/>
        <w:spacing w:before="2"/>
      </w:pPr>
    </w:p>
    <w:p>
      <w:pPr>
        <w:pStyle w:val="BodyText"/>
        <w:ind w:left="270"/>
        <w:jc w:val="both"/>
      </w:pPr>
      <w:r>
        <w:rPr/>
        <w:t>Along the trial, the experimental subject was connected to the electrocardiograph to take measurements of the heart as well the HR and the QRS</w:t>
      </w:r>
      <w:r>
        <w:rPr>
          <w:spacing w:val="-6"/>
        </w:rPr>
        <w:t> </w:t>
      </w:r>
      <w:r>
        <w:rPr/>
        <w:t>wave.</w:t>
      </w:r>
    </w:p>
    <w:p>
      <w:pPr>
        <w:pStyle w:val="BodyText"/>
      </w:pPr>
    </w:p>
    <w:p>
      <w:pPr>
        <w:pStyle w:val="BodyText"/>
        <w:spacing w:before="10"/>
        <w:rPr>
          <w:sz w:val="16"/>
        </w:rPr>
      </w:pPr>
      <w:r>
        <w:rPr/>
        <w:drawing>
          <wp:anchor distT="0" distB="0" distL="0" distR="0" allowOverlap="1" layoutInCell="1" locked="0" behindDoc="0" simplePos="0" relativeHeight="18544">
            <wp:simplePos x="0" y="0"/>
            <wp:positionH relativeFrom="page">
              <wp:posOffset>540258</wp:posOffset>
            </wp:positionH>
            <wp:positionV relativeFrom="paragraph">
              <wp:posOffset>148056</wp:posOffset>
            </wp:positionV>
            <wp:extent cx="3081954" cy="1731264"/>
            <wp:effectExtent l="0" t="0" r="0" b="0"/>
            <wp:wrapTopAndBottom/>
            <wp:docPr id="871" name="image483.jpeg" descr=""/>
            <wp:cNvGraphicFramePr>
              <a:graphicFrameLocks noChangeAspect="1"/>
            </wp:cNvGraphicFramePr>
            <a:graphic>
              <a:graphicData uri="http://schemas.openxmlformats.org/drawingml/2006/picture">
                <pic:pic>
                  <pic:nvPicPr>
                    <pic:cNvPr id="872" name="image483.jpeg"/>
                    <pic:cNvPicPr/>
                  </pic:nvPicPr>
                  <pic:blipFill>
                    <a:blip r:embed="rId762" cstate="print"/>
                    <a:stretch>
                      <a:fillRect/>
                    </a:stretch>
                  </pic:blipFill>
                  <pic:spPr>
                    <a:xfrm>
                      <a:off x="0" y="0"/>
                      <a:ext cx="3081954" cy="1731264"/>
                    </a:xfrm>
                    <a:prstGeom prst="rect">
                      <a:avLst/>
                    </a:prstGeom>
                  </pic:spPr>
                </pic:pic>
              </a:graphicData>
            </a:graphic>
          </wp:anchor>
        </w:drawing>
      </w:r>
    </w:p>
    <w:p>
      <w:pPr>
        <w:pStyle w:val="BodyText"/>
      </w:pPr>
    </w:p>
    <w:p>
      <w:pPr>
        <w:pStyle w:val="BodyText"/>
        <w:spacing w:before="3"/>
        <w:rPr>
          <w:sz w:val="17"/>
        </w:rPr>
      </w:pPr>
    </w:p>
    <w:p>
      <w:pPr>
        <w:spacing w:before="1"/>
        <w:ind w:left="579" w:right="118" w:firstLine="0"/>
        <w:jc w:val="left"/>
        <w:rPr>
          <w:sz w:val="18"/>
        </w:rPr>
      </w:pPr>
      <w:r>
        <w:rPr>
          <w:sz w:val="18"/>
        </w:rPr>
        <w:t>Figure 2. Example of electrode locations (Own elaboration)</w:t>
      </w:r>
    </w:p>
    <w:p>
      <w:pPr>
        <w:pStyle w:val="BodyText"/>
        <w:spacing w:before="1"/>
      </w:pPr>
    </w:p>
    <w:p>
      <w:pPr>
        <w:pStyle w:val="BodyText"/>
        <w:ind w:left="270"/>
        <w:jc w:val="both"/>
      </w:pPr>
      <w:r>
        <w:rPr/>
        <w:t>It took place in a controlled environment room [4] the only data we took from the controlled environment room was the temperature  when  the  experimental  sessions  begun  on for</w:t>
      </w:r>
    </w:p>
    <w:p>
      <w:pPr>
        <w:pStyle w:val="BodyText"/>
        <w:spacing w:before="74"/>
        <w:ind w:left="270" w:right="678"/>
        <w:jc w:val="both"/>
      </w:pPr>
      <w:r>
        <w:rPr/>
        <w:br w:type="column"/>
      </w:r>
      <w:r>
        <w:rPr/>
        <w:t>informative data this work doesn’t take the temperature as a factor of the experimental subject ECG.</w:t>
      </w:r>
    </w:p>
    <w:p>
      <w:pPr>
        <w:pStyle w:val="BodyText"/>
      </w:pPr>
    </w:p>
    <w:p>
      <w:pPr>
        <w:pStyle w:val="BodyText"/>
        <w:spacing w:before="10"/>
        <w:rPr>
          <w:sz w:val="16"/>
        </w:rPr>
      </w:pPr>
      <w:r>
        <w:rPr/>
        <w:drawing>
          <wp:anchor distT="0" distB="0" distL="0" distR="0" allowOverlap="1" layoutInCell="1" locked="0" behindDoc="0" simplePos="0" relativeHeight="18568">
            <wp:simplePos x="0" y="0"/>
            <wp:positionH relativeFrom="page">
              <wp:posOffset>4111752</wp:posOffset>
            </wp:positionH>
            <wp:positionV relativeFrom="paragraph">
              <wp:posOffset>148053</wp:posOffset>
            </wp:positionV>
            <wp:extent cx="3081954" cy="1731264"/>
            <wp:effectExtent l="0" t="0" r="0" b="0"/>
            <wp:wrapTopAndBottom/>
            <wp:docPr id="873" name="image484.jpeg" descr=""/>
            <wp:cNvGraphicFramePr>
              <a:graphicFrameLocks noChangeAspect="1"/>
            </wp:cNvGraphicFramePr>
            <a:graphic>
              <a:graphicData uri="http://schemas.openxmlformats.org/drawingml/2006/picture">
                <pic:pic>
                  <pic:nvPicPr>
                    <pic:cNvPr id="874" name="image484.jpeg"/>
                    <pic:cNvPicPr/>
                  </pic:nvPicPr>
                  <pic:blipFill>
                    <a:blip r:embed="rId763" cstate="print"/>
                    <a:stretch>
                      <a:fillRect/>
                    </a:stretch>
                  </pic:blipFill>
                  <pic:spPr>
                    <a:xfrm>
                      <a:off x="0" y="0"/>
                      <a:ext cx="3081954" cy="1731264"/>
                    </a:xfrm>
                    <a:prstGeom prst="rect">
                      <a:avLst/>
                    </a:prstGeom>
                  </pic:spPr>
                </pic:pic>
              </a:graphicData>
            </a:graphic>
          </wp:anchor>
        </w:drawing>
      </w:r>
    </w:p>
    <w:p>
      <w:pPr>
        <w:pStyle w:val="BodyText"/>
        <w:spacing w:before="4"/>
        <w:rPr>
          <w:sz w:val="17"/>
        </w:rPr>
      </w:pPr>
    </w:p>
    <w:p>
      <w:pPr>
        <w:spacing w:before="0"/>
        <w:ind w:left="594" w:right="852" w:firstLine="0"/>
        <w:jc w:val="left"/>
        <w:rPr>
          <w:sz w:val="18"/>
        </w:rPr>
      </w:pPr>
      <w:r>
        <w:rPr>
          <w:sz w:val="18"/>
        </w:rPr>
        <w:t>Figure 3. Controlled environment room (Own elaboration)</w:t>
      </w:r>
    </w:p>
    <w:p>
      <w:pPr>
        <w:pStyle w:val="BodyText"/>
        <w:spacing w:before="1"/>
      </w:pPr>
    </w:p>
    <w:p>
      <w:pPr>
        <w:pStyle w:val="BodyText"/>
        <w:ind w:left="270" w:right="677"/>
        <w:jc w:val="both"/>
      </w:pPr>
      <w:r>
        <w:rPr/>
        <w:t>There was a one day training session for the experimental subject to understand better the process of assembling and disassembling. This data wasn’t affected the final results.</w:t>
      </w:r>
    </w:p>
    <w:p>
      <w:pPr>
        <w:pStyle w:val="BodyText"/>
        <w:ind w:left="270" w:right="677"/>
        <w:jc w:val="both"/>
      </w:pPr>
      <w:r>
        <w:rPr/>
        <w:t>In final experimental sessions the electrocardiograph connection measured the HR of the experimental subject  and the data was collected in the internal memory of the device every ten minutes of the one hour session the ECG recorded last a one minute and ten seconds of recording time, collecting at least five ECG analysis for every experimental</w:t>
      </w:r>
      <w:r>
        <w:rPr>
          <w:spacing w:val="-8"/>
        </w:rPr>
        <w:t> </w:t>
      </w:r>
      <w:r>
        <w:rPr/>
        <w:t>session.</w:t>
      </w:r>
    </w:p>
    <w:p>
      <w:pPr>
        <w:pStyle w:val="BodyText"/>
        <w:ind w:left="270" w:right="677"/>
        <w:jc w:val="both"/>
      </w:pPr>
      <w:r>
        <w:rPr/>
        <w:t>Finally the collected data was analyzed by a cardiologist to give a diagnosis about the experimental subject while  he was performing the experimental task, and give opinion about if there’s a possible heart disease if he continues performing the same task in that period of time.</w:t>
      </w:r>
    </w:p>
    <w:p>
      <w:pPr>
        <w:pStyle w:val="BodyText"/>
        <w:spacing w:before="2"/>
      </w:pPr>
    </w:p>
    <w:p>
      <w:pPr>
        <w:pStyle w:val="Heading4"/>
        <w:numPr>
          <w:ilvl w:val="0"/>
          <w:numId w:val="163"/>
        </w:numPr>
        <w:tabs>
          <w:tab w:pos="472" w:val="left" w:leader="none"/>
        </w:tabs>
        <w:spacing w:line="240" w:lineRule="auto" w:before="0" w:after="0"/>
        <w:ind w:left="471" w:right="0" w:hanging="201"/>
        <w:jc w:val="both"/>
      </w:pPr>
      <w:r>
        <w:rPr/>
        <w:t>RESULTS</w:t>
      </w:r>
    </w:p>
    <w:p>
      <w:pPr>
        <w:pStyle w:val="BodyText"/>
        <w:spacing w:before="8"/>
        <w:rPr>
          <w:b/>
          <w:sz w:val="19"/>
        </w:rPr>
      </w:pPr>
    </w:p>
    <w:p>
      <w:pPr>
        <w:pStyle w:val="BodyText"/>
        <w:ind w:left="270" w:right="677"/>
        <w:jc w:val="both"/>
      </w:pPr>
      <w:r>
        <w:rPr/>
        <w:t>In the final experimental sessions inside of the control environment room it was at the same temperature of 21 Celsius. We took a number of total circuits (assembling and disassembling) N=29, with an average of time 5:53 min, the average time of assembling was 3:14 min and for disassembling 2:38 min.</w:t>
      </w:r>
    </w:p>
    <w:p>
      <w:pPr>
        <w:pStyle w:val="BodyText"/>
        <w:ind w:left="270" w:right="677"/>
        <w:jc w:val="both"/>
      </w:pPr>
      <w:r>
        <w:rPr/>
        <w:t>In relation of the HR we obtained the average of a total of HR measurements N=21, with an average of 99.41 bpm and a standard deviation of ±5.79, the maximum value of HR was 117 bpm and the minimum was , the maximum value of HR was 117 bpm and the minimum was 93 bpm.</w:t>
      </w:r>
    </w:p>
    <w:p>
      <w:pPr>
        <w:pStyle w:val="BodyText"/>
        <w:ind w:left="270" w:right="676"/>
        <w:jc w:val="both"/>
      </w:pPr>
      <w:r>
        <w:rPr/>
        <w:t>The relationship between the heart rate represent the need of the person to stay calm when is developing a task, if there is more heart rate that would present some anomalies in the body of the person and this could represent danger for himself because he is not fully concentrated in the task.</w:t>
      </w:r>
    </w:p>
    <w:p>
      <w:pPr>
        <w:pStyle w:val="BodyText"/>
        <w:ind w:left="270" w:right="675"/>
        <w:jc w:val="both"/>
      </w:pPr>
      <w:r>
        <w:rPr/>
        <w:t>There is more area to develop different works in relation of electrocardiography, one example it could present different situation like when the workers are in a stand position a lot of hours in his work area, and this could present some variation. For the controlled environment room in further</w:t>
      </w:r>
    </w:p>
    <w:p>
      <w:pPr>
        <w:spacing w:after="0"/>
        <w:jc w:val="both"/>
        <w:sectPr>
          <w:type w:val="continuous"/>
          <w:pgSz w:w="12240" w:h="15840"/>
          <w:pgMar w:top="1500" w:bottom="280" w:left="580" w:right="220"/>
          <w:cols w:num="2" w:equalWidth="0">
            <w:col w:w="5190" w:space="435"/>
            <w:col w:w="5815"/>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4"/>
        <w:ind w:left="270" w:right="1"/>
        <w:jc w:val="both"/>
      </w:pPr>
      <w:r>
        <w:rPr/>
        <w:t>works there is the possibility to introduce some changes in the environment inside of it like, i.e., changing the temperature this would represent some burden to the heart and if this could represent a future danger in the worker.</w:t>
      </w:r>
    </w:p>
    <w:p>
      <w:pPr>
        <w:pStyle w:val="BodyText"/>
        <w:ind w:left="270"/>
        <w:jc w:val="both"/>
      </w:pPr>
      <w:r>
        <w:rPr/>
        <w:t>Actually they are devolving some alliances with the cardiologist of the city of Tijuana to make more rigorous cardiologic analysis and looking for more support to make a better diagnosis of the subjects.</w:t>
      </w:r>
    </w:p>
    <w:p>
      <w:pPr>
        <w:pStyle w:val="BodyText"/>
      </w:pPr>
    </w:p>
    <w:p>
      <w:pPr>
        <w:pStyle w:val="BodyText"/>
        <w:spacing w:before="2"/>
      </w:pPr>
    </w:p>
    <w:p>
      <w:pPr>
        <w:pStyle w:val="Heading4"/>
        <w:numPr>
          <w:ilvl w:val="0"/>
          <w:numId w:val="163"/>
        </w:numPr>
        <w:tabs>
          <w:tab w:pos="471" w:val="left" w:leader="none"/>
        </w:tabs>
        <w:spacing w:line="240" w:lineRule="auto" w:before="0" w:after="0"/>
        <w:ind w:left="471" w:right="0" w:hanging="201"/>
        <w:jc w:val="both"/>
      </w:pPr>
      <w:r>
        <w:rPr/>
        <w:t>CONCLUSION</w:t>
      </w:r>
    </w:p>
    <w:p>
      <w:pPr>
        <w:pStyle w:val="BodyText"/>
        <w:spacing w:before="5"/>
        <w:rPr>
          <w:b/>
        </w:rPr>
      </w:pPr>
    </w:p>
    <w:p>
      <w:pPr>
        <w:pStyle w:val="BodyText"/>
        <w:spacing w:line="249" w:lineRule="auto"/>
        <w:ind w:left="270"/>
        <w:jc w:val="both"/>
      </w:pPr>
      <w:r>
        <w:rPr/>
        <w:t>Finally for conclusion of this paper, we experienced along the experimental sessions few issues in relationship with the ECG this was because of the size of the extensions for the limbs and the need of the experimental subject to be topless, this was the sensation of discomfort when he was developing the task it represents a loss of time, the maximum time the experimental subject bore was only a hour this possibly represent some issue for experimental sessions that it needs the develop of long time task. The relationship between the HR and development of a task finally didn’t represent a lot  of variation and this can confirm that the experimental subject wasn’t felling stressed about the task. In relation about the posture that the experimental subject it didn´t represent trouble when he was in the experimental session, the posture was sitting on a chair and putting his arms on the work table. There was some of initial procedures for evaluation of the HR inside a controlled environment room and we have to comment that there is the need to make more research in this</w:t>
      </w:r>
      <w:r>
        <w:rPr>
          <w:spacing w:val="-14"/>
        </w:rPr>
        <w:t> </w:t>
      </w:r>
      <w:r>
        <w:rPr/>
        <w:t>area.</w:t>
      </w:r>
    </w:p>
    <w:p>
      <w:pPr>
        <w:pStyle w:val="BodyText"/>
        <w:ind w:left="270"/>
        <w:jc w:val="both"/>
      </w:pPr>
      <w:r>
        <w:rPr/>
        <w:t>The objectives proposed in this work they were completed in a certain level, the results of the electrocardiograph in relation with the heart rate of the person there is some variation between in the start and the finish of the task this was presented in the analysis of the HR because  there is some variation of the bpm in every analysis. For the subject  if he can maintain a certain rhythm in the task there is only completed in part because when the subject is developing the task of assembling and disassembling is trying to do the fastest that he can and sometimes the person is in the need to reduce the speed because it can present error in the assembling phase this was obtained using observations of the subject.</w:t>
      </w:r>
    </w:p>
    <w:p>
      <w:pPr>
        <w:pStyle w:val="BodyText"/>
        <w:ind w:left="270" w:right="2"/>
        <w:jc w:val="both"/>
      </w:pPr>
      <w:r>
        <w:rPr/>
        <w:t>For the final objective there is presented in the analysis of time in every circuit of assembling and disassembling of the subject presented a learning phase when he required more time to finish the circuit, but in the final day of the experimental session the time of every circuit it was reduced the time this was probably of the amount of circuits that is has the need to do.</w:t>
      </w:r>
    </w:p>
    <w:p>
      <w:pPr>
        <w:pStyle w:val="BodyText"/>
        <w:spacing w:before="2"/>
      </w:pPr>
    </w:p>
    <w:p>
      <w:pPr>
        <w:pStyle w:val="Heading4"/>
        <w:numPr>
          <w:ilvl w:val="0"/>
          <w:numId w:val="163"/>
        </w:numPr>
        <w:tabs>
          <w:tab w:pos="471" w:val="left" w:leader="none"/>
        </w:tabs>
        <w:spacing w:line="240" w:lineRule="auto" w:before="0" w:after="0"/>
        <w:ind w:left="470" w:right="0" w:hanging="200"/>
        <w:jc w:val="both"/>
      </w:pPr>
      <w:r>
        <w:rPr/>
        <w:t>REFERENCES</w:t>
      </w:r>
    </w:p>
    <w:p>
      <w:pPr>
        <w:pStyle w:val="BodyText"/>
        <w:spacing w:before="8"/>
        <w:rPr>
          <w:b/>
          <w:sz w:val="19"/>
        </w:rPr>
      </w:pPr>
    </w:p>
    <w:p>
      <w:pPr>
        <w:pStyle w:val="BodyText"/>
        <w:ind w:left="270" w:right="1"/>
        <w:jc w:val="both"/>
      </w:pPr>
      <w:r>
        <w:rPr/>
        <w:t>[1]Julian F. Thayer, Fredrik Åhs, Mats Fredrikson, John J. Sollers III, Tor D. Wager, A meta-analysis of heart rate variability and neuroimaging studies: Implications for   heart</w:t>
      </w:r>
    </w:p>
    <w:p>
      <w:pPr>
        <w:pStyle w:val="BodyText"/>
        <w:spacing w:before="74"/>
        <w:ind w:left="270" w:right="676"/>
        <w:jc w:val="both"/>
      </w:pPr>
      <w:r>
        <w:rPr/>
        <w:br w:type="column"/>
      </w:r>
      <w:r>
        <w:rPr/>
        <w:t>rate variability as a marker of stress and health, Neuroscience &amp; Biobehavioral Reviews, Volume 36, Issue 2, February 2012, Pages 747-756, ISSN 0149-7634</w:t>
      </w:r>
    </w:p>
    <w:p>
      <w:pPr>
        <w:pStyle w:val="BodyText"/>
        <w:ind w:left="270" w:right="677"/>
        <w:jc w:val="both"/>
      </w:pPr>
      <w:r>
        <w:rPr/>
        <w:t>[2]Mariaconsuelo Valentini, Gianfranco Parati, Variables Influencing Heart Rate, Progress in  Cardiovascular Diseases, Volume 52, Issue 1, July–August 2009, Pages 11-</w:t>
      </w:r>
    </w:p>
    <w:p>
      <w:pPr>
        <w:pStyle w:val="BodyText"/>
        <w:spacing w:line="230" w:lineRule="exact"/>
        <w:ind w:left="270"/>
        <w:jc w:val="both"/>
      </w:pPr>
      <w:r>
        <w:rPr/>
        <w:t>19, ISSN 0033-0620</w:t>
      </w:r>
    </w:p>
    <w:p>
      <w:pPr>
        <w:pStyle w:val="BodyText"/>
        <w:ind w:left="270" w:right="677"/>
        <w:jc w:val="both"/>
      </w:pPr>
      <w:r>
        <w:rPr/>
        <w:t>[3]Richard E. Gregg, Sophia H. Zhou, James M. Lindauer, Eric D. Helfenbein, Karen K. Giuliano, What is inside the electrocardiograph?, Journal of Electrocardiology, Volume 41,  Issue  1,  January–February  2008,  Pages  8-14,    ISSN</w:t>
      </w:r>
    </w:p>
    <w:p>
      <w:pPr>
        <w:pStyle w:val="BodyText"/>
        <w:spacing w:line="230" w:lineRule="exact"/>
        <w:ind w:left="270"/>
        <w:jc w:val="both"/>
      </w:pPr>
      <w:r>
        <w:rPr/>
        <w:t>0022-0736</w:t>
      </w:r>
    </w:p>
    <w:p>
      <w:pPr>
        <w:pStyle w:val="BodyText"/>
        <w:ind w:left="270" w:right="673"/>
        <w:jc w:val="both"/>
      </w:pPr>
      <w:r>
        <w:rPr/>
        <w:t>[4]López, J., Olguin J., Lopez C., Luque P., Medrano R. &amp; Rubalcava Y. Diseño y desarrollo de una cabina ergonomica con atmosfera controlada para simular entornos reales de estaciones de trabajo. Revista Aristas: Investigación Básica y Aplicada., Volume 3, p. p.</w:t>
      </w:r>
      <w:r>
        <w:rPr>
          <w:spacing w:val="-13"/>
        </w:rPr>
        <w:t> </w:t>
      </w:r>
      <w:r>
        <w:rPr/>
        <w:t>29-39.</w:t>
      </w:r>
    </w:p>
    <w:p>
      <w:pPr>
        <w:pStyle w:val="BodyText"/>
        <w:ind w:left="270" w:right="677"/>
        <w:jc w:val="both"/>
      </w:pPr>
      <w:r>
        <w:rPr/>
        <w:t>[5]Ieva, F., Paganoni, A. M., Pigoli, D. and Vitelli, V. (2013), Multivariate functional clustering for the morphological analysis of  electrocardiograph  curves. Journal of the Royal Statistical Society: Series C (Applied Statistics), 62: 401–418. doi: 10.1111/j.1467- 9876.2012.01062.x</w:t>
      </w:r>
    </w:p>
    <w:p>
      <w:pPr>
        <w:spacing w:after="0"/>
        <w:jc w:val="both"/>
        <w:sectPr>
          <w:type w:val="continuous"/>
          <w:pgSz w:w="12240" w:h="15840"/>
          <w:pgMar w:top="1500" w:bottom="280" w:left="580" w:right="220"/>
          <w:cols w:num="2" w:equalWidth="0">
            <w:col w:w="5193" w:space="432"/>
            <w:col w:w="5815"/>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
        <w:rPr>
          <w:sz w:val="26"/>
        </w:rPr>
      </w:pPr>
    </w:p>
    <w:p>
      <w:pPr>
        <w:pStyle w:val="Heading1"/>
        <w:ind w:right="130"/>
        <w:jc w:val="center"/>
      </w:pPr>
      <w:r>
        <w:rPr/>
        <w:t>Analysis of Ergonomic risk factors according to the New Mexican regulations (RFSST-2014)</w:t>
      </w:r>
    </w:p>
    <w:p>
      <w:pPr>
        <w:spacing w:line="243" w:lineRule="exact" w:before="203"/>
        <w:ind w:left="270" w:right="20" w:firstLine="0"/>
        <w:jc w:val="center"/>
        <w:rPr>
          <w:i/>
          <w:sz w:val="13"/>
        </w:rPr>
      </w:pPr>
      <w:r>
        <w:rPr>
          <w:i/>
          <w:sz w:val="20"/>
        </w:rPr>
        <w:t>Dr. Carlos Raúl Navarro González </w:t>
      </w:r>
      <w:r>
        <w:rPr>
          <w:i/>
          <w:position w:val="9"/>
          <w:sz w:val="13"/>
        </w:rPr>
        <w:t>a</w:t>
      </w:r>
    </w:p>
    <w:p>
      <w:pPr>
        <w:spacing w:line="230" w:lineRule="exact" w:before="0"/>
        <w:ind w:left="270" w:right="20" w:firstLine="0"/>
        <w:jc w:val="center"/>
        <w:rPr>
          <w:i/>
          <w:sz w:val="13"/>
        </w:rPr>
      </w:pPr>
      <w:r>
        <w:rPr>
          <w:i/>
          <w:sz w:val="20"/>
        </w:rPr>
        <w:t>Ing. Elsa Emma Barraza Rincón </w:t>
      </w:r>
      <w:r>
        <w:rPr>
          <w:i/>
          <w:position w:val="9"/>
          <w:sz w:val="13"/>
        </w:rPr>
        <w:t>b</w:t>
      </w:r>
    </w:p>
    <w:p>
      <w:pPr>
        <w:spacing w:line="230" w:lineRule="exact" w:before="0"/>
        <w:ind w:left="1434" w:right="58" w:firstLine="0"/>
        <w:jc w:val="left"/>
        <w:rPr>
          <w:i/>
          <w:sz w:val="13"/>
        </w:rPr>
      </w:pPr>
      <w:r>
        <w:rPr>
          <w:i/>
          <w:sz w:val="20"/>
        </w:rPr>
        <w:t>M.D. Antonio Corona Guzmán </w:t>
      </w:r>
      <w:r>
        <w:rPr>
          <w:i/>
          <w:position w:val="9"/>
          <w:sz w:val="13"/>
        </w:rPr>
        <w:t>a</w:t>
      </w:r>
    </w:p>
    <w:p>
      <w:pPr>
        <w:spacing w:line="230" w:lineRule="exact" w:before="0"/>
        <w:ind w:left="270" w:right="19" w:firstLine="0"/>
        <w:jc w:val="center"/>
        <w:rPr>
          <w:i/>
          <w:sz w:val="13"/>
        </w:rPr>
      </w:pPr>
      <w:r>
        <w:rPr>
          <w:i/>
          <w:sz w:val="20"/>
        </w:rPr>
        <w:t>M.I. Verónica Arredondo Robledo </w:t>
      </w:r>
      <w:r>
        <w:rPr>
          <w:i/>
          <w:position w:val="9"/>
          <w:sz w:val="13"/>
        </w:rPr>
        <w:t>a</w:t>
      </w:r>
    </w:p>
    <w:p>
      <w:pPr>
        <w:spacing w:line="243" w:lineRule="exact" w:before="0"/>
        <w:ind w:left="270" w:right="22" w:firstLine="0"/>
        <w:jc w:val="center"/>
        <w:rPr>
          <w:i/>
          <w:sz w:val="13"/>
        </w:rPr>
      </w:pPr>
      <w:r>
        <w:rPr>
          <w:i/>
          <w:sz w:val="20"/>
        </w:rPr>
        <w:t>Ing. Rebeca Cabrera Rivera </w:t>
      </w:r>
      <w:r>
        <w:rPr>
          <w:i/>
          <w:position w:val="9"/>
          <w:sz w:val="13"/>
        </w:rPr>
        <w:t>b</w:t>
      </w:r>
    </w:p>
    <w:p>
      <w:pPr>
        <w:pStyle w:val="BodyText"/>
        <w:spacing w:before="7"/>
        <w:rPr>
          <w:i/>
          <w:sz w:val="18"/>
        </w:rPr>
      </w:pPr>
    </w:p>
    <w:p>
      <w:pPr>
        <w:spacing w:line="198" w:lineRule="exact" w:before="0"/>
        <w:ind w:left="270" w:right="0" w:firstLine="0"/>
        <w:jc w:val="both"/>
        <w:rPr>
          <w:sz w:val="16"/>
        </w:rPr>
      </w:pPr>
      <w:r>
        <w:rPr>
          <w:position w:val="7"/>
          <w:sz w:val="10"/>
        </w:rPr>
        <w:t>a    </w:t>
      </w:r>
      <w:r>
        <w:rPr>
          <w:sz w:val="16"/>
        </w:rPr>
        <w:t>Facultad de Ingeniería, Universidad Autónoma de Baja California,   Blvd.</w:t>
      </w:r>
    </w:p>
    <w:p>
      <w:pPr>
        <w:spacing w:line="177" w:lineRule="exact" w:before="0"/>
        <w:ind w:left="270" w:right="0" w:firstLine="0"/>
        <w:jc w:val="both"/>
        <w:rPr>
          <w:sz w:val="16"/>
        </w:rPr>
      </w:pPr>
      <w:r>
        <w:rPr>
          <w:sz w:val="16"/>
        </w:rPr>
        <w:t>Benito Juárez s/n, Mexicali, B.C., C.P. 21280, </w:t>
      </w:r>
      <w:hyperlink r:id="rId764">
        <w:r>
          <w:rPr>
            <w:sz w:val="16"/>
          </w:rPr>
          <w:t>cnavarro51@uabc.edu.mx</w:t>
        </w:r>
      </w:hyperlink>
    </w:p>
    <w:p>
      <w:pPr>
        <w:spacing w:line="191" w:lineRule="exact" w:before="0"/>
        <w:ind w:left="270" w:right="0" w:firstLine="0"/>
        <w:jc w:val="both"/>
        <w:rPr>
          <w:sz w:val="16"/>
        </w:rPr>
      </w:pPr>
      <w:r>
        <w:rPr>
          <w:position w:val="7"/>
          <w:sz w:val="10"/>
        </w:rPr>
        <w:t>b   </w:t>
      </w:r>
      <w:r>
        <w:rPr>
          <w:sz w:val="16"/>
        </w:rPr>
        <w:t>Departamento de Ingeniería Industrial, Instituto Tecnológico de  Mexicali,</w:t>
      </w:r>
    </w:p>
    <w:p>
      <w:pPr>
        <w:spacing w:before="1"/>
        <w:ind w:left="270" w:right="0" w:firstLine="0"/>
        <w:jc w:val="both"/>
        <w:rPr>
          <w:sz w:val="16"/>
        </w:rPr>
      </w:pPr>
      <w:r>
        <w:rPr>
          <w:sz w:val="16"/>
        </w:rPr>
        <w:t>Av. Tecnológico s/n, Col. Elías Calles, Mexicali, B.C., C.P. 21376, </w:t>
      </w:r>
      <w:hyperlink r:id="rId765">
        <w:r>
          <w:rPr>
            <w:sz w:val="16"/>
          </w:rPr>
          <w:t>emmabarrazarincon@hotmail.com</w:t>
        </w:r>
      </w:hyperlink>
    </w:p>
    <w:p>
      <w:pPr>
        <w:pStyle w:val="BodyText"/>
        <w:spacing w:before="4"/>
      </w:pPr>
    </w:p>
    <w:p>
      <w:pPr>
        <w:pStyle w:val="Heading4"/>
      </w:pPr>
      <w:r>
        <w:rPr/>
        <w:pict>
          <v:line style="position:absolute;mso-position-horizontal-relative:page;mso-position-vertical-relative:paragraph;z-index:18592" from="41.040001pt,13.205801pt" to="289.860001pt,13.205801pt" stroked="true" strokeweight="1.5pt" strokecolor="#000000">
            <w10:wrap type="none"/>
          </v:line>
        </w:pict>
      </w:r>
      <w:r>
        <w:rPr/>
        <w:t>Resumen</w:t>
      </w:r>
    </w:p>
    <w:p>
      <w:pPr>
        <w:pStyle w:val="BodyText"/>
        <w:spacing w:before="46"/>
        <w:ind w:left="270" w:right="13"/>
        <w:jc w:val="both"/>
      </w:pPr>
      <w:r>
        <w:rPr/>
        <w:t>Cada vez cobra más importancia en el sector industrial la reducción y prevención de accidentes y enfermedades laborales, que pueden tener un impacto directo importante; adicionalmente la salud ocupacional también impacta indirectamente en la sociedad, donde se considera que las pérdidas debidas a indemnizaciones, días perdidos, paros en la producción y gastos médicos representan un 4% del producto interno bruto. En la búsqueda de fomentar la construcción de un compromiso y cultura de prevención de seguridad y salud laboral, existe una tendencia hacia la obligatoriedad y control más estricto en el cumplimiento de normas de salud ocupacional; congruentemente a este esfuerzo en México entrara en vigor en febrero el nuevo Reglamento Federal de Seguridad y Salud en el Trabajo, el cual contempla aspectos muy puntuales sobre la salud ocupacional en el diagnóstico y la integración de un programa de seguridad y salud en el trabajo, que contemple un análisis de los factores de riesgo ergonómicos. El  Objetivo de este estudio es presentar un análisis de los  nuevos aspectos y normativas del nuevo reglamento relacionadas al área ergonómica; revisando algunos de los factores de riesgo ergonómicos que se pueden encontrar comúnmente en una estación de trabajo, así como sus rangos o niveles aceptables. Estos se obtendrán de una revisión bibliográfica y así de estudio de campo; lo cual apoyara en la comprensión de la nueva reglamentación y su impacto en el área</w:t>
      </w:r>
      <w:r>
        <w:rPr>
          <w:spacing w:val="-12"/>
        </w:rPr>
        <w:t> </w:t>
      </w:r>
      <w:r>
        <w:rPr/>
        <w:t>ergonómica</w:t>
      </w:r>
    </w:p>
    <w:p>
      <w:pPr>
        <w:pStyle w:val="BodyText"/>
        <w:ind w:left="270" w:right="18"/>
        <w:jc w:val="both"/>
      </w:pPr>
      <w:r>
        <w:rPr>
          <w:b/>
        </w:rPr>
        <w:t>Palabras clave</w:t>
      </w:r>
      <w:r>
        <w:rPr/>
        <w:t>— Salud Ocupacional, Ergonomía Industrial, Factores de riesgo ergonómico, Normatividad Ergonómica</w:t>
      </w:r>
    </w:p>
    <w:p>
      <w:pPr>
        <w:pStyle w:val="BodyText"/>
        <w:spacing w:before="3"/>
      </w:pPr>
    </w:p>
    <w:p>
      <w:pPr>
        <w:pStyle w:val="Heading5"/>
        <w:rPr>
          <w:i/>
        </w:rPr>
      </w:pPr>
      <w:r>
        <w:rPr/>
        <w:pict>
          <v:line style="position:absolute;mso-position-horizontal-relative:page;mso-position-vertical-relative:paragraph;z-index:18616" from="41.040001pt,13.206964pt" to="289.860001pt,13.206964pt" stroked="true" strokeweight="1.5pt" strokecolor="#000000">
            <w10:wrap type="none"/>
          </v:line>
        </w:pict>
      </w:r>
      <w:r>
        <w:rPr>
          <w:i/>
        </w:rPr>
        <w:t>Abstract</w:t>
      </w:r>
    </w:p>
    <w:p>
      <w:pPr>
        <w:spacing w:before="46"/>
        <w:ind w:left="270" w:right="15" w:firstLine="0"/>
        <w:jc w:val="both"/>
        <w:rPr>
          <w:i/>
          <w:sz w:val="20"/>
        </w:rPr>
      </w:pPr>
      <w:r>
        <w:rPr>
          <w:i/>
          <w:sz w:val="20"/>
        </w:rPr>
        <w:t>Reduction and prevention of occupational accidents and </w:t>
      </w:r>
      <w:r>
        <w:rPr>
          <w:i/>
          <w:sz w:val="20"/>
        </w:rPr>
        <w:t>diseases has an increasingly importance in the industrial sector, which can have a significant direct impact but also  an important indirect impact in the society. It is considered that the losses due to compensation, lost days, production stoppages and medical expenses account due occupational accidents and diseases reach 4% of GDP (gross domestic product). Worldwide is a tendency towards a mandatory and stricter control with the fulfillment of occupational health standards  who  promotes  the  construction  of  a  culture </w:t>
      </w:r>
      <w:r>
        <w:rPr>
          <w:i/>
          <w:spacing w:val="9"/>
          <w:sz w:val="20"/>
        </w:rPr>
        <w:t> </w:t>
      </w:r>
      <w:r>
        <w:rPr>
          <w:i/>
          <w:sz w:val="20"/>
        </w:rPr>
        <w:t>of</w:t>
      </w:r>
    </w:p>
    <w:p>
      <w:pPr>
        <w:spacing w:before="74"/>
        <w:ind w:left="270" w:right="675" w:firstLine="0"/>
        <w:jc w:val="both"/>
        <w:rPr>
          <w:i/>
          <w:sz w:val="20"/>
        </w:rPr>
      </w:pPr>
      <w:r>
        <w:rPr/>
        <w:br w:type="column"/>
      </w:r>
      <w:r>
        <w:rPr>
          <w:i/>
          <w:sz w:val="20"/>
        </w:rPr>
        <w:t>prevention related occupational safety and health, </w:t>
      </w:r>
      <w:r>
        <w:rPr>
          <w:i/>
          <w:sz w:val="20"/>
        </w:rPr>
        <w:t>congruently in Mexico a new federal regulation in Safety and Health at Work came into force since February. The new Federal regulation includes very specific aspects related with the diagnosis and integration of a program of safety and health at work, incorporating an analysis of ergonomic risk factors. The objective of this study is to present an analysis of the novelty aspects, rules and regulations relating with ergonomics from the New Mexican federal regulation; also a review of some of the ergonomic risk factors that can be found in a workstation. These will be obtained from a literature review and field study as well; which support the understanding of the new regulation and its impact on the ergonomic</w:t>
      </w:r>
      <w:r>
        <w:rPr>
          <w:i/>
          <w:spacing w:val="-15"/>
          <w:sz w:val="20"/>
        </w:rPr>
        <w:t> </w:t>
      </w:r>
      <w:r>
        <w:rPr>
          <w:i/>
          <w:sz w:val="20"/>
        </w:rPr>
        <w:t>area.</w:t>
      </w:r>
    </w:p>
    <w:p>
      <w:pPr>
        <w:pStyle w:val="BodyText"/>
        <w:spacing w:before="11"/>
        <w:rPr>
          <w:i/>
          <w:sz w:val="19"/>
        </w:rPr>
      </w:pPr>
    </w:p>
    <w:p>
      <w:pPr>
        <w:spacing w:before="0"/>
        <w:ind w:left="270" w:right="859" w:firstLine="0"/>
        <w:jc w:val="left"/>
        <w:rPr>
          <w:i/>
          <w:sz w:val="20"/>
        </w:rPr>
      </w:pPr>
      <w:r>
        <w:rPr>
          <w:b/>
          <w:i/>
          <w:sz w:val="20"/>
        </w:rPr>
        <w:t>Keywords</w:t>
      </w:r>
      <w:r>
        <w:rPr>
          <w:i/>
          <w:sz w:val="20"/>
        </w:rPr>
        <w:t>— Occupational Health, Industrial Ergonomics, </w:t>
      </w:r>
      <w:r>
        <w:rPr>
          <w:i/>
          <w:sz w:val="20"/>
        </w:rPr>
        <w:t>Ergonomic Risk Factors, Ergonomic regulations</w:t>
      </w:r>
    </w:p>
    <w:p>
      <w:pPr>
        <w:spacing w:before="0"/>
        <w:ind w:left="270" w:right="0" w:firstLine="0"/>
        <w:jc w:val="both"/>
        <w:rPr>
          <w:i/>
          <w:sz w:val="20"/>
        </w:rPr>
      </w:pPr>
      <w:r>
        <w:rPr>
          <w:i/>
          <w:w w:val="100"/>
          <w:sz w:val="20"/>
        </w:rPr>
        <w:t>.</w:t>
      </w:r>
    </w:p>
    <w:p>
      <w:pPr>
        <w:pStyle w:val="BodyText"/>
        <w:spacing w:before="11"/>
        <w:rPr>
          <w:i/>
          <w:sz w:val="19"/>
        </w:rPr>
      </w:pPr>
    </w:p>
    <w:p>
      <w:pPr>
        <w:pStyle w:val="BodyText"/>
        <w:ind w:left="270"/>
        <w:jc w:val="both"/>
      </w:pPr>
      <w:r>
        <w:rPr/>
        <w:t>Relevance to Ergonomics:</w:t>
      </w:r>
    </w:p>
    <w:p>
      <w:pPr>
        <w:pStyle w:val="BodyText"/>
        <w:ind w:left="270" w:right="675" w:firstLine="500"/>
        <w:jc w:val="both"/>
      </w:pPr>
      <w:r>
        <w:rPr/>
        <w:t>The new Mexican regulation RFSST enhances Occupational Health and Ergonomics area where this transition period can be exploited not only to expand field studies, but promoting research methodologies and technics looking make more efficient usage of ergonomics in the organizational environment, also to acquire ergonomic equipment through tie-up with industry.</w:t>
      </w:r>
    </w:p>
    <w:p>
      <w:pPr>
        <w:pStyle w:val="BodyText"/>
        <w:spacing w:before="2"/>
      </w:pPr>
    </w:p>
    <w:p>
      <w:pPr>
        <w:pStyle w:val="Heading4"/>
        <w:numPr>
          <w:ilvl w:val="0"/>
          <w:numId w:val="164"/>
        </w:numPr>
        <w:tabs>
          <w:tab w:pos="473" w:val="left" w:leader="none"/>
        </w:tabs>
        <w:spacing w:line="240" w:lineRule="auto" w:before="0" w:after="0"/>
        <w:ind w:left="472" w:right="0" w:hanging="202"/>
        <w:jc w:val="both"/>
      </w:pPr>
      <w:r>
        <w:rPr/>
        <w:t>INTRODUCTION</w:t>
      </w:r>
    </w:p>
    <w:p>
      <w:pPr>
        <w:pStyle w:val="BodyText"/>
        <w:spacing w:before="11"/>
        <w:rPr>
          <w:b/>
          <w:sz w:val="19"/>
        </w:rPr>
      </w:pPr>
    </w:p>
    <w:p>
      <w:pPr>
        <w:pStyle w:val="ListParagraph"/>
        <w:numPr>
          <w:ilvl w:val="1"/>
          <w:numId w:val="164"/>
        </w:numPr>
        <w:tabs>
          <w:tab w:pos="572" w:val="left" w:leader="none"/>
        </w:tabs>
        <w:spacing w:line="240" w:lineRule="auto" w:before="0" w:after="0"/>
        <w:ind w:left="270" w:right="0" w:firstLine="0"/>
        <w:jc w:val="both"/>
        <w:rPr>
          <w:b/>
          <w:sz w:val="20"/>
        </w:rPr>
      </w:pPr>
      <w:r>
        <w:rPr>
          <w:b/>
          <w:sz w:val="20"/>
        </w:rPr>
        <w:t>Global Context in occupational</w:t>
      </w:r>
      <w:r>
        <w:rPr>
          <w:b/>
          <w:spacing w:val="-17"/>
          <w:sz w:val="20"/>
        </w:rPr>
        <w:t> </w:t>
      </w:r>
      <w:r>
        <w:rPr>
          <w:b/>
          <w:sz w:val="20"/>
        </w:rPr>
        <w:t>health</w:t>
      </w:r>
    </w:p>
    <w:p>
      <w:pPr>
        <w:pStyle w:val="BodyText"/>
        <w:spacing w:before="8"/>
        <w:rPr>
          <w:b/>
          <w:sz w:val="19"/>
        </w:rPr>
      </w:pPr>
    </w:p>
    <w:p>
      <w:pPr>
        <w:pStyle w:val="BodyText"/>
        <w:ind w:left="270" w:right="676"/>
        <w:jc w:val="both"/>
      </w:pPr>
      <w:r>
        <w:rPr/>
        <w:t>Reduction and prevention of occupational accidents and diseases has an increasingly importance in the industrial sector, which can have a significant direct impact in the organization due auditable aspects, being subject to fines and requirements toward some certifications. in Mexico came into force since February a new federal regulation in Safety and Health at Work (RFSST – “Reglamento Federal de seguridad y salud en el trabajo”), which includes very specific aspects of occupational health in the diagnosis and integration of a program of safety and health at work, incorporating an analysis of ergonomic risk factors. These changes are intended to promote a prevention culture in occupational safety and health at the workplace  [1], reducing his direct and indirect impact in the organization and</w:t>
      </w:r>
      <w:r>
        <w:rPr>
          <w:spacing w:val="-9"/>
        </w:rPr>
        <w:t> </w:t>
      </w:r>
      <w:r>
        <w:rPr/>
        <w:t>society.</w:t>
      </w:r>
    </w:p>
    <w:p>
      <w:pPr>
        <w:pStyle w:val="BodyText"/>
        <w:ind w:left="270" w:right="675" w:firstLine="428"/>
        <w:jc w:val="both"/>
      </w:pPr>
      <w:r>
        <w:rPr/>
        <w:t>A workspace can include an occupational hazard by  not asset adequately aspects as lighting, noise, efforts, workspace distribution, workers postures and job movements and tools, all of them for a healthy and efficiently production environment. These aspects are part  of occupational health which looks for the direct impact in the organization of indices such as productivity, turnover, absenteeism, rates and fees paid to health and social systems (like IMSS, ISSTE,</w:t>
      </w:r>
      <w:r>
        <w:rPr>
          <w:spacing w:val="-3"/>
        </w:rPr>
        <w:t> </w:t>
      </w:r>
      <w:r>
        <w:rPr/>
        <w:t>etc.).</w:t>
      </w:r>
    </w:p>
    <w:p>
      <w:pPr>
        <w:pStyle w:val="BodyText"/>
        <w:ind w:left="270" w:right="676" w:firstLine="397"/>
        <w:jc w:val="both"/>
      </w:pPr>
      <w:r>
        <w:rPr/>
        <w:t>Occupational health not only has a direct impact on the organization; but also an indirect consequences in    society.</w:t>
      </w:r>
    </w:p>
    <w:p>
      <w:pPr>
        <w:spacing w:after="0"/>
        <w:jc w:val="both"/>
        <w:sectPr>
          <w:type w:val="continuous"/>
          <w:pgSz w:w="12240" w:h="15840"/>
          <w:pgMar w:top="1500" w:bottom="280" w:left="580" w:right="220"/>
          <w:cols w:num="2" w:equalWidth="0">
            <w:col w:w="5208" w:space="416"/>
            <w:col w:w="5816"/>
          </w:cols>
        </w:sectPr>
      </w:pPr>
    </w:p>
    <w:p>
      <w:pPr>
        <w:pStyle w:val="BodyText"/>
        <w:spacing w:before="3"/>
        <w:rPr>
          <w:sz w:val="11"/>
        </w:rPr>
      </w:pPr>
    </w:p>
    <w:p>
      <w:pPr>
        <w:spacing w:after="0"/>
        <w:rPr>
          <w:sz w:val="11"/>
        </w:rPr>
        <w:sectPr>
          <w:pgSz w:w="12240" w:h="15840"/>
          <w:pgMar w:header="545" w:footer="852" w:top="1060" w:bottom="1040" w:left="580" w:right="220"/>
        </w:sectPr>
      </w:pPr>
    </w:p>
    <w:p>
      <w:pPr>
        <w:pStyle w:val="BodyText"/>
        <w:spacing w:before="75"/>
        <w:ind w:left="270"/>
        <w:jc w:val="both"/>
      </w:pPr>
      <w:r>
        <w:rPr/>
        <w:t>The European Union rate the economic costs of all occupational accidents and diseases at 3% GDP (gross domestic product) [2] and worldwide, the “International Labour Organization” (ILO) estimates that losses due to compensation, lost days , production stoppages and medical expenses due to illness and work-related accidents at 4% GDP [3].</w:t>
      </w:r>
    </w:p>
    <w:p>
      <w:pPr>
        <w:pStyle w:val="BodyText"/>
        <w:ind w:left="270" w:firstLine="397"/>
        <w:jc w:val="both"/>
      </w:pPr>
      <w:r>
        <w:rPr/>
        <w:t>Main problems related to occupational health could be pointed to musculoskeletal disorders (MSDs), NIOSH ("National Institute for Safety and Health Occupational") estimated that 25% of occupational accidents and diseases are related to MSDs [4]; for the INSHT (“Instituto Nacional de Seguridad e Higiene en el Trabajo” from Spain) they can represent up 30% to 40% of diseases and work-related accidents [2], up to 25% of the European population is affected by some MSDs [5]. Numbers that allow inferring that prevention is</w:t>
      </w:r>
      <w:r>
        <w:rPr>
          <w:spacing w:val="-15"/>
        </w:rPr>
        <w:t> </w:t>
      </w:r>
      <w:r>
        <w:rPr/>
        <w:t>affordable.</w:t>
      </w:r>
    </w:p>
    <w:p>
      <w:pPr>
        <w:pStyle w:val="BodyText"/>
        <w:spacing w:before="2"/>
      </w:pPr>
    </w:p>
    <w:p>
      <w:pPr>
        <w:pStyle w:val="Heading4"/>
        <w:numPr>
          <w:ilvl w:val="1"/>
          <w:numId w:val="164"/>
        </w:numPr>
        <w:tabs>
          <w:tab w:pos="590" w:val="left" w:leader="none"/>
        </w:tabs>
        <w:spacing w:line="240" w:lineRule="auto" w:before="0" w:after="0"/>
        <w:ind w:left="270" w:right="1" w:firstLine="0"/>
        <w:jc w:val="both"/>
      </w:pPr>
      <w:r>
        <w:rPr/>
        <w:t>The New Mexican regulations of occupational health and safety</w:t>
      </w:r>
      <w:r>
        <w:rPr>
          <w:spacing w:val="-10"/>
        </w:rPr>
        <w:t> </w:t>
      </w:r>
      <w:r>
        <w:rPr/>
        <w:t>(RFSST)</w:t>
      </w:r>
    </w:p>
    <w:p>
      <w:pPr>
        <w:pStyle w:val="BodyText"/>
        <w:spacing w:before="8"/>
        <w:rPr>
          <w:b/>
          <w:sz w:val="19"/>
        </w:rPr>
      </w:pPr>
    </w:p>
    <w:p>
      <w:pPr>
        <w:pStyle w:val="BodyText"/>
        <w:ind w:left="270" w:right="1"/>
        <w:jc w:val="both"/>
      </w:pPr>
      <w:r>
        <w:rPr/>
        <w:t>In Mexico, regulations for monitoring and tracking of Occupational Health used to be in may working standards as NOM-006-STPS-2000, NOM-011-STPS-2001, NOM-015- STPS-2001, NOM-017 STPS-2008, NOM-024-STPS-2001, NOM-025-STPS-2008   and   NOM-030-STPS-2009;  where</w:t>
      </w:r>
    </w:p>
    <w:p>
      <w:pPr>
        <w:pStyle w:val="BodyText"/>
        <w:ind w:left="270"/>
        <w:jc w:val="both"/>
      </w:pPr>
      <w:r>
        <w:rPr/>
        <w:t>the STPS (Secretary of Labor and Social Welfare - Secretaría del Trabajo y Previsión Social) is responsible for inspecting that this regulations are applied and enforced [1]; and failure to observe this regulations is subject to penalties and  disabled for some certifications. However, some authors question the necessity for profound changes about the organizational commitment on this mandatory standards; noting that audits and sanctions are insignificant [6]</w:t>
      </w:r>
      <w:r>
        <w:rPr>
          <w:spacing w:val="-32"/>
        </w:rPr>
        <w:t> </w:t>
      </w:r>
      <w:r>
        <w:rPr/>
        <w:t>[7].</w:t>
      </w:r>
    </w:p>
    <w:p>
      <w:pPr>
        <w:pStyle w:val="BodyText"/>
        <w:ind w:left="270" w:firstLine="397"/>
        <w:jc w:val="both"/>
      </w:pPr>
      <w:r>
        <w:rPr/>
        <w:t>An international and Mexican scenario indicates a trend towards being more mandatory regulations and stricter control while fulfillment occupational health and safety standards and principles [8]. Thus congruently Mexico came into effect this last February of 2015 a new federal regulation of occupational health and safety (RFSST – “Reglamento federal de seguridad y salud en el trabajo”) which includes very specific aspects of occupational health in the diagnosis and integration of a safety program and health at work.</w:t>
      </w:r>
    </w:p>
    <w:p>
      <w:pPr>
        <w:pStyle w:val="BodyText"/>
        <w:ind w:left="270" w:firstLine="397"/>
        <w:jc w:val="both"/>
      </w:pPr>
      <w:r>
        <w:rPr/>
        <w:t>The main objective of this reform of the federal regulation is to protect the integrity and lives from workers and also integrity of the workplace through a precautionary approach to occupational accidents and diseases [9]. It is divided into two main areas: Occupational Safety and Occupational Health, while Ergonomics and others aspects from health at work is involved in the occupational health area. Who specifically describes “ergonomic risk factors” as a</w:t>
      </w:r>
      <w:r>
        <w:rPr>
          <w:spacing w:val="-4"/>
        </w:rPr>
        <w:t> </w:t>
      </w:r>
      <w:r>
        <w:rPr/>
        <w:t>health</w:t>
      </w:r>
      <w:r>
        <w:rPr>
          <w:spacing w:val="-5"/>
        </w:rPr>
        <w:t> </w:t>
      </w:r>
      <w:r>
        <w:rPr/>
        <w:t>aspect</w:t>
      </w:r>
      <w:r>
        <w:rPr>
          <w:spacing w:val="-5"/>
        </w:rPr>
        <w:t> </w:t>
      </w:r>
      <w:r>
        <w:rPr/>
        <w:t>from</w:t>
      </w:r>
      <w:r>
        <w:rPr>
          <w:spacing w:val="-6"/>
        </w:rPr>
        <w:t> </w:t>
      </w:r>
      <w:r>
        <w:rPr/>
        <w:t>workplace,</w:t>
      </w:r>
      <w:r>
        <w:rPr>
          <w:spacing w:val="-3"/>
        </w:rPr>
        <w:t> </w:t>
      </w:r>
      <w:r>
        <w:rPr/>
        <w:t>as</w:t>
      </w:r>
      <w:r>
        <w:rPr>
          <w:spacing w:val="-4"/>
        </w:rPr>
        <w:t> </w:t>
      </w:r>
      <w:r>
        <w:rPr/>
        <w:t>illustrated</w:t>
      </w:r>
      <w:r>
        <w:rPr>
          <w:spacing w:val="-4"/>
        </w:rPr>
        <w:t> </w:t>
      </w:r>
      <w:r>
        <w:rPr/>
        <w:t>in</w:t>
      </w:r>
      <w:r>
        <w:rPr>
          <w:spacing w:val="-4"/>
        </w:rPr>
        <w:t> </w:t>
      </w:r>
      <w:r>
        <w:rPr/>
        <w:t>Table</w:t>
      </w:r>
      <w:r>
        <w:rPr>
          <w:spacing w:val="-5"/>
        </w:rPr>
        <w:t> </w:t>
      </w:r>
      <w:r>
        <w:rPr/>
        <w:t>1.</w:t>
      </w:r>
    </w:p>
    <w:p>
      <w:pPr>
        <w:spacing w:before="77"/>
        <w:ind w:left="774" w:right="852" w:firstLine="0"/>
        <w:jc w:val="left"/>
        <w:rPr>
          <w:b/>
          <w:sz w:val="18"/>
        </w:rPr>
      </w:pPr>
      <w:r>
        <w:rPr/>
        <w:br w:type="column"/>
      </w:r>
      <w:r>
        <w:rPr>
          <w:b/>
          <w:sz w:val="18"/>
        </w:rPr>
        <w:t>Table 1. Two main areas and aspects from RFSST</w:t>
      </w:r>
    </w:p>
    <w:p>
      <w:pPr>
        <w:pStyle w:val="BodyText"/>
        <w:spacing w:before="1"/>
        <w:rPr>
          <w:b/>
          <w:sz w:val="18"/>
        </w:rPr>
      </w:pPr>
    </w:p>
    <w:tbl>
      <w:tblPr>
        <w:tblW w:w="0" w:type="auto"/>
        <w:jc w:val="left"/>
        <w:tblInd w:w="5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17"/>
        <w:gridCol w:w="3119"/>
      </w:tblGrid>
      <w:tr>
        <w:trPr>
          <w:trHeight w:val="424" w:hRule="exact"/>
        </w:trPr>
        <w:tc>
          <w:tcPr>
            <w:tcW w:w="1417" w:type="dxa"/>
          </w:tcPr>
          <w:p>
            <w:pPr>
              <w:pStyle w:val="TableParagraph"/>
              <w:ind w:left="101"/>
              <w:rPr>
                <w:b/>
                <w:sz w:val="18"/>
              </w:rPr>
            </w:pPr>
            <w:r>
              <w:rPr>
                <w:b/>
                <w:sz w:val="18"/>
              </w:rPr>
              <w:t>New regulation area</w:t>
            </w:r>
          </w:p>
        </w:tc>
        <w:tc>
          <w:tcPr>
            <w:tcW w:w="3119" w:type="dxa"/>
          </w:tcPr>
          <w:p>
            <w:pPr>
              <w:pStyle w:val="TableParagraph"/>
              <w:spacing w:line="206" w:lineRule="exact"/>
              <w:ind w:left="101" w:right="102"/>
              <w:rPr>
                <w:b/>
                <w:sz w:val="18"/>
              </w:rPr>
            </w:pPr>
            <w:r>
              <w:rPr>
                <w:b/>
                <w:sz w:val="18"/>
              </w:rPr>
              <w:t>Aspects involved</w:t>
            </w:r>
          </w:p>
        </w:tc>
      </w:tr>
      <w:tr>
        <w:trPr>
          <w:trHeight w:val="424" w:hRule="exact"/>
        </w:trPr>
        <w:tc>
          <w:tcPr>
            <w:tcW w:w="1417" w:type="dxa"/>
            <w:vMerge w:val="restart"/>
          </w:tcPr>
          <w:p>
            <w:pPr>
              <w:pStyle w:val="TableParagraph"/>
              <w:spacing w:before="7"/>
              <w:rPr>
                <w:b/>
                <w:sz w:val="17"/>
              </w:rPr>
            </w:pPr>
          </w:p>
          <w:p>
            <w:pPr>
              <w:pStyle w:val="TableParagraph"/>
              <w:ind w:left="101" w:right="327"/>
              <w:rPr>
                <w:sz w:val="18"/>
              </w:rPr>
            </w:pPr>
            <w:r>
              <w:rPr>
                <w:sz w:val="18"/>
              </w:rPr>
              <w:t>Occupational Safety</w:t>
            </w:r>
          </w:p>
        </w:tc>
        <w:tc>
          <w:tcPr>
            <w:tcW w:w="3119" w:type="dxa"/>
          </w:tcPr>
          <w:p>
            <w:pPr>
              <w:pStyle w:val="TableParagraph"/>
              <w:tabs>
                <w:tab w:pos="1158" w:val="left" w:leader="none"/>
                <w:tab w:pos="1817" w:val="left" w:leader="none"/>
                <w:tab w:pos="2744" w:val="left" w:leader="none"/>
              </w:tabs>
              <w:ind w:left="101" w:right="102"/>
              <w:rPr>
                <w:sz w:val="18"/>
              </w:rPr>
            </w:pPr>
            <w:r>
              <w:rPr>
                <w:sz w:val="18"/>
              </w:rPr>
              <w:t>Buildings,</w:t>
              <w:tab/>
              <w:t>local</w:t>
              <w:tab/>
              <w:t>facilities</w:t>
              <w:tab/>
              <w:t>and workspaces.</w:t>
            </w:r>
          </w:p>
        </w:tc>
      </w:tr>
      <w:tr>
        <w:trPr>
          <w:trHeight w:val="217" w:hRule="exact"/>
        </w:trPr>
        <w:tc>
          <w:tcPr>
            <w:tcW w:w="1417" w:type="dxa"/>
            <w:vMerge/>
          </w:tcPr>
          <w:p>
            <w:pPr/>
          </w:p>
        </w:tc>
        <w:tc>
          <w:tcPr>
            <w:tcW w:w="3119" w:type="dxa"/>
          </w:tcPr>
          <w:p>
            <w:pPr>
              <w:pStyle w:val="TableParagraph"/>
              <w:spacing w:line="203" w:lineRule="exact"/>
              <w:ind w:left="102" w:right="102"/>
              <w:rPr>
                <w:sz w:val="18"/>
              </w:rPr>
            </w:pPr>
            <w:r>
              <w:rPr>
                <w:sz w:val="18"/>
              </w:rPr>
              <w:t>Prevention and fire protection.</w:t>
            </w:r>
          </w:p>
        </w:tc>
      </w:tr>
      <w:tr>
        <w:trPr>
          <w:trHeight w:val="217" w:hRule="exact"/>
        </w:trPr>
        <w:tc>
          <w:tcPr>
            <w:tcW w:w="1417" w:type="dxa"/>
            <w:vMerge/>
          </w:tcPr>
          <w:p>
            <w:pPr/>
          </w:p>
        </w:tc>
        <w:tc>
          <w:tcPr>
            <w:tcW w:w="3119" w:type="dxa"/>
          </w:tcPr>
          <w:p>
            <w:pPr>
              <w:pStyle w:val="TableParagraph"/>
              <w:spacing w:line="202" w:lineRule="exact"/>
              <w:ind w:left="102"/>
              <w:rPr>
                <w:sz w:val="18"/>
              </w:rPr>
            </w:pPr>
            <w:r>
              <w:rPr>
                <w:sz w:val="18"/>
              </w:rPr>
              <w:t>Use of machinery, equipment and tools.</w:t>
            </w:r>
          </w:p>
        </w:tc>
      </w:tr>
      <w:tr>
        <w:trPr>
          <w:trHeight w:val="424" w:hRule="exact"/>
        </w:trPr>
        <w:tc>
          <w:tcPr>
            <w:tcW w:w="1417" w:type="dxa"/>
            <w:vMerge/>
          </w:tcPr>
          <w:p>
            <w:pPr/>
          </w:p>
        </w:tc>
        <w:tc>
          <w:tcPr>
            <w:tcW w:w="3119" w:type="dxa"/>
          </w:tcPr>
          <w:p>
            <w:pPr>
              <w:pStyle w:val="TableParagraph"/>
              <w:ind w:left="102" w:right="102"/>
              <w:rPr>
                <w:sz w:val="18"/>
              </w:rPr>
            </w:pPr>
            <w:r>
              <w:rPr>
                <w:sz w:val="18"/>
              </w:rPr>
              <w:t>Handling, transport and storage of materials and / or hazardous chemicals.</w:t>
            </w:r>
          </w:p>
        </w:tc>
      </w:tr>
      <w:tr>
        <w:trPr>
          <w:trHeight w:val="217" w:hRule="exact"/>
        </w:trPr>
        <w:tc>
          <w:tcPr>
            <w:tcW w:w="1417" w:type="dxa"/>
            <w:vMerge/>
          </w:tcPr>
          <w:p>
            <w:pPr/>
          </w:p>
        </w:tc>
        <w:tc>
          <w:tcPr>
            <w:tcW w:w="3119" w:type="dxa"/>
          </w:tcPr>
          <w:p>
            <w:pPr>
              <w:pStyle w:val="TableParagraph"/>
              <w:spacing w:line="203" w:lineRule="exact"/>
              <w:ind w:left="102" w:right="102"/>
              <w:rPr>
                <w:sz w:val="18"/>
              </w:rPr>
            </w:pPr>
            <w:r>
              <w:rPr>
                <w:sz w:val="18"/>
              </w:rPr>
              <w:t>Driving motorized vehicles.</w:t>
            </w:r>
          </w:p>
        </w:tc>
      </w:tr>
      <w:tr>
        <w:trPr>
          <w:trHeight w:val="217" w:hRule="exact"/>
        </w:trPr>
        <w:tc>
          <w:tcPr>
            <w:tcW w:w="1417" w:type="dxa"/>
            <w:vMerge/>
          </w:tcPr>
          <w:p>
            <w:pPr/>
          </w:p>
        </w:tc>
        <w:tc>
          <w:tcPr>
            <w:tcW w:w="3119" w:type="dxa"/>
          </w:tcPr>
          <w:p>
            <w:pPr>
              <w:pStyle w:val="TableParagraph"/>
              <w:spacing w:line="202" w:lineRule="exact"/>
              <w:ind w:left="102" w:right="102"/>
              <w:rPr>
                <w:sz w:val="18"/>
              </w:rPr>
            </w:pPr>
            <w:r>
              <w:rPr>
                <w:sz w:val="18"/>
              </w:rPr>
              <w:t>Working at height.</w:t>
            </w:r>
          </w:p>
        </w:tc>
      </w:tr>
      <w:tr>
        <w:trPr>
          <w:trHeight w:val="217" w:hRule="exact"/>
        </w:trPr>
        <w:tc>
          <w:tcPr>
            <w:tcW w:w="1417" w:type="dxa"/>
            <w:vMerge/>
          </w:tcPr>
          <w:p>
            <w:pPr/>
          </w:p>
        </w:tc>
        <w:tc>
          <w:tcPr>
            <w:tcW w:w="3119" w:type="dxa"/>
          </w:tcPr>
          <w:p>
            <w:pPr>
              <w:pStyle w:val="TableParagraph"/>
              <w:spacing w:line="202" w:lineRule="exact"/>
              <w:ind w:left="102" w:right="102"/>
              <w:rPr>
                <w:sz w:val="18"/>
              </w:rPr>
            </w:pPr>
            <w:r>
              <w:rPr>
                <w:sz w:val="18"/>
              </w:rPr>
              <w:t>Work in confined spaces.</w:t>
            </w:r>
          </w:p>
        </w:tc>
      </w:tr>
      <w:tr>
        <w:trPr>
          <w:trHeight w:val="424" w:hRule="exact"/>
        </w:trPr>
        <w:tc>
          <w:tcPr>
            <w:tcW w:w="1417" w:type="dxa"/>
            <w:vMerge/>
          </w:tcPr>
          <w:p>
            <w:pPr/>
          </w:p>
        </w:tc>
        <w:tc>
          <w:tcPr>
            <w:tcW w:w="3119" w:type="dxa"/>
          </w:tcPr>
          <w:p>
            <w:pPr>
              <w:pStyle w:val="TableParagraph"/>
              <w:ind w:left="102" w:right="102"/>
              <w:rPr>
                <w:sz w:val="18"/>
              </w:rPr>
            </w:pPr>
            <w:r>
              <w:rPr>
                <w:sz w:val="18"/>
              </w:rPr>
              <w:t>Pressure vessels, cryogenic and steam generators or boilers.</w:t>
            </w:r>
          </w:p>
        </w:tc>
      </w:tr>
      <w:tr>
        <w:trPr>
          <w:trHeight w:val="217" w:hRule="exact"/>
        </w:trPr>
        <w:tc>
          <w:tcPr>
            <w:tcW w:w="1417" w:type="dxa"/>
            <w:vMerge/>
          </w:tcPr>
          <w:p>
            <w:pPr/>
          </w:p>
        </w:tc>
        <w:tc>
          <w:tcPr>
            <w:tcW w:w="3119" w:type="dxa"/>
          </w:tcPr>
          <w:p>
            <w:pPr>
              <w:pStyle w:val="TableParagraph"/>
              <w:spacing w:line="202" w:lineRule="exact"/>
              <w:ind w:left="102" w:right="102"/>
              <w:rPr>
                <w:sz w:val="18"/>
              </w:rPr>
            </w:pPr>
            <w:r>
              <w:rPr>
                <w:sz w:val="18"/>
              </w:rPr>
              <w:t>Static electricity.</w:t>
            </w:r>
          </w:p>
        </w:tc>
      </w:tr>
      <w:tr>
        <w:trPr>
          <w:trHeight w:val="217" w:hRule="exact"/>
        </w:trPr>
        <w:tc>
          <w:tcPr>
            <w:tcW w:w="1417" w:type="dxa"/>
            <w:vMerge/>
          </w:tcPr>
          <w:p>
            <w:pPr/>
          </w:p>
        </w:tc>
        <w:tc>
          <w:tcPr>
            <w:tcW w:w="3119" w:type="dxa"/>
          </w:tcPr>
          <w:p>
            <w:pPr>
              <w:pStyle w:val="TableParagraph"/>
              <w:spacing w:line="202" w:lineRule="exact"/>
              <w:ind w:left="102" w:right="102"/>
              <w:rPr>
                <w:sz w:val="18"/>
              </w:rPr>
            </w:pPr>
            <w:r>
              <w:rPr>
                <w:sz w:val="18"/>
              </w:rPr>
              <w:t>Welding and cutting activities.</w:t>
            </w:r>
          </w:p>
        </w:tc>
      </w:tr>
      <w:tr>
        <w:trPr>
          <w:trHeight w:val="216" w:hRule="exact"/>
        </w:trPr>
        <w:tc>
          <w:tcPr>
            <w:tcW w:w="1417" w:type="dxa"/>
            <w:vMerge/>
          </w:tcPr>
          <w:p>
            <w:pPr/>
          </w:p>
        </w:tc>
        <w:tc>
          <w:tcPr>
            <w:tcW w:w="3119" w:type="dxa"/>
          </w:tcPr>
          <w:p>
            <w:pPr>
              <w:pStyle w:val="TableParagraph"/>
              <w:spacing w:line="202" w:lineRule="exact"/>
              <w:ind w:left="102" w:right="102"/>
              <w:rPr>
                <w:sz w:val="18"/>
              </w:rPr>
            </w:pPr>
            <w:r>
              <w:rPr>
                <w:sz w:val="18"/>
              </w:rPr>
              <w:t>Maintenance of electrical installations</w:t>
            </w:r>
          </w:p>
        </w:tc>
      </w:tr>
      <w:tr>
        <w:trPr>
          <w:trHeight w:val="217" w:hRule="exact"/>
        </w:trPr>
        <w:tc>
          <w:tcPr>
            <w:tcW w:w="1417" w:type="dxa"/>
            <w:vMerge w:val="restart"/>
          </w:tcPr>
          <w:p>
            <w:pPr>
              <w:pStyle w:val="TableParagraph"/>
              <w:spacing w:before="7"/>
              <w:rPr>
                <w:b/>
                <w:sz w:val="17"/>
              </w:rPr>
            </w:pPr>
          </w:p>
          <w:p>
            <w:pPr>
              <w:pStyle w:val="TableParagraph"/>
              <w:ind w:left="101" w:right="327"/>
              <w:rPr>
                <w:sz w:val="18"/>
              </w:rPr>
            </w:pPr>
            <w:r>
              <w:rPr>
                <w:sz w:val="18"/>
              </w:rPr>
              <w:t>Occupational Health</w:t>
            </w:r>
          </w:p>
        </w:tc>
        <w:tc>
          <w:tcPr>
            <w:tcW w:w="3119" w:type="dxa"/>
          </w:tcPr>
          <w:p>
            <w:pPr>
              <w:pStyle w:val="TableParagraph"/>
              <w:spacing w:line="203" w:lineRule="exact"/>
              <w:ind w:left="101" w:right="102"/>
              <w:rPr>
                <w:sz w:val="18"/>
              </w:rPr>
            </w:pPr>
            <w:r>
              <w:rPr>
                <w:sz w:val="18"/>
              </w:rPr>
              <w:t>Noise</w:t>
            </w:r>
          </w:p>
        </w:tc>
      </w:tr>
      <w:tr>
        <w:trPr>
          <w:trHeight w:val="217" w:hRule="exact"/>
        </w:trPr>
        <w:tc>
          <w:tcPr>
            <w:tcW w:w="1417" w:type="dxa"/>
            <w:vMerge/>
          </w:tcPr>
          <w:p>
            <w:pPr/>
          </w:p>
        </w:tc>
        <w:tc>
          <w:tcPr>
            <w:tcW w:w="3119" w:type="dxa"/>
          </w:tcPr>
          <w:p>
            <w:pPr>
              <w:pStyle w:val="TableParagraph"/>
              <w:spacing w:line="203" w:lineRule="exact"/>
              <w:ind w:left="102" w:right="102"/>
              <w:rPr>
                <w:sz w:val="18"/>
              </w:rPr>
            </w:pPr>
            <w:r>
              <w:rPr>
                <w:sz w:val="18"/>
              </w:rPr>
              <w:t>Vibrations</w:t>
            </w:r>
          </w:p>
        </w:tc>
      </w:tr>
      <w:tr>
        <w:trPr>
          <w:trHeight w:val="217" w:hRule="exact"/>
        </w:trPr>
        <w:tc>
          <w:tcPr>
            <w:tcW w:w="1417" w:type="dxa"/>
            <w:vMerge/>
          </w:tcPr>
          <w:p>
            <w:pPr/>
          </w:p>
        </w:tc>
        <w:tc>
          <w:tcPr>
            <w:tcW w:w="3119" w:type="dxa"/>
          </w:tcPr>
          <w:p>
            <w:pPr>
              <w:pStyle w:val="TableParagraph"/>
              <w:spacing w:line="202" w:lineRule="exact"/>
              <w:ind w:left="102" w:right="102"/>
              <w:rPr>
                <w:sz w:val="18"/>
              </w:rPr>
            </w:pPr>
            <w:r>
              <w:rPr>
                <w:sz w:val="18"/>
              </w:rPr>
              <w:t>Lighting</w:t>
            </w:r>
          </w:p>
        </w:tc>
      </w:tr>
      <w:tr>
        <w:trPr>
          <w:trHeight w:val="217" w:hRule="exact"/>
        </w:trPr>
        <w:tc>
          <w:tcPr>
            <w:tcW w:w="1417" w:type="dxa"/>
            <w:vMerge/>
          </w:tcPr>
          <w:p>
            <w:pPr/>
          </w:p>
        </w:tc>
        <w:tc>
          <w:tcPr>
            <w:tcW w:w="3119" w:type="dxa"/>
          </w:tcPr>
          <w:p>
            <w:pPr>
              <w:pStyle w:val="TableParagraph"/>
              <w:spacing w:line="202" w:lineRule="exact"/>
              <w:ind w:left="102" w:right="102"/>
              <w:rPr>
                <w:sz w:val="18"/>
              </w:rPr>
            </w:pPr>
            <w:r>
              <w:rPr>
                <w:sz w:val="18"/>
              </w:rPr>
              <w:t>ionizing radiation</w:t>
            </w:r>
          </w:p>
        </w:tc>
      </w:tr>
      <w:tr>
        <w:trPr>
          <w:trHeight w:val="216" w:hRule="exact"/>
        </w:trPr>
        <w:tc>
          <w:tcPr>
            <w:tcW w:w="1417" w:type="dxa"/>
            <w:vMerge/>
          </w:tcPr>
          <w:p>
            <w:pPr/>
          </w:p>
        </w:tc>
        <w:tc>
          <w:tcPr>
            <w:tcW w:w="3119" w:type="dxa"/>
          </w:tcPr>
          <w:p>
            <w:pPr>
              <w:pStyle w:val="TableParagraph"/>
              <w:spacing w:line="202" w:lineRule="exact"/>
              <w:ind w:left="102" w:right="102"/>
              <w:rPr>
                <w:sz w:val="18"/>
              </w:rPr>
            </w:pPr>
            <w:r>
              <w:rPr>
                <w:sz w:val="18"/>
              </w:rPr>
              <w:t>Non-ionizing electromagnetic radiation</w:t>
            </w:r>
          </w:p>
        </w:tc>
      </w:tr>
      <w:tr>
        <w:trPr>
          <w:trHeight w:val="217" w:hRule="exact"/>
        </w:trPr>
        <w:tc>
          <w:tcPr>
            <w:tcW w:w="1417" w:type="dxa"/>
            <w:vMerge/>
          </w:tcPr>
          <w:p>
            <w:pPr/>
          </w:p>
        </w:tc>
        <w:tc>
          <w:tcPr>
            <w:tcW w:w="3119" w:type="dxa"/>
          </w:tcPr>
          <w:p>
            <w:pPr>
              <w:pStyle w:val="TableParagraph"/>
              <w:spacing w:line="203" w:lineRule="exact"/>
              <w:ind w:left="102"/>
              <w:rPr>
                <w:sz w:val="18"/>
              </w:rPr>
            </w:pPr>
            <w:r>
              <w:rPr>
                <w:sz w:val="18"/>
              </w:rPr>
              <w:t>Extended thermal conditions or pitching</w:t>
            </w:r>
          </w:p>
        </w:tc>
      </w:tr>
      <w:tr>
        <w:trPr>
          <w:trHeight w:val="217" w:hRule="exact"/>
        </w:trPr>
        <w:tc>
          <w:tcPr>
            <w:tcW w:w="1417" w:type="dxa"/>
            <w:vMerge/>
          </w:tcPr>
          <w:p>
            <w:pPr/>
          </w:p>
        </w:tc>
        <w:tc>
          <w:tcPr>
            <w:tcW w:w="3119" w:type="dxa"/>
          </w:tcPr>
          <w:p>
            <w:pPr>
              <w:pStyle w:val="TableParagraph"/>
              <w:spacing w:line="203" w:lineRule="exact"/>
              <w:ind w:left="102" w:right="102"/>
              <w:rPr>
                <w:sz w:val="18"/>
              </w:rPr>
            </w:pPr>
            <w:r>
              <w:rPr>
                <w:sz w:val="18"/>
              </w:rPr>
              <w:t>Abnormal environmental pressures</w:t>
            </w:r>
          </w:p>
        </w:tc>
      </w:tr>
      <w:tr>
        <w:trPr>
          <w:trHeight w:val="217" w:hRule="exact"/>
        </w:trPr>
        <w:tc>
          <w:tcPr>
            <w:tcW w:w="1417" w:type="dxa"/>
            <w:vMerge/>
          </w:tcPr>
          <w:p>
            <w:pPr/>
          </w:p>
        </w:tc>
        <w:tc>
          <w:tcPr>
            <w:tcW w:w="3119" w:type="dxa"/>
          </w:tcPr>
          <w:p>
            <w:pPr>
              <w:pStyle w:val="TableParagraph"/>
              <w:spacing w:line="202" w:lineRule="exact"/>
              <w:ind w:left="102" w:right="102"/>
              <w:rPr>
                <w:sz w:val="18"/>
              </w:rPr>
            </w:pPr>
            <w:r>
              <w:rPr>
                <w:sz w:val="18"/>
              </w:rPr>
              <w:t>Chemical agents</w:t>
            </w:r>
          </w:p>
        </w:tc>
      </w:tr>
      <w:tr>
        <w:trPr>
          <w:trHeight w:val="217" w:hRule="exact"/>
        </w:trPr>
        <w:tc>
          <w:tcPr>
            <w:tcW w:w="1417" w:type="dxa"/>
            <w:vMerge/>
          </w:tcPr>
          <w:p>
            <w:pPr/>
          </w:p>
        </w:tc>
        <w:tc>
          <w:tcPr>
            <w:tcW w:w="3119" w:type="dxa"/>
          </w:tcPr>
          <w:p>
            <w:pPr>
              <w:pStyle w:val="TableParagraph"/>
              <w:spacing w:line="202" w:lineRule="exact"/>
              <w:ind w:left="102" w:right="102"/>
              <w:rPr>
                <w:sz w:val="18"/>
              </w:rPr>
            </w:pPr>
            <w:r>
              <w:rPr>
                <w:sz w:val="18"/>
              </w:rPr>
              <w:t>Biological agents</w:t>
            </w:r>
          </w:p>
        </w:tc>
      </w:tr>
      <w:tr>
        <w:trPr>
          <w:trHeight w:val="217" w:hRule="exact"/>
        </w:trPr>
        <w:tc>
          <w:tcPr>
            <w:tcW w:w="1417" w:type="dxa"/>
            <w:vMerge/>
          </w:tcPr>
          <w:p>
            <w:pPr/>
          </w:p>
        </w:tc>
        <w:tc>
          <w:tcPr>
            <w:tcW w:w="3119" w:type="dxa"/>
          </w:tcPr>
          <w:p>
            <w:pPr>
              <w:pStyle w:val="TableParagraph"/>
              <w:spacing w:line="202" w:lineRule="exact"/>
              <w:ind w:left="102" w:right="102"/>
              <w:rPr>
                <w:sz w:val="18"/>
              </w:rPr>
            </w:pPr>
            <w:r>
              <w:rPr>
                <w:sz w:val="18"/>
              </w:rPr>
              <w:t>Ergonomic risk factors</w:t>
            </w:r>
          </w:p>
        </w:tc>
      </w:tr>
      <w:tr>
        <w:trPr>
          <w:trHeight w:val="217" w:hRule="exact"/>
        </w:trPr>
        <w:tc>
          <w:tcPr>
            <w:tcW w:w="1417" w:type="dxa"/>
            <w:vMerge/>
          </w:tcPr>
          <w:p>
            <w:pPr/>
          </w:p>
        </w:tc>
        <w:tc>
          <w:tcPr>
            <w:tcW w:w="3119" w:type="dxa"/>
          </w:tcPr>
          <w:p>
            <w:pPr>
              <w:pStyle w:val="TableParagraph"/>
              <w:spacing w:line="202" w:lineRule="exact"/>
              <w:ind w:left="102" w:right="102"/>
              <w:rPr>
                <w:sz w:val="18"/>
              </w:rPr>
            </w:pPr>
            <w:r>
              <w:rPr>
                <w:sz w:val="18"/>
              </w:rPr>
              <w:t>Psychosocial risk factors</w:t>
            </w:r>
          </w:p>
        </w:tc>
      </w:tr>
    </w:tbl>
    <w:p>
      <w:pPr>
        <w:pStyle w:val="BodyText"/>
        <w:rPr>
          <w:b/>
          <w:sz w:val="18"/>
        </w:rPr>
      </w:pPr>
    </w:p>
    <w:p>
      <w:pPr>
        <w:pStyle w:val="BodyText"/>
        <w:spacing w:before="8"/>
        <w:rPr>
          <w:b/>
          <w:sz w:val="17"/>
        </w:rPr>
      </w:pPr>
    </w:p>
    <w:p>
      <w:pPr>
        <w:pStyle w:val="BodyText"/>
        <w:ind w:left="270" w:right="676"/>
        <w:jc w:val="both"/>
      </w:pPr>
      <w:r>
        <w:rPr/>
        <w:t>As show in the above table, into the New Mexican  regulation from the category "Health at Work" are several aspects related to ergonomics. Many sections of the new RFSST regulations have implications in occupational health, thus a direct reference to "ergonomic risk factors" could be find in Articles 20, 32, 42 and</w:t>
      </w:r>
      <w:r>
        <w:rPr>
          <w:spacing w:val="-12"/>
        </w:rPr>
        <w:t> </w:t>
      </w:r>
      <w:r>
        <w:rPr/>
        <w:t>73.</w:t>
      </w:r>
    </w:p>
    <w:p>
      <w:pPr>
        <w:pStyle w:val="BodyText"/>
        <w:ind w:left="270" w:right="677" w:firstLine="397"/>
        <w:jc w:val="both"/>
      </w:pPr>
      <w:r>
        <w:rPr/>
        <w:t>In the new rules, Article 42 is the most directly related to ergonomic risk factors, requesting an analysis of these in the workplace, an usage of preventive measures to mitigate them, medical test to exposed workers, informing workers, people training and keep records of ergonomic risk factors.</w:t>
      </w:r>
    </w:p>
    <w:p>
      <w:pPr>
        <w:pStyle w:val="BodyText"/>
        <w:ind w:left="270" w:right="676" w:firstLine="397"/>
        <w:jc w:val="both"/>
      </w:pPr>
      <w:r>
        <w:rPr/>
        <w:t>For RFSST, musculoskeletal disorders (MSDs) are closely related to ergonomic risk factors as glossary of Article 3 indicates "Ergonomic Risk Factors: Those that can lead to physical effort, repetitive movements or forced postures while working, with consequent fatigue, errors, Accident and occupational diseases, this derived from the design of facilities, machinery, equipment, tools or workplace area" [10].</w:t>
      </w:r>
    </w:p>
    <w:p>
      <w:pPr>
        <w:pStyle w:val="BodyText"/>
        <w:spacing w:before="3"/>
      </w:pPr>
    </w:p>
    <w:p>
      <w:pPr>
        <w:pStyle w:val="Heading4"/>
        <w:numPr>
          <w:ilvl w:val="1"/>
          <w:numId w:val="164"/>
        </w:numPr>
        <w:tabs>
          <w:tab w:pos="571" w:val="left" w:leader="none"/>
        </w:tabs>
        <w:spacing w:line="240" w:lineRule="auto" w:before="0" w:after="0"/>
        <w:ind w:left="570" w:right="0" w:hanging="300"/>
        <w:jc w:val="both"/>
      </w:pPr>
      <w:r>
        <w:rPr/>
        <w:t>A typology of ergonomic risk</w:t>
      </w:r>
      <w:r>
        <w:rPr>
          <w:spacing w:val="-24"/>
        </w:rPr>
        <w:t> </w:t>
      </w:r>
      <w:r>
        <w:rPr/>
        <w:t>factors.</w:t>
      </w:r>
    </w:p>
    <w:p>
      <w:pPr>
        <w:pStyle w:val="BodyText"/>
        <w:spacing w:before="8"/>
        <w:rPr>
          <w:b/>
          <w:sz w:val="19"/>
        </w:rPr>
      </w:pPr>
    </w:p>
    <w:p>
      <w:pPr>
        <w:pStyle w:val="BodyText"/>
        <w:ind w:left="270" w:right="677"/>
        <w:jc w:val="both"/>
      </w:pPr>
      <w:r>
        <w:rPr/>
        <w:t>There are many classifications from ergonomic risk factor that affect occupational health that leads to some ambiguity and confusion for its various types, origins and different level of impact. A posture from an European organization is stated by Gonzalez in the “MatEmESp” project (Spanish matrix from working exposure) [11], ergonomic impact agents  at  work  are  8:  Physical  perceived  effort,      loads</w:t>
      </w:r>
    </w:p>
    <w:p>
      <w:pPr>
        <w:spacing w:after="0"/>
        <w:jc w:val="both"/>
        <w:sectPr>
          <w:type w:val="continuous"/>
          <w:pgSz w:w="12240" w:h="15840"/>
          <w:pgMar w:top="1500" w:bottom="280" w:left="580" w:right="220"/>
          <w:cols w:num="2" w:equalWidth="0">
            <w:col w:w="5190" w:space="435"/>
            <w:col w:w="5815"/>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4"/>
        <w:ind w:left="270"/>
        <w:jc w:val="both"/>
      </w:pPr>
      <w:r>
        <w:rPr/>
        <w:t>handling, repetitive movements, forced postures, standing at work, sedentary work, Vibrations and data display screens. Where shows that musculoskeletal disorders (MSDs) is related with 7 of 8 agents; thus MSDs factors impacts with a high relative incidence frequency ranking 85  to  90% between 1997 and 2003.</w:t>
      </w:r>
    </w:p>
    <w:p>
      <w:pPr>
        <w:pStyle w:val="BodyText"/>
        <w:ind w:left="270" w:right="1" w:firstLine="397"/>
        <w:jc w:val="both"/>
      </w:pPr>
      <w:r>
        <w:rPr/>
        <w:t>Similarly Fernandez a part of the MSDs (forced postures, repetitive movements, load handling, work rhythm, stress, inadequate rest time, static work, dynamic work)  add</w:t>
      </w:r>
    </w:p>
    <w:p>
      <w:pPr>
        <w:pStyle w:val="BodyText"/>
        <w:ind w:left="270"/>
        <w:jc w:val="both"/>
      </w:pPr>
      <w:r>
        <w:rPr/>
        <w:t>2 factors: environment physical conditions (lighting, environmental conditions, noise, odors, order, cleanliness) and organizational and social factors (organizational environment, group factors, group conflicts, social contacts) [5]. Also, Quiroz presents three groups of ergonomic risk factors: physical load (handling of loads, forced postures and movements, repetitive movements), equipment (machines, hand tools, vehicles) and environment (noise, lighting, thermal sensation) [12].</w:t>
      </w:r>
    </w:p>
    <w:p>
      <w:pPr>
        <w:pStyle w:val="BodyText"/>
        <w:ind w:left="270" w:right="1" w:firstLine="397"/>
        <w:jc w:val="both"/>
      </w:pPr>
      <w:r>
        <w:rPr/>
        <w:t>From the above paragraph it is evident that MSDs covers a significant percentage of ergonomic risk factors; a proposed typology of ergonomic risk factors is show in  Table 2, although a detailed analysis is recommended for each</w:t>
      </w:r>
      <w:r>
        <w:rPr>
          <w:spacing w:val="1"/>
        </w:rPr>
        <w:t> </w:t>
      </w:r>
      <w:r>
        <w:rPr/>
        <w:t>case:</w:t>
      </w:r>
    </w:p>
    <w:p>
      <w:pPr>
        <w:pStyle w:val="BodyText"/>
        <w:spacing w:before="9"/>
        <w:rPr>
          <w:sz w:val="19"/>
        </w:rPr>
      </w:pPr>
    </w:p>
    <w:p>
      <w:pPr>
        <w:spacing w:before="0"/>
        <w:ind w:left="839" w:right="0" w:firstLine="0"/>
        <w:jc w:val="left"/>
        <w:rPr>
          <w:sz w:val="18"/>
        </w:rPr>
      </w:pPr>
      <w:r>
        <w:rPr>
          <w:sz w:val="18"/>
        </w:rPr>
        <w:t>Table 2. Proposed typology of ergonomic risk factor</w:t>
      </w:r>
    </w:p>
    <w:p>
      <w:pPr>
        <w:pStyle w:val="BodyText"/>
        <w:spacing w:before="74"/>
        <w:ind w:left="270" w:right="678"/>
        <w:jc w:val="both"/>
      </w:pPr>
      <w:r>
        <w:rPr/>
        <w:br w:type="column"/>
      </w:r>
      <w:r>
        <w:rPr/>
        <w:t>of physical load experienced by a worker, but also the type of contractions (static or dynamic), the intensity and individual characteristics [13].</w:t>
      </w:r>
    </w:p>
    <w:p>
      <w:pPr>
        <w:pStyle w:val="BodyText"/>
        <w:spacing w:before="2"/>
      </w:pPr>
    </w:p>
    <w:p>
      <w:pPr>
        <w:pStyle w:val="Heading4"/>
        <w:numPr>
          <w:ilvl w:val="1"/>
          <w:numId w:val="164"/>
        </w:numPr>
        <w:tabs>
          <w:tab w:pos="571" w:val="left" w:leader="none"/>
        </w:tabs>
        <w:spacing w:line="240" w:lineRule="auto" w:before="0" w:after="0"/>
        <w:ind w:left="570" w:right="0" w:hanging="300"/>
        <w:jc w:val="both"/>
      </w:pPr>
      <w:r>
        <w:rPr/>
        <w:t>Critical aspects in an ergonomic</w:t>
      </w:r>
      <w:r>
        <w:rPr>
          <w:spacing w:val="-12"/>
        </w:rPr>
        <w:t> </w:t>
      </w:r>
      <w:r>
        <w:rPr/>
        <w:t>assessment</w:t>
      </w:r>
    </w:p>
    <w:p>
      <w:pPr>
        <w:pStyle w:val="BodyText"/>
        <w:spacing w:before="9"/>
        <w:rPr>
          <w:b/>
          <w:sz w:val="19"/>
        </w:rPr>
      </w:pPr>
    </w:p>
    <w:p>
      <w:pPr>
        <w:pStyle w:val="BodyText"/>
        <w:spacing w:before="1"/>
        <w:ind w:left="270" w:right="677"/>
        <w:jc w:val="both"/>
      </w:pPr>
      <w:r>
        <w:rPr/>
        <w:t>Diagnosis is essential to review and maintain occupational health and safety; who indicate hazards or unsafe physical conditions, seek to modify the conditions of the workplace and generate preventive activities related with safety and health. The valuation of variables that impact on worker welfare should qualify job area and working method as the basis for making changes in various the  workplace. However there are countless techniques for ergonomic evaluation, as a sample just 2 researchers [14] [15], can list 28 different ergonomic evaluation methodologies, which are illustrated in Table 3:</w:t>
      </w:r>
    </w:p>
    <w:p>
      <w:pPr>
        <w:pStyle w:val="BodyText"/>
        <w:spacing w:before="9"/>
        <w:rPr>
          <w:sz w:val="19"/>
        </w:rPr>
      </w:pPr>
    </w:p>
    <w:p>
      <w:pPr>
        <w:spacing w:before="0"/>
        <w:ind w:left="626" w:right="702" w:firstLine="0"/>
        <w:jc w:val="left"/>
        <w:rPr>
          <w:sz w:val="18"/>
        </w:rPr>
      </w:pPr>
      <w:r>
        <w:rPr>
          <w:sz w:val="18"/>
        </w:rPr>
        <w:t>Table 3. Some methodologies from ergonomic evaluation</w:t>
      </w:r>
    </w:p>
    <w:p>
      <w:pPr>
        <w:spacing w:after="0"/>
        <w:jc w:val="left"/>
        <w:rPr>
          <w:sz w:val="18"/>
        </w:rPr>
        <w:sectPr>
          <w:type w:val="continuous"/>
          <w:pgSz w:w="12240" w:h="15840"/>
          <w:pgMar w:top="1500" w:bottom="280" w:left="580" w:right="220"/>
          <w:cols w:num="2" w:equalWidth="0">
            <w:col w:w="5189" w:space="435"/>
            <w:col w:w="5816"/>
          </w:cols>
        </w:sectPr>
      </w:pPr>
    </w:p>
    <w:p>
      <w:pPr>
        <w:pStyle w:val="BodyText"/>
        <w:spacing w:before="4" w:after="1"/>
        <w:rPr>
          <w:sz w:val="18"/>
        </w:rPr>
      </w:pPr>
    </w:p>
    <w:tbl>
      <w:tblPr>
        <w:tblW w:w="0" w:type="auto"/>
        <w:jc w:val="left"/>
        <w:tblInd w:w="5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30"/>
        <w:gridCol w:w="2438"/>
      </w:tblGrid>
      <w:tr>
        <w:trPr>
          <w:trHeight w:val="217" w:hRule="exact"/>
        </w:trPr>
        <w:tc>
          <w:tcPr>
            <w:tcW w:w="1530" w:type="dxa"/>
          </w:tcPr>
          <w:p>
            <w:pPr>
              <w:pStyle w:val="TableParagraph"/>
              <w:ind w:left="142"/>
              <w:rPr>
                <w:b/>
                <w:sz w:val="18"/>
              </w:rPr>
            </w:pPr>
            <w:r>
              <w:rPr>
                <w:b/>
                <w:sz w:val="18"/>
              </w:rPr>
              <w:t>Ergonomic area</w:t>
            </w:r>
          </w:p>
        </w:tc>
        <w:tc>
          <w:tcPr>
            <w:tcW w:w="2438" w:type="dxa"/>
          </w:tcPr>
          <w:p>
            <w:pPr>
              <w:pStyle w:val="TableParagraph"/>
              <w:ind w:left="363"/>
              <w:rPr>
                <w:b/>
                <w:sz w:val="18"/>
              </w:rPr>
            </w:pPr>
            <w:r>
              <w:rPr>
                <w:b/>
                <w:sz w:val="18"/>
              </w:rPr>
              <w:t>Ergonomic risk factor</w:t>
            </w:r>
          </w:p>
        </w:tc>
      </w:tr>
      <w:tr>
        <w:trPr>
          <w:trHeight w:val="217" w:hRule="exact"/>
        </w:trPr>
        <w:tc>
          <w:tcPr>
            <w:tcW w:w="1530" w:type="dxa"/>
            <w:vMerge w:val="restart"/>
          </w:tcPr>
          <w:p>
            <w:pPr>
              <w:pStyle w:val="TableParagraph"/>
              <w:spacing w:line="202" w:lineRule="exact"/>
              <w:ind w:left="103"/>
              <w:rPr>
                <w:sz w:val="18"/>
              </w:rPr>
            </w:pPr>
            <w:r>
              <w:rPr>
                <w:sz w:val="18"/>
              </w:rPr>
              <w:t>MSDs</w:t>
            </w:r>
          </w:p>
          <w:p>
            <w:pPr>
              <w:pStyle w:val="TableParagraph"/>
              <w:ind w:left="103" w:right="142"/>
              <w:rPr>
                <w:sz w:val="18"/>
              </w:rPr>
            </w:pPr>
            <w:r>
              <w:rPr>
                <w:sz w:val="18"/>
              </w:rPr>
              <w:t>(musculoskeletal disorders) factors</w:t>
            </w:r>
          </w:p>
        </w:tc>
        <w:tc>
          <w:tcPr>
            <w:tcW w:w="2438" w:type="dxa"/>
          </w:tcPr>
          <w:p>
            <w:pPr>
              <w:pStyle w:val="TableParagraph"/>
              <w:spacing w:line="202" w:lineRule="exact"/>
              <w:ind w:left="103"/>
              <w:rPr>
                <w:sz w:val="18"/>
              </w:rPr>
            </w:pPr>
            <w:r>
              <w:rPr>
                <w:sz w:val="18"/>
              </w:rPr>
              <w:t>Physical perceived effort</w:t>
            </w:r>
          </w:p>
        </w:tc>
      </w:tr>
      <w:tr>
        <w:trPr>
          <w:trHeight w:val="217" w:hRule="exact"/>
        </w:trPr>
        <w:tc>
          <w:tcPr>
            <w:tcW w:w="1530" w:type="dxa"/>
            <w:vMerge/>
          </w:tcPr>
          <w:p>
            <w:pPr/>
          </w:p>
        </w:tc>
        <w:tc>
          <w:tcPr>
            <w:tcW w:w="2438" w:type="dxa"/>
          </w:tcPr>
          <w:p>
            <w:pPr>
              <w:pStyle w:val="TableParagraph"/>
              <w:spacing w:line="202" w:lineRule="exact"/>
              <w:ind w:left="103"/>
              <w:rPr>
                <w:sz w:val="18"/>
              </w:rPr>
            </w:pPr>
            <w:r>
              <w:rPr>
                <w:sz w:val="18"/>
              </w:rPr>
              <w:t>Loads handling</w:t>
            </w:r>
          </w:p>
        </w:tc>
      </w:tr>
      <w:tr>
        <w:trPr>
          <w:trHeight w:val="217" w:hRule="exact"/>
        </w:trPr>
        <w:tc>
          <w:tcPr>
            <w:tcW w:w="1530" w:type="dxa"/>
            <w:vMerge/>
          </w:tcPr>
          <w:p>
            <w:pPr/>
          </w:p>
        </w:tc>
        <w:tc>
          <w:tcPr>
            <w:tcW w:w="2438" w:type="dxa"/>
          </w:tcPr>
          <w:p>
            <w:pPr>
              <w:pStyle w:val="TableParagraph"/>
              <w:spacing w:line="202" w:lineRule="exact"/>
              <w:ind w:left="103"/>
              <w:rPr>
                <w:sz w:val="18"/>
              </w:rPr>
            </w:pPr>
            <w:r>
              <w:rPr>
                <w:sz w:val="18"/>
              </w:rPr>
              <w:t>Repetitive movements</w:t>
            </w:r>
          </w:p>
        </w:tc>
      </w:tr>
      <w:tr>
        <w:trPr>
          <w:trHeight w:val="216" w:hRule="exact"/>
        </w:trPr>
        <w:tc>
          <w:tcPr>
            <w:tcW w:w="1530" w:type="dxa"/>
            <w:vMerge/>
          </w:tcPr>
          <w:p>
            <w:pPr/>
          </w:p>
        </w:tc>
        <w:tc>
          <w:tcPr>
            <w:tcW w:w="2438" w:type="dxa"/>
          </w:tcPr>
          <w:p>
            <w:pPr>
              <w:pStyle w:val="TableParagraph"/>
              <w:spacing w:line="202" w:lineRule="exact"/>
              <w:ind w:left="103"/>
              <w:rPr>
                <w:sz w:val="18"/>
              </w:rPr>
            </w:pPr>
            <w:r>
              <w:rPr>
                <w:sz w:val="18"/>
              </w:rPr>
              <w:t>Forced postures</w:t>
            </w:r>
          </w:p>
        </w:tc>
      </w:tr>
      <w:tr>
        <w:trPr>
          <w:trHeight w:val="217" w:hRule="exact"/>
        </w:trPr>
        <w:tc>
          <w:tcPr>
            <w:tcW w:w="1530" w:type="dxa"/>
            <w:vMerge/>
          </w:tcPr>
          <w:p>
            <w:pPr/>
          </w:p>
        </w:tc>
        <w:tc>
          <w:tcPr>
            <w:tcW w:w="2438" w:type="dxa"/>
          </w:tcPr>
          <w:p>
            <w:pPr>
              <w:pStyle w:val="TableParagraph"/>
              <w:spacing w:line="203" w:lineRule="exact"/>
              <w:ind w:left="103"/>
              <w:rPr>
                <w:sz w:val="18"/>
              </w:rPr>
            </w:pPr>
            <w:r>
              <w:rPr>
                <w:sz w:val="18"/>
              </w:rPr>
              <w:t>Standing at work</w:t>
            </w:r>
          </w:p>
        </w:tc>
      </w:tr>
      <w:tr>
        <w:trPr>
          <w:trHeight w:val="217" w:hRule="exact"/>
        </w:trPr>
        <w:tc>
          <w:tcPr>
            <w:tcW w:w="1530" w:type="dxa"/>
            <w:vMerge/>
          </w:tcPr>
          <w:p>
            <w:pPr/>
          </w:p>
        </w:tc>
        <w:tc>
          <w:tcPr>
            <w:tcW w:w="2438" w:type="dxa"/>
          </w:tcPr>
          <w:p>
            <w:pPr>
              <w:pStyle w:val="TableParagraph"/>
              <w:spacing w:line="202" w:lineRule="exact"/>
              <w:ind w:left="103"/>
              <w:rPr>
                <w:sz w:val="18"/>
              </w:rPr>
            </w:pPr>
            <w:r>
              <w:rPr>
                <w:sz w:val="18"/>
              </w:rPr>
              <w:t>Sedentary work</w:t>
            </w:r>
          </w:p>
        </w:tc>
      </w:tr>
      <w:tr>
        <w:trPr>
          <w:trHeight w:val="217" w:hRule="exact"/>
        </w:trPr>
        <w:tc>
          <w:tcPr>
            <w:tcW w:w="1530" w:type="dxa"/>
            <w:vMerge/>
          </w:tcPr>
          <w:p>
            <w:pPr/>
          </w:p>
        </w:tc>
        <w:tc>
          <w:tcPr>
            <w:tcW w:w="2438" w:type="dxa"/>
          </w:tcPr>
          <w:p>
            <w:pPr>
              <w:pStyle w:val="TableParagraph"/>
              <w:spacing w:line="202" w:lineRule="exact"/>
              <w:ind w:left="103"/>
              <w:rPr>
                <w:sz w:val="18"/>
              </w:rPr>
            </w:pPr>
            <w:r>
              <w:rPr>
                <w:sz w:val="18"/>
              </w:rPr>
              <w:t>Vibrations</w:t>
            </w:r>
          </w:p>
        </w:tc>
      </w:tr>
      <w:tr>
        <w:trPr>
          <w:trHeight w:val="631" w:hRule="exact"/>
        </w:trPr>
        <w:tc>
          <w:tcPr>
            <w:tcW w:w="1530" w:type="dxa"/>
            <w:vMerge/>
          </w:tcPr>
          <w:p>
            <w:pPr/>
          </w:p>
        </w:tc>
        <w:tc>
          <w:tcPr>
            <w:tcW w:w="2438" w:type="dxa"/>
          </w:tcPr>
          <w:p>
            <w:pPr>
              <w:pStyle w:val="TableParagraph"/>
              <w:ind w:left="103" w:right="341"/>
              <w:rPr>
                <w:sz w:val="18"/>
              </w:rPr>
            </w:pPr>
            <w:r>
              <w:rPr>
                <w:sz w:val="18"/>
              </w:rPr>
              <w:t>Administrative (production breaks, rotating activities, adjusting activities cycle)</w:t>
            </w:r>
          </w:p>
        </w:tc>
      </w:tr>
      <w:tr>
        <w:trPr>
          <w:trHeight w:val="216" w:hRule="exact"/>
        </w:trPr>
        <w:tc>
          <w:tcPr>
            <w:tcW w:w="1530" w:type="dxa"/>
            <w:vMerge w:val="restart"/>
          </w:tcPr>
          <w:p>
            <w:pPr>
              <w:pStyle w:val="TableParagraph"/>
              <w:ind w:left="103" w:right="457"/>
              <w:rPr>
                <w:sz w:val="18"/>
              </w:rPr>
            </w:pPr>
            <w:r>
              <w:rPr>
                <w:sz w:val="18"/>
              </w:rPr>
              <w:t>Environment physical conditions</w:t>
            </w:r>
          </w:p>
        </w:tc>
        <w:tc>
          <w:tcPr>
            <w:tcW w:w="2438" w:type="dxa"/>
          </w:tcPr>
          <w:p>
            <w:pPr>
              <w:pStyle w:val="TableParagraph"/>
              <w:spacing w:line="202" w:lineRule="exact"/>
              <w:ind w:left="103"/>
              <w:rPr>
                <w:sz w:val="18"/>
              </w:rPr>
            </w:pPr>
            <w:r>
              <w:rPr>
                <w:sz w:val="18"/>
              </w:rPr>
              <w:t>Lighting</w:t>
            </w:r>
          </w:p>
        </w:tc>
      </w:tr>
      <w:tr>
        <w:trPr>
          <w:trHeight w:val="217" w:hRule="exact"/>
        </w:trPr>
        <w:tc>
          <w:tcPr>
            <w:tcW w:w="1530" w:type="dxa"/>
            <w:vMerge/>
          </w:tcPr>
          <w:p>
            <w:pPr/>
          </w:p>
        </w:tc>
        <w:tc>
          <w:tcPr>
            <w:tcW w:w="2438" w:type="dxa"/>
          </w:tcPr>
          <w:p>
            <w:pPr>
              <w:pStyle w:val="TableParagraph"/>
              <w:spacing w:line="203" w:lineRule="exact"/>
              <w:ind w:left="103"/>
              <w:rPr>
                <w:sz w:val="18"/>
              </w:rPr>
            </w:pPr>
            <w:r>
              <w:rPr>
                <w:sz w:val="18"/>
              </w:rPr>
              <w:t>Environmental conditions</w:t>
            </w:r>
          </w:p>
        </w:tc>
      </w:tr>
      <w:tr>
        <w:trPr>
          <w:trHeight w:val="217" w:hRule="exact"/>
        </w:trPr>
        <w:tc>
          <w:tcPr>
            <w:tcW w:w="1530" w:type="dxa"/>
            <w:vMerge/>
          </w:tcPr>
          <w:p>
            <w:pPr/>
          </w:p>
        </w:tc>
        <w:tc>
          <w:tcPr>
            <w:tcW w:w="2438" w:type="dxa"/>
          </w:tcPr>
          <w:p>
            <w:pPr>
              <w:pStyle w:val="TableParagraph"/>
              <w:spacing w:line="203" w:lineRule="exact"/>
              <w:ind w:left="103"/>
              <w:rPr>
                <w:sz w:val="18"/>
              </w:rPr>
            </w:pPr>
            <w:r>
              <w:rPr>
                <w:sz w:val="18"/>
              </w:rPr>
              <w:t>Noise</w:t>
            </w:r>
          </w:p>
        </w:tc>
      </w:tr>
      <w:tr>
        <w:trPr>
          <w:trHeight w:val="217" w:hRule="exact"/>
        </w:trPr>
        <w:tc>
          <w:tcPr>
            <w:tcW w:w="1530" w:type="dxa"/>
            <w:vMerge/>
          </w:tcPr>
          <w:p>
            <w:pPr/>
          </w:p>
        </w:tc>
        <w:tc>
          <w:tcPr>
            <w:tcW w:w="2438" w:type="dxa"/>
          </w:tcPr>
          <w:p>
            <w:pPr>
              <w:pStyle w:val="TableParagraph"/>
              <w:spacing w:line="202" w:lineRule="exact"/>
              <w:ind w:left="103"/>
              <w:rPr>
                <w:sz w:val="18"/>
              </w:rPr>
            </w:pPr>
            <w:r>
              <w:rPr>
                <w:sz w:val="18"/>
              </w:rPr>
              <w:t>Odors</w:t>
            </w:r>
          </w:p>
        </w:tc>
      </w:tr>
      <w:tr>
        <w:trPr>
          <w:trHeight w:val="217" w:hRule="exact"/>
        </w:trPr>
        <w:tc>
          <w:tcPr>
            <w:tcW w:w="1530" w:type="dxa"/>
            <w:vMerge/>
          </w:tcPr>
          <w:p>
            <w:pPr/>
          </w:p>
        </w:tc>
        <w:tc>
          <w:tcPr>
            <w:tcW w:w="2438" w:type="dxa"/>
          </w:tcPr>
          <w:p>
            <w:pPr>
              <w:pStyle w:val="TableParagraph"/>
              <w:spacing w:line="202" w:lineRule="exact"/>
              <w:ind w:left="103"/>
              <w:rPr>
                <w:sz w:val="18"/>
              </w:rPr>
            </w:pPr>
            <w:r>
              <w:rPr>
                <w:sz w:val="18"/>
              </w:rPr>
              <w:t>Order</w:t>
            </w:r>
          </w:p>
        </w:tc>
      </w:tr>
      <w:tr>
        <w:trPr>
          <w:trHeight w:val="216" w:hRule="exact"/>
        </w:trPr>
        <w:tc>
          <w:tcPr>
            <w:tcW w:w="1530" w:type="dxa"/>
            <w:vMerge/>
          </w:tcPr>
          <w:p>
            <w:pPr/>
          </w:p>
        </w:tc>
        <w:tc>
          <w:tcPr>
            <w:tcW w:w="2438" w:type="dxa"/>
          </w:tcPr>
          <w:p>
            <w:pPr>
              <w:pStyle w:val="TableParagraph"/>
              <w:spacing w:line="202" w:lineRule="exact"/>
              <w:ind w:left="103"/>
              <w:rPr>
                <w:sz w:val="18"/>
              </w:rPr>
            </w:pPr>
            <w:r>
              <w:rPr>
                <w:sz w:val="18"/>
              </w:rPr>
              <w:t>Cleanliness</w:t>
            </w:r>
          </w:p>
        </w:tc>
      </w:tr>
      <w:tr>
        <w:trPr>
          <w:trHeight w:val="217" w:hRule="exact"/>
        </w:trPr>
        <w:tc>
          <w:tcPr>
            <w:tcW w:w="1530" w:type="dxa"/>
            <w:vMerge w:val="restart"/>
          </w:tcPr>
          <w:p>
            <w:pPr>
              <w:pStyle w:val="TableParagraph"/>
              <w:ind w:left="103" w:right="137"/>
              <w:rPr>
                <w:sz w:val="18"/>
              </w:rPr>
            </w:pPr>
            <w:r>
              <w:rPr>
                <w:sz w:val="18"/>
              </w:rPr>
              <w:t>organizational and social factors</w:t>
            </w:r>
          </w:p>
        </w:tc>
        <w:tc>
          <w:tcPr>
            <w:tcW w:w="2438" w:type="dxa"/>
          </w:tcPr>
          <w:p>
            <w:pPr>
              <w:pStyle w:val="TableParagraph"/>
              <w:spacing w:line="203" w:lineRule="exact"/>
              <w:ind w:left="103"/>
              <w:rPr>
                <w:sz w:val="18"/>
              </w:rPr>
            </w:pPr>
            <w:r>
              <w:rPr>
                <w:sz w:val="18"/>
              </w:rPr>
              <w:t>Organizational environment</w:t>
            </w:r>
          </w:p>
        </w:tc>
      </w:tr>
      <w:tr>
        <w:trPr>
          <w:trHeight w:val="217" w:hRule="exact"/>
        </w:trPr>
        <w:tc>
          <w:tcPr>
            <w:tcW w:w="1530" w:type="dxa"/>
            <w:vMerge/>
          </w:tcPr>
          <w:p>
            <w:pPr/>
          </w:p>
        </w:tc>
        <w:tc>
          <w:tcPr>
            <w:tcW w:w="2438" w:type="dxa"/>
          </w:tcPr>
          <w:p>
            <w:pPr>
              <w:pStyle w:val="TableParagraph"/>
              <w:spacing w:line="203" w:lineRule="exact"/>
              <w:ind w:left="103"/>
              <w:rPr>
                <w:sz w:val="18"/>
              </w:rPr>
            </w:pPr>
            <w:r>
              <w:rPr>
                <w:sz w:val="18"/>
              </w:rPr>
              <w:t>Group factors</w:t>
            </w:r>
          </w:p>
        </w:tc>
      </w:tr>
      <w:tr>
        <w:trPr>
          <w:trHeight w:val="217" w:hRule="exact"/>
        </w:trPr>
        <w:tc>
          <w:tcPr>
            <w:tcW w:w="1530" w:type="dxa"/>
            <w:vMerge/>
          </w:tcPr>
          <w:p>
            <w:pPr/>
          </w:p>
        </w:tc>
        <w:tc>
          <w:tcPr>
            <w:tcW w:w="2438" w:type="dxa"/>
          </w:tcPr>
          <w:p>
            <w:pPr>
              <w:pStyle w:val="TableParagraph"/>
              <w:spacing w:line="202" w:lineRule="exact"/>
              <w:ind w:left="103"/>
              <w:rPr>
                <w:sz w:val="18"/>
              </w:rPr>
            </w:pPr>
            <w:r>
              <w:rPr>
                <w:sz w:val="18"/>
              </w:rPr>
              <w:t>Group conflicts</w:t>
            </w:r>
          </w:p>
        </w:tc>
      </w:tr>
      <w:tr>
        <w:trPr>
          <w:trHeight w:val="217" w:hRule="exact"/>
        </w:trPr>
        <w:tc>
          <w:tcPr>
            <w:tcW w:w="1530" w:type="dxa"/>
            <w:vMerge/>
          </w:tcPr>
          <w:p>
            <w:pPr/>
          </w:p>
        </w:tc>
        <w:tc>
          <w:tcPr>
            <w:tcW w:w="2438" w:type="dxa"/>
          </w:tcPr>
          <w:p>
            <w:pPr>
              <w:pStyle w:val="TableParagraph"/>
              <w:spacing w:line="202" w:lineRule="exact"/>
              <w:ind w:left="103"/>
              <w:rPr>
                <w:sz w:val="18"/>
              </w:rPr>
            </w:pPr>
            <w:r>
              <w:rPr>
                <w:sz w:val="18"/>
              </w:rPr>
              <w:t>Social contacts</w:t>
            </w:r>
          </w:p>
        </w:tc>
      </w:tr>
    </w:tbl>
    <w:p>
      <w:pPr>
        <w:pStyle w:val="BodyText"/>
        <w:spacing w:before="2"/>
        <w:rPr>
          <w:sz w:val="29"/>
        </w:rPr>
      </w:pPr>
    </w:p>
    <w:p>
      <w:pPr>
        <w:pStyle w:val="BodyText"/>
        <w:spacing w:before="75"/>
        <w:ind w:left="270" w:right="6249"/>
        <w:jc w:val="both"/>
      </w:pPr>
      <w:r>
        <w:rPr/>
        <w:pict>
          <v:shape style="position:absolute;margin-left:330.480011pt;margin-top:-313.134064pt;width:227.9pt;height:405.4pt;mso-position-horizontal-relative:page;mso-position-vertical-relative:paragraph;z-index:18640" type="#_x0000_t202" filled="false" stroked="false">
            <v:textbox inset="0,0,0,0">
              <w:txbxContent>
                <w:tbl>
                  <w:tblPr>
                    <w:tblW w:w="0" w:type="auto"/>
                    <w:jc w:val="lef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560"/>
                    <w:gridCol w:w="2976"/>
                  </w:tblGrid>
                  <w:tr>
                    <w:trPr>
                      <w:trHeight w:val="222" w:hRule="exact"/>
                    </w:trPr>
                    <w:tc>
                      <w:tcPr>
                        <w:tcW w:w="1560" w:type="dxa"/>
                      </w:tcPr>
                      <w:p>
                        <w:pPr>
                          <w:pStyle w:val="TableParagraph"/>
                          <w:ind w:left="100"/>
                          <w:rPr>
                            <w:b/>
                            <w:sz w:val="18"/>
                          </w:rPr>
                        </w:pPr>
                        <w:r>
                          <w:rPr>
                            <w:b/>
                            <w:sz w:val="18"/>
                          </w:rPr>
                          <w:t>Methodology</w:t>
                        </w:r>
                      </w:p>
                    </w:tc>
                    <w:tc>
                      <w:tcPr>
                        <w:tcW w:w="2976" w:type="dxa"/>
                      </w:tcPr>
                      <w:p>
                        <w:pPr>
                          <w:pStyle w:val="TableParagraph"/>
                          <w:ind w:left="100" w:right="463"/>
                          <w:rPr>
                            <w:b/>
                            <w:sz w:val="18"/>
                          </w:rPr>
                        </w:pPr>
                        <w:r>
                          <w:rPr>
                            <w:b/>
                            <w:sz w:val="18"/>
                          </w:rPr>
                          <w:t>Caracteristics</w:t>
                        </w:r>
                      </w:p>
                    </w:tc>
                  </w:tr>
                  <w:tr>
                    <w:trPr>
                      <w:trHeight w:val="222" w:hRule="exact"/>
                    </w:trPr>
                    <w:tc>
                      <w:tcPr>
                        <w:tcW w:w="1560" w:type="dxa"/>
                      </w:tcPr>
                      <w:p>
                        <w:pPr>
                          <w:pStyle w:val="TableParagraph"/>
                          <w:spacing w:line="203" w:lineRule="exact"/>
                          <w:ind w:left="100"/>
                          <w:rPr>
                            <w:sz w:val="18"/>
                          </w:rPr>
                        </w:pPr>
                        <w:r>
                          <w:rPr>
                            <w:sz w:val="18"/>
                          </w:rPr>
                          <w:t>ANACT</w:t>
                        </w:r>
                      </w:p>
                    </w:tc>
                    <w:tc>
                      <w:tcPr>
                        <w:tcW w:w="2976" w:type="dxa"/>
                      </w:tcPr>
                      <w:p>
                        <w:pPr>
                          <w:pStyle w:val="TableParagraph"/>
                          <w:spacing w:line="203" w:lineRule="exact"/>
                          <w:ind w:left="100" w:right="463"/>
                          <w:rPr>
                            <w:sz w:val="18"/>
                          </w:rPr>
                        </w:pPr>
                        <w:r>
                          <w:rPr>
                            <w:sz w:val="18"/>
                          </w:rPr>
                          <w:t>Working conditions</w:t>
                        </w:r>
                      </w:p>
                    </w:tc>
                  </w:tr>
                  <w:tr>
                    <w:trPr>
                      <w:trHeight w:val="222" w:hRule="exact"/>
                    </w:trPr>
                    <w:tc>
                      <w:tcPr>
                        <w:tcW w:w="1560" w:type="dxa"/>
                      </w:tcPr>
                      <w:p>
                        <w:pPr>
                          <w:pStyle w:val="TableParagraph"/>
                          <w:spacing w:line="203" w:lineRule="exact"/>
                          <w:ind w:left="100"/>
                          <w:rPr>
                            <w:sz w:val="18"/>
                          </w:rPr>
                        </w:pPr>
                        <w:r>
                          <w:rPr>
                            <w:sz w:val="18"/>
                          </w:rPr>
                          <w:t>anthropometry</w:t>
                        </w:r>
                      </w:p>
                    </w:tc>
                    <w:tc>
                      <w:tcPr>
                        <w:tcW w:w="2976" w:type="dxa"/>
                      </w:tcPr>
                      <w:p>
                        <w:pPr>
                          <w:pStyle w:val="TableParagraph"/>
                          <w:spacing w:line="203" w:lineRule="exact"/>
                          <w:ind w:left="99" w:right="463"/>
                          <w:rPr>
                            <w:sz w:val="18"/>
                          </w:rPr>
                        </w:pPr>
                        <w:r>
                          <w:rPr>
                            <w:sz w:val="18"/>
                          </w:rPr>
                          <w:t>Anthropometric measurements</w:t>
                        </w:r>
                      </w:p>
                    </w:tc>
                  </w:tr>
                  <w:tr>
                    <w:trPr>
                      <w:trHeight w:val="222" w:hRule="exact"/>
                    </w:trPr>
                    <w:tc>
                      <w:tcPr>
                        <w:tcW w:w="1560" w:type="dxa"/>
                      </w:tcPr>
                      <w:p>
                        <w:pPr>
                          <w:pStyle w:val="TableParagraph"/>
                          <w:spacing w:line="203" w:lineRule="exact"/>
                          <w:ind w:left="100"/>
                          <w:rPr>
                            <w:sz w:val="18"/>
                          </w:rPr>
                        </w:pPr>
                        <w:r>
                          <w:rPr>
                            <w:sz w:val="18"/>
                          </w:rPr>
                          <w:t>ARBAN</w:t>
                        </w:r>
                      </w:p>
                    </w:tc>
                    <w:tc>
                      <w:tcPr>
                        <w:tcW w:w="2976" w:type="dxa"/>
                      </w:tcPr>
                      <w:p>
                        <w:pPr>
                          <w:pStyle w:val="TableParagraph"/>
                          <w:spacing w:line="203" w:lineRule="exact"/>
                          <w:ind w:left="100" w:right="463"/>
                          <w:rPr>
                            <w:sz w:val="18"/>
                          </w:rPr>
                        </w:pPr>
                        <w:r>
                          <w:rPr>
                            <w:sz w:val="18"/>
                          </w:rPr>
                          <w:t>Ergonomic analysis of jobs</w:t>
                        </w:r>
                      </w:p>
                    </w:tc>
                  </w:tr>
                  <w:tr>
                    <w:trPr>
                      <w:trHeight w:val="430" w:hRule="exact"/>
                    </w:trPr>
                    <w:tc>
                      <w:tcPr>
                        <w:tcW w:w="1560" w:type="dxa"/>
                      </w:tcPr>
                      <w:p>
                        <w:pPr>
                          <w:pStyle w:val="TableParagraph"/>
                          <w:ind w:left="100" w:right="450"/>
                          <w:rPr>
                            <w:sz w:val="18"/>
                          </w:rPr>
                        </w:pPr>
                        <w:r>
                          <w:rPr>
                            <w:sz w:val="18"/>
                          </w:rPr>
                          <w:t>Max working capacity</w:t>
                        </w:r>
                      </w:p>
                    </w:tc>
                    <w:tc>
                      <w:tcPr>
                        <w:tcW w:w="2976" w:type="dxa"/>
                      </w:tcPr>
                      <w:p>
                        <w:pPr>
                          <w:pStyle w:val="TableParagraph"/>
                          <w:ind w:left="99" w:right="463"/>
                          <w:rPr>
                            <w:sz w:val="18"/>
                          </w:rPr>
                        </w:pPr>
                        <w:r>
                          <w:rPr>
                            <w:sz w:val="18"/>
                          </w:rPr>
                          <w:t>Relationship between heart rate - labor intensity</w:t>
                        </w:r>
                      </w:p>
                    </w:tc>
                  </w:tr>
                  <w:tr>
                    <w:trPr>
                      <w:trHeight w:val="222" w:hRule="exact"/>
                    </w:trPr>
                    <w:tc>
                      <w:tcPr>
                        <w:tcW w:w="1560" w:type="dxa"/>
                      </w:tcPr>
                      <w:p>
                        <w:pPr>
                          <w:pStyle w:val="TableParagraph"/>
                          <w:spacing w:line="202" w:lineRule="exact"/>
                          <w:ind w:left="100"/>
                          <w:rPr>
                            <w:sz w:val="18"/>
                          </w:rPr>
                        </w:pPr>
                        <w:r>
                          <w:rPr>
                            <w:sz w:val="18"/>
                          </w:rPr>
                          <w:t>Ergotabla</w:t>
                        </w:r>
                      </w:p>
                    </w:tc>
                    <w:tc>
                      <w:tcPr>
                        <w:tcW w:w="2976" w:type="dxa"/>
                      </w:tcPr>
                      <w:p>
                        <w:pPr>
                          <w:pStyle w:val="TableParagraph"/>
                          <w:spacing w:line="202" w:lineRule="exact"/>
                          <w:ind w:left="97" w:right="463"/>
                          <w:rPr>
                            <w:sz w:val="18"/>
                          </w:rPr>
                        </w:pPr>
                        <w:r>
                          <w:rPr>
                            <w:sz w:val="18"/>
                          </w:rPr>
                          <w:t>Working conditions</w:t>
                        </w:r>
                      </w:p>
                    </w:tc>
                  </w:tr>
                  <w:tr>
                    <w:trPr>
                      <w:trHeight w:val="222" w:hRule="exact"/>
                    </w:trPr>
                    <w:tc>
                      <w:tcPr>
                        <w:tcW w:w="1560" w:type="dxa"/>
                      </w:tcPr>
                      <w:p>
                        <w:pPr>
                          <w:pStyle w:val="TableParagraph"/>
                          <w:spacing w:line="202" w:lineRule="exact"/>
                          <w:ind w:left="100"/>
                          <w:rPr>
                            <w:sz w:val="18"/>
                          </w:rPr>
                        </w:pPr>
                        <w:r>
                          <w:rPr>
                            <w:sz w:val="18"/>
                          </w:rPr>
                          <w:t>Fanger</w:t>
                        </w:r>
                      </w:p>
                    </w:tc>
                    <w:tc>
                      <w:tcPr>
                        <w:tcW w:w="2976" w:type="dxa"/>
                      </w:tcPr>
                      <w:p>
                        <w:pPr>
                          <w:pStyle w:val="TableParagraph"/>
                          <w:spacing w:line="202" w:lineRule="exact"/>
                          <w:ind w:left="98" w:right="463"/>
                          <w:rPr>
                            <w:sz w:val="18"/>
                          </w:rPr>
                        </w:pPr>
                        <w:r>
                          <w:rPr>
                            <w:sz w:val="18"/>
                          </w:rPr>
                          <w:t>Thermal comfort</w:t>
                        </w:r>
                      </w:p>
                    </w:tc>
                  </w:tr>
                  <w:tr>
                    <w:trPr>
                      <w:trHeight w:val="222" w:hRule="exact"/>
                    </w:trPr>
                    <w:tc>
                      <w:tcPr>
                        <w:tcW w:w="1560" w:type="dxa"/>
                      </w:tcPr>
                      <w:p>
                        <w:pPr>
                          <w:pStyle w:val="TableParagraph"/>
                          <w:spacing w:line="202" w:lineRule="exact"/>
                          <w:ind w:left="100"/>
                          <w:rPr>
                            <w:sz w:val="18"/>
                          </w:rPr>
                        </w:pPr>
                        <w:r>
                          <w:rPr>
                            <w:sz w:val="18"/>
                          </w:rPr>
                          <w:t>INSHT</w:t>
                        </w:r>
                      </w:p>
                    </w:tc>
                    <w:tc>
                      <w:tcPr>
                        <w:tcW w:w="2976" w:type="dxa"/>
                      </w:tcPr>
                      <w:p>
                        <w:pPr>
                          <w:pStyle w:val="TableParagraph"/>
                          <w:spacing w:line="202" w:lineRule="exact"/>
                          <w:ind w:left="101" w:right="463"/>
                          <w:rPr>
                            <w:sz w:val="18"/>
                          </w:rPr>
                        </w:pPr>
                        <w:r>
                          <w:rPr>
                            <w:sz w:val="18"/>
                          </w:rPr>
                          <w:t>Hoisting and Lifting</w:t>
                        </w:r>
                      </w:p>
                    </w:tc>
                  </w:tr>
                  <w:tr>
                    <w:trPr>
                      <w:trHeight w:val="428" w:hRule="exact"/>
                    </w:trPr>
                    <w:tc>
                      <w:tcPr>
                        <w:tcW w:w="1560" w:type="dxa"/>
                      </w:tcPr>
                      <w:p>
                        <w:pPr>
                          <w:pStyle w:val="TableParagraph"/>
                          <w:spacing w:line="202" w:lineRule="exact"/>
                          <w:ind w:left="100"/>
                          <w:rPr>
                            <w:sz w:val="18"/>
                          </w:rPr>
                        </w:pPr>
                        <w:r>
                          <w:rPr>
                            <w:sz w:val="18"/>
                          </w:rPr>
                          <w:t>JSI</w:t>
                        </w:r>
                      </w:p>
                    </w:tc>
                    <w:tc>
                      <w:tcPr>
                        <w:tcW w:w="2976" w:type="dxa"/>
                      </w:tcPr>
                      <w:p>
                        <w:pPr>
                          <w:pStyle w:val="TableParagraph"/>
                          <w:ind w:left="99" w:right="382"/>
                          <w:rPr>
                            <w:sz w:val="18"/>
                          </w:rPr>
                        </w:pPr>
                        <w:r>
                          <w:rPr>
                            <w:sz w:val="18"/>
                          </w:rPr>
                          <w:t>Assessment of jobs on cumulative trauma disorders</w:t>
                        </w:r>
                      </w:p>
                    </w:tc>
                  </w:tr>
                  <w:tr>
                    <w:trPr>
                      <w:trHeight w:val="222" w:hRule="exact"/>
                    </w:trPr>
                    <w:tc>
                      <w:tcPr>
                        <w:tcW w:w="1560" w:type="dxa"/>
                      </w:tcPr>
                      <w:p>
                        <w:pPr>
                          <w:pStyle w:val="TableParagraph"/>
                          <w:spacing w:line="203" w:lineRule="exact"/>
                          <w:ind w:left="100"/>
                          <w:rPr>
                            <w:sz w:val="18"/>
                          </w:rPr>
                        </w:pPr>
                        <w:r>
                          <w:rPr>
                            <w:sz w:val="18"/>
                          </w:rPr>
                          <w:t>LEST</w:t>
                        </w:r>
                      </w:p>
                    </w:tc>
                    <w:tc>
                      <w:tcPr>
                        <w:tcW w:w="2976" w:type="dxa"/>
                      </w:tcPr>
                      <w:p>
                        <w:pPr>
                          <w:pStyle w:val="TableParagraph"/>
                          <w:spacing w:line="203" w:lineRule="exact"/>
                          <w:ind w:left="99" w:right="318"/>
                          <w:rPr>
                            <w:sz w:val="18"/>
                          </w:rPr>
                        </w:pPr>
                        <w:r>
                          <w:rPr>
                            <w:sz w:val="18"/>
                          </w:rPr>
                          <w:t>Assessment of working conditions</w:t>
                        </w:r>
                      </w:p>
                    </w:tc>
                  </w:tr>
                  <w:tr>
                    <w:trPr>
                      <w:trHeight w:val="222" w:hRule="exact"/>
                    </w:trPr>
                    <w:tc>
                      <w:tcPr>
                        <w:tcW w:w="1560" w:type="dxa"/>
                      </w:tcPr>
                      <w:p>
                        <w:pPr>
                          <w:pStyle w:val="TableParagraph"/>
                          <w:spacing w:line="203" w:lineRule="exact"/>
                          <w:ind w:left="100"/>
                          <w:rPr>
                            <w:sz w:val="18"/>
                          </w:rPr>
                        </w:pPr>
                        <w:r>
                          <w:rPr>
                            <w:sz w:val="18"/>
                          </w:rPr>
                          <w:t>NTP 211</w:t>
                        </w:r>
                      </w:p>
                    </w:tc>
                    <w:tc>
                      <w:tcPr>
                        <w:tcW w:w="2976" w:type="dxa"/>
                      </w:tcPr>
                      <w:p>
                        <w:pPr>
                          <w:pStyle w:val="TableParagraph"/>
                          <w:spacing w:line="203" w:lineRule="exact"/>
                          <w:ind w:left="100" w:right="463"/>
                          <w:rPr>
                            <w:sz w:val="18"/>
                          </w:rPr>
                        </w:pPr>
                        <w:r>
                          <w:rPr>
                            <w:sz w:val="18"/>
                          </w:rPr>
                          <w:t>Lighting - Working conditions</w:t>
                        </w:r>
                      </w:p>
                    </w:tc>
                  </w:tr>
                  <w:tr>
                    <w:trPr>
                      <w:trHeight w:val="222" w:hRule="exact"/>
                    </w:trPr>
                    <w:tc>
                      <w:tcPr>
                        <w:tcW w:w="1560" w:type="dxa"/>
                      </w:tcPr>
                      <w:p>
                        <w:pPr>
                          <w:pStyle w:val="TableParagraph"/>
                          <w:spacing w:line="203" w:lineRule="exact"/>
                          <w:ind w:left="100"/>
                          <w:rPr>
                            <w:sz w:val="18"/>
                          </w:rPr>
                        </w:pPr>
                        <w:r>
                          <w:rPr>
                            <w:sz w:val="18"/>
                          </w:rPr>
                          <w:t>NTP 226</w:t>
                        </w:r>
                      </w:p>
                    </w:tc>
                    <w:tc>
                      <w:tcPr>
                        <w:tcW w:w="2976" w:type="dxa"/>
                      </w:tcPr>
                      <w:p>
                        <w:pPr>
                          <w:pStyle w:val="TableParagraph"/>
                          <w:spacing w:line="203" w:lineRule="exact"/>
                          <w:ind w:left="100" w:right="463"/>
                          <w:rPr>
                            <w:sz w:val="18"/>
                          </w:rPr>
                        </w:pPr>
                        <w:r>
                          <w:rPr>
                            <w:sz w:val="18"/>
                          </w:rPr>
                          <w:t>Controls and monitoring</w:t>
                        </w:r>
                      </w:p>
                    </w:tc>
                  </w:tr>
                  <w:tr>
                    <w:trPr>
                      <w:trHeight w:val="430" w:hRule="exact"/>
                    </w:trPr>
                    <w:tc>
                      <w:tcPr>
                        <w:tcW w:w="1560" w:type="dxa"/>
                      </w:tcPr>
                      <w:p>
                        <w:pPr>
                          <w:pStyle w:val="TableParagraph"/>
                          <w:spacing w:line="203" w:lineRule="exact"/>
                          <w:ind w:left="100"/>
                          <w:rPr>
                            <w:sz w:val="18"/>
                          </w:rPr>
                        </w:pPr>
                        <w:r>
                          <w:rPr>
                            <w:sz w:val="18"/>
                          </w:rPr>
                          <w:t>NTP 242</w:t>
                        </w:r>
                      </w:p>
                    </w:tc>
                    <w:tc>
                      <w:tcPr>
                        <w:tcW w:w="2976" w:type="dxa"/>
                      </w:tcPr>
                      <w:p>
                        <w:pPr>
                          <w:pStyle w:val="TableParagraph"/>
                          <w:ind w:left="99" w:right="318"/>
                          <w:rPr>
                            <w:sz w:val="18"/>
                          </w:rPr>
                        </w:pPr>
                        <w:r>
                          <w:rPr>
                            <w:sz w:val="18"/>
                          </w:rPr>
                          <w:t>Office space - Analysis of working conditions</w:t>
                        </w:r>
                      </w:p>
                    </w:tc>
                  </w:tr>
                  <w:tr>
                    <w:trPr>
                      <w:trHeight w:val="222" w:hRule="exact"/>
                    </w:trPr>
                    <w:tc>
                      <w:tcPr>
                        <w:tcW w:w="1560" w:type="dxa"/>
                      </w:tcPr>
                      <w:p>
                        <w:pPr>
                          <w:pStyle w:val="TableParagraph"/>
                          <w:spacing w:line="202" w:lineRule="exact"/>
                          <w:ind w:left="100"/>
                          <w:rPr>
                            <w:sz w:val="18"/>
                          </w:rPr>
                        </w:pPr>
                        <w:r>
                          <w:rPr>
                            <w:sz w:val="18"/>
                          </w:rPr>
                          <w:t>NTP 295</w:t>
                        </w:r>
                      </w:p>
                    </w:tc>
                    <w:tc>
                      <w:tcPr>
                        <w:tcW w:w="2976" w:type="dxa"/>
                      </w:tcPr>
                      <w:p>
                        <w:pPr>
                          <w:pStyle w:val="TableParagraph"/>
                          <w:spacing w:line="202" w:lineRule="exact"/>
                          <w:ind w:left="100"/>
                          <w:rPr>
                            <w:sz w:val="18"/>
                          </w:rPr>
                        </w:pPr>
                        <w:r>
                          <w:rPr>
                            <w:sz w:val="18"/>
                          </w:rPr>
                          <w:t>Physical load by monitoring heart rate</w:t>
                        </w:r>
                      </w:p>
                    </w:tc>
                  </w:tr>
                  <w:tr>
                    <w:trPr>
                      <w:trHeight w:val="222" w:hRule="exact"/>
                    </w:trPr>
                    <w:tc>
                      <w:tcPr>
                        <w:tcW w:w="1560" w:type="dxa"/>
                      </w:tcPr>
                      <w:p>
                        <w:pPr>
                          <w:pStyle w:val="TableParagraph"/>
                          <w:spacing w:line="202" w:lineRule="exact"/>
                          <w:ind w:left="100"/>
                          <w:rPr>
                            <w:sz w:val="18"/>
                          </w:rPr>
                        </w:pPr>
                        <w:r>
                          <w:rPr>
                            <w:sz w:val="18"/>
                          </w:rPr>
                          <w:t>NTP 350</w:t>
                        </w:r>
                      </w:p>
                    </w:tc>
                    <w:tc>
                      <w:tcPr>
                        <w:tcW w:w="2976" w:type="dxa"/>
                      </w:tcPr>
                      <w:p>
                        <w:pPr>
                          <w:pStyle w:val="TableParagraph"/>
                          <w:spacing w:line="202" w:lineRule="exact"/>
                          <w:ind w:left="100" w:right="463"/>
                          <w:rPr>
                            <w:sz w:val="18"/>
                          </w:rPr>
                        </w:pPr>
                        <w:r>
                          <w:rPr>
                            <w:sz w:val="18"/>
                          </w:rPr>
                          <w:t>Sweating index - Heat Stress</w:t>
                        </w:r>
                      </w:p>
                    </w:tc>
                  </w:tr>
                  <w:tr>
                    <w:trPr>
                      <w:trHeight w:val="222" w:hRule="exact"/>
                    </w:trPr>
                    <w:tc>
                      <w:tcPr>
                        <w:tcW w:w="1560" w:type="dxa"/>
                      </w:tcPr>
                      <w:p>
                        <w:pPr>
                          <w:pStyle w:val="TableParagraph"/>
                          <w:spacing w:line="202" w:lineRule="exact"/>
                          <w:ind w:left="100"/>
                          <w:rPr>
                            <w:sz w:val="18"/>
                          </w:rPr>
                        </w:pPr>
                        <w:r>
                          <w:rPr>
                            <w:sz w:val="18"/>
                          </w:rPr>
                          <w:t>NTP 387</w:t>
                        </w:r>
                      </w:p>
                    </w:tc>
                    <w:tc>
                      <w:tcPr>
                        <w:tcW w:w="2976" w:type="dxa"/>
                      </w:tcPr>
                      <w:p>
                        <w:pPr>
                          <w:pStyle w:val="TableParagraph"/>
                          <w:spacing w:line="202" w:lineRule="exact"/>
                          <w:ind w:left="100" w:right="318"/>
                          <w:rPr>
                            <w:sz w:val="18"/>
                          </w:rPr>
                        </w:pPr>
                        <w:r>
                          <w:rPr>
                            <w:sz w:val="18"/>
                          </w:rPr>
                          <w:t>Assessment of working conditions</w:t>
                        </w:r>
                      </w:p>
                    </w:tc>
                  </w:tr>
                  <w:tr>
                    <w:trPr>
                      <w:trHeight w:val="222" w:hRule="exact"/>
                    </w:trPr>
                    <w:tc>
                      <w:tcPr>
                        <w:tcW w:w="1560" w:type="dxa"/>
                      </w:tcPr>
                      <w:p>
                        <w:pPr>
                          <w:pStyle w:val="TableParagraph"/>
                          <w:spacing w:line="202" w:lineRule="exact"/>
                          <w:ind w:left="100"/>
                          <w:rPr>
                            <w:sz w:val="18"/>
                          </w:rPr>
                        </w:pPr>
                        <w:r>
                          <w:rPr>
                            <w:sz w:val="18"/>
                          </w:rPr>
                          <w:t>NTP Cold stress</w:t>
                        </w:r>
                      </w:p>
                    </w:tc>
                    <w:tc>
                      <w:tcPr>
                        <w:tcW w:w="2976" w:type="dxa"/>
                      </w:tcPr>
                      <w:p>
                        <w:pPr>
                          <w:pStyle w:val="TableParagraph"/>
                          <w:spacing w:line="202" w:lineRule="exact"/>
                          <w:ind w:left="99" w:right="463"/>
                          <w:rPr>
                            <w:sz w:val="18"/>
                          </w:rPr>
                        </w:pPr>
                        <w:r>
                          <w:rPr>
                            <w:sz w:val="18"/>
                          </w:rPr>
                          <w:t>Evaluation of heat stress</w:t>
                        </w:r>
                      </w:p>
                    </w:tc>
                  </w:tr>
                  <w:tr>
                    <w:trPr>
                      <w:trHeight w:val="428" w:hRule="exact"/>
                    </w:trPr>
                    <w:tc>
                      <w:tcPr>
                        <w:tcW w:w="1560" w:type="dxa"/>
                      </w:tcPr>
                      <w:p>
                        <w:pPr>
                          <w:pStyle w:val="TableParagraph"/>
                          <w:spacing w:line="202" w:lineRule="exact"/>
                          <w:ind w:left="100"/>
                          <w:rPr>
                            <w:sz w:val="18"/>
                          </w:rPr>
                        </w:pPr>
                        <w:r>
                          <w:rPr>
                            <w:sz w:val="18"/>
                          </w:rPr>
                          <w:t>OCRA check list</w:t>
                        </w:r>
                      </w:p>
                    </w:tc>
                    <w:tc>
                      <w:tcPr>
                        <w:tcW w:w="2976" w:type="dxa"/>
                      </w:tcPr>
                      <w:p>
                        <w:pPr>
                          <w:pStyle w:val="TableParagraph"/>
                          <w:ind w:left="99" w:right="653"/>
                          <w:rPr>
                            <w:sz w:val="18"/>
                          </w:rPr>
                        </w:pPr>
                        <w:r>
                          <w:rPr>
                            <w:sz w:val="18"/>
                          </w:rPr>
                          <w:t>risk assessment by repetitive movements of the upper limbs</w:t>
                        </w:r>
                      </w:p>
                    </w:tc>
                  </w:tr>
                  <w:tr>
                    <w:trPr>
                      <w:trHeight w:val="428" w:hRule="exact"/>
                    </w:trPr>
                    <w:tc>
                      <w:tcPr>
                        <w:tcW w:w="1560" w:type="dxa"/>
                      </w:tcPr>
                      <w:p>
                        <w:pPr>
                          <w:pStyle w:val="TableParagraph"/>
                          <w:spacing w:line="203" w:lineRule="exact"/>
                          <w:ind w:left="100"/>
                          <w:rPr>
                            <w:sz w:val="18"/>
                          </w:rPr>
                        </w:pPr>
                        <w:r>
                          <w:rPr>
                            <w:sz w:val="18"/>
                          </w:rPr>
                          <w:t>OWAS</w:t>
                        </w:r>
                      </w:p>
                    </w:tc>
                    <w:tc>
                      <w:tcPr>
                        <w:tcW w:w="2976" w:type="dxa"/>
                      </w:tcPr>
                      <w:p>
                        <w:pPr>
                          <w:pStyle w:val="TableParagraph"/>
                          <w:ind w:left="99" w:right="433"/>
                          <w:rPr>
                            <w:sz w:val="18"/>
                          </w:rPr>
                        </w:pPr>
                        <w:r>
                          <w:rPr>
                            <w:sz w:val="18"/>
                          </w:rPr>
                          <w:t>to assess the risk caused by stress positions held</w:t>
                        </w:r>
                      </w:p>
                    </w:tc>
                  </w:tr>
                  <w:tr>
                    <w:trPr>
                      <w:trHeight w:val="222" w:hRule="exact"/>
                    </w:trPr>
                    <w:tc>
                      <w:tcPr>
                        <w:tcW w:w="1560" w:type="dxa"/>
                      </w:tcPr>
                      <w:p>
                        <w:pPr>
                          <w:pStyle w:val="TableParagraph"/>
                          <w:spacing w:line="203" w:lineRule="exact"/>
                          <w:ind w:left="100"/>
                          <w:rPr>
                            <w:sz w:val="18"/>
                          </w:rPr>
                        </w:pPr>
                        <w:r>
                          <w:rPr>
                            <w:sz w:val="18"/>
                          </w:rPr>
                          <w:t>PEO</w:t>
                        </w:r>
                      </w:p>
                    </w:tc>
                    <w:tc>
                      <w:tcPr>
                        <w:tcW w:w="2976" w:type="dxa"/>
                      </w:tcPr>
                      <w:p>
                        <w:pPr>
                          <w:pStyle w:val="TableParagraph"/>
                          <w:spacing w:line="203" w:lineRule="exact"/>
                          <w:ind w:left="100" w:right="463"/>
                          <w:rPr>
                            <w:sz w:val="18"/>
                          </w:rPr>
                        </w:pPr>
                        <w:r>
                          <w:rPr>
                            <w:sz w:val="18"/>
                          </w:rPr>
                          <w:t>Load muscle - skeletal</w:t>
                        </w:r>
                      </w:p>
                    </w:tc>
                  </w:tr>
                  <w:tr>
                    <w:trPr>
                      <w:trHeight w:val="222" w:hRule="exact"/>
                    </w:trPr>
                    <w:tc>
                      <w:tcPr>
                        <w:tcW w:w="1560" w:type="dxa"/>
                      </w:tcPr>
                      <w:p>
                        <w:pPr>
                          <w:pStyle w:val="TableParagraph"/>
                          <w:spacing w:line="203" w:lineRule="exact"/>
                          <w:ind w:left="100"/>
                          <w:rPr>
                            <w:sz w:val="18"/>
                          </w:rPr>
                        </w:pPr>
                        <w:r>
                          <w:rPr>
                            <w:sz w:val="18"/>
                          </w:rPr>
                          <w:t>Posture targeting</w:t>
                        </w:r>
                      </w:p>
                    </w:tc>
                    <w:tc>
                      <w:tcPr>
                        <w:tcW w:w="2976" w:type="dxa"/>
                      </w:tcPr>
                      <w:p>
                        <w:pPr>
                          <w:pStyle w:val="TableParagraph"/>
                          <w:spacing w:line="203" w:lineRule="exact"/>
                          <w:ind w:left="99" w:right="463"/>
                          <w:rPr>
                            <w:sz w:val="18"/>
                          </w:rPr>
                        </w:pPr>
                        <w:r>
                          <w:rPr>
                            <w:sz w:val="18"/>
                          </w:rPr>
                          <w:t>Working positions</w:t>
                        </w:r>
                      </w:p>
                    </w:tc>
                  </w:tr>
                  <w:tr>
                    <w:trPr>
                      <w:trHeight w:val="222" w:hRule="exact"/>
                    </w:trPr>
                    <w:tc>
                      <w:tcPr>
                        <w:tcW w:w="1560" w:type="dxa"/>
                      </w:tcPr>
                      <w:p>
                        <w:pPr>
                          <w:pStyle w:val="TableParagraph"/>
                          <w:spacing w:line="203" w:lineRule="exact"/>
                          <w:ind w:left="100"/>
                          <w:rPr>
                            <w:sz w:val="18"/>
                          </w:rPr>
                        </w:pPr>
                        <w:r>
                          <w:rPr>
                            <w:sz w:val="18"/>
                          </w:rPr>
                          <w:t>REBA</w:t>
                        </w:r>
                      </w:p>
                    </w:tc>
                    <w:tc>
                      <w:tcPr>
                        <w:tcW w:w="2976" w:type="dxa"/>
                      </w:tcPr>
                      <w:p>
                        <w:pPr>
                          <w:pStyle w:val="TableParagraph"/>
                          <w:spacing w:line="203" w:lineRule="exact"/>
                          <w:ind w:left="99" w:right="318"/>
                          <w:rPr>
                            <w:sz w:val="18"/>
                          </w:rPr>
                        </w:pPr>
                        <w:r>
                          <w:rPr>
                            <w:sz w:val="18"/>
                          </w:rPr>
                          <w:t>Conditions of work (postural load)</w:t>
                        </w:r>
                      </w:p>
                    </w:tc>
                  </w:tr>
                  <w:tr>
                    <w:trPr>
                      <w:trHeight w:val="222" w:hRule="exact"/>
                    </w:trPr>
                    <w:tc>
                      <w:tcPr>
                        <w:tcW w:w="1560" w:type="dxa"/>
                      </w:tcPr>
                      <w:p>
                        <w:pPr>
                          <w:pStyle w:val="TableParagraph"/>
                          <w:spacing w:line="203" w:lineRule="exact"/>
                          <w:ind w:left="100"/>
                          <w:rPr>
                            <w:sz w:val="18"/>
                          </w:rPr>
                        </w:pPr>
                        <w:r>
                          <w:rPr>
                            <w:sz w:val="18"/>
                          </w:rPr>
                          <w:t>REGI</w:t>
                        </w:r>
                      </w:p>
                    </w:tc>
                    <w:tc>
                      <w:tcPr>
                        <w:tcW w:w="2976" w:type="dxa"/>
                      </w:tcPr>
                      <w:p>
                        <w:pPr>
                          <w:pStyle w:val="TableParagraph"/>
                          <w:spacing w:line="203" w:lineRule="exact"/>
                          <w:ind w:left="99" w:right="463"/>
                          <w:rPr>
                            <w:sz w:val="18"/>
                          </w:rPr>
                        </w:pPr>
                        <w:r>
                          <w:rPr>
                            <w:sz w:val="18"/>
                          </w:rPr>
                          <w:t>Calculation of resting breaks</w:t>
                        </w:r>
                      </w:p>
                    </w:tc>
                  </w:tr>
                  <w:tr>
                    <w:trPr>
                      <w:trHeight w:val="430" w:hRule="exact"/>
                    </w:trPr>
                    <w:tc>
                      <w:tcPr>
                        <w:tcW w:w="1560" w:type="dxa"/>
                      </w:tcPr>
                      <w:p>
                        <w:pPr>
                          <w:pStyle w:val="TableParagraph"/>
                          <w:spacing w:line="203" w:lineRule="exact"/>
                          <w:ind w:left="100"/>
                          <w:rPr>
                            <w:sz w:val="18"/>
                          </w:rPr>
                        </w:pPr>
                        <w:r>
                          <w:rPr>
                            <w:sz w:val="18"/>
                          </w:rPr>
                          <w:t>REGIE Renault</w:t>
                        </w:r>
                      </w:p>
                    </w:tc>
                    <w:tc>
                      <w:tcPr>
                        <w:tcW w:w="2976" w:type="dxa"/>
                      </w:tcPr>
                      <w:p>
                        <w:pPr>
                          <w:pStyle w:val="TableParagraph"/>
                          <w:ind w:left="99" w:right="723" w:hanging="1"/>
                          <w:rPr>
                            <w:sz w:val="18"/>
                          </w:rPr>
                        </w:pPr>
                        <w:r>
                          <w:rPr>
                            <w:sz w:val="18"/>
                          </w:rPr>
                          <w:t>Profiles of work and working conditions</w:t>
                        </w:r>
                      </w:p>
                    </w:tc>
                  </w:tr>
                  <w:tr>
                    <w:trPr>
                      <w:trHeight w:val="428" w:hRule="exact"/>
                    </w:trPr>
                    <w:tc>
                      <w:tcPr>
                        <w:tcW w:w="1560" w:type="dxa"/>
                      </w:tcPr>
                      <w:p>
                        <w:pPr>
                          <w:pStyle w:val="TableParagraph"/>
                          <w:spacing w:line="202" w:lineRule="exact"/>
                          <w:ind w:left="100"/>
                          <w:rPr>
                            <w:sz w:val="18"/>
                          </w:rPr>
                        </w:pPr>
                        <w:r>
                          <w:rPr>
                            <w:sz w:val="18"/>
                          </w:rPr>
                          <w:t>RULA</w:t>
                        </w:r>
                      </w:p>
                    </w:tc>
                    <w:tc>
                      <w:tcPr>
                        <w:tcW w:w="2976" w:type="dxa"/>
                      </w:tcPr>
                      <w:p>
                        <w:pPr>
                          <w:pStyle w:val="TableParagraph"/>
                          <w:ind w:left="99" w:right="363"/>
                          <w:rPr>
                            <w:sz w:val="18"/>
                          </w:rPr>
                        </w:pPr>
                        <w:r>
                          <w:rPr>
                            <w:sz w:val="18"/>
                          </w:rPr>
                          <w:t>(Rapid Upper Limb Assessment) - Postural stress load</w:t>
                        </w:r>
                      </w:p>
                    </w:tc>
                  </w:tr>
                  <w:tr>
                    <w:trPr>
                      <w:trHeight w:val="430" w:hRule="exact"/>
                    </w:trPr>
                    <w:tc>
                      <w:tcPr>
                        <w:tcW w:w="1560" w:type="dxa"/>
                      </w:tcPr>
                      <w:p>
                        <w:pPr>
                          <w:pStyle w:val="TableParagraph"/>
                          <w:spacing w:line="203" w:lineRule="exact"/>
                          <w:ind w:left="100"/>
                          <w:rPr>
                            <w:sz w:val="18"/>
                          </w:rPr>
                        </w:pPr>
                        <w:r>
                          <w:rPr>
                            <w:sz w:val="18"/>
                          </w:rPr>
                          <w:t>Siemens</w:t>
                        </w:r>
                      </w:p>
                    </w:tc>
                    <w:tc>
                      <w:tcPr>
                        <w:tcW w:w="2976" w:type="dxa"/>
                      </w:tcPr>
                      <w:p>
                        <w:pPr>
                          <w:pStyle w:val="TableParagraph"/>
                          <w:ind w:left="99" w:right="98"/>
                          <w:rPr>
                            <w:sz w:val="18"/>
                          </w:rPr>
                        </w:pPr>
                        <w:r>
                          <w:rPr>
                            <w:sz w:val="18"/>
                          </w:rPr>
                          <w:t>Job analysis and calculation of energy expenditure</w:t>
                        </w:r>
                      </w:p>
                    </w:tc>
                  </w:tr>
                  <w:tr>
                    <w:trPr>
                      <w:trHeight w:val="222" w:hRule="exact"/>
                    </w:trPr>
                    <w:tc>
                      <w:tcPr>
                        <w:tcW w:w="1560" w:type="dxa"/>
                      </w:tcPr>
                      <w:p>
                        <w:pPr>
                          <w:pStyle w:val="TableParagraph"/>
                          <w:spacing w:line="202" w:lineRule="exact"/>
                          <w:ind w:left="100"/>
                          <w:rPr>
                            <w:sz w:val="18"/>
                          </w:rPr>
                        </w:pPr>
                        <w:r>
                          <w:rPr>
                            <w:sz w:val="18"/>
                          </w:rPr>
                          <w:t>Kendall Test</w:t>
                        </w:r>
                      </w:p>
                    </w:tc>
                    <w:tc>
                      <w:tcPr>
                        <w:tcW w:w="2976" w:type="dxa"/>
                      </w:tcPr>
                      <w:p>
                        <w:pPr>
                          <w:pStyle w:val="TableParagraph"/>
                          <w:spacing w:line="202" w:lineRule="exact"/>
                          <w:ind w:left="99" w:right="463"/>
                          <w:rPr>
                            <w:sz w:val="18"/>
                          </w:rPr>
                        </w:pPr>
                        <w:r>
                          <w:rPr>
                            <w:sz w:val="18"/>
                          </w:rPr>
                          <w:t>Muscle strength</w:t>
                        </w:r>
                      </w:p>
                    </w:tc>
                  </w:tr>
                  <w:tr>
                    <w:trPr>
                      <w:trHeight w:val="222" w:hRule="exact"/>
                    </w:trPr>
                    <w:tc>
                      <w:tcPr>
                        <w:tcW w:w="1560" w:type="dxa"/>
                      </w:tcPr>
                      <w:p>
                        <w:pPr>
                          <w:pStyle w:val="TableParagraph"/>
                          <w:spacing w:line="202" w:lineRule="exact"/>
                          <w:ind w:left="100"/>
                          <w:rPr>
                            <w:sz w:val="18"/>
                          </w:rPr>
                        </w:pPr>
                        <w:r>
                          <w:rPr>
                            <w:sz w:val="18"/>
                          </w:rPr>
                          <w:t>Schober Test</w:t>
                        </w:r>
                      </w:p>
                    </w:tc>
                    <w:tc>
                      <w:tcPr>
                        <w:tcW w:w="2976" w:type="dxa"/>
                      </w:tcPr>
                      <w:p>
                        <w:pPr>
                          <w:pStyle w:val="TableParagraph"/>
                          <w:spacing w:line="202" w:lineRule="exact"/>
                          <w:ind w:left="100" w:right="463"/>
                          <w:rPr>
                            <w:sz w:val="18"/>
                          </w:rPr>
                        </w:pPr>
                        <w:r>
                          <w:rPr>
                            <w:sz w:val="18"/>
                          </w:rPr>
                          <w:t>Flexibility of the lumbar spine</w:t>
                        </w:r>
                      </w:p>
                    </w:tc>
                  </w:tr>
                  <w:tr>
                    <w:trPr>
                      <w:trHeight w:val="221" w:hRule="exact"/>
                    </w:trPr>
                    <w:tc>
                      <w:tcPr>
                        <w:tcW w:w="1560" w:type="dxa"/>
                      </w:tcPr>
                      <w:p>
                        <w:pPr>
                          <w:pStyle w:val="TableParagraph"/>
                          <w:spacing w:line="202" w:lineRule="exact"/>
                          <w:ind w:left="100"/>
                          <w:rPr>
                            <w:sz w:val="18"/>
                          </w:rPr>
                        </w:pPr>
                        <w:r>
                          <w:rPr>
                            <w:sz w:val="18"/>
                          </w:rPr>
                          <w:t>Wells Test</w:t>
                        </w:r>
                      </w:p>
                    </w:tc>
                    <w:tc>
                      <w:tcPr>
                        <w:tcW w:w="2976" w:type="dxa"/>
                      </w:tcPr>
                      <w:p>
                        <w:pPr>
                          <w:pStyle w:val="TableParagraph"/>
                          <w:spacing w:line="202" w:lineRule="exact"/>
                          <w:ind w:left="99" w:right="463"/>
                          <w:rPr>
                            <w:sz w:val="18"/>
                          </w:rPr>
                        </w:pPr>
                        <w:r>
                          <w:rPr>
                            <w:sz w:val="18"/>
                          </w:rPr>
                          <w:t>Back Flexibility</w:t>
                        </w:r>
                      </w:p>
                    </w:tc>
                  </w:tr>
                </w:tbl>
                <w:p>
                  <w:pPr>
                    <w:pStyle w:val="BodyText"/>
                  </w:pPr>
                </w:p>
              </w:txbxContent>
            </v:textbox>
            <w10:wrap type="none"/>
          </v:shape>
        </w:pict>
      </w:r>
      <w:r>
        <w:rPr/>
        <w:t>The main problems associated to occupational health were related to MSDs, since as evidenced by Gonzales [11] where MSDs factors include a frequency from 85 to 90% of ergonomic factors so ergonomic risk factors could be reduced to the analysis of MSDs factors</w:t>
      </w:r>
      <w:r>
        <w:rPr>
          <w:spacing w:val="-29"/>
        </w:rPr>
        <w:t> </w:t>
      </w:r>
      <w:r>
        <w:rPr/>
        <w:t>only.</w:t>
      </w:r>
    </w:p>
    <w:p>
      <w:pPr>
        <w:pStyle w:val="BodyText"/>
        <w:ind w:left="270" w:right="6248" w:firstLine="397"/>
        <w:jc w:val="both"/>
      </w:pPr>
      <w:r>
        <w:rPr/>
        <w:t>MSDs (musculoskeletal disorders) are attributed to postures and efforts from work related to the handling of materials, thus the proper evaluation represents an important element in the prevention of occupational diseases and ailments. Reducing the consequences of muscle overload during work activities involves not only monitor the   degree</w:t>
      </w:r>
    </w:p>
    <w:p>
      <w:pPr>
        <w:spacing w:after="0"/>
        <w:jc w:val="both"/>
        <w:sectPr>
          <w:type w:val="continuous"/>
          <w:pgSz w:w="12240" w:h="15840"/>
          <w:pgMar w:top="1500" w:bottom="280" w:left="580" w:right="220"/>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4"/>
        <w:ind w:left="105"/>
        <w:jc w:val="right"/>
      </w:pPr>
      <w:r>
        <w:rPr/>
        <w:t>From the above table it is clear that the use of a specific</w:t>
      </w:r>
      <w:r>
        <w:rPr>
          <w:w w:val="100"/>
        </w:rPr>
        <w:t> </w:t>
      </w:r>
      <w:r>
        <w:rPr/>
        <w:t>methodology in the work area depends not only on their</w:t>
      </w:r>
      <w:r>
        <w:rPr>
          <w:w w:val="100"/>
        </w:rPr>
        <w:t> </w:t>
      </w:r>
      <w:r>
        <w:rPr/>
        <w:t>specific need adaptation, but also preferences from evaluator.</w:t>
      </w:r>
    </w:p>
    <w:p>
      <w:pPr>
        <w:pStyle w:val="BodyText"/>
        <w:ind w:left="270" w:right="1" w:firstLine="397"/>
        <w:jc w:val="both"/>
      </w:pPr>
      <w:r>
        <w:rPr/>
        <w:t>The problem implementing a methodology may be due to various factors; for Asensio, there may be difficulties in obtaining the required information, the complexity of the method, the quality of the provide results, the adaptation of the method for each assessment situation, as well as perceptions of the evaluator based in their experience [14]. Malchaire presents a study which shows many other critical aspects such as representativeness, reliability and relevance [15]. Thus there are several critical aspects to consider when selecting and implementing some ergonomic methodology, there are summarized in the proposal presented in Table 4  for critical aspects in an ergonomic</w:t>
      </w:r>
      <w:r>
        <w:rPr>
          <w:spacing w:val="-34"/>
        </w:rPr>
        <w:t> </w:t>
      </w:r>
      <w:r>
        <w:rPr/>
        <w:t>assessment.</w:t>
      </w:r>
    </w:p>
    <w:p>
      <w:pPr>
        <w:pStyle w:val="BodyText"/>
        <w:spacing w:before="9"/>
        <w:rPr>
          <w:sz w:val="17"/>
        </w:rPr>
      </w:pPr>
    </w:p>
    <w:p>
      <w:pPr>
        <w:spacing w:before="0"/>
        <w:ind w:left="990" w:right="118" w:firstLine="0"/>
        <w:jc w:val="left"/>
        <w:rPr>
          <w:sz w:val="18"/>
        </w:rPr>
      </w:pPr>
      <w:r>
        <w:rPr>
          <w:sz w:val="18"/>
        </w:rPr>
        <w:t>Table 4. Critical aspects in an ergonomic assessment</w:t>
      </w:r>
    </w:p>
    <w:p>
      <w:pPr>
        <w:pStyle w:val="BodyText"/>
        <w:spacing w:before="4" w:after="1"/>
        <w:rPr>
          <w:sz w:val="18"/>
        </w:rPr>
      </w:pPr>
    </w:p>
    <w:tbl>
      <w:tblPr>
        <w:tblW w:w="0" w:type="auto"/>
        <w:jc w:val="left"/>
        <w:tblInd w:w="5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76"/>
        <w:gridCol w:w="3260"/>
      </w:tblGrid>
      <w:tr>
        <w:trPr>
          <w:trHeight w:val="217" w:hRule="exact"/>
        </w:trPr>
        <w:tc>
          <w:tcPr>
            <w:tcW w:w="1276" w:type="dxa"/>
          </w:tcPr>
          <w:p>
            <w:pPr>
              <w:pStyle w:val="TableParagraph"/>
              <w:spacing w:line="206" w:lineRule="exact"/>
              <w:ind w:left="103" w:right="156"/>
              <w:rPr>
                <w:b/>
                <w:sz w:val="18"/>
              </w:rPr>
            </w:pPr>
            <w:r>
              <w:rPr>
                <w:b/>
                <w:sz w:val="18"/>
              </w:rPr>
              <w:t>Aspect</w:t>
            </w:r>
          </w:p>
        </w:tc>
        <w:tc>
          <w:tcPr>
            <w:tcW w:w="3260" w:type="dxa"/>
          </w:tcPr>
          <w:p>
            <w:pPr>
              <w:pStyle w:val="TableParagraph"/>
              <w:spacing w:line="206" w:lineRule="exact"/>
              <w:ind w:left="103" w:right="128"/>
              <w:rPr>
                <w:b/>
                <w:sz w:val="18"/>
              </w:rPr>
            </w:pPr>
            <w:r>
              <w:rPr>
                <w:b/>
                <w:sz w:val="18"/>
              </w:rPr>
              <w:t>Description</w:t>
            </w:r>
          </w:p>
        </w:tc>
      </w:tr>
      <w:tr>
        <w:trPr>
          <w:trHeight w:val="378" w:hRule="exact"/>
        </w:trPr>
        <w:tc>
          <w:tcPr>
            <w:tcW w:w="1276" w:type="dxa"/>
          </w:tcPr>
          <w:p>
            <w:pPr>
              <w:pStyle w:val="TableParagraph"/>
              <w:spacing w:line="202" w:lineRule="exact"/>
              <w:ind w:left="103" w:right="156"/>
              <w:rPr>
                <w:sz w:val="18"/>
              </w:rPr>
            </w:pPr>
            <w:r>
              <w:rPr>
                <w:sz w:val="18"/>
              </w:rPr>
              <w:t>adaptability</w:t>
            </w:r>
          </w:p>
        </w:tc>
        <w:tc>
          <w:tcPr>
            <w:tcW w:w="3260" w:type="dxa"/>
          </w:tcPr>
          <w:p>
            <w:pPr>
              <w:pStyle w:val="TableParagraph"/>
              <w:ind w:left="103" w:right="128"/>
              <w:rPr>
                <w:sz w:val="16"/>
              </w:rPr>
            </w:pPr>
            <w:r>
              <w:rPr>
                <w:sz w:val="16"/>
              </w:rPr>
              <w:t>The method is easily adapted to different types of workplaces and real assessment situations</w:t>
            </w:r>
          </w:p>
        </w:tc>
      </w:tr>
      <w:tr>
        <w:trPr>
          <w:trHeight w:val="745" w:hRule="exact"/>
        </w:trPr>
        <w:tc>
          <w:tcPr>
            <w:tcW w:w="1276" w:type="dxa"/>
          </w:tcPr>
          <w:p>
            <w:pPr>
              <w:pStyle w:val="TableParagraph"/>
              <w:ind w:left="103" w:right="293"/>
              <w:rPr>
                <w:sz w:val="18"/>
              </w:rPr>
            </w:pPr>
            <w:r>
              <w:rPr>
                <w:sz w:val="18"/>
              </w:rPr>
              <w:t>Complexity and information</w:t>
            </w:r>
          </w:p>
        </w:tc>
        <w:tc>
          <w:tcPr>
            <w:tcW w:w="3260" w:type="dxa"/>
          </w:tcPr>
          <w:p>
            <w:pPr>
              <w:pStyle w:val="TableParagraph"/>
              <w:numPr>
                <w:ilvl w:val="0"/>
                <w:numId w:val="165"/>
              </w:numPr>
              <w:tabs>
                <w:tab w:pos="196" w:val="left" w:leader="none"/>
              </w:tabs>
              <w:spacing w:line="240" w:lineRule="auto" w:before="0" w:after="0"/>
              <w:ind w:left="103" w:right="279" w:firstLine="0"/>
              <w:jc w:val="left"/>
              <w:rPr>
                <w:sz w:val="16"/>
              </w:rPr>
            </w:pPr>
            <w:r>
              <w:rPr>
                <w:sz w:val="16"/>
              </w:rPr>
              <w:t>Available information on the method in the language</w:t>
            </w:r>
          </w:p>
          <w:p>
            <w:pPr>
              <w:pStyle w:val="TableParagraph"/>
              <w:numPr>
                <w:ilvl w:val="0"/>
                <w:numId w:val="165"/>
              </w:numPr>
              <w:tabs>
                <w:tab w:pos="196" w:val="left" w:leader="none"/>
              </w:tabs>
              <w:spacing w:line="240" w:lineRule="auto" w:before="1" w:after="0"/>
              <w:ind w:left="103" w:right="328" w:firstLine="0"/>
              <w:jc w:val="left"/>
              <w:rPr>
                <w:sz w:val="16"/>
              </w:rPr>
            </w:pPr>
            <w:r>
              <w:rPr>
                <w:sz w:val="16"/>
              </w:rPr>
              <w:t>Degree of complexity in implementing the method</w:t>
            </w:r>
          </w:p>
        </w:tc>
      </w:tr>
      <w:tr>
        <w:trPr>
          <w:trHeight w:val="746" w:hRule="exact"/>
        </w:trPr>
        <w:tc>
          <w:tcPr>
            <w:tcW w:w="1276" w:type="dxa"/>
          </w:tcPr>
          <w:p>
            <w:pPr>
              <w:pStyle w:val="TableParagraph"/>
              <w:ind w:left="103" w:right="118"/>
              <w:rPr>
                <w:sz w:val="18"/>
              </w:rPr>
            </w:pPr>
            <w:r>
              <w:rPr>
                <w:sz w:val="18"/>
              </w:rPr>
              <w:t>Training and skills required</w:t>
            </w:r>
          </w:p>
        </w:tc>
        <w:tc>
          <w:tcPr>
            <w:tcW w:w="3260" w:type="dxa"/>
          </w:tcPr>
          <w:p>
            <w:pPr>
              <w:pStyle w:val="TableParagraph"/>
              <w:ind w:left="103" w:right="693"/>
              <w:rPr>
                <w:sz w:val="16"/>
              </w:rPr>
            </w:pPr>
            <w:r>
              <w:rPr>
                <w:sz w:val="16"/>
              </w:rPr>
              <w:t>-Training, skills and experience of the coordinator</w:t>
            </w:r>
          </w:p>
          <w:p>
            <w:pPr>
              <w:pStyle w:val="TableParagraph"/>
              <w:ind w:left="103" w:right="133"/>
              <w:rPr>
                <w:sz w:val="16"/>
              </w:rPr>
            </w:pPr>
            <w:r>
              <w:rPr>
                <w:sz w:val="16"/>
              </w:rPr>
              <w:t>- Training, skills and experience of the method applicants</w:t>
            </w:r>
          </w:p>
        </w:tc>
      </w:tr>
      <w:tr>
        <w:trPr>
          <w:trHeight w:val="562" w:hRule="exact"/>
        </w:trPr>
        <w:tc>
          <w:tcPr>
            <w:tcW w:w="1276" w:type="dxa"/>
          </w:tcPr>
          <w:p>
            <w:pPr>
              <w:pStyle w:val="TableParagraph"/>
              <w:ind w:left="103" w:right="88"/>
              <w:rPr>
                <w:sz w:val="18"/>
              </w:rPr>
            </w:pPr>
            <w:r>
              <w:rPr>
                <w:sz w:val="18"/>
              </w:rPr>
              <w:t>analysis / expertice level</w:t>
            </w:r>
          </w:p>
        </w:tc>
        <w:tc>
          <w:tcPr>
            <w:tcW w:w="3260" w:type="dxa"/>
          </w:tcPr>
          <w:p>
            <w:pPr>
              <w:pStyle w:val="TableParagraph"/>
              <w:ind w:left="103" w:right="195"/>
              <w:rPr>
                <w:sz w:val="16"/>
              </w:rPr>
            </w:pPr>
            <w:r>
              <w:rPr>
                <w:sz w:val="16"/>
              </w:rPr>
              <w:t>the level of analysis involves consideration of several factors expert and record videos and special skills</w:t>
            </w:r>
          </w:p>
        </w:tc>
      </w:tr>
      <w:tr>
        <w:trPr>
          <w:trHeight w:val="424" w:hRule="exact"/>
        </w:trPr>
        <w:tc>
          <w:tcPr>
            <w:tcW w:w="1276" w:type="dxa"/>
          </w:tcPr>
          <w:p>
            <w:pPr>
              <w:pStyle w:val="TableParagraph"/>
              <w:ind w:left="103" w:right="183"/>
              <w:rPr>
                <w:sz w:val="18"/>
              </w:rPr>
            </w:pPr>
            <w:r>
              <w:rPr>
                <w:sz w:val="18"/>
              </w:rPr>
              <w:t>Representati- veness</w:t>
            </w:r>
          </w:p>
        </w:tc>
        <w:tc>
          <w:tcPr>
            <w:tcW w:w="3260" w:type="dxa"/>
          </w:tcPr>
          <w:p>
            <w:pPr>
              <w:pStyle w:val="TableParagraph"/>
              <w:ind w:left="103" w:right="244"/>
              <w:rPr>
                <w:sz w:val="16"/>
              </w:rPr>
            </w:pPr>
            <w:r>
              <w:rPr>
                <w:sz w:val="16"/>
              </w:rPr>
              <w:t>Observed phase work represents the working cycle</w:t>
            </w:r>
          </w:p>
        </w:tc>
      </w:tr>
      <w:tr>
        <w:trPr>
          <w:trHeight w:val="746" w:hRule="exact"/>
        </w:trPr>
        <w:tc>
          <w:tcPr>
            <w:tcW w:w="1276" w:type="dxa"/>
          </w:tcPr>
          <w:p>
            <w:pPr>
              <w:pStyle w:val="TableParagraph"/>
              <w:spacing w:line="203" w:lineRule="exact"/>
              <w:ind w:left="103" w:right="156"/>
              <w:rPr>
                <w:sz w:val="18"/>
              </w:rPr>
            </w:pPr>
            <w:r>
              <w:rPr>
                <w:sz w:val="18"/>
              </w:rPr>
              <w:t>reliability</w:t>
            </w:r>
          </w:p>
        </w:tc>
        <w:tc>
          <w:tcPr>
            <w:tcW w:w="3260" w:type="dxa"/>
          </w:tcPr>
          <w:p>
            <w:pPr>
              <w:pStyle w:val="TableParagraph"/>
              <w:ind w:left="103" w:right="97"/>
              <w:rPr>
                <w:sz w:val="16"/>
              </w:rPr>
            </w:pPr>
            <w:r>
              <w:rPr>
                <w:sz w:val="16"/>
              </w:rPr>
              <w:t>The observations were taken directly from photos or video of the area. As could assess the position of neck, shoulders and wrists simultaneously</w:t>
            </w:r>
          </w:p>
        </w:tc>
      </w:tr>
      <w:tr>
        <w:trPr>
          <w:trHeight w:val="424" w:hRule="exact"/>
        </w:trPr>
        <w:tc>
          <w:tcPr>
            <w:tcW w:w="1276" w:type="dxa"/>
          </w:tcPr>
          <w:p>
            <w:pPr>
              <w:pStyle w:val="TableParagraph"/>
              <w:ind w:left="103" w:right="393"/>
              <w:rPr>
                <w:sz w:val="18"/>
              </w:rPr>
            </w:pPr>
            <w:r>
              <w:rPr>
                <w:sz w:val="18"/>
              </w:rPr>
              <w:t>Data Collection</w:t>
            </w:r>
          </w:p>
        </w:tc>
        <w:tc>
          <w:tcPr>
            <w:tcW w:w="3260" w:type="dxa"/>
          </w:tcPr>
          <w:p>
            <w:pPr>
              <w:pStyle w:val="TableParagraph"/>
              <w:ind w:left="103" w:right="226"/>
              <w:rPr>
                <w:sz w:val="16"/>
              </w:rPr>
            </w:pPr>
            <w:r>
              <w:rPr>
                <w:sz w:val="16"/>
              </w:rPr>
              <w:t>Difficulty in obtaining data (use of estimates, specialized equipment)</w:t>
            </w:r>
          </w:p>
        </w:tc>
      </w:tr>
      <w:tr>
        <w:trPr>
          <w:trHeight w:val="563" w:hRule="exact"/>
        </w:trPr>
        <w:tc>
          <w:tcPr>
            <w:tcW w:w="1276" w:type="dxa"/>
          </w:tcPr>
          <w:p>
            <w:pPr>
              <w:pStyle w:val="TableParagraph"/>
              <w:spacing w:line="203" w:lineRule="exact"/>
              <w:ind w:left="103" w:right="156"/>
              <w:rPr>
                <w:sz w:val="18"/>
              </w:rPr>
            </w:pPr>
            <w:r>
              <w:rPr>
                <w:sz w:val="18"/>
              </w:rPr>
              <w:t>time required</w:t>
            </w:r>
          </w:p>
        </w:tc>
        <w:tc>
          <w:tcPr>
            <w:tcW w:w="3260" w:type="dxa"/>
          </w:tcPr>
          <w:p>
            <w:pPr>
              <w:pStyle w:val="TableParagraph"/>
              <w:ind w:left="103" w:right="257"/>
              <w:rPr>
                <w:sz w:val="16"/>
              </w:rPr>
            </w:pPr>
            <w:r>
              <w:rPr>
                <w:sz w:val="16"/>
              </w:rPr>
              <w:t>Projection of time required for the study perceived their representativeness, reliability and difficulty of obtaining data</w:t>
            </w:r>
          </w:p>
        </w:tc>
      </w:tr>
      <w:tr>
        <w:trPr>
          <w:trHeight w:val="930" w:hRule="exact"/>
        </w:trPr>
        <w:tc>
          <w:tcPr>
            <w:tcW w:w="1276" w:type="dxa"/>
          </w:tcPr>
          <w:p>
            <w:pPr>
              <w:pStyle w:val="TableParagraph"/>
              <w:ind w:left="103" w:right="373"/>
              <w:rPr>
                <w:sz w:val="18"/>
              </w:rPr>
            </w:pPr>
            <w:r>
              <w:rPr>
                <w:sz w:val="18"/>
              </w:rPr>
              <w:t>Orienting towards prevention</w:t>
            </w:r>
          </w:p>
        </w:tc>
        <w:tc>
          <w:tcPr>
            <w:tcW w:w="3260" w:type="dxa"/>
          </w:tcPr>
          <w:p>
            <w:pPr>
              <w:pStyle w:val="TableParagraph"/>
              <w:ind w:left="103" w:right="248"/>
              <w:rPr>
                <w:sz w:val="16"/>
              </w:rPr>
            </w:pPr>
            <w:r>
              <w:rPr>
                <w:sz w:val="16"/>
              </w:rPr>
              <w:t>No just record situations and positions but to question seeking to influence prevention, not [only] to establish a score and give trivial answers ("changes may be necessary" or "immediately necessary changes")</w:t>
            </w:r>
          </w:p>
        </w:tc>
      </w:tr>
    </w:tbl>
    <w:p>
      <w:pPr>
        <w:pStyle w:val="BodyText"/>
        <w:rPr>
          <w:sz w:val="18"/>
        </w:rPr>
      </w:pPr>
    </w:p>
    <w:p>
      <w:pPr>
        <w:pStyle w:val="BodyText"/>
        <w:spacing w:before="10"/>
        <w:rPr>
          <w:sz w:val="19"/>
        </w:rPr>
      </w:pPr>
    </w:p>
    <w:p>
      <w:pPr>
        <w:pStyle w:val="Heading4"/>
        <w:numPr>
          <w:ilvl w:val="1"/>
          <w:numId w:val="164"/>
        </w:numPr>
        <w:tabs>
          <w:tab w:pos="662" w:val="left" w:leader="none"/>
        </w:tabs>
        <w:spacing w:line="240" w:lineRule="auto" w:before="0" w:after="0"/>
        <w:ind w:left="270" w:right="1" w:firstLine="0"/>
        <w:jc w:val="both"/>
      </w:pPr>
      <w:r>
        <w:rPr/>
        <w:t>Ergonomics perspectives facing the new RFSST regulation in</w:t>
      </w:r>
      <w:r>
        <w:rPr>
          <w:spacing w:val="-14"/>
        </w:rPr>
        <w:t> </w:t>
      </w:r>
      <w:r>
        <w:rPr/>
        <w:t>Mexico</w:t>
      </w:r>
    </w:p>
    <w:p>
      <w:pPr>
        <w:pStyle w:val="BodyText"/>
        <w:spacing w:before="8"/>
        <w:rPr>
          <w:b/>
          <w:sz w:val="19"/>
        </w:rPr>
      </w:pPr>
    </w:p>
    <w:p>
      <w:pPr>
        <w:pStyle w:val="BodyText"/>
        <w:ind w:left="270"/>
        <w:jc w:val="both"/>
      </w:pPr>
      <w:r>
        <w:rPr/>
        <w:t>The new RFSST regulation enhances Ergonomics as important area to occupational health and will make organizations conduct training over their staff in this specific area. A boom should be promoted by this scenario who benefits educational institutions and associations related to ergonomics, such as SEMAC (“Sociedad de Ergonomistas  de México</w:t>
      </w:r>
      <w:r>
        <w:rPr>
          <w:spacing w:val="-5"/>
        </w:rPr>
        <w:t> </w:t>
      </w:r>
      <w:r>
        <w:rPr/>
        <w:t>A.C.”)</w:t>
      </w:r>
    </w:p>
    <w:p>
      <w:pPr>
        <w:pStyle w:val="BodyText"/>
        <w:ind w:left="270" w:right="1" w:firstLine="397"/>
        <w:jc w:val="both"/>
      </w:pPr>
      <w:r>
        <w:rPr/>
        <w:t>But some complicated scenarios could arise from this regulation. By the workers side this can lead toward a more stringent requirements to be recruit in a new job or to   move</w:t>
      </w:r>
    </w:p>
    <w:p>
      <w:pPr>
        <w:pStyle w:val="BodyText"/>
        <w:spacing w:before="74"/>
        <w:ind w:left="270" w:right="676"/>
        <w:jc w:val="both"/>
      </w:pPr>
      <w:r>
        <w:rPr/>
        <w:br w:type="column"/>
      </w:r>
      <w:r>
        <w:rPr/>
        <w:t>in some areas. As a major medical examinations focusing in assets the efforts required in the area and pre-existing  MSDs; also an increased discrimination based on physical complexion and age range toward certain areas and job positions</w:t>
      </w:r>
      <w:r>
        <w:rPr>
          <w:spacing w:val="-5"/>
        </w:rPr>
        <w:t> </w:t>
      </w:r>
      <w:r>
        <w:rPr/>
        <w:t>[17].</w:t>
      </w:r>
    </w:p>
    <w:p>
      <w:pPr>
        <w:pStyle w:val="BodyText"/>
        <w:ind w:left="270" w:right="676" w:firstLine="397"/>
        <w:jc w:val="both"/>
      </w:pPr>
      <w:r>
        <w:rPr/>
        <w:t>New regulation includes internal and external committees to monitor the organization; all subject to the CCNSST (“Comisión Consultiva Nacional de Seguridad y Salud en el Trabajo”), who has authority to "assist in the design of national policy on occupational safety and health; [Also] propose amendments and additions to this and other regulations" [10]; so this CCNSST commission becomes a key player in the Occupational Health and Safety from Mexico.</w:t>
      </w:r>
    </w:p>
    <w:p>
      <w:pPr>
        <w:pStyle w:val="BodyText"/>
        <w:ind w:left="270" w:right="675" w:firstLine="397"/>
        <w:jc w:val="both"/>
      </w:pPr>
      <w:r>
        <w:rPr/>
        <w:t>The European case is presented, where entrepreneurs and organizations are reluctant to improvements in the rules; also the Commission does not show a very firm policy so often reducing ergonomic incidents and MSDs disorders is not a goal, but rather measurement and control them. Not leading to a process of continuous improvement [16]. Mexican scenario could lead to not observing the critical aspects of an ergonomic evaluation (Table 4) that could derive to disesteem internal assessments from the organization and trusting more on external "expert consultants" that have the equipment but not the power of decision and execution to make deep changes rather than make up some situations.</w:t>
      </w:r>
    </w:p>
    <w:p>
      <w:pPr>
        <w:pStyle w:val="BodyText"/>
        <w:ind w:left="270" w:right="676" w:firstLine="708"/>
        <w:jc w:val="both"/>
      </w:pPr>
      <w:r>
        <w:rPr/>
        <w:t>As presented in Table 3, there are many ergonomic methodologies from evaluation that can be used as the knowledge and experience of coordinator in the specific situation from workplace; but also “critical aspects in an ergonomic assessment” (Table 4) should be considered to potentiate the successful achievements in the organization. However a disturbing scenario would be if the CCNSST commission began to present an “official ergonomic methodologies” for evaluation and to restrict its use without considering the critical aspects. This or other scenarios should evolve in the coming years.</w:t>
      </w:r>
    </w:p>
    <w:p>
      <w:pPr>
        <w:pStyle w:val="BodyText"/>
        <w:spacing w:before="2"/>
      </w:pPr>
    </w:p>
    <w:p>
      <w:pPr>
        <w:pStyle w:val="Heading4"/>
        <w:numPr>
          <w:ilvl w:val="0"/>
          <w:numId w:val="164"/>
        </w:numPr>
        <w:tabs>
          <w:tab w:pos="471" w:val="left" w:leader="none"/>
        </w:tabs>
        <w:spacing w:line="240" w:lineRule="auto" w:before="0" w:after="0"/>
        <w:ind w:left="470" w:right="0" w:hanging="200"/>
        <w:jc w:val="both"/>
      </w:pPr>
      <w:r>
        <w:rPr/>
        <w:t>OBJECTIVES</w:t>
      </w:r>
    </w:p>
    <w:p>
      <w:pPr>
        <w:pStyle w:val="BodyText"/>
        <w:spacing w:before="8"/>
        <w:rPr>
          <w:b/>
          <w:sz w:val="19"/>
        </w:rPr>
      </w:pPr>
    </w:p>
    <w:p>
      <w:pPr>
        <w:pStyle w:val="BodyText"/>
        <w:ind w:left="270" w:right="676" w:firstLine="200"/>
        <w:jc w:val="both"/>
      </w:pPr>
      <w:r>
        <w:rPr/>
        <w:t>Present an analysis of the new aspects of the new rules and regulations relating to ergonomic area; reviewing some of the ergonomic risk factors that can be commonly found on a</w:t>
      </w:r>
      <w:r>
        <w:rPr>
          <w:spacing w:val="-11"/>
        </w:rPr>
        <w:t> </w:t>
      </w:r>
      <w:r>
        <w:rPr/>
        <w:t>workstation</w:t>
      </w:r>
    </w:p>
    <w:p>
      <w:pPr>
        <w:pStyle w:val="BodyText"/>
        <w:ind w:left="270" w:right="677" w:firstLine="397"/>
        <w:jc w:val="both"/>
      </w:pPr>
      <w:r>
        <w:rPr/>
        <w:t>Delineate opportunity areas in the workplace according to new RFSST Mexican regulation in the area of Ergonomics and Occupational</w:t>
      </w:r>
      <w:r>
        <w:rPr>
          <w:spacing w:val="-12"/>
        </w:rPr>
        <w:t> </w:t>
      </w:r>
      <w:r>
        <w:rPr/>
        <w:t>Health</w:t>
      </w:r>
    </w:p>
    <w:p>
      <w:pPr>
        <w:pStyle w:val="BodyText"/>
        <w:spacing w:before="3"/>
      </w:pPr>
    </w:p>
    <w:p>
      <w:pPr>
        <w:pStyle w:val="Heading4"/>
        <w:numPr>
          <w:ilvl w:val="0"/>
          <w:numId w:val="164"/>
        </w:numPr>
        <w:tabs>
          <w:tab w:pos="471" w:val="left" w:leader="none"/>
        </w:tabs>
        <w:spacing w:line="240" w:lineRule="auto" w:before="0" w:after="0"/>
        <w:ind w:left="470" w:right="0" w:hanging="200"/>
        <w:jc w:val="both"/>
      </w:pPr>
      <w:r>
        <w:rPr/>
        <w:t>METHODOLOGY</w:t>
      </w:r>
    </w:p>
    <w:p>
      <w:pPr>
        <w:pStyle w:val="BodyText"/>
        <w:spacing w:before="8"/>
        <w:rPr>
          <w:b/>
          <w:sz w:val="19"/>
        </w:rPr>
      </w:pPr>
    </w:p>
    <w:p>
      <w:pPr>
        <w:pStyle w:val="BodyText"/>
        <w:ind w:left="270" w:right="677" w:firstLine="200"/>
        <w:jc w:val="both"/>
      </w:pPr>
      <w:r>
        <w:rPr/>
        <w:t>After the bibliographic research on occupational safety and occupational health; are classified and measured strategies for analyzing ergonomic risk factors; for implementation in various maquiladoras of the town, in compliance with RFSST federal regulation.</w:t>
      </w:r>
    </w:p>
    <w:p>
      <w:pPr>
        <w:spacing w:after="0"/>
        <w:jc w:val="both"/>
        <w:sectPr>
          <w:type w:val="continuous"/>
          <w:pgSz w:w="12240" w:h="15840"/>
          <w:pgMar w:top="1500" w:bottom="280" w:left="580" w:right="220"/>
          <w:cols w:num="2" w:equalWidth="0">
            <w:col w:w="5190" w:space="434"/>
            <w:col w:w="5816"/>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4"/>
        <w:ind w:left="270" w:firstLine="708"/>
        <w:jc w:val="both"/>
      </w:pPr>
      <w:r>
        <w:rPr/>
        <w:t>Three ergonomic projects in various local maquiladoras are monitoring simultaneously, some field interviews and visits to workplaces are made.</w:t>
      </w:r>
    </w:p>
    <w:p>
      <w:pPr>
        <w:pStyle w:val="BodyText"/>
        <w:spacing w:before="2"/>
      </w:pPr>
    </w:p>
    <w:p>
      <w:pPr>
        <w:pStyle w:val="Heading4"/>
        <w:numPr>
          <w:ilvl w:val="0"/>
          <w:numId w:val="164"/>
        </w:numPr>
        <w:tabs>
          <w:tab w:pos="471" w:val="left" w:leader="none"/>
        </w:tabs>
        <w:spacing w:line="240" w:lineRule="auto" w:before="0" w:after="0"/>
        <w:ind w:left="470" w:right="0" w:hanging="200"/>
        <w:jc w:val="both"/>
      </w:pPr>
      <w:r>
        <w:rPr/>
        <w:t>RESULTS AND</w:t>
      </w:r>
      <w:r>
        <w:rPr>
          <w:spacing w:val="-5"/>
        </w:rPr>
        <w:t> </w:t>
      </w:r>
      <w:r>
        <w:rPr/>
        <w:t>ANALYSIS</w:t>
      </w:r>
    </w:p>
    <w:p>
      <w:pPr>
        <w:pStyle w:val="BodyText"/>
        <w:spacing w:before="9"/>
        <w:rPr>
          <w:b/>
          <w:sz w:val="19"/>
        </w:rPr>
      </w:pPr>
    </w:p>
    <w:p>
      <w:pPr>
        <w:pStyle w:val="BodyText"/>
        <w:spacing w:before="1"/>
        <w:ind w:left="270" w:firstLine="250"/>
        <w:jc w:val="both"/>
      </w:pPr>
      <w:r>
        <w:rPr/>
        <w:t>Results shown that in the analyzed industries, a lack of knowledge in the field of ergonomic aspects that impact the activities of staff, there are unfamiliarity with the most suitable alternative for assessing ergonomic risk factors. In addition to this lack of knowledge and training to adequately perform ergonomic studies, it also lacks resources, so it is convenient to enter into the dynamics of making a gradual ergonomic analysis (which it justify itself allocating more resources in the area to be used in personnel, training and specialized equipment).</w:t>
      </w:r>
    </w:p>
    <w:p>
      <w:pPr>
        <w:pStyle w:val="BodyText"/>
        <w:ind w:left="270" w:firstLine="708"/>
        <w:jc w:val="both"/>
      </w:pPr>
      <w:r>
        <w:rPr/>
        <w:t>A first strategy is to develop an analysis of incidents in the various workplaces reviewing medical records and conducting interviews on MSDs (musculoskeletal disorders). Although this alternative presents some problems of implementation as is usually done in the field by students or semi-skilled staff that is not always well trained, so a verification process should be contemplated especially in workstations that are perceived as critical.</w:t>
      </w:r>
    </w:p>
    <w:p>
      <w:pPr>
        <w:pStyle w:val="BodyText"/>
        <w:ind w:left="270" w:right="1" w:firstLine="708"/>
        <w:jc w:val="both"/>
      </w:pPr>
      <w:r>
        <w:rPr/>
        <w:t>Additionally, various ergonomics methods are also detected as forced to fit in the workplace, this is found in areas with in long production cycles (usually in work cells), because having a large cycle from several minutes, the same worker usually wander and have many different positions, efforts and activities in their working area. Thus, it is desirable to identify methodologies to contemplate the frequency or repetition of different postures. Also due to this situation is convenient to evaluate workplaces according to different methodologies and compare the results.</w:t>
      </w:r>
    </w:p>
    <w:p>
      <w:pPr>
        <w:pStyle w:val="BodyText"/>
        <w:spacing w:before="2"/>
      </w:pPr>
    </w:p>
    <w:p>
      <w:pPr>
        <w:pStyle w:val="Heading4"/>
        <w:numPr>
          <w:ilvl w:val="0"/>
          <w:numId w:val="164"/>
        </w:numPr>
        <w:tabs>
          <w:tab w:pos="472" w:val="left" w:leader="none"/>
        </w:tabs>
        <w:spacing w:line="240" w:lineRule="auto" w:before="0" w:after="0"/>
        <w:ind w:left="471" w:right="0" w:hanging="201"/>
        <w:jc w:val="both"/>
      </w:pPr>
      <w:r>
        <w:rPr/>
        <w:t>CONCLUSIONS</w:t>
      </w:r>
    </w:p>
    <w:p>
      <w:pPr>
        <w:pStyle w:val="BodyText"/>
        <w:spacing w:before="9"/>
        <w:rPr>
          <w:b/>
          <w:sz w:val="19"/>
        </w:rPr>
      </w:pPr>
    </w:p>
    <w:p>
      <w:pPr>
        <w:pStyle w:val="BodyText"/>
        <w:spacing w:before="1"/>
        <w:ind w:left="270"/>
        <w:jc w:val="both"/>
      </w:pPr>
      <w:r>
        <w:rPr/>
        <w:t>The new Mexican regulations for occupational Safety and Health RFSST, would improve the area of Occupational Health and Ergonomics greatly at not be as optional as  before rather than enforced by law. A work should be done  in organizations assessing its workers, differentiating and analyzing their activities under the aspects involving ergonomic</w:t>
      </w:r>
      <w:r>
        <w:rPr>
          <w:spacing w:val="-2"/>
        </w:rPr>
        <w:t> </w:t>
      </w:r>
      <w:r>
        <w:rPr/>
        <w:t>hazards.</w:t>
      </w:r>
    </w:p>
    <w:p>
      <w:pPr>
        <w:pStyle w:val="BodyText"/>
        <w:ind w:left="270" w:right="1" w:firstLine="708"/>
        <w:jc w:val="both"/>
      </w:pPr>
      <w:r>
        <w:rPr/>
        <w:t>It is important to apply different methodologies to support findings, where its intersection we can base and justify activity changes in the workplace.</w:t>
      </w:r>
    </w:p>
    <w:p>
      <w:pPr>
        <w:pStyle w:val="BodyText"/>
        <w:ind w:left="270" w:firstLine="708"/>
        <w:jc w:val="both"/>
      </w:pPr>
      <w:r>
        <w:rPr/>
        <w:t>Seeing the lack of training and need to take greater control in any analysis and implementation, it would be desirable to develop solutions in the form of technological and portable aids for organizations as it could be used remotely by their mobile phones or tablets, ensuring proper recording of data, and traceability.</w:t>
      </w:r>
    </w:p>
    <w:p>
      <w:pPr>
        <w:pStyle w:val="BodyText"/>
        <w:ind w:left="270" w:firstLine="708"/>
        <w:jc w:val="both"/>
      </w:pPr>
      <w:r>
        <w:rPr/>
        <w:t>An analysis software could be developed, Also specialized laboratories could be arise to support the organization coordinator to help them understanding and realizing changes in the workplace toward reducing ergonomics  risk  factors  and  accomplish  the  new   RFSST</w:t>
      </w:r>
    </w:p>
    <w:p>
      <w:pPr>
        <w:pStyle w:val="BodyText"/>
        <w:spacing w:before="74"/>
        <w:ind w:left="270" w:right="676"/>
        <w:jc w:val="both"/>
      </w:pPr>
      <w:r>
        <w:rPr/>
        <w:br w:type="column"/>
      </w:r>
      <w:r>
        <w:rPr/>
        <w:t>regulation; also helping them understanding the critical aspects in an ergonomic assessment. But mostly to help organization in a journal change in prevention culture, changing intolerable situations into tolerable and acceptable situations [8], to seek the analysis and improvement of working conditions and safety as an organizational philosophy.</w:t>
      </w:r>
    </w:p>
    <w:p>
      <w:pPr>
        <w:pStyle w:val="BodyText"/>
        <w:spacing w:before="2"/>
      </w:pPr>
    </w:p>
    <w:p>
      <w:pPr>
        <w:pStyle w:val="Heading4"/>
        <w:ind w:right="702"/>
        <w:jc w:val="left"/>
      </w:pPr>
      <w:r>
        <w:rPr/>
        <w:t>REFERENCES</w:t>
      </w:r>
    </w:p>
    <w:p>
      <w:pPr>
        <w:pStyle w:val="BodyText"/>
        <w:spacing w:before="7"/>
        <w:rPr>
          <w:b/>
          <w:sz w:val="19"/>
        </w:rPr>
      </w:pPr>
    </w:p>
    <w:p>
      <w:pPr>
        <w:spacing w:before="0"/>
        <w:ind w:left="555" w:right="669" w:hanging="285"/>
        <w:jc w:val="left"/>
        <w:rPr>
          <w:sz w:val="16"/>
        </w:rPr>
      </w:pPr>
      <w:r>
        <w:rPr>
          <w:sz w:val="16"/>
        </w:rPr>
        <w:t>[1] Granados Santamaria S. (2010), “Manual de Seguridad y Salud en el trabajo”, Memoria, Universidad Tecnológica De La Sierra Hidalguense</w:t>
      </w:r>
    </w:p>
    <w:p>
      <w:pPr>
        <w:spacing w:before="1"/>
        <w:ind w:left="555" w:right="717" w:hanging="285"/>
        <w:jc w:val="left"/>
        <w:rPr>
          <w:sz w:val="16"/>
        </w:rPr>
      </w:pPr>
      <w:r>
        <w:rPr>
          <w:sz w:val="16"/>
        </w:rPr>
        <w:t>[2] Arenas Ortiz L., Cantú Gómez O., (2013), “Factores de riesgo de trastornos músculo-esqueléticos crónicos laborales”, Revista Medicina Interna de México, 29(4):370-379</w:t>
      </w:r>
    </w:p>
    <w:p>
      <w:pPr>
        <w:spacing w:before="1"/>
        <w:ind w:left="555" w:right="729" w:hanging="285"/>
        <w:jc w:val="left"/>
        <w:rPr>
          <w:sz w:val="16"/>
        </w:rPr>
      </w:pPr>
      <w:r>
        <w:rPr>
          <w:sz w:val="16"/>
        </w:rPr>
        <w:t>[3] ILO (International Labor Organization - Organización Internacional del Trabajo), (2008), “Declaración de Seúl sobre Seguridad y Salud en el Trabajo”, OIT, </w:t>
      </w:r>
      <w:hyperlink r:id="rId766">
        <w:r>
          <w:rPr>
            <w:sz w:val="16"/>
          </w:rPr>
          <w:t>http://www.ilo.org/global/about-the-ilo/media-</w:t>
        </w:r>
      </w:hyperlink>
      <w:r>
        <w:rPr>
          <w:sz w:val="16"/>
        </w:rPr>
        <w:t> centre/statements-and-speeches/WCMS_095955/lang--es/index.htm con acceso en Noviembre 2014</w:t>
      </w:r>
    </w:p>
    <w:p>
      <w:pPr>
        <w:spacing w:before="0"/>
        <w:ind w:left="555" w:right="727" w:hanging="285"/>
        <w:jc w:val="left"/>
        <w:rPr>
          <w:sz w:val="16"/>
        </w:rPr>
      </w:pPr>
      <w:r>
        <w:rPr>
          <w:sz w:val="16"/>
        </w:rPr>
        <w:t>[4] Vega García A.L., Montaño Bojórquez M., García Mora E.G., Miranda Blanco C.A., Montaño Fimbres M.O., López Millán F.O., De la Vega Bustillos E.J., (2003), “METRIXX VR Laboratorio Virtual de Ergonomía”, V Congreso Internacional De Ergonomía SEMAC Y IX Reunión Binacional de Ergonomía México-E.U.A.</w:t>
      </w:r>
    </w:p>
    <w:p>
      <w:pPr>
        <w:spacing w:before="0"/>
        <w:ind w:left="555" w:right="712" w:hanging="285"/>
        <w:jc w:val="left"/>
        <w:rPr>
          <w:sz w:val="16"/>
        </w:rPr>
      </w:pPr>
      <w:r>
        <w:rPr>
          <w:sz w:val="16"/>
        </w:rPr>
        <w:t>[5] Fernández G., M., Fernández V., M., Manso H. M.A., Gomez R., M.P., Jiménez R., M.C., Coz D.,F., (2013), “Trastornos musculoesqueléticos en personal auxiliar de enfermería del C.P.R.P.M. Mixta”, Revista Gerokomos, 25(1):17-22</w:t>
      </w:r>
    </w:p>
    <w:p>
      <w:pPr>
        <w:spacing w:before="0"/>
        <w:ind w:left="555" w:right="776" w:hanging="285"/>
        <w:jc w:val="left"/>
        <w:rPr>
          <w:sz w:val="16"/>
        </w:rPr>
      </w:pPr>
      <w:r>
        <w:rPr>
          <w:sz w:val="16"/>
        </w:rPr>
        <w:t>[6] Pérez H. Pantoja L.M., (2007), “Riesgos de trabajo, seguridad, higiene y medicina del trabajo”, en “Propuestas para una reforma laboral democrática”, UNAM</w:t>
      </w:r>
    </w:p>
    <w:p>
      <w:pPr>
        <w:spacing w:before="0"/>
        <w:ind w:left="555" w:right="784" w:hanging="285"/>
        <w:jc w:val="both"/>
        <w:rPr>
          <w:sz w:val="16"/>
        </w:rPr>
      </w:pPr>
      <w:r>
        <w:rPr>
          <w:sz w:val="16"/>
        </w:rPr>
        <w:t>[7] Zavala Gamboa O., (2010), “La naturaleza del convenio 187 de la OIT y la protección de la salud de los trabajadores en México, una agenda pendiente”, Revista Latinoamericana de Derecho Social, 11:255-276</w:t>
      </w:r>
    </w:p>
    <w:p>
      <w:pPr>
        <w:spacing w:before="0"/>
        <w:ind w:left="555" w:right="882" w:hanging="285"/>
        <w:jc w:val="left"/>
        <w:rPr>
          <w:sz w:val="16"/>
        </w:rPr>
      </w:pPr>
      <w:r>
        <w:rPr>
          <w:sz w:val="16"/>
        </w:rPr>
        <w:t>[8] Moreno Briceño F., Godoy E., (2012), “Riesgos Laborales un Nuevo Desafío para la Gerencia”, Daena: International Journal of Good Conscience. 7(1):38-56</w:t>
      </w:r>
    </w:p>
    <w:p>
      <w:pPr>
        <w:spacing w:before="0"/>
        <w:ind w:left="555" w:right="702" w:hanging="285"/>
        <w:jc w:val="left"/>
        <w:rPr>
          <w:sz w:val="16"/>
        </w:rPr>
      </w:pPr>
      <w:r>
        <w:rPr>
          <w:sz w:val="16"/>
        </w:rPr>
        <w:t>[9] Ramos I., (2014), “Nuevo Reglamento Federal de seguridad y salud en el Trabajo”, Newsletter GAN, Entorno corporativo, Diciembre 2014, </w:t>
      </w:r>
      <w:hyperlink r:id="rId767">
        <w:r>
          <w:rPr>
            <w:w w:val="95"/>
            <w:sz w:val="16"/>
          </w:rPr>
          <w:t>http://www.entornocorporativo.com.mx/newsletters/diciembre/segurid</w:t>
        </w:r>
      </w:hyperlink>
      <w:r>
        <w:rPr>
          <w:w w:val="95"/>
          <w:sz w:val="16"/>
        </w:rPr>
        <w:t> </w:t>
      </w:r>
      <w:r>
        <w:rPr>
          <w:sz w:val="16"/>
        </w:rPr>
        <w:t>ad.pdf con acceso en enero 2015</w:t>
      </w:r>
    </w:p>
    <w:p>
      <w:pPr>
        <w:spacing w:before="0"/>
        <w:ind w:left="555" w:right="743" w:hanging="285"/>
        <w:jc w:val="left"/>
        <w:rPr>
          <w:sz w:val="16"/>
        </w:rPr>
      </w:pPr>
      <w:r>
        <w:rPr>
          <w:sz w:val="16"/>
        </w:rPr>
        <w:t>[10] Secretaria del Trabajo y Previsión Social, (2014), “Reglamento Federal de Seguridad y Salud en el Trabajo”, </w:t>
      </w:r>
      <w:r>
        <w:rPr>
          <w:w w:val="95"/>
          <w:sz w:val="16"/>
        </w:rPr>
        <w:t>http://www.dof.gob.mx/nota_detalle.php?codigo=5368114&amp;fecha=13/ </w:t>
      </w:r>
      <w:r>
        <w:rPr>
          <w:sz w:val="16"/>
        </w:rPr>
        <w:t>11/2014 con acceso en enero 2015</w:t>
      </w:r>
    </w:p>
    <w:p>
      <w:pPr>
        <w:spacing w:before="1"/>
        <w:ind w:left="555" w:right="794" w:hanging="285"/>
        <w:jc w:val="left"/>
        <w:rPr>
          <w:sz w:val="16"/>
        </w:rPr>
      </w:pPr>
      <w:r>
        <w:rPr>
          <w:sz w:val="16"/>
        </w:rPr>
        <w:t>[11] González M.C., García A.M, Gadea R., Martinez J.M., Velarde J.M., (2013), “Exposición a carga física en el trabajo por ocupación: una explotación de los datos en matriz empleo-exposición española (MatEmESp)”, Revista Española  Salud Publica, 87(6):601-614</w:t>
      </w:r>
    </w:p>
    <w:p>
      <w:pPr>
        <w:spacing w:before="0"/>
        <w:ind w:left="555" w:right="793" w:hanging="285"/>
        <w:jc w:val="left"/>
        <w:rPr>
          <w:sz w:val="16"/>
        </w:rPr>
      </w:pPr>
      <w:r>
        <w:rPr>
          <w:sz w:val="16"/>
        </w:rPr>
        <w:t>[12] Quiroz O.A., León J.A., Fornés-R.D., (2014), “Diagnóstico ergonómico en una fábrica metalmecánica de autopartes”, VII Simposio Internacional de Ingeniería Industrial: Actualidad y Nuevas Tendencias 2014</w:t>
      </w:r>
    </w:p>
    <w:p>
      <w:pPr>
        <w:spacing w:before="0"/>
        <w:ind w:left="555" w:right="745" w:hanging="285"/>
        <w:jc w:val="left"/>
        <w:rPr>
          <w:sz w:val="16"/>
        </w:rPr>
      </w:pPr>
      <w:r>
        <w:rPr>
          <w:sz w:val="16"/>
        </w:rPr>
        <w:t>[13] Ministerio del Trabajo y Previsión Social, (2008), “Guía Técnica para la evaluación y control de los riesgos asociados al manejo o manipulación manual de carga”, Subsecretaría de previsión social,</w:t>
      </w:r>
    </w:p>
    <w:p>
      <w:pPr>
        <w:spacing w:line="184" w:lineRule="exact" w:before="0"/>
        <w:ind w:left="555" w:right="702" w:firstLine="0"/>
        <w:jc w:val="left"/>
        <w:rPr>
          <w:sz w:val="16"/>
        </w:rPr>
      </w:pPr>
      <w:r>
        <w:rPr>
          <w:sz w:val="16"/>
        </w:rPr>
        <w:t>Gobierno de Chile</w:t>
      </w:r>
    </w:p>
    <w:p>
      <w:pPr>
        <w:spacing w:before="1"/>
        <w:ind w:left="555" w:right="758" w:hanging="285"/>
        <w:jc w:val="left"/>
        <w:rPr>
          <w:sz w:val="16"/>
        </w:rPr>
      </w:pPr>
      <w:r>
        <w:rPr>
          <w:sz w:val="16"/>
        </w:rPr>
        <w:t>[14] Asensio S., Diego J., Alcaide J, (2008),“Estudio de la aplicabilidad práctica de los métodos de evaluación ergonómica de puestos de trabajo”, 12th International Conference on Project Engineering, 1878- 1890</w:t>
      </w:r>
    </w:p>
    <w:p>
      <w:pPr>
        <w:spacing w:before="1"/>
        <w:ind w:left="555" w:right="789" w:hanging="285"/>
        <w:jc w:val="left"/>
        <w:rPr>
          <w:sz w:val="16"/>
        </w:rPr>
      </w:pPr>
      <w:r>
        <w:rPr>
          <w:sz w:val="16"/>
        </w:rPr>
        <w:t>[15] Castro E., Díaz V.M., Herreño E., Martínez L.A., (2004), “Análisis y selección de protocolos para el desarrollo de prácticas en el Laboratorio de Factores Humanos en la Universidad Nacional de Colombia -Sede Palmira”, ¿Qué es diseño Hoy? - Primer Encuentro Nacional de Investigación en Diseño, Universidad Icesi 2004</w:t>
      </w:r>
    </w:p>
    <w:p>
      <w:pPr>
        <w:spacing w:before="0"/>
        <w:ind w:left="555" w:right="793" w:hanging="285"/>
        <w:jc w:val="left"/>
        <w:rPr>
          <w:sz w:val="16"/>
        </w:rPr>
      </w:pPr>
      <w:r>
        <w:rPr>
          <w:sz w:val="16"/>
        </w:rPr>
        <w:t>[16] Malchaire J., Gauthy R., Piette A., Strambi F., (2011), “ETUI – Clasificación de métodos de evaluación y/o prevención de los riesgos por trastornos musculo esqueléticos”</w:t>
      </w:r>
    </w:p>
    <w:p>
      <w:pPr>
        <w:spacing w:after="0"/>
        <w:jc w:val="left"/>
        <w:rPr>
          <w:sz w:val="16"/>
        </w:rPr>
        <w:sectPr>
          <w:type w:val="continuous"/>
          <w:pgSz w:w="12240" w:h="15840"/>
          <w:pgMar w:top="1500" w:bottom="280" w:left="580" w:right="220"/>
          <w:cols w:num="2" w:equalWidth="0">
            <w:col w:w="5190" w:space="434"/>
            <w:col w:w="5816"/>
          </w:cols>
        </w:sectPr>
      </w:pPr>
    </w:p>
    <w:p>
      <w:pPr>
        <w:pStyle w:val="BodyText"/>
        <w:spacing w:before="10"/>
        <w:rPr>
          <w:sz w:val="10"/>
        </w:rPr>
      </w:pPr>
    </w:p>
    <w:p>
      <w:pPr>
        <w:spacing w:before="79"/>
        <w:ind w:left="555" w:right="6350" w:hanging="285"/>
        <w:jc w:val="left"/>
        <w:rPr>
          <w:sz w:val="16"/>
        </w:rPr>
      </w:pPr>
      <w:r>
        <w:rPr>
          <w:sz w:val="16"/>
        </w:rPr>
        <w:t>[17] Flores M.A., (2015). “Precisiones sobre el Reglamento Federal de Seguridad y Salud en el Trabajo”, ponencia del Seminario Permanente de Salud en el Trabajo, UNAM, </w:t>
      </w:r>
      <w:hyperlink r:id="rId768">
        <w:r>
          <w:rPr>
            <w:sz w:val="16"/>
          </w:rPr>
          <w:t>https://www.youtube.co</w:t>
        </w:r>
      </w:hyperlink>
      <w:r>
        <w:rPr>
          <w:sz w:val="16"/>
        </w:rPr>
        <w:t>m/channe</w:t>
      </w:r>
      <w:hyperlink r:id="rId768">
        <w:r>
          <w:rPr>
            <w:sz w:val="16"/>
          </w:rPr>
          <w:t>l/UCuwuAuOptPiZfUF8dxu4VBg</w:t>
        </w:r>
      </w:hyperlink>
      <w:r>
        <w:rPr>
          <w:sz w:val="16"/>
        </w:rPr>
        <w:t> con acceso en abril 2015-04-06</w:t>
      </w:r>
    </w:p>
    <w:p>
      <w:pPr>
        <w:spacing w:after="0"/>
        <w:jc w:val="left"/>
        <w:rPr>
          <w:sz w:val="16"/>
        </w:rPr>
        <w:sectPr>
          <w:pgSz w:w="12240" w:h="15840"/>
          <w:pgMar w:header="545" w:footer="852" w:top="1060" w:bottom="1040" w:left="580" w:right="220"/>
        </w:sectPr>
      </w:pPr>
    </w:p>
    <w:p>
      <w:pPr>
        <w:pStyle w:val="BodyText"/>
        <w:spacing w:before="4"/>
        <w:rPr>
          <w:sz w:val="11"/>
        </w:rPr>
      </w:pPr>
    </w:p>
    <w:p>
      <w:pPr>
        <w:spacing w:after="0"/>
        <w:rPr>
          <w:sz w:val="11"/>
        </w:rPr>
        <w:sectPr>
          <w:footerReference w:type="default" r:id="rId769"/>
          <w:pgSz w:w="12240" w:h="15840"/>
          <w:pgMar w:footer="852" w:header="545" w:top="1060" w:bottom="1040" w:left="580" w:right="220"/>
        </w:sectPr>
      </w:pPr>
    </w:p>
    <w:p>
      <w:pPr>
        <w:pStyle w:val="BodyText"/>
        <w:spacing w:before="7"/>
        <w:rPr>
          <w:sz w:val="26"/>
        </w:rPr>
      </w:pPr>
    </w:p>
    <w:p>
      <w:pPr>
        <w:pStyle w:val="Heading1"/>
        <w:ind w:right="17"/>
      </w:pPr>
      <w:r>
        <w:rPr/>
        <w:t>Comparative analysis on college students through spirometry with wireless telemetry</w:t>
      </w:r>
    </w:p>
    <w:p>
      <w:pPr>
        <w:pStyle w:val="BodyText"/>
        <w:spacing w:before="5"/>
        <w:rPr>
          <w:b/>
          <w:sz w:val="19"/>
        </w:rPr>
      </w:pPr>
    </w:p>
    <w:p>
      <w:pPr>
        <w:spacing w:line="213" w:lineRule="auto" w:before="0"/>
        <w:ind w:left="270" w:right="17" w:firstLine="0"/>
        <w:jc w:val="both"/>
        <w:rPr>
          <w:i/>
          <w:sz w:val="13"/>
        </w:rPr>
      </w:pPr>
      <w:r>
        <w:rPr>
          <w:i/>
          <w:sz w:val="20"/>
        </w:rPr>
        <w:t>Ávila Zavala Lucia Gabriela¹, López Barreras Juan Andres</w:t>
      </w:r>
      <w:r>
        <w:rPr>
          <w:i/>
          <w:position w:val="9"/>
          <w:sz w:val="13"/>
        </w:rPr>
        <w:t>2</w:t>
      </w:r>
      <w:r>
        <w:rPr>
          <w:i/>
          <w:sz w:val="20"/>
        </w:rPr>
        <w:t>, </w:t>
      </w:r>
      <w:r>
        <w:rPr>
          <w:i/>
          <w:sz w:val="20"/>
        </w:rPr>
        <w:t>Ontiveros Zepeda Arturo Sinue</w:t>
      </w:r>
      <w:r>
        <w:rPr>
          <w:i/>
          <w:position w:val="9"/>
          <w:sz w:val="13"/>
        </w:rPr>
        <w:t>3</w:t>
      </w:r>
      <w:r>
        <w:rPr>
          <w:i/>
          <w:sz w:val="20"/>
        </w:rPr>
        <w:t>, Camargo Wilson Claudia</w:t>
      </w:r>
      <w:r>
        <w:rPr>
          <w:i/>
          <w:position w:val="9"/>
          <w:sz w:val="13"/>
        </w:rPr>
        <w:t>4</w:t>
      </w:r>
      <w:r>
        <w:rPr>
          <w:i/>
          <w:sz w:val="20"/>
        </w:rPr>
        <w:t>, Olguín Tiznado Jesús Everardo</w:t>
      </w:r>
      <w:r>
        <w:rPr>
          <w:i/>
          <w:position w:val="9"/>
          <w:sz w:val="13"/>
        </w:rPr>
        <w:t>5</w:t>
      </w:r>
    </w:p>
    <w:p>
      <w:pPr>
        <w:pStyle w:val="BodyText"/>
        <w:spacing w:before="2"/>
        <w:rPr>
          <w:i/>
          <w:sz w:val="19"/>
        </w:rPr>
      </w:pPr>
    </w:p>
    <w:p>
      <w:pPr>
        <w:spacing w:before="0"/>
        <w:ind w:left="270" w:right="1" w:firstLine="0"/>
        <w:jc w:val="both"/>
        <w:rPr>
          <w:sz w:val="16"/>
        </w:rPr>
      </w:pPr>
      <w:r>
        <w:rPr>
          <w:position w:val="7"/>
          <w:sz w:val="10"/>
        </w:rPr>
        <w:t>1 </w:t>
      </w:r>
      <w:r>
        <w:rPr>
          <w:sz w:val="16"/>
        </w:rPr>
        <w:t>Universidad Autónoma de Baja California, </w:t>
      </w:r>
      <w:hyperlink r:id="rId770">
        <w:r>
          <w:rPr>
            <w:color w:val="0000FF"/>
            <w:sz w:val="16"/>
            <w:u w:val="single" w:color="0000FF"/>
          </w:rPr>
          <w:t>lucia.avila@uabc.edu.mx</w:t>
        </w:r>
        <w:r>
          <w:rPr>
            <w:sz w:val="16"/>
          </w:rPr>
          <w:t>,</w:t>
        </w:r>
      </w:hyperlink>
      <w:r>
        <w:rPr>
          <w:sz w:val="16"/>
        </w:rPr>
        <w:t> Tijuana Baja California.</w:t>
      </w:r>
    </w:p>
    <w:p>
      <w:pPr>
        <w:spacing w:line="184" w:lineRule="exact" w:before="1"/>
        <w:ind w:left="270" w:right="0" w:firstLine="0"/>
        <w:jc w:val="both"/>
        <w:rPr>
          <w:sz w:val="16"/>
        </w:rPr>
      </w:pPr>
      <w:r>
        <w:rPr>
          <w:position w:val="7"/>
          <w:sz w:val="10"/>
        </w:rPr>
        <w:t>2 </w:t>
      </w:r>
      <w:r>
        <w:rPr>
          <w:sz w:val="16"/>
        </w:rPr>
        <w:t>Universidad Autónoma de Baja California, </w:t>
      </w:r>
      <w:r>
        <w:rPr>
          <w:color w:val="0000FF"/>
          <w:sz w:val="16"/>
          <w:u w:val="single" w:color="0000FF"/>
        </w:rPr>
        <w:t>jalopez@uabc.edu.mx</w:t>
      </w:r>
      <w:r>
        <w:rPr>
          <w:sz w:val="16"/>
        </w:rPr>
        <w:t>,Tijuana Baja California.</w:t>
      </w:r>
    </w:p>
    <w:p>
      <w:pPr>
        <w:spacing w:line="184" w:lineRule="exact" w:before="0"/>
        <w:ind w:left="270" w:right="1" w:firstLine="0"/>
        <w:jc w:val="both"/>
        <w:rPr>
          <w:sz w:val="16"/>
        </w:rPr>
      </w:pPr>
      <w:r>
        <w:rPr>
          <w:position w:val="7"/>
          <w:sz w:val="10"/>
        </w:rPr>
        <w:t>3 </w:t>
      </w:r>
      <w:r>
        <w:rPr>
          <w:sz w:val="16"/>
        </w:rPr>
        <w:t>Universidad Autónoma de Baja California, </w:t>
      </w:r>
      <w:hyperlink r:id="rId771">
        <w:r>
          <w:rPr>
            <w:color w:val="0000FF"/>
            <w:sz w:val="16"/>
            <w:u w:val="single" w:color="0000FF"/>
          </w:rPr>
          <w:t>sinue.ontiveros@uabc.edu.mx</w:t>
        </w:r>
        <w:r>
          <w:rPr>
            <w:sz w:val="16"/>
          </w:rPr>
          <w:t>,</w:t>
        </w:r>
      </w:hyperlink>
      <w:r>
        <w:rPr>
          <w:sz w:val="16"/>
        </w:rPr>
        <w:t> Tijuana Baja California.</w:t>
      </w:r>
    </w:p>
    <w:p>
      <w:pPr>
        <w:spacing w:line="181" w:lineRule="exact" w:before="0"/>
        <w:ind w:left="270" w:right="0" w:firstLine="0"/>
        <w:jc w:val="both"/>
        <w:rPr>
          <w:sz w:val="16"/>
        </w:rPr>
      </w:pPr>
      <w:r>
        <w:rPr>
          <w:position w:val="7"/>
          <w:sz w:val="10"/>
        </w:rPr>
        <w:t>4</w:t>
      </w:r>
      <w:r>
        <w:rPr>
          <w:sz w:val="16"/>
        </w:rPr>
        <w:t>Universidad   Autónoma   de   Baja   California,    </w:t>
      </w:r>
      <w:hyperlink r:id="rId772">
        <w:r>
          <w:rPr>
            <w:color w:val="0000FF"/>
            <w:sz w:val="16"/>
            <w:u w:val="single" w:color="0000FF"/>
          </w:rPr>
          <w:t>ccamargo@uabc.edu.mx</w:t>
        </w:r>
        <w:r>
          <w:rPr>
            <w:sz w:val="16"/>
          </w:rPr>
          <w:t>,</w:t>
        </w:r>
      </w:hyperlink>
    </w:p>
    <w:p>
      <w:pPr>
        <w:spacing w:line="177" w:lineRule="exact" w:before="1"/>
        <w:ind w:left="270" w:right="0" w:firstLine="0"/>
        <w:jc w:val="both"/>
        <w:rPr>
          <w:sz w:val="16"/>
        </w:rPr>
      </w:pPr>
      <w:r>
        <w:rPr>
          <w:sz w:val="16"/>
        </w:rPr>
        <w:t>Tijuana Baja California.</w:t>
      </w:r>
    </w:p>
    <w:p>
      <w:pPr>
        <w:spacing w:line="184" w:lineRule="exact" w:before="9"/>
        <w:ind w:left="270" w:right="0" w:firstLine="0"/>
        <w:jc w:val="both"/>
        <w:rPr>
          <w:sz w:val="16"/>
        </w:rPr>
      </w:pPr>
      <w:r>
        <w:rPr>
          <w:position w:val="7"/>
          <w:sz w:val="10"/>
        </w:rPr>
        <w:t>5 </w:t>
      </w:r>
      <w:r>
        <w:rPr>
          <w:sz w:val="16"/>
        </w:rPr>
        <w:t>Universidad Autónoma de Baja California, </w:t>
      </w:r>
      <w:hyperlink r:id="rId760">
        <w:r>
          <w:rPr>
            <w:color w:val="0000FF"/>
            <w:sz w:val="16"/>
            <w:u w:val="single" w:color="0000FF"/>
          </w:rPr>
          <w:t>jeol79@uabc.edu.mx</w:t>
        </w:r>
        <w:r>
          <w:rPr>
            <w:sz w:val="16"/>
          </w:rPr>
          <w:t>,</w:t>
        </w:r>
      </w:hyperlink>
      <w:r>
        <w:rPr>
          <w:sz w:val="16"/>
        </w:rPr>
        <w:t> Tijuana Baja California.</w:t>
      </w:r>
    </w:p>
    <w:p>
      <w:pPr>
        <w:pStyle w:val="BodyText"/>
        <w:spacing w:before="2"/>
      </w:pPr>
    </w:p>
    <w:p>
      <w:pPr>
        <w:pStyle w:val="Heading4"/>
      </w:pPr>
      <w:r>
        <w:rPr/>
        <w:pict>
          <v:line style="position:absolute;mso-position-horizontal-relative:page;mso-position-vertical-relative:paragraph;z-index:18664" from="41.040001pt,13.265698pt" to="289.860001pt,13.265698pt" stroked="true" strokeweight="1.5pt" strokecolor="#000000">
            <w10:wrap type="none"/>
          </v:line>
        </w:pict>
      </w:r>
      <w:r>
        <w:rPr/>
        <w:t>Resumen</w:t>
      </w:r>
    </w:p>
    <w:p>
      <w:pPr>
        <w:pStyle w:val="BodyText"/>
        <w:spacing w:before="47"/>
        <w:ind w:left="270" w:right="15"/>
        <w:jc w:val="both"/>
      </w:pPr>
      <w:r>
        <w:rPr/>
        <w:t>En la espirometría los parámetros que indican la capacidad y la tolerancia al ejercicio físico, tanto para atletas y personas sedentarias se valoran, comienza la actividad física, porque nos permiten controlar su evolución en diferentes momentos de la adaptación al ejercicio y que esta forma, disponer de herramientas de formación individualizada. El análisis se lleva a cabo en la Universidad Autónoma de Baja California en el área de Ingeniería Industrial de la Facultad de Ciencias Químicas e Ingeniería.</w:t>
      </w:r>
    </w:p>
    <w:p>
      <w:pPr>
        <w:pStyle w:val="BodyText"/>
        <w:spacing w:before="11"/>
        <w:rPr>
          <w:sz w:val="19"/>
        </w:rPr>
      </w:pPr>
    </w:p>
    <w:p>
      <w:pPr>
        <w:spacing w:before="0"/>
        <w:ind w:left="270" w:right="17" w:firstLine="0"/>
        <w:jc w:val="both"/>
        <w:rPr>
          <w:sz w:val="20"/>
        </w:rPr>
      </w:pPr>
      <w:r>
        <w:rPr>
          <w:b/>
          <w:sz w:val="20"/>
        </w:rPr>
        <w:t>Palabras clave--</w:t>
      </w:r>
      <w:r>
        <w:rPr>
          <w:sz w:val="20"/>
        </w:rPr>
        <w:t>espirometría, estudiantes, capacidad pulmonar.</w:t>
      </w:r>
    </w:p>
    <w:p>
      <w:pPr>
        <w:pStyle w:val="BodyText"/>
        <w:spacing w:before="3"/>
      </w:pPr>
    </w:p>
    <w:p>
      <w:pPr>
        <w:pStyle w:val="Heading5"/>
        <w:rPr>
          <w:i/>
        </w:rPr>
      </w:pPr>
      <w:r>
        <w:rPr/>
        <w:pict>
          <v:line style="position:absolute;mso-position-horizontal-relative:page;mso-position-vertical-relative:paragraph;z-index:18688" from="41.040001pt,13.205698pt" to="289.860001pt,13.205698pt" stroked="true" strokeweight="1.5pt" strokecolor="#000000">
            <w10:wrap type="none"/>
          </v:line>
        </w:pict>
      </w:r>
      <w:r>
        <w:rPr>
          <w:i/>
        </w:rPr>
        <w:t>Abstract</w:t>
      </w:r>
    </w:p>
    <w:p>
      <w:pPr>
        <w:spacing w:before="46"/>
        <w:ind w:left="270" w:right="16" w:firstLine="0"/>
        <w:jc w:val="both"/>
        <w:rPr>
          <w:i/>
          <w:sz w:val="20"/>
        </w:rPr>
      </w:pPr>
      <w:r>
        <w:rPr>
          <w:i/>
          <w:color w:val="1D1D00"/>
          <w:sz w:val="20"/>
        </w:rPr>
        <w:t>In spirometry parameters that indicate us the ability and </w:t>
      </w:r>
      <w:r>
        <w:rPr>
          <w:i/>
          <w:color w:val="1D1D00"/>
          <w:sz w:val="20"/>
        </w:rPr>
        <w:t>tolerance to exercise both for athletes and people are valued sedentary will start physical activity, because they allow us to monitor its evolution in different moments of the adaptation to exercise and may this shape, have tools for individualized training. </w:t>
      </w:r>
      <w:r>
        <w:rPr>
          <w:i/>
          <w:sz w:val="20"/>
        </w:rPr>
        <w:t>The analysis takes place in the Autonomous University of Baja California in the area of Industrial Engineering of the Faculty of Chemical Sciences and</w:t>
      </w:r>
      <w:r>
        <w:rPr>
          <w:i/>
          <w:spacing w:val="-5"/>
          <w:sz w:val="20"/>
        </w:rPr>
        <w:t> </w:t>
      </w:r>
      <w:r>
        <w:rPr>
          <w:i/>
          <w:sz w:val="20"/>
        </w:rPr>
        <w:t>Engineering.</w:t>
      </w:r>
    </w:p>
    <w:p>
      <w:pPr>
        <w:pStyle w:val="BodyText"/>
        <w:spacing w:before="11"/>
        <w:rPr>
          <w:i/>
          <w:sz w:val="19"/>
        </w:rPr>
      </w:pPr>
    </w:p>
    <w:p>
      <w:pPr>
        <w:spacing w:before="0"/>
        <w:ind w:left="270" w:right="0" w:firstLine="0"/>
        <w:jc w:val="both"/>
        <w:rPr>
          <w:i/>
          <w:sz w:val="20"/>
        </w:rPr>
      </w:pPr>
      <w:r>
        <w:rPr>
          <w:b/>
          <w:i/>
          <w:sz w:val="20"/>
        </w:rPr>
        <w:t>Keywords</w:t>
      </w:r>
      <w:r>
        <w:rPr>
          <w:i/>
          <w:sz w:val="20"/>
        </w:rPr>
        <w:t>— spirometry, students, pulmonary capacity.</w:t>
      </w:r>
    </w:p>
    <w:p>
      <w:pPr>
        <w:pStyle w:val="BodyText"/>
        <w:spacing w:before="2"/>
        <w:rPr>
          <w:i/>
        </w:rPr>
      </w:pPr>
    </w:p>
    <w:p>
      <w:pPr>
        <w:pStyle w:val="Heading4"/>
        <w:numPr>
          <w:ilvl w:val="0"/>
          <w:numId w:val="166"/>
        </w:numPr>
        <w:tabs>
          <w:tab w:pos="473" w:val="left" w:leader="none"/>
        </w:tabs>
        <w:spacing w:line="240" w:lineRule="auto" w:before="0" w:after="0"/>
        <w:ind w:left="472" w:right="0" w:hanging="202"/>
        <w:jc w:val="both"/>
      </w:pPr>
      <w:r>
        <w:rPr/>
        <w:t>INTRODUCTION</w:t>
      </w:r>
    </w:p>
    <w:p>
      <w:pPr>
        <w:pStyle w:val="BodyText"/>
        <w:spacing w:before="9"/>
        <w:rPr>
          <w:b/>
          <w:sz w:val="19"/>
        </w:rPr>
      </w:pPr>
    </w:p>
    <w:p>
      <w:pPr>
        <w:pStyle w:val="BodyText"/>
        <w:spacing w:before="1"/>
        <w:ind w:left="270" w:right="16"/>
        <w:jc w:val="both"/>
      </w:pPr>
      <w:r>
        <w:rPr>
          <w:color w:val="1D1D00"/>
        </w:rPr>
        <w:t>In spirometry parameters that indicate us the ability and tolerance to exercise both for athletes and people are valued sedentary will start physical activity, because they allow us to monitor its evolution in different moments of the adaptation to exercise and may this shape, have tools for individualized training. Spirometry is the main test of lung function, and is essential to the evaluation and monitoring of respiratory diseases. There are two types of spirometry: simple and forced. Forced spirometry provides information  of greatest clinical relevance, while the simple spirometry complements  the  first.  Both  tests  are  done</w:t>
      </w:r>
      <w:r>
        <w:rPr>
          <w:color w:val="1D1D00"/>
          <w:spacing w:val="19"/>
        </w:rPr>
        <w:t> </w:t>
      </w:r>
      <w:r>
        <w:rPr>
          <w:color w:val="1D1D00"/>
        </w:rPr>
        <w:t>consecutively.</w:t>
      </w:r>
    </w:p>
    <w:p>
      <w:pPr>
        <w:pStyle w:val="BodyText"/>
        <w:spacing w:before="74"/>
        <w:ind w:left="270" w:right="678"/>
        <w:jc w:val="both"/>
      </w:pPr>
      <w:r>
        <w:rPr/>
        <w:br w:type="column"/>
      </w:r>
      <w:r>
        <w:rPr>
          <w:color w:val="1D1D00"/>
        </w:rPr>
        <w:t>Simple spirometry requests the person to evaluate that after a maximum inspiration, eject the entire volume of air to be able to, using all the time you</w:t>
      </w:r>
      <w:r>
        <w:rPr>
          <w:color w:val="1D1D00"/>
          <w:spacing w:val="-14"/>
        </w:rPr>
        <w:t> </w:t>
      </w:r>
      <w:r>
        <w:rPr>
          <w:color w:val="1D1D00"/>
        </w:rPr>
        <w:t>need.</w:t>
      </w:r>
    </w:p>
    <w:p>
      <w:pPr>
        <w:pStyle w:val="BodyText"/>
        <w:spacing w:before="11"/>
        <w:rPr>
          <w:sz w:val="19"/>
        </w:rPr>
      </w:pPr>
    </w:p>
    <w:p>
      <w:pPr>
        <w:pStyle w:val="BodyText"/>
        <w:ind w:left="270" w:right="676"/>
        <w:jc w:val="both"/>
      </w:pPr>
      <w:r>
        <w:rPr>
          <w:color w:val="1D1D00"/>
        </w:rPr>
        <w:t>Conversely, forced spirometry involves requesting the evaluated the expulsion of all air containing in their lungs after a deep inspiration in the shortest time possible  (forced). The information obtained from each of these techniques is different.[1 2 3</w:t>
      </w:r>
      <w:r>
        <w:rPr>
          <w:color w:val="1D1D00"/>
          <w:spacing w:val="-10"/>
        </w:rPr>
        <w:t> </w:t>
      </w:r>
      <w:r>
        <w:rPr>
          <w:color w:val="1D1D00"/>
        </w:rPr>
        <w:t>4]</w:t>
      </w:r>
    </w:p>
    <w:p>
      <w:pPr>
        <w:pStyle w:val="BodyText"/>
        <w:spacing w:before="2"/>
      </w:pPr>
    </w:p>
    <w:p>
      <w:pPr>
        <w:pStyle w:val="Heading4"/>
        <w:numPr>
          <w:ilvl w:val="0"/>
          <w:numId w:val="166"/>
        </w:numPr>
        <w:tabs>
          <w:tab w:pos="471" w:val="left" w:leader="none"/>
        </w:tabs>
        <w:spacing w:line="240" w:lineRule="auto" w:before="0" w:after="0"/>
        <w:ind w:left="470" w:right="0" w:hanging="200"/>
        <w:jc w:val="both"/>
      </w:pPr>
      <w:r>
        <w:rPr/>
        <w:t>OBJECTIVE.</w:t>
      </w:r>
    </w:p>
    <w:p>
      <w:pPr>
        <w:pStyle w:val="BodyText"/>
        <w:spacing w:before="8"/>
        <w:rPr>
          <w:b/>
          <w:sz w:val="19"/>
        </w:rPr>
      </w:pPr>
    </w:p>
    <w:p>
      <w:pPr>
        <w:pStyle w:val="BodyText"/>
        <w:ind w:left="270" w:right="676"/>
        <w:jc w:val="both"/>
      </w:pPr>
      <w:r>
        <w:rPr/>
        <w:t>Evaluate lung function through forced spirometry in university students athletes. Assess whether the response to exercise is physiologic or pathologic presents some alteration that could in some cases limit or contraindicate  the practice of exercise or sporting</w:t>
      </w:r>
      <w:r>
        <w:rPr>
          <w:spacing w:val="-27"/>
        </w:rPr>
        <w:t> </w:t>
      </w:r>
      <w:r>
        <w:rPr/>
        <w:t>activity.</w:t>
      </w:r>
    </w:p>
    <w:p>
      <w:pPr>
        <w:pStyle w:val="BodyText"/>
        <w:spacing w:before="2"/>
      </w:pPr>
    </w:p>
    <w:p>
      <w:pPr>
        <w:pStyle w:val="Heading4"/>
        <w:numPr>
          <w:ilvl w:val="0"/>
          <w:numId w:val="166"/>
        </w:numPr>
        <w:tabs>
          <w:tab w:pos="472" w:val="left" w:leader="none"/>
        </w:tabs>
        <w:spacing w:line="240" w:lineRule="auto" w:before="0" w:after="0"/>
        <w:ind w:left="471" w:right="0" w:hanging="201"/>
        <w:jc w:val="both"/>
      </w:pPr>
      <w:r>
        <w:rPr/>
        <w:t>DELIMITATION.</w:t>
      </w:r>
    </w:p>
    <w:p>
      <w:pPr>
        <w:pStyle w:val="BodyText"/>
        <w:spacing w:before="9"/>
        <w:rPr>
          <w:b/>
          <w:sz w:val="19"/>
        </w:rPr>
      </w:pPr>
    </w:p>
    <w:p>
      <w:pPr>
        <w:pStyle w:val="BodyText"/>
        <w:spacing w:before="1"/>
        <w:ind w:left="270" w:right="676"/>
        <w:jc w:val="both"/>
      </w:pPr>
      <w:r>
        <w:rPr/>
        <w:t>The analysis takes place in the Autonomous University of Baja California in the area of Industrial Engineering of the Faculty of Chemical Sciences and Engineering. The samples were taken from men and women students between 18 and 25 years of age who have 3 or more years practicing sport. There were also tests to students sedentary to establish agreement or disagreement, the test began in the 2014-2 cycle and completed the second week of the month of February 2015. With the support team of specialists and opinion of the health of the UABC and external to give greater support to the findings.</w:t>
      </w:r>
    </w:p>
    <w:p>
      <w:pPr>
        <w:pStyle w:val="BodyText"/>
        <w:spacing w:before="2"/>
      </w:pPr>
    </w:p>
    <w:p>
      <w:pPr>
        <w:pStyle w:val="Heading4"/>
        <w:numPr>
          <w:ilvl w:val="0"/>
          <w:numId w:val="166"/>
        </w:numPr>
        <w:tabs>
          <w:tab w:pos="471" w:val="left" w:leader="none"/>
        </w:tabs>
        <w:spacing w:line="240" w:lineRule="auto" w:before="0" w:after="0"/>
        <w:ind w:left="470" w:right="0" w:hanging="200"/>
        <w:jc w:val="both"/>
      </w:pPr>
      <w:r>
        <w:rPr/>
        <w:t>METHODOLOGY.</w:t>
      </w:r>
    </w:p>
    <w:p>
      <w:pPr>
        <w:pStyle w:val="BodyText"/>
        <w:spacing w:before="9"/>
        <w:rPr>
          <w:b/>
          <w:sz w:val="19"/>
        </w:rPr>
      </w:pPr>
    </w:p>
    <w:p>
      <w:pPr>
        <w:pStyle w:val="BodyText"/>
        <w:spacing w:before="1"/>
        <w:ind w:left="270" w:right="676"/>
        <w:jc w:val="both"/>
      </w:pPr>
      <w:r>
        <w:rPr/>
        <w:t>It is elected to a qualified student as semi-sedentary already that fulfilled with certain characteristics of a sedentary lifestyle however in their free time playing sports as a hobby. He conducted the evaluation of spirometry. Are defined the spirometric parameters that should  be considered, the realization of the maneuvers, the criteria of acceptability and repeatability of the measures and their quality control. They are issued a number of indications for evaluation by spirometry where the evaluated capacity FVC and FEV1. It is critical not have measurement errors as necessary inhale and exhale with force so maintained for at least 6 seconds. The procedure used is as</w:t>
      </w:r>
      <w:r>
        <w:rPr>
          <w:spacing w:val="-31"/>
        </w:rPr>
        <w:t> </w:t>
      </w:r>
      <w:r>
        <w:rPr/>
        <w:t>follows:</w:t>
      </w:r>
    </w:p>
    <w:p>
      <w:pPr>
        <w:pStyle w:val="BodyText"/>
        <w:spacing w:before="2"/>
      </w:pPr>
    </w:p>
    <w:p>
      <w:pPr>
        <w:pStyle w:val="Heading4"/>
        <w:numPr>
          <w:ilvl w:val="1"/>
          <w:numId w:val="166"/>
        </w:numPr>
        <w:tabs>
          <w:tab w:pos="791" w:val="left" w:leader="none"/>
        </w:tabs>
        <w:spacing w:line="240" w:lineRule="auto" w:before="0" w:after="0"/>
        <w:ind w:left="270" w:right="678" w:firstLine="0"/>
        <w:jc w:val="both"/>
      </w:pPr>
      <w:r>
        <w:rPr/>
        <w:t>First: Before performing spirometry test (Instructions</w:t>
      </w:r>
      <w:r>
        <w:rPr>
          <w:spacing w:val="-5"/>
        </w:rPr>
        <w:t> </w:t>
      </w:r>
      <w:r>
        <w:rPr/>
        <w:t>rated)</w:t>
      </w:r>
    </w:p>
    <w:p>
      <w:pPr>
        <w:pStyle w:val="BodyText"/>
        <w:spacing w:before="8"/>
        <w:rPr>
          <w:b/>
          <w:sz w:val="19"/>
        </w:rPr>
      </w:pPr>
    </w:p>
    <w:p>
      <w:pPr>
        <w:pStyle w:val="ListParagraph"/>
        <w:numPr>
          <w:ilvl w:val="0"/>
          <w:numId w:val="167"/>
        </w:numPr>
        <w:tabs>
          <w:tab w:pos="631" w:val="left" w:leader="none"/>
        </w:tabs>
        <w:spacing w:line="240" w:lineRule="auto" w:before="0" w:after="0"/>
        <w:ind w:left="630" w:right="0" w:hanging="360"/>
        <w:jc w:val="both"/>
        <w:rPr>
          <w:sz w:val="20"/>
        </w:rPr>
      </w:pPr>
      <w:r>
        <w:rPr>
          <w:sz w:val="20"/>
        </w:rPr>
        <w:t>Explain the reason for the study and test</w:t>
      </w:r>
      <w:r>
        <w:rPr>
          <w:spacing w:val="-25"/>
          <w:sz w:val="20"/>
        </w:rPr>
        <w:t> </w:t>
      </w:r>
      <w:r>
        <w:rPr>
          <w:sz w:val="20"/>
        </w:rPr>
        <w:t>consisting</w:t>
      </w:r>
    </w:p>
    <w:p>
      <w:pPr>
        <w:pStyle w:val="ListParagraph"/>
        <w:numPr>
          <w:ilvl w:val="0"/>
          <w:numId w:val="167"/>
        </w:numPr>
        <w:tabs>
          <w:tab w:pos="631" w:val="left" w:leader="none"/>
        </w:tabs>
        <w:spacing w:line="240" w:lineRule="auto" w:before="18" w:after="0"/>
        <w:ind w:left="630" w:right="0" w:hanging="360"/>
        <w:jc w:val="both"/>
        <w:rPr>
          <w:sz w:val="20"/>
        </w:rPr>
      </w:pPr>
      <w:r>
        <w:rPr>
          <w:sz w:val="20"/>
        </w:rPr>
        <w:t>Arrive in good time (15</w:t>
      </w:r>
      <w:r>
        <w:rPr>
          <w:spacing w:val="-13"/>
          <w:sz w:val="20"/>
        </w:rPr>
        <w:t> </w:t>
      </w:r>
      <w:r>
        <w:rPr>
          <w:sz w:val="20"/>
        </w:rPr>
        <w:t>minutes)</w:t>
      </w:r>
    </w:p>
    <w:p>
      <w:pPr>
        <w:pStyle w:val="ListParagraph"/>
        <w:numPr>
          <w:ilvl w:val="0"/>
          <w:numId w:val="167"/>
        </w:numPr>
        <w:tabs>
          <w:tab w:pos="631" w:val="left" w:leader="none"/>
        </w:tabs>
        <w:spacing w:line="240" w:lineRule="auto" w:before="18" w:after="0"/>
        <w:ind w:left="630" w:right="0" w:hanging="360"/>
        <w:jc w:val="both"/>
        <w:rPr>
          <w:sz w:val="20"/>
        </w:rPr>
      </w:pPr>
      <w:r>
        <w:rPr>
          <w:sz w:val="20"/>
        </w:rPr>
        <w:t>Comfortable</w:t>
      </w:r>
      <w:r>
        <w:rPr>
          <w:spacing w:val="-9"/>
          <w:sz w:val="20"/>
        </w:rPr>
        <w:t> </w:t>
      </w:r>
      <w:r>
        <w:rPr>
          <w:sz w:val="20"/>
        </w:rPr>
        <w:t>clothing</w:t>
      </w:r>
    </w:p>
    <w:p>
      <w:pPr>
        <w:pStyle w:val="ListParagraph"/>
        <w:numPr>
          <w:ilvl w:val="0"/>
          <w:numId w:val="167"/>
        </w:numPr>
        <w:tabs>
          <w:tab w:pos="631" w:val="left" w:leader="none"/>
        </w:tabs>
        <w:spacing w:line="240" w:lineRule="auto" w:before="18" w:after="0"/>
        <w:ind w:left="630" w:right="0" w:hanging="360"/>
        <w:jc w:val="both"/>
        <w:rPr>
          <w:sz w:val="20"/>
        </w:rPr>
      </w:pPr>
      <w:r>
        <w:rPr>
          <w:sz w:val="20"/>
        </w:rPr>
        <w:t>Not wearing tight</w:t>
      </w:r>
      <w:r>
        <w:rPr>
          <w:spacing w:val="-9"/>
          <w:sz w:val="20"/>
        </w:rPr>
        <w:t> </w:t>
      </w:r>
      <w:r>
        <w:rPr>
          <w:sz w:val="20"/>
        </w:rPr>
        <w:t>clothes</w:t>
      </w:r>
    </w:p>
    <w:p>
      <w:pPr>
        <w:pStyle w:val="ListParagraph"/>
        <w:numPr>
          <w:ilvl w:val="0"/>
          <w:numId w:val="167"/>
        </w:numPr>
        <w:tabs>
          <w:tab w:pos="631" w:val="left" w:leader="none"/>
        </w:tabs>
        <w:spacing w:line="240" w:lineRule="auto" w:before="17" w:after="0"/>
        <w:ind w:left="630" w:right="0" w:hanging="360"/>
        <w:jc w:val="both"/>
        <w:rPr>
          <w:sz w:val="20"/>
        </w:rPr>
      </w:pPr>
      <w:r>
        <w:rPr>
          <w:sz w:val="20"/>
        </w:rPr>
        <w:t>Avoid physical exercise 30-60 minutes</w:t>
      </w:r>
      <w:r>
        <w:rPr>
          <w:spacing w:val="-23"/>
          <w:sz w:val="20"/>
        </w:rPr>
        <w:t> </w:t>
      </w:r>
      <w:r>
        <w:rPr>
          <w:sz w:val="20"/>
        </w:rPr>
        <w:t>prior</w:t>
      </w:r>
    </w:p>
    <w:p>
      <w:pPr>
        <w:pStyle w:val="ListParagraph"/>
        <w:numPr>
          <w:ilvl w:val="0"/>
          <w:numId w:val="167"/>
        </w:numPr>
        <w:tabs>
          <w:tab w:pos="631" w:val="left" w:leader="none"/>
        </w:tabs>
        <w:spacing w:line="240" w:lineRule="auto" w:before="18" w:after="0"/>
        <w:ind w:left="630" w:right="0" w:hanging="360"/>
        <w:jc w:val="both"/>
        <w:rPr>
          <w:sz w:val="20"/>
        </w:rPr>
      </w:pPr>
      <w:r>
        <w:rPr>
          <w:sz w:val="20"/>
        </w:rPr>
        <w:t>No smoking (24 hours before</w:t>
      </w:r>
      <w:r>
        <w:rPr>
          <w:spacing w:val="-11"/>
          <w:sz w:val="20"/>
        </w:rPr>
        <w:t> </w:t>
      </w:r>
      <w:r>
        <w:rPr>
          <w:sz w:val="20"/>
        </w:rPr>
        <w:t>)</w:t>
      </w:r>
    </w:p>
    <w:p>
      <w:pPr>
        <w:pStyle w:val="ListParagraph"/>
        <w:numPr>
          <w:ilvl w:val="0"/>
          <w:numId w:val="167"/>
        </w:numPr>
        <w:tabs>
          <w:tab w:pos="631" w:val="left" w:leader="none"/>
        </w:tabs>
        <w:spacing w:line="240" w:lineRule="auto" w:before="18" w:after="0"/>
        <w:ind w:left="630" w:right="0" w:hanging="360"/>
        <w:jc w:val="both"/>
        <w:rPr>
          <w:sz w:val="20"/>
        </w:rPr>
      </w:pPr>
      <w:r>
        <w:rPr>
          <w:sz w:val="20"/>
        </w:rPr>
        <w:t>Do not take stimulants ( 2-3 hours prior</w:t>
      </w:r>
      <w:r>
        <w:rPr>
          <w:spacing w:val="-16"/>
          <w:sz w:val="20"/>
        </w:rPr>
        <w:t> </w:t>
      </w:r>
      <w:r>
        <w:rPr>
          <w:sz w:val="20"/>
        </w:rPr>
        <w:t>)</w:t>
      </w:r>
    </w:p>
    <w:p>
      <w:pPr>
        <w:spacing w:after="0" w:line="240" w:lineRule="auto"/>
        <w:jc w:val="both"/>
        <w:rPr>
          <w:sz w:val="20"/>
        </w:rPr>
        <w:sectPr>
          <w:type w:val="continuous"/>
          <w:pgSz w:w="12240" w:h="15840"/>
          <w:pgMar w:top="1500" w:bottom="280" w:left="580" w:right="220"/>
          <w:cols w:num="2" w:equalWidth="0">
            <w:col w:w="5207" w:space="417"/>
            <w:col w:w="5816"/>
          </w:cols>
        </w:sectPr>
      </w:pPr>
    </w:p>
    <w:p>
      <w:pPr>
        <w:pStyle w:val="BodyText"/>
        <w:rPr>
          <w:sz w:val="11"/>
        </w:rPr>
      </w:pPr>
    </w:p>
    <w:p>
      <w:pPr>
        <w:spacing w:after="0"/>
        <w:rPr>
          <w:sz w:val="11"/>
        </w:rPr>
        <w:sectPr>
          <w:footerReference w:type="default" r:id="rId773"/>
          <w:pgSz w:w="12240" w:h="15840"/>
          <w:pgMar w:footer="852" w:header="545" w:top="1060" w:bottom="1040" w:left="580" w:right="220"/>
          <w:pgNumType w:start="301"/>
        </w:sectPr>
      </w:pPr>
    </w:p>
    <w:p>
      <w:pPr>
        <w:pStyle w:val="ListParagraph"/>
        <w:numPr>
          <w:ilvl w:val="0"/>
          <w:numId w:val="167"/>
        </w:numPr>
        <w:tabs>
          <w:tab w:pos="631" w:val="left" w:leader="none"/>
        </w:tabs>
        <w:spacing w:line="240" w:lineRule="auto" w:before="78" w:after="0"/>
        <w:ind w:left="630" w:right="0" w:hanging="360"/>
        <w:jc w:val="both"/>
        <w:rPr>
          <w:sz w:val="20"/>
        </w:rPr>
      </w:pPr>
      <w:r>
        <w:rPr>
          <w:sz w:val="20"/>
        </w:rPr>
        <w:t>No fasting is necessary , but avoid abundant</w:t>
      </w:r>
      <w:r>
        <w:rPr>
          <w:spacing w:val="-22"/>
          <w:sz w:val="20"/>
        </w:rPr>
        <w:t> </w:t>
      </w:r>
      <w:r>
        <w:rPr>
          <w:sz w:val="20"/>
        </w:rPr>
        <w:t>food</w:t>
      </w:r>
    </w:p>
    <w:p>
      <w:pPr>
        <w:pStyle w:val="ListParagraph"/>
        <w:numPr>
          <w:ilvl w:val="0"/>
          <w:numId w:val="167"/>
        </w:numPr>
        <w:tabs>
          <w:tab w:pos="631" w:val="left" w:leader="none"/>
        </w:tabs>
        <w:spacing w:line="240" w:lineRule="auto" w:before="18" w:after="0"/>
        <w:ind w:left="630" w:right="0" w:hanging="360"/>
        <w:jc w:val="both"/>
        <w:rPr>
          <w:sz w:val="20"/>
        </w:rPr>
      </w:pPr>
      <w:r>
        <w:rPr>
          <w:sz w:val="20"/>
        </w:rPr>
        <w:t>Control the use of</w:t>
      </w:r>
      <w:r>
        <w:rPr>
          <w:spacing w:val="-14"/>
          <w:sz w:val="20"/>
        </w:rPr>
        <w:t> </w:t>
      </w:r>
      <w:r>
        <w:rPr>
          <w:sz w:val="20"/>
        </w:rPr>
        <w:t>bronchodilators.</w:t>
      </w:r>
    </w:p>
    <w:p>
      <w:pPr>
        <w:pStyle w:val="BodyText"/>
        <w:spacing w:before="7"/>
        <w:rPr>
          <w:sz w:val="15"/>
        </w:rPr>
      </w:pPr>
    </w:p>
    <w:p>
      <w:pPr>
        <w:pStyle w:val="Heading4"/>
        <w:numPr>
          <w:ilvl w:val="1"/>
          <w:numId w:val="166"/>
        </w:numPr>
        <w:tabs>
          <w:tab w:pos="572" w:val="left" w:leader="none"/>
        </w:tabs>
        <w:spacing w:line="240" w:lineRule="auto" w:before="1" w:after="0"/>
        <w:ind w:left="571" w:right="0" w:hanging="301"/>
        <w:jc w:val="both"/>
      </w:pPr>
      <w:r>
        <w:rPr/>
        <w:t>Second: To analyze the selected</w:t>
      </w:r>
      <w:r>
        <w:rPr>
          <w:spacing w:val="-14"/>
        </w:rPr>
        <w:t> </w:t>
      </w:r>
      <w:r>
        <w:rPr/>
        <w:t>tasks</w:t>
      </w:r>
    </w:p>
    <w:p>
      <w:pPr>
        <w:pStyle w:val="BodyText"/>
        <w:spacing w:before="8"/>
        <w:rPr>
          <w:b/>
          <w:sz w:val="19"/>
        </w:rPr>
      </w:pPr>
    </w:p>
    <w:p>
      <w:pPr>
        <w:pStyle w:val="ListParagraph"/>
        <w:numPr>
          <w:ilvl w:val="0"/>
          <w:numId w:val="168"/>
        </w:numPr>
        <w:tabs>
          <w:tab w:pos="631" w:val="left" w:leader="none"/>
        </w:tabs>
        <w:spacing w:line="240" w:lineRule="auto" w:before="0" w:after="0"/>
        <w:ind w:left="630" w:right="0" w:hanging="360"/>
        <w:jc w:val="both"/>
        <w:rPr>
          <w:sz w:val="20"/>
        </w:rPr>
      </w:pPr>
      <w:r>
        <w:rPr>
          <w:sz w:val="20"/>
        </w:rPr>
        <w:t>Proper calibration of the</w:t>
      </w:r>
      <w:r>
        <w:rPr>
          <w:spacing w:val="-18"/>
          <w:sz w:val="20"/>
        </w:rPr>
        <w:t> </w:t>
      </w:r>
      <w:r>
        <w:rPr>
          <w:sz w:val="20"/>
        </w:rPr>
        <w:t>apparatus</w:t>
      </w:r>
    </w:p>
    <w:p>
      <w:pPr>
        <w:pStyle w:val="ListParagraph"/>
        <w:numPr>
          <w:ilvl w:val="0"/>
          <w:numId w:val="168"/>
        </w:numPr>
        <w:tabs>
          <w:tab w:pos="631" w:val="left" w:leader="none"/>
        </w:tabs>
        <w:spacing w:line="240" w:lineRule="auto" w:before="18" w:after="0"/>
        <w:ind w:left="630" w:right="0" w:hanging="360"/>
        <w:jc w:val="both"/>
        <w:rPr>
          <w:sz w:val="20"/>
        </w:rPr>
      </w:pPr>
      <w:r>
        <w:rPr>
          <w:sz w:val="20"/>
        </w:rPr>
        <w:t>Previous record of meteorological</w:t>
      </w:r>
      <w:r>
        <w:rPr>
          <w:spacing w:val="-16"/>
          <w:sz w:val="20"/>
        </w:rPr>
        <w:t> </w:t>
      </w:r>
      <w:r>
        <w:rPr>
          <w:sz w:val="20"/>
        </w:rPr>
        <w:t>data.</w:t>
      </w:r>
    </w:p>
    <w:p>
      <w:pPr>
        <w:pStyle w:val="ListParagraph"/>
        <w:numPr>
          <w:ilvl w:val="0"/>
          <w:numId w:val="168"/>
        </w:numPr>
        <w:tabs>
          <w:tab w:pos="631" w:val="left" w:leader="none"/>
        </w:tabs>
        <w:spacing w:line="240" w:lineRule="auto" w:before="18" w:after="0"/>
        <w:ind w:left="630" w:right="0" w:hanging="360"/>
        <w:jc w:val="both"/>
        <w:rPr>
          <w:sz w:val="20"/>
        </w:rPr>
      </w:pPr>
      <w:r>
        <w:rPr>
          <w:sz w:val="20"/>
        </w:rPr>
        <w:t>Enter data</w:t>
      </w:r>
      <w:r>
        <w:rPr>
          <w:spacing w:val="-12"/>
          <w:sz w:val="20"/>
        </w:rPr>
        <w:t> </w:t>
      </w:r>
      <w:r>
        <w:rPr>
          <w:sz w:val="20"/>
        </w:rPr>
        <w:t>evaluated</w:t>
      </w:r>
    </w:p>
    <w:p>
      <w:pPr>
        <w:pStyle w:val="ListParagraph"/>
        <w:numPr>
          <w:ilvl w:val="0"/>
          <w:numId w:val="168"/>
        </w:numPr>
        <w:tabs>
          <w:tab w:pos="631" w:val="left" w:leader="none"/>
        </w:tabs>
        <w:spacing w:line="259" w:lineRule="auto" w:before="17" w:after="0"/>
        <w:ind w:left="630" w:right="0" w:hanging="360"/>
        <w:jc w:val="left"/>
        <w:rPr>
          <w:sz w:val="20"/>
        </w:rPr>
      </w:pPr>
      <w:r>
        <w:rPr>
          <w:sz w:val="20"/>
        </w:rPr>
        <w:t>Verify that the previous instructions given before the evaluator have been taken to</w:t>
      </w:r>
      <w:r>
        <w:rPr>
          <w:spacing w:val="-21"/>
          <w:sz w:val="20"/>
        </w:rPr>
        <w:t> </w:t>
      </w:r>
      <w:r>
        <w:rPr>
          <w:sz w:val="20"/>
        </w:rPr>
        <w:t>literally</w:t>
      </w:r>
    </w:p>
    <w:p>
      <w:pPr>
        <w:pStyle w:val="ListParagraph"/>
        <w:numPr>
          <w:ilvl w:val="0"/>
          <w:numId w:val="168"/>
        </w:numPr>
        <w:tabs>
          <w:tab w:pos="631" w:val="left" w:leader="none"/>
        </w:tabs>
        <w:spacing w:line="240" w:lineRule="auto" w:before="0" w:after="0"/>
        <w:ind w:left="630" w:right="0" w:hanging="360"/>
        <w:jc w:val="both"/>
        <w:rPr>
          <w:sz w:val="20"/>
        </w:rPr>
      </w:pPr>
      <w:r>
        <w:rPr>
          <w:sz w:val="20"/>
        </w:rPr>
        <w:t>Evaluating perform</w:t>
      </w:r>
      <w:r>
        <w:rPr>
          <w:spacing w:val="-13"/>
          <w:sz w:val="20"/>
        </w:rPr>
        <w:t> </w:t>
      </w:r>
      <w:r>
        <w:rPr>
          <w:sz w:val="20"/>
        </w:rPr>
        <w:t>spirometry.</w:t>
      </w:r>
    </w:p>
    <w:p>
      <w:pPr>
        <w:pStyle w:val="ListParagraph"/>
        <w:numPr>
          <w:ilvl w:val="0"/>
          <w:numId w:val="168"/>
        </w:numPr>
        <w:tabs>
          <w:tab w:pos="631" w:val="left" w:leader="none"/>
        </w:tabs>
        <w:spacing w:line="259" w:lineRule="auto" w:before="18" w:after="0"/>
        <w:ind w:left="630" w:right="1" w:hanging="360"/>
        <w:jc w:val="both"/>
        <w:rPr>
          <w:sz w:val="20"/>
        </w:rPr>
      </w:pPr>
      <w:r>
        <w:rPr>
          <w:sz w:val="20"/>
        </w:rPr>
        <w:t>Evaluate the data, checking curves acceptable, reproducible, and the results of the values of FVC,  FEV1 and FEV1/</w:t>
      </w:r>
      <w:r>
        <w:rPr>
          <w:spacing w:val="-3"/>
          <w:sz w:val="20"/>
        </w:rPr>
        <w:t> </w:t>
      </w:r>
      <w:r>
        <w:rPr>
          <w:sz w:val="20"/>
        </w:rPr>
        <w:t>FCV</w:t>
      </w:r>
    </w:p>
    <w:p>
      <w:pPr>
        <w:pStyle w:val="BodyText"/>
      </w:pPr>
    </w:p>
    <w:p>
      <w:pPr>
        <w:pStyle w:val="Heading4"/>
        <w:numPr>
          <w:ilvl w:val="0"/>
          <w:numId w:val="169"/>
        </w:numPr>
        <w:tabs>
          <w:tab w:pos="472" w:val="left" w:leader="none"/>
        </w:tabs>
        <w:spacing w:line="240" w:lineRule="auto" w:before="160" w:after="0"/>
        <w:ind w:left="471" w:right="0" w:hanging="201"/>
        <w:jc w:val="both"/>
      </w:pPr>
      <w:r>
        <w:rPr/>
        <w:t>RESULTS.</w:t>
      </w:r>
    </w:p>
    <w:p>
      <w:pPr>
        <w:pStyle w:val="BodyText"/>
        <w:spacing w:before="10"/>
        <w:rPr>
          <w:b/>
          <w:sz w:val="19"/>
        </w:rPr>
      </w:pPr>
    </w:p>
    <w:p>
      <w:pPr>
        <w:pStyle w:val="BodyText"/>
        <w:ind w:left="270"/>
        <w:jc w:val="both"/>
      </w:pPr>
      <w:r>
        <w:rPr/>
        <w:t>The student obtained a good level of performance in his lung capacity due to their lifestyle, however the difference was significant in comparison with professional athletes. The FEV1 showed us the difference to determine if a student athlete or sedentary was already that their internal intercostal muscles are well developed, in contrast to a student who  does not practice any sport, in some cases, the test showed us that the FEV1/FVC ratio (%) was above 80% which shows  us that the evaluated is in a stable</w:t>
      </w:r>
      <w:r>
        <w:rPr>
          <w:spacing w:val="-17"/>
        </w:rPr>
        <w:t> </w:t>
      </w:r>
      <w:r>
        <w:rPr/>
        <w:t>situation.</w:t>
      </w:r>
    </w:p>
    <w:p>
      <w:pPr>
        <w:pStyle w:val="BodyText"/>
        <w:spacing w:before="9"/>
        <w:rPr>
          <w:sz w:val="19"/>
        </w:rPr>
      </w:pPr>
    </w:p>
    <w:p>
      <w:pPr>
        <w:spacing w:before="0"/>
        <w:ind w:left="271" w:right="1" w:firstLine="0"/>
        <w:jc w:val="center"/>
        <w:rPr>
          <w:sz w:val="18"/>
        </w:rPr>
      </w:pPr>
      <w:r>
        <w:rPr/>
        <w:drawing>
          <wp:anchor distT="0" distB="0" distL="0" distR="0" allowOverlap="1" layoutInCell="1" locked="0" behindDoc="1" simplePos="0" relativeHeight="267575399">
            <wp:simplePos x="0" y="0"/>
            <wp:positionH relativeFrom="page">
              <wp:posOffset>592836</wp:posOffset>
            </wp:positionH>
            <wp:positionV relativeFrom="paragraph">
              <wp:posOffset>174527</wp:posOffset>
            </wp:positionV>
            <wp:extent cx="3003804" cy="1729739"/>
            <wp:effectExtent l="0" t="0" r="0" b="0"/>
            <wp:wrapNone/>
            <wp:docPr id="875" name="image485.jpeg" descr=""/>
            <wp:cNvGraphicFramePr>
              <a:graphicFrameLocks noChangeAspect="1"/>
            </wp:cNvGraphicFramePr>
            <a:graphic>
              <a:graphicData uri="http://schemas.openxmlformats.org/drawingml/2006/picture">
                <pic:pic>
                  <pic:nvPicPr>
                    <pic:cNvPr id="876" name="image485.jpeg"/>
                    <pic:cNvPicPr/>
                  </pic:nvPicPr>
                  <pic:blipFill>
                    <a:blip r:embed="rId774" cstate="print"/>
                    <a:stretch>
                      <a:fillRect/>
                    </a:stretch>
                  </pic:blipFill>
                  <pic:spPr>
                    <a:xfrm>
                      <a:off x="0" y="0"/>
                      <a:ext cx="3003804" cy="1729739"/>
                    </a:xfrm>
                    <a:prstGeom prst="rect">
                      <a:avLst/>
                    </a:prstGeom>
                  </pic:spPr>
                </pic:pic>
              </a:graphicData>
            </a:graphic>
          </wp:anchor>
        </w:drawing>
      </w:r>
      <w:r>
        <w:rPr>
          <w:sz w:val="18"/>
        </w:rPr>
        <w:t>Image 1.</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11"/>
        <w:rPr>
          <w:sz w:val="23"/>
        </w:rPr>
      </w:pPr>
    </w:p>
    <w:p>
      <w:pPr>
        <w:spacing w:line="508" w:lineRule="auto" w:before="0"/>
        <w:ind w:left="2111" w:right="1839" w:firstLine="0"/>
        <w:jc w:val="center"/>
        <w:rPr>
          <w:sz w:val="18"/>
        </w:rPr>
      </w:pPr>
      <w:r>
        <w:rPr/>
        <w:drawing>
          <wp:anchor distT="0" distB="0" distL="0" distR="0" allowOverlap="1" layoutInCell="1" locked="0" behindDoc="1" simplePos="0" relativeHeight="267575351">
            <wp:simplePos x="0" y="0"/>
            <wp:positionH relativeFrom="page">
              <wp:posOffset>592836</wp:posOffset>
            </wp:positionH>
            <wp:positionV relativeFrom="paragraph">
              <wp:posOffset>465610</wp:posOffset>
            </wp:positionV>
            <wp:extent cx="2997707" cy="2001774"/>
            <wp:effectExtent l="0" t="0" r="0" b="0"/>
            <wp:wrapNone/>
            <wp:docPr id="877" name="image486.jpeg" descr=""/>
            <wp:cNvGraphicFramePr>
              <a:graphicFrameLocks noChangeAspect="1"/>
            </wp:cNvGraphicFramePr>
            <a:graphic>
              <a:graphicData uri="http://schemas.openxmlformats.org/drawingml/2006/picture">
                <pic:pic>
                  <pic:nvPicPr>
                    <pic:cNvPr id="878" name="image486.jpeg"/>
                    <pic:cNvPicPr/>
                  </pic:nvPicPr>
                  <pic:blipFill>
                    <a:blip r:embed="rId775" cstate="print"/>
                    <a:stretch>
                      <a:fillRect/>
                    </a:stretch>
                  </pic:blipFill>
                  <pic:spPr>
                    <a:xfrm>
                      <a:off x="0" y="0"/>
                      <a:ext cx="2997707" cy="2001774"/>
                    </a:xfrm>
                    <a:prstGeom prst="rect">
                      <a:avLst/>
                    </a:prstGeom>
                  </pic:spPr>
                </pic:pic>
              </a:graphicData>
            </a:graphic>
          </wp:anchor>
        </w:drawing>
      </w:r>
      <w:r>
        <w:rPr>
          <w:sz w:val="18"/>
        </w:rPr>
        <w:t>Source: Prepared Image 2.</w:t>
      </w:r>
    </w:p>
    <w:p>
      <w:pPr>
        <w:spacing w:line="720" w:lineRule="auto" w:before="77"/>
        <w:ind w:left="2085" w:right="2493" w:firstLine="0"/>
        <w:jc w:val="center"/>
        <w:rPr>
          <w:sz w:val="18"/>
        </w:rPr>
      </w:pPr>
      <w:r>
        <w:rPr/>
        <w:br w:type="column"/>
      </w:r>
      <w:r>
        <w:rPr>
          <w:sz w:val="18"/>
        </w:rPr>
        <w:t>Source: Prepared Image 3.</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3"/>
        <w:rPr>
          <w:sz w:val="19"/>
        </w:rPr>
      </w:pPr>
    </w:p>
    <w:p>
      <w:pPr>
        <w:spacing w:before="0"/>
        <w:ind w:left="293" w:right="701" w:firstLine="0"/>
        <w:jc w:val="center"/>
        <w:rPr>
          <w:sz w:val="18"/>
        </w:rPr>
      </w:pPr>
      <w:r>
        <w:rPr/>
        <w:drawing>
          <wp:anchor distT="0" distB="0" distL="0" distR="0" allowOverlap="1" layoutInCell="1" locked="0" behindDoc="1" simplePos="0" relativeHeight="267575375">
            <wp:simplePos x="0" y="0"/>
            <wp:positionH relativeFrom="page">
              <wp:posOffset>4164329</wp:posOffset>
            </wp:positionH>
            <wp:positionV relativeFrom="paragraph">
              <wp:posOffset>-1821169</wp:posOffset>
            </wp:positionV>
            <wp:extent cx="3086100" cy="1792224"/>
            <wp:effectExtent l="0" t="0" r="0" b="0"/>
            <wp:wrapNone/>
            <wp:docPr id="879" name="image487.jpeg" descr=""/>
            <wp:cNvGraphicFramePr>
              <a:graphicFrameLocks noChangeAspect="1"/>
            </wp:cNvGraphicFramePr>
            <a:graphic>
              <a:graphicData uri="http://schemas.openxmlformats.org/drawingml/2006/picture">
                <pic:pic>
                  <pic:nvPicPr>
                    <pic:cNvPr id="880" name="image487.jpeg"/>
                    <pic:cNvPicPr/>
                  </pic:nvPicPr>
                  <pic:blipFill>
                    <a:blip r:embed="rId776" cstate="print"/>
                    <a:stretch>
                      <a:fillRect/>
                    </a:stretch>
                  </pic:blipFill>
                  <pic:spPr>
                    <a:xfrm>
                      <a:off x="0" y="0"/>
                      <a:ext cx="3086100" cy="1792224"/>
                    </a:xfrm>
                    <a:prstGeom prst="rect">
                      <a:avLst/>
                    </a:prstGeom>
                  </pic:spPr>
                </pic:pic>
              </a:graphicData>
            </a:graphic>
          </wp:anchor>
        </w:drawing>
      </w:r>
      <w:r>
        <w:rPr>
          <w:sz w:val="18"/>
        </w:rPr>
        <w:t>Source: Prepared</w:t>
      </w:r>
    </w:p>
    <w:p>
      <w:pPr>
        <w:pStyle w:val="BodyText"/>
        <w:spacing w:before="1"/>
        <w:rPr>
          <w:sz w:val="18"/>
        </w:rPr>
      </w:pPr>
    </w:p>
    <w:p>
      <w:pPr>
        <w:pStyle w:val="BodyText"/>
        <w:ind w:left="270" w:right="687"/>
      </w:pPr>
      <w:r>
        <w:rPr/>
        <w:t>The spirometer used was the VO2000, which was calibrated and placed in the student to evaluate (see image 1, 2 and 3)</w:t>
      </w:r>
    </w:p>
    <w:p>
      <w:pPr>
        <w:pStyle w:val="BodyText"/>
        <w:spacing w:before="9"/>
        <w:rPr>
          <w:sz w:val="17"/>
        </w:rPr>
      </w:pPr>
    </w:p>
    <w:p>
      <w:pPr>
        <w:spacing w:before="0"/>
        <w:ind w:left="294" w:right="701" w:firstLine="0"/>
        <w:jc w:val="center"/>
        <w:rPr>
          <w:sz w:val="18"/>
        </w:rPr>
      </w:pPr>
      <w:r>
        <w:rPr>
          <w:sz w:val="18"/>
        </w:rPr>
        <w:t>Image 4.</w:t>
      </w:r>
    </w:p>
    <w:p>
      <w:pPr>
        <w:pStyle w:val="BodyText"/>
        <w:spacing w:before="10"/>
        <w:rPr>
          <w:sz w:val="8"/>
        </w:rPr>
      </w:pPr>
    </w:p>
    <w:p>
      <w:pPr>
        <w:pStyle w:val="BodyText"/>
        <w:ind w:left="333"/>
      </w:pPr>
      <w:r>
        <w:rPr/>
        <w:drawing>
          <wp:inline distT="0" distB="0" distL="0" distR="0">
            <wp:extent cx="2996069" cy="1901952"/>
            <wp:effectExtent l="0" t="0" r="0" b="0"/>
            <wp:docPr id="881" name="image488.jpeg" descr=""/>
            <wp:cNvGraphicFramePr>
              <a:graphicFrameLocks noChangeAspect="1"/>
            </wp:cNvGraphicFramePr>
            <a:graphic>
              <a:graphicData uri="http://schemas.openxmlformats.org/drawingml/2006/picture">
                <pic:pic>
                  <pic:nvPicPr>
                    <pic:cNvPr id="882" name="image488.jpeg"/>
                    <pic:cNvPicPr/>
                  </pic:nvPicPr>
                  <pic:blipFill>
                    <a:blip r:embed="rId777" cstate="print"/>
                    <a:stretch>
                      <a:fillRect/>
                    </a:stretch>
                  </pic:blipFill>
                  <pic:spPr>
                    <a:xfrm>
                      <a:off x="0" y="0"/>
                      <a:ext cx="2996069" cy="1901952"/>
                    </a:xfrm>
                    <a:prstGeom prst="rect">
                      <a:avLst/>
                    </a:prstGeom>
                  </pic:spPr>
                </pic:pic>
              </a:graphicData>
            </a:graphic>
          </wp:inline>
        </w:drawing>
      </w:r>
      <w:r>
        <w:rPr/>
      </w:r>
    </w:p>
    <w:p>
      <w:pPr>
        <w:spacing w:line="480" w:lineRule="auto" w:before="122"/>
        <w:ind w:left="2085" w:right="2493" w:firstLine="0"/>
        <w:jc w:val="center"/>
        <w:rPr>
          <w:sz w:val="18"/>
        </w:rPr>
      </w:pPr>
      <w:r>
        <w:rPr/>
        <w:drawing>
          <wp:anchor distT="0" distB="0" distL="0" distR="0" allowOverlap="1" layoutInCell="1" locked="0" behindDoc="1" simplePos="0" relativeHeight="267575423">
            <wp:simplePos x="0" y="0"/>
            <wp:positionH relativeFrom="page">
              <wp:posOffset>4162805</wp:posOffset>
            </wp:positionH>
            <wp:positionV relativeFrom="paragraph">
              <wp:posOffset>517935</wp:posOffset>
            </wp:positionV>
            <wp:extent cx="2986278" cy="2248662"/>
            <wp:effectExtent l="0" t="0" r="0" b="0"/>
            <wp:wrapNone/>
            <wp:docPr id="883" name="image489.jpeg" descr=""/>
            <wp:cNvGraphicFramePr>
              <a:graphicFrameLocks noChangeAspect="1"/>
            </wp:cNvGraphicFramePr>
            <a:graphic>
              <a:graphicData uri="http://schemas.openxmlformats.org/drawingml/2006/picture">
                <pic:pic>
                  <pic:nvPicPr>
                    <pic:cNvPr id="884" name="image489.jpeg"/>
                    <pic:cNvPicPr/>
                  </pic:nvPicPr>
                  <pic:blipFill>
                    <a:blip r:embed="rId778" cstate="print"/>
                    <a:stretch>
                      <a:fillRect/>
                    </a:stretch>
                  </pic:blipFill>
                  <pic:spPr>
                    <a:xfrm>
                      <a:off x="0" y="0"/>
                      <a:ext cx="2986278" cy="2248662"/>
                    </a:xfrm>
                    <a:prstGeom prst="rect">
                      <a:avLst/>
                    </a:prstGeom>
                  </pic:spPr>
                </pic:pic>
              </a:graphicData>
            </a:graphic>
          </wp:anchor>
        </w:drawing>
      </w:r>
      <w:r>
        <w:rPr>
          <w:sz w:val="18"/>
        </w:rPr>
        <w:t>Source: Prepared Image 5.</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7"/>
        <w:rPr>
          <w:sz w:val="26"/>
        </w:rPr>
      </w:pPr>
    </w:p>
    <w:p>
      <w:pPr>
        <w:spacing w:before="0"/>
        <w:ind w:left="293" w:right="701" w:firstLine="0"/>
        <w:jc w:val="center"/>
        <w:rPr>
          <w:sz w:val="18"/>
        </w:rPr>
      </w:pPr>
      <w:r>
        <w:rPr>
          <w:sz w:val="18"/>
        </w:rPr>
        <w:t>Source: Prepared</w:t>
      </w:r>
    </w:p>
    <w:p>
      <w:pPr>
        <w:spacing w:after="0"/>
        <w:jc w:val="center"/>
        <w:rPr>
          <w:sz w:val="18"/>
        </w:rPr>
        <w:sectPr>
          <w:type w:val="continuous"/>
          <w:pgSz w:w="12240" w:h="15840"/>
          <w:pgMar w:top="1500" w:bottom="280" w:left="580" w:right="220"/>
          <w:cols w:num="2" w:equalWidth="0">
            <w:col w:w="5189" w:space="435"/>
            <w:col w:w="5816"/>
          </w:cols>
        </w:sectPr>
      </w:pPr>
    </w:p>
    <w:p>
      <w:pPr>
        <w:pStyle w:val="BodyText"/>
        <w:rPr>
          <w:sz w:val="11"/>
        </w:rPr>
      </w:pPr>
    </w:p>
    <w:p>
      <w:pPr>
        <w:spacing w:after="0"/>
        <w:rPr>
          <w:sz w:val="11"/>
        </w:rPr>
        <w:sectPr>
          <w:pgSz w:w="12240" w:h="15840"/>
          <w:pgMar w:header="545" w:footer="852" w:top="1060" w:bottom="1040" w:left="580" w:right="220"/>
        </w:sectPr>
      </w:pPr>
    </w:p>
    <w:p>
      <w:pPr>
        <w:pStyle w:val="BodyText"/>
        <w:spacing w:before="78"/>
        <w:ind w:left="270" w:right="40"/>
        <w:jc w:val="both"/>
      </w:pPr>
      <w:r>
        <w:rPr/>
        <w:t>The student evaluated previously initiated with the procedures previously assigned in the point of methodology (see image 4).</w:t>
      </w:r>
    </w:p>
    <w:p>
      <w:pPr>
        <w:pStyle w:val="BodyText"/>
      </w:pPr>
    </w:p>
    <w:p>
      <w:pPr>
        <w:pStyle w:val="BodyText"/>
      </w:pPr>
    </w:p>
    <w:p>
      <w:pPr>
        <w:pStyle w:val="BodyText"/>
      </w:pPr>
    </w:p>
    <w:p>
      <w:pPr>
        <w:pStyle w:val="BodyText"/>
        <w:ind w:left="270" w:right="40"/>
        <w:jc w:val="both"/>
      </w:pPr>
      <w:r>
        <w:rPr/>
        <w:t>As a result began with the procedures to evaluate the student, he had been asked to carry out certain exercises of calentament either before the time that it was conducting its forced spirometry. (See image 5)</w:t>
      </w:r>
    </w:p>
    <w:p>
      <w:pPr>
        <w:pStyle w:val="BodyText"/>
        <w:spacing w:before="9"/>
        <w:rPr>
          <w:sz w:val="17"/>
        </w:rPr>
      </w:pPr>
    </w:p>
    <w:p>
      <w:pPr>
        <w:spacing w:before="0"/>
        <w:ind w:left="1054" w:right="826" w:firstLine="0"/>
        <w:jc w:val="center"/>
        <w:rPr>
          <w:sz w:val="18"/>
        </w:rPr>
      </w:pPr>
      <w:r>
        <w:rPr>
          <w:sz w:val="18"/>
        </w:rPr>
        <w:t>Figure 1. Home page of the program Breeze</w:t>
      </w:r>
    </w:p>
    <w:p>
      <w:pPr>
        <w:pStyle w:val="BodyText"/>
        <w:spacing w:before="2"/>
        <w:rPr>
          <w:sz w:val="4"/>
        </w:rPr>
      </w:pPr>
    </w:p>
    <w:p>
      <w:pPr>
        <w:pStyle w:val="BodyText"/>
        <w:ind w:left="216" w:right="-34"/>
      </w:pPr>
      <w:r>
        <w:rPr/>
        <w:drawing>
          <wp:inline distT="0" distB="0" distL="0" distR="0">
            <wp:extent cx="3179684" cy="1810512"/>
            <wp:effectExtent l="0" t="0" r="0" b="0"/>
            <wp:docPr id="885" name="image490.jpeg" descr=""/>
            <wp:cNvGraphicFramePr>
              <a:graphicFrameLocks noChangeAspect="1"/>
            </wp:cNvGraphicFramePr>
            <a:graphic>
              <a:graphicData uri="http://schemas.openxmlformats.org/drawingml/2006/picture">
                <pic:pic>
                  <pic:nvPicPr>
                    <pic:cNvPr id="886" name="image490.jpeg"/>
                    <pic:cNvPicPr/>
                  </pic:nvPicPr>
                  <pic:blipFill>
                    <a:blip r:embed="rId779" cstate="print"/>
                    <a:stretch>
                      <a:fillRect/>
                    </a:stretch>
                  </pic:blipFill>
                  <pic:spPr>
                    <a:xfrm>
                      <a:off x="0" y="0"/>
                      <a:ext cx="3179684" cy="1810512"/>
                    </a:xfrm>
                    <a:prstGeom prst="rect">
                      <a:avLst/>
                    </a:prstGeom>
                  </pic:spPr>
                </pic:pic>
              </a:graphicData>
            </a:graphic>
          </wp:inline>
        </w:drawing>
      </w:r>
      <w:r>
        <w:rPr/>
      </w:r>
    </w:p>
    <w:p>
      <w:pPr>
        <w:spacing w:before="66"/>
        <w:ind w:left="1054" w:right="827" w:firstLine="0"/>
        <w:jc w:val="center"/>
        <w:rPr>
          <w:sz w:val="18"/>
        </w:rPr>
      </w:pPr>
      <w:r>
        <w:rPr>
          <w:sz w:val="18"/>
        </w:rPr>
        <w:t>Source: Prepared of breeze</w:t>
      </w:r>
    </w:p>
    <w:p>
      <w:pPr>
        <w:pStyle w:val="BodyText"/>
        <w:rPr>
          <w:sz w:val="18"/>
        </w:rPr>
      </w:pPr>
    </w:p>
    <w:p>
      <w:pPr>
        <w:spacing w:before="0"/>
        <w:ind w:left="1054" w:right="827" w:firstLine="0"/>
        <w:jc w:val="center"/>
        <w:rPr>
          <w:sz w:val="18"/>
        </w:rPr>
      </w:pPr>
      <w:r>
        <w:rPr>
          <w:sz w:val="18"/>
        </w:rPr>
        <w:t>Figure 2. Student demographic data evaluated</w:t>
      </w:r>
    </w:p>
    <w:p>
      <w:pPr>
        <w:pStyle w:val="BodyText"/>
        <w:rPr>
          <w:sz w:val="6"/>
        </w:rPr>
      </w:pPr>
    </w:p>
    <w:p>
      <w:pPr>
        <w:pStyle w:val="BodyText"/>
        <w:ind w:left="299"/>
      </w:pPr>
      <w:r>
        <w:rPr/>
        <w:drawing>
          <wp:inline distT="0" distB="0" distL="0" distR="0">
            <wp:extent cx="3055310" cy="1773936"/>
            <wp:effectExtent l="0" t="0" r="0" b="0"/>
            <wp:docPr id="887" name="image491.jpeg" descr=""/>
            <wp:cNvGraphicFramePr>
              <a:graphicFrameLocks noChangeAspect="1"/>
            </wp:cNvGraphicFramePr>
            <a:graphic>
              <a:graphicData uri="http://schemas.openxmlformats.org/drawingml/2006/picture">
                <pic:pic>
                  <pic:nvPicPr>
                    <pic:cNvPr id="888" name="image491.jpeg"/>
                    <pic:cNvPicPr/>
                  </pic:nvPicPr>
                  <pic:blipFill>
                    <a:blip r:embed="rId780" cstate="print"/>
                    <a:stretch>
                      <a:fillRect/>
                    </a:stretch>
                  </pic:blipFill>
                  <pic:spPr>
                    <a:xfrm>
                      <a:off x="0" y="0"/>
                      <a:ext cx="3055310" cy="1773936"/>
                    </a:xfrm>
                    <a:prstGeom prst="rect">
                      <a:avLst/>
                    </a:prstGeom>
                  </pic:spPr>
                </pic:pic>
              </a:graphicData>
            </a:graphic>
          </wp:inline>
        </w:drawing>
      </w:r>
      <w:r>
        <w:rPr/>
      </w:r>
    </w:p>
    <w:p>
      <w:pPr>
        <w:spacing w:before="127"/>
        <w:ind w:left="1054" w:right="827" w:firstLine="0"/>
        <w:jc w:val="center"/>
        <w:rPr>
          <w:sz w:val="18"/>
        </w:rPr>
      </w:pPr>
      <w:r>
        <w:rPr>
          <w:sz w:val="18"/>
        </w:rPr>
        <w:t>Source: Prepared of breeze</w:t>
      </w:r>
    </w:p>
    <w:p>
      <w:pPr>
        <w:pStyle w:val="BodyText"/>
        <w:spacing w:before="1"/>
      </w:pPr>
    </w:p>
    <w:p>
      <w:pPr>
        <w:pStyle w:val="BodyText"/>
        <w:ind w:left="270" w:right="136"/>
        <w:jc w:val="both"/>
      </w:pPr>
      <w:r>
        <w:rPr/>
        <w:t>To start the assessment data were the generals of the student as well as their demographic data. (See Figure 1 and 2)</w:t>
      </w:r>
    </w:p>
    <w:p>
      <w:pPr>
        <w:spacing w:before="77"/>
        <w:ind w:left="1119" w:right="1523" w:firstLine="0"/>
        <w:jc w:val="center"/>
        <w:rPr>
          <w:sz w:val="18"/>
        </w:rPr>
      </w:pPr>
      <w:r>
        <w:rPr/>
        <w:br w:type="column"/>
      </w:r>
      <w:r>
        <w:rPr>
          <w:sz w:val="18"/>
        </w:rPr>
        <w:t>Figure 3. Exercises in the student evaluated</w:t>
      </w:r>
    </w:p>
    <w:p>
      <w:pPr>
        <w:pStyle w:val="BodyText"/>
        <w:spacing w:before="9"/>
        <w:rPr>
          <w:sz w:val="3"/>
        </w:rPr>
      </w:pPr>
    </w:p>
    <w:p>
      <w:pPr>
        <w:pStyle w:val="BodyText"/>
        <w:ind w:left="216"/>
      </w:pPr>
      <w:r>
        <w:rPr/>
        <w:drawing>
          <wp:inline distT="0" distB="0" distL="0" distR="0">
            <wp:extent cx="3102980" cy="2520981"/>
            <wp:effectExtent l="0" t="0" r="0" b="0"/>
            <wp:docPr id="889" name="image492.jpeg" descr=""/>
            <wp:cNvGraphicFramePr>
              <a:graphicFrameLocks noChangeAspect="1"/>
            </wp:cNvGraphicFramePr>
            <a:graphic>
              <a:graphicData uri="http://schemas.openxmlformats.org/drawingml/2006/picture">
                <pic:pic>
                  <pic:nvPicPr>
                    <pic:cNvPr id="890" name="image492.jpeg"/>
                    <pic:cNvPicPr/>
                  </pic:nvPicPr>
                  <pic:blipFill>
                    <a:blip r:embed="rId781" cstate="print"/>
                    <a:stretch>
                      <a:fillRect/>
                    </a:stretch>
                  </pic:blipFill>
                  <pic:spPr>
                    <a:xfrm>
                      <a:off x="0" y="0"/>
                      <a:ext cx="3102980" cy="2520981"/>
                    </a:xfrm>
                    <a:prstGeom prst="rect">
                      <a:avLst/>
                    </a:prstGeom>
                  </pic:spPr>
                </pic:pic>
              </a:graphicData>
            </a:graphic>
          </wp:inline>
        </w:drawing>
      </w:r>
      <w:r>
        <w:rPr/>
      </w:r>
    </w:p>
    <w:p>
      <w:pPr>
        <w:spacing w:before="55"/>
        <w:ind w:left="1119" w:right="1523" w:firstLine="0"/>
        <w:jc w:val="center"/>
        <w:rPr>
          <w:sz w:val="18"/>
        </w:rPr>
      </w:pPr>
      <w:r>
        <w:rPr>
          <w:sz w:val="18"/>
        </w:rPr>
        <w:t>Source: Prepared of breeze</w:t>
      </w:r>
    </w:p>
    <w:p>
      <w:pPr>
        <w:pStyle w:val="BodyText"/>
        <w:spacing w:before="2"/>
        <w:ind w:left="272" w:right="405"/>
      </w:pPr>
      <w:r>
        <w:rPr/>
        <w:t>In this figure (figure 3) we can see the number of tests conducted in the student.</w:t>
      </w:r>
    </w:p>
    <w:p>
      <w:pPr>
        <w:pStyle w:val="BodyText"/>
        <w:spacing w:before="10"/>
        <w:rPr>
          <w:sz w:val="19"/>
        </w:rPr>
      </w:pPr>
    </w:p>
    <w:p>
      <w:pPr>
        <w:spacing w:before="0"/>
        <w:ind w:left="1119" w:right="1523" w:firstLine="0"/>
        <w:jc w:val="center"/>
        <w:rPr>
          <w:sz w:val="18"/>
        </w:rPr>
      </w:pPr>
      <w:r>
        <w:rPr>
          <w:sz w:val="18"/>
        </w:rPr>
        <w:t>Figure 4. Results of the student evaluated</w:t>
      </w:r>
    </w:p>
    <w:p>
      <w:pPr>
        <w:pStyle w:val="BodyText"/>
        <w:spacing w:before="5"/>
        <w:rPr>
          <w:sz w:val="4"/>
        </w:rPr>
      </w:pPr>
    </w:p>
    <w:p>
      <w:pPr>
        <w:pStyle w:val="BodyText"/>
        <w:ind w:left="521"/>
      </w:pPr>
      <w:r>
        <w:rPr/>
        <w:drawing>
          <wp:inline distT="0" distB="0" distL="0" distR="0">
            <wp:extent cx="3163072" cy="2297429"/>
            <wp:effectExtent l="0" t="0" r="0" b="0"/>
            <wp:docPr id="891" name="image493.jpeg" descr=""/>
            <wp:cNvGraphicFramePr>
              <a:graphicFrameLocks noChangeAspect="1"/>
            </wp:cNvGraphicFramePr>
            <a:graphic>
              <a:graphicData uri="http://schemas.openxmlformats.org/drawingml/2006/picture">
                <pic:pic>
                  <pic:nvPicPr>
                    <pic:cNvPr id="892" name="image493.jpeg"/>
                    <pic:cNvPicPr/>
                  </pic:nvPicPr>
                  <pic:blipFill>
                    <a:blip r:embed="rId782" cstate="print"/>
                    <a:stretch>
                      <a:fillRect/>
                    </a:stretch>
                  </pic:blipFill>
                  <pic:spPr>
                    <a:xfrm>
                      <a:off x="0" y="0"/>
                      <a:ext cx="3163072" cy="2297429"/>
                    </a:xfrm>
                    <a:prstGeom prst="rect">
                      <a:avLst/>
                    </a:prstGeom>
                  </pic:spPr>
                </pic:pic>
              </a:graphicData>
            </a:graphic>
          </wp:inline>
        </w:drawing>
      </w:r>
      <w:r>
        <w:rPr/>
      </w:r>
    </w:p>
    <w:p>
      <w:pPr>
        <w:spacing w:line="480" w:lineRule="auto" w:before="11"/>
        <w:ind w:left="1403" w:right="1794" w:firstLine="328"/>
        <w:jc w:val="left"/>
        <w:rPr>
          <w:sz w:val="18"/>
        </w:rPr>
      </w:pPr>
      <w:r>
        <w:rPr/>
        <w:drawing>
          <wp:anchor distT="0" distB="0" distL="0" distR="0" allowOverlap="1" layoutInCell="1" locked="0" behindDoc="1" simplePos="0" relativeHeight="267575447">
            <wp:simplePos x="0" y="0"/>
            <wp:positionH relativeFrom="page">
              <wp:posOffset>4274058</wp:posOffset>
            </wp:positionH>
            <wp:positionV relativeFrom="paragraph">
              <wp:posOffset>441353</wp:posOffset>
            </wp:positionV>
            <wp:extent cx="3112769" cy="2054352"/>
            <wp:effectExtent l="0" t="0" r="0" b="0"/>
            <wp:wrapNone/>
            <wp:docPr id="893" name="image494.jpeg" descr=""/>
            <wp:cNvGraphicFramePr>
              <a:graphicFrameLocks noChangeAspect="1"/>
            </wp:cNvGraphicFramePr>
            <a:graphic>
              <a:graphicData uri="http://schemas.openxmlformats.org/drawingml/2006/picture">
                <pic:pic>
                  <pic:nvPicPr>
                    <pic:cNvPr id="894" name="image494.jpeg"/>
                    <pic:cNvPicPr/>
                  </pic:nvPicPr>
                  <pic:blipFill>
                    <a:blip r:embed="rId783" cstate="print"/>
                    <a:stretch>
                      <a:fillRect/>
                    </a:stretch>
                  </pic:blipFill>
                  <pic:spPr>
                    <a:xfrm>
                      <a:off x="0" y="0"/>
                      <a:ext cx="3112769" cy="2054352"/>
                    </a:xfrm>
                    <a:prstGeom prst="rect">
                      <a:avLst/>
                    </a:prstGeom>
                  </pic:spPr>
                </pic:pic>
              </a:graphicData>
            </a:graphic>
          </wp:anchor>
        </w:drawing>
      </w:r>
      <w:r>
        <w:rPr>
          <w:sz w:val="18"/>
        </w:rPr>
        <w:t>Source: Prepared of breeze Figure 5. Summary of data obtained</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spacing w:before="145"/>
        <w:ind w:left="1119" w:right="1523" w:firstLine="0"/>
        <w:jc w:val="center"/>
        <w:rPr>
          <w:sz w:val="18"/>
        </w:rPr>
      </w:pPr>
      <w:r>
        <w:rPr>
          <w:sz w:val="18"/>
        </w:rPr>
        <w:t>Source: Prepared of breeze</w:t>
      </w:r>
    </w:p>
    <w:p>
      <w:pPr>
        <w:spacing w:after="0"/>
        <w:jc w:val="center"/>
        <w:rPr>
          <w:sz w:val="18"/>
        </w:rPr>
        <w:sectPr>
          <w:type w:val="continuous"/>
          <w:pgSz w:w="12240" w:h="15840"/>
          <w:pgMar w:top="1500" w:bottom="280" w:left="580" w:right="220"/>
          <w:cols w:num="2" w:equalWidth="0">
            <w:col w:w="5231" w:space="392"/>
            <w:col w:w="5817"/>
          </w:cols>
        </w:sectPr>
      </w:pPr>
    </w:p>
    <w:p>
      <w:pPr>
        <w:pStyle w:val="BodyText"/>
      </w:pPr>
    </w:p>
    <w:p>
      <w:pPr>
        <w:pStyle w:val="BodyText"/>
        <w:spacing w:before="11"/>
        <w:rPr>
          <w:sz w:val="17"/>
        </w:rPr>
      </w:pPr>
    </w:p>
    <w:p>
      <w:pPr>
        <w:pStyle w:val="Heading4"/>
        <w:numPr>
          <w:ilvl w:val="0"/>
          <w:numId w:val="169"/>
        </w:numPr>
        <w:tabs>
          <w:tab w:pos="472" w:val="left" w:leader="none"/>
        </w:tabs>
        <w:spacing w:line="240" w:lineRule="auto" w:before="0" w:after="0"/>
        <w:ind w:left="471" w:right="0" w:hanging="201"/>
        <w:jc w:val="both"/>
      </w:pPr>
      <w:r>
        <w:rPr/>
        <w:t>CONCLUSIONS.</w:t>
      </w:r>
    </w:p>
    <w:p>
      <w:pPr>
        <w:pStyle w:val="BodyText"/>
        <w:spacing w:before="9"/>
        <w:rPr>
          <w:b/>
          <w:sz w:val="19"/>
        </w:rPr>
      </w:pPr>
    </w:p>
    <w:p>
      <w:pPr>
        <w:pStyle w:val="BodyText"/>
        <w:spacing w:before="1"/>
        <w:ind w:left="270" w:right="6250"/>
        <w:jc w:val="both"/>
      </w:pPr>
      <w:r>
        <w:rPr/>
        <w:t>The student evaluated presented no obstructions at the time  of testing. The results showed how the spirometry as a diagnostic method allows early detection and functional alterations of the respiratory system structural in the sedentary students by giving them the opportunity to initiate plans of physical</w:t>
      </w:r>
      <w:r>
        <w:rPr>
          <w:spacing w:val="-15"/>
        </w:rPr>
        <w:t> </w:t>
      </w:r>
      <w:r>
        <w:rPr/>
        <w:t>activity.</w:t>
      </w:r>
    </w:p>
    <w:p>
      <w:pPr>
        <w:pStyle w:val="BodyText"/>
        <w:spacing w:before="2"/>
      </w:pPr>
    </w:p>
    <w:p>
      <w:pPr>
        <w:pStyle w:val="Heading4"/>
        <w:numPr>
          <w:ilvl w:val="0"/>
          <w:numId w:val="169"/>
        </w:numPr>
        <w:tabs>
          <w:tab w:pos="471" w:val="left" w:leader="none"/>
        </w:tabs>
        <w:spacing w:line="240" w:lineRule="auto" w:before="0" w:after="0"/>
        <w:ind w:left="470" w:right="0" w:hanging="200"/>
        <w:jc w:val="both"/>
      </w:pPr>
      <w:r>
        <w:rPr/>
        <w:t>REFERENCES.</w:t>
      </w:r>
    </w:p>
    <w:p>
      <w:pPr>
        <w:pStyle w:val="BodyText"/>
        <w:spacing w:before="8"/>
        <w:rPr>
          <w:b/>
          <w:sz w:val="19"/>
        </w:rPr>
      </w:pPr>
    </w:p>
    <w:p>
      <w:pPr>
        <w:pStyle w:val="BodyText"/>
        <w:ind w:left="270" w:right="6250"/>
        <w:jc w:val="both"/>
      </w:pPr>
      <w:r>
        <w:rPr/>
        <w:t>[1] Kholoud D. AlOtaibia, Salwa B. El-Sobkey. (1 February 2015). Spirometric values and chest pain intensity three days post-operative coronary artery bypass graft surgery. ELSEVIER, 2, 113-115.</w:t>
      </w:r>
    </w:p>
    <w:p>
      <w:pPr>
        <w:pStyle w:val="BodyText"/>
      </w:pPr>
    </w:p>
    <w:p>
      <w:pPr>
        <w:pStyle w:val="BodyText"/>
        <w:spacing w:before="1"/>
        <w:ind w:left="270" w:right="6249"/>
        <w:jc w:val="both"/>
      </w:pPr>
      <w:r>
        <w:rPr/>
        <w:t>[2] Aruneema Dasa, , David P Johnsa, Ritaban Duttab, , Haydn E Walters. (6 June 2014). Automated Estimation and Analysis of Lung Function Test Parameters from Spirometric Data for Respiratory Disease Diagnostics. ELSEVIER, 29, 2045–2054.</w:t>
      </w:r>
    </w:p>
    <w:p>
      <w:pPr>
        <w:pStyle w:val="BodyText"/>
      </w:pPr>
    </w:p>
    <w:p>
      <w:pPr>
        <w:pStyle w:val="BodyText"/>
        <w:spacing w:before="1"/>
        <w:ind w:left="270" w:right="6250"/>
        <w:jc w:val="both"/>
      </w:pPr>
      <w:r>
        <w:rPr/>
        <w:t>[3] Francesco De Filippia, , , Francesco Tanab, Simona Vanzatia, Barbara Balzarinia, Giuseppe Galetti. (July– August 2003). Study of respiratory function in the elderly with different nutritional and cognitive status and functional ability assessed by plethysmographic and spirometric parameters. ELSEVIER, 37, 33–43.</w:t>
      </w:r>
    </w:p>
    <w:p>
      <w:pPr>
        <w:pStyle w:val="BodyText"/>
        <w:spacing w:before="11"/>
        <w:rPr>
          <w:sz w:val="19"/>
        </w:rPr>
      </w:pPr>
    </w:p>
    <w:p>
      <w:pPr>
        <w:pStyle w:val="BodyText"/>
        <w:ind w:left="270" w:right="6250"/>
        <w:jc w:val="both"/>
      </w:pPr>
      <w:r>
        <w:rPr/>
        <w:t>[4] H. Ben Saada, b, g, , , M. Khemisa, I. Bougmizac, C. Prefautb, H. Aouinad, N. Mrizeke, A. Garrouchef, A. Zbidia,</w:t>
      </w:r>
    </w:p>
    <w:p>
      <w:pPr>
        <w:pStyle w:val="ListParagraph"/>
        <w:numPr>
          <w:ilvl w:val="0"/>
          <w:numId w:val="170"/>
        </w:numPr>
        <w:tabs>
          <w:tab w:pos="540" w:val="left" w:leader="none"/>
        </w:tabs>
        <w:spacing w:line="240" w:lineRule="auto" w:before="0" w:after="0"/>
        <w:ind w:left="270" w:right="6250" w:firstLine="0"/>
        <w:jc w:val="both"/>
        <w:rPr>
          <w:sz w:val="20"/>
        </w:rPr>
      </w:pPr>
      <w:r>
        <w:rPr>
          <w:sz w:val="20"/>
        </w:rPr>
        <w:t>Tabka. (26 July 2011). Spirometric profile of narghile smokers. ELSEVIER, 26,</w:t>
      </w:r>
      <w:r>
        <w:rPr>
          <w:spacing w:val="-14"/>
          <w:sz w:val="20"/>
        </w:rPr>
        <w:t> </w:t>
      </w:r>
      <w:r>
        <w:rPr>
          <w:sz w:val="20"/>
        </w:rPr>
        <w:t>e39–e51.</w:t>
      </w:r>
    </w:p>
    <w:p>
      <w:pPr>
        <w:spacing w:after="0" w:line="240" w:lineRule="auto"/>
        <w:jc w:val="both"/>
        <w:rPr>
          <w:sz w:val="20"/>
        </w:rPr>
        <w:sectPr>
          <w:pgSz w:w="12240" w:h="15840"/>
          <w:pgMar w:header="545" w:footer="852" w:top="1060" w:bottom="1040" w:left="580" w:right="220"/>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
        <w:rPr>
          <w:sz w:val="26"/>
        </w:rPr>
      </w:pPr>
    </w:p>
    <w:p>
      <w:pPr>
        <w:pStyle w:val="Heading1"/>
        <w:ind w:right="21"/>
        <w:rPr>
          <w:rFonts w:ascii="Arial" w:hAnsi="Arial"/>
        </w:rPr>
      </w:pPr>
      <w:r>
        <w:rPr/>
        <w:t>People that make flour tortillas processed in hand at Los Mochis, Sinaloa: CDT’s analysis</w:t>
      </w:r>
      <w:r>
        <w:rPr>
          <w:rFonts w:ascii="Arial" w:hAnsi="Arial"/>
        </w:rPr>
        <w:t>.</w:t>
      </w:r>
    </w:p>
    <w:p>
      <w:pPr>
        <w:pStyle w:val="BodyText"/>
        <w:spacing w:before="5"/>
        <w:rPr>
          <w:rFonts w:ascii="Arial"/>
          <w:b/>
          <w:sz w:val="23"/>
        </w:rPr>
      </w:pPr>
    </w:p>
    <w:p>
      <w:pPr>
        <w:spacing w:line="213" w:lineRule="auto" w:before="0"/>
        <w:ind w:left="270" w:right="20" w:firstLine="50"/>
        <w:jc w:val="both"/>
        <w:rPr>
          <w:i/>
          <w:sz w:val="20"/>
        </w:rPr>
      </w:pPr>
      <w:r>
        <w:rPr>
          <w:i/>
          <w:sz w:val="20"/>
        </w:rPr>
        <w:t>Jesús Iván Ruiz Ibarra </w:t>
      </w:r>
      <w:r>
        <w:rPr>
          <w:i/>
          <w:position w:val="9"/>
          <w:sz w:val="13"/>
        </w:rPr>
        <w:t>a</w:t>
      </w:r>
      <w:r>
        <w:rPr>
          <w:i/>
          <w:sz w:val="20"/>
        </w:rPr>
        <w:t>, Chávez Ahumada Jesús Guadalupe </w:t>
      </w:r>
      <w:r>
        <w:rPr>
          <w:i/>
          <w:position w:val="9"/>
          <w:sz w:val="13"/>
        </w:rPr>
        <w:t>b </w:t>
      </w:r>
      <w:r>
        <w:rPr>
          <w:i/>
          <w:sz w:val="20"/>
        </w:rPr>
        <w:t>Pacheco Gastelum Dalia María </w:t>
      </w:r>
      <w:r>
        <w:rPr>
          <w:i/>
          <w:position w:val="9"/>
          <w:sz w:val="13"/>
        </w:rPr>
        <w:t>c</w:t>
      </w:r>
      <w:r>
        <w:rPr>
          <w:i/>
          <w:sz w:val="20"/>
        </w:rPr>
        <w:t>, Romero Cárdenas Alma Gisela </w:t>
      </w:r>
      <w:r>
        <w:rPr>
          <w:i/>
          <w:position w:val="9"/>
          <w:sz w:val="13"/>
        </w:rPr>
        <w:t>d</w:t>
      </w:r>
      <w:r>
        <w:rPr>
          <w:i/>
          <w:sz w:val="20"/>
        </w:rPr>
        <w:t>, Zamarrón Acosta Ixcel Anay </w:t>
      </w:r>
      <w:r>
        <w:rPr>
          <w:i/>
          <w:position w:val="9"/>
          <w:sz w:val="13"/>
        </w:rPr>
        <w:t>e</w:t>
      </w:r>
      <w:r>
        <w:rPr>
          <w:i/>
          <w:sz w:val="20"/>
        </w:rPr>
        <w:t>.</w:t>
      </w:r>
    </w:p>
    <w:p>
      <w:pPr>
        <w:pStyle w:val="BodyText"/>
        <w:spacing w:before="2"/>
        <w:rPr>
          <w:i/>
          <w:sz w:val="19"/>
        </w:rPr>
      </w:pPr>
    </w:p>
    <w:p>
      <w:pPr>
        <w:spacing w:before="0"/>
        <w:ind w:left="270" w:right="0" w:firstLine="0"/>
        <w:jc w:val="both"/>
        <w:rPr>
          <w:sz w:val="16"/>
        </w:rPr>
      </w:pPr>
      <w:r>
        <w:rPr>
          <w:position w:val="7"/>
          <w:sz w:val="10"/>
        </w:rPr>
        <w:t>a </w:t>
      </w:r>
      <w:r>
        <w:rPr>
          <w:sz w:val="16"/>
        </w:rPr>
        <w:t>Instituto Tecnológico de Los Mochis, Juan de Dios Batiz y 20 de  noviembre s/n código postal 81259, jesus_ruizi@hotmail,com, Los Mochis, Sinaloa,</w:t>
      </w:r>
      <w:r>
        <w:rPr>
          <w:spacing w:val="-6"/>
          <w:sz w:val="16"/>
        </w:rPr>
        <w:t> </w:t>
      </w:r>
      <w:r>
        <w:rPr>
          <w:sz w:val="16"/>
        </w:rPr>
        <w:t>México.</w:t>
      </w:r>
    </w:p>
    <w:p>
      <w:pPr>
        <w:spacing w:line="184" w:lineRule="exact" w:before="3"/>
        <w:ind w:left="270" w:right="0" w:firstLine="0"/>
        <w:jc w:val="both"/>
        <w:rPr>
          <w:sz w:val="16"/>
        </w:rPr>
      </w:pPr>
      <w:r>
        <w:rPr>
          <w:position w:val="7"/>
          <w:sz w:val="10"/>
        </w:rPr>
        <w:t>b </w:t>
      </w:r>
      <w:r>
        <w:rPr>
          <w:sz w:val="16"/>
        </w:rPr>
        <w:t>Estudiante de Ingeniería Industrial del Instituto Tecnológico de Los  Mochis, Juan de Dios Batiz y 20 de noviembre s/n código postal 81259, jesusgpechavezahumada@hotmail,com, Los Mochis, Sinaloa,</w:t>
      </w:r>
      <w:r>
        <w:rPr>
          <w:spacing w:val="-15"/>
          <w:sz w:val="16"/>
        </w:rPr>
        <w:t> </w:t>
      </w:r>
      <w:r>
        <w:rPr>
          <w:sz w:val="16"/>
        </w:rPr>
        <w:t>México</w:t>
      </w:r>
    </w:p>
    <w:p>
      <w:pPr>
        <w:spacing w:line="184" w:lineRule="exact" w:before="0"/>
        <w:ind w:left="270" w:right="0" w:firstLine="25"/>
        <w:jc w:val="both"/>
        <w:rPr>
          <w:sz w:val="16"/>
        </w:rPr>
      </w:pPr>
      <w:r>
        <w:rPr>
          <w:position w:val="7"/>
          <w:sz w:val="10"/>
        </w:rPr>
        <w:t>c </w:t>
      </w:r>
      <w:r>
        <w:rPr>
          <w:sz w:val="16"/>
        </w:rPr>
        <w:t>Estudiante de Ingeniería Industrial del Instituto Tecnológico de Los Mochis, Juan de Dios Batiz y 20 de noviembre s/n código postal 81259, dalia.pacheco944@hotmail,com, Los Mochis, Sinaloa, México.</w:t>
      </w:r>
    </w:p>
    <w:p>
      <w:pPr>
        <w:spacing w:line="184" w:lineRule="exact" w:before="0"/>
        <w:ind w:left="270" w:right="0" w:firstLine="0"/>
        <w:jc w:val="both"/>
        <w:rPr>
          <w:sz w:val="16"/>
        </w:rPr>
      </w:pPr>
      <w:r>
        <w:rPr>
          <w:position w:val="7"/>
          <w:sz w:val="10"/>
        </w:rPr>
        <w:t>d </w:t>
      </w:r>
      <w:r>
        <w:rPr>
          <w:sz w:val="16"/>
        </w:rPr>
        <w:t>Estudiante de Ingeniería Industrial del Instituto Tecnológico de Los Mochis, Juan de Dios Batiz y 20 de noviembre s/n código postal 81259, alma_gisela_2008@hotmail,com, Los Mochis, Sinaloa,</w:t>
      </w:r>
      <w:r>
        <w:rPr>
          <w:spacing w:val="-24"/>
          <w:sz w:val="16"/>
        </w:rPr>
        <w:t> </w:t>
      </w:r>
      <w:r>
        <w:rPr>
          <w:sz w:val="16"/>
        </w:rPr>
        <w:t>México.</w:t>
      </w:r>
    </w:p>
    <w:p>
      <w:pPr>
        <w:spacing w:line="184" w:lineRule="exact" w:before="0"/>
        <w:ind w:left="270" w:right="0" w:firstLine="0"/>
        <w:jc w:val="both"/>
        <w:rPr>
          <w:sz w:val="16"/>
        </w:rPr>
      </w:pPr>
      <w:r>
        <w:rPr>
          <w:position w:val="7"/>
          <w:sz w:val="10"/>
        </w:rPr>
        <w:t>e </w:t>
      </w:r>
      <w:r>
        <w:rPr>
          <w:sz w:val="16"/>
        </w:rPr>
        <w:t>Estudiante de Ingeniería Industrial del Instituto Tecnológico de Los Mochis, Juan de Dios Batiz y 20 de noviembre s/n código postal 81259, ing.zamarron93@hotmail,com, Los Mochis, Sinaloa,</w:t>
      </w:r>
      <w:r>
        <w:rPr>
          <w:spacing w:val="-27"/>
          <w:sz w:val="16"/>
        </w:rPr>
        <w:t> </w:t>
      </w:r>
      <w:r>
        <w:rPr>
          <w:sz w:val="16"/>
        </w:rPr>
        <w:t>México.</w:t>
      </w:r>
    </w:p>
    <w:p>
      <w:pPr>
        <w:pStyle w:val="BodyText"/>
        <w:spacing w:before="2"/>
      </w:pPr>
    </w:p>
    <w:p>
      <w:pPr>
        <w:pStyle w:val="Heading4"/>
      </w:pPr>
      <w:r>
        <w:rPr/>
        <w:pict>
          <v:line style="position:absolute;mso-position-horizontal-relative:page;mso-position-vertical-relative:paragraph;z-index:18832" from="41.040001pt,13.205927pt" to="289.860001pt,13.205927pt" stroked="true" strokeweight="1.5pt" strokecolor="#000000">
            <w10:wrap type="none"/>
          </v:line>
        </w:pict>
      </w:r>
      <w:r>
        <w:rPr/>
        <w:t>Resumen</w:t>
      </w:r>
    </w:p>
    <w:p>
      <w:pPr>
        <w:pStyle w:val="BodyText"/>
        <w:spacing w:before="46"/>
        <w:ind w:left="270" w:right="18"/>
        <w:jc w:val="both"/>
      </w:pPr>
      <w:r>
        <w:rPr/>
        <w:t>En la investigación se dará a conocer los aspectos que desarrollan o generan posibles DTA´s en las personas que hace tortillas de harina a mano adoptando una postura incorrecta al momento de laborar y usando herramientas inadecuadas para dicha labor, utilizando cuestionarios de evaluación de desarrollo de daños físico, su objetivo es determinar las causas que puedan desarrollar lesiones en las trabajadoras. Primeramente se determinó que se encuestarían trece personas que hacen tortillas de harina a mano en los puntos de venta de la ciudad donde aplicamos la sección  c del cuestionario subjetivo de fatiga de Yoshitake y el mapeo de molestias del cuerpo de Corlett y Bishop, donde analizaremos los datos obtenidos para determinar si las personas presentan indicios de desarrollar una posible lesión, y así buscarle una solución. En las personas evaluadas se encontró que existen molestias tanto en las manos como en  la parte alta de la espalda incluyendo los hombros debido a la forma de desarrollar la tarea que cumplen en su trabajo, ya que colocan las muñecas de una forma no natural y además aplican una</w:t>
      </w:r>
      <w:r>
        <w:rPr>
          <w:spacing w:val="-14"/>
        </w:rPr>
        <w:t> </w:t>
      </w:r>
      <w:r>
        <w:rPr/>
        <w:t>fuerza.</w:t>
      </w:r>
    </w:p>
    <w:p>
      <w:pPr>
        <w:pStyle w:val="BodyText"/>
        <w:spacing w:before="11"/>
        <w:rPr>
          <w:sz w:val="19"/>
        </w:rPr>
      </w:pPr>
    </w:p>
    <w:p>
      <w:pPr>
        <w:spacing w:before="0"/>
        <w:ind w:left="270" w:right="20" w:firstLine="0"/>
        <w:jc w:val="both"/>
        <w:rPr>
          <w:sz w:val="20"/>
        </w:rPr>
      </w:pPr>
      <w:r>
        <w:rPr>
          <w:b/>
          <w:sz w:val="20"/>
        </w:rPr>
        <w:t>Palabras clave— </w:t>
      </w:r>
      <w:r>
        <w:rPr>
          <w:sz w:val="20"/>
        </w:rPr>
        <w:t>Lesión, Yoshitake, mapeo de molestias de Corlett y Bishop</w:t>
      </w:r>
    </w:p>
    <w:p>
      <w:pPr>
        <w:pStyle w:val="BodyText"/>
        <w:spacing w:before="3"/>
      </w:pPr>
    </w:p>
    <w:p>
      <w:pPr>
        <w:pStyle w:val="Heading5"/>
        <w:rPr>
          <w:i/>
        </w:rPr>
      </w:pPr>
      <w:r>
        <w:rPr/>
        <w:pict>
          <v:line style="position:absolute;mso-position-horizontal-relative:page;mso-position-vertical-relative:paragraph;z-index:18856" from="41.040001pt,13.206678pt" to="289.860001pt,13.206678pt" stroked="true" strokeweight="1.5pt" strokecolor="#000000">
            <w10:wrap type="none"/>
          </v:line>
        </w:pict>
      </w:r>
      <w:r>
        <w:rPr>
          <w:i/>
        </w:rPr>
        <w:t>Abstract</w:t>
      </w:r>
    </w:p>
    <w:p>
      <w:pPr>
        <w:spacing w:before="46"/>
        <w:ind w:left="270" w:right="18" w:firstLine="0"/>
        <w:jc w:val="both"/>
        <w:rPr>
          <w:i/>
          <w:sz w:val="20"/>
        </w:rPr>
      </w:pPr>
      <w:r>
        <w:rPr>
          <w:i/>
          <w:sz w:val="20"/>
        </w:rPr>
        <w:t>To determine the existence of fatigue or cumulative trauma </w:t>
      </w:r>
      <w:r>
        <w:rPr>
          <w:i/>
          <w:sz w:val="20"/>
        </w:rPr>
        <w:t>The investigation will reveal aspects that develop  or generate posible CTD’s on people who make handmade  flour tortillas adopting an incorrect posture when using improper labor and tools for this work,using questionnaires of assessment of physical damage development, its goa lis to determine the causes that may develop lesions in workers.First it was determined that thirteen people making tortillas by hand in the outlets of the city where we apply the section  c of  the  subjective questionnaire Yoshitake </w:t>
      </w:r>
      <w:r>
        <w:rPr>
          <w:i/>
          <w:spacing w:val="44"/>
          <w:sz w:val="20"/>
        </w:rPr>
        <w:t> </w:t>
      </w:r>
      <w:r>
        <w:rPr>
          <w:i/>
          <w:sz w:val="20"/>
        </w:rPr>
        <w:t>fatigue</w:t>
      </w:r>
    </w:p>
    <w:p>
      <w:pPr>
        <w:spacing w:before="74"/>
        <w:ind w:left="270" w:right="675" w:firstLine="0"/>
        <w:jc w:val="both"/>
        <w:rPr>
          <w:i/>
          <w:sz w:val="20"/>
        </w:rPr>
      </w:pPr>
      <w:r>
        <w:rPr/>
        <w:br w:type="column"/>
      </w:r>
      <w:r>
        <w:rPr>
          <w:i/>
          <w:sz w:val="20"/>
        </w:rPr>
        <w:t>and discomfort mapping body Corlett and Bishop be </w:t>
      </w:r>
      <w:r>
        <w:rPr>
          <w:i/>
          <w:sz w:val="20"/>
        </w:rPr>
        <w:t>surveyed, where we will analyze the data to determine if people show signs of developing a possible injury to find a solution. In those tested, it was found that there is  discomfort in both hands as high back including the shoulders because of the way they develop the task fulfilled in their work, because they put their wrists in an unnatural way and also they apply a</w:t>
      </w:r>
      <w:r>
        <w:rPr>
          <w:i/>
          <w:spacing w:val="-11"/>
          <w:sz w:val="20"/>
        </w:rPr>
        <w:t> </w:t>
      </w:r>
      <w:r>
        <w:rPr>
          <w:i/>
          <w:sz w:val="20"/>
        </w:rPr>
        <w:t>forcé..</w:t>
      </w:r>
    </w:p>
    <w:p>
      <w:pPr>
        <w:pStyle w:val="BodyText"/>
        <w:rPr>
          <w:i/>
        </w:rPr>
      </w:pPr>
    </w:p>
    <w:p>
      <w:pPr>
        <w:spacing w:before="1"/>
        <w:ind w:left="270" w:right="676" w:firstLine="0"/>
        <w:jc w:val="both"/>
        <w:rPr>
          <w:i/>
          <w:sz w:val="20"/>
        </w:rPr>
      </w:pPr>
      <w:r>
        <w:rPr>
          <w:b/>
          <w:i/>
          <w:sz w:val="20"/>
        </w:rPr>
        <w:t>Keywords— </w:t>
      </w:r>
      <w:r>
        <w:rPr>
          <w:i/>
          <w:sz w:val="20"/>
        </w:rPr>
        <w:t>Injury, Yoshitake, mapping discomfort Corlett </w:t>
      </w:r>
      <w:r>
        <w:rPr>
          <w:i/>
          <w:sz w:val="20"/>
        </w:rPr>
        <w:t>and Bishop.</w:t>
      </w:r>
    </w:p>
    <w:p>
      <w:pPr>
        <w:pStyle w:val="BodyText"/>
        <w:spacing w:before="11"/>
        <w:rPr>
          <w:i/>
          <w:sz w:val="19"/>
        </w:rPr>
      </w:pPr>
    </w:p>
    <w:p>
      <w:pPr>
        <w:pStyle w:val="BodyText"/>
        <w:ind w:left="270" w:right="676"/>
        <w:jc w:val="both"/>
      </w:pPr>
      <w:r>
        <w:rPr/>
        <w:t>Relevance to Ergonomics: In search of information about  the subject, we realize that there really is not any research about possible injury to which workers are exposed flour tortilla, then this article takes the role of pioneer in the workplace, for use of new research or redesign of tools and jobs.</w:t>
      </w:r>
    </w:p>
    <w:p>
      <w:pPr>
        <w:pStyle w:val="BodyText"/>
        <w:spacing w:before="2"/>
      </w:pPr>
    </w:p>
    <w:p>
      <w:pPr>
        <w:pStyle w:val="Heading4"/>
        <w:numPr>
          <w:ilvl w:val="1"/>
          <w:numId w:val="170"/>
        </w:numPr>
        <w:tabs>
          <w:tab w:pos="473" w:val="left" w:leader="none"/>
        </w:tabs>
        <w:spacing w:line="240" w:lineRule="auto" w:before="0" w:after="0"/>
        <w:ind w:left="472" w:right="0" w:hanging="202"/>
        <w:jc w:val="both"/>
      </w:pPr>
      <w:r>
        <w:rPr/>
        <w:t>Introduction</w:t>
      </w:r>
    </w:p>
    <w:p>
      <w:pPr>
        <w:pStyle w:val="BodyText"/>
        <w:spacing w:before="8"/>
        <w:rPr>
          <w:b/>
          <w:sz w:val="19"/>
        </w:rPr>
      </w:pPr>
    </w:p>
    <w:p>
      <w:pPr>
        <w:pStyle w:val="BodyText"/>
        <w:ind w:left="270" w:right="675" w:firstLine="432"/>
        <w:jc w:val="both"/>
      </w:pPr>
      <w:r>
        <w:rPr/>
        <w:t>There exist more places in cities that are dedicated to provide various services for which people seek to satisfy their needs, one of them are the places that give us some food service, and specifically handmade flour tortillas posts where different procedures are performed to perform them; can be performed with three people, one kneading the flour, one that extends tortillas with a bread roll and the other person who heats them,in which emerges one of the greatest problems faced today by people who work in these places, these are the early symptoms or disorders known as cumulative trauma disorders (CTD's), since people are affected by different reasons that cause disorders in the body.That is why we asked and, ¿how CTD's are emerged? These arise primarily from repetitive work and poor posture taken at the time to be laboring. You start with discomfort in the joints or body parts where it undergoes further  hard work, to fatigue, to the daily routine of doing the same for a long period, to the force applied, to the temperature at which the person is subjected for hours while laboring. Generating like this health problems which they also not only affect the lives of workers but it is also reflected at their home because many of them are housewives who look after the welfare of their families. CTD can also lead to an inability which will not allow people to labor in the desired way, placing restrictions on the execution of any activity carried out more frequently or simply performed.</w:t>
      </w:r>
    </w:p>
    <w:p>
      <w:pPr>
        <w:pStyle w:val="BodyText"/>
        <w:spacing w:before="2"/>
      </w:pPr>
    </w:p>
    <w:p>
      <w:pPr>
        <w:pStyle w:val="Heading4"/>
        <w:numPr>
          <w:ilvl w:val="2"/>
          <w:numId w:val="170"/>
        </w:numPr>
        <w:tabs>
          <w:tab w:pos="572" w:val="left" w:leader="none"/>
        </w:tabs>
        <w:spacing w:line="240" w:lineRule="auto" w:before="0" w:after="0"/>
        <w:ind w:left="571" w:right="0" w:hanging="301"/>
        <w:jc w:val="both"/>
      </w:pPr>
      <w:r>
        <w:rPr/>
        <w:t>Background</w:t>
      </w:r>
    </w:p>
    <w:p>
      <w:pPr>
        <w:pStyle w:val="BodyText"/>
        <w:spacing w:before="8"/>
        <w:rPr>
          <w:b/>
          <w:sz w:val="19"/>
        </w:rPr>
      </w:pPr>
    </w:p>
    <w:p>
      <w:pPr>
        <w:pStyle w:val="BodyText"/>
        <w:ind w:left="270" w:right="676"/>
        <w:jc w:val="both"/>
      </w:pPr>
      <w:r>
        <w:rPr/>
        <w:t>CTD can also lead to an inability which will not  allow people to labor in the desired way, placing restrictions on  the execution of any activity carried out more frequently or simply</w:t>
      </w:r>
      <w:r>
        <w:rPr>
          <w:spacing w:val="-8"/>
        </w:rPr>
        <w:t> </w:t>
      </w:r>
      <w:r>
        <w:rPr/>
        <w:t>performed.</w:t>
      </w:r>
    </w:p>
    <w:p>
      <w:pPr>
        <w:pStyle w:val="BodyText"/>
        <w:spacing w:before="11"/>
        <w:rPr>
          <w:sz w:val="19"/>
        </w:rPr>
      </w:pPr>
    </w:p>
    <w:p>
      <w:pPr>
        <w:pStyle w:val="BodyText"/>
        <w:ind w:left="270" w:right="677" w:firstLine="567"/>
      </w:pPr>
      <w:r>
        <w:rPr/>
        <w:t>Among the many elements of material culture of a society it is in the food the foods and the way of   preparing,</w:t>
      </w:r>
    </w:p>
    <w:p>
      <w:pPr>
        <w:spacing w:after="0"/>
        <w:sectPr>
          <w:type w:val="continuous"/>
          <w:pgSz w:w="12240" w:h="15840"/>
          <w:pgMar w:top="1500" w:bottom="280" w:left="580" w:right="220"/>
          <w:cols w:num="2" w:equalWidth="0">
            <w:col w:w="5211" w:space="414"/>
            <w:col w:w="5815"/>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4"/>
        <w:ind w:left="270" w:right="1"/>
        <w:jc w:val="both"/>
      </w:pPr>
      <w:r>
        <w:rPr/>
        <w:t>the interpretation and social valuation attributed to  them, they talk a lot about who consumes them.</w:t>
      </w:r>
    </w:p>
    <w:p>
      <w:pPr>
        <w:pStyle w:val="BodyText"/>
        <w:ind w:left="270" w:firstLine="567"/>
        <w:jc w:val="both"/>
      </w:pPr>
      <w:r>
        <w:rPr/>
        <w:t>The flour tortilla is typical in the north of Mexico, where it was born during the early colonial era. Most likely arising from the combination of two factors, availability of wheat flour and the presence of groups of westernized Mesoamerican colonists, as the Tlaxcalans, who since pre colonial time they had the tortilla as part of their culinary cultural background.</w:t>
      </w:r>
    </w:p>
    <w:p>
      <w:pPr>
        <w:pStyle w:val="BodyText"/>
        <w:spacing w:before="11"/>
        <w:rPr>
          <w:sz w:val="19"/>
        </w:rPr>
      </w:pPr>
    </w:p>
    <w:p>
      <w:pPr>
        <w:pStyle w:val="BodyText"/>
        <w:ind w:left="270" w:firstLine="567"/>
        <w:jc w:val="both"/>
      </w:pPr>
      <w:r>
        <w:rPr/>
        <w:t>The flour tortilla is made from mixing the following ingredients: White wheat flour, water, fat (vegetable), baking powder and salt.</w:t>
      </w:r>
    </w:p>
    <w:p>
      <w:pPr>
        <w:pStyle w:val="BodyText"/>
      </w:pPr>
    </w:p>
    <w:p>
      <w:pPr>
        <w:pStyle w:val="BodyText"/>
        <w:spacing w:before="1"/>
        <w:ind w:left="270" w:firstLine="567"/>
        <w:jc w:val="both"/>
      </w:pPr>
      <w:r>
        <w:rPr/>
        <w:t>The process for making flour tortillas, specifically the fact of extend is as follows; palms are placed down on a  roller or "bread roll" rotating the wrist and applying a force, sliding forward and backward, by this the tortilla will get  thin and round so that later it is heated on a</w:t>
      </w:r>
      <w:r>
        <w:rPr>
          <w:spacing w:val="-23"/>
        </w:rPr>
        <w:t> </w:t>
      </w:r>
      <w:r>
        <w:rPr/>
        <w:t>griddle.</w:t>
      </w:r>
    </w:p>
    <w:p>
      <w:pPr>
        <w:pStyle w:val="BodyText"/>
      </w:pPr>
    </w:p>
    <w:p>
      <w:pPr>
        <w:pStyle w:val="BodyText"/>
        <w:spacing w:before="1"/>
        <w:ind w:left="270" w:firstLine="567"/>
        <w:jc w:val="both"/>
      </w:pPr>
      <w:r>
        <w:rPr/>
        <w:t>The fact of rotating the wrists and applying a force is an unnatural movement and by repeating this process you can cause skeletal injuries in your wrists, elbows, shoulders, upper back and</w:t>
      </w:r>
      <w:r>
        <w:rPr>
          <w:spacing w:val="-6"/>
        </w:rPr>
        <w:t> </w:t>
      </w:r>
      <w:r>
        <w:rPr/>
        <w:t>neck.</w:t>
      </w:r>
    </w:p>
    <w:p>
      <w:pPr>
        <w:pStyle w:val="BodyText"/>
        <w:spacing w:before="11"/>
        <w:rPr>
          <w:sz w:val="19"/>
        </w:rPr>
      </w:pPr>
    </w:p>
    <w:p>
      <w:pPr>
        <w:pStyle w:val="BodyText"/>
        <w:ind w:left="270" w:firstLine="567"/>
        <w:jc w:val="both"/>
      </w:pPr>
      <w:r>
        <w:rPr/>
        <w:t>When muscle metabolic demands are not met or when the need of energy exceeds consumption, it is  produced lactic acid which causes fatigue.</w:t>
      </w:r>
    </w:p>
    <w:p>
      <w:pPr>
        <w:pStyle w:val="BodyText"/>
      </w:pPr>
    </w:p>
    <w:p>
      <w:pPr>
        <w:pStyle w:val="BodyText"/>
        <w:spacing w:before="1"/>
        <w:ind w:left="270" w:firstLine="567"/>
        <w:jc w:val="both"/>
      </w:pPr>
      <w:r>
        <w:rPr/>
        <w:t>If this occurs in an area of the body, for example in the shoulder muscles by repetitions over long periods of abduction, fatigue is located and characterized by tiredness and</w:t>
      </w:r>
      <w:r>
        <w:rPr>
          <w:spacing w:val="-9"/>
        </w:rPr>
        <w:t> </w:t>
      </w:r>
      <w:r>
        <w:rPr/>
        <w:t>inflammation.</w:t>
      </w:r>
    </w:p>
    <w:p>
      <w:pPr>
        <w:pStyle w:val="BodyText"/>
      </w:pPr>
    </w:p>
    <w:p>
      <w:pPr>
        <w:pStyle w:val="BodyText"/>
        <w:spacing w:before="1"/>
        <w:ind w:left="270" w:firstLine="567"/>
        <w:jc w:val="both"/>
      </w:pPr>
      <w:r>
        <w:rPr/>
        <w:t>If it occurs at a general level of the body by heavy haulage, freight, climbing stairs, fatigue occurs throughout the body that can generate a stroke.</w:t>
      </w:r>
    </w:p>
    <w:p>
      <w:pPr>
        <w:pStyle w:val="BodyText"/>
        <w:spacing w:before="2"/>
      </w:pPr>
    </w:p>
    <w:p>
      <w:pPr>
        <w:pStyle w:val="Heading4"/>
        <w:numPr>
          <w:ilvl w:val="2"/>
          <w:numId w:val="170"/>
        </w:numPr>
        <w:tabs>
          <w:tab w:pos="572" w:val="left" w:leader="none"/>
        </w:tabs>
        <w:spacing w:line="240" w:lineRule="auto" w:before="0" w:after="0"/>
        <w:ind w:left="571" w:right="0" w:hanging="301"/>
        <w:jc w:val="both"/>
      </w:pPr>
      <w:r>
        <w:rPr/>
        <w:t>Problem</w:t>
      </w:r>
      <w:r>
        <w:rPr>
          <w:spacing w:val="-4"/>
        </w:rPr>
        <w:t> </w:t>
      </w:r>
      <w:r>
        <w:rPr/>
        <w:t>statement</w:t>
      </w:r>
    </w:p>
    <w:p>
      <w:pPr>
        <w:pStyle w:val="BodyText"/>
        <w:spacing w:before="9"/>
        <w:rPr>
          <w:b/>
          <w:sz w:val="19"/>
        </w:rPr>
      </w:pPr>
    </w:p>
    <w:p>
      <w:pPr>
        <w:pStyle w:val="BodyText"/>
        <w:spacing w:before="1"/>
        <w:ind w:left="270"/>
        <w:jc w:val="both"/>
      </w:pPr>
      <w:r>
        <w:rPr/>
        <w:t>From time to time a boom of places of flour tortillas was presented wich led us to observe how the work is done. We realized that people who work in these post have the same positions and unnatural postures for our body, even mothers who make these tortillas at home says that it's very tired to make them, from the preparing of the dough, to serving them at the table, which is why we have proposed an analysis of physical wear with ergonomic tools to determine if people who really have this activity as family sustent are at risk of presenting a physical fatige and possibly develop an injury, even the production of occupational diseases can trigger or worsen common diseases by the use of new technologies (computer, machine automation, robotics, etc.) and the lack of ergonomic conditions in the jobs</w:t>
      </w:r>
    </w:p>
    <w:p>
      <w:pPr>
        <w:pStyle w:val="BodyText"/>
        <w:spacing w:before="2"/>
      </w:pPr>
    </w:p>
    <w:p>
      <w:pPr>
        <w:pStyle w:val="Heading4"/>
        <w:numPr>
          <w:ilvl w:val="2"/>
          <w:numId w:val="170"/>
        </w:numPr>
        <w:tabs>
          <w:tab w:pos="572" w:val="left" w:leader="none"/>
        </w:tabs>
        <w:spacing w:line="240" w:lineRule="auto" w:before="0" w:after="0"/>
        <w:ind w:left="571" w:right="0" w:hanging="301"/>
        <w:jc w:val="both"/>
      </w:pPr>
      <w:r>
        <w:rPr/>
        <w:t>Objectives</w:t>
      </w:r>
    </w:p>
    <w:p>
      <w:pPr>
        <w:pStyle w:val="BodyText"/>
        <w:spacing w:before="74"/>
        <w:ind w:left="270" w:right="677"/>
        <w:jc w:val="both"/>
      </w:pPr>
      <w:r>
        <w:rPr/>
        <w:br w:type="column"/>
      </w:r>
      <w:r>
        <w:rPr/>
        <w:t>Determine the trauma disorders accumulated to people who work in food service places where flour tortillas are made in the city of Los Mochis Sinaloa, by questionaires.</w:t>
      </w:r>
    </w:p>
    <w:p>
      <w:pPr>
        <w:pStyle w:val="BodyText"/>
        <w:spacing w:before="2"/>
      </w:pPr>
    </w:p>
    <w:p>
      <w:pPr>
        <w:pStyle w:val="Heading4"/>
        <w:numPr>
          <w:ilvl w:val="3"/>
          <w:numId w:val="170"/>
        </w:numPr>
        <w:tabs>
          <w:tab w:pos="771" w:val="left" w:leader="none"/>
        </w:tabs>
        <w:spacing w:line="240" w:lineRule="auto" w:before="0" w:after="0"/>
        <w:ind w:left="770" w:right="0" w:hanging="500"/>
        <w:jc w:val="both"/>
      </w:pPr>
      <w:r>
        <w:rPr/>
        <w:t>Specific</w:t>
      </w:r>
      <w:r>
        <w:rPr>
          <w:spacing w:val="-4"/>
        </w:rPr>
        <w:t> </w:t>
      </w:r>
      <w:r>
        <w:rPr/>
        <w:t>objectives</w:t>
      </w:r>
    </w:p>
    <w:p>
      <w:pPr>
        <w:pStyle w:val="BodyText"/>
        <w:spacing w:before="9"/>
        <w:rPr>
          <w:b/>
          <w:sz w:val="19"/>
        </w:rPr>
      </w:pPr>
    </w:p>
    <w:p>
      <w:pPr>
        <w:pStyle w:val="ListParagraph"/>
        <w:numPr>
          <w:ilvl w:val="0"/>
          <w:numId w:val="171"/>
        </w:numPr>
        <w:tabs>
          <w:tab w:pos="696" w:val="left" w:leader="none"/>
          <w:tab w:pos="697" w:val="left" w:leader="none"/>
        </w:tabs>
        <w:spacing w:line="240" w:lineRule="auto" w:before="1" w:after="0"/>
        <w:ind w:left="696" w:right="677" w:hanging="360"/>
        <w:jc w:val="left"/>
        <w:rPr>
          <w:sz w:val="20"/>
        </w:rPr>
      </w:pPr>
      <w:r>
        <w:rPr>
          <w:sz w:val="20"/>
        </w:rPr>
        <w:t>Check for CTD develop in jobs where they make handmade flour tortillas in Los Mochis</w:t>
      </w:r>
      <w:r>
        <w:rPr>
          <w:spacing w:val="-23"/>
          <w:sz w:val="20"/>
        </w:rPr>
        <w:t> </w:t>
      </w:r>
      <w:r>
        <w:rPr>
          <w:sz w:val="20"/>
        </w:rPr>
        <w:t>Sinaloa.</w:t>
      </w:r>
    </w:p>
    <w:p>
      <w:pPr>
        <w:pStyle w:val="ListParagraph"/>
        <w:numPr>
          <w:ilvl w:val="0"/>
          <w:numId w:val="171"/>
        </w:numPr>
        <w:tabs>
          <w:tab w:pos="697" w:val="left" w:leader="none"/>
        </w:tabs>
        <w:spacing w:line="244" w:lineRule="exact" w:before="0" w:after="0"/>
        <w:ind w:left="696" w:right="0" w:hanging="360"/>
        <w:jc w:val="both"/>
        <w:rPr>
          <w:sz w:val="20"/>
        </w:rPr>
      </w:pPr>
      <w:r>
        <w:rPr>
          <w:sz w:val="20"/>
        </w:rPr>
        <w:t>Determine the causes that make these</w:t>
      </w:r>
      <w:r>
        <w:rPr>
          <w:spacing w:val="-6"/>
          <w:sz w:val="20"/>
        </w:rPr>
        <w:t> </w:t>
      </w:r>
      <w:r>
        <w:rPr>
          <w:sz w:val="20"/>
        </w:rPr>
        <w:t>desorders.</w:t>
      </w:r>
    </w:p>
    <w:p>
      <w:pPr>
        <w:pStyle w:val="ListParagraph"/>
        <w:numPr>
          <w:ilvl w:val="0"/>
          <w:numId w:val="171"/>
        </w:numPr>
        <w:tabs>
          <w:tab w:pos="696" w:val="left" w:leader="none"/>
          <w:tab w:pos="697" w:val="left" w:leader="none"/>
        </w:tabs>
        <w:spacing w:line="240" w:lineRule="auto" w:before="0" w:after="0"/>
        <w:ind w:left="696" w:right="676" w:hanging="360"/>
        <w:jc w:val="left"/>
        <w:rPr>
          <w:sz w:val="20"/>
        </w:rPr>
      </w:pPr>
      <w:r>
        <w:rPr>
          <w:sz w:val="20"/>
        </w:rPr>
        <w:t>Determine what type of cumulative disorders are presented in this</w:t>
      </w:r>
      <w:r>
        <w:rPr>
          <w:spacing w:val="-13"/>
          <w:sz w:val="20"/>
        </w:rPr>
        <w:t> </w:t>
      </w:r>
      <w:r>
        <w:rPr>
          <w:sz w:val="20"/>
        </w:rPr>
        <w:t>service.</w:t>
      </w:r>
    </w:p>
    <w:p>
      <w:pPr>
        <w:pStyle w:val="BodyText"/>
        <w:spacing w:before="2"/>
      </w:pPr>
    </w:p>
    <w:p>
      <w:pPr>
        <w:pStyle w:val="Heading4"/>
      </w:pPr>
      <w:r>
        <w:rPr/>
        <w:t>1.4. Hypothesis or assumption</w:t>
      </w:r>
    </w:p>
    <w:p>
      <w:pPr>
        <w:pStyle w:val="BodyText"/>
        <w:spacing w:before="9"/>
        <w:rPr>
          <w:b/>
          <w:sz w:val="19"/>
        </w:rPr>
      </w:pPr>
    </w:p>
    <w:p>
      <w:pPr>
        <w:pStyle w:val="BodyText"/>
        <w:spacing w:before="1"/>
        <w:ind w:left="270" w:right="675"/>
        <w:jc w:val="both"/>
      </w:pPr>
      <w:r>
        <w:rPr/>
        <w:t>It is proposed as general hypothesis that in places where people make handmade flour tortillas in Los Mochis Sinaloa are suffering from discomfort in any part of the body which if it is done repeatedly over a long period of time may occur accumulated trauma disorders exposing to high temperatures.</w:t>
      </w:r>
    </w:p>
    <w:p>
      <w:pPr>
        <w:pStyle w:val="BodyText"/>
        <w:spacing w:before="2"/>
      </w:pPr>
    </w:p>
    <w:p>
      <w:pPr>
        <w:pStyle w:val="Heading4"/>
        <w:numPr>
          <w:ilvl w:val="1"/>
          <w:numId w:val="172"/>
        </w:numPr>
        <w:tabs>
          <w:tab w:pos="571" w:val="left" w:leader="none"/>
        </w:tabs>
        <w:spacing w:line="240" w:lineRule="auto" w:before="0" w:after="0"/>
        <w:ind w:left="570" w:right="0" w:hanging="300"/>
        <w:jc w:val="both"/>
      </w:pPr>
      <w:r>
        <w:rPr/>
        <w:t>Justification</w:t>
      </w:r>
    </w:p>
    <w:p>
      <w:pPr>
        <w:pStyle w:val="BodyText"/>
        <w:spacing w:before="9"/>
        <w:rPr>
          <w:b/>
          <w:sz w:val="19"/>
        </w:rPr>
      </w:pPr>
    </w:p>
    <w:p>
      <w:pPr>
        <w:pStyle w:val="BodyText"/>
        <w:spacing w:before="1"/>
        <w:ind w:left="270" w:right="675"/>
        <w:jc w:val="both"/>
      </w:pPr>
      <w:r>
        <w:rPr/>
        <w:t>According to statistics from the International Labour Organization, there are produced 129 million labour accidents in the workplaces arround the world every year. (Saan, Jorman. Encyclopedia of Health and Safety at Work). The evaluation of the type of risk or danger element indicates not only the sources of exposure, but also the circumstances that give place to the injury or damage.</w:t>
      </w:r>
    </w:p>
    <w:p>
      <w:pPr>
        <w:pStyle w:val="BodyText"/>
      </w:pPr>
    </w:p>
    <w:p>
      <w:pPr>
        <w:pStyle w:val="BodyText"/>
        <w:spacing w:before="1"/>
        <w:ind w:left="270" w:right="676" w:firstLine="567"/>
        <w:jc w:val="both"/>
      </w:pPr>
      <w:r>
        <w:rPr/>
        <w:t>At the end of our search for documents about the lessions related with work at wheat flour tortillerias and to realize that there is little information and no study to assess the potential risks of the position of the person who runs the dough balls and make them into tortillas, we got the task of developing this research to see if the occupants are exposed to present or develop an injury and CTD's.</w:t>
      </w:r>
    </w:p>
    <w:p>
      <w:pPr>
        <w:pStyle w:val="BodyText"/>
        <w:spacing w:before="2"/>
      </w:pPr>
    </w:p>
    <w:p>
      <w:pPr>
        <w:pStyle w:val="Heading4"/>
        <w:numPr>
          <w:ilvl w:val="1"/>
          <w:numId w:val="172"/>
        </w:numPr>
        <w:tabs>
          <w:tab w:pos="572" w:val="left" w:leader="none"/>
        </w:tabs>
        <w:spacing w:line="240" w:lineRule="auto" w:before="0" w:after="0"/>
        <w:ind w:left="571" w:right="0" w:hanging="301"/>
        <w:jc w:val="both"/>
      </w:pPr>
      <w:r>
        <w:rPr/>
        <w:t>Theorical</w:t>
      </w:r>
      <w:r>
        <w:rPr>
          <w:spacing w:val="-2"/>
        </w:rPr>
        <w:t> </w:t>
      </w:r>
      <w:r>
        <w:rPr/>
        <w:t>framework</w:t>
      </w:r>
    </w:p>
    <w:p>
      <w:pPr>
        <w:pStyle w:val="BodyText"/>
        <w:spacing w:before="8"/>
        <w:rPr>
          <w:b/>
          <w:sz w:val="19"/>
        </w:rPr>
      </w:pPr>
    </w:p>
    <w:p>
      <w:pPr>
        <w:pStyle w:val="BodyText"/>
        <w:ind w:left="270" w:right="677"/>
        <w:jc w:val="both"/>
      </w:pPr>
      <w:r>
        <w:rPr/>
        <w:t>Musco-skeletal disorder related with work work (MSD) health problems of the musculoskeletal system, i.e. muscles, tendons, skeleton, cartilage, ligaments, nerves are understood. This includes all kinds of ailments, from mild and transient discomfort until irreversible, disabling injuries. (OMS, 2004)</w:t>
      </w:r>
    </w:p>
    <w:p>
      <w:pPr>
        <w:pStyle w:val="BodyText"/>
      </w:pPr>
    </w:p>
    <w:p>
      <w:pPr>
        <w:pStyle w:val="BodyText"/>
        <w:spacing w:before="1"/>
        <w:ind w:left="270" w:right="676" w:firstLine="567"/>
        <w:jc w:val="both"/>
      </w:pPr>
      <w:r>
        <w:rPr/>
        <w:t>Another concept to keep in mind is the one of the European Agency for Safety and Health at Work, which says: "Work-related MSDs of occupational origin are alterations that suffers bodily structures such as muscles, joints, tendons, ligaments, nerves, bones and circulatory system, caused or aggravated primarily by work and the effects of the environment in which it develops. (OSHA- Europe 2007)</w:t>
      </w:r>
    </w:p>
    <w:p>
      <w:pPr>
        <w:spacing w:after="0"/>
        <w:jc w:val="both"/>
        <w:sectPr>
          <w:type w:val="continuous"/>
          <w:pgSz w:w="12240" w:h="15840"/>
          <w:pgMar w:top="1500" w:bottom="280" w:left="580" w:right="220"/>
          <w:cols w:num="2" w:equalWidth="0">
            <w:col w:w="5190" w:space="435"/>
            <w:col w:w="5815"/>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4"/>
        <w:ind w:left="270" w:firstLine="567"/>
        <w:jc w:val="both"/>
      </w:pPr>
      <w:r>
        <w:rPr/>
        <w:t>Yoshitake subjective questionnaire is a questionnaire that measures the types and magnitudes of fatigue presenting workers, covers three dimensions of self-perceived fatigue Labor carrying 10 questions for mental demands at work, 10 for the physical manifestations of phatic and 10 to  investigate the mixed</w:t>
      </w:r>
      <w:r>
        <w:rPr>
          <w:spacing w:val="-13"/>
        </w:rPr>
        <w:t> </w:t>
      </w:r>
      <w:r>
        <w:rPr/>
        <w:t>symptoms.</w:t>
      </w:r>
    </w:p>
    <w:p>
      <w:pPr>
        <w:pStyle w:val="BodyText"/>
        <w:spacing w:before="11"/>
        <w:rPr>
          <w:sz w:val="19"/>
        </w:rPr>
      </w:pPr>
    </w:p>
    <w:p>
      <w:pPr>
        <w:pStyle w:val="BodyText"/>
        <w:ind w:left="270" w:firstLine="567"/>
        <w:jc w:val="both"/>
      </w:pPr>
      <w:r>
        <w:rPr/>
        <w:t>Flour tortillas: food made of wheat flour, round form and flattened. The idea originated in America, but the flour tortilla is mostly consumed in European countries.  (Technical Requirements for Market Access</w:t>
      </w:r>
      <w:r>
        <w:rPr>
          <w:spacing w:val="-35"/>
        </w:rPr>
        <w:t> </w:t>
      </w:r>
      <w:r>
        <w:rPr/>
        <w:t>US).</w:t>
      </w:r>
    </w:p>
    <w:p>
      <w:pPr>
        <w:pStyle w:val="BodyText"/>
        <w:ind w:left="270" w:firstLine="567"/>
        <w:jc w:val="both"/>
      </w:pPr>
      <w:r>
        <w:rPr/>
        <w:t>An injury or illness can be "physical or mental" in nature, such injury can be a condition of employment that is related to a type of work.</w:t>
      </w:r>
    </w:p>
    <w:p>
      <w:pPr>
        <w:pStyle w:val="BodyText"/>
        <w:spacing w:before="11"/>
        <w:rPr>
          <w:sz w:val="19"/>
        </w:rPr>
      </w:pPr>
    </w:p>
    <w:p>
      <w:pPr>
        <w:pStyle w:val="BodyText"/>
        <w:ind w:left="270" w:firstLine="567"/>
        <w:jc w:val="both"/>
      </w:pPr>
      <w:r>
        <w:rPr/>
        <w:t>A "specific" injury when arising from a single  incident or exposure in the workplace that cause injury or injury, whether physical or</w:t>
      </w:r>
      <w:r>
        <w:rPr>
          <w:spacing w:val="-23"/>
        </w:rPr>
        <w:t> </w:t>
      </w:r>
      <w:r>
        <w:rPr/>
        <w:t>mental.</w:t>
      </w:r>
    </w:p>
    <w:p>
      <w:pPr>
        <w:pStyle w:val="BodyText"/>
        <w:spacing w:before="11"/>
        <w:rPr>
          <w:sz w:val="19"/>
        </w:rPr>
      </w:pPr>
    </w:p>
    <w:p>
      <w:pPr>
        <w:pStyle w:val="BodyText"/>
        <w:ind w:left="270" w:firstLine="567"/>
        <w:jc w:val="both"/>
      </w:pPr>
      <w:r>
        <w:rPr/>
        <w:t>An injury is "cumulative" when resulting from traumatic repetitive activities in the workplace, extending over a period of time.</w:t>
      </w:r>
    </w:p>
    <w:p>
      <w:pPr>
        <w:pStyle w:val="BodyText"/>
      </w:pPr>
    </w:p>
    <w:p>
      <w:pPr>
        <w:pStyle w:val="BodyText"/>
        <w:spacing w:before="1"/>
        <w:ind w:left="270" w:firstLine="567"/>
        <w:jc w:val="both"/>
      </w:pPr>
      <w:r>
        <w:rPr/>
        <w:t>Some of the positions used by the occupants of these positions are as follows, except that we also add some of the possible symptoms that may arise:</w:t>
      </w:r>
    </w:p>
    <w:p>
      <w:pPr>
        <w:pStyle w:val="BodyText"/>
        <w:spacing w:before="11"/>
        <w:rPr>
          <w:sz w:val="19"/>
        </w:rPr>
      </w:pPr>
    </w:p>
    <w:p>
      <w:pPr>
        <w:pStyle w:val="BodyText"/>
        <w:ind w:left="270" w:firstLine="567"/>
        <w:jc w:val="both"/>
      </w:pPr>
      <w:r>
        <w:rPr/>
        <w:t>According to the Cuban Journal of Nursing (2006): "..Abducción or greater flexion 60 degrees is  maintained over an hour-day, is associated with acute neck pain.</w:t>
      </w:r>
    </w:p>
    <w:p>
      <w:pPr>
        <w:pStyle w:val="BodyText"/>
        <w:spacing w:before="11"/>
        <w:rPr>
          <w:sz w:val="19"/>
        </w:rPr>
      </w:pPr>
    </w:p>
    <w:p>
      <w:pPr>
        <w:pStyle w:val="BodyText"/>
        <w:ind w:left="270" w:firstLine="567"/>
        <w:jc w:val="both"/>
      </w:pPr>
      <w:r>
        <w:rPr/>
        <w:t>The hands above shoulder height or related to tendinitis and various pathologies of the shoulder.</w:t>
      </w:r>
    </w:p>
    <w:p>
      <w:pPr>
        <w:pStyle w:val="BodyText"/>
        <w:ind w:left="838" w:right="9"/>
      </w:pPr>
      <w:r>
        <w:rPr/>
        <w:t>In the cervical spine:</w:t>
      </w:r>
    </w:p>
    <w:p>
      <w:pPr>
        <w:pStyle w:val="BodyText"/>
        <w:spacing w:before="11"/>
        <w:rPr>
          <w:sz w:val="19"/>
        </w:rPr>
      </w:pPr>
    </w:p>
    <w:p>
      <w:pPr>
        <w:pStyle w:val="BodyText"/>
        <w:ind w:left="270" w:firstLine="567"/>
        <w:jc w:val="both"/>
      </w:pPr>
      <w:r>
        <w:rPr/>
        <w:t>A flexion of 30 degrees takes 300 minutes to produce symptoms of acute pain, with flexion of 60 degrees takes 120 minutes to produce the same symptoms.</w:t>
      </w:r>
    </w:p>
    <w:p>
      <w:pPr>
        <w:pStyle w:val="BodyText"/>
        <w:ind w:left="270" w:firstLine="567"/>
        <w:jc w:val="both"/>
      </w:pPr>
      <w:r>
        <w:rPr/>
        <w:t>The extension with raised arm has been associated with neck pain and numbness - shoulder pain, shoulder muscles decreases neck movement. "</w:t>
      </w:r>
    </w:p>
    <w:p>
      <w:pPr>
        <w:pStyle w:val="BodyText"/>
        <w:spacing w:before="2"/>
      </w:pPr>
    </w:p>
    <w:p>
      <w:pPr>
        <w:pStyle w:val="Heading4"/>
        <w:numPr>
          <w:ilvl w:val="1"/>
          <w:numId w:val="170"/>
        </w:numPr>
        <w:tabs>
          <w:tab w:pos="472" w:val="left" w:leader="none"/>
        </w:tabs>
        <w:spacing w:line="240" w:lineRule="auto" w:before="0" w:after="0"/>
        <w:ind w:left="471" w:right="0" w:hanging="201"/>
        <w:jc w:val="both"/>
      </w:pPr>
      <w:r>
        <w:rPr/>
        <w:t>Methodology</w:t>
      </w:r>
    </w:p>
    <w:p>
      <w:pPr>
        <w:pStyle w:val="BodyText"/>
        <w:spacing w:before="8"/>
        <w:rPr>
          <w:b/>
          <w:sz w:val="19"/>
        </w:rPr>
      </w:pPr>
    </w:p>
    <w:p>
      <w:pPr>
        <w:pStyle w:val="BodyText"/>
        <w:ind w:left="270"/>
        <w:jc w:val="both"/>
      </w:pPr>
      <w:r>
        <w:rPr/>
        <w:t>To develop the study of fatigue in the workplace it was necessary to perform different processes ranging from the explanation of the purpose of the research to participants to apply methods to draw conclusions.</w:t>
      </w:r>
    </w:p>
    <w:p>
      <w:pPr>
        <w:pStyle w:val="BodyText"/>
        <w:spacing w:before="3"/>
      </w:pPr>
    </w:p>
    <w:p>
      <w:pPr>
        <w:pStyle w:val="Heading4"/>
        <w:numPr>
          <w:ilvl w:val="2"/>
          <w:numId w:val="170"/>
        </w:numPr>
        <w:tabs>
          <w:tab w:pos="572" w:val="left" w:leader="none"/>
        </w:tabs>
        <w:spacing w:line="240" w:lineRule="auto" w:before="0" w:after="0"/>
        <w:ind w:left="571" w:right="0" w:hanging="301"/>
        <w:jc w:val="both"/>
      </w:pPr>
      <w:r>
        <w:rPr/>
        <w:t>Subject</w:t>
      </w:r>
    </w:p>
    <w:p>
      <w:pPr>
        <w:pStyle w:val="BodyText"/>
        <w:spacing w:before="8"/>
        <w:rPr>
          <w:b/>
          <w:sz w:val="19"/>
        </w:rPr>
      </w:pPr>
    </w:p>
    <w:p>
      <w:pPr>
        <w:pStyle w:val="BodyText"/>
        <w:ind w:left="270"/>
        <w:jc w:val="both"/>
      </w:pPr>
      <w:r>
        <w:rPr/>
        <w:t>15 workers that extend flour tortillas where selected in 15 different establishments located throughout the city of Los Mochis.</w:t>
      </w:r>
    </w:p>
    <w:p>
      <w:pPr>
        <w:pStyle w:val="BodyText"/>
        <w:spacing w:before="2"/>
      </w:pPr>
    </w:p>
    <w:p>
      <w:pPr>
        <w:pStyle w:val="Heading4"/>
        <w:numPr>
          <w:ilvl w:val="1"/>
          <w:numId w:val="173"/>
        </w:numPr>
        <w:tabs>
          <w:tab w:pos="631" w:val="left" w:leader="none"/>
        </w:tabs>
        <w:spacing w:line="240" w:lineRule="auto" w:before="0" w:after="0"/>
        <w:ind w:left="630" w:right="0" w:hanging="360"/>
        <w:jc w:val="both"/>
      </w:pPr>
      <w:r>
        <w:rPr/>
        <w:t>Material</w:t>
      </w:r>
      <w:r>
        <w:rPr>
          <w:spacing w:val="-14"/>
        </w:rPr>
        <w:t> </w:t>
      </w:r>
      <w:r>
        <w:rPr/>
        <w:t>resources</w:t>
      </w:r>
    </w:p>
    <w:p>
      <w:pPr>
        <w:pStyle w:val="BodyText"/>
        <w:spacing w:before="9"/>
        <w:rPr>
          <w:b/>
          <w:sz w:val="19"/>
        </w:rPr>
      </w:pPr>
    </w:p>
    <w:p>
      <w:pPr>
        <w:pStyle w:val="BodyText"/>
        <w:spacing w:before="1"/>
        <w:ind w:left="270"/>
        <w:jc w:val="both"/>
      </w:pPr>
      <w:r>
        <w:rPr/>
        <w:t>The materials needed to conduct the study are the following.</w:t>
      </w:r>
    </w:p>
    <w:p>
      <w:pPr>
        <w:pStyle w:val="BodyText"/>
        <w:spacing w:before="4"/>
        <w:rPr>
          <w:sz w:val="26"/>
        </w:rPr>
      </w:pPr>
      <w:r>
        <w:rPr/>
        <w:br w:type="column"/>
      </w:r>
      <w:r>
        <w:rPr>
          <w:sz w:val="26"/>
        </w:rPr>
      </w:r>
    </w:p>
    <w:p>
      <w:pPr>
        <w:pStyle w:val="ListParagraph"/>
        <w:numPr>
          <w:ilvl w:val="0"/>
          <w:numId w:val="174"/>
        </w:numPr>
        <w:tabs>
          <w:tab w:pos="697" w:val="left" w:leader="none"/>
        </w:tabs>
        <w:spacing w:line="245" w:lineRule="exact" w:before="0" w:after="0"/>
        <w:ind w:left="696" w:right="0" w:hanging="360"/>
        <w:jc w:val="both"/>
        <w:rPr>
          <w:sz w:val="20"/>
        </w:rPr>
      </w:pPr>
      <w:r>
        <w:rPr>
          <w:sz w:val="20"/>
        </w:rPr>
        <w:t>Subjective Fatigue Questionnaire of</w:t>
      </w:r>
      <w:r>
        <w:rPr>
          <w:spacing w:val="-25"/>
          <w:sz w:val="20"/>
        </w:rPr>
        <w:t> </w:t>
      </w:r>
      <w:r>
        <w:rPr>
          <w:sz w:val="20"/>
        </w:rPr>
        <w:t>Yoshitake.</w:t>
      </w:r>
    </w:p>
    <w:p>
      <w:pPr>
        <w:pStyle w:val="ListParagraph"/>
        <w:numPr>
          <w:ilvl w:val="0"/>
          <w:numId w:val="174"/>
        </w:numPr>
        <w:tabs>
          <w:tab w:pos="697" w:val="left" w:leader="none"/>
        </w:tabs>
        <w:spacing w:line="245" w:lineRule="exact" w:before="0" w:after="0"/>
        <w:ind w:left="696" w:right="0" w:hanging="360"/>
        <w:jc w:val="both"/>
        <w:rPr>
          <w:sz w:val="20"/>
        </w:rPr>
      </w:pPr>
      <w:r>
        <w:rPr>
          <w:sz w:val="20"/>
        </w:rPr>
        <w:t>Fatigue Questionnaire of four points of</w:t>
      </w:r>
      <w:r>
        <w:rPr>
          <w:spacing w:val="-16"/>
          <w:sz w:val="20"/>
        </w:rPr>
        <w:t> </w:t>
      </w:r>
      <w:r>
        <w:rPr>
          <w:sz w:val="20"/>
        </w:rPr>
        <w:t>Luke.</w:t>
      </w:r>
    </w:p>
    <w:p>
      <w:pPr>
        <w:pStyle w:val="ListParagraph"/>
        <w:numPr>
          <w:ilvl w:val="0"/>
          <w:numId w:val="174"/>
        </w:numPr>
        <w:tabs>
          <w:tab w:pos="697" w:val="left" w:leader="none"/>
        </w:tabs>
        <w:spacing w:line="244" w:lineRule="exact" w:before="0" w:after="0"/>
        <w:ind w:left="696" w:right="0" w:hanging="360"/>
        <w:jc w:val="both"/>
        <w:rPr>
          <w:sz w:val="20"/>
        </w:rPr>
      </w:pPr>
      <w:r>
        <w:rPr>
          <w:sz w:val="20"/>
        </w:rPr>
        <w:t>Microsoft office</w:t>
      </w:r>
      <w:r>
        <w:rPr>
          <w:spacing w:val="-9"/>
          <w:sz w:val="20"/>
        </w:rPr>
        <w:t> </w:t>
      </w:r>
      <w:r>
        <w:rPr>
          <w:sz w:val="20"/>
        </w:rPr>
        <w:t>program.</w:t>
      </w:r>
    </w:p>
    <w:p>
      <w:pPr>
        <w:pStyle w:val="ListParagraph"/>
        <w:numPr>
          <w:ilvl w:val="0"/>
          <w:numId w:val="174"/>
        </w:numPr>
        <w:tabs>
          <w:tab w:pos="697" w:val="left" w:leader="none"/>
        </w:tabs>
        <w:spacing w:line="244" w:lineRule="exact" w:before="0" w:after="0"/>
        <w:ind w:left="696" w:right="0" w:hanging="360"/>
        <w:jc w:val="both"/>
        <w:rPr>
          <w:sz w:val="20"/>
        </w:rPr>
      </w:pPr>
      <w:r>
        <w:rPr>
          <w:sz w:val="20"/>
        </w:rPr>
        <w:t>Pencils.</w:t>
      </w:r>
    </w:p>
    <w:p>
      <w:pPr>
        <w:pStyle w:val="ListParagraph"/>
        <w:numPr>
          <w:ilvl w:val="0"/>
          <w:numId w:val="174"/>
        </w:numPr>
        <w:tabs>
          <w:tab w:pos="697" w:val="left" w:leader="none"/>
        </w:tabs>
        <w:spacing w:line="244" w:lineRule="exact" w:before="0" w:after="0"/>
        <w:ind w:left="696" w:right="0" w:hanging="360"/>
        <w:jc w:val="both"/>
        <w:rPr>
          <w:sz w:val="20"/>
        </w:rPr>
      </w:pPr>
      <w:r>
        <w:rPr>
          <w:sz w:val="20"/>
        </w:rPr>
        <w:t>Calculator.</w:t>
      </w:r>
    </w:p>
    <w:p>
      <w:pPr>
        <w:pStyle w:val="ListParagraph"/>
        <w:numPr>
          <w:ilvl w:val="0"/>
          <w:numId w:val="174"/>
        </w:numPr>
        <w:tabs>
          <w:tab w:pos="697" w:val="left" w:leader="none"/>
        </w:tabs>
        <w:spacing w:line="244" w:lineRule="exact" w:before="0" w:after="0"/>
        <w:ind w:left="696" w:right="0" w:hanging="360"/>
        <w:jc w:val="both"/>
        <w:rPr>
          <w:sz w:val="20"/>
        </w:rPr>
      </w:pPr>
      <w:r>
        <w:rPr>
          <w:sz w:val="20"/>
        </w:rPr>
        <w:t>Pens.</w:t>
      </w:r>
    </w:p>
    <w:p>
      <w:pPr>
        <w:pStyle w:val="ListParagraph"/>
        <w:numPr>
          <w:ilvl w:val="0"/>
          <w:numId w:val="174"/>
        </w:numPr>
        <w:tabs>
          <w:tab w:pos="697" w:val="left" w:leader="none"/>
        </w:tabs>
        <w:spacing w:line="240" w:lineRule="auto" w:before="0" w:after="0"/>
        <w:ind w:left="696" w:right="0" w:hanging="360"/>
        <w:jc w:val="both"/>
        <w:rPr>
          <w:sz w:val="20"/>
        </w:rPr>
      </w:pPr>
      <w:r>
        <w:rPr>
          <w:sz w:val="20"/>
        </w:rPr>
        <w:t>Computer.</w:t>
      </w:r>
    </w:p>
    <w:p>
      <w:pPr>
        <w:pStyle w:val="BodyText"/>
        <w:spacing w:before="1"/>
      </w:pPr>
    </w:p>
    <w:p>
      <w:pPr>
        <w:pStyle w:val="Heading4"/>
        <w:numPr>
          <w:ilvl w:val="1"/>
          <w:numId w:val="173"/>
        </w:numPr>
        <w:tabs>
          <w:tab w:pos="631" w:val="left" w:leader="none"/>
        </w:tabs>
        <w:spacing w:line="240" w:lineRule="auto" w:before="0" w:after="0"/>
        <w:ind w:left="630" w:right="0" w:hanging="360"/>
        <w:jc w:val="both"/>
      </w:pPr>
      <w:r>
        <w:rPr/>
        <w:t>Method</w:t>
      </w:r>
    </w:p>
    <w:p>
      <w:pPr>
        <w:pStyle w:val="BodyText"/>
        <w:spacing w:before="9"/>
        <w:rPr>
          <w:b/>
          <w:sz w:val="19"/>
        </w:rPr>
      </w:pPr>
    </w:p>
    <w:p>
      <w:pPr>
        <w:pStyle w:val="ListParagraph"/>
        <w:numPr>
          <w:ilvl w:val="0"/>
          <w:numId w:val="175"/>
        </w:numPr>
        <w:tabs>
          <w:tab w:pos="533" w:val="left" w:leader="none"/>
        </w:tabs>
        <w:spacing w:line="240" w:lineRule="auto" w:before="1" w:after="0"/>
        <w:ind w:left="270" w:right="679" w:firstLine="0"/>
        <w:jc w:val="both"/>
        <w:rPr>
          <w:sz w:val="20"/>
        </w:rPr>
      </w:pPr>
      <w:r>
        <w:rPr>
          <w:sz w:val="20"/>
        </w:rPr>
        <w:t>To initiate research, jobs at indicated places will be sought for this research and there will be selected the workers who are ment to implement the</w:t>
      </w:r>
      <w:r>
        <w:rPr>
          <w:spacing w:val="-29"/>
          <w:sz w:val="20"/>
        </w:rPr>
        <w:t> </w:t>
      </w:r>
      <w:r>
        <w:rPr>
          <w:sz w:val="20"/>
        </w:rPr>
        <w:t>survey.</w:t>
      </w:r>
    </w:p>
    <w:p>
      <w:pPr>
        <w:pStyle w:val="ListParagraph"/>
        <w:numPr>
          <w:ilvl w:val="0"/>
          <w:numId w:val="175"/>
        </w:numPr>
        <w:tabs>
          <w:tab w:pos="492" w:val="left" w:leader="none"/>
        </w:tabs>
        <w:spacing w:line="240" w:lineRule="auto" w:before="0" w:after="0"/>
        <w:ind w:left="270" w:right="680" w:firstLine="0"/>
        <w:jc w:val="both"/>
        <w:rPr>
          <w:sz w:val="20"/>
        </w:rPr>
      </w:pPr>
      <w:r>
        <w:rPr>
          <w:sz w:val="20"/>
        </w:rPr>
        <w:t>Determine if the worker is suitable for this research, i.e. that she is in a good</w:t>
      </w:r>
      <w:r>
        <w:rPr>
          <w:spacing w:val="-15"/>
          <w:sz w:val="20"/>
        </w:rPr>
        <w:t> </w:t>
      </w:r>
      <w:r>
        <w:rPr>
          <w:sz w:val="20"/>
        </w:rPr>
        <w:t>health.</w:t>
      </w:r>
    </w:p>
    <w:p>
      <w:pPr>
        <w:pStyle w:val="ListParagraph"/>
        <w:numPr>
          <w:ilvl w:val="0"/>
          <w:numId w:val="175"/>
        </w:numPr>
        <w:tabs>
          <w:tab w:pos="544" w:val="left" w:leader="none"/>
        </w:tabs>
        <w:spacing w:line="240" w:lineRule="auto" w:before="0" w:after="0"/>
        <w:ind w:left="270" w:right="678" w:firstLine="0"/>
        <w:jc w:val="both"/>
        <w:rPr>
          <w:sz w:val="20"/>
        </w:rPr>
      </w:pPr>
      <w:r>
        <w:rPr>
          <w:sz w:val="20"/>
        </w:rPr>
        <w:t>It will be explained the reason and purpose of the investigation, to have knowledge of what is being performed.</w:t>
      </w:r>
    </w:p>
    <w:p>
      <w:pPr>
        <w:pStyle w:val="ListParagraph"/>
        <w:numPr>
          <w:ilvl w:val="0"/>
          <w:numId w:val="175"/>
        </w:numPr>
        <w:tabs>
          <w:tab w:pos="570" w:val="left" w:leader="none"/>
        </w:tabs>
        <w:spacing w:line="240" w:lineRule="auto" w:before="0" w:after="0"/>
        <w:ind w:left="270" w:right="677" w:firstLine="0"/>
        <w:jc w:val="both"/>
        <w:rPr>
          <w:sz w:val="20"/>
        </w:rPr>
      </w:pPr>
      <w:r>
        <w:rPr>
          <w:sz w:val="20"/>
        </w:rPr>
        <w:t>They are given to know the importance of their participation in the study for their participation to be more enthusiastic.</w:t>
      </w:r>
    </w:p>
    <w:p>
      <w:pPr>
        <w:pStyle w:val="ListParagraph"/>
        <w:numPr>
          <w:ilvl w:val="0"/>
          <w:numId w:val="175"/>
        </w:numPr>
        <w:tabs>
          <w:tab w:pos="472" w:val="left" w:leader="none"/>
        </w:tabs>
        <w:spacing w:line="230" w:lineRule="exact" w:before="0" w:after="0"/>
        <w:ind w:left="471" w:right="0" w:hanging="201"/>
        <w:jc w:val="both"/>
        <w:rPr>
          <w:sz w:val="20"/>
        </w:rPr>
      </w:pPr>
      <w:r>
        <w:rPr>
          <w:sz w:val="20"/>
        </w:rPr>
        <w:t>They are taught with the method which they will</w:t>
      </w:r>
      <w:r>
        <w:rPr>
          <w:spacing w:val="-23"/>
          <w:sz w:val="20"/>
        </w:rPr>
        <w:t> </w:t>
      </w:r>
      <w:r>
        <w:rPr>
          <w:sz w:val="20"/>
        </w:rPr>
        <w:t>work.</w:t>
      </w:r>
    </w:p>
    <w:p>
      <w:pPr>
        <w:pStyle w:val="ListParagraph"/>
        <w:numPr>
          <w:ilvl w:val="0"/>
          <w:numId w:val="175"/>
        </w:numPr>
        <w:tabs>
          <w:tab w:pos="477" w:val="left" w:leader="none"/>
        </w:tabs>
        <w:spacing w:line="240" w:lineRule="auto" w:before="0" w:after="0"/>
        <w:ind w:left="270" w:right="678" w:firstLine="0"/>
        <w:jc w:val="both"/>
        <w:rPr>
          <w:sz w:val="20"/>
        </w:rPr>
      </w:pPr>
      <w:r>
        <w:rPr>
          <w:sz w:val="20"/>
        </w:rPr>
        <w:t>Surveys are conducted for three weeks both at the start of their working day and at the end of</w:t>
      </w:r>
      <w:r>
        <w:rPr>
          <w:spacing w:val="-23"/>
          <w:sz w:val="20"/>
        </w:rPr>
        <w:t> </w:t>
      </w:r>
      <w:r>
        <w:rPr>
          <w:sz w:val="20"/>
        </w:rPr>
        <w:t>this.</w:t>
      </w:r>
    </w:p>
    <w:p>
      <w:pPr>
        <w:pStyle w:val="ListParagraph"/>
        <w:numPr>
          <w:ilvl w:val="0"/>
          <w:numId w:val="175"/>
        </w:numPr>
        <w:tabs>
          <w:tab w:pos="486" w:val="left" w:leader="none"/>
        </w:tabs>
        <w:spacing w:line="240" w:lineRule="auto" w:before="0" w:after="0"/>
        <w:ind w:left="270" w:right="676" w:firstLine="0"/>
        <w:jc w:val="both"/>
        <w:rPr>
          <w:sz w:val="20"/>
        </w:rPr>
      </w:pPr>
      <w:r>
        <w:rPr>
          <w:sz w:val="20"/>
        </w:rPr>
        <w:t>Once it is obtained the workers data, they will analyze it in Excel format to get us</w:t>
      </w:r>
      <w:r>
        <w:rPr>
          <w:spacing w:val="-19"/>
          <w:sz w:val="20"/>
        </w:rPr>
        <w:t> </w:t>
      </w:r>
      <w:r>
        <w:rPr>
          <w:sz w:val="20"/>
        </w:rPr>
        <w:t>results.</w:t>
      </w:r>
    </w:p>
    <w:p>
      <w:pPr>
        <w:pStyle w:val="ListParagraph"/>
        <w:numPr>
          <w:ilvl w:val="0"/>
          <w:numId w:val="175"/>
        </w:numPr>
        <w:tabs>
          <w:tab w:pos="498" w:val="left" w:leader="none"/>
        </w:tabs>
        <w:spacing w:line="240" w:lineRule="auto" w:before="0" w:after="0"/>
        <w:ind w:left="270" w:right="677" w:firstLine="0"/>
        <w:jc w:val="both"/>
        <w:rPr>
          <w:sz w:val="20"/>
        </w:rPr>
      </w:pPr>
      <w:r>
        <w:rPr>
          <w:sz w:val="20"/>
        </w:rPr>
        <w:t>When the results are obtained we could suggest actions that are in benefit of the</w:t>
      </w:r>
      <w:r>
        <w:rPr>
          <w:spacing w:val="-22"/>
          <w:sz w:val="20"/>
        </w:rPr>
        <w:t> </w:t>
      </w:r>
      <w:r>
        <w:rPr>
          <w:sz w:val="20"/>
        </w:rPr>
        <w:t>participants.</w:t>
      </w:r>
    </w:p>
    <w:p>
      <w:pPr>
        <w:pStyle w:val="BodyText"/>
        <w:spacing w:before="2"/>
      </w:pPr>
    </w:p>
    <w:p>
      <w:pPr>
        <w:pStyle w:val="Heading4"/>
        <w:ind w:left="630" w:right="852" w:hanging="360"/>
        <w:jc w:val="left"/>
      </w:pPr>
      <w:r>
        <w:rPr/>
        <w:t>2.4  Measurement and control of possible development  of</w:t>
      </w:r>
      <w:r>
        <w:rPr>
          <w:spacing w:val="-3"/>
        </w:rPr>
        <w:t> </w:t>
      </w:r>
      <w:r>
        <w:rPr/>
        <w:t>injury</w:t>
      </w:r>
    </w:p>
    <w:p>
      <w:pPr>
        <w:pStyle w:val="BodyText"/>
        <w:spacing w:before="8"/>
        <w:rPr>
          <w:b/>
          <w:sz w:val="19"/>
        </w:rPr>
      </w:pPr>
    </w:p>
    <w:p>
      <w:pPr>
        <w:pStyle w:val="BodyText"/>
        <w:ind w:left="270" w:right="676"/>
        <w:jc w:val="both"/>
      </w:pPr>
      <w:r>
        <w:rPr/>
        <w:t>To conduct research that if the people who make handmade flour tortillas can develop an injury, we used the subjective questionnaire of fatigue, section c, consisting of 10  questions related to physical symptoms or projection of physical</w:t>
      </w:r>
      <w:r>
        <w:rPr>
          <w:spacing w:val="-4"/>
        </w:rPr>
        <w:t> </w:t>
      </w:r>
      <w:r>
        <w:rPr/>
        <w:t>damage.</w:t>
      </w:r>
    </w:p>
    <w:p>
      <w:pPr>
        <w:pStyle w:val="BodyText"/>
      </w:pPr>
    </w:p>
    <w:p>
      <w:pPr>
        <w:pStyle w:val="BodyText"/>
        <w:spacing w:before="1"/>
        <w:ind w:left="270" w:right="675" w:firstLine="567"/>
        <w:jc w:val="both"/>
      </w:pPr>
      <w:r>
        <w:rPr/>
        <w:t>And the discomfort mapping format of Corlett and Bishop, this counts with body parts divided into sections which must be accommodated in how respondents feel discomfort, and to what degree, if it isonly discomfort or if  it is already in pain</w:t>
      </w:r>
      <w:r>
        <w:rPr>
          <w:spacing w:val="-11"/>
        </w:rPr>
        <w:t> </w:t>
      </w:r>
      <w:r>
        <w:rPr/>
        <w:t>zone.</w:t>
      </w:r>
    </w:p>
    <w:p>
      <w:pPr>
        <w:pStyle w:val="BodyText"/>
        <w:spacing w:before="3"/>
      </w:pPr>
    </w:p>
    <w:p>
      <w:pPr>
        <w:pStyle w:val="Heading4"/>
        <w:numPr>
          <w:ilvl w:val="0"/>
          <w:numId w:val="173"/>
        </w:numPr>
        <w:tabs>
          <w:tab w:pos="421" w:val="left" w:leader="none"/>
        </w:tabs>
        <w:spacing w:line="240" w:lineRule="auto" w:before="0" w:after="0"/>
        <w:ind w:left="420" w:right="0" w:hanging="150"/>
        <w:jc w:val="both"/>
      </w:pPr>
      <w:r>
        <w:rPr/>
        <w:t>Results</w:t>
      </w:r>
    </w:p>
    <w:p>
      <w:pPr>
        <w:pStyle w:val="BodyText"/>
        <w:spacing w:before="8"/>
        <w:rPr>
          <w:b/>
          <w:sz w:val="19"/>
        </w:rPr>
      </w:pPr>
    </w:p>
    <w:p>
      <w:pPr>
        <w:pStyle w:val="BodyText"/>
        <w:ind w:left="270" w:right="676"/>
        <w:jc w:val="both"/>
      </w:pPr>
      <w:r>
        <w:rPr/>
        <w:t>In the figure 1 shows the C section of the Yoshitake questionnaire in which workers engaged in making flour tortillas exhibit physical symptoms of physical damage.</w:t>
      </w:r>
    </w:p>
    <w:p>
      <w:pPr>
        <w:spacing w:after="0"/>
        <w:jc w:val="both"/>
        <w:sectPr>
          <w:type w:val="continuous"/>
          <w:pgSz w:w="12240" w:h="15840"/>
          <w:pgMar w:top="1500" w:bottom="280" w:left="580" w:right="220"/>
          <w:cols w:num="2" w:equalWidth="0">
            <w:col w:w="5191" w:space="434"/>
            <w:col w:w="5815"/>
          </w:cols>
        </w:sectPr>
      </w:pPr>
    </w:p>
    <w:p>
      <w:pPr>
        <w:pStyle w:val="BodyText"/>
        <w:rPr>
          <w:sz w:val="18"/>
        </w:rPr>
      </w:pPr>
    </w:p>
    <w:p>
      <w:pPr>
        <w:pStyle w:val="BodyText"/>
        <w:tabs>
          <w:tab w:pos="5931" w:val="left" w:leader="none"/>
        </w:tabs>
        <w:ind w:left="561"/>
      </w:pPr>
      <w:r>
        <w:rPr/>
        <w:drawing>
          <wp:inline distT="0" distB="0" distL="0" distR="0">
            <wp:extent cx="2752125" cy="1871567"/>
            <wp:effectExtent l="0" t="0" r="0" b="0"/>
            <wp:docPr id="895" name="image495.png" descr=""/>
            <wp:cNvGraphicFramePr>
              <a:graphicFrameLocks noChangeAspect="1"/>
            </wp:cNvGraphicFramePr>
            <a:graphic>
              <a:graphicData uri="http://schemas.openxmlformats.org/drawingml/2006/picture">
                <pic:pic>
                  <pic:nvPicPr>
                    <pic:cNvPr id="896" name="image495.png"/>
                    <pic:cNvPicPr/>
                  </pic:nvPicPr>
                  <pic:blipFill>
                    <a:blip r:embed="rId784" cstate="print"/>
                    <a:stretch>
                      <a:fillRect/>
                    </a:stretch>
                  </pic:blipFill>
                  <pic:spPr>
                    <a:xfrm>
                      <a:off x="0" y="0"/>
                      <a:ext cx="2752125" cy="1871567"/>
                    </a:xfrm>
                    <a:prstGeom prst="rect">
                      <a:avLst/>
                    </a:prstGeom>
                  </pic:spPr>
                </pic:pic>
              </a:graphicData>
            </a:graphic>
          </wp:inline>
        </w:drawing>
      </w:r>
      <w:r>
        <w:rPr/>
      </w:r>
      <w:r>
        <w:rPr/>
        <w:tab/>
      </w:r>
      <w:r>
        <w:rPr>
          <w:position w:val="15"/>
        </w:rPr>
        <w:drawing>
          <wp:inline distT="0" distB="0" distL="0" distR="0">
            <wp:extent cx="3037447" cy="1773936"/>
            <wp:effectExtent l="0" t="0" r="0" b="0"/>
            <wp:docPr id="897" name="image496.jpeg" descr=""/>
            <wp:cNvGraphicFramePr>
              <a:graphicFrameLocks noChangeAspect="1"/>
            </wp:cNvGraphicFramePr>
            <a:graphic>
              <a:graphicData uri="http://schemas.openxmlformats.org/drawingml/2006/picture">
                <pic:pic>
                  <pic:nvPicPr>
                    <pic:cNvPr id="898" name="image496.jpeg"/>
                    <pic:cNvPicPr/>
                  </pic:nvPicPr>
                  <pic:blipFill>
                    <a:blip r:embed="rId785" cstate="print"/>
                    <a:stretch>
                      <a:fillRect/>
                    </a:stretch>
                  </pic:blipFill>
                  <pic:spPr>
                    <a:xfrm>
                      <a:off x="0" y="0"/>
                      <a:ext cx="3037447" cy="1773936"/>
                    </a:xfrm>
                    <a:prstGeom prst="rect">
                      <a:avLst/>
                    </a:prstGeom>
                  </pic:spPr>
                </pic:pic>
              </a:graphicData>
            </a:graphic>
          </wp:inline>
        </w:drawing>
      </w:r>
      <w:r>
        <w:rPr>
          <w:position w:val="15"/>
        </w:rPr>
      </w:r>
    </w:p>
    <w:p>
      <w:pPr>
        <w:pStyle w:val="BodyText"/>
        <w:spacing w:before="1"/>
        <w:rPr>
          <w:sz w:val="6"/>
        </w:rPr>
      </w:pPr>
    </w:p>
    <w:p>
      <w:pPr>
        <w:spacing w:after="0"/>
        <w:rPr>
          <w:sz w:val="6"/>
        </w:rPr>
        <w:sectPr>
          <w:pgSz w:w="12240" w:h="15840"/>
          <w:pgMar w:header="545" w:footer="852" w:top="1060" w:bottom="1040" w:left="580" w:right="220"/>
        </w:sectPr>
      </w:pPr>
    </w:p>
    <w:p>
      <w:pPr>
        <w:pStyle w:val="BodyText"/>
        <w:spacing w:before="157"/>
        <w:ind w:left="1348" w:right="72"/>
      </w:pPr>
      <w:r>
        <w:rPr/>
        <w:t>Figure 1. General Symptoms of CTD´s</w:t>
      </w:r>
    </w:p>
    <w:p>
      <w:pPr>
        <w:pStyle w:val="BodyText"/>
        <w:spacing w:before="11"/>
        <w:rPr>
          <w:sz w:val="19"/>
        </w:rPr>
      </w:pPr>
    </w:p>
    <w:p>
      <w:pPr>
        <w:pStyle w:val="BodyText"/>
        <w:ind w:left="270" w:right="4" w:firstLine="567"/>
        <w:jc w:val="both"/>
      </w:pPr>
      <w:r>
        <w:rPr/>
        <w:t>The pie chart above shows that 92% are workers who have potential CTD's while the remaining 8% have no symptoms of CTD's. See figure 2.</w:t>
      </w:r>
    </w:p>
    <w:p>
      <w:pPr>
        <w:pStyle w:val="BodyText"/>
        <w:spacing w:before="10"/>
        <w:rPr>
          <w:sz w:val="16"/>
        </w:rPr>
      </w:pPr>
      <w:r>
        <w:rPr/>
        <w:drawing>
          <wp:anchor distT="0" distB="0" distL="0" distR="0" allowOverlap="1" layoutInCell="1" locked="0" behindDoc="0" simplePos="0" relativeHeight="18880">
            <wp:simplePos x="0" y="0"/>
            <wp:positionH relativeFrom="page">
              <wp:posOffset>698754</wp:posOffset>
            </wp:positionH>
            <wp:positionV relativeFrom="paragraph">
              <wp:posOffset>148550</wp:posOffset>
            </wp:positionV>
            <wp:extent cx="2777794" cy="1897379"/>
            <wp:effectExtent l="0" t="0" r="0" b="0"/>
            <wp:wrapTopAndBottom/>
            <wp:docPr id="899" name="image497.jpeg" descr=""/>
            <wp:cNvGraphicFramePr>
              <a:graphicFrameLocks noChangeAspect="1"/>
            </wp:cNvGraphicFramePr>
            <a:graphic>
              <a:graphicData uri="http://schemas.openxmlformats.org/drawingml/2006/picture">
                <pic:pic>
                  <pic:nvPicPr>
                    <pic:cNvPr id="900" name="image497.jpeg"/>
                    <pic:cNvPicPr/>
                  </pic:nvPicPr>
                  <pic:blipFill>
                    <a:blip r:embed="rId786" cstate="print"/>
                    <a:stretch>
                      <a:fillRect/>
                    </a:stretch>
                  </pic:blipFill>
                  <pic:spPr>
                    <a:xfrm>
                      <a:off x="0" y="0"/>
                      <a:ext cx="2777794" cy="1897379"/>
                    </a:xfrm>
                    <a:prstGeom prst="rect">
                      <a:avLst/>
                    </a:prstGeom>
                  </pic:spPr>
                </pic:pic>
              </a:graphicData>
            </a:graphic>
          </wp:anchor>
        </w:drawing>
      </w:r>
    </w:p>
    <w:p>
      <w:pPr>
        <w:pStyle w:val="BodyText"/>
        <w:ind w:left="1356" w:right="72"/>
      </w:pPr>
      <w:r>
        <w:rPr/>
        <w:t>Figure 2. Index of possible CTD´s</w:t>
      </w:r>
    </w:p>
    <w:p>
      <w:pPr>
        <w:pStyle w:val="BodyText"/>
        <w:spacing w:before="11"/>
        <w:rPr>
          <w:sz w:val="19"/>
        </w:rPr>
      </w:pPr>
    </w:p>
    <w:p>
      <w:pPr>
        <w:pStyle w:val="BodyText"/>
        <w:ind w:left="270" w:right="3" w:firstLine="567"/>
        <w:jc w:val="both"/>
      </w:pPr>
      <w:r>
        <w:rPr/>
        <w:t>As we can see in figure 3, all those hassles in the  body of workers when starting their workday, which is based around the map of Corlett and</w:t>
      </w:r>
      <w:r>
        <w:rPr>
          <w:spacing w:val="-19"/>
        </w:rPr>
        <w:t> </w:t>
      </w:r>
      <w:r>
        <w:rPr/>
        <w:t>Bishop.</w:t>
      </w:r>
    </w:p>
    <w:p>
      <w:pPr>
        <w:pStyle w:val="BodyText"/>
        <w:spacing w:before="6"/>
        <w:rPr>
          <w:sz w:val="11"/>
        </w:rPr>
      </w:pPr>
    </w:p>
    <w:p>
      <w:pPr>
        <w:pStyle w:val="BodyText"/>
        <w:ind w:left="298"/>
      </w:pPr>
      <w:r>
        <w:rPr/>
        <w:drawing>
          <wp:inline distT="0" distB="0" distL="0" distR="0">
            <wp:extent cx="3046274" cy="1469136"/>
            <wp:effectExtent l="0" t="0" r="0" b="0"/>
            <wp:docPr id="901" name="image498.png" descr=""/>
            <wp:cNvGraphicFramePr>
              <a:graphicFrameLocks noChangeAspect="1"/>
            </wp:cNvGraphicFramePr>
            <a:graphic>
              <a:graphicData uri="http://schemas.openxmlformats.org/drawingml/2006/picture">
                <pic:pic>
                  <pic:nvPicPr>
                    <pic:cNvPr id="902" name="image498.png"/>
                    <pic:cNvPicPr/>
                  </pic:nvPicPr>
                  <pic:blipFill>
                    <a:blip r:embed="rId787" cstate="print"/>
                    <a:stretch>
                      <a:fillRect/>
                    </a:stretch>
                  </pic:blipFill>
                  <pic:spPr>
                    <a:xfrm>
                      <a:off x="0" y="0"/>
                      <a:ext cx="3046274" cy="1469136"/>
                    </a:xfrm>
                    <a:prstGeom prst="rect">
                      <a:avLst/>
                    </a:prstGeom>
                  </pic:spPr>
                </pic:pic>
              </a:graphicData>
            </a:graphic>
          </wp:inline>
        </w:drawing>
      </w:r>
      <w:r>
        <w:rPr/>
      </w:r>
    </w:p>
    <w:p>
      <w:pPr>
        <w:pStyle w:val="BodyText"/>
        <w:spacing w:before="83"/>
        <w:ind w:left="981" w:right="717"/>
        <w:jc w:val="center"/>
      </w:pPr>
      <w:r>
        <w:rPr/>
        <w:t>Figure 3. General complains number check</w:t>
      </w:r>
    </w:p>
    <w:p>
      <w:pPr>
        <w:pStyle w:val="BodyText"/>
        <w:spacing w:before="11"/>
        <w:rPr>
          <w:sz w:val="19"/>
        </w:rPr>
      </w:pPr>
    </w:p>
    <w:p>
      <w:pPr>
        <w:pStyle w:val="BodyText"/>
        <w:ind w:left="270" w:firstLine="567"/>
        <w:jc w:val="both"/>
      </w:pPr>
      <w:r>
        <w:rPr/>
        <w:t>The figure 4 shows the percentage of complaints from people who work in places of flour tortillas in the time of entry, based on the map of discomfort Corlett and Bishop.</w:t>
      </w:r>
    </w:p>
    <w:p>
      <w:pPr>
        <w:pStyle w:val="BodyText"/>
        <w:spacing w:before="9"/>
        <w:ind w:left="293" w:right="701"/>
        <w:jc w:val="center"/>
      </w:pPr>
      <w:r>
        <w:rPr/>
        <w:br w:type="column"/>
      </w:r>
      <w:r>
        <w:rPr/>
        <w:t>Figure 4. Overall percentage of complains in the start of work day.</w:t>
      </w:r>
    </w:p>
    <w:p>
      <w:pPr>
        <w:pStyle w:val="BodyText"/>
      </w:pPr>
    </w:p>
    <w:p>
      <w:pPr>
        <w:pStyle w:val="BodyText"/>
        <w:spacing w:before="1"/>
        <w:ind w:left="270" w:right="677" w:firstLine="567"/>
        <w:jc w:val="both"/>
      </w:pPr>
      <w:r>
        <w:rPr/>
        <w:t>In the figure 5 shows the discomfort of the body of women workers in the time of departure, by the most affected body, which is based on the body map of Corlett and Bishop.</w:t>
      </w:r>
    </w:p>
    <w:p>
      <w:pPr>
        <w:pStyle w:val="BodyText"/>
        <w:spacing w:before="10"/>
        <w:rPr>
          <w:sz w:val="16"/>
        </w:rPr>
      </w:pPr>
      <w:r>
        <w:rPr/>
        <w:drawing>
          <wp:anchor distT="0" distB="0" distL="0" distR="0" allowOverlap="1" layoutInCell="1" locked="0" behindDoc="0" simplePos="0" relativeHeight="18904">
            <wp:simplePos x="0" y="0"/>
            <wp:positionH relativeFrom="page">
              <wp:posOffset>4111752</wp:posOffset>
            </wp:positionH>
            <wp:positionV relativeFrom="paragraph">
              <wp:posOffset>148551</wp:posOffset>
            </wp:positionV>
            <wp:extent cx="3196507" cy="1458468"/>
            <wp:effectExtent l="0" t="0" r="0" b="0"/>
            <wp:wrapTopAndBottom/>
            <wp:docPr id="903" name="image499.jpeg" descr=""/>
            <wp:cNvGraphicFramePr>
              <a:graphicFrameLocks noChangeAspect="1"/>
            </wp:cNvGraphicFramePr>
            <a:graphic>
              <a:graphicData uri="http://schemas.openxmlformats.org/drawingml/2006/picture">
                <pic:pic>
                  <pic:nvPicPr>
                    <pic:cNvPr id="904" name="image499.jpeg"/>
                    <pic:cNvPicPr/>
                  </pic:nvPicPr>
                  <pic:blipFill>
                    <a:blip r:embed="rId788" cstate="print"/>
                    <a:stretch>
                      <a:fillRect/>
                    </a:stretch>
                  </pic:blipFill>
                  <pic:spPr>
                    <a:xfrm>
                      <a:off x="0" y="0"/>
                      <a:ext cx="3196507" cy="1458468"/>
                    </a:xfrm>
                    <a:prstGeom prst="rect">
                      <a:avLst/>
                    </a:prstGeom>
                  </pic:spPr>
                </pic:pic>
              </a:graphicData>
            </a:graphic>
          </wp:anchor>
        </w:drawing>
      </w:r>
    </w:p>
    <w:p>
      <w:pPr>
        <w:pStyle w:val="BodyText"/>
        <w:ind w:left="295" w:right="701"/>
        <w:jc w:val="center"/>
      </w:pPr>
      <w:r>
        <w:rPr/>
        <w:t>Figure 5. Number of general complains in the end of work day.</w:t>
      </w:r>
    </w:p>
    <w:p>
      <w:pPr>
        <w:pStyle w:val="BodyText"/>
      </w:pPr>
    </w:p>
    <w:p>
      <w:pPr>
        <w:pStyle w:val="BodyText"/>
        <w:spacing w:before="1"/>
        <w:ind w:left="270" w:right="676" w:firstLine="567"/>
        <w:jc w:val="both"/>
      </w:pPr>
      <w:r>
        <w:rPr/>
        <w:t>The figure 6 shows the percentage of  complaints from people who work in places of flour tortillas, per body part most affected departure time based on the map of discomfort Corlett and Bishop.</w:t>
      </w:r>
    </w:p>
    <w:p>
      <w:pPr>
        <w:pStyle w:val="BodyText"/>
        <w:spacing w:before="8"/>
        <w:rPr>
          <w:sz w:val="16"/>
        </w:rPr>
      </w:pPr>
      <w:r>
        <w:rPr/>
        <w:drawing>
          <wp:anchor distT="0" distB="0" distL="0" distR="0" allowOverlap="1" layoutInCell="1" locked="0" behindDoc="0" simplePos="0" relativeHeight="18928">
            <wp:simplePos x="0" y="0"/>
            <wp:positionH relativeFrom="page">
              <wp:posOffset>4258817</wp:posOffset>
            </wp:positionH>
            <wp:positionV relativeFrom="paragraph">
              <wp:posOffset>147026</wp:posOffset>
            </wp:positionV>
            <wp:extent cx="2792665" cy="1810512"/>
            <wp:effectExtent l="0" t="0" r="0" b="0"/>
            <wp:wrapTopAndBottom/>
            <wp:docPr id="905" name="image500.jpeg" descr=""/>
            <wp:cNvGraphicFramePr>
              <a:graphicFrameLocks noChangeAspect="1"/>
            </wp:cNvGraphicFramePr>
            <a:graphic>
              <a:graphicData uri="http://schemas.openxmlformats.org/drawingml/2006/picture">
                <pic:pic>
                  <pic:nvPicPr>
                    <pic:cNvPr id="906" name="image500.jpeg"/>
                    <pic:cNvPicPr/>
                  </pic:nvPicPr>
                  <pic:blipFill>
                    <a:blip r:embed="rId789" cstate="print"/>
                    <a:stretch>
                      <a:fillRect/>
                    </a:stretch>
                  </pic:blipFill>
                  <pic:spPr>
                    <a:xfrm>
                      <a:off x="0" y="0"/>
                      <a:ext cx="2792665" cy="1810512"/>
                    </a:xfrm>
                    <a:prstGeom prst="rect">
                      <a:avLst/>
                    </a:prstGeom>
                  </pic:spPr>
                </pic:pic>
              </a:graphicData>
            </a:graphic>
          </wp:anchor>
        </w:drawing>
      </w:r>
    </w:p>
    <w:p>
      <w:pPr>
        <w:pStyle w:val="BodyText"/>
        <w:ind w:left="474" w:right="882"/>
        <w:jc w:val="center"/>
      </w:pPr>
      <w:r>
        <w:rPr/>
        <w:t>Figure 6. Overall percentage of complains in the end of work day.</w:t>
      </w:r>
    </w:p>
    <w:p>
      <w:pPr>
        <w:pStyle w:val="BodyText"/>
        <w:spacing w:before="2"/>
      </w:pPr>
    </w:p>
    <w:p>
      <w:pPr>
        <w:pStyle w:val="Heading4"/>
        <w:numPr>
          <w:ilvl w:val="1"/>
          <w:numId w:val="176"/>
        </w:numPr>
        <w:tabs>
          <w:tab w:pos="571" w:val="left" w:leader="none"/>
        </w:tabs>
        <w:spacing w:line="240" w:lineRule="auto" w:before="0" w:after="0"/>
        <w:ind w:left="570" w:right="0" w:hanging="300"/>
        <w:jc w:val="left"/>
      </w:pPr>
      <w:r>
        <w:rPr/>
        <w:t>Conclusions</w:t>
      </w:r>
    </w:p>
    <w:p>
      <w:pPr>
        <w:spacing w:after="0" w:line="240" w:lineRule="auto"/>
        <w:jc w:val="left"/>
        <w:sectPr>
          <w:type w:val="continuous"/>
          <w:pgSz w:w="12240" w:h="15840"/>
          <w:pgMar w:top="1500" w:bottom="280" w:left="580" w:right="220"/>
          <w:cols w:num="2" w:equalWidth="0">
            <w:col w:w="5193" w:space="431"/>
            <w:col w:w="5816"/>
          </w:cols>
        </w:sectPr>
      </w:pPr>
    </w:p>
    <w:p>
      <w:pPr>
        <w:pStyle w:val="BodyText"/>
        <w:spacing w:before="4"/>
        <w:rPr>
          <w:b/>
          <w:sz w:val="11"/>
        </w:rPr>
      </w:pPr>
    </w:p>
    <w:p>
      <w:pPr>
        <w:pStyle w:val="BodyText"/>
        <w:spacing w:before="74"/>
        <w:ind w:left="270" w:right="6247"/>
        <w:jc w:val="both"/>
      </w:pPr>
      <w:r>
        <w:rPr/>
        <w:t>After observing the Figures, we can conclude that workers of flour tortillas post, that realize the activity of extending balls of flour and converts them into a tortilla, tend to suffer an injury primarily on the shoulders because of the positions and the force applied to extend the tortilla, which even a small amount is very repetitive in second place we have possible developments of head injuries, equally due to the inclination of the neck and head when activity development, finally another part of the body at risk for developing high CTD's is the high back by the tension it undergoes in the same way as the</w:t>
      </w:r>
      <w:r>
        <w:rPr>
          <w:spacing w:val="-16"/>
        </w:rPr>
        <w:t> </w:t>
      </w:r>
      <w:r>
        <w:rPr/>
        <w:t>shoulders.</w:t>
      </w:r>
    </w:p>
    <w:p>
      <w:pPr>
        <w:pStyle w:val="BodyText"/>
        <w:spacing w:before="11"/>
        <w:rPr>
          <w:sz w:val="19"/>
        </w:rPr>
      </w:pPr>
    </w:p>
    <w:p>
      <w:pPr>
        <w:pStyle w:val="BodyText"/>
        <w:ind w:left="270" w:right="6248" w:firstLine="567"/>
        <w:jc w:val="both"/>
      </w:pPr>
      <w:r>
        <w:rPr/>
        <w:t>The recommendations we provide are intermittent relaxation rutines of the most affected muscles. It is also recommended to reevaluate the position to provide the correct positions for the activity, another recommendation is to develop a tool to facilitate the work of these people and eliminate the possibility of developing some injuries by bad design</w:t>
      </w:r>
      <w:r>
        <w:rPr>
          <w:spacing w:val="-3"/>
        </w:rPr>
        <w:t> </w:t>
      </w:r>
      <w:r>
        <w:rPr/>
        <w:t>tools.</w:t>
      </w:r>
    </w:p>
    <w:p>
      <w:pPr>
        <w:pStyle w:val="BodyText"/>
        <w:spacing w:before="3"/>
      </w:pPr>
    </w:p>
    <w:p>
      <w:pPr>
        <w:pStyle w:val="Heading4"/>
        <w:numPr>
          <w:ilvl w:val="1"/>
          <w:numId w:val="176"/>
        </w:numPr>
        <w:tabs>
          <w:tab w:pos="571" w:val="left" w:leader="none"/>
        </w:tabs>
        <w:spacing w:line="240" w:lineRule="auto" w:before="0" w:after="0"/>
        <w:ind w:left="570" w:right="0" w:hanging="300"/>
        <w:jc w:val="both"/>
      </w:pPr>
      <w:r>
        <w:rPr/>
        <w:t>References</w:t>
      </w:r>
    </w:p>
    <w:p>
      <w:pPr>
        <w:pStyle w:val="BodyText"/>
        <w:spacing w:before="8"/>
        <w:rPr>
          <w:b/>
          <w:sz w:val="19"/>
        </w:rPr>
      </w:pPr>
    </w:p>
    <w:p>
      <w:pPr>
        <w:pStyle w:val="BodyText"/>
        <w:ind w:left="270" w:right="6248"/>
        <w:jc w:val="both"/>
      </w:pPr>
      <w:r>
        <w:rPr/>
        <w:t>Félix, M. Posturas de Trabajo: Evaluación del Riesgo, Instituto Nacional de Seguridad e higiene en el trabajo. Obtenido el día 24 de marzo del 2015, de </w:t>
      </w:r>
      <w:hyperlink r:id="rId790">
        <w:r>
          <w:rPr>
            <w:u w:val="single"/>
          </w:rPr>
          <w:t>http://www.insht.es/MusculoEsqueleticos/Contenidos/Forma</w:t>
        </w:r>
      </w:hyperlink>
      <w:r>
        <w:rPr>
          <w:u w:val="single"/>
        </w:rPr>
        <w:t> cion%20divulgacion/material%20didactico/Posturas%20trab ajo.pdf</w:t>
      </w:r>
    </w:p>
    <w:p>
      <w:pPr>
        <w:pStyle w:val="BodyText"/>
        <w:spacing w:before="6"/>
        <w:rPr>
          <w:sz w:val="13"/>
        </w:rPr>
      </w:pPr>
    </w:p>
    <w:p>
      <w:pPr>
        <w:pStyle w:val="BodyText"/>
        <w:spacing w:before="75"/>
        <w:ind w:left="270" w:right="6249"/>
        <w:jc w:val="both"/>
      </w:pPr>
      <w:r>
        <w:rPr/>
        <w:t>Dirección General de Relaciones Laborales. Trastornos músculo esqueléticos de origen laboral. Barcelona. Obtenido el día 24 de marzo del 2015, de </w:t>
      </w:r>
      <w:hyperlink r:id="rId543">
        <w:r>
          <w:rPr>
            <w:u w:val="single"/>
          </w:rPr>
          <w:t>http://www.gencat.cat/treball/doc/doc_15522120_2.pdf</w:t>
        </w:r>
      </w:hyperlink>
    </w:p>
    <w:p>
      <w:pPr>
        <w:pStyle w:val="BodyText"/>
        <w:spacing w:before="6"/>
        <w:rPr>
          <w:sz w:val="13"/>
        </w:rPr>
      </w:pPr>
    </w:p>
    <w:p>
      <w:pPr>
        <w:pStyle w:val="BodyText"/>
        <w:spacing w:before="75"/>
        <w:ind w:left="270" w:right="6248"/>
        <w:jc w:val="both"/>
      </w:pPr>
      <w:r>
        <w:rPr/>
        <w:t>Prueba de síntomas subjetivos de fatiga, Yoshitake. Superintendencia de Riesgo del Trabajo.  Argentina. Obtenida el día 26 de marzo del 2015, de </w:t>
      </w:r>
      <w:hyperlink r:id="rId539">
        <w:r>
          <w:rPr>
            <w:u w:val="single"/>
          </w:rPr>
          <w:t>www.srt.gob.ar/index.php/prueba-de-sintomas-subjetivos-</w:t>
        </w:r>
      </w:hyperlink>
    </w:p>
    <w:p>
      <w:pPr>
        <w:pStyle w:val="BodyText"/>
        <w:spacing w:line="229" w:lineRule="exact"/>
        <w:ind w:left="270"/>
        <w:jc w:val="both"/>
      </w:pPr>
      <w:r>
        <w:rPr>
          <w:u w:val="single"/>
        </w:rPr>
        <w:t>de-fatiga-yoshitake</w:t>
      </w:r>
    </w:p>
    <w:p>
      <w:pPr>
        <w:pStyle w:val="BodyText"/>
        <w:spacing w:before="6"/>
        <w:rPr>
          <w:sz w:val="13"/>
        </w:rPr>
      </w:pPr>
    </w:p>
    <w:p>
      <w:pPr>
        <w:pStyle w:val="BodyText"/>
        <w:spacing w:before="75"/>
        <w:ind w:left="270" w:right="6249"/>
        <w:jc w:val="both"/>
      </w:pPr>
      <w:r>
        <w:rPr/>
        <w:t>STPS. (2004-2013). Información sobre Accidentes y Enfermedades de trabajo en Sinaloa. IMSS. 24 pp. recuperado (26/03/2015 11:05 p.m). En línea disponible: </w:t>
      </w:r>
      <w:hyperlink r:id="rId610">
        <w:r>
          <w:rPr>
            <w:u w:val="single"/>
          </w:rPr>
          <w:t>http://www.stps.gob.mx/bp/secciones/dgsst/estadisticas/Sinal</w:t>
        </w:r>
      </w:hyperlink>
      <w:r>
        <w:rPr>
          <w:u w:val="single"/>
        </w:rPr>
        <w:t> oa%202004-2013.pdf</w:t>
      </w:r>
    </w:p>
    <w:p>
      <w:pPr>
        <w:spacing w:after="0"/>
        <w:jc w:val="both"/>
        <w:sectPr>
          <w:pgSz w:w="12240" w:h="15840"/>
          <w:pgMar w:header="545" w:footer="852" w:top="1060" w:bottom="1040" w:left="580" w:right="220"/>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
        <w:rPr>
          <w:sz w:val="26"/>
        </w:rPr>
      </w:pPr>
    </w:p>
    <w:p>
      <w:pPr>
        <w:pStyle w:val="Heading1"/>
        <w:ind w:right="17"/>
      </w:pPr>
      <w:r>
        <w:rPr/>
        <w:t>Reducing ergonomic risks by improving the design of the laparoscopic forceps</w:t>
      </w:r>
    </w:p>
    <w:p>
      <w:pPr>
        <w:pStyle w:val="BodyText"/>
        <w:spacing w:before="9"/>
        <w:rPr>
          <w:b/>
          <w:sz w:val="19"/>
        </w:rPr>
      </w:pPr>
    </w:p>
    <w:p>
      <w:pPr>
        <w:spacing w:before="0"/>
        <w:ind w:left="270" w:right="0" w:firstLine="0"/>
        <w:jc w:val="both"/>
        <w:rPr>
          <w:i/>
          <w:sz w:val="20"/>
        </w:rPr>
      </w:pPr>
      <w:r>
        <w:rPr>
          <w:i/>
          <w:sz w:val="20"/>
        </w:rPr>
        <w:t>Juan Carlos Garza Escamilla   , Rosalío Ávila Chaurand     ,</w:t>
      </w:r>
    </w:p>
    <w:p>
      <w:pPr>
        <w:spacing w:before="0"/>
        <w:ind w:left="270" w:right="0" w:firstLine="0"/>
        <w:jc w:val="both"/>
        <w:rPr>
          <w:i/>
          <w:sz w:val="20"/>
        </w:rPr>
      </w:pPr>
      <w:r>
        <w:rPr>
          <w:i/>
          <w:sz w:val="20"/>
        </w:rPr>
        <w:t>Luis Francisco Gómez Hermosillo</w:t>
      </w:r>
    </w:p>
    <w:p>
      <w:pPr>
        <w:pStyle w:val="BodyText"/>
        <w:spacing w:before="7"/>
        <w:rPr>
          <w:i/>
          <w:sz w:val="18"/>
        </w:rPr>
      </w:pPr>
    </w:p>
    <w:p>
      <w:pPr>
        <w:spacing w:before="0"/>
        <w:ind w:left="270" w:right="0" w:firstLine="0"/>
        <w:jc w:val="both"/>
        <w:rPr>
          <w:sz w:val="16"/>
        </w:rPr>
      </w:pPr>
      <w:r>
        <w:rPr>
          <w:position w:val="7"/>
          <w:sz w:val="10"/>
        </w:rPr>
        <w:t>a </w:t>
      </w:r>
      <w:r>
        <w:rPr>
          <w:sz w:val="16"/>
        </w:rPr>
        <w:t>Maestría en ergonomía, Centro universitario de arquitectura, arte y diseño, Universidad de Guadalajara, </w:t>
      </w:r>
      <w:hyperlink r:id="rId791">
        <w:r>
          <w:rPr>
            <w:sz w:val="16"/>
          </w:rPr>
          <w:t>juanc.garza87@gmail.com,</w:t>
        </w:r>
      </w:hyperlink>
      <w:r>
        <w:rPr>
          <w:sz w:val="16"/>
        </w:rPr>
        <w:t> Monterrey, Nuevo León, México.</w:t>
      </w:r>
    </w:p>
    <w:p>
      <w:pPr>
        <w:spacing w:line="184" w:lineRule="exact" w:before="1"/>
        <w:ind w:left="270" w:right="0" w:firstLine="0"/>
        <w:jc w:val="both"/>
        <w:rPr>
          <w:sz w:val="16"/>
        </w:rPr>
      </w:pPr>
      <w:r>
        <w:rPr>
          <w:position w:val="7"/>
          <w:sz w:val="10"/>
        </w:rPr>
        <w:t>b </w:t>
      </w:r>
      <w:r>
        <w:rPr>
          <w:sz w:val="16"/>
        </w:rPr>
        <w:t>Centro de investigaciones en ergonomía, Centro universitario de arquitectura, arte y diseño, Universidad de Guadalajara, </w:t>
      </w:r>
      <w:hyperlink r:id="rId792">
        <w:r>
          <w:rPr>
            <w:sz w:val="16"/>
          </w:rPr>
          <w:t>rolexracha@gmail.com,</w:t>
        </w:r>
      </w:hyperlink>
      <w:r>
        <w:rPr>
          <w:sz w:val="16"/>
        </w:rPr>
        <w:t> Guadalajara, Jalisco, México.</w:t>
      </w:r>
    </w:p>
    <w:p>
      <w:pPr>
        <w:spacing w:line="184" w:lineRule="exact" w:before="0"/>
        <w:ind w:left="270" w:right="1" w:firstLine="0"/>
        <w:jc w:val="both"/>
        <w:rPr>
          <w:sz w:val="16"/>
        </w:rPr>
      </w:pPr>
      <w:r>
        <w:rPr>
          <w:position w:val="7"/>
          <w:sz w:val="10"/>
        </w:rPr>
        <w:t>c </w:t>
      </w:r>
      <w:r>
        <w:rPr>
          <w:sz w:val="16"/>
        </w:rPr>
        <w:t>Cirugía Laparoscópica, Hospital civil de Guadalajara Juan I. Menchaca, </w:t>
      </w:r>
      <w:hyperlink r:id="rId793">
        <w:r>
          <w:rPr>
            <w:sz w:val="16"/>
          </w:rPr>
          <w:t>luisgomez_53@hotmail.com,</w:t>
        </w:r>
      </w:hyperlink>
      <w:r>
        <w:rPr>
          <w:sz w:val="16"/>
        </w:rPr>
        <w:t> Guadalajara, Jalisco, México.</w:t>
      </w:r>
    </w:p>
    <w:p>
      <w:pPr>
        <w:pStyle w:val="BodyText"/>
        <w:spacing w:before="2"/>
      </w:pPr>
    </w:p>
    <w:p>
      <w:pPr>
        <w:pStyle w:val="Heading4"/>
      </w:pPr>
      <w:r>
        <w:rPr/>
        <w:pict>
          <v:line style="position:absolute;mso-position-horizontal-relative:page;mso-position-vertical-relative:paragraph;z-index:18952" from="41.040001pt,13.205825pt" to="289.860001pt,13.205825pt" stroked="true" strokeweight="1.5pt" strokecolor="#000000">
            <w10:wrap type="none"/>
          </v:line>
        </w:pict>
      </w:r>
      <w:r>
        <w:rPr/>
        <w:t>Resumen</w:t>
      </w:r>
    </w:p>
    <w:p>
      <w:pPr>
        <w:pStyle w:val="BodyText"/>
        <w:spacing w:before="46"/>
        <w:ind w:left="270" w:right="15"/>
        <w:jc w:val="both"/>
      </w:pPr>
      <w:r>
        <w:rPr/>
        <w:t>La laparoscopía es un procedimiento mínimamente invasivo que tiene muchas ventajas para el paciente, sin  embargo, para el médico cirujano que lo practica, existe el riesgo de sufrir lesiones musculoesqueléticas en las extremidades superiores debido a los riesgos ergonómicos presentes. El objetivo de esta investigación es determinar cuáles son los criterios para proponer un diseño ergonómico de la agarradera de las pinzas laparoscópicas, con el fin de reducir y/o eliminar los factores de riesgo presentes durante su operación. Se realizó una revisión de bibliografía con el fin de completar un estudio cuasi experimental de un solo grupo con pre prueba y post prueba en Guadalajara, Jalisco, contemplando la participación de 24 sujetos. Se planteó la evaluación ergonómica de una pinza laparoscópica utilizada actualmente mediante simulaciones controladas para identificar los efectos y posturas que genera en el miembro superior de los sujetos. Una vez identificadas las posturas y sobre-esfuerzos generados, se realizarán modificaciones a las características físicas de la agarradera de la pinza laparoscópica para obtener posturas y esfuerzos aceptables. Se harán simulaciones en una estación de entrenamiento para comparar los resultados de ambas pinzas a manera de contrabalanceo AB-BA. Se le pedirá a cada sujeto que  evalúe la incomodidad y el esfuerzo percibido que cada  pinza le causó. Con el uso de cámaras de video estacionarias se hará un análisis postural de la muñeca de cada</w:t>
      </w:r>
      <w:r>
        <w:rPr>
          <w:spacing w:val="-10"/>
        </w:rPr>
        <w:t> </w:t>
      </w:r>
      <w:r>
        <w:rPr/>
        <w:t>sujeto.</w:t>
      </w:r>
    </w:p>
    <w:p>
      <w:pPr>
        <w:pStyle w:val="BodyText"/>
        <w:spacing w:before="11"/>
        <w:rPr>
          <w:sz w:val="19"/>
        </w:rPr>
      </w:pPr>
    </w:p>
    <w:p>
      <w:pPr>
        <w:spacing w:before="0"/>
        <w:ind w:left="270" w:right="0" w:firstLine="0"/>
        <w:jc w:val="both"/>
        <w:rPr>
          <w:sz w:val="20"/>
        </w:rPr>
      </w:pPr>
      <w:r>
        <w:rPr>
          <w:b/>
          <w:sz w:val="20"/>
        </w:rPr>
        <w:t>Palabras clave</w:t>
      </w:r>
      <w:r>
        <w:rPr>
          <w:sz w:val="20"/>
        </w:rPr>
        <w:t>—Diseño, Ergonomía, Laparoscopía</w:t>
      </w:r>
    </w:p>
    <w:p>
      <w:pPr>
        <w:pStyle w:val="BodyText"/>
        <w:spacing w:before="3"/>
      </w:pPr>
    </w:p>
    <w:p>
      <w:pPr>
        <w:pStyle w:val="Heading5"/>
        <w:rPr>
          <w:i/>
        </w:rPr>
      </w:pPr>
      <w:r>
        <w:rPr/>
        <w:pict>
          <v:line style="position:absolute;mso-position-horizontal-relative:page;mso-position-vertical-relative:paragraph;z-index:18976" from="41.040001pt,13.266948pt" to="289.860001pt,13.266948pt" stroked="true" strokeweight="1.5pt" strokecolor="#000000">
            <w10:wrap type="none"/>
          </v:line>
        </w:pict>
      </w:r>
      <w:r>
        <w:rPr>
          <w:i/>
        </w:rPr>
        <w:t>Abstract</w:t>
      </w:r>
    </w:p>
    <w:p>
      <w:pPr>
        <w:spacing w:before="47"/>
        <w:ind w:left="270" w:right="15" w:firstLine="0"/>
        <w:jc w:val="both"/>
        <w:rPr>
          <w:i/>
          <w:sz w:val="20"/>
        </w:rPr>
      </w:pPr>
      <w:r>
        <w:rPr>
          <w:i/>
          <w:sz w:val="20"/>
        </w:rPr>
        <w:t>Laparoscopy is a minimally invasive procedure that offers </w:t>
      </w:r>
      <w:r>
        <w:rPr>
          <w:i/>
          <w:sz w:val="20"/>
        </w:rPr>
        <w:t>many advantages to the patient, but to the surgeon that practices it, a risk of suffering musculoskeletal injury in the upper limbs exists, caused by present ergonomic risk factors. The objective of this research is todetermine the criteria to propose an ergonomic design of the handle of the laparoscopic forceps in order to reduce or eliminate the risk factors present during its use. A literature review was made to complete a cuasi-experimental research with one group with pre-test and post-test in Guadalajara, Mexico, contemplating the participation of 24 subjects. A proposal of an   ergonomic   evaluation   through   simulations   of     the</w:t>
      </w:r>
    </w:p>
    <w:p>
      <w:pPr>
        <w:spacing w:before="74"/>
        <w:ind w:left="270" w:right="675" w:firstLine="0"/>
        <w:jc w:val="both"/>
        <w:rPr>
          <w:i/>
          <w:sz w:val="20"/>
        </w:rPr>
      </w:pPr>
      <w:r>
        <w:rPr/>
        <w:br w:type="column"/>
      </w:r>
      <w:r>
        <w:rPr>
          <w:i/>
          <w:sz w:val="20"/>
        </w:rPr>
        <w:t>laparoscopic grasper actually used was made in order to </w:t>
      </w:r>
      <w:r>
        <w:rPr>
          <w:i/>
          <w:sz w:val="20"/>
        </w:rPr>
        <w:t>identify the postures and stress it generates in  the  user. Once identified, the physical characteristics of the handle will be modified to achieve acceptable levels of posture and stress. To compare both handles, controlled simulations will be done in a laparoscopy training station in form of counterbalance (AB-BA). Each subject will be asked to evaluate inconformity and perceived stress that each laparoscopic forceps caused them. With the use of  stationary cameras, a postural analysis of the wrist will be made for each</w:t>
      </w:r>
      <w:r>
        <w:rPr>
          <w:i/>
          <w:spacing w:val="-7"/>
          <w:sz w:val="20"/>
        </w:rPr>
        <w:t> </w:t>
      </w:r>
      <w:r>
        <w:rPr>
          <w:i/>
          <w:sz w:val="20"/>
        </w:rPr>
        <w:t>subject.</w:t>
      </w:r>
    </w:p>
    <w:p>
      <w:pPr>
        <w:pStyle w:val="BodyText"/>
        <w:spacing w:before="11"/>
        <w:rPr>
          <w:i/>
          <w:sz w:val="19"/>
        </w:rPr>
      </w:pPr>
    </w:p>
    <w:p>
      <w:pPr>
        <w:spacing w:before="0"/>
        <w:ind w:left="270" w:right="0" w:firstLine="0"/>
        <w:jc w:val="both"/>
        <w:rPr>
          <w:i/>
          <w:sz w:val="20"/>
        </w:rPr>
      </w:pPr>
      <w:r>
        <w:rPr>
          <w:b/>
          <w:i/>
          <w:sz w:val="20"/>
        </w:rPr>
        <w:t>Keywords</w:t>
      </w:r>
      <w:r>
        <w:rPr>
          <w:i/>
          <w:sz w:val="20"/>
        </w:rPr>
        <w:t>— Design, Ergonomics, Laparoscopy,</w:t>
      </w:r>
    </w:p>
    <w:p>
      <w:pPr>
        <w:pStyle w:val="BodyText"/>
        <w:rPr>
          <w:i/>
        </w:rPr>
      </w:pPr>
    </w:p>
    <w:p>
      <w:pPr>
        <w:pStyle w:val="BodyText"/>
        <w:spacing w:before="1"/>
        <w:ind w:left="270" w:right="676"/>
        <w:jc w:val="both"/>
      </w:pPr>
      <w:r>
        <w:rPr/>
        <w:t>Relevance to Ergonomics: It is necessary to know  the  degree of ergonomicity of laparoscopic forceps used in public hospitals in Mexico, and the way in which  these affect the performance of Mexican surgeons. With this information the anatomic, biomechanic and anthropometric features that impact comfort, efficiency and ease of use of the laparoscopic forceps can be improved. An ergonomic design of the laparoscopic forceps will also improve work conditions of surgeons by reducing physical stress and risk of error.</w:t>
      </w:r>
    </w:p>
    <w:p>
      <w:pPr>
        <w:pStyle w:val="BodyText"/>
        <w:spacing w:before="2"/>
      </w:pPr>
    </w:p>
    <w:p>
      <w:pPr>
        <w:pStyle w:val="Heading4"/>
        <w:numPr>
          <w:ilvl w:val="0"/>
          <w:numId w:val="177"/>
        </w:numPr>
        <w:tabs>
          <w:tab w:pos="473" w:val="left" w:leader="none"/>
        </w:tabs>
        <w:spacing w:line="240" w:lineRule="auto" w:before="0" w:after="0"/>
        <w:ind w:left="472" w:right="0" w:hanging="202"/>
        <w:jc w:val="both"/>
      </w:pPr>
      <w:r>
        <w:rPr/>
        <w:t>INTRODUCTION</w:t>
      </w:r>
    </w:p>
    <w:p>
      <w:pPr>
        <w:pStyle w:val="BodyText"/>
        <w:spacing w:before="8"/>
        <w:rPr>
          <w:b/>
          <w:sz w:val="19"/>
        </w:rPr>
      </w:pPr>
    </w:p>
    <w:p>
      <w:pPr>
        <w:pStyle w:val="BodyText"/>
        <w:ind w:left="270" w:right="676"/>
        <w:jc w:val="both"/>
      </w:pPr>
      <w:r>
        <w:rPr/>
        <w:t>Laparoscopy is a minimally invasive procedure that offers many advantages to the patient, when compared to open surgery. But to the surgeon that practices it, a risk of suffering musculoskeletal injury exists, caused by  inadequate postures and prolonged efforts in the upper limbs, neck and shoulder. Many of the risk factors  that affect the tasks of surgeons are directly related to the design of their work station and the design of the tools they use,  and can be reduced by implementing an ergonomic re- design of both. Laparoscopic surgery was chosen because of the vast existing literature related to ergonomic problems in these type of procedures. These problems include musculoskeletal risks for the end user (surgeon), who  depend on precise handling of their tools to execute efficiently their job. It is necessary to assess their working tools and detect the ergonomic risks that affect  them  in order to propose a new tool with ergonomic features. This re-designed tool should show improvements in the posture, musculoskeletal stress, efficiency, comfort and satisfaction of use perceived by the</w:t>
      </w:r>
      <w:r>
        <w:rPr>
          <w:spacing w:val="-9"/>
        </w:rPr>
        <w:t> </w:t>
      </w:r>
      <w:r>
        <w:rPr/>
        <w:t>user.</w:t>
      </w:r>
    </w:p>
    <w:p>
      <w:pPr>
        <w:pStyle w:val="BodyText"/>
        <w:spacing w:before="2"/>
      </w:pPr>
    </w:p>
    <w:p>
      <w:pPr>
        <w:pStyle w:val="Heading4"/>
        <w:numPr>
          <w:ilvl w:val="0"/>
          <w:numId w:val="177"/>
        </w:numPr>
        <w:tabs>
          <w:tab w:pos="472" w:val="left" w:leader="none"/>
        </w:tabs>
        <w:spacing w:line="240" w:lineRule="auto" w:before="0" w:after="0"/>
        <w:ind w:left="471" w:right="0" w:hanging="201"/>
        <w:jc w:val="both"/>
      </w:pPr>
      <w:r>
        <w:rPr/>
        <w:t>LITERATURE</w:t>
      </w:r>
      <w:r>
        <w:rPr>
          <w:spacing w:val="-5"/>
        </w:rPr>
        <w:t> </w:t>
      </w:r>
      <w:r>
        <w:rPr/>
        <w:t>REVIEW</w:t>
      </w:r>
    </w:p>
    <w:p>
      <w:pPr>
        <w:pStyle w:val="BodyText"/>
        <w:spacing w:before="8"/>
        <w:rPr>
          <w:b/>
          <w:sz w:val="19"/>
        </w:rPr>
      </w:pPr>
    </w:p>
    <w:p>
      <w:pPr>
        <w:pStyle w:val="BodyText"/>
        <w:ind w:left="270" w:right="675"/>
        <w:jc w:val="both"/>
      </w:pPr>
      <w:r>
        <w:rPr/>
        <w:t>A research and review of scientific articles in several journals was made in order to gather the findings and recent advances related to ergonomics in laparoscopic surgery.  This findings were separated into two</w:t>
      </w:r>
      <w:r>
        <w:rPr>
          <w:spacing w:val="-26"/>
        </w:rPr>
        <w:t> </w:t>
      </w:r>
      <w:r>
        <w:rPr/>
        <w:t>categories.</w:t>
      </w:r>
    </w:p>
    <w:p>
      <w:pPr>
        <w:pStyle w:val="BodyText"/>
        <w:spacing w:before="2"/>
      </w:pPr>
    </w:p>
    <w:p>
      <w:pPr>
        <w:pStyle w:val="Heading4"/>
        <w:numPr>
          <w:ilvl w:val="1"/>
          <w:numId w:val="178"/>
        </w:numPr>
        <w:tabs>
          <w:tab w:pos="572" w:val="left" w:leader="none"/>
        </w:tabs>
        <w:spacing w:line="240" w:lineRule="auto" w:before="0" w:after="0"/>
        <w:ind w:left="270" w:right="1026" w:firstLine="0"/>
        <w:jc w:val="left"/>
      </w:pPr>
      <w:r>
        <w:rPr/>
        <w:t>Background in occupational risks to</w:t>
      </w:r>
      <w:r>
        <w:rPr>
          <w:spacing w:val="-19"/>
        </w:rPr>
        <w:t> </w:t>
      </w:r>
      <w:r>
        <w:rPr/>
        <w:t>laparoscopic surgeons</w:t>
      </w:r>
    </w:p>
    <w:p>
      <w:pPr>
        <w:spacing w:after="0" w:line="240" w:lineRule="auto"/>
        <w:jc w:val="left"/>
        <w:sectPr>
          <w:type w:val="continuous"/>
          <w:pgSz w:w="12240" w:h="15840"/>
          <w:pgMar w:top="1500" w:bottom="280" w:left="580" w:right="220"/>
          <w:cols w:num="2" w:equalWidth="0">
            <w:col w:w="5208" w:space="416"/>
            <w:col w:w="5816"/>
          </w:cols>
        </w:sectPr>
      </w:pPr>
    </w:p>
    <w:p>
      <w:pPr>
        <w:pStyle w:val="BodyText"/>
        <w:spacing w:before="4"/>
        <w:rPr>
          <w:b/>
          <w:sz w:val="11"/>
        </w:rPr>
      </w:pPr>
    </w:p>
    <w:p>
      <w:pPr>
        <w:spacing w:after="0"/>
        <w:rPr>
          <w:sz w:val="11"/>
        </w:rPr>
        <w:sectPr>
          <w:pgSz w:w="12240" w:h="15840"/>
          <w:pgMar w:header="545" w:footer="852" w:top="1060" w:bottom="1040" w:left="580" w:right="220"/>
        </w:sectPr>
      </w:pPr>
    </w:p>
    <w:p>
      <w:pPr>
        <w:pStyle w:val="BodyText"/>
        <w:spacing w:before="74"/>
        <w:ind w:left="270" w:right="2"/>
        <w:jc w:val="both"/>
      </w:pPr>
      <w:r>
        <w:rPr/>
        <w:t>Various researchers have taken an interest in studying the ergonomic conditions under which laparoscopic surgeons work. Park, Lee, Seagull, Meenahgan &amp; Dexter realized a series of interviews to laparoscopic surgeons on 2012 and confirmed that 86.9% reported incomfort associated with bad postures in neck, back and upper limbs, only 58.7%  indicated taking preventive measures [1]. A considerable amount of surgeons suffers from problems of ergonomic nature caused by their profession, and it is worrying that only just over half are aware of the problem and doing something about</w:t>
      </w:r>
      <w:r>
        <w:rPr>
          <w:spacing w:val="-4"/>
        </w:rPr>
        <w:t> </w:t>
      </w:r>
      <w:r>
        <w:rPr/>
        <w:t>it.</w:t>
      </w:r>
    </w:p>
    <w:p>
      <w:pPr>
        <w:pStyle w:val="BodyText"/>
        <w:ind w:left="270" w:right="1" w:firstLine="426"/>
        <w:jc w:val="both"/>
      </w:pPr>
      <w:r>
        <w:rPr/>
        <w:t>Veelen, Nedorlog, Goossens, Schot, &amp; Jakimowicz (2003) mention that the main problems of physical discomfort and their causes in minimally invasive surgery  are the following: neck problems when the monitor is not in the surgeon's field of view; shoulder problems due to the manipulation of instruments and the height of the operating table; hand problems by use of the clamp, ratchet, endoscope and handle of instruments; back problems due to incorrect positioning of the camera; and finally, foot problems caused by the use of the pedal. They also mention that there are problems of action, perception and cognition, and these are caused by the positioning of equipment and staff, work clothes, limited space and the limited reach of laparoscopic instruments, which emphasizes that a new design approach for instruments used in these procedures is needed</w:t>
      </w:r>
      <w:r>
        <w:rPr>
          <w:spacing w:val="-23"/>
        </w:rPr>
        <w:t> </w:t>
      </w:r>
      <w:r>
        <w:rPr/>
        <w:t>[2].</w:t>
      </w:r>
    </w:p>
    <w:p>
      <w:pPr>
        <w:pStyle w:val="BodyText"/>
        <w:ind w:left="270" w:firstLine="426"/>
        <w:jc w:val="both"/>
      </w:pPr>
      <w:r>
        <w:rPr/>
        <w:t>A study by Doné, Dimartiano, Judkins &amp; Hallbeck (2004) in the United States reported that a group of 18 laparoscopic surgeons are satisfied with the laparoscopic grasper they use in surgery, however, it also indicates that these same surgeons feel discomfort and / or pain in different body parts after using the laparoscopic forceps, especially in arm / shoulder (59%), hand / wrist (53%) and neck (47%). They also indicated suffering from mental fatigue (47%), difficulty manipulating the instrument (60%), and lack of precision (47%) [3]. Again, it is shown that surgeons are aware that their profession causes them harm,  however, it can be inferred that they are adapting to their working tools when it should be the other way around.</w:t>
      </w:r>
    </w:p>
    <w:p>
      <w:pPr>
        <w:pStyle w:val="BodyText"/>
        <w:spacing w:before="3"/>
      </w:pPr>
    </w:p>
    <w:p>
      <w:pPr>
        <w:pStyle w:val="Heading4"/>
        <w:numPr>
          <w:ilvl w:val="1"/>
          <w:numId w:val="178"/>
        </w:numPr>
        <w:tabs>
          <w:tab w:pos="572" w:val="left" w:leader="none"/>
        </w:tabs>
        <w:spacing w:line="240" w:lineRule="auto" w:before="0" w:after="0"/>
        <w:ind w:left="270" w:right="458" w:firstLine="0"/>
        <w:jc w:val="left"/>
      </w:pPr>
      <w:r>
        <w:rPr/>
        <w:t>Background in ergonomic design of laparoscopic forceps</w:t>
      </w:r>
    </w:p>
    <w:p>
      <w:pPr>
        <w:pStyle w:val="BodyText"/>
        <w:spacing w:before="9"/>
        <w:rPr>
          <w:b/>
          <w:sz w:val="19"/>
        </w:rPr>
      </w:pPr>
    </w:p>
    <w:p>
      <w:pPr>
        <w:pStyle w:val="BodyText"/>
        <w:spacing w:before="1"/>
        <w:ind w:left="270" w:right="1"/>
        <w:jc w:val="both"/>
      </w:pPr>
      <w:r>
        <w:rPr/>
        <w:t>Many studies and proposals have been made in the design of laparoscopic graspers. In terms of function, Minor, Ordorica, Vazquez &amp; Ortiz (2013) tested their hypothesis to reduce muscle stress in the hands through a functional modification to grasper. They changed it so that the tip of the gripper remains closed, thereby reducing the number of movements and digital force applied by hands [4]. They tested their hypothesis by comparing and transfer and suture using the conventional tool and the ergonomic tool.</w:t>
      </w:r>
    </w:p>
    <w:p>
      <w:pPr>
        <w:pStyle w:val="BodyText"/>
        <w:ind w:left="270" w:right="2" w:firstLine="426"/>
        <w:jc w:val="both"/>
      </w:pPr>
      <w:r>
        <w:rPr/>
        <w:t>The shape of the handle of laparoscopic tools has also been subject to experimentation. In 2004 Trejo, Jung, Oleynikov, &amp; Hallbeck designed a prototype of the tool’s handle utilizing user-centered design. As for the form, they focused on improving wrist postures and reducing pressure points on the hand; in terms of function, they added a  rotary</w:t>
      </w:r>
    </w:p>
    <w:p>
      <w:pPr>
        <w:pStyle w:val="BodyText"/>
        <w:spacing w:before="74"/>
        <w:ind w:left="270" w:right="677"/>
        <w:jc w:val="both"/>
      </w:pPr>
      <w:r>
        <w:rPr/>
        <w:br w:type="column"/>
      </w:r>
      <w:r>
        <w:rPr/>
        <w:t>dial on the handle that allows you to rotate the tip of the grasper intuitively. This prototype tool was called "intui- tool". 58% of surgeons who tested the handle indicated that it may help reduce wrist pain while operating [5]. Subsequently Judkins, DiMartino, Doné, Hallbeck &amp; Oleynikov (2004) made a comparative study with 40 subjects without user experience with this tool. 39 of the subjects preferred the use of the Intui-tool over conventional graspers with scissor grip. A reduced angle of flexion and ulnar deviation of the wrist could also be observed [6].</w:t>
      </w:r>
    </w:p>
    <w:p>
      <w:pPr>
        <w:pStyle w:val="BodyText"/>
        <w:ind w:left="270" w:right="676" w:firstLine="426"/>
        <w:jc w:val="both"/>
      </w:pPr>
      <w:r>
        <w:rPr/>
        <w:t>On the other hand, Manukyan, Waseda, Inaki, Torres, Gacek, Rudinski and Buess (2010) experimented by making changes in the tip of the tool. The conventional tip is straight, and they compared it with a prototype with a  curved tip. The results showed that the curved tip significantly reduces muscular tension on the upper limb, and requires less handling movements</w:t>
      </w:r>
      <w:r>
        <w:rPr>
          <w:spacing w:val="-19"/>
        </w:rPr>
        <w:t> </w:t>
      </w:r>
      <w:r>
        <w:rPr/>
        <w:t>[7].</w:t>
      </w:r>
    </w:p>
    <w:p>
      <w:pPr>
        <w:pStyle w:val="BodyText"/>
        <w:ind w:left="270" w:right="676" w:firstLine="426"/>
        <w:jc w:val="both"/>
      </w:pPr>
      <w:r>
        <w:rPr/>
        <w:t>In 2010 Loring &amp; Lemieux reported on the redesign of laparoscopic forceps using methods of user-centered design. They began with observations and interviews; found that surgeons used the same tool with different types of grips to meet their needs or differences in anthropometry [8]. The final design includes the following features: A handle that allows grips with the finger rings or the palm, a curved handle to eliminate pressure points in palmar surface, a ratchet easier to adjust and release, a larger knob with ridges to improve adherence and allow its use with various sized hands and mountable plastic ring to adjust the handle surgeons with small hands.</w:t>
      </w:r>
    </w:p>
    <w:p>
      <w:pPr>
        <w:pStyle w:val="BodyText"/>
        <w:ind w:left="270" w:right="674" w:firstLine="450"/>
        <w:jc w:val="both"/>
      </w:pPr>
      <w:r>
        <w:rPr/>
        <w:t>In 2013 Sancibrian, Gutierrez, Tower, González, Redondo &amp; Palazuelos made an ergonomic evaluation of a grasper with a handle designed based on ergonomic principles. The prototype would see improved comfort by reducing pressure points on the hand and inadequate wrist postures. After several simulated tests comparing the prototype vs a commercial handle, improvements were  tested subjectively by using questionnaires about pain and preference of use. There was also objective evidence of goniometry, in which the prototype handle showed improvements in angles of flexion / extension, deviation and supination of the wrist. In electromyography tests, however, the prototype handle required more muscular effort during use</w:t>
      </w:r>
      <w:r>
        <w:rPr>
          <w:spacing w:val="-1"/>
        </w:rPr>
        <w:t> </w:t>
      </w:r>
      <w:r>
        <w:rPr/>
        <w:t>[9].</w:t>
      </w:r>
    </w:p>
    <w:p>
      <w:pPr>
        <w:pStyle w:val="BodyText"/>
        <w:spacing w:before="2"/>
      </w:pPr>
    </w:p>
    <w:p>
      <w:pPr>
        <w:pStyle w:val="Heading4"/>
        <w:numPr>
          <w:ilvl w:val="0"/>
          <w:numId w:val="177"/>
        </w:numPr>
        <w:tabs>
          <w:tab w:pos="471" w:val="left" w:leader="none"/>
        </w:tabs>
        <w:spacing w:line="240" w:lineRule="auto" w:before="0" w:after="0"/>
        <w:ind w:left="470" w:right="0" w:hanging="200"/>
        <w:jc w:val="both"/>
      </w:pPr>
      <w:r>
        <w:rPr/>
        <w:t>PROPOSED</w:t>
      </w:r>
      <w:r>
        <w:rPr>
          <w:spacing w:val="-16"/>
        </w:rPr>
        <w:t> </w:t>
      </w:r>
      <w:r>
        <w:rPr/>
        <w:t>METHODOLOGY</w:t>
      </w:r>
    </w:p>
    <w:p>
      <w:pPr>
        <w:pStyle w:val="BodyText"/>
        <w:spacing w:before="9"/>
        <w:rPr>
          <w:b/>
          <w:sz w:val="19"/>
        </w:rPr>
      </w:pPr>
    </w:p>
    <w:p>
      <w:pPr>
        <w:pStyle w:val="BodyText"/>
        <w:spacing w:before="1"/>
        <w:ind w:left="270" w:right="676"/>
        <w:jc w:val="both"/>
      </w:pPr>
      <w:r>
        <w:rPr/>
        <w:t>An important aspect to be explored in this research is the relation that exists between the design of the laparoscopic grasper and the ergonomic risk factors affecting the user. There are several factors that rise the risk of musculoskeletal symptoms presenting, but for this paper, only  those elements of design that directly affect the upper limb will be addressed. Posture, force exertion and discomfort in the upper limb will be</w:t>
      </w:r>
      <w:r>
        <w:rPr>
          <w:spacing w:val="-12"/>
        </w:rPr>
        <w:t> </w:t>
      </w:r>
      <w:r>
        <w:rPr/>
        <w:t>evaluated.</w:t>
      </w:r>
    </w:p>
    <w:p>
      <w:pPr>
        <w:pStyle w:val="BodyText"/>
        <w:ind w:left="270" w:right="676" w:firstLine="426"/>
        <w:jc w:val="both"/>
      </w:pPr>
      <w:r>
        <w:rPr/>
        <w:t>A cuasi-experimental study was proposed, in which the researcher will modify physical aspects of the laparoscopic grasper to compare the preferred tool actually used in public hospitals with an ergonomic prototype.</w:t>
      </w:r>
    </w:p>
    <w:p>
      <w:pPr>
        <w:spacing w:after="0"/>
        <w:jc w:val="both"/>
        <w:sectPr>
          <w:type w:val="continuous"/>
          <w:pgSz w:w="12240" w:h="15840"/>
          <w:pgMar w:top="1500" w:bottom="280" w:left="580" w:right="220"/>
          <w:cols w:num="2" w:equalWidth="0">
            <w:col w:w="5193" w:space="432"/>
            <w:col w:w="5815"/>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4"/>
        <w:ind w:left="270" w:firstLine="450"/>
        <w:jc w:val="both"/>
      </w:pPr>
      <w:r>
        <w:rPr/>
        <w:t>24 subjects that have no previous experience with laparoscopic tools will be randomly recruited for the experimental simulation. Each subject will test both the actual tool and the ergonomic prototype in different occasions. Counterbalance will be used in the presentation of the tools. The experimental setup consists of a home-made laparoscopic training station, with an interior camera aiming at a game of pegs and rings. The camera is connected to an LCD monitor in which the subject will observe and follow a series of steps to complete an exercise with the pegs and  rings using the laparoscopic grasper. An outer camera will be used to record the postures of the upper</w:t>
      </w:r>
      <w:r>
        <w:rPr>
          <w:spacing w:val="-21"/>
        </w:rPr>
        <w:t> </w:t>
      </w:r>
      <w:r>
        <w:rPr/>
        <w:t>limb.</w:t>
      </w:r>
    </w:p>
    <w:p>
      <w:pPr>
        <w:pStyle w:val="BodyText"/>
        <w:ind w:left="270" w:firstLine="450"/>
        <w:jc w:val="both"/>
      </w:pPr>
      <w:r>
        <w:rPr/>
        <w:t>After completing the exercise, each subject will be handed a questionnaire to evaluate perceived effort and inconformity using a 10-point simple rating scale. Additionally, they will be asked to point out specific parts in their hand where they felt pain or inconformity using a diagram of the hand.</w:t>
      </w:r>
    </w:p>
    <w:p>
      <w:pPr>
        <w:pStyle w:val="BodyText"/>
        <w:ind w:left="270" w:firstLine="450"/>
        <w:jc w:val="both"/>
      </w:pPr>
      <w:r>
        <w:rPr/>
        <w:t>For the postural analysis of the wrist, flexion, extension and deviation will be rated from very good if perfectly neutral to very bad if extreme, depending on the angle observed by the</w:t>
      </w:r>
      <w:r>
        <w:rPr>
          <w:spacing w:val="-9"/>
        </w:rPr>
        <w:t> </w:t>
      </w:r>
      <w:r>
        <w:rPr/>
        <w:t>evaluator.</w:t>
      </w:r>
    </w:p>
    <w:p>
      <w:pPr>
        <w:pStyle w:val="BodyText"/>
        <w:ind w:left="270" w:right="1" w:firstLine="450"/>
        <w:jc w:val="both"/>
      </w:pPr>
      <w:r>
        <w:rPr/>
        <w:t>A Wilcoxon test will be used to compare the mean value of the dependent variables (inconformity, perceived effort, and posture) of both laparoscopic graspers. A significate difference (p=.05) will prove the hypothesis correct.</w:t>
      </w:r>
    </w:p>
    <w:p>
      <w:pPr>
        <w:pStyle w:val="BodyText"/>
        <w:spacing w:before="2"/>
      </w:pPr>
    </w:p>
    <w:p>
      <w:pPr>
        <w:pStyle w:val="Heading4"/>
        <w:numPr>
          <w:ilvl w:val="0"/>
          <w:numId w:val="177"/>
        </w:numPr>
        <w:tabs>
          <w:tab w:pos="471" w:val="left" w:leader="none"/>
        </w:tabs>
        <w:spacing w:line="240" w:lineRule="auto" w:before="0" w:after="0"/>
        <w:ind w:left="470" w:right="0" w:hanging="200"/>
        <w:jc w:val="both"/>
      </w:pPr>
      <w:r>
        <w:rPr/>
        <w:t>DISCUSSION</w:t>
      </w:r>
    </w:p>
    <w:p>
      <w:pPr>
        <w:pStyle w:val="BodyText"/>
        <w:spacing w:before="8"/>
        <w:rPr>
          <w:b/>
          <w:sz w:val="19"/>
        </w:rPr>
      </w:pPr>
    </w:p>
    <w:p>
      <w:pPr>
        <w:pStyle w:val="BodyText"/>
        <w:ind w:left="270" w:right="1"/>
        <w:jc w:val="both"/>
      </w:pPr>
      <w:r>
        <w:rPr/>
        <w:t>This study consists of an experimental design to ergonomically improve the handle of a laparoscopic forceps, but many other factors like the position of the patient or the monitor may vary because of differences in procedures or limited spaces in the operation room.</w:t>
      </w:r>
    </w:p>
    <w:p>
      <w:pPr>
        <w:pStyle w:val="BodyText"/>
        <w:ind w:left="270" w:firstLine="426"/>
        <w:jc w:val="both"/>
      </w:pPr>
      <w:r>
        <w:rPr/>
        <w:t>During open surgery, the surgeon can observe directly his work, and the main ergonomic concerns are exposure and illumination. In laparoscopic surgery, the surgeon does not observe his field of work in a natural way because his sight   is focused on a monitor that depends on a camera controlled by an assisting surgeon. This makes that the main surgeon’s tasks require more time and better hand-sight coordination. Additional to this, the biomechanics of use of laparoscopic tools changes considerably because there is a fulcrum point present in the trocars inserted in the abdominal cavity, limiting their mobility and requiring a handle with different controls.</w:t>
      </w:r>
    </w:p>
    <w:p>
      <w:pPr>
        <w:pStyle w:val="BodyText"/>
        <w:ind w:left="270" w:firstLine="426"/>
        <w:jc w:val="both"/>
      </w:pPr>
      <w:r>
        <w:rPr/>
        <w:t>Surgery is usually performed while standing, and this makes the surgeon prone to adopt non-neutral postures, which cause fatigue. Laparoscopic surgery improves this point in some procedures which require the surgeon to be inclined to approach the work area. With the help of a monitor, the surgeon can now work with his back straight. However, the monitor position, height of the operating table, and incorrect positioning of the surgeon can create postural problems.</w:t>
      </w:r>
    </w:p>
    <w:p>
      <w:pPr>
        <w:pStyle w:val="BodyText"/>
        <w:ind w:left="270" w:firstLine="426"/>
        <w:jc w:val="both"/>
      </w:pPr>
      <w:r>
        <w:rPr/>
        <w:t>The operating room environment is also very important. Space has to be optimal, and lighting, wiring, sanitation, staff</w:t>
      </w:r>
    </w:p>
    <w:p>
      <w:pPr>
        <w:pStyle w:val="BodyText"/>
        <w:spacing w:before="74"/>
        <w:ind w:left="270" w:right="677"/>
        <w:jc w:val="both"/>
      </w:pPr>
      <w:r>
        <w:rPr/>
        <w:br w:type="column"/>
      </w:r>
      <w:r>
        <w:rPr/>
        <w:t>movement and working space have to be taken into account. Laparoscopy requires more devices, which occupies more space in the operating room.</w:t>
      </w:r>
    </w:p>
    <w:p>
      <w:pPr>
        <w:pStyle w:val="BodyText"/>
        <w:ind w:left="270" w:right="676" w:firstLine="426"/>
        <w:jc w:val="both"/>
      </w:pPr>
      <w:r>
        <w:rPr/>
        <w:t>Given the complexity of laparoscopic operations, this study will focus only on the ergonomic optimization of the grip areas of the laparoscopic grasper, leaving the other factors of the ergonomic system for further studies.</w:t>
      </w:r>
    </w:p>
    <w:p>
      <w:pPr>
        <w:pStyle w:val="BodyText"/>
        <w:spacing w:before="2"/>
      </w:pPr>
    </w:p>
    <w:p>
      <w:pPr>
        <w:pStyle w:val="Heading4"/>
        <w:numPr>
          <w:ilvl w:val="0"/>
          <w:numId w:val="177"/>
        </w:numPr>
        <w:tabs>
          <w:tab w:pos="471" w:val="left" w:leader="none"/>
        </w:tabs>
        <w:spacing w:line="240" w:lineRule="auto" w:before="0" w:after="0"/>
        <w:ind w:left="470" w:right="0" w:hanging="200"/>
        <w:jc w:val="both"/>
      </w:pPr>
      <w:r>
        <w:rPr/>
        <w:t>REFERENCES</w:t>
      </w:r>
    </w:p>
    <w:p>
      <w:pPr>
        <w:pStyle w:val="BodyText"/>
        <w:spacing w:before="8"/>
        <w:rPr>
          <w:b/>
          <w:sz w:val="19"/>
        </w:rPr>
      </w:pPr>
    </w:p>
    <w:p>
      <w:pPr>
        <w:pStyle w:val="BodyText"/>
        <w:ind w:left="270"/>
        <w:jc w:val="both"/>
      </w:pPr>
      <w:r>
        <w:rPr/>
        <w:t>[1] Park, A., Lee, G., Seagull, F., Meenahgan N. &amp;   Dexter,</w:t>
      </w:r>
    </w:p>
    <w:p>
      <w:pPr>
        <w:spacing w:before="0"/>
        <w:ind w:left="270" w:right="677" w:firstLine="0"/>
        <w:jc w:val="both"/>
        <w:rPr>
          <w:i/>
          <w:sz w:val="20"/>
        </w:rPr>
      </w:pPr>
      <w:r>
        <w:rPr>
          <w:sz w:val="20"/>
        </w:rPr>
        <w:t>D. (2008). Patients benefit while surgeons suffer: an impending epidemic. </w:t>
      </w:r>
      <w:r>
        <w:rPr>
          <w:i/>
          <w:sz w:val="20"/>
        </w:rPr>
        <w:t>American College of Surgeons 94th </w:t>
      </w:r>
      <w:r>
        <w:rPr>
          <w:i/>
          <w:sz w:val="20"/>
        </w:rPr>
        <w:t>clinical congress.</w:t>
      </w:r>
    </w:p>
    <w:p>
      <w:pPr>
        <w:pStyle w:val="BodyText"/>
        <w:ind w:left="270" w:right="676"/>
        <w:jc w:val="both"/>
      </w:pPr>
      <w:r>
        <w:rPr/>
        <w:t>[2] Veelen, M., Nedorlog, E., Goossens, R., Schot, C. &amp; Jakimowicz, J. (2003). Ergonomic problems encountered by the medical team related to products used for minimally invasive surgery. </w:t>
      </w:r>
      <w:r>
        <w:rPr>
          <w:i/>
        </w:rPr>
        <w:t>Surgical Endoscopy 17</w:t>
      </w:r>
      <w:r>
        <w:rPr/>
        <w:t>, 1077-1081.</w:t>
      </w:r>
    </w:p>
    <w:p>
      <w:pPr>
        <w:spacing w:before="0"/>
        <w:ind w:left="270" w:right="675" w:firstLine="0"/>
        <w:jc w:val="both"/>
        <w:rPr>
          <w:i/>
          <w:sz w:val="20"/>
        </w:rPr>
      </w:pPr>
      <w:r>
        <w:rPr>
          <w:sz w:val="20"/>
        </w:rPr>
        <w:t>[3] Doné, K., Dimartiano, A., Judkins, T. &amp; Hallbeck, S. (2004) Evaluation of laparoscopic tools for usability and confort. </w:t>
      </w:r>
      <w:r>
        <w:rPr>
          <w:i/>
          <w:sz w:val="20"/>
        </w:rPr>
        <w:t>Proceedings of the Human Factors and Ergonomics </w:t>
      </w:r>
      <w:r>
        <w:rPr>
          <w:i/>
          <w:sz w:val="20"/>
        </w:rPr>
        <w:t>Society 48th Annual Meeting.</w:t>
      </w:r>
    </w:p>
    <w:p>
      <w:pPr>
        <w:pStyle w:val="BodyText"/>
        <w:ind w:left="270" w:right="677"/>
        <w:jc w:val="both"/>
      </w:pPr>
      <w:r>
        <w:rPr/>
        <w:t>[4] Minor, A., Ordorica, R., Vázquez, A. &amp; Ortiz, J. (2013). Preliminary analysis of a new ergonomic system for surgical instruments used in laparoscopy. </w:t>
      </w:r>
      <w:r>
        <w:rPr>
          <w:i/>
        </w:rPr>
        <w:t>Journal of Surgery 2 </w:t>
      </w:r>
      <w:r>
        <w:rPr/>
        <w:t>(2), 28-31.</w:t>
      </w:r>
    </w:p>
    <w:p>
      <w:pPr>
        <w:spacing w:before="0"/>
        <w:ind w:left="270" w:right="675" w:firstLine="0"/>
        <w:jc w:val="both"/>
        <w:rPr>
          <w:i/>
          <w:sz w:val="20"/>
        </w:rPr>
      </w:pPr>
      <w:r>
        <w:rPr>
          <w:sz w:val="20"/>
        </w:rPr>
        <w:t>[5] Trejo , A., Jung, M., Oleynikov, D. &amp; Hallbeck, M. (2004). Evaluation of a Surgeon-Centered Laparoscopic  Tool Design to Conventional Tools. </w:t>
      </w:r>
      <w:r>
        <w:rPr>
          <w:i/>
          <w:sz w:val="20"/>
        </w:rPr>
        <w:t>Proceedings of the </w:t>
      </w:r>
      <w:r>
        <w:rPr>
          <w:i/>
          <w:sz w:val="20"/>
        </w:rPr>
        <w:t>Human Factors and Ergonomics Society 49th Annual Meeting.</w:t>
      </w:r>
    </w:p>
    <w:p>
      <w:pPr>
        <w:spacing w:before="0"/>
        <w:ind w:left="270" w:right="676" w:firstLine="0"/>
        <w:jc w:val="both"/>
        <w:rPr>
          <w:i/>
          <w:sz w:val="20"/>
        </w:rPr>
      </w:pPr>
      <w:r>
        <w:rPr>
          <w:sz w:val="20"/>
        </w:rPr>
        <w:t>[6] Judkins, T., DiMartino, A., Doné, K., Hallbeck, M &amp; Oleynikov, D. (2004) Effecto of handle design and target location on wrist posture during aiming with a laparoscopic tool. </w:t>
      </w:r>
      <w:r>
        <w:rPr>
          <w:i/>
          <w:sz w:val="20"/>
        </w:rPr>
        <w:t>Proceedings of the Human Factors and Ergonomics </w:t>
      </w:r>
      <w:r>
        <w:rPr>
          <w:i/>
          <w:sz w:val="20"/>
        </w:rPr>
        <w:t>Society 48th Annual Meeting.</w:t>
      </w:r>
    </w:p>
    <w:p>
      <w:pPr>
        <w:pStyle w:val="BodyText"/>
        <w:ind w:left="270" w:right="675"/>
        <w:jc w:val="both"/>
      </w:pPr>
      <w:r>
        <w:rPr/>
        <w:t>[7] Manukyan, G., Waseda, M., Inaki, N., Torres, J., Gacek, I., Rudinski, A. &amp; Buess, G. (2007). Ergonomics with the use of Curved Versus Straight Laparoscopic Graspers  During Rectosigmoid Resection: Results of a Multiple Comparative Study. </w:t>
      </w:r>
      <w:r>
        <w:rPr>
          <w:i/>
        </w:rPr>
        <w:t>Surgical Endoscopy 21</w:t>
      </w:r>
      <w:r>
        <w:rPr/>
        <w:t>,</w:t>
      </w:r>
      <w:r>
        <w:rPr>
          <w:spacing w:val="-30"/>
        </w:rPr>
        <w:t> </w:t>
      </w:r>
      <w:r>
        <w:rPr/>
        <w:t>1079-1089.</w:t>
      </w:r>
    </w:p>
    <w:p>
      <w:pPr>
        <w:spacing w:before="0"/>
        <w:ind w:left="270" w:right="679" w:firstLine="0"/>
        <w:jc w:val="both"/>
        <w:rPr>
          <w:sz w:val="20"/>
        </w:rPr>
      </w:pPr>
      <w:r>
        <w:rPr>
          <w:sz w:val="20"/>
        </w:rPr>
        <w:t>[8] Loring, B. &amp; Lemiuex, E. (2010). User research improves laparoscopic instruments. </w:t>
      </w:r>
      <w:r>
        <w:rPr>
          <w:i/>
          <w:sz w:val="20"/>
        </w:rPr>
        <w:t>Ergonomics in design: </w:t>
      </w:r>
      <w:r>
        <w:rPr>
          <w:i/>
          <w:sz w:val="20"/>
        </w:rPr>
        <w:t>the quarterly of human factors aplications 18 (1)</w:t>
      </w:r>
      <w:r>
        <w:rPr>
          <w:sz w:val="20"/>
        </w:rPr>
        <w:t>, 18-23.</w:t>
      </w:r>
    </w:p>
    <w:p>
      <w:pPr>
        <w:pStyle w:val="BodyText"/>
        <w:ind w:left="270" w:right="676"/>
        <w:jc w:val="both"/>
      </w:pPr>
      <w:r>
        <w:rPr/>
        <w:t>[9] Sancibrian, R., Gutierrez, M., Torre, C., González, B., Redondo, J. &amp; Palazuelos, J. (2014) Design and evaluation of a new ergonomic handle for instruments used in minimally invasive surgery. </w:t>
      </w:r>
      <w:r>
        <w:rPr>
          <w:i/>
        </w:rPr>
        <w:t>Journal of surgical research </w:t>
      </w:r>
      <w:r>
        <w:rPr>
          <w:i/>
        </w:rPr>
        <w:t>188 </w:t>
      </w:r>
      <w:r>
        <w:rPr/>
        <w:t>(1), 1-12.</w:t>
      </w:r>
    </w:p>
    <w:p>
      <w:pPr>
        <w:pStyle w:val="BodyText"/>
      </w:pPr>
    </w:p>
    <w:p>
      <w:pPr>
        <w:pStyle w:val="BodyText"/>
        <w:spacing w:before="10"/>
        <w:rPr>
          <w:sz w:val="19"/>
        </w:rPr>
      </w:pPr>
    </w:p>
    <w:p>
      <w:pPr>
        <w:spacing w:before="0"/>
        <w:ind w:left="270" w:right="675" w:firstLine="0"/>
        <w:jc w:val="both"/>
        <w:rPr>
          <w:sz w:val="16"/>
        </w:rPr>
      </w:pPr>
      <w:r>
        <w:rPr>
          <w:b/>
          <w:sz w:val="16"/>
        </w:rPr>
        <w:t>Juan Carlos Garza Escamilla: </w:t>
      </w:r>
      <w:r>
        <w:rPr>
          <w:sz w:val="16"/>
        </w:rPr>
        <w:t>Industrial Designer, graduated in 2011 from the Monterrey Institute of Technology and Higher Education, Campus Monterrey. Since then, he has inclined towards ergonomics and design of medical devices, participating in several multidisciplinary university projects. In 2013 he began his studies at the University of Guadalajara for Masters degree in Ergonomics under the guidance of Dr. Rosalío Avila, who is also the coordinator of the Master of Ergonomics program and director of the Research Center</w:t>
      </w:r>
      <w:r>
        <w:rPr>
          <w:spacing w:val="-10"/>
          <w:sz w:val="16"/>
        </w:rPr>
        <w:t> </w:t>
      </w:r>
      <w:r>
        <w:rPr>
          <w:sz w:val="16"/>
        </w:rPr>
        <w:t>Ergonomics.</w:t>
      </w:r>
    </w:p>
    <w:p>
      <w:pPr>
        <w:spacing w:after="0"/>
        <w:jc w:val="both"/>
        <w:rPr>
          <w:sz w:val="16"/>
        </w:rPr>
        <w:sectPr>
          <w:type w:val="continuous"/>
          <w:pgSz w:w="12240" w:h="15840"/>
          <w:pgMar w:top="1500" w:bottom="280" w:left="580" w:right="220"/>
          <w:cols w:num="2" w:equalWidth="0">
            <w:col w:w="5190" w:space="434"/>
            <w:col w:w="5816"/>
          </w:cols>
        </w:sectPr>
      </w:pPr>
    </w:p>
    <w:p>
      <w:pPr>
        <w:pStyle w:val="BodyText"/>
        <w:spacing w:before="10"/>
        <w:rPr>
          <w:sz w:val="10"/>
        </w:rPr>
      </w:pPr>
    </w:p>
    <w:p>
      <w:pPr>
        <w:spacing w:before="79"/>
        <w:ind w:left="270" w:right="6249" w:firstLine="0"/>
        <w:jc w:val="both"/>
        <w:rPr>
          <w:sz w:val="16"/>
        </w:rPr>
      </w:pPr>
      <w:r>
        <w:rPr>
          <w:b/>
          <w:sz w:val="16"/>
        </w:rPr>
        <w:t>Rosalío Ávila Chaurand: </w:t>
      </w:r>
      <w:r>
        <w:rPr>
          <w:sz w:val="16"/>
        </w:rPr>
        <w:t>Graduate of the University of Guadalajara, Master in Industrial Design from the National Autonomous University of Mexico, and Doctorate degree in Higher Education from the University of Guadalajara. He has over 30 years of experience as a teacher and 20 years as a researcher. He was the founder of the ergonomics laboratory, the Research Center for Ergonomics, and the Master of Ergonomics program; all at the University of Guadalajara. He has also worked 20 years as a consultant and business consultant and has many national and international publications including books, book chapters, articles and conference papers in ergonomics.</w:t>
      </w:r>
    </w:p>
    <w:p>
      <w:pPr>
        <w:pStyle w:val="BodyText"/>
      </w:pPr>
    </w:p>
    <w:p>
      <w:pPr>
        <w:spacing w:before="0"/>
        <w:ind w:left="270" w:right="6250" w:firstLine="0"/>
        <w:jc w:val="both"/>
        <w:rPr>
          <w:sz w:val="16"/>
        </w:rPr>
      </w:pPr>
      <w:r>
        <w:rPr>
          <w:b/>
          <w:sz w:val="16"/>
        </w:rPr>
        <w:t>Luis Francisco Gómez Hermosillo: </w:t>
      </w:r>
      <w:r>
        <w:rPr>
          <w:sz w:val="16"/>
        </w:rPr>
        <w:t>Medical surgeon and Master in Medical Sciences with orientation in surgery by the University of Guadalajara. He is the main professor of the program of specialty in laparoscopic surgery, and coordinator of the residence program for laparoscopic surgery; both programs at the University Center for Health Sciences of the University of Guadalajara.</w:t>
      </w:r>
    </w:p>
    <w:p>
      <w:pPr>
        <w:spacing w:after="0"/>
        <w:jc w:val="both"/>
        <w:rPr>
          <w:sz w:val="16"/>
        </w:rPr>
        <w:sectPr>
          <w:pgSz w:w="12240" w:h="15840"/>
          <w:pgMar w:header="545" w:footer="852" w:top="1060" w:bottom="1040" w:left="580" w:right="220"/>
        </w:sectPr>
      </w:pPr>
    </w:p>
    <w:p>
      <w:pPr>
        <w:pStyle w:val="BodyText"/>
        <w:spacing w:before="4"/>
        <w:rPr>
          <w:sz w:val="11"/>
        </w:rPr>
      </w:pPr>
    </w:p>
    <w:p>
      <w:pPr>
        <w:spacing w:after="0"/>
        <w:rPr>
          <w:sz w:val="11"/>
        </w:rPr>
        <w:sectPr>
          <w:pgSz w:w="12240" w:h="15840"/>
          <w:pgMar w:header="545" w:footer="852" w:top="1060" w:bottom="1040" w:left="580" w:right="220"/>
        </w:sectPr>
      </w:pPr>
    </w:p>
    <w:p>
      <w:pPr>
        <w:pStyle w:val="Heading1"/>
        <w:spacing w:before="77"/>
        <w:ind w:right="1"/>
      </w:pPr>
      <w:r>
        <w:rPr/>
        <w:t>Comparative study of the risk of back pain in children from caborca, mexico, a leading cause of burden of school supplies at two moments, fall 2009 and fall 2014.</w:t>
      </w:r>
    </w:p>
    <w:p>
      <w:pPr>
        <w:pStyle w:val="BodyText"/>
        <w:spacing w:before="5"/>
        <w:rPr>
          <w:b/>
          <w:sz w:val="23"/>
        </w:rPr>
      </w:pPr>
    </w:p>
    <w:p>
      <w:pPr>
        <w:pStyle w:val="BodyText"/>
        <w:spacing w:line="213" w:lineRule="auto"/>
        <w:ind w:left="494" w:right="223" w:firstLine="1"/>
        <w:jc w:val="center"/>
        <w:rPr>
          <w:sz w:val="13"/>
        </w:rPr>
      </w:pPr>
      <w:r>
        <w:rPr/>
        <w:t>Jesús Rodolfo Guzmán Hernandez</w:t>
      </w:r>
      <w:r>
        <w:rPr>
          <w:position w:val="9"/>
          <w:sz w:val="13"/>
        </w:rPr>
        <w:t>1</w:t>
      </w:r>
      <w:r>
        <w:rPr/>
        <w:t>, Joaquín Vásquez Quiroga</w:t>
      </w:r>
      <w:r>
        <w:rPr>
          <w:position w:val="9"/>
          <w:sz w:val="13"/>
        </w:rPr>
        <w:t>1</w:t>
      </w:r>
      <w:r>
        <w:rPr/>
        <w:t>, Ramón Arturo Vega Robles</w:t>
      </w:r>
      <w:r>
        <w:rPr>
          <w:position w:val="9"/>
          <w:sz w:val="13"/>
        </w:rPr>
        <w:t>1</w:t>
      </w:r>
      <w:r>
        <w:rPr/>
        <w:t>, Martin Cadena Badilla</w:t>
      </w:r>
      <w:r>
        <w:rPr>
          <w:position w:val="9"/>
          <w:sz w:val="13"/>
        </w:rPr>
        <w:t>1</w:t>
      </w:r>
    </w:p>
    <w:p>
      <w:pPr>
        <w:pStyle w:val="BodyText"/>
        <w:spacing w:before="5"/>
        <w:ind w:left="271" w:right="1"/>
        <w:jc w:val="center"/>
      </w:pPr>
      <w:r>
        <w:rPr/>
        <w:t>Industrial Engineering Program, Sonora University Campus Caborca, Caborca, Sonora, México. </w:t>
      </w:r>
      <w:hyperlink r:id="rId794">
        <w:r>
          <w:rPr/>
          <w:t>rguzman@caborca.uson.mx,</w:t>
        </w:r>
      </w:hyperlink>
      <w:r>
        <w:rPr/>
        <w:t> </w:t>
      </w:r>
      <w:hyperlink r:id="rId46">
        <w:r>
          <w:rPr/>
          <w:t>jovaqui@caborca.uson.mx</w:t>
        </w:r>
      </w:hyperlink>
      <w:r>
        <w:rPr/>
        <w:t> </w:t>
      </w:r>
      <w:hyperlink r:id="rId795">
        <w:r>
          <w:rPr/>
          <w:t>avega@caborca.uson.mx,</w:t>
        </w:r>
      </w:hyperlink>
      <w:r>
        <w:rPr/>
        <w:t> </w:t>
      </w:r>
      <w:hyperlink r:id="rId796">
        <w:r>
          <w:rPr/>
          <w:t>mcadena@guaymas.uson.mx</w:t>
        </w:r>
      </w:hyperlink>
    </w:p>
    <w:p>
      <w:pPr>
        <w:pStyle w:val="BodyText"/>
      </w:pPr>
    </w:p>
    <w:p>
      <w:pPr>
        <w:pStyle w:val="BodyText"/>
        <w:spacing w:before="1"/>
        <w:ind w:left="270"/>
        <w:jc w:val="both"/>
      </w:pPr>
      <w:r>
        <w:rPr/>
        <w:t>RESUMEN</w:t>
      </w:r>
    </w:p>
    <w:p>
      <w:pPr>
        <w:pStyle w:val="BodyText"/>
        <w:spacing w:before="11"/>
        <w:rPr>
          <w:sz w:val="19"/>
        </w:rPr>
      </w:pPr>
    </w:p>
    <w:p>
      <w:pPr>
        <w:pStyle w:val="BodyText"/>
        <w:ind w:left="270"/>
        <w:jc w:val="both"/>
      </w:pPr>
      <w:r>
        <w:rPr/>
        <w:t>La incidencia de dolor de espalda en los adultos es un problema de salud reconocido a nivel mundial y, se acepta, que este padecimiento tiene su origen en la infancia,  asociado en primera instancia con las características de la persona seguidas de los factores presentes en el entorno escolar. Algunos autores señalan que el dolor de espalda en niños aumenta con el incremento en la carga de las mochilas escolares. El objetivo del presente trabajo fue analizar si se  ha dado un cambio en el riesgo de sufrir dolor espalda a causa del peso de la carga de mochilas escolares en los niños de las escuelas públicas de nivel básico de la ciudad de Caborca, México, entre los resultados de la investigación realizada en 2009 con otra, similar, realizada en otoño de 2014. El análisis de los datos arrojo los siguientes resultados: Con el criterio de peso de la mochila 15 % del peso corporal como límite máximo recomendado se estima, con un 95% de confianza, que entre 31.1 y 41.6% de los alumnos en 2014, cargan una mochila por encima de este límite y al plantear una prueba de hipótesis para la diferencia con la información obtenida en 2009 que era de 18.49% podemos afirmar que se incrementó fuertemente la proporción de niños que cargan  un peso mayor del límite máximo recomendado (p=0.000).  Si el criterio para el límite máximo se toma, peso de mochila 10% del peso corporal,  con 95% se estima que entre 70.7  </w:t>
      </w:r>
      <w:r>
        <w:rPr>
          <w:spacing w:val="23"/>
        </w:rPr>
        <w:t> </w:t>
      </w:r>
      <w:r>
        <w:rPr/>
        <w:t>y</w:t>
      </w:r>
    </w:p>
    <w:p>
      <w:pPr>
        <w:pStyle w:val="BodyText"/>
        <w:ind w:left="270"/>
        <w:jc w:val="both"/>
      </w:pPr>
      <w:r>
        <w:rPr/>
        <w:t>80.2 % de los niños en 2014 cargan un peso mayor en sus mochilas, lo cual comparado con lo arrojado en 2009 que era de 52.9% podemos afirmar que la proporción de niños actualmente cargan un peso mayor que hace 5 años (p=0.000). En 2014 el número mayor de casos con  sobrecarga fue para las edades de 6, 7 y 8 años y disminuye progresivamente para más edad. Por otra parte no existe diferencia en la proporción de hombres  que  cargan sobrepeso en mochilas al que presentan las mujeres (p = 0.237).</w:t>
      </w:r>
    </w:p>
    <w:p>
      <w:pPr>
        <w:pStyle w:val="BodyText"/>
        <w:spacing w:before="11"/>
        <w:rPr>
          <w:sz w:val="19"/>
        </w:rPr>
      </w:pPr>
    </w:p>
    <w:p>
      <w:pPr>
        <w:pStyle w:val="BodyText"/>
        <w:spacing w:line="489" w:lineRule="auto"/>
        <w:ind w:left="270" w:right="483"/>
      </w:pPr>
      <w:r>
        <w:rPr/>
        <w:t>Palabras claves: dolor de espalda, niños, peso mochilas SUMMARY</w:t>
      </w:r>
    </w:p>
    <w:p>
      <w:pPr>
        <w:pStyle w:val="BodyText"/>
        <w:spacing w:before="60"/>
        <w:ind w:left="270"/>
        <w:jc w:val="both"/>
      </w:pPr>
      <w:r>
        <w:rPr/>
        <w:t>The incidence of back pain in adults is a health problem recognized at the global level, and it is accepted that this condition has its origins in infancy, relating in first with   the</w:t>
      </w:r>
    </w:p>
    <w:p>
      <w:pPr>
        <w:pStyle w:val="BodyText"/>
        <w:spacing w:before="74"/>
        <w:ind w:left="270" w:right="676"/>
        <w:jc w:val="both"/>
      </w:pPr>
      <w:r>
        <w:rPr/>
        <w:br w:type="column"/>
      </w:r>
      <w:r>
        <w:rPr/>
        <w:t>characteristics of the person followed by factors present in the school environment. Some authors point out that the  back pain in children increases with the increase in the burden of the school bags. The aim of this study was to examine whether there has been a change in the risk of back pain from the weight of the burden of school bags on children in public elementary schools of the city of Caborca, Mexico, among results of research conducted in 2009 with another, similar, conducted in autumn 2014. The analysis of the data gave the following results: With the criterion of weight of the backpack 15 per cent of body weight as maximum recommended limit, is estimated, with a 95% confidence between 31.1 and 41.6 % of the students  in 2014, loaded a backpack above this limit and the hypothesis test for the difference with the 18.49% obtained in 2009, say us there is a strongly increasing the proportion of children who load greater weight of the maximum recommended limit (p=0.000). In 2014, the largest number of cases with overload is for ages 6, 7 and 8 years old, and gradually is reduced for more age. On the other hand there is no difference in the proportion of men and women who loaded backpacks to overweight (p =</w:t>
      </w:r>
      <w:r>
        <w:rPr>
          <w:spacing w:val="-11"/>
        </w:rPr>
        <w:t> </w:t>
      </w:r>
      <w:r>
        <w:rPr/>
        <w:t>0,237).</w:t>
      </w:r>
    </w:p>
    <w:p>
      <w:pPr>
        <w:pStyle w:val="BodyText"/>
      </w:pPr>
    </w:p>
    <w:p>
      <w:pPr>
        <w:pStyle w:val="BodyText"/>
        <w:spacing w:before="1"/>
        <w:ind w:left="270"/>
        <w:jc w:val="both"/>
      </w:pPr>
      <w:r>
        <w:rPr/>
        <w:t>Key Words: back pain, children, weight backpacks</w:t>
      </w:r>
    </w:p>
    <w:p>
      <w:pPr>
        <w:pStyle w:val="BodyText"/>
        <w:spacing w:before="2"/>
      </w:pPr>
    </w:p>
    <w:p>
      <w:pPr>
        <w:pStyle w:val="Heading4"/>
        <w:spacing w:line="229" w:lineRule="exact"/>
        <w:ind w:left="321"/>
      </w:pPr>
      <w:r>
        <w:rPr/>
        <w:t>1.- INTRODUCTION</w:t>
      </w:r>
    </w:p>
    <w:p>
      <w:pPr>
        <w:pStyle w:val="BodyText"/>
        <w:ind w:left="270" w:right="676"/>
        <w:jc w:val="both"/>
      </w:pPr>
      <w:r>
        <w:rPr/>
        <w:t>It is recognized, at the global level, the high incidence of back pain in adults.  [11] Quoting Balagué F et. al, Kelsey J.</w:t>
      </w:r>
    </w:p>
    <w:p>
      <w:pPr>
        <w:pStyle w:val="BodyText"/>
        <w:ind w:left="270" w:right="675"/>
        <w:jc w:val="both"/>
      </w:pPr>
      <w:r>
        <w:rPr/>
        <w:t>K. and Nachemson A. L., points out that between 70 and 80% of the world's population has suffered at some point in their life, an episode of low back pain, also emphasizes that this problem is, in children, as big as in adults and indicates that the prevalence in children and adolescents reaches a level of 28.8 %. Similarly, [1] drew a 28.4 % of cumulative prevalence of life in school children and adolescents. [12] indicate a 35% prevalence of pain in the low back. [7] He said that in school children aged between 13 and 15 years there is a prevalence of lumbar pain of 50.9 % for boys  and</w:t>
      </w:r>
    </w:p>
    <w:p>
      <w:pPr>
        <w:pStyle w:val="BodyText"/>
        <w:ind w:left="270" w:right="675"/>
        <w:jc w:val="both"/>
      </w:pPr>
      <w:r>
        <w:rPr/>
        <w:t>69.3 per cent for girls. On the other hand [4] mentions that the high rates of prevalence of back pain among children and adolescents has been demonstrated in several studies, and it has been theorized that the back pain in childhood can have important implications for back pain in adulthood . It further notes that young people from 12 to 22 years of age with persistent low back pain during the previous year have an odds ratio of 3.5 of persistent back pain eight years later. [6] pointed out that back pain in children and adolescents increased with the increase in the burden of the backpacks. [9] they claim that the backpack for daily transportation is a frequent cause of discomfort for the school. 79.1 % of the children felt the excessive load, 67.5 % fatigue and 46.1% lumbar pain by which indicates that there is an association between this load and back pain, although the relationship is not direct. [10] claim: although the scientific community widely recognized that, the backpack carrying in elementary school children represents a serious problem, its consequences, in terms of postural alterations and the possible occurrence of pathologies muscle-skeletal, are  </w:t>
      </w:r>
      <w:r>
        <w:rPr>
          <w:spacing w:val="28"/>
        </w:rPr>
        <w:t> </w:t>
      </w:r>
      <w:r>
        <w:rPr/>
        <w:t>not</w:t>
      </w:r>
    </w:p>
    <w:p>
      <w:pPr>
        <w:spacing w:after="0"/>
        <w:jc w:val="both"/>
        <w:sectPr>
          <w:type w:val="continuous"/>
          <w:pgSz w:w="12240" w:h="15840"/>
          <w:pgMar w:top="1500" w:bottom="280" w:left="580" w:right="220"/>
          <w:cols w:num="2" w:equalWidth="0">
            <w:col w:w="5189" w:space="435"/>
            <w:col w:w="5816"/>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4"/>
        <w:ind w:left="270"/>
        <w:jc w:val="both"/>
      </w:pPr>
      <w:r>
        <w:rPr/>
        <w:t>understood and the results suggest that the heavy burdens, and in the case of the exposure times important, can increase the risk of back pain, discomfort of the foot and act more as  a factor in the emergence of alterations in the structure or pathologies. Likewise suggest that the backpack carrying causes deterioration in the balance and therefore may increase the risk of unintentional falls in children. [13] notes that the back pain is now recognized that occurs in early childhood and is associated with high prevalence rates in children aged 11-14 years and the risk factors  more important associated with back pain are, at first the characteristics of the person and then focuses on the factors present in the school environment. In an average day of school, a child in Caborca, Mexico, according to his school level, must a carry a wide variety of school materials, some carry box and/or some sports article. Almost always, for the child, is very difficult to define what material they can remain in the house and which must be carried to school and vice versa, by what, almost always children opt to bring and carry all the tools and materials every day. The forgoing, in some cases, must be transported, in ba long distances for their age, until you reach the school. These circumstances  can be converted into a high risk of suffering from back pain and neck which can be a precursor to similar pain in adulthood. In the absence of existing information in our environment, it becomes necessary, diagnose the evolution  of the level of risk for back pain of the children of schools in the region. The overall objective of the present work is to compare, the situation prevailing of mentioned aspect, between two diagnoses made one in 2009 and another in 2014. The specific aims are: to analyze the statistical distribution of the ratio of weight of the load on the school supplies that transport with your body weight, compare it with the recommendations identified in the scientific literature and compare the results with the statistics of 2009 data.</w:t>
      </w:r>
    </w:p>
    <w:p>
      <w:pPr>
        <w:pStyle w:val="BodyText"/>
        <w:ind w:left="270"/>
        <w:jc w:val="both"/>
      </w:pPr>
      <w:r>
        <w:rPr/>
        <w:t>The hypothesis is that: There is a high risk that, school children, be affected by load backpacks with a weight that exceeds the recommended weight and the relation increased between 2009 y 2014. The investigations were transverses, performed in each one of the school cycle 2009 and 2014, without considering the day of the week or the month in course. The data of the weight and type of backpack were collected without taking into account the way in which children carried it. The body weight was taken wearing only the school uniform with normal shoes.</w:t>
      </w:r>
    </w:p>
    <w:p>
      <w:pPr>
        <w:pStyle w:val="BodyText"/>
      </w:pPr>
    </w:p>
    <w:p>
      <w:pPr>
        <w:pStyle w:val="BodyText"/>
      </w:pPr>
    </w:p>
    <w:p>
      <w:pPr>
        <w:pStyle w:val="BodyText"/>
        <w:spacing w:before="2"/>
      </w:pPr>
    </w:p>
    <w:p>
      <w:pPr>
        <w:pStyle w:val="Heading4"/>
        <w:spacing w:before="1"/>
        <w:ind w:left="321"/>
      </w:pPr>
      <w:r>
        <w:rPr/>
        <w:t>2.- FRAME OF REFERENCE</w:t>
      </w:r>
    </w:p>
    <w:p>
      <w:pPr>
        <w:pStyle w:val="BodyText"/>
        <w:spacing w:before="8"/>
        <w:rPr>
          <w:b/>
          <w:sz w:val="19"/>
        </w:rPr>
      </w:pPr>
    </w:p>
    <w:p>
      <w:pPr>
        <w:pStyle w:val="BodyText"/>
        <w:ind w:left="270" w:right="1"/>
        <w:jc w:val="both"/>
      </w:pPr>
      <w:r>
        <w:rPr/>
        <w:t>There are a few recommendations with respect to the maximum load that the children must carry in a backpack, some accepted as limit the 15% of body weight, others  accept limit of 10% of body weight, and other more recommend between 10% and 15% of body weight. [2] say: epidemiological data, physiological and biomechanical suggest that the recommended weight limit for the</w:t>
      </w:r>
      <w:r>
        <w:rPr>
          <w:spacing w:val="-29"/>
        </w:rPr>
        <w:t> </w:t>
      </w:r>
      <w:r>
        <w:rPr/>
        <w:t>backpacks</w:t>
      </w:r>
    </w:p>
    <w:p>
      <w:pPr>
        <w:pStyle w:val="BodyText"/>
        <w:spacing w:before="74"/>
        <w:ind w:left="270" w:right="676"/>
        <w:jc w:val="both"/>
      </w:pPr>
      <w:r>
        <w:rPr/>
        <w:br w:type="column"/>
      </w:r>
      <w:r>
        <w:rPr/>
        <w:t>of children is between 10% and 15% of body weight. [5] suggest that the load in the backpacks of children should be limited to no more than  15% for transport over a duration  of up to 20 minutes to avoid muscle fatigue , [14] publishes the results of their studies and suggest that: backpack weight gain is associated with an increase in the annual prevalence of low back pain. However, these results provide no evidence to support the recommendation that the weight of the backpack necessarily must be less than 10% of body weight.[8] notes that the data obtained in their work  supports the use of a limit of 10% of the limit of body weight for the safe use of the backpacks. It also notes that the younger students and women are at greater risk due to the body weight relatively lower while women have backpacks also heavier than the</w:t>
      </w:r>
      <w:r>
        <w:rPr>
          <w:spacing w:val="-8"/>
        </w:rPr>
        <w:t> </w:t>
      </w:r>
      <w:r>
        <w:rPr/>
        <w:t>men.</w:t>
      </w:r>
    </w:p>
    <w:p>
      <w:pPr>
        <w:pStyle w:val="BodyText"/>
        <w:spacing w:before="2"/>
      </w:pPr>
    </w:p>
    <w:p>
      <w:pPr>
        <w:pStyle w:val="Heading4"/>
        <w:ind w:left="321"/>
      </w:pPr>
      <w:r>
        <w:rPr/>
        <w:t>3.- MATERIALS AND METHODS</w:t>
      </w:r>
    </w:p>
    <w:p>
      <w:pPr>
        <w:pStyle w:val="BodyText"/>
        <w:spacing w:before="8"/>
        <w:rPr>
          <w:b/>
          <w:sz w:val="19"/>
        </w:rPr>
      </w:pPr>
    </w:p>
    <w:p>
      <w:pPr>
        <w:pStyle w:val="BodyText"/>
        <w:ind w:left="270" w:right="677"/>
        <w:jc w:val="both"/>
      </w:pPr>
      <w:r>
        <w:rPr/>
        <w:t>For both research was considered a population of approximately 7500 students of public elemental urban schools, of the Caborca city, Mexico. The sample size was calculated for both studies, taking as reference the variable with the greatest interest was the proportion of students that exceed the 15% of the relationship of the weight of the backpack to the child's body weight, to an accuracy of ± 5</w:t>
      </w:r>
    </w:p>
    <w:p>
      <w:pPr>
        <w:pStyle w:val="BodyText"/>
        <w:ind w:left="270" w:right="675"/>
        <w:jc w:val="both"/>
      </w:pPr>
      <w:r>
        <w:rPr/>
        <w:t>%, 95% confidence and were assumed a hit ratio of 30 %, calculating a sample size of 337 school children. Actually, was taken a sample of 329 in 2009 and 334 in 2014. For the random sampling is considered a probabilistic design per school as conglomerate and school grade and sex of the students as strata. For each participant in the sample were taken data on age, sex, grade and school group, hand preference, then were registered the weight and type of the backpack, body weight and 13 anthropometric measures for related investigations.</w:t>
      </w:r>
    </w:p>
    <w:p>
      <w:pPr>
        <w:pStyle w:val="BodyText"/>
        <w:spacing w:before="9"/>
      </w:pPr>
    </w:p>
    <w:p>
      <w:pPr>
        <w:pStyle w:val="Heading4"/>
      </w:pPr>
      <w:r>
        <w:rPr>
          <w:b w:val="0"/>
        </w:rPr>
        <w:t>4</w:t>
      </w:r>
      <w:r>
        <w:rPr/>
        <w:t>.- ANALYSIS OF RESULTS</w:t>
      </w:r>
    </w:p>
    <w:p>
      <w:pPr>
        <w:pStyle w:val="BodyText"/>
        <w:rPr>
          <w:b/>
        </w:rPr>
      </w:pPr>
    </w:p>
    <w:p>
      <w:pPr>
        <w:pStyle w:val="BodyText"/>
        <w:spacing w:before="4"/>
        <w:rPr>
          <w:b/>
          <w:sz w:val="26"/>
        </w:rPr>
      </w:pPr>
    </w:p>
    <w:p>
      <w:pPr>
        <w:spacing w:before="0"/>
        <w:ind w:left="270" w:right="936" w:firstLine="0"/>
        <w:jc w:val="left"/>
        <w:rPr>
          <w:b/>
          <w:sz w:val="20"/>
        </w:rPr>
      </w:pPr>
      <w:r>
        <w:rPr>
          <w:b/>
          <w:sz w:val="20"/>
        </w:rPr>
        <w:t>4.1.- GENERAL COMPARATIVE BETWEEN TWO INVESTIGATIONS</w:t>
      </w:r>
    </w:p>
    <w:p>
      <w:pPr>
        <w:pStyle w:val="BodyText"/>
        <w:rPr>
          <w:b/>
          <w:sz w:val="25"/>
        </w:rPr>
      </w:pPr>
    </w:p>
    <w:p>
      <w:pPr>
        <w:pStyle w:val="BodyText"/>
        <w:spacing w:before="1"/>
        <w:ind w:left="270" w:right="675"/>
        <w:jc w:val="both"/>
      </w:pPr>
      <w:r>
        <w:rPr/>
        <w:t>According to the objective was conducted the analysis comparative of relationship of the percentage of backpack/weight the body weight of children between the two investigations. In the 2009 research the 18.49%, (95% CI 14.4% - 23.2 %) of the children of both genders carried a backpack with a weight in excess of the limit of 15% of  their body weight that is the maximum recommended limit.. In figure 1 it presents the dispersal of data and can be seen that for ages 6, 7 and 8 years there are a growing number of cases with a higher ratio of the cited limit. There  is  a smaller number of cases above the limit and this is due to the fact that with age increases, the body weight and is reflected a lower value of the relationship between the two weights. In figure 2 shows the dispersion of data of percentage ratio recorded in the 2014 research and can</w:t>
      </w:r>
      <w:r>
        <w:rPr>
          <w:spacing w:val="-6"/>
        </w:rPr>
        <w:t> </w:t>
      </w:r>
      <w:r>
        <w:rPr/>
        <w:t>be</w:t>
      </w:r>
    </w:p>
    <w:p>
      <w:pPr>
        <w:spacing w:after="0"/>
        <w:jc w:val="both"/>
        <w:sectPr>
          <w:type w:val="continuous"/>
          <w:pgSz w:w="12240" w:h="15840"/>
          <w:pgMar w:top="1500" w:bottom="280" w:left="580" w:right="220"/>
          <w:cols w:num="2" w:equalWidth="0">
            <w:col w:w="5190" w:space="434"/>
            <w:col w:w="5816"/>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4"/>
        <w:ind w:left="270" w:right="1" w:firstLine="50"/>
        <w:jc w:val="both"/>
      </w:pPr>
      <w:r>
        <w:rPr/>
        <w:t>seen a large number of cases with loading weight above the 15% recommended maximum. With this criterion is estimated with a 95% confidence interval that, in 2014, between 31.1 and 41.6 % of the students charged a backpack above this limit. If done a hypothesis test for the difference with the 18.49 % information obtained in 2009, we can say that now, a higher proportion of children are loading weight bigger that 5 years ago (p=0.000 ). If the criterion for the limit of backpack weight is 10% of body weight, with CI 95% it is estimated that between 70.7 and 80.2 % of the children are carrying a higher weight in their backpacks and if compared with the 52.9 % in 2009, we can say too that the proportion of children loaded a weight in backpack bigger than 5 years ago (p=0.000).</w:t>
      </w:r>
    </w:p>
    <w:p>
      <w:pPr>
        <w:pStyle w:val="BodyText"/>
        <w:spacing w:before="2"/>
      </w:pPr>
    </w:p>
    <w:p>
      <w:pPr>
        <w:pStyle w:val="Heading4"/>
      </w:pPr>
      <w:r>
        <w:rPr/>
        <w:t>4.2.- COMPARATIVE BY GENDER</w:t>
      </w:r>
    </w:p>
    <w:p>
      <w:pPr>
        <w:pStyle w:val="BodyText"/>
        <w:rPr>
          <w:b/>
        </w:rPr>
      </w:pPr>
    </w:p>
    <w:p>
      <w:pPr>
        <w:spacing w:line="228" w:lineRule="exact" w:before="1"/>
        <w:ind w:left="270" w:right="0" w:firstLine="0"/>
        <w:jc w:val="both"/>
        <w:rPr>
          <w:b/>
          <w:sz w:val="20"/>
        </w:rPr>
      </w:pPr>
      <w:r>
        <w:rPr>
          <w:b/>
          <w:sz w:val="20"/>
        </w:rPr>
        <w:t>4.2.1.- Comparative man</w:t>
      </w:r>
    </w:p>
    <w:p>
      <w:pPr>
        <w:pStyle w:val="BodyText"/>
        <w:ind w:left="270" w:right="1"/>
        <w:jc w:val="both"/>
      </w:pPr>
      <w:r>
        <w:rPr/>
        <w:t>In the figure 3 it is shows the dispersion of percent the relationship of weight backpacks/body weight, of male participants in 2009, 15.6 % (CI 95 %,9.8 %- 21.4 %) of childrens had a backpack with weight in excess 15% the recomended limit. Figure 4 shows the corresponding in 2014 and we can observe many percentage relation are above the maximum limit of the  15% reach a 34.3 % (95% 0,272  0,421 ) and we can say that in the period 2009-2014 was increased the proportion of boys who loads a backpack in excess of the limit of  15 %, (p=0.000</w:t>
      </w:r>
      <w:r>
        <w:rPr>
          <w:spacing w:val="-20"/>
        </w:rPr>
        <w:t> </w:t>
      </w:r>
      <w:r>
        <w:rPr/>
        <w:t>).</w:t>
      </w:r>
    </w:p>
    <w:p>
      <w:pPr>
        <w:pStyle w:val="BodyText"/>
        <w:spacing w:before="3"/>
      </w:pPr>
    </w:p>
    <w:p>
      <w:pPr>
        <w:pStyle w:val="Heading4"/>
        <w:spacing w:line="228" w:lineRule="exact"/>
      </w:pPr>
      <w:r>
        <w:rPr/>
        <w:t>4.1.2.- Comparative women</w:t>
      </w:r>
    </w:p>
    <w:p>
      <w:pPr>
        <w:pStyle w:val="BodyText"/>
        <w:ind w:left="270" w:right="1"/>
        <w:jc w:val="both"/>
      </w:pPr>
      <w:r>
        <w:rPr/>
        <w:t>In the figure 5 it shows the dispersion of percent relationship weight/body weight of female participants in 2009 and prevailed a 22.53 % (95% CI, 15.8 % - 29.26 %) of students carried a backpack that weighs in excess of the limit of 15% accepted. Figure 6 shows the corresponding in 2014 and we can observe that the students that are above the maximum limit of the 15% are much higher that 2009, reaching 38.1 % (95% 0,307 0,458 ) and it can be said that there is a big increment of the proportion of girls that load a backpack above the limit of 15 %, (p=0.000 ).</w:t>
      </w:r>
    </w:p>
    <w:p>
      <w:pPr>
        <w:pStyle w:val="BodyText"/>
        <w:spacing w:before="11"/>
        <w:rPr>
          <w:sz w:val="19"/>
        </w:rPr>
      </w:pPr>
    </w:p>
    <w:p>
      <w:pPr>
        <w:pStyle w:val="BodyText"/>
        <w:ind w:left="270" w:right="1"/>
        <w:jc w:val="both"/>
      </w:pPr>
      <w:r>
        <w:rPr/>
        <w:t>In both investigations it is observed that the proportion of girls that go beyond the limits are higher than the rates among the men this could be because the body weight are different between girl and boy, but, in 2014, there is no different in body weight between gender, per age (p = </w:t>
      </w:r>
      <w:r>
        <w:rPr>
          <w:spacing w:val="37"/>
        </w:rPr>
        <w:t> </w:t>
      </w:r>
      <w:r>
        <w:rPr/>
        <w:t>0,281</w:t>
      </w:r>
    </w:p>
    <w:p>
      <w:pPr>
        <w:pStyle w:val="BodyText"/>
        <w:ind w:left="270"/>
        <w:jc w:val="both"/>
      </w:pPr>
      <w:r>
        <w:rPr>
          <w:w w:val="100"/>
        </w:rPr>
        <w:t>)</w:t>
      </w:r>
    </w:p>
    <w:p>
      <w:pPr>
        <w:pStyle w:val="BodyText"/>
        <w:spacing w:before="11"/>
        <w:rPr>
          <w:sz w:val="19"/>
        </w:rPr>
      </w:pPr>
    </w:p>
    <w:p>
      <w:pPr>
        <w:pStyle w:val="BodyText"/>
        <w:ind w:left="270"/>
        <w:jc w:val="both"/>
      </w:pPr>
      <w:r>
        <w:rPr/>
        <w:t>On the other hand if the analysis of data is performed with the 10% limit recommended of body weight, in 2014, the proportion of students that carries overload grows,  </w:t>
      </w:r>
      <w:r>
        <w:rPr>
          <w:spacing w:val="17"/>
        </w:rPr>
        <w:t> </w:t>
      </w:r>
      <w:r>
        <w:rPr/>
        <w:t>reaching</w:t>
      </w:r>
    </w:p>
    <w:p>
      <w:pPr>
        <w:pStyle w:val="ListParagraph"/>
        <w:numPr>
          <w:ilvl w:val="1"/>
          <w:numId w:val="179"/>
        </w:numPr>
        <w:tabs>
          <w:tab w:pos="703" w:val="left" w:leader="none"/>
        </w:tabs>
        <w:spacing w:line="240" w:lineRule="auto" w:before="0" w:after="0"/>
        <w:ind w:left="270" w:right="0" w:firstLine="0"/>
        <w:jc w:val="both"/>
        <w:rPr>
          <w:sz w:val="20"/>
        </w:rPr>
      </w:pPr>
      <w:r>
        <w:rPr>
          <w:sz w:val="20"/>
        </w:rPr>
        <w:t>% in men and 75.0% in women. In another sense, to analyze the Body Mass Index data (BMI) of children according to [3], in 2014, 25.7 % (95% CI, 21.1 % - 30.8 %) of all the participants have on overweight. this may cause, in some cases, do not reflect a percentage ratio of load backpack/body  weight,  which  could  be  above  the    </w:t>
      </w:r>
      <w:r>
        <w:rPr>
          <w:spacing w:val="20"/>
          <w:sz w:val="20"/>
        </w:rPr>
        <w:t> </w:t>
      </w:r>
      <w:r>
        <w:rPr>
          <w:sz w:val="20"/>
        </w:rPr>
        <w:t>limit</w:t>
      </w:r>
    </w:p>
    <w:p>
      <w:pPr>
        <w:pStyle w:val="BodyText"/>
        <w:spacing w:before="74"/>
        <w:ind w:left="270" w:right="677"/>
        <w:jc w:val="both"/>
      </w:pPr>
      <w:r>
        <w:rPr/>
        <w:br w:type="column"/>
      </w:r>
      <w:r>
        <w:rPr/>
        <w:t>accepted and would increase the proportion of children that load a weight above the recommended</w:t>
      </w:r>
    </w:p>
    <w:p>
      <w:pPr>
        <w:pStyle w:val="BodyText"/>
      </w:pPr>
    </w:p>
    <w:p>
      <w:pPr>
        <w:pStyle w:val="BodyText"/>
        <w:spacing w:before="1"/>
        <w:ind w:left="270"/>
        <w:jc w:val="both"/>
      </w:pPr>
      <w:r>
        <w:rPr/>
        <w:t>CONCLUSIONS AND RECOMMENDATIONS</w:t>
      </w:r>
    </w:p>
    <w:p>
      <w:pPr>
        <w:pStyle w:val="BodyText"/>
        <w:spacing w:before="11"/>
        <w:rPr>
          <w:sz w:val="19"/>
        </w:rPr>
      </w:pPr>
    </w:p>
    <w:p>
      <w:pPr>
        <w:pStyle w:val="BodyText"/>
        <w:ind w:left="270" w:right="675"/>
        <w:jc w:val="both"/>
      </w:pPr>
      <w:r>
        <w:rPr/>
        <w:t>In conclusion we can say that there was a significant increase, from 2009 to 2014, of the proportion of children in public schools of Caborca Mexico that are exposed to a high risk of suffering back pain by the excessive load on their backpack, in particular this risk is higher for ages 6, 7 and 8 years and for female. All of this can become a precursor of back pain in adulthood but above all, it can cause in children, neck pain, back pain and the deterioration in their concentration. The foregoing it is recommended that recognize as a public health problem and establishing government policies to decrease these risks and include, within the primary school curriculum, topics related with ergonomics. So the same, create awareness to parents and teachers of the risk for children when exposed to the overload of school materials and establish programs to prevent it. On the other hand to the people related to ergonomics, is suggested disseminate, with higher intensity, the ergonomic risks and the corresponding  recommendations given that there is, socially much ignorance of the</w:t>
      </w:r>
      <w:r>
        <w:rPr>
          <w:spacing w:val="-4"/>
        </w:rPr>
        <w:t> </w:t>
      </w:r>
      <w:r>
        <w:rPr/>
        <w:t>same.</w:t>
      </w:r>
    </w:p>
    <w:p>
      <w:pPr>
        <w:pStyle w:val="BodyText"/>
      </w:pPr>
    </w:p>
    <w:p>
      <w:pPr>
        <w:pStyle w:val="BodyText"/>
      </w:pPr>
    </w:p>
    <w:p>
      <w:pPr>
        <w:pStyle w:val="BodyText"/>
        <w:ind w:left="270"/>
        <w:jc w:val="both"/>
      </w:pPr>
      <w:r>
        <w:rPr/>
        <w:t>REFERENCES</w:t>
      </w:r>
    </w:p>
    <w:p>
      <w:pPr>
        <w:pStyle w:val="BodyText"/>
        <w:ind w:left="980" w:right="676" w:hanging="360"/>
        <w:jc w:val="both"/>
      </w:pPr>
      <w:r>
        <w:rPr/>
        <w:t>[1] Bejia, I. , N. Abid, K. Ben Salem, M. Letaief, M. Younes, M. &amp; N. Touzi Bergaoui (2005) Low back pain in a cohort of 622 Tunisian schoolchildren and adolescents: an epidemiological study Eur Spine J, 14, 331-6.</w:t>
      </w:r>
    </w:p>
    <w:p>
      <w:pPr>
        <w:pStyle w:val="BodyText"/>
        <w:ind w:left="979" w:right="675" w:hanging="360"/>
        <w:jc w:val="both"/>
      </w:pPr>
      <w:r>
        <w:rPr/>
        <w:t>[2] Brackley, H. M. &amp; J. M. Stevenson (2004) are children's backpack weight limits enough? A critical review of the relevant literature. Spine (Phila Pa 1976), 29 ,</w:t>
      </w:r>
      <w:r>
        <w:rPr>
          <w:spacing w:val="-15"/>
        </w:rPr>
        <w:t> </w:t>
      </w:r>
      <w:r>
        <w:rPr/>
        <w:t>2184-90.</w:t>
      </w:r>
    </w:p>
    <w:p>
      <w:pPr>
        <w:pStyle w:val="BodyText"/>
        <w:ind w:left="979" w:right="676" w:hanging="360"/>
        <w:jc w:val="both"/>
      </w:pPr>
      <w:r>
        <w:rPr/>
        <w:t>[3] Cole, T. J. , M. C. Bellizzi, K. M. Flegal &amp; W. H. Dietz (2000) establishing a standard definition for child overweight and obesity worldwide: international survey. BMJ, 320, 1240-3.</w:t>
      </w:r>
    </w:p>
    <w:p>
      <w:pPr>
        <w:pStyle w:val="BodyText"/>
        <w:ind w:left="979" w:right="674" w:hanging="360"/>
        <w:jc w:val="both"/>
      </w:pPr>
      <w:r>
        <w:rPr/>
        <w:t>[4] Hestbaek, L. , C. Leboeuf-Yde , Kyvik K. O. &amp; C. Manniche (2006) The course of low back pain from adolescence to adulthood: eight-year follow-up of 9600 twins. Spine (Phila Pa 1976), 31 , 468-72.</w:t>
      </w:r>
    </w:p>
    <w:p>
      <w:pPr>
        <w:pStyle w:val="BodyText"/>
        <w:ind w:left="979" w:right="676" w:hanging="360"/>
        <w:jc w:val="both"/>
      </w:pPr>
      <w:r>
        <w:rPr/>
        <w:t>[5] Hong, Y. , J. X. Li &amp; D. T. Fong (2008) Effect of prolonged walking with backpack loads on trunk muscle activity and fatigue in children. J Electromyogr Kinesiol, 18, 990-6.</w:t>
      </w:r>
    </w:p>
    <w:p>
      <w:pPr>
        <w:pStyle w:val="BodyText"/>
        <w:ind w:left="979" w:right="675" w:hanging="360"/>
        <w:jc w:val="both"/>
      </w:pPr>
      <w:r>
        <w:rPr/>
        <w:t>[6] Korovessis, P.  ,  G.  Koureas  &amp;  Z.  Papazisis (2004) Correlation between backpack weight and way of carrying, sagittal and frontal spinal curvatures, athletic activity, and dorsal and low back pain in schoolchildren and adolescents. J Spinal Disord Tech, 17, 33-40.</w:t>
      </w:r>
    </w:p>
    <w:p>
      <w:pPr>
        <w:pStyle w:val="BodyText"/>
        <w:ind w:left="979" w:right="677" w:hanging="360"/>
        <w:jc w:val="both"/>
      </w:pPr>
      <w:r>
        <w:rPr/>
        <w:t>[7] Kovacs, F. M. , M. Gestoso, M. T. Gil del Real, J. Lopez, N. Mufraggi &amp; J. I. Méndez (2003) Risk factors    for    non-specific    low    back    pain    in</w:t>
      </w:r>
    </w:p>
    <w:p>
      <w:pPr>
        <w:spacing w:after="0"/>
        <w:jc w:val="both"/>
        <w:sectPr>
          <w:type w:val="continuous"/>
          <w:pgSz w:w="12240" w:h="15840"/>
          <w:pgMar w:top="1500" w:bottom="280" w:left="580" w:right="220"/>
          <w:cols w:num="2" w:equalWidth="0">
            <w:col w:w="5191" w:space="434"/>
            <w:col w:w="5815"/>
          </w:cols>
        </w:sectPr>
      </w:pPr>
    </w:p>
    <w:p>
      <w:pPr>
        <w:pStyle w:val="BodyText"/>
        <w:spacing w:before="4"/>
        <w:rPr>
          <w:sz w:val="11"/>
        </w:rPr>
      </w:pPr>
    </w:p>
    <w:p>
      <w:pPr>
        <w:pStyle w:val="BodyText"/>
        <w:spacing w:before="74"/>
        <w:ind w:left="980" w:right="6250"/>
      </w:pPr>
      <w:r>
        <w:rPr/>
        <w:pict>
          <v:group style="position:absolute;margin-left:323.459991pt;margin-top:21.675913pt;width:247.9pt;height:186.3pt;mso-position-horizontal-relative:page;mso-position-vertical-relative:paragraph;z-index:19048" coordorigin="6469,434" coordsize="4958,3726">
            <v:shape style="position:absolute;left:6469;top:434;width:4957;height:3467" type="#_x0000_t75" stroked="false">
              <v:imagedata r:id="rId797" o:title=""/>
            </v:shape>
            <v:shape style="position:absolute;left:6469;top:3900;width:4936;height:259" type="#_x0000_t75" stroked="false">
              <v:imagedata r:id="rId798" o:title=""/>
            </v:shape>
            <w10:wrap type="none"/>
          </v:group>
        </w:pict>
      </w:r>
      <w:r>
        <w:rPr/>
        <w:t>schoolchildren and their parents: a population based study .Pain, 103 , 259-68.</w:t>
      </w:r>
    </w:p>
    <w:p>
      <w:pPr>
        <w:pStyle w:val="BodyText"/>
        <w:ind w:left="980" w:right="6249" w:hanging="360"/>
        <w:jc w:val="both"/>
      </w:pPr>
      <w:r>
        <w:rPr/>
        <w:t>[8] Moore, M. J. , G.  L.  White  &amp;  D.  L.  Moore  (2007) Association of relative backpack weight with reported pain, pain sites, medical utilization,  and lost school time in children and adolescents. J Sch Health, 77,</w:t>
      </w:r>
      <w:r>
        <w:rPr>
          <w:spacing w:val="-10"/>
        </w:rPr>
        <w:t> </w:t>
      </w:r>
      <w:r>
        <w:rPr/>
        <w:t>232-9.</w:t>
      </w:r>
    </w:p>
    <w:p>
      <w:pPr>
        <w:pStyle w:val="BodyText"/>
        <w:ind w:left="980" w:right="6248" w:hanging="360"/>
        <w:jc w:val="both"/>
      </w:pPr>
      <w:r>
        <w:rPr/>
        <w:t>[9] Negrini, S. &amp; R. Carabalona (2002) printed on! Schoolchildren's perceptions of load, associations with back pain and factors determining the load. Spine (Phila Pa 1976), 27, 187 -95.</w:t>
      </w:r>
    </w:p>
    <w:p>
      <w:pPr>
        <w:pStyle w:val="BodyText"/>
        <w:ind w:left="838" w:right="6249" w:hanging="358"/>
        <w:jc w:val="both"/>
      </w:pPr>
      <w:r>
        <w:rPr/>
        <w:t>[10] Pau, M. , F. Crown &amp; B. Leban (2010) Effects of backpack carriage on foot-ground relationship in children during upright stance. Gait posture.</w:t>
      </w:r>
    </w:p>
    <w:p>
      <w:pPr>
        <w:pStyle w:val="BodyText"/>
        <w:ind w:left="838" w:right="6247" w:hanging="360"/>
        <w:jc w:val="both"/>
      </w:pPr>
      <w:r>
        <w:rPr/>
        <w:t>[11] Sato, T. , T. Ito, T. Hirano, O. Morita, R. Kikuchi, N. Endo &amp; N. Tanabe (2008) Low back pain in  childhood and adolescence: a cross-sectional study in Niigata city. Eur J Spine, 17,</w:t>
      </w:r>
      <w:r>
        <w:rPr>
          <w:spacing w:val="-20"/>
        </w:rPr>
        <w:t> </w:t>
      </w:r>
      <w:r>
        <w:rPr/>
        <w:t>1441-7.</w:t>
      </w:r>
    </w:p>
    <w:p>
      <w:pPr>
        <w:pStyle w:val="BodyText"/>
        <w:ind w:left="838" w:right="6248" w:hanging="360"/>
        <w:jc w:val="both"/>
      </w:pPr>
      <w:r>
        <w:rPr/>
        <w:pict>
          <v:group style="position:absolute;margin-left:330.239990pt;margin-top:28.056887pt;width:226.1pt;height:166.6pt;mso-position-horizontal-relative:page;mso-position-vertical-relative:paragraph;z-index:19072" coordorigin="6605,561" coordsize="4522,3332">
            <v:shape style="position:absolute;left:6605;top:561;width:4522;height:3091" type="#_x0000_t75" stroked="false">
              <v:imagedata r:id="rId799" o:title=""/>
            </v:shape>
            <v:shape style="position:absolute;left:6605;top:3652;width:4387;height:240" type="#_x0000_t75" stroked="false">
              <v:imagedata r:id="rId800" o:title=""/>
            </v:shape>
            <w10:wrap type="none"/>
          </v:group>
        </w:pict>
      </w:r>
      <w:r>
        <w:rPr/>
        <w:t>[12] Trevelyan, F. C. &amp; S. J. Legg (2006) Back pain in school children--where to from here? Appl  Ergon,  37,</w:t>
      </w:r>
      <w:r>
        <w:rPr>
          <w:spacing w:val="-4"/>
        </w:rPr>
        <w:t> </w:t>
      </w:r>
      <w:r>
        <w:rPr/>
        <w:t>45-54.</w:t>
      </w:r>
    </w:p>
    <w:p>
      <w:pPr>
        <w:pStyle w:val="BodyText"/>
        <w:ind w:left="838" w:right="6249" w:hanging="360"/>
        <w:jc w:val="both"/>
      </w:pPr>
      <w:r>
        <w:rPr/>
        <w:t>[13]</w:t>
      </w:r>
      <w:r>
        <w:rPr>
          <w:spacing w:val="-27"/>
        </w:rPr>
        <w:t> </w:t>
      </w:r>
      <w:r>
        <w:rPr/>
        <w:t>Trevelyan,</w:t>
      </w:r>
      <w:r>
        <w:rPr>
          <w:spacing w:val="-2"/>
        </w:rPr>
        <w:t> </w:t>
      </w:r>
      <w:r>
        <w:rPr/>
        <w:t>F.</w:t>
      </w:r>
      <w:r>
        <w:rPr>
          <w:spacing w:val="-3"/>
        </w:rPr>
        <w:t> </w:t>
      </w:r>
      <w:r>
        <w:rPr/>
        <w:t>C.</w:t>
      </w:r>
      <w:r>
        <w:rPr>
          <w:spacing w:val="-2"/>
        </w:rPr>
        <w:t> </w:t>
      </w:r>
      <w:r>
        <w:rPr/>
        <w:t>&amp;</w:t>
      </w:r>
      <w:r>
        <w:rPr>
          <w:spacing w:val="-2"/>
        </w:rPr>
        <w:t> </w:t>
      </w:r>
      <w:r>
        <w:rPr/>
        <w:t>S.</w:t>
      </w:r>
      <w:r>
        <w:rPr>
          <w:spacing w:val="-2"/>
        </w:rPr>
        <w:t> </w:t>
      </w:r>
      <w:r>
        <w:rPr/>
        <w:t>J.</w:t>
      </w:r>
      <w:r>
        <w:rPr>
          <w:spacing w:val="-2"/>
        </w:rPr>
        <w:t> </w:t>
      </w:r>
      <w:r>
        <w:rPr/>
        <w:t>Legg</w:t>
      </w:r>
      <w:r>
        <w:rPr>
          <w:spacing w:val="-2"/>
        </w:rPr>
        <w:t> </w:t>
      </w:r>
      <w:r>
        <w:rPr/>
        <w:t>(</w:t>
      </w:r>
      <w:r>
        <w:rPr>
          <w:spacing w:val="-3"/>
        </w:rPr>
        <w:t> </w:t>
      </w:r>
      <w:r>
        <w:rPr/>
        <w:t>(2010)</w:t>
      </w:r>
      <w:r>
        <w:rPr>
          <w:spacing w:val="-3"/>
        </w:rPr>
        <w:t> </w:t>
      </w:r>
      <w:r>
        <w:rPr/>
        <w:t>The</w:t>
      </w:r>
      <w:r>
        <w:rPr>
          <w:spacing w:val="-3"/>
        </w:rPr>
        <w:t> </w:t>
      </w:r>
      <w:r>
        <w:rPr/>
        <w:t>prevalence and characteristics of back pain among school  children in New Zealand. Ergonomics, 53,</w:t>
      </w:r>
      <w:r>
        <w:rPr>
          <w:spacing w:val="-26"/>
        </w:rPr>
        <w:t> </w:t>
      </w:r>
      <w:r>
        <w:rPr/>
        <w:t>1455-60.</w:t>
      </w:r>
    </w:p>
    <w:p>
      <w:pPr>
        <w:pStyle w:val="BodyText"/>
        <w:ind w:left="838" w:right="6248" w:hanging="360"/>
        <w:jc w:val="both"/>
      </w:pPr>
      <w:r>
        <w:rPr/>
        <w:t>[14] Wong, K. C. , R. Y. Lee &amp; S. S. Yeung (2009) The association between back pain and trunk posture of workers in a special  school  for  the  severe handicaps. BMC Musculoskelet Disord, 10, 43.</w:t>
      </w:r>
    </w:p>
    <w:p>
      <w:pPr>
        <w:pStyle w:val="BodyText"/>
      </w:pPr>
    </w:p>
    <w:p>
      <w:pPr>
        <w:pStyle w:val="BodyText"/>
        <w:spacing w:before="1"/>
        <w:rPr>
          <w:sz w:val="29"/>
        </w:rPr>
      </w:pPr>
      <w:r>
        <w:rPr/>
        <w:pict>
          <v:group style="position:absolute;margin-left:51.84pt;margin-top:18.679268pt;width:242.4pt;height:174.25pt;mso-position-horizontal-relative:page;mso-position-vertical-relative:paragraph;z-index:19000;mso-wrap-distance-left:0;mso-wrap-distance-right:0" coordorigin="1037,374" coordsize="4848,3485">
            <v:shape style="position:absolute;left:1037;top:374;width:4848;height:3226" type="#_x0000_t75" stroked="false">
              <v:imagedata r:id="rId801" o:title=""/>
            </v:shape>
            <v:shape style="position:absolute;left:1037;top:3599;width:4819;height:259" type="#_x0000_t75" stroked="false">
              <v:imagedata r:id="rId802" o:title=""/>
            </v:shape>
            <w10:wrap type="topAndBottom"/>
          </v:group>
        </w:pict>
      </w:r>
      <w:r>
        <w:rPr/>
        <w:pict>
          <v:group style="position:absolute;margin-left:334.739990pt;margin-top:101.11927pt;width:226.4pt;height:163pt;mso-position-horizontal-relative:page;mso-position-vertical-relative:paragraph;z-index:19024;mso-wrap-distance-left:0;mso-wrap-distance-right:0" coordorigin="6695,2022" coordsize="4528,3260">
            <v:shape style="position:absolute;left:6695;top:2022;width:4528;height:3032" type="#_x0000_t75" stroked="false">
              <v:imagedata r:id="rId803" o:title=""/>
            </v:shape>
            <v:shape style="position:absolute;left:6695;top:5055;width:4477;height:227" type="#_x0000_t75" stroked="false">
              <v:imagedata r:id="rId804" o:title=""/>
            </v:shape>
            <w10:wrap type="topAndBottom"/>
          </v:group>
        </w:pict>
      </w:r>
    </w:p>
    <w:p>
      <w:pPr>
        <w:spacing w:after="0"/>
        <w:rPr>
          <w:sz w:val="29"/>
        </w:rPr>
        <w:sectPr>
          <w:pgSz w:w="12240" w:h="15840"/>
          <w:pgMar w:header="545" w:footer="852" w:top="1060" w:bottom="1040" w:left="580" w:right="220"/>
        </w:sectPr>
      </w:pPr>
    </w:p>
    <w:p>
      <w:pPr>
        <w:pStyle w:val="BodyText"/>
      </w:pPr>
    </w:p>
    <w:p>
      <w:pPr>
        <w:pStyle w:val="BodyText"/>
      </w:pPr>
    </w:p>
    <w:p>
      <w:pPr>
        <w:pStyle w:val="BodyText"/>
      </w:pPr>
    </w:p>
    <w:p>
      <w:pPr>
        <w:pStyle w:val="BodyText"/>
        <w:spacing w:before="10"/>
        <w:rPr>
          <w:sz w:val="10"/>
        </w:rPr>
      </w:pPr>
    </w:p>
    <w:p>
      <w:pPr>
        <w:pStyle w:val="BodyText"/>
        <w:tabs>
          <w:tab w:pos="5900" w:val="left" w:leader="none"/>
        </w:tabs>
        <w:ind w:left="255"/>
      </w:pPr>
      <w:r>
        <w:rPr>
          <w:position w:val="3"/>
        </w:rPr>
        <w:pict>
          <v:group style="width:254.9pt;height:183.4pt;mso-position-horizontal-relative:char;mso-position-vertical-relative:line" coordorigin="0,0" coordsize="5098,3668">
            <v:shape style="position:absolute;left:0;top:0;width:5098;height:3389" type="#_x0000_t75" stroked="false">
              <v:imagedata r:id="rId805" o:title=""/>
            </v:shape>
            <v:shape style="position:absolute;left:0;top:3389;width:5069;height:278" type="#_x0000_t75" stroked="false">
              <v:imagedata r:id="rId806" o:title=""/>
            </v:shape>
          </v:group>
        </w:pict>
      </w:r>
      <w:r>
        <w:rPr>
          <w:position w:val="3"/>
        </w:rPr>
      </w:r>
      <w:r>
        <w:rPr>
          <w:position w:val="3"/>
        </w:rPr>
        <w:tab/>
      </w:r>
      <w:r>
        <w:rPr/>
        <w:pict>
          <v:group style="width:254.4pt;height:183.4pt;mso-position-horizontal-relative:char;mso-position-vertical-relative:line" coordorigin="0,0" coordsize="5088,3668">
            <v:shape style="position:absolute;left:0;top:0;width:5088;height:3398" type="#_x0000_t75" stroked="false">
              <v:imagedata r:id="rId807" o:title=""/>
            </v:shape>
            <v:shape style="position:absolute;left:0;top:3398;width:5059;height:269" type="#_x0000_t75" stroked="false">
              <v:imagedata r:id="rId808" o:title=""/>
            </v:shape>
          </v:group>
        </w:pict>
      </w:r>
      <w:r>
        <w:rPr/>
      </w:r>
    </w:p>
    <w:p>
      <w:pPr>
        <w:spacing w:after="0"/>
        <w:sectPr>
          <w:pgSz w:w="12240" w:h="15840"/>
          <w:pgMar w:header="545" w:footer="852" w:top="1060" w:bottom="1040" w:left="580" w:right="220"/>
        </w:sectPr>
      </w:pPr>
    </w:p>
    <w:p>
      <w:pPr>
        <w:pStyle w:val="BodyText"/>
        <w:spacing w:before="4"/>
        <w:rPr>
          <w:sz w:val="11"/>
        </w:rPr>
      </w:pPr>
    </w:p>
    <w:p>
      <w:pPr>
        <w:spacing w:after="0"/>
        <w:rPr>
          <w:sz w:val="11"/>
        </w:rPr>
        <w:sectPr>
          <w:footerReference w:type="default" r:id="rId809"/>
          <w:pgSz w:w="12240" w:h="15840"/>
          <w:pgMar w:footer="553" w:header="545" w:top="1060" w:bottom="740" w:left="580" w:right="220"/>
        </w:sectPr>
      </w:pPr>
    </w:p>
    <w:p>
      <w:pPr>
        <w:pStyle w:val="Heading1"/>
        <w:spacing w:before="77"/>
        <w:ind w:right="2"/>
      </w:pPr>
      <w:r>
        <w:rPr/>
        <w:t>An Anthropometric Survey: Comparison Between Public and Private Elementary School Children</w:t>
      </w:r>
    </w:p>
    <w:p>
      <w:pPr>
        <w:pStyle w:val="BodyText"/>
        <w:spacing w:before="8"/>
        <w:rPr>
          <w:b/>
          <w:sz w:val="19"/>
        </w:rPr>
      </w:pPr>
    </w:p>
    <w:p>
      <w:pPr>
        <w:pStyle w:val="BodyText"/>
        <w:ind w:left="270" w:right="2" w:firstLine="50"/>
        <w:jc w:val="both"/>
      </w:pPr>
      <w:r>
        <w:rPr/>
        <w:t>María Magdalena Romo Ayala, Graciela Rodríguez Vega, Guillermo Martínez Cadena, Martina Elisa Platt Borbón, Amina Marín Martínez</w:t>
      </w:r>
    </w:p>
    <w:p>
      <w:pPr>
        <w:pStyle w:val="BodyText"/>
        <w:spacing w:before="11"/>
        <w:rPr>
          <w:sz w:val="19"/>
        </w:rPr>
      </w:pPr>
    </w:p>
    <w:p>
      <w:pPr>
        <w:pStyle w:val="BodyText"/>
        <w:ind w:left="981" w:right="711"/>
        <w:jc w:val="center"/>
      </w:pPr>
      <w:r>
        <w:rPr/>
        <w:t>Departamento de Ingeniería Industrial Universidad de Sonora</w:t>
      </w:r>
    </w:p>
    <w:p>
      <w:pPr>
        <w:pStyle w:val="BodyText"/>
        <w:ind w:left="2089" w:right="72" w:hanging="1733"/>
      </w:pPr>
      <w:r>
        <w:rPr/>
        <w:t>Blvd. Luis Encinas y Rosales S/N Col. Centro, Hermosillo, Sonora, México</w:t>
      </w:r>
    </w:p>
    <w:p>
      <w:pPr>
        <w:pStyle w:val="BodyText"/>
        <w:spacing w:line="229" w:lineRule="exact"/>
        <w:ind w:left="904" w:right="72"/>
      </w:pPr>
      <w:r>
        <w:rPr/>
        <w:t>Author’s e-mail: </w:t>
      </w:r>
      <w:hyperlink r:id="rId810">
        <w:r>
          <w:rPr>
            <w:color w:val="0000FF"/>
            <w:u w:val="single" w:color="0000FF"/>
          </w:rPr>
          <w:t>magdar@industrial.uson.mx</w:t>
        </w:r>
      </w:hyperlink>
    </w:p>
    <w:p>
      <w:pPr>
        <w:pStyle w:val="BodyText"/>
        <w:spacing w:before="3"/>
      </w:pPr>
    </w:p>
    <w:p>
      <w:pPr>
        <w:pStyle w:val="Heading4"/>
        <w:spacing w:line="228" w:lineRule="exact"/>
      </w:pPr>
      <w:r>
        <w:rPr/>
        <w:t>Resumen</w:t>
      </w:r>
    </w:p>
    <w:p>
      <w:pPr>
        <w:pStyle w:val="BodyText"/>
        <w:ind w:left="270"/>
        <w:jc w:val="both"/>
      </w:pPr>
      <w:r>
        <w:rPr/>
        <w:t>En este estudio se presenta la investigación realizada durante el año de 2014 en escuelas primarias de la ciudad de Hermosillo, Sonora, México. El objetivo fue comparar cinco dimensiones antropométricas de niños y niñas, de 7 y 8 años, de escuelas primarias, dos privadas y dos públicas. La muestra está formada por 24 niños y 19 niñas de 7 años y 19 niños y 19 niñas de 8 años. Se evaluaron cinco variables con criterios ergonómicos estandarizados: peso, estatura, altura del asiento al codo a 90º, altura del suelo al hueco poplíteo y longitud del hueco poplíteo al respaldo del asiento, medidas que son relevantes en el diseño ergonómico de sillas escolares. Los resultados obtenidos de la muestra  considerada revelan que existen diferencias significativas entre los niños de escuelas primarias públicas y privadas de: la altura del suelo al hueco poplíteo en posición sentado de los niños y niñas de 7 años y la dimensión longitud de la poplítea al respaldo del asiento sólo en las niñas de 8 años; en el resto de las dimensiones no se encontró diferencia significativa</w:t>
      </w:r>
      <w:r>
        <w:rPr>
          <w:spacing w:val="-5"/>
        </w:rPr>
        <w:t> </w:t>
      </w:r>
      <w:r>
        <w:rPr/>
        <w:t>alguna.</w:t>
      </w:r>
    </w:p>
    <w:p>
      <w:pPr>
        <w:pStyle w:val="BodyText"/>
        <w:spacing w:before="11"/>
        <w:rPr>
          <w:sz w:val="19"/>
        </w:rPr>
      </w:pPr>
    </w:p>
    <w:p>
      <w:pPr>
        <w:spacing w:before="0"/>
        <w:ind w:left="270" w:right="3" w:firstLine="0"/>
        <w:jc w:val="both"/>
        <w:rPr>
          <w:sz w:val="20"/>
        </w:rPr>
      </w:pPr>
      <w:r>
        <w:rPr>
          <w:b/>
          <w:sz w:val="20"/>
        </w:rPr>
        <w:t>Palabras claves: </w:t>
      </w:r>
      <w:r>
        <w:rPr>
          <w:sz w:val="20"/>
        </w:rPr>
        <w:t>Antropometría, escuelas primarias, mobiliario escolar.</w:t>
      </w:r>
    </w:p>
    <w:p>
      <w:pPr>
        <w:pStyle w:val="BodyText"/>
      </w:pPr>
    </w:p>
    <w:p>
      <w:pPr>
        <w:pStyle w:val="BodyText"/>
        <w:spacing w:before="2"/>
      </w:pPr>
    </w:p>
    <w:p>
      <w:pPr>
        <w:pStyle w:val="Heading4"/>
        <w:spacing w:line="229" w:lineRule="exact"/>
      </w:pPr>
      <w:r>
        <w:rPr/>
        <w:t>Abstract</w:t>
      </w:r>
    </w:p>
    <w:p>
      <w:pPr>
        <w:pStyle w:val="BodyText"/>
        <w:ind w:left="270" w:right="1"/>
        <w:jc w:val="both"/>
      </w:pPr>
      <w:r>
        <w:rPr/>
        <w:t>The present paper shows an anthropometric investigation conducted during the year 2014 in elementary schools in Hermosillo, Sonora, México. This study aims to compare  five students’ body dimensions from two private and two public elementary schools. The sample size consisted of a 7 year-old group of students, 24 boys and 19 girls, and a group of 8 year-old children, 19 boys and 19 girls. The anthropometric dimensions were: weight, stature, elbow height from horizontal seat, popliteal height and maximum distance from the back of knee to the back of the seat. All  this measurements are validated with an ergonomic criteria and they are important for the design of ergonomic school chairs. Significant differences were found in the 7 year-old group, both boys and girls for the popliteal height or seat height and in the maximum distance from the back of the knee to the back of the seat or seat depth only for the 8 </w:t>
      </w:r>
      <w:r>
        <w:rPr>
          <w:spacing w:val="13"/>
        </w:rPr>
        <w:t> </w:t>
      </w:r>
      <w:r>
        <w:rPr/>
        <w:t>year-</w:t>
      </w:r>
    </w:p>
    <w:p>
      <w:pPr>
        <w:pStyle w:val="BodyText"/>
        <w:spacing w:before="74"/>
        <w:ind w:left="270" w:right="676"/>
        <w:jc w:val="both"/>
      </w:pPr>
      <w:r>
        <w:rPr/>
        <w:br w:type="column"/>
      </w:r>
      <w:r>
        <w:rPr/>
        <w:t>old group of girls. No significant differences were found in the other anthropometric dimensions.</w:t>
      </w:r>
    </w:p>
    <w:p>
      <w:pPr>
        <w:pStyle w:val="BodyText"/>
      </w:pPr>
    </w:p>
    <w:p>
      <w:pPr>
        <w:pStyle w:val="BodyText"/>
        <w:spacing w:before="1"/>
        <w:ind w:left="270" w:right="1105" w:hanging="1"/>
      </w:pPr>
      <w:r>
        <w:rPr>
          <w:b/>
        </w:rPr>
        <w:t>Keywords: </w:t>
      </w:r>
      <w:r>
        <w:rPr/>
        <w:t>anthropometry, elementary schools, school furniture.</w:t>
      </w:r>
    </w:p>
    <w:p>
      <w:pPr>
        <w:pStyle w:val="BodyText"/>
        <w:spacing w:before="138"/>
        <w:ind w:left="270" w:right="677"/>
        <w:jc w:val="both"/>
      </w:pPr>
      <w:r>
        <w:rPr>
          <w:b/>
        </w:rPr>
        <w:t>Relevance to ergonomics: </w:t>
      </w:r>
      <w:r>
        <w:rPr/>
        <w:t>This study provides recommendations of anthropometric reference data of five body size dimensions: for 7 and 8 year-old boys and girls from Hermosillo, Sonora, Mexico.</w:t>
      </w:r>
    </w:p>
    <w:p>
      <w:pPr>
        <w:pStyle w:val="BodyText"/>
        <w:spacing w:before="2"/>
      </w:pPr>
    </w:p>
    <w:p>
      <w:pPr>
        <w:pStyle w:val="Heading4"/>
        <w:numPr>
          <w:ilvl w:val="2"/>
          <w:numId w:val="179"/>
        </w:numPr>
        <w:tabs>
          <w:tab w:pos="979" w:val="left" w:leader="none"/>
        </w:tabs>
        <w:spacing w:line="240" w:lineRule="auto" w:before="0" w:after="0"/>
        <w:ind w:left="978" w:right="0" w:hanging="348"/>
        <w:jc w:val="left"/>
      </w:pPr>
      <w:r>
        <w:rPr/>
        <w:t>Introduction</w:t>
      </w:r>
    </w:p>
    <w:p>
      <w:pPr>
        <w:pStyle w:val="BodyText"/>
        <w:spacing w:before="8"/>
        <w:rPr>
          <w:b/>
          <w:sz w:val="19"/>
        </w:rPr>
      </w:pPr>
    </w:p>
    <w:p>
      <w:pPr>
        <w:pStyle w:val="BodyText"/>
        <w:ind w:left="270" w:right="676"/>
        <w:jc w:val="both"/>
      </w:pPr>
      <w:r>
        <w:rPr/>
        <w:t>Variability of human body dimensions is inherent to people. Sex, age, ethnic background, better living conditions, among others, are factors that influence the change in body size of populations.</w:t>
      </w:r>
    </w:p>
    <w:p>
      <w:pPr>
        <w:pStyle w:val="BodyText"/>
        <w:ind w:left="270" w:right="678"/>
        <w:jc w:val="both"/>
      </w:pPr>
      <w:r>
        <w:rPr/>
        <w:t>A mismatch between users’ dimensions and school furniture have been reported (Gastélum, 2004; Castellucci et al.,  2010; Vázquez Quiroga et al., 2011; Rojas Colvin, et al., 2013, Ismaila, et al., 2015).</w:t>
      </w:r>
    </w:p>
    <w:p>
      <w:pPr>
        <w:pStyle w:val="BodyText"/>
        <w:ind w:left="270" w:right="676"/>
        <w:jc w:val="both"/>
      </w:pPr>
      <w:r>
        <w:rPr/>
        <w:t>Anthropometric data is an important consideration in designing appropriate school furniture, spaces, and equipment for this population; and moreover, when these elements are poorly designed, incorrect sitting postures, discomfort and musculoskeletal disorders may possibly occur (Castellucci et al., 2010) such as back, shoulder and neck pain (Del Rosso et al., 2011).</w:t>
      </w:r>
    </w:p>
    <w:p>
      <w:pPr>
        <w:pStyle w:val="BodyText"/>
        <w:ind w:left="270" w:right="676"/>
        <w:jc w:val="both"/>
      </w:pPr>
      <w:r>
        <w:rPr/>
        <w:t>Researchers inform an increase of prevalence of low back pain among children and adolescents during the past two decades (EFORT, 2013) and suggest it is becoming a major public health problem (Calvo et al., 2013).</w:t>
      </w:r>
    </w:p>
    <w:p>
      <w:pPr>
        <w:pStyle w:val="BodyText"/>
        <w:ind w:left="270" w:right="676"/>
        <w:jc w:val="both"/>
      </w:pPr>
      <w:r>
        <w:rPr/>
        <w:t>Approximately 100,000 children attend elementary schools in Hermosillo, Sonora, Mexico and they spend almost six hours per day in a sitting position with a half-hour lunch period. For this reason, designing school furniture for children may reduce the risk of injury and illness and will promote comfortable settings.</w:t>
      </w:r>
    </w:p>
    <w:p>
      <w:pPr>
        <w:pStyle w:val="BodyText"/>
        <w:ind w:left="270" w:right="676"/>
        <w:jc w:val="both"/>
      </w:pPr>
      <w:r>
        <w:rPr/>
        <w:t>Hence this study investigates if there are any differences in five body size dimensions in 7 and 8 year-old children attending two different educational settings, private and public elementary schools. The measurements validated  with an ergonomic criteria are: weight, stature, elbow height from horizontal seat, popliteal height and maximum  distance from the back of knee to the back of the seat; all of them relevant for ergonomic school chairs</w:t>
      </w:r>
      <w:r>
        <w:rPr>
          <w:spacing w:val="-18"/>
        </w:rPr>
        <w:t> </w:t>
      </w:r>
      <w:r>
        <w:rPr/>
        <w:t>design.</w:t>
      </w:r>
    </w:p>
    <w:p>
      <w:pPr>
        <w:pStyle w:val="BodyText"/>
        <w:spacing w:before="3"/>
      </w:pPr>
    </w:p>
    <w:p>
      <w:pPr>
        <w:pStyle w:val="Heading4"/>
        <w:numPr>
          <w:ilvl w:val="2"/>
          <w:numId w:val="179"/>
        </w:numPr>
        <w:tabs>
          <w:tab w:pos="979" w:val="left" w:leader="none"/>
        </w:tabs>
        <w:spacing w:line="240" w:lineRule="auto" w:before="0" w:after="0"/>
        <w:ind w:left="978" w:right="0" w:hanging="348"/>
        <w:jc w:val="left"/>
      </w:pPr>
      <w:r>
        <w:rPr/>
        <w:t>Objectives</w:t>
      </w:r>
    </w:p>
    <w:p>
      <w:pPr>
        <w:pStyle w:val="BodyText"/>
        <w:spacing w:before="8"/>
        <w:rPr>
          <w:b/>
          <w:sz w:val="19"/>
        </w:rPr>
      </w:pPr>
    </w:p>
    <w:p>
      <w:pPr>
        <w:pStyle w:val="BodyText"/>
        <w:ind w:left="270" w:right="677"/>
        <w:jc w:val="both"/>
      </w:pPr>
      <w:r>
        <w:rPr/>
        <w:t>The present study aims to compare five body size dimensions of 7 and 8 year-old boys and girls attending private and public elementary schools in  Hermosillo, Sonora, Mexico.</w:t>
      </w:r>
    </w:p>
    <w:p>
      <w:pPr>
        <w:spacing w:after="0"/>
        <w:jc w:val="both"/>
        <w:sectPr>
          <w:type w:val="continuous"/>
          <w:pgSz w:w="12240" w:h="15840"/>
          <w:pgMar w:top="1500" w:bottom="280" w:left="580" w:right="220"/>
          <w:cols w:num="2" w:equalWidth="0">
            <w:col w:w="5193" w:space="431"/>
            <w:col w:w="5816"/>
          </w:cols>
        </w:sectPr>
      </w:pPr>
    </w:p>
    <w:p>
      <w:pPr>
        <w:pStyle w:val="BodyText"/>
      </w:pPr>
    </w:p>
    <w:p>
      <w:pPr>
        <w:pStyle w:val="BodyText"/>
      </w:pPr>
    </w:p>
    <w:p>
      <w:pPr>
        <w:pStyle w:val="BodyText"/>
        <w:spacing w:before="3" w:after="1"/>
        <w:rPr>
          <w:sz w:val="18"/>
        </w:rPr>
      </w:pPr>
    </w:p>
    <w:p>
      <w:pPr>
        <w:pStyle w:val="BodyText"/>
        <w:spacing w:line="89" w:lineRule="exact"/>
        <w:ind w:left="210"/>
        <w:rPr>
          <w:sz w:val="8"/>
        </w:rPr>
      </w:pPr>
      <w:r>
        <w:rPr>
          <w:position w:val="-1"/>
          <w:sz w:val="8"/>
        </w:rPr>
        <w:pict>
          <v:group style="width:556.4pt;height:4.5pt;mso-position-horizontal-relative:char;mso-position-vertical-relative:line" coordorigin="0,0" coordsize="11128,90">
            <v:line style="position:absolute" from="30,30" to="11098,30" stroked="true" strokeweight="3pt" strokecolor="#602321"/>
            <v:line style="position:absolute" from="30,82" to="11098,82" stroked="true" strokeweight=".72pt" strokecolor="#602321"/>
          </v:group>
        </w:pict>
      </w:r>
      <w:r>
        <w:rPr>
          <w:position w:val="-1"/>
          <w:sz w:val="8"/>
        </w:rPr>
      </w:r>
    </w:p>
    <w:p>
      <w:pPr>
        <w:spacing w:after="0" w:line="89" w:lineRule="exact"/>
        <w:rPr>
          <w:sz w:val="8"/>
        </w:rPr>
        <w:sectPr>
          <w:type w:val="continuous"/>
          <w:pgSz w:w="12240" w:h="15840"/>
          <w:pgMar w:top="1500" w:bottom="280" w:left="580" w:right="220"/>
        </w:sectPr>
      </w:pPr>
    </w:p>
    <w:p>
      <w:pPr>
        <w:pStyle w:val="BodyText"/>
        <w:spacing w:before="6"/>
        <w:rPr>
          <w:sz w:val="11"/>
        </w:rPr>
      </w:pPr>
    </w:p>
    <w:p>
      <w:pPr>
        <w:pStyle w:val="Heading4"/>
        <w:spacing w:before="75"/>
        <w:ind w:left="0" w:right="1042"/>
        <w:jc w:val="right"/>
      </w:pPr>
      <w:r>
        <w:rPr/>
        <w:pict>
          <v:shape style="position:absolute;margin-left:134.460007pt;margin-top:14.227404pt;width:340.95pt;height:77.5pt;mso-position-horizontal-relative:page;mso-position-vertical-relative:paragraph;z-index:1924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02"/>
                    <w:gridCol w:w="1304"/>
                    <w:gridCol w:w="1246"/>
                    <w:gridCol w:w="1277"/>
                    <w:gridCol w:w="1276"/>
                  </w:tblGrid>
                  <w:tr>
                    <w:trPr>
                      <w:trHeight w:val="305" w:hRule="exact"/>
                    </w:trPr>
                    <w:tc>
                      <w:tcPr>
                        <w:tcW w:w="1702" w:type="dxa"/>
                      </w:tcPr>
                      <w:p>
                        <w:pPr>
                          <w:pStyle w:val="TableParagraph"/>
                          <w:spacing w:line="229" w:lineRule="exact"/>
                          <w:ind w:left="92" w:right="91"/>
                          <w:jc w:val="center"/>
                          <w:rPr>
                            <w:b/>
                            <w:sz w:val="20"/>
                          </w:rPr>
                        </w:pPr>
                        <w:r>
                          <w:rPr>
                            <w:b/>
                            <w:sz w:val="20"/>
                          </w:rPr>
                          <w:t>Age</w:t>
                        </w:r>
                      </w:p>
                    </w:tc>
                    <w:tc>
                      <w:tcPr>
                        <w:tcW w:w="2550" w:type="dxa"/>
                        <w:gridSpan w:val="2"/>
                      </w:tcPr>
                      <w:p>
                        <w:pPr>
                          <w:pStyle w:val="TableParagraph"/>
                          <w:spacing w:line="229" w:lineRule="exact"/>
                          <w:ind w:left="856" w:right="856"/>
                          <w:jc w:val="center"/>
                          <w:rPr>
                            <w:b/>
                            <w:sz w:val="20"/>
                          </w:rPr>
                        </w:pPr>
                        <w:r>
                          <w:rPr>
                            <w:b/>
                            <w:sz w:val="20"/>
                          </w:rPr>
                          <w:t>Boys</w:t>
                        </w:r>
                      </w:p>
                    </w:tc>
                    <w:tc>
                      <w:tcPr>
                        <w:tcW w:w="2552" w:type="dxa"/>
                        <w:gridSpan w:val="2"/>
                      </w:tcPr>
                      <w:p>
                        <w:pPr>
                          <w:pStyle w:val="TableParagraph"/>
                          <w:spacing w:line="229" w:lineRule="exact"/>
                          <w:ind w:left="1034" w:right="1035"/>
                          <w:jc w:val="center"/>
                          <w:rPr>
                            <w:b/>
                            <w:sz w:val="20"/>
                          </w:rPr>
                        </w:pPr>
                        <w:r>
                          <w:rPr>
                            <w:b/>
                            <w:sz w:val="20"/>
                          </w:rPr>
                          <w:t>Girls</w:t>
                        </w:r>
                      </w:p>
                    </w:tc>
                  </w:tr>
                  <w:tr>
                    <w:trPr>
                      <w:trHeight w:val="305" w:hRule="exact"/>
                    </w:trPr>
                    <w:tc>
                      <w:tcPr>
                        <w:tcW w:w="1702" w:type="dxa"/>
                      </w:tcPr>
                      <w:p>
                        <w:pPr/>
                      </w:p>
                    </w:tc>
                    <w:tc>
                      <w:tcPr>
                        <w:tcW w:w="1304" w:type="dxa"/>
                      </w:tcPr>
                      <w:p>
                        <w:pPr>
                          <w:pStyle w:val="TableParagraph"/>
                          <w:spacing w:line="227" w:lineRule="exact"/>
                          <w:ind w:left="343" w:right="345"/>
                          <w:jc w:val="center"/>
                          <w:rPr>
                            <w:sz w:val="20"/>
                          </w:rPr>
                        </w:pPr>
                        <w:r>
                          <w:rPr>
                            <w:sz w:val="20"/>
                          </w:rPr>
                          <w:t>Private</w:t>
                        </w:r>
                      </w:p>
                    </w:tc>
                    <w:tc>
                      <w:tcPr>
                        <w:tcW w:w="1246" w:type="dxa"/>
                      </w:tcPr>
                      <w:p>
                        <w:pPr>
                          <w:pStyle w:val="TableParagraph"/>
                          <w:spacing w:line="227" w:lineRule="exact"/>
                          <w:ind w:left="341" w:right="342"/>
                          <w:jc w:val="center"/>
                          <w:rPr>
                            <w:sz w:val="20"/>
                          </w:rPr>
                        </w:pPr>
                        <w:r>
                          <w:rPr>
                            <w:sz w:val="20"/>
                          </w:rPr>
                          <w:t>Public</w:t>
                        </w:r>
                      </w:p>
                    </w:tc>
                    <w:tc>
                      <w:tcPr>
                        <w:tcW w:w="1277" w:type="dxa"/>
                      </w:tcPr>
                      <w:p>
                        <w:pPr>
                          <w:pStyle w:val="TableParagraph"/>
                          <w:spacing w:line="227" w:lineRule="exact"/>
                          <w:ind w:left="127" w:right="130"/>
                          <w:jc w:val="center"/>
                          <w:rPr>
                            <w:sz w:val="20"/>
                          </w:rPr>
                        </w:pPr>
                        <w:r>
                          <w:rPr>
                            <w:sz w:val="20"/>
                          </w:rPr>
                          <w:t>Private</w:t>
                        </w:r>
                      </w:p>
                    </w:tc>
                    <w:tc>
                      <w:tcPr>
                        <w:tcW w:w="1276" w:type="dxa"/>
                      </w:tcPr>
                      <w:p>
                        <w:pPr>
                          <w:pStyle w:val="TableParagraph"/>
                          <w:spacing w:line="227" w:lineRule="exact"/>
                          <w:ind w:left="354" w:right="359"/>
                          <w:jc w:val="center"/>
                          <w:rPr>
                            <w:sz w:val="20"/>
                          </w:rPr>
                        </w:pPr>
                        <w:r>
                          <w:rPr>
                            <w:sz w:val="20"/>
                          </w:rPr>
                          <w:t>Public</w:t>
                        </w:r>
                      </w:p>
                    </w:tc>
                  </w:tr>
                  <w:tr>
                    <w:trPr>
                      <w:trHeight w:val="319" w:hRule="exact"/>
                    </w:trPr>
                    <w:tc>
                      <w:tcPr>
                        <w:tcW w:w="1702" w:type="dxa"/>
                      </w:tcPr>
                      <w:p>
                        <w:pPr>
                          <w:pStyle w:val="TableParagraph"/>
                          <w:spacing w:line="227" w:lineRule="exact"/>
                          <w:jc w:val="center"/>
                          <w:rPr>
                            <w:sz w:val="20"/>
                          </w:rPr>
                        </w:pPr>
                        <w:r>
                          <w:rPr>
                            <w:w w:val="100"/>
                            <w:sz w:val="20"/>
                          </w:rPr>
                          <w:t>7</w:t>
                        </w:r>
                      </w:p>
                    </w:tc>
                    <w:tc>
                      <w:tcPr>
                        <w:tcW w:w="1304" w:type="dxa"/>
                      </w:tcPr>
                      <w:p>
                        <w:pPr>
                          <w:pStyle w:val="TableParagraph"/>
                          <w:spacing w:line="227" w:lineRule="exact"/>
                          <w:ind w:left="343" w:right="344"/>
                          <w:jc w:val="center"/>
                          <w:rPr>
                            <w:sz w:val="20"/>
                          </w:rPr>
                        </w:pPr>
                        <w:r>
                          <w:rPr>
                            <w:sz w:val="20"/>
                          </w:rPr>
                          <w:t>14</w:t>
                        </w:r>
                      </w:p>
                    </w:tc>
                    <w:tc>
                      <w:tcPr>
                        <w:tcW w:w="1246" w:type="dxa"/>
                      </w:tcPr>
                      <w:p>
                        <w:pPr>
                          <w:pStyle w:val="TableParagraph"/>
                          <w:spacing w:line="227" w:lineRule="exact"/>
                          <w:ind w:left="341" w:right="341"/>
                          <w:jc w:val="center"/>
                          <w:rPr>
                            <w:sz w:val="20"/>
                          </w:rPr>
                        </w:pPr>
                        <w:r>
                          <w:rPr>
                            <w:sz w:val="20"/>
                          </w:rPr>
                          <w:t>10</w:t>
                        </w:r>
                      </w:p>
                    </w:tc>
                    <w:tc>
                      <w:tcPr>
                        <w:tcW w:w="1277" w:type="dxa"/>
                      </w:tcPr>
                      <w:p>
                        <w:pPr>
                          <w:pStyle w:val="TableParagraph"/>
                          <w:spacing w:line="227" w:lineRule="exact"/>
                          <w:jc w:val="center"/>
                          <w:rPr>
                            <w:sz w:val="20"/>
                          </w:rPr>
                        </w:pPr>
                        <w:r>
                          <w:rPr>
                            <w:w w:val="100"/>
                            <w:sz w:val="20"/>
                          </w:rPr>
                          <w:t>8</w:t>
                        </w:r>
                      </w:p>
                    </w:tc>
                    <w:tc>
                      <w:tcPr>
                        <w:tcW w:w="1276" w:type="dxa"/>
                      </w:tcPr>
                      <w:p>
                        <w:pPr>
                          <w:pStyle w:val="TableParagraph"/>
                          <w:spacing w:line="227" w:lineRule="exact"/>
                          <w:ind w:left="354" w:right="355"/>
                          <w:jc w:val="center"/>
                          <w:rPr>
                            <w:sz w:val="20"/>
                          </w:rPr>
                        </w:pPr>
                        <w:r>
                          <w:rPr>
                            <w:sz w:val="20"/>
                          </w:rPr>
                          <w:t>11</w:t>
                        </w:r>
                      </w:p>
                    </w:tc>
                  </w:tr>
                  <w:tr>
                    <w:trPr>
                      <w:trHeight w:val="305" w:hRule="exact"/>
                    </w:trPr>
                    <w:tc>
                      <w:tcPr>
                        <w:tcW w:w="1702" w:type="dxa"/>
                      </w:tcPr>
                      <w:p>
                        <w:pPr>
                          <w:pStyle w:val="TableParagraph"/>
                          <w:spacing w:line="227" w:lineRule="exact"/>
                          <w:jc w:val="center"/>
                          <w:rPr>
                            <w:sz w:val="20"/>
                          </w:rPr>
                        </w:pPr>
                        <w:r>
                          <w:rPr>
                            <w:w w:val="100"/>
                            <w:sz w:val="20"/>
                          </w:rPr>
                          <w:t>8</w:t>
                        </w:r>
                      </w:p>
                    </w:tc>
                    <w:tc>
                      <w:tcPr>
                        <w:tcW w:w="1304" w:type="dxa"/>
                      </w:tcPr>
                      <w:p>
                        <w:pPr>
                          <w:pStyle w:val="TableParagraph"/>
                          <w:spacing w:line="227" w:lineRule="exact"/>
                          <w:ind w:left="343" w:right="344"/>
                          <w:jc w:val="center"/>
                          <w:rPr>
                            <w:sz w:val="20"/>
                          </w:rPr>
                        </w:pPr>
                        <w:r>
                          <w:rPr>
                            <w:sz w:val="20"/>
                          </w:rPr>
                          <w:t>10</w:t>
                        </w:r>
                      </w:p>
                    </w:tc>
                    <w:tc>
                      <w:tcPr>
                        <w:tcW w:w="1246" w:type="dxa"/>
                      </w:tcPr>
                      <w:p>
                        <w:pPr>
                          <w:pStyle w:val="TableParagraph"/>
                          <w:spacing w:line="227" w:lineRule="exact"/>
                          <w:jc w:val="center"/>
                          <w:rPr>
                            <w:sz w:val="20"/>
                          </w:rPr>
                        </w:pPr>
                        <w:r>
                          <w:rPr>
                            <w:w w:val="100"/>
                            <w:sz w:val="20"/>
                          </w:rPr>
                          <w:t>9</w:t>
                        </w:r>
                      </w:p>
                    </w:tc>
                    <w:tc>
                      <w:tcPr>
                        <w:tcW w:w="1277" w:type="dxa"/>
                      </w:tcPr>
                      <w:p>
                        <w:pPr>
                          <w:pStyle w:val="TableParagraph"/>
                          <w:spacing w:line="227" w:lineRule="exact"/>
                          <w:jc w:val="center"/>
                          <w:rPr>
                            <w:sz w:val="20"/>
                          </w:rPr>
                        </w:pPr>
                        <w:r>
                          <w:rPr>
                            <w:w w:val="100"/>
                            <w:sz w:val="20"/>
                          </w:rPr>
                          <w:t>7</w:t>
                        </w:r>
                      </w:p>
                    </w:tc>
                    <w:tc>
                      <w:tcPr>
                        <w:tcW w:w="1276" w:type="dxa"/>
                      </w:tcPr>
                      <w:p>
                        <w:pPr>
                          <w:pStyle w:val="TableParagraph"/>
                          <w:spacing w:line="227" w:lineRule="exact"/>
                          <w:ind w:left="354" w:right="355"/>
                          <w:jc w:val="center"/>
                          <w:rPr>
                            <w:sz w:val="20"/>
                          </w:rPr>
                        </w:pPr>
                        <w:r>
                          <w:rPr>
                            <w:sz w:val="20"/>
                          </w:rPr>
                          <w:t>12</w:t>
                        </w:r>
                      </w:p>
                    </w:tc>
                  </w:tr>
                  <w:tr>
                    <w:trPr>
                      <w:trHeight w:val="306" w:hRule="exact"/>
                    </w:trPr>
                    <w:tc>
                      <w:tcPr>
                        <w:tcW w:w="1702" w:type="dxa"/>
                      </w:tcPr>
                      <w:p>
                        <w:pPr>
                          <w:pStyle w:val="TableParagraph"/>
                          <w:spacing w:line="229" w:lineRule="exact"/>
                          <w:ind w:left="92" w:right="92"/>
                          <w:jc w:val="center"/>
                          <w:rPr>
                            <w:b/>
                            <w:sz w:val="20"/>
                          </w:rPr>
                        </w:pPr>
                        <w:r>
                          <w:rPr>
                            <w:b/>
                            <w:sz w:val="20"/>
                          </w:rPr>
                          <w:t>Total sample size</w:t>
                        </w:r>
                      </w:p>
                    </w:tc>
                    <w:tc>
                      <w:tcPr>
                        <w:tcW w:w="1304" w:type="dxa"/>
                      </w:tcPr>
                      <w:p>
                        <w:pPr>
                          <w:pStyle w:val="TableParagraph"/>
                          <w:spacing w:line="229" w:lineRule="exact"/>
                          <w:ind w:left="343" w:right="343"/>
                          <w:jc w:val="center"/>
                          <w:rPr>
                            <w:b/>
                            <w:sz w:val="20"/>
                          </w:rPr>
                        </w:pPr>
                        <w:r>
                          <w:rPr>
                            <w:b/>
                            <w:sz w:val="20"/>
                          </w:rPr>
                          <w:t>24</w:t>
                        </w:r>
                      </w:p>
                    </w:tc>
                    <w:tc>
                      <w:tcPr>
                        <w:tcW w:w="1246" w:type="dxa"/>
                      </w:tcPr>
                      <w:p>
                        <w:pPr>
                          <w:pStyle w:val="TableParagraph"/>
                          <w:spacing w:line="229" w:lineRule="exact"/>
                          <w:ind w:left="341" w:right="340"/>
                          <w:jc w:val="center"/>
                          <w:rPr>
                            <w:b/>
                            <w:sz w:val="20"/>
                          </w:rPr>
                        </w:pPr>
                        <w:r>
                          <w:rPr>
                            <w:b/>
                            <w:sz w:val="20"/>
                          </w:rPr>
                          <w:t>19</w:t>
                        </w:r>
                      </w:p>
                    </w:tc>
                    <w:tc>
                      <w:tcPr>
                        <w:tcW w:w="1277" w:type="dxa"/>
                      </w:tcPr>
                      <w:p>
                        <w:pPr>
                          <w:pStyle w:val="TableParagraph"/>
                          <w:spacing w:line="229" w:lineRule="exact"/>
                          <w:ind w:left="128" w:right="127"/>
                          <w:jc w:val="center"/>
                          <w:rPr>
                            <w:b/>
                            <w:sz w:val="20"/>
                          </w:rPr>
                        </w:pPr>
                        <w:r>
                          <w:rPr>
                            <w:b/>
                            <w:sz w:val="20"/>
                          </w:rPr>
                          <w:t>15</w:t>
                        </w:r>
                      </w:p>
                    </w:tc>
                    <w:tc>
                      <w:tcPr>
                        <w:tcW w:w="1276" w:type="dxa"/>
                      </w:tcPr>
                      <w:p>
                        <w:pPr>
                          <w:pStyle w:val="TableParagraph"/>
                          <w:spacing w:line="229" w:lineRule="exact"/>
                          <w:ind w:left="354" w:right="354"/>
                          <w:jc w:val="center"/>
                          <w:rPr>
                            <w:b/>
                            <w:sz w:val="20"/>
                          </w:rPr>
                        </w:pPr>
                        <w:r>
                          <w:rPr>
                            <w:b/>
                            <w:sz w:val="20"/>
                          </w:rPr>
                          <w:t>23</w:t>
                        </w:r>
                      </w:p>
                    </w:tc>
                  </w:tr>
                </w:tbl>
                <w:p>
                  <w:pPr>
                    <w:pStyle w:val="BodyText"/>
                  </w:pPr>
                </w:p>
              </w:txbxContent>
            </v:textbox>
            <w10:wrap type="none"/>
          </v:shape>
        </w:pict>
      </w:r>
      <w:r>
        <w:rPr/>
        <w:t>4.   Results</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spacing w:after="0"/>
        <w:sectPr>
          <w:footerReference w:type="default" r:id="rId811"/>
          <w:pgSz w:w="12240" w:h="15840"/>
          <w:pgMar w:footer="852" w:header="545" w:top="1060" w:bottom="1040" w:left="580" w:right="220"/>
          <w:pgNumType w:start="319"/>
        </w:sectPr>
      </w:pPr>
    </w:p>
    <w:p>
      <w:pPr>
        <w:pStyle w:val="BodyText"/>
        <w:rPr>
          <w:b/>
        </w:rPr>
      </w:pPr>
    </w:p>
    <w:p>
      <w:pPr>
        <w:pStyle w:val="ListParagraph"/>
        <w:numPr>
          <w:ilvl w:val="2"/>
          <w:numId w:val="179"/>
        </w:numPr>
        <w:tabs>
          <w:tab w:pos="979" w:val="left" w:leader="none"/>
        </w:tabs>
        <w:spacing w:line="240" w:lineRule="auto" w:before="0" w:after="0"/>
        <w:ind w:left="978" w:right="0" w:hanging="348"/>
        <w:jc w:val="left"/>
        <w:rPr>
          <w:b/>
          <w:sz w:val="20"/>
        </w:rPr>
      </w:pPr>
      <w:r>
        <w:rPr>
          <w:b/>
          <w:sz w:val="20"/>
        </w:rPr>
        <w:t>Methodology</w:t>
      </w:r>
    </w:p>
    <w:p>
      <w:pPr>
        <w:pStyle w:val="BodyText"/>
        <w:spacing w:before="11"/>
        <w:rPr>
          <w:b/>
          <w:sz w:val="19"/>
        </w:rPr>
      </w:pPr>
    </w:p>
    <w:p>
      <w:pPr>
        <w:pStyle w:val="ListParagraph"/>
        <w:numPr>
          <w:ilvl w:val="1"/>
          <w:numId w:val="180"/>
        </w:numPr>
        <w:tabs>
          <w:tab w:pos="978" w:val="left" w:leader="none"/>
          <w:tab w:pos="979" w:val="left" w:leader="none"/>
        </w:tabs>
        <w:spacing w:line="228" w:lineRule="exact" w:before="0" w:after="0"/>
        <w:ind w:left="978" w:right="0" w:hanging="708"/>
        <w:jc w:val="left"/>
        <w:rPr>
          <w:b/>
          <w:sz w:val="20"/>
        </w:rPr>
      </w:pPr>
      <w:r>
        <w:rPr>
          <w:b/>
          <w:sz w:val="20"/>
        </w:rPr>
        <w:t>Subjects</w:t>
      </w:r>
    </w:p>
    <w:p>
      <w:pPr>
        <w:pStyle w:val="BodyText"/>
        <w:ind w:left="990" w:right="1"/>
        <w:jc w:val="both"/>
      </w:pPr>
      <w:r>
        <w:rPr/>
        <w:t>Forty three boys and thirty eight girls, aged 7 and 8 years old, from two private and two public elementary schools participated in this research. Children in each school were selected randomly.</w:t>
      </w:r>
    </w:p>
    <w:p>
      <w:pPr>
        <w:pStyle w:val="BodyText"/>
        <w:spacing w:before="3"/>
      </w:pPr>
    </w:p>
    <w:p>
      <w:pPr>
        <w:pStyle w:val="Heading4"/>
        <w:numPr>
          <w:ilvl w:val="1"/>
          <w:numId w:val="180"/>
        </w:numPr>
        <w:tabs>
          <w:tab w:pos="978" w:val="left" w:leader="none"/>
          <w:tab w:pos="979" w:val="left" w:leader="none"/>
        </w:tabs>
        <w:spacing w:line="228" w:lineRule="exact" w:before="0" w:after="0"/>
        <w:ind w:left="978" w:right="0" w:hanging="708"/>
        <w:jc w:val="left"/>
      </w:pPr>
      <w:r>
        <w:rPr/>
        <w:t>Experimental</w:t>
      </w:r>
      <w:r>
        <w:rPr>
          <w:spacing w:val="-17"/>
        </w:rPr>
        <w:t> </w:t>
      </w:r>
      <w:r>
        <w:rPr/>
        <w:t>procedure</w:t>
      </w:r>
    </w:p>
    <w:p>
      <w:pPr>
        <w:pStyle w:val="BodyText"/>
        <w:spacing w:line="235" w:lineRule="auto" w:before="2"/>
        <w:ind w:left="978"/>
        <w:jc w:val="both"/>
      </w:pPr>
      <w:r>
        <w:rPr/>
        <w:pict>
          <v:shape style="position:absolute;margin-left:77.939758pt;margin-top:110.710533pt;width:116.25pt;height:66.55pt;mso-position-horizontal-relative:page;mso-position-vertical-relative:paragraph;z-index:-859648" type="#_x0000_t202" filled="false" stroked="false">
            <v:textbox inset="0,0,0,0">
              <w:txbxContent>
                <w:p>
                  <w:pPr>
                    <w:pStyle w:val="BodyText"/>
                    <w:spacing w:before="84"/>
                    <w:ind w:right="2222"/>
                    <w:jc w:val="both"/>
                  </w:pPr>
                  <w:r>
                    <w:rPr/>
                    <w:t>e i g h t</w:t>
                  </w:r>
                </w:p>
              </w:txbxContent>
            </v:textbox>
            <w10:wrap type="none"/>
          </v:shape>
        </w:pict>
      </w:r>
      <w:r>
        <w:rPr/>
        <w:pict>
          <v:shape style="position:absolute;margin-left:77.939758pt;margin-top:178.450531pt;width:116.65pt;height:76.150pt;mso-position-horizontal-relative:page;mso-position-vertical-relative:paragraph;z-index:-859624" type="#_x0000_t202" filled="false" stroked="false">
            <v:textbox inset="0,0,0,0">
              <w:txbxContent>
                <w:p>
                  <w:pPr>
                    <w:pStyle w:val="BodyText"/>
                    <w:spacing w:before="109"/>
                    <w:ind w:right="2174"/>
                    <w:jc w:val="both"/>
                  </w:pPr>
                  <w:r>
                    <w:rPr/>
                    <w:t>a n d</w:t>
                  </w:r>
                </w:p>
                <w:p>
                  <w:pPr>
                    <w:pStyle w:val="BodyText"/>
                    <w:spacing w:before="11"/>
                    <w:rPr>
                      <w:sz w:val="19"/>
                    </w:rPr>
                  </w:pPr>
                </w:p>
                <w:p>
                  <w:pPr>
                    <w:pStyle w:val="BodyText"/>
                    <w:ind w:right="2174"/>
                    <w:jc w:val="both"/>
                  </w:pPr>
                  <w:r>
                    <w:rPr/>
                    <w:t>m a</w:t>
                  </w:r>
                </w:p>
              </w:txbxContent>
            </v:textbox>
            <w10:wrap type="none"/>
          </v:shape>
        </w:pict>
      </w:r>
      <w:r>
        <w:rPr/>
        <w:pict>
          <v:group style="position:absolute;margin-left:73.010002pt;margin-top:109.980553pt;width:463.55pt;height:145.35pt;mso-position-horizontal-relative:page;mso-position-vertical-relative:paragraph;z-index:-859600" coordorigin="1460,2200" coordsize="9271,2907">
            <v:shape style="position:absolute;left:4106;top:2214;width:2080;height:1332" type="#_x0000_t75" stroked="false">
              <v:imagedata r:id="rId812" o:title=""/>
            </v:shape>
            <v:shape style="position:absolute;left:8708;top:2214;width:1907;height:1250" type="#_x0000_t75" stroked="false">
              <v:imagedata r:id="rId813" o:title=""/>
            </v:shape>
            <v:line style="position:absolute" from="1465,2209" to="10726,2209" stroked="true" strokeweight=".47998pt" strokecolor="#000000"/>
            <v:line style="position:absolute" from="3998,2214" to="3998,3559" stroked="true" strokeweight=".48pt" strokecolor="#000000"/>
            <v:shape style="position:absolute;left:6332;top:2214;width:2270;height:1346" coordorigin="6332,2214" coordsize="2270,1346" path="m6332,2214l6332,3559m8602,2214l8602,3559e" filled="false" stroked="true" strokeweight=".48001pt" strokecolor="#000000">
              <v:path arrowok="t"/>
            </v:shape>
            <v:shape style="position:absolute;left:1578;top:2214;width:2313;height:2878" type="#_x0000_t75" stroked="false">
              <v:imagedata r:id="rId814" o:title=""/>
            </v:shape>
            <v:shape style="position:absolute;left:4106;top:3569;width:2118;height:1481" type="#_x0000_t75" stroked="false">
              <v:imagedata r:id="rId815" o:title=""/>
            </v:shape>
            <v:shape style="position:absolute;left:6440;top:2214;width:2056;height:2836" type="#_x0000_t75" stroked="false">
              <v:imagedata r:id="rId816" o:title=""/>
            </v:shape>
            <v:shape style="position:absolute;left:8708;top:3569;width:1904;height:1399" type="#_x0000_t75" stroked="false">
              <v:imagedata r:id="rId817" o:title=""/>
            </v:shape>
            <v:line style="position:absolute" from="1465,3564" to="10726,3564" stroked="true" strokeweight=".48001pt" strokecolor="#000000"/>
            <v:line style="position:absolute" from="1470,2205" to="1470,5101" stroked="true" strokeweight=".48pt" strokecolor="#000000"/>
            <v:line style="position:absolute" from="1465,5097" to="3994,5097" stroked="true" strokeweight=".48001pt" strokecolor="#000000"/>
            <v:line style="position:absolute" from="3998,3569" to="3998,5101" stroked="true" strokeweight=".48pt" strokecolor="#000000"/>
            <v:shape style="position:absolute;left:4003;top:3569;width:6713;height:1533" coordorigin="4003,3569" coordsize="6713,1533" path="m4003,5097l6328,5097m6332,3569l6332,5101m6337,5097l8597,5097m8602,3569l8602,5101m8606,5097l10716,5097e" filled="false" stroked="true" strokeweight=".48001pt" strokecolor="#000000">
              <v:path arrowok="t"/>
            </v:shape>
            <v:line style="position:absolute" from="10721,2205" to="10721,5101" stroked="true" strokeweight=".48004pt" strokecolor="#000000"/>
            <w10:wrap type="none"/>
          </v:group>
        </w:pict>
      </w:r>
      <w:r>
        <w:rPr/>
        <w:t>A group of university students were trained to perform this study. Five main outcome measures were collected: weight, stature, sitting elbow height from seat to flexed elbow about 90</w:t>
      </w:r>
      <w:r>
        <w:rPr>
          <w:position w:val="9"/>
          <w:sz w:val="13"/>
        </w:rPr>
        <w:t>o</w:t>
      </w:r>
      <w:r>
        <w:rPr/>
        <w:t>, popliteal height and maximum distance from the back of knee to the back of the seat. Weight was measured to the nearest 0.1 kilogram. The measures made to the nearest 0.1 centimeter were: stature, sitting elbow height from seat to flexed elbow about 90</w:t>
      </w:r>
      <w:r>
        <w:rPr>
          <w:position w:val="9"/>
          <w:sz w:val="13"/>
        </w:rPr>
        <w:t>o</w:t>
      </w:r>
      <w:r>
        <w:rPr/>
        <w:t>, popliteal h</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pPr>
    </w:p>
    <w:p>
      <w:pPr>
        <w:pStyle w:val="BodyText"/>
        <w:spacing w:line="230" w:lineRule="exact"/>
        <w:ind w:left="978"/>
        <w:jc w:val="both"/>
      </w:pPr>
      <w:r>
        <w:rPr>
          <w:w w:val="100"/>
        </w:rPr>
        <w:t>x</w:t>
      </w:r>
    </w:p>
    <w:p>
      <w:pPr>
        <w:pStyle w:val="BodyText"/>
        <w:ind w:left="978" w:right="2"/>
        <w:jc w:val="both"/>
      </w:pPr>
      <w:r>
        <w:rPr/>
        <w:t>imum distance from the back of knee to the back of the seat.</w:t>
      </w:r>
    </w:p>
    <w:p>
      <w:pPr>
        <w:pStyle w:val="BodyText"/>
        <w:ind w:left="978"/>
        <w:jc w:val="both"/>
      </w:pPr>
      <w:r>
        <w:rPr/>
        <w:t>When body measurements were taken two trained data collectors were necessary, one collected the information from each child and the other one recorded it in a data sheet. The name of the child, age, sex, date of birth, grade and the name of the school were also recorded. The selected children wore light clothing and were barefooted.</w:t>
      </w:r>
    </w:p>
    <w:p>
      <w:pPr>
        <w:pStyle w:val="BodyText"/>
        <w:spacing w:before="2"/>
      </w:pPr>
    </w:p>
    <w:p>
      <w:pPr>
        <w:pStyle w:val="Heading4"/>
        <w:numPr>
          <w:ilvl w:val="1"/>
          <w:numId w:val="180"/>
        </w:numPr>
        <w:tabs>
          <w:tab w:pos="978" w:val="left" w:leader="none"/>
          <w:tab w:pos="979" w:val="left" w:leader="none"/>
        </w:tabs>
        <w:spacing w:line="228" w:lineRule="exact" w:before="0" w:after="0"/>
        <w:ind w:left="978" w:right="0" w:hanging="708"/>
        <w:jc w:val="left"/>
      </w:pPr>
      <w:r>
        <w:rPr/>
        <w:t>Instruments</w:t>
      </w:r>
    </w:p>
    <w:p>
      <w:pPr>
        <w:pStyle w:val="BodyText"/>
        <w:ind w:left="979" w:right="1"/>
        <w:jc w:val="both"/>
      </w:pPr>
      <w:r>
        <w:rPr/>
        <w:t>A Martin type anthropometer, a digital weighing scale and a chair with adjustable height were used in this survey.</w:t>
      </w:r>
    </w:p>
    <w:p>
      <w:pPr>
        <w:pStyle w:val="BodyText"/>
      </w:pPr>
      <w:r>
        <w:rPr/>
        <w:br w:type="column"/>
      </w:r>
      <w:r>
        <w:rPr/>
      </w:r>
    </w:p>
    <w:p>
      <w:pPr>
        <w:pStyle w:val="BodyText"/>
        <w:spacing w:before="8"/>
        <w:rPr>
          <w:sz w:val="19"/>
        </w:rPr>
      </w:pPr>
    </w:p>
    <w:p>
      <w:pPr>
        <w:pStyle w:val="BodyText"/>
        <w:ind w:left="270" w:right="677"/>
        <w:jc w:val="both"/>
      </w:pPr>
      <w:r>
        <w:rPr/>
        <w:t>The collected data was stratified in two groups: private and public schools, and into two subgroups,</w:t>
      </w:r>
    </w:p>
    <w:p>
      <w:pPr>
        <w:pStyle w:val="BodyText"/>
        <w:spacing w:line="235" w:lineRule="auto" w:before="3"/>
        <w:ind w:left="270" w:right="676"/>
        <w:jc w:val="both"/>
      </w:pPr>
      <w:r>
        <w:rPr/>
        <w:t>by age and sex, as it is presented in table 1. Subsequently data was normalized and descriptive statistics was obtained, both using Minitab 16 for Windows. Histograms and boxplots are shown in figures 1 and 2, Tables 2 to 9 display: mean, standard deviation, 5</w:t>
      </w:r>
      <w:r>
        <w:rPr>
          <w:position w:val="9"/>
          <w:sz w:val="13"/>
        </w:rPr>
        <w:t>th</w:t>
      </w:r>
      <w:r>
        <w:rPr/>
        <w:t>, 50</w:t>
      </w:r>
      <w:r>
        <w:rPr>
          <w:position w:val="9"/>
          <w:sz w:val="13"/>
        </w:rPr>
        <w:t>th</w:t>
      </w:r>
      <w:r>
        <w:rPr/>
        <w:t>, 95</w:t>
      </w:r>
      <w:r>
        <w:rPr>
          <w:position w:val="9"/>
          <w:sz w:val="13"/>
        </w:rPr>
        <w:t>th </w:t>
      </w:r>
      <w:r>
        <w:rPr/>
        <w:t>percentiles,  minimum values and maximum values for the five anthropometric</w:t>
      </w:r>
      <w:r>
        <w:rPr>
          <w:spacing w:val="-14"/>
        </w:rPr>
        <w:t> </w:t>
      </w:r>
      <w:r>
        <w:rPr/>
        <w:t>dimensions.</w:t>
      </w:r>
    </w:p>
    <w:p>
      <w:pPr>
        <w:pStyle w:val="BodyText"/>
        <w:spacing w:before="1"/>
      </w:pPr>
    </w:p>
    <w:p>
      <w:pPr>
        <w:pStyle w:val="BodyText"/>
        <w:ind w:left="270" w:right="676"/>
        <w:jc w:val="both"/>
      </w:pPr>
      <w:r>
        <w:rPr/>
        <w:t>Significant differences were found for the sitting anthropometric parameter popliteal height in both boys and girls aged 7. In addition, significant difference was also found for the body characteristic maximum distance from the back of the knee to the back of the seat, only for the 8 year-old group of girls. The anthropometric dimensions where no significant differences were found are:</w:t>
      </w:r>
      <w:r>
        <w:rPr>
          <w:spacing w:val="-10"/>
        </w:rPr>
        <w:t> </w:t>
      </w:r>
      <w:r>
        <w:rPr/>
        <w:t>weight,</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6"/>
      </w:pPr>
    </w:p>
    <w:p>
      <w:pPr>
        <w:pStyle w:val="BodyText"/>
        <w:spacing w:line="230" w:lineRule="auto"/>
        <w:ind w:left="270" w:right="677"/>
        <w:jc w:val="both"/>
      </w:pPr>
      <w:r>
        <w:rPr/>
        <w:t>stature, sitting elbow height from seat to flexed elbow about 90</w:t>
      </w:r>
      <w:r>
        <w:rPr>
          <w:position w:val="9"/>
          <w:sz w:val="13"/>
        </w:rPr>
        <w:t>o </w:t>
      </w:r>
      <w:r>
        <w:rPr/>
        <w:t>for 7 year-old children and the maximum distance from the back of knee to the back of the seat for only 8 year-old boys.</w:t>
      </w:r>
    </w:p>
    <w:p>
      <w:pPr>
        <w:spacing w:after="0" w:line="230" w:lineRule="auto"/>
        <w:jc w:val="both"/>
        <w:sectPr>
          <w:type w:val="continuous"/>
          <w:pgSz w:w="12240" w:h="15840"/>
          <w:pgMar w:top="1500" w:bottom="280" w:left="580" w:right="220"/>
          <w:cols w:num="2" w:equalWidth="0">
            <w:col w:w="5192" w:space="432"/>
            <w:col w:w="5816"/>
          </w:cols>
        </w:sectPr>
      </w:pPr>
    </w:p>
    <w:p>
      <w:pPr>
        <w:pStyle w:val="BodyText"/>
        <w:spacing w:before="6"/>
        <w:rPr>
          <w:sz w:val="14"/>
        </w:rPr>
      </w:pPr>
    </w:p>
    <w:p>
      <w:pPr>
        <w:pStyle w:val="BodyText"/>
        <w:ind w:left="153"/>
      </w:pPr>
      <w:r>
        <w:rPr/>
        <w:pict>
          <v:group style="width:470pt;height:150.2pt;mso-position-horizontal-relative:char;mso-position-vertical-relative:line" coordorigin="0,0" coordsize="9400,3004">
            <v:shape style="position:absolute;left:124;top:16;width:4414;height:2935" type="#_x0000_t75" stroked="false">
              <v:imagedata r:id="rId818" o:title=""/>
            </v:shape>
            <v:shape style="position:absolute;left:4891;top:16;width:4390;height:2933" type="#_x0000_t75" stroked="false">
              <v:imagedata r:id="rId819" o:title=""/>
            </v:shape>
            <v:line style="position:absolute" from="5,10" to="9395,10" stroked="true" strokeweight=".48004pt" strokecolor="#000000"/>
            <v:line style="position:absolute" from="10,5" to="10,2999" stroked="true" strokeweight=".47998pt" strokecolor="#000000"/>
            <v:line style="position:absolute" from="5,2994" to="4645,2994" stroked="true" strokeweight=".47998pt" strokecolor="#000000"/>
            <v:line style="position:absolute" from="4631,2994" to="9385,2994" stroked="true" strokeweight=".47998pt" strokecolor="#000000"/>
            <v:line style="position:absolute" from="9390,5" to="9390,2999" stroked="true" strokeweight=".48001pt" strokecolor="#000000"/>
          </v:group>
        </w:pict>
      </w:r>
      <w:r>
        <w:rPr/>
      </w:r>
    </w:p>
    <w:p>
      <w:pPr>
        <w:pStyle w:val="BodyText"/>
        <w:spacing w:before="8"/>
        <w:rPr>
          <w:sz w:val="29"/>
        </w:rPr>
      </w:pPr>
    </w:p>
    <w:p>
      <w:pPr>
        <w:pStyle w:val="BodyText"/>
        <w:spacing w:before="75"/>
        <w:ind w:left="586"/>
      </w:pPr>
      <w:r>
        <w:rPr/>
        <w:pict>
          <v:shape style="position:absolute;margin-left:83.699997pt;margin-top:.366114pt;width:442.4pt;height:130.4500pt;mso-position-horizontal-relative:page;mso-position-vertical-relative:paragraph;z-index:19288"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68"/>
                    <w:gridCol w:w="851"/>
                    <w:gridCol w:w="1134"/>
                    <w:gridCol w:w="992"/>
                    <w:gridCol w:w="709"/>
                    <w:gridCol w:w="709"/>
                    <w:gridCol w:w="1086"/>
                    <w:gridCol w:w="1084"/>
                  </w:tblGrid>
                  <w:tr>
                    <w:trPr>
                      <w:trHeight w:val="469" w:hRule="exact"/>
                    </w:trPr>
                    <w:tc>
                      <w:tcPr>
                        <w:tcW w:w="2268" w:type="dxa"/>
                        <w:vMerge w:val="restart"/>
                      </w:tcPr>
                      <w:p>
                        <w:pPr>
                          <w:pStyle w:val="TableParagraph"/>
                          <w:spacing w:line="229" w:lineRule="exact"/>
                          <w:ind w:left="414" w:right="414"/>
                          <w:jc w:val="center"/>
                          <w:rPr>
                            <w:b/>
                            <w:sz w:val="20"/>
                          </w:rPr>
                        </w:pPr>
                        <w:r>
                          <w:rPr>
                            <w:b/>
                            <w:sz w:val="20"/>
                          </w:rPr>
                          <w:t>Anthropometric</w:t>
                        </w:r>
                      </w:p>
                      <w:p>
                        <w:pPr>
                          <w:pStyle w:val="TableParagraph"/>
                          <w:spacing w:before="10"/>
                          <w:rPr>
                            <w:sz w:val="20"/>
                          </w:rPr>
                        </w:pPr>
                      </w:p>
                      <w:p>
                        <w:pPr>
                          <w:pStyle w:val="TableParagraph"/>
                          <w:ind w:left="414" w:right="414"/>
                          <w:jc w:val="center"/>
                          <w:rPr>
                            <w:b/>
                            <w:sz w:val="20"/>
                          </w:rPr>
                        </w:pPr>
                        <w:r>
                          <w:rPr>
                            <w:b/>
                            <w:sz w:val="20"/>
                          </w:rPr>
                          <w:t>Dimensions</w:t>
                        </w:r>
                      </w:p>
                    </w:tc>
                    <w:tc>
                      <w:tcPr>
                        <w:tcW w:w="851" w:type="dxa"/>
                        <w:vMerge w:val="restart"/>
                      </w:tcPr>
                      <w:p>
                        <w:pPr>
                          <w:pStyle w:val="TableParagraph"/>
                          <w:spacing w:line="229" w:lineRule="exact"/>
                          <w:ind w:left="176" w:right="70"/>
                          <w:rPr>
                            <w:b/>
                            <w:sz w:val="20"/>
                          </w:rPr>
                        </w:pPr>
                        <w:r>
                          <w:rPr>
                            <w:b/>
                            <w:sz w:val="20"/>
                          </w:rPr>
                          <w:t>Mean</w:t>
                        </w:r>
                      </w:p>
                    </w:tc>
                    <w:tc>
                      <w:tcPr>
                        <w:tcW w:w="1134" w:type="dxa"/>
                        <w:vMerge w:val="restart"/>
                      </w:tcPr>
                      <w:p>
                        <w:pPr>
                          <w:pStyle w:val="TableParagraph"/>
                          <w:spacing w:line="229" w:lineRule="exact"/>
                          <w:ind w:left="152" w:right="55" w:firstLine="10"/>
                          <w:rPr>
                            <w:b/>
                            <w:sz w:val="20"/>
                          </w:rPr>
                        </w:pPr>
                        <w:r>
                          <w:rPr>
                            <w:b/>
                            <w:sz w:val="20"/>
                          </w:rPr>
                          <w:t>Standard</w:t>
                        </w:r>
                      </w:p>
                      <w:p>
                        <w:pPr>
                          <w:pStyle w:val="TableParagraph"/>
                          <w:spacing w:before="10"/>
                          <w:rPr>
                            <w:sz w:val="20"/>
                          </w:rPr>
                        </w:pPr>
                      </w:p>
                      <w:p>
                        <w:pPr>
                          <w:pStyle w:val="TableParagraph"/>
                          <w:ind w:left="152" w:right="55"/>
                          <w:rPr>
                            <w:b/>
                            <w:sz w:val="20"/>
                          </w:rPr>
                        </w:pPr>
                        <w:r>
                          <w:rPr>
                            <w:b/>
                            <w:sz w:val="20"/>
                          </w:rPr>
                          <w:t>Deviation</w:t>
                        </w:r>
                      </w:p>
                    </w:tc>
                    <w:tc>
                      <w:tcPr>
                        <w:tcW w:w="2411" w:type="dxa"/>
                        <w:gridSpan w:val="3"/>
                      </w:tcPr>
                      <w:p>
                        <w:pPr>
                          <w:pStyle w:val="TableParagraph"/>
                          <w:spacing w:line="229" w:lineRule="exact"/>
                          <w:ind w:left="772"/>
                          <w:rPr>
                            <w:b/>
                            <w:sz w:val="20"/>
                          </w:rPr>
                        </w:pPr>
                        <w:r>
                          <w:rPr>
                            <w:b/>
                            <w:sz w:val="20"/>
                          </w:rPr>
                          <w:t>Percentile</w:t>
                        </w:r>
                      </w:p>
                    </w:tc>
                    <w:tc>
                      <w:tcPr>
                        <w:tcW w:w="1086" w:type="dxa"/>
                        <w:vMerge w:val="restart"/>
                      </w:tcPr>
                      <w:p>
                        <w:pPr>
                          <w:pStyle w:val="TableParagraph"/>
                          <w:spacing w:line="229" w:lineRule="exact"/>
                          <w:ind w:left="110"/>
                          <w:rPr>
                            <w:b/>
                            <w:sz w:val="20"/>
                          </w:rPr>
                        </w:pPr>
                        <w:r>
                          <w:rPr>
                            <w:b/>
                            <w:sz w:val="20"/>
                          </w:rPr>
                          <w:t>Minimum</w:t>
                        </w:r>
                      </w:p>
                    </w:tc>
                    <w:tc>
                      <w:tcPr>
                        <w:tcW w:w="1084" w:type="dxa"/>
                        <w:vMerge w:val="restart"/>
                      </w:tcPr>
                      <w:p>
                        <w:pPr>
                          <w:pStyle w:val="TableParagraph"/>
                          <w:ind w:left="453" w:right="157" w:hanging="279"/>
                          <w:rPr>
                            <w:b/>
                            <w:sz w:val="20"/>
                          </w:rPr>
                        </w:pPr>
                        <w:r>
                          <w:rPr>
                            <w:b/>
                            <w:sz w:val="20"/>
                          </w:rPr>
                          <w:t>Maximu m</w:t>
                        </w:r>
                      </w:p>
                    </w:tc>
                  </w:tr>
                  <w:tr>
                    <w:trPr>
                      <w:trHeight w:val="240" w:hRule="exact"/>
                    </w:trPr>
                    <w:tc>
                      <w:tcPr>
                        <w:tcW w:w="2268" w:type="dxa"/>
                        <w:vMerge/>
                      </w:tcPr>
                      <w:p>
                        <w:pPr/>
                      </w:p>
                    </w:tc>
                    <w:tc>
                      <w:tcPr>
                        <w:tcW w:w="851" w:type="dxa"/>
                        <w:vMerge/>
                      </w:tcPr>
                      <w:p>
                        <w:pPr/>
                      </w:p>
                    </w:tc>
                    <w:tc>
                      <w:tcPr>
                        <w:tcW w:w="1134" w:type="dxa"/>
                        <w:vMerge/>
                      </w:tcPr>
                      <w:p>
                        <w:pPr/>
                      </w:p>
                    </w:tc>
                    <w:tc>
                      <w:tcPr>
                        <w:tcW w:w="992" w:type="dxa"/>
                      </w:tcPr>
                      <w:p>
                        <w:pPr>
                          <w:pStyle w:val="TableParagraph"/>
                          <w:ind w:left="2"/>
                          <w:jc w:val="center"/>
                          <w:rPr>
                            <w:b/>
                            <w:sz w:val="20"/>
                          </w:rPr>
                        </w:pPr>
                        <w:r>
                          <w:rPr>
                            <w:b/>
                            <w:w w:val="100"/>
                            <w:sz w:val="20"/>
                          </w:rPr>
                          <w:t>5</w:t>
                        </w:r>
                      </w:p>
                    </w:tc>
                    <w:tc>
                      <w:tcPr>
                        <w:tcW w:w="709" w:type="dxa"/>
                      </w:tcPr>
                      <w:p>
                        <w:pPr>
                          <w:pStyle w:val="TableParagraph"/>
                          <w:ind w:left="84" w:right="82"/>
                          <w:jc w:val="center"/>
                          <w:rPr>
                            <w:b/>
                            <w:sz w:val="20"/>
                          </w:rPr>
                        </w:pPr>
                        <w:r>
                          <w:rPr>
                            <w:b/>
                            <w:sz w:val="20"/>
                          </w:rPr>
                          <w:t>50</w:t>
                        </w:r>
                      </w:p>
                    </w:tc>
                    <w:tc>
                      <w:tcPr>
                        <w:tcW w:w="709" w:type="dxa"/>
                      </w:tcPr>
                      <w:p>
                        <w:pPr>
                          <w:pStyle w:val="TableParagraph"/>
                          <w:ind w:left="84" w:right="82"/>
                          <w:jc w:val="center"/>
                          <w:rPr>
                            <w:b/>
                            <w:sz w:val="20"/>
                          </w:rPr>
                        </w:pPr>
                        <w:r>
                          <w:rPr>
                            <w:b/>
                            <w:sz w:val="20"/>
                          </w:rPr>
                          <w:t>95</w:t>
                        </w:r>
                      </w:p>
                    </w:tc>
                    <w:tc>
                      <w:tcPr>
                        <w:tcW w:w="1086" w:type="dxa"/>
                        <w:vMerge/>
                      </w:tcPr>
                      <w:p>
                        <w:pPr/>
                      </w:p>
                    </w:tc>
                    <w:tc>
                      <w:tcPr>
                        <w:tcW w:w="1084" w:type="dxa"/>
                        <w:vMerge/>
                      </w:tcPr>
                      <w:p>
                        <w:pPr/>
                      </w:p>
                    </w:tc>
                  </w:tr>
                  <w:tr>
                    <w:trPr>
                      <w:trHeight w:val="240" w:hRule="exact"/>
                    </w:trPr>
                    <w:tc>
                      <w:tcPr>
                        <w:tcW w:w="2268" w:type="dxa"/>
                      </w:tcPr>
                      <w:p>
                        <w:pPr>
                          <w:pStyle w:val="TableParagraph"/>
                          <w:spacing w:line="228" w:lineRule="exact"/>
                          <w:ind w:left="103" w:right="363"/>
                          <w:rPr>
                            <w:sz w:val="20"/>
                          </w:rPr>
                        </w:pPr>
                        <w:r>
                          <w:rPr>
                            <w:sz w:val="20"/>
                          </w:rPr>
                          <w:t>Weight (kilograms)</w:t>
                        </w:r>
                      </w:p>
                    </w:tc>
                    <w:tc>
                      <w:tcPr>
                        <w:tcW w:w="851" w:type="dxa"/>
                      </w:tcPr>
                      <w:p>
                        <w:pPr>
                          <w:pStyle w:val="TableParagraph"/>
                          <w:spacing w:line="228" w:lineRule="exact"/>
                          <w:ind w:left="174" w:right="174"/>
                          <w:jc w:val="center"/>
                          <w:rPr>
                            <w:sz w:val="20"/>
                          </w:rPr>
                        </w:pPr>
                        <w:r>
                          <w:rPr>
                            <w:sz w:val="20"/>
                          </w:rPr>
                          <w:t>27.5</w:t>
                        </w:r>
                      </w:p>
                    </w:tc>
                    <w:tc>
                      <w:tcPr>
                        <w:tcW w:w="1134" w:type="dxa"/>
                      </w:tcPr>
                      <w:p>
                        <w:pPr>
                          <w:pStyle w:val="TableParagraph"/>
                          <w:spacing w:line="228" w:lineRule="exact"/>
                          <w:ind w:left="362" w:right="362"/>
                          <w:jc w:val="center"/>
                          <w:rPr>
                            <w:sz w:val="20"/>
                          </w:rPr>
                        </w:pPr>
                        <w:r>
                          <w:rPr>
                            <w:sz w:val="20"/>
                          </w:rPr>
                          <w:t>6.6</w:t>
                        </w:r>
                      </w:p>
                    </w:tc>
                    <w:tc>
                      <w:tcPr>
                        <w:tcW w:w="992" w:type="dxa"/>
                      </w:tcPr>
                      <w:p>
                        <w:pPr>
                          <w:pStyle w:val="TableParagraph"/>
                          <w:spacing w:line="228" w:lineRule="exact"/>
                          <w:ind w:left="156" w:right="156"/>
                          <w:jc w:val="center"/>
                          <w:rPr>
                            <w:sz w:val="20"/>
                          </w:rPr>
                        </w:pPr>
                        <w:r>
                          <w:rPr>
                            <w:sz w:val="20"/>
                          </w:rPr>
                          <w:t>20.0</w:t>
                        </w:r>
                      </w:p>
                    </w:tc>
                    <w:tc>
                      <w:tcPr>
                        <w:tcW w:w="709" w:type="dxa"/>
                      </w:tcPr>
                      <w:p>
                        <w:pPr>
                          <w:pStyle w:val="TableParagraph"/>
                          <w:spacing w:line="228" w:lineRule="exact"/>
                          <w:ind w:left="226" w:right="82"/>
                          <w:jc w:val="center"/>
                          <w:rPr>
                            <w:sz w:val="20"/>
                          </w:rPr>
                        </w:pPr>
                        <w:r>
                          <w:rPr>
                            <w:sz w:val="20"/>
                          </w:rPr>
                          <w:t>25.7</w:t>
                        </w:r>
                      </w:p>
                    </w:tc>
                    <w:tc>
                      <w:tcPr>
                        <w:tcW w:w="709" w:type="dxa"/>
                      </w:tcPr>
                      <w:p>
                        <w:pPr>
                          <w:pStyle w:val="TableParagraph"/>
                          <w:spacing w:line="228" w:lineRule="exact"/>
                          <w:ind w:right="99"/>
                          <w:jc w:val="right"/>
                          <w:rPr>
                            <w:sz w:val="20"/>
                          </w:rPr>
                        </w:pPr>
                        <w:r>
                          <w:rPr>
                            <w:sz w:val="20"/>
                          </w:rPr>
                          <w:t>41.8</w:t>
                        </w:r>
                      </w:p>
                    </w:tc>
                    <w:tc>
                      <w:tcPr>
                        <w:tcW w:w="1086" w:type="dxa"/>
                      </w:tcPr>
                      <w:p>
                        <w:pPr>
                          <w:pStyle w:val="TableParagraph"/>
                          <w:spacing w:line="228" w:lineRule="exact"/>
                          <w:ind w:right="360"/>
                          <w:jc w:val="right"/>
                          <w:rPr>
                            <w:sz w:val="20"/>
                          </w:rPr>
                        </w:pPr>
                        <w:r>
                          <w:rPr>
                            <w:sz w:val="20"/>
                          </w:rPr>
                          <w:t>20.0</w:t>
                        </w:r>
                      </w:p>
                    </w:tc>
                    <w:tc>
                      <w:tcPr>
                        <w:tcW w:w="1084" w:type="dxa"/>
                      </w:tcPr>
                      <w:p>
                        <w:pPr>
                          <w:pStyle w:val="TableParagraph"/>
                          <w:spacing w:line="228" w:lineRule="exact"/>
                          <w:ind w:left="292" w:right="292"/>
                          <w:jc w:val="center"/>
                          <w:rPr>
                            <w:sz w:val="20"/>
                          </w:rPr>
                        </w:pPr>
                        <w:r>
                          <w:rPr>
                            <w:sz w:val="20"/>
                          </w:rPr>
                          <w:t>41.8</w:t>
                        </w:r>
                      </w:p>
                    </w:tc>
                  </w:tr>
                  <w:tr>
                    <w:trPr>
                      <w:trHeight w:val="240" w:hRule="exact"/>
                    </w:trPr>
                    <w:tc>
                      <w:tcPr>
                        <w:tcW w:w="2268" w:type="dxa"/>
                      </w:tcPr>
                      <w:p>
                        <w:pPr>
                          <w:pStyle w:val="TableParagraph"/>
                          <w:spacing w:line="228" w:lineRule="exact"/>
                          <w:ind w:left="103" w:right="363"/>
                          <w:rPr>
                            <w:sz w:val="20"/>
                          </w:rPr>
                        </w:pPr>
                        <w:r>
                          <w:rPr>
                            <w:sz w:val="20"/>
                          </w:rPr>
                          <w:t>Stature</w:t>
                        </w:r>
                      </w:p>
                    </w:tc>
                    <w:tc>
                      <w:tcPr>
                        <w:tcW w:w="851" w:type="dxa"/>
                      </w:tcPr>
                      <w:p>
                        <w:pPr>
                          <w:pStyle w:val="TableParagraph"/>
                          <w:spacing w:line="228" w:lineRule="exact"/>
                          <w:ind w:left="176" w:right="174"/>
                          <w:jc w:val="center"/>
                          <w:rPr>
                            <w:sz w:val="20"/>
                          </w:rPr>
                        </w:pPr>
                        <w:r>
                          <w:rPr>
                            <w:sz w:val="20"/>
                          </w:rPr>
                          <w:t>124.3</w:t>
                        </w:r>
                      </w:p>
                    </w:tc>
                    <w:tc>
                      <w:tcPr>
                        <w:tcW w:w="1134" w:type="dxa"/>
                      </w:tcPr>
                      <w:p>
                        <w:pPr>
                          <w:pStyle w:val="TableParagraph"/>
                          <w:spacing w:line="228" w:lineRule="exact"/>
                          <w:ind w:left="362" w:right="361"/>
                          <w:jc w:val="center"/>
                          <w:rPr>
                            <w:sz w:val="20"/>
                          </w:rPr>
                        </w:pPr>
                        <w:r>
                          <w:rPr>
                            <w:sz w:val="20"/>
                          </w:rPr>
                          <w:t>5.9</w:t>
                        </w:r>
                      </w:p>
                    </w:tc>
                    <w:tc>
                      <w:tcPr>
                        <w:tcW w:w="992" w:type="dxa"/>
                      </w:tcPr>
                      <w:p>
                        <w:pPr>
                          <w:pStyle w:val="TableParagraph"/>
                          <w:spacing w:line="228" w:lineRule="exact"/>
                          <w:ind w:left="157" w:right="156"/>
                          <w:jc w:val="center"/>
                          <w:rPr>
                            <w:sz w:val="20"/>
                          </w:rPr>
                        </w:pPr>
                        <w:r>
                          <w:rPr>
                            <w:sz w:val="20"/>
                          </w:rPr>
                          <w:t>111.4</w:t>
                        </w:r>
                      </w:p>
                    </w:tc>
                    <w:tc>
                      <w:tcPr>
                        <w:tcW w:w="709" w:type="dxa"/>
                      </w:tcPr>
                      <w:p>
                        <w:pPr>
                          <w:pStyle w:val="TableParagraph"/>
                          <w:spacing w:line="228" w:lineRule="exact"/>
                          <w:ind w:left="91" w:right="47"/>
                          <w:jc w:val="center"/>
                          <w:rPr>
                            <w:sz w:val="20"/>
                          </w:rPr>
                        </w:pPr>
                        <w:r>
                          <w:rPr>
                            <w:sz w:val="20"/>
                          </w:rPr>
                          <w:t>122.9</w:t>
                        </w:r>
                      </w:p>
                    </w:tc>
                    <w:tc>
                      <w:tcPr>
                        <w:tcW w:w="709" w:type="dxa"/>
                      </w:tcPr>
                      <w:p>
                        <w:pPr>
                          <w:pStyle w:val="TableParagraph"/>
                          <w:spacing w:line="228" w:lineRule="exact"/>
                          <w:ind w:right="100"/>
                          <w:jc w:val="right"/>
                          <w:rPr>
                            <w:sz w:val="20"/>
                          </w:rPr>
                        </w:pPr>
                        <w:r>
                          <w:rPr>
                            <w:sz w:val="20"/>
                          </w:rPr>
                          <w:t>135.2</w:t>
                        </w:r>
                      </w:p>
                    </w:tc>
                    <w:tc>
                      <w:tcPr>
                        <w:tcW w:w="1086" w:type="dxa"/>
                      </w:tcPr>
                      <w:p>
                        <w:pPr>
                          <w:pStyle w:val="TableParagraph"/>
                          <w:spacing w:line="228" w:lineRule="exact"/>
                          <w:ind w:right="310"/>
                          <w:jc w:val="right"/>
                          <w:rPr>
                            <w:sz w:val="20"/>
                          </w:rPr>
                        </w:pPr>
                        <w:r>
                          <w:rPr>
                            <w:sz w:val="20"/>
                          </w:rPr>
                          <w:t>111.4</w:t>
                        </w:r>
                      </w:p>
                    </w:tc>
                    <w:tc>
                      <w:tcPr>
                        <w:tcW w:w="1084" w:type="dxa"/>
                      </w:tcPr>
                      <w:p>
                        <w:pPr>
                          <w:pStyle w:val="TableParagraph"/>
                          <w:spacing w:line="228" w:lineRule="exact"/>
                          <w:ind w:left="292" w:right="292"/>
                          <w:jc w:val="center"/>
                          <w:rPr>
                            <w:sz w:val="20"/>
                          </w:rPr>
                        </w:pPr>
                        <w:r>
                          <w:rPr>
                            <w:sz w:val="20"/>
                          </w:rPr>
                          <w:t>135.2</w:t>
                        </w:r>
                      </w:p>
                    </w:tc>
                  </w:tr>
                  <w:tr>
                    <w:trPr>
                      <w:trHeight w:val="470" w:hRule="exact"/>
                    </w:trPr>
                    <w:tc>
                      <w:tcPr>
                        <w:tcW w:w="2268" w:type="dxa"/>
                      </w:tcPr>
                      <w:p>
                        <w:pPr>
                          <w:pStyle w:val="TableParagraph"/>
                          <w:ind w:left="103" w:right="363"/>
                          <w:rPr>
                            <w:sz w:val="20"/>
                          </w:rPr>
                        </w:pPr>
                        <w:r>
                          <w:rPr>
                            <w:sz w:val="20"/>
                          </w:rPr>
                          <w:t>Elbow height sitting – table height</w:t>
                        </w:r>
                      </w:p>
                    </w:tc>
                    <w:tc>
                      <w:tcPr>
                        <w:tcW w:w="851" w:type="dxa"/>
                      </w:tcPr>
                      <w:p>
                        <w:pPr>
                          <w:pStyle w:val="TableParagraph"/>
                          <w:spacing w:before="8"/>
                          <w:rPr>
                            <w:sz w:val="19"/>
                          </w:rPr>
                        </w:pPr>
                      </w:p>
                      <w:p>
                        <w:pPr>
                          <w:pStyle w:val="TableParagraph"/>
                          <w:ind w:left="175" w:right="174"/>
                          <w:jc w:val="center"/>
                          <w:rPr>
                            <w:sz w:val="20"/>
                          </w:rPr>
                        </w:pPr>
                        <w:r>
                          <w:rPr>
                            <w:sz w:val="20"/>
                          </w:rPr>
                          <w:t>15.1</w:t>
                        </w:r>
                      </w:p>
                    </w:tc>
                    <w:tc>
                      <w:tcPr>
                        <w:tcW w:w="1134" w:type="dxa"/>
                      </w:tcPr>
                      <w:p>
                        <w:pPr>
                          <w:pStyle w:val="TableParagraph"/>
                          <w:spacing w:before="8"/>
                          <w:rPr>
                            <w:sz w:val="19"/>
                          </w:rPr>
                        </w:pPr>
                      </w:p>
                      <w:p>
                        <w:pPr>
                          <w:pStyle w:val="TableParagraph"/>
                          <w:ind w:left="362" w:right="362"/>
                          <w:jc w:val="center"/>
                          <w:rPr>
                            <w:sz w:val="20"/>
                          </w:rPr>
                        </w:pPr>
                        <w:r>
                          <w:rPr>
                            <w:sz w:val="20"/>
                          </w:rPr>
                          <w:t>3.0</w:t>
                        </w:r>
                      </w:p>
                    </w:tc>
                    <w:tc>
                      <w:tcPr>
                        <w:tcW w:w="992" w:type="dxa"/>
                      </w:tcPr>
                      <w:p>
                        <w:pPr>
                          <w:pStyle w:val="TableParagraph"/>
                          <w:spacing w:before="8"/>
                          <w:rPr>
                            <w:sz w:val="19"/>
                          </w:rPr>
                        </w:pPr>
                      </w:p>
                      <w:p>
                        <w:pPr>
                          <w:pStyle w:val="TableParagraph"/>
                          <w:ind w:left="156" w:right="156"/>
                          <w:jc w:val="center"/>
                          <w:rPr>
                            <w:sz w:val="20"/>
                          </w:rPr>
                        </w:pPr>
                        <w:r>
                          <w:rPr>
                            <w:sz w:val="20"/>
                          </w:rPr>
                          <w:t>9.8</w:t>
                        </w:r>
                      </w:p>
                    </w:tc>
                    <w:tc>
                      <w:tcPr>
                        <w:tcW w:w="709" w:type="dxa"/>
                      </w:tcPr>
                      <w:p>
                        <w:pPr>
                          <w:pStyle w:val="TableParagraph"/>
                          <w:spacing w:before="8"/>
                          <w:rPr>
                            <w:sz w:val="19"/>
                          </w:rPr>
                        </w:pPr>
                      </w:p>
                      <w:p>
                        <w:pPr>
                          <w:pStyle w:val="TableParagraph"/>
                          <w:ind w:left="226" w:right="82"/>
                          <w:jc w:val="center"/>
                          <w:rPr>
                            <w:sz w:val="20"/>
                          </w:rPr>
                        </w:pPr>
                        <w:r>
                          <w:rPr>
                            <w:sz w:val="20"/>
                          </w:rPr>
                          <w:t>15.8</w:t>
                        </w:r>
                      </w:p>
                    </w:tc>
                    <w:tc>
                      <w:tcPr>
                        <w:tcW w:w="709" w:type="dxa"/>
                      </w:tcPr>
                      <w:p>
                        <w:pPr>
                          <w:pStyle w:val="TableParagraph"/>
                          <w:spacing w:before="8"/>
                          <w:rPr>
                            <w:sz w:val="19"/>
                          </w:rPr>
                        </w:pPr>
                      </w:p>
                      <w:p>
                        <w:pPr>
                          <w:pStyle w:val="TableParagraph"/>
                          <w:ind w:right="99"/>
                          <w:jc w:val="right"/>
                          <w:rPr>
                            <w:sz w:val="20"/>
                          </w:rPr>
                        </w:pPr>
                        <w:r>
                          <w:rPr>
                            <w:sz w:val="20"/>
                          </w:rPr>
                          <w:t>21.5</w:t>
                        </w:r>
                      </w:p>
                    </w:tc>
                    <w:tc>
                      <w:tcPr>
                        <w:tcW w:w="1086" w:type="dxa"/>
                      </w:tcPr>
                      <w:p>
                        <w:pPr>
                          <w:pStyle w:val="TableParagraph"/>
                          <w:spacing w:before="8"/>
                          <w:rPr>
                            <w:sz w:val="19"/>
                          </w:rPr>
                        </w:pPr>
                      </w:p>
                      <w:p>
                        <w:pPr>
                          <w:pStyle w:val="TableParagraph"/>
                          <w:ind w:right="411"/>
                          <w:jc w:val="right"/>
                          <w:rPr>
                            <w:sz w:val="20"/>
                          </w:rPr>
                        </w:pPr>
                        <w:r>
                          <w:rPr>
                            <w:sz w:val="20"/>
                          </w:rPr>
                          <w:t>9.8</w:t>
                        </w:r>
                      </w:p>
                    </w:tc>
                    <w:tc>
                      <w:tcPr>
                        <w:tcW w:w="1084" w:type="dxa"/>
                      </w:tcPr>
                      <w:p>
                        <w:pPr>
                          <w:pStyle w:val="TableParagraph"/>
                          <w:spacing w:before="8"/>
                          <w:rPr>
                            <w:sz w:val="19"/>
                          </w:rPr>
                        </w:pPr>
                      </w:p>
                      <w:p>
                        <w:pPr>
                          <w:pStyle w:val="TableParagraph"/>
                          <w:ind w:left="292" w:right="292"/>
                          <w:jc w:val="center"/>
                          <w:rPr>
                            <w:sz w:val="20"/>
                          </w:rPr>
                        </w:pPr>
                        <w:r>
                          <w:rPr>
                            <w:sz w:val="20"/>
                          </w:rPr>
                          <w:t>21.5</w:t>
                        </w:r>
                      </w:p>
                    </w:tc>
                  </w:tr>
                  <w:tr>
                    <w:trPr>
                      <w:trHeight w:val="470" w:hRule="exact"/>
                    </w:trPr>
                    <w:tc>
                      <w:tcPr>
                        <w:tcW w:w="2268" w:type="dxa"/>
                      </w:tcPr>
                      <w:p>
                        <w:pPr>
                          <w:pStyle w:val="TableParagraph"/>
                          <w:spacing w:line="227" w:lineRule="exact"/>
                          <w:ind w:left="103" w:right="363"/>
                          <w:rPr>
                            <w:sz w:val="20"/>
                          </w:rPr>
                        </w:pPr>
                        <w:r>
                          <w:rPr>
                            <w:sz w:val="20"/>
                          </w:rPr>
                          <w:t>Popliteal height</w:t>
                        </w:r>
                      </w:p>
                      <w:p>
                        <w:pPr>
                          <w:pStyle w:val="TableParagraph"/>
                          <w:ind w:left="103" w:right="363"/>
                          <w:rPr>
                            <w:sz w:val="20"/>
                          </w:rPr>
                        </w:pPr>
                        <w:r>
                          <w:rPr>
                            <w:sz w:val="20"/>
                          </w:rPr>
                          <w:t>– seat height</w:t>
                        </w:r>
                      </w:p>
                    </w:tc>
                    <w:tc>
                      <w:tcPr>
                        <w:tcW w:w="851" w:type="dxa"/>
                      </w:tcPr>
                      <w:p>
                        <w:pPr>
                          <w:pStyle w:val="TableParagraph"/>
                          <w:spacing w:before="8"/>
                          <w:rPr>
                            <w:sz w:val="19"/>
                          </w:rPr>
                        </w:pPr>
                      </w:p>
                      <w:p>
                        <w:pPr>
                          <w:pStyle w:val="TableParagraph"/>
                          <w:ind w:left="176" w:right="174"/>
                          <w:jc w:val="center"/>
                          <w:rPr>
                            <w:sz w:val="20"/>
                          </w:rPr>
                        </w:pPr>
                        <w:r>
                          <w:rPr>
                            <w:sz w:val="20"/>
                          </w:rPr>
                          <w:t>30.5</w:t>
                        </w:r>
                      </w:p>
                    </w:tc>
                    <w:tc>
                      <w:tcPr>
                        <w:tcW w:w="1134" w:type="dxa"/>
                      </w:tcPr>
                      <w:p>
                        <w:pPr>
                          <w:pStyle w:val="TableParagraph"/>
                          <w:spacing w:before="8"/>
                          <w:rPr>
                            <w:sz w:val="19"/>
                          </w:rPr>
                        </w:pPr>
                      </w:p>
                      <w:p>
                        <w:pPr>
                          <w:pStyle w:val="TableParagraph"/>
                          <w:ind w:left="362" w:right="361"/>
                          <w:jc w:val="center"/>
                          <w:rPr>
                            <w:sz w:val="20"/>
                          </w:rPr>
                        </w:pPr>
                        <w:r>
                          <w:rPr>
                            <w:sz w:val="20"/>
                          </w:rPr>
                          <w:t>1.7</w:t>
                        </w:r>
                      </w:p>
                    </w:tc>
                    <w:tc>
                      <w:tcPr>
                        <w:tcW w:w="992" w:type="dxa"/>
                      </w:tcPr>
                      <w:p>
                        <w:pPr>
                          <w:pStyle w:val="TableParagraph"/>
                          <w:spacing w:before="8"/>
                          <w:rPr>
                            <w:sz w:val="19"/>
                          </w:rPr>
                        </w:pPr>
                      </w:p>
                      <w:p>
                        <w:pPr>
                          <w:pStyle w:val="TableParagraph"/>
                          <w:ind w:left="157" w:right="156"/>
                          <w:jc w:val="center"/>
                          <w:rPr>
                            <w:sz w:val="20"/>
                          </w:rPr>
                        </w:pPr>
                        <w:r>
                          <w:rPr>
                            <w:sz w:val="20"/>
                          </w:rPr>
                          <w:t>28.0</w:t>
                        </w:r>
                      </w:p>
                    </w:tc>
                    <w:tc>
                      <w:tcPr>
                        <w:tcW w:w="709" w:type="dxa"/>
                      </w:tcPr>
                      <w:p>
                        <w:pPr>
                          <w:pStyle w:val="TableParagraph"/>
                          <w:spacing w:before="8"/>
                          <w:rPr>
                            <w:sz w:val="19"/>
                          </w:rPr>
                        </w:pPr>
                      </w:p>
                      <w:p>
                        <w:pPr>
                          <w:pStyle w:val="TableParagraph"/>
                          <w:ind w:left="226" w:right="81"/>
                          <w:jc w:val="center"/>
                          <w:rPr>
                            <w:sz w:val="20"/>
                          </w:rPr>
                        </w:pPr>
                        <w:r>
                          <w:rPr>
                            <w:sz w:val="20"/>
                          </w:rPr>
                          <w:t>30.5</w:t>
                        </w:r>
                      </w:p>
                    </w:tc>
                    <w:tc>
                      <w:tcPr>
                        <w:tcW w:w="709" w:type="dxa"/>
                      </w:tcPr>
                      <w:p>
                        <w:pPr>
                          <w:pStyle w:val="TableParagraph"/>
                          <w:spacing w:before="8"/>
                          <w:rPr>
                            <w:sz w:val="19"/>
                          </w:rPr>
                        </w:pPr>
                      </w:p>
                      <w:p>
                        <w:pPr>
                          <w:pStyle w:val="TableParagraph"/>
                          <w:ind w:right="99"/>
                          <w:jc w:val="right"/>
                          <w:rPr>
                            <w:sz w:val="20"/>
                          </w:rPr>
                        </w:pPr>
                        <w:r>
                          <w:rPr>
                            <w:sz w:val="20"/>
                          </w:rPr>
                          <w:t>33.3</w:t>
                        </w:r>
                      </w:p>
                    </w:tc>
                    <w:tc>
                      <w:tcPr>
                        <w:tcW w:w="1086" w:type="dxa"/>
                      </w:tcPr>
                      <w:p>
                        <w:pPr>
                          <w:pStyle w:val="TableParagraph"/>
                          <w:spacing w:before="8"/>
                          <w:rPr>
                            <w:sz w:val="19"/>
                          </w:rPr>
                        </w:pPr>
                      </w:p>
                      <w:p>
                        <w:pPr>
                          <w:pStyle w:val="TableParagraph"/>
                          <w:ind w:right="359"/>
                          <w:jc w:val="right"/>
                          <w:rPr>
                            <w:sz w:val="20"/>
                          </w:rPr>
                        </w:pPr>
                        <w:r>
                          <w:rPr>
                            <w:sz w:val="20"/>
                          </w:rPr>
                          <w:t>28.0</w:t>
                        </w:r>
                      </w:p>
                    </w:tc>
                    <w:tc>
                      <w:tcPr>
                        <w:tcW w:w="1084" w:type="dxa"/>
                      </w:tcPr>
                      <w:p>
                        <w:pPr>
                          <w:pStyle w:val="TableParagraph"/>
                          <w:spacing w:before="8"/>
                          <w:rPr>
                            <w:sz w:val="19"/>
                          </w:rPr>
                        </w:pPr>
                      </w:p>
                      <w:p>
                        <w:pPr>
                          <w:pStyle w:val="TableParagraph"/>
                          <w:ind w:left="292" w:right="291"/>
                          <w:jc w:val="center"/>
                          <w:rPr>
                            <w:sz w:val="20"/>
                          </w:rPr>
                        </w:pPr>
                        <w:r>
                          <w:rPr>
                            <w:sz w:val="20"/>
                          </w:rPr>
                          <w:t>33.3</w:t>
                        </w:r>
                      </w:p>
                    </w:tc>
                  </w:tr>
                  <w:tr>
                    <w:trPr>
                      <w:trHeight w:val="469" w:hRule="exact"/>
                    </w:trPr>
                    <w:tc>
                      <w:tcPr>
                        <w:tcW w:w="2268" w:type="dxa"/>
                      </w:tcPr>
                      <w:p>
                        <w:pPr>
                          <w:pStyle w:val="TableParagraph"/>
                          <w:ind w:left="103" w:right="546"/>
                          <w:rPr>
                            <w:sz w:val="20"/>
                          </w:rPr>
                        </w:pPr>
                        <w:r>
                          <w:rPr>
                            <w:sz w:val="20"/>
                          </w:rPr>
                          <w:t>Buttock to popliteal length – seat depth</w:t>
                        </w:r>
                      </w:p>
                    </w:tc>
                    <w:tc>
                      <w:tcPr>
                        <w:tcW w:w="851" w:type="dxa"/>
                      </w:tcPr>
                      <w:p>
                        <w:pPr>
                          <w:pStyle w:val="TableParagraph"/>
                          <w:spacing w:before="8"/>
                          <w:rPr>
                            <w:sz w:val="19"/>
                          </w:rPr>
                        </w:pPr>
                      </w:p>
                      <w:p>
                        <w:pPr>
                          <w:pStyle w:val="TableParagraph"/>
                          <w:ind w:left="175" w:right="174"/>
                          <w:jc w:val="center"/>
                          <w:rPr>
                            <w:sz w:val="20"/>
                          </w:rPr>
                        </w:pPr>
                        <w:r>
                          <w:rPr>
                            <w:sz w:val="20"/>
                          </w:rPr>
                          <w:t>35.3</w:t>
                        </w:r>
                      </w:p>
                    </w:tc>
                    <w:tc>
                      <w:tcPr>
                        <w:tcW w:w="1134" w:type="dxa"/>
                      </w:tcPr>
                      <w:p>
                        <w:pPr>
                          <w:pStyle w:val="TableParagraph"/>
                          <w:spacing w:before="8"/>
                          <w:rPr>
                            <w:sz w:val="19"/>
                          </w:rPr>
                        </w:pPr>
                      </w:p>
                      <w:p>
                        <w:pPr>
                          <w:pStyle w:val="TableParagraph"/>
                          <w:ind w:left="362" w:right="361"/>
                          <w:jc w:val="center"/>
                          <w:rPr>
                            <w:sz w:val="20"/>
                          </w:rPr>
                        </w:pPr>
                        <w:r>
                          <w:rPr>
                            <w:sz w:val="20"/>
                          </w:rPr>
                          <w:t>3.0</w:t>
                        </w:r>
                      </w:p>
                    </w:tc>
                    <w:tc>
                      <w:tcPr>
                        <w:tcW w:w="992" w:type="dxa"/>
                      </w:tcPr>
                      <w:p>
                        <w:pPr>
                          <w:pStyle w:val="TableParagraph"/>
                          <w:spacing w:before="8"/>
                          <w:rPr>
                            <w:sz w:val="19"/>
                          </w:rPr>
                        </w:pPr>
                      </w:p>
                      <w:p>
                        <w:pPr>
                          <w:pStyle w:val="TableParagraph"/>
                          <w:ind w:left="157" w:right="156"/>
                          <w:jc w:val="center"/>
                          <w:rPr>
                            <w:sz w:val="20"/>
                          </w:rPr>
                        </w:pPr>
                        <w:r>
                          <w:rPr>
                            <w:sz w:val="20"/>
                          </w:rPr>
                          <w:t>32.3</w:t>
                        </w:r>
                      </w:p>
                    </w:tc>
                    <w:tc>
                      <w:tcPr>
                        <w:tcW w:w="709" w:type="dxa"/>
                      </w:tcPr>
                      <w:p>
                        <w:pPr>
                          <w:pStyle w:val="TableParagraph"/>
                          <w:spacing w:before="8"/>
                          <w:rPr>
                            <w:sz w:val="19"/>
                          </w:rPr>
                        </w:pPr>
                      </w:p>
                      <w:p>
                        <w:pPr>
                          <w:pStyle w:val="TableParagraph"/>
                          <w:ind w:left="226" w:right="81"/>
                          <w:jc w:val="center"/>
                          <w:rPr>
                            <w:sz w:val="20"/>
                          </w:rPr>
                        </w:pPr>
                        <w:r>
                          <w:rPr>
                            <w:sz w:val="20"/>
                          </w:rPr>
                          <w:t>34.1</w:t>
                        </w:r>
                      </w:p>
                    </w:tc>
                    <w:tc>
                      <w:tcPr>
                        <w:tcW w:w="709" w:type="dxa"/>
                      </w:tcPr>
                      <w:p>
                        <w:pPr>
                          <w:pStyle w:val="TableParagraph"/>
                          <w:spacing w:before="8"/>
                          <w:rPr>
                            <w:sz w:val="19"/>
                          </w:rPr>
                        </w:pPr>
                      </w:p>
                      <w:p>
                        <w:pPr>
                          <w:pStyle w:val="TableParagraph"/>
                          <w:ind w:right="99"/>
                          <w:jc w:val="right"/>
                          <w:rPr>
                            <w:sz w:val="20"/>
                          </w:rPr>
                        </w:pPr>
                        <w:r>
                          <w:rPr>
                            <w:sz w:val="20"/>
                          </w:rPr>
                          <w:t>39.9</w:t>
                        </w:r>
                      </w:p>
                    </w:tc>
                    <w:tc>
                      <w:tcPr>
                        <w:tcW w:w="1086" w:type="dxa"/>
                      </w:tcPr>
                      <w:p>
                        <w:pPr>
                          <w:pStyle w:val="TableParagraph"/>
                          <w:spacing w:before="8"/>
                          <w:rPr>
                            <w:sz w:val="19"/>
                          </w:rPr>
                        </w:pPr>
                      </w:p>
                      <w:p>
                        <w:pPr>
                          <w:pStyle w:val="TableParagraph"/>
                          <w:ind w:right="360"/>
                          <w:jc w:val="right"/>
                          <w:rPr>
                            <w:sz w:val="20"/>
                          </w:rPr>
                        </w:pPr>
                        <w:r>
                          <w:rPr>
                            <w:sz w:val="20"/>
                          </w:rPr>
                          <w:t>32.3</w:t>
                        </w:r>
                      </w:p>
                    </w:tc>
                    <w:tc>
                      <w:tcPr>
                        <w:tcW w:w="1084" w:type="dxa"/>
                      </w:tcPr>
                      <w:p>
                        <w:pPr>
                          <w:pStyle w:val="TableParagraph"/>
                          <w:spacing w:before="8"/>
                          <w:rPr>
                            <w:sz w:val="19"/>
                          </w:rPr>
                        </w:pPr>
                      </w:p>
                      <w:p>
                        <w:pPr>
                          <w:pStyle w:val="TableParagraph"/>
                          <w:ind w:left="292" w:right="292"/>
                          <w:jc w:val="center"/>
                          <w:rPr>
                            <w:sz w:val="20"/>
                          </w:rPr>
                        </w:pPr>
                        <w:r>
                          <w:rPr>
                            <w:sz w:val="20"/>
                          </w:rPr>
                          <w:t>39.9</w:t>
                        </w:r>
                      </w:p>
                    </w:tc>
                  </w:tr>
                </w:tbl>
                <w:p>
                  <w:pPr>
                    <w:pStyle w:val="BodyText"/>
                  </w:pPr>
                </w:p>
              </w:txbxContent>
            </v:textbox>
            <w10:wrap type="none"/>
          </v:shape>
        </w:pict>
      </w:r>
      <w:r>
        <w:rPr>
          <w:w w:val="100"/>
        </w:rPr>
        <w:t>.</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16"/>
        </w:rPr>
      </w:pPr>
    </w:p>
    <w:p>
      <w:pPr>
        <w:pStyle w:val="BodyText"/>
        <w:spacing w:before="75"/>
        <w:ind w:left="7011" w:right="666" w:hanging="1112"/>
      </w:pPr>
      <w:r>
        <w:rPr/>
        <w:t>Table 2. Anthropometric measures in cm for 7 year-old boys from private elementary schools.</w:t>
      </w:r>
    </w:p>
    <w:p>
      <w:pPr>
        <w:pStyle w:val="BodyText"/>
      </w:pPr>
    </w:p>
    <w:p>
      <w:pPr>
        <w:pStyle w:val="BodyText"/>
        <w:rPr>
          <w:sz w:val="10"/>
        </w:rPr>
      </w:pPr>
    </w:p>
    <w:tbl>
      <w:tblPr>
        <w:tblW w:w="0" w:type="auto"/>
        <w:jc w:val="left"/>
        <w:tblInd w:w="14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06"/>
        <w:gridCol w:w="704"/>
        <w:gridCol w:w="706"/>
        <w:gridCol w:w="1038"/>
        <w:gridCol w:w="566"/>
        <w:gridCol w:w="666"/>
        <w:gridCol w:w="566"/>
        <w:gridCol w:w="1072"/>
        <w:gridCol w:w="1105"/>
      </w:tblGrid>
      <w:tr>
        <w:trPr>
          <w:trHeight w:val="263" w:hRule="exact"/>
        </w:trPr>
        <w:tc>
          <w:tcPr>
            <w:tcW w:w="1606" w:type="dxa"/>
            <w:vMerge w:val="restart"/>
          </w:tcPr>
          <w:p>
            <w:pPr>
              <w:pStyle w:val="TableParagraph"/>
              <w:spacing w:line="273" w:lineRule="auto"/>
              <w:ind w:left="302" w:right="85" w:hanging="200"/>
              <w:rPr>
                <w:b/>
                <w:sz w:val="20"/>
              </w:rPr>
            </w:pPr>
            <w:r>
              <w:rPr>
                <w:b/>
                <w:sz w:val="20"/>
              </w:rPr>
              <w:t>Anthropometric Dimensions</w:t>
            </w:r>
          </w:p>
        </w:tc>
        <w:tc>
          <w:tcPr>
            <w:tcW w:w="704" w:type="dxa"/>
            <w:vMerge w:val="restart"/>
          </w:tcPr>
          <w:p>
            <w:pPr/>
          </w:p>
        </w:tc>
        <w:tc>
          <w:tcPr>
            <w:tcW w:w="706" w:type="dxa"/>
            <w:vMerge w:val="restart"/>
          </w:tcPr>
          <w:p>
            <w:pPr>
              <w:pStyle w:val="TableParagraph"/>
              <w:spacing w:line="229" w:lineRule="exact"/>
              <w:ind w:left="103"/>
              <w:rPr>
                <w:b/>
                <w:sz w:val="20"/>
              </w:rPr>
            </w:pPr>
            <w:r>
              <w:rPr>
                <w:b/>
                <w:sz w:val="20"/>
              </w:rPr>
              <w:t>Mean</w:t>
            </w:r>
          </w:p>
        </w:tc>
        <w:tc>
          <w:tcPr>
            <w:tcW w:w="1038" w:type="dxa"/>
            <w:vMerge w:val="restart"/>
          </w:tcPr>
          <w:p>
            <w:pPr>
              <w:pStyle w:val="TableParagraph"/>
              <w:spacing w:line="273" w:lineRule="auto"/>
              <w:ind w:left="103" w:right="83" w:firstLine="11"/>
              <w:rPr>
                <w:b/>
                <w:sz w:val="20"/>
              </w:rPr>
            </w:pPr>
            <w:r>
              <w:rPr>
                <w:b/>
                <w:sz w:val="20"/>
              </w:rPr>
              <w:t>Standard Deviation</w:t>
            </w:r>
          </w:p>
        </w:tc>
        <w:tc>
          <w:tcPr>
            <w:tcW w:w="1799" w:type="dxa"/>
            <w:gridSpan w:val="3"/>
          </w:tcPr>
          <w:p>
            <w:pPr>
              <w:pStyle w:val="TableParagraph"/>
              <w:spacing w:line="229" w:lineRule="exact"/>
              <w:ind w:left="467"/>
              <w:rPr>
                <w:b/>
                <w:sz w:val="20"/>
              </w:rPr>
            </w:pPr>
            <w:r>
              <w:rPr>
                <w:b/>
                <w:sz w:val="20"/>
              </w:rPr>
              <w:t>Percentile</w:t>
            </w:r>
          </w:p>
        </w:tc>
        <w:tc>
          <w:tcPr>
            <w:tcW w:w="1072" w:type="dxa"/>
            <w:vMerge w:val="restart"/>
          </w:tcPr>
          <w:p>
            <w:pPr>
              <w:pStyle w:val="TableParagraph"/>
              <w:spacing w:line="229" w:lineRule="exact"/>
              <w:ind w:left="104"/>
              <w:rPr>
                <w:b/>
                <w:sz w:val="20"/>
              </w:rPr>
            </w:pPr>
            <w:r>
              <w:rPr>
                <w:b/>
                <w:sz w:val="20"/>
              </w:rPr>
              <w:t>Minimum</w:t>
            </w:r>
          </w:p>
        </w:tc>
        <w:tc>
          <w:tcPr>
            <w:tcW w:w="1105" w:type="dxa"/>
            <w:vMerge w:val="restart"/>
          </w:tcPr>
          <w:p>
            <w:pPr>
              <w:pStyle w:val="TableParagraph"/>
              <w:spacing w:line="229" w:lineRule="exact"/>
              <w:ind w:left="103"/>
              <w:rPr>
                <w:b/>
                <w:sz w:val="20"/>
              </w:rPr>
            </w:pPr>
            <w:r>
              <w:rPr>
                <w:b/>
                <w:sz w:val="20"/>
              </w:rPr>
              <w:t>Maximum</w:t>
            </w:r>
          </w:p>
        </w:tc>
      </w:tr>
      <w:tr>
        <w:trPr>
          <w:trHeight w:val="263" w:hRule="exact"/>
        </w:trPr>
        <w:tc>
          <w:tcPr>
            <w:tcW w:w="1606" w:type="dxa"/>
            <w:vMerge/>
          </w:tcPr>
          <w:p>
            <w:pPr/>
          </w:p>
        </w:tc>
        <w:tc>
          <w:tcPr>
            <w:tcW w:w="704" w:type="dxa"/>
            <w:vMerge/>
          </w:tcPr>
          <w:p>
            <w:pPr/>
          </w:p>
        </w:tc>
        <w:tc>
          <w:tcPr>
            <w:tcW w:w="706" w:type="dxa"/>
            <w:vMerge/>
          </w:tcPr>
          <w:p>
            <w:pPr/>
          </w:p>
        </w:tc>
        <w:tc>
          <w:tcPr>
            <w:tcW w:w="1038" w:type="dxa"/>
            <w:vMerge/>
          </w:tcPr>
          <w:p>
            <w:pPr/>
          </w:p>
        </w:tc>
        <w:tc>
          <w:tcPr>
            <w:tcW w:w="566" w:type="dxa"/>
          </w:tcPr>
          <w:p>
            <w:pPr>
              <w:pStyle w:val="TableParagraph"/>
              <w:spacing w:line="229" w:lineRule="exact"/>
              <w:jc w:val="center"/>
              <w:rPr>
                <w:b/>
                <w:sz w:val="20"/>
              </w:rPr>
            </w:pPr>
            <w:r>
              <w:rPr>
                <w:b/>
                <w:w w:val="100"/>
                <w:sz w:val="20"/>
              </w:rPr>
              <w:t>5</w:t>
            </w:r>
          </w:p>
        </w:tc>
        <w:tc>
          <w:tcPr>
            <w:tcW w:w="666" w:type="dxa"/>
          </w:tcPr>
          <w:p>
            <w:pPr>
              <w:pStyle w:val="TableParagraph"/>
              <w:spacing w:line="229" w:lineRule="exact"/>
              <w:ind w:left="83" w:right="82"/>
              <w:jc w:val="center"/>
              <w:rPr>
                <w:b/>
                <w:sz w:val="20"/>
              </w:rPr>
            </w:pPr>
            <w:r>
              <w:rPr>
                <w:b/>
                <w:sz w:val="20"/>
              </w:rPr>
              <w:t>50</w:t>
            </w:r>
          </w:p>
        </w:tc>
        <w:tc>
          <w:tcPr>
            <w:tcW w:w="566" w:type="dxa"/>
          </w:tcPr>
          <w:p>
            <w:pPr>
              <w:pStyle w:val="TableParagraph"/>
              <w:spacing w:line="229" w:lineRule="exact"/>
              <w:ind w:left="83" w:right="83"/>
              <w:jc w:val="center"/>
              <w:rPr>
                <w:b/>
                <w:sz w:val="20"/>
              </w:rPr>
            </w:pPr>
            <w:r>
              <w:rPr>
                <w:b/>
                <w:sz w:val="20"/>
              </w:rPr>
              <w:t>95</w:t>
            </w:r>
          </w:p>
        </w:tc>
        <w:tc>
          <w:tcPr>
            <w:tcW w:w="1072" w:type="dxa"/>
            <w:vMerge/>
          </w:tcPr>
          <w:p>
            <w:pPr/>
          </w:p>
        </w:tc>
        <w:tc>
          <w:tcPr>
            <w:tcW w:w="1105" w:type="dxa"/>
            <w:vMerge/>
          </w:tcPr>
          <w:p>
            <w:pPr/>
          </w:p>
        </w:tc>
      </w:tr>
      <w:tr>
        <w:trPr>
          <w:trHeight w:val="470" w:hRule="exact"/>
        </w:trPr>
        <w:tc>
          <w:tcPr>
            <w:tcW w:w="1606" w:type="dxa"/>
          </w:tcPr>
          <w:p>
            <w:pPr>
              <w:pStyle w:val="TableParagraph"/>
              <w:ind w:left="103" w:right="539"/>
              <w:rPr>
                <w:sz w:val="20"/>
              </w:rPr>
            </w:pPr>
            <w:r>
              <w:rPr>
                <w:sz w:val="20"/>
              </w:rPr>
              <w:t>Weight (kilograms)</w:t>
            </w:r>
          </w:p>
        </w:tc>
        <w:tc>
          <w:tcPr>
            <w:tcW w:w="704" w:type="dxa"/>
          </w:tcPr>
          <w:p>
            <w:pPr/>
          </w:p>
        </w:tc>
        <w:tc>
          <w:tcPr>
            <w:tcW w:w="706" w:type="dxa"/>
          </w:tcPr>
          <w:p>
            <w:pPr>
              <w:pStyle w:val="TableParagraph"/>
              <w:spacing w:before="8"/>
              <w:rPr>
                <w:sz w:val="19"/>
              </w:rPr>
            </w:pPr>
          </w:p>
          <w:p>
            <w:pPr>
              <w:pStyle w:val="TableParagraph"/>
              <w:spacing w:before="1"/>
              <w:ind w:left="102" w:right="103"/>
              <w:jc w:val="center"/>
              <w:rPr>
                <w:sz w:val="20"/>
              </w:rPr>
            </w:pPr>
            <w:r>
              <w:rPr>
                <w:sz w:val="20"/>
              </w:rPr>
              <w:t>25.7</w:t>
            </w:r>
          </w:p>
        </w:tc>
        <w:tc>
          <w:tcPr>
            <w:tcW w:w="1038" w:type="dxa"/>
          </w:tcPr>
          <w:p>
            <w:pPr>
              <w:pStyle w:val="TableParagraph"/>
              <w:spacing w:before="8"/>
              <w:rPr>
                <w:sz w:val="19"/>
              </w:rPr>
            </w:pPr>
          </w:p>
          <w:p>
            <w:pPr>
              <w:pStyle w:val="TableParagraph"/>
              <w:spacing w:before="1"/>
              <w:ind w:left="369" w:right="368"/>
              <w:jc w:val="center"/>
              <w:rPr>
                <w:sz w:val="20"/>
              </w:rPr>
            </w:pPr>
            <w:r>
              <w:rPr>
                <w:sz w:val="20"/>
              </w:rPr>
              <w:t>2.5</w:t>
            </w:r>
          </w:p>
        </w:tc>
        <w:tc>
          <w:tcPr>
            <w:tcW w:w="566" w:type="dxa"/>
          </w:tcPr>
          <w:p>
            <w:pPr>
              <w:pStyle w:val="TableParagraph"/>
              <w:spacing w:before="8"/>
              <w:rPr>
                <w:sz w:val="19"/>
              </w:rPr>
            </w:pPr>
          </w:p>
          <w:p>
            <w:pPr>
              <w:pStyle w:val="TableParagraph"/>
              <w:spacing w:before="1"/>
              <w:ind w:left="103"/>
              <w:rPr>
                <w:sz w:val="20"/>
              </w:rPr>
            </w:pPr>
            <w:r>
              <w:rPr>
                <w:sz w:val="20"/>
              </w:rPr>
              <w:t>21.3</w:t>
            </w:r>
          </w:p>
        </w:tc>
        <w:tc>
          <w:tcPr>
            <w:tcW w:w="666" w:type="dxa"/>
          </w:tcPr>
          <w:p>
            <w:pPr>
              <w:pStyle w:val="TableParagraph"/>
              <w:spacing w:before="8"/>
              <w:rPr>
                <w:sz w:val="19"/>
              </w:rPr>
            </w:pPr>
          </w:p>
          <w:p>
            <w:pPr>
              <w:pStyle w:val="TableParagraph"/>
              <w:spacing w:before="1"/>
              <w:ind w:left="82" w:right="82"/>
              <w:jc w:val="center"/>
              <w:rPr>
                <w:sz w:val="20"/>
              </w:rPr>
            </w:pPr>
            <w:r>
              <w:rPr>
                <w:sz w:val="20"/>
              </w:rPr>
              <w:t>26.55</w:t>
            </w:r>
          </w:p>
        </w:tc>
        <w:tc>
          <w:tcPr>
            <w:tcW w:w="566" w:type="dxa"/>
          </w:tcPr>
          <w:p>
            <w:pPr>
              <w:pStyle w:val="TableParagraph"/>
              <w:spacing w:before="8"/>
              <w:rPr>
                <w:sz w:val="19"/>
              </w:rPr>
            </w:pPr>
          </w:p>
          <w:p>
            <w:pPr>
              <w:pStyle w:val="TableParagraph"/>
              <w:spacing w:before="1"/>
              <w:ind w:left="83" w:right="83"/>
              <w:jc w:val="center"/>
              <w:rPr>
                <w:sz w:val="20"/>
              </w:rPr>
            </w:pPr>
            <w:r>
              <w:rPr>
                <w:sz w:val="20"/>
              </w:rPr>
              <w:t>29.1</w:t>
            </w:r>
          </w:p>
        </w:tc>
        <w:tc>
          <w:tcPr>
            <w:tcW w:w="1072" w:type="dxa"/>
          </w:tcPr>
          <w:p>
            <w:pPr>
              <w:pStyle w:val="TableParagraph"/>
              <w:spacing w:before="8"/>
              <w:rPr>
                <w:sz w:val="19"/>
              </w:rPr>
            </w:pPr>
          </w:p>
          <w:p>
            <w:pPr>
              <w:pStyle w:val="TableParagraph"/>
              <w:spacing w:before="1"/>
              <w:ind w:left="355"/>
              <w:rPr>
                <w:sz w:val="20"/>
              </w:rPr>
            </w:pPr>
            <w:r>
              <w:rPr>
                <w:sz w:val="20"/>
              </w:rPr>
              <w:t>21.3</w:t>
            </w:r>
          </w:p>
        </w:tc>
        <w:tc>
          <w:tcPr>
            <w:tcW w:w="1105" w:type="dxa"/>
          </w:tcPr>
          <w:p>
            <w:pPr>
              <w:pStyle w:val="TableParagraph"/>
              <w:spacing w:before="8"/>
              <w:rPr>
                <w:sz w:val="19"/>
              </w:rPr>
            </w:pPr>
          </w:p>
          <w:p>
            <w:pPr>
              <w:pStyle w:val="TableParagraph"/>
              <w:spacing w:before="1"/>
              <w:ind w:left="302" w:right="302"/>
              <w:jc w:val="center"/>
              <w:rPr>
                <w:sz w:val="20"/>
              </w:rPr>
            </w:pPr>
            <w:r>
              <w:rPr>
                <w:sz w:val="20"/>
              </w:rPr>
              <w:t>29.1</w:t>
            </w:r>
          </w:p>
        </w:tc>
      </w:tr>
      <w:tr>
        <w:trPr>
          <w:trHeight w:val="263" w:hRule="exact"/>
        </w:trPr>
        <w:tc>
          <w:tcPr>
            <w:tcW w:w="1606" w:type="dxa"/>
          </w:tcPr>
          <w:p>
            <w:pPr>
              <w:pStyle w:val="TableParagraph"/>
              <w:spacing w:line="227" w:lineRule="exact"/>
              <w:ind w:left="103" w:right="85"/>
              <w:rPr>
                <w:sz w:val="20"/>
              </w:rPr>
            </w:pPr>
            <w:r>
              <w:rPr>
                <w:sz w:val="20"/>
              </w:rPr>
              <w:t>Stature</w:t>
            </w:r>
          </w:p>
        </w:tc>
        <w:tc>
          <w:tcPr>
            <w:tcW w:w="704" w:type="dxa"/>
          </w:tcPr>
          <w:p>
            <w:pPr/>
          </w:p>
        </w:tc>
        <w:tc>
          <w:tcPr>
            <w:tcW w:w="706" w:type="dxa"/>
          </w:tcPr>
          <w:p>
            <w:pPr>
              <w:pStyle w:val="TableParagraph"/>
              <w:spacing w:before="19"/>
              <w:ind w:left="103" w:right="103"/>
              <w:jc w:val="center"/>
              <w:rPr>
                <w:sz w:val="20"/>
              </w:rPr>
            </w:pPr>
            <w:r>
              <w:rPr>
                <w:sz w:val="20"/>
              </w:rPr>
              <w:t>124.4</w:t>
            </w:r>
          </w:p>
        </w:tc>
        <w:tc>
          <w:tcPr>
            <w:tcW w:w="1038" w:type="dxa"/>
          </w:tcPr>
          <w:p>
            <w:pPr>
              <w:pStyle w:val="TableParagraph"/>
              <w:spacing w:before="19"/>
              <w:ind w:left="369" w:right="368"/>
              <w:jc w:val="center"/>
              <w:rPr>
                <w:sz w:val="20"/>
              </w:rPr>
            </w:pPr>
            <w:r>
              <w:rPr>
                <w:sz w:val="20"/>
              </w:rPr>
              <w:t>4.9</w:t>
            </w:r>
          </w:p>
        </w:tc>
        <w:tc>
          <w:tcPr>
            <w:tcW w:w="566" w:type="dxa"/>
          </w:tcPr>
          <w:p>
            <w:pPr>
              <w:pStyle w:val="TableParagraph"/>
              <w:spacing w:before="19"/>
              <w:ind w:left="128"/>
              <w:rPr>
                <w:sz w:val="20"/>
              </w:rPr>
            </w:pPr>
            <w:r>
              <w:rPr>
                <w:sz w:val="20"/>
              </w:rPr>
              <w:t>117</w:t>
            </w:r>
          </w:p>
        </w:tc>
        <w:tc>
          <w:tcPr>
            <w:tcW w:w="666" w:type="dxa"/>
          </w:tcPr>
          <w:p>
            <w:pPr>
              <w:pStyle w:val="TableParagraph"/>
              <w:spacing w:before="19"/>
              <w:ind w:left="82" w:right="82"/>
              <w:jc w:val="center"/>
              <w:rPr>
                <w:sz w:val="20"/>
              </w:rPr>
            </w:pPr>
            <w:r>
              <w:rPr>
                <w:sz w:val="20"/>
              </w:rPr>
              <w:t>124.4</w:t>
            </w:r>
          </w:p>
        </w:tc>
        <w:tc>
          <w:tcPr>
            <w:tcW w:w="566" w:type="dxa"/>
          </w:tcPr>
          <w:p>
            <w:pPr>
              <w:pStyle w:val="TableParagraph"/>
              <w:spacing w:before="19"/>
              <w:ind w:left="83" w:right="83"/>
              <w:jc w:val="center"/>
              <w:rPr>
                <w:sz w:val="20"/>
              </w:rPr>
            </w:pPr>
            <w:r>
              <w:rPr>
                <w:sz w:val="20"/>
              </w:rPr>
              <w:t>131</w:t>
            </w:r>
          </w:p>
        </w:tc>
        <w:tc>
          <w:tcPr>
            <w:tcW w:w="1072" w:type="dxa"/>
          </w:tcPr>
          <w:p>
            <w:pPr>
              <w:pStyle w:val="TableParagraph"/>
              <w:spacing w:before="19"/>
              <w:ind w:left="305"/>
              <w:rPr>
                <w:sz w:val="20"/>
              </w:rPr>
            </w:pPr>
            <w:r>
              <w:rPr>
                <w:sz w:val="20"/>
              </w:rPr>
              <w:t>117.0</w:t>
            </w:r>
          </w:p>
        </w:tc>
        <w:tc>
          <w:tcPr>
            <w:tcW w:w="1105" w:type="dxa"/>
          </w:tcPr>
          <w:p>
            <w:pPr>
              <w:pStyle w:val="TableParagraph"/>
              <w:spacing w:before="19"/>
              <w:ind w:left="302" w:right="302"/>
              <w:jc w:val="center"/>
              <w:rPr>
                <w:sz w:val="20"/>
              </w:rPr>
            </w:pPr>
            <w:r>
              <w:rPr>
                <w:sz w:val="20"/>
              </w:rPr>
              <w:t>131.0</w:t>
            </w:r>
          </w:p>
        </w:tc>
      </w:tr>
      <w:tr>
        <w:trPr>
          <w:trHeight w:val="700" w:hRule="exact"/>
        </w:trPr>
        <w:tc>
          <w:tcPr>
            <w:tcW w:w="1606" w:type="dxa"/>
          </w:tcPr>
          <w:p>
            <w:pPr>
              <w:pStyle w:val="TableParagraph"/>
              <w:ind w:left="103" w:right="400"/>
              <w:jc w:val="both"/>
              <w:rPr>
                <w:sz w:val="20"/>
              </w:rPr>
            </w:pPr>
            <w:r>
              <w:rPr>
                <w:sz w:val="20"/>
              </w:rPr>
              <w:t>Elbow height sitting – table height</w:t>
            </w:r>
          </w:p>
        </w:tc>
        <w:tc>
          <w:tcPr>
            <w:tcW w:w="704" w:type="dxa"/>
          </w:tcPr>
          <w:p>
            <w:pPr/>
          </w:p>
        </w:tc>
        <w:tc>
          <w:tcPr>
            <w:tcW w:w="706" w:type="dxa"/>
          </w:tcPr>
          <w:p>
            <w:pPr>
              <w:pStyle w:val="TableParagraph"/>
              <w:rPr>
                <w:sz w:val="20"/>
              </w:rPr>
            </w:pPr>
          </w:p>
          <w:p>
            <w:pPr>
              <w:pStyle w:val="TableParagraph"/>
              <w:spacing w:before="9"/>
              <w:rPr>
                <w:sz w:val="19"/>
              </w:rPr>
            </w:pPr>
          </w:p>
          <w:p>
            <w:pPr>
              <w:pStyle w:val="TableParagraph"/>
              <w:ind w:left="102" w:right="103"/>
              <w:jc w:val="center"/>
              <w:rPr>
                <w:sz w:val="20"/>
              </w:rPr>
            </w:pPr>
            <w:r>
              <w:rPr>
                <w:sz w:val="20"/>
              </w:rPr>
              <w:t>15.3</w:t>
            </w:r>
          </w:p>
        </w:tc>
        <w:tc>
          <w:tcPr>
            <w:tcW w:w="1038" w:type="dxa"/>
          </w:tcPr>
          <w:p>
            <w:pPr>
              <w:pStyle w:val="TableParagraph"/>
              <w:rPr>
                <w:sz w:val="20"/>
              </w:rPr>
            </w:pPr>
          </w:p>
          <w:p>
            <w:pPr>
              <w:pStyle w:val="TableParagraph"/>
              <w:spacing w:before="9"/>
              <w:rPr>
                <w:sz w:val="19"/>
              </w:rPr>
            </w:pPr>
          </w:p>
          <w:p>
            <w:pPr>
              <w:pStyle w:val="TableParagraph"/>
              <w:ind w:left="369" w:right="368"/>
              <w:jc w:val="center"/>
              <w:rPr>
                <w:sz w:val="20"/>
              </w:rPr>
            </w:pPr>
            <w:r>
              <w:rPr>
                <w:sz w:val="20"/>
              </w:rPr>
              <w:t>2.4</w:t>
            </w:r>
          </w:p>
        </w:tc>
        <w:tc>
          <w:tcPr>
            <w:tcW w:w="566" w:type="dxa"/>
          </w:tcPr>
          <w:p>
            <w:pPr>
              <w:pStyle w:val="TableParagraph"/>
              <w:rPr>
                <w:sz w:val="20"/>
              </w:rPr>
            </w:pPr>
          </w:p>
          <w:p>
            <w:pPr>
              <w:pStyle w:val="TableParagraph"/>
              <w:spacing w:before="9"/>
              <w:rPr>
                <w:sz w:val="19"/>
              </w:rPr>
            </w:pPr>
          </w:p>
          <w:p>
            <w:pPr>
              <w:pStyle w:val="TableParagraph"/>
              <w:ind w:left="103"/>
              <w:rPr>
                <w:sz w:val="20"/>
              </w:rPr>
            </w:pPr>
            <w:r>
              <w:rPr>
                <w:sz w:val="20"/>
              </w:rPr>
              <w:t>12.1</w:t>
            </w:r>
          </w:p>
        </w:tc>
        <w:tc>
          <w:tcPr>
            <w:tcW w:w="666" w:type="dxa"/>
          </w:tcPr>
          <w:p>
            <w:pPr>
              <w:pStyle w:val="TableParagraph"/>
              <w:rPr>
                <w:sz w:val="20"/>
              </w:rPr>
            </w:pPr>
          </w:p>
          <w:p>
            <w:pPr>
              <w:pStyle w:val="TableParagraph"/>
              <w:spacing w:before="9"/>
              <w:rPr>
                <w:sz w:val="19"/>
              </w:rPr>
            </w:pPr>
          </w:p>
          <w:p>
            <w:pPr>
              <w:pStyle w:val="TableParagraph"/>
              <w:ind w:left="82" w:right="82"/>
              <w:jc w:val="center"/>
              <w:rPr>
                <w:sz w:val="20"/>
              </w:rPr>
            </w:pPr>
            <w:r>
              <w:rPr>
                <w:sz w:val="20"/>
              </w:rPr>
              <w:t>14.9</w:t>
            </w:r>
          </w:p>
        </w:tc>
        <w:tc>
          <w:tcPr>
            <w:tcW w:w="566" w:type="dxa"/>
          </w:tcPr>
          <w:p>
            <w:pPr>
              <w:pStyle w:val="TableParagraph"/>
              <w:rPr>
                <w:sz w:val="20"/>
              </w:rPr>
            </w:pPr>
          </w:p>
          <w:p>
            <w:pPr>
              <w:pStyle w:val="TableParagraph"/>
              <w:spacing w:before="9"/>
              <w:rPr>
                <w:sz w:val="19"/>
              </w:rPr>
            </w:pPr>
          </w:p>
          <w:p>
            <w:pPr>
              <w:pStyle w:val="TableParagraph"/>
              <w:ind w:left="83" w:right="83"/>
              <w:jc w:val="center"/>
              <w:rPr>
                <w:sz w:val="20"/>
              </w:rPr>
            </w:pPr>
            <w:r>
              <w:rPr>
                <w:sz w:val="20"/>
              </w:rPr>
              <w:t>18.1</w:t>
            </w:r>
          </w:p>
        </w:tc>
        <w:tc>
          <w:tcPr>
            <w:tcW w:w="1072" w:type="dxa"/>
          </w:tcPr>
          <w:p>
            <w:pPr>
              <w:pStyle w:val="TableParagraph"/>
              <w:rPr>
                <w:sz w:val="20"/>
              </w:rPr>
            </w:pPr>
          </w:p>
          <w:p>
            <w:pPr>
              <w:pStyle w:val="TableParagraph"/>
              <w:spacing w:before="9"/>
              <w:rPr>
                <w:sz w:val="19"/>
              </w:rPr>
            </w:pPr>
          </w:p>
          <w:p>
            <w:pPr>
              <w:pStyle w:val="TableParagraph"/>
              <w:ind w:left="355"/>
              <w:rPr>
                <w:sz w:val="20"/>
              </w:rPr>
            </w:pPr>
            <w:r>
              <w:rPr>
                <w:sz w:val="20"/>
              </w:rPr>
              <w:t>12.1</w:t>
            </w:r>
          </w:p>
        </w:tc>
        <w:tc>
          <w:tcPr>
            <w:tcW w:w="1105" w:type="dxa"/>
          </w:tcPr>
          <w:p>
            <w:pPr>
              <w:pStyle w:val="TableParagraph"/>
              <w:rPr>
                <w:sz w:val="20"/>
              </w:rPr>
            </w:pPr>
          </w:p>
          <w:p>
            <w:pPr>
              <w:pStyle w:val="TableParagraph"/>
              <w:spacing w:before="9"/>
              <w:rPr>
                <w:sz w:val="19"/>
              </w:rPr>
            </w:pPr>
          </w:p>
          <w:p>
            <w:pPr>
              <w:pStyle w:val="TableParagraph"/>
              <w:ind w:left="302" w:right="302"/>
              <w:jc w:val="center"/>
              <w:rPr>
                <w:sz w:val="20"/>
              </w:rPr>
            </w:pPr>
            <w:r>
              <w:rPr>
                <w:sz w:val="20"/>
              </w:rPr>
              <w:t>18.1</w:t>
            </w:r>
          </w:p>
        </w:tc>
      </w:tr>
      <w:tr>
        <w:trPr>
          <w:trHeight w:val="470" w:hRule="exact"/>
        </w:trPr>
        <w:tc>
          <w:tcPr>
            <w:tcW w:w="1606" w:type="dxa"/>
          </w:tcPr>
          <w:p>
            <w:pPr>
              <w:pStyle w:val="TableParagraph"/>
              <w:spacing w:line="228" w:lineRule="exact"/>
              <w:ind w:left="103" w:right="85"/>
              <w:rPr>
                <w:sz w:val="20"/>
              </w:rPr>
            </w:pPr>
            <w:r>
              <w:rPr>
                <w:sz w:val="20"/>
              </w:rPr>
              <w:t>Popliteal height</w:t>
            </w:r>
          </w:p>
          <w:p>
            <w:pPr>
              <w:pStyle w:val="TableParagraph"/>
              <w:spacing w:line="230" w:lineRule="exact"/>
              <w:ind w:left="103" w:right="85"/>
              <w:rPr>
                <w:sz w:val="20"/>
              </w:rPr>
            </w:pPr>
            <w:r>
              <w:rPr>
                <w:sz w:val="20"/>
              </w:rPr>
              <w:t>– seat height</w:t>
            </w:r>
          </w:p>
        </w:tc>
        <w:tc>
          <w:tcPr>
            <w:tcW w:w="704" w:type="dxa"/>
          </w:tcPr>
          <w:p>
            <w:pPr/>
          </w:p>
        </w:tc>
        <w:tc>
          <w:tcPr>
            <w:tcW w:w="706" w:type="dxa"/>
          </w:tcPr>
          <w:p>
            <w:pPr>
              <w:pStyle w:val="TableParagraph"/>
              <w:spacing w:before="8"/>
              <w:rPr>
                <w:sz w:val="19"/>
              </w:rPr>
            </w:pPr>
          </w:p>
          <w:p>
            <w:pPr>
              <w:pStyle w:val="TableParagraph"/>
              <w:ind w:left="102" w:right="103"/>
              <w:jc w:val="center"/>
              <w:rPr>
                <w:sz w:val="20"/>
              </w:rPr>
            </w:pPr>
            <w:r>
              <w:rPr>
                <w:sz w:val="20"/>
              </w:rPr>
              <w:t>36.6</w:t>
            </w:r>
          </w:p>
        </w:tc>
        <w:tc>
          <w:tcPr>
            <w:tcW w:w="1038" w:type="dxa"/>
          </w:tcPr>
          <w:p>
            <w:pPr>
              <w:pStyle w:val="TableParagraph"/>
              <w:spacing w:before="8"/>
              <w:rPr>
                <w:sz w:val="19"/>
              </w:rPr>
            </w:pPr>
          </w:p>
          <w:p>
            <w:pPr>
              <w:pStyle w:val="TableParagraph"/>
              <w:ind w:left="369" w:right="368"/>
              <w:jc w:val="center"/>
              <w:rPr>
                <w:sz w:val="20"/>
              </w:rPr>
            </w:pPr>
            <w:r>
              <w:rPr>
                <w:sz w:val="20"/>
              </w:rPr>
              <w:t>5.3</w:t>
            </w:r>
          </w:p>
        </w:tc>
        <w:tc>
          <w:tcPr>
            <w:tcW w:w="566" w:type="dxa"/>
          </w:tcPr>
          <w:p>
            <w:pPr>
              <w:pStyle w:val="TableParagraph"/>
              <w:spacing w:before="8"/>
              <w:rPr>
                <w:sz w:val="19"/>
              </w:rPr>
            </w:pPr>
          </w:p>
          <w:p>
            <w:pPr>
              <w:pStyle w:val="TableParagraph"/>
              <w:ind w:left="103"/>
              <w:rPr>
                <w:sz w:val="20"/>
              </w:rPr>
            </w:pPr>
            <w:r>
              <w:rPr>
                <w:sz w:val="20"/>
              </w:rPr>
              <w:t>30.4</w:t>
            </w:r>
          </w:p>
        </w:tc>
        <w:tc>
          <w:tcPr>
            <w:tcW w:w="666" w:type="dxa"/>
          </w:tcPr>
          <w:p>
            <w:pPr>
              <w:pStyle w:val="TableParagraph"/>
              <w:spacing w:before="8"/>
              <w:rPr>
                <w:sz w:val="19"/>
              </w:rPr>
            </w:pPr>
          </w:p>
          <w:p>
            <w:pPr>
              <w:pStyle w:val="TableParagraph"/>
              <w:ind w:left="83" w:right="82"/>
              <w:jc w:val="center"/>
              <w:rPr>
                <w:sz w:val="20"/>
              </w:rPr>
            </w:pPr>
            <w:r>
              <w:rPr>
                <w:sz w:val="20"/>
              </w:rPr>
              <w:t>36</w:t>
            </w:r>
          </w:p>
        </w:tc>
        <w:tc>
          <w:tcPr>
            <w:tcW w:w="566" w:type="dxa"/>
          </w:tcPr>
          <w:p>
            <w:pPr>
              <w:pStyle w:val="TableParagraph"/>
              <w:spacing w:before="8"/>
              <w:rPr>
                <w:sz w:val="19"/>
              </w:rPr>
            </w:pPr>
          </w:p>
          <w:p>
            <w:pPr>
              <w:pStyle w:val="TableParagraph"/>
              <w:ind w:left="83" w:right="83"/>
              <w:jc w:val="center"/>
              <w:rPr>
                <w:sz w:val="20"/>
              </w:rPr>
            </w:pPr>
            <w:r>
              <w:rPr>
                <w:sz w:val="20"/>
              </w:rPr>
              <w:t>45</w:t>
            </w:r>
          </w:p>
        </w:tc>
        <w:tc>
          <w:tcPr>
            <w:tcW w:w="1072" w:type="dxa"/>
          </w:tcPr>
          <w:p>
            <w:pPr>
              <w:pStyle w:val="TableParagraph"/>
              <w:spacing w:before="8"/>
              <w:rPr>
                <w:sz w:val="19"/>
              </w:rPr>
            </w:pPr>
          </w:p>
          <w:p>
            <w:pPr>
              <w:pStyle w:val="TableParagraph"/>
              <w:ind w:left="355"/>
              <w:rPr>
                <w:sz w:val="20"/>
              </w:rPr>
            </w:pPr>
            <w:r>
              <w:rPr>
                <w:sz w:val="20"/>
              </w:rPr>
              <w:t>30.4</w:t>
            </w:r>
          </w:p>
        </w:tc>
        <w:tc>
          <w:tcPr>
            <w:tcW w:w="1105" w:type="dxa"/>
          </w:tcPr>
          <w:p>
            <w:pPr>
              <w:pStyle w:val="TableParagraph"/>
              <w:spacing w:before="8"/>
              <w:rPr>
                <w:sz w:val="19"/>
              </w:rPr>
            </w:pPr>
          </w:p>
          <w:p>
            <w:pPr>
              <w:pStyle w:val="TableParagraph"/>
              <w:ind w:left="302" w:right="302"/>
              <w:jc w:val="center"/>
              <w:rPr>
                <w:sz w:val="20"/>
              </w:rPr>
            </w:pPr>
            <w:r>
              <w:rPr>
                <w:sz w:val="20"/>
              </w:rPr>
              <w:t>45.0</w:t>
            </w:r>
          </w:p>
        </w:tc>
      </w:tr>
      <w:tr>
        <w:trPr>
          <w:trHeight w:val="701" w:hRule="exact"/>
        </w:trPr>
        <w:tc>
          <w:tcPr>
            <w:tcW w:w="1606" w:type="dxa"/>
          </w:tcPr>
          <w:p>
            <w:pPr>
              <w:pStyle w:val="TableParagraph"/>
              <w:ind w:left="103" w:right="223"/>
              <w:rPr>
                <w:sz w:val="20"/>
              </w:rPr>
            </w:pPr>
            <w:r>
              <w:rPr>
                <w:sz w:val="20"/>
              </w:rPr>
              <w:t>Buttock to popliteal length</w:t>
            </w:r>
          </w:p>
          <w:p>
            <w:pPr>
              <w:pStyle w:val="TableParagraph"/>
              <w:ind w:left="103" w:right="85"/>
              <w:rPr>
                <w:sz w:val="20"/>
              </w:rPr>
            </w:pPr>
            <w:r>
              <w:rPr>
                <w:sz w:val="20"/>
              </w:rPr>
              <w:t>– seat depth</w:t>
            </w:r>
          </w:p>
        </w:tc>
        <w:tc>
          <w:tcPr>
            <w:tcW w:w="704" w:type="dxa"/>
          </w:tcPr>
          <w:p>
            <w:pPr/>
          </w:p>
        </w:tc>
        <w:tc>
          <w:tcPr>
            <w:tcW w:w="706" w:type="dxa"/>
          </w:tcPr>
          <w:p>
            <w:pPr>
              <w:pStyle w:val="TableParagraph"/>
              <w:rPr>
                <w:sz w:val="20"/>
              </w:rPr>
            </w:pPr>
          </w:p>
          <w:p>
            <w:pPr>
              <w:pStyle w:val="TableParagraph"/>
              <w:spacing w:before="9"/>
              <w:rPr>
                <w:sz w:val="19"/>
              </w:rPr>
            </w:pPr>
          </w:p>
          <w:p>
            <w:pPr>
              <w:pStyle w:val="TableParagraph"/>
              <w:ind w:left="102" w:right="103"/>
              <w:jc w:val="center"/>
              <w:rPr>
                <w:sz w:val="20"/>
              </w:rPr>
            </w:pPr>
            <w:r>
              <w:rPr>
                <w:sz w:val="20"/>
              </w:rPr>
              <w:t>34.8</w:t>
            </w:r>
          </w:p>
        </w:tc>
        <w:tc>
          <w:tcPr>
            <w:tcW w:w="1038" w:type="dxa"/>
          </w:tcPr>
          <w:p>
            <w:pPr>
              <w:pStyle w:val="TableParagraph"/>
              <w:rPr>
                <w:sz w:val="20"/>
              </w:rPr>
            </w:pPr>
          </w:p>
          <w:p>
            <w:pPr>
              <w:pStyle w:val="TableParagraph"/>
              <w:spacing w:before="9"/>
              <w:rPr>
                <w:sz w:val="19"/>
              </w:rPr>
            </w:pPr>
          </w:p>
          <w:p>
            <w:pPr>
              <w:pStyle w:val="TableParagraph"/>
              <w:ind w:left="369" w:right="368"/>
              <w:jc w:val="center"/>
              <w:rPr>
                <w:sz w:val="20"/>
              </w:rPr>
            </w:pPr>
            <w:r>
              <w:rPr>
                <w:sz w:val="20"/>
              </w:rPr>
              <w:t>3.4</w:t>
            </w:r>
          </w:p>
        </w:tc>
        <w:tc>
          <w:tcPr>
            <w:tcW w:w="566" w:type="dxa"/>
          </w:tcPr>
          <w:p>
            <w:pPr>
              <w:pStyle w:val="TableParagraph"/>
              <w:rPr>
                <w:sz w:val="20"/>
              </w:rPr>
            </w:pPr>
          </w:p>
          <w:p>
            <w:pPr>
              <w:pStyle w:val="TableParagraph"/>
              <w:spacing w:before="9"/>
              <w:rPr>
                <w:sz w:val="19"/>
              </w:rPr>
            </w:pPr>
          </w:p>
          <w:p>
            <w:pPr>
              <w:pStyle w:val="TableParagraph"/>
              <w:ind w:left="177"/>
              <w:rPr>
                <w:sz w:val="20"/>
              </w:rPr>
            </w:pPr>
            <w:r>
              <w:rPr>
                <w:sz w:val="20"/>
              </w:rPr>
              <w:t>31</w:t>
            </w:r>
          </w:p>
        </w:tc>
        <w:tc>
          <w:tcPr>
            <w:tcW w:w="666" w:type="dxa"/>
          </w:tcPr>
          <w:p>
            <w:pPr>
              <w:pStyle w:val="TableParagraph"/>
              <w:rPr>
                <w:sz w:val="20"/>
              </w:rPr>
            </w:pPr>
          </w:p>
          <w:p>
            <w:pPr>
              <w:pStyle w:val="TableParagraph"/>
              <w:spacing w:before="9"/>
              <w:rPr>
                <w:sz w:val="19"/>
              </w:rPr>
            </w:pPr>
          </w:p>
          <w:p>
            <w:pPr>
              <w:pStyle w:val="TableParagraph"/>
              <w:ind w:left="82" w:right="82"/>
              <w:jc w:val="center"/>
              <w:rPr>
                <w:sz w:val="20"/>
              </w:rPr>
            </w:pPr>
            <w:r>
              <w:rPr>
                <w:sz w:val="20"/>
              </w:rPr>
              <w:t>33.6</w:t>
            </w:r>
          </w:p>
        </w:tc>
        <w:tc>
          <w:tcPr>
            <w:tcW w:w="566" w:type="dxa"/>
          </w:tcPr>
          <w:p>
            <w:pPr>
              <w:pStyle w:val="TableParagraph"/>
              <w:rPr>
                <w:sz w:val="20"/>
              </w:rPr>
            </w:pPr>
          </w:p>
          <w:p>
            <w:pPr>
              <w:pStyle w:val="TableParagraph"/>
              <w:spacing w:before="9"/>
              <w:rPr>
                <w:sz w:val="19"/>
              </w:rPr>
            </w:pPr>
          </w:p>
          <w:p>
            <w:pPr>
              <w:pStyle w:val="TableParagraph"/>
              <w:ind w:left="83" w:right="83"/>
              <w:jc w:val="center"/>
              <w:rPr>
                <w:sz w:val="20"/>
              </w:rPr>
            </w:pPr>
            <w:r>
              <w:rPr>
                <w:sz w:val="20"/>
              </w:rPr>
              <w:t>40.9</w:t>
            </w:r>
          </w:p>
        </w:tc>
        <w:tc>
          <w:tcPr>
            <w:tcW w:w="1072" w:type="dxa"/>
          </w:tcPr>
          <w:p>
            <w:pPr>
              <w:pStyle w:val="TableParagraph"/>
              <w:rPr>
                <w:sz w:val="20"/>
              </w:rPr>
            </w:pPr>
          </w:p>
          <w:p>
            <w:pPr>
              <w:pStyle w:val="TableParagraph"/>
              <w:spacing w:before="9"/>
              <w:rPr>
                <w:sz w:val="19"/>
              </w:rPr>
            </w:pPr>
          </w:p>
          <w:p>
            <w:pPr>
              <w:pStyle w:val="TableParagraph"/>
              <w:ind w:left="355"/>
              <w:rPr>
                <w:sz w:val="20"/>
              </w:rPr>
            </w:pPr>
            <w:r>
              <w:rPr>
                <w:sz w:val="20"/>
              </w:rPr>
              <w:t>31.0</w:t>
            </w:r>
          </w:p>
        </w:tc>
        <w:tc>
          <w:tcPr>
            <w:tcW w:w="1105" w:type="dxa"/>
          </w:tcPr>
          <w:p>
            <w:pPr>
              <w:pStyle w:val="TableParagraph"/>
              <w:rPr>
                <w:sz w:val="20"/>
              </w:rPr>
            </w:pPr>
          </w:p>
          <w:p>
            <w:pPr>
              <w:pStyle w:val="TableParagraph"/>
              <w:spacing w:before="9"/>
              <w:rPr>
                <w:sz w:val="19"/>
              </w:rPr>
            </w:pPr>
          </w:p>
          <w:p>
            <w:pPr>
              <w:pStyle w:val="TableParagraph"/>
              <w:ind w:left="302" w:right="302"/>
              <w:jc w:val="center"/>
              <w:rPr>
                <w:sz w:val="20"/>
              </w:rPr>
            </w:pPr>
            <w:r>
              <w:rPr>
                <w:sz w:val="20"/>
              </w:rPr>
              <w:t>40.9</w:t>
            </w:r>
          </w:p>
        </w:tc>
      </w:tr>
    </w:tbl>
    <w:p>
      <w:pPr>
        <w:pStyle w:val="BodyText"/>
        <w:spacing w:before="8"/>
        <w:rPr>
          <w:sz w:val="7"/>
        </w:rPr>
      </w:pPr>
    </w:p>
    <w:p>
      <w:pPr>
        <w:pStyle w:val="BodyText"/>
        <w:tabs>
          <w:tab w:pos="5899" w:val="left" w:leader="none"/>
        </w:tabs>
        <w:spacing w:before="76"/>
        <w:ind w:left="7038" w:right="682" w:hanging="4336"/>
      </w:pPr>
      <w:r>
        <w:rPr>
          <w:position w:val="3"/>
        </w:rPr>
        <w:t>.</w:t>
        <w:tab/>
      </w:r>
      <w:r>
        <w:rPr/>
        <w:t>Table 3. Anthropometric measures in cm for 7</w:t>
      </w:r>
      <w:r>
        <w:rPr>
          <w:spacing w:val="-22"/>
        </w:rPr>
        <w:t> </w:t>
      </w:r>
      <w:r>
        <w:rPr/>
        <w:t>year-old</w:t>
      </w:r>
      <w:r>
        <w:rPr>
          <w:spacing w:val="-4"/>
        </w:rPr>
        <w:t> </w:t>
      </w:r>
      <w:r>
        <w:rPr/>
        <w:t>boys</w:t>
      </w:r>
      <w:r>
        <w:rPr>
          <w:spacing w:val="-1"/>
          <w:w w:val="100"/>
        </w:rPr>
        <w:t> </w:t>
      </w:r>
      <w:r>
        <w:rPr/>
        <w:t>from public elementary</w:t>
      </w:r>
      <w:r>
        <w:rPr>
          <w:spacing w:val="-12"/>
        </w:rPr>
        <w:t> </w:t>
      </w:r>
      <w:r>
        <w:rPr/>
        <w:t>schools.</w:t>
      </w:r>
    </w:p>
    <w:p>
      <w:pPr>
        <w:spacing w:after="0"/>
        <w:sectPr>
          <w:pgSz w:w="12240" w:h="15840"/>
          <w:pgMar w:header="545" w:footer="852" w:top="1060" w:bottom="1040" w:left="580" w:right="220"/>
        </w:sectPr>
      </w:pPr>
    </w:p>
    <w:p>
      <w:pPr>
        <w:pStyle w:val="BodyText"/>
        <w:spacing w:before="2"/>
        <w:rPr>
          <w:sz w:val="18"/>
        </w:rPr>
      </w:pPr>
    </w:p>
    <w:tbl>
      <w:tblPr>
        <w:tblW w:w="0" w:type="auto"/>
        <w:jc w:val="left"/>
        <w:tblInd w:w="1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06"/>
        <w:gridCol w:w="704"/>
        <w:gridCol w:w="1039"/>
        <w:gridCol w:w="666"/>
        <w:gridCol w:w="666"/>
        <w:gridCol w:w="666"/>
        <w:gridCol w:w="1072"/>
        <w:gridCol w:w="1105"/>
      </w:tblGrid>
      <w:tr>
        <w:trPr>
          <w:trHeight w:val="239" w:hRule="exact"/>
        </w:trPr>
        <w:tc>
          <w:tcPr>
            <w:tcW w:w="1606" w:type="dxa"/>
            <w:vMerge w:val="restart"/>
          </w:tcPr>
          <w:p>
            <w:pPr>
              <w:pStyle w:val="TableParagraph"/>
              <w:spacing w:line="249" w:lineRule="auto"/>
              <w:ind w:left="302" w:right="85" w:hanging="200"/>
              <w:rPr>
                <w:b/>
                <w:sz w:val="20"/>
              </w:rPr>
            </w:pPr>
            <w:r>
              <w:rPr>
                <w:b/>
                <w:sz w:val="20"/>
              </w:rPr>
              <w:t>Anthropometric Dimensions</w:t>
            </w:r>
          </w:p>
        </w:tc>
        <w:tc>
          <w:tcPr>
            <w:tcW w:w="704" w:type="dxa"/>
            <w:vMerge w:val="restart"/>
          </w:tcPr>
          <w:p>
            <w:pPr>
              <w:pStyle w:val="TableParagraph"/>
              <w:spacing w:line="229" w:lineRule="exact"/>
              <w:ind w:left="103"/>
              <w:rPr>
                <w:b/>
                <w:sz w:val="20"/>
              </w:rPr>
            </w:pPr>
            <w:r>
              <w:rPr>
                <w:b/>
                <w:sz w:val="20"/>
              </w:rPr>
              <w:t>Mean</w:t>
            </w:r>
          </w:p>
        </w:tc>
        <w:tc>
          <w:tcPr>
            <w:tcW w:w="1039" w:type="dxa"/>
            <w:vMerge w:val="restart"/>
          </w:tcPr>
          <w:p>
            <w:pPr>
              <w:pStyle w:val="TableParagraph"/>
              <w:spacing w:line="249" w:lineRule="auto"/>
              <w:ind w:left="104" w:right="83" w:firstLine="10"/>
              <w:rPr>
                <w:b/>
                <w:sz w:val="20"/>
              </w:rPr>
            </w:pPr>
            <w:r>
              <w:rPr>
                <w:b/>
                <w:sz w:val="20"/>
              </w:rPr>
              <w:t>Standard Deviation</w:t>
            </w:r>
          </w:p>
        </w:tc>
        <w:tc>
          <w:tcPr>
            <w:tcW w:w="1998" w:type="dxa"/>
            <w:gridSpan w:val="3"/>
          </w:tcPr>
          <w:p>
            <w:pPr>
              <w:pStyle w:val="TableParagraph"/>
              <w:spacing w:line="229" w:lineRule="exact"/>
              <w:ind w:left="566"/>
              <w:rPr>
                <w:b/>
                <w:sz w:val="20"/>
              </w:rPr>
            </w:pPr>
            <w:r>
              <w:rPr>
                <w:b/>
                <w:sz w:val="20"/>
              </w:rPr>
              <w:t>Percentile</w:t>
            </w:r>
          </w:p>
        </w:tc>
        <w:tc>
          <w:tcPr>
            <w:tcW w:w="1072" w:type="dxa"/>
            <w:vMerge w:val="restart"/>
          </w:tcPr>
          <w:p>
            <w:pPr>
              <w:pStyle w:val="TableParagraph"/>
              <w:spacing w:line="229" w:lineRule="exact"/>
              <w:ind w:left="103"/>
              <w:rPr>
                <w:b/>
                <w:sz w:val="20"/>
              </w:rPr>
            </w:pPr>
            <w:r>
              <w:rPr>
                <w:b/>
                <w:sz w:val="20"/>
              </w:rPr>
              <w:t>Minimum</w:t>
            </w:r>
          </w:p>
        </w:tc>
        <w:tc>
          <w:tcPr>
            <w:tcW w:w="1105" w:type="dxa"/>
            <w:vMerge w:val="restart"/>
          </w:tcPr>
          <w:p>
            <w:pPr>
              <w:pStyle w:val="TableParagraph"/>
              <w:spacing w:line="229" w:lineRule="exact"/>
              <w:ind w:left="103"/>
              <w:rPr>
                <w:b/>
                <w:sz w:val="20"/>
              </w:rPr>
            </w:pPr>
            <w:r>
              <w:rPr>
                <w:b/>
                <w:sz w:val="20"/>
              </w:rPr>
              <w:t>Maximum</w:t>
            </w:r>
          </w:p>
        </w:tc>
      </w:tr>
      <w:tr>
        <w:trPr>
          <w:trHeight w:val="240" w:hRule="exact"/>
        </w:trPr>
        <w:tc>
          <w:tcPr>
            <w:tcW w:w="1606" w:type="dxa"/>
            <w:vMerge/>
          </w:tcPr>
          <w:p>
            <w:pPr/>
          </w:p>
        </w:tc>
        <w:tc>
          <w:tcPr>
            <w:tcW w:w="704" w:type="dxa"/>
            <w:vMerge/>
          </w:tcPr>
          <w:p>
            <w:pPr/>
          </w:p>
        </w:tc>
        <w:tc>
          <w:tcPr>
            <w:tcW w:w="1039" w:type="dxa"/>
            <w:vMerge/>
          </w:tcPr>
          <w:p>
            <w:pPr/>
          </w:p>
        </w:tc>
        <w:tc>
          <w:tcPr>
            <w:tcW w:w="666" w:type="dxa"/>
          </w:tcPr>
          <w:p>
            <w:pPr>
              <w:pStyle w:val="TableParagraph"/>
              <w:ind w:left="2"/>
              <w:jc w:val="center"/>
              <w:rPr>
                <w:b/>
                <w:sz w:val="20"/>
              </w:rPr>
            </w:pPr>
            <w:r>
              <w:rPr>
                <w:b/>
                <w:w w:val="100"/>
                <w:sz w:val="20"/>
              </w:rPr>
              <w:t>5</w:t>
            </w:r>
          </w:p>
        </w:tc>
        <w:tc>
          <w:tcPr>
            <w:tcW w:w="666" w:type="dxa"/>
          </w:tcPr>
          <w:p>
            <w:pPr>
              <w:pStyle w:val="TableParagraph"/>
              <w:ind w:left="83" w:right="81"/>
              <w:jc w:val="center"/>
              <w:rPr>
                <w:b/>
                <w:sz w:val="20"/>
              </w:rPr>
            </w:pPr>
            <w:r>
              <w:rPr>
                <w:b/>
                <w:sz w:val="20"/>
              </w:rPr>
              <w:t>50</w:t>
            </w:r>
          </w:p>
        </w:tc>
        <w:tc>
          <w:tcPr>
            <w:tcW w:w="666" w:type="dxa"/>
          </w:tcPr>
          <w:p>
            <w:pPr>
              <w:pStyle w:val="TableParagraph"/>
              <w:ind w:left="83" w:right="81"/>
              <w:jc w:val="center"/>
              <w:rPr>
                <w:b/>
                <w:sz w:val="20"/>
              </w:rPr>
            </w:pPr>
            <w:r>
              <w:rPr>
                <w:b/>
                <w:sz w:val="20"/>
              </w:rPr>
              <w:t>95</w:t>
            </w:r>
          </w:p>
        </w:tc>
        <w:tc>
          <w:tcPr>
            <w:tcW w:w="1072" w:type="dxa"/>
            <w:vMerge/>
          </w:tcPr>
          <w:p>
            <w:pPr/>
          </w:p>
        </w:tc>
        <w:tc>
          <w:tcPr>
            <w:tcW w:w="1105" w:type="dxa"/>
            <w:vMerge/>
          </w:tcPr>
          <w:p>
            <w:pPr/>
          </w:p>
        </w:tc>
      </w:tr>
      <w:tr>
        <w:trPr>
          <w:trHeight w:val="470" w:hRule="exact"/>
        </w:trPr>
        <w:tc>
          <w:tcPr>
            <w:tcW w:w="1606" w:type="dxa"/>
          </w:tcPr>
          <w:p>
            <w:pPr>
              <w:pStyle w:val="TableParagraph"/>
              <w:ind w:left="103" w:right="539"/>
              <w:rPr>
                <w:sz w:val="20"/>
              </w:rPr>
            </w:pPr>
            <w:r>
              <w:rPr>
                <w:sz w:val="20"/>
              </w:rPr>
              <w:t>Weight (kilograms)</w:t>
            </w:r>
          </w:p>
        </w:tc>
        <w:tc>
          <w:tcPr>
            <w:tcW w:w="704" w:type="dxa"/>
          </w:tcPr>
          <w:p>
            <w:pPr>
              <w:pStyle w:val="TableParagraph"/>
              <w:spacing w:before="8"/>
              <w:rPr>
                <w:sz w:val="19"/>
              </w:rPr>
            </w:pPr>
          </w:p>
          <w:p>
            <w:pPr>
              <w:pStyle w:val="TableParagraph"/>
              <w:ind w:left="172"/>
              <w:rPr>
                <w:sz w:val="20"/>
              </w:rPr>
            </w:pPr>
            <w:r>
              <w:rPr>
                <w:sz w:val="20"/>
              </w:rPr>
              <w:t>30.2</w:t>
            </w:r>
          </w:p>
        </w:tc>
        <w:tc>
          <w:tcPr>
            <w:tcW w:w="1039" w:type="dxa"/>
          </w:tcPr>
          <w:p>
            <w:pPr>
              <w:pStyle w:val="TableParagraph"/>
              <w:spacing w:before="8"/>
              <w:rPr>
                <w:sz w:val="19"/>
              </w:rPr>
            </w:pPr>
          </w:p>
          <w:p>
            <w:pPr>
              <w:pStyle w:val="TableParagraph"/>
              <w:ind w:left="369" w:right="368"/>
              <w:jc w:val="center"/>
              <w:rPr>
                <w:sz w:val="20"/>
              </w:rPr>
            </w:pPr>
            <w:r>
              <w:rPr>
                <w:sz w:val="20"/>
              </w:rPr>
              <w:t>5.4</w:t>
            </w:r>
          </w:p>
        </w:tc>
        <w:tc>
          <w:tcPr>
            <w:tcW w:w="666" w:type="dxa"/>
          </w:tcPr>
          <w:p>
            <w:pPr>
              <w:pStyle w:val="TableParagraph"/>
              <w:spacing w:before="8"/>
              <w:rPr>
                <w:sz w:val="19"/>
              </w:rPr>
            </w:pPr>
          </w:p>
          <w:p>
            <w:pPr>
              <w:pStyle w:val="TableParagraph"/>
              <w:ind w:left="82" w:right="82"/>
              <w:jc w:val="center"/>
              <w:rPr>
                <w:sz w:val="20"/>
              </w:rPr>
            </w:pPr>
            <w:r>
              <w:rPr>
                <w:sz w:val="20"/>
              </w:rPr>
              <w:t>23.4</w:t>
            </w:r>
          </w:p>
        </w:tc>
        <w:tc>
          <w:tcPr>
            <w:tcW w:w="666" w:type="dxa"/>
          </w:tcPr>
          <w:p>
            <w:pPr>
              <w:pStyle w:val="TableParagraph"/>
              <w:spacing w:before="8"/>
              <w:rPr>
                <w:sz w:val="19"/>
              </w:rPr>
            </w:pPr>
          </w:p>
          <w:p>
            <w:pPr>
              <w:pStyle w:val="TableParagraph"/>
              <w:ind w:left="82" w:right="82"/>
              <w:jc w:val="center"/>
              <w:rPr>
                <w:sz w:val="20"/>
              </w:rPr>
            </w:pPr>
            <w:r>
              <w:rPr>
                <w:sz w:val="20"/>
              </w:rPr>
              <w:t>28.6</w:t>
            </w:r>
          </w:p>
        </w:tc>
        <w:tc>
          <w:tcPr>
            <w:tcW w:w="666" w:type="dxa"/>
          </w:tcPr>
          <w:p>
            <w:pPr>
              <w:pStyle w:val="TableParagraph"/>
              <w:spacing w:before="8"/>
              <w:rPr>
                <w:sz w:val="19"/>
              </w:rPr>
            </w:pPr>
          </w:p>
          <w:p>
            <w:pPr>
              <w:pStyle w:val="TableParagraph"/>
              <w:ind w:left="82" w:right="82"/>
              <w:jc w:val="center"/>
              <w:rPr>
                <w:sz w:val="20"/>
              </w:rPr>
            </w:pPr>
            <w:r>
              <w:rPr>
                <w:sz w:val="20"/>
              </w:rPr>
              <w:t>42.0</w:t>
            </w:r>
          </w:p>
        </w:tc>
        <w:tc>
          <w:tcPr>
            <w:tcW w:w="1072" w:type="dxa"/>
          </w:tcPr>
          <w:p>
            <w:pPr>
              <w:pStyle w:val="TableParagraph"/>
              <w:spacing w:before="8"/>
              <w:rPr>
                <w:sz w:val="19"/>
              </w:rPr>
            </w:pPr>
          </w:p>
          <w:p>
            <w:pPr>
              <w:pStyle w:val="TableParagraph"/>
              <w:ind w:left="285" w:right="285"/>
              <w:jc w:val="center"/>
              <w:rPr>
                <w:sz w:val="20"/>
              </w:rPr>
            </w:pPr>
            <w:r>
              <w:rPr>
                <w:sz w:val="20"/>
              </w:rPr>
              <w:t>23.4</w:t>
            </w:r>
          </w:p>
        </w:tc>
        <w:tc>
          <w:tcPr>
            <w:tcW w:w="1105" w:type="dxa"/>
          </w:tcPr>
          <w:p>
            <w:pPr>
              <w:pStyle w:val="TableParagraph"/>
              <w:spacing w:before="8"/>
              <w:rPr>
                <w:sz w:val="19"/>
              </w:rPr>
            </w:pPr>
          </w:p>
          <w:p>
            <w:pPr>
              <w:pStyle w:val="TableParagraph"/>
              <w:ind w:right="370"/>
              <w:jc w:val="right"/>
              <w:rPr>
                <w:sz w:val="20"/>
              </w:rPr>
            </w:pPr>
            <w:r>
              <w:rPr>
                <w:sz w:val="20"/>
              </w:rPr>
              <w:t>42.0</w:t>
            </w:r>
          </w:p>
        </w:tc>
      </w:tr>
      <w:tr>
        <w:trPr>
          <w:trHeight w:val="240" w:hRule="exact"/>
        </w:trPr>
        <w:tc>
          <w:tcPr>
            <w:tcW w:w="1606" w:type="dxa"/>
          </w:tcPr>
          <w:p>
            <w:pPr>
              <w:pStyle w:val="TableParagraph"/>
              <w:spacing w:line="227" w:lineRule="exact"/>
              <w:ind w:left="103" w:right="85"/>
              <w:rPr>
                <w:sz w:val="20"/>
              </w:rPr>
            </w:pPr>
            <w:r>
              <w:rPr>
                <w:sz w:val="20"/>
              </w:rPr>
              <w:t>Stature</w:t>
            </w:r>
          </w:p>
        </w:tc>
        <w:tc>
          <w:tcPr>
            <w:tcW w:w="704" w:type="dxa"/>
          </w:tcPr>
          <w:p>
            <w:pPr>
              <w:pStyle w:val="TableParagraph"/>
              <w:spacing w:line="227" w:lineRule="exact"/>
              <w:ind w:left="123"/>
              <w:rPr>
                <w:sz w:val="20"/>
              </w:rPr>
            </w:pPr>
            <w:r>
              <w:rPr>
                <w:sz w:val="20"/>
              </w:rPr>
              <w:t>130.0</w:t>
            </w:r>
          </w:p>
        </w:tc>
        <w:tc>
          <w:tcPr>
            <w:tcW w:w="1039" w:type="dxa"/>
          </w:tcPr>
          <w:p>
            <w:pPr>
              <w:pStyle w:val="TableParagraph"/>
              <w:spacing w:line="227" w:lineRule="exact"/>
              <w:ind w:left="370" w:right="368"/>
              <w:jc w:val="center"/>
              <w:rPr>
                <w:sz w:val="20"/>
              </w:rPr>
            </w:pPr>
            <w:r>
              <w:rPr>
                <w:sz w:val="20"/>
              </w:rPr>
              <w:t>6.0</w:t>
            </w:r>
          </w:p>
        </w:tc>
        <w:tc>
          <w:tcPr>
            <w:tcW w:w="666" w:type="dxa"/>
          </w:tcPr>
          <w:p>
            <w:pPr>
              <w:pStyle w:val="TableParagraph"/>
              <w:spacing w:line="227" w:lineRule="exact"/>
              <w:ind w:left="83" w:right="82"/>
              <w:jc w:val="center"/>
              <w:rPr>
                <w:sz w:val="20"/>
              </w:rPr>
            </w:pPr>
            <w:r>
              <w:rPr>
                <w:sz w:val="20"/>
              </w:rPr>
              <w:t>120.8</w:t>
            </w:r>
          </w:p>
        </w:tc>
        <w:tc>
          <w:tcPr>
            <w:tcW w:w="666" w:type="dxa"/>
          </w:tcPr>
          <w:p>
            <w:pPr>
              <w:pStyle w:val="TableParagraph"/>
              <w:spacing w:line="227" w:lineRule="exact"/>
              <w:ind w:left="83" w:right="82"/>
              <w:jc w:val="center"/>
              <w:rPr>
                <w:sz w:val="20"/>
              </w:rPr>
            </w:pPr>
            <w:r>
              <w:rPr>
                <w:sz w:val="20"/>
              </w:rPr>
              <w:t>130.4</w:t>
            </w:r>
          </w:p>
        </w:tc>
        <w:tc>
          <w:tcPr>
            <w:tcW w:w="666" w:type="dxa"/>
          </w:tcPr>
          <w:p>
            <w:pPr>
              <w:pStyle w:val="TableParagraph"/>
              <w:spacing w:line="227" w:lineRule="exact"/>
              <w:ind w:left="83" w:right="82"/>
              <w:jc w:val="center"/>
              <w:rPr>
                <w:sz w:val="20"/>
              </w:rPr>
            </w:pPr>
            <w:r>
              <w:rPr>
                <w:sz w:val="20"/>
              </w:rPr>
              <w:t>141.9</w:t>
            </w:r>
          </w:p>
        </w:tc>
        <w:tc>
          <w:tcPr>
            <w:tcW w:w="1072" w:type="dxa"/>
          </w:tcPr>
          <w:p>
            <w:pPr>
              <w:pStyle w:val="TableParagraph"/>
              <w:spacing w:line="227" w:lineRule="exact"/>
              <w:ind w:left="285" w:right="285"/>
              <w:jc w:val="center"/>
              <w:rPr>
                <w:sz w:val="20"/>
              </w:rPr>
            </w:pPr>
            <w:r>
              <w:rPr>
                <w:sz w:val="20"/>
              </w:rPr>
              <w:t>120.8</w:t>
            </w:r>
          </w:p>
        </w:tc>
        <w:tc>
          <w:tcPr>
            <w:tcW w:w="1105" w:type="dxa"/>
          </w:tcPr>
          <w:p>
            <w:pPr>
              <w:pStyle w:val="TableParagraph"/>
              <w:spacing w:line="227" w:lineRule="exact"/>
              <w:ind w:right="320"/>
              <w:jc w:val="right"/>
              <w:rPr>
                <w:sz w:val="20"/>
              </w:rPr>
            </w:pPr>
            <w:r>
              <w:rPr>
                <w:sz w:val="20"/>
              </w:rPr>
              <w:t>141.9</w:t>
            </w:r>
          </w:p>
        </w:tc>
      </w:tr>
      <w:tr>
        <w:trPr>
          <w:trHeight w:val="700" w:hRule="exact"/>
        </w:trPr>
        <w:tc>
          <w:tcPr>
            <w:tcW w:w="1606" w:type="dxa"/>
          </w:tcPr>
          <w:p>
            <w:pPr>
              <w:pStyle w:val="TableParagraph"/>
              <w:ind w:left="103" w:right="400"/>
              <w:rPr>
                <w:sz w:val="20"/>
              </w:rPr>
            </w:pPr>
            <w:r>
              <w:rPr>
                <w:sz w:val="20"/>
              </w:rPr>
              <w:t>Elbow height sitting</w:t>
            </w:r>
          </w:p>
          <w:p>
            <w:pPr>
              <w:pStyle w:val="TableParagraph"/>
              <w:ind w:left="103" w:right="85"/>
              <w:rPr>
                <w:sz w:val="20"/>
              </w:rPr>
            </w:pPr>
            <w:r>
              <w:rPr>
                <w:sz w:val="20"/>
              </w:rPr>
              <w:t>– table height</w:t>
            </w:r>
          </w:p>
        </w:tc>
        <w:tc>
          <w:tcPr>
            <w:tcW w:w="704" w:type="dxa"/>
          </w:tcPr>
          <w:p>
            <w:pPr>
              <w:pStyle w:val="TableParagraph"/>
              <w:rPr>
                <w:sz w:val="20"/>
              </w:rPr>
            </w:pPr>
          </w:p>
          <w:p>
            <w:pPr>
              <w:pStyle w:val="TableParagraph"/>
              <w:spacing w:before="9"/>
              <w:rPr>
                <w:sz w:val="19"/>
              </w:rPr>
            </w:pPr>
          </w:p>
          <w:p>
            <w:pPr>
              <w:pStyle w:val="TableParagraph"/>
              <w:ind w:left="171"/>
              <w:rPr>
                <w:sz w:val="20"/>
              </w:rPr>
            </w:pPr>
            <w:r>
              <w:rPr>
                <w:sz w:val="20"/>
              </w:rPr>
              <w:t>16.2</w:t>
            </w:r>
          </w:p>
        </w:tc>
        <w:tc>
          <w:tcPr>
            <w:tcW w:w="1039" w:type="dxa"/>
          </w:tcPr>
          <w:p>
            <w:pPr>
              <w:pStyle w:val="TableParagraph"/>
              <w:rPr>
                <w:sz w:val="20"/>
              </w:rPr>
            </w:pPr>
          </w:p>
          <w:p>
            <w:pPr>
              <w:pStyle w:val="TableParagraph"/>
              <w:spacing w:before="9"/>
              <w:rPr>
                <w:sz w:val="19"/>
              </w:rPr>
            </w:pPr>
          </w:p>
          <w:p>
            <w:pPr>
              <w:pStyle w:val="TableParagraph"/>
              <w:ind w:left="369" w:right="368"/>
              <w:jc w:val="center"/>
              <w:rPr>
                <w:sz w:val="20"/>
              </w:rPr>
            </w:pPr>
            <w:r>
              <w:rPr>
                <w:sz w:val="20"/>
              </w:rPr>
              <w:t>1.8</w:t>
            </w:r>
          </w:p>
        </w:tc>
        <w:tc>
          <w:tcPr>
            <w:tcW w:w="666" w:type="dxa"/>
          </w:tcPr>
          <w:p>
            <w:pPr>
              <w:pStyle w:val="TableParagraph"/>
              <w:rPr>
                <w:sz w:val="20"/>
              </w:rPr>
            </w:pPr>
          </w:p>
          <w:p>
            <w:pPr>
              <w:pStyle w:val="TableParagraph"/>
              <w:spacing w:before="9"/>
              <w:rPr>
                <w:sz w:val="19"/>
              </w:rPr>
            </w:pPr>
          </w:p>
          <w:p>
            <w:pPr>
              <w:pStyle w:val="TableParagraph"/>
              <w:ind w:left="82" w:right="82"/>
              <w:jc w:val="center"/>
              <w:rPr>
                <w:sz w:val="20"/>
              </w:rPr>
            </w:pPr>
            <w:r>
              <w:rPr>
                <w:sz w:val="20"/>
              </w:rPr>
              <w:t>12.7</w:t>
            </w:r>
          </w:p>
        </w:tc>
        <w:tc>
          <w:tcPr>
            <w:tcW w:w="666" w:type="dxa"/>
          </w:tcPr>
          <w:p>
            <w:pPr>
              <w:pStyle w:val="TableParagraph"/>
              <w:rPr>
                <w:sz w:val="20"/>
              </w:rPr>
            </w:pPr>
          </w:p>
          <w:p>
            <w:pPr>
              <w:pStyle w:val="TableParagraph"/>
              <w:spacing w:before="9"/>
              <w:rPr>
                <w:sz w:val="19"/>
              </w:rPr>
            </w:pPr>
          </w:p>
          <w:p>
            <w:pPr>
              <w:pStyle w:val="TableParagraph"/>
              <w:ind w:left="82" w:right="82"/>
              <w:jc w:val="center"/>
              <w:rPr>
                <w:sz w:val="20"/>
              </w:rPr>
            </w:pPr>
            <w:r>
              <w:rPr>
                <w:sz w:val="20"/>
              </w:rPr>
              <w:t>16.2</w:t>
            </w:r>
          </w:p>
        </w:tc>
        <w:tc>
          <w:tcPr>
            <w:tcW w:w="666" w:type="dxa"/>
          </w:tcPr>
          <w:p>
            <w:pPr>
              <w:pStyle w:val="TableParagraph"/>
              <w:rPr>
                <w:sz w:val="20"/>
              </w:rPr>
            </w:pPr>
          </w:p>
          <w:p>
            <w:pPr>
              <w:pStyle w:val="TableParagraph"/>
              <w:spacing w:before="9"/>
              <w:rPr>
                <w:sz w:val="19"/>
              </w:rPr>
            </w:pPr>
          </w:p>
          <w:p>
            <w:pPr>
              <w:pStyle w:val="TableParagraph"/>
              <w:ind w:left="82" w:right="82"/>
              <w:jc w:val="center"/>
              <w:rPr>
                <w:sz w:val="20"/>
              </w:rPr>
            </w:pPr>
            <w:r>
              <w:rPr>
                <w:sz w:val="20"/>
              </w:rPr>
              <w:t>18.5</w:t>
            </w:r>
          </w:p>
        </w:tc>
        <w:tc>
          <w:tcPr>
            <w:tcW w:w="1072" w:type="dxa"/>
          </w:tcPr>
          <w:p>
            <w:pPr>
              <w:pStyle w:val="TableParagraph"/>
              <w:rPr>
                <w:sz w:val="20"/>
              </w:rPr>
            </w:pPr>
          </w:p>
          <w:p>
            <w:pPr>
              <w:pStyle w:val="TableParagraph"/>
              <w:spacing w:before="9"/>
              <w:rPr>
                <w:sz w:val="19"/>
              </w:rPr>
            </w:pPr>
          </w:p>
          <w:p>
            <w:pPr>
              <w:pStyle w:val="TableParagraph"/>
              <w:ind w:left="285" w:right="285"/>
              <w:jc w:val="center"/>
              <w:rPr>
                <w:sz w:val="20"/>
              </w:rPr>
            </w:pPr>
            <w:r>
              <w:rPr>
                <w:sz w:val="20"/>
              </w:rPr>
              <w:t>12.7</w:t>
            </w:r>
          </w:p>
        </w:tc>
        <w:tc>
          <w:tcPr>
            <w:tcW w:w="1105" w:type="dxa"/>
          </w:tcPr>
          <w:p>
            <w:pPr>
              <w:pStyle w:val="TableParagraph"/>
              <w:rPr>
                <w:sz w:val="20"/>
              </w:rPr>
            </w:pPr>
          </w:p>
          <w:p>
            <w:pPr>
              <w:pStyle w:val="TableParagraph"/>
              <w:spacing w:before="9"/>
              <w:rPr>
                <w:sz w:val="19"/>
              </w:rPr>
            </w:pPr>
          </w:p>
          <w:p>
            <w:pPr>
              <w:pStyle w:val="TableParagraph"/>
              <w:ind w:right="370"/>
              <w:jc w:val="right"/>
              <w:rPr>
                <w:sz w:val="20"/>
              </w:rPr>
            </w:pPr>
            <w:r>
              <w:rPr>
                <w:sz w:val="20"/>
              </w:rPr>
              <w:t>18.5</w:t>
            </w:r>
          </w:p>
        </w:tc>
      </w:tr>
      <w:tr>
        <w:trPr>
          <w:trHeight w:val="470" w:hRule="exact"/>
        </w:trPr>
        <w:tc>
          <w:tcPr>
            <w:tcW w:w="1606" w:type="dxa"/>
          </w:tcPr>
          <w:p>
            <w:pPr>
              <w:pStyle w:val="TableParagraph"/>
              <w:spacing w:line="228" w:lineRule="exact"/>
              <w:ind w:left="103" w:right="85"/>
              <w:rPr>
                <w:sz w:val="20"/>
              </w:rPr>
            </w:pPr>
            <w:r>
              <w:rPr>
                <w:sz w:val="20"/>
              </w:rPr>
              <w:t>Popliteal height</w:t>
            </w:r>
          </w:p>
          <w:p>
            <w:pPr>
              <w:pStyle w:val="TableParagraph"/>
              <w:spacing w:line="230" w:lineRule="exact"/>
              <w:ind w:left="103" w:right="85"/>
              <w:rPr>
                <w:sz w:val="20"/>
              </w:rPr>
            </w:pPr>
            <w:r>
              <w:rPr>
                <w:sz w:val="20"/>
              </w:rPr>
              <w:t>– seat height</w:t>
            </w:r>
          </w:p>
        </w:tc>
        <w:tc>
          <w:tcPr>
            <w:tcW w:w="704" w:type="dxa"/>
          </w:tcPr>
          <w:p>
            <w:pPr>
              <w:pStyle w:val="TableParagraph"/>
              <w:spacing w:before="8"/>
              <w:rPr>
                <w:sz w:val="19"/>
              </w:rPr>
            </w:pPr>
          </w:p>
          <w:p>
            <w:pPr>
              <w:pStyle w:val="TableParagraph"/>
              <w:ind w:left="173"/>
              <w:rPr>
                <w:sz w:val="20"/>
              </w:rPr>
            </w:pPr>
            <w:r>
              <w:rPr>
                <w:sz w:val="20"/>
              </w:rPr>
              <w:t>37.1</w:t>
            </w:r>
          </w:p>
        </w:tc>
        <w:tc>
          <w:tcPr>
            <w:tcW w:w="1039" w:type="dxa"/>
          </w:tcPr>
          <w:p>
            <w:pPr>
              <w:pStyle w:val="TableParagraph"/>
              <w:spacing w:before="8"/>
              <w:rPr>
                <w:sz w:val="19"/>
              </w:rPr>
            </w:pPr>
          </w:p>
          <w:p>
            <w:pPr>
              <w:pStyle w:val="TableParagraph"/>
              <w:ind w:left="370" w:right="367"/>
              <w:jc w:val="center"/>
              <w:rPr>
                <w:sz w:val="20"/>
              </w:rPr>
            </w:pPr>
            <w:r>
              <w:rPr>
                <w:sz w:val="20"/>
              </w:rPr>
              <w:t>8.7</w:t>
            </w:r>
          </w:p>
        </w:tc>
        <w:tc>
          <w:tcPr>
            <w:tcW w:w="666" w:type="dxa"/>
          </w:tcPr>
          <w:p>
            <w:pPr>
              <w:pStyle w:val="TableParagraph"/>
              <w:spacing w:before="8"/>
              <w:rPr>
                <w:sz w:val="19"/>
              </w:rPr>
            </w:pPr>
          </w:p>
          <w:p>
            <w:pPr>
              <w:pStyle w:val="TableParagraph"/>
              <w:ind w:left="83" w:right="82"/>
              <w:jc w:val="center"/>
              <w:rPr>
                <w:sz w:val="20"/>
              </w:rPr>
            </w:pPr>
            <w:r>
              <w:rPr>
                <w:sz w:val="20"/>
              </w:rPr>
              <w:t>22.2</w:t>
            </w:r>
          </w:p>
        </w:tc>
        <w:tc>
          <w:tcPr>
            <w:tcW w:w="666" w:type="dxa"/>
          </w:tcPr>
          <w:p>
            <w:pPr>
              <w:pStyle w:val="TableParagraph"/>
              <w:spacing w:before="8"/>
              <w:rPr>
                <w:sz w:val="19"/>
              </w:rPr>
            </w:pPr>
          </w:p>
          <w:p>
            <w:pPr>
              <w:pStyle w:val="TableParagraph"/>
              <w:ind w:left="83" w:right="82"/>
              <w:jc w:val="center"/>
              <w:rPr>
                <w:sz w:val="20"/>
              </w:rPr>
            </w:pPr>
            <w:r>
              <w:rPr>
                <w:sz w:val="20"/>
              </w:rPr>
              <w:t>35.7</w:t>
            </w:r>
          </w:p>
        </w:tc>
        <w:tc>
          <w:tcPr>
            <w:tcW w:w="666" w:type="dxa"/>
          </w:tcPr>
          <w:p>
            <w:pPr>
              <w:pStyle w:val="TableParagraph"/>
              <w:spacing w:before="8"/>
              <w:rPr>
                <w:sz w:val="19"/>
              </w:rPr>
            </w:pPr>
          </w:p>
          <w:p>
            <w:pPr>
              <w:pStyle w:val="TableParagraph"/>
              <w:ind w:left="83" w:right="82"/>
              <w:jc w:val="center"/>
              <w:rPr>
                <w:sz w:val="20"/>
              </w:rPr>
            </w:pPr>
            <w:r>
              <w:rPr>
                <w:sz w:val="20"/>
              </w:rPr>
              <w:t>49.1</w:t>
            </w:r>
          </w:p>
        </w:tc>
        <w:tc>
          <w:tcPr>
            <w:tcW w:w="1072" w:type="dxa"/>
          </w:tcPr>
          <w:p>
            <w:pPr>
              <w:pStyle w:val="TableParagraph"/>
              <w:spacing w:before="8"/>
              <w:rPr>
                <w:sz w:val="19"/>
              </w:rPr>
            </w:pPr>
          </w:p>
          <w:p>
            <w:pPr>
              <w:pStyle w:val="TableParagraph"/>
              <w:ind w:left="286" w:right="285"/>
              <w:jc w:val="center"/>
              <w:rPr>
                <w:sz w:val="20"/>
              </w:rPr>
            </w:pPr>
            <w:r>
              <w:rPr>
                <w:sz w:val="20"/>
              </w:rPr>
              <w:t>22.2</w:t>
            </w:r>
          </w:p>
        </w:tc>
        <w:tc>
          <w:tcPr>
            <w:tcW w:w="1105" w:type="dxa"/>
          </w:tcPr>
          <w:p>
            <w:pPr>
              <w:pStyle w:val="TableParagraph"/>
              <w:spacing w:before="8"/>
              <w:rPr>
                <w:sz w:val="19"/>
              </w:rPr>
            </w:pPr>
          </w:p>
          <w:p>
            <w:pPr>
              <w:pStyle w:val="TableParagraph"/>
              <w:ind w:right="369"/>
              <w:jc w:val="right"/>
              <w:rPr>
                <w:sz w:val="20"/>
              </w:rPr>
            </w:pPr>
            <w:r>
              <w:rPr>
                <w:sz w:val="20"/>
              </w:rPr>
              <w:t>49.1</w:t>
            </w:r>
          </w:p>
        </w:tc>
      </w:tr>
      <w:tr>
        <w:trPr>
          <w:trHeight w:val="701" w:hRule="exact"/>
        </w:trPr>
        <w:tc>
          <w:tcPr>
            <w:tcW w:w="1606" w:type="dxa"/>
          </w:tcPr>
          <w:p>
            <w:pPr>
              <w:pStyle w:val="TableParagraph"/>
              <w:ind w:left="103" w:right="223"/>
              <w:rPr>
                <w:sz w:val="20"/>
              </w:rPr>
            </w:pPr>
            <w:r>
              <w:rPr>
                <w:sz w:val="20"/>
              </w:rPr>
              <w:t>Buttock to popliteal length</w:t>
            </w:r>
          </w:p>
          <w:p>
            <w:pPr>
              <w:pStyle w:val="TableParagraph"/>
              <w:ind w:left="103" w:right="85"/>
              <w:rPr>
                <w:sz w:val="20"/>
              </w:rPr>
            </w:pPr>
            <w:r>
              <w:rPr>
                <w:sz w:val="20"/>
              </w:rPr>
              <w:t>– seat depth</w:t>
            </w:r>
          </w:p>
        </w:tc>
        <w:tc>
          <w:tcPr>
            <w:tcW w:w="704" w:type="dxa"/>
          </w:tcPr>
          <w:p>
            <w:pPr>
              <w:pStyle w:val="TableParagraph"/>
              <w:rPr>
                <w:sz w:val="20"/>
              </w:rPr>
            </w:pPr>
          </w:p>
          <w:p>
            <w:pPr>
              <w:pStyle w:val="TableParagraph"/>
              <w:spacing w:before="9"/>
              <w:rPr>
                <w:sz w:val="19"/>
              </w:rPr>
            </w:pPr>
          </w:p>
          <w:p>
            <w:pPr>
              <w:pStyle w:val="TableParagraph"/>
              <w:ind w:left="172"/>
              <w:rPr>
                <w:sz w:val="20"/>
              </w:rPr>
            </w:pPr>
            <w:r>
              <w:rPr>
                <w:sz w:val="20"/>
              </w:rPr>
              <w:t>37.3</w:t>
            </w:r>
          </w:p>
        </w:tc>
        <w:tc>
          <w:tcPr>
            <w:tcW w:w="1039" w:type="dxa"/>
          </w:tcPr>
          <w:p>
            <w:pPr>
              <w:pStyle w:val="TableParagraph"/>
              <w:rPr>
                <w:sz w:val="20"/>
              </w:rPr>
            </w:pPr>
          </w:p>
          <w:p>
            <w:pPr>
              <w:pStyle w:val="TableParagraph"/>
              <w:spacing w:before="9"/>
              <w:rPr>
                <w:sz w:val="19"/>
              </w:rPr>
            </w:pPr>
          </w:p>
          <w:p>
            <w:pPr>
              <w:pStyle w:val="TableParagraph"/>
              <w:ind w:left="369" w:right="368"/>
              <w:jc w:val="center"/>
              <w:rPr>
                <w:sz w:val="20"/>
              </w:rPr>
            </w:pPr>
            <w:r>
              <w:rPr>
                <w:sz w:val="20"/>
              </w:rPr>
              <w:t>5.0</w:t>
            </w:r>
          </w:p>
        </w:tc>
        <w:tc>
          <w:tcPr>
            <w:tcW w:w="666" w:type="dxa"/>
          </w:tcPr>
          <w:p>
            <w:pPr>
              <w:pStyle w:val="TableParagraph"/>
              <w:rPr>
                <w:sz w:val="20"/>
              </w:rPr>
            </w:pPr>
          </w:p>
          <w:p>
            <w:pPr>
              <w:pStyle w:val="TableParagraph"/>
              <w:spacing w:before="9"/>
              <w:rPr>
                <w:sz w:val="19"/>
              </w:rPr>
            </w:pPr>
          </w:p>
          <w:p>
            <w:pPr>
              <w:pStyle w:val="TableParagraph"/>
              <w:ind w:left="82" w:right="82"/>
              <w:jc w:val="center"/>
              <w:rPr>
                <w:sz w:val="20"/>
              </w:rPr>
            </w:pPr>
            <w:r>
              <w:rPr>
                <w:sz w:val="20"/>
              </w:rPr>
              <w:t>27.8</w:t>
            </w:r>
          </w:p>
        </w:tc>
        <w:tc>
          <w:tcPr>
            <w:tcW w:w="666" w:type="dxa"/>
          </w:tcPr>
          <w:p>
            <w:pPr>
              <w:pStyle w:val="TableParagraph"/>
              <w:rPr>
                <w:sz w:val="20"/>
              </w:rPr>
            </w:pPr>
          </w:p>
          <w:p>
            <w:pPr>
              <w:pStyle w:val="TableParagraph"/>
              <w:spacing w:before="9"/>
              <w:rPr>
                <w:sz w:val="19"/>
              </w:rPr>
            </w:pPr>
          </w:p>
          <w:p>
            <w:pPr>
              <w:pStyle w:val="TableParagraph"/>
              <w:ind w:left="82" w:right="82"/>
              <w:jc w:val="center"/>
              <w:rPr>
                <w:sz w:val="20"/>
              </w:rPr>
            </w:pPr>
            <w:r>
              <w:rPr>
                <w:sz w:val="20"/>
              </w:rPr>
              <w:t>39.3</w:t>
            </w:r>
          </w:p>
        </w:tc>
        <w:tc>
          <w:tcPr>
            <w:tcW w:w="666" w:type="dxa"/>
          </w:tcPr>
          <w:p>
            <w:pPr>
              <w:pStyle w:val="TableParagraph"/>
              <w:rPr>
                <w:sz w:val="20"/>
              </w:rPr>
            </w:pPr>
          </w:p>
          <w:p>
            <w:pPr>
              <w:pStyle w:val="TableParagraph"/>
              <w:spacing w:before="9"/>
              <w:rPr>
                <w:sz w:val="19"/>
              </w:rPr>
            </w:pPr>
          </w:p>
          <w:p>
            <w:pPr>
              <w:pStyle w:val="TableParagraph"/>
              <w:ind w:left="82" w:right="82"/>
              <w:jc w:val="center"/>
              <w:rPr>
                <w:sz w:val="20"/>
              </w:rPr>
            </w:pPr>
            <w:r>
              <w:rPr>
                <w:sz w:val="20"/>
              </w:rPr>
              <w:t>42.3</w:t>
            </w:r>
          </w:p>
        </w:tc>
        <w:tc>
          <w:tcPr>
            <w:tcW w:w="1072" w:type="dxa"/>
          </w:tcPr>
          <w:p>
            <w:pPr>
              <w:pStyle w:val="TableParagraph"/>
              <w:rPr>
                <w:sz w:val="20"/>
              </w:rPr>
            </w:pPr>
          </w:p>
          <w:p>
            <w:pPr>
              <w:pStyle w:val="TableParagraph"/>
              <w:spacing w:before="9"/>
              <w:rPr>
                <w:sz w:val="19"/>
              </w:rPr>
            </w:pPr>
          </w:p>
          <w:p>
            <w:pPr>
              <w:pStyle w:val="TableParagraph"/>
              <w:ind w:left="285" w:right="285"/>
              <w:jc w:val="center"/>
              <w:rPr>
                <w:sz w:val="20"/>
              </w:rPr>
            </w:pPr>
            <w:r>
              <w:rPr>
                <w:sz w:val="20"/>
              </w:rPr>
              <w:t>27.8</w:t>
            </w:r>
          </w:p>
        </w:tc>
        <w:tc>
          <w:tcPr>
            <w:tcW w:w="1105" w:type="dxa"/>
          </w:tcPr>
          <w:p>
            <w:pPr>
              <w:pStyle w:val="TableParagraph"/>
              <w:rPr>
                <w:sz w:val="20"/>
              </w:rPr>
            </w:pPr>
          </w:p>
          <w:p>
            <w:pPr>
              <w:pStyle w:val="TableParagraph"/>
              <w:spacing w:before="9"/>
              <w:rPr>
                <w:sz w:val="19"/>
              </w:rPr>
            </w:pPr>
          </w:p>
          <w:p>
            <w:pPr>
              <w:pStyle w:val="TableParagraph"/>
              <w:ind w:right="370"/>
              <w:jc w:val="right"/>
              <w:rPr>
                <w:sz w:val="20"/>
              </w:rPr>
            </w:pPr>
            <w:r>
              <w:rPr>
                <w:sz w:val="20"/>
              </w:rPr>
              <w:t>42.3</w:t>
            </w:r>
          </w:p>
        </w:tc>
      </w:tr>
    </w:tbl>
    <w:p>
      <w:pPr>
        <w:pStyle w:val="BodyText"/>
        <w:spacing w:before="2"/>
        <w:rPr>
          <w:sz w:val="13"/>
        </w:rPr>
      </w:pPr>
    </w:p>
    <w:p>
      <w:pPr>
        <w:pStyle w:val="BodyText"/>
        <w:spacing w:before="74"/>
        <w:ind w:left="1413" w:right="6265" w:hanging="1113"/>
      </w:pPr>
      <w:r>
        <w:rPr/>
        <w:t>Table 4. Anthropometric measures in cm for 8 year-old boys from private elementary schools.</w:t>
      </w:r>
    </w:p>
    <w:p>
      <w:pPr>
        <w:pStyle w:val="BodyText"/>
      </w:pPr>
    </w:p>
    <w:p>
      <w:pPr>
        <w:pStyle w:val="BodyText"/>
      </w:pPr>
    </w:p>
    <w:p>
      <w:pPr>
        <w:pStyle w:val="BodyText"/>
      </w:pPr>
    </w:p>
    <w:p>
      <w:pPr>
        <w:pStyle w:val="BodyText"/>
        <w:spacing w:before="4"/>
      </w:pPr>
    </w:p>
    <w:tbl>
      <w:tblPr>
        <w:tblW w:w="0" w:type="auto"/>
        <w:jc w:val="left"/>
        <w:tblInd w:w="1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06"/>
        <w:gridCol w:w="704"/>
        <w:gridCol w:w="1039"/>
        <w:gridCol w:w="666"/>
        <w:gridCol w:w="666"/>
        <w:gridCol w:w="566"/>
        <w:gridCol w:w="1072"/>
        <w:gridCol w:w="1105"/>
      </w:tblGrid>
      <w:tr>
        <w:trPr>
          <w:trHeight w:val="240" w:hRule="exact"/>
        </w:trPr>
        <w:tc>
          <w:tcPr>
            <w:tcW w:w="1606" w:type="dxa"/>
            <w:vMerge w:val="restart"/>
          </w:tcPr>
          <w:p>
            <w:pPr>
              <w:pStyle w:val="TableParagraph"/>
              <w:spacing w:line="249" w:lineRule="auto"/>
              <w:ind w:left="302" w:right="85" w:hanging="200"/>
              <w:rPr>
                <w:b/>
                <w:sz w:val="20"/>
              </w:rPr>
            </w:pPr>
            <w:r>
              <w:rPr>
                <w:b/>
                <w:sz w:val="20"/>
              </w:rPr>
              <w:t>Anthropometric Dimensions</w:t>
            </w:r>
          </w:p>
        </w:tc>
        <w:tc>
          <w:tcPr>
            <w:tcW w:w="704" w:type="dxa"/>
            <w:vMerge w:val="restart"/>
          </w:tcPr>
          <w:p>
            <w:pPr>
              <w:pStyle w:val="TableParagraph"/>
              <w:ind w:left="103"/>
              <w:rPr>
                <w:b/>
                <w:sz w:val="20"/>
              </w:rPr>
            </w:pPr>
            <w:r>
              <w:rPr>
                <w:b/>
                <w:sz w:val="20"/>
              </w:rPr>
              <w:t>Mean</w:t>
            </w:r>
          </w:p>
        </w:tc>
        <w:tc>
          <w:tcPr>
            <w:tcW w:w="1039" w:type="dxa"/>
            <w:vMerge w:val="restart"/>
          </w:tcPr>
          <w:p>
            <w:pPr>
              <w:pStyle w:val="TableParagraph"/>
              <w:spacing w:line="249" w:lineRule="auto"/>
              <w:ind w:left="104" w:right="83" w:firstLine="10"/>
              <w:rPr>
                <w:b/>
                <w:sz w:val="20"/>
              </w:rPr>
            </w:pPr>
            <w:r>
              <w:rPr>
                <w:b/>
                <w:sz w:val="20"/>
              </w:rPr>
              <w:t>Standard Deviation</w:t>
            </w:r>
          </w:p>
        </w:tc>
        <w:tc>
          <w:tcPr>
            <w:tcW w:w="1898" w:type="dxa"/>
            <w:gridSpan w:val="3"/>
          </w:tcPr>
          <w:p>
            <w:pPr>
              <w:pStyle w:val="TableParagraph"/>
              <w:ind w:left="517"/>
              <w:rPr>
                <w:b/>
                <w:sz w:val="20"/>
              </w:rPr>
            </w:pPr>
            <w:r>
              <w:rPr>
                <w:b/>
                <w:sz w:val="20"/>
              </w:rPr>
              <w:t>Percentile</w:t>
            </w:r>
          </w:p>
        </w:tc>
        <w:tc>
          <w:tcPr>
            <w:tcW w:w="1072" w:type="dxa"/>
            <w:vMerge w:val="restart"/>
          </w:tcPr>
          <w:p>
            <w:pPr>
              <w:pStyle w:val="TableParagraph"/>
              <w:ind w:left="103"/>
              <w:rPr>
                <w:b/>
                <w:sz w:val="20"/>
              </w:rPr>
            </w:pPr>
            <w:r>
              <w:rPr>
                <w:b/>
                <w:sz w:val="20"/>
              </w:rPr>
              <w:t>Minimum</w:t>
            </w:r>
          </w:p>
        </w:tc>
        <w:tc>
          <w:tcPr>
            <w:tcW w:w="1105" w:type="dxa"/>
            <w:vMerge w:val="restart"/>
          </w:tcPr>
          <w:p>
            <w:pPr>
              <w:pStyle w:val="TableParagraph"/>
              <w:ind w:left="103"/>
              <w:rPr>
                <w:b/>
                <w:sz w:val="20"/>
              </w:rPr>
            </w:pPr>
            <w:r>
              <w:rPr>
                <w:b/>
                <w:sz w:val="20"/>
              </w:rPr>
              <w:t>Maximum</w:t>
            </w:r>
          </w:p>
        </w:tc>
      </w:tr>
      <w:tr>
        <w:trPr>
          <w:trHeight w:val="240" w:hRule="exact"/>
        </w:trPr>
        <w:tc>
          <w:tcPr>
            <w:tcW w:w="1606" w:type="dxa"/>
            <w:vMerge/>
          </w:tcPr>
          <w:p>
            <w:pPr/>
          </w:p>
        </w:tc>
        <w:tc>
          <w:tcPr>
            <w:tcW w:w="704" w:type="dxa"/>
            <w:vMerge/>
          </w:tcPr>
          <w:p>
            <w:pPr/>
          </w:p>
        </w:tc>
        <w:tc>
          <w:tcPr>
            <w:tcW w:w="1039" w:type="dxa"/>
            <w:vMerge/>
          </w:tcPr>
          <w:p>
            <w:pPr/>
          </w:p>
        </w:tc>
        <w:tc>
          <w:tcPr>
            <w:tcW w:w="666" w:type="dxa"/>
          </w:tcPr>
          <w:p>
            <w:pPr>
              <w:pStyle w:val="TableParagraph"/>
              <w:ind w:left="2"/>
              <w:jc w:val="center"/>
              <w:rPr>
                <w:b/>
                <w:sz w:val="20"/>
              </w:rPr>
            </w:pPr>
            <w:r>
              <w:rPr>
                <w:b/>
                <w:w w:val="100"/>
                <w:sz w:val="20"/>
              </w:rPr>
              <w:t>5</w:t>
            </w:r>
          </w:p>
        </w:tc>
        <w:tc>
          <w:tcPr>
            <w:tcW w:w="666" w:type="dxa"/>
          </w:tcPr>
          <w:p>
            <w:pPr>
              <w:pStyle w:val="TableParagraph"/>
              <w:ind w:left="83" w:right="81"/>
              <w:jc w:val="center"/>
              <w:rPr>
                <w:b/>
                <w:sz w:val="20"/>
              </w:rPr>
            </w:pPr>
            <w:r>
              <w:rPr>
                <w:b/>
                <w:sz w:val="20"/>
              </w:rPr>
              <w:t>50</w:t>
            </w:r>
          </w:p>
        </w:tc>
        <w:tc>
          <w:tcPr>
            <w:tcW w:w="566" w:type="dxa"/>
          </w:tcPr>
          <w:p>
            <w:pPr>
              <w:pStyle w:val="TableParagraph"/>
              <w:ind w:right="175"/>
              <w:jc w:val="right"/>
              <w:rPr>
                <w:b/>
                <w:sz w:val="20"/>
              </w:rPr>
            </w:pPr>
            <w:r>
              <w:rPr>
                <w:b/>
                <w:sz w:val="20"/>
              </w:rPr>
              <w:t>95</w:t>
            </w:r>
          </w:p>
        </w:tc>
        <w:tc>
          <w:tcPr>
            <w:tcW w:w="1072" w:type="dxa"/>
            <w:vMerge/>
          </w:tcPr>
          <w:p>
            <w:pPr/>
          </w:p>
        </w:tc>
        <w:tc>
          <w:tcPr>
            <w:tcW w:w="1105" w:type="dxa"/>
            <w:vMerge/>
          </w:tcPr>
          <w:p>
            <w:pPr/>
          </w:p>
        </w:tc>
      </w:tr>
      <w:tr>
        <w:trPr>
          <w:trHeight w:val="470" w:hRule="exact"/>
        </w:trPr>
        <w:tc>
          <w:tcPr>
            <w:tcW w:w="1606" w:type="dxa"/>
          </w:tcPr>
          <w:p>
            <w:pPr>
              <w:pStyle w:val="TableParagraph"/>
              <w:ind w:left="103" w:right="539"/>
              <w:rPr>
                <w:sz w:val="20"/>
              </w:rPr>
            </w:pPr>
            <w:r>
              <w:rPr>
                <w:sz w:val="20"/>
              </w:rPr>
              <w:t>Weight (kilograms)</w:t>
            </w:r>
          </w:p>
        </w:tc>
        <w:tc>
          <w:tcPr>
            <w:tcW w:w="704" w:type="dxa"/>
          </w:tcPr>
          <w:p>
            <w:pPr>
              <w:pStyle w:val="TableParagraph"/>
              <w:spacing w:before="8"/>
              <w:rPr>
                <w:sz w:val="19"/>
              </w:rPr>
            </w:pPr>
          </w:p>
          <w:p>
            <w:pPr>
              <w:pStyle w:val="TableParagraph"/>
              <w:ind w:left="172"/>
              <w:rPr>
                <w:sz w:val="20"/>
              </w:rPr>
            </w:pPr>
            <w:r>
              <w:rPr>
                <w:sz w:val="20"/>
              </w:rPr>
              <w:t>27.7</w:t>
            </w:r>
          </w:p>
        </w:tc>
        <w:tc>
          <w:tcPr>
            <w:tcW w:w="1039" w:type="dxa"/>
          </w:tcPr>
          <w:p>
            <w:pPr>
              <w:pStyle w:val="TableParagraph"/>
              <w:spacing w:before="8"/>
              <w:rPr>
                <w:sz w:val="19"/>
              </w:rPr>
            </w:pPr>
          </w:p>
          <w:p>
            <w:pPr>
              <w:pStyle w:val="TableParagraph"/>
              <w:ind w:left="369" w:right="368"/>
              <w:jc w:val="center"/>
              <w:rPr>
                <w:sz w:val="20"/>
              </w:rPr>
            </w:pPr>
            <w:r>
              <w:rPr>
                <w:sz w:val="20"/>
              </w:rPr>
              <w:t>2.9</w:t>
            </w:r>
          </w:p>
        </w:tc>
        <w:tc>
          <w:tcPr>
            <w:tcW w:w="666" w:type="dxa"/>
          </w:tcPr>
          <w:p>
            <w:pPr>
              <w:pStyle w:val="TableParagraph"/>
              <w:spacing w:before="8"/>
              <w:rPr>
                <w:sz w:val="19"/>
              </w:rPr>
            </w:pPr>
          </w:p>
          <w:p>
            <w:pPr>
              <w:pStyle w:val="TableParagraph"/>
              <w:ind w:left="83" w:right="82"/>
              <w:jc w:val="center"/>
              <w:rPr>
                <w:sz w:val="20"/>
              </w:rPr>
            </w:pPr>
            <w:r>
              <w:rPr>
                <w:sz w:val="20"/>
              </w:rPr>
              <w:t>24</w:t>
            </w:r>
          </w:p>
        </w:tc>
        <w:tc>
          <w:tcPr>
            <w:tcW w:w="666" w:type="dxa"/>
          </w:tcPr>
          <w:p>
            <w:pPr>
              <w:pStyle w:val="TableParagraph"/>
              <w:spacing w:before="8"/>
              <w:rPr>
                <w:sz w:val="19"/>
              </w:rPr>
            </w:pPr>
          </w:p>
          <w:p>
            <w:pPr>
              <w:pStyle w:val="TableParagraph"/>
              <w:ind w:left="82" w:right="82"/>
              <w:jc w:val="center"/>
              <w:rPr>
                <w:sz w:val="20"/>
              </w:rPr>
            </w:pPr>
            <w:r>
              <w:rPr>
                <w:sz w:val="20"/>
              </w:rPr>
              <w:t>27.4</w:t>
            </w:r>
          </w:p>
        </w:tc>
        <w:tc>
          <w:tcPr>
            <w:tcW w:w="566" w:type="dxa"/>
          </w:tcPr>
          <w:p>
            <w:pPr>
              <w:pStyle w:val="TableParagraph"/>
              <w:spacing w:before="8"/>
              <w:rPr>
                <w:sz w:val="19"/>
              </w:rPr>
            </w:pPr>
          </w:p>
          <w:p>
            <w:pPr>
              <w:pStyle w:val="TableParagraph"/>
              <w:ind w:right="100"/>
              <w:jc w:val="right"/>
              <w:rPr>
                <w:sz w:val="20"/>
              </w:rPr>
            </w:pPr>
            <w:r>
              <w:rPr>
                <w:sz w:val="20"/>
              </w:rPr>
              <w:t>31.7</w:t>
            </w:r>
          </w:p>
        </w:tc>
        <w:tc>
          <w:tcPr>
            <w:tcW w:w="1072" w:type="dxa"/>
          </w:tcPr>
          <w:p>
            <w:pPr>
              <w:pStyle w:val="TableParagraph"/>
              <w:spacing w:before="8"/>
              <w:rPr>
                <w:sz w:val="19"/>
              </w:rPr>
            </w:pPr>
          </w:p>
          <w:p>
            <w:pPr>
              <w:pStyle w:val="TableParagraph"/>
              <w:ind w:left="285" w:right="285"/>
              <w:jc w:val="center"/>
              <w:rPr>
                <w:sz w:val="20"/>
              </w:rPr>
            </w:pPr>
            <w:r>
              <w:rPr>
                <w:sz w:val="20"/>
              </w:rPr>
              <w:t>24.0</w:t>
            </w:r>
          </w:p>
        </w:tc>
        <w:tc>
          <w:tcPr>
            <w:tcW w:w="1105" w:type="dxa"/>
          </w:tcPr>
          <w:p>
            <w:pPr>
              <w:pStyle w:val="TableParagraph"/>
              <w:spacing w:before="8"/>
              <w:rPr>
                <w:sz w:val="19"/>
              </w:rPr>
            </w:pPr>
          </w:p>
          <w:p>
            <w:pPr>
              <w:pStyle w:val="TableParagraph"/>
              <w:ind w:left="371"/>
              <w:rPr>
                <w:sz w:val="20"/>
              </w:rPr>
            </w:pPr>
            <w:r>
              <w:rPr>
                <w:sz w:val="20"/>
              </w:rPr>
              <w:t>31.7</w:t>
            </w:r>
          </w:p>
        </w:tc>
      </w:tr>
      <w:tr>
        <w:trPr>
          <w:trHeight w:val="240" w:hRule="exact"/>
        </w:trPr>
        <w:tc>
          <w:tcPr>
            <w:tcW w:w="1606" w:type="dxa"/>
          </w:tcPr>
          <w:p>
            <w:pPr>
              <w:pStyle w:val="TableParagraph"/>
              <w:spacing w:line="227" w:lineRule="exact"/>
              <w:ind w:left="103" w:right="85"/>
              <w:rPr>
                <w:sz w:val="20"/>
              </w:rPr>
            </w:pPr>
            <w:r>
              <w:rPr>
                <w:sz w:val="20"/>
              </w:rPr>
              <w:t>Stature</w:t>
            </w:r>
          </w:p>
        </w:tc>
        <w:tc>
          <w:tcPr>
            <w:tcW w:w="704" w:type="dxa"/>
          </w:tcPr>
          <w:p>
            <w:pPr>
              <w:pStyle w:val="TableParagraph"/>
              <w:spacing w:line="227" w:lineRule="exact"/>
              <w:ind w:left="123"/>
              <w:rPr>
                <w:sz w:val="20"/>
              </w:rPr>
            </w:pPr>
            <w:r>
              <w:rPr>
                <w:sz w:val="20"/>
              </w:rPr>
              <w:t>130.1</w:t>
            </w:r>
          </w:p>
        </w:tc>
        <w:tc>
          <w:tcPr>
            <w:tcW w:w="1039" w:type="dxa"/>
          </w:tcPr>
          <w:p>
            <w:pPr>
              <w:pStyle w:val="TableParagraph"/>
              <w:spacing w:line="227" w:lineRule="exact"/>
              <w:ind w:left="370" w:right="368"/>
              <w:jc w:val="center"/>
              <w:rPr>
                <w:sz w:val="20"/>
              </w:rPr>
            </w:pPr>
            <w:r>
              <w:rPr>
                <w:sz w:val="20"/>
              </w:rPr>
              <w:t>3.5</w:t>
            </w:r>
          </w:p>
        </w:tc>
        <w:tc>
          <w:tcPr>
            <w:tcW w:w="666" w:type="dxa"/>
          </w:tcPr>
          <w:p>
            <w:pPr>
              <w:pStyle w:val="TableParagraph"/>
              <w:spacing w:line="227" w:lineRule="exact"/>
              <w:ind w:left="83" w:right="82"/>
              <w:jc w:val="center"/>
              <w:rPr>
                <w:sz w:val="20"/>
              </w:rPr>
            </w:pPr>
            <w:r>
              <w:rPr>
                <w:sz w:val="20"/>
              </w:rPr>
              <w:t>125.1</w:t>
            </w:r>
          </w:p>
        </w:tc>
        <w:tc>
          <w:tcPr>
            <w:tcW w:w="666" w:type="dxa"/>
          </w:tcPr>
          <w:p>
            <w:pPr>
              <w:pStyle w:val="TableParagraph"/>
              <w:spacing w:line="227" w:lineRule="exact"/>
              <w:ind w:left="83" w:right="82"/>
              <w:jc w:val="center"/>
              <w:rPr>
                <w:sz w:val="20"/>
              </w:rPr>
            </w:pPr>
            <w:r>
              <w:rPr>
                <w:sz w:val="20"/>
              </w:rPr>
              <w:t>129.4</w:t>
            </w:r>
          </w:p>
        </w:tc>
        <w:tc>
          <w:tcPr>
            <w:tcW w:w="566" w:type="dxa"/>
          </w:tcPr>
          <w:p>
            <w:pPr>
              <w:pStyle w:val="TableParagraph"/>
              <w:spacing w:line="227" w:lineRule="exact"/>
              <w:ind w:right="125"/>
              <w:jc w:val="right"/>
              <w:rPr>
                <w:sz w:val="20"/>
              </w:rPr>
            </w:pPr>
            <w:r>
              <w:rPr>
                <w:sz w:val="20"/>
              </w:rPr>
              <w:t>135</w:t>
            </w:r>
          </w:p>
        </w:tc>
        <w:tc>
          <w:tcPr>
            <w:tcW w:w="1072" w:type="dxa"/>
          </w:tcPr>
          <w:p>
            <w:pPr>
              <w:pStyle w:val="TableParagraph"/>
              <w:spacing w:line="227" w:lineRule="exact"/>
              <w:ind w:left="286" w:right="285"/>
              <w:jc w:val="center"/>
              <w:rPr>
                <w:sz w:val="20"/>
              </w:rPr>
            </w:pPr>
            <w:r>
              <w:rPr>
                <w:sz w:val="20"/>
              </w:rPr>
              <w:t>125.1</w:t>
            </w:r>
          </w:p>
        </w:tc>
        <w:tc>
          <w:tcPr>
            <w:tcW w:w="1105" w:type="dxa"/>
          </w:tcPr>
          <w:p>
            <w:pPr>
              <w:pStyle w:val="TableParagraph"/>
              <w:spacing w:line="227" w:lineRule="exact"/>
              <w:ind w:left="322"/>
              <w:rPr>
                <w:sz w:val="20"/>
              </w:rPr>
            </w:pPr>
            <w:r>
              <w:rPr>
                <w:sz w:val="20"/>
              </w:rPr>
              <w:t>135.0</w:t>
            </w:r>
          </w:p>
        </w:tc>
      </w:tr>
      <w:tr>
        <w:trPr>
          <w:trHeight w:val="700" w:hRule="exact"/>
        </w:trPr>
        <w:tc>
          <w:tcPr>
            <w:tcW w:w="1606" w:type="dxa"/>
          </w:tcPr>
          <w:p>
            <w:pPr>
              <w:pStyle w:val="TableParagraph"/>
              <w:ind w:left="103" w:right="400"/>
              <w:jc w:val="both"/>
              <w:rPr>
                <w:sz w:val="20"/>
              </w:rPr>
            </w:pPr>
            <w:r>
              <w:rPr>
                <w:sz w:val="20"/>
              </w:rPr>
              <w:t>Elbow height sitting – table height</w:t>
            </w:r>
          </w:p>
        </w:tc>
        <w:tc>
          <w:tcPr>
            <w:tcW w:w="704" w:type="dxa"/>
          </w:tcPr>
          <w:p>
            <w:pPr>
              <w:pStyle w:val="TableParagraph"/>
              <w:rPr>
                <w:sz w:val="20"/>
              </w:rPr>
            </w:pPr>
          </w:p>
          <w:p>
            <w:pPr>
              <w:pStyle w:val="TableParagraph"/>
              <w:spacing w:before="9"/>
              <w:rPr>
                <w:sz w:val="19"/>
              </w:rPr>
            </w:pPr>
          </w:p>
          <w:p>
            <w:pPr>
              <w:pStyle w:val="TableParagraph"/>
              <w:ind w:left="171"/>
              <w:rPr>
                <w:sz w:val="20"/>
              </w:rPr>
            </w:pPr>
            <w:r>
              <w:rPr>
                <w:sz w:val="20"/>
              </w:rPr>
              <w:t>17.2</w:t>
            </w:r>
          </w:p>
        </w:tc>
        <w:tc>
          <w:tcPr>
            <w:tcW w:w="1039" w:type="dxa"/>
          </w:tcPr>
          <w:p>
            <w:pPr>
              <w:pStyle w:val="TableParagraph"/>
              <w:rPr>
                <w:sz w:val="20"/>
              </w:rPr>
            </w:pPr>
          </w:p>
          <w:p>
            <w:pPr>
              <w:pStyle w:val="TableParagraph"/>
              <w:spacing w:before="9"/>
              <w:rPr>
                <w:sz w:val="19"/>
              </w:rPr>
            </w:pPr>
          </w:p>
          <w:p>
            <w:pPr>
              <w:pStyle w:val="TableParagraph"/>
              <w:ind w:left="369" w:right="368"/>
              <w:jc w:val="center"/>
              <w:rPr>
                <w:sz w:val="20"/>
              </w:rPr>
            </w:pPr>
            <w:r>
              <w:rPr>
                <w:sz w:val="20"/>
              </w:rPr>
              <w:t>3.1</w:t>
            </w:r>
          </w:p>
        </w:tc>
        <w:tc>
          <w:tcPr>
            <w:tcW w:w="666" w:type="dxa"/>
          </w:tcPr>
          <w:p>
            <w:pPr>
              <w:pStyle w:val="TableParagraph"/>
              <w:rPr>
                <w:sz w:val="20"/>
              </w:rPr>
            </w:pPr>
          </w:p>
          <w:p>
            <w:pPr>
              <w:pStyle w:val="TableParagraph"/>
              <w:spacing w:before="9"/>
              <w:rPr>
                <w:sz w:val="19"/>
              </w:rPr>
            </w:pPr>
          </w:p>
          <w:p>
            <w:pPr>
              <w:pStyle w:val="TableParagraph"/>
              <w:ind w:left="82" w:right="82"/>
              <w:jc w:val="center"/>
              <w:rPr>
                <w:sz w:val="20"/>
              </w:rPr>
            </w:pPr>
            <w:r>
              <w:rPr>
                <w:sz w:val="20"/>
              </w:rPr>
              <w:t>12.4</w:t>
            </w:r>
          </w:p>
        </w:tc>
        <w:tc>
          <w:tcPr>
            <w:tcW w:w="666" w:type="dxa"/>
          </w:tcPr>
          <w:p>
            <w:pPr>
              <w:pStyle w:val="TableParagraph"/>
              <w:rPr>
                <w:sz w:val="20"/>
              </w:rPr>
            </w:pPr>
          </w:p>
          <w:p>
            <w:pPr>
              <w:pStyle w:val="TableParagraph"/>
              <w:spacing w:before="9"/>
              <w:rPr>
                <w:sz w:val="19"/>
              </w:rPr>
            </w:pPr>
          </w:p>
          <w:p>
            <w:pPr>
              <w:pStyle w:val="TableParagraph"/>
              <w:ind w:left="82" w:right="82"/>
              <w:jc w:val="center"/>
              <w:rPr>
                <w:sz w:val="20"/>
              </w:rPr>
            </w:pPr>
            <w:r>
              <w:rPr>
                <w:sz w:val="20"/>
              </w:rPr>
              <w:t>17.2</w:t>
            </w:r>
          </w:p>
        </w:tc>
        <w:tc>
          <w:tcPr>
            <w:tcW w:w="566" w:type="dxa"/>
          </w:tcPr>
          <w:p>
            <w:pPr>
              <w:pStyle w:val="TableParagraph"/>
              <w:rPr>
                <w:sz w:val="20"/>
              </w:rPr>
            </w:pPr>
          </w:p>
          <w:p>
            <w:pPr>
              <w:pStyle w:val="TableParagraph"/>
              <w:spacing w:before="9"/>
              <w:rPr>
                <w:sz w:val="19"/>
              </w:rPr>
            </w:pPr>
          </w:p>
          <w:p>
            <w:pPr>
              <w:pStyle w:val="TableParagraph"/>
              <w:ind w:right="99"/>
              <w:jc w:val="right"/>
              <w:rPr>
                <w:sz w:val="20"/>
              </w:rPr>
            </w:pPr>
            <w:r>
              <w:rPr>
                <w:sz w:val="20"/>
              </w:rPr>
              <w:t>20.9</w:t>
            </w:r>
          </w:p>
        </w:tc>
        <w:tc>
          <w:tcPr>
            <w:tcW w:w="1072" w:type="dxa"/>
          </w:tcPr>
          <w:p>
            <w:pPr>
              <w:pStyle w:val="TableParagraph"/>
              <w:rPr>
                <w:sz w:val="20"/>
              </w:rPr>
            </w:pPr>
          </w:p>
          <w:p>
            <w:pPr>
              <w:pStyle w:val="TableParagraph"/>
              <w:spacing w:before="9"/>
              <w:rPr>
                <w:sz w:val="19"/>
              </w:rPr>
            </w:pPr>
          </w:p>
          <w:p>
            <w:pPr>
              <w:pStyle w:val="TableParagraph"/>
              <w:ind w:left="285" w:right="285"/>
              <w:jc w:val="center"/>
              <w:rPr>
                <w:sz w:val="20"/>
              </w:rPr>
            </w:pPr>
            <w:r>
              <w:rPr>
                <w:sz w:val="20"/>
              </w:rPr>
              <w:t>12.4</w:t>
            </w:r>
          </w:p>
        </w:tc>
        <w:tc>
          <w:tcPr>
            <w:tcW w:w="1105" w:type="dxa"/>
          </w:tcPr>
          <w:p>
            <w:pPr>
              <w:pStyle w:val="TableParagraph"/>
              <w:rPr>
                <w:sz w:val="20"/>
              </w:rPr>
            </w:pPr>
          </w:p>
          <w:p>
            <w:pPr>
              <w:pStyle w:val="TableParagraph"/>
              <w:spacing w:before="9"/>
              <w:rPr>
                <w:sz w:val="19"/>
              </w:rPr>
            </w:pPr>
          </w:p>
          <w:p>
            <w:pPr>
              <w:pStyle w:val="TableParagraph"/>
              <w:ind w:left="372"/>
              <w:rPr>
                <w:sz w:val="20"/>
              </w:rPr>
            </w:pPr>
            <w:r>
              <w:rPr>
                <w:sz w:val="20"/>
              </w:rPr>
              <w:t>20.9</w:t>
            </w:r>
          </w:p>
        </w:tc>
      </w:tr>
      <w:tr>
        <w:trPr>
          <w:trHeight w:val="470" w:hRule="exact"/>
        </w:trPr>
        <w:tc>
          <w:tcPr>
            <w:tcW w:w="1606" w:type="dxa"/>
          </w:tcPr>
          <w:p>
            <w:pPr>
              <w:pStyle w:val="TableParagraph"/>
              <w:spacing w:line="228" w:lineRule="exact"/>
              <w:ind w:left="103" w:right="85"/>
              <w:rPr>
                <w:sz w:val="20"/>
              </w:rPr>
            </w:pPr>
            <w:r>
              <w:rPr>
                <w:sz w:val="20"/>
              </w:rPr>
              <w:t>Popliteal height</w:t>
            </w:r>
          </w:p>
          <w:p>
            <w:pPr>
              <w:pStyle w:val="TableParagraph"/>
              <w:spacing w:line="230" w:lineRule="exact"/>
              <w:ind w:left="103" w:right="85"/>
              <w:rPr>
                <w:sz w:val="20"/>
              </w:rPr>
            </w:pPr>
            <w:r>
              <w:rPr>
                <w:sz w:val="20"/>
              </w:rPr>
              <w:t>– seat height</w:t>
            </w:r>
          </w:p>
        </w:tc>
        <w:tc>
          <w:tcPr>
            <w:tcW w:w="704" w:type="dxa"/>
          </w:tcPr>
          <w:p>
            <w:pPr>
              <w:pStyle w:val="TableParagraph"/>
              <w:spacing w:before="8"/>
              <w:rPr>
                <w:sz w:val="19"/>
              </w:rPr>
            </w:pPr>
          </w:p>
          <w:p>
            <w:pPr>
              <w:pStyle w:val="TableParagraph"/>
              <w:ind w:left="173"/>
              <w:rPr>
                <w:sz w:val="20"/>
              </w:rPr>
            </w:pPr>
            <w:r>
              <w:rPr>
                <w:sz w:val="20"/>
              </w:rPr>
              <w:t>36.7</w:t>
            </w:r>
          </w:p>
        </w:tc>
        <w:tc>
          <w:tcPr>
            <w:tcW w:w="1039" w:type="dxa"/>
          </w:tcPr>
          <w:p>
            <w:pPr>
              <w:pStyle w:val="TableParagraph"/>
              <w:spacing w:before="8"/>
              <w:rPr>
                <w:sz w:val="19"/>
              </w:rPr>
            </w:pPr>
          </w:p>
          <w:p>
            <w:pPr>
              <w:pStyle w:val="TableParagraph"/>
              <w:ind w:left="370" w:right="367"/>
              <w:jc w:val="center"/>
              <w:rPr>
                <w:sz w:val="20"/>
              </w:rPr>
            </w:pPr>
            <w:r>
              <w:rPr>
                <w:sz w:val="20"/>
              </w:rPr>
              <w:t>6.4</w:t>
            </w:r>
          </w:p>
        </w:tc>
        <w:tc>
          <w:tcPr>
            <w:tcW w:w="666" w:type="dxa"/>
          </w:tcPr>
          <w:p>
            <w:pPr>
              <w:pStyle w:val="TableParagraph"/>
              <w:spacing w:before="8"/>
              <w:rPr>
                <w:sz w:val="19"/>
              </w:rPr>
            </w:pPr>
          </w:p>
          <w:p>
            <w:pPr>
              <w:pStyle w:val="TableParagraph"/>
              <w:ind w:left="83" w:right="82"/>
              <w:jc w:val="center"/>
              <w:rPr>
                <w:sz w:val="20"/>
              </w:rPr>
            </w:pPr>
            <w:r>
              <w:rPr>
                <w:sz w:val="20"/>
              </w:rPr>
              <w:t>30.1</w:t>
            </w:r>
          </w:p>
        </w:tc>
        <w:tc>
          <w:tcPr>
            <w:tcW w:w="666" w:type="dxa"/>
          </w:tcPr>
          <w:p>
            <w:pPr>
              <w:pStyle w:val="TableParagraph"/>
              <w:spacing w:before="8"/>
              <w:rPr>
                <w:sz w:val="19"/>
              </w:rPr>
            </w:pPr>
          </w:p>
          <w:p>
            <w:pPr>
              <w:pStyle w:val="TableParagraph"/>
              <w:ind w:left="83" w:right="82"/>
              <w:jc w:val="center"/>
              <w:rPr>
                <w:sz w:val="20"/>
              </w:rPr>
            </w:pPr>
            <w:r>
              <w:rPr>
                <w:sz w:val="20"/>
              </w:rPr>
              <w:t>35.9</w:t>
            </w:r>
          </w:p>
        </w:tc>
        <w:tc>
          <w:tcPr>
            <w:tcW w:w="566" w:type="dxa"/>
          </w:tcPr>
          <w:p>
            <w:pPr>
              <w:pStyle w:val="TableParagraph"/>
              <w:spacing w:before="8"/>
              <w:rPr>
                <w:sz w:val="19"/>
              </w:rPr>
            </w:pPr>
          </w:p>
          <w:p>
            <w:pPr>
              <w:pStyle w:val="TableParagraph"/>
              <w:ind w:right="99"/>
              <w:jc w:val="right"/>
              <w:rPr>
                <w:sz w:val="20"/>
              </w:rPr>
            </w:pPr>
            <w:r>
              <w:rPr>
                <w:sz w:val="20"/>
              </w:rPr>
              <w:t>49.4</w:t>
            </w:r>
          </w:p>
        </w:tc>
        <w:tc>
          <w:tcPr>
            <w:tcW w:w="1072" w:type="dxa"/>
          </w:tcPr>
          <w:p>
            <w:pPr>
              <w:pStyle w:val="TableParagraph"/>
              <w:spacing w:before="8"/>
              <w:rPr>
                <w:sz w:val="19"/>
              </w:rPr>
            </w:pPr>
          </w:p>
          <w:p>
            <w:pPr>
              <w:pStyle w:val="TableParagraph"/>
              <w:ind w:left="286" w:right="285"/>
              <w:jc w:val="center"/>
              <w:rPr>
                <w:sz w:val="20"/>
              </w:rPr>
            </w:pPr>
            <w:r>
              <w:rPr>
                <w:sz w:val="20"/>
              </w:rPr>
              <w:t>30.1</w:t>
            </w:r>
          </w:p>
        </w:tc>
        <w:tc>
          <w:tcPr>
            <w:tcW w:w="1105" w:type="dxa"/>
          </w:tcPr>
          <w:p>
            <w:pPr>
              <w:pStyle w:val="TableParagraph"/>
              <w:spacing w:before="8"/>
              <w:rPr>
                <w:sz w:val="19"/>
              </w:rPr>
            </w:pPr>
          </w:p>
          <w:p>
            <w:pPr>
              <w:pStyle w:val="TableParagraph"/>
              <w:ind w:left="372"/>
              <w:rPr>
                <w:sz w:val="20"/>
              </w:rPr>
            </w:pPr>
            <w:r>
              <w:rPr>
                <w:sz w:val="20"/>
              </w:rPr>
              <w:t>49.4</w:t>
            </w:r>
          </w:p>
        </w:tc>
      </w:tr>
      <w:tr>
        <w:trPr>
          <w:trHeight w:val="700" w:hRule="exact"/>
        </w:trPr>
        <w:tc>
          <w:tcPr>
            <w:tcW w:w="1606" w:type="dxa"/>
          </w:tcPr>
          <w:p>
            <w:pPr>
              <w:pStyle w:val="TableParagraph"/>
              <w:ind w:left="103" w:right="223"/>
              <w:rPr>
                <w:sz w:val="20"/>
              </w:rPr>
            </w:pPr>
            <w:r>
              <w:rPr>
                <w:sz w:val="20"/>
              </w:rPr>
              <w:t>Buttock to popliteal length</w:t>
            </w:r>
          </w:p>
          <w:p>
            <w:pPr>
              <w:pStyle w:val="TableParagraph"/>
              <w:spacing w:line="229" w:lineRule="exact"/>
              <w:ind w:left="103" w:right="85"/>
              <w:rPr>
                <w:sz w:val="20"/>
              </w:rPr>
            </w:pPr>
            <w:r>
              <w:rPr>
                <w:sz w:val="20"/>
              </w:rPr>
              <w:t>– seat depth</w:t>
            </w:r>
          </w:p>
        </w:tc>
        <w:tc>
          <w:tcPr>
            <w:tcW w:w="704" w:type="dxa"/>
          </w:tcPr>
          <w:p>
            <w:pPr>
              <w:pStyle w:val="TableParagraph"/>
              <w:rPr>
                <w:sz w:val="20"/>
              </w:rPr>
            </w:pPr>
          </w:p>
          <w:p>
            <w:pPr>
              <w:pStyle w:val="TableParagraph"/>
              <w:spacing w:before="8"/>
              <w:rPr>
                <w:sz w:val="19"/>
              </w:rPr>
            </w:pPr>
          </w:p>
          <w:p>
            <w:pPr>
              <w:pStyle w:val="TableParagraph"/>
              <w:ind w:left="172"/>
              <w:rPr>
                <w:sz w:val="20"/>
              </w:rPr>
            </w:pPr>
            <w:r>
              <w:rPr>
                <w:sz w:val="20"/>
              </w:rPr>
              <w:t>35.2</w:t>
            </w:r>
          </w:p>
        </w:tc>
        <w:tc>
          <w:tcPr>
            <w:tcW w:w="1039" w:type="dxa"/>
          </w:tcPr>
          <w:p>
            <w:pPr>
              <w:pStyle w:val="TableParagraph"/>
              <w:rPr>
                <w:sz w:val="20"/>
              </w:rPr>
            </w:pPr>
          </w:p>
          <w:p>
            <w:pPr>
              <w:pStyle w:val="TableParagraph"/>
              <w:spacing w:before="8"/>
              <w:rPr>
                <w:sz w:val="19"/>
              </w:rPr>
            </w:pPr>
          </w:p>
          <w:p>
            <w:pPr>
              <w:pStyle w:val="TableParagraph"/>
              <w:ind w:left="369" w:right="368"/>
              <w:jc w:val="center"/>
              <w:rPr>
                <w:sz w:val="20"/>
              </w:rPr>
            </w:pPr>
            <w:r>
              <w:rPr>
                <w:sz w:val="20"/>
              </w:rPr>
              <w:t>1.4</w:t>
            </w:r>
          </w:p>
        </w:tc>
        <w:tc>
          <w:tcPr>
            <w:tcW w:w="666" w:type="dxa"/>
          </w:tcPr>
          <w:p>
            <w:pPr>
              <w:pStyle w:val="TableParagraph"/>
              <w:rPr>
                <w:sz w:val="20"/>
              </w:rPr>
            </w:pPr>
          </w:p>
          <w:p>
            <w:pPr>
              <w:pStyle w:val="TableParagraph"/>
              <w:spacing w:before="8"/>
              <w:rPr>
                <w:sz w:val="19"/>
              </w:rPr>
            </w:pPr>
          </w:p>
          <w:p>
            <w:pPr>
              <w:pStyle w:val="TableParagraph"/>
              <w:ind w:left="82" w:right="82"/>
              <w:jc w:val="center"/>
              <w:rPr>
                <w:sz w:val="20"/>
              </w:rPr>
            </w:pPr>
            <w:r>
              <w:rPr>
                <w:sz w:val="20"/>
              </w:rPr>
              <w:t>33.3</w:t>
            </w:r>
          </w:p>
        </w:tc>
        <w:tc>
          <w:tcPr>
            <w:tcW w:w="666" w:type="dxa"/>
          </w:tcPr>
          <w:p>
            <w:pPr>
              <w:pStyle w:val="TableParagraph"/>
              <w:rPr>
                <w:sz w:val="20"/>
              </w:rPr>
            </w:pPr>
          </w:p>
          <w:p>
            <w:pPr>
              <w:pStyle w:val="TableParagraph"/>
              <w:spacing w:before="8"/>
              <w:rPr>
                <w:sz w:val="19"/>
              </w:rPr>
            </w:pPr>
          </w:p>
          <w:p>
            <w:pPr>
              <w:pStyle w:val="TableParagraph"/>
              <w:ind w:left="82" w:right="82"/>
              <w:jc w:val="center"/>
              <w:rPr>
                <w:sz w:val="20"/>
              </w:rPr>
            </w:pPr>
            <w:r>
              <w:rPr>
                <w:sz w:val="20"/>
              </w:rPr>
              <w:t>34.5</w:t>
            </w:r>
          </w:p>
        </w:tc>
        <w:tc>
          <w:tcPr>
            <w:tcW w:w="566" w:type="dxa"/>
          </w:tcPr>
          <w:p>
            <w:pPr>
              <w:pStyle w:val="TableParagraph"/>
              <w:rPr>
                <w:sz w:val="20"/>
              </w:rPr>
            </w:pPr>
          </w:p>
          <w:p>
            <w:pPr>
              <w:pStyle w:val="TableParagraph"/>
              <w:spacing w:before="8"/>
              <w:rPr>
                <w:sz w:val="19"/>
              </w:rPr>
            </w:pPr>
          </w:p>
          <w:p>
            <w:pPr>
              <w:pStyle w:val="TableParagraph"/>
              <w:ind w:right="177"/>
              <w:jc w:val="right"/>
              <w:rPr>
                <w:sz w:val="20"/>
              </w:rPr>
            </w:pPr>
            <w:r>
              <w:rPr>
                <w:sz w:val="20"/>
              </w:rPr>
              <w:t>37</w:t>
            </w:r>
          </w:p>
        </w:tc>
        <w:tc>
          <w:tcPr>
            <w:tcW w:w="1072" w:type="dxa"/>
          </w:tcPr>
          <w:p>
            <w:pPr>
              <w:pStyle w:val="TableParagraph"/>
              <w:rPr>
                <w:sz w:val="20"/>
              </w:rPr>
            </w:pPr>
          </w:p>
          <w:p>
            <w:pPr>
              <w:pStyle w:val="TableParagraph"/>
              <w:spacing w:before="8"/>
              <w:rPr>
                <w:sz w:val="19"/>
              </w:rPr>
            </w:pPr>
          </w:p>
          <w:p>
            <w:pPr>
              <w:pStyle w:val="TableParagraph"/>
              <w:ind w:left="285" w:right="285"/>
              <w:jc w:val="center"/>
              <w:rPr>
                <w:sz w:val="20"/>
              </w:rPr>
            </w:pPr>
            <w:r>
              <w:rPr>
                <w:sz w:val="20"/>
              </w:rPr>
              <w:t>33.3</w:t>
            </w:r>
          </w:p>
        </w:tc>
        <w:tc>
          <w:tcPr>
            <w:tcW w:w="1105" w:type="dxa"/>
          </w:tcPr>
          <w:p>
            <w:pPr>
              <w:pStyle w:val="TableParagraph"/>
              <w:rPr>
                <w:sz w:val="20"/>
              </w:rPr>
            </w:pPr>
          </w:p>
          <w:p>
            <w:pPr>
              <w:pStyle w:val="TableParagraph"/>
              <w:spacing w:before="8"/>
              <w:rPr>
                <w:sz w:val="19"/>
              </w:rPr>
            </w:pPr>
          </w:p>
          <w:p>
            <w:pPr>
              <w:pStyle w:val="TableParagraph"/>
              <w:ind w:left="371"/>
              <w:rPr>
                <w:sz w:val="20"/>
              </w:rPr>
            </w:pPr>
            <w:r>
              <w:rPr>
                <w:sz w:val="20"/>
              </w:rPr>
              <w:t>37.0</w:t>
            </w:r>
          </w:p>
        </w:tc>
      </w:tr>
    </w:tbl>
    <w:p>
      <w:pPr>
        <w:pStyle w:val="BodyText"/>
        <w:spacing w:before="8"/>
        <w:rPr>
          <w:sz w:val="19"/>
        </w:rPr>
      </w:pPr>
    </w:p>
    <w:p>
      <w:pPr>
        <w:pStyle w:val="BodyText"/>
        <w:spacing w:before="1"/>
        <w:ind w:left="1439" w:right="6265" w:hanging="1139"/>
      </w:pPr>
      <w:r>
        <w:rPr/>
        <w:t>Table 5. Anthropometric measures in cm for 8 year-old boys from public elementary schools.</w:t>
      </w:r>
    </w:p>
    <w:p>
      <w:pPr>
        <w:pStyle w:val="BodyText"/>
      </w:pPr>
    </w:p>
    <w:p>
      <w:pPr>
        <w:pStyle w:val="BodyText"/>
        <w:spacing w:before="4"/>
      </w:pPr>
    </w:p>
    <w:tbl>
      <w:tblPr>
        <w:tblW w:w="0" w:type="auto"/>
        <w:jc w:val="left"/>
        <w:tblInd w:w="1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06"/>
        <w:gridCol w:w="704"/>
        <w:gridCol w:w="1039"/>
        <w:gridCol w:w="666"/>
        <w:gridCol w:w="666"/>
        <w:gridCol w:w="666"/>
        <w:gridCol w:w="1072"/>
        <w:gridCol w:w="1105"/>
      </w:tblGrid>
      <w:tr>
        <w:trPr>
          <w:trHeight w:val="240" w:hRule="exact"/>
        </w:trPr>
        <w:tc>
          <w:tcPr>
            <w:tcW w:w="1606" w:type="dxa"/>
            <w:vMerge w:val="restart"/>
          </w:tcPr>
          <w:p>
            <w:pPr>
              <w:pStyle w:val="TableParagraph"/>
              <w:spacing w:line="249" w:lineRule="auto"/>
              <w:ind w:left="302" w:right="85" w:hanging="200"/>
              <w:rPr>
                <w:b/>
                <w:sz w:val="20"/>
              </w:rPr>
            </w:pPr>
            <w:r>
              <w:rPr>
                <w:b/>
                <w:sz w:val="20"/>
              </w:rPr>
              <w:t>Anthropometric Dimensions</w:t>
            </w:r>
          </w:p>
        </w:tc>
        <w:tc>
          <w:tcPr>
            <w:tcW w:w="704" w:type="dxa"/>
            <w:vMerge w:val="restart"/>
          </w:tcPr>
          <w:p>
            <w:pPr>
              <w:pStyle w:val="TableParagraph"/>
              <w:spacing w:line="229" w:lineRule="exact"/>
              <w:ind w:left="103"/>
              <w:rPr>
                <w:b/>
                <w:sz w:val="20"/>
              </w:rPr>
            </w:pPr>
            <w:r>
              <w:rPr>
                <w:b/>
                <w:sz w:val="20"/>
              </w:rPr>
              <w:t>Mean</w:t>
            </w:r>
          </w:p>
        </w:tc>
        <w:tc>
          <w:tcPr>
            <w:tcW w:w="1039" w:type="dxa"/>
            <w:vMerge w:val="restart"/>
          </w:tcPr>
          <w:p>
            <w:pPr>
              <w:pStyle w:val="TableParagraph"/>
              <w:spacing w:line="249" w:lineRule="auto"/>
              <w:ind w:left="104" w:right="83" w:firstLine="10"/>
              <w:rPr>
                <w:b/>
                <w:sz w:val="20"/>
              </w:rPr>
            </w:pPr>
            <w:r>
              <w:rPr>
                <w:b/>
                <w:sz w:val="20"/>
              </w:rPr>
              <w:t>Standard Deviation</w:t>
            </w:r>
          </w:p>
        </w:tc>
        <w:tc>
          <w:tcPr>
            <w:tcW w:w="1998" w:type="dxa"/>
            <w:gridSpan w:val="3"/>
          </w:tcPr>
          <w:p>
            <w:pPr>
              <w:pStyle w:val="TableParagraph"/>
              <w:spacing w:line="229" w:lineRule="exact"/>
              <w:ind w:left="566"/>
              <w:rPr>
                <w:b/>
                <w:sz w:val="20"/>
              </w:rPr>
            </w:pPr>
            <w:r>
              <w:rPr>
                <w:b/>
                <w:sz w:val="20"/>
              </w:rPr>
              <w:t>Percentile</w:t>
            </w:r>
          </w:p>
        </w:tc>
        <w:tc>
          <w:tcPr>
            <w:tcW w:w="1072" w:type="dxa"/>
            <w:vMerge w:val="restart"/>
          </w:tcPr>
          <w:p>
            <w:pPr>
              <w:pStyle w:val="TableParagraph"/>
              <w:spacing w:line="229" w:lineRule="exact"/>
              <w:ind w:left="103"/>
              <w:rPr>
                <w:b/>
                <w:sz w:val="20"/>
              </w:rPr>
            </w:pPr>
            <w:r>
              <w:rPr>
                <w:b/>
                <w:sz w:val="20"/>
              </w:rPr>
              <w:t>Minimum</w:t>
            </w:r>
          </w:p>
        </w:tc>
        <w:tc>
          <w:tcPr>
            <w:tcW w:w="1105" w:type="dxa"/>
            <w:vMerge w:val="restart"/>
          </w:tcPr>
          <w:p>
            <w:pPr>
              <w:pStyle w:val="TableParagraph"/>
              <w:spacing w:line="229" w:lineRule="exact"/>
              <w:ind w:left="103"/>
              <w:rPr>
                <w:b/>
                <w:sz w:val="20"/>
              </w:rPr>
            </w:pPr>
            <w:r>
              <w:rPr>
                <w:b/>
                <w:sz w:val="20"/>
              </w:rPr>
              <w:t>Maximum</w:t>
            </w:r>
          </w:p>
        </w:tc>
      </w:tr>
      <w:tr>
        <w:trPr>
          <w:trHeight w:val="240" w:hRule="exact"/>
        </w:trPr>
        <w:tc>
          <w:tcPr>
            <w:tcW w:w="1606" w:type="dxa"/>
            <w:vMerge/>
          </w:tcPr>
          <w:p>
            <w:pPr/>
          </w:p>
        </w:tc>
        <w:tc>
          <w:tcPr>
            <w:tcW w:w="704" w:type="dxa"/>
            <w:vMerge/>
          </w:tcPr>
          <w:p>
            <w:pPr/>
          </w:p>
        </w:tc>
        <w:tc>
          <w:tcPr>
            <w:tcW w:w="1039" w:type="dxa"/>
            <w:vMerge/>
          </w:tcPr>
          <w:p>
            <w:pPr/>
          </w:p>
        </w:tc>
        <w:tc>
          <w:tcPr>
            <w:tcW w:w="666" w:type="dxa"/>
          </w:tcPr>
          <w:p>
            <w:pPr>
              <w:pStyle w:val="TableParagraph"/>
              <w:spacing w:line="229" w:lineRule="exact"/>
              <w:ind w:left="2"/>
              <w:jc w:val="center"/>
              <w:rPr>
                <w:b/>
                <w:sz w:val="20"/>
              </w:rPr>
            </w:pPr>
            <w:r>
              <w:rPr>
                <w:b/>
                <w:w w:val="100"/>
                <w:sz w:val="20"/>
              </w:rPr>
              <w:t>5</w:t>
            </w:r>
          </w:p>
        </w:tc>
        <w:tc>
          <w:tcPr>
            <w:tcW w:w="666" w:type="dxa"/>
          </w:tcPr>
          <w:p>
            <w:pPr>
              <w:pStyle w:val="TableParagraph"/>
              <w:spacing w:line="229" w:lineRule="exact"/>
              <w:ind w:left="83" w:right="81"/>
              <w:jc w:val="center"/>
              <w:rPr>
                <w:b/>
                <w:sz w:val="20"/>
              </w:rPr>
            </w:pPr>
            <w:r>
              <w:rPr>
                <w:b/>
                <w:sz w:val="20"/>
              </w:rPr>
              <w:t>50</w:t>
            </w:r>
          </w:p>
        </w:tc>
        <w:tc>
          <w:tcPr>
            <w:tcW w:w="666" w:type="dxa"/>
          </w:tcPr>
          <w:p>
            <w:pPr>
              <w:pStyle w:val="TableParagraph"/>
              <w:spacing w:line="229" w:lineRule="exact"/>
              <w:ind w:left="83" w:right="81"/>
              <w:jc w:val="center"/>
              <w:rPr>
                <w:b/>
                <w:sz w:val="20"/>
              </w:rPr>
            </w:pPr>
            <w:r>
              <w:rPr>
                <w:b/>
                <w:sz w:val="20"/>
              </w:rPr>
              <w:t>95</w:t>
            </w:r>
          </w:p>
        </w:tc>
        <w:tc>
          <w:tcPr>
            <w:tcW w:w="1072" w:type="dxa"/>
            <w:vMerge/>
          </w:tcPr>
          <w:p>
            <w:pPr/>
          </w:p>
        </w:tc>
        <w:tc>
          <w:tcPr>
            <w:tcW w:w="1105" w:type="dxa"/>
            <w:vMerge/>
          </w:tcPr>
          <w:p>
            <w:pPr/>
          </w:p>
        </w:tc>
      </w:tr>
      <w:tr>
        <w:trPr>
          <w:trHeight w:val="469" w:hRule="exact"/>
        </w:trPr>
        <w:tc>
          <w:tcPr>
            <w:tcW w:w="1606" w:type="dxa"/>
          </w:tcPr>
          <w:p>
            <w:pPr>
              <w:pStyle w:val="TableParagraph"/>
              <w:ind w:left="103" w:right="539"/>
              <w:rPr>
                <w:sz w:val="20"/>
              </w:rPr>
            </w:pPr>
            <w:r>
              <w:rPr>
                <w:sz w:val="20"/>
              </w:rPr>
              <w:t>Weight (kilograms)</w:t>
            </w:r>
          </w:p>
        </w:tc>
        <w:tc>
          <w:tcPr>
            <w:tcW w:w="704" w:type="dxa"/>
          </w:tcPr>
          <w:p>
            <w:pPr>
              <w:pStyle w:val="TableParagraph"/>
              <w:spacing w:before="8"/>
              <w:rPr>
                <w:sz w:val="19"/>
              </w:rPr>
            </w:pPr>
          </w:p>
          <w:p>
            <w:pPr>
              <w:pStyle w:val="TableParagraph"/>
              <w:ind w:left="172"/>
              <w:rPr>
                <w:sz w:val="20"/>
              </w:rPr>
            </w:pPr>
            <w:r>
              <w:rPr>
                <w:sz w:val="20"/>
              </w:rPr>
              <w:t>24.5</w:t>
            </w:r>
          </w:p>
        </w:tc>
        <w:tc>
          <w:tcPr>
            <w:tcW w:w="1039" w:type="dxa"/>
          </w:tcPr>
          <w:p>
            <w:pPr>
              <w:pStyle w:val="TableParagraph"/>
              <w:spacing w:before="8"/>
              <w:rPr>
                <w:sz w:val="19"/>
              </w:rPr>
            </w:pPr>
          </w:p>
          <w:p>
            <w:pPr>
              <w:pStyle w:val="TableParagraph"/>
              <w:ind w:left="369" w:right="368"/>
              <w:jc w:val="center"/>
              <w:rPr>
                <w:sz w:val="20"/>
              </w:rPr>
            </w:pPr>
            <w:r>
              <w:rPr>
                <w:sz w:val="20"/>
              </w:rPr>
              <w:t>5.7</w:t>
            </w:r>
          </w:p>
        </w:tc>
        <w:tc>
          <w:tcPr>
            <w:tcW w:w="666" w:type="dxa"/>
          </w:tcPr>
          <w:p>
            <w:pPr>
              <w:pStyle w:val="TableParagraph"/>
              <w:spacing w:before="8"/>
              <w:rPr>
                <w:sz w:val="19"/>
              </w:rPr>
            </w:pPr>
          </w:p>
          <w:p>
            <w:pPr>
              <w:pStyle w:val="TableParagraph"/>
              <w:ind w:left="82" w:right="82"/>
              <w:jc w:val="center"/>
              <w:rPr>
                <w:sz w:val="20"/>
              </w:rPr>
            </w:pPr>
            <w:r>
              <w:rPr>
                <w:sz w:val="20"/>
              </w:rPr>
              <w:t>18.6</w:t>
            </w:r>
          </w:p>
        </w:tc>
        <w:tc>
          <w:tcPr>
            <w:tcW w:w="666" w:type="dxa"/>
          </w:tcPr>
          <w:p>
            <w:pPr>
              <w:pStyle w:val="TableParagraph"/>
              <w:spacing w:before="8"/>
              <w:rPr>
                <w:sz w:val="19"/>
              </w:rPr>
            </w:pPr>
          </w:p>
          <w:p>
            <w:pPr>
              <w:pStyle w:val="TableParagraph"/>
              <w:ind w:left="82" w:right="82"/>
              <w:jc w:val="center"/>
              <w:rPr>
                <w:sz w:val="20"/>
              </w:rPr>
            </w:pPr>
            <w:r>
              <w:rPr>
                <w:sz w:val="20"/>
              </w:rPr>
              <w:t>22.9</w:t>
            </w:r>
          </w:p>
        </w:tc>
        <w:tc>
          <w:tcPr>
            <w:tcW w:w="666" w:type="dxa"/>
          </w:tcPr>
          <w:p>
            <w:pPr>
              <w:pStyle w:val="TableParagraph"/>
              <w:spacing w:before="8"/>
              <w:rPr>
                <w:sz w:val="19"/>
              </w:rPr>
            </w:pPr>
          </w:p>
          <w:p>
            <w:pPr>
              <w:pStyle w:val="TableParagraph"/>
              <w:ind w:left="82" w:right="82"/>
              <w:jc w:val="center"/>
              <w:rPr>
                <w:sz w:val="20"/>
              </w:rPr>
            </w:pPr>
            <w:r>
              <w:rPr>
                <w:sz w:val="20"/>
              </w:rPr>
              <w:t>34.1</w:t>
            </w:r>
          </w:p>
        </w:tc>
        <w:tc>
          <w:tcPr>
            <w:tcW w:w="1072" w:type="dxa"/>
          </w:tcPr>
          <w:p>
            <w:pPr>
              <w:pStyle w:val="TableParagraph"/>
              <w:spacing w:before="8"/>
              <w:rPr>
                <w:sz w:val="19"/>
              </w:rPr>
            </w:pPr>
          </w:p>
          <w:p>
            <w:pPr>
              <w:pStyle w:val="TableParagraph"/>
              <w:ind w:left="285" w:right="285"/>
              <w:jc w:val="center"/>
              <w:rPr>
                <w:sz w:val="20"/>
              </w:rPr>
            </w:pPr>
            <w:r>
              <w:rPr>
                <w:sz w:val="20"/>
              </w:rPr>
              <w:t>18.6</w:t>
            </w:r>
          </w:p>
        </w:tc>
        <w:tc>
          <w:tcPr>
            <w:tcW w:w="1105" w:type="dxa"/>
          </w:tcPr>
          <w:p>
            <w:pPr>
              <w:pStyle w:val="TableParagraph"/>
              <w:spacing w:before="8"/>
              <w:rPr>
                <w:sz w:val="19"/>
              </w:rPr>
            </w:pPr>
          </w:p>
          <w:p>
            <w:pPr>
              <w:pStyle w:val="TableParagraph"/>
              <w:spacing w:before="1"/>
              <w:ind w:right="370"/>
              <w:jc w:val="right"/>
              <w:rPr>
                <w:sz w:val="20"/>
              </w:rPr>
            </w:pPr>
            <w:r>
              <w:rPr>
                <w:sz w:val="20"/>
              </w:rPr>
              <w:t>34.1</w:t>
            </w:r>
          </w:p>
        </w:tc>
      </w:tr>
      <w:tr>
        <w:trPr>
          <w:trHeight w:val="240" w:hRule="exact"/>
        </w:trPr>
        <w:tc>
          <w:tcPr>
            <w:tcW w:w="1606" w:type="dxa"/>
          </w:tcPr>
          <w:p>
            <w:pPr>
              <w:pStyle w:val="TableParagraph"/>
              <w:spacing w:line="228" w:lineRule="exact"/>
              <w:ind w:left="103" w:right="85"/>
              <w:rPr>
                <w:sz w:val="20"/>
              </w:rPr>
            </w:pPr>
            <w:r>
              <w:rPr>
                <w:sz w:val="20"/>
              </w:rPr>
              <w:t>Stature</w:t>
            </w:r>
          </w:p>
        </w:tc>
        <w:tc>
          <w:tcPr>
            <w:tcW w:w="704" w:type="dxa"/>
          </w:tcPr>
          <w:p>
            <w:pPr>
              <w:pStyle w:val="TableParagraph"/>
              <w:spacing w:line="228" w:lineRule="exact"/>
              <w:ind w:left="123"/>
              <w:rPr>
                <w:sz w:val="20"/>
              </w:rPr>
            </w:pPr>
            <w:r>
              <w:rPr>
                <w:sz w:val="20"/>
              </w:rPr>
              <w:t>120.2</w:t>
            </w:r>
          </w:p>
        </w:tc>
        <w:tc>
          <w:tcPr>
            <w:tcW w:w="1039" w:type="dxa"/>
          </w:tcPr>
          <w:p>
            <w:pPr>
              <w:pStyle w:val="TableParagraph"/>
              <w:spacing w:line="228" w:lineRule="exact"/>
              <w:ind w:left="370" w:right="368"/>
              <w:jc w:val="center"/>
              <w:rPr>
                <w:sz w:val="20"/>
              </w:rPr>
            </w:pPr>
            <w:r>
              <w:rPr>
                <w:sz w:val="20"/>
              </w:rPr>
              <w:t>5.2</w:t>
            </w:r>
          </w:p>
        </w:tc>
        <w:tc>
          <w:tcPr>
            <w:tcW w:w="666" w:type="dxa"/>
          </w:tcPr>
          <w:p>
            <w:pPr>
              <w:pStyle w:val="TableParagraph"/>
              <w:spacing w:line="228" w:lineRule="exact"/>
              <w:ind w:left="83" w:right="82"/>
              <w:jc w:val="center"/>
              <w:rPr>
                <w:sz w:val="20"/>
              </w:rPr>
            </w:pPr>
            <w:r>
              <w:rPr>
                <w:sz w:val="20"/>
              </w:rPr>
              <w:t>111.2</w:t>
            </w:r>
          </w:p>
        </w:tc>
        <w:tc>
          <w:tcPr>
            <w:tcW w:w="666" w:type="dxa"/>
          </w:tcPr>
          <w:p>
            <w:pPr>
              <w:pStyle w:val="TableParagraph"/>
              <w:spacing w:line="228" w:lineRule="exact"/>
              <w:ind w:left="83" w:right="82"/>
              <w:jc w:val="center"/>
              <w:rPr>
                <w:sz w:val="20"/>
              </w:rPr>
            </w:pPr>
            <w:r>
              <w:rPr>
                <w:sz w:val="20"/>
              </w:rPr>
              <w:t>120.4</w:t>
            </w:r>
          </w:p>
        </w:tc>
        <w:tc>
          <w:tcPr>
            <w:tcW w:w="666" w:type="dxa"/>
          </w:tcPr>
          <w:p>
            <w:pPr>
              <w:pStyle w:val="TableParagraph"/>
              <w:spacing w:line="228" w:lineRule="exact"/>
              <w:ind w:left="83" w:right="82"/>
              <w:jc w:val="center"/>
              <w:rPr>
                <w:sz w:val="20"/>
              </w:rPr>
            </w:pPr>
            <w:r>
              <w:rPr>
                <w:sz w:val="20"/>
              </w:rPr>
              <w:t>127.0</w:t>
            </w:r>
          </w:p>
        </w:tc>
        <w:tc>
          <w:tcPr>
            <w:tcW w:w="1072" w:type="dxa"/>
          </w:tcPr>
          <w:p>
            <w:pPr>
              <w:pStyle w:val="TableParagraph"/>
              <w:spacing w:line="228" w:lineRule="exact"/>
              <w:ind w:left="285" w:right="285"/>
              <w:jc w:val="center"/>
              <w:rPr>
                <w:sz w:val="20"/>
              </w:rPr>
            </w:pPr>
            <w:r>
              <w:rPr>
                <w:sz w:val="20"/>
              </w:rPr>
              <w:t>111.2</w:t>
            </w:r>
          </w:p>
        </w:tc>
        <w:tc>
          <w:tcPr>
            <w:tcW w:w="1105" w:type="dxa"/>
          </w:tcPr>
          <w:p>
            <w:pPr>
              <w:pStyle w:val="TableParagraph"/>
              <w:spacing w:line="228" w:lineRule="exact"/>
              <w:ind w:right="320"/>
              <w:jc w:val="right"/>
              <w:rPr>
                <w:sz w:val="20"/>
              </w:rPr>
            </w:pPr>
            <w:r>
              <w:rPr>
                <w:sz w:val="20"/>
              </w:rPr>
              <w:t>127.0</w:t>
            </w:r>
          </w:p>
        </w:tc>
      </w:tr>
      <w:tr>
        <w:trPr>
          <w:trHeight w:val="701" w:hRule="exact"/>
        </w:trPr>
        <w:tc>
          <w:tcPr>
            <w:tcW w:w="1606" w:type="dxa"/>
          </w:tcPr>
          <w:p>
            <w:pPr>
              <w:pStyle w:val="TableParagraph"/>
              <w:ind w:left="103" w:right="400"/>
              <w:jc w:val="both"/>
              <w:rPr>
                <w:sz w:val="20"/>
              </w:rPr>
            </w:pPr>
            <w:r>
              <w:rPr>
                <w:sz w:val="20"/>
              </w:rPr>
              <w:t>Elbow height sitting – table height</w:t>
            </w:r>
          </w:p>
        </w:tc>
        <w:tc>
          <w:tcPr>
            <w:tcW w:w="704" w:type="dxa"/>
          </w:tcPr>
          <w:p>
            <w:pPr>
              <w:pStyle w:val="TableParagraph"/>
              <w:rPr>
                <w:sz w:val="20"/>
              </w:rPr>
            </w:pPr>
          </w:p>
          <w:p>
            <w:pPr>
              <w:pStyle w:val="TableParagraph"/>
              <w:spacing w:before="9"/>
              <w:rPr>
                <w:sz w:val="19"/>
              </w:rPr>
            </w:pPr>
          </w:p>
          <w:p>
            <w:pPr>
              <w:pStyle w:val="TableParagraph"/>
              <w:ind w:left="171"/>
              <w:rPr>
                <w:sz w:val="20"/>
              </w:rPr>
            </w:pPr>
            <w:r>
              <w:rPr>
                <w:sz w:val="20"/>
              </w:rPr>
              <w:t>16.4</w:t>
            </w:r>
          </w:p>
        </w:tc>
        <w:tc>
          <w:tcPr>
            <w:tcW w:w="1039" w:type="dxa"/>
          </w:tcPr>
          <w:p>
            <w:pPr>
              <w:pStyle w:val="TableParagraph"/>
              <w:rPr>
                <w:sz w:val="20"/>
              </w:rPr>
            </w:pPr>
          </w:p>
          <w:p>
            <w:pPr>
              <w:pStyle w:val="TableParagraph"/>
              <w:spacing w:before="9"/>
              <w:rPr>
                <w:sz w:val="19"/>
              </w:rPr>
            </w:pPr>
          </w:p>
          <w:p>
            <w:pPr>
              <w:pStyle w:val="TableParagraph"/>
              <w:ind w:left="369" w:right="368"/>
              <w:jc w:val="center"/>
              <w:rPr>
                <w:sz w:val="20"/>
              </w:rPr>
            </w:pPr>
            <w:r>
              <w:rPr>
                <w:sz w:val="20"/>
              </w:rPr>
              <w:t>2.8</w:t>
            </w:r>
          </w:p>
        </w:tc>
        <w:tc>
          <w:tcPr>
            <w:tcW w:w="666" w:type="dxa"/>
          </w:tcPr>
          <w:p>
            <w:pPr>
              <w:pStyle w:val="TableParagraph"/>
              <w:rPr>
                <w:sz w:val="20"/>
              </w:rPr>
            </w:pPr>
          </w:p>
          <w:p>
            <w:pPr>
              <w:pStyle w:val="TableParagraph"/>
              <w:spacing w:before="9"/>
              <w:rPr>
                <w:sz w:val="19"/>
              </w:rPr>
            </w:pPr>
          </w:p>
          <w:p>
            <w:pPr>
              <w:pStyle w:val="TableParagraph"/>
              <w:ind w:left="82" w:right="82"/>
              <w:jc w:val="center"/>
              <w:rPr>
                <w:sz w:val="20"/>
              </w:rPr>
            </w:pPr>
            <w:r>
              <w:rPr>
                <w:sz w:val="20"/>
              </w:rPr>
              <w:t>12.3</w:t>
            </w:r>
          </w:p>
        </w:tc>
        <w:tc>
          <w:tcPr>
            <w:tcW w:w="666" w:type="dxa"/>
          </w:tcPr>
          <w:p>
            <w:pPr>
              <w:pStyle w:val="TableParagraph"/>
              <w:rPr>
                <w:sz w:val="20"/>
              </w:rPr>
            </w:pPr>
          </w:p>
          <w:p>
            <w:pPr>
              <w:pStyle w:val="TableParagraph"/>
              <w:spacing w:before="9"/>
              <w:rPr>
                <w:sz w:val="19"/>
              </w:rPr>
            </w:pPr>
          </w:p>
          <w:p>
            <w:pPr>
              <w:pStyle w:val="TableParagraph"/>
              <w:ind w:left="82" w:right="82"/>
              <w:jc w:val="center"/>
              <w:rPr>
                <w:sz w:val="20"/>
              </w:rPr>
            </w:pPr>
            <w:r>
              <w:rPr>
                <w:sz w:val="20"/>
              </w:rPr>
              <w:t>15.9</w:t>
            </w:r>
          </w:p>
        </w:tc>
        <w:tc>
          <w:tcPr>
            <w:tcW w:w="666" w:type="dxa"/>
          </w:tcPr>
          <w:p>
            <w:pPr>
              <w:pStyle w:val="TableParagraph"/>
              <w:rPr>
                <w:sz w:val="20"/>
              </w:rPr>
            </w:pPr>
          </w:p>
          <w:p>
            <w:pPr>
              <w:pStyle w:val="TableParagraph"/>
              <w:spacing w:before="9"/>
              <w:rPr>
                <w:sz w:val="19"/>
              </w:rPr>
            </w:pPr>
          </w:p>
          <w:p>
            <w:pPr>
              <w:pStyle w:val="TableParagraph"/>
              <w:ind w:left="82" w:right="82"/>
              <w:jc w:val="center"/>
              <w:rPr>
                <w:sz w:val="20"/>
              </w:rPr>
            </w:pPr>
            <w:r>
              <w:rPr>
                <w:sz w:val="20"/>
              </w:rPr>
              <w:t>21.7</w:t>
            </w:r>
          </w:p>
        </w:tc>
        <w:tc>
          <w:tcPr>
            <w:tcW w:w="1072" w:type="dxa"/>
          </w:tcPr>
          <w:p>
            <w:pPr>
              <w:pStyle w:val="TableParagraph"/>
              <w:rPr>
                <w:sz w:val="20"/>
              </w:rPr>
            </w:pPr>
          </w:p>
          <w:p>
            <w:pPr>
              <w:pStyle w:val="TableParagraph"/>
              <w:spacing w:before="9"/>
              <w:rPr>
                <w:sz w:val="19"/>
              </w:rPr>
            </w:pPr>
          </w:p>
          <w:p>
            <w:pPr>
              <w:pStyle w:val="TableParagraph"/>
              <w:ind w:left="285" w:right="285"/>
              <w:jc w:val="center"/>
              <w:rPr>
                <w:sz w:val="20"/>
              </w:rPr>
            </w:pPr>
            <w:r>
              <w:rPr>
                <w:sz w:val="20"/>
              </w:rPr>
              <w:t>12.3</w:t>
            </w:r>
          </w:p>
        </w:tc>
        <w:tc>
          <w:tcPr>
            <w:tcW w:w="1105" w:type="dxa"/>
          </w:tcPr>
          <w:p>
            <w:pPr>
              <w:pStyle w:val="TableParagraph"/>
              <w:rPr>
                <w:sz w:val="20"/>
              </w:rPr>
            </w:pPr>
          </w:p>
          <w:p>
            <w:pPr>
              <w:pStyle w:val="TableParagraph"/>
              <w:spacing w:before="9"/>
              <w:rPr>
                <w:sz w:val="19"/>
              </w:rPr>
            </w:pPr>
          </w:p>
          <w:p>
            <w:pPr>
              <w:pStyle w:val="TableParagraph"/>
              <w:ind w:right="369"/>
              <w:jc w:val="right"/>
              <w:rPr>
                <w:sz w:val="20"/>
              </w:rPr>
            </w:pPr>
            <w:r>
              <w:rPr>
                <w:sz w:val="20"/>
              </w:rPr>
              <w:t>21.7</w:t>
            </w:r>
          </w:p>
        </w:tc>
      </w:tr>
      <w:tr>
        <w:trPr>
          <w:trHeight w:val="469" w:hRule="exact"/>
        </w:trPr>
        <w:tc>
          <w:tcPr>
            <w:tcW w:w="1606" w:type="dxa"/>
          </w:tcPr>
          <w:p>
            <w:pPr>
              <w:pStyle w:val="TableParagraph"/>
              <w:spacing w:line="227" w:lineRule="exact"/>
              <w:ind w:left="103" w:right="85"/>
              <w:rPr>
                <w:sz w:val="20"/>
              </w:rPr>
            </w:pPr>
            <w:r>
              <w:rPr>
                <w:sz w:val="20"/>
              </w:rPr>
              <w:t>Popliteal height</w:t>
            </w:r>
          </w:p>
          <w:p>
            <w:pPr>
              <w:pStyle w:val="TableParagraph"/>
              <w:ind w:left="103" w:right="85"/>
              <w:rPr>
                <w:sz w:val="20"/>
              </w:rPr>
            </w:pPr>
            <w:r>
              <w:rPr>
                <w:sz w:val="20"/>
              </w:rPr>
              <w:t>– seat height</w:t>
            </w:r>
          </w:p>
        </w:tc>
        <w:tc>
          <w:tcPr>
            <w:tcW w:w="704" w:type="dxa"/>
          </w:tcPr>
          <w:p>
            <w:pPr>
              <w:pStyle w:val="TableParagraph"/>
              <w:spacing w:before="8"/>
              <w:rPr>
                <w:sz w:val="19"/>
              </w:rPr>
            </w:pPr>
          </w:p>
          <w:p>
            <w:pPr>
              <w:pStyle w:val="TableParagraph"/>
              <w:ind w:left="173"/>
              <w:rPr>
                <w:sz w:val="20"/>
              </w:rPr>
            </w:pPr>
            <w:r>
              <w:rPr>
                <w:sz w:val="20"/>
              </w:rPr>
              <w:t>28.6</w:t>
            </w:r>
          </w:p>
        </w:tc>
        <w:tc>
          <w:tcPr>
            <w:tcW w:w="1039" w:type="dxa"/>
          </w:tcPr>
          <w:p>
            <w:pPr>
              <w:pStyle w:val="TableParagraph"/>
              <w:spacing w:before="8"/>
              <w:rPr>
                <w:sz w:val="19"/>
              </w:rPr>
            </w:pPr>
          </w:p>
          <w:p>
            <w:pPr>
              <w:pStyle w:val="TableParagraph"/>
              <w:ind w:left="370" w:right="367"/>
              <w:jc w:val="center"/>
              <w:rPr>
                <w:sz w:val="20"/>
              </w:rPr>
            </w:pPr>
            <w:r>
              <w:rPr>
                <w:sz w:val="20"/>
              </w:rPr>
              <w:t>2.1</w:t>
            </w:r>
          </w:p>
        </w:tc>
        <w:tc>
          <w:tcPr>
            <w:tcW w:w="666" w:type="dxa"/>
          </w:tcPr>
          <w:p>
            <w:pPr>
              <w:pStyle w:val="TableParagraph"/>
              <w:spacing w:before="8"/>
              <w:rPr>
                <w:sz w:val="19"/>
              </w:rPr>
            </w:pPr>
          </w:p>
          <w:p>
            <w:pPr>
              <w:pStyle w:val="TableParagraph"/>
              <w:ind w:left="83" w:right="82"/>
              <w:jc w:val="center"/>
              <w:rPr>
                <w:sz w:val="20"/>
              </w:rPr>
            </w:pPr>
            <w:r>
              <w:rPr>
                <w:sz w:val="20"/>
              </w:rPr>
              <w:t>25.8</w:t>
            </w:r>
          </w:p>
        </w:tc>
        <w:tc>
          <w:tcPr>
            <w:tcW w:w="666" w:type="dxa"/>
          </w:tcPr>
          <w:p>
            <w:pPr>
              <w:pStyle w:val="TableParagraph"/>
              <w:spacing w:before="8"/>
              <w:rPr>
                <w:sz w:val="19"/>
              </w:rPr>
            </w:pPr>
          </w:p>
          <w:p>
            <w:pPr>
              <w:pStyle w:val="TableParagraph"/>
              <w:ind w:left="83" w:right="82"/>
              <w:jc w:val="center"/>
              <w:rPr>
                <w:sz w:val="20"/>
              </w:rPr>
            </w:pPr>
            <w:r>
              <w:rPr>
                <w:sz w:val="20"/>
              </w:rPr>
              <w:t>28.3</w:t>
            </w:r>
          </w:p>
        </w:tc>
        <w:tc>
          <w:tcPr>
            <w:tcW w:w="666" w:type="dxa"/>
          </w:tcPr>
          <w:p>
            <w:pPr>
              <w:pStyle w:val="TableParagraph"/>
              <w:spacing w:before="8"/>
              <w:rPr>
                <w:sz w:val="19"/>
              </w:rPr>
            </w:pPr>
          </w:p>
          <w:p>
            <w:pPr>
              <w:pStyle w:val="TableParagraph"/>
              <w:ind w:left="83" w:right="82"/>
              <w:jc w:val="center"/>
              <w:rPr>
                <w:sz w:val="20"/>
              </w:rPr>
            </w:pPr>
            <w:r>
              <w:rPr>
                <w:sz w:val="20"/>
              </w:rPr>
              <w:t>32.4</w:t>
            </w:r>
          </w:p>
        </w:tc>
        <w:tc>
          <w:tcPr>
            <w:tcW w:w="1072" w:type="dxa"/>
          </w:tcPr>
          <w:p>
            <w:pPr>
              <w:pStyle w:val="TableParagraph"/>
              <w:spacing w:before="8"/>
              <w:rPr>
                <w:sz w:val="19"/>
              </w:rPr>
            </w:pPr>
          </w:p>
          <w:p>
            <w:pPr>
              <w:pStyle w:val="TableParagraph"/>
              <w:ind w:left="286" w:right="285"/>
              <w:jc w:val="center"/>
              <w:rPr>
                <w:sz w:val="20"/>
              </w:rPr>
            </w:pPr>
            <w:r>
              <w:rPr>
                <w:sz w:val="20"/>
              </w:rPr>
              <w:t>25.8</w:t>
            </w:r>
          </w:p>
        </w:tc>
        <w:tc>
          <w:tcPr>
            <w:tcW w:w="1105" w:type="dxa"/>
          </w:tcPr>
          <w:p>
            <w:pPr>
              <w:pStyle w:val="TableParagraph"/>
              <w:spacing w:before="8"/>
              <w:rPr>
                <w:sz w:val="19"/>
              </w:rPr>
            </w:pPr>
          </w:p>
          <w:p>
            <w:pPr>
              <w:pStyle w:val="TableParagraph"/>
              <w:ind w:right="369"/>
              <w:jc w:val="right"/>
              <w:rPr>
                <w:sz w:val="20"/>
              </w:rPr>
            </w:pPr>
            <w:r>
              <w:rPr>
                <w:sz w:val="20"/>
              </w:rPr>
              <w:t>32.4</w:t>
            </w:r>
          </w:p>
        </w:tc>
      </w:tr>
      <w:tr>
        <w:trPr>
          <w:trHeight w:val="701" w:hRule="exact"/>
        </w:trPr>
        <w:tc>
          <w:tcPr>
            <w:tcW w:w="1606" w:type="dxa"/>
          </w:tcPr>
          <w:p>
            <w:pPr>
              <w:pStyle w:val="TableParagraph"/>
              <w:ind w:left="103" w:right="223"/>
              <w:rPr>
                <w:sz w:val="20"/>
              </w:rPr>
            </w:pPr>
            <w:r>
              <w:rPr>
                <w:sz w:val="20"/>
              </w:rPr>
              <w:t>Buttock to popliteal length</w:t>
            </w:r>
          </w:p>
          <w:p>
            <w:pPr>
              <w:pStyle w:val="TableParagraph"/>
              <w:ind w:left="103" w:right="85"/>
              <w:rPr>
                <w:sz w:val="20"/>
              </w:rPr>
            </w:pPr>
            <w:r>
              <w:rPr>
                <w:sz w:val="20"/>
              </w:rPr>
              <w:t>– seat depth</w:t>
            </w:r>
          </w:p>
        </w:tc>
        <w:tc>
          <w:tcPr>
            <w:tcW w:w="704" w:type="dxa"/>
          </w:tcPr>
          <w:p>
            <w:pPr>
              <w:pStyle w:val="TableParagraph"/>
              <w:rPr>
                <w:sz w:val="20"/>
              </w:rPr>
            </w:pPr>
          </w:p>
          <w:p>
            <w:pPr>
              <w:pStyle w:val="TableParagraph"/>
              <w:spacing w:before="9"/>
              <w:rPr>
                <w:sz w:val="19"/>
              </w:rPr>
            </w:pPr>
          </w:p>
          <w:p>
            <w:pPr>
              <w:pStyle w:val="TableParagraph"/>
              <w:ind w:left="172"/>
              <w:rPr>
                <w:sz w:val="20"/>
              </w:rPr>
            </w:pPr>
            <w:r>
              <w:rPr>
                <w:sz w:val="20"/>
              </w:rPr>
              <w:t>35.1</w:t>
            </w:r>
          </w:p>
        </w:tc>
        <w:tc>
          <w:tcPr>
            <w:tcW w:w="1039" w:type="dxa"/>
          </w:tcPr>
          <w:p>
            <w:pPr>
              <w:pStyle w:val="TableParagraph"/>
              <w:rPr>
                <w:sz w:val="20"/>
              </w:rPr>
            </w:pPr>
          </w:p>
          <w:p>
            <w:pPr>
              <w:pStyle w:val="TableParagraph"/>
              <w:spacing w:before="9"/>
              <w:rPr>
                <w:sz w:val="19"/>
              </w:rPr>
            </w:pPr>
          </w:p>
          <w:p>
            <w:pPr>
              <w:pStyle w:val="TableParagraph"/>
              <w:ind w:left="369" w:right="368"/>
              <w:jc w:val="center"/>
              <w:rPr>
                <w:sz w:val="20"/>
              </w:rPr>
            </w:pPr>
            <w:r>
              <w:rPr>
                <w:sz w:val="20"/>
              </w:rPr>
              <w:t>2.5</w:t>
            </w:r>
          </w:p>
        </w:tc>
        <w:tc>
          <w:tcPr>
            <w:tcW w:w="666" w:type="dxa"/>
          </w:tcPr>
          <w:p>
            <w:pPr>
              <w:pStyle w:val="TableParagraph"/>
              <w:rPr>
                <w:sz w:val="20"/>
              </w:rPr>
            </w:pPr>
          </w:p>
          <w:p>
            <w:pPr>
              <w:pStyle w:val="TableParagraph"/>
              <w:spacing w:before="9"/>
              <w:rPr>
                <w:sz w:val="19"/>
              </w:rPr>
            </w:pPr>
          </w:p>
          <w:p>
            <w:pPr>
              <w:pStyle w:val="TableParagraph"/>
              <w:ind w:left="82" w:right="82"/>
              <w:jc w:val="center"/>
              <w:rPr>
                <w:sz w:val="20"/>
              </w:rPr>
            </w:pPr>
            <w:r>
              <w:rPr>
                <w:sz w:val="20"/>
              </w:rPr>
              <w:t>32.5</w:t>
            </w:r>
          </w:p>
        </w:tc>
        <w:tc>
          <w:tcPr>
            <w:tcW w:w="666" w:type="dxa"/>
          </w:tcPr>
          <w:p>
            <w:pPr>
              <w:pStyle w:val="TableParagraph"/>
              <w:rPr>
                <w:sz w:val="20"/>
              </w:rPr>
            </w:pPr>
          </w:p>
          <w:p>
            <w:pPr>
              <w:pStyle w:val="TableParagraph"/>
              <w:spacing w:before="9"/>
              <w:rPr>
                <w:sz w:val="19"/>
              </w:rPr>
            </w:pPr>
          </w:p>
          <w:p>
            <w:pPr>
              <w:pStyle w:val="TableParagraph"/>
              <w:ind w:left="82" w:right="82"/>
              <w:jc w:val="center"/>
              <w:rPr>
                <w:sz w:val="20"/>
              </w:rPr>
            </w:pPr>
            <w:r>
              <w:rPr>
                <w:sz w:val="20"/>
              </w:rPr>
              <w:t>34.5</w:t>
            </w:r>
          </w:p>
        </w:tc>
        <w:tc>
          <w:tcPr>
            <w:tcW w:w="666" w:type="dxa"/>
          </w:tcPr>
          <w:p>
            <w:pPr>
              <w:pStyle w:val="TableParagraph"/>
              <w:rPr>
                <w:sz w:val="20"/>
              </w:rPr>
            </w:pPr>
          </w:p>
          <w:p>
            <w:pPr>
              <w:pStyle w:val="TableParagraph"/>
              <w:spacing w:before="9"/>
              <w:rPr>
                <w:sz w:val="19"/>
              </w:rPr>
            </w:pPr>
          </w:p>
          <w:p>
            <w:pPr>
              <w:pStyle w:val="TableParagraph"/>
              <w:ind w:left="82" w:right="82"/>
              <w:jc w:val="center"/>
              <w:rPr>
                <w:sz w:val="20"/>
              </w:rPr>
            </w:pPr>
            <w:r>
              <w:rPr>
                <w:sz w:val="20"/>
              </w:rPr>
              <w:t>39.7</w:t>
            </w:r>
          </w:p>
        </w:tc>
        <w:tc>
          <w:tcPr>
            <w:tcW w:w="1072" w:type="dxa"/>
          </w:tcPr>
          <w:p>
            <w:pPr>
              <w:pStyle w:val="TableParagraph"/>
              <w:rPr>
                <w:sz w:val="20"/>
              </w:rPr>
            </w:pPr>
          </w:p>
          <w:p>
            <w:pPr>
              <w:pStyle w:val="TableParagraph"/>
              <w:spacing w:before="9"/>
              <w:rPr>
                <w:sz w:val="19"/>
              </w:rPr>
            </w:pPr>
          </w:p>
          <w:p>
            <w:pPr>
              <w:pStyle w:val="TableParagraph"/>
              <w:ind w:left="285" w:right="285"/>
              <w:jc w:val="center"/>
              <w:rPr>
                <w:sz w:val="20"/>
              </w:rPr>
            </w:pPr>
            <w:r>
              <w:rPr>
                <w:sz w:val="20"/>
              </w:rPr>
              <w:t>32.5</w:t>
            </w:r>
          </w:p>
        </w:tc>
        <w:tc>
          <w:tcPr>
            <w:tcW w:w="1105" w:type="dxa"/>
          </w:tcPr>
          <w:p>
            <w:pPr>
              <w:pStyle w:val="TableParagraph"/>
              <w:rPr>
                <w:sz w:val="20"/>
              </w:rPr>
            </w:pPr>
          </w:p>
          <w:p>
            <w:pPr>
              <w:pStyle w:val="TableParagraph"/>
              <w:spacing w:before="9"/>
              <w:rPr>
                <w:sz w:val="19"/>
              </w:rPr>
            </w:pPr>
          </w:p>
          <w:p>
            <w:pPr>
              <w:pStyle w:val="TableParagraph"/>
              <w:ind w:right="370"/>
              <w:jc w:val="right"/>
              <w:rPr>
                <w:sz w:val="20"/>
              </w:rPr>
            </w:pPr>
            <w:r>
              <w:rPr>
                <w:sz w:val="20"/>
              </w:rPr>
              <w:t>39.7</w:t>
            </w:r>
          </w:p>
        </w:tc>
      </w:tr>
    </w:tbl>
    <w:p>
      <w:pPr>
        <w:pStyle w:val="BodyText"/>
        <w:spacing w:before="8"/>
        <w:rPr>
          <w:sz w:val="19"/>
        </w:rPr>
      </w:pPr>
    </w:p>
    <w:p>
      <w:pPr>
        <w:pStyle w:val="BodyText"/>
        <w:spacing w:before="1"/>
        <w:ind w:left="1413" w:right="6276" w:hanging="1101"/>
      </w:pPr>
      <w:r>
        <w:rPr/>
        <w:t>Table 6. Anthropometric measures in cm for 7 year-old girls from private elementary schools.</w:t>
      </w:r>
    </w:p>
    <w:p>
      <w:pPr>
        <w:spacing w:after="0"/>
        <w:sectPr>
          <w:pgSz w:w="12240" w:h="15840"/>
          <w:pgMar w:header="545" w:footer="852" w:top="1060" w:bottom="1040" w:left="580" w:right="220"/>
        </w:sectPr>
      </w:pPr>
    </w:p>
    <w:p>
      <w:pPr>
        <w:pStyle w:val="BodyText"/>
        <w:spacing w:before="6"/>
        <w:rPr>
          <w:sz w:val="18"/>
        </w:rPr>
      </w:pPr>
    </w:p>
    <w:tbl>
      <w:tblPr>
        <w:tblW w:w="0" w:type="auto"/>
        <w:jc w:val="left"/>
        <w:tblInd w:w="17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06"/>
        <w:gridCol w:w="704"/>
        <w:gridCol w:w="1039"/>
        <w:gridCol w:w="666"/>
        <w:gridCol w:w="666"/>
        <w:gridCol w:w="666"/>
        <w:gridCol w:w="1072"/>
        <w:gridCol w:w="1105"/>
      </w:tblGrid>
      <w:tr>
        <w:trPr>
          <w:trHeight w:val="240" w:hRule="exact"/>
        </w:trPr>
        <w:tc>
          <w:tcPr>
            <w:tcW w:w="1606" w:type="dxa"/>
            <w:vMerge w:val="restart"/>
          </w:tcPr>
          <w:p>
            <w:pPr>
              <w:pStyle w:val="TableParagraph"/>
              <w:spacing w:line="249" w:lineRule="auto"/>
              <w:ind w:left="302" w:right="85" w:hanging="200"/>
              <w:rPr>
                <w:b/>
                <w:sz w:val="20"/>
              </w:rPr>
            </w:pPr>
            <w:r>
              <w:rPr>
                <w:b/>
                <w:sz w:val="20"/>
              </w:rPr>
              <w:t>Anthropometric Dimensions</w:t>
            </w:r>
          </w:p>
        </w:tc>
        <w:tc>
          <w:tcPr>
            <w:tcW w:w="704" w:type="dxa"/>
            <w:vMerge w:val="restart"/>
          </w:tcPr>
          <w:p>
            <w:pPr>
              <w:pStyle w:val="TableParagraph"/>
              <w:spacing w:line="229" w:lineRule="exact"/>
              <w:ind w:left="103"/>
              <w:rPr>
                <w:b/>
                <w:sz w:val="20"/>
              </w:rPr>
            </w:pPr>
            <w:r>
              <w:rPr>
                <w:b/>
                <w:sz w:val="20"/>
              </w:rPr>
              <w:t>Mean</w:t>
            </w:r>
          </w:p>
        </w:tc>
        <w:tc>
          <w:tcPr>
            <w:tcW w:w="1039" w:type="dxa"/>
            <w:vMerge w:val="restart"/>
          </w:tcPr>
          <w:p>
            <w:pPr>
              <w:pStyle w:val="TableParagraph"/>
              <w:spacing w:line="249" w:lineRule="auto"/>
              <w:ind w:left="104" w:right="83" w:firstLine="10"/>
              <w:rPr>
                <w:b/>
                <w:sz w:val="20"/>
              </w:rPr>
            </w:pPr>
            <w:r>
              <w:rPr>
                <w:b/>
                <w:sz w:val="20"/>
              </w:rPr>
              <w:t>Standard Deviation</w:t>
            </w:r>
          </w:p>
        </w:tc>
        <w:tc>
          <w:tcPr>
            <w:tcW w:w="1998" w:type="dxa"/>
            <w:gridSpan w:val="3"/>
          </w:tcPr>
          <w:p>
            <w:pPr>
              <w:pStyle w:val="TableParagraph"/>
              <w:spacing w:line="229" w:lineRule="exact"/>
              <w:ind w:left="566"/>
              <w:rPr>
                <w:b/>
                <w:sz w:val="20"/>
              </w:rPr>
            </w:pPr>
            <w:r>
              <w:rPr>
                <w:b/>
                <w:sz w:val="20"/>
              </w:rPr>
              <w:t>Percentile</w:t>
            </w:r>
          </w:p>
        </w:tc>
        <w:tc>
          <w:tcPr>
            <w:tcW w:w="1072" w:type="dxa"/>
            <w:vMerge w:val="restart"/>
          </w:tcPr>
          <w:p>
            <w:pPr>
              <w:pStyle w:val="TableParagraph"/>
              <w:spacing w:line="229" w:lineRule="exact"/>
              <w:ind w:left="103"/>
              <w:rPr>
                <w:b/>
                <w:sz w:val="20"/>
              </w:rPr>
            </w:pPr>
            <w:r>
              <w:rPr>
                <w:b/>
                <w:sz w:val="20"/>
              </w:rPr>
              <w:t>Minimum</w:t>
            </w:r>
          </w:p>
        </w:tc>
        <w:tc>
          <w:tcPr>
            <w:tcW w:w="1105" w:type="dxa"/>
            <w:vMerge w:val="restart"/>
          </w:tcPr>
          <w:p>
            <w:pPr>
              <w:pStyle w:val="TableParagraph"/>
              <w:spacing w:line="229" w:lineRule="exact"/>
              <w:ind w:left="103"/>
              <w:rPr>
                <w:b/>
                <w:sz w:val="20"/>
              </w:rPr>
            </w:pPr>
            <w:r>
              <w:rPr>
                <w:b/>
                <w:sz w:val="20"/>
              </w:rPr>
              <w:t>Maximum</w:t>
            </w:r>
          </w:p>
        </w:tc>
      </w:tr>
      <w:tr>
        <w:trPr>
          <w:trHeight w:val="240" w:hRule="exact"/>
        </w:trPr>
        <w:tc>
          <w:tcPr>
            <w:tcW w:w="1606" w:type="dxa"/>
            <w:vMerge/>
          </w:tcPr>
          <w:p>
            <w:pPr/>
          </w:p>
        </w:tc>
        <w:tc>
          <w:tcPr>
            <w:tcW w:w="704" w:type="dxa"/>
            <w:vMerge/>
          </w:tcPr>
          <w:p>
            <w:pPr/>
          </w:p>
        </w:tc>
        <w:tc>
          <w:tcPr>
            <w:tcW w:w="1039" w:type="dxa"/>
            <w:vMerge/>
          </w:tcPr>
          <w:p>
            <w:pPr/>
          </w:p>
        </w:tc>
        <w:tc>
          <w:tcPr>
            <w:tcW w:w="666" w:type="dxa"/>
          </w:tcPr>
          <w:p>
            <w:pPr>
              <w:pStyle w:val="TableParagraph"/>
              <w:spacing w:line="229" w:lineRule="exact"/>
              <w:ind w:left="2"/>
              <w:jc w:val="center"/>
              <w:rPr>
                <w:b/>
                <w:sz w:val="20"/>
              </w:rPr>
            </w:pPr>
            <w:r>
              <w:rPr>
                <w:b/>
                <w:w w:val="100"/>
                <w:sz w:val="20"/>
              </w:rPr>
              <w:t>5</w:t>
            </w:r>
          </w:p>
        </w:tc>
        <w:tc>
          <w:tcPr>
            <w:tcW w:w="666" w:type="dxa"/>
          </w:tcPr>
          <w:p>
            <w:pPr>
              <w:pStyle w:val="TableParagraph"/>
              <w:spacing w:line="229" w:lineRule="exact"/>
              <w:ind w:left="83" w:right="81"/>
              <w:jc w:val="center"/>
              <w:rPr>
                <w:b/>
                <w:sz w:val="20"/>
              </w:rPr>
            </w:pPr>
            <w:r>
              <w:rPr>
                <w:b/>
                <w:sz w:val="20"/>
              </w:rPr>
              <w:t>50</w:t>
            </w:r>
          </w:p>
        </w:tc>
        <w:tc>
          <w:tcPr>
            <w:tcW w:w="666" w:type="dxa"/>
          </w:tcPr>
          <w:p>
            <w:pPr>
              <w:pStyle w:val="TableParagraph"/>
              <w:spacing w:line="229" w:lineRule="exact"/>
              <w:ind w:left="83" w:right="81"/>
              <w:jc w:val="center"/>
              <w:rPr>
                <w:b/>
                <w:sz w:val="20"/>
              </w:rPr>
            </w:pPr>
            <w:r>
              <w:rPr>
                <w:b/>
                <w:sz w:val="20"/>
              </w:rPr>
              <w:t>95</w:t>
            </w:r>
          </w:p>
        </w:tc>
        <w:tc>
          <w:tcPr>
            <w:tcW w:w="1072" w:type="dxa"/>
            <w:vMerge/>
          </w:tcPr>
          <w:p>
            <w:pPr/>
          </w:p>
        </w:tc>
        <w:tc>
          <w:tcPr>
            <w:tcW w:w="1105" w:type="dxa"/>
            <w:vMerge/>
          </w:tcPr>
          <w:p>
            <w:pPr/>
          </w:p>
        </w:tc>
      </w:tr>
      <w:tr>
        <w:trPr>
          <w:trHeight w:val="469" w:hRule="exact"/>
        </w:trPr>
        <w:tc>
          <w:tcPr>
            <w:tcW w:w="1606" w:type="dxa"/>
          </w:tcPr>
          <w:p>
            <w:pPr>
              <w:pStyle w:val="TableParagraph"/>
              <w:ind w:left="103" w:right="539"/>
              <w:rPr>
                <w:sz w:val="20"/>
              </w:rPr>
            </w:pPr>
            <w:r>
              <w:rPr>
                <w:sz w:val="20"/>
              </w:rPr>
              <w:t>Weight (kilograms)</w:t>
            </w:r>
          </w:p>
        </w:tc>
        <w:tc>
          <w:tcPr>
            <w:tcW w:w="704" w:type="dxa"/>
          </w:tcPr>
          <w:p>
            <w:pPr>
              <w:pStyle w:val="TableParagraph"/>
              <w:spacing w:before="8"/>
              <w:rPr>
                <w:sz w:val="19"/>
              </w:rPr>
            </w:pPr>
          </w:p>
          <w:p>
            <w:pPr>
              <w:pStyle w:val="TableParagraph"/>
              <w:spacing w:before="1"/>
              <w:ind w:left="101" w:right="101"/>
              <w:jc w:val="center"/>
              <w:rPr>
                <w:sz w:val="20"/>
              </w:rPr>
            </w:pPr>
            <w:r>
              <w:rPr>
                <w:sz w:val="20"/>
              </w:rPr>
              <w:t>26.7</w:t>
            </w:r>
          </w:p>
        </w:tc>
        <w:tc>
          <w:tcPr>
            <w:tcW w:w="1039" w:type="dxa"/>
          </w:tcPr>
          <w:p>
            <w:pPr>
              <w:pStyle w:val="TableParagraph"/>
              <w:spacing w:before="8"/>
              <w:rPr>
                <w:sz w:val="19"/>
              </w:rPr>
            </w:pPr>
          </w:p>
          <w:p>
            <w:pPr>
              <w:pStyle w:val="TableParagraph"/>
              <w:spacing w:before="1"/>
              <w:ind w:left="369" w:right="368"/>
              <w:jc w:val="center"/>
              <w:rPr>
                <w:sz w:val="20"/>
              </w:rPr>
            </w:pPr>
            <w:r>
              <w:rPr>
                <w:sz w:val="20"/>
              </w:rPr>
              <w:t>7.0</w:t>
            </w:r>
          </w:p>
        </w:tc>
        <w:tc>
          <w:tcPr>
            <w:tcW w:w="666" w:type="dxa"/>
          </w:tcPr>
          <w:p>
            <w:pPr>
              <w:pStyle w:val="TableParagraph"/>
              <w:spacing w:before="8"/>
              <w:rPr>
                <w:sz w:val="19"/>
              </w:rPr>
            </w:pPr>
          </w:p>
          <w:p>
            <w:pPr>
              <w:pStyle w:val="TableParagraph"/>
              <w:spacing w:before="1"/>
              <w:ind w:left="82" w:right="82"/>
              <w:jc w:val="center"/>
              <w:rPr>
                <w:sz w:val="20"/>
              </w:rPr>
            </w:pPr>
            <w:r>
              <w:rPr>
                <w:sz w:val="20"/>
              </w:rPr>
              <w:t>19.8</w:t>
            </w:r>
          </w:p>
        </w:tc>
        <w:tc>
          <w:tcPr>
            <w:tcW w:w="666" w:type="dxa"/>
          </w:tcPr>
          <w:p>
            <w:pPr>
              <w:pStyle w:val="TableParagraph"/>
              <w:spacing w:before="8"/>
              <w:rPr>
                <w:sz w:val="19"/>
              </w:rPr>
            </w:pPr>
          </w:p>
          <w:p>
            <w:pPr>
              <w:pStyle w:val="TableParagraph"/>
              <w:spacing w:before="1"/>
              <w:ind w:left="82" w:right="82"/>
              <w:jc w:val="center"/>
              <w:rPr>
                <w:sz w:val="20"/>
              </w:rPr>
            </w:pPr>
            <w:r>
              <w:rPr>
                <w:sz w:val="20"/>
              </w:rPr>
              <w:t>24.1</w:t>
            </w:r>
          </w:p>
        </w:tc>
        <w:tc>
          <w:tcPr>
            <w:tcW w:w="666" w:type="dxa"/>
          </w:tcPr>
          <w:p>
            <w:pPr>
              <w:pStyle w:val="TableParagraph"/>
              <w:spacing w:before="8"/>
              <w:rPr>
                <w:sz w:val="19"/>
              </w:rPr>
            </w:pPr>
          </w:p>
          <w:p>
            <w:pPr>
              <w:pStyle w:val="TableParagraph"/>
              <w:spacing w:before="1"/>
              <w:ind w:left="82" w:right="82"/>
              <w:jc w:val="center"/>
              <w:rPr>
                <w:sz w:val="20"/>
              </w:rPr>
            </w:pPr>
            <w:r>
              <w:rPr>
                <w:sz w:val="20"/>
              </w:rPr>
              <w:t>39.8</w:t>
            </w:r>
          </w:p>
        </w:tc>
        <w:tc>
          <w:tcPr>
            <w:tcW w:w="1072" w:type="dxa"/>
          </w:tcPr>
          <w:p>
            <w:pPr>
              <w:pStyle w:val="TableParagraph"/>
              <w:spacing w:before="8"/>
              <w:rPr>
                <w:sz w:val="19"/>
              </w:rPr>
            </w:pPr>
          </w:p>
          <w:p>
            <w:pPr>
              <w:pStyle w:val="TableParagraph"/>
              <w:spacing w:before="1"/>
              <w:ind w:left="355"/>
              <w:rPr>
                <w:sz w:val="20"/>
              </w:rPr>
            </w:pPr>
            <w:r>
              <w:rPr>
                <w:sz w:val="20"/>
              </w:rPr>
              <w:t>19.8</w:t>
            </w:r>
          </w:p>
        </w:tc>
        <w:tc>
          <w:tcPr>
            <w:tcW w:w="1105" w:type="dxa"/>
          </w:tcPr>
          <w:p>
            <w:pPr>
              <w:pStyle w:val="TableParagraph"/>
              <w:spacing w:before="8"/>
              <w:rPr>
                <w:sz w:val="19"/>
              </w:rPr>
            </w:pPr>
          </w:p>
          <w:p>
            <w:pPr>
              <w:pStyle w:val="TableParagraph"/>
              <w:spacing w:before="1"/>
              <w:ind w:left="302" w:right="302"/>
              <w:jc w:val="center"/>
              <w:rPr>
                <w:sz w:val="20"/>
              </w:rPr>
            </w:pPr>
            <w:r>
              <w:rPr>
                <w:sz w:val="20"/>
              </w:rPr>
              <w:t>39.8</w:t>
            </w:r>
          </w:p>
        </w:tc>
      </w:tr>
      <w:tr>
        <w:trPr>
          <w:trHeight w:val="240" w:hRule="exact"/>
        </w:trPr>
        <w:tc>
          <w:tcPr>
            <w:tcW w:w="1606" w:type="dxa"/>
          </w:tcPr>
          <w:p>
            <w:pPr>
              <w:pStyle w:val="TableParagraph"/>
              <w:spacing w:line="228" w:lineRule="exact"/>
              <w:ind w:left="103" w:right="85"/>
              <w:rPr>
                <w:sz w:val="20"/>
              </w:rPr>
            </w:pPr>
            <w:r>
              <w:rPr>
                <w:sz w:val="20"/>
              </w:rPr>
              <w:t>Stature</w:t>
            </w:r>
          </w:p>
        </w:tc>
        <w:tc>
          <w:tcPr>
            <w:tcW w:w="704" w:type="dxa"/>
          </w:tcPr>
          <w:p>
            <w:pPr>
              <w:pStyle w:val="TableParagraph"/>
              <w:spacing w:line="228" w:lineRule="exact"/>
              <w:ind w:left="103" w:right="101"/>
              <w:jc w:val="center"/>
              <w:rPr>
                <w:sz w:val="20"/>
              </w:rPr>
            </w:pPr>
            <w:r>
              <w:rPr>
                <w:sz w:val="20"/>
              </w:rPr>
              <w:t>122.7</w:t>
            </w:r>
          </w:p>
        </w:tc>
        <w:tc>
          <w:tcPr>
            <w:tcW w:w="1039" w:type="dxa"/>
          </w:tcPr>
          <w:p>
            <w:pPr>
              <w:pStyle w:val="TableParagraph"/>
              <w:spacing w:line="228" w:lineRule="exact"/>
              <w:ind w:left="370" w:right="368"/>
              <w:jc w:val="center"/>
              <w:rPr>
                <w:sz w:val="20"/>
              </w:rPr>
            </w:pPr>
            <w:r>
              <w:rPr>
                <w:sz w:val="20"/>
              </w:rPr>
              <w:t>6.3</w:t>
            </w:r>
          </w:p>
        </w:tc>
        <w:tc>
          <w:tcPr>
            <w:tcW w:w="666" w:type="dxa"/>
          </w:tcPr>
          <w:p>
            <w:pPr>
              <w:pStyle w:val="TableParagraph"/>
              <w:spacing w:line="228" w:lineRule="exact"/>
              <w:ind w:left="83" w:right="82"/>
              <w:jc w:val="center"/>
              <w:rPr>
                <w:sz w:val="20"/>
              </w:rPr>
            </w:pPr>
            <w:r>
              <w:rPr>
                <w:sz w:val="20"/>
              </w:rPr>
              <w:t>111.5</w:t>
            </w:r>
          </w:p>
        </w:tc>
        <w:tc>
          <w:tcPr>
            <w:tcW w:w="666" w:type="dxa"/>
          </w:tcPr>
          <w:p>
            <w:pPr>
              <w:pStyle w:val="TableParagraph"/>
              <w:spacing w:line="228" w:lineRule="exact"/>
              <w:ind w:left="83" w:right="82"/>
              <w:jc w:val="center"/>
              <w:rPr>
                <w:sz w:val="20"/>
              </w:rPr>
            </w:pPr>
            <w:r>
              <w:rPr>
                <w:sz w:val="20"/>
              </w:rPr>
              <w:t>120.5</w:t>
            </w:r>
          </w:p>
        </w:tc>
        <w:tc>
          <w:tcPr>
            <w:tcW w:w="666" w:type="dxa"/>
          </w:tcPr>
          <w:p>
            <w:pPr>
              <w:pStyle w:val="TableParagraph"/>
              <w:spacing w:line="228" w:lineRule="exact"/>
              <w:ind w:left="83" w:right="82"/>
              <w:jc w:val="center"/>
              <w:rPr>
                <w:sz w:val="20"/>
              </w:rPr>
            </w:pPr>
            <w:r>
              <w:rPr>
                <w:sz w:val="20"/>
              </w:rPr>
              <w:t>132.1</w:t>
            </w:r>
          </w:p>
        </w:tc>
        <w:tc>
          <w:tcPr>
            <w:tcW w:w="1072" w:type="dxa"/>
          </w:tcPr>
          <w:p>
            <w:pPr>
              <w:pStyle w:val="TableParagraph"/>
              <w:spacing w:line="228" w:lineRule="exact"/>
              <w:ind w:left="306"/>
              <w:rPr>
                <w:sz w:val="20"/>
              </w:rPr>
            </w:pPr>
            <w:r>
              <w:rPr>
                <w:sz w:val="20"/>
              </w:rPr>
              <w:t>111.5</w:t>
            </w:r>
          </w:p>
        </w:tc>
        <w:tc>
          <w:tcPr>
            <w:tcW w:w="1105" w:type="dxa"/>
          </w:tcPr>
          <w:p>
            <w:pPr>
              <w:pStyle w:val="TableParagraph"/>
              <w:spacing w:line="228" w:lineRule="exact"/>
              <w:ind w:left="302" w:right="302"/>
              <w:jc w:val="center"/>
              <w:rPr>
                <w:sz w:val="20"/>
              </w:rPr>
            </w:pPr>
            <w:r>
              <w:rPr>
                <w:sz w:val="20"/>
              </w:rPr>
              <w:t>132.1</w:t>
            </w:r>
          </w:p>
        </w:tc>
      </w:tr>
      <w:tr>
        <w:trPr>
          <w:trHeight w:val="701" w:hRule="exact"/>
        </w:trPr>
        <w:tc>
          <w:tcPr>
            <w:tcW w:w="1606" w:type="dxa"/>
          </w:tcPr>
          <w:p>
            <w:pPr>
              <w:pStyle w:val="TableParagraph"/>
              <w:ind w:left="103" w:right="400"/>
              <w:jc w:val="both"/>
              <w:rPr>
                <w:sz w:val="20"/>
              </w:rPr>
            </w:pPr>
            <w:r>
              <w:rPr>
                <w:sz w:val="20"/>
              </w:rPr>
              <w:t>Elbow height sitting – table height</w:t>
            </w:r>
          </w:p>
        </w:tc>
        <w:tc>
          <w:tcPr>
            <w:tcW w:w="704" w:type="dxa"/>
          </w:tcPr>
          <w:p>
            <w:pPr>
              <w:pStyle w:val="TableParagraph"/>
              <w:rPr>
                <w:sz w:val="20"/>
              </w:rPr>
            </w:pPr>
          </w:p>
          <w:p>
            <w:pPr>
              <w:pStyle w:val="TableParagraph"/>
              <w:spacing w:before="9"/>
              <w:rPr>
                <w:sz w:val="19"/>
              </w:rPr>
            </w:pPr>
          </w:p>
          <w:p>
            <w:pPr>
              <w:pStyle w:val="TableParagraph"/>
              <w:ind w:left="101" w:right="101"/>
              <w:jc w:val="center"/>
              <w:rPr>
                <w:sz w:val="20"/>
              </w:rPr>
            </w:pPr>
            <w:r>
              <w:rPr>
                <w:sz w:val="20"/>
              </w:rPr>
              <w:t>17.6</w:t>
            </w:r>
          </w:p>
        </w:tc>
        <w:tc>
          <w:tcPr>
            <w:tcW w:w="1039" w:type="dxa"/>
          </w:tcPr>
          <w:p>
            <w:pPr>
              <w:pStyle w:val="TableParagraph"/>
              <w:rPr>
                <w:sz w:val="20"/>
              </w:rPr>
            </w:pPr>
          </w:p>
          <w:p>
            <w:pPr>
              <w:pStyle w:val="TableParagraph"/>
              <w:spacing w:before="9"/>
              <w:rPr>
                <w:sz w:val="19"/>
              </w:rPr>
            </w:pPr>
          </w:p>
          <w:p>
            <w:pPr>
              <w:pStyle w:val="TableParagraph"/>
              <w:ind w:left="369" w:right="368"/>
              <w:jc w:val="center"/>
              <w:rPr>
                <w:sz w:val="20"/>
              </w:rPr>
            </w:pPr>
            <w:r>
              <w:rPr>
                <w:sz w:val="20"/>
              </w:rPr>
              <w:t>2.2</w:t>
            </w:r>
          </w:p>
        </w:tc>
        <w:tc>
          <w:tcPr>
            <w:tcW w:w="666" w:type="dxa"/>
          </w:tcPr>
          <w:p>
            <w:pPr>
              <w:pStyle w:val="TableParagraph"/>
              <w:rPr>
                <w:sz w:val="20"/>
              </w:rPr>
            </w:pPr>
          </w:p>
          <w:p>
            <w:pPr>
              <w:pStyle w:val="TableParagraph"/>
              <w:spacing w:before="9"/>
              <w:rPr>
                <w:sz w:val="19"/>
              </w:rPr>
            </w:pPr>
          </w:p>
          <w:p>
            <w:pPr>
              <w:pStyle w:val="TableParagraph"/>
              <w:ind w:left="82" w:right="82"/>
              <w:jc w:val="center"/>
              <w:rPr>
                <w:sz w:val="20"/>
              </w:rPr>
            </w:pPr>
            <w:r>
              <w:rPr>
                <w:sz w:val="20"/>
              </w:rPr>
              <w:t>15.4</w:t>
            </w:r>
          </w:p>
        </w:tc>
        <w:tc>
          <w:tcPr>
            <w:tcW w:w="666" w:type="dxa"/>
          </w:tcPr>
          <w:p>
            <w:pPr>
              <w:pStyle w:val="TableParagraph"/>
              <w:rPr>
                <w:sz w:val="20"/>
              </w:rPr>
            </w:pPr>
          </w:p>
          <w:p>
            <w:pPr>
              <w:pStyle w:val="TableParagraph"/>
              <w:spacing w:before="9"/>
              <w:rPr>
                <w:sz w:val="19"/>
              </w:rPr>
            </w:pPr>
          </w:p>
          <w:p>
            <w:pPr>
              <w:pStyle w:val="TableParagraph"/>
              <w:ind w:left="82" w:right="82"/>
              <w:jc w:val="center"/>
              <w:rPr>
                <w:sz w:val="20"/>
              </w:rPr>
            </w:pPr>
            <w:r>
              <w:rPr>
                <w:sz w:val="20"/>
              </w:rPr>
              <w:t>17.5</w:t>
            </w:r>
          </w:p>
        </w:tc>
        <w:tc>
          <w:tcPr>
            <w:tcW w:w="666" w:type="dxa"/>
          </w:tcPr>
          <w:p>
            <w:pPr>
              <w:pStyle w:val="TableParagraph"/>
              <w:rPr>
                <w:sz w:val="20"/>
              </w:rPr>
            </w:pPr>
          </w:p>
          <w:p>
            <w:pPr>
              <w:pStyle w:val="TableParagraph"/>
              <w:spacing w:before="9"/>
              <w:rPr>
                <w:sz w:val="19"/>
              </w:rPr>
            </w:pPr>
          </w:p>
          <w:p>
            <w:pPr>
              <w:pStyle w:val="TableParagraph"/>
              <w:ind w:left="82" w:right="82"/>
              <w:jc w:val="center"/>
              <w:rPr>
                <w:sz w:val="20"/>
              </w:rPr>
            </w:pPr>
            <w:r>
              <w:rPr>
                <w:sz w:val="20"/>
              </w:rPr>
              <w:t>22.4</w:t>
            </w:r>
          </w:p>
        </w:tc>
        <w:tc>
          <w:tcPr>
            <w:tcW w:w="1072" w:type="dxa"/>
          </w:tcPr>
          <w:p>
            <w:pPr>
              <w:pStyle w:val="TableParagraph"/>
              <w:rPr>
                <w:sz w:val="20"/>
              </w:rPr>
            </w:pPr>
          </w:p>
          <w:p>
            <w:pPr>
              <w:pStyle w:val="TableParagraph"/>
              <w:spacing w:before="9"/>
              <w:rPr>
                <w:sz w:val="19"/>
              </w:rPr>
            </w:pPr>
          </w:p>
          <w:p>
            <w:pPr>
              <w:pStyle w:val="TableParagraph"/>
              <w:ind w:left="355"/>
              <w:rPr>
                <w:sz w:val="20"/>
              </w:rPr>
            </w:pPr>
            <w:r>
              <w:rPr>
                <w:sz w:val="20"/>
              </w:rPr>
              <w:t>15.4</w:t>
            </w:r>
          </w:p>
        </w:tc>
        <w:tc>
          <w:tcPr>
            <w:tcW w:w="1105" w:type="dxa"/>
          </w:tcPr>
          <w:p>
            <w:pPr>
              <w:pStyle w:val="TableParagraph"/>
              <w:rPr>
                <w:sz w:val="20"/>
              </w:rPr>
            </w:pPr>
          </w:p>
          <w:p>
            <w:pPr>
              <w:pStyle w:val="TableParagraph"/>
              <w:spacing w:before="9"/>
              <w:rPr>
                <w:sz w:val="19"/>
              </w:rPr>
            </w:pPr>
          </w:p>
          <w:p>
            <w:pPr>
              <w:pStyle w:val="TableParagraph"/>
              <w:ind w:left="302" w:right="302"/>
              <w:jc w:val="center"/>
              <w:rPr>
                <w:sz w:val="20"/>
              </w:rPr>
            </w:pPr>
            <w:r>
              <w:rPr>
                <w:sz w:val="20"/>
              </w:rPr>
              <w:t>22.4</w:t>
            </w:r>
          </w:p>
        </w:tc>
      </w:tr>
      <w:tr>
        <w:trPr>
          <w:trHeight w:val="469" w:hRule="exact"/>
        </w:trPr>
        <w:tc>
          <w:tcPr>
            <w:tcW w:w="1606" w:type="dxa"/>
          </w:tcPr>
          <w:p>
            <w:pPr>
              <w:pStyle w:val="TableParagraph"/>
              <w:spacing w:line="227" w:lineRule="exact"/>
              <w:ind w:left="103" w:right="85"/>
              <w:rPr>
                <w:sz w:val="20"/>
              </w:rPr>
            </w:pPr>
            <w:r>
              <w:rPr>
                <w:sz w:val="20"/>
              </w:rPr>
              <w:t>Popliteal height</w:t>
            </w:r>
          </w:p>
          <w:p>
            <w:pPr>
              <w:pStyle w:val="TableParagraph"/>
              <w:ind w:left="103" w:right="85"/>
              <w:rPr>
                <w:sz w:val="20"/>
              </w:rPr>
            </w:pPr>
            <w:r>
              <w:rPr>
                <w:sz w:val="20"/>
              </w:rPr>
              <w:t>– seat height</w:t>
            </w:r>
          </w:p>
        </w:tc>
        <w:tc>
          <w:tcPr>
            <w:tcW w:w="704" w:type="dxa"/>
          </w:tcPr>
          <w:p>
            <w:pPr>
              <w:pStyle w:val="TableParagraph"/>
              <w:spacing w:before="8"/>
              <w:rPr>
                <w:sz w:val="19"/>
              </w:rPr>
            </w:pPr>
          </w:p>
          <w:p>
            <w:pPr>
              <w:pStyle w:val="TableParagraph"/>
              <w:spacing w:before="1"/>
              <w:ind w:left="103" w:right="101"/>
              <w:jc w:val="center"/>
              <w:rPr>
                <w:sz w:val="20"/>
              </w:rPr>
            </w:pPr>
            <w:r>
              <w:rPr>
                <w:sz w:val="20"/>
              </w:rPr>
              <w:t>34.1</w:t>
            </w:r>
          </w:p>
        </w:tc>
        <w:tc>
          <w:tcPr>
            <w:tcW w:w="1039" w:type="dxa"/>
          </w:tcPr>
          <w:p>
            <w:pPr>
              <w:pStyle w:val="TableParagraph"/>
              <w:spacing w:before="8"/>
              <w:rPr>
                <w:sz w:val="19"/>
              </w:rPr>
            </w:pPr>
          </w:p>
          <w:p>
            <w:pPr>
              <w:pStyle w:val="TableParagraph"/>
              <w:spacing w:before="1"/>
              <w:ind w:left="370" w:right="367"/>
              <w:jc w:val="center"/>
              <w:rPr>
                <w:sz w:val="20"/>
              </w:rPr>
            </w:pPr>
            <w:r>
              <w:rPr>
                <w:sz w:val="20"/>
              </w:rPr>
              <w:t>6.5</w:t>
            </w:r>
          </w:p>
        </w:tc>
        <w:tc>
          <w:tcPr>
            <w:tcW w:w="666" w:type="dxa"/>
          </w:tcPr>
          <w:p>
            <w:pPr>
              <w:pStyle w:val="TableParagraph"/>
              <w:spacing w:before="8"/>
              <w:rPr>
                <w:sz w:val="19"/>
              </w:rPr>
            </w:pPr>
          </w:p>
          <w:p>
            <w:pPr>
              <w:pStyle w:val="TableParagraph"/>
              <w:spacing w:before="1"/>
              <w:ind w:left="83" w:right="82"/>
              <w:jc w:val="center"/>
              <w:rPr>
                <w:sz w:val="20"/>
              </w:rPr>
            </w:pPr>
            <w:r>
              <w:rPr>
                <w:sz w:val="20"/>
              </w:rPr>
              <w:t>27.8</w:t>
            </w:r>
          </w:p>
        </w:tc>
        <w:tc>
          <w:tcPr>
            <w:tcW w:w="666" w:type="dxa"/>
          </w:tcPr>
          <w:p>
            <w:pPr>
              <w:pStyle w:val="TableParagraph"/>
              <w:spacing w:before="8"/>
              <w:rPr>
                <w:sz w:val="19"/>
              </w:rPr>
            </w:pPr>
          </w:p>
          <w:p>
            <w:pPr>
              <w:pStyle w:val="TableParagraph"/>
              <w:spacing w:before="1"/>
              <w:ind w:left="83" w:right="82"/>
              <w:jc w:val="center"/>
              <w:rPr>
                <w:sz w:val="20"/>
              </w:rPr>
            </w:pPr>
            <w:r>
              <w:rPr>
                <w:sz w:val="20"/>
              </w:rPr>
              <w:t>31.8</w:t>
            </w:r>
          </w:p>
        </w:tc>
        <w:tc>
          <w:tcPr>
            <w:tcW w:w="666" w:type="dxa"/>
          </w:tcPr>
          <w:p>
            <w:pPr>
              <w:pStyle w:val="TableParagraph"/>
              <w:spacing w:before="8"/>
              <w:rPr>
                <w:sz w:val="19"/>
              </w:rPr>
            </w:pPr>
          </w:p>
          <w:p>
            <w:pPr>
              <w:pStyle w:val="TableParagraph"/>
              <w:spacing w:before="1"/>
              <w:ind w:left="83" w:right="82"/>
              <w:jc w:val="center"/>
              <w:rPr>
                <w:sz w:val="20"/>
              </w:rPr>
            </w:pPr>
            <w:r>
              <w:rPr>
                <w:sz w:val="20"/>
              </w:rPr>
              <w:t>47.2</w:t>
            </w:r>
          </w:p>
        </w:tc>
        <w:tc>
          <w:tcPr>
            <w:tcW w:w="1072" w:type="dxa"/>
          </w:tcPr>
          <w:p>
            <w:pPr>
              <w:pStyle w:val="TableParagraph"/>
              <w:spacing w:before="8"/>
              <w:rPr>
                <w:sz w:val="19"/>
              </w:rPr>
            </w:pPr>
          </w:p>
          <w:p>
            <w:pPr>
              <w:pStyle w:val="TableParagraph"/>
              <w:spacing w:before="1"/>
              <w:ind w:left="355"/>
              <w:rPr>
                <w:sz w:val="20"/>
              </w:rPr>
            </w:pPr>
            <w:r>
              <w:rPr>
                <w:sz w:val="20"/>
              </w:rPr>
              <w:t>27.8</w:t>
            </w:r>
          </w:p>
        </w:tc>
        <w:tc>
          <w:tcPr>
            <w:tcW w:w="1105" w:type="dxa"/>
          </w:tcPr>
          <w:p>
            <w:pPr>
              <w:pStyle w:val="TableParagraph"/>
              <w:spacing w:before="8"/>
              <w:rPr>
                <w:sz w:val="19"/>
              </w:rPr>
            </w:pPr>
          </w:p>
          <w:p>
            <w:pPr>
              <w:pStyle w:val="TableParagraph"/>
              <w:spacing w:before="1"/>
              <w:ind w:left="302" w:right="301"/>
              <w:jc w:val="center"/>
              <w:rPr>
                <w:sz w:val="20"/>
              </w:rPr>
            </w:pPr>
            <w:r>
              <w:rPr>
                <w:sz w:val="20"/>
              </w:rPr>
              <w:t>47.2</w:t>
            </w:r>
          </w:p>
        </w:tc>
      </w:tr>
      <w:tr>
        <w:trPr>
          <w:trHeight w:val="701" w:hRule="exact"/>
        </w:trPr>
        <w:tc>
          <w:tcPr>
            <w:tcW w:w="1606" w:type="dxa"/>
          </w:tcPr>
          <w:p>
            <w:pPr>
              <w:pStyle w:val="TableParagraph"/>
              <w:ind w:left="103" w:right="223"/>
              <w:rPr>
                <w:sz w:val="20"/>
              </w:rPr>
            </w:pPr>
            <w:r>
              <w:rPr>
                <w:sz w:val="20"/>
              </w:rPr>
              <w:t>Buttock to popliteal length</w:t>
            </w:r>
          </w:p>
          <w:p>
            <w:pPr>
              <w:pStyle w:val="TableParagraph"/>
              <w:ind w:left="103" w:right="85"/>
              <w:rPr>
                <w:sz w:val="20"/>
              </w:rPr>
            </w:pPr>
            <w:r>
              <w:rPr>
                <w:sz w:val="20"/>
              </w:rPr>
              <w:t>– seat depth</w:t>
            </w:r>
          </w:p>
        </w:tc>
        <w:tc>
          <w:tcPr>
            <w:tcW w:w="704" w:type="dxa"/>
          </w:tcPr>
          <w:p>
            <w:pPr>
              <w:pStyle w:val="TableParagraph"/>
              <w:rPr>
                <w:sz w:val="20"/>
              </w:rPr>
            </w:pPr>
          </w:p>
          <w:p>
            <w:pPr>
              <w:pStyle w:val="TableParagraph"/>
              <w:spacing w:before="9"/>
              <w:rPr>
                <w:sz w:val="19"/>
              </w:rPr>
            </w:pPr>
          </w:p>
          <w:p>
            <w:pPr>
              <w:pStyle w:val="TableParagraph"/>
              <w:ind w:left="102" w:right="101"/>
              <w:jc w:val="center"/>
              <w:rPr>
                <w:sz w:val="20"/>
              </w:rPr>
            </w:pPr>
            <w:r>
              <w:rPr>
                <w:sz w:val="20"/>
              </w:rPr>
              <w:t>34.2</w:t>
            </w:r>
          </w:p>
        </w:tc>
        <w:tc>
          <w:tcPr>
            <w:tcW w:w="1039" w:type="dxa"/>
          </w:tcPr>
          <w:p>
            <w:pPr>
              <w:pStyle w:val="TableParagraph"/>
              <w:rPr>
                <w:sz w:val="20"/>
              </w:rPr>
            </w:pPr>
          </w:p>
          <w:p>
            <w:pPr>
              <w:pStyle w:val="TableParagraph"/>
              <w:spacing w:before="9"/>
              <w:rPr>
                <w:sz w:val="19"/>
              </w:rPr>
            </w:pPr>
          </w:p>
          <w:p>
            <w:pPr>
              <w:pStyle w:val="TableParagraph"/>
              <w:ind w:left="369" w:right="368"/>
              <w:jc w:val="center"/>
              <w:rPr>
                <w:sz w:val="20"/>
              </w:rPr>
            </w:pPr>
            <w:r>
              <w:rPr>
                <w:sz w:val="20"/>
              </w:rPr>
              <w:t>2.1</w:t>
            </w:r>
          </w:p>
        </w:tc>
        <w:tc>
          <w:tcPr>
            <w:tcW w:w="666" w:type="dxa"/>
          </w:tcPr>
          <w:p>
            <w:pPr>
              <w:pStyle w:val="TableParagraph"/>
              <w:rPr>
                <w:sz w:val="20"/>
              </w:rPr>
            </w:pPr>
          </w:p>
          <w:p>
            <w:pPr>
              <w:pStyle w:val="TableParagraph"/>
              <w:spacing w:before="9"/>
              <w:rPr>
                <w:sz w:val="19"/>
              </w:rPr>
            </w:pPr>
          </w:p>
          <w:p>
            <w:pPr>
              <w:pStyle w:val="TableParagraph"/>
              <w:ind w:left="82" w:right="82"/>
              <w:jc w:val="center"/>
              <w:rPr>
                <w:sz w:val="20"/>
              </w:rPr>
            </w:pPr>
            <w:r>
              <w:rPr>
                <w:sz w:val="20"/>
              </w:rPr>
              <w:t>31.1</w:t>
            </w:r>
          </w:p>
        </w:tc>
        <w:tc>
          <w:tcPr>
            <w:tcW w:w="666" w:type="dxa"/>
          </w:tcPr>
          <w:p>
            <w:pPr>
              <w:pStyle w:val="TableParagraph"/>
              <w:rPr>
                <w:sz w:val="20"/>
              </w:rPr>
            </w:pPr>
          </w:p>
          <w:p>
            <w:pPr>
              <w:pStyle w:val="TableParagraph"/>
              <w:spacing w:before="9"/>
              <w:rPr>
                <w:sz w:val="19"/>
              </w:rPr>
            </w:pPr>
          </w:p>
          <w:p>
            <w:pPr>
              <w:pStyle w:val="TableParagraph"/>
              <w:ind w:left="82" w:right="82"/>
              <w:jc w:val="center"/>
              <w:rPr>
                <w:sz w:val="20"/>
              </w:rPr>
            </w:pPr>
            <w:r>
              <w:rPr>
                <w:sz w:val="20"/>
              </w:rPr>
              <w:t>34.6</w:t>
            </w:r>
          </w:p>
        </w:tc>
        <w:tc>
          <w:tcPr>
            <w:tcW w:w="666" w:type="dxa"/>
          </w:tcPr>
          <w:p>
            <w:pPr>
              <w:pStyle w:val="TableParagraph"/>
              <w:rPr>
                <w:sz w:val="20"/>
              </w:rPr>
            </w:pPr>
          </w:p>
          <w:p>
            <w:pPr>
              <w:pStyle w:val="TableParagraph"/>
              <w:spacing w:before="9"/>
              <w:rPr>
                <w:sz w:val="19"/>
              </w:rPr>
            </w:pPr>
          </w:p>
          <w:p>
            <w:pPr>
              <w:pStyle w:val="TableParagraph"/>
              <w:ind w:left="82" w:right="82"/>
              <w:jc w:val="center"/>
              <w:rPr>
                <w:sz w:val="20"/>
              </w:rPr>
            </w:pPr>
            <w:r>
              <w:rPr>
                <w:sz w:val="20"/>
              </w:rPr>
              <w:t>36.8</w:t>
            </w:r>
          </w:p>
        </w:tc>
        <w:tc>
          <w:tcPr>
            <w:tcW w:w="1072" w:type="dxa"/>
          </w:tcPr>
          <w:p>
            <w:pPr>
              <w:pStyle w:val="TableParagraph"/>
              <w:rPr>
                <w:sz w:val="20"/>
              </w:rPr>
            </w:pPr>
          </w:p>
          <w:p>
            <w:pPr>
              <w:pStyle w:val="TableParagraph"/>
              <w:spacing w:before="9"/>
              <w:rPr>
                <w:sz w:val="19"/>
              </w:rPr>
            </w:pPr>
          </w:p>
          <w:p>
            <w:pPr>
              <w:pStyle w:val="TableParagraph"/>
              <w:ind w:left="355"/>
              <w:rPr>
                <w:sz w:val="20"/>
              </w:rPr>
            </w:pPr>
            <w:r>
              <w:rPr>
                <w:sz w:val="20"/>
              </w:rPr>
              <w:t>31.1</w:t>
            </w:r>
          </w:p>
        </w:tc>
        <w:tc>
          <w:tcPr>
            <w:tcW w:w="1105" w:type="dxa"/>
          </w:tcPr>
          <w:p>
            <w:pPr>
              <w:pStyle w:val="TableParagraph"/>
              <w:rPr>
                <w:sz w:val="20"/>
              </w:rPr>
            </w:pPr>
          </w:p>
          <w:p>
            <w:pPr>
              <w:pStyle w:val="TableParagraph"/>
              <w:spacing w:before="9"/>
              <w:rPr>
                <w:sz w:val="19"/>
              </w:rPr>
            </w:pPr>
          </w:p>
          <w:p>
            <w:pPr>
              <w:pStyle w:val="TableParagraph"/>
              <w:ind w:left="301" w:right="302"/>
              <w:jc w:val="center"/>
              <w:rPr>
                <w:sz w:val="20"/>
              </w:rPr>
            </w:pPr>
            <w:r>
              <w:rPr>
                <w:sz w:val="20"/>
              </w:rPr>
              <w:t>36.8</w:t>
            </w:r>
          </w:p>
        </w:tc>
      </w:tr>
    </w:tbl>
    <w:p>
      <w:pPr>
        <w:pStyle w:val="BodyText"/>
      </w:pPr>
    </w:p>
    <w:p>
      <w:pPr>
        <w:pStyle w:val="BodyText"/>
        <w:spacing w:before="9"/>
        <w:rPr>
          <w:sz w:val="25"/>
        </w:rPr>
      </w:pPr>
    </w:p>
    <w:p>
      <w:pPr>
        <w:pStyle w:val="BodyText"/>
        <w:spacing w:before="75"/>
        <w:ind w:left="1439" w:right="6276" w:hanging="1127"/>
      </w:pPr>
      <w:r>
        <w:rPr/>
        <w:t>Table 7. Anthropometric measures in cm for 7 year-old girls from public elementary schools.</w:t>
      </w:r>
    </w:p>
    <w:p>
      <w:pPr>
        <w:pStyle w:val="BodyText"/>
      </w:pPr>
    </w:p>
    <w:p>
      <w:pPr>
        <w:pStyle w:val="BodyText"/>
        <w:spacing w:before="4"/>
      </w:pPr>
    </w:p>
    <w:tbl>
      <w:tblPr>
        <w:tblW w:w="0" w:type="auto"/>
        <w:jc w:val="left"/>
        <w:tblInd w:w="1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06"/>
        <w:gridCol w:w="704"/>
        <w:gridCol w:w="1039"/>
        <w:gridCol w:w="666"/>
        <w:gridCol w:w="666"/>
        <w:gridCol w:w="666"/>
        <w:gridCol w:w="1072"/>
        <w:gridCol w:w="1105"/>
      </w:tblGrid>
      <w:tr>
        <w:trPr>
          <w:trHeight w:val="240" w:hRule="exact"/>
        </w:trPr>
        <w:tc>
          <w:tcPr>
            <w:tcW w:w="1606" w:type="dxa"/>
            <w:vMerge w:val="restart"/>
          </w:tcPr>
          <w:p>
            <w:pPr>
              <w:pStyle w:val="TableParagraph"/>
              <w:spacing w:line="249" w:lineRule="auto"/>
              <w:ind w:left="302" w:right="85" w:hanging="200"/>
              <w:rPr>
                <w:b/>
                <w:sz w:val="20"/>
              </w:rPr>
            </w:pPr>
            <w:r>
              <w:rPr>
                <w:b/>
                <w:sz w:val="20"/>
              </w:rPr>
              <w:t>Anthropometric Dimensions</w:t>
            </w:r>
          </w:p>
        </w:tc>
        <w:tc>
          <w:tcPr>
            <w:tcW w:w="704" w:type="dxa"/>
            <w:vMerge w:val="restart"/>
          </w:tcPr>
          <w:p>
            <w:pPr>
              <w:pStyle w:val="TableParagraph"/>
              <w:spacing w:line="229" w:lineRule="exact"/>
              <w:ind w:left="103"/>
              <w:rPr>
                <w:b/>
                <w:sz w:val="20"/>
              </w:rPr>
            </w:pPr>
            <w:r>
              <w:rPr>
                <w:b/>
                <w:sz w:val="20"/>
              </w:rPr>
              <w:t>Mean</w:t>
            </w:r>
          </w:p>
        </w:tc>
        <w:tc>
          <w:tcPr>
            <w:tcW w:w="1039" w:type="dxa"/>
            <w:vMerge w:val="restart"/>
          </w:tcPr>
          <w:p>
            <w:pPr>
              <w:pStyle w:val="TableParagraph"/>
              <w:spacing w:line="249" w:lineRule="auto"/>
              <w:ind w:left="104" w:right="83" w:firstLine="10"/>
              <w:rPr>
                <w:b/>
                <w:sz w:val="20"/>
              </w:rPr>
            </w:pPr>
            <w:r>
              <w:rPr>
                <w:b/>
                <w:sz w:val="20"/>
              </w:rPr>
              <w:t>Standard Deviation</w:t>
            </w:r>
          </w:p>
        </w:tc>
        <w:tc>
          <w:tcPr>
            <w:tcW w:w="1998" w:type="dxa"/>
            <w:gridSpan w:val="3"/>
          </w:tcPr>
          <w:p>
            <w:pPr>
              <w:pStyle w:val="TableParagraph"/>
              <w:spacing w:line="229" w:lineRule="exact"/>
              <w:ind w:left="566"/>
              <w:rPr>
                <w:b/>
                <w:sz w:val="20"/>
              </w:rPr>
            </w:pPr>
            <w:r>
              <w:rPr>
                <w:b/>
                <w:sz w:val="20"/>
              </w:rPr>
              <w:t>Percentile</w:t>
            </w:r>
          </w:p>
        </w:tc>
        <w:tc>
          <w:tcPr>
            <w:tcW w:w="1072" w:type="dxa"/>
            <w:vMerge w:val="restart"/>
          </w:tcPr>
          <w:p>
            <w:pPr>
              <w:pStyle w:val="TableParagraph"/>
              <w:spacing w:line="229" w:lineRule="exact"/>
              <w:ind w:left="103"/>
              <w:rPr>
                <w:b/>
                <w:sz w:val="20"/>
              </w:rPr>
            </w:pPr>
            <w:r>
              <w:rPr>
                <w:b/>
                <w:sz w:val="20"/>
              </w:rPr>
              <w:t>Minimum</w:t>
            </w:r>
          </w:p>
        </w:tc>
        <w:tc>
          <w:tcPr>
            <w:tcW w:w="1105" w:type="dxa"/>
            <w:vMerge w:val="restart"/>
          </w:tcPr>
          <w:p>
            <w:pPr>
              <w:pStyle w:val="TableParagraph"/>
              <w:spacing w:line="229" w:lineRule="exact"/>
              <w:ind w:left="103"/>
              <w:rPr>
                <w:b/>
                <w:sz w:val="20"/>
              </w:rPr>
            </w:pPr>
            <w:r>
              <w:rPr>
                <w:b/>
                <w:sz w:val="20"/>
              </w:rPr>
              <w:t>Maximum</w:t>
            </w:r>
          </w:p>
        </w:tc>
      </w:tr>
      <w:tr>
        <w:trPr>
          <w:trHeight w:val="240" w:hRule="exact"/>
        </w:trPr>
        <w:tc>
          <w:tcPr>
            <w:tcW w:w="1606" w:type="dxa"/>
            <w:vMerge/>
          </w:tcPr>
          <w:p>
            <w:pPr/>
          </w:p>
        </w:tc>
        <w:tc>
          <w:tcPr>
            <w:tcW w:w="704" w:type="dxa"/>
            <w:vMerge/>
          </w:tcPr>
          <w:p>
            <w:pPr/>
          </w:p>
        </w:tc>
        <w:tc>
          <w:tcPr>
            <w:tcW w:w="1039" w:type="dxa"/>
            <w:vMerge/>
          </w:tcPr>
          <w:p>
            <w:pPr/>
          </w:p>
        </w:tc>
        <w:tc>
          <w:tcPr>
            <w:tcW w:w="666" w:type="dxa"/>
          </w:tcPr>
          <w:p>
            <w:pPr>
              <w:pStyle w:val="TableParagraph"/>
              <w:spacing w:line="229" w:lineRule="exact"/>
              <w:ind w:left="2"/>
              <w:jc w:val="center"/>
              <w:rPr>
                <w:b/>
                <w:sz w:val="20"/>
              </w:rPr>
            </w:pPr>
            <w:r>
              <w:rPr>
                <w:b/>
                <w:w w:val="100"/>
                <w:sz w:val="20"/>
              </w:rPr>
              <w:t>5</w:t>
            </w:r>
          </w:p>
        </w:tc>
        <w:tc>
          <w:tcPr>
            <w:tcW w:w="666" w:type="dxa"/>
          </w:tcPr>
          <w:p>
            <w:pPr>
              <w:pStyle w:val="TableParagraph"/>
              <w:spacing w:line="229" w:lineRule="exact"/>
              <w:ind w:left="83" w:right="81"/>
              <w:jc w:val="center"/>
              <w:rPr>
                <w:b/>
                <w:sz w:val="20"/>
              </w:rPr>
            </w:pPr>
            <w:r>
              <w:rPr>
                <w:b/>
                <w:sz w:val="20"/>
              </w:rPr>
              <w:t>50</w:t>
            </w:r>
          </w:p>
        </w:tc>
        <w:tc>
          <w:tcPr>
            <w:tcW w:w="666" w:type="dxa"/>
          </w:tcPr>
          <w:p>
            <w:pPr>
              <w:pStyle w:val="TableParagraph"/>
              <w:spacing w:line="229" w:lineRule="exact"/>
              <w:ind w:left="83" w:right="81"/>
              <w:jc w:val="center"/>
              <w:rPr>
                <w:b/>
                <w:sz w:val="20"/>
              </w:rPr>
            </w:pPr>
            <w:r>
              <w:rPr>
                <w:b/>
                <w:sz w:val="20"/>
              </w:rPr>
              <w:t>95</w:t>
            </w:r>
          </w:p>
        </w:tc>
        <w:tc>
          <w:tcPr>
            <w:tcW w:w="1072" w:type="dxa"/>
            <w:vMerge/>
          </w:tcPr>
          <w:p>
            <w:pPr/>
          </w:p>
        </w:tc>
        <w:tc>
          <w:tcPr>
            <w:tcW w:w="1105" w:type="dxa"/>
            <w:vMerge/>
          </w:tcPr>
          <w:p>
            <w:pPr/>
          </w:p>
        </w:tc>
      </w:tr>
      <w:tr>
        <w:trPr>
          <w:trHeight w:val="469" w:hRule="exact"/>
        </w:trPr>
        <w:tc>
          <w:tcPr>
            <w:tcW w:w="1606" w:type="dxa"/>
          </w:tcPr>
          <w:p>
            <w:pPr>
              <w:pStyle w:val="TableParagraph"/>
              <w:ind w:left="103" w:right="539"/>
              <w:rPr>
                <w:sz w:val="20"/>
              </w:rPr>
            </w:pPr>
            <w:r>
              <w:rPr>
                <w:sz w:val="20"/>
              </w:rPr>
              <w:t>Weight (kilograms)</w:t>
            </w:r>
          </w:p>
        </w:tc>
        <w:tc>
          <w:tcPr>
            <w:tcW w:w="704" w:type="dxa"/>
          </w:tcPr>
          <w:p>
            <w:pPr>
              <w:pStyle w:val="TableParagraph"/>
              <w:spacing w:before="8"/>
              <w:rPr>
                <w:sz w:val="19"/>
              </w:rPr>
            </w:pPr>
          </w:p>
          <w:p>
            <w:pPr>
              <w:pStyle w:val="TableParagraph"/>
              <w:ind w:left="172"/>
              <w:rPr>
                <w:sz w:val="20"/>
              </w:rPr>
            </w:pPr>
            <w:r>
              <w:rPr>
                <w:sz w:val="20"/>
              </w:rPr>
              <w:t>33.7</w:t>
            </w:r>
          </w:p>
        </w:tc>
        <w:tc>
          <w:tcPr>
            <w:tcW w:w="1039" w:type="dxa"/>
          </w:tcPr>
          <w:p>
            <w:pPr>
              <w:pStyle w:val="TableParagraph"/>
              <w:spacing w:before="8"/>
              <w:rPr>
                <w:sz w:val="19"/>
              </w:rPr>
            </w:pPr>
          </w:p>
          <w:p>
            <w:pPr>
              <w:pStyle w:val="TableParagraph"/>
              <w:ind w:right="336"/>
              <w:jc w:val="right"/>
              <w:rPr>
                <w:sz w:val="20"/>
              </w:rPr>
            </w:pPr>
            <w:r>
              <w:rPr>
                <w:sz w:val="20"/>
              </w:rPr>
              <w:t>13.3</w:t>
            </w:r>
          </w:p>
        </w:tc>
        <w:tc>
          <w:tcPr>
            <w:tcW w:w="666" w:type="dxa"/>
          </w:tcPr>
          <w:p>
            <w:pPr>
              <w:pStyle w:val="TableParagraph"/>
              <w:spacing w:before="8"/>
              <w:rPr>
                <w:sz w:val="19"/>
              </w:rPr>
            </w:pPr>
          </w:p>
          <w:p>
            <w:pPr>
              <w:pStyle w:val="TableParagraph"/>
              <w:ind w:left="82" w:right="82"/>
              <w:jc w:val="center"/>
              <w:rPr>
                <w:sz w:val="20"/>
              </w:rPr>
            </w:pPr>
            <w:r>
              <w:rPr>
                <w:sz w:val="20"/>
              </w:rPr>
              <w:t>22.0</w:t>
            </w:r>
          </w:p>
        </w:tc>
        <w:tc>
          <w:tcPr>
            <w:tcW w:w="666" w:type="dxa"/>
          </w:tcPr>
          <w:p>
            <w:pPr>
              <w:pStyle w:val="TableParagraph"/>
              <w:spacing w:before="8"/>
              <w:rPr>
                <w:sz w:val="19"/>
              </w:rPr>
            </w:pPr>
          </w:p>
          <w:p>
            <w:pPr>
              <w:pStyle w:val="TableParagraph"/>
              <w:ind w:left="82" w:right="82"/>
              <w:jc w:val="center"/>
              <w:rPr>
                <w:sz w:val="20"/>
              </w:rPr>
            </w:pPr>
            <w:r>
              <w:rPr>
                <w:sz w:val="20"/>
              </w:rPr>
              <w:t>26.5</w:t>
            </w:r>
          </w:p>
        </w:tc>
        <w:tc>
          <w:tcPr>
            <w:tcW w:w="666" w:type="dxa"/>
          </w:tcPr>
          <w:p>
            <w:pPr>
              <w:pStyle w:val="TableParagraph"/>
              <w:spacing w:before="8"/>
              <w:rPr>
                <w:sz w:val="19"/>
              </w:rPr>
            </w:pPr>
          </w:p>
          <w:p>
            <w:pPr>
              <w:pStyle w:val="TableParagraph"/>
              <w:ind w:left="82" w:right="82"/>
              <w:jc w:val="center"/>
              <w:rPr>
                <w:sz w:val="20"/>
              </w:rPr>
            </w:pPr>
            <w:r>
              <w:rPr>
                <w:sz w:val="20"/>
              </w:rPr>
              <w:t>58.7</w:t>
            </w:r>
          </w:p>
        </w:tc>
        <w:tc>
          <w:tcPr>
            <w:tcW w:w="1072" w:type="dxa"/>
          </w:tcPr>
          <w:p>
            <w:pPr>
              <w:pStyle w:val="TableParagraph"/>
              <w:spacing w:before="8"/>
              <w:rPr>
                <w:sz w:val="19"/>
              </w:rPr>
            </w:pPr>
          </w:p>
          <w:p>
            <w:pPr>
              <w:pStyle w:val="TableParagraph"/>
              <w:ind w:left="285" w:right="285"/>
              <w:jc w:val="center"/>
              <w:rPr>
                <w:sz w:val="20"/>
              </w:rPr>
            </w:pPr>
            <w:r>
              <w:rPr>
                <w:sz w:val="20"/>
              </w:rPr>
              <w:t>22.0</w:t>
            </w:r>
          </w:p>
        </w:tc>
        <w:tc>
          <w:tcPr>
            <w:tcW w:w="1105" w:type="dxa"/>
          </w:tcPr>
          <w:p>
            <w:pPr>
              <w:pStyle w:val="TableParagraph"/>
              <w:spacing w:before="8"/>
              <w:rPr>
                <w:sz w:val="19"/>
              </w:rPr>
            </w:pPr>
          </w:p>
          <w:p>
            <w:pPr>
              <w:pStyle w:val="TableParagraph"/>
              <w:ind w:right="370"/>
              <w:jc w:val="right"/>
              <w:rPr>
                <w:sz w:val="20"/>
              </w:rPr>
            </w:pPr>
            <w:r>
              <w:rPr>
                <w:sz w:val="20"/>
              </w:rPr>
              <w:t>58.7</w:t>
            </w:r>
          </w:p>
        </w:tc>
      </w:tr>
      <w:tr>
        <w:trPr>
          <w:trHeight w:val="240" w:hRule="exact"/>
        </w:trPr>
        <w:tc>
          <w:tcPr>
            <w:tcW w:w="1606" w:type="dxa"/>
          </w:tcPr>
          <w:p>
            <w:pPr>
              <w:pStyle w:val="TableParagraph"/>
              <w:spacing w:line="228" w:lineRule="exact"/>
              <w:ind w:left="103" w:right="85"/>
              <w:rPr>
                <w:sz w:val="20"/>
              </w:rPr>
            </w:pPr>
            <w:r>
              <w:rPr>
                <w:sz w:val="20"/>
              </w:rPr>
              <w:t>Stature</w:t>
            </w:r>
          </w:p>
        </w:tc>
        <w:tc>
          <w:tcPr>
            <w:tcW w:w="704" w:type="dxa"/>
          </w:tcPr>
          <w:p>
            <w:pPr>
              <w:pStyle w:val="TableParagraph"/>
              <w:spacing w:line="228" w:lineRule="exact"/>
              <w:ind w:left="123"/>
              <w:rPr>
                <w:sz w:val="20"/>
              </w:rPr>
            </w:pPr>
            <w:r>
              <w:rPr>
                <w:sz w:val="20"/>
              </w:rPr>
              <w:t>131.2</w:t>
            </w:r>
          </w:p>
        </w:tc>
        <w:tc>
          <w:tcPr>
            <w:tcW w:w="1039" w:type="dxa"/>
          </w:tcPr>
          <w:p>
            <w:pPr>
              <w:pStyle w:val="TableParagraph"/>
              <w:spacing w:line="228" w:lineRule="exact"/>
              <w:ind w:right="386"/>
              <w:jc w:val="right"/>
              <w:rPr>
                <w:sz w:val="20"/>
              </w:rPr>
            </w:pPr>
            <w:r>
              <w:rPr>
                <w:sz w:val="20"/>
              </w:rPr>
              <w:t>8.7</w:t>
            </w:r>
          </w:p>
        </w:tc>
        <w:tc>
          <w:tcPr>
            <w:tcW w:w="666" w:type="dxa"/>
          </w:tcPr>
          <w:p>
            <w:pPr>
              <w:pStyle w:val="TableParagraph"/>
              <w:spacing w:line="228" w:lineRule="exact"/>
              <w:ind w:left="83" w:right="82"/>
              <w:jc w:val="center"/>
              <w:rPr>
                <w:sz w:val="20"/>
              </w:rPr>
            </w:pPr>
            <w:r>
              <w:rPr>
                <w:sz w:val="20"/>
              </w:rPr>
              <w:t>120.6</w:t>
            </w:r>
          </w:p>
        </w:tc>
        <w:tc>
          <w:tcPr>
            <w:tcW w:w="666" w:type="dxa"/>
          </w:tcPr>
          <w:p>
            <w:pPr>
              <w:pStyle w:val="TableParagraph"/>
              <w:spacing w:line="228" w:lineRule="exact"/>
              <w:ind w:left="83" w:right="82"/>
              <w:jc w:val="center"/>
              <w:rPr>
                <w:sz w:val="20"/>
              </w:rPr>
            </w:pPr>
            <w:r>
              <w:rPr>
                <w:sz w:val="20"/>
              </w:rPr>
              <w:t>131.1</w:t>
            </w:r>
          </w:p>
        </w:tc>
        <w:tc>
          <w:tcPr>
            <w:tcW w:w="666" w:type="dxa"/>
          </w:tcPr>
          <w:p>
            <w:pPr>
              <w:pStyle w:val="TableParagraph"/>
              <w:spacing w:line="228" w:lineRule="exact"/>
              <w:ind w:left="83" w:right="82"/>
              <w:jc w:val="center"/>
              <w:rPr>
                <w:sz w:val="20"/>
              </w:rPr>
            </w:pPr>
            <w:r>
              <w:rPr>
                <w:sz w:val="20"/>
              </w:rPr>
              <w:t>145.8</w:t>
            </w:r>
          </w:p>
        </w:tc>
        <w:tc>
          <w:tcPr>
            <w:tcW w:w="1072" w:type="dxa"/>
          </w:tcPr>
          <w:p>
            <w:pPr>
              <w:pStyle w:val="TableParagraph"/>
              <w:spacing w:line="228" w:lineRule="exact"/>
              <w:ind w:left="285" w:right="285"/>
              <w:jc w:val="center"/>
              <w:rPr>
                <w:sz w:val="20"/>
              </w:rPr>
            </w:pPr>
            <w:r>
              <w:rPr>
                <w:sz w:val="20"/>
              </w:rPr>
              <w:t>120.6</w:t>
            </w:r>
          </w:p>
        </w:tc>
        <w:tc>
          <w:tcPr>
            <w:tcW w:w="1105" w:type="dxa"/>
          </w:tcPr>
          <w:p>
            <w:pPr>
              <w:pStyle w:val="TableParagraph"/>
              <w:spacing w:line="228" w:lineRule="exact"/>
              <w:ind w:right="320"/>
              <w:jc w:val="right"/>
              <w:rPr>
                <w:sz w:val="20"/>
              </w:rPr>
            </w:pPr>
            <w:r>
              <w:rPr>
                <w:sz w:val="20"/>
              </w:rPr>
              <w:t>145.8</w:t>
            </w:r>
          </w:p>
        </w:tc>
      </w:tr>
      <w:tr>
        <w:trPr>
          <w:trHeight w:val="701" w:hRule="exact"/>
        </w:trPr>
        <w:tc>
          <w:tcPr>
            <w:tcW w:w="1606" w:type="dxa"/>
          </w:tcPr>
          <w:p>
            <w:pPr>
              <w:pStyle w:val="TableParagraph"/>
              <w:ind w:left="103" w:right="400"/>
              <w:jc w:val="both"/>
              <w:rPr>
                <w:sz w:val="20"/>
              </w:rPr>
            </w:pPr>
            <w:r>
              <w:rPr>
                <w:sz w:val="20"/>
              </w:rPr>
              <w:t>Elbow height sitting – table height</w:t>
            </w:r>
          </w:p>
        </w:tc>
        <w:tc>
          <w:tcPr>
            <w:tcW w:w="704" w:type="dxa"/>
          </w:tcPr>
          <w:p>
            <w:pPr>
              <w:pStyle w:val="TableParagraph"/>
              <w:rPr>
                <w:sz w:val="20"/>
              </w:rPr>
            </w:pPr>
          </w:p>
          <w:p>
            <w:pPr>
              <w:pStyle w:val="TableParagraph"/>
              <w:spacing w:before="9"/>
              <w:rPr>
                <w:sz w:val="19"/>
              </w:rPr>
            </w:pPr>
          </w:p>
          <w:p>
            <w:pPr>
              <w:pStyle w:val="TableParagraph"/>
              <w:ind w:left="171"/>
              <w:rPr>
                <w:sz w:val="20"/>
              </w:rPr>
            </w:pPr>
            <w:r>
              <w:rPr>
                <w:sz w:val="20"/>
              </w:rPr>
              <w:t>17.5</w:t>
            </w:r>
          </w:p>
        </w:tc>
        <w:tc>
          <w:tcPr>
            <w:tcW w:w="1039" w:type="dxa"/>
          </w:tcPr>
          <w:p>
            <w:pPr>
              <w:pStyle w:val="TableParagraph"/>
              <w:rPr>
                <w:sz w:val="20"/>
              </w:rPr>
            </w:pPr>
          </w:p>
          <w:p>
            <w:pPr>
              <w:pStyle w:val="TableParagraph"/>
              <w:spacing w:before="9"/>
              <w:rPr>
                <w:sz w:val="19"/>
              </w:rPr>
            </w:pPr>
          </w:p>
          <w:p>
            <w:pPr>
              <w:pStyle w:val="TableParagraph"/>
              <w:ind w:right="387"/>
              <w:jc w:val="right"/>
              <w:rPr>
                <w:sz w:val="20"/>
              </w:rPr>
            </w:pPr>
            <w:r>
              <w:rPr>
                <w:sz w:val="20"/>
              </w:rPr>
              <w:t>3.2</w:t>
            </w:r>
          </w:p>
        </w:tc>
        <w:tc>
          <w:tcPr>
            <w:tcW w:w="666" w:type="dxa"/>
          </w:tcPr>
          <w:p>
            <w:pPr>
              <w:pStyle w:val="TableParagraph"/>
              <w:rPr>
                <w:sz w:val="20"/>
              </w:rPr>
            </w:pPr>
          </w:p>
          <w:p>
            <w:pPr>
              <w:pStyle w:val="TableParagraph"/>
              <w:spacing w:before="9"/>
              <w:rPr>
                <w:sz w:val="19"/>
              </w:rPr>
            </w:pPr>
          </w:p>
          <w:p>
            <w:pPr>
              <w:pStyle w:val="TableParagraph"/>
              <w:ind w:left="82" w:right="82"/>
              <w:jc w:val="center"/>
              <w:rPr>
                <w:sz w:val="20"/>
              </w:rPr>
            </w:pPr>
            <w:r>
              <w:rPr>
                <w:sz w:val="20"/>
              </w:rPr>
              <w:t>13.2</w:t>
            </w:r>
          </w:p>
        </w:tc>
        <w:tc>
          <w:tcPr>
            <w:tcW w:w="666" w:type="dxa"/>
          </w:tcPr>
          <w:p>
            <w:pPr>
              <w:pStyle w:val="TableParagraph"/>
              <w:rPr>
                <w:sz w:val="20"/>
              </w:rPr>
            </w:pPr>
          </w:p>
          <w:p>
            <w:pPr>
              <w:pStyle w:val="TableParagraph"/>
              <w:spacing w:before="9"/>
              <w:rPr>
                <w:sz w:val="19"/>
              </w:rPr>
            </w:pPr>
          </w:p>
          <w:p>
            <w:pPr>
              <w:pStyle w:val="TableParagraph"/>
              <w:ind w:left="82" w:right="82"/>
              <w:jc w:val="center"/>
              <w:rPr>
                <w:sz w:val="20"/>
              </w:rPr>
            </w:pPr>
            <w:r>
              <w:rPr>
                <w:sz w:val="20"/>
              </w:rPr>
              <w:t>18.3</w:t>
            </w:r>
          </w:p>
        </w:tc>
        <w:tc>
          <w:tcPr>
            <w:tcW w:w="666" w:type="dxa"/>
          </w:tcPr>
          <w:p>
            <w:pPr>
              <w:pStyle w:val="TableParagraph"/>
              <w:rPr>
                <w:sz w:val="20"/>
              </w:rPr>
            </w:pPr>
          </w:p>
          <w:p>
            <w:pPr>
              <w:pStyle w:val="TableParagraph"/>
              <w:spacing w:before="9"/>
              <w:rPr>
                <w:sz w:val="19"/>
              </w:rPr>
            </w:pPr>
          </w:p>
          <w:p>
            <w:pPr>
              <w:pStyle w:val="TableParagraph"/>
              <w:ind w:left="82" w:right="82"/>
              <w:jc w:val="center"/>
              <w:rPr>
                <w:sz w:val="20"/>
              </w:rPr>
            </w:pPr>
            <w:r>
              <w:rPr>
                <w:sz w:val="20"/>
              </w:rPr>
              <w:t>21.2</w:t>
            </w:r>
          </w:p>
        </w:tc>
        <w:tc>
          <w:tcPr>
            <w:tcW w:w="1072" w:type="dxa"/>
          </w:tcPr>
          <w:p>
            <w:pPr>
              <w:pStyle w:val="TableParagraph"/>
              <w:rPr>
                <w:sz w:val="20"/>
              </w:rPr>
            </w:pPr>
          </w:p>
          <w:p>
            <w:pPr>
              <w:pStyle w:val="TableParagraph"/>
              <w:spacing w:before="9"/>
              <w:rPr>
                <w:sz w:val="19"/>
              </w:rPr>
            </w:pPr>
          </w:p>
          <w:p>
            <w:pPr>
              <w:pStyle w:val="TableParagraph"/>
              <w:ind w:left="285" w:right="285"/>
              <w:jc w:val="center"/>
              <w:rPr>
                <w:sz w:val="20"/>
              </w:rPr>
            </w:pPr>
            <w:r>
              <w:rPr>
                <w:sz w:val="20"/>
              </w:rPr>
              <w:t>13.2</w:t>
            </w:r>
          </w:p>
        </w:tc>
        <w:tc>
          <w:tcPr>
            <w:tcW w:w="1105" w:type="dxa"/>
          </w:tcPr>
          <w:p>
            <w:pPr>
              <w:pStyle w:val="TableParagraph"/>
              <w:rPr>
                <w:sz w:val="20"/>
              </w:rPr>
            </w:pPr>
          </w:p>
          <w:p>
            <w:pPr>
              <w:pStyle w:val="TableParagraph"/>
              <w:spacing w:before="9"/>
              <w:rPr>
                <w:sz w:val="19"/>
              </w:rPr>
            </w:pPr>
          </w:p>
          <w:p>
            <w:pPr>
              <w:pStyle w:val="TableParagraph"/>
              <w:ind w:right="369"/>
              <w:jc w:val="right"/>
              <w:rPr>
                <w:sz w:val="20"/>
              </w:rPr>
            </w:pPr>
            <w:r>
              <w:rPr>
                <w:sz w:val="20"/>
              </w:rPr>
              <w:t>21.2</w:t>
            </w:r>
          </w:p>
        </w:tc>
      </w:tr>
      <w:tr>
        <w:trPr>
          <w:trHeight w:val="469" w:hRule="exact"/>
        </w:trPr>
        <w:tc>
          <w:tcPr>
            <w:tcW w:w="1606" w:type="dxa"/>
          </w:tcPr>
          <w:p>
            <w:pPr>
              <w:pStyle w:val="TableParagraph"/>
              <w:spacing w:line="227" w:lineRule="exact"/>
              <w:ind w:left="103" w:right="85"/>
              <w:rPr>
                <w:sz w:val="20"/>
              </w:rPr>
            </w:pPr>
            <w:r>
              <w:rPr>
                <w:sz w:val="20"/>
              </w:rPr>
              <w:t>Popliteal height</w:t>
            </w:r>
          </w:p>
          <w:p>
            <w:pPr>
              <w:pStyle w:val="TableParagraph"/>
              <w:ind w:left="103" w:right="85"/>
              <w:rPr>
                <w:sz w:val="20"/>
              </w:rPr>
            </w:pPr>
            <w:r>
              <w:rPr>
                <w:sz w:val="20"/>
              </w:rPr>
              <w:t>– seat height</w:t>
            </w:r>
          </w:p>
        </w:tc>
        <w:tc>
          <w:tcPr>
            <w:tcW w:w="704" w:type="dxa"/>
          </w:tcPr>
          <w:p>
            <w:pPr>
              <w:pStyle w:val="TableParagraph"/>
              <w:spacing w:before="8"/>
              <w:rPr>
                <w:sz w:val="19"/>
              </w:rPr>
            </w:pPr>
          </w:p>
          <w:p>
            <w:pPr>
              <w:pStyle w:val="TableParagraph"/>
              <w:ind w:left="173"/>
              <w:rPr>
                <w:sz w:val="20"/>
              </w:rPr>
            </w:pPr>
            <w:r>
              <w:rPr>
                <w:sz w:val="20"/>
              </w:rPr>
              <w:t>33.7</w:t>
            </w:r>
          </w:p>
        </w:tc>
        <w:tc>
          <w:tcPr>
            <w:tcW w:w="1039" w:type="dxa"/>
          </w:tcPr>
          <w:p>
            <w:pPr>
              <w:pStyle w:val="TableParagraph"/>
              <w:spacing w:before="8"/>
              <w:rPr>
                <w:sz w:val="19"/>
              </w:rPr>
            </w:pPr>
          </w:p>
          <w:p>
            <w:pPr>
              <w:pStyle w:val="TableParagraph"/>
              <w:ind w:right="386"/>
              <w:jc w:val="right"/>
              <w:rPr>
                <w:sz w:val="20"/>
              </w:rPr>
            </w:pPr>
            <w:r>
              <w:rPr>
                <w:sz w:val="20"/>
              </w:rPr>
              <w:t>5.2</w:t>
            </w:r>
          </w:p>
        </w:tc>
        <w:tc>
          <w:tcPr>
            <w:tcW w:w="666" w:type="dxa"/>
          </w:tcPr>
          <w:p>
            <w:pPr>
              <w:pStyle w:val="TableParagraph"/>
              <w:spacing w:before="8"/>
              <w:rPr>
                <w:sz w:val="19"/>
              </w:rPr>
            </w:pPr>
          </w:p>
          <w:p>
            <w:pPr>
              <w:pStyle w:val="TableParagraph"/>
              <w:ind w:left="83" w:right="82"/>
              <w:jc w:val="center"/>
              <w:rPr>
                <w:sz w:val="20"/>
              </w:rPr>
            </w:pPr>
            <w:r>
              <w:rPr>
                <w:sz w:val="20"/>
              </w:rPr>
              <w:t>28.9</w:t>
            </w:r>
          </w:p>
        </w:tc>
        <w:tc>
          <w:tcPr>
            <w:tcW w:w="666" w:type="dxa"/>
          </w:tcPr>
          <w:p>
            <w:pPr>
              <w:pStyle w:val="TableParagraph"/>
              <w:spacing w:before="8"/>
              <w:rPr>
                <w:sz w:val="19"/>
              </w:rPr>
            </w:pPr>
          </w:p>
          <w:p>
            <w:pPr>
              <w:pStyle w:val="TableParagraph"/>
              <w:ind w:left="83" w:right="82"/>
              <w:jc w:val="center"/>
              <w:rPr>
                <w:sz w:val="20"/>
              </w:rPr>
            </w:pPr>
            <w:r>
              <w:rPr>
                <w:sz w:val="20"/>
              </w:rPr>
              <w:t>30.1</w:t>
            </w:r>
          </w:p>
        </w:tc>
        <w:tc>
          <w:tcPr>
            <w:tcW w:w="666" w:type="dxa"/>
          </w:tcPr>
          <w:p>
            <w:pPr>
              <w:pStyle w:val="TableParagraph"/>
              <w:spacing w:before="8"/>
              <w:rPr>
                <w:sz w:val="19"/>
              </w:rPr>
            </w:pPr>
          </w:p>
          <w:p>
            <w:pPr>
              <w:pStyle w:val="TableParagraph"/>
              <w:ind w:left="83" w:right="82"/>
              <w:jc w:val="center"/>
              <w:rPr>
                <w:sz w:val="20"/>
              </w:rPr>
            </w:pPr>
            <w:r>
              <w:rPr>
                <w:sz w:val="20"/>
              </w:rPr>
              <w:t>41.2</w:t>
            </w:r>
          </w:p>
        </w:tc>
        <w:tc>
          <w:tcPr>
            <w:tcW w:w="1072" w:type="dxa"/>
          </w:tcPr>
          <w:p>
            <w:pPr>
              <w:pStyle w:val="TableParagraph"/>
              <w:spacing w:before="8"/>
              <w:rPr>
                <w:sz w:val="19"/>
              </w:rPr>
            </w:pPr>
          </w:p>
          <w:p>
            <w:pPr>
              <w:pStyle w:val="TableParagraph"/>
              <w:ind w:left="286" w:right="285"/>
              <w:jc w:val="center"/>
              <w:rPr>
                <w:sz w:val="20"/>
              </w:rPr>
            </w:pPr>
            <w:r>
              <w:rPr>
                <w:sz w:val="20"/>
              </w:rPr>
              <w:t>28.9</w:t>
            </w:r>
          </w:p>
        </w:tc>
        <w:tc>
          <w:tcPr>
            <w:tcW w:w="1105" w:type="dxa"/>
          </w:tcPr>
          <w:p>
            <w:pPr>
              <w:pStyle w:val="TableParagraph"/>
              <w:spacing w:before="8"/>
              <w:rPr>
                <w:sz w:val="19"/>
              </w:rPr>
            </w:pPr>
          </w:p>
          <w:p>
            <w:pPr>
              <w:pStyle w:val="TableParagraph"/>
              <w:ind w:right="369"/>
              <w:jc w:val="right"/>
              <w:rPr>
                <w:sz w:val="20"/>
              </w:rPr>
            </w:pPr>
            <w:r>
              <w:rPr>
                <w:sz w:val="20"/>
              </w:rPr>
              <w:t>41.2</w:t>
            </w:r>
          </w:p>
        </w:tc>
      </w:tr>
      <w:tr>
        <w:trPr>
          <w:trHeight w:val="701" w:hRule="exact"/>
        </w:trPr>
        <w:tc>
          <w:tcPr>
            <w:tcW w:w="1606" w:type="dxa"/>
          </w:tcPr>
          <w:p>
            <w:pPr>
              <w:pStyle w:val="TableParagraph"/>
              <w:ind w:left="103" w:right="223"/>
              <w:rPr>
                <w:sz w:val="20"/>
              </w:rPr>
            </w:pPr>
            <w:r>
              <w:rPr>
                <w:sz w:val="20"/>
              </w:rPr>
              <w:t>Buttock to popliteal length</w:t>
            </w:r>
          </w:p>
          <w:p>
            <w:pPr>
              <w:pStyle w:val="TableParagraph"/>
              <w:ind w:left="103" w:right="85"/>
              <w:rPr>
                <w:sz w:val="20"/>
              </w:rPr>
            </w:pPr>
            <w:r>
              <w:rPr>
                <w:sz w:val="20"/>
              </w:rPr>
              <w:t>– seat depth</w:t>
            </w:r>
          </w:p>
        </w:tc>
        <w:tc>
          <w:tcPr>
            <w:tcW w:w="704" w:type="dxa"/>
          </w:tcPr>
          <w:p>
            <w:pPr>
              <w:pStyle w:val="TableParagraph"/>
              <w:rPr>
                <w:sz w:val="20"/>
              </w:rPr>
            </w:pPr>
          </w:p>
          <w:p>
            <w:pPr>
              <w:pStyle w:val="TableParagraph"/>
              <w:spacing w:before="9"/>
              <w:rPr>
                <w:sz w:val="19"/>
              </w:rPr>
            </w:pPr>
          </w:p>
          <w:p>
            <w:pPr>
              <w:pStyle w:val="TableParagraph"/>
              <w:ind w:left="172"/>
              <w:rPr>
                <w:sz w:val="20"/>
              </w:rPr>
            </w:pPr>
            <w:r>
              <w:rPr>
                <w:sz w:val="20"/>
              </w:rPr>
              <w:t>39.3</w:t>
            </w:r>
          </w:p>
        </w:tc>
        <w:tc>
          <w:tcPr>
            <w:tcW w:w="1039" w:type="dxa"/>
          </w:tcPr>
          <w:p>
            <w:pPr>
              <w:pStyle w:val="TableParagraph"/>
              <w:rPr>
                <w:sz w:val="20"/>
              </w:rPr>
            </w:pPr>
          </w:p>
          <w:p>
            <w:pPr>
              <w:pStyle w:val="TableParagraph"/>
              <w:spacing w:before="9"/>
              <w:rPr>
                <w:sz w:val="19"/>
              </w:rPr>
            </w:pPr>
          </w:p>
          <w:p>
            <w:pPr>
              <w:pStyle w:val="TableParagraph"/>
              <w:ind w:right="387"/>
              <w:jc w:val="right"/>
              <w:rPr>
                <w:sz w:val="20"/>
              </w:rPr>
            </w:pPr>
            <w:r>
              <w:rPr>
                <w:sz w:val="20"/>
              </w:rPr>
              <w:t>3.3</w:t>
            </w:r>
          </w:p>
        </w:tc>
        <w:tc>
          <w:tcPr>
            <w:tcW w:w="666" w:type="dxa"/>
          </w:tcPr>
          <w:p>
            <w:pPr>
              <w:pStyle w:val="TableParagraph"/>
              <w:rPr>
                <w:sz w:val="20"/>
              </w:rPr>
            </w:pPr>
          </w:p>
          <w:p>
            <w:pPr>
              <w:pStyle w:val="TableParagraph"/>
              <w:spacing w:before="9"/>
              <w:rPr>
                <w:sz w:val="19"/>
              </w:rPr>
            </w:pPr>
          </w:p>
          <w:p>
            <w:pPr>
              <w:pStyle w:val="TableParagraph"/>
              <w:ind w:left="82" w:right="82"/>
              <w:jc w:val="center"/>
              <w:rPr>
                <w:sz w:val="20"/>
              </w:rPr>
            </w:pPr>
            <w:r>
              <w:rPr>
                <w:sz w:val="20"/>
              </w:rPr>
              <w:t>36.4</w:t>
            </w:r>
          </w:p>
        </w:tc>
        <w:tc>
          <w:tcPr>
            <w:tcW w:w="666" w:type="dxa"/>
          </w:tcPr>
          <w:p>
            <w:pPr>
              <w:pStyle w:val="TableParagraph"/>
              <w:rPr>
                <w:sz w:val="20"/>
              </w:rPr>
            </w:pPr>
          </w:p>
          <w:p>
            <w:pPr>
              <w:pStyle w:val="TableParagraph"/>
              <w:spacing w:before="9"/>
              <w:rPr>
                <w:sz w:val="19"/>
              </w:rPr>
            </w:pPr>
          </w:p>
          <w:p>
            <w:pPr>
              <w:pStyle w:val="TableParagraph"/>
              <w:ind w:left="82" w:right="82"/>
              <w:jc w:val="center"/>
              <w:rPr>
                <w:sz w:val="20"/>
              </w:rPr>
            </w:pPr>
            <w:r>
              <w:rPr>
                <w:sz w:val="20"/>
              </w:rPr>
              <w:t>38.2</w:t>
            </w:r>
          </w:p>
        </w:tc>
        <w:tc>
          <w:tcPr>
            <w:tcW w:w="666" w:type="dxa"/>
          </w:tcPr>
          <w:p>
            <w:pPr>
              <w:pStyle w:val="TableParagraph"/>
              <w:rPr>
                <w:sz w:val="20"/>
              </w:rPr>
            </w:pPr>
          </w:p>
          <w:p>
            <w:pPr>
              <w:pStyle w:val="TableParagraph"/>
              <w:spacing w:before="9"/>
              <w:rPr>
                <w:sz w:val="19"/>
              </w:rPr>
            </w:pPr>
          </w:p>
          <w:p>
            <w:pPr>
              <w:pStyle w:val="TableParagraph"/>
              <w:ind w:left="82" w:right="82"/>
              <w:jc w:val="center"/>
              <w:rPr>
                <w:sz w:val="20"/>
              </w:rPr>
            </w:pPr>
            <w:r>
              <w:rPr>
                <w:sz w:val="20"/>
              </w:rPr>
              <w:t>45.6</w:t>
            </w:r>
          </w:p>
        </w:tc>
        <w:tc>
          <w:tcPr>
            <w:tcW w:w="1072" w:type="dxa"/>
          </w:tcPr>
          <w:p>
            <w:pPr>
              <w:pStyle w:val="TableParagraph"/>
              <w:rPr>
                <w:sz w:val="20"/>
              </w:rPr>
            </w:pPr>
          </w:p>
          <w:p>
            <w:pPr>
              <w:pStyle w:val="TableParagraph"/>
              <w:spacing w:before="9"/>
              <w:rPr>
                <w:sz w:val="19"/>
              </w:rPr>
            </w:pPr>
          </w:p>
          <w:p>
            <w:pPr>
              <w:pStyle w:val="TableParagraph"/>
              <w:ind w:left="285" w:right="285"/>
              <w:jc w:val="center"/>
              <w:rPr>
                <w:sz w:val="20"/>
              </w:rPr>
            </w:pPr>
            <w:r>
              <w:rPr>
                <w:sz w:val="20"/>
              </w:rPr>
              <w:t>36.4</w:t>
            </w:r>
          </w:p>
        </w:tc>
        <w:tc>
          <w:tcPr>
            <w:tcW w:w="1105" w:type="dxa"/>
          </w:tcPr>
          <w:p>
            <w:pPr>
              <w:pStyle w:val="TableParagraph"/>
              <w:rPr>
                <w:sz w:val="20"/>
              </w:rPr>
            </w:pPr>
          </w:p>
          <w:p>
            <w:pPr>
              <w:pStyle w:val="TableParagraph"/>
              <w:spacing w:before="9"/>
              <w:rPr>
                <w:sz w:val="19"/>
              </w:rPr>
            </w:pPr>
          </w:p>
          <w:p>
            <w:pPr>
              <w:pStyle w:val="TableParagraph"/>
              <w:ind w:right="370"/>
              <w:jc w:val="right"/>
              <w:rPr>
                <w:sz w:val="20"/>
              </w:rPr>
            </w:pPr>
            <w:r>
              <w:rPr>
                <w:sz w:val="20"/>
              </w:rPr>
              <w:t>45.6</w:t>
            </w:r>
          </w:p>
        </w:tc>
      </w:tr>
    </w:tbl>
    <w:p>
      <w:pPr>
        <w:pStyle w:val="BodyText"/>
        <w:spacing w:before="8"/>
        <w:rPr>
          <w:sz w:val="19"/>
        </w:rPr>
      </w:pPr>
    </w:p>
    <w:p>
      <w:pPr>
        <w:pStyle w:val="BodyText"/>
        <w:ind w:left="1413" w:right="6276" w:hanging="1101"/>
      </w:pPr>
      <w:r>
        <w:rPr/>
        <w:t>Table 8. Anthropometric measures in cm for 8 year-old girls from private elementary schools.</w:t>
      </w:r>
    </w:p>
    <w:p>
      <w:pPr>
        <w:pStyle w:val="BodyText"/>
      </w:pPr>
    </w:p>
    <w:p>
      <w:pPr>
        <w:pStyle w:val="BodyText"/>
        <w:spacing w:before="4"/>
      </w:pPr>
    </w:p>
    <w:tbl>
      <w:tblPr>
        <w:tblW w:w="0" w:type="auto"/>
        <w:jc w:val="left"/>
        <w:tblInd w:w="1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06"/>
        <w:gridCol w:w="704"/>
        <w:gridCol w:w="1039"/>
        <w:gridCol w:w="666"/>
        <w:gridCol w:w="566"/>
        <w:gridCol w:w="666"/>
        <w:gridCol w:w="1072"/>
        <w:gridCol w:w="1105"/>
      </w:tblGrid>
      <w:tr>
        <w:trPr>
          <w:trHeight w:val="240" w:hRule="exact"/>
        </w:trPr>
        <w:tc>
          <w:tcPr>
            <w:tcW w:w="1606" w:type="dxa"/>
            <w:vMerge w:val="restart"/>
          </w:tcPr>
          <w:p>
            <w:pPr>
              <w:pStyle w:val="TableParagraph"/>
              <w:spacing w:line="249" w:lineRule="auto"/>
              <w:ind w:left="302" w:right="85" w:hanging="200"/>
              <w:rPr>
                <w:b/>
                <w:sz w:val="20"/>
              </w:rPr>
            </w:pPr>
            <w:r>
              <w:rPr>
                <w:b/>
                <w:sz w:val="20"/>
              </w:rPr>
              <w:t>Anthropometric Dimensions</w:t>
            </w:r>
          </w:p>
        </w:tc>
        <w:tc>
          <w:tcPr>
            <w:tcW w:w="704" w:type="dxa"/>
            <w:vMerge w:val="restart"/>
          </w:tcPr>
          <w:p>
            <w:pPr>
              <w:pStyle w:val="TableParagraph"/>
              <w:ind w:left="103"/>
              <w:rPr>
                <w:b/>
                <w:sz w:val="20"/>
              </w:rPr>
            </w:pPr>
            <w:r>
              <w:rPr>
                <w:b/>
                <w:sz w:val="20"/>
              </w:rPr>
              <w:t>Mean</w:t>
            </w:r>
          </w:p>
        </w:tc>
        <w:tc>
          <w:tcPr>
            <w:tcW w:w="1039" w:type="dxa"/>
            <w:vMerge w:val="restart"/>
          </w:tcPr>
          <w:p>
            <w:pPr>
              <w:pStyle w:val="TableParagraph"/>
              <w:spacing w:line="249" w:lineRule="auto"/>
              <w:ind w:left="104" w:right="83" w:firstLine="10"/>
              <w:rPr>
                <w:b/>
                <w:sz w:val="20"/>
              </w:rPr>
            </w:pPr>
            <w:r>
              <w:rPr>
                <w:b/>
                <w:sz w:val="20"/>
              </w:rPr>
              <w:t>Standard Deviation</w:t>
            </w:r>
          </w:p>
        </w:tc>
        <w:tc>
          <w:tcPr>
            <w:tcW w:w="1898" w:type="dxa"/>
            <w:gridSpan w:val="3"/>
          </w:tcPr>
          <w:p>
            <w:pPr>
              <w:pStyle w:val="TableParagraph"/>
              <w:ind w:left="517"/>
              <w:rPr>
                <w:b/>
                <w:sz w:val="20"/>
              </w:rPr>
            </w:pPr>
            <w:r>
              <w:rPr>
                <w:b/>
                <w:sz w:val="20"/>
              </w:rPr>
              <w:t>Percentile</w:t>
            </w:r>
          </w:p>
        </w:tc>
        <w:tc>
          <w:tcPr>
            <w:tcW w:w="1072" w:type="dxa"/>
            <w:vMerge w:val="restart"/>
          </w:tcPr>
          <w:p>
            <w:pPr>
              <w:pStyle w:val="TableParagraph"/>
              <w:ind w:left="103"/>
              <w:rPr>
                <w:b/>
                <w:sz w:val="20"/>
              </w:rPr>
            </w:pPr>
            <w:r>
              <w:rPr>
                <w:b/>
                <w:sz w:val="20"/>
              </w:rPr>
              <w:t>Minimum</w:t>
            </w:r>
          </w:p>
        </w:tc>
        <w:tc>
          <w:tcPr>
            <w:tcW w:w="1105" w:type="dxa"/>
            <w:vMerge w:val="restart"/>
          </w:tcPr>
          <w:p>
            <w:pPr>
              <w:pStyle w:val="TableParagraph"/>
              <w:ind w:left="103"/>
              <w:rPr>
                <w:b/>
                <w:sz w:val="20"/>
              </w:rPr>
            </w:pPr>
            <w:r>
              <w:rPr>
                <w:b/>
                <w:sz w:val="20"/>
              </w:rPr>
              <w:t>Maximum</w:t>
            </w:r>
          </w:p>
        </w:tc>
      </w:tr>
      <w:tr>
        <w:trPr>
          <w:trHeight w:val="240" w:hRule="exact"/>
        </w:trPr>
        <w:tc>
          <w:tcPr>
            <w:tcW w:w="1606" w:type="dxa"/>
            <w:vMerge/>
          </w:tcPr>
          <w:p>
            <w:pPr/>
          </w:p>
        </w:tc>
        <w:tc>
          <w:tcPr>
            <w:tcW w:w="704" w:type="dxa"/>
            <w:vMerge/>
          </w:tcPr>
          <w:p>
            <w:pPr/>
          </w:p>
        </w:tc>
        <w:tc>
          <w:tcPr>
            <w:tcW w:w="1039" w:type="dxa"/>
            <w:vMerge/>
          </w:tcPr>
          <w:p>
            <w:pPr/>
          </w:p>
        </w:tc>
        <w:tc>
          <w:tcPr>
            <w:tcW w:w="666" w:type="dxa"/>
          </w:tcPr>
          <w:p>
            <w:pPr>
              <w:pStyle w:val="TableParagraph"/>
              <w:ind w:left="2"/>
              <w:jc w:val="center"/>
              <w:rPr>
                <w:b/>
                <w:sz w:val="20"/>
              </w:rPr>
            </w:pPr>
            <w:r>
              <w:rPr>
                <w:b/>
                <w:w w:val="100"/>
                <w:sz w:val="20"/>
              </w:rPr>
              <w:t>5</w:t>
            </w:r>
          </w:p>
        </w:tc>
        <w:tc>
          <w:tcPr>
            <w:tcW w:w="566" w:type="dxa"/>
          </w:tcPr>
          <w:p>
            <w:pPr>
              <w:pStyle w:val="TableParagraph"/>
              <w:ind w:left="178"/>
              <w:rPr>
                <w:b/>
                <w:sz w:val="20"/>
              </w:rPr>
            </w:pPr>
            <w:r>
              <w:rPr>
                <w:b/>
                <w:sz w:val="20"/>
              </w:rPr>
              <w:t>50</w:t>
            </w:r>
          </w:p>
        </w:tc>
        <w:tc>
          <w:tcPr>
            <w:tcW w:w="666" w:type="dxa"/>
          </w:tcPr>
          <w:p>
            <w:pPr>
              <w:pStyle w:val="TableParagraph"/>
              <w:ind w:left="83" w:right="81"/>
              <w:jc w:val="center"/>
              <w:rPr>
                <w:b/>
                <w:sz w:val="20"/>
              </w:rPr>
            </w:pPr>
            <w:r>
              <w:rPr>
                <w:b/>
                <w:sz w:val="20"/>
              </w:rPr>
              <w:t>95</w:t>
            </w:r>
          </w:p>
        </w:tc>
        <w:tc>
          <w:tcPr>
            <w:tcW w:w="1072" w:type="dxa"/>
            <w:vMerge/>
          </w:tcPr>
          <w:p>
            <w:pPr/>
          </w:p>
        </w:tc>
        <w:tc>
          <w:tcPr>
            <w:tcW w:w="1105" w:type="dxa"/>
            <w:vMerge/>
          </w:tcPr>
          <w:p>
            <w:pPr/>
          </w:p>
        </w:tc>
      </w:tr>
      <w:tr>
        <w:trPr>
          <w:trHeight w:val="470" w:hRule="exact"/>
        </w:trPr>
        <w:tc>
          <w:tcPr>
            <w:tcW w:w="1606" w:type="dxa"/>
          </w:tcPr>
          <w:p>
            <w:pPr>
              <w:pStyle w:val="TableParagraph"/>
              <w:ind w:left="103" w:right="539"/>
              <w:rPr>
                <w:sz w:val="20"/>
              </w:rPr>
            </w:pPr>
            <w:r>
              <w:rPr>
                <w:sz w:val="20"/>
              </w:rPr>
              <w:t>Weight (kilograms)</w:t>
            </w:r>
          </w:p>
        </w:tc>
        <w:tc>
          <w:tcPr>
            <w:tcW w:w="704" w:type="dxa"/>
          </w:tcPr>
          <w:p>
            <w:pPr>
              <w:pStyle w:val="TableParagraph"/>
              <w:spacing w:before="8"/>
              <w:rPr>
                <w:sz w:val="19"/>
              </w:rPr>
            </w:pPr>
          </w:p>
          <w:p>
            <w:pPr>
              <w:pStyle w:val="TableParagraph"/>
              <w:ind w:left="172"/>
              <w:rPr>
                <w:sz w:val="20"/>
              </w:rPr>
            </w:pPr>
            <w:r>
              <w:rPr>
                <w:sz w:val="20"/>
              </w:rPr>
              <w:t>25.9</w:t>
            </w:r>
          </w:p>
        </w:tc>
        <w:tc>
          <w:tcPr>
            <w:tcW w:w="1039" w:type="dxa"/>
          </w:tcPr>
          <w:p>
            <w:pPr>
              <w:pStyle w:val="TableParagraph"/>
              <w:spacing w:before="8"/>
              <w:rPr>
                <w:sz w:val="19"/>
              </w:rPr>
            </w:pPr>
          </w:p>
          <w:p>
            <w:pPr>
              <w:pStyle w:val="TableParagraph"/>
              <w:ind w:left="369" w:right="368"/>
              <w:jc w:val="center"/>
              <w:rPr>
                <w:sz w:val="20"/>
              </w:rPr>
            </w:pPr>
            <w:r>
              <w:rPr>
                <w:sz w:val="20"/>
              </w:rPr>
              <w:t>2.5</w:t>
            </w:r>
          </w:p>
        </w:tc>
        <w:tc>
          <w:tcPr>
            <w:tcW w:w="666" w:type="dxa"/>
          </w:tcPr>
          <w:p>
            <w:pPr>
              <w:pStyle w:val="TableParagraph"/>
              <w:spacing w:before="8"/>
              <w:rPr>
                <w:sz w:val="19"/>
              </w:rPr>
            </w:pPr>
          </w:p>
          <w:p>
            <w:pPr>
              <w:pStyle w:val="TableParagraph"/>
              <w:ind w:left="82" w:right="82"/>
              <w:jc w:val="center"/>
              <w:rPr>
                <w:sz w:val="20"/>
              </w:rPr>
            </w:pPr>
            <w:r>
              <w:rPr>
                <w:sz w:val="20"/>
              </w:rPr>
              <w:t>21.9</w:t>
            </w:r>
          </w:p>
        </w:tc>
        <w:tc>
          <w:tcPr>
            <w:tcW w:w="566" w:type="dxa"/>
          </w:tcPr>
          <w:p>
            <w:pPr>
              <w:pStyle w:val="TableParagraph"/>
              <w:spacing w:before="8"/>
              <w:rPr>
                <w:sz w:val="19"/>
              </w:rPr>
            </w:pPr>
          </w:p>
          <w:p>
            <w:pPr>
              <w:pStyle w:val="TableParagraph"/>
              <w:ind w:left="103"/>
              <w:rPr>
                <w:sz w:val="20"/>
              </w:rPr>
            </w:pPr>
            <w:r>
              <w:rPr>
                <w:sz w:val="20"/>
              </w:rPr>
              <w:t>25.6</w:t>
            </w:r>
          </w:p>
        </w:tc>
        <w:tc>
          <w:tcPr>
            <w:tcW w:w="666" w:type="dxa"/>
          </w:tcPr>
          <w:p>
            <w:pPr>
              <w:pStyle w:val="TableParagraph"/>
              <w:spacing w:before="8"/>
              <w:rPr>
                <w:sz w:val="19"/>
              </w:rPr>
            </w:pPr>
          </w:p>
          <w:p>
            <w:pPr>
              <w:pStyle w:val="TableParagraph"/>
              <w:ind w:left="82" w:right="82"/>
              <w:jc w:val="center"/>
              <w:rPr>
                <w:sz w:val="20"/>
              </w:rPr>
            </w:pPr>
            <w:r>
              <w:rPr>
                <w:sz w:val="20"/>
              </w:rPr>
              <w:t>30.6</w:t>
            </w:r>
          </w:p>
        </w:tc>
        <w:tc>
          <w:tcPr>
            <w:tcW w:w="1072" w:type="dxa"/>
          </w:tcPr>
          <w:p>
            <w:pPr>
              <w:pStyle w:val="TableParagraph"/>
              <w:spacing w:before="8"/>
              <w:rPr>
                <w:sz w:val="19"/>
              </w:rPr>
            </w:pPr>
          </w:p>
          <w:p>
            <w:pPr>
              <w:pStyle w:val="TableParagraph"/>
              <w:ind w:left="285" w:right="285"/>
              <w:jc w:val="center"/>
              <w:rPr>
                <w:sz w:val="20"/>
              </w:rPr>
            </w:pPr>
            <w:r>
              <w:rPr>
                <w:sz w:val="20"/>
              </w:rPr>
              <w:t>21.9</w:t>
            </w:r>
          </w:p>
        </w:tc>
        <w:tc>
          <w:tcPr>
            <w:tcW w:w="1105" w:type="dxa"/>
          </w:tcPr>
          <w:p>
            <w:pPr>
              <w:pStyle w:val="TableParagraph"/>
              <w:spacing w:before="8"/>
              <w:rPr>
                <w:sz w:val="19"/>
              </w:rPr>
            </w:pPr>
          </w:p>
          <w:p>
            <w:pPr>
              <w:pStyle w:val="TableParagraph"/>
              <w:ind w:left="371"/>
              <w:rPr>
                <w:sz w:val="20"/>
              </w:rPr>
            </w:pPr>
            <w:r>
              <w:rPr>
                <w:sz w:val="20"/>
              </w:rPr>
              <w:t>30.6</w:t>
            </w:r>
          </w:p>
        </w:tc>
      </w:tr>
      <w:tr>
        <w:trPr>
          <w:trHeight w:val="240" w:hRule="exact"/>
        </w:trPr>
        <w:tc>
          <w:tcPr>
            <w:tcW w:w="1606" w:type="dxa"/>
          </w:tcPr>
          <w:p>
            <w:pPr>
              <w:pStyle w:val="TableParagraph"/>
              <w:spacing w:line="227" w:lineRule="exact"/>
              <w:ind w:left="103" w:right="85"/>
              <w:rPr>
                <w:sz w:val="20"/>
              </w:rPr>
            </w:pPr>
            <w:r>
              <w:rPr>
                <w:sz w:val="20"/>
              </w:rPr>
              <w:t>Stature</w:t>
            </w:r>
          </w:p>
        </w:tc>
        <w:tc>
          <w:tcPr>
            <w:tcW w:w="704" w:type="dxa"/>
          </w:tcPr>
          <w:p>
            <w:pPr>
              <w:pStyle w:val="TableParagraph"/>
              <w:spacing w:line="227" w:lineRule="exact"/>
              <w:ind w:left="123"/>
              <w:rPr>
                <w:sz w:val="20"/>
              </w:rPr>
            </w:pPr>
            <w:r>
              <w:rPr>
                <w:sz w:val="20"/>
              </w:rPr>
              <w:t>127.0</w:t>
            </w:r>
          </w:p>
        </w:tc>
        <w:tc>
          <w:tcPr>
            <w:tcW w:w="1039" w:type="dxa"/>
          </w:tcPr>
          <w:p>
            <w:pPr>
              <w:pStyle w:val="TableParagraph"/>
              <w:spacing w:line="227" w:lineRule="exact"/>
              <w:ind w:left="370" w:right="368"/>
              <w:jc w:val="center"/>
              <w:rPr>
                <w:sz w:val="20"/>
              </w:rPr>
            </w:pPr>
            <w:r>
              <w:rPr>
                <w:sz w:val="20"/>
              </w:rPr>
              <w:t>3.3</w:t>
            </w:r>
          </w:p>
        </w:tc>
        <w:tc>
          <w:tcPr>
            <w:tcW w:w="666" w:type="dxa"/>
          </w:tcPr>
          <w:p>
            <w:pPr>
              <w:pStyle w:val="TableParagraph"/>
              <w:spacing w:line="227" w:lineRule="exact"/>
              <w:ind w:left="83" w:right="82"/>
              <w:jc w:val="center"/>
              <w:rPr>
                <w:sz w:val="20"/>
              </w:rPr>
            </w:pPr>
            <w:r>
              <w:rPr>
                <w:sz w:val="20"/>
              </w:rPr>
              <w:t>122.7</w:t>
            </w:r>
          </w:p>
        </w:tc>
        <w:tc>
          <w:tcPr>
            <w:tcW w:w="566" w:type="dxa"/>
          </w:tcPr>
          <w:p>
            <w:pPr>
              <w:pStyle w:val="TableParagraph"/>
              <w:spacing w:line="227" w:lineRule="exact"/>
              <w:ind w:left="129"/>
              <w:rPr>
                <w:sz w:val="20"/>
              </w:rPr>
            </w:pPr>
            <w:r>
              <w:rPr>
                <w:sz w:val="20"/>
              </w:rPr>
              <w:t>127</w:t>
            </w:r>
          </w:p>
        </w:tc>
        <w:tc>
          <w:tcPr>
            <w:tcW w:w="666" w:type="dxa"/>
          </w:tcPr>
          <w:p>
            <w:pPr>
              <w:pStyle w:val="TableParagraph"/>
              <w:spacing w:line="227" w:lineRule="exact"/>
              <w:ind w:left="83" w:right="82"/>
              <w:jc w:val="center"/>
              <w:rPr>
                <w:sz w:val="20"/>
              </w:rPr>
            </w:pPr>
            <w:r>
              <w:rPr>
                <w:sz w:val="20"/>
              </w:rPr>
              <w:t>132.1</w:t>
            </w:r>
          </w:p>
        </w:tc>
        <w:tc>
          <w:tcPr>
            <w:tcW w:w="1072" w:type="dxa"/>
          </w:tcPr>
          <w:p>
            <w:pPr>
              <w:pStyle w:val="TableParagraph"/>
              <w:spacing w:line="227" w:lineRule="exact"/>
              <w:ind w:left="286" w:right="285"/>
              <w:jc w:val="center"/>
              <w:rPr>
                <w:sz w:val="20"/>
              </w:rPr>
            </w:pPr>
            <w:r>
              <w:rPr>
                <w:sz w:val="20"/>
              </w:rPr>
              <w:t>122.7</w:t>
            </w:r>
          </w:p>
        </w:tc>
        <w:tc>
          <w:tcPr>
            <w:tcW w:w="1105" w:type="dxa"/>
          </w:tcPr>
          <w:p>
            <w:pPr>
              <w:pStyle w:val="TableParagraph"/>
              <w:spacing w:line="227" w:lineRule="exact"/>
              <w:ind w:left="322"/>
              <w:rPr>
                <w:sz w:val="20"/>
              </w:rPr>
            </w:pPr>
            <w:r>
              <w:rPr>
                <w:sz w:val="20"/>
              </w:rPr>
              <w:t>132.1</w:t>
            </w:r>
          </w:p>
        </w:tc>
      </w:tr>
      <w:tr>
        <w:trPr>
          <w:trHeight w:val="700" w:hRule="exact"/>
        </w:trPr>
        <w:tc>
          <w:tcPr>
            <w:tcW w:w="1606" w:type="dxa"/>
          </w:tcPr>
          <w:p>
            <w:pPr>
              <w:pStyle w:val="TableParagraph"/>
              <w:ind w:left="103" w:right="400"/>
              <w:jc w:val="both"/>
              <w:rPr>
                <w:sz w:val="20"/>
              </w:rPr>
            </w:pPr>
            <w:r>
              <w:rPr>
                <w:sz w:val="20"/>
              </w:rPr>
              <w:t>Elbow height sitting – table height</w:t>
            </w:r>
          </w:p>
        </w:tc>
        <w:tc>
          <w:tcPr>
            <w:tcW w:w="704" w:type="dxa"/>
          </w:tcPr>
          <w:p>
            <w:pPr>
              <w:pStyle w:val="TableParagraph"/>
              <w:rPr>
                <w:sz w:val="20"/>
              </w:rPr>
            </w:pPr>
          </w:p>
          <w:p>
            <w:pPr>
              <w:pStyle w:val="TableParagraph"/>
              <w:spacing w:before="9"/>
              <w:rPr>
                <w:sz w:val="19"/>
              </w:rPr>
            </w:pPr>
          </w:p>
          <w:p>
            <w:pPr>
              <w:pStyle w:val="TableParagraph"/>
              <w:ind w:left="171"/>
              <w:rPr>
                <w:sz w:val="20"/>
              </w:rPr>
            </w:pPr>
            <w:r>
              <w:rPr>
                <w:sz w:val="20"/>
              </w:rPr>
              <w:t>17.7</w:t>
            </w:r>
          </w:p>
        </w:tc>
        <w:tc>
          <w:tcPr>
            <w:tcW w:w="1039" w:type="dxa"/>
          </w:tcPr>
          <w:p>
            <w:pPr>
              <w:pStyle w:val="TableParagraph"/>
              <w:rPr>
                <w:sz w:val="20"/>
              </w:rPr>
            </w:pPr>
          </w:p>
          <w:p>
            <w:pPr>
              <w:pStyle w:val="TableParagraph"/>
              <w:spacing w:before="9"/>
              <w:rPr>
                <w:sz w:val="19"/>
              </w:rPr>
            </w:pPr>
          </w:p>
          <w:p>
            <w:pPr>
              <w:pStyle w:val="TableParagraph"/>
              <w:ind w:left="369" w:right="368"/>
              <w:jc w:val="center"/>
              <w:rPr>
                <w:sz w:val="20"/>
              </w:rPr>
            </w:pPr>
            <w:r>
              <w:rPr>
                <w:sz w:val="20"/>
              </w:rPr>
              <w:t>3.0</w:t>
            </w:r>
          </w:p>
        </w:tc>
        <w:tc>
          <w:tcPr>
            <w:tcW w:w="666" w:type="dxa"/>
          </w:tcPr>
          <w:p>
            <w:pPr>
              <w:pStyle w:val="TableParagraph"/>
              <w:rPr>
                <w:sz w:val="20"/>
              </w:rPr>
            </w:pPr>
          </w:p>
          <w:p>
            <w:pPr>
              <w:pStyle w:val="TableParagraph"/>
              <w:spacing w:before="9"/>
              <w:rPr>
                <w:sz w:val="19"/>
              </w:rPr>
            </w:pPr>
          </w:p>
          <w:p>
            <w:pPr>
              <w:pStyle w:val="TableParagraph"/>
              <w:ind w:left="82" w:right="82"/>
              <w:jc w:val="center"/>
              <w:rPr>
                <w:sz w:val="20"/>
              </w:rPr>
            </w:pPr>
            <w:r>
              <w:rPr>
                <w:sz w:val="20"/>
              </w:rPr>
              <w:t>13.2</w:t>
            </w:r>
          </w:p>
        </w:tc>
        <w:tc>
          <w:tcPr>
            <w:tcW w:w="566" w:type="dxa"/>
          </w:tcPr>
          <w:p>
            <w:pPr>
              <w:pStyle w:val="TableParagraph"/>
              <w:rPr>
                <w:sz w:val="20"/>
              </w:rPr>
            </w:pPr>
          </w:p>
          <w:p>
            <w:pPr>
              <w:pStyle w:val="TableParagraph"/>
              <w:spacing w:before="9"/>
              <w:rPr>
                <w:sz w:val="19"/>
              </w:rPr>
            </w:pPr>
          </w:p>
          <w:p>
            <w:pPr>
              <w:pStyle w:val="TableParagraph"/>
              <w:ind w:left="103"/>
              <w:rPr>
                <w:sz w:val="20"/>
              </w:rPr>
            </w:pPr>
            <w:r>
              <w:rPr>
                <w:sz w:val="20"/>
              </w:rPr>
              <w:t>17.5</w:t>
            </w:r>
          </w:p>
        </w:tc>
        <w:tc>
          <w:tcPr>
            <w:tcW w:w="666" w:type="dxa"/>
          </w:tcPr>
          <w:p>
            <w:pPr>
              <w:pStyle w:val="TableParagraph"/>
              <w:rPr>
                <w:sz w:val="20"/>
              </w:rPr>
            </w:pPr>
          </w:p>
          <w:p>
            <w:pPr>
              <w:pStyle w:val="TableParagraph"/>
              <w:spacing w:before="9"/>
              <w:rPr>
                <w:sz w:val="19"/>
              </w:rPr>
            </w:pPr>
          </w:p>
          <w:p>
            <w:pPr>
              <w:pStyle w:val="TableParagraph"/>
              <w:ind w:left="82" w:right="82"/>
              <w:jc w:val="center"/>
              <w:rPr>
                <w:sz w:val="20"/>
              </w:rPr>
            </w:pPr>
            <w:r>
              <w:rPr>
                <w:sz w:val="20"/>
              </w:rPr>
              <w:t>24.3</w:t>
            </w:r>
          </w:p>
        </w:tc>
        <w:tc>
          <w:tcPr>
            <w:tcW w:w="1072" w:type="dxa"/>
          </w:tcPr>
          <w:p>
            <w:pPr>
              <w:pStyle w:val="TableParagraph"/>
              <w:rPr>
                <w:sz w:val="20"/>
              </w:rPr>
            </w:pPr>
          </w:p>
          <w:p>
            <w:pPr>
              <w:pStyle w:val="TableParagraph"/>
              <w:spacing w:before="9"/>
              <w:rPr>
                <w:sz w:val="19"/>
              </w:rPr>
            </w:pPr>
          </w:p>
          <w:p>
            <w:pPr>
              <w:pStyle w:val="TableParagraph"/>
              <w:ind w:left="285" w:right="285"/>
              <w:jc w:val="center"/>
              <w:rPr>
                <w:sz w:val="20"/>
              </w:rPr>
            </w:pPr>
            <w:r>
              <w:rPr>
                <w:sz w:val="20"/>
              </w:rPr>
              <w:t>13.2</w:t>
            </w:r>
          </w:p>
        </w:tc>
        <w:tc>
          <w:tcPr>
            <w:tcW w:w="1105" w:type="dxa"/>
          </w:tcPr>
          <w:p>
            <w:pPr>
              <w:pStyle w:val="TableParagraph"/>
              <w:rPr>
                <w:sz w:val="20"/>
              </w:rPr>
            </w:pPr>
          </w:p>
          <w:p>
            <w:pPr>
              <w:pStyle w:val="TableParagraph"/>
              <w:spacing w:before="9"/>
              <w:rPr>
                <w:sz w:val="19"/>
              </w:rPr>
            </w:pPr>
          </w:p>
          <w:p>
            <w:pPr>
              <w:pStyle w:val="TableParagraph"/>
              <w:ind w:left="372"/>
              <w:rPr>
                <w:sz w:val="20"/>
              </w:rPr>
            </w:pPr>
            <w:r>
              <w:rPr>
                <w:sz w:val="20"/>
              </w:rPr>
              <w:t>24.3</w:t>
            </w:r>
          </w:p>
        </w:tc>
      </w:tr>
      <w:tr>
        <w:trPr>
          <w:trHeight w:val="470" w:hRule="exact"/>
        </w:trPr>
        <w:tc>
          <w:tcPr>
            <w:tcW w:w="1606" w:type="dxa"/>
          </w:tcPr>
          <w:p>
            <w:pPr>
              <w:pStyle w:val="TableParagraph"/>
              <w:spacing w:line="228" w:lineRule="exact"/>
              <w:ind w:left="103" w:right="85"/>
              <w:rPr>
                <w:sz w:val="20"/>
              </w:rPr>
            </w:pPr>
            <w:r>
              <w:rPr>
                <w:sz w:val="20"/>
              </w:rPr>
              <w:t>Popliteal height</w:t>
            </w:r>
          </w:p>
          <w:p>
            <w:pPr>
              <w:pStyle w:val="TableParagraph"/>
              <w:spacing w:line="230" w:lineRule="exact"/>
              <w:ind w:left="103" w:right="85"/>
              <w:rPr>
                <w:sz w:val="20"/>
              </w:rPr>
            </w:pPr>
            <w:r>
              <w:rPr>
                <w:sz w:val="20"/>
              </w:rPr>
              <w:t>– seat height</w:t>
            </w:r>
          </w:p>
        </w:tc>
        <w:tc>
          <w:tcPr>
            <w:tcW w:w="704" w:type="dxa"/>
          </w:tcPr>
          <w:p>
            <w:pPr>
              <w:pStyle w:val="TableParagraph"/>
              <w:spacing w:before="8"/>
              <w:rPr>
                <w:sz w:val="19"/>
              </w:rPr>
            </w:pPr>
          </w:p>
          <w:p>
            <w:pPr>
              <w:pStyle w:val="TableParagraph"/>
              <w:ind w:left="173"/>
              <w:rPr>
                <w:sz w:val="20"/>
              </w:rPr>
            </w:pPr>
            <w:r>
              <w:rPr>
                <w:sz w:val="20"/>
              </w:rPr>
              <w:t>33.6</w:t>
            </w:r>
          </w:p>
        </w:tc>
        <w:tc>
          <w:tcPr>
            <w:tcW w:w="1039" w:type="dxa"/>
          </w:tcPr>
          <w:p>
            <w:pPr>
              <w:pStyle w:val="TableParagraph"/>
              <w:spacing w:before="8"/>
              <w:rPr>
                <w:sz w:val="19"/>
              </w:rPr>
            </w:pPr>
          </w:p>
          <w:p>
            <w:pPr>
              <w:pStyle w:val="TableParagraph"/>
              <w:ind w:left="370" w:right="367"/>
              <w:jc w:val="center"/>
              <w:rPr>
                <w:sz w:val="20"/>
              </w:rPr>
            </w:pPr>
            <w:r>
              <w:rPr>
                <w:sz w:val="20"/>
              </w:rPr>
              <w:t>3.0</w:t>
            </w:r>
          </w:p>
        </w:tc>
        <w:tc>
          <w:tcPr>
            <w:tcW w:w="666" w:type="dxa"/>
          </w:tcPr>
          <w:p>
            <w:pPr>
              <w:pStyle w:val="TableParagraph"/>
              <w:spacing w:before="8"/>
              <w:rPr>
                <w:sz w:val="19"/>
              </w:rPr>
            </w:pPr>
          </w:p>
          <w:p>
            <w:pPr>
              <w:pStyle w:val="TableParagraph"/>
              <w:ind w:left="83" w:right="82"/>
              <w:jc w:val="center"/>
              <w:rPr>
                <w:sz w:val="20"/>
              </w:rPr>
            </w:pPr>
            <w:r>
              <w:rPr>
                <w:sz w:val="20"/>
              </w:rPr>
              <w:t>29.8</w:t>
            </w:r>
          </w:p>
        </w:tc>
        <w:tc>
          <w:tcPr>
            <w:tcW w:w="566" w:type="dxa"/>
          </w:tcPr>
          <w:p>
            <w:pPr>
              <w:pStyle w:val="TableParagraph"/>
              <w:spacing w:before="8"/>
              <w:rPr>
                <w:sz w:val="19"/>
              </w:rPr>
            </w:pPr>
          </w:p>
          <w:p>
            <w:pPr>
              <w:pStyle w:val="TableParagraph"/>
              <w:ind w:left="178"/>
              <w:rPr>
                <w:sz w:val="20"/>
              </w:rPr>
            </w:pPr>
            <w:r>
              <w:rPr>
                <w:sz w:val="20"/>
              </w:rPr>
              <w:t>34</w:t>
            </w:r>
          </w:p>
        </w:tc>
        <w:tc>
          <w:tcPr>
            <w:tcW w:w="666" w:type="dxa"/>
          </w:tcPr>
          <w:p>
            <w:pPr>
              <w:pStyle w:val="TableParagraph"/>
              <w:spacing w:before="8"/>
              <w:rPr>
                <w:sz w:val="19"/>
              </w:rPr>
            </w:pPr>
          </w:p>
          <w:p>
            <w:pPr>
              <w:pStyle w:val="TableParagraph"/>
              <w:ind w:left="83" w:right="82"/>
              <w:jc w:val="center"/>
              <w:rPr>
                <w:sz w:val="20"/>
              </w:rPr>
            </w:pPr>
            <w:r>
              <w:rPr>
                <w:sz w:val="20"/>
              </w:rPr>
              <w:t>39.9</w:t>
            </w:r>
          </w:p>
        </w:tc>
        <w:tc>
          <w:tcPr>
            <w:tcW w:w="1072" w:type="dxa"/>
          </w:tcPr>
          <w:p>
            <w:pPr>
              <w:pStyle w:val="TableParagraph"/>
              <w:spacing w:before="8"/>
              <w:rPr>
                <w:sz w:val="19"/>
              </w:rPr>
            </w:pPr>
          </w:p>
          <w:p>
            <w:pPr>
              <w:pStyle w:val="TableParagraph"/>
              <w:ind w:left="286" w:right="285"/>
              <w:jc w:val="center"/>
              <w:rPr>
                <w:sz w:val="20"/>
              </w:rPr>
            </w:pPr>
            <w:r>
              <w:rPr>
                <w:sz w:val="20"/>
              </w:rPr>
              <w:t>29.8</w:t>
            </w:r>
          </w:p>
        </w:tc>
        <w:tc>
          <w:tcPr>
            <w:tcW w:w="1105" w:type="dxa"/>
          </w:tcPr>
          <w:p>
            <w:pPr>
              <w:pStyle w:val="TableParagraph"/>
              <w:spacing w:before="8"/>
              <w:rPr>
                <w:sz w:val="19"/>
              </w:rPr>
            </w:pPr>
          </w:p>
          <w:p>
            <w:pPr>
              <w:pStyle w:val="TableParagraph"/>
              <w:ind w:left="372"/>
              <w:rPr>
                <w:sz w:val="20"/>
              </w:rPr>
            </w:pPr>
            <w:r>
              <w:rPr>
                <w:sz w:val="20"/>
              </w:rPr>
              <w:t>39.9</w:t>
            </w:r>
          </w:p>
        </w:tc>
      </w:tr>
      <w:tr>
        <w:trPr>
          <w:trHeight w:val="700" w:hRule="exact"/>
        </w:trPr>
        <w:tc>
          <w:tcPr>
            <w:tcW w:w="1606" w:type="dxa"/>
          </w:tcPr>
          <w:p>
            <w:pPr>
              <w:pStyle w:val="TableParagraph"/>
              <w:ind w:left="103" w:right="223"/>
              <w:rPr>
                <w:sz w:val="20"/>
              </w:rPr>
            </w:pPr>
            <w:r>
              <w:rPr>
                <w:sz w:val="20"/>
              </w:rPr>
              <w:t>Buttock to popliteal length</w:t>
            </w:r>
          </w:p>
          <w:p>
            <w:pPr>
              <w:pStyle w:val="TableParagraph"/>
              <w:spacing w:line="229" w:lineRule="exact"/>
              <w:ind w:left="103" w:right="85"/>
              <w:rPr>
                <w:sz w:val="20"/>
              </w:rPr>
            </w:pPr>
            <w:r>
              <w:rPr>
                <w:sz w:val="20"/>
              </w:rPr>
              <w:t>– seat depth</w:t>
            </w:r>
          </w:p>
        </w:tc>
        <w:tc>
          <w:tcPr>
            <w:tcW w:w="704" w:type="dxa"/>
          </w:tcPr>
          <w:p>
            <w:pPr>
              <w:pStyle w:val="TableParagraph"/>
              <w:rPr>
                <w:sz w:val="20"/>
              </w:rPr>
            </w:pPr>
          </w:p>
          <w:p>
            <w:pPr>
              <w:pStyle w:val="TableParagraph"/>
              <w:spacing w:before="8"/>
              <w:rPr>
                <w:sz w:val="19"/>
              </w:rPr>
            </w:pPr>
          </w:p>
          <w:p>
            <w:pPr>
              <w:pStyle w:val="TableParagraph"/>
              <w:ind w:left="172"/>
              <w:rPr>
                <w:sz w:val="20"/>
              </w:rPr>
            </w:pPr>
            <w:r>
              <w:rPr>
                <w:sz w:val="20"/>
              </w:rPr>
              <w:t>35.7</w:t>
            </w:r>
          </w:p>
        </w:tc>
        <w:tc>
          <w:tcPr>
            <w:tcW w:w="1039" w:type="dxa"/>
          </w:tcPr>
          <w:p>
            <w:pPr>
              <w:pStyle w:val="TableParagraph"/>
              <w:rPr>
                <w:sz w:val="20"/>
              </w:rPr>
            </w:pPr>
          </w:p>
          <w:p>
            <w:pPr>
              <w:pStyle w:val="TableParagraph"/>
              <w:spacing w:before="8"/>
              <w:rPr>
                <w:sz w:val="19"/>
              </w:rPr>
            </w:pPr>
          </w:p>
          <w:p>
            <w:pPr>
              <w:pStyle w:val="TableParagraph"/>
              <w:ind w:left="369" w:right="368"/>
              <w:jc w:val="center"/>
              <w:rPr>
                <w:sz w:val="20"/>
              </w:rPr>
            </w:pPr>
            <w:r>
              <w:rPr>
                <w:sz w:val="20"/>
              </w:rPr>
              <w:t>2.0</w:t>
            </w:r>
          </w:p>
        </w:tc>
        <w:tc>
          <w:tcPr>
            <w:tcW w:w="666" w:type="dxa"/>
          </w:tcPr>
          <w:p>
            <w:pPr>
              <w:pStyle w:val="TableParagraph"/>
              <w:rPr>
                <w:sz w:val="20"/>
              </w:rPr>
            </w:pPr>
          </w:p>
          <w:p>
            <w:pPr>
              <w:pStyle w:val="TableParagraph"/>
              <w:spacing w:before="8"/>
              <w:rPr>
                <w:sz w:val="19"/>
              </w:rPr>
            </w:pPr>
          </w:p>
          <w:p>
            <w:pPr>
              <w:pStyle w:val="TableParagraph"/>
              <w:ind w:left="82" w:right="82"/>
              <w:jc w:val="center"/>
              <w:rPr>
                <w:sz w:val="20"/>
              </w:rPr>
            </w:pPr>
            <w:r>
              <w:rPr>
                <w:sz w:val="20"/>
              </w:rPr>
              <w:t>33.2</w:t>
            </w:r>
          </w:p>
        </w:tc>
        <w:tc>
          <w:tcPr>
            <w:tcW w:w="566" w:type="dxa"/>
          </w:tcPr>
          <w:p>
            <w:pPr>
              <w:pStyle w:val="TableParagraph"/>
              <w:rPr>
                <w:sz w:val="20"/>
              </w:rPr>
            </w:pPr>
          </w:p>
          <w:p>
            <w:pPr>
              <w:pStyle w:val="TableParagraph"/>
              <w:spacing w:before="8"/>
              <w:rPr>
                <w:sz w:val="19"/>
              </w:rPr>
            </w:pPr>
          </w:p>
          <w:p>
            <w:pPr>
              <w:pStyle w:val="TableParagraph"/>
              <w:ind w:left="103"/>
              <w:rPr>
                <w:sz w:val="20"/>
              </w:rPr>
            </w:pPr>
            <w:r>
              <w:rPr>
                <w:sz w:val="20"/>
              </w:rPr>
              <w:t>35.6</w:t>
            </w:r>
          </w:p>
        </w:tc>
        <w:tc>
          <w:tcPr>
            <w:tcW w:w="666" w:type="dxa"/>
          </w:tcPr>
          <w:p>
            <w:pPr>
              <w:pStyle w:val="TableParagraph"/>
              <w:rPr>
                <w:sz w:val="20"/>
              </w:rPr>
            </w:pPr>
          </w:p>
          <w:p>
            <w:pPr>
              <w:pStyle w:val="TableParagraph"/>
              <w:spacing w:before="8"/>
              <w:rPr>
                <w:sz w:val="19"/>
              </w:rPr>
            </w:pPr>
          </w:p>
          <w:p>
            <w:pPr>
              <w:pStyle w:val="TableParagraph"/>
              <w:ind w:left="82" w:right="82"/>
              <w:jc w:val="center"/>
              <w:rPr>
                <w:sz w:val="20"/>
              </w:rPr>
            </w:pPr>
            <w:r>
              <w:rPr>
                <w:sz w:val="20"/>
              </w:rPr>
              <w:t>38.7</w:t>
            </w:r>
          </w:p>
        </w:tc>
        <w:tc>
          <w:tcPr>
            <w:tcW w:w="1072" w:type="dxa"/>
          </w:tcPr>
          <w:p>
            <w:pPr>
              <w:pStyle w:val="TableParagraph"/>
              <w:rPr>
                <w:sz w:val="20"/>
              </w:rPr>
            </w:pPr>
          </w:p>
          <w:p>
            <w:pPr>
              <w:pStyle w:val="TableParagraph"/>
              <w:spacing w:before="8"/>
              <w:rPr>
                <w:sz w:val="19"/>
              </w:rPr>
            </w:pPr>
          </w:p>
          <w:p>
            <w:pPr>
              <w:pStyle w:val="TableParagraph"/>
              <w:ind w:left="285" w:right="285"/>
              <w:jc w:val="center"/>
              <w:rPr>
                <w:sz w:val="20"/>
              </w:rPr>
            </w:pPr>
            <w:r>
              <w:rPr>
                <w:sz w:val="20"/>
              </w:rPr>
              <w:t>33.2</w:t>
            </w:r>
          </w:p>
        </w:tc>
        <w:tc>
          <w:tcPr>
            <w:tcW w:w="1105" w:type="dxa"/>
          </w:tcPr>
          <w:p>
            <w:pPr>
              <w:pStyle w:val="TableParagraph"/>
              <w:rPr>
                <w:sz w:val="20"/>
              </w:rPr>
            </w:pPr>
          </w:p>
          <w:p>
            <w:pPr>
              <w:pStyle w:val="TableParagraph"/>
              <w:spacing w:before="8"/>
              <w:rPr>
                <w:sz w:val="19"/>
              </w:rPr>
            </w:pPr>
          </w:p>
          <w:p>
            <w:pPr>
              <w:pStyle w:val="TableParagraph"/>
              <w:ind w:left="371"/>
              <w:rPr>
                <w:sz w:val="20"/>
              </w:rPr>
            </w:pPr>
            <w:r>
              <w:rPr>
                <w:sz w:val="20"/>
              </w:rPr>
              <w:t>38.7</w:t>
            </w:r>
          </w:p>
        </w:tc>
      </w:tr>
    </w:tbl>
    <w:p>
      <w:pPr>
        <w:pStyle w:val="BodyText"/>
        <w:spacing w:before="8"/>
        <w:rPr>
          <w:sz w:val="19"/>
        </w:rPr>
      </w:pPr>
    </w:p>
    <w:p>
      <w:pPr>
        <w:pStyle w:val="BodyText"/>
        <w:ind w:left="1439" w:right="6276" w:hanging="1127"/>
      </w:pPr>
      <w:r>
        <w:rPr/>
        <w:t>Table 9. Anthropometric measures in cm for 8 year-old girls from public elementary schools.</w:t>
      </w:r>
    </w:p>
    <w:p>
      <w:pPr>
        <w:spacing w:after="0"/>
        <w:sectPr>
          <w:pgSz w:w="12240" w:h="15840"/>
          <w:pgMar w:header="545" w:footer="852" w:top="1060" w:bottom="1040" w:left="580" w:right="220"/>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7"/>
        <w:rPr>
          <w:sz w:val="26"/>
        </w:rPr>
      </w:pPr>
    </w:p>
    <w:p>
      <w:pPr>
        <w:pStyle w:val="Heading4"/>
        <w:ind w:left="2218" w:right="118"/>
        <w:jc w:val="left"/>
      </w:pPr>
      <w:r>
        <w:rPr/>
        <w:t>5.   Conclusions</w:t>
      </w:r>
    </w:p>
    <w:p>
      <w:pPr>
        <w:pStyle w:val="BodyText"/>
        <w:spacing w:before="9"/>
        <w:rPr>
          <w:b/>
          <w:sz w:val="19"/>
        </w:rPr>
      </w:pPr>
    </w:p>
    <w:p>
      <w:pPr>
        <w:pStyle w:val="BodyText"/>
        <w:spacing w:before="1"/>
        <w:ind w:left="270"/>
        <w:jc w:val="both"/>
      </w:pPr>
      <w:r>
        <w:rPr/>
        <w:t>The values of the present study show significant differences of two anthropometric parameters. These differences might be due to diverse standards of living, eating and exercise habits. Further investigation is needed to obtain additional information on the relevant sources of changes of body size dimensions in the studied population and to collect a representative sample of older children not included here.</w:t>
      </w:r>
    </w:p>
    <w:p>
      <w:pPr>
        <w:pStyle w:val="BodyText"/>
        <w:spacing w:before="11"/>
        <w:rPr>
          <w:sz w:val="19"/>
        </w:rPr>
      </w:pPr>
    </w:p>
    <w:p>
      <w:pPr>
        <w:pStyle w:val="BodyText"/>
        <w:ind w:left="270" w:right="1"/>
        <w:jc w:val="both"/>
      </w:pPr>
      <w:r>
        <w:rPr/>
        <w:t>The results of this study suggest that it is necessary to consider different educational environments when designing for a users’ population, and they also provide new knowledge in children’s anthropometric measurements from two different educational environments: private and public schools.</w:t>
      </w:r>
    </w:p>
    <w:p>
      <w:pPr>
        <w:pStyle w:val="BodyText"/>
      </w:pPr>
    </w:p>
    <w:p>
      <w:pPr>
        <w:pStyle w:val="BodyText"/>
        <w:spacing w:before="2"/>
      </w:pPr>
    </w:p>
    <w:p>
      <w:pPr>
        <w:pStyle w:val="Heading4"/>
        <w:ind w:left="358" w:right="89"/>
        <w:jc w:val="center"/>
      </w:pPr>
      <w:r>
        <w:rPr/>
        <w:t>References</w:t>
      </w:r>
    </w:p>
    <w:p>
      <w:pPr>
        <w:pStyle w:val="BodyText"/>
        <w:spacing w:before="8"/>
        <w:rPr>
          <w:b/>
          <w:sz w:val="19"/>
        </w:rPr>
      </w:pPr>
    </w:p>
    <w:p>
      <w:pPr>
        <w:pStyle w:val="BodyText"/>
        <w:ind w:left="838" w:hanging="568"/>
        <w:jc w:val="both"/>
      </w:pPr>
      <w:r>
        <w:rPr/>
        <w:t>Calvo Muñoz, I., Gómez Conesa, A., Sánchez Meca, J.,  2013. Prevalence of low back pain in children and adolescents: a meta-analysis. </w:t>
      </w:r>
      <w:r>
        <w:rPr>
          <w:i/>
        </w:rPr>
        <w:t>BMC</w:t>
      </w:r>
      <w:r>
        <w:rPr>
          <w:i/>
          <w:spacing w:val="-24"/>
        </w:rPr>
        <w:t> </w:t>
      </w:r>
      <w:r>
        <w:rPr>
          <w:i/>
        </w:rPr>
        <w:t>Pediatr</w:t>
      </w:r>
      <w:r>
        <w:rPr/>
        <w:t>.</w:t>
      </w:r>
    </w:p>
    <w:p>
      <w:pPr>
        <w:pStyle w:val="BodyText"/>
        <w:ind w:left="838" w:hanging="568"/>
        <w:jc w:val="both"/>
      </w:pPr>
      <w:r>
        <w:rPr/>
        <w:t>Castellucci, H. I., Arezes, P. M., Viviani, C. A., 2010. A mismatch between classroom furniture and anthropometric measures in Chilean schools. </w:t>
      </w:r>
      <w:r>
        <w:rPr>
          <w:i/>
        </w:rPr>
        <w:t>Applied </w:t>
      </w:r>
      <w:r>
        <w:rPr>
          <w:i/>
        </w:rPr>
        <w:t>Ergonomics</w:t>
      </w:r>
      <w:r>
        <w:rPr/>
        <w:t>, 41(4) p. 563-8.</w:t>
      </w:r>
    </w:p>
    <w:p>
      <w:pPr>
        <w:pStyle w:val="BodyText"/>
        <w:ind w:left="1121" w:hanging="851"/>
        <w:jc w:val="both"/>
      </w:pPr>
      <w:r>
        <w:rPr/>
        <w:t>Del Rosso, Roxana, Tomasiello, Roberto Luis, et al., 2011. Especificaciones para el diseño y producción de equipamiento escolar saludable. Facultad de Artes y Diseño, Dirección de Investigación y Desarrollo</w:t>
      </w:r>
    </w:p>
    <w:p>
      <w:pPr>
        <w:pStyle w:val="BodyText"/>
        <w:ind w:left="1121"/>
        <w:jc w:val="both"/>
      </w:pPr>
      <w:r>
        <w:rPr/>
        <w:t>- Laboratorio de Ergonomía de la Universidad Nacional de Cuyo, Secretaría de Ciencia, Técnica y Posgrado. Mendoza, Argentina.</w:t>
      </w:r>
    </w:p>
    <w:p>
      <w:pPr>
        <w:pStyle w:val="BodyText"/>
        <w:ind w:left="838" w:right="57" w:hanging="568"/>
        <w:jc w:val="both"/>
      </w:pPr>
      <w:r>
        <w:rPr/>
        <w:t>European Federation of National Associations of Orthopaedics and Traumatology (EFORT), 2013. Low back pain in children and adolescents: a  growing problem. EFORT Congress in</w:t>
      </w:r>
      <w:r>
        <w:rPr>
          <w:spacing w:val="-16"/>
        </w:rPr>
        <w:t> </w:t>
      </w:r>
      <w:r>
        <w:rPr/>
        <w:t>Istanbul.</w:t>
      </w:r>
    </w:p>
    <w:p>
      <w:pPr>
        <w:pStyle w:val="BodyText"/>
        <w:ind w:left="838" w:right="57" w:hanging="568"/>
        <w:jc w:val="both"/>
      </w:pPr>
      <w:r>
        <w:rPr/>
        <w:t>Gastélum González, H. M., 2004. Antropometría en las  aulas de educación primaria en el estado de Sonora. SEMAC, Memorias del VI Congreso Internacional  de Ergonomía, p.</w:t>
      </w:r>
      <w:r>
        <w:rPr>
          <w:spacing w:val="-10"/>
        </w:rPr>
        <w:t> </w:t>
      </w:r>
      <w:r>
        <w:rPr/>
        <w:t>21-30.</w:t>
      </w:r>
    </w:p>
    <w:p>
      <w:pPr>
        <w:pStyle w:val="BodyText"/>
        <w:ind w:left="838" w:right="56" w:hanging="568"/>
        <w:jc w:val="both"/>
      </w:pPr>
      <w:r>
        <w:rPr/>
        <w:t>Ismaila, Salami O., Akanbi, Olusegun G., Oderinu, Sarah O., Anyanwu, Benedict U., Alamu, Kamal O., 2015. Design of ergonomically compliant desks and chairs for primary pupils in Ibadan, Nigeria. </w:t>
      </w:r>
      <w:r>
        <w:rPr>
          <w:i/>
        </w:rPr>
        <w:t>Journal of </w:t>
      </w:r>
      <w:r>
        <w:rPr>
          <w:i/>
        </w:rPr>
        <w:t>Engineering Science and Technology </w:t>
      </w:r>
      <w:r>
        <w:rPr/>
        <w:t>Vol. 10, No. 1 (2015) 35 - 46 School of Engineering, Taylor’s University.</w:t>
      </w:r>
    </w:p>
    <w:p>
      <w:pPr>
        <w:pStyle w:val="BodyText"/>
        <w:ind w:left="838" w:right="57" w:hanging="568"/>
        <w:jc w:val="both"/>
      </w:pPr>
      <w:r>
        <w:rPr/>
        <w:t>Rojas Colvin, Jimena, Almagia Flores, Atilio Aldo, Hardi, Juan Sebastián, 2011. Estudio antropométrico en párvulos atendidos por el sistema educativo público chileno para el diseño de mobiliario. </w:t>
      </w:r>
      <w:r>
        <w:rPr>
          <w:i/>
        </w:rPr>
        <w:t>Int. J. Morphol.</w:t>
      </w:r>
      <w:r>
        <w:rPr/>
        <w:t>, 31(1), 189-196.</w:t>
      </w:r>
    </w:p>
    <w:p>
      <w:pPr>
        <w:pStyle w:val="BodyText"/>
        <w:ind w:left="1121" w:right="1" w:hanging="851"/>
        <w:jc w:val="both"/>
      </w:pPr>
      <w:r>
        <w:rPr/>
        <w:t>Vásquez Quiroga, J., Guzmán Hernández, J. R., De la Vega, Enrique Dr., 2011. Medidas antropométricas de niños de escuelas primarias de Caborca,    Sonora,</w:t>
      </w:r>
    </w:p>
    <w:p>
      <w:pPr>
        <w:pStyle w:val="BodyText"/>
        <w:spacing w:before="74"/>
        <w:ind w:left="270" w:right="675"/>
        <w:jc w:val="both"/>
      </w:pPr>
      <w:r>
        <w:rPr/>
        <w:br w:type="column"/>
      </w:r>
      <w:r>
        <w:rPr/>
        <w:t>México. XIII Congreso Internacional de Ergonomía y XVII Reunión Binacional de Ergonomía México-E.U.A, Mexicali, Baja California, México del 27 al 30 de abril.</w:t>
      </w:r>
    </w:p>
    <w:p>
      <w:pPr>
        <w:spacing w:after="0"/>
        <w:jc w:val="both"/>
        <w:sectPr>
          <w:type w:val="continuous"/>
          <w:pgSz w:w="12240" w:h="15840"/>
          <w:pgMar w:top="1500" w:bottom="280" w:left="580" w:right="220"/>
          <w:cols w:num="2" w:equalWidth="0">
            <w:col w:w="5190" w:space="1285"/>
            <w:col w:w="4965"/>
          </w:cols>
        </w:sectPr>
      </w:pPr>
    </w:p>
    <w:p>
      <w:pPr>
        <w:pStyle w:val="BodyText"/>
        <w:spacing w:before="11"/>
        <w:rPr>
          <w:sz w:val="11"/>
        </w:rPr>
      </w:pPr>
    </w:p>
    <w:p>
      <w:pPr>
        <w:spacing w:after="0"/>
        <w:rPr>
          <w:sz w:val="11"/>
        </w:rPr>
        <w:sectPr>
          <w:pgSz w:w="12240" w:h="15840"/>
          <w:pgMar w:header="545" w:footer="852" w:top="1060" w:bottom="1040" w:left="580" w:right="220"/>
        </w:sectPr>
      </w:pPr>
    </w:p>
    <w:p>
      <w:pPr>
        <w:pStyle w:val="Heading1"/>
        <w:spacing w:before="70"/>
        <w:ind w:left="286" w:right="17"/>
        <w:jc w:val="center"/>
      </w:pPr>
      <w:r>
        <w:rPr/>
        <w:t>Characterization of Musculoskeletal Disorders in the manufacturing industry in northwest of Mexico</w:t>
      </w:r>
    </w:p>
    <w:p>
      <w:pPr>
        <w:pStyle w:val="BodyText"/>
        <w:spacing w:before="11"/>
        <w:rPr>
          <w:b/>
          <w:sz w:val="19"/>
        </w:rPr>
      </w:pPr>
    </w:p>
    <w:p>
      <w:pPr>
        <w:pStyle w:val="BodyText"/>
        <w:spacing w:line="230" w:lineRule="exact"/>
        <w:ind w:left="282" w:right="14" w:firstLine="2"/>
        <w:jc w:val="center"/>
        <w:rPr>
          <w:sz w:val="13"/>
        </w:rPr>
      </w:pPr>
      <w:r>
        <w:rPr/>
        <w:t>Enrique Javier de la Vega Bustillos</w:t>
      </w:r>
      <w:r>
        <w:rPr>
          <w:position w:val="9"/>
          <w:sz w:val="13"/>
        </w:rPr>
        <w:t>a</w:t>
      </w:r>
      <w:r>
        <w:rPr/>
        <w:t>, Francisco Octavio López Millán</w:t>
      </w:r>
      <w:r>
        <w:rPr>
          <w:position w:val="9"/>
          <w:sz w:val="13"/>
        </w:rPr>
        <w:t>b</w:t>
      </w:r>
      <w:r>
        <w:rPr/>
        <w:t>, Gerardo Meza Partida</w:t>
      </w:r>
      <w:r>
        <w:rPr>
          <w:position w:val="9"/>
          <w:sz w:val="13"/>
        </w:rPr>
        <w:t>c</w:t>
      </w:r>
      <w:r>
        <w:rPr/>
        <w:t>, Karla Patricia Lucero Duarte</w:t>
      </w:r>
      <w:r>
        <w:rPr>
          <w:position w:val="9"/>
          <w:sz w:val="13"/>
        </w:rPr>
        <w:t>d</w:t>
      </w:r>
    </w:p>
    <w:p>
      <w:pPr>
        <w:pStyle w:val="BodyText"/>
        <w:spacing w:before="4"/>
        <w:rPr>
          <w:sz w:val="18"/>
        </w:rPr>
      </w:pPr>
    </w:p>
    <w:p>
      <w:pPr>
        <w:spacing w:before="1"/>
        <w:ind w:left="286" w:right="17" w:firstLine="0"/>
        <w:jc w:val="center"/>
        <w:rPr>
          <w:i/>
          <w:sz w:val="16"/>
        </w:rPr>
      </w:pPr>
      <w:r>
        <w:rPr>
          <w:i/>
          <w:position w:val="7"/>
          <w:sz w:val="10"/>
        </w:rPr>
        <w:t>a</w:t>
      </w:r>
      <w:r>
        <w:rPr>
          <w:i/>
          <w:sz w:val="16"/>
        </w:rPr>
        <w:t>División de Estudios Superiores e Investigación, Instituto Tecnológico de </w:t>
      </w:r>
      <w:r>
        <w:rPr>
          <w:i/>
          <w:sz w:val="16"/>
        </w:rPr>
        <w:t>Hermosillo, Hermosillo Sonora, MÉXICO;</w:t>
      </w:r>
    </w:p>
    <w:p>
      <w:pPr>
        <w:spacing w:line="184" w:lineRule="exact" w:before="1"/>
        <w:ind w:left="357" w:right="89" w:firstLine="0"/>
        <w:jc w:val="center"/>
        <w:rPr>
          <w:i/>
          <w:sz w:val="16"/>
        </w:rPr>
      </w:pPr>
      <w:r>
        <w:rPr>
          <w:position w:val="7"/>
          <w:sz w:val="10"/>
        </w:rPr>
        <w:t>b</w:t>
      </w:r>
      <w:r>
        <w:rPr>
          <w:i/>
          <w:sz w:val="16"/>
        </w:rPr>
        <w:t>Departamento de Ingeniería Industrial, Instituto Tecnológico de </w:t>
      </w:r>
      <w:r>
        <w:rPr>
          <w:i/>
          <w:sz w:val="16"/>
        </w:rPr>
        <w:t>Hermosillo, Hermosillo Sonora, MÉXICO</w:t>
      </w:r>
    </w:p>
    <w:p>
      <w:pPr>
        <w:spacing w:line="184" w:lineRule="exact" w:before="0"/>
        <w:ind w:left="357" w:right="89" w:firstLine="0"/>
        <w:jc w:val="center"/>
        <w:rPr>
          <w:i/>
          <w:sz w:val="16"/>
        </w:rPr>
      </w:pPr>
      <w:r>
        <w:rPr>
          <w:position w:val="7"/>
          <w:sz w:val="10"/>
        </w:rPr>
        <w:t>c</w:t>
      </w:r>
      <w:r>
        <w:rPr>
          <w:i/>
          <w:sz w:val="16"/>
        </w:rPr>
        <w:t>Departamento de Ingeniería Industrial, Instituto Tecnológico de </w:t>
      </w:r>
      <w:r>
        <w:rPr>
          <w:i/>
          <w:sz w:val="16"/>
        </w:rPr>
        <w:t>Hermosillo, Hermosillo Sonora, MÉXICO</w:t>
      </w:r>
    </w:p>
    <w:p>
      <w:pPr>
        <w:spacing w:line="184" w:lineRule="exact" w:before="0"/>
        <w:ind w:left="357" w:right="89" w:firstLine="0"/>
        <w:jc w:val="center"/>
        <w:rPr>
          <w:i/>
          <w:sz w:val="16"/>
        </w:rPr>
      </w:pPr>
      <w:r>
        <w:rPr/>
        <w:pict>
          <v:line style="position:absolute;mso-position-horizontal-relative:page;mso-position-vertical-relative:paragraph;z-index:19336" from="41.040001pt,28.719982pt" to="289.860001pt,28.719982pt" stroked="true" strokeweight=".48004pt" strokecolor="#000000">
            <w10:wrap type="none"/>
          </v:line>
        </w:pict>
      </w:r>
      <w:r>
        <w:rPr>
          <w:position w:val="7"/>
          <w:sz w:val="10"/>
        </w:rPr>
        <w:t>d</w:t>
      </w:r>
      <w:r>
        <w:rPr>
          <w:i/>
          <w:sz w:val="16"/>
        </w:rPr>
        <w:t>Departamento de Ingeniería Industrial, Instituto Tecnológico de </w:t>
      </w:r>
      <w:r>
        <w:rPr>
          <w:i/>
          <w:sz w:val="16"/>
        </w:rPr>
        <w:t>Hermosillo, Hermosillo Sonora, MÉXICO</w:t>
      </w:r>
    </w:p>
    <w:p>
      <w:pPr>
        <w:pStyle w:val="BodyText"/>
        <w:rPr>
          <w:i/>
          <w:sz w:val="16"/>
        </w:rPr>
      </w:pPr>
    </w:p>
    <w:p>
      <w:pPr>
        <w:pStyle w:val="BodyText"/>
        <w:spacing w:before="6"/>
        <w:rPr>
          <w:i/>
        </w:rPr>
      </w:pPr>
    </w:p>
    <w:p>
      <w:pPr>
        <w:spacing w:before="0"/>
        <w:ind w:left="270" w:right="118" w:firstLine="0"/>
        <w:jc w:val="left"/>
        <w:rPr>
          <w:b/>
          <w:sz w:val="18"/>
        </w:rPr>
      </w:pPr>
      <w:r>
        <w:rPr>
          <w:b/>
          <w:sz w:val="18"/>
        </w:rPr>
        <w:t>Resumen</w:t>
      </w:r>
    </w:p>
    <w:p>
      <w:pPr>
        <w:pStyle w:val="BodyText"/>
        <w:rPr>
          <w:b/>
          <w:sz w:val="18"/>
        </w:rPr>
      </w:pPr>
    </w:p>
    <w:p>
      <w:pPr>
        <w:pStyle w:val="BodyText"/>
        <w:spacing w:before="2"/>
        <w:rPr>
          <w:b/>
          <w:sz w:val="21"/>
        </w:rPr>
      </w:pPr>
    </w:p>
    <w:p>
      <w:pPr>
        <w:pStyle w:val="BodyText"/>
        <w:ind w:left="270" w:right="124"/>
      </w:pPr>
      <w:r>
        <w:rPr/>
        <w:pict>
          <v:line style="position:absolute;mso-position-horizontal-relative:page;mso-position-vertical-relative:paragraph;z-index:19360" from="41.040001pt,102.456055pt" to="289.860001pt,102.456055pt" stroked="true" strokeweight=".48001pt" strokecolor="#000000">
            <w10:wrap type="none"/>
          </v:line>
        </w:pict>
      </w:r>
      <w:r>
        <w:rPr/>
        <w:t>El objetivo principal de este trabajo de investigación es caracterizar las lesiones ocupacionales en el noroeste de Mexico. Para hacer este trabajo, fuimos a la fuente original, el Instituto Mexicano del Seguro Social (IMSS), quien certifica las lesiones ocupacionales ocurridas en los lugares de trabajo. Por otra parte, se evaluaron 706 estaciones de trabajo de la industria de manufactura para determinar el nivel de riesgo ergonómico.</w:t>
      </w:r>
    </w:p>
    <w:p>
      <w:pPr>
        <w:pStyle w:val="BodyText"/>
      </w:pPr>
    </w:p>
    <w:p>
      <w:pPr>
        <w:pStyle w:val="BodyText"/>
      </w:pPr>
    </w:p>
    <w:p>
      <w:pPr>
        <w:pStyle w:val="BodyText"/>
      </w:pPr>
    </w:p>
    <w:p>
      <w:pPr>
        <w:pStyle w:val="Heading4"/>
        <w:spacing w:before="153"/>
        <w:ind w:right="118"/>
        <w:jc w:val="left"/>
      </w:pPr>
      <w:r>
        <w:rPr/>
        <w:t>Abstract</w:t>
      </w:r>
    </w:p>
    <w:p>
      <w:pPr>
        <w:pStyle w:val="BodyText"/>
        <w:spacing w:before="10"/>
        <w:rPr>
          <w:b/>
          <w:sz w:val="18"/>
        </w:rPr>
      </w:pPr>
    </w:p>
    <w:p>
      <w:pPr>
        <w:pStyle w:val="BodyText"/>
        <w:ind w:left="270"/>
        <w:jc w:val="both"/>
      </w:pPr>
      <w:r>
        <w:rPr/>
        <w:t>The aim of this work is to characterize occupational injuries in northwestern Mexico. To make this work resorted to the original source, the Mexican Social Security Institute (IMSS), who certifies labor lesions generated in the workplace. On the other hand, 706 workstations of the Manufacturing Industry were evaluated to determine the level of ergonomic risk. The results are: In the  period between the years 2010-2014 its shows the increase of Musculoskeletal Disasters (MSD), from 84 in the year 2010 to 310 in 2014. The prevalence of injury is greater in women than in men. In the early years (2010-2012) the shoulder was the most affected part of the body, but in the entire series of years, the wrist has a positive trend that exceeds the shoulder in recent years. In reviewing injuries by industry can be seen that the wrist has prevalence in the electronics industry, the shoulder in the automotive industry, but MSD injuries decreased in the textile industry. Also a positive relationship between the data obtained from IMSS and assessments made in companies considering a correlation coefficient of 0.758 was</w:t>
      </w:r>
      <w:r>
        <w:rPr>
          <w:spacing w:val="-4"/>
        </w:rPr>
        <w:t> </w:t>
      </w:r>
      <w:r>
        <w:rPr/>
        <w:t>found</w:t>
      </w:r>
    </w:p>
    <w:p>
      <w:pPr>
        <w:pStyle w:val="BodyText"/>
      </w:pPr>
    </w:p>
    <w:p>
      <w:pPr>
        <w:pStyle w:val="BodyText"/>
        <w:spacing w:before="3"/>
        <w:rPr>
          <w:sz w:val="18"/>
        </w:rPr>
      </w:pPr>
    </w:p>
    <w:p>
      <w:pPr>
        <w:pStyle w:val="BodyText"/>
        <w:spacing w:line="202" w:lineRule="exact"/>
        <w:ind w:left="270" w:right="595"/>
      </w:pPr>
      <w:r>
        <w:rPr>
          <w:i/>
        </w:rPr>
        <w:t>Keywords: </w:t>
      </w:r>
      <w:r>
        <w:rPr/>
        <w:t>Musculoskeletal Disasters; Manufacturing Industry; </w:t>
      </w:r>
      <w:r>
        <w:rPr>
          <w:b/>
        </w:rPr>
        <w:t>N</w:t>
      </w:r>
      <w:r>
        <w:rPr/>
        <w:t>orthwest of Mexico</w:t>
      </w:r>
    </w:p>
    <w:p>
      <w:pPr>
        <w:pStyle w:val="Heading4"/>
        <w:spacing w:before="74"/>
      </w:pPr>
      <w:r>
        <w:rPr>
          <w:b w:val="0"/>
        </w:rPr>
        <w:br w:type="column"/>
      </w:r>
      <w:r>
        <w:rPr/>
        <w:t>1. Introduction</w:t>
      </w:r>
    </w:p>
    <w:p>
      <w:pPr>
        <w:pStyle w:val="BodyText"/>
        <w:spacing w:before="1"/>
        <w:rPr>
          <w:b/>
          <w:sz w:val="21"/>
        </w:rPr>
      </w:pPr>
    </w:p>
    <w:p>
      <w:pPr>
        <w:pStyle w:val="BodyText"/>
        <w:ind w:left="270" w:right="675"/>
        <w:jc w:val="both"/>
      </w:pPr>
      <w:r>
        <w:rPr/>
        <w:t>In the eighteenth century the work of the Italian physician Bernardino Ramazzini "De Morbis artificum diatribe" in which the most common injuries of the craftsmen of that time are described [1]. As we can see, from that time the relationship between the type of work and injuries is known. Unfortunately, in Mexico there is no reliable statistical basis of the lesions that develop in the workplace. Currently, more than half of the countries do not provide adequate statistics on occupational diseases and the available data relate mainly to injuries and deaths. This not only makes it difficult to identify specific injuries or diseases of men and women, but also hinders the development of effective measures for all prevention. Globally, more than half of the countries do not provide statistics on occupational diseases. Many countries have social security systems including compensation schemes for occupational accidents and diseases, however, its coverage is limited to workers in the formal economy, where it is not effective because systems for recording and reporting are deficient. Therefore, it is reported and indemnifies few number of occupational accidents. The situation regarding occupational diseases is even more complicated. In fact, in most countries, it is only covered a portion of the actual cases, reflecting the difficulty of definition, recognition and reporting [2].</w:t>
      </w:r>
    </w:p>
    <w:p>
      <w:pPr>
        <w:pStyle w:val="BodyText"/>
        <w:ind w:left="270" w:right="677"/>
        <w:jc w:val="both"/>
      </w:pPr>
      <w:r>
        <w:rPr/>
        <w:t>In Mexico there is little information and it is not well classified, as seen in the data submitted in 1998-2002 by the Instituto Mexicano del Seguro Social (IMSS) where it appears that the total of Musculoskeletal Disasters (MSD) were 217 for a total of 12,232,301 affiliates workers [3].</w:t>
      </w:r>
    </w:p>
    <w:p>
      <w:pPr>
        <w:pStyle w:val="BodyText"/>
        <w:spacing w:before="10"/>
      </w:pPr>
    </w:p>
    <w:p>
      <w:pPr>
        <w:spacing w:before="0"/>
        <w:ind w:left="270" w:right="0" w:firstLine="0"/>
        <w:jc w:val="both"/>
        <w:rPr>
          <w:i/>
          <w:sz w:val="20"/>
        </w:rPr>
      </w:pPr>
      <w:r>
        <w:rPr>
          <w:b/>
          <w:i/>
          <w:sz w:val="20"/>
        </w:rPr>
        <w:t>1.1 </w:t>
      </w:r>
      <w:r>
        <w:rPr>
          <w:i/>
          <w:sz w:val="20"/>
        </w:rPr>
        <w:t>Objective</w:t>
      </w:r>
    </w:p>
    <w:p>
      <w:pPr>
        <w:pStyle w:val="BodyText"/>
        <w:rPr>
          <w:i/>
        </w:rPr>
      </w:pPr>
    </w:p>
    <w:p>
      <w:pPr>
        <w:pStyle w:val="BodyText"/>
        <w:spacing w:before="124"/>
        <w:ind w:left="270" w:right="675"/>
        <w:jc w:val="both"/>
      </w:pPr>
      <w:r>
        <w:rPr/>
        <w:t>Given the lack of information it was decided to go to the original data source, the local medical units of the IMSS and identify the dependent and independent study variables and certificates injury cases were obtained and were characterized it by number of lesions, type of injury by industry and injuries by gender.</w:t>
      </w:r>
    </w:p>
    <w:p>
      <w:pPr>
        <w:pStyle w:val="BodyText"/>
        <w:ind w:left="270" w:right="676" w:firstLine="397"/>
        <w:jc w:val="both"/>
      </w:pPr>
      <w:r>
        <w:rPr/>
        <w:t>On the other hand, 706 workstations representing 3543 operators of the manufacturing industry of Sonora were evaluated to determine the risk of MSD. This evaluation  was done using the Rodgers Muscle Fatigue Analysis [4]. Subsequently, the degree of correlation was sought between the two</w:t>
      </w:r>
      <w:r>
        <w:rPr>
          <w:spacing w:val="-9"/>
        </w:rPr>
        <w:t> </w:t>
      </w:r>
      <w:r>
        <w:rPr/>
        <w:t>results.</w:t>
      </w:r>
    </w:p>
    <w:p>
      <w:pPr>
        <w:pStyle w:val="BodyText"/>
        <w:spacing w:before="1"/>
        <w:rPr>
          <w:sz w:val="21"/>
        </w:rPr>
      </w:pPr>
    </w:p>
    <w:p>
      <w:pPr>
        <w:pStyle w:val="Heading4"/>
        <w:numPr>
          <w:ilvl w:val="0"/>
          <w:numId w:val="181"/>
        </w:numPr>
        <w:tabs>
          <w:tab w:pos="421" w:val="left" w:leader="none"/>
        </w:tabs>
        <w:spacing w:line="240" w:lineRule="auto" w:before="0" w:after="0"/>
        <w:ind w:left="420" w:right="0" w:hanging="150"/>
        <w:jc w:val="both"/>
      </w:pPr>
      <w:r>
        <w:rPr/>
        <w:t>Method</w:t>
      </w:r>
    </w:p>
    <w:p>
      <w:pPr>
        <w:pStyle w:val="BodyText"/>
        <w:spacing w:before="6"/>
        <w:rPr>
          <w:b/>
        </w:rPr>
      </w:pPr>
    </w:p>
    <w:p>
      <w:pPr>
        <w:pStyle w:val="BodyText"/>
        <w:spacing w:before="1"/>
        <w:ind w:left="270" w:right="674"/>
        <w:jc w:val="both"/>
      </w:pPr>
      <w:r>
        <w:rPr/>
        <w:t>The research was limited to the years2010-2014, and only the manufacturing industry that is predominant in the  region. The dependent variable was the MSD and the independent variables were: Classification of company, type and anatomical region of injury and gender. First, we have the IMSS data and moreover we have data obtained by the Rodgers method. With these data we may characterize   </w:t>
      </w:r>
      <w:r>
        <w:rPr>
          <w:spacing w:val="37"/>
        </w:rPr>
        <w:t> </w:t>
      </w:r>
      <w:r>
        <w:rPr/>
        <w:t>the</w:t>
      </w:r>
    </w:p>
    <w:p>
      <w:pPr>
        <w:spacing w:after="0"/>
        <w:jc w:val="both"/>
        <w:sectPr>
          <w:type w:val="continuous"/>
          <w:pgSz w:w="12240" w:h="15840"/>
          <w:pgMar w:top="1500" w:bottom="280" w:left="580" w:right="220"/>
          <w:cols w:num="2" w:equalWidth="0">
            <w:col w:w="5190" w:space="434"/>
            <w:col w:w="5816"/>
          </w:cols>
        </w:sectPr>
      </w:pPr>
    </w:p>
    <w:p>
      <w:pPr>
        <w:pStyle w:val="BodyText"/>
        <w:spacing w:before="2"/>
        <w:rPr>
          <w:sz w:val="17"/>
        </w:rPr>
      </w:pPr>
    </w:p>
    <w:p>
      <w:pPr>
        <w:pStyle w:val="BodyText"/>
        <w:spacing w:line="20" w:lineRule="exact"/>
        <w:ind w:left="235"/>
        <w:rPr>
          <w:sz w:val="2"/>
        </w:rPr>
      </w:pPr>
      <w:r>
        <w:rPr>
          <w:sz w:val="2"/>
        </w:rPr>
        <w:pict>
          <v:group style="width:249.35pt;height:.5pt;mso-position-horizontal-relative:char;mso-position-vertical-relative:line" coordorigin="0,0" coordsize="4987,10">
            <v:line style="position:absolute" from="5,5" to="4981,5" stroked="true" strokeweight=".48001pt" strokecolor="#000000"/>
          </v:group>
        </w:pict>
      </w:r>
      <w:r>
        <w:rPr>
          <w:sz w:val="2"/>
        </w:rPr>
      </w:r>
    </w:p>
    <w:p>
      <w:pPr>
        <w:spacing w:after="0" w:line="20" w:lineRule="exact"/>
        <w:rPr>
          <w:sz w:val="2"/>
        </w:rPr>
        <w:sectPr>
          <w:type w:val="continuous"/>
          <w:pgSz w:w="12240" w:h="15840"/>
          <w:pgMar w:top="1500" w:bottom="280" w:left="580" w:right="220"/>
        </w:sectPr>
      </w:pPr>
    </w:p>
    <w:p>
      <w:pPr>
        <w:pStyle w:val="BodyText"/>
        <w:spacing w:before="4"/>
        <w:rPr>
          <w:sz w:val="11"/>
        </w:rPr>
      </w:pPr>
    </w:p>
    <w:p>
      <w:pPr>
        <w:pStyle w:val="BodyText"/>
        <w:spacing w:before="74"/>
        <w:ind w:left="270" w:right="6251"/>
        <w:jc w:val="both"/>
      </w:pPr>
      <w:r>
        <w:rPr/>
        <w:pict>
          <v:group style="position:absolute;margin-left:324.295013pt;margin-top:11.051279pt;width:220.05pt;height:152.450pt;mso-position-horizontal-relative:page;mso-position-vertical-relative:paragraph;z-index:19648" coordorigin="6486,221" coordsize="4401,3049">
            <v:shape style="position:absolute;left:7028;top:501;width:3032;height:2329" type="#_x0000_t75" stroked="false">
              <v:imagedata r:id="rId820" o:title=""/>
            </v:shape>
            <v:shape style="position:absolute;left:6996;top:563;width:2975;height:2297" coordorigin="6996,563" coordsize="2975,2297" path="m7031,2824l6996,2824m7031,2542l6996,2542m7031,2260l6996,2260m7031,1977l6996,1977m7031,1695l6996,1695m7031,1412l6996,1412m7031,1128l6996,1128m7031,845l6996,845m7031,563l6996,563m7031,2825l7031,2860m7620,2825l7620,2860m8207,2825l8207,2860m8796,2825l8796,2860m9383,2825l9383,2860m9971,2825l9971,2860e" filled="false" stroked="true" strokeweight=".229pt" strokecolor="#858585">
              <v:path arrowok="t"/>
            </v:shape>
            <v:line style="position:absolute" from="10187,1389" to="10249,1389" stroked="true" strokeweight="3.0601pt" strokecolor="#4d80bc"/>
            <v:line style="position:absolute" from="10187,1562" to="10249,1562" stroked="true" strokeweight="3.12pt" strokecolor="#bf4f4b"/>
            <v:line style="position:absolute" from="10187,1736" to="10249,1736" stroked="true" strokeweight="3.12pt" strokecolor="#9aba59"/>
            <v:line style="position:absolute" from="10187,1910" to="10249,1910" stroked="true" strokeweight="3.12pt" strokecolor="#7e64a1"/>
            <v:line style="position:absolute" from="10187,2082" to="10249,2082" stroked="true" strokeweight="3.06pt" strokecolor="#4bacc4"/>
            <v:rect style="position:absolute;left:6488;top:224;width:4396;height:3043" filled="false" stroked="true" strokeweight=".25pt" strokecolor="#000000"/>
            <v:shape style="position:absolute;left:6756;top:517;width:172;height:1527" type="#_x0000_t202" filled="false" stroked="false">
              <v:textbox inset="0,0,0,0">
                <w:txbxContent>
                  <w:p>
                    <w:pPr>
                      <w:spacing w:line="114" w:lineRule="exact" w:before="0"/>
                      <w:ind w:left="0" w:right="-16" w:firstLine="0"/>
                      <w:jc w:val="left"/>
                      <w:rPr>
                        <w:rFonts w:ascii="Calibri"/>
                        <w:sz w:val="11"/>
                      </w:rPr>
                    </w:pPr>
                    <w:r>
                      <w:rPr>
                        <w:rFonts w:ascii="Calibri"/>
                        <w:sz w:val="11"/>
                      </w:rPr>
                      <w:t>160</w:t>
                    </w:r>
                  </w:p>
                  <w:p>
                    <w:pPr>
                      <w:spacing w:line="240" w:lineRule="auto" w:before="10"/>
                      <w:rPr>
                        <w:rFonts w:ascii="Arial"/>
                        <w:sz w:val="12"/>
                      </w:rPr>
                    </w:pPr>
                  </w:p>
                  <w:p>
                    <w:pPr>
                      <w:spacing w:before="1"/>
                      <w:ind w:left="0" w:right="-16" w:firstLine="0"/>
                      <w:jc w:val="left"/>
                      <w:rPr>
                        <w:rFonts w:ascii="Calibri"/>
                        <w:sz w:val="11"/>
                      </w:rPr>
                    </w:pPr>
                    <w:r>
                      <w:rPr>
                        <w:rFonts w:ascii="Calibri"/>
                        <w:sz w:val="11"/>
                      </w:rPr>
                      <w:t>140</w:t>
                    </w:r>
                  </w:p>
                  <w:p>
                    <w:pPr>
                      <w:spacing w:line="240" w:lineRule="auto" w:before="9"/>
                      <w:rPr>
                        <w:rFonts w:ascii="Arial"/>
                        <w:sz w:val="12"/>
                      </w:rPr>
                    </w:pPr>
                  </w:p>
                  <w:p>
                    <w:pPr>
                      <w:spacing w:before="0"/>
                      <w:ind w:left="0" w:right="-16" w:firstLine="0"/>
                      <w:jc w:val="left"/>
                      <w:rPr>
                        <w:rFonts w:ascii="Calibri"/>
                        <w:sz w:val="11"/>
                      </w:rPr>
                    </w:pPr>
                    <w:r>
                      <w:rPr>
                        <w:rFonts w:ascii="Calibri"/>
                        <w:sz w:val="11"/>
                      </w:rPr>
                      <w:t>120</w:t>
                    </w:r>
                  </w:p>
                  <w:p>
                    <w:pPr>
                      <w:spacing w:line="240" w:lineRule="auto" w:before="10"/>
                      <w:rPr>
                        <w:rFonts w:ascii="Arial"/>
                        <w:sz w:val="12"/>
                      </w:rPr>
                    </w:pPr>
                  </w:p>
                  <w:p>
                    <w:pPr>
                      <w:spacing w:before="1"/>
                      <w:ind w:left="0" w:right="-16" w:firstLine="0"/>
                      <w:jc w:val="left"/>
                      <w:rPr>
                        <w:rFonts w:ascii="Calibri"/>
                        <w:sz w:val="11"/>
                      </w:rPr>
                    </w:pPr>
                    <w:r>
                      <w:rPr>
                        <w:rFonts w:ascii="Calibri"/>
                        <w:sz w:val="11"/>
                      </w:rPr>
                      <w:t>100</w:t>
                    </w:r>
                  </w:p>
                  <w:p>
                    <w:pPr>
                      <w:spacing w:line="240" w:lineRule="auto" w:before="10"/>
                      <w:rPr>
                        <w:rFonts w:ascii="Arial"/>
                        <w:sz w:val="12"/>
                      </w:rPr>
                    </w:pPr>
                  </w:p>
                  <w:p>
                    <w:pPr>
                      <w:spacing w:before="1"/>
                      <w:ind w:left="56" w:right="-16" w:firstLine="0"/>
                      <w:jc w:val="left"/>
                      <w:rPr>
                        <w:rFonts w:ascii="Calibri"/>
                        <w:sz w:val="11"/>
                      </w:rPr>
                    </w:pPr>
                    <w:r>
                      <w:rPr>
                        <w:rFonts w:ascii="Calibri"/>
                        <w:sz w:val="11"/>
                      </w:rPr>
                      <w:t>80</w:t>
                    </w:r>
                  </w:p>
                  <w:p>
                    <w:pPr>
                      <w:spacing w:line="240" w:lineRule="auto" w:before="9"/>
                      <w:rPr>
                        <w:rFonts w:ascii="Arial"/>
                        <w:sz w:val="12"/>
                      </w:rPr>
                    </w:pPr>
                  </w:p>
                  <w:p>
                    <w:pPr>
                      <w:spacing w:line="133" w:lineRule="exact" w:before="0"/>
                      <w:ind w:left="56" w:right="-16" w:firstLine="0"/>
                      <w:jc w:val="left"/>
                      <w:rPr>
                        <w:rFonts w:ascii="Calibri"/>
                        <w:sz w:val="11"/>
                      </w:rPr>
                    </w:pPr>
                    <w:r>
                      <w:rPr>
                        <w:rFonts w:ascii="Calibri"/>
                        <w:sz w:val="11"/>
                      </w:rPr>
                      <w:t>60</w:t>
                    </w:r>
                  </w:p>
                </w:txbxContent>
              </v:textbox>
              <w10:wrap type="none"/>
            </v:shape>
            <v:shape style="position:absolute;left:10278;top:1337;width:410;height:807" type="#_x0000_t202" filled="false" stroked="false">
              <v:textbox inset="0,0,0,0">
                <w:txbxContent>
                  <w:p>
                    <w:pPr>
                      <w:spacing w:line="114" w:lineRule="exact" w:before="0"/>
                      <w:ind w:left="0" w:right="-11" w:firstLine="0"/>
                      <w:jc w:val="left"/>
                      <w:rPr>
                        <w:rFonts w:ascii="Calibri"/>
                        <w:sz w:val="11"/>
                      </w:rPr>
                    </w:pPr>
                    <w:r>
                      <w:rPr>
                        <w:rFonts w:ascii="Calibri"/>
                        <w:w w:val="105"/>
                        <w:sz w:val="11"/>
                      </w:rPr>
                      <w:t>Elbow</w:t>
                    </w:r>
                  </w:p>
                  <w:p>
                    <w:pPr>
                      <w:spacing w:line="309" w:lineRule="auto" w:before="39"/>
                      <w:ind w:left="0" w:right="-11" w:firstLine="0"/>
                      <w:jc w:val="left"/>
                      <w:rPr>
                        <w:rFonts w:ascii="Calibri"/>
                        <w:sz w:val="11"/>
                      </w:rPr>
                    </w:pPr>
                    <w:r>
                      <w:rPr>
                        <w:rFonts w:ascii="Calibri"/>
                        <w:w w:val="105"/>
                        <w:sz w:val="11"/>
                      </w:rPr>
                      <w:t>Back </w:t>
                    </w:r>
                    <w:r>
                      <w:rPr>
                        <w:rFonts w:ascii="Calibri"/>
                        <w:sz w:val="11"/>
                      </w:rPr>
                      <w:t>Shoulder </w:t>
                    </w:r>
                    <w:r>
                      <w:rPr>
                        <w:rFonts w:ascii="Calibri"/>
                        <w:w w:val="105"/>
                        <w:sz w:val="11"/>
                      </w:rPr>
                      <w:t>Wrist</w:t>
                    </w:r>
                  </w:p>
                  <w:p>
                    <w:pPr>
                      <w:spacing w:line="132" w:lineRule="exact" w:before="0"/>
                      <w:ind w:left="0" w:right="-11" w:firstLine="0"/>
                      <w:jc w:val="left"/>
                      <w:rPr>
                        <w:rFonts w:ascii="Calibri"/>
                        <w:sz w:val="11"/>
                      </w:rPr>
                    </w:pPr>
                    <w:r>
                      <w:rPr>
                        <w:rFonts w:ascii="Calibri"/>
                        <w:w w:val="105"/>
                        <w:sz w:val="11"/>
                      </w:rPr>
                      <w:t>Other</w:t>
                    </w:r>
                  </w:p>
                </w:txbxContent>
              </v:textbox>
              <w10:wrap type="none"/>
            </v:shape>
            <v:shape style="position:absolute;left:6812;top:2214;width:115;height:678" type="#_x0000_t202" filled="false" stroked="false">
              <v:textbox inset="0,0,0,0">
                <w:txbxContent>
                  <w:p>
                    <w:pPr>
                      <w:spacing w:line="114" w:lineRule="exact" w:before="0"/>
                      <w:ind w:left="0" w:right="-17" w:firstLine="0"/>
                      <w:jc w:val="left"/>
                      <w:rPr>
                        <w:rFonts w:ascii="Calibri"/>
                        <w:sz w:val="11"/>
                      </w:rPr>
                    </w:pPr>
                    <w:r>
                      <w:rPr>
                        <w:rFonts w:ascii="Calibri"/>
                        <w:sz w:val="11"/>
                      </w:rPr>
                      <w:t>40</w:t>
                    </w:r>
                  </w:p>
                  <w:p>
                    <w:pPr>
                      <w:spacing w:line="240" w:lineRule="auto" w:before="9"/>
                      <w:rPr>
                        <w:rFonts w:ascii="Arial"/>
                        <w:sz w:val="12"/>
                      </w:rPr>
                    </w:pPr>
                  </w:p>
                  <w:p>
                    <w:pPr>
                      <w:spacing w:before="0"/>
                      <w:ind w:left="0" w:right="-17" w:firstLine="0"/>
                      <w:jc w:val="left"/>
                      <w:rPr>
                        <w:rFonts w:ascii="Calibri"/>
                        <w:sz w:val="11"/>
                      </w:rPr>
                    </w:pPr>
                    <w:r>
                      <w:rPr>
                        <w:rFonts w:ascii="Calibri"/>
                        <w:sz w:val="11"/>
                      </w:rPr>
                      <w:t>20</w:t>
                    </w:r>
                  </w:p>
                  <w:p>
                    <w:pPr>
                      <w:spacing w:line="240" w:lineRule="auto" w:before="10"/>
                      <w:rPr>
                        <w:rFonts w:ascii="Arial"/>
                        <w:sz w:val="12"/>
                      </w:rPr>
                    </w:pPr>
                  </w:p>
                  <w:p>
                    <w:pPr>
                      <w:spacing w:line="133" w:lineRule="exact" w:before="1"/>
                      <w:ind w:left="57" w:right="0" w:firstLine="0"/>
                      <w:jc w:val="left"/>
                      <w:rPr>
                        <w:rFonts w:ascii="Calibri"/>
                        <w:sz w:val="11"/>
                      </w:rPr>
                    </w:pPr>
                    <w:r>
                      <w:rPr>
                        <w:rFonts w:ascii="Calibri"/>
                        <w:w w:val="102"/>
                        <w:sz w:val="11"/>
                      </w:rPr>
                      <w:t>0</w:t>
                    </w:r>
                  </w:p>
                </w:txbxContent>
              </v:textbox>
              <w10:wrap type="none"/>
            </v:shape>
            <v:shape style="position:absolute;left:7212;top:2919;width:2609;height:113" type="#_x0000_t202" filled="false" stroked="false">
              <v:textbox inset="0,0,0,0">
                <w:txbxContent>
                  <w:p>
                    <w:pPr>
                      <w:tabs>
                        <w:tab w:pos="588" w:val="left" w:leader="none"/>
                        <w:tab w:pos="1174" w:val="left" w:leader="none"/>
                        <w:tab w:pos="1762" w:val="left" w:leader="none"/>
                        <w:tab w:pos="2323" w:val="left" w:leader="none"/>
                      </w:tabs>
                      <w:spacing w:line="113" w:lineRule="exact" w:before="0"/>
                      <w:ind w:left="0" w:right="0" w:firstLine="0"/>
                      <w:jc w:val="left"/>
                      <w:rPr>
                        <w:rFonts w:ascii="Calibri"/>
                        <w:sz w:val="11"/>
                      </w:rPr>
                    </w:pPr>
                    <w:r>
                      <w:rPr>
                        <w:rFonts w:ascii="Calibri"/>
                        <w:w w:val="105"/>
                        <w:sz w:val="11"/>
                      </w:rPr>
                      <w:t>2010</w:t>
                      <w:tab/>
                      <w:t>2011</w:t>
                      <w:tab/>
                      <w:t>2012</w:t>
                      <w:tab/>
                      <w:t>2013</w:t>
                      <w:tab/>
                    </w:r>
                    <w:r>
                      <w:rPr>
                        <w:rFonts w:ascii="Calibri"/>
                        <w:sz w:val="11"/>
                      </w:rPr>
                      <w:t>2014*</w:t>
                    </w:r>
                  </w:p>
                </w:txbxContent>
              </v:textbox>
              <w10:wrap type="none"/>
            </v:shape>
            <w10:wrap type="none"/>
          </v:group>
        </w:pict>
      </w:r>
      <w:r>
        <w:rPr/>
        <w:t>MSD of manufacturing industry of Sonora, in addition we can test the hypothesis of relationship between dataset</w:t>
      </w:r>
    </w:p>
    <w:p>
      <w:pPr>
        <w:pStyle w:val="BodyText"/>
        <w:spacing w:before="1"/>
        <w:rPr>
          <w:sz w:val="21"/>
        </w:rPr>
      </w:pPr>
    </w:p>
    <w:p>
      <w:pPr>
        <w:pStyle w:val="Heading4"/>
        <w:numPr>
          <w:ilvl w:val="0"/>
          <w:numId w:val="181"/>
        </w:numPr>
        <w:tabs>
          <w:tab w:pos="421" w:val="left" w:leader="none"/>
        </w:tabs>
        <w:spacing w:line="240" w:lineRule="auto" w:before="0" w:after="0"/>
        <w:ind w:left="420" w:right="0" w:hanging="150"/>
        <w:jc w:val="both"/>
      </w:pPr>
      <w:r>
        <w:rPr/>
        <w:t>Results</w:t>
      </w:r>
    </w:p>
    <w:p>
      <w:pPr>
        <w:pStyle w:val="BodyText"/>
        <w:spacing w:before="8"/>
        <w:rPr>
          <w:b/>
        </w:rPr>
      </w:pPr>
    </w:p>
    <w:p>
      <w:pPr>
        <w:pStyle w:val="BodyText"/>
        <w:ind w:left="270" w:right="6249"/>
        <w:jc w:val="both"/>
      </w:pPr>
      <w:r>
        <w:rPr/>
        <w:t>In the period between the years 2010-2014 its shows the increase of MSD, from 84 in the year 2010 to 310 in 2014 (Figure 1). This increase may be due to the lack of a public policy of prevention of occupational injuries.</w:t>
      </w:r>
    </w:p>
    <w:p>
      <w:pPr>
        <w:pStyle w:val="BodyText"/>
      </w:pPr>
    </w:p>
    <w:p>
      <w:pPr>
        <w:pStyle w:val="BodyText"/>
      </w:pPr>
    </w:p>
    <w:p>
      <w:pPr>
        <w:pStyle w:val="BodyText"/>
      </w:pPr>
    </w:p>
    <w:p>
      <w:pPr>
        <w:pStyle w:val="BodyText"/>
      </w:pPr>
    </w:p>
    <w:p>
      <w:pPr>
        <w:pStyle w:val="BodyText"/>
        <w:spacing w:before="1"/>
        <w:rPr>
          <w:sz w:val="24"/>
        </w:rPr>
      </w:pPr>
    </w:p>
    <w:p>
      <w:pPr>
        <w:spacing w:before="79"/>
        <w:ind w:left="5895" w:right="0" w:firstLine="0"/>
        <w:jc w:val="both"/>
        <w:rPr>
          <w:sz w:val="16"/>
        </w:rPr>
      </w:pPr>
      <w:r>
        <w:rPr/>
        <w:pict>
          <v:line style="position:absolute;mso-position-horizontal-relative:page;mso-position-vertical-relative:paragraph;z-index:19384;mso-wrap-distance-left:0;mso-wrap-distance-right:0" from="193.919998pt,17.208723pt" to="196.439998pt,17.208723pt" stroked="true" strokeweight="2.46pt" strokecolor="#4d80bc">
            <w10:wrap type="topAndBottom"/>
          </v:line>
        </w:pict>
      </w:r>
      <w:r>
        <w:rPr/>
        <w:pict>
          <v:group style="position:absolute;margin-left:42.530006pt;margin-top:-48.171268pt;width:185.9pt;height:139.550pt;mso-position-horizontal-relative:page;mso-position-vertical-relative:paragraph;z-index:-859336" coordorigin="851,-963" coordsize="3718,2791">
            <v:shape style="position:absolute;left:1280;top:1013;width:2504;height:2" coordorigin="1280,1013" coordsize="2504,0" path="m3241,1013l3784,1013m2824,1013l3074,1013m2407,1013l2657,1013m1990,1013l2240,1013m1573,1013l1823,1013m1280,1013l1405,1013e" filled="false" stroked="true" strokeweight=".192pt" strokecolor="#858585">
              <v:path arrowok="t"/>
            </v:shape>
            <v:rect style="position:absolute;left:1405;top:814;width:168;height:490" filled="true" fillcolor="#4d80bc" stroked="false">
              <v:fill type="solid"/>
            </v:rect>
            <v:shape style="position:absolute;left:1280;top:720;width:960;height:2" coordorigin="1280,720" coordsize="960,0" path="m1990,720l2240,720m1280,720l1823,720e" filled="false" stroked="true" strokeweight=".192pt" strokecolor="#858585">
              <v:path arrowok="t"/>
            </v:shape>
            <v:rect style="position:absolute;left:1823;top:510;width:167;height:793" filled="true" fillcolor="#4d80bc" stroked="false">
              <v:fill type="solid"/>
            </v:rect>
            <v:shape style="position:absolute;left:1280;top:137;width:1377;height:584" coordorigin="1280,137" coordsize="1377,584" path="m2407,720l2657,720m2407,429l2657,429m1280,429l2240,429m2407,137l2657,137m1280,137l2240,137e" filled="false" stroked="true" strokeweight=".192pt" strokecolor="#858585">
              <v:path arrowok="t"/>
            </v:shape>
            <v:rect style="position:absolute;left:2240;top:-26;width:167;height:1330" filled="true" fillcolor="#4d80bc" stroked="false">
              <v:fill type="solid"/>
            </v:rect>
            <v:shape style="position:absolute;left:1280;top:-154;width:1794;height:875" coordorigin="1280,-154" coordsize="1794,875" path="m2824,720l3074,720m2824,429l3074,429m2824,137l3074,137m1280,-154l3074,-154e" filled="false" stroked="true" strokeweight=".192pt" strokecolor="#858585">
              <v:path arrowok="t"/>
            </v:shape>
            <v:rect style="position:absolute;left:2657;top:-90;width:167;height:1393" filled="true" fillcolor="#4d80bc" stroked="false">
              <v:fill type="solid"/>
            </v:rect>
            <v:shape style="position:absolute;left:1280;top:-445;width:2504;height:1166" coordorigin="1280,-445" coordsize="2504,1166" path="m3241,720l3784,720m3241,429l3784,429m3241,137l3784,137m3241,-154l3784,-154m3241,-445l3784,-445m1280,-445l3074,-445e" filled="false" stroked="true" strokeweight=".192pt" strokecolor="#858585">
              <v:path arrowok="t"/>
            </v:shape>
            <v:rect style="position:absolute;left:3074;top:-504;width:167;height:1807" filled="true" fillcolor="#4d80bc" stroked="false">
              <v:fill type="solid"/>
            </v:rect>
            <v:shape style="position:absolute;left:1250;top:-738;width:2534;height:2072" coordorigin="1250,-738" coordsize="2534,2072" path="m1280,-738l3784,-738m1280,1304l1280,-738m1250,1304l1280,1304m1250,1013l1280,1013m1250,720l1280,720m1250,429l1280,429m1250,137l1280,137m1250,-154l1280,-154m1250,-445l1280,-445m1250,-738l1280,-738m1280,1304l3784,1304m1280,1304l1280,1334m1697,1304l1697,1334m2114,1304l2114,1334m2532,1304l2532,1334m2950,1304l2950,1334m3367,1304l3367,1334m3784,1304l3784,1334e" filled="false" stroked="true" strokeweight=".192pt" strokecolor="#858585">
              <v:path arrowok="t"/>
            </v:shape>
            <v:shape style="position:absolute;left:856;top:-958;width:3708;height:2781" type="#_x0000_t202" filled="false" stroked="true" strokeweight=".48001pt" strokecolor="#000000">
              <v:textbox inset="0,0,0,0">
                <w:txbxContent>
                  <w:p>
                    <w:pPr>
                      <w:spacing w:line="240" w:lineRule="auto" w:before="0"/>
                      <w:rPr>
                        <w:rFonts w:ascii="Arial"/>
                        <w:sz w:val="8"/>
                      </w:rPr>
                    </w:pPr>
                  </w:p>
                  <w:p>
                    <w:pPr>
                      <w:spacing w:before="66"/>
                      <w:ind w:left="193" w:right="0" w:firstLine="0"/>
                      <w:jc w:val="left"/>
                      <w:rPr>
                        <w:rFonts w:ascii="Calibri"/>
                        <w:sz w:val="9"/>
                      </w:rPr>
                    </w:pPr>
                    <w:r>
                      <w:rPr>
                        <w:rFonts w:ascii="Calibri"/>
                        <w:sz w:val="9"/>
                      </w:rPr>
                      <w:t>350</w:t>
                    </w:r>
                  </w:p>
                  <w:p>
                    <w:pPr>
                      <w:spacing w:line="240" w:lineRule="auto" w:before="0"/>
                      <w:rPr>
                        <w:rFonts w:ascii="Arial"/>
                        <w:sz w:val="8"/>
                      </w:rPr>
                    </w:pPr>
                  </w:p>
                  <w:p>
                    <w:pPr>
                      <w:spacing w:line="240" w:lineRule="auto" w:before="8"/>
                      <w:rPr>
                        <w:rFonts w:ascii="Arial"/>
                        <w:sz w:val="7"/>
                      </w:rPr>
                    </w:pPr>
                  </w:p>
                  <w:p>
                    <w:pPr>
                      <w:spacing w:before="0"/>
                      <w:ind w:left="193" w:right="0" w:firstLine="0"/>
                      <w:jc w:val="left"/>
                      <w:rPr>
                        <w:rFonts w:ascii="Calibri"/>
                        <w:sz w:val="9"/>
                      </w:rPr>
                    </w:pPr>
                    <w:r>
                      <w:rPr>
                        <w:rFonts w:ascii="Calibri"/>
                        <w:sz w:val="9"/>
                      </w:rPr>
                      <w:t>300</w:t>
                    </w:r>
                  </w:p>
                  <w:p>
                    <w:pPr>
                      <w:spacing w:line="240" w:lineRule="auto" w:before="0"/>
                      <w:rPr>
                        <w:rFonts w:ascii="Arial"/>
                        <w:sz w:val="8"/>
                      </w:rPr>
                    </w:pPr>
                  </w:p>
                  <w:p>
                    <w:pPr>
                      <w:spacing w:line="240" w:lineRule="auto" w:before="9"/>
                      <w:rPr>
                        <w:rFonts w:ascii="Arial"/>
                        <w:sz w:val="7"/>
                      </w:rPr>
                    </w:pPr>
                  </w:p>
                  <w:p>
                    <w:pPr>
                      <w:spacing w:before="0"/>
                      <w:ind w:left="193" w:right="0" w:firstLine="0"/>
                      <w:jc w:val="left"/>
                      <w:rPr>
                        <w:rFonts w:ascii="Calibri"/>
                        <w:sz w:val="9"/>
                      </w:rPr>
                    </w:pPr>
                    <w:r>
                      <w:rPr>
                        <w:rFonts w:ascii="Calibri"/>
                        <w:sz w:val="9"/>
                      </w:rPr>
                      <w:t>250</w:t>
                    </w:r>
                  </w:p>
                  <w:p>
                    <w:pPr>
                      <w:spacing w:line="240" w:lineRule="auto" w:before="0"/>
                      <w:rPr>
                        <w:rFonts w:ascii="Arial"/>
                        <w:sz w:val="8"/>
                      </w:rPr>
                    </w:pPr>
                  </w:p>
                  <w:p>
                    <w:pPr>
                      <w:spacing w:line="240" w:lineRule="auto" w:before="9"/>
                      <w:rPr>
                        <w:rFonts w:ascii="Arial"/>
                        <w:sz w:val="7"/>
                      </w:rPr>
                    </w:pPr>
                  </w:p>
                  <w:p>
                    <w:pPr>
                      <w:spacing w:before="0"/>
                      <w:ind w:left="193" w:right="0" w:firstLine="0"/>
                      <w:jc w:val="left"/>
                      <w:rPr>
                        <w:rFonts w:ascii="Calibri"/>
                        <w:sz w:val="9"/>
                      </w:rPr>
                    </w:pPr>
                    <w:r>
                      <w:rPr>
                        <w:rFonts w:ascii="Calibri"/>
                        <w:sz w:val="9"/>
                      </w:rPr>
                      <w:t>200</w:t>
                    </w:r>
                  </w:p>
                  <w:p>
                    <w:pPr>
                      <w:spacing w:line="240" w:lineRule="auto" w:before="5"/>
                      <w:rPr>
                        <w:rFonts w:ascii="Arial"/>
                        <w:sz w:val="8"/>
                      </w:rPr>
                    </w:pPr>
                  </w:p>
                  <w:p>
                    <w:pPr>
                      <w:spacing w:line="97" w:lineRule="exact" w:before="0"/>
                      <w:ind w:left="0" w:right="325" w:firstLine="0"/>
                      <w:jc w:val="right"/>
                      <w:rPr>
                        <w:rFonts w:ascii="Calibri"/>
                        <w:sz w:val="9"/>
                      </w:rPr>
                    </w:pPr>
                    <w:r>
                      <w:rPr>
                        <w:rFonts w:ascii="Calibri"/>
                        <w:sz w:val="9"/>
                      </w:rPr>
                      <w:t>Injuries</w:t>
                    </w:r>
                  </w:p>
                  <w:p>
                    <w:pPr>
                      <w:spacing w:line="97" w:lineRule="exact" w:before="0"/>
                      <w:ind w:left="193" w:right="0" w:firstLine="0"/>
                      <w:jc w:val="left"/>
                      <w:rPr>
                        <w:rFonts w:ascii="Calibri"/>
                        <w:sz w:val="9"/>
                      </w:rPr>
                    </w:pPr>
                    <w:r>
                      <w:rPr>
                        <w:rFonts w:ascii="Calibri"/>
                        <w:sz w:val="9"/>
                      </w:rPr>
                      <w:t>150</w:t>
                    </w:r>
                  </w:p>
                  <w:p>
                    <w:pPr>
                      <w:spacing w:line="240" w:lineRule="auto" w:before="0"/>
                      <w:rPr>
                        <w:rFonts w:ascii="Arial"/>
                        <w:sz w:val="8"/>
                      </w:rPr>
                    </w:pPr>
                  </w:p>
                  <w:p>
                    <w:pPr>
                      <w:spacing w:line="240" w:lineRule="auto" w:before="9"/>
                      <w:rPr>
                        <w:rFonts w:ascii="Arial"/>
                        <w:sz w:val="7"/>
                      </w:rPr>
                    </w:pPr>
                  </w:p>
                  <w:p>
                    <w:pPr>
                      <w:spacing w:before="0"/>
                      <w:ind w:left="193" w:right="0" w:firstLine="0"/>
                      <w:jc w:val="left"/>
                      <w:rPr>
                        <w:rFonts w:ascii="Calibri"/>
                        <w:sz w:val="9"/>
                      </w:rPr>
                    </w:pPr>
                    <w:r>
                      <w:rPr>
                        <w:rFonts w:ascii="Calibri"/>
                        <w:sz w:val="9"/>
                      </w:rPr>
                      <w:t>100</w:t>
                    </w:r>
                  </w:p>
                  <w:p>
                    <w:pPr>
                      <w:spacing w:line="240" w:lineRule="auto" w:before="0"/>
                      <w:rPr>
                        <w:rFonts w:ascii="Arial"/>
                        <w:sz w:val="8"/>
                      </w:rPr>
                    </w:pPr>
                  </w:p>
                  <w:p>
                    <w:pPr>
                      <w:spacing w:line="240" w:lineRule="auto" w:before="9"/>
                      <w:rPr>
                        <w:rFonts w:ascii="Arial"/>
                        <w:sz w:val="7"/>
                      </w:rPr>
                    </w:pPr>
                  </w:p>
                  <w:p>
                    <w:pPr>
                      <w:spacing w:before="0"/>
                      <w:ind w:left="239" w:right="0" w:firstLine="0"/>
                      <w:jc w:val="left"/>
                      <w:rPr>
                        <w:rFonts w:ascii="Calibri"/>
                        <w:sz w:val="9"/>
                      </w:rPr>
                    </w:pPr>
                    <w:r>
                      <w:rPr>
                        <w:rFonts w:ascii="Calibri"/>
                        <w:sz w:val="9"/>
                      </w:rPr>
                      <w:t>50</w:t>
                    </w:r>
                  </w:p>
                  <w:p>
                    <w:pPr>
                      <w:spacing w:line="240" w:lineRule="auto" w:before="0"/>
                      <w:rPr>
                        <w:rFonts w:ascii="Arial"/>
                        <w:sz w:val="8"/>
                      </w:rPr>
                    </w:pPr>
                  </w:p>
                  <w:p>
                    <w:pPr>
                      <w:spacing w:line="240" w:lineRule="auto" w:before="9"/>
                      <w:rPr>
                        <w:rFonts w:ascii="Arial"/>
                        <w:sz w:val="7"/>
                      </w:rPr>
                    </w:pPr>
                  </w:p>
                  <w:p>
                    <w:pPr>
                      <w:spacing w:before="0"/>
                      <w:ind w:left="286" w:right="0" w:firstLine="0"/>
                      <w:jc w:val="left"/>
                      <w:rPr>
                        <w:rFonts w:ascii="Calibri"/>
                        <w:sz w:val="9"/>
                      </w:rPr>
                    </w:pPr>
                    <w:r>
                      <w:rPr>
                        <w:rFonts w:ascii="Calibri"/>
                        <w:w w:val="102"/>
                        <w:sz w:val="9"/>
                      </w:rPr>
                      <w:t>0</w:t>
                    </w:r>
                  </w:p>
                  <w:p>
                    <w:pPr>
                      <w:tabs>
                        <w:tab w:pos="951" w:val="left" w:leader="none"/>
                        <w:tab w:pos="1369" w:val="left" w:leader="none"/>
                        <w:tab w:pos="1786" w:val="left" w:leader="none"/>
                        <w:tab w:pos="2181" w:val="left" w:leader="none"/>
                      </w:tabs>
                      <w:spacing w:before="10"/>
                      <w:ind w:left="535" w:right="0" w:firstLine="0"/>
                      <w:jc w:val="left"/>
                      <w:rPr>
                        <w:rFonts w:ascii="Calibri"/>
                        <w:sz w:val="9"/>
                      </w:rPr>
                    </w:pPr>
                    <w:r>
                      <w:rPr>
                        <w:rFonts w:ascii="Calibri"/>
                        <w:sz w:val="9"/>
                      </w:rPr>
                      <w:t>2010</w:t>
                      <w:tab/>
                      <w:t>2011</w:t>
                      <w:tab/>
                      <w:t>2012</w:t>
                      <w:tab/>
                      <w:t>2013</w:t>
                      <w:tab/>
                      <w:t>2014*</w:t>
                    </w:r>
                  </w:p>
                </w:txbxContent>
              </v:textbox>
              <w10:wrap type="none"/>
            </v:shape>
            <w10:wrap type="none"/>
          </v:group>
        </w:pict>
      </w:r>
      <w:r>
        <w:rPr>
          <w:sz w:val="16"/>
        </w:rPr>
        <w:t>Figure 3. MSD per Affected Body Part</w:t>
      </w:r>
    </w:p>
    <w:p>
      <w:pPr>
        <w:pStyle w:val="BodyText"/>
        <w:spacing w:before="96"/>
        <w:ind w:left="5895" w:right="677"/>
        <w:jc w:val="both"/>
      </w:pPr>
      <w:r>
        <w:rPr/>
        <w:t>In reviewing injuries by industry can be seen that the wrist has prevalence in the electronics industry (Figure 4), the shoulder in the automotive industry (Figure 5).</w:t>
      </w:r>
    </w:p>
    <w:p>
      <w:pPr>
        <w:pStyle w:val="BodyText"/>
      </w:pPr>
    </w:p>
    <w:p>
      <w:pPr>
        <w:pStyle w:val="BodyText"/>
      </w:pPr>
    </w:p>
    <w:p>
      <w:pPr>
        <w:pStyle w:val="BodyText"/>
        <w:spacing w:before="7"/>
        <w:rPr>
          <w:sz w:val="28"/>
        </w:rPr>
      </w:pPr>
    </w:p>
    <w:p>
      <w:pPr>
        <w:spacing w:before="79"/>
        <w:ind w:left="270" w:right="0" w:firstLine="0"/>
        <w:jc w:val="both"/>
        <w:rPr>
          <w:sz w:val="16"/>
        </w:rPr>
      </w:pPr>
      <w:r>
        <w:rPr/>
        <w:pict>
          <v:group style="position:absolute;margin-left:346.075012pt;margin-top:-12.766258pt;width:164.55pt;height:123.15pt;mso-position-horizontal-relative:page;mso-position-vertical-relative:paragraph;z-index:19672" coordorigin="6922,-255" coordsize="3291,2463">
            <v:shape style="position:absolute;left:6924;top:-253;width:3286;height:2458" coordorigin="6924,-253" coordsize="3286,2458" path="m6960,1866l10210,1866m6960,1564l10210,1564m6960,1262l10210,1262m6960,958l10210,958m6960,654l10210,654m6960,352l10210,352m6960,50l10210,50m6960,-253l10210,-253m6960,2170l6960,-253m6924,2170l6960,2170m6924,1866l6960,1866m6924,1564l6960,1564m6924,1262l6960,1262m6924,958l6960,958m6924,654l6960,654m6924,352l6960,352m6924,50l6960,50m6924,-253l6960,-253m6960,2170l10210,2170m6960,2170l6960,2205m8044,2170l8044,2205m9127,2170l9127,2205m10210,2170l10210,2205e" filled="false" stroked="true" strokeweight=".235pt" strokecolor="#858585">
              <v:path arrowok="t"/>
            </v:shape>
            <v:shape style="position:absolute;left:7501;top:2048;width:2168;height:62" coordorigin="7501,2048" coordsize="2168,62" path="m7501,2109l8585,2048,9668,2109e" filled="false" stroked="true" strokeweight=".705pt" strokecolor="#497eba">
              <v:path arrowok="t"/>
            </v:shape>
            <v:shape style="position:absolute;left:7501;top:1926;width:2168;height:244" coordorigin="7501,1926" coordsize="2168,244" path="m7501,2170l8585,1926,9668,1986e" filled="false" stroked="true" strokeweight=".705pt" strokecolor="#bd4b46">
              <v:path arrowok="t"/>
            </v:shape>
            <v:shape style="position:absolute;left:7501;top:1382;width:2168;height:303" coordorigin="7501,1382" coordsize="2168,303" path="m7501,1625l8585,1684,9668,1382e" filled="false" stroked="true" strokeweight=".705pt" strokecolor="#97b852">
              <v:path arrowok="t"/>
            </v:shape>
            <v:shape style="position:absolute;left:7501;top:-133;width:2168;height:1515" coordorigin="7501,-133" coordsize="2168,1515" path="m7501,1382l8585,1262,9668,-133e" filled="false" stroked="true" strokeweight=".705pt" strokecolor="#7c5e9e">
              <v:path arrowok="t"/>
            </v:shape>
            <v:shape style="position:absolute;left:7501;top:2048;width:2168;height:62" coordorigin="7501,2048" coordsize="2168,62" path="m7501,2109l8585,2048,9668,2109e" filled="false" stroked="true" strokeweight=".705pt" strokecolor="#46aac4">
              <v:path arrowok="t"/>
            </v:shape>
            <w10:wrap type="none"/>
          </v:group>
        </w:pict>
      </w:r>
      <w:r>
        <w:rPr/>
        <w:pict>
          <v:group style="position:absolute;margin-left:323.510010pt;margin-top:-28.071268pt;width:222.2pt;height:167.2pt;mso-position-horizontal-relative:page;mso-position-vertical-relative:paragraph;z-index:19960" coordorigin="6470,-561" coordsize="4444,3344">
            <v:line style="position:absolute" from="6475,-552" to="10909,-552" stroked="true" strokeweight=".48001pt" strokecolor="#000000"/>
            <v:shape style="position:absolute;left:6480;top:-556;width:4425;height:3334" coordorigin="6480,-556" coordsize="4425,3334" path="m6480,-556l6480,2777m10904,-556l10904,2777e" filled="false" stroked="true" strokeweight=".47998pt" strokecolor="#000000">
              <v:path arrowok="t"/>
            </v:shape>
            <v:line style="position:absolute" from="6475,2772" to="10909,2772" stroked="true" strokeweight=".48001pt" strokecolor="#000000"/>
            <v:shape style="position:absolute;left:6745;top:-305;width:113;height:1323" type="#_x0000_t202" filled="false" stroked="false">
              <v:textbox inset="0,0,0,0">
                <w:txbxContent>
                  <w:p>
                    <w:pPr>
                      <w:spacing w:line="113" w:lineRule="exact" w:before="0"/>
                      <w:ind w:left="0" w:right="-19" w:firstLine="0"/>
                      <w:jc w:val="left"/>
                      <w:rPr>
                        <w:rFonts w:ascii="Calibri"/>
                        <w:sz w:val="11"/>
                      </w:rPr>
                    </w:pPr>
                    <w:r>
                      <w:rPr>
                        <w:rFonts w:ascii="Calibri"/>
                        <w:sz w:val="11"/>
                      </w:rPr>
                      <w:t>40</w:t>
                    </w:r>
                  </w:p>
                  <w:p>
                    <w:pPr>
                      <w:spacing w:line="240" w:lineRule="auto" w:before="7"/>
                      <w:rPr>
                        <w:rFonts w:ascii="Arial"/>
                        <w:sz w:val="14"/>
                      </w:rPr>
                    </w:pPr>
                  </w:p>
                  <w:p>
                    <w:pPr>
                      <w:spacing w:before="0"/>
                      <w:ind w:left="0" w:right="-19" w:firstLine="0"/>
                      <w:jc w:val="left"/>
                      <w:rPr>
                        <w:rFonts w:ascii="Calibri"/>
                        <w:sz w:val="11"/>
                      </w:rPr>
                    </w:pPr>
                    <w:r>
                      <w:rPr>
                        <w:rFonts w:ascii="Calibri"/>
                        <w:sz w:val="11"/>
                      </w:rPr>
                      <w:t>35</w:t>
                    </w:r>
                  </w:p>
                  <w:p>
                    <w:pPr>
                      <w:spacing w:line="240" w:lineRule="auto" w:before="8"/>
                      <w:rPr>
                        <w:rFonts w:ascii="Arial"/>
                        <w:sz w:val="14"/>
                      </w:rPr>
                    </w:pPr>
                  </w:p>
                  <w:p>
                    <w:pPr>
                      <w:spacing w:before="0"/>
                      <w:ind w:left="0" w:right="-19" w:firstLine="0"/>
                      <w:jc w:val="left"/>
                      <w:rPr>
                        <w:rFonts w:ascii="Calibri"/>
                        <w:sz w:val="11"/>
                      </w:rPr>
                    </w:pPr>
                    <w:r>
                      <w:rPr>
                        <w:rFonts w:ascii="Calibri"/>
                        <w:sz w:val="11"/>
                      </w:rPr>
                      <w:t>30</w:t>
                    </w:r>
                  </w:p>
                  <w:p>
                    <w:pPr>
                      <w:spacing w:line="240" w:lineRule="auto" w:before="7"/>
                      <w:rPr>
                        <w:rFonts w:ascii="Arial"/>
                        <w:sz w:val="14"/>
                      </w:rPr>
                    </w:pPr>
                  </w:p>
                  <w:p>
                    <w:pPr>
                      <w:spacing w:before="0"/>
                      <w:ind w:left="0" w:right="-19" w:firstLine="0"/>
                      <w:jc w:val="left"/>
                      <w:rPr>
                        <w:rFonts w:ascii="Calibri"/>
                        <w:sz w:val="11"/>
                      </w:rPr>
                    </w:pPr>
                    <w:r>
                      <w:rPr>
                        <w:rFonts w:ascii="Calibri"/>
                        <w:sz w:val="11"/>
                      </w:rPr>
                      <w:t>25</w:t>
                    </w:r>
                  </w:p>
                  <w:p>
                    <w:pPr>
                      <w:spacing w:line="240" w:lineRule="auto" w:before="7"/>
                      <w:rPr>
                        <w:rFonts w:ascii="Arial"/>
                        <w:sz w:val="14"/>
                      </w:rPr>
                    </w:pPr>
                  </w:p>
                  <w:p>
                    <w:pPr>
                      <w:spacing w:line="133" w:lineRule="exact" w:before="0"/>
                      <w:ind w:left="0" w:right="-19" w:firstLine="0"/>
                      <w:jc w:val="left"/>
                      <w:rPr>
                        <w:rFonts w:ascii="Calibri"/>
                        <w:sz w:val="11"/>
                      </w:rPr>
                    </w:pPr>
                    <w:r>
                      <w:rPr>
                        <w:rFonts w:ascii="Calibri"/>
                        <w:sz w:val="11"/>
                      </w:rPr>
                      <w:t>20</w:t>
                    </w:r>
                  </w:p>
                </w:txbxContent>
              </v:textbox>
              <w10:wrap type="none"/>
            </v:shape>
            <v:shape style="position:absolute;left:10306;top:639;width:533;height:451" type="#_x0000_t202" filled="false" stroked="false">
              <v:textbox inset="0,0,0,0">
                <w:txbxContent>
                  <w:p>
                    <w:pPr>
                      <w:spacing w:line="113" w:lineRule="exact" w:before="0"/>
                      <w:ind w:left="3" w:right="0" w:firstLine="0"/>
                      <w:jc w:val="center"/>
                      <w:rPr>
                        <w:rFonts w:ascii="Calibri"/>
                        <w:sz w:val="11"/>
                      </w:rPr>
                    </w:pPr>
                    <w:r>
                      <w:rPr>
                        <w:rFonts w:ascii="Calibri"/>
                        <w:sz w:val="11"/>
                      </w:rPr>
                      <w:t>Elbow</w:t>
                    </w:r>
                  </w:p>
                  <w:p>
                    <w:pPr>
                      <w:spacing w:before="35"/>
                      <w:ind w:left="0" w:right="190" w:firstLine="0"/>
                      <w:jc w:val="center"/>
                      <w:rPr>
                        <w:rFonts w:ascii="Calibri"/>
                        <w:sz w:val="11"/>
                      </w:rPr>
                    </w:pPr>
                    <w:r>
                      <w:rPr>
                        <w:w w:val="101"/>
                        <w:sz w:val="11"/>
                        <w:u w:val="single" w:color="BD4B46"/>
                      </w:rPr>
                      <w:t> </w:t>
                    </w:r>
                    <w:r>
                      <w:rPr>
                        <w:sz w:val="11"/>
                        <w:u w:val="single" w:color="BD4B46"/>
                      </w:rPr>
                      <w:t>  </w:t>
                    </w:r>
                    <w:r>
                      <w:rPr>
                        <w:spacing w:val="7"/>
                        <w:sz w:val="11"/>
                        <w:u w:val="single" w:color="BD4B46"/>
                      </w:rPr>
                      <w:t> </w:t>
                    </w:r>
                    <w:r>
                      <w:rPr>
                        <w:spacing w:val="-15"/>
                        <w:sz w:val="11"/>
                      </w:rPr>
                      <w:t> </w:t>
                    </w:r>
                    <w:r>
                      <w:rPr>
                        <w:rFonts w:ascii="Calibri"/>
                        <w:spacing w:val="-1"/>
                        <w:sz w:val="11"/>
                      </w:rPr>
                      <w:t>Back</w:t>
                    </w:r>
                  </w:p>
                  <w:p>
                    <w:pPr>
                      <w:spacing w:line="133" w:lineRule="exact" w:before="36"/>
                      <w:ind w:left="0" w:right="0" w:firstLine="0"/>
                      <w:jc w:val="center"/>
                      <w:rPr>
                        <w:rFonts w:ascii="Calibri"/>
                        <w:sz w:val="11"/>
                      </w:rPr>
                    </w:pPr>
                    <w:r>
                      <w:rPr>
                        <w:w w:val="101"/>
                        <w:sz w:val="11"/>
                        <w:u w:val="single" w:color="97B852"/>
                      </w:rPr>
                      <w:t> </w:t>
                    </w:r>
                    <w:r>
                      <w:rPr>
                        <w:sz w:val="11"/>
                        <w:u w:val="single" w:color="97B852"/>
                      </w:rPr>
                      <w:t>  </w:t>
                    </w:r>
                    <w:r>
                      <w:rPr>
                        <w:spacing w:val="7"/>
                        <w:sz w:val="11"/>
                        <w:u w:val="single" w:color="97B852"/>
                      </w:rPr>
                      <w:t> </w:t>
                    </w:r>
                    <w:r>
                      <w:rPr>
                        <w:spacing w:val="-15"/>
                        <w:sz w:val="11"/>
                      </w:rPr>
                      <w:t> </w:t>
                    </w:r>
                    <w:r>
                      <w:rPr>
                        <w:rFonts w:ascii="Calibri"/>
                        <w:spacing w:val="-1"/>
                        <w:sz w:val="11"/>
                      </w:rPr>
                      <w:t>Shoulder</w:t>
                    </w:r>
                  </w:p>
                </w:txbxContent>
              </v:textbox>
              <w10:wrap type="none"/>
            </v:shape>
            <v:shape style="position:absolute;left:6745;top:1209;width:113;height:112" type="#_x0000_t202" filled="false" stroked="false">
              <v:textbox inset="0,0,0,0">
                <w:txbxContent>
                  <w:p>
                    <w:pPr>
                      <w:spacing w:line="111" w:lineRule="exact" w:before="0"/>
                      <w:ind w:left="0" w:right="-19" w:firstLine="0"/>
                      <w:jc w:val="left"/>
                      <w:rPr>
                        <w:rFonts w:ascii="Calibri"/>
                        <w:sz w:val="11"/>
                      </w:rPr>
                    </w:pPr>
                    <w:r>
                      <w:rPr>
                        <w:rFonts w:ascii="Calibri"/>
                        <w:sz w:val="11"/>
                      </w:rPr>
                      <w:t>15</w:t>
                    </w:r>
                  </w:p>
                </w:txbxContent>
              </v:textbox>
              <w10:wrap type="none"/>
            </v:shape>
            <v:shape style="position:absolute;left:10306;top:1143;width:374;height:118" type="#_x0000_t202" filled="false" stroked="false">
              <v:textbox inset="0,0,0,0">
                <w:txbxContent>
                  <w:p>
                    <w:pPr>
                      <w:spacing w:line="117" w:lineRule="exact" w:before="0"/>
                      <w:ind w:left="0" w:right="-13" w:firstLine="0"/>
                      <w:jc w:val="left"/>
                      <w:rPr>
                        <w:rFonts w:ascii="Calibri"/>
                        <w:sz w:val="11"/>
                      </w:rPr>
                    </w:pPr>
                    <w:r>
                      <w:rPr>
                        <w:w w:val="101"/>
                        <w:sz w:val="11"/>
                        <w:u w:val="single" w:color="7C5E9E"/>
                      </w:rPr>
                      <w:t> </w:t>
                    </w:r>
                    <w:r>
                      <w:rPr>
                        <w:sz w:val="11"/>
                        <w:u w:val="single" w:color="7C5E9E"/>
                      </w:rPr>
                      <w:t>  </w:t>
                    </w:r>
                    <w:r>
                      <w:rPr>
                        <w:spacing w:val="7"/>
                        <w:sz w:val="11"/>
                        <w:u w:val="single" w:color="7C5E9E"/>
                      </w:rPr>
                      <w:t> </w:t>
                    </w:r>
                    <w:r>
                      <w:rPr>
                        <w:spacing w:val="-15"/>
                        <w:sz w:val="11"/>
                      </w:rPr>
                      <w:t> </w:t>
                    </w:r>
                    <w:r>
                      <w:rPr>
                        <w:rFonts w:ascii="Calibri"/>
                        <w:spacing w:val="-1"/>
                        <w:sz w:val="11"/>
                      </w:rPr>
                      <w:t>Wrist</w:t>
                    </w:r>
                  </w:p>
                </w:txbxContent>
              </v:textbox>
              <w10:wrap type="none"/>
            </v:shape>
            <v:shape style="position:absolute;left:10306;top:1203;width:118;height:112" type="#_x0000_t202" filled="false" stroked="false">
              <v:textbox inset="0,0,0,0">
                <w:txbxContent>
                  <w:p>
                    <w:pPr>
                      <w:spacing w:line="111" w:lineRule="exact" w:before="0"/>
                      <w:ind w:left="0" w:right="0" w:firstLine="0"/>
                      <w:jc w:val="left"/>
                      <w:rPr>
                        <w:sz w:val="11"/>
                      </w:rPr>
                    </w:pPr>
                    <w:r>
                      <w:rPr>
                        <w:w w:val="101"/>
                        <w:sz w:val="11"/>
                        <w:u w:val="single" w:color="46AAC4"/>
                      </w:rPr>
                      <w:t> </w:t>
                    </w:r>
                    <w:r>
                      <w:rPr>
                        <w:spacing w:val="7"/>
                        <w:sz w:val="11"/>
                        <w:u w:val="single" w:color="46AAC4"/>
                      </w:rPr>
                      <w:t> </w:t>
                    </w:r>
                  </w:p>
                </w:txbxContent>
              </v:textbox>
              <w10:wrap type="none"/>
            </v:shape>
            <v:shape style="position:absolute;left:10436;top:1320;width:306;height:112" type="#_x0000_t202" filled="false" stroked="false">
              <v:textbox inset="0,0,0,0">
                <w:txbxContent>
                  <w:p>
                    <w:pPr>
                      <w:spacing w:line="111" w:lineRule="exact" w:before="0"/>
                      <w:ind w:left="0" w:right="-18" w:firstLine="0"/>
                      <w:jc w:val="left"/>
                      <w:rPr>
                        <w:rFonts w:ascii="Calibri"/>
                        <w:sz w:val="11"/>
                      </w:rPr>
                    </w:pPr>
                    <w:r>
                      <w:rPr>
                        <w:rFonts w:ascii="Calibri"/>
                        <w:sz w:val="11"/>
                      </w:rPr>
                      <w:t>Others</w:t>
                    </w:r>
                  </w:p>
                </w:txbxContent>
              </v:textbox>
              <w10:wrap type="none"/>
            </v:shape>
            <v:shape style="position:absolute;left:6745;top:1512;width:113;height:718" type="#_x0000_t202" filled="false" stroked="false">
              <v:textbox inset="0,0,0,0">
                <w:txbxContent>
                  <w:p>
                    <w:pPr>
                      <w:spacing w:line="113" w:lineRule="exact" w:before="0"/>
                      <w:ind w:left="0" w:right="-19" w:firstLine="0"/>
                      <w:jc w:val="left"/>
                      <w:rPr>
                        <w:rFonts w:ascii="Calibri"/>
                        <w:sz w:val="11"/>
                      </w:rPr>
                    </w:pPr>
                    <w:r>
                      <w:rPr>
                        <w:rFonts w:ascii="Calibri"/>
                        <w:sz w:val="11"/>
                      </w:rPr>
                      <w:t>10</w:t>
                    </w:r>
                  </w:p>
                  <w:p>
                    <w:pPr>
                      <w:spacing w:line="240" w:lineRule="auto" w:before="7"/>
                      <w:rPr>
                        <w:rFonts w:ascii="Arial"/>
                        <w:sz w:val="14"/>
                      </w:rPr>
                    </w:pPr>
                  </w:p>
                  <w:p>
                    <w:pPr>
                      <w:spacing w:before="0"/>
                      <w:ind w:left="56" w:right="0" w:firstLine="0"/>
                      <w:jc w:val="left"/>
                      <w:rPr>
                        <w:rFonts w:ascii="Calibri"/>
                        <w:sz w:val="11"/>
                      </w:rPr>
                    </w:pPr>
                    <w:r>
                      <w:rPr>
                        <w:rFonts w:ascii="Calibri"/>
                        <w:w w:val="101"/>
                        <w:sz w:val="11"/>
                      </w:rPr>
                      <w:t>5</w:t>
                    </w:r>
                  </w:p>
                  <w:p>
                    <w:pPr>
                      <w:spacing w:line="240" w:lineRule="auto" w:before="8"/>
                      <w:rPr>
                        <w:rFonts w:ascii="Arial"/>
                        <w:sz w:val="14"/>
                      </w:rPr>
                    </w:pPr>
                  </w:p>
                  <w:p>
                    <w:pPr>
                      <w:spacing w:line="133" w:lineRule="exact" w:before="0"/>
                      <w:ind w:left="56" w:right="0" w:firstLine="0"/>
                      <w:jc w:val="left"/>
                      <w:rPr>
                        <w:rFonts w:ascii="Calibri"/>
                        <w:sz w:val="11"/>
                      </w:rPr>
                    </w:pPr>
                    <w:r>
                      <w:rPr>
                        <w:rFonts w:ascii="Calibri"/>
                        <w:w w:val="101"/>
                        <w:sz w:val="11"/>
                      </w:rPr>
                      <w:t>0</w:t>
                    </w:r>
                  </w:p>
                </w:txbxContent>
              </v:textbox>
              <w10:wrap type="none"/>
            </v:shape>
            <v:shape style="position:absolute;left:7390;top:2261;width:225;height:112" type="#_x0000_t202" filled="false" stroked="false">
              <v:textbox inset="0,0,0,0">
                <w:txbxContent>
                  <w:p>
                    <w:pPr>
                      <w:spacing w:line="111" w:lineRule="exact" w:before="0"/>
                      <w:ind w:left="0" w:right="-18" w:firstLine="0"/>
                      <w:jc w:val="left"/>
                      <w:rPr>
                        <w:rFonts w:ascii="Calibri"/>
                        <w:sz w:val="11"/>
                      </w:rPr>
                    </w:pPr>
                    <w:r>
                      <w:rPr>
                        <w:rFonts w:ascii="Calibri"/>
                        <w:sz w:val="11"/>
                      </w:rPr>
                      <w:t>2011</w:t>
                    </w:r>
                  </w:p>
                </w:txbxContent>
              </v:textbox>
              <w10:wrap type="none"/>
            </v:shape>
            <v:shape style="position:absolute;left:8473;top:2261;width:225;height:112" type="#_x0000_t202" filled="false" stroked="false">
              <v:textbox inset="0,0,0,0">
                <w:txbxContent>
                  <w:p>
                    <w:pPr>
                      <w:spacing w:line="111" w:lineRule="exact" w:before="0"/>
                      <w:ind w:left="0" w:right="-18" w:firstLine="0"/>
                      <w:jc w:val="left"/>
                      <w:rPr>
                        <w:rFonts w:ascii="Calibri"/>
                        <w:sz w:val="11"/>
                      </w:rPr>
                    </w:pPr>
                    <w:r>
                      <w:rPr>
                        <w:rFonts w:ascii="Calibri"/>
                        <w:sz w:val="11"/>
                      </w:rPr>
                      <w:t>2012</w:t>
                    </w:r>
                  </w:p>
                </w:txbxContent>
              </v:textbox>
              <w10:wrap type="none"/>
            </v:shape>
            <v:shape style="position:absolute;left:9585;top:2261;width:168;height:112" type="#_x0000_t202" filled="false" stroked="false">
              <v:textbox inset="0,0,0,0">
                <w:txbxContent>
                  <w:p>
                    <w:pPr>
                      <w:spacing w:line="111" w:lineRule="exact" w:before="0"/>
                      <w:ind w:left="0" w:right="-20" w:firstLine="0"/>
                      <w:jc w:val="left"/>
                      <w:rPr>
                        <w:rFonts w:ascii="Calibri"/>
                        <w:sz w:val="11"/>
                      </w:rPr>
                    </w:pPr>
                    <w:r>
                      <w:rPr>
                        <w:rFonts w:ascii="Calibri"/>
                        <w:sz w:val="11"/>
                      </w:rPr>
                      <w:t>213</w:t>
                    </w:r>
                  </w:p>
                </w:txbxContent>
              </v:textbox>
              <w10:wrap type="none"/>
            </v:shape>
            <w10:wrap type="none"/>
          </v:group>
        </w:pict>
      </w:r>
      <w:r>
        <w:rPr>
          <w:sz w:val="16"/>
        </w:rPr>
        <w:t>Figure 1. MSD per Year 2010-2014</w:t>
      </w:r>
    </w:p>
    <w:p>
      <w:pPr>
        <w:pStyle w:val="BodyText"/>
        <w:spacing w:before="1"/>
      </w:pPr>
    </w:p>
    <w:p>
      <w:pPr>
        <w:pStyle w:val="BodyText"/>
        <w:ind w:left="270" w:right="6249"/>
        <w:jc w:val="both"/>
      </w:pPr>
      <w:r>
        <w:rPr/>
        <w:pict>
          <v:line style="position:absolute;mso-position-horizontal-relative:page;mso-position-vertical-relative:paragraph;z-index:19696" from="515.280029pt,9.815934pt" to="521.160029pt,9.815934pt" stroked="true" strokeweight=".705pt" strokecolor="#497eba">
            <w10:wrap type="none"/>
          </v:line>
        </w:pict>
      </w:r>
      <w:r>
        <w:rPr/>
        <w:t>In the other hand, the prevalence of injury is greater in women than in men (Figure 2). However, it is greater the proportion of women than men in the  manufacturing industry.  In the early years (2010-2012) the shoulder was  the most affected part of the body, but in the entire series of years, the wrist has a positive trend that exceeds the shoulder in recent years (Figure</w:t>
      </w:r>
      <w:r>
        <w:rPr>
          <w:spacing w:val="-20"/>
        </w:rPr>
        <w:t> </w:t>
      </w:r>
      <w:r>
        <w:rPr/>
        <w:t>3).</w:t>
      </w:r>
    </w:p>
    <w:p>
      <w:pPr>
        <w:pStyle w:val="BodyText"/>
      </w:pPr>
    </w:p>
    <w:p>
      <w:pPr>
        <w:pStyle w:val="BodyText"/>
      </w:pPr>
    </w:p>
    <w:p>
      <w:pPr>
        <w:pStyle w:val="BodyText"/>
        <w:spacing w:before="7"/>
        <w:rPr>
          <w:sz w:val="27"/>
        </w:rPr>
      </w:pPr>
    </w:p>
    <w:p>
      <w:pPr>
        <w:spacing w:before="79"/>
        <w:ind w:left="5895" w:right="1218" w:firstLine="0"/>
        <w:jc w:val="left"/>
        <w:rPr>
          <w:rFonts w:ascii="Arial"/>
          <w:sz w:val="16"/>
        </w:rPr>
      </w:pPr>
      <w:r>
        <w:rPr/>
        <w:pict>
          <v:group style="position:absolute;margin-left:42.530006pt;margin-top:-27.196135pt;width:208.05pt;height:157.35pt;mso-position-horizontal-relative:page;mso-position-vertical-relative:paragraph;z-index:-859288" coordorigin="851,-544" coordsize="4161,3147">
            <v:shape style="position:absolute;left:1171;top:-275;width:3136;height:2185" type="#_x0000_t75" stroked="false">
              <v:imagedata r:id="rId821" o:title=""/>
            </v:shape>
            <v:shape style="position:absolute;left:1142;top:-161;width:3008;height:2100" coordorigin="1142,-161" coordsize="3008,2100" path="m1175,1905l1142,1905m1175,1493l1142,1493m1175,1079l1142,1079m1175,666l1142,666m1175,252l1142,252m1175,-161l1142,-161m1175,1907l1175,1939m1770,1907l1770,1939m2365,1907l2365,1939m2960,1907l2960,1939m3556,1907l3556,1939m4150,1907l4150,1939e" filled="false" stroked="true" strokeweight=".211pt" strokecolor="#858585">
              <v:path arrowok="t"/>
            </v:shape>
            <v:shape style="position:absolute;left:856;top:-539;width:4151;height:3137" type="#_x0000_t202" filled="false" stroked="true" strokeweight=".48pt" strokecolor="#000000">
              <v:textbox inset="0,0,0,0">
                <w:txbxContent>
                  <w:p>
                    <w:pPr>
                      <w:spacing w:line="240" w:lineRule="auto" w:before="0"/>
                      <w:rPr>
                        <w:rFonts w:ascii="Arial"/>
                        <w:sz w:val="10"/>
                      </w:rPr>
                    </w:pPr>
                  </w:p>
                  <w:p>
                    <w:pPr>
                      <w:spacing w:line="240" w:lineRule="auto" w:before="0"/>
                      <w:rPr>
                        <w:rFonts w:ascii="Arial"/>
                        <w:sz w:val="10"/>
                      </w:rPr>
                    </w:pPr>
                  </w:p>
                  <w:p>
                    <w:pPr>
                      <w:spacing w:before="84"/>
                      <w:ind w:left="45" w:right="3905" w:firstLine="0"/>
                      <w:jc w:val="center"/>
                      <w:rPr>
                        <w:rFonts w:ascii="Calibri"/>
                        <w:sz w:val="10"/>
                      </w:rPr>
                    </w:pPr>
                    <w:r>
                      <w:rPr>
                        <w:rFonts w:ascii="Calibri"/>
                        <w:w w:val="105"/>
                        <w:sz w:val="10"/>
                      </w:rPr>
                      <w:t>250</w:t>
                    </w:r>
                  </w:p>
                  <w:p>
                    <w:pPr>
                      <w:spacing w:line="240" w:lineRule="auto" w:before="0"/>
                      <w:rPr>
                        <w:rFonts w:ascii="Arial"/>
                        <w:sz w:val="10"/>
                      </w:rPr>
                    </w:pPr>
                  </w:p>
                  <w:p>
                    <w:pPr>
                      <w:spacing w:line="240" w:lineRule="auto" w:before="0"/>
                      <w:rPr>
                        <w:rFonts w:ascii="Arial"/>
                        <w:sz w:val="10"/>
                      </w:rPr>
                    </w:pPr>
                  </w:p>
                  <w:p>
                    <w:pPr>
                      <w:spacing w:before="60"/>
                      <w:ind w:left="45" w:right="3905" w:firstLine="0"/>
                      <w:jc w:val="center"/>
                      <w:rPr>
                        <w:rFonts w:ascii="Calibri"/>
                        <w:sz w:val="10"/>
                      </w:rPr>
                    </w:pPr>
                    <w:r>
                      <w:rPr>
                        <w:rFonts w:ascii="Calibri"/>
                        <w:w w:val="105"/>
                        <w:sz w:val="10"/>
                      </w:rPr>
                      <w:t>200</w:t>
                    </w:r>
                  </w:p>
                  <w:p>
                    <w:pPr>
                      <w:spacing w:line="240" w:lineRule="auto" w:before="0"/>
                      <w:rPr>
                        <w:rFonts w:ascii="Arial"/>
                        <w:sz w:val="10"/>
                      </w:rPr>
                    </w:pPr>
                  </w:p>
                  <w:p>
                    <w:pPr>
                      <w:spacing w:line="240" w:lineRule="auto" w:before="0"/>
                      <w:rPr>
                        <w:rFonts w:ascii="Arial"/>
                        <w:sz w:val="10"/>
                      </w:rPr>
                    </w:pPr>
                  </w:p>
                  <w:p>
                    <w:pPr>
                      <w:spacing w:before="62"/>
                      <w:ind w:left="45" w:right="3905" w:firstLine="0"/>
                      <w:jc w:val="center"/>
                      <w:rPr>
                        <w:rFonts w:ascii="Calibri"/>
                        <w:sz w:val="10"/>
                      </w:rPr>
                    </w:pPr>
                    <w:r>
                      <w:rPr>
                        <w:rFonts w:ascii="Calibri"/>
                        <w:w w:val="105"/>
                        <w:sz w:val="10"/>
                      </w:rPr>
                      <w:t>150</w:t>
                    </w:r>
                  </w:p>
                  <w:p>
                    <w:pPr>
                      <w:spacing w:line="316" w:lineRule="auto" w:before="8"/>
                      <w:ind w:left="3656" w:right="122" w:firstLine="0"/>
                      <w:jc w:val="left"/>
                      <w:rPr>
                        <w:rFonts w:ascii="Calibri"/>
                        <w:sz w:val="10"/>
                      </w:rPr>
                    </w:pPr>
                    <w:r>
                      <w:rPr>
                        <w:rFonts w:ascii="Calibri"/>
                        <w:w w:val="105"/>
                        <w:sz w:val="10"/>
                      </w:rPr>
                      <w:t>Males Females</w:t>
                    </w:r>
                  </w:p>
                  <w:p>
                    <w:pPr>
                      <w:spacing w:line="83" w:lineRule="exact" w:before="0"/>
                      <w:ind w:left="45" w:right="3905" w:firstLine="0"/>
                      <w:jc w:val="center"/>
                      <w:rPr>
                        <w:rFonts w:ascii="Calibri"/>
                        <w:sz w:val="10"/>
                      </w:rPr>
                    </w:pPr>
                    <w:r>
                      <w:rPr>
                        <w:rFonts w:ascii="Calibri"/>
                        <w:w w:val="105"/>
                        <w:sz w:val="10"/>
                      </w:rPr>
                      <w:t>100</w:t>
                    </w:r>
                  </w:p>
                  <w:p>
                    <w:pPr>
                      <w:spacing w:line="240" w:lineRule="auto" w:before="0"/>
                      <w:rPr>
                        <w:rFonts w:ascii="Arial"/>
                        <w:sz w:val="10"/>
                      </w:rPr>
                    </w:pPr>
                  </w:p>
                  <w:p>
                    <w:pPr>
                      <w:spacing w:line="240" w:lineRule="auto" w:before="0"/>
                      <w:rPr>
                        <w:rFonts w:ascii="Arial"/>
                        <w:sz w:val="10"/>
                      </w:rPr>
                    </w:pPr>
                  </w:p>
                  <w:p>
                    <w:pPr>
                      <w:spacing w:before="62"/>
                      <w:ind w:left="112" w:right="122" w:firstLine="0"/>
                      <w:jc w:val="left"/>
                      <w:rPr>
                        <w:rFonts w:ascii="Calibri"/>
                        <w:sz w:val="10"/>
                      </w:rPr>
                    </w:pPr>
                    <w:r>
                      <w:rPr>
                        <w:rFonts w:ascii="Calibri"/>
                        <w:w w:val="105"/>
                        <w:sz w:val="10"/>
                      </w:rPr>
                      <w:t>50</w:t>
                    </w:r>
                  </w:p>
                  <w:p>
                    <w:pPr>
                      <w:spacing w:line="240" w:lineRule="auto" w:before="0"/>
                      <w:rPr>
                        <w:rFonts w:ascii="Arial"/>
                        <w:sz w:val="10"/>
                      </w:rPr>
                    </w:pPr>
                  </w:p>
                  <w:p>
                    <w:pPr>
                      <w:spacing w:line="240" w:lineRule="auto" w:before="0"/>
                      <w:rPr>
                        <w:rFonts w:ascii="Arial"/>
                        <w:sz w:val="10"/>
                      </w:rPr>
                    </w:pPr>
                  </w:p>
                  <w:p>
                    <w:pPr>
                      <w:spacing w:before="60"/>
                      <w:ind w:left="0" w:right="3755" w:firstLine="0"/>
                      <w:jc w:val="center"/>
                      <w:rPr>
                        <w:rFonts w:ascii="Calibri"/>
                        <w:sz w:val="10"/>
                      </w:rPr>
                    </w:pPr>
                    <w:r>
                      <w:rPr>
                        <w:rFonts w:ascii="Calibri"/>
                        <w:w w:val="103"/>
                        <w:sz w:val="10"/>
                      </w:rPr>
                      <w:t>0</w:t>
                    </w:r>
                  </w:p>
                  <w:p>
                    <w:pPr>
                      <w:tabs>
                        <w:tab w:pos="1102" w:val="left" w:leader="none"/>
                        <w:tab w:pos="1696" w:val="left" w:leader="none"/>
                        <w:tab w:pos="2292" w:val="left" w:leader="none"/>
                        <w:tab w:pos="2887" w:val="left" w:leader="none"/>
                      </w:tabs>
                      <w:spacing w:before="8"/>
                      <w:ind w:left="507" w:right="122" w:firstLine="0"/>
                      <w:jc w:val="left"/>
                      <w:rPr>
                        <w:rFonts w:ascii="Calibri"/>
                        <w:sz w:val="10"/>
                      </w:rPr>
                    </w:pPr>
                    <w:r>
                      <w:rPr>
                        <w:rFonts w:ascii="Calibri"/>
                        <w:w w:val="105"/>
                        <w:sz w:val="10"/>
                      </w:rPr>
                      <w:t>2010</w:t>
                      <w:tab/>
                      <w:t>2011</w:t>
                      <w:tab/>
                      <w:t>2012</w:t>
                      <w:tab/>
                      <w:t>2013</w:t>
                      <w:tab/>
                      <w:t>2014</w:t>
                    </w:r>
                  </w:p>
                </w:txbxContent>
              </v:textbox>
              <w10:wrap type="none"/>
            </v:shape>
            <w10:wrap type="none"/>
          </v:group>
        </w:pict>
      </w:r>
      <w:r>
        <w:rPr>
          <w:rFonts w:ascii="Arial"/>
          <w:sz w:val="16"/>
        </w:rPr>
        <w:t>Figure 4. MSD per Year in Electronic Industry</w:t>
      </w:r>
    </w:p>
    <w:p>
      <w:pPr>
        <w:pStyle w:val="BodyText"/>
        <w:rPr>
          <w:rFonts w:ascii="Arial"/>
        </w:rPr>
      </w:pPr>
    </w:p>
    <w:p>
      <w:pPr>
        <w:pStyle w:val="BodyText"/>
        <w:rPr>
          <w:rFonts w:ascii="Arial"/>
          <w:sz w:val="21"/>
        </w:rPr>
      </w:pPr>
      <w:r>
        <w:rPr/>
        <w:pict>
          <v:line style="position:absolute;mso-position-horizontal-relative:page;mso-position-vertical-relative:paragraph;z-index:19408;mso-wrap-distance-left:0;mso-wrap-distance-right:0" from="221.639999pt,15.485627pt" to="224.519999pt,15.485627pt" stroked="true" strokeweight="2.88pt" strokecolor="#4d80bc">
            <w10:wrap type="topAndBottom"/>
          </v:line>
        </w:pict>
      </w:r>
    </w:p>
    <w:p>
      <w:pPr>
        <w:pStyle w:val="BodyText"/>
        <w:spacing w:before="5"/>
        <w:rPr>
          <w:rFonts w:ascii="Arial"/>
          <w:sz w:val="6"/>
        </w:rPr>
      </w:pPr>
    </w:p>
    <w:p>
      <w:pPr>
        <w:pStyle w:val="BodyText"/>
        <w:spacing w:line="57" w:lineRule="exact"/>
        <w:ind w:left="3824"/>
        <w:rPr>
          <w:rFonts w:ascii="Arial"/>
          <w:sz w:val="5"/>
        </w:rPr>
      </w:pPr>
      <w:r>
        <w:rPr>
          <w:rFonts w:ascii="Arial"/>
          <w:position w:val="0"/>
          <w:sz w:val="5"/>
        </w:rPr>
        <w:pict>
          <v:group style="width:5.75pt;height:2.85pt;mso-position-horizontal-relative:char;mso-position-vertical-relative:line" coordorigin="0,0" coordsize="115,57">
            <v:line style="position:absolute" from="28,28" to="86,28" stroked="true" strokeweight="2.82pt" strokecolor="#bf4f4b"/>
          </v:group>
        </w:pict>
      </w:r>
      <w:r>
        <w:rPr>
          <w:rFonts w:ascii="Arial"/>
          <w:position w:val="0"/>
          <w:sz w:val="5"/>
        </w:rPr>
      </w: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spacing w:before="8"/>
        <w:rPr>
          <w:rFonts w:ascii="Arial"/>
          <w:sz w:val="19"/>
        </w:rPr>
      </w:pPr>
    </w:p>
    <w:p>
      <w:pPr>
        <w:spacing w:before="1"/>
        <w:ind w:left="270" w:right="6276" w:firstLine="0"/>
        <w:jc w:val="left"/>
        <w:rPr>
          <w:sz w:val="16"/>
        </w:rPr>
      </w:pPr>
      <w:r>
        <w:rPr/>
        <w:pict>
          <v:group style="position:absolute;margin-left:323.75pt;margin-top:-107.751251pt;width:213.35pt;height:155.4pt;mso-position-horizontal-relative:page;mso-position-vertical-relative:paragraph;z-index:20128" coordorigin="6475,-2155" coordsize="4267,3108">
            <v:shape style="position:absolute;left:6908;top:-1904;width:3160;height:2322" coordorigin="6908,-1904" coordsize="3160,2322" path="m6942,131l10068,131m6942,-124l10068,-124m6942,-379l10068,-379m6942,-632l10068,-632m6942,-886l10068,-886m6942,-1142l10068,-1142m6942,-1395l10068,-1395m6942,-1650l10068,-1650m6942,-1904l10068,-1904m6942,386l6942,-1904m6908,386l6942,386m6908,131l6942,131m6908,-124l6942,-124m6908,-379l6942,-379m6908,-632l6942,-632m6908,-886l6942,-886m6908,-1142l6942,-1142m6908,-1395l6942,-1395m6908,-1650l6942,-1650m6908,-1904l6942,-1904m6942,386l10068,386m6942,386l6942,418m7984,386l7984,418m9026,386l9026,418m10068,386l10068,418e" filled="false" stroked="true" strokeweight=".221pt" strokecolor="#858585">
              <v:path arrowok="t"/>
            </v:shape>
            <v:shape style="position:absolute;left:7463;top:182;width:2085;height:101" coordorigin="7463,182" coordsize="2085,101" path="m7463,282l8504,182,9547,182e" filled="false" stroked="true" strokeweight=".663pt" strokecolor="#497eba">
              <v:path arrowok="t"/>
            </v:shape>
            <v:shape style="position:absolute;left:7463;top:-124;width:2085;height:357" coordorigin="7463,-124" coordsize="2085,357" path="m7463,232l8504,-124,9547,131e" filled="false" stroked="true" strokeweight=".663pt" strokecolor="#bd4b46">
              <v:path arrowok="t"/>
            </v:shape>
            <v:shape style="position:absolute;left:7463;top:-1753;width:2085;height:1222" coordorigin="7463,-1753" coordsize="2085,1222" path="m7463,-531l8504,-1753,9547,-1395e" filled="false" stroked="true" strokeweight=".663pt" strokecolor="#97b852">
              <v:path arrowok="t"/>
            </v:shape>
            <v:shape style="position:absolute;left:7463;top:-583;width:2085;height:561" coordorigin="7463,-583" coordsize="2085,561" path="m7463,-22l8504,-175,9547,-583e" filled="false" stroked="true" strokeweight=".663pt" strokecolor="#7c5e9e">
              <v:path arrowok="t"/>
            </v:shape>
            <v:shape style="position:absolute;left:7463;top:130;width:2085;height:102" coordorigin="7463,130" coordsize="2085,102" path="m7463,232l8504,180,9547,130e" filled="false" stroked="true" strokeweight=".663pt" strokecolor="#46aac4">
              <v:path arrowok="t"/>
            </v:shape>
            <v:rect style="position:absolute;left:6480;top:-2150;width:4256;height:3097" filled="false" stroked="true" strokeweight=".5pt" strokecolor="#000000"/>
            <v:shape style="position:absolute;left:6736;top:-1951;width:109;height:1630" type="#_x0000_t202" filled="false" stroked="false">
              <v:textbox inset="0,0,0,0">
                <w:txbxContent>
                  <w:p>
                    <w:pPr>
                      <w:spacing w:line="104" w:lineRule="exact" w:before="0"/>
                      <w:ind w:left="0" w:right="-18" w:firstLine="0"/>
                      <w:jc w:val="left"/>
                      <w:rPr>
                        <w:rFonts w:ascii="Calibri"/>
                        <w:sz w:val="10"/>
                      </w:rPr>
                    </w:pPr>
                    <w:r>
                      <w:rPr>
                        <w:rFonts w:ascii="Calibri"/>
                        <w:w w:val="105"/>
                        <w:sz w:val="10"/>
                      </w:rPr>
                      <w:t>45</w:t>
                    </w:r>
                  </w:p>
                  <w:p>
                    <w:pPr>
                      <w:spacing w:line="240" w:lineRule="auto" w:before="5"/>
                      <w:rPr>
                        <w:rFonts w:ascii="Arial"/>
                        <w:sz w:val="11"/>
                      </w:rPr>
                    </w:pPr>
                  </w:p>
                  <w:p>
                    <w:pPr>
                      <w:spacing w:before="1"/>
                      <w:ind w:left="0" w:right="-18" w:firstLine="0"/>
                      <w:jc w:val="left"/>
                      <w:rPr>
                        <w:rFonts w:ascii="Calibri"/>
                        <w:sz w:val="10"/>
                      </w:rPr>
                    </w:pPr>
                    <w:r>
                      <w:rPr>
                        <w:rFonts w:ascii="Calibri"/>
                        <w:w w:val="105"/>
                        <w:sz w:val="10"/>
                      </w:rPr>
                      <w:t>40</w:t>
                    </w:r>
                  </w:p>
                  <w:p>
                    <w:pPr>
                      <w:spacing w:line="240" w:lineRule="auto" w:before="5"/>
                      <w:rPr>
                        <w:rFonts w:ascii="Arial"/>
                        <w:sz w:val="11"/>
                      </w:rPr>
                    </w:pPr>
                  </w:p>
                  <w:p>
                    <w:pPr>
                      <w:spacing w:before="1"/>
                      <w:ind w:left="0" w:right="-18" w:firstLine="0"/>
                      <w:jc w:val="left"/>
                      <w:rPr>
                        <w:rFonts w:ascii="Calibri"/>
                        <w:sz w:val="10"/>
                      </w:rPr>
                    </w:pPr>
                    <w:r>
                      <w:rPr>
                        <w:rFonts w:ascii="Calibri"/>
                        <w:w w:val="105"/>
                        <w:sz w:val="10"/>
                      </w:rPr>
                      <w:t>35</w:t>
                    </w:r>
                  </w:p>
                  <w:p>
                    <w:pPr>
                      <w:spacing w:line="240" w:lineRule="auto" w:before="5"/>
                      <w:rPr>
                        <w:rFonts w:ascii="Arial"/>
                        <w:sz w:val="11"/>
                      </w:rPr>
                    </w:pPr>
                  </w:p>
                  <w:p>
                    <w:pPr>
                      <w:spacing w:before="1"/>
                      <w:ind w:left="0" w:right="-18" w:firstLine="0"/>
                      <w:jc w:val="left"/>
                      <w:rPr>
                        <w:rFonts w:ascii="Calibri"/>
                        <w:sz w:val="10"/>
                      </w:rPr>
                    </w:pPr>
                    <w:r>
                      <w:rPr>
                        <w:rFonts w:ascii="Calibri"/>
                        <w:w w:val="105"/>
                        <w:sz w:val="10"/>
                      </w:rPr>
                      <w:t>30</w:t>
                    </w:r>
                  </w:p>
                  <w:p>
                    <w:pPr>
                      <w:spacing w:line="240" w:lineRule="auto" w:before="5"/>
                      <w:rPr>
                        <w:rFonts w:ascii="Arial"/>
                        <w:sz w:val="11"/>
                      </w:rPr>
                    </w:pPr>
                  </w:p>
                  <w:p>
                    <w:pPr>
                      <w:spacing w:before="1"/>
                      <w:ind w:left="0" w:right="-18" w:firstLine="0"/>
                      <w:jc w:val="left"/>
                      <w:rPr>
                        <w:rFonts w:ascii="Calibri"/>
                        <w:sz w:val="10"/>
                      </w:rPr>
                    </w:pPr>
                    <w:r>
                      <w:rPr>
                        <w:rFonts w:ascii="Calibri"/>
                        <w:w w:val="105"/>
                        <w:sz w:val="10"/>
                      </w:rPr>
                      <w:t>25</w:t>
                    </w:r>
                  </w:p>
                  <w:p>
                    <w:pPr>
                      <w:spacing w:line="240" w:lineRule="auto" w:before="5"/>
                      <w:rPr>
                        <w:rFonts w:ascii="Arial"/>
                        <w:sz w:val="11"/>
                      </w:rPr>
                    </w:pPr>
                  </w:p>
                  <w:p>
                    <w:pPr>
                      <w:spacing w:before="1"/>
                      <w:ind w:left="0" w:right="-18" w:firstLine="0"/>
                      <w:jc w:val="left"/>
                      <w:rPr>
                        <w:rFonts w:ascii="Calibri"/>
                        <w:sz w:val="10"/>
                      </w:rPr>
                    </w:pPr>
                    <w:r>
                      <w:rPr>
                        <w:rFonts w:ascii="Calibri"/>
                        <w:w w:val="105"/>
                        <w:sz w:val="10"/>
                      </w:rPr>
                      <w:t>20</w:t>
                    </w:r>
                  </w:p>
                  <w:p>
                    <w:pPr>
                      <w:spacing w:line="240" w:lineRule="auto" w:before="5"/>
                      <w:rPr>
                        <w:rFonts w:ascii="Arial"/>
                        <w:sz w:val="11"/>
                      </w:rPr>
                    </w:pPr>
                  </w:p>
                  <w:p>
                    <w:pPr>
                      <w:spacing w:line="121" w:lineRule="exact" w:before="1"/>
                      <w:ind w:left="0" w:right="-18" w:firstLine="0"/>
                      <w:jc w:val="left"/>
                      <w:rPr>
                        <w:rFonts w:ascii="Calibri"/>
                        <w:sz w:val="10"/>
                      </w:rPr>
                    </w:pPr>
                    <w:r>
                      <w:rPr>
                        <w:rFonts w:ascii="Calibri"/>
                        <w:w w:val="105"/>
                        <w:sz w:val="10"/>
                      </w:rPr>
                      <w:t>15</w:t>
                    </w:r>
                  </w:p>
                </w:txbxContent>
              </v:textbox>
              <w10:wrap type="none"/>
            </v:shape>
            <v:shape style="position:absolute;left:10160;top:-1060;width:511;height:744" type="#_x0000_t202" filled="false" stroked="false">
              <v:textbox inset="0,0,0,0">
                <w:txbxContent>
                  <w:p>
                    <w:pPr>
                      <w:spacing w:line="110" w:lineRule="exact" w:before="0"/>
                      <w:ind w:left="0" w:right="0" w:firstLine="0"/>
                      <w:jc w:val="left"/>
                      <w:rPr>
                        <w:rFonts w:ascii="Calibri"/>
                        <w:sz w:val="10"/>
                      </w:rPr>
                    </w:pPr>
                    <w:r>
                      <w:rPr>
                        <w:w w:val="106"/>
                        <w:sz w:val="10"/>
                        <w:u w:val="single" w:color="497EBA"/>
                      </w:rPr>
                      <w:t> </w:t>
                    </w:r>
                    <w:r>
                      <w:rPr>
                        <w:sz w:val="10"/>
                        <w:u w:val="single" w:color="497EBA"/>
                      </w:rPr>
                      <w:t>   </w:t>
                    </w:r>
                    <w:r>
                      <w:rPr>
                        <w:sz w:val="10"/>
                      </w:rPr>
                      <w:t> </w:t>
                    </w:r>
                    <w:r>
                      <w:rPr>
                        <w:rFonts w:ascii="Calibri"/>
                        <w:w w:val="105"/>
                        <w:sz w:val="10"/>
                      </w:rPr>
                      <w:t>Elbow</w:t>
                    </w:r>
                  </w:p>
                  <w:p>
                    <w:pPr>
                      <w:spacing w:before="36"/>
                      <w:ind w:left="0" w:right="0" w:firstLine="0"/>
                      <w:jc w:val="left"/>
                      <w:rPr>
                        <w:rFonts w:ascii="Calibri"/>
                        <w:sz w:val="10"/>
                      </w:rPr>
                    </w:pPr>
                    <w:r>
                      <w:rPr>
                        <w:w w:val="106"/>
                        <w:position w:val="4"/>
                        <w:sz w:val="10"/>
                        <w:u w:val="single" w:color="BD4B46"/>
                      </w:rPr>
                      <w:t> </w:t>
                    </w:r>
                    <w:r>
                      <w:rPr>
                        <w:position w:val="4"/>
                        <w:sz w:val="10"/>
                        <w:u w:val="single" w:color="BD4B46"/>
                      </w:rPr>
                      <w:t>   </w:t>
                    </w:r>
                    <w:r>
                      <w:rPr>
                        <w:position w:val="4"/>
                        <w:sz w:val="10"/>
                      </w:rPr>
                      <w:t> </w:t>
                    </w:r>
                    <w:r>
                      <w:rPr>
                        <w:rFonts w:ascii="Calibri"/>
                        <w:w w:val="105"/>
                        <w:sz w:val="10"/>
                      </w:rPr>
                      <w:t>Back</w:t>
                    </w:r>
                  </w:p>
                  <w:p>
                    <w:pPr>
                      <w:spacing w:before="36"/>
                      <w:ind w:left="0" w:right="0" w:firstLine="0"/>
                      <w:jc w:val="left"/>
                      <w:rPr>
                        <w:rFonts w:ascii="Calibri"/>
                        <w:sz w:val="10"/>
                      </w:rPr>
                    </w:pPr>
                    <w:r>
                      <w:rPr>
                        <w:w w:val="106"/>
                        <w:sz w:val="10"/>
                        <w:u w:val="single" w:color="97B852"/>
                      </w:rPr>
                      <w:t> </w:t>
                    </w:r>
                    <w:r>
                      <w:rPr>
                        <w:sz w:val="10"/>
                        <w:u w:val="single" w:color="97B852"/>
                      </w:rPr>
                      <w:t>   </w:t>
                    </w:r>
                    <w:r>
                      <w:rPr>
                        <w:rFonts w:ascii="Calibri"/>
                        <w:w w:val="105"/>
                        <w:sz w:val="10"/>
                      </w:rPr>
                      <w:t>Shoulder</w:t>
                    </w:r>
                  </w:p>
                  <w:p>
                    <w:pPr>
                      <w:spacing w:before="37"/>
                      <w:ind w:left="0" w:right="0" w:firstLine="0"/>
                      <w:jc w:val="left"/>
                      <w:rPr>
                        <w:rFonts w:ascii="Calibri"/>
                        <w:sz w:val="10"/>
                      </w:rPr>
                    </w:pPr>
                    <w:r>
                      <w:rPr>
                        <w:w w:val="106"/>
                        <w:sz w:val="10"/>
                        <w:u w:val="single" w:color="7C5E9E"/>
                      </w:rPr>
                      <w:t> </w:t>
                    </w:r>
                    <w:r>
                      <w:rPr>
                        <w:sz w:val="10"/>
                        <w:u w:val="single" w:color="7C5E9E"/>
                      </w:rPr>
                      <w:t>   </w:t>
                    </w:r>
                    <w:r>
                      <w:rPr>
                        <w:rFonts w:ascii="Calibri"/>
                        <w:w w:val="105"/>
                        <w:sz w:val="10"/>
                      </w:rPr>
                      <w:t>Wrist</w:t>
                    </w:r>
                  </w:p>
                  <w:p>
                    <w:pPr>
                      <w:spacing w:line="121" w:lineRule="exact" w:before="36"/>
                      <w:ind w:left="0" w:right="0" w:firstLine="0"/>
                      <w:jc w:val="left"/>
                      <w:rPr>
                        <w:rFonts w:ascii="Calibri"/>
                        <w:sz w:val="10"/>
                      </w:rPr>
                    </w:pPr>
                    <w:r>
                      <w:rPr>
                        <w:w w:val="106"/>
                        <w:sz w:val="10"/>
                        <w:u w:val="single" w:color="46AAC4"/>
                      </w:rPr>
                      <w:t> </w:t>
                    </w:r>
                    <w:r>
                      <w:rPr>
                        <w:sz w:val="10"/>
                        <w:u w:val="single" w:color="46AAC4"/>
                      </w:rPr>
                      <w:t>   </w:t>
                    </w:r>
                    <w:r>
                      <w:rPr>
                        <w:rFonts w:ascii="Calibri"/>
                        <w:w w:val="105"/>
                        <w:sz w:val="10"/>
                      </w:rPr>
                      <w:t>Others</w:t>
                    </w:r>
                  </w:p>
                </w:txbxContent>
              </v:textbox>
              <w10:wrap type="none"/>
            </v:shape>
            <v:shape style="position:absolute;left:6736;top:-170;width:109;height:612" type="#_x0000_t202" filled="false" stroked="false">
              <v:textbox inset="0,0,0,0">
                <w:txbxContent>
                  <w:p>
                    <w:pPr>
                      <w:spacing w:line="104" w:lineRule="exact" w:before="0"/>
                      <w:ind w:left="0" w:right="-18" w:firstLine="0"/>
                      <w:jc w:val="left"/>
                      <w:rPr>
                        <w:rFonts w:ascii="Calibri"/>
                        <w:sz w:val="10"/>
                      </w:rPr>
                    </w:pPr>
                    <w:r>
                      <w:rPr>
                        <w:rFonts w:ascii="Calibri"/>
                        <w:w w:val="105"/>
                        <w:sz w:val="10"/>
                      </w:rPr>
                      <w:t>10</w:t>
                    </w:r>
                  </w:p>
                  <w:p>
                    <w:pPr>
                      <w:spacing w:line="240" w:lineRule="auto" w:before="5"/>
                      <w:rPr>
                        <w:rFonts w:ascii="Arial"/>
                        <w:sz w:val="11"/>
                      </w:rPr>
                    </w:pPr>
                  </w:p>
                  <w:p>
                    <w:pPr>
                      <w:spacing w:before="1"/>
                      <w:ind w:left="53" w:right="0" w:firstLine="0"/>
                      <w:jc w:val="left"/>
                      <w:rPr>
                        <w:rFonts w:ascii="Calibri"/>
                        <w:sz w:val="10"/>
                      </w:rPr>
                    </w:pPr>
                    <w:r>
                      <w:rPr>
                        <w:rFonts w:ascii="Calibri"/>
                        <w:w w:val="106"/>
                        <w:sz w:val="10"/>
                      </w:rPr>
                      <w:t>5</w:t>
                    </w:r>
                  </w:p>
                  <w:p>
                    <w:pPr>
                      <w:spacing w:line="240" w:lineRule="auto" w:before="5"/>
                      <w:rPr>
                        <w:rFonts w:ascii="Arial"/>
                        <w:sz w:val="11"/>
                      </w:rPr>
                    </w:pPr>
                  </w:p>
                  <w:p>
                    <w:pPr>
                      <w:spacing w:line="121" w:lineRule="exact" w:before="1"/>
                      <w:ind w:left="53" w:right="0" w:firstLine="0"/>
                      <w:jc w:val="left"/>
                      <w:rPr>
                        <w:rFonts w:ascii="Calibri"/>
                        <w:sz w:val="10"/>
                      </w:rPr>
                    </w:pPr>
                    <w:r>
                      <w:rPr>
                        <w:rFonts w:ascii="Calibri"/>
                        <w:w w:val="106"/>
                        <w:sz w:val="10"/>
                      </w:rPr>
                      <w:t>0</w:t>
                    </w:r>
                  </w:p>
                </w:txbxContent>
              </v:textbox>
              <w10:wrap type="none"/>
            </v:shape>
            <v:shape style="position:absolute;left:7355;top:473;width:217;height:103" type="#_x0000_t202" filled="false" stroked="false">
              <v:textbox inset="0,0,0,0">
                <w:txbxContent>
                  <w:p>
                    <w:pPr>
                      <w:spacing w:line="103" w:lineRule="exact" w:before="0"/>
                      <w:ind w:left="0" w:right="-16" w:firstLine="0"/>
                      <w:jc w:val="left"/>
                      <w:rPr>
                        <w:rFonts w:ascii="Calibri"/>
                        <w:sz w:val="10"/>
                      </w:rPr>
                    </w:pPr>
                    <w:r>
                      <w:rPr>
                        <w:rFonts w:ascii="Calibri"/>
                        <w:w w:val="105"/>
                        <w:sz w:val="10"/>
                      </w:rPr>
                      <w:t>2011</w:t>
                    </w:r>
                  </w:p>
                </w:txbxContent>
              </v:textbox>
              <w10:wrap type="none"/>
            </v:shape>
            <v:shape style="position:absolute;left:8398;top:473;width:216;height:103" type="#_x0000_t202" filled="false" stroked="false">
              <v:textbox inset="0,0,0,0">
                <w:txbxContent>
                  <w:p>
                    <w:pPr>
                      <w:spacing w:line="103" w:lineRule="exact" w:before="0"/>
                      <w:ind w:left="0" w:right="-17" w:firstLine="0"/>
                      <w:jc w:val="left"/>
                      <w:rPr>
                        <w:rFonts w:ascii="Calibri"/>
                        <w:sz w:val="10"/>
                      </w:rPr>
                    </w:pPr>
                    <w:r>
                      <w:rPr>
                        <w:rFonts w:ascii="Calibri"/>
                        <w:w w:val="105"/>
                        <w:sz w:val="10"/>
                      </w:rPr>
                      <w:t>2012</w:t>
                    </w:r>
                  </w:p>
                </w:txbxContent>
              </v:textbox>
              <w10:wrap type="none"/>
            </v:shape>
            <v:shape style="position:absolute;left:9467;top:473;width:161;height:103" type="#_x0000_t202" filled="false" stroked="false">
              <v:textbox inset="0,0,0,0">
                <w:txbxContent>
                  <w:p>
                    <w:pPr>
                      <w:spacing w:line="103" w:lineRule="exact" w:before="0"/>
                      <w:ind w:left="0" w:right="-19" w:firstLine="0"/>
                      <w:jc w:val="left"/>
                      <w:rPr>
                        <w:rFonts w:ascii="Calibri"/>
                        <w:sz w:val="10"/>
                      </w:rPr>
                    </w:pPr>
                    <w:r>
                      <w:rPr>
                        <w:rFonts w:ascii="Calibri"/>
                        <w:w w:val="105"/>
                        <w:sz w:val="10"/>
                      </w:rPr>
                      <w:t>213</w:t>
                    </w:r>
                  </w:p>
                </w:txbxContent>
              </v:textbox>
              <w10:wrap type="none"/>
            </v:shape>
            <w10:wrap type="none"/>
          </v:group>
        </w:pict>
      </w:r>
      <w:r>
        <w:rPr>
          <w:sz w:val="16"/>
        </w:rPr>
        <w:t>Figure 2. MSD Per Gender and Year 2010-2014</w:t>
      </w:r>
    </w:p>
    <w:p>
      <w:pPr>
        <w:pStyle w:val="BodyText"/>
      </w:pPr>
    </w:p>
    <w:p>
      <w:pPr>
        <w:pStyle w:val="BodyText"/>
      </w:pPr>
    </w:p>
    <w:p>
      <w:pPr>
        <w:pStyle w:val="BodyText"/>
        <w:spacing w:before="10"/>
        <w:rPr>
          <w:sz w:val="29"/>
        </w:rPr>
      </w:pPr>
    </w:p>
    <w:p>
      <w:pPr>
        <w:spacing w:before="80"/>
        <w:ind w:left="5895" w:right="1218" w:firstLine="0"/>
        <w:jc w:val="left"/>
        <w:rPr>
          <w:rFonts w:ascii="Arial"/>
          <w:sz w:val="16"/>
        </w:rPr>
      </w:pPr>
      <w:r>
        <w:rPr>
          <w:rFonts w:ascii="Arial"/>
          <w:sz w:val="16"/>
        </w:rPr>
        <w:t>Figure 5. MSD per Year in Automotive Industry</w:t>
      </w:r>
    </w:p>
    <w:p>
      <w:pPr>
        <w:spacing w:after="0"/>
        <w:jc w:val="left"/>
        <w:rPr>
          <w:rFonts w:ascii="Arial"/>
          <w:sz w:val="16"/>
        </w:rPr>
        <w:sectPr>
          <w:pgSz w:w="12240" w:h="15840"/>
          <w:pgMar w:header="545" w:footer="852" w:top="1060" w:bottom="1040" w:left="580" w:right="220"/>
        </w:sectPr>
      </w:pPr>
    </w:p>
    <w:p>
      <w:pPr>
        <w:pStyle w:val="BodyText"/>
        <w:rPr>
          <w:rFonts w:ascii="Arial"/>
        </w:rPr>
      </w:pPr>
    </w:p>
    <w:p>
      <w:pPr>
        <w:pStyle w:val="BodyText"/>
        <w:spacing w:before="7"/>
        <w:rPr>
          <w:rFonts w:ascii="Arial"/>
          <w:sz w:val="17"/>
        </w:rPr>
      </w:pPr>
    </w:p>
    <w:p>
      <w:pPr>
        <w:spacing w:before="0"/>
        <w:ind w:left="270" w:right="6276" w:firstLine="0"/>
        <w:jc w:val="left"/>
        <w:rPr>
          <w:sz w:val="16"/>
        </w:rPr>
      </w:pPr>
      <w:r>
        <w:rPr>
          <w:sz w:val="16"/>
        </w:rPr>
        <w:t>Table 1. WorkStation per Industry and Type of Risk</w:t>
      </w:r>
    </w:p>
    <w:p>
      <w:pPr>
        <w:pStyle w:val="BodyText"/>
        <w:spacing w:before="6"/>
        <w:rPr>
          <w:sz w:val="24"/>
        </w:rPr>
      </w:pPr>
    </w:p>
    <w:tbl>
      <w:tblPr>
        <w:tblW w:w="0" w:type="auto"/>
        <w:jc w:val="left"/>
        <w:tblInd w:w="1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41"/>
        <w:gridCol w:w="2599"/>
        <w:gridCol w:w="1360"/>
        <w:gridCol w:w="1340"/>
        <w:gridCol w:w="1200"/>
        <w:gridCol w:w="1200"/>
      </w:tblGrid>
      <w:tr>
        <w:trPr>
          <w:trHeight w:val="322" w:hRule="exact"/>
        </w:trPr>
        <w:tc>
          <w:tcPr>
            <w:tcW w:w="1741" w:type="dxa"/>
            <w:tcBorders>
              <w:bottom w:val="double" w:sz="6" w:space="0" w:color="000000"/>
            </w:tcBorders>
            <w:shd w:val="clear" w:color="auto" w:fill="2D74B5"/>
          </w:tcPr>
          <w:p>
            <w:pPr>
              <w:pStyle w:val="TableParagraph"/>
              <w:spacing w:before="79"/>
              <w:ind w:left="103"/>
              <w:rPr>
                <w:b/>
                <w:sz w:val="20"/>
              </w:rPr>
            </w:pPr>
            <w:r>
              <w:rPr>
                <w:b/>
                <w:color w:val="FFFFFF"/>
                <w:sz w:val="20"/>
              </w:rPr>
              <w:t>Industry</w:t>
            </w:r>
          </w:p>
        </w:tc>
        <w:tc>
          <w:tcPr>
            <w:tcW w:w="2599" w:type="dxa"/>
            <w:tcBorders>
              <w:top w:val="nil"/>
            </w:tcBorders>
            <w:shd w:val="clear" w:color="auto" w:fill="91CF4F"/>
          </w:tcPr>
          <w:p>
            <w:pPr>
              <w:pStyle w:val="TableParagraph"/>
              <w:spacing w:before="82"/>
              <w:ind w:left="103"/>
              <w:rPr>
                <w:sz w:val="20"/>
              </w:rPr>
            </w:pPr>
            <w:r>
              <w:rPr>
                <w:sz w:val="20"/>
              </w:rPr>
              <w:t>Automotive 1</w:t>
            </w:r>
          </w:p>
        </w:tc>
        <w:tc>
          <w:tcPr>
            <w:tcW w:w="1360" w:type="dxa"/>
            <w:tcBorders>
              <w:top w:val="nil"/>
            </w:tcBorders>
            <w:shd w:val="clear" w:color="auto" w:fill="91CF4F"/>
          </w:tcPr>
          <w:p>
            <w:pPr>
              <w:pStyle w:val="TableParagraph"/>
              <w:spacing w:before="82"/>
              <w:ind w:right="139"/>
              <w:jc w:val="right"/>
              <w:rPr>
                <w:sz w:val="20"/>
              </w:rPr>
            </w:pPr>
            <w:r>
              <w:rPr>
                <w:sz w:val="20"/>
              </w:rPr>
              <w:t>Automotive 2</w:t>
            </w:r>
          </w:p>
        </w:tc>
        <w:tc>
          <w:tcPr>
            <w:tcW w:w="1340" w:type="dxa"/>
            <w:tcBorders>
              <w:top w:val="nil"/>
            </w:tcBorders>
            <w:shd w:val="clear" w:color="auto" w:fill="91CF4F"/>
          </w:tcPr>
          <w:p>
            <w:pPr>
              <w:pStyle w:val="TableParagraph"/>
              <w:spacing w:before="82"/>
              <w:ind w:right="120"/>
              <w:jc w:val="right"/>
              <w:rPr>
                <w:sz w:val="20"/>
              </w:rPr>
            </w:pPr>
            <w:r>
              <w:rPr>
                <w:sz w:val="20"/>
              </w:rPr>
              <w:t>Automotive 3</w:t>
            </w:r>
          </w:p>
        </w:tc>
        <w:tc>
          <w:tcPr>
            <w:tcW w:w="1200" w:type="dxa"/>
            <w:shd w:val="clear" w:color="auto" w:fill="91CF4F"/>
          </w:tcPr>
          <w:p>
            <w:pPr>
              <w:pStyle w:val="TableParagraph"/>
              <w:spacing w:before="77"/>
              <w:ind w:left="103" w:right="133"/>
              <w:rPr>
                <w:sz w:val="20"/>
              </w:rPr>
            </w:pPr>
            <w:r>
              <w:rPr>
                <w:sz w:val="20"/>
              </w:rPr>
              <w:t>Textil</w:t>
            </w:r>
          </w:p>
        </w:tc>
        <w:tc>
          <w:tcPr>
            <w:tcW w:w="1200" w:type="dxa"/>
            <w:shd w:val="clear" w:color="auto" w:fill="91CF4F"/>
          </w:tcPr>
          <w:p>
            <w:pPr>
              <w:pStyle w:val="TableParagraph"/>
              <w:spacing w:before="77"/>
              <w:ind w:left="103" w:right="133"/>
              <w:rPr>
                <w:sz w:val="20"/>
              </w:rPr>
            </w:pPr>
            <w:r>
              <w:rPr>
                <w:sz w:val="20"/>
              </w:rPr>
              <w:t>Service</w:t>
            </w:r>
          </w:p>
        </w:tc>
      </w:tr>
      <w:tr>
        <w:trPr>
          <w:trHeight w:val="376" w:hRule="exact"/>
        </w:trPr>
        <w:tc>
          <w:tcPr>
            <w:tcW w:w="1741" w:type="dxa"/>
            <w:tcBorders>
              <w:top w:val="double" w:sz="6" w:space="0" w:color="000000"/>
              <w:bottom w:val="single" w:sz="6" w:space="0" w:color="000000"/>
            </w:tcBorders>
            <w:shd w:val="clear" w:color="auto" w:fill="2D74B5"/>
          </w:tcPr>
          <w:p>
            <w:pPr>
              <w:pStyle w:val="TableParagraph"/>
              <w:spacing w:before="115"/>
              <w:ind w:left="103"/>
              <w:rPr>
                <w:b/>
                <w:sz w:val="20"/>
              </w:rPr>
            </w:pPr>
            <w:r>
              <w:rPr>
                <w:b/>
                <w:color w:val="FFFFFF"/>
                <w:sz w:val="20"/>
              </w:rPr>
              <w:t>WorkStations</w:t>
            </w:r>
          </w:p>
        </w:tc>
        <w:tc>
          <w:tcPr>
            <w:tcW w:w="2599" w:type="dxa"/>
          </w:tcPr>
          <w:p>
            <w:pPr>
              <w:pStyle w:val="TableParagraph"/>
              <w:spacing w:before="130"/>
              <w:ind w:right="100"/>
              <w:jc w:val="right"/>
              <w:rPr>
                <w:sz w:val="20"/>
              </w:rPr>
            </w:pPr>
            <w:r>
              <w:rPr>
                <w:sz w:val="20"/>
              </w:rPr>
              <w:t>304</w:t>
            </w:r>
          </w:p>
        </w:tc>
        <w:tc>
          <w:tcPr>
            <w:tcW w:w="1360" w:type="dxa"/>
          </w:tcPr>
          <w:p>
            <w:pPr>
              <w:pStyle w:val="TableParagraph"/>
              <w:spacing w:before="130"/>
              <w:ind w:right="100"/>
              <w:jc w:val="right"/>
              <w:rPr>
                <w:sz w:val="20"/>
              </w:rPr>
            </w:pPr>
            <w:r>
              <w:rPr>
                <w:sz w:val="20"/>
              </w:rPr>
              <w:t>34</w:t>
            </w:r>
          </w:p>
        </w:tc>
        <w:tc>
          <w:tcPr>
            <w:tcW w:w="1340" w:type="dxa"/>
          </w:tcPr>
          <w:p>
            <w:pPr>
              <w:pStyle w:val="TableParagraph"/>
              <w:spacing w:before="130"/>
              <w:ind w:right="100"/>
              <w:jc w:val="right"/>
              <w:rPr>
                <w:sz w:val="20"/>
              </w:rPr>
            </w:pPr>
            <w:r>
              <w:rPr>
                <w:sz w:val="20"/>
              </w:rPr>
              <w:t>331</w:t>
            </w:r>
          </w:p>
        </w:tc>
        <w:tc>
          <w:tcPr>
            <w:tcW w:w="1200" w:type="dxa"/>
          </w:tcPr>
          <w:p>
            <w:pPr>
              <w:pStyle w:val="TableParagraph"/>
              <w:spacing w:before="130"/>
              <w:ind w:right="100"/>
              <w:jc w:val="right"/>
              <w:rPr>
                <w:sz w:val="20"/>
              </w:rPr>
            </w:pPr>
            <w:r>
              <w:rPr>
                <w:sz w:val="20"/>
              </w:rPr>
              <w:t>19</w:t>
            </w:r>
          </w:p>
        </w:tc>
        <w:tc>
          <w:tcPr>
            <w:tcW w:w="1200" w:type="dxa"/>
          </w:tcPr>
          <w:p>
            <w:pPr>
              <w:pStyle w:val="TableParagraph"/>
              <w:spacing w:before="130"/>
              <w:ind w:right="100"/>
              <w:jc w:val="right"/>
              <w:rPr>
                <w:sz w:val="20"/>
              </w:rPr>
            </w:pPr>
            <w:r>
              <w:rPr>
                <w:sz w:val="20"/>
              </w:rPr>
              <w:t>18</w:t>
            </w:r>
          </w:p>
        </w:tc>
      </w:tr>
      <w:tr>
        <w:trPr>
          <w:trHeight w:val="374" w:hRule="exact"/>
        </w:trPr>
        <w:tc>
          <w:tcPr>
            <w:tcW w:w="1741" w:type="dxa"/>
            <w:tcBorders>
              <w:top w:val="double" w:sz="6" w:space="0" w:color="000000"/>
              <w:bottom w:val="single" w:sz="6" w:space="0" w:color="000000"/>
            </w:tcBorders>
            <w:shd w:val="clear" w:color="auto" w:fill="528034"/>
          </w:tcPr>
          <w:p>
            <w:pPr>
              <w:pStyle w:val="TableParagraph"/>
              <w:spacing w:before="115"/>
              <w:ind w:left="103"/>
              <w:rPr>
                <w:b/>
                <w:sz w:val="20"/>
              </w:rPr>
            </w:pPr>
            <w:r>
              <w:rPr>
                <w:b/>
                <w:color w:val="FFFFFF"/>
                <w:sz w:val="20"/>
              </w:rPr>
              <w:t>LOW RISK</w:t>
            </w:r>
          </w:p>
        </w:tc>
        <w:tc>
          <w:tcPr>
            <w:tcW w:w="2599" w:type="dxa"/>
          </w:tcPr>
          <w:p>
            <w:pPr>
              <w:pStyle w:val="TableParagraph"/>
              <w:spacing w:before="130"/>
              <w:ind w:right="101"/>
              <w:jc w:val="right"/>
              <w:rPr>
                <w:sz w:val="20"/>
              </w:rPr>
            </w:pPr>
            <w:r>
              <w:rPr>
                <w:sz w:val="20"/>
              </w:rPr>
              <w:t>247</w:t>
            </w:r>
          </w:p>
        </w:tc>
        <w:tc>
          <w:tcPr>
            <w:tcW w:w="1360" w:type="dxa"/>
          </w:tcPr>
          <w:p>
            <w:pPr>
              <w:pStyle w:val="TableParagraph"/>
              <w:spacing w:before="130"/>
              <w:ind w:right="100"/>
              <w:jc w:val="right"/>
              <w:rPr>
                <w:sz w:val="20"/>
              </w:rPr>
            </w:pPr>
            <w:r>
              <w:rPr>
                <w:sz w:val="20"/>
              </w:rPr>
              <w:t>15</w:t>
            </w:r>
          </w:p>
        </w:tc>
        <w:tc>
          <w:tcPr>
            <w:tcW w:w="1340" w:type="dxa"/>
          </w:tcPr>
          <w:p>
            <w:pPr>
              <w:pStyle w:val="TableParagraph"/>
              <w:spacing w:before="130"/>
              <w:ind w:right="101"/>
              <w:jc w:val="right"/>
              <w:rPr>
                <w:sz w:val="20"/>
              </w:rPr>
            </w:pPr>
            <w:r>
              <w:rPr>
                <w:sz w:val="20"/>
              </w:rPr>
              <w:t>281</w:t>
            </w:r>
          </w:p>
        </w:tc>
        <w:tc>
          <w:tcPr>
            <w:tcW w:w="1200" w:type="dxa"/>
          </w:tcPr>
          <w:p>
            <w:pPr>
              <w:pStyle w:val="TableParagraph"/>
              <w:spacing w:before="130"/>
              <w:ind w:right="100"/>
              <w:jc w:val="right"/>
              <w:rPr>
                <w:sz w:val="20"/>
              </w:rPr>
            </w:pPr>
            <w:r>
              <w:rPr>
                <w:w w:val="100"/>
                <w:sz w:val="20"/>
              </w:rPr>
              <w:t>6</w:t>
            </w:r>
          </w:p>
        </w:tc>
        <w:tc>
          <w:tcPr>
            <w:tcW w:w="1200" w:type="dxa"/>
          </w:tcPr>
          <w:p>
            <w:pPr>
              <w:pStyle w:val="TableParagraph"/>
              <w:spacing w:before="130"/>
              <w:ind w:right="100"/>
              <w:jc w:val="right"/>
              <w:rPr>
                <w:sz w:val="20"/>
              </w:rPr>
            </w:pPr>
            <w:r>
              <w:rPr>
                <w:w w:val="100"/>
                <w:sz w:val="20"/>
              </w:rPr>
              <w:t>5</w:t>
            </w:r>
          </w:p>
        </w:tc>
      </w:tr>
      <w:tr>
        <w:trPr>
          <w:trHeight w:val="376" w:hRule="exact"/>
        </w:trPr>
        <w:tc>
          <w:tcPr>
            <w:tcW w:w="1741" w:type="dxa"/>
            <w:tcBorders>
              <w:top w:val="double" w:sz="6" w:space="0" w:color="000000"/>
              <w:bottom w:val="single" w:sz="6" w:space="0" w:color="000000"/>
            </w:tcBorders>
            <w:shd w:val="clear" w:color="auto" w:fill="FFD864"/>
          </w:tcPr>
          <w:p>
            <w:pPr>
              <w:pStyle w:val="TableParagraph"/>
              <w:spacing w:before="115"/>
              <w:ind w:left="103"/>
              <w:rPr>
                <w:b/>
                <w:sz w:val="20"/>
              </w:rPr>
            </w:pPr>
            <w:r>
              <w:rPr>
                <w:b/>
                <w:sz w:val="20"/>
              </w:rPr>
              <w:t>MEDIU RISK</w:t>
            </w:r>
          </w:p>
        </w:tc>
        <w:tc>
          <w:tcPr>
            <w:tcW w:w="2599" w:type="dxa"/>
          </w:tcPr>
          <w:p>
            <w:pPr>
              <w:pStyle w:val="TableParagraph"/>
              <w:spacing w:before="130"/>
              <w:ind w:right="100"/>
              <w:jc w:val="right"/>
              <w:rPr>
                <w:sz w:val="20"/>
              </w:rPr>
            </w:pPr>
            <w:r>
              <w:rPr>
                <w:sz w:val="20"/>
              </w:rPr>
              <w:t>53</w:t>
            </w:r>
          </w:p>
        </w:tc>
        <w:tc>
          <w:tcPr>
            <w:tcW w:w="1360" w:type="dxa"/>
          </w:tcPr>
          <w:p>
            <w:pPr>
              <w:pStyle w:val="TableParagraph"/>
              <w:spacing w:before="130"/>
              <w:ind w:right="100"/>
              <w:jc w:val="right"/>
              <w:rPr>
                <w:sz w:val="20"/>
              </w:rPr>
            </w:pPr>
            <w:r>
              <w:rPr>
                <w:sz w:val="20"/>
              </w:rPr>
              <w:t>15</w:t>
            </w:r>
          </w:p>
        </w:tc>
        <w:tc>
          <w:tcPr>
            <w:tcW w:w="1340" w:type="dxa"/>
          </w:tcPr>
          <w:p>
            <w:pPr>
              <w:pStyle w:val="TableParagraph"/>
              <w:spacing w:before="130"/>
              <w:ind w:right="100"/>
              <w:jc w:val="right"/>
              <w:rPr>
                <w:sz w:val="20"/>
              </w:rPr>
            </w:pPr>
            <w:r>
              <w:rPr>
                <w:sz w:val="20"/>
              </w:rPr>
              <w:t>45</w:t>
            </w:r>
          </w:p>
        </w:tc>
        <w:tc>
          <w:tcPr>
            <w:tcW w:w="1200" w:type="dxa"/>
          </w:tcPr>
          <w:p>
            <w:pPr>
              <w:pStyle w:val="TableParagraph"/>
              <w:spacing w:before="130"/>
              <w:ind w:right="100"/>
              <w:jc w:val="right"/>
              <w:rPr>
                <w:sz w:val="20"/>
              </w:rPr>
            </w:pPr>
            <w:r>
              <w:rPr>
                <w:w w:val="100"/>
                <w:sz w:val="20"/>
              </w:rPr>
              <w:t>5</w:t>
            </w:r>
          </w:p>
        </w:tc>
        <w:tc>
          <w:tcPr>
            <w:tcW w:w="1200" w:type="dxa"/>
          </w:tcPr>
          <w:p>
            <w:pPr>
              <w:pStyle w:val="TableParagraph"/>
              <w:spacing w:before="130"/>
              <w:ind w:right="100"/>
              <w:jc w:val="right"/>
              <w:rPr>
                <w:sz w:val="20"/>
              </w:rPr>
            </w:pPr>
            <w:r>
              <w:rPr>
                <w:sz w:val="20"/>
              </w:rPr>
              <w:t>11</w:t>
            </w:r>
          </w:p>
        </w:tc>
      </w:tr>
      <w:tr>
        <w:trPr>
          <w:trHeight w:val="374" w:hRule="exact"/>
        </w:trPr>
        <w:tc>
          <w:tcPr>
            <w:tcW w:w="1741" w:type="dxa"/>
            <w:tcBorders>
              <w:top w:val="double" w:sz="6" w:space="0" w:color="000000"/>
              <w:bottom w:val="double" w:sz="6" w:space="0" w:color="000000"/>
            </w:tcBorders>
            <w:shd w:val="clear" w:color="auto" w:fill="2D74B5"/>
          </w:tcPr>
          <w:p>
            <w:pPr>
              <w:pStyle w:val="TableParagraph"/>
              <w:spacing w:before="115"/>
              <w:ind w:left="103"/>
              <w:rPr>
                <w:b/>
                <w:sz w:val="20"/>
              </w:rPr>
            </w:pPr>
            <w:r>
              <w:rPr>
                <w:b/>
                <w:color w:val="FFFFFF"/>
                <w:sz w:val="20"/>
              </w:rPr>
              <w:t>NECK</w:t>
            </w:r>
          </w:p>
        </w:tc>
        <w:tc>
          <w:tcPr>
            <w:tcW w:w="2599" w:type="dxa"/>
          </w:tcPr>
          <w:p>
            <w:pPr>
              <w:pStyle w:val="TableParagraph"/>
              <w:spacing w:before="130"/>
              <w:ind w:right="100"/>
              <w:jc w:val="right"/>
              <w:rPr>
                <w:sz w:val="20"/>
              </w:rPr>
            </w:pPr>
            <w:r>
              <w:rPr>
                <w:w w:val="100"/>
                <w:sz w:val="20"/>
              </w:rPr>
              <w:t>1</w:t>
            </w:r>
          </w:p>
        </w:tc>
        <w:tc>
          <w:tcPr>
            <w:tcW w:w="1360" w:type="dxa"/>
          </w:tcPr>
          <w:p>
            <w:pPr>
              <w:pStyle w:val="TableParagraph"/>
              <w:spacing w:before="130"/>
              <w:ind w:right="100"/>
              <w:jc w:val="right"/>
              <w:rPr>
                <w:sz w:val="20"/>
              </w:rPr>
            </w:pPr>
            <w:r>
              <w:rPr>
                <w:w w:val="100"/>
                <w:sz w:val="20"/>
              </w:rPr>
              <w:t>8</w:t>
            </w:r>
          </w:p>
        </w:tc>
        <w:tc>
          <w:tcPr>
            <w:tcW w:w="1340" w:type="dxa"/>
          </w:tcPr>
          <w:p>
            <w:pPr>
              <w:pStyle w:val="TableParagraph"/>
              <w:spacing w:before="130"/>
              <w:ind w:right="100"/>
              <w:jc w:val="right"/>
              <w:rPr>
                <w:sz w:val="20"/>
              </w:rPr>
            </w:pPr>
            <w:r>
              <w:rPr>
                <w:w w:val="100"/>
                <w:sz w:val="20"/>
              </w:rPr>
              <w:t>9</w:t>
            </w:r>
          </w:p>
        </w:tc>
        <w:tc>
          <w:tcPr>
            <w:tcW w:w="1200" w:type="dxa"/>
          </w:tcPr>
          <w:p>
            <w:pPr>
              <w:pStyle w:val="TableParagraph"/>
              <w:spacing w:before="130"/>
              <w:ind w:right="100"/>
              <w:jc w:val="right"/>
              <w:rPr>
                <w:sz w:val="20"/>
              </w:rPr>
            </w:pPr>
            <w:r>
              <w:rPr>
                <w:w w:val="100"/>
                <w:sz w:val="20"/>
              </w:rPr>
              <w:t>9</w:t>
            </w:r>
          </w:p>
        </w:tc>
        <w:tc>
          <w:tcPr>
            <w:tcW w:w="1200" w:type="dxa"/>
          </w:tcPr>
          <w:p>
            <w:pPr>
              <w:pStyle w:val="TableParagraph"/>
              <w:spacing w:before="130"/>
              <w:ind w:right="100"/>
              <w:jc w:val="right"/>
              <w:rPr>
                <w:sz w:val="20"/>
              </w:rPr>
            </w:pPr>
            <w:r>
              <w:rPr>
                <w:w w:val="100"/>
                <w:sz w:val="20"/>
              </w:rPr>
              <w:t>1</w:t>
            </w:r>
          </w:p>
        </w:tc>
      </w:tr>
      <w:tr>
        <w:trPr>
          <w:trHeight w:val="376" w:hRule="exact"/>
        </w:trPr>
        <w:tc>
          <w:tcPr>
            <w:tcW w:w="1741" w:type="dxa"/>
            <w:tcBorders>
              <w:top w:val="double" w:sz="6" w:space="0" w:color="000000"/>
              <w:bottom w:val="double" w:sz="6" w:space="0" w:color="000000"/>
            </w:tcBorders>
            <w:shd w:val="clear" w:color="auto" w:fill="2D74B5"/>
          </w:tcPr>
          <w:p>
            <w:pPr>
              <w:pStyle w:val="TableParagraph"/>
              <w:spacing w:before="115"/>
              <w:ind w:left="103"/>
              <w:rPr>
                <w:b/>
                <w:sz w:val="20"/>
              </w:rPr>
            </w:pPr>
            <w:r>
              <w:rPr>
                <w:b/>
                <w:color w:val="FFFFFF"/>
                <w:sz w:val="20"/>
              </w:rPr>
              <w:t>SHOULDER</w:t>
            </w:r>
          </w:p>
        </w:tc>
        <w:tc>
          <w:tcPr>
            <w:tcW w:w="2599" w:type="dxa"/>
          </w:tcPr>
          <w:p>
            <w:pPr>
              <w:pStyle w:val="TableParagraph"/>
              <w:spacing w:before="130"/>
              <w:ind w:right="100"/>
              <w:jc w:val="right"/>
              <w:rPr>
                <w:sz w:val="20"/>
              </w:rPr>
            </w:pPr>
            <w:r>
              <w:rPr>
                <w:w w:val="100"/>
                <w:sz w:val="20"/>
              </w:rPr>
              <w:t>7</w:t>
            </w:r>
          </w:p>
        </w:tc>
        <w:tc>
          <w:tcPr>
            <w:tcW w:w="1360" w:type="dxa"/>
          </w:tcPr>
          <w:p>
            <w:pPr>
              <w:pStyle w:val="TableParagraph"/>
              <w:spacing w:before="130"/>
              <w:ind w:right="100"/>
              <w:jc w:val="right"/>
              <w:rPr>
                <w:sz w:val="20"/>
              </w:rPr>
            </w:pPr>
            <w:r>
              <w:rPr>
                <w:w w:val="100"/>
                <w:sz w:val="20"/>
              </w:rPr>
              <w:t>9</w:t>
            </w:r>
          </w:p>
        </w:tc>
        <w:tc>
          <w:tcPr>
            <w:tcW w:w="1340" w:type="dxa"/>
          </w:tcPr>
          <w:p>
            <w:pPr>
              <w:pStyle w:val="TableParagraph"/>
              <w:spacing w:before="130"/>
              <w:ind w:right="100"/>
              <w:jc w:val="right"/>
              <w:rPr>
                <w:sz w:val="20"/>
              </w:rPr>
            </w:pPr>
            <w:r>
              <w:rPr>
                <w:sz w:val="20"/>
              </w:rPr>
              <w:t>27</w:t>
            </w:r>
          </w:p>
        </w:tc>
        <w:tc>
          <w:tcPr>
            <w:tcW w:w="1200" w:type="dxa"/>
          </w:tcPr>
          <w:p>
            <w:pPr>
              <w:pStyle w:val="TableParagraph"/>
              <w:spacing w:before="130"/>
              <w:ind w:right="100"/>
              <w:jc w:val="right"/>
              <w:rPr>
                <w:sz w:val="20"/>
              </w:rPr>
            </w:pPr>
            <w:r>
              <w:rPr>
                <w:w w:val="100"/>
                <w:sz w:val="20"/>
              </w:rPr>
              <w:t>7</w:t>
            </w:r>
          </w:p>
        </w:tc>
        <w:tc>
          <w:tcPr>
            <w:tcW w:w="1200" w:type="dxa"/>
          </w:tcPr>
          <w:p>
            <w:pPr>
              <w:pStyle w:val="TableParagraph"/>
              <w:spacing w:before="130"/>
              <w:ind w:right="100"/>
              <w:jc w:val="right"/>
              <w:rPr>
                <w:sz w:val="20"/>
              </w:rPr>
            </w:pPr>
            <w:r>
              <w:rPr>
                <w:sz w:val="20"/>
              </w:rPr>
              <w:t>11</w:t>
            </w:r>
          </w:p>
        </w:tc>
      </w:tr>
      <w:tr>
        <w:trPr>
          <w:trHeight w:val="374" w:hRule="exact"/>
        </w:trPr>
        <w:tc>
          <w:tcPr>
            <w:tcW w:w="1741" w:type="dxa"/>
            <w:tcBorders>
              <w:top w:val="double" w:sz="6" w:space="0" w:color="000000"/>
              <w:bottom w:val="double" w:sz="6" w:space="0" w:color="000000"/>
            </w:tcBorders>
            <w:shd w:val="clear" w:color="auto" w:fill="2D74B5"/>
          </w:tcPr>
          <w:p>
            <w:pPr>
              <w:pStyle w:val="TableParagraph"/>
              <w:spacing w:before="115"/>
              <w:ind w:left="103"/>
              <w:rPr>
                <w:b/>
                <w:sz w:val="20"/>
              </w:rPr>
            </w:pPr>
            <w:r>
              <w:rPr>
                <w:b/>
                <w:color w:val="FFFFFF"/>
                <w:sz w:val="20"/>
              </w:rPr>
              <w:t>ELBOW</w:t>
            </w:r>
          </w:p>
        </w:tc>
        <w:tc>
          <w:tcPr>
            <w:tcW w:w="2599" w:type="dxa"/>
          </w:tcPr>
          <w:p>
            <w:pPr>
              <w:pStyle w:val="TableParagraph"/>
              <w:spacing w:before="130"/>
              <w:ind w:right="100"/>
              <w:jc w:val="right"/>
              <w:rPr>
                <w:sz w:val="20"/>
              </w:rPr>
            </w:pPr>
            <w:r>
              <w:rPr>
                <w:w w:val="100"/>
                <w:sz w:val="20"/>
              </w:rPr>
              <w:t>5</w:t>
            </w:r>
          </w:p>
        </w:tc>
        <w:tc>
          <w:tcPr>
            <w:tcW w:w="1360" w:type="dxa"/>
          </w:tcPr>
          <w:p>
            <w:pPr>
              <w:pStyle w:val="TableParagraph"/>
              <w:spacing w:before="130"/>
              <w:ind w:right="100"/>
              <w:jc w:val="right"/>
              <w:rPr>
                <w:sz w:val="20"/>
              </w:rPr>
            </w:pPr>
            <w:r>
              <w:rPr>
                <w:w w:val="100"/>
                <w:sz w:val="20"/>
              </w:rPr>
              <w:t>6</w:t>
            </w:r>
          </w:p>
        </w:tc>
        <w:tc>
          <w:tcPr>
            <w:tcW w:w="1340" w:type="dxa"/>
          </w:tcPr>
          <w:p>
            <w:pPr>
              <w:pStyle w:val="TableParagraph"/>
              <w:spacing w:before="130"/>
              <w:ind w:right="100"/>
              <w:jc w:val="right"/>
              <w:rPr>
                <w:sz w:val="20"/>
              </w:rPr>
            </w:pPr>
            <w:r>
              <w:rPr>
                <w:w w:val="100"/>
                <w:sz w:val="20"/>
              </w:rPr>
              <w:t>4</w:t>
            </w:r>
          </w:p>
        </w:tc>
        <w:tc>
          <w:tcPr>
            <w:tcW w:w="1200" w:type="dxa"/>
          </w:tcPr>
          <w:p>
            <w:pPr>
              <w:pStyle w:val="TableParagraph"/>
              <w:spacing w:before="130"/>
              <w:ind w:right="100"/>
              <w:jc w:val="right"/>
              <w:rPr>
                <w:sz w:val="20"/>
              </w:rPr>
            </w:pPr>
            <w:r>
              <w:rPr>
                <w:w w:val="100"/>
                <w:sz w:val="20"/>
              </w:rPr>
              <w:t>9</w:t>
            </w:r>
          </w:p>
        </w:tc>
        <w:tc>
          <w:tcPr>
            <w:tcW w:w="1200" w:type="dxa"/>
          </w:tcPr>
          <w:p>
            <w:pPr>
              <w:pStyle w:val="TableParagraph"/>
              <w:spacing w:before="130"/>
              <w:ind w:right="100"/>
              <w:jc w:val="right"/>
              <w:rPr>
                <w:sz w:val="20"/>
              </w:rPr>
            </w:pPr>
            <w:r>
              <w:rPr>
                <w:w w:val="100"/>
                <w:sz w:val="20"/>
              </w:rPr>
              <w:t>7</w:t>
            </w:r>
          </w:p>
        </w:tc>
      </w:tr>
      <w:tr>
        <w:trPr>
          <w:trHeight w:val="376" w:hRule="exact"/>
        </w:trPr>
        <w:tc>
          <w:tcPr>
            <w:tcW w:w="1741" w:type="dxa"/>
            <w:tcBorders>
              <w:top w:val="double" w:sz="6" w:space="0" w:color="000000"/>
              <w:bottom w:val="double" w:sz="6" w:space="0" w:color="000000"/>
            </w:tcBorders>
            <w:shd w:val="clear" w:color="auto" w:fill="2D74B5"/>
          </w:tcPr>
          <w:p>
            <w:pPr>
              <w:pStyle w:val="TableParagraph"/>
              <w:spacing w:before="115"/>
              <w:ind w:left="103"/>
              <w:rPr>
                <w:b/>
                <w:sz w:val="20"/>
              </w:rPr>
            </w:pPr>
            <w:r>
              <w:rPr>
                <w:b/>
                <w:color w:val="FFFFFF"/>
                <w:sz w:val="20"/>
              </w:rPr>
              <w:t>WRIST</w:t>
            </w:r>
          </w:p>
        </w:tc>
        <w:tc>
          <w:tcPr>
            <w:tcW w:w="2599" w:type="dxa"/>
          </w:tcPr>
          <w:p>
            <w:pPr>
              <w:pStyle w:val="TableParagraph"/>
              <w:spacing w:before="130"/>
              <w:ind w:right="100"/>
              <w:jc w:val="right"/>
              <w:rPr>
                <w:sz w:val="20"/>
              </w:rPr>
            </w:pPr>
            <w:r>
              <w:rPr>
                <w:w w:val="100"/>
                <w:sz w:val="20"/>
              </w:rPr>
              <w:t>9</w:t>
            </w:r>
          </w:p>
        </w:tc>
        <w:tc>
          <w:tcPr>
            <w:tcW w:w="1360" w:type="dxa"/>
          </w:tcPr>
          <w:p>
            <w:pPr>
              <w:pStyle w:val="TableParagraph"/>
              <w:spacing w:before="130"/>
              <w:ind w:right="100"/>
              <w:jc w:val="right"/>
              <w:rPr>
                <w:sz w:val="20"/>
              </w:rPr>
            </w:pPr>
            <w:r>
              <w:rPr>
                <w:sz w:val="20"/>
              </w:rPr>
              <w:t>15</w:t>
            </w:r>
          </w:p>
        </w:tc>
        <w:tc>
          <w:tcPr>
            <w:tcW w:w="1340" w:type="dxa"/>
          </w:tcPr>
          <w:p>
            <w:pPr>
              <w:pStyle w:val="TableParagraph"/>
              <w:spacing w:before="130"/>
              <w:ind w:right="100"/>
              <w:jc w:val="right"/>
              <w:rPr>
                <w:sz w:val="20"/>
              </w:rPr>
            </w:pPr>
            <w:r>
              <w:rPr>
                <w:sz w:val="20"/>
              </w:rPr>
              <w:t>12</w:t>
            </w:r>
          </w:p>
        </w:tc>
        <w:tc>
          <w:tcPr>
            <w:tcW w:w="1200" w:type="dxa"/>
          </w:tcPr>
          <w:p>
            <w:pPr>
              <w:pStyle w:val="TableParagraph"/>
              <w:spacing w:before="130"/>
              <w:ind w:right="100"/>
              <w:jc w:val="right"/>
              <w:rPr>
                <w:sz w:val="20"/>
              </w:rPr>
            </w:pPr>
            <w:r>
              <w:rPr>
                <w:w w:val="100"/>
                <w:sz w:val="20"/>
              </w:rPr>
              <w:t>3</w:t>
            </w:r>
          </w:p>
        </w:tc>
        <w:tc>
          <w:tcPr>
            <w:tcW w:w="1200" w:type="dxa"/>
          </w:tcPr>
          <w:p>
            <w:pPr>
              <w:pStyle w:val="TableParagraph"/>
              <w:spacing w:before="130"/>
              <w:ind w:right="100"/>
              <w:jc w:val="right"/>
              <w:rPr>
                <w:sz w:val="20"/>
              </w:rPr>
            </w:pPr>
            <w:r>
              <w:rPr>
                <w:w w:val="100"/>
                <w:sz w:val="20"/>
              </w:rPr>
              <w:t>5</w:t>
            </w:r>
          </w:p>
        </w:tc>
      </w:tr>
      <w:tr>
        <w:trPr>
          <w:trHeight w:val="374" w:hRule="exact"/>
        </w:trPr>
        <w:tc>
          <w:tcPr>
            <w:tcW w:w="1741" w:type="dxa"/>
            <w:tcBorders>
              <w:top w:val="double" w:sz="6" w:space="0" w:color="000000"/>
              <w:bottom w:val="single" w:sz="6" w:space="0" w:color="000000"/>
            </w:tcBorders>
            <w:shd w:val="clear" w:color="auto" w:fill="2D74B5"/>
          </w:tcPr>
          <w:p>
            <w:pPr>
              <w:pStyle w:val="TableParagraph"/>
              <w:spacing w:before="115"/>
              <w:ind w:left="103"/>
              <w:rPr>
                <w:b/>
                <w:sz w:val="20"/>
              </w:rPr>
            </w:pPr>
            <w:r>
              <w:rPr>
                <w:b/>
                <w:color w:val="FFFFFF"/>
                <w:sz w:val="20"/>
              </w:rPr>
              <w:t>BACK</w:t>
            </w:r>
          </w:p>
        </w:tc>
        <w:tc>
          <w:tcPr>
            <w:tcW w:w="2599" w:type="dxa"/>
          </w:tcPr>
          <w:p>
            <w:pPr>
              <w:pStyle w:val="TableParagraph"/>
              <w:spacing w:before="130"/>
              <w:ind w:right="100"/>
              <w:jc w:val="right"/>
              <w:rPr>
                <w:sz w:val="20"/>
              </w:rPr>
            </w:pPr>
            <w:r>
              <w:rPr>
                <w:w w:val="100"/>
                <w:sz w:val="20"/>
              </w:rPr>
              <w:t>7</w:t>
            </w:r>
          </w:p>
        </w:tc>
        <w:tc>
          <w:tcPr>
            <w:tcW w:w="1360" w:type="dxa"/>
          </w:tcPr>
          <w:p>
            <w:pPr>
              <w:pStyle w:val="TableParagraph"/>
              <w:spacing w:before="130"/>
              <w:ind w:right="100"/>
              <w:jc w:val="right"/>
              <w:rPr>
                <w:sz w:val="20"/>
              </w:rPr>
            </w:pPr>
            <w:r>
              <w:rPr>
                <w:w w:val="100"/>
                <w:sz w:val="20"/>
              </w:rPr>
              <w:t>7</w:t>
            </w:r>
          </w:p>
        </w:tc>
        <w:tc>
          <w:tcPr>
            <w:tcW w:w="1340" w:type="dxa"/>
          </w:tcPr>
          <w:p>
            <w:pPr>
              <w:pStyle w:val="TableParagraph"/>
              <w:spacing w:before="130"/>
              <w:ind w:right="100"/>
              <w:jc w:val="right"/>
              <w:rPr>
                <w:sz w:val="20"/>
              </w:rPr>
            </w:pPr>
            <w:r>
              <w:rPr>
                <w:sz w:val="20"/>
              </w:rPr>
              <w:t>12</w:t>
            </w:r>
          </w:p>
        </w:tc>
        <w:tc>
          <w:tcPr>
            <w:tcW w:w="1200" w:type="dxa"/>
          </w:tcPr>
          <w:p>
            <w:pPr>
              <w:pStyle w:val="TableParagraph"/>
              <w:spacing w:before="130"/>
              <w:ind w:right="100"/>
              <w:jc w:val="right"/>
              <w:rPr>
                <w:sz w:val="20"/>
              </w:rPr>
            </w:pPr>
            <w:r>
              <w:rPr>
                <w:w w:val="100"/>
                <w:sz w:val="20"/>
              </w:rPr>
              <w:t>8</w:t>
            </w:r>
          </w:p>
        </w:tc>
        <w:tc>
          <w:tcPr>
            <w:tcW w:w="1200" w:type="dxa"/>
          </w:tcPr>
          <w:p>
            <w:pPr>
              <w:pStyle w:val="TableParagraph"/>
              <w:spacing w:before="130"/>
              <w:ind w:right="100"/>
              <w:jc w:val="right"/>
              <w:rPr>
                <w:sz w:val="20"/>
              </w:rPr>
            </w:pPr>
            <w:r>
              <w:rPr>
                <w:w w:val="100"/>
                <w:sz w:val="20"/>
              </w:rPr>
              <w:t>3</w:t>
            </w:r>
          </w:p>
        </w:tc>
      </w:tr>
      <w:tr>
        <w:trPr>
          <w:trHeight w:val="376" w:hRule="exact"/>
        </w:trPr>
        <w:tc>
          <w:tcPr>
            <w:tcW w:w="1741" w:type="dxa"/>
            <w:tcBorders>
              <w:top w:val="double" w:sz="6" w:space="0" w:color="000000"/>
              <w:bottom w:val="single" w:sz="6" w:space="0" w:color="000000"/>
            </w:tcBorders>
            <w:shd w:val="clear" w:color="auto" w:fill="FF1717"/>
          </w:tcPr>
          <w:p>
            <w:pPr>
              <w:pStyle w:val="TableParagraph"/>
              <w:spacing w:before="115"/>
              <w:ind w:left="103"/>
              <w:rPr>
                <w:b/>
                <w:sz w:val="20"/>
              </w:rPr>
            </w:pPr>
            <w:r>
              <w:rPr>
                <w:b/>
                <w:color w:val="FFFFFF"/>
                <w:sz w:val="20"/>
              </w:rPr>
              <w:t>HIGH RISK</w:t>
            </w:r>
          </w:p>
        </w:tc>
        <w:tc>
          <w:tcPr>
            <w:tcW w:w="2599" w:type="dxa"/>
          </w:tcPr>
          <w:p>
            <w:pPr>
              <w:pStyle w:val="TableParagraph"/>
              <w:spacing w:before="130"/>
              <w:ind w:right="100"/>
              <w:jc w:val="right"/>
              <w:rPr>
                <w:sz w:val="20"/>
              </w:rPr>
            </w:pPr>
            <w:r>
              <w:rPr>
                <w:w w:val="100"/>
                <w:sz w:val="20"/>
              </w:rPr>
              <w:t>4</w:t>
            </w:r>
          </w:p>
        </w:tc>
        <w:tc>
          <w:tcPr>
            <w:tcW w:w="1360" w:type="dxa"/>
          </w:tcPr>
          <w:p>
            <w:pPr>
              <w:pStyle w:val="TableParagraph"/>
              <w:spacing w:before="130"/>
              <w:ind w:right="100"/>
              <w:jc w:val="right"/>
              <w:rPr>
                <w:sz w:val="20"/>
              </w:rPr>
            </w:pPr>
            <w:r>
              <w:rPr>
                <w:w w:val="100"/>
                <w:sz w:val="20"/>
              </w:rPr>
              <w:t>4</w:t>
            </w:r>
          </w:p>
        </w:tc>
        <w:tc>
          <w:tcPr>
            <w:tcW w:w="1340" w:type="dxa"/>
          </w:tcPr>
          <w:p>
            <w:pPr>
              <w:pStyle w:val="TableParagraph"/>
              <w:spacing w:before="130"/>
              <w:ind w:right="100"/>
              <w:jc w:val="right"/>
              <w:rPr>
                <w:sz w:val="20"/>
              </w:rPr>
            </w:pPr>
            <w:r>
              <w:rPr>
                <w:w w:val="100"/>
                <w:sz w:val="20"/>
              </w:rPr>
              <w:t>5</w:t>
            </w:r>
          </w:p>
        </w:tc>
        <w:tc>
          <w:tcPr>
            <w:tcW w:w="1200" w:type="dxa"/>
          </w:tcPr>
          <w:p>
            <w:pPr>
              <w:pStyle w:val="TableParagraph"/>
              <w:spacing w:before="130"/>
              <w:ind w:right="100"/>
              <w:jc w:val="right"/>
              <w:rPr>
                <w:sz w:val="20"/>
              </w:rPr>
            </w:pPr>
            <w:r>
              <w:rPr>
                <w:w w:val="100"/>
                <w:sz w:val="20"/>
              </w:rPr>
              <w:t>7</w:t>
            </w:r>
          </w:p>
        </w:tc>
        <w:tc>
          <w:tcPr>
            <w:tcW w:w="1200" w:type="dxa"/>
          </w:tcPr>
          <w:p>
            <w:pPr>
              <w:pStyle w:val="TableParagraph"/>
              <w:spacing w:before="130"/>
              <w:ind w:right="100"/>
              <w:jc w:val="right"/>
              <w:rPr>
                <w:sz w:val="20"/>
              </w:rPr>
            </w:pPr>
            <w:r>
              <w:rPr>
                <w:w w:val="100"/>
                <w:sz w:val="20"/>
              </w:rPr>
              <w:t>2</w:t>
            </w:r>
          </w:p>
        </w:tc>
      </w:tr>
      <w:tr>
        <w:trPr>
          <w:trHeight w:val="374" w:hRule="exact"/>
        </w:trPr>
        <w:tc>
          <w:tcPr>
            <w:tcW w:w="1741" w:type="dxa"/>
            <w:tcBorders>
              <w:top w:val="double" w:sz="6" w:space="0" w:color="000000"/>
              <w:bottom w:val="double" w:sz="6" w:space="0" w:color="000000"/>
            </w:tcBorders>
            <w:shd w:val="clear" w:color="auto" w:fill="2D74B5"/>
          </w:tcPr>
          <w:p>
            <w:pPr>
              <w:pStyle w:val="TableParagraph"/>
              <w:spacing w:before="115"/>
              <w:ind w:left="103"/>
              <w:rPr>
                <w:b/>
                <w:sz w:val="20"/>
              </w:rPr>
            </w:pPr>
            <w:r>
              <w:rPr>
                <w:b/>
                <w:color w:val="FFFFFF"/>
                <w:sz w:val="20"/>
              </w:rPr>
              <w:t>NECK</w:t>
            </w:r>
          </w:p>
        </w:tc>
        <w:tc>
          <w:tcPr>
            <w:tcW w:w="2599" w:type="dxa"/>
          </w:tcPr>
          <w:p>
            <w:pPr>
              <w:pStyle w:val="TableParagraph"/>
              <w:spacing w:before="130"/>
              <w:ind w:right="100"/>
              <w:jc w:val="right"/>
              <w:rPr>
                <w:sz w:val="20"/>
              </w:rPr>
            </w:pPr>
            <w:r>
              <w:rPr>
                <w:w w:val="100"/>
                <w:sz w:val="20"/>
              </w:rPr>
              <w:t>2</w:t>
            </w:r>
          </w:p>
        </w:tc>
        <w:tc>
          <w:tcPr>
            <w:tcW w:w="1360" w:type="dxa"/>
          </w:tcPr>
          <w:p>
            <w:pPr>
              <w:pStyle w:val="TableParagraph"/>
              <w:spacing w:before="130"/>
              <w:ind w:right="100"/>
              <w:jc w:val="right"/>
              <w:rPr>
                <w:sz w:val="20"/>
              </w:rPr>
            </w:pPr>
            <w:r>
              <w:rPr>
                <w:w w:val="100"/>
                <w:sz w:val="20"/>
              </w:rPr>
              <w:t>0</w:t>
            </w:r>
          </w:p>
        </w:tc>
        <w:tc>
          <w:tcPr>
            <w:tcW w:w="1340" w:type="dxa"/>
          </w:tcPr>
          <w:p>
            <w:pPr>
              <w:pStyle w:val="TableParagraph"/>
              <w:spacing w:before="130"/>
              <w:ind w:right="100"/>
              <w:jc w:val="right"/>
              <w:rPr>
                <w:sz w:val="20"/>
              </w:rPr>
            </w:pPr>
            <w:r>
              <w:rPr>
                <w:w w:val="100"/>
                <w:sz w:val="20"/>
              </w:rPr>
              <w:t>0</w:t>
            </w:r>
          </w:p>
        </w:tc>
        <w:tc>
          <w:tcPr>
            <w:tcW w:w="1200" w:type="dxa"/>
          </w:tcPr>
          <w:p>
            <w:pPr>
              <w:pStyle w:val="TableParagraph"/>
              <w:spacing w:before="130"/>
              <w:ind w:right="100"/>
              <w:jc w:val="right"/>
              <w:rPr>
                <w:sz w:val="20"/>
              </w:rPr>
            </w:pPr>
            <w:r>
              <w:rPr>
                <w:w w:val="100"/>
                <w:sz w:val="20"/>
              </w:rPr>
              <w:t>0</w:t>
            </w:r>
          </w:p>
        </w:tc>
        <w:tc>
          <w:tcPr>
            <w:tcW w:w="1200" w:type="dxa"/>
          </w:tcPr>
          <w:p>
            <w:pPr>
              <w:pStyle w:val="TableParagraph"/>
              <w:spacing w:before="130"/>
              <w:ind w:right="100"/>
              <w:jc w:val="right"/>
              <w:rPr>
                <w:sz w:val="20"/>
              </w:rPr>
            </w:pPr>
            <w:r>
              <w:rPr>
                <w:w w:val="100"/>
                <w:sz w:val="20"/>
              </w:rPr>
              <w:t>0</w:t>
            </w:r>
          </w:p>
        </w:tc>
      </w:tr>
      <w:tr>
        <w:trPr>
          <w:trHeight w:val="376" w:hRule="exact"/>
        </w:trPr>
        <w:tc>
          <w:tcPr>
            <w:tcW w:w="1741" w:type="dxa"/>
            <w:tcBorders>
              <w:top w:val="double" w:sz="6" w:space="0" w:color="000000"/>
              <w:bottom w:val="double" w:sz="6" w:space="0" w:color="000000"/>
            </w:tcBorders>
            <w:shd w:val="clear" w:color="auto" w:fill="2D74B5"/>
          </w:tcPr>
          <w:p>
            <w:pPr>
              <w:pStyle w:val="TableParagraph"/>
              <w:spacing w:before="115"/>
              <w:ind w:left="103"/>
              <w:rPr>
                <w:b/>
                <w:sz w:val="20"/>
              </w:rPr>
            </w:pPr>
            <w:r>
              <w:rPr>
                <w:b/>
                <w:color w:val="FFFFFF"/>
                <w:sz w:val="20"/>
              </w:rPr>
              <w:t>SHOULDER</w:t>
            </w:r>
          </w:p>
        </w:tc>
        <w:tc>
          <w:tcPr>
            <w:tcW w:w="2599" w:type="dxa"/>
          </w:tcPr>
          <w:p>
            <w:pPr>
              <w:pStyle w:val="TableParagraph"/>
              <w:spacing w:before="130"/>
              <w:ind w:right="100"/>
              <w:jc w:val="right"/>
              <w:rPr>
                <w:sz w:val="20"/>
              </w:rPr>
            </w:pPr>
            <w:r>
              <w:rPr>
                <w:w w:val="100"/>
                <w:sz w:val="20"/>
              </w:rPr>
              <w:t>3</w:t>
            </w:r>
          </w:p>
        </w:tc>
        <w:tc>
          <w:tcPr>
            <w:tcW w:w="1360" w:type="dxa"/>
          </w:tcPr>
          <w:p>
            <w:pPr>
              <w:pStyle w:val="TableParagraph"/>
              <w:spacing w:before="130"/>
              <w:ind w:right="100"/>
              <w:jc w:val="right"/>
              <w:rPr>
                <w:sz w:val="20"/>
              </w:rPr>
            </w:pPr>
            <w:r>
              <w:rPr>
                <w:w w:val="100"/>
                <w:sz w:val="20"/>
              </w:rPr>
              <w:t>0</w:t>
            </w:r>
          </w:p>
        </w:tc>
        <w:tc>
          <w:tcPr>
            <w:tcW w:w="1340" w:type="dxa"/>
          </w:tcPr>
          <w:p>
            <w:pPr>
              <w:pStyle w:val="TableParagraph"/>
              <w:spacing w:before="130"/>
              <w:ind w:right="100"/>
              <w:jc w:val="right"/>
              <w:rPr>
                <w:sz w:val="20"/>
              </w:rPr>
            </w:pPr>
            <w:r>
              <w:rPr>
                <w:w w:val="100"/>
                <w:sz w:val="20"/>
              </w:rPr>
              <w:t>0</w:t>
            </w:r>
          </w:p>
        </w:tc>
        <w:tc>
          <w:tcPr>
            <w:tcW w:w="1200" w:type="dxa"/>
          </w:tcPr>
          <w:p>
            <w:pPr>
              <w:pStyle w:val="TableParagraph"/>
              <w:spacing w:before="130"/>
              <w:ind w:right="100"/>
              <w:jc w:val="right"/>
              <w:rPr>
                <w:sz w:val="20"/>
              </w:rPr>
            </w:pPr>
            <w:r>
              <w:rPr>
                <w:w w:val="100"/>
                <w:sz w:val="20"/>
              </w:rPr>
              <w:t>7</w:t>
            </w:r>
          </w:p>
        </w:tc>
        <w:tc>
          <w:tcPr>
            <w:tcW w:w="1200" w:type="dxa"/>
          </w:tcPr>
          <w:p>
            <w:pPr>
              <w:pStyle w:val="TableParagraph"/>
              <w:spacing w:before="130"/>
              <w:ind w:right="100"/>
              <w:jc w:val="right"/>
              <w:rPr>
                <w:sz w:val="20"/>
              </w:rPr>
            </w:pPr>
            <w:r>
              <w:rPr>
                <w:w w:val="100"/>
                <w:sz w:val="20"/>
              </w:rPr>
              <w:t>1</w:t>
            </w:r>
          </w:p>
        </w:tc>
      </w:tr>
      <w:tr>
        <w:trPr>
          <w:trHeight w:val="374" w:hRule="exact"/>
        </w:trPr>
        <w:tc>
          <w:tcPr>
            <w:tcW w:w="1741" w:type="dxa"/>
            <w:tcBorders>
              <w:top w:val="double" w:sz="6" w:space="0" w:color="000000"/>
              <w:bottom w:val="double" w:sz="6" w:space="0" w:color="000000"/>
            </w:tcBorders>
            <w:shd w:val="clear" w:color="auto" w:fill="2D74B5"/>
          </w:tcPr>
          <w:p>
            <w:pPr>
              <w:pStyle w:val="TableParagraph"/>
              <w:spacing w:before="115"/>
              <w:ind w:left="103"/>
              <w:rPr>
                <w:b/>
                <w:sz w:val="20"/>
              </w:rPr>
            </w:pPr>
            <w:r>
              <w:rPr>
                <w:b/>
                <w:color w:val="FFFFFF"/>
                <w:sz w:val="20"/>
              </w:rPr>
              <w:t>ELBOW</w:t>
            </w:r>
          </w:p>
        </w:tc>
        <w:tc>
          <w:tcPr>
            <w:tcW w:w="2599" w:type="dxa"/>
          </w:tcPr>
          <w:p>
            <w:pPr>
              <w:pStyle w:val="TableParagraph"/>
              <w:spacing w:before="130"/>
              <w:ind w:right="100"/>
              <w:jc w:val="right"/>
              <w:rPr>
                <w:sz w:val="20"/>
              </w:rPr>
            </w:pPr>
            <w:r>
              <w:rPr>
                <w:w w:val="100"/>
                <w:sz w:val="20"/>
              </w:rPr>
              <w:t>3</w:t>
            </w:r>
          </w:p>
        </w:tc>
        <w:tc>
          <w:tcPr>
            <w:tcW w:w="1360" w:type="dxa"/>
          </w:tcPr>
          <w:p>
            <w:pPr>
              <w:pStyle w:val="TableParagraph"/>
              <w:spacing w:before="130"/>
              <w:ind w:right="100"/>
              <w:jc w:val="right"/>
              <w:rPr>
                <w:sz w:val="20"/>
              </w:rPr>
            </w:pPr>
            <w:r>
              <w:rPr>
                <w:w w:val="100"/>
                <w:sz w:val="20"/>
              </w:rPr>
              <w:t>2</w:t>
            </w:r>
          </w:p>
        </w:tc>
        <w:tc>
          <w:tcPr>
            <w:tcW w:w="1340" w:type="dxa"/>
          </w:tcPr>
          <w:p>
            <w:pPr>
              <w:pStyle w:val="TableParagraph"/>
              <w:spacing w:before="130"/>
              <w:ind w:right="100"/>
              <w:jc w:val="right"/>
              <w:rPr>
                <w:sz w:val="20"/>
              </w:rPr>
            </w:pPr>
            <w:r>
              <w:rPr>
                <w:w w:val="100"/>
                <w:sz w:val="20"/>
              </w:rPr>
              <w:t>1</w:t>
            </w:r>
          </w:p>
        </w:tc>
        <w:tc>
          <w:tcPr>
            <w:tcW w:w="1200" w:type="dxa"/>
          </w:tcPr>
          <w:p>
            <w:pPr>
              <w:pStyle w:val="TableParagraph"/>
              <w:spacing w:before="130"/>
              <w:ind w:right="100"/>
              <w:jc w:val="right"/>
              <w:rPr>
                <w:sz w:val="20"/>
              </w:rPr>
            </w:pPr>
            <w:r>
              <w:rPr>
                <w:w w:val="100"/>
                <w:sz w:val="20"/>
              </w:rPr>
              <w:t>3</w:t>
            </w:r>
          </w:p>
        </w:tc>
        <w:tc>
          <w:tcPr>
            <w:tcW w:w="1200" w:type="dxa"/>
          </w:tcPr>
          <w:p>
            <w:pPr>
              <w:pStyle w:val="TableParagraph"/>
              <w:spacing w:before="130"/>
              <w:ind w:right="100"/>
              <w:jc w:val="right"/>
              <w:rPr>
                <w:sz w:val="20"/>
              </w:rPr>
            </w:pPr>
            <w:r>
              <w:rPr>
                <w:w w:val="100"/>
                <w:sz w:val="20"/>
              </w:rPr>
              <w:t>1</w:t>
            </w:r>
          </w:p>
        </w:tc>
      </w:tr>
      <w:tr>
        <w:trPr>
          <w:trHeight w:val="376" w:hRule="exact"/>
        </w:trPr>
        <w:tc>
          <w:tcPr>
            <w:tcW w:w="1741" w:type="dxa"/>
            <w:tcBorders>
              <w:top w:val="double" w:sz="6" w:space="0" w:color="000000"/>
              <w:bottom w:val="double" w:sz="6" w:space="0" w:color="000000"/>
            </w:tcBorders>
            <w:shd w:val="clear" w:color="auto" w:fill="2D74B5"/>
          </w:tcPr>
          <w:p>
            <w:pPr>
              <w:pStyle w:val="TableParagraph"/>
              <w:spacing w:before="115"/>
              <w:ind w:left="103"/>
              <w:rPr>
                <w:b/>
                <w:sz w:val="20"/>
              </w:rPr>
            </w:pPr>
            <w:r>
              <w:rPr>
                <w:b/>
                <w:color w:val="FFFFFF"/>
                <w:sz w:val="20"/>
              </w:rPr>
              <w:t>WRIST</w:t>
            </w:r>
          </w:p>
        </w:tc>
        <w:tc>
          <w:tcPr>
            <w:tcW w:w="2599" w:type="dxa"/>
          </w:tcPr>
          <w:p>
            <w:pPr>
              <w:pStyle w:val="TableParagraph"/>
              <w:spacing w:before="130"/>
              <w:ind w:right="100"/>
              <w:jc w:val="right"/>
              <w:rPr>
                <w:sz w:val="20"/>
              </w:rPr>
            </w:pPr>
            <w:r>
              <w:rPr>
                <w:w w:val="100"/>
                <w:sz w:val="20"/>
              </w:rPr>
              <w:t>3</w:t>
            </w:r>
          </w:p>
        </w:tc>
        <w:tc>
          <w:tcPr>
            <w:tcW w:w="1360" w:type="dxa"/>
          </w:tcPr>
          <w:p>
            <w:pPr>
              <w:pStyle w:val="TableParagraph"/>
              <w:spacing w:before="130"/>
              <w:ind w:right="100"/>
              <w:jc w:val="right"/>
              <w:rPr>
                <w:sz w:val="20"/>
              </w:rPr>
            </w:pPr>
            <w:r>
              <w:rPr>
                <w:w w:val="100"/>
                <w:sz w:val="20"/>
              </w:rPr>
              <w:t>1</w:t>
            </w:r>
          </w:p>
        </w:tc>
        <w:tc>
          <w:tcPr>
            <w:tcW w:w="1340" w:type="dxa"/>
          </w:tcPr>
          <w:p>
            <w:pPr>
              <w:pStyle w:val="TableParagraph"/>
              <w:spacing w:before="130"/>
              <w:ind w:right="100"/>
              <w:jc w:val="right"/>
              <w:rPr>
                <w:sz w:val="20"/>
              </w:rPr>
            </w:pPr>
            <w:r>
              <w:rPr>
                <w:w w:val="100"/>
                <w:sz w:val="20"/>
              </w:rPr>
              <w:t>7</w:t>
            </w:r>
          </w:p>
        </w:tc>
        <w:tc>
          <w:tcPr>
            <w:tcW w:w="1200" w:type="dxa"/>
          </w:tcPr>
          <w:p>
            <w:pPr>
              <w:pStyle w:val="TableParagraph"/>
              <w:spacing w:before="130"/>
              <w:ind w:right="100"/>
              <w:jc w:val="right"/>
              <w:rPr>
                <w:sz w:val="20"/>
              </w:rPr>
            </w:pPr>
            <w:r>
              <w:rPr>
                <w:w w:val="100"/>
                <w:sz w:val="20"/>
              </w:rPr>
              <w:t>6</w:t>
            </w:r>
          </w:p>
        </w:tc>
        <w:tc>
          <w:tcPr>
            <w:tcW w:w="1200" w:type="dxa"/>
          </w:tcPr>
          <w:p>
            <w:pPr>
              <w:pStyle w:val="TableParagraph"/>
              <w:spacing w:before="130"/>
              <w:ind w:right="100"/>
              <w:jc w:val="right"/>
              <w:rPr>
                <w:sz w:val="20"/>
              </w:rPr>
            </w:pPr>
            <w:r>
              <w:rPr>
                <w:w w:val="100"/>
                <w:sz w:val="20"/>
              </w:rPr>
              <w:t>0</w:t>
            </w:r>
          </w:p>
        </w:tc>
      </w:tr>
      <w:tr>
        <w:trPr>
          <w:trHeight w:val="374" w:hRule="exact"/>
        </w:trPr>
        <w:tc>
          <w:tcPr>
            <w:tcW w:w="1741" w:type="dxa"/>
            <w:tcBorders>
              <w:top w:val="double" w:sz="6" w:space="0" w:color="000000"/>
              <w:bottom w:val="double" w:sz="6" w:space="0" w:color="000000"/>
            </w:tcBorders>
            <w:shd w:val="clear" w:color="auto" w:fill="2D74B5"/>
          </w:tcPr>
          <w:p>
            <w:pPr>
              <w:pStyle w:val="TableParagraph"/>
              <w:spacing w:before="115"/>
              <w:ind w:left="103"/>
              <w:rPr>
                <w:b/>
                <w:sz w:val="20"/>
              </w:rPr>
            </w:pPr>
            <w:r>
              <w:rPr>
                <w:b/>
                <w:color w:val="FFFFFF"/>
                <w:sz w:val="20"/>
              </w:rPr>
              <w:t>BACK</w:t>
            </w:r>
          </w:p>
        </w:tc>
        <w:tc>
          <w:tcPr>
            <w:tcW w:w="2599" w:type="dxa"/>
          </w:tcPr>
          <w:p>
            <w:pPr>
              <w:pStyle w:val="TableParagraph"/>
              <w:spacing w:before="130"/>
              <w:ind w:right="100"/>
              <w:jc w:val="right"/>
              <w:rPr>
                <w:sz w:val="20"/>
              </w:rPr>
            </w:pPr>
            <w:r>
              <w:rPr>
                <w:w w:val="100"/>
                <w:sz w:val="20"/>
              </w:rPr>
              <w:t>2</w:t>
            </w:r>
          </w:p>
        </w:tc>
        <w:tc>
          <w:tcPr>
            <w:tcW w:w="1360" w:type="dxa"/>
          </w:tcPr>
          <w:p>
            <w:pPr>
              <w:pStyle w:val="TableParagraph"/>
              <w:spacing w:before="130"/>
              <w:ind w:right="100"/>
              <w:jc w:val="right"/>
              <w:rPr>
                <w:sz w:val="20"/>
              </w:rPr>
            </w:pPr>
            <w:r>
              <w:rPr>
                <w:w w:val="100"/>
                <w:sz w:val="20"/>
              </w:rPr>
              <w:t>4</w:t>
            </w:r>
          </w:p>
        </w:tc>
        <w:tc>
          <w:tcPr>
            <w:tcW w:w="1340" w:type="dxa"/>
          </w:tcPr>
          <w:p>
            <w:pPr>
              <w:pStyle w:val="TableParagraph"/>
              <w:spacing w:before="130"/>
              <w:ind w:right="100"/>
              <w:jc w:val="right"/>
              <w:rPr>
                <w:sz w:val="20"/>
              </w:rPr>
            </w:pPr>
            <w:r>
              <w:rPr>
                <w:w w:val="100"/>
                <w:sz w:val="20"/>
              </w:rPr>
              <w:t>1</w:t>
            </w:r>
          </w:p>
        </w:tc>
        <w:tc>
          <w:tcPr>
            <w:tcW w:w="1200" w:type="dxa"/>
          </w:tcPr>
          <w:p>
            <w:pPr>
              <w:pStyle w:val="TableParagraph"/>
              <w:spacing w:before="130"/>
              <w:ind w:right="100"/>
              <w:jc w:val="right"/>
              <w:rPr>
                <w:sz w:val="20"/>
              </w:rPr>
            </w:pPr>
            <w:r>
              <w:rPr>
                <w:w w:val="100"/>
                <w:sz w:val="20"/>
              </w:rPr>
              <w:t>0</w:t>
            </w:r>
          </w:p>
        </w:tc>
        <w:tc>
          <w:tcPr>
            <w:tcW w:w="1200" w:type="dxa"/>
          </w:tcPr>
          <w:p>
            <w:pPr>
              <w:pStyle w:val="TableParagraph"/>
              <w:spacing w:before="130"/>
              <w:ind w:right="100"/>
              <w:jc w:val="right"/>
              <w:rPr>
                <w:sz w:val="20"/>
              </w:rPr>
            </w:pPr>
            <w:r>
              <w:rPr>
                <w:w w:val="100"/>
                <w:sz w:val="20"/>
              </w:rPr>
              <w:t>1</w:t>
            </w:r>
          </w:p>
        </w:tc>
      </w:tr>
      <w:tr>
        <w:trPr>
          <w:trHeight w:val="376" w:hRule="exact"/>
        </w:trPr>
        <w:tc>
          <w:tcPr>
            <w:tcW w:w="1741" w:type="dxa"/>
            <w:tcBorders>
              <w:top w:val="double" w:sz="6" w:space="0" w:color="000000"/>
              <w:bottom w:val="single" w:sz="6" w:space="0" w:color="000000"/>
            </w:tcBorders>
            <w:shd w:val="clear" w:color="auto" w:fill="2D74B5"/>
          </w:tcPr>
          <w:p>
            <w:pPr>
              <w:pStyle w:val="TableParagraph"/>
              <w:spacing w:before="115"/>
              <w:ind w:left="103"/>
              <w:rPr>
                <w:b/>
                <w:sz w:val="20"/>
              </w:rPr>
            </w:pPr>
            <w:r>
              <w:rPr>
                <w:b/>
                <w:color w:val="FFFFFF"/>
                <w:sz w:val="20"/>
              </w:rPr>
              <w:t>PIERNAS</w:t>
            </w:r>
          </w:p>
        </w:tc>
        <w:tc>
          <w:tcPr>
            <w:tcW w:w="2599" w:type="dxa"/>
          </w:tcPr>
          <w:p>
            <w:pPr>
              <w:pStyle w:val="TableParagraph"/>
              <w:spacing w:before="130"/>
              <w:ind w:right="100"/>
              <w:jc w:val="right"/>
              <w:rPr>
                <w:sz w:val="20"/>
              </w:rPr>
            </w:pPr>
            <w:r>
              <w:rPr>
                <w:w w:val="100"/>
                <w:sz w:val="20"/>
              </w:rPr>
              <w:t>0</w:t>
            </w:r>
          </w:p>
        </w:tc>
        <w:tc>
          <w:tcPr>
            <w:tcW w:w="1360" w:type="dxa"/>
          </w:tcPr>
          <w:p>
            <w:pPr>
              <w:pStyle w:val="TableParagraph"/>
              <w:spacing w:before="130"/>
              <w:ind w:right="100"/>
              <w:jc w:val="right"/>
              <w:rPr>
                <w:sz w:val="20"/>
              </w:rPr>
            </w:pPr>
            <w:r>
              <w:rPr>
                <w:w w:val="100"/>
                <w:sz w:val="20"/>
              </w:rPr>
              <w:t>0</w:t>
            </w:r>
          </w:p>
        </w:tc>
        <w:tc>
          <w:tcPr>
            <w:tcW w:w="1340" w:type="dxa"/>
          </w:tcPr>
          <w:p>
            <w:pPr>
              <w:pStyle w:val="TableParagraph"/>
              <w:spacing w:before="130"/>
              <w:ind w:right="100"/>
              <w:jc w:val="right"/>
              <w:rPr>
                <w:sz w:val="20"/>
              </w:rPr>
            </w:pPr>
            <w:r>
              <w:rPr>
                <w:w w:val="100"/>
                <w:sz w:val="20"/>
              </w:rPr>
              <w:t>0</w:t>
            </w:r>
          </w:p>
        </w:tc>
        <w:tc>
          <w:tcPr>
            <w:tcW w:w="1200" w:type="dxa"/>
          </w:tcPr>
          <w:p>
            <w:pPr>
              <w:pStyle w:val="TableParagraph"/>
              <w:spacing w:before="130"/>
              <w:ind w:right="100"/>
              <w:jc w:val="right"/>
              <w:rPr>
                <w:sz w:val="20"/>
              </w:rPr>
            </w:pPr>
            <w:r>
              <w:rPr>
                <w:w w:val="100"/>
                <w:sz w:val="20"/>
              </w:rPr>
              <w:t>0</w:t>
            </w:r>
          </w:p>
        </w:tc>
        <w:tc>
          <w:tcPr>
            <w:tcW w:w="1200" w:type="dxa"/>
          </w:tcPr>
          <w:p>
            <w:pPr>
              <w:pStyle w:val="TableParagraph"/>
              <w:spacing w:before="130"/>
              <w:ind w:right="100"/>
              <w:jc w:val="right"/>
              <w:rPr>
                <w:sz w:val="20"/>
              </w:rPr>
            </w:pPr>
            <w:r>
              <w:rPr>
                <w:w w:val="100"/>
                <w:sz w:val="20"/>
              </w:rPr>
              <w:t>2</w:t>
            </w:r>
          </w:p>
        </w:tc>
      </w:tr>
      <w:tr>
        <w:trPr>
          <w:trHeight w:val="504" w:hRule="exact"/>
        </w:trPr>
        <w:tc>
          <w:tcPr>
            <w:tcW w:w="1741" w:type="dxa"/>
            <w:tcBorders>
              <w:top w:val="double" w:sz="6" w:space="0" w:color="000000"/>
              <w:bottom w:val="single" w:sz="6" w:space="0" w:color="000000"/>
            </w:tcBorders>
            <w:shd w:val="clear" w:color="auto" w:fill="0C0C0C"/>
          </w:tcPr>
          <w:p>
            <w:pPr>
              <w:pStyle w:val="TableParagraph"/>
              <w:spacing w:before="15"/>
              <w:ind w:left="103" w:right="447"/>
              <w:rPr>
                <w:b/>
                <w:sz w:val="20"/>
              </w:rPr>
            </w:pPr>
            <w:r>
              <w:rPr>
                <w:b/>
                <w:color w:val="FFFFFF"/>
                <w:sz w:val="20"/>
              </w:rPr>
              <w:t>VERY HIGH RISK</w:t>
            </w:r>
          </w:p>
        </w:tc>
        <w:tc>
          <w:tcPr>
            <w:tcW w:w="2599" w:type="dxa"/>
          </w:tcPr>
          <w:p>
            <w:pPr>
              <w:pStyle w:val="TableParagraph"/>
              <w:spacing w:before="6"/>
              <w:rPr>
                <w:sz w:val="22"/>
              </w:rPr>
            </w:pPr>
          </w:p>
          <w:p>
            <w:pPr>
              <w:pStyle w:val="TableParagraph"/>
              <w:ind w:right="100"/>
              <w:jc w:val="right"/>
              <w:rPr>
                <w:sz w:val="20"/>
              </w:rPr>
            </w:pPr>
            <w:r>
              <w:rPr>
                <w:w w:val="100"/>
                <w:sz w:val="20"/>
              </w:rPr>
              <w:t>0</w:t>
            </w:r>
          </w:p>
        </w:tc>
        <w:tc>
          <w:tcPr>
            <w:tcW w:w="1360" w:type="dxa"/>
          </w:tcPr>
          <w:p>
            <w:pPr>
              <w:pStyle w:val="TableParagraph"/>
              <w:spacing w:before="6"/>
              <w:rPr>
                <w:sz w:val="22"/>
              </w:rPr>
            </w:pPr>
          </w:p>
          <w:p>
            <w:pPr>
              <w:pStyle w:val="TableParagraph"/>
              <w:ind w:right="100"/>
              <w:jc w:val="right"/>
              <w:rPr>
                <w:sz w:val="20"/>
              </w:rPr>
            </w:pPr>
            <w:r>
              <w:rPr>
                <w:w w:val="100"/>
                <w:sz w:val="20"/>
              </w:rPr>
              <w:t>0</w:t>
            </w:r>
          </w:p>
        </w:tc>
        <w:tc>
          <w:tcPr>
            <w:tcW w:w="1340" w:type="dxa"/>
          </w:tcPr>
          <w:p>
            <w:pPr>
              <w:pStyle w:val="TableParagraph"/>
              <w:spacing w:before="6"/>
              <w:rPr>
                <w:sz w:val="22"/>
              </w:rPr>
            </w:pPr>
          </w:p>
          <w:p>
            <w:pPr>
              <w:pStyle w:val="TableParagraph"/>
              <w:ind w:right="100"/>
              <w:jc w:val="right"/>
              <w:rPr>
                <w:sz w:val="20"/>
              </w:rPr>
            </w:pPr>
            <w:r>
              <w:rPr>
                <w:w w:val="100"/>
                <w:sz w:val="20"/>
              </w:rPr>
              <w:t>0</w:t>
            </w:r>
          </w:p>
        </w:tc>
        <w:tc>
          <w:tcPr>
            <w:tcW w:w="1200" w:type="dxa"/>
          </w:tcPr>
          <w:p>
            <w:pPr>
              <w:pStyle w:val="TableParagraph"/>
              <w:spacing w:before="6"/>
              <w:rPr>
                <w:sz w:val="22"/>
              </w:rPr>
            </w:pPr>
          </w:p>
          <w:p>
            <w:pPr>
              <w:pStyle w:val="TableParagraph"/>
              <w:ind w:right="100"/>
              <w:jc w:val="right"/>
              <w:rPr>
                <w:sz w:val="20"/>
              </w:rPr>
            </w:pPr>
            <w:r>
              <w:rPr>
                <w:w w:val="100"/>
                <w:sz w:val="20"/>
              </w:rPr>
              <w:t>1</w:t>
            </w:r>
          </w:p>
        </w:tc>
        <w:tc>
          <w:tcPr>
            <w:tcW w:w="1200" w:type="dxa"/>
          </w:tcPr>
          <w:p>
            <w:pPr>
              <w:pStyle w:val="TableParagraph"/>
              <w:spacing w:before="6"/>
              <w:rPr>
                <w:sz w:val="22"/>
              </w:rPr>
            </w:pPr>
          </w:p>
          <w:p>
            <w:pPr>
              <w:pStyle w:val="TableParagraph"/>
              <w:ind w:right="100"/>
              <w:jc w:val="right"/>
              <w:rPr>
                <w:sz w:val="20"/>
              </w:rPr>
            </w:pPr>
            <w:r>
              <w:rPr>
                <w:w w:val="100"/>
                <w:sz w:val="20"/>
              </w:rPr>
              <w:t>0</w:t>
            </w:r>
          </w:p>
        </w:tc>
      </w:tr>
      <w:tr>
        <w:trPr>
          <w:trHeight w:val="374" w:hRule="exact"/>
        </w:trPr>
        <w:tc>
          <w:tcPr>
            <w:tcW w:w="1741" w:type="dxa"/>
            <w:tcBorders>
              <w:top w:val="double" w:sz="6" w:space="0" w:color="000000"/>
              <w:bottom w:val="double" w:sz="6" w:space="0" w:color="000000"/>
            </w:tcBorders>
            <w:shd w:val="clear" w:color="auto" w:fill="2D74B5"/>
          </w:tcPr>
          <w:p>
            <w:pPr>
              <w:pStyle w:val="TableParagraph"/>
              <w:spacing w:before="115"/>
              <w:ind w:left="103"/>
              <w:rPr>
                <w:b/>
                <w:sz w:val="20"/>
              </w:rPr>
            </w:pPr>
            <w:r>
              <w:rPr>
                <w:b/>
                <w:color w:val="FFFFFF"/>
                <w:sz w:val="20"/>
              </w:rPr>
              <w:t>WRIST</w:t>
            </w:r>
          </w:p>
        </w:tc>
        <w:tc>
          <w:tcPr>
            <w:tcW w:w="2599" w:type="dxa"/>
          </w:tcPr>
          <w:p>
            <w:pPr>
              <w:pStyle w:val="TableParagraph"/>
              <w:spacing w:before="130"/>
              <w:ind w:right="100"/>
              <w:jc w:val="right"/>
              <w:rPr>
                <w:sz w:val="20"/>
              </w:rPr>
            </w:pPr>
            <w:r>
              <w:rPr>
                <w:w w:val="100"/>
                <w:sz w:val="20"/>
              </w:rPr>
              <w:t>0</w:t>
            </w:r>
          </w:p>
        </w:tc>
        <w:tc>
          <w:tcPr>
            <w:tcW w:w="1360" w:type="dxa"/>
          </w:tcPr>
          <w:p>
            <w:pPr>
              <w:pStyle w:val="TableParagraph"/>
              <w:spacing w:before="130"/>
              <w:ind w:right="100"/>
              <w:jc w:val="right"/>
              <w:rPr>
                <w:sz w:val="20"/>
              </w:rPr>
            </w:pPr>
            <w:r>
              <w:rPr>
                <w:w w:val="100"/>
                <w:sz w:val="20"/>
              </w:rPr>
              <w:t>0</w:t>
            </w:r>
          </w:p>
        </w:tc>
        <w:tc>
          <w:tcPr>
            <w:tcW w:w="1340" w:type="dxa"/>
          </w:tcPr>
          <w:p>
            <w:pPr>
              <w:pStyle w:val="TableParagraph"/>
              <w:spacing w:before="130"/>
              <w:ind w:right="100"/>
              <w:jc w:val="right"/>
              <w:rPr>
                <w:sz w:val="20"/>
              </w:rPr>
            </w:pPr>
            <w:r>
              <w:rPr>
                <w:w w:val="100"/>
                <w:sz w:val="20"/>
              </w:rPr>
              <w:t>0</w:t>
            </w:r>
          </w:p>
        </w:tc>
        <w:tc>
          <w:tcPr>
            <w:tcW w:w="1200" w:type="dxa"/>
          </w:tcPr>
          <w:p>
            <w:pPr>
              <w:pStyle w:val="TableParagraph"/>
              <w:spacing w:before="130"/>
              <w:ind w:right="100"/>
              <w:jc w:val="right"/>
              <w:rPr>
                <w:sz w:val="20"/>
              </w:rPr>
            </w:pPr>
            <w:r>
              <w:rPr>
                <w:w w:val="100"/>
                <w:sz w:val="20"/>
              </w:rPr>
              <w:t>1</w:t>
            </w:r>
          </w:p>
        </w:tc>
        <w:tc>
          <w:tcPr>
            <w:tcW w:w="1200" w:type="dxa"/>
          </w:tcPr>
          <w:p>
            <w:pPr>
              <w:pStyle w:val="TableParagraph"/>
              <w:spacing w:before="130"/>
              <w:ind w:right="100"/>
              <w:jc w:val="right"/>
              <w:rPr>
                <w:sz w:val="20"/>
              </w:rPr>
            </w:pPr>
            <w:r>
              <w:rPr>
                <w:w w:val="100"/>
                <w:sz w:val="20"/>
              </w:rPr>
              <w:t>0</w:t>
            </w:r>
          </w:p>
        </w:tc>
      </w:tr>
    </w:tbl>
    <w:p>
      <w:pPr>
        <w:pStyle w:val="BodyText"/>
      </w:pPr>
    </w:p>
    <w:p>
      <w:pPr>
        <w:spacing w:after="0"/>
        <w:sectPr>
          <w:pgSz w:w="12240" w:h="15840"/>
          <w:pgMar w:header="545" w:footer="852" w:top="1060" w:bottom="1040" w:left="580" w:right="220"/>
        </w:sectPr>
      </w:pPr>
    </w:p>
    <w:p>
      <w:pPr>
        <w:pStyle w:val="BodyText"/>
        <w:spacing w:before="3"/>
        <w:rPr>
          <w:sz w:val="21"/>
        </w:rPr>
      </w:pPr>
    </w:p>
    <w:p>
      <w:pPr>
        <w:pStyle w:val="BodyText"/>
        <w:ind w:left="270"/>
        <w:jc w:val="both"/>
      </w:pPr>
      <w:r>
        <w:rPr/>
        <w:pict>
          <v:group style="position:absolute;margin-left:67.195pt;margin-top:74.130783pt;width:181.9pt;height:135.8pt;mso-position-horizontal-relative:page;mso-position-vertical-relative:paragraph;z-index:20152" coordorigin="1344,1483" coordsize="3638,2716">
            <v:shape style="position:absolute;left:1346;top:1485;width:3633;height:2711" coordorigin="1346,1485" coordsize="3633,2711" path="m1386,3824l4979,3824m1386,3490l4979,3490m1386,3156l4979,3156m1386,2821l4979,2821m1386,2487l4979,2487m1386,2152l4979,2152m1386,1820l4979,1820m1386,1485l4979,1485m1386,4159l1386,1485m1346,4159l1386,4159m1346,3824l1386,3824m1346,3490l1386,3490m1346,3156l1386,3156m1346,2821l1386,2821m1346,2487l1386,2487m1346,2152l1386,2152m1346,1820l1386,1820m1346,1485l1386,1485m1386,4159l4979,4159m1386,4159l1386,4196m2582,4159l2582,4196m3781,4159l3781,4196m4979,4159l4979,4196e" filled="false" stroked="true" strokeweight=".248pt" strokecolor="#858585">
              <v:path arrowok="t"/>
            </v:shape>
            <v:shape style="position:absolute;left:1984;top:4090;width:2397;height:69" coordorigin="1984,4090" coordsize="2397,69" path="m1984,4090l3181,4159,4380,4159e" filled="false" stroked="true" strokeweight=".743pt" strokecolor="#497eba">
              <v:path arrowok="t"/>
            </v:shape>
            <v:shape style="position:absolute;left:1984;top:3957;width:2397;height:202" coordorigin="1984,3957" coordsize="2397,202" path="m1984,3957l3181,4024,4380,4159e" filled="false" stroked="true" strokeweight=".743pt" strokecolor="#bd4b46">
              <v:path arrowok="t"/>
            </v:shape>
            <v:shape style="position:absolute;left:1984;top:1886;width:2397;height:2205" coordorigin="1984,1886" coordsize="2397,2205" path="m1984,1886l3181,2755,4380,4090e" filled="false" stroked="true" strokeweight=".743pt" strokecolor="#97b852">
              <v:path arrowok="t"/>
            </v:shape>
            <v:shape style="position:absolute;left:1984;top:3758;width:2397;height:401" coordorigin="1984,3758" coordsize="2397,401" path="m1984,3758l3181,3824,4380,4159e" filled="false" stroked="true" strokeweight=".743pt" strokecolor="#7c5e9e">
              <v:path arrowok="t"/>
            </v:shape>
            <v:shape style="position:absolute;left:1984;top:4090;width:2397;height:69" coordorigin="1984,4090" coordsize="2397,69" path="m1984,4090l3181,4159,4380,4090e" filled="false" stroked="true" strokeweight=".743pt" strokecolor="#46aac4">
              <v:path arrowok="t"/>
            </v:shape>
            <w10:wrap type="none"/>
          </v:group>
        </w:pict>
      </w:r>
      <w:r>
        <w:rPr/>
        <w:t>But MSD injuries decreased in the textile industry. Since 2011 a program was started in the textile industry for reducing MSD, mainly on the shoulders, in subsequent years the beneficial effect of this program is shown (Figure 6).</w:t>
      </w:r>
    </w:p>
    <w:p>
      <w:pPr>
        <w:pStyle w:val="BodyText"/>
        <w:spacing w:before="6"/>
        <w:rPr>
          <w:sz w:val="24"/>
        </w:rPr>
      </w:pPr>
      <w:r>
        <w:rPr/>
        <w:br w:type="column"/>
      </w:r>
      <w:r>
        <w:rPr>
          <w:sz w:val="24"/>
        </w:rPr>
      </w:r>
    </w:p>
    <w:p>
      <w:pPr>
        <w:pStyle w:val="BodyText"/>
        <w:spacing w:before="1"/>
        <w:ind w:left="270" w:right="676"/>
        <w:jc w:val="both"/>
      </w:pPr>
      <w:r>
        <w:rPr/>
        <w:t>In addition, we are interested in testing the hypothesis that data from IMSS and data from Rodgers Muscle Fatigue Analysis are independent. Table 1 shows data obtained using Rodgers method. If we reject this hypothesis, we conclude there is some interaction between the two data set [5]. So the result</w:t>
      </w:r>
      <w:r>
        <w:rPr>
          <w:spacing w:val="-14"/>
        </w:rPr>
        <w:t> </w:t>
      </w:r>
      <w:r>
        <w:rPr/>
        <w:t>is:</w:t>
      </w:r>
    </w:p>
    <w:p>
      <w:pPr>
        <w:pStyle w:val="BodyText"/>
        <w:spacing w:line="460" w:lineRule="exact" w:before="48"/>
        <w:ind w:left="696" w:right="677"/>
      </w:pPr>
      <w:r>
        <w:rPr/>
        <w:t>Pearson chi-square = 14.162, FD = 4, P Value = 0.007 So we reject the null hypothesis and can conclude  that</w:t>
      </w:r>
    </w:p>
    <w:p>
      <w:pPr>
        <w:pStyle w:val="BodyText"/>
        <w:spacing w:line="180" w:lineRule="exact"/>
        <w:ind w:left="270"/>
        <w:jc w:val="both"/>
      </w:pPr>
      <w:r>
        <w:rPr/>
        <w:pict>
          <v:line style="position:absolute;mso-position-horizontal-relative:page;mso-position-vertical-relative:paragraph;z-index:20176" from="254.220001pt,6.981937pt" to="260.760001pt,6.981937pt" stroked="true" strokeweight=".743pt" strokecolor="#497eba">
            <w10:wrap type="none"/>
          </v:line>
        </w:pict>
      </w:r>
      <w:r>
        <w:rPr/>
        <w:t>there is a relationship  between  the two  datasets.    Another</w:t>
      </w:r>
    </w:p>
    <w:p>
      <w:pPr>
        <w:pStyle w:val="BodyText"/>
        <w:ind w:left="270" w:right="676"/>
        <w:jc w:val="both"/>
      </w:pPr>
      <w:r>
        <w:rPr/>
        <w:pict>
          <v:line style="position:absolute;mso-position-horizontal-relative:page;mso-position-vertical-relative:paragraph;z-index:20200" from="254.220001pt,7.358016pt" to="260.760001pt,7.358016pt" stroked="true" strokeweight=".743pt" strokecolor="#bd4b46">
            <w10:wrap type="none"/>
          </v:line>
        </w:pict>
      </w:r>
      <w:r>
        <w:rPr/>
        <w:pict>
          <v:line style="position:absolute;mso-position-horizontal-relative:page;mso-position-vertical-relative:paragraph;z-index:20224" from="254.220001pt,26.138016pt" to="260.760001pt,26.138016pt" stroked="true" strokeweight=".743pt" strokecolor="#7c5e9e">
            <w10:wrap type="none"/>
          </v:line>
        </w:pict>
      </w:r>
      <w:r>
        <w:rPr/>
        <w:pict>
          <v:line style="position:absolute;mso-position-horizontal-relative:page;mso-position-vertical-relative:paragraph;z-index:20248" from="254.220001pt,35.558018pt" to="260.760001pt,35.558018pt" stroked="true" strokeweight=".743pt" strokecolor="#46aac4">
            <w10:wrap type="none"/>
          </v:line>
        </w:pict>
      </w:r>
      <w:r>
        <w:rPr/>
        <w:t>aspect that is of interest is to know the degree of relationship between the data sets. For this job is necessary to use the correlation coefficient (Montgomery &amp; Runger, 2003) and  is</w:t>
      </w:r>
      <w:r>
        <w:rPr>
          <w:spacing w:val="-5"/>
        </w:rPr>
        <w:t> </w:t>
      </w:r>
      <w:r>
        <w:rPr/>
        <w:t>obtained:</w:t>
      </w:r>
    </w:p>
    <w:p>
      <w:pPr>
        <w:pStyle w:val="BodyText"/>
        <w:spacing w:before="11"/>
        <w:rPr>
          <w:sz w:val="19"/>
        </w:rPr>
      </w:pPr>
    </w:p>
    <w:p>
      <w:pPr>
        <w:pStyle w:val="BodyText"/>
        <w:ind w:left="696" w:right="852"/>
      </w:pPr>
      <w:r>
        <w:rPr/>
        <w:t>Pearson Correlation between SR and IMSS = 0.758</w:t>
      </w:r>
    </w:p>
    <w:p>
      <w:pPr>
        <w:pStyle w:val="BodyText"/>
        <w:spacing w:before="11"/>
        <w:rPr>
          <w:sz w:val="19"/>
        </w:rPr>
      </w:pPr>
    </w:p>
    <w:p>
      <w:pPr>
        <w:pStyle w:val="BodyText"/>
        <w:ind w:left="696" w:right="900"/>
      </w:pPr>
      <w:r>
        <w:rPr/>
        <w:t>This result indicates that there is a weak relationship between both datasets</w:t>
      </w:r>
    </w:p>
    <w:p>
      <w:pPr>
        <w:spacing w:after="0"/>
        <w:sectPr>
          <w:type w:val="continuous"/>
          <w:pgSz w:w="12240" w:h="15840"/>
          <w:pgMar w:top="1500" w:bottom="280" w:left="580" w:right="220"/>
          <w:cols w:num="2" w:equalWidth="0">
            <w:col w:w="5188" w:space="437"/>
            <w:col w:w="5815"/>
          </w:cols>
        </w:sectPr>
      </w:pPr>
    </w:p>
    <w:p>
      <w:pPr>
        <w:pStyle w:val="BodyText"/>
        <w:spacing w:before="4"/>
        <w:rPr>
          <w:sz w:val="25"/>
        </w:rPr>
      </w:pPr>
    </w:p>
    <w:p>
      <w:pPr>
        <w:spacing w:before="80"/>
        <w:ind w:left="270" w:right="6276" w:firstLine="0"/>
        <w:jc w:val="left"/>
        <w:rPr>
          <w:sz w:val="16"/>
        </w:rPr>
      </w:pPr>
      <w:r>
        <w:rPr/>
        <w:pict>
          <v:group style="position:absolute;margin-left:42.290001pt;margin-top:-189.061462pt;width:245.45pt;height:184.3pt;mso-position-horizontal-relative:page;mso-position-vertical-relative:paragraph;z-index:20464" coordorigin="846,-3781" coordsize="4909,3686">
            <v:shape style="position:absolute;left:851;top:-3776;width:4899;height:3676" coordorigin="851,-3776" coordsize="4899,3676" path="m851,-3771l5749,-3771m856,-3776l856,-101e" filled="false" stroked="true" strokeweight=".48001pt" strokecolor="#000000">
              <v:path arrowok="t"/>
            </v:shape>
            <v:line style="position:absolute" from="5744,-3776" to="5744,-101" stroked="true" strokeweight=".47998pt" strokecolor="#000000"/>
            <v:line style="position:absolute" from="851,-105" to="5749,-105" stroked="true" strokeweight=".48001pt" strokecolor="#000000"/>
            <v:shape style="position:absolute;left:1148;top:-3501;width:123;height:1459" type="#_x0000_t202" filled="false" stroked="false">
              <v:textbox inset="0,0,0,0">
                <w:txbxContent>
                  <w:p>
                    <w:pPr>
                      <w:spacing w:line="124" w:lineRule="exact" w:before="0"/>
                      <w:ind w:left="0" w:right="-19" w:firstLine="0"/>
                      <w:jc w:val="left"/>
                      <w:rPr>
                        <w:rFonts w:ascii="Calibri"/>
                        <w:sz w:val="12"/>
                      </w:rPr>
                    </w:pPr>
                    <w:r>
                      <w:rPr>
                        <w:rFonts w:ascii="Calibri"/>
                        <w:sz w:val="12"/>
                      </w:rPr>
                      <w:t>40</w:t>
                    </w:r>
                  </w:p>
                  <w:p>
                    <w:pPr>
                      <w:spacing w:line="240" w:lineRule="auto" w:before="3"/>
                      <w:rPr>
                        <w:sz w:val="16"/>
                      </w:rPr>
                    </w:pPr>
                  </w:p>
                  <w:p>
                    <w:pPr>
                      <w:spacing w:before="0"/>
                      <w:ind w:left="0" w:right="-19" w:firstLine="0"/>
                      <w:jc w:val="left"/>
                      <w:rPr>
                        <w:rFonts w:ascii="Calibri"/>
                        <w:sz w:val="12"/>
                      </w:rPr>
                    </w:pPr>
                    <w:r>
                      <w:rPr>
                        <w:rFonts w:ascii="Calibri"/>
                        <w:sz w:val="12"/>
                      </w:rPr>
                      <w:t>35</w:t>
                    </w:r>
                  </w:p>
                  <w:p>
                    <w:pPr>
                      <w:spacing w:line="240" w:lineRule="auto" w:before="4"/>
                      <w:rPr>
                        <w:sz w:val="16"/>
                      </w:rPr>
                    </w:pPr>
                  </w:p>
                  <w:p>
                    <w:pPr>
                      <w:spacing w:before="0"/>
                      <w:ind w:left="0" w:right="-19" w:firstLine="0"/>
                      <w:jc w:val="left"/>
                      <w:rPr>
                        <w:rFonts w:ascii="Calibri"/>
                        <w:sz w:val="12"/>
                      </w:rPr>
                    </w:pPr>
                    <w:r>
                      <w:rPr>
                        <w:rFonts w:ascii="Calibri"/>
                        <w:sz w:val="12"/>
                      </w:rPr>
                      <w:t>30</w:t>
                    </w:r>
                  </w:p>
                  <w:p>
                    <w:pPr>
                      <w:spacing w:line="240" w:lineRule="auto" w:before="3"/>
                      <w:rPr>
                        <w:sz w:val="16"/>
                      </w:rPr>
                    </w:pPr>
                  </w:p>
                  <w:p>
                    <w:pPr>
                      <w:spacing w:before="0"/>
                      <w:ind w:left="0" w:right="-19" w:firstLine="0"/>
                      <w:jc w:val="left"/>
                      <w:rPr>
                        <w:rFonts w:ascii="Calibri"/>
                        <w:sz w:val="12"/>
                      </w:rPr>
                    </w:pPr>
                    <w:r>
                      <w:rPr>
                        <w:rFonts w:ascii="Calibri"/>
                        <w:sz w:val="12"/>
                      </w:rPr>
                      <w:t>25</w:t>
                    </w:r>
                  </w:p>
                  <w:p>
                    <w:pPr>
                      <w:spacing w:line="240" w:lineRule="auto" w:before="4"/>
                      <w:rPr>
                        <w:sz w:val="16"/>
                      </w:rPr>
                    </w:pPr>
                  </w:p>
                  <w:p>
                    <w:pPr>
                      <w:spacing w:line="145" w:lineRule="exact" w:before="0"/>
                      <w:ind w:left="0" w:right="-19" w:firstLine="0"/>
                      <w:jc w:val="left"/>
                      <w:rPr>
                        <w:rFonts w:ascii="Calibri"/>
                        <w:sz w:val="12"/>
                      </w:rPr>
                    </w:pPr>
                    <w:r>
                      <w:rPr>
                        <w:rFonts w:ascii="Calibri"/>
                        <w:sz w:val="12"/>
                      </w:rPr>
                      <w:t>20</w:t>
                    </w:r>
                  </w:p>
                </w:txbxContent>
              </v:textbox>
              <w10:wrap type="none"/>
            </v:shape>
            <v:shape style="position:absolute;left:5084;top:-2170;width:131;height:123" type="#_x0000_t202" filled="false" stroked="false">
              <v:textbox inset="0,0,0,0">
                <w:txbxContent>
                  <w:p>
                    <w:pPr>
                      <w:spacing w:line="122" w:lineRule="exact" w:before="0"/>
                      <w:ind w:left="0" w:right="0" w:firstLine="0"/>
                      <w:jc w:val="left"/>
                      <w:rPr>
                        <w:sz w:val="12"/>
                      </w:rPr>
                    </w:pPr>
                    <w:r>
                      <w:rPr>
                        <w:w w:val="101"/>
                        <w:sz w:val="12"/>
                        <w:u w:val="single" w:color="97B852"/>
                      </w:rPr>
                      <w:t> </w:t>
                    </w:r>
                    <w:r>
                      <w:rPr>
                        <w:spacing w:val="10"/>
                        <w:sz w:val="12"/>
                        <w:u w:val="single" w:color="97B852"/>
                      </w:rPr>
                      <w:t> </w:t>
                    </w:r>
                  </w:p>
                </w:txbxContent>
              </v:textbox>
              <w10:wrap type="none"/>
            </v:shape>
            <v:shape style="position:absolute;left:1148;top:-1830;width:123;height:123" type="#_x0000_t202" filled="false" stroked="false">
              <v:textbox inset="0,0,0,0">
                <w:txbxContent>
                  <w:p>
                    <w:pPr>
                      <w:spacing w:line="122" w:lineRule="exact" w:before="0"/>
                      <w:ind w:left="0" w:right="-19" w:firstLine="0"/>
                      <w:jc w:val="left"/>
                      <w:rPr>
                        <w:rFonts w:ascii="Calibri"/>
                        <w:sz w:val="12"/>
                      </w:rPr>
                    </w:pPr>
                    <w:r>
                      <w:rPr>
                        <w:rFonts w:ascii="Calibri"/>
                        <w:sz w:val="12"/>
                      </w:rPr>
                      <w:t>15</w:t>
                    </w:r>
                  </w:p>
                </w:txbxContent>
              </v:textbox>
              <w10:wrap type="none"/>
            </v:shape>
            <v:shape style="position:absolute;left:5228;top:-2459;width:445;height:875" type="#_x0000_t202" filled="false" stroked="false">
              <v:textbox inset="0,0,0,0">
                <w:txbxContent>
                  <w:p>
                    <w:pPr>
                      <w:spacing w:line="124" w:lineRule="exact" w:before="0"/>
                      <w:ind w:left="0" w:right="-12" w:firstLine="0"/>
                      <w:jc w:val="left"/>
                      <w:rPr>
                        <w:rFonts w:ascii="Calibri"/>
                        <w:sz w:val="12"/>
                      </w:rPr>
                    </w:pPr>
                    <w:r>
                      <w:rPr>
                        <w:rFonts w:ascii="Calibri"/>
                        <w:sz w:val="12"/>
                      </w:rPr>
                      <w:t>Elbow</w:t>
                    </w:r>
                  </w:p>
                  <w:p>
                    <w:pPr>
                      <w:spacing w:line="188" w:lineRule="exact" w:before="4"/>
                      <w:ind w:left="0" w:right="-12" w:firstLine="0"/>
                      <w:jc w:val="left"/>
                      <w:rPr>
                        <w:rFonts w:ascii="Calibri"/>
                        <w:sz w:val="12"/>
                      </w:rPr>
                    </w:pPr>
                    <w:r>
                      <w:rPr>
                        <w:rFonts w:ascii="Calibri"/>
                        <w:sz w:val="12"/>
                      </w:rPr>
                      <w:t>Back Shoulder Wrist Others</w:t>
                    </w:r>
                  </w:p>
                </w:txbxContent>
              </v:textbox>
              <w10:wrap type="none"/>
            </v:shape>
            <v:shape style="position:absolute;left:1148;top:-1495;width:125;height:791" type="#_x0000_t202" filled="false" stroked="false">
              <v:textbox inset="0,0,0,0">
                <w:txbxContent>
                  <w:p>
                    <w:pPr>
                      <w:spacing w:line="124" w:lineRule="exact" w:before="0"/>
                      <w:ind w:left="0" w:right="-17" w:firstLine="0"/>
                      <w:jc w:val="left"/>
                      <w:rPr>
                        <w:rFonts w:ascii="Calibri"/>
                        <w:sz w:val="12"/>
                      </w:rPr>
                    </w:pPr>
                    <w:r>
                      <w:rPr>
                        <w:rFonts w:ascii="Calibri"/>
                        <w:sz w:val="12"/>
                      </w:rPr>
                      <w:t>10</w:t>
                    </w:r>
                  </w:p>
                  <w:p>
                    <w:pPr>
                      <w:spacing w:line="240" w:lineRule="auto" w:before="3"/>
                      <w:rPr>
                        <w:sz w:val="16"/>
                      </w:rPr>
                    </w:pPr>
                  </w:p>
                  <w:p>
                    <w:pPr>
                      <w:spacing w:before="0"/>
                      <w:ind w:left="62" w:right="0" w:firstLine="0"/>
                      <w:jc w:val="left"/>
                      <w:rPr>
                        <w:rFonts w:ascii="Calibri"/>
                        <w:sz w:val="12"/>
                      </w:rPr>
                    </w:pPr>
                    <w:r>
                      <w:rPr>
                        <w:rFonts w:ascii="Calibri"/>
                        <w:w w:val="101"/>
                        <w:sz w:val="12"/>
                      </w:rPr>
                      <w:t>5</w:t>
                    </w:r>
                  </w:p>
                  <w:p>
                    <w:pPr>
                      <w:spacing w:line="240" w:lineRule="auto" w:before="4"/>
                      <w:rPr>
                        <w:sz w:val="16"/>
                      </w:rPr>
                    </w:pPr>
                  </w:p>
                  <w:p>
                    <w:pPr>
                      <w:spacing w:line="145" w:lineRule="exact" w:before="0"/>
                      <w:ind w:left="62" w:right="0" w:firstLine="0"/>
                      <w:jc w:val="left"/>
                      <w:rPr>
                        <w:rFonts w:ascii="Calibri"/>
                        <w:sz w:val="12"/>
                      </w:rPr>
                    </w:pPr>
                    <w:r>
                      <w:rPr>
                        <w:rFonts w:ascii="Calibri"/>
                        <w:w w:val="101"/>
                        <w:sz w:val="12"/>
                      </w:rPr>
                      <w:t>0</w:t>
                    </w:r>
                  </w:p>
                </w:txbxContent>
              </v:textbox>
              <w10:wrap type="none"/>
            </v:shape>
            <v:shape style="position:absolute;left:1861;top:-669;width:247;height:123" type="#_x0000_t202" filled="false" stroked="false">
              <v:textbox inset="0,0,0,0">
                <w:txbxContent>
                  <w:p>
                    <w:pPr>
                      <w:spacing w:line="122" w:lineRule="exact" w:before="0"/>
                      <w:ind w:left="0" w:right="-17" w:firstLine="0"/>
                      <w:jc w:val="left"/>
                      <w:rPr>
                        <w:rFonts w:ascii="Calibri"/>
                        <w:sz w:val="12"/>
                      </w:rPr>
                    </w:pPr>
                    <w:r>
                      <w:rPr>
                        <w:rFonts w:ascii="Calibri"/>
                        <w:sz w:val="12"/>
                      </w:rPr>
                      <w:t>2011</w:t>
                    </w:r>
                  </w:p>
                </w:txbxContent>
              </v:textbox>
              <w10:wrap type="none"/>
            </v:shape>
            <v:shape style="position:absolute;left:3059;top:-669;width:247;height:123" type="#_x0000_t202" filled="false" stroked="false">
              <v:textbox inset="0,0,0,0">
                <w:txbxContent>
                  <w:p>
                    <w:pPr>
                      <w:spacing w:line="122" w:lineRule="exact" w:before="0"/>
                      <w:ind w:left="0" w:right="-17" w:firstLine="0"/>
                      <w:jc w:val="left"/>
                      <w:rPr>
                        <w:rFonts w:ascii="Calibri"/>
                        <w:sz w:val="12"/>
                      </w:rPr>
                    </w:pPr>
                    <w:r>
                      <w:rPr>
                        <w:rFonts w:ascii="Calibri"/>
                        <w:sz w:val="12"/>
                      </w:rPr>
                      <w:t>2012</w:t>
                    </w:r>
                  </w:p>
                </w:txbxContent>
              </v:textbox>
              <w10:wrap type="none"/>
            </v:shape>
            <v:shape style="position:absolute;left:4288;top:-669;width:186;height:123" type="#_x0000_t202" filled="false" stroked="false">
              <v:textbox inset="0,0,0,0">
                <w:txbxContent>
                  <w:p>
                    <w:pPr>
                      <w:spacing w:line="122" w:lineRule="exact" w:before="0"/>
                      <w:ind w:left="0" w:right="-17" w:firstLine="0"/>
                      <w:jc w:val="left"/>
                      <w:rPr>
                        <w:rFonts w:ascii="Calibri"/>
                        <w:sz w:val="12"/>
                      </w:rPr>
                    </w:pPr>
                    <w:r>
                      <w:rPr>
                        <w:rFonts w:ascii="Calibri"/>
                        <w:sz w:val="12"/>
                      </w:rPr>
                      <w:t>213</w:t>
                    </w:r>
                  </w:p>
                </w:txbxContent>
              </v:textbox>
              <w10:wrap type="none"/>
            </v:shape>
            <w10:wrap type="none"/>
          </v:group>
        </w:pict>
      </w:r>
      <w:r>
        <w:rPr>
          <w:sz w:val="16"/>
        </w:rPr>
        <w:t>Figure 6.MSD per Year in Textil Industry</w:t>
      </w:r>
    </w:p>
    <w:p>
      <w:pPr>
        <w:spacing w:after="0"/>
        <w:jc w:val="left"/>
        <w:rPr>
          <w:sz w:val="16"/>
        </w:rPr>
        <w:sectPr>
          <w:type w:val="continuous"/>
          <w:pgSz w:w="12240" w:h="15840"/>
          <w:pgMar w:top="1500" w:bottom="280" w:left="580" w:right="220"/>
        </w:sectPr>
      </w:pPr>
    </w:p>
    <w:p>
      <w:pPr>
        <w:pStyle w:val="BodyText"/>
        <w:spacing w:before="6"/>
        <w:rPr>
          <w:sz w:val="11"/>
        </w:rPr>
      </w:pPr>
    </w:p>
    <w:p>
      <w:pPr>
        <w:pStyle w:val="Heading4"/>
        <w:numPr>
          <w:ilvl w:val="0"/>
          <w:numId w:val="181"/>
        </w:numPr>
        <w:tabs>
          <w:tab w:pos="421" w:val="left" w:leader="none"/>
        </w:tabs>
        <w:spacing w:line="228" w:lineRule="exact" w:before="75" w:after="0"/>
        <w:ind w:left="420" w:right="0" w:hanging="150"/>
        <w:jc w:val="left"/>
      </w:pPr>
      <w:r>
        <w:rPr/>
        <w:t>Discussion</w:t>
      </w:r>
    </w:p>
    <w:p>
      <w:pPr>
        <w:pStyle w:val="BodyText"/>
        <w:ind w:left="270" w:right="6261"/>
      </w:pPr>
      <w:r>
        <w:rPr/>
        <w:t>The lack of reliable information does not allow occupational health policies that reduce the MSD and improve the quality of life of workers. Currently in Mexico the importance given to Ergonomics issues is very little when designing products or processes in manufacturing companies because there is no appropriate legislation and this lack of interest causes the growth of MSD. In 2015 it will be introduced the new Regulation of Health and Safety at Work, a federal law. This new law establishes the obligation for all companies to make a map for ergonomic risks (MSD) and an improvement plan, which would diminish the MSD in a short term. Moreover, if it is known what kind of disorder (MSD) is the most common in each industry, then is possible to design control plans to avoid high costs of labor compensation and improve the work</w:t>
      </w:r>
      <w:r>
        <w:rPr>
          <w:spacing w:val="-16"/>
        </w:rPr>
        <w:t> </w:t>
      </w:r>
      <w:r>
        <w:rPr/>
        <w:t>environment.</w:t>
      </w:r>
    </w:p>
    <w:p>
      <w:pPr>
        <w:pStyle w:val="BodyText"/>
      </w:pPr>
    </w:p>
    <w:p>
      <w:pPr>
        <w:pStyle w:val="BodyText"/>
        <w:spacing w:before="5"/>
        <w:rPr>
          <w:sz w:val="22"/>
        </w:rPr>
      </w:pPr>
    </w:p>
    <w:p>
      <w:pPr>
        <w:pStyle w:val="Heading4"/>
        <w:spacing w:before="1"/>
        <w:ind w:right="6276"/>
        <w:jc w:val="left"/>
      </w:pPr>
      <w:r>
        <w:rPr/>
        <w:t>References</w:t>
      </w:r>
    </w:p>
    <w:p>
      <w:pPr>
        <w:pStyle w:val="BodyText"/>
        <w:spacing w:before="2"/>
        <w:rPr>
          <w:b/>
          <w:sz w:val="22"/>
        </w:rPr>
      </w:pPr>
    </w:p>
    <w:p>
      <w:pPr>
        <w:spacing w:before="0"/>
        <w:ind w:left="270" w:right="6276" w:firstLine="0"/>
        <w:jc w:val="left"/>
        <w:rPr>
          <w:sz w:val="16"/>
        </w:rPr>
      </w:pPr>
      <w:r>
        <w:rPr>
          <w:sz w:val="16"/>
        </w:rPr>
        <w:t>[1] (Instituto Nacional de Seguridad e Higiene en el Trabajo, 2011)</w:t>
      </w:r>
    </w:p>
    <w:p>
      <w:pPr>
        <w:spacing w:line="261" w:lineRule="auto" w:before="16"/>
        <w:ind w:left="510" w:right="6250" w:hanging="201"/>
        <w:jc w:val="both"/>
        <w:rPr>
          <w:sz w:val="16"/>
        </w:rPr>
      </w:pPr>
      <w:r>
        <w:rPr>
          <w:sz w:val="16"/>
        </w:rPr>
        <w:t>[2] Intermational Labor Organization. (2013). </w:t>
      </w:r>
      <w:r>
        <w:rPr>
          <w:i/>
          <w:sz w:val="16"/>
        </w:rPr>
        <w:t>La prevencion de las </w:t>
      </w:r>
      <w:r>
        <w:rPr>
          <w:i/>
          <w:sz w:val="16"/>
        </w:rPr>
        <w:t>enfermedades profesionales. </w:t>
      </w:r>
      <w:r>
        <w:rPr>
          <w:sz w:val="16"/>
        </w:rPr>
        <w:t>Ginebra, Suiza: Intermational Labor Organization.</w:t>
      </w:r>
    </w:p>
    <w:p>
      <w:pPr>
        <w:spacing w:line="170" w:lineRule="exact" w:before="0"/>
        <w:ind w:left="270" w:right="1218" w:firstLine="0"/>
        <w:jc w:val="left"/>
        <w:rPr>
          <w:sz w:val="16"/>
        </w:rPr>
      </w:pPr>
      <w:r>
        <w:rPr>
          <w:sz w:val="16"/>
        </w:rPr>
        <w:t>[3] División Técnica de Información Estadística en Salud, IMSS. (2004). El</w:t>
      </w:r>
    </w:p>
    <w:p>
      <w:pPr>
        <w:spacing w:line="273" w:lineRule="auto" w:before="27"/>
        <w:ind w:left="695" w:right="6464" w:firstLine="0"/>
        <w:jc w:val="left"/>
        <w:rPr>
          <w:sz w:val="16"/>
        </w:rPr>
      </w:pPr>
      <w:r>
        <w:rPr>
          <w:sz w:val="16"/>
        </w:rPr>
        <w:t>IMSS en cifras: Indicadores de salud en el trabajo. </w:t>
      </w:r>
      <w:r>
        <w:rPr>
          <w:i/>
          <w:sz w:val="16"/>
        </w:rPr>
        <w:t>Revista Médica </w:t>
      </w:r>
      <w:r>
        <w:rPr>
          <w:i/>
          <w:sz w:val="16"/>
        </w:rPr>
        <w:t>del Instituto Mexicano del Seguro Social </w:t>
      </w:r>
      <w:r>
        <w:rPr>
          <w:sz w:val="16"/>
        </w:rPr>
        <w:t>, 79-88.</w:t>
      </w:r>
    </w:p>
    <w:p>
      <w:pPr>
        <w:pStyle w:val="BodyText"/>
        <w:spacing w:before="8"/>
        <w:rPr>
          <w:sz w:val="17"/>
        </w:rPr>
      </w:pPr>
    </w:p>
    <w:p>
      <w:pPr>
        <w:spacing w:line="276" w:lineRule="auto" w:before="0"/>
        <w:ind w:left="696" w:right="6324" w:hanging="426"/>
        <w:jc w:val="left"/>
        <w:rPr>
          <w:sz w:val="16"/>
        </w:rPr>
      </w:pPr>
      <w:r>
        <w:rPr>
          <w:sz w:val="16"/>
        </w:rPr>
        <w:t>[4] Chengalur, S., Rodgers, S. H., &amp; Bernard, T. E. (2004). </w:t>
      </w:r>
      <w:r>
        <w:rPr>
          <w:i/>
          <w:sz w:val="16"/>
        </w:rPr>
        <w:t>Kodak`s </w:t>
      </w:r>
      <w:r>
        <w:rPr>
          <w:i/>
          <w:sz w:val="16"/>
        </w:rPr>
        <w:t>ergonomics Design for People at Work </w:t>
      </w:r>
      <w:r>
        <w:rPr>
          <w:sz w:val="16"/>
        </w:rPr>
        <w:t>(Second ed.). Hoboken, New Jersey, U.S.A.: John Wiley and Sons.</w:t>
      </w:r>
    </w:p>
    <w:p>
      <w:pPr>
        <w:pStyle w:val="BodyText"/>
        <w:spacing w:before="7"/>
        <w:rPr>
          <w:sz w:val="17"/>
        </w:rPr>
      </w:pPr>
    </w:p>
    <w:p>
      <w:pPr>
        <w:spacing w:before="1"/>
        <w:ind w:left="270" w:right="6529" w:firstLine="0"/>
        <w:jc w:val="left"/>
        <w:rPr>
          <w:sz w:val="16"/>
        </w:rPr>
      </w:pPr>
      <w:r>
        <w:rPr>
          <w:sz w:val="20"/>
        </w:rPr>
        <w:t>[5] </w:t>
      </w:r>
      <w:r>
        <w:rPr>
          <w:sz w:val="16"/>
        </w:rPr>
        <w:t>Montgomery, D. C., &amp; Runger, G. C. (2003). </w:t>
      </w:r>
      <w:r>
        <w:rPr>
          <w:i/>
          <w:sz w:val="16"/>
        </w:rPr>
        <w:t>Applied Statistics and </w:t>
      </w:r>
      <w:r>
        <w:rPr>
          <w:i/>
          <w:sz w:val="16"/>
        </w:rPr>
        <w:t>Probability for Engineers. </w:t>
      </w:r>
      <w:r>
        <w:rPr>
          <w:sz w:val="16"/>
        </w:rPr>
        <w:t>Danvers, MA: John Wiley &amp; Sons</w:t>
      </w:r>
    </w:p>
    <w:p>
      <w:pPr>
        <w:spacing w:after="0"/>
        <w:jc w:val="left"/>
        <w:rPr>
          <w:sz w:val="16"/>
        </w:rPr>
        <w:sectPr>
          <w:pgSz w:w="12240" w:h="15840"/>
          <w:pgMar w:header="545" w:footer="852" w:top="1060" w:bottom="1040" w:left="580" w:right="220"/>
        </w:sectPr>
      </w:pPr>
    </w:p>
    <w:p>
      <w:pPr>
        <w:pStyle w:val="BodyText"/>
        <w:spacing w:before="4"/>
        <w:rPr>
          <w:sz w:val="11"/>
        </w:rPr>
      </w:pPr>
    </w:p>
    <w:p>
      <w:pPr>
        <w:spacing w:after="0"/>
        <w:rPr>
          <w:sz w:val="11"/>
        </w:rPr>
        <w:sectPr>
          <w:pgSz w:w="12240" w:h="15840"/>
          <w:pgMar w:header="545" w:footer="852" w:top="1060" w:bottom="1040" w:left="580" w:right="220"/>
        </w:sectPr>
      </w:pPr>
    </w:p>
    <w:p>
      <w:pPr>
        <w:pStyle w:val="Heading1"/>
        <w:spacing w:before="77"/>
        <w:ind w:right="17"/>
      </w:pPr>
      <w:r>
        <w:rPr/>
        <w:t>Ergonomic evaluation of workstation using an experimental cabin and OWAS method as a strategy for decision making</w:t>
      </w:r>
    </w:p>
    <w:p>
      <w:pPr>
        <w:pStyle w:val="BodyText"/>
        <w:spacing w:before="2"/>
        <w:rPr>
          <w:b/>
          <w:sz w:val="22"/>
        </w:rPr>
      </w:pPr>
    </w:p>
    <w:p>
      <w:pPr>
        <w:spacing w:line="204" w:lineRule="auto" w:before="0"/>
        <w:ind w:left="270" w:right="16" w:firstLine="0"/>
        <w:jc w:val="both"/>
        <w:rPr>
          <w:rFonts w:ascii="Arial" w:hAnsi="Arial"/>
          <w:sz w:val="13"/>
        </w:rPr>
      </w:pPr>
      <w:r>
        <w:rPr>
          <w:i/>
          <w:sz w:val="20"/>
        </w:rPr>
        <w:t>Galindo Quiñones Miguel Carlos¹, López Barreras Juan </w:t>
      </w:r>
      <w:r>
        <w:rPr>
          <w:i/>
          <w:sz w:val="20"/>
        </w:rPr>
        <w:t>Andrés</w:t>
      </w:r>
      <w:r>
        <w:rPr>
          <w:rFonts w:ascii="Arial" w:hAnsi="Arial"/>
          <w:position w:val="10"/>
          <w:sz w:val="13"/>
        </w:rPr>
        <w:t>2</w:t>
      </w:r>
      <w:r>
        <w:rPr>
          <w:i/>
          <w:sz w:val="20"/>
        </w:rPr>
        <w:t>, Ontiveros Zepeda Arturo Sinue</w:t>
      </w:r>
      <w:r>
        <w:rPr>
          <w:rFonts w:ascii="Arial" w:hAnsi="Arial"/>
          <w:position w:val="10"/>
          <w:sz w:val="13"/>
        </w:rPr>
        <w:t>3</w:t>
      </w:r>
      <w:r>
        <w:rPr>
          <w:i/>
          <w:sz w:val="20"/>
        </w:rPr>
        <w:t>, Camargo Wilson </w:t>
      </w:r>
      <w:r>
        <w:rPr>
          <w:i/>
          <w:sz w:val="20"/>
        </w:rPr>
        <w:t>Claudia</w:t>
      </w:r>
      <w:r>
        <w:rPr>
          <w:rFonts w:ascii="Arial" w:hAnsi="Arial"/>
          <w:position w:val="10"/>
          <w:sz w:val="13"/>
        </w:rPr>
        <w:t>4</w:t>
      </w:r>
      <w:r>
        <w:rPr>
          <w:i/>
          <w:sz w:val="20"/>
        </w:rPr>
        <w:t>, José Manuel Paz Fernández</w:t>
      </w:r>
      <w:r>
        <w:rPr>
          <w:rFonts w:ascii="Arial" w:hAnsi="Arial"/>
          <w:position w:val="10"/>
          <w:sz w:val="13"/>
        </w:rPr>
        <w:t>5</w:t>
      </w:r>
    </w:p>
    <w:p>
      <w:pPr>
        <w:pStyle w:val="BodyText"/>
        <w:spacing w:before="2"/>
        <w:rPr>
          <w:rFonts w:ascii="Arial"/>
          <w:sz w:val="19"/>
        </w:rPr>
      </w:pPr>
    </w:p>
    <w:p>
      <w:pPr>
        <w:spacing w:before="0"/>
        <w:ind w:left="270" w:right="1" w:firstLine="0"/>
        <w:jc w:val="both"/>
        <w:rPr>
          <w:sz w:val="16"/>
        </w:rPr>
      </w:pPr>
      <w:r>
        <w:rPr>
          <w:position w:val="7"/>
          <w:sz w:val="10"/>
        </w:rPr>
        <w:t>1 </w:t>
      </w:r>
      <w:r>
        <w:rPr>
          <w:sz w:val="16"/>
        </w:rPr>
        <w:t>Universidad Autónoma de Baja California, </w:t>
      </w:r>
      <w:hyperlink r:id="rId822">
        <w:r>
          <w:rPr>
            <w:color w:val="0000FF"/>
            <w:sz w:val="16"/>
            <w:u w:val="single" w:color="0000FF"/>
          </w:rPr>
          <w:t>mgalindo8@uabc.edu</w:t>
        </w:r>
        <w:r>
          <w:rPr>
            <w:sz w:val="16"/>
          </w:rPr>
          <w:t>,</w:t>
        </w:r>
      </w:hyperlink>
      <w:r>
        <w:rPr>
          <w:sz w:val="16"/>
        </w:rPr>
        <w:t> Tijuana Baja California.</w:t>
      </w:r>
    </w:p>
    <w:p>
      <w:pPr>
        <w:spacing w:line="184" w:lineRule="exact" w:before="1"/>
        <w:ind w:left="270" w:right="0" w:firstLine="0"/>
        <w:jc w:val="both"/>
        <w:rPr>
          <w:sz w:val="16"/>
        </w:rPr>
      </w:pPr>
      <w:r>
        <w:rPr>
          <w:position w:val="7"/>
          <w:sz w:val="10"/>
        </w:rPr>
        <w:t>2 </w:t>
      </w:r>
      <w:r>
        <w:rPr>
          <w:sz w:val="16"/>
        </w:rPr>
        <w:t>Universidad Autónoma de Baja California, </w:t>
      </w:r>
      <w:r>
        <w:rPr>
          <w:color w:val="0000FF"/>
          <w:sz w:val="16"/>
          <w:u w:val="single" w:color="0000FF"/>
        </w:rPr>
        <w:t>jalopez@uabc.edu.mx</w:t>
      </w:r>
      <w:r>
        <w:rPr>
          <w:sz w:val="16"/>
        </w:rPr>
        <w:t>,Tijuana Baja California.</w:t>
      </w:r>
    </w:p>
    <w:p>
      <w:pPr>
        <w:spacing w:line="184" w:lineRule="exact" w:before="0"/>
        <w:ind w:left="270" w:right="1" w:firstLine="0"/>
        <w:jc w:val="both"/>
        <w:rPr>
          <w:sz w:val="16"/>
        </w:rPr>
      </w:pPr>
      <w:r>
        <w:rPr>
          <w:position w:val="7"/>
          <w:sz w:val="10"/>
        </w:rPr>
        <w:t>3 </w:t>
      </w:r>
      <w:r>
        <w:rPr>
          <w:sz w:val="16"/>
        </w:rPr>
        <w:t>Universidad Autónoma de Baja California, </w:t>
      </w:r>
      <w:hyperlink r:id="rId771">
        <w:r>
          <w:rPr>
            <w:color w:val="0000FF"/>
            <w:sz w:val="16"/>
            <w:u w:val="single" w:color="0000FF"/>
          </w:rPr>
          <w:t>sinue.ontiveros@uabc.edu.mx</w:t>
        </w:r>
        <w:r>
          <w:rPr>
            <w:sz w:val="16"/>
          </w:rPr>
          <w:t>,</w:t>
        </w:r>
      </w:hyperlink>
      <w:r>
        <w:rPr>
          <w:sz w:val="16"/>
        </w:rPr>
        <w:t> Tijuana Baja California.</w:t>
      </w:r>
    </w:p>
    <w:p>
      <w:pPr>
        <w:spacing w:line="181" w:lineRule="exact" w:before="0"/>
        <w:ind w:left="270" w:right="0" w:firstLine="0"/>
        <w:jc w:val="both"/>
        <w:rPr>
          <w:sz w:val="16"/>
        </w:rPr>
      </w:pPr>
      <w:r>
        <w:rPr>
          <w:position w:val="7"/>
          <w:sz w:val="10"/>
        </w:rPr>
        <w:t>4</w:t>
      </w:r>
      <w:r>
        <w:rPr>
          <w:sz w:val="16"/>
        </w:rPr>
        <w:t>Universidad   Autónoma   de   Baja   California,    </w:t>
      </w:r>
      <w:hyperlink r:id="rId772">
        <w:r>
          <w:rPr>
            <w:color w:val="0000FF"/>
            <w:sz w:val="16"/>
            <w:u w:val="single" w:color="0000FF"/>
          </w:rPr>
          <w:t>ccamargo@uabc.edu.mx</w:t>
        </w:r>
        <w:r>
          <w:rPr>
            <w:sz w:val="16"/>
          </w:rPr>
          <w:t>,</w:t>
        </w:r>
      </w:hyperlink>
    </w:p>
    <w:p>
      <w:pPr>
        <w:spacing w:line="177" w:lineRule="exact" w:before="1"/>
        <w:ind w:left="270" w:right="0" w:firstLine="0"/>
        <w:jc w:val="both"/>
        <w:rPr>
          <w:sz w:val="16"/>
        </w:rPr>
      </w:pPr>
      <w:r>
        <w:rPr>
          <w:sz w:val="16"/>
        </w:rPr>
        <w:t>Tijuana Baja California.</w:t>
      </w:r>
    </w:p>
    <w:p>
      <w:pPr>
        <w:spacing w:line="184" w:lineRule="exact" w:before="9"/>
        <w:ind w:left="270" w:right="0" w:firstLine="0"/>
        <w:jc w:val="both"/>
        <w:rPr>
          <w:sz w:val="16"/>
        </w:rPr>
      </w:pPr>
      <w:r>
        <w:rPr>
          <w:position w:val="7"/>
          <w:sz w:val="10"/>
        </w:rPr>
        <w:t>5 </w:t>
      </w:r>
      <w:r>
        <w:rPr>
          <w:sz w:val="16"/>
        </w:rPr>
        <w:t>Universidad Autónoma de Baja California, </w:t>
      </w:r>
      <w:hyperlink r:id="rId823">
        <w:r>
          <w:rPr>
            <w:color w:val="0000FF"/>
            <w:sz w:val="16"/>
            <w:u w:val="single" w:color="0000FF"/>
          </w:rPr>
          <w:t>paz.jose@uabc.edu.mx</w:t>
        </w:r>
        <w:r>
          <w:rPr>
            <w:sz w:val="16"/>
          </w:rPr>
          <w:t>,</w:t>
        </w:r>
      </w:hyperlink>
      <w:r>
        <w:rPr>
          <w:sz w:val="16"/>
        </w:rPr>
        <w:t> Tijuana Baja California.</w:t>
      </w:r>
    </w:p>
    <w:p>
      <w:pPr>
        <w:pStyle w:val="BodyText"/>
        <w:rPr>
          <w:sz w:val="16"/>
        </w:rPr>
      </w:pPr>
    </w:p>
    <w:p>
      <w:pPr>
        <w:pStyle w:val="BodyText"/>
        <w:rPr>
          <w:sz w:val="16"/>
        </w:rPr>
      </w:pPr>
    </w:p>
    <w:p>
      <w:pPr>
        <w:pStyle w:val="BodyText"/>
        <w:spacing w:before="2"/>
      </w:pPr>
    </w:p>
    <w:p>
      <w:pPr>
        <w:pStyle w:val="Heading4"/>
        <w:spacing w:before="1"/>
      </w:pPr>
      <w:r>
        <w:rPr/>
        <w:pict>
          <v:line style="position:absolute;mso-position-horizontal-relative:page;mso-position-vertical-relative:paragraph;z-index:20488" from="41.040001pt,13.255813pt" to="289.860001pt,13.255813pt" stroked="true" strokeweight="1.5pt" strokecolor="#000000">
            <w10:wrap type="none"/>
          </v:line>
        </w:pict>
      </w:r>
      <w:r>
        <w:rPr/>
        <w:t>Resumen</w:t>
      </w:r>
    </w:p>
    <w:p>
      <w:pPr>
        <w:pStyle w:val="BodyText"/>
        <w:spacing w:before="46"/>
        <w:ind w:left="270" w:right="14"/>
        <w:jc w:val="both"/>
      </w:pPr>
      <w:r>
        <w:rPr/>
        <w:t>Las posturas corporales en una estación de trabajo, son puntos fundamentales para el desempeño y producción en el área de trabajo. El mantener posturas incorrectas provoca todo tipo de riesgos incluyendo lesiones físico-musculares. En este trabajo se realizó un análisis mediante el estudio del método OWAS en el cual tuvo como fin el detectar  y evaluar los factores de riesgo ergonómico, que están repercutiendo en el desempeño laboral de los trabajadores.  Se llevó a cabo una serie de recomendaciones y acciones preventivas que se tendrán que seguir para un mejor desempeño.</w:t>
      </w:r>
    </w:p>
    <w:p>
      <w:pPr>
        <w:pStyle w:val="BodyText"/>
        <w:spacing w:before="11"/>
        <w:rPr>
          <w:sz w:val="19"/>
        </w:rPr>
      </w:pPr>
    </w:p>
    <w:p>
      <w:pPr>
        <w:spacing w:before="0"/>
        <w:ind w:left="270" w:right="0" w:firstLine="0"/>
        <w:jc w:val="both"/>
        <w:rPr>
          <w:sz w:val="20"/>
        </w:rPr>
      </w:pPr>
      <w:r>
        <w:rPr>
          <w:b/>
          <w:sz w:val="20"/>
        </w:rPr>
        <w:t>Palabras clave</w:t>
      </w:r>
      <w:r>
        <w:rPr>
          <w:sz w:val="20"/>
        </w:rPr>
        <w:t>— cabina., experimentación, OWAS.</w:t>
      </w:r>
    </w:p>
    <w:p>
      <w:pPr>
        <w:pStyle w:val="BodyText"/>
        <w:spacing w:before="3"/>
      </w:pPr>
    </w:p>
    <w:p>
      <w:pPr>
        <w:pStyle w:val="Heading5"/>
        <w:rPr>
          <w:i/>
        </w:rPr>
      </w:pPr>
      <w:r>
        <w:rPr/>
        <w:pict>
          <v:line style="position:absolute;mso-position-horizontal-relative:page;mso-position-vertical-relative:paragraph;z-index:20512" from="41.040001pt,13.266249pt" to="289.860001pt,13.266249pt" stroked="true" strokeweight="1.5pt" strokecolor="#000000">
            <w10:wrap type="none"/>
          </v:line>
        </w:pict>
      </w:r>
      <w:r>
        <w:rPr>
          <w:i/>
        </w:rPr>
        <w:t>Abstract</w:t>
      </w:r>
    </w:p>
    <w:p>
      <w:pPr>
        <w:spacing w:before="47"/>
        <w:ind w:left="270" w:right="15" w:firstLine="0"/>
        <w:jc w:val="both"/>
        <w:rPr>
          <w:i/>
          <w:sz w:val="20"/>
        </w:rPr>
      </w:pPr>
      <w:r>
        <w:rPr>
          <w:i/>
          <w:sz w:val="20"/>
        </w:rPr>
        <w:t>The body postures on a workstation, are key points for </w:t>
      </w:r>
      <w:r>
        <w:rPr>
          <w:i/>
          <w:sz w:val="20"/>
        </w:rPr>
        <w:t>performance and production in the workspace. Holding bad postures causes all kinds of risks including physical muscle injuries. This paper presents an analysis was made by studying the OWAS method which was aimed at detecting and evaluating ergonomic risk factors that are affecting job performance of employees. Conducted a series of recommendations and preventive actions to be taken to continue to perform</w:t>
      </w:r>
      <w:r>
        <w:rPr>
          <w:i/>
          <w:spacing w:val="-9"/>
          <w:sz w:val="20"/>
        </w:rPr>
        <w:t> </w:t>
      </w:r>
      <w:r>
        <w:rPr>
          <w:i/>
          <w:sz w:val="20"/>
        </w:rPr>
        <w:t>better.</w:t>
      </w:r>
    </w:p>
    <w:p>
      <w:pPr>
        <w:pStyle w:val="BodyText"/>
        <w:spacing w:before="11"/>
        <w:rPr>
          <w:i/>
          <w:sz w:val="19"/>
        </w:rPr>
      </w:pPr>
    </w:p>
    <w:p>
      <w:pPr>
        <w:spacing w:before="0"/>
        <w:ind w:left="270" w:right="0" w:firstLine="0"/>
        <w:jc w:val="both"/>
        <w:rPr>
          <w:i/>
          <w:sz w:val="20"/>
        </w:rPr>
      </w:pPr>
      <w:r>
        <w:rPr>
          <w:b/>
          <w:i/>
          <w:sz w:val="20"/>
        </w:rPr>
        <w:t>Keywords</w:t>
      </w:r>
      <w:r>
        <w:rPr>
          <w:i/>
          <w:sz w:val="20"/>
        </w:rPr>
        <w:t>— cabin, experimentation, OWAS.</w:t>
      </w:r>
    </w:p>
    <w:p>
      <w:pPr>
        <w:pStyle w:val="BodyText"/>
        <w:rPr>
          <w:i/>
        </w:rPr>
      </w:pPr>
    </w:p>
    <w:p>
      <w:pPr>
        <w:pStyle w:val="BodyText"/>
        <w:spacing w:before="2"/>
        <w:rPr>
          <w:i/>
        </w:rPr>
      </w:pPr>
    </w:p>
    <w:p>
      <w:pPr>
        <w:pStyle w:val="Heading4"/>
        <w:numPr>
          <w:ilvl w:val="0"/>
          <w:numId w:val="182"/>
        </w:numPr>
        <w:tabs>
          <w:tab w:pos="473" w:val="left" w:leader="none"/>
        </w:tabs>
        <w:spacing w:line="240" w:lineRule="auto" w:before="0" w:after="0"/>
        <w:ind w:left="472" w:right="0" w:hanging="202"/>
        <w:jc w:val="both"/>
      </w:pPr>
      <w:r>
        <w:rPr/>
        <w:t>INTRODUCTION</w:t>
      </w:r>
    </w:p>
    <w:p>
      <w:pPr>
        <w:pStyle w:val="BodyText"/>
        <w:spacing w:before="8"/>
        <w:rPr>
          <w:b/>
          <w:sz w:val="19"/>
        </w:rPr>
      </w:pPr>
    </w:p>
    <w:p>
      <w:pPr>
        <w:pStyle w:val="BodyText"/>
        <w:ind w:left="270" w:right="16"/>
        <w:jc w:val="both"/>
      </w:pPr>
      <w:r>
        <w:rPr/>
        <w:t>Ergonomic risks, including overstrain, produce disorders or injuries to workers, for example; pain and inflammatory or degenerative usually on the back and upper extremity injuries. The main ergonomic risks are generally produced  by the adoption of stress positions, performing repetitive movements, manual handling of loads and forces applied during  the  workday.  For  evaluation  of  incorrect </w:t>
      </w:r>
      <w:r>
        <w:rPr>
          <w:spacing w:val="27"/>
        </w:rPr>
        <w:t> </w:t>
      </w:r>
      <w:r>
        <w:rPr/>
        <w:t>postures</w:t>
      </w:r>
    </w:p>
    <w:p>
      <w:pPr>
        <w:pStyle w:val="BodyText"/>
        <w:spacing w:before="74"/>
        <w:ind w:left="270" w:right="676"/>
        <w:jc w:val="both"/>
      </w:pPr>
      <w:r>
        <w:rPr/>
        <w:br w:type="column"/>
      </w:r>
      <w:r>
        <w:rPr/>
        <w:t>there OWAS method that aims to identify the positions that pose a risk to the worker as well as the time spent on them, to implement corrective measures in the design of the task and reduce the level of risk. In this method, the postures are grouped according to the general procedures of operations and were based on deployments requiring ergonomic approach. In this paper the method is applied in combination with analysis of environmental-physical factors that contribute to a more comprehensive evaluation.</w:t>
      </w:r>
    </w:p>
    <w:p>
      <w:pPr>
        <w:pStyle w:val="BodyText"/>
      </w:pPr>
    </w:p>
    <w:p>
      <w:pPr>
        <w:pStyle w:val="BodyText"/>
        <w:spacing w:before="2"/>
      </w:pPr>
    </w:p>
    <w:p>
      <w:pPr>
        <w:pStyle w:val="Heading4"/>
        <w:numPr>
          <w:ilvl w:val="0"/>
          <w:numId w:val="182"/>
        </w:numPr>
        <w:tabs>
          <w:tab w:pos="471" w:val="left" w:leader="none"/>
        </w:tabs>
        <w:spacing w:line="240" w:lineRule="auto" w:before="0" w:after="0"/>
        <w:ind w:left="470" w:right="0" w:hanging="200"/>
        <w:jc w:val="both"/>
      </w:pPr>
      <w:r>
        <w:rPr/>
        <w:t>OBJECTIVE</w:t>
      </w:r>
    </w:p>
    <w:p>
      <w:pPr>
        <w:pStyle w:val="BodyText"/>
        <w:spacing w:before="8"/>
        <w:rPr>
          <w:b/>
          <w:sz w:val="19"/>
        </w:rPr>
      </w:pPr>
    </w:p>
    <w:p>
      <w:pPr>
        <w:pStyle w:val="BodyText"/>
        <w:ind w:left="270" w:right="678"/>
        <w:jc w:val="both"/>
      </w:pPr>
      <w:r>
        <w:rPr/>
        <w:t>Identify and assess ergonomic factors and physical risk, which are affecting job performance of employees.</w:t>
      </w:r>
    </w:p>
    <w:p>
      <w:pPr>
        <w:pStyle w:val="BodyText"/>
        <w:spacing w:before="2"/>
      </w:pPr>
    </w:p>
    <w:p>
      <w:pPr>
        <w:pStyle w:val="Heading4"/>
        <w:numPr>
          <w:ilvl w:val="0"/>
          <w:numId w:val="182"/>
        </w:numPr>
        <w:tabs>
          <w:tab w:pos="472" w:val="left" w:leader="none"/>
        </w:tabs>
        <w:spacing w:line="240" w:lineRule="auto" w:before="0" w:after="0"/>
        <w:ind w:left="471" w:right="0" w:hanging="201"/>
        <w:jc w:val="both"/>
      </w:pPr>
      <w:r>
        <w:rPr/>
        <w:t>DELIMITATION</w:t>
      </w:r>
    </w:p>
    <w:p>
      <w:pPr>
        <w:pStyle w:val="BodyText"/>
        <w:spacing w:before="5"/>
        <w:rPr>
          <w:b/>
        </w:rPr>
      </w:pPr>
    </w:p>
    <w:p>
      <w:pPr>
        <w:pStyle w:val="BodyText"/>
        <w:spacing w:line="249" w:lineRule="auto"/>
        <w:ind w:left="270" w:right="675"/>
        <w:jc w:val="both"/>
      </w:pPr>
      <w:r>
        <w:rPr/>
        <w:t>The analysis developed in the Universidad Autonoma de Baja California. Samples were taken at a company dedicated to the manufacture and assembly of toys during the 2014-2 cycle. Some of the data were taken as reference to simulate the physical environment in a cabin experimentation (the configuration of the workstation and variables such as lighting, temperature, relative humidity, noise and ventilation. In the worker's blood pressure and heart rate) developed by the Academic Resource Optimization Corps in the area of Industrial Engineering, Faculty of Chemical and Engineering Sciences is measured. The other part of the data are related to the activity of the operator was chosen.</w:t>
      </w:r>
    </w:p>
    <w:p>
      <w:pPr>
        <w:pStyle w:val="BodyText"/>
      </w:pPr>
    </w:p>
    <w:p>
      <w:pPr>
        <w:pStyle w:val="BodyText"/>
        <w:spacing w:before="7"/>
        <w:rPr>
          <w:sz w:val="19"/>
        </w:rPr>
      </w:pPr>
    </w:p>
    <w:p>
      <w:pPr>
        <w:pStyle w:val="Heading4"/>
        <w:numPr>
          <w:ilvl w:val="0"/>
          <w:numId w:val="182"/>
        </w:numPr>
        <w:tabs>
          <w:tab w:pos="471" w:val="left" w:leader="none"/>
        </w:tabs>
        <w:spacing w:line="240" w:lineRule="auto" w:before="0" w:after="0"/>
        <w:ind w:left="470" w:right="0" w:hanging="200"/>
        <w:jc w:val="both"/>
      </w:pPr>
      <w:r>
        <w:rPr/>
        <w:t>METHODOLOGY</w:t>
      </w:r>
    </w:p>
    <w:p>
      <w:pPr>
        <w:pStyle w:val="BodyText"/>
        <w:spacing w:before="8"/>
        <w:rPr>
          <w:b/>
          <w:sz w:val="19"/>
        </w:rPr>
      </w:pPr>
    </w:p>
    <w:p>
      <w:pPr>
        <w:pStyle w:val="BodyText"/>
        <w:ind w:left="270" w:right="676"/>
        <w:jc w:val="both"/>
      </w:pPr>
      <w:r>
        <w:rPr/>
        <w:t>One identified as the most problematic from the point of view of the company station was chosen and who happens  to be the station where they perform quality control testing assembly of Lego</w:t>
      </w:r>
      <w:r>
        <w:rPr>
          <w:spacing w:val="-7"/>
        </w:rPr>
        <w:t> </w:t>
      </w:r>
      <w:r>
        <w:rPr/>
        <w:t>toys.</w:t>
      </w:r>
    </w:p>
    <w:p>
      <w:pPr>
        <w:pStyle w:val="BodyText"/>
        <w:spacing w:before="11"/>
        <w:rPr>
          <w:sz w:val="19"/>
        </w:rPr>
      </w:pPr>
    </w:p>
    <w:p>
      <w:pPr>
        <w:pStyle w:val="BodyText"/>
        <w:ind w:left="270" w:right="677"/>
        <w:jc w:val="both"/>
      </w:pPr>
      <w:r>
        <w:rPr/>
        <w:t>The activity is basically the operator arms and disarms 8 hours a day 5 days a week Lego pieces. Obviously not review every batch but the task is  highly  repetitive activities. Once identified these points are relevant:</w:t>
      </w:r>
    </w:p>
    <w:p>
      <w:pPr>
        <w:pStyle w:val="BodyText"/>
      </w:pPr>
    </w:p>
    <w:p>
      <w:pPr>
        <w:pStyle w:val="BodyText"/>
      </w:pPr>
    </w:p>
    <w:p>
      <w:pPr>
        <w:pStyle w:val="BodyText"/>
        <w:ind w:left="270"/>
        <w:jc w:val="both"/>
      </w:pPr>
      <w:r>
        <w:rPr/>
        <w:t>FIRST: Analyze selected tasks</w:t>
      </w:r>
    </w:p>
    <w:p>
      <w:pPr>
        <w:pStyle w:val="ListParagraph"/>
        <w:numPr>
          <w:ilvl w:val="0"/>
          <w:numId w:val="183"/>
        </w:numPr>
        <w:tabs>
          <w:tab w:pos="475" w:val="left" w:leader="none"/>
        </w:tabs>
        <w:spacing w:line="240" w:lineRule="auto" w:before="0" w:after="0"/>
        <w:ind w:left="270" w:right="679" w:firstLine="0"/>
        <w:jc w:val="both"/>
        <w:rPr>
          <w:sz w:val="20"/>
        </w:rPr>
      </w:pPr>
      <w:r>
        <w:rPr>
          <w:sz w:val="20"/>
        </w:rPr>
        <w:t>Determine if the observation of the task must be Single or Multi-phase</w:t>
      </w:r>
      <w:r>
        <w:rPr>
          <w:spacing w:val="-12"/>
          <w:sz w:val="20"/>
        </w:rPr>
        <w:t> </w:t>
      </w:r>
      <w:r>
        <w:rPr>
          <w:sz w:val="20"/>
        </w:rPr>
        <w:t>evaluation.</w:t>
      </w:r>
    </w:p>
    <w:p>
      <w:pPr>
        <w:pStyle w:val="ListParagraph"/>
        <w:numPr>
          <w:ilvl w:val="0"/>
          <w:numId w:val="183"/>
        </w:numPr>
        <w:tabs>
          <w:tab w:pos="472" w:val="left" w:leader="none"/>
        </w:tabs>
        <w:spacing w:line="240" w:lineRule="auto" w:before="0" w:after="0"/>
        <w:ind w:left="471" w:right="0" w:hanging="201"/>
        <w:jc w:val="both"/>
        <w:rPr>
          <w:sz w:val="20"/>
        </w:rPr>
      </w:pPr>
      <w:r>
        <w:rPr>
          <w:sz w:val="20"/>
        </w:rPr>
        <w:t>Set the total observation time of the</w:t>
      </w:r>
      <w:r>
        <w:rPr>
          <w:spacing w:val="-24"/>
          <w:sz w:val="20"/>
        </w:rPr>
        <w:t> </w:t>
      </w:r>
      <w:r>
        <w:rPr>
          <w:sz w:val="20"/>
        </w:rPr>
        <w:t>task.</w:t>
      </w:r>
    </w:p>
    <w:p>
      <w:pPr>
        <w:pStyle w:val="ListParagraph"/>
        <w:numPr>
          <w:ilvl w:val="0"/>
          <w:numId w:val="183"/>
        </w:numPr>
        <w:tabs>
          <w:tab w:pos="500" w:val="left" w:leader="none"/>
        </w:tabs>
        <w:spacing w:line="240" w:lineRule="auto" w:before="0" w:after="0"/>
        <w:ind w:left="270" w:right="677" w:firstLine="0"/>
        <w:jc w:val="both"/>
        <w:rPr>
          <w:sz w:val="20"/>
        </w:rPr>
      </w:pPr>
      <w:r>
        <w:rPr>
          <w:sz w:val="20"/>
        </w:rPr>
        <w:t>Determine the length of the time intervals in which the observation is</w:t>
      </w:r>
      <w:r>
        <w:rPr>
          <w:spacing w:val="-9"/>
          <w:sz w:val="20"/>
        </w:rPr>
        <w:t> </w:t>
      </w:r>
      <w:r>
        <w:rPr>
          <w:sz w:val="20"/>
        </w:rPr>
        <w:t>divided.</w:t>
      </w:r>
    </w:p>
    <w:p>
      <w:pPr>
        <w:pStyle w:val="BodyText"/>
      </w:pPr>
    </w:p>
    <w:p>
      <w:pPr>
        <w:pStyle w:val="BodyText"/>
        <w:spacing w:before="1"/>
        <w:ind w:left="270" w:right="676"/>
        <w:jc w:val="both"/>
      </w:pPr>
      <w:r>
        <w:rPr/>
        <w:t>SECOND: Configure the physical variables and run the simulation of the physical environment in our cabin experimentation and start the analysis.</w:t>
      </w:r>
    </w:p>
    <w:p>
      <w:pPr>
        <w:pStyle w:val="ListParagraph"/>
        <w:numPr>
          <w:ilvl w:val="0"/>
          <w:numId w:val="183"/>
        </w:numPr>
        <w:tabs>
          <w:tab w:pos="490" w:val="left" w:leader="none"/>
        </w:tabs>
        <w:spacing w:line="240" w:lineRule="auto" w:before="0" w:after="0"/>
        <w:ind w:left="270" w:right="676" w:firstLine="0"/>
        <w:jc w:val="both"/>
        <w:rPr>
          <w:sz w:val="20"/>
        </w:rPr>
      </w:pPr>
      <w:r>
        <w:rPr>
          <w:sz w:val="20"/>
        </w:rPr>
        <w:t>Identify, during the observation of the task or phase, the different positions taken by the worker. For each   </w:t>
      </w:r>
      <w:r>
        <w:rPr>
          <w:spacing w:val="41"/>
          <w:sz w:val="20"/>
        </w:rPr>
        <w:t> </w:t>
      </w:r>
      <w:r>
        <w:rPr>
          <w:sz w:val="20"/>
        </w:rPr>
        <w:t>position,</w:t>
      </w:r>
    </w:p>
    <w:p>
      <w:pPr>
        <w:spacing w:after="0" w:line="240" w:lineRule="auto"/>
        <w:jc w:val="both"/>
        <w:rPr>
          <w:sz w:val="20"/>
        </w:rPr>
        <w:sectPr>
          <w:type w:val="continuous"/>
          <w:pgSz w:w="12240" w:h="15840"/>
          <w:pgMar w:top="1500" w:bottom="280" w:left="580" w:right="220"/>
          <w:cols w:num="2" w:equalWidth="0">
            <w:col w:w="5207" w:space="417"/>
            <w:col w:w="5816"/>
          </w:cols>
        </w:sectPr>
      </w:pPr>
    </w:p>
    <w:p>
      <w:pPr>
        <w:pStyle w:val="BodyText"/>
        <w:spacing w:before="4"/>
        <w:rPr>
          <w:sz w:val="11"/>
        </w:rPr>
      </w:pPr>
    </w:p>
    <w:p>
      <w:pPr>
        <w:spacing w:after="0"/>
        <w:rPr>
          <w:sz w:val="11"/>
        </w:rPr>
        <w:sectPr>
          <w:footerReference w:type="default" r:id="rId824"/>
          <w:pgSz w:w="12240" w:h="15840"/>
          <w:pgMar w:footer="784" w:header="545" w:top="1060" w:bottom="980" w:left="580" w:right="220"/>
        </w:sectPr>
      </w:pPr>
    </w:p>
    <w:p>
      <w:pPr>
        <w:pStyle w:val="BodyText"/>
        <w:spacing w:before="74"/>
        <w:ind w:left="270"/>
        <w:jc w:val="both"/>
      </w:pPr>
      <w:r>
        <w:rPr/>
        <w:t>determine the position of the back, arms and legs as well as the load being lifted.</w:t>
      </w:r>
    </w:p>
    <w:p>
      <w:pPr>
        <w:pStyle w:val="ListParagraph"/>
        <w:numPr>
          <w:ilvl w:val="0"/>
          <w:numId w:val="183"/>
        </w:numPr>
        <w:tabs>
          <w:tab w:pos="517" w:val="left" w:leader="none"/>
        </w:tabs>
        <w:spacing w:line="240" w:lineRule="auto" w:before="0" w:after="0"/>
        <w:ind w:left="270" w:right="1" w:firstLine="0"/>
        <w:jc w:val="both"/>
        <w:rPr>
          <w:sz w:val="20"/>
        </w:rPr>
      </w:pPr>
      <w:r>
        <w:rPr>
          <w:sz w:val="20"/>
        </w:rPr>
        <w:t>Encode the observed positions, assigning each position and load the values of the digits that make up its "code position"</w:t>
      </w:r>
      <w:r>
        <w:rPr>
          <w:spacing w:val="-12"/>
          <w:sz w:val="20"/>
        </w:rPr>
        <w:t> </w:t>
      </w:r>
      <w:r>
        <w:rPr>
          <w:sz w:val="20"/>
        </w:rPr>
        <w:t>identifier.</w:t>
      </w:r>
    </w:p>
    <w:p>
      <w:pPr>
        <w:pStyle w:val="ListParagraph"/>
        <w:numPr>
          <w:ilvl w:val="0"/>
          <w:numId w:val="183"/>
        </w:numPr>
        <w:tabs>
          <w:tab w:pos="487" w:val="left" w:leader="none"/>
        </w:tabs>
        <w:spacing w:line="240" w:lineRule="auto" w:before="0" w:after="0"/>
        <w:ind w:left="270" w:right="1" w:firstLine="0"/>
        <w:jc w:val="both"/>
        <w:rPr>
          <w:sz w:val="20"/>
        </w:rPr>
      </w:pPr>
      <w:r>
        <w:rPr>
          <w:sz w:val="20"/>
        </w:rPr>
        <w:t>Calculate for each "code position" risk category to which  it belongs, in order to identify those critical positions or higher level of risk to the</w:t>
      </w:r>
      <w:r>
        <w:rPr>
          <w:spacing w:val="-13"/>
          <w:sz w:val="20"/>
        </w:rPr>
        <w:t> </w:t>
      </w:r>
      <w:r>
        <w:rPr>
          <w:sz w:val="20"/>
        </w:rPr>
        <w:t>worker.</w:t>
      </w:r>
    </w:p>
    <w:p>
      <w:pPr>
        <w:pStyle w:val="ListParagraph"/>
        <w:numPr>
          <w:ilvl w:val="0"/>
          <w:numId w:val="183"/>
        </w:numPr>
        <w:tabs>
          <w:tab w:pos="583" w:val="left" w:leader="none"/>
        </w:tabs>
        <w:spacing w:line="240" w:lineRule="auto" w:before="0" w:after="0"/>
        <w:ind w:left="270" w:right="1" w:firstLine="0"/>
        <w:jc w:val="both"/>
        <w:rPr>
          <w:sz w:val="20"/>
        </w:rPr>
      </w:pPr>
      <w:r>
        <w:rPr>
          <w:sz w:val="20"/>
        </w:rPr>
        <w:t>Calculate the percentage of repetitions or relative frequency of each position of the back, arms and legs with respect to the other. Although no OWAS method to calculate the risk associated with the relative frequency of lifted loads, the calculation can orient themselves in the decision whether or not to perform an additional study of lifting</w:t>
      </w:r>
      <w:r>
        <w:rPr>
          <w:spacing w:val="-27"/>
          <w:sz w:val="20"/>
        </w:rPr>
        <w:t> </w:t>
      </w:r>
      <w:r>
        <w:rPr>
          <w:sz w:val="20"/>
        </w:rPr>
        <w:t>loads.</w:t>
      </w:r>
    </w:p>
    <w:p>
      <w:pPr>
        <w:pStyle w:val="ListParagraph"/>
        <w:numPr>
          <w:ilvl w:val="0"/>
          <w:numId w:val="183"/>
        </w:numPr>
        <w:tabs>
          <w:tab w:pos="504" w:val="left" w:leader="none"/>
        </w:tabs>
        <w:spacing w:line="240" w:lineRule="auto" w:before="0" w:after="0"/>
        <w:ind w:left="270" w:right="0" w:firstLine="0"/>
        <w:jc w:val="both"/>
        <w:rPr>
          <w:sz w:val="20"/>
        </w:rPr>
      </w:pPr>
      <w:r>
        <w:rPr>
          <w:sz w:val="20"/>
        </w:rPr>
        <w:t>Determine, depending on the relative frequency of each position, risk category to which each position of the various parts of the body (back, arms and legs) belongs, in order to identify those that exhibit activity more</w:t>
      </w:r>
      <w:r>
        <w:rPr>
          <w:spacing w:val="-26"/>
          <w:sz w:val="20"/>
        </w:rPr>
        <w:t> </w:t>
      </w:r>
      <w:r>
        <w:rPr>
          <w:sz w:val="20"/>
        </w:rPr>
        <w:t>critical.</w:t>
      </w:r>
    </w:p>
    <w:p>
      <w:pPr>
        <w:pStyle w:val="BodyText"/>
        <w:spacing w:before="11"/>
        <w:rPr>
          <w:sz w:val="19"/>
        </w:rPr>
      </w:pPr>
    </w:p>
    <w:p>
      <w:pPr>
        <w:pStyle w:val="BodyText"/>
        <w:ind w:left="270" w:right="1"/>
        <w:jc w:val="both"/>
      </w:pPr>
      <w:r>
        <w:rPr/>
        <w:t>THIRD: The method of application of the method is,  in short, as follows:</w:t>
      </w:r>
    </w:p>
    <w:p>
      <w:pPr>
        <w:pStyle w:val="ListParagraph"/>
        <w:numPr>
          <w:ilvl w:val="0"/>
          <w:numId w:val="184"/>
        </w:numPr>
        <w:tabs>
          <w:tab w:pos="493" w:val="left" w:leader="none"/>
        </w:tabs>
        <w:spacing w:line="240" w:lineRule="auto" w:before="0" w:after="0"/>
        <w:ind w:left="270" w:right="1" w:firstLine="0"/>
        <w:jc w:val="both"/>
        <w:rPr>
          <w:sz w:val="20"/>
        </w:rPr>
      </w:pPr>
      <w:r>
        <w:rPr>
          <w:sz w:val="20"/>
        </w:rPr>
        <w:t>Determine if the observation of the task must be divided into several phases or stages, in order to facilitate observation (Single or Multi-stage</w:t>
      </w:r>
      <w:r>
        <w:rPr>
          <w:spacing w:val="-26"/>
          <w:sz w:val="20"/>
        </w:rPr>
        <w:t> </w:t>
      </w:r>
      <w:r>
        <w:rPr>
          <w:sz w:val="20"/>
        </w:rPr>
        <w:t>evaluation).</w:t>
      </w:r>
    </w:p>
    <w:p>
      <w:pPr>
        <w:pStyle w:val="ListParagraph"/>
        <w:numPr>
          <w:ilvl w:val="0"/>
          <w:numId w:val="184"/>
        </w:numPr>
        <w:tabs>
          <w:tab w:pos="482" w:val="left" w:leader="none"/>
        </w:tabs>
        <w:spacing w:line="229" w:lineRule="exact" w:before="0" w:after="0"/>
        <w:ind w:left="482" w:right="0" w:hanging="212"/>
        <w:jc w:val="both"/>
        <w:rPr>
          <w:sz w:val="20"/>
        </w:rPr>
      </w:pPr>
      <w:r>
        <w:rPr>
          <w:sz w:val="20"/>
        </w:rPr>
        <w:t>Set the total observation time of the task (between 20 </w:t>
      </w:r>
      <w:r>
        <w:rPr>
          <w:spacing w:val="27"/>
          <w:sz w:val="20"/>
        </w:rPr>
        <w:t> </w:t>
      </w:r>
      <w:r>
        <w:rPr>
          <w:sz w:val="20"/>
        </w:rPr>
        <w:t>and</w:t>
      </w:r>
    </w:p>
    <w:p>
      <w:pPr>
        <w:pStyle w:val="BodyText"/>
        <w:tabs>
          <w:tab w:pos="4436" w:val="left" w:leader="none"/>
        </w:tabs>
        <w:ind w:left="270"/>
        <w:jc w:val="both"/>
      </w:pPr>
      <w:r>
        <w:rPr/>
        <w:t>40</w:t>
        <w:tab/>
      </w:r>
      <w:r>
        <w:rPr>
          <w:spacing w:val="-1"/>
        </w:rPr>
        <w:t>minutes).</w:t>
      </w:r>
    </w:p>
    <w:p>
      <w:pPr>
        <w:pStyle w:val="ListParagraph"/>
        <w:numPr>
          <w:ilvl w:val="0"/>
          <w:numId w:val="184"/>
        </w:numPr>
        <w:tabs>
          <w:tab w:pos="496" w:val="left" w:leader="none"/>
        </w:tabs>
        <w:spacing w:line="240" w:lineRule="auto" w:before="0" w:after="0"/>
        <w:ind w:left="270" w:right="1" w:firstLine="0"/>
        <w:jc w:val="both"/>
        <w:rPr>
          <w:sz w:val="20"/>
        </w:rPr>
      </w:pPr>
      <w:r>
        <w:rPr>
          <w:sz w:val="20"/>
        </w:rPr>
        <w:t>To determine the duration of the time intervals in which the observation is divided (the method proposed time intervals between 30 and 60</w:t>
      </w:r>
      <w:r>
        <w:rPr>
          <w:spacing w:val="-14"/>
          <w:sz w:val="20"/>
        </w:rPr>
        <w:t> </w:t>
      </w:r>
      <w:r>
        <w:rPr>
          <w:sz w:val="20"/>
        </w:rPr>
        <w:t>seconds.)</w:t>
      </w:r>
    </w:p>
    <w:p>
      <w:pPr>
        <w:pStyle w:val="ListParagraph"/>
        <w:numPr>
          <w:ilvl w:val="0"/>
          <w:numId w:val="184"/>
        </w:numPr>
        <w:tabs>
          <w:tab w:pos="496" w:val="left" w:leader="none"/>
        </w:tabs>
        <w:spacing w:line="240" w:lineRule="auto" w:before="0" w:after="0"/>
        <w:ind w:left="270" w:right="1" w:firstLine="0"/>
        <w:jc w:val="both"/>
        <w:rPr>
          <w:sz w:val="20"/>
        </w:rPr>
      </w:pPr>
      <w:r>
        <w:rPr>
          <w:sz w:val="20"/>
        </w:rPr>
        <w:t>Identify, during the observation of the task or phase, the different positions taken by the</w:t>
      </w:r>
      <w:r>
        <w:rPr>
          <w:spacing w:val="-17"/>
          <w:sz w:val="20"/>
        </w:rPr>
        <w:t> </w:t>
      </w:r>
      <w:r>
        <w:rPr>
          <w:sz w:val="20"/>
        </w:rPr>
        <w:t>worker.</w:t>
      </w:r>
    </w:p>
    <w:p>
      <w:pPr>
        <w:pStyle w:val="BodyText"/>
        <w:ind w:left="270" w:right="1"/>
        <w:jc w:val="both"/>
      </w:pPr>
      <w:r>
        <w:rPr/>
        <w:t>For each position, determine the position of the back, arms and     legs     as     well     as     the     load     being       lifted.</w:t>
      </w:r>
    </w:p>
    <w:p>
      <w:pPr>
        <w:pStyle w:val="ListParagraph"/>
        <w:numPr>
          <w:ilvl w:val="0"/>
          <w:numId w:val="184"/>
        </w:numPr>
        <w:tabs>
          <w:tab w:pos="517" w:val="left" w:leader="none"/>
        </w:tabs>
        <w:spacing w:line="240" w:lineRule="auto" w:before="0" w:after="0"/>
        <w:ind w:left="270" w:right="1" w:firstLine="0"/>
        <w:jc w:val="both"/>
        <w:rPr>
          <w:sz w:val="20"/>
        </w:rPr>
      </w:pPr>
      <w:r>
        <w:rPr>
          <w:sz w:val="20"/>
        </w:rPr>
        <w:t>Encode the observed positions, assigning each position and load the values of the digits that make up its "code position"</w:t>
      </w:r>
      <w:r>
        <w:rPr>
          <w:spacing w:val="-12"/>
          <w:sz w:val="20"/>
        </w:rPr>
        <w:t> </w:t>
      </w:r>
      <w:r>
        <w:rPr>
          <w:sz w:val="20"/>
        </w:rPr>
        <w:t>identifier.</w:t>
      </w:r>
    </w:p>
    <w:p>
      <w:pPr>
        <w:pStyle w:val="ListParagraph"/>
        <w:numPr>
          <w:ilvl w:val="0"/>
          <w:numId w:val="184"/>
        </w:numPr>
        <w:tabs>
          <w:tab w:pos="487" w:val="left" w:leader="none"/>
        </w:tabs>
        <w:spacing w:line="240" w:lineRule="auto" w:before="0" w:after="0"/>
        <w:ind w:left="270" w:right="1" w:firstLine="0"/>
        <w:jc w:val="both"/>
        <w:rPr>
          <w:sz w:val="20"/>
        </w:rPr>
      </w:pPr>
      <w:r>
        <w:rPr>
          <w:sz w:val="20"/>
        </w:rPr>
        <w:t>Calculate for each "code position" risk category to which  it belongs, in order to identify those critical positions or higher level of risk to the</w:t>
      </w:r>
      <w:r>
        <w:rPr>
          <w:spacing w:val="-13"/>
          <w:sz w:val="20"/>
        </w:rPr>
        <w:t> </w:t>
      </w:r>
      <w:r>
        <w:rPr>
          <w:sz w:val="20"/>
        </w:rPr>
        <w:t>worker.</w:t>
      </w:r>
    </w:p>
    <w:p>
      <w:pPr>
        <w:pStyle w:val="BodyText"/>
        <w:tabs>
          <w:tab w:pos="4413" w:val="left" w:leader="none"/>
        </w:tabs>
        <w:ind w:left="270"/>
        <w:jc w:val="both"/>
      </w:pPr>
      <w:r>
        <w:rPr/>
        <w:t>The calculation of the percentage of positions listed in each risk category, it may be useful for the determination of these critical</w:t>
        <w:tab/>
        <w:t>positions.</w:t>
      </w:r>
    </w:p>
    <w:p>
      <w:pPr>
        <w:pStyle w:val="ListParagraph"/>
        <w:numPr>
          <w:ilvl w:val="0"/>
          <w:numId w:val="184"/>
        </w:numPr>
        <w:tabs>
          <w:tab w:pos="583" w:val="left" w:leader="none"/>
        </w:tabs>
        <w:spacing w:line="240" w:lineRule="auto" w:before="0" w:after="0"/>
        <w:ind w:left="270" w:right="1" w:firstLine="0"/>
        <w:jc w:val="both"/>
        <w:rPr>
          <w:sz w:val="20"/>
        </w:rPr>
      </w:pPr>
      <w:r>
        <w:rPr>
          <w:sz w:val="20"/>
        </w:rPr>
        <w:t>Calculate the percentage of repetitions or relative frequency of each position of the back, arms and legs with respect to the</w:t>
      </w:r>
      <w:r>
        <w:rPr>
          <w:spacing w:val="-14"/>
          <w:sz w:val="20"/>
        </w:rPr>
        <w:t> </w:t>
      </w:r>
      <w:r>
        <w:rPr>
          <w:sz w:val="20"/>
        </w:rPr>
        <w:t>other.</w:t>
      </w:r>
    </w:p>
    <w:p>
      <w:pPr>
        <w:pStyle w:val="BodyText"/>
        <w:ind w:left="270"/>
        <w:jc w:val="both"/>
      </w:pPr>
      <w:r>
        <w:rPr/>
        <w:pict>
          <v:group style="position:absolute;margin-left:39.540001pt;margin-top:9.938504pt;width:556.4pt;height:150.8pt;mso-position-horizontal-relative:page;mso-position-vertical-relative:paragraph;z-index:-858280" coordorigin="791,199" coordsize="11128,3016">
            <v:line style="position:absolute" from="821,3138" to="11888,3138" stroked="true" strokeweight="3pt" strokecolor="#602321"/>
            <v:line style="position:absolute" from="821,3189" to="11888,3189" stroked="true" strokeweight=".72pt" strokecolor="#602321"/>
            <v:shape style="position:absolute;left:6746;top:199;width:4288;height:3016" type="#_x0000_t75" stroked="false">
              <v:imagedata r:id="rId825" o:title=""/>
            </v:shape>
            <w10:wrap type="none"/>
          </v:group>
        </w:pict>
      </w:r>
      <w:r>
        <w:rPr/>
        <w:t>(Note: OWAS method does not allow calculating the risk associated with the relative frequency of lifted loads, however, the calculation can guide the evaluator on the need for          further          study          of          lifting          loads).</w:t>
      </w:r>
    </w:p>
    <w:p>
      <w:pPr>
        <w:pStyle w:val="ListParagraph"/>
        <w:numPr>
          <w:ilvl w:val="0"/>
          <w:numId w:val="184"/>
        </w:numPr>
        <w:tabs>
          <w:tab w:pos="504" w:val="left" w:leader="none"/>
        </w:tabs>
        <w:spacing w:line="240" w:lineRule="auto" w:before="0" w:after="0"/>
        <w:ind w:left="270" w:right="0" w:firstLine="0"/>
        <w:jc w:val="both"/>
        <w:rPr>
          <w:sz w:val="20"/>
        </w:rPr>
      </w:pPr>
      <w:r>
        <w:rPr>
          <w:sz w:val="20"/>
        </w:rPr>
        <w:t>Determine, depending on the relative frequency of each position, risk category to which each position of the various parts of the body (back, arms and legs) belongs, in order to identify        those        that        activity        more     </w:t>
      </w:r>
      <w:r>
        <w:rPr>
          <w:spacing w:val="29"/>
          <w:sz w:val="20"/>
        </w:rPr>
        <w:t> </w:t>
      </w:r>
      <w:r>
        <w:rPr>
          <w:sz w:val="20"/>
        </w:rPr>
        <w:t>critical.</w:t>
      </w:r>
    </w:p>
    <w:p>
      <w:pPr>
        <w:pStyle w:val="ListParagraph"/>
        <w:numPr>
          <w:ilvl w:val="0"/>
          <w:numId w:val="184"/>
        </w:numPr>
        <w:tabs>
          <w:tab w:pos="548" w:val="left" w:leader="none"/>
        </w:tabs>
        <w:spacing w:line="240" w:lineRule="auto" w:before="0" w:after="0"/>
        <w:ind w:left="270" w:right="1" w:firstLine="0"/>
        <w:jc w:val="both"/>
        <w:rPr>
          <w:sz w:val="20"/>
        </w:rPr>
      </w:pPr>
      <w:r>
        <w:rPr>
          <w:sz w:val="20"/>
        </w:rPr>
        <w:t>Determine, based on calculated risks, and corrective actions required</w:t>
      </w:r>
      <w:r>
        <w:rPr>
          <w:spacing w:val="-8"/>
          <w:sz w:val="20"/>
        </w:rPr>
        <w:t> </w:t>
      </w:r>
      <w:r>
        <w:rPr>
          <w:sz w:val="20"/>
        </w:rPr>
        <w:t>redesign.</w:t>
      </w:r>
    </w:p>
    <w:p>
      <w:pPr>
        <w:pStyle w:val="ListParagraph"/>
        <w:numPr>
          <w:ilvl w:val="0"/>
          <w:numId w:val="184"/>
        </w:numPr>
        <w:tabs>
          <w:tab w:pos="613" w:val="left" w:leader="none"/>
        </w:tabs>
        <w:spacing w:line="240" w:lineRule="auto" w:before="0" w:after="0"/>
        <w:ind w:left="270" w:right="0" w:firstLine="0"/>
        <w:jc w:val="both"/>
        <w:rPr>
          <w:sz w:val="20"/>
        </w:rPr>
      </w:pPr>
      <w:r>
        <w:rPr>
          <w:sz w:val="20"/>
        </w:rPr>
        <w:t>If you have made changes, reassess the task with the OWAS method to check the effectiveness of the improvement.</w:t>
      </w:r>
    </w:p>
    <w:p>
      <w:pPr>
        <w:pStyle w:val="BodyText"/>
      </w:pPr>
      <w:r>
        <w:rPr/>
        <w:br w:type="column"/>
      </w:r>
      <w:r>
        <w:rPr/>
      </w:r>
    </w:p>
    <w:p>
      <w:pPr>
        <w:pStyle w:val="BodyText"/>
      </w:pPr>
    </w:p>
    <w:p>
      <w:pPr>
        <w:pStyle w:val="BodyText"/>
        <w:spacing w:before="8"/>
        <w:rPr>
          <w:sz w:val="26"/>
        </w:rPr>
      </w:pPr>
    </w:p>
    <w:p>
      <w:pPr>
        <w:pStyle w:val="Heading4"/>
        <w:numPr>
          <w:ilvl w:val="0"/>
          <w:numId w:val="185"/>
        </w:numPr>
        <w:tabs>
          <w:tab w:pos="472" w:val="left" w:leader="none"/>
        </w:tabs>
        <w:spacing w:line="240" w:lineRule="auto" w:before="0" w:after="0"/>
        <w:ind w:left="471" w:right="0" w:hanging="201"/>
        <w:jc w:val="both"/>
      </w:pPr>
      <w:r>
        <w:rPr/>
        <w:t>RESULTS</w:t>
      </w:r>
    </w:p>
    <w:p>
      <w:pPr>
        <w:pStyle w:val="BodyText"/>
        <w:spacing w:before="8"/>
        <w:rPr>
          <w:b/>
          <w:sz w:val="19"/>
        </w:rPr>
      </w:pPr>
    </w:p>
    <w:p>
      <w:pPr>
        <w:pStyle w:val="BodyText"/>
        <w:ind w:left="270" w:right="675"/>
        <w:jc w:val="both"/>
      </w:pPr>
      <w:r>
        <w:rPr/>
        <w:t>It finds HIGH risk of injury mainly lumbar and cervical  area. Also some body parts remain static for more than 30 seconds. Short repetitions of a task, some more than five times per minute. Tasks that generate rapid postural changes are implemented and to postural instability. In relation to the design of the workplace is that the height of the table and chair are not</w:t>
      </w:r>
      <w:r>
        <w:rPr>
          <w:spacing w:val="-2"/>
        </w:rPr>
        <w:t> </w:t>
      </w:r>
      <w:r>
        <w:rPr/>
        <w:t>suitable.</w:t>
      </w:r>
    </w:p>
    <w:p>
      <w:pPr>
        <w:pStyle w:val="BodyText"/>
        <w:ind w:left="270" w:right="675"/>
        <w:jc w:val="both"/>
      </w:pPr>
      <w:r>
        <w:rPr/>
        <w:t>The cabin experimental data sheds us the physical environment to be taken into account to make immediate changes, for example, the lighting is poor and the temperature increases cardiac stress on the worker.</w:t>
      </w:r>
    </w:p>
    <w:p>
      <w:pPr>
        <w:pStyle w:val="BodyText"/>
      </w:pPr>
    </w:p>
    <w:p>
      <w:pPr>
        <w:pStyle w:val="BodyText"/>
        <w:spacing w:before="9"/>
        <w:rPr>
          <w:sz w:val="19"/>
        </w:rPr>
      </w:pPr>
    </w:p>
    <w:p>
      <w:pPr>
        <w:spacing w:before="1"/>
        <w:ind w:left="474" w:right="830" w:firstLine="0"/>
        <w:jc w:val="center"/>
        <w:rPr>
          <w:sz w:val="18"/>
        </w:rPr>
      </w:pPr>
      <w:r>
        <w:rPr>
          <w:sz w:val="18"/>
        </w:rPr>
        <w:t>Image 1. It is observed the test subject performing an armed LEGO pieces in the wrong position.</w:t>
      </w:r>
    </w:p>
    <w:p>
      <w:pPr>
        <w:pStyle w:val="BodyText"/>
        <w:spacing w:before="8"/>
        <w:rPr>
          <w:sz w:val="3"/>
        </w:rPr>
      </w:pPr>
    </w:p>
    <w:p>
      <w:pPr>
        <w:pStyle w:val="BodyText"/>
        <w:ind w:left="1400"/>
      </w:pPr>
      <w:r>
        <w:rPr/>
        <w:drawing>
          <wp:inline distT="0" distB="0" distL="0" distR="0">
            <wp:extent cx="1672949" cy="3217735"/>
            <wp:effectExtent l="0" t="0" r="0" b="0"/>
            <wp:docPr id="907" name="image524.jpeg" descr=""/>
            <wp:cNvGraphicFramePr>
              <a:graphicFrameLocks noChangeAspect="1"/>
            </wp:cNvGraphicFramePr>
            <a:graphic>
              <a:graphicData uri="http://schemas.openxmlformats.org/drawingml/2006/picture">
                <pic:pic>
                  <pic:nvPicPr>
                    <pic:cNvPr id="908" name="image524.jpeg"/>
                    <pic:cNvPicPr/>
                  </pic:nvPicPr>
                  <pic:blipFill>
                    <a:blip r:embed="rId826" cstate="print"/>
                    <a:stretch>
                      <a:fillRect/>
                    </a:stretch>
                  </pic:blipFill>
                  <pic:spPr>
                    <a:xfrm>
                      <a:off x="0" y="0"/>
                      <a:ext cx="1672949" cy="3217735"/>
                    </a:xfrm>
                    <a:prstGeom prst="rect">
                      <a:avLst/>
                    </a:prstGeom>
                  </pic:spPr>
                </pic:pic>
              </a:graphicData>
            </a:graphic>
          </wp:inline>
        </w:drawing>
      </w:r>
      <w:r>
        <w:rPr/>
      </w:r>
    </w:p>
    <w:p>
      <w:pPr>
        <w:spacing w:before="13"/>
        <w:ind w:left="293" w:right="701" w:firstLine="0"/>
        <w:jc w:val="center"/>
        <w:rPr>
          <w:sz w:val="18"/>
        </w:rPr>
      </w:pPr>
      <w:r>
        <w:rPr>
          <w:sz w:val="18"/>
        </w:rPr>
        <w:t>Source: Prepared</w:t>
      </w:r>
    </w:p>
    <w:p>
      <w:pPr>
        <w:pStyle w:val="BodyText"/>
        <w:rPr>
          <w:sz w:val="18"/>
        </w:rPr>
      </w:pPr>
    </w:p>
    <w:p>
      <w:pPr>
        <w:pStyle w:val="BodyText"/>
        <w:spacing w:before="7"/>
        <w:rPr>
          <w:sz w:val="18"/>
        </w:rPr>
      </w:pPr>
    </w:p>
    <w:p>
      <w:pPr>
        <w:pStyle w:val="BodyText"/>
        <w:ind w:left="294" w:right="701"/>
        <w:jc w:val="center"/>
      </w:pPr>
      <w:r>
        <w:rPr/>
        <w:t>Figure 1. Data evaluator and test subject.</w:t>
      </w:r>
    </w:p>
    <w:p>
      <w:pPr>
        <w:spacing w:after="0"/>
        <w:jc w:val="center"/>
        <w:sectPr>
          <w:type w:val="continuous"/>
          <w:pgSz w:w="12240" w:h="15840"/>
          <w:pgMar w:top="1500" w:bottom="280" w:left="580" w:right="220"/>
          <w:cols w:num="2" w:equalWidth="0">
            <w:col w:w="5189" w:space="435"/>
            <w:col w:w="5816"/>
          </w:cols>
        </w:sectPr>
      </w:pPr>
    </w:p>
    <w:p>
      <w:pPr>
        <w:pStyle w:val="BodyText"/>
        <w:rPr>
          <w:sz w:val="11"/>
        </w:rPr>
      </w:pPr>
    </w:p>
    <w:p>
      <w:pPr>
        <w:spacing w:after="0"/>
        <w:rPr>
          <w:sz w:val="11"/>
        </w:rPr>
        <w:sectPr>
          <w:footerReference w:type="default" r:id="rId827"/>
          <w:pgSz w:w="12240" w:h="15840"/>
          <w:pgMar w:footer="216" w:header="545" w:top="1060" w:bottom="400" w:left="580" w:right="220"/>
          <w:pgNumType w:start="330"/>
        </w:sectPr>
      </w:pPr>
    </w:p>
    <w:p>
      <w:pPr>
        <w:spacing w:before="77"/>
        <w:ind w:left="970" w:right="747" w:firstLine="0"/>
        <w:jc w:val="center"/>
        <w:rPr>
          <w:sz w:val="18"/>
        </w:rPr>
      </w:pPr>
      <w:r>
        <w:rPr/>
        <w:pict>
          <v:shape style="position:absolute;margin-left:42.540001pt;margin-top:576.719971pt;width:250.7pt;height:191.5pt;mso-position-horizontal-relative:page;mso-position-vertical-relative:page;z-index:-858256" type="#_x0000_t202" filled="false" stroked="false">
            <v:textbox inset="0,0,0,0">
              <w:txbxContent>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10"/>
                    <w:rPr>
                      <w:sz w:val="16"/>
                    </w:rPr>
                  </w:pPr>
                </w:p>
                <w:p>
                  <w:pPr>
                    <w:spacing w:before="0"/>
                    <w:ind w:left="0" w:right="0" w:firstLine="0"/>
                    <w:jc w:val="left"/>
                    <w:rPr>
                      <w:sz w:val="18"/>
                    </w:rPr>
                  </w:pPr>
                  <w:r>
                    <w:rPr>
                      <w:sz w:val="18"/>
                    </w:rPr>
                    <w:t>SOCIEDAD DE ERGONOMISTAS DE MEXICO, A.C.</w:t>
                  </w:r>
                </w:p>
              </w:txbxContent>
            </v:textbox>
            <w10:wrap type="none"/>
          </v:shape>
        </w:pict>
      </w:r>
      <w:r>
        <w:rPr>
          <w:sz w:val="18"/>
        </w:rPr>
        <w:t>Source: Software OWAS, prepared.</w:t>
      </w:r>
    </w:p>
    <w:p>
      <w:pPr>
        <w:pStyle w:val="BodyText"/>
        <w:rPr>
          <w:sz w:val="18"/>
        </w:rPr>
      </w:pPr>
    </w:p>
    <w:p>
      <w:pPr>
        <w:pStyle w:val="BodyText"/>
        <w:rPr>
          <w:sz w:val="18"/>
        </w:rPr>
      </w:pPr>
    </w:p>
    <w:p>
      <w:pPr>
        <w:pStyle w:val="BodyText"/>
        <w:spacing w:before="11"/>
        <w:rPr>
          <w:sz w:val="21"/>
        </w:rPr>
      </w:pPr>
    </w:p>
    <w:p>
      <w:pPr>
        <w:spacing w:before="0"/>
        <w:ind w:left="970" w:right="747" w:firstLine="0"/>
        <w:jc w:val="center"/>
        <w:rPr>
          <w:sz w:val="18"/>
        </w:rPr>
      </w:pPr>
      <w:r>
        <w:rPr>
          <w:sz w:val="18"/>
        </w:rPr>
        <w:t>Figure 2. Selection phase.</w:t>
      </w:r>
    </w:p>
    <w:p>
      <w:pPr>
        <w:pStyle w:val="BodyText"/>
        <w:ind w:left="350"/>
      </w:pPr>
      <w:r>
        <w:rPr/>
        <w:drawing>
          <wp:inline distT="0" distB="0" distL="0" distR="0">
            <wp:extent cx="3049188" cy="1570863"/>
            <wp:effectExtent l="0" t="0" r="0" b="0"/>
            <wp:docPr id="909" name="image525.jpeg" descr=""/>
            <wp:cNvGraphicFramePr>
              <a:graphicFrameLocks noChangeAspect="1"/>
            </wp:cNvGraphicFramePr>
            <a:graphic>
              <a:graphicData uri="http://schemas.openxmlformats.org/drawingml/2006/picture">
                <pic:pic>
                  <pic:nvPicPr>
                    <pic:cNvPr id="910" name="image525.jpeg"/>
                    <pic:cNvPicPr/>
                  </pic:nvPicPr>
                  <pic:blipFill>
                    <a:blip r:embed="rId828" cstate="print"/>
                    <a:stretch>
                      <a:fillRect/>
                    </a:stretch>
                  </pic:blipFill>
                  <pic:spPr>
                    <a:xfrm>
                      <a:off x="0" y="0"/>
                      <a:ext cx="3049188" cy="1570863"/>
                    </a:xfrm>
                    <a:prstGeom prst="rect">
                      <a:avLst/>
                    </a:prstGeom>
                  </pic:spPr>
                </pic:pic>
              </a:graphicData>
            </a:graphic>
          </wp:inline>
        </w:drawing>
      </w:r>
      <w:r>
        <w:rPr/>
      </w:r>
    </w:p>
    <w:p>
      <w:pPr>
        <w:spacing w:before="15"/>
        <w:ind w:left="970" w:right="747" w:firstLine="0"/>
        <w:jc w:val="center"/>
        <w:rPr>
          <w:sz w:val="18"/>
        </w:rPr>
      </w:pPr>
      <w:r>
        <w:rPr>
          <w:sz w:val="18"/>
        </w:rPr>
        <w:t>Source: Software OWAS, prepared.</w:t>
      </w:r>
    </w:p>
    <w:p>
      <w:pPr>
        <w:pStyle w:val="BodyText"/>
        <w:spacing w:before="11"/>
        <w:rPr>
          <w:sz w:val="19"/>
        </w:rPr>
      </w:pPr>
    </w:p>
    <w:p>
      <w:pPr>
        <w:spacing w:before="0"/>
        <w:ind w:left="970" w:right="748" w:firstLine="0"/>
        <w:jc w:val="center"/>
        <w:rPr>
          <w:sz w:val="18"/>
        </w:rPr>
      </w:pPr>
      <w:r>
        <w:rPr/>
        <w:drawing>
          <wp:anchor distT="0" distB="0" distL="0" distR="0" allowOverlap="1" layoutInCell="1" locked="0" behindDoc="0" simplePos="0" relativeHeight="20680">
            <wp:simplePos x="0" y="0"/>
            <wp:positionH relativeFrom="page">
              <wp:posOffset>571500</wp:posOffset>
            </wp:positionH>
            <wp:positionV relativeFrom="paragraph">
              <wp:posOffset>162336</wp:posOffset>
            </wp:positionV>
            <wp:extent cx="3120390" cy="3401567"/>
            <wp:effectExtent l="0" t="0" r="0" b="0"/>
            <wp:wrapNone/>
            <wp:docPr id="911" name="image526.jpeg" descr=""/>
            <wp:cNvGraphicFramePr>
              <a:graphicFrameLocks noChangeAspect="1"/>
            </wp:cNvGraphicFramePr>
            <a:graphic>
              <a:graphicData uri="http://schemas.openxmlformats.org/drawingml/2006/picture">
                <pic:pic>
                  <pic:nvPicPr>
                    <pic:cNvPr id="912" name="image526.jpeg"/>
                    <pic:cNvPicPr/>
                  </pic:nvPicPr>
                  <pic:blipFill>
                    <a:blip r:embed="rId829" cstate="print"/>
                    <a:stretch>
                      <a:fillRect/>
                    </a:stretch>
                  </pic:blipFill>
                  <pic:spPr>
                    <a:xfrm>
                      <a:off x="0" y="0"/>
                      <a:ext cx="3120390" cy="3401567"/>
                    </a:xfrm>
                    <a:prstGeom prst="rect">
                      <a:avLst/>
                    </a:prstGeom>
                  </pic:spPr>
                </pic:pic>
              </a:graphicData>
            </a:graphic>
          </wp:anchor>
        </w:drawing>
      </w:r>
      <w:r>
        <w:rPr>
          <w:sz w:val="18"/>
        </w:rPr>
        <w:t>Figure 3. Registration postures and level of risk.</w:t>
      </w:r>
    </w:p>
    <w:p>
      <w:pPr>
        <w:spacing w:line="207" w:lineRule="exact" w:before="77"/>
        <w:ind w:left="1196" w:right="1560" w:firstLine="0"/>
        <w:jc w:val="center"/>
        <w:rPr>
          <w:sz w:val="18"/>
        </w:rPr>
      </w:pPr>
      <w:r>
        <w:rPr/>
        <w:br w:type="column"/>
      </w:r>
      <w:r>
        <w:rPr>
          <w:sz w:val="18"/>
        </w:rPr>
        <w:t>Source: Software OWAS, prepared.</w:t>
      </w:r>
    </w:p>
    <w:p>
      <w:pPr>
        <w:spacing w:line="207" w:lineRule="exact" w:before="0"/>
        <w:ind w:left="1196" w:right="1561" w:firstLine="0"/>
        <w:jc w:val="center"/>
        <w:rPr>
          <w:sz w:val="18"/>
        </w:rPr>
      </w:pPr>
      <w:r>
        <w:rPr>
          <w:sz w:val="18"/>
        </w:rPr>
        <w:t>Figure 5. List of codes introduced posture.</w:t>
      </w:r>
    </w:p>
    <w:p>
      <w:pPr>
        <w:pStyle w:val="BodyText"/>
        <w:spacing w:before="3"/>
        <w:rPr>
          <w:sz w:val="3"/>
        </w:rPr>
      </w:pPr>
    </w:p>
    <w:p>
      <w:pPr>
        <w:pStyle w:val="BodyText"/>
        <w:ind w:left="320"/>
      </w:pPr>
      <w:r>
        <w:rPr/>
        <w:drawing>
          <wp:inline distT="0" distB="0" distL="0" distR="0">
            <wp:extent cx="3169081" cy="3017520"/>
            <wp:effectExtent l="0" t="0" r="0" b="0"/>
            <wp:docPr id="913" name="image527.jpeg" descr=""/>
            <wp:cNvGraphicFramePr>
              <a:graphicFrameLocks noChangeAspect="1"/>
            </wp:cNvGraphicFramePr>
            <a:graphic>
              <a:graphicData uri="http://schemas.openxmlformats.org/drawingml/2006/picture">
                <pic:pic>
                  <pic:nvPicPr>
                    <pic:cNvPr id="914" name="image527.jpeg"/>
                    <pic:cNvPicPr/>
                  </pic:nvPicPr>
                  <pic:blipFill>
                    <a:blip r:embed="rId830" cstate="print"/>
                    <a:stretch>
                      <a:fillRect/>
                    </a:stretch>
                  </pic:blipFill>
                  <pic:spPr>
                    <a:xfrm>
                      <a:off x="0" y="0"/>
                      <a:ext cx="3169081" cy="3017520"/>
                    </a:xfrm>
                    <a:prstGeom prst="rect">
                      <a:avLst/>
                    </a:prstGeom>
                  </pic:spPr>
                </pic:pic>
              </a:graphicData>
            </a:graphic>
          </wp:inline>
        </w:drawing>
      </w:r>
      <w:r>
        <w:rPr/>
      </w:r>
    </w:p>
    <w:p>
      <w:pPr>
        <w:spacing w:line="720" w:lineRule="auto" w:before="0"/>
        <w:ind w:left="1448" w:right="1813" w:firstLine="1"/>
        <w:jc w:val="center"/>
        <w:rPr>
          <w:sz w:val="18"/>
        </w:rPr>
      </w:pPr>
      <w:r>
        <w:rPr/>
        <w:pict>
          <v:group style="position:absolute;margin-left:39.540001pt;margin-top:43.922333pt;width:556.4pt;height:400.7pt;mso-position-horizontal-relative:page;mso-position-vertical-relative:paragraph;z-index:-858160" coordorigin="791,878" coordsize="11128,8014">
            <v:line style="position:absolute" from="821,8286" to="11888,8286" stroked="true" strokeweight="3pt" strokecolor="#602321"/>
            <v:line style="position:absolute" from="821,8338" to="11888,8338" stroked="true" strokeweight=".72pt" strokecolor="#602321"/>
            <v:shape style="position:absolute;left:857;top:5063;width:5008;height:3829" type="#_x0000_t75" stroked="false">
              <v:imagedata r:id="rId831" o:title=""/>
            </v:shape>
            <v:shape style="position:absolute;left:6497;top:878;width:4993;height:5846" type="#_x0000_t75" stroked="false">
              <v:imagedata r:id="rId832" o:title=""/>
            </v:shape>
            <v:shape style="position:absolute;left:2016;top:4436;width:2586;height:594" type="#_x0000_t202" filled="false" stroked="false">
              <v:textbox inset="0,0,0,0">
                <w:txbxContent>
                  <w:p>
                    <w:pPr>
                      <w:spacing w:line="184" w:lineRule="exact" w:before="0"/>
                      <w:ind w:left="0" w:right="0" w:firstLine="0"/>
                      <w:jc w:val="center"/>
                      <w:rPr>
                        <w:sz w:val="18"/>
                      </w:rPr>
                    </w:pPr>
                    <w:r>
                      <w:rPr>
                        <w:sz w:val="18"/>
                      </w:rPr>
                      <w:t>Source: Software OWAS, prepared.</w:t>
                    </w:r>
                  </w:p>
                  <w:p>
                    <w:pPr>
                      <w:spacing w:line="240" w:lineRule="auto" w:before="0"/>
                      <w:rPr>
                        <w:sz w:val="18"/>
                      </w:rPr>
                    </w:pPr>
                  </w:p>
                  <w:p>
                    <w:pPr>
                      <w:spacing w:line="203" w:lineRule="exact" w:before="0"/>
                      <w:ind w:left="0" w:right="0" w:firstLine="0"/>
                      <w:jc w:val="center"/>
                      <w:rPr>
                        <w:sz w:val="18"/>
                      </w:rPr>
                    </w:pPr>
                    <w:r>
                      <w:rPr>
                        <w:sz w:val="18"/>
                      </w:rPr>
                      <w:t>Figure 4. Risk classification.</w:t>
                    </w:r>
                  </w:p>
                </w:txbxContent>
              </v:textbox>
              <w10:wrap type="none"/>
            </v:shape>
            <v:shape style="position:absolute;left:7615;top:6743;width:2586;height:180" type="#_x0000_t202" filled="false" stroked="false">
              <v:textbox inset="0,0,0,0">
                <w:txbxContent>
                  <w:p>
                    <w:pPr>
                      <w:spacing w:line="180" w:lineRule="exact" w:before="0"/>
                      <w:ind w:left="0" w:right="-19" w:firstLine="0"/>
                      <w:jc w:val="left"/>
                      <w:rPr>
                        <w:sz w:val="18"/>
                      </w:rPr>
                    </w:pPr>
                    <w:r>
                      <w:rPr>
                        <w:sz w:val="18"/>
                      </w:rPr>
                      <w:t>Source: Software OWAS, prepared.</w:t>
                    </w:r>
                  </w:p>
                </w:txbxContent>
              </v:textbox>
              <w10:wrap type="none"/>
            </v:shape>
            <v:shape style="position:absolute;left:6475;top:7368;width:4866;height:660" type="#_x0000_t202" filled="false" stroked="false">
              <v:textbox inset="0,0,0,0">
                <w:txbxContent>
                  <w:p>
                    <w:pPr>
                      <w:spacing w:line="205" w:lineRule="exact" w:before="0"/>
                      <w:ind w:left="0" w:right="0" w:firstLine="0"/>
                      <w:jc w:val="left"/>
                      <w:rPr>
                        <w:sz w:val="20"/>
                      </w:rPr>
                    </w:pPr>
                    <w:r>
                      <w:rPr>
                        <w:sz w:val="20"/>
                      </w:rPr>
                      <w:t>To  set  the  value  of  the  digit  that  represents  it  must  be</w:t>
                    </w:r>
                  </w:p>
                  <w:p>
                    <w:pPr>
                      <w:spacing w:before="0"/>
                      <w:ind w:left="0" w:right="0" w:firstLine="0"/>
                      <w:jc w:val="left"/>
                      <w:rPr>
                        <w:sz w:val="20"/>
                      </w:rPr>
                    </w:pPr>
                    <w:r>
                      <w:rPr>
                        <w:sz w:val="20"/>
                      </w:rPr>
                      <w:t>determined whether the position taken by the sword is right, bend, twist or bend with Rotate.</w:t>
                    </w:r>
                  </w:p>
                </w:txbxContent>
              </v:textbox>
              <w10:wrap type="none"/>
            </v:shape>
            <w10:wrap type="none"/>
          </v:group>
        </w:pict>
      </w:r>
      <w:r>
        <w:rPr>
          <w:sz w:val="18"/>
        </w:rPr>
        <w:t>Source: Software OWAS, prepared. Figure 6: Graphics frequency: back.</w:t>
      </w:r>
    </w:p>
    <w:p>
      <w:pPr>
        <w:spacing w:after="0" w:line="720" w:lineRule="auto"/>
        <w:jc w:val="center"/>
        <w:rPr>
          <w:sz w:val="18"/>
        </w:rPr>
        <w:sectPr>
          <w:type w:val="continuous"/>
          <w:pgSz w:w="12240" w:h="15840"/>
          <w:pgMar w:top="1500" w:bottom="280" w:left="580" w:right="220"/>
          <w:cols w:num="2" w:equalWidth="0">
            <w:col w:w="5234" w:space="348"/>
            <w:col w:w="5858"/>
          </w:cols>
        </w:sectPr>
      </w:pPr>
    </w:p>
    <w:p>
      <w:pPr>
        <w:pStyle w:val="BodyText"/>
        <w:rPr>
          <w:sz w:val="11"/>
        </w:rPr>
      </w:pPr>
    </w:p>
    <w:p>
      <w:pPr>
        <w:spacing w:after="0"/>
        <w:rPr>
          <w:sz w:val="11"/>
        </w:rPr>
        <w:sectPr>
          <w:footerReference w:type="default" r:id="rId833"/>
          <w:pgSz w:w="12240" w:h="15840"/>
          <w:pgMar w:footer="852" w:header="545" w:top="1060" w:bottom="1040" w:left="580" w:right="220"/>
          <w:pgNumType w:start="331"/>
        </w:sectPr>
      </w:pPr>
    </w:p>
    <w:p>
      <w:pPr>
        <w:pStyle w:val="BodyText"/>
        <w:spacing w:before="78"/>
        <w:ind w:left="270" w:right="1"/>
        <w:jc w:val="both"/>
      </w:pPr>
      <w:r>
        <w:rPr/>
        <w:t>There trunk flexion. Although the method does not explain from what angle this was the case.</w:t>
      </w:r>
    </w:p>
    <w:p>
      <w:pPr>
        <w:spacing w:line="206" w:lineRule="exact" w:before="0"/>
        <w:ind w:left="1436" w:right="125" w:hanging="8"/>
        <w:jc w:val="left"/>
        <w:rPr>
          <w:sz w:val="18"/>
        </w:rPr>
      </w:pPr>
      <w:r>
        <w:rPr>
          <w:sz w:val="18"/>
        </w:rPr>
        <w:t>Figure 7. Graphics frequency: arms.</w:t>
      </w:r>
    </w:p>
    <w:p>
      <w:pPr>
        <w:pStyle w:val="BodyText"/>
        <w:spacing w:before="10"/>
        <w:rPr>
          <w:sz w:val="3"/>
        </w:rPr>
      </w:pPr>
    </w:p>
    <w:p>
      <w:pPr>
        <w:pStyle w:val="BodyText"/>
        <w:ind w:left="422"/>
      </w:pPr>
      <w:r>
        <w:rPr/>
        <w:drawing>
          <wp:inline distT="0" distB="0" distL="0" distR="0">
            <wp:extent cx="2930695" cy="3451860"/>
            <wp:effectExtent l="0" t="0" r="0" b="0"/>
            <wp:docPr id="915" name="image530.jpeg" descr=""/>
            <wp:cNvGraphicFramePr>
              <a:graphicFrameLocks noChangeAspect="1"/>
            </wp:cNvGraphicFramePr>
            <a:graphic>
              <a:graphicData uri="http://schemas.openxmlformats.org/drawingml/2006/picture">
                <pic:pic>
                  <pic:nvPicPr>
                    <pic:cNvPr id="916" name="image530.jpeg"/>
                    <pic:cNvPicPr/>
                  </pic:nvPicPr>
                  <pic:blipFill>
                    <a:blip r:embed="rId834" cstate="print"/>
                    <a:stretch>
                      <a:fillRect/>
                    </a:stretch>
                  </pic:blipFill>
                  <pic:spPr>
                    <a:xfrm>
                      <a:off x="0" y="0"/>
                      <a:ext cx="2930695" cy="3451860"/>
                    </a:xfrm>
                    <a:prstGeom prst="rect">
                      <a:avLst/>
                    </a:prstGeom>
                  </pic:spPr>
                </pic:pic>
              </a:graphicData>
            </a:graphic>
          </wp:inline>
        </w:drawing>
      </w:r>
      <w:r>
        <w:rPr/>
      </w:r>
    </w:p>
    <w:p>
      <w:pPr>
        <w:spacing w:before="4"/>
        <w:ind w:left="1436" w:right="125" w:firstLine="0"/>
        <w:jc w:val="left"/>
        <w:rPr>
          <w:sz w:val="18"/>
        </w:rPr>
      </w:pPr>
      <w:r>
        <w:rPr>
          <w:sz w:val="18"/>
        </w:rPr>
        <w:t>Source: Software OWAS, prepared.</w:t>
      </w:r>
    </w:p>
    <w:p>
      <w:pPr>
        <w:pStyle w:val="BodyText"/>
        <w:rPr>
          <w:sz w:val="18"/>
        </w:rPr>
      </w:pPr>
    </w:p>
    <w:p>
      <w:pPr>
        <w:pStyle w:val="BodyText"/>
        <w:ind w:left="270"/>
        <w:jc w:val="both"/>
      </w:pPr>
      <w:r>
        <w:rPr/>
        <w:t>Both arms of the worker are located under the shoulder level. But above the level indicated for the workspace. This would cause a high risk exposure injuries.</w:t>
      </w:r>
    </w:p>
    <w:p>
      <w:pPr>
        <w:pStyle w:val="BodyText"/>
        <w:spacing w:before="9"/>
        <w:rPr>
          <w:sz w:val="17"/>
        </w:rPr>
      </w:pPr>
    </w:p>
    <w:p>
      <w:pPr>
        <w:spacing w:before="0"/>
        <w:ind w:left="1458" w:right="125" w:firstLine="0"/>
        <w:jc w:val="left"/>
        <w:rPr>
          <w:sz w:val="18"/>
        </w:rPr>
      </w:pPr>
      <w:r>
        <w:rPr/>
        <w:drawing>
          <wp:anchor distT="0" distB="0" distL="0" distR="0" allowOverlap="1" layoutInCell="1" locked="0" behindDoc="0" simplePos="0" relativeHeight="20704">
            <wp:simplePos x="0" y="0"/>
            <wp:positionH relativeFrom="page">
              <wp:posOffset>665226</wp:posOffset>
            </wp:positionH>
            <wp:positionV relativeFrom="paragraph">
              <wp:posOffset>166149</wp:posOffset>
            </wp:positionV>
            <wp:extent cx="2964180" cy="3537966"/>
            <wp:effectExtent l="0" t="0" r="0" b="0"/>
            <wp:wrapNone/>
            <wp:docPr id="917" name="image531.jpeg" descr=""/>
            <wp:cNvGraphicFramePr>
              <a:graphicFrameLocks noChangeAspect="1"/>
            </wp:cNvGraphicFramePr>
            <a:graphic>
              <a:graphicData uri="http://schemas.openxmlformats.org/drawingml/2006/picture">
                <pic:pic>
                  <pic:nvPicPr>
                    <pic:cNvPr id="918" name="image531.jpeg"/>
                    <pic:cNvPicPr/>
                  </pic:nvPicPr>
                  <pic:blipFill>
                    <a:blip r:embed="rId835" cstate="print"/>
                    <a:stretch>
                      <a:fillRect/>
                    </a:stretch>
                  </pic:blipFill>
                  <pic:spPr>
                    <a:xfrm>
                      <a:off x="0" y="0"/>
                      <a:ext cx="2964180" cy="3537966"/>
                    </a:xfrm>
                    <a:prstGeom prst="rect">
                      <a:avLst/>
                    </a:prstGeom>
                  </pic:spPr>
                </pic:pic>
              </a:graphicData>
            </a:graphic>
          </wp:anchor>
        </w:drawing>
      </w:r>
      <w:r>
        <w:rPr>
          <w:sz w:val="18"/>
        </w:rPr>
        <w:t>Figure 8. Graphics frequency: legs.</w:t>
      </w:r>
    </w:p>
    <w:p>
      <w:pPr>
        <w:spacing w:before="77"/>
        <w:ind w:left="270" w:right="702" w:firstLine="1140"/>
        <w:jc w:val="left"/>
        <w:rPr>
          <w:sz w:val="18"/>
        </w:rPr>
      </w:pPr>
      <w:r>
        <w:rPr/>
        <w:br w:type="column"/>
      </w:r>
      <w:r>
        <w:rPr>
          <w:sz w:val="18"/>
        </w:rPr>
        <w:t>Source: Software OWAS, prepared.</w:t>
      </w:r>
    </w:p>
    <w:p>
      <w:pPr>
        <w:pStyle w:val="BodyText"/>
        <w:rPr>
          <w:sz w:val="18"/>
        </w:rPr>
      </w:pPr>
    </w:p>
    <w:p>
      <w:pPr>
        <w:spacing w:before="0"/>
        <w:ind w:left="1332" w:right="1724" w:hanging="1062"/>
        <w:jc w:val="left"/>
        <w:rPr>
          <w:sz w:val="18"/>
        </w:rPr>
      </w:pPr>
      <w:r>
        <w:rPr>
          <w:sz w:val="18"/>
        </w:rPr>
        <w:t>The subject is fully seated during the work session. Figure 9. Graphics frequency: weight.</w:t>
      </w:r>
    </w:p>
    <w:p>
      <w:pPr>
        <w:pStyle w:val="BodyText"/>
        <w:spacing w:before="10"/>
        <w:rPr>
          <w:sz w:val="3"/>
        </w:rPr>
      </w:pPr>
    </w:p>
    <w:p>
      <w:pPr>
        <w:pStyle w:val="BodyText"/>
        <w:ind w:left="443"/>
      </w:pPr>
      <w:r>
        <w:rPr/>
        <w:drawing>
          <wp:inline distT="0" distB="0" distL="0" distR="0">
            <wp:extent cx="2973769" cy="5865399"/>
            <wp:effectExtent l="0" t="0" r="0" b="0"/>
            <wp:docPr id="919" name="image532.jpeg" descr=""/>
            <wp:cNvGraphicFramePr>
              <a:graphicFrameLocks noChangeAspect="1"/>
            </wp:cNvGraphicFramePr>
            <a:graphic>
              <a:graphicData uri="http://schemas.openxmlformats.org/drawingml/2006/picture">
                <pic:pic>
                  <pic:nvPicPr>
                    <pic:cNvPr id="920" name="image532.jpeg"/>
                    <pic:cNvPicPr/>
                  </pic:nvPicPr>
                  <pic:blipFill>
                    <a:blip r:embed="rId836" cstate="print"/>
                    <a:stretch>
                      <a:fillRect/>
                    </a:stretch>
                  </pic:blipFill>
                  <pic:spPr>
                    <a:xfrm>
                      <a:off x="0" y="0"/>
                      <a:ext cx="2973769" cy="5865399"/>
                    </a:xfrm>
                    <a:prstGeom prst="rect">
                      <a:avLst/>
                    </a:prstGeom>
                  </pic:spPr>
                </pic:pic>
              </a:graphicData>
            </a:graphic>
          </wp:inline>
        </w:drawing>
      </w:r>
      <w:r>
        <w:rPr/>
      </w:r>
    </w:p>
    <w:p>
      <w:pPr>
        <w:spacing w:before="13"/>
        <w:ind w:left="1410" w:right="702" w:firstLine="0"/>
        <w:jc w:val="left"/>
        <w:rPr>
          <w:sz w:val="18"/>
        </w:rPr>
      </w:pPr>
      <w:r>
        <w:rPr>
          <w:sz w:val="18"/>
        </w:rPr>
        <w:t>Source: Software OWAS, prepared.</w:t>
      </w:r>
    </w:p>
    <w:p>
      <w:pPr>
        <w:pStyle w:val="BodyText"/>
        <w:rPr>
          <w:sz w:val="18"/>
        </w:rPr>
      </w:pPr>
    </w:p>
    <w:p>
      <w:pPr>
        <w:pStyle w:val="BodyText"/>
        <w:rPr>
          <w:sz w:val="18"/>
        </w:rPr>
      </w:pPr>
    </w:p>
    <w:p>
      <w:pPr>
        <w:pStyle w:val="BodyText"/>
        <w:rPr>
          <w:sz w:val="18"/>
        </w:rPr>
      </w:pPr>
    </w:p>
    <w:p>
      <w:pPr>
        <w:spacing w:before="0"/>
        <w:ind w:left="270" w:right="678" w:firstLine="0"/>
        <w:jc w:val="both"/>
        <w:rPr>
          <w:sz w:val="18"/>
        </w:rPr>
      </w:pPr>
      <w:r>
        <w:rPr>
          <w:sz w:val="18"/>
        </w:rPr>
        <w:t>Weight and subject controlling force is minimal, therefore does not present a high risk.</w:t>
      </w:r>
    </w:p>
    <w:p>
      <w:pPr>
        <w:pStyle w:val="BodyText"/>
        <w:rPr>
          <w:sz w:val="18"/>
        </w:rPr>
      </w:pPr>
    </w:p>
    <w:p>
      <w:pPr>
        <w:pStyle w:val="BodyText"/>
        <w:spacing w:before="2"/>
        <w:rPr>
          <w:sz w:val="18"/>
        </w:rPr>
      </w:pPr>
    </w:p>
    <w:p>
      <w:pPr>
        <w:pStyle w:val="BodyText"/>
        <w:ind w:left="270" w:right="677"/>
        <w:jc w:val="both"/>
      </w:pPr>
      <w:r>
        <w:rPr/>
        <w:t>Preliminary results indicate that it is not necessary to perform an analysis of lifting loads in view of the elements that are manipulated not involve risk of injury in this area.</w:t>
      </w:r>
    </w:p>
    <w:p>
      <w:pPr>
        <w:pStyle w:val="BodyText"/>
        <w:spacing w:before="11"/>
        <w:rPr>
          <w:sz w:val="19"/>
        </w:rPr>
      </w:pPr>
    </w:p>
    <w:p>
      <w:pPr>
        <w:pStyle w:val="BodyText"/>
        <w:ind w:left="270" w:right="677"/>
        <w:jc w:val="both"/>
      </w:pPr>
      <w:r>
        <w:rPr/>
        <w:t>However, there is enough to make concerning the design of the workplace and the physical conditions corrective actions immediately evident.</w:t>
      </w:r>
    </w:p>
    <w:p>
      <w:pPr>
        <w:spacing w:after="0"/>
        <w:jc w:val="both"/>
        <w:sectPr>
          <w:type w:val="continuous"/>
          <w:pgSz w:w="12240" w:h="15840"/>
          <w:pgMar w:top="1500" w:bottom="280" w:left="580" w:right="220"/>
          <w:cols w:num="2" w:equalWidth="0">
            <w:col w:w="5187" w:space="437"/>
            <w:col w:w="5816"/>
          </w:cols>
        </w:sectPr>
      </w:pPr>
    </w:p>
    <w:p>
      <w:pPr>
        <w:pStyle w:val="BodyText"/>
        <w:spacing w:before="4"/>
        <w:rPr>
          <w:sz w:val="11"/>
        </w:rPr>
      </w:pPr>
    </w:p>
    <w:p>
      <w:pPr>
        <w:spacing w:after="0"/>
        <w:rPr>
          <w:sz w:val="11"/>
        </w:rPr>
        <w:sectPr>
          <w:pgSz w:w="12240" w:h="15840"/>
          <w:pgMar w:header="545" w:footer="852" w:top="1060" w:bottom="1040" w:left="580" w:right="220"/>
        </w:sectPr>
      </w:pPr>
    </w:p>
    <w:p>
      <w:pPr>
        <w:pStyle w:val="BodyText"/>
        <w:spacing w:before="4"/>
        <w:rPr>
          <w:sz w:val="26"/>
        </w:rPr>
      </w:pPr>
    </w:p>
    <w:p>
      <w:pPr>
        <w:pStyle w:val="BodyText"/>
        <w:spacing w:before="1"/>
        <w:ind w:left="270"/>
        <w:jc w:val="both"/>
      </w:pPr>
      <w:r>
        <w:rPr/>
        <w:t>It will also be necessary to reassess the task with the OWAS method to check the effectiveness of the improvement.</w:t>
      </w:r>
    </w:p>
    <w:p>
      <w:pPr>
        <w:pStyle w:val="BodyText"/>
        <w:ind w:left="270" w:right="1"/>
        <w:jc w:val="both"/>
      </w:pPr>
      <w:r>
        <w:rPr/>
        <w:t>As a result of this work are preparing recommendations and preventive actions to be followed in the future, bearing in mind that no matter how minimal the risks facing a worker, should be evaluated periodically to minimize their effects.</w:t>
      </w:r>
    </w:p>
    <w:p>
      <w:pPr>
        <w:pStyle w:val="BodyText"/>
        <w:spacing w:before="9"/>
        <w:rPr>
          <w:sz w:val="17"/>
        </w:rPr>
      </w:pPr>
    </w:p>
    <w:p>
      <w:pPr>
        <w:spacing w:before="0"/>
        <w:ind w:left="287" w:right="17" w:firstLine="0"/>
        <w:jc w:val="center"/>
        <w:rPr>
          <w:sz w:val="18"/>
        </w:rPr>
      </w:pPr>
      <w:r>
        <w:rPr>
          <w:sz w:val="18"/>
        </w:rPr>
        <w:t>Image 2. It is observed the test subject performing an armed LEGO pieces in the recommended position.</w:t>
      </w:r>
    </w:p>
    <w:p>
      <w:pPr>
        <w:pStyle w:val="BodyText"/>
        <w:spacing w:before="3"/>
        <w:rPr>
          <w:sz w:val="5"/>
        </w:rPr>
      </w:pPr>
    </w:p>
    <w:p>
      <w:pPr>
        <w:pStyle w:val="BodyText"/>
        <w:ind w:left="1376"/>
      </w:pPr>
      <w:r>
        <w:rPr/>
        <w:drawing>
          <wp:inline distT="0" distB="0" distL="0" distR="0">
            <wp:extent cx="1683575" cy="3103721"/>
            <wp:effectExtent l="0" t="0" r="0" b="0"/>
            <wp:docPr id="921" name="image533.jpeg" descr=""/>
            <wp:cNvGraphicFramePr>
              <a:graphicFrameLocks noChangeAspect="1"/>
            </wp:cNvGraphicFramePr>
            <a:graphic>
              <a:graphicData uri="http://schemas.openxmlformats.org/drawingml/2006/picture">
                <pic:pic>
                  <pic:nvPicPr>
                    <pic:cNvPr id="922" name="image533.jpeg"/>
                    <pic:cNvPicPr/>
                  </pic:nvPicPr>
                  <pic:blipFill>
                    <a:blip r:embed="rId837" cstate="print"/>
                    <a:stretch>
                      <a:fillRect/>
                    </a:stretch>
                  </pic:blipFill>
                  <pic:spPr>
                    <a:xfrm>
                      <a:off x="0" y="0"/>
                      <a:ext cx="1683575" cy="3103721"/>
                    </a:xfrm>
                    <a:prstGeom prst="rect">
                      <a:avLst/>
                    </a:prstGeom>
                  </pic:spPr>
                </pic:pic>
              </a:graphicData>
            </a:graphic>
          </wp:inline>
        </w:drawing>
      </w:r>
      <w:r>
        <w:rPr/>
      </w:r>
    </w:p>
    <w:p>
      <w:pPr>
        <w:spacing w:before="10"/>
        <w:ind w:left="358" w:right="89" w:firstLine="0"/>
        <w:jc w:val="center"/>
        <w:rPr>
          <w:sz w:val="18"/>
        </w:rPr>
      </w:pPr>
      <w:r>
        <w:rPr>
          <w:sz w:val="18"/>
        </w:rPr>
        <w:t>Source: Prepared</w:t>
      </w:r>
    </w:p>
    <w:p>
      <w:pPr>
        <w:pStyle w:val="BodyText"/>
        <w:rPr>
          <w:sz w:val="18"/>
        </w:rPr>
      </w:pPr>
    </w:p>
    <w:p>
      <w:pPr>
        <w:pStyle w:val="BodyText"/>
        <w:spacing w:before="4"/>
        <w:rPr>
          <w:sz w:val="22"/>
        </w:rPr>
      </w:pPr>
    </w:p>
    <w:p>
      <w:pPr>
        <w:pStyle w:val="Heading4"/>
        <w:numPr>
          <w:ilvl w:val="0"/>
          <w:numId w:val="185"/>
        </w:numPr>
        <w:tabs>
          <w:tab w:pos="471" w:val="left" w:leader="none"/>
        </w:tabs>
        <w:spacing w:line="240" w:lineRule="auto" w:before="0" w:after="0"/>
        <w:ind w:left="470" w:right="0" w:hanging="200"/>
        <w:jc w:val="both"/>
      </w:pPr>
      <w:r>
        <w:rPr/>
        <w:t>REFERENCES</w:t>
      </w:r>
    </w:p>
    <w:p>
      <w:pPr>
        <w:pStyle w:val="BodyText"/>
        <w:spacing w:before="8"/>
        <w:rPr>
          <w:b/>
          <w:sz w:val="19"/>
        </w:rPr>
      </w:pPr>
    </w:p>
    <w:p>
      <w:pPr>
        <w:pStyle w:val="BodyText"/>
        <w:ind w:left="270"/>
        <w:jc w:val="both"/>
      </w:pPr>
      <w:r>
        <w:rPr/>
        <w:t>[1] W.M. Keyserling, M. Brouwer, B.A. Silverstein. (3 March 2003). A checklist for evaluating ergonomic risk factors resulting from awkward postures of the legs, trunk and neck. ELSEVIER, 9, 283-301.</w:t>
      </w:r>
    </w:p>
    <w:p>
      <w:pPr>
        <w:pStyle w:val="BodyText"/>
        <w:ind w:left="270"/>
        <w:jc w:val="both"/>
      </w:pPr>
      <w:r>
        <w:rPr/>
        <w:t>[2] Paolo Pillastrinia, , , E-mail the corresponding author, Raffaele Mugnaia, Lucia Bertozzia, Stefania Costib, Stefania Curtia, Andrew Guccionec, Stefano Mattiolia, Francesco S. Violantea. (23 October 2009). Effectiveness of an ergonomic intervention on work-related posture and low back pain in video display terminal operators: A 3 year cross-over trial. ELSEVIER, 41, 436-443.</w:t>
      </w:r>
    </w:p>
    <w:p>
      <w:pPr>
        <w:pStyle w:val="BodyText"/>
        <w:ind w:left="270" w:right="1"/>
        <w:jc w:val="both"/>
      </w:pPr>
      <w:r>
        <w:rPr/>
        <w:t>[3] Osmo Karhu, Reino Härkönen, Pentti Sorvali, Pentti Vepsäläinen. (18 February 2003). Observing working postures in industry: Examples of OWAS application. ELSEVIER, 12, 13-17.</w:t>
      </w:r>
    </w:p>
    <w:p>
      <w:pPr>
        <w:pStyle w:val="BodyText"/>
        <w:ind w:left="270"/>
        <w:jc w:val="both"/>
      </w:pPr>
      <w:r>
        <w:rPr/>
        <w:t>[4] Mattila, M. y Vilkki, P., 1999, OWAS methods. En: W. Karwoswki and W. Marras, Editors, The Occupational Ergonomics Handbook, CRC Press, Boca Raton, pp. 447– 459.</w:t>
      </w:r>
    </w:p>
    <w:p>
      <w:pPr>
        <w:pStyle w:val="BodyText"/>
        <w:ind w:left="270"/>
        <w:jc w:val="both"/>
      </w:pPr>
      <w:r>
        <w:rPr/>
        <w:t>[5] Fiğlali, N., Cihan, A., Esen, H., Fiğlali, A., Çeşmeci, D., Güllü, M.K., Yilmaz, M.K.,Image processing-aided working</w:t>
      </w:r>
    </w:p>
    <w:p>
      <w:pPr>
        <w:pStyle w:val="BodyText"/>
        <w:tabs>
          <w:tab w:pos="1060" w:val="left" w:leader="none"/>
          <w:tab w:pos="1961" w:val="left" w:leader="none"/>
          <w:tab w:pos="2934" w:val="left" w:leader="none"/>
          <w:tab w:pos="4368" w:val="left" w:leader="none"/>
        </w:tabs>
        <w:spacing w:before="74"/>
        <w:ind w:left="270" w:right="677"/>
      </w:pPr>
      <w:r>
        <w:rPr/>
        <w:br w:type="column"/>
      </w:r>
      <w:r>
        <w:rPr/>
        <w:t>posture</w:t>
        <w:tab/>
        <w:t>analysis:</w:t>
        <w:tab/>
        <w:t>I-OWAS,</w:t>
        <w:tab/>
        <w:t>Computers  </w:t>
      </w:r>
      <w:r>
        <w:rPr>
          <w:spacing w:val="48"/>
        </w:rPr>
        <w:t> </w:t>
      </w:r>
      <w:r>
        <w:rPr/>
        <w:t>&amp;</w:t>
        <w:tab/>
        <w:t>Industrial Engineering</w:t>
      </w:r>
      <w:r>
        <w:rPr>
          <w:spacing w:val="-9"/>
        </w:rPr>
        <w:t> </w:t>
      </w:r>
      <w:r>
        <w:rPr/>
        <w:t>(2015).</w:t>
      </w:r>
    </w:p>
    <w:sectPr>
      <w:type w:val="continuous"/>
      <w:pgSz w:w="12240" w:h="15840"/>
      <w:pgMar w:top="1500" w:bottom="280" w:left="580" w:right="220"/>
      <w:cols w:num="2" w:equalWidth="0">
        <w:col w:w="5190" w:space="435"/>
        <w:col w:w="5815"/>
      </w:cols>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Verdana">
    <w:altName w:val="Verdana"/>
    <w:charset w:val="0"/>
    <w:family w:val="swiss"/>
    <w:pitch w:val="variable"/>
  </w:font>
  <w:font w:name="Arial">
    <w:altName w:val="Arial"/>
    <w:charset w:val="0"/>
    <w:family w:val="swiss"/>
    <w:pitch w:val="variable"/>
  </w:font>
  <w:font w:name="Courier New">
    <w:altName w:val="Courier New"/>
    <w:charset w:val="0"/>
    <w:family w:val="modern"/>
    <w:pitch w:val="fixed"/>
  </w:font>
  <w:font w:name="Tahoma">
    <w:altName w:val="Tahoma"/>
    <w:charset w:val="0"/>
    <w:family w:val="swiss"/>
    <w:pitch w:val="variable"/>
  </w:font>
  <w:font w:name="Symbol">
    <w:altName w:val="Symbol"/>
    <w:charset w:val="2"/>
    <w:family w:val="roman"/>
    <w:pitch w:val="variable"/>
  </w:font>
  <w:font w:name="Calibri">
    <w:altName w:val="Calibri"/>
    <w:charset w:val="0"/>
    <w:family w:val="swiss"/>
    <w:pitch w:val="variable"/>
  </w:font>
  <w:font w:name="Cambria">
    <w:altName w:val="Cambria"/>
    <w:charset w:val="0"/>
    <w:family w:val="roman"/>
    <w:pitch w:val="variable"/>
  </w:font>
  <w:font w:name="Segoe UI Symbol">
    <w:altName w:val="Segoe UI Symbol"/>
    <w:charset w:val="0"/>
    <w:family w:val="swiss"/>
    <w:pitch w:val="variable"/>
  </w:font>
  <w:font w:name="MS Mincho">
    <w:altName w:val="MS Mincho"/>
    <w:charset w:val="0"/>
    <w:family w:val="modern"/>
    <w:pitch w:val="fixed"/>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77720" from="41.040001pt,740.460022pt" to="594.420001pt,740.460022pt" stroked="true" strokeweight=".72pt" strokecolor="#602321">
          <w10:wrap type="none"/>
        </v:line>
      </w:pict>
    </w:r>
    <w:r>
      <w:rPr/>
      <w:pict>
        <v:line style="position:absolute;mso-position-horizontal-relative:page;mso-position-vertical-relative:page;z-index:-877696" from="41.040001pt,737.880005pt" to="594.420001pt,737.880005pt" stroked="true" strokeweight="3pt" strokecolor="#602321">
          <w10:wrap type="none"/>
        </v:line>
      </w:pict>
    </w:r>
    <w:r>
      <w:rPr/>
      <w:pict>
        <v:shape style="position:absolute;margin-left:41.540001pt;margin-top:741.817932pt;width:207.85pt;height:11pt;mso-position-horizontal-relative:page;mso-position-vertical-relative:page;z-index:-877672" type="#_x0000_t202" filled="false" stroked="false">
          <v:textbox inset="0,0,0,0">
            <w:txbxContent>
              <w:p>
                <w:pPr>
                  <w:spacing w:line="204" w:lineRule="exact" w:before="0"/>
                  <w:ind w:left="20" w:right="-4" w:firstLine="0"/>
                  <w:jc w:val="left"/>
                  <w:rPr>
                    <w:sz w:val="18"/>
                  </w:rPr>
                </w:pPr>
                <w:r>
                  <w:rPr>
                    <w:sz w:val="18"/>
                  </w:rPr>
                  <w:t>SOCIEDAD DE ERGONOMISTAS DE MEXICO, A.C.</w:t>
                </w:r>
              </w:p>
            </w:txbxContent>
          </v:textbox>
          <w10:wrap type="none"/>
        </v:shape>
      </w:pict>
    </w:r>
    <w:r>
      <w:rPr/>
      <w:pict>
        <v:shape style="position:absolute;margin-left:528.740601pt;margin-top:741.817932pt;width:38.7pt;height:11pt;mso-position-horizontal-relative:page;mso-position-vertical-relative:page;z-index:-877648" type="#_x0000_t202" filled="false" stroked="false">
          <v:textbox inset="0,0,0,0">
            <w:txbxContent>
              <w:p>
                <w:pPr>
                  <w:spacing w:line="204" w:lineRule="exact" w:before="0"/>
                  <w:ind w:left="20" w:right="0" w:firstLine="0"/>
                  <w:jc w:val="left"/>
                  <w:rPr>
                    <w:sz w:val="18"/>
                  </w:rPr>
                </w:pPr>
                <w:r>
                  <w:rPr>
                    <w:sz w:val="18"/>
                  </w:rPr>
                  <w:t>Página </w:t>
                </w:r>
                <w:r>
                  <w:rPr/>
                  <w:fldChar w:fldCharType="begin"/>
                </w:r>
                <w:r>
                  <w:rPr>
                    <w:sz w:val="18"/>
                  </w:rPr>
                  <w:instrText> PAGE </w:instrText>
                </w:r>
                <w:r>
                  <w:rPr/>
                  <w:fldChar w:fldCharType="separate"/>
                </w:r>
                <w:r>
                  <w:rPr/>
                  <w:t>10</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76928" from="41.040001pt,740.460022pt" to="594.420001pt,740.460022pt" stroked="true" strokeweight=".72pt" strokecolor="#602321">
          <w10:wrap type="none"/>
        </v:line>
      </w:pict>
    </w:r>
    <w:r>
      <w:rPr/>
      <w:pict>
        <v:line style="position:absolute;mso-position-horizontal-relative:page;mso-position-vertical-relative:page;z-index:-876904" from="41.040001pt,737.880005pt" to="594.420001pt,737.880005pt" stroked="true" strokeweight="3pt" strokecolor="#602321">
          <w10:wrap type="none"/>
        </v:line>
      </w:pict>
    </w:r>
    <w:r>
      <w:rPr/>
      <w:pict>
        <v:shape style="position:absolute;margin-left:41.540001pt;margin-top:741.817932pt;width:207.85pt;height:11pt;mso-position-horizontal-relative:page;mso-position-vertical-relative:page;z-index:-876880" type="#_x0000_t202" filled="false" stroked="false">
          <v:textbox inset="0,0,0,0">
            <w:txbxContent>
              <w:p>
                <w:pPr>
                  <w:spacing w:line="204" w:lineRule="exact" w:before="0"/>
                  <w:ind w:left="20" w:right="-4" w:firstLine="0"/>
                  <w:jc w:val="left"/>
                  <w:rPr>
                    <w:sz w:val="18"/>
                  </w:rPr>
                </w:pPr>
                <w:r>
                  <w:rPr>
                    <w:sz w:val="18"/>
                  </w:rPr>
                  <w:t>SOCIEDAD DE ERGONOMISTAS DE MEXICO, A.C.</w:t>
                </w:r>
              </w:p>
            </w:txbxContent>
          </v:textbox>
          <w10:wrap type="none"/>
        </v:shape>
      </w:pict>
    </w:r>
    <w:r>
      <w:rPr/>
      <w:pict>
        <v:shape style="position:absolute;margin-left:528.740601pt;margin-top:741.817932pt;width:43.15pt;height:11pt;mso-position-horizontal-relative:page;mso-position-vertical-relative:page;z-index:-876856" type="#_x0000_t202" filled="false" stroked="false">
          <v:textbox inset="0,0,0,0">
            <w:txbxContent>
              <w:p>
                <w:pPr>
                  <w:spacing w:line="204" w:lineRule="exact" w:before="0"/>
                  <w:ind w:left="20" w:right="0" w:firstLine="0"/>
                  <w:jc w:val="left"/>
                  <w:rPr>
                    <w:sz w:val="18"/>
                  </w:rPr>
                </w:pPr>
                <w:r>
                  <w:rPr>
                    <w:sz w:val="18"/>
                  </w:rPr>
                  <w:t>Página </w:t>
                </w:r>
                <w:r>
                  <w:rPr/>
                  <w:fldChar w:fldCharType="begin"/>
                </w:r>
                <w:r>
                  <w:rPr>
                    <w:sz w:val="18"/>
                  </w:rPr>
                  <w:instrText> PAGE </w:instrText>
                </w:r>
                <w:r>
                  <w:rPr/>
                  <w:fldChar w:fldCharType="separate"/>
                </w:r>
                <w:r>
                  <w:rPr/>
                  <w:t>171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1.540001pt;margin-top:753.337952pt;width:207.85pt;height:11pt;mso-position-horizontal-relative:page;mso-position-vertical-relative:page;z-index:-876832" type="#_x0000_t202" filled="false" stroked="false">
          <v:textbox inset="0,0,0,0">
            <w:txbxContent>
              <w:p>
                <w:pPr>
                  <w:spacing w:line="204" w:lineRule="exact" w:before="0"/>
                  <w:ind w:left="20" w:right="-4" w:firstLine="0"/>
                  <w:jc w:val="left"/>
                  <w:rPr>
                    <w:sz w:val="18"/>
                  </w:rPr>
                </w:pPr>
                <w:r>
                  <w:rPr>
                    <w:sz w:val="18"/>
                  </w:rPr>
                  <w:t>SOCIEDAD DE ERGONOMISTAS DE MEXICO, A.C.</w:t>
                </w:r>
              </w:p>
            </w:txbxContent>
          </v:textbox>
          <w10:wrap type="none"/>
        </v:shape>
      </w:pict>
    </w:r>
    <w:r>
      <w:rPr/>
      <w:pict>
        <v:shape style="position:absolute;margin-left:528.740601pt;margin-top:753.337952pt;width:42.15pt;height:11pt;mso-position-horizontal-relative:page;mso-position-vertical-relative:page;z-index:-876808" type="#_x0000_t202" filled="false" stroked="false">
          <v:textbox inset="0,0,0,0">
            <w:txbxContent>
              <w:p>
                <w:pPr>
                  <w:spacing w:line="204" w:lineRule="exact" w:before="0"/>
                  <w:ind w:left="20" w:right="-2" w:firstLine="0"/>
                  <w:jc w:val="left"/>
                  <w:rPr>
                    <w:sz w:val="18"/>
                  </w:rPr>
                </w:pPr>
                <w:r>
                  <w:rPr>
                    <w:sz w:val="18"/>
                  </w:rPr>
                  <w:t>Página 186</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76784" from="41.040001pt,740.460022pt" to="594.420001pt,740.460022pt" stroked="true" strokeweight=".72pt" strokecolor="#602321">
          <w10:wrap type="none"/>
        </v:line>
      </w:pict>
    </w:r>
    <w:r>
      <w:rPr/>
      <w:pict>
        <v:line style="position:absolute;mso-position-horizontal-relative:page;mso-position-vertical-relative:page;z-index:-876760" from="41.040001pt,737.880005pt" to="594.420001pt,737.880005pt" stroked="true" strokeweight="3pt" strokecolor="#602321">
          <w10:wrap type="none"/>
        </v:line>
      </w:pict>
    </w:r>
    <w:r>
      <w:rPr/>
      <w:pict>
        <v:shape style="position:absolute;margin-left:41.540001pt;margin-top:741.817932pt;width:207.85pt;height:11pt;mso-position-horizontal-relative:page;mso-position-vertical-relative:page;z-index:-876736" type="#_x0000_t202" filled="false" stroked="false">
          <v:textbox inset="0,0,0,0">
            <w:txbxContent>
              <w:p>
                <w:pPr>
                  <w:spacing w:line="204" w:lineRule="exact" w:before="0"/>
                  <w:ind w:left="20" w:right="-4" w:firstLine="0"/>
                  <w:jc w:val="left"/>
                  <w:rPr>
                    <w:sz w:val="18"/>
                  </w:rPr>
                </w:pPr>
                <w:r>
                  <w:rPr>
                    <w:sz w:val="18"/>
                  </w:rPr>
                  <w:t>SOCIEDAD DE ERGONOMISTAS DE MEXICO, A.C.</w:t>
                </w:r>
              </w:p>
            </w:txbxContent>
          </v:textbox>
          <w10:wrap type="none"/>
        </v:shape>
      </w:pict>
    </w:r>
    <w:r>
      <w:rPr/>
      <w:pict>
        <v:shape style="position:absolute;margin-left:528.740601pt;margin-top:741.817932pt;width:43.15pt;height:11pt;mso-position-horizontal-relative:page;mso-position-vertical-relative:page;z-index:-876712" type="#_x0000_t202" filled="false" stroked="false">
          <v:textbox inset="0,0,0,0">
            <w:txbxContent>
              <w:p>
                <w:pPr>
                  <w:spacing w:line="204" w:lineRule="exact" w:before="0"/>
                  <w:ind w:left="20" w:right="0" w:firstLine="0"/>
                  <w:jc w:val="left"/>
                  <w:rPr>
                    <w:sz w:val="18"/>
                  </w:rPr>
                </w:pPr>
                <w:r>
                  <w:rPr>
                    <w:sz w:val="18"/>
                  </w:rPr>
                  <w:t>Página </w:t>
                </w:r>
                <w:r>
                  <w:rPr/>
                  <w:fldChar w:fldCharType="begin"/>
                </w:r>
                <w:r>
                  <w:rPr>
                    <w:sz w:val="18"/>
                  </w:rPr>
                  <w:instrText> PAGE </w:instrText>
                </w:r>
                <w:r>
                  <w:rPr/>
                  <w:fldChar w:fldCharType="separate"/>
                </w:r>
                <w:r>
                  <w:rPr/>
                  <w:t>187</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76688" from="41.040001pt,740.460022pt" to="594.420001pt,740.460022pt" stroked="true" strokeweight=".72pt" strokecolor="#602321">
          <w10:wrap type="none"/>
        </v:line>
      </w:pict>
    </w:r>
    <w:r>
      <w:rPr/>
      <w:pict>
        <v:line style="position:absolute;mso-position-horizontal-relative:page;mso-position-vertical-relative:page;z-index:-876664" from="41.040001pt,737.880005pt" to="594.420001pt,737.880005pt" stroked="true" strokeweight="3pt" strokecolor="#602321">
          <w10:wrap type="none"/>
        </v:line>
      </w:pict>
    </w:r>
    <w:r>
      <w:rPr/>
      <w:pict>
        <v:shape style="position:absolute;margin-left:41.540001pt;margin-top:741.817932pt;width:207.85pt;height:11pt;mso-position-horizontal-relative:page;mso-position-vertical-relative:page;z-index:-876640" type="#_x0000_t202" filled="false" stroked="false">
          <v:textbox inset="0,0,0,0">
            <w:txbxContent>
              <w:p>
                <w:pPr>
                  <w:spacing w:line="204" w:lineRule="exact" w:before="0"/>
                  <w:ind w:left="20" w:right="-4" w:firstLine="0"/>
                  <w:jc w:val="left"/>
                  <w:rPr>
                    <w:sz w:val="18"/>
                  </w:rPr>
                </w:pPr>
                <w:r>
                  <w:rPr>
                    <w:sz w:val="18"/>
                  </w:rPr>
                  <w:t>SOCIEDAD DE ERGONOMISTAS DE MEXICO, A.C.</w:t>
                </w:r>
              </w:p>
            </w:txbxContent>
          </v:textbox>
          <w10:wrap type="none"/>
        </v:shape>
      </w:pict>
    </w:r>
    <w:r>
      <w:rPr/>
      <w:pict>
        <v:shape style="position:absolute;margin-left:528.740601pt;margin-top:741.817932pt;width:42.15pt;height:11pt;mso-position-horizontal-relative:page;mso-position-vertical-relative:page;z-index:-876616" type="#_x0000_t202" filled="false" stroked="false">
          <v:textbox inset="0,0,0,0">
            <w:txbxContent>
              <w:p>
                <w:pPr>
                  <w:spacing w:line="204" w:lineRule="exact" w:before="0"/>
                  <w:ind w:left="20" w:right="-2" w:firstLine="0"/>
                  <w:jc w:val="left"/>
                  <w:rPr>
                    <w:sz w:val="18"/>
                  </w:rPr>
                </w:pPr>
                <w:r>
                  <w:rPr>
                    <w:sz w:val="18"/>
                  </w:rPr>
                  <w:t>Página 200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76592" from="41.040001pt,740.460022pt" to="594.420001pt,740.460022pt" stroked="true" strokeweight=".72pt" strokecolor="#602321">
          <w10:wrap type="none"/>
        </v:line>
      </w:pict>
    </w:r>
    <w:r>
      <w:rPr/>
      <w:pict>
        <v:line style="position:absolute;mso-position-horizontal-relative:page;mso-position-vertical-relative:page;z-index:-876568" from="41.040001pt,737.880005pt" to="594.420001pt,737.880005pt" stroked="true" strokeweight="3pt" strokecolor="#602321">
          <w10:wrap type="none"/>
        </v:line>
      </w:pict>
    </w:r>
    <w:r>
      <w:rPr/>
      <w:pict>
        <v:shape style="position:absolute;margin-left:41.540001pt;margin-top:741.817932pt;width:207.85pt;height:11pt;mso-position-horizontal-relative:page;mso-position-vertical-relative:page;z-index:-876544" type="#_x0000_t202" filled="false" stroked="false">
          <v:textbox inset="0,0,0,0">
            <w:txbxContent>
              <w:p>
                <w:pPr>
                  <w:spacing w:line="204" w:lineRule="exact" w:before="0"/>
                  <w:ind w:left="20" w:right="-4" w:firstLine="0"/>
                  <w:jc w:val="left"/>
                  <w:rPr>
                    <w:sz w:val="18"/>
                  </w:rPr>
                </w:pPr>
                <w:r>
                  <w:rPr>
                    <w:sz w:val="18"/>
                  </w:rPr>
                  <w:t>SOCIEDAD DE ERGONOMISTAS DE MEXICO, A.C.</w:t>
                </w:r>
              </w:p>
            </w:txbxContent>
          </v:textbox>
          <w10:wrap type="none"/>
        </v:shape>
      </w:pict>
    </w:r>
    <w:r>
      <w:rPr/>
      <w:pict>
        <v:shape style="position:absolute;margin-left:528.740601pt;margin-top:741.817932pt;width:43.15pt;height:11pt;mso-position-horizontal-relative:page;mso-position-vertical-relative:page;z-index:-876520" type="#_x0000_t202" filled="false" stroked="false">
          <v:textbox inset="0,0,0,0">
            <w:txbxContent>
              <w:p>
                <w:pPr>
                  <w:spacing w:line="204" w:lineRule="exact" w:before="0"/>
                  <w:ind w:left="20" w:right="0" w:firstLine="0"/>
                  <w:jc w:val="left"/>
                  <w:rPr>
                    <w:sz w:val="18"/>
                  </w:rPr>
                </w:pPr>
                <w:r>
                  <w:rPr>
                    <w:sz w:val="18"/>
                  </w:rPr>
                  <w:t>Página </w:t>
                </w:r>
                <w:r>
                  <w:rPr/>
                  <w:fldChar w:fldCharType="begin"/>
                </w:r>
                <w:r>
                  <w:rPr>
                    <w:sz w:val="18"/>
                  </w:rPr>
                  <w:instrText> PAGE </w:instrText>
                </w:r>
                <w:r>
                  <w:rPr/>
                  <w:fldChar w:fldCharType="separate"/>
                </w:r>
                <w:r>
                  <w:rPr/>
                  <w:t>201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76496" from="41.040001pt,740.460022pt" to="594.420001pt,740.460022pt" stroked="true" strokeweight=".72pt" strokecolor="#602321">
          <w10:wrap type="none"/>
        </v:line>
      </w:pict>
    </w:r>
    <w:r>
      <w:rPr/>
      <w:pict>
        <v:line style="position:absolute;mso-position-horizontal-relative:page;mso-position-vertical-relative:page;z-index:-876472" from="41.040001pt,737.880005pt" to="594.420001pt,737.880005pt" stroked="true" strokeweight="3pt" strokecolor="#602321">
          <w10:wrap type="none"/>
        </v:line>
      </w:pict>
    </w:r>
    <w:r>
      <w:rPr/>
      <w:pict>
        <v:shape style="position:absolute;margin-left:41.540001pt;margin-top:741.817932pt;width:207.85pt;height:11pt;mso-position-horizontal-relative:page;mso-position-vertical-relative:page;z-index:-876448" type="#_x0000_t202" filled="false" stroked="false">
          <v:textbox inset="0,0,0,0">
            <w:txbxContent>
              <w:p>
                <w:pPr>
                  <w:spacing w:line="204" w:lineRule="exact" w:before="0"/>
                  <w:ind w:left="20" w:right="-4" w:firstLine="0"/>
                  <w:jc w:val="left"/>
                  <w:rPr>
                    <w:sz w:val="18"/>
                  </w:rPr>
                </w:pPr>
                <w:r>
                  <w:rPr>
                    <w:sz w:val="18"/>
                  </w:rPr>
                  <w:t>SOCIEDAD DE ERGONOMISTAS DE MEXICO, A.C.</w:t>
                </w:r>
              </w:p>
            </w:txbxContent>
          </v:textbox>
          <w10:wrap type="none"/>
        </v:shape>
      </w:pict>
    </w:r>
    <w:r>
      <w:rPr/>
      <w:pict>
        <v:shape style="position:absolute;margin-left:528.740601pt;margin-top:741.817932pt;width:42.15pt;height:11pt;mso-position-horizontal-relative:page;mso-position-vertical-relative:page;z-index:-876424" type="#_x0000_t202" filled="false" stroked="false">
          <v:textbox inset="0,0,0,0">
            <w:txbxContent>
              <w:p>
                <w:pPr>
                  <w:spacing w:line="204" w:lineRule="exact" w:before="0"/>
                  <w:ind w:left="20" w:right="-2" w:firstLine="0"/>
                  <w:jc w:val="left"/>
                  <w:rPr>
                    <w:sz w:val="18"/>
                  </w:rPr>
                </w:pPr>
                <w:r>
                  <w:rPr>
                    <w:sz w:val="18"/>
                  </w:rPr>
                  <w:t>Página 300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76400" from="41.040001pt,740.460022pt" to="594.420001pt,740.460022pt" stroked="true" strokeweight=".72pt" strokecolor="#602321">
          <w10:wrap type="none"/>
        </v:line>
      </w:pict>
    </w:r>
    <w:r>
      <w:rPr/>
      <w:pict>
        <v:line style="position:absolute;mso-position-horizontal-relative:page;mso-position-vertical-relative:page;z-index:-876376" from="41.040001pt,737.880005pt" to="594.420001pt,737.880005pt" stroked="true" strokeweight="3pt" strokecolor="#602321">
          <w10:wrap type="none"/>
        </v:line>
      </w:pict>
    </w:r>
    <w:r>
      <w:rPr/>
      <w:pict>
        <v:shape style="position:absolute;margin-left:41.540001pt;margin-top:741.817932pt;width:207.85pt;height:11pt;mso-position-horizontal-relative:page;mso-position-vertical-relative:page;z-index:-876352" type="#_x0000_t202" filled="false" stroked="false">
          <v:textbox inset="0,0,0,0">
            <w:txbxContent>
              <w:p>
                <w:pPr>
                  <w:spacing w:line="204" w:lineRule="exact" w:before="0"/>
                  <w:ind w:left="20" w:right="-4" w:firstLine="0"/>
                  <w:jc w:val="left"/>
                  <w:rPr>
                    <w:sz w:val="18"/>
                  </w:rPr>
                </w:pPr>
                <w:r>
                  <w:rPr>
                    <w:sz w:val="18"/>
                  </w:rPr>
                  <w:t>SOCIEDAD DE ERGONOMISTAS DE MEXICO, A.C.</w:t>
                </w:r>
              </w:p>
            </w:txbxContent>
          </v:textbox>
          <w10:wrap type="none"/>
        </v:shape>
      </w:pict>
    </w:r>
    <w:r>
      <w:rPr/>
      <w:pict>
        <v:shape style="position:absolute;margin-left:528.740601pt;margin-top:741.817932pt;width:43.15pt;height:11pt;mso-position-horizontal-relative:page;mso-position-vertical-relative:page;z-index:-876328" type="#_x0000_t202" filled="false" stroked="false">
          <v:textbox inset="0,0,0,0">
            <w:txbxContent>
              <w:p>
                <w:pPr>
                  <w:spacing w:line="204" w:lineRule="exact" w:before="0"/>
                  <w:ind w:left="20" w:right="0" w:firstLine="0"/>
                  <w:jc w:val="left"/>
                  <w:rPr>
                    <w:sz w:val="18"/>
                  </w:rPr>
                </w:pPr>
                <w:r>
                  <w:rPr>
                    <w:sz w:val="18"/>
                  </w:rPr>
                  <w:t>Página </w:t>
                </w:r>
                <w:r>
                  <w:rPr/>
                  <w:fldChar w:fldCharType="begin"/>
                </w:r>
                <w:r>
                  <w:rPr>
                    <w:sz w:val="18"/>
                  </w:rPr>
                  <w:instrText> PAGE </w:instrText>
                </w:r>
                <w:r>
                  <w:rPr/>
                  <w:fldChar w:fldCharType="separate"/>
                </w:r>
                <w:r>
                  <w:rPr/>
                  <w:t>301</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1.540001pt;margin-top:753.337952pt;width:207.85pt;height:11pt;mso-position-horizontal-relative:page;mso-position-vertical-relative:page;z-index:-876304" type="#_x0000_t202" filled="false" stroked="false">
          <v:textbox inset="0,0,0,0">
            <w:txbxContent>
              <w:p>
                <w:pPr>
                  <w:spacing w:line="204" w:lineRule="exact" w:before="0"/>
                  <w:ind w:left="20" w:right="-4" w:firstLine="0"/>
                  <w:jc w:val="left"/>
                  <w:rPr>
                    <w:sz w:val="18"/>
                  </w:rPr>
                </w:pPr>
                <w:r>
                  <w:rPr>
                    <w:sz w:val="18"/>
                  </w:rPr>
                  <w:t>SOCIEDAD DE ERGONOMISTAS DE MEXICO, A.C.</w:t>
                </w:r>
              </w:p>
            </w:txbxContent>
          </v:textbox>
          <w10:wrap type="none"/>
        </v:shape>
      </w:pict>
    </w:r>
    <w:r>
      <w:rPr/>
      <w:pict>
        <v:shape style="position:absolute;margin-left:528.740601pt;margin-top:753.337952pt;width:42.15pt;height:11pt;mso-position-horizontal-relative:page;mso-position-vertical-relative:page;z-index:-876280" type="#_x0000_t202" filled="false" stroked="false">
          <v:textbox inset="0,0,0,0">
            <w:txbxContent>
              <w:p>
                <w:pPr>
                  <w:spacing w:line="204" w:lineRule="exact" w:before="0"/>
                  <w:ind w:left="20" w:right="-2" w:firstLine="0"/>
                  <w:jc w:val="left"/>
                  <w:rPr>
                    <w:sz w:val="18"/>
                  </w:rPr>
                </w:pPr>
                <w:r>
                  <w:rPr>
                    <w:sz w:val="18"/>
                  </w:rPr>
                  <w:t>Página 318</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76256" from="41.040001pt,740.460022pt" to="594.420001pt,740.460022pt" stroked="true" strokeweight=".72pt" strokecolor="#602321">
          <w10:wrap type="none"/>
        </v:line>
      </w:pict>
    </w:r>
    <w:r>
      <w:rPr/>
      <w:pict>
        <v:line style="position:absolute;mso-position-horizontal-relative:page;mso-position-vertical-relative:page;z-index:-876232" from="41.040001pt,737.880005pt" to="594.420001pt,737.880005pt" stroked="true" strokeweight="3pt" strokecolor="#602321">
          <w10:wrap type="none"/>
        </v:line>
      </w:pict>
    </w:r>
    <w:r>
      <w:rPr/>
      <w:pict>
        <v:shape style="position:absolute;margin-left:41.540001pt;margin-top:741.817932pt;width:207.85pt;height:11pt;mso-position-horizontal-relative:page;mso-position-vertical-relative:page;z-index:-876208" type="#_x0000_t202" filled="false" stroked="false">
          <v:textbox inset="0,0,0,0">
            <w:txbxContent>
              <w:p>
                <w:pPr>
                  <w:spacing w:line="204" w:lineRule="exact" w:before="0"/>
                  <w:ind w:left="20" w:right="-4" w:firstLine="0"/>
                  <w:jc w:val="left"/>
                  <w:rPr>
                    <w:sz w:val="18"/>
                  </w:rPr>
                </w:pPr>
                <w:r>
                  <w:rPr>
                    <w:sz w:val="18"/>
                  </w:rPr>
                  <w:t>SOCIEDAD DE ERGONOMISTAS DE MEXICO, A.C.</w:t>
                </w:r>
              </w:p>
            </w:txbxContent>
          </v:textbox>
          <w10:wrap type="none"/>
        </v:shape>
      </w:pict>
    </w:r>
    <w:r>
      <w:rPr/>
      <w:pict>
        <v:shape style="position:absolute;margin-left:528.740601pt;margin-top:741.817932pt;width:43.15pt;height:11pt;mso-position-horizontal-relative:page;mso-position-vertical-relative:page;z-index:-876184" type="#_x0000_t202" filled="false" stroked="false">
          <v:textbox inset="0,0,0,0">
            <w:txbxContent>
              <w:p>
                <w:pPr>
                  <w:spacing w:line="204" w:lineRule="exact" w:before="0"/>
                  <w:ind w:left="20" w:right="0" w:firstLine="0"/>
                  <w:jc w:val="left"/>
                  <w:rPr>
                    <w:sz w:val="18"/>
                  </w:rPr>
                </w:pPr>
                <w:r>
                  <w:rPr>
                    <w:sz w:val="18"/>
                  </w:rPr>
                  <w:t>Página </w:t>
                </w:r>
                <w:r>
                  <w:rPr/>
                  <w:fldChar w:fldCharType="begin"/>
                </w:r>
                <w:r>
                  <w:rPr>
                    <w:sz w:val="18"/>
                  </w:rPr>
                  <w:instrText> PAGE </w:instrText>
                </w:r>
                <w:r>
                  <w:rPr/>
                  <w:fldChar w:fldCharType="separate"/>
                </w:r>
                <w:r>
                  <w:rPr/>
                  <w:t>319</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1.540001pt;margin-top:741.817932pt;width:207.85pt;height:11pt;mso-position-horizontal-relative:page;mso-position-vertical-relative:page;z-index:-876160" type="#_x0000_t202" filled="false" stroked="false">
          <v:textbox inset="0,0,0,0">
            <w:txbxContent>
              <w:p>
                <w:pPr>
                  <w:spacing w:line="204" w:lineRule="exact" w:before="0"/>
                  <w:ind w:left="20" w:right="-4" w:firstLine="0"/>
                  <w:jc w:val="left"/>
                  <w:rPr>
                    <w:sz w:val="18"/>
                  </w:rPr>
                </w:pPr>
                <w:r>
                  <w:rPr>
                    <w:sz w:val="18"/>
                  </w:rPr>
                  <w:t>SOCIEDAD DE ERGONOMISTAS DE MEXICO, A.C.</w:t>
                </w:r>
              </w:p>
            </w:txbxContent>
          </v:textbox>
          <w10:wrap type="none"/>
        </v:shape>
      </w:pict>
    </w:r>
    <w:r>
      <w:rPr/>
      <w:pict>
        <v:shape style="position:absolute;margin-left:528.740601pt;margin-top:741.817932pt;width:42.15pt;height:11pt;mso-position-horizontal-relative:page;mso-position-vertical-relative:page;z-index:-876136" type="#_x0000_t202" filled="false" stroked="false">
          <v:textbox inset="0,0,0,0">
            <w:txbxContent>
              <w:p>
                <w:pPr>
                  <w:spacing w:line="204" w:lineRule="exact" w:before="0"/>
                  <w:ind w:left="20" w:right="-2" w:firstLine="0"/>
                  <w:jc w:val="left"/>
                  <w:rPr>
                    <w:sz w:val="18"/>
                  </w:rPr>
                </w:pPr>
                <w:r>
                  <w:rPr>
                    <w:sz w:val="18"/>
                  </w:rPr>
                  <w:t>Página 329</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28.740601pt;margin-top:741.817932pt;width:43.15pt;height:11pt;mso-position-horizontal-relative:page;mso-position-vertical-relative:page;z-index:-876112" type="#_x0000_t202" filled="false" stroked="false">
          <v:textbox inset="0,0,0,0">
            <w:txbxContent>
              <w:p>
                <w:pPr>
                  <w:spacing w:line="204" w:lineRule="exact" w:before="0"/>
                  <w:ind w:left="20" w:right="0" w:firstLine="0"/>
                  <w:jc w:val="left"/>
                  <w:rPr>
                    <w:sz w:val="18"/>
                  </w:rPr>
                </w:pPr>
                <w:r>
                  <w:rPr>
                    <w:sz w:val="18"/>
                  </w:rPr>
                  <w:t>Página </w:t>
                </w:r>
                <w:r>
                  <w:rPr/>
                  <w:fldChar w:fldCharType="begin"/>
                </w:r>
                <w:r>
                  <w:rPr>
                    <w:sz w:val="18"/>
                  </w:rPr>
                  <w:instrText> PAGE </w:instrText>
                </w:r>
                <w:r>
                  <w:rPr/>
                  <w:fldChar w:fldCharType="separate"/>
                </w:r>
                <w:r>
                  <w:rPr/>
                  <w:t>330</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76088" from="41.040001pt,740.460022pt" to="594.420001pt,740.460022pt" stroked="true" strokeweight=".72pt" strokecolor="#602321">
          <w10:wrap type="none"/>
        </v:line>
      </w:pict>
    </w:r>
    <w:r>
      <w:rPr/>
      <w:pict>
        <v:line style="position:absolute;mso-position-horizontal-relative:page;mso-position-vertical-relative:page;z-index:-876064" from="41.040001pt,737.880005pt" to="594.420001pt,737.880005pt" stroked="true" strokeweight="3pt" strokecolor="#602321">
          <w10:wrap type="none"/>
        </v:line>
      </w:pict>
    </w:r>
    <w:r>
      <w:rPr/>
      <w:pict>
        <v:shape style="position:absolute;margin-left:41.540001pt;margin-top:741.817932pt;width:207.85pt;height:11pt;mso-position-horizontal-relative:page;mso-position-vertical-relative:page;z-index:-876040" type="#_x0000_t202" filled="false" stroked="false">
          <v:textbox inset="0,0,0,0">
            <w:txbxContent>
              <w:p>
                <w:pPr>
                  <w:spacing w:line="204" w:lineRule="exact" w:before="0"/>
                  <w:ind w:left="20" w:right="-4" w:firstLine="0"/>
                  <w:jc w:val="left"/>
                  <w:rPr>
                    <w:sz w:val="18"/>
                  </w:rPr>
                </w:pPr>
                <w:r>
                  <w:rPr>
                    <w:sz w:val="18"/>
                  </w:rPr>
                  <w:t>SOCIEDAD DE ERGONOMISTAS DE MEXICO, A.C.</w:t>
                </w:r>
              </w:p>
            </w:txbxContent>
          </v:textbox>
          <w10:wrap type="none"/>
        </v:shape>
      </w:pict>
    </w:r>
    <w:r>
      <w:rPr/>
      <w:pict>
        <v:shape style="position:absolute;margin-left:528.740601pt;margin-top:741.817932pt;width:43.15pt;height:11pt;mso-position-horizontal-relative:page;mso-position-vertical-relative:page;z-index:-876016" type="#_x0000_t202" filled="false" stroked="false">
          <v:textbox inset="0,0,0,0">
            <w:txbxContent>
              <w:p>
                <w:pPr>
                  <w:spacing w:line="204" w:lineRule="exact" w:before="0"/>
                  <w:ind w:left="20" w:right="0" w:firstLine="0"/>
                  <w:jc w:val="left"/>
                  <w:rPr>
                    <w:sz w:val="18"/>
                  </w:rPr>
                </w:pPr>
                <w:r>
                  <w:rPr>
                    <w:sz w:val="18"/>
                  </w:rPr>
                  <w:t>Página </w:t>
                </w:r>
                <w:r>
                  <w:rPr/>
                  <w:fldChar w:fldCharType="begin"/>
                </w:r>
                <w:r>
                  <w:rPr>
                    <w:sz w:val="18"/>
                  </w:rPr>
                  <w:instrText> PAGE </w:instrText>
                </w:r>
                <w:r>
                  <w:rPr/>
                  <w:fldChar w:fldCharType="separate"/>
                </w:r>
                <w:r>
                  <w:rPr/>
                  <w:t>331</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77576" from="41.040001pt,740.460022pt" to="594.420001pt,740.460022pt" stroked="true" strokeweight=".72pt" strokecolor="#602321">
          <w10:wrap type="none"/>
        </v:line>
      </w:pict>
    </w:r>
    <w:r>
      <w:rPr/>
      <w:pict>
        <v:line style="position:absolute;mso-position-horizontal-relative:page;mso-position-vertical-relative:page;z-index:-877552" from="41.040001pt,737.880005pt" to="594.420001pt,737.880005pt" stroked="true" strokeweight="3pt" strokecolor="#602321">
          <w10:wrap type="none"/>
        </v:line>
      </w:pict>
    </w:r>
    <w:r>
      <w:rPr/>
      <w:pict>
        <v:shape style="position:absolute;margin-left:41.540001pt;margin-top:741.817932pt;width:207.85pt;height:11pt;mso-position-horizontal-relative:page;mso-position-vertical-relative:page;z-index:-877528" type="#_x0000_t202" filled="false" stroked="false">
          <v:textbox inset="0,0,0,0">
            <w:txbxContent>
              <w:p>
                <w:pPr>
                  <w:spacing w:line="204" w:lineRule="exact" w:before="0"/>
                  <w:ind w:left="20" w:right="-4" w:firstLine="0"/>
                  <w:jc w:val="left"/>
                  <w:rPr>
                    <w:sz w:val="18"/>
                  </w:rPr>
                </w:pPr>
                <w:r>
                  <w:rPr>
                    <w:sz w:val="18"/>
                  </w:rPr>
                  <w:t>SOCIEDAD DE ERGONOMISTAS DE MEXICO, A.C.</w:t>
                </w:r>
              </w:p>
            </w:txbxContent>
          </v:textbox>
          <w10:wrap type="none"/>
        </v:shape>
      </w:pict>
    </w:r>
    <w:r>
      <w:rPr/>
      <w:pict>
        <v:shape style="position:absolute;margin-left:528.740601pt;margin-top:741.817932pt;width:38.7pt;height:11pt;mso-position-horizontal-relative:page;mso-position-vertical-relative:page;z-index:-877504" type="#_x0000_t202" filled="false" stroked="false">
          <v:textbox inset="0,0,0,0">
            <w:txbxContent>
              <w:p>
                <w:pPr>
                  <w:spacing w:line="204" w:lineRule="exact" w:before="0"/>
                  <w:ind w:left="20" w:right="0" w:firstLine="0"/>
                  <w:jc w:val="left"/>
                  <w:rPr>
                    <w:sz w:val="18"/>
                  </w:rPr>
                </w:pPr>
                <w:r>
                  <w:rPr>
                    <w:sz w:val="18"/>
                  </w:rPr>
                  <w:t>Página </w:t>
                </w:r>
                <w:r>
                  <w:rPr/>
                  <w:fldChar w:fldCharType="begin"/>
                </w:r>
                <w:r>
                  <w:rPr>
                    <w:sz w:val="18"/>
                  </w:rPr>
                  <w:instrText> PAGE </w:instrText>
                </w:r>
                <w:r>
                  <w:rPr/>
                  <w:fldChar w:fldCharType="separate"/>
                </w:r>
                <w:r>
                  <w:rPr/>
                  <w:t>83</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77480" from="41.040001pt,740.460022pt" to="594.420001pt,740.460022pt" stroked="true" strokeweight=".72pt" strokecolor="#602321">
          <w10:wrap type="none"/>
        </v:line>
      </w:pict>
    </w:r>
    <w:r>
      <w:rPr/>
      <w:pict>
        <v:line style="position:absolute;mso-position-horizontal-relative:page;mso-position-vertical-relative:page;z-index:-877456" from="41.040001pt,737.880005pt" to="594.420001pt,737.880005pt" stroked="true" strokeweight="3pt" strokecolor="#602321">
          <w10:wrap type="none"/>
        </v:line>
      </w:pict>
    </w:r>
    <w:r>
      <w:rPr/>
      <w:pict>
        <v:shape style="position:absolute;margin-left:41.540001pt;margin-top:741.817932pt;width:207.85pt;height:11pt;mso-position-horizontal-relative:page;mso-position-vertical-relative:page;z-index:-877432" type="#_x0000_t202" filled="false" stroked="false">
          <v:textbox inset="0,0,0,0">
            <w:txbxContent>
              <w:p>
                <w:pPr>
                  <w:spacing w:line="204" w:lineRule="exact" w:before="0"/>
                  <w:ind w:left="20" w:right="-4" w:firstLine="0"/>
                  <w:jc w:val="left"/>
                  <w:rPr>
                    <w:sz w:val="18"/>
                  </w:rPr>
                </w:pPr>
                <w:r>
                  <w:rPr>
                    <w:sz w:val="18"/>
                  </w:rPr>
                  <w:t>SOCIEDAD DE ERGONOMISTAS DE MEXICO, A.C.</w:t>
                </w:r>
              </w:p>
            </w:txbxContent>
          </v:textbox>
          <w10:wrap type="none"/>
        </v:shape>
      </w:pict>
    </w:r>
    <w:r>
      <w:rPr/>
      <w:pict>
        <v:shape style="position:absolute;margin-left:528.740601pt;margin-top:741.817932pt;width:42.15pt;height:11pt;mso-position-horizontal-relative:page;mso-position-vertical-relative:page;z-index:-877408" type="#_x0000_t202" filled="false" stroked="false">
          <v:textbox inset="0,0,0,0">
            <w:txbxContent>
              <w:p>
                <w:pPr>
                  <w:spacing w:line="204" w:lineRule="exact" w:before="0"/>
                  <w:ind w:left="20" w:right="-2" w:firstLine="0"/>
                  <w:jc w:val="left"/>
                  <w:rPr>
                    <w:sz w:val="18"/>
                  </w:rPr>
                </w:pPr>
                <w:r>
                  <w:rPr>
                    <w:sz w:val="18"/>
                  </w:rPr>
                  <w:t>Página 100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77384" from="41.040001pt,740.460022pt" to="594.420001pt,740.460022pt" stroked="true" strokeweight=".72pt" strokecolor="#602321">
          <w10:wrap type="none"/>
        </v:line>
      </w:pict>
    </w:r>
    <w:r>
      <w:rPr/>
      <w:pict>
        <v:line style="position:absolute;mso-position-horizontal-relative:page;mso-position-vertical-relative:page;z-index:-877360" from="41.040001pt,737.880005pt" to="594.420001pt,737.880005pt" stroked="true" strokeweight="3pt" strokecolor="#602321">
          <w10:wrap type="none"/>
        </v:line>
      </w:pict>
    </w:r>
    <w:r>
      <w:rPr/>
      <w:pict>
        <v:shape style="position:absolute;margin-left:41.540001pt;margin-top:741.817932pt;width:207.85pt;height:11pt;mso-position-horizontal-relative:page;mso-position-vertical-relative:page;z-index:-877336" type="#_x0000_t202" filled="false" stroked="false">
          <v:textbox inset="0,0,0,0">
            <w:txbxContent>
              <w:p>
                <w:pPr>
                  <w:spacing w:line="204" w:lineRule="exact" w:before="0"/>
                  <w:ind w:left="20" w:right="-4" w:firstLine="0"/>
                  <w:jc w:val="left"/>
                  <w:rPr>
                    <w:sz w:val="18"/>
                  </w:rPr>
                </w:pPr>
                <w:r>
                  <w:rPr>
                    <w:sz w:val="18"/>
                  </w:rPr>
                  <w:t>SOCIEDAD DE ERGONOMISTAS DE MEXICO, A.C.</w:t>
                </w:r>
              </w:p>
            </w:txbxContent>
          </v:textbox>
          <w10:wrap type="none"/>
        </v:shape>
      </w:pict>
    </w:r>
    <w:r>
      <w:rPr/>
      <w:pict>
        <v:shape style="position:absolute;margin-left:528.740601pt;margin-top:741.817932pt;width:42.15pt;height:11pt;mso-position-horizontal-relative:page;mso-position-vertical-relative:page;z-index:-877312" type="#_x0000_t202" filled="false" stroked="false">
          <v:textbox inset="0,0,0,0">
            <w:txbxContent>
              <w:p>
                <w:pPr>
                  <w:spacing w:line="204" w:lineRule="exact" w:before="0"/>
                  <w:ind w:left="20" w:right="-2" w:firstLine="0"/>
                  <w:jc w:val="left"/>
                  <w:rPr>
                    <w:sz w:val="18"/>
                  </w:rPr>
                </w:pPr>
                <w:r>
                  <w:rPr>
                    <w:sz w:val="18"/>
                  </w:rPr>
                  <w:t>Página 101</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1.540001pt;margin-top:753.337952pt;width:207.85pt;height:11pt;mso-position-horizontal-relative:page;mso-position-vertical-relative:page;z-index:-877288" type="#_x0000_t202" filled="false" stroked="false">
          <v:textbox inset="0,0,0,0">
            <w:txbxContent>
              <w:p>
                <w:pPr>
                  <w:spacing w:line="204" w:lineRule="exact" w:before="0"/>
                  <w:ind w:left="20" w:right="-4" w:firstLine="0"/>
                  <w:jc w:val="left"/>
                  <w:rPr>
                    <w:sz w:val="18"/>
                  </w:rPr>
                </w:pPr>
                <w:r>
                  <w:rPr>
                    <w:sz w:val="18"/>
                  </w:rPr>
                  <w:t>SOCIEDAD DE ERGONOMISTAS DE MEXICO, A.C.</w:t>
                </w:r>
              </w:p>
            </w:txbxContent>
          </v:textbox>
          <w10:wrap type="none"/>
        </v:shape>
      </w:pict>
    </w:r>
    <w:r>
      <w:rPr/>
      <w:pict>
        <v:shape style="position:absolute;margin-left:528.740601pt;margin-top:753.337952pt;width:42.15pt;height:11pt;mso-position-horizontal-relative:page;mso-position-vertical-relative:page;z-index:-877264" type="#_x0000_t202" filled="false" stroked="false">
          <v:textbox inset="0,0,0,0">
            <w:txbxContent>
              <w:p>
                <w:pPr>
                  <w:spacing w:line="204" w:lineRule="exact" w:before="0"/>
                  <w:ind w:left="20" w:right="-2" w:firstLine="0"/>
                  <w:jc w:val="left"/>
                  <w:rPr>
                    <w:sz w:val="18"/>
                  </w:rPr>
                </w:pPr>
                <w:r>
                  <w:rPr>
                    <w:sz w:val="18"/>
                  </w:rPr>
                  <w:t>Página 102</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77240" from="41.040001pt,740.460022pt" to="594.420001pt,740.460022pt" stroked="true" strokeweight=".72pt" strokecolor="#602321">
          <w10:wrap type="none"/>
        </v:line>
      </w:pict>
    </w:r>
    <w:r>
      <w:rPr/>
      <w:pict>
        <v:line style="position:absolute;mso-position-horizontal-relative:page;mso-position-vertical-relative:page;z-index:-877216" from="41.040001pt,737.880005pt" to="594.420001pt,737.880005pt" stroked="true" strokeweight="3pt" strokecolor="#602321">
          <w10:wrap type="none"/>
        </v:line>
      </w:pict>
    </w:r>
    <w:r>
      <w:rPr/>
      <w:pict>
        <v:shape style="position:absolute;margin-left:41.540001pt;margin-top:741.817932pt;width:207.85pt;height:11pt;mso-position-horizontal-relative:page;mso-position-vertical-relative:page;z-index:-877192" type="#_x0000_t202" filled="false" stroked="false">
          <v:textbox inset="0,0,0,0">
            <w:txbxContent>
              <w:p>
                <w:pPr>
                  <w:spacing w:line="204" w:lineRule="exact" w:before="0"/>
                  <w:ind w:left="20" w:right="-4" w:firstLine="0"/>
                  <w:jc w:val="left"/>
                  <w:rPr>
                    <w:sz w:val="18"/>
                  </w:rPr>
                </w:pPr>
                <w:r>
                  <w:rPr>
                    <w:sz w:val="18"/>
                  </w:rPr>
                  <w:t>SOCIEDAD DE ERGONOMISTAS DE MEXICO, A.C.</w:t>
                </w:r>
              </w:p>
            </w:txbxContent>
          </v:textbox>
          <w10:wrap type="none"/>
        </v:shape>
      </w:pict>
    </w:r>
    <w:r>
      <w:rPr/>
      <w:pict>
        <v:shape style="position:absolute;margin-left:528.740601pt;margin-top:741.817932pt;width:43.15pt;height:11pt;mso-position-horizontal-relative:page;mso-position-vertical-relative:page;z-index:-877168" type="#_x0000_t202" filled="false" stroked="false">
          <v:textbox inset="0,0,0,0">
            <w:txbxContent>
              <w:p>
                <w:pPr>
                  <w:spacing w:line="204" w:lineRule="exact" w:before="0"/>
                  <w:ind w:left="20" w:right="0" w:firstLine="0"/>
                  <w:jc w:val="left"/>
                  <w:rPr>
                    <w:sz w:val="18"/>
                  </w:rPr>
                </w:pPr>
                <w:r>
                  <w:rPr>
                    <w:sz w:val="18"/>
                  </w:rPr>
                  <w:t>Página </w:t>
                </w:r>
                <w:r>
                  <w:rPr/>
                  <w:fldChar w:fldCharType="begin"/>
                </w:r>
                <w:r>
                  <w:rPr>
                    <w:sz w:val="18"/>
                  </w:rPr>
                  <w:instrText> PAGE </w:instrText>
                </w:r>
                <w:r>
                  <w:rPr/>
                  <w:fldChar w:fldCharType="separate"/>
                </w:r>
                <w:r>
                  <w:rPr/>
                  <w:t>103</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77144" from="41.040001pt,740.460022pt" to="594.420001pt,740.460022pt" stroked="true" strokeweight=".72pt" strokecolor="#602321">
          <w10:wrap type="none"/>
        </v:line>
      </w:pict>
    </w:r>
    <w:r>
      <w:rPr/>
      <w:pict>
        <v:shape style="position:absolute;margin-left:41.540001pt;margin-top:741.817932pt;width:207.85pt;height:11pt;mso-position-horizontal-relative:page;mso-position-vertical-relative:page;z-index:-877120" type="#_x0000_t202" filled="false" stroked="false">
          <v:textbox inset="0,0,0,0">
            <w:txbxContent>
              <w:p>
                <w:pPr>
                  <w:spacing w:line="204" w:lineRule="exact" w:before="0"/>
                  <w:ind w:left="20" w:right="-4" w:firstLine="0"/>
                  <w:jc w:val="left"/>
                  <w:rPr>
                    <w:sz w:val="18"/>
                  </w:rPr>
                </w:pPr>
                <w:r>
                  <w:rPr>
                    <w:sz w:val="18"/>
                  </w:rPr>
                  <w:t>SOCIEDAD DE ERGONOMISTAS DE MEXICO, A.C.</w:t>
                </w:r>
              </w:p>
            </w:txbxContent>
          </v:textbox>
          <w10:wrap type="none"/>
        </v:shape>
      </w:pict>
    </w:r>
    <w:r>
      <w:rPr/>
      <w:pict>
        <v:shape style="position:absolute;margin-left:528.740601pt;margin-top:741.817932pt;width:43.15pt;height:11pt;mso-position-horizontal-relative:page;mso-position-vertical-relative:page;z-index:-877096" type="#_x0000_t202" filled="false" stroked="false">
          <v:textbox inset="0,0,0,0">
            <w:txbxContent>
              <w:p>
                <w:pPr>
                  <w:spacing w:line="204" w:lineRule="exact" w:before="0"/>
                  <w:ind w:left="20" w:right="0" w:firstLine="0"/>
                  <w:jc w:val="left"/>
                  <w:rPr>
                    <w:sz w:val="18"/>
                  </w:rPr>
                </w:pPr>
                <w:r>
                  <w:rPr>
                    <w:sz w:val="18"/>
                  </w:rPr>
                  <w:t>Página </w:t>
                </w:r>
                <w:r>
                  <w:rPr/>
                  <w:fldChar w:fldCharType="begin"/>
                </w:r>
                <w:r>
                  <w:rPr>
                    <w:sz w:val="18"/>
                  </w:rPr>
                  <w:instrText> PAGE </w:instrText>
                </w:r>
                <w:r>
                  <w:rPr/>
                  <w:fldChar w:fldCharType="separate"/>
                </w:r>
                <w:r>
                  <w:rPr/>
                  <w:t>153</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77072" from="41.040001pt,740.460022pt" to="594.420001pt,740.460022pt" stroked="true" strokeweight=".72pt" strokecolor="#602321">
          <w10:wrap type="none"/>
        </v:line>
      </w:pict>
    </w:r>
    <w:r>
      <w:rPr/>
      <w:pict>
        <v:line style="position:absolute;mso-position-horizontal-relative:page;mso-position-vertical-relative:page;z-index:-877048" from="41.040001pt,737.880005pt" to="594.420001pt,737.880005pt" stroked="true" strokeweight="3pt" strokecolor="#602321">
          <w10:wrap type="none"/>
        </v:line>
      </w:pict>
    </w:r>
    <w:r>
      <w:rPr/>
      <w:pict>
        <v:shape style="position:absolute;margin-left:41.540001pt;margin-top:741.817932pt;width:207.85pt;height:11pt;mso-position-horizontal-relative:page;mso-position-vertical-relative:page;z-index:-877024" type="#_x0000_t202" filled="false" stroked="false">
          <v:textbox inset="0,0,0,0">
            <w:txbxContent>
              <w:p>
                <w:pPr>
                  <w:spacing w:line="204" w:lineRule="exact" w:before="0"/>
                  <w:ind w:left="20" w:right="-4" w:firstLine="0"/>
                  <w:jc w:val="left"/>
                  <w:rPr>
                    <w:sz w:val="18"/>
                  </w:rPr>
                </w:pPr>
                <w:r>
                  <w:rPr>
                    <w:sz w:val="18"/>
                  </w:rPr>
                  <w:t>SOCIEDAD DE ERGONOMISTAS DE MEXICO, A.C.</w:t>
                </w:r>
              </w:p>
            </w:txbxContent>
          </v:textbox>
          <w10:wrap type="none"/>
        </v:shape>
      </w:pict>
    </w:r>
    <w:r>
      <w:rPr/>
      <w:pict>
        <v:shape style="position:absolute;margin-left:528.740601pt;margin-top:741.817932pt;width:43.15pt;height:11pt;mso-position-horizontal-relative:page;mso-position-vertical-relative:page;z-index:-877000" type="#_x0000_t202" filled="false" stroked="false">
          <v:textbox inset="0,0,0,0">
            <w:txbxContent>
              <w:p>
                <w:pPr>
                  <w:spacing w:line="204" w:lineRule="exact" w:before="0"/>
                  <w:ind w:left="20" w:right="0" w:firstLine="0"/>
                  <w:jc w:val="left"/>
                  <w:rPr>
                    <w:sz w:val="18"/>
                  </w:rPr>
                </w:pPr>
                <w:r>
                  <w:rPr>
                    <w:sz w:val="18"/>
                  </w:rPr>
                  <w:t>Página </w:t>
                </w:r>
                <w:r>
                  <w:rPr/>
                  <w:fldChar w:fldCharType="begin"/>
                </w:r>
                <w:r>
                  <w:rPr>
                    <w:sz w:val="18"/>
                  </w:rPr>
                  <w:instrText> PAGE </w:instrText>
                </w:r>
                <w:r>
                  <w:rPr/>
                  <w:fldChar w:fldCharType="separate"/>
                </w:r>
                <w:r>
                  <w:rPr/>
                  <w:t>154</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type id="_x0000_t202" o:spt="202" coordsize="21600,21600" path="m,l,21600r21600,l21600,xe">
          <v:stroke joinstyle="miter"/>
          <v:path gradientshapeok="t" o:connecttype="rect"/>
        </v:shapetype>
        <v:shape style="position:absolute;margin-left:285.256897pt;margin-top:36.467167pt;width:246.6pt;height:11pt;mso-position-horizontal-relative:page;mso-position-vertical-relative:page;z-index:-877792" type="#_x0000_t202" filled="false" stroked="false">
          <v:textbox inset="0,0,0,0">
            <w:txbxContent>
              <w:p>
                <w:pPr>
                  <w:spacing w:line="204" w:lineRule="exact" w:before="0"/>
                  <w:ind w:left="20" w:right="0" w:firstLine="0"/>
                  <w:jc w:val="left"/>
                  <w:rPr>
                    <w:rFonts w:ascii="Arial" w:hAnsi="Arial"/>
                    <w:i/>
                    <w:sz w:val="18"/>
                  </w:rPr>
                </w:pPr>
                <w:r>
                  <w:rPr>
                    <w:rFonts w:ascii="Arial" w:hAnsi="Arial"/>
                    <w:i/>
                    <w:sz w:val="18"/>
                  </w:rPr>
                  <w:t>Ergonomía </w:t>
                </w:r>
                <w:r>
                  <w:rPr>
                    <w:rFonts w:ascii="Arial" w:hAnsi="Arial"/>
                    <w:i/>
                    <w:spacing w:val="-3"/>
                    <w:sz w:val="18"/>
                  </w:rPr>
                  <w:t>Ocupacional. Investigaciones </w:t>
                </w:r>
                <w:r>
                  <w:rPr>
                    <w:rFonts w:ascii="Arial" w:hAnsi="Arial"/>
                    <w:i/>
                    <w:sz w:val="18"/>
                  </w:rPr>
                  <w:t>y </w:t>
                </w:r>
                <w:r>
                  <w:rPr>
                    <w:rFonts w:ascii="Arial" w:hAnsi="Arial"/>
                    <w:i/>
                    <w:spacing w:val="-3"/>
                    <w:sz w:val="18"/>
                  </w:rPr>
                  <w:t>aplicaciones:. </w:t>
                </w:r>
                <w:r>
                  <w:rPr>
                    <w:rFonts w:ascii="Arial" w:hAnsi="Arial"/>
                    <w:i/>
                    <w:sz w:val="18"/>
                  </w:rPr>
                  <w:t>Vol 8</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6.060001pt;margin-top:28.379999pt;width:536.7pt;height:23.85pt;mso-position-horizontal-relative:page;mso-position-vertical-relative:page;z-index:-877768" coordorigin="721,568" coordsize="10734,477" path="m721,1022l10097,1022m10119,568l10119,1044m10141,1022l11455,1022e" filled="false" stroked="true" strokeweight="2.220pt" strokecolor="#7f7f7f">
          <v:path arrowok="t"/>
          <w10:wrap type="none"/>
        </v:shape>
      </w:pict>
    </w:r>
    <w:r>
      <w:rPr/>
      <w:pict>
        <v:shape style="position:absolute;margin-left:193.339996pt;margin-top:32.711056pt;width:344.85pt;height:12.05pt;mso-position-horizontal-relative:page;mso-position-vertical-relative:page;z-index:-877744" type="#_x0000_t202" filled="false" stroked="false">
          <v:textbox inset="0,0,0,0">
            <w:txbxContent>
              <w:p>
                <w:pPr>
                  <w:pStyle w:val="BodyText"/>
                  <w:tabs>
                    <w:tab w:pos="6367" w:val="left" w:leader="none"/>
                  </w:tabs>
                  <w:spacing w:line="228" w:lineRule="exact"/>
                  <w:ind w:left="20"/>
                  <w:rPr>
                    <w:rFonts w:ascii="Verdana" w:hAnsi="Verdana"/>
                  </w:rPr>
                </w:pPr>
                <w:r>
                  <w:rPr>
                    <w:rFonts w:ascii="Verdana" w:hAnsi="Verdana"/>
                  </w:rPr>
                  <w:t>Ergonomía Ocupacional.  Investigaciones y Soluciones.</w:t>
                </w:r>
                <w:r>
                  <w:rPr>
                    <w:rFonts w:ascii="Verdana" w:hAnsi="Verdana"/>
                    <w:spacing w:val="-16"/>
                  </w:rPr>
                  <w:t> </w:t>
                </w:r>
                <w:r>
                  <w:rPr>
                    <w:rFonts w:ascii="Verdana" w:hAnsi="Verdana"/>
                  </w:rPr>
                  <w:t>Vol</w:t>
                </w:r>
                <w:r>
                  <w:rPr>
                    <w:rFonts w:ascii="Verdana" w:hAnsi="Verdana"/>
                    <w:spacing w:val="-4"/>
                  </w:rPr>
                  <w:t> </w:t>
                </w:r>
                <w:r>
                  <w:rPr>
                    <w:rFonts w:ascii="Verdana" w:hAnsi="Verdana"/>
                  </w:rPr>
                  <w:t>8</w:t>
                  <w:tab/>
                  <w:t>2015</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6.060001pt;margin-top:28.379999pt;width:536.7pt;height:23.85pt;mso-position-horizontal-relative:page;mso-position-vertical-relative:page;z-index:-877624" coordorigin="721,568" coordsize="10734,477" path="m721,1022l10097,1022m10119,568l10119,1044m10141,1022l11455,1022e" filled="false" stroked="true" strokeweight="2.220pt" strokecolor="#7f7f7f">
          <v:path arrowok="t"/>
          <w10:wrap type="none"/>
        </v:shape>
      </w:pict>
    </w:r>
    <w:r>
      <w:rPr/>
      <w:pict>
        <v:shape style="position:absolute;margin-left:193.339996pt;margin-top:32.711056pt;width:344.85pt;height:12.05pt;mso-position-horizontal-relative:page;mso-position-vertical-relative:page;z-index:-877600" type="#_x0000_t202" filled="false" stroked="false">
          <v:textbox inset="0,0,0,0">
            <w:txbxContent>
              <w:p>
                <w:pPr>
                  <w:pStyle w:val="BodyText"/>
                  <w:tabs>
                    <w:tab w:pos="6367" w:val="left" w:leader="none"/>
                  </w:tabs>
                  <w:spacing w:line="228" w:lineRule="exact"/>
                  <w:ind w:left="20"/>
                  <w:rPr>
                    <w:rFonts w:ascii="Verdana" w:hAnsi="Verdana"/>
                  </w:rPr>
                </w:pPr>
                <w:r>
                  <w:rPr>
                    <w:rFonts w:ascii="Verdana" w:hAnsi="Verdana"/>
                  </w:rPr>
                  <w:t>Ergonomía Ocupacional.  Investigaciones y Soluciones.</w:t>
                </w:r>
                <w:r>
                  <w:rPr>
                    <w:rFonts w:ascii="Verdana" w:hAnsi="Verdana"/>
                    <w:spacing w:val="-16"/>
                  </w:rPr>
                  <w:t> </w:t>
                </w:r>
                <w:r>
                  <w:rPr>
                    <w:rFonts w:ascii="Verdana" w:hAnsi="Verdana"/>
                  </w:rPr>
                  <w:t>Vol</w:t>
                </w:r>
                <w:r>
                  <w:rPr>
                    <w:rFonts w:ascii="Verdana" w:hAnsi="Verdana"/>
                    <w:spacing w:val="-4"/>
                  </w:rPr>
                  <w:t> </w:t>
                </w:r>
                <w:r>
                  <w:rPr>
                    <w:rFonts w:ascii="Verdana" w:hAnsi="Verdana"/>
                  </w:rPr>
                  <w:t>8</w:t>
                  <w:tab/>
                  <w:t>2015</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6.060001pt;margin-top:28.379999pt;width:536.7pt;height:23.85pt;mso-position-horizontal-relative:page;mso-position-vertical-relative:page;z-index:-876976" coordorigin="721,568" coordsize="10734,477" path="m721,1022l10097,1022m10119,568l10119,1044m10141,1022l11455,1022e" filled="false" stroked="true" strokeweight="2.220pt" strokecolor="#7f7f7f">
          <v:path arrowok="t"/>
          <w10:wrap type="none"/>
        </v:shape>
      </w:pict>
    </w:r>
    <w:r>
      <w:rPr/>
      <w:pict>
        <v:shape style="position:absolute;margin-left:193.339996pt;margin-top:32.711056pt;width:344.85pt;height:12.05pt;mso-position-horizontal-relative:page;mso-position-vertical-relative:page;z-index:-876952" type="#_x0000_t202" filled="false" stroked="false">
          <v:textbox inset="0,0,0,0">
            <w:txbxContent>
              <w:p>
                <w:pPr>
                  <w:pStyle w:val="BodyText"/>
                  <w:tabs>
                    <w:tab w:pos="6367" w:val="left" w:leader="none"/>
                  </w:tabs>
                  <w:spacing w:line="228" w:lineRule="exact"/>
                  <w:ind w:left="20"/>
                  <w:rPr>
                    <w:rFonts w:ascii="Verdana" w:hAnsi="Verdana"/>
                  </w:rPr>
                </w:pPr>
                <w:r>
                  <w:rPr>
                    <w:rFonts w:ascii="Verdana" w:hAnsi="Verdana"/>
                  </w:rPr>
                  <w:t>Ergonomía Ocupacional.  Investigaciones y Soluciones.</w:t>
                </w:r>
                <w:r>
                  <w:rPr>
                    <w:rFonts w:ascii="Verdana" w:hAnsi="Verdana"/>
                    <w:spacing w:val="-16"/>
                  </w:rPr>
                  <w:t> </w:t>
                </w:r>
                <w:r>
                  <w:rPr>
                    <w:rFonts w:ascii="Verdana" w:hAnsi="Verdana"/>
                  </w:rPr>
                  <w:t>Vol</w:t>
                </w:r>
                <w:r>
                  <w:rPr>
                    <w:rFonts w:ascii="Verdana" w:hAnsi="Verdana"/>
                    <w:spacing w:val="-4"/>
                  </w:rPr>
                  <w:t> </w:t>
                </w:r>
                <w:r>
                  <w:rPr>
                    <w:rFonts w:ascii="Verdana" w:hAnsi="Verdana"/>
                  </w:rPr>
                  <w:t>8</w:t>
                  <w:tab/>
                  <w:t>2015</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36">
    <w:multiLevelType w:val="hybridMultilevel"/>
    <w:lvl w:ilvl="0">
      <w:start w:val="1"/>
      <w:numFmt w:val="bullet"/>
      <w:lvlText w:val=""/>
      <w:lvlJc w:val="left"/>
      <w:pPr>
        <w:ind w:left="990" w:hanging="348"/>
      </w:pPr>
      <w:rPr>
        <w:rFonts w:hint="default" w:ascii="Symbol" w:hAnsi="Symbol" w:eastAsia="Symbol" w:cs="Symbol"/>
        <w:w w:val="99"/>
        <w:sz w:val="20"/>
        <w:szCs w:val="20"/>
      </w:rPr>
    </w:lvl>
    <w:lvl w:ilvl="1">
      <w:start w:val="1"/>
      <w:numFmt w:val="bullet"/>
      <w:lvlText w:val="•"/>
      <w:lvlJc w:val="left"/>
      <w:pPr>
        <w:ind w:left="1481" w:hanging="348"/>
      </w:pPr>
      <w:rPr>
        <w:rFonts w:hint="default"/>
      </w:rPr>
    </w:lvl>
    <w:lvl w:ilvl="2">
      <w:start w:val="1"/>
      <w:numFmt w:val="bullet"/>
      <w:lvlText w:val="•"/>
      <w:lvlJc w:val="left"/>
      <w:pPr>
        <w:ind w:left="1963" w:hanging="348"/>
      </w:pPr>
      <w:rPr>
        <w:rFonts w:hint="default"/>
      </w:rPr>
    </w:lvl>
    <w:lvl w:ilvl="3">
      <w:start w:val="1"/>
      <w:numFmt w:val="bullet"/>
      <w:lvlText w:val="•"/>
      <w:lvlJc w:val="left"/>
      <w:pPr>
        <w:ind w:left="2444" w:hanging="348"/>
      </w:pPr>
      <w:rPr>
        <w:rFonts w:hint="default"/>
      </w:rPr>
    </w:lvl>
    <w:lvl w:ilvl="4">
      <w:start w:val="1"/>
      <w:numFmt w:val="bullet"/>
      <w:lvlText w:val="•"/>
      <w:lvlJc w:val="left"/>
      <w:pPr>
        <w:ind w:left="2926" w:hanging="348"/>
      </w:pPr>
      <w:rPr>
        <w:rFonts w:hint="default"/>
      </w:rPr>
    </w:lvl>
    <w:lvl w:ilvl="5">
      <w:start w:val="1"/>
      <w:numFmt w:val="bullet"/>
      <w:lvlText w:val="•"/>
      <w:lvlJc w:val="left"/>
      <w:pPr>
        <w:ind w:left="3407" w:hanging="348"/>
      </w:pPr>
      <w:rPr>
        <w:rFonts w:hint="default"/>
      </w:rPr>
    </w:lvl>
    <w:lvl w:ilvl="6">
      <w:start w:val="1"/>
      <w:numFmt w:val="bullet"/>
      <w:lvlText w:val="•"/>
      <w:lvlJc w:val="left"/>
      <w:pPr>
        <w:ind w:left="3889" w:hanging="348"/>
      </w:pPr>
      <w:rPr>
        <w:rFonts w:hint="default"/>
      </w:rPr>
    </w:lvl>
    <w:lvl w:ilvl="7">
      <w:start w:val="1"/>
      <w:numFmt w:val="bullet"/>
      <w:lvlText w:val="•"/>
      <w:lvlJc w:val="left"/>
      <w:pPr>
        <w:ind w:left="4370" w:hanging="348"/>
      </w:pPr>
      <w:rPr>
        <w:rFonts w:hint="default"/>
      </w:rPr>
    </w:lvl>
    <w:lvl w:ilvl="8">
      <w:start w:val="1"/>
      <w:numFmt w:val="bullet"/>
      <w:lvlText w:val="•"/>
      <w:lvlJc w:val="left"/>
      <w:pPr>
        <w:ind w:left="4852" w:hanging="348"/>
      </w:pPr>
      <w:rPr>
        <w:rFonts w:hint="default"/>
      </w:rPr>
    </w:lvl>
  </w:abstractNum>
  <w:abstractNum w:abstractNumId="68">
    <w:multiLevelType w:val="hybridMultilevel"/>
    <w:lvl w:ilvl="0">
      <w:start w:val="1"/>
      <w:numFmt w:val="decimal"/>
      <w:lvlText w:val="%1."/>
      <w:lvlJc w:val="left"/>
      <w:pPr>
        <w:ind w:left="978" w:hanging="348"/>
        <w:jc w:val="right"/>
      </w:pPr>
      <w:rPr>
        <w:rFonts w:hint="default" w:ascii="Times New Roman" w:hAnsi="Times New Roman" w:eastAsia="Times New Roman" w:cs="Times New Roman"/>
        <w:b/>
        <w:bCs/>
        <w:spacing w:val="-1"/>
        <w:w w:val="100"/>
        <w:sz w:val="18"/>
        <w:szCs w:val="18"/>
      </w:rPr>
    </w:lvl>
    <w:lvl w:ilvl="1">
      <w:start w:val="1"/>
      <w:numFmt w:val="decimal"/>
      <w:lvlText w:val="%1.%2."/>
      <w:lvlJc w:val="left"/>
      <w:pPr>
        <w:ind w:left="722" w:hanging="452"/>
        <w:jc w:val="left"/>
      </w:pPr>
      <w:rPr>
        <w:rFonts w:hint="default" w:ascii="Times New Roman" w:hAnsi="Times New Roman" w:eastAsia="Times New Roman" w:cs="Times New Roman"/>
        <w:b/>
        <w:bCs/>
        <w:spacing w:val="-2"/>
        <w:w w:val="100"/>
        <w:sz w:val="18"/>
        <w:szCs w:val="18"/>
      </w:rPr>
    </w:lvl>
    <w:lvl w:ilvl="2">
      <w:start w:val="1"/>
      <w:numFmt w:val="decimal"/>
      <w:lvlText w:val="%1.%2.%3."/>
      <w:lvlJc w:val="left"/>
      <w:pPr>
        <w:ind w:left="855" w:hanging="585"/>
        <w:jc w:val="left"/>
      </w:pPr>
      <w:rPr>
        <w:rFonts w:hint="default" w:ascii="Times New Roman" w:hAnsi="Times New Roman" w:eastAsia="Times New Roman" w:cs="Times New Roman"/>
        <w:b/>
        <w:bCs/>
        <w:spacing w:val="-2"/>
        <w:w w:val="100"/>
        <w:sz w:val="18"/>
        <w:szCs w:val="18"/>
      </w:rPr>
    </w:lvl>
    <w:lvl w:ilvl="3">
      <w:start w:val="1"/>
      <w:numFmt w:val="bullet"/>
      <w:lvlText w:val="•"/>
      <w:lvlJc w:val="left"/>
      <w:pPr>
        <w:ind w:left="803" w:hanging="585"/>
      </w:pPr>
      <w:rPr>
        <w:rFonts w:hint="default"/>
      </w:rPr>
    </w:lvl>
    <w:lvl w:ilvl="4">
      <w:start w:val="1"/>
      <w:numFmt w:val="bullet"/>
      <w:lvlText w:val="•"/>
      <w:lvlJc w:val="left"/>
      <w:pPr>
        <w:ind w:left="626" w:hanging="585"/>
      </w:pPr>
      <w:rPr>
        <w:rFonts w:hint="default"/>
      </w:rPr>
    </w:lvl>
    <w:lvl w:ilvl="5">
      <w:start w:val="1"/>
      <w:numFmt w:val="bullet"/>
      <w:lvlText w:val="•"/>
      <w:lvlJc w:val="left"/>
      <w:pPr>
        <w:ind w:left="449" w:hanging="585"/>
      </w:pPr>
      <w:rPr>
        <w:rFonts w:hint="default"/>
      </w:rPr>
    </w:lvl>
    <w:lvl w:ilvl="6">
      <w:start w:val="1"/>
      <w:numFmt w:val="bullet"/>
      <w:lvlText w:val="•"/>
      <w:lvlJc w:val="left"/>
      <w:pPr>
        <w:ind w:left="272" w:hanging="585"/>
      </w:pPr>
      <w:rPr>
        <w:rFonts w:hint="default"/>
      </w:rPr>
    </w:lvl>
    <w:lvl w:ilvl="7">
      <w:start w:val="1"/>
      <w:numFmt w:val="bullet"/>
      <w:lvlText w:val="•"/>
      <w:lvlJc w:val="left"/>
      <w:pPr>
        <w:ind w:left="95" w:hanging="585"/>
      </w:pPr>
      <w:rPr>
        <w:rFonts w:hint="default"/>
      </w:rPr>
    </w:lvl>
    <w:lvl w:ilvl="8">
      <w:start w:val="1"/>
      <w:numFmt w:val="bullet"/>
      <w:lvlText w:val="•"/>
      <w:lvlJc w:val="left"/>
      <w:pPr>
        <w:ind w:left="-82" w:hanging="585"/>
      </w:pPr>
      <w:rPr>
        <w:rFonts w:hint="default"/>
      </w:rPr>
    </w:lvl>
  </w:abstractNum>
  <w:abstractNum w:abstractNumId="0">
    <w:multiLevelType w:val="hybridMultilevel"/>
    <w:lvl w:ilvl="0">
      <w:start w:val="1"/>
      <w:numFmt w:val="decimal"/>
      <w:lvlText w:val="%1."/>
      <w:lvlJc w:val="left"/>
      <w:pPr>
        <w:ind w:left="270" w:hanging="360"/>
        <w:jc w:val="left"/>
      </w:pPr>
      <w:rPr>
        <w:rFonts w:hint="default" w:ascii="Times New Roman" w:hAnsi="Times New Roman" w:eastAsia="Times New Roman" w:cs="Times New Roman"/>
        <w:b/>
        <w:bCs/>
        <w:color w:val="202020"/>
        <w:w w:val="100"/>
        <w:sz w:val="18"/>
        <w:szCs w:val="18"/>
      </w:rPr>
    </w:lvl>
    <w:lvl w:ilvl="1">
      <w:start w:val="1"/>
      <w:numFmt w:val="decimal"/>
      <w:lvlText w:val="%1.%2."/>
      <w:lvlJc w:val="left"/>
      <w:pPr>
        <w:ind w:left="696" w:hanging="360"/>
        <w:jc w:val="left"/>
      </w:pPr>
      <w:rPr>
        <w:rFonts w:hint="default" w:ascii="Times New Roman" w:hAnsi="Times New Roman" w:eastAsia="Times New Roman" w:cs="Times New Roman"/>
        <w:b/>
        <w:bCs/>
        <w:color w:val="202020"/>
        <w:spacing w:val="-1"/>
        <w:w w:val="100"/>
        <w:sz w:val="18"/>
        <w:szCs w:val="18"/>
      </w:rPr>
    </w:lvl>
    <w:lvl w:ilvl="2">
      <w:start w:val="1"/>
      <w:numFmt w:val="bullet"/>
      <w:lvlText w:val="•"/>
      <w:lvlJc w:val="left"/>
      <w:pPr>
        <w:ind w:left="573" w:hanging="360"/>
      </w:pPr>
      <w:rPr>
        <w:rFonts w:hint="default"/>
      </w:rPr>
    </w:lvl>
    <w:lvl w:ilvl="3">
      <w:start w:val="1"/>
      <w:numFmt w:val="bullet"/>
      <w:lvlText w:val="•"/>
      <w:lvlJc w:val="left"/>
      <w:pPr>
        <w:ind w:left="447" w:hanging="360"/>
      </w:pPr>
      <w:rPr>
        <w:rFonts w:hint="default"/>
      </w:rPr>
    </w:lvl>
    <w:lvl w:ilvl="4">
      <w:start w:val="1"/>
      <w:numFmt w:val="bullet"/>
      <w:lvlText w:val="•"/>
      <w:lvlJc w:val="left"/>
      <w:pPr>
        <w:ind w:left="321" w:hanging="360"/>
      </w:pPr>
      <w:rPr>
        <w:rFonts w:hint="default"/>
      </w:rPr>
    </w:lvl>
    <w:lvl w:ilvl="5">
      <w:start w:val="1"/>
      <w:numFmt w:val="bullet"/>
      <w:lvlText w:val="•"/>
      <w:lvlJc w:val="left"/>
      <w:pPr>
        <w:ind w:left="195" w:hanging="360"/>
      </w:pPr>
      <w:rPr>
        <w:rFonts w:hint="default"/>
      </w:rPr>
    </w:lvl>
    <w:lvl w:ilvl="6">
      <w:start w:val="1"/>
      <w:numFmt w:val="bullet"/>
      <w:lvlText w:val="•"/>
      <w:lvlJc w:val="left"/>
      <w:pPr>
        <w:ind w:left="68" w:hanging="360"/>
      </w:pPr>
      <w:rPr>
        <w:rFonts w:hint="default"/>
      </w:rPr>
    </w:lvl>
    <w:lvl w:ilvl="7">
      <w:start w:val="1"/>
      <w:numFmt w:val="bullet"/>
      <w:lvlText w:val="•"/>
      <w:lvlJc w:val="left"/>
      <w:pPr>
        <w:ind w:left="-58" w:hanging="360"/>
      </w:pPr>
      <w:rPr>
        <w:rFonts w:hint="default"/>
      </w:rPr>
    </w:lvl>
    <w:lvl w:ilvl="8">
      <w:start w:val="1"/>
      <w:numFmt w:val="bullet"/>
      <w:lvlText w:val="•"/>
      <w:lvlJc w:val="left"/>
      <w:pPr>
        <w:ind w:left="-184" w:hanging="360"/>
      </w:pPr>
      <w:rPr>
        <w:rFonts w:hint="default"/>
      </w:rPr>
    </w:lvl>
  </w:abstractNum>
  <w:abstractNum w:abstractNumId="184">
    <w:multiLevelType w:val="hybridMultilevel"/>
    <w:lvl w:ilvl="0">
      <w:start w:val="5"/>
      <w:numFmt w:val="decimal"/>
      <w:lvlText w:val="%1."/>
      <w:lvlJc w:val="left"/>
      <w:pPr>
        <w:ind w:left="471" w:hanging="201"/>
        <w:jc w:val="left"/>
      </w:pPr>
      <w:rPr>
        <w:rFonts w:hint="default" w:ascii="Times New Roman" w:hAnsi="Times New Roman" w:eastAsia="Times New Roman" w:cs="Times New Roman"/>
        <w:b/>
        <w:bCs/>
        <w:w w:val="100"/>
        <w:sz w:val="20"/>
        <w:szCs w:val="20"/>
      </w:rPr>
    </w:lvl>
    <w:lvl w:ilvl="1">
      <w:start w:val="1"/>
      <w:numFmt w:val="bullet"/>
      <w:lvlText w:val="•"/>
      <w:lvlJc w:val="left"/>
      <w:pPr>
        <w:ind w:left="1013" w:hanging="201"/>
      </w:pPr>
      <w:rPr>
        <w:rFonts w:hint="default"/>
      </w:rPr>
    </w:lvl>
    <w:lvl w:ilvl="2">
      <w:start w:val="1"/>
      <w:numFmt w:val="bullet"/>
      <w:lvlText w:val="•"/>
      <w:lvlJc w:val="left"/>
      <w:pPr>
        <w:ind w:left="1547" w:hanging="201"/>
      </w:pPr>
      <w:rPr>
        <w:rFonts w:hint="default"/>
      </w:rPr>
    </w:lvl>
    <w:lvl w:ilvl="3">
      <w:start w:val="1"/>
      <w:numFmt w:val="bullet"/>
      <w:lvlText w:val="•"/>
      <w:lvlJc w:val="left"/>
      <w:pPr>
        <w:ind w:left="2080" w:hanging="201"/>
      </w:pPr>
      <w:rPr>
        <w:rFonts w:hint="default"/>
      </w:rPr>
    </w:lvl>
    <w:lvl w:ilvl="4">
      <w:start w:val="1"/>
      <w:numFmt w:val="bullet"/>
      <w:lvlText w:val="•"/>
      <w:lvlJc w:val="left"/>
      <w:pPr>
        <w:ind w:left="2614" w:hanging="201"/>
      </w:pPr>
      <w:rPr>
        <w:rFonts w:hint="default"/>
      </w:rPr>
    </w:lvl>
    <w:lvl w:ilvl="5">
      <w:start w:val="1"/>
      <w:numFmt w:val="bullet"/>
      <w:lvlText w:val="•"/>
      <w:lvlJc w:val="left"/>
      <w:pPr>
        <w:ind w:left="3147" w:hanging="201"/>
      </w:pPr>
      <w:rPr>
        <w:rFonts w:hint="default"/>
      </w:rPr>
    </w:lvl>
    <w:lvl w:ilvl="6">
      <w:start w:val="1"/>
      <w:numFmt w:val="bullet"/>
      <w:lvlText w:val="•"/>
      <w:lvlJc w:val="left"/>
      <w:pPr>
        <w:ind w:left="3681" w:hanging="201"/>
      </w:pPr>
      <w:rPr>
        <w:rFonts w:hint="default"/>
      </w:rPr>
    </w:lvl>
    <w:lvl w:ilvl="7">
      <w:start w:val="1"/>
      <w:numFmt w:val="bullet"/>
      <w:lvlText w:val="•"/>
      <w:lvlJc w:val="left"/>
      <w:pPr>
        <w:ind w:left="4214" w:hanging="201"/>
      </w:pPr>
      <w:rPr>
        <w:rFonts w:hint="default"/>
      </w:rPr>
    </w:lvl>
    <w:lvl w:ilvl="8">
      <w:start w:val="1"/>
      <w:numFmt w:val="bullet"/>
      <w:lvlText w:val="•"/>
      <w:lvlJc w:val="left"/>
      <w:pPr>
        <w:ind w:left="4748" w:hanging="201"/>
      </w:pPr>
      <w:rPr>
        <w:rFonts w:hint="default"/>
      </w:rPr>
    </w:lvl>
  </w:abstractNum>
  <w:abstractNum w:abstractNumId="183">
    <w:multiLevelType w:val="hybridMultilevel"/>
    <w:lvl w:ilvl="0">
      <w:start w:val="1"/>
      <w:numFmt w:val="decimal"/>
      <w:lvlText w:val="%1."/>
      <w:lvlJc w:val="left"/>
      <w:pPr>
        <w:ind w:left="270" w:hanging="222"/>
        <w:jc w:val="left"/>
      </w:pPr>
      <w:rPr>
        <w:rFonts w:hint="default" w:ascii="Times New Roman" w:hAnsi="Times New Roman" w:eastAsia="Times New Roman" w:cs="Times New Roman"/>
        <w:w w:val="100"/>
        <w:sz w:val="20"/>
        <w:szCs w:val="20"/>
      </w:rPr>
    </w:lvl>
    <w:lvl w:ilvl="1">
      <w:start w:val="1"/>
      <w:numFmt w:val="bullet"/>
      <w:lvlText w:val="•"/>
      <w:lvlJc w:val="left"/>
      <w:pPr>
        <w:ind w:left="770" w:hanging="222"/>
      </w:pPr>
      <w:rPr>
        <w:rFonts w:hint="default"/>
      </w:rPr>
    </w:lvl>
    <w:lvl w:ilvl="2">
      <w:start w:val="1"/>
      <w:numFmt w:val="bullet"/>
      <w:lvlText w:val="•"/>
      <w:lvlJc w:val="left"/>
      <w:pPr>
        <w:ind w:left="1261" w:hanging="222"/>
      </w:pPr>
      <w:rPr>
        <w:rFonts w:hint="default"/>
      </w:rPr>
    </w:lvl>
    <w:lvl w:ilvl="3">
      <w:start w:val="1"/>
      <w:numFmt w:val="bullet"/>
      <w:lvlText w:val="•"/>
      <w:lvlJc w:val="left"/>
      <w:pPr>
        <w:ind w:left="1752" w:hanging="222"/>
      </w:pPr>
      <w:rPr>
        <w:rFonts w:hint="default"/>
      </w:rPr>
    </w:lvl>
    <w:lvl w:ilvl="4">
      <w:start w:val="1"/>
      <w:numFmt w:val="bullet"/>
      <w:lvlText w:val="•"/>
      <w:lvlJc w:val="left"/>
      <w:pPr>
        <w:ind w:left="2243" w:hanging="222"/>
      </w:pPr>
      <w:rPr>
        <w:rFonts w:hint="default"/>
      </w:rPr>
    </w:lvl>
    <w:lvl w:ilvl="5">
      <w:start w:val="1"/>
      <w:numFmt w:val="bullet"/>
      <w:lvlText w:val="•"/>
      <w:lvlJc w:val="left"/>
      <w:pPr>
        <w:ind w:left="2734" w:hanging="222"/>
      </w:pPr>
      <w:rPr>
        <w:rFonts w:hint="default"/>
      </w:rPr>
    </w:lvl>
    <w:lvl w:ilvl="6">
      <w:start w:val="1"/>
      <w:numFmt w:val="bullet"/>
      <w:lvlText w:val="•"/>
      <w:lvlJc w:val="left"/>
      <w:pPr>
        <w:ind w:left="3225" w:hanging="222"/>
      </w:pPr>
      <w:rPr>
        <w:rFonts w:hint="default"/>
      </w:rPr>
    </w:lvl>
    <w:lvl w:ilvl="7">
      <w:start w:val="1"/>
      <w:numFmt w:val="bullet"/>
      <w:lvlText w:val="•"/>
      <w:lvlJc w:val="left"/>
      <w:pPr>
        <w:ind w:left="3716" w:hanging="222"/>
      </w:pPr>
      <w:rPr>
        <w:rFonts w:hint="default"/>
      </w:rPr>
    </w:lvl>
    <w:lvl w:ilvl="8">
      <w:start w:val="1"/>
      <w:numFmt w:val="bullet"/>
      <w:lvlText w:val="•"/>
      <w:lvlJc w:val="left"/>
      <w:pPr>
        <w:ind w:left="4207" w:hanging="222"/>
      </w:pPr>
      <w:rPr>
        <w:rFonts w:hint="default"/>
      </w:rPr>
    </w:lvl>
  </w:abstractNum>
  <w:abstractNum w:abstractNumId="182">
    <w:multiLevelType w:val="hybridMultilevel"/>
    <w:lvl w:ilvl="0">
      <w:start w:val="1"/>
      <w:numFmt w:val="decimal"/>
      <w:lvlText w:val="%1."/>
      <w:lvlJc w:val="left"/>
      <w:pPr>
        <w:ind w:left="270" w:hanging="204"/>
        <w:jc w:val="left"/>
      </w:pPr>
      <w:rPr>
        <w:rFonts w:hint="default" w:ascii="Times New Roman" w:hAnsi="Times New Roman" w:eastAsia="Times New Roman" w:cs="Times New Roman"/>
        <w:w w:val="100"/>
        <w:sz w:val="20"/>
        <w:szCs w:val="20"/>
      </w:rPr>
    </w:lvl>
    <w:lvl w:ilvl="1">
      <w:start w:val="1"/>
      <w:numFmt w:val="bullet"/>
      <w:lvlText w:val="•"/>
      <w:lvlJc w:val="left"/>
      <w:pPr>
        <w:ind w:left="833" w:hanging="204"/>
      </w:pPr>
      <w:rPr>
        <w:rFonts w:hint="default"/>
      </w:rPr>
    </w:lvl>
    <w:lvl w:ilvl="2">
      <w:start w:val="1"/>
      <w:numFmt w:val="bullet"/>
      <w:lvlText w:val="•"/>
      <w:lvlJc w:val="left"/>
      <w:pPr>
        <w:ind w:left="1387" w:hanging="204"/>
      </w:pPr>
      <w:rPr>
        <w:rFonts w:hint="default"/>
      </w:rPr>
    </w:lvl>
    <w:lvl w:ilvl="3">
      <w:start w:val="1"/>
      <w:numFmt w:val="bullet"/>
      <w:lvlText w:val="•"/>
      <w:lvlJc w:val="left"/>
      <w:pPr>
        <w:ind w:left="1940" w:hanging="204"/>
      </w:pPr>
      <w:rPr>
        <w:rFonts w:hint="default"/>
      </w:rPr>
    </w:lvl>
    <w:lvl w:ilvl="4">
      <w:start w:val="1"/>
      <w:numFmt w:val="bullet"/>
      <w:lvlText w:val="•"/>
      <w:lvlJc w:val="left"/>
      <w:pPr>
        <w:ind w:left="2494" w:hanging="204"/>
      </w:pPr>
      <w:rPr>
        <w:rFonts w:hint="default"/>
      </w:rPr>
    </w:lvl>
    <w:lvl w:ilvl="5">
      <w:start w:val="1"/>
      <w:numFmt w:val="bullet"/>
      <w:lvlText w:val="•"/>
      <w:lvlJc w:val="left"/>
      <w:pPr>
        <w:ind w:left="3047" w:hanging="204"/>
      </w:pPr>
      <w:rPr>
        <w:rFonts w:hint="default"/>
      </w:rPr>
    </w:lvl>
    <w:lvl w:ilvl="6">
      <w:start w:val="1"/>
      <w:numFmt w:val="bullet"/>
      <w:lvlText w:val="•"/>
      <w:lvlJc w:val="left"/>
      <w:pPr>
        <w:ind w:left="3601" w:hanging="204"/>
      </w:pPr>
      <w:rPr>
        <w:rFonts w:hint="default"/>
      </w:rPr>
    </w:lvl>
    <w:lvl w:ilvl="7">
      <w:start w:val="1"/>
      <w:numFmt w:val="bullet"/>
      <w:lvlText w:val="•"/>
      <w:lvlJc w:val="left"/>
      <w:pPr>
        <w:ind w:left="4154" w:hanging="204"/>
      </w:pPr>
      <w:rPr>
        <w:rFonts w:hint="default"/>
      </w:rPr>
    </w:lvl>
    <w:lvl w:ilvl="8">
      <w:start w:val="1"/>
      <w:numFmt w:val="bullet"/>
      <w:lvlText w:val="•"/>
      <w:lvlJc w:val="left"/>
      <w:pPr>
        <w:ind w:left="4708" w:hanging="204"/>
      </w:pPr>
      <w:rPr>
        <w:rFonts w:hint="default"/>
      </w:rPr>
    </w:lvl>
  </w:abstractNum>
  <w:abstractNum w:abstractNumId="181">
    <w:multiLevelType w:val="hybridMultilevel"/>
    <w:lvl w:ilvl="0">
      <w:start w:val="1"/>
      <w:numFmt w:val="decimal"/>
      <w:lvlText w:val="%1."/>
      <w:lvlJc w:val="left"/>
      <w:pPr>
        <w:ind w:left="472" w:hanging="202"/>
        <w:jc w:val="left"/>
      </w:pPr>
      <w:rPr>
        <w:rFonts w:hint="default" w:ascii="Times New Roman" w:hAnsi="Times New Roman" w:eastAsia="Times New Roman" w:cs="Times New Roman"/>
        <w:b/>
        <w:bCs/>
        <w:w w:val="100"/>
        <w:sz w:val="20"/>
        <w:szCs w:val="20"/>
      </w:rPr>
    </w:lvl>
    <w:lvl w:ilvl="1">
      <w:start w:val="1"/>
      <w:numFmt w:val="bullet"/>
      <w:lvlText w:val="•"/>
      <w:lvlJc w:val="left"/>
      <w:pPr>
        <w:ind w:left="952" w:hanging="202"/>
      </w:pPr>
      <w:rPr>
        <w:rFonts w:hint="default"/>
      </w:rPr>
    </w:lvl>
    <w:lvl w:ilvl="2">
      <w:start w:val="1"/>
      <w:numFmt w:val="bullet"/>
      <w:lvlText w:val="•"/>
      <w:lvlJc w:val="left"/>
      <w:pPr>
        <w:ind w:left="1425" w:hanging="202"/>
      </w:pPr>
      <w:rPr>
        <w:rFonts w:hint="default"/>
      </w:rPr>
    </w:lvl>
    <w:lvl w:ilvl="3">
      <w:start w:val="1"/>
      <w:numFmt w:val="bullet"/>
      <w:lvlText w:val="•"/>
      <w:lvlJc w:val="left"/>
      <w:pPr>
        <w:ind w:left="1898" w:hanging="202"/>
      </w:pPr>
      <w:rPr>
        <w:rFonts w:hint="default"/>
      </w:rPr>
    </w:lvl>
    <w:lvl w:ilvl="4">
      <w:start w:val="1"/>
      <w:numFmt w:val="bullet"/>
      <w:lvlText w:val="•"/>
      <w:lvlJc w:val="left"/>
      <w:pPr>
        <w:ind w:left="2370" w:hanging="202"/>
      </w:pPr>
      <w:rPr>
        <w:rFonts w:hint="default"/>
      </w:rPr>
    </w:lvl>
    <w:lvl w:ilvl="5">
      <w:start w:val="1"/>
      <w:numFmt w:val="bullet"/>
      <w:lvlText w:val="•"/>
      <w:lvlJc w:val="left"/>
      <w:pPr>
        <w:ind w:left="2843" w:hanging="202"/>
      </w:pPr>
      <w:rPr>
        <w:rFonts w:hint="default"/>
      </w:rPr>
    </w:lvl>
    <w:lvl w:ilvl="6">
      <w:start w:val="1"/>
      <w:numFmt w:val="bullet"/>
      <w:lvlText w:val="•"/>
      <w:lvlJc w:val="left"/>
      <w:pPr>
        <w:ind w:left="3316" w:hanging="202"/>
      </w:pPr>
      <w:rPr>
        <w:rFonts w:hint="default"/>
      </w:rPr>
    </w:lvl>
    <w:lvl w:ilvl="7">
      <w:start w:val="1"/>
      <w:numFmt w:val="bullet"/>
      <w:lvlText w:val="•"/>
      <w:lvlJc w:val="left"/>
      <w:pPr>
        <w:ind w:left="3788" w:hanging="202"/>
      </w:pPr>
      <w:rPr>
        <w:rFonts w:hint="default"/>
      </w:rPr>
    </w:lvl>
    <w:lvl w:ilvl="8">
      <w:start w:val="1"/>
      <w:numFmt w:val="bullet"/>
      <w:lvlText w:val="•"/>
      <w:lvlJc w:val="left"/>
      <w:pPr>
        <w:ind w:left="4261" w:hanging="202"/>
      </w:pPr>
      <w:rPr>
        <w:rFonts w:hint="default"/>
      </w:rPr>
    </w:lvl>
  </w:abstractNum>
  <w:abstractNum w:abstractNumId="180">
    <w:multiLevelType w:val="hybridMultilevel"/>
    <w:lvl w:ilvl="0">
      <w:start w:val="2"/>
      <w:numFmt w:val="decimal"/>
      <w:lvlText w:val="%1"/>
      <w:lvlJc w:val="left"/>
      <w:pPr>
        <w:ind w:left="420" w:hanging="150"/>
        <w:jc w:val="left"/>
      </w:pPr>
      <w:rPr>
        <w:rFonts w:hint="default" w:ascii="Times New Roman" w:hAnsi="Times New Roman" w:eastAsia="Times New Roman" w:cs="Times New Roman"/>
        <w:b/>
        <w:bCs/>
        <w:w w:val="100"/>
        <w:sz w:val="20"/>
        <w:szCs w:val="20"/>
      </w:rPr>
    </w:lvl>
    <w:lvl w:ilvl="1">
      <w:start w:val="1"/>
      <w:numFmt w:val="bullet"/>
      <w:lvlText w:val="•"/>
      <w:lvlJc w:val="left"/>
      <w:pPr>
        <w:ind w:left="959" w:hanging="150"/>
      </w:pPr>
      <w:rPr>
        <w:rFonts w:hint="default"/>
      </w:rPr>
    </w:lvl>
    <w:lvl w:ilvl="2">
      <w:start w:val="1"/>
      <w:numFmt w:val="bullet"/>
      <w:lvlText w:val="•"/>
      <w:lvlJc w:val="left"/>
      <w:pPr>
        <w:ind w:left="1499" w:hanging="150"/>
      </w:pPr>
      <w:rPr>
        <w:rFonts w:hint="default"/>
      </w:rPr>
    </w:lvl>
    <w:lvl w:ilvl="3">
      <w:start w:val="1"/>
      <w:numFmt w:val="bullet"/>
      <w:lvlText w:val="•"/>
      <w:lvlJc w:val="left"/>
      <w:pPr>
        <w:ind w:left="2038" w:hanging="150"/>
      </w:pPr>
      <w:rPr>
        <w:rFonts w:hint="default"/>
      </w:rPr>
    </w:lvl>
    <w:lvl w:ilvl="4">
      <w:start w:val="1"/>
      <w:numFmt w:val="bullet"/>
      <w:lvlText w:val="•"/>
      <w:lvlJc w:val="left"/>
      <w:pPr>
        <w:ind w:left="2578" w:hanging="150"/>
      </w:pPr>
      <w:rPr>
        <w:rFonts w:hint="default"/>
      </w:rPr>
    </w:lvl>
    <w:lvl w:ilvl="5">
      <w:start w:val="1"/>
      <w:numFmt w:val="bullet"/>
      <w:lvlText w:val="•"/>
      <w:lvlJc w:val="left"/>
      <w:pPr>
        <w:ind w:left="3117" w:hanging="150"/>
      </w:pPr>
      <w:rPr>
        <w:rFonts w:hint="default"/>
      </w:rPr>
    </w:lvl>
    <w:lvl w:ilvl="6">
      <w:start w:val="1"/>
      <w:numFmt w:val="bullet"/>
      <w:lvlText w:val="•"/>
      <w:lvlJc w:val="left"/>
      <w:pPr>
        <w:ind w:left="3657" w:hanging="150"/>
      </w:pPr>
      <w:rPr>
        <w:rFonts w:hint="default"/>
      </w:rPr>
    </w:lvl>
    <w:lvl w:ilvl="7">
      <w:start w:val="1"/>
      <w:numFmt w:val="bullet"/>
      <w:lvlText w:val="•"/>
      <w:lvlJc w:val="left"/>
      <w:pPr>
        <w:ind w:left="4196" w:hanging="150"/>
      </w:pPr>
      <w:rPr>
        <w:rFonts w:hint="default"/>
      </w:rPr>
    </w:lvl>
    <w:lvl w:ilvl="8">
      <w:start w:val="1"/>
      <w:numFmt w:val="bullet"/>
      <w:lvlText w:val="•"/>
      <w:lvlJc w:val="left"/>
      <w:pPr>
        <w:ind w:left="4736" w:hanging="150"/>
      </w:pPr>
      <w:rPr>
        <w:rFonts w:hint="default"/>
      </w:rPr>
    </w:lvl>
  </w:abstractNum>
  <w:abstractNum w:abstractNumId="179">
    <w:multiLevelType w:val="hybridMultilevel"/>
    <w:lvl w:ilvl="0">
      <w:start w:val="3"/>
      <w:numFmt w:val="decimal"/>
      <w:lvlText w:val="%1"/>
      <w:lvlJc w:val="left"/>
      <w:pPr>
        <w:ind w:left="978" w:hanging="708"/>
        <w:jc w:val="left"/>
      </w:pPr>
      <w:rPr>
        <w:rFonts w:hint="default"/>
      </w:rPr>
    </w:lvl>
    <w:lvl w:ilvl="1">
      <w:start w:val="1"/>
      <w:numFmt w:val="decimal"/>
      <w:lvlText w:val="%1.%2."/>
      <w:lvlJc w:val="left"/>
      <w:pPr>
        <w:ind w:left="978" w:hanging="708"/>
        <w:jc w:val="left"/>
      </w:pPr>
      <w:rPr>
        <w:rFonts w:hint="default"/>
        <w:spacing w:val="-1"/>
        <w:w w:val="100"/>
      </w:rPr>
    </w:lvl>
    <w:lvl w:ilvl="2">
      <w:start w:val="1"/>
      <w:numFmt w:val="bullet"/>
      <w:lvlText w:val="•"/>
      <w:lvlJc w:val="left"/>
      <w:pPr>
        <w:ind w:left="1822" w:hanging="708"/>
      </w:pPr>
      <w:rPr>
        <w:rFonts w:hint="default"/>
      </w:rPr>
    </w:lvl>
    <w:lvl w:ilvl="3">
      <w:start w:val="1"/>
      <w:numFmt w:val="bullet"/>
      <w:lvlText w:val="•"/>
      <w:lvlJc w:val="left"/>
      <w:pPr>
        <w:ind w:left="2243" w:hanging="708"/>
      </w:pPr>
      <w:rPr>
        <w:rFonts w:hint="default"/>
      </w:rPr>
    </w:lvl>
    <w:lvl w:ilvl="4">
      <w:start w:val="1"/>
      <w:numFmt w:val="bullet"/>
      <w:lvlText w:val="•"/>
      <w:lvlJc w:val="left"/>
      <w:pPr>
        <w:ind w:left="2664" w:hanging="708"/>
      </w:pPr>
      <w:rPr>
        <w:rFonts w:hint="default"/>
      </w:rPr>
    </w:lvl>
    <w:lvl w:ilvl="5">
      <w:start w:val="1"/>
      <w:numFmt w:val="bullet"/>
      <w:lvlText w:val="•"/>
      <w:lvlJc w:val="left"/>
      <w:pPr>
        <w:ind w:left="3085" w:hanging="708"/>
      </w:pPr>
      <w:rPr>
        <w:rFonts w:hint="default"/>
      </w:rPr>
    </w:lvl>
    <w:lvl w:ilvl="6">
      <w:start w:val="1"/>
      <w:numFmt w:val="bullet"/>
      <w:lvlText w:val="•"/>
      <w:lvlJc w:val="left"/>
      <w:pPr>
        <w:ind w:left="3506" w:hanging="708"/>
      </w:pPr>
      <w:rPr>
        <w:rFonts w:hint="default"/>
      </w:rPr>
    </w:lvl>
    <w:lvl w:ilvl="7">
      <w:start w:val="1"/>
      <w:numFmt w:val="bullet"/>
      <w:lvlText w:val="•"/>
      <w:lvlJc w:val="left"/>
      <w:pPr>
        <w:ind w:left="3928" w:hanging="708"/>
      </w:pPr>
      <w:rPr>
        <w:rFonts w:hint="default"/>
      </w:rPr>
    </w:lvl>
    <w:lvl w:ilvl="8">
      <w:start w:val="1"/>
      <w:numFmt w:val="bullet"/>
      <w:lvlText w:val="•"/>
      <w:lvlJc w:val="left"/>
      <w:pPr>
        <w:ind w:left="4349" w:hanging="708"/>
      </w:pPr>
      <w:rPr>
        <w:rFonts w:hint="default"/>
      </w:rPr>
    </w:lvl>
  </w:abstractNum>
  <w:abstractNum w:abstractNumId="178">
    <w:multiLevelType w:val="hybridMultilevel"/>
    <w:lvl w:ilvl="0">
      <w:start w:val="76"/>
      <w:numFmt w:val="decimal"/>
      <w:lvlText w:val="%1"/>
      <w:lvlJc w:val="left"/>
      <w:pPr>
        <w:ind w:left="270" w:hanging="432"/>
        <w:jc w:val="left"/>
      </w:pPr>
      <w:rPr>
        <w:rFonts w:hint="default"/>
      </w:rPr>
    </w:lvl>
    <w:lvl w:ilvl="1">
      <w:start w:val="5"/>
      <w:numFmt w:val="decimal"/>
      <w:lvlText w:val="%1.%2"/>
      <w:lvlJc w:val="left"/>
      <w:pPr>
        <w:ind w:left="270" w:hanging="432"/>
        <w:jc w:val="left"/>
      </w:pPr>
      <w:rPr>
        <w:rFonts w:hint="default" w:ascii="Times New Roman" w:hAnsi="Times New Roman" w:eastAsia="Times New Roman" w:cs="Times New Roman"/>
        <w:spacing w:val="-1"/>
        <w:w w:val="100"/>
        <w:sz w:val="20"/>
        <w:szCs w:val="20"/>
      </w:rPr>
    </w:lvl>
    <w:lvl w:ilvl="2">
      <w:start w:val="1"/>
      <w:numFmt w:val="decimal"/>
      <w:lvlText w:val="%3."/>
      <w:lvlJc w:val="left"/>
      <w:pPr>
        <w:ind w:left="978" w:hanging="348"/>
        <w:jc w:val="left"/>
      </w:pPr>
      <w:rPr>
        <w:rFonts w:hint="default" w:ascii="Times New Roman" w:hAnsi="Times New Roman" w:eastAsia="Times New Roman" w:cs="Times New Roman"/>
        <w:b/>
        <w:bCs/>
        <w:w w:val="100"/>
        <w:sz w:val="20"/>
        <w:szCs w:val="20"/>
      </w:rPr>
    </w:lvl>
    <w:lvl w:ilvl="3">
      <w:start w:val="1"/>
      <w:numFmt w:val="bullet"/>
      <w:lvlText w:val="•"/>
      <w:lvlJc w:val="left"/>
      <w:pPr>
        <w:ind w:left="9780" w:hanging="348"/>
      </w:pPr>
      <w:rPr>
        <w:rFonts w:hint="default"/>
      </w:rPr>
    </w:lvl>
    <w:lvl w:ilvl="4">
      <w:start w:val="1"/>
      <w:numFmt w:val="bullet"/>
      <w:lvlText w:val="•"/>
      <w:lvlJc w:val="left"/>
      <w:pPr>
        <w:ind w:left="8320" w:hanging="348"/>
      </w:pPr>
      <w:rPr>
        <w:rFonts w:hint="default"/>
      </w:rPr>
    </w:lvl>
    <w:lvl w:ilvl="5">
      <w:start w:val="1"/>
      <w:numFmt w:val="bullet"/>
      <w:lvlText w:val="•"/>
      <w:lvlJc w:val="left"/>
      <w:pPr>
        <w:ind w:left="6861" w:hanging="348"/>
      </w:pPr>
      <w:rPr>
        <w:rFonts w:hint="default"/>
      </w:rPr>
    </w:lvl>
    <w:lvl w:ilvl="6">
      <w:start w:val="1"/>
      <w:numFmt w:val="bullet"/>
      <w:lvlText w:val="•"/>
      <w:lvlJc w:val="left"/>
      <w:pPr>
        <w:ind w:left="5402" w:hanging="348"/>
      </w:pPr>
      <w:rPr>
        <w:rFonts w:hint="default"/>
      </w:rPr>
    </w:lvl>
    <w:lvl w:ilvl="7">
      <w:start w:val="1"/>
      <w:numFmt w:val="bullet"/>
      <w:lvlText w:val="•"/>
      <w:lvlJc w:val="left"/>
      <w:pPr>
        <w:ind w:left="3943" w:hanging="348"/>
      </w:pPr>
      <w:rPr>
        <w:rFonts w:hint="default"/>
      </w:rPr>
    </w:lvl>
    <w:lvl w:ilvl="8">
      <w:start w:val="1"/>
      <w:numFmt w:val="bullet"/>
      <w:lvlText w:val="•"/>
      <w:lvlJc w:val="left"/>
      <w:pPr>
        <w:ind w:left="2483" w:hanging="348"/>
      </w:pPr>
      <w:rPr>
        <w:rFonts w:hint="default"/>
      </w:rPr>
    </w:lvl>
  </w:abstractNum>
  <w:abstractNum w:abstractNumId="177">
    <w:multiLevelType w:val="hybridMultilevel"/>
    <w:lvl w:ilvl="0">
      <w:start w:val="2"/>
      <w:numFmt w:val="decimal"/>
      <w:lvlText w:val="%1"/>
      <w:lvlJc w:val="left"/>
      <w:pPr>
        <w:ind w:left="270" w:hanging="301"/>
        <w:jc w:val="left"/>
      </w:pPr>
      <w:rPr>
        <w:rFonts w:hint="default"/>
      </w:rPr>
    </w:lvl>
    <w:lvl w:ilvl="1">
      <w:start w:val="1"/>
      <w:numFmt w:val="decimal"/>
      <w:lvlText w:val="%1.%2"/>
      <w:lvlJc w:val="left"/>
      <w:pPr>
        <w:ind w:left="270" w:hanging="301"/>
        <w:jc w:val="left"/>
      </w:pPr>
      <w:rPr>
        <w:rFonts w:hint="default" w:ascii="Times New Roman" w:hAnsi="Times New Roman" w:eastAsia="Times New Roman" w:cs="Times New Roman"/>
        <w:b/>
        <w:bCs/>
        <w:spacing w:val="-1"/>
        <w:w w:val="100"/>
        <w:sz w:val="20"/>
        <w:szCs w:val="20"/>
      </w:rPr>
    </w:lvl>
    <w:lvl w:ilvl="2">
      <w:start w:val="1"/>
      <w:numFmt w:val="bullet"/>
      <w:lvlText w:val="•"/>
      <w:lvlJc w:val="left"/>
      <w:pPr>
        <w:ind w:left="137" w:hanging="301"/>
      </w:pPr>
      <w:rPr>
        <w:rFonts w:hint="default"/>
      </w:rPr>
    </w:lvl>
    <w:lvl w:ilvl="3">
      <w:start w:val="1"/>
      <w:numFmt w:val="bullet"/>
      <w:lvlText w:val="•"/>
      <w:lvlJc w:val="left"/>
      <w:pPr>
        <w:ind w:left="66" w:hanging="301"/>
      </w:pPr>
      <w:rPr>
        <w:rFonts w:hint="default"/>
      </w:rPr>
    </w:lvl>
    <w:lvl w:ilvl="4">
      <w:start w:val="1"/>
      <w:numFmt w:val="bullet"/>
      <w:lvlText w:val="•"/>
      <w:lvlJc w:val="left"/>
      <w:pPr>
        <w:ind w:left="-5" w:hanging="301"/>
      </w:pPr>
      <w:rPr>
        <w:rFonts w:hint="default"/>
      </w:rPr>
    </w:lvl>
    <w:lvl w:ilvl="5">
      <w:start w:val="1"/>
      <w:numFmt w:val="bullet"/>
      <w:lvlText w:val="•"/>
      <w:lvlJc w:val="left"/>
      <w:pPr>
        <w:ind w:left="-76" w:hanging="301"/>
      </w:pPr>
      <w:rPr>
        <w:rFonts w:hint="default"/>
      </w:rPr>
    </w:lvl>
    <w:lvl w:ilvl="6">
      <w:start w:val="1"/>
      <w:numFmt w:val="bullet"/>
      <w:lvlText w:val="•"/>
      <w:lvlJc w:val="left"/>
      <w:pPr>
        <w:ind w:left="-148" w:hanging="301"/>
      </w:pPr>
      <w:rPr>
        <w:rFonts w:hint="default"/>
      </w:rPr>
    </w:lvl>
    <w:lvl w:ilvl="7">
      <w:start w:val="1"/>
      <w:numFmt w:val="bullet"/>
      <w:lvlText w:val="•"/>
      <w:lvlJc w:val="left"/>
      <w:pPr>
        <w:ind w:left="-219" w:hanging="301"/>
      </w:pPr>
      <w:rPr>
        <w:rFonts w:hint="default"/>
      </w:rPr>
    </w:lvl>
    <w:lvl w:ilvl="8">
      <w:start w:val="1"/>
      <w:numFmt w:val="bullet"/>
      <w:lvlText w:val="•"/>
      <w:lvlJc w:val="left"/>
      <w:pPr>
        <w:ind w:left="-290" w:hanging="301"/>
      </w:pPr>
      <w:rPr>
        <w:rFonts w:hint="default"/>
      </w:rPr>
    </w:lvl>
  </w:abstractNum>
  <w:abstractNum w:abstractNumId="176">
    <w:multiLevelType w:val="hybridMultilevel"/>
    <w:lvl w:ilvl="0">
      <w:start w:val="1"/>
      <w:numFmt w:val="decimal"/>
      <w:lvlText w:val="%1."/>
      <w:lvlJc w:val="left"/>
      <w:pPr>
        <w:ind w:left="472" w:hanging="202"/>
        <w:jc w:val="left"/>
      </w:pPr>
      <w:rPr>
        <w:rFonts w:hint="default" w:ascii="Times New Roman" w:hAnsi="Times New Roman" w:eastAsia="Times New Roman" w:cs="Times New Roman"/>
        <w:b/>
        <w:bCs/>
        <w:w w:val="100"/>
        <w:sz w:val="20"/>
        <w:szCs w:val="20"/>
      </w:rPr>
    </w:lvl>
    <w:lvl w:ilvl="1">
      <w:start w:val="1"/>
      <w:numFmt w:val="bullet"/>
      <w:lvlText w:val="•"/>
      <w:lvlJc w:val="left"/>
      <w:pPr>
        <w:ind w:left="1013" w:hanging="202"/>
      </w:pPr>
      <w:rPr>
        <w:rFonts w:hint="default"/>
      </w:rPr>
    </w:lvl>
    <w:lvl w:ilvl="2">
      <w:start w:val="1"/>
      <w:numFmt w:val="bullet"/>
      <w:lvlText w:val="•"/>
      <w:lvlJc w:val="left"/>
      <w:pPr>
        <w:ind w:left="1547" w:hanging="202"/>
      </w:pPr>
      <w:rPr>
        <w:rFonts w:hint="default"/>
      </w:rPr>
    </w:lvl>
    <w:lvl w:ilvl="3">
      <w:start w:val="1"/>
      <w:numFmt w:val="bullet"/>
      <w:lvlText w:val="•"/>
      <w:lvlJc w:val="left"/>
      <w:pPr>
        <w:ind w:left="2080" w:hanging="202"/>
      </w:pPr>
      <w:rPr>
        <w:rFonts w:hint="default"/>
      </w:rPr>
    </w:lvl>
    <w:lvl w:ilvl="4">
      <w:start w:val="1"/>
      <w:numFmt w:val="bullet"/>
      <w:lvlText w:val="•"/>
      <w:lvlJc w:val="left"/>
      <w:pPr>
        <w:ind w:left="2614" w:hanging="202"/>
      </w:pPr>
      <w:rPr>
        <w:rFonts w:hint="default"/>
      </w:rPr>
    </w:lvl>
    <w:lvl w:ilvl="5">
      <w:start w:val="1"/>
      <w:numFmt w:val="bullet"/>
      <w:lvlText w:val="•"/>
      <w:lvlJc w:val="left"/>
      <w:pPr>
        <w:ind w:left="3147" w:hanging="202"/>
      </w:pPr>
      <w:rPr>
        <w:rFonts w:hint="default"/>
      </w:rPr>
    </w:lvl>
    <w:lvl w:ilvl="6">
      <w:start w:val="1"/>
      <w:numFmt w:val="bullet"/>
      <w:lvlText w:val="•"/>
      <w:lvlJc w:val="left"/>
      <w:pPr>
        <w:ind w:left="3681" w:hanging="202"/>
      </w:pPr>
      <w:rPr>
        <w:rFonts w:hint="default"/>
      </w:rPr>
    </w:lvl>
    <w:lvl w:ilvl="7">
      <w:start w:val="1"/>
      <w:numFmt w:val="bullet"/>
      <w:lvlText w:val="•"/>
      <w:lvlJc w:val="left"/>
      <w:pPr>
        <w:ind w:left="4214" w:hanging="202"/>
      </w:pPr>
      <w:rPr>
        <w:rFonts w:hint="default"/>
      </w:rPr>
    </w:lvl>
    <w:lvl w:ilvl="8">
      <w:start w:val="1"/>
      <w:numFmt w:val="bullet"/>
      <w:lvlText w:val="•"/>
      <w:lvlJc w:val="left"/>
      <w:pPr>
        <w:ind w:left="4748" w:hanging="202"/>
      </w:pPr>
      <w:rPr>
        <w:rFonts w:hint="default"/>
      </w:rPr>
    </w:lvl>
  </w:abstractNum>
  <w:abstractNum w:abstractNumId="175">
    <w:multiLevelType w:val="hybridMultilevel"/>
    <w:lvl w:ilvl="0">
      <w:start w:val="3"/>
      <w:numFmt w:val="decimal"/>
      <w:lvlText w:val="%1"/>
      <w:lvlJc w:val="left"/>
      <w:pPr>
        <w:ind w:left="570" w:hanging="300"/>
        <w:jc w:val="left"/>
      </w:pPr>
      <w:rPr>
        <w:rFonts w:hint="default"/>
      </w:rPr>
    </w:lvl>
    <w:lvl w:ilvl="1">
      <w:start w:val="1"/>
      <w:numFmt w:val="decimal"/>
      <w:lvlText w:val="%1.%2"/>
      <w:lvlJc w:val="left"/>
      <w:pPr>
        <w:ind w:left="570" w:hanging="300"/>
        <w:jc w:val="left"/>
      </w:pPr>
      <w:rPr>
        <w:rFonts w:hint="default" w:ascii="Times New Roman" w:hAnsi="Times New Roman" w:eastAsia="Times New Roman" w:cs="Times New Roman"/>
        <w:b/>
        <w:bCs/>
        <w:spacing w:val="-1"/>
        <w:w w:val="100"/>
        <w:sz w:val="20"/>
        <w:szCs w:val="20"/>
      </w:rPr>
    </w:lvl>
    <w:lvl w:ilvl="2">
      <w:start w:val="1"/>
      <w:numFmt w:val="bullet"/>
      <w:lvlText w:val="•"/>
      <w:lvlJc w:val="left"/>
      <w:pPr>
        <w:ind w:left="1627" w:hanging="300"/>
      </w:pPr>
      <w:rPr>
        <w:rFonts w:hint="default"/>
      </w:rPr>
    </w:lvl>
    <w:lvl w:ilvl="3">
      <w:start w:val="1"/>
      <w:numFmt w:val="bullet"/>
      <w:lvlText w:val="•"/>
      <w:lvlJc w:val="left"/>
      <w:pPr>
        <w:ind w:left="2150" w:hanging="300"/>
      </w:pPr>
      <w:rPr>
        <w:rFonts w:hint="default"/>
      </w:rPr>
    </w:lvl>
    <w:lvl w:ilvl="4">
      <w:start w:val="1"/>
      <w:numFmt w:val="bullet"/>
      <w:lvlText w:val="•"/>
      <w:lvlJc w:val="left"/>
      <w:pPr>
        <w:ind w:left="2674" w:hanging="300"/>
      </w:pPr>
      <w:rPr>
        <w:rFonts w:hint="default"/>
      </w:rPr>
    </w:lvl>
    <w:lvl w:ilvl="5">
      <w:start w:val="1"/>
      <w:numFmt w:val="bullet"/>
      <w:lvlText w:val="•"/>
      <w:lvlJc w:val="left"/>
      <w:pPr>
        <w:ind w:left="3197" w:hanging="300"/>
      </w:pPr>
      <w:rPr>
        <w:rFonts w:hint="default"/>
      </w:rPr>
    </w:lvl>
    <w:lvl w:ilvl="6">
      <w:start w:val="1"/>
      <w:numFmt w:val="bullet"/>
      <w:lvlText w:val="•"/>
      <w:lvlJc w:val="left"/>
      <w:pPr>
        <w:ind w:left="3721" w:hanging="300"/>
      </w:pPr>
      <w:rPr>
        <w:rFonts w:hint="default"/>
      </w:rPr>
    </w:lvl>
    <w:lvl w:ilvl="7">
      <w:start w:val="1"/>
      <w:numFmt w:val="bullet"/>
      <w:lvlText w:val="•"/>
      <w:lvlJc w:val="left"/>
      <w:pPr>
        <w:ind w:left="4244" w:hanging="300"/>
      </w:pPr>
      <w:rPr>
        <w:rFonts w:hint="default"/>
      </w:rPr>
    </w:lvl>
    <w:lvl w:ilvl="8">
      <w:start w:val="1"/>
      <w:numFmt w:val="bullet"/>
      <w:lvlText w:val="•"/>
      <w:lvlJc w:val="left"/>
      <w:pPr>
        <w:ind w:left="4768" w:hanging="300"/>
      </w:pPr>
      <w:rPr>
        <w:rFonts w:hint="default"/>
      </w:rPr>
    </w:lvl>
  </w:abstractNum>
  <w:abstractNum w:abstractNumId="174">
    <w:multiLevelType w:val="hybridMultilevel"/>
    <w:lvl w:ilvl="0">
      <w:start w:val="1"/>
      <w:numFmt w:val="decimal"/>
      <w:lvlText w:val="%1."/>
      <w:lvlJc w:val="left"/>
      <w:pPr>
        <w:ind w:left="270" w:hanging="262"/>
        <w:jc w:val="left"/>
      </w:pPr>
      <w:rPr>
        <w:rFonts w:hint="default" w:ascii="Times New Roman" w:hAnsi="Times New Roman" w:eastAsia="Times New Roman" w:cs="Times New Roman"/>
        <w:spacing w:val="-1"/>
        <w:w w:val="100"/>
        <w:sz w:val="20"/>
        <w:szCs w:val="20"/>
      </w:rPr>
    </w:lvl>
    <w:lvl w:ilvl="1">
      <w:start w:val="1"/>
      <w:numFmt w:val="bullet"/>
      <w:lvlText w:val="•"/>
      <w:lvlJc w:val="left"/>
      <w:pPr>
        <w:ind w:left="833" w:hanging="262"/>
      </w:pPr>
      <w:rPr>
        <w:rFonts w:hint="default"/>
      </w:rPr>
    </w:lvl>
    <w:lvl w:ilvl="2">
      <w:start w:val="1"/>
      <w:numFmt w:val="bullet"/>
      <w:lvlText w:val="•"/>
      <w:lvlJc w:val="left"/>
      <w:pPr>
        <w:ind w:left="1387" w:hanging="262"/>
      </w:pPr>
      <w:rPr>
        <w:rFonts w:hint="default"/>
      </w:rPr>
    </w:lvl>
    <w:lvl w:ilvl="3">
      <w:start w:val="1"/>
      <w:numFmt w:val="bullet"/>
      <w:lvlText w:val="•"/>
      <w:lvlJc w:val="left"/>
      <w:pPr>
        <w:ind w:left="1940" w:hanging="262"/>
      </w:pPr>
      <w:rPr>
        <w:rFonts w:hint="default"/>
      </w:rPr>
    </w:lvl>
    <w:lvl w:ilvl="4">
      <w:start w:val="1"/>
      <w:numFmt w:val="bullet"/>
      <w:lvlText w:val="•"/>
      <w:lvlJc w:val="left"/>
      <w:pPr>
        <w:ind w:left="2494" w:hanging="262"/>
      </w:pPr>
      <w:rPr>
        <w:rFonts w:hint="default"/>
      </w:rPr>
    </w:lvl>
    <w:lvl w:ilvl="5">
      <w:start w:val="1"/>
      <w:numFmt w:val="bullet"/>
      <w:lvlText w:val="•"/>
      <w:lvlJc w:val="left"/>
      <w:pPr>
        <w:ind w:left="3047" w:hanging="262"/>
      </w:pPr>
      <w:rPr>
        <w:rFonts w:hint="default"/>
      </w:rPr>
    </w:lvl>
    <w:lvl w:ilvl="6">
      <w:start w:val="1"/>
      <w:numFmt w:val="bullet"/>
      <w:lvlText w:val="•"/>
      <w:lvlJc w:val="left"/>
      <w:pPr>
        <w:ind w:left="3601" w:hanging="262"/>
      </w:pPr>
      <w:rPr>
        <w:rFonts w:hint="default"/>
      </w:rPr>
    </w:lvl>
    <w:lvl w:ilvl="7">
      <w:start w:val="1"/>
      <w:numFmt w:val="bullet"/>
      <w:lvlText w:val="•"/>
      <w:lvlJc w:val="left"/>
      <w:pPr>
        <w:ind w:left="4154" w:hanging="262"/>
      </w:pPr>
      <w:rPr>
        <w:rFonts w:hint="default"/>
      </w:rPr>
    </w:lvl>
    <w:lvl w:ilvl="8">
      <w:start w:val="1"/>
      <w:numFmt w:val="bullet"/>
      <w:lvlText w:val="•"/>
      <w:lvlJc w:val="left"/>
      <w:pPr>
        <w:ind w:left="4708" w:hanging="262"/>
      </w:pPr>
      <w:rPr>
        <w:rFonts w:hint="default"/>
      </w:rPr>
    </w:lvl>
  </w:abstractNum>
  <w:abstractNum w:abstractNumId="173">
    <w:multiLevelType w:val="hybridMultilevel"/>
    <w:lvl w:ilvl="0">
      <w:start w:val="1"/>
      <w:numFmt w:val="bullet"/>
      <w:lvlText w:val=""/>
      <w:lvlJc w:val="left"/>
      <w:pPr>
        <w:ind w:left="696" w:hanging="360"/>
      </w:pPr>
      <w:rPr>
        <w:rFonts w:hint="default" w:ascii="Symbol" w:hAnsi="Symbol" w:eastAsia="Symbol" w:cs="Symbol"/>
        <w:w w:val="99"/>
        <w:sz w:val="20"/>
        <w:szCs w:val="20"/>
      </w:rPr>
    </w:lvl>
    <w:lvl w:ilvl="1">
      <w:start w:val="1"/>
      <w:numFmt w:val="bullet"/>
      <w:lvlText w:val="•"/>
      <w:lvlJc w:val="left"/>
      <w:pPr>
        <w:ind w:left="1211" w:hanging="360"/>
      </w:pPr>
      <w:rPr>
        <w:rFonts w:hint="default"/>
      </w:rPr>
    </w:lvl>
    <w:lvl w:ilvl="2">
      <w:start w:val="1"/>
      <w:numFmt w:val="bullet"/>
      <w:lvlText w:val="•"/>
      <w:lvlJc w:val="left"/>
      <w:pPr>
        <w:ind w:left="1723" w:hanging="360"/>
      </w:pPr>
      <w:rPr>
        <w:rFonts w:hint="default"/>
      </w:rPr>
    </w:lvl>
    <w:lvl w:ilvl="3">
      <w:start w:val="1"/>
      <w:numFmt w:val="bullet"/>
      <w:lvlText w:val="•"/>
      <w:lvlJc w:val="left"/>
      <w:pPr>
        <w:ind w:left="2234" w:hanging="360"/>
      </w:pPr>
      <w:rPr>
        <w:rFonts w:hint="default"/>
      </w:rPr>
    </w:lvl>
    <w:lvl w:ilvl="4">
      <w:start w:val="1"/>
      <w:numFmt w:val="bullet"/>
      <w:lvlText w:val="•"/>
      <w:lvlJc w:val="left"/>
      <w:pPr>
        <w:ind w:left="2746" w:hanging="360"/>
      </w:pPr>
      <w:rPr>
        <w:rFonts w:hint="default"/>
      </w:rPr>
    </w:lvl>
    <w:lvl w:ilvl="5">
      <w:start w:val="1"/>
      <w:numFmt w:val="bullet"/>
      <w:lvlText w:val="•"/>
      <w:lvlJc w:val="left"/>
      <w:pPr>
        <w:ind w:left="3257" w:hanging="360"/>
      </w:pPr>
      <w:rPr>
        <w:rFonts w:hint="default"/>
      </w:rPr>
    </w:lvl>
    <w:lvl w:ilvl="6">
      <w:start w:val="1"/>
      <w:numFmt w:val="bullet"/>
      <w:lvlText w:val="•"/>
      <w:lvlJc w:val="left"/>
      <w:pPr>
        <w:ind w:left="3769" w:hanging="360"/>
      </w:pPr>
      <w:rPr>
        <w:rFonts w:hint="default"/>
      </w:rPr>
    </w:lvl>
    <w:lvl w:ilvl="7">
      <w:start w:val="1"/>
      <w:numFmt w:val="bullet"/>
      <w:lvlText w:val="•"/>
      <w:lvlJc w:val="left"/>
      <w:pPr>
        <w:ind w:left="4280" w:hanging="360"/>
      </w:pPr>
      <w:rPr>
        <w:rFonts w:hint="default"/>
      </w:rPr>
    </w:lvl>
    <w:lvl w:ilvl="8">
      <w:start w:val="1"/>
      <w:numFmt w:val="bullet"/>
      <w:lvlText w:val="•"/>
      <w:lvlJc w:val="left"/>
      <w:pPr>
        <w:ind w:left="4792" w:hanging="360"/>
      </w:pPr>
      <w:rPr>
        <w:rFonts w:hint="default"/>
      </w:rPr>
    </w:lvl>
  </w:abstractNum>
  <w:abstractNum w:abstractNumId="172">
    <w:multiLevelType w:val="hybridMultilevel"/>
    <w:lvl w:ilvl="0">
      <w:start w:val="2"/>
      <w:numFmt w:val="decimal"/>
      <w:lvlText w:val="%1"/>
      <w:lvlJc w:val="left"/>
      <w:pPr>
        <w:ind w:left="630" w:hanging="360"/>
        <w:jc w:val="left"/>
      </w:pPr>
      <w:rPr>
        <w:rFonts w:hint="default"/>
      </w:rPr>
    </w:lvl>
    <w:lvl w:ilvl="1">
      <w:start w:val="2"/>
      <w:numFmt w:val="decimal"/>
      <w:lvlText w:val="%1.%2."/>
      <w:lvlJc w:val="left"/>
      <w:pPr>
        <w:ind w:left="630" w:hanging="360"/>
        <w:jc w:val="left"/>
      </w:pPr>
      <w:rPr>
        <w:rFonts w:hint="default" w:ascii="Times New Roman" w:hAnsi="Times New Roman" w:eastAsia="Times New Roman" w:cs="Times New Roman"/>
        <w:b/>
        <w:bCs/>
        <w:spacing w:val="-1"/>
        <w:w w:val="100"/>
        <w:sz w:val="20"/>
        <w:szCs w:val="20"/>
      </w:rPr>
    </w:lvl>
    <w:lvl w:ilvl="2">
      <w:start w:val="1"/>
      <w:numFmt w:val="bullet"/>
      <w:lvlText w:val="•"/>
      <w:lvlJc w:val="left"/>
      <w:pPr>
        <w:ind w:left="1550" w:hanging="360"/>
      </w:pPr>
      <w:rPr>
        <w:rFonts w:hint="default"/>
      </w:rPr>
    </w:lvl>
    <w:lvl w:ilvl="3">
      <w:start w:val="1"/>
      <w:numFmt w:val="bullet"/>
      <w:lvlText w:val="•"/>
      <w:lvlJc w:val="left"/>
      <w:pPr>
        <w:ind w:left="2005" w:hanging="360"/>
      </w:pPr>
      <w:rPr>
        <w:rFonts w:hint="default"/>
      </w:rPr>
    </w:lvl>
    <w:lvl w:ilvl="4">
      <w:start w:val="1"/>
      <w:numFmt w:val="bullet"/>
      <w:lvlText w:val="•"/>
      <w:lvlJc w:val="left"/>
      <w:pPr>
        <w:ind w:left="2460" w:hanging="360"/>
      </w:pPr>
      <w:rPr>
        <w:rFonts w:hint="default"/>
      </w:rPr>
    </w:lvl>
    <w:lvl w:ilvl="5">
      <w:start w:val="1"/>
      <w:numFmt w:val="bullet"/>
      <w:lvlText w:val="•"/>
      <w:lvlJc w:val="left"/>
      <w:pPr>
        <w:ind w:left="2915" w:hanging="360"/>
      </w:pPr>
      <w:rPr>
        <w:rFonts w:hint="default"/>
      </w:rPr>
    </w:lvl>
    <w:lvl w:ilvl="6">
      <w:start w:val="1"/>
      <w:numFmt w:val="bullet"/>
      <w:lvlText w:val="•"/>
      <w:lvlJc w:val="left"/>
      <w:pPr>
        <w:ind w:left="3370" w:hanging="360"/>
      </w:pPr>
      <w:rPr>
        <w:rFonts w:hint="default"/>
      </w:rPr>
    </w:lvl>
    <w:lvl w:ilvl="7">
      <w:start w:val="1"/>
      <w:numFmt w:val="bullet"/>
      <w:lvlText w:val="•"/>
      <w:lvlJc w:val="left"/>
      <w:pPr>
        <w:ind w:left="3825" w:hanging="360"/>
      </w:pPr>
      <w:rPr>
        <w:rFonts w:hint="default"/>
      </w:rPr>
    </w:lvl>
    <w:lvl w:ilvl="8">
      <w:start w:val="1"/>
      <w:numFmt w:val="bullet"/>
      <w:lvlText w:val="•"/>
      <w:lvlJc w:val="left"/>
      <w:pPr>
        <w:ind w:left="4280" w:hanging="360"/>
      </w:pPr>
      <w:rPr>
        <w:rFonts w:hint="default"/>
      </w:rPr>
    </w:lvl>
  </w:abstractNum>
  <w:abstractNum w:abstractNumId="171">
    <w:multiLevelType w:val="hybridMultilevel"/>
    <w:lvl w:ilvl="0">
      <w:start w:val="1"/>
      <w:numFmt w:val="decimal"/>
      <w:lvlText w:val="%1"/>
      <w:lvlJc w:val="left"/>
      <w:pPr>
        <w:ind w:left="570" w:hanging="300"/>
        <w:jc w:val="left"/>
      </w:pPr>
      <w:rPr>
        <w:rFonts w:hint="default"/>
      </w:rPr>
    </w:lvl>
    <w:lvl w:ilvl="1">
      <w:start w:val="5"/>
      <w:numFmt w:val="decimal"/>
      <w:lvlText w:val="%1.%2"/>
      <w:lvlJc w:val="left"/>
      <w:pPr>
        <w:ind w:left="570" w:hanging="300"/>
        <w:jc w:val="left"/>
      </w:pPr>
      <w:rPr>
        <w:rFonts w:hint="default" w:ascii="Times New Roman" w:hAnsi="Times New Roman" w:eastAsia="Times New Roman" w:cs="Times New Roman"/>
        <w:b/>
        <w:bCs/>
        <w:spacing w:val="-1"/>
        <w:w w:val="100"/>
        <w:sz w:val="20"/>
        <w:szCs w:val="20"/>
      </w:rPr>
    </w:lvl>
    <w:lvl w:ilvl="2">
      <w:start w:val="1"/>
      <w:numFmt w:val="bullet"/>
      <w:lvlText w:val="•"/>
      <w:lvlJc w:val="left"/>
      <w:pPr>
        <w:ind w:left="1627" w:hanging="300"/>
      </w:pPr>
      <w:rPr>
        <w:rFonts w:hint="default"/>
      </w:rPr>
    </w:lvl>
    <w:lvl w:ilvl="3">
      <w:start w:val="1"/>
      <w:numFmt w:val="bullet"/>
      <w:lvlText w:val="•"/>
      <w:lvlJc w:val="left"/>
      <w:pPr>
        <w:ind w:left="2150" w:hanging="300"/>
      </w:pPr>
      <w:rPr>
        <w:rFonts w:hint="default"/>
      </w:rPr>
    </w:lvl>
    <w:lvl w:ilvl="4">
      <w:start w:val="1"/>
      <w:numFmt w:val="bullet"/>
      <w:lvlText w:val="•"/>
      <w:lvlJc w:val="left"/>
      <w:pPr>
        <w:ind w:left="2674" w:hanging="300"/>
      </w:pPr>
      <w:rPr>
        <w:rFonts w:hint="default"/>
      </w:rPr>
    </w:lvl>
    <w:lvl w:ilvl="5">
      <w:start w:val="1"/>
      <w:numFmt w:val="bullet"/>
      <w:lvlText w:val="•"/>
      <w:lvlJc w:val="left"/>
      <w:pPr>
        <w:ind w:left="3197" w:hanging="300"/>
      </w:pPr>
      <w:rPr>
        <w:rFonts w:hint="default"/>
      </w:rPr>
    </w:lvl>
    <w:lvl w:ilvl="6">
      <w:start w:val="1"/>
      <w:numFmt w:val="bullet"/>
      <w:lvlText w:val="•"/>
      <w:lvlJc w:val="left"/>
      <w:pPr>
        <w:ind w:left="3721" w:hanging="300"/>
      </w:pPr>
      <w:rPr>
        <w:rFonts w:hint="default"/>
      </w:rPr>
    </w:lvl>
    <w:lvl w:ilvl="7">
      <w:start w:val="1"/>
      <w:numFmt w:val="bullet"/>
      <w:lvlText w:val="•"/>
      <w:lvlJc w:val="left"/>
      <w:pPr>
        <w:ind w:left="4244" w:hanging="300"/>
      </w:pPr>
      <w:rPr>
        <w:rFonts w:hint="default"/>
      </w:rPr>
    </w:lvl>
    <w:lvl w:ilvl="8">
      <w:start w:val="1"/>
      <w:numFmt w:val="bullet"/>
      <w:lvlText w:val="•"/>
      <w:lvlJc w:val="left"/>
      <w:pPr>
        <w:ind w:left="4768" w:hanging="300"/>
      </w:pPr>
      <w:rPr>
        <w:rFonts w:hint="default"/>
      </w:rPr>
    </w:lvl>
  </w:abstractNum>
  <w:abstractNum w:abstractNumId="170">
    <w:multiLevelType w:val="hybridMultilevel"/>
    <w:lvl w:ilvl="0">
      <w:start w:val="1"/>
      <w:numFmt w:val="bullet"/>
      <w:lvlText w:val=""/>
      <w:lvlJc w:val="left"/>
      <w:pPr>
        <w:ind w:left="696" w:hanging="360"/>
      </w:pPr>
      <w:rPr>
        <w:rFonts w:hint="default" w:ascii="Symbol" w:hAnsi="Symbol" w:eastAsia="Symbol" w:cs="Symbol"/>
        <w:w w:val="99"/>
        <w:sz w:val="20"/>
        <w:szCs w:val="20"/>
      </w:rPr>
    </w:lvl>
    <w:lvl w:ilvl="1">
      <w:start w:val="1"/>
      <w:numFmt w:val="bullet"/>
      <w:lvlText w:val="•"/>
      <w:lvlJc w:val="left"/>
      <w:pPr>
        <w:ind w:left="1211" w:hanging="360"/>
      </w:pPr>
      <w:rPr>
        <w:rFonts w:hint="default"/>
      </w:rPr>
    </w:lvl>
    <w:lvl w:ilvl="2">
      <w:start w:val="1"/>
      <w:numFmt w:val="bullet"/>
      <w:lvlText w:val="•"/>
      <w:lvlJc w:val="left"/>
      <w:pPr>
        <w:ind w:left="1723" w:hanging="360"/>
      </w:pPr>
      <w:rPr>
        <w:rFonts w:hint="default"/>
      </w:rPr>
    </w:lvl>
    <w:lvl w:ilvl="3">
      <w:start w:val="1"/>
      <w:numFmt w:val="bullet"/>
      <w:lvlText w:val="•"/>
      <w:lvlJc w:val="left"/>
      <w:pPr>
        <w:ind w:left="2234" w:hanging="360"/>
      </w:pPr>
      <w:rPr>
        <w:rFonts w:hint="default"/>
      </w:rPr>
    </w:lvl>
    <w:lvl w:ilvl="4">
      <w:start w:val="1"/>
      <w:numFmt w:val="bullet"/>
      <w:lvlText w:val="•"/>
      <w:lvlJc w:val="left"/>
      <w:pPr>
        <w:ind w:left="2746" w:hanging="360"/>
      </w:pPr>
      <w:rPr>
        <w:rFonts w:hint="default"/>
      </w:rPr>
    </w:lvl>
    <w:lvl w:ilvl="5">
      <w:start w:val="1"/>
      <w:numFmt w:val="bullet"/>
      <w:lvlText w:val="•"/>
      <w:lvlJc w:val="left"/>
      <w:pPr>
        <w:ind w:left="3257" w:hanging="360"/>
      </w:pPr>
      <w:rPr>
        <w:rFonts w:hint="default"/>
      </w:rPr>
    </w:lvl>
    <w:lvl w:ilvl="6">
      <w:start w:val="1"/>
      <w:numFmt w:val="bullet"/>
      <w:lvlText w:val="•"/>
      <w:lvlJc w:val="left"/>
      <w:pPr>
        <w:ind w:left="3769" w:hanging="360"/>
      </w:pPr>
      <w:rPr>
        <w:rFonts w:hint="default"/>
      </w:rPr>
    </w:lvl>
    <w:lvl w:ilvl="7">
      <w:start w:val="1"/>
      <w:numFmt w:val="bullet"/>
      <w:lvlText w:val="•"/>
      <w:lvlJc w:val="left"/>
      <w:pPr>
        <w:ind w:left="4280" w:hanging="360"/>
      </w:pPr>
      <w:rPr>
        <w:rFonts w:hint="default"/>
      </w:rPr>
    </w:lvl>
    <w:lvl w:ilvl="8">
      <w:start w:val="1"/>
      <w:numFmt w:val="bullet"/>
      <w:lvlText w:val="•"/>
      <w:lvlJc w:val="left"/>
      <w:pPr>
        <w:ind w:left="4792" w:hanging="360"/>
      </w:pPr>
      <w:rPr>
        <w:rFonts w:hint="default"/>
      </w:rPr>
    </w:lvl>
  </w:abstractNum>
  <w:abstractNum w:abstractNumId="169">
    <w:multiLevelType w:val="hybridMultilevel"/>
    <w:lvl w:ilvl="0">
      <w:start w:val="26"/>
      <w:numFmt w:val="upperLetter"/>
      <w:lvlText w:val="%1."/>
      <w:lvlJc w:val="left"/>
      <w:pPr>
        <w:ind w:left="270" w:hanging="270"/>
        <w:jc w:val="left"/>
      </w:pPr>
      <w:rPr>
        <w:rFonts w:hint="default" w:ascii="Times New Roman" w:hAnsi="Times New Roman" w:eastAsia="Times New Roman" w:cs="Times New Roman"/>
        <w:spacing w:val="-1"/>
        <w:w w:val="100"/>
        <w:sz w:val="20"/>
        <w:szCs w:val="20"/>
      </w:rPr>
    </w:lvl>
    <w:lvl w:ilvl="1">
      <w:start w:val="1"/>
      <w:numFmt w:val="decimal"/>
      <w:lvlText w:val="%2."/>
      <w:lvlJc w:val="left"/>
      <w:pPr>
        <w:ind w:left="472" w:hanging="202"/>
        <w:jc w:val="left"/>
      </w:pPr>
      <w:rPr>
        <w:rFonts w:hint="default" w:ascii="Times New Roman" w:hAnsi="Times New Roman" w:eastAsia="Times New Roman" w:cs="Times New Roman"/>
        <w:b/>
        <w:bCs/>
        <w:w w:val="100"/>
        <w:sz w:val="20"/>
        <w:szCs w:val="20"/>
      </w:rPr>
    </w:lvl>
    <w:lvl w:ilvl="2">
      <w:start w:val="1"/>
      <w:numFmt w:val="decimal"/>
      <w:lvlText w:val="%2.%3"/>
      <w:lvlJc w:val="left"/>
      <w:pPr>
        <w:ind w:left="571" w:hanging="301"/>
        <w:jc w:val="left"/>
      </w:pPr>
      <w:rPr>
        <w:rFonts w:hint="default" w:ascii="Times New Roman" w:hAnsi="Times New Roman" w:eastAsia="Times New Roman" w:cs="Times New Roman"/>
        <w:b/>
        <w:bCs/>
        <w:spacing w:val="-1"/>
        <w:w w:val="100"/>
        <w:sz w:val="20"/>
        <w:szCs w:val="20"/>
      </w:rPr>
    </w:lvl>
    <w:lvl w:ilvl="3">
      <w:start w:val="1"/>
      <w:numFmt w:val="decimal"/>
      <w:lvlText w:val="%2.%3.%4."/>
      <w:lvlJc w:val="left"/>
      <w:pPr>
        <w:ind w:left="770" w:hanging="500"/>
        <w:jc w:val="left"/>
      </w:pPr>
      <w:rPr>
        <w:rFonts w:hint="default" w:ascii="Times New Roman" w:hAnsi="Times New Roman" w:eastAsia="Times New Roman" w:cs="Times New Roman"/>
        <w:b/>
        <w:bCs/>
        <w:spacing w:val="-1"/>
        <w:w w:val="100"/>
        <w:sz w:val="20"/>
        <w:szCs w:val="20"/>
      </w:rPr>
    </w:lvl>
    <w:lvl w:ilvl="4">
      <w:start w:val="1"/>
      <w:numFmt w:val="bullet"/>
      <w:lvlText w:val="•"/>
      <w:lvlJc w:val="left"/>
      <w:pPr>
        <w:ind w:left="606" w:hanging="500"/>
      </w:pPr>
      <w:rPr>
        <w:rFonts w:hint="default"/>
      </w:rPr>
    </w:lvl>
    <w:lvl w:ilvl="5">
      <w:start w:val="1"/>
      <w:numFmt w:val="bullet"/>
      <w:lvlText w:val="•"/>
      <w:lvlJc w:val="left"/>
      <w:pPr>
        <w:ind w:left="433" w:hanging="500"/>
      </w:pPr>
      <w:rPr>
        <w:rFonts w:hint="default"/>
      </w:rPr>
    </w:lvl>
    <w:lvl w:ilvl="6">
      <w:start w:val="1"/>
      <w:numFmt w:val="bullet"/>
      <w:lvlText w:val="•"/>
      <w:lvlJc w:val="left"/>
      <w:pPr>
        <w:ind w:left="259" w:hanging="500"/>
      </w:pPr>
      <w:rPr>
        <w:rFonts w:hint="default"/>
      </w:rPr>
    </w:lvl>
    <w:lvl w:ilvl="7">
      <w:start w:val="1"/>
      <w:numFmt w:val="bullet"/>
      <w:lvlText w:val="•"/>
      <w:lvlJc w:val="left"/>
      <w:pPr>
        <w:ind w:left="86" w:hanging="500"/>
      </w:pPr>
      <w:rPr>
        <w:rFonts w:hint="default"/>
      </w:rPr>
    </w:lvl>
    <w:lvl w:ilvl="8">
      <w:start w:val="1"/>
      <w:numFmt w:val="bullet"/>
      <w:lvlText w:val="•"/>
      <w:lvlJc w:val="left"/>
      <w:pPr>
        <w:ind w:left="-88" w:hanging="500"/>
      </w:pPr>
      <w:rPr>
        <w:rFonts w:hint="default"/>
      </w:rPr>
    </w:lvl>
  </w:abstractNum>
  <w:abstractNum w:abstractNumId="168">
    <w:multiLevelType w:val="hybridMultilevel"/>
    <w:lvl w:ilvl="0">
      <w:start w:val="5"/>
      <w:numFmt w:val="decimal"/>
      <w:lvlText w:val="%1."/>
      <w:lvlJc w:val="left"/>
      <w:pPr>
        <w:ind w:left="471" w:hanging="201"/>
        <w:jc w:val="left"/>
      </w:pPr>
      <w:rPr>
        <w:rFonts w:hint="default" w:ascii="Times New Roman" w:hAnsi="Times New Roman" w:eastAsia="Times New Roman" w:cs="Times New Roman"/>
        <w:b/>
        <w:bCs/>
        <w:w w:val="100"/>
        <w:sz w:val="20"/>
        <w:szCs w:val="20"/>
      </w:rPr>
    </w:lvl>
    <w:lvl w:ilvl="1">
      <w:start w:val="1"/>
      <w:numFmt w:val="bullet"/>
      <w:lvlText w:val="•"/>
      <w:lvlJc w:val="left"/>
      <w:pPr>
        <w:ind w:left="950" w:hanging="201"/>
      </w:pPr>
      <w:rPr>
        <w:rFonts w:hint="default"/>
      </w:rPr>
    </w:lvl>
    <w:lvl w:ilvl="2">
      <w:start w:val="1"/>
      <w:numFmt w:val="bullet"/>
      <w:lvlText w:val="•"/>
      <w:lvlJc w:val="left"/>
      <w:pPr>
        <w:ind w:left="1421" w:hanging="201"/>
      </w:pPr>
      <w:rPr>
        <w:rFonts w:hint="default"/>
      </w:rPr>
    </w:lvl>
    <w:lvl w:ilvl="3">
      <w:start w:val="1"/>
      <w:numFmt w:val="bullet"/>
      <w:lvlText w:val="•"/>
      <w:lvlJc w:val="left"/>
      <w:pPr>
        <w:ind w:left="1892" w:hanging="201"/>
      </w:pPr>
      <w:rPr>
        <w:rFonts w:hint="default"/>
      </w:rPr>
    </w:lvl>
    <w:lvl w:ilvl="4">
      <w:start w:val="1"/>
      <w:numFmt w:val="bullet"/>
      <w:lvlText w:val="•"/>
      <w:lvlJc w:val="left"/>
      <w:pPr>
        <w:ind w:left="2363" w:hanging="201"/>
      </w:pPr>
      <w:rPr>
        <w:rFonts w:hint="default"/>
      </w:rPr>
    </w:lvl>
    <w:lvl w:ilvl="5">
      <w:start w:val="1"/>
      <w:numFmt w:val="bullet"/>
      <w:lvlText w:val="•"/>
      <w:lvlJc w:val="left"/>
      <w:pPr>
        <w:ind w:left="2834" w:hanging="201"/>
      </w:pPr>
      <w:rPr>
        <w:rFonts w:hint="default"/>
      </w:rPr>
    </w:lvl>
    <w:lvl w:ilvl="6">
      <w:start w:val="1"/>
      <w:numFmt w:val="bullet"/>
      <w:lvlText w:val="•"/>
      <w:lvlJc w:val="left"/>
      <w:pPr>
        <w:ind w:left="3305" w:hanging="201"/>
      </w:pPr>
      <w:rPr>
        <w:rFonts w:hint="default"/>
      </w:rPr>
    </w:lvl>
    <w:lvl w:ilvl="7">
      <w:start w:val="1"/>
      <w:numFmt w:val="bullet"/>
      <w:lvlText w:val="•"/>
      <w:lvlJc w:val="left"/>
      <w:pPr>
        <w:ind w:left="3776" w:hanging="201"/>
      </w:pPr>
      <w:rPr>
        <w:rFonts w:hint="default"/>
      </w:rPr>
    </w:lvl>
    <w:lvl w:ilvl="8">
      <w:start w:val="1"/>
      <w:numFmt w:val="bullet"/>
      <w:lvlText w:val="•"/>
      <w:lvlJc w:val="left"/>
      <w:pPr>
        <w:ind w:left="4246" w:hanging="201"/>
      </w:pPr>
      <w:rPr>
        <w:rFonts w:hint="default"/>
      </w:rPr>
    </w:lvl>
  </w:abstractNum>
  <w:abstractNum w:abstractNumId="167">
    <w:multiLevelType w:val="hybridMultilevel"/>
    <w:lvl w:ilvl="0">
      <w:start w:val="10"/>
      <w:numFmt w:val="decimal"/>
      <w:lvlText w:val="%1."/>
      <w:lvlJc w:val="left"/>
      <w:pPr>
        <w:ind w:left="630" w:hanging="360"/>
        <w:jc w:val="left"/>
      </w:pPr>
      <w:rPr>
        <w:rFonts w:hint="default" w:ascii="Times New Roman" w:hAnsi="Times New Roman" w:eastAsia="Times New Roman" w:cs="Times New Roman"/>
        <w:spacing w:val="-1"/>
        <w:w w:val="100"/>
        <w:sz w:val="20"/>
        <w:szCs w:val="20"/>
      </w:rPr>
    </w:lvl>
    <w:lvl w:ilvl="1">
      <w:start w:val="1"/>
      <w:numFmt w:val="bullet"/>
      <w:lvlText w:val="•"/>
      <w:lvlJc w:val="left"/>
      <w:pPr>
        <w:ind w:left="1094" w:hanging="360"/>
      </w:pPr>
      <w:rPr>
        <w:rFonts w:hint="default"/>
      </w:rPr>
    </w:lvl>
    <w:lvl w:ilvl="2">
      <w:start w:val="1"/>
      <w:numFmt w:val="bullet"/>
      <w:lvlText w:val="•"/>
      <w:lvlJc w:val="left"/>
      <w:pPr>
        <w:ind w:left="1549" w:hanging="360"/>
      </w:pPr>
      <w:rPr>
        <w:rFonts w:hint="default"/>
      </w:rPr>
    </w:lvl>
    <w:lvl w:ilvl="3">
      <w:start w:val="1"/>
      <w:numFmt w:val="bullet"/>
      <w:lvlText w:val="•"/>
      <w:lvlJc w:val="left"/>
      <w:pPr>
        <w:ind w:left="2004" w:hanging="360"/>
      </w:pPr>
      <w:rPr>
        <w:rFonts w:hint="default"/>
      </w:rPr>
    </w:lvl>
    <w:lvl w:ilvl="4">
      <w:start w:val="1"/>
      <w:numFmt w:val="bullet"/>
      <w:lvlText w:val="•"/>
      <w:lvlJc w:val="left"/>
      <w:pPr>
        <w:ind w:left="2459" w:hanging="360"/>
      </w:pPr>
      <w:rPr>
        <w:rFonts w:hint="default"/>
      </w:rPr>
    </w:lvl>
    <w:lvl w:ilvl="5">
      <w:start w:val="1"/>
      <w:numFmt w:val="bullet"/>
      <w:lvlText w:val="•"/>
      <w:lvlJc w:val="left"/>
      <w:pPr>
        <w:ind w:left="2914" w:hanging="360"/>
      </w:pPr>
      <w:rPr>
        <w:rFonts w:hint="default"/>
      </w:rPr>
    </w:lvl>
    <w:lvl w:ilvl="6">
      <w:start w:val="1"/>
      <w:numFmt w:val="bullet"/>
      <w:lvlText w:val="•"/>
      <w:lvlJc w:val="left"/>
      <w:pPr>
        <w:ind w:left="3369" w:hanging="360"/>
      </w:pPr>
      <w:rPr>
        <w:rFonts w:hint="default"/>
      </w:rPr>
    </w:lvl>
    <w:lvl w:ilvl="7">
      <w:start w:val="1"/>
      <w:numFmt w:val="bullet"/>
      <w:lvlText w:val="•"/>
      <w:lvlJc w:val="left"/>
      <w:pPr>
        <w:ind w:left="3824" w:hanging="360"/>
      </w:pPr>
      <w:rPr>
        <w:rFonts w:hint="default"/>
      </w:rPr>
    </w:lvl>
    <w:lvl w:ilvl="8">
      <w:start w:val="1"/>
      <w:numFmt w:val="bullet"/>
      <w:lvlText w:val="•"/>
      <w:lvlJc w:val="left"/>
      <w:pPr>
        <w:ind w:left="4278" w:hanging="360"/>
      </w:pPr>
      <w:rPr>
        <w:rFonts w:hint="default"/>
      </w:rPr>
    </w:lvl>
  </w:abstractNum>
  <w:abstractNum w:abstractNumId="166">
    <w:multiLevelType w:val="hybridMultilevel"/>
    <w:lvl w:ilvl="0">
      <w:start w:val="1"/>
      <w:numFmt w:val="decimal"/>
      <w:lvlText w:val="%1."/>
      <w:lvlJc w:val="left"/>
      <w:pPr>
        <w:ind w:left="630" w:hanging="360"/>
        <w:jc w:val="left"/>
      </w:pPr>
      <w:rPr>
        <w:rFonts w:hint="default" w:ascii="Times New Roman" w:hAnsi="Times New Roman" w:eastAsia="Times New Roman" w:cs="Times New Roman"/>
        <w:w w:val="100"/>
        <w:sz w:val="20"/>
        <w:szCs w:val="20"/>
      </w:rPr>
    </w:lvl>
    <w:lvl w:ilvl="1">
      <w:start w:val="1"/>
      <w:numFmt w:val="bullet"/>
      <w:lvlText w:val="•"/>
      <w:lvlJc w:val="left"/>
      <w:pPr>
        <w:ind w:left="1157" w:hanging="360"/>
      </w:pPr>
      <w:rPr>
        <w:rFonts w:hint="default"/>
      </w:rPr>
    </w:lvl>
    <w:lvl w:ilvl="2">
      <w:start w:val="1"/>
      <w:numFmt w:val="bullet"/>
      <w:lvlText w:val="•"/>
      <w:lvlJc w:val="left"/>
      <w:pPr>
        <w:ind w:left="1675" w:hanging="360"/>
      </w:pPr>
      <w:rPr>
        <w:rFonts w:hint="default"/>
      </w:rPr>
    </w:lvl>
    <w:lvl w:ilvl="3">
      <w:start w:val="1"/>
      <w:numFmt w:val="bullet"/>
      <w:lvlText w:val="•"/>
      <w:lvlJc w:val="left"/>
      <w:pPr>
        <w:ind w:left="2192" w:hanging="360"/>
      </w:pPr>
      <w:rPr>
        <w:rFonts w:hint="default"/>
      </w:rPr>
    </w:lvl>
    <w:lvl w:ilvl="4">
      <w:start w:val="1"/>
      <w:numFmt w:val="bullet"/>
      <w:lvlText w:val="•"/>
      <w:lvlJc w:val="left"/>
      <w:pPr>
        <w:ind w:left="2710" w:hanging="360"/>
      </w:pPr>
      <w:rPr>
        <w:rFonts w:hint="default"/>
      </w:rPr>
    </w:lvl>
    <w:lvl w:ilvl="5">
      <w:start w:val="1"/>
      <w:numFmt w:val="bullet"/>
      <w:lvlText w:val="•"/>
      <w:lvlJc w:val="left"/>
      <w:pPr>
        <w:ind w:left="3227" w:hanging="360"/>
      </w:pPr>
      <w:rPr>
        <w:rFonts w:hint="default"/>
      </w:rPr>
    </w:lvl>
    <w:lvl w:ilvl="6">
      <w:start w:val="1"/>
      <w:numFmt w:val="bullet"/>
      <w:lvlText w:val="•"/>
      <w:lvlJc w:val="left"/>
      <w:pPr>
        <w:ind w:left="3745" w:hanging="360"/>
      </w:pPr>
      <w:rPr>
        <w:rFonts w:hint="default"/>
      </w:rPr>
    </w:lvl>
    <w:lvl w:ilvl="7">
      <w:start w:val="1"/>
      <w:numFmt w:val="bullet"/>
      <w:lvlText w:val="•"/>
      <w:lvlJc w:val="left"/>
      <w:pPr>
        <w:ind w:left="4262" w:hanging="360"/>
      </w:pPr>
      <w:rPr>
        <w:rFonts w:hint="default"/>
      </w:rPr>
    </w:lvl>
    <w:lvl w:ilvl="8">
      <w:start w:val="1"/>
      <w:numFmt w:val="bullet"/>
      <w:lvlText w:val="•"/>
      <w:lvlJc w:val="left"/>
      <w:pPr>
        <w:ind w:left="4780" w:hanging="360"/>
      </w:pPr>
      <w:rPr>
        <w:rFonts w:hint="default"/>
      </w:rPr>
    </w:lvl>
  </w:abstractNum>
  <w:abstractNum w:abstractNumId="165">
    <w:multiLevelType w:val="hybridMultilevel"/>
    <w:lvl w:ilvl="0">
      <w:start w:val="1"/>
      <w:numFmt w:val="decimal"/>
      <w:lvlText w:val="%1."/>
      <w:lvlJc w:val="left"/>
      <w:pPr>
        <w:ind w:left="472" w:hanging="202"/>
        <w:jc w:val="left"/>
      </w:pPr>
      <w:rPr>
        <w:rFonts w:hint="default" w:ascii="Times New Roman" w:hAnsi="Times New Roman" w:eastAsia="Times New Roman" w:cs="Times New Roman"/>
        <w:b/>
        <w:bCs/>
        <w:w w:val="100"/>
        <w:sz w:val="20"/>
        <w:szCs w:val="20"/>
      </w:rPr>
    </w:lvl>
    <w:lvl w:ilvl="1">
      <w:start w:val="1"/>
      <w:numFmt w:val="decimal"/>
      <w:lvlText w:val="%1.%2"/>
      <w:lvlJc w:val="left"/>
      <w:pPr>
        <w:ind w:left="270" w:hanging="521"/>
        <w:jc w:val="left"/>
      </w:pPr>
      <w:rPr>
        <w:rFonts w:hint="default" w:ascii="Times New Roman" w:hAnsi="Times New Roman" w:eastAsia="Times New Roman" w:cs="Times New Roman"/>
        <w:b/>
        <w:bCs/>
        <w:spacing w:val="-1"/>
        <w:w w:val="100"/>
        <w:sz w:val="20"/>
        <w:szCs w:val="20"/>
      </w:rPr>
    </w:lvl>
    <w:lvl w:ilvl="2">
      <w:start w:val="1"/>
      <w:numFmt w:val="bullet"/>
      <w:lvlText w:val="•"/>
      <w:lvlJc w:val="left"/>
      <w:pPr>
        <w:ind w:left="380" w:hanging="521"/>
      </w:pPr>
      <w:rPr>
        <w:rFonts w:hint="default"/>
      </w:rPr>
    </w:lvl>
    <w:lvl w:ilvl="3">
      <w:start w:val="1"/>
      <w:numFmt w:val="bullet"/>
      <w:lvlText w:val="•"/>
      <w:lvlJc w:val="left"/>
      <w:pPr>
        <w:ind w:left="280" w:hanging="521"/>
      </w:pPr>
      <w:rPr>
        <w:rFonts w:hint="default"/>
      </w:rPr>
    </w:lvl>
    <w:lvl w:ilvl="4">
      <w:start w:val="1"/>
      <w:numFmt w:val="bullet"/>
      <w:lvlText w:val="•"/>
      <w:lvlJc w:val="left"/>
      <w:pPr>
        <w:ind w:left="180" w:hanging="521"/>
      </w:pPr>
      <w:rPr>
        <w:rFonts w:hint="default"/>
      </w:rPr>
    </w:lvl>
    <w:lvl w:ilvl="5">
      <w:start w:val="1"/>
      <w:numFmt w:val="bullet"/>
      <w:lvlText w:val="•"/>
      <w:lvlJc w:val="left"/>
      <w:pPr>
        <w:ind w:left="81" w:hanging="521"/>
      </w:pPr>
      <w:rPr>
        <w:rFonts w:hint="default"/>
      </w:rPr>
    </w:lvl>
    <w:lvl w:ilvl="6">
      <w:start w:val="1"/>
      <w:numFmt w:val="bullet"/>
      <w:lvlText w:val="•"/>
      <w:lvlJc w:val="left"/>
      <w:pPr>
        <w:ind w:left="-19" w:hanging="521"/>
      </w:pPr>
      <w:rPr>
        <w:rFonts w:hint="default"/>
      </w:rPr>
    </w:lvl>
    <w:lvl w:ilvl="7">
      <w:start w:val="1"/>
      <w:numFmt w:val="bullet"/>
      <w:lvlText w:val="•"/>
      <w:lvlJc w:val="left"/>
      <w:pPr>
        <w:ind w:left="-119" w:hanging="521"/>
      </w:pPr>
      <w:rPr>
        <w:rFonts w:hint="default"/>
      </w:rPr>
    </w:lvl>
    <w:lvl w:ilvl="8">
      <w:start w:val="1"/>
      <w:numFmt w:val="bullet"/>
      <w:lvlText w:val="•"/>
      <w:lvlJc w:val="left"/>
      <w:pPr>
        <w:ind w:left="-219" w:hanging="521"/>
      </w:pPr>
      <w:rPr>
        <w:rFonts w:hint="default"/>
      </w:rPr>
    </w:lvl>
  </w:abstractNum>
  <w:abstractNum w:abstractNumId="164">
    <w:multiLevelType w:val="hybridMultilevel"/>
    <w:lvl w:ilvl="0">
      <w:start w:val="1"/>
      <w:numFmt w:val="bullet"/>
      <w:lvlText w:val="-"/>
      <w:lvlJc w:val="left"/>
      <w:pPr>
        <w:ind w:left="103" w:hanging="93"/>
      </w:pPr>
      <w:rPr>
        <w:rFonts w:hint="default" w:ascii="Times New Roman" w:hAnsi="Times New Roman" w:eastAsia="Times New Roman" w:cs="Times New Roman"/>
        <w:w w:val="99"/>
        <w:sz w:val="16"/>
        <w:szCs w:val="16"/>
      </w:rPr>
    </w:lvl>
    <w:lvl w:ilvl="1">
      <w:start w:val="1"/>
      <w:numFmt w:val="bullet"/>
      <w:lvlText w:val="•"/>
      <w:lvlJc w:val="left"/>
      <w:pPr>
        <w:ind w:left="415" w:hanging="93"/>
      </w:pPr>
      <w:rPr>
        <w:rFonts w:hint="default"/>
      </w:rPr>
    </w:lvl>
    <w:lvl w:ilvl="2">
      <w:start w:val="1"/>
      <w:numFmt w:val="bullet"/>
      <w:lvlText w:val="•"/>
      <w:lvlJc w:val="left"/>
      <w:pPr>
        <w:ind w:left="730" w:hanging="93"/>
      </w:pPr>
      <w:rPr>
        <w:rFonts w:hint="default"/>
      </w:rPr>
    </w:lvl>
    <w:lvl w:ilvl="3">
      <w:start w:val="1"/>
      <w:numFmt w:val="bullet"/>
      <w:lvlText w:val="•"/>
      <w:lvlJc w:val="left"/>
      <w:pPr>
        <w:ind w:left="1045" w:hanging="93"/>
      </w:pPr>
      <w:rPr>
        <w:rFonts w:hint="default"/>
      </w:rPr>
    </w:lvl>
    <w:lvl w:ilvl="4">
      <w:start w:val="1"/>
      <w:numFmt w:val="bullet"/>
      <w:lvlText w:val="•"/>
      <w:lvlJc w:val="left"/>
      <w:pPr>
        <w:ind w:left="1360" w:hanging="93"/>
      </w:pPr>
      <w:rPr>
        <w:rFonts w:hint="default"/>
      </w:rPr>
    </w:lvl>
    <w:lvl w:ilvl="5">
      <w:start w:val="1"/>
      <w:numFmt w:val="bullet"/>
      <w:lvlText w:val="•"/>
      <w:lvlJc w:val="left"/>
      <w:pPr>
        <w:ind w:left="1675" w:hanging="93"/>
      </w:pPr>
      <w:rPr>
        <w:rFonts w:hint="default"/>
      </w:rPr>
    </w:lvl>
    <w:lvl w:ilvl="6">
      <w:start w:val="1"/>
      <w:numFmt w:val="bullet"/>
      <w:lvlText w:val="•"/>
      <w:lvlJc w:val="left"/>
      <w:pPr>
        <w:ind w:left="1990" w:hanging="93"/>
      </w:pPr>
      <w:rPr>
        <w:rFonts w:hint="default"/>
      </w:rPr>
    </w:lvl>
    <w:lvl w:ilvl="7">
      <w:start w:val="1"/>
      <w:numFmt w:val="bullet"/>
      <w:lvlText w:val="•"/>
      <w:lvlJc w:val="left"/>
      <w:pPr>
        <w:ind w:left="2305" w:hanging="93"/>
      </w:pPr>
      <w:rPr>
        <w:rFonts w:hint="default"/>
      </w:rPr>
    </w:lvl>
    <w:lvl w:ilvl="8">
      <w:start w:val="1"/>
      <w:numFmt w:val="bullet"/>
      <w:lvlText w:val="•"/>
      <w:lvlJc w:val="left"/>
      <w:pPr>
        <w:ind w:left="2620" w:hanging="93"/>
      </w:pPr>
      <w:rPr>
        <w:rFonts w:hint="default"/>
      </w:rPr>
    </w:lvl>
  </w:abstractNum>
  <w:abstractNum w:abstractNumId="163">
    <w:multiLevelType w:val="hybridMultilevel"/>
    <w:lvl w:ilvl="0">
      <w:start w:val="1"/>
      <w:numFmt w:val="decimal"/>
      <w:lvlText w:val="%1."/>
      <w:lvlJc w:val="left"/>
      <w:pPr>
        <w:ind w:left="472" w:hanging="202"/>
        <w:jc w:val="left"/>
      </w:pPr>
      <w:rPr>
        <w:rFonts w:hint="default" w:ascii="Times New Roman" w:hAnsi="Times New Roman" w:eastAsia="Times New Roman" w:cs="Times New Roman"/>
        <w:b/>
        <w:bCs/>
        <w:w w:val="100"/>
        <w:sz w:val="20"/>
        <w:szCs w:val="20"/>
      </w:rPr>
    </w:lvl>
    <w:lvl w:ilvl="1">
      <w:start w:val="1"/>
      <w:numFmt w:val="decimal"/>
      <w:lvlText w:val="%1.%2"/>
      <w:lvlJc w:val="left"/>
      <w:pPr>
        <w:ind w:left="270" w:hanging="301"/>
        <w:jc w:val="left"/>
      </w:pPr>
      <w:rPr>
        <w:rFonts w:hint="default" w:ascii="Times New Roman" w:hAnsi="Times New Roman" w:eastAsia="Times New Roman" w:cs="Times New Roman"/>
        <w:b/>
        <w:bCs/>
        <w:spacing w:val="-1"/>
        <w:w w:val="100"/>
        <w:sz w:val="20"/>
        <w:szCs w:val="20"/>
      </w:rPr>
    </w:lvl>
    <w:lvl w:ilvl="2">
      <w:start w:val="1"/>
      <w:numFmt w:val="bullet"/>
      <w:lvlText w:val="•"/>
      <w:lvlJc w:val="left"/>
      <w:pPr>
        <w:ind w:left="1072" w:hanging="301"/>
      </w:pPr>
      <w:rPr>
        <w:rFonts w:hint="default"/>
      </w:rPr>
    </w:lvl>
    <w:lvl w:ilvl="3">
      <w:start w:val="1"/>
      <w:numFmt w:val="bullet"/>
      <w:lvlText w:val="•"/>
      <w:lvlJc w:val="left"/>
      <w:pPr>
        <w:ind w:left="1665" w:hanging="301"/>
      </w:pPr>
      <w:rPr>
        <w:rFonts w:hint="default"/>
      </w:rPr>
    </w:lvl>
    <w:lvl w:ilvl="4">
      <w:start w:val="1"/>
      <w:numFmt w:val="bullet"/>
      <w:lvlText w:val="•"/>
      <w:lvlJc w:val="left"/>
      <w:pPr>
        <w:ind w:left="2258" w:hanging="301"/>
      </w:pPr>
      <w:rPr>
        <w:rFonts w:hint="default"/>
      </w:rPr>
    </w:lvl>
    <w:lvl w:ilvl="5">
      <w:start w:val="1"/>
      <w:numFmt w:val="bullet"/>
      <w:lvlText w:val="•"/>
      <w:lvlJc w:val="left"/>
      <w:pPr>
        <w:ind w:left="2851" w:hanging="301"/>
      </w:pPr>
      <w:rPr>
        <w:rFonts w:hint="default"/>
      </w:rPr>
    </w:lvl>
    <w:lvl w:ilvl="6">
      <w:start w:val="1"/>
      <w:numFmt w:val="bullet"/>
      <w:lvlText w:val="•"/>
      <w:lvlJc w:val="left"/>
      <w:pPr>
        <w:ind w:left="3444" w:hanging="301"/>
      </w:pPr>
      <w:rPr>
        <w:rFonts w:hint="default"/>
      </w:rPr>
    </w:lvl>
    <w:lvl w:ilvl="7">
      <w:start w:val="1"/>
      <w:numFmt w:val="bullet"/>
      <w:lvlText w:val="•"/>
      <w:lvlJc w:val="left"/>
      <w:pPr>
        <w:ind w:left="4037" w:hanging="301"/>
      </w:pPr>
      <w:rPr>
        <w:rFonts w:hint="default"/>
      </w:rPr>
    </w:lvl>
    <w:lvl w:ilvl="8">
      <w:start w:val="1"/>
      <w:numFmt w:val="bullet"/>
      <w:lvlText w:val="•"/>
      <w:lvlJc w:val="left"/>
      <w:pPr>
        <w:ind w:left="4629" w:hanging="301"/>
      </w:pPr>
      <w:rPr>
        <w:rFonts w:hint="default"/>
      </w:rPr>
    </w:lvl>
  </w:abstractNum>
  <w:abstractNum w:abstractNumId="162">
    <w:multiLevelType w:val="hybridMultilevel"/>
    <w:lvl w:ilvl="0">
      <w:start w:val="1"/>
      <w:numFmt w:val="decimal"/>
      <w:lvlText w:val="%1."/>
      <w:lvlJc w:val="left"/>
      <w:pPr>
        <w:ind w:left="472" w:hanging="202"/>
        <w:jc w:val="left"/>
      </w:pPr>
      <w:rPr>
        <w:rFonts w:hint="default" w:ascii="Times New Roman" w:hAnsi="Times New Roman" w:eastAsia="Times New Roman" w:cs="Times New Roman"/>
        <w:b/>
        <w:bCs/>
        <w:w w:val="100"/>
        <w:sz w:val="20"/>
        <w:szCs w:val="20"/>
      </w:rPr>
    </w:lvl>
    <w:lvl w:ilvl="1">
      <w:start w:val="1"/>
      <w:numFmt w:val="decimal"/>
      <w:lvlText w:val="%2."/>
      <w:lvlJc w:val="left"/>
      <w:pPr>
        <w:ind w:left="990" w:hanging="348"/>
        <w:jc w:val="left"/>
      </w:pPr>
      <w:rPr>
        <w:rFonts w:hint="default" w:ascii="Times New Roman" w:hAnsi="Times New Roman" w:eastAsia="Times New Roman" w:cs="Times New Roman"/>
        <w:w w:val="100"/>
        <w:sz w:val="20"/>
        <w:szCs w:val="20"/>
      </w:rPr>
    </w:lvl>
    <w:lvl w:ilvl="2">
      <w:start w:val="1"/>
      <w:numFmt w:val="bullet"/>
      <w:lvlText w:val="•"/>
      <w:lvlJc w:val="left"/>
      <w:pPr>
        <w:ind w:left="840" w:hanging="348"/>
      </w:pPr>
      <w:rPr>
        <w:rFonts w:hint="default"/>
      </w:rPr>
    </w:lvl>
    <w:lvl w:ilvl="3">
      <w:start w:val="1"/>
      <w:numFmt w:val="bullet"/>
      <w:lvlText w:val="•"/>
      <w:lvlJc w:val="left"/>
      <w:pPr>
        <w:ind w:left="681" w:hanging="348"/>
      </w:pPr>
      <w:rPr>
        <w:rFonts w:hint="default"/>
      </w:rPr>
    </w:lvl>
    <w:lvl w:ilvl="4">
      <w:start w:val="1"/>
      <w:numFmt w:val="bullet"/>
      <w:lvlText w:val="•"/>
      <w:lvlJc w:val="left"/>
      <w:pPr>
        <w:ind w:left="521" w:hanging="348"/>
      </w:pPr>
      <w:rPr>
        <w:rFonts w:hint="default"/>
      </w:rPr>
    </w:lvl>
    <w:lvl w:ilvl="5">
      <w:start w:val="1"/>
      <w:numFmt w:val="bullet"/>
      <w:lvlText w:val="•"/>
      <w:lvlJc w:val="left"/>
      <w:pPr>
        <w:ind w:left="362" w:hanging="348"/>
      </w:pPr>
      <w:rPr>
        <w:rFonts w:hint="default"/>
      </w:rPr>
    </w:lvl>
    <w:lvl w:ilvl="6">
      <w:start w:val="1"/>
      <w:numFmt w:val="bullet"/>
      <w:lvlText w:val="•"/>
      <w:lvlJc w:val="left"/>
      <w:pPr>
        <w:ind w:left="202" w:hanging="348"/>
      </w:pPr>
      <w:rPr>
        <w:rFonts w:hint="default"/>
      </w:rPr>
    </w:lvl>
    <w:lvl w:ilvl="7">
      <w:start w:val="1"/>
      <w:numFmt w:val="bullet"/>
      <w:lvlText w:val="•"/>
      <w:lvlJc w:val="left"/>
      <w:pPr>
        <w:ind w:left="43" w:hanging="348"/>
      </w:pPr>
      <w:rPr>
        <w:rFonts w:hint="default"/>
      </w:rPr>
    </w:lvl>
    <w:lvl w:ilvl="8">
      <w:start w:val="1"/>
      <w:numFmt w:val="bullet"/>
      <w:lvlText w:val="•"/>
      <w:lvlJc w:val="left"/>
      <w:pPr>
        <w:ind w:left="-117" w:hanging="348"/>
      </w:pPr>
      <w:rPr>
        <w:rFonts w:hint="default"/>
      </w:rPr>
    </w:lvl>
  </w:abstractNum>
  <w:abstractNum w:abstractNumId="161">
    <w:multiLevelType w:val="hybridMultilevel"/>
    <w:lvl w:ilvl="0">
      <w:start w:val="1"/>
      <w:numFmt w:val="decimal"/>
      <w:lvlText w:val="%1)"/>
      <w:lvlJc w:val="left"/>
      <w:pPr>
        <w:ind w:left="978" w:hanging="282"/>
        <w:jc w:val="left"/>
      </w:pPr>
      <w:rPr>
        <w:rFonts w:hint="default" w:ascii="Times New Roman" w:hAnsi="Times New Roman" w:eastAsia="Times New Roman" w:cs="Times New Roman"/>
        <w:w w:val="100"/>
        <w:sz w:val="20"/>
        <w:szCs w:val="20"/>
      </w:rPr>
    </w:lvl>
    <w:lvl w:ilvl="1">
      <w:start w:val="1"/>
      <w:numFmt w:val="bullet"/>
      <w:lvlText w:val="•"/>
      <w:lvlJc w:val="left"/>
      <w:pPr>
        <w:ind w:left="1400" w:hanging="282"/>
      </w:pPr>
      <w:rPr>
        <w:rFonts w:hint="default"/>
      </w:rPr>
    </w:lvl>
    <w:lvl w:ilvl="2">
      <w:start w:val="1"/>
      <w:numFmt w:val="bullet"/>
      <w:lvlText w:val="•"/>
      <w:lvlJc w:val="left"/>
      <w:pPr>
        <w:ind w:left="1821" w:hanging="282"/>
      </w:pPr>
      <w:rPr>
        <w:rFonts w:hint="default"/>
      </w:rPr>
    </w:lvl>
    <w:lvl w:ilvl="3">
      <w:start w:val="1"/>
      <w:numFmt w:val="bullet"/>
      <w:lvlText w:val="•"/>
      <w:lvlJc w:val="left"/>
      <w:pPr>
        <w:ind w:left="2242" w:hanging="282"/>
      </w:pPr>
      <w:rPr>
        <w:rFonts w:hint="default"/>
      </w:rPr>
    </w:lvl>
    <w:lvl w:ilvl="4">
      <w:start w:val="1"/>
      <w:numFmt w:val="bullet"/>
      <w:lvlText w:val="•"/>
      <w:lvlJc w:val="left"/>
      <w:pPr>
        <w:ind w:left="2663" w:hanging="282"/>
      </w:pPr>
      <w:rPr>
        <w:rFonts w:hint="default"/>
      </w:rPr>
    </w:lvl>
    <w:lvl w:ilvl="5">
      <w:start w:val="1"/>
      <w:numFmt w:val="bullet"/>
      <w:lvlText w:val="•"/>
      <w:lvlJc w:val="left"/>
      <w:pPr>
        <w:ind w:left="3084" w:hanging="282"/>
      </w:pPr>
      <w:rPr>
        <w:rFonts w:hint="default"/>
      </w:rPr>
    </w:lvl>
    <w:lvl w:ilvl="6">
      <w:start w:val="1"/>
      <w:numFmt w:val="bullet"/>
      <w:lvlText w:val="•"/>
      <w:lvlJc w:val="left"/>
      <w:pPr>
        <w:ind w:left="3505" w:hanging="282"/>
      </w:pPr>
      <w:rPr>
        <w:rFonts w:hint="default"/>
      </w:rPr>
    </w:lvl>
    <w:lvl w:ilvl="7">
      <w:start w:val="1"/>
      <w:numFmt w:val="bullet"/>
      <w:lvlText w:val="•"/>
      <w:lvlJc w:val="left"/>
      <w:pPr>
        <w:ind w:left="3926" w:hanging="282"/>
      </w:pPr>
      <w:rPr>
        <w:rFonts w:hint="default"/>
      </w:rPr>
    </w:lvl>
    <w:lvl w:ilvl="8">
      <w:start w:val="1"/>
      <w:numFmt w:val="bullet"/>
      <w:lvlText w:val="•"/>
      <w:lvlJc w:val="left"/>
      <w:pPr>
        <w:ind w:left="4347" w:hanging="282"/>
      </w:pPr>
      <w:rPr>
        <w:rFonts w:hint="default"/>
      </w:rPr>
    </w:lvl>
  </w:abstractNum>
  <w:abstractNum w:abstractNumId="160">
    <w:multiLevelType w:val="hybridMultilevel"/>
    <w:lvl w:ilvl="0">
      <w:start w:val="1"/>
      <w:numFmt w:val="decimal"/>
      <w:lvlText w:val="%1)"/>
      <w:lvlJc w:val="left"/>
      <w:pPr>
        <w:ind w:left="630" w:hanging="360"/>
        <w:jc w:val="left"/>
      </w:pPr>
      <w:rPr>
        <w:rFonts w:hint="default" w:ascii="Times New Roman" w:hAnsi="Times New Roman" w:eastAsia="Times New Roman" w:cs="Times New Roman"/>
        <w:w w:val="100"/>
        <w:sz w:val="20"/>
        <w:szCs w:val="20"/>
      </w:rPr>
    </w:lvl>
    <w:lvl w:ilvl="1">
      <w:start w:val="1"/>
      <w:numFmt w:val="lowerLetter"/>
      <w:lvlText w:val="%2)"/>
      <w:lvlJc w:val="left"/>
      <w:pPr>
        <w:ind w:left="990" w:hanging="348"/>
        <w:jc w:val="left"/>
      </w:pPr>
      <w:rPr>
        <w:rFonts w:hint="default" w:ascii="Times New Roman" w:hAnsi="Times New Roman" w:eastAsia="Times New Roman" w:cs="Times New Roman"/>
        <w:spacing w:val="-1"/>
        <w:w w:val="100"/>
        <w:sz w:val="20"/>
        <w:szCs w:val="20"/>
      </w:rPr>
    </w:lvl>
    <w:lvl w:ilvl="2">
      <w:start w:val="1"/>
      <w:numFmt w:val="bullet"/>
      <w:lvlText w:val="•"/>
      <w:lvlJc w:val="left"/>
      <w:pPr>
        <w:ind w:left="1535" w:hanging="348"/>
      </w:pPr>
      <w:rPr>
        <w:rFonts w:hint="default"/>
      </w:rPr>
    </w:lvl>
    <w:lvl w:ilvl="3">
      <w:start w:val="1"/>
      <w:numFmt w:val="bullet"/>
      <w:lvlText w:val="•"/>
      <w:lvlJc w:val="left"/>
      <w:pPr>
        <w:ind w:left="2070" w:hanging="348"/>
      </w:pPr>
      <w:rPr>
        <w:rFonts w:hint="default"/>
      </w:rPr>
    </w:lvl>
    <w:lvl w:ilvl="4">
      <w:start w:val="1"/>
      <w:numFmt w:val="bullet"/>
      <w:lvlText w:val="•"/>
      <w:lvlJc w:val="left"/>
      <w:pPr>
        <w:ind w:left="2605" w:hanging="348"/>
      </w:pPr>
      <w:rPr>
        <w:rFonts w:hint="default"/>
      </w:rPr>
    </w:lvl>
    <w:lvl w:ilvl="5">
      <w:start w:val="1"/>
      <w:numFmt w:val="bullet"/>
      <w:lvlText w:val="•"/>
      <w:lvlJc w:val="left"/>
      <w:pPr>
        <w:ind w:left="3140" w:hanging="348"/>
      </w:pPr>
      <w:rPr>
        <w:rFonts w:hint="default"/>
      </w:rPr>
    </w:lvl>
    <w:lvl w:ilvl="6">
      <w:start w:val="1"/>
      <w:numFmt w:val="bullet"/>
      <w:lvlText w:val="•"/>
      <w:lvlJc w:val="left"/>
      <w:pPr>
        <w:ind w:left="3675" w:hanging="348"/>
      </w:pPr>
      <w:rPr>
        <w:rFonts w:hint="default"/>
      </w:rPr>
    </w:lvl>
    <w:lvl w:ilvl="7">
      <w:start w:val="1"/>
      <w:numFmt w:val="bullet"/>
      <w:lvlText w:val="•"/>
      <w:lvlJc w:val="left"/>
      <w:pPr>
        <w:ind w:left="4210" w:hanging="348"/>
      </w:pPr>
      <w:rPr>
        <w:rFonts w:hint="default"/>
      </w:rPr>
    </w:lvl>
    <w:lvl w:ilvl="8">
      <w:start w:val="1"/>
      <w:numFmt w:val="bullet"/>
      <w:lvlText w:val="•"/>
      <w:lvlJc w:val="left"/>
      <w:pPr>
        <w:ind w:left="4745" w:hanging="348"/>
      </w:pPr>
      <w:rPr>
        <w:rFonts w:hint="default"/>
      </w:rPr>
    </w:lvl>
  </w:abstractNum>
  <w:abstractNum w:abstractNumId="159">
    <w:multiLevelType w:val="hybridMultilevel"/>
    <w:lvl w:ilvl="0">
      <w:start w:val="1"/>
      <w:numFmt w:val="decimal"/>
      <w:lvlText w:val="%1)"/>
      <w:lvlJc w:val="left"/>
      <w:pPr>
        <w:ind w:left="696" w:hanging="426"/>
        <w:jc w:val="left"/>
      </w:pPr>
      <w:rPr>
        <w:rFonts w:hint="default" w:ascii="Times New Roman" w:hAnsi="Times New Roman" w:eastAsia="Times New Roman" w:cs="Times New Roman"/>
        <w:w w:val="100"/>
        <w:sz w:val="20"/>
        <w:szCs w:val="20"/>
      </w:rPr>
    </w:lvl>
    <w:lvl w:ilvl="1">
      <w:start w:val="1"/>
      <w:numFmt w:val="lowerLetter"/>
      <w:lvlText w:val="%2)"/>
      <w:lvlJc w:val="left"/>
      <w:pPr>
        <w:ind w:left="838" w:hanging="284"/>
        <w:jc w:val="left"/>
      </w:pPr>
      <w:rPr>
        <w:rFonts w:hint="default" w:ascii="Times New Roman" w:hAnsi="Times New Roman" w:eastAsia="Times New Roman" w:cs="Times New Roman"/>
        <w:spacing w:val="-1"/>
        <w:w w:val="99"/>
        <w:sz w:val="22"/>
        <w:szCs w:val="22"/>
      </w:rPr>
    </w:lvl>
    <w:lvl w:ilvl="2">
      <w:start w:val="1"/>
      <w:numFmt w:val="bullet"/>
      <w:lvlText w:val="•"/>
      <w:lvlJc w:val="left"/>
      <w:pPr>
        <w:ind w:left="1392" w:hanging="284"/>
      </w:pPr>
      <w:rPr>
        <w:rFonts w:hint="default"/>
      </w:rPr>
    </w:lvl>
    <w:lvl w:ilvl="3">
      <w:start w:val="1"/>
      <w:numFmt w:val="bullet"/>
      <w:lvlText w:val="•"/>
      <w:lvlJc w:val="left"/>
      <w:pPr>
        <w:ind w:left="1945" w:hanging="284"/>
      </w:pPr>
      <w:rPr>
        <w:rFonts w:hint="default"/>
      </w:rPr>
    </w:lvl>
    <w:lvl w:ilvl="4">
      <w:start w:val="1"/>
      <w:numFmt w:val="bullet"/>
      <w:lvlText w:val="•"/>
      <w:lvlJc w:val="left"/>
      <w:pPr>
        <w:ind w:left="2498" w:hanging="284"/>
      </w:pPr>
      <w:rPr>
        <w:rFonts w:hint="default"/>
      </w:rPr>
    </w:lvl>
    <w:lvl w:ilvl="5">
      <w:start w:val="1"/>
      <w:numFmt w:val="bullet"/>
      <w:lvlText w:val="•"/>
      <w:lvlJc w:val="left"/>
      <w:pPr>
        <w:ind w:left="3051" w:hanging="284"/>
      </w:pPr>
      <w:rPr>
        <w:rFonts w:hint="default"/>
      </w:rPr>
    </w:lvl>
    <w:lvl w:ilvl="6">
      <w:start w:val="1"/>
      <w:numFmt w:val="bullet"/>
      <w:lvlText w:val="•"/>
      <w:lvlJc w:val="left"/>
      <w:pPr>
        <w:ind w:left="3604" w:hanging="284"/>
      </w:pPr>
      <w:rPr>
        <w:rFonts w:hint="default"/>
      </w:rPr>
    </w:lvl>
    <w:lvl w:ilvl="7">
      <w:start w:val="1"/>
      <w:numFmt w:val="bullet"/>
      <w:lvlText w:val="•"/>
      <w:lvlJc w:val="left"/>
      <w:pPr>
        <w:ind w:left="4157" w:hanging="284"/>
      </w:pPr>
      <w:rPr>
        <w:rFonts w:hint="default"/>
      </w:rPr>
    </w:lvl>
    <w:lvl w:ilvl="8">
      <w:start w:val="1"/>
      <w:numFmt w:val="bullet"/>
      <w:lvlText w:val="•"/>
      <w:lvlJc w:val="left"/>
      <w:pPr>
        <w:ind w:left="4709" w:hanging="284"/>
      </w:pPr>
      <w:rPr>
        <w:rFonts w:hint="default"/>
      </w:rPr>
    </w:lvl>
  </w:abstractNum>
  <w:abstractNum w:abstractNumId="158">
    <w:multiLevelType w:val="hybridMultilevel"/>
    <w:lvl w:ilvl="0">
      <w:start w:val="1"/>
      <w:numFmt w:val="decimal"/>
      <w:lvlText w:val="%1."/>
      <w:lvlJc w:val="left"/>
      <w:pPr>
        <w:ind w:left="270" w:hanging="202"/>
        <w:jc w:val="left"/>
      </w:pPr>
      <w:rPr>
        <w:rFonts w:hint="default" w:ascii="Times New Roman" w:hAnsi="Times New Roman" w:eastAsia="Times New Roman" w:cs="Times New Roman"/>
        <w:b/>
        <w:bCs/>
        <w:w w:val="100"/>
        <w:sz w:val="20"/>
        <w:szCs w:val="20"/>
      </w:rPr>
    </w:lvl>
    <w:lvl w:ilvl="1">
      <w:start w:val="1"/>
      <w:numFmt w:val="decimal"/>
      <w:lvlText w:val="%1.%2"/>
      <w:lvlJc w:val="left"/>
      <w:pPr>
        <w:ind w:left="570" w:hanging="300"/>
        <w:jc w:val="left"/>
      </w:pPr>
      <w:rPr>
        <w:rFonts w:hint="default"/>
        <w:b/>
        <w:bCs/>
        <w:spacing w:val="-1"/>
        <w:w w:val="100"/>
      </w:rPr>
    </w:lvl>
    <w:lvl w:ilvl="2">
      <w:start w:val="1"/>
      <w:numFmt w:val="bullet"/>
      <w:lvlText w:val=""/>
      <w:lvlJc w:val="left"/>
      <w:pPr>
        <w:ind w:left="978" w:hanging="348"/>
      </w:pPr>
      <w:rPr>
        <w:rFonts w:hint="default" w:ascii="Symbol" w:hAnsi="Symbol" w:eastAsia="Symbol" w:cs="Symbol"/>
        <w:w w:val="99"/>
        <w:sz w:val="20"/>
        <w:szCs w:val="20"/>
      </w:rPr>
    </w:lvl>
    <w:lvl w:ilvl="3">
      <w:start w:val="1"/>
      <w:numFmt w:val="bullet"/>
      <w:lvlText w:val="•"/>
      <w:lvlJc w:val="left"/>
      <w:pPr>
        <w:ind w:left="980" w:hanging="348"/>
      </w:pPr>
      <w:rPr>
        <w:rFonts w:hint="default"/>
      </w:rPr>
    </w:lvl>
    <w:lvl w:ilvl="4">
      <w:start w:val="1"/>
      <w:numFmt w:val="bullet"/>
      <w:lvlText w:val="•"/>
      <w:lvlJc w:val="left"/>
      <w:pPr>
        <w:ind w:left="777" w:hanging="348"/>
      </w:pPr>
      <w:rPr>
        <w:rFonts w:hint="default"/>
      </w:rPr>
    </w:lvl>
    <w:lvl w:ilvl="5">
      <w:start w:val="1"/>
      <w:numFmt w:val="bullet"/>
      <w:lvlText w:val="•"/>
      <w:lvlJc w:val="left"/>
      <w:pPr>
        <w:ind w:left="575" w:hanging="348"/>
      </w:pPr>
      <w:rPr>
        <w:rFonts w:hint="default"/>
      </w:rPr>
    </w:lvl>
    <w:lvl w:ilvl="6">
      <w:start w:val="1"/>
      <w:numFmt w:val="bullet"/>
      <w:lvlText w:val="•"/>
      <w:lvlJc w:val="left"/>
      <w:pPr>
        <w:ind w:left="373" w:hanging="348"/>
      </w:pPr>
      <w:rPr>
        <w:rFonts w:hint="default"/>
      </w:rPr>
    </w:lvl>
    <w:lvl w:ilvl="7">
      <w:start w:val="1"/>
      <w:numFmt w:val="bullet"/>
      <w:lvlText w:val="•"/>
      <w:lvlJc w:val="left"/>
      <w:pPr>
        <w:ind w:left="171" w:hanging="348"/>
      </w:pPr>
      <w:rPr>
        <w:rFonts w:hint="default"/>
      </w:rPr>
    </w:lvl>
    <w:lvl w:ilvl="8">
      <w:start w:val="1"/>
      <w:numFmt w:val="bullet"/>
      <w:lvlText w:val="•"/>
      <w:lvlJc w:val="left"/>
      <w:pPr>
        <w:ind w:left="-31" w:hanging="348"/>
      </w:pPr>
      <w:rPr>
        <w:rFonts w:hint="default"/>
      </w:rPr>
    </w:lvl>
  </w:abstractNum>
  <w:abstractNum w:abstractNumId="157">
    <w:multiLevelType w:val="hybridMultilevel"/>
    <w:lvl w:ilvl="0">
      <w:start w:val="13"/>
      <w:numFmt w:val="decimal"/>
      <w:lvlText w:val="%1."/>
      <w:lvlJc w:val="left"/>
      <w:pPr>
        <w:ind w:left="696" w:hanging="360"/>
        <w:jc w:val="left"/>
      </w:pPr>
      <w:rPr>
        <w:rFonts w:hint="default" w:ascii="Times New Roman" w:hAnsi="Times New Roman" w:eastAsia="Times New Roman" w:cs="Times New Roman"/>
        <w:spacing w:val="-1"/>
        <w:w w:val="100"/>
        <w:sz w:val="20"/>
        <w:szCs w:val="20"/>
      </w:rPr>
    </w:lvl>
    <w:lvl w:ilvl="1">
      <w:start w:val="1"/>
      <w:numFmt w:val="bullet"/>
      <w:lvlText w:val="•"/>
      <w:lvlJc w:val="left"/>
      <w:pPr>
        <w:ind w:left="1149" w:hanging="360"/>
      </w:pPr>
      <w:rPr>
        <w:rFonts w:hint="default"/>
      </w:rPr>
    </w:lvl>
    <w:lvl w:ilvl="2">
      <w:start w:val="1"/>
      <w:numFmt w:val="bullet"/>
      <w:lvlText w:val="•"/>
      <w:lvlJc w:val="left"/>
      <w:pPr>
        <w:ind w:left="1598" w:hanging="360"/>
      </w:pPr>
      <w:rPr>
        <w:rFonts w:hint="default"/>
      </w:rPr>
    </w:lvl>
    <w:lvl w:ilvl="3">
      <w:start w:val="1"/>
      <w:numFmt w:val="bullet"/>
      <w:lvlText w:val="•"/>
      <w:lvlJc w:val="left"/>
      <w:pPr>
        <w:ind w:left="2047" w:hanging="360"/>
      </w:pPr>
      <w:rPr>
        <w:rFonts w:hint="default"/>
      </w:rPr>
    </w:lvl>
    <w:lvl w:ilvl="4">
      <w:start w:val="1"/>
      <w:numFmt w:val="bullet"/>
      <w:lvlText w:val="•"/>
      <w:lvlJc w:val="left"/>
      <w:pPr>
        <w:ind w:left="2496" w:hanging="360"/>
      </w:pPr>
      <w:rPr>
        <w:rFonts w:hint="default"/>
      </w:rPr>
    </w:lvl>
    <w:lvl w:ilvl="5">
      <w:start w:val="1"/>
      <w:numFmt w:val="bullet"/>
      <w:lvlText w:val="•"/>
      <w:lvlJc w:val="left"/>
      <w:pPr>
        <w:ind w:left="2945" w:hanging="360"/>
      </w:pPr>
      <w:rPr>
        <w:rFonts w:hint="default"/>
      </w:rPr>
    </w:lvl>
    <w:lvl w:ilvl="6">
      <w:start w:val="1"/>
      <w:numFmt w:val="bullet"/>
      <w:lvlText w:val="•"/>
      <w:lvlJc w:val="left"/>
      <w:pPr>
        <w:ind w:left="3394" w:hanging="360"/>
      </w:pPr>
      <w:rPr>
        <w:rFonts w:hint="default"/>
      </w:rPr>
    </w:lvl>
    <w:lvl w:ilvl="7">
      <w:start w:val="1"/>
      <w:numFmt w:val="bullet"/>
      <w:lvlText w:val="•"/>
      <w:lvlJc w:val="left"/>
      <w:pPr>
        <w:ind w:left="3843" w:hanging="360"/>
      </w:pPr>
      <w:rPr>
        <w:rFonts w:hint="default"/>
      </w:rPr>
    </w:lvl>
    <w:lvl w:ilvl="8">
      <w:start w:val="1"/>
      <w:numFmt w:val="bullet"/>
      <w:lvlText w:val="•"/>
      <w:lvlJc w:val="left"/>
      <w:pPr>
        <w:ind w:left="4292" w:hanging="360"/>
      </w:pPr>
      <w:rPr>
        <w:rFonts w:hint="default"/>
      </w:rPr>
    </w:lvl>
  </w:abstractNum>
  <w:abstractNum w:abstractNumId="156">
    <w:multiLevelType w:val="hybridMultilevel"/>
    <w:lvl w:ilvl="0">
      <w:start w:val="3"/>
      <w:numFmt w:val="decimal"/>
      <w:lvlText w:val="%1"/>
      <w:lvlJc w:val="left"/>
      <w:pPr>
        <w:ind w:left="570" w:hanging="300"/>
        <w:jc w:val="left"/>
      </w:pPr>
      <w:rPr>
        <w:rFonts w:hint="default"/>
      </w:rPr>
    </w:lvl>
    <w:lvl w:ilvl="1">
      <w:start w:val="1"/>
      <w:numFmt w:val="decimal"/>
      <w:lvlText w:val="%1.%2"/>
      <w:lvlJc w:val="left"/>
      <w:pPr>
        <w:ind w:left="570" w:hanging="300"/>
        <w:jc w:val="left"/>
      </w:pPr>
      <w:rPr>
        <w:rFonts w:hint="default"/>
        <w:b/>
        <w:bCs/>
        <w:w w:val="100"/>
      </w:rPr>
    </w:lvl>
    <w:lvl w:ilvl="2">
      <w:start w:val="1"/>
      <w:numFmt w:val="bullet"/>
      <w:lvlText w:val="•"/>
      <w:lvlJc w:val="left"/>
      <w:pPr>
        <w:ind w:left="1502" w:hanging="300"/>
      </w:pPr>
      <w:rPr>
        <w:rFonts w:hint="default"/>
      </w:rPr>
    </w:lvl>
    <w:lvl w:ilvl="3">
      <w:start w:val="1"/>
      <w:numFmt w:val="bullet"/>
      <w:lvlText w:val="•"/>
      <w:lvlJc w:val="left"/>
      <w:pPr>
        <w:ind w:left="1963" w:hanging="300"/>
      </w:pPr>
      <w:rPr>
        <w:rFonts w:hint="default"/>
      </w:rPr>
    </w:lvl>
    <w:lvl w:ilvl="4">
      <w:start w:val="1"/>
      <w:numFmt w:val="bullet"/>
      <w:lvlText w:val="•"/>
      <w:lvlJc w:val="left"/>
      <w:pPr>
        <w:ind w:left="2424" w:hanging="300"/>
      </w:pPr>
      <w:rPr>
        <w:rFonts w:hint="default"/>
      </w:rPr>
    </w:lvl>
    <w:lvl w:ilvl="5">
      <w:start w:val="1"/>
      <w:numFmt w:val="bullet"/>
      <w:lvlText w:val="•"/>
      <w:lvlJc w:val="left"/>
      <w:pPr>
        <w:ind w:left="2885" w:hanging="300"/>
      </w:pPr>
      <w:rPr>
        <w:rFonts w:hint="default"/>
      </w:rPr>
    </w:lvl>
    <w:lvl w:ilvl="6">
      <w:start w:val="1"/>
      <w:numFmt w:val="bullet"/>
      <w:lvlText w:val="•"/>
      <w:lvlJc w:val="left"/>
      <w:pPr>
        <w:ind w:left="3346" w:hanging="300"/>
      </w:pPr>
      <w:rPr>
        <w:rFonts w:hint="default"/>
      </w:rPr>
    </w:lvl>
    <w:lvl w:ilvl="7">
      <w:start w:val="1"/>
      <w:numFmt w:val="bullet"/>
      <w:lvlText w:val="•"/>
      <w:lvlJc w:val="left"/>
      <w:pPr>
        <w:ind w:left="3807" w:hanging="300"/>
      </w:pPr>
      <w:rPr>
        <w:rFonts w:hint="default"/>
      </w:rPr>
    </w:lvl>
    <w:lvl w:ilvl="8">
      <w:start w:val="1"/>
      <w:numFmt w:val="bullet"/>
      <w:lvlText w:val="•"/>
      <w:lvlJc w:val="left"/>
      <w:pPr>
        <w:ind w:left="4268" w:hanging="300"/>
      </w:pPr>
      <w:rPr>
        <w:rFonts w:hint="default"/>
      </w:rPr>
    </w:lvl>
  </w:abstractNum>
  <w:abstractNum w:abstractNumId="155">
    <w:multiLevelType w:val="hybridMultilevel"/>
    <w:lvl w:ilvl="0">
      <w:start w:val="1"/>
      <w:numFmt w:val="decimal"/>
      <w:lvlText w:val="%1-"/>
      <w:lvlJc w:val="left"/>
      <w:pPr>
        <w:ind w:left="270" w:hanging="169"/>
        <w:jc w:val="left"/>
      </w:pPr>
      <w:rPr>
        <w:rFonts w:hint="default" w:ascii="Times New Roman" w:hAnsi="Times New Roman" w:eastAsia="Times New Roman" w:cs="Times New Roman"/>
        <w:w w:val="100"/>
        <w:sz w:val="20"/>
        <w:szCs w:val="20"/>
      </w:rPr>
    </w:lvl>
    <w:lvl w:ilvl="1">
      <w:start w:val="1"/>
      <w:numFmt w:val="bullet"/>
      <w:lvlText w:val="•"/>
      <w:lvlJc w:val="left"/>
      <w:pPr>
        <w:ind w:left="1396" w:hanging="169"/>
      </w:pPr>
      <w:rPr>
        <w:rFonts w:hint="default"/>
      </w:rPr>
    </w:lvl>
    <w:lvl w:ilvl="2">
      <w:start w:val="1"/>
      <w:numFmt w:val="bullet"/>
      <w:lvlText w:val="•"/>
      <w:lvlJc w:val="left"/>
      <w:pPr>
        <w:ind w:left="2512" w:hanging="169"/>
      </w:pPr>
      <w:rPr>
        <w:rFonts w:hint="default"/>
      </w:rPr>
    </w:lvl>
    <w:lvl w:ilvl="3">
      <w:start w:val="1"/>
      <w:numFmt w:val="bullet"/>
      <w:lvlText w:val="•"/>
      <w:lvlJc w:val="left"/>
      <w:pPr>
        <w:ind w:left="3628" w:hanging="169"/>
      </w:pPr>
      <w:rPr>
        <w:rFonts w:hint="default"/>
      </w:rPr>
    </w:lvl>
    <w:lvl w:ilvl="4">
      <w:start w:val="1"/>
      <w:numFmt w:val="bullet"/>
      <w:lvlText w:val="•"/>
      <w:lvlJc w:val="left"/>
      <w:pPr>
        <w:ind w:left="4744" w:hanging="169"/>
      </w:pPr>
      <w:rPr>
        <w:rFonts w:hint="default"/>
      </w:rPr>
    </w:lvl>
    <w:lvl w:ilvl="5">
      <w:start w:val="1"/>
      <w:numFmt w:val="bullet"/>
      <w:lvlText w:val="•"/>
      <w:lvlJc w:val="left"/>
      <w:pPr>
        <w:ind w:left="5860" w:hanging="169"/>
      </w:pPr>
      <w:rPr>
        <w:rFonts w:hint="default"/>
      </w:rPr>
    </w:lvl>
    <w:lvl w:ilvl="6">
      <w:start w:val="1"/>
      <w:numFmt w:val="bullet"/>
      <w:lvlText w:val="•"/>
      <w:lvlJc w:val="left"/>
      <w:pPr>
        <w:ind w:left="6976" w:hanging="169"/>
      </w:pPr>
      <w:rPr>
        <w:rFonts w:hint="default"/>
      </w:rPr>
    </w:lvl>
    <w:lvl w:ilvl="7">
      <w:start w:val="1"/>
      <w:numFmt w:val="bullet"/>
      <w:lvlText w:val="•"/>
      <w:lvlJc w:val="left"/>
      <w:pPr>
        <w:ind w:left="8092" w:hanging="169"/>
      </w:pPr>
      <w:rPr>
        <w:rFonts w:hint="default"/>
      </w:rPr>
    </w:lvl>
    <w:lvl w:ilvl="8">
      <w:start w:val="1"/>
      <w:numFmt w:val="bullet"/>
      <w:lvlText w:val="•"/>
      <w:lvlJc w:val="left"/>
      <w:pPr>
        <w:ind w:left="9208" w:hanging="169"/>
      </w:pPr>
      <w:rPr>
        <w:rFonts w:hint="default"/>
      </w:rPr>
    </w:lvl>
  </w:abstractNum>
  <w:abstractNum w:abstractNumId="154">
    <w:multiLevelType w:val="hybridMultilevel"/>
    <w:lvl w:ilvl="0">
      <w:start w:val="2"/>
      <w:numFmt w:val="decimal"/>
      <w:lvlText w:val="%1"/>
      <w:lvlJc w:val="left"/>
      <w:pPr>
        <w:ind w:left="570" w:hanging="300"/>
        <w:jc w:val="left"/>
      </w:pPr>
      <w:rPr>
        <w:rFonts w:hint="default"/>
      </w:rPr>
    </w:lvl>
    <w:lvl w:ilvl="1">
      <w:start w:val="1"/>
      <w:numFmt w:val="decimal"/>
      <w:lvlText w:val="%1.%2"/>
      <w:lvlJc w:val="left"/>
      <w:pPr>
        <w:ind w:left="570" w:hanging="300"/>
        <w:jc w:val="left"/>
      </w:pPr>
      <w:rPr>
        <w:rFonts w:hint="default" w:ascii="Times New Roman" w:hAnsi="Times New Roman" w:eastAsia="Times New Roman" w:cs="Times New Roman"/>
        <w:b/>
        <w:bCs/>
        <w:spacing w:val="-1"/>
        <w:w w:val="100"/>
        <w:sz w:val="20"/>
        <w:szCs w:val="20"/>
      </w:rPr>
    </w:lvl>
    <w:lvl w:ilvl="2">
      <w:start w:val="1"/>
      <w:numFmt w:val="bullet"/>
      <w:lvlText w:val="•"/>
      <w:lvlJc w:val="left"/>
      <w:pPr>
        <w:ind w:left="1502" w:hanging="300"/>
      </w:pPr>
      <w:rPr>
        <w:rFonts w:hint="default"/>
      </w:rPr>
    </w:lvl>
    <w:lvl w:ilvl="3">
      <w:start w:val="1"/>
      <w:numFmt w:val="bullet"/>
      <w:lvlText w:val="•"/>
      <w:lvlJc w:val="left"/>
      <w:pPr>
        <w:ind w:left="1963" w:hanging="300"/>
      </w:pPr>
      <w:rPr>
        <w:rFonts w:hint="default"/>
      </w:rPr>
    </w:lvl>
    <w:lvl w:ilvl="4">
      <w:start w:val="1"/>
      <w:numFmt w:val="bullet"/>
      <w:lvlText w:val="•"/>
      <w:lvlJc w:val="left"/>
      <w:pPr>
        <w:ind w:left="2424" w:hanging="300"/>
      </w:pPr>
      <w:rPr>
        <w:rFonts w:hint="default"/>
      </w:rPr>
    </w:lvl>
    <w:lvl w:ilvl="5">
      <w:start w:val="1"/>
      <w:numFmt w:val="bullet"/>
      <w:lvlText w:val="•"/>
      <w:lvlJc w:val="left"/>
      <w:pPr>
        <w:ind w:left="2885" w:hanging="300"/>
      </w:pPr>
      <w:rPr>
        <w:rFonts w:hint="default"/>
      </w:rPr>
    </w:lvl>
    <w:lvl w:ilvl="6">
      <w:start w:val="1"/>
      <w:numFmt w:val="bullet"/>
      <w:lvlText w:val="•"/>
      <w:lvlJc w:val="left"/>
      <w:pPr>
        <w:ind w:left="3346" w:hanging="300"/>
      </w:pPr>
      <w:rPr>
        <w:rFonts w:hint="default"/>
      </w:rPr>
    </w:lvl>
    <w:lvl w:ilvl="7">
      <w:start w:val="1"/>
      <w:numFmt w:val="bullet"/>
      <w:lvlText w:val="•"/>
      <w:lvlJc w:val="left"/>
      <w:pPr>
        <w:ind w:left="3807" w:hanging="300"/>
      </w:pPr>
      <w:rPr>
        <w:rFonts w:hint="default"/>
      </w:rPr>
    </w:lvl>
    <w:lvl w:ilvl="8">
      <w:start w:val="1"/>
      <w:numFmt w:val="bullet"/>
      <w:lvlText w:val="•"/>
      <w:lvlJc w:val="left"/>
      <w:pPr>
        <w:ind w:left="4268" w:hanging="300"/>
      </w:pPr>
      <w:rPr>
        <w:rFonts w:hint="default"/>
      </w:rPr>
    </w:lvl>
  </w:abstractNum>
  <w:abstractNum w:abstractNumId="153">
    <w:multiLevelType w:val="hybridMultilevel"/>
    <w:lvl w:ilvl="0">
      <w:start w:val="1"/>
      <w:numFmt w:val="decimal"/>
      <w:lvlText w:val="%1"/>
      <w:lvlJc w:val="left"/>
      <w:pPr>
        <w:ind w:left="571" w:hanging="301"/>
        <w:jc w:val="left"/>
      </w:pPr>
      <w:rPr>
        <w:rFonts w:hint="default"/>
      </w:rPr>
    </w:lvl>
    <w:lvl w:ilvl="1">
      <w:start w:val="2"/>
      <w:numFmt w:val="decimal"/>
      <w:lvlText w:val="%1.%2"/>
      <w:lvlJc w:val="left"/>
      <w:pPr>
        <w:ind w:left="571" w:hanging="301"/>
        <w:jc w:val="left"/>
      </w:pPr>
      <w:rPr>
        <w:rFonts w:hint="default" w:ascii="Times New Roman" w:hAnsi="Times New Roman" w:eastAsia="Times New Roman" w:cs="Times New Roman"/>
        <w:b/>
        <w:bCs/>
        <w:spacing w:val="-1"/>
        <w:w w:val="100"/>
        <w:sz w:val="20"/>
        <w:szCs w:val="20"/>
      </w:rPr>
    </w:lvl>
    <w:lvl w:ilvl="2">
      <w:start w:val="1"/>
      <w:numFmt w:val="bullet"/>
      <w:lvlText w:val="•"/>
      <w:lvlJc w:val="left"/>
      <w:pPr>
        <w:ind w:left="1502" w:hanging="301"/>
      </w:pPr>
      <w:rPr>
        <w:rFonts w:hint="default"/>
      </w:rPr>
    </w:lvl>
    <w:lvl w:ilvl="3">
      <w:start w:val="1"/>
      <w:numFmt w:val="bullet"/>
      <w:lvlText w:val="•"/>
      <w:lvlJc w:val="left"/>
      <w:pPr>
        <w:ind w:left="1963" w:hanging="301"/>
      </w:pPr>
      <w:rPr>
        <w:rFonts w:hint="default"/>
      </w:rPr>
    </w:lvl>
    <w:lvl w:ilvl="4">
      <w:start w:val="1"/>
      <w:numFmt w:val="bullet"/>
      <w:lvlText w:val="•"/>
      <w:lvlJc w:val="left"/>
      <w:pPr>
        <w:ind w:left="2424" w:hanging="301"/>
      </w:pPr>
      <w:rPr>
        <w:rFonts w:hint="default"/>
      </w:rPr>
    </w:lvl>
    <w:lvl w:ilvl="5">
      <w:start w:val="1"/>
      <w:numFmt w:val="bullet"/>
      <w:lvlText w:val="•"/>
      <w:lvlJc w:val="left"/>
      <w:pPr>
        <w:ind w:left="2885" w:hanging="301"/>
      </w:pPr>
      <w:rPr>
        <w:rFonts w:hint="default"/>
      </w:rPr>
    </w:lvl>
    <w:lvl w:ilvl="6">
      <w:start w:val="1"/>
      <w:numFmt w:val="bullet"/>
      <w:lvlText w:val="•"/>
      <w:lvlJc w:val="left"/>
      <w:pPr>
        <w:ind w:left="3346" w:hanging="301"/>
      </w:pPr>
      <w:rPr>
        <w:rFonts w:hint="default"/>
      </w:rPr>
    </w:lvl>
    <w:lvl w:ilvl="7">
      <w:start w:val="1"/>
      <w:numFmt w:val="bullet"/>
      <w:lvlText w:val="•"/>
      <w:lvlJc w:val="left"/>
      <w:pPr>
        <w:ind w:left="3807" w:hanging="301"/>
      </w:pPr>
      <w:rPr>
        <w:rFonts w:hint="default"/>
      </w:rPr>
    </w:lvl>
    <w:lvl w:ilvl="8">
      <w:start w:val="1"/>
      <w:numFmt w:val="bullet"/>
      <w:lvlText w:val="•"/>
      <w:lvlJc w:val="left"/>
      <w:pPr>
        <w:ind w:left="4268" w:hanging="301"/>
      </w:pPr>
      <w:rPr>
        <w:rFonts w:hint="default"/>
      </w:rPr>
    </w:lvl>
  </w:abstractNum>
  <w:abstractNum w:abstractNumId="152">
    <w:multiLevelType w:val="hybridMultilevel"/>
    <w:lvl w:ilvl="0">
      <w:start w:val="1"/>
      <w:numFmt w:val="decimal"/>
      <w:lvlText w:val="%1."/>
      <w:lvlJc w:val="left"/>
      <w:pPr>
        <w:ind w:left="472" w:hanging="202"/>
        <w:jc w:val="left"/>
      </w:pPr>
      <w:rPr>
        <w:rFonts w:hint="default" w:ascii="Times New Roman" w:hAnsi="Times New Roman" w:eastAsia="Times New Roman" w:cs="Times New Roman"/>
        <w:b/>
        <w:bCs/>
        <w:w w:val="100"/>
        <w:sz w:val="20"/>
        <w:szCs w:val="20"/>
      </w:rPr>
    </w:lvl>
    <w:lvl w:ilvl="1">
      <w:start w:val="1"/>
      <w:numFmt w:val="decimal"/>
      <w:lvlText w:val="%1.%2."/>
      <w:lvlJc w:val="left"/>
      <w:pPr>
        <w:ind w:left="1186" w:hanging="916"/>
        <w:jc w:val="left"/>
      </w:pPr>
      <w:rPr>
        <w:rFonts w:hint="default" w:ascii="Times New Roman" w:hAnsi="Times New Roman" w:eastAsia="Times New Roman" w:cs="Times New Roman"/>
        <w:b/>
        <w:bCs/>
        <w:spacing w:val="-1"/>
        <w:w w:val="100"/>
        <w:sz w:val="20"/>
        <w:szCs w:val="20"/>
      </w:rPr>
    </w:lvl>
    <w:lvl w:ilvl="2">
      <w:start w:val="1"/>
      <w:numFmt w:val="bullet"/>
      <w:lvlText w:val="•"/>
      <w:lvlJc w:val="left"/>
      <w:pPr>
        <w:ind w:left="1695" w:hanging="916"/>
      </w:pPr>
      <w:rPr>
        <w:rFonts w:hint="default"/>
      </w:rPr>
    </w:lvl>
    <w:lvl w:ilvl="3">
      <w:start w:val="1"/>
      <w:numFmt w:val="bullet"/>
      <w:lvlText w:val="•"/>
      <w:lvlJc w:val="left"/>
      <w:pPr>
        <w:ind w:left="2210" w:hanging="916"/>
      </w:pPr>
      <w:rPr>
        <w:rFonts w:hint="default"/>
      </w:rPr>
    </w:lvl>
    <w:lvl w:ilvl="4">
      <w:start w:val="1"/>
      <w:numFmt w:val="bullet"/>
      <w:lvlText w:val="•"/>
      <w:lvlJc w:val="left"/>
      <w:pPr>
        <w:ind w:left="2725" w:hanging="916"/>
      </w:pPr>
      <w:rPr>
        <w:rFonts w:hint="default"/>
      </w:rPr>
    </w:lvl>
    <w:lvl w:ilvl="5">
      <w:start w:val="1"/>
      <w:numFmt w:val="bullet"/>
      <w:lvlText w:val="•"/>
      <w:lvlJc w:val="left"/>
      <w:pPr>
        <w:ind w:left="3240" w:hanging="916"/>
      </w:pPr>
      <w:rPr>
        <w:rFonts w:hint="default"/>
      </w:rPr>
    </w:lvl>
    <w:lvl w:ilvl="6">
      <w:start w:val="1"/>
      <w:numFmt w:val="bullet"/>
      <w:lvlText w:val="•"/>
      <w:lvlJc w:val="left"/>
      <w:pPr>
        <w:ind w:left="3755" w:hanging="916"/>
      </w:pPr>
      <w:rPr>
        <w:rFonts w:hint="default"/>
      </w:rPr>
    </w:lvl>
    <w:lvl w:ilvl="7">
      <w:start w:val="1"/>
      <w:numFmt w:val="bullet"/>
      <w:lvlText w:val="•"/>
      <w:lvlJc w:val="left"/>
      <w:pPr>
        <w:ind w:left="4270" w:hanging="916"/>
      </w:pPr>
      <w:rPr>
        <w:rFonts w:hint="default"/>
      </w:rPr>
    </w:lvl>
    <w:lvl w:ilvl="8">
      <w:start w:val="1"/>
      <w:numFmt w:val="bullet"/>
      <w:lvlText w:val="•"/>
      <w:lvlJc w:val="left"/>
      <w:pPr>
        <w:ind w:left="4785" w:hanging="916"/>
      </w:pPr>
      <w:rPr>
        <w:rFonts w:hint="default"/>
      </w:rPr>
    </w:lvl>
  </w:abstractNum>
  <w:abstractNum w:abstractNumId="151">
    <w:multiLevelType w:val="hybridMultilevel"/>
    <w:lvl w:ilvl="0">
      <w:start w:val="1"/>
      <w:numFmt w:val="decimal"/>
      <w:lvlText w:val="%1."/>
      <w:lvlJc w:val="left"/>
      <w:pPr>
        <w:ind w:left="472" w:hanging="202"/>
        <w:jc w:val="left"/>
      </w:pPr>
      <w:rPr>
        <w:rFonts w:hint="default" w:ascii="Times New Roman" w:hAnsi="Times New Roman" w:eastAsia="Times New Roman" w:cs="Times New Roman"/>
        <w:b/>
        <w:bCs/>
        <w:w w:val="100"/>
        <w:sz w:val="20"/>
        <w:szCs w:val="20"/>
      </w:rPr>
    </w:lvl>
    <w:lvl w:ilvl="1">
      <w:start w:val="1"/>
      <w:numFmt w:val="decimal"/>
      <w:lvlText w:val="%1.%2"/>
      <w:lvlJc w:val="left"/>
      <w:pPr>
        <w:ind w:left="571" w:hanging="301"/>
        <w:jc w:val="left"/>
      </w:pPr>
      <w:rPr>
        <w:rFonts w:hint="default" w:ascii="Times New Roman" w:hAnsi="Times New Roman" w:eastAsia="Times New Roman" w:cs="Times New Roman"/>
        <w:b/>
        <w:bCs/>
        <w:spacing w:val="-1"/>
        <w:w w:val="100"/>
        <w:sz w:val="20"/>
        <w:szCs w:val="20"/>
      </w:rPr>
    </w:lvl>
    <w:lvl w:ilvl="2">
      <w:start w:val="1"/>
      <w:numFmt w:val="bullet"/>
      <w:lvlText w:val="•"/>
      <w:lvlJc w:val="left"/>
      <w:pPr>
        <w:ind w:left="467" w:hanging="301"/>
      </w:pPr>
      <w:rPr>
        <w:rFonts w:hint="default"/>
      </w:rPr>
    </w:lvl>
    <w:lvl w:ilvl="3">
      <w:start w:val="1"/>
      <w:numFmt w:val="bullet"/>
      <w:lvlText w:val="•"/>
      <w:lvlJc w:val="left"/>
      <w:pPr>
        <w:ind w:left="354" w:hanging="301"/>
      </w:pPr>
      <w:rPr>
        <w:rFonts w:hint="default"/>
      </w:rPr>
    </w:lvl>
    <w:lvl w:ilvl="4">
      <w:start w:val="1"/>
      <w:numFmt w:val="bullet"/>
      <w:lvlText w:val="•"/>
      <w:lvlJc w:val="left"/>
      <w:pPr>
        <w:ind w:left="241" w:hanging="301"/>
      </w:pPr>
      <w:rPr>
        <w:rFonts w:hint="default"/>
      </w:rPr>
    </w:lvl>
    <w:lvl w:ilvl="5">
      <w:start w:val="1"/>
      <w:numFmt w:val="bullet"/>
      <w:lvlText w:val="•"/>
      <w:lvlJc w:val="left"/>
      <w:pPr>
        <w:ind w:left="128" w:hanging="301"/>
      </w:pPr>
      <w:rPr>
        <w:rFonts w:hint="default"/>
      </w:rPr>
    </w:lvl>
    <w:lvl w:ilvl="6">
      <w:start w:val="1"/>
      <w:numFmt w:val="bullet"/>
      <w:lvlText w:val="•"/>
      <w:lvlJc w:val="left"/>
      <w:pPr>
        <w:ind w:left="15" w:hanging="301"/>
      </w:pPr>
      <w:rPr>
        <w:rFonts w:hint="default"/>
      </w:rPr>
    </w:lvl>
    <w:lvl w:ilvl="7">
      <w:start w:val="1"/>
      <w:numFmt w:val="bullet"/>
      <w:lvlText w:val="•"/>
      <w:lvlJc w:val="left"/>
      <w:pPr>
        <w:ind w:left="-97" w:hanging="301"/>
      </w:pPr>
      <w:rPr>
        <w:rFonts w:hint="default"/>
      </w:rPr>
    </w:lvl>
    <w:lvl w:ilvl="8">
      <w:start w:val="1"/>
      <w:numFmt w:val="bullet"/>
      <w:lvlText w:val="•"/>
      <w:lvlJc w:val="left"/>
      <w:pPr>
        <w:ind w:left="-210" w:hanging="301"/>
      </w:pPr>
      <w:rPr>
        <w:rFonts w:hint="default"/>
      </w:rPr>
    </w:lvl>
  </w:abstractNum>
  <w:abstractNum w:abstractNumId="150">
    <w:multiLevelType w:val="hybridMultilevel"/>
    <w:lvl w:ilvl="0">
      <w:start w:val="1"/>
      <w:numFmt w:val="decimal"/>
      <w:lvlText w:val="%1."/>
      <w:lvlJc w:val="left"/>
      <w:pPr>
        <w:ind w:left="472" w:hanging="202"/>
        <w:jc w:val="left"/>
      </w:pPr>
      <w:rPr>
        <w:rFonts w:hint="default" w:ascii="Times New Roman" w:hAnsi="Times New Roman" w:eastAsia="Times New Roman" w:cs="Times New Roman"/>
        <w:b/>
        <w:bCs/>
        <w:w w:val="100"/>
        <w:sz w:val="20"/>
        <w:szCs w:val="20"/>
      </w:rPr>
    </w:lvl>
    <w:lvl w:ilvl="1">
      <w:start w:val="1"/>
      <w:numFmt w:val="decimal"/>
      <w:lvlText w:val="%1.%2"/>
      <w:lvlJc w:val="left"/>
      <w:pPr>
        <w:ind w:left="571" w:hanging="301"/>
        <w:jc w:val="left"/>
      </w:pPr>
      <w:rPr>
        <w:rFonts w:hint="default" w:ascii="Times New Roman" w:hAnsi="Times New Roman" w:eastAsia="Times New Roman" w:cs="Times New Roman"/>
        <w:b/>
        <w:bCs/>
        <w:spacing w:val="-1"/>
        <w:w w:val="100"/>
        <w:sz w:val="20"/>
        <w:szCs w:val="20"/>
      </w:rPr>
    </w:lvl>
    <w:lvl w:ilvl="2">
      <w:start w:val="1"/>
      <w:numFmt w:val="bullet"/>
      <w:lvlText w:val="•"/>
      <w:lvlJc w:val="left"/>
      <w:pPr>
        <w:ind w:left="467" w:hanging="301"/>
      </w:pPr>
      <w:rPr>
        <w:rFonts w:hint="default"/>
      </w:rPr>
    </w:lvl>
    <w:lvl w:ilvl="3">
      <w:start w:val="1"/>
      <w:numFmt w:val="bullet"/>
      <w:lvlText w:val="•"/>
      <w:lvlJc w:val="left"/>
      <w:pPr>
        <w:ind w:left="354" w:hanging="301"/>
      </w:pPr>
      <w:rPr>
        <w:rFonts w:hint="default"/>
      </w:rPr>
    </w:lvl>
    <w:lvl w:ilvl="4">
      <w:start w:val="1"/>
      <w:numFmt w:val="bullet"/>
      <w:lvlText w:val="•"/>
      <w:lvlJc w:val="left"/>
      <w:pPr>
        <w:ind w:left="241" w:hanging="301"/>
      </w:pPr>
      <w:rPr>
        <w:rFonts w:hint="default"/>
      </w:rPr>
    </w:lvl>
    <w:lvl w:ilvl="5">
      <w:start w:val="1"/>
      <w:numFmt w:val="bullet"/>
      <w:lvlText w:val="•"/>
      <w:lvlJc w:val="left"/>
      <w:pPr>
        <w:ind w:left="129" w:hanging="301"/>
      </w:pPr>
      <w:rPr>
        <w:rFonts w:hint="default"/>
      </w:rPr>
    </w:lvl>
    <w:lvl w:ilvl="6">
      <w:start w:val="1"/>
      <w:numFmt w:val="bullet"/>
      <w:lvlText w:val="•"/>
      <w:lvlJc w:val="left"/>
      <w:pPr>
        <w:ind w:left="16" w:hanging="301"/>
      </w:pPr>
      <w:rPr>
        <w:rFonts w:hint="default"/>
      </w:rPr>
    </w:lvl>
    <w:lvl w:ilvl="7">
      <w:start w:val="1"/>
      <w:numFmt w:val="bullet"/>
      <w:lvlText w:val="•"/>
      <w:lvlJc w:val="left"/>
      <w:pPr>
        <w:ind w:left="-97" w:hanging="301"/>
      </w:pPr>
      <w:rPr>
        <w:rFonts w:hint="default"/>
      </w:rPr>
    </w:lvl>
    <w:lvl w:ilvl="8">
      <w:start w:val="1"/>
      <w:numFmt w:val="bullet"/>
      <w:lvlText w:val="•"/>
      <w:lvlJc w:val="left"/>
      <w:pPr>
        <w:ind w:left="-210" w:hanging="301"/>
      </w:pPr>
      <w:rPr>
        <w:rFonts w:hint="default"/>
      </w:rPr>
    </w:lvl>
  </w:abstractNum>
  <w:abstractNum w:abstractNumId="149">
    <w:multiLevelType w:val="hybridMultilevel"/>
    <w:lvl w:ilvl="0">
      <w:start w:val="1"/>
      <w:numFmt w:val="decimal"/>
      <w:lvlText w:val="%1."/>
      <w:lvlJc w:val="left"/>
      <w:pPr>
        <w:ind w:left="472" w:hanging="202"/>
        <w:jc w:val="left"/>
      </w:pPr>
      <w:rPr>
        <w:rFonts w:hint="default" w:ascii="Times New Roman" w:hAnsi="Times New Roman" w:eastAsia="Times New Roman" w:cs="Times New Roman"/>
        <w:b/>
        <w:bCs/>
        <w:w w:val="100"/>
        <w:sz w:val="20"/>
        <w:szCs w:val="20"/>
      </w:rPr>
    </w:lvl>
    <w:lvl w:ilvl="1">
      <w:start w:val="1"/>
      <w:numFmt w:val="decimal"/>
      <w:lvlText w:val="%1.%2"/>
      <w:lvlJc w:val="left"/>
      <w:pPr>
        <w:ind w:left="571" w:hanging="301"/>
        <w:jc w:val="right"/>
      </w:pPr>
      <w:rPr>
        <w:rFonts w:hint="default" w:ascii="Times New Roman" w:hAnsi="Times New Roman" w:eastAsia="Times New Roman" w:cs="Times New Roman"/>
        <w:b/>
        <w:bCs/>
        <w:spacing w:val="-1"/>
        <w:w w:val="100"/>
        <w:sz w:val="20"/>
        <w:szCs w:val="20"/>
      </w:rPr>
    </w:lvl>
    <w:lvl w:ilvl="2">
      <w:start w:val="1"/>
      <w:numFmt w:val="bullet"/>
      <w:lvlText w:val="•"/>
      <w:lvlJc w:val="left"/>
      <w:pPr>
        <w:ind w:left="1161" w:hanging="301"/>
      </w:pPr>
      <w:rPr>
        <w:rFonts w:hint="default"/>
      </w:rPr>
    </w:lvl>
    <w:lvl w:ilvl="3">
      <w:start w:val="1"/>
      <w:numFmt w:val="bullet"/>
      <w:lvlText w:val="•"/>
      <w:lvlJc w:val="left"/>
      <w:pPr>
        <w:ind w:left="1743" w:hanging="301"/>
      </w:pPr>
      <w:rPr>
        <w:rFonts w:hint="default"/>
      </w:rPr>
    </w:lvl>
    <w:lvl w:ilvl="4">
      <w:start w:val="1"/>
      <w:numFmt w:val="bullet"/>
      <w:lvlText w:val="•"/>
      <w:lvlJc w:val="left"/>
      <w:pPr>
        <w:ind w:left="2325" w:hanging="301"/>
      </w:pPr>
      <w:rPr>
        <w:rFonts w:hint="default"/>
      </w:rPr>
    </w:lvl>
    <w:lvl w:ilvl="5">
      <w:start w:val="1"/>
      <w:numFmt w:val="bullet"/>
      <w:lvlText w:val="•"/>
      <w:lvlJc w:val="left"/>
      <w:pPr>
        <w:ind w:left="2906" w:hanging="301"/>
      </w:pPr>
      <w:rPr>
        <w:rFonts w:hint="default"/>
      </w:rPr>
    </w:lvl>
    <w:lvl w:ilvl="6">
      <w:start w:val="1"/>
      <w:numFmt w:val="bullet"/>
      <w:lvlText w:val="•"/>
      <w:lvlJc w:val="left"/>
      <w:pPr>
        <w:ind w:left="3488" w:hanging="301"/>
      </w:pPr>
      <w:rPr>
        <w:rFonts w:hint="default"/>
      </w:rPr>
    </w:lvl>
    <w:lvl w:ilvl="7">
      <w:start w:val="1"/>
      <w:numFmt w:val="bullet"/>
      <w:lvlText w:val="•"/>
      <w:lvlJc w:val="left"/>
      <w:pPr>
        <w:ind w:left="4070" w:hanging="301"/>
      </w:pPr>
      <w:rPr>
        <w:rFonts w:hint="default"/>
      </w:rPr>
    </w:lvl>
    <w:lvl w:ilvl="8">
      <w:start w:val="1"/>
      <w:numFmt w:val="bullet"/>
      <w:lvlText w:val="•"/>
      <w:lvlJc w:val="left"/>
      <w:pPr>
        <w:ind w:left="4652" w:hanging="301"/>
      </w:pPr>
      <w:rPr>
        <w:rFonts w:hint="default"/>
      </w:rPr>
    </w:lvl>
  </w:abstractNum>
  <w:abstractNum w:abstractNumId="148">
    <w:multiLevelType w:val="hybridMultilevel"/>
    <w:lvl w:ilvl="0">
      <w:start w:val="1"/>
      <w:numFmt w:val="decimal"/>
      <w:lvlText w:val="%1."/>
      <w:lvlJc w:val="left"/>
      <w:pPr>
        <w:ind w:left="472" w:hanging="202"/>
        <w:jc w:val="left"/>
      </w:pPr>
      <w:rPr>
        <w:rFonts w:hint="default" w:ascii="Times New Roman" w:hAnsi="Times New Roman" w:eastAsia="Times New Roman" w:cs="Times New Roman"/>
        <w:b/>
        <w:bCs/>
        <w:w w:val="100"/>
        <w:sz w:val="20"/>
        <w:szCs w:val="20"/>
      </w:rPr>
    </w:lvl>
    <w:lvl w:ilvl="1">
      <w:start w:val="1"/>
      <w:numFmt w:val="decimal"/>
      <w:lvlText w:val="%1.%2"/>
      <w:lvlJc w:val="left"/>
      <w:pPr>
        <w:ind w:left="270" w:hanging="302"/>
        <w:jc w:val="left"/>
      </w:pPr>
      <w:rPr>
        <w:rFonts w:hint="default" w:ascii="Times New Roman" w:hAnsi="Times New Roman" w:eastAsia="Times New Roman" w:cs="Times New Roman"/>
        <w:b/>
        <w:bCs/>
        <w:spacing w:val="-1"/>
        <w:w w:val="100"/>
        <w:sz w:val="20"/>
        <w:szCs w:val="20"/>
      </w:rPr>
    </w:lvl>
    <w:lvl w:ilvl="2">
      <w:start w:val="1"/>
      <w:numFmt w:val="bullet"/>
      <w:lvlText w:val="•"/>
      <w:lvlJc w:val="left"/>
      <w:pPr>
        <w:ind w:left="1072" w:hanging="302"/>
      </w:pPr>
      <w:rPr>
        <w:rFonts w:hint="default"/>
      </w:rPr>
    </w:lvl>
    <w:lvl w:ilvl="3">
      <w:start w:val="1"/>
      <w:numFmt w:val="bullet"/>
      <w:lvlText w:val="•"/>
      <w:lvlJc w:val="left"/>
      <w:pPr>
        <w:ind w:left="1665" w:hanging="302"/>
      </w:pPr>
      <w:rPr>
        <w:rFonts w:hint="default"/>
      </w:rPr>
    </w:lvl>
    <w:lvl w:ilvl="4">
      <w:start w:val="1"/>
      <w:numFmt w:val="bullet"/>
      <w:lvlText w:val="•"/>
      <w:lvlJc w:val="left"/>
      <w:pPr>
        <w:ind w:left="2258" w:hanging="302"/>
      </w:pPr>
      <w:rPr>
        <w:rFonts w:hint="default"/>
      </w:rPr>
    </w:lvl>
    <w:lvl w:ilvl="5">
      <w:start w:val="1"/>
      <w:numFmt w:val="bullet"/>
      <w:lvlText w:val="•"/>
      <w:lvlJc w:val="left"/>
      <w:pPr>
        <w:ind w:left="2851" w:hanging="302"/>
      </w:pPr>
      <w:rPr>
        <w:rFonts w:hint="default"/>
      </w:rPr>
    </w:lvl>
    <w:lvl w:ilvl="6">
      <w:start w:val="1"/>
      <w:numFmt w:val="bullet"/>
      <w:lvlText w:val="•"/>
      <w:lvlJc w:val="left"/>
      <w:pPr>
        <w:ind w:left="3444" w:hanging="302"/>
      </w:pPr>
      <w:rPr>
        <w:rFonts w:hint="default"/>
      </w:rPr>
    </w:lvl>
    <w:lvl w:ilvl="7">
      <w:start w:val="1"/>
      <w:numFmt w:val="bullet"/>
      <w:lvlText w:val="•"/>
      <w:lvlJc w:val="left"/>
      <w:pPr>
        <w:ind w:left="4037" w:hanging="302"/>
      </w:pPr>
      <w:rPr>
        <w:rFonts w:hint="default"/>
      </w:rPr>
    </w:lvl>
    <w:lvl w:ilvl="8">
      <w:start w:val="1"/>
      <w:numFmt w:val="bullet"/>
      <w:lvlText w:val="•"/>
      <w:lvlJc w:val="left"/>
      <w:pPr>
        <w:ind w:left="4629" w:hanging="302"/>
      </w:pPr>
      <w:rPr>
        <w:rFonts w:hint="default"/>
      </w:rPr>
    </w:lvl>
  </w:abstractNum>
  <w:abstractNum w:abstractNumId="147">
    <w:multiLevelType w:val="hybridMultilevel"/>
    <w:lvl w:ilvl="0">
      <w:start w:val="1"/>
      <w:numFmt w:val="decimal"/>
      <w:lvlText w:val="%1."/>
      <w:lvlJc w:val="left"/>
      <w:pPr>
        <w:ind w:left="270" w:hanging="262"/>
        <w:jc w:val="left"/>
      </w:pPr>
      <w:rPr>
        <w:rFonts w:hint="default" w:ascii="Times New Roman" w:hAnsi="Times New Roman" w:eastAsia="Times New Roman" w:cs="Times New Roman"/>
        <w:w w:val="100"/>
        <w:sz w:val="20"/>
        <w:szCs w:val="20"/>
      </w:rPr>
    </w:lvl>
    <w:lvl w:ilvl="1">
      <w:start w:val="1"/>
      <w:numFmt w:val="bullet"/>
      <w:lvlText w:val="•"/>
      <w:lvlJc w:val="left"/>
      <w:pPr>
        <w:ind w:left="833" w:hanging="262"/>
      </w:pPr>
      <w:rPr>
        <w:rFonts w:hint="default"/>
      </w:rPr>
    </w:lvl>
    <w:lvl w:ilvl="2">
      <w:start w:val="1"/>
      <w:numFmt w:val="bullet"/>
      <w:lvlText w:val="•"/>
      <w:lvlJc w:val="left"/>
      <w:pPr>
        <w:ind w:left="1387" w:hanging="262"/>
      </w:pPr>
      <w:rPr>
        <w:rFonts w:hint="default"/>
      </w:rPr>
    </w:lvl>
    <w:lvl w:ilvl="3">
      <w:start w:val="1"/>
      <w:numFmt w:val="bullet"/>
      <w:lvlText w:val="•"/>
      <w:lvlJc w:val="left"/>
      <w:pPr>
        <w:ind w:left="1940" w:hanging="262"/>
      </w:pPr>
      <w:rPr>
        <w:rFonts w:hint="default"/>
      </w:rPr>
    </w:lvl>
    <w:lvl w:ilvl="4">
      <w:start w:val="1"/>
      <w:numFmt w:val="bullet"/>
      <w:lvlText w:val="•"/>
      <w:lvlJc w:val="left"/>
      <w:pPr>
        <w:ind w:left="2494" w:hanging="262"/>
      </w:pPr>
      <w:rPr>
        <w:rFonts w:hint="default"/>
      </w:rPr>
    </w:lvl>
    <w:lvl w:ilvl="5">
      <w:start w:val="1"/>
      <w:numFmt w:val="bullet"/>
      <w:lvlText w:val="•"/>
      <w:lvlJc w:val="left"/>
      <w:pPr>
        <w:ind w:left="3047" w:hanging="262"/>
      </w:pPr>
      <w:rPr>
        <w:rFonts w:hint="default"/>
      </w:rPr>
    </w:lvl>
    <w:lvl w:ilvl="6">
      <w:start w:val="1"/>
      <w:numFmt w:val="bullet"/>
      <w:lvlText w:val="•"/>
      <w:lvlJc w:val="left"/>
      <w:pPr>
        <w:ind w:left="3601" w:hanging="262"/>
      </w:pPr>
      <w:rPr>
        <w:rFonts w:hint="default"/>
      </w:rPr>
    </w:lvl>
    <w:lvl w:ilvl="7">
      <w:start w:val="1"/>
      <w:numFmt w:val="bullet"/>
      <w:lvlText w:val="•"/>
      <w:lvlJc w:val="left"/>
      <w:pPr>
        <w:ind w:left="4154" w:hanging="262"/>
      </w:pPr>
      <w:rPr>
        <w:rFonts w:hint="default"/>
      </w:rPr>
    </w:lvl>
    <w:lvl w:ilvl="8">
      <w:start w:val="1"/>
      <w:numFmt w:val="bullet"/>
      <w:lvlText w:val="•"/>
      <w:lvlJc w:val="left"/>
      <w:pPr>
        <w:ind w:left="4708" w:hanging="262"/>
      </w:pPr>
      <w:rPr>
        <w:rFonts w:hint="default"/>
      </w:rPr>
    </w:lvl>
  </w:abstractNum>
  <w:abstractNum w:abstractNumId="146">
    <w:multiLevelType w:val="hybridMultilevel"/>
    <w:lvl w:ilvl="0">
      <w:start w:val="3"/>
      <w:numFmt w:val="decimal"/>
      <w:lvlText w:val="%1."/>
      <w:lvlJc w:val="left"/>
      <w:pPr>
        <w:ind w:left="470" w:hanging="200"/>
        <w:jc w:val="left"/>
      </w:pPr>
      <w:rPr>
        <w:rFonts w:hint="default" w:ascii="Times New Roman" w:hAnsi="Times New Roman" w:eastAsia="Times New Roman" w:cs="Times New Roman"/>
        <w:b/>
        <w:bCs/>
        <w:w w:val="100"/>
        <w:sz w:val="20"/>
        <w:szCs w:val="20"/>
      </w:rPr>
    </w:lvl>
    <w:lvl w:ilvl="1">
      <w:start w:val="1"/>
      <w:numFmt w:val="decimal"/>
      <w:lvlText w:val="%1.%2"/>
      <w:lvlJc w:val="left"/>
      <w:pPr>
        <w:ind w:left="570" w:hanging="300"/>
        <w:jc w:val="left"/>
      </w:pPr>
      <w:rPr>
        <w:rFonts w:hint="default" w:ascii="Times New Roman" w:hAnsi="Times New Roman" w:eastAsia="Times New Roman" w:cs="Times New Roman"/>
        <w:b/>
        <w:bCs/>
        <w:spacing w:val="-1"/>
        <w:w w:val="100"/>
        <w:sz w:val="20"/>
        <w:szCs w:val="20"/>
      </w:rPr>
    </w:lvl>
    <w:lvl w:ilvl="2">
      <w:start w:val="1"/>
      <w:numFmt w:val="bullet"/>
      <w:lvlText w:val="•"/>
      <w:lvlJc w:val="left"/>
      <w:pPr>
        <w:ind w:left="467" w:hanging="300"/>
      </w:pPr>
      <w:rPr>
        <w:rFonts w:hint="default"/>
      </w:rPr>
    </w:lvl>
    <w:lvl w:ilvl="3">
      <w:start w:val="1"/>
      <w:numFmt w:val="bullet"/>
      <w:lvlText w:val="•"/>
      <w:lvlJc w:val="left"/>
      <w:pPr>
        <w:ind w:left="355" w:hanging="300"/>
      </w:pPr>
      <w:rPr>
        <w:rFonts w:hint="default"/>
      </w:rPr>
    </w:lvl>
    <w:lvl w:ilvl="4">
      <w:start w:val="1"/>
      <w:numFmt w:val="bullet"/>
      <w:lvlText w:val="•"/>
      <w:lvlJc w:val="left"/>
      <w:pPr>
        <w:ind w:left="243" w:hanging="300"/>
      </w:pPr>
      <w:rPr>
        <w:rFonts w:hint="default"/>
      </w:rPr>
    </w:lvl>
    <w:lvl w:ilvl="5">
      <w:start w:val="1"/>
      <w:numFmt w:val="bullet"/>
      <w:lvlText w:val="•"/>
      <w:lvlJc w:val="left"/>
      <w:pPr>
        <w:ind w:left="130" w:hanging="300"/>
      </w:pPr>
      <w:rPr>
        <w:rFonts w:hint="default"/>
      </w:rPr>
    </w:lvl>
    <w:lvl w:ilvl="6">
      <w:start w:val="1"/>
      <w:numFmt w:val="bullet"/>
      <w:lvlText w:val="•"/>
      <w:lvlJc w:val="left"/>
      <w:pPr>
        <w:ind w:left="18" w:hanging="300"/>
      </w:pPr>
      <w:rPr>
        <w:rFonts w:hint="default"/>
      </w:rPr>
    </w:lvl>
    <w:lvl w:ilvl="7">
      <w:start w:val="1"/>
      <w:numFmt w:val="bullet"/>
      <w:lvlText w:val="•"/>
      <w:lvlJc w:val="left"/>
      <w:pPr>
        <w:ind w:left="-94" w:hanging="300"/>
      </w:pPr>
      <w:rPr>
        <w:rFonts w:hint="default"/>
      </w:rPr>
    </w:lvl>
    <w:lvl w:ilvl="8">
      <w:start w:val="1"/>
      <w:numFmt w:val="bullet"/>
      <w:lvlText w:val="•"/>
      <w:lvlJc w:val="left"/>
      <w:pPr>
        <w:ind w:left="-207" w:hanging="300"/>
      </w:pPr>
      <w:rPr>
        <w:rFonts w:hint="default"/>
      </w:rPr>
    </w:lvl>
  </w:abstractNum>
  <w:abstractNum w:abstractNumId="145">
    <w:multiLevelType w:val="hybridMultilevel"/>
    <w:lvl w:ilvl="0">
      <w:start w:val="2"/>
      <w:numFmt w:val="decimal"/>
      <w:lvlText w:val="%1."/>
      <w:lvlJc w:val="left"/>
      <w:pPr>
        <w:ind w:left="270" w:hanging="200"/>
        <w:jc w:val="left"/>
      </w:pPr>
      <w:rPr>
        <w:rFonts w:hint="default" w:ascii="Times New Roman" w:hAnsi="Times New Roman" w:eastAsia="Times New Roman" w:cs="Times New Roman"/>
        <w:w w:val="100"/>
        <w:sz w:val="20"/>
        <w:szCs w:val="20"/>
      </w:rPr>
    </w:lvl>
    <w:lvl w:ilvl="1">
      <w:start w:val="1"/>
      <w:numFmt w:val="bullet"/>
      <w:lvlText w:val="•"/>
      <w:lvlJc w:val="left"/>
      <w:pPr>
        <w:ind w:left="833" w:hanging="200"/>
      </w:pPr>
      <w:rPr>
        <w:rFonts w:hint="default"/>
      </w:rPr>
    </w:lvl>
    <w:lvl w:ilvl="2">
      <w:start w:val="1"/>
      <w:numFmt w:val="bullet"/>
      <w:lvlText w:val="•"/>
      <w:lvlJc w:val="left"/>
      <w:pPr>
        <w:ind w:left="1387" w:hanging="200"/>
      </w:pPr>
      <w:rPr>
        <w:rFonts w:hint="default"/>
      </w:rPr>
    </w:lvl>
    <w:lvl w:ilvl="3">
      <w:start w:val="1"/>
      <w:numFmt w:val="bullet"/>
      <w:lvlText w:val="•"/>
      <w:lvlJc w:val="left"/>
      <w:pPr>
        <w:ind w:left="1940" w:hanging="200"/>
      </w:pPr>
      <w:rPr>
        <w:rFonts w:hint="default"/>
      </w:rPr>
    </w:lvl>
    <w:lvl w:ilvl="4">
      <w:start w:val="1"/>
      <w:numFmt w:val="bullet"/>
      <w:lvlText w:val="•"/>
      <w:lvlJc w:val="left"/>
      <w:pPr>
        <w:ind w:left="2494" w:hanging="200"/>
      </w:pPr>
      <w:rPr>
        <w:rFonts w:hint="default"/>
      </w:rPr>
    </w:lvl>
    <w:lvl w:ilvl="5">
      <w:start w:val="1"/>
      <w:numFmt w:val="bullet"/>
      <w:lvlText w:val="•"/>
      <w:lvlJc w:val="left"/>
      <w:pPr>
        <w:ind w:left="3047" w:hanging="200"/>
      </w:pPr>
      <w:rPr>
        <w:rFonts w:hint="default"/>
      </w:rPr>
    </w:lvl>
    <w:lvl w:ilvl="6">
      <w:start w:val="1"/>
      <w:numFmt w:val="bullet"/>
      <w:lvlText w:val="•"/>
      <w:lvlJc w:val="left"/>
      <w:pPr>
        <w:ind w:left="3601" w:hanging="200"/>
      </w:pPr>
      <w:rPr>
        <w:rFonts w:hint="default"/>
      </w:rPr>
    </w:lvl>
    <w:lvl w:ilvl="7">
      <w:start w:val="1"/>
      <w:numFmt w:val="bullet"/>
      <w:lvlText w:val="•"/>
      <w:lvlJc w:val="left"/>
      <w:pPr>
        <w:ind w:left="4154" w:hanging="200"/>
      </w:pPr>
      <w:rPr>
        <w:rFonts w:hint="default"/>
      </w:rPr>
    </w:lvl>
    <w:lvl w:ilvl="8">
      <w:start w:val="1"/>
      <w:numFmt w:val="bullet"/>
      <w:lvlText w:val="•"/>
      <w:lvlJc w:val="left"/>
      <w:pPr>
        <w:ind w:left="4708" w:hanging="200"/>
      </w:pPr>
      <w:rPr>
        <w:rFonts w:hint="default"/>
      </w:rPr>
    </w:lvl>
  </w:abstractNum>
  <w:abstractNum w:abstractNumId="144">
    <w:multiLevelType w:val="hybridMultilevel"/>
    <w:lvl w:ilvl="0">
      <w:start w:val="1"/>
      <w:numFmt w:val="bullet"/>
      <w:lvlText w:val=""/>
      <w:lvlJc w:val="left"/>
      <w:pPr>
        <w:ind w:left="696" w:hanging="360"/>
      </w:pPr>
      <w:rPr>
        <w:rFonts w:hint="default" w:ascii="Symbol" w:hAnsi="Symbol" w:eastAsia="Symbol" w:cs="Symbol"/>
        <w:w w:val="99"/>
        <w:sz w:val="20"/>
        <w:szCs w:val="20"/>
      </w:rPr>
    </w:lvl>
    <w:lvl w:ilvl="1">
      <w:start w:val="1"/>
      <w:numFmt w:val="bullet"/>
      <w:lvlText w:val="•"/>
      <w:lvlJc w:val="left"/>
      <w:pPr>
        <w:ind w:left="1148" w:hanging="360"/>
      </w:pPr>
      <w:rPr>
        <w:rFonts w:hint="default"/>
      </w:rPr>
    </w:lvl>
    <w:lvl w:ilvl="2">
      <w:start w:val="1"/>
      <w:numFmt w:val="bullet"/>
      <w:lvlText w:val="•"/>
      <w:lvlJc w:val="left"/>
      <w:pPr>
        <w:ind w:left="1597" w:hanging="360"/>
      </w:pPr>
      <w:rPr>
        <w:rFonts w:hint="default"/>
      </w:rPr>
    </w:lvl>
    <w:lvl w:ilvl="3">
      <w:start w:val="1"/>
      <w:numFmt w:val="bullet"/>
      <w:lvlText w:val="•"/>
      <w:lvlJc w:val="left"/>
      <w:pPr>
        <w:ind w:left="2046" w:hanging="360"/>
      </w:pPr>
      <w:rPr>
        <w:rFonts w:hint="default"/>
      </w:rPr>
    </w:lvl>
    <w:lvl w:ilvl="4">
      <w:start w:val="1"/>
      <w:numFmt w:val="bullet"/>
      <w:lvlText w:val="•"/>
      <w:lvlJc w:val="left"/>
      <w:pPr>
        <w:ind w:left="2495" w:hanging="360"/>
      </w:pPr>
      <w:rPr>
        <w:rFonts w:hint="default"/>
      </w:rPr>
    </w:lvl>
    <w:lvl w:ilvl="5">
      <w:start w:val="1"/>
      <w:numFmt w:val="bullet"/>
      <w:lvlText w:val="•"/>
      <w:lvlJc w:val="left"/>
      <w:pPr>
        <w:ind w:left="2944" w:hanging="360"/>
      </w:pPr>
      <w:rPr>
        <w:rFonts w:hint="default"/>
      </w:rPr>
    </w:lvl>
    <w:lvl w:ilvl="6">
      <w:start w:val="1"/>
      <w:numFmt w:val="bullet"/>
      <w:lvlText w:val="•"/>
      <w:lvlJc w:val="left"/>
      <w:pPr>
        <w:ind w:left="3393" w:hanging="360"/>
      </w:pPr>
      <w:rPr>
        <w:rFonts w:hint="default"/>
      </w:rPr>
    </w:lvl>
    <w:lvl w:ilvl="7">
      <w:start w:val="1"/>
      <w:numFmt w:val="bullet"/>
      <w:lvlText w:val="•"/>
      <w:lvlJc w:val="left"/>
      <w:pPr>
        <w:ind w:left="3842" w:hanging="360"/>
      </w:pPr>
      <w:rPr>
        <w:rFonts w:hint="default"/>
      </w:rPr>
    </w:lvl>
    <w:lvl w:ilvl="8">
      <w:start w:val="1"/>
      <w:numFmt w:val="bullet"/>
      <w:lvlText w:val="•"/>
      <w:lvlJc w:val="left"/>
      <w:pPr>
        <w:ind w:left="4291" w:hanging="360"/>
      </w:pPr>
      <w:rPr>
        <w:rFonts w:hint="default"/>
      </w:rPr>
    </w:lvl>
  </w:abstractNum>
  <w:abstractNum w:abstractNumId="143">
    <w:multiLevelType w:val="hybridMultilevel"/>
    <w:lvl w:ilvl="0">
      <w:start w:val="1"/>
      <w:numFmt w:val="decimal"/>
      <w:lvlText w:val="%1."/>
      <w:lvlJc w:val="left"/>
      <w:pPr>
        <w:ind w:left="472" w:hanging="202"/>
        <w:jc w:val="left"/>
      </w:pPr>
      <w:rPr>
        <w:rFonts w:hint="default" w:ascii="Times New Roman" w:hAnsi="Times New Roman" w:eastAsia="Times New Roman" w:cs="Times New Roman"/>
        <w:b/>
        <w:bCs/>
        <w:w w:val="100"/>
        <w:sz w:val="20"/>
        <w:szCs w:val="20"/>
      </w:rPr>
    </w:lvl>
    <w:lvl w:ilvl="1">
      <w:start w:val="1"/>
      <w:numFmt w:val="decimal"/>
      <w:lvlText w:val="%1.%2"/>
      <w:lvlJc w:val="left"/>
      <w:pPr>
        <w:ind w:left="570" w:hanging="300"/>
        <w:jc w:val="left"/>
      </w:pPr>
      <w:rPr>
        <w:rFonts w:hint="default" w:ascii="Times New Roman" w:hAnsi="Times New Roman" w:eastAsia="Times New Roman" w:cs="Times New Roman"/>
        <w:b/>
        <w:bCs/>
        <w:spacing w:val="-1"/>
        <w:w w:val="100"/>
        <w:sz w:val="20"/>
        <w:szCs w:val="20"/>
      </w:rPr>
    </w:lvl>
    <w:lvl w:ilvl="2">
      <w:start w:val="1"/>
      <w:numFmt w:val="bullet"/>
      <w:lvlText w:val="•"/>
      <w:lvlJc w:val="left"/>
      <w:pPr>
        <w:ind w:left="580" w:hanging="300"/>
      </w:pPr>
      <w:rPr>
        <w:rFonts w:hint="default"/>
      </w:rPr>
    </w:lvl>
    <w:lvl w:ilvl="3">
      <w:start w:val="1"/>
      <w:numFmt w:val="bullet"/>
      <w:lvlText w:val="•"/>
      <w:lvlJc w:val="left"/>
      <w:pPr>
        <w:ind w:left="460" w:hanging="300"/>
      </w:pPr>
      <w:rPr>
        <w:rFonts w:hint="default"/>
      </w:rPr>
    </w:lvl>
    <w:lvl w:ilvl="4">
      <w:start w:val="1"/>
      <w:numFmt w:val="bullet"/>
      <w:lvlText w:val="•"/>
      <w:lvlJc w:val="left"/>
      <w:pPr>
        <w:ind w:left="340" w:hanging="300"/>
      </w:pPr>
      <w:rPr>
        <w:rFonts w:hint="default"/>
      </w:rPr>
    </w:lvl>
    <w:lvl w:ilvl="5">
      <w:start w:val="1"/>
      <w:numFmt w:val="bullet"/>
      <w:lvlText w:val="•"/>
      <w:lvlJc w:val="left"/>
      <w:pPr>
        <w:ind w:left="220" w:hanging="300"/>
      </w:pPr>
      <w:rPr>
        <w:rFonts w:hint="default"/>
      </w:rPr>
    </w:lvl>
    <w:lvl w:ilvl="6">
      <w:start w:val="1"/>
      <w:numFmt w:val="bullet"/>
      <w:lvlText w:val="•"/>
      <w:lvlJc w:val="left"/>
      <w:pPr>
        <w:ind w:left="100" w:hanging="300"/>
      </w:pPr>
      <w:rPr>
        <w:rFonts w:hint="default"/>
      </w:rPr>
    </w:lvl>
    <w:lvl w:ilvl="7">
      <w:start w:val="1"/>
      <w:numFmt w:val="bullet"/>
      <w:lvlText w:val="•"/>
      <w:lvlJc w:val="left"/>
      <w:pPr>
        <w:ind w:left="-20" w:hanging="300"/>
      </w:pPr>
      <w:rPr>
        <w:rFonts w:hint="default"/>
      </w:rPr>
    </w:lvl>
    <w:lvl w:ilvl="8">
      <w:start w:val="1"/>
      <w:numFmt w:val="bullet"/>
      <w:lvlText w:val="•"/>
      <w:lvlJc w:val="left"/>
      <w:pPr>
        <w:ind w:left="-140" w:hanging="300"/>
      </w:pPr>
      <w:rPr>
        <w:rFonts w:hint="default"/>
      </w:rPr>
    </w:lvl>
  </w:abstractNum>
  <w:abstractNum w:abstractNumId="142">
    <w:multiLevelType w:val="hybridMultilevel"/>
    <w:lvl w:ilvl="0">
      <w:start w:val="3"/>
      <w:numFmt w:val="decimal"/>
      <w:lvlText w:val="%1"/>
      <w:lvlJc w:val="left"/>
      <w:pPr>
        <w:ind w:left="570" w:hanging="300"/>
        <w:jc w:val="left"/>
      </w:pPr>
      <w:rPr>
        <w:rFonts w:hint="default"/>
      </w:rPr>
    </w:lvl>
    <w:lvl w:ilvl="1">
      <w:start w:val="2"/>
      <w:numFmt w:val="decimal"/>
      <w:lvlText w:val="%1.%2"/>
      <w:lvlJc w:val="left"/>
      <w:pPr>
        <w:ind w:left="570" w:hanging="300"/>
        <w:jc w:val="left"/>
      </w:pPr>
      <w:rPr>
        <w:rFonts w:hint="default" w:ascii="Times New Roman" w:hAnsi="Times New Roman" w:eastAsia="Times New Roman" w:cs="Times New Roman"/>
        <w:b/>
        <w:bCs/>
        <w:spacing w:val="-1"/>
        <w:w w:val="100"/>
        <w:sz w:val="20"/>
        <w:szCs w:val="20"/>
      </w:rPr>
    </w:lvl>
    <w:lvl w:ilvl="2">
      <w:start w:val="1"/>
      <w:numFmt w:val="bullet"/>
      <w:lvlText w:val="•"/>
      <w:lvlJc w:val="left"/>
      <w:pPr>
        <w:ind w:left="1627" w:hanging="300"/>
      </w:pPr>
      <w:rPr>
        <w:rFonts w:hint="default"/>
      </w:rPr>
    </w:lvl>
    <w:lvl w:ilvl="3">
      <w:start w:val="1"/>
      <w:numFmt w:val="bullet"/>
      <w:lvlText w:val="•"/>
      <w:lvlJc w:val="left"/>
      <w:pPr>
        <w:ind w:left="2150" w:hanging="300"/>
      </w:pPr>
      <w:rPr>
        <w:rFonts w:hint="default"/>
      </w:rPr>
    </w:lvl>
    <w:lvl w:ilvl="4">
      <w:start w:val="1"/>
      <w:numFmt w:val="bullet"/>
      <w:lvlText w:val="•"/>
      <w:lvlJc w:val="left"/>
      <w:pPr>
        <w:ind w:left="2674" w:hanging="300"/>
      </w:pPr>
      <w:rPr>
        <w:rFonts w:hint="default"/>
      </w:rPr>
    </w:lvl>
    <w:lvl w:ilvl="5">
      <w:start w:val="1"/>
      <w:numFmt w:val="bullet"/>
      <w:lvlText w:val="•"/>
      <w:lvlJc w:val="left"/>
      <w:pPr>
        <w:ind w:left="3197" w:hanging="300"/>
      </w:pPr>
      <w:rPr>
        <w:rFonts w:hint="default"/>
      </w:rPr>
    </w:lvl>
    <w:lvl w:ilvl="6">
      <w:start w:val="1"/>
      <w:numFmt w:val="bullet"/>
      <w:lvlText w:val="•"/>
      <w:lvlJc w:val="left"/>
      <w:pPr>
        <w:ind w:left="3721" w:hanging="300"/>
      </w:pPr>
      <w:rPr>
        <w:rFonts w:hint="default"/>
      </w:rPr>
    </w:lvl>
    <w:lvl w:ilvl="7">
      <w:start w:val="1"/>
      <w:numFmt w:val="bullet"/>
      <w:lvlText w:val="•"/>
      <w:lvlJc w:val="left"/>
      <w:pPr>
        <w:ind w:left="4244" w:hanging="300"/>
      </w:pPr>
      <w:rPr>
        <w:rFonts w:hint="default"/>
      </w:rPr>
    </w:lvl>
    <w:lvl w:ilvl="8">
      <w:start w:val="1"/>
      <w:numFmt w:val="bullet"/>
      <w:lvlText w:val="•"/>
      <w:lvlJc w:val="left"/>
      <w:pPr>
        <w:ind w:left="4768" w:hanging="300"/>
      </w:pPr>
      <w:rPr>
        <w:rFonts w:hint="default"/>
      </w:rPr>
    </w:lvl>
  </w:abstractNum>
  <w:abstractNum w:abstractNumId="141">
    <w:multiLevelType w:val="hybridMultilevel"/>
    <w:lvl w:ilvl="0">
      <w:start w:val="1"/>
      <w:numFmt w:val="decimal"/>
      <w:lvlText w:val="%1."/>
      <w:lvlJc w:val="left"/>
      <w:pPr>
        <w:ind w:left="472" w:hanging="202"/>
        <w:jc w:val="left"/>
      </w:pPr>
      <w:rPr>
        <w:rFonts w:hint="default" w:ascii="Times New Roman" w:hAnsi="Times New Roman" w:eastAsia="Times New Roman" w:cs="Times New Roman"/>
        <w:b/>
        <w:bCs/>
        <w:w w:val="100"/>
        <w:sz w:val="20"/>
        <w:szCs w:val="20"/>
      </w:rPr>
    </w:lvl>
    <w:lvl w:ilvl="1">
      <w:start w:val="1"/>
      <w:numFmt w:val="decimal"/>
      <w:lvlText w:val="%1.%2"/>
      <w:lvlJc w:val="left"/>
      <w:pPr>
        <w:ind w:left="571" w:hanging="301"/>
        <w:jc w:val="left"/>
      </w:pPr>
      <w:rPr>
        <w:rFonts w:hint="default" w:ascii="Times New Roman" w:hAnsi="Times New Roman" w:eastAsia="Times New Roman" w:cs="Times New Roman"/>
        <w:b/>
        <w:bCs/>
        <w:spacing w:val="-1"/>
        <w:w w:val="100"/>
        <w:sz w:val="20"/>
        <w:szCs w:val="20"/>
      </w:rPr>
    </w:lvl>
    <w:lvl w:ilvl="2">
      <w:start w:val="1"/>
      <w:numFmt w:val="bullet"/>
      <w:lvlText w:val="•"/>
      <w:lvlJc w:val="left"/>
      <w:pPr>
        <w:ind w:left="467" w:hanging="301"/>
      </w:pPr>
      <w:rPr>
        <w:rFonts w:hint="default"/>
      </w:rPr>
    </w:lvl>
    <w:lvl w:ilvl="3">
      <w:start w:val="1"/>
      <w:numFmt w:val="bullet"/>
      <w:lvlText w:val="•"/>
      <w:lvlJc w:val="left"/>
      <w:pPr>
        <w:ind w:left="354" w:hanging="301"/>
      </w:pPr>
      <w:rPr>
        <w:rFonts w:hint="default"/>
      </w:rPr>
    </w:lvl>
    <w:lvl w:ilvl="4">
      <w:start w:val="1"/>
      <w:numFmt w:val="bullet"/>
      <w:lvlText w:val="•"/>
      <w:lvlJc w:val="left"/>
      <w:pPr>
        <w:ind w:left="241" w:hanging="301"/>
      </w:pPr>
      <w:rPr>
        <w:rFonts w:hint="default"/>
      </w:rPr>
    </w:lvl>
    <w:lvl w:ilvl="5">
      <w:start w:val="1"/>
      <w:numFmt w:val="bullet"/>
      <w:lvlText w:val="•"/>
      <w:lvlJc w:val="left"/>
      <w:pPr>
        <w:ind w:left="128" w:hanging="301"/>
      </w:pPr>
      <w:rPr>
        <w:rFonts w:hint="default"/>
      </w:rPr>
    </w:lvl>
    <w:lvl w:ilvl="6">
      <w:start w:val="1"/>
      <w:numFmt w:val="bullet"/>
      <w:lvlText w:val="•"/>
      <w:lvlJc w:val="left"/>
      <w:pPr>
        <w:ind w:left="15" w:hanging="301"/>
      </w:pPr>
      <w:rPr>
        <w:rFonts w:hint="default"/>
      </w:rPr>
    </w:lvl>
    <w:lvl w:ilvl="7">
      <w:start w:val="1"/>
      <w:numFmt w:val="bullet"/>
      <w:lvlText w:val="•"/>
      <w:lvlJc w:val="left"/>
      <w:pPr>
        <w:ind w:left="-98" w:hanging="301"/>
      </w:pPr>
      <w:rPr>
        <w:rFonts w:hint="default"/>
      </w:rPr>
    </w:lvl>
    <w:lvl w:ilvl="8">
      <w:start w:val="1"/>
      <w:numFmt w:val="bullet"/>
      <w:lvlText w:val="•"/>
      <w:lvlJc w:val="left"/>
      <w:pPr>
        <w:ind w:left="-211" w:hanging="301"/>
      </w:pPr>
      <w:rPr>
        <w:rFonts w:hint="default"/>
      </w:rPr>
    </w:lvl>
  </w:abstractNum>
  <w:abstractNum w:abstractNumId="140">
    <w:multiLevelType w:val="hybridMultilevel"/>
    <w:lvl w:ilvl="0">
      <w:start w:val="1"/>
      <w:numFmt w:val="decimal"/>
      <w:lvlText w:val="%1."/>
      <w:lvlJc w:val="left"/>
      <w:pPr>
        <w:ind w:left="472" w:hanging="202"/>
        <w:jc w:val="left"/>
      </w:pPr>
      <w:rPr>
        <w:rFonts w:hint="default"/>
        <w:b/>
        <w:bCs/>
        <w:w w:val="100"/>
      </w:rPr>
    </w:lvl>
    <w:lvl w:ilvl="1">
      <w:start w:val="1"/>
      <w:numFmt w:val="decimal"/>
      <w:lvlText w:val="%1.%2."/>
      <w:lvlJc w:val="left"/>
      <w:pPr>
        <w:ind w:left="620" w:hanging="350"/>
        <w:jc w:val="left"/>
      </w:pPr>
      <w:rPr>
        <w:rFonts w:hint="default" w:ascii="Times New Roman" w:hAnsi="Times New Roman" w:eastAsia="Times New Roman" w:cs="Times New Roman"/>
        <w:b/>
        <w:bCs/>
        <w:color w:val="202020"/>
        <w:spacing w:val="-1"/>
        <w:w w:val="100"/>
        <w:sz w:val="20"/>
        <w:szCs w:val="20"/>
      </w:rPr>
    </w:lvl>
    <w:lvl w:ilvl="2">
      <w:start w:val="1"/>
      <w:numFmt w:val="decimal"/>
      <w:lvlText w:val="%1.%2.%3."/>
      <w:lvlJc w:val="left"/>
      <w:pPr>
        <w:ind w:left="770" w:hanging="500"/>
        <w:jc w:val="left"/>
      </w:pPr>
      <w:rPr>
        <w:rFonts w:hint="default" w:ascii="Times New Roman" w:hAnsi="Times New Roman" w:eastAsia="Times New Roman" w:cs="Times New Roman"/>
        <w:color w:val="202020"/>
        <w:spacing w:val="-1"/>
        <w:w w:val="100"/>
        <w:sz w:val="20"/>
        <w:szCs w:val="20"/>
      </w:rPr>
    </w:lvl>
    <w:lvl w:ilvl="3">
      <w:start w:val="1"/>
      <w:numFmt w:val="bullet"/>
      <w:lvlText w:val="•"/>
      <w:lvlJc w:val="left"/>
      <w:pPr>
        <w:ind w:left="628" w:hanging="500"/>
      </w:pPr>
      <w:rPr>
        <w:rFonts w:hint="default"/>
      </w:rPr>
    </w:lvl>
    <w:lvl w:ilvl="4">
      <w:start w:val="1"/>
      <w:numFmt w:val="bullet"/>
      <w:lvlText w:val="•"/>
      <w:lvlJc w:val="left"/>
      <w:pPr>
        <w:ind w:left="476" w:hanging="500"/>
      </w:pPr>
      <w:rPr>
        <w:rFonts w:hint="default"/>
      </w:rPr>
    </w:lvl>
    <w:lvl w:ilvl="5">
      <w:start w:val="1"/>
      <w:numFmt w:val="bullet"/>
      <w:lvlText w:val="•"/>
      <w:lvlJc w:val="left"/>
      <w:pPr>
        <w:ind w:left="324" w:hanging="500"/>
      </w:pPr>
      <w:rPr>
        <w:rFonts w:hint="default"/>
      </w:rPr>
    </w:lvl>
    <w:lvl w:ilvl="6">
      <w:start w:val="1"/>
      <w:numFmt w:val="bullet"/>
      <w:lvlText w:val="•"/>
      <w:lvlJc w:val="left"/>
      <w:pPr>
        <w:ind w:left="172" w:hanging="500"/>
      </w:pPr>
      <w:rPr>
        <w:rFonts w:hint="default"/>
      </w:rPr>
    </w:lvl>
    <w:lvl w:ilvl="7">
      <w:start w:val="1"/>
      <w:numFmt w:val="bullet"/>
      <w:lvlText w:val="•"/>
      <w:lvlJc w:val="left"/>
      <w:pPr>
        <w:ind w:left="20" w:hanging="500"/>
      </w:pPr>
      <w:rPr>
        <w:rFonts w:hint="default"/>
      </w:rPr>
    </w:lvl>
    <w:lvl w:ilvl="8">
      <w:start w:val="1"/>
      <w:numFmt w:val="bullet"/>
      <w:lvlText w:val="•"/>
      <w:lvlJc w:val="left"/>
      <w:pPr>
        <w:ind w:left="-132" w:hanging="500"/>
      </w:pPr>
      <w:rPr>
        <w:rFonts w:hint="default"/>
      </w:rPr>
    </w:lvl>
  </w:abstractNum>
  <w:abstractNum w:abstractNumId="139">
    <w:multiLevelType w:val="hybridMultilevel"/>
    <w:lvl w:ilvl="0">
      <w:start w:val="1"/>
      <w:numFmt w:val="decimal"/>
      <w:lvlText w:val="%1."/>
      <w:lvlJc w:val="left"/>
      <w:pPr>
        <w:ind w:left="472" w:hanging="202"/>
        <w:jc w:val="left"/>
      </w:pPr>
      <w:rPr>
        <w:rFonts w:hint="default" w:ascii="Times New Roman" w:hAnsi="Times New Roman" w:eastAsia="Times New Roman" w:cs="Times New Roman"/>
        <w:b/>
        <w:bCs/>
        <w:w w:val="100"/>
        <w:sz w:val="20"/>
        <w:szCs w:val="20"/>
      </w:rPr>
    </w:lvl>
    <w:lvl w:ilvl="1">
      <w:start w:val="1"/>
      <w:numFmt w:val="decimal"/>
      <w:lvlText w:val="%1.%2"/>
      <w:lvlJc w:val="left"/>
      <w:pPr>
        <w:ind w:left="571" w:hanging="301"/>
        <w:jc w:val="left"/>
      </w:pPr>
      <w:rPr>
        <w:rFonts w:hint="default" w:ascii="Times New Roman" w:hAnsi="Times New Roman" w:eastAsia="Times New Roman" w:cs="Times New Roman"/>
        <w:b/>
        <w:bCs/>
        <w:spacing w:val="-1"/>
        <w:w w:val="100"/>
        <w:sz w:val="20"/>
        <w:szCs w:val="20"/>
      </w:rPr>
    </w:lvl>
    <w:lvl w:ilvl="2">
      <w:start w:val="1"/>
      <w:numFmt w:val="bullet"/>
      <w:lvlText w:val="•"/>
      <w:lvlJc w:val="left"/>
      <w:pPr>
        <w:ind w:left="467" w:hanging="301"/>
      </w:pPr>
      <w:rPr>
        <w:rFonts w:hint="default"/>
      </w:rPr>
    </w:lvl>
    <w:lvl w:ilvl="3">
      <w:start w:val="1"/>
      <w:numFmt w:val="bullet"/>
      <w:lvlText w:val="•"/>
      <w:lvlJc w:val="left"/>
      <w:pPr>
        <w:ind w:left="354" w:hanging="301"/>
      </w:pPr>
      <w:rPr>
        <w:rFonts w:hint="default"/>
      </w:rPr>
    </w:lvl>
    <w:lvl w:ilvl="4">
      <w:start w:val="1"/>
      <w:numFmt w:val="bullet"/>
      <w:lvlText w:val="•"/>
      <w:lvlJc w:val="left"/>
      <w:pPr>
        <w:ind w:left="241" w:hanging="301"/>
      </w:pPr>
      <w:rPr>
        <w:rFonts w:hint="default"/>
      </w:rPr>
    </w:lvl>
    <w:lvl w:ilvl="5">
      <w:start w:val="1"/>
      <w:numFmt w:val="bullet"/>
      <w:lvlText w:val="•"/>
      <w:lvlJc w:val="left"/>
      <w:pPr>
        <w:ind w:left="128" w:hanging="301"/>
      </w:pPr>
      <w:rPr>
        <w:rFonts w:hint="default"/>
      </w:rPr>
    </w:lvl>
    <w:lvl w:ilvl="6">
      <w:start w:val="1"/>
      <w:numFmt w:val="bullet"/>
      <w:lvlText w:val="•"/>
      <w:lvlJc w:val="left"/>
      <w:pPr>
        <w:ind w:left="15" w:hanging="301"/>
      </w:pPr>
      <w:rPr>
        <w:rFonts w:hint="default"/>
      </w:rPr>
    </w:lvl>
    <w:lvl w:ilvl="7">
      <w:start w:val="1"/>
      <w:numFmt w:val="bullet"/>
      <w:lvlText w:val="•"/>
      <w:lvlJc w:val="left"/>
      <w:pPr>
        <w:ind w:left="-97" w:hanging="301"/>
      </w:pPr>
      <w:rPr>
        <w:rFonts w:hint="default"/>
      </w:rPr>
    </w:lvl>
    <w:lvl w:ilvl="8">
      <w:start w:val="1"/>
      <w:numFmt w:val="bullet"/>
      <w:lvlText w:val="•"/>
      <w:lvlJc w:val="left"/>
      <w:pPr>
        <w:ind w:left="-210" w:hanging="301"/>
      </w:pPr>
      <w:rPr>
        <w:rFonts w:hint="default"/>
      </w:rPr>
    </w:lvl>
  </w:abstractNum>
  <w:abstractNum w:abstractNumId="138">
    <w:multiLevelType w:val="hybridMultilevel"/>
    <w:lvl w:ilvl="0">
      <w:start w:val="1"/>
      <w:numFmt w:val="decimal"/>
      <w:lvlText w:val="%1."/>
      <w:lvlJc w:val="left"/>
      <w:pPr>
        <w:ind w:left="472" w:hanging="202"/>
        <w:jc w:val="left"/>
      </w:pPr>
      <w:rPr>
        <w:rFonts w:hint="default" w:ascii="Times New Roman" w:hAnsi="Times New Roman" w:eastAsia="Times New Roman" w:cs="Times New Roman"/>
        <w:b/>
        <w:bCs/>
        <w:w w:val="100"/>
        <w:sz w:val="20"/>
        <w:szCs w:val="20"/>
      </w:rPr>
    </w:lvl>
    <w:lvl w:ilvl="1">
      <w:start w:val="1"/>
      <w:numFmt w:val="bullet"/>
      <w:lvlText w:val="•"/>
      <w:lvlJc w:val="left"/>
      <w:pPr>
        <w:ind w:left="1013" w:hanging="202"/>
      </w:pPr>
      <w:rPr>
        <w:rFonts w:hint="default"/>
      </w:rPr>
    </w:lvl>
    <w:lvl w:ilvl="2">
      <w:start w:val="1"/>
      <w:numFmt w:val="bullet"/>
      <w:lvlText w:val="•"/>
      <w:lvlJc w:val="left"/>
      <w:pPr>
        <w:ind w:left="1547" w:hanging="202"/>
      </w:pPr>
      <w:rPr>
        <w:rFonts w:hint="default"/>
      </w:rPr>
    </w:lvl>
    <w:lvl w:ilvl="3">
      <w:start w:val="1"/>
      <w:numFmt w:val="bullet"/>
      <w:lvlText w:val="•"/>
      <w:lvlJc w:val="left"/>
      <w:pPr>
        <w:ind w:left="2080" w:hanging="202"/>
      </w:pPr>
      <w:rPr>
        <w:rFonts w:hint="default"/>
      </w:rPr>
    </w:lvl>
    <w:lvl w:ilvl="4">
      <w:start w:val="1"/>
      <w:numFmt w:val="bullet"/>
      <w:lvlText w:val="•"/>
      <w:lvlJc w:val="left"/>
      <w:pPr>
        <w:ind w:left="2614" w:hanging="202"/>
      </w:pPr>
      <w:rPr>
        <w:rFonts w:hint="default"/>
      </w:rPr>
    </w:lvl>
    <w:lvl w:ilvl="5">
      <w:start w:val="1"/>
      <w:numFmt w:val="bullet"/>
      <w:lvlText w:val="•"/>
      <w:lvlJc w:val="left"/>
      <w:pPr>
        <w:ind w:left="3147" w:hanging="202"/>
      </w:pPr>
      <w:rPr>
        <w:rFonts w:hint="default"/>
      </w:rPr>
    </w:lvl>
    <w:lvl w:ilvl="6">
      <w:start w:val="1"/>
      <w:numFmt w:val="bullet"/>
      <w:lvlText w:val="•"/>
      <w:lvlJc w:val="left"/>
      <w:pPr>
        <w:ind w:left="3681" w:hanging="202"/>
      </w:pPr>
      <w:rPr>
        <w:rFonts w:hint="default"/>
      </w:rPr>
    </w:lvl>
    <w:lvl w:ilvl="7">
      <w:start w:val="1"/>
      <w:numFmt w:val="bullet"/>
      <w:lvlText w:val="•"/>
      <w:lvlJc w:val="left"/>
      <w:pPr>
        <w:ind w:left="4214" w:hanging="202"/>
      </w:pPr>
      <w:rPr>
        <w:rFonts w:hint="default"/>
      </w:rPr>
    </w:lvl>
    <w:lvl w:ilvl="8">
      <w:start w:val="1"/>
      <w:numFmt w:val="bullet"/>
      <w:lvlText w:val="•"/>
      <w:lvlJc w:val="left"/>
      <w:pPr>
        <w:ind w:left="4748" w:hanging="202"/>
      </w:pPr>
      <w:rPr>
        <w:rFonts w:hint="default"/>
      </w:rPr>
    </w:lvl>
  </w:abstractNum>
  <w:abstractNum w:abstractNumId="137">
    <w:multiLevelType w:val="hybridMultilevel"/>
    <w:lvl w:ilvl="0">
      <w:start w:val="3"/>
      <w:numFmt w:val="decimal"/>
      <w:lvlText w:val="%1"/>
      <w:lvlJc w:val="left"/>
      <w:pPr>
        <w:ind w:left="555" w:hanging="389"/>
        <w:jc w:val="left"/>
      </w:pPr>
      <w:rPr>
        <w:rFonts w:hint="default"/>
      </w:rPr>
    </w:lvl>
    <w:lvl w:ilvl="1">
      <w:start w:val="1"/>
      <w:numFmt w:val="decimal"/>
      <w:lvlText w:val="%1.%2"/>
      <w:lvlJc w:val="left"/>
      <w:pPr>
        <w:ind w:left="555" w:hanging="389"/>
        <w:jc w:val="left"/>
      </w:pPr>
      <w:rPr>
        <w:rFonts w:hint="default" w:ascii="Times New Roman" w:hAnsi="Times New Roman" w:eastAsia="Times New Roman" w:cs="Times New Roman"/>
        <w:b/>
        <w:bCs/>
        <w:spacing w:val="-1"/>
        <w:w w:val="100"/>
        <w:sz w:val="20"/>
        <w:szCs w:val="20"/>
      </w:rPr>
    </w:lvl>
    <w:lvl w:ilvl="2">
      <w:start w:val="1"/>
      <w:numFmt w:val="decimal"/>
      <w:lvlText w:val="%1.%2.%3"/>
      <w:lvlJc w:val="left"/>
      <w:pPr>
        <w:ind w:left="721" w:hanging="451"/>
        <w:jc w:val="left"/>
      </w:pPr>
      <w:rPr>
        <w:rFonts w:hint="default" w:ascii="Times New Roman" w:hAnsi="Times New Roman" w:eastAsia="Times New Roman" w:cs="Times New Roman"/>
        <w:spacing w:val="-1"/>
        <w:w w:val="100"/>
        <w:sz w:val="20"/>
        <w:szCs w:val="20"/>
      </w:rPr>
    </w:lvl>
    <w:lvl w:ilvl="3">
      <w:start w:val="1"/>
      <w:numFmt w:val="bullet"/>
      <w:lvlText w:val="•"/>
      <w:lvlJc w:val="left"/>
      <w:pPr>
        <w:ind w:left="1713" w:hanging="451"/>
      </w:pPr>
      <w:rPr>
        <w:rFonts w:hint="default"/>
      </w:rPr>
    </w:lvl>
    <w:lvl w:ilvl="4">
      <w:start w:val="1"/>
      <w:numFmt w:val="bullet"/>
      <w:lvlText w:val="•"/>
      <w:lvlJc w:val="left"/>
      <w:pPr>
        <w:ind w:left="2209" w:hanging="451"/>
      </w:pPr>
      <w:rPr>
        <w:rFonts w:hint="default"/>
      </w:rPr>
    </w:lvl>
    <w:lvl w:ilvl="5">
      <w:start w:val="1"/>
      <w:numFmt w:val="bullet"/>
      <w:lvlText w:val="•"/>
      <w:lvlJc w:val="left"/>
      <w:pPr>
        <w:ind w:left="2706" w:hanging="451"/>
      </w:pPr>
      <w:rPr>
        <w:rFonts w:hint="default"/>
      </w:rPr>
    </w:lvl>
    <w:lvl w:ilvl="6">
      <w:start w:val="1"/>
      <w:numFmt w:val="bullet"/>
      <w:lvlText w:val="•"/>
      <w:lvlJc w:val="left"/>
      <w:pPr>
        <w:ind w:left="3202" w:hanging="451"/>
      </w:pPr>
      <w:rPr>
        <w:rFonts w:hint="default"/>
      </w:rPr>
    </w:lvl>
    <w:lvl w:ilvl="7">
      <w:start w:val="1"/>
      <w:numFmt w:val="bullet"/>
      <w:lvlText w:val="•"/>
      <w:lvlJc w:val="left"/>
      <w:pPr>
        <w:ind w:left="3699" w:hanging="451"/>
      </w:pPr>
      <w:rPr>
        <w:rFonts w:hint="default"/>
      </w:rPr>
    </w:lvl>
    <w:lvl w:ilvl="8">
      <w:start w:val="1"/>
      <w:numFmt w:val="bullet"/>
      <w:lvlText w:val="•"/>
      <w:lvlJc w:val="left"/>
      <w:pPr>
        <w:ind w:left="4195" w:hanging="451"/>
      </w:pPr>
      <w:rPr>
        <w:rFonts w:hint="default"/>
      </w:rPr>
    </w:lvl>
  </w:abstractNum>
  <w:abstractNum w:abstractNumId="135">
    <w:multiLevelType w:val="hybridMultilevel"/>
    <w:lvl w:ilvl="0">
      <w:start w:val="1"/>
      <w:numFmt w:val="decimal"/>
      <w:lvlText w:val="%1."/>
      <w:lvlJc w:val="left"/>
      <w:pPr>
        <w:ind w:left="555" w:hanging="285"/>
        <w:jc w:val="left"/>
      </w:pPr>
      <w:rPr>
        <w:rFonts w:hint="default" w:ascii="Times New Roman" w:hAnsi="Times New Roman" w:eastAsia="Times New Roman" w:cs="Times New Roman"/>
        <w:b/>
        <w:bCs/>
        <w:w w:val="100"/>
        <w:sz w:val="20"/>
        <w:szCs w:val="20"/>
      </w:rPr>
    </w:lvl>
    <w:lvl w:ilvl="1">
      <w:start w:val="1"/>
      <w:numFmt w:val="bullet"/>
      <w:lvlText w:val="•"/>
      <w:lvlJc w:val="left"/>
      <w:pPr>
        <w:ind w:left="580" w:hanging="285"/>
      </w:pPr>
      <w:rPr>
        <w:rFonts w:hint="default"/>
      </w:rPr>
    </w:lvl>
    <w:lvl w:ilvl="2">
      <w:start w:val="1"/>
      <w:numFmt w:val="bullet"/>
      <w:lvlText w:val="•"/>
      <w:lvlJc w:val="left"/>
      <w:pPr>
        <w:ind w:left="467" w:hanging="285"/>
      </w:pPr>
      <w:rPr>
        <w:rFonts w:hint="default"/>
      </w:rPr>
    </w:lvl>
    <w:lvl w:ilvl="3">
      <w:start w:val="1"/>
      <w:numFmt w:val="bullet"/>
      <w:lvlText w:val="•"/>
      <w:lvlJc w:val="left"/>
      <w:pPr>
        <w:ind w:left="354" w:hanging="285"/>
      </w:pPr>
      <w:rPr>
        <w:rFonts w:hint="default"/>
      </w:rPr>
    </w:lvl>
    <w:lvl w:ilvl="4">
      <w:start w:val="1"/>
      <w:numFmt w:val="bullet"/>
      <w:lvlText w:val="•"/>
      <w:lvlJc w:val="left"/>
      <w:pPr>
        <w:ind w:left="242" w:hanging="285"/>
      </w:pPr>
      <w:rPr>
        <w:rFonts w:hint="default"/>
      </w:rPr>
    </w:lvl>
    <w:lvl w:ilvl="5">
      <w:start w:val="1"/>
      <w:numFmt w:val="bullet"/>
      <w:lvlText w:val="•"/>
      <w:lvlJc w:val="left"/>
      <w:pPr>
        <w:ind w:left="129" w:hanging="285"/>
      </w:pPr>
      <w:rPr>
        <w:rFonts w:hint="default"/>
      </w:rPr>
    </w:lvl>
    <w:lvl w:ilvl="6">
      <w:start w:val="1"/>
      <w:numFmt w:val="bullet"/>
      <w:lvlText w:val="•"/>
      <w:lvlJc w:val="left"/>
      <w:pPr>
        <w:ind w:left="16" w:hanging="285"/>
      </w:pPr>
      <w:rPr>
        <w:rFonts w:hint="default"/>
      </w:rPr>
    </w:lvl>
    <w:lvl w:ilvl="7">
      <w:start w:val="1"/>
      <w:numFmt w:val="bullet"/>
      <w:lvlText w:val="•"/>
      <w:lvlJc w:val="left"/>
      <w:pPr>
        <w:ind w:left="-96" w:hanging="285"/>
      </w:pPr>
      <w:rPr>
        <w:rFonts w:hint="default"/>
      </w:rPr>
    </w:lvl>
    <w:lvl w:ilvl="8">
      <w:start w:val="1"/>
      <w:numFmt w:val="bullet"/>
      <w:lvlText w:val="•"/>
      <w:lvlJc w:val="left"/>
      <w:pPr>
        <w:ind w:left="-209" w:hanging="285"/>
      </w:pPr>
      <w:rPr>
        <w:rFonts w:hint="default"/>
      </w:rPr>
    </w:lvl>
  </w:abstractNum>
  <w:abstractNum w:abstractNumId="134">
    <w:multiLevelType w:val="hybridMultilevel"/>
    <w:lvl w:ilvl="0">
      <w:start w:val="1"/>
      <w:numFmt w:val="decimal"/>
      <w:lvlText w:val="%1."/>
      <w:lvlJc w:val="left"/>
      <w:pPr>
        <w:ind w:left="472" w:hanging="202"/>
        <w:jc w:val="left"/>
      </w:pPr>
      <w:rPr>
        <w:rFonts w:hint="default" w:ascii="Times New Roman" w:hAnsi="Times New Roman" w:eastAsia="Times New Roman" w:cs="Times New Roman"/>
        <w:w w:val="100"/>
        <w:sz w:val="20"/>
        <w:szCs w:val="20"/>
      </w:rPr>
    </w:lvl>
    <w:lvl w:ilvl="1">
      <w:start w:val="1"/>
      <w:numFmt w:val="bullet"/>
      <w:lvlText w:val="•"/>
      <w:lvlJc w:val="left"/>
      <w:pPr>
        <w:ind w:left="1576" w:hanging="202"/>
      </w:pPr>
      <w:rPr>
        <w:rFonts w:hint="default"/>
      </w:rPr>
    </w:lvl>
    <w:lvl w:ilvl="2">
      <w:start w:val="1"/>
      <w:numFmt w:val="bullet"/>
      <w:lvlText w:val="•"/>
      <w:lvlJc w:val="left"/>
      <w:pPr>
        <w:ind w:left="2672" w:hanging="202"/>
      </w:pPr>
      <w:rPr>
        <w:rFonts w:hint="default"/>
      </w:rPr>
    </w:lvl>
    <w:lvl w:ilvl="3">
      <w:start w:val="1"/>
      <w:numFmt w:val="bullet"/>
      <w:lvlText w:val="•"/>
      <w:lvlJc w:val="left"/>
      <w:pPr>
        <w:ind w:left="3768" w:hanging="202"/>
      </w:pPr>
      <w:rPr>
        <w:rFonts w:hint="default"/>
      </w:rPr>
    </w:lvl>
    <w:lvl w:ilvl="4">
      <w:start w:val="1"/>
      <w:numFmt w:val="bullet"/>
      <w:lvlText w:val="•"/>
      <w:lvlJc w:val="left"/>
      <w:pPr>
        <w:ind w:left="4864" w:hanging="202"/>
      </w:pPr>
      <w:rPr>
        <w:rFonts w:hint="default"/>
      </w:rPr>
    </w:lvl>
    <w:lvl w:ilvl="5">
      <w:start w:val="1"/>
      <w:numFmt w:val="bullet"/>
      <w:lvlText w:val="•"/>
      <w:lvlJc w:val="left"/>
      <w:pPr>
        <w:ind w:left="5960" w:hanging="202"/>
      </w:pPr>
      <w:rPr>
        <w:rFonts w:hint="default"/>
      </w:rPr>
    </w:lvl>
    <w:lvl w:ilvl="6">
      <w:start w:val="1"/>
      <w:numFmt w:val="bullet"/>
      <w:lvlText w:val="•"/>
      <w:lvlJc w:val="left"/>
      <w:pPr>
        <w:ind w:left="7056" w:hanging="202"/>
      </w:pPr>
      <w:rPr>
        <w:rFonts w:hint="default"/>
      </w:rPr>
    </w:lvl>
    <w:lvl w:ilvl="7">
      <w:start w:val="1"/>
      <w:numFmt w:val="bullet"/>
      <w:lvlText w:val="•"/>
      <w:lvlJc w:val="left"/>
      <w:pPr>
        <w:ind w:left="8152" w:hanging="202"/>
      </w:pPr>
      <w:rPr>
        <w:rFonts w:hint="default"/>
      </w:rPr>
    </w:lvl>
    <w:lvl w:ilvl="8">
      <w:start w:val="1"/>
      <w:numFmt w:val="bullet"/>
      <w:lvlText w:val="•"/>
      <w:lvlJc w:val="left"/>
      <w:pPr>
        <w:ind w:left="9248" w:hanging="202"/>
      </w:pPr>
      <w:rPr>
        <w:rFonts w:hint="default"/>
      </w:rPr>
    </w:lvl>
  </w:abstractNum>
  <w:abstractNum w:abstractNumId="133">
    <w:multiLevelType w:val="hybridMultilevel"/>
    <w:lvl w:ilvl="0">
      <w:start w:val="3"/>
      <w:numFmt w:val="decimal"/>
      <w:lvlText w:val="%1"/>
      <w:lvlJc w:val="left"/>
      <w:pPr>
        <w:ind w:left="458" w:hanging="300"/>
        <w:jc w:val="left"/>
      </w:pPr>
      <w:rPr>
        <w:rFonts w:hint="default"/>
      </w:rPr>
    </w:lvl>
    <w:lvl w:ilvl="1">
      <w:start w:val="1"/>
      <w:numFmt w:val="decimal"/>
      <w:lvlText w:val="%1.%2"/>
      <w:lvlJc w:val="left"/>
      <w:pPr>
        <w:ind w:left="458" w:hanging="300"/>
        <w:jc w:val="right"/>
      </w:pPr>
      <w:rPr>
        <w:rFonts w:hint="default" w:ascii="Times New Roman" w:hAnsi="Times New Roman" w:eastAsia="Times New Roman" w:cs="Times New Roman"/>
        <w:b/>
        <w:bCs/>
        <w:w w:val="100"/>
        <w:sz w:val="20"/>
        <w:szCs w:val="20"/>
      </w:rPr>
    </w:lvl>
    <w:lvl w:ilvl="2">
      <w:start w:val="1"/>
      <w:numFmt w:val="bullet"/>
      <w:lvlText w:val="•"/>
      <w:lvlJc w:val="left"/>
      <w:pPr>
        <w:ind w:left="1508" w:hanging="300"/>
      </w:pPr>
      <w:rPr>
        <w:rFonts w:hint="default"/>
      </w:rPr>
    </w:lvl>
    <w:lvl w:ilvl="3">
      <w:start w:val="1"/>
      <w:numFmt w:val="bullet"/>
      <w:lvlText w:val="•"/>
      <w:lvlJc w:val="left"/>
      <w:pPr>
        <w:ind w:left="2033" w:hanging="300"/>
      </w:pPr>
      <w:rPr>
        <w:rFonts w:hint="default"/>
      </w:rPr>
    </w:lvl>
    <w:lvl w:ilvl="4">
      <w:start w:val="1"/>
      <w:numFmt w:val="bullet"/>
      <w:lvlText w:val="•"/>
      <w:lvlJc w:val="left"/>
      <w:pPr>
        <w:ind w:left="2557" w:hanging="300"/>
      </w:pPr>
      <w:rPr>
        <w:rFonts w:hint="default"/>
      </w:rPr>
    </w:lvl>
    <w:lvl w:ilvl="5">
      <w:start w:val="1"/>
      <w:numFmt w:val="bullet"/>
      <w:lvlText w:val="•"/>
      <w:lvlJc w:val="left"/>
      <w:pPr>
        <w:ind w:left="3082" w:hanging="300"/>
      </w:pPr>
      <w:rPr>
        <w:rFonts w:hint="default"/>
      </w:rPr>
    </w:lvl>
    <w:lvl w:ilvl="6">
      <w:start w:val="1"/>
      <w:numFmt w:val="bullet"/>
      <w:lvlText w:val="•"/>
      <w:lvlJc w:val="left"/>
      <w:pPr>
        <w:ind w:left="3606" w:hanging="300"/>
      </w:pPr>
      <w:rPr>
        <w:rFonts w:hint="default"/>
      </w:rPr>
    </w:lvl>
    <w:lvl w:ilvl="7">
      <w:start w:val="1"/>
      <w:numFmt w:val="bullet"/>
      <w:lvlText w:val="•"/>
      <w:lvlJc w:val="left"/>
      <w:pPr>
        <w:ind w:left="4130" w:hanging="300"/>
      </w:pPr>
      <w:rPr>
        <w:rFonts w:hint="default"/>
      </w:rPr>
    </w:lvl>
    <w:lvl w:ilvl="8">
      <w:start w:val="1"/>
      <w:numFmt w:val="bullet"/>
      <w:lvlText w:val="•"/>
      <w:lvlJc w:val="left"/>
      <w:pPr>
        <w:ind w:left="4655" w:hanging="300"/>
      </w:pPr>
      <w:rPr>
        <w:rFonts w:hint="default"/>
      </w:rPr>
    </w:lvl>
  </w:abstractNum>
  <w:abstractNum w:abstractNumId="132">
    <w:multiLevelType w:val="hybridMultilevel"/>
    <w:lvl w:ilvl="0">
      <w:start w:val="1"/>
      <w:numFmt w:val="decimal"/>
      <w:lvlText w:val="%1."/>
      <w:lvlJc w:val="left"/>
      <w:pPr>
        <w:ind w:left="270" w:hanging="219"/>
        <w:jc w:val="left"/>
      </w:pPr>
      <w:rPr>
        <w:rFonts w:hint="default" w:ascii="Times New Roman" w:hAnsi="Times New Roman" w:eastAsia="Times New Roman" w:cs="Times New Roman"/>
        <w:spacing w:val="-1"/>
        <w:w w:val="100"/>
        <w:sz w:val="20"/>
        <w:szCs w:val="20"/>
      </w:rPr>
    </w:lvl>
    <w:lvl w:ilvl="1">
      <w:start w:val="1"/>
      <w:numFmt w:val="bullet"/>
      <w:lvlText w:val="•"/>
      <w:lvlJc w:val="left"/>
      <w:pPr>
        <w:ind w:left="833" w:hanging="219"/>
      </w:pPr>
      <w:rPr>
        <w:rFonts w:hint="default"/>
      </w:rPr>
    </w:lvl>
    <w:lvl w:ilvl="2">
      <w:start w:val="1"/>
      <w:numFmt w:val="bullet"/>
      <w:lvlText w:val="•"/>
      <w:lvlJc w:val="left"/>
      <w:pPr>
        <w:ind w:left="1387" w:hanging="219"/>
      </w:pPr>
      <w:rPr>
        <w:rFonts w:hint="default"/>
      </w:rPr>
    </w:lvl>
    <w:lvl w:ilvl="3">
      <w:start w:val="1"/>
      <w:numFmt w:val="bullet"/>
      <w:lvlText w:val="•"/>
      <w:lvlJc w:val="left"/>
      <w:pPr>
        <w:ind w:left="1940" w:hanging="219"/>
      </w:pPr>
      <w:rPr>
        <w:rFonts w:hint="default"/>
      </w:rPr>
    </w:lvl>
    <w:lvl w:ilvl="4">
      <w:start w:val="1"/>
      <w:numFmt w:val="bullet"/>
      <w:lvlText w:val="•"/>
      <w:lvlJc w:val="left"/>
      <w:pPr>
        <w:ind w:left="2494" w:hanging="219"/>
      </w:pPr>
      <w:rPr>
        <w:rFonts w:hint="default"/>
      </w:rPr>
    </w:lvl>
    <w:lvl w:ilvl="5">
      <w:start w:val="1"/>
      <w:numFmt w:val="bullet"/>
      <w:lvlText w:val="•"/>
      <w:lvlJc w:val="left"/>
      <w:pPr>
        <w:ind w:left="3047" w:hanging="219"/>
      </w:pPr>
      <w:rPr>
        <w:rFonts w:hint="default"/>
      </w:rPr>
    </w:lvl>
    <w:lvl w:ilvl="6">
      <w:start w:val="1"/>
      <w:numFmt w:val="bullet"/>
      <w:lvlText w:val="•"/>
      <w:lvlJc w:val="left"/>
      <w:pPr>
        <w:ind w:left="3601" w:hanging="219"/>
      </w:pPr>
      <w:rPr>
        <w:rFonts w:hint="default"/>
      </w:rPr>
    </w:lvl>
    <w:lvl w:ilvl="7">
      <w:start w:val="1"/>
      <w:numFmt w:val="bullet"/>
      <w:lvlText w:val="•"/>
      <w:lvlJc w:val="left"/>
      <w:pPr>
        <w:ind w:left="4154" w:hanging="219"/>
      </w:pPr>
      <w:rPr>
        <w:rFonts w:hint="default"/>
      </w:rPr>
    </w:lvl>
    <w:lvl w:ilvl="8">
      <w:start w:val="1"/>
      <w:numFmt w:val="bullet"/>
      <w:lvlText w:val="•"/>
      <w:lvlJc w:val="left"/>
      <w:pPr>
        <w:ind w:left="4708" w:hanging="219"/>
      </w:pPr>
      <w:rPr>
        <w:rFonts w:hint="default"/>
      </w:rPr>
    </w:lvl>
  </w:abstractNum>
  <w:abstractNum w:abstractNumId="131">
    <w:multiLevelType w:val="hybridMultilevel"/>
    <w:lvl w:ilvl="0">
      <w:start w:val="2"/>
      <w:numFmt w:val="decimal"/>
      <w:lvlText w:val="%1"/>
      <w:lvlJc w:val="left"/>
      <w:pPr>
        <w:ind w:left="620" w:hanging="350"/>
        <w:jc w:val="left"/>
      </w:pPr>
      <w:rPr>
        <w:rFonts w:hint="default"/>
      </w:rPr>
    </w:lvl>
    <w:lvl w:ilvl="1">
      <w:start w:val="2"/>
      <w:numFmt w:val="decimal"/>
      <w:lvlText w:val="%1.%2."/>
      <w:lvlJc w:val="left"/>
      <w:pPr>
        <w:ind w:left="620" w:hanging="350"/>
        <w:jc w:val="left"/>
      </w:pPr>
      <w:rPr>
        <w:rFonts w:hint="default" w:ascii="Times New Roman" w:hAnsi="Times New Roman" w:eastAsia="Times New Roman" w:cs="Times New Roman"/>
        <w:b/>
        <w:bCs/>
        <w:spacing w:val="-1"/>
        <w:w w:val="100"/>
        <w:sz w:val="20"/>
        <w:szCs w:val="20"/>
      </w:rPr>
    </w:lvl>
    <w:lvl w:ilvl="2">
      <w:start w:val="1"/>
      <w:numFmt w:val="bullet"/>
      <w:lvlText w:val="•"/>
      <w:lvlJc w:val="left"/>
      <w:pPr>
        <w:ind w:left="1659" w:hanging="350"/>
      </w:pPr>
      <w:rPr>
        <w:rFonts w:hint="default"/>
      </w:rPr>
    </w:lvl>
    <w:lvl w:ilvl="3">
      <w:start w:val="1"/>
      <w:numFmt w:val="bullet"/>
      <w:lvlText w:val="•"/>
      <w:lvlJc w:val="left"/>
      <w:pPr>
        <w:ind w:left="2178" w:hanging="350"/>
      </w:pPr>
      <w:rPr>
        <w:rFonts w:hint="default"/>
      </w:rPr>
    </w:lvl>
    <w:lvl w:ilvl="4">
      <w:start w:val="1"/>
      <w:numFmt w:val="bullet"/>
      <w:lvlText w:val="•"/>
      <w:lvlJc w:val="left"/>
      <w:pPr>
        <w:ind w:left="2698" w:hanging="350"/>
      </w:pPr>
      <w:rPr>
        <w:rFonts w:hint="default"/>
      </w:rPr>
    </w:lvl>
    <w:lvl w:ilvl="5">
      <w:start w:val="1"/>
      <w:numFmt w:val="bullet"/>
      <w:lvlText w:val="•"/>
      <w:lvlJc w:val="left"/>
      <w:pPr>
        <w:ind w:left="3217" w:hanging="350"/>
      </w:pPr>
      <w:rPr>
        <w:rFonts w:hint="default"/>
      </w:rPr>
    </w:lvl>
    <w:lvl w:ilvl="6">
      <w:start w:val="1"/>
      <w:numFmt w:val="bullet"/>
      <w:lvlText w:val="•"/>
      <w:lvlJc w:val="left"/>
      <w:pPr>
        <w:ind w:left="3737" w:hanging="350"/>
      </w:pPr>
      <w:rPr>
        <w:rFonts w:hint="default"/>
      </w:rPr>
    </w:lvl>
    <w:lvl w:ilvl="7">
      <w:start w:val="1"/>
      <w:numFmt w:val="bullet"/>
      <w:lvlText w:val="•"/>
      <w:lvlJc w:val="left"/>
      <w:pPr>
        <w:ind w:left="4256" w:hanging="350"/>
      </w:pPr>
      <w:rPr>
        <w:rFonts w:hint="default"/>
      </w:rPr>
    </w:lvl>
    <w:lvl w:ilvl="8">
      <w:start w:val="1"/>
      <w:numFmt w:val="bullet"/>
      <w:lvlText w:val="•"/>
      <w:lvlJc w:val="left"/>
      <w:pPr>
        <w:ind w:left="4776" w:hanging="350"/>
      </w:pPr>
      <w:rPr>
        <w:rFonts w:hint="default"/>
      </w:rPr>
    </w:lvl>
  </w:abstractNum>
  <w:abstractNum w:abstractNumId="130">
    <w:multiLevelType w:val="hybridMultilevel"/>
    <w:lvl w:ilvl="0">
      <w:start w:val="1"/>
      <w:numFmt w:val="bullet"/>
      <w:lvlText w:val=""/>
      <w:lvlJc w:val="left"/>
      <w:pPr>
        <w:ind w:left="696" w:hanging="360"/>
      </w:pPr>
      <w:rPr>
        <w:rFonts w:hint="default" w:ascii="Symbol" w:hAnsi="Symbol" w:eastAsia="Symbol" w:cs="Symbol"/>
        <w:w w:val="99"/>
        <w:sz w:val="20"/>
        <w:szCs w:val="20"/>
      </w:rPr>
    </w:lvl>
    <w:lvl w:ilvl="1">
      <w:start w:val="1"/>
      <w:numFmt w:val="bullet"/>
      <w:lvlText w:val="•"/>
      <w:lvlJc w:val="left"/>
      <w:pPr>
        <w:ind w:left="1149" w:hanging="360"/>
      </w:pPr>
      <w:rPr>
        <w:rFonts w:hint="default"/>
      </w:rPr>
    </w:lvl>
    <w:lvl w:ilvl="2">
      <w:start w:val="1"/>
      <w:numFmt w:val="bullet"/>
      <w:lvlText w:val="•"/>
      <w:lvlJc w:val="left"/>
      <w:pPr>
        <w:ind w:left="1598" w:hanging="360"/>
      </w:pPr>
      <w:rPr>
        <w:rFonts w:hint="default"/>
      </w:rPr>
    </w:lvl>
    <w:lvl w:ilvl="3">
      <w:start w:val="1"/>
      <w:numFmt w:val="bullet"/>
      <w:lvlText w:val="•"/>
      <w:lvlJc w:val="left"/>
      <w:pPr>
        <w:ind w:left="2047" w:hanging="360"/>
      </w:pPr>
      <w:rPr>
        <w:rFonts w:hint="default"/>
      </w:rPr>
    </w:lvl>
    <w:lvl w:ilvl="4">
      <w:start w:val="1"/>
      <w:numFmt w:val="bullet"/>
      <w:lvlText w:val="•"/>
      <w:lvlJc w:val="left"/>
      <w:pPr>
        <w:ind w:left="2496" w:hanging="360"/>
      </w:pPr>
      <w:rPr>
        <w:rFonts w:hint="default"/>
      </w:rPr>
    </w:lvl>
    <w:lvl w:ilvl="5">
      <w:start w:val="1"/>
      <w:numFmt w:val="bullet"/>
      <w:lvlText w:val="•"/>
      <w:lvlJc w:val="left"/>
      <w:pPr>
        <w:ind w:left="2945" w:hanging="360"/>
      </w:pPr>
      <w:rPr>
        <w:rFonts w:hint="default"/>
      </w:rPr>
    </w:lvl>
    <w:lvl w:ilvl="6">
      <w:start w:val="1"/>
      <w:numFmt w:val="bullet"/>
      <w:lvlText w:val="•"/>
      <w:lvlJc w:val="left"/>
      <w:pPr>
        <w:ind w:left="3394" w:hanging="360"/>
      </w:pPr>
      <w:rPr>
        <w:rFonts w:hint="default"/>
      </w:rPr>
    </w:lvl>
    <w:lvl w:ilvl="7">
      <w:start w:val="1"/>
      <w:numFmt w:val="bullet"/>
      <w:lvlText w:val="•"/>
      <w:lvlJc w:val="left"/>
      <w:pPr>
        <w:ind w:left="3843" w:hanging="360"/>
      </w:pPr>
      <w:rPr>
        <w:rFonts w:hint="default"/>
      </w:rPr>
    </w:lvl>
    <w:lvl w:ilvl="8">
      <w:start w:val="1"/>
      <w:numFmt w:val="bullet"/>
      <w:lvlText w:val="•"/>
      <w:lvlJc w:val="left"/>
      <w:pPr>
        <w:ind w:left="4292" w:hanging="360"/>
      </w:pPr>
      <w:rPr>
        <w:rFonts w:hint="default"/>
      </w:rPr>
    </w:lvl>
  </w:abstractNum>
  <w:abstractNum w:abstractNumId="129">
    <w:multiLevelType w:val="hybridMultilevel"/>
    <w:lvl w:ilvl="0">
      <w:start w:val="1"/>
      <w:numFmt w:val="decimal"/>
      <w:lvlText w:val="%1."/>
      <w:lvlJc w:val="left"/>
      <w:pPr>
        <w:ind w:left="472" w:hanging="202"/>
        <w:jc w:val="left"/>
      </w:pPr>
      <w:rPr>
        <w:rFonts w:hint="default" w:ascii="Times New Roman" w:hAnsi="Times New Roman" w:eastAsia="Times New Roman" w:cs="Times New Roman"/>
        <w:b/>
        <w:bCs/>
        <w:w w:val="100"/>
        <w:sz w:val="20"/>
        <w:szCs w:val="20"/>
      </w:rPr>
    </w:lvl>
    <w:lvl w:ilvl="1">
      <w:start w:val="1"/>
      <w:numFmt w:val="decimal"/>
      <w:lvlText w:val="%1.%2."/>
      <w:lvlJc w:val="left"/>
      <w:pPr>
        <w:ind w:left="630" w:hanging="360"/>
        <w:jc w:val="left"/>
      </w:pPr>
      <w:rPr>
        <w:rFonts w:hint="default" w:ascii="Times New Roman" w:hAnsi="Times New Roman" w:eastAsia="Times New Roman" w:cs="Times New Roman"/>
        <w:b/>
        <w:bCs/>
        <w:spacing w:val="-1"/>
        <w:w w:val="100"/>
        <w:sz w:val="20"/>
        <w:szCs w:val="20"/>
      </w:rPr>
    </w:lvl>
    <w:lvl w:ilvl="2">
      <w:start w:val="1"/>
      <w:numFmt w:val="bullet"/>
      <w:lvlText w:val="•"/>
      <w:lvlJc w:val="left"/>
      <w:pPr>
        <w:ind w:left="1215" w:hanging="360"/>
      </w:pPr>
      <w:rPr>
        <w:rFonts w:hint="default"/>
      </w:rPr>
    </w:lvl>
    <w:lvl w:ilvl="3">
      <w:start w:val="1"/>
      <w:numFmt w:val="bullet"/>
      <w:lvlText w:val="•"/>
      <w:lvlJc w:val="left"/>
      <w:pPr>
        <w:ind w:left="1790" w:hanging="360"/>
      </w:pPr>
      <w:rPr>
        <w:rFonts w:hint="default"/>
      </w:rPr>
    </w:lvl>
    <w:lvl w:ilvl="4">
      <w:start w:val="1"/>
      <w:numFmt w:val="bullet"/>
      <w:lvlText w:val="•"/>
      <w:lvlJc w:val="left"/>
      <w:pPr>
        <w:ind w:left="2365" w:hanging="360"/>
      </w:pPr>
      <w:rPr>
        <w:rFonts w:hint="default"/>
      </w:rPr>
    </w:lvl>
    <w:lvl w:ilvl="5">
      <w:start w:val="1"/>
      <w:numFmt w:val="bullet"/>
      <w:lvlText w:val="•"/>
      <w:lvlJc w:val="left"/>
      <w:pPr>
        <w:ind w:left="2940" w:hanging="360"/>
      </w:pPr>
      <w:rPr>
        <w:rFonts w:hint="default"/>
      </w:rPr>
    </w:lvl>
    <w:lvl w:ilvl="6">
      <w:start w:val="1"/>
      <w:numFmt w:val="bullet"/>
      <w:lvlText w:val="•"/>
      <w:lvlJc w:val="left"/>
      <w:pPr>
        <w:ind w:left="3515" w:hanging="360"/>
      </w:pPr>
      <w:rPr>
        <w:rFonts w:hint="default"/>
      </w:rPr>
    </w:lvl>
    <w:lvl w:ilvl="7">
      <w:start w:val="1"/>
      <w:numFmt w:val="bullet"/>
      <w:lvlText w:val="•"/>
      <w:lvlJc w:val="left"/>
      <w:pPr>
        <w:ind w:left="4090" w:hanging="360"/>
      </w:pPr>
      <w:rPr>
        <w:rFonts w:hint="default"/>
      </w:rPr>
    </w:lvl>
    <w:lvl w:ilvl="8">
      <w:start w:val="1"/>
      <w:numFmt w:val="bullet"/>
      <w:lvlText w:val="•"/>
      <w:lvlJc w:val="left"/>
      <w:pPr>
        <w:ind w:left="4665" w:hanging="360"/>
      </w:pPr>
      <w:rPr>
        <w:rFonts w:hint="default"/>
      </w:rPr>
    </w:lvl>
  </w:abstractNum>
  <w:abstractNum w:abstractNumId="128">
    <w:multiLevelType w:val="hybridMultilevel"/>
    <w:lvl w:ilvl="0">
      <w:start w:val="3"/>
      <w:numFmt w:val="lowerLetter"/>
      <w:lvlText w:val="(%1)"/>
      <w:lvlJc w:val="left"/>
      <w:pPr>
        <w:ind w:left="270" w:hanging="340"/>
        <w:jc w:val="left"/>
      </w:pPr>
      <w:rPr>
        <w:rFonts w:hint="default"/>
        <w:spacing w:val="-1"/>
        <w:w w:val="100"/>
        <w:u w:val="single" w:color="000000"/>
      </w:rPr>
    </w:lvl>
    <w:lvl w:ilvl="1">
      <w:start w:val="1"/>
      <w:numFmt w:val="bullet"/>
      <w:lvlText w:val="•"/>
      <w:lvlJc w:val="left"/>
      <w:pPr>
        <w:ind w:left="770" w:hanging="340"/>
      </w:pPr>
      <w:rPr>
        <w:rFonts w:hint="default"/>
      </w:rPr>
    </w:lvl>
    <w:lvl w:ilvl="2">
      <w:start w:val="1"/>
      <w:numFmt w:val="bullet"/>
      <w:lvlText w:val="•"/>
      <w:lvlJc w:val="left"/>
      <w:pPr>
        <w:ind w:left="1261" w:hanging="340"/>
      </w:pPr>
      <w:rPr>
        <w:rFonts w:hint="default"/>
      </w:rPr>
    </w:lvl>
    <w:lvl w:ilvl="3">
      <w:start w:val="1"/>
      <w:numFmt w:val="bullet"/>
      <w:lvlText w:val="•"/>
      <w:lvlJc w:val="left"/>
      <w:pPr>
        <w:ind w:left="1752" w:hanging="340"/>
      </w:pPr>
      <w:rPr>
        <w:rFonts w:hint="default"/>
      </w:rPr>
    </w:lvl>
    <w:lvl w:ilvl="4">
      <w:start w:val="1"/>
      <w:numFmt w:val="bullet"/>
      <w:lvlText w:val="•"/>
      <w:lvlJc w:val="left"/>
      <w:pPr>
        <w:ind w:left="2243" w:hanging="340"/>
      </w:pPr>
      <w:rPr>
        <w:rFonts w:hint="default"/>
      </w:rPr>
    </w:lvl>
    <w:lvl w:ilvl="5">
      <w:start w:val="1"/>
      <w:numFmt w:val="bullet"/>
      <w:lvlText w:val="•"/>
      <w:lvlJc w:val="left"/>
      <w:pPr>
        <w:ind w:left="2734" w:hanging="340"/>
      </w:pPr>
      <w:rPr>
        <w:rFonts w:hint="default"/>
      </w:rPr>
    </w:lvl>
    <w:lvl w:ilvl="6">
      <w:start w:val="1"/>
      <w:numFmt w:val="bullet"/>
      <w:lvlText w:val="•"/>
      <w:lvlJc w:val="left"/>
      <w:pPr>
        <w:ind w:left="3225" w:hanging="340"/>
      </w:pPr>
      <w:rPr>
        <w:rFonts w:hint="default"/>
      </w:rPr>
    </w:lvl>
    <w:lvl w:ilvl="7">
      <w:start w:val="1"/>
      <w:numFmt w:val="bullet"/>
      <w:lvlText w:val="•"/>
      <w:lvlJc w:val="left"/>
      <w:pPr>
        <w:ind w:left="3716" w:hanging="340"/>
      </w:pPr>
      <w:rPr>
        <w:rFonts w:hint="default"/>
      </w:rPr>
    </w:lvl>
    <w:lvl w:ilvl="8">
      <w:start w:val="1"/>
      <w:numFmt w:val="bullet"/>
      <w:lvlText w:val="•"/>
      <w:lvlJc w:val="left"/>
      <w:pPr>
        <w:ind w:left="4207" w:hanging="340"/>
      </w:pPr>
      <w:rPr>
        <w:rFonts w:hint="default"/>
      </w:rPr>
    </w:lvl>
  </w:abstractNum>
  <w:abstractNum w:abstractNumId="127">
    <w:multiLevelType w:val="hybridMultilevel"/>
    <w:lvl w:ilvl="0">
      <w:start w:val="1"/>
      <w:numFmt w:val="lowerLetter"/>
      <w:lvlText w:val="%1)"/>
      <w:lvlJc w:val="left"/>
      <w:pPr>
        <w:ind w:left="270" w:hanging="206"/>
        <w:jc w:val="left"/>
      </w:pPr>
      <w:rPr>
        <w:rFonts w:hint="default"/>
        <w:w w:val="100"/>
        <w:u w:val="single" w:color="000000"/>
      </w:rPr>
    </w:lvl>
    <w:lvl w:ilvl="1">
      <w:start w:val="1"/>
      <w:numFmt w:val="bullet"/>
      <w:lvlText w:val="•"/>
      <w:lvlJc w:val="left"/>
      <w:pPr>
        <w:ind w:left="833" w:hanging="206"/>
      </w:pPr>
      <w:rPr>
        <w:rFonts w:hint="default"/>
      </w:rPr>
    </w:lvl>
    <w:lvl w:ilvl="2">
      <w:start w:val="1"/>
      <w:numFmt w:val="bullet"/>
      <w:lvlText w:val="•"/>
      <w:lvlJc w:val="left"/>
      <w:pPr>
        <w:ind w:left="1387" w:hanging="206"/>
      </w:pPr>
      <w:rPr>
        <w:rFonts w:hint="default"/>
      </w:rPr>
    </w:lvl>
    <w:lvl w:ilvl="3">
      <w:start w:val="1"/>
      <w:numFmt w:val="bullet"/>
      <w:lvlText w:val="•"/>
      <w:lvlJc w:val="left"/>
      <w:pPr>
        <w:ind w:left="1940" w:hanging="206"/>
      </w:pPr>
      <w:rPr>
        <w:rFonts w:hint="default"/>
      </w:rPr>
    </w:lvl>
    <w:lvl w:ilvl="4">
      <w:start w:val="1"/>
      <w:numFmt w:val="bullet"/>
      <w:lvlText w:val="•"/>
      <w:lvlJc w:val="left"/>
      <w:pPr>
        <w:ind w:left="2494" w:hanging="206"/>
      </w:pPr>
      <w:rPr>
        <w:rFonts w:hint="default"/>
      </w:rPr>
    </w:lvl>
    <w:lvl w:ilvl="5">
      <w:start w:val="1"/>
      <w:numFmt w:val="bullet"/>
      <w:lvlText w:val="•"/>
      <w:lvlJc w:val="left"/>
      <w:pPr>
        <w:ind w:left="3047" w:hanging="206"/>
      </w:pPr>
      <w:rPr>
        <w:rFonts w:hint="default"/>
      </w:rPr>
    </w:lvl>
    <w:lvl w:ilvl="6">
      <w:start w:val="1"/>
      <w:numFmt w:val="bullet"/>
      <w:lvlText w:val="•"/>
      <w:lvlJc w:val="left"/>
      <w:pPr>
        <w:ind w:left="3601" w:hanging="206"/>
      </w:pPr>
      <w:rPr>
        <w:rFonts w:hint="default"/>
      </w:rPr>
    </w:lvl>
    <w:lvl w:ilvl="7">
      <w:start w:val="1"/>
      <w:numFmt w:val="bullet"/>
      <w:lvlText w:val="•"/>
      <w:lvlJc w:val="left"/>
      <w:pPr>
        <w:ind w:left="4154" w:hanging="206"/>
      </w:pPr>
      <w:rPr>
        <w:rFonts w:hint="default"/>
      </w:rPr>
    </w:lvl>
    <w:lvl w:ilvl="8">
      <w:start w:val="1"/>
      <w:numFmt w:val="bullet"/>
      <w:lvlText w:val="•"/>
      <w:lvlJc w:val="left"/>
      <w:pPr>
        <w:ind w:left="4708" w:hanging="206"/>
      </w:pPr>
      <w:rPr>
        <w:rFonts w:hint="default"/>
      </w:rPr>
    </w:lvl>
  </w:abstractNum>
  <w:abstractNum w:abstractNumId="126">
    <w:multiLevelType w:val="hybridMultilevel"/>
    <w:lvl w:ilvl="0">
      <w:start w:val="1"/>
      <w:numFmt w:val="decimal"/>
      <w:lvlText w:val="%1."/>
      <w:lvlJc w:val="left"/>
      <w:pPr>
        <w:ind w:left="472" w:hanging="202"/>
        <w:jc w:val="left"/>
      </w:pPr>
      <w:rPr>
        <w:rFonts w:hint="default" w:ascii="Times New Roman" w:hAnsi="Times New Roman" w:eastAsia="Times New Roman" w:cs="Times New Roman"/>
        <w:b/>
        <w:bCs/>
        <w:w w:val="100"/>
        <w:sz w:val="20"/>
        <w:szCs w:val="20"/>
      </w:rPr>
    </w:lvl>
    <w:lvl w:ilvl="1">
      <w:start w:val="1"/>
      <w:numFmt w:val="decimal"/>
      <w:lvlText w:val="%1.%2"/>
      <w:lvlJc w:val="left"/>
      <w:pPr>
        <w:ind w:left="570" w:hanging="301"/>
        <w:jc w:val="left"/>
      </w:pPr>
      <w:rPr>
        <w:rFonts w:hint="default" w:ascii="Times New Roman" w:hAnsi="Times New Roman" w:eastAsia="Times New Roman" w:cs="Times New Roman"/>
        <w:b/>
        <w:bCs/>
        <w:spacing w:val="-1"/>
        <w:w w:val="100"/>
        <w:sz w:val="20"/>
        <w:szCs w:val="20"/>
      </w:rPr>
    </w:lvl>
    <w:lvl w:ilvl="2">
      <w:start w:val="1"/>
      <w:numFmt w:val="bullet"/>
      <w:lvlText w:val="•"/>
      <w:lvlJc w:val="left"/>
      <w:pPr>
        <w:ind w:left="580" w:hanging="301"/>
      </w:pPr>
      <w:rPr>
        <w:rFonts w:hint="default"/>
      </w:rPr>
    </w:lvl>
    <w:lvl w:ilvl="3">
      <w:start w:val="1"/>
      <w:numFmt w:val="bullet"/>
      <w:lvlText w:val="•"/>
      <w:lvlJc w:val="left"/>
      <w:pPr>
        <w:ind w:left="453" w:hanging="301"/>
      </w:pPr>
      <w:rPr>
        <w:rFonts w:hint="default"/>
      </w:rPr>
    </w:lvl>
    <w:lvl w:ilvl="4">
      <w:start w:val="1"/>
      <w:numFmt w:val="bullet"/>
      <w:lvlText w:val="•"/>
      <w:lvlJc w:val="left"/>
      <w:pPr>
        <w:ind w:left="326" w:hanging="301"/>
      </w:pPr>
      <w:rPr>
        <w:rFonts w:hint="default"/>
      </w:rPr>
    </w:lvl>
    <w:lvl w:ilvl="5">
      <w:start w:val="1"/>
      <w:numFmt w:val="bullet"/>
      <w:lvlText w:val="•"/>
      <w:lvlJc w:val="left"/>
      <w:pPr>
        <w:ind w:left="199" w:hanging="301"/>
      </w:pPr>
      <w:rPr>
        <w:rFonts w:hint="default"/>
      </w:rPr>
    </w:lvl>
    <w:lvl w:ilvl="6">
      <w:start w:val="1"/>
      <w:numFmt w:val="bullet"/>
      <w:lvlText w:val="•"/>
      <w:lvlJc w:val="left"/>
      <w:pPr>
        <w:ind w:left="72" w:hanging="301"/>
      </w:pPr>
      <w:rPr>
        <w:rFonts w:hint="default"/>
      </w:rPr>
    </w:lvl>
    <w:lvl w:ilvl="7">
      <w:start w:val="1"/>
      <w:numFmt w:val="bullet"/>
      <w:lvlText w:val="•"/>
      <w:lvlJc w:val="left"/>
      <w:pPr>
        <w:ind w:left="-55" w:hanging="301"/>
      </w:pPr>
      <w:rPr>
        <w:rFonts w:hint="default"/>
      </w:rPr>
    </w:lvl>
    <w:lvl w:ilvl="8">
      <w:start w:val="1"/>
      <w:numFmt w:val="bullet"/>
      <w:lvlText w:val="•"/>
      <w:lvlJc w:val="left"/>
      <w:pPr>
        <w:ind w:left="-182" w:hanging="301"/>
      </w:pPr>
      <w:rPr>
        <w:rFonts w:hint="default"/>
      </w:rPr>
    </w:lvl>
  </w:abstractNum>
  <w:abstractNum w:abstractNumId="125">
    <w:multiLevelType w:val="hybridMultilevel"/>
    <w:lvl w:ilvl="0">
      <w:start w:val="3"/>
      <w:numFmt w:val="decimal"/>
      <w:lvlText w:val="%1"/>
      <w:lvlJc w:val="left"/>
      <w:pPr>
        <w:ind w:left="570" w:hanging="300"/>
        <w:jc w:val="left"/>
      </w:pPr>
      <w:rPr>
        <w:rFonts w:hint="default"/>
      </w:rPr>
    </w:lvl>
    <w:lvl w:ilvl="1">
      <w:start w:val="1"/>
      <w:numFmt w:val="decimal"/>
      <w:lvlText w:val="%1.%2"/>
      <w:lvlJc w:val="left"/>
      <w:pPr>
        <w:ind w:left="570" w:hanging="300"/>
        <w:jc w:val="left"/>
      </w:pPr>
      <w:rPr>
        <w:rFonts w:hint="default" w:ascii="Times New Roman" w:hAnsi="Times New Roman" w:eastAsia="Times New Roman" w:cs="Times New Roman"/>
        <w:b/>
        <w:bCs/>
        <w:spacing w:val="-1"/>
        <w:w w:val="100"/>
        <w:sz w:val="20"/>
        <w:szCs w:val="20"/>
      </w:rPr>
    </w:lvl>
    <w:lvl w:ilvl="2">
      <w:start w:val="1"/>
      <w:numFmt w:val="bullet"/>
      <w:lvlText w:val="•"/>
      <w:lvlJc w:val="left"/>
      <w:pPr>
        <w:ind w:left="2752" w:hanging="300"/>
      </w:pPr>
      <w:rPr>
        <w:rFonts w:hint="default"/>
      </w:rPr>
    </w:lvl>
    <w:lvl w:ilvl="3">
      <w:start w:val="1"/>
      <w:numFmt w:val="bullet"/>
      <w:lvlText w:val="•"/>
      <w:lvlJc w:val="left"/>
      <w:pPr>
        <w:ind w:left="3838" w:hanging="300"/>
      </w:pPr>
      <w:rPr>
        <w:rFonts w:hint="default"/>
      </w:rPr>
    </w:lvl>
    <w:lvl w:ilvl="4">
      <w:start w:val="1"/>
      <w:numFmt w:val="bullet"/>
      <w:lvlText w:val="•"/>
      <w:lvlJc w:val="left"/>
      <w:pPr>
        <w:ind w:left="4924" w:hanging="300"/>
      </w:pPr>
      <w:rPr>
        <w:rFonts w:hint="default"/>
      </w:rPr>
    </w:lvl>
    <w:lvl w:ilvl="5">
      <w:start w:val="1"/>
      <w:numFmt w:val="bullet"/>
      <w:lvlText w:val="•"/>
      <w:lvlJc w:val="left"/>
      <w:pPr>
        <w:ind w:left="6010" w:hanging="300"/>
      </w:pPr>
      <w:rPr>
        <w:rFonts w:hint="default"/>
      </w:rPr>
    </w:lvl>
    <w:lvl w:ilvl="6">
      <w:start w:val="1"/>
      <w:numFmt w:val="bullet"/>
      <w:lvlText w:val="•"/>
      <w:lvlJc w:val="left"/>
      <w:pPr>
        <w:ind w:left="7096" w:hanging="300"/>
      </w:pPr>
      <w:rPr>
        <w:rFonts w:hint="default"/>
      </w:rPr>
    </w:lvl>
    <w:lvl w:ilvl="7">
      <w:start w:val="1"/>
      <w:numFmt w:val="bullet"/>
      <w:lvlText w:val="•"/>
      <w:lvlJc w:val="left"/>
      <w:pPr>
        <w:ind w:left="8182" w:hanging="300"/>
      </w:pPr>
      <w:rPr>
        <w:rFonts w:hint="default"/>
      </w:rPr>
    </w:lvl>
    <w:lvl w:ilvl="8">
      <w:start w:val="1"/>
      <w:numFmt w:val="bullet"/>
      <w:lvlText w:val="•"/>
      <w:lvlJc w:val="left"/>
      <w:pPr>
        <w:ind w:left="9268" w:hanging="300"/>
      </w:pPr>
      <w:rPr>
        <w:rFonts w:hint="default"/>
      </w:rPr>
    </w:lvl>
  </w:abstractNum>
  <w:abstractNum w:abstractNumId="124">
    <w:multiLevelType w:val="hybridMultilevel"/>
    <w:lvl w:ilvl="0">
      <w:start w:val="1"/>
      <w:numFmt w:val="decimal"/>
      <w:lvlText w:val="%1."/>
      <w:lvlJc w:val="left"/>
      <w:pPr>
        <w:ind w:left="472" w:hanging="202"/>
        <w:jc w:val="left"/>
      </w:pPr>
      <w:rPr>
        <w:rFonts w:hint="default" w:ascii="Times New Roman" w:hAnsi="Times New Roman" w:eastAsia="Times New Roman" w:cs="Times New Roman"/>
        <w:b/>
        <w:bCs/>
        <w:w w:val="100"/>
        <w:sz w:val="20"/>
        <w:szCs w:val="20"/>
      </w:rPr>
    </w:lvl>
    <w:lvl w:ilvl="1">
      <w:start w:val="1"/>
      <w:numFmt w:val="bullet"/>
      <w:lvlText w:val="•"/>
      <w:lvlJc w:val="left"/>
      <w:pPr>
        <w:ind w:left="953" w:hanging="202"/>
      </w:pPr>
      <w:rPr>
        <w:rFonts w:hint="default"/>
      </w:rPr>
    </w:lvl>
    <w:lvl w:ilvl="2">
      <w:start w:val="1"/>
      <w:numFmt w:val="bullet"/>
      <w:lvlText w:val="•"/>
      <w:lvlJc w:val="left"/>
      <w:pPr>
        <w:ind w:left="1427" w:hanging="202"/>
      </w:pPr>
      <w:rPr>
        <w:rFonts w:hint="default"/>
      </w:rPr>
    </w:lvl>
    <w:lvl w:ilvl="3">
      <w:start w:val="1"/>
      <w:numFmt w:val="bullet"/>
      <w:lvlText w:val="•"/>
      <w:lvlJc w:val="left"/>
      <w:pPr>
        <w:ind w:left="1901" w:hanging="202"/>
      </w:pPr>
      <w:rPr>
        <w:rFonts w:hint="default"/>
      </w:rPr>
    </w:lvl>
    <w:lvl w:ilvl="4">
      <w:start w:val="1"/>
      <w:numFmt w:val="bullet"/>
      <w:lvlText w:val="•"/>
      <w:lvlJc w:val="left"/>
      <w:pPr>
        <w:ind w:left="2374" w:hanging="202"/>
      </w:pPr>
      <w:rPr>
        <w:rFonts w:hint="default"/>
      </w:rPr>
    </w:lvl>
    <w:lvl w:ilvl="5">
      <w:start w:val="1"/>
      <w:numFmt w:val="bullet"/>
      <w:lvlText w:val="•"/>
      <w:lvlJc w:val="left"/>
      <w:pPr>
        <w:ind w:left="2848" w:hanging="202"/>
      </w:pPr>
      <w:rPr>
        <w:rFonts w:hint="default"/>
      </w:rPr>
    </w:lvl>
    <w:lvl w:ilvl="6">
      <w:start w:val="1"/>
      <w:numFmt w:val="bullet"/>
      <w:lvlText w:val="•"/>
      <w:lvlJc w:val="left"/>
      <w:pPr>
        <w:ind w:left="3322" w:hanging="202"/>
      </w:pPr>
      <w:rPr>
        <w:rFonts w:hint="default"/>
      </w:rPr>
    </w:lvl>
    <w:lvl w:ilvl="7">
      <w:start w:val="1"/>
      <w:numFmt w:val="bullet"/>
      <w:lvlText w:val="•"/>
      <w:lvlJc w:val="left"/>
      <w:pPr>
        <w:ind w:left="3796" w:hanging="202"/>
      </w:pPr>
      <w:rPr>
        <w:rFonts w:hint="default"/>
      </w:rPr>
    </w:lvl>
    <w:lvl w:ilvl="8">
      <w:start w:val="1"/>
      <w:numFmt w:val="bullet"/>
      <w:lvlText w:val="•"/>
      <w:lvlJc w:val="left"/>
      <w:pPr>
        <w:ind w:left="4269" w:hanging="202"/>
      </w:pPr>
      <w:rPr>
        <w:rFonts w:hint="default"/>
      </w:rPr>
    </w:lvl>
  </w:abstractNum>
  <w:abstractNum w:abstractNumId="123">
    <w:multiLevelType w:val="hybridMultilevel"/>
    <w:lvl w:ilvl="0">
      <w:start w:val="3"/>
      <w:numFmt w:val="decimal"/>
      <w:lvlText w:val="%1"/>
      <w:lvlJc w:val="left"/>
      <w:pPr>
        <w:ind w:left="570" w:hanging="300"/>
        <w:jc w:val="left"/>
      </w:pPr>
      <w:rPr>
        <w:rFonts w:hint="default"/>
      </w:rPr>
    </w:lvl>
    <w:lvl w:ilvl="1">
      <w:start w:val="5"/>
      <w:numFmt w:val="decimal"/>
      <w:lvlText w:val="%1.%2"/>
      <w:lvlJc w:val="left"/>
      <w:pPr>
        <w:ind w:left="570" w:hanging="300"/>
        <w:jc w:val="left"/>
      </w:pPr>
      <w:rPr>
        <w:rFonts w:hint="default" w:ascii="Times New Roman" w:hAnsi="Times New Roman" w:eastAsia="Times New Roman" w:cs="Times New Roman"/>
        <w:b/>
        <w:bCs/>
        <w:spacing w:val="-1"/>
        <w:w w:val="100"/>
        <w:sz w:val="20"/>
        <w:szCs w:val="20"/>
      </w:rPr>
    </w:lvl>
    <w:lvl w:ilvl="2">
      <w:start w:val="1"/>
      <w:numFmt w:val="bullet"/>
      <w:lvlText w:val="•"/>
      <w:lvlJc w:val="left"/>
      <w:pPr>
        <w:ind w:left="1627" w:hanging="300"/>
      </w:pPr>
      <w:rPr>
        <w:rFonts w:hint="default"/>
      </w:rPr>
    </w:lvl>
    <w:lvl w:ilvl="3">
      <w:start w:val="1"/>
      <w:numFmt w:val="bullet"/>
      <w:lvlText w:val="•"/>
      <w:lvlJc w:val="left"/>
      <w:pPr>
        <w:ind w:left="2150" w:hanging="300"/>
      </w:pPr>
      <w:rPr>
        <w:rFonts w:hint="default"/>
      </w:rPr>
    </w:lvl>
    <w:lvl w:ilvl="4">
      <w:start w:val="1"/>
      <w:numFmt w:val="bullet"/>
      <w:lvlText w:val="•"/>
      <w:lvlJc w:val="left"/>
      <w:pPr>
        <w:ind w:left="2674" w:hanging="300"/>
      </w:pPr>
      <w:rPr>
        <w:rFonts w:hint="default"/>
      </w:rPr>
    </w:lvl>
    <w:lvl w:ilvl="5">
      <w:start w:val="1"/>
      <w:numFmt w:val="bullet"/>
      <w:lvlText w:val="•"/>
      <w:lvlJc w:val="left"/>
      <w:pPr>
        <w:ind w:left="3197" w:hanging="300"/>
      </w:pPr>
      <w:rPr>
        <w:rFonts w:hint="default"/>
      </w:rPr>
    </w:lvl>
    <w:lvl w:ilvl="6">
      <w:start w:val="1"/>
      <w:numFmt w:val="bullet"/>
      <w:lvlText w:val="•"/>
      <w:lvlJc w:val="left"/>
      <w:pPr>
        <w:ind w:left="3721" w:hanging="300"/>
      </w:pPr>
      <w:rPr>
        <w:rFonts w:hint="default"/>
      </w:rPr>
    </w:lvl>
    <w:lvl w:ilvl="7">
      <w:start w:val="1"/>
      <w:numFmt w:val="bullet"/>
      <w:lvlText w:val="•"/>
      <w:lvlJc w:val="left"/>
      <w:pPr>
        <w:ind w:left="4244" w:hanging="300"/>
      </w:pPr>
      <w:rPr>
        <w:rFonts w:hint="default"/>
      </w:rPr>
    </w:lvl>
    <w:lvl w:ilvl="8">
      <w:start w:val="1"/>
      <w:numFmt w:val="bullet"/>
      <w:lvlText w:val="•"/>
      <w:lvlJc w:val="left"/>
      <w:pPr>
        <w:ind w:left="4768" w:hanging="300"/>
      </w:pPr>
      <w:rPr>
        <w:rFonts w:hint="default"/>
      </w:rPr>
    </w:lvl>
  </w:abstractNum>
  <w:abstractNum w:abstractNumId="122">
    <w:multiLevelType w:val="hybridMultilevel"/>
    <w:lvl w:ilvl="0">
      <w:start w:val="1"/>
      <w:numFmt w:val="decimal"/>
      <w:lvlText w:val="%1."/>
      <w:lvlJc w:val="left"/>
      <w:pPr>
        <w:ind w:left="470" w:hanging="360"/>
        <w:jc w:val="left"/>
      </w:pPr>
      <w:rPr>
        <w:rFonts w:hint="default" w:ascii="Times New Roman" w:hAnsi="Times New Roman" w:eastAsia="Times New Roman" w:cs="Times New Roman"/>
        <w:w w:val="100"/>
        <w:sz w:val="20"/>
        <w:szCs w:val="20"/>
      </w:rPr>
    </w:lvl>
    <w:lvl w:ilvl="1">
      <w:start w:val="1"/>
      <w:numFmt w:val="bullet"/>
      <w:lvlText w:val="•"/>
      <w:lvlJc w:val="left"/>
      <w:pPr>
        <w:ind w:left="970" w:hanging="360"/>
      </w:pPr>
      <w:rPr>
        <w:rFonts w:hint="default"/>
      </w:rPr>
    </w:lvl>
    <w:lvl w:ilvl="2">
      <w:start w:val="1"/>
      <w:numFmt w:val="bullet"/>
      <w:lvlText w:val="•"/>
      <w:lvlJc w:val="left"/>
      <w:pPr>
        <w:ind w:left="1461" w:hanging="360"/>
      </w:pPr>
      <w:rPr>
        <w:rFonts w:hint="default"/>
      </w:rPr>
    </w:lvl>
    <w:lvl w:ilvl="3">
      <w:start w:val="1"/>
      <w:numFmt w:val="bullet"/>
      <w:lvlText w:val="•"/>
      <w:lvlJc w:val="left"/>
      <w:pPr>
        <w:ind w:left="1952" w:hanging="360"/>
      </w:pPr>
      <w:rPr>
        <w:rFonts w:hint="default"/>
      </w:rPr>
    </w:lvl>
    <w:lvl w:ilvl="4">
      <w:start w:val="1"/>
      <w:numFmt w:val="bullet"/>
      <w:lvlText w:val="•"/>
      <w:lvlJc w:val="left"/>
      <w:pPr>
        <w:ind w:left="2443" w:hanging="360"/>
      </w:pPr>
      <w:rPr>
        <w:rFonts w:hint="default"/>
      </w:rPr>
    </w:lvl>
    <w:lvl w:ilvl="5">
      <w:start w:val="1"/>
      <w:numFmt w:val="bullet"/>
      <w:lvlText w:val="•"/>
      <w:lvlJc w:val="left"/>
      <w:pPr>
        <w:ind w:left="2934" w:hanging="360"/>
      </w:pPr>
      <w:rPr>
        <w:rFonts w:hint="default"/>
      </w:rPr>
    </w:lvl>
    <w:lvl w:ilvl="6">
      <w:start w:val="1"/>
      <w:numFmt w:val="bullet"/>
      <w:lvlText w:val="•"/>
      <w:lvlJc w:val="left"/>
      <w:pPr>
        <w:ind w:left="3425" w:hanging="360"/>
      </w:pPr>
      <w:rPr>
        <w:rFonts w:hint="default"/>
      </w:rPr>
    </w:lvl>
    <w:lvl w:ilvl="7">
      <w:start w:val="1"/>
      <w:numFmt w:val="bullet"/>
      <w:lvlText w:val="•"/>
      <w:lvlJc w:val="left"/>
      <w:pPr>
        <w:ind w:left="3916" w:hanging="360"/>
      </w:pPr>
      <w:rPr>
        <w:rFonts w:hint="default"/>
      </w:rPr>
    </w:lvl>
    <w:lvl w:ilvl="8">
      <w:start w:val="1"/>
      <w:numFmt w:val="bullet"/>
      <w:lvlText w:val="•"/>
      <w:lvlJc w:val="left"/>
      <w:pPr>
        <w:ind w:left="4407" w:hanging="360"/>
      </w:pPr>
      <w:rPr>
        <w:rFonts w:hint="default"/>
      </w:rPr>
    </w:lvl>
  </w:abstractNum>
  <w:abstractNum w:abstractNumId="121">
    <w:multiLevelType w:val="hybridMultilevel"/>
    <w:lvl w:ilvl="0">
      <w:start w:val="3"/>
      <w:numFmt w:val="decimal"/>
      <w:lvlText w:val="%1"/>
      <w:lvlJc w:val="left"/>
      <w:pPr>
        <w:ind w:left="430" w:hanging="301"/>
        <w:jc w:val="left"/>
      </w:pPr>
      <w:rPr>
        <w:rFonts w:hint="default"/>
      </w:rPr>
    </w:lvl>
    <w:lvl w:ilvl="1">
      <w:start w:val="1"/>
      <w:numFmt w:val="decimal"/>
      <w:lvlText w:val="%1.%2"/>
      <w:lvlJc w:val="left"/>
      <w:pPr>
        <w:ind w:left="430" w:hanging="301"/>
        <w:jc w:val="right"/>
      </w:pPr>
      <w:rPr>
        <w:rFonts w:hint="default" w:ascii="Times New Roman" w:hAnsi="Times New Roman" w:eastAsia="Times New Roman" w:cs="Times New Roman"/>
        <w:b/>
        <w:bCs/>
        <w:w w:val="100"/>
        <w:sz w:val="20"/>
        <w:szCs w:val="20"/>
      </w:rPr>
    </w:lvl>
    <w:lvl w:ilvl="2">
      <w:start w:val="1"/>
      <w:numFmt w:val="bullet"/>
      <w:lvlText w:val="•"/>
      <w:lvlJc w:val="left"/>
      <w:pPr>
        <w:ind w:left="1486" w:hanging="301"/>
      </w:pPr>
      <w:rPr>
        <w:rFonts w:hint="default"/>
      </w:rPr>
    </w:lvl>
    <w:lvl w:ilvl="3">
      <w:start w:val="1"/>
      <w:numFmt w:val="bullet"/>
      <w:lvlText w:val="•"/>
      <w:lvlJc w:val="left"/>
      <w:pPr>
        <w:ind w:left="2010" w:hanging="301"/>
      </w:pPr>
      <w:rPr>
        <w:rFonts w:hint="default"/>
      </w:rPr>
    </w:lvl>
    <w:lvl w:ilvl="4">
      <w:start w:val="1"/>
      <w:numFmt w:val="bullet"/>
      <w:lvlText w:val="•"/>
      <w:lvlJc w:val="left"/>
      <w:pPr>
        <w:ind w:left="2533" w:hanging="301"/>
      </w:pPr>
      <w:rPr>
        <w:rFonts w:hint="default"/>
      </w:rPr>
    </w:lvl>
    <w:lvl w:ilvl="5">
      <w:start w:val="1"/>
      <w:numFmt w:val="bullet"/>
      <w:lvlText w:val="•"/>
      <w:lvlJc w:val="left"/>
      <w:pPr>
        <w:ind w:left="3057" w:hanging="301"/>
      </w:pPr>
      <w:rPr>
        <w:rFonts w:hint="default"/>
      </w:rPr>
    </w:lvl>
    <w:lvl w:ilvl="6">
      <w:start w:val="1"/>
      <w:numFmt w:val="bullet"/>
      <w:lvlText w:val="•"/>
      <w:lvlJc w:val="left"/>
      <w:pPr>
        <w:ind w:left="3580" w:hanging="301"/>
      </w:pPr>
      <w:rPr>
        <w:rFonts w:hint="default"/>
      </w:rPr>
    </w:lvl>
    <w:lvl w:ilvl="7">
      <w:start w:val="1"/>
      <w:numFmt w:val="bullet"/>
      <w:lvlText w:val="•"/>
      <w:lvlJc w:val="left"/>
      <w:pPr>
        <w:ind w:left="4103" w:hanging="301"/>
      </w:pPr>
      <w:rPr>
        <w:rFonts w:hint="default"/>
      </w:rPr>
    </w:lvl>
    <w:lvl w:ilvl="8">
      <w:start w:val="1"/>
      <w:numFmt w:val="bullet"/>
      <w:lvlText w:val="•"/>
      <w:lvlJc w:val="left"/>
      <w:pPr>
        <w:ind w:left="4627" w:hanging="301"/>
      </w:pPr>
      <w:rPr>
        <w:rFonts w:hint="default"/>
      </w:rPr>
    </w:lvl>
  </w:abstractNum>
  <w:abstractNum w:abstractNumId="120">
    <w:multiLevelType w:val="hybridMultilevel"/>
    <w:lvl w:ilvl="0">
      <w:start w:val="2"/>
      <w:numFmt w:val="decimal"/>
      <w:lvlText w:val="%1"/>
      <w:lvlJc w:val="left"/>
      <w:pPr>
        <w:ind w:left="129" w:hanging="353"/>
        <w:jc w:val="left"/>
      </w:pPr>
      <w:rPr>
        <w:rFonts w:hint="default"/>
      </w:rPr>
    </w:lvl>
    <w:lvl w:ilvl="1">
      <w:start w:val="3"/>
      <w:numFmt w:val="decimal"/>
      <w:lvlText w:val="%1.%2"/>
      <w:lvlJc w:val="left"/>
      <w:pPr>
        <w:ind w:left="129" w:hanging="353"/>
        <w:jc w:val="left"/>
      </w:pPr>
      <w:rPr>
        <w:rFonts w:hint="default" w:ascii="Times New Roman" w:hAnsi="Times New Roman" w:eastAsia="Times New Roman" w:cs="Times New Roman"/>
        <w:b/>
        <w:bCs/>
        <w:w w:val="100"/>
        <w:sz w:val="20"/>
        <w:szCs w:val="20"/>
      </w:rPr>
    </w:lvl>
    <w:lvl w:ilvl="2">
      <w:start w:val="1"/>
      <w:numFmt w:val="bullet"/>
      <w:lvlText w:val="•"/>
      <w:lvlJc w:val="left"/>
      <w:pPr>
        <w:ind w:left="1230" w:hanging="353"/>
      </w:pPr>
      <w:rPr>
        <w:rFonts w:hint="default"/>
      </w:rPr>
    </w:lvl>
    <w:lvl w:ilvl="3">
      <w:start w:val="1"/>
      <w:numFmt w:val="bullet"/>
      <w:lvlText w:val="•"/>
      <w:lvlJc w:val="left"/>
      <w:pPr>
        <w:ind w:left="1786" w:hanging="353"/>
      </w:pPr>
      <w:rPr>
        <w:rFonts w:hint="default"/>
      </w:rPr>
    </w:lvl>
    <w:lvl w:ilvl="4">
      <w:start w:val="1"/>
      <w:numFmt w:val="bullet"/>
      <w:lvlText w:val="•"/>
      <w:lvlJc w:val="left"/>
      <w:pPr>
        <w:ind w:left="2341" w:hanging="353"/>
      </w:pPr>
      <w:rPr>
        <w:rFonts w:hint="default"/>
      </w:rPr>
    </w:lvl>
    <w:lvl w:ilvl="5">
      <w:start w:val="1"/>
      <w:numFmt w:val="bullet"/>
      <w:lvlText w:val="•"/>
      <w:lvlJc w:val="left"/>
      <w:pPr>
        <w:ind w:left="2897" w:hanging="353"/>
      </w:pPr>
      <w:rPr>
        <w:rFonts w:hint="default"/>
      </w:rPr>
    </w:lvl>
    <w:lvl w:ilvl="6">
      <w:start w:val="1"/>
      <w:numFmt w:val="bullet"/>
      <w:lvlText w:val="•"/>
      <w:lvlJc w:val="left"/>
      <w:pPr>
        <w:ind w:left="3452" w:hanging="353"/>
      </w:pPr>
      <w:rPr>
        <w:rFonts w:hint="default"/>
      </w:rPr>
    </w:lvl>
    <w:lvl w:ilvl="7">
      <w:start w:val="1"/>
      <w:numFmt w:val="bullet"/>
      <w:lvlText w:val="•"/>
      <w:lvlJc w:val="left"/>
      <w:pPr>
        <w:ind w:left="4007" w:hanging="353"/>
      </w:pPr>
      <w:rPr>
        <w:rFonts w:hint="default"/>
      </w:rPr>
    </w:lvl>
    <w:lvl w:ilvl="8">
      <w:start w:val="1"/>
      <w:numFmt w:val="bullet"/>
      <w:lvlText w:val="•"/>
      <w:lvlJc w:val="left"/>
      <w:pPr>
        <w:ind w:left="4563" w:hanging="353"/>
      </w:pPr>
      <w:rPr>
        <w:rFonts w:hint="default"/>
      </w:rPr>
    </w:lvl>
  </w:abstractNum>
  <w:abstractNum w:abstractNumId="119">
    <w:multiLevelType w:val="hybridMultilevel"/>
    <w:lvl w:ilvl="0">
      <w:start w:val="1"/>
      <w:numFmt w:val="decimal"/>
      <w:lvlText w:val="%1."/>
      <w:lvlJc w:val="left"/>
      <w:pPr>
        <w:ind w:left="472" w:hanging="202"/>
        <w:jc w:val="right"/>
      </w:pPr>
      <w:rPr>
        <w:rFonts w:hint="default" w:ascii="Times New Roman" w:hAnsi="Times New Roman" w:eastAsia="Times New Roman" w:cs="Times New Roman"/>
        <w:b/>
        <w:bCs/>
        <w:w w:val="100"/>
        <w:sz w:val="20"/>
        <w:szCs w:val="20"/>
      </w:rPr>
    </w:lvl>
    <w:lvl w:ilvl="1">
      <w:start w:val="1"/>
      <w:numFmt w:val="decimal"/>
      <w:lvlText w:val="%1.%2."/>
      <w:lvlJc w:val="left"/>
      <w:pPr>
        <w:ind w:left="621" w:hanging="351"/>
        <w:jc w:val="left"/>
      </w:pPr>
      <w:rPr>
        <w:rFonts w:hint="default" w:ascii="Times New Roman" w:hAnsi="Times New Roman" w:eastAsia="Times New Roman" w:cs="Times New Roman"/>
        <w:b/>
        <w:bCs/>
        <w:color w:val="202020"/>
        <w:spacing w:val="-1"/>
        <w:w w:val="100"/>
        <w:sz w:val="20"/>
        <w:szCs w:val="20"/>
      </w:rPr>
    </w:lvl>
    <w:lvl w:ilvl="2">
      <w:start w:val="1"/>
      <w:numFmt w:val="bullet"/>
      <w:lvlText w:val="•"/>
      <w:lvlJc w:val="left"/>
      <w:pPr>
        <w:ind w:left="1197" w:hanging="351"/>
      </w:pPr>
      <w:rPr>
        <w:rFonts w:hint="default"/>
      </w:rPr>
    </w:lvl>
    <w:lvl w:ilvl="3">
      <w:start w:val="1"/>
      <w:numFmt w:val="bullet"/>
      <w:lvlText w:val="•"/>
      <w:lvlJc w:val="left"/>
      <w:pPr>
        <w:ind w:left="1774" w:hanging="351"/>
      </w:pPr>
      <w:rPr>
        <w:rFonts w:hint="default"/>
      </w:rPr>
    </w:lvl>
    <w:lvl w:ilvl="4">
      <w:start w:val="1"/>
      <w:numFmt w:val="bullet"/>
      <w:lvlText w:val="•"/>
      <w:lvlJc w:val="left"/>
      <w:pPr>
        <w:ind w:left="2351" w:hanging="351"/>
      </w:pPr>
      <w:rPr>
        <w:rFonts w:hint="default"/>
      </w:rPr>
    </w:lvl>
    <w:lvl w:ilvl="5">
      <w:start w:val="1"/>
      <w:numFmt w:val="bullet"/>
      <w:lvlText w:val="•"/>
      <w:lvlJc w:val="left"/>
      <w:pPr>
        <w:ind w:left="2929" w:hanging="351"/>
      </w:pPr>
      <w:rPr>
        <w:rFonts w:hint="default"/>
      </w:rPr>
    </w:lvl>
    <w:lvl w:ilvl="6">
      <w:start w:val="1"/>
      <w:numFmt w:val="bullet"/>
      <w:lvlText w:val="•"/>
      <w:lvlJc w:val="left"/>
      <w:pPr>
        <w:ind w:left="3506" w:hanging="351"/>
      </w:pPr>
      <w:rPr>
        <w:rFonts w:hint="default"/>
      </w:rPr>
    </w:lvl>
    <w:lvl w:ilvl="7">
      <w:start w:val="1"/>
      <w:numFmt w:val="bullet"/>
      <w:lvlText w:val="•"/>
      <w:lvlJc w:val="left"/>
      <w:pPr>
        <w:ind w:left="4083" w:hanging="351"/>
      </w:pPr>
      <w:rPr>
        <w:rFonts w:hint="default"/>
      </w:rPr>
    </w:lvl>
    <w:lvl w:ilvl="8">
      <w:start w:val="1"/>
      <w:numFmt w:val="bullet"/>
      <w:lvlText w:val="•"/>
      <w:lvlJc w:val="left"/>
      <w:pPr>
        <w:ind w:left="4661" w:hanging="351"/>
      </w:pPr>
      <w:rPr>
        <w:rFonts w:hint="default"/>
      </w:rPr>
    </w:lvl>
  </w:abstractNum>
  <w:abstractNum w:abstractNumId="118">
    <w:multiLevelType w:val="hybridMultilevel"/>
    <w:lvl w:ilvl="0">
      <w:start w:val="1"/>
      <w:numFmt w:val="decimal"/>
      <w:lvlText w:val="%1."/>
      <w:lvlJc w:val="left"/>
      <w:pPr>
        <w:ind w:left="472" w:hanging="202"/>
        <w:jc w:val="left"/>
      </w:pPr>
      <w:rPr>
        <w:rFonts w:hint="default" w:ascii="Times New Roman" w:hAnsi="Times New Roman" w:eastAsia="Times New Roman" w:cs="Times New Roman"/>
        <w:b/>
        <w:bCs/>
        <w:w w:val="100"/>
        <w:sz w:val="20"/>
        <w:szCs w:val="20"/>
      </w:rPr>
    </w:lvl>
    <w:lvl w:ilvl="1">
      <w:start w:val="1"/>
      <w:numFmt w:val="decimal"/>
      <w:lvlText w:val="%1.%2"/>
      <w:lvlJc w:val="left"/>
      <w:pPr>
        <w:ind w:left="571" w:hanging="301"/>
        <w:jc w:val="left"/>
      </w:pPr>
      <w:rPr>
        <w:rFonts w:hint="default" w:ascii="Times New Roman" w:hAnsi="Times New Roman" w:eastAsia="Times New Roman" w:cs="Times New Roman"/>
        <w:b/>
        <w:bCs/>
        <w:w w:val="100"/>
        <w:sz w:val="20"/>
        <w:szCs w:val="20"/>
      </w:rPr>
    </w:lvl>
    <w:lvl w:ilvl="2">
      <w:start w:val="1"/>
      <w:numFmt w:val="bullet"/>
      <w:lvlText w:val="•"/>
      <w:lvlJc w:val="left"/>
      <w:pPr>
        <w:ind w:left="1161" w:hanging="301"/>
      </w:pPr>
      <w:rPr>
        <w:rFonts w:hint="default"/>
      </w:rPr>
    </w:lvl>
    <w:lvl w:ilvl="3">
      <w:start w:val="1"/>
      <w:numFmt w:val="bullet"/>
      <w:lvlText w:val="•"/>
      <w:lvlJc w:val="left"/>
      <w:pPr>
        <w:ind w:left="1743" w:hanging="301"/>
      </w:pPr>
      <w:rPr>
        <w:rFonts w:hint="default"/>
      </w:rPr>
    </w:lvl>
    <w:lvl w:ilvl="4">
      <w:start w:val="1"/>
      <w:numFmt w:val="bullet"/>
      <w:lvlText w:val="•"/>
      <w:lvlJc w:val="left"/>
      <w:pPr>
        <w:ind w:left="2325" w:hanging="301"/>
      </w:pPr>
      <w:rPr>
        <w:rFonts w:hint="default"/>
      </w:rPr>
    </w:lvl>
    <w:lvl w:ilvl="5">
      <w:start w:val="1"/>
      <w:numFmt w:val="bullet"/>
      <w:lvlText w:val="•"/>
      <w:lvlJc w:val="left"/>
      <w:pPr>
        <w:ind w:left="2906" w:hanging="301"/>
      </w:pPr>
      <w:rPr>
        <w:rFonts w:hint="default"/>
      </w:rPr>
    </w:lvl>
    <w:lvl w:ilvl="6">
      <w:start w:val="1"/>
      <w:numFmt w:val="bullet"/>
      <w:lvlText w:val="•"/>
      <w:lvlJc w:val="left"/>
      <w:pPr>
        <w:ind w:left="3488" w:hanging="301"/>
      </w:pPr>
      <w:rPr>
        <w:rFonts w:hint="default"/>
      </w:rPr>
    </w:lvl>
    <w:lvl w:ilvl="7">
      <w:start w:val="1"/>
      <w:numFmt w:val="bullet"/>
      <w:lvlText w:val="•"/>
      <w:lvlJc w:val="left"/>
      <w:pPr>
        <w:ind w:left="4070" w:hanging="301"/>
      </w:pPr>
      <w:rPr>
        <w:rFonts w:hint="default"/>
      </w:rPr>
    </w:lvl>
    <w:lvl w:ilvl="8">
      <w:start w:val="1"/>
      <w:numFmt w:val="bullet"/>
      <w:lvlText w:val="•"/>
      <w:lvlJc w:val="left"/>
      <w:pPr>
        <w:ind w:left="4652" w:hanging="301"/>
      </w:pPr>
      <w:rPr>
        <w:rFonts w:hint="default"/>
      </w:rPr>
    </w:lvl>
  </w:abstractNum>
  <w:abstractNum w:abstractNumId="117">
    <w:multiLevelType w:val="hybridMultilevel"/>
    <w:lvl w:ilvl="0">
      <w:start w:val="3"/>
      <w:numFmt w:val="decimal"/>
      <w:lvlText w:val="%1"/>
      <w:lvlJc w:val="left"/>
      <w:pPr>
        <w:ind w:left="571" w:hanging="301"/>
        <w:jc w:val="left"/>
      </w:pPr>
      <w:rPr>
        <w:rFonts w:hint="default"/>
      </w:rPr>
    </w:lvl>
    <w:lvl w:ilvl="1">
      <w:start w:val="1"/>
      <w:numFmt w:val="decimal"/>
      <w:lvlText w:val="%1.%2"/>
      <w:lvlJc w:val="left"/>
      <w:pPr>
        <w:ind w:left="571" w:hanging="301"/>
        <w:jc w:val="left"/>
      </w:pPr>
      <w:rPr>
        <w:rFonts w:hint="default" w:ascii="Times New Roman" w:hAnsi="Times New Roman" w:eastAsia="Times New Roman" w:cs="Times New Roman"/>
        <w:b/>
        <w:bCs/>
        <w:spacing w:val="-1"/>
        <w:w w:val="100"/>
        <w:sz w:val="20"/>
        <w:szCs w:val="20"/>
      </w:rPr>
    </w:lvl>
    <w:lvl w:ilvl="2">
      <w:start w:val="1"/>
      <w:numFmt w:val="bullet"/>
      <w:lvlText w:val="•"/>
      <w:lvlJc w:val="left"/>
      <w:pPr>
        <w:ind w:left="1502" w:hanging="301"/>
      </w:pPr>
      <w:rPr>
        <w:rFonts w:hint="default"/>
      </w:rPr>
    </w:lvl>
    <w:lvl w:ilvl="3">
      <w:start w:val="1"/>
      <w:numFmt w:val="bullet"/>
      <w:lvlText w:val="•"/>
      <w:lvlJc w:val="left"/>
      <w:pPr>
        <w:ind w:left="1963" w:hanging="301"/>
      </w:pPr>
      <w:rPr>
        <w:rFonts w:hint="default"/>
      </w:rPr>
    </w:lvl>
    <w:lvl w:ilvl="4">
      <w:start w:val="1"/>
      <w:numFmt w:val="bullet"/>
      <w:lvlText w:val="•"/>
      <w:lvlJc w:val="left"/>
      <w:pPr>
        <w:ind w:left="2424" w:hanging="301"/>
      </w:pPr>
      <w:rPr>
        <w:rFonts w:hint="default"/>
      </w:rPr>
    </w:lvl>
    <w:lvl w:ilvl="5">
      <w:start w:val="1"/>
      <w:numFmt w:val="bullet"/>
      <w:lvlText w:val="•"/>
      <w:lvlJc w:val="left"/>
      <w:pPr>
        <w:ind w:left="2885" w:hanging="301"/>
      </w:pPr>
      <w:rPr>
        <w:rFonts w:hint="default"/>
      </w:rPr>
    </w:lvl>
    <w:lvl w:ilvl="6">
      <w:start w:val="1"/>
      <w:numFmt w:val="bullet"/>
      <w:lvlText w:val="•"/>
      <w:lvlJc w:val="left"/>
      <w:pPr>
        <w:ind w:left="3346" w:hanging="301"/>
      </w:pPr>
      <w:rPr>
        <w:rFonts w:hint="default"/>
      </w:rPr>
    </w:lvl>
    <w:lvl w:ilvl="7">
      <w:start w:val="1"/>
      <w:numFmt w:val="bullet"/>
      <w:lvlText w:val="•"/>
      <w:lvlJc w:val="left"/>
      <w:pPr>
        <w:ind w:left="3807" w:hanging="301"/>
      </w:pPr>
      <w:rPr>
        <w:rFonts w:hint="default"/>
      </w:rPr>
    </w:lvl>
    <w:lvl w:ilvl="8">
      <w:start w:val="1"/>
      <w:numFmt w:val="bullet"/>
      <w:lvlText w:val="•"/>
      <w:lvlJc w:val="left"/>
      <w:pPr>
        <w:ind w:left="4268" w:hanging="301"/>
      </w:pPr>
      <w:rPr>
        <w:rFonts w:hint="default"/>
      </w:rPr>
    </w:lvl>
  </w:abstractNum>
  <w:abstractNum w:abstractNumId="116">
    <w:multiLevelType w:val="hybridMultilevel"/>
    <w:lvl w:ilvl="0">
      <w:start w:val="1"/>
      <w:numFmt w:val="decimal"/>
      <w:lvlText w:val="%1."/>
      <w:lvlJc w:val="left"/>
      <w:pPr>
        <w:ind w:left="472" w:hanging="202"/>
        <w:jc w:val="left"/>
      </w:pPr>
      <w:rPr>
        <w:rFonts w:hint="default" w:ascii="Times New Roman" w:hAnsi="Times New Roman" w:eastAsia="Times New Roman" w:cs="Times New Roman"/>
        <w:b/>
        <w:bCs/>
        <w:w w:val="100"/>
        <w:sz w:val="20"/>
        <w:szCs w:val="20"/>
      </w:rPr>
    </w:lvl>
    <w:lvl w:ilvl="1">
      <w:start w:val="1"/>
      <w:numFmt w:val="decimal"/>
      <w:lvlText w:val="%1.%2"/>
      <w:lvlJc w:val="left"/>
      <w:pPr>
        <w:ind w:left="620" w:hanging="350"/>
        <w:jc w:val="left"/>
      </w:pPr>
      <w:rPr>
        <w:rFonts w:hint="default" w:ascii="Times New Roman" w:hAnsi="Times New Roman" w:eastAsia="Times New Roman" w:cs="Times New Roman"/>
        <w:b/>
        <w:bCs/>
        <w:spacing w:val="-1"/>
        <w:w w:val="100"/>
        <w:sz w:val="20"/>
        <w:szCs w:val="20"/>
      </w:rPr>
    </w:lvl>
    <w:lvl w:ilvl="2">
      <w:start w:val="1"/>
      <w:numFmt w:val="bullet"/>
      <w:lvlText w:val="•"/>
      <w:lvlJc w:val="left"/>
      <w:pPr>
        <w:ind w:left="502" w:hanging="350"/>
      </w:pPr>
      <w:rPr>
        <w:rFonts w:hint="default"/>
      </w:rPr>
    </w:lvl>
    <w:lvl w:ilvl="3">
      <w:start w:val="1"/>
      <w:numFmt w:val="bullet"/>
      <w:lvlText w:val="•"/>
      <w:lvlJc w:val="left"/>
      <w:pPr>
        <w:ind w:left="385" w:hanging="350"/>
      </w:pPr>
      <w:rPr>
        <w:rFonts w:hint="default"/>
      </w:rPr>
    </w:lvl>
    <w:lvl w:ilvl="4">
      <w:start w:val="1"/>
      <w:numFmt w:val="bullet"/>
      <w:lvlText w:val="•"/>
      <w:lvlJc w:val="left"/>
      <w:pPr>
        <w:ind w:left="268" w:hanging="350"/>
      </w:pPr>
      <w:rPr>
        <w:rFonts w:hint="default"/>
      </w:rPr>
    </w:lvl>
    <w:lvl w:ilvl="5">
      <w:start w:val="1"/>
      <w:numFmt w:val="bullet"/>
      <w:lvlText w:val="•"/>
      <w:lvlJc w:val="left"/>
      <w:pPr>
        <w:ind w:left="151" w:hanging="350"/>
      </w:pPr>
      <w:rPr>
        <w:rFonts w:hint="default"/>
      </w:rPr>
    </w:lvl>
    <w:lvl w:ilvl="6">
      <w:start w:val="1"/>
      <w:numFmt w:val="bullet"/>
      <w:lvlText w:val="•"/>
      <w:lvlJc w:val="left"/>
      <w:pPr>
        <w:ind w:left="34" w:hanging="350"/>
      </w:pPr>
      <w:rPr>
        <w:rFonts w:hint="default"/>
      </w:rPr>
    </w:lvl>
    <w:lvl w:ilvl="7">
      <w:start w:val="1"/>
      <w:numFmt w:val="bullet"/>
      <w:lvlText w:val="•"/>
      <w:lvlJc w:val="left"/>
      <w:pPr>
        <w:ind w:left="-83" w:hanging="350"/>
      </w:pPr>
      <w:rPr>
        <w:rFonts w:hint="default"/>
      </w:rPr>
    </w:lvl>
    <w:lvl w:ilvl="8">
      <w:start w:val="1"/>
      <w:numFmt w:val="bullet"/>
      <w:lvlText w:val="•"/>
      <w:lvlJc w:val="left"/>
      <w:pPr>
        <w:ind w:left="-201" w:hanging="350"/>
      </w:pPr>
      <w:rPr>
        <w:rFonts w:hint="default"/>
      </w:rPr>
    </w:lvl>
  </w:abstractNum>
  <w:abstractNum w:abstractNumId="115">
    <w:multiLevelType w:val="hybridMultilevel"/>
    <w:lvl w:ilvl="0">
      <w:start w:val="1"/>
      <w:numFmt w:val="decimal"/>
      <w:lvlText w:val="%1"/>
      <w:lvlJc w:val="left"/>
      <w:pPr>
        <w:ind w:left="270" w:hanging="317"/>
        <w:jc w:val="left"/>
      </w:pPr>
      <w:rPr>
        <w:rFonts w:hint="default" w:ascii="Times New Roman" w:hAnsi="Times New Roman" w:eastAsia="Times New Roman" w:cs="Times New Roman"/>
        <w:w w:val="100"/>
        <w:sz w:val="20"/>
        <w:szCs w:val="20"/>
      </w:rPr>
    </w:lvl>
    <w:lvl w:ilvl="1">
      <w:start w:val="1"/>
      <w:numFmt w:val="bullet"/>
      <w:lvlText w:val="•"/>
      <w:lvlJc w:val="left"/>
      <w:pPr>
        <w:ind w:left="771" w:hanging="317"/>
      </w:pPr>
      <w:rPr>
        <w:rFonts w:hint="default"/>
      </w:rPr>
    </w:lvl>
    <w:lvl w:ilvl="2">
      <w:start w:val="1"/>
      <w:numFmt w:val="bullet"/>
      <w:lvlText w:val="•"/>
      <w:lvlJc w:val="left"/>
      <w:pPr>
        <w:ind w:left="1262" w:hanging="317"/>
      </w:pPr>
      <w:rPr>
        <w:rFonts w:hint="default"/>
      </w:rPr>
    </w:lvl>
    <w:lvl w:ilvl="3">
      <w:start w:val="1"/>
      <w:numFmt w:val="bullet"/>
      <w:lvlText w:val="•"/>
      <w:lvlJc w:val="left"/>
      <w:pPr>
        <w:ind w:left="1753" w:hanging="317"/>
      </w:pPr>
      <w:rPr>
        <w:rFonts w:hint="default"/>
      </w:rPr>
    </w:lvl>
    <w:lvl w:ilvl="4">
      <w:start w:val="1"/>
      <w:numFmt w:val="bullet"/>
      <w:lvlText w:val="•"/>
      <w:lvlJc w:val="left"/>
      <w:pPr>
        <w:ind w:left="2244" w:hanging="317"/>
      </w:pPr>
      <w:rPr>
        <w:rFonts w:hint="default"/>
      </w:rPr>
    </w:lvl>
    <w:lvl w:ilvl="5">
      <w:start w:val="1"/>
      <w:numFmt w:val="bullet"/>
      <w:lvlText w:val="•"/>
      <w:lvlJc w:val="left"/>
      <w:pPr>
        <w:ind w:left="2735" w:hanging="317"/>
      </w:pPr>
      <w:rPr>
        <w:rFonts w:hint="default"/>
      </w:rPr>
    </w:lvl>
    <w:lvl w:ilvl="6">
      <w:start w:val="1"/>
      <w:numFmt w:val="bullet"/>
      <w:lvlText w:val="•"/>
      <w:lvlJc w:val="left"/>
      <w:pPr>
        <w:ind w:left="3226" w:hanging="317"/>
      </w:pPr>
      <w:rPr>
        <w:rFonts w:hint="default"/>
      </w:rPr>
    </w:lvl>
    <w:lvl w:ilvl="7">
      <w:start w:val="1"/>
      <w:numFmt w:val="bullet"/>
      <w:lvlText w:val="•"/>
      <w:lvlJc w:val="left"/>
      <w:pPr>
        <w:ind w:left="3718" w:hanging="317"/>
      </w:pPr>
      <w:rPr>
        <w:rFonts w:hint="default"/>
      </w:rPr>
    </w:lvl>
    <w:lvl w:ilvl="8">
      <w:start w:val="1"/>
      <w:numFmt w:val="bullet"/>
      <w:lvlText w:val="•"/>
      <w:lvlJc w:val="left"/>
      <w:pPr>
        <w:ind w:left="4209" w:hanging="317"/>
      </w:pPr>
      <w:rPr>
        <w:rFonts w:hint="default"/>
      </w:rPr>
    </w:lvl>
  </w:abstractNum>
  <w:abstractNum w:abstractNumId="114">
    <w:multiLevelType w:val="hybridMultilevel"/>
    <w:lvl w:ilvl="0">
      <w:start w:val="1"/>
      <w:numFmt w:val="bullet"/>
      <w:lvlText w:val=""/>
      <w:lvlJc w:val="left"/>
      <w:pPr>
        <w:ind w:left="696" w:hanging="360"/>
      </w:pPr>
      <w:rPr>
        <w:rFonts w:hint="default" w:ascii="Symbol" w:hAnsi="Symbol" w:eastAsia="Symbol" w:cs="Symbol"/>
        <w:w w:val="99"/>
        <w:sz w:val="20"/>
        <w:szCs w:val="20"/>
      </w:rPr>
    </w:lvl>
    <w:lvl w:ilvl="1">
      <w:start w:val="1"/>
      <w:numFmt w:val="bullet"/>
      <w:lvlText w:val="•"/>
      <w:lvlJc w:val="left"/>
      <w:pPr>
        <w:ind w:left="1211" w:hanging="360"/>
      </w:pPr>
      <w:rPr>
        <w:rFonts w:hint="default"/>
      </w:rPr>
    </w:lvl>
    <w:lvl w:ilvl="2">
      <w:start w:val="1"/>
      <w:numFmt w:val="bullet"/>
      <w:lvlText w:val="•"/>
      <w:lvlJc w:val="left"/>
      <w:pPr>
        <w:ind w:left="1723" w:hanging="360"/>
      </w:pPr>
      <w:rPr>
        <w:rFonts w:hint="default"/>
      </w:rPr>
    </w:lvl>
    <w:lvl w:ilvl="3">
      <w:start w:val="1"/>
      <w:numFmt w:val="bullet"/>
      <w:lvlText w:val="•"/>
      <w:lvlJc w:val="left"/>
      <w:pPr>
        <w:ind w:left="2234" w:hanging="360"/>
      </w:pPr>
      <w:rPr>
        <w:rFonts w:hint="default"/>
      </w:rPr>
    </w:lvl>
    <w:lvl w:ilvl="4">
      <w:start w:val="1"/>
      <w:numFmt w:val="bullet"/>
      <w:lvlText w:val="•"/>
      <w:lvlJc w:val="left"/>
      <w:pPr>
        <w:ind w:left="2746" w:hanging="360"/>
      </w:pPr>
      <w:rPr>
        <w:rFonts w:hint="default"/>
      </w:rPr>
    </w:lvl>
    <w:lvl w:ilvl="5">
      <w:start w:val="1"/>
      <w:numFmt w:val="bullet"/>
      <w:lvlText w:val="•"/>
      <w:lvlJc w:val="left"/>
      <w:pPr>
        <w:ind w:left="3257" w:hanging="360"/>
      </w:pPr>
      <w:rPr>
        <w:rFonts w:hint="default"/>
      </w:rPr>
    </w:lvl>
    <w:lvl w:ilvl="6">
      <w:start w:val="1"/>
      <w:numFmt w:val="bullet"/>
      <w:lvlText w:val="•"/>
      <w:lvlJc w:val="left"/>
      <w:pPr>
        <w:ind w:left="3769" w:hanging="360"/>
      </w:pPr>
      <w:rPr>
        <w:rFonts w:hint="default"/>
      </w:rPr>
    </w:lvl>
    <w:lvl w:ilvl="7">
      <w:start w:val="1"/>
      <w:numFmt w:val="bullet"/>
      <w:lvlText w:val="•"/>
      <w:lvlJc w:val="left"/>
      <w:pPr>
        <w:ind w:left="4280" w:hanging="360"/>
      </w:pPr>
      <w:rPr>
        <w:rFonts w:hint="default"/>
      </w:rPr>
    </w:lvl>
    <w:lvl w:ilvl="8">
      <w:start w:val="1"/>
      <w:numFmt w:val="bullet"/>
      <w:lvlText w:val="•"/>
      <w:lvlJc w:val="left"/>
      <w:pPr>
        <w:ind w:left="4792" w:hanging="360"/>
      </w:pPr>
      <w:rPr>
        <w:rFonts w:hint="default"/>
      </w:rPr>
    </w:lvl>
  </w:abstractNum>
  <w:abstractNum w:abstractNumId="113">
    <w:multiLevelType w:val="hybridMultilevel"/>
    <w:lvl w:ilvl="0">
      <w:start w:val="1"/>
      <w:numFmt w:val="bullet"/>
      <w:lvlText w:val=""/>
      <w:lvlJc w:val="left"/>
      <w:pPr>
        <w:ind w:left="696" w:hanging="360"/>
      </w:pPr>
      <w:rPr>
        <w:rFonts w:hint="default" w:ascii="Symbol" w:hAnsi="Symbol" w:eastAsia="Symbol" w:cs="Symbol"/>
        <w:w w:val="99"/>
        <w:sz w:val="20"/>
        <w:szCs w:val="20"/>
      </w:rPr>
    </w:lvl>
    <w:lvl w:ilvl="1">
      <w:start w:val="1"/>
      <w:numFmt w:val="bullet"/>
      <w:lvlText w:val="•"/>
      <w:lvlJc w:val="left"/>
      <w:pPr>
        <w:ind w:left="1211" w:hanging="360"/>
      </w:pPr>
      <w:rPr>
        <w:rFonts w:hint="default"/>
      </w:rPr>
    </w:lvl>
    <w:lvl w:ilvl="2">
      <w:start w:val="1"/>
      <w:numFmt w:val="bullet"/>
      <w:lvlText w:val="•"/>
      <w:lvlJc w:val="left"/>
      <w:pPr>
        <w:ind w:left="1723" w:hanging="360"/>
      </w:pPr>
      <w:rPr>
        <w:rFonts w:hint="default"/>
      </w:rPr>
    </w:lvl>
    <w:lvl w:ilvl="3">
      <w:start w:val="1"/>
      <w:numFmt w:val="bullet"/>
      <w:lvlText w:val="•"/>
      <w:lvlJc w:val="left"/>
      <w:pPr>
        <w:ind w:left="2234" w:hanging="360"/>
      </w:pPr>
      <w:rPr>
        <w:rFonts w:hint="default"/>
      </w:rPr>
    </w:lvl>
    <w:lvl w:ilvl="4">
      <w:start w:val="1"/>
      <w:numFmt w:val="bullet"/>
      <w:lvlText w:val="•"/>
      <w:lvlJc w:val="left"/>
      <w:pPr>
        <w:ind w:left="2746" w:hanging="360"/>
      </w:pPr>
      <w:rPr>
        <w:rFonts w:hint="default"/>
      </w:rPr>
    </w:lvl>
    <w:lvl w:ilvl="5">
      <w:start w:val="1"/>
      <w:numFmt w:val="bullet"/>
      <w:lvlText w:val="•"/>
      <w:lvlJc w:val="left"/>
      <w:pPr>
        <w:ind w:left="3257" w:hanging="360"/>
      </w:pPr>
      <w:rPr>
        <w:rFonts w:hint="default"/>
      </w:rPr>
    </w:lvl>
    <w:lvl w:ilvl="6">
      <w:start w:val="1"/>
      <w:numFmt w:val="bullet"/>
      <w:lvlText w:val="•"/>
      <w:lvlJc w:val="left"/>
      <w:pPr>
        <w:ind w:left="3769" w:hanging="360"/>
      </w:pPr>
      <w:rPr>
        <w:rFonts w:hint="default"/>
      </w:rPr>
    </w:lvl>
    <w:lvl w:ilvl="7">
      <w:start w:val="1"/>
      <w:numFmt w:val="bullet"/>
      <w:lvlText w:val="•"/>
      <w:lvlJc w:val="left"/>
      <w:pPr>
        <w:ind w:left="4280" w:hanging="360"/>
      </w:pPr>
      <w:rPr>
        <w:rFonts w:hint="default"/>
      </w:rPr>
    </w:lvl>
    <w:lvl w:ilvl="8">
      <w:start w:val="1"/>
      <w:numFmt w:val="bullet"/>
      <w:lvlText w:val="•"/>
      <w:lvlJc w:val="left"/>
      <w:pPr>
        <w:ind w:left="4792" w:hanging="360"/>
      </w:pPr>
      <w:rPr>
        <w:rFonts w:hint="default"/>
      </w:rPr>
    </w:lvl>
  </w:abstractNum>
  <w:abstractNum w:abstractNumId="112">
    <w:multiLevelType w:val="hybridMultilevel"/>
    <w:lvl w:ilvl="0">
      <w:start w:val="2"/>
      <w:numFmt w:val="decimal"/>
      <w:lvlText w:val="%1."/>
      <w:lvlJc w:val="left"/>
      <w:pPr>
        <w:ind w:left="471" w:hanging="201"/>
        <w:jc w:val="left"/>
      </w:pPr>
      <w:rPr>
        <w:rFonts w:hint="default" w:ascii="Times New Roman" w:hAnsi="Times New Roman" w:eastAsia="Times New Roman" w:cs="Times New Roman"/>
        <w:b/>
        <w:bCs/>
        <w:w w:val="100"/>
        <w:sz w:val="20"/>
        <w:szCs w:val="20"/>
      </w:rPr>
    </w:lvl>
    <w:lvl w:ilvl="1">
      <w:start w:val="1"/>
      <w:numFmt w:val="decimal"/>
      <w:lvlText w:val="%1.%2"/>
      <w:lvlJc w:val="left"/>
      <w:pPr>
        <w:ind w:left="570" w:hanging="300"/>
        <w:jc w:val="left"/>
      </w:pPr>
      <w:rPr>
        <w:rFonts w:hint="default" w:ascii="Times New Roman" w:hAnsi="Times New Roman" w:eastAsia="Times New Roman" w:cs="Times New Roman"/>
        <w:b/>
        <w:bCs/>
        <w:w w:val="100"/>
        <w:sz w:val="20"/>
        <w:szCs w:val="20"/>
      </w:rPr>
    </w:lvl>
    <w:lvl w:ilvl="2">
      <w:start w:val="1"/>
      <w:numFmt w:val="bullet"/>
      <w:lvlText w:val="•"/>
      <w:lvlJc w:val="left"/>
      <w:pPr>
        <w:ind w:left="467" w:hanging="300"/>
      </w:pPr>
      <w:rPr>
        <w:rFonts w:hint="default"/>
      </w:rPr>
    </w:lvl>
    <w:lvl w:ilvl="3">
      <w:start w:val="1"/>
      <w:numFmt w:val="bullet"/>
      <w:lvlText w:val="•"/>
      <w:lvlJc w:val="left"/>
      <w:pPr>
        <w:ind w:left="354" w:hanging="300"/>
      </w:pPr>
      <w:rPr>
        <w:rFonts w:hint="default"/>
      </w:rPr>
    </w:lvl>
    <w:lvl w:ilvl="4">
      <w:start w:val="1"/>
      <w:numFmt w:val="bullet"/>
      <w:lvlText w:val="•"/>
      <w:lvlJc w:val="left"/>
      <w:pPr>
        <w:ind w:left="241" w:hanging="300"/>
      </w:pPr>
      <w:rPr>
        <w:rFonts w:hint="default"/>
      </w:rPr>
    </w:lvl>
    <w:lvl w:ilvl="5">
      <w:start w:val="1"/>
      <w:numFmt w:val="bullet"/>
      <w:lvlText w:val="•"/>
      <w:lvlJc w:val="left"/>
      <w:pPr>
        <w:ind w:left="128" w:hanging="300"/>
      </w:pPr>
      <w:rPr>
        <w:rFonts w:hint="default"/>
      </w:rPr>
    </w:lvl>
    <w:lvl w:ilvl="6">
      <w:start w:val="1"/>
      <w:numFmt w:val="bullet"/>
      <w:lvlText w:val="•"/>
      <w:lvlJc w:val="left"/>
      <w:pPr>
        <w:ind w:left="16" w:hanging="300"/>
      </w:pPr>
      <w:rPr>
        <w:rFonts w:hint="default"/>
      </w:rPr>
    </w:lvl>
    <w:lvl w:ilvl="7">
      <w:start w:val="1"/>
      <w:numFmt w:val="bullet"/>
      <w:lvlText w:val="•"/>
      <w:lvlJc w:val="left"/>
      <w:pPr>
        <w:ind w:left="-97" w:hanging="300"/>
      </w:pPr>
      <w:rPr>
        <w:rFonts w:hint="default"/>
      </w:rPr>
    </w:lvl>
    <w:lvl w:ilvl="8">
      <w:start w:val="1"/>
      <w:numFmt w:val="bullet"/>
      <w:lvlText w:val="•"/>
      <w:lvlJc w:val="left"/>
      <w:pPr>
        <w:ind w:left="-210" w:hanging="300"/>
      </w:pPr>
      <w:rPr>
        <w:rFonts w:hint="default"/>
      </w:rPr>
    </w:lvl>
  </w:abstractNum>
  <w:abstractNum w:abstractNumId="111">
    <w:multiLevelType w:val="hybridMultilevel"/>
    <w:lvl w:ilvl="0">
      <w:start w:val="1"/>
      <w:numFmt w:val="decimal"/>
      <w:lvlText w:val="%1."/>
      <w:lvlJc w:val="left"/>
      <w:pPr>
        <w:ind w:left="346" w:hanging="201"/>
        <w:jc w:val="left"/>
      </w:pPr>
      <w:rPr>
        <w:rFonts w:hint="default" w:ascii="Times New Roman" w:hAnsi="Times New Roman" w:eastAsia="Times New Roman" w:cs="Times New Roman"/>
        <w:w w:val="100"/>
        <w:sz w:val="20"/>
        <w:szCs w:val="20"/>
      </w:rPr>
    </w:lvl>
    <w:lvl w:ilvl="1">
      <w:start w:val="1"/>
      <w:numFmt w:val="bullet"/>
      <w:lvlText w:val="•"/>
      <w:lvlJc w:val="left"/>
      <w:pPr>
        <w:ind w:left="895" w:hanging="201"/>
      </w:pPr>
      <w:rPr>
        <w:rFonts w:hint="default"/>
      </w:rPr>
    </w:lvl>
    <w:lvl w:ilvl="2">
      <w:start w:val="1"/>
      <w:numFmt w:val="bullet"/>
      <w:lvlText w:val="•"/>
      <w:lvlJc w:val="left"/>
      <w:pPr>
        <w:ind w:left="1450" w:hanging="201"/>
      </w:pPr>
      <w:rPr>
        <w:rFonts w:hint="default"/>
      </w:rPr>
    </w:lvl>
    <w:lvl w:ilvl="3">
      <w:start w:val="1"/>
      <w:numFmt w:val="bullet"/>
      <w:lvlText w:val="•"/>
      <w:lvlJc w:val="left"/>
      <w:pPr>
        <w:ind w:left="2005" w:hanging="201"/>
      </w:pPr>
      <w:rPr>
        <w:rFonts w:hint="default"/>
      </w:rPr>
    </w:lvl>
    <w:lvl w:ilvl="4">
      <w:start w:val="1"/>
      <w:numFmt w:val="bullet"/>
      <w:lvlText w:val="•"/>
      <w:lvlJc w:val="left"/>
      <w:pPr>
        <w:ind w:left="2560" w:hanging="201"/>
      </w:pPr>
      <w:rPr>
        <w:rFonts w:hint="default"/>
      </w:rPr>
    </w:lvl>
    <w:lvl w:ilvl="5">
      <w:start w:val="1"/>
      <w:numFmt w:val="bullet"/>
      <w:lvlText w:val="•"/>
      <w:lvlJc w:val="left"/>
      <w:pPr>
        <w:ind w:left="3115" w:hanging="201"/>
      </w:pPr>
      <w:rPr>
        <w:rFonts w:hint="default"/>
      </w:rPr>
    </w:lvl>
    <w:lvl w:ilvl="6">
      <w:start w:val="1"/>
      <w:numFmt w:val="bullet"/>
      <w:lvlText w:val="•"/>
      <w:lvlJc w:val="left"/>
      <w:pPr>
        <w:ind w:left="3670" w:hanging="201"/>
      </w:pPr>
      <w:rPr>
        <w:rFonts w:hint="default"/>
      </w:rPr>
    </w:lvl>
    <w:lvl w:ilvl="7">
      <w:start w:val="1"/>
      <w:numFmt w:val="bullet"/>
      <w:lvlText w:val="•"/>
      <w:lvlJc w:val="left"/>
      <w:pPr>
        <w:ind w:left="4225" w:hanging="201"/>
      </w:pPr>
      <w:rPr>
        <w:rFonts w:hint="default"/>
      </w:rPr>
    </w:lvl>
    <w:lvl w:ilvl="8">
      <w:start w:val="1"/>
      <w:numFmt w:val="bullet"/>
      <w:lvlText w:val="•"/>
      <w:lvlJc w:val="left"/>
      <w:pPr>
        <w:ind w:left="4780" w:hanging="201"/>
      </w:pPr>
      <w:rPr>
        <w:rFonts w:hint="default"/>
      </w:rPr>
    </w:lvl>
  </w:abstractNum>
  <w:abstractNum w:abstractNumId="110">
    <w:multiLevelType w:val="hybridMultilevel"/>
    <w:lvl w:ilvl="0">
      <w:start w:val="1"/>
      <w:numFmt w:val="decimal"/>
      <w:lvlText w:val="%1"/>
      <w:lvlJc w:val="left"/>
      <w:pPr>
        <w:ind w:left="571" w:hanging="301"/>
        <w:jc w:val="left"/>
      </w:pPr>
      <w:rPr>
        <w:rFonts w:hint="default"/>
      </w:rPr>
    </w:lvl>
    <w:lvl w:ilvl="1">
      <w:start w:val="1"/>
      <w:numFmt w:val="decimal"/>
      <w:lvlText w:val="%1.%2"/>
      <w:lvlJc w:val="left"/>
      <w:pPr>
        <w:ind w:left="571" w:hanging="301"/>
        <w:jc w:val="right"/>
      </w:pPr>
      <w:rPr>
        <w:rFonts w:hint="default" w:ascii="Times New Roman" w:hAnsi="Times New Roman" w:eastAsia="Times New Roman" w:cs="Times New Roman"/>
        <w:b/>
        <w:bCs/>
        <w:spacing w:val="-1"/>
        <w:w w:val="100"/>
        <w:sz w:val="20"/>
        <w:szCs w:val="20"/>
      </w:rPr>
    </w:lvl>
    <w:lvl w:ilvl="2">
      <w:start w:val="1"/>
      <w:numFmt w:val="bullet"/>
      <w:lvlText w:val="•"/>
      <w:lvlJc w:val="left"/>
      <w:pPr>
        <w:ind w:left="671" w:hanging="301"/>
      </w:pPr>
      <w:rPr>
        <w:rFonts w:hint="default"/>
      </w:rPr>
    </w:lvl>
    <w:lvl w:ilvl="3">
      <w:start w:val="1"/>
      <w:numFmt w:val="bullet"/>
      <w:lvlText w:val="•"/>
      <w:lvlJc w:val="left"/>
      <w:pPr>
        <w:ind w:left="542" w:hanging="301"/>
      </w:pPr>
      <w:rPr>
        <w:rFonts w:hint="default"/>
      </w:rPr>
    </w:lvl>
    <w:lvl w:ilvl="4">
      <w:start w:val="1"/>
      <w:numFmt w:val="bullet"/>
      <w:lvlText w:val="•"/>
      <w:lvlJc w:val="left"/>
      <w:pPr>
        <w:ind w:left="413" w:hanging="301"/>
      </w:pPr>
      <w:rPr>
        <w:rFonts w:hint="default"/>
      </w:rPr>
    </w:lvl>
    <w:lvl w:ilvl="5">
      <w:start w:val="1"/>
      <w:numFmt w:val="bullet"/>
      <w:lvlText w:val="•"/>
      <w:lvlJc w:val="left"/>
      <w:pPr>
        <w:ind w:left="284" w:hanging="301"/>
      </w:pPr>
      <w:rPr>
        <w:rFonts w:hint="default"/>
      </w:rPr>
    </w:lvl>
    <w:lvl w:ilvl="6">
      <w:start w:val="1"/>
      <w:numFmt w:val="bullet"/>
      <w:lvlText w:val="•"/>
      <w:lvlJc w:val="left"/>
      <w:pPr>
        <w:ind w:left="155" w:hanging="301"/>
      </w:pPr>
      <w:rPr>
        <w:rFonts w:hint="default"/>
      </w:rPr>
    </w:lvl>
    <w:lvl w:ilvl="7">
      <w:start w:val="1"/>
      <w:numFmt w:val="bullet"/>
      <w:lvlText w:val="•"/>
      <w:lvlJc w:val="left"/>
      <w:pPr>
        <w:ind w:left="26" w:hanging="301"/>
      </w:pPr>
      <w:rPr>
        <w:rFonts w:hint="default"/>
      </w:rPr>
    </w:lvl>
    <w:lvl w:ilvl="8">
      <w:start w:val="1"/>
      <w:numFmt w:val="bullet"/>
      <w:lvlText w:val="•"/>
      <w:lvlJc w:val="left"/>
      <w:pPr>
        <w:ind w:left="-103" w:hanging="301"/>
      </w:pPr>
      <w:rPr>
        <w:rFonts w:hint="default"/>
      </w:rPr>
    </w:lvl>
  </w:abstractNum>
  <w:abstractNum w:abstractNumId="109">
    <w:multiLevelType w:val="hybridMultilevel"/>
    <w:lvl w:ilvl="0">
      <w:start w:val="3"/>
      <w:numFmt w:val="decimal"/>
      <w:lvlText w:val="%1"/>
      <w:lvlJc w:val="left"/>
      <w:pPr>
        <w:ind w:left="570" w:hanging="300"/>
        <w:jc w:val="left"/>
      </w:pPr>
      <w:rPr>
        <w:rFonts w:hint="default"/>
      </w:rPr>
    </w:lvl>
    <w:lvl w:ilvl="1">
      <w:start w:val="1"/>
      <w:numFmt w:val="decimal"/>
      <w:lvlText w:val="%1.%2"/>
      <w:lvlJc w:val="left"/>
      <w:pPr>
        <w:ind w:left="570" w:hanging="300"/>
        <w:jc w:val="right"/>
      </w:pPr>
      <w:rPr>
        <w:rFonts w:hint="default" w:ascii="Times New Roman" w:hAnsi="Times New Roman" w:eastAsia="Times New Roman" w:cs="Times New Roman"/>
        <w:b/>
        <w:bCs/>
        <w:spacing w:val="-1"/>
        <w:w w:val="100"/>
        <w:sz w:val="20"/>
        <w:szCs w:val="20"/>
      </w:rPr>
    </w:lvl>
    <w:lvl w:ilvl="2">
      <w:start w:val="1"/>
      <w:numFmt w:val="bullet"/>
      <w:lvlText w:val="•"/>
      <w:lvlJc w:val="left"/>
      <w:pPr>
        <w:ind w:left="1627" w:hanging="300"/>
      </w:pPr>
      <w:rPr>
        <w:rFonts w:hint="default"/>
      </w:rPr>
    </w:lvl>
    <w:lvl w:ilvl="3">
      <w:start w:val="1"/>
      <w:numFmt w:val="bullet"/>
      <w:lvlText w:val="•"/>
      <w:lvlJc w:val="left"/>
      <w:pPr>
        <w:ind w:left="2150" w:hanging="300"/>
      </w:pPr>
      <w:rPr>
        <w:rFonts w:hint="default"/>
      </w:rPr>
    </w:lvl>
    <w:lvl w:ilvl="4">
      <w:start w:val="1"/>
      <w:numFmt w:val="bullet"/>
      <w:lvlText w:val="•"/>
      <w:lvlJc w:val="left"/>
      <w:pPr>
        <w:ind w:left="2674" w:hanging="300"/>
      </w:pPr>
      <w:rPr>
        <w:rFonts w:hint="default"/>
      </w:rPr>
    </w:lvl>
    <w:lvl w:ilvl="5">
      <w:start w:val="1"/>
      <w:numFmt w:val="bullet"/>
      <w:lvlText w:val="•"/>
      <w:lvlJc w:val="left"/>
      <w:pPr>
        <w:ind w:left="3197" w:hanging="300"/>
      </w:pPr>
      <w:rPr>
        <w:rFonts w:hint="default"/>
      </w:rPr>
    </w:lvl>
    <w:lvl w:ilvl="6">
      <w:start w:val="1"/>
      <w:numFmt w:val="bullet"/>
      <w:lvlText w:val="•"/>
      <w:lvlJc w:val="left"/>
      <w:pPr>
        <w:ind w:left="3721" w:hanging="300"/>
      </w:pPr>
      <w:rPr>
        <w:rFonts w:hint="default"/>
      </w:rPr>
    </w:lvl>
    <w:lvl w:ilvl="7">
      <w:start w:val="1"/>
      <w:numFmt w:val="bullet"/>
      <w:lvlText w:val="•"/>
      <w:lvlJc w:val="left"/>
      <w:pPr>
        <w:ind w:left="4244" w:hanging="300"/>
      </w:pPr>
      <w:rPr>
        <w:rFonts w:hint="default"/>
      </w:rPr>
    </w:lvl>
    <w:lvl w:ilvl="8">
      <w:start w:val="1"/>
      <w:numFmt w:val="bullet"/>
      <w:lvlText w:val="•"/>
      <w:lvlJc w:val="left"/>
      <w:pPr>
        <w:ind w:left="4768" w:hanging="300"/>
      </w:pPr>
      <w:rPr>
        <w:rFonts w:hint="default"/>
      </w:rPr>
    </w:lvl>
  </w:abstractNum>
  <w:abstractNum w:abstractNumId="108">
    <w:multiLevelType w:val="hybridMultilevel"/>
    <w:lvl w:ilvl="0">
      <w:start w:val="1"/>
      <w:numFmt w:val="decimal"/>
      <w:lvlText w:val="%1."/>
      <w:lvlJc w:val="left"/>
      <w:pPr>
        <w:ind w:left="472" w:hanging="202"/>
        <w:jc w:val="left"/>
      </w:pPr>
      <w:rPr>
        <w:rFonts w:hint="default" w:ascii="Times New Roman" w:hAnsi="Times New Roman" w:eastAsia="Times New Roman" w:cs="Times New Roman"/>
        <w:b/>
        <w:bCs/>
        <w:w w:val="100"/>
        <w:sz w:val="20"/>
        <w:szCs w:val="20"/>
      </w:rPr>
    </w:lvl>
    <w:lvl w:ilvl="1">
      <w:start w:val="1"/>
      <w:numFmt w:val="bullet"/>
      <w:lvlText w:val="•"/>
      <w:lvlJc w:val="left"/>
      <w:pPr>
        <w:ind w:left="951" w:hanging="202"/>
      </w:pPr>
      <w:rPr>
        <w:rFonts w:hint="default"/>
      </w:rPr>
    </w:lvl>
    <w:lvl w:ilvl="2">
      <w:start w:val="1"/>
      <w:numFmt w:val="bullet"/>
      <w:lvlText w:val="•"/>
      <w:lvlJc w:val="left"/>
      <w:pPr>
        <w:ind w:left="1422" w:hanging="202"/>
      </w:pPr>
      <w:rPr>
        <w:rFonts w:hint="default"/>
      </w:rPr>
    </w:lvl>
    <w:lvl w:ilvl="3">
      <w:start w:val="1"/>
      <w:numFmt w:val="bullet"/>
      <w:lvlText w:val="•"/>
      <w:lvlJc w:val="left"/>
      <w:pPr>
        <w:ind w:left="1893" w:hanging="202"/>
      </w:pPr>
      <w:rPr>
        <w:rFonts w:hint="default"/>
      </w:rPr>
    </w:lvl>
    <w:lvl w:ilvl="4">
      <w:start w:val="1"/>
      <w:numFmt w:val="bullet"/>
      <w:lvlText w:val="•"/>
      <w:lvlJc w:val="left"/>
      <w:pPr>
        <w:ind w:left="2364" w:hanging="202"/>
      </w:pPr>
      <w:rPr>
        <w:rFonts w:hint="default"/>
      </w:rPr>
    </w:lvl>
    <w:lvl w:ilvl="5">
      <w:start w:val="1"/>
      <w:numFmt w:val="bullet"/>
      <w:lvlText w:val="•"/>
      <w:lvlJc w:val="left"/>
      <w:pPr>
        <w:ind w:left="2835" w:hanging="202"/>
      </w:pPr>
      <w:rPr>
        <w:rFonts w:hint="default"/>
      </w:rPr>
    </w:lvl>
    <w:lvl w:ilvl="6">
      <w:start w:val="1"/>
      <w:numFmt w:val="bullet"/>
      <w:lvlText w:val="•"/>
      <w:lvlJc w:val="left"/>
      <w:pPr>
        <w:ind w:left="3306" w:hanging="202"/>
      </w:pPr>
      <w:rPr>
        <w:rFonts w:hint="default"/>
      </w:rPr>
    </w:lvl>
    <w:lvl w:ilvl="7">
      <w:start w:val="1"/>
      <w:numFmt w:val="bullet"/>
      <w:lvlText w:val="•"/>
      <w:lvlJc w:val="left"/>
      <w:pPr>
        <w:ind w:left="3777" w:hanging="202"/>
      </w:pPr>
      <w:rPr>
        <w:rFonts w:hint="default"/>
      </w:rPr>
    </w:lvl>
    <w:lvl w:ilvl="8">
      <w:start w:val="1"/>
      <w:numFmt w:val="bullet"/>
      <w:lvlText w:val="•"/>
      <w:lvlJc w:val="left"/>
      <w:pPr>
        <w:ind w:left="4248" w:hanging="202"/>
      </w:pPr>
      <w:rPr>
        <w:rFonts w:hint="default"/>
      </w:rPr>
    </w:lvl>
  </w:abstractNum>
  <w:abstractNum w:abstractNumId="107">
    <w:multiLevelType w:val="hybridMultilevel"/>
    <w:lvl w:ilvl="0">
      <w:start w:val="1"/>
      <w:numFmt w:val="bullet"/>
      <w:lvlText w:val="•"/>
      <w:lvlJc w:val="left"/>
      <w:pPr>
        <w:ind w:left="270" w:hanging="120"/>
      </w:pPr>
      <w:rPr>
        <w:rFonts w:hint="default"/>
        <w:w w:val="100"/>
      </w:rPr>
    </w:lvl>
    <w:lvl w:ilvl="1">
      <w:start w:val="1"/>
      <w:numFmt w:val="bullet"/>
      <w:lvlText w:val="•"/>
      <w:lvlJc w:val="left"/>
      <w:pPr>
        <w:ind w:left="771" w:hanging="120"/>
      </w:pPr>
      <w:rPr>
        <w:rFonts w:hint="default"/>
      </w:rPr>
    </w:lvl>
    <w:lvl w:ilvl="2">
      <w:start w:val="1"/>
      <w:numFmt w:val="bullet"/>
      <w:lvlText w:val="•"/>
      <w:lvlJc w:val="left"/>
      <w:pPr>
        <w:ind w:left="1261" w:hanging="120"/>
      </w:pPr>
      <w:rPr>
        <w:rFonts w:hint="default"/>
      </w:rPr>
    </w:lvl>
    <w:lvl w:ilvl="3">
      <w:start w:val="1"/>
      <w:numFmt w:val="bullet"/>
      <w:lvlText w:val="•"/>
      <w:lvlJc w:val="left"/>
      <w:pPr>
        <w:ind w:left="1752" w:hanging="120"/>
      </w:pPr>
      <w:rPr>
        <w:rFonts w:hint="default"/>
      </w:rPr>
    </w:lvl>
    <w:lvl w:ilvl="4">
      <w:start w:val="1"/>
      <w:numFmt w:val="bullet"/>
      <w:lvlText w:val="•"/>
      <w:lvlJc w:val="left"/>
      <w:pPr>
        <w:ind w:left="2243" w:hanging="120"/>
      </w:pPr>
      <w:rPr>
        <w:rFonts w:hint="default"/>
      </w:rPr>
    </w:lvl>
    <w:lvl w:ilvl="5">
      <w:start w:val="1"/>
      <w:numFmt w:val="bullet"/>
      <w:lvlText w:val="•"/>
      <w:lvlJc w:val="left"/>
      <w:pPr>
        <w:ind w:left="2734" w:hanging="120"/>
      </w:pPr>
      <w:rPr>
        <w:rFonts w:hint="default"/>
      </w:rPr>
    </w:lvl>
    <w:lvl w:ilvl="6">
      <w:start w:val="1"/>
      <w:numFmt w:val="bullet"/>
      <w:lvlText w:val="•"/>
      <w:lvlJc w:val="left"/>
      <w:pPr>
        <w:ind w:left="3225" w:hanging="120"/>
      </w:pPr>
      <w:rPr>
        <w:rFonts w:hint="default"/>
      </w:rPr>
    </w:lvl>
    <w:lvl w:ilvl="7">
      <w:start w:val="1"/>
      <w:numFmt w:val="bullet"/>
      <w:lvlText w:val="•"/>
      <w:lvlJc w:val="left"/>
      <w:pPr>
        <w:ind w:left="3716" w:hanging="120"/>
      </w:pPr>
      <w:rPr>
        <w:rFonts w:hint="default"/>
      </w:rPr>
    </w:lvl>
    <w:lvl w:ilvl="8">
      <w:start w:val="1"/>
      <w:numFmt w:val="bullet"/>
      <w:lvlText w:val="•"/>
      <w:lvlJc w:val="left"/>
      <w:pPr>
        <w:ind w:left="4207" w:hanging="120"/>
      </w:pPr>
      <w:rPr>
        <w:rFonts w:hint="default"/>
      </w:rPr>
    </w:lvl>
  </w:abstractNum>
  <w:abstractNum w:abstractNumId="106">
    <w:multiLevelType w:val="hybridMultilevel"/>
    <w:lvl w:ilvl="0">
      <w:start w:val="1"/>
      <w:numFmt w:val="decimal"/>
      <w:lvlText w:val="%1"/>
      <w:lvlJc w:val="left"/>
      <w:pPr>
        <w:ind w:left="570" w:hanging="300"/>
        <w:jc w:val="left"/>
      </w:pPr>
      <w:rPr>
        <w:rFonts w:hint="default"/>
      </w:rPr>
    </w:lvl>
    <w:lvl w:ilvl="1">
      <w:start w:val="5"/>
      <w:numFmt w:val="decimal"/>
      <w:lvlText w:val="%1.%2"/>
      <w:lvlJc w:val="left"/>
      <w:pPr>
        <w:ind w:left="570" w:hanging="300"/>
        <w:jc w:val="left"/>
      </w:pPr>
      <w:rPr>
        <w:rFonts w:hint="default" w:ascii="Times New Roman" w:hAnsi="Times New Roman" w:eastAsia="Times New Roman" w:cs="Times New Roman"/>
        <w:b/>
        <w:bCs/>
        <w:spacing w:val="-1"/>
        <w:w w:val="100"/>
        <w:sz w:val="20"/>
        <w:szCs w:val="20"/>
      </w:rPr>
    </w:lvl>
    <w:lvl w:ilvl="2">
      <w:start w:val="1"/>
      <w:numFmt w:val="bullet"/>
      <w:lvlText w:val="•"/>
      <w:lvlJc w:val="left"/>
      <w:pPr>
        <w:ind w:left="1501" w:hanging="300"/>
      </w:pPr>
      <w:rPr>
        <w:rFonts w:hint="default"/>
      </w:rPr>
    </w:lvl>
    <w:lvl w:ilvl="3">
      <w:start w:val="1"/>
      <w:numFmt w:val="bullet"/>
      <w:lvlText w:val="•"/>
      <w:lvlJc w:val="left"/>
      <w:pPr>
        <w:ind w:left="1962" w:hanging="300"/>
      </w:pPr>
      <w:rPr>
        <w:rFonts w:hint="default"/>
      </w:rPr>
    </w:lvl>
    <w:lvl w:ilvl="4">
      <w:start w:val="1"/>
      <w:numFmt w:val="bullet"/>
      <w:lvlText w:val="•"/>
      <w:lvlJc w:val="left"/>
      <w:pPr>
        <w:ind w:left="2423" w:hanging="300"/>
      </w:pPr>
      <w:rPr>
        <w:rFonts w:hint="default"/>
      </w:rPr>
    </w:lvl>
    <w:lvl w:ilvl="5">
      <w:start w:val="1"/>
      <w:numFmt w:val="bullet"/>
      <w:lvlText w:val="•"/>
      <w:lvlJc w:val="left"/>
      <w:pPr>
        <w:ind w:left="2884" w:hanging="300"/>
      </w:pPr>
      <w:rPr>
        <w:rFonts w:hint="default"/>
      </w:rPr>
    </w:lvl>
    <w:lvl w:ilvl="6">
      <w:start w:val="1"/>
      <w:numFmt w:val="bullet"/>
      <w:lvlText w:val="•"/>
      <w:lvlJc w:val="left"/>
      <w:pPr>
        <w:ind w:left="3345" w:hanging="300"/>
      </w:pPr>
      <w:rPr>
        <w:rFonts w:hint="default"/>
      </w:rPr>
    </w:lvl>
    <w:lvl w:ilvl="7">
      <w:start w:val="1"/>
      <w:numFmt w:val="bullet"/>
      <w:lvlText w:val="•"/>
      <w:lvlJc w:val="left"/>
      <w:pPr>
        <w:ind w:left="3806" w:hanging="300"/>
      </w:pPr>
      <w:rPr>
        <w:rFonts w:hint="default"/>
      </w:rPr>
    </w:lvl>
    <w:lvl w:ilvl="8">
      <w:start w:val="1"/>
      <w:numFmt w:val="bullet"/>
      <w:lvlText w:val="•"/>
      <w:lvlJc w:val="left"/>
      <w:pPr>
        <w:ind w:left="4267" w:hanging="300"/>
      </w:pPr>
      <w:rPr>
        <w:rFonts w:hint="default"/>
      </w:rPr>
    </w:lvl>
  </w:abstractNum>
  <w:abstractNum w:abstractNumId="105">
    <w:multiLevelType w:val="hybridMultilevel"/>
    <w:lvl w:ilvl="0">
      <w:start w:val="1"/>
      <w:numFmt w:val="decimal"/>
      <w:lvlText w:val="%1."/>
      <w:lvlJc w:val="left"/>
      <w:pPr>
        <w:ind w:left="472" w:hanging="202"/>
        <w:jc w:val="left"/>
      </w:pPr>
      <w:rPr>
        <w:rFonts w:hint="default" w:ascii="Times New Roman" w:hAnsi="Times New Roman" w:eastAsia="Times New Roman" w:cs="Times New Roman"/>
        <w:b/>
        <w:bCs/>
        <w:w w:val="100"/>
        <w:sz w:val="20"/>
        <w:szCs w:val="20"/>
      </w:rPr>
    </w:lvl>
    <w:lvl w:ilvl="1">
      <w:start w:val="1"/>
      <w:numFmt w:val="decimal"/>
      <w:lvlText w:val="%1.%2"/>
      <w:lvlJc w:val="left"/>
      <w:pPr>
        <w:ind w:left="570" w:hanging="300"/>
        <w:jc w:val="left"/>
      </w:pPr>
      <w:rPr>
        <w:rFonts w:hint="default" w:ascii="Times New Roman" w:hAnsi="Times New Roman" w:eastAsia="Times New Roman" w:cs="Times New Roman"/>
        <w:b/>
        <w:bCs/>
        <w:spacing w:val="-1"/>
        <w:w w:val="100"/>
        <w:sz w:val="20"/>
        <w:szCs w:val="20"/>
      </w:rPr>
    </w:lvl>
    <w:lvl w:ilvl="2">
      <w:start w:val="1"/>
      <w:numFmt w:val="decimal"/>
      <w:lvlText w:val="%1.%2.%3"/>
      <w:lvlJc w:val="left"/>
      <w:pPr>
        <w:ind w:left="722" w:hanging="452"/>
        <w:jc w:val="left"/>
      </w:pPr>
      <w:rPr>
        <w:rFonts w:hint="default" w:ascii="Times New Roman" w:hAnsi="Times New Roman" w:eastAsia="Times New Roman" w:cs="Times New Roman"/>
        <w:spacing w:val="-1"/>
        <w:w w:val="100"/>
        <w:sz w:val="20"/>
        <w:szCs w:val="20"/>
      </w:rPr>
    </w:lvl>
    <w:lvl w:ilvl="3">
      <w:start w:val="1"/>
      <w:numFmt w:val="bullet"/>
      <w:lvlText w:val="•"/>
      <w:lvlJc w:val="left"/>
      <w:pPr>
        <w:ind w:left="720" w:hanging="452"/>
      </w:pPr>
      <w:rPr>
        <w:rFonts w:hint="default"/>
      </w:rPr>
    </w:lvl>
    <w:lvl w:ilvl="4">
      <w:start w:val="1"/>
      <w:numFmt w:val="bullet"/>
      <w:lvlText w:val="•"/>
      <w:lvlJc w:val="left"/>
      <w:pPr>
        <w:ind w:left="555" w:hanging="452"/>
      </w:pPr>
      <w:rPr>
        <w:rFonts w:hint="default"/>
      </w:rPr>
    </w:lvl>
    <w:lvl w:ilvl="5">
      <w:start w:val="1"/>
      <w:numFmt w:val="bullet"/>
      <w:lvlText w:val="•"/>
      <w:lvlJc w:val="left"/>
      <w:pPr>
        <w:ind w:left="390" w:hanging="452"/>
      </w:pPr>
      <w:rPr>
        <w:rFonts w:hint="default"/>
      </w:rPr>
    </w:lvl>
    <w:lvl w:ilvl="6">
      <w:start w:val="1"/>
      <w:numFmt w:val="bullet"/>
      <w:lvlText w:val="•"/>
      <w:lvlJc w:val="left"/>
      <w:pPr>
        <w:ind w:left="226" w:hanging="452"/>
      </w:pPr>
      <w:rPr>
        <w:rFonts w:hint="default"/>
      </w:rPr>
    </w:lvl>
    <w:lvl w:ilvl="7">
      <w:start w:val="1"/>
      <w:numFmt w:val="bullet"/>
      <w:lvlText w:val="•"/>
      <w:lvlJc w:val="left"/>
      <w:pPr>
        <w:ind w:left="61" w:hanging="452"/>
      </w:pPr>
      <w:rPr>
        <w:rFonts w:hint="default"/>
      </w:rPr>
    </w:lvl>
    <w:lvl w:ilvl="8">
      <w:start w:val="1"/>
      <w:numFmt w:val="bullet"/>
      <w:lvlText w:val="•"/>
      <w:lvlJc w:val="left"/>
      <w:pPr>
        <w:ind w:left="-103" w:hanging="452"/>
      </w:pPr>
      <w:rPr>
        <w:rFonts w:hint="default"/>
      </w:rPr>
    </w:lvl>
  </w:abstractNum>
  <w:abstractNum w:abstractNumId="104">
    <w:multiLevelType w:val="hybridMultilevel"/>
    <w:lvl w:ilvl="0">
      <w:start w:val="1"/>
      <w:numFmt w:val="decimal"/>
      <w:lvlText w:val="%1."/>
      <w:lvlJc w:val="left"/>
      <w:pPr>
        <w:ind w:left="472" w:hanging="202"/>
        <w:jc w:val="left"/>
      </w:pPr>
      <w:rPr>
        <w:rFonts w:hint="default" w:ascii="Times New Roman" w:hAnsi="Times New Roman" w:eastAsia="Times New Roman" w:cs="Times New Roman"/>
        <w:b/>
        <w:bCs/>
        <w:w w:val="100"/>
        <w:sz w:val="20"/>
        <w:szCs w:val="20"/>
      </w:rPr>
    </w:lvl>
    <w:lvl w:ilvl="1">
      <w:start w:val="1"/>
      <w:numFmt w:val="decimal"/>
      <w:lvlText w:val="%1.%2"/>
      <w:lvlJc w:val="left"/>
      <w:pPr>
        <w:ind w:left="571" w:hanging="301"/>
        <w:jc w:val="left"/>
      </w:pPr>
      <w:rPr>
        <w:rFonts w:hint="default" w:ascii="Times New Roman" w:hAnsi="Times New Roman" w:eastAsia="Times New Roman" w:cs="Times New Roman"/>
        <w:b/>
        <w:bCs/>
        <w:spacing w:val="-1"/>
        <w:w w:val="100"/>
        <w:sz w:val="20"/>
        <w:szCs w:val="20"/>
      </w:rPr>
    </w:lvl>
    <w:lvl w:ilvl="2">
      <w:start w:val="1"/>
      <w:numFmt w:val="bullet"/>
      <w:lvlText w:val="•"/>
      <w:lvlJc w:val="left"/>
      <w:pPr>
        <w:ind w:left="467" w:hanging="301"/>
      </w:pPr>
      <w:rPr>
        <w:rFonts w:hint="default"/>
      </w:rPr>
    </w:lvl>
    <w:lvl w:ilvl="3">
      <w:start w:val="1"/>
      <w:numFmt w:val="bullet"/>
      <w:lvlText w:val="•"/>
      <w:lvlJc w:val="left"/>
      <w:pPr>
        <w:ind w:left="354" w:hanging="301"/>
      </w:pPr>
      <w:rPr>
        <w:rFonts w:hint="default"/>
      </w:rPr>
    </w:lvl>
    <w:lvl w:ilvl="4">
      <w:start w:val="1"/>
      <w:numFmt w:val="bullet"/>
      <w:lvlText w:val="•"/>
      <w:lvlJc w:val="left"/>
      <w:pPr>
        <w:ind w:left="241" w:hanging="301"/>
      </w:pPr>
      <w:rPr>
        <w:rFonts w:hint="default"/>
      </w:rPr>
    </w:lvl>
    <w:lvl w:ilvl="5">
      <w:start w:val="1"/>
      <w:numFmt w:val="bullet"/>
      <w:lvlText w:val="•"/>
      <w:lvlJc w:val="left"/>
      <w:pPr>
        <w:ind w:left="129" w:hanging="301"/>
      </w:pPr>
      <w:rPr>
        <w:rFonts w:hint="default"/>
      </w:rPr>
    </w:lvl>
    <w:lvl w:ilvl="6">
      <w:start w:val="1"/>
      <w:numFmt w:val="bullet"/>
      <w:lvlText w:val="•"/>
      <w:lvlJc w:val="left"/>
      <w:pPr>
        <w:ind w:left="16" w:hanging="301"/>
      </w:pPr>
      <w:rPr>
        <w:rFonts w:hint="default"/>
      </w:rPr>
    </w:lvl>
    <w:lvl w:ilvl="7">
      <w:start w:val="1"/>
      <w:numFmt w:val="bullet"/>
      <w:lvlText w:val="•"/>
      <w:lvlJc w:val="left"/>
      <w:pPr>
        <w:ind w:left="-97" w:hanging="301"/>
      </w:pPr>
      <w:rPr>
        <w:rFonts w:hint="default"/>
      </w:rPr>
    </w:lvl>
    <w:lvl w:ilvl="8">
      <w:start w:val="1"/>
      <w:numFmt w:val="bullet"/>
      <w:lvlText w:val="•"/>
      <w:lvlJc w:val="left"/>
      <w:pPr>
        <w:ind w:left="-210" w:hanging="301"/>
      </w:pPr>
      <w:rPr>
        <w:rFonts w:hint="default"/>
      </w:rPr>
    </w:lvl>
  </w:abstractNum>
  <w:abstractNum w:abstractNumId="103">
    <w:multiLevelType w:val="hybridMultilevel"/>
    <w:lvl w:ilvl="0">
      <w:start w:val="1"/>
      <w:numFmt w:val="decimal"/>
      <w:lvlText w:val="%1."/>
      <w:lvlJc w:val="left"/>
      <w:pPr>
        <w:ind w:left="612" w:hanging="201"/>
        <w:jc w:val="left"/>
      </w:pPr>
      <w:rPr>
        <w:rFonts w:hint="default" w:ascii="Times New Roman" w:hAnsi="Times New Roman" w:eastAsia="Times New Roman" w:cs="Times New Roman"/>
        <w:color w:val="212121"/>
        <w:w w:val="100"/>
        <w:sz w:val="20"/>
        <w:szCs w:val="20"/>
      </w:rPr>
    </w:lvl>
    <w:lvl w:ilvl="1">
      <w:start w:val="1"/>
      <w:numFmt w:val="bullet"/>
      <w:lvlText w:val="•"/>
      <w:lvlJc w:val="left"/>
      <w:pPr>
        <w:ind w:left="1139" w:hanging="201"/>
      </w:pPr>
      <w:rPr>
        <w:rFonts w:hint="default"/>
      </w:rPr>
    </w:lvl>
    <w:lvl w:ilvl="2">
      <w:start w:val="1"/>
      <w:numFmt w:val="bullet"/>
      <w:lvlText w:val="•"/>
      <w:lvlJc w:val="left"/>
      <w:pPr>
        <w:ind w:left="1659" w:hanging="201"/>
      </w:pPr>
      <w:rPr>
        <w:rFonts w:hint="default"/>
      </w:rPr>
    </w:lvl>
    <w:lvl w:ilvl="3">
      <w:start w:val="1"/>
      <w:numFmt w:val="bullet"/>
      <w:lvlText w:val="•"/>
      <w:lvlJc w:val="left"/>
      <w:pPr>
        <w:ind w:left="2178" w:hanging="201"/>
      </w:pPr>
      <w:rPr>
        <w:rFonts w:hint="default"/>
      </w:rPr>
    </w:lvl>
    <w:lvl w:ilvl="4">
      <w:start w:val="1"/>
      <w:numFmt w:val="bullet"/>
      <w:lvlText w:val="•"/>
      <w:lvlJc w:val="left"/>
      <w:pPr>
        <w:ind w:left="2698" w:hanging="201"/>
      </w:pPr>
      <w:rPr>
        <w:rFonts w:hint="default"/>
      </w:rPr>
    </w:lvl>
    <w:lvl w:ilvl="5">
      <w:start w:val="1"/>
      <w:numFmt w:val="bullet"/>
      <w:lvlText w:val="•"/>
      <w:lvlJc w:val="left"/>
      <w:pPr>
        <w:ind w:left="3217" w:hanging="201"/>
      </w:pPr>
      <w:rPr>
        <w:rFonts w:hint="default"/>
      </w:rPr>
    </w:lvl>
    <w:lvl w:ilvl="6">
      <w:start w:val="1"/>
      <w:numFmt w:val="bullet"/>
      <w:lvlText w:val="•"/>
      <w:lvlJc w:val="left"/>
      <w:pPr>
        <w:ind w:left="3737" w:hanging="201"/>
      </w:pPr>
      <w:rPr>
        <w:rFonts w:hint="default"/>
      </w:rPr>
    </w:lvl>
    <w:lvl w:ilvl="7">
      <w:start w:val="1"/>
      <w:numFmt w:val="bullet"/>
      <w:lvlText w:val="•"/>
      <w:lvlJc w:val="left"/>
      <w:pPr>
        <w:ind w:left="4256" w:hanging="201"/>
      </w:pPr>
      <w:rPr>
        <w:rFonts w:hint="default"/>
      </w:rPr>
    </w:lvl>
    <w:lvl w:ilvl="8">
      <w:start w:val="1"/>
      <w:numFmt w:val="bullet"/>
      <w:lvlText w:val="•"/>
      <w:lvlJc w:val="left"/>
      <w:pPr>
        <w:ind w:left="4776" w:hanging="201"/>
      </w:pPr>
      <w:rPr>
        <w:rFonts w:hint="default"/>
      </w:rPr>
    </w:lvl>
  </w:abstractNum>
  <w:abstractNum w:abstractNumId="102">
    <w:multiLevelType w:val="hybridMultilevel"/>
    <w:lvl w:ilvl="0">
      <w:start w:val="1"/>
      <w:numFmt w:val="bullet"/>
      <w:lvlText w:val="➢"/>
      <w:lvlJc w:val="left"/>
      <w:pPr>
        <w:ind w:left="696" w:hanging="360"/>
      </w:pPr>
      <w:rPr>
        <w:rFonts w:hint="default" w:ascii="Segoe UI Symbol" w:hAnsi="Segoe UI Symbol" w:eastAsia="Segoe UI Symbol" w:cs="Segoe UI Symbol"/>
        <w:color w:val="212121"/>
        <w:w w:val="82"/>
        <w:sz w:val="20"/>
        <w:szCs w:val="20"/>
      </w:rPr>
    </w:lvl>
    <w:lvl w:ilvl="1">
      <w:start w:val="1"/>
      <w:numFmt w:val="bullet"/>
      <w:lvlText w:val="•"/>
      <w:lvlJc w:val="left"/>
      <w:pPr>
        <w:ind w:left="1211" w:hanging="360"/>
      </w:pPr>
      <w:rPr>
        <w:rFonts w:hint="default"/>
      </w:rPr>
    </w:lvl>
    <w:lvl w:ilvl="2">
      <w:start w:val="1"/>
      <w:numFmt w:val="bullet"/>
      <w:lvlText w:val="•"/>
      <w:lvlJc w:val="left"/>
      <w:pPr>
        <w:ind w:left="1723" w:hanging="360"/>
      </w:pPr>
      <w:rPr>
        <w:rFonts w:hint="default"/>
      </w:rPr>
    </w:lvl>
    <w:lvl w:ilvl="3">
      <w:start w:val="1"/>
      <w:numFmt w:val="bullet"/>
      <w:lvlText w:val="•"/>
      <w:lvlJc w:val="left"/>
      <w:pPr>
        <w:ind w:left="2234" w:hanging="360"/>
      </w:pPr>
      <w:rPr>
        <w:rFonts w:hint="default"/>
      </w:rPr>
    </w:lvl>
    <w:lvl w:ilvl="4">
      <w:start w:val="1"/>
      <w:numFmt w:val="bullet"/>
      <w:lvlText w:val="•"/>
      <w:lvlJc w:val="left"/>
      <w:pPr>
        <w:ind w:left="2746" w:hanging="360"/>
      </w:pPr>
      <w:rPr>
        <w:rFonts w:hint="default"/>
      </w:rPr>
    </w:lvl>
    <w:lvl w:ilvl="5">
      <w:start w:val="1"/>
      <w:numFmt w:val="bullet"/>
      <w:lvlText w:val="•"/>
      <w:lvlJc w:val="left"/>
      <w:pPr>
        <w:ind w:left="3257" w:hanging="360"/>
      </w:pPr>
      <w:rPr>
        <w:rFonts w:hint="default"/>
      </w:rPr>
    </w:lvl>
    <w:lvl w:ilvl="6">
      <w:start w:val="1"/>
      <w:numFmt w:val="bullet"/>
      <w:lvlText w:val="•"/>
      <w:lvlJc w:val="left"/>
      <w:pPr>
        <w:ind w:left="3769" w:hanging="360"/>
      </w:pPr>
      <w:rPr>
        <w:rFonts w:hint="default"/>
      </w:rPr>
    </w:lvl>
    <w:lvl w:ilvl="7">
      <w:start w:val="1"/>
      <w:numFmt w:val="bullet"/>
      <w:lvlText w:val="•"/>
      <w:lvlJc w:val="left"/>
      <w:pPr>
        <w:ind w:left="4280" w:hanging="360"/>
      </w:pPr>
      <w:rPr>
        <w:rFonts w:hint="default"/>
      </w:rPr>
    </w:lvl>
    <w:lvl w:ilvl="8">
      <w:start w:val="1"/>
      <w:numFmt w:val="bullet"/>
      <w:lvlText w:val="•"/>
      <w:lvlJc w:val="left"/>
      <w:pPr>
        <w:ind w:left="4792" w:hanging="360"/>
      </w:pPr>
      <w:rPr>
        <w:rFonts w:hint="default"/>
      </w:rPr>
    </w:lvl>
  </w:abstractNum>
  <w:abstractNum w:abstractNumId="101">
    <w:multiLevelType w:val="hybridMultilevel"/>
    <w:lvl w:ilvl="0">
      <w:start w:val="1"/>
      <w:numFmt w:val="decimal"/>
      <w:lvlText w:val="%1."/>
      <w:lvlJc w:val="left"/>
      <w:pPr>
        <w:ind w:left="472" w:hanging="202"/>
        <w:jc w:val="left"/>
      </w:pPr>
      <w:rPr>
        <w:rFonts w:hint="default" w:ascii="Times New Roman" w:hAnsi="Times New Roman" w:eastAsia="Times New Roman" w:cs="Times New Roman"/>
        <w:b/>
        <w:bCs/>
        <w:w w:val="100"/>
        <w:sz w:val="20"/>
        <w:szCs w:val="20"/>
      </w:rPr>
    </w:lvl>
    <w:lvl w:ilvl="1">
      <w:start w:val="1"/>
      <w:numFmt w:val="decimal"/>
      <w:lvlText w:val="%2."/>
      <w:lvlJc w:val="left"/>
      <w:pPr>
        <w:ind w:left="612" w:hanging="201"/>
        <w:jc w:val="left"/>
      </w:pPr>
      <w:rPr>
        <w:rFonts w:hint="default" w:ascii="Times New Roman" w:hAnsi="Times New Roman" w:eastAsia="Times New Roman" w:cs="Times New Roman"/>
        <w:color w:val="212121"/>
        <w:w w:val="100"/>
        <w:sz w:val="20"/>
        <w:szCs w:val="20"/>
      </w:rPr>
    </w:lvl>
    <w:lvl w:ilvl="2">
      <w:start w:val="1"/>
      <w:numFmt w:val="bullet"/>
      <w:lvlText w:val="•"/>
      <w:lvlJc w:val="left"/>
      <w:pPr>
        <w:ind w:left="720" w:hanging="201"/>
      </w:pPr>
      <w:rPr>
        <w:rFonts w:hint="default"/>
      </w:rPr>
    </w:lvl>
    <w:lvl w:ilvl="3">
      <w:start w:val="1"/>
      <w:numFmt w:val="bullet"/>
      <w:lvlText w:val="•"/>
      <w:lvlJc w:val="left"/>
      <w:pPr>
        <w:ind w:left="575" w:hanging="201"/>
      </w:pPr>
      <w:rPr>
        <w:rFonts w:hint="default"/>
      </w:rPr>
    </w:lvl>
    <w:lvl w:ilvl="4">
      <w:start w:val="1"/>
      <w:numFmt w:val="bullet"/>
      <w:lvlText w:val="•"/>
      <w:lvlJc w:val="left"/>
      <w:pPr>
        <w:ind w:left="430" w:hanging="201"/>
      </w:pPr>
      <w:rPr>
        <w:rFonts w:hint="default"/>
      </w:rPr>
    </w:lvl>
    <w:lvl w:ilvl="5">
      <w:start w:val="1"/>
      <w:numFmt w:val="bullet"/>
      <w:lvlText w:val="•"/>
      <w:lvlJc w:val="left"/>
      <w:pPr>
        <w:ind w:left="286" w:hanging="201"/>
      </w:pPr>
      <w:rPr>
        <w:rFonts w:hint="default"/>
      </w:rPr>
    </w:lvl>
    <w:lvl w:ilvl="6">
      <w:start w:val="1"/>
      <w:numFmt w:val="bullet"/>
      <w:lvlText w:val="•"/>
      <w:lvlJc w:val="left"/>
      <w:pPr>
        <w:ind w:left="141" w:hanging="201"/>
      </w:pPr>
      <w:rPr>
        <w:rFonts w:hint="default"/>
      </w:rPr>
    </w:lvl>
    <w:lvl w:ilvl="7">
      <w:start w:val="1"/>
      <w:numFmt w:val="bullet"/>
      <w:lvlText w:val="•"/>
      <w:lvlJc w:val="left"/>
      <w:pPr>
        <w:ind w:left="-3" w:hanging="201"/>
      </w:pPr>
      <w:rPr>
        <w:rFonts w:hint="default"/>
      </w:rPr>
    </w:lvl>
    <w:lvl w:ilvl="8">
      <w:start w:val="1"/>
      <w:numFmt w:val="bullet"/>
      <w:lvlText w:val="•"/>
      <w:lvlJc w:val="left"/>
      <w:pPr>
        <w:ind w:left="-148" w:hanging="201"/>
      </w:pPr>
      <w:rPr>
        <w:rFonts w:hint="default"/>
      </w:rPr>
    </w:lvl>
  </w:abstractNum>
  <w:abstractNum w:abstractNumId="100">
    <w:multiLevelType w:val="hybridMultilevel"/>
    <w:lvl w:ilvl="0">
      <w:start w:val="1"/>
      <w:numFmt w:val="decimal"/>
      <w:lvlText w:val="%1."/>
      <w:lvlJc w:val="left"/>
      <w:pPr>
        <w:ind w:left="270" w:hanging="287"/>
        <w:jc w:val="left"/>
      </w:pPr>
      <w:rPr>
        <w:rFonts w:hint="default" w:ascii="Times New Roman" w:hAnsi="Times New Roman" w:eastAsia="Times New Roman" w:cs="Times New Roman"/>
        <w:w w:val="100"/>
        <w:sz w:val="20"/>
        <w:szCs w:val="20"/>
      </w:rPr>
    </w:lvl>
    <w:lvl w:ilvl="1">
      <w:start w:val="1"/>
      <w:numFmt w:val="bullet"/>
      <w:lvlText w:val="•"/>
      <w:lvlJc w:val="left"/>
      <w:pPr>
        <w:ind w:left="771" w:hanging="287"/>
      </w:pPr>
      <w:rPr>
        <w:rFonts w:hint="default"/>
      </w:rPr>
    </w:lvl>
    <w:lvl w:ilvl="2">
      <w:start w:val="1"/>
      <w:numFmt w:val="bullet"/>
      <w:lvlText w:val="•"/>
      <w:lvlJc w:val="left"/>
      <w:pPr>
        <w:ind w:left="1262" w:hanging="287"/>
      </w:pPr>
      <w:rPr>
        <w:rFonts w:hint="default"/>
      </w:rPr>
    </w:lvl>
    <w:lvl w:ilvl="3">
      <w:start w:val="1"/>
      <w:numFmt w:val="bullet"/>
      <w:lvlText w:val="•"/>
      <w:lvlJc w:val="left"/>
      <w:pPr>
        <w:ind w:left="1753" w:hanging="287"/>
      </w:pPr>
      <w:rPr>
        <w:rFonts w:hint="default"/>
      </w:rPr>
    </w:lvl>
    <w:lvl w:ilvl="4">
      <w:start w:val="1"/>
      <w:numFmt w:val="bullet"/>
      <w:lvlText w:val="•"/>
      <w:lvlJc w:val="left"/>
      <w:pPr>
        <w:ind w:left="2244" w:hanging="287"/>
      </w:pPr>
      <w:rPr>
        <w:rFonts w:hint="default"/>
      </w:rPr>
    </w:lvl>
    <w:lvl w:ilvl="5">
      <w:start w:val="1"/>
      <w:numFmt w:val="bullet"/>
      <w:lvlText w:val="•"/>
      <w:lvlJc w:val="left"/>
      <w:pPr>
        <w:ind w:left="2736" w:hanging="287"/>
      </w:pPr>
      <w:rPr>
        <w:rFonts w:hint="default"/>
      </w:rPr>
    </w:lvl>
    <w:lvl w:ilvl="6">
      <w:start w:val="1"/>
      <w:numFmt w:val="bullet"/>
      <w:lvlText w:val="•"/>
      <w:lvlJc w:val="left"/>
      <w:pPr>
        <w:ind w:left="3227" w:hanging="287"/>
      </w:pPr>
      <w:rPr>
        <w:rFonts w:hint="default"/>
      </w:rPr>
    </w:lvl>
    <w:lvl w:ilvl="7">
      <w:start w:val="1"/>
      <w:numFmt w:val="bullet"/>
      <w:lvlText w:val="•"/>
      <w:lvlJc w:val="left"/>
      <w:pPr>
        <w:ind w:left="3718" w:hanging="287"/>
      </w:pPr>
      <w:rPr>
        <w:rFonts w:hint="default"/>
      </w:rPr>
    </w:lvl>
    <w:lvl w:ilvl="8">
      <w:start w:val="1"/>
      <w:numFmt w:val="bullet"/>
      <w:lvlText w:val="•"/>
      <w:lvlJc w:val="left"/>
      <w:pPr>
        <w:ind w:left="4209" w:hanging="287"/>
      </w:pPr>
      <w:rPr>
        <w:rFonts w:hint="default"/>
      </w:rPr>
    </w:lvl>
  </w:abstractNum>
  <w:abstractNum w:abstractNumId="99">
    <w:multiLevelType w:val="hybridMultilevel"/>
    <w:lvl w:ilvl="0">
      <w:start w:val="1"/>
      <w:numFmt w:val="decimal"/>
      <w:lvlText w:val="%1."/>
      <w:lvlJc w:val="left"/>
      <w:pPr>
        <w:ind w:left="472" w:hanging="202"/>
        <w:jc w:val="left"/>
      </w:pPr>
      <w:rPr>
        <w:rFonts w:hint="default"/>
        <w:b/>
        <w:bCs/>
        <w:w w:val="100"/>
      </w:rPr>
    </w:lvl>
    <w:lvl w:ilvl="1">
      <w:start w:val="1"/>
      <w:numFmt w:val="decimal"/>
      <w:lvlText w:val="%1.%2"/>
      <w:lvlJc w:val="left"/>
      <w:pPr>
        <w:ind w:left="571" w:hanging="301"/>
        <w:jc w:val="left"/>
      </w:pPr>
      <w:rPr>
        <w:rFonts w:hint="default" w:ascii="Times New Roman" w:hAnsi="Times New Roman" w:eastAsia="Times New Roman" w:cs="Times New Roman"/>
        <w:b/>
        <w:bCs/>
        <w:spacing w:val="-1"/>
        <w:w w:val="100"/>
        <w:sz w:val="20"/>
        <w:szCs w:val="20"/>
      </w:rPr>
    </w:lvl>
    <w:lvl w:ilvl="2">
      <w:start w:val="1"/>
      <w:numFmt w:val="bullet"/>
      <w:lvlText w:val="•"/>
      <w:lvlJc w:val="left"/>
      <w:pPr>
        <w:ind w:left="467" w:hanging="301"/>
      </w:pPr>
      <w:rPr>
        <w:rFonts w:hint="default"/>
      </w:rPr>
    </w:lvl>
    <w:lvl w:ilvl="3">
      <w:start w:val="1"/>
      <w:numFmt w:val="bullet"/>
      <w:lvlText w:val="•"/>
      <w:lvlJc w:val="left"/>
      <w:pPr>
        <w:ind w:left="355" w:hanging="301"/>
      </w:pPr>
      <w:rPr>
        <w:rFonts w:hint="default"/>
      </w:rPr>
    </w:lvl>
    <w:lvl w:ilvl="4">
      <w:start w:val="1"/>
      <w:numFmt w:val="bullet"/>
      <w:lvlText w:val="•"/>
      <w:lvlJc w:val="left"/>
      <w:pPr>
        <w:ind w:left="242" w:hanging="301"/>
      </w:pPr>
      <w:rPr>
        <w:rFonts w:hint="default"/>
      </w:rPr>
    </w:lvl>
    <w:lvl w:ilvl="5">
      <w:start w:val="1"/>
      <w:numFmt w:val="bullet"/>
      <w:lvlText w:val="•"/>
      <w:lvlJc w:val="left"/>
      <w:pPr>
        <w:ind w:left="130" w:hanging="301"/>
      </w:pPr>
      <w:rPr>
        <w:rFonts w:hint="default"/>
      </w:rPr>
    </w:lvl>
    <w:lvl w:ilvl="6">
      <w:start w:val="1"/>
      <w:numFmt w:val="bullet"/>
      <w:lvlText w:val="•"/>
      <w:lvlJc w:val="left"/>
      <w:pPr>
        <w:ind w:left="17" w:hanging="301"/>
      </w:pPr>
      <w:rPr>
        <w:rFonts w:hint="default"/>
      </w:rPr>
    </w:lvl>
    <w:lvl w:ilvl="7">
      <w:start w:val="1"/>
      <w:numFmt w:val="bullet"/>
      <w:lvlText w:val="•"/>
      <w:lvlJc w:val="left"/>
      <w:pPr>
        <w:ind w:left="-95" w:hanging="301"/>
      </w:pPr>
      <w:rPr>
        <w:rFonts w:hint="default"/>
      </w:rPr>
    </w:lvl>
    <w:lvl w:ilvl="8">
      <w:start w:val="1"/>
      <w:numFmt w:val="bullet"/>
      <w:lvlText w:val="•"/>
      <w:lvlJc w:val="left"/>
      <w:pPr>
        <w:ind w:left="-208" w:hanging="301"/>
      </w:pPr>
      <w:rPr>
        <w:rFonts w:hint="default"/>
      </w:rPr>
    </w:lvl>
  </w:abstractNum>
  <w:abstractNum w:abstractNumId="98">
    <w:multiLevelType w:val="hybridMultilevel"/>
    <w:lvl w:ilvl="0">
      <w:start w:val="2"/>
      <w:numFmt w:val="upperLetter"/>
      <w:lvlText w:val="%1"/>
      <w:lvlJc w:val="left"/>
      <w:pPr>
        <w:ind w:left="270" w:hanging="234"/>
        <w:jc w:val="left"/>
      </w:pPr>
      <w:rPr>
        <w:rFonts w:hint="default" w:ascii="Times New Roman" w:hAnsi="Times New Roman" w:eastAsia="Times New Roman" w:cs="Times New Roman"/>
        <w:w w:val="100"/>
        <w:sz w:val="20"/>
        <w:szCs w:val="20"/>
      </w:rPr>
    </w:lvl>
    <w:lvl w:ilvl="1">
      <w:start w:val="1"/>
      <w:numFmt w:val="bullet"/>
      <w:lvlText w:val="•"/>
      <w:lvlJc w:val="left"/>
      <w:pPr>
        <w:ind w:left="770" w:hanging="234"/>
      </w:pPr>
      <w:rPr>
        <w:rFonts w:hint="default"/>
      </w:rPr>
    </w:lvl>
    <w:lvl w:ilvl="2">
      <w:start w:val="1"/>
      <w:numFmt w:val="bullet"/>
      <w:lvlText w:val="•"/>
      <w:lvlJc w:val="left"/>
      <w:pPr>
        <w:ind w:left="1261" w:hanging="234"/>
      </w:pPr>
      <w:rPr>
        <w:rFonts w:hint="default"/>
      </w:rPr>
    </w:lvl>
    <w:lvl w:ilvl="3">
      <w:start w:val="1"/>
      <w:numFmt w:val="bullet"/>
      <w:lvlText w:val="•"/>
      <w:lvlJc w:val="left"/>
      <w:pPr>
        <w:ind w:left="1752" w:hanging="234"/>
      </w:pPr>
      <w:rPr>
        <w:rFonts w:hint="default"/>
      </w:rPr>
    </w:lvl>
    <w:lvl w:ilvl="4">
      <w:start w:val="1"/>
      <w:numFmt w:val="bullet"/>
      <w:lvlText w:val="•"/>
      <w:lvlJc w:val="left"/>
      <w:pPr>
        <w:ind w:left="2243" w:hanging="234"/>
      </w:pPr>
      <w:rPr>
        <w:rFonts w:hint="default"/>
      </w:rPr>
    </w:lvl>
    <w:lvl w:ilvl="5">
      <w:start w:val="1"/>
      <w:numFmt w:val="bullet"/>
      <w:lvlText w:val="•"/>
      <w:lvlJc w:val="left"/>
      <w:pPr>
        <w:ind w:left="2734" w:hanging="234"/>
      </w:pPr>
      <w:rPr>
        <w:rFonts w:hint="default"/>
      </w:rPr>
    </w:lvl>
    <w:lvl w:ilvl="6">
      <w:start w:val="1"/>
      <w:numFmt w:val="bullet"/>
      <w:lvlText w:val="•"/>
      <w:lvlJc w:val="left"/>
      <w:pPr>
        <w:ind w:left="3225" w:hanging="234"/>
      </w:pPr>
      <w:rPr>
        <w:rFonts w:hint="default"/>
      </w:rPr>
    </w:lvl>
    <w:lvl w:ilvl="7">
      <w:start w:val="1"/>
      <w:numFmt w:val="bullet"/>
      <w:lvlText w:val="•"/>
      <w:lvlJc w:val="left"/>
      <w:pPr>
        <w:ind w:left="3716" w:hanging="234"/>
      </w:pPr>
      <w:rPr>
        <w:rFonts w:hint="default"/>
      </w:rPr>
    </w:lvl>
    <w:lvl w:ilvl="8">
      <w:start w:val="1"/>
      <w:numFmt w:val="bullet"/>
      <w:lvlText w:val="•"/>
      <w:lvlJc w:val="left"/>
      <w:pPr>
        <w:ind w:left="4207" w:hanging="234"/>
      </w:pPr>
      <w:rPr>
        <w:rFonts w:hint="default"/>
      </w:rPr>
    </w:lvl>
  </w:abstractNum>
  <w:abstractNum w:abstractNumId="97">
    <w:multiLevelType w:val="hybridMultilevel"/>
    <w:lvl w:ilvl="0">
      <w:start w:val="1"/>
      <w:numFmt w:val="bullet"/>
      <w:lvlText w:val="•"/>
      <w:lvlJc w:val="left"/>
      <w:pPr>
        <w:ind w:left="6404" w:hanging="360"/>
      </w:pPr>
      <w:rPr>
        <w:rFonts w:hint="default" w:ascii="Arial" w:hAnsi="Arial" w:eastAsia="Arial" w:cs="Arial"/>
        <w:w w:val="100"/>
        <w:sz w:val="20"/>
        <w:szCs w:val="20"/>
      </w:rPr>
    </w:lvl>
    <w:lvl w:ilvl="1">
      <w:start w:val="1"/>
      <w:numFmt w:val="bullet"/>
      <w:lvlText w:val="•"/>
      <w:lvlJc w:val="left"/>
      <w:pPr>
        <w:ind w:left="6872" w:hanging="360"/>
      </w:pPr>
      <w:rPr>
        <w:rFonts w:hint="default"/>
      </w:rPr>
    </w:lvl>
    <w:lvl w:ilvl="2">
      <w:start w:val="1"/>
      <w:numFmt w:val="bullet"/>
      <w:lvlText w:val="•"/>
      <w:lvlJc w:val="left"/>
      <w:pPr>
        <w:ind w:left="7345" w:hanging="360"/>
      </w:pPr>
      <w:rPr>
        <w:rFonts w:hint="default"/>
      </w:rPr>
    </w:lvl>
    <w:lvl w:ilvl="3">
      <w:start w:val="1"/>
      <w:numFmt w:val="bullet"/>
      <w:lvlText w:val="•"/>
      <w:lvlJc w:val="left"/>
      <w:pPr>
        <w:ind w:left="7818" w:hanging="360"/>
      </w:pPr>
      <w:rPr>
        <w:rFonts w:hint="default"/>
      </w:rPr>
    </w:lvl>
    <w:lvl w:ilvl="4">
      <w:start w:val="1"/>
      <w:numFmt w:val="bullet"/>
      <w:lvlText w:val="•"/>
      <w:lvlJc w:val="left"/>
      <w:pPr>
        <w:ind w:left="8291" w:hanging="360"/>
      </w:pPr>
      <w:rPr>
        <w:rFonts w:hint="default"/>
      </w:rPr>
    </w:lvl>
    <w:lvl w:ilvl="5">
      <w:start w:val="1"/>
      <w:numFmt w:val="bullet"/>
      <w:lvlText w:val="•"/>
      <w:lvlJc w:val="left"/>
      <w:pPr>
        <w:ind w:left="8763" w:hanging="360"/>
      </w:pPr>
      <w:rPr>
        <w:rFonts w:hint="default"/>
      </w:rPr>
    </w:lvl>
    <w:lvl w:ilvl="6">
      <w:start w:val="1"/>
      <w:numFmt w:val="bullet"/>
      <w:lvlText w:val="•"/>
      <w:lvlJc w:val="left"/>
      <w:pPr>
        <w:ind w:left="9236" w:hanging="360"/>
      </w:pPr>
      <w:rPr>
        <w:rFonts w:hint="default"/>
      </w:rPr>
    </w:lvl>
    <w:lvl w:ilvl="7">
      <w:start w:val="1"/>
      <w:numFmt w:val="bullet"/>
      <w:lvlText w:val="•"/>
      <w:lvlJc w:val="left"/>
      <w:pPr>
        <w:ind w:left="9709" w:hanging="360"/>
      </w:pPr>
      <w:rPr>
        <w:rFonts w:hint="default"/>
      </w:rPr>
    </w:lvl>
    <w:lvl w:ilvl="8">
      <w:start w:val="1"/>
      <w:numFmt w:val="bullet"/>
      <w:lvlText w:val="•"/>
      <w:lvlJc w:val="left"/>
      <w:pPr>
        <w:ind w:left="10182" w:hanging="360"/>
      </w:pPr>
      <w:rPr>
        <w:rFonts w:hint="default"/>
      </w:rPr>
    </w:lvl>
  </w:abstractNum>
  <w:abstractNum w:abstractNumId="96">
    <w:multiLevelType w:val="hybridMultilevel"/>
    <w:lvl w:ilvl="0">
      <w:start w:val="3"/>
      <w:numFmt w:val="decimal"/>
      <w:lvlText w:val="%1"/>
      <w:lvlJc w:val="left"/>
      <w:pPr>
        <w:ind w:left="570" w:hanging="300"/>
        <w:jc w:val="left"/>
      </w:pPr>
      <w:rPr>
        <w:rFonts w:hint="default"/>
      </w:rPr>
    </w:lvl>
    <w:lvl w:ilvl="1">
      <w:start w:val="1"/>
      <w:numFmt w:val="decimal"/>
      <w:lvlText w:val="%1.%2"/>
      <w:lvlJc w:val="left"/>
      <w:pPr>
        <w:ind w:left="570" w:hanging="300"/>
        <w:jc w:val="left"/>
      </w:pPr>
      <w:rPr>
        <w:rFonts w:hint="default" w:ascii="Times New Roman" w:hAnsi="Times New Roman" w:eastAsia="Times New Roman" w:cs="Times New Roman"/>
        <w:b/>
        <w:bCs/>
        <w:spacing w:val="-1"/>
        <w:w w:val="100"/>
        <w:sz w:val="20"/>
        <w:szCs w:val="20"/>
      </w:rPr>
    </w:lvl>
    <w:lvl w:ilvl="2">
      <w:start w:val="1"/>
      <w:numFmt w:val="bullet"/>
      <w:lvlText w:val="•"/>
      <w:lvlJc w:val="left"/>
      <w:pPr>
        <w:ind w:left="270" w:hanging="360"/>
      </w:pPr>
      <w:rPr>
        <w:rFonts w:hint="default" w:ascii="Arial" w:hAnsi="Arial" w:eastAsia="Arial" w:cs="Arial"/>
        <w:w w:val="100"/>
        <w:sz w:val="20"/>
        <w:szCs w:val="20"/>
      </w:rPr>
    </w:lvl>
    <w:lvl w:ilvl="3">
      <w:start w:val="1"/>
      <w:numFmt w:val="bullet"/>
      <w:lvlText w:val="•"/>
      <w:lvlJc w:val="left"/>
      <w:pPr>
        <w:ind w:left="1603" w:hanging="360"/>
      </w:pPr>
      <w:rPr>
        <w:rFonts w:hint="default"/>
      </w:rPr>
    </w:lvl>
    <w:lvl w:ilvl="4">
      <w:start w:val="1"/>
      <w:numFmt w:val="bullet"/>
      <w:lvlText w:val="•"/>
      <w:lvlJc w:val="left"/>
      <w:pPr>
        <w:ind w:left="2115" w:hanging="360"/>
      </w:pPr>
      <w:rPr>
        <w:rFonts w:hint="default"/>
      </w:rPr>
    </w:lvl>
    <w:lvl w:ilvl="5">
      <w:start w:val="1"/>
      <w:numFmt w:val="bullet"/>
      <w:lvlText w:val="•"/>
      <w:lvlJc w:val="left"/>
      <w:pPr>
        <w:ind w:left="2627" w:hanging="360"/>
      </w:pPr>
      <w:rPr>
        <w:rFonts w:hint="default"/>
      </w:rPr>
    </w:lvl>
    <w:lvl w:ilvl="6">
      <w:start w:val="1"/>
      <w:numFmt w:val="bullet"/>
      <w:lvlText w:val="•"/>
      <w:lvlJc w:val="left"/>
      <w:pPr>
        <w:ind w:left="3139" w:hanging="360"/>
      </w:pPr>
      <w:rPr>
        <w:rFonts w:hint="default"/>
      </w:rPr>
    </w:lvl>
    <w:lvl w:ilvl="7">
      <w:start w:val="1"/>
      <w:numFmt w:val="bullet"/>
      <w:lvlText w:val="•"/>
      <w:lvlJc w:val="left"/>
      <w:pPr>
        <w:ind w:left="3651" w:hanging="360"/>
      </w:pPr>
      <w:rPr>
        <w:rFonts w:hint="default"/>
      </w:rPr>
    </w:lvl>
    <w:lvl w:ilvl="8">
      <w:start w:val="1"/>
      <w:numFmt w:val="bullet"/>
      <w:lvlText w:val="•"/>
      <w:lvlJc w:val="left"/>
      <w:pPr>
        <w:ind w:left="4163" w:hanging="360"/>
      </w:pPr>
      <w:rPr>
        <w:rFonts w:hint="default"/>
      </w:rPr>
    </w:lvl>
  </w:abstractNum>
  <w:abstractNum w:abstractNumId="95">
    <w:multiLevelType w:val="hybridMultilevel"/>
    <w:lvl w:ilvl="0">
      <w:start w:val="1"/>
      <w:numFmt w:val="decimal"/>
      <w:lvlText w:val="%1."/>
      <w:lvlJc w:val="left"/>
      <w:pPr>
        <w:ind w:left="978" w:hanging="348"/>
        <w:jc w:val="left"/>
      </w:pPr>
      <w:rPr>
        <w:rFonts w:hint="default" w:ascii="Times New Roman" w:hAnsi="Times New Roman" w:eastAsia="Times New Roman" w:cs="Times New Roman"/>
        <w:b/>
        <w:bCs/>
        <w:w w:val="100"/>
        <w:sz w:val="20"/>
        <w:szCs w:val="20"/>
      </w:rPr>
    </w:lvl>
    <w:lvl w:ilvl="1">
      <w:start w:val="1"/>
      <w:numFmt w:val="upperLetter"/>
      <w:lvlText w:val="%2."/>
      <w:lvlJc w:val="left"/>
      <w:pPr>
        <w:ind w:left="980" w:hanging="273"/>
        <w:jc w:val="left"/>
      </w:pPr>
      <w:rPr>
        <w:rFonts w:hint="default" w:ascii="Times New Roman" w:hAnsi="Times New Roman" w:eastAsia="Times New Roman" w:cs="Times New Roman"/>
        <w:w w:val="100"/>
        <w:sz w:val="20"/>
        <w:szCs w:val="20"/>
      </w:rPr>
    </w:lvl>
    <w:lvl w:ilvl="2">
      <w:start w:val="1"/>
      <w:numFmt w:val="bullet"/>
      <w:lvlText w:val="•"/>
      <w:lvlJc w:val="left"/>
      <w:pPr>
        <w:ind w:left="697" w:hanging="273"/>
      </w:pPr>
      <w:rPr>
        <w:rFonts w:hint="default"/>
      </w:rPr>
    </w:lvl>
    <w:lvl w:ilvl="3">
      <w:start w:val="1"/>
      <w:numFmt w:val="bullet"/>
      <w:lvlText w:val="•"/>
      <w:lvlJc w:val="left"/>
      <w:pPr>
        <w:ind w:left="555" w:hanging="273"/>
      </w:pPr>
      <w:rPr>
        <w:rFonts w:hint="default"/>
      </w:rPr>
    </w:lvl>
    <w:lvl w:ilvl="4">
      <w:start w:val="1"/>
      <w:numFmt w:val="bullet"/>
      <w:lvlText w:val="•"/>
      <w:lvlJc w:val="left"/>
      <w:pPr>
        <w:ind w:left="414" w:hanging="273"/>
      </w:pPr>
      <w:rPr>
        <w:rFonts w:hint="default"/>
      </w:rPr>
    </w:lvl>
    <w:lvl w:ilvl="5">
      <w:start w:val="1"/>
      <w:numFmt w:val="bullet"/>
      <w:lvlText w:val="•"/>
      <w:lvlJc w:val="left"/>
      <w:pPr>
        <w:ind w:left="272" w:hanging="273"/>
      </w:pPr>
      <w:rPr>
        <w:rFonts w:hint="default"/>
      </w:rPr>
    </w:lvl>
    <w:lvl w:ilvl="6">
      <w:start w:val="1"/>
      <w:numFmt w:val="bullet"/>
      <w:lvlText w:val="•"/>
      <w:lvlJc w:val="left"/>
      <w:pPr>
        <w:ind w:left="130" w:hanging="273"/>
      </w:pPr>
      <w:rPr>
        <w:rFonts w:hint="default"/>
      </w:rPr>
    </w:lvl>
    <w:lvl w:ilvl="7">
      <w:start w:val="1"/>
      <w:numFmt w:val="bullet"/>
      <w:lvlText w:val="•"/>
      <w:lvlJc w:val="left"/>
      <w:pPr>
        <w:ind w:left="-11" w:hanging="273"/>
      </w:pPr>
      <w:rPr>
        <w:rFonts w:hint="default"/>
      </w:rPr>
    </w:lvl>
    <w:lvl w:ilvl="8">
      <w:start w:val="1"/>
      <w:numFmt w:val="bullet"/>
      <w:lvlText w:val="•"/>
      <w:lvlJc w:val="left"/>
      <w:pPr>
        <w:ind w:left="-153" w:hanging="273"/>
      </w:pPr>
      <w:rPr>
        <w:rFonts w:hint="default"/>
      </w:rPr>
    </w:lvl>
  </w:abstractNum>
  <w:abstractNum w:abstractNumId="94">
    <w:multiLevelType w:val="hybridMultilevel"/>
    <w:lvl w:ilvl="0">
      <w:start w:val="1"/>
      <w:numFmt w:val="decimal"/>
      <w:lvlText w:val="%1."/>
      <w:lvlJc w:val="left"/>
      <w:pPr>
        <w:ind w:left="990" w:hanging="348"/>
        <w:jc w:val="left"/>
      </w:pPr>
      <w:rPr>
        <w:rFonts w:hint="default" w:ascii="Times New Roman" w:hAnsi="Times New Roman" w:eastAsia="Times New Roman" w:cs="Times New Roman"/>
        <w:w w:val="100"/>
        <w:sz w:val="20"/>
        <w:szCs w:val="20"/>
      </w:rPr>
    </w:lvl>
    <w:lvl w:ilvl="1">
      <w:start w:val="1"/>
      <w:numFmt w:val="bullet"/>
      <w:lvlText w:val="•"/>
      <w:lvlJc w:val="left"/>
      <w:pPr>
        <w:ind w:left="1481" w:hanging="348"/>
      </w:pPr>
      <w:rPr>
        <w:rFonts w:hint="default"/>
      </w:rPr>
    </w:lvl>
    <w:lvl w:ilvl="2">
      <w:start w:val="1"/>
      <w:numFmt w:val="bullet"/>
      <w:lvlText w:val="•"/>
      <w:lvlJc w:val="left"/>
      <w:pPr>
        <w:ind w:left="1963" w:hanging="348"/>
      </w:pPr>
      <w:rPr>
        <w:rFonts w:hint="default"/>
      </w:rPr>
    </w:lvl>
    <w:lvl w:ilvl="3">
      <w:start w:val="1"/>
      <w:numFmt w:val="bullet"/>
      <w:lvlText w:val="•"/>
      <w:lvlJc w:val="left"/>
      <w:pPr>
        <w:ind w:left="2444" w:hanging="348"/>
      </w:pPr>
      <w:rPr>
        <w:rFonts w:hint="default"/>
      </w:rPr>
    </w:lvl>
    <w:lvl w:ilvl="4">
      <w:start w:val="1"/>
      <w:numFmt w:val="bullet"/>
      <w:lvlText w:val="•"/>
      <w:lvlJc w:val="left"/>
      <w:pPr>
        <w:ind w:left="2926" w:hanging="348"/>
      </w:pPr>
      <w:rPr>
        <w:rFonts w:hint="default"/>
      </w:rPr>
    </w:lvl>
    <w:lvl w:ilvl="5">
      <w:start w:val="1"/>
      <w:numFmt w:val="bullet"/>
      <w:lvlText w:val="•"/>
      <w:lvlJc w:val="left"/>
      <w:pPr>
        <w:ind w:left="3407" w:hanging="348"/>
      </w:pPr>
      <w:rPr>
        <w:rFonts w:hint="default"/>
      </w:rPr>
    </w:lvl>
    <w:lvl w:ilvl="6">
      <w:start w:val="1"/>
      <w:numFmt w:val="bullet"/>
      <w:lvlText w:val="•"/>
      <w:lvlJc w:val="left"/>
      <w:pPr>
        <w:ind w:left="3889" w:hanging="348"/>
      </w:pPr>
      <w:rPr>
        <w:rFonts w:hint="default"/>
      </w:rPr>
    </w:lvl>
    <w:lvl w:ilvl="7">
      <w:start w:val="1"/>
      <w:numFmt w:val="bullet"/>
      <w:lvlText w:val="•"/>
      <w:lvlJc w:val="left"/>
      <w:pPr>
        <w:ind w:left="4370" w:hanging="348"/>
      </w:pPr>
      <w:rPr>
        <w:rFonts w:hint="default"/>
      </w:rPr>
    </w:lvl>
    <w:lvl w:ilvl="8">
      <w:start w:val="1"/>
      <w:numFmt w:val="bullet"/>
      <w:lvlText w:val="•"/>
      <w:lvlJc w:val="left"/>
      <w:pPr>
        <w:ind w:left="4852" w:hanging="348"/>
      </w:pPr>
      <w:rPr>
        <w:rFonts w:hint="default"/>
      </w:rPr>
    </w:lvl>
  </w:abstractNum>
  <w:abstractNum w:abstractNumId="93">
    <w:multiLevelType w:val="hybridMultilevel"/>
    <w:lvl w:ilvl="0">
      <w:start w:val="1"/>
      <w:numFmt w:val="decimal"/>
      <w:lvlText w:val="%1."/>
      <w:lvlJc w:val="left"/>
      <w:pPr>
        <w:ind w:left="990" w:hanging="348"/>
        <w:jc w:val="left"/>
      </w:pPr>
      <w:rPr>
        <w:rFonts w:hint="default" w:ascii="Times New Roman" w:hAnsi="Times New Roman" w:eastAsia="Times New Roman" w:cs="Times New Roman"/>
        <w:w w:val="100"/>
        <w:sz w:val="20"/>
        <w:szCs w:val="20"/>
      </w:rPr>
    </w:lvl>
    <w:lvl w:ilvl="1">
      <w:start w:val="1"/>
      <w:numFmt w:val="bullet"/>
      <w:lvlText w:val="•"/>
      <w:lvlJc w:val="left"/>
      <w:pPr>
        <w:ind w:left="1481" w:hanging="348"/>
      </w:pPr>
      <w:rPr>
        <w:rFonts w:hint="default"/>
      </w:rPr>
    </w:lvl>
    <w:lvl w:ilvl="2">
      <w:start w:val="1"/>
      <w:numFmt w:val="bullet"/>
      <w:lvlText w:val="•"/>
      <w:lvlJc w:val="left"/>
      <w:pPr>
        <w:ind w:left="1963" w:hanging="348"/>
      </w:pPr>
      <w:rPr>
        <w:rFonts w:hint="default"/>
      </w:rPr>
    </w:lvl>
    <w:lvl w:ilvl="3">
      <w:start w:val="1"/>
      <w:numFmt w:val="bullet"/>
      <w:lvlText w:val="•"/>
      <w:lvlJc w:val="left"/>
      <w:pPr>
        <w:ind w:left="2444" w:hanging="348"/>
      </w:pPr>
      <w:rPr>
        <w:rFonts w:hint="default"/>
      </w:rPr>
    </w:lvl>
    <w:lvl w:ilvl="4">
      <w:start w:val="1"/>
      <w:numFmt w:val="bullet"/>
      <w:lvlText w:val="•"/>
      <w:lvlJc w:val="left"/>
      <w:pPr>
        <w:ind w:left="2926" w:hanging="348"/>
      </w:pPr>
      <w:rPr>
        <w:rFonts w:hint="default"/>
      </w:rPr>
    </w:lvl>
    <w:lvl w:ilvl="5">
      <w:start w:val="1"/>
      <w:numFmt w:val="bullet"/>
      <w:lvlText w:val="•"/>
      <w:lvlJc w:val="left"/>
      <w:pPr>
        <w:ind w:left="3407" w:hanging="348"/>
      </w:pPr>
      <w:rPr>
        <w:rFonts w:hint="default"/>
      </w:rPr>
    </w:lvl>
    <w:lvl w:ilvl="6">
      <w:start w:val="1"/>
      <w:numFmt w:val="bullet"/>
      <w:lvlText w:val="•"/>
      <w:lvlJc w:val="left"/>
      <w:pPr>
        <w:ind w:left="3889" w:hanging="348"/>
      </w:pPr>
      <w:rPr>
        <w:rFonts w:hint="default"/>
      </w:rPr>
    </w:lvl>
    <w:lvl w:ilvl="7">
      <w:start w:val="1"/>
      <w:numFmt w:val="bullet"/>
      <w:lvlText w:val="•"/>
      <w:lvlJc w:val="left"/>
      <w:pPr>
        <w:ind w:left="4370" w:hanging="348"/>
      </w:pPr>
      <w:rPr>
        <w:rFonts w:hint="default"/>
      </w:rPr>
    </w:lvl>
    <w:lvl w:ilvl="8">
      <w:start w:val="1"/>
      <w:numFmt w:val="bullet"/>
      <w:lvlText w:val="•"/>
      <w:lvlJc w:val="left"/>
      <w:pPr>
        <w:ind w:left="4852" w:hanging="348"/>
      </w:pPr>
      <w:rPr>
        <w:rFonts w:hint="default"/>
      </w:rPr>
    </w:lvl>
  </w:abstractNum>
  <w:abstractNum w:abstractNumId="92">
    <w:multiLevelType w:val="hybridMultilevel"/>
    <w:lvl w:ilvl="0">
      <w:start w:val="13"/>
      <w:numFmt w:val="upperLetter"/>
      <w:lvlText w:val="%1"/>
      <w:lvlJc w:val="left"/>
      <w:pPr>
        <w:ind w:left="270" w:hanging="566"/>
        <w:jc w:val="left"/>
      </w:pPr>
      <w:rPr>
        <w:rFonts w:hint="default"/>
      </w:rPr>
    </w:lvl>
    <w:lvl w:ilvl="1">
      <w:start w:val="12"/>
      <w:numFmt w:val="upperLetter"/>
      <w:lvlText w:val="%1.%2."/>
      <w:lvlJc w:val="left"/>
      <w:pPr>
        <w:ind w:left="270" w:hanging="566"/>
        <w:jc w:val="left"/>
      </w:pPr>
      <w:rPr>
        <w:rFonts w:hint="default" w:ascii="Times New Roman" w:hAnsi="Times New Roman" w:eastAsia="Times New Roman" w:cs="Times New Roman"/>
        <w:spacing w:val="-1"/>
        <w:w w:val="100"/>
        <w:sz w:val="20"/>
        <w:szCs w:val="20"/>
      </w:rPr>
    </w:lvl>
    <w:lvl w:ilvl="2">
      <w:start w:val="1"/>
      <w:numFmt w:val="decimal"/>
      <w:lvlText w:val="%3."/>
      <w:lvlJc w:val="left"/>
      <w:pPr>
        <w:ind w:left="1186" w:hanging="556"/>
        <w:jc w:val="left"/>
      </w:pPr>
      <w:rPr>
        <w:rFonts w:hint="default" w:ascii="Times New Roman" w:hAnsi="Times New Roman" w:eastAsia="Times New Roman" w:cs="Times New Roman"/>
        <w:b/>
        <w:bCs/>
        <w:w w:val="100"/>
        <w:sz w:val="20"/>
        <w:szCs w:val="20"/>
      </w:rPr>
    </w:lvl>
    <w:lvl w:ilvl="3">
      <w:start w:val="1"/>
      <w:numFmt w:val="bullet"/>
      <w:lvlText w:val="•"/>
      <w:lvlJc w:val="left"/>
      <w:pPr>
        <w:ind w:left="820" w:hanging="556"/>
      </w:pPr>
      <w:rPr>
        <w:rFonts w:hint="default"/>
      </w:rPr>
    </w:lvl>
    <w:lvl w:ilvl="4">
      <w:start w:val="1"/>
      <w:numFmt w:val="bullet"/>
      <w:lvlText w:val="•"/>
      <w:lvlJc w:val="left"/>
      <w:pPr>
        <w:ind w:left="641" w:hanging="556"/>
      </w:pPr>
      <w:rPr>
        <w:rFonts w:hint="default"/>
      </w:rPr>
    </w:lvl>
    <w:lvl w:ilvl="5">
      <w:start w:val="1"/>
      <w:numFmt w:val="bullet"/>
      <w:lvlText w:val="•"/>
      <w:lvlJc w:val="left"/>
      <w:pPr>
        <w:ind w:left="461" w:hanging="556"/>
      </w:pPr>
      <w:rPr>
        <w:rFonts w:hint="default"/>
      </w:rPr>
    </w:lvl>
    <w:lvl w:ilvl="6">
      <w:start w:val="1"/>
      <w:numFmt w:val="bullet"/>
      <w:lvlText w:val="•"/>
      <w:lvlJc w:val="left"/>
      <w:pPr>
        <w:ind w:left="282" w:hanging="556"/>
      </w:pPr>
      <w:rPr>
        <w:rFonts w:hint="default"/>
      </w:rPr>
    </w:lvl>
    <w:lvl w:ilvl="7">
      <w:start w:val="1"/>
      <w:numFmt w:val="bullet"/>
      <w:lvlText w:val="•"/>
      <w:lvlJc w:val="left"/>
      <w:pPr>
        <w:ind w:left="102" w:hanging="556"/>
      </w:pPr>
      <w:rPr>
        <w:rFonts w:hint="default"/>
      </w:rPr>
    </w:lvl>
    <w:lvl w:ilvl="8">
      <w:start w:val="1"/>
      <w:numFmt w:val="bullet"/>
      <w:lvlText w:val="•"/>
      <w:lvlJc w:val="left"/>
      <w:pPr>
        <w:ind w:left="-77" w:hanging="556"/>
      </w:pPr>
      <w:rPr>
        <w:rFonts w:hint="default"/>
      </w:rPr>
    </w:lvl>
  </w:abstractNum>
  <w:abstractNum w:abstractNumId="91">
    <w:multiLevelType w:val="hybridMultilevel"/>
    <w:lvl w:ilvl="0">
      <w:start w:val="5"/>
      <w:numFmt w:val="decimal"/>
      <w:lvlText w:val="%1"/>
      <w:lvlJc w:val="left"/>
      <w:pPr>
        <w:ind w:left="867" w:hanging="433"/>
        <w:jc w:val="left"/>
      </w:pPr>
      <w:rPr>
        <w:rFonts w:hint="default" w:ascii="Times New Roman" w:hAnsi="Times New Roman" w:eastAsia="Times New Roman" w:cs="Times New Roman"/>
        <w:w w:val="100"/>
        <w:sz w:val="18"/>
        <w:szCs w:val="18"/>
      </w:rPr>
    </w:lvl>
    <w:lvl w:ilvl="1">
      <w:start w:val="1"/>
      <w:numFmt w:val="bullet"/>
      <w:lvlText w:val="•"/>
      <w:lvlJc w:val="left"/>
      <w:pPr>
        <w:ind w:left="1204" w:hanging="433"/>
      </w:pPr>
      <w:rPr>
        <w:rFonts w:hint="default"/>
      </w:rPr>
    </w:lvl>
    <w:lvl w:ilvl="2">
      <w:start w:val="1"/>
      <w:numFmt w:val="bullet"/>
      <w:lvlText w:val="•"/>
      <w:lvlJc w:val="left"/>
      <w:pPr>
        <w:ind w:left="1548" w:hanging="433"/>
      </w:pPr>
      <w:rPr>
        <w:rFonts w:hint="default"/>
      </w:rPr>
    </w:lvl>
    <w:lvl w:ilvl="3">
      <w:start w:val="1"/>
      <w:numFmt w:val="bullet"/>
      <w:lvlText w:val="•"/>
      <w:lvlJc w:val="left"/>
      <w:pPr>
        <w:ind w:left="1892" w:hanging="433"/>
      </w:pPr>
      <w:rPr>
        <w:rFonts w:hint="default"/>
      </w:rPr>
    </w:lvl>
    <w:lvl w:ilvl="4">
      <w:start w:val="1"/>
      <w:numFmt w:val="bullet"/>
      <w:lvlText w:val="•"/>
      <w:lvlJc w:val="left"/>
      <w:pPr>
        <w:ind w:left="2236" w:hanging="433"/>
      </w:pPr>
      <w:rPr>
        <w:rFonts w:hint="default"/>
      </w:rPr>
    </w:lvl>
    <w:lvl w:ilvl="5">
      <w:start w:val="1"/>
      <w:numFmt w:val="bullet"/>
      <w:lvlText w:val="•"/>
      <w:lvlJc w:val="left"/>
      <w:pPr>
        <w:ind w:left="2580" w:hanging="433"/>
      </w:pPr>
      <w:rPr>
        <w:rFonts w:hint="default"/>
      </w:rPr>
    </w:lvl>
    <w:lvl w:ilvl="6">
      <w:start w:val="1"/>
      <w:numFmt w:val="bullet"/>
      <w:lvlText w:val="•"/>
      <w:lvlJc w:val="left"/>
      <w:pPr>
        <w:ind w:left="2924" w:hanging="433"/>
      </w:pPr>
      <w:rPr>
        <w:rFonts w:hint="default"/>
      </w:rPr>
    </w:lvl>
    <w:lvl w:ilvl="7">
      <w:start w:val="1"/>
      <w:numFmt w:val="bullet"/>
      <w:lvlText w:val="•"/>
      <w:lvlJc w:val="left"/>
      <w:pPr>
        <w:ind w:left="3268" w:hanging="433"/>
      </w:pPr>
      <w:rPr>
        <w:rFonts w:hint="default"/>
      </w:rPr>
    </w:lvl>
    <w:lvl w:ilvl="8">
      <w:start w:val="1"/>
      <w:numFmt w:val="bullet"/>
      <w:lvlText w:val="•"/>
      <w:lvlJc w:val="left"/>
      <w:pPr>
        <w:ind w:left="3612" w:hanging="433"/>
      </w:pPr>
      <w:rPr>
        <w:rFonts w:hint="default"/>
      </w:rPr>
    </w:lvl>
  </w:abstractNum>
  <w:abstractNum w:abstractNumId="90">
    <w:multiLevelType w:val="hybridMultilevel"/>
    <w:lvl w:ilvl="0">
      <w:start w:val="1"/>
      <w:numFmt w:val="decimal"/>
      <w:lvlText w:val="%1."/>
      <w:lvlJc w:val="left"/>
      <w:pPr>
        <w:ind w:left="492" w:hanging="202"/>
        <w:jc w:val="right"/>
      </w:pPr>
      <w:rPr>
        <w:rFonts w:hint="default" w:ascii="Times New Roman" w:hAnsi="Times New Roman" w:eastAsia="Times New Roman" w:cs="Times New Roman"/>
        <w:b/>
        <w:bCs/>
        <w:w w:val="100"/>
        <w:sz w:val="20"/>
        <w:szCs w:val="20"/>
      </w:rPr>
    </w:lvl>
    <w:lvl w:ilvl="1">
      <w:start w:val="1"/>
      <w:numFmt w:val="decimal"/>
      <w:lvlText w:val="%1.%2"/>
      <w:lvlJc w:val="left"/>
      <w:pPr>
        <w:ind w:left="591" w:hanging="301"/>
        <w:jc w:val="left"/>
      </w:pPr>
      <w:rPr>
        <w:rFonts w:hint="default" w:ascii="Times New Roman" w:hAnsi="Times New Roman" w:eastAsia="Times New Roman" w:cs="Times New Roman"/>
        <w:b/>
        <w:bCs/>
        <w:spacing w:val="-1"/>
        <w:w w:val="100"/>
        <w:sz w:val="20"/>
        <w:szCs w:val="20"/>
      </w:rPr>
    </w:lvl>
    <w:lvl w:ilvl="2">
      <w:start w:val="1"/>
      <w:numFmt w:val="decimal"/>
      <w:lvlText w:val="%1.%2.%3"/>
      <w:lvlJc w:val="left"/>
      <w:pPr>
        <w:ind w:left="270" w:hanging="451"/>
        <w:jc w:val="right"/>
      </w:pPr>
      <w:rPr>
        <w:rFonts w:hint="default" w:ascii="Times New Roman" w:hAnsi="Times New Roman" w:eastAsia="Times New Roman" w:cs="Times New Roman"/>
        <w:spacing w:val="-1"/>
        <w:w w:val="100"/>
        <w:sz w:val="20"/>
        <w:szCs w:val="20"/>
      </w:rPr>
    </w:lvl>
    <w:lvl w:ilvl="3">
      <w:start w:val="1"/>
      <w:numFmt w:val="bullet"/>
      <w:lvlText w:val="•"/>
      <w:lvlJc w:val="left"/>
      <w:pPr>
        <w:ind w:left="473" w:hanging="451"/>
      </w:pPr>
      <w:rPr>
        <w:rFonts w:hint="default"/>
      </w:rPr>
    </w:lvl>
    <w:lvl w:ilvl="4">
      <w:start w:val="1"/>
      <w:numFmt w:val="bullet"/>
      <w:lvlText w:val="•"/>
      <w:lvlJc w:val="left"/>
      <w:pPr>
        <w:ind w:left="346" w:hanging="451"/>
      </w:pPr>
      <w:rPr>
        <w:rFonts w:hint="default"/>
      </w:rPr>
    </w:lvl>
    <w:lvl w:ilvl="5">
      <w:start w:val="1"/>
      <w:numFmt w:val="bullet"/>
      <w:lvlText w:val="•"/>
      <w:lvlJc w:val="left"/>
      <w:pPr>
        <w:ind w:left="219" w:hanging="451"/>
      </w:pPr>
      <w:rPr>
        <w:rFonts w:hint="default"/>
      </w:rPr>
    </w:lvl>
    <w:lvl w:ilvl="6">
      <w:start w:val="1"/>
      <w:numFmt w:val="bullet"/>
      <w:lvlText w:val="•"/>
      <w:lvlJc w:val="left"/>
      <w:pPr>
        <w:ind w:left="92" w:hanging="451"/>
      </w:pPr>
      <w:rPr>
        <w:rFonts w:hint="default"/>
      </w:rPr>
    </w:lvl>
    <w:lvl w:ilvl="7">
      <w:start w:val="1"/>
      <w:numFmt w:val="bullet"/>
      <w:lvlText w:val="•"/>
      <w:lvlJc w:val="left"/>
      <w:pPr>
        <w:ind w:left="-35" w:hanging="451"/>
      </w:pPr>
      <w:rPr>
        <w:rFonts w:hint="default"/>
      </w:rPr>
    </w:lvl>
    <w:lvl w:ilvl="8">
      <w:start w:val="1"/>
      <w:numFmt w:val="bullet"/>
      <w:lvlText w:val="•"/>
      <w:lvlJc w:val="left"/>
      <w:pPr>
        <w:ind w:left="-162" w:hanging="451"/>
      </w:pPr>
      <w:rPr>
        <w:rFonts w:hint="default"/>
      </w:rPr>
    </w:lvl>
  </w:abstractNum>
  <w:abstractNum w:abstractNumId="89">
    <w:multiLevelType w:val="hybridMultilevel"/>
    <w:lvl w:ilvl="0">
      <w:start w:val="1"/>
      <w:numFmt w:val="decimal"/>
      <w:lvlText w:val="%1"/>
      <w:lvlJc w:val="left"/>
      <w:pPr>
        <w:ind w:left="953" w:hanging="436"/>
        <w:jc w:val="right"/>
      </w:pPr>
      <w:rPr>
        <w:rFonts w:hint="default" w:ascii="Times New Roman" w:hAnsi="Times New Roman" w:eastAsia="Times New Roman" w:cs="Times New Roman"/>
        <w:w w:val="99"/>
        <w:position w:val="6"/>
        <w:sz w:val="16"/>
        <w:szCs w:val="16"/>
      </w:rPr>
    </w:lvl>
    <w:lvl w:ilvl="1">
      <w:start w:val="1"/>
      <w:numFmt w:val="bullet"/>
      <w:lvlText w:val="•"/>
      <w:lvlJc w:val="left"/>
      <w:pPr>
        <w:ind w:left="1456" w:hanging="436"/>
      </w:pPr>
      <w:rPr>
        <w:rFonts w:hint="default"/>
      </w:rPr>
    </w:lvl>
    <w:lvl w:ilvl="2">
      <w:start w:val="1"/>
      <w:numFmt w:val="bullet"/>
      <w:lvlText w:val="•"/>
      <w:lvlJc w:val="left"/>
      <w:pPr>
        <w:ind w:left="1952" w:hanging="436"/>
      </w:pPr>
      <w:rPr>
        <w:rFonts w:hint="default"/>
      </w:rPr>
    </w:lvl>
    <w:lvl w:ilvl="3">
      <w:start w:val="1"/>
      <w:numFmt w:val="bullet"/>
      <w:lvlText w:val="•"/>
      <w:lvlJc w:val="left"/>
      <w:pPr>
        <w:ind w:left="2449" w:hanging="436"/>
      </w:pPr>
      <w:rPr>
        <w:rFonts w:hint="default"/>
      </w:rPr>
    </w:lvl>
    <w:lvl w:ilvl="4">
      <w:start w:val="1"/>
      <w:numFmt w:val="bullet"/>
      <w:lvlText w:val="•"/>
      <w:lvlJc w:val="left"/>
      <w:pPr>
        <w:ind w:left="2945" w:hanging="436"/>
      </w:pPr>
      <w:rPr>
        <w:rFonts w:hint="default"/>
      </w:rPr>
    </w:lvl>
    <w:lvl w:ilvl="5">
      <w:start w:val="1"/>
      <w:numFmt w:val="bullet"/>
      <w:lvlText w:val="•"/>
      <w:lvlJc w:val="left"/>
      <w:pPr>
        <w:ind w:left="3441" w:hanging="436"/>
      </w:pPr>
      <w:rPr>
        <w:rFonts w:hint="default"/>
      </w:rPr>
    </w:lvl>
    <w:lvl w:ilvl="6">
      <w:start w:val="1"/>
      <w:numFmt w:val="bullet"/>
      <w:lvlText w:val="•"/>
      <w:lvlJc w:val="left"/>
      <w:pPr>
        <w:ind w:left="3938" w:hanging="436"/>
      </w:pPr>
      <w:rPr>
        <w:rFonts w:hint="default"/>
      </w:rPr>
    </w:lvl>
    <w:lvl w:ilvl="7">
      <w:start w:val="1"/>
      <w:numFmt w:val="bullet"/>
      <w:lvlText w:val="•"/>
      <w:lvlJc w:val="left"/>
      <w:pPr>
        <w:ind w:left="4434" w:hanging="436"/>
      </w:pPr>
      <w:rPr>
        <w:rFonts w:hint="default"/>
      </w:rPr>
    </w:lvl>
    <w:lvl w:ilvl="8">
      <w:start w:val="1"/>
      <w:numFmt w:val="bullet"/>
      <w:lvlText w:val="•"/>
      <w:lvlJc w:val="left"/>
      <w:pPr>
        <w:ind w:left="4930" w:hanging="436"/>
      </w:pPr>
      <w:rPr>
        <w:rFonts w:hint="default"/>
      </w:rPr>
    </w:lvl>
  </w:abstractNum>
  <w:abstractNum w:abstractNumId="88">
    <w:multiLevelType w:val="hybridMultilevel"/>
    <w:lvl w:ilvl="0">
      <w:start w:val="1"/>
      <w:numFmt w:val="decimal"/>
      <w:lvlText w:val="%1."/>
      <w:lvlJc w:val="left"/>
      <w:pPr>
        <w:ind w:left="472" w:hanging="202"/>
        <w:jc w:val="left"/>
      </w:pPr>
      <w:rPr>
        <w:rFonts w:hint="default" w:ascii="Times New Roman" w:hAnsi="Times New Roman" w:eastAsia="Times New Roman" w:cs="Times New Roman"/>
        <w:b/>
        <w:bCs/>
        <w:w w:val="100"/>
        <w:sz w:val="20"/>
        <w:szCs w:val="20"/>
      </w:rPr>
    </w:lvl>
    <w:lvl w:ilvl="1">
      <w:start w:val="1"/>
      <w:numFmt w:val="decimal"/>
      <w:lvlText w:val="%1.%2"/>
      <w:lvlJc w:val="left"/>
      <w:pPr>
        <w:ind w:left="571" w:hanging="301"/>
        <w:jc w:val="left"/>
      </w:pPr>
      <w:rPr>
        <w:rFonts w:hint="default" w:ascii="Times New Roman" w:hAnsi="Times New Roman" w:eastAsia="Times New Roman" w:cs="Times New Roman"/>
        <w:b/>
        <w:bCs/>
        <w:spacing w:val="-1"/>
        <w:w w:val="100"/>
        <w:sz w:val="20"/>
        <w:szCs w:val="20"/>
      </w:rPr>
    </w:lvl>
    <w:lvl w:ilvl="2">
      <w:start w:val="1"/>
      <w:numFmt w:val="bullet"/>
      <w:lvlText w:val="•"/>
      <w:lvlJc w:val="left"/>
      <w:pPr>
        <w:ind w:left="466" w:hanging="301"/>
      </w:pPr>
      <w:rPr>
        <w:rFonts w:hint="default"/>
      </w:rPr>
    </w:lvl>
    <w:lvl w:ilvl="3">
      <w:start w:val="1"/>
      <w:numFmt w:val="bullet"/>
      <w:lvlText w:val="•"/>
      <w:lvlJc w:val="left"/>
      <w:pPr>
        <w:ind w:left="353" w:hanging="301"/>
      </w:pPr>
      <w:rPr>
        <w:rFonts w:hint="default"/>
      </w:rPr>
    </w:lvl>
    <w:lvl w:ilvl="4">
      <w:start w:val="1"/>
      <w:numFmt w:val="bullet"/>
      <w:lvlText w:val="•"/>
      <w:lvlJc w:val="left"/>
      <w:pPr>
        <w:ind w:left="240" w:hanging="301"/>
      </w:pPr>
      <w:rPr>
        <w:rFonts w:hint="default"/>
      </w:rPr>
    </w:lvl>
    <w:lvl w:ilvl="5">
      <w:start w:val="1"/>
      <w:numFmt w:val="bullet"/>
      <w:lvlText w:val="•"/>
      <w:lvlJc w:val="left"/>
      <w:pPr>
        <w:ind w:left="126" w:hanging="301"/>
      </w:pPr>
      <w:rPr>
        <w:rFonts w:hint="default"/>
      </w:rPr>
    </w:lvl>
    <w:lvl w:ilvl="6">
      <w:start w:val="1"/>
      <w:numFmt w:val="bullet"/>
      <w:lvlText w:val="•"/>
      <w:lvlJc w:val="left"/>
      <w:pPr>
        <w:ind w:left="13" w:hanging="301"/>
      </w:pPr>
      <w:rPr>
        <w:rFonts w:hint="default"/>
      </w:rPr>
    </w:lvl>
    <w:lvl w:ilvl="7">
      <w:start w:val="1"/>
      <w:numFmt w:val="bullet"/>
      <w:lvlText w:val="•"/>
      <w:lvlJc w:val="left"/>
      <w:pPr>
        <w:ind w:left="-100" w:hanging="301"/>
      </w:pPr>
      <w:rPr>
        <w:rFonts w:hint="default"/>
      </w:rPr>
    </w:lvl>
    <w:lvl w:ilvl="8">
      <w:start w:val="1"/>
      <w:numFmt w:val="bullet"/>
      <w:lvlText w:val="•"/>
      <w:lvlJc w:val="left"/>
      <w:pPr>
        <w:ind w:left="-214" w:hanging="301"/>
      </w:pPr>
      <w:rPr>
        <w:rFonts w:hint="default"/>
      </w:rPr>
    </w:lvl>
  </w:abstractNum>
  <w:abstractNum w:abstractNumId="87">
    <w:multiLevelType w:val="hybridMultilevel"/>
    <w:lvl w:ilvl="0">
      <w:start w:val="5"/>
      <w:numFmt w:val="decimal"/>
      <w:lvlText w:val="%1."/>
      <w:lvlJc w:val="left"/>
      <w:pPr>
        <w:ind w:left="471" w:hanging="201"/>
        <w:jc w:val="left"/>
      </w:pPr>
      <w:rPr>
        <w:rFonts w:hint="default" w:ascii="Times New Roman" w:hAnsi="Times New Roman" w:eastAsia="Times New Roman" w:cs="Times New Roman"/>
        <w:b/>
        <w:bCs/>
        <w:w w:val="100"/>
        <w:sz w:val="20"/>
        <w:szCs w:val="20"/>
      </w:rPr>
    </w:lvl>
    <w:lvl w:ilvl="1">
      <w:start w:val="1"/>
      <w:numFmt w:val="bullet"/>
      <w:lvlText w:val="•"/>
      <w:lvlJc w:val="left"/>
      <w:pPr>
        <w:ind w:left="987" w:hanging="201"/>
      </w:pPr>
      <w:rPr>
        <w:rFonts w:hint="default"/>
      </w:rPr>
    </w:lvl>
    <w:lvl w:ilvl="2">
      <w:start w:val="1"/>
      <w:numFmt w:val="bullet"/>
      <w:lvlText w:val="•"/>
      <w:lvlJc w:val="left"/>
      <w:pPr>
        <w:ind w:left="1494" w:hanging="201"/>
      </w:pPr>
      <w:rPr>
        <w:rFonts w:hint="default"/>
      </w:rPr>
    </w:lvl>
    <w:lvl w:ilvl="3">
      <w:start w:val="1"/>
      <w:numFmt w:val="bullet"/>
      <w:lvlText w:val="•"/>
      <w:lvlJc w:val="left"/>
      <w:pPr>
        <w:ind w:left="2001" w:hanging="201"/>
      </w:pPr>
      <w:rPr>
        <w:rFonts w:hint="default"/>
      </w:rPr>
    </w:lvl>
    <w:lvl w:ilvl="4">
      <w:start w:val="1"/>
      <w:numFmt w:val="bullet"/>
      <w:lvlText w:val="•"/>
      <w:lvlJc w:val="left"/>
      <w:pPr>
        <w:ind w:left="2508" w:hanging="201"/>
      </w:pPr>
      <w:rPr>
        <w:rFonts w:hint="default"/>
      </w:rPr>
    </w:lvl>
    <w:lvl w:ilvl="5">
      <w:start w:val="1"/>
      <w:numFmt w:val="bullet"/>
      <w:lvlText w:val="•"/>
      <w:lvlJc w:val="left"/>
      <w:pPr>
        <w:ind w:left="3015" w:hanging="201"/>
      </w:pPr>
      <w:rPr>
        <w:rFonts w:hint="default"/>
      </w:rPr>
    </w:lvl>
    <w:lvl w:ilvl="6">
      <w:start w:val="1"/>
      <w:numFmt w:val="bullet"/>
      <w:lvlText w:val="•"/>
      <w:lvlJc w:val="left"/>
      <w:pPr>
        <w:ind w:left="3522" w:hanging="201"/>
      </w:pPr>
      <w:rPr>
        <w:rFonts w:hint="default"/>
      </w:rPr>
    </w:lvl>
    <w:lvl w:ilvl="7">
      <w:start w:val="1"/>
      <w:numFmt w:val="bullet"/>
      <w:lvlText w:val="•"/>
      <w:lvlJc w:val="left"/>
      <w:pPr>
        <w:ind w:left="4029" w:hanging="201"/>
      </w:pPr>
      <w:rPr>
        <w:rFonts w:hint="default"/>
      </w:rPr>
    </w:lvl>
    <w:lvl w:ilvl="8">
      <w:start w:val="1"/>
      <w:numFmt w:val="bullet"/>
      <w:lvlText w:val="•"/>
      <w:lvlJc w:val="left"/>
      <w:pPr>
        <w:ind w:left="4536" w:hanging="201"/>
      </w:pPr>
      <w:rPr>
        <w:rFonts w:hint="default"/>
      </w:rPr>
    </w:lvl>
  </w:abstractNum>
  <w:abstractNum w:abstractNumId="86">
    <w:multiLevelType w:val="hybridMultilevel"/>
    <w:lvl w:ilvl="0">
      <w:start w:val="1"/>
      <w:numFmt w:val="decimal"/>
      <w:lvlText w:val="%1."/>
      <w:lvlJc w:val="left"/>
      <w:pPr>
        <w:ind w:left="270" w:hanging="216"/>
        <w:jc w:val="left"/>
      </w:pPr>
      <w:rPr>
        <w:rFonts w:hint="default" w:ascii="Times New Roman" w:hAnsi="Times New Roman" w:eastAsia="Times New Roman" w:cs="Times New Roman"/>
        <w:w w:val="100"/>
        <w:sz w:val="20"/>
        <w:szCs w:val="20"/>
      </w:rPr>
    </w:lvl>
    <w:lvl w:ilvl="1">
      <w:start w:val="1"/>
      <w:numFmt w:val="bullet"/>
      <w:lvlText w:val="•"/>
      <w:lvlJc w:val="left"/>
      <w:pPr>
        <w:ind w:left="833" w:hanging="216"/>
      </w:pPr>
      <w:rPr>
        <w:rFonts w:hint="default"/>
      </w:rPr>
    </w:lvl>
    <w:lvl w:ilvl="2">
      <w:start w:val="1"/>
      <w:numFmt w:val="bullet"/>
      <w:lvlText w:val="•"/>
      <w:lvlJc w:val="left"/>
      <w:pPr>
        <w:ind w:left="1387" w:hanging="216"/>
      </w:pPr>
      <w:rPr>
        <w:rFonts w:hint="default"/>
      </w:rPr>
    </w:lvl>
    <w:lvl w:ilvl="3">
      <w:start w:val="1"/>
      <w:numFmt w:val="bullet"/>
      <w:lvlText w:val="•"/>
      <w:lvlJc w:val="left"/>
      <w:pPr>
        <w:ind w:left="1940" w:hanging="216"/>
      </w:pPr>
      <w:rPr>
        <w:rFonts w:hint="default"/>
      </w:rPr>
    </w:lvl>
    <w:lvl w:ilvl="4">
      <w:start w:val="1"/>
      <w:numFmt w:val="bullet"/>
      <w:lvlText w:val="•"/>
      <w:lvlJc w:val="left"/>
      <w:pPr>
        <w:ind w:left="2494" w:hanging="216"/>
      </w:pPr>
      <w:rPr>
        <w:rFonts w:hint="default"/>
      </w:rPr>
    </w:lvl>
    <w:lvl w:ilvl="5">
      <w:start w:val="1"/>
      <w:numFmt w:val="bullet"/>
      <w:lvlText w:val="•"/>
      <w:lvlJc w:val="left"/>
      <w:pPr>
        <w:ind w:left="3047" w:hanging="216"/>
      </w:pPr>
      <w:rPr>
        <w:rFonts w:hint="default"/>
      </w:rPr>
    </w:lvl>
    <w:lvl w:ilvl="6">
      <w:start w:val="1"/>
      <w:numFmt w:val="bullet"/>
      <w:lvlText w:val="•"/>
      <w:lvlJc w:val="left"/>
      <w:pPr>
        <w:ind w:left="3601" w:hanging="216"/>
      </w:pPr>
      <w:rPr>
        <w:rFonts w:hint="default"/>
      </w:rPr>
    </w:lvl>
    <w:lvl w:ilvl="7">
      <w:start w:val="1"/>
      <w:numFmt w:val="bullet"/>
      <w:lvlText w:val="•"/>
      <w:lvlJc w:val="left"/>
      <w:pPr>
        <w:ind w:left="4154" w:hanging="216"/>
      </w:pPr>
      <w:rPr>
        <w:rFonts w:hint="default"/>
      </w:rPr>
    </w:lvl>
    <w:lvl w:ilvl="8">
      <w:start w:val="1"/>
      <w:numFmt w:val="bullet"/>
      <w:lvlText w:val="•"/>
      <w:lvlJc w:val="left"/>
      <w:pPr>
        <w:ind w:left="4708" w:hanging="216"/>
      </w:pPr>
      <w:rPr>
        <w:rFonts w:hint="default"/>
      </w:rPr>
    </w:lvl>
  </w:abstractNum>
  <w:abstractNum w:abstractNumId="85">
    <w:multiLevelType w:val="hybridMultilevel"/>
    <w:lvl w:ilvl="0">
      <w:start w:val="4"/>
      <w:numFmt w:val="decimal"/>
      <w:lvlText w:val="%1"/>
      <w:lvlJc w:val="left"/>
      <w:pPr>
        <w:ind w:left="270" w:hanging="313"/>
        <w:jc w:val="left"/>
      </w:pPr>
      <w:rPr>
        <w:rFonts w:hint="default"/>
      </w:rPr>
    </w:lvl>
    <w:lvl w:ilvl="1">
      <w:start w:val="3"/>
      <w:numFmt w:val="decimal"/>
      <w:lvlText w:val="%1.%2"/>
      <w:lvlJc w:val="left"/>
      <w:pPr>
        <w:ind w:left="270" w:hanging="313"/>
        <w:jc w:val="right"/>
      </w:pPr>
      <w:rPr>
        <w:rFonts w:hint="default" w:ascii="Times New Roman" w:hAnsi="Times New Roman" w:eastAsia="Times New Roman" w:cs="Times New Roman"/>
        <w:spacing w:val="-1"/>
        <w:w w:val="100"/>
        <w:sz w:val="20"/>
        <w:szCs w:val="20"/>
      </w:rPr>
    </w:lvl>
    <w:lvl w:ilvl="2">
      <w:start w:val="1"/>
      <w:numFmt w:val="bullet"/>
      <w:lvlText w:val="•"/>
      <w:lvlJc w:val="left"/>
      <w:pPr>
        <w:ind w:left="1387" w:hanging="313"/>
      </w:pPr>
      <w:rPr>
        <w:rFonts w:hint="default"/>
      </w:rPr>
    </w:lvl>
    <w:lvl w:ilvl="3">
      <w:start w:val="1"/>
      <w:numFmt w:val="bullet"/>
      <w:lvlText w:val="•"/>
      <w:lvlJc w:val="left"/>
      <w:pPr>
        <w:ind w:left="1940" w:hanging="313"/>
      </w:pPr>
      <w:rPr>
        <w:rFonts w:hint="default"/>
      </w:rPr>
    </w:lvl>
    <w:lvl w:ilvl="4">
      <w:start w:val="1"/>
      <w:numFmt w:val="bullet"/>
      <w:lvlText w:val="•"/>
      <w:lvlJc w:val="left"/>
      <w:pPr>
        <w:ind w:left="2494" w:hanging="313"/>
      </w:pPr>
      <w:rPr>
        <w:rFonts w:hint="default"/>
      </w:rPr>
    </w:lvl>
    <w:lvl w:ilvl="5">
      <w:start w:val="1"/>
      <w:numFmt w:val="bullet"/>
      <w:lvlText w:val="•"/>
      <w:lvlJc w:val="left"/>
      <w:pPr>
        <w:ind w:left="3047" w:hanging="313"/>
      </w:pPr>
      <w:rPr>
        <w:rFonts w:hint="default"/>
      </w:rPr>
    </w:lvl>
    <w:lvl w:ilvl="6">
      <w:start w:val="1"/>
      <w:numFmt w:val="bullet"/>
      <w:lvlText w:val="•"/>
      <w:lvlJc w:val="left"/>
      <w:pPr>
        <w:ind w:left="3601" w:hanging="313"/>
      </w:pPr>
      <w:rPr>
        <w:rFonts w:hint="default"/>
      </w:rPr>
    </w:lvl>
    <w:lvl w:ilvl="7">
      <w:start w:val="1"/>
      <w:numFmt w:val="bullet"/>
      <w:lvlText w:val="•"/>
      <w:lvlJc w:val="left"/>
      <w:pPr>
        <w:ind w:left="4154" w:hanging="313"/>
      </w:pPr>
      <w:rPr>
        <w:rFonts w:hint="default"/>
      </w:rPr>
    </w:lvl>
    <w:lvl w:ilvl="8">
      <w:start w:val="1"/>
      <w:numFmt w:val="bullet"/>
      <w:lvlText w:val="•"/>
      <w:lvlJc w:val="left"/>
      <w:pPr>
        <w:ind w:left="4708" w:hanging="313"/>
      </w:pPr>
      <w:rPr>
        <w:rFonts w:hint="default"/>
      </w:rPr>
    </w:lvl>
  </w:abstractNum>
  <w:abstractNum w:abstractNumId="84">
    <w:multiLevelType w:val="hybridMultilevel"/>
    <w:lvl w:ilvl="0">
      <w:start w:val="1"/>
      <w:numFmt w:val="decimal"/>
      <w:lvlText w:val="%1."/>
      <w:lvlJc w:val="left"/>
      <w:pPr>
        <w:ind w:left="472" w:hanging="202"/>
        <w:jc w:val="left"/>
      </w:pPr>
      <w:rPr>
        <w:rFonts w:hint="default" w:ascii="Times New Roman" w:hAnsi="Times New Roman" w:eastAsia="Times New Roman" w:cs="Times New Roman"/>
        <w:b/>
        <w:bCs/>
        <w:w w:val="100"/>
        <w:sz w:val="20"/>
        <w:szCs w:val="20"/>
      </w:rPr>
    </w:lvl>
    <w:lvl w:ilvl="1">
      <w:start w:val="1"/>
      <w:numFmt w:val="decimal"/>
      <w:lvlText w:val="%1.%2."/>
      <w:lvlJc w:val="left"/>
      <w:pPr>
        <w:ind w:left="622" w:hanging="352"/>
        <w:jc w:val="left"/>
      </w:pPr>
      <w:rPr>
        <w:rFonts w:hint="default" w:ascii="Times New Roman" w:hAnsi="Times New Roman" w:eastAsia="Times New Roman" w:cs="Times New Roman"/>
        <w:spacing w:val="-1"/>
        <w:w w:val="100"/>
        <w:sz w:val="20"/>
        <w:szCs w:val="20"/>
      </w:rPr>
    </w:lvl>
    <w:lvl w:ilvl="2">
      <w:start w:val="1"/>
      <w:numFmt w:val="bullet"/>
      <w:lvlText w:val="•"/>
      <w:lvlJc w:val="left"/>
      <w:pPr>
        <w:ind w:left="502" w:hanging="352"/>
      </w:pPr>
      <w:rPr>
        <w:rFonts w:hint="default"/>
      </w:rPr>
    </w:lvl>
    <w:lvl w:ilvl="3">
      <w:start w:val="1"/>
      <w:numFmt w:val="bullet"/>
      <w:lvlText w:val="•"/>
      <w:lvlJc w:val="left"/>
      <w:pPr>
        <w:ind w:left="385" w:hanging="352"/>
      </w:pPr>
      <w:rPr>
        <w:rFonts w:hint="default"/>
      </w:rPr>
    </w:lvl>
    <w:lvl w:ilvl="4">
      <w:start w:val="1"/>
      <w:numFmt w:val="bullet"/>
      <w:lvlText w:val="•"/>
      <w:lvlJc w:val="left"/>
      <w:pPr>
        <w:ind w:left="268" w:hanging="352"/>
      </w:pPr>
      <w:rPr>
        <w:rFonts w:hint="default"/>
      </w:rPr>
    </w:lvl>
    <w:lvl w:ilvl="5">
      <w:start w:val="1"/>
      <w:numFmt w:val="bullet"/>
      <w:lvlText w:val="•"/>
      <w:lvlJc w:val="left"/>
      <w:pPr>
        <w:ind w:left="151" w:hanging="352"/>
      </w:pPr>
      <w:rPr>
        <w:rFonts w:hint="default"/>
      </w:rPr>
    </w:lvl>
    <w:lvl w:ilvl="6">
      <w:start w:val="1"/>
      <w:numFmt w:val="bullet"/>
      <w:lvlText w:val="•"/>
      <w:lvlJc w:val="left"/>
      <w:pPr>
        <w:ind w:left="33" w:hanging="352"/>
      </w:pPr>
      <w:rPr>
        <w:rFonts w:hint="default"/>
      </w:rPr>
    </w:lvl>
    <w:lvl w:ilvl="7">
      <w:start w:val="1"/>
      <w:numFmt w:val="bullet"/>
      <w:lvlText w:val="•"/>
      <w:lvlJc w:val="left"/>
      <w:pPr>
        <w:ind w:left="-84" w:hanging="352"/>
      </w:pPr>
      <w:rPr>
        <w:rFonts w:hint="default"/>
      </w:rPr>
    </w:lvl>
    <w:lvl w:ilvl="8">
      <w:start w:val="1"/>
      <w:numFmt w:val="bullet"/>
      <w:lvlText w:val="•"/>
      <w:lvlJc w:val="left"/>
      <w:pPr>
        <w:ind w:left="-201" w:hanging="352"/>
      </w:pPr>
      <w:rPr>
        <w:rFonts w:hint="default"/>
      </w:rPr>
    </w:lvl>
  </w:abstractNum>
  <w:abstractNum w:abstractNumId="83">
    <w:multiLevelType w:val="hybridMultilevel"/>
    <w:lvl w:ilvl="0">
      <w:start w:val="1"/>
      <w:numFmt w:val="bullet"/>
      <w:lvlText w:val="•"/>
      <w:lvlJc w:val="left"/>
      <w:pPr>
        <w:ind w:left="990" w:hanging="360"/>
      </w:pPr>
      <w:rPr>
        <w:rFonts w:hint="default" w:ascii="Times New Roman" w:hAnsi="Times New Roman" w:eastAsia="Times New Roman" w:cs="Times New Roman"/>
        <w:spacing w:val="-18"/>
        <w:w w:val="99"/>
        <w:sz w:val="18"/>
        <w:szCs w:val="18"/>
      </w:rPr>
    </w:lvl>
    <w:lvl w:ilvl="1">
      <w:start w:val="1"/>
      <w:numFmt w:val="bullet"/>
      <w:lvlText w:val=""/>
      <w:lvlJc w:val="left"/>
      <w:pPr>
        <w:ind w:left="1216" w:hanging="123"/>
      </w:pPr>
      <w:rPr>
        <w:rFonts w:hint="default" w:ascii="Symbol" w:hAnsi="Symbol" w:eastAsia="Symbol" w:cs="Symbol"/>
        <w:w w:val="99"/>
        <w:sz w:val="18"/>
        <w:szCs w:val="18"/>
      </w:rPr>
    </w:lvl>
    <w:lvl w:ilvl="2">
      <w:start w:val="1"/>
      <w:numFmt w:val="bullet"/>
      <w:lvlText w:val="•"/>
      <w:lvlJc w:val="left"/>
      <w:pPr>
        <w:ind w:left="1730" w:hanging="123"/>
      </w:pPr>
      <w:rPr>
        <w:rFonts w:hint="default"/>
      </w:rPr>
    </w:lvl>
    <w:lvl w:ilvl="3">
      <w:start w:val="1"/>
      <w:numFmt w:val="bullet"/>
      <w:lvlText w:val="•"/>
      <w:lvlJc w:val="left"/>
      <w:pPr>
        <w:ind w:left="2241" w:hanging="123"/>
      </w:pPr>
      <w:rPr>
        <w:rFonts w:hint="default"/>
      </w:rPr>
    </w:lvl>
    <w:lvl w:ilvl="4">
      <w:start w:val="1"/>
      <w:numFmt w:val="bullet"/>
      <w:lvlText w:val="•"/>
      <w:lvlJc w:val="left"/>
      <w:pPr>
        <w:ind w:left="2751" w:hanging="123"/>
      </w:pPr>
      <w:rPr>
        <w:rFonts w:hint="default"/>
      </w:rPr>
    </w:lvl>
    <w:lvl w:ilvl="5">
      <w:start w:val="1"/>
      <w:numFmt w:val="bullet"/>
      <w:lvlText w:val="•"/>
      <w:lvlJc w:val="left"/>
      <w:pPr>
        <w:ind w:left="3262" w:hanging="123"/>
      </w:pPr>
      <w:rPr>
        <w:rFonts w:hint="default"/>
      </w:rPr>
    </w:lvl>
    <w:lvl w:ilvl="6">
      <w:start w:val="1"/>
      <w:numFmt w:val="bullet"/>
      <w:lvlText w:val="•"/>
      <w:lvlJc w:val="left"/>
      <w:pPr>
        <w:ind w:left="3773" w:hanging="123"/>
      </w:pPr>
      <w:rPr>
        <w:rFonts w:hint="default"/>
      </w:rPr>
    </w:lvl>
    <w:lvl w:ilvl="7">
      <w:start w:val="1"/>
      <w:numFmt w:val="bullet"/>
      <w:lvlText w:val="•"/>
      <w:lvlJc w:val="left"/>
      <w:pPr>
        <w:ind w:left="4283" w:hanging="123"/>
      </w:pPr>
      <w:rPr>
        <w:rFonts w:hint="default"/>
      </w:rPr>
    </w:lvl>
    <w:lvl w:ilvl="8">
      <w:start w:val="1"/>
      <w:numFmt w:val="bullet"/>
      <w:lvlText w:val="•"/>
      <w:lvlJc w:val="left"/>
      <w:pPr>
        <w:ind w:left="4794" w:hanging="123"/>
      </w:pPr>
      <w:rPr>
        <w:rFonts w:hint="default"/>
      </w:rPr>
    </w:lvl>
  </w:abstractNum>
  <w:abstractNum w:abstractNumId="82">
    <w:multiLevelType w:val="hybridMultilevel"/>
    <w:lvl w:ilvl="0">
      <w:start w:val="1"/>
      <w:numFmt w:val="bullet"/>
      <w:lvlText w:val=""/>
      <w:lvlJc w:val="left"/>
      <w:pPr>
        <w:ind w:left="978" w:hanging="348"/>
      </w:pPr>
      <w:rPr>
        <w:rFonts w:hint="default" w:ascii="Symbol" w:hAnsi="Symbol" w:eastAsia="Symbol" w:cs="Symbol"/>
        <w:w w:val="99"/>
        <w:sz w:val="18"/>
        <w:szCs w:val="18"/>
      </w:rPr>
    </w:lvl>
    <w:lvl w:ilvl="1">
      <w:start w:val="1"/>
      <w:numFmt w:val="bullet"/>
      <w:lvlText w:val="•"/>
      <w:lvlJc w:val="left"/>
      <w:pPr>
        <w:ind w:left="1400" w:hanging="348"/>
      </w:pPr>
      <w:rPr>
        <w:rFonts w:hint="default"/>
      </w:rPr>
    </w:lvl>
    <w:lvl w:ilvl="2">
      <w:start w:val="1"/>
      <w:numFmt w:val="bullet"/>
      <w:lvlText w:val="•"/>
      <w:lvlJc w:val="left"/>
      <w:pPr>
        <w:ind w:left="1821" w:hanging="348"/>
      </w:pPr>
      <w:rPr>
        <w:rFonts w:hint="default"/>
      </w:rPr>
    </w:lvl>
    <w:lvl w:ilvl="3">
      <w:start w:val="1"/>
      <w:numFmt w:val="bullet"/>
      <w:lvlText w:val="•"/>
      <w:lvlJc w:val="left"/>
      <w:pPr>
        <w:ind w:left="2242" w:hanging="348"/>
      </w:pPr>
      <w:rPr>
        <w:rFonts w:hint="default"/>
      </w:rPr>
    </w:lvl>
    <w:lvl w:ilvl="4">
      <w:start w:val="1"/>
      <w:numFmt w:val="bullet"/>
      <w:lvlText w:val="•"/>
      <w:lvlJc w:val="left"/>
      <w:pPr>
        <w:ind w:left="2663" w:hanging="348"/>
      </w:pPr>
      <w:rPr>
        <w:rFonts w:hint="default"/>
      </w:rPr>
    </w:lvl>
    <w:lvl w:ilvl="5">
      <w:start w:val="1"/>
      <w:numFmt w:val="bullet"/>
      <w:lvlText w:val="•"/>
      <w:lvlJc w:val="left"/>
      <w:pPr>
        <w:ind w:left="3084" w:hanging="348"/>
      </w:pPr>
      <w:rPr>
        <w:rFonts w:hint="default"/>
      </w:rPr>
    </w:lvl>
    <w:lvl w:ilvl="6">
      <w:start w:val="1"/>
      <w:numFmt w:val="bullet"/>
      <w:lvlText w:val="•"/>
      <w:lvlJc w:val="left"/>
      <w:pPr>
        <w:ind w:left="3505" w:hanging="348"/>
      </w:pPr>
      <w:rPr>
        <w:rFonts w:hint="default"/>
      </w:rPr>
    </w:lvl>
    <w:lvl w:ilvl="7">
      <w:start w:val="1"/>
      <w:numFmt w:val="bullet"/>
      <w:lvlText w:val="•"/>
      <w:lvlJc w:val="left"/>
      <w:pPr>
        <w:ind w:left="3926" w:hanging="348"/>
      </w:pPr>
      <w:rPr>
        <w:rFonts w:hint="default"/>
      </w:rPr>
    </w:lvl>
    <w:lvl w:ilvl="8">
      <w:start w:val="1"/>
      <w:numFmt w:val="bullet"/>
      <w:lvlText w:val="•"/>
      <w:lvlJc w:val="left"/>
      <w:pPr>
        <w:ind w:left="4347" w:hanging="348"/>
      </w:pPr>
      <w:rPr>
        <w:rFonts w:hint="default"/>
      </w:rPr>
    </w:lvl>
  </w:abstractNum>
  <w:abstractNum w:abstractNumId="81">
    <w:multiLevelType w:val="hybridMultilevel"/>
    <w:lvl w:ilvl="0">
      <w:start w:val="1"/>
      <w:numFmt w:val="decimal"/>
      <w:lvlText w:val="%1"/>
      <w:lvlJc w:val="left"/>
      <w:pPr>
        <w:ind w:left="541" w:hanging="271"/>
        <w:jc w:val="left"/>
      </w:pPr>
      <w:rPr>
        <w:rFonts w:hint="default"/>
      </w:rPr>
    </w:lvl>
    <w:lvl w:ilvl="1">
      <w:start w:val="2"/>
      <w:numFmt w:val="decimal"/>
      <w:lvlText w:val="%1.%2"/>
      <w:lvlJc w:val="left"/>
      <w:pPr>
        <w:ind w:left="541" w:hanging="271"/>
        <w:jc w:val="left"/>
      </w:pPr>
      <w:rPr>
        <w:rFonts w:hint="default" w:ascii="Times New Roman" w:hAnsi="Times New Roman" w:eastAsia="Times New Roman" w:cs="Times New Roman"/>
        <w:b/>
        <w:bCs/>
        <w:spacing w:val="-1"/>
        <w:w w:val="100"/>
        <w:sz w:val="18"/>
        <w:szCs w:val="18"/>
      </w:rPr>
    </w:lvl>
    <w:lvl w:ilvl="2">
      <w:start w:val="1"/>
      <w:numFmt w:val="bullet"/>
      <w:lvlText w:val="•"/>
      <w:lvlJc w:val="left"/>
      <w:pPr>
        <w:ind w:left="1469" w:hanging="271"/>
      </w:pPr>
      <w:rPr>
        <w:rFonts w:hint="default"/>
      </w:rPr>
    </w:lvl>
    <w:lvl w:ilvl="3">
      <w:start w:val="1"/>
      <w:numFmt w:val="bullet"/>
      <w:lvlText w:val="•"/>
      <w:lvlJc w:val="left"/>
      <w:pPr>
        <w:ind w:left="1934" w:hanging="271"/>
      </w:pPr>
      <w:rPr>
        <w:rFonts w:hint="default"/>
      </w:rPr>
    </w:lvl>
    <w:lvl w:ilvl="4">
      <w:start w:val="1"/>
      <w:numFmt w:val="bullet"/>
      <w:lvlText w:val="•"/>
      <w:lvlJc w:val="left"/>
      <w:pPr>
        <w:ind w:left="2399" w:hanging="271"/>
      </w:pPr>
      <w:rPr>
        <w:rFonts w:hint="default"/>
      </w:rPr>
    </w:lvl>
    <w:lvl w:ilvl="5">
      <w:start w:val="1"/>
      <w:numFmt w:val="bullet"/>
      <w:lvlText w:val="•"/>
      <w:lvlJc w:val="left"/>
      <w:pPr>
        <w:ind w:left="2864" w:hanging="271"/>
      </w:pPr>
      <w:rPr>
        <w:rFonts w:hint="default"/>
      </w:rPr>
    </w:lvl>
    <w:lvl w:ilvl="6">
      <w:start w:val="1"/>
      <w:numFmt w:val="bullet"/>
      <w:lvlText w:val="•"/>
      <w:lvlJc w:val="left"/>
      <w:pPr>
        <w:ind w:left="3329" w:hanging="271"/>
      </w:pPr>
      <w:rPr>
        <w:rFonts w:hint="default"/>
      </w:rPr>
    </w:lvl>
    <w:lvl w:ilvl="7">
      <w:start w:val="1"/>
      <w:numFmt w:val="bullet"/>
      <w:lvlText w:val="•"/>
      <w:lvlJc w:val="left"/>
      <w:pPr>
        <w:ind w:left="3794" w:hanging="271"/>
      </w:pPr>
      <w:rPr>
        <w:rFonts w:hint="default"/>
      </w:rPr>
    </w:lvl>
    <w:lvl w:ilvl="8">
      <w:start w:val="1"/>
      <w:numFmt w:val="bullet"/>
      <w:lvlText w:val="•"/>
      <w:lvlJc w:val="left"/>
      <w:pPr>
        <w:ind w:left="4259" w:hanging="271"/>
      </w:pPr>
      <w:rPr>
        <w:rFonts w:hint="default"/>
      </w:rPr>
    </w:lvl>
  </w:abstractNum>
  <w:abstractNum w:abstractNumId="80">
    <w:multiLevelType w:val="hybridMultilevel"/>
    <w:lvl w:ilvl="0">
      <w:start w:val="1"/>
      <w:numFmt w:val="decimal"/>
      <w:lvlText w:val="%1."/>
      <w:lvlJc w:val="left"/>
      <w:pPr>
        <w:ind w:left="451" w:hanging="181"/>
        <w:jc w:val="right"/>
      </w:pPr>
      <w:rPr>
        <w:rFonts w:hint="default" w:ascii="Times New Roman" w:hAnsi="Times New Roman" w:eastAsia="Times New Roman" w:cs="Times New Roman"/>
        <w:b/>
        <w:bCs/>
        <w:w w:val="100"/>
        <w:sz w:val="18"/>
        <w:szCs w:val="18"/>
      </w:rPr>
    </w:lvl>
    <w:lvl w:ilvl="1">
      <w:start w:val="1"/>
      <w:numFmt w:val="decimal"/>
      <w:lvlText w:val="%1.%2"/>
      <w:lvlJc w:val="left"/>
      <w:pPr>
        <w:ind w:left="541" w:hanging="271"/>
        <w:jc w:val="left"/>
      </w:pPr>
      <w:rPr>
        <w:rFonts w:hint="default" w:ascii="Times New Roman" w:hAnsi="Times New Roman" w:eastAsia="Times New Roman" w:cs="Times New Roman"/>
        <w:b/>
        <w:bCs/>
        <w:spacing w:val="-2"/>
        <w:w w:val="100"/>
        <w:sz w:val="18"/>
        <w:szCs w:val="18"/>
      </w:rPr>
    </w:lvl>
    <w:lvl w:ilvl="2">
      <w:start w:val="1"/>
      <w:numFmt w:val="decimal"/>
      <w:lvlText w:val="%3)"/>
      <w:lvlJc w:val="left"/>
      <w:pPr>
        <w:ind w:left="441" w:hanging="244"/>
        <w:jc w:val="left"/>
      </w:pPr>
      <w:rPr>
        <w:rFonts w:hint="default" w:ascii="Times New Roman" w:hAnsi="Times New Roman" w:eastAsia="Times New Roman" w:cs="Times New Roman"/>
        <w:w w:val="100"/>
        <w:sz w:val="18"/>
        <w:szCs w:val="18"/>
      </w:rPr>
    </w:lvl>
    <w:lvl w:ilvl="3">
      <w:start w:val="1"/>
      <w:numFmt w:val="bullet"/>
      <w:lvlText w:val="•"/>
      <w:lvlJc w:val="left"/>
      <w:pPr>
        <w:ind w:left="418" w:hanging="244"/>
      </w:pPr>
      <w:rPr>
        <w:rFonts w:hint="default"/>
      </w:rPr>
    </w:lvl>
    <w:lvl w:ilvl="4">
      <w:start w:val="1"/>
      <w:numFmt w:val="bullet"/>
      <w:lvlText w:val="•"/>
      <w:lvlJc w:val="left"/>
      <w:pPr>
        <w:ind w:left="296" w:hanging="244"/>
      </w:pPr>
      <w:rPr>
        <w:rFonts w:hint="default"/>
      </w:rPr>
    </w:lvl>
    <w:lvl w:ilvl="5">
      <w:start w:val="1"/>
      <w:numFmt w:val="bullet"/>
      <w:lvlText w:val="•"/>
      <w:lvlJc w:val="left"/>
      <w:pPr>
        <w:ind w:left="174" w:hanging="244"/>
      </w:pPr>
      <w:rPr>
        <w:rFonts w:hint="default"/>
      </w:rPr>
    </w:lvl>
    <w:lvl w:ilvl="6">
      <w:start w:val="1"/>
      <w:numFmt w:val="bullet"/>
      <w:lvlText w:val="•"/>
      <w:lvlJc w:val="left"/>
      <w:pPr>
        <w:ind w:left="52" w:hanging="244"/>
      </w:pPr>
      <w:rPr>
        <w:rFonts w:hint="default"/>
      </w:rPr>
    </w:lvl>
    <w:lvl w:ilvl="7">
      <w:start w:val="1"/>
      <w:numFmt w:val="bullet"/>
      <w:lvlText w:val="•"/>
      <w:lvlJc w:val="left"/>
      <w:pPr>
        <w:ind w:left="-70" w:hanging="244"/>
      </w:pPr>
      <w:rPr>
        <w:rFonts w:hint="default"/>
      </w:rPr>
    </w:lvl>
    <w:lvl w:ilvl="8">
      <w:start w:val="1"/>
      <w:numFmt w:val="bullet"/>
      <w:lvlText w:val="•"/>
      <w:lvlJc w:val="left"/>
      <w:pPr>
        <w:ind w:left="-192" w:hanging="244"/>
      </w:pPr>
      <w:rPr>
        <w:rFonts w:hint="default"/>
      </w:rPr>
    </w:lvl>
  </w:abstractNum>
  <w:abstractNum w:abstractNumId="79">
    <w:multiLevelType w:val="hybridMultilevel"/>
    <w:lvl w:ilvl="0">
      <w:start w:val="1"/>
      <w:numFmt w:val="decimal"/>
      <w:lvlText w:val="%1."/>
      <w:lvlJc w:val="left"/>
      <w:pPr>
        <w:ind w:left="451" w:hanging="181"/>
        <w:jc w:val="left"/>
      </w:pPr>
      <w:rPr>
        <w:rFonts w:hint="default" w:ascii="Times New Roman" w:hAnsi="Times New Roman" w:eastAsia="Times New Roman" w:cs="Times New Roman"/>
        <w:b/>
        <w:bCs/>
        <w:w w:val="100"/>
        <w:sz w:val="18"/>
        <w:szCs w:val="18"/>
      </w:rPr>
    </w:lvl>
    <w:lvl w:ilvl="1">
      <w:start w:val="1"/>
      <w:numFmt w:val="bullet"/>
      <w:lvlText w:val="•"/>
      <w:lvlJc w:val="left"/>
      <w:pPr>
        <w:ind w:left="934" w:hanging="181"/>
      </w:pPr>
      <w:rPr>
        <w:rFonts w:hint="default"/>
      </w:rPr>
    </w:lvl>
    <w:lvl w:ilvl="2">
      <w:start w:val="1"/>
      <w:numFmt w:val="bullet"/>
      <w:lvlText w:val="•"/>
      <w:lvlJc w:val="left"/>
      <w:pPr>
        <w:ind w:left="1409" w:hanging="181"/>
      </w:pPr>
      <w:rPr>
        <w:rFonts w:hint="default"/>
      </w:rPr>
    </w:lvl>
    <w:lvl w:ilvl="3">
      <w:start w:val="1"/>
      <w:numFmt w:val="bullet"/>
      <w:lvlText w:val="•"/>
      <w:lvlJc w:val="left"/>
      <w:pPr>
        <w:ind w:left="1884" w:hanging="181"/>
      </w:pPr>
      <w:rPr>
        <w:rFonts w:hint="default"/>
      </w:rPr>
    </w:lvl>
    <w:lvl w:ilvl="4">
      <w:start w:val="1"/>
      <w:numFmt w:val="bullet"/>
      <w:lvlText w:val="•"/>
      <w:lvlJc w:val="left"/>
      <w:pPr>
        <w:ind w:left="2358" w:hanging="181"/>
      </w:pPr>
      <w:rPr>
        <w:rFonts w:hint="default"/>
      </w:rPr>
    </w:lvl>
    <w:lvl w:ilvl="5">
      <w:start w:val="1"/>
      <w:numFmt w:val="bullet"/>
      <w:lvlText w:val="•"/>
      <w:lvlJc w:val="left"/>
      <w:pPr>
        <w:ind w:left="2833" w:hanging="181"/>
      </w:pPr>
      <w:rPr>
        <w:rFonts w:hint="default"/>
      </w:rPr>
    </w:lvl>
    <w:lvl w:ilvl="6">
      <w:start w:val="1"/>
      <w:numFmt w:val="bullet"/>
      <w:lvlText w:val="•"/>
      <w:lvlJc w:val="left"/>
      <w:pPr>
        <w:ind w:left="3308" w:hanging="181"/>
      </w:pPr>
      <w:rPr>
        <w:rFonts w:hint="default"/>
      </w:rPr>
    </w:lvl>
    <w:lvl w:ilvl="7">
      <w:start w:val="1"/>
      <w:numFmt w:val="bullet"/>
      <w:lvlText w:val="•"/>
      <w:lvlJc w:val="left"/>
      <w:pPr>
        <w:ind w:left="3782" w:hanging="181"/>
      </w:pPr>
      <w:rPr>
        <w:rFonts w:hint="default"/>
      </w:rPr>
    </w:lvl>
    <w:lvl w:ilvl="8">
      <w:start w:val="1"/>
      <w:numFmt w:val="bullet"/>
      <w:lvlText w:val="•"/>
      <w:lvlJc w:val="left"/>
      <w:pPr>
        <w:ind w:left="4257" w:hanging="181"/>
      </w:pPr>
      <w:rPr>
        <w:rFonts w:hint="default"/>
      </w:rPr>
    </w:lvl>
  </w:abstractNum>
  <w:abstractNum w:abstractNumId="78">
    <w:multiLevelType w:val="hybridMultilevel"/>
    <w:lvl w:ilvl="0">
      <w:start w:val="1"/>
      <w:numFmt w:val="decimal"/>
      <w:lvlText w:val="%1)"/>
      <w:lvlJc w:val="left"/>
      <w:pPr>
        <w:ind w:left="990" w:hanging="348"/>
        <w:jc w:val="left"/>
      </w:pPr>
      <w:rPr>
        <w:rFonts w:hint="default" w:ascii="Times New Roman" w:hAnsi="Times New Roman" w:eastAsia="Times New Roman" w:cs="Times New Roman"/>
        <w:spacing w:val="-15"/>
        <w:w w:val="100"/>
        <w:sz w:val="18"/>
        <w:szCs w:val="18"/>
      </w:rPr>
    </w:lvl>
    <w:lvl w:ilvl="1">
      <w:start w:val="1"/>
      <w:numFmt w:val="bullet"/>
      <w:lvlText w:val="•"/>
      <w:lvlJc w:val="left"/>
      <w:pPr>
        <w:ind w:left="1481" w:hanging="348"/>
      </w:pPr>
      <w:rPr>
        <w:rFonts w:hint="default"/>
      </w:rPr>
    </w:lvl>
    <w:lvl w:ilvl="2">
      <w:start w:val="1"/>
      <w:numFmt w:val="bullet"/>
      <w:lvlText w:val="•"/>
      <w:lvlJc w:val="left"/>
      <w:pPr>
        <w:ind w:left="1963" w:hanging="348"/>
      </w:pPr>
      <w:rPr>
        <w:rFonts w:hint="default"/>
      </w:rPr>
    </w:lvl>
    <w:lvl w:ilvl="3">
      <w:start w:val="1"/>
      <w:numFmt w:val="bullet"/>
      <w:lvlText w:val="•"/>
      <w:lvlJc w:val="left"/>
      <w:pPr>
        <w:ind w:left="2444" w:hanging="348"/>
      </w:pPr>
      <w:rPr>
        <w:rFonts w:hint="default"/>
      </w:rPr>
    </w:lvl>
    <w:lvl w:ilvl="4">
      <w:start w:val="1"/>
      <w:numFmt w:val="bullet"/>
      <w:lvlText w:val="•"/>
      <w:lvlJc w:val="left"/>
      <w:pPr>
        <w:ind w:left="2926" w:hanging="348"/>
      </w:pPr>
      <w:rPr>
        <w:rFonts w:hint="default"/>
      </w:rPr>
    </w:lvl>
    <w:lvl w:ilvl="5">
      <w:start w:val="1"/>
      <w:numFmt w:val="bullet"/>
      <w:lvlText w:val="•"/>
      <w:lvlJc w:val="left"/>
      <w:pPr>
        <w:ind w:left="3407" w:hanging="348"/>
      </w:pPr>
      <w:rPr>
        <w:rFonts w:hint="default"/>
      </w:rPr>
    </w:lvl>
    <w:lvl w:ilvl="6">
      <w:start w:val="1"/>
      <w:numFmt w:val="bullet"/>
      <w:lvlText w:val="•"/>
      <w:lvlJc w:val="left"/>
      <w:pPr>
        <w:ind w:left="3889" w:hanging="348"/>
      </w:pPr>
      <w:rPr>
        <w:rFonts w:hint="default"/>
      </w:rPr>
    </w:lvl>
    <w:lvl w:ilvl="7">
      <w:start w:val="1"/>
      <w:numFmt w:val="bullet"/>
      <w:lvlText w:val="•"/>
      <w:lvlJc w:val="left"/>
      <w:pPr>
        <w:ind w:left="4370" w:hanging="348"/>
      </w:pPr>
      <w:rPr>
        <w:rFonts w:hint="default"/>
      </w:rPr>
    </w:lvl>
    <w:lvl w:ilvl="8">
      <w:start w:val="1"/>
      <w:numFmt w:val="bullet"/>
      <w:lvlText w:val="•"/>
      <w:lvlJc w:val="left"/>
      <w:pPr>
        <w:ind w:left="4852" w:hanging="348"/>
      </w:pPr>
      <w:rPr>
        <w:rFonts w:hint="default"/>
      </w:rPr>
    </w:lvl>
  </w:abstractNum>
  <w:abstractNum w:abstractNumId="77">
    <w:multiLevelType w:val="hybridMultilevel"/>
    <w:lvl w:ilvl="0">
      <w:start w:val="1"/>
      <w:numFmt w:val="bullet"/>
      <w:lvlText w:val=""/>
      <w:lvlJc w:val="left"/>
      <w:pPr>
        <w:ind w:left="990" w:hanging="348"/>
      </w:pPr>
      <w:rPr>
        <w:rFonts w:hint="default" w:ascii="Symbol" w:hAnsi="Symbol" w:eastAsia="Symbol" w:cs="Symbol"/>
        <w:w w:val="99"/>
        <w:sz w:val="18"/>
        <w:szCs w:val="18"/>
      </w:rPr>
    </w:lvl>
    <w:lvl w:ilvl="1">
      <w:start w:val="1"/>
      <w:numFmt w:val="bullet"/>
      <w:lvlText w:val="•"/>
      <w:lvlJc w:val="left"/>
      <w:pPr>
        <w:ind w:left="1481" w:hanging="348"/>
      </w:pPr>
      <w:rPr>
        <w:rFonts w:hint="default"/>
      </w:rPr>
    </w:lvl>
    <w:lvl w:ilvl="2">
      <w:start w:val="1"/>
      <w:numFmt w:val="bullet"/>
      <w:lvlText w:val="•"/>
      <w:lvlJc w:val="left"/>
      <w:pPr>
        <w:ind w:left="1963" w:hanging="348"/>
      </w:pPr>
      <w:rPr>
        <w:rFonts w:hint="default"/>
      </w:rPr>
    </w:lvl>
    <w:lvl w:ilvl="3">
      <w:start w:val="1"/>
      <w:numFmt w:val="bullet"/>
      <w:lvlText w:val="•"/>
      <w:lvlJc w:val="left"/>
      <w:pPr>
        <w:ind w:left="2444" w:hanging="348"/>
      </w:pPr>
      <w:rPr>
        <w:rFonts w:hint="default"/>
      </w:rPr>
    </w:lvl>
    <w:lvl w:ilvl="4">
      <w:start w:val="1"/>
      <w:numFmt w:val="bullet"/>
      <w:lvlText w:val="•"/>
      <w:lvlJc w:val="left"/>
      <w:pPr>
        <w:ind w:left="2926" w:hanging="348"/>
      </w:pPr>
      <w:rPr>
        <w:rFonts w:hint="default"/>
      </w:rPr>
    </w:lvl>
    <w:lvl w:ilvl="5">
      <w:start w:val="1"/>
      <w:numFmt w:val="bullet"/>
      <w:lvlText w:val="•"/>
      <w:lvlJc w:val="left"/>
      <w:pPr>
        <w:ind w:left="3407" w:hanging="348"/>
      </w:pPr>
      <w:rPr>
        <w:rFonts w:hint="default"/>
      </w:rPr>
    </w:lvl>
    <w:lvl w:ilvl="6">
      <w:start w:val="1"/>
      <w:numFmt w:val="bullet"/>
      <w:lvlText w:val="•"/>
      <w:lvlJc w:val="left"/>
      <w:pPr>
        <w:ind w:left="3889" w:hanging="348"/>
      </w:pPr>
      <w:rPr>
        <w:rFonts w:hint="default"/>
      </w:rPr>
    </w:lvl>
    <w:lvl w:ilvl="7">
      <w:start w:val="1"/>
      <w:numFmt w:val="bullet"/>
      <w:lvlText w:val="•"/>
      <w:lvlJc w:val="left"/>
      <w:pPr>
        <w:ind w:left="4370" w:hanging="348"/>
      </w:pPr>
      <w:rPr>
        <w:rFonts w:hint="default"/>
      </w:rPr>
    </w:lvl>
    <w:lvl w:ilvl="8">
      <w:start w:val="1"/>
      <w:numFmt w:val="bullet"/>
      <w:lvlText w:val="•"/>
      <w:lvlJc w:val="left"/>
      <w:pPr>
        <w:ind w:left="4852" w:hanging="348"/>
      </w:pPr>
      <w:rPr>
        <w:rFonts w:hint="default"/>
      </w:rPr>
    </w:lvl>
  </w:abstractNum>
  <w:abstractNum w:abstractNumId="76">
    <w:multiLevelType w:val="hybridMultilevel"/>
    <w:lvl w:ilvl="0">
      <w:start w:val="1"/>
      <w:numFmt w:val="decimal"/>
      <w:lvlText w:val="%1."/>
      <w:lvlJc w:val="left"/>
      <w:pPr>
        <w:ind w:left="451" w:hanging="181"/>
        <w:jc w:val="left"/>
      </w:pPr>
      <w:rPr>
        <w:rFonts w:hint="default" w:ascii="Times New Roman" w:hAnsi="Times New Roman" w:eastAsia="Times New Roman" w:cs="Times New Roman"/>
        <w:b/>
        <w:bCs/>
        <w:w w:val="100"/>
        <w:sz w:val="18"/>
        <w:szCs w:val="18"/>
      </w:rPr>
    </w:lvl>
    <w:lvl w:ilvl="1">
      <w:start w:val="1"/>
      <w:numFmt w:val="decimal"/>
      <w:lvlText w:val="%1.%2"/>
      <w:lvlJc w:val="left"/>
      <w:pPr>
        <w:ind w:left="541" w:hanging="271"/>
        <w:jc w:val="left"/>
      </w:pPr>
      <w:rPr>
        <w:rFonts w:hint="default" w:ascii="Times New Roman" w:hAnsi="Times New Roman" w:eastAsia="Times New Roman" w:cs="Times New Roman"/>
        <w:b/>
        <w:bCs/>
        <w:spacing w:val="-1"/>
        <w:w w:val="100"/>
        <w:sz w:val="18"/>
        <w:szCs w:val="18"/>
      </w:rPr>
    </w:lvl>
    <w:lvl w:ilvl="2">
      <w:start w:val="1"/>
      <w:numFmt w:val="bullet"/>
      <w:lvlText w:val="•"/>
      <w:lvlJc w:val="left"/>
      <w:pPr>
        <w:ind w:left="1126" w:hanging="271"/>
      </w:pPr>
      <w:rPr>
        <w:rFonts w:hint="default"/>
      </w:rPr>
    </w:lvl>
    <w:lvl w:ilvl="3">
      <w:start w:val="1"/>
      <w:numFmt w:val="bullet"/>
      <w:lvlText w:val="•"/>
      <w:lvlJc w:val="left"/>
      <w:pPr>
        <w:ind w:left="1712" w:hanging="271"/>
      </w:pPr>
      <w:rPr>
        <w:rFonts w:hint="default"/>
      </w:rPr>
    </w:lvl>
    <w:lvl w:ilvl="4">
      <w:start w:val="1"/>
      <w:numFmt w:val="bullet"/>
      <w:lvlText w:val="•"/>
      <w:lvlJc w:val="left"/>
      <w:pPr>
        <w:ind w:left="2298" w:hanging="271"/>
      </w:pPr>
      <w:rPr>
        <w:rFonts w:hint="default"/>
      </w:rPr>
    </w:lvl>
    <w:lvl w:ilvl="5">
      <w:start w:val="1"/>
      <w:numFmt w:val="bullet"/>
      <w:lvlText w:val="•"/>
      <w:lvlJc w:val="left"/>
      <w:pPr>
        <w:ind w:left="2884" w:hanging="271"/>
      </w:pPr>
      <w:rPr>
        <w:rFonts w:hint="default"/>
      </w:rPr>
    </w:lvl>
    <w:lvl w:ilvl="6">
      <w:start w:val="1"/>
      <w:numFmt w:val="bullet"/>
      <w:lvlText w:val="•"/>
      <w:lvlJc w:val="left"/>
      <w:pPr>
        <w:ind w:left="3470" w:hanging="271"/>
      </w:pPr>
      <w:rPr>
        <w:rFonts w:hint="default"/>
      </w:rPr>
    </w:lvl>
    <w:lvl w:ilvl="7">
      <w:start w:val="1"/>
      <w:numFmt w:val="bullet"/>
      <w:lvlText w:val="•"/>
      <w:lvlJc w:val="left"/>
      <w:pPr>
        <w:ind w:left="4057" w:hanging="271"/>
      </w:pPr>
      <w:rPr>
        <w:rFonts w:hint="default"/>
      </w:rPr>
    </w:lvl>
    <w:lvl w:ilvl="8">
      <w:start w:val="1"/>
      <w:numFmt w:val="bullet"/>
      <w:lvlText w:val="•"/>
      <w:lvlJc w:val="left"/>
      <w:pPr>
        <w:ind w:left="4643" w:hanging="271"/>
      </w:pPr>
      <w:rPr>
        <w:rFonts w:hint="default"/>
      </w:rPr>
    </w:lvl>
  </w:abstractNum>
  <w:abstractNum w:abstractNumId="75">
    <w:multiLevelType w:val="hybridMultilevel"/>
    <w:lvl w:ilvl="0">
      <w:start w:val="1"/>
      <w:numFmt w:val="bullet"/>
      <w:lvlText w:val=""/>
      <w:lvlJc w:val="left"/>
      <w:pPr>
        <w:ind w:left="990" w:hanging="360"/>
      </w:pPr>
      <w:rPr>
        <w:rFonts w:hint="default" w:ascii="Symbol" w:hAnsi="Symbol" w:eastAsia="Symbol" w:cs="Symbol"/>
        <w:w w:val="99"/>
        <w:sz w:val="20"/>
        <w:szCs w:val="20"/>
      </w:rPr>
    </w:lvl>
    <w:lvl w:ilvl="1">
      <w:start w:val="1"/>
      <w:numFmt w:val="bullet"/>
      <w:lvlText w:val="•"/>
      <w:lvlJc w:val="left"/>
      <w:pPr>
        <w:ind w:left="1481" w:hanging="360"/>
      </w:pPr>
      <w:rPr>
        <w:rFonts w:hint="default"/>
      </w:rPr>
    </w:lvl>
    <w:lvl w:ilvl="2">
      <w:start w:val="1"/>
      <w:numFmt w:val="bullet"/>
      <w:lvlText w:val="•"/>
      <w:lvlJc w:val="left"/>
      <w:pPr>
        <w:ind w:left="1963" w:hanging="360"/>
      </w:pPr>
      <w:rPr>
        <w:rFonts w:hint="default"/>
      </w:rPr>
    </w:lvl>
    <w:lvl w:ilvl="3">
      <w:start w:val="1"/>
      <w:numFmt w:val="bullet"/>
      <w:lvlText w:val="•"/>
      <w:lvlJc w:val="left"/>
      <w:pPr>
        <w:ind w:left="2444" w:hanging="360"/>
      </w:pPr>
      <w:rPr>
        <w:rFonts w:hint="default"/>
      </w:rPr>
    </w:lvl>
    <w:lvl w:ilvl="4">
      <w:start w:val="1"/>
      <w:numFmt w:val="bullet"/>
      <w:lvlText w:val="•"/>
      <w:lvlJc w:val="left"/>
      <w:pPr>
        <w:ind w:left="2926" w:hanging="360"/>
      </w:pPr>
      <w:rPr>
        <w:rFonts w:hint="default"/>
      </w:rPr>
    </w:lvl>
    <w:lvl w:ilvl="5">
      <w:start w:val="1"/>
      <w:numFmt w:val="bullet"/>
      <w:lvlText w:val="•"/>
      <w:lvlJc w:val="left"/>
      <w:pPr>
        <w:ind w:left="3407" w:hanging="360"/>
      </w:pPr>
      <w:rPr>
        <w:rFonts w:hint="default"/>
      </w:rPr>
    </w:lvl>
    <w:lvl w:ilvl="6">
      <w:start w:val="1"/>
      <w:numFmt w:val="bullet"/>
      <w:lvlText w:val="•"/>
      <w:lvlJc w:val="left"/>
      <w:pPr>
        <w:ind w:left="3889" w:hanging="360"/>
      </w:pPr>
      <w:rPr>
        <w:rFonts w:hint="default"/>
      </w:rPr>
    </w:lvl>
    <w:lvl w:ilvl="7">
      <w:start w:val="1"/>
      <w:numFmt w:val="bullet"/>
      <w:lvlText w:val="•"/>
      <w:lvlJc w:val="left"/>
      <w:pPr>
        <w:ind w:left="4370" w:hanging="360"/>
      </w:pPr>
      <w:rPr>
        <w:rFonts w:hint="default"/>
      </w:rPr>
    </w:lvl>
    <w:lvl w:ilvl="8">
      <w:start w:val="1"/>
      <w:numFmt w:val="bullet"/>
      <w:lvlText w:val="•"/>
      <w:lvlJc w:val="left"/>
      <w:pPr>
        <w:ind w:left="4852" w:hanging="360"/>
      </w:pPr>
      <w:rPr>
        <w:rFonts w:hint="default"/>
      </w:rPr>
    </w:lvl>
  </w:abstractNum>
  <w:abstractNum w:abstractNumId="74">
    <w:multiLevelType w:val="hybridMultilevel"/>
    <w:lvl w:ilvl="0">
      <w:start w:val="5"/>
      <w:numFmt w:val="decimal"/>
      <w:lvlText w:val="%1"/>
      <w:lvlJc w:val="left"/>
      <w:pPr>
        <w:ind w:left="681" w:hanging="411"/>
        <w:jc w:val="left"/>
      </w:pPr>
      <w:rPr>
        <w:rFonts w:hint="default"/>
      </w:rPr>
    </w:lvl>
    <w:lvl w:ilvl="1">
      <w:start w:val="4"/>
      <w:numFmt w:val="decimal"/>
      <w:lvlText w:val="%1.%2"/>
      <w:lvlJc w:val="left"/>
      <w:pPr>
        <w:ind w:left="270" w:hanging="411"/>
        <w:jc w:val="left"/>
      </w:pPr>
      <w:rPr>
        <w:rFonts w:hint="default"/>
      </w:rPr>
    </w:lvl>
    <w:lvl w:ilvl="2">
      <w:start w:val="2"/>
      <w:numFmt w:val="decimal"/>
      <w:lvlText w:val="%1.%2.%3"/>
      <w:lvlJc w:val="left"/>
      <w:pPr>
        <w:ind w:left="681" w:hanging="411"/>
        <w:jc w:val="left"/>
      </w:pPr>
      <w:rPr>
        <w:rFonts w:hint="default" w:ascii="Times New Roman" w:hAnsi="Times New Roman" w:eastAsia="Times New Roman" w:cs="Times New Roman"/>
        <w:b/>
        <w:bCs/>
        <w:w w:val="100"/>
        <w:sz w:val="18"/>
        <w:szCs w:val="18"/>
      </w:rPr>
    </w:lvl>
    <w:lvl w:ilvl="3">
      <w:start w:val="1"/>
      <w:numFmt w:val="bullet"/>
      <w:lvlText w:val="•"/>
      <w:lvlJc w:val="left"/>
      <w:pPr>
        <w:ind w:left="1681" w:hanging="411"/>
      </w:pPr>
      <w:rPr>
        <w:rFonts w:hint="default"/>
      </w:rPr>
    </w:lvl>
    <w:lvl w:ilvl="4">
      <w:start w:val="1"/>
      <w:numFmt w:val="bullet"/>
      <w:lvlText w:val="•"/>
      <w:lvlJc w:val="left"/>
      <w:pPr>
        <w:ind w:left="2182" w:hanging="411"/>
      </w:pPr>
      <w:rPr>
        <w:rFonts w:hint="default"/>
      </w:rPr>
    </w:lvl>
    <w:lvl w:ilvl="5">
      <w:start w:val="1"/>
      <w:numFmt w:val="bullet"/>
      <w:lvlText w:val="•"/>
      <w:lvlJc w:val="left"/>
      <w:pPr>
        <w:ind w:left="2683" w:hanging="411"/>
      </w:pPr>
      <w:rPr>
        <w:rFonts w:hint="default"/>
      </w:rPr>
    </w:lvl>
    <w:lvl w:ilvl="6">
      <w:start w:val="1"/>
      <w:numFmt w:val="bullet"/>
      <w:lvlText w:val="•"/>
      <w:lvlJc w:val="left"/>
      <w:pPr>
        <w:ind w:left="3184" w:hanging="411"/>
      </w:pPr>
      <w:rPr>
        <w:rFonts w:hint="default"/>
      </w:rPr>
    </w:lvl>
    <w:lvl w:ilvl="7">
      <w:start w:val="1"/>
      <w:numFmt w:val="bullet"/>
      <w:lvlText w:val="•"/>
      <w:lvlJc w:val="left"/>
      <w:pPr>
        <w:ind w:left="3684" w:hanging="411"/>
      </w:pPr>
      <w:rPr>
        <w:rFonts w:hint="default"/>
      </w:rPr>
    </w:lvl>
    <w:lvl w:ilvl="8">
      <w:start w:val="1"/>
      <w:numFmt w:val="bullet"/>
      <w:lvlText w:val="•"/>
      <w:lvlJc w:val="left"/>
      <w:pPr>
        <w:ind w:left="4185" w:hanging="411"/>
      </w:pPr>
      <w:rPr>
        <w:rFonts w:hint="default"/>
      </w:rPr>
    </w:lvl>
  </w:abstractNum>
  <w:abstractNum w:abstractNumId="73">
    <w:multiLevelType w:val="hybridMultilevel"/>
    <w:lvl w:ilvl="0">
      <w:start w:val="5"/>
      <w:numFmt w:val="decimal"/>
      <w:lvlText w:val="%1"/>
      <w:lvlJc w:val="left"/>
      <w:pPr>
        <w:ind w:left="270" w:hanging="375"/>
        <w:jc w:val="left"/>
      </w:pPr>
      <w:rPr>
        <w:rFonts w:hint="default"/>
      </w:rPr>
    </w:lvl>
    <w:lvl w:ilvl="1">
      <w:start w:val="3"/>
      <w:numFmt w:val="decimal"/>
      <w:lvlText w:val="%1.%2"/>
      <w:lvlJc w:val="left"/>
      <w:pPr>
        <w:ind w:left="270" w:hanging="375"/>
        <w:jc w:val="left"/>
      </w:pPr>
      <w:rPr>
        <w:rFonts w:hint="default" w:ascii="Times New Roman" w:hAnsi="Times New Roman" w:eastAsia="Times New Roman" w:cs="Times New Roman"/>
        <w:b/>
        <w:bCs/>
        <w:spacing w:val="-1"/>
        <w:w w:val="100"/>
        <w:sz w:val="18"/>
        <w:szCs w:val="18"/>
      </w:rPr>
    </w:lvl>
    <w:lvl w:ilvl="2">
      <w:start w:val="1"/>
      <w:numFmt w:val="bullet"/>
      <w:lvlText w:val=""/>
      <w:lvlJc w:val="left"/>
      <w:pPr>
        <w:ind w:left="990" w:hanging="360"/>
      </w:pPr>
      <w:rPr>
        <w:rFonts w:hint="default" w:ascii="Symbol" w:hAnsi="Symbol" w:eastAsia="Symbol" w:cs="Symbol"/>
        <w:w w:val="99"/>
        <w:sz w:val="20"/>
        <w:szCs w:val="20"/>
      </w:rPr>
    </w:lvl>
    <w:lvl w:ilvl="3">
      <w:start w:val="1"/>
      <w:numFmt w:val="bullet"/>
      <w:lvlText w:val="•"/>
      <w:lvlJc w:val="left"/>
      <w:pPr>
        <w:ind w:left="2070" w:hanging="360"/>
      </w:pPr>
      <w:rPr>
        <w:rFonts w:hint="default"/>
      </w:rPr>
    </w:lvl>
    <w:lvl w:ilvl="4">
      <w:start w:val="1"/>
      <w:numFmt w:val="bullet"/>
      <w:lvlText w:val="•"/>
      <w:lvlJc w:val="left"/>
      <w:pPr>
        <w:ind w:left="2605" w:hanging="360"/>
      </w:pPr>
      <w:rPr>
        <w:rFonts w:hint="default"/>
      </w:rPr>
    </w:lvl>
    <w:lvl w:ilvl="5">
      <w:start w:val="1"/>
      <w:numFmt w:val="bullet"/>
      <w:lvlText w:val="•"/>
      <w:lvlJc w:val="left"/>
      <w:pPr>
        <w:ind w:left="3140" w:hanging="360"/>
      </w:pPr>
      <w:rPr>
        <w:rFonts w:hint="default"/>
      </w:rPr>
    </w:lvl>
    <w:lvl w:ilvl="6">
      <w:start w:val="1"/>
      <w:numFmt w:val="bullet"/>
      <w:lvlText w:val="•"/>
      <w:lvlJc w:val="left"/>
      <w:pPr>
        <w:ind w:left="3675" w:hanging="360"/>
      </w:pPr>
      <w:rPr>
        <w:rFonts w:hint="default"/>
      </w:rPr>
    </w:lvl>
    <w:lvl w:ilvl="7">
      <w:start w:val="1"/>
      <w:numFmt w:val="bullet"/>
      <w:lvlText w:val="•"/>
      <w:lvlJc w:val="left"/>
      <w:pPr>
        <w:ind w:left="4210" w:hanging="360"/>
      </w:pPr>
      <w:rPr>
        <w:rFonts w:hint="default"/>
      </w:rPr>
    </w:lvl>
    <w:lvl w:ilvl="8">
      <w:start w:val="1"/>
      <w:numFmt w:val="bullet"/>
      <w:lvlText w:val="•"/>
      <w:lvlJc w:val="left"/>
      <w:pPr>
        <w:ind w:left="4745" w:hanging="360"/>
      </w:pPr>
      <w:rPr>
        <w:rFonts w:hint="default"/>
      </w:rPr>
    </w:lvl>
  </w:abstractNum>
  <w:abstractNum w:abstractNumId="72">
    <w:multiLevelType w:val="hybridMultilevel"/>
    <w:lvl w:ilvl="0">
      <w:start w:val="4"/>
      <w:numFmt w:val="decimal"/>
      <w:lvlText w:val="%1"/>
      <w:lvlJc w:val="left"/>
      <w:pPr>
        <w:ind w:left="270" w:hanging="338"/>
        <w:jc w:val="left"/>
      </w:pPr>
      <w:rPr>
        <w:rFonts w:hint="default"/>
      </w:rPr>
    </w:lvl>
    <w:lvl w:ilvl="1">
      <w:start w:val="3"/>
      <w:numFmt w:val="decimal"/>
      <w:lvlText w:val="%1.%2"/>
      <w:lvlJc w:val="left"/>
      <w:pPr>
        <w:ind w:left="270" w:hanging="338"/>
        <w:jc w:val="left"/>
      </w:pPr>
      <w:rPr>
        <w:rFonts w:hint="default" w:ascii="Times New Roman" w:hAnsi="Times New Roman" w:eastAsia="Times New Roman" w:cs="Times New Roman"/>
        <w:b/>
        <w:bCs/>
        <w:spacing w:val="-23"/>
        <w:w w:val="100"/>
        <w:sz w:val="18"/>
        <w:szCs w:val="18"/>
      </w:rPr>
    </w:lvl>
    <w:lvl w:ilvl="2">
      <w:start w:val="1"/>
      <w:numFmt w:val="bullet"/>
      <w:lvlText w:val=""/>
      <w:lvlJc w:val="left"/>
      <w:pPr>
        <w:ind w:left="978" w:hanging="348"/>
      </w:pPr>
      <w:rPr>
        <w:rFonts w:hint="default" w:ascii="Symbol" w:hAnsi="Symbol" w:eastAsia="Symbol" w:cs="Symbol"/>
        <w:w w:val="99"/>
        <w:sz w:val="18"/>
        <w:szCs w:val="18"/>
      </w:rPr>
    </w:lvl>
    <w:lvl w:ilvl="3">
      <w:start w:val="1"/>
      <w:numFmt w:val="bullet"/>
      <w:lvlText w:val="•"/>
      <w:lvlJc w:val="left"/>
      <w:pPr>
        <w:ind w:left="665" w:hanging="348"/>
      </w:pPr>
      <w:rPr>
        <w:rFonts w:hint="default"/>
      </w:rPr>
    </w:lvl>
    <w:lvl w:ilvl="4">
      <w:start w:val="1"/>
      <w:numFmt w:val="bullet"/>
      <w:lvlText w:val="•"/>
      <w:lvlJc w:val="left"/>
      <w:pPr>
        <w:ind w:left="508" w:hanging="348"/>
      </w:pPr>
      <w:rPr>
        <w:rFonts w:hint="default"/>
      </w:rPr>
    </w:lvl>
    <w:lvl w:ilvl="5">
      <w:start w:val="1"/>
      <w:numFmt w:val="bullet"/>
      <w:lvlText w:val="•"/>
      <w:lvlJc w:val="left"/>
      <w:pPr>
        <w:ind w:left="351" w:hanging="348"/>
      </w:pPr>
      <w:rPr>
        <w:rFonts w:hint="default"/>
      </w:rPr>
    </w:lvl>
    <w:lvl w:ilvl="6">
      <w:start w:val="1"/>
      <w:numFmt w:val="bullet"/>
      <w:lvlText w:val="•"/>
      <w:lvlJc w:val="left"/>
      <w:pPr>
        <w:ind w:left="193" w:hanging="348"/>
      </w:pPr>
      <w:rPr>
        <w:rFonts w:hint="default"/>
      </w:rPr>
    </w:lvl>
    <w:lvl w:ilvl="7">
      <w:start w:val="1"/>
      <w:numFmt w:val="bullet"/>
      <w:lvlText w:val="•"/>
      <w:lvlJc w:val="left"/>
      <w:pPr>
        <w:ind w:left="36" w:hanging="348"/>
      </w:pPr>
      <w:rPr>
        <w:rFonts w:hint="default"/>
      </w:rPr>
    </w:lvl>
    <w:lvl w:ilvl="8">
      <w:start w:val="1"/>
      <w:numFmt w:val="bullet"/>
      <w:lvlText w:val="•"/>
      <w:lvlJc w:val="left"/>
      <w:pPr>
        <w:ind w:left="-121" w:hanging="348"/>
      </w:pPr>
      <w:rPr>
        <w:rFonts w:hint="default"/>
      </w:rPr>
    </w:lvl>
  </w:abstractNum>
  <w:abstractNum w:abstractNumId="71">
    <w:multiLevelType w:val="hybridMultilevel"/>
    <w:lvl w:ilvl="0">
      <w:start w:val="1"/>
      <w:numFmt w:val="decimal"/>
      <w:lvlText w:val="%1"/>
      <w:lvlJc w:val="left"/>
      <w:pPr>
        <w:ind w:left="675" w:hanging="406"/>
        <w:jc w:val="left"/>
      </w:pPr>
      <w:rPr>
        <w:rFonts w:hint="default"/>
      </w:rPr>
    </w:lvl>
    <w:lvl w:ilvl="1">
      <w:start w:val="1"/>
      <w:numFmt w:val="decimal"/>
      <w:lvlText w:val="%1.%2"/>
      <w:lvlJc w:val="left"/>
      <w:pPr>
        <w:ind w:left="675" w:hanging="406"/>
        <w:jc w:val="left"/>
      </w:pPr>
      <w:rPr>
        <w:rFonts w:hint="default" w:ascii="Times New Roman" w:hAnsi="Times New Roman" w:eastAsia="Times New Roman" w:cs="Times New Roman"/>
        <w:b/>
        <w:bCs/>
        <w:spacing w:val="-1"/>
        <w:w w:val="100"/>
        <w:sz w:val="18"/>
        <w:szCs w:val="18"/>
      </w:rPr>
    </w:lvl>
    <w:lvl w:ilvl="2">
      <w:start w:val="1"/>
      <w:numFmt w:val="bullet"/>
      <w:lvlText w:val="•"/>
      <w:lvlJc w:val="left"/>
      <w:pPr>
        <w:ind w:left="1250" w:hanging="406"/>
      </w:pPr>
      <w:rPr>
        <w:rFonts w:hint="default"/>
      </w:rPr>
    </w:lvl>
    <w:lvl w:ilvl="3">
      <w:start w:val="1"/>
      <w:numFmt w:val="bullet"/>
      <w:lvlText w:val="•"/>
      <w:lvlJc w:val="left"/>
      <w:pPr>
        <w:ind w:left="1821" w:hanging="406"/>
      </w:pPr>
      <w:rPr>
        <w:rFonts w:hint="default"/>
      </w:rPr>
    </w:lvl>
    <w:lvl w:ilvl="4">
      <w:start w:val="1"/>
      <w:numFmt w:val="bullet"/>
      <w:lvlText w:val="•"/>
      <w:lvlJc w:val="left"/>
      <w:pPr>
        <w:ind w:left="2391" w:hanging="406"/>
      </w:pPr>
      <w:rPr>
        <w:rFonts w:hint="default"/>
      </w:rPr>
    </w:lvl>
    <w:lvl w:ilvl="5">
      <w:start w:val="1"/>
      <w:numFmt w:val="bullet"/>
      <w:lvlText w:val="•"/>
      <w:lvlJc w:val="left"/>
      <w:pPr>
        <w:ind w:left="2962" w:hanging="406"/>
      </w:pPr>
      <w:rPr>
        <w:rFonts w:hint="default"/>
      </w:rPr>
    </w:lvl>
    <w:lvl w:ilvl="6">
      <w:start w:val="1"/>
      <w:numFmt w:val="bullet"/>
      <w:lvlText w:val="•"/>
      <w:lvlJc w:val="left"/>
      <w:pPr>
        <w:ind w:left="3533" w:hanging="406"/>
      </w:pPr>
      <w:rPr>
        <w:rFonts w:hint="default"/>
      </w:rPr>
    </w:lvl>
    <w:lvl w:ilvl="7">
      <w:start w:val="1"/>
      <w:numFmt w:val="bullet"/>
      <w:lvlText w:val="•"/>
      <w:lvlJc w:val="left"/>
      <w:pPr>
        <w:ind w:left="4103" w:hanging="406"/>
      </w:pPr>
      <w:rPr>
        <w:rFonts w:hint="default"/>
      </w:rPr>
    </w:lvl>
    <w:lvl w:ilvl="8">
      <w:start w:val="1"/>
      <w:numFmt w:val="bullet"/>
      <w:lvlText w:val="•"/>
      <w:lvlJc w:val="left"/>
      <w:pPr>
        <w:ind w:left="4674" w:hanging="406"/>
      </w:pPr>
      <w:rPr>
        <w:rFonts w:hint="default"/>
      </w:rPr>
    </w:lvl>
  </w:abstractNum>
  <w:abstractNum w:abstractNumId="70">
    <w:multiLevelType w:val="hybridMultilevel"/>
    <w:lvl w:ilvl="0">
      <w:start w:val="1"/>
      <w:numFmt w:val="decimal"/>
      <w:lvlText w:val="%1."/>
      <w:lvlJc w:val="left"/>
      <w:pPr>
        <w:ind w:left="978" w:hanging="348"/>
        <w:jc w:val="right"/>
      </w:pPr>
      <w:rPr>
        <w:rFonts w:hint="default" w:ascii="Times New Roman" w:hAnsi="Times New Roman" w:eastAsia="Times New Roman" w:cs="Times New Roman"/>
        <w:b/>
        <w:bCs/>
        <w:w w:val="100"/>
        <w:sz w:val="18"/>
        <w:szCs w:val="18"/>
      </w:rPr>
    </w:lvl>
    <w:lvl w:ilvl="1">
      <w:start w:val="1"/>
      <w:numFmt w:val="decimal"/>
      <w:lvlText w:val="%1.%2"/>
      <w:lvlJc w:val="left"/>
      <w:pPr>
        <w:ind w:left="541" w:hanging="271"/>
        <w:jc w:val="left"/>
      </w:pPr>
      <w:rPr>
        <w:rFonts w:hint="default" w:ascii="Times New Roman" w:hAnsi="Times New Roman" w:eastAsia="Times New Roman" w:cs="Times New Roman"/>
        <w:b/>
        <w:bCs/>
        <w:spacing w:val="-2"/>
        <w:w w:val="100"/>
        <w:sz w:val="18"/>
        <w:szCs w:val="18"/>
      </w:rPr>
    </w:lvl>
    <w:lvl w:ilvl="2">
      <w:start w:val="1"/>
      <w:numFmt w:val="bullet"/>
      <w:lvlText w:val=""/>
      <w:lvlJc w:val="left"/>
      <w:pPr>
        <w:ind w:left="990" w:hanging="360"/>
      </w:pPr>
      <w:rPr>
        <w:rFonts w:hint="default" w:ascii="Symbol" w:hAnsi="Symbol" w:eastAsia="Symbol" w:cs="Symbol"/>
        <w:w w:val="99"/>
        <w:sz w:val="20"/>
        <w:szCs w:val="20"/>
      </w:rPr>
    </w:lvl>
    <w:lvl w:ilvl="3">
      <w:start w:val="1"/>
      <w:numFmt w:val="bullet"/>
      <w:lvlText w:val="•"/>
      <w:lvlJc w:val="left"/>
      <w:pPr>
        <w:ind w:left="1000" w:hanging="360"/>
      </w:pPr>
      <w:rPr>
        <w:rFonts w:hint="default"/>
      </w:rPr>
    </w:lvl>
    <w:lvl w:ilvl="4">
      <w:start w:val="1"/>
      <w:numFmt w:val="bullet"/>
      <w:lvlText w:val="•"/>
      <w:lvlJc w:val="left"/>
      <w:pPr>
        <w:ind w:left="794" w:hanging="360"/>
      </w:pPr>
      <w:rPr>
        <w:rFonts w:hint="default"/>
      </w:rPr>
    </w:lvl>
    <w:lvl w:ilvl="5">
      <w:start w:val="1"/>
      <w:numFmt w:val="bullet"/>
      <w:lvlText w:val="•"/>
      <w:lvlJc w:val="left"/>
      <w:pPr>
        <w:ind w:left="589" w:hanging="360"/>
      </w:pPr>
      <w:rPr>
        <w:rFonts w:hint="default"/>
      </w:rPr>
    </w:lvl>
    <w:lvl w:ilvl="6">
      <w:start w:val="1"/>
      <w:numFmt w:val="bullet"/>
      <w:lvlText w:val="•"/>
      <w:lvlJc w:val="left"/>
      <w:pPr>
        <w:ind w:left="384" w:hanging="360"/>
      </w:pPr>
      <w:rPr>
        <w:rFonts w:hint="default"/>
      </w:rPr>
    </w:lvl>
    <w:lvl w:ilvl="7">
      <w:start w:val="1"/>
      <w:numFmt w:val="bullet"/>
      <w:lvlText w:val="•"/>
      <w:lvlJc w:val="left"/>
      <w:pPr>
        <w:ind w:left="179" w:hanging="360"/>
      </w:pPr>
      <w:rPr>
        <w:rFonts w:hint="default"/>
      </w:rPr>
    </w:lvl>
    <w:lvl w:ilvl="8">
      <w:start w:val="1"/>
      <w:numFmt w:val="bullet"/>
      <w:lvlText w:val="•"/>
      <w:lvlJc w:val="left"/>
      <w:pPr>
        <w:ind w:left="-26" w:hanging="360"/>
      </w:pPr>
      <w:rPr>
        <w:rFonts w:hint="default"/>
      </w:rPr>
    </w:lvl>
  </w:abstractNum>
  <w:abstractNum w:abstractNumId="69">
    <w:multiLevelType w:val="hybridMultilevel"/>
    <w:lvl w:ilvl="0">
      <w:start w:val="2"/>
      <w:numFmt w:val="decimal"/>
      <w:lvlText w:val="%1"/>
      <w:lvlJc w:val="left"/>
      <w:pPr>
        <w:ind w:left="5868" w:hanging="838"/>
        <w:jc w:val="left"/>
      </w:pPr>
      <w:rPr>
        <w:rFonts w:hint="default"/>
      </w:rPr>
    </w:lvl>
    <w:lvl w:ilvl="1">
      <w:start w:val="1"/>
      <w:numFmt w:val="decimal"/>
      <w:lvlText w:val="%1.%2"/>
      <w:lvlJc w:val="left"/>
      <w:pPr>
        <w:ind w:left="5868" w:hanging="838"/>
        <w:jc w:val="left"/>
      </w:pPr>
      <w:rPr>
        <w:rFonts w:hint="default"/>
      </w:rPr>
    </w:lvl>
    <w:lvl w:ilvl="2">
      <w:start w:val="4"/>
      <w:numFmt w:val="decimal"/>
      <w:lvlText w:val="%1.%2.%3."/>
      <w:lvlJc w:val="left"/>
      <w:pPr>
        <w:ind w:left="5868" w:hanging="838"/>
        <w:jc w:val="right"/>
      </w:pPr>
      <w:rPr>
        <w:rFonts w:hint="default" w:ascii="Times New Roman" w:hAnsi="Times New Roman" w:eastAsia="Times New Roman" w:cs="Times New Roman"/>
        <w:b/>
        <w:bCs/>
        <w:spacing w:val="-18"/>
        <w:w w:val="100"/>
        <w:sz w:val="18"/>
        <w:szCs w:val="18"/>
      </w:rPr>
    </w:lvl>
    <w:lvl w:ilvl="3">
      <w:start w:val="1"/>
      <w:numFmt w:val="bullet"/>
      <w:lvlText w:val="•"/>
      <w:lvlJc w:val="left"/>
      <w:pPr>
        <w:ind w:left="7534" w:hanging="838"/>
      </w:pPr>
      <w:rPr>
        <w:rFonts w:hint="default"/>
      </w:rPr>
    </w:lvl>
    <w:lvl w:ilvl="4">
      <w:start w:val="1"/>
      <w:numFmt w:val="bullet"/>
      <w:lvlText w:val="•"/>
      <w:lvlJc w:val="left"/>
      <w:pPr>
        <w:ind w:left="8092" w:hanging="838"/>
      </w:pPr>
      <w:rPr>
        <w:rFonts w:hint="default"/>
      </w:rPr>
    </w:lvl>
    <w:lvl w:ilvl="5">
      <w:start w:val="1"/>
      <w:numFmt w:val="bullet"/>
      <w:lvlText w:val="•"/>
      <w:lvlJc w:val="left"/>
      <w:pPr>
        <w:ind w:left="8650" w:hanging="838"/>
      </w:pPr>
      <w:rPr>
        <w:rFonts w:hint="default"/>
      </w:rPr>
    </w:lvl>
    <w:lvl w:ilvl="6">
      <w:start w:val="1"/>
      <w:numFmt w:val="bullet"/>
      <w:lvlText w:val="•"/>
      <w:lvlJc w:val="left"/>
      <w:pPr>
        <w:ind w:left="9208" w:hanging="838"/>
      </w:pPr>
      <w:rPr>
        <w:rFonts w:hint="default"/>
      </w:rPr>
    </w:lvl>
    <w:lvl w:ilvl="7">
      <w:start w:val="1"/>
      <w:numFmt w:val="bullet"/>
      <w:lvlText w:val="•"/>
      <w:lvlJc w:val="left"/>
      <w:pPr>
        <w:ind w:left="9766" w:hanging="838"/>
      </w:pPr>
      <w:rPr>
        <w:rFonts w:hint="default"/>
      </w:rPr>
    </w:lvl>
    <w:lvl w:ilvl="8">
      <w:start w:val="1"/>
      <w:numFmt w:val="bullet"/>
      <w:lvlText w:val="•"/>
      <w:lvlJc w:val="left"/>
      <w:pPr>
        <w:ind w:left="10324" w:hanging="838"/>
      </w:pPr>
      <w:rPr>
        <w:rFonts w:hint="default"/>
      </w:rPr>
    </w:lvl>
  </w:abstractNum>
  <w:abstractNum w:abstractNumId="67">
    <w:multiLevelType w:val="hybridMultilevel"/>
    <w:lvl w:ilvl="0">
      <w:start w:val="2"/>
      <w:numFmt w:val="decimal"/>
      <w:lvlText w:val="%1"/>
      <w:lvlJc w:val="left"/>
      <w:pPr>
        <w:ind w:left="811" w:hanging="541"/>
        <w:jc w:val="left"/>
      </w:pPr>
      <w:rPr>
        <w:rFonts w:hint="default"/>
      </w:rPr>
    </w:lvl>
    <w:lvl w:ilvl="1">
      <w:start w:val="2"/>
      <w:numFmt w:val="decimal"/>
      <w:lvlText w:val="%1.%2"/>
      <w:lvlJc w:val="left"/>
      <w:pPr>
        <w:ind w:left="811" w:hanging="541"/>
        <w:jc w:val="left"/>
      </w:pPr>
      <w:rPr>
        <w:rFonts w:hint="default"/>
      </w:rPr>
    </w:lvl>
    <w:lvl w:ilvl="2">
      <w:start w:val="2"/>
      <w:numFmt w:val="decimal"/>
      <w:lvlText w:val="%1.%2.%3."/>
      <w:lvlJc w:val="left"/>
      <w:pPr>
        <w:ind w:left="811" w:hanging="541"/>
        <w:jc w:val="left"/>
      </w:pPr>
      <w:rPr>
        <w:rFonts w:hint="default" w:ascii="Times New Roman" w:hAnsi="Times New Roman" w:eastAsia="Times New Roman" w:cs="Times New Roman"/>
        <w:b/>
        <w:bCs/>
        <w:spacing w:val="-2"/>
        <w:w w:val="100"/>
        <w:sz w:val="18"/>
        <w:szCs w:val="18"/>
      </w:rPr>
    </w:lvl>
    <w:lvl w:ilvl="3">
      <w:start w:val="1"/>
      <w:numFmt w:val="bullet"/>
      <w:lvlText w:val="•"/>
      <w:lvlJc w:val="left"/>
      <w:pPr>
        <w:ind w:left="2122" w:hanging="541"/>
      </w:pPr>
      <w:rPr>
        <w:rFonts w:hint="default"/>
      </w:rPr>
    </w:lvl>
    <w:lvl w:ilvl="4">
      <w:start w:val="1"/>
      <w:numFmt w:val="bullet"/>
      <w:lvlText w:val="•"/>
      <w:lvlJc w:val="left"/>
      <w:pPr>
        <w:ind w:left="2557" w:hanging="541"/>
      </w:pPr>
      <w:rPr>
        <w:rFonts w:hint="default"/>
      </w:rPr>
    </w:lvl>
    <w:lvl w:ilvl="5">
      <w:start w:val="1"/>
      <w:numFmt w:val="bullet"/>
      <w:lvlText w:val="•"/>
      <w:lvlJc w:val="left"/>
      <w:pPr>
        <w:ind w:left="2991" w:hanging="541"/>
      </w:pPr>
      <w:rPr>
        <w:rFonts w:hint="default"/>
      </w:rPr>
    </w:lvl>
    <w:lvl w:ilvl="6">
      <w:start w:val="1"/>
      <w:numFmt w:val="bullet"/>
      <w:lvlText w:val="•"/>
      <w:lvlJc w:val="left"/>
      <w:pPr>
        <w:ind w:left="3425" w:hanging="541"/>
      </w:pPr>
      <w:rPr>
        <w:rFonts w:hint="default"/>
      </w:rPr>
    </w:lvl>
    <w:lvl w:ilvl="7">
      <w:start w:val="1"/>
      <w:numFmt w:val="bullet"/>
      <w:lvlText w:val="•"/>
      <w:lvlJc w:val="left"/>
      <w:pPr>
        <w:ind w:left="3860" w:hanging="541"/>
      </w:pPr>
      <w:rPr>
        <w:rFonts w:hint="default"/>
      </w:rPr>
    </w:lvl>
    <w:lvl w:ilvl="8">
      <w:start w:val="1"/>
      <w:numFmt w:val="bullet"/>
      <w:lvlText w:val="•"/>
      <w:lvlJc w:val="left"/>
      <w:pPr>
        <w:ind w:left="4294" w:hanging="541"/>
      </w:pPr>
      <w:rPr>
        <w:rFonts w:hint="default"/>
      </w:rPr>
    </w:lvl>
  </w:abstractNum>
  <w:abstractNum w:abstractNumId="66">
    <w:multiLevelType w:val="hybridMultilevel"/>
    <w:lvl w:ilvl="0">
      <w:start w:val="1"/>
      <w:numFmt w:val="decimal"/>
      <w:lvlText w:val="%1."/>
      <w:lvlJc w:val="left"/>
      <w:pPr>
        <w:ind w:left="451" w:hanging="181"/>
        <w:jc w:val="left"/>
      </w:pPr>
      <w:rPr>
        <w:rFonts w:hint="default" w:ascii="Times New Roman" w:hAnsi="Times New Roman" w:eastAsia="Times New Roman" w:cs="Times New Roman"/>
        <w:b/>
        <w:bCs/>
        <w:w w:val="100"/>
        <w:sz w:val="18"/>
        <w:szCs w:val="18"/>
      </w:rPr>
    </w:lvl>
    <w:lvl w:ilvl="1">
      <w:start w:val="1"/>
      <w:numFmt w:val="decimal"/>
      <w:lvlText w:val="%1.%2"/>
      <w:lvlJc w:val="left"/>
      <w:pPr>
        <w:ind w:left="631" w:hanging="361"/>
        <w:jc w:val="left"/>
      </w:pPr>
      <w:rPr>
        <w:rFonts w:hint="default" w:ascii="Times New Roman" w:hAnsi="Times New Roman" w:eastAsia="Times New Roman" w:cs="Times New Roman"/>
        <w:b/>
        <w:bCs/>
        <w:spacing w:val="-2"/>
        <w:w w:val="100"/>
        <w:sz w:val="18"/>
        <w:szCs w:val="18"/>
      </w:rPr>
    </w:lvl>
    <w:lvl w:ilvl="2">
      <w:start w:val="1"/>
      <w:numFmt w:val="decimal"/>
      <w:lvlText w:val="%1.%2.%3"/>
      <w:lvlJc w:val="left"/>
      <w:pPr>
        <w:ind w:left="765" w:hanging="495"/>
        <w:jc w:val="left"/>
      </w:pPr>
      <w:rPr>
        <w:rFonts w:hint="default" w:ascii="Times New Roman" w:hAnsi="Times New Roman" w:eastAsia="Times New Roman" w:cs="Times New Roman"/>
        <w:b/>
        <w:bCs/>
        <w:spacing w:val="-1"/>
        <w:w w:val="100"/>
        <w:sz w:val="18"/>
        <w:szCs w:val="18"/>
      </w:rPr>
    </w:lvl>
    <w:lvl w:ilvl="3">
      <w:start w:val="1"/>
      <w:numFmt w:val="bullet"/>
      <w:lvlText w:val=""/>
      <w:lvlJc w:val="left"/>
      <w:pPr>
        <w:ind w:left="990" w:hanging="350"/>
      </w:pPr>
      <w:rPr>
        <w:rFonts w:hint="default" w:ascii="Symbol" w:hAnsi="Symbol" w:eastAsia="Symbol" w:cs="Symbol"/>
        <w:w w:val="99"/>
        <w:sz w:val="18"/>
        <w:szCs w:val="18"/>
      </w:rPr>
    </w:lvl>
    <w:lvl w:ilvl="4">
      <w:start w:val="1"/>
      <w:numFmt w:val="bullet"/>
      <w:lvlText w:val="•"/>
      <w:lvlJc w:val="left"/>
      <w:pPr>
        <w:ind w:left="1000" w:hanging="350"/>
      </w:pPr>
      <w:rPr>
        <w:rFonts w:hint="default"/>
      </w:rPr>
    </w:lvl>
    <w:lvl w:ilvl="5">
      <w:start w:val="1"/>
      <w:numFmt w:val="bullet"/>
      <w:lvlText w:val="•"/>
      <w:lvlJc w:val="left"/>
      <w:pPr>
        <w:ind w:left="760" w:hanging="350"/>
      </w:pPr>
      <w:rPr>
        <w:rFonts w:hint="default"/>
      </w:rPr>
    </w:lvl>
    <w:lvl w:ilvl="6">
      <w:start w:val="1"/>
      <w:numFmt w:val="bullet"/>
      <w:lvlText w:val="•"/>
      <w:lvlJc w:val="left"/>
      <w:pPr>
        <w:ind w:left="521" w:hanging="350"/>
      </w:pPr>
      <w:rPr>
        <w:rFonts w:hint="default"/>
      </w:rPr>
    </w:lvl>
    <w:lvl w:ilvl="7">
      <w:start w:val="1"/>
      <w:numFmt w:val="bullet"/>
      <w:lvlText w:val="•"/>
      <w:lvlJc w:val="left"/>
      <w:pPr>
        <w:ind w:left="282" w:hanging="350"/>
      </w:pPr>
      <w:rPr>
        <w:rFonts w:hint="default"/>
      </w:rPr>
    </w:lvl>
    <w:lvl w:ilvl="8">
      <w:start w:val="1"/>
      <w:numFmt w:val="bullet"/>
      <w:lvlText w:val="•"/>
      <w:lvlJc w:val="left"/>
      <w:pPr>
        <w:ind w:left="43" w:hanging="350"/>
      </w:pPr>
      <w:rPr>
        <w:rFonts w:hint="default"/>
      </w:rPr>
    </w:lvl>
  </w:abstractNum>
  <w:abstractNum w:abstractNumId="65">
    <w:multiLevelType w:val="hybridMultilevel"/>
    <w:lvl w:ilvl="0">
      <w:start w:val="3"/>
      <w:numFmt w:val="decimal"/>
      <w:lvlText w:val="%1."/>
      <w:lvlJc w:val="left"/>
      <w:pPr>
        <w:ind w:left="451" w:hanging="181"/>
        <w:jc w:val="left"/>
      </w:pPr>
      <w:rPr>
        <w:rFonts w:hint="default" w:ascii="Times New Roman" w:hAnsi="Times New Roman" w:eastAsia="Times New Roman" w:cs="Times New Roman"/>
        <w:b/>
        <w:bCs/>
        <w:w w:val="100"/>
        <w:sz w:val="18"/>
        <w:szCs w:val="18"/>
      </w:rPr>
    </w:lvl>
    <w:lvl w:ilvl="1">
      <w:start w:val="1"/>
      <w:numFmt w:val="bullet"/>
      <w:lvlText w:val="•"/>
      <w:lvlJc w:val="left"/>
      <w:pPr>
        <w:ind w:left="998" w:hanging="181"/>
      </w:pPr>
      <w:rPr>
        <w:rFonts w:hint="default"/>
      </w:rPr>
    </w:lvl>
    <w:lvl w:ilvl="2">
      <w:start w:val="1"/>
      <w:numFmt w:val="bullet"/>
      <w:lvlText w:val="•"/>
      <w:lvlJc w:val="left"/>
      <w:pPr>
        <w:ind w:left="1536" w:hanging="181"/>
      </w:pPr>
      <w:rPr>
        <w:rFonts w:hint="default"/>
      </w:rPr>
    </w:lvl>
    <w:lvl w:ilvl="3">
      <w:start w:val="1"/>
      <w:numFmt w:val="bullet"/>
      <w:lvlText w:val="•"/>
      <w:lvlJc w:val="left"/>
      <w:pPr>
        <w:ind w:left="2074" w:hanging="181"/>
      </w:pPr>
      <w:rPr>
        <w:rFonts w:hint="default"/>
      </w:rPr>
    </w:lvl>
    <w:lvl w:ilvl="4">
      <w:start w:val="1"/>
      <w:numFmt w:val="bullet"/>
      <w:lvlText w:val="•"/>
      <w:lvlJc w:val="left"/>
      <w:pPr>
        <w:ind w:left="2612" w:hanging="181"/>
      </w:pPr>
      <w:rPr>
        <w:rFonts w:hint="default"/>
      </w:rPr>
    </w:lvl>
    <w:lvl w:ilvl="5">
      <w:start w:val="1"/>
      <w:numFmt w:val="bullet"/>
      <w:lvlText w:val="•"/>
      <w:lvlJc w:val="left"/>
      <w:pPr>
        <w:ind w:left="3151" w:hanging="181"/>
      </w:pPr>
      <w:rPr>
        <w:rFonts w:hint="default"/>
      </w:rPr>
    </w:lvl>
    <w:lvl w:ilvl="6">
      <w:start w:val="1"/>
      <w:numFmt w:val="bullet"/>
      <w:lvlText w:val="•"/>
      <w:lvlJc w:val="left"/>
      <w:pPr>
        <w:ind w:left="3689" w:hanging="181"/>
      </w:pPr>
      <w:rPr>
        <w:rFonts w:hint="default"/>
      </w:rPr>
    </w:lvl>
    <w:lvl w:ilvl="7">
      <w:start w:val="1"/>
      <w:numFmt w:val="bullet"/>
      <w:lvlText w:val="•"/>
      <w:lvlJc w:val="left"/>
      <w:pPr>
        <w:ind w:left="4227" w:hanging="181"/>
      </w:pPr>
      <w:rPr>
        <w:rFonts w:hint="default"/>
      </w:rPr>
    </w:lvl>
    <w:lvl w:ilvl="8">
      <w:start w:val="1"/>
      <w:numFmt w:val="bullet"/>
      <w:lvlText w:val="•"/>
      <w:lvlJc w:val="left"/>
      <w:pPr>
        <w:ind w:left="4765" w:hanging="181"/>
      </w:pPr>
      <w:rPr>
        <w:rFonts w:hint="default"/>
      </w:rPr>
    </w:lvl>
  </w:abstractNum>
  <w:abstractNum w:abstractNumId="64">
    <w:multiLevelType w:val="hybridMultilevel"/>
    <w:lvl w:ilvl="0">
      <w:start w:val="1"/>
      <w:numFmt w:val="decimal"/>
      <w:lvlText w:val="(%1)"/>
      <w:lvlJc w:val="left"/>
      <w:pPr>
        <w:ind w:left="270" w:hanging="708"/>
        <w:jc w:val="right"/>
      </w:pPr>
      <w:rPr>
        <w:rFonts w:hint="default"/>
        <w:b/>
        <w:bCs/>
        <w:spacing w:val="-22"/>
        <w:w w:val="100"/>
      </w:rPr>
    </w:lvl>
    <w:lvl w:ilvl="1">
      <w:start w:val="1"/>
      <w:numFmt w:val="bullet"/>
      <w:lvlText w:val="•"/>
      <w:lvlJc w:val="left"/>
      <w:pPr>
        <w:ind w:left="836" w:hanging="708"/>
      </w:pPr>
      <w:rPr>
        <w:rFonts w:hint="default"/>
      </w:rPr>
    </w:lvl>
    <w:lvl w:ilvl="2">
      <w:start w:val="1"/>
      <w:numFmt w:val="bullet"/>
      <w:lvlText w:val="•"/>
      <w:lvlJc w:val="left"/>
      <w:pPr>
        <w:ind w:left="1392" w:hanging="708"/>
      </w:pPr>
      <w:rPr>
        <w:rFonts w:hint="default"/>
      </w:rPr>
    </w:lvl>
    <w:lvl w:ilvl="3">
      <w:start w:val="1"/>
      <w:numFmt w:val="bullet"/>
      <w:lvlText w:val="•"/>
      <w:lvlJc w:val="left"/>
      <w:pPr>
        <w:ind w:left="1948" w:hanging="708"/>
      </w:pPr>
      <w:rPr>
        <w:rFonts w:hint="default"/>
      </w:rPr>
    </w:lvl>
    <w:lvl w:ilvl="4">
      <w:start w:val="1"/>
      <w:numFmt w:val="bullet"/>
      <w:lvlText w:val="•"/>
      <w:lvlJc w:val="left"/>
      <w:pPr>
        <w:ind w:left="2504" w:hanging="708"/>
      </w:pPr>
      <w:rPr>
        <w:rFonts w:hint="default"/>
      </w:rPr>
    </w:lvl>
    <w:lvl w:ilvl="5">
      <w:start w:val="1"/>
      <w:numFmt w:val="bullet"/>
      <w:lvlText w:val="•"/>
      <w:lvlJc w:val="left"/>
      <w:pPr>
        <w:ind w:left="3061" w:hanging="708"/>
      </w:pPr>
      <w:rPr>
        <w:rFonts w:hint="default"/>
      </w:rPr>
    </w:lvl>
    <w:lvl w:ilvl="6">
      <w:start w:val="1"/>
      <w:numFmt w:val="bullet"/>
      <w:lvlText w:val="•"/>
      <w:lvlJc w:val="left"/>
      <w:pPr>
        <w:ind w:left="3617" w:hanging="708"/>
      </w:pPr>
      <w:rPr>
        <w:rFonts w:hint="default"/>
      </w:rPr>
    </w:lvl>
    <w:lvl w:ilvl="7">
      <w:start w:val="1"/>
      <w:numFmt w:val="bullet"/>
      <w:lvlText w:val="•"/>
      <w:lvlJc w:val="left"/>
      <w:pPr>
        <w:ind w:left="4173" w:hanging="708"/>
      </w:pPr>
      <w:rPr>
        <w:rFonts w:hint="default"/>
      </w:rPr>
    </w:lvl>
    <w:lvl w:ilvl="8">
      <w:start w:val="1"/>
      <w:numFmt w:val="bullet"/>
      <w:lvlText w:val="•"/>
      <w:lvlJc w:val="left"/>
      <w:pPr>
        <w:ind w:left="4729" w:hanging="708"/>
      </w:pPr>
      <w:rPr>
        <w:rFonts w:hint="default"/>
      </w:rPr>
    </w:lvl>
  </w:abstractNum>
  <w:abstractNum w:abstractNumId="63">
    <w:multiLevelType w:val="hybridMultilevel"/>
    <w:lvl w:ilvl="0">
      <w:start w:val="1"/>
      <w:numFmt w:val="decimal"/>
      <w:lvlText w:val="%1."/>
      <w:lvlJc w:val="left"/>
      <w:pPr>
        <w:ind w:left="451" w:hanging="181"/>
        <w:jc w:val="left"/>
      </w:pPr>
      <w:rPr>
        <w:rFonts w:hint="default" w:ascii="Times New Roman" w:hAnsi="Times New Roman" w:eastAsia="Times New Roman" w:cs="Times New Roman"/>
        <w:b/>
        <w:bCs/>
        <w:w w:val="100"/>
        <w:sz w:val="18"/>
        <w:szCs w:val="18"/>
      </w:rPr>
    </w:lvl>
    <w:lvl w:ilvl="1">
      <w:start w:val="4"/>
      <w:numFmt w:val="decimal"/>
      <w:lvlText w:val="%2."/>
      <w:lvlJc w:val="left"/>
      <w:pPr>
        <w:ind w:left="611" w:hanging="201"/>
        <w:jc w:val="right"/>
      </w:pPr>
      <w:rPr>
        <w:rFonts w:hint="default" w:ascii="Times New Roman" w:hAnsi="Times New Roman" w:eastAsia="Times New Roman" w:cs="Times New Roman"/>
        <w:b/>
        <w:bCs/>
        <w:w w:val="100"/>
        <w:sz w:val="20"/>
        <w:szCs w:val="20"/>
      </w:rPr>
    </w:lvl>
    <w:lvl w:ilvl="2">
      <w:start w:val="1"/>
      <w:numFmt w:val="decimal"/>
      <w:lvlText w:val="%3."/>
      <w:lvlJc w:val="left"/>
      <w:pPr>
        <w:ind w:left="1350" w:hanging="360"/>
        <w:jc w:val="right"/>
      </w:pPr>
      <w:rPr>
        <w:rFonts w:hint="default" w:ascii="Times New Roman" w:hAnsi="Times New Roman" w:eastAsia="Times New Roman" w:cs="Times New Roman"/>
        <w:b/>
        <w:bCs/>
        <w:w w:val="100"/>
        <w:sz w:val="20"/>
        <w:szCs w:val="20"/>
      </w:rPr>
    </w:lvl>
    <w:lvl w:ilvl="3">
      <w:start w:val="1"/>
      <w:numFmt w:val="bullet"/>
      <w:lvlText w:val="•"/>
      <w:lvlJc w:val="left"/>
      <w:pPr>
        <w:ind w:left="1360" w:hanging="360"/>
      </w:pPr>
      <w:rPr>
        <w:rFonts w:hint="default"/>
      </w:rPr>
    </w:lvl>
    <w:lvl w:ilvl="4">
      <w:start w:val="1"/>
      <w:numFmt w:val="bullet"/>
      <w:lvlText w:val="•"/>
      <w:lvlJc w:val="left"/>
      <w:pPr>
        <w:ind w:left="1099" w:hanging="360"/>
      </w:pPr>
      <w:rPr>
        <w:rFonts w:hint="default"/>
      </w:rPr>
    </w:lvl>
    <w:lvl w:ilvl="5">
      <w:start w:val="1"/>
      <w:numFmt w:val="bullet"/>
      <w:lvlText w:val="•"/>
      <w:lvlJc w:val="left"/>
      <w:pPr>
        <w:ind w:left="839" w:hanging="360"/>
      </w:pPr>
      <w:rPr>
        <w:rFonts w:hint="default"/>
      </w:rPr>
    </w:lvl>
    <w:lvl w:ilvl="6">
      <w:start w:val="1"/>
      <w:numFmt w:val="bullet"/>
      <w:lvlText w:val="•"/>
      <w:lvlJc w:val="left"/>
      <w:pPr>
        <w:ind w:left="578" w:hanging="360"/>
      </w:pPr>
      <w:rPr>
        <w:rFonts w:hint="default"/>
      </w:rPr>
    </w:lvl>
    <w:lvl w:ilvl="7">
      <w:start w:val="1"/>
      <w:numFmt w:val="bullet"/>
      <w:lvlText w:val="•"/>
      <w:lvlJc w:val="left"/>
      <w:pPr>
        <w:ind w:left="318" w:hanging="360"/>
      </w:pPr>
      <w:rPr>
        <w:rFonts w:hint="default"/>
      </w:rPr>
    </w:lvl>
    <w:lvl w:ilvl="8">
      <w:start w:val="1"/>
      <w:numFmt w:val="bullet"/>
      <w:lvlText w:val="•"/>
      <w:lvlJc w:val="left"/>
      <w:pPr>
        <w:ind w:left="58" w:hanging="360"/>
      </w:pPr>
      <w:rPr>
        <w:rFonts w:hint="default"/>
      </w:rPr>
    </w:lvl>
  </w:abstractNum>
  <w:abstractNum w:abstractNumId="62">
    <w:multiLevelType w:val="hybridMultilevel"/>
    <w:lvl w:ilvl="0">
      <w:start w:val="1"/>
      <w:numFmt w:val="decimal"/>
      <w:lvlText w:val="%1."/>
      <w:lvlJc w:val="left"/>
      <w:pPr>
        <w:ind w:left="451" w:hanging="181"/>
        <w:jc w:val="left"/>
      </w:pPr>
      <w:rPr>
        <w:rFonts w:hint="default" w:ascii="Times New Roman" w:hAnsi="Times New Roman" w:eastAsia="Times New Roman" w:cs="Times New Roman"/>
        <w:b/>
        <w:bCs/>
        <w:w w:val="100"/>
        <w:sz w:val="18"/>
        <w:szCs w:val="18"/>
      </w:rPr>
    </w:lvl>
    <w:lvl w:ilvl="1">
      <w:start w:val="1"/>
      <w:numFmt w:val="decimal"/>
      <w:lvlText w:val="%1.%2"/>
      <w:lvlJc w:val="left"/>
      <w:pPr>
        <w:ind w:left="541" w:hanging="271"/>
        <w:jc w:val="left"/>
      </w:pPr>
      <w:rPr>
        <w:rFonts w:hint="default" w:ascii="Times New Roman" w:hAnsi="Times New Roman" w:eastAsia="Times New Roman" w:cs="Times New Roman"/>
        <w:b/>
        <w:bCs/>
        <w:spacing w:val="-2"/>
        <w:w w:val="100"/>
        <w:sz w:val="18"/>
        <w:szCs w:val="18"/>
      </w:rPr>
    </w:lvl>
    <w:lvl w:ilvl="2">
      <w:start w:val="1"/>
      <w:numFmt w:val="bullet"/>
      <w:lvlText w:val=""/>
      <w:lvlJc w:val="left"/>
      <w:pPr>
        <w:ind w:left="978" w:hanging="348"/>
      </w:pPr>
      <w:rPr>
        <w:rFonts w:hint="default" w:ascii="Symbol" w:hAnsi="Symbol" w:eastAsia="Symbol" w:cs="Symbol"/>
        <w:w w:val="99"/>
        <w:sz w:val="18"/>
        <w:szCs w:val="18"/>
      </w:rPr>
    </w:lvl>
    <w:lvl w:ilvl="3">
      <w:start w:val="1"/>
      <w:numFmt w:val="bullet"/>
      <w:lvlText w:val="•"/>
      <w:lvlJc w:val="left"/>
      <w:pPr>
        <w:ind w:left="805" w:hanging="348"/>
      </w:pPr>
      <w:rPr>
        <w:rFonts w:hint="default"/>
      </w:rPr>
    </w:lvl>
    <w:lvl w:ilvl="4">
      <w:start w:val="1"/>
      <w:numFmt w:val="bullet"/>
      <w:lvlText w:val="•"/>
      <w:lvlJc w:val="left"/>
      <w:pPr>
        <w:ind w:left="630" w:hanging="348"/>
      </w:pPr>
      <w:rPr>
        <w:rFonts w:hint="default"/>
      </w:rPr>
    </w:lvl>
    <w:lvl w:ilvl="5">
      <w:start w:val="1"/>
      <w:numFmt w:val="bullet"/>
      <w:lvlText w:val="•"/>
      <w:lvlJc w:val="left"/>
      <w:pPr>
        <w:ind w:left="455" w:hanging="348"/>
      </w:pPr>
      <w:rPr>
        <w:rFonts w:hint="default"/>
      </w:rPr>
    </w:lvl>
    <w:lvl w:ilvl="6">
      <w:start w:val="1"/>
      <w:numFmt w:val="bullet"/>
      <w:lvlText w:val="•"/>
      <w:lvlJc w:val="left"/>
      <w:pPr>
        <w:ind w:left="281" w:hanging="348"/>
      </w:pPr>
      <w:rPr>
        <w:rFonts w:hint="default"/>
      </w:rPr>
    </w:lvl>
    <w:lvl w:ilvl="7">
      <w:start w:val="1"/>
      <w:numFmt w:val="bullet"/>
      <w:lvlText w:val="•"/>
      <w:lvlJc w:val="left"/>
      <w:pPr>
        <w:ind w:left="106" w:hanging="348"/>
      </w:pPr>
      <w:rPr>
        <w:rFonts w:hint="default"/>
      </w:rPr>
    </w:lvl>
    <w:lvl w:ilvl="8">
      <w:start w:val="1"/>
      <w:numFmt w:val="bullet"/>
      <w:lvlText w:val="•"/>
      <w:lvlJc w:val="left"/>
      <w:pPr>
        <w:ind w:left="-69" w:hanging="348"/>
      </w:pPr>
      <w:rPr>
        <w:rFonts w:hint="default"/>
      </w:rPr>
    </w:lvl>
  </w:abstractNum>
  <w:abstractNum w:abstractNumId="61">
    <w:multiLevelType w:val="hybridMultilevel"/>
    <w:lvl w:ilvl="0">
      <w:start w:val="3"/>
      <w:numFmt w:val="decimal"/>
      <w:lvlText w:val="%1."/>
      <w:lvlJc w:val="left"/>
      <w:pPr>
        <w:ind w:left="451" w:hanging="181"/>
        <w:jc w:val="left"/>
      </w:pPr>
      <w:rPr>
        <w:rFonts w:hint="default" w:ascii="Times New Roman" w:hAnsi="Times New Roman" w:eastAsia="Times New Roman" w:cs="Times New Roman"/>
        <w:b/>
        <w:bCs/>
        <w:color w:val="233F5E"/>
        <w:w w:val="100"/>
        <w:sz w:val="18"/>
        <w:szCs w:val="18"/>
      </w:rPr>
    </w:lvl>
    <w:lvl w:ilvl="1">
      <w:start w:val="1"/>
      <w:numFmt w:val="bullet"/>
      <w:lvlText w:val="•"/>
      <w:lvlJc w:val="left"/>
      <w:pPr>
        <w:ind w:left="998" w:hanging="181"/>
      </w:pPr>
      <w:rPr>
        <w:rFonts w:hint="default"/>
      </w:rPr>
    </w:lvl>
    <w:lvl w:ilvl="2">
      <w:start w:val="1"/>
      <w:numFmt w:val="bullet"/>
      <w:lvlText w:val="•"/>
      <w:lvlJc w:val="left"/>
      <w:pPr>
        <w:ind w:left="1536" w:hanging="181"/>
      </w:pPr>
      <w:rPr>
        <w:rFonts w:hint="default"/>
      </w:rPr>
    </w:lvl>
    <w:lvl w:ilvl="3">
      <w:start w:val="1"/>
      <w:numFmt w:val="bullet"/>
      <w:lvlText w:val="•"/>
      <w:lvlJc w:val="left"/>
      <w:pPr>
        <w:ind w:left="2074" w:hanging="181"/>
      </w:pPr>
      <w:rPr>
        <w:rFonts w:hint="default"/>
      </w:rPr>
    </w:lvl>
    <w:lvl w:ilvl="4">
      <w:start w:val="1"/>
      <w:numFmt w:val="bullet"/>
      <w:lvlText w:val="•"/>
      <w:lvlJc w:val="left"/>
      <w:pPr>
        <w:ind w:left="2612" w:hanging="181"/>
      </w:pPr>
      <w:rPr>
        <w:rFonts w:hint="default"/>
      </w:rPr>
    </w:lvl>
    <w:lvl w:ilvl="5">
      <w:start w:val="1"/>
      <w:numFmt w:val="bullet"/>
      <w:lvlText w:val="•"/>
      <w:lvlJc w:val="left"/>
      <w:pPr>
        <w:ind w:left="3151" w:hanging="181"/>
      </w:pPr>
      <w:rPr>
        <w:rFonts w:hint="default"/>
      </w:rPr>
    </w:lvl>
    <w:lvl w:ilvl="6">
      <w:start w:val="1"/>
      <w:numFmt w:val="bullet"/>
      <w:lvlText w:val="•"/>
      <w:lvlJc w:val="left"/>
      <w:pPr>
        <w:ind w:left="3689" w:hanging="181"/>
      </w:pPr>
      <w:rPr>
        <w:rFonts w:hint="default"/>
      </w:rPr>
    </w:lvl>
    <w:lvl w:ilvl="7">
      <w:start w:val="1"/>
      <w:numFmt w:val="bullet"/>
      <w:lvlText w:val="•"/>
      <w:lvlJc w:val="left"/>
      <w:pPr>
        <w:ind w:left="4227" w:hanging="181"/>
      </w:pPr>
      <w:rPr>
        <w:rFonts w:hint="default"/>
      </w:rPr>
    </w:lvl>
    <w:lvl w:ilvl="8">
      <w:start w:val="1"/>
      <w:numFmt w:val="bullet"/>
      <w:lvlText w:val="•"/>
      <w:lvlJc w:val="left"/>
      <w:pPr>
        <w:ind w:left="4765" w:hanging="181"/>
      </w:pPr>
      <w:rPr>
        <w:rFonts w:hint="default"/>
      </w:rPr>
    </w:lvl>
  </w:abstractNum>
  <w:abstractNum w:abstractNumId="60">
    <w:multiLevelType w:val="hybridMultilevel"/>
    <w:lvl w:ilvl="0">
      <w:start w:val="1"/>
      <w:numFmt w:val="decimal"/>
      <w:lvlText w:val="%1."/>
      <w:lvlJc w:val="left"/>
      <w:pPr>
        <w:ind w:left="630" w:hanging="360"/>
        <w:jc w:val="left"/>
      </w:pPr>
      <w:rPr>
        <w:rFonts w:hint="default" w:ascii="Times New Roman" w:hAnsi="Times New Roman" w:eastAsia="Times New Roman" w:cs="Times New Roman"/>
        <w:spacing w:val="-2"/>
        <w:w w:val="100"/>
        <w:sz w:val="18"/>
        <w:szCs w:val="18"/>
      </w:rPr>
    </w:lvl>
    <w:lvl w:ilvl="1">
      <w:start w:val="1"/>
      <w:numFmt w:val="bullet"/>
      <w:lvlText w:val="•"/>
      <w:lvlJc w:val="left"/>
      <w:pPr>
        <w:ind w:left="1160" w:hanging="360"/>
      </w:pPr>
      <w:rPr>
        <w:rFonts w:hint="default"/>
      </w:rPr>
    </w:lvl>
    <w:lvl w:ilvl="2">
      <w:start w:val="1"/>
      <w:numFmt w:val="bullet"/>
      <w:lvlText w:val="•"/>
      <w:lvlJc w:val="left"/>
      <w:pPr>
        <w:ind w:left="1680" w:hanging="360"/>
      </w:pPr>
      <w:rPr>
        <w:rFonts w:hint="default"/>
      </w:rPr>
    </w:lvl>
    <w:lvl w:ilvl="3">
      <w:start w:val="1"/>
      <w:numFmt w:val="bullet"/>
      <w:lvlText w:val="•"/>
      <w:lvlJc w:val="left"/>
      <w:pPr>
        <w:ind w:left="2200" w:hanging="360"/>
      </w:pPr>
      <w:rPr>
        <w:rFonts w:hint="default"/>
      </w:rPr>
    </w:lvl>
    <w:lvl w:ilvl="4">
      <w:start w:val="1"/>
      <w:numFmt w:val="bullet"/>
      <w:lvlText w:val="•"/>
      <w:lvlJc w:val="left"/>
      <w:pPr>
        <w:ind w:left="2720" w:hanging="360"/>
      </w:pPr>
      <w:rPr>
        <w:rFonts w:hint="default"/>
      </w:rPr>
    </w:lvl>
    <w:lvl w:ilvl="5">
      <w:start w:val="1"/>
      <w:numFmt w:val="bullet"/>
      <w:lvlText w:val="•"/>
      <w:lvlJc w:val="left"/>
      <w:pPr>
        <w:ind w:left="3241" w:hanging="360"/>
      </w:pPr>
      <w:rPr>
        <w:rFonts w:hint="default"/>
      </w:rPr>
    </w:lvl>
    <w:lvl w:ilvl="6">
      <w:start w:val="1"/>
      <w:numFmt w:val="bullet"/>
      <w:lvlText w:val="•"/>
      <w:lvlJc w:val="left"/>
      <w:pPr>
        <w:ind w:left="3761" w:hanging="360"/>
      </w:pPr>
      <w:rPr>
        <w:rFonts w:hint="default"/>
      </w:rPr>
    </w:lvl>
    <w:lvl w:ilvl="7">
      <w:start w:val="1"/>
      <w:numFmt w:val="bullet"/>
      <w:lvlText w:val="•"/>
      <w:lvlJc w:val="left"/>
      <w:pPr>
        <w:ind w:left="4281" w:hanging="360"/>
      </w:pPr>
      <w:rPr>
        <w:rFonts w:hint="default"/>
      </w:rPr>
    </w:lvl>
    <w:lvl w:ilvl="8">
      <w:start w:val="1"/>
      <w:numFmt w:val="bullet"/>
      <w:lvlText w:val="•"/>
      <w:lvlJc w:val="left"/>
      <w:pPr>
        <w:ind w:left="4801" w:hanging="360"/>
      </w:pPr>
      <w:rPr>
        <w:rFonts w:hint="default"/>
      </w:rPr>
    </w:lvl>
  </w:abstractNum>
  <w:abstractNum w:abstractNumId="59">
    <w:multiLevelType w:val="hybridMultilevel"/>
    <w:lvl w:ilvl="0">
      <w:start w:val="1"/>
      <w:numFmt w:val="decimal"/>
      <w:lvlText w:val="%1."/>
      <w:lvlJc w:val="left"/>
      <w:pPr>
        <w:ind w:left="630" w:hanging="360"/>
        <w:jc w:val="left"/>
      </w:pPr>
      <w:rPr>
        <w:rFonts w:hint="default" w:ascii="Times New Roman" w:hAnsi="Times New Roman" w:eastAsia="Times New Roman" w:cs="Times New Roman"/>
        <w:b/>
        <w:bCs/>
        <w:spacing w:val="-2"/>
        <w:w w:val="100"/>
        <w:sz w:val="18"/>
        <w:szCs w:val="18"/>
      </w:rPr>
    </w:lvl>
    <w:lvl w:ilvl="1">
      <w:start w:val="1"/>
      <w:numFmt w:val="bullet"/>
      <w:lvlText w:val="•"/>
      <w:lvlJc w:val="left"/>
      <w:pPr>
        <w:ind w:left="1092" w:hanging="360"/>
      </w:pPr>
      <w:rPr>
        <w:rFonts w:hint="default"/>
      </w:rPr>
    </w:lvl>
    <w:lvl w:ilvl="2">
      <w:start w:val="1"/>
      <w:numFmt w:val="bullet"/>
      <w:lvlText w:val="•"/>
      <w:lvlJc w:val="left"/>
      <w:pPr>
        <w:ind w:left="1544" w:hanging="360"/>
      </w:pPr>
      <w:rPr>
        <w:rFonts w:hint="default"/>
      </w:rPr>
    </w:lvl>
    <w:lvl w:ilvl="3">
      <w:start w:val="1"/>
      <w:numFmt w:val="bullet"/>
      <w:lvlText w:val="•"/>
      <w:lvlJc w:val="left"/>
      <w:pPr>
        <w:ind w:left="1996" w:hanging="360"/>
      </w:pPr>
      <w:rPr>
        <w:rFonts w:hint="default"/>
      </w:rPr>
    </w:lvl>
    <w:lvl w:ilvl="4">
      <w:start w:val="1"/>
      <w:numFmt w:val="bullet"/>
      <w:lvlText w:val="•"/>
      <w:lvlJc w:val="left"/>
      <w:pPr>
        <w:ind w:left="2449" w:hanging="360"/>
      </w:pPr>
      <w:rPr>
        <w:rFonts w:hint="default"/>
      </w:rPr>
    </w:lvl>
    <w:lvl w:ilvl="5">
      <w:start w:val="1"/>
      <w:numFmt w:val="bullet"/>
      <w:lvlText w:val="•"/>
      <w:lvlJc w:val="left"/>
      <w:pPr>
        <w:ind w:left="2901" w:hanging="360"/>
      </w:pPr>
      <w:rPr>
        <w:rFonts w:hint="default"/>
      </w:rPr>
    </w:lvl>
    <w:lvl w:ilvl="6">
      <w:start w:val="1"/>
      <w:numFmt w:val="bullet"/>
      <w:lvlText w:val="•"/>
      <w:lvlJc w:val="left"/>
      <w:pPr>
        <w:ind w:left="3353" w:hanging="360"/>
      </w:pPr>
      <w:rPr>
        <w:rFonts w:hint="default"/>
      </w:rPr>
    </w:lvl>
    <w:lvl w:ilvl="7">
      <w:start w:val="1"/>
      <w:numFmt w:val="bullet"/>
      <w:lvlText w:val="•"/>
      <w:lvlJc w:val="left"/>
      <w:pPr>
        <w:ind w:left="3806" w:hanging="360"/>
      </w:pPr>
      <w:rPr>
        <w:rFonts w:hint="default"/>
      </w:rPr>
    </w:lvl>
    <w:lvl w:ilvl="8">
      <w:start w:val="1"/>
      <w:numFmt w:val="bullet"/>
      <w:lvlText w:val="•"/>
      <w:lvlJc w:val="left"/>
      <w:pPr>
        <w:ind w:left="4258" w:hanging="360"/>
      </w:pPr>
      <w:rPr>
        <w:rFonts w:hint="default"/>
      </w:rPr>
    </w:lvl>
  </w:abstractNum>
  <w:abstractNum w:abstractNumId="58">
    <w:multiLevelType w:val="hybridMultilevel"/>
    <w:lvl w:ilvl="0">
      <w:start w:val="2"/>
      <w:numFmt w:val="lowerLetter"/>
      <w:lvlText w:val="%1."/>
      <w:lvlJc w:val="left"/>
      <w:pPr>
        <w:ind w:left="270" w:hanging="190"/>
        <w:jc w:val="left"/>
      </w:pPr>
      <w:rPr>
        <w:rFonts w:hint="default" w:ascii="Times New Roman" w:hAnsi="Times New Roman" w:eastAsia="Times New Roman" w:cs="Times New Roman"/>
        <w:w w:val="100"/>
        <w:sz w:val="18"/>
        <w:szCs w:val="18"/>
      </w:rPr>
    </w:lvl>
    <w:lvl w:ilvl="1">
      <w:start w:val="1"/>
      <w:numFmt w:val="bullet"/>
      <w:lvlText w:val="•"/>
      <w:lvlJc w:val="left"/>
      <w:pPr>
        <w:ind w:left="768" w:hanging="190"/>
      </w:pPr>
      <w:rPr>
        <w:rFonts w:hint="default"/>
      </w:rPr>
    </w:lvl>
    <w:lvl w:ilvl="2">
      <w:start w:val="1"/>
      <w:numFmt w:val="bullet"/>
      <w:lvlText w:val="•"/>
      <w:lvlJc w:val="left"/>
      <w:pPr>
        <w:ind w:left="1256" w:hanging="190"/>
      </w:pPr>
      <w:rPr>
        <w:rFonts w:hint="default"/>
      </w:rPr>
    </w:lvl>
    <w:lvl w:ilvl="3">
      <w:start w:val="1"/>
      <w:numFmt w:val="bullet"/>
      <w:lvlText w:val="•"/>
      <w:lvlJc w:val="left"/>
      <w:pPr>
        <w:ind w:left="1744" w:hanging="190"/>
      </w:pPr>
      <w:rPr>
        <w:rFonts w:hint="default"/>
      </w:rPr>
    </w:lvl>
    <w:lvl w:ilvl="4">
      <w:start w:val="1"/>
      <w:numFmt w:val="bullet"/>
      <w:lvlText w:val="•"/>
      <w:lvlJc w:val="left"/>
      <w:pPr>
        <w:ind w:left="2233" w:hanging="190"/>
      </w:pPr>
      <w:rPr>
        <w:rFonts w:hint="default"/>
      </w:rPr>
    </w:lvl>
    <w:lvl w:ilvl="5">
      <w:start w:val="1"/>
      <w:numFmt w:val="bullet"/>
      <w:lvlText w:val="•"/>
      <w:lvlJc w:val="left"/>
      <w:pPr>
        <w:ind w:left="2721" w:hanging="190"/>
      </w:pPr>
      <w:rPr>
        <w:rFonts w:hint="default"/>
      </w:rPr>
    </w:lvl>
    <w:lvl w:ilvl="6">
      <w:start w:val="1"/>
      <w:numFmt w:val="bullet"/>
      <w:lvlText w:val="•"/>
      <w:lvlJc w:val="left"/>
      <w:pPr>
        <w:ind w:left="3209" w:hanging="190"/>
      </w:pPr>
      <w:rPr>
        <w:rFonts w:hint="default"/>
      </w:rPr>
    </w:lvl>
    <w:lvl w:ilvl="7">
      <w:start w:val="1"/>
      <w:numFmt w:val="bullet"/>
      <w:lvlText w:val="•"/>
      <w:lvlJc w:val="left"/>
      <w:pPr>
        <w:ind w:left="3698" w:hanging="190"/>
      </w:pPr>
      <w:rPr>
        <w:rFonts w:hint="default"/>
      </w:rPr>
    </w:lvl>
    <w:lvl w:ilvl="8">
      <w:start w:val="1"/>
      <w:numFmt w:val="bullet"/>
      <w:lvlText w:val="•"/>
      <w:lvlJc w:val="left"/>
      <w:pPr>
        <w:ind w:left="4186" w:hanging="190"/>
      </w:pPr>
      <w:rPr>
        <w:rFonts w:hint="default"/>
      </w:rPr>
    </w:lvl>
  </w:abstractNum>
  <w:abstractNum w:abstractNumId="57">
    <w:multiLevelType w:val="hybridMultilevel"/>
    <w:lvl w:ilvl="0">
      <w:start w:val="4"/>
      <w:numFmt w:val="decimal"/>
      <w:lvlText w:val="%1"/>
      <w:lvlJc w:val="left"/>
      <w:pPr>
        <w:ind w:left="586" w:hanging="316"/>
        <w:jc w:val="left"/>
      </w:pPr>
      <w:rPr>
        <w:rFonts w:hint="default"/>
      </w:rPr>
    </w:lvl>
    <w:lvl w:ilvl="1">
      <w:start w:val="6"/>
      <w:numFmt w:val="decimal"/>
      <w:lvlText w:val="%1.%2."/>
      <w:lvlJc w:val="left"/>
      <w:pPr>
        <w:ind w:left="586" w:hanging="316"/>
        <w:jc w:val="left"/>
      </w:pPr>
      <w:rPr>
        <w:rFonts w:hint="default" w:ascii="Times New Roman" w:hAnsi="Times New Roman" w:eastAsia="Times New Roman" w:cs="Times New Roman"/>
        <w:b/>
        <w:bCs/>
        <w:spacing w:val="-1"/>
        <w:w w:val="100"/>
        <w:sz w:val="18"/>
        <w:szCs w:val="18"/>
      </w:rPr>
    </w:lvl>
    <w:lvl w:ilvl="2">
      <w:start w:val="1"/>
      <w:numFmt w:val="decimal"/>
      <w:lvlText w:val="%3."/>
      <w:lvlJc w:val="left"/>
      <w:pPr>
        <w:ind w:left="978" w:hanging="348"/>
        <w:jc w:val="left"/>
      </w:pPr>
      <w:rPr>
        <w:rFonts w:hint="default"/>
        <w:w w:val="100"/>
      </w:rPr>
    </w:lvl>
    <w:lvl w:ilvl="3">
      <w:start w:val="1"/>
      <w:numFmt w:val="bullet"/>
      <w:lvlText w:val="•"/>
      <w:lvlJc w:val="left"/>
      <w:pPr>
        <w:ind w:left="665" w:hanging="348"/>
      </w:pPr>
      <w:rPr>
        <w:rFonts w:hint="default"/>
      </w:rPr>
    </w:lvl>
    <w:lvl w:ilvl="4">
      <w:start w:val="1"/>
      <w:numFmt w:val="bullet"/>
      <w:lvlText w:val="•"/>
      <w:lvlJc w:val="left"/>
      <w:pPr>
        <w:ind w:left="508" w:hanging="348"/>
      </w:pPr>
      <w:rPr>
        <w:rFonts w:hint="default"/>
      </w:rPr>
    </w:lvl>
    <w:lvl w:ilvl="5">
      <w:start w:val="1"/>
      <w:numFmt w:val="bullet"/>
      <w:lvlText w:val="•"/>
      <w:lvlJc w:val="left"/>
      <w:pPr>
        <w:ind w:left="351" w:hanging="348"/>
      </w:pPr>
      <w:rPr>
        <w:rFonts w:hint="default"/>
      </w:rPr>
    </w:lvl>
    <w:lvl w:ilvl="6">
      <w:start w:val="1"/>
      <w:numFmt w:val="bullet"/>
      <w:lvlText w:val="•"/>
      <w:lvlJc w:val="left"/>
      <w:pPr>
        <w:ind w:left="194" w:hanging="348"/>
      </w:pPr>
      <w:rPr>
        <w:rFonts w:hint="default"/>
      </w:rPr>
    </w:lvl>
    <w:lvl w:ilvl="7">
      <w:start w:val="1"/>
      <w:numFmt w:val="bullet"/>
      <w:lvlText w:val="•"/>
      <w:lvlJc w:val="left"/>
      <w:pPr>
        <w:ind w:left="36" w:hanging="348"/>
      </w:pPr>
      <w:rPr>
        <w:rFonts w:hint="default"/>
      </w:rPr>
    </w:lvl>
    <w:lvl w:ilvl="8">
      <w:start w:val="1"/>
      <w:numFmt w:val="bullet"/>
      <w:lvlText w:val="•"/>
      <w:lvlJc w:val="left"/>
      <w:pPr>
        <w:ind w:left="-121" w:hanging="348"/>
      </w:pPr>
      <w:rPr>
        <w:rFonts w:hint="default"/>
      </w:rPr>
    </w:lvl>
  </w:abstractNum>
  <w:abstractNum w:abstractNumId="56">
    <w:multiLevelType w:val="hybridMultilevel"/>
    <w:lvl w:ilvl="0">
      <w:start w:val="1"/>
      <w:numFmt w:val="decimal"/>
      <w:lvlText w:val="%1."/>
      <w:lvlJc w:val="left"/>
      <w:pPr>
        <w:ind w:left="451" w:hanging="181"/>
        <w:jc w:val="left"/>
      </w:pPr>
      <w:rPr>
        <w:rFonts w:hint="default" w:ascii="Times New Roman" w:hAnsi="Times New Roman" w:eastAsia="Times New Roman" w:cs="Times New Roman"/>
        <w:b/>
        <w:bCs/>
        <w:w w:val="100"/>
        <w:sz w:val="18"/>
        <w:szCs w:val="18"/>
      </w:rPr>
    </w:lvl>
    <w:lvl w:ilvl="1">
      <w:start w:val="1"/>
      <w:numFmt w:val="decimal"/>
      <w:lvlText w:val="%1.%2."/>
      <w:lvlJc w:val="left"/>
      <w:pPr>
        <w:ind w:left="586" w:hanging="316"/>
        <w:jc w:val="left"/>
      </w:pPr>
      <w:rPr>
        <w:rFonts w:hint="default" w:ascii="Times New Roman" w:hAnsi="Times New Roman" w:eastAsia="Times New Roman" w:cs="Times New Roman"/>
        <w:b/>
        <w:bCs/>
        <w:spacing w:val="-2"/>
        <w:w w:val="100"/>
        <w:sz w:val="18"/>
        <w:szCs w:val="18"/>
      </w:rPr>
    </w:lvl>
    <w:lvl w:ilvl="2">
      <w:start w:val="1"/>
      <w:numFmt w:val="bullet"/>
      <w:lvlText w:val="•"/>
      <w:lvlJc w:val="left"/>
      <w:pPr>
        <w:ind w:left="467" w:hanging="316"/>
      </w:pPr>
      <w:rPr>
        <w:rFonts w:hint="default"/>
      </w:rPr>
    </w:lvl>
    <w:lvl w:ilvl="3">
      <w:start w:val="1"/>
      <w:numFmt w:val="bullet"/>
      <w:lvlText w:val="•"/>
      <w:lvlJc w:val="left"/>
      <w:pPr>
        <w:ind w:left="354" w:hanging="316"/>
      </w:pPr>
      <w:rPr>
        <w:rFonts w:hint="default"/>
      </w:rPr>
    </w:lvl>
    <w:lvl w:ilvl="4">
      <w:start w:val="1"/>
      <w:numFmt w:val="bullet"/>
      <w:lvlText w:val="•"/>
      <w:lvlJc w:val="left"/>
      <w:pPr>
        <w:ind w:left="241" w:hanging="316"/>
      </w:pPr>
      <w:rPr>
        <w:rFonts w:hint="default"/>
      </w:rPr>
    </w:lvl>
    <w:lvl w:ilvl="5">
      <w:start w:val="1"/>
      <w:numFmt w:val="bullet"/>
      <w:lvlText w:val="•"/>
      <w:lvlJc w:val="left"/>
      <w:pPr>
        <w:ind w:left="128" w:hanging="316"/>
      </w:pPr>
      <w:rPr>
        <w:rFonts w:hint="default"/>
      </w:rPr>
    </w:lvl>
    <w:lvl w:ilvl="6">
      <w:start w:val="1"/>
      <w:numFmt w:val="bullet"/>
      <w:lvlText w:val="•"/>
      <w:lvlJc w:val="left"/>
      <w:pPr>
        <w:ind w:left="16" w:hanging="316"/>
      </w:pPr>
      <w:rPr>
        <w:rFonts w:hint="default"/>
      </w:rPr>
    </w:lvl>
    <w:lvl w:ilvl="7">
      <w:start w:val="1"/>
      <w:numFmt w:val="bullet"/>
      <w:lvlText w:val="•"/>
      <w:lvlJc w:val="left"/>
      <w:pPr>
        <w:ind w:left="-97" w:hanging="316"/>
      </w:pPr>
      <w:rPr>
        <w:rFonts w:hint="default"/>
      </w:rPr>
    </w:lvl>
    <w:lvl w:ilvl="8">
      <w:start w:val="1"/>
      <w:numFmt w:val="bullet"/>
      <w:lvlText w:val="•"/>
      <w:lvlJc w:val="left"/>
      <w:pPr>
        <w:ind w:left="-210" w:hanging="316"/>
      </w:pPr>
      <w:rPr>
        <w:rFonts w:hint="default"/>
      </w:rPr>
    </w:lvl>
  </w:abstractNum>
  <w:abstractNum w:abstractNumId="55">
    <w:multiLevelType w:val="hybridMultilevel"/>
    <w:lvl w:ilvl="0">
      <w:start w:val="1"/>
      <w:numFmt w:val="decimal"/>
      <w:lvlText w:val="%1."/>
      <w:lvlJc w:val="left"/>
      <w:pPr>
        <w:ind w:left="978" w:hanging="181"/>
        <w:jc w:val="left"/>
      </w:pPr>
      <w:rPr>
        <w:rFonts w:hint="default" w:ascii="Times New Roman" w:hAnsi="Times New Roman" w:eastAsia="Times New Roman" w:cs="Times New Roman"/>
        <w:spacing w:val="-2"/>
        <w:w w:val="100"/>
        <w:sz w:val="18"/>
        <w:szCs w:val="18"/>
      </w:rPr>
    </w:lvl>
    <w:lvl w:ilvl="1">
      <w:start w:val="5"/>
      <w:numFmt w:val="decimal"/>
      <w:lvlText w:val="%2."/>
      <w:lvlJc w:val="left"/>
      <w:pPr>
        <w:ind w:left="978" w:hanging="348"/>
        <w:jc w:val="left"/>
      </w:pPr>
      <w:rPr>
        <w:rFonts w:hint="default" w:ascii="Times New Roman" w:hAnsi="Times New Roman" w:eastAsia="Times New Roman" w:cs="Times New Roman"/>
        <w:b/>
        <w:bCs/>
        <w:spacing w:val="-1"/>
        <w:w w:val="100"/>
        <w:sz w:val="18"/>
        <w:szCs w:val="18"/>
      </w:rPr>
    </w:lvl>
    <w:lvl w:ilvl="2">
      <w:start w:val="1"/>
      <w:numFmt w:val="bullet"/>
      <w:lvlText w:val="•"/>
      <w:lvlJc w:val="left"/>
      <w:pPr>
        <w:ind w:left="697" w:hanging="348"/>
      </w:pPr>
      <w:rPr>
        <w:rFonts w:hint="default"/>
      </w:rPr>
    </w:lvl>
    <w:lvl w:ilvl="3">
      <w:start w:val="1"/>
      <w:numFmt w:val="bullet"/>
      <w:lvlText w:val="•"/>
      <w:lvlJc w:val="left"/>
      <w:pPr>
        <w:ind w:left="555" w:hanging="348"/>
      </w:pPr>
      <w:rPr>
        <w:rFonts w:hint="default"/>
      </w:rPr>
    </w:lvl>
    <w:lvl w:ilvl="4">
      <w:start w:val="1"/>
      <w:numFmt w:val="bullet"/>
      <w:lvlText w:val="•"/>
      <w:lvlJc w:val="left"/>
      <w:pPr>
        <w:ind w:left="414" w:hanging="348"/>
      </w:pPr>
      <w:rPr>
        <w:rFonts w:hint="default"/>
      </w:rPr>
    </w:lvl>
    <w:lvl w:ilvl="5">
      <w:start w:val="1"/>
      <w:numFmt w:val="bullet"/>
      <w:lvlText w:val="•"/>
      <w:lvlJc w:val="left"/>
      <w:pPr>
        <w:ind w:left="272" w:hanging="348"/>
      </w:pPr>
      <w:rPr>
        <w:rFonts w:hint="default"/>
      </w:rPr>
    </w:lvl>
    <w:lvl w:ilvl="6">
      <w:start w:val="1"/>
      <w:numFmt w:val="bullet"/>
      <w:lvlText w:val="•"/>
      <w:lvlJc w:val="left"/>
      <w:pPr>
        <w:ind w:left="131" w:hanging="348"/>
      </w:pPr>
      <w:rPr>
        <w:rFonts w:hint="default"/>
      </w:rPr>
    </w:lvl>
    <w:lvl w:ilvl="7">
      <w:start w:val="1"/>
      <w:numFmt w:val="bullet"/>
      <w:lvlText w:val="•"/>
      <w:lvlJc w:val="left"/>
      <w:pPr>
        <w:ind w:left="-11" w:hanging="348"/>
      </w:pPr>
      <w:rPr>
        <w:rFonts w:hint="default"/>
      </w:rPr>
    </w:lvl>
    <w:lvl w:ilvl="8">
      <w:start w:val="1"/>
      <w:numFmt w:val="bullet"/>
      <w:lvlText w:val="•"/>
      <w:lvlJc w:val="left"/>
      <w:pPr>
        <w:ind w:left="-152" w:hanging="348"/>
      </w:pPr>
      <w:rPr>
        <w:rFonts w:hint="default"/>
      </w:rPr>
    </w:lvl>
  </w:abstractNum>
  <w:abstractNum w:abstractNumId="54">
    <w:multiLevelType w:val="hybridMultilevel"/>
    <w:lvl w:ilvl="0">
      <w:start w:val="1"/>
      <w:numFmt w:val="decimal"/>
      <w:lvlText w:val="%1."/>
      <w:lvlJc w:val="left"/>
      <w:pPr>
        <w:ind w:left="555" w:hanging="285"/>
        <w:jc w:val="left"/>
      </w:pPr>
      <w:rPr>
        <w:rFonts w:hint="default" w:ascii="Times New Roman" w:hAnsi="Times New Roman" w:eastAsia="Times New Roman" w:cs="Times New Roman"/>
        <w:b/>
        <w:bCs/>
        <w:w w:val="100"/>
        <w:sz w:val="18"/>
        <w:szCs w:val="18"/>
      </w:rPr>
    </w:lvl>
    <w:lvl w:ilvl="1">
      <w:start w:val="1"/>
      <w:numFmt w:val="bullet"/>
      <w:lvlText w:val="•"/>
      <w:lvlJc w:val="left"/>
      <w:pPr>
        <w:ind w:left="1022" w:hanging="285"/>
      </w:pPr>
      <w:rPr>
        <w:rFonts w:hint="default"/>
      </w:rPr>
    </w:lvl>
    <w:lvl w:ilvl="2">
      <w:start w:val="1"/>
      <w:numFmt w:val="bullet"/>
      <w:lvlText w:val="•"/>
      <w:lvlJc w:val="left"/>
      <w:pPr>
        <w:ind w:left="1484" w:hanging="285"/>
      </w:pPr>
      <w:rPr>
        <w:rFonts w:hint="default"/>
      </w:rPr>
    </w:lvl>
    <w:lvl w:ilvl="3">
      <w:start w:val="1"/>
      <w:numFmt w:val="bullet"/>
      <w:lvlText w:val="•"/>
      <w:lvlJc w:val="left"/>
      <w:pPr>
        <w:ind w:left="1946" w:hanging="285"/>
      </w:pPr>
      <w:rPr>
        <w:rFonts w:hint="default"/>
      </w:rPr>
    </w:lvl>
    <w:lvl w:ilvl="4">
      <w:start w:val="1"/>
      <w:numFmt w:val="bullet"/>
      <w:lvlText w:val="•"/>
      <w:lvlJc w:val="left"/>
      <w:pPr>
        <w:ind w:left="2408" w:hanging="285"/>
      </w:pPr>
      <w:rPr>
        <w:rFonts w:hint="default"/>
      </w:rPr>
    </w:lvl>
    <w:lvl w:ilvl="5">
      <w:start w:val="1"/>
      <w:numFmt w:val="bullet"/>
      <w:lvlText w:val="•"/>
      <w:lvlJc w:val="left"/>
      <w:pPr>
        <w:ind w:left="2870" w:hanging="285"/>
      </w:pPr>
      <w:rPr>
        <w:rFonts w:hint="default"/>
      </w:rPr>
    </w:lvl>
    <w:lvl w:ilvl="6">
      <w:start w:val="1"/>
      <w:numFmt w:val="bullet"/>
      <w:lvlText w:val="•"/>
      <w:lvlJc w:val="left"/>
      <w:pPr>
        <w:ind w:left="3332" w:hanging="285"/>
      </w:pPr>
      <w:rPr>
        <w:rFonts w:hint="default"/>
      </w:rPr>
    </w:lvl>
    <w:lvl w:ilvl="7">
      <w:start w:val="1"/>
      <w:numFmt w:val="bullet"/>
      <w:lvlText w:val="•"/>
      <w:lvlJc w:val="left"/>
      <w:pPr>
        <w:ind w:left="3794" w:hanging="285"/>
      </w:pPr>
      <w:rPr>
        <w:rFonts w:hint="default"/>
      </w:rPr>
    </w:lvl>
    <w:lvl w:ilvl="8">
      <w:start w:val="1"/>
      <w:numFmt w:val="bullet"/>
      <w:lvlText w:val="•"/>
      <w:lvlJc w:val="left"/>
      <w:pPr>
        <w:ind w:left="4256" w:hanging="285"/>
      </w:pPr>
      <w:rPr>
        <w:rFonts w:hint="default"/>
      </w:rPr>
    </w:lvl>
  </w:abstractNum>
  <w:abstractNum w:abstractNumId="53">
    <w:multiLevelType w:val="hybridMultilevel"/>
    <w:lvl w:ilvl="0">
      <w:start w:val="1"/>
      <w:numFmt w:val="bullet"/>
      <w:lvlText w:val="•"/>
      <w:lvlJc w:val="left"/>
      <w:pPr>
        <w:ind w:left="1001" w:hanging="348"/>
      </w:pPr>
      <w:rPr>
        <w:rFonts w:hint="default" w:ascii="Times New Roman" w:hAnsi="Times New Roman" w:eastAsia="Times New Roman" w:cs="Times New Roman"/>
        <w:spacing w:val="-2"/>
        <w:w w:val="100"/>
        <w:sz w:val="18"/>
        <w:szCs w:val="18"/>
      </w:rPr>
    </w:lvl>
    <w:lvl w:ilvl="1">
      <w:start w:val="1"/>
      <w:numFmt w:val="bullet"/>
      <w:lvlText w:val="•"/>
      <w:lvlJc w:val="left"/>
      <w:pPr>
        <w:ind w:left="1485" w:hanging="348"/>
      </w:pPr>
      <w:rPr>
        <w:rFonts w:hint="default"/>
      </w:rPr>
    </w:lvl>
    <w:lvl w:ilvl="2">
      <w:start w:val="1"/>
      <w:numFmt w:val="bullet"/>
      <w:lvlText w:val="•"/>
      <w:lvlJc w:val="left"/>
      <w:pPr>
        <w:ind w:left="1970" w:hanging="348"/>
      </w:pPr>
      <w:rPr>
        <w:rFonts w:hint="default"/>
      </w:rPr>
    </w:lvl>
    <w:lvl w:ilvl="3">
      <w:start w:val="1"/>
      <w:numFmt w:val="bullet"/>
      <w:lvlText w:val="•"/>
      <w:lvlJc w:val="left"/>
      <w:pPr>
        <w:ind w:left="2455" w:hanging="348"/>
      </w:pPr>
      <w:rPr>
        <w:rFonts w:hint="default"/>
      </w:rPr>
    </w:lvl>
    <w:lvl w:ilvl="4">
      <w:start w:val="1"/>
      <w:numFmt w:val="bullet"/>
      <w:lvlText w:val="•"/>
      <w:lvlJc w:val="left"/>
      <w:pPr>
        <w:ind w:left="2941" w:hanging="348"/>
      </w:pPr>
      <w:rPr>
        <w:rFonts w:hint="default"/>
      </w:rPr>
    </w:lvl>
    <w:lvl w:ilvl="5">
      <w:start w:val="1"/>
      <w:numFmt w:val="bullet"/>
      <w:lvlText w:val="•"/>
      <w:lvlJc w:val="left"/>
      <w:pPr>
        <w:ind w:left="3426" w:hanging="348"/>
      </w:pPr>
      <w:rPr>
        <w:rFonts w:hint="default"/>
      </w:rPr>
    </w:lvl>
    <w:lvl w:ilvl="6">
      <w:start w:val="1"/>
      <w:numFmt w:val="bullet"/>
      <w:lvlText w:val="•"/>
      <w:lvlJc w:val="left"/>
      <w:pPr>
        <w:ind w:left="3911" w:hanging="348"/>
      </w:pPr>
      <w:rPr>
        <w:rFonts w:hint="default"/>
      </w:rPr>
    </w:lvl>
    <w:lvl w:ilvl="7">
      <w:start w:val="1"/>
      <w:numFmt w:val="bullet"/>
      <w:lvlText w:val="•"/>
      <w:lvlJc w:val="left"/>
      <w:pPr>
        <w:ind w:left="4396" w:hanging="348"/>
      </w:pPr>
      <w:rPr>
        <w:rFonts w:hint="default"/>
      </w:rPr>
    </w:lvl>
    <w:lvl w:ilvl="8">
      <w:start w:val="1"/>
      <w:numFmt w:val="bullet"/>
      <w:lvlText w:val="•"/>
      <w:lvlJc w:val="left"/>
      <w:pPr>
        <w:ind w:left="4882" w:hanging="348"/>
      </w:pPr>
      <w:rPr>
        <w:rFonts w:hint="default"/>
      </w:rPr>
    </w:lvl>
  </w:abstractNum>
  <w:abstractNum w:abstractNumId="52">
    <w:multiLevelType w:val="hybridMultilevel"/>
    <w:lvl w:ilvl="0">
      <w:start w:val="1"/>
      <w:numFmt w:val="decimal"/>
      <w:lvlText w:val="%1."/>
      <w:lvlJc w:val="left"/>
      <w:pPr>
        <w:ind w:left="451" w:hanging="181"/>
        <w:jc w:val="left"/>
      </w:pPr>
      <w:rPr>
        <w:rFonts w:hint="default" w:ascii="Times New Roman" w:hAnsi="Times New Roman" w:eastAsia="Times New Roman" w:cs="Times New Roman"/>
        <w:b/>
        <w:bCs/>
        <w:w w:val="100"/>
        <w:sz w:val="18"/>
        <w:szCs w:val="18"/>
      </w:rPr>
    </w:lvl>
    <w:lvl w:ilvl="1">
      <w:start w:val="1"/>
      <w:numFmt w:val="decimal"/>
      <w:lvlText w:val="%1.%2"/>
      <w:lvlJc w:val="left"/>
      <w:pPr>
        <w:ind w:left="541" w:hanging="271"/>
        <w:jc w:val="left"/>
      </w:pPr>
      <w:rPr>
        <w:rFonts w:hint="default"/>
        <w:b/>
        <w:bCs/>
        <w:spacing w:val="-1"/>
        <w:w w:val="100"/>
      </w:rPr>
    </w:lvl>
    <w:lvl w:ilvl="2">
      <w:start w:val="1"/>
      <w:numFmt w:val="bullet"/>
      <w:lvlText w:val=""/>
      <w:lvlJc w:val="left"/>
      <w:pPr>
        <w:ind w:left="990" w:hanging="348"/>
      </w:pPr>
      <w:rPr>
        <w:rFonts w:hint="default" w:ascii="Symbol" w:hAnsi="Symbol" w:eastAsia="Symbol" w:cs="Symbol"/>
        <w:w w:val="99"/>
        <w:sz w:val="18"/>
        <w:szCs w:val="18"/>
      </w:rPr>
    </w:lvl>
    <w:lvl w:ilvl="3">
      <w:start w:val="1"/>
      <w:numFmt w:val="bullet"/>
      <w:lvlText w:val="•"/>
      <w:lvlJc w:val="left"/>
      <w:pPr>
        <w:ind w:left="820" w:hanging="348"/>
      </w:pPr>
      <w:rPr>
        <w:rFonts w:hint="default"/>
      </w:rPr>
    </w:lvl>
    <w:lvl w:ilvl="4">
      <w:start w:val="1"/>
      <w:numFmt w:val="bullet"/>
      <w:lvlText w:val="•"/>
      <w:lvlJc w:val="left"/>
      <w:pPr>
        <w:ind w:left="641" w:hanging="348"/>
      </w:pPr>
      <w:rPr>
        <w:rFonts w:hint="default"/>
      </w:rPr>
    </w:lvl>
    <w:lvl w:ilvl="5">
      <w:start w:val="1"/>
      <w:numFmt w:val="bullet"/>
      <w:lvlText w:val="•"/>
      <w:lvlJc w:val="left"/>
      <w:pPr>
        <w:ind w:left="461" w:hanging="348"/>
      </w:pPr>
      <w:rPr>
        <w:rFonts w:hint="default"/>
      </w:rPr>
    </w:lvl>
    <w:lvl w:ilvl="6">
      <w:start w:val="1"/>
      <w:numFmt w:val="bullet"/>
      <w:lvlText w:val="•"/>
      <w:lvlJc w:val="left"/>
      <w:pPr>
        <w:ind w:left="282" w:hanging="348"/>
      </w:pPr>
      <w:rPr>
        <w:rFonts w:hint="default"/>
      </w:rPr>
    </w:lvl>
    <w:lvl w:ilvl="7">
      <w:start w:val="1"/>
      <w:numFmt w:val="bullet"/>
      <w:lvlText w:val="•"/>
      <w:lvlJc w:val="left"/>
      <w:pPr>
        <w:ind w:left="102" w:hanging="348"/>
      </w:pPr>
      <w:rPr>
        <w:rFonts w:hint="default"/>
      </w:rPr>
    </w:lvl>
    <w:lvl w:ilvl="8">
      <w:start w:val="1"/>
      <w:numFmt w:val="bullet"/>
      <w:lvlText w:val="•"/>
      <w:lvlJc w:val="left"/>
      <w:pPr>
        <w:ind w:left="-77" w:hanging="348"/>
      </w:pPr>
      <w:rPr>
        <w:rFonts w:hint="default"/>
      </w:rPr>
    </w:lvl>
  </w:abstractNum>
  <w:abstractNum w:abstractNumId="51">
    <w:multiLevelType w:val="hybridMultilevel"/>
    <w:lvl w:ilvl="0">
      <w:start w:val="3"/>
      <w:numFmt w:val="decimal"/>
      <w:lvlText w:val="%1"/>
      <w:lvlJc w:val="left"/>
      <w:pPr>
        <w:ind w:left="542" w:hanging="272"/>
        <w:jc w:val="left"/>
      </w:pPr>
      <w:rPr>
        <w:rFonts w:hint="default"/>
      </w:rPr>
    </w:lvl>
    <w:lvl w:ilvl="1">
      <w:start w:val="9"/>
      <w:numFmt w:val="decimal"/>
      <w:lvlText w:val="%1.%2"/>
      <w:lvlJc w:val="left"/>
      <w:pPr>
        <w:ind w:left="542" w:hanging="272"/>
        <w:jc w:val="left"/>
      </w:pPr>
      <w:rPr>
        <w:rFonts w:hint="default" w:ascii="Times New Roman" w:hAnsi="Times New Roman" w:eastAsia="Times New Roman" w:cs="Times New Roman"/>
        <w:b/>
        <w:bCs/>
        <w:spacing w:val="-2"/>
        <w:w w:val="100"/>
        <w:sz w:val="18"/>
        <w:szCs w:val="18"/>
      </w:rPr>
    </w:lvl>
    <w:lvl w:ilvl="2">
      <w:start w:val="1"/>
      <w:numFmt w:val="bullet"/>
      <w:lvlText w:val="•"/>
      <w:lvlJc w:val="left"/>
      <w:pPr>
        <w:ind w:left="1600" w:hanging="272"/>
      </w:pPr>
      <w:rPr>
        <w:rFonts w:hint="default"/>
      </w:rPr>
    </w:lvl>
    <w:lvl w:ilvl="3">
      <w:start w:val="1"/>
      <w:numFmt w:val="bullet"/>
      <w:lvlText w:val="•"/>
      <w:lvlJc w:val="left"/>
      <w:pPr>
        <w:ind w:left="2130" w:hanging="272"/>
      </w:pPr>
      <w:rPr>
        <w:rFonts w:hint="default"/>
      </w:rPr>
    </w:lvl>
    <w:lvl w:ilvl="4">
      <w:start w:val="1"/>
      <w:numFmt w:val="bullet"/>
      <w:lvlText w:val="•"/>
      <w:lvlJc w:val="left"/>
      <w:pPr>
        <w:ind w:left="2660" w:hanging="272"/>
      </w:pPr>
      <w:rPr>
        <w:rFonts w:hint="default"/>
      </w:rPr>
    </w:lvl>
    <w:lvl w:ilvl="5">
      <w:start w:val="1"/>
      <w:numFmt w:val="bullet"/>
      <w:lvlText w:val="•"/>
      <w:lvlJc w:val="left"/>
      <w:pPr>
        <w:ind w:left="3191" w:hanging="272"/>
      </w:pPr>
      <w:rPr>
        <w:rFonts w:hint="default"/>
      </w:rPr>
    </w:lvl>
    <w:lvl w:ilvl="6">
      <w:start w:val="1"/>
      <w:numFmt w:val="bullet"/>
      <w:lvlText w:val="•"/>
      <w:lvlJc w:val="left"/>
      <w:pPr>
        <w:ind w:left="3721" w:hanging="272"/>
      </w:pPr>
      <w:rPr>
        <w:rFonts w:hint="default"/>
      </w:rPr>
    </w:lvl>
    <w:lvl w:ilvl="7">
      <w:start w:val="1"/>
      <w:numFmt w:val="bullet"/>
      <w:lvlText w:val="•"/>
      <w:lvlJc w:val="left"/>
      <w:pPr>
        <w:ind w:left="4251" w:hanging="272"/>
      </w:pPr>
      <w:rPr>
        <w:rFonts w:hint="default"/>
      </w:rPr>
    </w:lvl>
    <w:lvl w:ilvl="8">
      <w:start w:val="1"/>
      <w:numFmt w:val="bullet"/>
      <w:lvlText w:val="•"/>
      <w:lvlJc w:val="left"/>
      <w:pPr>
        <w:ind w:left="4781" w:hanging="272"/>
      </w:pPr>
      <w:rPr>
        <w:rFonts w:hint="default"/>
      </w:rPr>
    </w:lvl>
  </w:abstractNum>
  <w:abstractNum w:abstractNumId="50">
    <w:multiLevelType w:val="hybridMultilevel"/>
    <w:lvl w:ilvl="0">
      <w:start w:val="1"/>
      <w:numFmt w:val="decimal"/>
      <w:lvlText w:val="%1."/>
      <w:lvlJc w:val="left"/>
      <w:pPr>
        <w:ind w:left="270" w:hanging="181"/>
        <w:jc w:val="left"/>
      </w:pPr>
      <w:rPr>
        <w:rFonts w:hint="default" w:ascii="Times New Roman" w:hAnsi="Times New Roman" w:eastAsia="Times New Roman" w:cs="Times New Roman"/>
        <w:spacing w:val="-1"/>
        <w:w w:val="100"/>
        <w:sz w:val="18"/>
        <w:szCs w:val="18"/>
      </w:rPr>
    </w:lvl>
    <w:lvl w:ilvl="1">
      <w:start w:val="1"/>
      <w:numFmt w:val="bullet"/>
      <w:lvlText w:val="•"/>
      <w:lvlJc w:val="left"/>
      <w:pPr>
        <w:ind w:left="836" w:hanging="181"/>
      </w:pPr>
      <w:rPr>
        <w:rFonts w:hint="default"/>
      </w:rPr>
    </w:lvl>
    <w:lvl w:ilvl="2">
      <w:start w:val="1"/>
      <w:numFmt w:val="bullet"/>
      <w:lvlText w:val="•"/>
      <w:lvlJc w:val="left"/>
      <w:pPr>
        <w:ind w:left="1392" w:hanging="181"/>
      </w:pPr>
      <w:rPr>
        <w:rFonts w:hint="default"/>
      </w:rPr>
    </w:lvl>
    <w:lvl w:ilvl="3">
      <w:start w:val="1"/>
      <w:numFmt w:val="bullet"/>
      <w:lvlText w:val="•"/>
      <w:lvlJc w:val="left"/>
      <w:pPr>
        <w:ind w:left="1948" w:hanging="181"/>
      </w:pPr>
      <w:rPr>
        <w:rFonts w:hint="default"/>
      </w:rPr>
    </w:lvl>
    <w:lvl w:ilvl="4">
      <w:start w:val="1"/>
      <w:numFmt w:val="bullet"/>
      <w:lvlText w:val="•"/>
      <w:lvlJc w:val="left"/>
      <w:pPr>
        <w:ind w:left="2504" w:hanging="181"/>
      </w:pPr>
      <w:rPr>
        <w:rFonts w:hint="default"/>
      </w:rPr>
    </w:lvl>
    <w:lvl w:ilvl="5">
      <w:start w:val="1"/>
      <w:numFmt w:val="bullet"/>
      <w:lvlText w:val="•"/>
      <w:lvlJc w:val="left"/>
      <w:pPr>
        <w:ind w:left="3061" w:hanging="181"/>
      </w:pPr>
      <w:rPr>
        <w:rFonts w:hint="default"/>
      </w:rPr>
    </w:lvl>
    <w:lvl w:ilvl="6">
      <w:start w:val="1"/>
      <w:numFmt w:val="bullet"/>
      <w:lvlText w:val="•"/>
      <w:lvlJc w:val="left"/>
      <w:pPr>
        <w:ind w:left="3617" w:hanging="181"/>
      </w:pPr>
      <w:rPr>
        <w:rFonts w:hint="default"/>
      </w:rPr>
    </w:lvl>
    <w:lvl w:ilvl="7">
      <w:start w:val="1"/>
      <w:numFmt w:val="bullet"/>
      <w:lvlText w:val="•"/>
      <w:lvlJc w:val="left"/>
      <w:pPr>
        <w:ind w:left="4173" w:hanging="181"/>
      </w:pPr>
      <w:rPr>
        <w:rFonts w:hint="default"/>
      </w:rPr>
    </w:lvl>
    <w:lvl w:ilvl="8">
      <w:start w:val="1"/>
      <w:numFmt w:val="bullet"/>
      <w:lvlText w:val="•"/>
      <w:lvlJc w:val="left"/>
      <w:pPr>
        <w:ind w:left="4729" w:hanging="181"/>
      </w:pPr>
      <w:rPr>
        <w:rFonts w:hint="default"/>
      </w:rPr>
    </w:lvl>
  </w:abstractNum>
  <w:abstractNum w:abstractNumId="49">
    <w:multiLevelType w:val="hybridMultilevel"/>
    <w:lvl w:ilvl="0">
      <w:start w:val="1"/>
      <w:numFmt w:val="decimal"/>
      <w:lvlText w:val="%1)"/>
      <w:lvlJc w:val="left"/>
      <w:pPr>
        <w:ind w:left="466" w:hanging="196"/>
        <w:jc w:val="left"/>
      </w:pPr>
      <w:rPr>
        <w:rFonts w:hint="default" w:ascii="Times New Roman" w:hAnsi="Times New Roman" w:eastAsia="Times New Roman" w:cs="Times New Roman"/>
        <w:spacing w:val="-2"/>
        <w:w w:val="100"/>
        <w:sz w:val="18"/>
        <w:szCs w:val="18"/>
      </w:rPr>
    </w:lvl>
    <w:lvl w:ilvl="1">
      <w:start w:val="1"/>
      <w:numFmt w:val="bullet"/>
      <w:lvlText w:val="•"/>
      <w:lvlJc w:val="left"/>
      <w:pPr>
        <w:ind w:left="998" w:hanging="196"/>
      </w:pPr>
      <w:rPr>
        <w:rFonts w:hint="default"/>
      </w:rPr>
    </w:lvl>
    <w:lvl w:ilvl="2">
      <w:start w:val="1"/>
      <w:numFmt w:val="bullet"/>
      <w:lvlText w:val="•"/>
      <w:lvlJc w:val="left"/>
      <w:pPr>
        <w:ind w:left="1536" w:hanging="196"/>
      </w:pPr>
      <w:rPr>
        <w:rFonts w:hint="default"/>
      </w:rPr>
    </w:lvl>
    <w:lvl w:ilvl="3">
      <w:start w:val="1"/>
      <w:numFmt w:val="bullet"/>
      <w:lvlText w:val="•"/>
      <w:lvlJc w:val="left"/>
      <w:pPr>
        <w:ind w:left="2074" w:hanging="196"/>
      </w:pPr>
      <w:rPr>
        <w:rFonts w:hint="default"/>
      </w:rPr>
    </w:lvl>
    <w:lvl w:ilvl="4">
      <w:start w:val="1"/>
      <w:numFmt w:val="bullet"/>
      <w:lvlText w:val="•"/>
      <w:lvlJc w:val="left"/>
      <w:pPr>
        <w:ind w:left="2612" w:hanging="196"/>
      </w:pPr>
      <w:rPr>
        <w:rFonts w:hint="default"/>
      </w:rPr>
    </w:lvl>
    <w:lvl w:ilvl="5">
      <w:start w:val="1"/>
      <w:numFmt w:val="bullet"/>
      <w:lvlText w:val="•"/>
      <w:lvlJc w:val="left"/>
      <w:pPr>
        <w:ind w:left="3151" w:hanging="196"/>
      </w:pPr>
      <w:rPr>
        <w:rFonts w:hint="default"/>
      </w:rPr>
    </w:lvl>
    <w:lvl w:ilvl="6">
      <w:start w:val="1"/>
      <w:numFmt w:val="bullet"/>
      <w:lvlText w:val="•"/>
      <w:lvlJc w:val="left"/>
      <w:pPr>
        <w:ind w:left="3689" w:hanging="196"/>
      </w:pPr>
      <w:rPr>
        <w:rFonts w:hint="default"/>
      </w:rPr>
    </w:lvl>
    <w:lvl w:ilvl="7">
      <w:start w:val="1"/>
      <w:numFmt w:val="bullet"/>
      <w:lvlText w:val="•"/>
      <w:lvlJc w:val="left"/>
      <w:pPr>
        <w:ind w:left="4227" w:hanging="196"/>
      </w:pPr>
      <w:rPr>
        <w:rFonts w:hint="default"/>
      </w:rPr>
    </w:lvl>
    <w:lvl w:ilvl="8">
      <w:start w:val="1"/>
      <w:numFmt w:val="bullet"/>
      <w:lvlText w:val="•"/>
      <w:lvlJc w:val="left"/>
      <w:pPr>
        <w:ind w:left="4765" w:hanging="196"/>
      </w:pPr>
      <w:rPr>
        <w:rFonts w:hint="default"/>
      </w:rPr>
    </w:lvl>
  </w:abstractNum>
  <w:abstractNum w:abstractNumId="48">
    <w:multiLevelType w:val="hybridMultilevel"/>
    <w:lvl w:ilvl="0">
      <w:start w:val="3"/>
      <w:numFmt w:val="decimal"/>
      <w:lvlText w:val="%1"/>
      <w:lvlJc w:val="left"/>
      <w:pPr>
        <w:ind w:left="541" w:hanging="271"/>
        <w:jc w:val="left"/>
      </w:pPr>
      <w:rPr>
        <w:rFonts w:hint="default"/>
      </w:rPr>
    </w:lvl>
    <w:lvl w:ilvl="1">
      <w:start w:val="2"/>
      <w:numFmt w:val="decimal"/>
      <w:lvlText w:val="%1.%2"/>
      <w:lvlJc w:val="left"/>
      <w:pPr>
        <w:ind w:left="541" w:hanging="271"/>
        <w:jc w:val="left"/>
      </w:pPr>
      <w:rPr>
        <w:rFonts w:hint="default" w:ascii="Times New Roman" w:hAnsi="Times New Roman" w:eastAsia="Times New Roman" w:cs="Times New Roman"/>
        <w:b/>
        <w:bCs/>
        <w:spacing w:val="-1"/>
        <w:w w:val="100"/>
        <w:sz w:val="18"/>
        <w:szCs w:val="18"/>
      </w:rPr>
    </w:lvl>
    <w:lvl w:ilvl="2">
      <w:start w:val="1"/>
      <w:numFmt w:val="bullet"/>
      <w:lvlText w:val="•"/>
      <w:lvlJc w:val="left"/>
      <w:pPr>
        <w:ind w:left="1464" w:hanging="271"/>
      </w:pPr>
      <w:rPr>
        <w:rFonts w:hint="default"/>
      </w:rPr>
    </w:lvl>
    <w:lvl w:ilvl="3">
      <w:start w:val="1"/>
      <w:numFmt w:val="bullet"/>
      <w:lvlText w:val="•"/>
      <w:lvlJc w:val="left"/>
      <w:pPr>
        <w:ind w:left="1926" w:hanging="271"/>
      </w:pPr>
      <w:rPr>
        <w:rFonts w:hint="default"/>
      </w:rPr>
    </w:lvl>
    <w:lvl w:ilvl="4">
      <w:start w:val="1"/>
      <w:numFmt w:val="bullet"/>
      <w:lvlText w:val="•"/>
      <w:lvlJc w:val="left"/>
      <w:pPr>
        <w:ind w:left="2389" w:hanging="271"/>
      </w:pPr>
      <w:rPr>
        <w:rFonts w:hint="default"/>
      </w:rPr>
    </w:lvl>
    <w:lvl w:ilvl="5">
      <w:start w:val="1"/>
      <w:numFmt w:val="bullet"/>
      <w:lvlText w:val="•"/>
      <w:lvlJc w:val="left"/>
      <w:pPr>
        <w:ind w:left="2851" w:hanging="271"/>
      </w:pPr>
      <w:rPr>
        <w:rFonts w:hint="default"/>
      </w:rPr>
    </w:lvl>
    <w:lvl w:ilvl="6">
      <w:start w:val="1"/>
      <w:numFmt w:val="bullet"/>
      <w:lvlText w:val="•"/>
      <w:lvlJc w:val="left"/>
      <w:pPr>
        <w:ind w:left="3313" w:hanging="271"/>
      </w:pPr>
      <w:rPr>
        <w:rFonts w:hint="default"/>
      </w:rPr>
    </w:lvl>
    <w:lvl w:ilvl="7">
      <w:start w:val="1"/>
      <w:numFmt w:val="bullet"/>
      <w:lvlText w:val="•"/>
      <w:lvlJc w:val="left"/>
      <w:pPr>
        <w:ind w:left="3775" w:hanging="271"/>
      </w:pPr>
      <w:rPr>
        <w:rFonts w:hint="default"/>
      </w:rPr>
    </w:lvl>
    <w:lvl w:ilvl="8">
      <w:start w:val="1"/>
      <w:numFmt w:val="bullet"/>
      <w:lvlText w:val="•"/>
      <w:lvlJc w:val="left"/>
      <w:pPr>
        <w:ind w:left="4238" w:hanging="271"/>
      </w:pPr>
      <w:rPr>
        <w:rFonts w:hint="default"/>
      </w:rPr>
    </w:lvl>
  </w:abstractNum>
  <w:abstractNum w:abstractNumId="47">
    <w:multiLevelType w:val="hybridMultilevel"/>
    <w:lvl w:ilvl="0">
      <w:start w:val="1"/>
      <w:numFmt w:val="decimal"/>
      <w:lvlText w:val="%1."/>
      <w:lvlJc w:val="left"/>
      <w:pPr>
        <w:ind w:left="541" w:hanging="271"/>
        <w:jc w:val="left"/>
      </w:pPr>
      <w:rPr>
        <w:rFonts w:hint="default" w:ascii="Times New Roman" w:hAnsi="Times New Roman" w:eastAsia="Times New Roman" w:cs="Times New Roman"/>
        <w:spacing w:val="-2"/>
        <w:w w:val="100"/>
        <w:sz w:val="18"/>
        <w:szCs w:val="18"/>
      </w:rPr>
    </w:lvl>
    <w:lvl w:ilvl="1">
      <w:start w:val="1"/>
      <w:numFmt w:val="bullet"/>
      <w:lvlText w:val="•"/>
      <w:lvlJc w:val="left"/>
      <w:pPr>
        <w:ind w:left="1002" w:hanging="271"/>
      </w:pPr>
      <w:rPr>
        <w:rFonts w:hint="default"/>
      </w:rPr>
    </w:lvl>
    <w:lvl w:ilvl="2">
      <w:start w:val="1"/>
      <w:numFmt w:val="bullet"/>
      <w:lvlText w:val="•"/>
      <w:lvlJc w:val="left"/>
      <w:pPr>
        <w:ind w:left="1464" w:hanging="271"/>
      </w:pPr>
      <w:rPr>
        <w:rFonts w:hint="default"/>
      </w:rPr>
    </w:lvl>
    <w:lvl w:ilvl="3">
      <w:start w:val="1"/>
      <w:numFmt w:val="bullet"/>
      <w:lvlText w:val="•"/>
      <w:lvlJc w:val="left"/>
      <w:pPr>
        <w:ind w:left="1926" w:hanging="271"/>
      </w:pPr>
      <w:rPr>
        <w:rFonts w:hint="default"/>
      </w:rPr>
    </w:lvl>
    <w:lvl w:ilvl="4">
      <w:start w:val="1"/>
      <w:numFmt w:val="bullet"/>
      <w:lvlText w:val="•"/>
      <w:lvlJc w:val="left"/>
      <w:pPr>
        <w:ind w:left="2389" w:hanging="271"/>
      </w:pPr>
      <w:rPr>
        <w:rFonts w:hint="default"/>
      </w:rPr>
    </w:lvl>
    <w:lvl w:ilvl="5">
      <w:start w:val="1"/>
      <w:numFmt w:val="bullet"/>
      <w:lvlText w:val="•"/>
      <w:lvlJc w:val="left"/>
      <w:pPr>
        <w:ind w:left="2851" w:hanging="271"/>
      </w:pPr>
      <w:rPr>
        <w:rFonts w:hint="default"/>
      </w:rPr>
    </w:lvl>
    <w:lvl w:ilvl="6">
      <w:start w:val="1"/>
      <w:numFmt w:val="bullet"/>
      <w:lvlText w:val="•"/>
      <w:lvlJc w:val="left"/>
      <w:pPr>
        <w:ind w:left="3313" w:hanging="271"/>
      </w:pPr>
      <w:rPr>
        <w:rFonts w:hint="default"/>
      </w:rPr>
    </w:lvl>
    <w:lvl w:ilvl="7">
      <w:start w:val="1"/>
      <w:numFmt w:val="bullet"/>
      <w:lvlText w:val="•"/>
      <w:lvlJc w:val="left"/>
      <w:pPr>
        <w:ind w:left="3775" w:hanging="271"/>
      </w:pPr>
      <w:rPr>
        <w:rFonts w:hint="default"/>
      </w:rPr>
    </w:lvl>
    <w:lvl w:ilvl="8">
      <w:start w:val="1"/>
      <w:numFmt w:val="bullet"/>
      <w:lvlText w:val="•"/>
      <w:lvlJc w:val="left"/>
      <w:pPr>
        <w:ind w:left="4238" w:hanging="271"/>
      </w:pPr>
      <w:rPr>
        <w:rFonts w:hint="default"/>
      </w:rPr>
    </w:lvl>
  </w:abstractNum>
  <w:abstractNum w:abstractNumId="46">
    <w:multiLevelType w:val="hybridMultilevel"/>
    <w:lvl w:ilvl="0">
      <w:start w:val="1"/>
      <w:numFmt w:val="decimal"/>
      <w:lvlText w:val="%1."/>
      <w:lvlJc w:val="left"/>
      <w:pPr>
        <w:ind w:left="451" w:hanging="181"/>
        <w:jc w:val="left"/>
      </w:pPr>
      <w:rPr>
        <w:rFonts w:hint="default" w:ascii="Times New Roman" w:hAnsi="Times New Roman" w:eastAsia="Times New Roman" w:cs="Times New Roman"/>
        <w:b/>
        <w:bCs/>
        <w:w w:val="100"/>
        <w:sz w:val="18"/>
        <w:szCs w:val="18"/>
      </w:rPr>
    </w:lvl>
    <w:lvl w:ilvl="1">
      <w:start w:val="1"/>
      <w:numFmt w:val="decimal"/>
      <w:lvlText w:val="%1.%2"/>
      <w:lvlJc w:val="left"/>
      <w:pPr>
        <w:ind w:left="542" w:hanging="272"/>
        <w:jc w:val="left"/>
      </w:pPr>
      <w:rPr>
        <w:rFonts w:hint="default" w:ascii="Times New Roman" w:hAnsi="Times New Roman" w:eastAsia="Times New Roman" w:cs="Times New Roman"/>
        <w:b/>
        <w:bCs/>
        <w:spacing w:val="-2"/>
        <w:w w:val="100"/>
        <w:sz w:val="18"/>
        <w:szCs w:val="18"/>
      </w:rPr>
    </w:lvl>
    <w:lvl w:ilvl="2">
      <w:start w:val="1"/>
      <w:numFmt w:val="bullet"/>
      <w:lvlText w:val=""/>
      <w:lvlJc w:val="left"/>
      <w:pPr>
        <w:ind w:left="978" w:hanging="348"/>
      </w:pPr>
      <w:rPr>
        <w:rFonts w:hint="default" w:ascii="Symbol" w:hAnsi="Symbol" w:eastAsia="Symbol" w:cs="Symbol"/>
        <w:w w:val="99"/>
        <w:sz w:val="18"/>
        <w:szCs w:val="18"/>
      </w:rPr>
    </w:lvl>
    <w:lvl w:ilvl="3">
      <w:start w:val="1"/>
      <w:numFmt w:val="bullet"/>
      <w:lvlText w:val="•"/>
      <w:lvlJc w:val="left"/>
      <w:pPr>
        <w:ind w:left="803" w:hanging="348"/>
      </w:pPr>
      <w:rPr>
        <w:rFonts w:hint="default"/>
      </w:rPr>
    </w:lvl>
    <w:lvl w:ilvl="4">
      <w:start w:val="1"/>
      <w:numFmt w:val="bullet"/>
      <w:lvlText w:val="•"/>
      <w:lvlJc w:val="left"/>
      <w:pPr>
        <w:ind w:left="626" w:hanging="348"/>
      </w:pPr>
      <w:rPr>
        <w:rFonts w:hint="default"/>
      </w:rPr>
    </w:lvl>
    <w:lvl w:ilvl="5">
      <w:start w:val="1"/>
      <w:numFmt w:val="bullet"/>
      <w:lvlText w:val="•"/>
      <w:lvlJc w:val="left"/>
      <w:pPr>
        <w:ind w:left="449" w:hanging="348"/>
      </w:pPr>
      <w:rPr>
        <w:rFonts w:hint="default"/>
      </w:rPr>
    </w:lvl>
    <w:lvl w:ilvl="6">
      <w:start w:val="1"/>
      <w:numFmt w:val="bullet"/>
      <w:lvlText w:val="•"/>
      <w:lvlJc w:val="left"/>
      <w:pPr>
        <w:ind w:left="272" w:hanging="348"/>
      </w:pPr>
      <w:rPr>
        <w:rFonts w:hint="default"/>
      </w:rPr>
    </w:lvl>
    <w:lvl w:ilvl="7">
      <w:start w:val="1"/>
      <w:numFmt w:val="bullet"/>
      <w:lvlText w:val="•"/>
      <w:lvlJc w:val="left"/>
      <w:pPr>
        <w:ind w:left="95" w:hanging="348"/>
      </w:pPr>
      <w:rPr>
        <w:rFonts w:hint="default"/>
      </w:rPr>
    </w:lvl>
    <w:lvl w:ilvl="8">
      <w:start w:val="1"/>
      <w:numFmt w:val="bullet"/>
      <w:lvlText w:val="•"/>
      <w:lvlJc w:val="left"/>
      <w:pPr>
        <w:ind w:left="-82" w:hanging="348"/>
      </w:pPr>
      <w:rPr>
        <w:rFonts w:hint="default"/>
      </w:rPr>
    </w:lvl>
  </w:abstractNum>
  <w:abstractNum w:abstractNumId="45">
    <w:multiLevelType w:val="hybridMultilevel"/>
    <w:lvl w:ilvl="0">
      <w:start w:val="3"/>
      <w:numFmt w:val="decimal"/>
      <w:lvlText w:val="%1"/>
      <w:lvlJc w:val="left"/>
      <w:pPr>
        <w:ind w:left="541" w:hanging="271"/>
        <w:jc w:val="left"/>
      </w:pPr>
      <w:rPr>
        <w:rFonts w:hint="default"/>
      </w:rPr>
    </w:lvl>
    <w:lvl w:ilvl="1">
      <w:start w:val="4"/>
      <w:numFmt w:val="decimal"/>
      <w:lvlText w:val="%1.%2"/>
      <w:lvlJc w:val="left"/>
      <w:pPr>
        <w:ind w:left="541" w:hanging="271"/>
        <w:jc w:val="left"/>
      </w:pPr>
      <w:rPr>
        <w:rFonts w:hint="default" w:ascii="Times New Roman" w:hAnsi="Times New Roman" w:eastAsia="Times New Roman" w:cs="Times New Roman"/>
        <w:b/>
        <w:bCs/>
        <w:spacing w:val="-2"/>
        <w:w w:val="100"/>
        <w:sz w:val="18"/>
        <w:szCs w:val="18"/>
      </w:rPr>
    </w:lvl>
    <w:lvl w:ilvl="2">
      <w:start w:val="1"/>
      <w:numFmt w:val="bullet"/>
      <w:lvlText w:val="•"/>
      <w:lvlJc w:val="left"/>
      <w:pPr>
        <w:ind w:left="1600" w:hanging="271"/>
      </w:pPr>
      <w:rPr>
        <w:rFonts w:hint="default"/>
      </w:rPr>
    </w:lvl>
    <w:lvl w:ilvl="3">
      <w:start w:val="1"/>
      <w:numFmt w:val="bullet"/>
      <w:lvlText w:val="•"/>
      <w:lvlJc w:val="left"/>
      <w:pPr>
        <w:ind w:left="2130" w:hanging="271"/>
      </w:pPr>
      <w:rPr>
        <w:rFonts w:hint="default"/>
      </w:rPr>
    </w:lvl>
    <w:lvl w:ilvl="4">
      <w:start w:val="1"/>
      <w:numFmt w:val="bullet"/>
      <w:lvlText w:val="•"/>
      <w:lvlJc w:val="left"/>
      <w:pPr>
        <w:ind w:left="2660" w:hanging="271"/>
      </w:pPr>
      <w:rPr>
        <w:rFonts w:hint="default"/>
      </w:rPr>
    </w:lvl>
    <w:lvl w:ilvl="5">
      <w:start w:val="1"/>
      <w:numFmt w:val="bullet"/>
      <w:lvlText w:val="•"/>
      <w:lvlJc w:val="left"/>
      <w:pPr>
        <w:ind w:left="3191" w:hanging="271"/>
      </w:pPr>
      <w:rPr>
        <w:rFonts w:hint="default"/>
      </w:rPr>
    </w:lvl>
    <w:lvl w:ilvl="6">
      <w:start w:val="1"/>
      <w:numFmt w:val="bullet"/>
      <w:lvlText w:val="•"/>
      <w:lvlJc w:val="left"/>
      <w:pPr>
        <w:ind w:left="3721" w:hanging="271"/>
      </w:pPr>
      <w:rPr>
        <w:rFonts w:hint="default"/>
      </w:rPr>
    </w:lvl>
    <w:lvl w:ilvl="7">
      <w:start w:val="1"/>
      <w:numFmt w:val="bullet"/>
      <w:lvlText w:val="•"/>
      <w:lvlJc w:val="left"/>
      <w:pPr>
        <w:ind w:left="4251" w:hanging="271"/>
      </w:pPr>
      <w:rPr>
        <w:rFonts w:hint="default"/>
      </w:rPr>
    </w:lvl>
    <w:lvl w:ilvl="8">
      <w:start w:val="1"/>
      <w:numFmt w:val="bullet"/>
      <w:lvlText w:val="•"/>
      <w:lvlJc w:val="left"/>
      <w:pPr>
        <w:ind w:left="4781" w:hanging="271"/>
      </w:pPr>
      <w:rPr>
        <w:rFonts w:hint="default"/>
      </w:rPr>
    </w:lvl>
  </w:abstractNum>
  <w:abstractNum w:abstractNumId="44">
    <w:multiLevelType w:val="hybridMultilevel"/>
    <w:lvl w:ilvl="0">
      <w:start w:val="2"/>
      <w:numFmt w:val="decimal"/>
      <w:lvlText w:val="%1"/>
      <w:lvlJc w:val="left"/>
      <w:pPr>
        <w:ind w:left="675" w:hanging="405"/>
        <w:jc w:val="left"/>
      </w:pPr>
      <w:rPr>
        <w:rFonts w:hint="default"/>
      </w:rPr>
    </w:lvl>
    <w:lvl w:ilvl="1">
      <w:start w:val="1"/>
      <w:numFmt w:val="decimal"/>
      <w:lvlText w:val="%1.%2"/>
      <w:lvlJc w:val="left"/>
      <w:pPr>
        <w:ind w:left="675" w:hanging="405"/>
        <w:jc w:val="left"/>
      </w:pPr>
      <w:rPr>
        <w:rFonts w:hint="default"/>
      </w:rPr>
    </w:lvl>
    <w:lvl w:ilvl="2">
      <w:start w:val="1"/>
      <w:numFmt w:val="decimal"/>
      <w:lvlText w:val="%1.%2.%3"/>
      <w:lvlJc w:val="left"/>
      <w:pPr>
        <w:ind w:left="675" w:hanging="405"/>
        <w:jc w:val="left"/>
      </w:pPr>
      <w:rPr>
        <w:rFonts w:hint="default"/>
        <w:u w:val="single" w:color="000000"/>
      </w:rPr>
    </w:lvl>
    <w:lvl w:ilvl="3">
      <w:start w:val="1"/>
      <w:numFmt w:val="bullet"/>
      <w:lvlText w:val="•"/>
      <w:lvlJc w:val="left"/>
      <w:pPr>
        <w:ind w:left="2228" w:hanging="405"/>
      </w:pPr>
      <w:rPr>
        <w:rFonts w:hint="default"/>
      </w:rPr>
    </w:lvl>
    <w:lvl w:ilvl="4">
      <w:start w:val="1"/>
      <w:numFmt w:val="bullet"/>
      <w:lvlText w:val="•"/>
      <w:lvlJc w:val="left"/>
      <w:pPr>
        <w:ind w:left="2744" w:hanging="405"/>
      </w:pPr>
      <w:rPr>
        <w:rFonts w:hint="default"/>
      </w:rPr>
    </w:lvl>
    <w:lvl w:ilvl="5">
      <w:start w:val="1"/>
      <w:numFmt w:val="bullet"/>
      <w:lvlText w:val="•"/>
      <w:lvlJc w:val="left"/>
      <w:pPr>
        <w:ind w:left="3261" w:hanging="405"/>
      </w:pPr>
      <w:rPr>
        <w:rFonts w:hint="default"/>
      </w:rPr>
    </w:lvl>
    <w:lvl w:ilvl="6">
      <w:start w:val="1"/>
      <w:numFmt w:val="bullet"/>
      <w:lvlText w:val="•"/>
      <w:lvlJc w:val="left"/>
      <w:pPr>
        <w:ind w:left="3777" w:hanging="405"/>
      </w:pPr>
      <w:rPr>
        <w:rFonts w:hint="default"/>
      </w:rPr>
    </w:lvl>
    <w:lvl w:ilvl="7">
      <w:start w:val="1"/>
      <w:numFmt w:val="bullet"/>
      <w:lvlText w:val="•"/>
      <w:lvlJc w:val="left"/>
      <w:pPr>
        <w:ind w:left="4293" w:hanging="405"/>
      </w:pPr>
      <w:rPr>
        <w:rFonts w:hint="default"/>
      </w:rPr>
    </w:lvl>
    <w:lvl w:ilvl="8">
      <w:start w:val="1"/>
      <w:numFmt w:val="bullet"/>
      <w:lvlText w:val="•"/>
      <w:lvlJc w:val="left"/>
      <w:pPr>
        <w:ind w:left="4809" w:hanging="405"/>
      </w:pPr>
      <w:rPr>
        <w:rFonts w:hint="default"/>
      </w:rPr>
    </w:lvl>
  </w:abstractNum>
  <w:abstractNum w:abstractNumId="43">
    <w:multiLevelType w:val="hybridMultilevel"/>
    <w:lvl w:ilvl="0">
      <w:start w:val="1"/>
      <w:numFmt w:val="bullet"/>
      <w:lvlText w:val=""/>
      <w:lvlJc w:val="left"/>
      <w:pPr>
        <w:ind w:left="696" w:hanging="360"/>
      </w:pPr>
      <w:rPr>
        <w:rFonts w:hint="default" w:ascii="Symbol" w:hAnsi="Symbol" w:eastAsia="Symbol" w:cs="Symbol"/>
        <w:w w:val="99"/>
        <w:sz w:val="18"/>
        <w:szCs w:val="18"/>
      </w:rPr>
    </w:lvl>
    <w:lvl w:ilvl="1">
      <w:start w:val="1"/>
      <w:numFmt w:val="bullet"/>
      <w:lvlText w:val="•"/>
      <w:lvlJc w:val="left"/>
      <w:pPr>
        <w:ind w:left="1146" w:hanging="360"/>
      </w:pPr>
      <w:rPr>
        <w:rFonts w:hint="default"/>
      </w:rPr>
    </w:lvl>
    <w:lvl w:ilvl="2">
      <w:start w:val="1"/>
      <w:numFmt w:val="bullet"/>
      <w:lvlText w:val="•"/>
      <w:lvlJc w:val="left"/>
      <w:pPr>
        <w:ind w:left="1592" w:hanging="360"/>
      </w:pPr>
      <w:rPr>
        <w:rFonts w:hint="default"/>
      </w:rPr>
    </w:lvl>
    <w:lvl w:ilvl="3">
      <w:start w:val="1"/>
      <w:numFmt w:val="bullet"/>
      <w:lvlText w:val="•"/>
      <w:lvlJc w:val="left"/>
      <w:pPr>
        <w:ind w:left="2038" w:hanging="360"/>
      </w:pPr>
      <w:rPr>
        <w:rFonts w:hint="default"/>
      </w:rPr>
    </w:lvl>
    <w:lvl w:ilvl="4">
      <w:start w:val="1"/>
      <w:numFmt w:val="bullet"/>
      <w:lvlText w:val="•"/>
      <w:lvlJc w:val="left"/>
      <w:pPr>
        <w:ind w:left="2484" w:hanging="360"/>
      </w:pPr>
      <w:rPr>
        <w:rFonts w:hint="default"/>
      </w:rPr>
    </w:lvl>
    <w:lvl w:ilvl="5">
      <w:start w:val="1"/>
      <w:numFmt w:val="bullet"/>
      <w:lvlText w:val="•"/>
      <w:lvlJc w:val="left"/>
      <w:pPr>
        <w:ind w:left="2931" w:hanging="360"/>
      </w:pPr>
      <w:rPr>
        <w:rFonts w:hint="default"/>
      </w:rPr>
    </w:lvl>
    <w:lvl w:ilvl="6">
      <w:start w:val="1"/>
      <w:numFmt w:val="bullet"/>
      <w:lvlText w:val="•"/>
      <w:lvlJc w:val="left"/>
      <w:pPr>
        <w:ind w:left="3377" w:hanging="360"/>
      </w:pPr>
      <w:rPr>
        <w:rFonts w:hint="default"/>
      </w:rPr>
    </w:lvl>
    <w:lvl w:ilvl="7">
      <w:start w:val="1"/>
      <w:numFmt w:val="bullet"/>
      <w:lvlText w:val="•"/>
      <w:lvlJc w:val="left"/>
      <w:pPr>
        <w:ind w:left="3823" w:hanging="360"/>
      </w:pPr>
      <w:rPr>
        <w:rFonts w:hint="default"/>
      </w:rPr>
    </w:lvl>
    <w:lvl w:ilvl="8">
      <w:start w:val="1"/>
      <w:numFmt w:val="bullet"/>
      <w:lvlText w:val="•"/>
      <w:lvlJc w:val="left"/>
      <w:pPr>
        <w:ind w:left="4269" w:hanging="360"/>
      </w:pPr>
      <w:rPr>
        <w:rFonts w:hint="default"/>
      </w:rPr>
    </w:lvl>
  </w:abstractNum>
  <w:abstractNum w:abstractNumId="42">
    <w:multiLevelType w:val="hybridMultilevel"/>
    <w:lvl w:ilvl="0">
      <w:start w:val="1"/>
      <w:numFmt w:val="decimal"/>
      <w:lvlText w:val="%1"/>
      <w:lvlJc w:val="left"/>
      <w:pPr>
        <w:ind w:left="541" w:hanging="271"/>
        <w:jc w:val="left"/>
      </w:pPr>
      <w:rPr>
        <w:rFonts w:hint="default"/>
      </w:rPr>
    </w:lvl>
    <w:lvl w:ilvl="1">
      <w:start w:val="1"/>
      <w:numFmt w:val="decimal"/>
      <w:lvlText w:val="%1.%2"/>
      <w:lvlJc w:val="left"/>
      <w:pPr>
        <w:ind w:left="541" w:hanging="271"/>
        <w:jc w:val="left"/>
      </w:pPr>
      <w:rPr>
        <w:rFonts w:hint="default" w:ascii="Times New Roman" w:hAnsi="Times New Roman" w:eastAsia="Times New Roman" w:cs="Times New Roman"/>
        <w:b/>
        <w:bCs/>
        <w:spacing w:val="-2"/>
        <w:w w:val="100"/>
        <w:sz w:val="18"/>
        <w:szCs w:val="18"/>
      </w:rPr>
    </w:lvl>
    <w:lvl w:ilvl="2">
      <w:start w:val="1"/>
      <w:numFmt w:val="decimal"/>
      <w:lvlText w:val="%1.%2.%3"/>
      <w:lvlJc w:val="left"/>
      <w:pPr>
        <w:ind w:left="990" w:hanging="708"/>
        <w:jc w:val="left"/>
      </w:pPr>
      <w:rPr>
        <w:rFonts w:hint="default" w:ascii="Times New Roman" w:hAnsi="Times New Roman" w:eastAsia="Times New Roman" w:cs="Times New Roman"/>
        <w:spacing w:val="-9"/>
        <w:w w:val="100"/>
        <w:sz w:val="18"/>
        <w:szCs w:val="18"/>
      </w:rPr>
    </w:lvl>
    <w:lvl w:ilvl="3">
      <w:start w:val="1"/>
      <w:numFmt w:val="bullet"/>
      <w:lvlText w:val="•"/>
      <w:lvlJc w:val="left"/>
      <w:pPr>
        <w:ind w:left="681" w:hanging="708"/>
      </w:pPr>
      <w:rPr>
        <w:rFonts w:hint="default"/>
      </w:rPr>
    </w:lvl>
    <w:lvl w:ilvl="4">
      <w:start w:val="1"/>
      <w:numFmt w:val="bullet"/>
      <w:lvlText w:val="•"/>
      <w:lvlJc w:val="left"/>
      <w:pPr>
        <w:ind w:left="521" w:hanging="708"/>
      </w:pPr>
      <w:rPr>
        <w:rFonts w:hint="default"/>
      </w:rPr>
    </w:lvl>
    <w:lvl w:ilvl="5">
      <w:start w:val="1"/>
      <w:numFmt w:val="bullet"/>
      <w:lvlText w:val="•"/>
      <w:lvlJc w:val="left"/>
      <w:pPr>
        <w:ind w:left="362" w:hanging="708"/>
      </w:pPr>
      <w:rPr>
        <w:rFonts w:hint="default"/>
      </w:rPr>
    </w:lvl>
    <w:lvl w:ilvl="6">
      <w:start w:val="1"/>
      <w:numFmt w:val="bullet"/>
      <w:lvlText w:val="•"/>
      <w:lvlJc w:val="left"/>
      <w:pPr>
        <w:ind w:left="202" w:hanging="708"/>
      </w:pPr>
      <w:rPr>
        <w:rFonts w:hint="default"/>
      </w:rPr>
    </w:lvl>
    <w:lvl w:ilvl="7">
      <w:start w:val="1"/>
      <w:numFmt w:val="bullet"/>
      <w:lvlText w:val="•"/>
      <w:lvlJc w:val="left"/>
      <w:pPr>
        <w:ind w:left="43" w:hanging="708"/>
      </w:pPr>
      <w:rPr>
        <w:rFonts w:hint="default"/>
      </w:rPr>
    </w:lvl>
    <w:lvl w:ilvl="8">
      <w:start w:val="1"/>
      <w:numFmt w:val="bullet"/>
      <w:lvlText w:val="•"/>
      <w:lvlJc w:val="left"/>
      <w:pPr>
        <w:ind w:left="-117" w:hanging="708"/>
      </w:pPr>
      <w:rPr>
        <w:rFonts w:hint="default"/>
      </w:rPr>
    </w:lvl>
  </w:abstractNum>
  <w:abstractNum w:abstractNumId="41">
    <w:multiLevelType w:val="hybridMultilevel"/>
    <w:lvl w:ilvl="0">
      <w:start w:val="3"/>
      <w:numFmt w:val="upperLetter"/>
      <w:lvlText w:val="%1"/>
      <w:lvlJc w:val="left"/>
      <w:pPr>
        <w:ind w:left="270" w:hanging="558"/>
        <w:jc w:val="left"/>
      </w:pPr>
      <w:rPr>
        <w:rFonts w:hint="default"/>
      </w:rPr>
    </w:lvl>
    <w:lvl w:ilvl="1">
      <w:start w:val="16"/>
      <w:numFmt w:val="upperLetter"/>
      <w:lvlText w:val="%1.%2."/>
      <w:lvlJc w:val="left"/>
      <w:pPr>
        <w:ind w:left="270" w:hanging="558"/>
        <w:jc w:val="left"/>
      </w:pPr>
      <w:rPr>
        <w:rFonts w:hint="default" w:ascii="Times New Roman" w:hAnsi="Times New Roman" w:eastAsia="Times New Roman" w:cs="Times New Roman"/>
        <w:spacing w:val="-21"/>
        <w:w w:val="100"/>
        <w:sz w:val="18"/>
        <w:szCs w:val="18"/>
      </w:rPr>
    </w:lvl>
    <w:lvl w:ilvl="2">
      <w:start w:val="1"/>
      <w:numFmt w:val="decimal"/>
      <w:lvlText w:val="%3."/>
      <w:lvlJc w:val="left"/>
      <w:pPr>
        <w:ind w:left="978" w:hanging="348"/>
        <w:jc w:val="right"/>
      </w:pPr>
      <w:rPr>
        <w:rFonts w:hint="default"/>
        <w:b/>
        <w:bCs/>
        <w:w w:val="100"/>
      </w:rPr>
    </w:lvl>
    <w:lvl w:ilvl="3">
      <w:start w:val="1"/>
      <w:numFmt w:val="decimal"/>
      <w:lvlText w:val="%3.%4"/>
      <w:lvlJc w:val="left"/>
      <w:pPr>
        <w:ind w:left="541" w:hanging="271"/>
        <w:jc w:val="left"/>
      </w:pPr>
      <w:rPr>
        <w:rFonts w:hint="default" w:ascii="Times New Roman" w:hAnsi="Times New Roman" w:eastAsia="Times New Roman" w:cs="Times New Roman"/>
        <w:b/>
        <w:bCs/>
        <w:spacing w:val="-2"/>
        <w:w w:val="100"/>
        <w:sz w:val="18"/>
        <w:szCs w:val="18"/>
      </w:rPr>
    </w:lvl>
    <w:lvl w:ilvl="4">
      <w:start w:val="1"/>
      <w:numFmt w:val="bullet"/>
      <w:lvlText w:val="•"/>
      <w:lvlJc w:val="left"/>
      <w:pPr>
        <w:ind w:left="2025" w:hanging="271"/>
      </w:pPr>
      <w:rPr>
        <w:rFonts w:hint="default"/>
      </w:rPr>
    </w:lvl>
    <w:lvl w:ilvl="5">
      <w:start w:val="1"/>
      <w:numFmt w:val="bullet"/>
      <w:lvlText w:val="•"/>
      <w:lvlJc w:val="left"/>
      <w:pPr>
        <w:ind w:left="2548" w:hanging="271"/>
      </w:pPr>
      <w:rPr>
        <w:rFonts w:hint="default"/>
      </w:rPr>
    </w:lvl>
    <w:lvl w:ilvl="6">
      <w:start w:val="1"/>
      <w:numFmt w:val="bullet"/>
      <w:lvlText w:val="•"/>
      <w:lvlJc w:val="left"/>
      <w:pPr>
        <w:ind w:left="3071" w:hanging="271"/>
      </w:pPr>
      <w:rPr>
        <w:rFonts w:hint="default"/>
      </w:rPr>
    </w:lvl>
    <w:lvl w:ilvl="7">
      <w:start w:val="1"/>
      <w:numFmt w:val="bullet"/>
      <w:lvlText w:val="•"/>
      <w:lvlJc w:val="left"/>
      <w:pPr>
        <w:ind w:left="3593" w:hanging="271"/>
      </w:pPr>
      <w:rPr>
        <w:rFonts w:hint="default"/>
      </w:rPr>
    </w:lvl>
    <w:lvl w:ilvl="8">
      <w:start w:val="1"/>
      <w:numFmt w:val="bullet"/>
      <w:lvlText w:val="•"/>
      <w:lvlJc w:val="left"/>
      <w:pPr>
        <w:ind w:left="4116" w:hanging="271"/>
      </w:pPr>
      <w:rPr>
        <w:rFonts w:hint="default"/>
      </w:rPr>
    </w:lvl>
  </w:abstractNum>
  <w:abstractNum w:abstractNumId="40">
    <w:multiLevelType w:val="hybridMultilevel"/>
    <w:lvl w:ilvl="0">
      <w:start w:val="1"/>
      <w:numFmt w:val="bullet"/>
      <w:lvlText w:val=""/>
      <w:lvlJc w:val="left"/>
      <w:pPr>
        <w:ind w:left="630" w:hanging="360"/>
      </w:pPr>
      <w:rPr>
        <w:rFonts w:hint="default" w:ascii="Symbol" w:hAnsi="Symbol" w:eastAsia="Symbol" w:cs="Symbol"/>
        <w:w w:val="99"/>
        <w:sz w:val="18"/>
        <w:szCs w:val="18"/>
      </w:rPr>
    </w:lvl>
    <w:lvl w:ilvl="1">
      <w:start w:val="1"/>
      <w:numFmt w:val="bullet"/>
      <w:lvlText w:val="•"/>
      <w:lvlJc w:val="left"/>
      <w:pPr>
        <w:ind w:left="1167" w:hanging="360"/>
      </w:pPr>
      <w:rPr>
        <w:rFonts w:hint="default"/>
      </w:rPr>
    </w:lvl>
    <w:lvl w:ilvl="2">
      <w:start w:val="1"/>
      <w:numFmt w:val="bullet"/>
      <w:lvlText w:val="•"/>
      <w:lvlJc w:val="left"/>
      <w:pPr>
        <w:ind w:left="1695" w:hanging="360"/>
      </w:pPr>
      <w:rPr>
        <w:rFonts w:hint="default"/>
      </w:rPr>
    </w:lvl>
    <w:lvl w:ilvl="3">
      <w:start w:val="1"/>
      <w:numFmt w:val="bullet"/>
      <w:lvlText w:val="•"/>
      <w:lvlJc w:val="left"/>
      <w:pPr>
        <w:ind w:left="2223" w:hanging="360"/>
      </w:pPr>
      <w:rPr>
        <w:rFonts w:hint="default"/>
      </w:rPr>
    </w:lvl>
    <w:lvl w:ilvl="4">
      <w:start w:val="1"/>
      <w:numFmt w:val="bullet"/>
      <w:lvlText w:val="•"/>
      <w:lvlJc w:val="left"/>
      <w:pPr>
        <w:ind w:left="2751" w:hanging="360"/>
      </w:pPr>
      <w:rPr>
        <w:rFonts w:hint="default"/>
      </w:rPr>
    </w:lvl>
    <w:lvl w:ilvl="5">
      <w:start w:val="1"/>
      <w:numFmt w:val="bullet"/>
      <w:lvlText w:val="•"/>
      <w:lvlJc w:val="left"/>
      <w:pPr>
        <w:ind w:left="3278" w:hanging="360"/>
      </w:pPr>
      <w:rPr>
        <w:rFonts w:hint="default"/>
      </w:rPr>
    </w:lvl>
    <w:lvl w:ilvl="6">
      <w:start w:val="1"/>
      <w:numFmt w:val="bullet"/>
      <w:lvlText w:val="•"/>
      <w:lvlJc w:val="left"/>
      <w:pPr>
        <w:ind w:left="3806" w:hanging="360"/>
      </w:pPr>
      <w:rPr>
        <w:rFonts w:hint="default"/>
      </w:rPr>
    </w:lvl>
    <w:lvl w:ilvl="7">
      <w:start w:val="1"/>
      <w:numFmt w:val="bullet"/>
      <w:lvlText w:val="•"/>
      <w:lvlJc w:val="left"/>
      <w:pPr>
        <w:ind w:left="4334" w:hanging="360"/>
      </w:pPr>
      <w:rPr>
        <w:rFonts w:hint="default"/>
      </w:rPr>
    </w:lvl>
    <w:lvl w:ilvl="8">
      <w:start w:val="1"/>
      <w:numFmt w:val="bullet"/>
      <w:lvlText w:val="•"/>
      <w:lvlJc w:val="left"/>
      <w:pPr>
        <w:ind w:left="4862" w:hanging="360"/>
      </w:pPr>
      <w:rPr>
        <w:rFonts w:hint="default"/>
      </w:rPr>
    </w:lvl>
  </w:abstractNum>
  <w:abstractNum w:abstractNumId="39">
    <w:multiLevelType w:val="hybridMultilevel"/>
    <w:lvl w:ilvl="0">
      <w:start w:val="1"/>
      <w:numFmt w:val="decimal"/>
      <w:lvlText w:val="%1."/>
      <w:lvlJc w:val="left"/>
      <w:pPr>
        <w:ind w:left="451" w:hanging="182"/>
        <w:jc w:val="right"/>
      </w:pPr>
      <w:rPr>
        <w:rFonts w:hint="default" w:ascii="Times New Roman" w:hAnsi="Times New Roman" w:eastAsia="Times New Roman" w:cs="Times New Roman"/>
        <w:b/>
        <w:bCs/>
        <w:spacing w:val="-1"/>
        <w:w w:val="100"/>
        <w:sz w:val="18"/>
        <w:szCs w:val="18"/>
      </w:rPr>
    </w:lvl>
    <w:lvl w:ilvl="1">
      <w:start w:val="1"/>
      <w:numFmt w:val="bullet"/>
      <w:lvlText w:val=""/>
      <w:lvlJc w:val="left"/>
      <w:pPr>
        <w:ind w:left="990" w:hanging="348"/>
      </w:pPr>
      <w:rPr>
        <w:rFonts w:hint="default" w:ascii="Symbol" w:hAnsi="Symbol" w:eastAsia="Symbol" w:cs="Symbol"/>
        <w:w w:val="99"/>
        <w:sz w:val="18"/>
        <w:szCs w:val="18"/>
      </w:rPr>
    </w:lvl>
    <w:lvl w:ilvl="2">
      <w:start w:val="1"/>
      <w:numFmt w:val="bullet"/>
      <w:lvlText w:val="•"/>
      <w:lvlJc w:val="left"/>
      <w:pPr>
        <w:ind w:left="1462" w:hanging="348"/>
      </w:pPr>
      <w:rPr>
        <w:rFonts w:hint="default"/>
      </w:rPr>
    </w:lvl>
    <w:lvl w:ilvl="3">
      <w:start w:val="1"/>
      <w:numFmt w:val="bullet"/>
      <w:lvlText w:val="•"/>
      <w:lvlJc w:val="left"/>
      <w:pPr>
        <w:ind w:left="1925" w:hanging="348"/>
      </w:pPr>
      <w:rPr>
        <w:rFonts w:hint="default"/>
      </w:rPr>
    </w:lvl>
    <w:lvl w:ilvl="4">
      <w:start w:val="1"/>
      <w:numFmt w:val="bullet"/>
      <w:lvlText w:val="•"/>
      <w:lvlJc w:val="left"/>
      <w:pPr>
        <w:ind w:left="2387" w:hanging="348"/>
      </w:pPr>
      <w:rPr>
        <w:rFonts w:hint="default"/>
      </w:rPr>
    </w:lvl>
    <w:lvl w:ilvl="5">
      <w:start w:val="1"/>
      <w:numFmt w:val="bullet"/>
      <w:lvlText w:val="•"/>
      <w:lvlJc w:val="left"/>
      <w:pPr>
        <w:ind w:left="2850" w:hanging="348"/>
      </w:pPr>
      <w:rPr>
        <w:rFonts w:hint="default"/>
      </w:rPr>
    </w:lvl>
    <w:lvl w:ilvl="6">
      <w:start w:val="1"/>
      <w:numFmt w:val="bullet"/>
      <w:lvlText w:val="•"/>
      <w:lvlJc w:val="left"/>
      <w:pPr>
        <w:ind w:left="3312" w:hanging="348"/>
      </w:pPr>
      <w:rPr>
        <w:rFonts w:hint="default"/>
      </w:rPr>
    </w:lvl>
    <w:lvl w:ilvl="7">
      <w:start w:val="1"/>
      <w:numFmt w:val="bullet"/>
      <w:lvlText w:val="•"/>
      <w:lvlJc w:val="left"/>
      <w:pPr>
        <w:ind w:left="3775" w:hanging="348"/>
      </w:pPr>
      <w:rPr>
        <w:rFonts w:hint="default"/>
      </w:rPr>
    </w:lvl>
    <w:lvl w:ilvl="8">
      <w:start w:val="1"/>
      <w:numFmt w:val="bullet"/>
      <w:lvlText w:val="•"/>
      <w:lvlJc w:val="left"/>
      <w:pPr>
        <w:ind w:left="4238" w:hanging="348"/>
      </w:pPr>
      <w:rPr>
        <w:rFonts w:hint="default"/>
      </w:rPr>
    </w:lvl>
  </w:abstractNum>
  <w:abstractNum w:abstractNumId="38">
    <w:multiLevelType w:val="hybridMultilevel"/>
    <w:lvl w:ilvl="0">
      <w:start w:val="3"/>
      <w:numFmt w:val="decimal"/>
      <w:lvlText w:val="%1"/>
      <w:lvlJc w:val="left"/>
      <w:pPr>
        <w:ind w:left="676" w:hanging="406"/>
        <w:jc w:val="left"/>
      </w:pPr>
      <w:rPr>
        <w:rFonts w:hint="default"/>
      </w:rPr>
    </w:lvl>
    <w:lvl w:ilvl="1">
      <w:start w:val="1"/>
      <w:numFmt w:val="decimal"/>
      <w:lvlText w:val="%1.%2"/>
      <w:lvlJc w:val="left"/>
      <w:pPr>
        <w:ind w:left="676" w:hanging="406"/>
        <w:jc w:val="left"/>
      </w:pPr>
      <w:rPr>
        <w:rFonts w:hint="default"/>
      </w:rPr>
    </w:lvl>
    <w:lvl w:ilvl="2">
      <w:start w:val="1"/>
      <w:numFmt w:val="decimal"/>
      <w:lvlText w:val="%1.%2.%3"/>
      <w:lvlJc w:val="left"/>
      <w:pPr>
        <w:ind w:left="676" w:hanging="406"/>
        <w:jc w:val="left"/>
      </w:pPr>
      <w:rPr>
        <w:rFonts w:hint="default" w:ascii="Times New Roman" w:hAnsi="Times New Roman" w:eastAsia="Times New Roman" w:cs="Times New Roman"/>
        <w:color w:val="212121"/>
        <w:w w:val="100"/>
        <w:sz w:val="18"/>
        <w:szCs w:val="18"/>
      </w:rPr>
    </w:lvl>
    <w:lvl w:ilvl="3">
      <w:start w:val="1"/>
      <w:numFmt w:val="bullet"/>
      <w:lvlText w:val="•"/>
      <w:lvlJc w:val="left"/>
      <w:pPr>
        <w:ind w:left="2228" w:hanging="406"/>
      </w:pPr>
      <w:rPr>
        <w:rFonts w:hint="default"/>
      </w:rPr>
    </w:lvl>
    <w:lvl w:ilvl="4">
      <w:start w:val="1"/>
      <w:numFmt w:val="bullet"/>
      <w:lvlText w:val="•"/>
      <w:lvlJc w:val="left"/>
      <w:pPr>
        <w:ind w:left="2744" w:hanging="406"/>
      </w:pPr>
      <w:rPr>
        <w:rFonts w:hint="default"/>
      </w:rPr>
    </w:lvl>
    <w:lvl w:ilvl="5">
      <w:start w:val="1"/>
      <w:numFmt w:val="bullet"/>
      <w:lvlText w:val="•"/>
      <w:lvlJc w:val="left"/>
      <w:pPr>
        <w:ind w:left="3261" w:hanging="406"/>
      </w:pPr>
      <w:rPr>
        <w:rFonts w:hint="default"/>
      </w:rPr>
    </w:lvl>
    <w:lvl w:ilvl="6">
      <w:start w:val="1"/>
      <w:numFmt w:val="bullet"/>
      <w:lvlText w:val="•"/>
      <w:lvlJc w:val="left"/>
      <w:pPr>
        <w:ind w:left="3777" w:hanging="406"/>
      </w:pPr>
      <w:rPr>
        <w:rFonts w:hint="default"/>
      </w:rPr>
    </w:lvl>
    <w:lvl w:ilvl="7">
      <w:start w:val="1"/>
      <w:numFmt w:val="bullet"/>
      <w:lvlText w:val="•"/>
      <w:lvlJc w:val="left"/>
      <w:pPr>
        <w:ind w:left="4293" w:hanging="406"/>
      </w:pPr>
      <w:rPr>
        <w:rFonts w:hint="default"/>
      </w:rPr>
    </w:lvl>
    <w:lvl w:ilvl="8">
      <w:start w:val="1"/>
      <w:numFmt w:val="bullet"/>
      <w:lvlText w:val="•"/>
      <w:lvlJc w:val="left"/>
      <w:pPr>
        <w:ind w:left="4809" w:hanging="406"/>
      </w:pPr>
      <w:rPr>
        <w:rFonts w:hint="default"/>
      </w:rPr>
    </w:lvl>
  </w:abstractNum>
  <w:abstractNum w:abstractNumId="37">
    <w:multiLevelType w:val="hybridMultilevel"/>
    <w:lvl w:ilvl="0">
      <w:start w:val="1"/>
      <w:numFmt w:val="bullet"/>
      <w:lvlText w:val="•"/>
      <w:lvlJc w:val="left"/>
      <w:pPr>
        <w:ind w:left="5976" w:hanging="108"/>
      </w:pPr>
      <w:rPr>
        <w:rFonts w:hint="default" w:ascii="Times New Roman" w:hAnsi="Times New Roman" w:eastAsia="Times New Roman" w:cs="Times New Roman"/>
        <w:color w:val="212121"/>
        <w:spacing w:val="-2"/>
        <w:w w:val="100"/>
        <w:sz w:val="18"/>
        <w:szCs w:val="18"/>
      </w:rPr>
    </w:lvl>
    <w:lvl w:ilvl="1">
      <w:start w:val="1"/>
      <w:numFmt w:val="bullet"/>
      <w:lvlText w:val="•"/>
      <w:lvlJc w:val="left"/>
      <w:pPr>
        <w:ind w:left="6526" w:hanging="108"/>
      </w:pPr>
      <w:rPr>
        <w:rFonts w:hint="default"/>
      </w:rPr>
    </w:lvl>
    <w:lvl w:ilvl="2">
      <w:start w:val="1"/>
      <w:numFmt w:val="bullet"/>
      <w:lvlText w:val="•"/>
      <w:lvlJc w:val="left"/>
      <w:pPr>
        <w:ind w:left="7072" w:hanging="108"/>
      </w:pPr>
      <w:rPr>
        <w:rFonts w:hint="default"/>
      </w:rPr>
    </w:lvl>
    <w:lvl w:ilvl="3">
      <w:start w:val="1"/>
      <w:numFmt w:val="bullet"/>
      <w:lvlText w:val="•"/>
      <w:lvlJc w:val="left"/>
      <w:pPr>
        <w:ind w:left="7618" w:hanging="108"/>
      </w:pPr>
      <w:rPr>
        <w:rFonts w:hint="default"/>
      </w:rPr>
    </w:lvl>
    <w:lvl w:ilvl="4">
      <w:start w:val="1"/>
      <w:numFmt w:val="bullet"/>
      <w:lvlText w:val="•"/>
      <w:lvlJc w:val="left"/>
      <w:pPr>
        <w:ind w:left="8164" w:hanging="108"/>
      </w:pPr>
      <w:rPr>
        <w:rFonts w:hint="default"/>
      </w:rPr>
    </w:lvl>
    <w:lvl w:ilvl="5">
      <w:start w:val="1"/>
      <w:numFmt w:val="bullet"/>
      <w:lvlText w:val="•"/>
      <w:lvlJc w:val="left"/>
      <w:pPr>
        <w:ind w:left="8710" w:hanging="108"/>
      </w:pPr>
      <w:rPr>
        <w:rFonts w:hint="default"/>
      </w:rPr>
    </w:lvl>
    <w:lvl w:ilvl="6">
      <w:start w:val="1"/>
      <w:numFmt w:val="bullet"/>
      <w:lvlText w:val="•"/>
      <w:lvlJc w:val="left"/>
      <w:pPr>
        <w:ind w:left="9256" w:hanging="108"/>
      </w:pPr>
      <w:rPr>
        <w:rFonts w:hint="default"/>
      </w:rPr>
    </w:lvl>
    <w:lvl w:ilvl="7">
      <w:start w:val="1"/>
      <w:numFmt w:val="bullet"/>
      <w:lvlText w:val="•"/>
      <w:lvlJc w:val="left"/>
      <w:pPr>
        <w:ind w:left="9802" w:hanging="108"/>
      </w:pPr>
      <w:rPr>
        <w:rFonts w:hint="default"/>
      </w:rPr>
    </w:lvl>
    <w:lvl w:ilvl="8">
      <w:start w:val="1"/>
      <w:numFmt w:val="bullet"/>
      <w:lvlText w:val="•"/>
      <w:lvlJc w:val="left"/>
      <w:pPr>
        <w:ind w:left="10348" w:hanging="108"/>
      </w:pPr>
      <w:rPr>
        <w:rFonts w:hint="default"/>
      </w:rPr>
    </w:lvl>
  </w:abstractNum>
  <w:abstractNum w:abstractNumId="36">
    <w:multiLevelType w:val="hybridMultilevel"/>
    <w:lvl w:ilvl="0">
      <w:start w:val="1"/>
      <w:numFmt w:val="decimal"/>
      <w:lvlText w:val="%1."/>
      <w:lvlJc w:val="left"/>
      <w:pPr>
        <w:ind w:left="451" w:hanging="181"/>
        <w:jc w:val="right"/>
      </w:pPr>
      <w:rPr>
        <w:rFonts w:hint="default" w:ascii="Times New Roman" w:hAnsi="Times New Roman" w:eastAsia="Times New Roman" w:cs="Times New Roman"/>
        <w:b/>
        <w:bCs/>
        <w:w w:val="100"/>
        <w:sz w:val="18"/>
        <w:szCs w:val="18"/>
      </w:rPr>
    </w:lvl>
    <w:lvl w:ilvl="1">
      <w:start w:val="1"/>
      <w:numFmt w:val="decimal"/>
      <w:lvlText w:val="%1.%2"/>
      <w:lvlJc w:val="left"/>
      <w:pPr>
        <w:ind w:left="630" w:hanging="360"/>
        <w:jc w:val="left"/>
      </w:pPr>
      <w:rPr>
        <w:rFonts w:hint="default" w:ascii="Times New Roman" w:hAnsi="Times New Roman" w:eastAsia="Times New Roman" w:cs="Times New Roman"/>
        <w:b/>
        <w:bCs/>
        <w:spacing w:val="-1"/>
        <w:w w:val="100"/>
        <w:sz w:val="18"/>
        <w:szCs w:val="18"/>
      </w:rPr>
    </w:lvl>
    <w:lvl w:ilvl="2">
      <w:start w:val="1"/>
      <w:numFmt w:val="bullet"/>
      <w:lvlText w:val="➢"/>
      <w:lvlJc w:val="left"/>
      <w:pPr>
        <w:ind w:left="555" w:hanging="567"/>
      </w:pPr>
      <w:rPr>
        <w:rFonts w:hint="default"/>
        <w:w w:val="82"/>
      </w:rPr>
    </w:lvl>
    <w:lvl w:ilvl="3">
      <w:start w:val="1"/>
      <w:numFmt w:val="bullet"/>
      <w:lvlText w:val="•"/>
      <w:lvlJc w:val="left"/>
      <w:pPr>
        <w:ind w:left="640" w:hanging="567"/>
      </w:pPr>
      <w:rPr>
        <w:rFonts w:hint="default"/>
      </w:rPr>
    </w:lvl>
    <w:lvl w:ilvl="4">
      <w:start w:val="1"/>
      <w:numFmt w:val="bullet"/>
      <w:lvlText w:val="•"/>
      <w:lvlJc w:val="left"/>
      <w:pPr>
        <w:ind w:left="486" w:hanging="567"/>
      </w:pPr>
      <w:rPr>
        <w:rFonts w:hint="default"/>
      </w:rPr>
    </w:lvl>
    <w:lvl w:ilvl="5">
      <w:start w:val="1"/>
      <w:numFmt w:val="bullet"/>
      <w:lvlText w:val="•"/>
      <w:lvlJc w:val="left"/>
      <w:pPr>
        <w:ind w:left="332" w:hanging="567"/>
      </w:pPr>
      <w:rPr>
        <w:rFonts w:hint="default"/>
      </w:rPr>
    </w:lvl>
    <w:lvl w:ilvl="6">
      <w:start w:val="1"/>
      <w:numFmt w:val="bullet"/>
      <w:lvlText w:val="•"/>
      <w:lvlJc w:val="left"/>
      <w:pPr>
        <w:ind w:left="178" w:hanging="567"/>
      </w:pPr>
      <w:rPr>
        <w:rFonts w:hint="default"/>
      </w:rPr>
    </w:lvl>
    <w:lvl w:ilvl="7">
      <w:start w:val="1"/>
      <w:numFmt w:val="bullet"/>
      <w:lvlText w:val="•"/>
      <w:lvlJc w:val="left"/>
      <w:pPr>
        <w:ind w:left="25" w:hanging="567"/>
      </w:pPr>
      <w:rPr>
        <w:rFonts w:hint="default"/>
      </w:rPr>
    </w:lvl>
    <w:lvl w:ilvl="8">
      <w:start w:val="1"/>
      <w:numFmt w:val="bullet"/>
      <w:lvlText w:val="•"/>
      <w:lvlJc w:val="left"/>
      <w:pPr>
        <w:ind w:left="-129" w:hanging="567"/>
      </w:pPr>
      <w:rPr>
        <w:rFonts w:hint="default"/>
      </w:rPr>
    </w:lvl>
  </w:abstractNum>
  <w:abstractNum w:abstractNumId="35">
    <w:multiLevelType w:val="hybridMultilevel"/>
    <w:lvl w:ilvl="0">
      <w:start w:val="1"/>
      <w:numFmt w:val="lowerLetter"/>
      <w:lvlText w:val="%1."/>
      <w:lvlJc w:val="left"/>
      <w:pPr>
        <w:ind w:left="990" w:hanging="348"/>
        <w:jc w:val="left"/>
      </w:pPr>
      <w:rPr>
        <w:rFonts w:hint="default" w:ascii="Times New Roman" w:hAnsi="Times New Roman" w:eastAsia="Times New Roman" w:cs="Times New Roman"/>
        <w:spacing w:val="-4"/>
        <w:w w:val="100"/>
        <w:sz w:val="18"/>
        <w:szCs w:val="18"/>
      </w:rPr>
    </w:lvl>
    <w:lvl w:ilvl="1">
      <w:start w:val="1"/>
      <w:numFmt w:val="bullet"/>
      <w:lvlText w:val="•"/>
      <w:lvlJc w:val="left"/>
      <w:pPr>
        <w:ind w:left="1416" w:hanging="348"/>
      </w:pPr>
      <w:rPr>
        <w:rFonts w:hint="default"/>
      </w:rPr>
    </w:lvl>
    <w:lvl w:ilvl="2">
      <w:start w:val="1"/>
      <w:numFmt w:val="bullet"/>
      <w:lvlText w:val="•"/>
      <w:lvlJc w:val="left"/>
      <w:pPr>
        <w:ind w:left="1832" w:hanging="348"/>
      </w:pPr>
      <w:rPr>
        <w:rFonts w:hint="default"/>
      </w:rPr>
    </w:lvl>
    <w:lvl w:ilvl="3">
      <w:start w:val="1"/>
      <w:numFmt w:val="bullet"/>
      <w:lvlText w:val="•"/>
      <w:lvlJc w:val="left"/>
      <w:pPr>
        <w:ind w:left="2248" w:hanging="348"/>
      </w:pPr>
      <w:rPr>
        <w:rFonts w:hint="default"/>
      </w:rPr>
    </w:lvl>
    <w:lvl w:ilvl="4">
      <w:start w:val="1"/>
      <w:numFmt w:val="bullet"/>
      <w:lvlText w:val="•"/>
      <w:lvlJc w:val="left"/>
      <w:pPr>
        <w:ind w:left="2665" w:hanging="348"/>
      </w:pPr>
      <w:rPr>
        <w:rFonts w:hint="default"/>
      </w:rPr>
    </w:lvl>
    <w:lvl w:ilvl="5">
      <w:start w:val="1"/>
      <w:numFmt w:val="bullet"/>
      <w:lvlText w:val="•"/>
      <w:lvlJc w:val="left"/>
      <w:pPr>
        <w:ind w:left="3081" w:hanging="348"/>
      </w:pPr>
      <w:rPr>
        <w:rFonts w:hint="default"/>
      </w:rPr>
    </w:lvl>
    <w:lvl w:ilvl="6">
      <w:start w:val="1"/>
      <w:numFmt w:val="bullet"/>
      <w:lvlText w:val="•"/>
      <w:lvlJc w:val="left"/>
      <w:pPr>
        <w:ind w:left="3497" w:hanging="348"/>
      </w:pPr>
      <w:rPr>
        <w:rFonts w:hint="default"/>
      </w:rPr>
    </w:lvl>
    <w:lvl w:ilvl="7">
      <w:start w:val="1"/>
      <w:numFmt w:val="bullet"/>
      <w:lvlText w:val="•"/>
      <w:lvlJc w:val="left"/>
      <w:pPr>
        <w:ind w:left="3914" w:hanging="348"/>
      </w:pPr>
      <w:rPr>
        <w:rFonts w:hint="default"/>
      </w:rPr>
    </w:lvl>
    <w:lvl w:ilvl="8">
      <w:start w:val="1"/>
      <w:numFmt w:val="bullet"/>
      <w:lvlText w:val="•"/>
      <w:lvlJc w:val="left"/>
      <w:pPr>
        <w:ind w:left="4330" w:hanging="348"/>
      </w:pPr>
      <w:rPr>
        <w:rFonts w:hint="default"/>
      </w:rPr>
    </w:lvl>
  </w:abstractNum>
  <w:abstractNum w:abstractNumId="34">
    <w:multiLevelType w:val="hybridMultilevel"/>
    <w:lvl w:ilvl="0">
      <w:start w:val="1"/>
      <w:numFmt w:val="decimal"/>
      <w:lvlText w:val="%1."/>
      <w:lvlJc w:val="left"/>
      <w:pPr>
        <w:ind w:left="451" w:hanging="181"/>
        <w:jc w:val="left"/>
      </w:pPr>
      <w:rPr>
        <w:rFonts w:hint="default"/>
        <w:b/>
        <w:bCs/>
        <w:w w:val="100"/>
      </w:rPr>
    </w:lvl>
    <w:lvl w:ilvl="1">
      <w:start w:val="1"/>
      <w:numFmt w:val="decimal"/>
      <w:lvlText w:val="%1.%2"/>
      <w:lvlJc w:val="left"/>
      <w:pPr>
        <w:ind w:left="542" w:hanging="272"/>
        <w:jc w:val="left"/>
      </w:pPr>
      <w:rPr>
        <w:rFonts w:hint="default" w:ascii="Times New Roman" w:hAnsi="Times New Roman" w:eastAsia="Times New Roman" w:cs="Times New Roman"/>
        <w:b/>
        <w:bCs/>
        <w:spacing w:val="-2"/>
        <w:w w:val="100"/>
        <w:sz w:val="18"/>
        <w:szCs w:val="18"/>
      </w:rPr>
    </w:lvl>
    <w:lvl w:ilvl="2">
      <w:start w:val="1"/>
      <w:numFmt w:val="bullet"/>
      <w:lvlText w:val="•"/>
      <w:lvlJc w:val="left"/>
      <w:pPr>
        <w:ind w:left="431" w:hanging="272"/>
      </w:pPr>
      <w:rPr>
        <w:rFonts w:hint="default"/>
      </w:rPr>
    </w:lvl>
    <w:lvl w:ilvl="3">
      <w:start w:val="1"/>
      <w:numFmt w:val="bullet"/>
      <w:lvlText w:val="•"/>
      <w:lvlJc w:val="left"/>
      <w:pPr>
        <w:ind w:left="323" w:hanging="272"/>
      </w:pPr>
      <w:rPr>
        <w:rFonts w:hint="default"/>
      </w:rPr>
    </w:lvl>
    <w:lvl w:ilvl="4">
      <w:start w:val="1"/>
      <w:numFmt w:val="bullet"/>
      <w:lvlText w:val="•"/>
      <w:lvlJc w:val="left"/>
      <w:pPr>
        <w:ind w:left="215" w:hanging="272"/>
      </w:pPr>
      <w:rPr>
        <w:rFonts w:hint="default"/>
      </w:rPr>
    </w:lvl>
    <w:lvl w:ilvl="5">
      <w:start w:val="1"/>
      <w:numFmt w:val="bullet"/>
      <w:lvlText w:val="•"/>
      <w:lvlJc w:val="left"/>
      <w:pPr>
        <w:ind w:left="106" w:hanging="272"/>
      </w:pPr>
      <w:rPr>
        <w:rFonts w:hint="default"/>
      </w:rPr>
    </w:lvl>
    <w:lvl w:ilvl="6">
      <w:start w:val="1"/>
      <w:numFmt w:val="bullet"/>
      <w:lvlText w:val="•"/>
      <w:lvlJc w:val="left"/>
      <w:pPr>
        <w:ind w:left="-2" w:hanging="272"/>
      </w:pPr>
      <w:rPr>
        <w:rFonts w:hint="default"/>
      </w:rPr>
    </w:lvl>
    <w:lvl w:ilvl="7">
      <w:start w:val="1"/>
      <w:numFmt w:val="bullet"/>
      <w:lvlText w:val="•"/>
      <w:lvlJc w:val="left"/>
      <w:pPr>
        <w:ind w:left="-110" w:hanging="272"/>
      </w:pPr>
      <w:rPr>
        <w:rFonts w:hint="default"/>
      </w:rPr>
    </w:lvl>
    <w:lvl w:ilvl="8">
      <w:start w:val="1"/>
      <w:numFmt w:val="bullet"/>
      <w:lvlText w:val="•"/>
      <w:lvlJc w:val="left"/>
      <w:pPr>
        <w:ind w:left="-219" w:hanging="272"/>
      </w:pPr>
      <w:rPr>
        <w:rFonts w:hint="default"/>
      </w:rPr>
    </w:lvl>
  </w:abstractNum>
  <w:abstractNum w:abstractNumId="33">
    <w:multiLevelType w:val="hybridMultilevel"/>
    <w:lvl w:ilvl="0">
      <w:start w:val="4"/>
      <w:numFmt w:val="decimal"/>
      <w:lvlText w:val="%1."/>
      <w:lvlJc w:val="left"/>
      <w:pPr>
        <w:ind w:left="451" w:hanging="181"/>
        <w:jc w:val="left"/>
      </w:pPr>
      <w:rPr>
        <w:rFonts w:hint="default" w:ascii="Times New Roman" w:hAnsi="Times New Roman" w:eastAsia="Times New Roman" w:cs="Times New Roman"/>
        <w:b/>
        <w:bCs/>
        <w:color w:val="233F5E"/>
        <w:w w:val="100"/>
        <w:sz w:val="18"/>
        <w:szCs w:val="18"/>
      </w:rPr>
    </w:lvl>
    <w:lvl w:ilvl="1">
      <w:start w:val="1"/>
      <w:numFmt w:val="bullet"/>
      <w:lvlText w:val="•"/>
      <w:lvlJc w:val="left"/>
      <w:pPr>
        <w:ind w:left="930" w:hanging="181"/>
      </w:pPr>
      <w:rPr>
        <w:rFonts w:hint="default"/>
      </w:rPr>
    </w:lvl>
    <w:lvl w:ilvl="2">
      <w:start w:val="1"/>
      <w:numFmt w:val="bullet"/>
      <w:lvlText w:val="•"/>
      <w:lvlJc w:val="left"/>
      <w:pPr>
        <w:ind w:left="1400" w:hanging="181"/>
      </w:pPr>
      <w:rPr>
        <w:rFonts w:hint="default"/>
      </w:rPr>
    </w:lvl>
    <w:lvl w:ilvl="3">
      <w:start w:val="1"/>
      <w:numFmt w:val="bullet"/>
      <w:lvlText w:val="•"/>
      <w:lvlJc w:val="left"/>
      <w:pPr>
        <w:ind w:left="1870" w:hanging="181"/>
      </w:pPr>
      <w:rPr>
        <w:rFonts w:hint="default"/>
      </w:rPr>
    </w:lvl>
    <w:lvl w:ilvl="4">
      <w:start w:val="1"/>
      <w:numFmt w:val="bullet"/>
      <w:lvlText w:val="•"/>
      <w:lvlJc w:val="left"/>
      <w:pPr>
        <w:ind w:left="2340" w:hanging="181"/>
      </w:pPr>
      <w:rPr>
        <w:rFonts w:hint="default"/>
      </w:rPr>
    </w:lvl>
    <w:lvl w:ilvl="5">
      <w:start w:val="1"/>
      <w:numFmt w:val="bullet"/>
      <w:lvlText w:val="•"/>
      <w:lvlJc w:val="left"/>
      <w:pPr>
        <w:ind w:left="2811" w:hanging="181"/>
      </w:pPr>
      <w:rPr>
        <w:rFonts w:hint="default"/>
      </w:rPr>
    </w:lvl>
    <w:lvl w:ilvl="6">
      <w:start w:val="1"/>
      <w:numFmt w:val="bullet"/>
      <w:lvlText w:val="•"/>
      <w:lvlJc w:val="left"/>
      <w:pPr>
        <w:ind w:left="3281" w:hanging="181"/>
      </w:pPr>
      <w:rPr>
        <w:rFonts w:hint="default"/>
      </w:rPr>
    </w:lvl>
    <w:lvl w:ilvl="7">
      <w:start w:val="1"/>
      <w:numFmt w:val="bullet"/>
      <w:lvlText w:val="•"/>
      <w:lvlJc w:val="left"/>
      <w:pPr>
        <w:ind w:left="3751" w:hanging="181"/>
      </w:pPr>
      <w:rPr>
        <w:rFonts w:hint="default"/>
      </w:rPr>
    </w:lvl>
    <w:lvl w:ilvl="8">
      <w:start w:val="1"/>
      <w:numFmt w:val="bullet"/>
      <w:lvlText w:val="•"/>
      <w:lvlJc w:val="left"/>
      <w:pPr>
        <w:ind w:left="4221" w:hanging="181"/>
      </w:pPr>
      <w:rPr>
        <w:rFonts w:hint="default"/>
      </w:rPr>
    </w:lvl>
  </w:abstractNum>
  <w:abstractNum w:abstractNumId="32">
    <w:multiLevelType w:val="hybridMultilevel"/>
    <w:lvl w:ilvl="0">
      <w:start w:val="1"/>
      <w:numFmt w:val="decimal"/>
      <w:lvlText w:val="%1."/>
      <w:lvlJc w:val="left"/>
      <w:pPr>
        <w:ind w:left="451" w:hanging="181"/>
        <w:jc w:val="left"/>
      </w:pPr>
      <w:rPr>
        <w:rFonts w:hint="default" w:ascii="Times New Roman" w:hAnsi="Times New Roman" w:eastAsia="Times New Roman" w:cs="Times New Roman"/>
        <w:spacing w:val="-1"/>
        <w:w w:val="100"/>
        <w:sz w:val="18"/>
        <w:szCs w:val="18"/>
      </w:rPr>
    </w:lvl>
    <w:lvl w:ilvl="1">
      <w:start w:val="1"/>
      <w:numFmt w:val="bullet"/>
      <w:lvlText w:val="•"/>
      <w:lvlJc w:val="left"/>
      <w:pPr>
        <w:ind w:left="998" w:hanging="181"/>
      </w:pPr>
      <w:rPr>
        <w:rFonts w:hint="default"/>
      </w:rPr>
    </w:lvl>
    <w:lvl w:ilvl="2">
      <w:start w:val="1"/>
      <w:numFmt w:val="bullet"/>
      <w:lvlText w:val="•"/>
      <w:lvlJc w:val="left"/>
      <w:pPr>
        <w:ind w:left="1536" w:hanging="181"/>
      </w:pPr>
      <w:rPr>
        <w:rFonts w:hint="default"/>
      </w:rPr>
    </w:lvl>
    <w:lvl w:ilvl="3">
      <w:start w:val="1"/>
      <w:numFmt w:val="bullet"/>
      <w:lvlText w:val="•"/>
      <w:lvlJc w:val="left"/>
      <w:pPr>
        <w:ind w:left="2074" w:hanging="181"/>
      </w:pPr>
      <w:rPr>
        <w:rFonts w:hint="default"/>
      </w:rPr>
    </w:lvl>
    <w:lvl w:ilvl="4">
      <w:start w:val="1"/>
      <w:numFmt w:val="bullet"/>
      <w:lvlText w:val="•"/>
      <w:lvlJc w:val="left"/>
      <w:pPr>
        <w:ind w:left="2612" w:hanging="181"/>
      </w:pPr>
      <w:rPr>
        <w:rFonts w:hint="default"/>
      </w:rPr>
    </w:lvl>
    <w:lvl w:ilvl="5">
      <w:start w:val="1"/>
      <w:numFmt w:val="bullet"/>
      <w:lvlText w:val="•"/>
      <w:lvlJc w:val="left"/>
      <w:pPr>
        <w:ind w:left="3151" w:hanging="181"/>
      </w:pPr>
      <w:rPr>
        <w:rFonts w:hint="default"/>
      </w:rPr>
    </w:lvl>
    <w:lvl w:ilvl="6">
      <w:start w:val="1"/>
      <w:numFmt w:val="bullet"/>
      <w:lvlText w:val="•"/>
      <w:lvlJc w:val="left"/>
      <w:pPr>
        <w:ind w:left="3689" w:hanging="181"/>
      </w:pPr>
      <w:rPr>
        <w:rFonts w:hint="default"/>
      </w:rPr>
    </w:lvl>
    <w:lvl w:ilvl="7">
      <w:start w:val="1"/>
      <w:numFmt w:val="bullet"/>
      <w:lvlText w:val="•"/>
      <w:lvlJc w:val="left"/>
      <w:pPr>
        <w:ind w:left="4227" w:hanging="181"/>
      </w:pPr>
      <w:rPr>
        <w:rFonts w:hint="default"/>
      </w:rPr>
    </w:lvl>
    <w:lvl w:ilvl="8">
      <w:start w:val="1"/>
      <w:numFmt w:val="bullet"/>
      <w:lvlText w:val="•"/>
      <w:lvlJc w:val="left"/>
      <w:pPr>
        <w:ind w:left="4765" w:hanging="181"/>
      </w:pPr>
      <w:rPr>
        <w:rFonts w:hint="default"/>
      </w:rPr>
    </w:lvl>
  </w:abstractNum>
  <w:abstractNum w:abstractNumId="31">
    <w:multiLevelType w:val="hybridMultilevel"/>
    <w:lvl w:ilvl="0">
      <w:start w:val="1"/>
      <w:numFmt w:val="decimal"/>
      <w:lvlText w:val="%1."/>
      <w:lvlJc w:val="left"/>
      <w:pPr>
        <w:ind w:left="270" w:hanging="181"/>
        <w:jc w:val="left"/>
      </w:pPr>
      <w:rPr>
        <w:rFonts w:hint="default" w:ascii="Times New Roman" w:hAnsi="Times New Roman" w:eastAsia="Times New Roman" w:cs="Times New Roman"/>
        <w:spacing w:val="-2"/>
        <w:w w:val="100"/>
        <w:sz w:val="18"/>
        <w:szCs w:val="18"/>
      </w:rPr>
    </w:lvl>
    <w:lvl w:ilvl="1">
      <w:start w:val="1"/>
      <w:numFmt w:val="bullet"/>
      <w:lvlText w:val="•"/>
      <w:lvlJc w:val="left"/>
      <w:pPr>
        <w:ind w:left="768" w:hanging="181"/>
      </w:pPr>
      <w:rPr>
        <w:rFonts w:hint="default"/>
      </w:rPr>
    </w:lvl>
    <w:lvl w:ilvl="2">
      <w:start w:val="1"/>
      <w:numFmt w:val="bullet"/>
      <w:lvlText w:val="•"/>
      <w:lvlJc w:val="left"/>
      <w:pPr>
        <w:ind w:left="1256" w:hanging="181"/>
      </w:pPr>
      <w:rPr>
        <w:rFonts w:hint="default"/>
      </w:rPr>
    </w:lvl>
    <w:lvl w:ilvl="3">
      <w:start w:val="1"/>
      <w:numFmt w:val="bullet"/>
      <w:lvlText w:val="•"/>
      <w:lvlJc w:val="left"/>
      <w:pPr>
        <w:ind w:left="1745" w:hanging="181"/>
      </w:pPr>
      <w:rPr>
        <w:rFonts w:hint="default"/>
      </w:rPr>
    </w:lvl>
    <w:lvl w:ilvl="4">
      <w:start w:val="1"/>
      <w:numFmt w:val="bullet"/>
      <w:lvlText w:val="•"/>
      <w:lvlJc w:val="left"/>
      <w:pPr>
        <w:ind w:left="2233" w:hanging="181"/>
      </w:pPr>
      <w:rPr>
        <w:rFonts w:hint="default"/>
      </w:rPr>
    </w:lvl>
    <w:lvl w:ilvl="5">
      <w:start w:val="1"/>
      <w:numFmt w:val="bullet"/>
      <w:lvlText w:val="•"/>
      <w:lvlJc w:val="left"/>
      <w:pPr>
        <w:ind w:left="2721" w:hanging="181"/>
      </w:pPr>
      <w:rPr>
        <w:rFonts w:hint="default"/>
      </w:rPr>
    </w:lvl>
    <w:lvl w:ilvl="6">
      <w:start w:val="1"/>
      <w:numFmt w:val="bullet"/>
      <w:lvlText w:val="•"/>
      <w:lvlJc w:val="left"/>
      <w:pPr>
        <w:ind w:left="3210" w:hanging="181"/>
      </w:pPr>
      <w:rPr>
        <w:rFonts w:hint="default"/>
      </w:rPr>
    </w:lvl>
    <w:lvl w:ilvl="7">
      <w:start w:val="1"/>
      <w:numFmt w:val="bullet"/>
      <w:lvlText w:val="•"/>
      <w:lvlJc w:val="left"/>
      <w:pPr>
        <w:ind w:left="3698" w:hanging="181"/>
      </w:pPr>
      <w:rPr>
        <w:rFonts w:hint="default"/>
      </w:rPr>
    </w:lvl>
    <w:lvl w:ilvl="8">
      <w:start w:val="1"/>
      <w:numFmt w:val="bullet"/>
      <w:lvlText w:val="•"/>
      <w:lvlJc w:val="left"/>
      <w:pPr>
        <w:ind w:left="4186" w:hanging="181"/>
      </w:pPr>
      <w:rPr>
        <w:rFonts w:hint="default"/>
      </w:rPr>
    </w:lvl>
  </w:abstractNum>
  <w:abstractNum w:abstractNumId="30">
    <w:multiLevelType w:val="hybridMultilevel"/>
    <w:lvl w:ilvl="0">
      <w:start w:val="1"/>
      <w:numFmt w:val="decimal"/>
      <w:lvlText w:val="%1"/>
      <w:lvlJc w:val="left"/>
      <w:pPr>
        <w:ind w:left="676" w:hanging="406"/>
        <w:jc w:val="left"/>
      </w:pPr>
      <w:rPr>
        <w:rFonts w:hint="default"/>
      </w:rPr>
    </w:lvl>
    <w:lvl w:ilvl="1">
      <w:start w:val="1"/>
      <w:numFmt w:val="decimal"/>
      <w:lvlText w:val="%1.%2"/>
      <w:lvlJc w:val="left"/>
      <w:pPr>
        <w:ind w:left="676" w:hanging="406"/>
        <w:jc w:val="left"/>
      </w:pPr>
      <w:rPr>
        <w:rFonts w:hint="default"/>
      </w:rPr>
    </w:lvl>
    <w:lvl w:ilvl="2">
      <w:start w:val="1"/>
      <w:numFmt w:val="decimal"/>
      <w:lvlText w:val="%1.%2.%3"/>
      <w:lvlJc w:val="left"/>
      <w:pPr>
        <w:ind w:left="676" w:hanging="406"/>
        <w:jc w:val="left"/>
      </w:pPr>
      <w:rPr>
        <w:rFonts w:hint="default" w:ascii="Times New Roman" w:hAnsi="Times New Roman" w:eastAsia="Times New Roman" w:cs="Times New Roman"/>
        <w:w w:val="100"/>
        <w:sz w:val="18"/>
        <w:szCs w:val="18"/>
      </w:rPr>
    </w:lvl>
    <w:lvl w:ilvl="3">
      <w:start w:val="1"/>
      <w:numFmt w:val="bullet"/>
      <w:lvlText w:val=""/>
      <w:lvlJc w:val="left"/>
      <w:pPr>
        <w:ind w:left="990" w:hanging="350"/>
      </w:pPr>
      <w:rPr>
        <w:rFonts w:hint="default" w:ascii="Symbol" w:hAnsi="Symbol" w:eastAsia="Symbol" w:cs="Symbol"/>
        <w:color w:val="202020"/>
        <w:w w:val="99"/>
        <w:sz w:val="18"/>
        <w:szCs w:val="18"/>
      </w:rPr>
    </w:lvl>
    <w:lvl w:ilvl="4">
      <w:start w:val="1"/>
      <w:numFmt w:val="bullet"/>
      <w:lvlText w:val="•"/>
      <w:lvlJc w:val="left"/>
      <w:pPr>
        <w:ind w:left="2387" w:hanging="350"/>
      </w:pPr>
      <w:rPr>
        <w:rFonts w:hint="default"/>
      </w:rPr>
    </w:lvl>
    <w:lvl w:ilvl="5">
      <w:start w:val="1"/>
      <w:numFmt w:val="bullet"/>
      <w:lvlText w:val="•"/>
      <w:lvlJc w:val="left"/>
      <w:pPr>
        <w:ind w:left="2850" w:hanging="350"/>
      </w:pPr>
      <w:rPr>
        <w:rFonts w:hint="default"/>
      </w:rPr>
    </w:lvl>
    <w:lvl w:ilvl="6">
      <w:start w:val="1"/>
      <w:numFmt w:val="bullet"/>
      <w:lvlText w:val="•"/>
      <w:lvlJc w:val="left"/>
      <w:pPr>
        <w:ind w:left="3313" w:hanging="350"/>
      </w:pPr>
      <w:rPr>
        <w:rFonts w:hint="default"/>
      </w:rPr>
    </w:lvl>
    <w:lvl w:ilvl="7">
      <w:start w:val="1"/>
      <w:numFmt w:val="bullet"/>
      <w:lvlText w:val="•"/>
      <w:lvlJc w:val="left"/>
      <w:pPr>
        <w:ind w:left="3775" w:hanging="350"/>
      </w:pPr>
      <w:rPr>
        <w:rFonts w:hint="default"/>
      </w:rPr>
    </w:lvl>
    <w:lvl w:ilvl="8">
      <w:start w:val="1"/>
      <w:numFmt w:val="bullet"/>
      <w:lvlText w:val="•"/>
      <w:lvlJc w:val="left"/>
      <w:pPr>
        <w:ind w:left="4238" w:hanging="350"/>
      </w:pPr>
      <w:rPr>
        <w:rFonts w:hint="default"/>
      </w:rPr>
    </w:lvl>
  </w:abstractNum>
  <w:abstractNum w:abstractNumId="29">
    <w:multiLevelType w:val="hybridMultilevel"/>
    <w:lvl w:ilvl="0">
      <w:start w:val="1"/>
      <w:numFmt w:val="decimal"/>
      <w:lvlText w:val="%1."/>
      <w:lvlJc w:val="left"/>
      <w:pPr>
        <w:ind w:left="451" w:hanging="181"/>
        <w:jc w:val="left"/>
      </w:pPr>
      <w:rPr>
        <w:rFonts w:hint="default"/>
        <w:b/>
        <w:bCs/>
        <w:w w:val="100"/>
      </w:rPr>
    </w:lvl>
    <w:lvl w:ilvl="1">
      <w:start w:val="1"/>
      <w:numFmt w:val="decimal"/>
      <w:lvlText w:val="%1.%2"/>
      <w:lvlJc w:val="left"/>
      <w:pPr>
        <w:ind w:left="541" w:hanging="271"/>
        <w:jc w:val="left"/>
      </w:pPr>
      <w:rPr>
        <w:rFonts w:hint="default"/>
        <w:w w:val="100"/>
      </w:rPr>
    </w:lvl>
    <w:lvl w:ilvl="2">
      <w:start w:val="1"/>
      <w:numFmt w:val="bullet"/>
      <w:lvlText w:val="•"/>
      <w:lvlJc w:val="left"/>
      <w:pPr>
        <w:ind w:left="431" w:hanging="271"/>
      </w:pPr>
      <w:rPr>
        <w:rFonts w:hint="default"/>
      </w:rPr>
    </w:lvl>
    <w:lvl w:ilvl="3">
      <w:start w:val="1"/>
      <w:numFmt w:val="bullet"/>
      <w:lvlText w:val="•"/>
      <w:lvlJc w:val="left"/>
      <w:pPr>
        <w:ind w:left="323" w:hanging="271"/>
      </w:pPr>
      <w:rPr>
        <w:rFonts w:hint="default"/>
      </w:rPr>
    </w:lvl>
    <w:lvl w:ilvl="4">
      <w:start w:val="1"/>
      <w:numFmt w:val="bullet"/>
      <w:lvlText w:val="•"/>
      <w:lvlJc w:val="left"/>
      <w:pPr>
        <w:ind w:left="215" w:hanging="271"/>
      </w:pPr>
      <w:rPr>
        <w:rFonts w:hint="default"/>
      </w:rPr>
    </w:lvl>
    <w:lvl w:ilvl="5">
      <w:start w:val="1"/>
      <w:numFmt w:val="bullet"/>
      <w:lvlText w:val="•"/>
      <w:lvlJc w:val="left"/>
      <w:pPr>
        <w:ind w:left="106" w:hanging="271"/>
      </w:pPr>
      <w:rPr>
        <w:rFonts w:hint="default"/>
      </w:rPr>
    </w:lvl>
    <w:lvl w:ilvl="6">
      <w:start w:val="1"/>
      <w:numFmt w:val="bullet"/>
      <w:lvlText w:val="•"/>
      <w:lvlJc w:val="left"/>
      <w:pPr>
        <w:ind w:left="-2" w:hanging="271"/>
      </w:pPr>
      <w:rPr>
        <w:rFonts w:hint="default"/>
      </w:rPr>
    </w:lvl>
    <w:lvl w:ilvl="7">
      <w:start w:val="1"/>
      <w:numFmt w:val="bullet"/>
      <w:lvlText w:val="•"/>
      <w:lvlJc w:val="left"/>
      <w:pPr>
        <w:ind w:left="-110" w:hanging="271"/>
      </w:pPr>
      <w:rPr>
        <w:rFonts w:hint="default"/>
      </w:rPr>
    </w:lvl>
    <w:lvl w:ilvl="8">
      <w:start w:val="1"/>
      <w:numFmt w:val="bullet"/>
      <w:lvlText w:val="•"/>
      <w:lvlJc w:val="left"/>
      <w:pPr>
        <w:ind w:left="-218" w:hanging="271"/>
      </w:pPr>
      <w:rPr>
        <w:rFonts w:hint="default"/>
      </w:rPr>
    </w:lvl>
  </w:abstractNum>
  <w:abstractNum w:abstractNumId="28">
    <w:multiLevelType w:val="hybridMultilevel"/>
    <w:lvl w:ilvl="0">
      <w:start w:val="1"/>
      <w:numFmt w:val="bullet"/>
      <w:lvlText w:val=""/>
      <w:lvlJc w:val="left"/>
      <w:pPr>
        <w:ind w:left="412" w:hanging="142"/>
      </w:pPr>
      <w:rPr>
        <w:rFonts w:hint="default"/>
        <w:w w:val="99"/>
      </w:rPr>
    </w:lvl>
    <w:lvl w:ilvl="1">
      <w:start w:val="1"/>
      <w:numFmt w:val="bullet"/>
      <w:lvlText w:val="•"/>
      <w:lvlJc w:val="left"/>
      <w:pPr>
        <w:ind w:left="270" w:hanging="109"/>
      </w:pPr>
      <w:rPr>
        <w:rFonts w:hint="default"/>
        <w:spacing w:val="-2"/>
        <w:w w:val="100"/>
      </w:rPr>
    </w:lvl>
    <w:lvl w:ilvl="2">
      <w:start w:val="1"/>
      <w:numFmt w:val="bullet"/>
      <w:lvlText w:val="•"/>
      <w:lvlJc w:val="left"/>
      <w:pPr>
        <w:ind w:left="1022" w:hanging="109"/>
      </w:pPr>
      <w:rPr>
        <w:rFonts w:hint="default"/>
      </w:rPr>
    </w:lvl>
    <w:lvl w:ilvl="3">
      <w:start w:val="1"/>
      <w:numFmt w:val="bullet"/>
      <w:lvlText w:val="•"/>
      <w:lvlJc w:val="left"/>
      <w:pPr>
        <w:ind w:left="1624" w:hanging="109"/>
      </w:pPr>
      <w:rPr>
        <w:rFonts w:hint="default"/>
      </w:rPr>
    </w:lvl>
    <w:lvl w:ilvl="4">
      <w:start w:val="1"/>
      <w:numFmt w:val="bullet"/>
      <w:lvlText w:val="•"/>
      <w:lvlJc w:val="left"/>
      <w:pPr>
        <w:ind w:left="2227" w:hanging="109"/>
      </w:pPr>
      <w:rPr>
        <w:rFonts w:hint="default"/>
      </w:rPr>
    </w:lvl>
    <w:lvl w:ilvl="5">
      <w:start w:val="1"/>
      <w:numFmt w:val="bullet"/>
      <w:lvlText w:val="•"/>
      <w:lvlJc w:val="left"/>
      <w:pPr>
        <w:ind w:left="2829" w:hanging="109"/>
      </w:pPr>
      <w:rPr>
        <w:rFonts w:hint="default"/>
      </w:rPr>
    </w:lvl>
    <w:lvl w:ilvl="6">
      <w:start w:val="1"/>
      <w:numFmt w:val="bullet"/>
      <w:lvlText w:val="•"/>
      <w:lvlJc w:val="left"/>
      <w:pPr>
        <w:ind w:left="3432" w:hanging="109"/>
      </w:pPr>
      <w:rPr>
        <w:rFonts w:hint="default"/>
      </w:rPr>
    </w:lvl>
    <w:lvl w:ilvl="7">
      <w:start w:val="1"/>
      <w:numFmt w:val="bullet"/>
      <w:lvlText w:val="•"/>
      <w:lvlJc w:val="left"/>
      <w:pPr>
        <w:ind w:left="4034" w:hanging="109"/>
      </w:pPr>
      <w:rPr>
        <w:rFonts w:hint="default"/>
      </w:rPr>
    </w:lvl>
    <w:lvl w:ilvl="8">
      <w:start w:val="1"/>
      <w:numFmt w:val="bullet"/>
      <w:lvlText w:val="•"/>
      <w:lvlJc w:val="left"/>
      <w:pPr>
        <w:ind w:left="4637" w:hanging="109"/>
      </w:pPr>
      <w:rPr>
        <w:rFonts w:hint="default"/>
      </w:rPr>
    </w:lvl>
  </w:abstractNum>
  <w:abstractNum w:abstractNumId="27">
    <w:multiLevelType w:val="hybridMultilevel"/>
    <w:lvl w:ilvl="0">
      <w:start w:val="1"/>
      <w:numFmt w:val="bullet"/>
      <w:lvlText w:val=""/>
      <w:lvlJc w:val="left"/>
      <w:pPr>
        <w:ind w:left="696" w:hanging="285"/>
      </w:pPr>
      <w:rPr>
        <w:rFonts w:hint="default" w:ascii="Symbol" w:hAnsi="Symbol" w:eastAsia="Symbol" w:cs="Symbol"/>
        <w:w w:val="99"/>
        <w:sz w:val="18"/>
        <w:szCs w:val="18"/>
      </w:rPr>
    </w:lvl>
    <w:lvl w:ilvl="1">
      <w:start w:val="1"/>
      <w:numFmt w:val="bullet"/>
      <w:lvlText w:val="•"/>
      <w:lvlJc w:val="left"/>
      <w:pPr>
        <w:ind w:left="1228" w:hanging="285"/>
      </w:pPr>
      <w:rPr>
        <w:rFonts w:hint="default"/>
      </w:rPr>
    </w:lvl>
    <w:lvl w:ilvl="2">
      <w:start w:val="1"/>
      <w:numFmt w:val="bullet"/>
      <w:lvlText w:val="•"/>
      <w:lvlJc w:val="left"/>
      <w:pPr>
        <w:ind w:left="1756" w:hanging="285"/>
      </w:pPr>
      <w:rPr>
        <w:rFonts w:hint="default"/>
      </w:rPr>
    </w:lvl>
    <w:lvl w:ilvl="3">
      <w:start w:val="1"/>
      <w:numFmt w:val="bullet"/>
      <w:lvlText w:val="•"/>
      <w:lvlJc w:val="left"/>
      <w:pPr>
        <w:ind w:left="2285" w:hanging="285"/>
      </w:pPr>
      <w:rPr>
        <w:rFonts w:hint="default"/>
      </w:rPr>
    </w:lvl>
    <w:lvl w:ilvl="4">
      <w:start w:val="1"/>
      <w:numFmt w:val="bullet"/>
      <w:lvlText w:val="•"/>
      <w:lvlJc w:val="left"/>
      <w:pPr>
        <w:ind w:left="2813" w:hanging="285"/>
      </w:pPr>
      <w:rPr>
        <w:rFonts w:hint="default"/>
      </w:rPr>
    </w:lvl>
    <w:lvl w:ilvl="5">
      <w:start w:val="1"/>
      <w:numFmt w:val="bullet"/>
      <w:lvlText w:val="•"/>
      <w:lvlJc w:val="left"/>
      <w:pPr>
        <w:ind w:left="3341" w:hanging="285"/>
      </w:pPr>
      <w:rPr>
        <w:rFonts w:hint="default"/>
      </w:rPr>
    </w:lvl>
    <w:lvl w:ilvl="6">
      <w:start w:val="1"/>
      <w:numFmt w:val="bullet"/>
      <w:lvlText w:val="•"/>
      <w:lvlJc w:val="left"/>
      <w:pPr>
        <w:ind w:left="3870" w:hanging="285"/>
      </w:pPr>
      <w:rPr>
        <w:rFonts w:hint="default"/>
      </w:rPr>
    </w:lvl>
    <w:lvl w:ilvl="7">
      <w:start w:val="1"/>
      <w:numFmt w:val="bullet"/>
      <w:lvlText w:val="•"/>
      <w:lvlJc w:val="left"/>
      <w:pPr>
        <w:ind w:left="4398" w:hanging="285"/>
      </w:pPr>
      <w:rPr>
        <w:rFonts w:hint="default"/>
      </w:rPr>
    </w:lvl>
    <w:lvl w:ilvl="8">
      <w:start w:val="1"/>
      <w:numFmt w:val="bullet"/>
      <w:lvlText w:val="•"/>
      <w:lvlJc w:val="left"/>
      <w:pPr>
        <w:ind w:left="4926" w:hanging="285"/>
      </w:pPr>
      <w:rPr>
        <w:rFonts w:hint="default"/>
      </w:rPr>
    </w:lvl>
  </w:abstractNum>
  <w:abstractNum w:abstractNumId="26">
    <w:multiLevelType w:val="hybridMultilevel"/>
    <w:lvl w:ilvl="0">
      <w:start w:val="1"/>
      <w:numFmt w:val="bullet"/>
      <w:lvlText w:val="➢"/>
      <w:lvlJc w:val="left"/>
      <w:pPr>
        <w:ind w:left="696" w:hanging="426"/>
      </w:pPr>
      <w:rPr>
        <w:rFonts w:hint="default" w:ascii="Segoe UI Symbol" w:hAnsi="Segoe UI Symbol" w:eastAsia="Segoe UI Symbol" w:cs="Segoe UI Symbol"/>
        <w:w w:val="82"/>
        <w:sz w:val="18"/>
        <w:szCs w:val="18"/>
      </w:rPr>
    </w:lvl>
    <w:lvl w:ilvl="1">
      <w:start w:val="1"/>
      <w:numFmt w:val="bullet"/>
      <w:lvlText w:val=""/>
      <w:lvlJc w:val="left"/>
      <w:pPr>
        <w:ind w:left="990" w:hanging="348"/>
      </w:pPr>
      <w:rPr>
        <w:rFonts w:hint="default" w:ascii="Symbol" w:hAnsi="Symbol" w:eastAsia="Symbol" w:cs="Symbol"/>
        <w:w w:val="99"/>
        <w:sz w:val="18"/>
        <w:szCs w:val="18"/>
      </w:rPr>
    </w:lvl>
    <w:lvl w:ilvl="2">
      <w:start w:val="1"/>
      <w:numFmt w:val="bullet"/>
      <w:lvlText w:val="•"/>
      <w:lvlJc w:val="left"/>
      <w:pPr>
        <w:ind w:left="840" w:hanging="348"/>
      </w:pPr>
      <w:rPr>
        <w:rFonts w:hint="default"/>
      </w:rPr>
    </w:lvl>
    <w:lvl w:ilvl="3">
      <w:start w:val="1"/>
      <w:numFmt w:val="bullet"/>
      <w:lvlText w:val="•"/>
      <w:lvlJc w:val="left"/>
      <w:pPr>
        <w:ind w:left="681" w:hanging="348"/>
      </w:pPr>
      <w:rPr>
        <w:rFonts w:hint="default"/>
      </w:rPr>
    </w:lvl>
    <w:lvl w:ilvl="4">
      <w:start w:val="1"/>
      <w:numFmt w:val="bullet"/>
      <w:lvlText w:val="•"/>
      <w:lvlJc w:val="left"/>
      <w:pPr>
        <w:ind w:left="521" w:hanging="348"/>
      </w:pPr>
      <w:rPr>
        <w:rFonts w:hint="default"/>
      </w:rPr>
    </w:lvl>
    <w:lvl w:ilvl="5">
      <w:start w:val="1"/>
      <w:numFmt w:val="bullet"/>
      <w:lvlText w:val="•"/>
      <w:lvlJc w:val="left"/>
      <w:pPr>
        <w:ind w:left="362" w:hanging="348"/>
      </w:pPr>
      <w:rPr>
        <w:rFonts w:hint="default"/>
      </w:rPr>
    </w:lvl>
    <w:lvl w:ilvl="6">
      <w:start w:val="1"/>
      <w:numFmt w:val="bullet"/>
      <w:lvlText w:val="•"/>
      <w:lvlJc w:val="left"/>
      <w:pPr>
        <w:ind w:left="202" w:hanging="348"/>
      </w:pPr>
      <w:rPr>
        <w:rFonts w:hint="default"/>
      </w:rPr>
    </w:lvl>
    <w:lvl w:ilvl="7">
      <w:start w:val="1"/>
      <w:numFmt w:val="bullet"/>
      <w:lvlText w:val="•"/>
      <w:lvlJc w:val="left"/>
      <w:pPr>
        <w:ind w:left="43" w:hanging="348"/>
      </w:pPr>
      <w:rPr>
        <w:rFonts w:hint="default"/>
      </w:rPr>
    </w:lvl>
    <w:lvl w:ilvl="8">
      <w:start w:val="1"/>
      <w:numFmt w:val="bullet"/>
      <w:lvlText w:val="•"/>
      <w:lvlJc w:val="left"/>
      <w:pPr>
        <w:ind w:left="-117" w:hanging="348"/>
      </w:pPr>
      <w:rPr>
        <w:rFonts w:hint="default"/>
      </w:rPr>
    </w:lvl>
  </w:abstractNum>
  <w:abstractNum w:abstractNumId="25">
    <w:multiLevelType w:val="hybridMultilevel"/>
    <w:lvl w:ilvl="0">
      <w:start w:val="1"/>
      <w:numFmt w:val="bullet"/>
      <w:lvlText w:val="➢"/>
      <w:lvlJc w:val="left"/>
      <w:pPr>
        <w:ind w:left="696" w:hanging="360"/>
      </w:pPr>
      <w:rPr>
        <w:rFonts w:hint="default" w:ascii="Segoe UI Symbol" w:hAnsi="Segoe UI Symbol" w:eastAsia="Segoe UI Symbol" w:cs="Segoe UI Symbol"/>
        <w:w w:val="82"/>
        <w:sz w:val="18"/>
        <w:szCs w:val="18"/>
      </w:rPr>
    </w:lvl>
    <w:lvl w:ilvl="1">
      <w:start w:val="1"/>
      <w:numFmt w:val="bullet"/>
      <w:lvlText w:val="•"/>
      <w:lvlJc w:val="left"/>
      <w:pPr>
        <w:ind w:left="1146" w:hanging="360"/>
      </w:pPr>
      <w:rPr>
        <w:rFonts w:hint="default"/>
      </w:rPr>
    </w:lvl>
    <w:lvl w:ilvl="2">
      <w:start w:val="1"/>
      <w:numFmt w:val="bullet"/>
      <w:lvlText w:val="•"/>
      <w:lvlJc w:val="left"/>
      <w:pPr>
        <w:ind w:left="1592" w:hanging="360"/>
      </w:pPr>
      <w:rPr>
        <w:rFonts w:hint="default"/>
      </w:rPr>
    </w:lvl>
    <w:lvl w:ilvl="3">
      <w:start w:val="1"/>
      <w:numFmt w:val="bullet"/>
      <w:lvlText w:val="•"/>
      <w:lvlJc w:val="left"/>
      <w:pPr>
        <w:ind w:left="2039" w:hanging="360"/>
      </w:pPr>
      <w:rPr>
        <w:rFonts w:hint="default"/>
      </w:rPr>
    </w:lvl>
    <w:lvl w:ilvl="4">
      <w:start w:val="1"/>
      <w:numFmt w:val="bullet"/>
      <w:lvlText w:val="•"/>
      <w:lvlJc w:val="left"/>
      <w:pPr>
        <w:ind w:left="2485" w:hanging="360"/>
      </w:pPr>
      <w:rPr>
        <w:rFonts w:hint="default"/>
      </w:rPr>
    </w:lvl>
    <w:lvl w:ilvl="5">
      <w:start w:val="1"/>
      <w:numFmt w:val="bullet"/>
      <w:lvlText w:val="•"/>
      <w:lvlJc w:val="left"/>
      <w:pPr>
        <w:ind w:left="2932" w:hanging="360"/>
      </w:pPr>
      <w:rPr>
        <w:rFonts w:hint="default"/>
      </w:rPr>
    </w:lvl>
    <w:lvl w:ilvl="6">
      <w:start w:val="1"/>
      <w:numFmt w:val="bullet"/>
      <w:lvlText w:val="•"/>
      <w:lvlJc w:val="left"/>
      <w:pPr>
        <w:ind w:left="3378" w:hanging="360"/>
      </w:pPr>
      <w:rPr>
        <w:rFonts w:hint="default"/>
      </w:rPr>
    </w:lvl>
    <w:lvl w:ilvl="7">
      <w:start w:val="1"/>
      <w:numFmt w:val="bullet"/>
      <w:lvlText w:val="•"/>
      <w:lvlJc w:val="left"/>
      <w:pPr>
        <w:ind w:left="3824" w:hanging="360"/>
      </w:pPr>
      <w:rPr>
        <w:rFonts w:hint="default"/>
      </w:rPr>
    </w:lvl>
    <w:lvl w:ilvl="8">
      <w:start w:val="1"/>
      <w:numFmt w:val="bullet"/>
      <w:lvlText w:val="•"/>
      <w:lvlJc w:val="left"/>
      <w:pPr>
        <w:ind w:left="4271" w:hanging="360"/>
      </w:pPr>
      <w:rPr>
        <w:rFonts w:hint="default"/>
      </w:rPr>
    </w:lvl>
  </w:abstractNum>
  <w:abstractNum w:abstractNumId="24">
    <w:multiLevelType w:val="hybridMultilevel"/>
    <w:lvl w:ilvl="0">
      <w:start w:val="1"/>
      <w:numFmt w:val="bullet"/>
      <w:lvlText w:val="-"/>
      <w:lvlJc w:val="left"/>
      <w:pPr>
        <w:ind w:left="270" w:hanging="136"/>
      </w:pPr>
      <w:rPr>
        <w:rFonts w:hint="default" w:ascii="Times New Roman" w:hAnsi="Times New Roman" w:eastAsia="Times New Roman" w:cs="Times New Roman"/>
        <w:spacing w:val="-16"/>
        <w:w w:val="100"/>
        <w:sz w:val="18"/>
        <w:szCs w:val="18"/>
      </w:rPr>
    </w:lvl>
    <w:lvl w:ilvl="1">
      <w:start w:val="1"/>
      <w:numFmt w:val="bullet"/>
      <w:lvlText w:val="•"/>
      <w:lvlJc w:val="left"/>
      <w:pPr>
        <w:ind w:left="768" w:hanging="136"/>
      </w:pPr>
      <w:rPr>
        <w:rFonts w:hint="default"/>
      </w:rPr>
    </w:lvl>
    <w:lvl w:ilvl="2">
      <w:start w:val="1"/>
      <w:numFmt w:val="bullet"/>
      <w:lvlText w:val="•"/>
      <w:lvlJc w:val="left"/>
      <w:pPr>
        <w:ind w:left="1256" w:hanging="136"/>
      </w:pPr>
      <w:rPr>
        <w:rFonts w:hint="default"/>
      </w:rPr>
    </w:lvl>
    <w:lvl w:ilvl="3">
      <w:start w:val="1"/>
      <w:numFmt w:val="bullet"/>
      <w:lvlText w:val="•"/>
      <w:lvlJc w:val="left"/>
      <w:pPr>
        <w:ind w:left="1745" w:hanging="136"/>
      </w:pPr>
      <w:rPr>
        <w:rFonts w:hint="default"/>
      </w:rPr>
    </w:lvl>
    <w:lvl w:ilvl="4">
      <w:start w:val="1"/>
      <w:numFmt w:val="bullet"/>
      <w:lvlText w:val="•"/>
      <w:lvlJc w:val="left"/>
      <w:pPr>
        <w:ind w:left="2233" w:hanging="136"/>
      </w:pPr>
      <w:rPr>
        <w:rFonts w:hint="default"/>
      </w:rPr>
    </w:lvl>
    <w:lvl w:ilvl="5">
      <w:start w:val="1"/>
      <w:numFmt w:val="bullet"/>
      <w:lvlText w:val="•"/>
      <w:lvlJc w:val="left"/>
      <w:pPr>
        <w:ind w:left="2722" w:hanging="136"/>
      </w:pPr>
      <w:rPr>
        <w:rFonts w:hint="default"/>
      </w:rPr>
    </w:lvl>
    <w:lvl w:ilvl="6">
      <w:start w:val="1"/>
      <w:numFmt w:val="bullet"/>
      <w:lvlText w:val="•"/>
      <w:lvlJc w:val="left"/>
      <w:pPr>
        <w:ind w:left="3210" w:hanging="136"/>
      </w:pPr>
      <w:rPr>
        <w:rFonts w:hint="default"/>
      </w:rPr>
    </w:lvl>
    <w:lvl w:ilvl="7">
      <w:start w:val="1"/>
      <w:numFmt w:val="bullet"/>
      <w:lvlText w:val="•"/>
      <w:lvlJc w:val="left"/>
      <w:pPr>
        <w:ind w:left="3698" w:hanging="136"/>
      </w:pPr>
      <w:rPr>
        <w:rFonts w:hint="default"/>
      </w:rPr>
    </w:lvl>
    <w:lvl w:ilvl="8">
      <w:start w:val="1"/>
      <w:numFmt w:val="bullet"/>
      <w:lvlText w:val="•"/>
      <w:lvlJc w:val="left"/>
      <w:pPr>
        <w:ind w:left="4187" w:hanging="136"/>
      </w:pPr>
      <w:rPr>
        <w:rFonts w:hint="default"/>
      </w:rPr>
    </w:lvl>
  </w:abstractNum>
  <w:abstractNum w:abstractNumId="23">
    <w:multiLevelType w:val="hybridMultilevel"/>
    <w:lvl w:ilvl="0">
      <w:start w:val="1"/>
      <w:numFmt w:val="decimal"/>
      <w:lvlText w:val="%1."/>
      <w:lvlJc w:val="left"/>
      <w:pPr>
        <w:ind w:left="270" w:hanging="205"/>
        <w:jc w:val="right"/>
      </w:pPr>
      <w:rPr>
        <w:rFonts w:hint="default"/>
        <w:spacing w:val="-22"/>
        <w:w w:val="100"/>
      </w:rPr>
    </w:lvl>
    <w:lvl w:ilvl="1">
      <w:start w:val="1"/>
      <w:numFmt w:val="lowerLetter"/>
      <w:lvlText w:val="%2)"/>
      <w:lvlJc w:val="left"/>
      <w:pPr>
        <w:ind w:left="6588" w:hanging="348"/>
        <w:jc w:val="left"/>
      </w:pPr>
      <w:rPr>
        <w:rFonts w:hint="default" w:ascii="Times New Roman" w:hAnsi="Times New Roman" w:eastAsia="Times New Roman" w:cs="Times New Roman"/>
        <w:spacing w:val="-18"/>
        <w:w w:val="100"/>
        <w:sz w:val="18"/>
        <w:szCs w:val="18"/>
      </w:rPr>
    </w:lvl>
    <w:lvl w:ilvl="2">
      <w:start w:val="1"/>
      <w:numFmt w:val="bullet"/>
      <w:lvlText w:val="•"/>
      <w:lvlJc w:val="left"/>
      <w:pPr>
        <w:ind w:left="6422" w:hanging="348"/>
      </w:pPr>
      <w:rPr>
        <w:rFonts w:hint="default"/>
      </w:rPr>
    </w:lvl>
    <w:lvl w:ilvl="3">
      <w:start w:val="1"/>
      <w:numFmt w:val="bullet"/>
      <w:lvlText w:val="•"/>
      <w:lvlJc w:val="left"/>
      <w:pPr>
        <w:ind w:left="6265" w:hanging="348"/>
      </w:pPr>
      <w:rPr>
        <w:rFonts w:hint="default"/>
      </w:rPr>
    </w:lvl>
    <w:lvl w:ilvl="4">
      <w:start w:val="1"/>
      <w:numFmt w:val="bullet"/>
      <w:lvlText w:val="•"/>
      <w:lvlJc w:val="left"/>
      <w:pPr>
        <w:ind w:left="6108" w:hanging="348"/>
      </w:pPr>
      <w:rPr>
        <w:rFonts w:hint="default"/>
      </w:rPr>
    </w:lvl>
    <w:lvl w:ilvl="5">
      <w:start w:val="1"/>
      <w:numFmt w:val="bullet"/>
      <w:lvlText w:val="•"/>
      <w:lvlJc w:val="left"/>
      <w:pPr>
        <w:ind w:left="5950" w:hanging="348"/>
      </w:pPr>
      <w:rPr>
        <w:rFonts w:hint="default"/>
      </w:rPr>
    </w:lvl>
    <w:lvl w:ilvl="6">
      <w:start w:val="1"/>
      <w:numFmt w:val="bullet"/>
      <w:lvlText w:val="•"/>
      <w:lvlJc w:val="left"/>
      <w:pPr>
        <w:ind w:left="5793" w:hanging="348"/>
      </w:pPr>
      <w:rPr>
        <w:rFonts w:hint="default"/>
      </w:rPr>
    </w:lvl>
    <w:lvl w:ilvl="7">
      <w:start w:val="1"/>
      <w:numFmt w:val="bullet"/>
      <w:lvlText w:val="•"/>
      <w:lvlJc w:val="left"/>
      <w:pPr>
        <w:ind w:left="5636" w:hanging="348"/>
      </w:pPr>
      <w:rPr>
        <w:rFonts w:hint="default"/>
      </w:rPr>
    </w:lvl>
    <w:lvl w:ilvl="8">
      <w:start w:val="1"/>
      <w:numFmt w:val="bullet"/>
      <w:lvlText w:val="•"/>
      <w:lvlJc w:val="left"/>
      <w:pPr>
        <w:ind w:left="5478" w:hanging="348"/>
      </w:pPr>
      <w:rPr>
        <w:rFonts w:hint="default"/>
      </w:rPr>
    </w:lvl>
  </w:abstractNum>
  <w:abstractNum w:abstractNumId="22">
    <w:multiLevelType w:val="hybridMultilevel"/>
    <w:lvl w:ilvl="0">
      <w:start w:val="2"/>
      <w:numFmt w:val="decimal"/>
      <w:lvlText w:val="%1"/>
      <w:lvlJc w:val="left"/>
      <w:pPr>
        <w:ind w:left="541" w:hanging="271"/>
        <w:jc w:val="left"/>
      </w:pPr>
      <w:rPr>
        <w:rFonts w:hint="default"/>
      </w:rPr>
    </w:lvl>
    <w:lvl w:ilvl="1">
      <w:start w:val="3"/>
      <w:numFmt w:val="decimal"/>
      <w:lvlText w:val="%1.%2"/>
      <w:lvlJc w:val="left"/>
      <w:pPr>
        <w:ind w:left="541" w:hanging="271"/>
        <w:jc w:val="left"/>
      </w:pPr>
      <w:rPr>
        <w:rFonts w:hint="default" w:ascii="Times New Roman" w:hAnsi="Times New Roman" w:eastAsia="Times New Roman" w:cs="Times New Roman"/>
        <w:b/>
        <w:bCs/>
        <w:spacing w:val="-1"/>
        <w:w w:val="100"/>
        <w:sz w:val="18"/>
        <w:szCs w:val="18"/>
      </w:rPr>
    </w:lvl>
    <w:lvl w:ilvl="2">
      <w:start w:val="1"/>
      <w:numFmt w:val="bullet"/>
      <w:lvlText w:val="•"/>
      <w:lvlJc w:val="left"/>
      <w:pPr>
        <w:ind w:left="990" w:hanging="360"/>
      </w:pPr>
      <w:rPr>
        <w:rFonts w:hint="default" w:ascii="Arial" w:hAnsi="Arial" w:eastAsia="Arial" w:cs="Arial"/>
        <w:spacing w:val="-14"/>
        <w:w w:val="100"/>
        <w:sz w:val="18"/>
        <w:szCs w:val="18"/>
      </w:rPr>
    </w:lvl>
    <w:lvl w:ilvl="3">
      <w:start w:val="1"/>
      <w:numFmt w:val="bullet"/>
      <w:lvlText w:val="•"/>
      <w:lvlJc w:val="left"/>
      <w:pPr>
        <w:ind w:left="681" w:hanging="360"/>
      </w:pPr>
      <w:rPr>
        <w:rFonts w:hint="default"/>
      </w:rPr>
    </w:lvl>
    <w:lvl w:ilvl="4">
      <w:start w:val="1"/>
      <w:numFmt w:val="bullet"/>
      <w:lvlText w:val="•"/>
      <w:lvlJc w:val="left"/>
      <w:pPr>
        <w:ind w:left="521" w:hanging="360"/>
      </w:pPr>
      <w:rPr>
        <w:rFonts w:hint="default"/>
      </w:rPr>
    </w:lvl>
    <w:lvl w:ilvl="5">
      <w:start w:val="1"/>
      <w:numFmt w:val="bullet"/>
      <w:lvlText w:val="•"/>
      <w:lvlJc w:val="left"/>
      <w:pPr>
        <w:ind w:left="362" w:hanging="360"/>
      </w:pPr>
      <w:rPr>
        <w:rFonts w:hint="default"/>
      </w:rPr>
    </w:lvl>
    <w:lvl w:ilvl="6">
      <w:start w:val="1"/>
      <w:numFmt w:val="bullet"/>
      <w:lvlText w:val="•"/>
      <w:lvlJc w:val="left"/>
      <w:pPr>
        <w:ind w:left="202" w:hanging="360"/>
      </w:pPr>
      <w:rPr>
        <w:rFonts w:hint="default"/>
      </w:rPr>
    </w:lvl>
    <w:lvl w:ilvl="7">
      <w:start w:val="1"/>
      <w:numFmt w:val="bullet"/>
      <w:lvlText w:val="•"/>
      <w:lvlJc w:val="left"/>
      <w:pPr>
        <w:ind w:left="43" w:hanging="360"/>
      </w:pPr>
      <w:rPr>
        <w:rFonts w:hint="default"/>
      </w:rPr>
    </w:lvl>
    <w:lvl w:ilvl="8">
      <w:start w:val="1"/>
      <w:numFmt w:val="bullet"/>
      <w:lvlText w:val="•"/>
      <w:lvlJc w:val="left"/>
      <w:pPr>
        <w:ind w:left="-117" w:hanging="360"/>
      </w:pPr>
      <w:rPr>
        <w:rFonts w:hint="default"/>
      </w:rPr>
    </w:lvl>
  </w:abstractNum>
  <w:abstractNum w:abstractNumId="21">
    <w:multiLevelType w:val="hybridMultilevel"/>
    <w:lvl w:ilvl="0">
      <w:start w:val="1"/>
      <w:numFmt w:val="decimal"/>
      <w:lvlText w:val="%1"/>
      <w:lvlJc w:val="left"/>
      <w:pPr>
        <w:ind w:left="541" w:hanging="271"/>
        <w:jc w:val="left"/>
      </w:pPr>
      <w:rPr>
        <w:rFonts w:hint="default"/>
      </w:rPr>
    </w:lvl>
    <w:lvl w:ilvl="1">
      <w:start w:val="4"/>
      <w:numFmt w:val="decimal"/>
      <w:lvlText w:val="%1.%2"/>
      <w:lvlJc w:val="left"/>
      <w:pPr>
        <w:ind w:left="541" w:hanging="271"/>
        <w:jc w:val="left"/>
      </w:pPr>
      <w:rPr>
        <w:rFonts w:hint="default" w:ascii="Times New Roman" w:hAnsi="Times New Roman" w:eastAsia="Times New Roman" w:cs="Times New Roman"/>
        <w:b/>
        <w:bCs/>
        <w:spacing w:val="-1"/>
        <w:w w:val="100"/>
        <w:sz w:val="18"/>
        <w:szCs w:val="18"/>
      </w:rPr>
    </w:lvl>
    <w:lvl w:ilvl="2">
      <w:start w:val="1"/>
      <w:numFmt w:val="bullet"/>
      <w:lvlText w:val="•"/>
      <w:lvlJc w:val="left"/>
      <w:pPr>
        <w:ind w:left="1464" w:hanging="271"/>
      </w:pPr>
      <w:rPr>
        <w:rFonts w:hint="default"/>
      </w:rPr>
    </w:lvl>
    <w:lvl w:ilvl="3">
      <w:start w:val="1"/>
      <w:numFmt w:val="bullet"/>
      <w:lvlText w:val="•"/>
      <w:lvlJc w:val="left"/>
      <w:pPr>
        <w:ind w:left="1926" w:hanging="271"/>
      </w:pPr>
      <w:rPr>
        <w:rFonts w:hint="default"/>
      </w:rPr>
    </w:lvl>
    <w:lvl w:ilvl="4">
      <w:start w:val="1"/>
      <w:numFmt w:val="bullet"/>
      <w:lvlText w:val="•"/>
      <w:lvlJc w:val="left"/>
      <w:pPr>
        <w:ind w:left="2389" w:hanging="271"/>
      </w:pPr>
      <w:rPr>
        <w:rFonts w:hint="default"/>
      </w:rPr>
    </w:lvl>
    <w:lvl w:ilvl="5">
      <w:start w:val="1"/>
      <w:numFmt w:val="bullet"/>
      <w:lvlText w:val="•"/>
      <w:lvlJc w:val="left"/>
      <w:pPr>
        <w:ind w:left="2851" w:hanging="271"/>
      </w:pPr>
      <w:rPr>
        <w:rFonts w:hint="default"/>
      </w:rPr>
    </w:lvl>
    <w:lvl w:ilvl="6">
      <w:start w:val="1"/>
      <w:numFmt w:val="bullet"/>
      <w:lvlText w:val="•"/>
      <w:lvlJc w:val="left"/>
      <w:pPr>
        <w:ind w:left="3313" w:hanging="271"/>
      </w:pPr>
      <w:rPr>
        <w:rFonts w:hint="default"/>
      </w:rPr>
    </w:lvl>
    <w:lvl w:ilvl="7">
      <w:start w:val="1"/>
      <w:numFmt w:val="bullet"/>
      <w:lvlText w:val="•"/>
      <w:lvlJc w:val="left"/>
      <w:pPr>
        <w:ind w:left="3776" w:hanging="271"/>
      </w:pPr>
      <w:rPr>
        <w:rFonts w:hint="default"/>
      </w:rPr>
    </w:lvl>
    <w:lvl w:ilvl="8">
      <w:start w:val="1"/>
      <w:numFmt w:val="bullet"/>
      <w:lvlText w:val="•"/>
      <w:lvlJc w:val="left"/>
      <w:pPr>
        <w:ind w:left="4238" w:hanging="271"/>
      </w:pPr>
      <w:rPr>
        <w:rFonts w:hint="default"/>
      </w:rPr>
    </w:lvl>
  </w:abstractNum>
  <w:abstractNum w:abstractNumId="20">
    <w:multiLevelType w:val="hybridMultilevel"/>
    <w:lvl w:ilvl="0">
      <w:start w:val="1"/>
      <w:numFmt w:val="decimal"/>
      <w:lvlText w:val="%1"/>
      <w:lvlJc w:val="left"/>
      <w:pPr>
        <w:ind w:left="542" w:hanging="272"/>
        <w:jc w:val="left"/>
      </w:pPr>
      <w:rPr>
        <w:rFonts w:hint="default"/>
      </w:rPr>
    </w:lvl>
    <w:lvl w:ilvl="1">
      <w:start w:val="2"/>
      <w:numFmt w:val="decimal"/>
      <w:lvlText w:val="%1.%2"/>
      <w:lvlJc w:val="left"/>
      <w:pPr>
        <w:ind w:left="542" w:hanging="272"/>
        <w:jc w:val="left"/>
      </w:pPr>
      <w:rPr>
        <w:rFonts w:hint="default" w:ascii="Times New Roman" w:hAnsi="Times New Roman" w:eastAsia="Times New Roman" w:cs="Times New Roman"/>
        <w:b/>
        <w:bCs/>
        <w:spacing w:val="-2"/>
        <w:w w:val="100"/>
        <w:sz w:val="18"/>
        <w:szCs w:val="18"/>
      </w:rPr>
    </w:lvl>
    <w:lvl w:ilvl="2">
      <w:start w:val="1"/>
      <w:numFmt w:val="bullet"/>
      <w:lvlText w:val="•"/>
      <w:lvlJc w:val="left"/>
      <w:pPr>
        <w:ind w:left="1464" w:hanging="272"/>
      </w:pPr>
      <w:rPr>
        <w:rFonts w:hint="default"/>
      </w:rPr>
    </w:lvl>
    <w:lvl w:ilvl="3">
      <w:start w:val="1"/>
      <w:numFmt w:val="bullet"/>
      <w:lvlText w:val="•"/>
      <w:lvlJc w:val="left"/>
      <w:pPr>
        <w:ind w:left="1926" w:hanging="272"/>
      </w:pPr>
      <w:rPr>
        <w:rFonts w:hint="default"/>
      </w:rPr>
    </w:lvl>
    <w:lvl w:ilvl="4">
      <w:start w:val="1"/>
      <w:numFmt w:val="bullet"/>
      <w:lvlText w:val="•"/>
      <w:lvlJc w:val="left"/>
      <w:pPr>
        <w:ind w:left="2389" w:hanging="272"/>
      </w:pPr>
      <w:rPr>
        <w:rFonts w:hint="default"/>
      </w:rPr>
    </w:lvl>
    <w:lvl w:ilvl="5">
      <w:start w:val="1"/>
      <w:numFmt w:val="bullet"/>
      <w:lvlText w:val="•"/>
      <w:lvlJc w:val="left"/>
      <w:pPr>
        <w:ind w:left="2851" w:hanging="272"/>
      </w:pPr>
      <w:rPr>
        <w:rFonts w:hint="default"/>
      </w:rPr>
    </w:lvl>
    <w:lvl w:ilvl="6">
      <w:start w:val="1"/>
      <w:numFmt w:val="bullet"/>
      <w:lvlText w:val="•"/>
      <w:lvlJc w:val="left"/>
      <w:pPr>
        <w:ind w:left="3313" w:hanging="272"/>
      </w:pPr>
      <w:rPr>
        <w:rFonts w:hint="default"/>
      </w:rPr>
    </w:lvl>
    <w:lvl w:ilvl="7">
      <w:start w:val="1"/>
      <w:numFmt w:val="bullet"/>
      <w:lvlText w:val="•"/>
      <w:lvlJc w:val="left"/>
      <w:pPr>
        <w:ind w:left="3776" w:hanging="272"/>
      </w:pPr>
      <w:rPr>
        <w:rFonts w:hint="default"/>
      </w:rPr>
    </w:lvl>
    <w:lvl w:ilvl="8">
      <w:start w:val="1"/>
      <w:numFmt w:val="bullet"/>
      <w:lvlText w:val="•"/>
      <w:lvlJc w:val="left"/>
      <w:pPr>
        <w:ind w:left="4238" w:hanging="272"/>
      </w:pPr>
      <w:rPr>
        <w:rFonts w:hint="default"/>
      </w:rPr>
    </w:lvl>
  </w:abstractNum>
  <w:abstractNum w:abstractNumId="19">
    <w:multiLevelType w:val="hybridMultilevel"/>
    <w:lvl w:ilvl="0">
      <w:start w:val="1"/>
      <w:numFmt w:val="decimal"/>
      <w:lvlText w:val="%1."/>
      <w:lvlJc w:val="left"/>
      <w:pPr>
        <w:ind w:left="451" w:hanging="181"/>
        <w:jc w:val="left"/>
      </w:pPr>
      <w:rPr>
        <w:rFonts w:hint="default" w:ascii="Times New Roman" w:hAnsi="Times New Roman" w:eastAsia="Times New Roman" w:cs="Times New Roman"/>
        <w:b/>
        <w:bCs/>
        <w:w w:val="100"/>
        <w:sz w:val="18"/>
        <w:szCs w:val="18"/>
      </w:rPr>
    </w:lvl>
    <w:lvl w:ilvl="1">
      <w:start w:val="1"/>
      <w:numFmt w:val="decimal"/>
      <w:lvlText w:val="%1.%2"/>
      <w:lvlJc w:val="left"/>
      <w:pPr>
        <w:ind w:left="541" w:hanging="271"/>
        <w:jc w:val="left"/>
      </w:pPr>
      <w:rPr>
        <w:rFonts w:hint="default" w:ascii="Times New Roman" w:hAnsi="Times New Roman" w:eastAsia="Times New Roman" w:cs="Times New Roman"/>
        <w:b/>
        <w:bCs/>
        <w:spacing w:val="-1"/>
        <w:w w:val="100"/>
        <w:sz w:val="18"/>
        <w:szCs w:val="18"/>
      </w:rPr>
    </w:lvl>
    <w:lvl w:ilvl="2">
      <w:start w:val="1"/>
      <w:numFmt w:val="bullet"/>
      <w:lvlText w:val="•"/>
      <w:lvlJc w:val="left"/>
      <w:pPr>
        <w:ind w:left="1129" w:hanging="271"/>
      </w:pPr>
      <w:rPr>
        <w:rFonts w:hint="default"/>
      </w:rPr>
    </w:lvl>
    <w:lvl w:ilvl="3">
      <w:start w:val="1"/>
      <w:numFmt w:val="bullet"/>
      <w:lvlText w:val="•"/>
      <w:lvlJc w:val="left"/>
      <w:pPr>
        <w:ind w:left="1718" w:hanging="271"/>
      </w:pPr>
      <w:rPr>
        <w:rFonts w:hint="default"/>
      </w:rPr>
    </w:lvl>
    <w:lvl w:ilvl="4">
      <w:start w:val="1"/>
      <w:numFmt w:val="bullet"/>
      <w:lvlText w:val="•"/>
      <w:lvlJc w:val="left"/>
      <w:pPr>
        <w:ind w:left="2307" w:hanging="271"/>
      </w:pPr>
      <w:rPr>
        <w:rFonts w:hint="default"/>
      </w:rPr>
    </w:lvl>
    <w:lvl w:ilvl="5">
      <w:start w:val="1"/>
      <w:numFmt w:val="bullet"/>
      <w:lvlText w:val="•"/>
      <w:lvlJc w:val="left"/>
      <w:pPr>
        <w:ind w:left="2896" w:hanging="271"/>
      </w:pPr>
      <w:rPr>
        <w:rFonts w:hint="default"/>
      </w:rPr>
    </w:lvl>
    <w:lvl w:ilvl="6">
      <w:start w:val="1"/>
      <w:numFmt w:val="bullet"/>
      <w:lvlText w:val="•"/>
      <w:lvlJc w:val="left"/>
      <w:pPr>
        <w:ind w:left="3485" w:hanging="271"/>
      </w:pPr>
      <w:rPr>
        <w:rFonts w:hint="default"/>
      </w:rPr>
    </w:lvl>
    <w:lvl w:ilvl="7">
      <w:start w:val="1"/>
      <w:numFmt w:val="bullet"/>
      <w:lvlText w:val="•"/>
      <w:lvlJc w:val="left"/>
      <w:pPr>
        <w:ind w:left="4074" w:hanging="271"/>
      </w:pPr>
      <w:rPr>
        <w:rFonts w:hint="default"/>
      </w:rPr>
    </w:lvl>
    <w:lvl w:ilvl="8">
      <w:start w:val="1"/>
      <w:numFmt w:val="bullet"/>
      <w:lvlText w:val="•"/>
      <w:lvlJc w:val="left"/>
      <w:pPr>
        <w:ind w:left="4663" w:hanging="271"/>
      </w:pPr>
      <w:rPr>
        <w:rFonts w:hint="default"/>
      </w:rPr>
    </w:lvl>
  </w:abstractNum>
  <w:abstractNum w:abstractNumId="18">
    <w:multiLevelType w:val="hybridMultilevel"/>
    <w:lvl w:ilvl="0">
      <w:start w:val="6"/>
      <w:numFmt w:val="decimal"/>
      <w:lvlText w:val="%1."/>
      <w:lvlJc w:val="left"/>
      <w:pPr>
        <w:ind w:left="451" w:hanging="181"/>
        <w:jc w:val="left"/>
      </w:pPr>
      <w:rPr>
        <w:rFonts w:hint="default"/>
        <w:b/>
        <w:bCs/>
        <w:spacing w:val="-1"/>
        <w:w w:val="100"/>
      </w:rPr>
    </w:lvl>
    <w:lvl w:ilvl="1">
      <w:start w:val="1"/>
      <w:numFmt w:val="bullet"/>
      <w:lvlText w:val="•"/>
      <w:lvlJc w:val="left"/>
      <w:pPr>
        <w:ind w:left="998" w:hanging="181"/>
      </w:pPr>
      <w:rPr>
        <w:rFonts w:hint="default"/>
      </w:rPr>
    </w:lvl>
    <w:lvl w:ilvl="2">
      <w:start w:val="1"/>
      <w:numFmt w:val="bullet"/>
      <w:lvlText w:val="•"/>
      <w:lvlJc w:val="left"/>
      <w:pPr>
        <w:ind w:left="1536" w:hanging="181"/>
      </w:pPr>
      <w:rPr>
        <w:rFonts w:hint="default"/>
      </w:rPr>
    </w:lvl>
    <w:lvl w:ilvl="3">
      <w:start w:val="1"/>
      <w:numFmt w:val="bullet"/>
      <w:lvlText w:val="•"/>
      <w:lvlJc w:val="left"/>
      <w:pPr>
        <w:ind w:left="2074" w:hanging="181"/>
      </w:pPr>
      <w:rPr>
        <w:rFonts w:hint="default"/>
      </w:rPr>
    </w:lvl>
    <w:lvl w:ilvl="4">
      <w:start w:val="1"/>
      <w:numFmt w:val="bullet"/>
      <w:lvlText w:val="•"/>
      <w:lvlJc w:val="left"/>
      <w:pPr>
        <w:ind w:left="2612" w:hanging="181"/>
      </w:pPr>
      <w:rPr>
        <w:rFonts w:hint="default"/>
      </w:rPr>
    </w:lvl>
    <w:lvl w:ilvl="5">
      <w:start w:val="1"/>
      <w:numFmt w:val="bullet"/>
      <w:lvlText w:val="•"/>
      <w:lvlJc w:val="left"/>
      <w:pPr>
        <w:ind w:left="3151" w:hanging="181"/>
      </w:pPr>
      <w:rPr>
        <w:rFonts w:hint="default"/>
      </w:rPr>
    </w:lvl>
    <w:lvl w:ilvl="6">
      <w:start w:val="1"/>
      <w:numFmt w:val="bullet"/>
      <w:lvlText w:val="•"/>
      <w:lvlJc w:val="left"/>
      <w:pPr>
        <w:ind w:left="3689" w:hanging="181"/>
      </w:pPr>
      <w:rPr>
        <w:rFonts w:hint="default"/>
      </w:rPr>
    </w:lvl>
    <w:lvl w:ilvl="7">
      <w:start w:val="1"/>
      <w:numFmt w:val="bullet"/>
      <w:lvlText w:val="•"/>
      <w:lvlJc w:val="left"/>
      <w:pPr>
        <w:ind w:left="4227" w:hanging="181"/>
      </w:pPr>
      <w:rPr>
        <w:rFonts w:hint="default"/>
      </w:rPr>
    </w:lvl>
    <w:lvl w:ilvl="8">
      <w:start w:val="1"/>
      <w:numFmt w:val="bullet"/>
      <w:lvlText w:val="•"/>
      <w:lvlJc w:val="left"/>
      <w:pPr>
        <w:ind w:left="4765" w:hanging="181"/>
      </w:pPr>
      <w:rPr>
        <w:rFonts w:hint="default"/>
      </w:rPr>
    </w:lvl>
  </w:abstractNum>
  <w:abstractNum w:abstractNumId="17">
    <w:multiLevelType w:val="hybridMultilevel"/>
    <w:lvl w:ilvl="0">
      <w:start w:val="1"/>
      <w:numFmt w:val="decimal"/>
      <w:lvlText w:val="%1."/>
      <w:lvlJc w:val="left"/>
      <w:pPr>
        <w:ind w:left="451" w:hanging="181"/>
        <w:jc w:val="left"/>
      </w:pPr>
      <w:rPr>
        <w:rFonts w:hint="default"/>
        <w:b/>
        <w:bCs/>
        <w:w w:val="100"/>
      </w:rPr>
    </w:lvl>
    <w:lvl w:ilvl="1">
      <w:start w:val="1"/>
      <w:numFmt w:val="bullet"/>
      <w:lvlText w:val="•"/>
      <w:lvlJc w:val="left"/>
      <w:pPr>
        <w:ind w:left="932" w:hanging="181"/>
      </w:pPr>
      <w:rPr>
        <w:rFonts w:hint="default"/>
      </w:rPr>
    </w:lvl>
    <w:lvl w:ilvl="2">
      <w:start w:val="1"/>
      <w:numFmt w:val="bullet"/>
      <w:lvlText w:val="•"/>
      <w:lvlJc w:val="left"/>
      <w:pPr>
        <w:ind w:left="1404" w:hanging="181"/>
      </w:pPr>
      <w:rPr>
        <w:rFonts w:hint="default"/>
      </w:rPr>
    </w:lvl>
    <w:lvl w:ilvl="3">
      <w:start w:val="1"/>
      <w:numFmt w:val="bullet"/>
      <w:lvlText w:val="•"/>
      <w:lvlJc w:val="left"/>
      <w:pPr>
        <w:ind w:left="1876" w:hanging="181"/>
      </w:pPr>
      <w:rPr>
        <w:rFonts w:hint="default"/>
      </w:rPr>
    </w:lvl>
    <w:lvl w:ilvl="4">
      <w:start w:val="1"/>
      <w:numFmt w:val="bullet"/>
      <w:lvlText w:val="•"/>
      <w:lvlJc w:val="left"/>
      <w:pPr>
        <w:ind w:left="2348" w:hanging="181"/>
      </w:pPr>
      <w:rPr>
        <w:rFonts w:hint="default"/>
      </w:rPr>
    </w:lvl>
    <w:lvl w:ilvl="5">
      <w:start w:val="1"/>
      <w:numFmt w:val="bullet"/>
      <w:lvlText w:val="•"/>
      <w:lvlJc w:val="left"/>
      <w:pPr>
        <w:ind w:left="2820" w:hanging="181"/>
      </w:pPr>
      <w:rPr>
        <w:rFonts w:hint="default"/>
      </w:rPr>
    </w:lvl>
    <w:lvl w:ilvl="6">
      <w:start w:val="1"/>
      <w:numFmt w:val="bullet"/>
      <w:lvlText w:val="•"/>
      <w:lvlJc w:val="left"/>
      <w:pPr>
        <w:ind w:left="3292" w:hanging="181"/>
      </w:pPr>
      <w:rPr>
        <w:rFonts w:hint="default"/>
      </w:rPr>
    </w:lvl>
    <w:lvl w:ilvl="7">
      <w:start w:val="1"/>
      <w:numFmt w:val="bullet"/>
      <w:lvlText w:val="•"/>
      <w:lvlJc w:val="left"/>
      <w:pPr>
        <w:ind w:left="3764" w:hanging="181"/>
      </w:pPr>
      <w:rPr>
        <w:rFonts w:hint="default"/>
      </w:rPr>
    </w:lvl>
    <w:lvl w:ilvl="8">
      <w:start w:val="1"/>
      <w:numFmt w:val="bullet"/>
      <w:lvlText w:val="•"/>
      <w:lvlJc w:val="left"/>
      <w:pPr>
        <w:ind w:left="4236" w:hanging="181"/>
      </w:pPr>
      <w:rPr>
        <w:rFonts w:hint="default"/>
      </w:rPr>
    </w:lvl>
  </w:abstractNum>
  <w:abstractNum w:abstractNumId="16">
    <w:multiLevelType w:val="hybridMultilevel"/>
    <w:lvl w:ilvl="0">
      <w:start w:val="4"/>
      <w:numFmt w:val="decimal"/>
      <w:lvlText w:val="%1"/>
      <w:lvlJc w:val="left"/>
      <w:pPr>
        <w:ind w:left="406" w:hanging="136"/>
        <w:jc w:val="left"/>
      </w:pPr>
      <w:rPr>
        <w:rFonts w:hint="default" w:ascii="Times New Roman" w:hAnsi="Times New Roman" w:eastAsia="Times New Roman" w:cs="Times New Roman"/>
        <w:b/>
        <w:bCs/>
        <w:spacing w:val="-1"/>
        <w:w w:val="100"/>
        <w:sz w:val="18"/>
        <w:szCs w:val="18"/>
      </w:rPr>
    </w:lvl>
    <w:lvl w:ilvl="1">
      <w:start w:val="1"/>
      <w:numFmt w:val="bullet"/>
      <w:lvlText w:val="•"/>
      <w:lvlJc w:val="left"/>
      <w:pPr>
        <w:ind w:left="944" w:hanging="136"/>
      </w:pPr>
      <w:rPr>
        <w:rFonts w:hint="default"/>
      </w:rPr>
    </w:lvl>
    <w:lvl w:ilvl="2">
      <w:start w:val="1"/>
      <w:numFmt w:val="bullet"/>
      <w:lvlText w:val="•"/>
      <w:lvlJc w:val="left"/>
      <w:pPr>
        <w:ind w:left="1488" w:hanging="136"/>
      </w:pPr>
      <w:rPr>
        <w:rFonts w:hint="default"/>
      </w:rPr>
    </w:lvl>
    <w:lvl w:ilvl="3">
      <w:start w:val="1"/>
      <w:numFmt w:val="bullet"/>
      <w:lvlText w:val="•"/>
      <w:lvlJc w:val="left"/>
      <w:pPr>
        <w:ind w:left="2032" w:hanging="136"/>
      </w:pPr>
      <w:rPr>
        <w:rFonts w:hint="default"/>
      </w:rPr>
    </w:lvl>
    <w:lvl w:ilvl="4">
      <w:start w:val="1"/>
      <w:numFmt w:val="bullet"/>
      <w:lvlText w:val="•"/>
      <w:lvlJc w:val="left"/>
      <w:pPr>
        <w:ind w:left="2576" w:hanging="136"/>
      </w:pPr>
      <w:rPr>
        <w:rFonts w:hint="default"/>
      </w:rPr>
    </w:lvl>
    <w:lvl w:ilvl="5">
      <w:start w:val="1"/>
      <w:numFmt w:val="bullet"/>
      <w:lvlText w:val="•"/>
      <w:lvlJc w:val="left"/>
      <w:pPr>
        <w:ind w:left="3121" w:hanging="136"/>
      </w:pPr>
      <w:rPr>
        <w:rFonts w:hint="default"/>
      </w:rPr>
    </w:lvl>
    <w:lvl w:ilvl="6">
      <w:start w:val="1"/>
      <w:numFmt w:val="bullet"/>
      <w:lvlText w:val="•"/>
      <w:lvlJc w:val="left"/>
      <w:pPr>
        <w:ind w:left="3665" w:hanging="136"/>
      </w:pPr>
      <w:rPr>
        <w:rFonts w:hint="default"/>
      </w:rPr>
    </w:lvl>
    <w:lvl w:ilvl="7">
      <w:start w:val="1"/>
      <w:numFmt w:val="bullet"/>
      <w:lvlText w:val="•"/>
      <w:lvlJc w:val="left"/>
      <w:pPr>
        <w:ind w:left="4209" w:hanging="136"/>
      </w:pPr>
      <w:rPr>
        <w:rFonts w:hint="default"/>
      </w:rPr>
    </w:lvl>
    <w:lvl w:ilvl="8">
      <w:start w:val="1"/>
      <w:numFmt w:val="bullet"/>
      <w:lvlText w:val="•"/>
      <w:lvlJc w:val="left"/>
      <w:pPr>
        <w:ind w:left="4753" w:hanging="136"/>
      </w:pPr>
      <w:rPr>
        <w:rFonts w:hint="default"/>
      </w:rPr>
    </w:lvl>
  </w:abstractNum>
  <w:abstractNum w:abstractNumId="15">
    <w:multiLevelType w:val="hybridMultilevel"/>
    <w:lvl w:ilvl="0">
      <w:start w:val="1"/>
      <w:numFmt w:val="decimal"/>
      <w:lvlText w:val="%1"/>
      <w:lvlJc w:val="left"/>
      <w:pPr>
        <w:ind w:left="406" w:hanging="136"/>
        <w:jc w:val="left"/>
      </w:pPr>
      <w:rPr>
        <w:rFonts w:hint="default" w:ascii="Times New Roman" w:hAnsi="Times New Roman" w:eastAsia="Times New Roman" w:cs="Times New Roman"/>
        <w:b/>
        <w:bCs/>
        <w:spacing w:val="-1"/>
        <w:w w:val="100"/>
        <w:sz w:val="18"/>
        <w:szCs w:val="18"/>
      </w:rPr>
    </w:lvl>
    <w:lvl w:ilvl="1">
      <w:start w:val="1"/>
      <w:numFmt w:val="decimal"/>
      <w:lvlText w:val="%1.%2"/>
      <w:lvlJc w:val="left"/>
      <w:pPr>
        <w:ind w:left="541" w:hanging="271"/>
        <w:jc w:val="left"/>
      </w:pPr>
      <w:rPr>
        <w:rFonts w:hint="default"/>
        <w:b/>
        <w:bCs/>
        <w:spacing w:val="-1"/>
        <w:w w:val="100"/>
      </w:rPr>
    </w:lvl>
    <w:lvl w:ilvl="2">
      <w:start w:val="1"/>
      <w:numFmt w:val="bullet"/>
      <w:lvlText w:val="•"/>
      <w:lvlJc w:val="left"/>
      <w:pPr>
        <w:ind w:left="1129" w:hanging="271"/>
      </w:pPr>
      <w:rPr>
        <w:rFonts w:hint="default"/>
      </w:rPr>
    </w:lvl>
    <w:lvl w:ilvl="3">
      <w:start w:val="1"/>
      <w:numFmt w:val="bullet"/>
      <w:lvlText w:val="•"/>
      <w:lvlJc w:val="left"/>
      <w:pPr>
        <w:ind w:left="1718" w:hanging="271"/>
      </w:pPr>
      <w:rPr>
        <w:rFonts w:hint="default"/>
      </w:rPr>
    </w:lvl>
    <w:lvl w:ilvl="4">
      <w:start w:val="1"/>
      <w:numFmt w:val="bullet"/>
      <w:lvlText w:val="•"/>
      <w:lvlJc w:val="left"/>
      <w:pPr>
        <w:ind w:left="2307" w:hanging="271"/>
      </w:pPr>
      <w:rPr>
        <w:rFonts w:hint="default"/>
      </w:rPr>
    </w:lvl>
    <w:lvl w:ilvl="5">
      <w:start w:val="1"/>
      <w:numFmt w:val="bullet"/>
      <w:lvlText w:val="•"/>
      <w:lvlJc w:val="left"/>
      <w:pPr>
        <w:ind w:left="2896" w:hanging="271"/>
      </w:pPr>
      <w:rPr>
        <w:rFonts w:hint="default"/>
      </w:rPr>
    </w:lvl>
    <w:lvl w:ilvl="6">
      <w:start w:val="1"/>
      <w:numFmt w:val="bullet"/>
      <w:lvlText w:val="•"/>
      <w:lvlJc w:val="left"/>
      <w:pPr>
        <w:ind w:left="3485" w:hanging="271"/>
      </w:pPr>
      <w:rPr>
        <w:rFonts w:hint="default"/>
      </w:rPr>
    </w:lvl>
    <w:lvl w:ilvl="7">
      <w:start w:val="1"/>
      <w:numFmt w:val="bullet"/>
      <w:lvlText w:val="•"/>
      <w:lvlJc w:val="left"/>
      <w:pPr>
        <w:ind w:left="4074" w:hanging="271"/>
      </w:pPr>
      <w:rPr>
        <w:rFonts w:hint="default"/>
      </w:rPr>
    </w:lvl>
    <w:lvl w:ilvl="8">
      <w:start w:val="1"/>
      <w:numFmt w:val="bullet"/>
      <w:lvlText w:val="•"/>
      <w:lvlJc w:val="left"/>
      <w:pPr>
        <w:ind w:left="4663" w:hanging="271"/>
      </w:pPr>
      <w:rPr>
        <w:rFonts w:hint="default"/>
      </w:rPr>
    </w:lvl>
  </w:abstractNum>
  <w:abstractNum w:abstractNumId="14">
    <w:multiLevelType w:val="hybridMultilevel"/>
    <w:lvl w:ilvl="0">
      <w:start w:val="2"/>
      <w:numFmt w:val="decimal"/>
      <w:lvlText w:val="%1"/>
      <w:lvlJc w:val="left"/>
      <w:pPr>
        <w:ind w:left="570" w:hanging="300"/>
        <w:jc w:val="left"/>
      </w:pPr>
      <w:rPr>
        <w:rFonts w:hint="default"/>
      </w:rPr>
    </w:lvl>
    <w:lvl w:ilvl="1">
      <w:start w:val="2"/>
      <w:numFmt w:val="decimal"/>
      <w:lvlText w:val="%1.%2"/>
      <w:lvlJc w:val="left"/>
      <w:pPr>
        <w:ind w:left="570" w:hanging="300"/>
        <w:jc w:val="left"/>
      </w:pPr>
      <w:rPr>
        <w:rFonts w:hint="default" w:ascii="Times New Roman" w:hAnsi="Times New Roman" w:eastAsia="Times New Roman" w:cs="Times New Roman"/>
        <w:b/>
        <w:bCs/>
        <w:spacing w:val="-1"/>
        <w:w w:val="100"/>
        <w:sz w:val="20"/>
        <w:szCs w:val="20"/>
      </w:rPr>
    </w:lvl>
    <w:lvl w:ilvl="2">
      <w:start w:val="1"/>
      <w:numFmt w:val="bullet"/>
      <w:lvlText w:val="•"/>
      <w:lvlJc w:val="left"/>
      <w:pPr>
        <w:ind w:left="1632" w:hanging="300"/>
      </w:pPr>
      <w:rPr>
        <w:rFonts w:hint="default"/>
      </w:rPr>
    </w:lvl>
    <w:lvl w:ilvl="3">
      <w:start w:val="1"/>
      <w:numFmt w:val="bullet"/>
      <w:lvlText w:val="•"/>
      <w:lvlJc w:val="left"/>
      <w:pPr>
        <w:ind w:left="2158" w:hanging="300"/>
      </w:pPr>
      <w:rPr>
        <w:rFonts w:hint="default"/>
      </w:rPr>
    </w:lvl>
    <w:lvl w:ilvl="4">
      <w:start w:val="1"/>
      <w:numFmt w:val="bullet"/>
      <w:lvlText w:val="•"/>
      <w:lvlJc w:val="left"/>
      <w:pPr>
        <w:ind w:left="2684" w:hanging="300"/>
      </w:pPr>
      <w:rPr>
        <w:rFonts w:hint="default"/>
      </w:rPr>
    </w:lvl>
    <w:lvl w:ilvl="5">
      <w:start w:val="1"/>
      <w:numFmt w:val="bullet"/>
      <w:lvlText w:val="•"/>
      <w:lvlJc w:val="left"/>
      <w:pPr>
        <w:ind w:left="3211" w:hanging="300"/>
      </w:pPr>
      <w:rPr>
        <w:rFonts w:hint="default"/>
      </w:rPr>
    </w:lvl>
    <w:lvl w:ilvl="6">
      <w:start w:val="1"/>
      <w:numFmt w:val="bullet"/>
      <w:lvlText w:val="•"/>
      <w:lvlJc w:val="left"/>
      <w:pPr>
        <w:ind w:left="3737" w:hanging="300"/>
      </w:pPr>
      <w:rPr>
        <w:rFonts w:hint="default"/>
      </w:rPr>
    </w:lvl>
    <w:lvl w:ilvl="7">
      <w:start w:val="1"/>
      <w:numFmt w:val="bullet"/>
      <w:lvlText w:val="•"/>
      <w:lvlJc w:val="left"/>
      <w:pPr>
        <w:ind w:left="4263" w:hanging="300"/>
      </w:pPr>
      <w:rPr>
        <w:rFonts w:hint="default"/>
      </w:rPr>
    </w:lvl>
    <w:lvl w:ilvl="8">
      <w:start w:val="1"/>
      <w:numFmt w:val="bullet"/>
      <w:lvlText w:val="•"/>
      <w:lvlJc w:val="left"/>
      <w:pPr>
        <w:ind w:left="4789" w:hanging="300"/>
      </w:pPr>
      <w:rPr>
        <w:rFonts w:hint="default"/>
      </w:rPr>
    </w:lvl>
  </w:abstractNum>
  <w:abstractNum w:abstractNumId="13">
    <w:multiLevelType w:val="hybridMultilevel"/>
    <w:lvl w:ilvl="0">
      <w:start w:val="1"/>
      <w:numFmt w:val="decimal"/>
      <w:lvlText w:val="%1."/>
      <w:lvlJc w:val="left"/>
      <w:pPr>
        <w:ind w:left="270" w:hanging="202"/>
        <w:jc w:val="left"/>
      </w:pPr>
      <w:rPr>
        <w:rFonts w:hint="default" w:ascii="Times New Roman" w:hAnsi="Times New Roman" w:eastAsia="Times New Roman" w:cs="Times New Roman"/>
        <w:b/>
        <w:bCs/>
        <w:w w:val="100"/>
        <w:sz w:val="20"/>
        <w:szCs w:val="20"/>
      </w:rPr>
    </w:lvl>
    <w:lvl w:ilvl="1">
      <w:start w:val="1"/>
      <w:numFmt w:val="decimal"/>
      <w:lvlText w:val="%2."/>
      <w:lvlJc w:val="left"/>
      <w:pPr>
        <w:ind w:left="990" w:hanging="348"/>
        <w:jc w:val="left"/>
      </w:pPr>
      <w:rPr>
        <w:rFonts w:hint="default" w:ascii="Times New Roman" w:hAnsi="Times New Roman" w:eastAsia="Times New Roman" w:cs="Times New Roman"/>
        <w:w w:val="100"/>
        <w:sz w:val="20"/>
        <w:szCs w:val="20"/>
      </w:rPr>
    </w:lvl>
    <w:lvl w:ilvl="2">
      <w:start w:val="1"/>
      <w:numFmt w:val="bullet"/>
      <w:lvlText w:val="•"/>
      <w:lvlJc w:val="left"/>
      <w:pPr>
        <w:ind w:left="1000" w:hanging="348"/>
      </w:pPr>
      <w:rPr>
        <w:rFonts w:hint="default"/>
      </w:rPr>
    </w:lvl>
    <w:lvl w:ilvl="3">
      <w:start w:val="1"/>
      <w:numFmt w:val="bullet"/>
      <w:lvlText w:val="•"/>
      <w:lvlJc w:val="left"/>
      <w:pPr>
        <w:ind w:left="820" w:hanging="348"/>
      </w:pPr>
      <w:rPr>
        <w:rFonts w:hint="default"/>
      </w:rPr>
    </w:lvl>
    <w:lvl w:ilvl="4">
      <w:start w:val="1"/>
      <w:numFmt w:val="bullet"/>
      <w:lvlText w:val="•"/>
      <w:lvlJc w:val="left"/>
      <w:pPr>
        <w:ind w:left="641" w:hanging="348"/>
      </w:pPr>
      <w:rPr>
        <w:rFonts w:hint="default"/>
      </w:rPr>
    </w:lvl>
    <w:lvl w:ilvl="5">
      <w:start w:val="1"/>
      <w:numFmt w:val="bullet"/>
      <w:lvlText w:val="•"/>
      <w:lvlJc w:val="left"/>
      <w:pPr>
        <w:ind w:left="462" w:hanging="348"/>
      </w:pPr>
      <w:rPr>
        <w:rFonts w:hint="default"/>
      </w:rPr>
    </w:lvl>
    <w:lvl w:ilvl="6">
      <w:start w:val="1"/>
      <w:numFmt w:val="bullet"/>
      <w:lvlText w:val="•"/>
      <w:lvlJc w:val="left"/>
      <w:pPr>
        <w:ind w:left="282" w:hanging="348"/>
      </w:pPr>
      <w:rPr>
        <w:rFonts w:hint="default"/>
      </w:rPr>
    </w:lvl>
    <w:lvl w:ilvl="7">
      <w:start w:val="1"/>
      <w:numFmt w:val="bullet"/>
      <w:lvlText w:val="•"/>
      <w:lvlJc w:val="left"/>
      <w:pPr>
        <w:ind w:left="103" w:hanging="348"/>
      </w:pPr>
      <w:rPr>
        <w:rFonts w:hint="default"/>
      </w:rPr>
    </w:lvl>
    <w:lvl w:ilvl="8">
      <w:start w:val="1"/>
      <w:numFmt w:val="bullet"/>
      <w:lvlText w:val="•"/>
      <w:lvlJc w:val="left"/>
      <w:pPr>
        <w:ind w:left="-76" w:hanging="348"/>
      </w:pPr>
      <w:rPr>
        <w:rFonts w:hint="default"/>
      </w:rPr>
    </w:lvl>
  </w:abstractNum>
  <w:abstractNum w:abstractNumId="12">
    <w:multiLevelType w:val="hybridMultilevel"/>
    <w:lvl w:ilvl="0">
      <w:start w:val="1"/>
      <w:numFmt w:val="decimal"/>
      <w:lvlText w:val="%1."/>
      <w:lvlJc w:val="left"/>
      <w:pPr>
        <w:ind w:left="451" w:hanging="181"/>
        <w:jc w:val="left"/>
      </w:pPr>
      <w:rPr>
        <w:rFonts w:hint="default" w:ascii="Times New Roman" w:hAnsi="Times New Roman" w:eastAsia="Times New Roman" w:cs="Times New Roman"/>
        <w:b/>
        <w:bCs/>
        <w:w w:val="100"/>
        <w:sz w:val="18"/>
        <w:szCs w:val="18"/>
      </w:rPr>
    </w:lvl>
    <w:lvl w:ilvl="1">
      <w:start w:val="1"/>
      <w:numFmt w:val="bullet"/>
      <w:lvlText w:val="•"/>
      <w:lvlJc w:val="left"/>
      <w:pPr>
        <w:ind w:left="995" w:hanging="181"/>
      </w:pPr>
      <w:rPr>
        <w:rFonts w:hint="default"/>
      </w:rPr>
    </w:lvl>
    <w:lvl w:ilvl="2">
      <w:start w:val="1"/>
      <w:numFmt w:val="bullet"/>
      <w:lvlText w:val="•"/>
      <w:lvlJc w:val="left"/>
      <w:pPr>
        <w:ind w:left="1531" w:hanging="181"/>
      </w:pPr>
      <w:rPr>
        <w:rFonts w:hint="default"/>
      </w:rPr>
    </w:lvl>
    <w:lvl w:ilvl="3">
      <w:start w:val="1"/>
      <w:numFmt w:val="bullet"/>
      <w:lvlText w:val="•"/>
      <w:lvlJc w:val="left"/>
      <w:pPr>
        <w:ind w:left="2066" w:hanging="181"/>
      </w:pPr>
      <w:rPr>
        <w:rFonts w:hint="default"/>
      </w:rPr>
    </w:lvl>
    <w:lvl w:ilvl="4">
      <w:start w:val="1"/>
      <w:numFmt w:val="bullet"/>
      <w:lvlText w:val="•"/>
      <w:lvlJc w:val="left"/>
      <w:pPr>
        <w:ind w:left="2602" w:hanging="181"/>
      </w:pPr>
      <w:rPr>
        <w:rFonts w:hint="default"/>
      </w:rPr>
    </w:lvl>
    <w:lvl w:ilvl="5">
      <w:start w:val="1"/>
      <w:numFmt w:val="bullet"/>
      <w:lvlText w:val="•"/>
      <w:lvlJc w:val="left"/>
      <w:pPr>
        <w:ind w:left="3137" w:hanging="181"/>
      </w:pPr>
      <w:rPr>
        <w:rFonts w:hint="default"/>
      </w:rPr>
    </w:lvl>
    <w:lvl w:ilvl="6">
      <w:start w:val="1"/>
      <w:numFmt w:val="bullet"/>
      <w:lvlText w:val="•"/>
      <w:lvlJc w:val="left"/>
      <w:pPr>
        <w:ind w:left="3673" w:hanging="181"/>
      </w:pPr>
      <w:rPr>
        <w:rFonts w:hint="default"/>
      </w:rPr>
    </w:lvl>
    <w:lvl w:ilvl="7">
      <w:start w:val="1"/>
      <w:numFmt w:val="bullet"/>
      <w:lvlText w:val="•"/>
      <w:lvlJc w:val="left"/>
      <w:pPr>
        <w:ind w:left="4208" w:hanging="181"/>
      </w:pPr>
      <w:rPr>
        <w:rFonts w:hint="default"/>
      </w:rPr>
    </w:lvl>
    <w:lvl w:ilvl="8">
      <w:start w:val="1"/>
      <w:numFmt w:val="bullet"/>
      <w:lvlText w:val="•"/>
      <w:lvlJc w:val="left"/>
      <w:pPr>
        <w:ind w:left="4744" w:hanging="181"/>
      </w:pPr>
      <w:rPr>
        <w:rFonts w:hint="default"/>
      </w:rPr>
    </w:lvl>
  </w:abstractNum>
  <w:abstractNum w:abstractNumId="11">
    <w:multiLevelType w:val="hybridMultilevel"/>
    <w:lvl w:ilvl="0">
      <w:start w:val="4"/>
      <w:numFmt w:val="lowerLetter"/>
      <w:lvlText w:val="%1."/>
      <w:lvlJc w:val="left"/>
      <w:pPr>
        <w:ind w:left="975" w:hanging="308"/>
        <w:jc w:val="left"/>
      </w:pPr>
      <w:rPr>
        <w:rFonts w:hint="default" w:ascii="Times New Roman" w:hAnsi="Times New Roman" w:eastAsia="Times New Roman" w:cs="Times New Roman"/>
        <w:b/>
        <w:bCs/>
        <w:color w:val="FFFFFF"/>
        <w:spacing w:val="-18"/>
        <w:w w:val="100"/>
        <w:sz w:val="18"/>
        <w:szCs w:val="18"/>
      </w:rPr>
    </w:lvl>
    <w:lvl w:ilvl="1">
      <w:start w:val="1"/>
      <w:numFmt w:val="bullet"/>
      <w:lvlText w:val="•"/>
      <w:lvlJc w:val="left"/>
      <w:pPr>
        <w:ind w:left="1400" w:hanging="308"/>
      </w:pPr>
      <w:rPr>
        <w:rFonts w:hint="default"/>
      </w:rPr>
    </w:lvl>
    <w:lvl w:ilvl="2">
      <w:start w:val="1"/>
      <w:numFmt w:val="bullet"/>
      <w:lvlText w:val="•"/>
      <w:lvlJc w:val="left"/>
      <w:pPr>
        <w:ind w:left="1821" w:hanging="308"/>
      </w:pPr>
      <w:rPr>
        <w:rFonts w:hint="default"/>
      </w:rPr>
    </w:lvl>
    <w:lvl w:ilvl="3">
      <w:start w:val="1"/>
      <w:numFmt w:val="bullet"/>
      <w:lvlText w:val="•"/>
      <w:lvlJc w:val="left"/>
      <w:pPr>
        <w:ind w:left="2242" w:hanging="308"/>
      </w:pPr>
      <w:rPr>
        <w:rFonts w:hint="default"/>
      </w:rPr>
    </w:lvl>
    <w:lvl w:ilvl="4">
      <w:start w:val="1"/>
      <w:numFmt w:val="bullet"/>
      <w:lvlText w:val="•"/>
      <w:lvlJc w:val="left"/>
      <w:pPr>
        <w:ind w:left="2663" w:hanging="308"/>
      </w:pPr>
      <w:rPr>
        <w:rFonts w:hint="default"/>
      </w:rPr>
    </w:lvl>
    <w:lvl w:ilvl="5">
      <w:start w:val="1"/>
      <w:numFmt w:val="bullet"/>
      <w:lvlText w:val="•"/>
      <w:lvlJc w:val="left"/>
      <w:pPr>
        <w:ind w:left="3084" w:hanging="308"/>
      </w:pPr>
      <w:rPr>
        <w:rFonts w:hint="default"/>
      </w:rPr>
    </w:lvl>
    <w:lvl w:ilvl="6">
      <w:start w:val="1"/>
      <w:numFmt w:val="bullet"/>
      <w:lvlText w:val="•"/>
      <w:lvlJc w:val="left"/>
      <w:pPr>
        <w:ind w:left="3505" w:hanging="308"/>
      </w:pPr>
      <w:rPr>
        <w:rFonts w:hint="default"/>
      </w:rPr>
    </w:lvl>
    <w:lvl w:ilvl="7">
      <w:start w:val="1"/>
      <w:numFmt w:val="bullet"/>
      <w:lvlText w:val="•"/>
      <w:lvlJc w:val="left"/>
      <w:pPr>
        <w:ind w:left="3925" w:hanging="308"/>
      </w:pPr>
      <w:rPr>
        <w:rFonts w:hint="default"/>
      </w:rPr>
    </w:lvl>
    <w:lvl w:ilvl="8">
      <w:start w:val="1"/>
      <w:numFmt w:val="bullet"/>
      <w:lvlText w:val="•"/>
      <w:lvlJc w:val="left"/>
      <w:pPr>
        <w:ind w:left="4346" w:hanging="308"/>
      </w:pPr>
      <w:rPr>
        <w:rFonts w:hint="default"/>
      </w:rPr>
    </w:lvl>
  </w:abstractNum>
  <w:abstractNum w:abstractNumId="10">
    <w:multiLevelType w:val="hybridMultilevel"/>
    <w:lvl w:ilvl="0">
      <w:start w:val="4"/>
      <w:numFmt w:val="decimal"/>
      <w:lvlText w:val="%1"/>
      <w:lvlJc w:val="left"/>
      <w:pPr>
        <w:ind w:left="630" w:hanging="360"/>
        <w:jc w:val="left"/>
      </w:pPr>
      <w:rPr>
        <w:rFonts w:hint="default"/>
      </w:rPr>
    </w:lvl>
    <w:lvl w:ilvl="1">
      <w:start w:val="2"/>
      <w:numFmt w:val="decimal"/>
      <w:lvlText w:val="%1.%2"/>
      <w:lvlJc w:val="left"/>
      <w:pPr>
        <w:ind w:left="630" w:hanging="360"/>
        <w:jc w:val="left"/>
      </w:pPr>
      <w:rPr>
        <w:rFonts w:hint="default" w:ascii="Times New Roman" w:hAnsi="Times New Roman" w:eastAsia="Times New Roman" w:cs="Times New Roman"/>
        <w:b/>
        <w:bCs/>
        <w:spacing w:val="-1"/>
        <w:w w:val="100"/>
        <w:sz w:val="18"/>
        <w:szCs w:val="18"/>
      </w:rPr>
    </w:lvl>
    <w:lvl w:ilvl="2">
      <w:start w:val="1"/>
      <w:numFmt w:val="decimal"/>
      <w:lvlText w:val="%1.%2.%3"/>
      <w:lvlJc w:val="left"/>
      <w:pPr>
        <w:ind w:left="990" w:hanging="708"/>
        <w:jc w:val="left"/>
      </w:pPr>
      <w:rPr>
        <w:rFonts w:hint="default" w:ascii="Times New Roman" w:hAnsi="Times New Roman" w:eastAsia="Times New Roman" w:cs="Times New Roman"/>
        <w:spacing w:val="-2"/>
        <w:w w:val="100"/>
        <w:sz w:val="18"/>
        <w:szCs w:val="18"/>
      </w:rPr>
    </w:lvl>
    <w:lvl w:ilvl="3">
      <w:start w:val="1"/>
      <w:numFmt w:val="decimal"/>
      <w:lvlText w:val="%1.%2.%3.%4"/>
      <w:lvlJc w:val="left"/>
      <w:pPr>
        <w:ind w:left="978" w:hanging="708"/>
        <w:jc w:val="right"/>
      </w:pPr>
      <w:rPr>
        <w:rFonts w:hint="default" w:ascii="Times New Roman" w:hAnsi="Times New Roman" w:eastAsia="Times New Roman" w:cs="Times New Roman"/>
        <w:spacing w:val="-13"/>
        <w:w w:val="100"/>
        <w:sz w:val="18"/>
        <w:szCs w:val="18"/>
      </w:rPr>
    </w:lvl>
    <w:lvl w:ilvl="4">
      <w:start w:val="1"/>
      <w:numFmt w:val="bullet"/>
      <w:lvlText w:val="•"/>
      <w:lvlJc w:val="left"/>
      <w:pPr>
        <w:ind w:left="2203" w:hanging="708"/>
      </w:pPr>
      <w:rPr>
        <w:rFonts w:hint="default"/>
      </w:rPr>
    </w:lvl>
    <w:lvl w:ilvl="5">
      <w:start w:val="1"/>
      <w:numFmt w:val="bullet"/>
      <w:lvlText w:val="•"/>
      <w:lvlJc w:val="left"/>
      <w:pPr>
        <w:ind w:left="2805" w:hanging="708"/>
      </w:pPr>
      <w:rPr>
        <w:rFonts w:hint="default"/>
      </w:rPr>
    </w:lvl>
    <w:lvl w:ilvl="6">
      <w:start w:val="1"/>
      <w:numFmt w:val="bullet"/>
      <w:lvlText w:val="•"/>
      <w:lvlJc w:val="left"/>
      <w:pPr>
        <w:ind w:left="3407" w:hanging="708"/>
      </w:pPr>
      <w:rPr>
        <w:rFonts w:hint="default"/>
      </w:rPr>
    </w:lvl>
    <w:lvl w:ilvl="7">
      <w:start w:val="1"/>
      <w:numFmt w:val="bullet"/>
      <w:lvlText w:val="•"/>
      <w:lvlJc w:val="left"/>
      <w:pPr>
        <w:ind w:left="4009" w:hanging="708"/>
      </w:pPr>
      <w:rPr>
        <w:rFonts w:hint="default"/>
      </w:rPr>
    </w:lvl>
    <w:lvl w:ilvl="8">
      <w:start w:val="1"/>
      <w:numFmt w:val="bullet"/>
      <w:lvlText w:val="•"/>
      <w:lvlJc w:val="left"/>
      <w:pPr>
        <w:ind w:left="4611" w:hanging="708"/>
      </w:pPr>
      <w:rPr>
        <w:rFonts w:hint="default"/>
      </w:rPr>
    </w:lvl>
  </w:abstractNum>
  <w:abstractNum w:abstractNumId="9">
    <w:multiLevelType w:val="hybridMultilevel"/>
    <w:lvl w:ilvl="0">
      <w:start w:val="1"/>
      <w:numFmt w:val="decimal"/>
      <w:lvlText w:val="%1."/>
      <w:lvlJc w:val="left"/>
      <w:pPr>
        <w:ind w:left="915" w:hanging="360"/>
        <w:jc w:val="right"/>
      </w:pPr>
      <w:rPr>
        <w:rFonts w:hint="default"/>
        <w:spacing w:val="-23"/>
        <w:w w:val="100"/>
      </w:rPr>
    </w:lvl>
    <w:lvl w:ilvl="1">
      <w:start w:val="1"/>
      <w:numFmt w:val="bullet"/>
      <w:lvlText w:val="•"/>
      <w:lvlJc w:val="left"/>
      <w:pPr>
        <w:ind w:left="920" w:hanging="360"/>
      </w:pPr>
      <w:rPr>
        <w:rFonts w:hint="default"/>
      </w:rPr>
    </w:lvl>
    <w:lvl w:ilvl="2">
      <w:start w:val="1"/>
      <w:numFmt w:val="bullet"/>
      <w:lvlText w:val="•"/>
      <w:lvlJc w:val="left"/>
      <w:pPr>
        <w:ind w:left="1394" w:hanging="360"/>
      </w:pPr>
      <w:rPr>
        <w:rFonts w:hint="default"/>
      </w:rPr>
    </w:lvl>
    <w:lvl w:ilvl="3">
      <w:start w:val="1"/>
      <w:numFmt w:val="bullet"/>
      <w:lvlText w:val="•"/>
      <w:lvlJc w:val="left"/>
      <w:pPr>
        <w:ind w:left="1868" w:hanging="360"/>
      </w:pPr>
      <w:rPr>
        <w:rFonts w:hint="default"/>
      </w:rPr>
    </w:lvl>
    <w:lvl w:ilvl="4">
      <w:start w:val="1"/>
      <w:numFmt w:val="bullet"/>
      <w:lvlText w:val="•"/>
      <w:lvlJc w:val="left"/>
      <w:pPr>
        <w:ind w:left="2342" w:hanging="360"/>
      </w:pPr>
      <w:rPr>
        <w:rFonts w:hint="default"/>
      </w:rPr>
    </w:lvl>
    <w:lvl w:ilvl="5">
      <w:start w:val="1"/>
      <w:numFmt w:val="bullet"/>
      <w:lvlText w:val="•"/>
      <w:lvlJc w:val="left"/>
      <w:pPr>
        <w:ind w:left="2816" w:hanging="360"/>
      </w:pPr>
      <w:rPr>
        <w:rFonts w:hint="default"/>
      </w:rPr>
    </w:lvl>
    <w:lvl w:ilvl="6">
      <w:start w:val="1"/>
      <w:numFmt w:val="bullet"/>
      <w:lvlText w:val="•"/>
      <w:lvlJc w:val="left"/>
      <w:pPr>
        <w:ind w:left="3291" w:hanging="360"/>
      </w:pPr>
      <w:rPr>
        <w:rFonts w:hint="default"/>
      </w:rPr>
    </w:lvl>
    <w:lvl w:ilvl="7">
      <w:start w:val="1"/>
      <w:numFmt w:val="bullet"/>
      <w:lvlText w:val="•"/>
      <w:lvlJc w:val="left"/>
      <w:pPr>
        <w:ind w:left="3765" w:hanging="360"/>
      </w:pPr>
      <w:rPr>
        <w:rFonts w:hint="default"/>
      </w:rPr>
    </w:lvl>
    <w:lvl w:ilvl="8">
      <w:start w:val="1"/>
      <w:numFmt w:val="bullet"/>
      <w:lvlText w:val="•"/>
      <w:lvlJc w:val="left"/>
      <w:pPr>
        <w:ind w:left="4239" w:hanging="360"/>
      </w:pPr>
      <w:rPr>
        <w:rFonts w:hint="default"/>
      </w:rPr>
    </w:lvl>
  </w:abstractNum>
  <w:abstractNum w:abstractNumId="8">
    <w:multiLevelType w:val="hybridMultilevel"/>
    <w:lvl w:ilvl="0">
      <w:start w:val="3"/>
      <w:numFmt w:val="decimal"/>
      <w:lvlText w:val="%1"/>
      <w:lvlJc w:val="left"/>
      <w:pPr>
        <w:ind w:left="630" w:hanging="360"/>
        <w:jc w:val="left"/>
      </w:pPr>
      <w:rPr>
        <w:rFonts w:hint="default"/>
      </w:rPr>
    </w:lvl>
    <w:lvl w:ilvl="1">
      <w:start w:val="1"/>
      <w:numFmt w:val="decimal"/>
      <w:lvlText w:val="%1.%2"/>
      <w:lvlJc w:val="left"/>
      <w:pPr>
        <w:ind w:left="630" w:hanging="360"/>
        <w:jc w:val="left"/>
      </w:pPr>
      <w:rPr>
        <w:rFonts w:hint="default" w:ascii="Times New Roman" w:hAnsi="Times New Roman" w:eastAsia="Times New Roman" w:cs="Times New Roman"/>
        <w:b/>
        <w:bCs/>
        <w:spacing w:val="-1"/>
        <w:w w:val="100"/>
        <w:sz w:val="18"/>
        <w:szCs w:val="18"/>
      </w:rPr>
    </w:lvl>
    <w:lvl w:ilvl="2">
      <w:start w:val="1"/>
      <w:numFmt w:val="bullet"/>
      <w:lvlText w:val=""/>
      <w:lvlJc w:val="left"/>
      <w:pPr>
        <w:ind w:left="990" w:hanging="348"/>
      </w:pPr>
      <w:rPr>
        <w:rFonts w:hint="default" w:ascii="Symbol" w:hAnsi="Symbol" w:eastAsia="Symbol" w:cs="Symbol"/>
        <w:w w:val="99"/>
        <w:sz w:val="18"/>
        <w:szCs w:val="18"/>
      </w:rPr>
    </w:lvl>
    <w:lvl w:ilvl="3">
      <w:start w:val="1"/>
      <w:numFmt w:val="bullet"/>
      <w:lvlText w:val="•"/>
      <w:lvlJc w:val="left"/>
      <w:pPr>
        <w:ind w:left="2070" w:hanging="348"/>
      </w:pPr>
      <w:rPr>
        <w:rFonts w:hint="default"/>
      </w:rPr>
    </w:lvl>
    <w:lvl w:ilvl="4">
      <w:start w:val="1"/>
      <w:numFmt w:val="bullet"/>
      <w:lvlText w:val="•"/>
      <w:lvlJc w:val="left"/>
      <w:pPr>
        <w:ind w:left="2605" w:hanging="348"/>
      </w:pPr>
      <w:rPr>
        <w:rFonts w:hint="default"/>
      </w:rPr>
    </w:lvl>
    <w:lvl w:ilvl="5">
      <w:start w:val="1"/>
      <w:numFmt w:val="bullet"/>
      <w:lvlText w:val="•"/>
      <w:lvlJc w:val="left"/>
      <w:pPr>
        <w:ind w:left="3140" w:hanging="348"/>
      </w:pPr>
      <w:rPr>
        <w:rFonts w:hint="default"/>
      </w:rPr>
    </w:lvl>
    <w:lvl w:ilvl="6">
      <w:start w:val="1"/>
      <w:numFmt w:val="bullet"/>
      <w:lvlText w:val="•"/>
      <w:lvlJc w:val="left"/>
      <w:pPr>
        <w:ind w:left="3675" w:hanging="348"/>
      </w:pPr>
      <w:rPr>
        <w:rFonts w:hint="default"/>
      </w:rPr>
    </w:lvl>
    <w:lvl w:ilvl="7">
      <w:start w:val="1"/>
      <w:numFmt w:val="bullet"/>
      <w:lvlText w:val="•"/>
      <w:lvlJc w:val="left"/>
      <w:pPr>
        <w:ind w:left="4210" w:hanging="348"/>
      </w:pPr>
      <w:rPr>
        <w:rFonts w:hint="default"/>
      </w:rPr>
    </w:lvl>
    <w:lvl w:ilvl="8">
      <w:start w:val="1"/>
      <w:numFmt w:val="bullet"/>
      <w:lvlText w:val="•"/>
      <w:lvlJc w:val="left"/>
      <w:pPr>
        <w:ind w:left="4745" w:hanging="348"/>
      </w:pPr>
      <w:rPr>
        <w:rFonts w:hint="default"/>
      </w:rPr>
    </w:lvl>
  </w:abstractNum>
  <w:abstractNum w:abstractNumId="7">
    <w:multiLevelType w:val="hybridMultilevel"/>
    <w:lvl w:ilvl="0">
      <w:start w:val="2"/>
      <w:numFmt w:val="decimal"/>
      <w:lvlText w:val="%1"/>
      <w:lvlJc w:val="left"/>
      <w:pPr>
        <w:ind w:left="676" w:hanging="406"/>
        <w:jc w:val="left"/>
      </w:pPr>
      <w:rPr>
        <w:rFonts w:hint="default"/>
      </w:rPr>
    </w:lvl>
    <w:lvl w:ilvl="1">
      <w:start w:val="11"/>
      <w:numFmt w:val="decimal"/>
      <w:lvlText w:val="%1.%2"/>
      <w:lvlJc w:val="left"/>
      <w:pPr>
        <w:ind w:left="676" w:hanging="406"/>
        <w:jc w:val="left"/>
      </w:pPr>
      <w:rPr>
        <w:rFonts w:hint="default" w:ascii="Times New Roman" w:hAnsi="Times New Roman" w:eastAsia="Times New Roman" w:cs="Times New Roman"/>
        <w:b/>
        <w:bCs/>
        <w:spacing w:val="-1"/>
        <w:w w:val="100"/>
        <w:sz w:val="18"/>
        <w:szCs w:val="18"/>
      </w:rPr>
    </w:lvl>
    <w:lvl w:ilvl="2">
      <w:start w:val="1"/>
      <w:numFmt w:val="bullet"/>
      <w:lvlText w:val="•"/>
      <w:lvlJc w:val="left"/>
      <w:pPr>
        <w:ind w:left="1707" w:hanging="406"/>
      </w:pPr>
      <w:rPr>
        <w:rFonts w:hint="default"/>
      </w:rPr>
    </w:lvl>
    <w:lvl w:ilvl="3">
      <w:start w:val="1"/>
      <w:numFmt w:val="bullet"/>
      <w:lvlText w:val="•"/>
      <w:lvlJc w:val="left"/>
      <w:pPr>
        <w:ind w:left="2220" w:hanging="406"/>
      </w:pPr>
      <w:rPr>
        <w:rFonts w:hint="default"/>
      </w:rPr>
    </w:lvl>
    <w:lvl w:ilvl="4">
      <w:start w:val="1"/>
      <w:numFmt w:val="bullet"/>
      <w:lvlText w:val="•"/>
      <w:lvlJc w:val="left"/>
      <w:pPr>
        <w:ind w:left="2734" w:hanging="406"/>
      </w:pPr>
      <w:rPr>
        <w:rFonts w:hint="default"/>
      </w:rPr>
    </w:lvl>
    <w:lvl w:ilvl="5">
      <w:start w:val="1"/>
      <w:numFmt w:val="bullet"/>
      <w:lvlText w:val="•"/>
      <w:lvlJc w:val="left"/>
      <w:pPr>
        <w:ind w:left="3247" w:hanging="406"/>
      </w:pPr>
      <w:rPr>
        <w:rFonts w:hint="default"/>
      </w:rPr>
    </w:lvl>
    <w:lvl w:ilvl="6">
      <w:start w:val="1"/>
      <w:numFmt w:val="bullet"/>
      <w:lvlText w:val="•"/>
      <w:lvlJc w:val="left"/>
      <w:pPr>
        <w:ind w:left="3761" w:hanging="406"/>
      </w:pPr>
      <w:rPr>
        <w:rFonts w:hint="default"/>
      </w:rPr>
    </w:lvl>
    <w:lvl w:ilvl="7">
      <w:start w:val="1"/>
      <w:numFmt w:val="bullet"/>
      <w:lvlText w:val="•"/>
      <w:lvlJc w:val="left"/>
      <w:pPr>
        <w:ind w:left="4274" w:hanging="406"/>
      </w:pPr>
      <w:rPr>
        <w:rFonts w:hint="default"/>
      </w:rPr>
    </w:lvl>
    <w:lvl w:ilvl="8">
      <w:start w:val="1"/>
      <w:numFmt w:val="bullet"/>
      <w:lvlText w:val="•"/>
      <w:lvlJc w:val="left"/>
      <w:pPr>
        <w:ind w:left="4788" w:hanging="406"/>
      </w:pPr>
      <w:rPr>
        <w:rFonts w:hint="default"/>
      </w:rPr>
    </w:lvl>
  </w:abstractNum>
  <w:abstractNum w:abstractNumId="6">
    <w:multiLevelType w:val="hybridMultilevel"/>
    <w:lvl w:ilvl="0">
      <w:start w:val="2"/>
      <w:numFmt w:val="decimal"/>
      <w:lvlText w:val="%1"/>
      <w:lvlJc w:val="left"/>
      <w:pPr>
        <w:ind w:left="630" w:hanging="360"/>
        <w:jc w:val="left"/>
      </w:pPr>
      <w:rPr>
        <w:rFonts w:hint="default"/>
      </w:rPr>
    </w:lvl>
    <w:lvl w:ilvl="1">
      <w:start w:val="5"/>
      <w:numFmt w:val="decimal"/>
      <w:lvlText w:val="%1.%2"/>
      <w:lvlJc w:val="left"/>
      <w:pPr>
        <w:ind w:left="630" w:hanging="360"/>
        <w:jc w:val="left"/>
      </w:pPr>
      <w:rPr>
        <w:rFonts w:hint="default" w:ascii="Times New Roman" w:hAnsi="Times New Roman" w:eastAsia="Times New Roman" w:cs="Times New Roman"/>
        <w:b/>
        <w:bCs/>
        <w:spacing w:val="-2"/>
        <w:w w:val="100"/>
        <w:sz w:val="18"/>
        <w:szCs w:val="18"/>
      </w:rPr>
    </w:lvl>
    <w:lvl w:ilvl="2">
      <w:start w:val="1"/>
      <w:numFmt w:val="bullet"/>
      <w:lvlText w:val="•"/>
      <w:lvlJc w:val="left"/>
      <w:pPr>
        <w:ind w:left="1549" w:hanging="360"/>
      </w:pPr>
      <w:rPr>
        <w:rFonts w:hint="default"/>
      </w:rPr>
    </w:lvl>
    <w:lvl w:ilvl="3">
      <w:start w:val="1"/>
      <w:numFmt w:val="bullet"/>
      <w:lvlText w:val="•"/>
      <w:lvlJc w:val="left"/>
      <w:pPr>
        <w:ind w:left="2004" w:hanging="360"/>
      </w:pPr>
      <w:rPr>
        <w:rFonts w:hint="default"/>
      </w:rPr>
    </w:lvl>
    <w:lvl w:ilvl="4">
      <w:start w:val="1"/>
      <w:numFmt w:val="bullet"/>
      <w:lvlText w:val="•"/>
      <w:lvlJc w:val="left"/>
      <w:pPr>
        <w:ind w:left="2459" w:hanging="360"/>
      </w:pPr>
      <w:rPr>
        <w:rFonts w:hint="default"/>
      </w:rPr>
    </w:lvl>
    <w:lvl w:ilvl="5">
      <w:start w:val="1"/>
      <w:numFmt w:val="bullet"/>
      <w:lvlText w:val="•"/>
      <w:lvlJc w:val="left"/>
      <w:pPr>
        <w:ind w:left="2914" w:hanging="360"/>
      </w:pPr>
      <w:rPr>
        <w:rFonts w:hint="default"/>
      </w:rPr>
    </w:lvl>
    <w:lvl w:ilvl="6">
      <w:start w:val="1"/>
      <w:numFmt w:val="bullet"/>
      <w:lvlText w:val="•"/>
      <w:lvlJc w:val="left"/>
      <w:pPr>
        <w:ind w:left="3369" w:hanging="360"/>
      </w:pPr>
      <w:rPr>
        <w:rFonts w:hint="default"/>
      </w:rPr>
    </w:lvl>
    <w:lvl w:ilvl="7">
      <w:start w:val="1"/>
      <w:numFmt w:val="bullet"/>
      <w:lvlText w:val="•"/>
      <w:lvlJc w:val="left"/>
      <w:pPr>
        <w:ind w:left="3824" w:hanging="360"/>
      </w:pPr>
      <w:rPr>
        <w:rFonts w:hint="default"/>
      </w:rPr>
    </w:lvl>
    <w:lvl w:ilvl="8">
      <w:start w:val="1"/>
      <w:numFmt w:val="bullet"/>
      <w:lvlText w:val="•"/>
      <w:lvlJc w:val="left"/>
      <w:pPr>
        <w:ind w:left="4279" w:hanging="360"/>
      </w:pPr>
      <w:rPr>
        <w:rFonts w:hint="default"/>
      </w:rPr>
    </w:lvl>
  </w:abstractNum>
  <w:abstractNum w:abstractNumId="5">
    <w:multiLevelType w:val="hybridMultilevel"/>
    <w:lvl w:ilvl="0">
      <w:start w:val="1"/>
      <w:numFmt w:val="decimal"/>
      <w:lvlText w:val="%1."/>
      <w:lvlJc w:val="left"/>
      <w:pPr>
        <w:ind w:left="270" w:hanging="182"/>
        <w:jc w:val="left"/>
      </w:pPr>
      <w:rPr>
        <w:rFonts w:hint="default"/>
        <w:spacing w:val="-2"/>
        <w:w w:val="100"/>
      </w:rPr>
    </w:lvl>
    <w:lvl w:ilvl="1">
      <w:start w:val="1"/>
      <w:numFmt w:val="bullet"/>
      <w:lvlText w:val=""/>
      <w:lvlJc w:val="left"/>
      <w:pPr>
        <w:ind w:left="990" w:hanging="348"/>
      </w:pPr>
      <w:rPr>
        <w:rFonts w:hint="default" w:ascii="Symbol" w:hAnsi="Symbol" w:eastAsia="Symbol" w:cs="Symbol"/>
        <w:w w:val="99"/>
        <w:sz w:val="18"/>
        <w:szCs w:val="18"/>
      </w:rPr>
    </w:lvl>
    <w:lvl w:ilvl="2">
      <w:start w:val="1"/>
      <w:numFmt w:val="bullet"/>
      <w:lvlText w:val="•"/>
      <w:lvlJc w:val="left"/>
      <w:pPr>
        <w:ind w:left="1465" w:hanging="348"/>
      </w:pPr>
      <w:rPr>
        <w:rFonts w:hint="default"/>
      </w:rPr>
    </w:lvl>
    <w:lvl w:ilvl="3">
      <w:start w:val="1"/>
      <w:numFmt w:val="bullet"/>
      <w:lvlText w:val="•"/>
      <w:lvlJc w:val="left"/>
      <w:pPr>
        <w:ind w:left="1930" w:hanging="348"/>
      </w:pPr>
      <w:rPr>
        <w:rFonts w:hint="default"/>
      </w:rPr>
    </w:lvl>
    <w:lvl w:ilvl="4">
      <w:start w:val="1"/>
      <w:numFmt w:val="bullet"/>
      <w:lvlText w:val="•"/>
      <w:lvlJc w:val="left"/>
      <w:pPr>
        <w:ind w:left="2396" w:hanging="348"/>
      </w:pPr>
      <w:rPr>
        <w:rFonts w:hint="default"/>
      </w:rPr>
    </w:lvl>
    <w:lvl w:ilvl="5">
      <w:start w:val="1"/>
      <w:numFmt w:val="bullet"/>
      <w:lvlText w:val="•"/>
      <w:lvlJc w:val="left"/>
      <w:pPr>
        <w:ind w:left="2861" w:hanging="348"/>
      </w:pPr>
      <w:rPr>
        <w:rFonts w:hint="default"/>
      </w:rPr>
    </w:lvl>
    <w:lvl w:ilvl="6">
      <w:start w:val="1"/>
      <w:numFmt w:val="bullet"/>
      <w:lvlText w:val="•"/>
      <w:lvlJc w:val="left"/>
      <w:pPr>
        <w:ind w:left="3327" w:hanging="348"/>
      </w:pPr>
      <w:rPr>
        <w:rFonts w:hint="default"/>
      </w:rPr>
    </w:lvl>
    <w:lvl w:ilvl="7">
      <w:start w:val="1"/>
      <w:numFmt w:val="bullet"/>
      <w:lvlText w:val="•"/>
      <w:lvlJc w:val="left"/>
      <w:pPr>
        <w:ind w:left="3792" w:hanging="348"/>
      </w:pPr>
      <w:rPr>
        <w:rFonts w:hint="default"/>
      </w:rPr>
    </w:lvl>
    <w:lvl w:ilvl="8">
      <w:start w:val="1"/>
      <w:numFmt w:val="bullet"/>
      <w:lvlText w:val="•"/>
      <w:lvlJc w:val="left"/>
      <w:pPr>
        <w:ind w:left="4257" w:hanging="348"/>
      </w:pPr>
      <w:rPr>
        <w:rFonts w:hint="default"/>
      </w:rPr>
    </w:lvl>
  </w:abstractNum>
  <w:abstractNum w:abstractNumId="4">
    <w:multiLevelType w:val="hybridMultilevel"/>
    <w:lvl w:ilvl="0">
      <w:start w:val="2"/>
      <w:numFmt w:val="decimal"/>
      <w:lvlText w:val="%1"/>
      <w:lvlJc w:val="left"/>
      <w:pPr>
        <w:ind w:left="630" w:hanging="360"/>
        <w:jc w:val="left"/>
      </w:pPr>
      <w:rPr>
        <w:rFonts w:hint="default"/>
      </w:rPr>
    </w:lvl>
    <w:lvl w:ilvl="1">
      <w:start w:val="9"/>
      <w:numFmt w:val="decimal"/>
      <w:lvlText w:val="%1.%2"/>
      <w:lvlJc w:val="left"/>
      <w:pPr>
        <w:ind w:left="630" w:hanging="360"/>
        <w:jc w:val="left"/>
      </w:pPr>
      <w:rPr>
        <w:rFonts w:hint="default" w:ascii="Times New Roman" w:hAnsi="Times New Roman" w:eastAsia="Times New Roman" w:cs="Times New Roman"/>
        <w:b/>
        <w:bCs/>
        <w:spacing w:val="-1"/>
        <w:w w:val="100"/>
        <w:sz w:val="18"/>
        <w:szCs w:val="18"/>
      </w:rPr>
    </w:lvl>
    <w:lvl w:ilvl="2">
      <w:start w:val="1"/>
      <w:numFmt w:val="bullet"/>
      <w:lvlText w:val="•"/>
      <w:lvlJc w:val="left"/>
      <w:pPr>
        <w:ind w:left="1675" w:hanging="360"/>
      </w:pPr>
      <w:rPr>
        <w:rFonts w:hint="default"/>
      </w:rPr>
    </w:lvl>
    <w:lvl w:ilvl="3">
      <w:start w:val="1"/>
      <w:numFmt w:val="bullet"/>
      <w:lvlText w:val="•"/>
      <w:lvlJc w:val="left"/>
      <w:pPr>
        <w:ind w:left="2192" w:hanging="360"/>
      </w:pPr>
      <w:rPr>
        <w:rFonts w:hint="default"/>
      </w:rPr>
    </w:lvl>
    <w:lvl w:ilvl="4">
      <w:start w:val="1"/>
      <w:numFmt w:val="bullet"/>
      <w:lvlText w:val="•"/>
      <w:lvlJc w:val="left"/>
      <w:pPr>
        <w:ind w:left="2710" w:hanging="360"/>
      </w:pPr>
      <w:rPr>
        <w:rFonts w:hint="default"/>
      </w:rPr>
    </w:lvl>
    <w:lvl w:ilvl="5">
      <w:start w:val="1"/>
      <w:numFmt w:val="bullet"/>
      <w:lvlText w:val="•"/>
      <w:lvlJc w:val="left"/>
      <w:pPr>
        <w:ind w:left="3227" w:hanging="360"/>
      </w:pPr>
      <w:rPr>
        <w:rFonts w:hint="default"/>
      </w:rPr>
    </w:lvl>
    <w:lvl w:ilvl="6">
      <w:start w:val="1"/>
      <w:numFmt w:val="bullet"/>
      <w:lvlText w:val="•"/>
      <w:lvlJc w:val="left"/>
      <w:pPr>
        <w:ind w:left="3745" w:hanging="360"/>
      </w:pPr>
      <w:rPr>
        <w:rFonts w:hint="default"/>
      </w:rPr>
    </w:lvl>
    <w:lvl w:ilvl="7">
      <w:start w:val="1"/>
      <w:numFmt w:val="bullet"/>
      <w:lvlText w:val="•"/>
      <w:lvlJc w:val="left"/>
      <w:pPr>
        <w:ind w:left="4262" w:hanging="360"/>
      </w:pPr>
      <w:rPr>
        <w:rFonts w:hint="default"/>
      </w:rPr>
    </w:lvl>
    <w:lvl w:ilvl="8">
      <w:start w:val="1"/>
      <w:numFmt w:val="bullet"/>
      <w:lvlText w:val="•"/>
      <w:lvlJc w:val="left"/>
      <w:pPr>
        <w:ind w:left="4780" w:hanging="360"/>
      </w:pPr>
      <w:rPr>
        <w:rFonts w:hint="default"/>
      </w:rPr>
    </w:lvl>
  </w:abstractNum>
  <w:abstractNum w:abstractNumId="3">
    <w:multiLevelType w:val="hybridMultilevel"/>
    <w:lvl w:ilvl="0">
      <w:start w:val="1"/>
      <w:numFmt w:val="bullet"/>
      <w:lvlText w:val=""/>
      <w:lvlJc w:val="left"/>
      <w:pPr>
        <w:ind w:left="630" w:hanging="360"/>
      </w:pPr>
      <w:rPr>
        <w:rFonts w:hint="default" w:ascii="Symbol" w:hAnsi="Symbol" w:eastAsia="Symbol" w:cs="Symbol"/>
        <w:w w:val="99"/>
        <w:sz w:val="18"/>
        <w:szCs w:val="18"/>
      </w:rPr>
    </w:lvl>
    <w:lvl w:ilvl="1">
      <w:start w:val="1"/>
      <w:numFmt w:val="bullet"/>
      <w:lvlText w:val="•"/>
      <w:lvlJc w:val="left"/>
      <w:pPr>
        <w:ind w:left="1094" w:hanging="360"/>
      </w:pPr>
      <w:rPr>
        <w:rFonts w:hint="default"/>
      </w:rPr>
    </w:lvl>
    <w:lvl w:ilvl="2">
      <w:start w:val="1"/>
      <w:numFmt w:val="bullet"/>
      <w:lvlText w:val="•"/>
      <w:lvlJc w:val="left"/>
      <w:pPr>
        <w:ind w:left="1549" w:hanging="360"/>
      </w:pPr>
      <w:rPr>
        <w:rFonts w:hint="default"/>
      </w:rPr>
    </w:lvl>
    <w:lvl w:ilvl="3">
      <w:start w:val="1"/>
      <w:numFmt w:val="bullet"/>
      <w:lvlText w:val="•"/>
      <w:lvlJc w:val="left"/>
      <w:pPr>
        <w:ind w:left="2004" w:hanging="360"/>
      </w:pPr>
      <w:rPr>
        <w:rFonts w:hint="default"/>
      </w:rPr>
    </w:lvl>
    <w:lvl w:ilvl="4">
      <w:start w:val="1"/>
      <w:numFmt w:val="bullet"/>
      <w:lvlText w:val="•"/>
      <w:lvlJc w:val="left"/>
      <w:pPr>
        <w:ind w:left="2459" w:hanging="360"/>
      </w:pPr>
      <w:rPr>
        <w:rFonts w:hint="default"/>
      </w:rPr>
    </w:lvl>
    <w:lvl w:ilvl="5">
      <w:start w:val="1"/>
      <w:numFmt w:val="bullet"/>
      <w:lvlText w:val="•"/>
      <w:lvlJc w:val="left"/>
      <w:pPr>
        <w:ind w:left="2914" w:hanging="360"/>
      </w:pPr>
      <w:rPr>
        <w:rFonts w:hint="default"/>
      </w:rPr>
    </w:lvl>
    <w:lvl w:ilvl="6">
      <w:start w:val="1"/>
      <w:numFmt w:val="bullet"/>
      <w:lvlText w:val="•"/>
      <w:lvlJc w:val="left"/>
      <w:pPr>
        <w:ind w:left="3369" w:hanging="360"/>
      </w:pPr>
      <w:rPr>
        <w:rFonts w:hint="default"/>
      </w:rPr>
    </w:lvl>
    <w:lvl w:ilvl="7">
      <w:start w:val="1"/>
      <w:numFmt w:val="bullet"/>
      <w:lvlText w:val="•"/>
      <w:lvlJc w:val="left"/>
      <w:pPr>
        <w:ind w:left="3824" w:hanging="360"/>
      </w:pPr>
      <w:rPr>
        <w:rFonts w:hint="default"/>
      </w:rPr>
    </w:lvl>
    <w:lvl w:ilvl="8">
      <w:start w:val="1"/>
      <w:numFmt w:val="bullet"/>
      <w:lvlText w:val="•"/>
      <w:lvlJc w:val="left"/>
      <w:pPr>
        <w:ind w:left="4279" w:hanging="360"/>
      </w:pPr>
      <w:rPr>
        <w:rFonts w:hint="default"/>
      </w:rPr>
    </w:lvl>
  </w:abstractNum>
  <w:abstractNum w:abstractNumId="2">
    <w:multiLevelType w:val="hybridMultilevel"/>
    <w:lvl w:ilvl="0">
      <w:start w:val="1"/>
      <w:numFmt w:val="decimal"/>
      <w:lvlText w:val="%1."/>
      <w:lvlJc w:val="left"/>
      <w:pPr>
        <w:ind w:left="630" w:hanging="360"/>
        <w:jc w:val="left"/>
      </w:pPr>
      <w:rPr>
        <w:rFonts w:hint="default" w:ascii="Times New Roman" w:hAnsi="Times New Roman" w:eastAsia="Times New Roman" w:cs="Times New Roman"/>
        <w:b/>
        <w:bCs/>
        <w:w w:val="100"/>
        <w:sz w:val="18"/>
        <w:szCs w:val="18"/>
      </w:rPr>
    </w:lvl>
    <w:lvl w:ilvl="1">
      <w:start w:val="1"/>
      <w:numFmt w:val="decimal"/>
      <w:lvlText w:val="%1.%2"/>
      <w:lvlJc w:val="left"/>
      <w:pPr>
        <w:ind w:left="630" w:hanging="360"/>
        <w:jc w:val="left"/>
      </w:pPr>
      <w:rPr>
        <w:rFonts w:hint="default" w:ascii="Times New Roman" w:hAnsi="Times New Roman" w:eastAsia="Times New Roman" w:cs="Times New Roman"/>
        <w:b/>
        <w:bCs/>
        <w:spacing w:val="-1"/>
        <w:w w:val="100"/>
        <w:sz w:val="18"/>
        <w:szCs w:val="18"/>
      </w:rPr>
    </w:lvl>
    <w:lvl w:ilvl="2">
      <w:start w:val="1"/>
      <w:numFmt w:val="bullet"/>
      <w:lvlText w:val=""/>
      <w:lvlJc w:val="left"/>
      <w:pPr>
        <w:ind w:left="990" w:hanging="348"/>
      </w:pPr>
      <w:rPr>
        <w:rFonts w:hint="default" w:ascii="Symbol" w:hAnsi="Symbol" w:eastAsia="Symbol" w:cs="Symbol"/>
        <w:w w:val="99"/>
        <w:sz w:val="18"/>
        <w:szCs w:val="18"/>
      </w:rPr>
    </w:lvl>
    <w:lvl w:ilvl="3">
      <w:start w:val="1"/>
      <w:numFmt w:val="bullet"/>
      <w:lvlText w:val="•"/>
      <w:lvlJc w:val="left"/>
      <w:pPr>
        <w:ind w:left="820" w:hanging="348"/>
      </w:pPr>
      <w:rPr>
        <w:rFonts w:hint="default"/>
      </w:rPr>
    </w:lvl>
    <w:lvl w:ilvl="4">
      <w:start w:val="1"/>
      <w:numFmt w:val="bullet"/>
      <w:lvlText w:val="•"/>
      <w:lvlJc w:val="left"/>
      <w:pPr>
        <w:ind w:left="641" w:hanging="348"/>
      </w:pPr>
      <w:rPr>
        <w:rFonts w:hint="default"/>
      </w:rPr>
    </w:lvl>
    <w:lvl w:ilvl="5">
      <w:start w:val="1"/>
      <w:numFmt w:val="bullet"/>
      <w:lvlText w:val="•"/>
      <w:lvlJc w:val="left"/>
      <w:pPr>
        <w:ind w:left="461" w:hanging="348"/>
      </w:pPr>
      <w:rPr>
        <w:rFonts w:hint="default"/>
      </w:rPr>
    </w:lvl>
    <w:lvl w:ilvl="6">
      <w:start w:val="1"/>
      <w:numFmt w:val="bullet"/>
      <w:lvlText w:val="•"/>
      <w:lvlJc w:val="left"/>
      <w:pPr>
        <w:ind w:left="282" w:hanging="348"/>
      </w:pPr>
      <w:rPr>
        <w:rFonts w:hint="default"/>
      </w:rPr>
    </w:lvl>
    <w:lvl w:ilvl="7">
      <w:start w:val="1"/>
      <w:numFmt w:val="bullet"/>
      <w:lvlText w:val="•"/>
      <w:lvlJc w:val="left"/>
      <w:pPr>
        <w:ind w:left="103" w:hanging="348"/>
      </w:pPr>
      <w:rPr>
        <w:rFonts w:hint="default"/>
      </w:rPr>
    </w:lvl>
    <w:lvl w:ilvl="8">
      <w:start w:val="1"/>
      <w:numFmt w:val="bullet"/>
      <w:lvlText w:val="•"/>
      <w:lvlJc w:val="left"/>
      <w:pPr>
        <w:ind w:left="-77" w:hanging="348"/>
      </w:pPr>
      <w:rPr>
        <w:rFonts w:hint="default"/>
      </w:rPr>
    </w:lvl>
  </w:abstractNum>
  <w:abstractNum w:abstractNumId="1">
    <w:multiLevelType w:val="hybridMultilevel"/>
    <w:lvl w:ilvl="0">
      <w:start w:val="1"/>
      <w:numFmt w:val="bullet"/>
      <w:lvlText w:val="●"/>
      <w:lvlJc w:val="left"/>
      <w:pPr>
        <w:ind w:left="696" w:hanging="360"/>
      </w:pPr>
      <w:rPr>
        <w:rFonts w:hint="default" w:ascii="Times New Roman" w:hAnsi="Times New Roman" w:eastAsia="Times New Roman" w:cs="Times New Roman"/>
        <w:color w:val="202020"/>
        <w:spacing w:val="-13"/>
        <w:w w:val="99"/>
        <w:sz w:val="18"/>
        <w:szCs w:val="18"/>
      </w:rPr>
    </w:lvl>
    <w:lvl w:ilvl="1">
      <w:start w:val="1"/>
      <w:numFmt w:val="bullet"/>
      <w:lvlText w:val="•"/>
      <w:lvlJc w:val="left"/>
      <w:pPr>
        <w:ind w:left="1211" w:hanging="360"/>
      </w:pPr>
      <w:rPr>
        <w:rFonts w:hint="default"/>
      </w:rPr>
    </w:lvl>
    <w:lvl w:ilvl="2">
      <w:start w:val="1"/>
      <w:numFmt w:val="bullet"/>
      <w:lvlText w:val="•"/>
      <w:lvlJc w:val="left"/>
      <w:pPr>
        <w:ind w:left="1723" w:hanging="360"/>
      </w:pPr>
      <w:rPr>
        <w:rFonts w:hint="default"/>
      </w:rPr>
    </w:lvl>
    <w:lvl w:ilvl="3">
      <w:start w:val="1"/>
      <w:numFmt w:val="bullet"/>
      <w:lvlText w:val="•"/>
      <w:lvlJc w:val="left"/>
      <w:pPr>
        <w:ind w:left="2234" w:hanging="360"/>
      </w:pPr>
      <w:rPr>
        <w:rFonts w:hint="default"/>
      </w:rPr>
    </w:lvl>
    <w:lvl w:ilvl="4">
      <w:start w:val="1"/>
      <w:numFmt w:val="bullet"/>
      <w:lvlText w:val="•"/>
      <w:lvlJc w:val="left"/>
      <w:pPr>
        <w:ind w:left="2746" w:hanging="360"/>
      </w:pPr>
      <w:rPr>
        <w:rFonts w:hint="default"/>
      </w:rPr>
    </w:lvl>
    <w:lvl w:ilvl="5">
      <w:start w:val="1"/>
      <w:numFmt w:val="bullet"/>
      <w:lvlText w:val="•"/>
      <w:lvlJc w:val="left"/>
      <w:pPr>
        <w:ind w:left="3257" w:hanging="360"/>
      </w:pPr>
      <w:rPr>
        <w:rFonts w:hint="default"/>
      </w:rPr>
    </w:lvl>
    <w:lvl w:ilvl="6">
      <w:start w:val="1"/>
      <w:numFmt w:val="bullet"/>
      <w:lvlText w:val="•"/>
      <w:lvlJc w:val="left"/>
      <w:pPr>
        <w:ind w:left="3769" w:hanging="360"/>
      </w:pPr>
      <w:rPr>
        <w:rFonts w:hint="default"/>
      </w:rPr>
    </w:lvl>
    <w:lvl w:ilvl="7">
      <w:start w:val="1"/>
      <w:numFmt w:val="bullet"/>
      <w:lvlText w:val="•"/>
      <w:lvlJc w:val="left"/>
      <w:pPr>
        <w:ind w:left="4280" w:hanging="360"/>
      </w:pPr>
      <w:rPr>
        <w:rFonts w:hint="default"/>
      </w:rPr>
    </w:lvl>
    <w:lvl w:ilvl="8">
      <w:start w:val="1"/>
      <w:numFmt w:val="bullet"/>
      <w:lvlText w:val="•"/>
      <w:lvlJc w:val="left"/>
      <w:pPr>
        <w:ind w:left="4792" w:hanging="360"/>
      </w:pPr>
      <w:rPr>
        <w:rFonts w:hint="default"/>
      </w:rPr>
    </w:lvl>
  </w:abstractNum>
  <w:num w:numId="137">
    <w:abstractNumId w:val="136"/>
  </w:num>
  <w:num w:numId="69">
    <w:abstractNumId w:val="68"/>
  </w:num>
  <w:num w:numId="1">
    <w:abstractNumId w:val="0"/>
  </w:num>
  <w:num w:numId="185">
    <w:abstractNumId w:val="184"/>
  </w:num>
  <w:num w:numId="184">
    <w:abstractNumId w:val="183"/>
  </w:num>
  <w:num w:numId="183">
    <w:abstractNumId w:val="182"/>
  </w:num>
  <w:num w:numId="182">
    <w:abstractNumId w:val="181"/>
  </w:num>
  <w:num w:numId="181">
    <w:abstractNumId w:val="180"/>
  </w:num>
  <w:num w:numId="180">
    <w:abstractNumId w:val="179"/>
  </w:num>
  <w:num w:numId="179">
    <w:abstractNumId w:val="178"/>
  </w:num>
  <w:num w:numId="178">
    <w:abstractNumId w:val="177"/>
  </w:num>
  <w:num w:numId="177">
    <w:abstractNumId w:val="176"/>
  </w:num>
  <w:num w:numId="176">
    <w:abstractNumId w:val="175"/>
  </w:num>
  <w:num w:numId="175">
    <w:abstractNumId w:val="174"/>
  </w:num>
  <w:num w:numId="174">
    <w:abstractNumId w:val="173"/>
  </w:num>
  <w:num w:numId="173">
    <w:abstractNumId w:val="172"/>
  </w:num>
  <w:num w:numId="172">
    <w:abstractNumId w:val="171"/>
  </w:num>
  <w:num w:numId="171">
    <w:abstractNumId w:val="170"/>
  </w:num>
  <w:num w:numId="170">
    <w:abstractNumId w:val="169"/>
  </w:num>
  <w:num w:numId="169">
    <w:abstractNumId w:val="168"/>
  </w:num>
  <w:num w:numId="168">
    <w:abstractNumId w:val="167"/>
  </w:num>
  <w:num w:numId="167">
    <w:abstractNumId w:val="166"/>
  </w:num>
  <w:num w:numId="166">
    <w:abstractNumId w:val="165"/>
  </w:num>
  <w:num w:numId="165">
    <w:abstractNumId w:val="164"/>
  </w:num>
  <w:num w:numId="164">
    <w:abstractNumId w:val="163"/>
  </w:num>
  <w:num w:numId="163">
    <w:abstractNumId w:val="162"/>
  </w:num>
  <w:num w:numId="162">
    <w:abstractNumId w:val="161"/>
  </w:num>
  <w:num w:numId="161">
    <w:abstractNumId w:val="160"/>
  </w:num>
  <w:num w:numId="160">
    <w:abstractNumId w:val="159"/>
  </w:num>
  <w:num w:numId="159">
    <w:abstractNumId w:val="158"/>
  </w:num>
  <w:num w:numId="158">
    <w:abstractNumId w:val="157"/>
  </w:num>
  <w:num w:numId="157">
    <w:abstractNumId w:val="156"/>
  </w:num>
  <w:num w:numId="156">
    <w:abstractNumId w:val="155"/>
  </w:num>
  <w:num w:numId="155">
    <w:abstractNumId w:val="154"/>
  </w:num>
  <w:num w:numId="154">
    <w:abstractNumId w:val="153"/>
  </w:num>
  <w:num w:numId="153">
    <w:abstractNumId w:val="152"/>
  </w:num>
  <w:num w:numId="152">
    <w:abstractNumId w:val="151"/>
  </w:num>
  <w:num w:numId="151">
    <w:abstractNumId w:val="150"/>
  </w:num>
  <w:num w:numId="150">
    <w:abstractNumId w:val="149"/>
  </w:num>
  <w:num w:numId="149">
    <w:abstractNumId w:val="148"/>
  </w:num>
  <w:num w:numId="148">
    <w:abstractNumId w:val="147"/>
  </w:num>
  <w:num w:numId="147">
    <w:abstractNumId w:val="146"/>
  </w:num>
  <w:num w:numId="146">
    <w:abstractNumId w:val="145"/>
  </w:num>
  <w:num w:numId="145">
    <w:abstractNumId w:val="144"/>
  </w:num>
  <w:num w:numId="144">
    <w:abstractNumId w:val="143"/>
  </w:num>
  <w:num w:numId="143">
    <w:abstractNumId w:val="142"/>
  </w:num>
  <w:num w:numId="142">
    <w:abstractNumId w:val="141"/>
  </w:num>
  <w:num w:numId="141">
    <w:abstractNumId w:val="140"/>
  </w:num>
  <w:num w:numId="140">
    <w:abstractNumId w:val="139"/>
  </w:num>
  <w:num w:numId="139">
    <w:abstractNumId w:val="138"/>
  </w:num>
  <w:num w:numId="138">
    <w:abstractNumId w:val="137"/>
  </w:num>
  <w:num w:numId="136">
    <w:abstractNumId w:val="135"/>
  </w:num>
  <w:num w:numId="135">
    <w:abstractNumId w:val="134"/>
  </w:num>
  <w:num w:numId="134">
    <w:abstractNumId w:val="133"/>
  </w:num>
  <w:num w:numId="133">
    <w:abstractNumId w:val="132"/>
  </w:num>
  <w:num w:numId="132">
    <w:abstractNumId w:val="131"/>
  </w:num>
  <w:num w:numId="131">
    <w:abstractNumId w:val="130"/>
  </w:num>
  <w:num w:numId="130">
    <w:abstractNumId w:val="129"/>
  </w:num>
  <w:num w:numId="129">
    <w:abstractNumId w:val="128"/>
  </w:num>
  <w:num w:numId="128">
    <w:abstractNumId w:val="127"/>
  </w:num>
  <w:num w:numId="127">
    <w:abstractNumId w:val="126"/>
  </w:num>
  <w:num w:numId="126">
    <w:abstractNumId w:val="125"/>
  </w:num>
  <w:num w:numId="125">
    <w:abstractNumId w:val="124"/>
  </w:num>
  <w:num w:numId="124">
    <w:abstractNumId w:val="123"/>
  </w:num>
  <w:num w:numId="123">
    <w:abstractNumId w:val="122"/>
  </w:num>
  <w:num w:numId="122">
    <w:abstractNumId w:val="121"/>
  </w:num>
  <w:num w:numId="121">
    <w:abstractNumId w:val="120"/>
  </w:num>
  <w:num w:numId="120">
    <w:abstractNumId w:val="119"/>
  </w:num>
  <w:num w:numId="119">
    <w:abstractNumId w:val="118"/>
  </w:num>
  <w:num w:numId="118">
    <w:abstractNumId w:val="117"/>
  </w:num>
  <w:num w:numId="117">
    <w:abstractNumId w:val="116"/>
  </w:num>
  <w:num w:numId="116">
    <w:abstractNumId w:val="115"/>
  </w:num>
  <w:num w:numId="115">
    <w:abstractNumId w:val="114"/>
  </w:num>
  <w:num w:numId="114">
    <w:abstractNumId w:val="113"/>
  </w:num>
  <w:num w:numId="113">
    <w:abstractNumId w:val="112"/>
  </w:num>
  <w:num w:numId="112">
    <w:abstractNumId w:val="111"/>
  </w:num>
  <w:num w:numId="111">
    <w:abstractNumId w:val="110"/>
  </w:num>
  <w:num w:numId="110">
    <w:abstractNumId w:val="109"/>
  </w:num>
  <w:num w:numId="109">
    <w:abstractNumId w:val="108"/>
  </w:num>
  <w:num w:numId="108">
    <w:abstractNumId w:val="107"/>
  </w:num>
  <w:num w:numId="107">
    <w:abstractNumId w:val="106"/>
  </w:num>
  <w:num w:numId="106">
    <w:abstractNumId w:val="105"/>
  </w:num>
  <w:num w:numId="105">
    <w:abstractNumId w:val="104"/>
  </w:num>
  <w:num w:numId="104">
    <w:abstractNumId w:val="103"/>
  </w:num>
  <w:num w:numId="103">
    <w:abstractNumId w:val="102"/>
  </w:num>
  <w:num w:numId="102">
    <w:abstractNumId w:val="101"/>
  </w:num>
  <w:num w:numId="101">
    <w:abstractNumId w:val="100"/>
  </w:num>
  <w:num w:numId="100">
    <w:abstractNumId w:val="99"/>
  </w:num>
  <w:num w:numId="99">
    <w:abstractNumId w:val="98"/>
  </w:num>
  <w:num w:numId="98">
    <w:abstractNumId w:val="97"/>
  </w:num>
  <w:num w:numId="97">
    <w:abstractNumId w:val="96"/>
  </w:num>
  <w:num w:numId="96">
    <w:abstractNumId w:val="95"/>
  </w:num>
  <w:num w:numId="95">
    <w:abstractNumId w:val="94"/>
  </w:num>
  <w:num w:numId="94">
    <w:abstractNumId w:val="93"/>
  </w:num>
  <w:num w:numId="93">
    <w:abstractNumId w:val="92"/>
  </w:num>
  <w:num w:numId="92">
    <w:abstractNumId w:val="91"/>
  </w:num>
  <w:num w:numId="91">
    <w:abstractNumId w:val="90"/>
  </w:num>
  <w:num w:numId="90">
    <w:abstractNumId w:val="89"/>
  </w:num>
  <w:num w:numId="89">
    <w:abstractNumId w:val="88"/>
  </w:num>
  <w:num w:numId="88">
    <w:abstractNumId w:val="87"/>
  </w:num>
  <w:num w:numId="87">
    <w:abstractNumId w:val="86"/>
  </w:num>
  <w:num w:numId="86">
    <w:abstractNumId w:val="85"/>
  </w:num>
  <w:num w:numId="85">
    <w:abstractNumId w:val="84"/>
  </w:num>
  <w:num w:numId="84">
    <w:abstractNumId w:val="83"/>
  </w:num>
  <w:num w:numId="83">
    <w:abstractNumId w:val="82"/>
  </w:num>
  <w:num w:numId="82">
    <w:abstractNumId w:val="81"/>
  </w:num>
  <w:num w:numId="81">
    <w:abstractNumId w:val="80"/>
  </w:num>
  <w:num w:numId="80">
    <w:abstractNumId w:val="79"/>
  </w:num>
  <w:num w:numId="79">
    <w:abstractNumId w:val="78"/>
  </w:num>
  <w:num w:numId="78">
    <w:abstractNumId w:val="77"/>
  </w:num>
  <w:num w:numId="77">
    <w:abstractNumId w:val="76"/>
  </w:num>
  <w:num w:numId="76">
    <w:abstractNumId w:val="75"/>
  </w:num>
  <w:num w:numId="75">
    <w:abstractNumId w:val="74"/>
  </w:num>
  <w:num w:numId="74">
    <w:abstractNumId w:val="73"/>
  </w:num>
  <w:num w:numId="73">
    <w:abstractNumId w:val="72"/>
  </w:num>
  <w:num w:numId="72">
    <w:abstractNumId w:val="71"/>
  </w:num>
  <w:num w:numId="71">
    <w:abstractNumId w:val="70"/>
  </w:num>
  <w:num w:numId="70">
    <w:abstractNumId w:val="69"/>
  </w:num>
  <w:num w:numId="68">
    <w:abstractNumId w:val="67"/>
  </w:num>
  <w:num w:numId="67">
    <w:abstractNumId w:val="66"/>
  </w:num>
  <w:num w:numId="66">
    <w:abstractNumId w:val="65"/>
  </w:num>
  <w:num w:numId="65">
    <w:abstractNumId w:val="64"/>
  </w:num>
  <w:num w:numId="64">
    <w:abstractNumId w:val="63"/>
  </w:num>
  <w:num w:numId="63">
    <w:abstractNumId w:val="62"/>
  </w:num>
  <w:num w:numId="62">
    <w:abstractNumId w:val="61"/>
  </w:num>
  <w:num w:numId="61">
    <w:abstractNumId w:val="60"/>
  </w:num>
  <w:num w:numId="60">
    <w:abstractNumId w:val="59"/>
  </w:num>
  <w:num w:numId="59">
    <w:abstractNumId w:val="58"/>
  </w:num>
  <w:num w:numId="58">
    <w:abstractNumId w:val="57"/>
  </w:num>
  <w:num w:numId="57">
    <w:abstractNumId w:val="56"/>
  </w:num>
  <w:num w:numId="56">
    <w:abstractNumId w:val="55"/>
  </w:num>
  <w:num w:numId="55">
    <w:abstractNumId w:val="54"/>
  </w:num>
  <w:num w:numId="54">
    <w:abstractNumId w:val="53"/>
  </w: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487"/>
      <w:ind w:left="115"/>
    </w:pPr>
    <w:rPr>
      <w:rFonts w:ascii="Verdana" w:hAnsi="Verdana" w:eastAsia="Verdana" w:cs="Verdana"/>
      <w:b/>
      <w:bCs/>
      <w:sz w:val="24"/>
      <w:szCs w:val="24"/>
    </w:rPr>
  </w:style>
  <w:style w:styleId="TOC2" w:type="paragraph">
    <w:name w:val="TOC 2"/>
    <w:basedOn w:val="Normal"/>
    <w:uiPriority w:val="1"/>
    <w:qFormat/>
    <w:pPr>
      <w:spacing w:line="243" w:lineRule="exact"/>
      <w:ind w:left="115"/>
    </w:pPr>
    <w:rPr>
      <w:rFonts w:ascii="Verdana" w:hAnsi="Verdana" w:eastAsia="Verdana" w:cs="Verdana"/>
      <w:b/>
      <w:bCs/>
      <w:sz w:val="20"/>
      <w:szCs w:val="20"/>
    </w:rPr>
  </w:style>
  <w:style w:styleId="TOC3" w:type="paragraph">
    <w:name w:val="TOC 3"/>
    <w:basedOn w:val="Normal"/>
    <w:uiPriority w:val="1"/>
    <w:qFormat/>
    <w:pPr>
      <w:ind w:left="115"/>
    </w:pPr>
    <w:rPr>
      <w:rFonts w:ascii="Verdana" w:hAnsi="Verdana" w:eastAsia="Verdana" w:cs="Verdana"/>
      <w:sz w:val="20"/>
      <w:szCs w:val="20"/>
    </w:rPr>
  </w:style>
  <w:style w:styleId="TOC4" w:type="paragraph">
    <w:name w:val="TOC 4"/>
    <w:basedOn w:val="Normal"/>
    <w:uiPriority w:val="1"/>
    <w:qFormat/>
    <w:pPr>
      <w:ind w:left="223"/>
    </w:pPr>
    <w:rPr>
      <w:rFonts w:ascii="Verdana" w:hAnsi="Verdana" w:eastAsia="Verdana" w:cs="Verdana"/>
      <w:b/>
      <w:bCs/>
      <w:sz w:val="20"/>
      <w:szCs w:val="20"/>
    </w:rPr>
  </w:style>
  <w:style w:styleId="TOC5" w:type="paragraph">
    <w:name w:val="TOC 5"/>
    <w:basedOn w:val="Normal"/>
    <w:uiPriority w:val="1"/>
    <w:qFormat/>
    <w:pPr>
      <w:ind w:left="223" w:right="2530"/>
    </w:pPr>
    <w:rPr>
      <w:rFonts w:ascii="Verdana" w:hAnsi="Verdana" w:eastAsia="Verdana" w:cs="Verdana"/>
      <w:sz w:val="20"/>
      <w:szCs w:val="20"/>
    </w:rPr>
  </w:style>
  <w:style w:styleId="TOC6" w:type="paragraph">
    <w:name w:val="TOC 6"/>
    <w:basedOn w:val="Normal"/>
    <w:uiPriority w:val="1"/>
    <w:qFormat/>
    <w:pPr>
      <w:spacing w:before="193"/>
      <w:ind w:left="223"/>
    </w:pPr>
    <w:rPr>
      <w:rFonts w:ascii="Verdana" w:hAnsi="Verdana" w:eastAsia="Verdana" w:cs="Verdana"/>
      <w:b/>
      <w:bCs/>
      <w:i/>
    </w:rPr>
  </w:style>
  <w:style w:styleId="BodyText" w:type="paragraph">
    <w:name w:val="Body Text"/>
    <w:basedOn w:val="Normal"/>
    <w:uiPriority w:val="1"/>
    <w:qFormat/>
    <w:pPr/>
    <w:rPr>
      <w:rFonts w:ascii="Times New Roman" w:hAnsi="Times New Roman" w:eastAsia="Times New Roman" w:cs="Times New Roman"/>
      <w:sz w:val="20"/>
      <w:szCs w:val="20"/>
    </w:rPr>
  </w:style>
  <w:style w:styleId="Heading1" w:type="paragraph">
    <w:name w:val="Heading 1"/>
    <w:basedOn w:val="Normal"/>
    <w:uiPriority w:val="1"/>
    <w:qFormat/>
    <w:pPr>
      <w:ind w:left="270"/>
      <w:jc w:val="both"/>
      <w:outlineLvl w:val="1"/>
    </w:pPr>
    <w:rPr>
      <w:rFonts w:ascii="Times New Roman" w:hAnsi="Times New Roman" w:eastAsia="Times New Roman" w:cs="Times New Roman"/>
      <w:b/>
      <w:bCs/>
      <w:sz w:val="24"/>
      <w:szCs w:val="24"/>
    </w:rPr>
  </w:style>
  <w:style w:styleId="Heading2" w:type="paragraph">
    <w:name w:val="Heading 2"/>
    <w:basedOn w:val="Normal"/>
    <w:uiPriority w:val="1"/>
    <w:qFormat/>
    <w:pPr>
      <w:ind w:left="115" w:right="6"/>
      <w:outlineLvl w:val="2"/>
    </w:pPr>
    <w:rPr>
      <w:rFonts w:ascii="Verdana" w:hAnsi="Verdana" w:eastAsia="Verdana" w:cs="Verdana"/>
      <w:sz w:val="24"/>
      <w:szCs w:val="24"/>
    </w:rPr>
  </w:style>
  <w:style w:styleId="Heading3" w:type="paragraph">
    <w:name w:val="Heading 3"/>
    <w:basedOn w:val="Normal"/>
    <w:uiPriority w:val="1"/>
    <w:qFormat/>
    <w:pPr>
      <w:outlineLvl w:val="3"/>
    </w:pPr>
    <w:rPr>
      <w:rFonts w:ascii="Times New Roman" w:hAnsi="Times New Roman" w:eastAsia="Times New Roman" w:cs="Times New Roman"/>
      <w:sz w:val="22"/>
      <w:szCs w:val="22"/>
    </w:rPr>
  </w:style>
  <w:style w:styleId="Heading4" w:type="paragraph">
    <w:name w:val="Heading 4"/>
    <w:basedOn w:val="Normal"/>
    <w:uiPriority w:val="1"/>
    <w:qFormat/>
    <w:pPr>
      <w:ind w:left="270"/>
      <w:jc w:val="both"/>
      <w:outlineLvl w:val="4"/>
    </w:pPr>
    <w:rPr>
      <w:rFonts w:ascii="Times New Roman" w:hAnsi="Times New Roman" w:eastAsia="Times New Roman" w:cs="Times New Roman"/>
      <w:b/>
      <w:bCs/>
      <w:sz w:val="20"/>
      <w:szCs w:val="20"/>
    </w:rPr>
  </w:style>
  <w:style w:styleId="Heading5" w:type="paragraph">
    <w:name w:val="Heading 5"/>
    <w:basedOn w:val="Normal"/>
    <w:uiPriority w:val="1"/>
    <w:qFormat/>
    <w:pPr>
      <w:ind w:left="270"/>
      <w:jc w:val="both"/>
      <w:outlineLvl w:val="5"/>
    </w:pPr>
    <w:rPr>
      <w:rFonts w:ascii="Times New Roman" w:hAnsi="Times New Roman" w:eastAsia="Times New Roman" w:cs="Times New Roman"/>
      <w:b/>
      <w:bCs/>
      <w:i/>
      <w:sz w:val="20"/>
      <w:szCs w:val="20"/>
    </w:rPr>
  </w:style>
  <w:style w:styleId="ListParagraph" w:type="paragraph">
    <w:name w:val="List Paragraph"/>
    <w:basedOn w:val="Normal"/>
    <w:uiPriority w:val="1"/>
    <w:qFormat/>
    <w:pPr>
      <w:ind w:left="270" w:hanging="360"/>
      <w:jc w:val="both"/>
    </w:pPr>
    <w:rPr>
      <w:rFonts w:ascii="Times New Roman" w:hAnsi="Times New Roman" w:eastAsia="Times New Roman" w:cs="Times New Roman"/>
    </w:rPr>
  </w:style>
  <w:style w:styleId="TableParagraph" w:type="paragraph">
    <w:name w:val="Table Paragraph"/>
    <w:basedOn w:val="Normal"/>
    <w:uiPriority w:val="1"/>
    <w:qForma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header" Target="header2.xml"/><Relationship Id="rId7" Type="http://schemas.openxmlformats.org/officeDocument/2006/relationships/footer" Target="footer1.xml"/><Relationship Id="rId8" Type="http://schemas.openxmlformats.org/officeDocument/2006/relationships/hyperlink" Target="mailto:camipark13@hotmail.com" TargetMode="External"/><Relationship Id="rId9" Type="http://schemas.openxmlformats.org/officeDocument/2006/relationships/hyperlink" Target="mailto:natisleon@hotmail.com" TargetMode="External"/><Relationship Id="rId10" Type="http://schemas.openxmlformats.org/officeDocument/2006/relationships/hyperlink" Target="mailto:jorgeandrescruzl@gmail.com" TargetMode="External"/><Relationship Id="rId11" Type="http://schemas.openxmlformats.org/officeDocument/2006/relationships/hyperlink" Target="mailto:escruzl@gmail.com" TargetMode="External"/><Relationship Id="rId12" Type="http://schemas.openxmlformats.org/officeDocument/2006/relationships/hyperlink" Target="http://biblioteca.umb.edu.co/posgrados/salud_ocup" TargetMode="External"/><Relationship Id="rId13" Type="http://schemas.openxmlformats.org/officeDocument/2006/relationships/hyperlink" Target="http://www.um.es/geograf/sigmur/teledet/tema01.pdf" TargetMode="External"/><Relationship Id="rId14" Type="http://schemas.openxmlformats.org/officeDocument/2006/relationships/hyperlink" Target="http://fabiobartucci.wordpress.com/2011/12/30/estructura-" TargetMode="External"/><Relationship Id="rId15" Type="http://schemas.openxmlformats.org/officeDocument/2006/relationships/hyperlink" Target="mailto:nidia_killa@hotmail.com" TargetMode="External"/><Relationship Id="rId16" Type="http://schemas.openxmlformats.org/officeDocument/2006/relationships/hyperlink" Target="mailto:mauricio.lopez@itson.edu.mx" TargetMode="External"/><Relationship Id="rId17" Type="http://schemas.openxmlformats.org/officeDocument/2006/relationships/hyperlink" Target="mailto:jesus.sanchez@itson.edu.mx" TargetMode="External"/><Relationship Id="rId18" Type="http://schemas.openxmlformats.org/officeDocument/2006/relationships/image" Target="media/image1.jpeg"/><Relationship Id="rId19" Type="http://schemas.openxmlformats.org/officeDocument/2006/relationships/image" Target="media/image2.jpeg"/><Relationship Id="rId20" Type="http://schemas.openxmlformats.org/officeDocument/2006/relationships/image" Target="media/image3.png"/><Relationship Id="rId21" Type="http://schemas.openxmlformats.org/officeDocument/2006/relationships/image" Target="media/image4.png"/><Relationship Id="rId22" Type="http://schemas.openxmlformats.org/officeDocument/2006/relationships/image" Target="media/image5.png"/><Relationship Id="rId23" Type="http://schemas.openxmlformats.org/officeDocument/2006/relationships/image" Target="media/image6.png"/><Relationship Id="rId24" Type="http://schemas.openxmlformats.org/officeDocument/2006/relationships/image" Target="media/image7.png"/><Relationship Id="rId25" Type="http://schemas.openxmlformats.org/officeDocument/2006/relationships/image" Target="media/image8.png"/><Relationship Id="rId26" Type="http://schemas.openxmlformats.org/officeDocument/2006/relationships/image" Target="media/image9.png"/><Relationship Id="rId27" Type="http://schemas.openxmlformats.org/officeDocument/2006/relationships/image" Target="media/image10.png"/><Relationship Id="rId28" Type="http://schemas.openxmlformats.org/officeDocument/2006/relationships/hyperlink" Target="mailto:hector.trinidad@outlook.com" TargetMode="External"/><Relationship Id="rId29" Type="http://schemas.openxmlformats.org/officeDocument/2006/relationships/hyperlink" Target="mailto:pebmoon@gmail.com" TargetMode="External"/><Relationship Id="rId30" Type="http://schemas.openxmlformats.org/officeDocument/2006/relationships/hyperlink" Target="mailto:malenagonzalez@comunicadorgrafico.com" TargetMode="External"/><Relationship Id="rId31" Type="http://schemas.openxmlformats.org/officeDocument/2006/relationships/hyperlink" Target="mailto:elenaochoa88@hotmail.com" TargetMode="External"/><Relationship Id="rId32" Type="http://schemas.openxmlformats.org/officeDocument/2006/relationships/hyperlink" Target="mailto:john.reygalindo@gmail.com" TargetMode="External"/><Relationship Id="rId33" Type="http://schemas.openxmlformats.org/officeDocument/2006/relationships/hyperlink" Target="mailto:alindo@gmail.com" TargetMode="External"/><Relationship Id="rId34" Type="http://schemas.openxmlformats.org/officeDocument/2006/relationships/image" Target="media/image11.jpeg"/><Relationship Id="rId35" Type="http://schemas.openxmlformats.org/officeDocument/2006/relationships/image" Target="media/image12.jpeg"/><Relationship Id="rId36" Type="http://schemas.openxmlformats.org/officeDocument/2006/relationships/hyperlink" Target="mailto:rocanad@uaemex.mx" TargetMode="External"/><Relationship Id="rId37" Type="http://schemas.openxmlformats.org/officeDocument/2006/relationships/hyperlink" Target="mailto:arodriguezl@uaemex.mx" TargetMode="External"/><Relationship Id="rId38" Type="http://schemas.openxmlformats.org/officeDocument/2006/relationships/hyperlink" Target="mailto:fplatasl@uaemex.mx" TargetMode="External"/><Relationship Id="rId39" Type="http://schemas.openxmlformats.org/officeDocument/2006/relationships/hyperlink" Target="mailto:jzarurc@uaemex.mx" TargetMode="External"/><Relationship Id="rId40" Type="http://schemas.openxmlformats.org/officeDocument/2006/relationships/hyperlink" Target="http://www.eduinnova.es/mar2010/ergonomia_aula.pdf" TargetMode="External"/><Relationship Id="rId41" Type="http://schemas.openxmlformats.org/officeDocument/2006/relationships/hyperlink" Target="http://www.aq.upm.es/Departamentos/Fisica/UD-" TargetMode="External"/><Relationship Id="rId42" Type="http://schemas.openxmlformats.org/officeDocument/2006/relationships/hyperlink" Target="http://ingenieriadeltrabajo042010.wikispaces.com/file/view/" TargetMode="External"/><Relationship Id="rId43" Type="http://schemas.openxmlformats.org/officeDocument/2006/relationships/hyperlink" Target="mailto:93@hotmail.com" TargetMode="External"/><Relationship Id="rId44" Type="http://schemas.openxmlformats.org/officeDocument/2006/relationships/hyperlink" Target="mailto:jime_alvo09@hotmail.com" TargetMode="External"/><Relationship Id="rId45" Type="http://schemas.openxmlformats.org/officeDocument/2006/relationships/hyperlink" Target="mailto:mange_cinthia@hotmail.com" TargetMode="External"/><Relationship Id="rId46" Type="http://schemas.openxmlformats.org/officeDocument/2006/relationships/hyperlink" Target="mailto:jovaqui@caborca.uson.mx" TargetMode="External"/><Relationship Id="rId47" Type="http://schemas.openxmlformats.org/officeDocument/2006/relationships/hyperlink" Target="mailto:mgomez@caborca.uson.mx" TargetMode="External"/><Relationship Id="rId48" Type="http://schemas.openxmlformats.org/officeDocument/2006/relationships/image" Target="media/image13.jpeg"/><Relationship Id="rId49" Type="http://schemas.openxmlformats.org/officeDocument/2006/relationships/image" Target="media/image14.jpeg"/><Relationship Id="rId50" Type="http://schemas.openxmlformats.org/officeDocument/2006/relationships/image" Target="media/image15.jpeg"/><Relationship Id="rId51" Type="http://schemas.openxmlformats.org/officeDocument/2006/relationships/image" Target="media/image16.png"/><Relationship Id="rId52" Type="http://schemas.openxmlformats.org/officeDocument/2006/relationships/image" Target="media/image17.jpeg"/><Relationship Id="rId53" Type="http://schemas.openxmlformats.org/officeDocument/2006/relationships/image" Target="media/image18.jpeg"/><Relationship Id="rId54" Type="http://schemas.openxmlformats.org/officeDocument/2006/relationships/hyperlink" Target="http://www.integrando.org.ar/investigando/dis_visual.htm" TargetMode="External"/><Relationship Id="rId55" Type="http://schemas.openxmlformats.org/officeDocument/2006/relationships/hyperlink" Target="http://www.b1b2b3.org/es/Telefono_Ull/psicologia.html#Inicio" TargetMode="External"/><Relationship Id="rId56" Type="http://schemas.openxmlformats.org/officeDocument/2006/relationships/hyperlink" Target="http://www.muyinteresante.es/tecnologia/preguntas-" TargetMode="External"/><Relationship Id="rId57" Type="http://schemas.openxmlformats.org/officeDocument/2006/relationships/hyperlink" Target="http://www.who.int/mediacentre/factsheets/fs282/es/" TargetMode="External"/><Relationship Id="rId58" Type="http://schemas.openxmlformats.org/officeDocument/2006/relationships/hyperlink" Target="http://www.amfecco.org/article_estadisticas.php" TargetMode="External"/><Relationship Id="rId59" Type="http://schemas.openxmlformats.org/officeDocument/2006/relationships/hyperlink" Target="http://www.traumazaragoza.com/traumazaragoza.com/Documentac" TargetMode="External"/><Relationship Id="rId60" Type="http://schemas.openxmlformats.org/officeDocument/2006/relationships/hyperlink" Target="http://www.cochrane.org/es/CD009600/uso-de-equipos-o-posicion-" TargetMode="External"/><Relationship Id="rId61" Type="http://schemas.openxmlformats.org/officeDocument/2006/relationships/hyperlink" Target="http://sid.usal.es/libros/discapacidad/7191/8-12/ergonomia-" TargetMode="External"/><Relationship Id="rId62" Type="http://schemas.openxmlformats.org/officeDocument/2006/relationships/hyperlink" Target="http://sid.usal.es/idocs/F8/FDO7191/03p1.pdf" TargetMode="External"/><Relationship Id="rId63" Type="http://schemas.openxmlformats.org/officeDocument/2006/relationships/hyperlink" Target="http://sid.usal.es/idocs/F8/FDO7191/05p3.pdf" TargetMode="External"/><Relationship Id="rId64" Type="http://schemas.openxmlformats.org/officeDocument/2006/relationships/hyperlink" Target="http://ocw.um.es/gat/contenidos/palopez/contenidos/contenidos_po" TargetMode="External"/><Relationship Id="rId65" Type="http://schemas.openxmlformats.org/officeDocument/2006/relationships/hyperlink" Target="mailto:mafer.1105@gmail.com" TargetMode="External"/><Relationship Id="rId66" Type="http://schemas.openxmlformats.org/officeDocument/2006/relationships/image" Target="media/image19.png"/><Relationship Id="rId67" Type="http://schemas.openxmlformats.org/officeDocument/2006/relationships/image" Target="media/image20.png"/><Relationship Id="rId68" Type="http://schemas.openxmlformats.org/officeDocument/2006/relationships/image" Target="media/image21.png"/><Relationship Id="rId69" Type="http://schemas.openxmlformats.org/officeDocument/2006/relationships/image" Target="media/image22.png"/><Relationship Id="rId70" Type="http://schemas.openxmlformats.org/officeDocument/2006/relationships/image" Target="media/image23.png"/><Relationship Id="rId71" Type="http://schemas.openxmlformats.org/officeDocument/2006/relationships/image" Target="media/image24.jpeg"/><Relationship Id="rId72" Type="http://schemas.openxmlformats.org/officeDocument/2006/relationships/hyperlink" Target="mailto:karinaluna1@yahoo.com" TargetMode="External"/><Relationship Id="rId73" Type="http://schemas.openxmlformats.org/officeDocument/2006/relationships/hyperlink" Target="mailto:jesusgpechavezahumada@yahoo.com" TargetMode="External"/><Relationship Id="rId74" Type="http://schemas.openxmlformats.org/officeDocument/2006/relationships/hyperlink" Target="mailto:salvadorfranciscolugourias@outlook.com" TargetMode="External"/><Relationship Id="rId75" Type="http://schemas.openxmlformats.org/officeDocument/2006/relationships/image" Target="media/image25.jpeg"/><Relationship Id="rId76" Type="http://schemas.openxmlformats.org/officeDocument/2006/relationships/image" Target="media/image26.jpeg"/><Relationship Id="rId77" Type="http://schemas.openxmlformats.org/officeDocument/2006/relationships/image" Target="media/image27.jpeg"/><Relationship Id="rId78" Type="http://schemas.openxmlformats.org/officeDocument/2006/relationships/image" Target="media/image28.png"/><Relationship Id="rId79" Type="http://schemas.openxmlformats.org/officeDocument/2006/relationships/image" Target="media/image29.jpeg"/><Relationship Id="rId80" Type="http://schemas.openxmlformats.org/officeDocument/2006/relationships/image" Target="media/image30.jpeg"/><Relationship Id="rId81" Type="http://schemas.openxmlformats.org/officeDocument/2006/relationships/image" Target="media/image31.jpeg"/><Relationship Id="rId82" Type="http://schemas.openxmlformats.org/officeDocument/2006/relationships/image" Target="media/image32.jpeg"/><Relationship Id="rId83" Type="http://schemas.openxmlformats.org/officeDocument/2006/relationships/image" Target="media/image33.jpeg"/><Relationship Id="rId84" Type="http://schemas.openxmlformats.org/officeDocument/2006/relationships/image" Target="media/image34.jpeg"/><Relationship Id="rId85" Type="http://schemas.openxmlformats.org/officeDocument/2006/relationships/image" Target="media/image35.jpeg"/><Relationship Id="rId86" Type="http://schemas.openxmlformats.org/officeDocument/2006/relationships/image" Target="media/image36.jpeg"/><Relationship Id="rId87" Type="http://schemas.openxmlformats.org/officeDocument/2006/relationships/image" Target="media/image37.jpeg"/><Relationship Id="rId88" Type="http://schemas.openxmlformats.org/officeDocument/2006/relationships/image" Target="media/image38.jpeg"/><Relationship Id="rId89" Type="http://schemas.openxmlformats.org/officeDocument/2006/relationships/image" Target="media/image39.jpeg"/><Relationship Id="rId90" Type="http://schemas.openxmlformats.org/officeDocument/2006/relationships/image" Target="media/image40.jpeg"/><Relationship Id="rId91" Type="http://schemas.openxmlformats.org/officeDocument/2006/relationships/image" Target="media/image41.jpeg"/><Relationship Id="rId92" Type="http://schemas.openxmlformats.org/officeDocument/2006/relationships/image" Target="media/image42.jpeg"/><Relationship Id="rId93" Type="http://schemas.openxmlformats.org/officeDocument/2006/relationships/hyperlink" Target="http://www.semac.org.mx/archivos/congreso11/ANTRO4.pdf" TargetMode="External"/><Relationship Id="rId94" Type="http://schemas.openxmlformats.org/officeDocument/2006/relationships/hyperlink" Target="http://www.navarra.es/NR/rdonlyres/76DF548D-" TargetMode="External"/><Relationship Id="rId95" Type="http://schemas.openxmlformats.org/officeDocument/2006/relationships/hyperlink" Target="http://download.microsoft.com/download/E/4/1/E413E1EC-B4E7-" TargetMode="External"/><Relationship Id="rId96" Type="http://schemas.openxmlformats.org/officeDocument/2006/relationships/hyperlink" Target="http://www.tlalpan.uvmnet.edu/oiid/download/Mouse%20USB_04" TargetMode="External"/><Relationship Id="rId97" Type="http://schemas.openxmlformats.org/officeDocument/2006/relationships/hyperlink" Target="mailto:1diana_estrella3@hotmail.com.mx" TargetMode="External"/><Relationship Id="rId98" Type="http://schemas.openxmlformats.org/officeDocument/2006/relationships/hyperlink" Target="mailto:2yboyzo11@itscc.edu.mx" TargetMode="External"/><Relationship Id="rId99" Type="http://schemas.openxmlformats.org/officeDocument/2006/relationships/hyperlink" Target="mailto:3fprado@itscc.edu.mx" TargetMode="External"/><Relationship Id="rId100" Type="http://schemas.openxmlformats.org/officeDocument/2006/relationships/image" Target="media/image43.jpeg"/><Relationship Id="rId101" Type="http://schemas.openxmlformats.org/officeDocument/2006/relationships/image" Target="media/image44.png"/><Relationship Id="rId102" Type="http://schemas.openxmlformats.org/officeDocument/2006/relationships/image" Target="media/image45.jpeg"/><Relationship Id="rId103" Type="http://schemas.openxmlformats.org/officeDocument/2006/relationships/hyperlink" Target="mailto:135611@alumnos.uacj.mxa" TargetMode="External"/><Relationship Id="rId104" Type="http://schemas.openxmlformats.org/officeDocument/2006/relationships/hyperlink" Target="mailto:135620@alumnos.uacj.mxb" TargetMode="External"/><Relationship Id="rId105" Type="http://schemas.openxmlformats.org/officeDocument/2006/relationships/hyperlink" Target="mailto:amaldona@uacj.mxc" TargetMode="External"/><Relationship Id="rId106" Type="http://schemas.openxmlformats.org/officeDocument/2006/relationships/hyperlink" Target="mailto:jorge.garcia@alumnos.uacj.mxd" TargetMode="External"/><Relationship Id="rId107" Type="http://schemas.openxmlformats.org/officeDocument/2006/relationships/hyperlink" Target="mailto:luis.hernandez@alumnos.uacj.mxe" TargetMode="External"/><Relationship Id="rId108" Type="http://schemas.openxmlformats.org/officeDocument/2006/relationships/image" Target="media/image46.jpeg"/><Relationship Id="rId109" Type="http://schemas.openxmlformats.org/officeDocument/2006/relationships/hyperlink" Target="mailto:ghernan@tectijuana.mx" TargetMode="External"/><Relationship Id="rId110" Type="http://schemas.openxmlformats.org/officeDocument/2006/relationships/hyperlink" Target="mailto:da2@lubs.leeds.ac.uk" TargetMode="External"/><Relationship Id="rId111" Type="http://schemas.openxmlformats.org/officeDocument/2006/relationships/hyperlink" Target="mailto:adp@lubs.leeds.ac.uk" TargetMode="External"/><Relationship Id="rId112" Type="http://schemas.openxmlformats.org/officeDocument/2006/relationships/hyperlink" Target="http://www.iscramlive.org/ISCRAM2011/proceedings/papers/1" TargetMode="External"/><Relationship Id="rId113" Type="http://schemas.openxmlformats.org/officeDocument/2006/relationships/hyperlink" Target="mailto:just_doit@live.com.mx" TargetMode="External"/><Relationship Id="rId114" Type="http://schemas.openxmlformats.org/officeDocument/2006/relationships/hyperlink" Target="mailto:laura.dahmer@hotmail.com" TargetMode="External"/><Relationship Id="rId115" Type="http://schemas.openxmlformats.org/officeDocument/2006/relationships/hyperlink" Target="mailto:jael2222@hotmail.com" TargetMode="External"/><Relationship Id="rId116" Type="http://schemas.openxmlformats.org/officeDocument/2006/relationships/image" Target="media/image47.jpeg"/><Relationship Id="rId117" Type="http://schemas.openxmlformats.org/officeDocument/2006/relationships/image" Target="media/image48.jpeg"/><Relationship Id="rId118" Type="http://schemas.openxmlformats.org/officeDocument/2006/relationships/image" Target="media/image49.jpeg"/><Relationship Id="rId119" Type="http://schemas.openxmlformats.org/officeDocument/2006/relationships/image" Target="media/image50.jpeg"/><Relationship Id="rId120" Type="http://schemas.openxmlformats.org/officeDocument/2006/relationships/hyperlink" Target="mailto:drlamberto@gmail.com" TargetMode="External"/><Relationship Id="rId121" Type="http://schemas.openxmlformats.org/officeDocument/2006/relationships/hyperlink" Target="mailto:karen_pretties@hotmail.com" TargetMode="External"/><Relationship Id="rId122" Type="http://schemas.openxmlformats.org/officeDocument/2006/relationships/hyperlink" Target="mailto:ricardoglez_industrial@hotmail.com" TargetMode="External"/><Relationship Id="rId123" Type="http://schemas.openxmlformats.org/officeDocument/2006/relationships/hyperlink" Target="mailto:spolitecnicas@yahoo.com" TargetMode="External"/><Relationship Id="rId124" Type="http://schemas.openxmlformats.org/officeDocument/2006/relationships/image" Target="media/image51.jpeg"/><Relationship Id="rId125" Type="http://schemas.openxmlformats.org/officeDocument/2006/relationships/image" Target="media/image52.jpeg"/><Relationship Id="rId126" Type="http://schemas.openxmlformats.org/officeDocument/2006/relationships/image" Target="media/image53.jpeg"/><Relationship Id="rId127" Type="http://schemas.openxmlformats.org/officeDocument/2006/relationships/image" Target="media/image54.jpeg"/><Relationship Id="rId128" Type="http://schemas.openxmlformats.org/officeDocument/2006/relationships/image" Target="media/image55.jpeg"/><Relationship Id="rId129" Type="http://schemas.openxmlformats.org/officeDocument/2006/relationships/image" Target="media/image56.jpeg"/><Relationship Id="rId130" Type="http://schemas.openxmlformats.org/officeDocument/2006/relationships/image" Target="media/image57.jpeg"/><Relationship Id="rId131" Type="http://schemas.openxmlformats.org/officeDocument/2006/relationships/hyperlink" Target="mailto:lvaldez_888@hotmail.com" TargetMode="External"/><Relationship Id="rId132" Type="http://schemas.openxmlformats.org/officeDocument/2006/relationships/hyperlink" Target="mailto:jala641031@hotmail.com" TargetMode="External"/><Relationship Id="rId133" Type="http://schemas.openxmlformats.org/officeDocument/2006/relationships/hyperlink" Target="mailto:ale_rodriguez11@hotmail.com" TargetMode="External"/><Relationship Id="rId134" Type="http://schemas.openxmlformats.org/officeDocument/2006/relationships/image" Target="media/image58.png"/><Relationship Id="rId135" Type="http://schemas.openxmlformats.org/officeDocument/2006/relationships/image" Target="media/image59.png"/><Relationship Id="rId136" Type="http://schemas.openxmlformats.org/officeDocument/2006/relationships/image" Target="media/image60.png"/><Relationship Id="rId137" Type="http://schemas.openxmlformats.org/officeDocument/2006/relationships/image" Target="media/image61.png"/><Relationship Id="rId138" Type="http://schemas.openxmlformats.org/officeDocument/2006/relationships/image" Target="media/image62.png"/><Relationship Id="rId139" Type="http://schemas.openxmlformats.org/officeDocument/2006/relationships/image" Target="media/image63.png"/><Relationship Id="rId140" Type="http://schemas.openxmlformats.org/officeDocument/2006/relationships/image" Target="media/image64.jpeg"/><Relationship Id="rId141" Type="http://schemas.openxmlformats.org/officeDocument/2006/relationships/image" Target="media/image65.jpeg"/><Relationship Id="rId142" Type="http://schemas.openxmlformats.org/officeDocument/2006/relationships/image" Target="media/image66.jpeg"/><Relationship Id="rId143" Type="http://schemas.openxmlformats.org/officeDocument/2006/relationships/image" Target="media/image67.jpeg"/><Relationship Id="rId144" Type="http://schemas.openxmlformats.org/officeDocument/2006/relationships/image" Target="media/image68.jpeg"/><Relationship Id="rId145" Type="http://schemas.openxmlformats.org/officeDocument/2006/relationships/image" Target="media/image69.jpeg"/><Relationship Id="rId146" Type="http://schemas.openxmlformats.org/officeDocument/2006/relationships/image" Target="media/image70.jpeg"/><Relationship Id="rId147" Type="http://schemas.openxmlformats.org/officeDocument/2006/relationships/image" Target="media/image71.jpeg"/><Relationship Id="rId148" Type="http://schemas.openxmlformats.org/officeDocument/2006/relationships/image" Target="media/image72.jpeg"/><Relationship Id="rId149" Type="http://schemas.openxmlformats.org/officeDocument/2006/relationships/image" Target="media/image73.jpeg"/><Relationship Id="rId150" Type="http://schemas.openxmlformats.org/officeDocument/2006/relationships/image" Target="media/image74.jpeg"/><Relationship Id="rId151" Type="http://schemas.openxmlformats.org/officeDocument/2006/relationships/image" Target="media/image75.jpeg"/><Relationship Id="rId152" Type="http://schemas.openxmlformats.org/officeDocument/2006/relationships/image" Target="media/image76.jpeg"/><Relationship Id="rId153" Type="http://schemas.openxmlformats.org/officeDocument/2006/relationships/image" Target="media/image77.jpeg"/><Relationship Id="rId154" Type="http://schemas.openxmlformats.org/officeDocument/2006/relationships/image" Target="media/image78.jpeg"/><Relationship Id="rId155" Type="http://schemas.openxmlformats.org/officeDocument/2006/relationships/image" Target="media/image79.jpeg"/><Relationship Id="rId156" Type="http://schemas.openxmlformats.org/officeDocument/2006/relationships/image" Target="media/image80.jpeg"/><Relationship Id="rId157" Type="http://schemas.openxmlformats.org/officeDocument/2006/relationships/image" Target="media/image81.jpeg"/><Relationship Id="rId158" Type="http://schemas.openxmlformats.org/officeDocument/2006/relationships/image" Target="media/image82.jpeg"/><Relationship Id="rId159" Type="http://schemas.openxmlformats.org/officeDocument/2006/relationships/image" Target="media/image83.jpeg"/><Relationship Id="rId160" Type="http://schemas.openxmlformats.org/officeDocument/2006/relationships/image" Target="media/image84.jpeg"/><Relationship Id="rId161" Type="http://schemas.openxmlformats.org/officeDocument/2006/relationships/image" Target="media/image85.jpeg"/><Relationship Id="rId162" Type="http://schemas.openxmlformats.org/officeDocument/2006/relationships/hyperlink" Target="http://www.estrucplan.com.ar/Producciones/imprimir.asp?IdEnt" TargetMode="External"/><Relationship Id="rId163" Type="http://schemas.openxmlformats.org/officeDocument/2006/relationships/hyperlink" Target="http://prevalia.es/sites/prevalia.es/files/documentos/aje_ergono" TargetMode="External"/><Relationship Id="rId164" Type="http://schemas.openxmlformats.org/officeDocument/2006/relationships/hyperlink" Target="mailto:juane_12@hotmail.com" TargetMode="External"/><Relationship Id="rId165" Type="http://schemas.openxmlformats.org/officeDocument/2006/relationships/image" Target="media/image86.jpeg"/><Relationship Id="rId166" Type="http://schemas.openxmlformats.org/officeDocument/2006/relationships/image" Target="media/image87.jpeg"/><Relationship Id="rId167" Type="http://schemas.openxmlformats.org/officeDocument/2006/relationships/image" Target="media/image88.jpeg"/><Relationship Id="rId168" Type="http://schemas.openxmlformats.org/officeDocument/2006/relationships/image" Target="media/image89.png"/><Relationship Id="rId169" Type="http://schemas.openxmlformats.org/officeDocument/2006/relationships/image" Target="media/image90.jpeg"/><Relationship Id="rId170" Type="http://schemas.openxmlformats.org/officeDocument/2006/relationships/image" Target="media/image91.jpeg"/><Relationship Id="rId171" Type="http://schemas.openxmlformats.org/officeDocument/2006/relationships/image" Target="media/image92.png"/><Relationship Id="rId172" Type="http://schemas.openxmlformats.org/officeDocument/2006/relationships/image" Target="media/image93.png"/><Relationship Id="rId173" Type="http://schemas.openxmlformats.org/officeDocument/2006/relationships/image" Target="media/image94.jpeg"/><Relationship Id="rId174" Type="http://schemas.openxmlformats.org/officeDocument/2006/relationships/image" Target="media/image95.png"/><Relationship Id="rId175" Type="http://schemas.openxmlformats.org/officeDocument/2006/relationships/image" Target="media/image96.png"/><Relationship Id="rId176" Type="http://schemas.openxmlformats.org/officeDocument/2006/relationships/image" Target="media/image97.jpeg"/><Relationship Id="rId177" Type="http://schemas.openxmlformats.org/officeDocument/2006/relationships/image" Target="media/image98.jpeg"/><Relationship Id="rId178" Type="http://schemas.openxmlformats.org/officeDocument/2006/relationships/image" Target="media/image99.jpeg"/><Relationship Id="rId179" Type="http://schemas.openxmlformats.org/officeDocument/2006/relationships/image" Target="media/image100.png"/><Relationship Id="rId180" Type="http://schemas.openxmlformats.org/officeDocument/2006/relationships/image" Target="media/image101.jpeg"/><Relationship Id="rId181" Type="http://schemas.openxmlformats.org/officeDocument/2006/relationships/image" Target="media/image102.jpeg"/><Relationship Id="rId182" Type="http://schemas.openxmlformats.org/officeDocument/2006/relationships/image" Target="media/image103.jpeg"/><Relationship Id="rId183" Type="http://schemas.openxmlformats.org/officeDocument/2006/relationships/image" Target="media/image104.png"/><Relationship Id="rId184" Type="http://schemas.openxmlformats.org/officeDocument/2006/relationships/image" Target="media/image105.png"/><Relationship Id="rId185" Type="http://schemas.openxmlformats.org/officeDocument/2006/relationships/image" Target="media/image106.jpeg"/><Relationship Id="rId186" Type="http://schemas.openxmlformats.org/officeDocument/2006/relationships/image" Target="media/image107.png"/><Relationship Id="rId187" Type="http://schemas.openxmlformats.org/officeDocument/2006/relationships/hyperlink" Target="mailto:zamora@uabc.edu.mx" TargetMode="External"/><Relationship Id="rId188" Type="http://schemas.openxmlformats.org/officeDocument/2006/relationships/hyperlink" Target="mailto:vnuno@uabc.edu.mx" TargetMode="External"/><Relationship Id="rId189" Type="http://schemas.openxmlformats.org/officeDocument/2006/relationships/hyperlink" Target="mailto:no@uabc.edu.mx" TargetMode="External"/><Relationship Id="rId190" Type="http://schemas.openxmlformats.org/officeDocument/2006/relationships/hyperlink" Target="mailto:edson.aem@gmail.com" TargetMode="External"/><Relationship Id="rId191" Type="http://schemas.openxmlformats.org/officeDocument/2006/relationships/hyperlink" Target="mailto:jperez18@uabc.edu.mx" TargetMode="External"/><Relationship Id="rId192" Type="http://schemas.openxmlformats.org/officeDocument/2006/relationships/image" Target="media/image108.jpeg"/><Relationship Id="rId193" Type="http://schemas.openxmlformats.org/officeDocument/2006/relationships/image" Target="media/image109.jpeg"/><Relationship Id="rId194" Type="http://schemas.openxmlformats.org/officeDocument/2006/relationships/image" Target="media/image110.png"/><Relationship Id="rId195" Type="http://schemas.openxmlformats.org/officeDocument/2006/relationships/image" Target="media/image111.png"/><Relationship Id="rId196" Type="http://schemas.openxmlformats.org/officeDocument/2006/relationships/image" Target="media/image112.jpeg"/><Relationship Id="rId197" Type="http://schemas.openxmlformats.org/officeDocument/2006/relationships/image" Target="media/image113.jpeg"/><Relationship Id="rId198" Type="http://schemas.openxmlformats.org/officeDocument/2006/relationships/image" Target="media/image114.jpeg"/><Relationship Id="rId199" Type="http://schemas.openxmlformats.org/officeDocument/2006/relationships/image" Target="media/image115.jpeg"/><Relationship Id="rId200" Type="http://schemas.openxmlformats.org/officeDocument/2006/relationships/image" Target="media/image116.jpeg"/><Relationship Id="rId201" Type="http://schemas.openxmlformats.org/officeDocument/2006/relationships/image" Target="media/image117.png"/><Relationship Id="rId202" Type="http://schemas.openxmlformats.org/officeDocument/2006/relationships/image" Target="media/image118.png"/><Relationship Id="rId203" Type="http://schemas.openxmlformats.org/officeDocument/2006/relationships/image" Target="media/image119.png"/><Relationship Id="rId204" Type="http://schemas.openxmlformats.org/officeDocument/2006/relationships/image" Target="media/image120.jpeg"/><Relationship Id="rId205" Type="http://schemas.openxmlformats.org/officeDocument/2006/relationships/image" Target="media/image121.jpeg"/><Relationship Id="rId206" Type="http://schemas.openxmlformats.org/officeDocument/2006/relationships/image" Target="media/image122.jpeg"/><Relationship Id="rId207" Type="http://schemas.openxmlformats.org/officeDocument/2006/relationships/hyperlink" Target="http://www.ergoprojects.com/contenido/articulo.php?id_" TargetMode="External"/><Relationship Id="rId208" Type="http://schemas.openxmlformats.org/officeDocument/2006/relationships/hyperlink" Target="http://www.ergosoft.com.ar/" TargetMode="External"/><Relationship Id="rId209" Type="http://schemas.openxmlformats.org/officeDocument/2006/relationships/header" Target="header3.xml"/><Relationship Id="rId210" Type="http://schemas.openxmlformats.org/officeDocument/2006/relationships/footer" Target="footer2.xml"/><Relationship Id="rId211" Type="http://schemas.openxmlformats.org/officeDocument/2006/relationships/hyperlink" Target="mailto:asilva@ciatec.mx" TargetMode="External"/><Relationship Id="rId212" Type="http://schemas.openxmlformats.org/officeDocument/2006/relationships/hyperlink" Target="mailto:alejansilva@yahoo.com" TargetMode="External"/><Relationship Id="rId213" Type="http://schemas.openxmlformats.org/officeDocument/2006/relationships/image" Target="media/image123.png"/><Relationship Id="rId214" Type="http://schemas.openxmlformats.org/officeDocument/2006/relationships/image" Target="media/image124.png"/><Relationship Id="rId215" Type="http://schemas.openxmlformats.org/officeDocument/2006/relationships/image" Target="media/image125.png"/><Relationship Id="rId216" Type="http://schemas.openxmlformats.org/officeDocument/2006/relationships/image" Target="media/image126.png"/><Relationship Id="rId217" Type="http://schemas.openxmlformats.org/officeDocument/2006/relationships/footer" Target="footer3.xml"/><Relationship Id="rId218" Type="http://schemas.openxmlformats.org/officeDocument/2006/relationships/image" Target="media/image127.png"/><Relationship Id="rId219" Type="http://schemas.openxmlformats.org/officeDocument/2006/relationships/image" Target="media/image128.jpeg"/><Relationship Id="rId220" Type="http://schemas.openxmlformats.org/officeDocument/2006/relationships/hyperlink" Target="mailto:addel.lf@hotmail.com" TargetMode="External"/><Relationship Id="rId221" Type="http://schemas.openxmlformats.org/officeDocument/2006/relationships/image" Target="media/image129.png"/><Relationship Id="rId222" Type="http://schemas.openxmlformats.org/officeDocument/2006/relationships/image" Target="media/image130.png"/><Relationship Id="rId223" Type="http://schemas.openxmlformats.org/officeDocument/2006/relationships/image" Target="media/image131.png"/><Relationship Id="rId224" Type="http://schemas.openxmlformats.org/officeDocument/2006/relationships/image" Target="media/image132.png"/><Relationship Id="rId225" Type="http://schemas.openxmlformats.org/officeDocument/2006/relationships/image" Target="media/image133.jpeg"/><Relationship Id="rId226" Type="http://schemas.openxmlformats.org/officeDocument/2006/relationships/image" Target="media/image134.jpeg"/><Relationship Id="rId227" Type="http://schemas.openxmlformats.org/officeDocument/2006/relationships/image" Target="media/image135.jpeg"/><Relationship Id="rId228" Type="http://schemas.openxmlformats.org/officeDocument/2006/relationships/image" Target="media/image136.jpeg"/><Relationship Id="rId229" Type="http://schemas.openxmlformats.org/officeDocument/2006/relationships/image" Target="media/image137.jpeg"/><Relationship Id="rId230" Type="http://schemas.openxmlformats.org/officeDocument/2006/relationships/image" Target="media/image138.jpeg"/><Relationship Id="rId231" Type="http://schemas.openxmlformats.org/officeDocument/2006/relationships/image" Target="media/image139.jpeg"/><Relationship Id="rId232" Type="http://schemas.openxmlformats.org/officeDocument/2006/relationships/image" Target="media/image140.jpeg"/><Relationship Id="rId233" Type="http://schemas.openxmlformats.org/officeDocument/2006/relationships/image" Target="media/image141.jpeg"/><Relationship Id="rId234" Type="http://schemas.openxmlformats.org/officeDocument/2006/relationships/image" Target="media/image142.jpeg"/><Relationship Id="rId235" Type="http://schemas.openxmlformats.org/officeDocument/2006/relationships/image" Target="media/image143.jpeg"/><Relationship Id="rId236" Type="http://schemas.openxmlformats.org/officeDocument/2006/relationships/hyperlink" Target="mailto:mlopez96@uabc.edu.mx" TargetMode="External"/><Relationship Id="rId237" Type="http://schemas.openxmlformats.org/officeDocument/2006/relationships/hyperlink" Target="mailto:ciara.villasenor@uabc.edu.mx" TargetMode="External"/><Relationship Id="rId238" Type="http://schemas.openxmlformats.org/officeDocument/2006/relationships/hyperlink" Target="mailto:jalopez@uabc.edu.mx3" TargetMode="External"/><Relationship Id="rId239" Type="http://schemas.openxmlformats.org/officeDocument/2006/relationships/hyperlink" Target="mailto:jeol79@uabc.edu.mx4" TargetMode="External"/><Relationship Id="rId240" Type="http://schemas.openxmlformats.org/officeDocument/2006/relationships/hyperlink" Target="mailto:ccamargo@uabc.edu.mx5" TargetMode="External"/><Relationship Id="rId241" Type="http://schemas.openxmlformats.org/officeDocument/2006/relationships/image" Target="media/image144.jpeg"/><Relationship Id="rId242" Type="http://schemas.openxmlformats.org/officeDocument/2006/relationships/image" Target="media/image145.jpeg"/><Relationship Id="rId243" Type="http://schemas.openxmlformats.org/officeDocument/2006/relationships/image" Target="media/image146.jpeg"/><Relationship Id="rId244" Type="http://schemas.openxmlformats.org/officeDocument/2006/relationships/image" Target="media/image147.jpeg"/><Relationship Id="rId245" Type="http://schemas.openxmlformats.org/officeDocument/2006/relationships/image" Target="media/image148.png"/><Relationship Id="rId246" Type="http://schemas.openxmlformats.org/officeDocument/2006/relationships/image" Target="media/image149.jpeg"/><Relationship Id="rId247" Type="http://schemas.openxmlformats.org/officeDocument/2006/relationships/image" Target="media/image150.jpeg"/><Relationship Id="rId248" Type="http://schemas.openxmlformats.org/officeDocument/2006/relationships/image" Target="media/image151.jpeg"/><Relationship Id="rId249" Type="http://schemas.openxmlformats.org/officeDocument/2006/relationships/image" Target="media/image152.jpeg"/><Relationship Id="rId250" Type="http://schemas.openxmlformats.org/officeDocument/2006/relationships/hyperlink" Target="http://www.dof.gob.mx/nota_detalle.php?codigo=5368114&amp;amp;fec" TargetMode="External"/><Relationship Id="rId251" Type="http://schemas.openxmlformats.org/officeDocument/2006/relationships/hyperlink" Target="mailto:blortiz@depiitn.edu.mx" TargetMode="External"/><Relationship Id="rId252" Type="http://schemas.openxmlformats.org/officeDocument/2006/relationships/hyperlink" Target="mailto:nelva_romero@hotmail.com" TargetMode="External"/><Relationship Id="rId253" Type="http://schemas.openxmlformats.org/officeDocument/2006/relationships/hyperlink" Target="mailto:sihrtec@gmail.com" TargetMode="External"/><Relationship Id="rId254" Type="http://schemas.openxmlformats.org/officeDocument/2006/relationships/image" Target="media/image153.png"/><Relationship Id="rId255" Type="http://schemas.openxmlformats.org/officeDocument/2006/relationships/hyperlink" Target="http://www.inegi.org.mx/" TargetMode="External"/><Relationship Id="rId256" Type="http://schemas.openxmlformats.org/officeDocument/2006/relationships/hyperlink" Target="http://www.ilo.org/global/statistics-and-" TargetMode="External"/><Relationship Id="rId257" Type="http://schemas.openxmlformats.org/officeDocument/2006/relationships/hyperlink" Target="http://www.insht.es/" TargetMode="External"/><Relationship Id="rId258" Type="http://schemas.openxmlformats.org/officeDocument/2006/relationships/hyperlink" Target="http://www/" TargetMode="External"/><Relationship Id="rId259" Type="http://schemas.openxmlformats.org/officeDocument/2006/relationships/hyperlink" Target="http://www.imss.gob.mx/dpm/dties/Indice.aspx" TargetMode="External"/><Relationship Id="rId260" Type="http://schemas.openxmlformats.org/officeDocument/2006/relationships/hyperlink" Target="mailto:anel_apc@hotmail.com" TargetMode="External"/><Relationship Id="rId261" Type="http://schemas.openxmlformats.org/officeDocument/2006/relationships/footer" Target="footer4.xml"/><Relationship Id="rId262" Type="http://schemas.openxmlformats.org/officeDocument/2006/relationships/image" Target="media/image154.jpeg"/><Relationship Id="rId263" Type="http://schemas.openxmlformats.org/officeDocument/2006/relationships/image" Target="media/image155.jpeg"/><Relationship Id="rId264" Type="http://schemas.openxmlformats.org/officeDocument/2006/relationships/image" Target="media/image156.jpeg"/><Relationship Id="rId265" Type="http://schemas.openxmlformats.org/officeDocument/2006/relationships/image" Target="media/image157.jpeg"/><Relationship Id="rId266" Type="http://schemas.openxmlformats.org/officeDocument/2006/relationships/image" Target="media/image158.jpeg"/><Relationship Id="rId267" Type="http://schemas.openxmlformats.org/officeDocument/2006/relationships/image" Target="media/image159.jpeg"/><Relationship Id="rId268" Type="http://schemas.openxmlformats.org/officeDocument/2006/relationships/image" Target="media/image160.jpeg"/><Relationship Id="rId269" Type="http://schemas.openxmlformats.org/officeDocument/2006/relationships/image" Target="media/image161.jpeg"/><Relationship Id="rId270" Type="http://schemas.openxmlformats.org/officeDocument/2006/relationships/image" Target="media/image162.jpeg"/><Relationship Id="rId271" Type="http://schemas.openxmlformats.org/officeDocument/2006/relationships/image" Target="media/image163.jpeg"/><Relationship Id="rId272" Type="http://schemas.openxmlformats.org/officeDocument/2006/relationships/image" Target="media/image164.jpeg"/><Relationship Id="rId273" Type="http://schemas.openxmlformats.org/officeDocument/2006/relationships/footer" Target="footer5.xml"/><Relationship Id="rId274" Type="http://schemas.openxmlformats.org/officeDocument/2006/relationships/image" Target="media/image165.jpeg"/><Relationship Id="rId275" Type="http://schemas.openxmlformats.org/officeDocument/2006/relationships/image" Target="media/image166.png"/><Relationship Id="rId276" Type="http://schemas.openxmlformats.org/officeDocument/2006/relationships/footer" Target="footer6.xml"/><Relationship Id="rId277" Type="http://schemas.openxmlformats.org/officeDocument/2006/relationships/image" Target="media/image167.jpeg"/><Relationship Id="rId278" Type="http://schemas.openxmlformats.org/officeDocument/2006/relationships/image" Target="media/image168.jpeg"/><Relationship Id="rId279" Type="http://schemas.openxmlformats.org/officeDocument/2006/relationships/footer" Target="footer7.xml"/><Relationship Id="rId280" Type="http://schemas.openxmlformats.org/officeDocument/2006/relationships/image" Target="media/image169.jpeg"/><Relationship Id="rId281" Type="http://schemas.openxmlformats.org/officeDocument/2006/relationships/image" Target="media/image170.jpeg"/><Relationship Id="rId282" Type="http://schemas.openxmlformats.org/officeDocument/2006/relationships/image" Target="media/image171.png"/><Relationship Id="rId283" Type="http://schemas.openxmlformats.org/officeDocument/2006/relationships/image" Target="media/image172.png"/><Relationship Id="rId284" Type="http://schemas.openxmlformats.org/officeDocument/2006/relationships/image" Target="media/image173.png"/><Relationship Id="rId285" Type="http://schemas.openxmlformats.org/officeDocument/2006/relationships/image" Target="media/image174.png"/><Relationship Id="rId286" Type="http://schemas.openxmlformats.org/officeDocument/2006/relationships/image" Target="media/image175.png"/><Relationship Id="rId287" Type="http://schemas.openxmlformats.org/officeDocument/2006/relationships/image" Target="media/image176.png"/><Relationship Id="rId288" Type="http://schemas.openxmlformats.org/officeDocument/2006/relationships/image" Target="media/image177.png"/><Relationship Id="rId289" Type="http://schemas.openxmlformats.org/officeDocument/2006/relationships/image" Target="media/image178.png"/><Relationship Id="rId290" Type="http://schemas.openxmlformats.org/officeDocument/2006/relationships/image" Target="media/image179.png"/><Relationship Id="rId291" Type="http://schemas.openxmlformats.org/officeDocument/2006/relationships/image" Target="media/image180.png"/><Relationship Id="rId292" Type="http://schemas.openxmlformats.org/officeDocument/2006/relationships/image" Target="media/image181.png"/><Relationship Id="rId293" Type="http://schemas.openxmlformats.org/officeDocument/2006/relationships/image" Target="media/image182.png"/><Relationship Id="rId294" Type="http://schemas.openxmlformats.org/officeDocument/2006/relationships/image" Target="media/image183.png"/><Relationship Id="rId295" Type="http://schemas.openxmlformats.org/officeDocument/2006/relationships/image" Target="media/image184.png"/><Relationship Id="rId296" Type="http://schemas.openxmlformats.org/officeDocument/2006/relationships/image" Target="media/image185.png"/><Relationship Id="rId297" Type="http://schemas.openxmlformats.org/officeDocument/2006/relationships/image" Target="media/image186.jpeg"/><Relationship Id="rId298" Type="http://schemas.openxmlformats.org/officeDocument/2006/relationships/image" Target="media/image187.jpeg"/><Relationship Id="rId299" Type="http://schemas.openxmlformats.org/officeDocument/2006/relationships/image" Target="media/image188.jpeg"/><Relationship Id="rId300" Type="http://schemas.openxmlformats.org/officeDocument/2006/relationships/image" Target="media/image189.jpeg"/><Relationship Id="rId301" Type="http://schemas.openxmlformats.org/officeDocument/2006/relationships/hyperlink" Target="http://www.ergonomos.es/junta.php" TargetMode="External"/><Relationship Id="rId302" Type="http://schemas.openxmlformats.org/officeDocument/2006/relationships/hyperlink" Target="http://laboral.ibv.org/index.php/es/publicaciones/publicacion/show" TargetMode="External"/><Relationship Id="rId303" Type="http://schemas.openxmlformats.org/officeDocument/2006/relationships/hyperlink" Target="http://biblo.una.edu.ve/docu.7/bases/marc/texto/t36881.pdf" TargetMode="External"/><Relationship Id="rId304" Type="http://schemas.openxmlformats.org/officeDocument/2006/relationships/hyperlink" Target="http://www.fremm.es/" TargetMode="External"/><Relationship Id="rId305" Type="http://schemas.openxmlformats.org/officeDocument/2006/relationships/hyperlink" Target="http://autogestion.stps.gob.mx/" TargetMode="External"/><Relationship Id="rId306" Type="http://schemas.openxmlformats.org/officeDocument/2006/relationships/hyperlink" Target="http://www.ergonautas.upv.es/metodos/owas/owas-ayuda.php" TargetMode="External"/><Relationship Id="rId307" Type="http://schemas.openxmlformats.org/officeDocument/2006/relationships/hyperlink" Target="mailto:alexiiac92@hotmail.com" TargetMode="External"/><Relationship Id="rId308" Type="http://schemas.openxmlformats.org/officeDocument/2006/relationships/image" Target="media/image190.jpeg"/><Relationship Id="rId309" Type="http://schemas.openxmlformats.org/officeDocument/2006/relationships/image" Target="media/image191.jpeg"/><Relationship Id="rId310" Type="http://schemas.openxmlformats.org/officeDocument/2006/relationships/image" Target="media/image192.jpeg"/><Relationship Id="rId311" Type="http://schemas.openxmlformats.org/officeDocument/2006/relationships/image" Target="media/image193.jpeg"/><Relationship Id="rId312" Type="http://schemas.openxmlformats.org/officeDocument/2006/relationships/image" Target="media/image194.jpeg"/><Relationship Id="rId313" Type="http://schemas.openxmlformats.org/officeDocument/2006/relationships/image" Target="media/image195.jpeg"/><Relationship Id="rId314" Type="http://schemas.openxmlformats.org/officeDocument/2006/relationships/image" Target="media/image196.jpeg"/><Relationship Id="rId315" Type="http://schemas.openxmlformats.org/officeDocument/2006/relationships/image" Target="media/image197.jpeg"/><Relationship Id="rId316" Type="http://schemas.openxmlformats.org/officeDocument/2006/relationships/image" Target="media/image198.jpeg"/><Relationship Id="rId317" Type="http://schemas.openxmlformats.org/officeDocument/2006/relationships/image" Target="media/image199.jpeg"/><Relationship Id="rId318" Type="http://schemas.openxmlformats.org/officeDocument/2006/relationships/image" Target="media/image200.jpeg"/><Relationship Id="rId319" Type="http://schemas.openxmlformats.org/officeDocument/2006/relationships/image" Target="media/image201.png"/><Relationship Id="rId320" Type="http://schemas.openxmlformats.org/officeDocument/2006/relationships/hyperlink" Target="http://www.insht.es/InshtWeb/Contenidos/Documentacion/Textos" TargetMode="External"/><Relationship Id="rId321" Type="http://schemas.openxmlformats.org/officeDocument/2006/relationships/hyperlink" Target="http://juarez.academiajournals.com/downloads/Juarez07-964-" TargetMode="External"/><Relationship Id="rId322" Type="http://schemas.openxmlformats.org/officeDocument/2006/relationships/hyperlink" Target="http://www.ergonomos.es/ergonomia.php" TargetMode="External"/><Relationship Id="rId323" Type="http://schemas.openxmlformats.org/officeDocument/2006/relationships/hyperlink" Target="mailto:iivone15@gmail.com" TargetMode="External"/><Relationship Id="rId324" Type="http://schemas.openxmlformats.org/officeDocument/2006/relationships/hyperlink" Target="mailto:nita_esmeralda@hotmail.com" TargetMode="External"/><Relationship Id="rId325" Type="http://schemas.openxmlformats.org/officeDocument/2006/relationships/hyperlink" Target="mailto:jgalvez@itcm.edu.mx" TargetMode="External"/><Relationship Id="rId326" Type="http://schemas.openxmlformats.org/officeDocument/2006/relationships/hyperlink" Target="mailto:alichan.ph@hotmail.com" TargetMode="External"/><Relationship Id="rId327" Type="http://schemas.openxmlformats.org/officeDocument/2006/relationships/image" Target="media/image202.jpeg"/><Relationship Id="rId328" Type="http://schemas.openxmlformats.org/officeDocument/2006/relationships/hyperlink" Target="http://www.isssteson.gob.mx/index.php/articulos/ver/491" TargetMode="External"/><Relationship Id="rId329" Type="http://schemas.openxmlformats.org/officeDocument/2006/relationships/hyperlink" Target="http://www.oseh.umich.edu/pdf/ergonomics/Texting%20and%20S" TargetMode="External"/><Relationship Id="rId330" Type="http://schemas.openxmlformats.org/officeDocument/2006/relationships/hyperlink" Target="http://www.wsj.com/articles/how-to-find-the-phone-that-fits-your-" TargetMode="External"/><Relationship Id="rId331" Type="http://schemas.openxmlformats.org/officeDocument/2006/relationships/hyperlink" Target="http://ergo.human.cornell.edu/" TargetMode="External"/><Relationship Id="rId332" Type="http://schemas.openxmlformats.org/officeDocument/2006/relationships/hyperlink" Target="mailto:pedrowriu@yahoo.com.mx" TargetMode="External"/><Relationship Id="rId333" Type="http://schemas.openxmlformats.org/officeDocument/2006/relationships/hyperlink" Target="http://www.elergonomista.com/fe08.htm" TargetMode="External"/><Relationship Id="rId334" Type="http://schemas.openxmlformats.org/officeDocument/2006/relationships/hyperlink" Target="http://www.ergonautas.upv.es/metodos/jsi/jsi-ayuda.php" TargetMode="External"/><Relationship Id="rId335" Type="http://schemas.openxmlformats.org/officeDocument/2006/relationships/hyperlink" Target="http://www.info7.mx/a/noticia/441756" TargetMode="External"/><Relationship Id="rId336" Type="http://schemas.openxmlformats.org/officeDocument/2006/relationships/hyperlink" Target="http://www.ilo.org/" TargetMode="External"/><Relationship Id="rId337" Type="http://schemas.openxmlformats.org/officeDocument/2006/relationships/hyperlink" Target="http://www.aefi.net/Fisioterapiaysalud/Sindrometuneldecarpo.as" TargetMode="External"/><Relationship Id="rId338" Type="http://schemas.openxmlformats.org/officeDocument/2006/relationships/hyperlink" Target="mailto:karo_ross@hotmail.com" TargetMode="External"/><Relationship Id="rId339" Type="http://schemas.openxmlformats.org/officeDocument/2006/relationships/image" Target="media/image203.jpeg"/><Relationship Id="rId340" Type="http://schemas.openxmlformats.org/officeDocument/2006/relationships/image" Target="media/image204.png"/><Relationship Id="rId341" Type="http://schemas.openxmlformats.org/officeDocument/2006/relationships/image" Target="media/image205.png"/><Relationship Id="rId342" Type="http://schemas.openxmlformats.org/officeDocument/2006/relationships/image" Target="media/image206.png"/><Relationship Id="rId343" Type="http://schemas.openxmlformats.org/officeDocument/2006/relationships/image" Target="media/image207.png"/><Relationship Id="rId344" Type="http://schemas.openxmlformats.org/officeDocument/2006/relationships/image" Target="media/image208.png"/><Relationship Id="rId345" Type="http://schemas.openxmlformats.org/officeDocument/2006/relationships/image" Target="media/image209.png"/><Relationship Id="rId346" Type="http://schemas.openxmlformats.org/officeDocument/2006/relationships/image" Target="media/image210.png"/><Relationship Id="rId347" Type="http://schemas.openxmlformats.org/officeDocument/2006/relationships/image" Target="media/image211.png"/><Relationship Id="rId348" Type="http://schemas.openxmlformats.org/officeDocument/2006/relationships/image" Target="media/image212.png"/><Relationship Id="rId349" Type="http://schemas.openxmlformats.org/officeDocument/2006/relationships/image" Target="media/image213.jpeg"/><Relationship Id="rId350" Type="http://schemas.openxmlformats.org/officeDocument/2006/relationships/image" Target="media/image214.jpeg"/><Relationship Id="rId351" Type="http://schemas.openxmlformats.org/officeDocument/2006/relationships/image" Target="media/image215.jpeg"/><Relationship Id="rId352" Type="http://schemas.openxmlformats.org/officeDocument/2006/relationships/image" Target="media/image216.jpeg"/><Relationship Id="rId353" Type="http://schemas.openxmlformats.org/officeDocument/2006/relationships/hyperlink" Target="http://www.ergonautas.upv.es/metodos/niosh/niosh-ayuda.php" TargetMode="External"/><Relationship Id="rId354" Type="http://schemas.openxmlformats.org/officeDocument/2006/relationships/hyperlink" Target="http://ergo-plus.com/" TargetMode="External"/><Relationship Id="rId355" Type="http://schemas.openxmlformats.org/officeDocument/2006/relationships/hyperlink" Target="mailto:aradith_5391@hotmail.com" TargetMode="External"/><Relationship Id="rId356" Type="http://schemas.openxmlformats.org/officeDocument/2006/relationships/image" Target="media/image217.jpeg"/><Relationship Id="rId357" Type="http://schemas.openxmlformats.org/officeDocument/2006/relationships/image" Target="media/image218.png"/><Relationship Id="rId358" Type="http://schemas.openxmlformats.org/officeDocument/2006/relationships/image" Target="media/image219.png"/><Relationship Id="rId359" Type="http://schemas.openxmlformats.org/officeDocument/2006/relationships/image" Target="media/image220.jpeg"/><Relationship Id="rId360" Type="http://schemas.openxmlformats.org/officeDocument/2006/relationships/image" Target="media/image221.jpeg"/><Relationship Id="rId361" Type="http://schemas.openxmlformats.org/officeDocument/2006/relationships/image" Target="media/image222.jpeg"/><Relationship Id="rId362" Type="http://schemas.openxmlformats.org/officeDocument/2006/relationships/image" Target="media/image223.jpeg"/><Relationship Id="rId363" Type="http://schemas.openxmlformats.org/officeDocument/2006/relationships/image" Target="media/image224.jpeg"/><Relationship Id="rId364" Type="http://schemas.openxmlformats.org/officeDocument/2006/relationships/image" Target="media/image225.jpeg"/><Relationship Id="rId365" Type="http://schemas.openxmlformats.org/officeDocument/2006/relationships/image" Target="media/image226.jpeg"/><Relationship Id="rId366" Type="http://schemas.openxmlformats.org/officeDocument/2006/relationships/image" Target="media/image227.jpeg"/><Relationship Id="rId367" Type="http://schemas.openxmlformats.org/officeDocument/2006/relationships/hyperlink" Target="mailto:elvia.gonzalez@cuaad.udg.mx" TargetMode="External"/><Relationship Id="rId368" Type="http://schemas.openxmlformats.org/officeDocument/2006/relationships/hyperlink" Target="mailto:lft.jurado@gmail.com" TargetMode="External"/><Relationship Id="rId369" Type="http://schemas.openxmlformats.org/officeDocument/2006/relationships/hyperlink" Target="mailto:umb.ftangelat@gmail.com" TargetMode="External"/><Relationship Id="rId370" Type="http://schemas.openxmlformats.org/officeDocument/2006/relationships/image" Target="media/image228.png"/><Relationship Id="rId371" Type="http://schemas.openxmlformats.org/officeDocument/2006/relationships/image" Target="media/image229.png"/><Relationship Id="rId372" Type="http://schemas.openxmlformats.org/officeDocument/2006/relationships/image" Target="media/image230.png"/><Relationship Id="rId373" Type="http://schemas.openxmlformats.org/officeDocument/2006/relationships/image" Target="media/image231.png"/><Relationship Id="rId374" Type="http://schemas.openxmlformats.org/officeDocument/2006/relationships/image" Target="media/image232.png"/><Relationship Id="rId375" Type="http://schemas.openxmlformats.org/officeDocument/2006/relationships/image" Target="media/image233.jpeg"/><Relationship Id="rId376" Type="http://schemas.openxmlformats.org/officeDocument/2006/relationships/hyperlink" Target="http://www.laseguridad.ws/consejo/consejo/html/m" TargetMode="External"/><Relationship Id="rId377" Type="http://schemas.openxmlformats.org/officeDocument/2006/relationships/hyperlink" Target="http://ccs.org.co/salaprensa/images/Documentos/IN" TargetMode="External"/><Relationship Id="rId378" Type="http://schemas.openxmlformats.org/officeDocument/2006/relationships/hyperlink" Target="http://www.ijodontostomat.com/2013_v7n1/2013_" TargetMode="External"/><Relationship Id="rId379" Type="http://schemas.openxmlformats.org/officeDocument/2006/relationships/hyperlink" Target="http://www.upch.edu.pe/vrinve/dugic/revistas/inde" TargetMode="External"/><Relationship Id="rId380" Type="http://schemas.openxmlformats.org/officeDocument/2006/relationships/hyperlink" Target="http://repositorio.ug.edu.ec/bitstream/redug/5675/1/" TargetMode="External"/><Relationship Id="rId381" Type="http://schemas.openxmlformats.org/officeDocument/2006/relationships/hyperlink" Target="http://www.gacetadental.com/2009/04/posiciones-" TargetMode="External"/><Relationship Id="rId382" Type="http://schemas.openxmlformats.org/officeDocument/2006/relationships/hyperlink" Target="http://www.propdental.es/blog/actualidad/posturas-" TargetMode="External"/><Relationship Id="rId383" Type="http://schemas.openxmlformats.org/officeDocument/2006/relationships/hyperlink" Target="http://www.secretariasenado.gov.co/senado/basedoc" TargetMode="External"/><Relationship Id="rId384" Type="http://schemas.openxmlformats.org/officeDocument/2006/relationships/hyperlink" Target="http://wsp.presidencia.gov.co/Normativa/Leyes/Doc" TargetMode="External"/><Relationship Id="rId385" Type="http://schemas.openxmlformats.org/officeDocument/2006/relationships/hyperlink" Target="http://scielo.sld.cu/pdf/san/v17n9/san04179.pdf" TargetMode="External"/><Relationship Id="rId386" Type="http://schemas.openxmlformats.org/officeDocument/2006/relationships/hyperlink" Target="http://scielo.sld.cu/pdf/gme/v15n1/gme10113.pdf" TargetMode="External"/><Relationship Id="rId387" Type="http://schemas.openxmlformats.org/officeDocument/2006/relationships/hyperlink" Target="http://www.scielosp.org/pdf/rbepid/v15n4/18.pdf" TargetMode="External"/><Relationship Id="rId388" Type="http://schemas.openxmlformats.org/officeDocument/2006/relationships/hyperlink" Target="http://revistas.curnvirtual.edu.co/journals/index.php" TargetMode="External"/><Relationship Id="rId389" Type="http://schemas.openxmlformats.org/officeDocument/2006/relationships/hyperlink" Target="http://espalda.org/divulgativa/como_es_funciona/c" TargetMode="External"/><Relationship Id="rId390" Type="http://schemas.openxmlformats.org/officeDocument/2006/relationships/hyperlink" Target="http://www.revistaciencias.com/publicaciones/Ekpl" TargetMode="External"/><Relationship Id="rId391" Type="http://schemas.openxmlformats.org/officeDocument/2006/relationships/hyperlink" Target="http://www.ujap.edu.ve/pasion/index2.php?option" TargetMode="External"/><Relationship Id="rId392" Type="http://schemas.openxmlformats.org/officeDocument/2006/relationships/hyperlink" Target="http://www.insht.es/Ergonomia2/Contenidos/Prom" TargetMode="External"/><Relationship Id="rId393" Type="http://schemas.openxmlformats.org/officeDocument/2006/relationships/hyperlink" Target="http://www.oect.es/InshtWeb/Contenidos/Documen" TargetMode="External"/><Relationship Id="rId394" Type="http://schemas.openxmlformats.org/officeDocument/2006/relationships/hyperlink" Target="http://www.actaodontologica.com/ediciones/2009/1" TargetMode="External"/><Relationship Id="rId395" Type="http://schemas.openxmlformats.org/officeDocument/2006/relationships/hyperlink" Target="http://www.gacetadental.com/2009/03/desrdenes-" TargetMode="External"/><Relationship Id="rId396" Type="http://schemas.openxmlformats.org/officeDocument/2006/relationships/hyperlink" Target="http://practicasodontologicas.blogspot.com/2011/06" TargetMode="External"/><Relationship Id="rId397" Type="http://schemas.openxmlformats.org/officeDocument/2006/relationships/hyperlink" Target="http://cybertesis.unmsm.edu.pe/bitstream/cybertesis" TargetMode="External"/><Relationship Id="rId398" Type="http://schemas.openxmlformats.org/officeDocument/2006/relationships/hyperlink" Target="http://www.medigraphic.com/pdfs/ortope/or-" TargetMode="External"/><Relationship Id="rId399" Type="http://schemas.openxmlformats.org/officeDocument/2006/relationships/hyperlink" Target="http://www.alcaldiabogota.gov.co/sisjur/normas/No" TargetMode="External"/><Relationship Id="rId400" Type="http://schemas.openxmlformats.org/officeDocument/2006/relationships/hyperlink" Target="http://www.susalud.com/guias/dolor_lumbar.pdf" TargetMode="External"/><Relationship Id="rId401" Type="http://schemas.openxmlformats.org/officeDocument/2006/relationships/hyperlink" Target="http://www.oiss.org/estrategia/IMG/pdf/100327_G" TargetMode="External"/><Relationship Id="rId402" Type="http://schemas.openxmlformats.org/officeDocument/2006/relationships/hyperlink" Target="http://copaso.upbbga.edu.co/legislacion/resolucion" TargetMode="External"/><Relationship Id="rId403" Type="http://schemas.openxmlformats.org/officeDocument/2006/relationships/hyperlink" Target="http://www.urosario.edu.co/urosario_files/a2/a24fb" TargetMode="External"/><Relationship Id="rId404" Type="http://schemas.openxmlformats.org/officeDocument/2006/relationships/hyperlink" Target="http://web.minsal.cl/portal/url/item/dbd6275dd3c8a" TargetMode="External"/><Relationship Id="rId405" Type="http://schemas.openxmlformats.org/officeDocument/2006/relationships/hyperlink" Target="http://www.ilo.org/dyn/travail/docs/1509/industrial" TargetMode="External"/><Relationship Id="rId406" Type="http://schemas.openxmlformats.org/officeDocument/2006/relationships/hyperlink" Target="http://www.alcaldiabogota.gov.co/sisjur/normas/N" TargetMode="External"/><Relationship Id="rId407" Type="http://schemas.openxmlformats.org/officeDocument/2006/relationships/hyperlink" Target="http://www.bdigital.unal.edu.co/40222/1/51934127" TargetMode="External"/><Relationship Id="rId408" Type="http://schemas.openxmlformats.org/officeDocument/2006/relationships/hyperlink" Target="http://www.upf.edu/cisal/_pdf/TFM_Nathalia_Oca" TargetMode="External"/><Relationship Id="rId409" Type="http://schemas.openxmlformats.org/officeDocument/2006/relationships/hyperlink" Target="http://designdental.wordpress.com/1079-2/" TargetMode="External"/><Relationship Id="rId410" Type="http://schemas.openxmlformats.org/officeDocument/2006/relationships/hyperlink" Target="http://dspace.uah.es/dspace/bitstream/handle/10017/" TargetMode="External"/><Relationship Id="rId411" Type="http://schemas.openxmlformats.org/officeDocument/2006/relationships/hyperlink" Target="http://digibug.ugr.es/bitstream/10481/22259/1/2100" TargetMode="External"/><Relationship Id="rId412" Type="http://schemas.openxmlformats.org/officeDocument/2006/relationships/hyperlink" Target="http://odiseo.com.mx/libros-" TargetMode="External"/><Relationship Id="rId413" Type="http://schemas.openxmlformats.org/officeDocument/2006/relationships/hyperlink" Target="http://www.cs.urjc.es/biblioteca/Archivos/introduc" TargetMode="External"/><Relationship Id="rId414" Type="http://schemas.openxmlformats.org/officeDocument/2006/relationships/hyperlink" Target="http://ocw.usal.es/ciencias-" TargetMode="External"/><Relationship Id="rId415" Type="http://schemas.openxmlformats.org/officeDocument/2006/relationships/hyperlink" Target="http://eprints.ucm.es/11822/1/ERGONOM%C3%258" TargetMode="External"/><Relationship Id="rId416" Type="http://schemas.openxmlformats.org/officeDocument/2006/relationships/image" Target="media/image234.jpeg"/><Relationship Id="rId417" Type="http://schemas.openxmlformats.org/officeDocument/2006/relationships/image" Target="media/image235.jpeg"/><Relationship Id="rId418" Type="http://schemas.openxmlformats.org/officeDocument/2006/relationships/image" Target="media/image236.jpeg"/><Relationship Id="rId419" Type="http://schemas.openxmlformats.org/officeDocument/2006/relationships/image" Target="media/image237.jpeg"/><Relationship Id="rId420" Type="http://schemas.openxmlformats.org/officeDocument/2006/relationships/image" Target="media/image238.jpeg"/><Relationship Id="rId421" Type="http://schemas.openxmlformats.org/officeDocument/2006/relationships/image" Target="media/image239.jpeg"/><Relationship Id="rId422" Type="http://schemas.openxmlformats.org/officeDocument/2006/relationships/image" Target="media/image240.jpeg"/><Relationship Id="rId423" Type="http://schemas.openxmlformats.org/officeDocument/2006/relationships/footer" Target="footer8.xml"/><Relationship Id="rId424" Type="http://schemas.openxmlformats.org/officeDocument/2006/relationships/image" Target="media/image241.png"/><Relationship Id="rId425" Type="http://schemas.openxmlformats.org/officeDocument/2006/relationships/image" Target="media/image242.jpeg"/><Relationship Id="rId426" Type="http://schemas.openxmlformats.org/officeDocument/2006/relationships/image" Target="media/image243.jpeg"/><Relationship Id="rId427" Type="http://schemas.openxmlformats.org/officeDocument/2006/relationships/image" Target="media/image244.jpeg"/><Relationship Id="rId428" Type="http://schemas.openxmlformats.org/officeDocument/2006/relationships/image" Target="media/image245.png"/><Relationship Id="rId429" Type="http://schemas.openxmlformats.org/officeDocument/2006/relationships/footer" Target="footer9.xml"/><Relationship Id="rId430" Type="http://schemas.openxmlformats.org/officeDocument/2006/relationships/image" Target="media/image246.jpeg"/><Relationship Id="rId431" Type="http://schemas.openxmlformats.org/officeDocument/2006/relationships/image" Target="media/image247.jpeg"/><Relationship Id="rId432" Type="http://schemas.openxmlformats.org/officeDocument/2006/relationships/image" Target="media/image248.jpeg"/><Relationship Id="rId433" Type="http://schemas.openxmlformats.org/officeDocument/2006/relationships/image" Target="media/image249.jpeg"/><Relationship Id="rId434" Type="http://schemas.openxmlformats.org/officeDocument/2006/relationships/hyperlink" Target="mailto:psortillon@industrial.uson.mx" TargetMode="External"/><Relationship Id="rId435" Type="http://schemas.openxmlformats.org/officeDocument/2006/relationships/hyperlink" Target="mailto:magalpuche@arq.uson.mx" TargetMode="External"/><Relationship Id="rId436" Type="http://schemas.openxmlformats.org/officeDocument/2006/relationships/hyperlink" Target="mailto:imarincic@arq.uson.mx" TargetMode="External"/><Relationship Id="rId437" Type="http://schemas.openxmlformats.org/officeDocument/2006/relationships/image" Target="media/image250.png"/><Relationship Id="rId438" Type="http://schemas.openxmlformats.org/officeDocument/2006/relationships/image" Target="media/image251.png"/><Relationship Id="rId439" Type="http://schemas.openxmlformats.org/officeDocument/2006/relationships/image" Target="media/image252.png"/><Relationship Id="rId440" Type="http://schemas.openxmlformats.org/officeDocument/2006/relationships/image" Target="media/image253.png"/><Relationship Id="rId441" Type="http://schemas.openxmlformats.org/officeDocument/2006/relationships/image" Target="media/image254.jpeg"/><Relationship Id="rId442" Type="http://schemas.openxmlformats.org/officeDocument/2006/relationships/image" Target="media/image255.jpeg"/><Relationship Id="rId443" Type="http://schemas.openxmlformats.org/officeDocument/2006/relationships/image" Target="media/image256.jpeg"/><Relationship Id="rId444" Type="http://schemas.openxmlformats.org/officeDocument/2006/relationships/image" Target="media/image257.jpeg"/><Relationship Id="rId445" Type="http://schemas.openxmlformats.org/officeDocument/2006/relationships/image" Target="media/image258.jpeg"/><Relationship Id="rId446" Type="http://schemas.openxmlformats.org/officeDocument/2006/relationships/image" Target="media/image259.jpeg"/><Relationship Id="rId447" Type="http://schemas.openxmlformats.org/officeDocument/2006/relationships/image" Target="media/image260.jpeg"/><Relationship Id="rId448" Type="http://schemas.openxmlformats.org/officeDocument/2006/relationships/image" Target="media/image261.jpeg"/><Relationship Id="rId449" Type="http://schemas.openxmlformats.org/officeDocument/2006/relationships/image" Target="media/image262.png"/><Relationship Id="rId450" Type="http://schemas.openxmlformats.org/officeDocument/2006/relationships/image" Target="media/image263.png"/><Relationship Id="rId451" Type="http://schemas.openxmlformats.org/officeDocument/2006/relationships/image" Target="media/image264.png"/><Relationship Id="rId452" Type="http://schemas.openxmlformats.org/officeDocument/2006/relationships/image" Target="media/image265.png"/><Relationship Id="rId453" Type="http://schemas.openxmlformats.org/officeDocument/2006/relationships/image" Target="media/image266.png"/><Relationship Id="rId454" Type="http://schemas.openxmlformats.org/officeDocument/2006/relationships/image" Target="media/image267.png"/><Relationship Id="rId455" Type="http://schemas.openxmlformats.org/officeDocument/2006/relationships/image" Target="media/image268.png"/><Relationship Id="rId456" Type="http://schemas.openxmlformats.org/officeDocument/2006/relationships/image" Target="media/image269.png"/><Relationship Id="rId457" Type="http://schemas.openxmlformats.org/officeDocument/2006/relationships/hyperlink" Target="mailto:gaboll117@hotmail.com" TargetMode="External"/><Relationship Id="rId458" Type="http://schemas.openxmlformats.org/officeDocument/2006/relationships/hyperlink" Target="mailto:adolfo_sama1@hotmail.com" TargetMode="External"/><Relationship Id="rId459" Type="http://schemas.openxmlformats.org/officeDocument/2006/relationships/image" Target="media/image270.jpeg"/><Relationship Id="rId460" Type="http://schemas.openxmlformats.org/officeDocument/2006/relationships/image" Target="media/image271.jpeg"/><Relationship Id="rId461" Type="http://schemas.openxmlformats.org/officeDocument/2006/relationships/image" Target="media/image272.jpeg"/><Relationship Id="rId462" Type="http://schemas.openxmlformats.org/officeDocument/2006/relationships/image" Target="media/image273.jpeg"/><Relationship Id="rId463" Type="http://schemas.openxmlformats.org/officeDocument/2006/relationships/image" Target="media/image274.jpeg"/><Relationship Id="rId464" Type="http://schemas.openxmlformats.org/officeDocument/2006/relationships/image" Target="media/image275.png"/><Relationship Id="rId465" Type="http://schemas.openxmlformats.org/officeDocument/2006/relationships/image" Target="media/image276.jpeg"/><Relationship Id="rId466" Type="http://schemas.openxmlformats.org/officeDocument/2006/relationships/image" Target="media/image277.jpeg"/><Relationship Id="rId467" Type="http://schemas.openxmlformats.org/officeDocument/2006/relationships/image" Target="media/image278.png"/><Relationship Id="rId468" Type="http://schemas.openxmlformats.org/officeDocument/2006/relationships/hyperlink" Target="mailto:elizabethroblesr@live.com" TargetMode="External"/><Relationship Id="rId469" Type="http://schemas.openxmlformats.org/officeDocument/2006/relationships/image" Target="media/image279.png"/><Relationship Id="rId470" Type="http://schemas.openxmlformats.org/officeDocument/2006/relationships/image" Target="media/image280.jpeg"/><Relationship Id="rId471" Type="http://schemas.openxmlformats.org/officeDocument/2006/relationships/image" Target="media/image281.jpeg"/><Relationship Id="rId472" Type="http://schemas.openxmlformats.org/officeDocument/2006/relationships/image" Target="media/image282.png"/><Relationship Id="rId473" Type="http://schemas.openxmlformats.org/officeDocument/2006/relationships/header" Target="header4.xml"/><Relationship Id="rId474" Type="http://schemas.openxmlformats.org/officeDocument/2006/relationships/footer" Target="footer10.xml"/><Relationship Id="rId475" Type="http://schemas.openxmlformats.org/officeDocument/2006/relationships/image" Target="media/image283.jpeg"/><Relationship Id="rId476" Type="http://schemas.openxmlformats.org/officeDocument/2006/relationships/image" Target="media/image284.png"/><Relationship Id="rId477" Type="http://schemas.openxmlformats.org/officeDocument/2006/relationships/image" Target="media/image285.jpeg"/><Relationship Id="rId478" Type="http://schemas.openxmlformats.org/officeDocument/2006/relationships/image" Target="media/image286.jpeg"/><Relationship Id="rId479" Type="http://schemas.openxmlformats.org/officeDocument/2006/relationships/footer" Target="footer11.xml"/><Relationship Id="rId480" Type="http://schemas.openxmlformats.org/officeDocument/2006/relationships/image" Target="media/image287.jpeg"/><Relationship Id="rId481" Type="http://schemas.openxmlformats.org/officeDocument/2006/relationships/image" Target="media/image288.jpeg"/><Relationship Id="rId482" Type="http://schemas.openxmlformats.org/officeDocument/2006/relationships/hyperlink" Target="http://buscon.rae.es/drae/srv/search?val=peluquero" TargetMode="External"/><Relationship Id="rId483" Type="http://schemas.openxmlformats.org/officeDocument/2006/relationships/hyperlink" Target="http://www.imss.gob.mx/conoce-al-" TargetMode="External"/><Relationship Id="rId484" Type="http://schemas.openxmlformats.org/officeDocument/2006/relationships/hyperlink" Target="http://www.semac.org.mx/archivos/congreso11/fatiga1.pdf" TargetMode="External"/><Relationship Id="rId485" Type="http://schemas.openxmlformats.org/officeDocument/2006/relationships/hyperlink" Target="http://www.stps.gob.mx/bp/secciones/dgsst/estadisticas/Sina" TargetMode="External"/><Relationship Id="rId486" Type="http://schemas.openxmlformats.org/officeDocument/2006/relationships/hyperlink" Target="mailto:javinavag@hotmail.com" TargetMode="External"/><Relationship Id="rId487" Type="http://schemas.openxmlformats.org/officeDocument/2006/relationships/image" Target="media/image289.jpeg"/><Relationship Id="rId488" Type="http://schemas.openxmlformats.org/officeDocument/2006/relationships/image" Target="media/image290.jpeg"/><Relationship Id="rId489" Type="http://schemas.openxmlformats.org/officeDocument/2006/relationships/image" Target="media/image291.jpeg"/><Relationship Id="rId490" Type="http://schemas.openxmlformats.org/officeDocument/2006/relationships/image" Target="media/image292.jpeg"/><Relationship Id="rId491" Type="http://schemas.openxmlformats.org/officeDocument/2006/relationships/image" Target="media/image293.jpeg"/><Relationship Id="rId492" Type="http://schemas.openxmlformats.org/officeDocument/2006/relationships/image" Target="media/image294.jpeg"/><Relationship Id="rId493" Type="http://schemas.openxmlformats.org/officeDocument/2006/relationships/image" Target="media/image295.jpeg"/><Relationship Id="rId494" Type="http://schemas.openxmlformats.org/officeDocument/2006/relationships/image" Target="media/image296.jpeg"/><Relationship Id="rId495" Type="http://schemas.openxmlformats.org/officeDocument/2006/relationships/image" Target="media/image297.png"/><Relationship Id="rId496" Type="http://schemas.openxmlformats.org/officeDocument/2006/relationships/image" Target="media/image298.jpeg"/><Relationship Id="rId497" Type="http://schemas.openxmlformats.org/officeDocument/2006/relationships/image" Target="media/image299.jpeg"/><Relationship Id="rId498" Type="http://schemas.openxmlformats.org/officeDocument/2006/relationships/hyperlink" Target="http://www.ergonautas.upv.es/" TargetMode="External"/><Relationship Id="rId499" Type="http://schemas.openxmlformats.org/officeDocument/2006/relationships/hyperlink" Target="http://www.slideshare.net/jcfdezmxcal/iso-ts-16949" TargetMode="External"/><Relationship Id="rId500" Type="http://schemas.openxmlformats.org/officeDocument/2006/relationships/hyperlink" Target="http://www.ergonautas.upv.es/metodos/lest/lest-ayuda.php" TargetMode="External"/><Relationship Id="rId501" Type="http://schemas.openxmlformats.org/officeDocument/2006/relationships/hyperlink" Target="mailto:ge_meza@ith.mx" TargetMode="External"/><Relationship Id="rId502" Type="http://schemas.openxmlformats.org/officeDocument/2006/relationships/image" Target="media/image300.png"/><Relationship Id="rId503" Type="http://schemas.openxmlformats.org/officeDocument/2006/relationships/image" Target="media/image301.png"/><Relationship Id="rId504" Type="http://schemas.openxmlformats.org/officeDocument/2006/relationships/image" Target="media/image302.png"/><Relationship Id="rId505" Type="http://schemas.openxmlformats.org/officeDocument/2006/relationships/image" Target="media/image303.png"/><Relationship Id="rId506" Type="http://schemas.openxmlformats.org/officeDocument/2006/relationships/image" Target="media/image304.png"/><Relationship Id="rId507" Type="http://schemas.openxmlformats.org/officeDocument/2006/relationships/image" Target="media/image305.png"/><Relationship Id="rId508" Type="http://schemas.openxmlformats.org/officeDocument/2006/relationships/image" Target="media/image306.png"/><Relationship Id="rId509" Type="http://schemas.openxmlformats.org/officeDocument/2006/relationships/image" Target="media/image307.png"/><Relationship Id="rId510" Type="http://schemas.openxmlformats.org/officeDocument/2006/relationships/image" Target="media/image308.png"/><Relationship Id="rId511" Type="http://schemas.openxmlformats.org/officeDocument/2006/relationships/image" Target="media/image309.png"/><Relationship Id="rId512" Type="http://schemas.openxmlformats.org/officeDocument/2006/relationships/image" Target="media/image310.png"/><Relationship Id="rId513" Type="http://schemas.openxmlformats.org/officeDocument/2006/relationships/image" Target="media/image311.png"/><Relationship Id="rId514" Type="http://schemas.openxmlformats.org/officeDocument/2006/relationships/image" Target="media/image312.png"/><Relationship Id="rId515" Type="http://schemas.openxmlformats.org/officeDocument/2006/relationships/image" Target="media/image313.png"/><Relationship Id="rId516" Type="http://schemas.openxmlformats.org/officeDocument/2006/relationships/image" Target="media/image314.png"/><Relationship Id="rId517" Type="http://schemas.openxmlformats.org/officeDocument/2006/relationships/image" Target="media/image315.png"/><Relationship Id="rId518" Type="http://schemas.openxmlformats.org/officeDocument/2006/relationships/hyperlink" Target="http://www.imss.gob.mx/estadisticas/financieras/memoria_est.htm" TargetMode="External"/><Relationship Id="rId519" Type="http://schemas.openxmlformats.org/officeDocument/2006/relationships/footer" Target="footer12.xml"/><Relationship Id="rId520" Type="http://schemas.openxmlformats.org/officeDocument/2006/relationships/footer" Target="footer13.xml"/><Relationship Id="rId521" Type="http://schemas.openxmlformats.org/officeDocument/2006/relationships/image" Target="media/image316.png"/><Relationship Id="rId522" Type="http://schemas.openxmlformats.org/officeDocument/2006/relationships/image" Target="media/image317.jpeg"/><Relationship Id="rId523" Type="http://schemas.openxmlformats.org/officeDocument/2006/relationships/image" Target="media/image318.jpeg"/><Relationship Id="rId524" Type="http://schemas.openxmlformats.org/officeDocument/2006/relationships/hyperlink" Target="http://www.mantenimientomundial.com/sites/mm/notas/Erg" TargetMode="External"/><Relationship Id="rId525" Type="http://schemas.openxmlformats.org/officeDocument/2006/relationships/hyperlink" Target="http://www.imss.gob.mx/conoce-al-imss/memoria-" TargetMode="External"/><Relationship Id="rId526" Type="http://schemas.openxmlformats.org/officeDocument/2006/relationships/hyperlink" Target="http://www.milenio.com/hidalgo/IMSS-" TargetMode="External"/><Relationship Id="rId527" Type="http://schemas.openxmlformats.org/officeDocument/2006/relationships/hyperlink" Target="http://blog.lanacion.cl/2014/04/24/por-que-la-ergonomia-" TargetMode="External"/><Relationship Id="rId528" Type="http://schemas.openxmlformats.org/officeDocument/2006/relationships/hyperlink" Target="http://www.ssu.ac.ir/cms/fileadmin/user_upload/Moavenath" TargetMode="External"/><Relationship Id="rId529" Type="http://schemas.openxmlformats.org/officeDocument/2006/relationships/hyperlink" Target="http://www.ergonautas.upv.es/metodos/fanger/fanger-" TargetMode="External"/><Relationship Id="rId530" Type="http://schemas.openxmlformats.org/officeDocument/2006/relationships/hyperlink" Target="http://naukas.com/2011/03/28/evalua-" TargetMode="External"/><Relationship Id="rId531" Type="http://schemas.openxmlformats.org/officeDocument/2006/relationships/image" Target="media/image319.jpeg"/><Relationship Id="rId532" Type="http://schemas.openxmlformats.org/officeDocument/2006/relationships/image" Target="media/image320.png"/><Relationship Id="rId533" Type="http://schemas.openxmlformats.org/officeDocument/2006/relationships/image" Target="media/image321.png"/><Relationship Id="rId534" Type="http://schemas.openxmlformats.org/officeDocument/2006/relationships/image" Target="media/image322.png"/><Relationship Id="rId535" Type="http://schemas.openxmlformats.org/officeDocument/2006/relationships/image" Target="media/image323.jpeg"/><Relationship Id="rId536" Type="http://schemas.openxmlformats.org/officeDocument/2006/relationships/image" Target="media/image324.png"/><Relationship Id="rId537" Type="http://schemas.openxmlformats.org/officeDocument/2006/relationships/image" Target="media/image325.png"/><Relationship Id="rId538" Type="http://schemas.openxmlformats.org/officeDocument/2006/relationships/image" Target="media/image326.png"/><Relationship Id="rId539" Type="http://schemas.openxmlformats.org/officeDocument/2006/relationships/hyperlink" Target="http://www.srt.gob.ar/index.php/prueba-de-sintomas-subjetivos-" TargetMode="External"/><Relationship Id="rId540" Type="http://schemas.openxmlformats.org/officeDocument/2006/relationships/hyperlink" Target="http://www.ias.org.ar/down/asociados/reporter_ia/tecnicas/fatiga.h" TargetMode="External"/><Relationship Id="rId541" Type="http://schemas.openxmlformats.org/officeDocument/2006/relationships/hyperlink" Target="http://biddigital.epn.edu.ec/handle/15000/4008" TargetMode="External"/><Relationship Id="rId542" Type="http://schemas.openxmlformats.org/officeDocument/2006/relationships/hyperlink" Target="http://www.insht.es/MusculoEsqueleticos/Contenidos/Form" TargetMode="External"/><Relationship Id="rId543" Type="http://schemas.openxmlformats.org/officeDocument/2006/relationships/hyperlink" Target="http://www.gencat.cat/treball/doc/doc_15522120_2.pdf" TargetMode="External"/><Relationship Id="rId544" Type="http://schemas.openxmlformats.org/officeDocument/2006/relationships/hyperlink" Target="mailto:edelavega@ith.mx" TargetMode="External"/><Relationship Id="rId545" Type="http://schemas.openxmlformats.org/officeDocument/2006/relationships/hyperlink" Target="mailto:lopezoctavio@yahoo.com.mx" TargetMode="External"/><Relationship Id="rId546" Type="http://schemas.openxmlformats.org/officeDocument/2006/relationships/hyperlink" Target="mailto:maleydapr@gmail.com" TargetMode="External"/><Relationship Id="rId547" Type="http://schemas.openxmlformats.org/officeDocument/2006/relationships/hyperlink" Target="mailto:umezawasilvia@gmail.com" TargetMode="External"/><Relationship Id="rId548" Type="http://schemas.openxmlformats.org/officeDocument/2006/relationships/footer" Target="footer14.xml"/><Relationship Id="rId549" Type="http://schemas.openxmlformats.org/officeDocument/2006/relationships/image" Target="media/image327.jpeg"/><Relationship Id="rId550" Type="http://schemas.openxmlformats.org/officeDocument/2006/relationships/image" Target="media/image328.jpeg"/><Relationship Id="rId551" Type="http://schemas.openxmlformats.org/officeDocument/2006/relationships/image" Target="media/image329.jpeg"/><Relationship Id="rId552" Type="http://schemas.openxmlformats.org/officeDocument/2006/relationships/footer" Target="footer15.xml"/><Relationship Id="rId553" Type="http://schemas.openxmlformats.org/officeDocument/2006/relationships/image" Target="media/image330.jpeg"/><Relationship Id="rId554" Type="http://schemas.openxmlformats.org/officeDocument/2006/relationships/image" Target="media/image331.jpeg"/><Relationship Id="rId555" Type="http://schemas.openxmlformats.org/officeDocument/2006/relationships/image" Target="media/image332.jpeg"/><Relationship Id="rId556" Type="http://schemas.openxmlformats.org/officeDocument/2006/relationships/image" Target="media/image333.jpeg"/><Relationship Id="rId557" Type="http://schemas.openxmlformats.org/officeDocument/2006/relationships/image" Target="media/image334.jpeg"/><Relationship Id="rId558" Type="http://schemas.openxmlformats.org/officeDocument/2006/relationships/image" Target="media/image335.png"/><Relationship Id="rId559" Type="http://schemas.openxmlformats.org/officeDocument/2006/relationships/image" Target="media/image336.jpeg"/><Relationship Id="rId560" Type="http://schemas.openxmlformats.org/officeDocument/2006/relationships/image" Target="media/image337.jpeg"/><Relationship Id="rId561" Type="http://schemas.openxmlformats.org/officeDocument/2006/relationships/image" Target="media/image338.jpeg"/><Relationship Id="rId562" Type="http://schemas.openxmlformats.org/officeDocument/2006/relationships/image" Target="media/image339.jpeg"/><Relationship Id="rId563" Type="http://schemas.openxmlformats.org/officeDocument/2006/relationships/image" Target="media/image340.jpeg"/><Relationship Id="rId564" Type="http://schemas.openxmlformats.org/officeDocument/2006/relationships/image" Target="media/image341.jpeg"/><Relationship Id="rId565" Type="http://schemas.openxmlformats.org/officeDocument/2006/relationships/image" Target="media/image342.jpeg"/><Relationship Id="rId566" Type="http://schemas.openxmlformats.org/officeDocument/2006/relationships/image" Target="media/image343.jpeg"/><Relationship Id="rId567" Type="http://schemas.openxmlformats.org/officeDocument/2006/relationships/hyperlink" Target="http://www.sd.polyu.edu.hk/iasdr/proceeding/papers/AN%252" TargetMode="External"/><Relationship Id="rId568" Type="http://schemas.openxmlformats.org/officeDocument/2006/relationships/hyperlink" Target="mailto:Diegoestradarosas@yahoo.com.mx" TargetMode="External"/><Relationship Id="rId569" Type="http://schemas.openxmlformats.org/officeDocument/2006/relationships/hyperlink" Target="mailto:Lvaldez018@gmail.com" TargetMode="External"/><Relationship Id="rId570" Type="http://schemas.openxmlformats.org/officeDocument/2006/relationships/hyperlink" Target="mailto:Yanethkizu@gmail.com" TargetMode="External"/><Relationship Id="rId571" Type="http://schemas.openxmlformats.org/officeDocument/2006/relationships/hyperlink" Target="mailto:81259%2Csaaravega@gmail.com" TargetMode="External"/><Relationship Id="rId572" Type="http://schemas.openxmlformats.org/officeDocument/2006/relationships/image" Target="media/image344.png"/><Relationship Id="rId573" Type="http://schemas.openxmlformats.org/officeDocument/2006/relationships/image" Target="media/image345.png"/><Relationship Id="rId574" Type="http://schemas.openxmlformats.org/officeDocument/2006/relationships/image" Target="media/image346.png"/><Relationship Id="rId575" Type="http://schemas.openxmlformats.org/officeDocument/2006/relationships/image" Target="media/image347.jpeg"/><Relationship Id="rId576" Type="http://schemas.openxmlformats.org/officeDocument/2006/relationships/image" Target="media/image348.png"/><Relationship Id="rId577" Type="http://schemas.openxmlformats.org/officeDocument/2006/relationships/image" Target="media/image349.jpeg"/><Relationship Id="rId578" Type="http://schemas.openxmlformats.org/officeDocument/2006/relationships/image" Target="media/image350.jpeg"/><Relationship Id="rId579" Type="http://schemas.openxmlformats.org/officeDocument/2006/relationships/image" Target="media/image351.jpeg"/><Relationship Id="rId580" Type="http://schemas.openxmlformats.org/officeDocument/2006/relationships/image" Target="media/image352.jpeg"/><Relationship Id="rId581" Type="http://schemas.openxmlformats.org/officeDocument/2006/relationships/image" Target="media/image353.jpeg"/><Relationship Id="rId582" Type="http://schemas.openxmlformats.org/officeDocument/2006/relationships/image" Target="media/image354.jpeg"/><Relationship Id="rId583" Type="http://schemas.openxmlformats.org/officeDocument/2006/relationships/image" Target="media/image355.jpeg"/><Relationship Id="rId584" Type="http://schemas.openxmlformats.org/officeDocument/2006/relationships/image" Target="media/image356.jpeg"/><Relationship Id="rId585" Type="http://schemas.openxmlformats.org/officeDocument/2006/relationships/image" Target="media/image357.jpeg"/><Relationship Id="rId586" Type="http://schemas.openxmlformats.org/officeDocument/2006/relationships/hyperlink" Target="http://www.ncbi.nlm.nih.gov/pubmed/20450125" TargetMode="External"/><Relationship Id="rId587" Type="http://schemas.openxmlformats.org/officeDocument/2006/relationships/hyperlink" Target="http://www.ergocupacional.com/4910/20608.html" TargetMode="External"/><Relationship Id="rId588" Type="http://schemas.openxmlformats.org/officeDocument/2006/relationships/hyperlink" Target="http://trabajaconseguridad.blogspot.mx/2012/02/diseno-" TargetMode="External"/><Relationship Id="rId589" Type="http://schemas.openxmlformats.org/officeDocument/2006/relationships/hyperlink" Target="mailto:erik_martinez1994@outlook.com" TargetMode="External"/><Relationship Id="rId590" Type="http://schemas.openxmlformats.org/officeDocument/2006/relationships/hyperlink" Target="mailto:charly_nava13@hotmail.com" TargetMode="External"/><Relationship Id="rId591" Type="http://schemas.openxmlformats.org/officeDocument/2006/relationships/hyperlink" Target="mailto:daniela-jessica@hotmail.com" TargetMode="External"/><Relationship Id="rId592" Type="http://schemas.openxmlformats.org/officeDocument/2006/relationships/image" Target="media/image358.jpeg"/><Relationship Id="rId593" Type="http://schemas.openxmlformats.org/officeDocument/2006/relationships/image" Target="media/image359.jpeg"/><Relationship Id="rId594" Type="http://schemas.openxmlformats.org/officeDocument/2006/relationships/image" Target="media/image360.jpeg"/><Relationship Id="rId595" Type="http://schemas.openxmlformats.org/officeDocument/2006/relationships/image" Target="media/image361.jpeg"/><Relationship Id="rId596" Type="http://schemas.openxmlformats.org/officeDocument/2006/relationships/image" Target="media/image362.jpeg"/><Relationship Id="rId597" Type="http://schemas.openxmlformats.org/officeDocument/2006/relationships/image" Target="media/image363.png"/><Relationship Id="rId598" Type="http://schemas.openxmlformats.org/officeDocument/2006/relationships/image" Target="media/image364.jpeg"/><Relationship Id="rId599" Type="http://schemas.openxmlformats.org/officeDocument/2006/relationships/image" Target="media/image365.jpeg"/><Relationship Id="rId600" Type="http://schemas.openxmlformats.org/officeDocument/2006/relationships/image" Target="media/image366.jpeg"/><Relationship Id="rId601" Type="http://schemas.openxmlformats.org/officeDocument/2006/relationships/image" Target="media/image367.jpeg"/><Relationship Id="rId602" Type="http://schemas.openxmlformats.org/officeDocument/2006/relationships/image" Target="media/image368.jpeg"/><Relationship Id="rId603" Type="http://schemas.openxmlformats.org/officeDocument/2006/relationships/image" Target="media/image369.jpeg"/><Relationship Id="rId604" Type="http://schemas.openxmlformats.org/officeDocument/2006/relationships/image" Target="media/image370.jpeg"/><Relationship Id="rId605" Type="http://schemas.openxmlformats.org/officeDocument/2006/relationships/image" Target="media/image371.jpeg"/><Relationship Id="rId606" Type="http://schemas.openxmlformats.org/officeDocument/2006/relationships/image" Target="media/image372.jpeg"/><Relationship Id="rId607" Type="http://schemas.openxmlformats.org/officeDocument/2006/relationships/image" Target="media/image373.jpeg"/><Relationship Id="rId608" Type="http://schemas.openxmlformats.org/officeDocument/2006/relationships/hyperlink" Target="http://www.prodiamex.com/productos/historiadelatortilla/his" TargetMode="External"/><Relationship Id="rId609" Type="http://schemas.openxmlformats.org/officeDocument/2006/relationships/hyperlink" Target="http://www.mexicoproduce.mx/articulos/tortilla.html" TargetMode="External"/><Relationship Id="rId610" Type="http://schemas.openxmlformats.org/officeDocument/2006/relationships/hyperlink" Target="http://www.stps.gob.mx/bp/secciones/dgsst/estadisticas/Sinal" TargetMode="External"/><Relationship Id="rId611" Type="http://schemas.openxmlformats.org/officeDocument/2006/relationships/hyperlink" Target="http://www.semac.org.mx/images/stories/Noticias/NOM-" TargetMode="External"/><Relationship Id="rId612" Type="http://schemas.openxmlformats.org/officeDocument/2006/relationships/image" Target="media/image374.jpeg"/><Relationship Id="rId613" Type="http://schemas.openxmlformats.org/officeDocument/2006/relationships/hyperlink" Target="http://dicciomed.eusal.es/imagenes/citomegalovirus" TargetMode="External"/><Relationship Id="rId614" Type="http://schemas.openxmlformats.org/officeDocument/2006/relationships/image" Target="media/image375.png"/><Relationship Id="rId615" Type="http://schemas.openxmlformats.org/officeDocument/2006/relationships/hyperlink" Target="mailto:jogi.apodaca@gmail.com" TargetMode="External"/><Relationship Id="rId616" Type="http://schemas.openxmlformats.org/officeDocument/2006/relationships/hyperlink" Target="mailto:yorel.14@hotmail.com" TargetMode="External"/><Relationship Id="rId617" Type="http://schemas.openxmlformats.org/officeDocument/2006/relationships/hyperlink" Target="mailto:lucerodejesus_del@hotmail.com" TargetMode="External"/><Relationship Id="rId618" Type="http://schemas.openxmlformats.org/officeDocument/2006/relationships/hyperlink" Target="mailto:jmos_765@hotmail.com" TargetMode="External"/><Relationship Id="rId619" Type="http://schemas.openxmlformats.org/officeDocument/2006/relationships/image" Target="media/image376.jpeg"/><Relationship Id="rId620" Type="http://schemas.openxmlformats.org/officeDocument/2006/relationships/image" Target="media/image377.jpeg"/><Relationship Id="rId621" Type="http://schemas.openxmlformats.org/officeDocument/2006/relationships/image" Target="media/image378.jpeg"/><Relationship Id="rId622" Type="http://schemas.openxmlformats.org/officeDocument/2006/relationships/image" Target="media/image379.jpeg"/><Relationship Id="rId623" Type="http://schemas.openxmlformats.org/officeDocument/2006/relationships/image" Target="media/image380.jpeg"/><Relationship Id="rId624" Type="http://schemas.openxmlformats.org/officeDocument/2006/relationships/image" Target="media/image381.jpeg"/><Relationship Id="rId625" Type="http://schemas.openxmlformats.org/officeDocument/2006/relationships/image" Target="media/image382.jpeg"/><Relationship Id="rId626" Type="http://schemas.openxmlformats.org/officeDocument/2006/relationships/image" Target="media/image383.png"/><Relationship Id="rId627" Type="http://schemas.openxmlformats.org/officeDocument/2006/relationships/hyperlink" Target="mailto:sergiovalenzuela1@icloud.com" TargetMode="External"/><Relationship Id="rId628" Type="http://schemas.openxmlformats.org/officeDocument/2006/relationships/hyperlink" Target="mailto:leverkun1@outlook.es" TargetMode="External"/><Relationship Id="rId629" Type="http://schemas.openxmlformats.org/officeDocument/2006/relationships/hyperlink" Target="mailto:mireya.servin@imss.gob.mx" TargetMode="External"/><Relationship Id="rId630" Type="http://schemas.openxmlformats.org/officeDocument/2006/relationships/image" Target="media/image384.jpeg"/><Relationship Id="rId631" Type="http://schemas.openxmlformats.org/officeDocument/2006/relationships/hyperlink" Target="http://www.deparisnet.be/tms/sp/el-examenclinico-del" TargetMode="External"/><Relationship Id="rId632" Type="http://schemas.openxmlformats.org/officeDocument/2006/relationships/hyperlink" Target="mailto:al132755@alumnos.uacj.mx" TargetMode="External"/><Relationship Id="rId633" Type="http://schemas.openxmlformats.org/officeDocument/2006/relationships/image" Target="media/image385.png"/><Relationship Id="rId634" Type="http://schemas.openxmlformats.org/officeDocument/2006/relationships/hyperlink" Target="mailto:alberto_ramirez_leyva@yahoo.com" TargetMode="External"/><Relationship Id="rId635" Type="http://schemas.openxmlformats.org/officeDocument/2006/relationships/hyperlink" Target="mailto:jesus_ruizi@hotmail.com" TargetMode="External"/><Relationship Id="rId636" Type="http://schemas.openxmlformats.org/officeDocument/2006/relationships/hyperlink" Target="mailto:carlosefa@hotmail.com" TargetMode="External"/><Relationship Id="rId637" Type="http://schemas.openxmlformats.org/officeDocument/2006/relationships/hyperlink" Target="mailto:irvin_alexis91@hotmail.com" TargetMode="External"/><Relationship Id="rId638" Type="http://schemas.openxmlformats.org/officeDocument/2006/relationships/image" Target="media/image386.png"/><Relationship Id="rId639" Type="http://schemas.openxmlformats.org/officeDocument/2006/relationships/image" Target="media/image387.png"/><Relationship Id="rId640" Type="http://schemas.openxmlformats.org/officeDocument/2006/relationships/image" Target="media/image388.png"/><Relationship Id="rId641" Type="http://schemas.openxmlformats.org/officeDocument/2006/relationships/image" Target="media/image389.png"/><Relationship Id="rId642" Type="http://schemas.openxmlformats.org/officeDocument/2006/relationships/image" Target="media/image390.png"/><Relationship Id="rId643" Type="http://schemas.openxmlformats.org/officeDocument/2006/relationships/image" Target="media/image391.png"/><Relationship Id="rId644" Type="http://schemas.openxmlformats.org/officeDocument/2006/relationships/image" Target="media/image392.png"/><Relationship Id="rId645" Type="http://schemas.openxmlformats.org/officeDocument/2006/relationships/image" Target="media/image393.png"/><Relationship Id="rId646" Type="http://schemas.openxmlformats.org/officeDocument/2006/relationships/image" Target="media/image394.png"/><Relationship Id="rId647" Type="http://schemas.openxmlformats.org/officeDocument/2006/relationships/image" Target="media/image395.png"/><Relationship Id="rId648" Type="http://schemas.openxmlformats.org/officeDocument/2006/relationships/image" Target="media/image396.png"/><Relationship Id="rId649" Type="http://schemas.openxmlformats.org/officeDocument/2006/relationships/hyperlink" Target="mailto:jalajala64@hotmail.com" TargetMode="External"/><Relationship Id="rId650" Type="http://schemas.openxmlformats.org/officeDocument/2006/relationships/hyperlink" Target="mailto:jesus.eduardo.avila.r@gmail.com" TargetMode="External"/><Relationship Id="rId651" Type="http://schemas.openxmlformats.org/officeDocument/2006/relationships/hyperlink" Target="mailto:citallopez.2@hotmail.com" TargetMode="External"/><Relationship Id="rId652" Type="http://schemas.openxmlformats.org/officeDocument/2006/relationships/hyperlink" Target="mailto:luisfierro_itlm@hotmail.comi" TargetMode="External"/><Relationship Id="rId653" Type="http://schemas.openxmlformats.org/officeDocument/2006/relationships/image" Target="media/image397.png"/><Relationship Id="rId654" Type="http://schemas.openxmlformats.org/officeDocument/2006/relationships/image" Target="media/image398.png"/><Relationship Id="rId655" Type="http://schemas.openxmlformats.org/officeDocument/2006/relationships/image" Target="media/image399.png"/><Relationship Id="rId656" Type="http://schemas.openxmlformats.org/officeDocument/2006/relationships/image" Target="media/image400.png"/><Relationship Id="rId657" Type="http://schemas.openxmlformats.org/officeDocument/2006/relationships/image" Target="media/image401.png"/><Relationship Id="rId658" Type="http://schemas.openxmlformats.org/officeDocument/2006/relationships/image" Target="media/image402.png"/><Relationship Id="rId659" Type="http://schemas.openxmlformats.org/officeDocument/2006/relationships/image" Target="media/image403.jpeg"/><Relationship Id="rId660" Type="http://schemas.openxmlformats.org/officeDocument/2006/relationships/image" Target="media/image404.jpeg"/><Relationship Id="rId661" Type="http://schemas.openxmlformats.org/officeDocument/2006/relationships/image" Target="media/image405.jpeg"/><Relationship Id="rId662" Type="http://schemas.openxmlformats.org/officeDocument/2006/relationships/image" Target="media/image406.jpeg"/><Relationship Id="rId663" Type="http://schemas.openxmlformats.org/officeDocument/2006/relationships/image" Target="media/image407.jpeg"/><Relationship Id="rId664" Type="http://schemas.openxmlformats.org/officeDocument/2006/relationships/image" Target="media/image408.jpeg"/><Relationship Id="rId665" Type="http://schemas.openxmlformats.org/officeDocument/2006/relationships/image" Target="media/image409.jpeg"/><Relationship Id="rId666" Type="http://schemas.openxmlformats.org/officeDocument/2006/relationships/image" Target="media/image410.jpeg"/><Relationship Id="rId667" Type="http://schemas.openxmlformats.org/officeDocument/2006/relationships/image" Target="media/image411.jpeg"/><Relationship Id="rId668" Type="http://schemas.openxmlformats.org/officeDocument/2006/relationships/hyperlink" Target="http://www.stps.gob.mx/bp/secciones/dgsst/estadisticas/sinal" TargetMode="External"/><Relationship Id="rId669" Type="http://schemas.openxmlformats.org/officeDocument/2006/relationships/hyperlink" Target="mailto:jjbeltranm@unal.edu.co" TargetMode="External"/><Relationship Id="rId670" Type="http://schemas.openxmlformats.org/officeDocument/2006/relationships/image" Target="media/image412.png"/><Relationship Id="rId671" Type="http://schemas.openxmlformats.org/officeDocument/2006/relationships/image" Target="media/image413.png"/><Relationship Id="rId672" Type="http://schemas.openxmlformats.org/officeDocument/2006/relationships/image" Target="media/image414.png"/><Relationship Id="rId673" Type="http://schemas.openxmlformats.org/officeDocument/2006/relationships/image" Target="media/image415.png"/><Relationship Id="rId674" Type="http://schemas.openxmlformats.org/officeDocument/2006/relationships/image" Target="media/image416.png"/><Relationship Id="rId675" Type="http://schemas.openxmlformats.org/officeDocument/2006/relationships/image" Target="media/image417.png"/><Relationship Id="rId676" Type="http://schemas.openxmlformats.org/officeDocument/2006/relationships/image" Target="media/image418.png"/><Relationship Id="rId677" Type="http://schemas.openxmlformats.org/officeDocument/2006/relationships/image" Target="media/image419.png"/><Relationship Id="rId678" Type="http://schemas.openxmlformats.org/officeDocument/2006/relationships/image" Target="media/image420.png"/><Relationship Id="rId679" Type="http://schemas.openxmlformats.org/officeDocument/2006/relationships/image" Target="media/image421.png"/><Relationship Id="rId680" Type="http://schemas.openxmlformats.org/officeDocument/2006/relationships/image" Target="media/image422.png"/><Relationship Id="rId681" Type="http://schemas.openxmlformats.org/officeDocument/2006/relationships/image" Target="media/image423.png"/><Relationship Id="rId682" Type="http://schemas.openxmlformats.org/officeDocument/2006/relationships/hyperlink" Target="http://consultas.fasecolda.com/rpdatos/Reportes/xGrupos.as" TargetMode="External"/><Relationship Id="rId683" Type="http://schemas.openxmlformats.org/officeDocument/2006/relationships/hyperlink" Target="mailto:eleonorajimenez@hotmail.com" TargetMode="External"/><Relationship Id="rId684" Type="http://schemas.openxmlformats.org/officeDocument/2006/relationships/hyperlink" Target="mailto:pslizethbohoquez@hotmail.com" TargetMode="External"/><Relationship Id="rId685" Type="http://schemas.openxmlformats.org/officeDocument/2006/relationships/hyperlink" Target="mailto:quintero.fernanda@gmail.com" TargetMode="External"/><Relationship Id="rId686" Type="http://schemas.openxmlformats.org/officeDocument/2006/relationships/hyperlink" Target="mailto:maira.chaparro@gmail.com" TargetMode="External"/><Relationship Id="rId687" Type="http://schemas.openxmlformats.org/officeDocument/2006/relationships/hyperlink" Target="http://www.ens.org.co/index.shtml" TargetMode="External"/><Relationship Id="rId688" Type="http://schemas.openxmlformats.org/officeDocument/2006/relationships/hyperlink" Target="mailto:danielaapodaca_@hotmail.com" TargetMode="External"/><Relationship Id="rId689" Type="http://schemas.openxmlformats.org/officeDocument/2006/relationships/hyperlink" Target="mailto:Jrmc_4@hotmail.com" TargetMode="External"/><Relationship Id="rId690" Type="http://schemas.openxmlformats.org/officeDocument/2006/relationships/image" Target="media/image424.jpeg"/><Relationship Id="rId691" Type="http://schemas.openxmlformats.org/officeDocument/2006/relationships/image" Target="media/image425.jpeg"/><Relationship Id="rId692" Type="http://schemas.openxmlformats.org/officeDocument/2006/relationships/image" Target="media/image426.jpeg"/><Relationship Id="rId693" Type="http://schemas.openxmlformats.org/officeDocument/2006/relationships/image" Target="media/image427.jpeg"/><Relationship Id="rId694" Type="http://schemas.openxmlformats.org/officeDocument/2006/relationships/image" Target="media/image428.png"/><Relationship Id="rId695" Type="http://schemas.openxmlformats.org/officeDocument/2006/relationships/image" Target="media/image429.png"/><Relationship Id="rId696" Type="http://schemas.openxmlformats.org/officeDocument/2006/relationships/image" Target="media/image430.png"/><Relationship Id="rId697" Type="http://schemas.openxmlformats.org/officeDocument/2006/relationships/image" Target="media/image431.png"/><Relationship Id="rId698" Type="http://schemas.openxmlformats.org/officeDocument/2006/relationships/image" Target="media/image432.png"/><Relationship Id="rId699" Type="http://schemas.openxmlformats.org/officeDocument/2006/relationships/image" Target="media/image433.jpeg"/><Relationship Id="rId700" Type="http://schemas.openxmlformats.org/officeDocument/2006/relationships/image" Target="media/image434.png"/><Relationship Id="rId701" Type="http://schemas.openxmlformats.org/officeDocument/2006/relationships/image" Target="media/image435.png"/><Relationship Id="rId702" Type="http://schemas.openxmlformats.org/officeDocument/2006/relationships/image" Target="media/image436.png"/><Relationship Id="rId703" Type="http://schemas.openxmlformats.org/officeDocument/2006/relationships/image" Target="media/image437.png"/><Relationship Id="rId704" Type="http://schemas.openxmlformats.org/officeDocument/2006/relationships/hyperlink" Target="mailto:saaravega@gmail.com" TargetMode="External"/><Relationship Id="rId705" Type="http://schemas.openxmlformats.org/officeDocument/2006/relationships/hyperlink" Target="mailto:Kizucortez@hotmail.com" TargetMode="External"/><Relationship Id="rId706" Type="http://schemas.openxmlformats.org/officeDocument/2006/relationships/image" Target="media/image438.png"/><Relationship Id="rId707" Type="http://schemas.openxmlformats.org/officeDocument/2006/relationships/image" Target="media/image439.png"/><Relationship Id="rId708" Type="http://schemas.openxmlformats.org/officeDocument/2006/relationships/image" Target="media/image440.jpeg"/><Relationship Id="rId709" Type="http://schemas.openxmlformats.org/officeDocument/2006/relationships/image" Target="media/image441.png"/><Relationship Id="rId710" Type="http://schemas.openxmlformats.org/officeDocument/2006/relationships/image" Target="media/image442.png"/><Relationship Id="rId711" Type="http://schemas.openxmlformats.org/officeDocument/2006/relationships/image" Target="media/image443.jpeg"/><Relationship Id="rId712" Type="http://schemas.openxmlformats.org/officeDocument/2006/relationships/image" Target="media/image444.png"/><Relationship Id="rId713" Type="http://schemas.openxmlformats.org/officeDocument/2006/relationships/image" Target="media/image445.jpeg"/><Relationship Id="rId714" Type="http://schemas.openxmlformats.org/officeDocument/2006/relationships/hyperlink" Target="mailto:Mirza_m26@hotmail.com" TargetMode="External"/><Relationship Id="rId715" Type="http://schemas.openxmlformats.org/officeDocument/2006/relationships/image" Target="media/image446.jpeg"/><Relationship Id="rId716" Type="http://schemas.openxmlformats.org/officeDocument/2006/relationships/image" Target="media/image447.jpeg"/><Relationship Id="rId717" Type="http://schemas.openxmlformats.org/officeDocument/2006/relationships/image" Target="media/image448.jpeg"/><Relationship Id="rId718" Type="http://schemas.openxmlformats.org/officeDocument/2006/relationships/image" Target="media/image449.jpeg"/><Relationship Id="rId719" Type="http://schemas.openxmlformats.org/officeDocument/2006/relationships/image" Target="media/image450.jpeg"/><Relationship Id="rId720" Type="http://schemas.openxmlformats.org/officeDocument/2006/relationships/image" Target="media/image451.png"/><Relationship Id="rId721" Type="http://schemas.openxmlformats.org/officeDocument/2006/relationships/image" Target="media/image452.jpeg"/><Relationship Id="rId722" Type="http://schemas.openxmlformats.org/officeDocument/2006/relationships/image" Target="media/image453.jpeg"/><Relationship Id="rId723" Type="http://schemas.openxmlformats.org/officeDocument/2006/relationships/image" Target="media/image454.png"/><Relationship Id="rId724" Type="http://schemas.openxmlformats.org/officeDocument/2006/relationships/image" Target="media/image455.jpeg"/><Relationship Id="rId725" Type="http://schemas.openxmlformats.org/officeDocument/2006/relationships/image" Target="media/image456.png"/><Relationship Id="rId726" Type="http://schemas.openxmlformats.org/officeDocument/2006/relationships/image" Target="media/image457.jpeg"/><Relationship Id="rId727" Type="http://schemas.openxmlformats.org/officeDocument/2006/relationships/image" Target="media/image458.png"/><Relationship Id="rId728" Type="http://schemas.openxmlformats.org/officeDocument/2006/relationships/image" Target="media/image459.jpeg"/><Relationship Id="rId729" Type="http://schemas.openxmlformats.org/officeDocument/2006/relationships/image" Target="media/image460.png"/><Relationship Id="rId730" Type="http://schemas.openxmlformats.org/officeDocument/2006/relationships/image" Target="media/image461.png"/><Relationship Id="rId731" Type="http://schemas.openxmlformats.org/officeDocument/2006/relationships/image" Target="media/image462.png"/><Relationship Id="rId732" Type="http://schemas.openxmlformats.org/officeDocument/2006/relationships/image" Target="media/image463.jpeg"/><Relationship Id="rId733" Type="http://schemas.openxmlformats.org/officeDocument/2006/relationships/image" Target="media/image464.png"/><Relationship Id="rId734" Type="http://schemas.openxmlformats.org/officeDocument/2006/relationships/image" Target="media/image465.png"/><Relationship Id="rId735" Type="http://schemas.openxmlformats.org/officeDocument/2006/relationships/image" Target="media/image466.png"/><Relationship Id="rId736" Type="http://schemas.openxmlformats.org/officeDocument/2006/relationships/image" Target="media/image467.png"/><Relationship Id="rId737" Type="http://schemas.openxmlformats.org/officeDocument/2006/relationships/image" Target="media/image468.png"/><Relationship Id="rId738" Type="http://schemas.openxmlformats.org/officeDocument/2006/relationships/image" Target="media/image469.png"/><Relationship Id="rId739" Type="http://schemas.openxmlformats.org/officeDocument/2006/relationships/image" Target="media/image470.jpeg"/><Relationship Id="rId740" Type="http://schemas.openxmlformats.org/officeDocument/2006/relationships/image" Target="media/image471.jpeg"/><Relationship Id="rId741" Type="http://schemas.openxmlformats.org/officeDocument/2006/relationships/image" Target="media/image472.png"/><Relationship Id="rId742" Type="http://schemas.openxmlformats.org/officeDocument/2006/relationships/image" Target="media/image473.jpeg"/><Relationship Id="rId743" Type="http://schemas.openxmlformats.org/officeDocument/2006/relationships/image" Target="media/image474.jpeg"/><Relationship Id="rId744" Type="http://schemas.openxmlformats.org/officeDocument/2006/relationships/image" Target="media/image475.jpeg"/><Relationship Id="rId745" Type="http://schemas.openxmlformats.org/officeDocument/2006/relationships/image" Target="media/image476.jpeg"/><Relationship Id="rId746" Type="http://schemas.openxmlformats.org/officeDocument/2006/relationships/image" Target="media/image477.jpeg"/><Relationship Id="rId747" Type="http://schemas.openxmlformats.org/officeDocument/2006/relationships/image" Target="media/image478.jpeg"/><Relationship Id="rId748" Type="http://schemas.openxmlformats.org/officeDocument/2006/relationships/image" Target="media/image479.jpeg"/><Relationship Id="rId749" Type="http://schemas.openxmlformats.org/officeDocument/2006/relationships/image" Target="media/image480.jpeg"/><Relationship Id="rId750" Type="http://schemas.openxmlformats.org/officeDocument/2006/relationships/image" Target="media/image481.jpeg"/><Relationship Id="rId751" Type="http://schemas.openxmlformats.org/officeDocument/2006/relationships/hyperlink" Target="http://bibmed.ucla.edu.ve/DB/bmucla/edocs/textocompleto/" TargetMode="External"/><Relationship Id="rId752" Type="http://schemas.openxmlformats.org/officeDocument/2006/relationships/hyperlink" Target="http://www.ergonomia.cl/" TargetMode="External"/><Relationship Id="rId753" Type="http://schemas.openxmlformats.org/officeDocument/2006/relationships/hyperlink" Target="http://www.ergonomia.cl/eee/Inicio/Entradas/2012/5/24_Me" TargetMode="External"/><Relationship Id="rId754" Type="http://schemas.openxmlformats.org/officeDocument/2006/relationships/hyperlink" Target="http://www.ergonautas.upv.es/metodos/rula/rula-" TargetMode="External"/><Relationship Id="rId755" Type="http://schemas.openxmlformats.org/officeDocument/2006/relationships/hyperlink" Target="http://www.ergonautas.upv.es/metodos/rula/rula-ayuda.php" TargetMode="External"/><Relationship Id="rId756" Type="http://schemas.openxmlformats.org/officeDocument/2006/relationships/hyperlink" Target="mailto:enrique.ching@uabc.edu.mx" TargetMode="External"/><Relationship Id="rId757" Type="http://schemas.openxmlformats.org/officeDocument/2006/relationships/hyperlink" Target="mailto:jalopez@uabc.edu.mx" TargetMode="External"/><Relationship Id="rId758" Type="http://schemas.openxmlformats.org/officeDocument/2006/relationships/hyperlink" Target="mailto:julio_cgf@uabc.edu.mx" TargetMode="External"/><Relationship Id="rId759" Type="http://schemas.openxmlformats.org/officeDocument/2006/relationships/hyperlink" Target="mailto:cesar.lopez23@uabc.edu.mx" TargetMode="External"/><Relationship Id="rId760" Type="http://schemas.openxmlformats.org/officeDocument/2006/relationships/hyperlink" Target="mailto:jeol79@uabc.edu.mx" TargetMode="External"/><Relationship Id="rId761" Type="http://schemas.openxmlformats.org/officeDocument/2006/relationships/image" Target="media/image482.jpeg"/><Relationship Id="rId762" Type="http://schemas.openxmlformats.org/officeDocument/2006/relationships/image" Target="media/image483.jpeg"/><Relationship Id="rId763" Type="http://schemas.openxmlformats.org/officeDocument/2006/relationships/image" Target="media/image484.jpeg"/><Relationship Id="rId764" Type="http://schemas.openxmlformats.org/officeDocument/2006/relationships/hyperlink" Target="mailto:cnavarro51@uabc.edu.mx" TargetMode="External"/><Relationship Id="rId765" Type="http://schemas.openxmlformats.org/officeDocument/2006/relationships/hyperlink" Target="mailto:emmabarrazarincon@hotmail.com" TargetMode="External"/><Relationship Id="rId766" Type="http://schemas.openxmlformats.org/officeDocument/2006/relationships/hyperlink" Target="http://www.ilo.org/global/about-the-ilo/media-" TargetMode="External"/><Relationship Id="rId767" Type="http://schemas.openxmlformats.org/officeDocument/2006/relationships/hyperlink" Target="http://www.entornocorporativo.com.mx/newsletters/diciembre/segurid" TargetMode="External"/><Relationship Id="rId768" Type="http://schemas.openxmlformats.org/officeDocument/2006/relationships/hyperlink" Target="http://www.youtube.com/channel/UCuwuAuOptPiZfUF8dxu4VBg" TargetMode="External"/><Relationship Id="rId769" Type="http://schemas.openxmlformats.org/officeDocument/2006/relationships/footer" Target="footer16.xml"/><Relationship Id="rId770" Type="http://schemas.openxmlformats.org/officeDocument/2006/relationships/hyperlink" Target="mailto:lucia.avila@uabc.edu.mx" TargetMode="External"/><Relationship Id="rId771" Type="http://schemas.openxmlformats.org/officeDocument/2006/relationships/hyperlink" Target="mailto:sinue.ontiveros@uabc.edu.mx" TargetMode="External"/><Relationship Id="rId772" Type="http://schemas.openxmlformats.org/officeDocument/2006/relationships/hyperlink" Target="mailto:ccamargo@uabc.edu.mx" TargetMode="External"/><Relationship Id="rId773" Type="http://schemas.openxmlformats.org/officeDocument/2006/relationships/footer" Target="footer17.xml"/><Relationship Id="rId774" Type="http://schemas.openxmlformats.org/officeDocument/2006/relationships/image" Target="media/image485.jpeg"/><Relationship Id="rId775" Type="http://schemas.openxmlformats.org/officeDocument/2006/relationships/image" Target="media/image486.jpeg"/><Relationship Id="rId776" Type="http://schemas.openxmlformats.org/officeDocument/2006/relationships/image" Target="media/image487.jpeg"/><Relationship Id="rId777" Type="http://schemas.openxmlformats.org/officeDocument/2006/relationships/image" Target="media/image488.jpeg"/><Relationship Id="rId778" Type="http://schemas.openxmlformats.org/officeDocument/2006/relationships/image" Target="media/image489.jpeg"/><Relationship Id="rId779" Type="http://schemas.openxmlformats.org/officeDocument/2006/relationships/image" Target="media/image490.jpeg"/><Relationship Id="rId780" Type="http://schemas.openxmlformats.org/officeDocument/2006/relationships/image" Target="media/image491.jpeg"/><Relationship Id="rId781" Type="http://schemas.openxmlformats.org/officeDocument/2006/relationships/image" Target="media/image492.jpeg"/><Relationship Id="rId782" Type="http://schemas.openxmlformats.org/officeDocument/2006/relationships/image" Target="media/image493.jpeg"/><Relationship Id="rId783" Type="http://schemas.openxmlformats.org/officeDocument/2006/relationships/image" Target="media/image494.jpeg"/><Relationship Id="rId784" Type="http://schemas.openxmlformats.org/officeDocument/2006/relationships/image" Target="media/image495.png"/><Relationship Id="rId785" Type="http://schemas.openxmlformats.org/officeDocument/2006/relationships/image" Target="media/image496.jpeg"/><Relationship Id="rId786" Type="http://schemas.openxmlformats.org/officeDocument/2006/relationships/image" Target="media/image497.jpeg"/><Relationship Id="rId787" Type="http://schemas.openxmlformats.org/officeDocument/2006/relationships/image" Target="media/image498.png"/><Relationship Id="rId788" Type="http://schemas.openxmlformats.org/officeDocument/2006/relationships/image" Target="media/image499.jpeg"/><Relationship Id="rId789" Type="http://schemas.openxmlformats.org/officeDocument/2006/relationships/image" Target="media/image500.jpeg"/><Relationship Id="rId790" Type="http://schemas.openxmlformats.org/officeDocument/2006/relationships/hyperlink" Target="http://www.insht.es/MusculoEsqueleticos/Contenidos/Forma" TargetMode="External"/><Relationship Id="rId791" Type="http://schemas.openxmlformats.org/officeDocument/2006/relationships/hyperlink" Target="mailto:juanc.garza87@gmail.com" TargetMode="External"/><Relationship Id="rId792" Type="http://schemas.openxmlformats.org/officeDocument/2006/relationships/hyperlink" Target="mailto:rolexracha@gmail.com" TargetMode="External"/><Relationship Id="rId793" Type="http://schemas.openxmlformats.org/officeDocument/2006/relationships/hyperlink" Target="mailto:luisgomez_53@hotmail.com" TargetMode="External"/><Relationship Id="rId794" Type="http://schemas.openxmlformats.org/officeDocument/2006/relationships/hyperlink" Target="mailto:rguzman@caborca.uson.mx" TargetMode="External"/><Relationship Id="rId795" Type="http://schemas.openxmlformats.org/officeDocument/2006/relationships/hyperlink" Target="mailto:avega@caborca.uson.mx" TargetMode="External"/><Relationship Id="rId796" Type="http://schemas.openxmlformats.org/officeDocument/2006/relationships/hyperlink" Target="mailto:mcadena@guaymas.uson.mx" TargetMode="External"/><Relationship Id="rId797" Type="http://schemas.openxmlformats.org/officeDocument/2006/relationships/image" Target="media/image501.jpeg"/><Relationship Id="rId798" Type="http://schemas.openxmlformats.org/officeDocument/2006/relationships/image" Target="media/image502.png"/><Relationship Id="rId799" Type="http://schemas.openxmlformats.org/officeDocument/2006/relationships/image" Target="media/image503.jpeg"/><Relationship Id="rId800" Type="http://schemas.openxmlformats.org/officeDocument/2006/relationships/image" Target="media/image504.png"/><Relationship Id="rId801" Type="http://schemas.openxmlformats.org/officeDocument/2006/relationships/image" Target="media/image505.jpeg"/><Relationship Id="rId802" Type="http://schemas.openxmlformats.org/officeDocument/2006/relationships/image" Target="media/image506.png"/><Relationship Id="rId803" Type="http://schemas.openxmlformats.org/officeDocument/2006/relationships/image" Target="media/image507.png"/><Relationship Id="rId804" Type="http://schemas.openxmlformats.org/officeDocument/2006/relationships/image" Target="media/image508.png"/><Relationship Id="rId805" Type="http://schemas.openxmlformats.org/officeDocument/2006/relationships/image" Target="media/image509.jpeg"/><Relationship Id="rId806" Type="http://schemas.openxmlformats.org/officeDocument/2006/relationships/image" Target="media/image510.png"/><Relationship Id="rId807" Type="http://schemas.openxmlformats.org/officeDocument/2006/relationships/image" Target="media/image511.jpeg"/><Relationship Id="rId808" Type="http://schemas.openxmlformats.org/officeDocument/2006/relationships/image" Target="media/image512.png"/><Relationship Id="rId809" Type="http://schemas.openxmlformats.org/officeDocument/2006/relationships/footer" Target="footer18.xml"/><Relationship Id="rId810" Type="http://schemas.openxmlformats.org/officeDocument/2006/relationships/hyperlink" Target="mailto:magdar@industrial.uson.mx" TargetMode="External"/><Relationship Id="rId811" Type="http://schemas.openxmlformats.org/officeDocument/2006/relationships/footer" Target="footer19.xml"/><Relationship Id="rId812" Type="http://schemas.openxmlformats.org/officeDocument/2006/relationships/image" Target="media/image513.png"/><Relationship Id="rId813" Type="http://schemas.openxmlformats.org/officeDocument/2006/relationships/image" Target="media/image514.jpeg"/><Relationship Id="rId814" Type="http://schemas.openxmlformats.org/officeDocument/2006/relationships/image" Target="media/image515.png"/><Relationship Id="rId815" Type="http://schemas.openxmlformats.org/officeDocument/2006/relationships/image" Target="media/image516.png"/><Relationship Id="rId816" Type="http://schemas.openxmlformats.org/officeDocument/2006/relationships/image" Target="media/image517.png"/><Relationship Id="rId817" Type="http://schemas.openxmlformats.org/officeDocument/2006/relationships/image" Target="media/image518.png"/><Relationship Id="rId818" Type="http://schemas.openxmlformats.org/officeDocument/2006/relationships/image" Target="media/image519.png"/><Relationship Id="rId819" Type="http://schemas.openxmlformats.org/officeDocument/2006/relationships/image" Target="media/image520.png"/><Relationship Id="rId820" Type="http://schemas.openxmlformats.org/officeDocument/2006/relationships/image" Target="media/image521.png"/><Relationship Id="rId821" Type="http://schemas.openxmlformats.org/officeDocument/2006/relationships/image" Target="media/image522.png"/><Relationship Id="rId822" Type="http://schemas.openxmlformats.org/officeDocument/2006/relationships/hyperlink" Target="mailto:mgalindo8@uabc.edu" TargetMode="External"/><Relationship Id="rId823" Type="http://schemas.openxmlformats.org/officeDocument/2006/relationships/hyperlink" Target="mailto:paz.jose@uabc.edu.mx" TargetMode="External"/><Relationship Id="rId824" Type="http://schemas.openxmlformats.org/officeDocument/2006/relationships/footer" Target="footer20.xml"/><Relationship Id="rId825" Type="http://schemas.openxmlformats.org/officeDocument/2006/relationships/image" Target="media/image523.jpeg"/><Relationship Id="rId826" Type="http://schemas.openxmlformats.org/officeDocument/2006/relationships/image" Target="media/image524.jpeg"/><Relationship Id="rId827" Type="http://schemas.openxmlformats.org/officeDocument/2006/relationships/footer" Target="footer21.xml"/><Relationship Id="rId828" Type="http://schemas.openxmlformats.org/officeDocument/2006/relationships/image" Target="media/image525.jpeg"/><Relationship Id="rId829" Type="http://schemas.openxmlformats.org/officeDocument/2006/relationships/image" Target="media/image526.jpeg"/><Relationship Id="rId830" Type="http://schemas.openxmlformats.org/officeDocument/2006/relationships/image" Target="media/image527.jpeg"/><Relationship Id="rId831" Type="http://schemas.openxmlformats.org/officeDocument/2006/relationships/image" Target="media/image528.jpeg"/><Relationship Id="rId832" Type="http://schemas.openxmlformats.org/officeDocument/2006/relationships/image" Target="media/image529.jpeg"/><Relationship Id="rId833" Type="http://schemas.openxmlformats.org/officeDocument/2006/relationships/footer" Target="footer22.xml"/><Relationship Id="rId834" Type="http://schemas.openxmlformats.org/officeDocument/2006/relationships/image" Target="media/image530.jpeg"/><Relationship Id="rId835" Type="http://schemas.openxmlformats.org/officeDocument/2006/relationships/image" Target="media/image531.jpeg"/><Relationship Id="rId836" Type="http://schemas.openxmlformats.org/officeDocument/2006/relationships/image" Target="media/image532.jpeg"/><Relationship Id="rId837" Type="http://schemas.openxmlformats.org/officeDocument/2006/relationships/image" Target="media/image533.jpeg"/><Relationship Id="rId83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kike</dc:creator>
  <dc:title>Microsoft Word - LibroFinal_2015.doc</dc:title>
  <dcterms:created xsi:type="dcterms:W3CDTF">2017-05-29T18:25:29Z</dcterms:created>
  <dcterms:modified xsi:type="dcterms:W3CDTF">2017-05-29T18:25:29Z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2015-06-12T00:00:00Z</vt:filetime>
  </property>
  <property fmtid="{D5CDD505-2E9C-101B-9397-08002B2CF9AE}" pid="3" name="Creator">
    <vt:lpwstr>PScript5.dll Version 5.2.2</vt:lpwstr>
  </property>
  <property fmtid="{D5CDD505-2E9C-101B-9397-08002B2CF9AE}" pid="4" name="LastSaved">
    <vt:filetime>2017-05-29T00:00:00Z</vt:filetime>
  </property>
</Properties>
</file>